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
        <w:gridCol w:w="253"/>
      </w:tblGrid>
      <w:tr w:rsidR="00B76E9C" w:rsidRPr="00100F8C" w14:paraId="4C1591D8" w14:textId="77777777" w:rsidTr="00B76E9C">
        <w:trPr>
          <w:trHeight w:val="274"/>
        </w:trPr>
        <w:tc>
          <w:tcPr>
            <w:tcW w:w="240" w:type="dxa"/>
          </w:tcPr>
          <w:p w14:paraId="184721D5" w14:textId="151C4F43" w:rsidR="00B76E9C" w:rsidRPr="00100F8C" w:rsidRDefault="00B76E9C" w:rsidP="00B76E9C">
            <w:pPr>
              <w:rPr>
                <w:rFonts w:ascii="Times New Roman" w:hAnsi="Times New Roman" w:cs="Times New Roman"/>
                <w:b/>
                <w:bCs/>
                <w:color w:val="000000"/>
                <w:sz w:val="24"/>
                <w:szCs w:val="24"/>
              </w:rPr>
            </w:pPr>
            <w:bookmarkStart w:id="0" w:name="_Toc33263201"/>
            <w:bookmarkStart w:id="1" w:name="_Toc33264105"/>
            <w:bookmarkStart w:id="2" w:name="_Toc37664453"/>
            <w:bookmarkStart w:id="3" w:name="_Toc37666298"/>
            <w:bookmarkStart w:id="4" w:name="_Toc37667307"/>
            <w:bookmarkStart w:id="5" w:name="_Toc54361017"/>
            <w:bookmarkStart w:id="6" w:name="_Toc54361664"/>
            <w:bookmarkStart w:id="7" w:name="_Toc54363187"/>
            <w:bookmarkStart w:id="8" w:name="_Toc57901013"/>
            <w:bookmarkStart w:id="9" w:name="_Toc58261913"/>
            <w:bookmarkStart w:id="10" w:name="_Toc58606202"/>
            <w:bookmarkStart w:id="11" w:name="_Toc61263407"/>
            <w:bookmarkStart w:id="12" w:name="_Toc81426887"/>
            <w:bookmarkStart w:id="13" w:name="_Toc114866023"/>
            <w:bookmarkStart w:id="14" w:name="_Toc116257052"/>
            <w:bookmarkStart w:id="15" w:name="_GoBack"/>
            <w:bookmarkEnd w:id="15"/>
          </w:p>
        </w:tc>
        <w:tc>
          <w:tcPr>
            <w:tcW w:w="253" w:type="dxa"/>
          </w:tcPr>
          <w:p w14:paraId="7BE99C13" w14:textId="77777777" w:rsidR="00B76E9C" w:rsidRPr="00100F8C" w:rsidRDefault="00B76E9C" w:rsidP="00B76E9C">
            <w:pPr>
              <w:jc w:val="center"/>
              <w:rPr>
                <w:rFonts w:ascii="Times New Roman" w:hAnsi="Times New Roman" w:cs="Times New Roman"/>
                <w:color w:val="000000"/>
                <w:sz w:val="24"/>
                <w:szCs w:val="24"/>
              </w:rPr>
            </w:pPr>
          </w:p>
        </w:tc>
      </w:tr>
    </w:tbl>
    <w:p w14:paraId="7288D891" w14:textId="7A197203" w:rsidR="00B76E9C" w:rsidRDefault="00D77802" w:rsidP="00B76E9C">
      <w:pPr>
        <w:spacing w:line="240" w:lineRule="auto"/>
        <w:jc w:val="center"/>
        <w:rPr>
          <w:rFonts w:ascii="Times New Roman" w:hAnsi="Times New Roman" w:cs="Times New Roman"/>
          <w:sz w:val="28"/>
          <w:szCs w:val="20"/>
        </w:rPr>
      </w:pPr>
      <w:r>
        <w:rPr>
          <w:rFonts w:ascii="Times New Roman" w:hAnsi="Times New Roman" w:cs="Times New Roman"/>
          <w:b/>
          <w:bCs/>
          <w:noProof/>
          <w:color w:val="000000"/>
          <w:sz w:val="24"/>
          <w:szCs w:val="24"/>
          <w:lang w:eastAsia="fr-FR"/>
        </w:rPr>
        <mc:AlternateContent>
          <mc:Choice Requires="wps">
            <w:drawing>
              <wp:anchor distT="0" distB="0" distL="114300" distR="114300" simplePos="0" relativeHeight="251691008" behindDoc="1" locked="0" layoutInCell="0" allowOverlap="1" wp14:anchorId="4AC36368" wp14:editId="40BE8343">
                <wp:simplePos x="0" y="0"/>
                <wp:positionH relativeFrom="page">
                  <wp:posOffset>621030</wp:posOffset>
                </wp:positionH>
                <wp:positionV relativeFrom="paragraph">
                  <wp:posOffset>-247650</wp:posOffset>
                </wp:positionV>
                <wp:extent cx="6334125" cy="561975"/>
                <wp:effectExtent l="0" t="0" r="28575" b="28575"/>
                <wp:wrapNone/>
                <wp:docPr id="959054081"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4125" cy="561975"/>
                        </a:xfrm>
                        <a:prstGeom prst="rect">
                          <a:avLst/>
                        </a:prstGeom>
                        <a:solidFill>
                          <a:schemeClr val="bg2">
                            <a:lumMod val="75000"/>
                            <a:lumOff val="0"/>
                          </a:schemeClr>
                        </a:solidFill>
                        <a:ln w="9525">
                          <a:solidFill>
                            <a:srgbClr val="FFFF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EB03C" id="Rectangle 1583" o:spid="_x0000_s1026" style="position:absolute;margin-left:48.9pt;margin-top:-19.5pt;width:498.75pt;height:44.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" o:allowincell="f" fillcolor="#aeaaaa [2414]" strokecolor="#ff6">
                <v:path arrowok="t"/>
                <w10:wrap anchorx="page"/>
              </v:rect>
            </w:pict>
          </mc:Fallback>
        </mc:AlternateContent>
      </w:r>
    </w:p>
    <w:p w14:paraId="06E92F5C" w14:textId="77777777" w:rsidR="00B76E9C" w:rsidRPr="00100F8C" w:rsidRDefault="00B76E9C" w:rsidP="00B76E9C">
      <w:pPr>
        <w:spacing w:line="240" w:lineRule="auto"/>
        <w:jc w:val="center"/>
        <w:rPr>
          <w:rFonts w:ascii="Times New Roman" w:hAnsi="Times New Roman" w:cs="Times New Roman"/>
          <w:sz w:val="28"/>
          <w:szCs w:val="20"/>
        </w:rPr>
      </w:pPr>
    </w:p>
    <w:p w14:paraId="3ACA997D" w14:textId="77777777" w:rsidR="00B76E9C" w:rsidRPr="00100F8C" w:rsidRDefault="00B76E9C" w:rsidP="00B76E9C">
      <w:pPr>
        <w:jc w:val="center"/>
        <w:rPr>
          <w:rFonts w:ascii="Times New Roman" w:hAnsi="Times New Roman" w:cs="Times New Roman"/>
          <w:sz w:val="32"/>
        </w:rPr>
      </w:pPr>
      <w:r>
        <w:rPr>
          <w:noProof/>
          <w:lang w:eastAsia="fr-FR"/>
        </w:rPr>
        <w:drawing>
          <wp:inline distT="0" distB="0" distL="0" distR="0" wp14:anchorId="44C96293" wp14:editId="7CD77A6A">
            <wp:extent cx="1000125" cy="1209675"/>
            <wp:effectExtent l="19050" t="0" r="9525" b="0"/>
            <wp:docPr id="10" name="Image 1" descr="logo couleurs fini lakm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leurs fini lakmans 2.jpg"/>
                    <pic:cNvPicPr>
                      <a:picLocks noChangeAspect="1" noChangeArrowheads="1"/>
                    </pic:cNvPicPr>
                  </pic:nvPicPr>
                  <pic:blipFill>
                    <a:blip r:embed="rId8" cstate="print"/>
                    <a:srcRect r="46956" b="23077"/>
                    <a:stretch>
                      <a:fillRect/>
                    </a:stretch>
                  </pic:blipFill>
                  <pic:spPr bwMode="auto">
                    <a:xfrm>
                      <a:off x="0" y="0"/>
                      <a:ext cx="1000125" cy="1209675"/>
                    </a:xfrm>
                    <a:prstGeom prst="rect">
                      <a:avLst/>
                    </a:prstGeom>
                    <a:noFill/>
                    <a:ln w="9525">
                      <a:noFill/>
                      <a:miter lim="800000"/>
                      <a:headEnd/>
                      <a:tailEnd/>
                    </a:ln>
                  </pic:spPr>
                </pic:pic>
              </a:graphicData>
            </a:graphic>
          </wp:inline>
        </w:drawing>
      </w:r>
    </w:p>
    <w:p w14:paraId="096F2BAD" w14:textId="77777777" w:rsidR="00B76E9C" w:rsidRPr="000A50A5" w:rsidRDefault="00B76E9C" w:rsidP="00B76E9C">
      <w:pPr>
        <w:jc w:val="center"/>
        <w:rPr>
          <w:rFonts w:ascii="Times New Roman" w:hAnsi="Times New Roman" w:cs="Times New Roman"/>
          <w:sz w:val="24"/>
          <w:szCs w:val="40"/>
        </w:rPr>
      </w:pPr>
    </w:p>
    <w:p w14:paraId="08EB4878" w14:textId="77777777" w:rsidR="00B76E9C" w:rsidRPr="002A7C05" w:rsidRDefault="00B76E9C" w:rsidP="002A7C05">
      <w:pPr>
        <w:ind w:hanging="284"/>
        <w:jc w:val="center"/>
        <w:rPr>
          <w:rFonts w:asciiTheme="majorBidi" w:hAnsiTheme="majorBidi" w:cstheme="majorBidi"/>
          <w:b/>
          <w:bCs/>
          <w:sz w:val="28"/>
          <w:szCs w:val="28"/>
        </w:rPr>
      </w:pPr>
      <w:r w:rsidRPr="002A7C05">
        <w:rPr>
          <w:rFonts w:asciiTheme="majorBidi" w:hAnsiTheme="majorBidi" w:cstheme="majorBidi"/>
          <w:b/>
          <w:bCs/>
          <w:sz w:val="28"/>
          <w:szCs w:val="28"/>
        </w:rPr>
        <w:t>Université d’Oran 2</w:t>
      </w:r>
    </w:p>
    <w:p w14:paraId="4547D50C" w14:textId="77777777" w:rsidR="00B76E9C" w:rsidRPr="002A7C05" w:rsidRDefault="00B76E9C" w:rsidP="002A7C05">
      <w:pPr>
        <w:ind w:hanging="284"/>
        <w:jc w:val="center"/>
        <w:rPr>
          <w:rFonts w:asciiTheme="majorBidi" w:hAnsiTheme="majorBidi" w:cstheme="majorBidi"/>
          <w:b/>
          <w:bCs/>
          <w:sz w:val="28"/>
          <w:szCs w:val="28"/>
        </w:rPr>
      </w:pPr>
      <w:r w:rsidRPr="002A7C05">
        <w:rPr>
          <w:rFonts w:asciiTheme="majorBidi" w:hAnsiTheme="majorBidi" w:cstheme="majorBidi"/>
          <w:b/>
          <w:bCs/>
          <w:sz w:val="28"/>
          <w:szCs w:val="28"/>
        </w:rPr>
        <w:t>Faculté des Sciences Economiques, Commerciales et des Sciences de Gestion</w:t>
      </w:r>
    </w:p>
    <w:p w14:paraId="6FC502B3" w14:textId="77777777" w:rsidR="00B76E9C" w:rsidRPr="00BC6507" w:rsidRDefault="00B76E9C" w:rsidP="00BC6507">
      <w:pPr>
        <w:spacing w:before="360"/>
        <w:jc w:val="center"/>
        <w:rPr>
          <w:rFonts w:asciiTheme="majorBidi" w:hAnsiTheme="majorBidi" w:cstheme="majorBidi"/>
          <w:b/>
          <w:bCs/>
          <w:sz w:val="40"/>
          <w:szCs w:val="40"/>
        </w:rPr>
      </w:pPr>
      <w:r w:rsidRPr="00BC6507">
        <w:rPr>
          <w:rFonts w:asciiTheme="majorBidi" w:hAnsiTheme="majorBidi" w:cstheme="majorBidi"/>
          <w:b/>
          <w:bCs/>
          <w:sz w:val="40"/>
          <w:szCs w:val="40"/>
        </w:rPr>
        <w:t>THESE</w:t>
      </w:r>
    </w:p>
    <w:p w14:paraId="740588F5" w14:textId="77777777" w:rsidR="00B76E9C" w:rsidRPr="00BC6507" w:rsidRDefault="00B76E9C" w:rsidP="00BC6507">
      <w:pPr>
        <w:jc w:val="center"/>
        <w:rPr>
          <w:rFonts w:asciiTheme="majorBidi" w:hAnsiTheme="majorBidi" w:cstheme="majorBidi"/>
          <w:b/>
          <w:bCs/>
          <w:sz w:val="32"/>
          <w:szCs w:val="32"/>
        </w:rPr>
      </w:pPr>
      <w:r w:rsidRPr="00BC6507">
        <w:rPr>
          <w:rFonts w:asciiTheme="majorBidi" w:hAnsiTheme="majorBidi" w:cstheme="majorBidi"/>
          <w:b/>
          <w:bCs/>
          <w:sz w:val="32"/>
          <w:szCs w:val="32"/>
        </w:rPr>
        <w:t>Pour l’obtention du diplôme de</w:t>
      </w:r>
    </w:p>
    <w:p w14:paraId="136409A1" w14:textId="77777777" w:rsidR="00B76E9C" w:rsidRPr="00BC6507" w:rsidRDefault="00B76E9C" w:rsidP="00BC6507">
      <w:pPr>
        <w:jc w:val="center"/>
        <w:rPr>
          <w:rFonts w:ascii="Times New Roman" w:hAnsi="Times New Roman" w:cs="Times New Roman"/>
          <w:b/>
          <w:bCs/>
          <w:smallCaps/>
          <w:sz w:val="36"/>
          <w:szCs w:val="24"/>
        </w:rPr>
      </w:pPr>
      <w:r w:rsidRPr="00BC6507">
        <w:rPr>
          <w:rFonts w:ascii="Times New Roman" w:hAnsi="Times New Roman" w:cs="Times New Roman"/>
          <w:b/>
          <w:bCs/>
          <w:smallCaps/>
          <w:sz w:val="36"/>
          <w:szCs w:val="24"/>
        </w:rPr>
        <w:t>Doctorat en Sciences Economiques</w:t>
      </w:r>
    </w:p>
    <w:p w14:paraId="7FD22B3E" w14:textId="1DD50449" w:rsidR="00B76E9C" w:rsidRPr="003C2381" w:rsidRDefault="002C5EFF" w:rsidP="00B76E9C">
      <w:pPr>
        <w:jc w:val="center"/>
        <w:rPr>
          <w:rFonts w:ascii="Times New Roman" w:hAnsi="Times New Roman" w:cs="Times New Roman"/>
          <w:b/>
          <w:bCs/>
          <w:sz w:val="24"/>
          <w:szCs w:val="18"/>
        </w:rPr>
      </w:pPr>
      <w:r w:rsidRPr="002C5EFF">
        <w:rPr>
          <w:rFonts w:ascii="Times New Roman" w:hAnsi="Times New Roman" w:cs="Times New Roman"/>
          <w:noProof/>
          <w:spacing w:val="10"/>
          <w:sz w:val="40"/>
          <w:szCs w:val="28"/>
          <w:lang w:eastAsia="fr-F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9984" behindDoc="1" locked="0" layoutInCell="1" allowOverlap="1" wp14:anchorId="71802C9D" wp14:editId="3799AED5">
                <wp:simplePos x="0" y="0"/>
                <wp:positionH relativeFrom="margin">
                  <wp:align>center</wp:align>
                </wp:positionH>
                <wp:positionV relativeFrom="paragraph">
                  <wp:posOffset>248920</wp:posOffset>
                </wp:positionV>
                <wp:extent cx="5760085" cy="1007745"/>
                <wp:effectExtent l="12065" t="12700" r="9525" b="17780"/>
                <wp:wrapNone/>
                <wp:docPr id="959054080" name="AutoShap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07745"/>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95124" id="AutoShape 1582" o:spid="_x0000_s1026" style="position:absolute;margin-left:0;margin-top:19.6pt;width:453.55pt;height:79.35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" strokeweight="1.5pt">
                <w10:wrap anchorx="margin"/>
              </v:roundrect>
            </w:pict>
          </mc:Fallback>
        </mc:AlternateContent>
      </w:r>
    </w:p>
    <w:p w14:paraId="3CD1EDD9" w14:textId="77777777" w:rsidR="00B76E9C" w:rsidRPr="002C5EFF" w:rsidRDefault="00B76E9C" w:rsidP="00B76E9C">
      <w:pPr>
        <w:spacing w:before="100" w:beforeAutospacing="1" w:after="100" w:afterAutospacing="1" w:line="300" w:lineRule="auto"/>
        <w:ind w:right="1134"/>
        <w:jc w:val="right"/>
        <w:rPr>
          <w:rFonts w:ascii="Times New Roman" w:hAnsi="Times New Roman" w:cs="Times New Roman"/>
          <w:spacing w:val="10"/>
          <w:sz w:val="40"/>
          <w:szCs w:val="28"/>
          <w14:shadow w14:blurRad="50800" w14:dist="38100" w14:dir="2700000" w14:sx="100000" w14:sy="100000" w14:kx="0" w14:ky="0" w14:algn="tl">
            <w14:srgbClr w14:val="000000">
              <w14:alpha w14:val="60000"/>
            </w14:srgbClr>
          </w14:shadow>
        </w:rPr>
      </w:pPr>
      <w:r w:rsidRPr="002C5EFF">
        <w:rPr>
          <w:rFonts w:ascii="Times New Roman" w:hAnsi="Times New Roman" w:cs="Times New Roman"/>
          <w:b/>
          <w:bCs/>
          <w:smallCaps/>
          <w:spacing w:val="10"/>
          <w:sz w:val="40"/>
          <w:szCs w:val="28"/>
          <w14:shadow w14:blurRad="50800" w14:dist="38100" w14:dir="2700000" w14:sx="100000" w14:sy="100000" w14:kx="0" w14:ky="0" w14:algn="tl">
            <w14:srgbClr w14:val="000000">
              <w14:alpha w14:val="60000"/>
            </w14:srgbClr>
          </w14:shadow>
        </w:rPr>
        <w:t>La Gestion des Risques des Modes de Financement Islamique participatif</w:t>
      </w:r>
    </w:p>
    <w:p w14:paraId="5C9E6F47" w14:textId="77777777" w:rsidR="00B76E9C" w:rsidRPr="003C2381" w:rsidRDefault="00B76E9C" w:rsidP="00B76E9C">
      <w:pPr>
        <w:tabs>
          <w:tab w:val="left" w:pos="4305"/>
        </w:tabs>
        <w:jc w:val="center"/>
        <w:rPr>
          <w:rFonts w:ascii="Times New Roman" w:hAnsi="Times New Roman" w:cs="Times New Roman"/>
          <w:sz w:val="24"/>
          <w:szCs w:val="18"/>
        </w:rPr>
      </w:pPr>
    </w:p>
    <w:p w14:paraId="451FE1A4" w14:textId="77777777" w:rsidR="00B76E9C" w:rsidRPr="00BC6507" w:rsidRDefault="00B76E9C" w:rsidP="00BC6507">
      <w:pPr>
        <w:jc w:val="center"/>
        <w:rPr>
          <w:rFonts w:asciiTheme="majorBidi" w:hAnsiTheme="majorBidi" w:cstheme="majorBidi"/>
          <w:b/>
          <w:bCs/>
          <w:sz w:val="32"/>
          <w:szCs w:val="32"/>
        </w:rPr>
      </w:pPr>
      <w:r w:rsidRPr="00BC6507">
        <w:rPr>
          <w:rFonts w:asciiTheme="majorBidi" w:hAnsiTheme="majorBidi" w:cstheme="majorBidi"/>
          <w:b/>
          <w:bCs/>
          <w:sz w:val="32"/>
          <w:szCs w:val="32"/>
        </w:rPr>
        <w:t>Présentée et soutenue publiquement par :</w:t>
      </w:r>
    </w:p>
    <w:p w14:paraId="73202B2A" w14:textId="77777777" w:rsidR="00B76E9C" w:rsidRPr="00061AE1" w:rsidRDefault="00B76E9C" w:rsidP="00B76E9C">
      <w:pPr>
        <w:jc w:val="center"/>
        <w:rPr>
          <w:rFonts w:ascii="Times New Roman" w:hAnsi="Times New Roman" w:cs="Times New Roman"/>
          <w:b/>
          <w:bCs/>
          <w:spacing w:val="10"/>
          <w:sz w:val="36"/>
          <w:szCs w:val="24"/>
        </w:rPr>
      </w:pPr>
      <w:r w:rsidRPr="00061AE1">
        <w:rPr>
          <w:rFonts w:ascii="Times New Roman" w:hAnsi="Times New Roman" w:cs="Times New Roman"/>
          <w:b/>
          <w:bCs/>
          <w:spacing w:val="10"/>
          <w:sz w:val="36"/>
          <w:szCs w:val="24"/>
        </w:rPr>
        <w:t>KHELIFA Halima</w:t>
      </w:r>
    </w:p>
    <w:p w14:paraId="3424DB40" w14:textId="77777777" w:rsidR="00B76E9C" w:rsidRPr="003C2381" w:rsidRDefault="00B76E9C" w:rsidP="00B76E9C">
      <w:pPr>
        <w:jc w:val="center"/>
        <w:rPr>
          <w:rFonts w:ascii="Times New Roman" w:hAnsi="Times New Roman" w:cs="Times New Roman"/>
          <w:sz w:val="24"/>
          <w:szCs w:val="18"/>
        </w:rPr>
      </w:pPr>
    </w:p>
    <w:p w14:paraId="04FBFCCC" w14:textId="77777777" w:rsidR="00B76E9C" w:rsidRPr="00FE39AA" w:rsidRDefault="00B76E9C" w:rsidP="00B76E9C">
      <w:pPr>
        <w:jc w:val="center"/>
        <w:rPr>
          <w:rFonts w:ascii="Times New Roman" w:hAnsi="Times New Roman" w:cs="Times New Roman"/>
          <w:sz w:val="2"/>
        </w:rPr>
      </w:pPr>
    </w:p>
    <w:p w14:paraId="521DC9B8" w14:textId="77777777" w:rsidR="00B76E9C" w:rsidRPr="00BC6507" w:rsidRDefault="00B76E9C" w:rsidP="00BC6507">
      <w:pPr>
        <w:jc w:val="center"/>
        <w:rPr>
          <w:rFonts w:asciiTheme="majorBidi" w:hAnsiTheme="majorBidi" w:cstheme="majorBidi"/>
          <w:b/>
          <w:bCs/>
          <w:sz w:val="32"/>
          <w:szCs w:val="32"/>
        </w:rPr>
      </w:pPr>
      <w:r w:rsidRPr="00BC6507">
        <w:rPr>
          <w:rFonts w:asciiTheme="majorBidi" w:hAnsiTheme="majorBidi" w:cstheme="majorBidi"/>
          <w:b/>
          <w:bCs/>
          <w:sz w:val="32"/>
          <w:szCs w:val="32"/>
        </w:rPr>
        <w:t>Devant le jury composé de :</w:t>
      </w:r>
    </w:p>
    <w:tbl>
      <w:tblPr>
        <w:tblW w:w="10374" w:type="dxa"/>
        <w:jc w:val="center"/>
        <w:tblLayout w:type="fixed"/>
        <w:tblCellMar>
          <w:top w:w="28" w:type="dxa"/>
          <w:left w:w="28" w:type="dxa"/>
          <w:bottom w:w="28" w:type="dxa"/>
          <w:right w:w="28" w:type="dxa"/>
        </w:tblCellMar>
        <w:tblLook w:val="04A0" w:firstRow="1" w:lastRow="0" w:firstColumn="1" w:lastColumn="0" w:noHBand="0" w:noVBand="1"/>
      </w:tblPr>
      <w:tblGrid>
        <w:gridCol w:w="3345"/>
        <w:gridCol w:w="1587"/>
        <w:gridCol w:w="3628"/>
        <w:gridCol w:w="1814"/>
      </w:tblGrid>
      <w:tr w:rsidR="00B76E9C" w:rsidRPr="000A50A5" w14:paraId="20E3B3B3" w14:textId="77777777" w:rsidTr="00B76E9C">
        <w:trPr>
          <w:trHeight w:val="356"/>
          <w:jc w:val="center"/>
        </w:trPr>
        <w:tc>
          <w:tcPr>
            <w:tcW w:w="3345" w:type="dxa"/>
            <w:vAlign w:val="center"/>
          </w:tcPr>
          <w:p w14:paraId="5BD066BE"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mallCaps/>
                <w:sz w:val="28"/>
                <w:szCs w:val="28"/>
              </w:rPr>
              <w:t>Benbayer</w:t>
            </w:r>
            <w:r w:rsidRPr="000A50A5">
              <w:rPr>
                <w:rFonts w:ascii="Times New Roman" w:hAnsi="Times New Roman" w:cs="Times New Roman"/>
                <w:b/>
                <w:bCs/>
                <w:sz w:val="28"/>
                <w:szCs w:val="28"/>
              </w:rPr>
              <w:t xml:space="preserve"> Habib</w:t>
            </w:r>
          </w:p>
        </w:tc>
        <w:tc>
          <w:tcPr>
            <w:tcW w:w="1587" w:type="dxa"/>
            <w:vAlign w:val="center"/>
          </w:tcPr>
          <w:p w14:paraId="65026B20"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z w:val="28"/>
                <w:szCs w:val="28"/>
              </w:rPr>
              <w:t>Professeur</w:t>
            </w:r>
          </w:p>
        </w:tc>
        <w:tc>
          <w:tcPr>
            <w:tcW w:w="3628" w:type="dxa"/>
            <w:vAlign w:val="center"/>
          </w:tcPr>
          <w:p w14:paraId="28D49E3E"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z w:val="28"/>
                <w:szCs w:val="28"/>
              </w:rPr>
              <w:t>Université d’Oran 2</w:t>
            </w:r>
          </w:p>
        </w:tc>
        <w:tc>
          <w:tcPr>
            <w:tcW w:w="1814" w:type="dxa"/>
            <w:vAlign w:val="center"/>
          </w:tcPr>
          <w:p w14:paraId="7FC76E69"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z w:val="28"/>
                <w:szCs w:val="28"/>
              </w:rPr>
              <w:t>Président</w:t>
            </w:r>
          </w:p>
        </w:tc>
      </w:tr>
      <w:tr w:rsidR="00B76E9C" w:rsidRPr="000A50A5" w14:paraId="7670F915" w14:textId="77777777" w:rsidTr="00B76E9C">
        <w:trPr>
          <w:trHeight w:val="373"/>
          <w:jc w:val="center"/>
        </w:trPr>
        <w:tc>
          <w:tcPr>
            <w:tcW w:w="3345" w:type="dxa"/>
            <w:vAlign w:val="center"/>
          </w:tcPr>
          <w:p w14:paraId="5A718FC0"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mallCaps/>
                <w:sz w:val="28"/>
                <w:szCs w:val="28"/>
              </w:rPr>
              <w:t>Trari-Medjaoui</w:t>
            </w:r>
            <w:r w:rsidRPr="000A50A5">
              <w:rPr>
                <w:rFonts w:ascii="Times New Roman" w:hAnsi="Times New Roman" w:cs="Times New Roman"/>
                <w:b/>
                <w:bCs/>
                <w:sz w:val="28"/>
                <w:szCs w:val="28"/>
              </w:rPr>
              <w:t xml:space="preserve"> Hocine</w:t>
            </w:r>
          </w:p>
        </w:tc>
        <w:tc>
          <w:tcPr>
            <w:tcW w:w="1587" w:type="dxa"/>
            <w:vAlign w:val="center"/>
          </w:tcPr>
          <w:p w14:paraId="51A49BA8"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z w:val="28"/>
                <w:szCs w:val="28"/>
              </w:rPr>
              <w:t>MCA</w:t>
            </w:r>
          </w:p>
        </w:tc>
        <w:tc>
          <w:tcPr>
            <w:tcW w:w="3628" w:type="dxa"/>
            <w:vAlign w:val="center"/>
          </w:tcPr>
          <w:p w14:paraId="32F44CE1"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z w:val="28"/>
                <w:szCs w:val="28"/>
              </w:rPr>
              <w:t>Université d’Oran 2</w:t>
            </w:r>
          </w:p>
        </w:tc>
        <w:tc>
          <w:tcPr>
            <w:tcW w:w="1814" w:type="dxa"/>
            <w:vAlign w:val="center"/>
          </w:tcPr>
          <w:p w14:paraId="61362D33"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z w:val="28"/>
                <w:szCs w:val="28"/>
              </w:rPr>
              <w:t>Rapporteur</w:t>
            </w:r>
          </w:p>
        </w:tc>
      </w:tr>
      <w:tr w:rsidR="00B76E9C" w:rsidRPr="000A50A5" w14:paraId="65A2094C" w14:textId="77777777" w:rsidTr="00B76E9C">
        <w:trPr>
          <w:trHeight w:val="373"/>
          <w:jc w:val="center"/>
        </w:trPr>
        <w:tc>
          <w:tcPr>
            <w:tcW w:w="3345" w:type="dxa"/>
            <w:vAlign w:val="center"/>
          </w:tcPr>
          <w:p w14:paraId="6710889F"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mallCaps/>
                <w:sz w:val="28"/>
                <w:szCs w:val="28"/>
              </w:rPr>
              <w:t>Benmansour</w:t>
            </w:r>
            <w:r w:rsidRPr="000A50A5">
              <w:rPr>
                <w:rFonts w:ascii="Times New Roman" w:hAnsi="Times New Roman" w:cs="Times New Roman"/>
                <w:b/>
                <w:bCs/>
                <w:sz w:val="28"/>
                <w:szCs w:val="28"/>
              </w:rPr>
              <w:t xml:space="preserve"> Abdellah</w:t>
            </w:r>
          </w:p>
        </w:tc>
        <w:tc>
          <w:tcPr>
            <w:tcW w:w="1587" w:type="dxa"/>
            <w:vAlign w:val="center"/>
          </w:tcPr>
          <w:p w14:paraId="00562E7B"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z w:val="28"/>
                <w:szCs w:val="28"/>
              </w:rPr>
              <w:t>Professeur</w:t>
            </w:r>
          </w:p>
        </w:tc>
        <w:tc>
          <w:tcPr>
            <w:tcW w:w="3628" w:type="dxa"/>
            <w:vAlign w:val="center"/>
          </w:tcPr>
          <w:p w14:paraId="0541DBAF"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z w:val="28"/>
                <w:szCs w:val="28"/>
              </w:rPr>
              <w:t>Université de Tlemcen</w:t>
            </w:r>
          </w:p>
        </w:tc>
        <w:tc>
          <w:tcPr>
            <w:tcW w:w="1814" w:type="dxa"/>
            <w:vAlign w:val="center"/>
          </w:tcPr>
          <w:p w14:paraId="4A95887D"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z w:val="28"/>
                <w:szCs w:val="28"/>
              </w:rPr>
              <w:t>Examinateur</w:t>
            </w:r>
          </w:p>
        </w:tc>
      </w:tr>
      <w:tr w:rsidR="00B76E9C" w:rsidRPr="000A50A5" w14:paraId="2971AEDF" w14:textId="77777777" w:rsidTr="00B76E9C">
        <w:trPr>
          <w:trHeight w:val="373"/>
          <w:jc w:val="center"/>
        </w:trPr>
        <w:tc>
          <w:tcPr>
            <w:tcW w:w="3345" w:type="dxa"/>
            <w:vAlign w:val="center"/>
          </w:tcPr>
          <w:p w14:paraId="144B9329"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tl/>
              </w:rPr>
            </w:pPr>
            <w:r w:rsidRPr="000A50A5">
              <w:rPr>
                <w:rFonts w:ascii="Times New Roman" w:hAnsi="Times New Roman" w:cs="Times New Roman"/>
                <w:b/>
                <w:bCs/>
                <w:smallCaps/>
                <w:sz w:val="28"/>
                <w:szCs w:val="28"/>
              </w:rPr>
              <w:t>Rekiba</w:t>
            </w:r>
            <w:r w:rsidRPr="000A50A5">
              <w:rPr>
                <w:rFonts w:ascii="Times New Roman" w:hAnsi="Times New Roman" w:cs="Times New Roman"/>
                <w:b/>
                <w:bCs/>
                <w:sz w:val="28"/>
                <w:szCs w:val="28"/>
              </w:rPr>
              <w:t xml:space="preserve"> Salima</w:t>
            </w:r>
          </w:p>
        </w:tc>
        <w:tc>
          <w:tcPr>
            <w:tcW w:w="1587" w:type="dxa"/>
            <w:vAlign w:val="center"/>
          </w:tcPr>
          <w:p w14:paraId="32594A9C" w14:textId="77777777" w:rsidR="00B76E9C" w:rsidRPr="000A50A5" w:rsidRDefault="00B2252A" w:rsidP="00B76E9C">
            <w:pPr>
              <w:widowControl w:val="0"/>
              <w:tabs>
                <w:tab w:val="left" w:pos="8224"/>
              </w:tabs>
              <w:spacing w:line="240" w:lineRule="auto"/>
              <w:rPr>
                <w:rFonts w:ascii="Times New Roman" w:hAnsi="Times New Roman" w:cs="Times New Roman"/>
                <w:b/>
                <w:bCs/>
                <w:sz w:val="28"/>
                <w:szCs w:val="28"/>
              </w:rPr>
            </w:pPr>
            <w:r>
              <w:rPr>
                <w:rFonts w:ascii="Times New Roman" w:hAnsi="Times New Roman" w:cs="Times New Roman"/>
                <w:b/>
                <w:bCs/>
                <w:sz w:val="28"/>
                <w:szCs w:val="28"/>
              </w:rPr>
              <w:t>Professeur</w:t>
            </w:r>
            <w:r w:rsidR="00284A07">
              <w:rPr>
                <w:rFonts w:ascii="Times New Roman" w:hAnsi="Times New Roman" w:cs="Times New Roman"/>
                <w:b/>
                <w:bCs/>
                <w:sz w:val="28"/>
                <w:szCs w:val="28"/>
              </w:rPr>
              <w:t>e</w:t>
            </w:r>
          </w:p>
        </w:tc>
        <w:tc>
          <w:tcPr>
            <w:tcW w:w="3628" w:type="dxa"/>
            <w:vAlign w:val="center"/>
          </w:tcPr>
          <w:p w14:paraId="26901DC9" w14:textId="77777777" w:rsidR="00B76E9C" w:rsidRPr="000A50A5" w:rsidRDefault="00B76E9C" w:rsidP="00B76E9C">
            <w:pPr>
              <w:widowControl w:val="0"/>
              <w:tabs>
                <w:tab w:val="left" w:pos="8224"/>
              </w:tabs>
              <w:spacing w:line="240" w:lineRule="auto"/>
              <w:rPr>
                <w:rFonts w:ascii="Times New Roman" w:hAnsi="Times New Roman" w:cs="Times New Roman"/>
                <w:b/>
                <w:bCs/>
                <w:spacing w:val="-8"/>
                <w:sz w:val="28"/>
                <w:szCs w:val="28"/>
                <w:rtl/>
              </w:rPr>
            </w:pPr>
            <w:r w:rsidRPr="000A50A5">
              <w:rPr>
                <w:rFonts w:ascii="Times New Roman" w:hAnsi="Times New Roman" w:cs="Times New Roman"/>
                <w:b/>
                <w:bCs/>
                <w:sz w:val="28"/>
                <w:szCs w:val="28"/>
              </w:rPr>
              <w:t>Université d’Oran 2</w:t>
            </w:r>
          </w:p>
        </w:tc>
        <w:tc>
          <w:tcPr>
            <w:tcW w:w="1814" w:type="dxa"/>
            <w:vAlign w:val="center"/>
          </w:tcPr>
          <w:p w14:paraId="01D37D11"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tl/>
              </w:rPr>
            </w:pPr>
            <w:r w:rsidRPr="000A50A5">
              <w:rPr>
                <w:rFonts w:ascii="Times New Roman" w:hAnsi="Times New Roman" w:cs="Times New Roman"/>
                <w:b/>
                <w:bCs/>
                <w:sz w:val="28"/>
                <w:szCs w:val="28"/>
              </w:rPr>
              <w:t>Examinatrice</w:t>
            </w:r>
          </w:p>
        </w:tc>
      </w:tr>
      <w:tr w:rsidR="00B76E9C" w:rsidRPr="000A50A5" w14:paraId="299D9B18" w14:textId="77777777" w:rsidTr="00B76E9C">
        <w:trPr>
          <w:trHeight w:val="455"/>
          <w:jc w:val="center"/>
        </w:trPr>
        <w:tc>
          <w:tcPr>
            <w:tcW w:w="3345" w:type="dxa"/>
            <w:vAlign w:val="center"/>
          </w:tcPr>
          <w:p w14:paraId="094E759D"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tl/>
              </w:rPr>
            </w:pPr>
            <w:r w:rsidRPr="000A50A5">
              <w:rPr>
                <w:rFonts w:ascii="Times New Roman" w:hAnsi="Times New Roman" w:cs="Times New Roman"/>
                <w:b/>
                <w:bCs/>
                <w:smallCaps/>
                <w:sz w:val="28"/>
                <w:szCs w:val="28"/>
              </w:rPr>
              <w:t>Douah</w:t>
            </w:r>
            <w:r w:rsidRPr="000A50A5">
              <w:rPr>
                <w:rFonts w:ascii="Times New Roman" w:hAnsi="Times New Roman" w:cs="Times New Roman"/>
                <w:b/>
                <w:bCs/>
                <w:sz w:val="28"/>
                <w:szCs w:val="28"/>
              </w:rPr>
              <w:t xml:space="preserve"> Belkacem</w:t>
            </w:r>
          </w:p>
        </w:tc>
        <w:tc>
          <w:tcPr>
            <w:tcW w:w="1587" w:type="dxa"/>
            <w:vAlign w:val="center"/>
          </w:tcPr>
          <w:p w14:paraId="2202AEED" w14:textId="77777777" w:rsidR="00B76E9C" w:rsidRPr="000A50A5" w:rsidRDefault="00BE3320" w:rsidP="00B76E9C">
            <w:pPr>
              <w:widowControl w:val="0"/>
              <w:tabs>
                <w:tab w:val="left" w:pos="8224"/>
              </w:tabs>
              <w:spacing w:line="240" w:lineRule="auto"/>
              <w:rPr>
                <w:rFonts w:ascii="Times New Roman" w:hAnsi="Times New Roman" w:cs="Times New Roman"/>
                <w:b/>
                <w:bCs/>
                <w:sz w:val="28"/>
                <w:szCs w:val="28"/>
                <w:rtl/>
              </w:rPr>
            </w:pPr>
            <w:r>
              <w:rPr>
                <w:rFonts w:ascii="Times New Roman" w:hAnsi="Times New Roman" w:cs="Times New Roman"/>
                <w:b/>
                <w:bCs/>
                <w:sz w:val="28"/>
                <w:szCs w:val="28"/>
              </w:rPr>
              <w:t>Professeur</w:t>
            </w:r>
          </w:p>
        </w:tc>
        <w:tc>
          <w:tcPr>
            <w:tcW w:w="3628" w:type="dxa"/>
            <w:vAlign w:val="center"/>
          </w:tcPr>
          <w:p w14:paraId="5BFD77FD"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tl/>
              </w:rPr>
            </w:pPr>
            <w:r w:rsidRPr="000A50A5">
              <w:rPr>
                <w:rFonts w:ascii="Times New Roman" w:hAnsi="Times New Roman" w:cs="Times New Roman"/>
                <w:b/>
                <w:bCs/>
                <w:sz w:val="28"/>
                <w:szCs w:val="28"/>
              </w:rPr>
              <w:t>Université de Mostaganem</w:t>
            </w:r>
          </w:p>
        </w:tc>
        <w:tc>
          <w:tcPr>
            <w:tcW w:w="1814" w:type="dxa"/>
            <w:vAlign w:val="center"/>
          </w:tcPr>
          <w:p w14:paraId="25F1001A"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tl/>
              </w:rPr>
            </w:pPr>
            <w:r w:rsidRPr="000A50A5">
              <w:rPr>
                <w:rFonts w:ascii="Times New Roman" w:hAnsi="Times New Roman" w:cs="Times New Roman"/>
                <w:b/>
                <w:bCs/>
                <w:sz w:val="28"/>
                <w:szCs w:val="28"/>
              </w:rPr>
              <w:t>Examinateur</w:t>
            </w:r>
          </w:p>
        </w:tc>
      </w:tr>
      <w:tr w:rsidR="00B76E9C" w:rsidRPr="000A50A5" w14:paraId="308D6BC7" w14:textId="77777777" w:rsidTr="00B76E9C">
        <w:trPr>
          <w:trHeight w:val="455"/>
          <w:jc w:val="center"/>
        </w:trPr>
        <w:tc>
          <w:tcPr>
            <w:tcW w:w="3345" w:type="dxa"/>
            <w:vAlign w:val="center"/>
          </w:tcPr>
          <w:p w14:paraId="1E53C3A8"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Pr>
            </w:pPr>
            <w:r w:rsidRPr="000A50A5">
              <w:rPr>
                <w:rFonts w:ascii="Times New Roman" w:hAnsi="Times New Roman" w:cs="Times New Roman"/>
                <w:b/>
                <w:bCs/>
                <w:smallCaps/>
                <w:sz w:val="28"/>
                <w:szCs w:val="28"/>
              </w:rPr>
              <w:t>Behih</w:t>
            </w:r>
            <w:r w:rsidRPr="000A50A5">
              <w:rPr>
                <w:rFonts w:ascii="Times New Roman" w:hAnsi="Times New Roman" w:cs="Times New Roman"/>
                <w:b/>
                <w:bCs/>
                <w:sz w:val="28"/>
                <w:szCs w:val="28"/>
              </w:rPr>
              <w:t xml:space="preserve"> Abdelkader</w:t>
            </w:r>
          </w:p>
        </w:tc>
        <w:tc>
          <w:tcPr>
            <w:tcW w:w="1587" w:type="dxa"/>
            <w:vAlign w:val="center"/>
          </w:tcPr>
          <w:p w14:paraId="0E85D901" w14:textId="77777777" w:rsidR="00B76E9C" w:rsidRPr="000A50A5" w:rsidRDefault="00BE3320" w:rsidP="00B76E9C">
            <w:pPr>
              <w:widowControl w:val="0"/>
              <w:tabs>
                <w:tab w:val="left" w:pos="8224"/>
              </w:tabs>
              <w:spacing w:line="240" w:lineRule="auto"/>
              <w:rPr>
                <w:rFonts w:ascii="Times New Roman" w:hAnsi="Times New Roman" w:cs="Times New Roman"/>
                <w:b/>
                <w:bCs/>
                <w:sz w:val="28"/>
                <w:szCs w:val="28"/>
              </w:rPr>
            </w:pPr>
            <w:r>
              <w:rPr>
                <w:rFonts w:ascii="Times New Roman" w:hAnsi="Times New Roman" w:cs="Times New Roman"/>
                <w:b/>
                <w:bCs/>
                <w:sz w:val="28"/>
                <w:szCs w:val="28"/>
              </w:rPr>
              <w:t>Professeur</w:t>
            </w:r>
          </w:p>
        </w:tc>
        <w:tc>
          <w:tcPr>
            <w:tcW w:w="3628" w:type="dxa"/>
            <w:vAlign w:val="center"/>
          </w:tcPr>
          <w:p w14:paraId="3FE2AE17"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tl/>
              </w:rPr>
            </w:pPr>
            <w:r w:rsidRPr="000A50A5">
              <w:rPr>
                <w:rFonts w:ascii="Times New Roman" w:hAnsi="Times New Roman" w:cs="Times New Roman"/>
                <w:b/>
                <w:bCs/>
                <w:sz w:val="28"/>
                <w:szCs w:val="28"/>
              </w:rPr>
              <w:t>Université de Sidi Bel-Abbès</w:t>
            </w:r>
          </w:p>
        </w:tc>
        <w:tc>
          <w:tcPr>
            <w:tcW w:w="1814" w:type="dxa"/>
            <w:vAlign w:val="center"/>
          </w:tcPr>
          <w:p w14:paraId="763D8111" w14:textId="77777777" w:rsidR="00B76E9C" w:rsidRPr="000A50A5" w:rsidRDefault="00B76E9C" w:rsidP="00B76E9C">
            <w:pPr>
              <w:widowControl w:val="0"/>
              <w:tabs>
                <w:tab w:val="left" w:pos="8224"/>
              </w:tabs>
              <w:spacing w:line="240" w:lineRule="auto"/>
              <w:rPr>
                <w:rFonts w:ascii="Times New Roman" w:hAnsi="Times New Roman" w:cs="Times New Roman"/>
                <w:b/>
                <w:bCs/>
                <w:sz w:val="28"/>
                <w:szCs w:val="28"/>
                <w:rtl/>
              </w:rPr>
            </w:pPr>
            <w:r w:rsidRPr="000A50A5">
              <w:rPr>
                <w:rFonts w:ascii="Times New Roman" w:hAnsi="Times New Roman" w:cs="Times New Roman"/>
                <w:b/>
                <w:bCs/>
                <w:sz w:val="28"/>
                <w:szCs w:val="28"/>
              </w:rPr>
              <w:t>Examinateur</w:t>
            </w:r>
          </w:p>
        </w:tc>
      </w:tr>
    </w:tbl>
    <w:p w14:paraId="3C6C7BD9" w14:textId="77777777" w:rsidR="00B76E9C" w:rsidRPr="003C2381" w:rsidRDefault="00B76E9C" w:rsidP="00B76E9C">
      <w:pPr>
        <w:jc w:val="center"/>
        <w:rPr>
          <w:rFonts w:ascii="Times New Roman" w:hAnsi="Times New Roman" w:cs="Times New Roman"/>
          <w:sz w:val="36"/>
          <w:szCs w:val="24"/>
          <w:rtl/>
        </w:rPr>
      </w:pPr>
    </w:p>
    <w:p w14:paraId="28D80368" w14:textId="77777777" w:rsidR="00B76E9C" w:rsidRPr="00BC6507" w:rsidRDefault="00B76E9C" w:rsidP="00BC6507">
      <w:pPr>
        <w:jc w:val="center"/>
        <w:rPr>
          <w:rFonts w:asciiTheme="majorBidi" w:hAnsiTheme="majorBidi" w:cstheme="majorBidi"/>
          <w:b/>
          <w:bCs/>
          <w:sz w:val="32"/>
          <w:szCs w:val="32"/>
        </w:rPr>
      </w:pPr>
      <w:r w:rsidRPr="00BC6507">
        <w:rPr>
          <w:rFonts w:asciiTheme="majorBidi" w:hAnsiTheme="majorBidi" w:cstheme="majorBidi"/>
          <w:b/>
          <w:bCs/>
          <w:sz w:val="32"/>
          <w:szCs w:val="32"/>
        </w:rPr>
        <w:t>Année</w:t>
      </w:r>
      <w:r w:rsidR="00B2252A">
        <w:rPr>
          <w:rFonts w:asciiTheme="majorBidi" w:hAnsiTheme="majorBidi" w:cstheme="majorBidi"/>
          <w:b/>
          <w:bCs/>
          <w:sz w:val="32"/>
          <w:szCs w:val="32"/>
        </w:rPr>
        <w:t xml:space="preserve"> universitaire 2023-2024</w:t>
      </w:r>
    </w:p>
    <w:p w14:paraId="020782E1" w14:textId="77777777" w:rsidR="00B76E9C" w:rsidRDefault="00B76E9C">
      <w:pPr>
        <w:rPr>
          <w:smallCaps/>
          <w:spacing w:val="20"/>
          <w:sz w:val="48"/>
        </w:rPr>
        <w:sectPr w:rsidR="00B76E9C" w:rsidSect="00D61093">
          <w:footerReference w:type="default" r:id="rId9"/>
          <w:footnotePr>
            <w:numRestart w:val="eachPage"/>
          </w:footnotePr>
          <w:pgSz w:w="11906" w:h="16838"/>
          <w:pgMar w:top="1134" w:right="1134" w:bottom="1134" w:left="1134" w:header="709" w:footer="709" w:gutter="567"/>
          <w:pgNumType w:fmt="lowerRoman" w:start="1"/>
          <w:cols w:space="708"/>
          <w:docGrid w:linePitch="360"/>
        </w:sectPr>
      </w:pPr>
    </w:p>
    <w:p w14:paraId="753499E6" w14:textId="77777777" w:rsidR="007F4B68" w:rsidRPr="00BE013C" w:rsidRDefault="007F4B68" w:rsidP="00BC6507">
      <w:pPr>
        <w:pStyle w:val="Titre1"/>
        <w:jc w:val="center"/>
        <w:rPr>
          <w:smallCaps/>
          <w:spacing w:val="20"/>
          <w:sz w:val="48"/>
        </w:rPr>
      </w:pPr>
      <w:bookmarkStart w:id="16" w:name="_Toc182298571"/>
      <w:bookmarkStart w:id="17" w:name="_Toc182309367"/>
      <w:r w:rsidRPr="00BE013C">
        <w:rPr>
          <w:smallCaps/>
          <w:spacing w:val="20"/>
          <w:sz w:val="48"/>
        </w:rPr>
        <w:lastRenderedPageBreak/>
        <w:t>Dédicace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6"/>
      <w:bookmarkEnd w:id="17"/>
    </w:p>
    <w:p w14:paraId="7E00F42E" w14:textId="77777777" w:rsidR="008E229F" w:rsidRPr="002F405F" w:rsidRDefault="008E229F" w:rsidP="002A5D4A">
      <w:pPr>
        <w:tabs>
          <w:tab w:val="left" w:pos="0"/>
        </w:tabs>
        <w:bidi/>
        <w:spacing w:line="300" w:lineRule="auto"/>
        <w:jc w:val="center"/>
        <w:rPr>
          <w:rFonts w:ascii="Times New Roman" w:hAnsi="Times New Roman" w:cs="Times New Roman"/>
          <w:b/>
          <w:bCs/>
          <w:sz w:val="32"/>
          <w:szCs w:val="32"/>
          <w:rtl/>
        </w:rPr>
      </w:pPr>
      <w:r w:rsidRPr="002F405F">
        <w:rPr>
          <w:rFonts w:ascii="Times New Roman" w:hAnsi="Times New Roman" w:cs="Times New Roman" w:hint="cs"/>
          <w:b/>
          <w:bCs/>
          <w:sz w:val="32"/>
          <w:szCs w:val="32"/>
          <w:rtl/>
        </w:rPr>
        <w:t xml:space="preserve">"الحمد لله الّذي وفّقني </w:t>
      </w:r>
      <w:r w:rsidR="002A5D4A">
        <w:rPr>
          <w:rFonts w:ascii="Times New Roman" w:hAnsi="Times New Roman" w:cs="Times New Roman" w:hint="cs"/>
          <w:b/>
          <w:bCs/>
          <w:sz w:val="32"/>
          <w:szCs w:val="32"/>
          <w:rtl/>
        </w:rPr>
        <w:t>في</w:t>
      </w:r>
      <w:r w:rsidRPr="002F405F">
        <w:rPr>
          <w:rFonts w:ascii="Times New Roman" w:hAnsi="Times New Roman" w:cs="Times New Roman" w:hint="cs"/>
          <w:b/>
          <w:bCs/>
          <w:sz w:val="32"/>
          <w:szCs w:val="32"/>
          <w:rtl/>
        </w:rPr>
        <w:t xml:space="preserve"> إعداد رسالة الدكتوراه"</w:t>
      </w:r>
    </w:p>
    <w:p w14:paraId="05A48193" w14:textId="77777777" w:rsidR="008E229F" w:rsidRPr="002B005F" w:rsidRDefault="008E229F" w:rsidP="008E229F">
      <w:pPr>
        <w:tabs>
          <w:tab w:val="left" w:pos="0"/>
        </w:tabs>
        <w:spacing w:line="300" w:lineRule="auto"/>
        <w:jc w:val="center"/>
        <w:rPr>
          <w:rFonts w:ascii="Times New Roman" w:hAnsi="Times New Roman" w:cs="Times New Roman"/>
          <w:b/>
          <w:bCs/>
          <w:sz w:val="24"/>
          <w:szCs w:val="24"/>
        </w:rPr>
      </w:pPr>
      <w:r>
        <w:rPr>
          <w:rFonts w:ascii="Times New Roman" w:hAnsi="Times New Roman" w:cs="Times New Roman"/>
          <w:b/>
          <w:bCs/>
          <w:sz w:val="24"/>
          <w:szCs w:val="24"/>
        </w:rPr>
        <w:t>"Louange à Allah qui m’a aidé dans l’élaboration de cette thèse de Doctorat</w:t>
      </w:r>
      <w:r w:rsidRPr="002B005F">
        <w:rPr>
          <w:rFonts w:ascii="Times New Roman" w:hAnsi="Times New Roman" w:cs="Times New Roman"/>
          <w:b/>
          <w:bCs/>
          <w:sz w:val="24"/>
          <w:szCs w:val="24"/>
        </w:rPr>
        <w:t>"</w:t>
      </w:r>
    </w:p>
    <w:p w14:paraId="130B976E" w14:textId="77777777" w:rsidR="002760B2" w:rsidRPr="002B005F" w:rsidRDefault="002760B2" w:rsidP="002A5D4A">
      <w:pPr>
        <w:tabs>
          <w:tab w:val="left" w:pos="0"/>
        </w:tabs>
        <w:spacing w:before="360" w:after="120"/>
        <w:jc w:val="center"/>
        <w:rPr>
          <w:rFonts w:ascii="Times New Roman" w:hAnsi="Times New Roman" w:cs="Times New Roman"/>
          <w:b/>
          <w:bCs/>
          <w:color w:val="000000"/>
          <w:sz w:val="24"/>
          <w:szCs w:val="24"/>
          <w:shd w:val="clear" w:color="auto" w:fill="FFFFFF"/>
        </w:rPr>
      </w:pPr>
      <w:r w:rsidRPr="002B005F">
        <w:rPr>
          <w:rFonts w:ascii="Times New Roman" w:hAnsi="Times New Roman" w:cs="Times New Roman"/>
          <w:b/>
          <w:bCs/>
          <w:color w:val="000000"/>
          <w:sz w:val="24"/>
          <w:szCs w:val="24"/>
          <w:shd w:val="clear" w:color="auto" w:fill="FFFFFF"/>
        </w:rPr>
        <w:t>A ma très chère mère</w:t>
      </w:r>
    </w:p>
    <w:p w14:paraId="3EBD2530" w14:textId="77777777" w:rsidR="002760B2" w:rsidRPr="008435D5" w:rsidRDefault="002760B2" w:rsidP="00866546">
      <w:pPr>
        <w:tabs>
          <w:tab w:val="left" w:pos="0"/>
        </w:tabs>
        <w:rPr>
          <w:rFonts w:ascii="Times New Roman" w:hAnsi="Times New Roman" w:cs="Times New Roman"/>
          <w:b/>
          <w:bCs/>
          <w:color w:val="000000"/>
          <w:spacing w:val="-4"/>
          <w:sz w:val="24"/>
          <w:szCs w:val="24"/>
          <w:shd w:val="clear" w:color="auto" w:fill="FFFFFF"/>
        </w:rPr>
      </w:pPr>
      <w:r w:rsidRPr="008435D5">
        <w:rPr>
          <w:rFonts w:ascii="Times New Roman" w:hAnsi="Times New Roman" w:cs="Times New Roman"/>
          <w:spacing w:val="-4"/>
          <w:sz w:val="24"/>
          <w:szCs w:val="24"/>
        </w:rPr>
        <w:t>Source inépuisable de tendresse, de patience et</w:t>
      </w:r>
      <w:r w:rsidR="00866546" w:rsidRPr="008435D5">
        <w:rPr>
          <w:rFonts w:ascii="Times New Roman" w:hAnsi="Times New Roman" w:cs="Times New Roman"/>
          <w:spacing w:val="-4"/>
          <w:sz w:val="24"/>
          <w:szCs w:val="24"/>
        </w:rPr>
        <w:t xml:space="preserve"> de sacrifice. Ta prière et ta b</w:t>
      </w:r>
      <w:r w:rsidRPr="008435D5">
        <w:rPr>
          <w:rFonts w:ascii="Times New Roman" w:hAnsi="Times New Roman" w:cs="Times New Roman"/>
          <w:spacing w:val="-4"/>
          <w:sz w:val="24"/>
          <w:szCs w:val="24"/>
        </w:rPr>
        <w:t xml:space="preserve">énédiction m'ont été d'un grand secours tout au long de ma vie. </w:t>
      </w:r>
      <w:r w:rsidRPr="008435D5">
        <w:rPr>
          <w:rFonts w:ascii="Times New Roman" w:hAnsi="Times New Roman" w:cs="Times New Roman"/>
          <w:spacing w:val="-4"/>
          <w:sz w:val="24"/>
          <w:szCs w:val="24"/>
          <w:shd w:val="clear" w:color="auto" w:fill="FFFFFF"/>
        </w:rPr>
        <w:t xml:space="preserve">Tu n’as cessé de me soutenir et de m’encourager durant </w:t>
      </w:r>
      <w:r w:rsidR="00866546" w:rsidRPr="008435D5">
        <w:rPr>
          <w:rFonts w:ascii="Times New Roman" w:hAnsi="Times New Roman" w:cs="Times New Roman"/>
          <w:spacing w:val="-4"/>
          <w:sz w:val="24"/>
          <w:szCs w:val="24"/>
          <w:shd w:val="clear" w:color="auto" w:fill="FFFFFF"/>
        </w:rPr>
        <w:t>toutes les années de mes études.</w:t>
      </w:r>
      <w:r w:rsidRPr="008435D5">
        <w:rPr>
          <w:rFonts w:ascii="Times New Roman" w:hAnsi="Times New Roman" w:cs="Times New Roman"/>
          <w:spacing w:val="-4"/>
          <w:sz w:val="24"/>
          <w:szCs w:val="24"/>
          <w:shd w:val="clear" w:color="auto" w:fill="FFFFFF"/>
        </w:rPr>
        <w:t xml:space="preserve"> </w:t>
      </w:r>
      <w:r w:rsidR="00866546" w:rsidRPr="008435D5">
        <w:rPr>
          <w:rFonts w:ascii="Times New Roman" w:hAnsi="Times New Roman" w:cs="Times New Roman"/>
          <w:spacing w:val="-4"/>
          <w:sz w:val="24"/>
          <w:szCs w:val="24"/>
          <w:shd w:val="clear" w:color="auto" w:fill="FFFFFF"/>
        </w:rPr>
        <w:t>Tu</w:t>
      </w:r>
      <w:r w:rsidRPr="008435D5">
        <w:rPr>
          <w:rFonts w:ascii="Times New Roman" w:hAnsi="Times New Roman" w:cs="Times New Roman"/>
          <w:spacing w:val="-4"/>
          <w:sz w:val="24"/>
          <w:szCs w:val="24"/>
          <w:shd w:val="clear" w:color="auto" w:fill="FFFFFF"/>
        </w:rPr>
        <w:t xml:space="preserve"> as toujours été présen</w:t>
      </w:r>
      <w:r w:rsidR="00866546" w:rsidRPr="008435D5">
        <w:rPr>
          <w:rFonts w:ascii="Times New Roman" w:hAnsi="Times New Roman" w:cs="Times New Roman"/>
          <w:spacing w:val="-4"/>
          <w:sz w:val="24"/>
          <w:szCs w:val="24"/>
          <w:shd w:val="clear" w:color="auto" w:fill="FFFFFF"/>
        </w:rPr>
        <w:t>te à mes cô</w:t>
      </w:r>
      <w:r w:rsidRPr="008435D5">
        <w:rPr>
          <w:rFonts w:ascii="Times New Roman" w:hAnsi="Times New Roman" w:cs="Times New Roman"/>
          <w:spacing w:val="-4"/>
          <w:sz w:val="24"/>
          <w:szCs w:val="24"/>
          <w:shd w:val="clear" w:color="auto" w:fill="FFFFFF"/>
        </w:rPr>
        <w:t xml:space="preserve">tés pour me consoler quand il </w:t>
      </w:r>
      <w:r w:rsidR="00EF43E9" w:rsidRPr="008435D5">
        <w:rPr>
          <w:rFonts w:ascii="Times New Roman" w:hAnsi="Times New Roman" w:cs="Times New Roman"/>
          <w:spacing w:val="-4"/>
          <w:sz w:val="24"/>
          <w:szCs w:val="24"/>
          <w:shd w:val="clear" w:color="auto" w:fill="FFFFFF"/>
        </w:rPr>
        <w:t>fallait</w:t>
      </w:r>
      <w:r w:rsidR="00EF43E9" w:rsidRPr="008435D5">
        <w:rPr>
          <w:rFonts w:ascii="Times New Roman" w:hAnsi="Times New Roman" w:cs="Times New Roman"/>
          <w:spacing w:val="-4"/>
          <w:sz w:val="24"/>
          <w:szCs w:val="24"/>
        </w:rPr>
        <w:t>. Quoique</w:t>
      </w:r>
      <w:r w:rsidRPr="008435D5">
        <w:rPr>
          <w:rFonts w:ascii="Times New Roman" w:hAnsi="Times New Roman" w:cs="Times New Roman"/>
          <w:spacing w:val="-4"/>
          <w:sz w:val="24"/>
          <w:szCs w:val="24"/>
        </w:rPr>
        <w:t xml:space="preserve"> je puisse dire et écrire, je ne pourrais exprimer ma grande affection et ma profonde reconnaissance. </w:t>
      </w:r>
      <w:r w:rsidR="00BE3320" w:rsidRPr="008435D5">
        <w:rPr>
          <w:rFonts w:ascii="Times New Roman" w:hAnsi="Times New Roman" w:cs="Times New Roman"/>
          <w:spacing w:val="-4"/>
          <w:sz w:val="24"/>
          <w:szCs w:val="24"/>
        </w:rPr>
        <w:t>Je n’espère ne jamais</w:t>
      </w:r>
      <w:r w:rsidRPr="008435D5">
        <w:rPr>
          <w:rFonts w:ascii="Times New Roman" w:hAnsi="Times New Roman" w:cs="Times New Roman"/>
          <w:spacing w:val="-4"/>
          <w:sz w:val="24"/>
          <w:szCs w:val="24"/>
        </w:rPr>
        <w:t xml:space="preserve"> te décevoir, ni trahir ta confianc</w:t>
      </w:r>
      <w:r w:rsidR="00866546" w:rsidRPr="008435D5">
        <w:rPr>
          <w:rFonts w:ascii="Times New Roman" w:hAnsi="Times New Roman" w:cs="Times New Roman"/>
          <w:spacing w:val="-4"/>
          <w:sz w:val="24"/>
          <w:szCs w:val="24"/>
        </w:rPr>
        <w:t>e et tes sacrifices. Puisse Allah Le Tout-Puissant</w:t>
      </w:r>
      <w:r w:rsidRPr="008435D5">
        <w:rPr>
          <w:rFonts w:ascii="Times New Roman" w:hAnsi="Times New Roman" w:cs="Times New Roman"/>
          <w:spacing w:val="-4"/>
          <w:sz w:val="24"/>
          <w:szCs w:val="24"/>
        </w:rPr>
        <w:t xml:space="preserve"> te</w:t>
      </w:r>
      <w:r w:rsidR="00866546" w:rsidRPr="008435D5">
        <w:rPr>
          <w:rFonts w:ascii="Times New Roman" w:hAnsi="Times New Roman" w:cs="Times New Roman"/>
          <w:spacing w:val="-4"/>
          <w:sz w:val="24"/>
          <w:szCs w:val="24"/>
        </w:rPr>
        <w:t xml:space="preserve"> préserver et t'accorder santé,</w:t>
      </w:r>
      <w:r w:rsidR="00DE7244" w:rsidRPr="008435D5">
        <w:rPr>
          <w:rFonts w:ascii="Times New Roman" w:hAnsi="Times New Roman" w:cs="Times New Roman"/>
          <w:spacing w:val="-4"/>
          <w:sz w:val="24"/>
          <w:szCs w:val="24"/>
        </w:rPr>
        <w:t xml:space="preserve"> b</w:t>
      </w:r>
      <w:r w:rsidRPr="008435D5">
        <w:rPr>
          <w:rFonts w:ascii="Times New Roman" w:hAnsi="Times New Roman" w:cs="Times New Roman"/>
          <w:spacing w:val="-4"/>
          <w:sz w:val="24"/>
          <w:szCs w:val="24"/>
        </w:rPr>
        <w:t>onheur</w:t>
      </w:r>
      <w:r w:rsidR="00866546" w:rsidRPr="008435D5">
        <w:rPr>
          <w:rFonts w:ascii="Times New Roman" w:hAnsi="Times New Roman" w:cs="Times New Roman"/>
          <w:spacing w:val="-4"/>
          <w:sz w:val="24"/>
          <w:szCs w:val="24"/>
        </w:rPr>
        <w:t xml:space="preserve"> et longue vie</w:t>
      </w:r>
      <w:r w:rsidRPr="008435D5">
        <w:rPr>
          <w:rFonts w:ascii="Times New Roman" w:hAnsi="Times New Roman" w:cs="Times New Roman"/>
          <w:spacing w:val="-4"/>
          <w:sz w:val="24"/>
          <w:szCs w:val="24"/>
        </w:rPr>
        <w:t>.</w:t>
      </w:r>
    </w:p>
    <w:p w14:paraId="79486E30" w14:textId="77777777" w:rsidR="002760B2" w:rsidRPr="002B005F" w:rsidRDefault="002760B2" w:rsidP="002A5D4A">
      <w:pPr>
        <w:tabs>
          <w:tab w:val="left" w:pos="0"/>
        </w:tabs>
        <w:spacing w:before="120" w:after="120"/>
        <w:jc w:val="center"/>
        <w:rPr>
          <w:rFonts w:ascii="Times New Roman" w:hAnsi="Times New Roman" w:cs="Times New Roman"/>
          <w:color w:val="000000"/>
          <w:sz w:val="24"/>
          <w:szCs w:val="24"/>
        </w:rPr>
      </w:pPr>
      <w:r w:rsidRPr="002B005F">
        <w:rPr>
          <w:rFonts w:ascii="Times New Roman" w:hAnsi="Times New Roman" w:cs="Times New Roman"/>
          <w:b/>
          <w:bCs/>
          <w:color w:val="000000"/>
          <w:sz w:val="24"/>
          <w:szCs w:val="24"/>
          <w:shd w:val="clear" w:color="auto" w:fill="FFFFFF"/>
        </w:rPr>
        <w:t>A mon très cher père</w:t>
      </w:r>
    </w:p>
    <w:p w14:paraId="6AB819C7" w14:textId="77777777" w:rsidR="002760B2" w:rsidRPr="008435D5" w:rsidRDefault="002760B2" w:rsidP="00866546">
      <w:pPr>
        <w:tabs>
          <w:tab w:val="left" w:pos="0"/>
        </w:tabs>
        <w:rPr>
          <w:rFonts w:ascii="Times New Roman" w:hAnsi="Times New Roman" w:cs="Times New Roman"/>
          <w:color w:val="000000"/>
          <w:spacing w:val="-4"/>
          <w:sz w:val="24"/>
          <w:szCs w:val="24"/>
          <w:shd w:val="clear" w:color="auto" w:fill="FFFFFF"/>
        </w:rPr>
      </w:pPr>
      <w:r w:rsidRPr="008435D5">
        <w:rPr>
          <w:rFonts w:ascii="Times New Roman" w:hAnsi="Times New Roman" w:cs="Times New Roman"/>
          <w:spacing w:val="-4"/>
          <w:sz w:val="24"/>
          <w:szCs w:val="24"/>
        </w:rPr>
        <w:t xml:space="preserve">Tu as été et tu seras toujours un exemple pour moi par tes qualités humaines, ta persévérance et </w:t>
      </w:r>
      <w:r w:rsidR="00866546" w:rsidRPr="008435D5">
        <w:rPr>
          <w:rFonts w:ascii="Times New Roman" w:hAnsi="Times New Roman" w:cs="Times New Roman"/>
          <w:spacing w:val="-4"/>
          <w:sz w:val="24"/>
          <w:szCs w:val="24"/>
        </w:rPr>
        <w:t xml:space="preserve">ton </w:t>
      </w:r>
      <w:r w:rsidRPr="008435D5">
        <w:rPr>
          <w:rFonts w:ascii="Times New Roman" w:hAnsi="Times New Roman" w:cs="Times New Roman"/>
          <w:spacing w:val="-4"/>
          <w:sz w:val="24"/>
          <w:szCs w:val="24"/>
        </w:rPr>
        <w:t>perfectionnisme.</w:t>
      </w:r>
      <w:r w:rsidRPr="008435D5">
        <w:rPr>
          <w:rFonts w:ascii="Times New Roman" w:hAnsi="Times New Roman" w:cs="Times New Roman"/>
          <w:color w:val="000000"/>
          <w:spacing w:val="-4"/>
          <w:sz w:val="24"/>
          <w:szCs w:val="24"/>
        </w:rPr>
        <w:t xml:space="preserve"> </w:t>
      </w:r>
      <w:r w:rsidRPr="008435D5">
        <w:rPr>
          <w:rFonts w:ascii="Times New Roman" w:hAnsi="Times New Roman" w:cs="Times New Roman"/>
          <w:color w:val="000000"/>
          <w:spacing w:val="-4"/>
          <w:sz w:val="24"/>
          <w:szCs w:val="24"/>
          <w:shd w:val="clear" w:color="auto" w:fill="FFFFFF"/>
        </w:rPr>
        <w:t>Grâce à toi papa</w:t>
      </w:r>
      <w:r w:rsidR="003F42D1" w:rsidRPr="008435D5">
        <w:rPr>
          <w:rFonts w:ascii="Times New Roman" w:hAnsi="Times New Roman" w:cs="Times New Roman"/>
          <w:color w:val="000000"/>
          <w:spacing w:val="-4"/>
          <w:sz w:val="24"/>
          <w:szCs w:val="24"/>
          <w:shd w:val="clear" w:color="auto" w:fill="FFFFFF"/>
        </w:rPr>
        <w:t xml:space="preserve">, </w:t>
      </w:r>
      <w:r w:rsidRPr="008435D5">
        <w:rPr>
          <w:rFonts w:ascii="Times New Roman" w:hAnsi="Times New Roman" w:cs="Times New Roman"/>
          <w:color w:val="000000"/>
          <w:spacing w:val="-4"/>
          <w:sz w:val="24"/>
          <w:szCs w:val="24"/>
          <w:shd w:val="clear" w:color="auto" w:fill="FFFFFF"/>
        </w:rPr>
        <w:t>j’ai appris le sens du trav</w:t>
      </w:r>
      <w:r w:rsidR="00F228B6" w:rsidRPr="008435D5">
        <w:rPr>
          <w:rFonts w:ascii="Times New Roman" w:hAnsi="Times New Roman" w:cs="Times New Roman"/>
          <w:color w:val="000000"/>
          <w:spacing w:val="-4"/>
          <w:sz w:val="24"/>
          <w:szCs w:val="24"/>
          <w:shd w:val="clear" w:color="auto" w:fill="FFFFFF"/>
        </w:rPr>
        <w:t xml:space="preserve">ail et de la responsabilité. Je </w:t>
      </w:r>
      <w:r w:rsidRPr="008435D5">
        <w:rPr>
          <w:rFonts w:ascii="Times New Roman" w:hAnsi="Times New Roman" w:cs="Times New Roman"/>
          <w:color w:val="000000"/>
          <w:spacing w:val="-4"/>
          <w:sz w:val="24"/>
          <w:szCs w:val="24"/>
          <w:shd w:val="clear" w:color="auto" w:fill="FFFFFF"/>
        </w:rPr>
        <w:t>voudrais te remercier pour ton amour, t</w:t>
      </w:r>
      <w:r w:rsidR="008E229F" w:rsidRPr="008435D5">
        <w:rPr>
          <w:rFonts w:ascii="Times New Roman" w:hAnsi="Times New Roman" w:cs="Times New Roman"/>
          <w:color w:val="000000"/>
          <w:spacing w:val="-4"/>
          <w:sz w:val="24"/>
          <w:szCs w:val="24"/>
          <w:shd w:val="clear" w:color="auto" w:fill="FFFFFF"/>
        </w:rPr>
        <w:t>a générosité et pour tout</w:t>
      </w:r>
      <w:r w:rsidR="00F228B6" w:rsidRPr="008435D5">
        <w:rPr>
          <w:rFonts w:ascii="Times New Roman" w:hAnsi="Times New Roman" w:cs="Times New Roman"/>
          <w:color w:val="000000"/>
          <w:spacing w:val="-4"/>
          <w:sz w:val="24"/>
          <w:szCs w:val="24"/>
          <w:shd w:val="clear" w:color="auto" w:fill="FFFFFF"/>
        </w:rPr>
        <w:t>..</w:t>
      </w:r>
      <w:r w:rsidRPr="008435D5">
        <w:rPr>
          <w:rFonts w:ascii="Times New Roman" w:hAnsi="Times New Roman" w:cs="Times New Roman"/>
          <w:color w:val="000000"/>
          <w:spacing w:val="-4"/>
          <w:sz w:val="24"/>
          <w:szCs w:val="24"/>
          <w:shd w:val="clear" w:color="auto" w:fill="FFFFFF"/>
        </w:rPr>
        <w:t>.</w:t>
      </w:r>
      <w:r w:rsidR="00DE7244" w:rsidRPr="008435D5">
        <w:rPr>
          <w:rFonts w:ascii="Times New Roman" w:hAnsi="Times New Roman" w:cs="Times New Roman"/>
          <w:color w:val="000000"/>
          <w:spacing w:val="-4"/>
          <w:sz w:val="24"/>
          <w:szCs w:val="24"/>
          <w:shd w:val="clear" w:color="auto" w:fill="FFFFFF"/>
        </w:rPr>
        <w:t xml:space="preserve"> </w:t>
      </w:r>
      <w:r w:rsidRPr="008435D5">
        <w:rPr>
          <w:rFonts w:ascii="Times New Roman" w:hAnsi="Times New Roman" w:cs="Times New Roman"/>
          <w:color w:val="000000"/>
          <w:spacing w:val="-4"/>
          <w:sz w:val="24"/>
          <w:szCs w:val="24"/>
          <w:shd w:val="clear" w:color="auto" w:fill="FFFFFF"/>
        </w:rPr>
        <w:t>Ton soutien fut une lumière dans tout mon parcours. Aucune dédicace ne saurait exprimer l’amour</w:t>
      </w:r>
      <w:r w:rsidR="005E2421" w:rsidRPr="008435D5">
        <w:rPr>
          <w:rFonts w:ascii="Times New Roman" w:hAnsi="Times New Roman" w:cs="Times New Roman"/>
          <w:color w:val="000000"/>
          <w:spacing w:val="-4"/>
          <w:sz w:val="24"/>
          <w:szCs w:val="24"/>
          <w:shd w:val="clear" w:color="auto" w:fill="FFFFFF"/>
        </w:rPr>
        <w:t>,</w:t>
      </w:r>
      <w:r w:rsidRPr="008435D5">
        <w:rPr>
          <w:rFonts w:ascii="Times New Roman" w:hAnsi="Times New Roman" w:cs="Times New Roman"/>
          <w:color w:val="000000"/>
          <w:spacing w:val="-4"/>
          <w:sz w:val="24"/>
          <w:szCs w:val="24"/>
          <w:shd w:val="clear" w:color="auto" w:fill="FFFFFF"/>
        </w:rPr>
        <w:t xml:space="preserve"> l’estime</w:t>
      </w:r>
      <w:r w:rsidR="005E2421" w:rsidRPr="008435D5">
        <w:rPr>
          <w:rFonts w:ascii="Times New Roman" w:hAnsi="Times New Roman" w:cs="Times New Roman"/>
          <w:color w:val="000000"/>
          <w:spacing w:val="-4"/>
          <w:sz w:val="24"/>
          <w:szCs w:val="24"/>
          <w:shd w:val="clear" w:color="auto" w:fill="FFFFFF"/>
        </w:rPr>
        <w:t xml:space="preserve"> et</w:t>
      </w:r>
      <w:r w:rsidR="00866546" w:rsidRPr="008435D5">
        <w:rPr>
          <w:rFonts w:ascii="Times New Roman" w:hAnsi="Times New Roman" w:cs="Times New Roman"/>
          <w:color w:val="000000"/>
          <w:spacing w:val="-4"/>
          <w:sz w:val="24"/>
          <w:szCs w:val="24"/>
          <w:shd w:val="clear" w:color="auto" w:fill="FFFFFF"/>
        </w:rPr>
        <w:t xml:space="preserve"> le respect que j’ai toujours</w:t>
      </w:r>
      <w:r w:rsidR="005E2421" w:rsidRPr="008435D5">
        <w:rPr>
          <w:rFonts w:ascii="Times New Roman" w:hAnsi="Times New Roman" w:cs="Times New Roman"/>
          <w:color w:val="000000"/>
          <w:spacing w:val="-4"/>
          <w:sz w:val="24"/>
          <w:szCs w:val="24"/>
          <w:shd w:val="clear" w:color="auto" w:fill="FFFFFF"/>
        </w:rPr>
        <w:t xml:space="preserve"> pou toi.</w:t>
      </w:r>
      <w:r w:rsidR="00866546" w:rsidRPr="008435D5">
        <w:rPr>
          <w:rFonts w:ascii="Times New Roman" w:hAnsi="Times New Roman" w:cs="Times New Roman"/>
          <w:color w:val="000000"/>
          <w:spacing w:val="-4"/>
          <w:sz w:val="24"/>
          <w:szCs w:val="24"/>
          <w:shd w:val="clear" w:color="auto" w:fill="FFFFFF"/>
        </w:rPr>
        <w:t xml:space="preserve"> </w:t>
      </w:r>
      <w:r w:rsidRPr="008435D5">
        <w:rPr>
          <w:rFonts w:ascii="Times New Roman" w:hAnsi="Times New Roman" w:cs="Times New Roman"/>
          <w:color w:val="000000"/>
          <w:spacing w:val="-4"/>
          <w:sz w:val="24"/>
          <w:szCs w:val="24"/>
          <w:shd w:val="clear" w:color="auto" w:fill="FFFFFF"/>
        </w:rPr>
        <w:t>Ce modeste travail est le fruit de tous les sacrifices que tu as déployés pour mon éducation et ma</w:t>
      </w:r>
      <w:r w:rsidR="003F42D1" w:rsidRPr="008435D5">
        <w:rPr>
          <w:rFonts w:ascii="Times New Roman" w:hAnsi="Times New Roman" w:cs="Times New Roman"/>
          <w:color w:val="000000"/>
          <w:spacing w:val="-4"/>
          <w:sz w:val="24"/>
          <w:szCs w:val="24"/>
          <w:shd w:val="clear" w:color="auto" w:fill="FFFFFF"/>
        </w:rPr>
        <w:t xml:space="preserve"> formation. Je t’aime papa et </w:t>
      </w:r>
      <w:r w:rsidRPr="008435D5">
        <w:rPr>
          <w:rFonts w:ascii="Times New Roman" w:hAnsi="Times New Roman" w:cs="Times New Roman"/>
          <w:color w:val="000000"/>
          <w:spacing w:val="-4"/>
          <w:sz w:val="24"/>
          <w:szCs w:val="24"/>
          <w:shd w:val="clear" w:color="auto" w:fill="FFFFFF"/>
        </w:rPr>
        <w:t xml:space="preserve">implore </w:t>
      </w:r>
      <w:r w:rsidR="00686615" w:rsidRPr="008435D5">
        <w:rPr>
          <w:rFonts w:ascii="Times New Roman" w:hAnsi="Times New Roman" w:cs="Times New Roman"/>
          <w:color w:val="000000"/>
          <w:spacing w:val="-4"/>
          <w:sz w:val="24"/>
          <w:szCs w:val="24"/>
          <w:shd w:val="clear" w:color="auto" w:fill="FFFFFF"/>
        </w:rPr>
        <w:t>Allah</w:t>
      </w:r>
      <w:r w:rsidRPr="008435D5">
        <w:rPr>
          <w:rFonts w:ascii="Times New Roman" w:hAnsi="Times New Roman" w:cs="Times New Roman"/>
          <w:color w:val="000000"/>
          <w:spacing w:val="-4"/>
          <w:sz w:val="24"/>
          <w:szCs w:val="24"/>
          <w:shd w:val="clear" w:color="auto" w:fill="FFFFFF"/>
        </w:rPr>
        <w:t xml:space="preserve"> pour qu'il t’accorde une bonne santé et une longue et heureuse</w:t>
      </w:r>
      <w:r w:rsidR="00866546" w:rsidRPr="008435D5">
        <w:rPr>
          <w:rFonts w:ascii="Times New Roman" w:hAnsi="Times New Roman" w:cs="Times New Roman"/>
          <w:color w:val="000000"/>
          <w:spacing w:val="-4"/>
          <w:sz w:val="24"/>
          <w:szCs w:val="24"/>
          <w:shd w:val="clear" w:color="auto" w:fill="FFFFFF"/>
        </w:rPr>
        <w:t xml:space="preserve"> vie</w:t>
      </w:r>
      <w:r w:rsidRPr="008435D5">
        <w:rPr>
          <w:rFonts w:ascii="Times New Roman" w:hAnsi="Times New Roman" w:cs="Times New Roman"/>
          <w:color w:val="000000"/>
          <w:spacing w:val="-4"/>
          <w:sz w:val="24"/>
          <w:szCs w:val="24"/>
          <w:shd w:val="clear" w:color="auto" w:fill="FFFFFF"/>
        </w:rPr>
        <w:t>.</w:t>
      </w:r>
    </w:p>
    <w:p w14:paraId="33C1C854" w14:textId="77777777" w:rsidR="002760B2" w:rsidRPr="002B005F" w:rsidRDefault="002760B2" w:rsidP="002A5D4A">
      <w:pPr>
        <w:tabs>
          <w:tab w:val="left" w:pos="0"/>
        </w:tabs>
        <w:spacing w:before="120" w:after="120"/>
        <w:jc w:val="center"/>
        <w:rPr>
          <w:rFonts w:ascii="Times New Roman" w:hAnsi="Times New Roman" w:cs="Times New Roman"/>
          <w:b/>
          <w:bCs/>
          <w:iCs/>
          <w:sz w:val="24"/>
          <w:szCs w:val="24"/>
        </w:rPr>
      </w:pPr>
      <w:r w:rsidRPr="002B005F">
        <w:rPr>
          <w:rFonts w:ascii="Times New Roman" w:hAnsi="Times New Roman" w:cs="Times New Roman"/>
          <w:b/>
          <w:bCs/>
          <w:iCs/>
          <w:sz w:val="24"/>
          <w:szCs w:val="24"/>
        </w:rPr>
        <w:t>A mes chers frères et sœurs</w:t>
      </w:r>
    </w:p>
    <w:p w14:paraId="2C2EFA9C" w14:textId="77777777" w:rsidR="002760B2" w:rsidRDefault="002760B2" w:rsidP="00866546">
      <w:pPr>
        <w:tabs>
          <w:tab w:val="left" w:pos="0"/>
        </w:tabs>
        <w:rPr>
          <w:rFonts w:ascii="Times New Roman" w:hAnsi="Times New Roman" w:cs="Times New Roman"/>
          <w:sz w:val="24"/>
          <w:szCs w:val="24"/>
        </w:rPr>
      </w:pPr>
      <w:r w:rsidRPr="002B005F">
        <w:rPr>
          <w:rFonts w:ascii="Times New Roman" w:hAnsi="Times New Roman" w:cs="Times New Roman"/>
          <w:sz w:val="24"/>
          <w:szCs w:val="24"/>
        </w:rPr>
        <w:t>En témoignage de mon affection fraternelle, de ma profonde tendresse et reconnaissance, je vous souhaite une vie pleine</w:t>
      </w:r>
      <w:r w:rsidR="00866546">
        <w:rPr>
          <w:rFonts w:ascii="Times New Roman" w:hAnsi="Times New Roman" w:cs="Times New Roman"/>
          <w:sz w:val="24"/>
          <w:szCs w:val="24"/>
        </w:rPr>
        <w:t xml:space="preserve"> de bonheur et de succès et qu’Allah</w:t>
      </w:r>
      <w:r w:rsidR="00866546" w:rsidRPr="002B005F">
        <w:rPr>
          <w:rFonts w:ascii="Times New Roman" w:hAnsi="Times New Roman" w:cs="Times New Roman"/>
          <w:sz w:val="24"/>
          <w:szCs w:val="24"/>
        </w:rPr>
        <w:t xml:space="preserve"> </w:t>
      </w:r>
      <w:r w:rsidRPr="002B005F">
        <w:rPr>
          <w:rFonts w:ascii="Times New Roman" w:hAnsi="Times New Roman" w:cs="Times New Roman"/>
          <w:sz w:val="24"/>
          <w:szCs w:val="24"/>
        </w:rPr>
        <w:t>vous protège et vous garde.</w:t>
      </w:r>
    </w:p>
    <w:p w14:paraId="21510013" w14:textId="77777777" w:rsidR="002A5D4A" w:rsidRDefault="002A5D4A" w:rsidP="002A5D4A">
      <w:pPr>
        <w:tabs>
          <w:tab w:val="left" w:pos="0"/>
        </w:tabs>
        <w:spacing w:before="120" w:after="120"/>
        <w:jc w:val="center"/>
        <w:rPr>
          <w:rFonts w:ascii="Times New Roman" w:hAnsi="Times New Roman" w:cs="Times New Roman"/>
          <w:b/>
          <w:bCs/>
          <w:color w:val="000000"/>
          <w:sz w:val="24"/>
          <w:szCs w:val="24"/>
          <w:shd w:val="clear" w:color="auto" w:fill="FFFFFF"/>
        </w:rPr>
      </w:pPr>
      <w:r w:rsidRPr="002B005F">
        <w:rPr>
          <w:rFonts w:ascii="Times New Roman" w:hAnsi="Times New Roman" w:cs="Times New Roman"/>
          <w:b/>
          <w:bCs/>
          <w:color w:val="000000"/>
          <w:sz w:val="24"/>
          <w:szCs w:val="24"/>
          <w:shd w:val="clear" w:color="auto" w:fill="FFFFFF"/>
        </w:rPr>
        <w:t xml:space="preserve">A </w:t>
      </w:r>
      <w:r>
        <w:rPr>
          <w:rFonts w:ascii="Times New Roman" w:hAnsi="Times New Roman" w:cs="Times New Roman"/>
          <w:b/>
          <w:bCs/>
          <w:color w:val="000000"/>
          <w:sz w:val="24"/>
          <w:szCs w:val="24"/>
          <w:shd w:val="clear" w:color="auto" w:fill="FFFFFF"/>
        </w:rPr>
        <w:t>mon cher mari</w:t>
      </w:r>
    </w:p>
    <w:p w14:paraId="3B7CA4BB" w14:textId="77777777" w:rsidR="002A5D4A" w:rsidRPr="008435D5" w:rsidRDefault="008435D5" w:rsidP="008435D5">
      <w:pPr>
        <w:tabs>
          <w:tab w:val="left" w:pos="0"/>
        </w:tabs>
        <w:spacing w:before="120" w:after="120"/>
        <w:rPr>
          <w:rFonts w:asciiTheme="majorBidi" w:hAnsiTheme="majorBidi" w:cstheme="majorBidi"/>
          <w:color w:val="000000"/>
          <w:sz w:val="24"/>
          <w:szCs w:val="24"/>
          <w:shd w:val="clear" w:color="auto" w:fill="FFFFFF"/>
        </w:rPr>
      </w:pPr>
      <w:r w:rsidRPr="008435D5">
        <w:rPr>
          <w:rFonts w:asciiTheme="majorBidi" w:hAnsiTheme="majorBidi" w:cstheme="majorBidi"/>
          <w:sz w:val="24"/>
          <w:szCs w:val="24"/>
          <w:shd w:val="clear" w:color="auto" w:fill="FFFFFF"/>
        </w:rPr>
        <w:t>Tu as toujours été à mes cotés pour me soutenir et m’encourager. Que ce travail traduit ma gratitude et mon affection</w:t>
      </w:r>
      <w:r w:rsidRPr="008435D5">
        <w:rPr>
          <w:rFonts w:asciiTheme="majorBidi" w:hAnsiTheme="majorBidi" w:cstheme="majorBidi"/>
          <w:color w:val="202124"/>
          <w:sz w:val="24"/>
          <w:szCs w:val="24"/>
          <w:shd w:val="clear" w:color="auto" w:fill="FFFFFF"/>
        </w:rPr>
        <w:t>.</w:t>
      </w:r>
    </w:p>
    <w:p w14:paraId="37C86CE1" w14:textId="77777777" w:rsidR="002A5D4A" w:rsidRPr="002B005F" w:rsidRDefault="002760B2" w:rsidP="002A5D4A">
      <w:pPr>
        <w:tabs>
          <w:tab w:val="left" w:pos="0"/>
        </w:tabs>
        <w:spacing w:before="120" w:after="120"/>
        <w:jc w:val="center"/>
        <w:rPr>
          <w:rFonts w:ascii="Times New Roman" w:hAnsi="Times New Roman" w:cs="Times New Roman"/>
          <w:b/>
          <w:bCs/>
          <w:sz w:val="24"/>
          <w:szCs w:val="24"/>
        </w:rPr>
      </w:pPr>
      <w:r w:rsidRPr="002B005F">
        <w:rPr>
          <w:rFonts w:ascii="Times New Roman" w:hAnsi="Times New Roman" w:cs="Times New Roman"/>
          <w:b/>
          <w:bCs/>
          <w:sz w:val="24"/>
          <w:szCs w:val="24"/>
        </w:rPr>
        <w:t>A mon cher fils Amir</w:t>
      </w:r>
    </w:p>
    <w:p w14:paraId="1F05D080" w14:textId="77777777" w:rsidR="002760B2" w:rsidRPr="00DE7244" w:rsidRDefault="002760B2" w:rsidP="00DE7244">
      <w:pPr>
        <w:pStyle w:val="Corpsdetexte"/>
        <w:widowControl/>
        <w:tabs>
          <w:tab w:val="left" w:pos="0"/>
        </w:tabs>
        <w:autoSpaceDE/>
        <w:autoSpaceDN/>
        <w:spacing w:line="276" w:lineRule="auto"/>
        <w:rPr>
          <w:rFonts w:eastAsiaTheme="minorHAnsi"/>
          <w:b/>
          <w:bCs/>
          <w:i/>
          <w:lang w:eastAsia="en-US" w:bidi="ar-SA"/>
        </w:rPr>
      </w:pPr>
      <w:r w:rsidRPr="00DE7244">
        <w:rPr>
          <w:rFonts w:eastAsiaTheme="minorHAnsi"/>
          <w:lang w:eastAsia="en-US" w:bidi="ar-SA"/>
        </w:rPr>
        <w:t>C'est à toi mon adorable ange, ma joie, mon petit trésor que maman dédie ce travail pour te dire que tu resteras pour toujours le rayon du soleil qui égaye ma vie. Je t’aime</w:t>
      </w:r>
      <w:r w:rsidR="00866546">
        <w:rPr>
          <w:rFonts w:eastAsiaTheme="minorHAnsi"/>
          <w:lang w:eastAsia="en-US" w:bidi="ar-SA"/>
        </w:rPr>
        <w:t xml:space="preserve"> mon fils et te souhaite tout</w:t>
      </w:r>
      <w:r w:rsidRPr="00DE7244">
        <w:rPr>
          <w:rFonts w:eastAsiaTheme="minorHAnsi"/>
          <w:lang w:eastAsia="en-US" w:bidi="ar-SA"/>
        </w:rPr>
        <w:t xml:space="preserve"> le bonheur du monde.</w:t>
      </w:r>
    </w:p>
    <w:p w14:paraId="3D1C9365" w14:textId="77777777" w:rsidR="002760B2" w:rsidRPr="002B005F" w:rsidRDefault="002760B2" w:rsidP="002A5D4A">
      <w:pPr>
        <w:tabs>
          <w:tab w:val="left" w:pos="0"/>
        </w:tabs>
        <w:spacing w:before="120" w:after="120"/>
        <w:jc w:val="center"/>
        <w:rPr>
          <w:rFonts w:ascii="Times New Roman" w:hAnsi="Times New Roman" w:cs="Times New Roman"/>
          <w:b/>
          <w:bCs/>
          <w:color w:val="000000"/>
          <w:sz w:val="24"/>
          <w:szCs w:val="24"/>
          <w:shd w:val="clear" w:color="auto" w:fill="FFFFFF"/>
        </w:rPr>
      </w:pPr>
      <w:r w:rsidRPr="002B005F">
        <w:rPr>
          <w:rFonts w:ascii="Times New Roman" w:hAnsi="Times New Roman" w:cs="Times New Roman"/>
          <w:b/>
          <w:bCs/>
          <w:color w:val="000000"/>
          <w:sz w:val="24"/>
          <w:szCs w:val="24"/>
          <w:shd w:val="clear" w:color="auto" w:fill="FFFFFF"/>
        </w:rPr>
        <w:t>A mes chères amies</w:t>
      </w:r>
    </w:p>
    <w:p w14:paraId="0C4F5BD1" w14:textId="77777777" w:rsidR="002760B2" w:rsidRPr="002B005F" w:rsidRDefault="002760B2" w:rsidP="00E6053E">
      <w:pPr>
        <w:tabs>
          <w:tab w:val="left" w:pos="0"/>
        </w:tabs>
        <w:rPr>
          <w:rFonts w:ascii="Times New Roman" w:hAnsi="Times New Roman" w:cs="Times New Roman"/>
          <w:i/>
          <w:sz w:val="24"/>
          <w:szCs w:val="24"/>
        </w:rPr>
      </w:pPr>
      <w:r w:rsidRPr="002B005F">
        <w:rPr>
          <w:rFonts w:ascii="Times New Roman" w:hAnsi="Times New Roman" w:cs="Times New Roman"/>
          <w:color w:val="000000"/>
          <w:sz w:val="24"/>
          <w:szCs w:val="24"/>
          <w:shd w:val="clear" w:color="auto" w:fill="FFFFFF"/>
        </w:rPr>
        <w:t>Je ne peux trouver les mots justes et sincères pour vous exprim</w:t>
      </w:r>
      <w:r w:rsidR="00866546">
        <w:rPr>
          <w:rFonts w:ascii="Times New Roman" w:hAnsi="Times New Roman" w:cs="Times New Roman"/>
          <w:color w:val="000000"/>
          <w:sz w:val="24"/>
          <w:szCs w:val="24"/>
          <w:shd w:val="clear" w:color="auto" w:fill="FFFFFF"/>
        </w:rPr>
        <w:t>er mon affection et mes pensées.</w:t>
      </w:r>
      <w:r w:rsidRPr="002B005F">
        <w:rPr>
          <w:rFonts w:ascii="Times New Roman" w:hAnsi="Times New Roman" w:cs="Times New Roman"/>
          <w:color w:val="000000"/>
          <w:sz w:val="24"/>
          <w:szCs w:val="24"/>
          <w:shd w:val="clear" w:color="auto" w:fill="FFFFFF"/>
        </w:rPr>
        <w:t xml:space="preserve"> </w:t>
      </w:r>
      <w:r w:rsidR="00866546" w:rsidRPr="002B005F">
        <w:rPr>
          <w:rFonts w:ascii="Times New Roman" w:hAnsi="Times New Roman" w:cs="Times New Roman"/>
          <w:color w:val="000000"/>
          <w:sz w:val="24"/>
          <w:szCs w:val="24"/>
          <w:shd w:val="clear" w:color="auto" w:fill="FFFFFF"/>
        </w:rPr>
        <w:t>Vous</w:t>
      </w:r>
      <w:r w:rsidRPr="002B005F">
        <w:rPr>
          <w:rFonts w:ascii="Times New Roman" w:hAnsi="Times New Roman" w:cs="Times New Roman"/>
          <w:color w:val="000000"/>
          <w:sz w:val="24"/>
          <w:szCs w:val="24"/>
          <w:shd w:val="clear" w:color="auto" w:fill="FFFFFF"/>
        </w:rPr>
        <w:t xml:space="preserve"> êtes pour moi des sœurs et des amies sur qui je peux compter</w:t>
      </w:r>
      <w:r w:rsidR="00866546">
        <w:rPr>
          <w:rFonts w:ascii="Times New Roman" w:hAnsi="Times New Roman" w:cs="Times New Roman"/>
          <w:color w:val="000000"/>
          <w:sz w:val="24"/>
          <w:szCs w:val="24"/>
          <w:shd w:val="clear" w:color="auto" w:fill="FFFFFF"/>
        </w:rPr>
        <w:t>. Je vous dédie ce travail et</w:t>
      </w:r>
      <w:r w:rsidRPr="002B005F">
        <w:rPr>
          <w:rFonts w:ascii="Times New Roman" w:hAnsi="Times New Roman" w:cs="Times New Roman"/>
          <w:color w:val="000000"/>
          <w:sz w:val="24"/>
          <w:szCs w:val="24"/>
          <w:shd w:val="clear" w:color="auto" w:fill="FFFFFF"/>
        </w:rPr>
        <w:t xml:space="preserve"> vous souhaite une vie pleine de santé et de bonheur.</w:t>
      </w:r>
    </w:p>
    <w:p w14:paraId="5B821766" w14:textId="77777777" w:rsidR="002F1E43" w:rsidRPr="002B005F" w:rsidRDefault="002760B2" w:rsidP="00DE7244">
      <w:pPr>
        <w:tabs>
          <w:tab w:val="left" w:pos="0"/>
        </w:tabs>
        <w:spacing w:before="120"/>
        <w:jc w:val="center"/>
        <w:rPr>
          <w:rFonts w:ascii="Times New Roman" w:hAnsi="Times New Roman" w:cs="Times New Roman"/>
          <w:b/>
          <w:bCs/>
          <w:iCs/>
          <w:sz w:val="24"/>
          <w:szCs w:val="24"/>
        </w:rPr>
      </w:pPr>
      <w:r w:rsidRPr="002B005F">
        <w:rPr>
          <w:rFonts w:ascii="Times New Roman" w:hAnsi="Times New Roman" w:cs="Times New Roman"/>
          <w:b/>
          <w:bCs/>
          <w:iCs/>
          <w:sz w:val="24"/>
          <w:szCs w:val="24"/>
        </w:rPr>
        <w:t>C’est à eux tous que finalement j</w:t>
      </w:r>
      <w:r w:rsidR="00866546">
        <w:rPr>
          <w:rFonts w:ascii="Times New Roman" w:hAnsi="Times New Roman" w:cs="Times New Roman"/>
          <w:b/>
          <w:bCs/>
          <w:iCs/>
          <w:sz w:val="24"/>
          <w:szCs w:val="24"/>
        </w:rPr>
        <w:t>e désire dédier cette thèse de D</w:t>
      </w:r>
      <w:r w:rsidRPr="002B005F">
        <w:rPr>
          <w:rFonts w:ascii="Times New Roman" w:hAnsi="Times New Roman" w:cs="Times New Roman"/>
          <w:b/>
          <w:bCs/>
          <w:iCs/>
          <w:sz w:val="24"/>
          <w:szCs w:val="24"/>
        </w:rPr>
        <w:t>octorat.</w:t>
      </w:r>
    </w:p>
    <w:p w14:paraId="28C87FEB" w14:textId="77777777" w:rsidR="00DE7244" w:rsidRDefault="002760B2" w:rsidP="00B13B84">
      <w:pPr>
        <w:tabs>
          <w:tab w:val="left" w:pos="8368"/>
        </w:tabs>
        <w:spacing w:before="360"/>
        <w:ind w:left="7513"/>
        <w:rPr>
          <w:rFonts w:ascii="Times New Roman" w:hAnsi="Times New Roman" w:cs="Times New Roman"/>
          <w:b/>
          <w:bCs/>
          <w:sz w:val="24"/>
          <w:szCs w:val="24"/>
        </w:rPr>
      </w:pPr>
      <w:r w:rsidRPr="002B005F">
        <w:rPr>
          <w:rFonts w:ascii="Times New Roman" w:hAnsi="Times New Roman" w:cs="Times New Roman"/>
          <w:b/>
          <w:bCs/>
          <w:sz w:val="24"/>
          <w:szCs w:val="24"/>
        </w:rPr>
        <w:t>Halima</w:t>
      </w:r>
    </w:p>
    <w:p w14:paraId="2EE0285F" w14:textId="77777777" w:rsidR="00BE080A" w:rsidRPr="00BE013C" w:rsidRDefault="00CD05F2" w:rsidP="00BE013C">
      <w:pPr>
        <w:tabs>
          <w:tab w:val="left" w:pos="0"/>
          <w:tab w:val="left" w:pos="8368"/>
        </w:tabs>
        <w:jc w:val="right"/>
        <w:rPr>
          <w:rFonts w:ascii="Times New Roman" w:hAnsi="Times New Roman" w:cs="Times New Roman"/>
          <w:sz w:val="24"/>
          <w:szCs w:val="24"/>
        </w:rPr>
      </w:pPr>
      <w:bookmarkStart w:id="18" w:name="_Toc33263202"/>
      <w:bookmarkStart w:id="19" w:name="_Toc33264106"/>
      <w:bookmarkStart w:id="20" w:name="_Toc37664454"/>
      <w:bookmarkStart w:id="21" w:name="_Toc37666299"/>
      <w:bookmarkStart w:id="22" w:name="_Toc37667308"/>
      <w:r>
        <w:rPr>
          <w:rFonts w:ascii="Times New Roman" w:hAnsi="Times New Roman" w:cs="Times New Roman"/>
          <w:sz w:val="24"/>
          <w:szCs w:val="24"/>
        </w:rPr>
        <w:t xml:space="preserve">Fevrier </w:t>
      </w:r>
      <w:r w:rsidR="002F1E43" w:rsidRPr="00DE7244">
        <w:rPr>
          <w:rFonts w:ascii="Times New Roman" w:hAnsi="Times New Roman" w:cs="Times New Roman"/>
          <w:sz w:val="24"/>
          <w:szCs w:val="24"/>
        </w:rPr>
        <w:t>202</w:t>
      </w:r>
      <w:bookmarkStart w:id="23" w:name="_Toc61263408"/>
      <w:bookmarkStart w:id="24" w:name="_Toc114866024"/>
      <w:bookmarkEnd w:id="18"/>
      <w:bookmarkEnd w:id="19"/>
      <w:bookmarkEnd w:id="20"/>
      <w:bookmarkEnd w:id="21"/>
      <w:bookmarkEnd w:id="22"/>
      <w:r>
        <w:rPr>
          <w:rFonts w:ascii="Times New Roman" w:hAnsi="Times New Roman" w:cs="Times New Roman"/>
          <w:sz w:val="24"/>
          <w:szCs w:val="24"/>
        </w:rPr>
        <w:t>4</w:t>
      </w:r>
    </w:p>
    <w:p w14:paraId="6879A1B8" w14:textId="77777777" w:rsidR="009A5576" w:rsidRPr="00BE013C" w:rsidRDefault="009A5576" w:rsidP="00BE013C">
      <w:pPr>
        <w:pStyle w:val="Titre1"/>
        <w:spacing w:after="960" w:afterAutospacing="0"/>
        <w:jc w:val="center"/>
        <w:rPr>
          <w:smallCaps/>
          <w:spacing w:val="20"/>
          <w:sz w:val="48"/>
        </w:rPr>
      </w:pPr>
      <w:bookmarkStart w:id="25" w:name="_Toc116257053"/>
      <w:bookmarkStart w:id="26" w:name="_Toc182298572"/>
      <w:bookmarkStart w:id="27" w:name="_Toc182309368"/>
      <w:r w:rsidRPr="00BE013C">
        <w:rPr>
          <w:smallCaps/>
          <w:spacing w:val="20"/>
          <w:sz w:val="48"/>
        </w:rPr>
        <w:lastRenderedPageBreak/>
        <w:t>Remerciements</w:t>
      </w:r>
      <w:bookmarkEnd w:id="23"/>
      <w:bookmarkEnd w:id="24"/>
      <w:bookmarkEnd w:id="25"/>
      <w:bookmarkEnd w:id="26"/>
      <w:bookmarkEnd w:id="27"/>
    </w:p>
    <w:p w14:paraId="1D3E0E8D" w14:textId="77777777" w:rsidR="002760B2" w:rsidRPr="002C5EFF" w:rsidRDefault="002760B2" w:rsidP="00A36EF6">
      <w:pPr>
        <w:tabs>
          <w:tab w:val="left" w:pos="0"/>
        </w:tabs>
        <w:spacing w:before="100" w:beforeAutospacing="1" w:line="360" w:lineRule="auto"/>
        <w:rPr>
          <w:rFonts w:ascii="Times New Roman" w:hAnsi="Times New Roman" w:cs="Times New Roman"/>
          <w:sz w:val="26"/>
          <w:szCs w:val="26"/>
          <w14:shadow w14:blurRad="50800" w14:dist="38100" w14:dir="2700000" w14:sx="100000" w14:sy="100000" w14:kx="0" w14:ky="0" w14:algn="tl">
            <w14:srgbClr w14:val="000000">
              <w14:alpha w14:val="60000"/>
            </w14:srgbClr>
          </w14:shadow>
        </w:rPr>
      </w:pP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Je tiens à exprimer mes r</w:t>
      </w:r>
      <w:r w:rsidR="009A5576"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em</w:t>
      </w:r>
      <w:r w:rsidR="008210ED"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erciements les plus sincères à </w:t>
      </w:r>
      <w:r w:rsidR="009A5576"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mon directeur de thèse</w:t>
      </w: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w:t>
      </w:r>
      <w:r w:rsidRPr="002C5EFF">
        <w:rPr>
          <w:rFonts w:ascii="Times New Roman" w:hAnsi="Times New Roman" w:cs="Times New Roman"/>
          <w:smallCaps/>
          <w:sz w:val="26"/>
          <w:szCs w:val="26"/>
          <w14:shadow w14:blurRad="50800" w14:dist="38100" w14:dir="2700000" w14:sx="100000" w14:sy="100000" w14:kx="0" w14:ky="0" w14:algn="tl">
            <w14:srgbClr w14:val="000000">
              <w14:alpha w14:val="60000"/>
            </w14:srgbClr>
          </w14:shadow>
        </w:rPr>
        <w:t>T</w:t>
      </w:r>
      <w:r w:rsidR="00A412AE" w:rsidRPr="002C5EFF">
        <w:rPr>
          <w:rFonts w:ascii="Times New Roman" w:hAnsi="Times New Roman" w:cs="Times New Roman"/>
          <w:smallCaps/>
          <w:sz w:val="26"/>
          <w:szCs w:val="26"/>
          <w14:shadow w14:blurRad="50800" w14:dist="38100" w14:dir="2700000" w14:sx="100000" w14:sy="100000" w14:kx="0" w14:ky="0" w14:algn="tl">
            <w14:srgbClr w14:val="000000">
              <w14:alpha w14:val="60000"/>
            </w14:srgbClr>
          </w14:shadow>
        </w:rPr>
        <w:t>rari-Medjaoui</w:t>
      </w:r>
      <w:r w:rsidR="009A5576"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Hocine</w:t>
      </w:r>
      <w:r w:rsidR="008210ED"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pour sa disponibilité, ses encouragements et l</w:t>
      </w: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es précieux conseils qu’il m’a prodigué</w:t>
      </w:r>
      <w:r w:rsidR="00A412AE"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s</w:t>
      </w: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w:t>
      </w:r>
      <w:r w:rsidR="00525B04"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w:t>
      </w: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Je voudrais lui </w:t>
      </w:r>
      <w:r w:rsidR="008210ED"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formuler</w:t>
      </w: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ma reconnaissance et mes profonds sentiments de gratitude pour la confiance et l’intérêt qu’il a bien voulu me témoigner en acceptant de diriger ce travail et d’avoir, si aimablement, assurer son suivi.</w:t>
      </w:r>
    </w:p>
    <w:p w14:paraId="70C0F09D" w14:textId="77777777" w:rsidR="002760B2" w:rsidRPr="002C5EFF" w:rsidRDefault="008210ED" w:rsidP="00BD7AAC">
      <w:pPr>
        <w:spacing w:before="100" w:beforeAutospacing="1" w:line="360" w:lineRule="auto"/>
        <w:rPr>
          <w:rFonts w:ascii="Times New Roman" w:hAnsi="Times New Roman" w:cs="Times New Roman"/>
          <w:sz w:val="26"/>
          <w:szCs w:val="26"/>
          <w14:shadow w14:blurRad="50800" w14:dist="38100" w14:dir="2700000" w14:sx="100000" w14:sy="100000" w14:kx="0" w14:ky="0" w14:algn="tl">
            <w14:srgbClr w14:val="000000">
              <w14:alpha w14:val="60000"/>
            </w14:srgbClr>
          </w14:shadow>
        </w:rPr>
      </w:pP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Chaque</w:t>
      </w:r>
      <w:r w:rsidR="009A5576"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membre de j</w:t>
      </w:r>
      <w:r w:rsidR="002760B2"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ury </w:t>
      </w:r>
      <w:r w:rsidR="009A5576"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de </w:t>
      </w: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soutenance</w:t>
      </w:r>
      <w:r w:rsidR="009A5576"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qui </w:t>
      </w: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m’a</w:t>
      </w:r>
      <w:r w:rsidR="00B81C51"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fait l</w:t>
      </w:r>
      <w:r w:rsidR="00B81C51" w:rsidRPr="002C5EFF">
        <w:rPr>
          <w:rFonts w:ascii="Times New Roman" w:hAnsi="Times New Roman" w:cs="Times New Roman" w:hint="cs"/>
          <w:sz w:val="26"/>
          <w:szCs w:val="26"/>
          <w:rtl/>
          <w14:shadow w14:blurRad="50800" w14:dist="38100" w14:dir="2700000" w14:sx="100000" w14:sy="100000" w14:kx="0" w14:ky="0" w14:algn="tl">
            <w14:srgbClr w14:val="000000">
              <w14:alpha w14:val="60000"/>
            </w14:srgbClr>
          </w14:shadow>
        </w:rPr>
        <w:t>'</w:t>
      </w:r>
      <w:r w:rsidR="002760B2"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honneur d’évaluer et de juger ce modeste </w:t>
      </w:r>
      <w:r w:rsidR="00B81C51"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travail</w:t>
      </w:r>
      <w:r w:rsidR="00B81C51" w:rsidRPr="002C5EFF">
        <w:rPr>
          <w:rFonts w:ascii="Times New Roman" w:hAnsi="Times New Roman" w:cs="Times New Roman" w:hint="cs"/>
          <w:sz w:val="26"/>
          <w:szCs w:val="26"/>
          <w:rtl/>
          <w14:shadow w14:blurRad="50800" w14:dist="38100" w14:dir="2700000" w14:sx="100000" w14:sy="100000" w14:kx="0" w14:ky="0" w14:algn="tl">
            <w14:srgbClr w14:val="000000">
              <w14:alpha w14:val="60000"/>
            </w14:srgbClr>
          </w14:shadow>
        </w:rPr>
        <w:t xml:space="preserve"> </w:t>
      </w:r>
      <w:r w:rsidR="00B81C51"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q</w:t>
      </w: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u</w:t>
      </w:r>
      <w:r w:rsidR="00B81C51"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’il trouve</w:t>
      </w:r>
      <w:r w:rsidR="002760B2"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ici l’expression de mon respect.</w:t>
      </w:r>
    </w:p>
    <w:p w14:paraId="34DBBC7C" w14:textId="77777777" w:rsidR="002760B2" w:rsidRPr="002C5EFF" w:rsidRDefault="00B81C51" w:rsidP="00B81C51">
      <w:pPr>
        <w:spacing w:before="100" w:beforeAutospacing="1" w:line="360" w:lineRule="auto"/>
        <w:rPr>
          <w:rFonts w:ascii="Times New Roman" w:hAnsi="Times New Roman" w:cs="Times New Roman"/>
          <w:sz w:val="26"/>
          <w:szCs w:val="26"/>
          <w14:shadow w14:blurRad="50800" w14:dist="38100" w14:dir="2700000" w14:sx="100000" w14:sy="100000" w14:kx="0" w14:ky="0" w14:algn="tl">
            <w14:srgbClr w14:val="000000">
              <w14:alpha w14:val="60000"/>
            </w14:srgbClr>
          </w14:shadow>
        </w:rPr>
      </w:pP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Je remercie aussi t</w:t>
      </w:r>
      <w:r w:rsidR="008210ED"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ous</w:t>
      </w:r>
      <w:r w:rsidR="002760B2"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ceux qui ont contribué de près ou de loin à la</w:t>
      </w:r>
      <w:r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réalisation de ce travail pour leur</w:t>
      </w:r>
      <w:r w:rsidR="002760B2" w:rsidRPr="002C5EFF">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aide précieuse.</w:t>
      </w:r>
    </w:p>
    <w:p w14:paraId="6CDAA7DA" w14:textId="77777777" w:rsidR="002760B2" w:rsidRPr="002C5EFF" w:rsidRDefault="002760B2" w:rsidP="00E6053E">
      <w:pPr>
        <w:tabs>
          <w:tab w:val="left" w:pos="0"/>
        </w:tabs>
        <w:spacing w:line="360" w:lineRule="auto"/>
        <w:jc w:val="center"/>
        <w:rPr>
          <w:rFonts w:ascii="Times New Roman" w:hAnsi="Times New Roman" w:cs="Times New Roman"/>
          <w:sz w:val="26"/>
          <w:szCs w:val="26"/>
          <w14:shadow w14:blurRad="50800" w14:dist="38100" w14:dir="2700000" w14:sx="100000" w14:sy="100000" w14:kx="0" w14:ky="0" w14:algn="tl">
            <w14:srgbClr w14:val="000000">
              <w14:alpha w14:val="60000"/>
            </w14:srgbClr>
          </w14:shadow>
        </w:rPr>
      </w:pPr>
    </w:p>
    <w:p w14:paraId="13007F60" w14:textId="77777777" w:rsidR="004477F8" w:rsidRDefault="002760B2" w:rsidP="0063424C">
      <w:pPr>
        <w:tabs>
          <w:tab w:val="left" w:pos="0"/>
        </w:tabs>
        <w:spacing w:line="360" w:lineRule="auto"/>
        <w:jc w:val="center"/>
        <w:rPr>
          <w:rFonts w:ascii="Times New Roman" w:hAnsi="Times New Roman" w:cs="Times New Roman"/>
          <w:b/>
          <w:bCs/>
          <w:sz w:val="32"/>
          <w:szCs w:val="32"/>
        </w:rPr>
      </w:pPr>
      <w:r w:rsidRPr="00B13B84">
        <w:rPr>
          <w:rFonts w:ascii="Times New Roman" w:hAnsi="Times New Roman" w:cs="Times New Roman"/>
          <w:b/>
          <w:bCs/>
          <w:sz w:val="32"/>
          <w:szCs w:val="32"/>
        </w:rPr>
        <w:t>Merci</w:t>
      </w:r>
    </w:p>
    <w:p w14:paraId="102AEC4A" w14:textId="5F103031" w:rsidR="00BA2670" w:rsidRDefault="00BA2670">
      <w:pPr>
        <w:rPr>
          <w:rFonts w:ascii="Times New Roman" w:hAnsi="Times New Roman" w:cs="Times New Roman"/>
          <w:b/>
          <w:bCs/>
          <w:sz w:val="32"/>
          <w:szCs w:val="32"/>
        </w:rPr>
      </w:pPr>
      <w:r>
        <w:rPr>
          <w:rFonts w:ascii="Times New Roman" w:hAnsi="Times New Roman" w:cs="Times New Roman"/>
          <w:b/>
          <w:bCs/>
          <w:sz w:val="32"/>
          <w:szCs w:val="32"/>
        </w:rPr>
        <w:br w:type="page"/>
      </w:r>
    </w:p>
    <w:p w14:paraId="3FD5A688" w14:textId="77777777" w:rsidR="00CA11B9" w:rsidRPr="00BB3307" w:rsidRDefault="00CA11B9" w:rsidP="00E62B24">
      <w:pPr>
        <w:outlineLvl w:val="0"/>
        <w:rPr>
          <w:rFonts w:asciiTheme="majorBidi" w:hAnsiTheme="majorBidi" w:cstheme="majorBidi"/>
          <w:b/>
          <w:bCs/>
          <w:sz w:val="24"/>
          <w:szCs w:val="24"/>
          <w:rtl/>
          <w:lang w:bidi="ar-DZ"/>
        </w:rPr>
      </w:pPr>
      <w:bookmarkStart w:id="28" w:name="_Toc182298573"/>
      <w:bookmarkStart w:id="29" w:name="_Toc182309369"/>
      <w:bookmarkStart w:id="30" w:name="_Toc33263203"/>
      <w:bookmarkStart w:id="31" w:name="_Toc33264107"/>
      <w:bookmarkStart w:id="32" w:name="_Toc37664455"/>
      <w:bookmarkStart w:id="33" w:name="_Toc37666300"/>
      <w:bookmarkStart w:id="34" w:name="_Toc37667309"/>
      <w:bookmarkStart w:id="35" w:name="_Toc54361019"/>
      <w:bookmarkStart w:id="36" w:name="_Toc54361666"/>
      <w:bookmarkStart w:id="37" w:name="_Toc54363189"/>
      <w:bookmarkStart w:id="38" w:name="_Toc57901015"/>
      <w:bookmarkStart w:id="39" w:name="_Toc58261915"/>
      <w:bookmarkStart w:id="40" w:name="_Toc58606204"/>
      <w:bookmarkStart w:id="41" w:name="_Toc61263409"/>
      <w:r w:rsidRPr="00BB3307">
        <w:rPr>
          <w:rFonts w:asciiTheme="majorBidi" w:hAnsiTheme="majorBidi" w:cstheme="majorBidi"/>
          <w:b/>
          <w:bCs/>
          <w:sz w:val="24"/>
          <w:szCs w:val="24"/>
        </w:rPr>
        <w:lastRenderedPageBreak/>
        <w:t>Résumé</w:t>
      </w:r>
      <w:bookmarkEnd w:id="28"/>
      <w:bookmarkEnd w:id="29"/>
    </w:p>
    <w:p w14:paraId="0262874D" w14:textId="77777777" w:rsidR="00CA11B9" w:rsidRPr="00CA11B9" w:rsidRDefault="00CA11B9" w:rsidP="00CA11B9">
      <w:pPr>
        <w:autoSpaceDE w:val="0"/>
        <w:autoSpaceDN w:val="0"/>
        <w:adjustRightInd w:val="0"/>
        <w:rPr>
          <w:rFonts w:ascii="Times New Roman" w:hAnsi="Times New Roman" w:cs="Times New Roman"/>
          <w:spacing w:val="-4"/>
          <w:sz w:val="24"/>
          <w:szCs w:val="24"/>
        </w:rPr>
      </w:pPr>
      <w:r w:rsidRPr="00CA11B9">
        <w:rPr>
          <w:rFonts w:ascii="Times New Roman" w:hAnsi="Times New Roman" w:cs="Times New Roman"/>
          <w:spacing w:val="-4"/>
          <w:sz w:val="24"/>
          <w:szCs w:val="24"/>
        </w:rPr>
        <w:t xml:space="preserve">Les techniques de financement participatif représentent le noyau dur de l’activité bancaire islamique puisqu’elles reposent sur un principe de base qui est le partage des risques et des rendements. Cependant, ces instruments de financement engendrent des risques très importants et difficiles à gérer ; ce qui rend les banques islamiques réticentes à recourir à ces modes de financement. Notre travail de recherche vise à déceler les différents obstacles qui freinent l’intermédiation financière participative en étudiant les différents risques des modes de financement participatif ainsi que leurs techniques d’atténuation. Dans cette optique, notre étude empirique s’est basée sur un échantillon de 79 cadres concernés par la gestion des risques au sein des BI dans différents pays, en vue de vérifier leurs perceptions sur la gestion des risques liés à la </w:t>
      </w:r>
      <w:r w:rsidRPr="00CA11B9">
        <w:rPr>
          <w:rFonts w:ascii="Times New Roman" w:hAnsi="Times New Roman" w:cs="Times New Roman"/>
          <w:i/>
          <w:iCs/>
          <w:spacing w:val="-4"/>
          <w:sz w:val="24"/>
          <w:szCs w:val="24"/>
        </w:rPr>
        <w:t>moucharaka</w:t>
      </w:r>
      <w:r w:rsidRPr="00CA11B9">
        <w:rPr>
          <w:rFonts w:ascii="Times New Roman" w:hAnsi="Times New Roman" w:cs="Times New Roman"/>
          <w:spacing w:val="-4"/>
          <w:sz w:val="24"/>
          <w:szCs w:val="24"/>
        </w:rPr>
        <w:t xml:space="preserve"> et la </w:t>
      </w:r>
      <w:r w:rsidRPr="00CA11B9">
        <w:rPr>
          <w:rFonts w:ascii="Times New Roman" w:hAnsi="Times New Roman" w:cs="Times New Roman"/>
          <w:i/>
          <w:iCs/>
          <w:spacing w:val="-4"/>
          <w:sz w:val="24"/>
          <w:szCs w:val="24"/>
        </w:rPr>
        <w:t>moudaraba</w:t>
      </w:r>
      <w:r w:rsidRPr="00CA11B9">
        <w:rPr>
          <w:rFonts w:ascii="Times New Roman" w:hAnsi="Times New Roman" w:cs="Times New Roman"/>
          <w:spacing w:val="-4"/>
          <w:sz w:val="24"/>
          <w:szCs w:val="24"/>
        </w:rPr>
        <w:t>. Les résultats de l’analyse descriptive et statistique du questionnaire nous ont permis de démontrer les principales causes de réticences des BI à utiliser les produits participatifs et de proposer quelques solutions pour favoriser ce type de financement.</w:t>
      </w:r>
    </w:p>
    <w:p w14:paraId="18ED4AEC" w14:textId="77777777" w:rsidR="00CA11B9" w:rsidRPr="00CA11B9" w:rsidRDefault="00CA11B9" w:rsidP="00CA11B9">
      <w:pPr>
        <w:autoSpaceDE w:val="0"/>
        <w:autoSpaceDN w:val="0"/>
        <w:adjustRightInd w:val="0"/>
        <w:spacing w:before="120"/>
        <w:rPr>
          <w:rFonts w:ascii="Times New Roman" w:hAnsi="Times New Roman" w:cs="Times New Roman"/>
          <w:i/>
          <w:spacing w:val="-4"/>
          <w:sz w:val="24"/>
          <w:szCs w:val="24"/>
        </w:rPr>
      </w:pPr>
      <w:r w:rsidRPr="00CA11B9">
        <w:rPr>
          <w:rFonts w:ascii="Times New Roman" w:hAnsi="Times New Roman" w:cs="Times New Roman"/>
          <w:b/>
          <w:i/>
          <w:spacing w:val="-4"/>
          <w:sz w:val="24"/>
          <w:szCs w:val="24"/>
        </w:rPr>
        <w:t>Mots clés</w:t>
      </w:r>
      <w:r w:rsidRPr="00CA11B9">
        <w:rPr>
          <w:rFonts w:ascii="Times New Roman" w:hAnsi="Times New Roman" w:cs="Times New Roman"/>
          <w:i/>
          <w:spacing w:val="-4"/>
          <w:sz w:val="24"/>
          <w:szCs w:val="24"/>
        </w:rPr>
        <w:t xml:space="preserve"> : </w:t>
      </w:r>
      <w:r w:rsidRPr="00CA11B9">
        <w:rPr>
          <w:rFonts w:ascii="Times New Roman" w:hAnsi="Times New Roman" w:cs="Times New Roman"/>
          <w:spacing w:val="-4"/>
          <w:sz w:val="24"/>
          <w:szCs w:val="24"/>
        </w:rPr>
        <w:t xml:space="preserve">Banque islamique, gestion des risques, </w:t>
      </w:r>
      <w:r w:rsidRPr="00CA11B9">
        <w:rPr>
          <w:rFonts w:ascii="Times New Roman" w:hAnsi="Times New Roman" w:cs="Times New Roman"/>
          <w:i/>
          <w:iCs/>
          <w:spacing w:val="-4"/>
          <w:sz w:val="24"/>
          <w:szCs w:val="24"/>
        </w:rPr>
        <w:t>moucharaka</w:t>
      </w:r>
      <w:r w:rsidRPr="00CA11B9">
        <w:rPr>
          <w:rFonts w:ascii="Times New Roman" w:hAnsi="Times New Roman" w:cs="Times New Roman"/>
          <w:spacing w:val="-4"/>
          <w:sz w:val="24"/>
          <w:szCs w:val="24"/>
        </w:rPr>
        <w:t xml:space="preserve">, </w:t>
      </w:r>
      <w:r w:rsidRPr="00CA11B9">
        <w:rPr>
          <w:rFonts w:ascii="Times New Roman" w:hAnsi="Times New Roman" w:cs="Times New Roman"/>
          <w:i/>
          <w:iCs/>
          <w:spacing w:val="-4"/>
          <w:sz w:val="24"/>
          <w:szCs w:val="24"/>
        </w:rPr>
        <w:t>moudaraba</w:t>
      </w:r>
      <w:r w:rsidRPr="00CA11B9">
        <w:rPr>
          <w:rFonts w:ascii="Times New Roman" w:hAnsi="Times New Roman" w:cs="Times New Roman"/>
          <w:spacing w:val="-4"/>
          <w:sz w:val="24"/>
          <w:szCs w:val="24"/>
        </w:rPr>
        <w:t>, partage de profits et des pertes</w:t>
      </w:r>
      <w:r w:rsidRPr="00CA11B9">
        <w:rPr>
          <w:rFonts w:ascii="Times New Roman" w:hAnsi="Times New Roman" w:cs="Times New Roman" w:hint="cs"/>
          <w:spacing w:val="-4"/>
          <w:sz w:val="24"/>
          <w:szCs w:val="24"/>
          <w:rtl/>
        </w:rPr>
        <w:t>.</w:t>
      </w:r>
    </w:p>
    <w:p w14:paraId="6260112F" w14:textId="15E80ED8" w:rsidR="00CA11B9" w:rsidRPr="00BB3307" w:rsidRDefault="00CA11B9" w:rsidP="00BB3307">
      <w:pPr>
        <w:spacing w:before="120" w:after="120"/>
        <w:jc w:val="center"/>
        <w:rPr>
          <w:rFonts w:asciiTheme="majorBidi" w:hAnsiTheme="majorBidi" w:cstheme="majorBidi"/>
          <w:b/>
          <w:bCs/>
          <w:sz w:val="24"/>
          <w:szCs w:val="24"/>
          <w:lang w:val="en-GB"/>
        </w:rPr>
      </w:pPr>
      <w:r w:rsidRPr="00BB3307">
        <w:rPr>
          <w:rFonts w:asciiTheme="majorBidi" w:hAnsiTheme="majorBidi" w:cstheme="majorBidi"/>
          <w:b/>
          <w:bCs/>
          <w:sz w:val="24"/>
          <w:szCs w:val="24"/>
          <w:lang w:val="en-GB"/>
        </w:rPr>
        <w:t xml:space="preserve">The risk management of participatory </w:t>
      </w:r>
      <w:r w:rsidR="00E13FA6" w:rsidRPr="00BB3307">
        <w:rPr>
          <w:rFonts w:asciiTheme="majorBidi" w:hAnsiTheme="majorBidi" w:cstheme="majorBidi"/>
          <w:b/>
          <w:bCs/>
          <w:sz w:val="24"/>
          <w:szCs w:val="24"/>
          <w:lang w:val="en-GB"/>
        </w:rPr>
        <w:t>Islamic</w:t>
      </w:r>
      <w:r w:rsidRPr="00BB3307">
        <w:rPr>
          <w:rFonts w:asciiTheme="majorBidi" w:hAnsiTheme="majorBidi" w:cstheme="majorBidi"/>
          <w:b/>
          <w:bCs/>
          <w:sz w:val="24"/>
          <w:szCs w:val="24"/>
          <w:lang w:val="en-GB"/>
        </w:rPr>
        <w:t xml:space="preserve"> financing methods</w:t>
      </w:r>
    </w:p>
    <w:p w14:paraId="1A801390" w14:textId="77777777" w:rsidR="00CA11B9" w:rsidRPr="00BE080A" w:rsidRDefault="00CA11B9" w:rsidP="00274497">
      <w:pPr>
        <w:spacing w:before="120" w:after="120"/>
        <w:rPr>
          <w:rFonts w:asciiTheme="majorBidi" w:hAnsiTheme="majorBidi" w:cstheme="majorBidi"/>
          <w:b/>
          <w:bCs/>
          <w:sz w:val="24"/>
          <w:szCs w:val="24"/>
          <w:lang w:val="en-US"/>
        </w:rPr>
      </w:pPr>
      <w:r w:rsidRPr="00BE080A">
        <w:rPr>
          <w:rFonts w:asciiTheme="majorBidi" w:hAnsiTheme="majorBidi" w:cstheme="majorBidi"/>
          <w:b/>
          <w:bCs/>
          <w:sz w:val="24"/>
          <w:szCs w:val="24"/>
          <w:lang w:val="en-US"/>
        </w:rPr>
        <w:t>Abstract</w:t>
      </w:r>
    </w:p>
    <w:p w14:paraId="3E7B4CD6" w14:textId="06AC6FF9" w:rsidR="00CA11B9" w:rsidRPr="00CA11B9" w:rsidRDefault="00CA11B9" w:rsidP="00CA11B9">
      <w:pPr>
        <w:rPr>
          <w:rFonts w:ascii="Times New Roman" w:hAnsi="Times New Roman" w:cs="Times New Roman"/>
          <w:spacing w:val="-4"/>
          <w:sz w:val="24"/>
          <w:szCs w:val="24"/>
          <w:lang w:val="en-GB"/>
        </w:rPr>
      </w:pPr>
      <w:r w:rsidRPr="00CA11B9">
        <w:rPr>
          <w:rFonts w:ascii="Times New Roman" w:hAnsi="Times New Roman" w:cs="Times New Roman"/>
          <w:spacing w:val="-4"/>
          <w:sz w:val="24"/>
          <w:szCs w:val="24"/>
          <w:lang w:val="en-GB"/>
        </w:rPr>
        <w:t xml:space="preserve">Participatory financing techniques are the hard core of Islamic banking, as they are based on a basic principle of sharing risk and returns. However, these financing techniques generate very large and difficult risks to manage, which makes the Islamic banks reluctant to resort to these modes of financing. Our research aims to identify the different obstacles that hinder participatory financial intermediation, by studying the different risks of participatory financing methods, as well as their mitigation techniques. In this context, our empirical study was based on a sample of 79 risk manager in </w:t>
      </w:r>
      <w:r w:rsidR="00E62B24" w:rsidRPr="00CA11B9">
        <w:rPr>
          <w:rFonts w:ascii="Times New Roman" w:hAnsi="Times New Roman" w:cs="Times New Roman"/>
          <w:spacing w:val="-4"/>
          <w:sz w:val="24"/>
          <w:szCs w:val="24"/>
          <w:lang w:val="en-GB"/>
        </w:rPr>
        <w:t>Islamic</w:t>
      </w:r>
      <w:r w:rsidRPr="00CA11B9">
        <w:rPr>
          <w:rFonts w:ascii="Times New Roman" w:hAnsi="Times New Roman" w:cs="Times New Roman"/>
          <w:spacing w:val="-4"/>
          <w:sz w:val="24"/>
          <w:szCs w:val="24"/>
          <w:lang w:val="en-GB"/>
        </w:rPr>
        <w:t xml:space="preserve"> banks </w:t>
      </w:r>
      <w:r w:rsidRPr="00F04B08">
        <w:rPr>
          <w:rFonts w:ascii="Times New Roman" w:hAnsi="Times New Roman" w:cs="Times New Roman"/>
          <w:spacing w:val="-4"/>
          <w:sz w:val="24"/>
          <w:szCs w:val="24"/>
          <w:lang w:val="en-GB"/>
        </w:rPr>
        <w:t xml:space="preserve">operating in different countries </w:t>
      </w:r>
      <w:r w:rsidRPr="00CA11B9">
        <w:rPr>
          <w:rFonts w:ascii="Times New Roman" w:hAnsi="Times New Roman" w:cs="Times New Roman"/>
          <w:spacing w:val="-4"/>
          <w:sz w:val="24"/>
          <w:szCs w:val="24"/>
          <w:lang w:val="en-GB"/>
        </w:rPr>
        <w:t xml:space="preserve">to verify their perceptions on the risk management of the </w:t>
      </w:r>
      <w:r w:rsidRPr="00CA11B9">
        <w:rPr>
          <w:rFonts w:ascii="Times New Roman" w:hAnsi="Times New Roman" w:cs="Times New Roman"/>
          <w:i/>
          <w:iCs/>
          <w:spacing w:val="-4"/>
          <w:sz w:val="24"/>
          <w:szCs w:val="24"/>
          <w:lang w:val="en-GB"/>
        </w:rPr>
        <w:t>musharaka</w:t>
      </w:r>
      <w:r w:rsidRPr="00CA11B9">
        <w:rPr>
          <w:rFonts w:ascii="Times New Roman" w:hAnsi="Times New Roman" w:cs="Times New Roman"/>
          <w:spacing w:val="-4"/>
          <w:sz w:val="24"/>
          <w:szCs w:val="24"/>
          <w:lang w:val="en-GB"/>
        </w:rPr>
        <w:t xml:space="preserve"> and </w:t>
      </w:r>
      <w:r w:rsidRPr="00CA11B9">
        <w:rPr>
          <w:rFonts w:ascii="Times New Roman" w:hAnsi="Times New Roman" w:cs="Times New Roman"/>
          <w:i/>
          <w:iCs/>
          <w:spacing w:val="-4"/>
          <w:sz w:val="24"/>
          <w:szCs w:val="24"/>
          <w:lang w:val="en-GB"/>
        </w:rPr>
        <w:t>mudaraba</w:t>
      </w:r>
      <w:r w:rsidRPr="00CA11B9">
        <w:rPr>
          <w:rFonts w:ascii="Times New Roman" w:hAnsi="Times New Roman" w:cs="Times New Roman"/>
          <w:spacing w:val="-4"/>
          <w:sz w:val="24"/>
          <w:szCs w:val="24"/>
          <w:lang w:val="en-GB"/>
        </w:rPr>
        <w:t>. The results of the descriptive and statistical analysis of the questionnaire allowed us to demonstrate the main causes of reluctance of BI to use participatory products and to propose some solutions to favor this type of financing.</w:t>
      </w:r>
    </w:p>
    <w:p w14:paraId="1B3F7933" w14:textId="77777777" w:rsidR="00CA11B9" w:rsidRPr="00277929" w:rsidRDefault="00CA11B9" w:rsidP="00CA11B9">
      <w:pPr>
        <w:spacing w:before="120"/>
        <w:rPr>
          <w:rFonts w:ascii="Times New Roman" w:hAnsi="Times New Roman" w:cs="Times New Roman"/>
          <w:i/>
          <w:sz w:val="24"/>
          <w:szCs w:val="24"/>
          <w:lang w:val="en-US"/>
        </w:rPr>
      </w:pPr>
      <w:r w:rsidRPr="00A32392">
        <w:rPr>
          <w:rFonts w:ascii="Times New Roman" w:hAnsi="Times New Roman" w:cs="Times New Roman"/>
          <w:b/>
          <w:i/>
          <w:sz w:val="24"/>
          <w:szCs w:val="24"/>
          <w:lang w:val="en-US"/>
        </w:rPr>
        <w:t xml:space="preserve">Key </w:t>
      </w:r>
      <w:r w:rsidR="00BE3320" w:rsidRPr="00A32392">
        <w:rPr>
          <w:rFonts w:ascii="Times New Roman" w:hAnsi="Times New Roman" w:cs="Times New Roman"/>
          <w:b/>
          <w:i/>
          <w:sz w:val="24"/>
          <w:szCs w:val="24"/>
          <w:lang w:val="en-US"/>
        </w:rPr>
        <w:t>words</w:t>
      </w:r>
      <w:r w:rsidR="00BE3320" w:rsidRPr="00A32392">
        <w:rPr>
          <w:rFonts w:ascii="Times New Roman" w:hAnsi="Times New Roman" w:cs="Times New Roman"/>
          <w:i/>
          <w:sz w:val="24"/>
          <w:szCs w:val="24"/>
          <w:lang w:val="en-US"/>
        </w:rPr>
        <w:t>:</w:t>
      </w:r>
      <w:r w:rsidRPr="00A32392">
        <w:rPr>
          <w:rFonts w:ascii="Times New Roman" w:hAnsi="Times New Roman" w:cs="Times New Roman"/>
          <w:i/>
          <w:sz w:val="24"/>
          <w:szCs w:val="24"/>
          <w:lang w:val="en-US"/>
        </w:rPr>
        <w:t xml:space="preserve"> </w:t>
      </w:r>
      <w:r>
        <w:rPr>
          <w:rFonts w:ascii="Times New Roman" w:hAnsi="Times New Roman" w:cs="Times New Roman"/>
          <w:sz w:val="24"/>
          <w:szCs w:val="24"/>
          <w:lang w:val="en-GB"/>
        </w:rPr>
        <w:t xml:space="preserve">Islamic Bank, risk management, </w:t>
      </w:r>
      <w:r w:rsidRPr="00E62B24">
        <w:rPr>
          <w:rFonts w:ascii="Times New Roman" w:hAnsi="Times New Roman" w:cs="Times New Roman"/>
          <w:i/>
          <w:iCs/>
          <w:sz w:val="24"/>
          <w:szCs w:val="24"/>
          <w:lang w:val="en-GB"/>
        </w:rPr>
        <w:t>mousharaka</w:t>
      </w:r>
      <w:r>
        <w:rPr>
          <w:rFonts w:ascii="Times New Roman" w:hAnsi="Times New Roman" w:cs="Times New Roman"/>
          <w:sz w:val="24"/>
          <w:szCs w:val="24"/>
          <w:lang w:val="en-GB"/>
        </w:rPr>
        <w:t xml:space="preserve">, </w:t>
      </w:r>
      <w:r w:rsidRPr="00E62B24">
        <w:rPr>
          <w:rFonts w:ascii="Times New Roman" w:hAnsi="Times New Roman" w:cs="Times New Roman"/>
          <w:i/>
          <w:iCs/>
          <w:sz w:val="24"/>
          <w:szCs w:val="24"/>
          <w:lang w:val="en-GB"/>
        </w:rPr>
        <w:t>moudaraba</w:t>
      </w:r>
      <w:r>
        <w:rPr>
          <w:rFonts w:ascii="Times New Roman" w:hAnsi="Times New Roman" w:cs="Times New Roman"/>
          <w:sz w:val="24"/>
          <w:szCs w:val="24"/>
          <w:lang w:val="en-GB"/>
        </w:rPr>
        <w:t>, profit and l</w:t>
      </w:r>
      <w:r w:rsidRPr="00A32392">
        <w:rPr>
          <w:rFonts w:ascii="Times New Roman" w:hAnsi="Times New Roman" w:cs="Times New Roman"/>
          <w:sz w:val="24"/>
          <w:szCs w:val="24"/>
          <w:lang w:val="en-GB"/>
        </w:rPr>
        <w:t>oss sharing.</w:t>
      </w:r>
    </w:p>
    <w:p w14:paraId="6D1949A1" w14:textId="77777777" w:rsidR="00CA11B9" w:rsidRPr="00BE080A" w:rsidRDefault="00CA11B9" w:rsidP="00BB3307">
      <w:pPr>
        <w:spacing w:before="240" w:after="120"/>
        <w:jc w:val="center"/>
        <w:rPr>
          <w:b/>
          <w:bCs/>
          <w:sz w:val="26"/>
          <w:szCs w:val="26"/>
          <w:lang w:val="en-US"/>
        </w:rPr>
      </w:pPr>
      <w:r w:rsidRPr="00BE080A">
        <w:rPr>
          <w:b/>
          <w:bCs/>
          <w:sz w:val="26"/>
          <w:szCs w:val="26"/>
          <w:rtl/>
          <w:lang w:val="en-US"/>
        </w:rPr>
        <w:t>إدارة مخاطر أساليب التمويل الإسلامي التشاركي</w:t>
      </w:r>
    </w:p>
    <w:p w14:paraId="7E2A96DA" w14:textId="77777777" w:rsidR="00CA11B9" w:rsidRPr="00BB3307" w:rsidRDefault="00CA11B9" w:rsidP="00BB3307">
      <w:pPr>
        <w:jc w:val="right"/>
        <w:rPr>
          <w:b/>
          <w:bCs/>
          <w:sz w:val="26"/>
          <w:szCs w:val="26"/>
          <w:lang w:val="en-US"/>
        </w:rPr>
      </w:pPr>
      <w:r w:rsidRPr="00BB3307">
        <w:rPr>
          <w:b/>
          <w:bCs/>
          <w:sz w:val="26"/>
          <w:szCs w:val="26"/>
          <w:rtl/>
        </w:rPr>
        <w:t>ملخص</w:t>
      </w:r>
    </w:p>
    <w:p w14:paraId="42EA22A7" w14:textId="7FAF6454" w:rsidR="00CA11B9" w:rsidRPr="00CA11B9" w:rsidRDefault="00CA11B9" w:rsidP="00CA1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02124"/>
          <w:spacing w:val="-4"/>
          <w:sz w:val="26"/>
          <w:szCs w:val="26"/>
          <w:lang w:eastAsia="fr-FR"/>
        </w:rPr>
      </w:pPr>
      <w:r w:rsidRPr="00CA11B9">
        <w:rPr>
          <w:rFonts w:asciiTheme="minorBidi" w:eastAsia="Times New Roman" w:hAnsiTheme="minorBidi"/>
          <w:color w:val="202124"/>
          <w:spacing w:val="-4"/>
          <w:sz w:val="26"/>
          <w:szCs w:val="26"/>
          <w:rtl/>
          <w:lang w:eastAsia="fr-FR"/>
        </w:rPr>
        <w:t>تمثل تقنيات التمويل التشاركي النواة الصلبة للأعمال المصرفية الإسلامية لأنها تستند إلى مبدأ أساسي يكمن في تقاسم المخاطر والعوائد. ومع ذلك فإن أساليب التمويل هذه تولد مخاطر كبيرة للغاية يصعب إدارتها. مما يجعل البنوك الإسلامية مترددة في اللجوء إلى هذه طرق التمويل. يهدف بحثنا إلى التعرف على العوائق المختلفة التي تعيق الوساطة المالية التشاركية من خلال دراسة المخاطر المختلفة لأنماط التمويل التشاركي فضلاً عن تقنيات التخفيف منها.</w:t>
      </w:r>
      <w:r w:rsidRPr="00CA11B9">
        <w:rPr>
          <w:rFonts w:asciiTheme="minorBidi" w:eastAsia="Times New Roman" w:hAnsiTheme="minorBidi"/>
          <w:color w:val="202124"/>
          <w:spacing w:val="-4"/>
          <w:sz w:val="26"/>
          <w:szCs w:val="26"/>
          <w:lang w:eastAsia="fr-FR"/>
        </w:rPr>
        <w:t xml:space="preserve"> </w:t>
      </w:r>
      <w:r w:rsidRPr="00CA11B9">
        <w:rPr>
          <w:rFonts w:asciiTheme="minorBidi" w:eastAsia="Times New Roman" w:hAnsiTheme="minorBidi"/>
          <w:color w:val="202124"/>
          <w:spacing w:val="-4"/>
          <w:sz w:val="26"/>
          <w:szCs w:val="26"/>
          <w:rtl/>
          <w:lang w:eastAsia="fr-FR"/>
        </w:rPr>
        <w:t xml:space="preserve">في هذا السياق، استندت دراستنا التجريبية إلى عينة من 79 إطار معني بإدارة المخاطر في </w:t>
      </w:r>
      <w:r w:rsidRPr="00CA11B9">
        <w:rPr>
          <w:rFonts w:asciiTheme="minorBidi" w:hAnsiTheme="minorBidi"/>
          <w:spacing w:val="-4"/>
          <w:sz w:val="26"/>
          <w:szCs w:val="26"/>
          <w:rtl/>
        </w:rPr>
        <w:t xml:space="preserve">البنوك الإسلامية في دول </w:t>
      </w:r>
      <w:r w:rsidR="00E13FA6">
        <w:rPr>
          <w:rFonts w:asciiTheme="minorBidi" w:hAnsiTheme="minorBidi" w:hint="cs"/>
          <w:spacing w:val="-4"/>
          <w:sz w:val="26"/>
          <w:szCs w:val="26"/>
          <w:rtl/>
        </w:rPr>
        <w:t>مختلفة</w:t>
      </w:r>
      <w:r w:rsidRPr="00CA11B9">
        <w:rPr>
          <w:rFonts w:asciiTheme="minorBidi" w:hAnsiTheme="minorBidi"/>
          <w:spacing w:val="-4"/>
          <w:sz w:val="26"/>
          <w:szCs w:val="26"/>
          <w:rtl/>
        </w:rPr>
        <w:t xml:space="preserve"> بغية ا</w:t>
      </w:r>
      <w:r w:rsidRPr="00CA11B9">
        <w:rPr>
          <w:rFonts w:asciiTheme="minorBidi" w:eastAsia="Times New Roman" w:hAnsiTheme="minorBidi"/>
          <w:color w:val="202124"/>
          <w:spacing w:val="-4"/>
          <w:sz w:val="26"/>
          <w:szCs w:val="26"/>
          <w:rtl/>
          <w:lang w:eastAsia="fr-FR"/>
        </w:rPr>
        <w:t>لتحقق من تصوراتهم حول إدارة المخاطر المتعلقة بالمشاركة والمضاربة. مكنتنا نتائج التحليل الوصفي والإحصائي للاستبيان من توضيح الأسباب الرئيسية لعدم رغبة البنوك الإسلامية في استخدام المنتجات التشاركية واقتراح بعض الحلول لتعزيز هذا النوع من التمويل.</w:t>
      </w:r>
    </w:p>
    <w:p w14:paraId="148F8AA1" w14:textId="67BD6913" w:rsidR="00BA2670" w:rsidRDefault="00CA11B9" w:rsidP="00B007AC">
      <w:pPr>
        <w:bidi/>
        <w:spacing w:before="120"/>
        <w:rPr>
          <w:rFonts w:asciiTheme="minorBidi" w:eastAsia="Times New Roman" w:hAnsiTheme="minorBidi"/>
          <w:color w:val="202124"/>
          <w:sz w:val="26"/>
          <w:szCs w:val="26"/>
          <w:rtl/>
          <w:lang w:eastAsia="fr-FR" w:bidi="ar-DZ"/>
        </w:rPr>
      </w:pPr>
      <w:r>
        <w:rPr>
          <w:rFonts w:asciiTheme="minorBidi" w:hAnsiTheme="minorBidi" w:hint="cs"/>
          <w:b/>
          <w:bCs/>
          <w:sz w:val="26"/>
          <w:szCs w:val="26"/>
          <w:rtl/>
          <w:lang w:bidi="ar-DZ"/>
        </w:rPr>
        <w:t>ال</w:t>
      </w:r>
      <w:r w:rsidRPr="00CA11B9">
        <w:rPr>
          <w:rFonts w:asciiTheme="minorBidi" w:hAnsiTheme="minorBidi"/>
          <w:b/>
          <w:bCs/>
          <w:sz w:val="26"/>
          <w:szCs w:val="26"/>
          <w:rtl/>
        </w:rPr>
        <w:t xml:space="preserve">كلمات </w:t>
      </w:r>
      <w:r>
        <w:rPr>
          <w:rFonts w:asciiTheme="minorBidi" w:hAnsiTheme="minorBidi" w:hint="cs"/>
          <w:b/>
          <w:bCs/>
          <w:sz w:val="26"/>
          <w:szCs w:val="26"/>
          <w:rtl/>
        </w:rPr>
        <w:t>ال</w:t>
      </w:r>
      <w:r w:rsidRPr="00CA11B9">
        <w:rPr>
          <w:rFonts w:asciiTheme="minorBidi" w:hAnsiTheme="minorBidi"/>
          <w:b/>
          <w:bCs/>
          <w:sz w:val="26"/>
          <w:szCs w:val="26"/>
          <w:rtl/>
        </w:rPr>
        <w:t xml:space="preserve">مفتاحية: </w:t>
      </w:r>
      <w:r w:rsidRPr="00CA11B9">
        <w:rPr>
          <w:rFonts w:asciiTheme="minorBidi" w:hAnsiTheme="minorBidi"/>
          <w:sz w:val="26"/>
          <w:szCs w:val="26"/>
          <w:rtl/>
        </w:rPr>
        <w:t>البنوك الإسلامية،</w:t>
      </w:r>
      <w:r w:rsidRPr="00CA11B9">
        <w:rPr>
          <w:rFonts w:asciiTheme="minorBidi" w:eastAsia="Times New Roman" w:hAnsiTheme="minorBidi"/>
          <w:color w:val="202124"/>
          <w:sz w:val="26"/>
          <w:szCs w:val="26"/>
          <w:rtl/>
          <w:lang w:eastAsia="fr-FR"/>
        </w:rPr>
        <w:t xml:space="preserve"> تسيير المخاطر، المشاركة، المضاربة، </w:t>
      </w:r>
      <w:r w:rsidRPr="00CA11B9">
        <w:rPr>
          <w:rFonts w:asciiTheme="minorBidi" w:eastAsia="Times New Roman" w:hAnsiTheme="minorBidi"/>
          <w:color w:val="202124"/>
          <w:sz w:val="26"/>
          <w:szCs w:val="26"/>
          <w:rtl/>
          <w:lang w:eastAsia="fr-FR" w:bidi="ar-DZ"/>
        </w:rPr>
        <w:t>تقاسم الأرباح والخسائر.</w:t>
      </w:r>
      <w:bookmarkStart w:id="42" w:name="_Toc114866025"/>
    </w:p>
    <w:p w14:paraId="6874EAC5" w14:textId="77777777" w:rsidR="00BA2670" w:rsidRDefault="00BA2670">
      <w:pPr>
        <w:rPr>
          <w:rFonts w:asciiTheme="minorBidi" w:eastAsia="Times New Roman" w:hAnsiTheme="minorBidi"/>
          <w:color w:val="202124"/>
          <w:sz w:val="26"/>
          <w:szCs w:val="26"/>
          <w:rtl/>
          <w:lang w:eastAsia="fr-FR" w:bidi="ar-DZ"/>
        </w:rPr>
      </w:pPr>
      <w:r>
        <w:rPr>
          <w:rFonts w:asciiTheme="minorBidi" w:eastAsia="Times New Roman" w:hAnsiTheme="minorBidi"/>
          <w:color w:val="202124"/>
          <w:sz w:val="26"/>
          <w:szCs w:val="26"/>
          <w:rtl/>
          <w:lang w:eastAsia="fr-FR" w:bidi="ar-DZ"/>
        </w:rPr>
        <w:br w:type="page"/>
      </w:r>
    </w:p>
    <w:p w14:paraId="5C9B01AB" w14:textId="77777777" w:rsidR="002760B2" w:rsidRPr="00FC3041" w:rsidRDefault="00DB4316" w:rsidP="004477F8">
      <w:pPr>
        <w:pStyle w:val="Titre1"/>
        <w:jc w:val="center"/>
        <w:rPr>
          <w:smallCaps/>
          <w:spacing w:val="20"/>
          <w:sz w:val="48"/>
        </w:rPr>
      </w:pPr>
      <w:bookmarkStart w:id="43" w:name="_Toc116257054"/>
      <w:bookmarkStart w:id="44" w:name="_Toc182298574"/>
      <w:bookmarkStart w:id="45" w:name="_Toc182309370"/>
      <w:r w:rsidRPr="00FC3041">
        <w:rPr>
          <w:smallCaps/>
          <w:spacing w:val="20"/>
          <w:sz w:val="48"/>
        </w:rPr>
        <w:lastRenderedPageBreak/>
        <w:t>Liste des abréviation</w:t>
      </w:r>
      <w:bookmarkEnd w:id="30"/>
      <w:bookmarkEnd w:id="31"/>
      <w:bookmarkEnd w:id="32"/>
      <w:bookmarkEnd w:id="33"/>
      <w:bookmarkEnd w:id="34"/>
      <w:bookmarkEnd w:id="35"/>
      <w:bookmarkEnd w:id="36"/>
      <w:bookmarkEnd w:id="37"/>
      <w:bookmarkEnd w:id="38"/>
      <w:bookmarkEnd w:id="39"/>
      <w:bookmarkEnd w:id="40"/>
      <w:bookmarkEnd w:id="41"/>
      <w:r w:rsidR="00397028" w:rsidRPr="00FC3041">
        <w:rPr>
          <w:smallCaps/>
          <w:spacing w:val="20"/>
          <w:sz w:val="48"/>
        </w:rPr>
        <w:t>s</w:t>
      </w:r>
      <w:bookmarkEnd w:id="42"/>
      <w:bookmarkEnd w:id="43"/>
      <w:bookmarkEnd w:id="44"/>
      <w:bookmarkEnd w:id="45"/>
    </w:p>
    <w:tbl>
      <w:tblPr>
        <w:tblStyle w:val="Listeclaire-Accent11"/>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28" w:type="dxa"/>
        </w:tblCellMar>
        <w:tblLook w:val="0620" w:firstRow="1" w:lastRow="0" w:firstColumn="0" w:lastColumn="0" w:noHBand="1" w:noVBand="1"/>
      </w:tblPr>
      <w:tblGrid>
        <w:gridCol w:w="1247"/>
        <w:gridCol w:w="3458"/>
        <w:gridCol w:w="1134"/>
        <w:gridCol w:w="3231"/>
      </w:tblGrid>
      <w:tr w:rsidR="00BA2670" w:rsidRPr="002B005F" w14:paraId="1871FDAB" w14:textId="77777777" w:rsidTr="003010C3">
        <w:trPr>
          <w:cnfStyle w:val="100000000000" w:firstRow="1" w:lastRow="0" w:firstColumn="0" w:lastColumn="0" w:oddVBand="0" w:evenVBand="0" w:oddHBand="0" w:evenHBand="0" w:firstRowFirstColumn="0" w:firstRowLastColumn="0" w:lastRowFirstColumn="0" w:lastRowLastColumn="0"/>
          <w:trHeight w:val="397"/>
          <w:jc w:val="center"/>
        </w:trPr>
        <w:tc>
          <w:tcPr>
            <w:tcW w:w="1247" w:type="dxa"/>
            <w:shd w:val="clear" w:color="auto" w:fill="auto"/>
            <w:vAlign w:val="center"/>
          </w:tcPr>
          <w:p w14:paraId="2B0A1E25" w14:textId="77777777" w:rsidR="00BA2670" w:rsidRPr="002B005F" w:rsidRDefault="00BA2670" w:rsidP="003010C3">
            <w:pPr>
              <w:jc w:val="left"/>
              <w:rPr>
                <w:rFonts w:ascii="Times New Roman" w:hAnsi="Times New Roman" w:cs="Times New Roman"/>
                <w:color w:val="auto"/>
              </w:rPr>
            </w:pPr>
            <w:r w:rsidRPr="002B005F">
              <w:rPr>
                <w:rFonts w:ascii="Times New Roman" w:eastAsia="Calibri" w:hAnsi="Times New Roman" w:cs="Times New Roman"/>
                <w:color w:val="auto"/>
                <w:lang w:val="en-GB"/>
              </w:rPr>
              <w:t>AAOIFI</w:t>
            </w:r>
          </w:p>
        </w:tc>
        <w:tc>
          <w:tcPr>
            <w:tcW w:w="3458" w:type="dxa"/>
            <w:shd w:val="clear" w:color="auto" w:fill="auto"/>
            <w:vAlign w:val="center"/>
          </w:tcPr>
          <w:p w14:paraId="3E333733" w14:textId="77777777" w:rsidR="00BA2670" w:rsidRPr="002B005F" w:rsidRDefault="00BA2670" w:rsidP="003010C3">
            <w:pPr>
              <w:jc w:val="left"/>
              <w:rPr>
                <w:rFonts w:ascii="Times New Roman" w:hAnsi="Times New Roman" w:cs="Times New Roman"/>
                <w:b w:val="0"/>
                <w:bCs w:val="0"/>
                <w:color w:val="auto"/>
                <w:spacing w:val="-4"/>
                <w:lang w:val="en-GB"/>
              </w:rPr>
            </w:pPr>
            <w:r w:rsidRPr="002B005F">
              <w:rPr>
                <w:rFonts w:ascii="Times New Roman" w:eastAsia="Calibri" w:hAnsi="Times New Roman" w:cs="Times New Roman"/>
                <w:b w:val="0"/>
                <w:bCs w:val="0"/>
                <w:color w:val="auto"/>
                <w:spacing w:val="-4"/>
                <w:lang w:val="en-GB"/>
              </w:rPr>
              <w:t>Accounting and Auditing Organisation for Islamic Financial Institutions</w:t>
            </w:r>
          </w:p>
        </w:tc>
        <w:tc>
          <w:tcPr>
            <w:tcW w:w="1134" w:type="dxa"/>
            <w:shd w:val="clear" w:color="auto" w:fill="auto"/>
            <w:vAlign w:val="center"/>
          </w:tcPr>
          <w:p w14:paraId="4DD97D7D" w14:textId="77777777" w:rsidR="00BA2670" w:rsidRPr="002B005F" w:rsidRDefault="00BA2670" w:rsidP="003010C3">
            <w:pPr>
              <w:jc w:val="left"/>
              <w:rPr>
                <w:rStyle w:val="Accentuation"/>
                <w:rFonts w:ascii="Times New Roman" w:hAnsi="Times New Roman" w:cs="Times New Roman"/>
                <w:i w:val="0"/>
                <w:iCs w:val="0"/>
                <w:color w:val="auto"/>
                <w:shd w:val="clear" w:color="auto" w:fill="FFFFFF"/>
              </w:rPr>
            </w:pPr>
            <w:r w:rsidRPr="002B005F">
              <w:rPr>
                <w:rStyle w:val="Accentuation"/>
                <w:rFonts w:ascii="Times New Roman" w:hAnsi="Times New Roman" w:cs="Times New Roman"/>
                <w:i w:val="0"/>
                <w:iCs w:val="0"/>
                <w:color w:val="auto"/>
                <w:shd w:val="clear" w:color="auto" w:fill="FFFFFF"/>
              </w:rPr>
              <w:t>IRB</w:t>
            </w:r>
          </w:p>
        </w:tc>
        <w:tc>
          <w:tcPr>
            <w:tcW w:w="3231" w:type="dxa"/>
            <w:shd w:val="clear" w:color="auto" w:fill="auto"/>
            <w:vAlign w:val="center"/>
          </w:tcPr>
          <w:p w14:paraId="2BAFF5B5" w14:textId="77777777" w:rsidR="00BA2670" w:rsidRPr="002B005F" w:rsidRDefault="00BA2670" w:rsidP="003010C3">
            <w:pPr>
              <w:jc w:val="left"/>
              <w:rPr>
                <w:rStyle w:val="Accentuation"/>
                <w:rFonts w:ascii="Times New Roman" w:hAnsi="Times New Roman" w:cs="Times New Roman"/>
                <w:b w:val="0"/>
                <w:bCs w:val="0"/>
                <w:i w:val="0"/>
                <w:iCs w:val="0"/>
                <w:color w:val="auto"/>
                <w:shd w:val="clear" w:color="auto" w:fill="FFFFFF"/>
              </w:rPr>
            </w:pPr>
            <w:r w:rsidRPr="002B005F">
              <w:rPr>
                <w:rFonts w:ascii="Times New Roman" w:hAnsi="Times New Roman" w:cs="Times New Roman"/>
                <w:b w:val="0"/>
                <w:bCs w:val="0"/>
                <w:color w:val="auto"/>
              </w:rPr>
              <w:t>Internal Rating Based</w:t>
            </w:r>
          </w:p>
        </w:tc>
      </w:tr>
      <w:tr w:rsidR="00BA2670" w:rsidRPr="002B005F" w14:paraId="36994AE3" w14:textId="77777777" w:rsidTr="003010C3">
        <w:trPr>
          <w:trHeight w:val="397"/>
          <w:jc w:val="center"/>
        </w:trPr>
        <w:tc>
          <w:tcPr>
            <w:tcW w:w="1247" w:type="dxa"/>
            <w:shd w:val="clear" w:color="auto" w:fill="auto"/>
            <w:vAlign w:val="center"/>
          </w:tcPr>
          <w:p w14:paraId="681D4596" w14:textId="77777777" w:rsidR="00BA2670" w:rsidRPr="002B005F" w:rsidRDefault="00BA2670" w:rsidP="003010C3">
            <w:pPr>
              <w:jc w:val="left"/>
              <w:rPr>
                <w:rFonts w:ascii="Times New Roman" w:hAnsi="Times New Roman" w:cs="Times New Roman"/>
              </w:rPr>
            </w:pPr>
            <w:r w:rsidRPr="002B005F">
              <w:rPr>
                <w:rFonts w:ascii="Times New Roman" w:eastAsia="Calibri" w:hAnsi="Times New Roman" w:cs="Times New Roman"/>
                <w:b/>
                <w:bCs/>
                <w:lang w:val="en-GB"/>
              </w:rPr>
              <w:t>AG</w:t>
            </w:r>
          </w:p>
        </w:tc>
        <w:tc>
          <w:tcPr>
            <w:tcW w:w="3458" w:type="dxa"/>
            <w:shd w:val="clear" w:color="auto" w:fill="auto"/>
            <w:vAlign w:val="center"/>
          </w:tcPr>
          <w:p w14:paraId="46037BBC" w14:textId="77777777" w:rsidR="00BA2670" w:rsidRPr="002B005F" w:rsidRDefault="00BA2670" w:rsidP="003010C3">
            <w:pPr>
              <w:jc w:val="left"/>
              <w:rPr>
                <w:rFonts w:ascii="Times New Roman" w:hAnsi="Times New Roman" w:cs="Times New Roman"/>
              </w:rPr>
            </w:pPr>
            <w:r w:rsidRPr="002B005F">
              <w:rPr>
                <w:rFonts w:ascii="Times New Roman" w:eastAsia="Calibri" w:hAnsi="Times New Roman" w:cs="Times New Roman"/>
                <w:lang w:val="en-GB"/>
              </w:rPr>
              <w:t>Assemblée Générale</w:t>
            </w:r>
          </w:p>
        </w:tc>
        <w:tc>
          <w:tcPr>
            <w:tcW w:w="1134" w:type="dxa"/>
            <w:shd w:val="clear" w:color="auto" w:fill="auto"/>
            <w:vAlign w:val="center"/>
          </w:tcPr>
          <w:p w14:paraId="0EAEB8E3" w14:textId="77777777" w:rsidR="00BA2670" w:rsidRPr="002B005F" w:rsidRDefault="00BA2670" w:rsidP="003010C3">
            <w:pPr>
              <w:jc w:val="left"/>
              <w:rPr>
                <w:rStyle w:val="Accentuation"/>
                <w:rFonts w:ascii="Times New Roman" w:hAnsi="Times New Roman" w:cs="Times New Roman"/>
                <w:b/>
                <w:bCs/>
                <w:i w:val="0"/>
                <w:iCs w:val="0"/>
                <w:shd w:val="clear" w:color="auto" w:fill="FFFFFF"/>
              </w:rPr>
            </w:pPr>
            <w:r w:rsidRPr="002B005F">
              <w:rPr>
                <w:rStyle w:val="Accentuation"/>
                <w:rFonts w:ascii="Times New Roman" w:hAnsi="Times New Roman" w:cs="Times New Roman"/>
                <w:b/>
                <w:bCs/>
                <w:i w:val="0"/>
                <w:iCs w:val="0"/>
                <w:shd w:val="clear" w:color="auto" w:fill="FFFFFF"/>
              </w:rPr>
              <w:t>IRP</w:t>
            </w:r>
          </w:p>
        </w:tc>
        <w:tc>
          <w:tcPr>
            <w:tcW w:w="3231" w:type="dxa"/>
            <w:shd w:val="clear" w:color="auto" w:fill="auto"/>
            <w:vAlign w:val="center"/>
          </w:tcPr>
          <w:p w14:paraId="5FF78AEB" w14:textId="77777777" w:rsidR="00BA2670" w:rsidRPr="002B005F" w:rsidRDefault="00BA2670" w:rsidP="003010C3">
            <w:pPr>
              <w:jc w:val="left"/>
              <w:rPr>
                <w:rStyle w:val="Accentuation"/>
                <w:rFonts w:ascii="Times New Roman" w:hAnsi="Times New Roman" w:cs="Times New Roman"/>
                <w:i w:val="0"/>
                <w:iCs w:val="0"/>
                <w:shd w:val="clear" w:color="auto" w:fill="FFFFFF"/>
              </w:rPr>
            </w:pPr>
            <w:r w:rsidRPr="002B005F">
              <w:rPr>
                <w:rFonts w:ascii="Times New Roman" w:hAnsi="Times New Roman" w:cs="Times New Roman"/>
              </w:rPr>
              <w:t>Investment Risk Reserve</w:t>
            </w:r>
          </w:p>
        </w:tc>
      </w:tr>
      <w:tr w:rsidR="00BA2670" w:rsidRPr="002B005F" w14:paraId="4DBA9C6E" w14:textId="77777777" w:rsidTr="003010C3">
        <w:trPr>
          <w:trHeight w:val="397"/>
          <w:jc w:val="center"/>
        </w:trPr>
        <w:tc>
          <w:tcPr>
            <w:tcW w:w="1247" w:type="dxa"/>
            <w:shd w:val="clear" w:color="auto" w:fill="auto"/>
            <w:vAlign w:val="center"/>
          </w:tcPr>
          <w:p w14:paraId="31DAC76C"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b/>
                <w:bCs/>
              </w:rPr>
              <w:t>APT</w:t>
            </w:r>
          </w:p>
        </w:tc>
        <w:tc>
          <w:tcPr>
            <w:tcW w:w="3458" w:type="dxa"/>
            <w:shd w:val="clear" w:color="auto" w:fill="auto"/>
            <w:vAlign w:val="center"/>
          </w:tcPr>
          <w:p w14:paraId="312155B9"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Arbitrage Pricing Theory</w:t>
            </w:r>
          </w:p>
        </w:tc>
        <w:tc>
          <w:tcPr>
            <w:tcW w:w="1134" w:type="dxa"/>
            <w:shd w:val="clear" w:color="auto" w:fill="auto"/>
            <w:vAlign w:val="center"/>
          </w:tcPr>
          <w:p w14:paraId="66E26BBA" w14:textId="77777777" w:rsidR="00BA2670" w:rsidRPr="002B005F" w:rsidRDefault="00BA2670" w:rsidP="003010C3">
            <w:pPr>
              <w:jc w:val="left"/>
              <w:rPr>
                <w:rFonts w:ascii="Times New Roman" w:hAnsi="Times New Roman" w:cs="Times New Roman"/>
                <w:b/>
                <w:bCs/>
              </w:rPr>
            </w:pPr>
            <w:r w:rsidRPr="002B005F">
              <w:rPr>
                <w:rStyle w:val="Accentuation"/>
                <w:rFonts w:ascii="Times New Roman" w:hAnsi="Times New Roman" w:cs="Times New Roman"/>
                <w:b/>
                <w:bCs/>
                <w:i w:val="0"/>
                <w:iCs w:val="0"/>
                <w:shd w:val="clear" w:color="auto" w:fill="FFFFFF"/>
              </w:rPr>
              <w:t>LCR</w:t>
            </w:r>
          </w:p>
        </w:tc>
        <w:tc>
          <w:tcPr>
            <w:tcW w:w="3231" w:type="dxa"/>
            <w:shd w:val="clear" w:color="auto" w:fill="auto"/>
            <w:vAlign w:val="center"/>
          </w:tcPr>
          <w:p w14:paraId="174BB064"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Liquidity Coverage Ratio</w:t>
            </w:r>
          </w:p>
        </w:tc>
      </w:tr>
      <w:tr w:rsidR="00BA2670" w:rsidRPr="002B005F" w14:paraId="12876C14" w14:textId="77777777" w:rsidTr="003010C3">
        <w:trPr>
          <w:trHeight w:val="397"/>
          <w:jc w:val="center"/>
        </w:trPr>
        <w:tc>
          <w:tcPr>
            <w:tcW w:w="1247" w:type="dxa"/>
            <w:shd w:val="clear" w:color="auto" w:fill="auto"/>
            <w:vAlign w:val="center"/>
          </w:tcPr>
          <w:p w14:paraId="0B101955" w14:textId="77777777" w:rsidR="00BA2670" w:rsidRPr="002B005F" w:rsidRDefault="00BA2670" w:rsidP="003010C3">
            <w:pPr>
              <w:jc w:val="left"/>
              <w:rPr>
                <w:rFonts w:ascii="Times New Roman" w:hAnsi="Times New Roman" w:cs="Times New Roman"/>
              </w:rPr>
            </w:pPr>
            <w:r w:rsidRPr="002B005F">
              <w:rPr>
                <w:rFonts w:ascii="Times New Roman" w:eastAsia="Calibri" w:hAnsi="Times New Roman" w:cs="Times New Roman"/>
                <w:b/>
                <w:bCs/>
                <w:lang w:val="en-GB"/>
              </w:rPr>
              <w:t>BI</w:t>
            </w:r>
          </w:p>
        </w:tc>
        <w:tc>
          <w:tcPr>
            <w:tcW w:w="3458" w:type="dxa"/>
            <w:shd w:val="clear" w:color="auto" w:fill="auto"/>
            <w:vAlign w:val="center"/>
          </w:tcPr>
          <w:p w14:paraId="03A87E8A" w14:textId="69A52D78" w:rsidR="00BA2670" w:rsidRPr="002B005F" w:rsidRDefault="00BA2670" w:rsidP="003010C3">
            <w:pPr>
              <w:jc w:val="left"/>
              <w:rPr>
                <w:rFonts w:ascii="Times New Roman" w:hAnsi="Times New Roman" w:cs="Times New Roman"/>
              </w:rPr>
            </w:pPr>
            <w:r w:rsidRPr="002B005F">
              <w:rPr>
                <w:rFonts w:ascii="Times New Roman" w:eastAsia="Calibri" w:hAnsi="Times New Roman" w:cs="Times New Roman"/>
                <w:lang w:val="en-GB"/>
              </w:rPr>
              <w:t xml:space="preserve">Banque </w:t>
            </w:r>
            <w:r w:rsidR="005744DA">
              <w:rPr>
                <w:rFonts w:ascii="Times New Roman" w:eastAsia="Calibri" w:hAnsi="Times New Roman" w:cs="Times New Roman"/>
                <w:lang w:val="en-GB"/>
              </w:rPr>
              <w:t>islamique</w:t>
            </w:r>
          </w:p>
        </w:tc>
        <w:tc>
          <w:tcPr>
            <w:tcW w:w="1134" w:type="dxa"/>
            <w:shd w:val="clear" w:color="auto" w:fill="auto"/>
            <w:vAlign w:val="center"/>
          </w:tcPr>
          <w:p w14:paraId="720B317F" w14:textId="77777777" w:rsidR="00BA2670" w:rsidRPr="002B005F" w:rsidRDefault="00BA2670" w:rsidP="003010C3">
            <w:pPr>
              <w:jc w:val="left"/>
              <w:rPr>
                <w:rStyle w:val="Accentuation"/>
                <w:rFonts w:ascii="Times New Roman" w:hAnsi="Times New Roman" w:cs="Times New Roman"/>
                <w:b/>
                <w:bCs/>
                <w:i w:val="0"/>
                <w:iCs w:val="0"/>
                <w:shd w:val="clear" w:color="auto" w:fill="FFFFFF"/>
              </w:rPr>
            </w:pPr>
            <w:r w:rsidRPr="002B005F">
              <w:rPr>
                <w:rFonts w:ascii="Times New Roman" w:eastAsia="Calibri" w:hAnsi="Times New Roman" w:cs="Times New Roman"/>
                <w:b/>
                <w:bCs/>
                <w:lang w:val="en-GB"/>
              </w:rPr>
              <w:t>LIBOR</w:t>
            </w:r>
          </w:p>
        </w:tc>
        <w:tc>
          <w:tcPr>
            <w:tcW w:w="3231" w:type="dxa"/>
            <w:shd w:val="clear" w:color="auto" w:fill="auto"/>
            <w:vAlign w:val="center"/>
          </w:tcPr>
          <w:p w14:paraId="3276CC46" w14:textId="77777777" w:rsidR="00BA2670" w:rsidRPr="002B005F" w:rsidRDefault="00BA2670" w:rsidP="003010C3">
            <w:pPr>
              <w:jc w:val="left"/>
              <w:rPr>
                <w:rFonts w:ascii="Times New Roman" w:hAnsi="Times New Roman" w:cs="Times New Roman"/>
              </w:rPr>
            </w:pPr>
            <w:r w:rsidRPr="002B005F">
              <w:rPr>
                <w:rStyle w:val="Accentuation"/>
                <w:rFonts w:ascii="Times New Roman" w:hAnsi="Times New Roman" w:cs="Times New Roman"/>
                <w:i w:val="0"/>
                <w:iCs w:val="0"/>
                <w:spacing w:val="3"/>
                <w:shd w:val="clear" w:color="auto" w:fill="FFFFFF"/>
              </w:rPr>
              <w:t>London Interbank Offered Rate</w:t>
            </w:r>
          </w:p>
        </w:tc>
      </w:tr>
      <w:tr w:rsidR="00BA2670" w:rsidRPr="002B005F" w14:paraId="233BAAC2" w14:textId="77777777" w:rsidTr="003010C3">
        <w:trPr>
          <w:trHeight w:val="397"/>
          <w:jc w:val="center"/>
        </w:trPr>
        <w:tc>
          <w:tcPr>
            <w:tcW w:w="1247" w:type="dxa"/>
            <w:shd w:val="clear" w:color="auto" w:fill="auto"/>
            <w:vAlign w:val="center"/>
          </w:tcPr>
          <w:p w14:paraId="7049FC27" w14:textId="77777777" w:rsidR="00BA2670" w:rsidRPr="002B005F" w:rsidRDefault="00BA2670" w:rsidP="003010C3">
            <w:pPr>
              <w:jc w:val="left"/>
              <w:rPr>
                <w:rFonts w:ascii="Times New Roman" w:hAnsi="Times New Roman" w:cs="Times New Roman"/>
              </w:rPr>
            </w:pPr>
            <w:r w:rsidRPr="002B005F">
              <w:rPr>
                <w:rFonts w:ascii="Times New Roman" w:eastAsia="Calibri" w:hAnsi="Times New Roman" w:cs="Times New Roman"/>
                <w:b/>
                <w:bCs/>
                <w:lang w:val="en-GB"/>
              </w:rPr>
              <w:t>BID</w:t>
            </w:r>
          </w:p>
        </w:tc>
        <w:tc>
          <w:tcPr>
            <w:tcW w:w="3458" w:type="dxa"/>
            <w:shd w:val="clear" w:color="auto" w:fill="auto"/>
            <w:vAlign w:val="center"/>
          </w:tcPr>
          <w:p w14:paraId="615B498B" w14:textId="77777777" w:rsidR="00BA2670" w:rsidRPr="002B005F" w:rsidRDefault="00BA2670" w:rsidP="003010C3">
            <w:pPr>
              <w:jc w:val="left"/>
              <w:rPr>
                <w:rFonts w:ascii="Times New Roman" w:hAnsi="Times New Roman" w:cs="Times New Roman"/>
                <w:spacing w:val="-8"/>
              </w:rPr>
            </w:pPr>
            <w:r w:rsidRPr="002B005F">
              <w:rPr>
                <w:rFonts w:ascii="Times New Roman" w:hAnsi="Times New Roman" w:cs="Times New Roman"/>
                <w:spacing w:val="-8"/>
              </w:rPr>
              <w:t>Banque Islamique de Développement</w:t>
            </w:r>
          </w:p>
        </w:tc>
        <w:tc>
          <w:tcPr>
            <w:tcW w:w="1134" w:type="dxa"/>
            <w:shd w:val="clear" w:color="auto" w:fill="auto"/>
            <w:vAlign w:val="center"/>
          </w:tcPr>
          <w:p w14:paraId="06215090" w14:textId="77777777" w:rsidR="00BA2670" w:rsidRPr="002B005F" w:rsidRDefault="00BA2670" w:rsidP="003010C3">
            <w:pPr>
              <w:jc w:val="left"/>
              <w:rPr>
                <w:rFonts w:ascii="Times New Roman" w:eastAsia="Calibri" w:hAnsi="Times New Roman" w:cs="Times New Roman"/>
                <w:b/>
                <w:bCs/>
                <w:lang w:val="en-GB"/>
              </w:rPr>
            </w:pPr>
            <w:r w:rsidRPr="002B005F">
              <w:rPr>
                <w:rStyle w:val="Accentuation"/>
                <w:rFonts w:ascii="Times New Roman" w:hAnsi="Times New Roman" w:cs="Times New Roman"/>
                <w:b/>
                <w:bCs/>
                <w:i w:val="0"/>
                <w:iCs w:val="0"/>
                <w:spacing w:val="3"/>
                <w:shd w:val="clear" w:color="auto" w:fill="FFFFFF"/>
              </w:rPr>
              <w:t>MEDAF</w:t>
            </w:r>
          </w:p>
        </w:tc>
        <w:tc>
          <w:tcPr>
            <w:tcW w:w="3231" w:type="dxa"/>
            <w:shd w:val="clear" w:color="auto" w:fill="auto"/>
            <w:vAlign w:val="center"/>
          </w:tcPr>
          <w:p w14:paraId="471C497A" w14:textId="77777777" w:rsidR="00BA2670" w:rsidRPr="002B005F" w:rsidRDefault="00BA2670" w:rsidP="003010C3">
            <w:pPr>
              <w:jc w:val="left"/>
              <w:rPr>
                <w:rStyle w:val="Accentuation"/>
                <w:rFonts w:ascii="Times New Roman" w:hAnsi="Times New Roman" w:cs="Times New Roman"/>
                <w:i w:val="0"/>
                <w:iCs w:val="0"/>
                <w:spacing w:val="3"/>
                <w:shd w:val="clear" w:color="auto" w:fill="FFFFFF"/>
              </w:rPr>
            </w:pPr>
            <w:r w:rsidRPr="002B005F">
              <w:rPr>
                <w:rFonts w:ascii="Times New Roman" w:hAnsi="Times New Roman" w:cs="Times New Roman"/>
              </w:rPr>
              <w:t>Modèle d'Evaluation Des Actifs Financiers</w:t>
            </w:r>
          </w:p>
        </w:tc>
      </w:tr>
      <w:tr w:rsidR="00BA2670" w:rsidRPr="002B005F" w14:paraId="64625D8B" w14:textId="77777777" w:rsidTr="003010C3">
        <w:trPr>
          <w:trHeight w:val="397"/>
          <w:jc w:val="center"/>
        </w:trPr>
        <w:tc>
          <w:tcPr>
            <w:tcW w:w="1247" w:type="dxa"/>
            <w:shd w:val="clear" w:color="auto" w:fill="auto"/>
            <w:vAlign w:val="center"/>
          </w:tcPr>
          <w:p w14:paraId="43129B5C"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b/>
                <w:bCs/>
              </w:rPr>
              <w:t>CA</w:t>
            </w:r>
          </w:p>
        </w:tc>
        <w:tc>
          <w:tcPr>
            <w:tcW w:w="3458" w:type="dxa"/>
            <w:shd w:val="clear" w:color="auto" w:fill="auto"/>
            <w:vAlign w:val="center"/>
          </w:tcPr>
          <w:p w14:paraId="3BDEEBD1"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Conseil d’Administration</w:t>
            </w:r>
          </w:p>
        </w:tc>
        <w:tc>
          <w:tcPr>
            <w:tcW w:w="1134" w:type="dxa"/>
            <w:shd w:val="clear" w:color="auto" w:fill="auto"/>
            <w:vAlign w:val="center"/>
          </w:tcPr>
          <w:p w14:paraId="72099122" w14:textId="77777777" w:rsidR="00BA2670" w:rsidRPr="002B005F" w:rsidRDefault="00BA2670" w:rsidP="003010C3">
            <w:pPr>
              <w:jc w:val="left"/>
              <w:rPr>
                <w:rStyle w:val="Accentuation"/>
                <w:rFonts w:ascii="Times New Roman" w:hAnsi="Times New Roman" w:cs="Times New Roman"/>
                <w:b/>
                <w:bCs/>
                <w:i w:val="0"/>
                <w:iCs w:val="0"/>
                <w:spacing w:val="3"/>
                <w:shd w:val="clear" w:color="auto" w:fill="FFFFFF"/>
              </w:rPr>
            </w:pPr>
            <w:r w:rsidRPr="002B005F">
              <w:rPr>
                <w:rFonts w:ascii="Times New Roman" w:hAnsi="Times New Roman" w:cs="Times New Roman"/>
                <w:b/>
                <w:bCs/>
              </w:rPr>
              <w:t>NSFR</w:t>
            </w:r>
          </w:p>
        </w:tc>
        <w:tc>
          <w:tcPr>
            <w:tcW w:w="3231" w:type="dxa"/>
            <w:shd w:val="clear" w:color="auto" w:fill="auto"/>
            <w:vAlign w:val="center"/>
          </w:tcPr>
          <w:p w14:paraId="7411A7E1"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Net Stable Funding Ratio</w:t>
            </w:r>
          </w:p>
        </w:tc>
      </w:tr>
      <w:tr w:rsidR="00BA2670" w:rsidRPr="002B005F" w14:paraId="27C6903A" w14:textId="77777777" w:rsidTr="003010C3">
        <w:trPr>
          <w:trHeight w:val="397"/>
          <w:jc w:val="center"/>
        </w:trPr>
        <w:tc>
          <w:tcPr>
            <w:tcW w:w="1247" w:type="dxa"/>
            <w:shd w:val="clear" w:color="auto" w:fill="auto"/>
            <w:vAlign w:val="center"/>
          </w:tcPr>
          <w:p w14:paraId="2CAB929C"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b/>
                <w:bCs/>
              </w:rPr>
              <w:t>CDS</w:t>
            </w:r>
          </w:p>
        </w:tc>
        <w:tc>
          <w:tcPr>
            <w:tcW w:w="3458" w:type="dxa"/>
            <w:shd w:val="clear" w:color="auto" w:fill="auto"/>
            <w:vAlign w:val="center"/>
          </w:tcPr>
          <w:p w14:paraId="4D2440D7"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Credit Default Swap</w:t>
            </w:r>
          </w:p>
        </w:tc>
        <w:tc>
          <w:tcPr>
            <w:tcW w:w="1134" w:type="dxa"/>
            <w:shd w:val="clear" w:color="auto" w:fill="auto"/>
            <w:vAlign w:val="center"/>
          </w:tcPr>
          <w:p w14:paraId="02D84D9A" w14:textId="77777777" w:rsidR="00BA2670" w:rsidRPr="002B005F" w:rsidRDefault="00BA2670" w:rsidP="003010C3">
            <w:pPr>
              <w:jc w:val="left"/>
              <w:rPr>
                <w:rFonts w:ascii="Times New Roman" w:hAnsi="Times New Roman" w:cs="Times New Roman"/>
                <w:b/>
                <w:bCs/>
              </w:rPr>
            </w:pPr>
            <w:r w:rsidRPr="002B005F">
              <w:rPr>
                <w:rFonts w:ascii="Times New Roman" w:hAnsi="Times New Roman" w:cs="Times New Roman"/>
                <w:b/>
                <w:bCs/>
              </w:rPr>
              <w:t>OCI</w:t>
            </w:r>
          </w:p>
        </w:tc>
        <w:tc>
          <w:tcPr>
            <w:tcW w:w="3231" w:type="dxa"/>
            <w:shd w:val="clear" w:color="auto" w:fill="auto"/>
            <w:vAlign w:val="center"/>
          </w:tcPr>
          <w:p w14:paraId="3F25CA16"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Organisation de la Coopération Islamique</w:t>
            </w:r>
          </w:p>
        </w:tc>
      </w:tr>
      <w:tr w:rsidR="00BA2670" w:rsidRPr="002B005F" w14:paraId="034DAD01" w14:textId="77777777" w:rsidTr="003010C3">
        <w:trPr>
          <w:trHeight w:val="397"/>
          <w:jc w:val="center"/>
        </w:trPr>
        <w:tc>
          <w:tcPr>
            <w:tcW w:w="1247" w:type="dxa"/>
            <w:shd w:val="clear" w:color="auto" w:fill="auto"/>
            <w:vAlign w:val="center"/>
          </w:tcPr>
          <w:p w14:paraId="0797D093"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b/>
                <w:bCs/>
              </w:rPr>
              <w:t>CR</w:t>
            </w:r>
          </w:p>
        </w:tc>
        <w:tc>
          <w:tcPr>
            <w:tcW w:w="3458" w:type="dxa"/>
            <w:shd w:val="clear" w:color="auto" w:fill="auto"/>
            <w:vAlign w:val="center"/>
          </w:tcPr>
          <w:p w14:paraId="66294029"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Conseil Religieux (Shariah board)</w:t>
            </w:r>
          </w:p>
        </w:tc>
        <w:tc>
          <w:tcPr>
            <w:tcW w:w="1134" w:type="dxa"/>
            <w:shd w:val="clear" w:color="auto" w:fill="auto"/>
            <w:vAlign w:val="center"/>
          </w:tcPr>
          <w:p w14:paraId="578F5DE7" w14:textId="77777777" w:rsidR="00BA2670" w:rsidRPr="002B005F" w:rsidRDefault="00BA2670" w:rsidP="003010C3">
            <w:pPr>
              <w:jc w:val="left"/>
              <w:rPr>
                <w:rFonts w:ascii="Times New Roman" w:hAnsi="Times New Roman" w:cs="Times New Roman"/>
                <w:b/>
                <w:bCs/>
              </w:rPr>
            </w:pPr>
            <w:r w:rsidRPr="002B005F">
              <w:rPr>
                <w:rFonts w:ascii="Times New Roman" w:hAnsi="Times New Roman" w:cs="Times New Roman"/>
                <w:b/>
                <w:bCs/>
              </w:rPr>
              <w:t>OCAIFI</w:t>
            </w:r>
          </w:p>
        </w:tc>
        <w:tc>
          <w:tcPr>
            <w:tcW w:w="3231" w:type="dxa"/>
            <w:shd w:val="clear" w:color="auto" w:fill="auto"/>
            <w:vAlign w:val="center"/>
          </w:tcPr>
          <w:p w14:paraId="32124E2C"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Organisation de Comptabilité et d’Audit pour les Institutions Financières Islamiques</w:t>
            </w:r>
          </w:p>
        </w:tc>
      </w:tr>
      <w:tr w:rsidR="00BA2670" w:rsidRPr="002B005F" w14:paraId="6EF65345" w14:textId="77777777" w:rsidTr="003010C3">
        <w:trPr>
          <w:trHeight w:val="397"/>
          <w:jc w:val="center"/>
        </w:trPr>
        <w:tc>
          <w:tcPr>
            <w:tcW w:w="1247" w:type="dxa"/>
            <w:shd w:val="clear" w:color="auto" w:fill="auto"/>
            <w:vAlign w:val="center"/>
          </w:tcPr>
          <w:p w14:paraId="55F2A99F" w14:textId="77777777" w:rsidR="00BA2670" w:rsidRPr="002B005F" w:rsidRDefault="00BA2670" w:rsidP="003010C3">
            <w:pPr>
              <w:jc w:val="left"/>
              <w:rPr>
                <w:rFonts w:ascii="Times New Roman" w:hAnsi="Times New Roman" w:cs="Times New Roman"/>
                <w:b/>
                <w:bCs/>
              </w:rPr>
            </w:pPr>
            <w:r w:rsidRPr="002B005F">
              <w:rPr>
                <w:rFonts w:ascii="Times New Roman" w:hAnsi="Times New Roman" w:cs="Times New Roman"/>
                <w:b/>
                <w:bCs/>
              </w:rPr>
              <w:t>CAR</w:t>
            </w:r>
          </w:p>
        </w:tc>
        <w:tc>
          <w:tcPr>
            <w:tcW w:w="3458" w:type="dxa"/>
            <w:shd w:val="clear" w:color="auto" w:fill="auto"/>
            <w:vAlign w:val="center"/>
          </w:tcPr>
          <w:p w14:paraId="596223AF"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Capital Adequacy Ratio</w:t>
            </w:r>
          </w:p>
        </w:tc>
        <w:tc>
          <w:tcPr>
            <w:tcW w:w="1134" w:type="dxa"/>
            <w:shd w:val="clear" w:color="auto" w:fill="auto"/>
            <w:vAlign w:val="center"/>
          </w:tcPr>
          <w:p w14:paraId="24FFE923" w14:textId="77777777" w:rsidR="00BA2670" w:rsidRPr="00A2511A" w:rsidRDefault="00BA2670" w:rsidP="003010C3">
            <w:pPr>
              <w:jc w:val="left"/>
              <w:rPr>
                <w:rFonts w:ascii="Times New Roman" w:hAnsi="Times New Roman" w:cs="Times New Roman"/>
                <w:b/>
                <w:bCs/>
              </w:rPr>
            </w:pPr>
            <w:r w:rsidRPr="00A2511A">
              <w:rPr>
                <w:rFonts w:ascii="Times New Roman" w:hAnsi="Times New Roman" w:cs="Times New Roman"/>
                <w:b/>
                <w:bCs/>
              </w:rPr>
              <w:t>3</w:t>
            </w:r>
            <w:r>
              <w:rPr>
                <w:rFonts w:ascii="Times New Roman" w:hAnsi="Times New Roman" w:cs="Times New Roman"/>
                <w:b/>
                <w:bCs/>
              </w:rPr>
              <w:t xml:space="preserve"> </w:t>
            </w:r>
            <w:r w:rsidRPr="00A2511A">
              <w:rPr>
                <w:rFonts w:ascii="Times New Roman" w:hAnsi="Times New Roman" w:cs="Times New Roman"/>
                <w:b/>
                <w:bCs/>
              </w:rPr>
              <w:t>P</w:t>
            </w:r>
          </w:p>
        </w:tc>
        <w:tc>
          <w:tcPr>
            <w:tcW w:w="3231" w:type="dxa"/>
            <w:shd w:val="clear" w:color="auto" w:fill="auto"/>
            <w:vAlign w:val="center"/>
          </w:tcPr>
          <w:p w14:paraId="089FA129" w14:textId="77777777" w:rsidR="00BA2670" w:rsidRPr="002B005F" w:rsidRDefault="00BA2670" w:rsidP="003010C3">
            <w:pPr>
              <w:jc w:val="left"/>
              <w:rPr>
                <w:rFonts w:ascii="Times New Roman" w:hAnsi="Times New Roman" w:cs="Times New Roman"/>
              </w:rPr>
            </w:pPr>
            <w:r>
              <w:rPr>
                <w:rFonts w:ascii="Times New Roman" w:hAnsi="Times New Roman" w:cs="Times New Roman"/>
              </w:rPr>
              <w:t>P</w:t>
            </w:r>
            <w:r w:rsidRPr="002B005F">
              <w:rPr>
                <w:rFonts w:ascii="Times New Roman" w:hAnsi="Times New Roman" w:cs="Times New Roman"/>
              </w:rPr>
              <w:t>art</w:t>
            </w:r>
            <w:r>
              <w:rPr>
                <w:rFonts w:ascii="Times New Roman" w:hAnsi="Times New Roman" w:cs="Times New Roman"/>
              </w:rPr>
              <w:t>age des Profits et des P</w:t>
            </w:r>
            <w:r w:rsidRPr="002B005F">
              <w:rPr>
                <w:rFonts w:ascii="Times New Roman" w:hAnsi="Times New Roman" w:cs="Times New Roman"/>
              </w:rPr>
              <w:t>ertes</w:t>
            </w:r>
          </w:p>
        </w:tc>
      </w:tr>
      <w:tr w:rsidR="00BA2670" w:rsidRPr="002B005F" w14:paraId="2D5C7ADF" w14:textId="77777777" w:rsidTr="003010C3">
        <w:trPr>
          <w:trHeight w:val="397"/>
          <w:jc w:val="center"/>
        </w:trPr>
        <w:tc>
          <w:tcPr>
            <w:tcW w:w="1247" w:type="dxa"/>
            <w:shd w:val="clear" w:color="auto" w:fill="auto"/>
            <w:vAlign w:val="center"/>
          </w:tcPr>
          <w:p w14:paraId="7AE572CD" w14:textId="77777777" w:rsidR="00BA2670" w:rsidRPr="002B005F" w:rsidRDefault="00BA2670" w:rsidP="003010C3">
            <w:pPr>
              <w:jc w:val="left"/>
              <w:rPr>
                <w:rFonts w:ascii="Times New Roman" w:hAnsi="Times New Roman" w:cs="Times New Roman"/>
                <w:b/>
                <w:bCs/>
              </w:rPr>
            </w:pPr>
            <w:r w:rsidRPr="002B005F">
              <w:rPr>
                <w:rFonts w:ascii="Times New Roman" w:hAnsi="Times New Roman" w:cs="Times New Roman"/>
                <w:b/>
                <w:bCs/>
              </w:rPr>
              <w:t>EURIBOR</w:t>
            </w:r>
          </w:p>
        </w:tc>
        <w:tc>
          <w:tcPr>
            <w:tcW w:w="3458" w:type="dxa"/>
            <w:shd w:val="clear" w:color="auto" w:fill="auto"/>
            <w:vAlign w:val="center"/>
          </w:tcPr>
          <w:p w14:paraId="4F7222AD"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Euro Interbank Offerd Rate</w:t>
            </w:r>
          </w:p>
        </w:tc>
        <w:tc>
          <w:tcPr>
            <w:tcW w:w="1134" w:type="dxa"/>
            <w:shd w:val="clear" w:color="auto" w:fill="auto"/>
            <w:vAlign w:val="center"/>
          </w:tcPr>
          <w:p w14:paraId="68A91898" w14:textId="77777777" w:rsidR="00BA2670" w:rsidRPr="002B005F" w:rsidRDefault="00BA2670" w:rsidP="003010C3">
            <w:pPr>
              <w:jc w:val="left"/>
              <w:rPr>
                <w:rFonts w:ascii="Times New Roman" w:hAnsi="Times New Roman" w:cs="Times New Roman"/>
                <w:b/>
                <w:bCs/>
              </w:rPr>
            </w:pPr>
            <w:r w:rsidRPr="002B005F">
              <w:rPr>
                <w:rFonts w:ascii="Times New Roman" w:hAnsi="Times New Roman" w:cs="Times New Roman"/>
                <w:b/>
                <w:bCs/>
              </w:rPr>
              <w:t>PFP</w:t>
            </w:r>
          </w:p>
        </w:tc>
        <w:tc>
          <w:tcPr>
            <w:tcW w:w="3231" w:type="dxa"/>
            <w:shd w:val="clear" w:color="auto" w:fill="auto"/>
            <w:vAlign w:val="center"/>
          </w:tcPr>
          <w:p w14:paraId="3A215F94"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Principaux Fonds Protégés</w:t>
            </w:r>
          </w:p>
        </w:tc>
      </w:tr>
      <w:tr w:rsidR="00BA2670" w:rsidRPr="002B005F" w14:paraId="7E493825" w14:textId="77777777" w:rsidTr="003010C3">
        <w:trPr>
          <w:trHeight w:val="397"/>
          <w:jc w:val="center"/>
        </w:trPr>
        <w:tc>
          <w:tcPr>
            <w:tcW w:w="1247" w:type="dxa"/>
            <w:shd w:val="clear" w:color="auto" w:fill="auto"/>
            <w:vAlign w:val="center"/>
          </w:tcPr>
          <w:p w14:paraId="4FE28923" w14:textId="77777777" w:rsidR="00BA2670" w:rsidRPr="002B005F" w:rsidRDefault="00BA2670" w:rsidP="003010C3">
            <w:pPr>
              <w:jc w:val="left"/>
              <w:rPr>
                <w:rFonts w:ascii="Times New Roman" w:hAnsi="Times New Roman" w:cs="Times New Roman"/>
                <w:b/>
                <w:bCs/>
              </w:rPr>
            </w:pPr>
            <w:r w:rsidRPr="002B005F">
              <w:rPr>
                <w:rFonts w:ascii="Times New Roman" w:hAnsi="Times New Roman" w:cs="Times New Roman"/>
                <w:b/>
                <w:bCs/>
              </w:rPr>
              <w:t>FI</w:t>
            </w:r>
          </w:p>
        </w:tc>
        <w:tc>
          <w:tcPr>
            <w:tcW w:w="3458" w:type="dxa"/>
            <w:shd w:val="clear" w:color="auto" w:fill="auto"/>
            <w:vAlign w:val="center"/>
          </w:tcPr>
          <w:p w14:paraId="40B3F289"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 xml:space="preserve">Finance </w:t>
            </w:r>
            <w:r>
              <w:rPr>
                <w:rFonts w:ascii="Times New Roman" w:hAnsi="Times New Roman" w:cs="Times New Roman"/>
              </w:rPr>
              <w:t>i</w:t>
            </w:r>
            <w:r w:rsidRPr="002B005F">
              <w:rPr>
                <w:rFonts w:ascii="Times New Roman" w:hAnsi="Times New Roman" w:cs="Times New Roman"/>
              </w:rPr>
              <w:t>slamique</w:t>
            </w:r>
          </w:p>
        </w:tc>
        <w:tc>
          <w:tcPr>
            <w:tcW w:w="1134" w:type="dxa"/>
            <w:shd w:val="clear" w:color="auto" w:fill="auto"/>
            <w:vAlign w:val="center"/>
          </w:tcPr>
          <w:p w14:paraId="526C3E0C" w14:textId="77777777" w:rsidR="00BA2670" w:rsidRPr="002B005F" w:rsidRDefault="00BA2670" w:rsidP="003010C3">
            <w:pPr>
              <w:jc w:val="left"/>
              <w:rPr>
                <w:rFonts w:ascii="Times New Roman" w:hAnsi="Times New Roman" w:cs="Times New Roman"/>
                <w:b/>
                <w:bCs/>
              </w:rPr>
            </w:pPr>
            <w:r w:rsidRPr="002B005F">
              <w:rPr>
                <w:rFonts w:ascii="Times New Roman" w:eastAsia="Calibri" w:hAnsi="Times New Roman" w:cs="Times New Roman"/>
                <w:b/>
                <w:bCs/>
              </w:rPr>
              <w:t>PER</w:t>
            </w:r>
          </w:p>
        </w:tc>
        <w:tc>
          <w:tcPr>
            <w:tcW w:w="3231" w:type="dxa"/>
            <w:shd w:val="clear" w:color="auto" w:fill="auto"/>
            <w:vAlign w:val="center"/>
          </w:tcPr>
          <w:p w14:paraId="1D9528C1" w14:textId="77777777" w:rsidR="00BA2670" w:rsidRPr="002B005F" w:rsidRDefault="00BA2670" w:rsidP="003010C3">
            <w:pPr>
              <w:jc w:val="left"/>
              <w:rPr>
                <w:rFonts w:ascii="Times New Roman" w:hAnsi="Times New Roman" w:cs="Times New Roman"/>
              </w:rPr>
            </w:pPr>
            <w:r w:rsidRPr="002B005F">
              <w:rPr>
                <w:rFonts w:ascii="Times New Roman" w:eastAsia="Calibri" w:hAnsi="Times New Roman" w:cs="Times New Roman"/>
              </w:rPr>
              <w:t>Profit Equalisation Reserve</w:t>
            </w:r>
          </w:p>
        </w:tc>
      </w:tr>
      <w:tr w:rsidR="00BA2670" w:rsidRPr="002B005F" w14:paraId="435E9254" w14:textId="77777777" w:rsidTr="003010C3">
        <w:trPr>
          <w:trHeight w:val="397"/>
          <w:jc w:val="center"/>
        </w:trPr>
        <w:tc>
          <w:tcPr>
            <w:tcW w:w="1247" w:type="dxa"/>
            <w:shd w:val="clear" w:color="auto" w:fill="auto"/>
            <w:vAlign w:val="center"/>
          </w:tcPr>
          <w:p w14:paraId="59FBE0F2" w14:textId="77777777" w:rsidR="00BA2670" w:rsidRPr="002B005F" w:rsidRDefault="00BA2670" w:rsidP="003010C3">
            <w:pPr>
              <w:jc w:val="left"/>
              <w:rPr>
                <w:rFonts w:ascii="Times New Roman" w:hAnsi="Times New Roman" w:cs="Times New Roman"/>
                <w:b/>
                <w:bCs/>
              </w:rPr>
            </w:pPr>
            <w:r w:rsidRPr="002B005F">
              <w:rPr>
                <w:rFonts w:ascii="Times New Roman" w:hAnsi="Times New Roman" w:cs="Times New Roman"/>
                <w:b/>
                <w:bCs/>
              </w:rPr>
              <w:t>GAP</w:t>
            </w:r>
          </w:p>
        </w:tc>
        <w:tc>
          <w:tcPr>
            <w:tcW w:w="3458" w:type="dxa"/>
            <w:shd w:val="clear" w:color="auto" w:fill="auto"/>
            <w:vAlign w:val="center"/>
          </w:tcPr>
          <w:p w14:paraId="2EF18758"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Gestion Actif Passif</w:t>
            </w:r>
          </w:p>
        </w:tc>
        <w:tc>
          <w:tcPr>
            <w:tcW w:w="1134" w:type="dxa"/>
            <w:shd w:val="clear" w:color="auto" w:fill="auto"/>
            <w:vAlign w:val="center"/>
          </w:tcPr>
          <w:p w14:paraId="02E2163C" w14:textId="77777777" w:rsidR="00BA2670" w:rsidRPr="002B005F" w:rsidRDefault="00BA2670" w:rsidP="003010C3">
            <w:pPr>
              <w:jc w:val="left"/>
              <w:rPr>
                <w:rFonts w:ascii="Times New Roman" w:eastAsia="Calibri" w:hAnsi="Times New Roman" w:cs="Times New Roman"/>
                <w:b/>
                <w:bCs/>
              </w:rPr>
            </w:pPr>
            <w:r w:rsidRPr="002B005F">
              <w:rPr>
                <w:rFonts w:ascii="Times New Roman" w:eastAsia="Calibri" w:hAnsi="Times New Roman" w:cs="Times New Roman"/>
                <w:b/>
                <w:bCs/>
              </w:rPr>
              <w:t>PLS</w:t>
            </w:r>
          </w:p>
        </w:tc>
        <w:tc>
          <w:tcPr>
            <w:tcW w:w="3231" w:type="dxa"/>
            <w:shd w:val="clear" w:color="auto" w:fill="auto"/>
            <w:vAlign w:val="center"/>
          </w:tcPr>
          <w:p w14:paraId="367BB86A" w14:textId="77777777" w:rsidR="00BA2670" w:rsidRPr="002B005F" w:rsidRDefault="00BA2670" w:rsidP="003010C3">
            <w:pPr>
              <w:jc w:val="left"/>
              <w:rPr>
                <w:rFonts w:ascii="Times New Roman" w:eastAsia="Calibri" w:hAnsi="Times New Roman" w:cs="Times New Roman"/>
              </w:rPr>
            </w:pPr>
            <w:r w:rsidRPr="002B005F">
              <w:rPr>
                <w:rFonts w:ascii="Times New Roman" w:eastAsia="Calibri" w:hAnsi="Times New Roman" w:cs="Times New Roman"/>
              </w:rPr>
              <w:t>Profit and Loss Sharing</w:t>
            </w:r>
          </w:p>
        </w:tc>
      </w:tr>
      <w:tr w:rsidR="00BA2670" w:rsidRPr="002B005F" w14:paraId="6E73DF34" w14:textId="77777777" w:rsidTr="003010C3">
        <w:trPr>
          <w:trHeight w:val="397"/>
          <w:jc w:val="center"/>
        </w:trPr>
        <w:tc>
          <w:tcPr>
            <w:tcW w:w="1247" w:type="dxa"/>
            <w:shd w:val="clear" w:color="auto" w:fill="auto"/>
            <w:vAlign w:val="center"/>
          </w:tcPr>
          <w:p w14:paraId="1E206680" w14:textId="77777777" w:rsidR="00BA2670" w:rsidRPr="002B005F" w:rsidRDefault="00BA2670" w:rsidP="003010C3">
            <w:pPr>
              <w:jc w:val="left"/>
              <w:rPr>
                <w:rFonts w:ascii="Times New Roman" w:hAnsi="Times New Roman" w:cs="Times New Roman"/>
                <w:b/>
                <w:bCs/>
              </w:rPr>
            </w:pPr>
            <w:r w:rsidRPr="002B005F">
              <w:rPr>
                <w:rFonts w:ascii="Times New Roman" w:hAnsi="Times New Roman" w:cs="Times New Roman"/>
                <w:b/>
                <w:bCs/>
              </w:rPr>
              <w:t>IFI</w:t>
            </w:r>
          </w:p>
        </w:tc>
        <w:tc>
          <w:tcPr>
            <w:tcW w:w="3458" w:type="dxa"/>
            <w:shd w:val="clear" w:color="auto" w:fill="auto"/>
            <w:vAlign w:val="center"/>
          </w:tcPr>
          <w:p w14:paraId="5C090900" w14:textId="77777777" w:rsidR="00BA2670" w:rsidRPr="002B005F" w:rsidRDefault="00BA2670" w:rsidP="003010C3">
            <w:pPr>
              <w:jc w:val="left"/>
              <w:rPr>
                <w:rFonts w:ascii="Times New Roman" w:hAnsi="Times New Roman" w:cs="Times New Roman"/>
              </w:rPr>
            </w:pPr>
            <w:r w:rsidRPr="002B005F">
              <w:rPr>
                <w:rFonts w:ascii="Times New Roman" w:hAnsi="Times New Roman" w:cs="Times New Roman"/>
              </w:rPr>
              <w:t>Institutions Financières Islamiques</w:t>
            </w:r>
          </w:p>
        </w:tc>
        <w:tc>
          <w:tcPr>
            <w:tcW w:w="1134" w:type="dxa"/>
            <w:shd w:val="clear" w:color="auto" w:fill="auto"/>
            <w:vAlign w:val="center"/>
          </w:tcPr>
          <w:p w14:paraId="61AB304C" w14:textId="77777777" w:rsidR="00BA2670" w:rsidRPr="002B005F" w:rsidRDefault="00BA2670" w:rsidP="003010C3">
            <w:pPr>
              <w:jc w:val="left"/>
              <w:rPr>
                <w:rFonts w:ascii="Times New Roman" w:eastAsia="Calibri" w:hAnsi="Times New Roman" w:cs="Times New Roman"/>
                <w:b/>
                <w:bCs/>
              </w:rPr>
            </w:pPr>
            <w:r w:rsidRPr="002B005F">
              <w:rPr>
                <w:rFonts w:ascii="Times New Roman" w:eastAsia="Calibri" w:hAnsi="Times New Roman" w:cs="Times New Roman"/>
                <w:b/>
                <w:bCs/>
                <w:lang w:val="en-GB"/>
              </w:rPr>
              <w:t>PSIA</w:t>
            </w:r>
          </w:p>
        </w:tc>
        <w:tc>
          <w:tcPr>
            <w:tcW w:w="3231" w:type="dxa"/>
            <w:shd w:val="clear" w:color="auto" w:fill="auto"/>
            <w:vAlign w:val="center"/>
          </w:tcPr>
          <w:p w14:paraId="7F68B1A4" w14:textId="77777777" w:rsidR="00BA2670" w:rsidRPr="002B005F" w:rsidRDefault="00BA2670" w:rsidP="003010C3">
            <w:pPr>
              <w:jc w:val="left"/>
              <w:rPr>
                <w:rFonts w:ascii="Times New Roman" w:eastAsia="Calibri" w:hAnsi="Times New Roman" w:cs="Times New Roman"/>
              </w:rPr>
            </w:pPr>
            <w:r w:rsidRPr="002B005F">
              <w:rPr>
                <w:rFonts w:ascii="Times New Roman" w:eastAsia="Calibri" w:hAnsi="Times New Roman" w:cs="Times New Roman"/>
                <w:lang w:val="en-GB"/>
              </w:rPr>
              <w:t>Profit-Sharing Investment Accounts</w:t>
            </w:r>
          </w:p>
        </w:tc>
      </w:tr>
      <w:tr w:rsidR="00BA2670" w:rsidRPr="000F76E0" w14:paraId="5616D9F5" w14:textId="77777777" w:rsidTr="003010C3">
        <w:trPr>
          <w:trHeight w:val="397"/>
          <w:jc w:val="center"/>
        </w:trPr>
        <w:tc>
          <w:tcPr>
            <w:tcW w:w="1247" w:type="dxa"/>
            <w:shd w:val="clear" w:color="auto" w:fill="auto"/>
            <w:vAlign w:val="center"/>
          </w:tcPr>
          <w:p w14:paraId="6E46CD31" w14:textId="77777777" w:rsidR="00BA2670" w:rsidRPr="002B005F" w:rsidRDefault="00BA2670" w:rsidP="003010C3">
            <w:pPr>
              <w:jc w:val="left"/>
              <w:rPr>
                <w:rFonts w:ascii="Times New Roman" w:hAnsi="Times New Roman" w:cs="Times New Roman"/>
                <w:b/>
                <w:bCs/>
              </w:rPr>
            </w:pPr>
            <w:r w:rsidRPr="002B005F">
              <w:rPr>
                <w:rFonts w:ascii="Times New Roman" w:eastAsia="Calibri" w:hAnsi="Times New Roman" w:cs="Times New Roman"/>
                <w:b/>
                <w:bCs/>
                <w:lang w:val="en-GB"/>
              </w:rPr>
              <w:t>IFRS</w:t>
            </w:r>
          </w:p>
        </w:tc>
        <w:tc>
          <w:tcPr>
            <w:tcW w:w="3458" w:type="dxa"/>
            <w:shd w:val="clear" w:color="auto" w:fill="auto"/>
            <w:vAlign w:val="center"/>
          </w:tcPr>
          <w:p w14:paraId="2D3AC205" w14:textId="77777777" w:rsidR="00BA2670" w:rsidRPr="002B005F" w:rsidRDefault="00BA2670" w:rsidP="003010C3">
            <w:pPr>
              <w:jc w:val="left"/>
              <w:rPr>
                <w:rFonts w:ascii="Times New Roman" w:hAnsi="Times New Roman" w:cs="Times New Roman"/>
              </w:rPr>
            </w:pPr>
            <w:r w:rsidRPr="002B005F">
              <w:rPr>
                <w:rFonts w:ascii="Times New Roman" w:eastAsia="Calibri" w:hAnsi="Times New Roman" w:cs="Times New Roman"/>
                <w:lang w:val="en-GB"/>
              </w:rPr>
              <w:t>International Financial Reporting Standards</w:t>
            </w:r>
          </w:p>
        </w:tc>
        <w:tc>
          <w:tcPr>
            <w:tcW w:w="1134" w:type="dxa"/>
            <w:shd w:val="clear" w:color="auto" w:fill="auto"/>
            <w:vAlign w:val="center"/>
          </w:tcPr>
          <w:p w14:paraId="4231FEFA" w14:textId="77777777" w:rsidR="00BA2670" w:rsidRPr="002B005F" w:rsidRDefault="00BA2670" w:rsidP="003010C3">
            <w:pPr>
              <w:jc w:val="left"/>
              <w:rPr>
                <w:rFonts w:ascii="Times New Roman" w:eastAsia="Calibri" w:hAnsi="Times New Roman" w:cs="Times New Roman"/>
                <w:b/>
                <w:bCs/>
                <w:lang w:val="en-GB"/>
              </w:rPr>
            </w:pPr>
            <w:r w:rsidRPr="002B005F">
              <w:rPr>
                <w:rFonts w:ascii="Times New Roman" w:eastAsia="Calibri" w:hAnsi="Times New Roman" w:cs="Times New Roman"/>
                <w:b/>
                <w:bCs/>
                <w:lang w:val="en-GB"/>
              </w:rPr>
              <w:t>RAROC</w:t>
            </w:r>
          </w:p>
        </w:tc>
        <w:tc>
          <w:tcPr>
            <w:tcW w:w="3231" w:type="dxa"/>
            <w:shd w:val="clear" w:color="auto" w:fill="auto"/>
            <w:vAlign w:val="center"/>
          </w:tcPr>
          <w:p w14:paraId="130F8966" w14:textId="77777777" w:rsidR="00BA2670" w:rsidRPr="002B005F" w:rsidRDefault="00BA2670" w:rsidP="003010C3">
            <w:pPr>
              <w:jc w:val="left"/>
              <w:rPr>
                <w:rFonts w:ascii="Times New Roman" w:eastAsia="Calibri" w:hAnsi="Times New Roman" w:cs="Times New Roman"/>
                <w:lang w:val="en-GB"/>
              </w:rPr>
            </w:pPr>
            <w:r w:rsidRPr="002B005F">
              <w:rPr>
                <w:rFonts w:ascii="Times New Roman" w:eastAsia="Calibri" w:hAnsi="Times New Roman" w:cs="Times New Roman"/>
                <w:lang w:val="en-GB"/>
              </w:rPr>
              <w:t>Risk-adjusted Return on Capital</w:t>
            </w:r>
          </w:p>
        </w:tc>
      </w:tr>
      <w:tr w:rsidR="00BA2670" w:rsidRPr="002B005F" w14:paraId="0B36336A" w14:textId="77777777" w:rsidTr="003010C3">
        <w:trPr>
          <w:trHeight w:val="397"/>
          <w:jc w:val="center"/>
        </w:trPr>
        <w:tc>
          <w:tcPr>
            <w:tcW w:w="1247" w:type="dxa"/>
            <w:shd w:val="clear" w:color="auto" w:fill="auto"/>
            <w:vAlign w:val="center"/>
          </w:tcPr>
          <w:p w14:paraId="45B465EB" w14:textId="77777777" w:rsidR="00BA2670" w:rsidRPr="002B005F" w:rsidRDefault="00BA2670" w:rsidP="003010C3">
            <w:pPr>
              <w:jc w:val="left"/>
              <w:rPr>
                <w:rFonts w:ascii="Times New Roman" w:eastAsia="Calibri" w:hAnsi="Times New Roman" w:cs="Times New Roman"/>
                <w:b/>
                <w:bCs/>
                <w:lang w:val="en-GB"/>
              </w:rPr>
            </w:pPr>
            <w:r w:rsidRPr="002B005F">
              <w:rPr>
                <w:rFonts w:ascii="Times New Roman" w:eastAsia="Calibri" w:hAnsi="Times New Roman" w:cs="Times New Roman"/>
                <w:b/>
                <w:bCs/>
                <w:lang w:val="en-GB"/>
              </w:rPr>
              <w:t>IFSB</w:t>
            </w:r>
          </w:p>
        </w:tc>
        <w:tc>
          <w:tcPr>
            <w:tcW w:w="3458" w:type="dxa"/>
            <w:shd w:val="clear" w:color="auto" w:fill="auto"/>
            <w:vAlign w:val="center"/>
          </w:tcPr>
          <w:p w14:paraId="34B6C103" w14:textId="77777777" w:rsidR="00BA2670" w:rsidRPr="002B005F" w:rsidRDefault="00BA2670" w:rsidP="003010C3">
            <w:pPr>
              <w:jc w:val="left"/>
              <w:rPr>
                <w:rFonts w:ascii="Times New Roman" w:eastAsia="Calibri" w:hAnsi="Times New Roman" w:cs="Times New Roman"/>
                <w:lang w:val="en-GB"/>
              </w:rPr>
            </w:pPr>
            <w:r w:rsidRPr="002B005F">
              <w:rPr>
                <w:rFonts w:ascii="Times New Roman" w:eastAsia="Calibri" w:hAnsi="Times New Roman" w:cs="Times New Roman"/>
                <w:lang w:val="en-GB"/>
              </w:rPr>
              <w:t>Islamic Financial Services Board</w:t>
            </w:r>
          </w:p>
        </w:tc>
        <w:tc>
          <w:tcPr>
            <w:tcW w:w="1134" w:type="dxa"/>
            <w:shd w:val="clear" w:color="auto" w:fill="auto"/>
            <w:vAlign w:val="center"/>
          </w:tcPr>
          <w:p w14:paraId="6217655B" w14:textId="77777777" w:rsidR="00BA2670" w:rsidRPr="002B005F" w:rsidRDefault="00BA2670" w:rsidP="003010C3">
            <w:pPr>
              <w:jc w:val="left"/>
              <w:rPr>
                <w:rFonts w:ascii="Times New Roman" w:eastAsia="Calibri" w:hAnsi="Times New Roman" w:cs="Times New Roman"/>
                <w:b/>
                <w:bCs/>
                <w:lang w:val="en-GB"/>
              </w:rPr>
            </w:pPr>
            <w:r w:rsidRPr="002B005F">
              <w:rPr>
                <w:rFonts w:ascii="Times New Roman" w:eastAsia="Calibri" w:hAnsi="Times New Roman" w:cs="Times New Roman"/>
                <w:b/>
                <w:bCs/>
                <w:lang w:val="en-GB"/>
              </w:rPr>
              <w:t>SCI</w:t>
            </w:r>
          </w:p>
        </w:tc>
        <w:tc>
          <w:tcPr>
            <w:tcW w:w="3231" w:type="dxa"/>
            <w:shd w:val="clear" w:color="auto" w:fill="auto"/>
            <w:vAlign w:val="center"/>
          </w:tcPr>
          <w:p w14:paraId="36984906" w14:textId="77777777" w:rsidR="00BA2670" w:rsidRPr="002B005F" w:rsidRDefault="00BA2670" w:rsidP="003010C3">
            <w:pPr>
              <w:jc w:val="left"/>
              <w:rPr>
                <w:rFonts w:ascii="Times New Roman" w:eastAsia="Calibri" w:hAnsi="Times New Roman" w:cs="Times New Roman"/>
                <w:lang w:val="en-GB"/>
              </w:rPr>
            </w:pPr>
            <w:r w:rsidRPr="002B005F">
              <w:rPr>
                <w:rFonts w:ascii="Times New Roman" w:eastAsia="Calibri" w:hAnsi="Times New Roman" w:cs="Times New Roman"/>
                <w:lang w:val="en-GB"/>
              </w:rPr>
              <w:t>Système de Contrôle Interne</w:t>
            </w:r>
          </w:p>
        </w:tc>
      </w:tr>
      <w:tr w:rsidR="00BA2670" w:rsidRPr="002B005F" w14:paraId="51D01B9F" w14:textId="77777777" w:rsidTr="003010C3">
        <w:trPr>
          <w:trHeight w:val="397"/>
          <w:jc w:val="center"/>
        </w:trPr>
        <w:tc>
          <w:tcPr>
            <w:tcW w:w="1247" w:type="dxa"/>
            <w:shd w:val="clear" w:color="auto" w:fill="auto"/>
            <w:vAlign w:val="center"/>
          </w:tcPr>
          <w:p w14:paraId="395F20E1" w14:textId="77777777" w:rsidR="00BA2670" w:rsidRPr="002B005F" w:rsidRDefault="00BA2670" w:rsidP="003010C3">
            <w:pPr>
              <w:jc w:val="left"/>
              <w:rPr>
                <w:rFonts w:ascii="Times New Roman" w:eastAsia="Calibri" w:hAnsi="Times New Roman" w:cs="Times New Roman"/>
                <w:b/>
                <w:bCs/>
                <w:lang w:val="en-GB"/>
              </w:rPr>
            </w:pPr>
            <w:r w:rsidRPr="002B005F">
              <w:rPr>
                <w:rFonts w:ascii="Times New Roman" w:eastAsia="Calibri" w:hAnsi="Times New Roman" w:cs="Times New Roman"/>
                <w:b/>
                <w:bCs/>
                <w:lang w:val="en-GB"/>
              </w:rPr>
              <w:t>IIBR</w:t>
            </w:r>
          </w:p>
        </w:tc>
        <w:tc>
          <w:tcPr>
            <w:tcW w:w="3458" w:type="dxa"/>
            <w:shd w:val="clear" w:color="auto" w:fill="auto"/>
            <w:vAlign w:val="center"/>
          </w:tcPr>
          <w:p w14:paraId="117D3A7F" w14:textId="77777777" w:rsidR="00BA2670" w:rsidRPr="002B005F" w:rsidRDefault="00BA2670" w:rsidP="003010C3">
            <w:pPr>
              <w:jc w:val="left"/>
              <w:rPr>
                <w:rFonts w:ascii="Times New Roman" w:eastAsia="Calibri" w:hAnsi="Times New Roman" w:cs="Times New Roman"/>
              </w:rPr>
            </w:pPr>
            <w:r w:rsidRPr="002B005F">
              <w:rPr>
                <w:rFonts w:ascii="Times New Roman" w:hAnsi="Times New Roman" w:cs="Times New Roman"/>
              </w:rPr>
              <w:t>Taux Interbancaire de Référence Islamique</w:t>
            </w:r>
          </w:p>
        </w:tc>
        <w:tc>
          <w:tcPr>
            <w:tcW w:w="1134" w:type="dxa"/>
            <w:shd w:val="clear" w:color="auto" w:fill="auto"/>
            <w:vAlign w:val="center"/>
          </w:tcPr>
          <w:p w14:paraId="0C39DD0D" w14:textId="77777777" w:rsidR="00BA2670" w:rsidRPr="002B005F" w:rsidRDefault="00BA2670" w:rsidP="003010C3">
            <w:pPr>
              <w:jc w:val="left"/>
              <w:rPr>
                <w:rFonts w:ascii="Times New Roman" w:eastAsia="Calibri" w:hAnsi="Times New Roman" w:cs="Times New Roman"/>
                <w:b/>
                <w:bCs/>
                <w:lang w:val="en-GB"/>
              </w:rPr>
            </w:pPr>
            <w:r>
              <w:rPr>
                <w:rFonts w:ascii="Times New Roman" w:eastAsia="Calibri" w:hAnsi="Times New Roman" w:cs="Times New Roman"/>
                <w:b/>
                <w:bCs/>
                <w:lang w:val="en-GB"/>
              </w:rPr>
              <w:t>SVP</w:t>
            </w:r>
          </w:p>
        </w:tc>
        <w:tc>
          <w:tcPr>
            <w:tcW w:w="3231" w:type="dxa"/>
            <w:shd w:val="clear" w:color="auto" w:fill="auto"/>
            <w:vAlign w:val="center"/>
          </w:tcPr>
          <w:p w14:paraId="22E1F711" w14:textId="77777777" w:rsidR="00BA2670" w:rsidRPr="002B005F" w:rsidRDefault="00BA2670" w:rsidP="003010C3">
            <w:pPr>
              <w:jc w:val="left"/>
              <w:rPr>
                <w:rFonts w:ascii="Times New Roman" w:eastAsia="Calibri" w:hAnsi="Times New Roman" w:cs="Times New Roman"/>
                <w:lang w:val="en-GB"/>
              </w:rPr>
            </w:pPr>
            <w:r>
              <w:rPr>
                <w:rFonts w:ascii="Times New Roman" w:eastAsia="Calibri" w:hAnsi="Times New Roman" w:cs="Times New Roman"/>
                <w:lang w:val="en-GB"/>
              </w:rPr>
              <w:t>Special Purpose Vehicle</w:t>
            </w:r>
          </w:p>
        </w:tc>
      </w:tr>
      <w:tr w:rsidR="00BA2670" w:rsidRPr="002B005F" w14:paraId="0B3EA473" w14:textId="77777777" w:rsidTr="003010C3">
        <w:trPr>
          <w:trHeight w:val="397"/>
          <w:jc w:val="center"/>
        </w:trPr>
        <w:tc>
          <w:tcPr>
            <w:tcW w:w="1247" w:type="dxa"/>
            <w:shd w:val="clear" w:color="auto" w:fill="auto"/>
            <w:vAlign w:val="center"/>
          </w:tcPr>
          <w:p w14:paraId="37C07170" w14:textId="77777777" w:rsidR="00BA2670" w:rsidRPr="002B005F" w:rsidRDefault="00BA2670" w:rsidP="003010C3">
            <w:pPr>
              <w:jc w:val="left"/>
              <w:rPr>
                <w:rFonts w:ascii="Times New Roman" w:eastAsia="Calibri" w:hAnsi="Times New Roman" w:cs="Times New Roman"/>
                <w:b/>
                <w:bCs/>
                <w:lang w:val="en-GB"/>
              </w:rPr>
            </w:pPr>
            <w:r w:rsidRPr="002B005F">
              <w:rPr>
                <w:rStyle w:val="Accentuation"/>
                <w:rFonts w:ascii="Times New Roman" w:hAnsi="Times New Roman" w:cs="Times New Roman"/>
                <w:b/>
                <w:bCs/>
                <w:i w:val="0"/>
                <w:iCs w:val="0"/>
                <w:shd w:val="clear" w:color="auto" w:fill="FFFFFF"/>
              </w:rPr>
              <w:t>IIFM</w:t>
            </w:r>
          </w:p>
        </w:tc>
        <w:tc>
          <w:tcPr>
            <w:tcW w:w="3458" w:type="dxa"/>
            <w:shd w:val="clear" w:color="auto" w:fill="auto"/>
            <w:vAlign w:val="center"/>
          </w:tcPr>
          <w:p w14:paraId="6CCCA4E2" w14:textId="77777777" w:rsidR="00BA2670" w:rsidRPr="002B005F" w:rsidRDefault="00BA2670" w:rsidP="003010C3">
            <w:pPr>
              <w:jc w:val="left"/>
              <w:rPr>
                <w:rFonts w:ascii="Times New Roman" w:hAnsi="Times New Roman" w:cs="Times New Roman"/>
              </w:rPr>
            </w:pPr>
            <w:r w:rsidRPr="002B005F">
              <w:rPr>
                <w:rStyle w:val="Accentuation"/>
                <w:rFonts w:ascii="Times New Roman" w:hAnsi="Times New Roman" w:cs="Times New Roman"/>
                <w:i w:val="0"/>
                <w:iCs w:val="0"/>
                <w:shd w:val="clear" w:color="auto" w:fill="FFFFFF"/>
              </w:rPr>
              <w:t>International Islamic Financial Market</w:t>
            </w:r>
          </w:p>
        </w:tc>
        <w:tc>
          <w:tcPr>
            <w:tcW w:w="1134" w:type="dxa"/>
            <w:shd w:val="clear" w:color="auto" w:fill="auto"/>
            <w:vAlign w:val="center"/>
          </w:tcPr>
          <w:p w14:paraId="01DE7215" w14:textId="77777777" w:rsidR="00BA2670" w:rsidRPr="002B005F" w:rsidRDefault="00BA2670" w:rsidP="003010C3">
            <w:pPr>
              <w:jc w:val="left"/>
              <w:rPr>
                <w:rFonts w:ascii="Times New Roman" w:eastAsia="Calibri" w:hAnsi="Times New Roman" w:cs="Times New Roman"/>
                <w:b/>
                <w:bCs/>
                <w:lang w:val="en-GB"/>
              </w:rPr>
            </w:pPr>
            <w:r w:rsidRPr="002B005F">
              <w:rPr>
                <w:rFonts w:ascii="Times New Roman" w:eastAsia="Calibri" w:hAnsi="Times New Roman" w:cs="Times New Roman"/>
                <w:b/>
                <w:bCs/>
                <w:lang w:val="en-GB"/>
              </w:rPr>
              <w:t>VAR</w:t>
            </w:r>
          </w:p>
        </w:tc>
        <w:tc>
          <w:tcPr>
            <w:tcW w:w="3231" w:type="dxa"/>
            <w:shd w:val="clear" w:color="auto" w:fill="auto"/>
            <w:vAlign w:val="center"/>
          </w:tcPr>
          <w:p w14:paraId="4DCB4C65" w14:textId="77777777" w:rsidR="00BA2670" w:rsidRPr="002B005F" w:rsidRDefault="00BA2670" w:rsidP="003010C3">
            <w:pPr>
              <w:jc w:val="left"/>
              <w:rPr>
                <w:rFonts w:ascii="Times New Roman" w:eastAsia="Calibri" w:hAnsi="Times New Roman" w:cs="Times New Roman"/>
                <w:lang w:val="en-GB"/>
              </w:rPr>
            </w:pPr>
            <w:r w:rsidRPr="002B005F">
              <w:rPr>
                <w:rFonts w:ascii="Times New Roman" w:eastAsia="Calibri" w:hAnsi="Times New Roman" w:cs="Times New Roman"/>
                <w:lang w:val="en-GB"/>
              </w:rPr>
              <w:t>Value At Risk</w:t>
            </w:r>
          </w:p>
        </w:tc>
      </w:tr>
    </w:tbl>
    <w:p w14:paraId="14E4083A" w14:textId="77777777" w:rsidR="00362D00" w:rsidRDefault="00362D00" w:rsidP="00362D00">
      <w:pPr>
        <w:tabs>
          <w:tab w:val="left" w:pos="0"/>
        </w:tabs>
        <w:spacing w:line="360" w:lineRule="auto"/>
        <w:rPr>
          <w:rFonts w:ascii="Times New Roman" w:eastAsia="Calibri" w:hAnsi="Times New Roman" w:cs="Times New Roman"/>
          <w:sz w:val="24"/>
          <w:szCs w:val="24"/>
          <w:lang w:val="en-GB"/>
        </w:rPr>
      </w:pPr>
    </w:p>
    <w:p w14:paraId="3CE66BA3" w14:textId="77777777" w:rsidR="00BA2670" w:rsidRDefault="00BA2670" w:rsidP="00362D00">
      <w:pPr>
        <w:tabs>
          <w:tab w:val="left" w:pos="0"/>
        </w:tabs>
        <w:spacing w:line="360" w:lineRule="auto"/>
        <w:rPr>
          <w:rFonts w:ascii="Times New Roman" w:eastAsia="Calibri" w:hAnsi="Times New Roman" w:cs="Times New Roman"/>
          <w:sz w:val="24"/>
          <w:szCs w:val="24"/>
          <w:lang w:val="en-GB"/>
        </w:rPr>
      </w:pPr>
    </w:p>
    <w:p w14:paraId="44FE0262" w14:textId="3CF6F6DB" w:rsidR="00BA2670" w:rsidRDefault="00BA2670">
      <w:pP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br w:type="page"/>
      </w:r>
    </w:p>
    <w:p w14:paraId="361FECFE" w14:textId="1A5C3856" w:rsidR="00174194" w:rsidRDefault="002760B2" w:rsidP="00BA2670">
      <w:pPr>
        <w:spacing w:line="312" w:lineRule="auto"/>
        <w:jc w:val="center"/>
        <w:outlineLvl w:val="0"/>
        <w:rPr>
          <w:rFonts w:asciiTheme="majorBidi" w:hAnsiTheme="majorBidi" w:cstheme="majorBidi"/>
          <w:b/>
          <w:bCs/>
          <w:smallCaps/>
          <w:spacing w:val="40"/>
          <w:sz w:val="48"/>
        </w:rPr>
      </w:pPr>
      <w:bookmarkStart w:id="46" w:name="_Toc57901016"/>
      <w:bookmarkStart w:id="47" w:name="_Toc58261916"/>
      <w:bookmarkStart w:id="48" w:name="_Toc58606205"/>
      <w:bookmarkStart w:id="49" w:name="_Toc61263410"/>
      <w:bookmarkStart w:id="50" w:name="_Toc114866026"/>
      <w:bookmarkStart w:id="51" w:name="_Toc182298575"/>
      <w:bookmarkStart w:id="52" w:name="_Toc182309371"/>
      <w:r w:rsidRPr="004477F8">
        <w:rPr>
          <w:rFonts w:asciiTheme="majorBidi" w:hAnsiTheme="majorBidi" w:cstheme="majorBidi"/>
          <w:b/>
          <w:bCs/>
          <w:smallCaps/>
          <w:spacing w:val="40"/>
          <w:sz w:val="48"/>
        </w:rPr>
        <w:lastRenderedPageBreak/>
        <w:t>Sommair</w:t>
      </w:r>
      <w:bookmarkEnd w:id="46"/>
      <w:bookmarkEnd w:id="47"/>
      <w:r w:rsidR="005F4575" w:rsidRPr="004477F8">
        <w:rPr>
          <w:rFonts w:asciiTheme="majorBidi" w:hAnsiTheme="majorBidi" w:cstheme="majorBidi"/>
          <w:b/>
          <w:bCs/>
          <w:smallCaps/>
          <w:spacing w:val="40"/>
          <w:sz w:val="48"/>
        </w:rPr>
        <w:t>e</w:t>
      </w:r>
      <w:bookmarkStart w:id="53" w:name="_Toc58261917"/>
      <w:bookmarkStart w:id="54" w:name="_Toc58606206"/>
      <w:bookmarkStart w:id="55" w:name="_Toc61263411"/>
      <w:bookmarkEnd w:id="48"/>
      <w:bookmarkEnd w:id="49"/>
      <w:bookmarkEnd w:id="50"/>
      <w:bookmarkEnd w:id="51"/>
      <w:bookmarkEnd w:id="52"/>
    </w:p>
    <w:p w14:paraId="77D6ACB4" w14:textId="77777777" w:rsidR="00D60C0C" w:rsidRPr="00D60C0C" w:rsidRDefault="00D60C0C" w:rsidP="00D60C0C">
      <w:pPr>
        <w:spacing w:line="312" w:lineRule="auto"/>
        <w:jc w:val="center"/>
        <w:rPr>
          <w:rFonts w:asciiTheme="majorBidi" w:hAnsiTheme="majorBidi" w:cstheme="majorBidi"/>
          <w:b/>
          <w:bCs/>
          <w:smallCaps/>
          <w:spacing w:val="40"/>
          <w:sz w:val="28"/>
          <w:szCs w:val="12"/>
        </w:rPr>
      </w:pPr>
    </w:p>
    <w:p w14:paraId="4C9881B4" w14:textId="39F72EA1" w:rsidR="004A2417" w:rsidRDefault="004A2417" w:rsidP="006B69C7">
      <w:pPr>
        <w:pStyle w:val="TM1"/>
        <w:rPr>
          <w:rFonts w:asciiTheme="minorHAnsi" w:eastAsiaTheme="minorEastAsia" w:hAnsiTheme="minorHAnsi" w:cstheme="minorBidi"/>
          <w:kern w:val="0"/>
          <w:sz w:val="22"/>
          <w:szCs w:val="22"/>
          <w:lang w:eastAsia="fr-FR"/>
        </w:rPr>
      </w:pPr>
      <w:r>
        <w:rPr>
          <w:caps/>
        </w:rPr>
        <w:fldChar w:fldCharType="begin"/>
      </w:r>
      <w:r>
        <w:rPr>
          <w:caps/>
        </w:rPr>
        <w:instrText xml:space="preserve"> TOC \o "1-2" \h \z \u </w:instrText>
      </w:r>
      <w:r>
        <w:rPr>
          <w:caps/>
        </w:rPr>
        <w:fldChar w:fldCharType="separate"/>
      </w:r>
      <w:hyperlink w:anchor="_Toc182309367" w:history="1">
        <w:r w:rsidRPr="00A954C2">
          <w:rPr>
            <w:rStyle w:val="Lienhypertexte"/>
            <w:spacing w:val="20"/>
          </w:rPr>
          <w:t>Dédicace</w:t>
        </w:r>
        <w:r>
          <w:rPr>
            <w:webHidden/>
          </w:rPr>
          <w:tab/>
        </w:r>
        <w:r>
          <w:rPr>
            <w:webHidden/>
          </w:rPr>
          <w:fldChar w:fldCharType="begin"/>
        </w:r>
        <w:r>
          <w:rPr>
            <w:webHidden/>
          </w:rPr>
          <w:instrText xml:space="preserve"> PAGEREF _Toc182309367 \h </w:instrText>
        </w:r>
        <w:r>
          <w:rPr>
            <w:webHidden/>
          </w:rPr>
        </w:r>
        <w:r>
          <w:rPr>
            <w:webHidden/>
          </w:rPr>
          <w:fldChar w:fldCharType="separate"/>
        </w:r>
        <w:r w:rsidR="00666FC7">
          <w:rPr>
            <w:webHidden/>
          </w:rPr>
          <w:t>i</w:t>
        </w:r>
        <w:r>
          <w:rPr>
            <w:webHidden/>
          </w:rPr>
          <w:fldChar w:fldCharType="end"/>
        </w:r>
      </w:hyperlink>
    </w:p>
    <w:p w14:paraId="11B4BFBE" w14:textId="47E0EA59" w:rsidR="004A2417" w:rsidRDefault="00C40DAA" w:rsidP="006B69C7">
      <w:pPr>
        <w:pStyle w:val="TM1"/>
        <w:rPr>
          <w:rFonts w:asciiTheme="minorHAnsi" w:eastAsiaTheme="minorEastAsia" w:hAnsiTheme="minorHAnsi" w:cstheme="minorBidi"/>
          <w:kern w:val="0"/>
          <w:sz w:val="22"/>
          <w:szCs w:val="22"/>
          <w:lang w:eastAsia="fr-FR"/>
        </w:rPr>
      </w:pPr>
      <w:hyperlink w:anchor="_Toc182309368" w:history="1">
        <w:r w:rsidR="004A2417" w:rsidRPr="00A954C2">
          <w:rPr>
            <w:rStyle w:val="Lienhypertexte"/>
            <w:spacing w:val="20"/>
          </w:rPr>
          <w:t>Remerciements</w:t>
        </w:r>
        <w:r w:rsidR="004A2417">
          <w:rPr>
            <w:webHidden/>
          </w:rPr>
          <w:tab/>
        </w:r>
        <w:r w:rsidR="004A2417">
          <w:rPr>
            <w:webHidden/>
          </w:rPr>
          <w:fldChar w:fldCharType="begin"/>
        </w:r>
        <w:r w:rsidR="004A2417">
          <w:rPr>
            <w:webHidden/>
          </w:rPr>
          <w:instrText xml:space="preserve"> PAGEREF _Toc182309368 \h </w:instrText>
        </w:r>
        <w:r w:rsidR="004A2417">
          <w:rPr>
            <w:webHidden/>
          </w:rPr>
        </w:r>
        <w:r w:rsidR="004A2417">
          <w:rPr>
            <w:webHidden/>
          </w:rPr>
          <w:fldChar w:fldCharType="separate"/>
        </w:r>
        <w:r w:rsidR="00666FC7">
          <w:rPr>
            <w:webHidden/>
          </w:rPr>
          <w:t>ii</w:t>
        </w:r>
        <w:r w:rsidR="004A2417">
          <w:rPr>
            <w:webHidden/>
          </w:rPr>
          <w:fldChar w:fldCharType="end"/>
        </w:r>
      </w:hyperlink>
    </w:p>
    <w:p w14:paraId="5E2C9E55" w14:textId="6BE7D2EF" w:rsidR="004A2417" w:rsidRDefault="00C40DAA" w:rsidP="006B69C7">
      <w:pPr>
        <w:pStyle w:val="TM1"/>
        <w:rPr>
          <w:rFonts w:asciiTheme="minorHAnsi" w:eastAsiaTheme="minorEastAsia" w:hAnsiTheme="minorHAnsi" w:cstheme="minorBidi"/>
          <w:kern w:val="0"/>
          <w:sz w:val="22"/>
          <w:szCs w:val="22"/>
          <w:lang w:eastAsia="fr-FR"/>
        </w:rPr>
      </w:pPr>
      <w:hyperlink w:anchor="_Toc182309369" w:history="1">
        <w:r w:rsidR="004A2417" w:rsidRPr="00A954C2">
          <w:rPr>
            <w:rStyle w:val="Lienhypertexte"/>
          </w:rPr>
          <w:t>Résumé</w:t>
        </w:r>
        <w:r w:rsidR="004A2417">
          <w:rPr>
            <w:webHidden/>
          </w:rPr>
          <w:tab/>
        </w:r>
        <w:r w:rsidR="004A2417">
          <w:rPr>
            <w:webHidden/>
          </w:rPr>
          <w:fldChar w:fldCharType="begin"/>
        </w:r>
        <w:r w:rsidR="004A2417">
          <w:rPr>
            <w:webHidden/>
          </w:rPr>
          <w:instrText xml:space="preserve"> PAGEREF _Toc182309369 \h </w:instrText>
        </w:r>
        <w:r w:rsidR="004A2417">
          <w:rPr>
            <w:webHidden/>
          </w:rPr>
        </w:r>
        <w:r w:rsidR="004A2417">
          <w:rPr>
            <w:webHidden/>
          </w:rPr>
          <w:fldChar w:fldCharType="separate"/>
        </w:r>
        <w:r w:rsidR="00666FC7">
          <w:rPr>
            <w:webHidden/>
          </w:rPr>
          <w:t>iii</w:t>
        </w:r>
        <w:r w:rsidR="004A2417">
          <w:rPr>
            <w:webHidden/>
          </w:rPr>
          <w:fldChar w:fldCharType="end"/>
        </w:r>
      </w:hyperlink>
    </w:p>
    <w:p w14:paraId="70C31990" w14:textId="46C6D9E9" w:rsidR="004A2417" w:rsidRDefault="00C40DAA" w:rsidP="006B69C7">
      <w:pPr>
        <w:pStyle w:val="TM1"/>
        <w:rPr>
          <w:rFonts w:asciiTheme="minorHAnsi" w:eastAsiaTheme="minorEastAsia" w:hAnsiTheme="minorHAnsi" w:cstheme="minorBidi"/>
          <w:kern w:val="0"/>
          <w:sz w:val="22"/>
          <w:szCs w:val="22"/>
          <w:lang w:eastAsia="fr-FR"/>
        </w:rPr>
      </w:pPr>
      <w:hyperlink w:anchor="_Toc182309370" w:history="1">
        <w:r w:rsidR="004A2417" w:rsidRPr="00A954C2">
          <w:rPr>
            <w:rStyle w:val="Lienhypertexte"/>
            <w:spacing w:val="20"/>
          </w:rPr>
          <w:t>Liste des abréviations</w:t>
        </w:r>
        <w:r w:rsidR="004A2417">
          <w:rPr>
            <w:webHidden/>
          </w:rPr>
          <w:tab/>
        </w:r>
        <w:r w:rsidR="004A2417">
          <w:rPr>
            <w:webHidden/>
          </w:rPr>
          <w:fldChar w:fldCharType="begin"/>
        </w:r>
        <w:r w:rsidR="004A2417">
          <w:rPr>
            <w:webHidden/>
          </w:rPr>
          <w:instrText xml:space="preserve"> PAGEREF _Toc182309370 \h </w:instrText>
        </w:r>
        <w:r w:rsidR="004A2417">
          <w:rPr>
            <w:webHidden/>
          </w:rPr>
        </w:r>
        <w:r w:rsidR="004A2417">
          <w:rPr>
            <w:webHidden/>
          </w:rPr>
          <w:fldChar w:fldCharType="separate"/>
        </w:r>
        <w:r w:rsidR="00666FC7">
          <w:rPr>
            <w:webHidden/>
          </w:rPr>
          <w:t>iv</w:t>
        </w:r>
        <w:r w:rsidR="004A2417">
          <w:rPr>
            <w:webHidden/>
          </w:rPr>
          <w:fldChar w:fldCharType="end"/>
        </w:r>
      </w:hyperlink>
    </w:p>
    <w:p w14:paraId="07B89EBB" w14:textId="5896AAD9" w:rsidR="004A2417" w:rsidRDefault="00C40DAA" w:rsidP="006B69C7">
      <w:pPr>
        <w:pStyle w:val="TM1"/>
        <w:rPr>
          <w:rFonts w:asciiTheme="minorHAnsi" w:eastAsiaTheme="minorEastAsia" w:hAnsiTheme="minorHAnsi" w:cstheme="minorBidi"/>
          <w:kern w:val="0"/>
          <w:sz w:val="22"/>
          <w:szCs w:val="22"/>
          <w:lang w:eastAsia="fr-FR"/>
        </w:rPr>
      </w:pPr>
      <w:hyperlink w:anchor="_Toc182309371" w:history="1">
        <w:r w:rsidR="004A2417" w:rsidRPr="00A954C2">
          <w:rPr>
            <w:rStyle w:val="Lienhypertexte"/>
            <w:spacing w:val="40"/>
          </w:rPr>
          <w:t>Sommaire</w:t>
        </w:r>
        <w:r w:rsidR="004A2417">
          <w:rPr>
            <w:webHidden/>
          </w:rPr>
          <w:tab/>
        </w:r>
        <w:r w:rsidR="004A2417">
          <w:rPr>
            <w:webHidden/>
          </w:rPr>
          <w:fldChar w:fldCharType="begin"/>
        </w:r>
        <w:r w:rsidR="004A2417">
          <w:rPr>
            <w:webHidden/>
          </w:rPr>
          <w:instrText xml:space="preserve"> PAGEREF _Toc182309371 \h </w:instrText>
        </w:r>
        <w:r w:rsidR="004A2417">
          <w:rPr>
            <w:webHidden/>
          </w:rPr>
        </w:r>
        <w:r w:rsidR="004A2417">
          <w:rPr>
            <w:webHidden/>
          </w:rPr>
          <w:fldChar w:fldCharType="separate"/>
        </w:r>
        <w:r w:rsidR="00666FC7">
          <w:rPr>
            <w:webHidden/>
          </w:rPr>
          <w:t>v</w:t>
        </w:r>
        <w:r w:rsidR="004A2417">
          <w:rPr>
            <w:webHidden/>
          </w:rPr>
          <w:fldChar w:fldCharType="end"/>
        </w:r>
      </w:hyperlink>
    </w:p>
    <w:p w14:paraId="50AE1152" w14:textId="5996734C" w:rsidR="004A2417" w:rsidRDefault="00C40DAA" w:rsidP="006B69C7">
      <w:pPr>
        <w:pStyle w:val="TM1"/>
        <w:rPr>
          <w:rFonts w:asciiTheme="minorHAnsi" w:eastAsiaTheme="minorEastAsia" w:hAnsiTheme="minorHAnsi" w:cstheme="minorBidi"/>
          <w:kern w:val="0"/>
          <w:sz w:val="22"/>
          <w:szCs w:val="22"/>
          <w:lang w:eastAsia="fr-FR"/>
        </w:rPr>
      </w:pPr>
      <w:hyperlink w:anchor="_Toc182309372" w:history="1">
        <w:r w:rsidR="004A2417" w:rsidRPr="00A954C2">
          <w:rPr>
            <w:rStyle w:val="Lienhypertexte"/>
            <w:spacing w:val="40"/>
          </w:rPr>
          <w:t>Introduction générale</w:t>
        </w:r>
        <w:r w:rsidR="004A2417">
          <w:rPr>
            <w:webHidden/>
          </w:rPr>
          <w:tab/>
        </w:r>
        <w:r w:rsidR="004A2417">
          <w:rPr>
            <w:webHidden/>
          </w:rPr>
          <w:fldChar w:fldCharType="begin"/>
        </w:r>
        <w:r w:rsidR="004A2417">
          <w:rPr>
            <w:webHidden/>
          </w:rPr>
          <w:instrText xml:space="preserve"> PAGEREF _Toc182309372 \h </w:instrText>
        </w:r>
        <w:r w:rsidR="004A2417">
          <w:rPr>
            <w:webHidden/>
          </w:rPr>
        </w:r>
        <w:r w:rsidR="004A2417">
          <w:rPr>
            <w:webHidden/>
          </w:rPr>
          <w:fldChar w:fldCharType="separate"/>
        </w:r>
        <w:r w:rsidR="00666FC7">
          <w:rPr>
            <w:webHidden/>
          </w:rPr>
          <w:t>1</w:t>
        </w:r>
        <w:r w:rsidR="004A2417">
          <w:rPr>
            <w:webHidden/>
          </w:rPr>
          <w:fldChar w:fldCharType="end"/>
        </w:r>
      </w:hyperlink>
    </w:p>
    <w:p w14:paraId="54555B77" w14:textId="452688BF" w:rsidR="004A2417" w:rsidRDefault="00C40DAA" w:rsidP="006B69C7">
      <w:pPr>
        <w:pStyle w:val="TM1"/>
        <w:rPr>
          <w:rFonts w:asciiTheme="minorHAnsi" w:eastAsiaTheme="minorEastAsia" w:hAnsiTheme="minorHAnsi" w:cstheme="minorBidi"/>
          <w:kern w:val="0"/>
          <w:sz w:val="22"/>
          <w:szCs w:val="22"/>
          <w:lang w:eastAsia="fr-FR"/>
        </w:rPr>
      </w:pPr>
      <w:hyperlink w:anchor="_Toc182309380" w:history="1">
        <w:r w:rsidR="004A2417" w:rsidRPr="00A954C2">
          <w:rPr>
            <w:rStyle w:val="Lienhypertexte"/>
            <w:spacing w:val="20"/>
          </w:rPr>
          <w:t xml:space="preserve">Chapitre I- </w:t>
        </w:r>
        <w:r w:rsidR="004A2417" w:rsidRPr="00A954C2">
          <w:rPr>
            <w:rStyle w:val="Lienhypertexte"/>
            <w:rFonts w:ascii="Times New Roman Gras" w:hAnsi="Times New Roman Gras"/>
            <w:spacing w:val="20"/>
          </w:rPr>
          <w:t>Fondements de la finance islamique</w:t>
        </w:r>
        <w:r w:rsidR="004A2417">
          <w:rPr>
            <w:webHidden/>
          </w:rPr>
          <w:tab/>
        </w:r>
        <w:r w:rsidR="004A2417">
          <w:rPr>
            <w:webHidden/>
          </w:rPr>
          <w:fldChar w:fldCharType="begin"/>
        </w:r>
        <w:r w:rsidR="004A2417">
          <w:rPr>
            <w:webHidden/>
          </w:rPr>
          <w:instrText xml:space="preserve"> PAGEREF _Toc182309380 \h </w:instrText>
        </w:r>
        <w:r w:rsidR="004A2417">
          <w:rPr>
            <w:webHidden/>
          </w:rPr>
        </w:r>
        <w:r w:rsidR="004A2417">
          <w:rPr>
            <w:webHidden/>
          </w:rPr>
          <w:fldChar w:fldCharType="separate"/>
        </w:r>
        <w:r w:rsidR="00666FC7">
          <w:rPr>
            <w:webHidden/>
          </w:rPr>
          <w:t>10</w:t>
        </w:r>
        <w:r w:rsidR="004A2417">
          <w:rPr>
            <w:webHidden/>
          </w:rPr>
          <w:fldChar w:fldCharType="end"/>
        </w:r>
      </w:hyperlink>
    </w:p>
    <w:p w14:paraId="69A2D991" w14:textId="597CE072"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81" w:history="1">
        <w:r w:rsidR="004A2417" w:rsidRPr="00A954C2">
          <w:rPr>
            <w:rStyle w:val="Lienhypertexte"/>
          </w:rPr>
          <w:t>Section I- Fondements et principes de la finance islamique</w:t>
        </w:r>
        <w:r w:rsidR="004A2417">
          <w:rPr>
            <w:webHidden/>
          </w:rPr>
          <w:tab/>
        </w:r>
        <w:r w:rsidR="004A2417">
          <w:rPr>
            <w:webHidden/>
          </w:rPr>
          <w:fldChar w:fldCharType="begin"/>
        </w:r>
        <w:r w:rsidR="004A2417">
          <w:rPr>
            <w:webHidden/>
          </w:rPr>
          <w:instrText xml:space="preserve"> PAGEREF _Toc182309381 \h </w:instrText>
        </w:r>
        <w:r w:rsidR="004A2417">
          <w:rPr>
            <w:webHidden/>
          </w:rPr>
        </w:r>
        <w:r w:rsidR="004A2417">
          <w:rPr>
            <w:webHidden/>
          </w:rPr>
          <w:fldChar w:fldCharType="separate"/>
        </w:r>
        <w:r w:rsidR="00666FC7">
          <w:rPr>
            <w:webHidden/>
          </w:rPr>
          <w:t>10</w:t>
        </w:r>
        <w:r w:rsidR="004A2417">
          <w:rPr>
            <w:webHidden/>
          </w:rPr>
          <w:fldChar w:fldCharType="end"/>
        </w:r>
      </w:hyperlink>
    </w:p>
    <w:p w14:paraId="27817AC0" w14:textId="7AD0C2CD"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82" w:history="1">
        <w:r w:rsidR="004A2417" w:rsidRPr="00A954C2">
          <w:rPr>
            <w:rStyle w:val="Lienhypertexte"/>
          </w:rPr>
          <w:t>Section II- Modes de financement islamique</w:t>
        </w:r>
        <w:r w:rsidR="004A2417">
          <w:rPr>
            <w:webHidden/>
          </w:rPr>
          <w:tab/>
        </w:r>
        <w:r w:rsidR="004A2417">
          <w:rPr>
            <w:webHidden/>
          </w:rPr>
          <w:fldChar w:fldCharType="begin"/>
        </w:r>
        <w:r w:rsidR="004A2417">
          <w:rPr>
            <w:webHidden/>
          </w:rPr>
          <w:instrText xml:space="preserve"> PAGEREF _Toc182309382 \h </w:instrText>
        </w:r>
        <w:r w:rsidR="004A2417">
          <w:rPr>
            <w:webHidden/>
          </w:rPr>
        </w:r>
        <w:r w:rsidR="004A2417">
          <w:rPr>
            <w:webHidden/>
          </w:rPr>
          <w:fldChar w:fldCharType="separate"/>
        </w:r>
        <w:r w:rsidR="00666FC7">
          <w:rPr>
            <w:webHidden/>
          </w:rPr>
          <w:t>40</w:t>
        </w:r>
        <w:r w:rsidR="004A2417">
          <w:rPr>
            <w:webHidden/>
          </w:rPr>
          <w:fldChar w:fldCharType="end"/>
        </w:r>
      </w:hyperlink>
    </w:p>
    <w:p w14:paraId="2D4EE0E2" w14:textId="3F224F22"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83" w:history="1">
        <w:r w:rsidR="004A2417" w:rsidRPr="00A954C2">
          <w:rPr>
            <w:rStyle w:val="Lienhypertexte"/>
          </w:rPr>
          <w:t>Section III- Organisation et gouvernance des banques islamiques</w:t>
        </w:r>
        <w:r w:rsidR="004A2417">
          <w:rPr>
            <w:webHidden/>
          </w:rPr>
          <w:tab/>
        </w:r>
        <w:r w:rsidR="004A2417">
          <w:rPr>
            <w:webHidden/>
          </w:rPr>
          <w:fldChar w:fldCharType="begin"/>
        </w:r>
        <w:r w:rsidR="004A2417">
          <w:rPr>
            <w:webHidden/>
          </w:rPr>
          <w:instrText xml:space="preserve"> PAGEREF _Toc182309383 \h </w:instrText>
        </w:r>
        <w:r w:rsidR="004A2417">
          <w:rPr>
            <w:webHidden/>
          </w:rPr>
        </w:r>
        <w:r w:rsidR="004A2417">
          <w:rPr>
            <w:webHidden/>
          </w:rPr>
          <w:fldChar w:fldCharType="separate"/>
        </w:r>
        <w:r w:rsidR="00666FC7">
          <w:rPr>
            <w:webHidden/>
          </w:rPr>
          <w:t>69</w:t>
        </w:r>
        <w:r w:rsidR="004A2417">
          <w:rPr>
            <w:webHidden/>
          </w:rPr>
          <w:fldChar w:fldCharType="end"/>
        </w:r>
      </w:hyperlink>
    </w:p>
    <w:p w14:paraId="4615FC5E" w14:textId="72D36E71"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84" w:history="1">
        <w:r w:rsidR="004A2417" w:rsidRPr="00A954C2">
          <w:rPr>
            <w:rStyle w:val="Lienhypertexte"/>
          </w:rPr>
          <w:t>Conclusion</w:t>
        </w:r>
        <w:r w:rsidR="004A2417">
          <w:rPr>
            <w:webHidden/>
          </w:rPr>
          <w:tab/>
        </w:r>
        <w:r w:rsidR="004A2417">
          <w:rPr>
            <w:webHidden/>
          </w:rPr>
          <w:fldChar w:fldCharType="begin"/>
        </w:r>
        <w:r w:rsidR="004A2417">
          <w:rPr>
            <w:webHidden/>
          </w:rPr>
          <w:instrText xml:space="preserve"> PAGEREF _Toc182309384 \h </w:instrText>
        </w:r>
        <w:r w:rsidR="004A2417">
          <w:rPr>
            <w:webHidden/>
          </w:rPr>
        </w:r>
        <w:r w:rsidR="004A2417">
          <w:rPr>
            <w:webHidden/>
          </w:rPr>
          <w:fldChar w:fldCharType="separate"/>
        </w:r>
        <w:r w:rsidR="00666FC7">
          <w:rPr>
            <w:webHidden/>
          </w:rPr>
          <w:t>76</w:t>
        </w:r>
        <w:r w:rsidR="004A2417">
          <w:rPr>
            <w:webHidden/>
          </w:rPr>
          <w:fldChar w:fldCharType="end"/>
        </w:r>
      </w:hyperlink>
    </w:p>
    <w:p w14:paraId="547F79D0" w14:textId="38A4E091" w:rsidR="004A2417" w:rsidRDefault="00C40DAA" w:rsidP="006B69C7">
      <w:pPr>
        <w:pStyle w:val="TM1"/>
        <w:rPr>
          <w:rFonts w:asciiTheme="minorHAnsi" w:eastAsiaTheme="minorEastAsia" w:hAnsiTheme="minorHAnsi" w:cstheme="minorBidi"/>
          <w:kern w:val="0"/>
          <w:sz w:val="22"/>
          <w:szCs w:val="22"/>
          <w:lang w:eastAsia="fr-FR"/>
        </w:rPr>
      </w:pPr>
      <w:hyperlink w:anchor="_Toc182309385" w:history="1">
        <w:r w:rsidR="004A2417" w:rsidRPr="00A954C2">
          <w:rPr>
            <w:rStyle w:val="Lienhypertexte"/>
          </w:rPr>
          <w:t xml:space="preserve">Chapitre II- </w:t>
        </w:r>
        <w:r w:rsidR="004A2417" w:rsidRPr="00A954C2">
          <w:rPr>
            <w:rStyle w:val="Lienhypertexte"/>
            <w:rFonts w:ascii="Times New Roman Gras" w:hAnsi="Times New Roman Gras"/>
          </w:rPr>
          <w:t>Gestion des risques dans les banques islamiques</w:t>
        </w:r>
        <w:r w:rsidR="004A2417">
          <w:rPr>
            <w:webHidden/>
          </w:rPr>
          <w:tab/>
        </w:r>
        <w:r w:rsidR="004A2417">
          <w:rPr>
            <w:webHidden/>
          </w:rPr>
          <w:fldChar w:fldCharType="begin"/>
        </w:r>
        <w:r w:rsidR="004A2417">
          <w:rPr>
            <w:webHidden/>
          </w:rPr>
          <w:instrText xml:space="preserve"> PAGEREF _Toc182309385 \h </w:instrText>
        </w:r>
        <w:r w:rsidR="004A2417">
          <w:rPr>
            <w:webHidden/>
          </w:rPr>
        </w:r>
        <w:r w:rsidR="004A2417">
          <w:rPr>
            <w:webHidden/>
          </w:rPr>
          <w:fldChar w:fldCharType="separate"/>
        </w:r>
        <w:r w:rsidR="00666FC7">
          <w:rPr>
            <w:webHidden/>
          </w:rPr>
          <w:t>77</w:t>
        </w:r>
        <w:r w:rsidR="004A2417">
          <w:rPr>
            <w:webHidden/>
          </w:rPr>
          <w:fldChar w:fldCharType="end"/>
        </w:r>
      </w:hyperlink>
    </w:p>
    <w:p w14:paraId="39710E55" w14:textId="68600172"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86" w:history="1">
        <w:r w:rsidR="004A2417" w:rsidRPr="00A954C2">
          <w:rPr>
            <w:rStyle w:val="Lienhypertexte"/>
          </w:rPr>
          <w:t>Section I- Genèse de la gestion des risques financiers</w:t>
        </w:r>
        <w:r w:rsidR="004A2417">
          <w:rPr>
            <w:webHidden/>
          </w:rPr>
          <w:tab/>
        </w:r>
        <w:r w:rsidR="004A2417">
          <w:rPr>
            <w:webHidden/>
          </w:rPr>
          <w:fldChar w:fldCharType="begin"/>
        </w:r>
        <w:r w:rsidR="004A2417">
          <w:rPr>
            <w:webHidden/>
          </w:rPr>
          <w:instrText xml:space="preserve"> PAGEREF _Toc182309386 \h </w:instrText>
        </w:r>
        <w:r w:rsidR="004A2417">
          <w:rPr>
            <w:webHidden/>
          </w:rPr>
        </w:r>
        <w:r w:rsidR="004A2417">
          <w:rPr>
            <w:webHidden/>
          </w:rPr>
          <w:fldChar w:fldCharType="separate"/>
        </w:r>
        <w:r w:rsidR="00666FC7">
          <w:rPr>
            <w:webHidden/>
          </w:rPr>
          <w:t>77</w:t>
        </w:r>
        <w:r w:rsidR="004A2417">
          <w:rPr>
            <w:webHidden/>
          </w:rPr>
          <w:fldChar w:fldCharType="end"/>
        </w:r>
      </w:hyperlink>
    </w:p>
    <w:p w14:paraId="413FB0B0" w14:textId="7DD55A02"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87" w:history="1">
        <w:r w:rsidR="004A2417" w:rsidRPr="00A954C2">
          <w:rPr>
            <w:rStyle w:val="Lienhypertexte"/>
          </w:rPr>
          <w:t>Section II- Identification, mesure et techniques d’atténuation des risques</w:t>
        </w:r>
        <w:r w:rsidR="004A2417">
          <w:rPr>
            <w:webHidden/>
          </w:rPr>
          <w:tab/>
        </w:r>
        <w:r w:rsidR="004A2417">
          <w:rPr>
            <w:webHidden/>
          </w:rPr>
          <w:fldChar w:fldCharType="begin"/>
        </w:r>
        <w:r w:rsidR="004A2417">
          <w:rPr>
            <w:webHidden/>
          </w:rPr>
          <w:instrText xml:space="preserve"> PAGEREF _Toc182309387 \h </w:instrText>
        </w:r>
        <w:r w:rsidR="004A2417">
          <w:rPr>
            <w:webHidden/>
          </w:rPr>
        </w:r>
        <w:r w:rsidR="004A2417">
          <w:rPr>
            <w:webHidden/>
          </w:rPr>
          <w:fldChar w:fldCharType="separate"/>
        </w:r>
        <w:r w:rsidR="00666FC7">
          <w:rPr>
            <w:webHidden/>
          </w:rPr>
          <w:t>83</w:t>
        </w:r>
        <w:r w:rsidR="004A2417">
          <w:rPr>
            <w:webHidden/>
          </w:rPr>
          <w:fldChar w:fldCharType="end"/>
        </w:r>
      </w:hyperlink>
    </w:p>
    <w:p w14:paraId="436A39A9" w14:textId="5E9BDE46"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88" w:history="1">
        <w:r w:rsidR="004A2417" w:rsidRPr="00A954C2">
          <w:rPr>
            <w:rStyle w:val="Lienhypertexte"/>
          </w:rPr>
          <w:t>Section III- Gestion des risques dans les banques islamiques</w:t>
        </w:r>
        <w:r w:rsidR="004A2417">
          <w:rPr>
            <w:webHidden/>
          </w:rPr>
          <w:tab/>
        </w:r>
        <w:r w:rsidR="004A2417">
          <w:rPr>
            <w:webHidden/>
          </w:rPr>
          <w:fldChar w:fldCharType="begin"/>
        </w:r>
        <w:r w:rsidR="004A2417">
          <w:rPr>
            <w:webHidden/>
          </w:rPr>
          <w:instrText xml:space="preserve"> PAGEREF _Toc182309388 \h </w:instrText>
        </w:r>
        <w:r w:rsidR="004A2417">
          <w:rPr>
            <w:webHidden/>
          </w:rPr>
        </w:r>
        <w:r w:rsidR="004A2417">
          <w:rPr>
            <w:webHidden/>
          </w:rPr>
          <w:fldChar w:fldCharType="separate"/>
        </w:r>
        <w:r w:rsidR="00666FC7">
          <w:rPr>
            <w:webHidden/>
          </w:rPr>
          <w:t>112</w:t>
        </w:r>
        <w:r w:rsidR="004A2417">
          <w:rPr>
            <w:webHidden/>
          </w:rPr>
          <w:fldChar w:fldCharType="end"/>
        </w:r>
      </w:hyperlink>
    </w:p>
    <w:p w14:paraId="5D32ED8C" w14:textId="66E5902F"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89" w:history="1">
        <w:r w:rsidR="004A2417" w:rsidRPr="00A954C2">
          <w:rPr>
            <w:rStyle w:val="Lienhypertexte"/>
          </w:rPr>
          <w:t>Conclusion</w:t>
        </w:r>
        <w:r w:rsidR="004A2417">
          <w:rPr>
            <w:webHidden/>
          </w:rPr>
          <w:tab/>
        </w:r>
        <w:r w:rsidR="004A2417">
          <w:rPr>
            <w:webHidden/>
          </w:rPr>
          <w:fldChar w:fldCharType="begin"/>
        </w:r>
        <w:r w:rsidR="004A2417">
          <w:rPr>
            <w:webHidden/>
          </w:rPr>
          <w:instrText xml:space="preserve"> PAGEREF _Toc182309389 \h </w:instrText>
        </w:r>
        <w:r w:rsidR="004A2417">
          <w:rPr>
            <w:webHidden/>
          </w:rPr>
        </w:r>
        <w:r w:rsidR="004A2417">
          <w:rPr>
            <w:webHidden/>
          </w:rPr>
          <w:fldChar w:fldCharType="separate"/>
        </w:r>
        <w:r w:rsidR="00666FC7">
          <w:rPr>
            <w:webHidden/>
          </w:rPr>
          <w:t>139</w:t>
        </w:r>
        <w:r w:rsidR="004A2417">
          <w:rPr>
            <w:webHidden/>
          </w:rPr>
          <w:fldChar w:fldCharType="end"/>
        </w:r>
      </w:hyperlink>
    </w:p>
    <w:p w14:paraId="05CFF5F2" w14:textId="1ED4D862" w:rsidR="004A2417" w:rsidRDefault="00C40DAA" w:rsidP="006B69C7">
      <w:pPr>
        <w:pStyle w:val="TM1"/>
        <w:rPr>
          <w:rFonts w:asciiTheme="minorHAnsi" w:eastAsiaTheme="minorEastAsia" w:hAnsiTheme="minorHAnsi" w:cstheme="minorBidi"/>
          <w:kern w:val="0"/>
          <w:sz w:val="22"/>
          <w:szCs w:val="22"/>
          <w:lang w:eastAsia="fr-FR"/>
        </w:rPr>
      </w:pPr>
      <w:hyperlink w:anchor="_Toc182309390" w:history="1">
        <w:r w:rsidR="004A2417" w:rsidRPr="00A954C2">
          <w:rPr>
            <w:rStyle w:val="Lienhypertexte"/>
          </w:rPr>
          <w:t xml:space="preserve">Chapitre III- </w:t>
        </w:r>
        <w:r w:rsidR="004A2417" w:rsidRPr="00A954C2">
          <w:rPr>
            <w:rStyle w:val="Lienhypertexte"/>
            <w:rFonts w:ascii="Times New Roman Gras" w:hAnsi="Times New Roman Gras"/>
          </w:rPr>
          <w:t>Risques des modes de financement participatif</w:t>
        </w:r>
        <w:r w:rsidR="004A2417">
          <w:rPr>
            <w:webHidden/>
          </w:rPr>
          <w:tab/>
        </w:r>
        <w:r w:rsidR="004A2417">
          <w:rPr>
            <w:webHidden/>
          </w:rPr>
          <w:fldChar w:fldCharType="begin"/>
        </w:r>
        <w:r w:rsidR="004A2417">
          <w:rPr>
            <w:webHidden/>
          </w:rPr>
          <w:instrText xml:space="preserve"> PAGEREF _Toc182309390 \h </w:instrText>
        </w:r>
        <w:r w:rsidR="004A2417">
          <w:rPr>
            <w:webHidden/>
          </w:rPr>
        </w:r>
        <w:r w:rsidR="004A2417">
          <w:rPr>
            <w:webHidden/>
          </w:rPr>
          <w:fldChar w:fldCharType="separate"/>
        </w:r>
        <w:r w:rsidR="00666FC7">
          <w:rPr>
            <w:webHidden/>
          </w:rPr>
          <w:t>141</w:t>
        </w:r>
        <w:r w:rsidR="004A2417">
          <w:rPr>
            <w:webHidden/>
          </w:rPr>
          <w:fldChar w:fldCharType="end"/>
        </w:r>
      </w:hyperlink>
    </w:p>
    <w:p w14:paraId="161AEF7A" w14:textId="08583CC4"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91" w:history="1">
        <w:r w:rsidR="004A2417" w:rsidRPr="00A954C2">
          <w:rPr>
            <w:rStyle w:val="Lienhypertexte"/>
            <w:kern w:val="28"/>
          </w:rPr>
          <w:t>Section II- Application des instruments participatifs dans la BI</w:t>
        </w:r>
        <w:r w:rsidR="004A2417">
          <w:rPr>
            <w:webHidden/>
          </w:rPr>
          <w:tab/>
        </w:r>
        <w:r w:rsidR="004A2417">
          <w:rPr>
            <w:webHidden/>
          </w:rPr>
          <w:fldChar w:fldCharType="begin"/>
        </w:r>
        <w:r w:rsidR="004A2417">
          <w:rPr>
            <w:webHidden/>
          </w:rPr>
          <w:instrText xml:space="preserve"> PAGEREF _Toc182309391 \h </w:instrText>
        </w:r>
        <w:r w:rsidR="004A2417">
          <w:rPr>
            <w:webHidden/>
          </w:rPr>
        </w:r>
        <w:r w:rsidR="004A2417">
          <w:rPr>
            <w:webHidden/>
          </w:rPr>
          <w:fldChar w:fldCharType="separate"/>
        </w:r>
        <w:r w:rsidR="00666FC7">
          <w:rPr>
            <w:webHidden/>
          </w:rPr>
          <w:t>152</w:t>
        </w:r>
        <w:r w:rsidR="004A2417">
          <w:rPr>
            <w:webHidden/>
          </w:rPr>
          <w:fldChar w:fldCharType="end"/>
        </w:r>
      </w:hyperlink>
    </w:p>
    <w:p w14:paraId="2261D564" w14:textId="2C5B5A25"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92" w:history="1">
        <w:r w:rsidR="004A2417" w:rsidRPr="00A954C2">
          <w:rPr>
            <w:rStyle w:val="Lienhypertexte"/>
            <w:kern w:val="28"/>
          </w:rPr>
          <w:t>Section III- Analyse et gestion des risques liés aux instruments participatifs</w:t>
        </w:r>
        <w:r w:rsidR="004A2417">
          <w:rPr>
            <w:webHidden/>
          </w:rPr>
          <w:tab/>
        </w:r>
        <w:r w:rsidR="004A2417">
          <w:rPr>
            <w:webHidden/>
          </w:rPr>
          <w:fldChar w:fldCharType="begin"/>
        </w:r>
        <w:r w:rsidR="004A2417">
          <w:rPr>
            <w:webHidden/>
          </w:rPr>
          <w:instrText xml:space="preserve"> PAGEREF _Toc182309392 \h </w:instrText>
        </w:r>
        <w:r w:rsidR="004A2417">
          <w:rPr>
            <w:webHidden/>
          </w:rPr>
        </w:r>
        <w:r w:rsidR="004A2417">
          <w:rPr>
            <w:webHidden/>
          </w:rPr>
          <w:fldChar w:fldCharType="separate"/>
        </w:r>
        <w:r w:rsidR="00666FC7">
          <w:rPr>
            <w:webHidden/>
          </w:rPr>
          <w:t>164</w:t>
        </w:r>
        <w:r w:rsidR="004A2417">
          <w:rPr>
            <w:webHidden/>
          </w:rPr>
          <w:fldChar w:fldCharType="end"/>
        </w:r>
      </w:hyperlink>
    </w:p>
    <w:p w14:paraId="1E442E67" w14:textId="15018D13"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93" w:history="1">
        <w:r w:rsidR="004A2417" w:rsidRPr="00A954C2">
          <w:rPr>
            <w:rStyle w:val="Lienhypertexte"/>
          </w:rPr>
          <w:t>Conclusion</w:t>
        </w:r>
        <w:r w:rsidR="004A2417">
          <w:rPr>
            <w:webHidden/>
          </w:rPr>
          <w:tab/>
        </w:r>
        <w:r w:rsidR="004A2417">
          <w:rPr>
            <w:webHidden/>
          </w:rPr>
          <w:fldChar w:fldCharType="begin"/>
        </w:r>
        <w:r w:rsidR="004A2417">
          <w:rPr>
            <w:webHidden/>
          </w:rPr>
          <w:instrText xml:space="preserve"> PAGEREF _Toc182309393 \h </w:instrText>
        </w:r>
        <w:r w:rsidR="004A2417">
          <w:rPr>
            <w:webHidden/>
          </w:rPr>
        </w:r>
        <w:r w:rsidR="004A2417">
          <w:rPr>
            <w:webHidden/>
          </w:rPr>
          <w:fldChar w:fldCharType="separate"/>
        </w:r>
        <w:r w:rsidR="00666FC7">
          <w:rPr>
            <w:webHidden/>
          </w:rPr>
          <w:t>178</w:t>
        </w:r>
        <w:r w:rsidR="004A2417">
          <w:rPr>
            <w:webHidden/>
          </w:rPr>
          <w:fldChar w:fldCharType="end"/>
        </w:r>
      </w:hyperlink>
    </w:p>
    <w:p w14:paraId="38B4ED6D" w14:textId="17860D22" w:rsidR="004A2417" w:rsidRDefault="00C40DAA" w:rsidP="006B69C7">
      <w:pPr>
        <w:pStyle w:val="TM1"/>
        <w:rPr>
          <w:rFonts w:asciiTheme="minorHAnsi" w:eastAsiaTheme="minorEastAsia" w:hAnsiTheme="minorHAnsi" w:cstheme="minorBidi"/>
          <w:kern w:val="0"/>
          <w:sz w:val="22"/>
          <w:szCs w:val="22"/>
          <w:lang w:eastAsia="fr-FR"/>
        </w:rPr>
      </w:pPr>
      <w:hyperlink w:anchor="_Toc182309394" w:history="1">
        <w:r w:rsidR="004A2417" w:rsidRPr="00A954C2">
          <w:rPr>
            <w:rStyle w:val="Lienhypertexte"/>
          </w:rPr>
          <w:t xml:space="preserve">Chapitre IV- </w:t>
        </w:r>
        <w:r w:rsidR="004A2417" w:rsidRPr="00A954C2">
          <w:rPr>
            <w:rStyle w:val="Lienhypertexte"/>
            <w:rFonts w:ascii="Times New Roman Gras" w:hAnsi="Times New Roman Gras"/>
          </w:rPr>
          <w:t>Etude empirique sur les instruments financiers participatifs</w:t>
        </w:r>
        <w:r w:rsidR="004A2417">
          <w:rPr>
            <w:webHidden/>
          </w:rPr>
          <w:tab/>
        </w:r>
        <w:r w:rsidR="004A2417">
          <w:rPr>
            <w:webHidden/>
          </w:rPr>
          <w:fldChar w:fldCharType="begin"/>
        </w:r>
        <w:r w:rsidR="004A2417">
          <w:rPr>
            <w:webHidden/>
          </w:rPr>
          <w:instrText xml:space="preserve"> PAGEREF _Toc182309394 \h </w:instrText>
        </w:r>
        <w:r w:rsidR="004A2417">
          <w:rPr>
            <w:webHidden/>
          </w:rPr>
        </w:r>
        <w:r w:rsidR="004A2417">
          <w:rPr>
            <w:webHidden/>
          </w:rPr>
          <w:fldChar w:fldCharType="separate"/>
        </w:r>
        <w:r w:rsidR="00666FC7">
          <w:rPr>
            <w:webHidden/>
          </w:rPr>
          <w:t>179</w:t>
        </w:r>
        <w:r w:rsidR="004A2417">
          <w:rPr>
            <w:webHidden/>
          </w:rPr>
          <w:fldChar w:fldCharType="end"/>
        </w:r>
      </w:hyperlink>
    </w:p>
    <w:p w14:paraId="1005376E" w14:textId="3A0B6EC1"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95" w:history="1">
        <w:r w:rsidR="004A2417" w:rsidRPr="00A954C2">
          <w:rPr>
            <w:rStyle w:val="Lienhypertexte"/>
          </w:rPr>
          <w:t>Section I - Méthodologie de recherche</w:t>
        </w:r>
        <w:r w:rsidR="004A2417">
          <w:rPr>
            <w:webHidden/>
          </w:rPr>
          <w:tab/>
        </w:r>
        <w:r w:rsidR="004A2417">
          <w:rPr>
            <w:webHidden/>
          </w:rPr>
          <w:fldChar w:fldCharType="begin"/>
        </w:r>
        <w:r w:rsidR="004A2417">
          <w:rPr>
            <w:webHidden/>
          </w:rPr>
          <w:instrText xml:space="preserve"> PAGEREF _Toc182309395 \h </w:instrText>
        </w:r>
        <w:r w:rsidR="004A2417">
          <w:rPr>
            <w:webHidden/>
          </w:rPr>
        </w:r>
        <w:r w:rsidR="004A2417">
          <w:rPr>
            <w:webHidden/>
          </w:rPr>
          <w:fldChar w:fldCharType="separate"/>
        </w:r>
        <w:r w:rsidR="00666FC7">
          <w:rPr>
            <w:webHidden/>
          </w:rPr>
          <w:t>179</w:t>
        </w:r>
        <w:r w:rsidR="004A2417">
          <w:rPr>
            <w:webHidden/>
          </w:rPr>
          <w:fldChar w:fldCharType="end"/>
        </w:r>
      </w:hyperlink>
    </w:p>
    <w:p w14:paraId="332C3FB8" w14:textId="408F1F8A"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96" w:history="1">
        <w:r w:rsidR="004A2417" w:rsidRPr="00A954C2">
          <w:rPr>
            <w:rStyle w:val="Lienhypertexte"/>
          </w:rPr>
          <w:t>Section II - Analyse et interprétation des résultats</w:t>
        </w:r>
        <w:r w:rsidR="004A2417">
          <w:rPr>
            <w:webHidden/>
          </w:rPr>
          <w:tab/>
        </w:r>
        <w:r w:rsidR="004A2417">
          <w:rPr>
            <w:webHidden/>
          </w:rPr>
          <w:fldChar w:fldCharType="begin"/>
        </w:r>
        <w:r w:rsidR="004A2417">
          <w:rPr>
            <w:webHidden/>
          </w:rPr>
          <w:instrText xml:space="preserve"> PAGEREF _Toc182309396 \h </w:instrText>
        </w:r>
        <w:r w:rsidR="004A2417">
          <w:rPr>
            <w:webHidden/>
          </w:rPr>
        </w:r>
        <w:r w:rsidR="004A2417">
          <w:rPr>
            <w:webHidden/>
          </w:rPr>
          <w:fldChar w:fldCharType="separate"/>
        </w:r>
        <w:r w:rsidR="00666FC7">
          <w:rPr>
            <w:webHidden/>
          </w:rPr>
          <w:t>188</w:t>
        </w:r>
        <w:r w:rsidR="004A2417">
          <w:rPr>
            <w:webHidden/>
          </w:rPr>
          <w:fldChar w:fldCharType="end"/>
        </w:r>
      </w:hyperlink>
    </w:p>
    <w:p w14:paraId="439537A2" w14:textId="6A8D110F"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97" w:history="1">
        <w:r w:rsidR="004A2417" w:rsidRPr="00A954C2">
          <w:rPr>
            <w:rStyle w:val="Lienhypertexte"/>
          </w:rPr>
          <w:t xml:space="preserve">Section III. </w:t>
        </w:r>
        <w:r w:rsidR="004A2417" w:rsidRPr="00A954C2">
          <w:rPr>
            <w:rStyle w:val="Lienhypertexte"/>
            <w:rFonts w:ascii="Times New Roman" w:hAnsi="Times New Roman"/>
          </w:rPr>
          <w:t>Synthèse des résultats (Discussion interprétative)</w:t>
        </w:r>
        <w:r w:rsidR="004A2417">
          <w:rPr>
            <w:webHidden/>
          </w:rPr>
          <w:tab/>
        </w:r>
        <w:r w:rsidR="004A2417">
          <w:rPr>
            <w:webHidden/>
          </w:rPr>
          <w:fldChar w:fldCharType="begin"/>
        </w:r>
        <w:r w:rsidR="004A2417">
          <w:rPr>
            <w:webHidden/>
          </w:rPr>
          <w:instrText xml:space="preserve"> PAGEREF _Toc182309397 \h </w:instrText>
        </w:r>
        <w:r w:rsidR="004A2417">
          <w:rPr>
            <w:webHidden/>
          </w:rPr>
        </w:r>
        <w:r w:rsidR="004A2417">
          <w:rPr>
            <w:webHidden/>
          </w:rPr>
          <w:fldChar w:fldCharType="separate"/>
        </w:r>
        <w:r w:rsidR="00666FC7">
          <w:rPr>
            <w:webHidden/>
          </w:rPr>
          <w:t>224</w:t>
        </w:r>
        <w:r w:rsidR="004A2417">
          <w:rPr>
            <w:webHidden/>
          </w:rPr>
          <w:fldChar w:fldCharType="end"/>
        </w:r>
      </w:hyperlink>
    </w:p>
    <w:p w14:paraId="4E8407C2" w14:textId="2ECC6630" w:rsidR="004A2417" w:rsidRDefault="00C40DAA">
      <w:pPr>
        <w:pStyle w:val="TM2"/>
        <w:rPr>
          <w:rFonts w:asciiTheme="minorHAnsi" w:eastAsiaTheme="minorEastAsia" w:hAnsiTheme="minorHAnsi" w:cstheme="minorBidi"/>
          <w:b w:val="0"/>
          <w:bCs w:val="0"/>
          <w:smallCaps w:val="0"/>
          <w:spacing w:val="0"/>
          <w:kern w:val="0"/>
          <w:sz w:val="22"/>
          <w:szCs w:val="22"/>
          <w:lang w:eastAsia="fr-FR"/>
        </w:rPr>
      </w:pPr>
      <w:hyperlink w:anchor="_Toc182309398" w:history="1">
        <w:r w:rsidR="004A2417" w:rsidRPr="00A954C2">
          <w:rPr>
            <w:rStyle w:val="Lienhypertexte"/>
          </w:rPr>
          <w:t>Conclusion</w:t>
        </w:r>
        <w:r w:rsidR="004A2417">
          <w:rPr>
            <w:webHidden/>
          </w:rPr>
          <w:tab/>
        </w:r>
        <w:r w:rsidR="004A2417">
          <w:rPr>
            <w:webHidden/>
          </w:rPr>
          <w:fldChar w:fldCharType="begin"/>
        </w:r>
        <w:r w:rsidR="004A2417">
          <w:rPr>
            <w:webHidden/>
          </w:rPr>
          <w:instrText xml:space="preserve"> PAGEREF _Toc182309398 \h </w:instrText>
        </w:r>
        <w:r w:rsidR="004A2417">
          <w:rPr>
            <w:webHidden/>
          </w:rPr>
        </w:r>
        <w:r w:rsidR="004A2417">
          <w:rPr>
            <w:webHidden/>
          </w:rPr>
          <w:fldChar w:fldCharType="separate"/>
        </w:r>
        <w:r w:rsidR="00666FC7">
          <w:rPr>
            <w:webHidden/>
          </w:rPr>
          <w:t>230</w:t>
        </w:r>
        <w:r w:rsidR="004A2417">
          <w:rPr>
            <w:webHidden/>
          </w:rPr>
          <w:fldChar w:fldCharType="end"/>
        </w:r>
      </w:hyperlink>
    </w:p>
    <w:p w14:paraId="3A2A8960" w14:textId="29B796E2" w:rsidR="004A2417" w:rsidRDefault="00C40DAA" w:rsidP="006B69C7">
      <w:pPr>
        <w:pStyle w:val="TM1"/>
        <w:rPr>
          <w:rFonts w:asciiTheme="minorHAnsi" w:eastAsiaTheme="minorEastAsia" w:hAnsiTheme="minorHAnsi" w:cstheme="minorBidi"/>
          <w:kern w:val="0"/>
          <w:sz w:val="22"/>
          <w:szCs w:val="22"/>
          <w:lang w:eastAsia="fr-FR"/>
        </w:rPr>
      </w:pPr>
      <w:hyperlink w:anchor="_Toc182309399" w:history="1">
        <w:r w:rsidR="004A2417" w:rsidRPr="00A954C2">
          <w:rPr>
            <w:rStyle w:val="Lienhypertexte"/>
            <w:spacing w:val="40"/>
          </w:rPr>
          <w:t>Conclusion Générale</w:t>
        </w:r>
        <w:r w:rsidR="004A2417">
          <w:rPr>
            <w:webHidden/>
          </w:rPr>
          <w:tab/>
        </w:r>
        <w:r w:rsidR="004A2417">
          <w:rPr>
            <w:webHidden/>
          </w:rPr>
          <w:fldChar w:fldCharType="begin"/>
        </w:r>
        <w:r w:rsidR="004A2417">
          <w:rPr>
            <w:webHidden/>
          </w:rPr>
          <w:instrText xml:space="preserve"> PAGEREF _Toc182309399 \h </w:instrText>
        </w:r>
        <w:r w:rsidR="004A2417">
          <w:rPr>
            <w:webHidden/>
          </w:rPr>
        </w:r>
        <w:r w:rsidR="004A2417">
          <w:rPr>
            <w:webHidden/>
          </w:rPr>
          <w:fldChar w:fldCharType="separate"/>
        </w:r>
        <w:r w:rsidR="00666FC7">
          <w:rPr>
            <w:webHidden/>
          </w:rPr>
          <w:t>179</w:t>
        </w:r>
        <w:r w:rsidR="004A2417">
          <w:rPr>
            <w:webHidden/>
          </w:rPr>
          <w:fldChar w:fldCharType="end"/>
        </w:r>
      </w:hyperlink>
    </w:p>
    <w:p w14:paraId="0CE4F0EF" w14:textId="1B36DE44" w:rsidR="004A2417" w:rsidRDefault="00C40DAA" w:rsidP="006B69C7">
      <w:pPr>
        <w:pStyle w:val="TM1"/>
        <w:rPr>
          <w:rFonts w:asciiTheme="minorHAnsi" w:eastAsiaTheme="minorEastAsia" w:hAnsiTheme="minorHAnsi" w:cstheme="minorBidi"/>
          <w:kern w:val="0"/>
          <w:sz w:val="22"/>
          <w:szCs w:val="22"/>
          <w:lang w:eastAsia="fr-FR"/>
        </w:rPr>
      </w:pPr>
      <w:hyperlink w:anchor="_Toc182309400" w:history="1">
        <w:r w:rsidR="004A2417" w:rsidRPr="00A954C2">
          <w:rPr>
            <w:rStyle w:val="Lienhypertexte"/>
            <w:spacing w:val="40"/>
            <w:lang w:val="en-GB"/>
          </w:rPr>
          <w:t>Bibliographie</w:t>
        </w:r>
        <w:r w:rsidR="004A2417">
          <w:rPr>
            <w:webHidden/>
          </w:rPr>
          <w:tab/>
        </w:r>
        <w:r w:rsidR="004A2417">
          <w:rPr>
            <w:webHidden/>
          </w:rPr>
          <w:fldChar w:fldCharType="begin"/>
        </w:r>
        <w:r w:rsidR="004A2417">
          <w:rPr>
            <w:webHidden/>
          </w:rPr>
          <w:instrText xml:space="preserve"> PAGEREF _Toc182309400 \h </w:instrText>
        </w:r>
        <w:r w:rsidR="004A2417">
          <w:rPr>
            <w:webHidden/>
          </w:rPr>
        </w:r>
        <w:r w:rsidR="004A2417">
          <w:rPr>
            <w:webHidden/>
          </w:rPr>
          <w:fldChar w:fldCharType="separate"/>
        </w:r>
        <w:r w:rsidR="00666FC7">
          <w:rPr>
            <w:webHidden/>
          </w:rPr>
          <w:t>239</w:t>
        </w:r>
        <w:r w:rsidR="004A2417">
          <w:rPr>
            <w:webHidden/>
          </w:rPr>
          <w:fldChar w:fldCharType="end"/>
        </w:r>
      </w:hyperlink>
    </w:p>
    <w:p w14:paraId="45FBB81F" w14:textId="5B8A2020" w:rsidR="004A2417" w:rsidRDefault="00C40DAA" w:rsidP="006B69C7">
      <w:pPr>
        <w:pStyle w:val="TM1"/>
        <w:rPr>
          <w:rFonts w:asciiTheme="minorHAnsi" w:eastAsiaTheme="minorEastAsia" w:hAnsiTheme="minorHAnsi" w:cstheme="minorBidi"/>
          <w:kern w:val="0"/>
          <w:sz w:val="22"/>
          <w:szCs w:val="22"/>
          <w:lang w:eastAsia="fr-FR"/>
        </w:rPr>
      </w:pPr>
      <w:hyperlink w:anchor="_Toc182309401" w:history="1">
        <w:r w:rsidR="004A2417" w:rsidRPr="00A954C2">
          <w:rPr>
            <w:rStyle w:val="Lienhypertexte"/>
            <w:spacing w:val="40"/>
          </w:rPr>
          <w:t>Liste des Figures, des Graphiques et des Tableaux</w:t>
        </w:r>
        <w:r w:rsidR="004A2417">
          <w:rPr>
            <w:webHidden/>
          </w:rPr>
          <w:tab/>
        </w:r>
        <w:r w:rsidR="004A2417">
          <w:rPr>
            <w:webHidden/>
          </w:rPr>
          <w:fldChar w:fldCharType="begin"/>
        </w:r>
        <w:r w:rsidR="004A2417">
          <w:rPr>
            <w:webHidden/>
          </w:rPr>
          <w:instrText xml:space="preserve"> PAGEREF _Toc182309401 \h </w:instrText>
        </w:r>
        <w:r w:rsidR="004A2417">
          <w:rPr>
            <w:webHidden/>
          </w:rPr>
        </w:r>
        <w:r w:rsidR="004A2417">
          <w:rPr>
            <w:webHidden/>
          </w:rPr>
          <w:fldChar w:fldCharType="separate"/>
        </w:r>
        <w:r w:rsidR="00666FC7">
          <w:rPr>
            <w:webHidden/>
          </w:rPr>
          <w:t>240</w:t>
        </w:r>
        <w:r w:rsidR="004A2417">
          <w:rPr>
            <w:webHidden/>
          </w:rPr>
          <w:fldChar w:fldCharType="end"/>
        </w:r>
      </w:hyperlink>
    </w:p>
    <w:p w14:paraId="42886461" w14:textId="4888D2DC" w:rsidR="004A2417" w:rsidRDefault="00C40DAA" w:rsidP="006B69C7">
      <w:pPr>
        <w:pStyle w:val="TM1"/>
        <w:rPr>
          <w:rFonts w:asciiTheme="minorHAnsi" w:eastAsiaTheme="minorEastAsia" w:hAnsiTheme="minorHAnsi" w:cstheme="minorBidi"/>
          <w:kern w:val="0"/>
          <w:sz w:val="22"/>
          <w:szCs w:val="22"/>
          <w:lang w:eastAsia="fr-FR"/>
        </w:rPr>
      </w:pPr>
      <w:hyperlink w:anchor="_Toc182309405" w:history="1">
        <w:r w:rsidR="004A2417" w:rsidRPr="00A954C2">
          <w:rPr>
            <w:rStyle w:val="Lienhypertexte"/>
            <w:spacing w:val="40"/>
          </w:rPr>
          <w:t>Annexes</w:t>
        </w:r>
        <w:r w:rsidR="004A2417">
          <w:rPr>
            <w:webHidden/>
          </w:rPr>
          <w:tab/>
        </w:r>
        <w:r w:rsidR="004A2417">
          <w:rPr>
            <w:webHidden/>
          </w:rPr>
          <w:fldChar w:fldCharType="begin"/>
        </w:r>
        <w:r w:rsidR="004A2417">
          <w:rPr>
            <w:webHidden/>
          </w:rPr>
          <w:instrText xml:space="preserve"> PAGEREF _Toc182309405 \h </w:instrText>
        </w:r>
        <w:r w:rsidR="004A2417">
          <w:rPr>
            <w:webHidden/>
          </w:rPr>
        </w:r>
        <w:r w:rsidR="004A2417">
          <w:rPr>
            <w:webHidden/>
          </w:rPr>
          <w:fldChar w:fldCharType="separate"/>
        </w:r>
        <w:r w:rsidR="00666FC7">
          <w:rPr>
            <w:webHidden/>
          </w:rPr>
          <w:t>260</w:t>
        </w:r>
        <w:r w:rsidR="004A2417">
          <w:rPr>
            <w:webHidden/>
          </w:rPr>
          <w:fldChar w:fldCharType="end"/>
        </w:r>
      </w:hyperlink>
    </w:p>
    <w:p w14:paraId="68AD4F86" w14:textId="6B23C6D4" w:rsidR="00DD7EBA" w:rsidRDefault="00C40DAA" w:rsidP="006B69C7">
      <w:pPr>
        <w:pStyle w:val="TM1"/>
        <w:rPr>
          <w:rStyle w:val="Lienhypertexte"/>
        </w:rPr>
        <w:sectPr w:rsidR="00DD7EBA" w:rsidSect="00DD7EBA">
          <w:headerReference w:type="default" r:id="rId10"/>
          <w:footerReference w:type="default" r:id="rId11"/>
          <w:footerReference w:type="first" r:id="rId12"/>
          <w:footnotePr>
            <w:numRestart w:val="eachPage"/>
          </w:footnotePr>
          <w:pgSz w:w="11906" w:h="16838" w:code="9"/>
          <w:pgMar w:top="1134" w:right="1134" w:bottom="1134" w:left="1134" w:header="709" w:footer="709" w:gutter="567"/>
          <w:pgNumType w:fmt="lowerRoman" w:start="1"/>
          <w:cols w:space="708"/>
          <w:docGrid w:linePitch="360"/>
        </w:sectPr>
      </w:pPr>
      <w:hyperlink w:anchor="_Toc182309408" w:history="1">
        <w:r w:rsidR="004A2417" w:rsidRPr="00A954C2">
          <w:rPr>
            <w:rStyle w:val="Lienhypertexte"/>
            <w:rFonts w:ascii="Times New Roman" w:hAnsi="Times New Roman" w:cs="Times New Roman"/>
            <w:spacing w:val="40"/>
            <w14:shadow w14:blurRad="50800" w14:dist="38100" w14:dir="2700000" w14:sx="100000" w14:sy="100000" w14:kx="0" w14:ky="0" w14:algn="tl">
              <w14:srgbClr w14:val="000000">
                <w14:alpha w14:val="60000"/>
              </w14:srgbClr>
            </w14:shadow>
          </w:rPr>
          <w:t>Table des matières</w:t>
        </w:r>
        <w:r w:rsidR="004A2417">
          <w:rPr>
            <w:webHidden/>
          </w:rPr>
          <w:tab/>
        </w:r>
        <w:r w:rsidR="004A2417">
          <w:rPr>
            <w:webHidden/>
          </w:rPr>
          <w:fldChar w:fldCharType="begin"/>
        </w:r>
        <w:r w:rsidR="004A2417">
          <w:rPr>
            <w:webHidden/>
          </w:rPr>
          <w:instrText xml:space="preserve"> PAGEREF _Toc182309408 \h </w:instrText>
        </w:r>
        <w:r w:rsidR="004A2417">
          <w:rPr>
            <w:webHidden/>
          </w:rPr>
        </w:r>
        <w:r w:rsidR="004A2417">
          <w:rPr>
            <w:webHidden/>
          </w:rPr>
          <w:fldChar w:fldCharType="separate"/>
        </w:r>
        <w:r w:rsidR="00666FC7">
          <w:rPr>
            <w:webHidden/>
          </w:rPr>
          <w:t>278</w:t>
        </w:r>
        <w:r w:rsidR="004A2417">
          <w:rPr>
            <w:webHidden/>
          </w:rPr>
          <w:fldChar w:fldCharType="end"/>
        </w:r>
      </w:hyperlink>
    </w:p>
    <w:p w14:paraId="33D92DCD" w14:textId="29CAEB30" w:rsidR="004A2417" w:rsidRDefault="004A2417" w:rsidP="006B69C7">
      <w:pPr>
        <w:pStyle w:val="TM1"/>
        <w:rPr>
          <w:rStyle w:val="Lienhypertexte"/>
        </w:rPr>
      </w:pPr>
    </w:p>
    <w:p w14:paraId="30870D79" w14:textId="2F8E11E7" w:rsidR="00C526F7" w:rsidRDefault="00C526F7" w:rsidP="00DD7EBA">
      <w:pPr>
        <w:rPr>
          <w:rStyle w:val="Lienhypertexte"/>
        </w:rPr>
      </w:pPr>
    </w:p>
    <w:p w14:paraId="3A499645" w14:textId="77777777" w:rsidR="00C526F7" w:rsidRPr="00C526F7" w:rsidRDefault="00C526F7" w:rsidP="00C526F7"/>
    <w:p w14:paraId="66B39B45" w14:textId="77777777" w:rsidR="00C526F7" w:rsidRPr="00C526F7" w:rsidRDefault="00C526F7" w:rsidP="00C526F7"/>
    <w:p w14:paraId="45F0504A" w14:textId="77777777" w:rsidR="00C526F7" w:rsidRPr="00C526F7" w:rsidRDefault="00C526F7" w:rsidP="00C526F7"/>
    <w:p w14:paraId="0405F8B9" w14:textId="77777777" w:rsidR="00C526F7" w:rsidRPr="00C526F7" w:rsidRDefault="00C526F7" w:rsidP="00C526F7"/>
    <w:p w14:paraId="0EAC4185" w14:textId="77777777" w:rsidR="00C526F7" w:rsidRPr="00C526F7" w:rsidRDefault="00C526F7" w:rsidP="00C526F7"/>
    <w:p w14:paraId="00C86529" w14:textId="77777777" w:rsidR="00C526F7" w:rsidRPr="00C526F7" w:rsidRDefault="00C526F7" w:rsidP="00C526F7"/>
    <w:p w14:paraId="7851A20E" w14:textId="081C196D" w:rsidR="00C526F7" w:rsidRDefault="00C526F7" w:rsidP="00DD7EBA"/>
    <w:p w14:paraId="39082724" w14:textId="6AF22F48" w:rsidR="00C526F7" w:rsidRDefault="00C526F7" w:rsidP="00DD7EBA"/>
    <w:p w14:paraId="7A411426" w14:textId="77777777" w:rsidR="00C526F7" w:rsidRDefault="00C526F7" w:rsidP="00C526F7">
      <w:pPr>
        <w:tabs>
          <w:tab w:val="left" w:pos="6708"/>
        </w:tabs>
        <w:rPr>
          <w:rFonts w:asciiTheme="majorBidi" w:hAnsiTheme="majorBidi" w:cstheme="majorBidi"/>
          <w:caps/>
          <w:smallCaps/>
          <w:noProof/>
          <w:kern w:val="24"/>
          <w:sz w:val="24"/>
          <w:szCs w:val="24"/>
        </w:rPr>
      </w:pPr>
      <w:r>
        <w:tab/>
      </w:r>
      <w:r w:rsidR="004A2417">
        <w:rPr>
          <w:rFonts w:asciiTheme="majorBidi" w:hAnsiTheme="majorBidi" w:cstheme="majorBidi"/>
          <w:caps/>
          <w:smallCaps/>
          <w:noProof/>
          <w:kern w:val="24"/>
          <w:sz w:val="24"/>
          <w:szCs w:val="24"/>
        </w:rPr>
        <w:fldChar w:fldCharType="end"/>
      </w:r>
      <w:bookmarkStart w:id="56" w:name="_Toc182298576"/>
      <w:bookmarkStart w:id="57" w:name="_Toc182309372"/>
    </w:p>
    <w:p w14:paraId="04F6BCEB" w14:textId="77777777" w:rsidR="00C526F7" w:rsidRDefault="00C526F7" w:rsidP="00C526F7">
      <w:pPr>
        <w:tabs>
          <w:tab w:val="left" w:pos="6708"/>
        </w:tabs>
        <w:rPr>
          <w:rFonts w:asciiTheme="majorBidi" w:hAnsiTheme="majorBidi" w:cstheme="majorBidi"/>
          <w:b/>
          <w:bCs/>
          <w:smallCaps/>
          <w:spacing w:val="40"/>
          <w:sz w:val="56"/>
          <w:szCs w:val="56"/>
        </w:rPr>
      </w:pPr>
      <w:r>
        <w:rPr>
          <w:rFonts w:asciiTheme="majorBidi" w:hAnsiTheme="majorBidi" w:cstheme="majorBidi"/>
          <w:b/>
          <w:bCs/>
          <w:smallCaps/>
          <w:spacing w:val="40"/>
          <w:sz w:val="56"/>
          <w:szCs w:val="56"/>
        </w:rPr>
        <w:t xml:space="preserve">  </w:t>
      </w:r>
    </w:p>
    <w:p w14:paraId="665BC550" w14:textId="77777777" w:rsidR="00C526F7" w:rsidRDefault="00C526F7" w:rsidP="00C526F7">
      <w:pPr>
        <w:tabs>
          <w:tab w:val="left" w:pos="6708"/>
        </w:tabs>
        <w:rPr>
          <w:rFonts w:asciiTheme="majorBidi" w:hAnsiTheme="majorBidi" w:cstheme="majorBidi"/>
          <w:b/>
          <w:bCs/>
          <w:smallCaps/>
          <w:spacing w:val="40"/>
          <w:sz w:val="56"/>
          <w:szCs w:val="56"/>
        </w:rPr>
      </w:pPr>
    </w:p>
    <w:p w14:paraId="20D3EAD3" w14:textId="77777777" w:rsidR="00C526F7" w:rsidRDefault="00C526F7" w:rsidP="00C526F7">
      <w:pPr>
        <w:tabs>
          <w:tab w:val="left" w:pos="6708"/>
        </w:tabs>
        <w:rPr>
          <w:rFonts w:asciiTheme="majorBidi" w:hAnsiTheme="majorBidi" w:cstheme="majorBidi"/>
          <w:b/>
          <w:bCs/>
          <w:smallCaps/>
          <w:spacing w:val="40"/>
          <w:sz w:val="56"/>
          <w:szCs w:val="56"/>
        </w:rPr>
      </w:pPr>
    </w:p>
    <w:p w14:paraId="241E4765" w14:textId="033A097A" w:rsidR="009E620F" w:rsidRPr="00DD7EBA" w:rsidRDefault="00B94B0D" w:rsidP="00C526F7">
      <w:pPr>
        <w:tabs>
          <w:tab w:val="left" w:pos="6708"/>
        </w:tabs>
        <w:jc w:val="center"/>
        <w:rPr>
          <w:rFonts w:ascii="Times New Roman" w:hAnsi="Times New Roman" w:cs="Times New Roman"/>
          <w:b/>
          <w:bCs/>
          <w:smallCaps/>
          <w:spacing w:val="40"/>
          <w:sz w:val="24"/>
          <w:szCs w:val="24"/>
        </w:rPr>
      </w:pPr>
      <w:r w:rsidRPr="005A651F">
        <w:rPr>
          <w:rFonts w:asciiTheme="majorBidi" w:hAnsiTheme="majorBidi" w:cstheme="majorBidi"/>
          <w:b/>
          <w:bCs/>
          <w:smallCaps/>
          <w:spacing w:val="40"/>
          <w:sz w:val="56"/>
          <w:szCs w:val="56"/>
        </w:rPr>
        <w:t>Introduction g</w:t>
      </w:r>
      <w:r w:rsidR="009E620F" w:rsidRPr="005A651F">
        <w:rPr>
          <w:rFonts w:asciiTheme="majorBidi" w:hAnsiTheme="majorBidi" w:cstheme="majorBidi"/>
          <w:b/>
          <w:bCs/>
          <w:smallCaps/>
          <w:spacing w:val="40"/>
          <w:sz w:val="56"/>
          <w:szCs w:val="56"/>
        </w:rPr>
        <w:t>énérale</w:t>
      </w:r>
      <w:bookmarkEnd w:id="53"/>
      <w:bookmarkEnd w:id="54"/>
      <w:bookmarkEnd w:id="55"/>
      <w:bookmarkEnd w:id="56"/>
      <w:bookmarkEnd w:id="57"/>
    </w:p>
    <w:p w14:paraId="0F18F9E0" w14:textId="77777777" w:rsidR="00BA2670" w:rsidRDefault="005D6330" w:rsidP="00BA2670">
      <w:pPr>
        <w:spacing w:before="240" w:line="360" w:lineRule="auto"/>
        <w:ind w:firstLine="709"/>
        <w:rPr>
          <w:rFonts w:ascii="Times New Roman" w:hAnsi="Times New Roman" w:cs="Times New Roman"/>
        </w:rPr>
      </w:pPr>
      <w:r w:rsidRPr="002B005F">
        <w:rPr>
          <w:rFonts w:ascii="Times New Roman" w:hAnsi="Times New Roman" w:cs="Times New Roman"/>
        </w:rPr>
        <w:br w:type="page"/>
      </w:r>
    </w:p>
    <w:p w14:paraId="6B95C594" w14:textId="77777777" w:rsidR="00BA2670" w:rsidRDefault="00BA2670" w:rsidP="00BA2670">
      <w:pPr>
        <w:spacing w:before="240" w:line="360" w:lineRule="auto"/>
        <w:ind w:firstLine="709"/>
        <w:rPr>
          <w:rFonts w:ascii="Times New Roman" w:hAnsi="Times New Roman" w:cs="Times New Roman"/>
        </w:rPr>
      </w:pPr>
    </w:p>
    <w:p w14:paraId="7898B784" w14:textId="097A5CA1" w:rsidR="00CD7580" w:rsidRPr="0069735E" w:rsidRDefault="0069735E" w:rsidP="00875CA9">
      <w:pPr>
        <w:spacing w:before="120" w:after="120" w:line="360" w:lineRule="auto"/>
        <w:ind w:firstLine="709"/>
        <w:outlineLvl w:val="1"/>
        <w:rPr>
          <w:rFonts w:ascii="Times New Roman" w:hAnsi="Times New Roman" w:cs="Times New Roman"/>
        </w:rPr>
      </w:pPr>
      <w:bookmarkStart w:id="58" w:name="_Toc182298577"/>
      <w:bookmarkStart w:id="59" w:name="_Toc182309373"/>
      <w:r w:rsidRPr="0069735E">
        <w:rPr>
          <w:rFonts w:ascii="Times New Roman" w:hAnsi="Times New Roman" w:cs="Times New Roman"/>
          <w:b/>
          <w:bCs/>
          <w:sz w:val="28"/>
          <w:szCs w:val="28"/>
        </w:rPr>
        <w:t>1-</w:t>
      </w:r>
      <w:r>
        <w:rPr>
          <w:rFonts w:ascii="Times New Roman" w:hAnsi="Times New Roman" w:cs="Times New Roman"/>
          <w:b/>
          <w:bCs/>
          <w:sz w:val="28"/>
          <w:szCs w:val="28"/>
        </w:rPr>
        <w:t xml:space="preserve"> </w:t>
      </w:r>
      <w:r w:rsidR="00C55304">
        <w:rPr>
          <w:rFonts w:ascii="Times New Roman" w:hAnsi="Times New Roman" w:cs="Times New Roman"/>
          <w:b/>
          <w:bCs/>
          <w:sz w:val="28"/>
          <w:szCs w:val="28"/>
        </w:rPr>
        <w:t>C</w:t>
      </w:r>
      <w:r w:rsidR="008C51F1" w:rsidRPr="0069735E">
        <w:rPr>
          <w:rFonts w:ascii="Times New Roman" w:hAnsi="Times New Roman" w:cs="Times New Roman"/>
          <w:b/>
          <w:bCs/>
          <w:sz w:val="28"/>
          <w:szCs w:val="28"/>
        </w:rPr>
        <w:t>ontexte</w:t>
      </w:r>
      <w:r w:rsidR="00345E49" w:rsidRPr="0069735E">
        <w:rPr>
          <w:rFonts w:ascii="Times New Roman" w:hAnsi="Times New Roman" w:cs="Times New Roman"/>
          <w:b/>
          <w:bCs/>
          <w:sz w:val="28"/>
          <w:szCs w:val="28"/>
        </w:rPr>
        <w:t xml:space="preserve"> </w:t>
      </w:r>
      <w:r w:rsidR="008C51F1" w:rsidRPr="0069735E">
        <w:rPr>
          <w:rFonts w:ascii="Times New Roman" w:hAnsi="Times New Roman" w:cs="Times New Roman"/>
          <w:b/>
          <w:bCs/>
          <w:sz w:val="28"/>
          <w:szCs w:val="28"/>
        </w:rPr>
        <w:t xml:space="preserve">de la </w:t>
      </w:r>
      <w:r w:rsidR="00345E49" w:rsidRPr="0069735E">
        <w:rPr>
          <w:rFonts w:ascii="Times New Roman" w:hAnsi="Times New Roman" w:cs="Times New Roman"/>
          <w:b/>
          <w:bCs/>
          <w:sz w:val="28"/>
          <w:szCs w:val="28"/>
        </w:rPr>
        <w:t>recherche</w:t>
      </w:r>
      <w:bookmarkEnd w:id="58"/>
      <w:bookmarkEnd w:id="59"/>
    </w:p>
    <w:p w14:paraId="15C54C26" w14:textId="620EE940" w:rsidR="002760B2" w:rsidRPr="0092567A" w:rsidRDefault="00295499" w:rsidP="0092567A">
      <w:pPr>
        <w:spacing w:before="120" w:line="300" w:lineRule="auto"/>
        <w:ind w:firstLine="709"/>
        <w:rPr>
          <w:rFonts w:ascii="Times New Roman" w:eastAsia="Times New Roman" w:hAnsi="Times New Roman" w:cs="Times New Roman"/>
          <w:kern w:val="36"/>
          <w:sz w:val="24"/>
          <w:szCs w:val="24"/>
          <w:lang w:eastAsia="fr-FR"/>
        </w:rPr>
      </w:pPr>
      <w:r w:rsidRPr="00295499">
        <w:rPr>
          <w:rFonts w:ascii="Times New Roman" w:hAnsi="Times New Roman" w:cs="Times New Roman"/>
          <w:sz w:val="24"/>
          <w:szCs w:val="24"/>
        </w:rPr>
        <w:t>Depuis un</w:t>
      </w:r>
      <w:r w:rsidR="0092567A" w:rsidRPr="00295499">
        <w:rPr>
          <w:rFonts w:ascii="Times New Roman" w:hAnsi="Times New Roman" w:cs="Times New Roman"/>
          <w:sz w:val="24"/>
          <w:szCs w:val="24"/>
        </w:rPr>
        <w:t xml:space="preserve"> début</w:t>
      </w:r>
      <w:r w:rsidRPr="00295499">
        <w:rPr>
          <w:rFonts w:ascii="Times New Roman" w:hAnsi="Times New Roman" w:cs="Times New Roman"/>
          <w:sz w:val="24"/>
          <w:szCs w:val="24"/>
        </w:rPr>
        <w:t xml:space="preserve"> réel dans les années 197</w:t>
      </w:r>
      <w:r w:rsidR="0092567A" w:rsidRPr="00295499">
        <w:rPr>
          <w:rFonts w:ascii="Times New Roman" w:hAnsi="Times New Roman" w:cs="Times New Roman"/>
          <w:sz w:val="24"/>
          <w:szCs w:val="24"/>
        </w:rPr>
        <w:t>0</w:t>
      </w:r>
      <w:r w:rsidR="002760B2" w:rsidRPr="00295499">
        <w:rPr>
          <w:rFonts w:ascii="Times New Roman" w:hAnsi="Times New Roman" w:cs="Times New Roman"/>
          <w:sz w:val="24"/>
          <w:szCs w:val="24"/>
        </w:rPr>
        <w:t>,</w:t>
      </w:r>
      <w:r w:rsidR="002760B2" w:rsidRPr="002B201E">
        <w:rPr>
          <w:rFonts w:ascii="Times New Roman" w:hAnsi="Times New Roman" w:cs="Times New Roman"/>
          <w:sz w:val="24"/>
          <w:szCs w:val="24"/>
        </w:rPr>
        <w:t xml:space="preserve"> la finance </w:t>
      </w:r>
      <w:r w:rsidR="00A36EF6" w:rsidRPr="002B201E">
        <w:rPr>
          <w:rFonts w:ascii="Times New Roman" w:hAnsi="Times New Roman" w:cs="Times New Roman"/>
          <w:sz w:val="24"/>
          <w:szCs w:val="24"/>
        </w:rPr>
        <w:t>i</w:t>
      </w:r>
      <w:r w:rsidR="003773C6" w:rsidRPr="002B201E">
        <w:rPr>
          <w:rFonts w:ascii="Times New Roman" w:hAnsi="Times New Roman" w:cs="Times New Roman"/>
          <w:sz w:val="24"/>
          <w:szCs w:val="24"/>
        </w:rPr>
        <w:t>slamique</w:t>
      </w:r>
      <w:r w:rsidR="002760B2" w:rsidRPr="002B201E">
        <w:rPr>
          <w:rFonts w:ascii="Times New Roman" w:hAnsi="Times New Roman" w:cs="Times New Roman"/>
          <w:sz w:val="24"/>
          <w:szCs w:val="24"/>
        </w:rPr>
        <w:t xml:space="preserve"> s’est considérablement développée pour devenir </w:t>
      </w:r>
      <w:r w:rsidR="00A36EF6" w:rsidRPr="002B201E">
        <w:rPr>
          <w:rFonts w:ascii="Times New Roman" w:hAnsi="Times New Roman" w:cs="Times New Roman"/>
          <w:sz w:val="24"/>
          <w:szCs w:val="24"/>
        </w:rPr>
        <w:t>un véritable système financier. E</w:t>
      </w:r>
      <w:r w:rsidR="002B201E" w:rsidRPr="002B201E">
        <w:rPr>
          <w:rFonts w:ascii="Times New Roman" w:hAnsi="Times New Roman" w:cs="Times New Roman"/>
          <w:sz w:val="24"/>
          <w:szCs w:val="24"/>
        </w:rPr>
        <w:t>lle</w:t>
      </w:r>
      <w:r w:rsidR="002760B2" w:rsidRPr="002B201E">
        <w:rPr>
          <w:rFonts w:ascii="Times New Roman" w:hAnsi="Times New Roman" w:cs="Times New Roman"/>
          <w:sz w:val="24"/>
          <w:szCs w:val="24"/>
        </w:rPr>
        <w:t xml:space="preserve"> englobe tous les mécanismes permettant la satisfaction des exigences financières des agents économiques tout en respectant </w:t>
      </w:r>
      <w:r w:rsidR="002B201E" w:rsidRPr="002B201E">
        <w:rPr>
          <w:rFonts w:ascii="Times New Roman" w:hAnsi="Times New Roman" w:cs="Times New Roman"/>
          <w:sz w:val="24"/>
          <w:szCs w:val="24"/>
        </w:rPr>
        <w:t xml:space="preserve">les préceptes de </w:t>
      </w:r>
      <w:r w:rsidR="002760B2" w:rsidRPr="002B201E">
        <w:rPr>
          <w:rFonts w:ascii="Times New Roman" w:hAnsi="Times New Roman" w:cs="Times New Roman"/>
          <w:sz w:val="24"/>
          <w:szCs w:val="24"/>
        </w:rPr>
        <w:t>la religion musulmane. Si la norme qui préside les décisions d’un agent économique en finance classique est l’optimisation du couple rendement-risque, ce couple n’est pas l’unique</w:t>
      </w:r>
      <w:r w:rsidR="00174194" w:rsidRPr="002B201E">
        <w:rPr>
          <w:rFonts w:ascii="Times New Roman" w:hAnsi="Times New Roman" w:cs="Times New Roman"/>
          <w:sz w:val="24"/>
          <w:szCs w:val="24"/>
        </w:rPr>
        <w:t>,</w:t>
      </w:r>
      <w:r w:rsidR="002760B2" w:rsidRPr="002B201E">
        <w:rPr>
          <w:rFonts w:ascii="Times New Roman" w:hAnsi="Times New Roman" w:cs="Times New Roman"/>
          <w:sz w:val="24"/>
          <w:szCs w:val="24"/>
        </w:rPr>
        <w:t xml:space="preserve"> ni le principal critère de décision dans l’univers de la finance </w:t>
      </w:r>
      <w:r w:rsidR="002B201E" w:rsidRPr="002B201E">
        <w:rPr>
          <w:rFonts w:ascii="Times New Roman" w:hAnsi="Times New Roman" w:cs="Times New Roman"/>
          <w:sz w:val="24"/>
          <w:szCs w:val="24"/>
        </w:rPr>
        <w:t>i</w:t>
      </w:r>
      <w:r w:rsidR="003773C6" w:rsidRPr="002B201E">
        <w:rPr>
          <w:rFonts w:ascii="Times New Roman" w:hAnsi="Times New Roman" w:cs="Times New Roman"/>
          <w:sz w:val="24"/>
          <w:szCs w:val="24"/>
        </w:rPr>
        <w:t>slamique</w:t>
      </w:r>
      <w:r w:rsidR="002760B2" w:rsidRPr="002B201E">
        <w:rPr>
          <w:rFonts w:ascii="Times New Roman" w:hAnsi="Times New Roman" w:cs="Times New Roman"/>
          <w:sz w:val="24"/>
          <w:szCs w:val="24"/>
        </w:rPr>
        <w:t xml:space="preserve">. </w:t>
      </w:r>
      <w:r w:rsidR="005C7C2D">
        <w:rPr>
          <w:rFonts w:ascii="Times New Roman" w:hAnsi="Times New Roman" w:cs="Times New Roman"/>
          <w:sz w:val="24"/>
          <w:szCs w:val="24"/>
        </w:rPr>
        <w:t>Celle-ci</w:t>
      </w:r>
      <w:r w:rsidR="0092567A" w:rsidRPr="002B201E">
        <w:rPr>
          <w:rFonts w:ascii="Times New Roman" w:hAnsi="Times New Roman" w:cs="Times New Roman"/>
          <w:sz w:val="24"/>
          <w:szCs w:val="24"/>
        </w:rPr>
        <w:t xml:space="preserve"> est basée sur des valeurs éthiques tirées des enseignements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92567A" w:rsidRPr="002B201E">
        <w:rPr>
          <w:rFonts w:ascii="Times New Roman" w:hAnsi="Times New Roman" w:cs="Times New Roman"/>
          <w:sz w:val="24"/>
          <w:szCs w:val="24"/>
        </w:rPr>
        <w:t>.</w:t>
      </w:r>
      <w:r w:rsidR="0092567A">
        <w:rPr>
          <w:rFonts w:ascii="Times New Roman" w:hAnsi="Times New Roman" w:cs="Times New Roman"/>
          <w:sz w:val="24"/>
          <w:szCs w:val="24"/>
        </w:rPr>
        <w:t xml:space="preserve"> </w:t>
      </w:r>
      <w:r w:rsidR="0092567A" w:rsidRPr="002B201E">
        <w:rPr>
          <w:rFonts w:ascii="Times New Roman" w:hAnsi="Times New Roman" w:cs="Times New Roman"/>
          <w:sz w:val="24"/>
          <w:szCs w:val="24"/>
        </w:rPr>
        <w:t>D</w:t>
      </w:r>
      <w:r w:rsidR="005C7C2D">
        <w:rPr>
          <w:rFonts w:ascii="Times New Roman" w:hAnsi="Times New Roman" w:cs="Times New Roman"/>
          <w:sz w:val="24"/>
          <w:szCs w:val="24"/>
        </w:rPr>
        <w:t>e même d</w:t>
      </w:r>
      <w:r w:rsidR="0092567A" w:rsidRPr="002B201E">
        <w:rPr>
          <w:rFonts w:ascii="Times New Roman" w:hAnsi="Times New Roman" w:cs="Times New Roman"/>
          <w:sz w:val="24"/>
          <w:szCs w:val="24"/>
        </w:rPr>
        <w:t>es considérati</w:t>
      </w:r>
      <w:r w:rsidR="005C7C2D">
        <w:rPr>
          <w:rFonts w:ascii="Times New Roman" w:hAnsi="Times New Roman" w:cs="Times New Roman"/>
          <w:sz w:val="24"/>
          <w:szCs w:val="24"/>
        </w:rPr>
        <w:t>ons spirituelles et morales pourraient</w:t>
      </w:r>
      <w:r w:rsidR="0092567A" w:rsidRPr="002B201E">
        <w:rPr>
          <w:rFonts w:ascii="Times New Roman" w:hAnsi="Times New Roman" w:cs="Times New Roman"/>
          <w:sz w:val="24"/>
          <w:szCs w:val="24"/>
        </w:rPr>
        <w:t xml:space="preserve"> influencer les décisions des différents acteurs économiques.</w:t>
      </w:r>
    </w:p>
    <w:p w14:paraId="4D0717C2" w14:textId="77777777" w:rsidR="002760B2" w:rsidRPr="002B005F" w:rsidRDefault="002760B2" w:rsidP="003E460A">
      <w:pPr>
        <w:widowControl w:val="0"/>
        <w:tabs>
          <w:tab w:val="left" w:pos="0"/>
          <w:tab w:val="left" w:pos="709"/>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Parmi les principaux fondements de cette finance figurent l’interdiction du </w:t>
      </w:r>
      <w:r w:rsidRPr="002B005F">
        <w:rPr>
          <w:rFonts w:ascii="Times New Roman" w:hAnsi="Times New Roman" w:cs="Times New Roman"/>
          <w:i/>
          <w:sz w:val="24"/>
          <w:szCs w:val="24"/>
        </w:rPr>
        <w:t>riba</w:t>
      </w:r>
      <w:r w:rsidRPr="002B005F">
        <w:rPr>
          <w:rFonts w:ascii="Times New Roman" w:hAnsi="Times New Roman" w:cs="Times New Roman"/>
          <w:sz w:val="24"/>
          <w:szCs w:val="24"/>
        </w:rPr>
        <w:t xml:space="preserve"> (</w:t>
      </w:r>
      <w:r w:rsidR="002B201E">
        <w:rPr>
          <w:rFonts w:ascii="Times New Roman" w:hAnsi="Times New Roman" w:cs="Times New Roman"/>
          <w:sz w:val="24"/>
          <w:szCs w:val="24"/>
        </w:rPr>
        <w:t xml:space="preserve">usure et </w:t>
      </w:r>
      <w:r w:rsidRPr="002B005F">
        <w:rPr>
          <w:rFonts w:ascii="Times New Roman" w:hAnsi="Times New Roman" w:cs="Times New Roman"/>
          <w:sz w:val="24"/>
          <w:szCs w:val="24"/>
        </w:rPr>
        <w:t xml:space="preserve">intérêt) et l’adoption du principe de partage </w:t>
      </w:r>
      <w:r w:rsidR="005035B0" w:rsidRPr="002B005F">
        <w:rPr>
          <w:rFonts w:ascii="Times New Roman" w:hAnsi="Times New Roman" w:cs="Times New Roman"/>
          <w:sz w:val="24"/>
          <w:szCs w:val="24"/>
        </w:rPr>
        <w:t xml:space="preserve">des profits et des pertes </w:t>
      </w:r>
      <w:r w:rsidR="00AB3F25">
        <w:rPr>
          <w:rFonts w:ascii="Times New Roman" w:hAnsi="Times New Roman" w:cs="Times New Roman"/>
          <w:sz w:val="24"/>
          <w:szCs w:val="24"/>
        </w:rPr>
        <w:t>ou ʺprofit and loss s</w:t>
      </w:r>
      <w:r w:rsidR="005A54CF" w:rsidRPr="002B005F">
        <w:rPr>
          <w:rFonts w:ascii="Times New Roman" w:hAnsi="Times New Roman" w:cs="Times New Roman"/>
          <w:sz w:val="24"/>
          <w:szCs w:val="24"/>
        </w:rPr>
        <w:t>haringʺ (PLS</w:t>
      </w:r>
      <w:r w:rsidRPr="002B005F">
        <w:rPr>
          <w:rFonts w:ascii="Times New Roman" w:hAnsi="Times New Roman" w:cs="Times New Roman"/>
          <w:sz w:val="24"/>
          <w:szCs w:val="24"/>
        </w:rPr>
        <w:t xml:space="preserve">), considérés comme les éléments les plus distinctifs entre la finance </w:t>
      </w:r>
      <w:r w:rsidR="00AB3F25">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et la finance conventionnelle.</w:t>
      </w:r>
    </w:p>
    <w:p w14:paraId="24275208" w14:textId="77777777" w:rsidR="002760B2" w:rsidRPr="002B005F" w:rsidRDefault="00DF4084" w:rsidP="00DF4084">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DF4084">
        <w:rPr>
          <w:rFonts w:ascii="Times New Roman" w:hAnsi="Times New Roman" w:cs="Times New Roman"/>
          <w:sz w:val="24"/>
          <w:szCs w:val="24"/>
        </w:rPr>
        <w:t xml:space="preserve">Selon </w:t>
      </w:r>
      <w:r w:rsidRPr="00DF4084">
        <w:rPr>
          <w:rFonts w:ascii="Times New Roman" w:hAnsi="Times New Roman" w:cs="Times New Roman"/>
          <w:smallCaps/>
          <w:sz w:val="24"/>
          <w:szCs w:val="24"/>
        </w:rPr>
        <w:t>Bouajina</w:t>
      </w:r>
      <w:r w:rsidRPr="00DF4084">
        <w:rPr>
          <w:rFonts w:ascii="Times New Roman" w:hAnsi="Times New Roman" w:cs="Times New Roman"/>
          <w:sz w:val="24"/>
          <w:szCs w:val="24"/>
        </w:rPr>
        <w:t xml:space="preserve"> et </w:t>
      </w:r>
      <w:r w:rsidRPr="00DF4084">
        <w:rPr>
          <w:rFonts w:ascii="Times New Roman" w:hAnsi="Times New Roman" w:cs="Times New Roman"/>
          <w:smallCaps/>
          <w:sz w:val="24"/>
          <w:szCs w:val="24"/>
        </w:rPr>
        <w:t>Ahmad</w:t>
      </w:r>
      <w:r w:rsidRPr="00DF4084">
        <w:rPr>
          <w:rFonts w:ascii="Times New Roman" w:hAnsi="Times New Roman" w:cs="Times New Roman"/>
          <w:sz w:val="24"/>
          <w:szCs w:val="24"/>
        </w:rPr>
        <w:t xml:space="preserve"> (2020), « le marché mondial de la finance islamique a récemment franchi le cap</w:t>
      </w:r>
      <w:r w:rsidR="005035B0" w:rsidRPr="00DF4084">
        <w:rPr>
          <w:rFonts w:ascii="Times New Roman" w:hAnsi="Times New Roman" w:cs="Times New Roman"/>
          <w:sz w:val="24"/>
          <w:szCs w:val="24"/>
        </w:rPr>
        <w:t xml:space="preserve"> de</w:t>
      </w:r>
      <w:r w:rsidRPr="00DF4084">
        <w:rPr>
          <w:rFonts w:ascii="Times New Roman" w:hAnsi="Times New Roman" w:cs="Times New Roman"/>
          <w:sz w:val="24"/>
          <w:szCs w:val="24"/>
        </w:rPr>
        <w:t>s</w:t>
      </w:r>
      <w:r w:rsidR="005035B0" w:rsidRPr="00DF4084">
        <w:rPr>
          <w:rFonts w:ascii="Times New Roman" w:hAnsi="Times New Roman" w:cs="Times New Roman"/>
          <w:sz w:val="24"/>
          <w:szCs w:val="24"/>
        </w:rPr>
        <w:t xml:space="preserve"> 2</w:t>
      </w:r>
      <w:r w:rsidR="004865A8" w:rsidRPr="00DF4084">
        <w:rPr>
          <w:rFonts w:ascii="Times New Roman" w:hAnsi="Times New Roman" w:cs="Times New Roman"/>
          <w:sz w:val="24"/>
          <w:szCs w:val="24"/>
        </w:rPr>
        <w:t> </w:t>
      </w:r>
      <w:r w:rsidR="002760B2" w:rsidRPr="00DF4084">
        <w:rPr>
          <w:rFonts w:ascii="Times New Roman" w:hAnsi="Times New Roman" w:cs="Times New Roman"/>
          <w:sz w:val="24"/>
          <w:szCs w:val="24"/>
        </w:rPr>
        <w:t xml:space="preserve">000 milliards de dollars </w:t>
      </w:r>
      <w:r w:rsidRPr="00DF4084">
        <w:rPr>
          <w:rFonts w:ascii="Times New Roman" w:hAnsi="Times New Roman" w:cs="Times New Roman"/>
          <w:sz w:val="24"/>
          <w:szCs w:val="24"/>
        </w:rPr>
        <w:t xml:space="preserve">d’actifs et devrait atteindre environ </w:t>
      </w:r>
      <w:r w:rsidR="005035B0" w:rsidRPr="00DF4084">
        <w:rPr>
          <w:rFonts w:ascii="Times New Roman" w:hAnsi="Times New Roman" w:cs="Times New Roman"/>
          <w:sz w:val="24"/>
          <w:szCs w:val="24"/>
        </w:rPr>
        <w:t>3</w:t>
      </w:r>
      <w:r w:rsidR="004865A8" w:rsidRPr="00DF4084">
        <w:rPr>
          <w:rFonts w:ascii="Times New Roman" w:hAnsi="Times New Roman" w:cs="Times New Roman"/>
          <w:sz w:val="24"/>
          <w:szCs w:val="24"/>
        </w:rPr>
        <w:t> </w:t>
      </w:r>
      <w:r w:rsidR="00D908CD" w:rsidRPr="00DF4084">
        <w:rPr>
          <w:rFonts w:ascii="Times New Roman" w:hAnsi="Times New Roman" w:cs="Times New Roman"/>
          <w:sz w:val="24"/>
          <w:szCs w:val="24"/>
        </w:rPr>
        <w:t>5</w:t>
      </w:r>
      <w:r w:rsidR="002760B2" w:rsidRPr="00DF4084">
        <w:rPr>
          <w:rFonts w:ascii="Times New Roman" w:hAnsi="Times New Roman" w:cs="Times New Roman"/>
          <w:sz w:val="24"/>
          <w:szCs w:val="24"/>
        </w:rPr>
        <w:t xml:space="preserve">00 milliards de dollars </w:t>
      </w:r>
      <w:r w:rsidRPr="00DF4084">
        <w:rPr>
          <w:rFonts w:ascii="Times New Roman" w:hAnsi="Times New Roman" w:cs="Times New Roman"/>
          <w:sz w:val="24"/>
          <w:szCs w:val="24"/>
        </w:rPr>
        <w:t>d’ici à</w:t>
      </w:r>
      <w:r w:rsidR="00EC6BFF" w:rsidRPr="00DF4084">
        <w:rPr>
          <w:rFonts w:ascii="Times New Roman" w:hAnsi="Times New Roman" w:cs="Times New Roman"/>
          <w:sz w:val="24"/>
          <w:szCs w:val="24"/>
        </w:rPr>
        <w:t xml:space="preserve"> 2021</w:t>
      </w:r>
      <w:r w:rsidRPr="00DF4084">
        <w:rPr>
          <w:rFonts w:ascii="Times New Roman" w:hAnsi="Times New Roman" w:cs="Times New Roman"/>
          <w:sz w:val="24"/>
          <w:szCs w:val="24"/>
        </w:rPr>
        <w:t> »</w:t>
      </w:r>
      <w:r w:rsidR="00EC6BFF" w:rsidRPr="00DF4084">
        <w:rPr>
          <w:rStyle w:val="Appelnotedebasdep"/>
          <w:rFonts w:ascii="Times New Roman" w:hAnsi="Times New Roman"/>
          <w:sz w:val="24"/>
          <w:szCs w:val="24"/>
        </w:rPr>
        <w:footnoteReference w:id="1"/>
      </w:r>
      <w:r w:rsidR="002760B2" w:rsidRPr="00DF4084">
        <w:rPr>
          <w:rFonts w:ascii="Times New Roman" w:hAnsi="Times New Roman" w:cs="Times New Roman"/>
          <w:sz w:val="24"/>
          <w:szCs w:val="24"/>
        </w:rPr>
        <w:t xml:space="preserve">. </w:t>
      </w:r>
      <w:r w:rsidR="002760B2" w:rsidRPr="002B005F">
        <w:rPr>
          <w:rFonts w:ascii="Times New Roman" w:hAnsi="Times New Roman" w:cs="Times New Roman"/>
          <w:sz w:val="24"/>
          <w:szCs w:val="24"/>
        </w:rPr>
        <w:t>Ces chiffres montrent l’importance de cette industrie dans le monde entier. Les pays qui agréent cette finance se situent p</w:t>
      </w:r>
      <w:r w:rsidR="00AB3F25">
        <w:rPr>
          <w:rFonts w:ascii="Times New Roman" w:hAnsi="Times New Roman" w:cs="Times New Roman"/>
          <w:sz w:val="24"/>
          <w:szCs w:val="24"/>
        </w:rPr>
        <w:t>rincipalement dans les pays du Golfe,</w:t>
      </w:r>
      <w:r w:rsidR="002760B2" w:rsidRPr="002B005F">
        <w:rPr>
          <w:rFonts w:ascii="Times New Roman" w:hAnsi="Times New Roman" w:cs="Times New Roman"/>
          <w:sz w:val="24"/>
          <w:szCs w:val="24"/>
        </w:rPr>
        <w:t xml:space="preserve"> d</w:t>
      </w:r>
      <w:r w:rsidR="00AB3F25">
        <w:rPr>
          <w:rFonts w:ascii="Times New Roman" w:hAnsi="Times New Roman" w:cs="Times New Roman"/>
          <w:sz w:val="24"/>
          <w:szCs w:val="24"/>
        </w:rPr>
        <w:t>u Sud-Est asiatique</w:t>
      </w:r>
      <w:r w:rsidR="002760B2" w:rsidRPr="002B005F">
        <w:rPr>
          <w:rFonts w:ascii="Times New Roman" w:hAnsi="Times New Roman" w:cs="Times New Roman"/>
          <w:sz w:val="24"/>
          <w:szCs w:val="24"/>
        </w:rPr>
        <w:t>, au Mag</w:t>
      </w:r>
      <w:r w:rsidR="00AB3F25">
        <w:rPr>
          <w:rFonts w:ascii="Times New Roman" w:hAnsi="Times New Roman" w:cs="Times New Roman"/>
          <w:sz w:val="24"/>
          <w:szCs w:val="24"/>
        </w:rPr>
        <w:t>hreb, en Afrique et en Europe. Certains spécialistes financiers estiment que cette finance</w:t>
      </w:r>
      <w:r w:rsidR="002760B2" w:rsidRPr="002B005F">
        <w:rPr>
          <w:rFonts w:ascii="Times New Roman" w:hAnsi="Times New Roman" w:cs="Times New Roman"/>
          <w:sz w:val="24"/>
          <w:szCs w:val="24"/>
        </w:rPr>
        <w:t xml:space="preserve"> reste une activité limitée</w:t>
      </w:r>
      <w:r w:rsidR="00AB3F25">
        <w:rPr>
          <w:rFonts w:ascii="Times New Roman" w:hAnsi="Times New Roman" w:cs="Times New Roman"/>
          <w:sz w:val="24"/>
          <w:szCs w:val="24"/>
        </w:rPr>
        <w:t>,</w:t>
      </w:r>
      <w:r w:rsidR="002760B2" w:rsidRPr="002B005F">
        <w:rPr>
          <w:rFonts w:ascii="Times New Roman" w:hAnsi="Times New Roman" w:cs="Times New Roman"/>
          <w:sz w:val="24"/>
          <w:szCs w:val="24"/>
        </w:rPr>
        <w:t xml:space="preserve"> n’occupant qu’une place insignifiante dans le système financier </w:t>
      </w:r>
      <w:r w:rsidR="008636FD">
        <w:rPr>
          <w:rFonts w:ascii="Times New Roman" w:hAnsi="Times New Roman" w:cs="Times New Roman"/>
          <w:sz w:val="24"/>
          <w:szCs w:val="24"/>
        </w:rPr>
        <w:t>international. Pour d’autres, elle ambitionne de bouscul</w:t>
      </w:r>
      <w:r w:rsidR="002760B2" w:rsidRPr="002B005F">
        <w:rPr>
          <w:rFonts w:ascii="Times New Roman" w:hAnsi="Times New Roman" w:cs="Times New Roman"/>
          <w:sz w:val="24"/>
          <w:szCs w:val="24"/>
        </w:rPr>
        <w:t xml:space="preserve">er le monde de la finance traditionnelle. Entre ces deux avis, il est indiscutable que la finance </w:t>
      </w:r>
      <w:r w:rsidR="00AB3F25">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760B2" w:rsidRPr="002B005F">
        <w:rPr>
          <w:rFonts w:ascii="Times New Roman" w:hAnsi="Times New Roman" w:cs="Times New Roman"/>
          <w:sz w:val="24"/>
          <w:szCs w:val="24"/>
        </w:rPr>
        <w:t xml:space="preserve"> hisse ses voiles et commence à intéresser les experts de la finance con</w:t>
      </w:r>
      <w:r w:rsidR="008636FD">
        <w:rPr>
          <w:rFonts w:ascii="Times New Roman" w:hAnsi="Times New Roman" w:cs="Times New Roman"/>
          <w:sz w:val="24"/>
          <w:szCs w:val="24"/>
        </w:rPr>
        <w:t>ventionnelle, surtout depuis la</w:t>
      </w:r>
      <w:r w:rsidR="002760B2" w:rsidRPr="002B005F">
        <w:rPr>
          <w:rFonts w:ascii="Times New Roman" w:hAnsi="Times New Roman" w:cs="Times New Roman"/>
          <w:sz w:val="24"/>
          <w:szCs w:val="24"/>
        </w:rPr>
        <w:t xml:space="preserve"> crise financière internationale</w:t>
      </w:r>
      <w:r w:rsidR="008636FD">
        <w:rPr>
          <w:rFonts w:ascii="Times New Roman" w:hAnsi="Times New Roman" w:cs="Times New Roman"/>
          <w:sz w:val="24"/>
          <w:szCs w:val="24"/>
        </w:rPr>
        <w:t xml:space="preserve"> 2008</w:t>
      </w:r>
      <w:r w:rsidR="002760B2" w:rsidRPr="002B005F">
        <w:rPr>
          <w:rFonts w:ascii="Times New Roman" w:hAnsi="Times New Roman" w:cs="Times New Roman"/>
          <w:sz w:val="24"/>
          <w:szCs w:val="24"/>
        </w:rPr>
        <w:t xml:space="preserve">. La finance </w:t>
      </w:r>
      <w:r w:rsidR="008636F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760B2" w:rsidRPr="002B005F">
        <w:rPr>
          <w:rFonts w:ascii="Times New Roman" w:hAnsi="Times New Roman" w:cs="Times New Roman"/>
          <w:sz w:val="24"/>
          <w:szCs w:val="24"/>
        </w:rPr>
        <w:t xml:space="preserve"> se mond</w:t>
      </w:r>
      <w:r w:rsidR="008636FD">
        <w:rPr>
          <w:rFonts w:ascii="Times New Roman" w:hAnsi="Times New Roman" w:cs="Times New Roman"/>
          <w:sz w:val="24"/>
          <w:szCs w:val="24"/>
        </w:rPr>
        <w:t>ialise. E</w:t>
      </w:r>
      <w:r w:rsidR="00E05686">
        <w:rPr>
          <w:rFonts w:ascii="Times New Roman" w:hAnsi="Times New Roman" w:cs="Times New Roman"/>
          <w:sz w:val="24"/>
          <w:szCs w:val="24"/>
        </w:rPr>
        <w:t>lle est considérée comme une classe à part entière de la finance internationale par les grandes institutions financières internationales notamment le FMI et les agences de notation de crédit (Standard &amp; Poor’s, Moody’s).</w:t>
      </w:r>
      <w:r w:rsidR="00F95EB3">
        <w:rPr>
          <w:rFonts w:ascii="Times New Roman" w:hAnsi="Times New Roman" w:cs="Times New Roman"/>
          <w:sz w:val="24"/>
          <w:szCs w:val="24"/>
        </w:rPr>
        <w:t xml:space="preserve"> De surcroît, il est plausible de constater que de grandes banques internationales classiques ont ouvert des filiales bancaires islamiques.</w:t>
      </w:r>
    </w:p>
    <w:p w14:paraId="1382CD9B" w14:textId="183052CE" w:rsidR="002760B2" w:rsidRPr="002B005F" w:rsidRDefault="002760B2" w:rsidP="00CF0333">
      <w:pPr>
        <w:pStyle w:val="Retraitcorpsdetexte"/>
        <w:widowControl w:val="0"/>
        <w:autoSpaceDE w:val="0"/>
        <w:autoSpaceDN w:val="0"/>
        <w:adjustRightInd w:val="0"/>
        <w:spacing w:before="120" w:line="300" w:lineRule="auto"/>
      </w:pPr>
      <w:r w:rsidRPr="00CF0333">
        <w:t xml:space="preserve">Les banques </w:t>
      </w:r>
      <w:r w:rsidR="00E05686" w:rsidRPr="00CF0333">
        <w:t>i</w:t>
      </w:r>
      <w:r w:rsidR="003773C6" w:rsidRPr="00CF0333">
        <w:t>slamique</w:t>
      </w:r>
      <w:r w:rsidRPr="00CF0333">
        <w:t>s constituent le noyau dur de cette finance et dominent les processus d’épargne et d’investissement. Elles offrent une panoplie de produits bancaires, autres que les prêts banca</w:t>
      </w:r>
      <w:r w:rsidR="00457866" w:rsidRPr="00CF0333">
        <w:t>ires</w:t>
      </w:r>
      <w:r w:rsidRPr="00CF0333">
        <w:t xml:space="preserve"> pour financer leurs clients et ce, pour éviter la perception des intérêts. </w:t>
      </w:r>
      <w:r w:rsidR="00CF0333" w:rsidRPr="00CF0333">
        <w:t xml:space="preserve">Elles fonctionnent selon un principe d’intermédiation financière différent. </w:t>
      </w:r>
      <w:r w:rsidRPr="00CF0333">
        <w:t xml:space="preserve">Les banques </w:t>
      </w:r>
      <w:r w:rsidR="00F95EB3" w:rsidRPr="00CF0333">
        <w:t>i</w:t>
      </w:r>
      <w:r w:rsidR="003773C6" w:rsidRPr="00CF0333">
        <w:t>slamique</w:t>
      </w:r>
      <w:r w:rsidRPr="00CF0333">
        <w:t>s ne collectent pas les fonds à la base des dépôts garantis et rémunérés à un taux d’intérêt fixé d’avance et ce, pour éviter le versement des intérêts.</w:t>
      </w:r>
    </w:p>
    <w:p w14:paraId="1C167ED7" w14:textId="77777777" w:rsidR="002760B2" w:rsidRPr="00C90713" w:rsidRDefault="008210ED" w:rsidP="003E460A">
      <w:pPr>
        <w:pStyle w:val="Paragraphedeliste"/>
        <w:tabs>
          <w:tab w:val="left" w:pos="0"/>
        </w:tabs>
        <w:spacing w:before="120" w:line="300" w:lineRule="auto"/>
        <w:ind w:left="0" w:firstLine="709"/>
        <w:contextualSpacing w:val="0"/>
        <w:rPr>
          <w:rFonts w:ascii="Times New Roman" w:hAnsi="Times New Roman" w:cs="Times New Roman"/>
          <w:spacing w:val="-6"/>
          <w:sz w:val="24"/>
          <w:szCs w:val="24"/>
        </w:rPr>
      </w:pPr>
      <w:r w:rsidRPr="00C90713">
        <w:rPr>
          <w:rFonts w:ascii="Times New Roman" w:hAnsi="Times New Roman" w:cs="Times New Roman"/>
          <w:spacing w:val="-6"/>
          <w:sz w:val="24"/>
          <w:szCs w:val="24"/>
        </w:rPr>
        <w:lastRenderedPageBreak/>
        <w:t xml:space="preserve">Les financements </w:t>
      </w:r>
      <w:r w:rsidR="00F95EB3" w:rsidRPr="00C90713">
        <w:rPr>
          <w:rFonts w:ascii="Times New Roman" w:hAnsi="Times New Roman" w:cs="Times New Roman"/>
          <w:spacing w:val="-6"/>
          <w:sz w:val="24"/>
          <w:szCs w:val="24"/>
        </w:rPr>
        <w:t>i</w:t>
      </w:r>
      <w:r w:rsidR="003773C6" w:rsidRPr="00C90713">
        <w:rPr>
          <w:rFonts w:ascii="Times New Roman" w:hAnsi="Times New Roman" w:cs="Times New Roman"/>
          <w:spacing w:val="-6"/>
          <w:sz w:val="24"/>
          <w:szCs w:val="24"/>
        </w:rPr>
        <w:t>slamique</w:t>
      </w:r>
      <w:r w:rsidRPr="00C90713">
        <w:rPr>
          <w:rFonts w:ascii="Times New Roman" w:hAnsi="Times New Roman" w:cs="Times New Roman"/>
          <w:spacing w:val="-6"/>
          <w:sz w:val="24"/>
          <w:szCs w:val="24"/>
        </w:rPr>
        <w:t xml:space="preserve">s peuvent être classés en financement participatif grâce à la </w:t>
      </w:r>
      <w:r w:rsidRPr="00C90713">
        <w:rPr>
          <w:rFonts w:ascii="Times New Roman" w:hAnsi="Times New Roman" w:cs="Times New Roman"/>
          <w:i/>
          <w:iCs/>
          <w:spacing w:val="-6"/>
          <w:sz w:val="24"/>
          <w:szCs w:val="24"/>
        </w:rPr>
        <w:t>moucharaka</w:t>
      </w:r>
      <w:r w:rsidRPr="00C90713">
        <w:rPr>
          <w:rFonts w:ascii="Times New Roman" w:hAnsi="Times New Roman" w:cs="Times New Roman"/>
          <w:spacing w:val="-6"/>
          <w:sz w:val="24"/>
          <w:szCs w:val="24"/>
        </w:rPr>
        <w:t xml:space="preserve"> et la </w:t>
      </w:r>
      <w:r w:rsidRPr="00C90713">
        <w:rPr>
          <w:rFonts w:ascii="Times New Roman" w:hAnsi="Times New Roman" w:cs="Times New Roman"/>
          <w:i/>
          <w:spacing w:val="-6"/>
          <w:sz w:val="24"/>
          <w:szCs w:val="24"/>
        </w:rPr>
        <w:t>moudaraba</w:t>
      </w:r>
      <w:r w:rsidRPr="00C90713">
        <w:rPr>
          <w:rFonts w:ascii="Times New Roman" w:hAnsi="Times New Roman" w:cs="Times New Roman"/>
          <w:spacing w:val="-6"/>
          <w:sz w:val="24"/>
          <w:szCs w:val="24"/>
        </w:rPr>
        <w:t xml:space="preserve"> M-M, en financement des opérations de vente tels que la </w:t>
      </w:r>
      <w:r w:rsidRPr="00C90713">
        <w:rPr>
          <w:rFonts w:ascii="Times New Roman" w:hAnsi="Times New Roman" w:cs="Times New Roman"/>
          <w:i/>
          <w:iCs/>
          <w:spacing w:val="-6"/>
          <w:sz w:val="24"/>
          <w:szCs w:val="24"/>
        </w:rPr>
        <w:t>mourabaha</w:t>
      </w:r>
      <w:r w:rsidRPr="00C90713">
        <w:rPr>
          <w:rFonts w:ascii="Times New Roman" w:hAnsi="Times New Roman" w:cs="Times New Roman"/>
          <w:spacing w:val="-6"/>
          <w:sz w:val="24"/>
          <w:szCs w:val="24"/>
        </w:rPr>
        <w:t xml:space="preserve">, le </w:t>
      </w:r>
      <w:r w:rsidRPr="00C90713">
        <w:rPr>
          <w:rFonts w:ascii="Times New Roman" w:hAnsi="Times New Roman" w:cs="Times New Roman"/>
          <w:i/>
          <w:spacing w:val="-6"/>
          <w:sz w:val="24"/>
          <w:szCs w:val="24"/>
        </w:rPr>
        <w:t>salam</w:t>
      </w:r>
      <w:r w:rsidRPr="00C90713">
        <w:rPr>
          <w:rFonts w:ascii="Times New Roman" w:hAnsi="Times New Roman" w:cs="Times New Roman"/>
          <w:spacing w:val="-6"/>
          <w:sz w:val="24"/>
          <w:szCs w:val="24"/>
        </w:rPr>
        <w:t>, l’</w:t>
      </w:r>
      <w:r w:rsidRPr="00C90713">
        <w:rPr>
          <w:rFonts w:ascii="Times New Roman" w:hAnsi="Times New Roman" w:cs="Times New Roman"/>
          <w:i/>
          <w:iCs/>
          <w:spacing w:val="-6"/>
          <w:sz w:val="24"/>
          <w:szCs w:val="24"/>
        </w:rPr>
        <w:t>istisna’</w:t>
      </w:r>
      <w:r w:rsidRPr="00C90713">
        <w:rPr>
          <w:rFonts w:ascii="Times New Roman" w:hAnsi="Times New Roman" w:cs="Times New Roman"/>
          <w:spacing w:val="-6"/>
          <w:sz w:val="24"/>
          <w:szCs w:val="24"/>
        </w:rPr>
        <w:t>…, et en financement de location grâce à l’</w:t>
      </w:r>
      <w:r w:rsidRPr="00C90713">
        <w:rPr>
          <w:rFonts w:ascii="Times New Roman" w:hAnsi="Times New Roman" w:cs="Times New Roman"/>
          <w:i/>
          <w:spacing w:val="-6"/>
          <w:sz w:val="24"/>
          <w:szCs w:val="24"/>
        </w:rPr>
        <w:t>ijara</w:t>
      </w:r>
      <w:r w:rsidRPr="00C90713">
        <w:rPr>
          <w:rFonts w:ascii="Times New Roman" w:hAnsi="Times New Roman" w:cs="Times New Roman"/>
          <w:spacing w:val="-6"/>
          <w:sz w:val="24"/>
          <w:szCs w:val="24"/>
        </w:rPr>
        <w:t xml:space="preserve"> et l’</w:t>
      </w:r>
      <w:r w:rsidRPr="00C90713">
        <w:rPr>
          <w:rFonts w:ascii="Times New Roman" w:hAnsi="Times New Roman" w:cs="Times New Roman"/>
          <w:i/>
          <w:spacing w:val="-6"/>
          <w:sz w:val="24"/>
          <w:szCs w:val="24"/>
        </w:rPr>
        <w:t>ijara</w:t>
      </w:r>
      <w:r w:rsidRPr="00C90713">
        <w:rPr>
          <w:rFonts w:ascii="Times New Roman" w:hAnsi="Times New Roman" w:cs="Times New Roman"/>
          <w:spacing w:val="-6"/>
          <w:sz w:val="24"/>
          <w:szCs w:val="24"/>
        </w:rPr>
        <w:t xml:space="preserve"> </w:t>
      </w:r>
      <w:r w:rsidR="005A54CF" w:rsidRPr="00C90713">
        <w:rPr>
          <w:rFonts w:ascii="Times New Roman" w:hAnsi="Times New Roman" w:cs="Times New Roman"/>
          <w:i/>
          <w:iCs/>
          <w:spacing w:val="-6"/>
          <w:sz w:val="24"/>
          <w:szCs w:val="24"/>
        </w:rPr>
        <w:t>wa iqtinaa</w:t>
      </w:r>
      <w:r w:rsidRPr="00C90713">
        <w:rPr>
          <w:rFonts w:ascii="Times New Roman" w:hAnsi="Times New Roman" w:cs="Times New Roman"/>
          <w:i/>
          <w:iCs/>
          <w:spacing w:val="-6"/>
          <w:sz w:val="24"/>
          <w:szCs w:val="24"/>
        </w:rPr>
        <w:t>.</w:t>
      </w:r>
    </w:p>
    <w:p w14:paraId="260CB52E" w14:textId="77777777" w:rsidR="002760B2" w:rsidRPr="002B005F" w:rsidRDefault="002760B2" w:rsidP="003E460A">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financement </w:t>
      </w:r>
      <w:r w:rsidR="00CF0333">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participatif M–M représente une forme de financement qui associe le capital et le travail dans des opérations financières participatives. C’est un financement à long terme, à travers lequel la banque </w:t>
      </w:r>
      <w:r w:rsidR="00CF0333">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accompagne l’entrepreneur financièrement en lui fournissant les f</w:t>
      </w:r>
      <w:r w:rsidR="00457866" w:rsidRPr="002B005F">
        <w:rPr>
          <w:rFonts w:ascii="Times New Roman" w:hAnsi="Times New Roman" w:cs="Times New Roman"/>
          <w:sz w:val="24"/>
          <w:szCs w:val="24"/>
        </w:rPr>
        <w:t>onds nécessaires à son activité</w:t>
      </w:r>
      <w:r w:rsidRPr="002B005F">
        <w:rPr>
          <w:rFonts w:ascii="Times New Roman" w:hAnsi="Times New Roman" w:cs="Times New Roman"/>
          <w:sz w:val="24"/>
          <w:szCs w:val="24"/>
        </w:rPr>
        <w:t xml:space="preserve"> et</w:t>
      </w:r>
      <w:r w:rsidR="00457866" w:rsidRPr="002B005F">
        <w:rPr>
          <w:rFonts w:ascii="Times New Roman" w:hAnsi="Times New Roman" w:cs="Times New Roman"/>
          <w:sz w:val="24"/>
          <w:szCs w:val="24"/>
        </w:rPr>
        <w:t>,</w:t>
      </w:r>
      <w:r w:rsidRPr="002B005F">
        <w:rPr>
          <w:rFonts w:ascii="Times New Roman" w:hAnsi="Times New Roman" w:cs="Times New Roman"/>
          <w:sz w:val="24"/>
          <w:szCs w:val="24"/>
        </w:rPr>
        <w:t xml:space="preserve"> aussi en lui apportant, parfois, ses compétences pour une meilleure gestion du projet financé (dans le cas de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w:t>
      </w:r>
    </w:p>
    <w:p w14:paraId="508F6C98" w14:textId="77777777" w:rsidR="002760B2" w:rsidRPr="002B005F" w:rsidRDefault="002760B2" w:rsidP="003E460A">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Cette intermédiation participative paraît constituer la spécificité des banques </w:t>
      </w:r>
      <w:r w:rsidR="00CF0333">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en matière d’intermédiation. En fait, elle ne se limite pas à de simples relations prêteurs-emprunteurs, mais elle développe une double relation d’agence entre la banque et le déposant</w:t>
      </w:r>
      <w:r w:rsidR="00CF0333">
        <w:rPr>
          <w:rFonts w:ascii="Times New Roman" w:hAnsi="Times New Roman" w:cs="Times New Roman"/>
          <w:sz w:val="24"/>
          <w:szCs w:val="24"/>
        </w:rPr>
        <w:t>,</w:t>
      </w:r>
      <w:r w:rsidRPr="002B005F">
        <w:rPr>
          <w:rFonts w:ascii="Times New Roman" w:hAnsi="Times New Roman" w:cs="Times New Roman"/>
          <w:sz w:val="24"/>
          <w:szCs w:val="24"/>
        </w:rPr>
        <w:t xml:space="preserve"> d’une part</w:t>
      </w:r>
      <w:r w:rsidR="00CF0333">
        <w:rPr>
          <w:rFonts w:ascii="Times New Roman" w:hAnsi="Times New Roman" w:cs="Times New Roman"/>
          <w:sz w:val="24"/>
          <w:szCs w:val="24"/>
        </w:rPr>
        <w:t>,</w:t>
      </w:r>
      <w:r w:rsidRPr="002B005F">
        <w:rPr>
          <w:rFonts w:ascii="Times New Roman" w:hAnsi="Times New Roman" w:cs="Times New Roman"/>
          <w:sz w:val="24"/>
          <w:szCs w:val="24"/>
        </w:rPr>
        <w:t xml:space="preserve"> et la banque et l’entrepreneur</w:t>
      </w:r>
      <w:r w:rsidR="00CF0333">
        <w:rPr>
          <w:rFonts w:ascii="Times New Roman" w:hAnsi="Times New Roman" w:cs="Times New Roman"/>
          <w:sz w:val="24"/>
          <w:szCs w:val="24"/>
        </w:rPr>
        <w:t>,</w:t>
      </w:r>
      <w:r w:rsidRPr="002B005F">
        <w:rPr>
          <w:rFonts w:ascii="Times New Roman" w:hAnsi="Times New Roman" w:cs="Times New Roman"/>
          <w:sz w:val="24"/>
          <w:szCs w:val="24"/>
        </w:rPr>
        <w:t xml:space="preserve"> d’autre part. Dans cet esprit, la banque </w:t>
      </w:r>
      <w:r w:rsidR="00CF0333">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joue un rôle essentiel de débouchés d’épargne et de concepteur d’investissement tout en étant un partenaire.</w:t>
      </w:r>
    </w:p>
    <w:p w14:paraId="2945D69E" w14:textId="77777777" w:rsidR="002760B2" w:rsidRPr="002B005F" w:rsidRDefault="002760B2" w:rsidP="000F4546">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En mat</w:t>
      </w:r>
      <w:r w:rsidR="000F4546">
        <w:rPr>
          <w:rFonts w:ascii="Times New Roman" w:hAnsi="Times New Roman" w:cs="Times New Roman"/>
          <w:sz w:val="24"/>
          <w:szCs w:val="24"/>
        </w:rPr>
        <w:t>ière de gestion des risques, la BI joui</w:t>
      </w:r>
      <w:r w:rsidRPr="002B005F">
        <w:rPr>
          <w:rFonts w:ascii="Times New Roman" w:hAnsi="Times New Roman" w:cs="Times New Roman"/>
          <w:sz w:val="24"/>
          <w:szCs w:val="24"/>
        </w:rPr>
        <w:t>t d’une meilleure capacité à évaluer les risques. Le partage des risques entre les entrepreneurs et l</w:t>
      </w:r>
      <w:r w:rsidR="000F4546">
        <w:rPr>
          <w:rFonts w:ascii="Times New Roman" w:hAnsi="Times New Roman" w:cs="Times New Roman"/>
          <w:sz w:val="24"/>
          <w:szCs w:val="24"/>
        </w:rPr>
        <w:t>a BI incite toujours cette dernière</w:t>
      </w:r>
      <w:r w:rsidRPr="002B005F">
        <w:rPr>
          <w:rFonts w:ascii="Times New Roman" w:hAnsi="Times New Roman" w:cs="Times New Roman"/>
          <w:sz w:val="24"/>
          <w:szCs w:val="24"/>
        </w:rPr>
        <w:t xml:space="preserve"> à s’assurer que les projets financés soient rentables et</w:t>
      </w:r>
      <w:r w:rsidR="00CF0333">
        <w:rPr>
          <w:rFonts w:ascii="Times New Roman" w:hAnsi="Times New Roman" w:cs="Times New Roman"/>
          <w:sz w:val="24"/>
          <w:szCs w:val="24"/>
        </w:rPr>
        <w:t>,</w:t>
      </w:r>
      <w:r w:rsidR="000F4546">
        <w:rPr>
          <w:rFonts w:ascii="Times New Roman" w:hAnsi="Times New Roman" w:cs="Times New Roman"/>
          <w:sz w:val="24"/>
          <w:szCs w:val="24"/>
        </w:rPr>
        <w:t xml:space="preserve"> la</w:t>
      </w:r>
      <w:r w:rsidRPr="002B005F">
        <w:rPr>
          <w:rFonts w:ascii="Times New Roman" w:hAnsi="Times New Roman" w:cs="Times New Roman"/>
          <w:sz w:val="24"/>
          <w:szCs w:val="24"/>
        </w:rPr>
        <w:t xml:space="preserve"> </w:t>
      </w:r>
      <w:r w:rsidRPr="00CF0333">
        <w:rPr>
          <w:rFonts w:ascii="Times New Roman" w:hAnsi="Times New Roman" w:cs="Times New Roman"/>
          <w:sz w:val="24"/>
          <w:szCs w:val="24"/>
        </w:rPr>
        <w:t>rend</w:t>
      </w:r>
      <w:r w:rsidR="000F4546">
        <w:rPr>
          <w:rFonts w:ascii="Times New Roman" w:hAnsi="Times New Roman" w:cs="Times New Roman"/>
          <w:sz w:val="24"/>
          <w:szCs w:val="24"/>
        </w:rPr>
        <w:t xml:space="preserve"> plus attentive</w:t>
      </w:r>
      <w:r w:rsidRPr="002B005F">
        <w:rPr>
          <w:rFonts w:ascii="Times New Roman" w:hAnsi="Times New Roman" w:cs="Times New Roman"/>
          <w:sz w:val="24"/>
          <w:szCs w:val="24"/>
        </w:rPr>
        <w:t xml:space="preserve"> à la sélection de ces projets et à l’octroi des financements. D’ailleurs, le partage des risques avec les titulaires des comptes d’investissement sur la base </w:t>
      </w:r>
      <w:r w:rsidR="00457866" w:rsidRPr="002B005F">
        <w:rPr>
          <w:rFonts w:ascii="Times New Roman" w:hAnsi="Times New Roman" w:cs="Times New Roman"/>
          <w:sz w:val="24"/>
          <w:szCs w:val="24"/>
        </w:rPr>
        <w:t xml:space="preserve">de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conf</w:t>
      </w:r>
      <w:r w:rsidR="000F4546">
        <w:rPr>
          <w:rFonts w:ascii="Times New Roman" w:hAnsi="Times New Roman" w:cs="Times New Roman"/>
          <w:sz w:val="24"/>
          <w:szCs w:val="24"/>
        </w:rPr>
        <w:t>orte la prise de risques par la BI. En effet, elle n’est pas tenue</w:t>
      </w:r>
      <w:r w:rsidRPr="002B005F">
        <w:rPr>
          <w:rFonts w:ascii="Times New Roman" w:hAnsi="Times New Roman" w:cs="Times New Roman"/>
          <w:sz w:val="24"/>
          <w:szCs w:val="24"/>
        </w:rPr>
        <w:t xml:space="preserve"> d’offrir des rémunérations fixes aux déposants et</w:t>
      </w:r>
      <w:r w:rsidR="00CF0333">
        <w:rPr>
          <w:rFonts w:ascii="Times New Roman" w:hAnsi="Times New Roman" w:cs="Times New Roman"/>
          <w:sz w:val="24"/>
          <w:szCs w:val="24"/>
        </w:rPr>
        <w:t>,</w:t>
      </w:r>
      <w:r w:rsidRPr="002B005F">
        <w:rPr>
          <w:rFonts w:ascii="Times New Roman" w:hAnsi="Times New Roman" w:cs="Times New Roman"/>
          <w:sz w:val="24"/>
          <w:szCs w:val="24"/>
        </w:rPr>
        <w:t xml:space="preserve"> donc d’assumer seul</w:t>
      </w:r>
      <w:r w:rsidR="000F4546">
        <w:rPr>
          <w:rFonts w:ascii="Times New Roman" w:hAnsi="Times New Roman" w:cs="Times New Roman"/>
          <w:sz w:val="24"/>
          <w:szCs w:val="24"/>
        </w:rPr>
        <w:t>e</w:t>
      </w:r>
      <w:r w:rsidR="00457866" w:rsidRPr="002B005F">
        <w:rPr>
          <w:rFonts w:ascii="Times New Roman" w:hAnsi="Times New Roman" w:cs="Times New Roman"/>
          <w:sz w:val="24"/>
          <w:szCs w:val="24"/>
        </w:rPr>
        <w:t xml:space="preserve"> les risques en cas de perte.</w:t>
      </w:r>
    </w:p>
    <w:p w14:paraId="7747253D" w14:textId="77777777" w:rsidR="002760B2" w:rsidRPr="00F44350" w:rsidRDefault="002760B2" w:rsidP="006729C8">
      <w:pPr>
        <w:tabs>
          <w:tab w:val="left" w:pos="0"/>
        </w:tabs>
        <w:spacing w:before="120" w:line="300" w:lineRule="auto"/>
        <w:ind w:firstLine="709"/>
        <w:rPr>
          <w:rFonts w:ascii="Times New Roman" w:hAnsi="Times New Roman" w:cs="Times New Roman"/>
          <w:spacing w:val="-4"/>
          <w:sz w:val="24"/>
          <w:szCs w:val="24"/>
        </w:rPr>
      </w:pPr>
      <w:r w:rsidRPr="00F44350">
        <w:rPr>
          <w:rFonts w:ascii="Times New Roman" w:hAnsi="Times New Roman" w:cs="Times New Roman"/>
          <w:spacing w:val="-4"/>
          <w:sz w:val="24"/>
          <w:szCs w:val="24"/>
        </w:rPr>
        <w:t xml:space="preserve">Néanmoins, le financement </w:t>
      </w:r>
      <w:r w:rsidR="00CF0333" w:rsidRPr="00F44350">
        <w:rPr>
          <w:rFonts w:ascii="Times New Roman" w:hAnsi="Times New Roman" w:cs="Times New Roman"/>
          <w:spacing w:val="-4"/>
          <w:sz w:val="24"/>
          <w:szCs w:val="24"/>
        </w:rPr>
        <w:t>i</w:t>
      </w:r>
      <w:r w:rsidR="003773C6" w:rsidRPr="00F44350">
        <w:rPr>
          <w:rFonts w:ascii="Times New Roman" w:hAnsi="Times New Roman" w:cs="Times New Roman"/>
          <w:spacing w:val="-4"/>
          <w:sz w:val="24"/>
          <w:szCs w:val="24"/>
        </w:rPr>
        <w:t>slamique</w:t>
      </w:r>
      <w:r w:rsidRPr="00F44350">
        <w:rPr>
          <w:rFonts w:ascii="Times New Roman" w:hAnsi="Times New Roman" w:cs="Times New Roman"/>
          <w:spacing w:val="-4"/>
          <w:sz w:val="24"/>
          <w:szCs w:val="24"/>
        </w:rPr>
        <w:t xml:space="preserve"> participatif implique une prise spécifique de risques, différente des instruments conventionnels. En plus, </w:t>
      </w:r>
      <w:r w:rsidR="007D0A9F" w:rsidRPr="00F44350">
        <w:rPr>
          <w:rFonts w:ascii="Times New Roman" w:hAnsi="Times New Roman" w:cs="Times New Roman"/>
          <w:spacing w:val="-4"/>
          <w:sz w:val="24"/>
          <w:szCs w:val="24"/>
        </w:rPr>
        <w:t>il</w:t>
      </w:r>
      <w:r w:rsidRPr="00F44350">
        <w:rPr>
          <w:rFonts w:ascii="Times New Roman" w:hAnsi="Times New Roman" w:cs="Times New Roman"/>
          <w:spacing w:val="-4"/>
          <w:sz w:val="24"/>
          <w:szCs w:val="24"/>
        </w:rPr>
        <w:t xml:space="preserve"> se caractérise par un enchevêtrement des risques vu les transactions t</w:t>
      </w:r>
      <w:r w:rsidR="007D0A9F" w:rsidRPr="00F44350">
        <w:rPr>
          <w:rFonts w:ascii="Times New Roman" w:hAnsi="Times New Roman" w:cs="Times New Roman"/>
          <w:spacing w:val="-4"/>
          <w:sz w:val="24"/>
          <w:szCs w:val="24"/>
        </w:rPr>
        <w:t>ripartites liant le déposant, le banquier</w:t>
      </w:r>
      <w:r w:rsidRPr="00F44350">
        <w:rPr>
          <w:rFonts w:ascii="Times New Roman" w:hAnsi="Times New Roman" w:cs="Times New Roman"/>
          <w:spacing w:val="-4"/>
          <w:sz w:val="24"/>
          <w:szCs w:val="24"/>
        </w:rPr>
        <w:t xml:space="preserve"> et </w:t>
      </w:r>
      <w:r w:rsidR="007D0A9F" w:rsidRPr="00F44350">
        <w:rPr>
          <w:rFonts w:ascii="Times New Roman" w:hAnsi="Times New Roman" w:cs="Times New Roman"/>
          <w:spacing w:val="-4"/>
          <w:sz w:val="24"/>
          <w:szCs w:val="24"/>
        </w:rPr>
        <w:t>l’entrepreneur</w:t>
      </w:r>
      <w:r w:rsidRPr="00F44350">
        <w:rPr>
          <w:rFonts w:ascii="Times New Roman" w:hAnsi="Times New Roman" w:cs="Times New Roman"/>
          <w:spacing w:val="-4"/>
          <w:sz w:val="24"/>
          <w:szCs w:val="24"/>
        </w:rPr>
        <w:t xml:space="preserve">. </w:t>
      </w:r>
      <w:r w:rsidR="00D60C73" w:rsidRPr="00F44350">
        <w:rPr>
          <w:rFonts w:ascii="Times New Roman" w:hAnsi="Times New Roman" w:cs="Times New Roman"/>
          <w:spacing w:val="-4"/>
          <w:sz w:val="24"/>
          <w:szCs w:val="24"/>
        </w:rPr>
        <w:t>De ce fait</w:t>
      </w:r>
      <w:r w:rsidRPr="00F44350">
        <w:rPr>
          <w:rFonts w:ascii="Times New Roman" w:hAnsi="Times New Roman" w:cs="Times New Roman"/>
          <w:spacing w:val="-4"/>
          <w:sz w:val="24"/>
          <w:szCs w:val="24"/>
        </w:rPr>
        <w:t xml:space="preserve">, le financement </w:t>
      </w:r>
      <w:r w:rsidR="007D0A9F" w:rsidRPr="00F44350">
        <w:rPr>
          <w:rFonts w:ascii="Times New Roman" w:hAnsi="Times New Roman" w:cs="Times New Roman"/>
          <w:spacing w:val="-4"/>
          <w:sz w:val="24"/>
          <w:szCs w:val="24"/>
        </w:rPr>
        <w:t>i</w:t>
      </w:r>
      <w:r w:rsidR="003773C6" w:rsidRPr="00F44350">
        <w:rPr>
          <w:rFonts w:ascii="Times New Roman" w:hAnsi="Times New Roman" w:cs="Times New Roman"/>
          <w:spacing w:val="-4"/>
          <w:sz w:val="24"/>
          <w:szCs w:val="24"/>
        </w:rPr>
        <w:t>slamique</w:t>
      </w:r>
      <w:r w:rsidRPr="00F44350">
        <w:rPr>
          <w:rFonts w:ascii="Times New Roman" w:hAnsi="Times New Roman" w:cs="Times New Roman"/>
          <w:spacing w:val="-4"/>
          <w:sz w:val="24"/>
          <w:szCs w:val="24"/>
        </w:rPr>
        <w:t xml:space="preserve"> participatif se trouve face à plusieurs problèmes internes, r</w:t>
      </w:r>
      <w:r w:rsidR="007D0A9F" w:rsidRPr="00F44350">
        <w:rPr>
          <w:rFonts w:ascii="Times New Roman" w:hAnsi="Times New Roman" w:cs="Times New Roman"/>
          <w:spacing w:val="-4"/>
          <w:sz w:val="24"/>
          <w:szCs w:val="24"/>
        </w:rPr>
        <w:t>églementaires et comptables dans</w:t>
      </w:r>
      <w:r w:rsidRPr="00F44350">
        <w:rPr>
          <w:rFonts w:ascii="Times New Roman" w:hAnsi="Times New Roman" w:cs="Times New Roman"/>
          <w:spacing w:val="-4"/>
          <w:sz w:val="24"/>
          <w:szCs w:val="24"/>
        </w:rPr>
        <w:t xml:space="preserve"> son </w:t>
      </w:r>
      <w:r w:rsidR="00923D11" w:rsidRPr="00F44350">
        <w:rPr>
          <w:rFonts w:ascii="Times New Roman" w:hAnsi="Times New Roman" w:cs="Times New Roman"/>
          <w:spacing w:val="-4"/>
          <w:sz w:val="24"/>
          <w:szCs w:val="24"/>
        </w:rPr>
        <w:t>développement comme par exemple</w:t>
      </w:r>
      <w:r w:rsidRPr="00F44350">
        <w:rPr>
          <w:rFonts w:ascii="Times New Roman" w:hAnsi="Times New Roman" w:cs="Times New Roman"/>
          <w:spacing w:val="-4"/>
          <w:sz w:val="24"/>
          <w:szCs w:val="24"/>
        </w:rPr>
        <w:t> </w:t>
      </w:r>
      <w:r w:rsidRPr="00F44350">
        <w:rPr>
          <w:rStyle w:val="Appelnotedebasdep"/>
          <w:rFonts w:ascii="Times New Roman" w:hAnsi="Times New Roman"/>
          <w:spacing w:val="-4"/>
          <w:sz w:val="24"/>
          <w:szCs w:val="24"/>
        </w:rPr>
        <w:footnoteReference w:id="2"/>
      </w:r>
      <w:r w:rsidRPr="00F44350">
        <w:rPr>
          <w:rFonts w:ascii="Times New Roman" w:hAnsi="Times New Roman" w:cs="Times New Roman"/>
          <w:spacing w:val="-4"/>
          <w:sz w:val="24"/>
          <w:szCs w:val="24"/>
        </w:rPr>
        <w:t>:</w:t>
      </w:r>
    </w:p>
    <w:p w14:paraId="7F6C9E0D" w14:textId="77777777" w:rsidR="002760B2" w:rsidRPr="002B005F" w:rsidRDefault="002760B2" w:rsidP="00CB0FF1">
      <w:pPr>
        <w:pStyle w:val="Paragraphedeliste"/>
        <w:numPr>
          <w:ilvl w:val="0"/>
          <w:numId w:val="44"/>
        </w:numPr>
        <w:tabs>
          <w:tab w:val="left" w:pos="851"/>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Les fausses déclarations comptables liées aux coûts et aux résultats des projets fin</w:t>
      </w:r>
      <w:r w:rsidR="009C1166" w:rsidRPr="002B005F">
        <w:rPr>
          <w:rFonts w:ascii="Times New Roman" w:hAnsi="Times New Roman" w:cs="Times New Roman"/>
          <w:sz w:val="24"/>
          <w:szCs w:val="24"/>
        </w:rPr>
        <w:t>anciers ;</w:t>
      </w:r>
    </w:p>
    <w:p w14:paraId="04F85389" w14:textId="77777777" w:rsidR="002760B2" w:rsidRPr="002B005F" w:rsidRDefault="002760B2" w:rsidP="00CB0FF1">
      <w:pPr>
        <w:pStyle w:val="Paragraphedeliste"/>
        <w:numPr>
          <w:ilvl w:val="0"/>
          <w:numId w:val="44"/>
        </w:numPr>
        <w:tabs>
          <w:tab w:val="left" w:pos="709"/>
          <w:tab w:val="left" w:pos="851"/>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La discrimination fisca</w:t>
      </w:r>
      <w:r w:rsidR="00534C21" w:rsidRPr="002B005F">
        <w:rPr>
          <w:rFonts w:ascii="Times New Roman" w:hAnsi="Times New Roman" w:cs="Times New Roman"/>
          <w:sz w:val="24"/>
          <w:szCs w:val="24"/>
        </w:rPr>
        <w:t>le heurte les financements PLS :</w:t>
      </w:r>
      <w:r w:rsidRPr="002B005F">
        <w:rPr>
          <w:rFonts w:ascii="Times New Roman" w:hAnsi="Times New Roman" w:cs="Times New Roman"/>
          <w:sz w:val="24"/>
          <w:szCs w:val="24"/>
        </w:rPr>
        <w:t xml:space="preserve"> le profit</w:t>
      </w:r>
      <w:r w:rsidR="00534C21" w:rsidRPr="002B005F">
        <w:rPr>
          <w:rFonts w:ascii="Times New Roman" w:hAnsi="Times New Roman" w:cs="Times New Roman"/>
          <w:sz w:val="24"/>
          <w:szCs w:val="24"/>
        </w:rPr>
        <w:t xml:space="preserve"> de l’entreprise est taxé </w:t>
      </w:r>
      <w:r w:rsidR="008210ED" w:rsidRPr="002B005F">
        <w:rPr>
          <w:rFonts w:ascii="Times New Roman" w:hAnsi="Times New Roman" w:cs="Times New Roman"/>
          <w:sz w:val="24"/>
          <w:szCs w:val="24"/>
        </w:rPr>
        <w:t>lorsque</w:t>
      </w:r>
      <w:r w:rsidRPr="002B005F">
        <w:rPr>
          <w:rFonts w:ascii="Times New Roman" w:hAnsi="Times New Roman" w:cs="Times New Roman"/>
          <w:sz w:val="24"/>
          <w:szCs w:val="24"/>
        </w:rPr>
        <w:t xml:space="preserve"> les intérêts payés sont considéré</w:t>
      </w:r>
      <w:r w:rsidR="009C1166" w:rsidRPr="002B005F">
        <w:rPr>
          <w:rFonts w:ascii="Times New Roman" w:hAnsi="Times New Roman" w:cs="Times New Roman"/>
          <w:sz w:val="24"/>
          <w:szCs w:val="24"/>
        </w:rPr>
        <w:t>s comme des coûts de production ;</w:t>
      </w:r>
    </w:p>
    <w:p w14:paraId="45A95728" w14:textId="77777777" w:rsidR="002760B2" w:rsidRPr="002B005F" w:rsidRDefault="002760B2" w:rsidP="00CB0FF1">
      <w:pPr>
        <w:pStyle w:val="Paragraphedeliste"/>
        <w:numPr>
          <w:ilvl w:val="0"/>
          <w:numId w:val="44"/>
        </w:numPr>
        <w:tabs>
          <w:tab w:val="left" w:pos="0"/>
          <w:tab w:val="left" w:pos="851"/>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L’insuffisance de pro</w:t>
      </w:r>
      <w:r w:rsidR="009C1166" w:rsidRPr="002B005F">
        <w:rPr>
          <w:rFonts w:ascii="Times New Roman" w:hAnsi="Times New Roman" w:cs="Times New Roman"/>
          <w:sz w:val="24"/>
          <w:szCs w:val="24"/>
        </w:rPr>
        <w:t>tection des droits de propriété ;</w:t>
      </w:r>
    </w:p>
    <w:p w14:paraId="0C816FB4" w14:textId="77777777" w:rsidR="002760B2" w:rsidRPr="002B005F" w:rsidRDefault="002760B2" w:rsidP="00CB0FF1">
      <w:pPr>
        <w:pStyle w:val="Paragraphedeliste"/>
        <w:numPr>
          <w:ilvl w:val="0"/>
          <w:numId w:val="44"/>
        </w:numPr>
        <w:tabs>
          <w:tab w:val="left" w:pos="0"/>
          <w:tab w:val="left" w:pos="851"/>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Le manque des instrume</w:t>
      </w:r>
      <w:r w:rsidR="009C1166" w:rsidRPr="002B005F">
        <w:rPr>
          <w:rFonts w:ascii="Times New Roman" w:hAnsi="Times New Roman" w:cs="Times New Roman"/>
          <w:sz w:val="24"/>
          <w:szCs w:val="24"/>
        </w:rPr>
        <w:t>nts de liquidité de court terme ;</w:t>
      </w:r>
    </w:p>
    <w:p w14:paraId="5CA6FB85" w14:textId="77777777" w:rsidR="002760B2" w:rsidRPr="00F44350" w:rsidRDefault="002760B2" w:rsidP="00CB0FF1">
      <w:pPr>
        <w:pStyle w:val="Paragraphedeliste"/>
        <w:numPr>
          <w:ilvl w:val="0"/>
          <w:numId w:val="44"/>
        </w:numPr>
        <w:tabs>
          <w:tab w:val="left" w:pos="851"/>
        </w:tabs>
        <w:spacing w:before="60" w:line="300" w:lineRule="auto"/>
        <w:ind w:left="1135" w:hanging="284"/>
        <w:contextualSpacing w:val="0"/>
        <w:rPr>
          <w:rFonts w:ascii="Times New Roman" w:hAnsi="Times New Roman" w:cs="Times New Roman"/>
          <w:spacing w:val="-4"/>
          <w:sz w:val="24"/>
          <w:szCs w:val="24"/>
        </w:rPr>
      </w:pPr>
      <w:r w:rsidRPr="00F44350">
        <w:rPr>
          <w:rFonts w:ascii="Times New Roman" w:hAnsi="Times New Roman" w:cs="Times New Roman"/>
          <w:spacing w:val="-4"/>
          <w:sz w:val="24"/>
          <w:szCs w:val="24"/>
        </w:rPr>
        <w:t xml:space="preserve">La cohabitation du système bancaire </w:t>
      </w:r>
      <w:r w:rsidR="007D0A9F" w:rsidRPr="00F44350">
        <w:rPr>
          <w:rFonts w:ascii="Times New Roman" w:hAnsi="Times New Roman" w:cs="Times New Roman"/>
          <w:spacing w:val="-4"/>
          <w:sz w:val="24"/>
          <w:szCs w:val="24"/>
        </w:rPr>
        <w:t>i</w:t>
      </w:r>
      <w:r w:rsidR="003773C6" w:rsidRPr="00F44350">
        <w:rPr>
          <w:rFonts w:ascii="Times New Roman" w:hAnsi="Times New Roman" w:cs="Times New Roman"/>
          <w:spacing w:val="-4"/>
          <w:sz w:val="24"/>
          <w:szCs w:val="24"/>
        </w:rPr>
        <w:t>slamique</w:t>
      </w:r>
      <w:r w:rsidRPr="00F44350">
        <w:rPr>
          <w:rFonts w:ascii="Times New Roman" w:hAnsi="Times New Roman" w:cs="Times New Roman"/>
          <w:spacing w:val="-4"/>
          <w:sz w:val="24"/>
          <w:szCs w:val="24"/>
        </w:rPr>
        <w:t xml:space="preserve"> et du système bancaire conventionnel n’est pas efficace. La concurrence conduit les banques </w:t>
      </w:r>
      <w:r w:rsidR="007D0A9F" w:rsidRPr="00F44350">
        <w:rPr>
          <w:rFonts w:ascii="Times New Roman" w:hAnsi="Times New Roman" w:cs="Times New Roman"/>
          <w:spacing w:val="-4"/>
          <w:sz w:val="24"/>
          <w:szCs w:val="24"/>
        </w:rPr>
        <w:t>i</w:t>
      </w:r>
      <w:r w:rsidR="003773C6" w:rsidRPr="00F44350">
        <w:rPr>
          <w:rFonts w:ascii="Times New Roman" w:hAnsi="Times New Roman" w:cs="Times New Roman"/>
          <w:spacing w:val="-4"/>
          <w:sz w:val="24"/>
          <w:szCs w:val="24"/>
        </w:rPr>
        <w:t>slamique</w:t>
      </w:r>
      <w:r w:rsidRPr="00F44350">
        <w:rPr>
          <w:rFonts w:ascii="Times New Roman" w:hAnsi="Times New Roman" w:cs="Times New Roman"/>
          <w:spacing w:val="-4"/>
          <w:sz w:val="24"/>
          <w:szCs w:val="24"/>
        </w:rPr>
        <w:t>s à privilégier des financements moins risqués à court terme plutôt que ceux de partage.</w:t>
      </w:r>
    </w:p>
    <w:p w14:paraId="0D0C00D3" w14:textId="6F953496" w:rsidR="002760B2" w:rsidRPr="0069735E" w:rsidRDefault="002760B2" w:rsidP="003E460A">
      <w:pPr>
        <w:tabs>
          <w:tab w:val="left" w:pos="0"/>
        </w:tabs>
        <w:spacing w:before="120" w:line="300" w:lineRule="auto"/>
        <w:ind w:firstLine="709"/>
        <w:rPr>
          <w:rFonts w:ascii="Times New Roman" w:hAnsi="Times New Roman" w:cs="Times New Roman"/>
          <w:kern w:val="24"/>
          <w:sz w:val="24"/>
          <w:szCs w:val="24"/>
        </w:rPr>
      </w:pPr>
      <w:r w:rsidRPr="0069735E">
        <w:rPr>
          <w:rFonts w:ascii="Times New Roman" w:hAnsi="Times New Roman" w:cs="Times New Roman"/>
          <w:kern w:val="24"/>
          <w:sz w:val="24"/>
          <w:szCs w:val="24"/>
        </w:rPr>
        <w:lastRenderedPageBreak/>
        <w:t>Tous ces problèmes liés au fort degré des risques engendrés par les contrats de financement M-M ont poussé les BI à recourir aux techniques non participati</w:t>
      </w:r>
      <w:r w:rsidR="001374DC">
        <w:rPr>
          <w:rFonts w:ascii="Times New Roman" w:hAnsi="Times New Roman" w:cs="Times New Roman"/>
          <w:kern w:val="24"/>
          <w:sz w:val="24"/>
          <w:szCs w:val="24"/>
        </w:rPr>
        <w:t>ves</w:t>
      </w:r>
      <w:r w:rsidRPr="0069735E">
        <w:rPr>
          <w:rFonts w:ascii="Times New Roman" w:hAnsi="Times New Roman" w:cs="Times New Roman"/>
          <w:kern w:val="24"/>
          <w:sz w:val="24"/>
          <w:szCs w:val="24"/>
        </w:rPr>
        <w:t xml:space="preserve"> et, plus précisément, la </w:t>
      </w:r>
      <w:r w:rsidRPr="0069735E">
        <w:rPr>
          <w:rFonts w:ascii="Times New Roman" w:hAnsi="Times New Roman" w:cs="Times New Roman"/>
          <w:i/>
          <w:iCs/>
          <w:kern w:val="24"/>
          <w:sz w:val="24"/>
          <w:szCs w:val="24"/>
        </w:rPr>
        <w:t>mourabaha</w:t>
      </w:r>
      <w:r w:rsidRPr="0069735E">
        <w:rPr>
          <w:rFonts w:ascii="Times New Roman" w:hAnsi="Times New Roman" w:cs="Times New Roman"/>
          <w:kern w:val="24"/>
          <w:sz w:val="24"/>
          <w:szCs w:val="24"/>
        </w:rPr>
        <w:t xml:space="preserve">. Le phénomène de la surutilisation de la </w:t>
      </w:r>
      <w:r w:rsidRPr="0069735E">
        <w:rPr>
          <w:rFonts w:ascii="Times New Roman" w:hAnsi="Times New Roman" w:cs="Times New Roman"/>
          <w:i/>
          <w:iCs/>
          <w:kern w:val="24"/>
          <w:sz w:val="24"/>
          <w:szCs w:val="24"/>
        </w:rPr>
        <w:t>mourabaha</w:t>
      </w:r>
      <w:r w:rsidRPr="0069735E">
        <w:rPr>
          <w:rFonts w:ascii="Times New Roman" w:hAnsi="Times New Roman" w:cs="Times New Roman"/>
          <w:kern w:val="24"/>
          <w:sz w:val="24"/>
          <w:szCs w:val="24"/>
        </w:rPr>
        <w:t xml:space="preserve"> (vente avec marge bénéficiaire) est appel</w:t>
      </w:r>
      <w:r w:rsidR="00457866" w:rsidRPr="0069735E">
        <w:rPr>
          <w:rFonts w:ascii="Times New Roman" w:hAnsi="Times New Roman" w:cs="Times New Roman"/>
          <w:kern w:val="24"/>
          <w:sz w:val="24"/>
          <w:szCs w:val="24"/>
        </w:rPr>
        <w:t>é par certains analystes le « </w:t>
      </w:r>
      <w:r w:rsidRPr="0069735E">
        <w:rPr>
          <w:rFonts w:ascii="Times New Roman" w:hAnsi="Times New Roman" w:cs="Times New Roman"/>
          <w:kern w:val="24"/>
          <w:sz w:val="24"/>
          <w:szCs w:val="24"/>
        </w:rPr>
        <w:t xml:space="preserve">syndrome de la </w:t>
      </w:r>
      <w:r w:rsidRPr="0069735E">
        <w:rPr>
          <w:rFonts w:ascii="Times New Roman" w:hAnsi="Times New Roman" w:cs="Times New Roman"/>
          <w:i/>
          <w:iCs/>
          <w:kern w:val="24"/>
          <w:sz w:val="24"/>
          <w:szCs w:val="24"/>
        </w:rPr>
        <w:t>mourabaha</w:t>
      </w:r>
      <w:r w:rsidR="00457866" w:rsidRPr="0069735E">
        <w:rPr>
          <w:rFonts w:ascii="Times New Roman" w:hAnsi="Times New Roman" w:cs="Times New Roman"/>
          <w:kern w:val="24"/>
          <w:sz w:val="24"/>
          <w:szCs w:val="24"/>
        </w:rPr>
        <w:t> »</w:t>
      </w:r>
      <w:r w:rsidRPr="0069735E">
        <w:rPr>
          <w:rFonts w:ascii="Times New Roman" w:hAnsi="Times New Roman" w:cs="Times New Roman"/>
          <w:kern w:val="24"/>
          <w:sz w:val="24"/>
          <w:szCs w:val="24"/>
        </w:rPr>
        <w:t>. Youcef (2004)</w:t>
      </w:r>
      <w:r w:rsidRPr="0069735E">
        <w:rPr>
          <w:rStyle w:val="Appelnotedebasdep"/>
          <w:rFonts w:ascii="Times New Roman" w:hAnsi="Times New Roman"/>
          <w:kern w:val="24"/>
          <w:sz w:val="24"/>
          <w:szCs w:val="24"/>
        </w:rPr>
        <w:footnoteReference w:id="3"/>
      </w:r>
      <w:r w:rsidRPr="0069735E">
        <w:rPr>
          <w:rFonts w:ascii="Times New Roman" w:hAnsi="Times New Roman" w:cs="Times New Roman"/>
          <w:kern w:val="24"/>
          <w:sz w:val="24"/>
          <w:szCs w:val="24"/>
        </w:rPr>
        <w:t xml:space="preserve"> tentait d’expliquer l’utilisation massive de cette technique par les BI. Selon cet auteur, </w:t>
      </w:r>
      <w:r w:rsidRPr="0069735E">
        <w:rPr>
          <w:rFonts w:ascii="Times New Roman" w:hAnsi="Times New Roman" w:cs="Times New Roman"/>
          <w:i/>
          <w:iCs/>
          <w:kern w:val="24"/>
          <w:sz w:val="24"/>
          <w:szCs w:val="24"/>
        </w:rPr>
        <w:t xml:space="preserve">« les produits financiers </w:t>
      </w:r>
      <w:r w:rsidR="00A36EF6" w:rsidRPr="0069735E">
        <w:rPr>
          <w:rFonts w:ascii="Times New Roman" w:hAnsi="Times New Roman" w:cs="Times New Roman"/>
          <w:iCs/>
          <w:kern w:val="24"/>
          <w:sz w:val="24"/>
          <w:szCs w:val="24"/>
        </w:rPr>
        <w:t>i</w:t>
      </w:r>
      <w:r w:rsidR="003773C6" w:rsidRPr="0069735E">
        <w:rPr>
          <w:rFonts w:ascii="Times New Roman" w:hAnsi="Times New Roman" w:cs="Times New Roman"/>
          <w:iCs/>
          <w:kern w:val="24"/>
          <w:sz w:val="24"/>
          <w:szCs w:val="24"/>
        </w:rPr>
        <w:t>slamique</w:t>
      </w:r>
      <w:r w:rsidRPr="0069735E">
        <w:rPr>
          <w:rFonts w:ascii="Times New Roman" w:hAnsi="Times New Roman" w:cs="Times New Roman"/>
          <w:i/>
          <w:iCs/>
          <w:kern w:val="24"/>
          <w:sz w:val="24"/>
          <w:szCs w:val="24"/>
        </w:rPr>
        <w:t xml:space="preserve">s doivent en principe reposer sur la règle PLS dans un souci d’équité et de partage et pour éviter les dettes, mais la preuve indique le contraire… l’essentiel des opérations bancaires </w:t>
      </w:r>
      <w:r w:rsidR="00A36EF6" w:rsidRPr="0069735E">
        <w:rPr>
          <w:rFonts w:ascii="Times New Roman" w:hAnsi="Times New Roman" w:cs="Times New Roman"/>
          <w:i/>
          <w:kern w:val="24"/>
          <w:sz w:val="24"/>
          <w:szCs w:val="24"/>
        </w:rPr>
        <w:t>i</w:t>
      </w:r>
      <w:r w:rsidR="003773C6" w:rsidRPr="0069735E">
        <w:rPr>
          <w:rFonts w:ascii="Times New Roman" w:hAnsi="Times New Roman" w:cs="Times New Roman"/>
          <w:i/>
          <w:kern w:val="24"/>
          <w:sz w:val="24"/>
          <w:szCs w:val="24"/>
        </w:rPr>
        <w:t>slamique</w:t>
      </w:r>
      <w:r w:rsidRPr="0069735E">
        <w:rPr>
          <w:rFonts w:ascii="Times New Roman" w:hAnsi="Times New Roman" w:cs="Times New Roman"/>
          <w:i/>
          <w:kern w:val="24"/>
          <w:sz w:val="24"/>
          <w:szCs w:val="24"/>
        </w:rPr>
        <w:t>s</w:t>
      </w:r>
      <w:r w:rsidRPr="0069735E">
        <w:rPr>
          <w:rFonts w:ascii="Times New Roman" w:hAnsi="Times New Roman" w:cs="Times New Roman"/>
          <w:i/>
          <w:iCs/>
          <w:kern w:val="24"/>
          <w:sz w:val="24"/>
          <w:szCs w:val="24"/>
        </w:rPr>
        <w:t xml:space="preserve"> ne sont pas fondées sur l’équité, mais sur l’utilisation de le mourabaha, d’où l’expr</w:t>
      </w:r>
      <w:r w:rsidR="008C4EEC" w:rsidRPr="0069735E">
        <w:rPr>
          <w:rFonts w:ascii="Times New Roman" w:hAnsi="Times New Roman" w:cs="Times New Roman"/>
          <w:i/>
          <w:iCs/>
          <w:kern w:val="24"/>
          <w:sz w:val="24"/>
          <w:szCs w:val="24"/>
        </w:rPr>
        <w:t>ession syndrome de la mourabaha »</w:t>
      </w:r>
      <w:r w:rsidRPr="0069735E">
        <w:rPr>
          <w:rFonts w:ascii="Times New Roman" w:hAnsi="Times New Roman" w:cs="Times New Roman"/>
          <w:i/>
          <w:iCs/>
          <w:kern w:val="24"/>
          <w:sz w:val="24"/>
          <w:szCs w:val="24"/>
        </w:rPr>
        <w:t>.</w:t>
      </w:r>
    </w:p>
    <w:p w14:paraId="20885A86" w14:textId="388DB627" w:rsidR="002760B2" w:rsidRPr="0069735E" w:rsidRDefault="002760B2" w:rsidP="00A2511A">
      <w:pPr>
        <w:tabs>
          <w:tab w:val="left" w:pos="0"/>
        </w:tabs>
        <w:spacing w:before="120" w:line="300" w:lineRule="auto"/>
        <w:ind w:firstLine="709"/>
        <w:rPr>
          <w:rFonts w:ascii="Times New Roman" w:hAnsi="Times New Roman" w:cs="Times New Roman"/>
          <w:kern w:val="24"/>
          <w:sz w:val="24"/>
          <w:szCs w:val="24"/>
        </w:rPr>
      </w:pPr>
      <w:r w:rsidRPr="0069735E">
        <w:rPr>
          <w:rFonts w:ascii="Times New Roman" w:hAnsi="Times New Roman" w:cs="Times New Roman"/>
          <w:kern w:val="24"/>
          <w:sz w:val="24"/>
          <w:szCs w:val="24"/>
        </w:rPr>
        <w:t xml:space="preserve">La </w:t>
      </w:r>
      <w:r w:rsidRPr="0069735E">
        <w:rPr>
          <w:rFonts w:ascii="Times New Roman" w:hAnsi="Times New Roman" w:cs="Times New Roman"/>
          <w:i/>
          <w:iCs/>
          <w:kern w:val="24"/>
          <w:sz w:val="24"/>
          <w:szCs w:val="24"/>
        </w:rPr>
        <w:t>mourabaha</w:t>
      </w:r>
      <w:r w:rsidRPr="0069735E">
        <w:rPr>
          <w:rFonts w:ascii="Times New Roman" w:hAnsi="Times New Roman" w:cs="Times New Roman"/>
          <w:kern w:val="24"/>
          <w:sz w:val="24"/>
          <w:szCs w:val="24"/>
        </w:rPr>
        <w:t xml:space="preserve"> a probablement de beaux jours devant elle, étant donné sa rentabilité élevée qui justifie sa surutilisation par les BI. Néanmoins</w:t>
      </w:r>
      <w:r w:rsidR="006068F8" w:rsidRPr="0069735E">
        <w:rPr>
          <w:rFonts w:ascii="Times New Roman" w:hAnsi="Times New Roman" w:cs="Times New Roman"/>
          <w:kern w:val="24"/>
          <w:sz w:val="24"/>
          <w:szCs w:val="24"/>
        </w:rPr>
        <w:t>, cela n’aidera pas à dissiper des doutes l’entourant qui pourraient</w:t>
      </w:r>
      <w:r w:rsidRPr="0069735E">
        <w:rPr>
          <w:rFonts w:ascii="Times New Roman" w:hAnsi="Times New Roman" w:cs="Times New Roman"/>
          <w:kern w:val="24"/>
          <w:sz w:val="24"/>
          <w:szCs w:val="24"/>
        </w:rPr>
        <w:t xml:space="preserve"> </w:t>
      </w:r>
      <w:r w:rsidR="006068F8" w:rsidRPr="0069735E">
        <w:rPr>
          <w:rFonts w:ascii="Times New Roman" w:hAnsi="Times New Roman" w:cs="Times New Roman"/>
          <w:kern w:val="24"/>
          <w:sz w:val="24"/>
          <w:szCs w:val="24"/>
        </w:rPr>
        <w:t xml:space="preserve">pour certains </w:t>
      </w:r>
      <w:r w:rsidRPr="0069735E">
        <w:rPr>
          <w:rFonts w:ascii="Times New Roman" w:hAnsi="Times New Roman" w:cs="Times New Roman"/>
          <w:kern w:val="24"/>
          <w:sz w:val="24"/>
          <w:szCs w:val="24"/>
        </w:rPr>
        <w:t>nuire à son image de finance éthique</w:t>
      </w:r>
      <w:r w:rsidRPr="0069735E">
        <w:rPr>
          <w:rStyle w:val="Appelnotedebasdep"/>
          <w:rFonts w:ascii="Times New Roman" w:hAnsi="Times New Roman"/>
          <w:kern w:val="24"/>
          <w:sz w:val="24"/>
          <w:szCs w:val="24"/>
        </w:rPr>
        <w:footnoteReference w:id="4"/>
      </w:r>
      <w:r w:rsidRPr="0069735E">
        <w:rPr>
          <w:rFonts w:ascii="Times New Roman" w:hAnsi="Times New Roman" w:cs="Times New Roman"/>
          <w:kern w:val="24"/>
          <w:sz w:val="24"/>
          <w:szCs w:val="24"/>
        </w:rPr>
        <w:t>. Siddiqi</w:t>
      </w:r>
      <w:r w:rsidR="00457866" w:rsidRPr="0069735E">
        <w:rPr>
          <w:rFonts w:ascii="Times New Roman" w:hAnsi="Times New Roman" w:cs="Times New Roman"/>
          <w:kern w:val="24"/>
          <w:sz w:val="24"/>
          <w:szCs w:val="24"/>
        </w:rPr>
        <w:t xml:space="preserve"> </w:t>
      </w:r>
      <w:r w:rsidRPr="0069735E">
        <w:rPr>
          <w:rFonts w:ascii="Times New Roman" w:hAnsi="Times New Roman" w:cs="Times New Roman"/>
          <w:kern w:val="24"/>
          <w:sz w:val="24"/>
          <w:szCs w:val="24"/>
        </w:rPr>
        <w:t>considère l’i</w:t>
      </w:r>
      <w:r w:rsidR="005A54CF" w:rsidRPr="0069735E">
        <w:rPr>
          <w:rFonts w:ascii="Times New Roman" w:hAnsi="Times New Roman" w:cs="Times New Roman"/>
          <w:kern w:val="24"/>
          <w:sz w:val="24"/>
          <w:szCs w:val="24"/>
        </w:rPr>
        <w:t xml:space="preserve">ntermédiation véhiculée par la </w:t>
      </w:r>
      <w:r w:rsidR="0069735E" w:rsidRPr="0069735E">
        <w:rPr>
          <w:rFonts w:ascii="Times New Roman" w:hAnsi="Times New Roman" w:cs="Times New Roman"/>
          <w:i/>
          <w:iCs/>
          <w:kern w:val="24"/>
          <w:sz w:val="24"/>
          <w:szCs w:val="24"/>
        </w:rPr>
        <w:t>mourabaha</w:t>
      </w:r>
      <w:r w:rsidRPr="0069735E">
        <w:rPr>
          <w:rFonts w:ascii="Times New Roman" w:hAnsi="Times New Roman" w:cs="Times New Roman"/>
          <w:kern w:val="24"/>
          <w:sz w:val="24"/>
          <w:szCs w:val="24"/>
        </w:rPr>
        <w:t xml:space="preserve">, </w:t>
      </w:r>
      <w:r w:rsidRPr="0069735E">
        <w:rPr>
          <w:rFonts w:ascii="Times New Roman" w:hAnsi="Times New Roman" w:cs="Times New Roman"/>
          <w:i/>
          <w:kern w:val="24"/>
          <w:sz w:val="24"/>
          <w:szCs w:val="24"/>
        </w:rPr>
        <w:t>ijara</w:t>
      </w:r>
      <w:r w:rsidRPr="0069735E">
        <w:rPr>
          <w:rFonts w:ascii="Times New Roman" w:hAnsi="Times New Roman" w:cs="Times New Roman"/>
          <w:kern w:val="24"/>
          <w:sz w:val="24"/>
          <w:szCs w:val="24"/>
        </w:rPr>
        <w:t xml:space="preserve">, </w:t>
      </w:r>
      <w:r w:rsidRPr="0069735E">
        <w:rPr>
          <w:rFonts w:ascii="Times New Roman" w:hAnsi="Times New Roman" w:cs="Times New Roman"/>
          <w:i/>
          <w:kern w:val="24"/>
          <w:sz w:val="24"/>
          <w:szCs w:val="24"/>
        </w:rPr>
        <w:t>salam</w:t>
      </w:r>
      <w:r w:rsidRPr="0069735E">
        <w:rPr>
          <w:rFonts w:ascii="Times New Roman" w:hAnsi="Times New Roman" w:cs="Times New Roman"/>
          <w:kern w:val="24"/>
          <w:sz w:val="24"/>
          <w:szCs w:val="24"/>
        </w:rPr>
        <w:t xml:space="preserve"> et </w:t>
      </w:r>
      <w:r w:rsidR="005A54CF" w:rsidRPr="0069735E">
        <w:rPr>
          <w:rFonts w:ascii="Times New Roman" w:hAnsi="Times New Roman" w:cs="Times New Roman"/>
          <w:i/>
          <w:kern w:val="24"/>
          <w:sz w:val="24"/>
          <w:szCs w:val="24"/>
        </w:rPr>
        <w:t>i</w:t>
      </w:r>
      <w:r w:rsidRPr="0069735E">
        <w:rPr>
          <w:rFonts w:ascii="Times New Roman" w:hAnsi="Times New Roman" w:cs="Times New Roman"/>
          <w:i/>
          <w:kern w:val="24"/>
          <w:sz w:val="24"/>
          <w:szCs w:val="24"/>
        </w:rPr>
        <w:t>stisna</w:t>
      </w:r>
      <w:r w:rsidR="005A54CF" w:rsidRPr="0069735E">
        <w:rPr>
          <w:rFonts w:ascii="Times New Roman" w:hAnsi="Times New Roman" w:cs="Times New Roman"/>
          <w:i/>
          <w:kern w:val="24"/>
          <w:sz w:val="24"/>
          <w:szCs w:val="24"/>
        </w:rPr>
        <w:t>’</w:t>
      </w:r>
      <w:r w:rsidRPr="0069735E">
        <w:rPr>
          <w:rFonts w:ascii="Times New Roman" w:hAnsi="Times New Roman" w:cs="Times New Roman"/>
          <w:kern w:val="24"/>
          <w:sz w:val="24"/>
          <w:szCs w:val="24"/>
        </w:rPr>
        <w:t xml:space="preserve"> comme intermédiation « non pure » et qualifie l’intermédiation de la double </w:t>
      </w:r>
      <w:r w:rsidR="004A4E16" w:rsidRPr="0069735E">
        <w:rPr>
          <w:rFonts w:ascii="Times New Roman" w:hAnsi="Times New Roman" w:cs="Times New Roman"/>
          <w:i/>
          <w:kern w:val="24"/>
          <w:sz w:val="24"/>
          <w:szCs w:val="24"/>
        </w:rPr>
        <w:t>moudaraba</w:t>
      </w:r>
      <w:r w:rsidRPr="0069735E">
        <w:rPr>
          <w:rFonts w:ascii="Times New Roman" w:hAnsi="Times New Roman" w:cs="Times New Roman"/>
          <w:kern w:val="24"/>
          <w:sz w:val="24"/>
          <w:szCs w:val="24"/>
        </w:rPr>
        <w:t xml:space="preserve"> (</w:t>
      </w:r>
      <w:r w:rsidRPr="0069735E">
        <w:rPr>
          <w:rFonts w:ascii="Times New Roman" w:hAnsi="Times New Roman" w:cs="Times New Roman"/>
          <w:i/>
          <w:iCs/>
          <w:kern w:val="24"/>
          <w:sz w:val="24"/>
          <w:szCs w:val="24"/>
        </w:rPr>
        <w:t>two-tier</w:t>
      </w:r>
      <w:r w:rsidRPr="0069735E">
        <w:rPr>
          <w:rFonts w:ascii="Times New Roman" w:hAnsi="Times New Roman" w:cs="Times New Roman"/>
          <w:kern w:val="24"/>
          <w:sz w:val="24"/>
          <w:szCs w:val="24"/>
        </w:rPr>
        <w:t xml:space="preserve"> </w:t>
      </w:r>
      <w:r w:rsidR="004A4E16" w:rsidRPr="0069735E">
        <w:rPr>
          <w:rFonts w:ascii="Times New Roman" w:hAnsi="Times New Roman" w:cs="Times New Roman"/>
          <w:i/>
          <w:kern w:val="24"/>
          <w:sz w:val="24"/>
          <w:szCs w:val="24"/>
        </w:rPr>
        <w:t>moudaraba</w:t>
      </w:r>
      <w:r w:rsidRPr="0069735E">
        <w:rPr>
          <w:rFonts w:ascii="Times New Roman" w:hAnsi="Times New Roman" w:cs="Times New Roman"/>
          <w:kern w:val="24"/>
          <w:sz w:val="24"/>
          <w:szCs w:val="24"/>
        </w:rPr>
        <w:t>) de la « pure intermédiation »</w:t>
      </w:r>
      <w:r w:rsidR="00A2511A" w:rsidRPr="0069735E">
        <w:rPr>
          <w:rStyle w:val="Appelnotedebasdep"/>
          <w:rFonts w:ascii="Times New Roman" w:hAnsi="Times New Roman"/>
          <w:kern w:val="24"/>
          <w:sz w:val="24"/>
          <w:szCs w:val="24"/>
        </w:rPr>
        <w:t xml:space="preserve"> </w:t>
      </w:r>
      <w:r w:rsidR="00A2511A" w:rsidRPr="0069735E">
        <w:rPr>
          <w:rStyle w:val="Appelnotedebasdep"/>
          <w:rFonts w:ascii="Times New Roman" w:hAnsi="Times New Roman"/>
          <w:kern w:val="24"/>
          <w:sz w:val="24"/>
          <w:szCs w:val="24"/>
        </w:rPr>
        <w:footnoteReference w:id="5"/>
      </w:r>
      <w:r w:rsidRPr="0069735E">
        <w:rPr>
          <w:rFonts w:ascii="Times New Roman" w:hAnsi="Times New Roman" w:cs="Times New Roman"/>
          <w:kern w:val="24"/>
          <w:sz w:val="24"/>
          <w:szCs w:val="24"/>
        </w:rPr>
        <w:t>.</w:t>
      </w:r>
      <w:r w:rsidR="005A54CF" w:rsidRPr="0069735E">
        <w:rPr>
          <w:rFonts w:ascii="Times New Roman" w:hAnsi="Times New Roman" w:cs="Times New Roman"/>
          <w:kern w:val="24"/>
          <w:sz w:val="24"/>
          <w:szCs w:val="24"/>
        </w:rPr>
        <w:t xml:space="preserve"> </w:t>
      </w:r>
      <w:r w:rsidRPr="0069735E">
        <w:rPr>
          <w:rFonts w:ascii="Times New Roman" w:hAnsi="Times New Roman" w:cs="Times New Roman"/>
          <w:kern w:val="24"/>
          <w:sz w:val="24"/>
          <w:szCs w:val="24"/>
        </w:rPr>
        <w:t>Cette dernière développe une double relation entre</w:t>
      </w:r>
      <w:r w:rsidR="005A4E2C" w:rsidRPr="0069735E">
        <w:rPr>
          <w:rFonts w:ascii="Times New Roman" w:hAnsi="Times New Roman" w:cs="Times New Roman"/>
          <w:kern w:val="24"/>
          <w:sz w:val="24"/>
          <w:szCs w:val="24"/>
        </w:rPr>
        <w:t>, d’une part,</w:t>
      </w:r>
      <w:r w:rsidRPr="0069735E">
        <w:rPr>
          <w:rFonts w:ascii="Times New Roman" w:hAnsi="Times New Roman" w:cs="Times New Roman"/>
          <w:kern w:val="24"/>
          <w:sz w:val="24"/>
          <w:szCs w:val="24"/>
        </w:rPr>
        <w:t xml:space="preserve"> la banque et le déposant et</w:t>
      </w:r>
      <w:r w:rsidR="005A4E2C" w:rsidRPr="0069735E">
        <w:rPr>
          <w:rFonts w:ascii="Times New Roman" w:hAnsi="Times New Roman" w:cs="Times New Roman"/>
          <w:kern w:val="24"/>
          <w:sz w:val="24"/>
          <w:szCs w:val="24"/>
        </w:rPr>
        <w:t>, d’autre part,</w:t>
      </w:r>
      <w:r w:rsidRPr="0069735E">
        <w:rPr>
          <w:rFonts w:ascii="Times New Roman" w:hAnsi="Times New Roman" w:cs="Times New Roman"/>
          <w:kern w:val="24"/>
          <w:sz w:val="24"/>
          <w:szCs w:val="24"/>
        </w:rPr>
        <w:t xml:space="preserve"> la banque </w:t>
      </w:r>
      <w:r w:rsidR="005A54CF" w:rsidRPr="0069735E">
        <w:rPr>
          <w:rFonts w:ascii="Times New Roman" w:hAnsi="Times New Roman" w:cs="Times New Roman"/>
          <w:kern w:val="24"/>
          <w:sz w:val="24"/>
          <w:szCs w:val="24"/>
        </w:rPr>
        <w:t>et l’entrepreneur.</w:t>
      </w:r>
    </w:p>
    <w:p w14:paraId="2A057F2D" w14:textId="30247276" w:rsidR="002760B2" w:rsidRPr="00017782" w:rsidRDefault="0069735E" w:rsidP="00621E73">
      <w:pPr>
        <w:pStyle w:val="Paragraphedeliste"/>
        <w:tabs>
          <w:tab w:val="left" w:pos="0"/>
          <w:tab w:val="left" w:pos="426"/>
          <w:tab w:val="left" w:pos="993"/>
        </w:tabs>
        <w:spacing w:before="120" w:after="120" w:line="300" w:lineRule="auto"/>
        <w:ind w:left="709"/>
        <w:contextualSpacing w:val="0"/>
        <w:outlineLvl w:val="1"/>
        <w:rPr>
          <w:rFonts w:ascii="Times New Roman" w:hAnsi="Times New Roman" w:cs="Times New Roman"/>
          <w:b/>
          <w:bCs/>
          <w:sz w:val="28"/>
          <w:szCs w:val="28"/>
        </w:rPr>
      </w:pPr>
      <w:bookmarkStart w:id="60" w:name="_Toc182298578"/>
      <w:bookmarkStart w:id="61" w:name="_Toc182309374"/>
      <w:r>
        <w:rPr>
          <w:rFonts w:ascii="Times New Roman" w:hAnsi="Times New Roman" w:cs="Times New Roman"/>
          <w:b/>
          <w:bCs/>
          <w:sz w:val="28"/>
          <w:szCs w:val="28"/>
        </w:rPr>
        <w:t xml:space="preserve">2- </w:t>
      </w:r>
      <w:r w:rsidR="008C51F1" w:rsidRPr="00017782">
        <w:rPr>
          <w:rFonts w:ascii="Times New Roman" w:hAnsi="Times New Roman" w:cs="Times New Roman"/>
          <w:b/>
          <w:bCs/>
          <w:sz w:val="28"/>
          <w:szCs w:val="28"/>
        </w:rPr>
        <w:t>Objet d’étude</w:t>
      </w:r>
      <w:bookmarkEnd w:id="60"/>
      <w:bookmarkEnd w:id="61"/>
    </w:p>
    <w:p w14:paraId="2FECB98A" w14:textId="04840F2F" w:rsidR="002760B2" w:rsidRPr="0069735E" w:rsidRDefault="002760B2" w:rsidP="003E460A">
      <w:pPr>
        <w:pStyle w:val="Paragraphedeliste"/>
        <w:tabs>
          <w:tab w:val="left" w:pos="0"/>
          <w:tab w:val="left" w:pos="993"/>
        </w:tabs>
        <w:spacing w:before="120" w:line="300" w:lineRule="auto"/>
        <w:ind w:left="0" w:firstLine="709"/>
        <w:contextualSpacing w:val="0"/>
        <w:rPr>
          <w:rFonts w:ascii="Times New Roman" w:hAnsi="Times New Roman" w:cs="Times New Roman"/>
          <w:sz w:val="24"/>
          <w:szCs w:val="24"/>
        </w:rPr>
      </w:pPr>
      <w:r w:rsidRPr="0069735E">
        <w:rPr>
          <w:rFonts w:ascii="Times New Roman" w:hAnsi="Times New Roman" w:cs="Times New Roman"/>
          <w:sz w:val="24"/>
          <w:szCs w:val="24"/>
        </w:rPr>
        <w:t xml:space="preserve">Le respect des exigences de la finance </w:t>
      </w:r>
      <w:r w:rsidR="00142F1B" w:rsidRPr="0069735E">
        <w:rPr>
          <w:rFonts w:ascii="Times New Roman" w:hAnsi="Times New Roman" w:cs="Times New Roman"/>
          <w:sz w:val="24"/>
          <w:szCs w:val="24"/>
        </w:rPr>
        <w:t>i</w:t>
      </w:r>
      <w:r w:rsidR="003773C6" w:rsidRPr="0069735E">
        <w:rPr>
          <w:rFonts w:ascii="Times New Roman" w:hAnsi="Times New Roman" w:cs="Times New Roman"/>
          <w:sz w:val="24"/>
          <w:szCs w:val="24"/>
        </w:rPr>
        <w:t>slamique</w:t>
      </w:r>
      <w:r w:rsidRPr="0069735E">
        <w:rPr>
          <w:rFonts w:ascii="Times New Roman" w:hAnsi="Times New Roman" w:cs="Times New Roman"/>
          <w:sz w:val="24"/>
          <w:szCs w:val="24"/>
        </w:rPr>
        <w:t xml:space="preserve"> introduit des modifications profondes dans l’intermédiation bancaire </w:t>
      </w:r>
      <w:r w:rsidR="00142F1B" w:rsidRPr="0069735E">
        <w:rPr>
          <w:rFonts w:ascii="Times New Roman" w:hAnsi="Times New Roman" w:cs="Times New Roman"/>
          <w:sz w:val="24"/>
          <w:szCs w:val="24"/>
        </w:rPr>
        <w:t>i</w:t>
      </w:r>
      <w:r w:rsidR="003773C6" w:rsidRPr="0069735E">
        <w:rPr>
          <w:rFonts w:ascii="Times New Roman" w:hAnsi="Times New Roman" w:cs="Times New Roman"/>
          <w:sz w:val="24"/>
          <w:szCs w:val="24"/>
        </w:rPr>
        <w:t>slamique</w:t>
      </w:r>
      <w:r w:rsidRPr="0069735E">
        <w:rPr>
          <w:rFonts w:ascii="Times New Roman" w:hAnsi="Times New Roman" w:cs="Times New Roman"/>
          <w:sz w:val="24"/>
          <w:szCs w:val="24"/>
        </w:rPr>
        <w:t xml:space="preserve"> comparée à celle conventionnelle. Les caractéristiques particulières de l’actif et du passif des banques </w:t>
      </w:r>
      <w:r w:rsidR="00142F1B" w:rsidRPr="0069735E">
        <w:rPr>
          <w:rFonts w:ascii="Times New Roman" w:hAnsi="Times New Roman" w:cs="Times New Roman"/>
          <w:sz w:val="24"/>
          <w:szCs w:val="24"/>
        </w:rPr>
        <w:t>i</w:t>
      </w:r>
      <w:r w:rsidR="003773C6" w:rsidRPr="0069735E">
        <w:rPr>
          <w:rFonts w:ascii="Times New Roman" w:hAnsi="Times New Roman" w:cs="Times New Roman"/>
          <w:sz w:val="24"/>
          <w:szCs w:val="24"/>
        </w:rPr>
        <w:t>slamique</w:t>
      </w:r>
      <w:r w:rsidRPr="0069735E">
        <w:rPr>
          <w:rFonts w:ascii="Times New Roman" w:hAnsi="Times New Roman" w:cs="Times New Roman"/>
          <w:sz w:val="24"/>
          <w:szCs w:val="24"/>
        </w:rPr>
        <w:t>s nous mène</w:t>
      </w:r>
      <w:r w:rsidR="00142F1B" w:rsidRPr="0069735E">
        <w:rPr>
          <w:rFonts w:ascii="Times New Roman" w:hAnsi="Times New Roman" w:cs="Times New Roman"/>
          <w:sz w:val="24"/>
          <w:szCs w:val="24"/>
        </w:rPr>
        <w:t>nt</w:t>
      </w:r>
      <w:r w:rsidRPr="0069735E">
        <w:rPr>
          <w:rFonts w:ascii="Times New Roman" w:hAnsi="Times New Roman" w:cs="Times New Roman"/>
          <w:sz w:val="24"/>
          <w:szCs w:val="24"/>
        </w:rPr>
        <w:t xml:space="preserve"> à poser des interrogations sur l’applicabilité des enseignements théoriques de finance aux </w:t>
      </w:r>
      <w:r w:rsidR="0069735E">
        <w:rPr>
          <w:rFonts w:ascii="Times New Roman" w:hAnsi="Times New Roman" w:cs="Times New Roman"/>
          <w:sz w:val="24"/>
          <w:szCs w:val="24"/>
        </w:rPr>
        <w:t>BI</w:t>
      </w:r>
      <w:r w:rsidRPr="0069735E">
        <w:rPr>
          <w:rFonts w:ascii="Times New Roman" w:hAnsi="Times New Roman" w:cs="Times New Roman"/>
          <w:sz w:val="24"/>
          <w:szCs w:val="24"/>
        </w:rPr>
        <w:t>.</w:t>
      </w:r>
    </w:p>
    <w:p w14:paraId="2796B4F5" w14:textId="77777777" w:rsidR="002760B2" w:rsidRPr="0069735E" w:rsidRDefault="002760B2" w:rsidP="002D5E07">
      <w:pPr>
        <w:tabs>
          <w:tab w:val="left" w:pos="0"/>
        </w:tabs>
        <w:spacing w:before="120" w:line="300" w:lineRule="auto"/>
        <w:ind w:firstLine="709"/>
        <w:rPr>
          <w:rFonts w:ascii="Times New Roman" w:hAnsi="Times New Roman" w:cs="Times New Roman"/>
          <w:sz w:val="24"/>
          <w:szCs w:val="24"/>
        </w:rPr>
      </w:pPr>
      <w:r w:rsidRPr="0069735E">
        <w:rPr>
          <w:rFonts w:ascii="Times New Roman" w:hAnsi="Times New Roman" w:cs="Times New Roman"/>
          <w:sz w:val="24"/>
          <w:szCs w:val="24"/>
        </w:rPr>
        <w:t xml:space="preserve">L’intérêt de cette recherche réside dans le fait que les BI ont vraiment besoin de diversifier leurs modes de financement en intégrant ceux qui sont basés sur le principe PLS afin de promouvoir leur intermédiation financière et se réorienter vers </w:t>
      </w:r>
      <w:r w:rsidR="002D5E07" w:rsidRPr="0069735E">
        <w:rPr>
          <w:rFonts w:ascii="Times New Roman" w:hAnsi="Times New Roman" w:cs="Times New Roman"/>
          <w:sz w:val="24"/>
          <w:szCs w:val="24"/>
        </w:rPr>
        <w:t>leurs</w:t>
      </w:r>
      <w:r w:rsidRPr="0069735E">
        <w:rPr>
          <w:rFonts w:ascii="Times New Roman" w:hAnsi="Times New Roman" w:cs="Times New Roman"/>
          <w:sz w:val="24"/>
          <w:szCs w:val="24"/>
        </w:rPr>
        <w:t xml:space="preserve"> v</w:t>
      </w:r>
      <w:r w:rsidR="002D5E07" w:rsidRPr="0069735E">
        <w:rPr>
          <w:rFonts w:ascii="Times New Roman" w:hAnsi="Times New Roman" w:cs="Times New Roman"/>
          <w:sz w:val="24"/>
          <w:szCs w:val="24"/>
        </w:rPr>
        <w:t>é</w:t>
      </w:r>
      <w:r w:rsidRPr="0069735E">
        <w:rPr>
          <w:rFonts w:ascii="Times New Roman" w:hAnsi="Times New Roman" w:cs="Times New Roman"/>
          <w:sz w:val="24"/>
          <w:szCs w:val="24"/>
        </w:rPr>
        <w:t>r</w:t>
      </w:r>
      <w:r w:rsidR="002D5E07" w:rsidRPr="0069735E">
        <w:rPr>
          <w:rFonts w:ascii="Times New Roman" w:hAnsi="Times New Roman" w:cs="Times New Roman"/>
          <w:sz w:val="24"/>
          <w:szCs w:val="24"/>
        </w:rPr>
        <w:t>itables finalités</w:t>
      </w:r>
      <w:r w:rsidRPr="0069735E">
        <w:rPr>
          <w:rFonts w:ascii="Times New Roman" w:hAnsi="Times New Roman" w:cs="Times New Roman"/>
          <w:sz w:val="24"/>
          <w:szCs w:val="24"/>
        </w:rPr>
        <w:t>.</w:t>
      </w:r>
      <w:r w:rsidR="00D4581F" w:rsidRPr="0069735E">
        <w:rPr>
          <w:rFonts w:ascii="Times New Roman" w:hAnsi="Times New Roman" w:cs="Times New Roman"/>
          <w:sz w:val="24"/>
          <w:szCs w:val="24"/>
        </w:rPr>
        <w:t xml:space="preserve"> </w:t>
      </w:r>
      <w:r w:rsidR="00E41210" w:rsidRPr="0069735E">
        <w:rPr>
          <w:rFonts w:ascii="Times New Roman" w:hAnsi="Times New Roman" w:cs="Times New Roman"/>
          <w:sz w:val="24"/>
          <w:szCs w:val="24"/>
        </w:rPr>
        <w:t>Ainsi, le fait de connaî</w:t>
      </w:r>
      <w:r w:rsidRPr="0069735E">
        <w:rPr>
          <w:rFonts w:ascii="Times New Roman" w:hAnsi="Times New Roman" w:cs="Times New Roman"/>
          <w:sz w:val="24"/>
          <w:szCs w:val="24"/>
        </w:rPr>
        <w:t>tre les différents dysfonctionnements en matière d’application de ces modes de financement peut sensibiliser les organes de gestion des BI sur la nécessité de refaçonner leur structure financière de manière bénéfique pour les clients et les banques.</w:t>
      </w:r>
    </w:p>
    <w:p w14:paraId="5BA8DBF7" w14:textId="2E933977" w:rsidR="004458CD" w:rsidRPr="0069735E" w:rsidRDefault="002760B2" w:rsidP="002D5E07">
      <w:pPr>
        <w:pStyle w:val="Retraitcorpsdetexte"/>
        <w:spacing w:before="120" w:line="300" w:lineRule="auto"/>
      </w:pPr>
      <w:r w:rsidRPr="0069735E">
        <w:t>L’objectif de notre recherche est d’étudier les différents risques financiers liés aux modes de financement participatif et de proposer des solutions qui peuvent éliminer ces risques dans le but d’encourager les BI à recourir à ces techniques de financement</w:t>
      </w:r>
      <w:r w:rsidR="00C55745" w:rsidRPr="0069735E">
        <w:t>.</w:t>
      </w:r>
      <w:r w:rsidR="002D5E07" w:rsidRPr="0069735E">
        <w:t xml:space="preserve"> </w:t>
      </w:r>
      <w:r w:rsidRPr="0069735E">
        <w:t>Le point de départ de notre réflexion est d’examiner la différence (si elle existe) entre la théorie et l</w:t>
      </w:r>
      <w:r w:rsidR="008C4EEC" w:rsidRPr="0069735E">
        <w:t xml:space="preserve">a pratique </w:t>
      </w:r>
      <w:r w:rsidR="004458CD" w:rsidRPr="0069735E">
        <w:t>de la</w:t>
      </w:r>
      <w:r w:rsidR="008C4EEC" w:rsidRPr="0069735E">
        <w:t xml:space="preserve"> </w:t>
      </w:r>
      <w:r w:rsidR="005A4E2C" w:rsidRPr="0069735E">
        <w:t>banque</w:t>
      </w:r>
      <w:r w:rsidR="008C4EEC" w:rsidRPr="0069735E">
        <w:t xml:space="preserve"> </w:t>
      </w:r>
      <w:r w:rsidR="005A4E2C" w:rsidRPr="0069735E">
        <w:t>i</w:t>
      </w:r>
      <w:r w:rsidR="003773C6" w:rsidRPr="0069735E">
        <w:t>slamique</w:t>
      </w:r>
      <w:r w:rsidR="008C4EEC" w:rsidRPr="0069735E">
        <w:t xml:space="preserve"> </w:t>
      </w:r>
      <w:r w:rsidR="004458CD" w:rsidRPr="0069735E">
        <w:t>dans le but</w:t>
      </w:r>
      <w:r w:rsidR="00621E73">
        <w:t xml:space="preserve"> de</w:t>
      </w:r>
      <w:r w:rsidR="004458CD" w:rsidRPr="0069735E">
        <w:t> :</w:t>
      </w:r>
    </w:p>
    <w:p w14:paraId="780B7F13" w14:textId="70B2FE99" w:rsidR="004458CD" w:rsidRPr="00621E73" w:rsidRDefault="004458CD" w:rsidP="00CB0FF1">
      <w:pPr>
        <w:pStyle w:val="Paragraphedeliste"/>
        <w:numPr>
          <w:ilvl w:val="0"/>
          <w:numId w:val="97"/>
        </w:numPr>
        <w:tabs>
          <w:tab w:val="left" w:pos="0"/>
        </w:tabs>
        <w:spacing w:line="300" w:lineRule="auto"/>
        <w:ind w:left="1135" w:hanging="284"/>
        <w:contextualSpacing w:val="0"/>
        <w:rPr>
          <w:rFonts w:ascii="Times New Roman" w:hAnsi="Times New Roman" w:cs="Times New Roman"/>
          <w:spacing w:val="-4"/>
          <w:kern w:val="24"/>
          <w:sz w:val="24"/>
          <w:szCs w:val="24"/>
        </w:rPr>
      </w:pPr>
      <w:r w:rsidRPr="00621E73">
        <w:rPr>
          <w:rFonts w:ascii="Times New Roman" w:hAnsi="Times New Roman" w:cs="Times New Roman"/>
          <w:spacing w:val="-4"/>
          <w:kern w:val="24"/>
          <w:sz w:val="24"/>
          <w:szCs w:val="24"/>
        </w:rPr>
        <w:t>décrypter</w:t>
      </w:r>
      <w:r w:rsidR="002760B2" w:rsidRPr="00621E73">
        <w:rPr>
          <w:rFonts w:ascii="Times New Roman" w:hAnsi="Times New Roman" w:cs="Times New Roman"/>
          <w:spacing w:val="-4"/>
          <w:kern w:val="24"/>
          <w:sz w:val="24"/>
          <w:szCs w:val="24"/>
        </w:rPr>
        <w:t xml:space="preserve"> les causes qui entravent les BI d’utiliser les pr</w:t>
      </w:r>
      <w:r w:rsidRPr="00621E73">
        <w:rPr>
          <w:rFonts w:ascii="Times New Roman" w:hAnsi="Times New Roman" w:cs="Times New Roman"/>
          <w:spacing w:val="-4"/>
          <w:kern w:val="24"/>
          <w:sz w:val="24"/>
          <w:szCs w:val="24"/>
        </w:rPr>
        <w:t>oduits financiers participatifs,</w:t>
      </w:r>
    </w:p>
    <w:p w14:paraId="6C16EEC4" w14:textId="701F3BA5" w:rsidR="002760B2" w:rsidRPr="0069735E" w:rsidRDefault="00BE3320" w:rsidP="00CB0FF1">
      <w:pPr>
        <w:pStyle w:val="Paragraphedeliste"/>
        <w:numPr>
          <w:ilvl w:val="0"/>
          <w:numId w:val="97"/>
        </w:numPr>
        <w:tabs>
          <w:tab w:val="left" w:pos="0"/>
        </w:tabs>
        <w:spacing w:line="300" w:lineRule="auto"/>
        <w:ind w:left="1135" w:hanging="284"/>
        <w:contextualSpacing w:val="0"/>
        <w:rPr>
          <w:rFonts w:ascii="Times New Roman" w:hAnsi="Times New Roman" w:cs="Times New Roman"/>
          <w:sz w:val="24"/>
          <w:szCs w:val="24"/>
        </w:rPr>
      </w:pPr>
      <w:r w:rsidRPr="0069735E">
        <w:rPr>
          <w:rFonts w:ascii="Times New Roman" w:hAnsi="Times New Roman" w:cs="Times New Roman"/>
          <w:sz w:val="24"/>
          <w:szCs w:val="24"/>
        </w:rPr>
        <w:t>arriver</w:t>
      </w:r>
      <w:r w:rsidR="002760B2" w:rsidRPr="0069735E">
        <w:rPr>
          <w:rFonts w:ascii="Times New Roman" w:hAnsi="Times New Roman" w:cs="Times New Roman"/>
          <w:sz w:val="24"/>
          <w:szCs w:val="24"/>
        </w:rPr>
        <w:t xml:space="preserve"> à déceler les meilleures techniques de gestion de risques susceptibles d’encourager les BI à recourir aux modes de financement </w:t>
      </w:r>
      <w:r w:rsidR="005A4E2C" w:rsidRPr="0069735E">
        <w:rPr>
          <w:rFonts w:ascii="Times New Roman" w:hAnsi="Times New Roman" w:cs="Times New Roman"/>
          <w:sz w:val="24"/>
          <w:szCs w:val="24"/>
        </w:rPr>
        <w:t>participatif</w:t>
      </w:r>
      <w:r w:rsidR="002760B2" w:rsidRPr="0069735E">
        <w:rPr>
          <w:rFonts w:ascii="Times New Roman" w:hAnsi="Times New Roman" w:cs="Times New Roman"/>
          <w:sz w:val="24"/>
          <w:szCs w:val="24"/>
        </w:rPr>
        <w:t>.</w:t>
      </w:r>
    </w:p>
    <w:p w14:paraId="46D2C093" w14:textId="77777777" w:rsidR="002760B2" w:rsidRPr="0069735E" w:rsidRDefault="002760B2" w:rsidP="00C229B9">
      <w:pPr>
        <w:tabs>
          <w:tab w:val="left" w:pos="0"/>
        </w:tabs>
        <w:spacing w:before="120" w:line="300" w:lineRule="auto"/>
        <w:ind w:firstLine="709"/>
        <w:rPr>
          <w:rFonts w:ascii="Times New Roman" w:hAnsi="Times New Roman" w:cs="Times New Roman"/>
          <w:sz w:val="24"/>
          <w:szCs w:val="24"/>
        </w:rPr>
      </w:pPr>
      <w:r w:rsidRPr="0069735E">
        <w:rPr>
          <w:rFonts w:ascii="Times New Roman" w:hAnsi="Times New Roman" w:cs="Times New Roman"/>
          <w:sz w:val="24"/>
          <w:szCs w:val="24"/>
        </w:rPr>
        <w:lastRenderedPageBreak/>
        <w:t>Notre motivation quant au choix de cette thématique de recherche trouve son ori</w:t>
      </w:r>
      <w:r w:rsidR="00793547" w:rsidRPr="0069735E">
        <w:rPr>
          <w:rFonts w:ascii="Times New Roman" w:hAnsi="Times New Roman" w:cs="Times New Roman"/>
          <w:sz w:val="24"/>
          <w:szCs w:val="24"/>
        </w:rPr>
        <w:t>gine dans la nécessité d’une réorientation</w:t>
      </w:r>
      <w:r w:rsidRPr="0069735E">
        <w:rPr>
          <w:rFonts w:ascii="Times New Roman" w:hAnsi="Times New Roman" w:cs="Times New Roman"/>
          <w:sz w:val="24"/>
          <w:szCs w:val="24"/>
        </w:rPr>
        <w:t xml:space="preserve"> de la structure financière des banques </w:t>
      </w:r>
      <w:r w:rsidR="00C229B9" w:rsidRPr="0069735E">
        <w:rPr>
          <w:rFonts w:ascii="Times New Roman" w:hAnsi="Times New Roman" w:cs="Times New Roman"/>
          <w:sz w:val="24"/>
          <w:szCs w:val="24"/>
        </w:rPr>
        <w:t>i</w:t>
      </w:r>
      <w:r w:rsidR="003773C6" w:rsidRPr="0069735E">
        <w:rPr>
          <w:rFonts w:ascii="Times New Roman" w:hAnsi="Times New Roman" w:cs="Times New Roman"/>
          <w:sz w:val="24"/>
          <w:szCs w:val="24"/>
        </w:rPr>
        <w:t>slamique</w:t>
      </w:r>
      <w:r w:rsidRPr="0069735E">
        <w:rPr>
          <w:rFonts w:ascii="Times New Roman" w:hAnsi="Times New Roman" w:cs="Times New Roman"/>
          <w:sz w:val="24"/>
          <w:szCs w:val="24"/>
        </w:rPr>
        <w:t>s qui se sont éloignées des modes de participation et s</w:t>
      </w:r>
      <w:r w:rsidR="002C7898" w:rsidRPr="0069735E">
        <w:rPr>
          <w:rFonts w:ascii="Times New Roman" w:hAnsi="Times New Roman" w:cs="Times New Roman"/>
          <w:sz w:val="24"/>
          <w:szCs w:val="24"/>
        </w:rPr>
        <w:t>e sont laissées prendre par les</w:t>
      </w:r>
      <w:r w:rsidR="00C229B9" w:rsidRPr="0069735E">
        <w:rPr>
          <w:rFonts w:ascii="Times New Roman" w:hAnsi="Times New Roman" w:cs="Times New Roman"/>
          <w:sz w:val="24"/>
          <w:szCs w:val="24"/>
        </w:rPr>
        <w:t xml:space="preserve"> pratiques financières à</w:t>
      </w:r>
      <w:r w:rsidRPr="0069735E">
        <w:rPr>
          <w:rFonts w:ascii="Times New Roman" w:hAnsi="Times New Roman" w:cs="Times New Roman"/>
          <w:sz w:val="24"/>
          <w:szCs w:val="24"/>
        </w:rPr>
        <w:t xml:space="preserve"> risques limités. D’ailleurs</w:t>
      </w:r>
      <w:r w:rsidR="00E41210" w:rsidRPr="0069735E">
        <w:rPr>
          <w:rFonts w:ascii="Times New Roman" w:hAnsi="Times New Roman" w:cs="Times New Roman"/>
          <w:sz w:val="24"/>
          <w:szCs w:val="24"/>
        </w:rPr>
        <w:t>,</w:t>
      </w:r>
      <w:r w:rsidRPr="0069735E">
        <w:rPr>
          <w:rFonts w:ascii="Times New Roman" w:hAnsi="Times New Roman" w:cs="Times New Roman"/>
          <w:sz w:val="24"/>
          <w:szCs w:val="24"/>
        </w:rPr>
        <w:t xml:space="preserve"> ce travail de recherche peut aider à améliorer les pratiques bancaires </w:t>
      </w:r>
      <w:r w:rsidR="00C229B9" w:rsidRPr="0069735E">
        <w:rPr>
          <w:rFonts w:ascii="Times New Roman" w:hAnsi="Times New Roman" w:cs="Times New Roman"/>
          <w:sz w:val="24"/>
          <w:szCs w:val="24"/>
        </w:rPr>
        <w:t>i</w:t>
      </w:r>
      <w:r w:rsidR="003773C6" w:rsidRPr="0069735E">
        <w:rPr>
          <w:rFonts w:ascii="Times New Roman" w:hAnsi="Times New Roman" w:cs="Times New Roman"/>
          <w:sz w:val="24"/>
          <w:szCs w:val="24"/>
        </w:rPr>
        <w:t>slamique</w:t>
      </w:r>
      <w:r w:rsidR="00793547" w:rsidRPr="0069735E">
        <w:rPr>
          <w:rFonts w:ascii="Times New Roman" w:hAnsi="Times New Roman" w:cs="Times New Roman"/>
          <w:sz w:val="24"/>
          <w:szCs w:val="24"/>
        </w:rPr>
        <w:t>s en cern</w:t>
      </w:r>
      <w:r w:rsidRPr="0069735E">
        <w:rPr>
          <w:rFonts w:ascii="Times New Roman" w:hAnsi="Times New Roman" w:cs="Times New Roman"/>
          <w:sz w:val="24"/>
          <w:szCs w:val="24"/>
        </w:rPr>
        <w:t xml:space="preserve">ant les </w:t>
      </w:r>
      <w:r w:rsidR="00793547" w:rsidRPr="0069735E">
        <w:rPr>
          <w:rFonts w:ascii="Times New Roman" w:hAnsi="Times New Roman" w:cs="Times New Roman"/>
          <w:sz w:val="24"/>
          <w:szCs w:val="24"/>
        </w:rPr>
        <w:t>forces et faiblesses</w:t>
      </w:r>
      <w:r w:rsidRPr="0069735E">
        <w:rPr>
          <w:rFonts w:ascii="Times New Roman" w:hAnsi="Times New Roman" w:cs="Times New Roman"/>
          <w:sz w:val="24"/>
          <w:szCs w:val="24"/>
        </w:rPr>
        <w:t xml:space="preserve"> des modes </w:t>
      </w:r>
      <w:r w:rsidR="009A06E7" w:rsidRPr="0069735E">
        <w:rPr>
          <w:rFonts w:ascii="Times New Roman" w:hAnsi="Times New Roman" w:cs="Times New Roman"/>
          <w:sz w:val="24"/>
          <w:szCs w:val="24"/>
        </w:rPr>
        <w:t xml:space="preserve">de </w:t>
      </w:r>
      <w:r w:rsidRPr="0069735E">
        <w:rPr>
          <w:rFonts w:ascii="Times New Roman" w:hAnsi="Times New Roman" w:cs="Times New Roman"/>
          <w:sz w:val="24"/>
          <w:szCs w:val="24"/>
        </w:rPr>
        <w:t>financement participatif.</w:t>
      </w:r>
    </w:p>
    <w:p w14:paraId="1E32AC7C" w14:textId="2CF088A6" w:rsidR="002760B2" w:rsidRPr="00621E73" w:rsidRDefault="00621E73" w:rsidP="00621E73">
      <w:pPr>
        <w:tabs>
          <w:tab w:val="left" w:pos="0"/>
          <w:tab w:val="left" w:pos="426"/>
          <w:tab w:val="left" w:pos="993"/>
        </w:tabs>
        <w:spacing w:before="120" w:after="120" w:line="300" w:lineRule="auto"/>
        <w:ind w:firstLine="709"/>
        <w:outlineLvl w:val="1"/>
        <w:rPr>
          <w:rFonts w:ascii="Times New Roman" w:hAnsi="Times New Roman" w:cs="Times New Roman"/>
          <w:b/>
          <w:bCs/>
          <w:sz w:val="28"/>
          <w:szCs w:val="28"/>
        </w:rPr>
      </w:pPr>
      <w:bookmarkStart w:id="62" w:name="_Toc182298579"/>
      <w:bookmarkStart w:id="63" w:name="_Toc182309375"/>
      <w:r>
        <w:rPr>
          <w:rFonts w:ascii="Times New Roman" w:hAnsi="Times New Roman" w:cs="Times New Roman"/>
          <w:b/>
          <w:bCs/>
          <w:sz w:val="28"/>
          <w:szCs w:val="28"/>
        </w:rPr>
        <w:t xml:space="preserve">3- </w:t>
      </w:r>
      <w:r w:rsidR="009C1166" w:rsidRPr="00621E73">
        <w:rPr>
          <w:rFonts w:ascii="Times New Roman" w:hAnsi="Times New Roman" w:cs="Times New Roman"/>
          <w:b/>
          <w:bCs/>
          <w:sz w:val="28"/>
          <w:szCs w:val="28"/>
        </w:rPr>
        <w:t>Etat de l’art</w:t>
      </w:r>
      <w:bookmarkEnd w:id="62"/>
      <w:bookmarkEnd w:id="63"/>
    </w:p>
    <w:p w14:paraId="190FC5CD" w14:textId="77777777" w:rsidR="007D307D" w:rsidRPr="00621E73" w:rsidRDefault="002760B2" w:rsidP="003E460A">
      <w:pPr>
        <w:tabs>
          <w:tab w:val="left" w:pos="0"/>
        </w:tabs>
        <w:spacing w:before="120" w:line="300" w:lineRule="auto"/>
        <w:ind w:firstLine="709"/>
        <w:rPr>
          <w:rFonts w:ascii="Times New Roman" w:hAnsi="Times New Roman" w:cs="Times New Roman"/>
          <w:kern w:val="2"/>
          <w:sz w:val="24"/>
          <w:szCs w:val="24"/>
        </w:rPr>
      </w:pPr>
      <w:r w:rsidRPr="00621E73">
        <w:rPr>
          <w:rFonts w:ascii="Times New Roman" w:hAnsi="Times New Roman" w:cs="Times New Roman"/>
          <w:kern w:val="2"/>
          <w:sz w:val="24"/>
          <w:szCs w:val="24"/>
        </w:rPr>
        <w:t>Plusieurs études ont été effectuées pour étudier les obstacles qui empêchent les BI d’appliquer le principe PLS dans</w:t>
      </w:r>
      <w:r w:rsidR="00E41210" w:rsidRPr="00621E73">
        <w:rPr>
          <w:rFonts w:ascii="Times New Roman" w:hAnsi="Times New Roman" w:cs="Times New Roman"/>
          <w:kern w:val="2"/>
          <w:sz w:val="24"/>
          <w:szCs w:val="24"/>
        </w:rPr>
        <w:t xml:space="preserve"> leur intermédiation financière</w:t>
      </w:r>
      <w:r w:rsidRPr="00621E73">
        <w:rPr>
          <w:rFonts w:ascii="Times New Roman" w:hAnsi="Times New Roman" w:cs="Times New Roman"/>
          <w:kern w:val="2"/>
          <w:sz w:val="24"/>
          <w:szCs w:val="24"/>
        </w:rPr>
        <w:t xml:space="preserve"> et</w:t>
      </w:r>
      <w:r w:rsidR="00E41210" w:rsidRPr="00621E73">
        <w:rPr>
          <w:rFonts w:ascii="Times New Roman" w:hAnsi="Times New Roman" w:cs="Times New Roman"/>
          <w:kern w:val="2"/>
          <w:sz w:val="24"/>
          <w:szCs w:val="24"/>
        </w:rPr>
        <w:t>,</w:t>
      </w:r>
      <w:r w:rsidRPr="00621E73">
        <w:rPr>
          <w:rFonts w:ascii="Times New Roman" w:hAnsi="Times New Roman" w:cs="Times New Roman"/>
          <w:kern w:val="2"/>
          <w:sz w:val="24"/>
          <w:szCs w:val="24"/>
        </w:rPr>
        <w:t xml:space="preserve"> ont essayé de pr</w:t>
      </w:r>
      <w:r w:rsidR="007D307D" w:rsidRPr="00621E73">
        <w:rPr>
          <w:rFonts w:ascii="Times New Roman" w:hAnsi="Times New Roman" w:cs="Times New Roman"/>
          <w:kern w:val="2"/>
          <w:sz w:val="24"/>
          <w:szCs w:val="24"/>
        </w:rPr>
        <w:t>oposer des solutions possibles.</w:t>
      </w:r>
    </w:p>
    <w:p w14:paraId="0D23F828" w14:textId="77777777" w:rsidR="005262FB" w:rsidRPr="00621E73" w:rsidRDefault="005262FB" w:rsidP="00CB0FF1">
      <w:pPr>
        <w:pStyle w:val="Paragraphedeliste"/>
        <w:numPr>
          <w:ilvl w:val="0"/>
          <w:numId w:val="99"/>
        </w:numPr>
        <w:tabs>
          <w:tab w:val="left" w:pos="0"/>
        </w:tabs>
        <w:spacing w:before="120" w:line="300" w:lineRule="auto"/>
        <w:ind w:left="1135"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lang w:bidi="ar-DZ"/>
        </w:rPr>
        <w:t>Déjà nous citons la</w:t>
      </w:r>
      <w:r w:rsidRPr="00621E73">
        <w:rPr>
          <w:rFonts w:ascii="Times New Roman" w:hAnsi="Times New Roman" w:cs="Times New Roman"/>
          <w:kern w:val="2"/>
          <w:sz w:val="24"/>
          <w:szCs w:val="24"/>
        </w:rPr>
        <w:t xml:space="preserve"> thèse élaborée par </w:t>
      </w:r>
      <w:r w:rsidRPr="00621E73">
        <w:rPr>
          <w:rFonts w:ascii="Times New Roman" w:hAnsi="Times New Roman" w:cs="Times New Roman"/>
          <w:smallCaps/>
          <w:kern w:val="2"/>
          <w:sz w:val="24"/>
          <w:szCs w:val="24"/>
        </w:rPr>
        <w:t>Eid</w:t>
      </w:r>
      <w:r w:rsidRPr="00621E73">
        <w:rPr>
          <w:rFonts w:ascii="Times New Roman" w:hAnsi="Times New Roman" w:cs="Times New Roman"/>
          <w:kern w:val="2"/>
          <w:sz w:val="24"/>
          <w:szCs w:val="24"/>
        </w:rPr>
        <w:t xml:space="preserve"> (2011) sous le titre : </w:t>
      </w:r>
      <w:r w:rsidRPr="00621E73">
        <w:rPr>
          <w:rFonts w:ascii="Times New Roman" w:hAnsi="Times New Roman" w:cs="Times New Roman"/>
          <w:b/>
          <w:bCs/>
          <w:kern w:val="2"/>
          <w:sz w:val="24"/>
          <w:szCs w:val="24"/>
        </w:rPr>
        <w:t>"</w:t>
      </w:r>
      <w:r w:rsidRPr="00621E73">
        <w:rPr>
          <w:rFonts w:asciiTheme="majorBidi" w:hAnsiTheme="majorBidi" w:cstheme="majorBidi"/>
          <w:b/>
          <w:bCs/>
          <w:kern w:val="2"/>
          <w:sz w:val="24"/>
          <w:szCs w:val="24"/>
        </w:rPr>
        <w:t>Mapping the Risks and Risk Management Practices in Islamic Banking</w:t>
      </w:r>
      <w:r w:rsidRPr="00621E73">
        <w:rPr>
          <w:rFonts w:ascii="Times New Roman" w:hAnsi="Times New Roman" w:cs="Times New Roman"/>
          <w:b/>
          <w:bCs/>
          <w:kern w:val="2"/>
          <w:sz w:val="24"/>
          <w:szCs w:val="24"/>
        </w:rPr>
        <w:t>"</w:t>
      </w:r>
      <w:r w:rsidR="00B6591D" w:rsidRPr="00621E73">
        <w:rPr>
          <w:rStyle w:val="Appelnotedebasdep"/>
          <w:rFonts w:ascii="Times New Roman" w:hAnsi="Times New Roman"/>
          <w:b/>
          <w:bCs/>
          <w:kern w:val="2"/>
          <w:sz w:val="24"/>
          <w:szCs w:val="24"/>
        </w:rPr>
        <w:footnoteReference w:id="6"/>
      </w:r>
      <w:r w:rsidRPr="00621E73">
        <w:rPr>
          <w:rFonts w:asciiTheme="majorBidi" w:hAnsiTheme="majorBidi" w:cstheme="majorBidi"/>
          <w:kern w:val="2"/>
          <w:sz w:val="24"/>
          <w:szCs w:val="24"/>
        </w:rPr>
        <w:t xml:space="preserve">. Il </w:t>
      </w:r>
      <w:r w:rsidRPr="00621E73">
        <w:rPr>
          <w:rFonts w:ascii="Times New Roman" w:hAnsi="Times New Roman" w:cs="Times New Roman"/>
          <w:kern w:val="2"/>
          <w:sz w:val="24"/>
          <w:szCs w:val="24"/>
        </w:rPr>
        <w:t>a exploré et analysé les pratiques de gestion des risques dans le secteur bancaire islamique, à travers les perceptions des praticiens financiers islamiques. Cette recherche cartographie les opinions et attitudes vis-à-vis du risque et, localise les pratiques liées à la gestion des risques en fournissant un aperçu actualisé des pratiques actuelles des BI. L’échantillon de cette étude comprenait 72 questionnaires distribués à travers 18 pays.</w:t>
      </w:r>
    </w:p>
    <w:p w14:paraId="37F3D03A" w14:textId="69FB2F99" w:rsidR="005262FB" w:rsidRPr="00621E73" w:rsidRDefault="005262FB" w:rsidP="005262FB">
      <w:pPr>
        <w:pStyle w:val="Retraitcorpsdetexte2"/>
        <w:spacing w:before="120" w:after="0" w:line="300" w:lineRule="auto"/>
        <w:ind w:left="1134"/>
        <w:rPr>
          <w:rFonts w:ascii="Times New Roman" w:hAnsi="Times New Roman" w:cs="Times New Roman"/>
          <w:kern w:val="2"/>
          <w:sz w:val="24"/>
          <w:szCs w:val="24"/>
        </w:rPr>
      </w:pPr>
      <w:r w:rsidRPr="00621E73">
        <w:rPr>
          <w:rFonts w:ascii="Times New Roman" w:hAnsi="Times New Roman" w:cs="Times New Roman"/>
          <w:kern w:val="2"/>
          <w:sz w:val="24"/>
          <w:szCs w:val="24"/>
        </w:rPr>
        <w:t xml:space="preserve">Les résultats de cette étude ont identifié des faiblesses en matière de gestion des risques au sein des BI. </w:t>
      </w:r>
      <w:r w:rsidR="0069735E" w:rsidRPr="00621E73">
        <w:rPr>
          <w:rFonts w:ascii="Times New Roman" w:hAnsi="Times New Roman" w:cs="Times New Roman"/>
          <w:kern w:val="2"/>
          <w:sz w:val="24"/>
          <w:szCs w:val="24"/>
        </w:rPr>
        <w:t>Elle</w:t>
      </w:r>
      <w:r w:rsidRPr="00621E73">
        <w:rPr>
          <w:rFonts w:ascii="Times New Roman" w:hAnsi="Times New Roman" w:cs="Times New Roman"/>
          <w:kern w:val="2"/>
          <w:sz w:val="24"/>
          <w:szCs w:val="24"/>
        </w:rPr>
        <w:t xml:space="preserve"> a également montré que la majorité des répondants considèrent le risque de liquidité, le risque commercial déplacé et le risque de concentration</w:t>
      </w:r>
      <w:r w:rsidR="00DB4DAB" w:rsidRPr="00621E73">
        <w:rPr>
          <w:rStyle w:val="Appelnotedebasdep"/>
          <w:rFonts w:ascii="Times New Roman" w:hAnsi="Times New Roman"/>
          <w:kern w:val="2"/>
          <w:sz w:val="24"/>
          <w:szCs w:val="24"/>
        </w:rPr>
        <w:footnoteReference w:id="7"/>
      </w:r>
      <w:r w:rsidRPr="00621E73">
        <w:rPr>
          <w:rFonts w:ascii="Times New Roman" w:hAnsi="Times New Roman" w:cs="Times New Roman"/>
          <w:kern w:val="2"/>
          <w:sz w:val="24"/>
          <w:szCs w:val="24"/>
        </w:rPr>
        <w:t xml:space="preserve"> comme les principaux risques auxquels sont confrontées les banques islamiques. Les résultats montraient également que, bien que les banques islamiques aient fait preuve de résilience, elles ne sont pas à l’abri des chocs financiers.</w:t>
      </w:r>
    </w:p>
    <w:p w14:paraId="1F8815AB" w14:textId="02DB6D05" w:rsidR="005262FB" w:rsidRPr="00621E73" w:rsidRDefault="005262FB" w:rsidP="00CB0FF1">
      <w:pPr>
        <w:pStyle w:val="Paragraphedeliste"/>
        <w:numPr>
          <w:ilvl w:val="0"/>
          <w:numId w:val="98"/>
        </w:numPr>
        <w:tabs>
          <w:tab w:val="left" w:pos="0"/>
        </w:tabs>
        <w:spacing w:before="120" w:line="300" w:lineRule="auto"/>
        <w:ind w:left="1135"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 xml:space="preserve">Dans le même contexte, dans son article intitulé </w:t>
      </w:r>
      <w:r w:rsidRPr="00621E73">
        <w:rPr>
          <w:rFonts w:asciiTheme="majorBidi" w:hAnsiTheme="majorBidi" w:cstheme="majorBidi"/>
          <w:b/>
          <w:bCs/>
          <w:kern w:val="2"/>
          <w:sz w:val="24"/>
          <w:szCs w:val="24"/>
        </w:rPr>
        <w:t xml:space="preserve">« Le principe de partage des profits ou des pertes dans le cadre des banques islamiques : illustration modélisée des contrats de financement participatifs </w:t>
      </w:r>
      <w:r w:rsidRPr="00621E73">
        <w:rPr>
          <w:rFonts w:asciiTheme="majorBidi" w:hAnsiTheme="majorBidi" w:cstheme="majorBidi"/>
          <w:b/>
          <w:bCs/>
          <w:i/>
          <w:iCs/>
          <w:kern w:val="2"/>
          <w:sz w:val="24"/>
          <w:szCs w:val="24"/>
        </w:rPr>
        <w:t>moudaraba</w:t>
      </w:r>
      <w:r w:rsidRPr="00621E73">
        <w:rPr>
          <w:rFonts w:asciiTheme="majorBidi" w:hAnsiTheme="majorBidi" w:cstheme="majorBidi"/>
          <w:b/>
          <w:bCs/>
          <w:kern w:val="2"/>
          <w:sz w:val="24"/>
          <w:szCs w:val="24"/>
        </w:rPr>
        <w:t xml:space="preserve"> et </w:t>
      </w:r>
      <w:r w:rsidRPr="00621E73">
        <w:rPr>
          <w:rFonts w:asciiTheme="majorBidi" w:hAnsiTheme="majorBidi" w:cstheme="majorBidi"/>
          <w:b/>
          <w:bCs/>
          <w:i/>
          <w:iCs/>
          <w:kern w:val="2"/>
          <w:sz w:val="24"/>
          <w:szCs w:val="24"/>
        </w:rPr>
        <w:t>moucharaka</w:t>
      </w:r>
      <w:r w:rsidRPr="00621E73">
        <w:rPr>
          <w:rFonts w:asciiTheme="majorBidi" w:hAnsiTheme="majorBidi" w:cstheme="majorBidi"/>
          <w:b/>
          <w:bCs/>
          <w:kern w:val="2"/>
          <w:sz w:val="24"/>
          <w:szCs w:val="24"/>
        </w:rPr>
        <w:t> »</w:t>
      </w:r>
      <w:r w:rsidRPr="00621E73">
        <w:rPr>
          <w:rStyle w:val="Appelnotedebasdep"/>
          <w:rFonts w:asciiTheme="majorBidi" w:hAnsiTheme="majorBidi"/>
          <w:b/>
          <w:bCs/>
          <w:kern w:val="2"/>
          <w:sz w:val="24"/>
          <w:szCs w:val="24"/>
        </w:rPr>
        <w:footnoteReference w:id="8"/>
      </w:r>
      <w:r w:rsidRPr="00621E73">
        <w:rPr>
          <w:rFonts w:asciiTheme="majorBidi" w:hAnsiTheme="majorBidi" w:cstheme="majorBidi"/>
          <w:b/>
          <w:bCs/>
          <w:kern w:val="2"/>
          <w:sz w:val="24"/>
          <w:szCs w:val="24"/>
        </w:rPr>
        <w:t xml:space="preserve">, </w:t>
      </w:r>
      <w:r w:rsidRPr="00621E73">
        <w:rPr>
          <w:rFonts w:ascii="Times New Roman" w:hAnsi="Times New Roman" w:cs="Times New Roman"/>
          <w:smallCaps/>
          <w:kern w:val="2"/>
          <w:sz w:val="24"/>
          <w:szCs w:val="24"/>
        </w:rPr>
        <w:t>Elmelki</w:t>
      </w:r>
      <w:r w:rsidRPr="00621E73">
        <w:rPr>
          <w:rFonts w:ascii="Times New Roman" w:hAnsi="Times New Roman" w:cs="Times New Roman"/>
          <w:kern w:val="2"/>
          <w:sz w:val="24"/>
          <w:szCs w:val="24"/>
        </w:rPr>
        <w:t xml:space="preserve"> (2011) a proposé une illustration modélisée des contrats participatifs. </w:t>
      </w:r>
      <w:r w:rsidRPr="00621E73">
        <w:rPr>
          <w:rFonts w:asciiTheme="majorBidi" w:hAnsiTheme="majorBidi" w:cstheme="majorBidi"/>
          <w:kern w:val="2"/>
          <w:sz w:val="24"/>
          <w:szCs w:val="24"/>
        </w:rPr>
        <w:t xml:space="preserve">Cet auteur a présenté une modélisation de la </w:t>
      </w:r>
      <w:r w:rsidRPr="00621E73">
        <w:rPr>
          <w:rFonts w:asciiTheme="majorBidi" w:hAnsiTheme="majorBidi" w:cstheme="majorBidi"/>
          <w:i/>
          <w:iCs/>
          <w:kern w:val="2"/>
          <w:sz w:val="24"/>
          <w:szCs w:val="24"/>
        </w:rPr>
        <w:t>moucharaka</w:t>
      </w:r>
      <w:r w:rsidRPr="00621E73">
        <w:rPr>
          <w:rFonts w:asciiTheme="majorBidi" w:hAnsiTheme="majorBidi" w:cstheme="majorBidi"/>
          <w:kern w:val="2"/>
          <w:sz w:val="24"/>
          <w:szCs w:val="24"/>
        </w:rPr>
        <w:t xml:space="preserve"> dégressive avec une analyse des aspects de l’asymétrie d’information dans le cadre du financement participatif des banques islamiques. </w:t>
      </w:r>
      <w:r w:rsidRPr="00621E73">
        <w:rPr>
          <w:rFonts w:ascii="Times New Roman" w:hAnsi="Times New Roman" w:cs="Times New Roman"/>
          <w:kern w:val="2"/>
          <w:sz w:val="24"/>
          <w:szCs w:val="24"/>
        </w:rPr>
        <w:t xml:space="preserve">Il a montré que le niveau de profit généré par un investissement conditionne la contribution de l’entrepreneur dans le capital ; ce qui l’incite à augmenter son effort et, par conséquent, son niveau de </w:t>
      </w:r>
      <w:r w:rsidRPr="00621E73">
        <w:rPr>
          <w:rFonts w:ascii="Times New Roman" w:hAnsi="Times New Roman" w:cs="Times New Roman"/>
          <w:kern w:val="2"/>
          <w:sz w:val="24"/>
          <w:szCs w:val="24"/>
        </w:rPr>
        <w:lastRenderedPageBreak/>
        <w:t xml:space="preserve">productivité. </w:t>
      </w:r>
      <w:r w:rsidR="0069735E" w:rsidRPr="00621E73">
        <w:rPr>
          <w:rFonts w:ascii="Times New Roman" w:hAnsi="Times New Roman" w:cs="Times New Roman"/>
          <w:kern w:val="2"/>
          <w:sz w:val="24"/>
          <w:szCs w:val="24"/>
        </w:rPr>
        <w:t>Les</w:t>
      </w:r>
      <w:r w:rsidRPr="00621E73">
        <w:rPr>
          <w:rFonts w:ascii="Times New Roman" w:hAnsi="Times New Roman" w:cs="Times New Roman"/>
          <w:kern w:val="2"/>
          <w:sz w:val="24"/>
          <w:szCs w:val="24"/>
        </w:rPr>
        <w:t xml:space="preserve"> problèmes d’agence rencontrés lors des contrats participatifs se trouvent ainsi résolus.</w:t>
      </w:r>
    </w:p>
    <w:p w14:paraId="42B3F75F" w14:textId="77777777" w:rsidR="005262FB" w:rsidRPr="00621E73" w:rsidRDefault="005262FB" w:rsidP="00CB0FF1">
      <w:pPr>
        <w:pStyle w:val="Paragraphedeliste"/>
        <w:numPr>
          <w:ilvl w:val="0"/>
          <w:numId w:val="98"/>
        </w:numPr>
        <w:tabs>
          <w:tab w:val="left" w:pos="0"/>
        </w:tabs>
        <w:spacing w:before="120" w:line="300" w:lineRule="auto"/>
        <w:ind w:left="1135"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 xml:space="preserve">Une autre thèse soutenue par </w:t>
      </w:r>
      <w:r w:rsidRPr="00621E73">
        <w:rPr>
          <w:rFonts w:ascii="Times New Roman" w:hAnsi="Times New Roman" w:cs="Times New Roman"/>
          <w:smallCaps/>
          <w:kern w:val="2"/>
          <w:sz w:val="24"/>
          <w:szCs w:val="24"/>
        </w:rPr>
        <w:t>Abou-Zeid</w:t>
      </w:r>
      <w:r w:rsidRPr="00621E73">
        <w:rPr>
          <w:rFonts w:ascii="Times New Roman" w:hAnsi="Times New Roman" w:cs="Times New Roman"/>
          <w:kern w:val="2"/>
          <w:sz w:val="24"/>
          <w:szCs w:val="24"/>
        </w:rPr>
        <w:t xml:space="preserve"> (2009) intitulée « </w:t>
      </w:r>
      <w:r w:rsidRPr="00621E73">
        <w:rPr>
          <w:rFonts w:asciiTheme="majorBidi" w:hAnsiTheme="majorBidi" w:cstheme="majorBidi"/>
          <w:b/>
          <w:bCs/>
          <w:kern w:val="2"/>
          <w:sz w:val="24"/>
          <w:szCs w:val="24"/>
        </w:rPr>
        <w:t>La gestion des fonds de fonds islamique de capital-investissement pour le développement des pays arabes</w:t>
      </w:r>
      <w:r w:rsidRPr="00621E73">
        <w:rPr>
          <w:rFonts w:ascii="Times New Roman" w:hAnsi="Times New Roman" w:cs="Times New Roman"/>
          <w:kern w:val="2"/>
          <w:sz w:val="24"/>
          <w:szCs w:val="24"/>
        </w:rPr>
        <w:t> »</w:t>
      </w:r>
      <w:r w:rsidR="00A86376" w:rsidRPr="00621E73">
        <w:rPr>
          <w:rStyle w:val="Appelnotedebasdep"/>
          <w:rFonts w:ascii="Times New Roman" w:hAnsi="Times New Roman"/>
          <w:kern w:val="2"/>
          <w:sz w:val="24"/>
          <w:szCs w:val="24"/>
        </w:rPr>
        <w:footnoteReference w:id="9"/>
      </w:r>
      <w:r w:rsidRPr="00621E73">
        <w:rPr>
          <w:rFonts w:ascii="Times New Roman" w:hAnsi="Times New Roman" w:cs="Times New Roman"/>
          <w:kern w:val="2"/>
          <w:sz w:val="24"/>
          <w:szCs w:val="24"/>
        </w:rPr>
        <w:t xml:space="preserve"> trait la problématique du développement humain arabe. Le chercheur proposait que la gestion d’actifs islamiques sur la base </w:t>
      </w:r>
      <w:r w:rsidRPr="00621E73">
        <w:rPr>
          <w:rFonts w:ascii="Times New Roman" w:hAnsi="Times New Roman" w:cs="Times New Roman"/>
          <w:i/>
          <w:kern w:val="2"/>
          <w:sz w:val="24"/>
          <w:szCs w:val="24"/>
        </w:rPr>
        <w:t>moudaraba</w:t>
      </w:r>
      <w:r w:rsidRPr="00621E73">
        <w:rPr>
          <w:rFonts w:ascii="Times New Roman" w:hAnsi="Times New Roman" w:cs="Times New Roman"/>
          <w:kern w:val="2"/>
          <w:sz w:val="24"/>
          <w:szCs w:val="24"/>
        </w:rPr>
        <w:t xml:space="preserve"> puisse répondre aux besoins fondamentaux des citoyens arabes en favorisant l’appréciation des capitaux et la réduction de la pauvreté. Il a aussi montré que les fonds islamiques de capital-investissement (</w:t>
      </w:r>
      <w:r w:rsidRPr="00621E73">
        <w:rPr>
          <w:rFonts w:ascii="Times New Roman" w:hAnsi="Times New Roman" w:cs="Times New Roman"/>
          <w:i/>
          <w:kern w:val="2"/>
          <w:sz w:val="24"/>
          <w:szCs w:val="24"/>
        </w:rPr>
        <w:t>moudaraba</w:t>
      </w:r>
      <w:r w:rsidRPr="00621E73">
        <w:rPr>
          <w:rFonts w:ascii="Times New Roman" w:hAnsi="Times New Roman" w:cs="Times New Roman"/>
          <w:kern w:val="2"/>
          <w:sz w:val="24"/>
          <w:szCs w:val="24"/>
        </w:rPr>
        <w:t>) peuvent apporter des solutions à l’état actuel de la FI ainsi qu’aux préoccupations éthiques soulevées par les experts concernant cette industrie.</w:t>
      </w:r>
    </w:p>
    <w:p w14:paraId="0D25BE79" w14:textId="77777777" w:rsidR="005262FB" w:rsidRPr="00621E73" w:rsidRDefault="005262FB" w:rsidP="00CB0FF1">
      <w:pPr>
        <w:pStyle w:val="Paragraphedeliste"/>
        <w:numPr>
          <w:ilvl w:val="0"/>
          <w:numId w:val="98"/>
        </w:numPr>
        <w:tabs>
          <w:tab w:val="left" w:pos="0"/>
        </w:tabs>
        <w:spacing w:before="120" w:line="300" w:lineRule="auto"/>
        <w:ind w:left="1135"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 xml:space="preserve">A son tour, </w:t>
      </w:r>
      <w:r w:rsidRPr="00621E73">
        <w:rPr>
          <w:rFonts w:ascii="Times New Roman" w:hAnsi="Times New Roman" w:cs="Times New Roman"/>
          <w:smallCaps/>
          <w:kern w:val="2"/>
          <w:sz w:val="24"/>
          <w:szCs w:val="24"/>
        </w:rPr>
        <w:t>Abou Alhayjaa</w:t>
      </w:r>
      <w:r w:rsidRPr="00621E73">
        <w:rPr>
          <w:rFonts w:ascii="Times New Roman" w:hAnsi="Times New Roman" w:cs="Times New Roman"/>
          <w:kern w:val="2"/>
          <w:sz w:val="24"/>
          <w:szCs w:val="24"/>
        </w:rPr>
        <w:t xml:space="preserve"> (2007) a présenté aussi une thèse en se focalisant sur le développement des mécanismes de financement par la </w:t>
      </w:r>
      <w:r w:rsidRPr="00621E73">
        <w:rPr>
          <w:rFonts w:ascii="Times New Roman" w:hAnsi="Times New Roman" w:cs="Times New Roman"/>
          <w:i/>
          <w:iCs/>
          <w:kern w:val="2"/>
          <w:sz w:val="24"/>
          <w:szCs w:val="24"/>
        </w:rPr>
        <w:t xml:space="preserve">moucharaka </w:t>
      </w:r>
      <w:r w:rsidRPr="00621E73">
        <w:rPr>
          <w:rFonts w:ascii="Times New Roman" w:hAnsi="Times New Roman" w:cs="Times New Roman"/>
          <w:kern w:val="2"/>
          <w:sz w:val="24"/>
          <w:szCs w:val="24"/>
        </w:rPr>
        <w:t>dans les banques islamiques</w:t>
      </w:r>
      <w:r w:rsidRPr="00621E73">
        <w:rPr>
          <w:rFonts w:ascii="Times New Roman" w:hAnsi="Times New Roman" w:cs="Times New Roman"/>
          <w:b/>
          <w:bCs/>
          <w:kern w:val="2"/>
          <w:sz w:val="24"/>
          <w:szCs w:val="24"/>
        </w:rPr>
        <w:t xml:space="preserve"> </w:t>
      </w:r>
      <w:r w:rsidRPr="00621E73">
        <w:rPr>
          <w:rFonts w:ascii="Times New Roman" w:hAnsi="Times New Roman" w:cs="Times New Roman"/>
          <w:kern w:val="2"/>
          <w:sz w:val="24"/>
          <w:szCs w:val="24"/>
        </w:rPr>
        <w:t xml:space="preserve">en s’appuyant sur le cas de la Jordanie, sous le thème de </w:t>
      </w:r>
    </w:p>
    <w:p w14:paraId="7C08DBF4" w14:textId="77777777" w:rsidR="005262FB" w:rsidRPr="00621E73" w:rsidRDefault="005262FB" w:rsidP="005262FB">
      <w:pPr>
        <w:pStyle w:val="Paragraphedeliste"/>
        <w:tabs>
          <w:tab w:val="left" w:pos="0"/>
        </w:tabs>
        <w:bidi/>
        <w:spacing w:line="300" w:lineRule="auto"/>
        <w:ind w:left="0"/>
        <w:contextualSpacing w:val="0"/>
        <w:rPr>
          <w:rFonts w:ascii="Times New Roman" w:hAnsi="Times New Roman" w:cs="Times New Roman"/>
          <w:kern w:val="2"/>
          <w:sz w:val="28"/>
          <w:szCs w:val="28"/>
        </w:rPr>
      </w:pPr>
      <w:r w:rsidRPr="00621E73">
        <w:rPr>
          <w:rFonts w:ascii="Times New Roman" w:hAnsi="Times New Roman" w:cs="Times New Roman" w:hint="cs"/>
          <w:b/>
          <w:bCs/>
          <w:kern w:val="2"/>
          <w:sz w:val="28"/>
          <w:szCs w:val="28"/>
          <w:rtl/>
        </w:rPr>
        <w:t>"</w:t>
      </w:r>
      <w:r w:rsidRPr="00621E73">
        <w:rPr>
          <w:rFonts w:ascii="Times New Roman" w:hAnsi="Times New Roman" w:cs="Times New Roman" w:hint="cs"/>
          <w:b/>
          <w:bCs/>
          <w:kern w:val="2"/>
          <w:sz w:val="28"/>
          <w:szCs w:val="28"/>
          <w:rtl/>
          <w:lang w:bidi="ar-DZ"/>
        </w:rPr>
        <w:t>تطوير آليات التمويل</w:t>
      </w:r>
      <w:r w:rsidRPr="00621E73">
        <w:rPr>
          <w:rFonts w:ascii="Times New Roman" w:hAnsi="Times New Roman" w:cs="Times New Roman" w:hint="cs"/>
          <w:b/>
          <w:bCs/>
          <w:kern w:val="2"/>
          <w:sz w:val="28"/>
          <w:szCs w:val="28"/>
          <w:rtl/>
        </w:rPr>
        <w:t xml:space="preserve"> بالمشاركة في المصارف الإسلامية دراسة حالة الأردن"</w:t>
      </w:r>
      <w:r w:rsidRPr="00621E73">
        <w:rPr>
          <w:rFonts w:ascii="Times New Roman" w:hAnsi="Times New Roman" w:cs="Times New Roman"/>
          <w:b/>
          <w:bCs/>
          <w:kern w:val="2"/>
          <w:sz w:val="28"/>
          <w:szCs w:val="28"/>
        </w:rPr>
        <w:t>.</w:t>
      </w:r>
      <w:r w:rsidR="00F868D9" w:rsidRPr="00621E73">
        <w:rPr>
          <w:rStyle w:val="Appelnotedebasdep"/>
          <w:rFonts w:ascii="Times New Roman" w:hAnsi="Times New Roman"/>
          <w:b/>
          <w:bCs/>
          <w:kern w:val="2"/>
          <w:sz w:val="28"/>
          <w:szCs w:val="28"/>
        </w:rPr>
        <w:footnoteReference w:id="10"/>
      </w:r>
    </w:p>
    <w:p w14:paraId="7AEB2216" w14:textId="77777777" w:rsidR="005262FB" w:rsidRPr="00621E73" w:rsidRDefault="005262FB" w:rsidP="005262FB">
      <w:pPr>
        <w:pStyle w:val="Paragraphedeliste"/>
        <w:tabs>
          <w:tab w:val="left" w:pos="0"/>
        </w:tabs>
        <w:spacing w:line="300" w:lineRule="auto"/>
        <w:ind w:left="113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Cette étude a pu mettre en relief que la plupart des BI jordaniennes évitent l’utilisation des produits financiers participatifs à cause des risques élevés liés à ces derniers et de la petite taille des banques qui freine la capacité de financer de grands projets. Le chercheur a proposé quelques recommandations pour encourager le recours aux techniques de financement participatif comme :</w:t>
      </w:r>
    </w:p>
    <w:p w14:paraId="2987AF56" w14:textId="77777777" w:rsidR="005262FB" w:rsidRPr="00621E73" w:rsidRDefault="005262FB" w:rsidP="00CB0FF1">
      <w:pPr>
        <w:pStyle w:val="Paragraphedeliste"/>
        <w:numPr>
          <w:ilvl w:val="0"/>
          <w:numId w:val="46"/>
        </w:numPr>
        <w:tabs>
          <w:tab w:val="left" w:pos="567"/>
          <w:tab w:val="left" w:pos="1134"/>
        </w:tabs>
        <w:spacing w:before="60" w:line="300" w:lineRule="auto"/>
        <w:ind w:left="1702"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Le recours aux fusions entre les BI dans le but d’accumuler d’importants capitaux qui peuvent être investis dans d’énormes projets à risques élevés ;</w:t>
      </w:r>
    </w:p>
    <w:p w14:paraId="555E4E22" w14:textId="77777777" w:rsidR="005262FB" w:rsidRPr="00621E73" w:rsidRDefault="005262FB" w:rsidP="00CB0FF1">
      <w:pPr>
        <w:pStyle w:val="Paragraphedeliste"/>
        <w:numPr>
          <w:ilvl w:val="0"/>
          <w:numId w:val="46"/>
        </w:numPr>
        <w:tabs>
          <w:tab w:val="left" w:pos="567"/>
          <w:tab w:val="left" w:pos="1134"/>
        </w:tabs>
        <w:spacing w:before="60" w:line="300" w:lineRule="auto"/>
        <w:ind w:left="1702"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La possibilité d’éliminer les risques liés aux contrats de financement participatif en recourant à l’assurance coopérative et en constituant des caisses spécialisées pour couvrir ces risques ;</w:t>
      </w:r>
    </w:p>
    <w:p w14:paraId="1DE84AAA" w14:textId="77777777" w:rsidR="005262FB" w:rsidRPr="00621E73" w:rsidRDefault="005262FB" w:rsidP="00CB0FF1">
      <w:pPr>
        <w:pStyle w:val="Paragraphedeliste"/>
        <w:numPr>
          <w:ilvl w:val="0"/>
          <w:numId w:val="46"/>
        </w:numPr>
        <w:tabs>
          <w:tab w:val="left" w:pos="567"/>
          <w:tab w:val="left" w:pos="1134"/>
        </w:tabs>
        <w:spacing w:before="60" w:line="300" w:lineRule="auto"/>
        <w:ind w:left="1702"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Le choix pertinent des employés de la BI qui doivent maîtriser les techniques d’évaluation et de gestion des projets financés.</w:t>
      </w:r>
    </w:p>
    <w:p w14:paraId="73852D34" w14:textId="5034B257" w:rsidR="005262FB" w:rsidRPr="00621E73" w:rsidRDefault="005262FB" w:rsidP="00CB0FF1">
      <w:pPr>
        <w:pStyle w:val="Paragraphedeliste"/>
        <w:numPr>
          <w:ilvl w:val="0"/>
          <w:numId w:val="98"/>
        </w:numPr>
        <w:tabs>
          <w:tab w:val="left" w:pos="0"/>
        </w:tabs>
        <w:spacing w:before="120" w:line="300" w:lineRule="auto"/>
        <w:ind w:left="1135"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 xml:space="preserve">Dans le même ordre d’idées, </w:t>
      </w:r>
      <w:r w:rsidRPr="00621E73">
        <w:rPr>
          <w:rFonts w:ascii="Times New Roman" w:hAnsi="Times New Roman" w:cs="Times New Roman"/>
          <w:smallCaps/>
          <w:kern w:val="2"/>
          <w:sz w:val="24"/>
          <w:szCs w:val="24"/>
        </w:rPr>
        <w:t>Febianto</w:t>
      </w:r>
      <w:r w:rsidRPr="00621E73">
        <w:rPr>
          <w:rFonts w:ascii="Times New Roman" w:hAnsi="Times New Roman" w:cs="Times New Roman"/>
          <w:kern w:val="2"/>
          <w:sz w:val="24"/>
          <w:szCs w:val="24"/>
        </w:rPr>
        <w:t xml:space="preserve"> et </w:t>
      </w:r>
      <w:r w:rsidRPr="00621E73">
        <w:rPr>
          <w:rFonts w:ascii="Times New Roman" w:hAnsi="Times New Roman" w:cs="Times New Roman"/>
          <w:smallCaps/>
          <w:kern w:val="2"/>
          <w:sz w:val="24"/>
          <w:szCs w:val="24"/>
        </w:rPr>
        <w:t>Kasri</w:t>
      </w:r>
      <w:r w:rsidRPr="00621E73">
        <w:rPr>
          <w:rFonts w:ascii="Times New Roman" w:hAnsi="Times New Roman" w:cs="Times New Roman"/>
          <w:kern w:val="2"/>
          <w:sz w:val="24"/>
          <w:szCs w:val="24"/>
        </w:rPr>
        <w:t xml:space="preserve"> (2007) ont publié un article titré </w:t>
      </w:r>
      <w:r w:rsidRPr="00621E73">
        <w:rPr>
          <w:rFonts w:ascii="Times New Roman" w:hAnsi="Times New Roman" w:cs="Times New Roman"/>
          <w:b/>
          <w:bCs/>
          <w:kern w:val="2"/>
          <w:sz w:val="24"/>
          <w:szCs w:val="24"/>
        </w:rPr>
        <w:t>"</w:t>
      </w:r>
      <w:r w:rsidRPr="00621E73">
        <w:rPr>
          <w:rFonts w:ascii="Times New Roman" w:hAnsi="Times New Roman" w:cs="Times New Roman"/>
          <w:b/>
          <w:bCs/>
          <w:kern w:val="2"/>
          <w:sz w:val="24"/>
          <w:szCs w:val="24"/>
          <w:lang w:eastAsia="fr-FR"/>
        </w:rPr>
        <w:t>Why do islamic banks tend to avoid profit and loss sharing arrangements ?</w:t>
      </w:r>
      <w:r w:rsidRPr="00621E73">
        <w:rPr>
          <w:rFonts w:ascii="Times New Roman" w:hAnsi="Times New Roman" w:cs="Times New Roman"/>
          <w:b/>
          <w:bCs/>
          <w:kern w:val="2"/>
          <w:sz w:val="24"/>
          <w:szCs w:val="24"/>
        </w:rPr>
        <w:t>"</w:t>
      </w:r>
      <w:r w:rsidR="0069735E" w:rsidRPr="00621E73">
        <w:rPr>
          <w:rFonts w:ascii="Times New Roman" w:hAnsi="Times New Roman" w:cs="Times New Roman"/>
          <w:kern w:val="2"/>
          <w:sz w:val="24"/>
          <w:szCs w:val="24"/>
        </w:rPr>
        <w:t>.</w:t>
      </w:r>
      <w:r w:rsidR="00395559" w:rsidRPr="00621E73">
        <w:rPr>
          <w:rStyle w:val="Appelnotedebasdep"/>
          <w:rFonts w:ascii="Times New Roman" w:hAnsi="Times New Roman"/>
          <w:kern w:val="2"/>
          <w:sz w:val="24"/>
          <w:szCs w:val="24"/>
        </w:rPr>
        <w:footnoteReference w:id="11"/>
      </w:r>
      <w:r w:rsidRPr="00621E73">
        <w:rPr>
          <w:rFonts w:ascii="Times New Roman" w:hAnsi="Times New Roman" w:cs="Times New Roman"/>
          <w:kern w:val="2"/>
          <w:sz w:val="24"/>
          <w:szCs w:val="24"/>
        </w:rPr>
        <w:t xml:space="preserve"> Exposant les différents problèmes qui entravent l’application du principe PLS par les BI, ils y ont montré que cette réticence est due aux facteurs suivants :</w:t>
      </w:r>
    </w:p>
    <w:p w14:paraId="57240EBD" w14:textId="77777777" w:rsidR="005262FB" w:rsidRPr="00621E73" w:rsidRDefault="005262FB" w:rsidP="00CB0FF1">
      <w:pPr>
        <w:pStyle w:val="Paragraphedeliste"/>
        <w:numPr>
          <w:ilvl w:val="0"/>
          <w:numId w:val="45"/>
        </w:numPr>
        <w:tabs>
          <w:tab w:val="left" w:pos="0"/>
          <w:tab w:val="left" w:pos="567"/>
          <w:tab w:val="left" w:pos="1134"/>
        </w:tabs>
        <w:spacing w:before="60" w:line="300" w:lineRule="auto"/>
        <w:ind w:left="1702"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L’aversion aux risques de la part des BI et des déposants ;</w:t>
      </w:r>
    </w:p>
    <w:p w14:paraId="1D564367" w14:textId="77777777" w:rsidR="005262FB" w:rsidRPr="00621E73" w:rsidRDefault="005262FB" w:rsidP="00CB0FF1">
      <w:pPr>
        <w:pStyle w:val="Paragraphedeliste"/>
        <w:numPr>
          <w:ilvl w:val="0"/>
          <w:numId w:val="45"/>
        </w:numPr>
        <w:tabs>
          <w:tab w:val="left" w:pos="0"/>
          <w:tab w:val="left" w:pos="567"/>
          <w:tab w:val="left" w:pos="1134"/>
        </w:tabs>
        <w:spacing w:before="60" w:line="300" w:lineRule="auto"/>
        <w:ind w:left="1702"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Les coûts de surveillance supplémentaires associés à ce type de financent ;</w:t>
      </w:r>
    </w:p>
    <w:p w14:paraId="116478A0" w14:textId="77777777" w:rsidR="005262FB" w:rsidRPr="00621E73" w:rsidRDefault="005262FB" w:rsidP="00CB0FF1">
      <w:pPr>
        <w:pStyle w:val="Paragraphedeliste"/>
        <w:numPr>
          <w:ilvl w:val="0"/>
          <w:numId w:val="45"/>
        </w:numPr>
        <w:tabs>
          <w:tab w:val="left" w:pos="0"/>
          <w:tab w:val="left" w:pos="567"/>
          <w:tab w:val="left" w:pos="1134"/>
        </w:tabs>
        <w:spacing w:before="60" w:line="300" w:lineRule="auto"/>
        <w:ind w:left="1702"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lastRenderedPageBreak/>
        <w:t>Le manque de transparence entre l’investisseur/déposant et la BI.</w:t>
      </w:r>
    </w:p>
    <w:p w14:paraId="56743A10" w14:textId="77777777" w:rsidR="005262FB" w:rsidRPr="00621E73" w:rsidRDefault="005262FB" w:rsidP="005262FB">
      <w:pPr>
        <w:tabs>
          <w:tab w:val="left" w:pos="0"/>
        </w:tabs>
        <w:spacing w:before="120" w:line="300" w:lineRule="auto"/>
        <w:ind w:left="1134"/>
        <w:rPr>
          <w:rFonts w:ascii="Times New Roman" w:hAnsi="Times New Roman" w:cs="Times New Roman"/>
          <w:kern w:val="2"/>
          <w:sz w:val="24"/>
          <w:szCs w:val="24"/>
        </w:rPr>
      </w:pPr>
      <w:r w:rsidRPr="00621E73">
        <w:rPr>
          <w:rFonts w:ascii="Times New Roman" w:hAnsi="Times New Roman" w:cs="Times New Roman"/>
          <w:kern w:val="2"/>
          <w:sz w:val="24"/>
          <w:szCs w:val="24"/>
        </w:rPr>
        <w:t>Ils suggèrent que ces facteurs conduisent à réduire le niveau de confiance entre les</w:t>
      </w:r>
      <w:r w:rsidR="000F4546" w:rsidRPr="00621E73">
        <w:rPr>
          <w:rFonts w:ascii="Times New Roman" w:hAnsi="Times New Roman" w:cs="Times New Roman"/>
          <w:kern w:val="2"/>
          <w:sz w:val="24"/>
          <w:szCs w:val="24"/>
        </w:rPr>
        <w:t xml:space="preserve"> déposants/ investisseurs et la</w:t>
      </w:r>
      <w:r w:rsidRPr="00621E73">
        <w:rPr>
          <w:rFonts w:ascii="Times New Roman" w:hAnsi="Times New Roman" w:cs="Times New Roman"/>
          <w:kern w:val="2"/>
          <w:sz w:val="24"/>
          <w:szCs w:val="24"/>
        </w:rPr>
        <w:t xml:space="preserve"> BI pour prendre des positions risquées à long terme.</w:t>
      </w:r>
    </w:p>
    <w:p w14:paraId="43E44A89" w14:textId="77777777" w:rsidR="005262FB" w:rsidRPr="00621E73" w:rsidRDefault="005262FB" w:rsidP="00CB0FF1">
      <w:pPr>
        <w:pStyle w:val="Paragraphedeliste"/>
        <w:numPr>
          <w:ilvl w:val="0"/>
          <w:numId w:val="99"/>
        </w:numPr>
        <w:tabs>
          <w:tab w:val="left" w:pos="0"/>
        </w:tabs>
        <w:spacing w:before="120" w:line="300" w:lineRule="auto"/>
        <w:ind w:left="1135"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 xml:space="preserve">Il est également utile de citer </w:t>
      </w:r>
      <w:r w:rsidRPr="00621E73">
        <w:rPr>
          <w:rFonts w:ascii="Times New Roman" w:hAnsi="Times New Roman" w:cs="Times New Roman"/>
          <w:smallCaps/>
          <w:kern w:val="2"/>
          <w:sz w:val="24"/>
          <w:szCs w:val="24"/>
        </w:rPr>
        <w:t>Chong</w:t>
      </w:r>
      <w:r w:rsidRPr="00621E73">
        <w:rPr>
          <w:rFonts w:ascii="Times New Roman" w:hAnsi="Times New Roman" w:cs="Times New Roman"/>
          <w:kern w:val="2"/>
          <w:sz w:val="24"/>
          <w:szCs w:val="24"/>
        </w:rPr>
        <w:t xml:space="preserve"> et </w:t>
      </w:r>
      <w:r w:rsidRPr="00621E73">
        <w:rPr>
          <w:rFonts w:ascii="Times New Roman" w:hAnsi="Times New Roman" w:cs="Times New Roman"/>
          <w:smallCaps/>
          <w:kern w:val="2"/>
          <w:sz w:val="24"/>
          <w:szCs w:val="24"/>
        </w:rPr>
        <w:t>Liu</w:t>
      </w:r>
      <w:r w:rsidRPr="00621E73">
        <w:rPr>
          <w:rFonts w:ascii="Times New Roman" w:hAnsi="Times New Roman" w:cs="Times New Roman"/>
          <w:kern w:val="2"/>
          <w:sz w:val="24"/>
          <w:szCs w:val="24"/>
        </w:rPr>
        <w:t xml:space="preserve"> (2006) qui ont abordé dans leur article le thème : </w:t>
      </w:r>
      <w:r w:rsidRPr="00621E73">
        <w:rPr>
          <w:rFonts w:ascii="Times New Roman" w:hAnsi="Times New Roman" w:cs="Times New Roman"/>
          <w:b/>
          <w:bCs/>
          <w:kern w:val="2"/>
          <w:sz w:val="24"/>
          <w:szCs w:val="24"/>
        </w:rPr>
        <w:t xml:space="preserve">"Islamic </w:t>
      </w:r>
      <w:r w:rsidR="00017782" w:rsidRPr="00621E73">
        <w:rPr>
          <w:rFonts w:ascii="Times New Roman" w:hAnsi="Times New Roman" w:cs="Times New Roman"/>
          <w:b/>
          <w:bCs/>
          <w:kern w:val="2"/>
          <w:sz w:val="24"/>
          <w:szCs w:val="24"/>
        </w:rPr>
        <w:t>banking :</w:t>
      </w:r>
      <w:r w:rsidRPr="00621E73">
        <w:rPr>
          <w:rFonts w:ascii="Times New Roman" w:hAnsi="Times New Roman" w:cs="Times New Roman"/>
          <w:b/>
          <w:bCs/>
          <w:kern w:val="2"/>
          <w:sz w:val="24"/>
          <w:szCs w:val="24"/>
        </w:rPr>
        <w:t xml:space="preserve"> interest free or interest </w:t>
      </w:r>
      <w:r w:rsidR="00517478" w:rsidRPr="00621E73">
        <w:rPr>
          <w:rFonts w:ascii="Times New Roman" w:hAnsi="Times New Roman" w:cs="Times New Roman"/>
          <w:b/>
          <w:bCs/>
          <w:kern w:val="2"/>
          <w:sz w:val="24"/>
          <w:szCs w:val="24"/>
        </w:rPr>
        <w:t>based ?</w:t>
      </w:r>
      <w:r w:rsidRPr="00621E73">
        <w:rPr>
          <w:rFonts w:ascii="Times New Roman" w:hAnsi="Times New Roman" w:cs="Times New Roman"/>
          <w:b/>
          <w:bCs/>
          <w:kern w:val="2"/>
          <w:sz w:val="24"/>
          <w:szCs w:val="24"/>
        </w:rPr>
        <w:t>"</w:t>
      </w:r>
      <w:r w:rsidR="00486C78" w:rsidRPr="00621E73">
        <w:rPr>
          <w:rStyle w:val="Appelnotedebasdep"/>
          <w:rFonts w:ascii="Times New Roman" w:hAnsi="Times New Roman"/>
          <w:b/>
          <w:bCs/>
          <w:kern w:val="2"/>
          <w:sz w:val="24"/>
          <w:szCs w:val="24"/>
        </w:rPr>
        <w:footnoteReference w:id="12"/>
      </w:r>
      <w:r w:rsidRPr="00621E73">
        <w:rPr>
          <w:rFonts w:ascii="Times New Roman" w:hAnsi="Times New Roman" w:cs="Times New Roman"/>
          <w:kern w:val="2"/>
          <w:sz w:val="24"/>
          <w:szCs w:val="24"/>
        </w:rPr>
        <w:t xml:space="preserve">. L’objectif était de tester la caractéristique attirante des BI qui est le principe PLS. Les deux chercheurs ont conclu que, dans la pratique, seule une part négligeable du financement bancaire islamique est basée sur ce principe alors que la grande part des financements est destinée à la </w:t>
      </w:r>
      <w:r w:rsidRPr="00621E73">
        <w:rPr>
          <w:rFonts w:ascii="Times New Roman" w:hAnsi="Times New Roman" w:cs="Times New Roman"/>
          <w:i/>
          <w:iCs/>
          <w:kern w:val="2"/>
          <w:sz w:val="24"/>
          <w:szCs w:val="24"/>
        </w:rPr>
        <w:t>mourabaha</w:t>
      </w:r>
      <w:r w:rsidRPr="00621E73">
        <w:rPr>
          <w:rFonts w:ascii="Times New Roman" w:hAnsi="Times New Roman" w:cs="Times New Roman"/>
          <w:kern w:val="2"/>
          <w:sz w:val="24"/>
          <w:szCs w:val="24"/>
        </w:rPr>
        <w:t xml:space="preserve"> (57,7%) puisqu’elle est peu risquée.</w:t>
      </w:r>
    </w:p>
    <w:p w14:paraId="280C31A1" w14:textId="613447DF" w:rsidR="002760B2" w:rsidRPr="00621E73" w:rsidRDefault="00621E73" w:rsidP="00621E73">
      <w:pPr>
        <w:tabs>
          <w:tab w:val="left" w:pos="284"/>
          <w:tab w:val="left" w:pos="993"/>
          <w:tab w:val="center" w:pos="4536"/>
        </w:tabs>
        <w:spacing w:before="120" w:after="120" w:line="300" w:lineRule="auto"/>
        <w:ind w:firstLine="709"/>
        <w:outlineLvl w:val="1"/>
        <w:rPr>
          <w:rFonts w:ascii="Times New Roman" w:hAnsi="Times New Roman" w:cs="Times New Roman"/>
          <w:b/>
          <w:bCs/>
          <w:kern w:val="2"/>
          <w:sz w:val="28"/>
          <w:szCs w:val="28"/>
        </w:rPr>
      </w:pPr>
      <w:bookmarkStart w:id="64" w:name="_Toc182298580"/>
      <w:bookmarkStart w:id="65" w:name="_Toc182309376"/>
      <w:r w:rsidRPr="00621E73">
        <w:rPr>
          <w:rFonts w:ascii="Times New Roman" w:hAnsi="Times New Roman" w:cs="Times New Roman"/>
          <w:b/>
          <w:bCs/>
          <w:kern w:val="2"/>
          <w:sz w:val="28"/>
          <w:szCs w:val="28"/>
        </w:rPr>
        <w:t xml:space="preserve">4- </w:t>
      </w:r>
      <w:r w:rsidR="008A0CA0" w:rsidRPr="00621E73">
        <w:rPr>
          <w:rFonts w:ascii="Times New Roman" w:hAnsi="Times New Roman" w:cs="Times New Roman"/>
          <w:b/>
          <w:bCs/>
          <w:kern w:val="2"/>
          <w:sz w:val="28"/>
          <w:szCs w:val="28"/>
        </w:rPr>
        <w:t>Questionnement</w:t>
      </w:r>
      <w:r w:rsidRPr="00621E73">
        <w:rPr>
          <w:rFonts w:ascii="Times New Roman" w:hAnsi="Times New Roman" w:cs="Times New Roman"/>
          <w:b/>
          <w:bCs/>
          <w:kern w:val="2"/>
          <w:sz w:val="28"/>
          <w:szCs w:val="28"/>
        </w:rPr>
        <w:t xml:space="preserve"> central</w:t>
      </w:r>
      <w:bookmarkEnd w:id="64"/>
      <w:bookmarkEnd w:id="65"/>
    </w:p>
    <w:p w14:paraId="76D8A861" w14:textId="77777777" w:rsidR="00345E49" w:rsidRPr="00621E73" w:rsidRDefault="002760B2" w:rsidP="00345E49">
      <w:pPr>
        <w:pStyle w:val="Paragraphedeliste"/>
        <w:tabs>
          <w:tab w:val="left" w:pos="0"/>
        </w:tabs>
        <w:spacing w:before="120" w:line="300" w:lineRule="auto"/>
        <w:ind w:left="0" w:firstLine="709"/>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 xml:space="preserve">Partant de ce qui précède, nous essayerons à travers cette thèse de répondre à la question principale suivante : </w:t>
      </w:r>
      <w:r w:rsidR="00345E49" w:rsidRPr="00621E73">
        <w:rPr>
          <w:rFonts w:ascii="Times New Roman" w:hAnsi="Times New Roman" w:cs="Times New Roman"/>
          <w:b/>
          <w:bCs/>
          <w:i/>
          <w:iCs/>
          <w:kern w:val="2"/>
          <w:sz w:val="24"/>
          <w:szCs w:val="24"/>
          <w:lang w:eastAsia="fr-FR"/>
        </w:rPr>
        <w:t>Quels sont les risques et les obstacles qui empêchent les BI d’utiliser les modes de financement participatif et comment gérer ces risques ?</w:t>
      </w:r>
    </w:p>
    <w:p w14:paraId="70C08899" w14:textId="768B86F2" w:rsidR="002760B2" w:rsidRPr="00621E73" w:rsidRDefault="002760B2" w:rsidP="003E460A">
      <w:pPr>
        <w:pStyle w:val="Paragraphedeliste"/>
        <w:tabs>
          <w:tab w:val="left" w:pos="0"/>
        </w:tabs>
        <w:spacing w:before="120" w:line="300" w:lineRule="auto"/>
        <w:ind w:left="0" w:firstLine="709"/>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De cette question de recherche principa</w:t>
      </w:r>
      <w:r w:rsidR="008C4EEC" w:rsidRPr="00621E73">
        <w:rPr>
          <w:rFonts w:ascii="Times New Roman" w:hAnsi="Times New Roman" w:cs="Times New Roman"/>
          <w:kern w:val="2"/>
          <w:sz w:val="24"/>
          <w:szCs w:val="24"/>
        </w:rPr>
        <w:t>le, découle</w:t>
      </w:r>
      <w:r w:rsidR="0069735E" w:rsidRPr="00621E73">
        <w:rPr>
          <w:rFonts w:ascii="Times New Roman" w:hAnsi="Times New Roman" w:cs="Times New Roman"/>
          <w:kern w:val="2"/>
          <w:sz w:val="24"/>
          <w:szCs w:val="24"/>
        </w:rPr>
        <w:t>nt</w:t>
      </w:r>
      <w:r w:rsidR="008C4EEC" w:rsidRPr="00621E73">
        <w:rPr>
          <w:rFonts w:ascii="Times New Roman" w:hAnsi="Times New Roman" w:cs="Times New Roman"/>
          <w:kern w:val="2"/>
          <w:sz w:val="24"/>
          <w:szCs w:val="24"/>
        </w:rPr>
        <w:t xml:space="preserve"> d’autres questions :</w:t>
      </w:r>
    </w:p>
    <w:p w14:paraId="25453D0F" w14:textId="69A70A21" w:rsidR="002760B2" w:rsidRPr="00621E73" w:rsidRDefault="002760B2" w:rsidP="00CB0FF1">
      <w:pPr>
        <w:pStyle w:val="Paragraphedeliste"/>
        <w:numPr>
          <w:ilvl w:val="0"/>
          <w:numId w:val="29"/>
        </w:numPr>
        <w:tabs>
          <w:tab w:val="left" w:pos="426"/>
          <w:tab w:val="left" w:pos="993"/>
        </w:tabs>
        <w:spacing w:before="60" w:line="300" w:lineRule="auto"/>
        <w:ind w:left="1135"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Que</w:t>
      </w:r>
      <w:r w:rsidR="00A41CD0" w:rsidRPr="00621E73">
        <w:rPr>
          <w:rFonts w:ascii="Times New Roman" w:hAnsi="Times New Roman" w:cs="Times New Roman"/>
          <w:kern w:val="2"/>
          <w:sz w:val="24"/>
          <w:szCs w:val="24"/>
        </w:rPr>
        <w:t>l</w:t>
      </w:r>
      <w:r w:rsidR="0069735E" w:rsidRPr="00621E73">
        <w:rPr>
          <w:rFonts w:ascii="Times New Roman" w:hAnsi="Times New Roman" w:cs="Times New Roman"/>
          <w:kern w:val="2"/>
          <w:sz w:val="24"/>
          <w:szCs w:val="24"/>
        </w:rPr>
        <w:t>le</w:t>
      </w:r>
      <w:r w:rsidR="00A41CD0" w:rsidRPr="00621E73">
        <w:rPr>
          <w:rFonts w:ascii="Times New Roman" w:hAnsi="Times New Roman" w:cs="Times New Roman"/>
          <w:kern w:val="2"/>
          <w:sz w:val="24"/>
          <w:szCs w:val="24"/>
        </w:rPr>
        <w:t>s sont les causes de réticence</w:t>
      </w:r>
      <w:r w:rsidRPr="00621E73">
        <w:rPr>
          <w:rFonts w:ascii="Times New Roman" w:hAnsi="Times New Roman" w:cs="Times New Roman"/>
          <w:kern w:val="2"/>
          <w:sz w:val="24"/>
          <w:szCs w:val="24"/>
        </w:rPr>
        <w:t xml:space="preserve"> des BI </w:t>
      </w:r>
      <w:r w:rsidR="00A41CD0" w:rsidRPr="00621E73">
        <w:rPr>
          <w:rFonts w:ascii="Times New Roman" w:hAnsi="Times New Roman" w:cs="Times New Roman"/>
          <w:kern w:val="2"/>
          <w:sz w:val="24"/>
          <w:szCs w:val="24"/>
        </w:rPr>
        <w:t>envers l</w:t>
      </w:r>
      <w:r w:rsidRPr="00621E73">
        <w:rPr>
          <w:rFonts w:ascii="Times New Roman" w:hAnsi="Times New Roman" w:cs="Times New Roman"/>
          <w:kern w:val="2"/>
          <w:sz w:val="24"/>
          <w:szCs w:val="24"/>
        </w:rPr>
        <w:t xml:space="preserve">es produits financiers </w:t>
      </w:r>
      <w:r w:rsidR="000F4D63" w:rsidRPr="00621E73">
        <w:rPr>
          <w:rFonts w:ascii="Times New Roman" w:hAnsi="Times New Roman" w:cs="Times New Roman"/>
          <w:kern w:val="2"/>
          <w:sz w:val="24"/>
          <w:szCs w:val="24"/>
        </w:rPr>
        <w:t>i</w:t>
      </w:r>
      <w:r w:rsidR="003773C6" w:rsidRPr="00621E73">
        <w:rPr>
          <w:rFonts w:ascii="Times New Roman" w:hAnsi="Times New Roman" w:cs="Times New Roman"/>
          <w:kern w:val="2"/>
          <w:sz w:val="24"/>
          <w:szCs w:val="24"/>
        </w:rPr>
        <w:t>slamique</w:t>
      </w:r>
      <w:r w:rsidRPr="00621E73">
        <w:rPr>
          <w:rFonts w:ascii="Times New Roman" w:hAnsi="Times New Roman" w:cs="Times New Roman"/>
          <w:kern w:val="2"/>
          <w:sz w:val="24"/>
          <w:szCs w:val="24"/>
        </w:rPr>
        <w:t>s participatifs ?</w:t>
      </w:r>
    </w:p>
    <w:p w14:paraId="6C443C71" w14:textId="77777777" w:rsidR="002760B2" w:rsidRPr="00621E73" w:rsidRDefault="002760B2" w:rsidP="00CB0FF1">
      <w:pPr>
        <w:pStyle w:val="Paragraphedeliste"/>
        <w:numPr>
          <w:ilvl w:val="0"/>
          <w:numId w:val="29"/>
        </w:numPr>
        <w:tabs>
          <w:tab w:val="left" w:pos="426"/>
          <w:tab w:val="left" w:pos="993"/>
        </w:tabs>
        <w:spacing w:before="60" w:line="300" w:lineRule="auto"/>
        <w:ind w:left="1135"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 xml:space="preserve">Pourquoi préfèrent-elles le recours aux produits financiers </w:t>
      </w:r>
      <w:r w:rsidR="000F4D63" w:rsidRPr="00621E73">
        <w:rPr>
          <w:rFonts w:ascii="Times New Roman" w:hAnsi="Times New Roman" w:cs="Times New Roman"/>
          <w:kern w:val="2"/>
          <w:sz w:val="24"/>
          <w:szCs w:val="24"/>
        </w:rPr>
        <w:t>i</w:t>
      </w:r>
      <w:r w:rsidR="003773C6" w:rsidRPr="00621E73">
        <w:rPr>
          <w:rFonts w:ascii="Times New Roman" w:hAnsi="Times New Roman" w:cs="Times New Roman"/>
          <w:kern w:val="2"/>
          <w:sz w:val="24"/>
          <w:szCs w:val="24"/>
        </w:rPr>
        <w:t>slamique</w:t>
      </w:r>
      <w:r w:rsidRPr="00621E73">
        <w:rPr>
          <w:rFonts w:ascii="Times New Roman" w:hAnsi="Times New Roman" w:cs="Times New Roman"/>
          <w:kern w:val="2"/>
          <w:sz w:val="24"/>
          <w:szCs w:val="24"/>
        </w:rPr>
        <w:t>s à revenu fixe ?</w:t>
      </w:r>
    </w:p>
    <w:p w14:paraId="10CFACA5" w14:textId="77777777" w:rsidR="00525B04" w:rsidRPr="00621E73" w:rsidRDefault="002760B2" w:rsidP="00CB0FF1">
      <w:pPr>
        <w:pStyle w:val="Paragraphedeliste"/>
        <w:numPr>
          <w:ilvl w:val="0"/>
          <w:numId w:val="29"/>
        </w:numPr>
        <w:tabs>
          <w:tab w:val="left" w:pos="426"/>
          <w:tab w:val="left" w:pos="993"/>
        </w:tabs>
        <w:spacing w:before="60" w:line="300" w:lineRule="auto"/>
        <w:ind w:left="1135"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Quelles sont les solutions possibles pour encourager les BI à utiliser les modes de financement participatif ?</w:t>
      </w:r>
    </w:p>
    <w:p w14:paraId="0A1EF782" w14:textId="7413950F" w:rsidR="002760B2" w:rsidRPr="00621E73" w:rsidRDefault="00621E73" w:rsidP="00621E73">
      <w:pPr>
        <w:tabs>
          <w:tab w:val="left" w:pos="0"/>
          <w:tab w:val="left" w:pos="426"/>
          <w:tab w:val="right" w:pos="1134"/>
        </w:tabs>
        <w:spacing w:before="120" w:after="120" w:line="300" w:lineRule="auto"/>
        <w:ind w:left="709"/>
        <w:outlineLvl w:val="1"/>
        <w:rPr>
          <w:rFonts w:ascii="Times New Roman" w:hAnsi="Times New Roman" w:cs="Times New Roman"/>
          <w:b/>
          <w:bCs/>
          <w:kern w:val="2"/>
          <w:sz w:val="28"/>
          <w:szCs w:val="28"/>
        </w:rPr>
      </w:pPr>
      <w:bookmarkStart w:id="66" w:name="_Toc182298581"/>
      <w:bookmarkStart w:id="67" w:name="_Toc182309377"/>
      <w:r>
        <w:rPr>
          <w:rFonts w:ascii="Times New Roman" w:hAnsi="Times New Roman" w:cs="Times New Roman"/>
          <w:b/>
          <w:bCs/>
          <w:kern w:val="2"/>
          <w:sz w:val="28"/>
          <w:szCs w:val="28"/>
        </w:rPr>
        <w:t>5</w:t>
      </w:r>
      <w:r w:rsidRPr="00621E73">
        <w:rPr>
          <w:rFonts w:ascii="Times New Roman" w:hAnsi="Times New Roman" w:cs="Times New Roman"/>
          <w:b/>
          <w:bCs/>
          <w:kern w:val="2"/>
          <w:sz w:val="28"/>
          <w:szCs w:val="28"/>
        </w:rPr>
        <w:t xml:space="preserve">- </w:t>
      </w:r>
      <w:r w:rsidR="00C55304">
        <w:rPr>
          <w:rFonts w:ascii="Times New Roman" w:hAnsi="Times New Roman" w:cs="Times New Roman"/>
          <w:b/>
          <w:bCs/>
          <w:kern w:val="2"/>
          <w:sz w:val="28"/>
          <w:szCs w:val="28"/>
        </w:rPr>
        <w:t>H</w:t>
      </w:r>
      <w:r w:rsidR="007C7B25" w:rsidRPr="00621E73">
        <w:rPr>
          <w:rFonts w:ascii="Times New Roman" w:hAnsi="Times New Roman" w:cs="Times New Roman"/>
          <w:b/>
          <w:bCs/>
          <w:kern w:val="2"/>
          <w:sz w:val="28"/>
          <w:szCs w:val="28"/>
        </w:rPr>
        <w:t>ypothè</w:t>
      </w:r>
      <w:r w:rsidR="00C11CE5" w:rsidRPr="00621E73">
        <w:rPr>
          <w:rFonts w:ascii="Times New Roman" w:hAnsi="Times New Roman" w:cs="Times New Roman"/>
          <w:b/>
          <w:bCs/>
          <w:kern w:val="2"/>
          <w:sz w:val="28"/>
          <w:szCs w:val="28"/>
        </w:rPr>
        <w:t>ses de recherche</w:t>
      </w:r>
      <w:bookmarkEnd w:id="66"/>
      <w:bookmarkEnd w:id="67"/>
    </w:p>
    <w:p w14:paraId="6109E73A" w14:textId="77777777" w:rsidR="009A06E7" w:rsidRPr="00621E73" w:rsidRDefault="009A06E7" w:rsidP="003E460A">
      <w:pPr>
        <w:tabs>
          <w:tab w:val="left" w:pos="0"/>
        </w:tabs>
        <w:spacing w:before="120" w:line="300" w:lineRule="auto"/>
        <w:ind w:firstLine="709"/>
        <w:rPr>
          <w:rFonts w:ascii="Times New Roman" w:hAnsi="Times New Roman" w:cs="Times New Roman"/>
          <w:kern w:val="2"/>
          <w:sz w:val="24"/>
          <w:szCs w:val="24"/>
        </w:rPr>
      </w:pPr>
      <w:r w:rsidRPr="00621E73">
        <w:rPr>
          <w:rFonts w:ascii="Times New Roman" w:hAnsi="Times New Roman" w:cs="Times New Roman"/>
          <w:kern w:val="2"/>
          <w:sz w:val="24"/>
          <w:szCs w:val="24"/>
        </w:rPr>
        <w:t>Pour traiter no</w:t>
      </w:r>
      <w:r w:rsidR="009438EF" w:rsidRPr="00621E73">
        <w:rPr>
          <w:rFonts w:ascii="Times New Roman" w:hAnsi="Times New Roman" w:cs="Times New Roman"/>
          <w:kern w:val="2"/>
          <w:sz w:val="24"/>
          <w:szCs w:val="24"/>
        </w:rPr>
        <w:t>tre problématique de recherche, les</w:t>
      </w:r>
      <w:r w:rsidR="00151EB7" w:rsidRPr="00621E73">
        <w:rPr>
          <w:rFonts w:ascii="Times New Roman" w:hAnsi="Times New Roman" w:cs="Times New Roman"/>
          <w:kern w:val="2"/>
          <w:sz w:val="24"/>
          <w:szCs w:val="24"/>
        </w:rPr>
        <w:t xml:space="preserve"> hypothèses </w:t>
      </w:r>
      <w:r w:rsidR="009438EF" w:rsidRPr="00621E73">
        <w:rPr>
          <w:rFonts w:ascii="Times New Roman" w:hAnsi="Times New Roman" w:cs="Times New Roman"/>
          <w:kern w:val="2"/>
          <w:sz w:val="24"/>
          <w:szCs w:val="24"/>
        </w:rPr>
        <w:t xml:space="preserve">subséquentes </w:t>
      </w:r>
      <w:r w:rsidR="00151EB7" w:rsidRPr="00621E73">
        <w:rPr>
          <w:rFonts w:ascii="Times New Roman" w:hAnsi="Times New Roman" w:cs="Times New Roman"/>
          <w:kern w:val="2"/>
          <w:sz w:val="24"/>
          <w:szCs w:val="24"/>
        </w:rPr>
        <w:t>sont envisageables :</w:t>
      </w:r>
    </w:p>
    <w:p w14:paraId="53F89454" w14:textId="77777777" w:rsidR="00CB7B02" w:rsidRPr="00621E73" w:rsidRDefault="00CB7B02" w:rsidP="00CB0FF1">
      <w:pPr>
        <w:pStyle w:val="Paragraphedeliste"/>
        <w:numPr>
          <w:ilvl w:val="0"/>
          <w:numId w:val="100"/>
        </w:numPr>
        <w:tabs>
          <w:tab w:val="left" w:pos="709"/>
        </w:tabs>
        <w:spacing w:line="300" w:lineRule="auto"/>
        <w:ind w:left="1135" w:hanging="284"/>
        <w:contextualSpacing w:val="0"/>
        <w:rPr>
          <w:rFonts w:ascii="Times New Roman" w:hAnsi="Times New Roman" w:cs="Times New Roman"/>
          <w:b/>
          <w:bCs/>
          <w:kern w:val="2"/>
          <w:sz w:val="24"/>
          <w:szCs w:val="24"/>
        </w:rPr>
      </w:pPr>
      <w:r w:rsidRPr="00621E73">
        <w:rPr>
          <w:rFonts w:ascii="Times New Roman" w:hAnsi="Times New Roman" w:cs="Times New Roman"/>
          <w:b/>
          <w:bCs/>
          <w:kern w:val="2"/>
          <w:sz w:val="24"/>
          <w:szCs w:val="24"/>
        </w:rPr>
        <w:t>Hypothèse 01 :</w:t>
      </w:r>
    </w:p>
    <w:p w14:paraId="025F48D0" w14:textId="77777777" w:rsidR="00CB7B02" w:rsidRPr="00621E73" w:rsidRDefault="00CB7B02" w:rsidP="00CB7B02">
      <w:pPr>
        <w:pStyle w:val="Paragraphedeliste"/>
        <w:tabs>
          <w:tab w:val="left" w:pos="1134"/>
        </w:tabs>
        <w:spacing w:line="300" w:lineRule="auto"/>
        <w:ind w:left="1134"/>
        <w:contextualSpacing w:val="0"/>
        <w:rPr>
          <w:rFonts w:asciiTheme="majorBidi" w:hAnsiTheme="majorBidi" w:cstheme="majorBidi"/>
          <w:spacing w:val="6"/>
          <w:kern w:val="2"/>
          <w:sz w:val="24"/>
          <w:szCs w:val="24"/>
        </w:rPr>
      </w:pPr>
      <w:r w:rsidRPr="00621E73">
        <w:rPr>
          <w:rFonts w:ascii="Times New Roman" w:hAnsi="Times New Roman" w:cs="Times New Roman"/>
          <w:kern w:val="2"/>
          <w:sz w:val="24"/>
          <w:szCs w:val="24"/>
        </w:rPr>
        <w:t>Certains risques inhérents au financement participatif n’encourageraient pas les BI à offrir les modes à logique de partenariat.</w:t>
      </w:r>
    </w:p>
    <w:p w14:paraId="1C79156D" w14:textId="77777777" w:rsidR="00CB7B02" w:rsidRPr="00621E73" w:rsidRDefault="00CB7B02" w:rsidP="00CB0FF1">
      <w:pPr>
        <w:pStyle w:val="Paragraphedeliste"/>
        <w:numPr>
          <w:ilvl w:val="0"/>
          <w:numId w:val="100"/>
        </w:numPr>
        <w:tabs>
          <w:tab w:val="left" w:pos="0"/>
        </w:tabs>
        <w:spacing w:before="120" w:line="300" w:lineRule="auto"/>
        <w:ind w:left="1135" w:hanging="284"/>
        <w:contextualSpacing w:val="0"/>
        <w:rPr>
          <w:rFonts w:asciiTheme="majorBidi" w:hAnsiTheme="majorBidi" w:cstheme="majorBidi"/>
          <w:kern w:val="2"/>
          <w:sz w:val="24"/>
          <w:szCs w:val="24"/>
        </w:rPr>
      </w:pPr>
      <w:r w:rsidRPr="00621E73">
        <w:rPr>
          <w:rFonts w:ascii="Times New Roman" w:hAnsi="Times New Roman" w:cs="Times New Roman"/>
          <w:b/>
          <w:bCs/>
          <w:kern w:val="2"/>
          <w:sz w:val="24"/>
          <w:szCs w:val="24"/>
        </w:rPr>
        <w:t>Hypothèse 02 :</w:t>
      </w:r>
    </w:p>
    <w:p w14:paraId="6C37C379" w14:textId="77777777" w:rsidR="00CB7B02" w:rsidRPr="00621E73" w:rsidRDefault="00CB7B02" w:rsidP="00CB7B02">
      <w:pPr>
        <w:pStyle w:val="Paragraphedeliste"/>
        <w:tabs>
          <w:tab w:val="left" w:pos="0"/>
        </w:tabs>
        <w:spacing w:line="300" w:lineRule="auto"/>
        <w:ind w:left="1134"/>
        <w:contextualSpacing w:val="0"/>
        <w:rPr>
          <w:rFonts w:asciiTheme="majorBidi" w:hAnsiTheme="majorBidi" w:cstheme="majorBidi"/>
          <w:kern w:val="2"/>
          <w:sz w:val="24"/>
          <w:szCs w:val="24"/>
        </w:rPr>
      </w:pPr>
      <w:r w:rsidRPr="00621E73">
        <w:rPr>
          <w:rFonts w:asciiTheme="majorBidi" w:hAnsiTheme="majorBidi" w:cstheme="majorBidi"/>
          <w:kern w:val="2"/>
          <w:sz w:val="24"/>
          <w:szCs w:val="24"/>
        </w:rPr>
        <w:t>Les contrats financiers participatifs sont perçus par les BI comme plus risqués que les contrats de financement à revenu fixe.</w:t>
      </w:r>
    </w:p>
    <w:p w14:paraId="3252F7BD" w14:textId="77777777" w:rsidR="00CB7B02" w:rsidRPr="00621E73" w:rsidRDefault="00CB7B02" w:rsidP="00CB0FF1">
      <w:pPr>
        <w:pStyle w:val="Paragraphedeliste"/>
        <w:numPr>
          <w:ilvl w:val="0"/>
          <w:numId w:val="100"/>
        </w:numPr>
        <w:tabs>
          <w:tab w:val="left" w:pos="709"/>
        </w:tabs>
        <w:autoSpaceDE w:val="0"/>
        <w:autoSpaceDN w:val="0"/>
        <w:adjustRightInd w:val="0"/>
        <w:spacing w:before="120" w:line="300" w:lineRule="auto"/>
        <w:ind w:left="1135" w:hanging="284"/>
        <w:contextualSpacing w:val="0"/>
        <w:rPr>
          <w:rFonts w:ascii="Times New Roman" w:hAnsi="Times New Roman" w:cs="Times New Roman"/>
          <w:b/>
          <w:bCs/>
          <w:kern w:val="2"/>
          <w:sz w:val="24"/>
          <w:szCs w:val="24"/>
        </w:rPr>
      </w:pPr>
      <w:r w:rsidRPr="00621E73">
        <w:rPr>
          <w:rFonts w:ascii="Times New Roman" w:hAnsi="Times New Roman" w:cs="Times New Roman"/>
          <w:b/>
          <w:bCs/>
          <w:kern w:val="2"/>
          <w:sz w:val="24"/>
          <w:szCs w:val="24"/>
        </w:rPr>
        <w:t>Hypothèse 03 :</w:t>
      </w:r>
    </w:p>
    <w:p w14:paraId="33F6CE06" w14:textId="780A3ADD" w:rsidR="00CB7B02" w:rsidRPr="00621E73" w:rsidRDefault="00CB7B02" w:rsidP="00CB7B02">
      <w:pPr>
        <w:pStyle w:val="Retraitcorpsdetexte2"/>
        <w:tabs>
          <w:tab w:val="left" w:pos="709"/>
        </w:tabs>
        <w:autoSpaceDE w:val="0"/>
        <w:autoSpaceDN w:val="0"/>
        <w:adjustRightInd w:val="0"/>
        <w:spacing w:after="0" w:line="300" w:lineRule="auto"/>
        <w:ind w:left="1134"/>
        <w:rPr>
          <w:rFonts w:asciiTheme="majorBidi" w:hAnsiTheme="majorBidi" w:cstheme="majorBidi"/>
          <w:kern w:val="2"/>
        </w:rPr>
      </w:pPr>
      <w:r w:rsidRPr="00621E73">
        <w:rPr>
          <w:rFonts w:asciiTheme="majorBidi" w:hAnsiTheme="majorBidi" w:cstheme="majorBidi"/>
          <w:kern w:val="2"/>
        </w:rPr>
        <w:t>L’</w:t>
      </w:r>
      <w:r w:rsidR="0069735E" w:rsidRPr="00621E73">
        <w:rPr>
          <w:rFonts w:asciiTheme="majorBidi" w:hAnsiTheme="majorBidi" w:cstheme="majorBidi"/>
          <w:kern w:val="2"/>
        </w:rPr>
        <w:t>expérience</w:t>
      </w:r>
      <w:r w:rsidRPr="00621E73">
        <w:rPr>
          <w:rFonts w:asciiTheme="majorBidi" w:hAnsiTheme="majorBidi" w:cstheme="majorBidi"/>
          <w:kern w:val="2"/>
        </w:rPr>
        <w:t xml:space="preserve"> accumulé</w:t>
      </w:r>
      <w:r w:rsidR="00017782" w:rsidRPr="00621E73">
        <w:rPr>
          <w:rFonts w:asciiTheme="majorBidi" w:hAnsiTheme="majorBidi" w:cstheme="majorBidi"/>
          <w:kern w:val="2"/>
        </w:rPr>
        <w:t>e par les BI leur a permis de dé</w:t>
      </w:r>
      <w:r w:rsidRPr="00621E73">
        <w:rPr>
          <w:rFonts w:asciiTheme="majorBidi" w:hAnsiTheme="majorBidi" w:cstheme="majorBidi"/>
          <w:kern w:val="2"/>
        </w:rPr>
        <w:t>velopper une innovation financière en matière d’instruments de gestion des risques.</w:t>
      </w:r>
    </w:p>
    <w:p w14:paraId="1E4A9725" w14:textId="41D88233" w:rsidR="002760B2" w:rsidRPr="00621E73" w:rsidRDefault="00621E73" w:rsidP="00621E73">
      <w:pPr>
        <w:tabs>
          <w:tab w:val="left" w:pos="0"/>
          <w:tab w:val="left" w:pos="993"/>
        </w:tabs>
        <w:spacing w:before="120" w:after="120" w:line="300" w:lineRule="auto"/>
        <w:ind w:firstLine="709"/>
        <w:outlineLvl w:val="1"/>
        <w:rPr>
          <w:rFonts w:ascii="Times New Roman" w:hAnsi="Times New Roman" w:cs="Times New Roman"/>
          <w:b/>
          <w:bCs/>
          <w:kern w:val="2"/>
          <w:sz w:val="28"/>
          <w:szCs w:val="28"/>
          <w:u w:val="single"/>
        </w:rPr>
      </w:pPr>
      <w:bookmarkStart w:id="68" w:name="_Toc182298582"/>
      <w:bookmarkStart w:id="69" w:name="_Toc182309378"/>
      <w:r>
        <w:rPr>
          <w:rFonts w:ascii="Times New Roman" w:hAnsi="Times New Roman" w:cs="Times New Roman"/>
          <w:b/>
          <w:bCs/>
          <w:kern w:val="2"/>
          <w:sz w:val="28"/>
          <w:szCs w:val="28"/>
        </w:rPr>
        <w:t>6</w:t>
      </w:r>
      <w:r w:rsidRPr="00621E73">
        <w:rPr>
          <w:rFonts w:ascii="Times New Roman" w:hAnsi="Times New Roman" w:cs="Times New Roman"/>
          <w:b/>
          <w:bCs/>
          <w:kern w:val="2"/>
          <w:sz w:val="28"/>
          <w:szCs w:val="28"/>
        </w:rPr>
        <w:t xml:space="preserve">- </w:t>
      </w:r>
      <w:r w:rsidR="002760B2" w:rsidRPr="00621E73">
        <w:rPr>
          <w:rFonts w:ascii="Times New Roman" w:hAnsi="Times New Roman" w:cs="Times New Roman"/>
          <w:b/>
          <w:bCs/>
          <w:kern w:val="2"/>
          <w:sz w:val="28"/>
          <w:szCs w:val="28"/>
        </w:rPr>
        <w:t>Méthodologie de recherche</w:t>
      </w:r>
      <w:bookmarkEnd w:id="68"/>
      <w:bookmarkEnd w:id="69"/>
    </w:p>
    <w:p w14:paraId="2E952D8D" w14:textId="77777777" w:rsidR="00546103" w:rsidRPr="00621E73" w:rsidRDefault="00546103" w:rsidP="00546103">
      <w:pPr>
        <w:tabs>
          <w:tab w:val="left" w:pos="0"/>
        </w:tabs>
        <w:spacing w:before="120" w:after="120" w:line="300" w:lineRule="auto"/>
        <w:ind w:firstLine="709"/>
        <w:rPr>
          <w:rFonts w:ascii="Times New Roman" w:hAnsi="Times New Roman" w:cs="Times New Roman"/>
          <w:kern w:val="2"/>
          <w:sz w:val="24"/>
          <w:szCs w:val="24"/>
        </w:rPr>
      </w:pPr>
      <w:r w:rsidRPr="00621E73">
        <w:rPr>
          <w:rFonts w:asciiTheme="majorBidi" w:hAnsiTheme="majorBidi" w:cstheme="majorBidi"/>
          <w:kern w:val="2"/>
          <w:sz w:val="24"/>
          <w:szCs w:val="24"/>
        </w:rPr>
        <w:t xml:space="preserve">Pour mener à bien cette recherche, </w:t>
      </w:r>
      <w:r w:rsidRPr="00621E73">
        <w:rPr>
          <w:rFonts w:ascii="Times New Roman" w:hAnsi="Times New Roman" w:cs="Times New Roman"/>
          <w:kern w:val="2"/>
          <w:sz w:val="24"/>
          <w:szCs w:val="24"/>
        </w:rPr>
        <w:t xml:space="preserve">notre réflexion s’appuie sur une approche déductive et empirique. </w:t>
      </w:r>
      <w:r w:rsidRPr="00621E73">
        <w:rPr>
          <w:rFonts w:asciiTheme="majorBidi" w:hAnsiTheme="majorBidi" w:cstheme="majorBidi"/>
          <w:kern w:val="2"/>
          <w:sz w:val="24"/>
          <w:szCs w:val="24"/>
        </w:rPr>
        <w:t xml:space="preserve">Nous avons recouru à certains outils d’analyse aussi bien théoriques que </w:t>
      </w:r>
      <w:r w:rsidRPr="00621E73">
        <w:rPr>
          <w:rFonts w:asciiTheme="majorBidi" w:hAnsiTheme="majorBidi" w:cstheme="majorBidi"/>
          <w:kern w:val="2"/>
          <w:sz w:val="24"/>
          <w:szCs w:val="24"/>
        </w:rPr>
        <w:lastRenderedPageBreak/>
        <w:t>pratiques. Cette démarche</w:t>
      </w:r>
      <w:r w:rsidRPr="00621E73">
        <w:rPr>
          <w:rFonts w:ascii="Times New Roman" w:hAnsi="Times New Roman" w:cs="Times New Roman"/>
          <w:kern w:val="2"/>
          <w:sz w:val="24"/>
          <w:szCs w:val="24"/>
        </w:rPr>
        <w:t xml:space="preserve"> est utilisée pour déceler les difficultés de développement du financement participatif dans l’industrie bancaire islamique.</w:t>
      </w:r>
    </w:p>
    <w:p w14:paraId="2C013C29" w14:textId="20D32870" w:rsidR="00546103" w:rsidRPr="00621E73" w:rsidRDefault="00546103" w:rsidP="00731EAA">
      <w:pPr>
        <w:pStyle w:val="Corpsdetexte"/>
        <w:spacing w:before="120" w:line="300" w:lineRule="auto"/>
        <w:ind w:firstLine="709"/>
        <w:rPr>
          <w:kern w:val="2"/>
        </w:rPr>
      </w:pPr>
      <w:r w:rsidRPr="00621E73">
        <w:rPr>
          <w:kern w:val="2"/>
        </w:rPr>
        <w:t xml:space="preserve">Cette recherche a </w:t>
      </w:r>
      <w:r w:rsidR="00E13FA6" w:rsidRPr="00621E73">
        <w:rPr>
          <w:kern w:val="2"/>
        </w:rPr>
        <w:t>nécessité</w:t>
      </w:r>
      <w:r w:rsidRPr="00621E73">
        <w:rPr>
          <w:kern w:val="2"/>
        </w:rPr>
        <w:t xml:space="preserve"> le déroulement d’une enquête de terrain au moyen d’un questionnaire auprès des responsables de banque islamique à l’échelle de 31 pays relevant de plusieurs régions du monde. Les données obtenues de ces multiples expériences des dirigeants bancaires nous ont permis d’avoir des éléments de réponse très pertinents pour vérifier nos hypothèses de recherche et obtenir des conclusions significatives.</w:t>
      </w:r>
    </w:p>
    <w:p w14:paraId="466DC4BD" w14:textId="33C5B7DC" w:rsidR="00546103" w:rsidRPr="00621E73" w:rsidRDefault="00546103" w:rsidP="00731EAA">
      <w:pPr>
        <w:tabs>
          <w:tab w:val="left" w:pos="0"/>
        </w:tabs>
        <w:spacing w:before="120" w:line="300" w:lineRule="auto"/>
        <w:ind w:firstLine="709"/>
        <w:rPr>
          <w:rFonts w:asciiTheme="majorBidi" w:hAnsiTheme="majorBidi" w:cstheme="majorBidi"/>
          <w:kern w:val="2"/>
          <w:sz w:val="24"/>
          <w:szCs w:val="24"/>
        </w:rPr>
      </w:pPr>
      <w:r w:rsidRPr="00621E73">
        <w:rPr>
          <w:rFonts w:asciiTheme="majorBidi" w:hAnsiTheme="majorBidi" w:cstheme="majorBidi"/>
          <w:kern w:val="2"/>
          <w:sz w:val="24"/>
          <w:szCs w:val="24"/>
        </w:rPr>
        <w:t xml:space="preserve">Le traitement des réponses collectées a été réalisé au moyen d’outils statistiques. Nous avons alors mené une analyse </w:t>
      </w:r>
      <w:r w:rsidR="00E13FA6" w:rsidRPr="00621E73">
        <w:rPr>
          <w:rFonts w:asciiTheme="majorBidi" w:hAnsiTheme="majorBidi" w:cstheme="majorBidi"/>
          <w:kern w:val="2"/>
          <w:sz w:val="24"/>
          <w:szCs w:val="24"/>
        </w:rPr>
        <w:t>descriptive</w:t>
      </w:r>
      <w:r w:rsidRPr="00621E73">
        <w:rPr>
          <w:rFonts w:asciiTheme="majorBidi" w:hAnsiTheme="majorBidi" w:cstheme="majorBidi"/>
          <w:kern w:val="2"/>
          <w:sz w:val="24"/>
          <w:szCs w:val="24"/>
        </w:rPr>
        <w:t xml:space="preserve"> des informations contenues dans les questionnaires. </w:t>
      </w:r>
      <w:r w:rsidR="00E54FDD" w:rsidRPr="00621E73">
        <w:rPr>
          <w:rFonts w:asciiTheme="majorBidi" w:hAnsiTheme="majorBidi" w:cstheme="majorBidi"/>
          <w:kern w:val="2"/>
          <w:sz w:val="24"/>
          <w:szCs w:val="24"/>
        </w:rPr>
        <w:t xml:space="preserve">Cette </w:t>
      </w:r>
      <w:r w:rsidRPr="00621E73">
        <w:rPr>
          <w:rFonts w:asciiTheme="majorBidi" w:hAnsiTheme="majorBidi" w:cstheme="majorBidi"/>
          <w:kern w:val="2"/>
          <w:sz w:val="24"/>
          <w:szCs w:val="24"/>
        </w:rPr>
        <w:t>étape a été suivie par une analyse statistique non paramétrique sur la base des logiciels SPSS (version 20) et Excel.</w:t>
      </w:r>
    </w:p>
    <w:p w14:paraId="7C216A50" w14:textId="77777777" w:rsidR="00546103" w:rsidRPr="00621E73" w:rsidRDefault="00546103" w:rsidP="00731EAA">
      <w:pPr>
        <w:tabs>
          <w:tab w:val="left" w:pos="0"/>
        </w:tabs>
        <w:spacing w:before="120" w:line="300" w:lineRule="auto"/>
        <w:ind w:firstLine="709"/>
        <w:rPr>
          <w:rFonts w:asciiTheme="majorBidi" w:hAnsiTheme="majorBidi" w:cstheme="majorBidi"/>
          <w:kern w:val="2"/>
          <w:sz w:val="24"/>
          <w:szCs w:val="24"/>
        </w:rPr>
      </w:pPr>
      <w:r w:rsidRPr="00621E73">
        <w:rPr>
          <w:rFonts w:asciiTheme="majorBidi" w:hAnsiTheme="majorBidi" w:cstheme="majorBidi"/>
          <w:kern w:val="2"/>
          <w:sz w:val="24"/>
          <w:szCs w:val="24"/>
        </w:rPr>
        <w:t>La réalisation de cette enquête sur la gestion des risques des modes de financement participatif constitue un enrichissement de la littérature consacrée à l’industrie bancaire islamique que nous n’avons pas manqué d’exploiter.</w:t>
      </w:r>
    </w:p>
    <w:p w14:paraId="28F86F3B" w14:textId="3750B716" w:rsidR="002760B2" w:rsidRPr="00621E73" w:rsidRDefault="00621E73" w:rsidP="00A70123">
      <w:pPr>
        <w:tabs>
          <w:tab w:val="left" w:pos="0"/>
          <w:tab w:val="left" w:pos="993"/>
        </w:tabs>
        <w:spacing w:before="120" w:after="120" w:line="300" w:lineRule="auto"/>
        <w:ind w:firstLine="709"/>
        <w:outlineLvl w:val="1"/>
        <w:rPr>
          <w:rFonts w:ascii="Times New Roman" w:hAnsi="Times New Roman" w:cs="Times New Roman"/>
          <w:b/>
          <w:bCs/>
          <w:kern w:val="2"/>
          <w:sz w:val="28"/>
          <w:szCs w:val="28"/>
        </w:rPr>
      </w:pPr>
      <w:bookmarkStart w:id="70" w:name="_Toc182298583"/>
      <w:bookmarkStart w:id="71" w:name="_Toc182309379"/>
      <w:r>
        <w:rPr>
          <w:rFonts w:ascii="Times New Roman" w:hAnsi="Times New Roman" w:cs="Times New Roman"/>
          <w:b/>
          <w:bCs/>
          <w:kern w:val="2"/>
          <w:sz w:val="28"/>
          <w:szCs w:val="28"/>
        </w:rPr>
        <w:t xml:space="preserve">7- </w:t>
      </w:r>
      <w:r w:rsidR="00C11CE5" w:rsidRPr="00621E73">
        <w:rPr>
          <w:rFonts w:ascii="Times New Roman" w:hAnsi="Times New Roman" w:cs="Times New Roman"/>
          <w:b/>
          <w:bCs/>
          <w:kern w:val="2"/>
          <w:sz w:val="28"/>
          <w:szCs w:val="28"/>
        </w:rPr>
        <w:t>Structure de la thèse</w:t>
      </w:r>
      <w:bookmarkEnd w:id="70"/>
      <w:bookmarkEnd w:id="71"/>
    </w:p>
    <w:p w14:paraId="5DD00120" w14:textId="77777777" w:rsidR="00922267" w:rsidRPr="00621E73" w:rsidRDefault="00922267" w:rsidP="00922267">
      <w:pPr>
        <w:tabs>
          <w:tab w:val="left" w:pos="0"/>
        </w:tabs>
        <w:spacing w:before="120" w:line="300" w:lineRule="auto"/>
        <w:ind w:firstLine="709"/>
        <w:rPr>
          <w:rFonts w:ascii="Times New Roman" w:hAnsi="Times New Roman" w:cs="Times New Roman"/>
          <w:kern w:val="2"/>
          <w:sz w:val="24"/>
          <w:szCs w:val="24"/>
        </w:rPr>
      </w:pPr>
      <w:r w:rsidRPr="00621E73">
        <w:rPr>
          <w:rFonts w:ascii="Times New Roman" w:hAnsi="Times New Roman" w:cs="Times New Roman"/>
          <w:kern w:val="2"/>
          <w:sz w:val="24"/>
          <w:szCs w:val="24"/>
        </w:rPr>
        <w:t>Afin de développer notre réflexion, ce travail doctoral est structuré en quatre chapitres relativement équilibrés, subdivisés en trois sections et déclinés comme suit :</w:t>
      </w:r>
    </w:p>
    <w:p w14:paraId="0FC80889" w14:textId="77777777" w:rsidR="00922267" w:rsidRPr="00621E73" w:rsidRDefault="00922267" w:rsidP="00CB0FF1">
      <w:pPr>
        <w:pStyle w:val="Paragraphedeliste"/>
        <w:numPr>
          <w:ilvl w:val="0"/>
          <w:numId w:val="78"/>
        </w:numPr>
        <w:tabs>
          <w:tab w:val="left" w:pos="0"/>
        </w:tabs>
        <w:spacing w:before="120" w:line="300" w:lineRule="auto"/>
        <w:ind w:left="1134" w:hanging="283"/>
        <w:rPr>
          <w:rFonts w:ascii="Times New Roman" w:hAnsi="Times New Roman" w:cs="Times New Roman"/>
          <w:spacing w:val="-4"/>
          <w:kern w:val="2"/>
          <w:sz w:val="24"/>
          <w:szCs w:val="24"/>
        </w:rPr>
      </w:pPr>
      <w:r w:rsidRPr="00621E73">
        <w:rPr>
          <w:rFonts w:ascii="Times New Roman" w:hAnsi="Times New Roman" w:cs="Times New Roman"/>
          <w:spacing w:val="-4"/>
          <w:kern w:val="2"/>
          <w:sz w:val="24"/>
          <w:szCs w:val="24"/>
        </w:rPr>
        <w:t xml:space="preserve">D’abord, le </w:t>
      </w:r>
      <w:r w:rsidRPr="00621E73">
        <w:rPr>
          <w:rFonts w:ascii="Times New Roman" w:hAnsi="Times New Roman" w:cs="Times New Roman"/>
          <w:b/>
          <w:bCs/>
          <w:spacing w:val="-4"/>
          <w:kern w:val="2"/>
          <w:sz w:val="24"/>
          <w:szCs w:val="24"/>
        </w:rPr>
        <w:t>premier chapitre</w:t>
      </w:r>
      <w:r w:rsidRPr="00621E73">
        <w:rPr>
          <w:rFonts w:ascii="Times New Roman" w:hAnsi="Times New Roman" w:cs="Times New Roman"/>
          <w:spacing w:val="-4"/>
          <w:kern w:val="2"/>
          <w:sz w:val="24"/>
          <w:szCs w:val="24"/>
        </w:rPr>
        <w:t xml:space="preserve"> est consacré à la présentation des fondements et sources de la finance islamique. Les principes de base encadrant l’industrie bancaire islamique sont clairement exposés. De même tous les modes de financement utilisés par les banques islamiques sont, pensons-nous, suffisamment explicités.</w:t>
      </w:r>
    </w:p>
    <w:p w14:paraId="07FC366E" w14:textId="77777777" w:rsidR="00922267" w:rsidRPr="00621E73" w:rsidRDefault="00922267" w:rsidP="00CB0FF1">
      <w:pPr>
        <w:pStyle w:val="Paragraphedeliste"/>
        <w:numPr>
          <w:ilvl w:val="0"/>
          <w:numId w:val="78"/>
        </w:numPr>
        <w:tabs>
          <w:tab w:val="left" w:pos="0"/>
        </w:tabs>
        <w:spacing w:before="120" w:line="300" w:lineRule="auto"/>
        <w:ind w:left="1135" w:hanging="284"/>
        <w:contextualSpacing w:val="0"/>
        <w:rPr>
          <w:rFonts w:ascii="Times New Roman" w:hAnsi="Times New Roman" w:cs="Times New Roman"/>
          <w:spacing w:val="-4"/>
          <w:kern w:val="2"/>
          <w:sz w:val="24"/>
          <w:szCs w:val="24"/>
        </w:rPr>
      </w:pPr>
      <w:r w:rsidRPr="00621E73">
        <w:rPr>
          <w:rFonts w:ascii="Times New Roman" w:hAnsi="Times New Roman" w:cs="Times New Roman"/>
          <w:spacing w:val="-4"/>
          <w:kern w:val="2"/>
          <w:sz w:val="24"/>
          <w:szCs w:val="24"/>
        </w:rPr>
        <w:t xml:space="preserve">Ensuite, le </w:t>
      </w:r>
      <w:r w:rsidRPr="00621E73">
        <w:rPr>
          <w:rFonts w:ascii="Times New Roman" w:hAnsi="Times New Roman" w:cs="Times New Roman"/>
          <w:b/>
          <w:bCs/>
          <w:spacing w:val="-4"/>
          <w:kern w:val="2"/>
          <w:sz w:val="24"/>
          <w:szCs w:val="24"/>
        </w:rPr>
        <w:t>deuxième chapitre</w:t>
      </w:r>
      <w:r w:rsidRPr="00621E73">
        <w:rPr>
          <w:rFonts w:ascii="Times New Roman" w:hAnsi="Times New Roman" w:cs="Times New Roman"/>
          <w:spacing w:val="-4"/>
          <w:kern w:val="2"/>
          <w:sz w:val="24"/>
          <w:szCs w:val="24"/>
        </w:rPr>
        <w:t xml:space="preserve"> est destiné à une étude approfondi</w:t>
      </w:r>
      <w:r w:rsidR="0009206A" w:rsidRPr="00621E73">
        <w:rPr>
          <w:rFonts w:ascii="Times New Roman" w:hAnsi="Times New Roman" w:cs="Times New Roman"/>
          <w:spacing w:val="-4"/>
          <w:kern w:val="2"/>
          <w:sz w:val="24"/>
          <w:szCs w:val="24"/>
        </w:rPr>
        <w:t>e des risques encourus par l’in</w:t>
      </w:r>
      <w:r w:rsidRPr="00621E73">
        <w:rPr>
          <w:rFonts w:ascii="Times New Roman" w:hAnsi="Times New Roman" w:cs="Times New Roman"/>
          <w:spacing w:val="-4"/>
          <w:kern w:val="2"/>
          <w:sz w:val="24"/>
          <w:szCs w:val="24"/>
        </w:rPr>
        <w:t>dustrie bancaire en général ainsi que les techniques utilisées en matière de gestion de ces risques. La dernière section de ce chapitre est dévolue aux risques inhérents aux instruments de financement offerts par les banques islamiques.</w:t>
      </w:r>
    </w:p>
    <w:p w14:paraId="71C0D873" w14:textId="77777777" w:rsidR="00922267" w:rsidRPr="00621E73" w:rsidRDefault="00922267" w:rsidP="00CB0FF1">
      <w:pPr>
        <w:pStyle w:val="Paragraphedeliste"/>
        <w:numPr>
          <w:ilvl w:val="0"/>
          <w:numId w:val="78"/>
        </w:numPr>
        <w:tabs>
          <w:tab w:val="left" w:pos="0"/>
        </w:tabs>
        <w:spacing w:before="120" w:line="300" w:lineRule="auto"/>
        <w:ind w:left="1135" w:hanging="284"/>
        <w:contextualSpacing w:val="0"/>
        <w:rPr>
          <w:rFonts w:ascii="Times New Roman" w:hAnsi="Times New Roman" w:cs="Times New Roman"/>
          <w:b/>
          <w:bCs/>
          <w:kern w:val="2"/>
          <w:sz w:val="24"/>
          <w:szCs w:val="24"/>
        </w:rPr>
      </w:pPr>
      <w:r w:rsidRPr="00621E73">
        <w:rPr>
          <w:rFonts w:ascii="Times New Roman" w:hAnsi="Times New Roman" w:cs="Times New Roman"/>
          <w:kern w:val="2"/>
          <w:sz w:val="24"/>
          <w:szCs w:val="24"/>
        </w:rPr>
        <w:t xml:space="preserve">Puis, le </w:t>
      </w:r>
      <w:r w:rsidRPr="00621E73">
        <w:rPr>
          <w:rFonts w:ascii="Times New Roman" w:hAnsi="Times New Roman" w:cs="Times New Roman"/>
          <w:b/>
          <w:bCs/>
          <w:kern w:val="2"/>
          <w:sz w:val="24"/>
          <w:szCs w:val="24"/>
        </w:rPr>
        <w:t>troisième chapitre</w:t>
      </w:r>
      <w:r w:rsidRPr="00621E73">
        <w:rPr>
          <w:rFonts w:ascii="Times New Roman" w:hAnsi="Times New Roman" w:cs="Times New Roman"/>
          <w:kern w:val="2"/>
          <w:sz w:val="24"/>
          <w:szCs w:val="24"/>
        </w:rPr>
        <w:t xml:space="preserve"> traite expressément des risques liés aux techniques de financement participatif. Nous n’avons pas manqué, dans la première section, d’aborder les formes de sociétés selon le partenariat islamique et, dans la seconde, les applications de la </w:t>
      </w:r>
      <w:r w:rsidRPr="00621E73">
        <w:rPr>
          <w:rFonts w:ascii="Times New Roman" w:hAnsi="Times New Roman" w:cs="Times New Roman"/>
          <w:i/>
          <w:iCs/>
          <w:kern w:val="2"/>
          <w:sz w:val="24"/>
          <w:szCs w:val="24"/>
        </w:rPr>
        <w:t>moucharaka</w:t>
      </w:r>
      <w:r w:rsidRPr="00621E73">
        <w:rPr>
          <w:rFonts w:ascii="Times New Roman" w:hAnsi="Times New Roman" w:cs="Times New Roman"/>
          <w:kern w:val="2"/>
          <w:sz w:val="24"/>
          <w:szCs w:val="24"/>
        </w:rPr>
        <w:t xml:space="preserve"> et de la </w:t>
      </w:r>
      <w:r w:rsidRPr="00621E73">
        <w:rPr>
          <w:rFonts w:ascii="Times New Roman" w:hAnsi="Times New Roman" w:cs="Times New Roman"/>
          <w:i/>
          <w:iCs/>
          <w:kern w:val="2"/>
          <w:sz w:val="24"/>
          <w:szCs w:val="24"/>
        </w:rPr>
        <w:t>moudaraba</w:t>
      </w:r>
      <w:r w:rsidRPr="00621E73">
        <w:rPr>
          <w:rFonts w:ascii="Times New Roman" w:hAnsi="Times New Roman" w:cs="Times New Roman"/>
          <w:kern w:val="2"/>
          <w:sz w:val="24"/>
          <w:szCs w:val="24"/>
        </w:rPr>
        <w:t xml:space="preserve"> de façon moderne par les banques. L’analyse des risques inhérents à ces contrats financiers et les techniques de leur gestion ont fait l’objet de la dernière section.</w:t>
      </w:r>
    </w:p>
    <w:p w14:paraId="0E3CA05A" w14:textId="20C48FF0" w:rsidR="003E30C3" w:rsidRPr="00621E73" w:rsidRDefault="00922267" w:rsidP="00CB0FF1">
      <w:pPr>
        <w:pStyle w:val="Paragraphedeliste"/>
        <w:numPr>
          <w:ilvl w:val="0"/>
          <w:numId w:val="78"/>
        </w:numPr>
        <w:tabs>
          <w:tab w:val="left" w:pos="0"/>
        </w:tabs>
        <w:spacing w:before="120" w:after="100" w:afterAutospacing="1" w:line="300" w:lineRule="auto"/>
        <w:ind w:left="1135" w:hanging="284"/>
        <w:contextualSpacing w:val="0"/>
        <w:rPr>
          <w:rFonts w:ascii="Times New Roman" w:hAnsi="Times New Roman" w:cs="Times New Roman"/>
          <w:kern w:val="2"/>
          <w:sz w:val="24"/>
          <w:szCs w:val="24"/>
        </w:rPr>
      </w:pPr>
      <w:r w:rsidRPr="00621E73">
        <w:rPr>
          <w:rFonts w:ascii="Times New Roman" w:hAnsi="Times New Roman" w:cs="Times New Roman"/>
          <w:kern w:val="2"/>
          <w:sz w:val="24"/>
          <w:szCs w:val="24"/>
        </w:rPr>
        <w:t xml:space="preserve">Enfin, le </w:t>
      </w:r>
      <w:r w:rsidRPr="00621E73">
        <w:rPr>
          <w:rFonts w:ascii="Times New Roman" w:hAnsi="Times New Roman" w:cs="Times New Roman"/>
          <w:b/>
          <w:bCs/>
          <w:kern w:val="2"/>
          <w:sz w:val="24"/>
          <w:szCs w:val="24"/>
        </w:rPr>
        <w:t>quatrième chapitre</w:t>
      </w:r>
      <w:r w:rsidRPr="00621E73">
        <w:rPr>
          <w:rFonts w:ascii="Times New Roman" w:hAnsi="Times New Roman" w:cs="Times New Roman"/>
          <w:kern w:val="2"/>
          <w:sz w:val="24"/>
          <w:szCs w:val="24"/>
        </w:rPr>
        <w:t xml:space="preserve"> est réservé à l’étude empirique menée sur le terrain auprès des professionnels activant au sein des banques islamiques au moyen d’un questionnaire renfermant plusieurs rubriques. Les objectifs de l’enquête, sa méthodologie ainsi que son déroulement ont été détaillés dans la seconde section de ce chapitre. Cette étude </w:t>
      </w:r>
      <w:r w:rsidR="00E13FA6" w:rsidRPr="00621E73">
        <w:rPr>
          <w:rFonts w:ascii="Times New Roman" w:hAnsi="Times New Roman" w:cs="Times New Roman"/>
          <w:kern w:val="2"/>
          <w:sz w:val="24"/>
          <w:szCs w:val="24"/>
        </w:rPr>
        <w:t>empirique</w:t>
      </w:r>
      <w:r w:rsidRPr="00621E73">
        <w:rPr>
          <w:rFonts w:ascii="Times New Roman" w:hAnsi="Times New Roman" w:cs="Times New Roman"/>
          <w:kern w:val="2"/>
          <w:sz w:val="24"/>
          <w:szCs w:val="24"/>
        </w:rPr>
        <w:t xml:space="preserve"> réalisée à une grande échelle a permis d’aboutir à des résultats probants notamment ceux relatifs aux risques bancaires de financement M-M, obtenus après leur analyse statistique descriptive et leur interprétation dans la dernière section.</w:t>
      </w:r>
    </w:p>
    <w:p w14:paraId="206C6798" w14:textId="77777777" w:rsidR="00621E73" w:rsidRDefault="00621E73" w:rsidP="00621E73">
      <w:pPr>
        <w:tabs>
          <w:tab w:val="left" w:pos="0"/>
          <w:tab w:val="left" w:pos="4020"/>
        </w:tabs>
        <w:spacing w:before="100" w:beforeAutospacing="1" w:after="100" w:afterAutospacing="1" w:line="360" w:lineRule="auto"/>
        <w:jc w:val="center"/>
        <w:rPr>
          <w:rFonts w:ascii="Times New Roman" w:hAnsi="Times New Roman" w:cs="Times New Roman"/>
          <w:b/>
          <w:bCs/>
          <w:color w:val="002060"/>
          <w:sz w:val="28"/>
          <w:szCs w:val="28"/>
        </w:rPr>
      </w:pPr>
    </w:p>
    <w:p w14:paraId="46E057D0" w14:textId="24670D0D" w:rsidR="002760B2" w:rsidRPr="002B005F" w:rsidRDefault="002760B2" w:rsidP="00621E73">
      <w:pPr>
        <w:tabs>
          <w:tab w:val="left" w:pos="0"/>
          <w:tab w:val="left" w:pos="4020"/>
        </w:tabs>
        <w:spacing w:before="100" w:beforeAutospacing="1" w:after="100" w:afterAutospacing="1" w:line="360" w:lineRule="auto"/>
        <w:jc w:val="center"/>
        <w:rPr>
          <w:rFonts w:ascii="Times New Roman" w:hAnsi="Times New Roman" w:cs="Times New Roman"/>
          <w:b/>
          <w:bCs/>
          <w:color w:val="002060"/>
          <w:sz w:val="28"/>
          <w:szCs w:val="28"/>
        </w:rPr>
      </w:pPr>
      <w:r w:rsidRPr="002B005F">
        <w:rPr>
          <w:rFonts w:ascii="Times New Roman" w:hAnsi="Times New Roman" w:cs="Times New Roman"/>
          <w:b/>
          <w:bCs/>
          <w:color w:val="002060"/>
          <w:sz w:val="28"/>
          <w:szCs w:val="28"/>
        </w:rPr>
        <w:t>Architecture de la thèse</w:t>
      </w:r>
    </w:p>
    <w:p w14:paraId="2795AC77" w14:textId="77777777" w:rsidR="002760B2" w:rsidRPr="002B005F" w:rsidRDefault="002760B2" w:rsidP="00621E73">
      <w:pPr>
        <w:pStyle w:val="Paragraphedeliste"/>
        <w:tabs>
          <w:tab w:val="left" w:pos="0"/>
          <w:tab w:val="left" w:pos="993"/>
        </w:tabs>
        <w:spacing w:line="360" w:lineRule="auto"/>
        <w:ind w:left="0"/>
        <w:contextualSpacing w:val="0"/>
        <w:jc w:val="center"/>
        <w:rPr>
          <w:rFonts w:ascii="Times New Roman" w:hAnsi="Times New Roman" w:cs="Times New Roman"/>
          <w:sz w:val="24"/>
          <w:szCs w:val="24"/>
        </w:rPr>
      </w:pPr>
    </w:p>
    <w:p w14:paraId="34062C45" w14:textId="4C213D40" w:rsidR="002760B2" w:rsidRPr="002B005F" w:rsidRDefault="002760B2" w:rsidP="00621E73">
      <w:pPr>
        <w:tabs>
          <w:tab w:val="left" w:pos="0"/>
          <w:tab w:val="left" w:pos="6780"/>
        </w:tabs>
        <w:spacing w:line="360" w:lineRule="auto"/>
        <w:jc w:val="center"/>
        <w:rPr>
          <w:rFonts w:ascii="Times New Roman" w:hAnsi="Times New Roman" w:cs="Times New Roman"/>
          <w:sz w:val="24"/>
          <w:szCs w:val="24"/>
        </w:rPr>
      </w:pPr>
    </w:p>
    <w:p w14:paraId="6BDD2124" w14:textId="1CBB0D36" w:rsidR="002760B2" w:rsidRPr="002B005F" w:rsidRDefault="002760B2" w:rsidP="00621E73">
      <w:pPr>
        <w:tabs>
          <w:tab w:val="left" w:pos="0"/>
        </w:tabs>
        <w:spacing w:line="360" w:lineRule="auto"/>
        <w:jc w:val="center"/>
        <w:rPr>
          <w:rFonts w:ascii="Times New Roman" w:hAnsi="Times New Roman" w:cs="Times New Roman"/>
          <w:sz w:val="24"/>
          <w:szCs w:val="24"/>
        </w:rPr>
      </w:pPr>
    </w:p>
    <w:p w14:paraId="1D4D4642" w14:textId="3237AA5A" w:rsidR="002760B2" w:rsidRPr="002B005F" w:rsidRDefault="002760B2" w:rsidP="00621E73">
      <w:pPr>
        <w:tabs>
          <w:tab w:val="left" w:pos="0"/>
        </w:tabs>
        <w:spacing w:line="360" w:lineRule="auto"/>
        <w:jc w:val="center"/>
        <w:rPr>
          <w:rFonts w:ascii="Times New Roman" w:hAnsi="Times New Roman" w:cs="Times New Roman"/>
          <w:sz w:val="24"/>
          <w:szCs w:val="24"/>
        </w:rPr>
      </w:pPr>
    </w:p>
    <w:p w14:paraId="388D2646" w14:textId="58272B8F" w:rsidR="002760B2" w:rsidRPr="002B005F" w:rsidRDefault="002760B2" w:rsidP="00621E73">
      <w:pPr>
        <w:tabs>
          <w:tab w:val="left" w:pos="0"/>
        </w:tabs>
        <w:spacing w:line="360" w:lineRule="auto"/>
        <w:jc w:val="center"/>
        <w:rPr>
          <w:rFonts w:ascii="Times New Roman" w:hAnsi="Times New Roman" w:cs="Times New Roman"/>
          <w:sz w:val="24"/>
          <w:szCs w:val="24"/>
        </w:rPr>
      </w:pPr>
    </w:p>
    <w:p w14:paraId="1A020C2C" w14:textId="34184635" w:rsidR="002760B2" w:rsidRPr="002B005F" w:rsidRDefault="002760B2" w:rsidP="00621E73">
      <w:pPr>
        <w:widowControl w:val="0"/>
        <w:tabs>
          <w:tab w:val="left" w:pos="0"/>
        </w:tabs>
        <w:autoSpaceDE w:val="0"/>
        <w:autoSpaceDN w:val="0"/>
        <w:adjustRightInd w:val="0"/>
        <w:spacing w:line="360" w:lineRule="auto"/>
        <w:jc w:val="center"/>
        <w:rPr>
          <w:rFonts w:ascii="Times New Roman" w:hAnsi="Times New Roman" w:cs="Times New Roman"/>
          <w:sz w:val="24"/>
          <w:szCs w:val="24"/>
        </w:rPr>
      </w:pPr>
    </w:p>
    <w:p w14:paraId="5B99A510" w14:textId="051FF2DC" w:rsidR="002760B2" w:rsidRPr="002B005F" w:rsidRDefault="002760B2" w:rsidP="00621E73">
      <w:pPr>
        <w:widowControl w:val="0"/>
        <w:tabs>
          <w:tab w:val="left" w:pos="0"/>
        </w:tabs>
        <w:autoSpaceDE w:val="0"/>
        <w:autoSpaceDN w:val="0"/>
        <w:adjustRightInd w:val="0"/>
        <w:spacing w:line="360" w:lineRule="auto"/>
        <w:jc w:val="center"/>
        <w:rPr>
          <w:rFonts w:ascii="Times New Roman" w:hAnsi="Times New Roman" w:cs="Times New Roman"/>
          <w:sz w:val="24"/>
          <w:szCs w:val="24"/>
        </w:rPr>
      </w:pPr>
    </w:p>
    <w:p w14:paraId="305E2FAE" w14:textId="224A320D" w:rsidR="002760B2" w:rsidRPr="002B005F" w:rsidRDefault="002760B2" w:rsidP="00621E73">
      <w:pPr>
        <w:tabs>
          <w:tab w:val="left" w:pos="0"/>
          <w:tab w:val="left" w:pos="2235"/>
        </w:tabs>
        <w:spacing w:line="360" w:lineRule="auto"/>
        <w:jc w:val="center"/>
        <w:rPr>
          <w:rFonts w:ascii="Times New Roman" w:hAnsi="Times New Roman" w:cs="Times New Roman"/>
          <w:sz w:val="24"/>
          <w:szCs w:val="24"/>
        </w:rPr>
      </w:pPr>
    </w:p>
    <w:p w14:paraId="2857EA06" w14:textId="5DC50325" w:rsidR="002760B2" w:rsidRPr="002B005F" w:rsidRDefault="002C5EFF" w:rsidP="00621E73">
      <w:pPr>
        <w:tabs>
          <w:tab w:val="left" w:pos="0"/>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820032" behindDoc="0" locked="0" layoutInCell="1" allowOverlap="1" wp14:anchorId="17416D30" wp14:editId="26AD3488">
                <wp:simplePos x="0" y="0"/>
                <wp:positionH relativeFrom="column">
                  <wp:posOffset>539750</wp:posOffset>
                </wp:positionH>
                <wp:positionV relativeFrom="paragraph">
                  <wp:posOffset>-2113915</wp:posOffset>
                </wp:positionV>
                <wp:extent cx="4679950" cy="2944495"/>
                <wp:effectExtent l="10160" t="11430" r="15240" b="25400"/>
                <wp:wrapNone/>
                <wp:docPr id="959054073"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2944495"/>
                          <a:chOff x="2551" y="3540"/>
                          <a:chExt cx="7370" cy="4637"/>
                        </a:xfrm>
                      </wpg:grpSpPr>
                      <wps:wsp>
                        <wps:cNvPr id="959054074" name="AutoShape 1721"/>
                        <wps:cNvSpPr>
                          <a:spLocks noChangeArrowheads="1"/>
                        </wps:cNvSpPr>
                        <wps:spPr bwMode="auto">
                          <a:xfrm>
                            <a:off x="4245" y="3540"/>
                            <a:ext cx="3969" cy="567"/>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391D2943" w14:textId="77777777" w:rsidR="009C2D83" w:rsidRPr="0085318A" w:rsidRDefault="009C2D83" w:rsidP="00621E73">
                              <w:pPr>
                                <w:spacing w:line="240" w:lineRule="auto"/>
                                <w:jc w:val="center"/>
                                <w:rPr>
                                  <w:rFonts w:ascii="Times New Roman" w:hAnsi="Times New Roman" w:cs="Times New Roman"/>
                                  <w:b/>
                                  <w:bCs/>
                                  <w:sz w:val="24"/>
                                  <w:szCs w:val="24"/>
                                </w:rPr>
                              </w:pPr>
                              <w:r w:rsidRPr="0085318A">
                                <w:rPr>
                                  <w:rFonts w:ascii="Times New Roman" w:hAnsi="Times New Roman" w:cs="Times New Roman"/>
                                  <w:b/>
                                  <w:bCs/>
                                  <w:sz w:val="24"/>
                                  <w:szCs w:val="24"/>
                                  <w:lang w:eastAsia="fr-FR"/>
                                </w:rPr>
                                <w:t>Introduction générale</w:t>
                              </w:r>
                            </w:p>
                          </w:txbxContent>
                        </wps:txbx>
                        <wps:bodyPr rot="0" vert="horz" wrap="square" lIns="91440" tIns="45720" rIns="91440" bIns="45720" anchor="ctr" anchorCtr="0" upright="1">
                          <a:noAutofit/>
                        </wps:bodyPr>
                      </wps:wsp>
                      <wps:wsp>
                        <wps:cNvPr id="959054075" name="AutoShape 1722"/>
                        <wps:cNvSpPr>
                          <a:spLocks noChangeArrowheads="1"/>
                        </wps:cNvSpPr>
                        <wps:spPr bwMode="auto">
                          <a:xfrm>
                            <a:off x="3966" y="4356"/>
                            <a:ext cx="4535" cy="567"/>
                          </a:xfrm>
                          <a:prstGeom prst="flowChartAlternate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EC4BF71" w14:textId="77777777" w:rsidR="009C2D83" w:rsidRPr="0085318A" w:rsidRDefault="009C2D83" w:rsidP="00621E73">
                              <w:pPr>
                                <w:spacing w:line="240" w:lineRule="auto"/>
                                <w:jc w:val="center"/>
                                <w:rPr>
                                  <w:rFonts w:ascii="Times New Roman" w:hAnsi="Times New Roman" w:cs="Times New Roman"/>
                                  <w:b/>
                                  <w:bCs/>
                                  <w:sz w:val="24"/>
                                  <w:szCs w:val="24"/>
                                </w:rPr>
                              </w:pPr>
                              <w:r w:rsidRPr="0085318A">
                                <w:rPr>
                                  <w:rFonts w:ascii="Times New Roman" w:hAnsi="Times New Roman" w:cs="Times New Roman"/>
                                  <w:b/>
                                  <w:bCs/>
                                  <w:sz w:val="24"/>
                                  <w:szCs w:val="24"/>
                                </w:rPr>
                                <w:t>Chapitre 1</w:t>
                              </w:r>
                              <w:r>
                                <w:rPr>
                                  <w:rFonts w:ascii="Times New Roman" w:hAnsi="Times New Roman" w:cs="Times New Roman"/>
                                  <w:b/>
                                  <w:bCs/>
                                  <w:sz w:val="24"/>
                                  <w:szCs w:val="24"/>
                                </w:rPr>
                                <w:t>-</w:t>
                              </w:r>
                              <w:r w:rsidRPr="0085318A">
                                <w:rPr>
                                  <w:rFonts w:ascii="Times New Roman" w:hAnsi="Times New Roman" w:cs="Times New Roman"/>
                                  <w:b/>
                                  <w:bCs/>
                                  <w:sz w:val="24"/>
                                  <w:szCs w:val="24"/>
                                </w:rPr>
                                <w:t xml:space="preserve"> </w:t>
                              </w:r>
                              <w:r>
                                <w:rPr>
                                  <w:rFonts w:ascii="Times New Roman" w:hAnsi="Times New Roman" w:cs="Times New Roman"/>
                                  <w:b/>
                                  <w:bCs/>
                                  <w:sz w:val="24"/>
                                  <w:szCs w:val="24"/>
                                </w:rPr>
                                <w:t>Fondements de la FI</w:t>
                              </w:r>
                            </w:p>
                          </w:txbxContent>
                        </wps:txbx>
                        <wps:bodyPr rot="0" vert="horz" wrap="square" lIns="91440" tIns="45720" rIns="91440" bIns="45720" anchor="t" anchorCtr="0" upright="1">
                          <a:noAutofit/>
                        </wps:bodyPr>
                      </wps:wsp>
                      <wps:wsp>
                        <wps:cNvPr id="959054076" name="AutoShape 1723"/>
                        <wps:cNvSpPr>
                          <a:spLocks noChangeArrowheads="1"/>
                        </wps:cNvSpPr>
                        <wps:spPr bwMode="auto">
                          <a:xfrm>
                            <a:off x="3684" y="5160"/>
                            <a:ext cx="5102" cy="567"/>
                          </a:xfrm>
                          <a:prstGeom prst="flowChartAlternate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CF10C32" w14:textId="77777777" w:rsidR="009C2D83" w:rsidRPr="0085318A" w:rsidRDefault="009C2D83" w:rsidP="00621E73">
                              <w:pPr>
                                <w:spacing w:line="240" w:lineRule="auto"/>
                                <w:jc w:val="center"/>
                                <w:rPr>
                                  <w:rFonts w:ascii="Times New Roman" w:hAnsi="Times New Roman" w:cs="Times New Roman"/>
                                  <w:b/>
                                  <w:bCs/>
                                  <w:sz w:val="24"/>
                                  <w:szCs w:val="24"/>
                                </w:rPr>
                              </w:pPr>
                              <w:r w:rsidRPr="0085318A">
                                <w:rPr>
                                  <w:rFonts w:ascii="Times New Roman" w:hAnsi="Times New Roman" w:cs="Times New Roman"/>
                                  <w:b/>
                                  <w:bCs/>
                                  <w:sz w:val="24"/>
                                  <w:szCs w:val="24"/>
                                </w:rPr>
                                <w:t>Chapitre 2</w:t>
                              </w:r>
                              <w:r>
                                <w:rPr>
                                  <w:rFonts w:ascii="Times New Roman" w:hAnsi="Times New Roman" w:cs="Times New Roman"/>
                                  <w:b/>
                                  <w:bCs/>
                                  <w:sz w:val="24"/>
                                  <w:szCs w:val="24"/>
                                </w:rPr>
                                <w:t>-</w:t>
                              </w:r>
                              <w:r w:rsidRPr="0085318A">
                                <w:rPr>
                                  <w:rFonts w:ascii="Times New Roman" w:hAnsi="Times New Roman" w:cs="Times New Roman"/>
                                  <w:b/>
                                  <w:bCs/>
                                  <w:sz w:val="24"/>
                                  <w:szCs w:val="24"/>
                                </w:rPr>
                                <w:t xml:space="preserve"> Gestion des risques dans les BI</w:t>
                              </w:r>
                            </w:p>
                          </w:txbxContent>
                        </wps:txbx>
                        <wps:bodyPr rot="0" vert="horz" wrap="square" lIns="91440" tIns="45720" rIns="91440" bIns="45720" anchor="t" anchorCtr="0" upright="1">
                          <a:noAutofit/>
                        </wps:bodyPr>
                      </wps:wsp>
                      <wps:wsp>
                        <wps:cNvPr id="959054077" name="AutoShape 1724"/>
                        <wps:cNvSpPr>
                          <a:spLocks noChangeArrowheads="1"/>
                        </wps:cNvSpPr>
                        <wps:spPr bwMode="auto">
                          <a:xfrm>
                            <a:off x="4246" y="7610"/>
                            <a:ext cx="3969" cy="567"/>
                          </a:xfrm>
                          <a:prstGeom prst="flowChartAlternate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66DB234" w14:textId="77777777" w:rsidR="009C2D83" w:rsidRPr="0085318A" w:rsidRDefault="009C2D83" w:rsidP="00621E73">
                              <w:pPr>
                                <w:spacing w:line="240" w:lineRule="auto"/>
                                <w:jc w:val="center"/>
                                <w:rPr>
                                  <w:rFonts w:ascii="Times New Roman" w:hAnsi="Times New Roman" w:cs="Times New Roman"/>
                                  <w:b/>
                                  <w:bCs/>
                                  <w:sz w:val="24"/>
                                  <w:szCs w:val="24"/>
                                </w:rPr>
                              </w:pPr>
                              <w:r w:rsidRPr="0085318A">
                                <w:rPr>
                                  <w:rFonts w:ascii="Times New Roman" w:hAnsi="Times New Roman" w:cs="Times New Roman"/>
                                  <w:b/>
                                  <w:bCs/>
                                  <w:sz w:val="24"/>
                                  <w:szCs w:val="24"/>
                                </w:rPr>
                                <w:t>Conclusion générale</w:t>
                              </w:r>
                            </w:p>
                          </w:txbxContent>
                        </wps:txbx>
                        <wps:bodyPr rot="0" vert="horz" wrap="square" lIns="91440" tIns="45720" rIns="91440" bIns="45720" anchor="ctr" anchorCtr="0" upright="1">
                          <a:noAutofit/>
                        </wps:bodyPr>
                      </wps:wsp>
                      <wps:wsp>
                        <wps:cNvPr id="959054078" name="AutoShape 1725"/>
                        <wps:cNvSpPr>
                          <a:spLocks noChangeArrowheads="1"/>
                        </wps:cNvSpPr>
                        <wps:spPr bwMode="auto">
                          <a:xfrm>
                            <a:off x="2971" y="5989"/>
                            <a:ext cx="6520" cy="567"/>
                          </a:xfrm>
                          <a:prstGeom prst="flowChartAlternate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95A5F24" w14:textId="77777777" w:rsidR="009C2D83" w:rsidRPr="00621E73" w:rsidRDefault="009C2D83" w:rsidP="00621E73">
                              <w:pPr>
                                <w:spacing w:line="240" w:lineRule="auto"/>
                                <w:jc w:val="center"/>
                                <w:rPr>
                                  <w:rFonts w:ascii="Times New Roman Gras" w:hAnsi="Times New Roman Gras" w:cs="Times New Roman"/>
                                  <w:b/>
                                  <w:bCs/>
                                  <w:sz w:val="24"/>
                                  <w:szCs w:val="24"/>
                                </w:rPr>
                              </w:pPr>
                              <w:r w:rsidRPr="00621E73">
                                <w:rPr>
                                  <w:rFonts w:ascii="Times New Roman Gras" w:hAnsi="Times New Roman Gras" w:cs="Times New Roman"/>
                                  <w:b/>
                                  <w:bCs/>
                                  <w:sz w:val="24"/>
                                  <w:szCs w:val="24"/>
                                </w:rPr>
                                <w:t>Chapitre 3- Risques des modes de financement participatif</w:t>
                              </w:r>
                            </w:p>
                          </w:txbxContent>
                        </wps:txbx>
                        <wps:bodyPr rot="0" vert="horz" wrap="square" lIns="91440" tIns="45720" rIns="91440" bIns="45720" anchor="ctr" anchorCtr="0" upright="1">
                          <a:noAutofit/>
                        </wps:bodyPr>
                      </wps:wsp>
                      <wps:wsp>
                        <wps:cNvPr id="959054079" name="AutoShape 1726"/>
                        <wps:cNvSpPr>
                          <a:spLocks noChangeArrowheads="1"/>
                        </wps:cNvSpPr>
                        <wps:spPr bwMode="auto">
                          <a:xfrm>
                            <a:off x="2551" y="6801"/>
                            <a:ext cx="7370" cy="567"/>
                          </a:xfrm>
                          <a:prstGeom prst="flowChartAlternate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B00B149" w14:textId="77777777" w:rsidR="009C2D83" w:rsidRPr="0085318A" w:rsidRDefault="009C2D83" w:rsidP="00621E73">
                              <w:pPr>
                                <w:spacing w:line="240" w:lineRule="auto"/>
                                <w:jc w:val="center"/>
                                <w:rPr>
                                  <w:rFonts w:ascii="Times New Roman" w:hAnsi="Times New Roman" w:cs="Times New Roman"/>
                                  <w:b/>
                                  <w:bCs/>
                                  <w:spacing w:val="-12"/>
                                  <w:sz w:val="24"/>
                                  <w:szCs w:val="24"/>
                                </w:rPr>
                              </w:pPr>
                              <w:r w:rsidRPr="0085318A">
                                <w:rPr>
                                  <w:rFonts w:ascii="Times New Roman" w:hAnsi="Times New Roman" w:cs="Times New Roman"/>
                                  <w:b/>
                                  <w:bCs/>
                                  <w:sz w:val="24"/>
                                  <w:szCs w:val="24"/>
                                </w:rPr>
                                <w:t>Chapitre 4</w:t>
                              </w:r>
                              <w:r>
                                <w:rPr>
                                  <w:rFonts w:ascii="Times New Roman" w:hAnsi="Times New Roman" w:cs="Times New Roman"/>
                                  <w:b/>
                                  <w:bCs/>
                                  <w:sz w:val="24"/>
                                  <w:szCs w:val="24"/>
                                </w:rPr>
                                <w:t>- Etude empirique</w:t>
                              </w:r>
                              <w:r w:rsidRPr="0085318A">
                                <w:rPr>
                                  <w:rFonts w:ascii="Times New Roman" w:hAnsi="Times New Roman" w:cs="Times New Roman"/>
                                  <w:b/>
                                  <w:bCs/>
                                  <w:spacing w:val="-12"/>
                                  <w:sz w:val="24"/>
                                  <w:szCs w:val="24"/>
                                </w:rPr>
                                <w:t xml:space="preserve"> sur l</w:t>
                              </w:r>
                              <w:r>
                                <w:rPr>
                                  <w:rFonts w:ascii="Times New Roman" w:hAnsi="Times New Roman" w:cs="Times New Roman"/>
                                  <w:b/>
                                  <w:bCs/>
                                  <w:spacing w:val="-12"/>
                                  <w:sz w:val="24"/>
                                  <w:szCs w:val="24"/>
                                </w:rPr>
                                <w:t>es</w:t>
                              </w:r>
                              <w:r w:rsidRPr="0085318A">
                                <w:rPr>
                                  <w:rFonts w:ascii="Times New Roman" w:hAnsi="Times New Roman" w:cs="Times New Roman"/>
                                  <w:b/>
                                  <w:bCs/>
                                  <w:spacing w:val="-12"/>
                                  <w:sz w:val="24"/>
                                  <w:szCs w:val="24"/>
                                </w:rPr>
                                <w:t xml:space="preserve"> </w:t>
                              </w:r>
                              <w:r>
                                <w:rPr>
                                  <w:rFonts w:ascii="Times New Roman" w:hAnsi="Times New Roman" w:cs="Times New Roman"/>
                                  <w:b/>
                                  <w:bCs/>
                                  <w:spacing w:val="-12"/>
                                  <w:sz w:val="24"/>
                                  <w:szCs w:val="24"/>
                                </w:rPr>
                                <w:t xml:space="preserve">instruments </w:t>
                              </w:r>
                              <w:r w:rsidRPr="0085318A">
                                <w:rPr>
                                  <w:rFonts w:ascii="Times New Roman" w:hAnsi="Times New Roman" w:cs="Times New Roman"/>
                                  <w:b/>
                                  <w:bCs/>
                                  <w:spacing w:val="-12"/>
                                  <w:sz w:val="24"/>
                                  <w:szCs w:val="24"/>
                                </w:rPr>
                                <w:t>finan</w:t>
                              </w:r>
                              <w:r>
                                <w:rPr>
                                  <w:rFonts w:ascii="Times New Roman" w:hAnsi="Times New Roman" w:cs="Times New Roman"/>
                                  <w:b/>
                                  <w:bCs/>
                                  <w:spacing w:val="-12"/>
                                  <w:sz w:val="24"/>
                                  <w:szCs w:val="24"/>
                                </w:rPr>
                                <w:t>ciers</w:t>
                              </w:r>
                              <w:r w:rsidRPr="0085318A">
                                <w:rPr>
                                  <w:rFonts w:ascii="Times New Roman" w:hAnsi="Times New Roman" w:cs="Times New Roman"/>
                                  <w:b/>
                                  <w:bCs/>
                                  <w:spacing w:val="-12"/>
                                  <w:sz w:val="24"/>
                                  <w:szCs w:val="24"/>
                                </w:rPr>
                                <w:t xml:space="preserve"> participatif</w:t>
                              </w:r>
                              <w:r>
                                <w:rPr>
                                  <w:rFonts w:ascii="Times New Roman" w:hAnsi="Times New Roman" w:cs="Times New Roman"/>
                                  <w:b/>
                                  <w:bCs/>
                                  <w:spacing w:val="-12"/>
                                  <w:sz w:val="24"/>
                                  <w:szCs w:val="24"/>
                                </w:rPr>
                                <w:t>s</w:t>
                              </w:r>
                            </w:p>
                          </w:txbxContent>
                        </wps:txbx>
                        <wps:bodyPr rot="0" vert="horz" wrap="square" lIns="91440" tIns="82800" rIns="91440" bIns="82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16D30" id="Group 1720" o:spid="_x0000_s1026" style="position:absolute;left:0;text-align:left;margin-left:42.5pt;margin-top:-166.45pt;width:368.5pt;height:231.85pt;z-index:251820032" coordorigin="2551,3540" coordsize="7370,4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">
                <v:roundrect id="AutoShape 1721" o:spid="_x0000_s1027" style="position:absolute;left:4245;top:3540;width:3969;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" fillcolor="white [3201]" strokecolor="#9cc2e5 [1940]" strokeweight="1pt">
                  <v:fill color2="#bdd6ee [1300]" focus="100%" type="gradient"/>
                  <v:shadow on="t" color="#1f4d78 [1604]" opacity=".5" offset="1pt"/>
                  <v:textbox>
                    <w:txbxContent>
                      <w:p w14:paraId="391D2943" w14:textId="77777777" w:rsidR="009C2D83" w:rsidRPr="0085318A" w:rsidRDefault="009C2D83" w:rsidP="00621E73">
                        <w:pPr>
                          <w:spacing w:line="240" w:lineRule="auto"/>
                          <w:jc w:val="center"/>
                          <w:rPr>
                            <w:rFonts w:ascii="Times New Roman" w:hAnsi="Times New Roman" w:cs="Times New Roman"/>
                            <w:b/>
                            <w:bCs/>
                            <w:sz w:val="24"/>
                            <w:szCs w:val="24"/>
                          </w:rPr>
                        </w:pPr>
                        <w:r w:rsidRPr="0085318A">
                          <w:rPr>
                            <w:rFonts w:ascii="Times New Roman" w:hAnsi="Times New Roman" w:cs="Times New Roman"/>
                            <w:b/>
                            <w:bCs/>
                            <w:sz w:val="24"/>
                            <w:szCs w:val="24"/>
                            <w:lang w:eastAsia="fr-FR"/>
                          </w:rPr>
                          <w:t>Introduction générale</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22" o:spid="_x0000_s1028" type="#_x0000_t176" style="position:absolute;left:3966;top:4356;width:453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" fillcolor="white [3201]" strokecolor="#9cc2e5 [1940]" strokeweight="1pt">
                  <v:fill color2="#bdd6ee [1300]" focus="100%" type="gradient"/>
                  <v:shadow on="t" color="#1f4d78 [1604]" opacity=".5" offset="1pt"/>
                  <v:textbox>
                    <w:txbxContent>
                      <w:p w14:paraId="2EC4BF71" w14:textId="77777777" w:rsidR="009C2D83" w:rsidRPr="0085318A" w:rsidRDefault="009C2D83" w:rsidP="00621E73">
                        <w:pPr>
                          <w:spacing w:line="240" w:lineRule="auto"/>
                          <w:jc w:val="center"/>
                          <w:rPr>
                            <w:rFonts w:ascii="Times New Roman" w:hAnsi="Times New Roman" w:cs="Times New Roman"/>
                            <w:b/>
                            <w:bCs/>
                            <w:sz w:val="24"/>
                            <w:szCs w:val="24"/>
                          </w:rPr>
                        </w:pPr>
                        <w:r w:rsidRPr="0085318A">
                          <w:rPr>
                            <w:rFonts w:ascii="Times New Roman" w:hAnsi="Times New Roman" w:cs="Times New Roman"/>
                            <w:b/>
                            <w:bCs/>
                            <w:sz w:val="24"/>
                            <w:szCs w:val="24"/>
                          </w:rPr>
                          <w:t>Chapitre 1</w:t>
                        </w:r>
                        <w:r>
                          <w:rPr>
                            <w:rFonts w:ascii="Times New Roman" w:hAnsi="Times New Roman" w:cs="Times New Roman"/>
                            <w:b/>
                            <w:bCs/>
                            <w:sz w:val="24"/>
                            <w:szCs w:val="24"/>
                          </w:rPr>
                          <w:t>-</w:t>
                        </w:r>
                        <w:r w:rsidRPr="0085318A">
                          <w:rPr>
                            <w:rFonts w:ascii="Times New Roman" w:hAnsi="Times New Roman" w:cs="Times New Roman"/>
                            <w:b/>
                            <w:bCs/>
                            <w:sz w:val="24"/>
                            <w:szCs w:val="24"/>
                          </w:rPr>
                          <w:t xml:space="preserve"> </w:t>
                        </w:r>
                        <w:r>
                          <w:rPr>
                            <w:rFonts w:ascii="Times New Roman" w:hAnsi="Times New Roman" w:cs="Times New Roman"/>
                            <w:b/>
                            <w:bCs/>
                            <w:sz w:val="24"/>
                            <w:szCs w:val="24"/>
                          </w:rPr>
                          <w:t>Fondements de la FI</w:t>
                        </w:r>
                      </w:p>
                    </w:txbxContent>
                  </v:textbox>
                </v:shape>
                <v:shape id="AutoShape 1723" o:spid="_x0000_s1029" type="#_x0000_t176" style="position:absolute;left:3684;top:5160;width:510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" fillcolor="white [3201]" strokecolor="#9cc2e5 [1940]" strokeweight="1pt">
                  <v:fill color2="#bdd6ee [1300]" focus="100%" type="gradient"/>
                  <v:shadow on="t" color="#1f4d78 [1604]" opacity=".5" offset="1pt"/>
                  <v:textbox>
                    <w:txbxContent>
                      <w:p w14:paraId="4CF10C32" w14:textId="77777777" w:rsidR="009C2D83" w:rsidRPr="0085318A" w:rsidRDefault="009C2D83" w:rsidP="00621E73">
                        <w:pPr>
                          <w:spacing w:line="240" w:lineRule="auto"/>
                          <w:jc w:val="center"/>
                          <w:rPr>
                            <w:rFonts w:ascii="Times New Roman" w:hAnsi="Times New Roman" w:cs="Times New Roman"/>
                            <w:b/>
                            <w:bCs/>
                            <w:sz w:val="24"/>
                            <w:szCs w:val="24"/>
                          </w:rPr>
                        </w:pPr>
                        <w:r w:rsidRPr="0085318A">
                          <w:rPr>
                            <w:rFonts w:ascii="Times New Roman" w:hAnsi="Times New Roman" w:cs="Times New Roman"/>
                            <w:b/>
                            <w:bCs/>
                            <w:sz w:val="24"/>
                            <w:szCs w:val="24"/>
                          </w:rPr>
                          <w:t>Chapitre 2</w:t>
                        </w:r>
                        <w:r>
                          <w:rPr>
                            <w:rFonts w:ascii="Times New Roman" w:hAnsi="Times New Roman" w:cs="Times New Roman"/>
                            <w:b/>
                            <w:bCs/>
                            <w:sz w:val="24"/>
                            <w:szCs w:val="24"/>
                          </w:rPr>
                          <w:t>-</w:t>
                        </w:r>
                        <w:r w:rsidRPr="0085318A">
                          <w:rPr>
                            <w:rFonts w:ascii="Times New Roman" w:hAnsi="Times New Roman" w:cs="Times New Roman"/>
                            <w:b/>
                            <w:bCs/>
                            <w:sz w:val="24"/>
                            <w:szCs w:val="24"/>
                          </w:rPr>
                          <w:t xml:space="preserve"> Gestion des risques dans les BI</w:t>
                        </w:r>
                      </w:p>
                    </w:txbxContent>
                  </v:textbox>
                </v:shape>
                <v:shape id="AutoShape 1724" o:spid="_x0000_s1030" type="#_x0000_t176" style="position:absolute;left:4246;top:7610;width:3969;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" fillcolor="white [3201]" strokecolor="#9cc2e5 [1940]" strokeweight="1pt">
                  <v:fill color2="#bdd6ee [1300]" focus="100%" type="gradient"/>
                  <v:shadow on="t" color="#1f4d78 [1604]" opacity=".5" offset="1pt"/>
                  <v:textbox>
                    <w:txbxContent>
                      <w:p w14:paraId="566DB234" w14:textId="77777777" w:rsidR="009C2D83" w:rsidRPr="0085318A" w:rsidRDefault="009C2D83" w:rsidP="00621E73">
                        <w:pPr>
                          <w:spacing w:line="240" w:lineRule="auto"/>
                          <w:jc w:val="center"/>
                          <w:rPr>
                            <w:rFonts w:ascii="Times New Roman" w:hAnsi="Times New Roman" w:cs="Times New Roman"/>
                            <w:b/>
                            <w:bCs/>
                            <w:sz w:val="24"/>
                            <w:szCs w:val="24"/>
                          </w:rPr>
                        </w:pPr>
                        <w:r w:rsidRPr="0085318A">
                          <w:rPr>
                            <w:rFonts w:ascii="Times New Roman" w:hAnsi="Times New Roman" w:cs="Times New Roman"/>
                            <w:b/>
                            <w:bCs/>
                            <w:sz w:val="24"/>
                            <w:szCs w:val="24"/>
                          </w:rPr>
                          <w:t>Conclusion générale</w:t>
                        </w:r>
                      </w:p>
                    </w:txbxContent>
                  </v:textbox>
                </v:shape>
                <v:shape id="AutoShape 1725" o:spid="_x0000_s1031" type="#_x0000_t176" style="position:absolute;left:2971;top:5989;width:652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" fillcolor="white [3201]" strokecolor="#9cc2e5 [1940]" strokeweight="1pt">
                  <v:fill color2="#bdd6ee [1300]" focus="100%" type="gradient"/>
                  <v:shadow on="t" color="#1f4d78 [1604]" opacity=".5" offset="1pt"/>
                  <v:textbox>
                    <w:txbxContent>
                      <w:p w14:paraId="495A5F24" w14:textId="77777777" w:rsidR="009C2D83" w:rsidRPr="00621E73" w:rsidRDefault="009C2D83" w:rsidP="00621E73">
                        <w:pPr>
                          <w:spacing w:line="240" w:lineRule="auto"/>
                          <w:jc w:val="center"/>
                          <w:rPr>
                            <w:rFonts w:ascii="Times New Roman Gras" w:hAnsi="Times New Roman Gras" w:cs="Times New Roman"/>
                            <w:b/>
                            <w:bCs/>
                            <w:sz w:val="24"/>
                            <w:szCs w:val="24"/>
                          </w:rPr>
                        </w:pPr>
                        <w:r w:rsidRPr="00621E73">
                          <w:rPr>
                            <w:rFonts w:ascii="Times New Roman Gras" w:hAnsi="Times New Roman Gras" w:cs="Times New Roman"/>
                            <w:b/>
                            <w:bCs/>
                            <w:sz w:val="24"/>
                            <w:szCs w:val="24"/>
                          </w:rPr>
                          <w:t>Chapitre 3- Risques des modes de financement participatif</w:t>
                        </w:r>
                      </w:p>
                    </w:txbxContent>
                  </v:textbox>
                </v:shape>
                <v:shape id="AutoShape 1726" o:spid="_x0000_s1032" type="#_x0000_t176" style="position:absolute;left:2551;top:6801;width:737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" fillcolor="white [3201]" strokecolor="#9cc2e5 [1940]" strokeweight="1pt">
                  <v:fill color2="#bdd6ee [1300]" focus="100%" type="gradient"/>
                  <v:shadow on="t" color="#1f4d78 [1604]" opacity=".5" offset="1pt"/>
                  <v:textbox inset=",2.3mm,,2.3mm">
                    <w:txbxContent>
                      <w:p w14:paraId="2B00B149" w14:textId="77777777" w:rsidR="009C2D83" w:rsidRPr="0085318A" w:rsidRDefault="009C2D83" w:rsidP="00621E73">
                        <w:pPr>
                          <w:spacing w:line="240" w:lineRule="auto"/>
                          <w:jc w:val="center"/>
                          <w:rPr>
                            <w:rFonts w:ascii="Times New Roman" w:hAnsi="Times New Roman" w:cs="Times New Roman"/>
                            <w:b/>
                            <w:bCs/>
                            <w:spacing w:val="-12"/>
                            <w:sz w:val="24"/>
                            <w:szCs w:val="24"/>
                          </w:rPr>
                        </w:pPr>
                        <w:r w:rsidRPr="0085318A">
                          <w:rPr>
                            <w:rFonts w:ascii="Times New Roman" w:hAnsi="Times New Roman" w:cs="Times New Roman"/>
                            <w:b/>
                            <w:bCs/>
                            <w:sz w:val="24"/>
                            <w:szCs w:val="24"/>
                          </w:rPr>
                          <w:t>Chapitre 4</w:t>
                        </w:r>
                        <w:r>
                          <w:rPr>
                            <w:rFonts w:ascii="Times New Roman" w:hAnsi="Times New Roman" w:cs="Times New Roman"/>
                            <w:b/>
                            <w:bCs/>
                            <w:sz w:val="24"/>
                            <w:szCs w:val="24"/>
                          </w:rPr>
                          <w:t>- Etude empirique</w:t>
                        </w:r>
                        <w:r w:rsidRPr="0085318A">
                          <w:rPr>
                            <w:rFonts w:ascii="Times New Roman" w:hAnsi="Times New Roman" w:cs="Times New Roman"/>
                            <w:b/>
                            <w:bCs/>
                            <w:spacing w:val="-12"/>
                            <w:sz w:val="24"/>
                            <w:szCs w:val="24"/>
                          </w:rPr>
                          <w:t xml:space="preserve"> sur l</w:t>
                        </w:r>
                        <w:r>
                          <w:rPr>
                            <w:rFonts w:ascii="Times New Roman" w:hAnsi="Times New Roman" w:cs="Times New Roman"/>
                            <w:b/>
                            <w:bCs/>
                            <w:spacing w:val="-12"/>
                            <w:sz w:val="24"/>
                            <w:szCs w:val="24"/>
                          </w:rPr>
                          <w:t>es</w:t>
                        </w:r>
                        <w:r w:rsidRPr="0085318A">
                          <w:rPr>
                            <w:rFonts w:ascii="Times New Roman" w:hAnsi="Times New Roman" w:cs="Times New Roman"/>
                            <w:b/>
                            <w:bCs/>
                            <w:spacing w:val="-12"/>
                            <w:sz w:val="24"/>
                            <w:szCs w:val="24"/>
                          </w:rPr>
                          <w:t xml:space="preserve"> </w:t>
                        </w:r>
                        <w:r>
                          <w:rPr>
                            <w:rFonts w:ascii="Times New Roman" w:hAnsi="Times New Roman" w:cs="Times New Roman"/>
                            <w:b/>
                            <w:bCs/>
                            <w:spacing w:val="-12"/>
                            <w:sz w:val="24"/>
                            <w:szCs w:val="24"/>
                          </w:rPr>
                          <w:t xml:space="preserve">instruments </w:t>
                        </w:r>
                        <w:r w:rsidRPr="0085318A">
                          <w:rPr>
                            <w:rFonts w:ascii="Times New Roman" w:hAnsi="Times New Roman" w:cs="Times New Roman"/>
                            <w:b/>
                            <w:bCs/>
                            <w:spacing w:val="-12"/>
                            <w:sz w:val="24"/>
                            <w:szCs w:val="24"/>
                          </w:rPr>
                          <w:t>finan</w:t>
                        </w:r>
                        <w:r>
                          <w:rPr>
                            <w:rFonts w:ascii="Times New Roman" w:hAnsi="Times New Roman" w:cs="Times New Roman"/>
                            <w:b/>
                            <w:bCs/>
                            <w:spacing w:val="-12"/>
                            <w:sz w:val="24"/>
                            <w:szCs w:val="24"/>
                          </w:rPr>
                          <w:t>ciers</w:t>
                        </w:r>
                        <w:r w:rsidRPr="0085318A">
                          <w:rPr>
                            <w:rFonts w:ascii="Times New Roman" w:hAnsi="Times New Roman" w:cs="Times New Roman"/>
                            <w:b/>
                            <w:bCs/>
                            <w:spacing w:val="-12"/>
                            <w:sz w:val="24"/>
                            <w:szCs w:val="24"/>
                          </w:rPr>
                          <w:t xml:space="preserve"> participatif</w:t>
                        </w:r>
                        <w:r>
                          <w:rPr>
                            <w:rFonts w:ascii="Times New Roman" w:hAnsi="Times New Roman" w:cs="Times New Roman"/>
                            <w:b/>
                            <w:bCs/>
                            <w:spacing w:val="-12"/>
                            <w:sz w:val="24"/>
                            <w:szCs w:val="24"/>
                          </w:rPr>
                          <w:t>s</w:t>
                        </w:r>
                      </w:p>
                    </w:txbxContent>
                  </v:textbox>
                </v:shape>
              </v:group>
            </w:pict>
          </mc:Fallback>
        </mc:AlternateContent>
      </w:r>
    </w:p>
    <w:p w14:paraId="4FB9AA6A" w14:textId="1C8EF9F7" w:rsidR="002760B2" w:rsidRPr="002B005F" w:rsidRDefault="002760B2" w:rsidP="00621E73">
      <w:pPr>
        <w:tabs>
          <w:tab w:val="left" w:pos="0"/>
        </w:tabs>
        <w:spacing w:line="360" w:lineRule="auto"/>
        <w:jc w:val="center"/>
        <w:rPr>
          <w:rFonts w:ascii="Times New Roman" w:hAnsi="Times New Roman" w:cs="Times New Roman"/>
          <w:sz w:val="24"/>
          <w:szCs w:val="24"/>
        </w:rPr>
      </w:pPr>
    </w:p>
    <w:p w14:paraId="20CB943A" w14:textId="49C70C12" w:rsidR="002760B2" w:rsidRPr="002B005F" w:rsidRDefault="002760B2" w:rsidP="00621E73">
      <w:pPr>
        <w:tabs>
          <w:tab w:val="left" w:pos="0"/>
        </w:tabs>
        <w:spacing w:line="360" w:lineRule="auto"/>
        <w:jc w:val="center"/>
        <w:rPr>
          <w:rFonts w:ascii="Times New Roman" w:hAnsi="Times New Roman" w:cs="Times New Roman"/>
          <w:sz w:val="24"/>
          <w:szCs w:val="24"/>
        </w:rPr>
      </w:pPr>
    </w:p>
    <w:p w14:paraId="3D02483E" w14:textId="67D7C4A2" w:rsidR="002760B2" w:rsidRPr="002B005F" w:rsidRDefault="002760B2" w:rsidP="00621E73">
      <w:pPr>
        <w:tabs>
          <w:tab w:val="left" w:pos="0"/>
        </w:tabs>
        <w:spacing w:line="360" w:lineRule="auto"/>
        <w:jc w:val="center"/>
        <w:rPr>
          <w:rFonts w:ascii="Times New Roman" w:hAnsi="Times New Roman" w:cs="Times New Roman"/>
          <w:sz w:val="24"/>
          <w:szCs w:val="24"/>
        </w:rPr>
      </w:pPr>
    </w:p>
    <w:p w14:paraId="1B9A3DD4" w14:textId="20B2CB34" w:rsidR="002760B2" w:rsidRPr="002B005F" w:rsidRDefault="002760B2" w:rsidP="00621E73">
      <w:pPr>
        <w:tabs>
          <w:tab w:val="left" w:pos="0"/>
        </w:tabs>
        <w:spacing w:line="360" w:lineRule="auto"/>
        <w:jc w:val="center"/>
        <w:rPr>
          <w:rFonts w:ascii="Times New Roman" w:hAnsi="Times New Roman" w:cs="Times New Roman"/>
          <w:sz w:val="24"/>
          <w:szCs w:val="24"/>
        </w:rPr>
      </w:pPr>
    </w:p>
    <w:p w14:paraId="6BEAFA48" w14:textId="77777777" w:rsidR="00621E73" w:rsidRPr="002B005F" w:rsidRDefault="00621E73" w:rsidP="00621E73">
      <w:pPr>
        <w:tabs>
          <w:tab w:val="left" w:pos="0"/>
          <w:tab w:val="left" w:pos="6105"/>
        </w:tabs>
        <w:spacing w:line="360" w:lineRule="auto"/>
        <w:jc w:val="center"/>
        <w:rPr>
          <w:rFonts w:ascii="Times New Roman" w:hAnsi="Times New Roman" w:cs="Times New Roman"/>
          <w:sz w:val="24"/>
          <w:szCs w:val="24"/>
        </w:rPr>
      </w:pPr>
    </w:p>
    <w:p w14:paraId="441D76EB" w14:textId="77777777" w:rsidR="00523360" w:rsidRPr="002B005F" w:rsidRDefault="00523360" w:rsidP="00621E73">
      <w:pPr>
        <w:tabs>
          <w:tab w:val="left" w:pos="0"/>
          <w:tab w:val="left" w:pos="6105"/>
        </w:tabs>
        <w:spacing w:line="360" w:lineRule="auto"/>
        <w:jc w:val="center"/>
        <w:rPr>
          <w:rFonts w:ascii="Times New Roman" w:hAnsi="Times New Roman" w:cs="Times New Roman"/>
          <w:sz w:val="24"/>
          <w:szCs w:val="24"/>
        </w:rPr>
      </w:pPr>
    </w:p>
    <w:p w14:paraId="13FDA051" w14:textId="77777777" w:rsidR="00BB3307" w:rsidRDefault="00BB3307" w:rsidP="00621E73">
      <w:pPr>
        <w:tabs>
          <w:tab w:val="left" w:pos="0"/>
          <w:tab w:val="left" w:pos="6105"/>
        </w:tabs>
        <w:spacing w:line="360" w:lineRule="auto"/>
        <w:jc w:val="center"/>
        <w:rPr>
          <w:rFonts w:ascii="Times New Roman" w:hAnsi="Times New Roman" w:cs="Times New Roman"/>
          <w:sz w:val="24"/>
          <w:szCs w:val="24"/>
        </w:rPr>
      </w:pPr>
    </w:p>
    <w:p w14:paraId="61961BAB" w14:textId="77777777" w:rsidR="0069735E" w:rsidRDefault="0069735E" w:rsidP="00095457">
      <w:pPr>
        <w:tabs>
          <w:tab w:val="left" w:pos="0"/>
          <w:tab w:val="left" w:pos="6105"/>
        </w:tabs>
        <w:spacing w:before="120" w:line="360" w:lineRule="auto"/>
        <w:jc w:val="center"/>
        <w:rPr>
          <w:rFonts w:ascii="Times New Roman" w:hAnsi="Times New Roman" w:cs="Times New Roman"/>
          <w:sz w:val="24"/>
          <w:szCs w:val="24"/>
        </w:rPr>
        <w:sectPr w:rsidR="0069735E" w:rsidSect="00DD7EBA">
          <w:footnotePr>
            <w:numRestart w:val="eachPage"/>
          </w:footnotePr>
          <w:pgSz w:w="11906" w:h="16838" w:code="9"/>
          <w:pgMar w:top="1134" w:right="1134" w:bottom="1134" w:left="1134" w:header="709" w:footer="709" w:gutter="567"/>
          <w:pgNumType w:start="1"/>
          <w:cols w:space="708"/>
          <w:docGrid w:linePitch="360"/>
        </w:sectPr>
      </w:pPr>
    </w:p>
    <w:p w14:paraId="56B05552" w14:textId="77777777" w:rsidR="006C769A" w:rsidRPr="002B005F" w:rsidRDefault="006C769A" w:rsidP="00095457">
      <w:pPr>
        <w:tabs>
          <w:tab w:val="left" w:pos="0"/>
          <w:tab w:val="left" w:pos="6105"/>
        </w:tabs>
        <w:spacing w:before="120" w:line="360" w:lineRule="auto"/>
        <w:jc w:val="center"/>
        <w:rPr>
          <w:rFonts w:ascii="Times New Roman" w:hAnsi="Times New Roman" w:cs="Times New Roman"/>
          <w:sz w:val="24"/>
          <w:szCs w:val="24"/>
        </w:rPr>
      </w:pPr>
    </w:p>
    <w:p w14:paraId="45C621B3" w14:textId="77777777" w:rsidR="009E620F" w:rsidRPr="002B005F" w:rsidRDefault="009E620F" w:rsidP="00095457">
      <w:pPr>
        <w:tabs>
          <w:tab w:val="left" w:pos="0"/>
          <w:tab w:val="left" w:pos="6105"/>
        </w:tabs>
        <w:spacing w:before="120" w:line="360" w:lineRule="auto"/>
        <w:jc w:val="center"/>
        <w:rPr>
          <w:rFonts w:ascii="Times New Roman" w:hAnsi="Times New Roman" w:cs="Times New Roman"/>
          <w:sz w:val="24"/>
          <w:szCs w:val="24"/>
        </w:rPr>
      </w:pPr>
    </w:p>
    <w:p w14:paraId="5D07B3FB" w14:textId="77777777" w:rsidR="00A53957" w:rsidRPr="002B005F" w:rsidRDefault="00A53957" w:rsidP="00095457">
      <w:pPr>
        <w:tabs>
          <w:tab w:val="left" w:pos="0"/>
          <w:tab w:val="left" w:pos="6105"/>
        </w:tabs>
        <w:spacing w:before="120" w:line="360" w:lineRule="auto"/>
        <w:jc w:val="center"/>
        <w:rPr>
          <w:rFonts w:ascii="Times New Roman" w:hAnsi="Times New Roman" w:cs="Times New Roman"/>
          <w:sz w:val="24"/>
          <w:szCs w:val="24"/>
        </w:rPr>
      </w:pPr>
    </w:p>
    <w:p w14:paraId="0B9089DD" w14:textId="77777777" w:rsidR="00A53957" w:rsidRPr="002B005F" w:rsidRDefault="00A53957" w:rsidP="00095457">
      <w:pPr>
        <w:tabs>
          <w:tab w:val="left" w:pos="0"/>
          <w:tab w:val="left" w:pos="6105"/>
        </w:tabs>
        <w:spacing w:before="120" w:line="360" w:lineRule="auto"/>
        <w:jc w:val="center"/>
        <w:rPr>
          <w:rFonts w:ascii="Times New Roman" w:hAnsi="Times New Roman" w:cs="Times New Roman"/>
          <w:sz w:val="24"/>
          <w:szCs w:val="24"/>
        </w:rPr>
      </w:pPr>
    </w:p>
    <w:p w14:paraId="4305A96B" w14:textId="77777777" w:rsidR="00A53957" w:rsidRPr="002B005F" w:rsidRDefault="00A53957" w:rsidP="00095457">
      <w:pPr>
        <w:tabs>
          <w:tab w:val="left" w:pos="0"/>
          <w:tab w:val="left" w:pos="6105"/>
        </w:tabs>
        <w:spacing w:before="120" w:line="360" w:lineRule="auto"/>
        <w:jc w:val="center"/>
        <w:rPr>
          <w:rFonts w:ascii="Times New Roman" w:hAnsi="Times New Roman" w:cs="Times New Roman"/>
          <w:sz w:val="24"/>
          <w:szCs w:val="24"/>
        </w:rPr>
      </w:pPr>
    </w:p>
    <w:p w14:paraId="4B41484F" w14:textId="77777777" w:rsidR="00A53957" w:rsidRPr="002B005F" w:rsidRDefault="00A53957" w:rsidP="00095457">
      <w:pPr>
        <w:tabs>
          <w:tab w:val="left" w:pos="0"/>
          <w:tab w:val="left" w:pos="6105"/>
        </w:tabs>
        <w:spacing w:before="120" w:line="360" w:lineRule="auto"/>
        <w:jc w:val="center"/>
        <w:rPr>
          <w:rFonts w:ascii="Times New Roman" w:hAnsi="Times New Roman" w:cs="Times New Roman"/>
          <w:sz w:val="24"/>
          <w:szCs w:val="24"/>
        </w:rPr>
      </w:pPr>
    </w:p>
    <w:p w14:paraId="227FE1C2" w14:textId="77777777" w:rsidR="00A53957" w:rsidRPr="002B005F" w:rsidRDefault="00A53957" w:rsidP="00095457">
      <w:pPr>
        <w:tabs>
          <w:tab w:val="left" w:pos="0"/>
          <w:tab w:val="left" w:pos="6105"/>
        </w:tabs>
        <w:spacing w:before="120" w:line="360" w:lineRule="auto"/>
        <w:jc w:val="center"/>
        <w:rPr>
          <w:rFonts w:ascii="Times New Roman" w:hAnsi="Times New Roman" w:cs="Times New Roman"/>
          <w:sz w:val="24"/>
          <w:szCs w:val="24"/>
        </w:rPr>
      </w:pPr>
    </w:p>
    <w:p w14:paraId="1F0487E6" w14:textId="77777777" w:rsidR="00A53957" w:rsidRPr="002B005F" w:rsidRDefault="00A53957" w:rsidP="00095457">
      <w:pPr>
        <w:tabs>
          <w:tab w:val="left" w:pos="0"/>
          <w:tab w:val="left" w:pos="6105"/>
        </w:tabs>
        <w:spacing w:before="120" w:line="360" w:lineRule="auto"/>
        <w:jc w:val="center"/>
        <w:rPr>
          <w:rFonts w:ascii="Times New Roman" w:hAnsi="Times New Roman" w:cs="Times New Roman"/>
          <w:sz w:val="24"/>
          <w:szCs w:val="24"/>
        </w:rPr>
      </w:pPr>
    </w:p>
    <w:p w14:paraId="0BDE53C8" w14:textId="77777777" w:rsidR="00A53957" w:rsidRPr="002B005F" w:rsidRDefault="00A53957" w:rsidP="00095457">
      <w:pPr>
        <w:tabs>
          <w:tab w:val="left" w:pos="0"/>
          <w:tab w:val="left" w:pos="6105"/>
        </w:tabs>
        <w:spacing w:before="120" w:line="360" w:lineRule="auto"/>
        <w:jc w:val="center"/>
        <w:rPr>
          <w:rFonts w:ascii="Times New Roman" w:hAnsi="Times New Roman" w:cs="Times New Roman"/>
          <w:sz w:val="24"/>
          <w:szCs w:val="24"/>
        </w:rPr>
      </w:pPr>
    </w:p>
    <w:p w14:paraId="6B40CF3C" w14:textId="77777777" w:rsidR="00095457" w:rsidRPr="002B005F" w:rsidRDefault="00095457" w:rsidP="00095457">
      <w:pPr>
        <w:tabs>
          <w:tab w:val="left" w:pos="0"/>
          <w:tab w:val="left" w:pos="6105"/>
        </w:tabs>
        <w:spacing w:before="120" w:line="360" w:lineRule="auto"/>
        <w:jc w:val="center"/>
        <w:rPr>
          <w:rFonts w:ascii="Times New Roman" w:hAnsi="Times New Roman" w:cs="Times New Roman"/>
          <w:sz w:val="24"/>
          <w:szCs w:val="24"/>
        </w:rPr>
      </w:pPr>
    </w:p>
    <w:p w14:paraId="724D1604" w14:textId="77777777" w:rsidR="0069735E" w:rsidRDefault="009E620F" w:rsidP="0069735E">
      <w:pPr>
        <w:spacing w:after="120" w:line="360" w:lineRule="auto"/>
        <w:jc w:val="center"/>
        <w:rPr>
          <w:rFonts w:asciiTheme="majorBidi" w:hAnsiTheme="majorBidi" w:cstheme="majorBidi"/>
          <w:b/>
          <w:bCs/>
          <w:smallCaps/>
          <w:spacing w:val="40"/>
          <w:sz w:val="56"/>
          <w:szCs w:val="56"/>
        </w:rPr>
      </w:pPr>
      <w:bookmarkStart w:id="72" w:name="_Toc58261918"/>
      <w:bookmarkStart w:id="73" w:name="_Toc33263205"/>
      <w:bookmarkStart w:id="74" w:name="_Toc33264109"/>
      <w:bookmarkStart w:id="75" w:name="_Toc37664457"/>
      <w:bookmarkStart w:id="76" w:name="_Toc37666302"/>
      <w:bookmarkStart w:id="77" w:name="_Toc37667311"/>
      <w:bookmarkStart w:id="78" w:name="_Toc54361021"/>
      <w:bookmarkStart w:id="79" w:name="_Toc54361668"/>
      <w:bookmarkStart w:id="80" w:name="_Toc54363191"/>
      <w:bookmarkStart w:id="81" w:name="_Toc57901018"/>
      <w:bookmarkStart w:id="82" w:name="_Toc58606207"/>
      <w:bookmarkStart w:id="83" w:name="_Toc61263412"/>
      <w:r w:rsidRPr="005A651F">
        <w:rPr>
          <w:rFonts w:asciiTheme="majorBidi" w:hAnsiTheme="majorBidi" w:cstheme="majorBidi"/>
          <w:b/>
          <w:bCs/>
          <w:smallCaps/>
          <w:spacing w:val="40"/>
          <w:sz w:val="56"/>
          <w:szCs w:val="56"/>
        </w:rPr>
        <w:t>Chapitre I</w:t>
      </w:r>
      <w:bookmarkEnd w:id="72"/>
      <w:bookmarkEnd w:id="73"/>
      <w:bookmarkEnd w:id="74"/>
      <w:bookmarkEnd w:id="75"/>
      <w:bookmarkEnd w:id="76"/>
      <w:bookmarkEnd w:id="77"/>
      <w:bookmarkEnd w:id="78"/>
      <w:bookmarkEnd w:id="79"/>
      <w:bookmarkEnd w:id="80"/>
      <w:bookmarkEnd w:id="81"/>
      <w:bookmarkEnd w:id="82"/>
      <w:r w:rsidR="00AF3BB8" w:rsidRPr="005A651F">
        <w:rPr>
          <w:rFonts w:asciiTheme="majorBidi" w:hAnsiTheme="majorBidi" w:cstheme="majorBidi"/>
          <w:b/>
          <w:bCs/>
          <w:smallCaps/>
          <w:spacing w:val="40"/>
          <w:sz w:val="56"/>
          <w:szCs w:val="56"/>
        </w:rPr>
        <w:t>-</w:t>
      </w:r>
    </w:p>
    <w:p w14:paraId="083129A4" w14:textId="50277096" w:rsidR="0069735E" w:rsidRDefault="00A65A19" w:rsidP="0069735E">
      <w:pPr>
        <w:spacing w:after="120" w:line="360" w:lineRule="auto"/>
        <w:jc w:val="center"/>
        <w:rPr>
          <w:rFonts w:asciiTheme="majorBidi" w:hAnsiTheme="majorBidi" w:cstheme="majorBidi"/>
          <w:b/>
          <w:bCs/>
          <w:smallCaps/>
          <w:spacing w:val="40"/>
          <w:sz w:val="56"/>
          <w:szCs w:val="56"/>
        </w:rPr>
      </w:pPr>
      <w:r w:rsidRPr="005A651F">
        <w:rPr>
          <w:rFonts w:asciiTheme="majorBidi" w:hAnsiTheme="majorBidi" w:cstheme="majorBidi"/>
          <w:b/>
          <w:bCs/>
          <w:smallCaps/>
          <w:spacing w:val="40"/>
          <w:sz w:val="56"/>
          <w:szCs w:val="56"/>
        </w:rPr>
        <w:t>F</w:t>
      </w:r>
      <w:r w:rsidR="00AB3C1B" w:rsidRPr="005A651F">
        <w:rPr>
          <w:rFonts w:asciiTheme="majorBidi" w:hAnsiTheme="majorBidi" w:cstheme="majorBidi"/>
          <w:b/>
          <w:bCs/>
          <w:smallCaps/>
          <w:spacing w:val="40"/>
          <w:sz w:val="56"/>
          <w:szCs w:val="56"/>
        </w:rPr>
        <w:t>ondements</w:t>
      </w:r>
      <w:r w:rsidR="002D5DE4" w:rsidRPr="005A651F">
        <w:rPr>
          <w:rFonts w:asciiTheme="majorBidi" w:hAnsiTheme="majorBidi" w:cstheme="majorBidi"/>
          <w:b/>
          <w:bCs/>
          <w:smallCaps/>
          <w:spacing w:val="40"/>
          <w:sz w:val="56"/>
          <w:szCs w:val="56"/>
        </w:rPr>
        <w:t xml:space="preserve"> </w:t>
      </w:r>
      <w:r w:rsidRPr="005A651F">
        <w:rPr>
          <w:rFonts w:asciiTheme="majorBidi" w:hAnsiTheme="majorBidi" w:cstheme="majorBidi"/>
          <w:b/>
          <w:bCs/>
          <w:smallCaps/>
          <w:spacing w:val="40"/>
          <w:sz w:val="56"/>
          <w:szCs w:val="56"/>
        </w:rPr>
        <w:t>de</w:t>
      </w:r>
    </w:p>
    <w:p w14:paraId="305B17C0" w14:textId="782D981B" w:rsidR="003E460A" w:rsidRPr="005A651F" w:rsidRDefault="00A65A19" w:rsidP="0069735E">
      <w:pPr>
        <w:spacing w:after="120" w:line="360" w:lineRule="auto"/>
        <w:jc w:val="center"/>
        <w:rPr>
          <w:rFonts w:asciiTheme="majorBidi" w:hAnsiTheme="majorBidi" w:cstheme="majorBidi"/>
          <w:b/>
          <w:bCs/>
          <w:smallCaps/>
          <w:spacing w:val="40"/>
          <w:sz w:val="56"/>
          <w:szCs w:val="56"/>
        </w:rPr>
      </w:pPr>
      <w:r w:rsidRPr="005A651F">
        <w:rPr>
          <w:rFonts w:asciiTheme="majorBidi" w:hAnsiTheme="majorBidi" w:cstheme="majorBidi"/>
          <w:b/>
          <w:bCs/>
          <w:smallCaps/>
          <w:spacing w:val="40"/>
          <w:sz w:val="56"/>
          <w:szCs w:val="56"/>
        </w:rPr>
        <w:t>la finance</w:t>
      </w:r>
      <w:r w:rsidR="00AB3C1B" w:rsidRPr="005A651F">
        <w:rPr>
          <w:rFonts w:asciiTheme="majorBidi" w:hAnsiTheme="majorBidi" w:cstheme="majorBidi"/>
          <w:b/>
          <w:bCs/>
          <w:smallCaps/>
          <w:spacing w:val="40"/>
          <w:sz w:val="56"/>
          <w:szCs w:val="56"/>
        </w:rPr>
        <w:t xml:space="preserve"> </w:t>
      </w:r>
      <w:r w:rsidR="009E1248" w:rsidRPr="005A651F">
        <w:rPr>
          <w:rFonts w:asciiTheme="majorBidi" w:hAnsiTheme="majorBidi" w:cstheme="majorBidi"/>
          <w:b/>
          <w:bCs/>
          <w:smallCaps/>
          <w:spacing w:val="40"/>
          <w:sz w:val="56"/>
          <w:szCs w:val="56"/>
        </w:rPr>
        <w:t>i</w:t>
      </w:r>
      <w:r w:rsidR="003773C6" w:rsidRPr="005A651F">
        <w:rPr>
          <w:rFonts w:asciiTheme="majorBidi" w:hAnsiTheme="majorBidi" w:cstheme="majorBidi"/>
          <w:b/>
          <w:bCs/>
          <w:smallCaps/>
          <w:spacing w:val="40"/>
          <w:sz w:val="56"/>
          <w:szCs w:val="56"/>
        </w:rPr>
        <w:t>slamique</w:t>
      </w:r>
      <w:bookmarkEnd w:id="83"/>
    </w:p>
    <w:p w14:paraId="3358E97F" w14:textId="77777777" w:rsidR="00BB3307" w:rsidRDefault="00BB3307" w:rsidP="003243BF">
      <w:pPr>
        <w:tabs>
          <w:tab w:val="left" w:pos="0"/>
        </w:tabs>
        <w:spacing w:before="120" w:line="300" w:lineRule="auto"/>
        <w:ind w:firstLine="709"/>
        <w:rPr>
          <w:rFonts w:ascii="Times New Roman" w:eastAsia="Calibri" w:hAnsi="Times New Roman" w:cs="Times New Roman"/>
          <w:sz w:val="24"/>
          <w:szCs w:val="24"/>
          <w:lang w:bidi="ar-DZ"/>
        </w:rPr>
      </w:pPr>
      <w:bookmarkStart w:id="84" w:name="_Toc33263206"/>
      <w:bookmarkStart w:id="85" w:name="_Toc37664458"/>
      <w:bookmarkStart w:id="86" w:name="_Toc37666303"/>
      <w:bookmarkStart w:id="87" w:name="_Toc54361669"/>
      <w:bookmarkStart w:id="88" w:name="_Toc54363192"/>
      <w:bookmarkStart w:id="89" w:name="_Toc57901019"/>
      <w:bookmarkStart w:id="90" w:name="_Toc58261920"/>
      <w:bookmarkStart w:id="91" w:name="_Toc58606208"/>
      <w:bookmarkStart w:id="92" w:name="_Toc61263413"/>
    </w:p>
    <w:p w14:paraId="04EF6077" w14:textId="77777777" w:rsidR="0069735E" w:rsidRDefault="0069735E" w:rsidP="003243BF">
      <w:pPr>
        <w:tabs>
          <w:tab w:val="left" w:pos="0"/>
        </w:tabs>
        <w:spacing w:before="120" w:line="300" w:lineRule="auto"/>
        <w:ind w:firstLine="709"/>
        <w:rPr>
          <w:rFonts w:ascii="Times New Roman" w:eastAsia="Calibri" w:hAnsi="Times New Roman" w:cs="Times New Roman"/>
          <w:sz w:val="24"/>
          <w:szCs w:val="24"/>
          <w:lang w:bidi="ar-DZ"/>
        </w:rPr>
        <w:sectPr w:rsidR="0069735E" w:rsidSect="00D61093">
          <w:footerReference w:type="default" r:id="rId13"/>
          <w:footerReference w:type="first" r:id="rId14"/>
          <w:footnotePr>
            <w:numRestart w:val="eachPage"/>
          </w:footnotePr>
          <w:pgSz w:w="11906" w:h="16838" w:code="9"/>
          <w:pgMar w:top="1134" w:right="1134" w:bottom="1134" w:left="1134" w:header="709" w:footer="709" w:gutter="567"/>
          <w:pgNumType w:start="1"/>
          <w:cols w:space="708"/>
          <w:docGrid w:linePitch="360"/>
        </w:sectPr>
      </w:pPr>
    </w:p>
    <w:p w14:paraId="6E54700C" w14:textId="7C70B949" w:rsidR="005A651F" w:rsidRPr="005A651F" w:rsidRDefault="005A651F" w:rsidP="0069735E">
      <w:pPr>
        <w:pStyle w:val="Titre1"/>
        <w:tabs>
          <w:tab w:val="left" w:pos="709"/>
        </w:tabs>
        <w:spacing w:line="360" w:lineRule="auto"/>
        <w:jc w:val="center"/>
        <w:rPr>
          <w:spacing w:val="20"/>
          <w:szCs w:val="28"/>
        </w:rPr>
      </w:pPr>
      <w:bookmarkStart w:id="93" w:name="_Toc116257056"/>
      <w:bookmarkStart w:id="94" w:name="_Toc182298584"/>
      <w:bookmarkStart w:id="95" w:name="_Toc182309380"/>
      <w:r w:rsidRPr="005A651F">
        <w:rPr>
          <w:spacing w:val="20"/>
          <w:szCs w:val="28"/>
        </w:rPr>
        <w:lastRenderedPageBreak/>
        <w:t xml:space="preserve">Chapitre I- </w:t>
      </w:r>
      <w:r w:rsidRPr="0069735E">
        <w:rPr>
          <w:rFonts w:ascii="Times New Roman Gras" w:hAnsi="Times New Roman Gras"/>
          <w:smallCaps/>
          <w:spacing w:val="20"/>
          <w:szCs w:val="28"/>
        </w:rPr>
        <w:t>Fondements de la finance islamique</w:t>
      </w:r>
      <w:bookmarkEnd w:id="93"/>
      <w:bookmarkEnd w:id="94"/>
      <w:bookmarkEnd w:id="95"/>
    </w:p>
    <w:p w14:paraId="385B6CC1" w14:textId="77777777" w:rsidR="003243BF" w:rsidRPr="00EA23DD" w:rsidRDefault="003243BF" w:rsidP="003243BF">
      <w:pPr>
        <w:tabs>
          <w:tab w:val="left" w:pos="0"/>
        </w:tabs>
        <w:spacing w:before="120" w:line="300" w:lineRule="auto"/>
        <w:ind w:firstLine="709"/>
        <w:rPr>
          <w:rFonts w:ascii="Times New Roman" w:eastAsia="Calibri" w:hAnsi="Times New Roman" w:cs="Times New Roman"/>
          <w:spacing w:val="-6"/>
          <w:sz w:val="24"/>
          <w:szCs w:val="24"/>
        </w:rPr>
      </w:pPr>
      <w:r w:rsidRPr="00EA23DD">
        <w:rPr>
          <w:rFonts w:ascii="Times New Roman" w:eastAsia="Calibri" w:hAnsi="Times New Roman" w:cs="Times New Roman"/>
          <w:spacing w:val="-6"/>
          <w:sz w:val="24"/>
          <w:szCs w:val="24"/>
        </w:rPr>
        <w:t xml:space="preserve">La finance </w:t>
      </w:r>
      <w:r w:rsidR="009E1248" w:rsidRPr="00EA23DD">
        <w:rPr>
          <w:rFonts w:ascii="Times New Roman" w:eastAsia="Calibri" w:hAnsi="Times New Roman" w:cs="Times New Roman"/>
          <w:spacing w:val="-6"/>
          <w:sz w:val="24"/>
          <w:szCs w:val="24"/>
        </w:rPr>
        <w:t>i</w:t>
      </w:r>
      <w:r w:rsidR="003773C6" w:rsidRPr="00EA23DD">
        <w:rPr>
          <w:rFonts w:ascii="Times New Roman" w:eastAsia="Calibri" w:hAnsi="Times New Roman" w:cs="Times New Roman"/>
          <w:spacing w:val="-6"/>
          <w:sz w:val="24"/>
          <w:szCs w:val="24"/>
        </w:rPr>
        <w:t>slamique</w:t>
      </w:r>
      <w:r w:rsidRPr="00EA23DD">
        <w:rPr>
          <w:rFonts w:ascii="Times New Roman" w:eastAsia="Calibri" w:hAnsi="Times New Roman" w:cs="Times New Roman"/>
          <w:spacing w:val="-6"/>
          <w:sz w:val="24"/>
          <w:szCs w:val="24"/>
        </w:rPr>
        <w:t xml:space="preserve"> connaît un essor important ces dernières années. L’accroissement du nombre des institutions financières </w:t>
      </w:r>
      <w:r w:rsidR="009E1248" w:rsidRPr="00EA23DD">
        <w:rPr>
          <w:rFonts w:ascii="Times New Roman" w:eastAsia="Calibri" w:hAnsi="Times New Roman" w:cs="Times New Roman"/>
          <w:spacing w:val="-6"/>
          <w:sz w:val="24"/>
          <w:szCs w:val="24"/>
        </w:rPr>
        <w:t>i</w:t>
      </w:r>
      <w:r w:rsidR="003773C6" w:rsidRPr="00EA23DD">
        <w:rPr>
          <w:rFonts w:ascii="Times New Roman" w:eastAsia="Calibri" w:hAnsi="Times New Roman" w:cs="Times New Roman"/>
          <w:spacing w:val="-6"/>
          <w:sz w:val="24"/>
          <w:szCs w:val="24"/>
        </w:rPr>
        <w:t>slamique</w:t>
      </w:r>
      <w:r w:rsidRPr="00EA23DD">
        <w:rPr>
          <w:rFonts w:ascii="Times New Roman" w:eastAsia="Calibri" w:hAnsi="Times New Roman" w:cs="Times New Roman"/>
          <w:spacing w:val="-6"/>
          <w:sz w:val="24"/>
          <w:szCs w:val="24"/>
        </w:rPr>
        <w:t xml:space="preserve">s adoptant de plus en plus des pratiques de financement </w:t>
      </w:r>
      <w:r w:rsidR="000F4D63" w:rsidRPr="00EA23DD">
        <w:rPr>
          <w:rFonts w:ascii="Times New Roman" w:eastAsia="Calibri" w:hAnsi="Times New Roman" w:cs="Times New Roman"/>
          <w:spacing w:val="-6"/>
          <w:sz w:val="24"/>
          <w:szCs w:val="24"/>
        </w:rPr>
        <w:t>i</w:t>
      </w:r>
      <w:r w:rsidR="003773C6" w:rsidRPr="00EA23DD">
        <w:rPr>
          <w:rFonts w:ascii="Times New Roman" w:eastAsia="Calibri" w:hAnsi="Times New Roman" w:cs="Times New Roman"/>
          <w:spacing w:val="-6"/>
          <w:sz w:val="24"/>
          <w:szCs w:val="24"/>
        </w:rPr>
        <w:t>slamique</w:t>
      </w:r>
      <w:r w:rsidRPr="00EA23DD">
        <w:rPr>
          <w:rFonts w:ascii="Times New Roman" w:eastAsia="Calibri" w:hAnsi="Times New Roman" w:cs="Times New Roman"/>
          <w:spacing w:val="-6"/>
          <w:sz w:val="24"/>
          <w:szCs w:val="24"/>
        </w:rPr>
        <w:t xml:space="preserve"> confirme le développement de cette branche de la finance à travers le monde.</w:t>
      </w:r>
    </w:p>
    <w:p w14:paraId="2667ED46" w14:textId="77777777" w:rsidR="003243BF" w:rsidRPr="002B005F" w:rsidRDefault="003243BF" w:rsidP="003243BF">
      <w:pPr>
        <w:tabs>
          <w:tab w:val="left" w:pos="0"/>
        </w:tabs>
        <w:spacing w:before="120" w:line="300" w:lineRule="auto"/>
        <w:ind w:firstLine="709"/>
        <w:rPr>
          <w:rFonts w:ascii="Times New Roman" w:eastAsia="Calibri" w:hAnsi="Times New Roman" w:cs="Times New Roman"/>
          <w:sz w:val="24"/>
          <w:szCs w:val="24"/>
        </w:rPr>
      </w:pPr>
      <w:r w:rsidRPr="002B005F">
        <w:rPr>
          <w:rFonts w:ascii="Times New Roman" w:eastAsia="Calibri" w:hAnsi="Times New Roman" w:cs="Times New Roman"/>
          <w:sz w:val="24"/>
          <w:szCs w:val="24"/>
        </w:rPr>
        <w:t xml:space="preserve">L’objectif principal de la FI est de rendre les pratiques financières conformes à ce qui est édicté par le droit musulman afin de répondre aux besoins de financement et de placement des agents économiques qui rejettent certaines opérations de la finance dite « conventionnelle ». Toutefois, si les objectifs convergent, les principes qui régissent le fonctionnement du système financier </w:t>
      </w:r>
      <w:r w:rsidR="009E1248">
        <w:rPr>
          <w:rFonts w:ascii="Times New Roman" w:eastAsia="Calibri" w:hAnsi="Times New Roman" w:cs="Times New Roman"/>
          <w:sz w:val="24"/>
          <w:szCs w:val="24"/>
        </w:rPr>
        <w:t>i</w:t>
      </w:r>
      <w:r w:rsidR="003773C6" w:rsidRPr="002B005F">
        <w:rPr>
          <w:rFonts w:ascii="Times New Roman" w:eastAsia="Calibri" w:hAnsi="Times New Roman" w:cs="Times New Roman"/>
          <w:sz w:val="24"/>
          <w:szCs w:val="24"/>
        </w:rPr>
        <w:t>slamique</w:t>
      </w:r>
      <w:r w:rsidRPr="002B005F">
        <w:rPr>
          <w:rFonts w:ascii="Times New Roman" w:eastAsia="Calibri" w:hAnsi="Times New Roman" w:cs="Times New Roman"/>
          <w:sz w:val="24"/>
          <w:szCs w:val="24"/>
        </w:rPr>
        <w:t xml:space="preserve"> sont fondamentalement différents de l’esprit de la finance conventionnelle.</w:t>
      </w:r>
    </w:p>
    <w:p w14:paraId="7C066301" w14:textId="77777777" w:rsidR="003243BF" w:rsidRPr="002B005F" w:rsidRDefault="003243BF" w:rsidP="003243BF">
      <w:pPr>
        <w:tabs>
          <w:tab w:val="left" w:pos="0"/>
        </w:tabs>
        <w:spacing w:before="120" w:line="300" w:lineRule="auto"/>
        <w:ind w:firstLine="709"/>
        <w:rPr>
          <w:rFonts w:ascii="Times New Roman" w:eastAsia="Calibri" w:hAnsi="Times New Roman" w:cs="Times New Roman"/>
          <w:sz w:val="24"/>
          <w:szCs w:val="24"/>
        </w:rPr>
      </w:pPr>
      <w:r w:rsidRPr="002B005F">
        <w:rPr>
          <w:rFonts w:ascii="Times New Roman" w:eastAsia="Calibri" w:hAnsi="Times New Roman" w:cs="Times New Roman"/>
          <w:sz w:val="24"/>
          <w:szCs w:val="24"/>
        </w:rPr>
        <w:t xml:space="preserve">Du point de vue de la finance moderne, l’interdiction de l’intérêt paraît être la principale différence entre la finance </w:t>
      </w:r>
      <w:r w:rsidR="009E1248">
        <w:rPr>
          <w:rFonts w:ascii="Times New Roman" w:eastAsia="Calibri" w:hAnsi="Times New Roman" w:cs="Times New Roman"/>
          <w:sz w:val="24"/>
          <w:szCs w:val="24"/>
        </w:rPr>
        <w:t>i</w:t>
      </w:r>
      <w:r w:rsidR="003773C6" w:rsidRPr="002B005F">
        <w:rPr>
          <w:rFonts w:ascii="Times New Roman" w:eastAsia="Calibri" w:hAnsi="Times New Roman" w:cs="Times New Roman"/>
          <w:sz w:val="24"/>
          <w:szCs w:val="24"/>
        </w:rPr>
        <w:t>slamique</w:t>
      </w:r>
      <w:r w:rsidRPr="002B005F">
        <w:rPr>
          <w:rFonts w:ascii="Times New Roman" w:eastAsia="Calibri" w:hAnsi="Times New Roman" w:cs="Times New Roman"/>
          <w:sz w:val="24"/>
          <w:szCs w:val="24"/>
        </w:rPr>
        <w:t xml:space="preserve"> et la finance conventionnelle. Mais ce n’est pas l’unique point de divergence. C’est ce que nous allons essayer de montrer à travers notre premier chapitre dont l’objet est de présenter une vue globale de la FI sur trois sections :</w:t>
      </w:r>
    </w:p>
    <w:p w14:paraId="1C110FA2" w14:textId="77777777" w:rsidR="003243BF" w:rsidRPr="002B005F" w:rsidRDefault="00EF43E9" w:rsidP="00CB0FF1">
      <w:pPr>
        <w:numPr>
          <w:ilvl w:val="0"/>
          <w:numId w:val="84"/>
        </w:numPr>
        <w:tabs>
          <w:tab w:val="left" w:pos="0"/>
        </w:tabs>
        <w:spacing w:before="120" w:line="300" w:lineRule="auto"/>
        <w:ind w:left="1135" w:hanging="284"/>
        <w:jc w:val="left"/>
        <w:rPr>
          <w:rFonts w:ascii="Times New Roman" w:eastAsia="Calibri" w:hAnsi="Times New Roman" w:cs="Times New Roman"/>
          <w:sz w:val="24"/>
          <w:szCs w:val="24"/>
        </w:rPr>
      </w:pPr>
      <w:r w:rsidRPr="002B005F">
        <w:rPr>
          <w:rFonts w:ascii="Times New Roman" w:eastAsia="Calibri" w:hAnsi="Times New Roman" w:cs="Times New Roman"/>
          <w:sz w:val="24"/>
          <w:szCs w:val="24"/>
        </w:rPr>
        <w:t>D’abord</w:t>
      </w:r>
      <w:r w:rsidR="003243BF" w:rsidRPr="002B005F">
        <w:rPr>
          <w:rFonts w:ascii="Times New Roman" w:eastAsia="Calibri" w:hAnsi="Times New Roman" w:cs="Times New Roman"/>
          <w:sz w:val="24"/>
          <w:szCs w:val="24"/>
        </w:rPr>
        <w:t>, nous expliquerons ses principes, ses sources, son évolution ainsi que la définition de quelques concepts fondamentaux ;</w:t>
      </w:r>
    </w:p>
    <w:p w14:paraId="55916D7A" w14:textId="77777777" w:rsidR="003243BF" w:rsidRPr="002B005F" w:rsidRDefault="003243BF" w:rsidP="00CB0FF1">
      <w:pPr>
        <w:numPr>
          <w:ilvl w:val="0"/>
          <w:numId w:val="84"/>
        </w:numPr>
        <w:tabs>
          <w:tab w:val="left" w:pos="0"/>
        </w:tabs>
        <w:spacing w:before="120" w:line="300" w:lineRule="auto"/>
        <w:ind w:left="1135" w:hanging="284"/>
        <w:jc w:val="left"/>
        <w:rPr>
          <w:rFonts w:ascii="Times New Roman" w:eastAsia="Calibri" w:hAnsi="Times New Roman" w:cs="Times New Roman"/>
          <w:sz w:val="24"/>
          <w:szCs w:val="24"/>
        </w:rPr>
      </w:pPr>
      <w:r w:rsidRPr="002B005F">
        <w:rPr>
          <w:rFonts w:ascii="Times New Roman" w:eastAsia="Calibri" w:hAnsi="Times New Roman" w:cs="Times New Roman"/>
          <w:sz w:val="24"/>
          <w:szCs w:val="24"/>
        </w:rPr>
        <w:t xml:space="preserve">Puis, l’attention se portera sur les différents modes de financement </w:t>
      </w:r>
      <w:r w:rsidR="000F4D63">
        <w:rPr>
          <w:rFonts w:ascii="Times New Roman" w:eastAsia="Calibri" w:hAnsi="Times New Roman" w:cs="Times New Roman"/>
          <w:sz w:val="24"/>
          <w:szCs w:val="24"/>
        </w:rPr>
        <w:t>i</w:t>
      </w:r>
      <w:r w:rsidR="003773C6" w:rsidRPr="002B005F">
        <w:rPr>
          <w:rFonts w:ascii="Times New Roman" w:eastAsia="Calibri" w:hAnsi="Times New Roman" w:cs="Times New Roman"/>
          <w:sz w:val="24"/>
          <w:szCs w:val="24"/>
        </w:rPr>
        <w:t>slamique</w:t>
      </w:r>
      <w:r w:rsidRPr="002B005F">
        <w:rPr>
          <w:rFonts w:ascii="Times New Roman" w:eastAsia="Calibri" w:hAnsi="Times New Roman" w:cs="Times New Roman"/>
          <w:sz w:val="24"/>
          <w:szCs w:val="24"/>
        </w:rPr>
        <w:t> ;</w:t>
      </w:r>
    </w:p>
    <w:p w14:paraId="4721C0EE" w14:textId="77777777" w:rsidR="003243BF" w:rsidRPr="002B005F" w:rsidRDefault="003243BF" w:rsidP="00CB0FF1">
      <w:pPr>
        <w:numPr>
          <w:ilvl w:val="0"/>
          <w:numId w:val="84"/>
        </w:numPr>
        <w:tabs>
          <w:tab w:val="left" w:pos="0"/>
        </w:tabs>
        <w:spacing w:before="120" w:line="300" w:lineRule="auto"/>
        <w:ind w:left="1135" w:hanging="284"/>
        <w:jc w:val="left"/>
        <w:rPr>
          <w:rFonts w:ascii="Times New Roman" w:eastAsia="Calibri" w:hAnsi="Times New Roman" w:cs="Times New Roman"/>
          <w:sz w:val="24"/>
          <w:szCs w:val="24"/>
        </w:rPr>
      </w:pPr>
      <w:r w:rsidRPr="002B005F">
        <w:rPr>
          <w:rFonts w:ascii="Times New Roman" w:eastAsia="Calibri" w:hAnsi="Times New Roman" w:cs="Times New Roman"/>
          <w:sz w:val="24"/>
          <w:szCs w:val="24"/>
        </w:rPr>
        <w:t>Enfin, nous exposerons l’or</w:t>
      </w:r>
      <w:r w:rsidR="008435D5">
        <w:rPr>
          <w:rFonts w:ascii="Times New Roman" w:eastAsia="Calibri" w:hAnsi="Times New Roman" w:cs="Times New Roman"/>
          <w:sz w:val="24"/>
          <w:szCs w:val="24"/>
        </w:rPr>
        <w:t>ganisation et la gouvernance de la</w:t>
      </w:r>
      <w:r w:rsidR="008435D5" w:rsidRPr="002B005F">
        <w:rPr>
          <w:rFonts w:ascii="Times New Roman" w:eastAsia="Calibri" w:hAnsi="Times New Roman" w:cs="Times New Roman"/>
          <w:sz w:val="24"/>
          <w:szCs w:val="24"/>
        </w:rPr>
        <w:t xml:space="preserve"> banque islamique</w:t>
      </w:r>
      <w:r w:rsidRPr="002B005F">
        <w:rPr>
          <w:rFonts w:ascii="Times New Roman" w:eastAsia="Calibri" w:hAnsi="Times New Roman" w:cs="Times New Roman"/>
          <w:sz w:val="24"/>
          <w:szCs w:val="24"/>
        </w:rPr>
        <w:t>.</w:t>
      </w:r>
    </w:p>
    <w:p w14:paraId="74F33B9B" w14:textId="77777777" w:rsidR="002760B2" w:rsidRPr="00B32AE6" w:rsidRDefault="00801119" w:rsidP="00236A71">
      <w:pPr>
        <w:pStyle w:val="Titre2"/>
        <w:keepNext w:val="0"/>
        <w:spacing w:before="100" w:beforeAutospacing="1" w:after="100" w:afterAutospacing="1" w:line="300" w:lineRule="auto"/>
        <w:ind w:firstLine="709"/>
        <w:rPr>
          <w:i w:val="0"/>
          <w:iCs w:val="0"/>
          <w:sz w:val="28"/>
        </w:rPr>
      </w:pPr>
      <w:bookmarkStart w:id="96" w:name="_Toc116257057"/>
      <w:bookmarkStart w:id="97" w:name="_Toc182298585"/>
      <w:bookmarkStart w:id="98" w:name="_Toc182309381"/>
      <w:r w:rsidRPr="00B32AE6">
        <w:rPr>
          <w:i w:val="0"/>
          <w:iCs w:val="0"/>
          <w:sz w:val="28"/>
        </w:rPr>
        <w:t>Section I-</w:t>
      </w:r>
      <w:r w:rsidR="00F2500F" w:rsidRPr="00B32AE6">
        <w:rPr>
          <w:i w:val="0"/>
          <w:iCs w:val="0"/>
          <w:sz w:val="28"/>
        </w:rPr>
        <w:t xml:space="preserve"> </w:t>
      </w:r>
      <w:r w:rsidR="00176C45" w:rsidRPr="00B32AE6">
        <w:rPr>
          <w:i w:val="0"/>
          <w:iCs w:val="0"/>
          <w:sz w:val="28"/>
        </w:rPr>
        <w:t>Fondements</w:t>
      </w:r>
      <w:r w:rsidR="002760B2" w:rsidRPr="00B32AE6">
        <w:rPr>
          <w:i w:val="0"/>
          <w:iCs w:val="0"/>
          <w:sz w:val="28"/>
        </w:rPr>
        <w:t xml:space="preserve"> </w:t>
      </w:r>
      <w:r w:rsidR="00176C45" w:rsidRPr="00B32AE6">
        <w:rPr>
          <w:i w:val="0"/>
          <w:iCs w:val="0"/>
          <w:sz w:val="28"/>
        </w:rPr>
        <w:t>et principes de</w:t>
      </w:r>
      <w:r w:rsidR="002760B2" w:rsidRPr="00B32AE6">
        <w:rPr>
          <w:i w:val="0"/>
          <w:iCs w:val="0"/>
          <w:sz w:val="28"/>
        </w:rPr>
        <w:t xml:space="preserve"> la finance </w:t>
      </w:r>
      <w:r w:rsidR="009E1248" w:rsidRPr="00B32AE6">
        <w:rPr>
          <w:i w:val="0"/>
          <w:iCs w:val="0"/>
          <w:sz w:val="28"/>
        </w:rPr>
        <w:t>i</w:t>
      </w:r>
      <w:r w:rsidR="003773C6" w:rsidRPr="00B32AE6">
        <w:rPr>
          <w:i w:val="0"/>
          <w:iCs w:val="0"/>
          <w:sz w:val="28"/>
        </w:rPr>
        <w:t>slamique</w:t>
      </w:r>
      <w:bookmarkEnd w:id="84"/>
      <w:bookmarkEnd w:id="85"/>
      <w:bookmarkEnd w:id="86"/>
      <w:bookmarkEnd w:id="87"/>
      <w:bookmarkEnd w:id="88"/>
      <w:bookmarkEnd w:id="89"/>
      <w:bookmarkEnd w:id="90"/>
      <w:bookmarkEnd w:id="91"/>
      <w:bookmarkEnd w:id="92"/>
      <w:bookmarkEnd w:id="96"/>
      <w:bookmarkEnd w:id="97"/>
      <w:bookmarkEnd w:id="98"/>
    </w:p>
    <w:p w14:paraId="32429EA6" w14:textId="77777777" w:rsidR="002760B2" w:rsidRPr="002B005F" w:rsidRDefault="002760B2" w:rsidP="00236A71">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FI est une finance éthique qui puise ses fondements dans les enseignements du droit musulman et à travers lequel ses principes ont été élaborés. L’introduction de cette éthique comme fondement de réflexion va totalement modifier la structure et le fonctionnement de l’activité financière. Donc, il est nécessaire d’aborder les différents fondements qui gouvernent les opérations financières en </w:t>
      </w:r>
      <w:r w:rsidR="00F34669" w:rsidRPr="002B005F">
        <w:rPr>
          <w:rFonts w:ascii="Times New Roman" w:hAnsi="Times New Roman" w:cs="Times New Roman"/>
          <w:sz w:val="24"/>
          <w:szCs w:val="24"/>
        </w:rPr>
        <w:t>Islam</w:t>
      </w:r>
      <w:r w:rsidRPr="002B005F">
        <w:rPr>
          <w:rFonts w:ascii="Times New Roman" w:hAnsi="Times New Roman" w:cs="Times New Roman"/>
          <w:sz w:val="24"/>
          <w:szCs w:val="24"/>
        </w:rPr>
        <w:t>.</w:t>
      </w:r>
    </w:p>
    <w:p w14:paraId="40CD0B2A" w14:textId="112B8B36" w:rsidR="002760B2" w:rsidRPr="00B32AE6" w:rsidRDefault="00CF2E21" w:rsidP="00236A71">
      <w:pPr>
        <w:pStyle w:val="Titre3"/>
        <w:keepNext w:val="0"/>
        <w:keepLines w:val="0"/>
        <w:spacing w:before="100" w:beforeAutospacing="1" w:after="100" w:afterAutospacing="1"/>
        <w:ind w:firstLine="709"/>
        <w:rPr>
          <w:i/>
          <w:iCs/>
          <w:sz w:val="28"/>
          <w:szCs w:val="28"/>
        </w:rPr>
      </w:pPr>
      <w:bookmarkStart w:id="99" w:name="_Toc58606209"/>
      <w:bookmarkStart w:id="100" w:name="_Toc33263207"/>
      <w:bookmarkStart w:id="101" w:name="_Toc37664459"/>
      <w:bookmarkStart w:id="102" w:name="_Toc37666304"/>
      <w:bookmarkStart w:id="103" w:name="_Toc54363193"/>
      <w:bookmarkStart w:id="104" w:name="_Toc61263414"/>
      <w:bookmarkStart w:id="105" w:name="_Toc182298586"/>
      <w:r w:rsidRPr="00B32AE6">
        <w:rPr>
          <w:sz w:val="28"/>
          <w:szCs w:val="28"/>
        </w:rPr>
        <w:t xml:space="preserve">1.1- </w:t>
      </w:r>
      <w:r w:rsidR="00C55304">
        <w:rPr>
          <w:sz w:val="28"/>
          <w:szCs w:val="28"/>
        </w:rPr>
        <w:t>S</w:t>
      </w:r>
      <w:r w:rsidR="002760B2" w:rsidRPr="00B32AE6">
        <w:rPr>
          <w:sz w:val="28"/>
          <w:szCs w:val="28"/>
        </w:rPr>
        <w:t>ources du droit musulman</w:t>
      </w:r>
      <w:bookmarkEnd w:id="99"/>
      <w:bookmarkEnd w:id="100"/>
      <w:bookmarkEnd w:id="101"/>
      <w:bookmarkEnd w:id="102"/>
      <w:bookmarkEnd w:id="103"/>
      <w:bookmarkEnd w:id="104"/>
      <w:bookmarkEnd w:id="105"/>
    </w:p>
    <w:p w14:paraId="15322154" w14:textId="77777777" w:rsidR="002760B2" w:rsidRPr="005A651F" w:rsidRDefault="002760B2" w:rsidP="00222D9F">
      <w:pPr>
        <w:tabs>
          <w:tab w:val="left" w:pos="0"/>
        </w:tabs>
        <w:spacing w:before="120" w:line="300" w:lineRule="auto"/>
        <w:ind w:firstLine="709"/>
        <w:rPr>
          <w:rFonts w:ascii="Times New Roman" w:hAnsi="Times New Roman" w:cs="Times New Roman"/>
          <w:b/>
          <w:bCs/>
          <w:i/>
          <w:iCs/>
          <w:spacing w:val="-4"/>
          <w:sz w:val="24"/>
          <w:szCs w:val="24"/>
        </w:rPr>
      </w:pPr>
      <w:r w:rsidRPr="005A651F">
        <w:rPr>
          <w:rFonts w:ascii="Times New Roman" w:hAnsi="Times New Roman" w:cs="Times New Roman"/>
          <w:spacing w:val="-4"/>
          <w:sz w:val="24"/>
          <w:szCs w:val="24"/>
        </w:rPr>
        <w:t xml:space="preserve">Le devoir d’obéissance du musulman envers </w:t>
      </w:r>
      <w:r w:rsidRPr="005A651F">
        <w:rPr>
          <w:rFonts w:ascii="Times New Roman" w:hAnsi="Times New Roman" w:cs="Times New Roman"/>
          <w:i/>
          <w:iCs/>
          <w:spacing w:val="-4"/>
          <w:sz w:val="24"/>
          <w:szCs w:val="24"/>
        </w:rPr>
        <w:t>Allah</w:t>
      </w:r>
      <w:r w:rsidRPr="005A651F">
        <w:rPr>
          <w:rFonts w:ascii="Times New Roman" w:hAnsi="Times New Roman" w:cs="Times New Roman"/>
          <w:spacing w:val="-4"/>
          <w:sz w:val="24"/>
          <w:szCs w:val="24"/>
        </w:rPr>
        <w:t xml:space="preserve"> et son Messager </w:t>
      </w:r>
      <w:r w:rsidR="00B22501" w:rsidRPr="005A651F">
        <w:rPr>
          <w:rFonts w:ascii="Times New Roman" w:hAnsi="Times New Roman" w:cs="Times New Roman"/>
          <w:spacing w:val="-4"/>
          <w:sz w:val="24"/>
          <w:szCs w:val="24"/>
        </w:rPr>
        <w:t xml:space="preserve">  </w:t>
      </w:r>
      <w:r w:rsidR="00B22501" w:rsidRPr="005A651F">
        <w:rPr>
          <w:rFonts w:ascii="Times New Roman" w:hAnsi="Times New Roman" w:cs="Times New Roman"/>
          <w:noProof/>
          <w:spacing w:val="-4"/>
          <w:sz w:val="24"/>
          <w:szCs w:val="24"/>
          <w:lang w:eastAsia="fr-FR"/>
        </w:rPr>
        <w:drawing>
          <wp:anchor distT="0" distB="0" distL="114300" distR="114300" simplePos="0" relativeHeight="251499520" behindDoc="0" locked="1" layoutInCell="1" allowOverlap="0" wp14:anchorId="76808186" wp14:editId="5F719E33">
            <wp:simplePos x="0" y="0"/>
            <wp:positionH relativeFrom="column">
              <wp:posOffset>4530090</wp:posOffset>
            </wp:positionH>
            <wp:positionV relativeFrom="paragraph">
              <wp:posOffset>21590</wp:posOffset>
            </wp:positionV>
            <wp:extent cx="180975" cy="161925"/>
            <wp:effectExtent l="19050" t="0" r="9525" b="0"/>
            <wp:wrapNone/>
            <wp:docPr id="26"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B22501" w:rsidRPr="005A651F">
        <w:rPr>
          <w:rFonts w:ascii="Times New Roman" w:hAnsi="Times New Roman" w:cs="Times New Roman"/>
          <w:spacing w:val="-4"/>
          <w:sz w:val="24"/>
          <w:szCs w:val="24"/>
        </w:rPr>
        <w:t xml:space="preserve">  </w:t>
      </w:r>
      <w:r w:rsidRPr="005A651F">
        <w:rPr>
          <w:rFonts w:ascii="Times New Roman" w:hAnsi="Times New Roman" w:cs="Times New Roman"/>
          <w:spacing w:val="-4"/>
          <w:sz w:val="24"/>
          <w:szCs w:val="24"/>
        </w:rPr>
        <w:t xml:space="preserve">concerne tous les aspects de son existence, plus particulièrement, les échanges de biens et des services qu’il réalise durant sa journée. Parmi les questions auxquelles chaque serviteur aura à répondre le jour du Jugement, deux porteront sur son argent : </w:t>
      </w:r>
      <w:r w:rsidRPr="005A651F">
        <w:rPr>
          <w:rFonts w:ascii="Times New Roman" w:hAnsi="Times New Roman" w:cs="Times New Roman"/>
          <w:i/>
          <w:iCs/>
          <w:spacing w:val="-4"/>
          <w:sz w:val="24"/>
          <w:szCs w:val="24"/>
        </w:rPr>
        <w:t>D’où l’a-t-il eu ? Comment l’a-t-il dépensé ?</w:t>
      </w:r>
    </w:p>
    <w:p w14:paraId="3F35498A" w14:textId="34E61F46" w:rsidR="002760B2" w:rsidRPr="002B005F" w:rsidRDefault="002760B2" w:rsidP="00311689">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Donc, la </w:t>
      </w:r>
      <w:r w:rsidR="00A271FD" w:rsidRPr="002B005F">
        <w:rPr>
          <w:rFonts w:ascii="Times New Roman" w:hAnsi="Times New Roman" w:cs="Times New Roman"/>
          <w:sz w:val="24"/>
          <w:szCs w:val="24"/>
        </w:rPr>
        <w:t>FI</w:t>
      </w:r>
      <w:r w:rsidRPr="002B005F">
        <w:rPr>
          <w:rFonts w:ascii="Times New Roman" w:hAnsi="Times New Roman" w:cs="Times New Roman"/>
          <w:sz w:val="24"/>
          <w:szCs w:val="24"/>
        </w:rPr>
        <w:t xml:space="preserve"> est destinée aux agents économiques qui désirent respecter les principes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 xml:space="preserve"> (loi </w:t>
      </w:r>
      <w:r w:rsidR="00B22501"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qui gouvernent la vie quotidienne des musulmans. Ainsi, afin de comprendre les particularités de la FI, il est primordial de définir la notion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w:t>
      </w:r>
    </w:p>
    <w:p w14:paraId="7A530B8C" w14:textId="27563ECC" w:rsidR="002760B2" w:rsidRPr="001374DC" w:rsidRDefault="002760B2" w:rsidP="00311689">
      <w:pPr>
        <w:tabs>
          <w:tab w:val="left" w:pos="0"/>
        </w:tabs>
        <w:spacing w:before="120" w:line="300" w:lineRule="auto"/>
        <w:ind w:firstLine="709"/>
        <w:rPr>
          <w:rFonts w:ascii="Times New Roman" w:hAnsi="Times New Roman" w:cs="Times New Roman"/>
          <w:spacing w:val="-2"/>
          <w:kern w:val="24"/>
          <w:sz w:val="24"/>
          <w:szCs w:val="24"/>
        </w:rPr>
      </w:pPr>
      <w:r w:rsidRPr="001374DC">
        <w:rPr>
          <w:rFonts w:ascii="Times New Roman" w:hAnsi="Times New Roman" w:cs="Times New Roman"/>
          <w:spacing w:val="-2"/>
          <w:kern w:val="24"/>
          <w:sz w:val="24"/>
          <w:szCs w:val="24"/>
        </w:rPr>
        <w:t xml:space="preserve">Le mot arabe </w:t>
      </w:r>
      <w:r w:rsidR="00A5400B" w:rsidRPr="001374DC">
        <w:rPr>
          <w:rFonts w:ascii="Times New Roman" w:hAnsi="Times New Roman" w:cs="Times New Roman"/>
          <w:i/>
          <w:spacing w:val="-2"/>
          <w:kern w:val="24"/>
          <w:sz w:val="24"/>
          <w:szCs w:val="24"/>
        </w:rPr>
        <w:t>Shariah</w:t>
      </w:r>
      <w:r w:rsidRPr="001374DC">
        <w:rPr>
          <w:rFonts w:ascii="Times New Roman" w:hAnsi="Times New Roman" w:cs="Times New Roman"/>
          <w:spacing w:val="-2"/>
          <w:kern w:val="24"/>
          <w:sz w:val="24"/>
          <w:szCs w:val="24"/>
        </w:rPr>
        <w:t xml:space="preserve"> signifie littéralement « le chemin ». En se basant sur des principes et des recommandations, la </w:t>
      </w:r>
      <w:r w:rsidR="00A5400B" w:rsidRPr="001374DC">
        <w:rPr>
          <w:rFonts w:ascii="Times New Roman" w:hAnsi="Times New Roman" w:cs="Times New Roman"/>
          <w:i/>
          <w:spacing w:val="-2"/>
          <w:kern w:val="24"/>
          <w:sz w:val="24"/>
          <w:szCs w:val="24"/>
        </w:rPr>
        <w:t>Shariah</w:t>
      </w:r>
      <w:r w:rsidRPr="001374DC">
        <w:rPr>
          <w:rFonts w:ascii="Times New Roman" w:hAnsi="Times New Roman" w:cs="Times New Roman"/>
          <w:spacing w:val="-2"/>
          <w:kern w:val="24"/>
          <w:sz w:val="24"/>
          <w:szCs w:val="24"/>
        </w:rPr>
        <w:t xml:space="preserve"> détermine un comportement acceptable dans tous les </w:t>
      </w:r>
      <w:r w:rsidRPr="001374DC">
        <w:rPr>
          <w:rFonts w:ascii="Times New Roman" w:hAnsi="Times New Roman" w:cs="Times New Roman"/>
          <w:spacing w:val="-2"/>
          <w:kern w:val="24"/>
          <w:sz w:val="24"/>
          <w:szCs w:val="24"/>
        </w:rPr>
        <w:lastRenderedPageBreak/>
        <w:t>domaines de la vie des musulmans. Elle gouverne la dimension spirituelle, morale et sociale de la vie privée et publique des musulmans, incluant notamment les activités économiques.</w:t>
      </w:r>
    </w:p>
    <w:p w14:paraId="5EEEE096" w14:textId="3A49E80C" w:rsidR="002760B2" w:rsidRPr="002B005F" w:rsidRDefault="002760B2" w:rsidP="00311689">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L’économie </w:t>
      </w:r>
      <w:r w:rsidR="009E1248">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tire ses fondements de deux sources principales qui sont le </w:t>
      </w:r>
      <w:r w:rsidRPr="002B005F">
        <w:rPr>
          <w:rFonts w:ascii="Times New Roman" w:hAnsi="Times New Roman" w:cs="Times New Roman"/>
          <w:iCs/>
          <w:sz w:val="24"/>
          <w:szCs w:val="24"/>
        </w:rPr>
        <w:t>Coran</w:t>
      </w:r>
      <w:r w:rsidRPr="002B005F">
        <w:rPr>
          <w:rFonts w:ascii="Times New Roman" w:hAnsi="Times New Roman" w:cs="Times New Roman"/>
          <w:sz w:val="24"/>
          <w:szCs w:val="24"/>
        </w:rPr>
        <w:t xml:space="preserve"> </w:t>
      </w:r>
      <w:r w:rsidR="00CF2E21" w:rsidRPr="002B005F">
        <w:rPr>
          <w:rFonts w:ascii="Times New Roman" w:hAnsi="Times New Roman" w:cs="Times New Roman"/>
          <w:sz w:val="24"/>
          <w:szCs w:val="24"/>
        </w:rPr>
        <w:t xml:space="preserve">ou </w:t>
      </w:r>
      <w:r w:rsidR="00CF2E21" w:rsidRPr="002B005F">
        <w:rPr>
          <w:rFonts w:ascii="Times New Roman" w:hAnsi="Times New Roman" w:cs="Times New Roman"/>
          <w:i/>
          <w:iCs/>
          <w:sz w:val="24"/>
          <w:szCs w:val="24"/>
        </w:rPr>
        <w:t>Al-Qur’an</w:t>
      </w:r>
      <w:r w:rsidR="00CF2E21"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et la </w:t>
      </w:r>
      <w:r w:rsidR="005A54CF" w:rsidRPr="002B005F">
        <w:rPr>
          <w:rFonts w:ascii="Times New Roman" w:hAnsi="Times New Roman" w:cs="Times New Roman"/>
          <w:i/>
          <w:iCs/>
          <w:sz w:val="24"/>
          <w:szCs w:val="24"/>
        </w:rPr>
        <w:t>S</w:t>
      </w:r>
      <w:r w:rsidRPr="002B005F">
        <w:rPr>
          <w:rFonts w:ascii="Times New Roman" w:hAnsi="Times New Roman" w:cs="Times New Roman"/>
          <w:i/>
          <w:iCs/>
          <w:sz w:val="24"/>
          <w:szCs w:val="24"/>
        </w:rPr>
        <w:t>unna</w:t>
      </w:r>
      <w:r w:rsidR="00210F47">
        <w:rPr>
          <w:rFonts w:ascii="Times New Roman" w:hAnsi="Times New Roman" w:cs="Times New Roman"/>
          <w:i/>
          <w:iCs/>
          <w:sz w:val="24"/>
          <w:szCs w:val="24"/>
        </w:rPr>
        <w:t>h</w:t>
      </w:r>
      <w:r w:rsidRPr="002B005F">
        <w:rPr>
          <w:rFonts w:ascii="Times New Roman" w:hAnsi="Times New Roman" w:cs="Times New Roman"/>
          <w:sz w:val="24"/>
          <w:szCs w:val="24"/>
        </w:rPr>
        <w:t xml:space="preserve">, et deux sources dérivées qui sont </w:t>
      </w:r>
      <w:r w:rsidRPr="002B005F">
        <w:rPr>
          <w:rFonts w:ascii="Times New Roman" w:hAnsi="Times New Roman" w:cs="Times New Roman"/>
          <w:i/>
          <w:iCs/>
          <w:sz w:val="24"/>
          <w:szCs w:val="24"/>
        </w:rPr>
        <w:t>al-ijma</w:t>
      </w:r>
      <w:r w:rsidR="005A54CF" w:rsidRPr="002B005F">
        <w:rPr>
          <w:rFonts w:ascii="Times New Roman" w:hAnsi="Times New Roman" w:cs="Times New Roman"/>
          <w:i/>
          <w:iCs/>
          <w:sz w:val="24"/>
          <w:szCs w:val="24"/>
        </w:rPr>
        <w:t>’</w:t>
      </w:r>
      <w:r w:rsidRPr="002B005F">
        <w:rPr>
          <w:rFonts w:ascii="Times New Roman" w:hAnsi="Times New Roman" w:cs="Times New Roman"/>
          <w:sz w:val="24"/>
          <w:szCs w:val="24"/>
        </w:rPr>
        <w:t xml:space="preserve"> et </w:t>
      </w:r>
      <w:r w:rsidR="005A54CF" w:rsidRPr="002B005F">
        <w:rPr>
          <w:rFonts w:ascii="Times New Roman" w:hAnsi="Times New Roman" w:cs="Times New Roman"/>
          <w:i/>
          <w:iCs/>
          <w:sz w:val="24"/>
          <w:szCs w:val="24"/>
        </w:rPr>
        <w:t>al-qy</w:t>
      </w:r>
      <w:r w:rsidRPr="002B005F">
        <w:rPr>
          <w:rFonts w:ascii="Times New Roman" w:hAnsi="Times New Roman" w:cs="Times New Roman"/>
          <w:i/>
          <w:iCs/>
          <w:sz w:val="24"/>
          <w:szCs w:val="24"/>
        </w:rPr>
        <w:t>as</w:t>
      </w:r>
      <w:r w:rsidR="00CF2E21" w:rsidRPr="002B005F">
        <w:rPr>
          <w:rFonts w:ascii="Times New Roman" w:hAnsi="Times New Roman" w:cs="Times New Roman"/>
          <w:sz w:val="24"/>
          <w:szCs w:val="24"/>
        </w:rPr>
        <w:t>.</w:t>
      </w:r>
    </w:p>
    <w:p w14:paraId="0D2AB589" w14:textId="6C516E47" w:rsidR="002760B2" w:rsidRPr="002B005F" w:rsidRDefault="00605245" w:rsidP="001374DC">
      <w:pPr>
        <w:pStyle w:val="Titre4"/>
        <w:keepNext w:val="0"/>
        <w:spacing w:before="100" w:beforeAutospacing="1" w:after="120" w:line="300" w:lineRule="auto"/>
        <w:ind w:firstLine="709"/>
      </w:pPr>
      <w:bookmarkStart w:id="106" w:name="_Toc58606210"/>
      <w:bookmarkStart w:id="107" w:name="_Toc61263415"/>
      <w:bookmarkStart w:id="108" w:name="_Toc33263208"/>
      <w:bookmarkStart w:id="109" w:name="_Toc37664460"/>
      <w:bookmarkStart w:id="110" w:name="_Toc37666305"/>
      <w:bookmarkStart w:id="111" w:name="_Toc54363194"/>
      <w:bookmarkStart w:id="112" w:name="_Toc182298587"/>
      <w:r w:rsidRPr="002B005F">
        <w:t xml:space="preserve">1.1.1- </w:t>
      </w:r>
      <w:r w:rsidR="002760B2" w:rsidRPr="002B005F">
        <w:rPr>
          <w:i/>
        </w:rPr>
        <w:t>Coran</w:t>
      </w:r>
      <w:r w:rsidR="002760B2" w:rsidRPr="002B005F">
        <w:t> : le livre sacré</w:t>
      </w:r>
      <w:bookmarkEnd w:id="106"/>
      <w:bookmarkEnd w:id="107"/>
      <w:bookmarkEnd w:id="108"/>
      <w:bookmarkEnd w:id="109"/>
      <w:bookmarkEnd w:id="110"/>
      <w:bookmarkEnd w:id="111"/>
      <w:bookmarkEnd w:id="112"/>
    </w:p>
    <w:p w14:paraId="3A82F07B" w14:textId="77777777" w:rsidR="002760B2" w:rsidRPr="002B005F" w:rsidRDefault="002760B2" w:rsidP="00236A71">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w:t>
      </w:r>
      <w:r w:rsidRPr="002B005F">
        <w:rPr>
          <w:rFonts w:ascii="Times New Roman" w:hAnsi="Times New Roman" w:cs="Times New Roman"/>
          <w:iCs/>
          <w:sz w:val="24"/>
          <w:szCs w:val="24"/>
        </w:rPr>
        <w:t>Coran</w:t>
      </w:r>
      <w:r w:rsidRPr="002B005F">
        <w:rPr>
          <w:rFonts w:ascii="Times New Roman" w:hAnsi="Times New Roman" w:cs="Times New Roman"/>
          <w:sz w:val="24"/>
          <w:szCs w:val="24"/>
        </w:rPr>
        <w:t xml:space="preserve"> constitue la source fondamentale de l’</w:t>
      </w:r>
      <w:r w:rsidR="00F34669" w:rsidRPr="002B005F">
        <w:rPr>
          <w:rFonts w:ascii="Times New Roman" w:hAnsi="Times New Roman" w:cs="Times New Roman"/>
          <w:sz w:val="24"/>
          <w:szCs w:val="24"/>
        </w:rPr>
        <w:t>Islam</w:t>
      </w:r>
      <w:r w:rsidRPr="002B005F">
        <w:rPr>
          <w:rFonts w:ascii="Times New Roman" w:hAnsi="Times New Roman" w:cs="Times New Roman"/>
          <w:sz w:val="24"/>
          <w:szCs w:val="24"/>
        </w:rPr>
        <w:t>. Il s’agit de l’ensemble d</w:t>
      </w:r>
      <w:r w:rsidR="00CF2E21" w:rsidRPr="002B005F">
        <w:rPr>
          <w:rFonts w:ascii="Times New Roman" w:hAnsi="Times New Roman" w:cs="Times New Roman"/>
          <w:sz w:val="24"/>
          <w:szCs w:val="24"/>
        </w:rPr>
        <w:t xml:space="preserve">es paroles de Dieu transmis au </w:t>
      </w:r>
      <w:r w:rsidR="00DE473F" w:rsidRPr="002B005F">
        <w:rPr>
          <w:rFonts w:ascii="Times New Roman" w:hAnsi="Times New Roman" w:cs="Times New Roman"/>
          <w:sz w:val="24"/>
          <w:szCs w:val="24"/>
        </w:rPr>
        <w:t>P</w:t>
      </w:r>
      <w:r w:rsidRPr="002B005F">
        <w:rPr>
          <w:rFonts w:ascii="Times New Roman" w:hAnsi="Times New Roman" w:cs="Times New Roman"/>
          <w:sz w:val="24"/>
          <w:szCs w:val="24"/>
        </w:rPr>
        <w:t xml:space="preserve">rophète </w:t>
      </w:r>
      <w:r w:rsidRPr="002B005F">
        <w:rPr>
          <w:rFonts w:ascii="Times New Roman" w:hAnsi="Times New Roman" w:cs="Times New Roman"/>
          <w:i/>
          <w:iCs/>
          <w:sz w:val="24"/>
          <w:szCs w:val="24"/>
        </w:rPr>
        <w:t>Mohammed</w:t>
      </w:r>
      <w:r w:rsidR="00915C77" w:rsidRPr="002B005F">
        <w:rPr>
          <w:rFonts w:ascii="Times New Roman" w:hAnsi="Times New Roman" w:cs="Times New Roman"/>
          <w:sz w:val="24"/>
          <w:szCs w:val="24"/>
        </w:rPr>
        <w:t xml:space="preserve">  </w:t>
      </w:r>
      <w:r w:rsidR="00915C77" w:rsidRPr="002B005F">
        <w:rPr>
          <w:rFonts w:ascii="Times New Roman" w:hAnsi="Times New Roman" w:cs="Times New Roman"/>
          <w:noProof/>
          <w:sz w:val="24"/>
          <w:szCs w:val="24"/>
          <w:lang w:eastAsia="fr-FR"/>
        </w:rPr>
        <w:drawing>
          <wp:anchor distT="0" distB="0" distL="114300" distR="114300" simplePos="0" relativeHeight="251521024" behindDoc="0" locked="1" layoutInCell="1" allowOverlap="0" wp14:anchorId="06AC6FAE" wp14:editId="004AE5DC">
            <wp:simplePos x="0" y="0"/>
            <wp:positionH relativeFrom="column">
              <wp:posOffset>3120390</wp:posOffset>
            </wp:positionH>
            <wp:positionV relativeFrom="paragraph">
              <wp:posOffset>251460</wp:posOffset>
            </wp:positionV>
            <wp:extent cx="180975" cy="161925"/>
            <wp:effectExtent l="19050" t="0" r="9525" b="0"/>
            <wp:wrapNone/>
            <wp:docPr id="17"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915C77" w:rsidRPr="002B005F">
        <w:rPr>
          <w:rFonts w:ascii="Times New Roman" w:hAnsi="Times New Roman" w:cs="Times New Roman"/>
          <w:sz w:val="24"/>
          <w:szCs w:val="24"/>
        </w:rPr>
        <w:t xml:space="preserve">   par l’A</w:t>
      </w:r>
      <w:r w:rsidRPr="002B005F">
        <w:rPr>
          <w:rFonts w:ascii="Times New Roman" w:hAnsi="Times New Roman" w:cs="Times New Roman"/>
          <w:sz w:val="24"/>
          <w:szCs w:val="24"/>
        </w:rPr>
        <w:t xml:space="preserve">nge </w:t>
      </w:r>
      <w:r w:rsidRPr="008214D4">
        <w:rPr>
          <w:rFonts w:ascii="Times New Roman" w:hAnsi="Times New Roman" w:cs="Times New Roman"/>
          <w:sz w:val="24"/>
          <w:szCs w:val="24"/>
        </w:rPr>
        <w:t>Jibril</w:t>
      </w:r>
      <w:r w:rsidRPr="002B005F">
        <w:rPr>
          <w:rFonts w:ascii="Times New Roman" w:hAnsi="Times New Roman" w:cs="Times New Roman"/>
          <w:sz w:val="24"/>
          <w:szCs w:val="24"/>
        </w:rPr>
        <w:t xml:space="preserve"> </w:t>
      </w:r>
      <w:r w:rsidR="00013A1B" w:rsidRPr="002B005F">
        <w:rPr>
          <w:rFonts w:ascii="Times New Roman" w:hAnsi="Times New Roman" w:cs="Times New Roman"/>
          <w:sz w:val="24"/>
          <w:szCs w:val="24"/>
          <w:rtl/>
        </w:rPr>
        <w:t xml:space="preserve">  </w:t>
      </w:r>
      <w:r w:rsidR="00013A1B" w:rsidRPr="002B005F">
        <w:rPr>
          <w:rFonts w:ascii="Times New Roman" w:hAnsi="Times New Roman" w:cs="Times New Roman"/>
          <w:noProof/>
          <w:sz w:val="24"/>
          <w:szCs w:val="24"/>
          <w:rtl/>
          <w:lang w:eastAsia="fr-FR"/>
        </w:rPr>
        <w:drawing>
          <wp:anchor distT="0" distB="0" distL="114300" distR="114300" simplePos="0" relativeHeight="251522048" behindDoc="0" locked="1" layoutInCell="1" allowOverlap="0" wp14:anchorId="158CEB66" wp14:editId="5460D9ED">
            <wp:simplePos x="0" y="0"/>
            <wp:positionH relativeFrom="column">
              <wp:posOffset>4349115</wp:posOffset>
            </wp:positionH>
            <wp:positionV relativeFrom="paragraph">
              <wp:posOffset>251460</wp:posOffset>
            </wp:positionV>
            <wp:extent cx="180975" cy="142875"/>
            <wp:effectExtent l="19050" t="0" r="9525" b="0"/>
            <wp:wrapNone/>
            <wp:docPr id="201" name="Image 13" descr="C:\Users\hP\AppData\Local\Microsoft\Windows\INetCache\Content.Word\Nouvelle image (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Content.Word\Nouvelle image (9).png"/>
                    <pic:cNvPicPr preferRelativeResize="0">
                      <a:picLocks noChangeAspect="1" noChangeArrowheads="1"/>
                    </pic:cNvPicPr>
                  </pic:nvPicPr>
                  <pic:blipFill>
                    <a:blip r:embed="rId16" cstate="print"/>
                    <a:srcRect/>
                    <a:stretch>
                      <a:fillRect/>
                    </a:stretch>
                  </pic:blipFill>
                  <pic:spPr bwMode="auto">
                    <a:xfrm>
                      <a:off x="0" y="0"/>
                      <a:ext cx="180975" cy="142875"/>
                    </a:xfrm>
                    <a:prstGeom prst="rect">
                      <a:avLst/>
                    </a:prstGeom>
                    <a:noFill/>
                    <a:ln w="9525">
                      <a:noFill/>
                      <a:miter lim="800000"/>
                      <a:headEnd/>
                      <a:tailEnd/>
                    </a:ln>
                  </pic:spPr>
                </pic:pic>
              </a:graphicData>
            </a:graphic>
          </wp:anchor>
        </w:drawing>
      </w:r>
      <w:r w:rsidR="00013A1B" w:rsidRPr="002B005F">
        <w:rPr>
          <w:rFonts w:ascii="Times New Roman" w:hAnsi="Times New Roman" w:cs="Times New Roman"/>
          <w:sz w:val="24"/>
          <w:szCs w:val="24"/>
          <w:rtl/>
        </w:rPr>
        <w:t xml:space="preserve">  </w:t>
      </w:r>
      <w:r w:rsidRPr="002B005F">
        <w:rPr>
          <w:rFonts w:ascii="Times New Roman" w:hAnsi="Times New Roman" w:cs="Times New Roman"/>
          <w:sz w:val="24"/>
          <w:szCs w:val="24"/>
        </w:rPr>
        <w:t>au cours du VII</w:t>
      </w:r>
      <w:r w:rsidRPr="002B005F">
        <w:rPr>
          <w:rFonts w:ascii="Times New Roman" w:hAnsi="Times New Roman" w:cs="Times New Roman"/>
          <w:sz w:val="24"/>
          <w:szCs w:val="24"/>
          <w:vertAlign w:val="superscript"/>
        </w:rPr>
        <w:t>ème</w:t>
      </w:r>
      <w:r w:rsidRPr="002B005F">
        <w:rPr>
          <w:rFonts w:ascii="Times New Roman" w:hAnsi="Times New Roman" w:cs="Times New Roman"/>
          <w:sz w:val="24"/>
          <w:szCs w:val="24"/>
        </w:rPr>
        <w:t xml:space="preserve"> siècle pendant une durée de 23 ans. Il est révélé en langue arabe, divisé en c</w:t>
      </w:r>
      <w:r w:rsidR="005A54CF" w:rsidRPr="002B005F">
        <w:rPr>
          <w:rFonts w:ascii="Times New Roman" w:hAnsi="Times New Roman" w:cs="Times New Roman"/>
          <w:sz w:val="24"/>
          <w:szCs w:val="24"/>
        </w:rPr>
        <w:t>ent quatorze s</w:t>
      </w:r>
      <w:r w:rsidRPr="002B005F">
        <w:rPr>
          <w:rFonts w:ascii="Times New Roman" w:hAnsi="Times New Roman" w:cs="Times New Roman"/>
          <w:sz w:val="24"/>
          <w:szCs w:val="24"/>
        </w:rPr>
        <w:t>ourates, elles-mêmes divisées en versets qui traitent : le domaine de la croyance, les réglementations pénales, civiles et religieuses qui ser</w:t>
      </w:r>
      <w:r w:rsidR="005A54CF" w:rsidRPr="002B005F">
        <w:rPr>
          <w:rFonts w:ascii="Times New Roman" w:hAnsi="Times New Roman" w:cs="Times New Roman"/>
          <w:sz w:val="24"/>
          <w:szCs w:val="24"/>
        </w:rPr>
        <w:t>vent de base au droit musulman.</w:t>
      </w:r>
    </w:p>
    <w:p w14:paraId="4C5082DD" w14:textId="77777777" w:rsidR="00605245" w:rsidRDefault="002760B2" w:rsidP="00236A71">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w:t>
      </w:r>
      <w:r w:rsidRPr="002B005F">
        <w:rPr>
          <w:rFonts w:ascii="Times New Roman" w:hAnsi="Times New Roman" w:cs="Times New Roman"/>
          <w:i/>
          <w:sz w:val="24"/>
          <w:szCs w:val="24"/>
        </w:rPr>
        <w:t>Coran</w:t>
      </w:r>
      <w:r w:rsidRPr="002B005F">
        <w:rPr>
          <w:rFonts w:ascii="Times New Roman" w:hAnsi="Times New Roman" w:cs="Times New Roman"/>
          <w:sz w:val="24"/>
          <w:szCs w:val="24"/>
        </w:rPr>
        <w:t xml:space="preserve"> fût transmis de génération en génération. En plus de le lire, de l’apprendre et de croire à tout ce qu’il contient, les musulmans doivent en tirer réellement profit et l’appliquer </w:t>
      </w:r>
      <w:r w:rsidR="00605245" w:rsidRPr="002B005F">
        <w:rPr>
          <w:rFonts w:ascii="Times New Roman" w:hAnsi="Times New Roman" w:cs="Times New Roman"/>
          <w:sz w:val="24"/>
          <w:szCs w:val="24"/>
        </w:rPr>
        <w:t>dans tous les actes de la vie :</w:t>
      </w:r>
    </w:p>
    <w:p w14:paraId="47B92C81" w14:textId="77777777" w:rsidR="00D9581E" w:rsidRPr="00D9581E" w:rsidRDefault="00D9581E" w:rsidP="00236A71">
      <w:pPr>
        <w:tabs>
          <w:tab w:val="left" w:pos="0"/>
        </w:tabs>
        <w:bidi/>
        <w:spacing w:before="120" w:line="300" w:lineRule="auto"/>
        <w:rPr>
          <w:rFonts w:ascii="Times New Roman" w:hAnsi="Times New Roman" w:cs="Times New Roman"/>
          <w:sz w:val="24"/>
          <w:szCs w:val="24"/>
        </w:rPr>
      </w:pPr>
      <w:r w:rsidRPr="00D9581E">
        <w:rPr>
          <w:rFonts w:ascii="Times New Roman" w:hAnsi="Times New Roman" w:cs="Times New Roman" w:hint="cs"/>
          <w:sz w:val="24"/>
          <w:szCs w:val="24"/>
          <w:rtl/>
        </w:rPr>
        <w:t>"ات</w:t>
      </w:r>
      <w:r w:rsidRPr="00D9581E">
        <w:rPr>
          <w:rFonts w:ascii="Times New Roman" w:hAnsi="Times New Roman" w:cs="Times New Roman"/>
          <w:sz w:val="24"/>
          <w:szCs w:val="24"/>
          <w:rtl/>
        </w:rPr>
        <w:t>َّبعُوا مَا أُنزِلَ إِلَيْكُم مِّن رَّبِّكُمْ وَلَا تَتَّبِعُوا مِن دُونِهِ أَوْلِيَاءَ قَلِيلًا مَّا تَذَكَّرُونَ</w:t>
      </w:r>
      <w:r w:rsidRPr="00D9581E">
        <w:rPr>
          <w:rFonts w:ascii="Times New Roman" w:hAnsi="Times New Roman" w:cs="Times New Roman" w:hint="cs"/>
          <w:sz w:val="24"/>
          <w:szCs w:val="24"/>
          <w:rtl/>
        </w:rPr>
        <w:t xml:space="preserve">" </w:t>
      </w:r>
      <w:r w:rsidRPr="004D50E1">
        <w:rPr>
          <w:rFonts w:ascii="Times New Roman" w:hAnsi="Times New Roman" w:cs="Times New Roman" w:hint="cs"/>
          <w:b/>
          <w:bCs/>
          <w:sz w:val="24"/>
          <w:szCs w:val="24"/>
          <w:rtl/>
        </w:rPr>
        <w:t>(سورة الأعراف، الآية 3).</w:t>
      </w:r>
    </w:p>
    <w:p w14:paraId="25ED3100" w14:textId="77777777" w:rsidR="00605245" w:rsidRPr="008C189B" w:rsidRDefault="002760B2" w:rsidP="00236A71">
      <w:pPr>
        <w:tabs>
          <w:tab w:val="left" w:pos="0"/>
        </w:tabs>
        <w:spacing w:before="120" w:line="300" w:lineRule="auto"/>
        <w:ind w:left="1134" w:right="140"/>
        <w:rPr>
          <w:rFonts w:ascii="Times New Roman" w:hAnsi="Times New Roman" w:cs="Times New Roman"/>
          <w:sz w:val="24"/>
          <w:szCs w:val="24"/>
        </w:rPr>
      </w:pPr>
      <w:r w:rsidRPr="008C189B">
        <w:rPr>
          <w:rFonts w:ascii="Times New Roman" w:hAnsi="Times New Roman" w:cs="Times New Roman"/>
          <w:sz w:val="24"/>
          <w:szCs w:val="24"/>
        </w:rPr>
        <w:t>« </w:t>
      </w:r>
      <w:r w:rsidR="00605245" w:rsidRPr="008C189B">
        <w:rPr>
          <w:rFonts w:ascii="Times New Roman" w:hAnsi="Times New Roman" w:cs="Times New Roman"/>
          <w:i/>
          <w:iCs/>
          <w:sz w:val="24"/>
          <w:szCs w:val="24"/>
        </w:rPr>
        <w:t>Suivez</w:t>
      </w:r>
      <w:r w:rsidR="008C189B" w:rsidRPr="008C189B">
        <w:rPr>
          <w:rFonts w:ascii="Times New Roman" w:hAnsi="Times New Roman" w:cs="Times New Roman"/>
          <w:i/>
          <w:iCs/>
          <w:sz w:val="24"/>
          <w:szCs w:val="24"/>
        </w:rPr>
        <w:t xml:space="preserve"> ce qui vous est révélé </w:t>
      </w:r>
      <w:r w:rsidRPr="008C189B">
        <w:rPr>
          <w:rFonts w:ascii="Times New Roman" w:hAnsi="Times New Roman" w:cs="Times New Roman"/>
          <w:i/>
          <w:iCs/>
          <w:sz w:val="24"/>
          <w:szCs w:val="24"/>
        </w:rPr>
        <w:t>de votre Seigneur</w:t>
      </w:r>
      <w:r w:rsidR="008C189B" w:rsidRPr="008C189B">
        <w:rPr>
          <w:rFonts w:ascii="Times New Roman" w:hAnsi="Times New Roman" w:cs="Times New Roman"/>
          <w:i/>
          <w:iCs/>
          <w:sz w:val="24"/>
          <w:szCs w:val="24"/>
        </w:rPr>
        <w:t xml:space="preserve">. En dehors de lui, </w:t>
      </w:r>
      <w:r w:rsidRPr="008C189B">
        <w:rPr>
          <w:rFonts w:ascii="Times New Roman" w:hAnsi="Times New Roman" w:cs="Times New Roman"/>
          <w:i/>
          <w:iCs/>
          <w:sz w:val="24"/>
          <w:szCs w:val="24"/>
        </w:rPr>
        <w:t>ne suivez pas</w:t>
      </w:r>
      <w:r w:rsidR="008C189B" w:rsidRPr="008C189B">
        <w:rPr>
          <w:rFonts w:ascii="Times New Roman" w:hAnsi="Times New Roman" w:cs="Times New Roman"/>
          <w:i/>
          <w:iCs/>
          <w:sz w:val="24"/>
          <w:szCs w:val="24"/>
        </w:rPr>
        <w:t xml:space="preserve"> aucun maitre. Rarement vous y songez </w:t>
      </w:r>
      <w:r w:rsidRPr="008C189B">
        <w:rPr>
          <w:rFonts w:ascii="Times New Roman" w:hAnsi="Times New Roman" w:cs="Times New Roman"/>
          <w:sz w:val="24"/>
          <w:szCs w:val="24"/>
        </w:rPr>
        <w:t>»</w:t>
      </w:r>
      <w:r w:rsidR="008C189B" w:rsidRPr="008C189B">
        <w:rPr>
          <w:rFonts w:ascii="Times New Roman" w:hAnsi="Times New Roman" w:cs="Times New Roman"/>
          <w:sz w:val="24"/>
          <w:szCs w:val="24"/>
        </w:rPr>
        <w:t xml:space="preserve"> </w:t>
      </w:r>
      <w:r w:rsidR="008C189B" w:rsidRPr="008C189B">
        <w:rPr>
          <w:rFonts w:ascii="Times New Roman" w:hAnsi="Times New Roman" w:cs="Times New Roman"/>
          <w:b/>
          <w:bCs/>
          <w:sz w:val="24"/>
          <w:szCs w:val="24"/>
        </w:rPr>
        <w:t>(Sourate 7, verset</w:t>
      </w:r>
      <w:r w:rsidR="008C189B">
        <w:rPr>
          <w:rFonts w:ascii="Times New Roman" w:hAnsi="Times New Roman" w:cs="Times New Roman"/>
          <w:b/>
          <w:bCs/>
          <w:sz w:val="24"/>
          <w:szCs w:val="24"/>
        </w:rPr>
        <w:t xml:space="preserve"> 3</w:t>
      </w:r>
      <w:r w:rsidR="008C189B" w:rsidRPr="008C189B">
        <w:rPr>
          <w:rFonts w:ascii="Times New Roman" w:hAnsi="Times New Roman" w:cs="Times New Roman"/>
          <w:b/>
          <w:bCs/>
          <w:sz w:val="24"/>
          <w:szCs w:val="24"/>
        </w:rPr>
        <w:t>)</w:t>
      </w:r>
      <w:r w:rsidRPr="008C189B">
        <w:rPr>
          <w:rStyle w:val="Appelnotedebasdep"/>
          <w:rFonts w:ascii="Times New Roman" w:hAnsi="Times New Roman"/>
          <w:sz w:val="24"/>
          <w:szCs w:val="24"/>
        </w:rPr>
        <w:footnoteReference w:id="13"/>
      </w:r>
      <w:r w:rsidRPr="008C189B">
        <w:rPr>
          <w:rFonts w:ascii="Times New Roman" w:hAnsi="Times New Roman" w:cs="Times New Roman"/>
          <w:sz w:val="24"/>
          <w:szCs w:val="24"/>
        </w:rPr>
        <w:t>.</w:t>
      </w:r>
    </w:p>
    <w:p w14:paraId="177D8234" w14:textId="10420D56" w:rsidR="002760B2" w:rsidRPr="002B005F" w:rsidRDefault="00605245" w:rsidP="001374DC">
      <w:pPr>
        <w:pStyle w:val="Titre4"/>
        <w:keepNext w:val="0"/>
        <w:spacing w:before="100" w:beforeAutospacing="1" w:after="120" w:line="300" w:lineRule="auto"/>
        <w:ind w:firstLine="709"/>
      </w:pPr>
      <w:bookmarkStart w:id="113" w:name="_Toc33263209"/>
      <w:bookmarkStart w:id="114" w:name="_Toc37664461"/>
      <w:bookmarkStart w:id="115" w:name="_Toc37666306"/>
      <w:bookmarkStart w:id="116" w:name="_Toc54363195"/>
      <w:bookmarkStart w:id="117" w:name="_Toc58606211"/>
      <w:bookmarkStart w:id="118" w:name="_Toc61263416"/>
      <w:bookmarkStart w:id="119" w:name="_Toc182298588"/>
      <w:r w:rsidRPr="002B005F">
        <w:t xml:space="preserve">1.1.2- </w:t>
      </w:r>
      <w:r w:rsidR="005A54CF" w:rsidRPr="00295EBC">
        <w:rPr>
          <w:i/>
          <w:iCs/>
        </w:rPr>
        <w:t>S</w:t>
      </w:r>
      <w:r w:rsidR="002760B2" w:rsidRPr="00295EBC">
        <w:rPr>
          <w:i/>
          <w:iCs/>
        </w:rPr>
        <w:t>unna</w:t>
      </w:r>
      <w:bookmarkEnd w:id="113"/>
      <w:bookmarkEnd w:id="114"/>
      <w:bookmarkEnd w:id="115"/>
      <w:bookmarkEnd w:id="116"/>
      <w:bookmarkEnd w:id="117"/>
      <w:bookmarkEnd w:id="118"/>
      <w:r w:rsidR="00210F47">
        <w:rPr>
          <w:i/>
          <w:iCs/>
        </w:rPr>
        <w:t>h</w:t>
      </w:r>
      <w:bookmarkEnd w:id="119"/>
    </w:p>
    <w:p w14:paraId="44F8B705" w14:textId="052F67AD" w:rsidR="002760B2" w:rsidRPr="002B005F" w:rsidRDefault="002760B2" w:rsidP="00236A71">
      <w:pPr>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w:t>
      </w:r>
      <w:r w:rsidR="005A54CF" w:rsidRPr="002B005F">
        <w:rPr>
          <w:rFonts w:ascii="Times New Roman" w:hAnsi="Times New Roman" w:cs="Times New Roman"/>
          <w:i/>
          <w:iCs/>
          <w:sz w:val="24"/>
          <w:szCs w:val="24"/>
        </w:rPr>
        <w:t>S</w:t>
      </w:r>
      <w:r w:rsidRPr="002B005F">
        <w:rPr>
          <w:rFonts w:ascii="Times New Roman" w:hAnsi="Times New Roman" w:cs="Times New Roman"/>
          <w:i/>
          <w:iCs/>
          <w:sz w:val="24"/>
          <w:szCs w:val="24"/>
        </w:rPr>
        <w:t>unna</w:t>
      </w:r>
      <w:r w:rsidR="00210F47">
        <w:rPr>
          <w:rFonts w:ascii="Times New Roman" w:hAnsi="Times New Roman" w:cs="Times New Roman"/>
          <w:i/>
          <w:iCs/>
          <w:sz w:val="24"/>
          <w:szCs w:val="24"/>
        </w:rPr>
        <w:t>h</w:t>
      </w:r>
      <w:r w:rsidRPr="002B005F">
        <w:rPr>
          <w:rFonts w:ascii="Times New Roman" w:hAnsi="Times New Roman" w:cs="Times New Roman"/>
          <w:sz w:val="24"/>
          <w:szCs w:val="24"/>
        </w:rPr>
        <w:t xml:space="preserve"> est considérée comme la deuxième source du droit musulman. C’est l’ensemble</w:t>
      </w:r>
      <w:r w:rsidR="0003785C" w:rsidRPr="002B005F">
        <w:rPr>
          <w:rFonts w:ascii="Times New Roman" w:hAnsi="Times New Roman" w:cs="Times New Roman"/>
          <w:sz w:val="24"/>
          <w:szCs w:val="24"/>
        </w:rPr>
        <w:t xml:space="preserve"> des paroles et des actions du P</w:t>
      </w:r>
      <w:r w:rsidRPr="002B005F">
        <w:rPr>
          <w:rFonts w:ascii="Times New Roman" w:hAnsi="Times New Roman" w:cs="Times New Roman"/>
          <w:sz w:val="24"/>
          <w:szCs w:val="24"/>
        </w:rPr>
        <w:t xml:space="preserve">rophète </w:t>
      </w:r>
      <w:r w:rsidR="0003785C" w:rsidRPr="002B005F">
        <w:rPr>
          <w:rFonts w:ascii="Times New Roman" w:hAnsi="Times New Roman" w:cs="Times New Roman"/>
          <w:sz w:val="24"/>
          <w:szCs w:val="24"/>
        </w:rPr>
        <w:t xml:space="preserve">  </w:t>
      </w:r>
      <w:r w:rsidR="0003785C" w:rsidRPr="002B005F">
        <w:rPr>
          <w:rFonts w:ascii="Times New Roman" w:hAnsi="Times New Roman" w:cs="Times New Roman"/>
          <w:noProof/>
          <w:sz w:val="24"/>
          <w:szCs w:val="24"/>
          <w:lang w:eastAsia="fr-FR"/>
        </w:rPr>
        <w:drawing>
          <wp:anchor distT="0" distB="0" distL="114300" distR="114300" simplePos="0" relativeHeight="251523072" behindDoc="0" locked="1" layoutInCell="1" allowOverlap="0" wp14:anchorId="65A0A489" wp14:editId="22952AFF">
            <wp:simplePos x="0" y="0"/>
            <wp:positionH relativeFrom="column">
              <wp:posOffset>3158490</wp:posOffset>
            </wp:positionH>
            <wp:positionV relativeFrom="paragraph">
              <wp:posOffset>233045</wp:posOffset>
            </wp:positionV>
            <wp:extent cx="180975" cy="161925"/>
            <wp:effectExtent l="19050" t="0" r="9525" b="0"/>
            <wp:wrapNone/>
            <wp:docPr id="202"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03785C"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 et qui sont rassemblées dans des livres baptisés </w:t>
      </w:r>
      <w:r w:rsidRPr="002B005F">
        <w:rPr>
          <w:rFonts w:ascii="Times New Roman" w:hAnsi="Times New Roman" w:cs="Times New Roman"/>
          <w:i/>
          <w:iCs/>
          <w:sz w:val="24"/>
          <w:szCs w:val="24"/>
        </w:rPr>
        <w:t>Ko</w:t>
      </w:r>
      <w:r w:rsidR="005A54CF" w:rsidRPr="002B005F">
        <w:rPr>
          <w:rFonts w:ascii="Times New Roman" w:hAnsi="Times New Roman" w:cs="Times New Roman"/>
          <w:i/>
          <w:iCs/>
          <w:sz w:val="24"/>
          <w:szCs w:val="24"/>
        </w:rPr>
        <w:t>u</w:t>
      </w:r>
      <w:r w:rsidRPr="002B005F">
        <w:rPr>
          <w:rFonts w:ascii="Times New Roman" w:hAnsi="Times New Roman" w:cs="Times New Roman"/>
          <w:i/>
          <w:iCs/>
          <w:sz w:val="24"/>
          <w:szCs w:val="24"/>
        </w:rPr>
        <w:t>to</w:t>
      </w:r>
      <w:r w:rsidR="005A54CF" w:rsidRPr="002B005F">
        <w:rPr>
          <w:rFonts w:ascii="Times New Roman" w:hAnsi="Times New Roman" w:cs="Times New Roman"/>
          <w:i/>
          <w:iCs/>
          <w:sz w:val="24"/>
          <w:szCs w:val="24"/>
        </w:rPr>
        <w:t>u</w:t>
      </w:r>
      <w:r w:rsidR="007219C3" w:rsidRPr="002B005F">
        <w:rPr>
          <w:rFonts w:ascii="Times New Roman" w:hAnsi="Times New Roman" w:cs="Times New Roman"/>
          <w:i/>
          <w:iCs/>
          <w:sz w:val="24"/>
          <w:szCs w:val="24"/>
        </w:rPr>
        <w:t>b al-</w:t>
      </w:r>
      <w:r w:rsidRPr="002B005F">
        <w:rPr>
          <w:rFonts w:ascii="Times New Roman" w:hAnsi="Times New Roman" w:cs="Times New Roman"/>
          <w:i/>
          <w:iCs/>
          <w:sz w:val="24"/>
          <w:szCs w:val="24"/>
        </w:rPr>
        <w:t>hadith</w:t>
      </w:r>
      <w:r w:rsidR="00BC455A" w:rsidRPr="002B005F">
        <w:rPr>
          <w:rFonts w:ascii="Times New Roman" w:hAnsi="Times New Roman" w:cs="Times New Roman"/>
          <w:sz w:val="24"/>
          <w:szCs w:val="24"/>
        </w:rPr>
        <w:t>. Les paroles du P</w:t>
      </w:r>
      <w:r w:rsidRPr="002B005F">
        <w:rPr>
          <w:rFonts w:ascii="Times New Roman" w:hAnsi="Times New Roman" w:cs="Times New Roman"/>
          <w:sz w:val="24"/>
          <w:szCs w:val="24"/>
        </w:rPr>
        <w:t xml:space="preserve">rophète </w:t>
      </w:r>
      <w:r w:rsidR="00BC455A" w:rsidRPr="002B005F">
        <w:rPr>
          <w:rFonts w:ascii="Times New Roman" w:hAnsi="Times New Roman" w:cs="Times New Roman"/>
          <w:i/>
          <w:iCs/>
          <w:sz w:val="24"/>
          <w:szCs w:val="24"/>
        </w:rPr>
        <w:t xml:space="preserve">  </w:t>
      </w:r>
      <w:r w:rsidRPr="002B005F">
        <w:rPr>
          <w:rFonts w:ascii="Times New Roman" w:hAnsi="Times New Roman" w:cs="Times New Roman"/>
          <w:sz w:val="24"/>
          <w:szCs w:val="24"/>
        </w:rPr>
        <w:t xml:space="preserve"> </w:t>
      </w:r>
      <w:r w:rsidR="00BC455A"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ont été rapportées par ses compagnons appelés </w:t>
      </w:r>
      <w:r w:rsidRPr="002B005F">
        <w:rPr>
          <w:rFonts w:ascii="Times New Roman" w:hAnsi="Times New Roman" w:cs="Times New Roman"/>
          <w:i/>
          <w:iCs/>
          <w:sz w:val="24"/>
          <w:szCs w:val="24"/>
        </w:rPr>
        <w:t>assahaba</w:t>
      </w:r>
      <w:r w:rsidR="007219C3" w:rsidRPr="002B005F">
        <w:rPr>
          <w:rFonts w:ascii="Times New Roman" w:hAnsi="Times New Roman" w:cs="Times New Roman"/>
          <w:sz w:val="24"/>
          <w:szCs w:val="24"/>
        </w:rPr>
        <w:t>. Après la mort du P</w:t>
      </w:r>
      <w:r w:rsidRPr="002B005F">
        <w:rPr>
          <w:rFonts w:ascii="Times New Roman" w:hAnsi="Times New Roman" w:cs="Times New Roman"/>
          <w:sz w:val="24"/>
          <w:szCs w:val="24"/>
        </w:rPr>
        <w:t xml:space="preserve">rophète </w:t>
      </w:r>
      <w:r w:rsidR="007219C3" w:rsidRPr="002B005F">
        <w:rPr>
          <w:rFonts w:ascii="Times New Roman" w:hAnsi="Times New Roman" w:cs="Times New Roman"/>
          <w:i/>
          <w:iCs/>
          <w:sz w:val="24"/>
          <w:szCs w:val="24"/>
        </w:rPr>
        <w:t xml:space="preserve"> </w:t>
      </w:r>
      <w:r w:rsidR="007219C3" w:rsidRPr="002B005F">
        <w:rPr>
          <w:rFonts w:ascii="Times New Roman" w:hAnsi="Times New Roman" w:cs="Times New Roman"/>
          <w:i/>
          <w:iCs/>
          <w:noProof/>
          <w:sz w:val="24"/>
          <w:szCs w:val="24"/>
          <w:lang w:eastAsia="fr-FR"/>
        </w:rPr>
        <w:drawing>
          <wp:anchor distT="0" distB="0" distL="114300" distR="114300" simplePos="0" relativeHeight="251524096" behindDoc="0" locked="1" layoutInCell="1" allowOverlap="0" wp14:anchorId="2B0A5168" wp14:editId="4F9F4EF4">
            <wp:simplePos x="0" y="0"/>
            <wp:positionH relativeFrom="column">
              <wp:posOffset>2815590</wp:posOffset>
            </wp:positionH>
            <wp:positionV relativeFrom="paragraph">
              <wp:posOffset>680720</wp:posOffset>
            </wp:positionV>
            <wp:extent cx="180975" cy="161925"/>
            <wp:effectExtent l="19050" t="0" r="9525" b="0"/>
            <wp:wrapNone/>
            <wp:docPr id="19"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7219C3" w:rsidRPr="002B005F">
        <w:rPr>
          <w:rFonts w:ascii="Times New Roman" w:hAnsi="Times New Roman" w:cs="Times New Roman"/>
          <w:i/>
          <w:iCs/>
          <w:sz w:val="24"/>
          <w:szCs w:val="24"/>
        </w:rPr>
        <w:t xml:space="preserve">   </w:t>
      </w:r>
      <w:r w:rsidR="00BC455A" w:rsidRPr="002B005F">
        <w:rPr>
          <w:rFonts w:ascii="Times New Roman" w:hAnsi="Times New Roman" w:cs="Times New Roman"/>
          <w:sz w:val="24"/>
          <w:szCs w:val="24"/>
        </w:rPr>
        <w:t xml:space="preserve">, </w:t>
      </w:r>
      <w:r w:rsidRPr="002B005F">
        <w:rPr>
          <w:rFonts w:ascii="Times New Roman" w:hAnsi="Times New Roman" w:cs="Times New Roman"/>
          <w:sz w:val="24"/>
          <w:szCs w:val="24"/>
        </w:rPr>
        <w:t>les compagnons et les suivants (</w:t>
      </w:r>
      <w:r w:rsidRPr="002B005F">
        <w:rPr>
          <w:rFonts w:ascii="Times New Roman" w:hAnsi="Times New Roman" w:cs="Times New Roman"/>
          <w:i/>
          <w:iCs/>
          <w:sz w:val="24"/>
          <w:szCs w:val="24"/>
        </w:rPr>
        <w:t>tabi’</w:t>
      </w:r>
      <w:r w:rsidR="005A54CF" w:rsidRPr="002B005F">
        <w:rPr>
          <w:rFonts w:ascii="Times New Roman" w:hAnsi="Times New Roman" w:cs="Times New Roman"/>
          <w:i/>
          <w:iCs/>
          <w:sz w:val="24"/>
          <w:szCs w:val="24"/>
        </w:rPr>
        <w:t>o</w:t>
      </w:r>
      <w:r w:rsidRPr="002B005F">
        <w:rPr>
          <w:rFonts w:ascii="Times New Roman" w:hAnsi="Times New Roman" w:cs="Times New Roman"/>
          <w:i/>
          <w:iCs/>
          <w:sz w:val="24"/>
          <w:szCs w:val="24"/>
        </w:rPr>
        <w:t>un</w:t>
      </w:r>
      <w:r w:rsidRPr="002B005F">
        <w:rPr>
          <w:rFonts w:ascii="Times New Roman" w:hAnsi="Times New Roman" w:cs="Times New Roman"/>
          <w:sz w:val="24"/>
          <w:szCs w:val="24"/>
        </w:rPr>
        <w:t xml:space="preserve">) se tournaient vers la </w:t>
      </w:r>
      <w:r w:rsidR="005A54CF" w:rsidRPr="002B005F">
        <w:rPr>
          <w:rFonts w:ascii="Times New Roman" w:hAnsi="Times New Roman" w:cs="Times New Roman"/>
          <w:i/>
          <w:iCs/>
          <w:sz w:val="24"/>
          <w:szCs w:val="24"/>
        </w:rPr>
        <w:t>S</w:t>
      </w:r>
      <w:r w:rsidR="00BC455A" w:rsidRPr="002B005F">
        <w:rPr>
          <w:rFonts w:ascii="Times New Roman" w:hAnsi="Times New Roman" w:cs="Times New Roman"/>
          <w:i/>
          <w:iCs/>
          <w:sz w:val="24"/>
          <w:szCs w:val="24"/>
        </w:rPr>
        <w:t>o</w:t>
      </w:r>
      <w:r w:rsidR="005A54CF" w:rsidRPr="002B005F">
        <w:rPr>
          <w:rFonts w:ascii="Times New Roman" w:hAnsi="Times New Roman" w:cs="Times New Roman"/>
          <w:i/>
          <w:iCs/>
          <w:sz w:val="24"/>
          <w:szCs w:val="24"/>
        </w:rPr>
        <w:t>unna</w:t>
      </w:r>
      <w:r w:rsidR="005A54CF"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pour chercher la solution à un événement ou à une situation sur lesquels le </w:t>
      </w:r>
      <w:r w:rsidRPr="002B005F">
        <w:rPr>
          <w:rFonts w:ascii="Times New Roman" w:hAnsi="Times New Roman" w:cs="Times New Roman"/>
          <w:iCs/>
          <w:sz w:val="24"/>
          <w:szCs w:val="24"/>
        </w:rPr>
        <w:t>Coran</w:t>
      </w:r>
      <w:r w:rsidRPr="002B005F">
        <w:rPr>
          <w:rFonts w:ascii="Times New Roman" w:hAnsi="Times New Roman" w:cs="Times New Roman"/>
          <w:sz w:val="24"/>
          <w:szCs w:val="24"/>
        </w:rPr>
        <w:t xml:space="preserve"> ne s’était pas prononcé.</w:t>
      </w:r>
    </w:p>
    <w:p w14:paraId="14920227" w14:textId="77777777" w:rsidR="002760B2" w:rsidRPr="002B005F" w:rsidRDefault="007D0674" w:rsidP="00236A71">
      <w:pPr>
        <w:pStyle w:val="Titre4"/>
        <w:keepNext w:val="0"/>
        <w:spacing w:before="120" w:after="120" w:line="300" w:lineRule="auto"/>
        <w:ind w:firstLine="709"/>
      </w:pPr>
      <w:bookmarkStart w:id="120" w:name="_Toc33263210"/>
      <w:bookmarkStart w:id="121" w:name="_Toc37664462"/>
      <w:bookmarkStart w:id="122" w:name="_Toc37666307"/>
      <w:bookmarkStart w:id="123" w:name="_Toc54363196"/>
      <w:bookmarkStart w:id="124" w:name="_Toc58606212"/>
      <w:bookmarkStart w:id="125" w:name="_Toc61263417"/>
      <w:bookmarkStart w:id="126" w:name="_Toc182298589"/>
      <w:r w:rsidRPr="002B005F">
        <w:t xml:space="preserve">1.1.3- </w:t>
      </w:r>
      <w:r w:rsidRPr="00295EBC">
        <w:rPr>
          <w:i/>
          <w:iCs/>
        </w:rPr>
        <w:t>Al-i</w:t>
      </w:r>
      <w:r w:rsidR="002760B2" w:rsidRPr="00295EBC">
        <w:rPr>
          <w:i/>
          <w:iCs/>
        </w:rPr>
        <w:t>jm</w:t>
      </w:r>
      <w:bookmarkEnd w:id="120"/>
      <w:bookmarkEnd w:id="121"/>
      <w:bookmarkEnd w:id="122"/>
      <w:bookmarkEnd w:id="123"/>
      <w:bookmarkEnd w:id="124"/>
      <w:r w:rsidR="005A54CF" w:rsidRPr="00295EBC">
        <w:rPr>
          <w:i/>
          <w:iCs/>
        </w:rPr>
        <w:t>a’</w:t>
      </w:r>
      <w:bookmarkEnd w:id="125"/>
      <w:bookmarkEnd w:id="126"/>
    </w:p>
    <w:p w14:paraId="406942A6" w14:textId="529DF23B" w:rsidR="002760B2" w:rsidRPr="007D43B4" w:rsidRDefault="002760B2" w:rsidP="00236A71">
      <w:pPr>
        <w:tabs>
          <w:tab w:val="left" w:pos="0"/>
        </w:tabs>
        <w:spacing w:line="300" w:lineRule="auto"/>
        <w:ind w:firstLine="709"/>
        <w:rPr>
          <w:rFonts w:ascii="Times New Roman" w:hAnsi="Times New Roman" w:cs="Times New Roman"/>
          <w:b/>
          <w:bCs/>
          <w:i/>
          <w:iCs/>
          <w:kern w:val="24"/>
          <w:sz w:val="24"/>
          <w:szCs w:val="24"/>
        </w:rPr>
      </w:pPr>
      <w:r w:rsidRPr="007D43B4">
        <w:rPr>
          <w:rFonts w:ascii="Times New Roman" w:hAnsi="Times New Roman" w:cs="Times New Roman"/>
          <w:kern w:val="24"/>
          <w:sz w:val="24"/>
          <w:szCs w:val="24"/>
        </w:rPr>
        <w:t>« </w:t>
      </w:r>
      <w:r w:rsidRPr="007D43B4">
        <w:rPr>
          <w:rFonts w:ascii="Times New Roman" w:hAnsi="Times New Roman" w:cs="Times New Roman"/>
          <w:i/>
          <w:iCs/>
          <w:kern w:val="24"/>
          <w:sz w:val="24"/>
          <w:szCs w:val="24"/>
        </w:rPr>
        <w:t>Il s’agit de l’unanimité des érudits et des scholars de la religion, à une époque don</w:t>
      </w:r>
      <w:r w:rsidR="00605245" w:rsidRPr="007D43B4">
        <w:rPr>
          <w:rFonts w:ascii="Times New Roman" w:hAnsi="Times New Roman" w:cs="Times New Roman"/>
          <w:i/>
          <w:iCs/>
          <w:kern w:val="24"/>
          <w:sz w:val="24"/>
          <w:szCs w:val="24"/>
        </w:rPr>
        <w:t>née à partir des compagnons du P</w:t>
      </w:r>
      <w:r w:rsidRPr="007D43B4">
        <w:rPr>
          <w:rFonts w:ascii="Times New Roman" w:hAnsi="Times New Roman" w:cs="Times New Roman"/>
          <w:i/>
          <w:iCs/>
          <w:kern w:val="24"/>
          <w:sz w:val="24"/>
          <w:szCs w:val="24"/>
        </w:rPr>
        <w:t>rophète</w:t>
      </w:r>
      <w:r w:rsidR="00BC455A" w:rsidRPr="007D43B4">
        <w:rPr>
          <w:rFonts w:ascii="Times New Roman" w:hAnsi="Times New Roman" w:cs="Times New Roman"/>
          <w:i/>
          <w:iCs/>
          <w:kern w:val="24"/>
          <w:sz w:val="24"/>
          <w:szCs w:val="24"/>
        </w:rPr>
        <w:t xml:space="preserve"> </w:t>
      </w:r>
      <w:r w:rsidRPr="007D43B4">
        <w:rPr>
          <w:rFonts w:ascii="Times New Roman" w:hAnsi="Times New Roman" w:cs="Times New Roman"/>
          <w:i/>
          <w:iCs/>
          <w:kern w:val="24"/>
          <w:sz w:val="24"/>
          <w:szCs w:val="24"/>
        </w:rPr>
        <w:t xml:space="preserve"> </w:t>
      </w:r>
      <w:r w:rsidR="00BC455A" w:rsidRPr="007D43B4">
        <w:rPr>
          <w:rFonts w:ascii="Times New Roman" w:hAnsi="Times New Roman" w:cs="Times New Roman"/>
          <w:i/>
          <w:iCs/>
          <w:noProof/>
          <w:kern w:val="24"/>
          <w:sz w:val="24"/>
          <w:szCs w:val="24"/>
          <w:lang w:eastAsia="fr-FR"/>
        </w:rPr>
        <w:drawing>
          <wp:anchor distT="0" distB="0" distL="114300" distR="114300" simplePos="0" relativeHeight="251526144" behindDoc="0" locked="1" layoutInCell="1" allowOverlap="0" wp14:anchorId="01449AB1" wp14:editId="25E8EFCE">
            <wp:simplePos x="0" y="0"/>
            <wp:positionH relativeFrom="column">
              <wp:posOffset>2887980</wp:posOffset>
            </wp:positionH>
            <wp:positionV relativeFrom="paragraph">
              <wp:posOffset>242570</wp:posOffset>
            </wp:positionV>
            <wp:extent cx="180975" cy="161925"/>
            <wp:effectExtent l="0" t="0" r="0" b="0"/>
            <wp:wrapNone/>
            <wp:docPr id="25"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BC455A" w:rsidRPr="007D43B4">
        <w:rPr>
          <w:rFonts w:ascii="Times New Roman" w:hAnsi="Times New Roman" w:cs="Times New Roman"/>
          <w:i/>
          <w:iCs/>
          <w:noProof/>
          <w:kern w:val="24"/>
          <w:sz w:val="24"/>
          <w:szCs w:val="24"/>
          <w:lang w:eastAsia="fr-FR"/>
        </w:rPr>
        <w:drawing>
          <wp:anchor distT="0" distB="0" distL="114300" distR="114300" simplePos="0" relativeHeight="251525120" behindDoc="0" locked="1" layoutInCell="1" allowOverlap="0" wp14:anchorId="56E7D206" wp14:editId="2DA4CA12">
            <wp:simplePos x="0" y="0"/>
            <wp:positionH relativeFrom="column">
              <wp:posOffset>3234690</wp:posOffset>
            </wp:positionH>
            <wp:positionV relativeFrom="paragraph">
              <wp:posOffset>-1224280</wp:posOffset>
            </wp:positionV>
            <wp:extent cx="180975" cy="161925"/>
            <wp:effectExtent l="19050" t="0" r="9525" b="0"/>
            <wp:wrapNone/>
            <wp:docPr id="22"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BC455A" w:rsidRPr="007D43B4">
        <w:rPr>
          <w:rFonts w:ascii="Times New Roman" w:hAnsi="Times New Roman" w:cs="Times New Roman"/>
          <w:i/>
          <w:iCs/>
          <w:kern w:val="24"/>
          <w:sz w:val="24"/>
          <w:szCs w:val="24"/>
        </w:rPr>
        <w:t xml:space="preserve">   </w:t>
      </w:r>
      <w:r w:rsidRPr="007D43B4">
        <w:rPr>
          <w:rFonts w:ascii="Times New Roman" w:hAnsi="Times New Roman" w:cs="Times New Roman"/>
          <w:i/>
          <w:iCs/>
          <w:kern w:val="24"/>
          <w:sz w:val="24"/>
          <w:szCs w:val="24"/>
        </w:rPr>
        <w:t xml:space="preserve">sur une règle légale précise. Ce consensus est la résultante de la compréhension, de l’interprétation et de l’application du Coran et de la </w:t>
      </w:r>
      <w:r w:rsidR="005A54CF" w:rsidRPr="007D43B4">
        <w:rPr>
          <w:rFonts w:ascii="Times New Roman" w:hAnsi="Times New Roman" w:cs="Times New Roman"/>
          <w:i/>
          <w:iCs/>
          <w:kern w:val="24"/>
          <w:sz w:val="24"/>
          <w:szCs w:val="24"/>
        </w:rPr>
        <w:t>Sunna</w:t>
      </w:r>
      <w:r w:rsidR="00210F47" w:rsidRPr="007D43B4">
        <w:rPr>
          <w:rFonts w:ascii="Times New Roman" w:hAnsi="Times New Roman" w:cs="Times New Roman"/>
          <w:i/>
          <w:iCs/>
          <w:kern w:val="24"/>
          <w:sz w:val="24"/>
          <w:szCs w:val="24"/>
        </w:rPr>
        <w:t>h</w:t>
      </w:r>
      <w:r w:rsidRPr="007D43B4">
        <w:rPr>
          <w:rFonts w:ascii="Times New Roman" w:hAnsi="Times New Roman" w:cs="Times New Roman"/>
          <w:kern w:val="24"/>
          <w:sz w:val="24"/>
          <w:szCs w:val="24"/>
        </w:rPr>
        <w:t> »</w:t>
      </w:r>
      <w:r w:rsidRPr="007D43B4">
        <w:rPr>
          <w:rStyle w:val="Appelnotedebasdep"/>
          <w:rFonts w:ascii="Times New Roman" w:hAnsi="Times New Roman"/>
          <w:kern w:val="24"/>
          <w:sz w:val="24"/>
          <w:szCs w:val="24"/>
        </w:rPr>
        <w:footnoteReference w:id="14"/>
      </w:r>
      <w:r w:rsidRPr="007D43B4">
        <w:rPr>
          <w:rFonts w:ascii="Times New Roman" w:hAnsi="Times New Roman" w:cs="Times New Roman"/>
          <w:kern w:val="24"/>
          <w:sz w:val="24"/>
          <w:szCs w:val="24"/>
        </w:rPr>
        <w:t>. Ce mécanisme permet d’entreprendre des législations collectives pour les évolutions et mutations.</w:t>
      </w:r>
    </w:p>
    <w:p w14:paraId="212EA1CA" w14:textId="77777777" w:rsidR="002760B2" w:rsidRPr="002B005F" w:rsidRDefault="007D0674" w:rsidP="00236A71">
      <w:pPr>
        <w:pStyle w:val="Titre4"/>
        <w:keepNext w:val="0"/>
        <w:spacing w:before="120" w:after="120" w:line="300" w:lineRule="auto"/>
        <w:ind w:firstLine="709"/>
      </w:pPr>
      <w:bookmarkStart w:id="128" w:name="_Toc33263211"/>
      <w:bookmarkStart w:id="129" w:name="_Toc37664463"/>
      <w:bookmarkStart w:id="130" w:name="_Toc37666308"/>
      <w:bookmarkStart w:id="131" w:name="_Toc54363197"/>
      <w:bookmarkStart w:id="132" w:name="_Toc58606213"/>
      <w:bookmarkStart w:id="133" w:name="_Toc61263418"/>
      <w:bookmarkStart w:id="134" w:name="_Toc182298590"/>
      <w:r w:rsidRPr="002B005F">
        <w:t xml:space="preserve">1.1.4- </w:t>
      </w:r>
      <w:r w:rsidR="002760B2" w:rsidRPr="00295EBC">
        <w:rPr>
          <w:i/>
          <w:iCs/>
        </w:rPr>
        <w:t>Al-qiyas</w:t>
      </w:r>
      <w:bookmarkEnd w:id="128"/>
      <w:bookmarkEnd w:id="129"/>
      <w:bookmarkEnd w:id="130"/>
      <w:bookmarkEnd w:id="131"/>
      <w:bookmarkEnd w:id="132"/>
      <w:bookmarkEnd w:id="133"/>
      <w:bookmarkEnd w:id="134"/>
    </w:p>
    <w:p w14:paraId="150180CD" w14:textId="1333FBC9" w:rsidR="002760B2" w:rsidRPr="002B005F" w:rsidRDefault="002760B2" w:rsidP="000F4D63">
      <w:pPr>
        <w:tabs>
          <w:tab w:val="left" w:pos="0"/>
        </w:tabs>
        <w:spacing w:before="120" w:line="300" w:lineRule="auto"/>
        <w:ind w:firstLine="709"/>
        <w:rPr>
          <w:rFonts w:ascii="Times New Roman" w:hAnsi="Times New Roman" w:cs="Times New Roman"/>
          <w:b/>
          <w:bCs/>
          <w:i/>
          <w:iCs/>
          <w:sz w:val="24"/>
          <w:szCs w:val="24"/>
        </w:rPr>
      </w:pPr>
      <w:r w:rsidRPr="002B005F">
        <w:rPr>
          <w:rFonts w:ascii="Times New Roman" w:hAnsi="Times New Roman" w:cs="Times New Roman"/>
          <w:sz w:val="24"/>
          <w:szCs w:val="24"/>
        </w:rPr>
        <w:t xml:space="preserve">C’est la quatrième source de la loi </w:t>
      </w:r>
      <w:r w:rsidR="009E1248">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Le </w:t>
      </w:r>
      <w:r w:rsidRPr="002B005F">
        <w:rPr>
          <w:rFonts w:ascii="Times New Roman" w:hAnsi="Times New Roman" w:cs="Times New Roman"/>
          <w:i/>
          <w:iCs/>
          <w:sz w:val="24"/>
          <w:szCs w:val="24"/>
        </w:rPr>
        <w:t>qiyas</w:t>
      </w:r>
      <w:r w:rsidRPr="002B005F">
        <w:rPr>
          <w:rFonts w:ascii="Times New Roman" w:hAnsi="Times New Roman" w:cs="Times New Roman"/>
          <w:sz w:val="24"/>
          <w:szCs w:val="24"/>
        </w:rPr>
        <w:t xml:space="preserve"> est le raisonnement par analogie des faits actuels en se référant à des faits approuvés ou réprouvés par le </w:t>
      </w:r>
      <w:r w:rsidRPr="007F1078">
        <w:rPr>
          <w:rFonts w:ascii="Times New Roman" w:hAnsi="Times New Roman" w:cs="Times New Roman"/>
          <w:iCs/>
          <w:sz w:val="24"/>
          <w:szCs w:val="24"/>
        </w:rPr>
        <w:t>Coran</w:t>
      </w:r>
      <w:r w:rsidRPr="002B005F">
        <w:rPr>
          <w:rFonts w:ascii="Times New Roman" w:hAnsi="Times New Roman" w:cs="Times New Roman"/>
          <w:sz w:val="24"/>
          <w:szCs w:val="24"/>
        </w:rPr>
        <w:t xml:space="preserve"> et la </w:t>
      </w:r>
      <w:r w:rsidRPr="007F1078">
        <w:rPr>
          <w:rFonts w:ascii="Times New Roman" w:hAnsi="Times New Roman" w:cs="Times New Roman"/>
          <w:i/>
          <w:iCs/>
          <w:sz w:val="24"/>
          <w:szCs w:val="24"/>
        </w:rPr>
        <w:t>Sunna</w:t>
      </w:r>
      <w:r w:rsidR="00210F47">
        <w:rPr>
          <w:rFonts w:ascii="Times New Roman" w:hAnsi="Times New Roman" w:cs="Times New Roman"/>
          <w:i/>
          <w:iCs/>
          <w:sz w:val="24"/>
          <w:szCs w:val="24"/>
        </w:rPr>
        <w:t>h</w:t>
      </w:r>
      <w:r w:rsidRPr="002B005F">
        <w:rPr>
          <w:rStyle w:val="Appelnotedebasdep"/>
          <w:rFonts w:ascii="Times New Roman" w:hAnsi="Times New Roman"/>
          <w:sz w:val="24"/>
          <w:szCs w:val="24"/>
        </w:rPr>
        <w:footnoteReference w:id="15"/>
      </w:r>
      <w:r w:rsidRPr="002B005F">
        <w:rPr>
          <w:rFonts w:ascii="Times New Roman" w:hAnsi="Times New Roman" w:cs="Times New Roman"/>
          <w:sz w:val="24"/>
          <w:szCs w:val="24"/>
        </w:rPr>
        <w:t xml:space="preserve">. C’est un élément important assurant la dynamique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w:t>
      </w:r>
    </w:p>
    <w:p w14:paraId="75B6F7B6" w14:textId="5810F0E2" w:rsidR="002760B2" w:rsidRPr="00210F47" w:rsidRDefault="002760B2" w:rsidP="000F4D63">
      <w:pPr>
        <w:tabs>
          <w:tab w:val="left" w:pos="0"/>
        </w:tabs>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lastRenderedPageBreak/>
        <w:t xml:space="preserve">Ces quatre sources constituent les bases essentielles permettant de déterminer la conformité de toute action avec les règles et la finalité de la </w:t>
      </w:r>
      <w:r w:rsidR="00A5400B" w:rsidRPr="00210F47">
        <w:rPr>
          <w:rFonts w:ascii="Times New Roman" w:hAnsi="Times New Roman" w:cs="Times New Roman"/>
          <w:i/>
          <w:kern w:val="24"/>
          <w:sz w:val="24"/>
          <w:szCs w:val="24"/>
        </w:rPr>
        <w:t>Shariah</w:t>
      </w:r>
      <w:r w:rsidRPr="00210F47">
        <w:rPr>
          <w:rFonts w:ascii="Times New Roman" w:hAnsi="Times New Roman" w:cs="Times New Roman"/>
          <w:kern w:val="24"/>
          <w:sz w:val="24"/>
          <w:szCs w:val="24"/>
        </w:rPr>
        <w:t xml:space="preserve">. Dans ce qui suit on va aborder l’aspect théorique de l’économie </w:t>
      </w:r>
      <w:r w:rsidR="00BC455A"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w:t>
      </w:r>
    </w:p>
    <w:p w14:paraId="0749E6A6" w14:textId="207C6553" w:rsidR="002760B2" w:rsidRPr="00E20F12" w:rsidRDefault="008F3EAB" w:rsidP="00210F47">
      <w:pPr>
        <w:pStyle w:val="Titre3"/>
        <w:keepNext w:val="0"/>
        <w:keepLines w:val="0"/>
        <w:spacing w:before="100" w:beforeAutospacing="1" w:after="120" w:line="300" w:lineRule="auto"/>
        <w:ind w:firstLine="709"/>
        <w:rPr>
          <w:rFonts w:ascii="Times New Roman Gras" w:hAnsi="Times New Roman Gras" w:cs="Times New Roman"/>
          <w:i/>
          <w:iCs/>
          <w:kern w:val="24"/>
          <w:sz w:val="28"/>
          <w:szCs w:val="28"/>
        </w:rPr>
      </w:pPr>
      <w:bookmarkStart w:id="135" w:name="_Toc33263212"/>
      <w:bookmarkStart w:id="136" w:name="_Toc37664464"/>
      <w:bookmarkStart w:id="137" w:name="_Toc37666309"/>
      <w:bookmarkStart w:id="138" w:name="_Toc54363198"/>
      <w:bookmarkStart w:id="139" w:name="_Toc58606214"/>
      <w:bookmarkStart w:id="140" w:name="_Toc61263419"/>
      <w:bookmarkStart w:id="141" w:name="_Toc182298591"/>
      <w:r w:rsidRPr="00E20F12">
        <w:rPr>
          <w:rFonts w:ascii="Times New Roman Gras" w:hAnsi="Times New Roman Gras" w:cs="Times New Roman"/>
          <w:kern w:val="24"/>
          <w:sz w:val="28"/>
          <w:szCs w:val="28"/>
        </w:rPr>
        <w:t xml:space="preserve">1.2- </w:t>
      </w:r>
      <w:r w:rsidR="00C55304" w:rsidRPr="00E20F12">
        <w:rPr>
          <w:rFonts w:ascii="Times New Roman Gras" w:hAnsi="Times New Roman Gras" w:cs="Times New Roman"/>
          <w:kern w:val="24"/>
          <w:sz w:val="28"/>
          <w:szCs w:val="28"/>
        </w:rPr>
        <w:t>T</w:t>
      </w:r>
      <w:r w:rsidR="002760B2" w:rsidRPr="00E20F12">
        <w:rPr>
          <w:rFonts w:ascii="Times New Roman Gras" w:hAnsi="Times New Roman Gras" w:cs="Times New Roman"/>
          <w:kern w:val="24"/>
          <w:sz w:val="28"/>
          <w:szCs w:val="28"/>
        </w:rPr>
        <w:t xml:space="preserve">héorie économique </w:t>
      </w:r>
      <w:r w:rsidR="00AA2221" w:rsidRPr="00E20F12">
        <w:rPr>
          <w:rFonts w:ascii="Times New Roman Gras" w:hAnsi="Times New Roman Gras" w:cs="Times New Roman"/>
          <w:kern w:val="24"/>
          <w:sz w:val="28"/>
          <w:szCs w:val="28"/>
        </w:rPr>
        <w:t>i</w:t>
      </w:r>
      <w:r w:rsidR="003773C6" w:rsidRPr="00E20F12">
        <w:rPr>
          <w:rFonts w:ascii="Times New Roman Gras" w:hAnsi="Times New Roman Gras" w:cs="Times New Roman"/>
          <w:kern w:val="24"/>
          <w:sz w:val="28"/>
          <w:szCs w:val="28"/>
        </w:rPr>
        <w:t>slamique</w:t>
      </w:r>
      <w:bookmarkEnd w:id="135"/>
      <w:bookmarkEnd w:id="136"/>
      <w:bookmarkEnd w:id="137"/>
      <w:bookmarkEnd w:id="138"/>
      <w:bookmarkEnd w:id="139"/>
      <w:bookmarkEnd w:id="140"/>
      <w:bookmarkEnd w:id="141"/>
    </w:p>
    <w:p w14:paraId="39222694" w14:textId="77777777" w:rsidR="002760B2" w:rsidRPr="00210F47" w:rsidRDefault="002760B2" w:rsidP="00605245">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smallCaps/>
          <w:kern w:val="24"/>
          <w:sz w:val="24"/>
          <w:szCs w:val="24"/>
        </w:rPr>
        <w:t>Siddiki</w:t>
      </w:r>
      <w:r w:rsidRPr="00210F47">
        <w:rPr>
          <w:rFonts w:ascii="Times New Roman" w:hAnsi="Times New Roman" w:cs="Times New Roman"/>
          <w:kern w:val="24"/>
          <w:sz w:val="24"/>
          <w:szCs w:val="24"/>
        </w:rPr>
        <w:t xml:space="preserve"> (1987)</w:t>
      </w:r>
      <w:r w:rsidRPr="00210F47">
        <w:rPr>
          <w:rStyle w:val="Appelnotedebasdep"/>
          <w:rFonts w:ascii="Times New Roman" w:hAnsi="Times New Roman"/>
          <w:kern w:val="24"/>
          <w:sz w:val="24"/>
          <w:szCs w:val="24"/>
        </w:rPr>
        <w:footnoteReference w:id="16"/>
      </w:r>
      <w:r w:rsidRPr="00210F47">
        <w:rPr>
          <w:rFonts w:ascii="Times New Roman" w:hAnsi="Times New Roman" w:cs="Times New Roman"/>
          <w:kern w:val="24"/>
          <w:sz w:val="24"/>
          <w:szCs w:val="24"/>
        </w:rPr>
        <w:t xml:space="preserve"> montre que la pensée économique dans la littérature </w:t>
      </w:r>
      <w:r w:rsidR="00AA2221"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date de l’époque d’</w:t>
      </w:r>
      <w:r w:rsidRPr="00210F47">
        <w:rPr>
          <w:rFonts w:ascii="Times New Roman" w:hAnsi="Times New Roman" w:cs="Times New Roman"/>
          <w:smallCaps/>
          <w:kern w:val="24"/>
          <w:sz w:val="24"/>
          <w:szCs w:val="24"/>
        </w:rPr>
        <w:t xml:space="preserve">Ibn Khaldoun </w:t>
      </w:r>
      <w:r w:rsidRPr="00210F47">
        <w:rPr>
          <w:rFonts w:ascii="Times New Roman" w:hAnsi="Times New Roman" w:cs="Times New Roman"/>
          <w:kern w:val="24"/>
          <w:sz w:val="24"/>
          <w:szCs w:val="24"/>
        </w:rPr>
        <w:t xml:space="preserve">(1332-1406), </w:t>
      </w:r>
      <w:r w:rsidRPr="00210F47">
        <w:rPr>
          <w:rFonts w:ascii="Times New Roman" w:hAnsi="Times New Roman" w:cs="Times New Roman"/>
          <w:smallCaps/>
          <w:kern w:val="24"/>
          <w:sz w:val="24"/>
          <w:szCs w:val="24"/>
        </w:rPr>
        <w:t>Ibn Taymeya</w:t>
      </w:r>
      <w:r w:rsidRPr="00210F47">
        <w:rPr>
          <w:rFonts w:ascii="Times New Roman" w:hAnsi="Times New Roman" w:cs="Times New Roman"/>
          <w:kern w:val="24"/>
          <w:sz w:val="24"/>
          <w:szCs w:val="24"/>
        </w:rPr>
        <w:t xml:space="preserve"> (1262-1328), </w:t>
      </w:r>
      <w:r w:rsidRPr="00210F47">
        <w:rPr>
          <w:rFonts w:ascii="Times New Roman" w:hAnsi="Times New Roman" w:cs="Times New Roman"/>
          <w:smallCaps/>
          <w:kern w:val="24"/>
          <w:sz w:val="24"/>
          <w:szCs w:val="24"/>
        </w:rPr>
        <w:t>Abou Youssef</w:t>
      </w:r>
      <w:r w:rsidRPr="00210F47">
        <w:rPr>
          <w:rFonts w:ascii="Times New Roman" w:hAnsi="Times New Roman" w:cs="Times New Roman"/>
          <w:kern w:val="24"/>
          <w:sz w:val="24"/>
          <w:szCs w:val="24"/>
        </w:rPr>
        <w:t xml:space="preserve"> (731-798) et d’autres. </w:t>
      </w:r>
      <w:r w:rsidR="00605245" w:rsidRPr="00210F47">
        <w:rPr>
          <w:rFonts w:ascii="Times New Roman" w:hAnsi="Times New Roman" w:cs="Times New Roman"/>
          <w:kern w:val="24"/>
          <w:sz w:val="24"/>
          <w:szCs w:val="24"/>
        </w:rPr>
        <w:t>Dans</w:t>
      </w:r>
      <w:r w:rsidRPr="00210F47">
        <w:rPr>
          <w:rFonts w:ascii="Times New Roman" w:hAnsi="Times New Roman" w:cs="Times New Roman"/>
          <w:kern w:val="24"/>
          <w:sz w:val="24"/>
          <w:szCs w:val="24"/>
        </w:rPr>
        <w:t xml:space="preserve"> son gigantesque œuvre la </w:t>
      </w:r>
      <w:r w:rsidRPr="00210F47">
        <w:rPr>
          <w:rFonts w:ascii="Times New Roman" w:hAnsi="Times New Roman" w:cs="Times New Roman"/>
          <w:i/>
          <w:iCs/>
          <w:kern w:val="24"/>
          <w:sz w:val="24"/>
          <w:szCs w:val="24"/>
        </w:rPr>
        <w:t>Muqaddimah</w:t>
      </w:r>
      <w:r w:rsidR="00605245" w:rsidRPr="00210F47">
        <w:rPr>
          <w:rFonts w:ascii="Times New Roman" w:hAnsi="Times New Roman" w:cs="Times New Roman"/>
          <w:kern w:val="24"/>
          <w:sz w:val="24"/>
          <w:szCs w:val="24"/>
        </w:rPr>
        <w:t>,</w:t>
      </w:r>
      <w:r w:rsidRPr="00210F47">
        <w:rPr>
          <w:rFonts w:ascii="Times New Roman" w:hAnsi="Times New Roman" w:cs="Times New Roman"/>
          <w:kern w:val="24"/>
          <w:sz w:val="24"/>
          <w:szCs w:val="24"/>
        </w:rPr>
        <w:t xml:space="preserve"> </w:t>
      </w:r>
      <w:r w:rsidR="00605245" w:rsidRPr="00210F47">
        <w:rPr>
          <w:rFonts w:ascii="Times New Roman" w:hAnsi="Times New Roman" w:cs="Times New Roman"/>
          <w:smallCaps/>
          <w:kern w:val="24"/>
          <w:sz w:val="24"/>
          <w:szCs w:val="24"/>
        </w:rPr>
        <w:t>Ibn Khaldoun</w:t>
      </w:r>
      <w:r w:rsidR="00605245" w:rsidRPr="00210F47">
        <w:rPr>
          <w:rFonts w:ascii="Times New Roman" w:hAnsi="Times New Roman" w:cs="Times New Roman"/>
          <w:kern w:val="24"/>
          <w:sz w:val="24"/>
          <w:szCs w:val="24"/>
        </w:rPr>
        <w:t xml:space="preserve"> s’est intéressé à</w:t>
      </w:r>
      <w:r w:rsidRPr="00210F47">
        <w:rPr>
          <w:rFonts w:ascii="Times New Roman" w:hAnsi="Times New Roman" w:cs="Times New Roman"/>
          <w:kern w:val="24"/>
          <w:sz w:val="24"/>
          <w:szCs w:val="24"/>
        </w:rPr>
        <w:t xml:space="preserve"> l’étude du comportement de l’être humain. Cet ouvrage contient une discussion très den</w:t>
      </w:r>
      <w:r w:rsidR="00605245" w:rsidRPr="00210F47">
        <w:rPr>
          <w:rFonts w:ascii="Times New Roman" w:hAnsi="Times New Roman" w:cs="Times New Roman"/>
          <w:kern w:val="24"/>
          <w:sz w:val="24"/>
          <w:szCs w:val="24"/>
        </w:rPr>
        <w:t>se des principes économiques.</w:t>
      </w:r>
      <w:r w:rsidRPr="00210F47">
        <w:rPr>
          <w:rFonts w:ascii="Times New Roman" w:hAnsi="Times New Roman" w:cs="Times New Roman"/>
          <w:kern w:val="24"/>
          <w:sz w:val="24"/>
          <w:szCs w:val="24"/>
        </w:rPr>
        <w:t xml:space="preserve"> </w:t>
      </w:r>
      <w:r w:rsidR="00605245" w:rsidRPr="00210F47">
        <w:rPr>
          <w:rFonts w:ascii="Times New Roman" w:hAnsi="Times New Roman" w:cs="Times New Roman"/>
          <w:kern w:val="24"/>
          <w:sz w:val="24"/>
          <w:szCs w:val="24"/>
        </w:rPr>
        <w:t>Après</w:t>
      </w:r>
      <w:r w:rsidRPr="00210F47">
        <w:rPr>
          <w:rFonts w:ascii="Times New Roman" w:hAnsi="Times New Roman" w:cs="Times New Roman"/>
          <w:kern w:val="24"/>
          <w:sz w:val="24"/>
          <w:szCs w:val="24"/>
        </w:rPr>
        <w:t xml:space="preserve"> cette contribution importante, l’économie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est tombée dans l’oubli, sauf quelques contributions peu importantes durant cette période.</w:t>
      </w:r>
    </w:p>
    <w:p w14:paraId="6E2EBF0C" w14:textId="7B4BEA00" w:rsidR="002760B2" w:rsidRPr="00210F47" w:rsidRDefault="002760B2" w:rsidP="005E669C">
      <w:pPr>
        <w:tabs>
          <w:tab w:val="left" w:pos="0"/>
        </w:tabs>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Cependant, lorsque l’économie conventionnelle est devenue une bra</w:t>
      </w:r>
      <w:r w:rsidR="00A578D7" w:rsidRPr="00210F47">
        <w:rPr>
          <w:rFonts w:ascii="Times New Roman" w:hAnsi="Times New Roman" w:cs="Times New Roman"/>
          <w:kern w:val="24"/>
          <w:sz w:val="24"/>
          <w:szCs w:val="24"/>
        </w:rPr>
        <w:t>nche scientifique distincte en O</w:t>
      </w:r>
      <w:r w:rsidRPr="00210F47">
        <w:rPr>
          <w:rFonts w:ascii="Times New Roman" w:hAnsi="Times New Roman" w:cs="Times New Roman"/>
          <w:kern w:val="24"/>
          <w:sz w:val="24"/>
          <w:szCs w:val="24"/>
        </w:rPr>
        <w:t xml:space="preserve">ccident au cours des années 1890 suite à la contribution de l’économiste célèbre Alfred </w:t>
      </w:r>
      <w:r w:rsidRPr="00210F47">
        <w:rPr>
          <w:rFonts w:ascii="Times New Roman" w:hAnsi="Times New Roman" w:cs="Times New Roman"/>
          <w:smallCaps/>
          <w:kern w:val="24"/>
          <w:sz w:val="24"/>
          <w:szCs w:val="24"/>
        </w:rPr>
        <w:t>Marshall</w:t>
      </w:r>
      <w:r w:rsidRPr="00210F47">
        <w:rPr>
          <w:rFonts w:ascii="Times New Roman" w:hAnsi="Times New Roman" w:cs="Times New Roman"/>
          <w:kern w:val="24"/>
          <w:sz w:val="24"/>
          <w:szCs w:val="24"/>
        </w:rPr>
        <w:t xml:space="preserve"> « </w:t>
      </w:r>
      <w:r w:rsidR="005E669C" w:rsidRPr="00210F47">
        <w:rPr>
          <w:rFonts w:ascii="Times New Roman" w:hAnsi="Times New Roman" w:cs="Times New Roman"/>
          <w:kern w:val="24"/>
          <w:sz w:val="24"/>
          <w:szCs w:val="24"/>
        </w:rPr>
        <w:t>Principes d’économie politique</w:t>
      </w:r>
      <w:r w:rsidR="001374DC">
        <w:rPr>
          <w:rFonts w:ascii="Times New Roman" w:hAnsi="Times New Roman" w:cs="Times New Roman"/>
          <w:kern w:val="24"/>
          <w:sz w:val="24"/>
          <w:szCs w:val="24"/>
        </w:rPr>
        <w:t> »</w:t>
      </w:r>
      <w:r w:rsidRPr="00210F47">
        <w:rPr>
          <w:rFonts w:ascii="Times New Roman" w:hAnsi="Times New Roman" w:cs="Times New Roman"/>
          <w:kern w:val="24"/>
          <w:sz w:val="24"/>
          <w:szCs w:val="24"/>
        </w:rPr>
        <w:t xml:space="preserve">, l’économie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est demeurée une partie intégrante de la philosophie sociale et morale unifiée de l’</w:t>
      </w:r>
      <w:r w:rsidR="00F34669" w:rsidRPr="00210F47">
        <w:rPr>
          <w:rFonts w:ascii="Times New Roman" w:hAnsi="Times New Roman" w:cs="Times New Roman"/>
          <w:kern w:val="24"/>
          <w:sz w:val="24"/>
          <w:szCs w:val="24"/>
        </w:rPr>
        <w:t>Islam</w:t>
      </w:r>
      <w:r w:rsidRPr="00210F47">
        <w:rPr>
          <w:rFonts w:ascii="Times New Roman" w:hAnsi="Times New Roman" w:cs="Times New Roman"/>
          <w:kern w:val="24"/>
          <w:sz w:val="24"/>
          <w:szCs w:val="24"/>
        </w:rPr>
        <w:t xml:space="preserve"> jusqu’à la 2</w:t>
      </w:r>
      <w:r w:rsidRPr="00210F47">
        <w:rPr>
          <w:rFonts w:ascii="Times New Roman" w:hAnsi="Times New Roman" w:cs="Times New Roman"/>
          <w:kern w:val="24"/>
          <w:sz w:val="24"/>
          <w:szCs w:val="24"/>
          <w:vertAlign w:val="superscript"/>
        </w:rPr>
        <w:t>ème</w:t>
      </w:r>
      <w:r w:rsidRPr="00210F47">
        <w:rPr>
          <w:rFonts w:ascii="Times New Roman" w:hAnsi="Times New Roman" w:cs="Times New Roman"/>
          <w:kern w:val="24"/>
          <w:sz w:val="24"/>
          <w:szCs w:val="24"/>
        </w:rPr>
        <w:t xml:space="preserve"> guerre mondiale (</w:t>
      </w:r>
      <w:r w:rsidRPr="00210F47">
        <w:rPr>
          <w:rFonts w:ascii="Times New Roman" w:hAnsi="Times New Roman" w:cs="Times New Roman"/>
          <w:smallCaps/>
          <w:kern w:val="24"/>
          <w:sz w:val="24"/>
          <w:szCs w:val="24"/>
        </w:rPr>
        <w:t>Chapra</w:t>
      </w:r>
      <w:r w:rsidRPr="00210F47">
        <w:rPr>
          <w:rFonts w:ascii="Times New Roman" w:hAnsi="Times New Roman" w:cs="Times New Roman"/>
          <w:kern w:val="24"/>
          <w:sz w:val="24"/>
          <w:szCs w:val="24"/>
        </w:rPr>
        <w:t xml:space="preserve">, 1996). Après cette date, plusieurs pays musulmans ont connu leur </w:t>
      </w:r>
      <w:r w:rsidR="000C28B1" w:rsidRPr="00210F47">
        <w:rPr>
          <w:rFonts w:ascii="Times New Roman" w:hAnsi="Times New Roman" w:cs="Times New Roman"/>
          <w:kern w:val="24"/>
          <w:sz w:val="24"/>
          <w:szCs w:val="24"/>
        </w:rPr>
        <w:t>indépendance ; ils</w:t>
      </w:r>
      <w:r w:rsidRPr="00210F47">
        <w:rPr>
          <w:rFonts w:ascii="Times New Roman" w:hAnsi="Times New Roman" w:cs="Times New Roman"/>
          <w:kern w:val="24"/>
          <w:sz w:val="24"/>
          <w:szCs w:val="24"/>
        </w:rPr>
        <w:t xml:space="preserve"> étaient obligés de développer leur situation économique en appliquant les principes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s, ce qui a encouragé le développement de l’économie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w:t>
      </w:r>
    </w:p>
    <w:p w14:paraId="126433E9" w14:textId="1B0456AA" w:rsidR="002760B2" w:rsidRPr="00210F47" w:rsidRDefault="000C28B1" w:rsidP="00311689">
      <w:pPr>
        <w:tabs>
          <w:tab w:val="left" w:pos="0"/>
        </w:tabs>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Avant d’aborder les p</w:t>
      </w:r>
      <w:r w:rsidR="002760B2" w:rsidRPr="00210F47">
        <w:rPr>
          <w:rFonts w:ascii="Times New Roman" w:hAnsi="Times New Roman" w:cs="Times New Roman"/>
          <w:kern w:val="24"/>
          <w:sz w:val="24"/>
          <w:szCs w:val="24"/>
        </w:rPr>
        <w:t xml:space="preserve">articularités du système économique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002760B2" w:rsidRPr="00210F47">
        <w:rPr>
          <w:rFonts w:ascii="Times New Roman" w:hAnsi="Times New Roman" w:cs="Times New Roman"/>
          <w:kern w:val="24"/>
          <w:sz w:val="24"/>
          <w:szCs w:val="24"/>
        </w:rPr>
        <w:t xml:space="preserve">, </w:t>
      </w:r>
      <w:r w:rsidR="00210F47" w:rsidRPr="00210F47">
        <w:rPr>
          <w:rFonts w:ascii="Times New Roman" w:hAnsi="Times New Roman" w:cs="Times New Roman"/>
          <w:kern w:val="24"/>
          <w:sz w:val="24"/>
          <w:szCs w:val="24"/>
        </w:rPr>
        <w:t>nous allons</w:t>
      </w:r>
      <w:r w:rsidR="002760B2" w:rsidRPr="00210F47">
        <w:rPr>
          <w:rFonts w:ascii="Times New Roman" w:hAnsi="Times New Roman" w:cs="Times New Roman"/>
          <w:kern w:val="24"/>
          <w:sz w:val="24"/>
          <w:szCs w:val="24"/>
        </w:rPr>
        <w:t xml:space="preserve"> avancer une définition </w:t>
      </w:r>
      <w:r w:rsidRPr="00210F47">
        <w:rPr>
          <w:rFonts w:ascii="Times New Roman" w:hAnsi="Times New Roman" w:cs="Times New Roman"/>
          <w:kern w:val="24"/>
          <w:sz w:val="24"/>
          <w:szCs w:val="24"/>
        </w:rPr>
        <w:t>de cette branche de l’économie.</w:t>
      </w:r>
    </w:p>
    <w:p w14:paraId="2928318F" w14:textId="77777777" w:rsidR="002760B2" w:rsidRPr="00210F47" w:rsidRDefault="008F3EAB" w:rsidP="001374DC">
      <w:pPr>
        <w:pStyle w:val="Titre4"/>
        <w:keepNext w:val="0"/>
        <w:spacing w:before="100" w:beforeAutospacing="1" w:after="120" w:line="300" w:lineRule="auto"/>
        <w:ind w:firstLine="709"/>
        <w:rPr>
          <w:rFonts w:cs="Times New Roman"/>
          <w:kern w:val="24"/>
        </w:rPr>
      </w:pPr>
      <w:bookmarkStart w:id="142" w:name="_Toc33263213"/>
      <w:bookmarkStart w:id="143" w:name="_Toc37664465"/>
      <w:bookmarkStart w:id="144" w:name="_Toc37666310"/>
      <w:bookmarkStart w:id="145" w:name="_Toc54363199"/>
      <w:bookmarkStart w:id="146" w:name="_Toc58606215"/>
      <w:bookmarkStart w:id="147" w:name="_Toc61263420"/>
      <w:bookmarkStart w:id="148" w:name="_Toc182298592"/>
      <w:r w:rsidRPr="00210F47">
        <w:rPr>
          <w:rFonts w:cs="Times New Roman"/>
          <w:kern w:val="24"/>
        </w:rPr>
        <w:t xml:space="preserve">1.2.1- </w:t>
      </w:r>
      <w:r w:rsidR="002760B2" w:rsidRPr="00210F47">
        <w:rPr>
          <w:rFonts w:cs="Times New Roman"/>
          <w:kern w:val="24"/>
        </w:rPr>
        <w:t xml:space="preserve">Définition de l’économie </w:t>
      </w:r>
      <w:r w:rsidR="00B22501" w:rsidRPr="00210F47">
        <w:rPr>
          <w:rFonts w:cs="Times New Roman"/>
          <w:kern w:val="24"/>
        </w:rPr>
        <w:t>i</w:t>
      </w:r>
      <w:r w:rsidR="003773C6" w:rsidRPr="00210F47">
        <w:rPr>
          <w:rFonts w:cs="Times New Roman"/>
          <w:kern w:val="24"/>
        </w:rPr>
        <w:t>slamique</w:t>
      </w:r>
      <w:bookmarkEnd w:id="142"/>
      <w:bookmarkEnd w:id="143"/>
      <w:bookmarkEnd w:id="144"/>
      <w:bookmarkEnd w:id="145"/>
      <w:bookmarkEnd w:id="146"/>
      <w:bookmarkEnd w:id="147"/>
      <w:bookmarkEnd w:id="148"/>
    </w:p>
    <w:p w14:paraId="06021278" w14:textId="77777777" w:rsidR="002760B2" w:rsidRPr="00210F47" w:rsidRDefault="002760B2" w:rsidP="00311689">
      <w:pPr>
        <w:tabs>
          <w:tab w:val="left" w:pos="0"/>
        </w:tabs>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L’économie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a été définie différemment par certains spécialistes. Voici que</w:t>
      </w:r>
      <w:r w:rsidR="000C28B1" w:rsidRPr="00210F47">
        <w:rPr>
          <w:rFonts w:ascii="Times New Roman" w:hAnsi="Times New Roman" w:cs="Times New Roman"/>
          <w:kern w:val="24"/>
          <w:sz w:val="24"/>
          <w:szCs w:val="24"/>
        </w:rPr>
        <w:t>lques-unes de ces définitions :</w:t>
      </w:r>
    </w:p>
    <w:p w14:paraId="188B3F11" w14:textId="23A439A2" w:rsidR="002760B2" w:rsidRPr="00210F47" w:rsidRDefault="002760B2" w:rsidP="00CB0FF1">
      <w:pPr>
        <w:pStyle w:val="Paragraphedeliste"/>
        <w:numPr>
          <w:ilvl w:val="0"/>
          <w:numId w:val="83"/>
        </w:numPr>
        <w:tabs>
          <w:tab w:val="left" w:pos="0"/>
        </w:tabs>
        <w:spacing w:before="120" w:line="300" w:lineRule="auto"/>
        <w:ind w:left="1135" w:hanging="284"/>
        <w:contextualSpacing w:val="0"/>
        <w:rPr>
          <w:rFonts w:ascii="Times New Roman" w:hAnsi="Times New Roman" w:cs="Times New Roman"/>
          <w:kern w:val="24"/>
          <w:sz w:val="24"/>
          <w:szCs w:val="24"/>
        </w:rPr>
      </w:pPr>
      <w:r w:rsidRPr="00210F47">
        <w:rPr>
          <w:rFonts w:ascii="Times New Roman" w:hAnsi="Times New Roman" w:cs="Times New Roman"/>
          <w:smallCaps/>
          <w:kern w:val="24"/>
          <w:sz w:val="24"/>
          <w:szCs w:val="24"/>
        </w:rPr>
        <w:t>Hasanuzzaman</w:t>
      </w:r>
      <w:r w:rsidRPr="00210F47">
        <w:rPr>
          <w:rFonts w:ascii="Times New Roman" w:hAnsi="Times New Roman" w:cs="Times New Roman"/>
          <w:kern w:val="24"/>
          <w:sz w:val="24"/>
          <w:szCs w:val="24"/>
        </w:rPr>
        <w:t xml:space="preserve"> (1984) a défini l’économie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comme « </w:t>
      </w:r>
      <w:r w:rsidRPr="00210F47">
        <w:rPr>
          <w:rFonts w:ascii="Times New Roman" w:hAnsi="Times New Roman" w:cs="Times New Roman"/>
          <w:i/>
          <w:iCs/>
          <w:kern w:val="24"/>
          <w:sz w:val="24"/>
          <w:szCs w:val="24"/>
        </w:rPr>
        <w:t xml:space="preserve">la connaissance et l’application des injonctions et des règles de la </w:t>
      </w:r>
      <w:r w:rsidR="00A5400B" w:rsidRPr="00210F47">
        <w:rPr>
          <w:rFonts w:ascii="Times New Roman" w:hAnsi="Times New Roman" w:cs="Times New Roman"/>
          <w:i/>
          <w:kern w:val="24"/>
          <w:sz w:val="24"/>
          <w:szCs w:val="24"/>
        </w:rPr>
        <w:t>Shariah</w:t>
      </w:r>
      <w:r w:rsidRPr="00210F47">
        <w:rPr>
          <w:rFonts w:ascii="Times New Roman" w:hAnsi="Times New Roman" w:cs="Times New Roman"/>
          <w:i/>
          <w:iCs/>
          <w:kern w:val="24"/>
          <w:sz w:val="24"/>
          <w:szCs w:val="24"/>
        </w:rPr>
        <w:t xml:space="preserve"> qui s’opposent à l’injustice dans l’acquisition et l’utilisation des ressources matérielles afin d’assurer la satisfaction des êtres humains et de leur permettre d’accomplir leurs obligations envers Allah et la société</w:t>
      </w:r>
      <w:r w:rsidRPr="00210F47">
        <w:rPr>
          <w:rFonts w:ascii="Times New Roman" w:hAnsi="Times New Roman" w:cs="Times New Roman"/>
          <w:kern w:val="24"/>
          <w:sz w:val="24"/>
          <w:szCs w:val="24"/>
        </w:rPr>
        <w:t> »</w:t>
      </w:r>
      <w:r w:rsidRPr="00210F47">
        <w:rPr>
          <w:rStyle w:val="Appelnotedebasdep"/>
          <w:rFonts w:ascii="Times New Roman" w:hAnsi="Times New Roman"/>
          <w:kern w:val="24"/>
          <w:sz w:val="24"/>
          <w:szCs w:val="24"/>
        </w:rPr>
        <w:footnoteReference w:id="17"/>
      </w:r>
      <w:r w:rsidRPr="00210F47">
        <w:rPr>
          <w:rFonts w:ascii="Times New Roman" w:hAnsi="Times New Roman" w:cs="Times New Roman"/>
          <w:kern w:val="24"/>
          <w:sz w:val="24"/>
          <w:szCs w:val="24"/>
        </w:rPr>
        <w:t>.</w:t>
      </w:r>
    </w:p>
    <w:p w14:paraId="30FF2EDE" w14:textId="77777777" w:rsidR="000C28B1" w:rsidRPr="00210F47" w:rsidRDefault="002760B2" w:rsidP="00CB0FF1">
      <w:pPr>
        <w:pStyle w:val="Paragraphedeliste"/>
        <w:numPr>
          <w:ilvl w:val="0"/>
          <w:numId w:val="83"/>
        </w:numPr>
        <w:tabs>
          <w:tab w:val="left" w:pos="0"/>
        </w:tabs>
        <w:spacing w:before="120" w:line="300" w:lineRule="auto"/>
        <w:ind w:left="1135" w:hanging="284"/>
        <w:contextualSpacing w:val="0"/>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Selon </w:t>
      </w:r>
      <w:r w:rsidRPr="00210F47">
        <w:rPr>
          <w:rFonts w:ascii="Times New Roman" w:hAnsi="Times New Roman" w:cs="Times New Roman"/>
          <w:smallCaps/>
          <w:kern w:val="24"/>
          <w:sz w:val="24"/>
          <w:szCs w:val="24"/>
        </w:rPr>
        <w:t>Khan</w:t>
      </w:r>
      <w:r w:rsidRPr="00210F47">
        <w:rPr>
          <w:rFonts w:ascii="Times New Roman" w:hAnsi="Times New Roman" w:cs="Times New Roman"/>
          <w:kern w:val="24"/>
          <w:sz w:val="24"/>
          <w:szCs w:val="24"/>
        </w:rPr>
        <w:t xml:space="preserve"> (1994), l’économie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est « </w:t>
      </w:r>
      <w:r w:rsidRPr="00210F47">
        <w:rPr>
          <w:rFonts w:ascii="Times New Roman" w:hAnsi="Times New Roman" w:cs="Times New Roman"/>
          <w:i/>
          <w:iCs/>
          <w:kern w:val="24"/>
          <w:sz w:val="24"/>
          <w:szCs w:val="24"/>
        </w:rPr>
        <w:t>l</w:t>
      </w:r>
      <w:r w:rsidR="00CF2E21" w:rsidRPr="00210F47">
        <w:rPr>
          <w:rFonts w:ascii="Times New Roman" w:hAnsi="Times New Roman" w:cs="Times New Roman"/>
          <w:i/>
          <w:iCs/>
          <w:kern w:val="24"/>
          <w:sz w:val="24"/>
          <w:szCs w:val="24"/>
        </w:rPr>
        <w:t>’étude du f</w:t>
      </w:r>
      <w:r w:rsidRPr="00210F47">
        <w:rPr>
          <w:rFonts w:ascii="Times New Roman" w:hAnsi="Times New Roman" w:cs="Times New Roman"/>
          <w:i/>
          <w:iCs/>
          <w:kern w:val="24"/>
          <w:sz w:val="24"/>
          <w:szCs w:val="24"/>
        </w:rPr>
        <w:t>alah (bien-être) humain que l’on réalise en organisant les ressources de la terre sur la base de la coopération et de la participation</w:t>
      </w:r>
      <w:r w:rsidRPr="00210F47">
        <w:rPr>
          <w:rFonts w:ascii="Times New Roman" w:hAnsi="Times New Roman" w:cs="Times New Roman"/>
          <w:kern w:val="24"/>
          <w:sz w:val="24"/>
          <w:szCs w:val="24"/>
        </w:rPr>
        <w:t> »</w:t>
      </w:r>
      <w:r w:rsidRPr="00210F47">
        <w:rPr>
          <w:rStyle w:val="Appelnotedebasdep"/>
          <w:rFonts w:ascii="Times New Roman" w:hAnsi="Times New Roman"/>
          <w:kern w:val="24"/>
          <w:sz w:val="24"/>
          <w:szCs w:val="24"/>
        </w:rPr>
        <w:footnoteReference w:id="18"/>
      </w:r>
      <w:r w:rsidR="000C28B1" w:rsidRPr="00210F47">
        <w:rPr>
          <w:rFonts w:ascii="Times New Roman" w:hAnsi="Times New Roman" w:cs="Times New Roman"/>
          <w:kern w:val="24"/>
          <w:sz w:val="24"/>
          <w:szCs w:val="24"/>
        </w:rPr>
        <w:t>.</w:t>
      </w:r>
    </w:p>
    <w:p w14:paraId="48B5BD42" w14:textId="77777777" w:rsidR="002760B2" w:rsidRPr="00210F47" w:rsidRDefault="002760B2" w:rsidP="00CB0FF1">
      <w:pPr>
        <w:pStyle w:val="Paragraphedeliste"/>
        <w:numPr>
          <w:ilvl w:val="0"/>
          <w:numId w:val="83"/>
        </w:numPr>
        <w:tabs>
          <w:tab w:val="left" w:pos="0"/>
        </w:tabs>
        <w:spacing w:before="120" w:line="300" w:lineRule="auto"/>
        <w:ind w:left="1135" w:hanging="284"/>
        <w:contextualSpacing w:val="0"/>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Pour </w:t>
      </w:r>
      <w:r w:rsidRPr="00210F47">
        <w:rPr>
          <w:rFonts w:ascii="Times New Roman" w:hAnsi="Times New Roman" w:cs="Times New Roman"/>
          <w:smallCaps/>
          <w:kern w:val="24"/>
          <w:sz w:val="24"/>
          <w:szCs w:val="24"/>
        </w:rPr>
        <w:t>Chapra</w:t>
      </w:r>
      <w:r w:rsidRPr="00210F47">
        <w:rPr>
          <w:rFonts w:ascii="Times New Roman" w:hAnsi="Times New Roman" w:cs="Times New Roman"/>
          <w:kern w:val="24"/>
          <w:sz w:val="24"/>
          <w:szCs w:val="24"/>
        </w:rPr>
        <w:t xml:space="preserve"> (1996), l’économie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est « </w:t>
      </w:r>
      <w:r w:rsidRPr="00210F47">
        <w:rPr>
          <w:rFonts w:ascii="Times New Roman" w:hAnsi="Times New Roman" w:cs="Times New Roman"/>
          <w:i/>
          <w:iCs/>
          <w:kern w:val="24"/>
          <w:sz w:val="24"/>
          <w:szCs w:val="24"/>
        </w:rPr>
        <w:t xml:space="preserve">une branche de connaissance qui contribue à la réalisation du bien-être humain en permettant une affectation et une répartition des ressources limitées, conformes aux enseignements </w:t>
      </w:r>
      <w:r w:rsidR="009E1248" w:rsidRPr="00210F47">
        <w:rPr>
          <w:rFonts w:ascii="Times New Roman" w:hAnsi="Times New Roman" w:cs="Times New Roman"/>
          <w:i/>
          <w:kern w:val="24"/>
          <w:sz w:val="24"/>
          <w:szCs w:val="24"/>
        </w:rPr>
        <w:t>i</w:t>
      </w:r>
      <w:r w:rsidR="003773C6" w:rsidRPr="00210F47">
        <w:rPr>
          <w:rFonts w:ascii="Times New Roman" w:hAnsi="Times New Roman" w:cs="Times New Roman"/>
          <w:i/>
          <w:kern w:val="24"/>
          <w:sz w:val="24"/>
          <w:szCs w:val="24"/>
        </w:rPr>
        <w:t>slamique</w:t>
      </w:r>
      <w:r w:rsidRPr="00210F47">
        <w:rPr>
          <w:rFonts w:ascii="Times New Roman" w:hAnsi="Times New Roman" w:cs="Times New Roman"/>
          <w:i/>
          <w:kern w:val="24"/>
          <w:sz w:val="24"/>
          <w:szCs w:val="24"/>
        </w:rPr>
        <w:t>s</w:t>
      </w:r>
      <w:r w:rsidRPr="00210F47">
        <w:rPr>
          <w:rFonts w:ascii="Times New Roman" w:hAnsi="Times New Roman" w:cs="Times New Roman"/>
          <w:i/>
          <w:iCs/>
          <w:kern w:val="24"/>
          <w:sz w:val="24"/>
          <w:szCs w:val="24"/>
        </w:rPr>
        <w:t xml:space="preserve">, sans </w:t>
      </w:r>
      <w:r w:rsidRPr="00210F47">
        <w:rPr>
          <w:rFonts w:ascii="Times New Roman" w:hAnsi="Times New Roman" w:cs="Times New Roman"/>
          <w:i/>
          <w:iCs/>
          <w:kern w:val="24"/>
          <w:sz w:val="24"/>
          <w:szCs w:val="24"/>
        </w:rPr>
        <w:lastRenderedPageBreak/>
        <w:t>trop limiter la liberté individuelle ou créer des déséquilibres macroéconomiques et écologiques continus</w:t>
      </w:r>
      <w:r w:rsidRPr="00210F47">
        <w:rPr>
          <w:rFonts w:ascii="Times New Roman" w:hAnsi="Times New Roman" w:cs="Times New Roman"/>
          <w:kern w:val="24"/>
          <w:sz w:val="24"/>
          <w:szCs w:val="24"/>
        </w:rPr>
        <w:t> »</w:t>
      </w:r>
      <w:r w:rsidRPr="00210F47">
        <w:rPr>
          <w:rStyle w:val="Appelnotedebasdep"/>
          <w:rFonts w:ascii="Times New Roman" w:hAnsi="Times New Roman"/>
          <w:kern w:val="24"/>
          <w:sz w:val="24"/>
          <w:szCs w:val="24"/>
        </w:rPr>
        <w:footnoteReference w:id="19"/>
      </w:r>
      <w:r w:rsidRPr="00210F47">
        <w:rPr>
          <w:rFonts w:ascii="Times New Roman" w:hAnsi="Times New Roman" w:cs="Times New Roman"/>
          <w:kern w:val="24"/>
          <w:sz w:val="24"/>
          <w:szCs w:val="24"/>
        </w:rPr>
        <w:t>.</w:t>
      </w:r>
    </w:p>
    <w:p w14:paraId="7F2A792B" w14:textId="77777777" w:rsidR="002760B2" w:rsidRPr="00210F47" w:rsidRDefault="002760B2" w:rsidP="00311689">
      <w:pPr>
        <w:tabs>
          <w:tab w:val="left" w:pos="0"/>
        </w:tabs>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D’après ces définitions, la tâche que doit accomplir l’économie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est de réaliser la justice socio-économique, en utilisant les possibilités offertes des ressources matérielles et humaines pour produire le maximum de biens et de services, et en distribuant ces derniers de manière équitable qui satisfait aux besoins de tous les individus.</w:t>
      </w:r>
    </w:p>
    <w:p w14:paraId="1B7771EA" w14:textId="77777777" w:rsidR="002760B2" w:rsidRPr="00210F47" w:rsidRDefault="00CF2E21" w:rsidP="001374DC">
      <w:pPr>
        <w:pStyle w:val="Titre4"/>
        <w:keepNext w:val="0"/>
        <w:spacing w:before="100" w:beforeAutospacing="1" w:after="120" w:line="300" w:lineRule="auto"/>
        <w:ind w:firstLine="709"/>
        <w:rPr>
          <w:rFonts w:cs="Times New Roman"/>
          <w:kern w:val="24"/>
        </w:rPr>
      </w:pPr>
      <w:bookmarkStart w:id="149" w:name="_Toc33263214"/>
      <w:bookmarkStart w:id="150" w:name="_Toc37664466"/>
      <w:bookmarkStart w:id="151" w:name="_Toc37666311"/>
      <w:bookmarkStart w:id="152" w:name="_Toc54363200"/>
      <w:bookmarkStart w:id="153" w:name="_Toc58606216"/>
      <w:bookmarkStart w:id="154" w:name="_Toc61263421"/>
      <w:bookmarkStart w:id="155" w:name="_Toc182298593"/>
      <w:r w:rsidRPr="00210F47">
        <w:rPr>
          <w:rFonts w:cs="Times New Roman"/>
          <w:kern w:val="24"/>
        </w:rPr>
        <w:t xml:space="preserve">1.2.2- </w:t>
      </w:r>
      <w:r w:rsidR="002760B2" w:rsidRPr="00210F47">
        <w:rPr>
          <w:rFonts w:cs="Times New Roman"/>
          <w:kern w:val="24"/>
        </w:rPr>
        <w:t xml:space="preserve">Théorie économique </w:t>
      </w:r>
      <w:r w:rsidR="00AA2221" w:rsidRPr="00210F47">
        <w:rPr>
          <w:rFonts w:cs="Times New Roman"/>
          <w:kern w:val="24"/>
        </w:rPr>
        <w:t>i</w:t>
      </w:r>
      <w:r w:rsidR="003773C6" w:rsidRPr="00210F47">
        <w:rPr>
          <w:rFonts w:cs="Times New Roman"/>
          <w:kern w:val="24"/>
        </w:rPr>
        <w:t>slamique</w:t>
      </w:r>
      <w:r w:rsidR="002760B2" w:rsidRPr="00210F47">
        <w:rPr>
          <w:rFonts w:cs="Times New Roman"/>
          <w:kern w:val="24"/>
        </w:rPr>
        <w:t> : paradigme normatif</w:t>
      </w:r>
      <w:bookmarkEnd w:id="149"/>
      <w:bookmarkEnd w:id="150"/>
      <w:bookmarkEnd w:id="151"/>
      <w:bookmarkEnd w:id="152"/>
      <w:bookmarkEnd w:id="153"/>
      <w:bookmarkEnd w:id="154"/>
      <w:bookmarkEnd w:id="155"/>
    </w:p>
    <w:p w14:paraId="5059EB42" w14:textId="7C0B064D" w:rsidR="002760B2" w:rsidRPr="00210F47" w:rsidRDefault="002760B2" w:rsidP="005E669C">
      <w:pPr>
        <w:tabs>
          <w:tab w:val="left" w:pos="0"/>
        </w:tabs>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Le paradigme de l’économie </w:t>
      </w:r>
      <w:r w:rsidR="00AA2221"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a pour objectif de réaliser la justice socio-économique (</w:t>
      </w:r>
      <w:r w:rsidRPr="00210F47">
        <w:rPr>
          <w:rFonts w:ascii="Times New Roman" w:hAnsi="Times New Roman" w:cs="Times New Roman"/>
          <w:smallCaps/>
          <w:kern w:val="24"/>
          <w:sz w:val="24"/>
          <w:szCs w:val="24"/>
        </w:rPr>
        <w:t>Chapra</w:t>
      </w:r>
      <w:r w:rsidRPr="00210F47">
        <w:rPr>
          <w:rFonts w:ascii="Times New Roman" w:hAnsi="Times New Roman" w:cs="Times New Roman"/>
          <w:kern w:val="24"/>
          <w:sz w:val="24"/>
          <w:szCs w:val="24"/>
        </w:rPr>
        <w:t>, 1996)</w:t>
      </w:r>
      <w:r w:rsidRPr="00210F47">
        <w:rPr>
          <w:rStyle w:val="Appelnotedebasdep"/>
          <w:rFonts w:ascii="Times New Roman" w:hAnsi="Times New Roman"/>
          <w:kern w:val="24"/>
          <w:sz w:val="24"/>
          <w:szCs w:val="24"/>
        </w:rPr>
        <w:footnoteReference w:id="20"/>
      </w:r>
      <w:r w:rsidRPr="00210F47">
        <w:rPr>
          <w:rFonts w:ascii="Times New Roman" w:hAnsi="Times New Roman" w:cs="Times New Roman"/>
          <w:kern w:val="24"/>
          <w:sz w:val="24"/>
          <w:szCs w:val="24"/>
        </w:rPr>
        <w:t>.</w:t>
      </w:r>
      <w:r w:rsidR="008F3EAB" w:rsidRPr="00210F47">
        <w:rPr>
          <w:rFonts w:ascii="Times New Roman" w:hAnsi="Times New Roman" w:cs="Times New Roman"/>
          <w:kern w:val="24"/>
          <w:sz w:val="24"/>
          <w:szCs w:val="24"/>
        </w:rPr>
        <w:t xml:space="preserve"> </w:t>
      </w:r>
      <w:r w:rsidR="005E669C" w:rsidRPr="00210F47">
        <w:rPr>
          <w:rFonts w:ascii="Times New Roman" w:hAnsi="Times New Roman" w:cs="Times New Roman"/>
          <w:kern w:val="24"/>
          <w:sz w:val="24"/>
          <w:szCs w:val="24"/>
        </w:rPr>
        <w:t>Contrairement au paradigme classique</w:t>
      </w:r>
      <w:r w:rsidRPr="00210F47">
        <w:rPr>
          <w:rFonts w:ascii="Times New Roman" w:hAnsi="Times New Roman" w:cs="Times New Roman"/>
          <w:kern w:val="24"/>
          <w:sz w:val="24"/>
          <w:szCs w:val="24"/>
        </w:rPr>
        <w:t xml:space="preserve"> du marché, ce</w:t>
      </w:r>
      <w:r w:rsidR="00210F47">
        <w:rPr>
          <w:rFonts w:ascii="Times New Roman" w:hAnsi="Times New Roman" w:cs="Times New Roman"/>
          <w:kern w:val="24"/>
          <w:sz w:val="24"/>
          <w:szCs w:val="24"/>
        </w:rPr>
        <w:t>lui-là</w:t>
      </w:r>
      <w:r w:rsidRPr="00210F47">
        <w:rPr>
          <w:rFonts w:ascii="Times New Roman" w:hAnsi="Times New Roman" w:cs="Times New Roman"/>
          <w:kern w:val="24"/>
          <w:sz w:val="24"/>
          <w:szCs w:val="24"/>
        </w:rPr>
        <w:t xml:space="preserve"> considère que le bien-être humain ne dépend pas essentiellement de la maximisation de la richesse et de la consommation, mais, il nécessite une satisfaction équilibrée des besoins tant matériels que spirituels de la personnalité humaine. </w:t>
      </w:r>
      <w:r w:rsidR="00210F47">
        <w:rPr>
          <w:rFonts w:ascii="Times New Roman" w:hAnsi="Times New Roman" w:cs="Times New Roman"/>
          <w:kern w:val="24"/>
          <w:sz w:val="24"/>
          <w:szCs w:val="24"/>
        </w:rPr>
        <w:t>S</w:t>
      </w:r>
      <w:r w:rsidR="00210F47" w:rsidRPr="00210F47">
        <w:rPr>
          <w:rFonts w:ascii="Times New Roman" w:hAnsi="Times New Roman" w:cs="Times New Roman"/>
          <w:kern w:val="24"/>
          <w:sz w:val="24"/>
          <w:szCs w:val="24"/>
        </w:rPr>
        <w:t>elon ce paradigme</w:t>
      </w:r>
      <w:r w:rsidR="00210F47">
        <w:rPr>
          <w:rFonts w:ascii="Times New Roman" w:hAnsi="Times New Roman" w:cs="Times New Roman"/>
          <w:kern w:val="24"/>
          <w:sz w:val="24"/>
          <w:szCs w:val="24"/>
        </w:rPr>
        <w:t>,</w:t>
      </w:r>
      <w:r w:rsidR="00210F47" w:rsidRPr="00210F47">
        <w:rPr>
          <w:rFonts w:ascii="Times New Roman" w:hAnsi="Times New Roman" w:cs="Times New Roman"/>
          <w:kern w:val="24"/>
          <w:sz w:val="24"/>
          <w:szCs w:val="24"/>
        </w:rPr>
        <w:t xml:space="preserve"> </w:t>
      </w:r>
      <w:r w:rsidR="00210F47">
        <w:rPr>
          <w:rFonts w:ascii="Times New Roman" w:hAnsi="Times New Roman" w:cs="Times New Roman"/>
          <w:kern w:val="24"/>
          <w:sz w:val="24"/>
          <w:szCs w:val="24"/>
        </w:rPr>
        <w:t>l</w:t>
      </w:r>
      <w:r w:rsidRPr="00210F47">
        <w:rPr>
          <w:rFonts w:ascii="Times New Roman" w:hAnsi="Times New Roman" w:cs="Times New Roman"/>
          <w:kern w:val="24"/>
          <w:sz w:val="24"/>
          <w:szCs w:val="24"/>
        </w:rPr>
        <w:t>e comportement idéal, , demande la poursuite de l’intérêt personnel dans le cadre de la contrainte de l’intérêt général de la société en passant par le filtre des valeurs morales.</w:t>
      </w:r>
    </w:p>
    <w:p w14:paraId="24A3273C" w14:textId="77777777" w:rsidR="002760B2" w:rsidRPr="00210F47" w:rsidRDefault="002760B2" w:rsidP="00311689">
      <w:pPr>
        <w:tabs>
          <w:tab w:val="left" w:pos="0"/>
        </w:tabs>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L’utilisation du filtre moral dans le paradigme de l’économie </w:t>
      </w:r>
      <w:r w:rsidR="00AA2221"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n’exige pas le rejet du rôle important joué par les prix et les marchés, mais elle complète ce rôle à travers l’harmonisation entre l’intérêt personnel et l’intérêt social. Ceci nécessite le changement des préférences individuelles en fonction des priorités sociales afin de réaliser les buts normatifs, tout en respectant les préceptes </w:t>
      </w:r>
      <w:r w:rsidR="00AA2221"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s</w:t>
      </w:r>
      <w:r w:rsidRPr="00210F47">
        <w:rPr>
          <w:rStyle w:val="Appelnotedebasdep"/>
          <w:rFonts w:ascii="Times New Roman" w:hAnsi="Times New Roman"/>
          <w:kern w:val="24"/>
          <w:sz w:val="24"/>
          <w:szCs w:val="24"/>
        </w:rPr>
        <w:footnoteReference w:id="21"/>
      </w:r>
      <w:r w:rsidR="009E1248" w:rsidRPr="00210F47">
        <w:rPr>
          <w:rFonts w:ascii="Times New Roman" w:hAnsi="Times New Roman" w:cs="Times New Roman"/>
          <w:kern w:val="24"/>
          <w:sz w:val="24"/>
          <w:szCs w:val="24"/>
        </w:rPr>
        <w:t>.</w:t>
      </w:r>
    </w:p>
    <w:p w14:paraId="2224DDA0" w14:textId="22E9C453" w:rsidR="002760B2" w:rsidRPr="00210F47" w:rsidRDefault="002760B2" w:rsidP="00311689">
      <w:pPr>
        <w:tabs>
          <w:tab w:val="left" w:pos="0"/>
        </w:tabs>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Cependant, il existe un problème de motivation du fait que certains individus et notamment les riches peuvent refuser ce paradigme, si cela nui</w:t>
      </w:r>
      <w:r w:rsidR="00210F47">
        <w:rPr>
          <w:rFonts w:ascii="Times New Roman" w:hAnsi="Times New Roman" w:cs="Times New Roman"/>
          <w:kern w:val="24"/>
          <w:sz w:val="24"/>
          <w:szCs w:val="24"/>
        </w:rPr>
        <w:t>r</w:t>
      </w:r>
      <w:r w:rsidRPr="00210F47">
        <w:rPr>
          <w:rFonts w:ascii="Times New Roman" w:hAnsi="Times New Roman" w:cs="Times New Roman"/>
          <w:kern w:val="24"/>
          <w:sz w:val="24"/>
          <w:szCs w:val="24"/>
        </w:rPr>
        <w:t xml:space="preserve">ait </w:t>
      </w:r>
      <w:r w:rsidR="00210F47">
        <w:rPr>
          <w:rFonts w:ascii="Times New Roman" w:hAnsi="Times New Roman" w:cs="Times New Roman"/>
          <w:kern w:val="24"/>
          <w:sz w:val="24"/>
          <w:szCs w:val="24"/>
        </w:rPr>
        <w:t xml:space="preserve">à </w:t>
      </w:r>
      <w:r w:rsidRPr="00210F47">
        <w:rPr>
          <w:rFonts w:ascii="Times New Roman" w:hAnsi="Times New Roman" w:cs="Times New Roman"/>
          <w:kern w:val="24"/>
          <w:sz w:val="24"/>
          <w:szCs w:val="24"/>
        </w:rPr>
        <w:t>leur intérêt personnel. Donc, comment l’</w:t>
      </w:r>
      <w:r w:rsidR="00F34669" w:rsidRPr="00210F47">
        <w:rPr>
          <w:rFonts w:ascii="Times New Roman" w:hAnsi="Times New Roman" w:cs="Times New Roman"/>
          <w:kern w:val="24"/>
          <w:sz w:val="24"/>
          <w:szCs w:val="24"/>
        </w:rPr>
        <w:t>Islam</w:t>
      </w:r>
      <w:r w:rsidRPr="00210F47">
        <w:rPr>
          <w:rFonts w:ascii="Times New Roman" w:hAnsi="Times New Roman" w:cs="Times New Roman"/>
          <w:kern w:val="24"/>
          <w:sz w:val="24"/>
          <w:szCs w:val="24"/>
        </w:rPr>
        <w:t xml:space="preserve"> incite-t-il les individus à poursuivre leur intérêt personnel dans le cadre de la réalisation de l’intérêt social ? L’</w:t>
      </w:r>
      <w:r w:rsidR="00F34669" w:rsidRPr="00210F47">
        <w:rPr>
          <w:rFonts w:ascii="Times New Roman" w:hAnsi="Times New Roman" w:cs="Times New Roman"/>
          <w:kern w:val="24"/>
          <w:sz w:val="24"/>
          <w:szCs w:val="24"/>
        </w:rPr>
        <w:t>Islam</w:t>
      </w:r>
      <w:r w:rsidRPr="00210F47">
        <w:rPr>
          <w:rFonts w:ascii="Times New Roman" w:hAnsi="Times New Roman" w:cs="Times New Roman"/>
          <w:kern w:val="24"/>
          <w:sz w:val="24"/>
          <w:szCs w:val="24"/>
        </w:rPr>
        <w:t xml:space="preserve"> tente de combler cette tâche en plaçant l’intérêt individuel dans une perspective à long terme </w:t>
      </w:r>
      <w:r w:rsidR="00544FF9">
        <w:rPr>
          <w:rFonts w:ascii="Times New Roman" w:hAnsi="Times New Roman" w:cs="Times New Roman"/>
          <w:kern w:val="24"/>
          <w:sz w:val="24"/>
          <w:szCs w:val="24"/>
        </w:rPr>
        <w:t>d</w:t>
      </w:r>
      <w:r w:rsidR="00210F47">
        <w:rPr>
          <w:rFonts w:ascii="Times New Roman" w:hAnsi="Times New Roman" w:cs="Times New Roman"/>
          <w:kern w:val="24"/>
          <w:sz w:val="24"/>
          <w:szCs w:val="24"/>
        </w:rPr>
        <w:t>ans</w:t>
      </w:r>
      <w:r w:rsidRPr="00210F47">
        <w:rPr>
          <w:rFonts w:ascii="Times New Roman" w:hAnsi="Times New Roman" w:cs="Times New Roman"/>
          <w:kern w:val="24"/>
          <w:sz w:val="24"/>
          <w:szCs w:val="24"/>
        </w:rPr>
        <w:t xml:space="preserve"> </w:t>
      </w:r>
      <w:r w:rsidR="00544FF9">
        <w:rPr>
          <w:rFonts w:ascii="Times New Roman" w:hAnsi="Times New Roman" w:cs="Times New Roman"/>
          <w:kern w:val="24"/>
          <w:sz w:val="24"/>
          <w:szCs w:val="24"/>
        </w:rPr>
        <w:t>laquelle</w:t>
      </w:r>
      <w:r w:rsidRPr="00210F47">
        <w:rPr>
          <w:rFonts w:ascii="Times New Roman" w:hAnsi="Times New Roman" w:cs="Times New Roman"/>
          <w:kern w:val="24"/>
          <w:sz w:val="24"/>
          <w:szCs w:val="24"/>
        </w:rPr>
        <w:t xml:space="preserve"> l’individu </w:t>
      </w:r>
      <w:r w:rsidR="00544FF9">
        <w:rPr>
          <w:rFonts w:ascii="Times New Roman" w:hAnsi="Times New Roman" w:cs="Times New Roman"/>
          <w:kern w:val="24"/>
          <w:sz w:val="24"/>
          <w:szCs w:val="24"/>
        </w:rPr>
        <w:t xml:space="preserve">est responsable </w:t>
      </w:r>
      <w:r w:rsidRPr="00210F47">
        <w:rPr>
          <w:rFonts w:ascii="Times New Roman" w:hAnsi="Times New Roman" w:cs="Times New Roman"/>
          <w:kern w:val="24"/>
          <w:sz w:val="24"/>
          <w:szCs w:val="24"/>
        </w:rPr>
        <w:t xml:space="preserve">devant </w:t>
      </w:r>
      <w:r w:rsidRPr="00210F47">
        <w:rPr>
          <w:rFonts w:ascii="Times New Roman" w:hAnsi="Times New Roman" w:cs="Times New Roman"/>
          <w:i/>
          <w:iCs/>
          <w:kern w:val="24"/>
          <w:sz w:val="24"/>
          <w:szCs w:val="24"/>
        </w:rPr>
        <w:t>Allah</w:t>
      </w:r>
      <w:r w:rsidRPr="00210F47">
        <w:rPr>
          <w:rFonts w:ascii="Times New Roman" w:hAnsi="Times New Roman" w:cs="Times New Roman"/>
          <w:kern w:val="24"/>
          <w:sz w:val="24"/>
          <w:szCs w:val="24"/>
        </w:rPr>
        <w:t xml:space="preserve"> qui guide </w:t>
      </w:r>
      <w:r w:rsidR="00210F47">
        <w:rPr>
          <w:rFonts w:ascii="Times New Roman" w:hAnsi="Times New Roman" w:cs="Times New Roman"/>
          <w:kern w:val="24"/>
          <w:sz w:val="24"/>
          <w:szCs w:val="24"/>
        </w:rPr>
        <w:t>s</w:t>
      </w:r>
      <w:r w:rsidRPr="00210F47">
        <w:rPr>
          <w:rFonts w:ascii="Times New Roman" w:hAnsi="Times New Roman" w:cs="Times New Roman"/>
          <w:kern w:val="24"/>
          <w:sz w:val="24"/>
          <w:szCs w:val="24"/>
        </w:rPr>
        <w:t xml:space="preserve">es motivations à maintenir volontairement </w:t>
      </w:r>
      <w:r w:rsidR="00210F47">
        <w:rPr>
          <w:rFonts w:ascii="Times New Roman" w:hAnsi="Times New Roman" w:cs="Times New Roman"/>
          <w:kern w:val="24"/>
          <w:sz w:val="24"/>
          <w:szCs w:val="24"/>
        </w:rPr>
        <w:t>ses</w:t>
      </w:r>
      <w:r w:rsidRPr="00210F47">
        <w:rPr>
          <w:rFonts w:ascii="Times New Roman" w:hAnsi="Times New Roman" w:cs="Times New Roman"/>
          <w:kern w:val="24"/>
          <w:sz w:val="24"/>
          <w:szCs w:val="24"/>
        </w:rPr>
        <w:t xml:space="preserve"> prétentions aux ressources en respectant le bien-être général</w:t>
      </w:r>
      <w:r w:rsidR="00210F47">
        <w:rPr>
          <w:rFonts w:ascii="Times New Roman" w:hAnsi="Times New Roman" w:cs="Times New Roman"/>
          <w:kern w:val="24"/>
          <w:sz w:val="24"/>
          <w:szCs w:val="24"/>
        </w:rPr>
        <w:t>.</w:t>
      </w:r>
      <w:r w:rsidRPr="00210F47">
        <w:rPr>
          <w:rFonts w:ascii="Times New Roman" w:hAnsi="Times New Roman" w:cs="Times New Roman"/>
          <w:kern w:val="24"/>
          <w:sz w:val="24"/>
          <w:szCs w:val="24"/>
        </w:rPr>
        <w:t xml:space="preserve"> </w:t>
      </w:r>
      <w:r w:rsidR="00210F47" w:rsidRPr="00210F47">
        <w:rPr>
          <w:rFonts w:ascii="Times New Roman" w:hAnsi="Times New Roman" w:cs="Times New Roman"/>
          <w:kern w:val="24"/>
          <w:sz w:val="24"/>
          <w:szCs w:val="24"/>
        </w:rPr>
        <w:t>Ce</w:t>
      </w:r>
      <w:r w:rsidRPr="00210F47">
        <w:rPr>
          <w:rFonts w:ascii="Times New Roman" w:hAnsi="Times New Roman" w:cs="Times New Roman"/>
          <w:kern w:val="24"/>
          <w:sz w:val="24"/>
          <w:szCs w:val="24"/>
        </w:rPr>
        <w:t xml:space="preserve"> qui crée une harmonie entre l’intérêt individuel et l’intérêt social, même si les deux se trouvent en conflit.</w:t>
      </w:r>
    </w:p>
    <w:p w14:paraId="7B56F8C5" w14:textId="77777777" w:rsidR="002760B2" w:rsidRPr="00210F47" w:rsidRDefault="002760B2" w:rsidP="00311689">
      <w:pPr>
        <w:tabs>
          <w:tab w:val="left" w:pos="0"/>
        </w:tabs>
        <w:autoSpaceDE w:val="0"/>
        <w:autoSpaceDN w:val="0"/>
        <w:adjustRightInd w:val="0"/>
        <w:spacing w:before="120" w:line="300" w:lineRule="auto"/>
        <w:ind w:firstLine="709"/>
        <w:rPr>
          <w:rFonts w:ascii="Times New Roman" w:eastAsia="Code2000" w:hAnsi="Times New Roman" w:cs="Times New Roman"/>
          <w:kern w:val="24"/>
          <w:sz w:val="24"/>
          <w:szCs w:val="24"/>
        </w:rPr>
      </w:pPr>
      <w:r w:rsidRPr="00210F47">
        <w:rPr>
          <w:rFonts w:ascii="Times New Roman" w:eastAsia="Code2000" w:hAnsi="Times New Roman" w:cs="Times New Roman"/>
          <w:kern w:val="24"/>
          <w:sz w:val="24"/>
          <w:szCs w:val="24"/>
        </w:rPr>
        <w:t xml:space="preserve">Un certain nombre de fondements éthiques de l'économie </w:t>
      </w:r>
      <w:r w:rsidR="009E1248" w:rsidRPr="00210F47">
        <w:rPr>
          <w:rFonts w:ascii="Times New Roman" w:eastAsia="Code2000" w:hAnsi="Times New Roman" w:cs="Times New Roman"/>
          <w:kern w:val="24"/>
          <w:sz w:val="24"/>
          <w:szCs w:val="24"/>
        </w:rPr>
        <w:t>i</w:t>
      </w:r>
      <w:r w:rsidR="003773C6" w:rsidRPr="00210F47">
        <w:rPr>
          <w:rFonts w:ascii="Times New Roman" w:eastAsia="Code2000" w:hAnsi="Times New Roman" w:cs="Times New Roman"/>
          <w:kern w:val="24"/>
          <w:sz w:val="24"/>
          <w:szCs w:val="24"/>
        </w:rPr>
        <w:t>slamique</w:t>
      </w:r>
      <w:r w:rsidR="008F3EAB" w:rsidRPr="00210F47">
        <w:rPr>
          <w:rFonts w:ascii="Times New Roman" w:eastAsia="Code2000" w:hAnsi="Times New Roman" w:cs="Times New Roman"/>
          <w:kern w:val="24"/>
          <w:sz w:val="24"/>
          <w:szCs w:val="24"/>
        </w:rPr>
        <w:t xml:space="preserve"> peuvent être résumés.</w:t>
      </w:r>
    </w:p>
    <w:p w14:paraId="52929FDE" w14:textId="07A71B6E" w:rsidR="002760B2" w:rsidRPr="00210F47" w:rsidRDefault="008F3EAB" w:rsidP="00236A71">
      <w:pPr>
        <w:pStyle w:val="Titre5"/>
        <w:keepNext w:val="0"/>
        <w:keepLines w:val="0"/>
        <w:spacing w:before="120" w:after="120" w:line="300" w:lineRule="auto"/>
        <w:ind w:firstLine="709"/>
        <w:rPr>
          <w:rFonts w:ascii="Times New Roman" w:eastAsia="Code2000" w:hAnsi="Times New Roman" w:cs="Times New Roman"/>
          <w:b/>
          <w:bCs/>
          <w:color w:val="auto"/>
          <w:kern w:val="24"/>
          <w:sz w:val="24"/>
          <w:szCs w:val="24"/>
        </w:rPr>
      </w:pPr>
      <w:bookmarkStart w:id="156" w:name="_Toc182298594"/>
      <w:r w:rsidRPr="00210F47">
        <w:rPr>
          <w:rFonts w:ascii="Times New Roman" w:hAnsi="Times New Roman" w:cs="Times New Roman"/>
          <w:b/>
          <w:bCs/>
          <w:color w:val="auto"/>
          <w:kern w:val="24"/>
          <w:sz w:val="24"/>
          <w:szCs w:val="24"/>
        </w:rPr>
        <w:t xml:space="preserve">1.2.2.1- </w:t>
      </w:r>
      <w:r w:rsidR="00E20F12">
        <w:rPr>
          <w:rFonts w:ascii="Times New Roman" w:hAnsi="Times New Roman" w:cs="Times New Roman"/>
          <w:b/>
          <w:bCs/>
          <w:color w:val="auto"/>
          <w:kern w:val="24"/>
          <w:sz w:val="24"/>
          <w:szCs w:val="24"/>
        </w:rPr>
        <w:t>R</w:t>
      </w:r>
      <w:r w:rsidR="002760B2" w:rsidRPr="00210F47">
        <w:rPr>
          <w:rFonts w:ascii="Times New Roman" w:hAnsi="Times New Roman" w:cs="Times New Roman"/>
          <w:b/>
          <w:bCs/>
          <w:color w:val="auto"/>
          <w:kern w:val="24"/>
          <w:sz w:val="24"/>
          <w:szCs w:val="24"/>
        </w:rPr>
        <w:t>ationalité économique humaine</w:t>
      </w:r>
      <w:bookmarkEnd w:id="156"/>
    </w:p>
    <w:p w14:paraId="5E0BDCB1" w14:textId="77777777" w:rsidR="002760B2" w:rsidRPr="00210F47" w:rsidRDefault="002760B2" w:rsidP="00311689">
      <w:pPr>
        <w:tabs>
          <w:tab w:val="left" w:pos="0"/>
        </w:tabs>
        <w:autoSpaceDE w:val="0"/>
        <w:autoSpaceDN w:val="0"/>
        <w:adjustRightInd w:val="0"/>
        <w:spacing w:before="120" w:line="300" w:lineRule="auto"/>
        <w:ind w:firstLine="709"/>
        <w:rPr>
          <w:rFonts w:ascii="Times New Roman" w:eastAsia="Code2000" w:hAnsi="Times New Roman" w:cs="Times New Roman"/>
          <w:kern w:val="24"/>
          <w:sz w:val="24"/>
          <w:szCs w:val="24"/>
        </w:rPr>
      </w:pPr>
      <w:r w:rsidRPr="00210F47">
        <w:rPr>
          <w:rFonts w:ascii="Times New Roman" w:eastAsia="Code2000" w:hAnsi="Times New Roman" w:cs="Times New Roman"/>
          <w:kern w:val="24"/>
          <w:sz w:val="24"/>
          <w:szCs w:val="24"/>
        </w:rPr>
        <w:t>Le modèle économique conventionnel cherche à étudier le comportement de l’homme économique (</w:t>
      </w:r>
      <w:r w:rsidRPr="00210F47">
        <w:rPr>
          <w:rFonts w:ascii="Times New Roman" w:eastAsia="Code2000" w:hAnsi="Times New Roman" w:cs="Times New Roman"/>
          <w:i/>
          <w:iCs/>
          <w:kern w:val="24"/>
          <w:sz w:val="24"/>
          <w:szCs w:val="24"/>
        </w:rPr>
        <w:t xml:space="preserve">homos </w:t>
      </w:r>
      <w:r w:rsidR="005A54CF" w:rsidRPr="00210F47">
        <w:rPr>
          <w:rFonts w:ascii="Times New Roman" w:eastAsia="Code2000" w:hAnsi="Times New Roman" w:cs="Times New Roman"/>
          <w:i/>
          <w:iCs/>
          <w:kern w:val="24"/>
          <w:sz w:val="24"/>
          <w:szCs w:val="24"/>
        </w:rPr>
        <w:t>œc</w:t>
      </w:r>
      <w:r w:rsidRPr="00210F47">
        <w:rPr>
          <w:rFonts w:ascii="Times New Roman" w:eastAsia="Code2000" w:hAnsi="Times New Roman" w:cs="Times New Roman"/>
          <w:i/>
          <w:iCs/>
          <w:kern w:val="24"/>
          <w:sz w:val="24"/>
          <w:szCs w:val="24"/>
        </w:rPr>
        <w:t>onomicus</w:t>
      </w:r>
      <w:r w:rsidRPr="00210F47">
        <w:rPr>
          <w:rFonts w:ascii="Times New Roman" w:eastAsia="Code2000" w:hAnsi="Times New Roman" w:cs="Times New Roman"/>
          <w:kern w:val="24"/>
          <w:sz w:val="24"/>
          <w:szCs w:val="24"/>
        </w:rPr>
        <w:t xml:space="preserve">). </w:t>
      </w:r>
      <w:r w:rsidRPr="00210F47">
        <w:rPr>
          <w:rFonts w:ascii="Times New Roman" w:hAnsi="Times New Roman" w:cs="Times New Roman"/>
          <w:kern w:val="24"/>
          <w:sz w:val="24"/>
          <w:szCs w:val="24"/>
        </w:rPr>
        <w:t xml:space="preserve">Ce comportement est supposé être rationnel, et cette rationalité incite l’homme économique à orienter ces actions vers la satisfaction de l’intérêt personnel. D’un côté, le producteur voudra toujours maximiser son profit, soit en maximisant </w:t>
      </w:r>
      <w:r w:rsidRPr="00210F47">
        <w:rPr>
          <w:rFonts w:ascii="Times New Roman" w:hAnsi="Times New Roman" w:cs="Times New Roman"/>
          <w:kern w:val="24"/>
          <w:sz w:val="24"/>
          <w:szCs w:val="24"/>
        </w:rPr>
        <w:lastRenderedPageBreak/>
        <w:t>sa production, soit en minimisant ses coûts. De l’autre côté, le consommateur optera pour la maximisation de son utilité.</w:t>
      </w:r>
    </w:p>
    <w:p w14:paraId="081E525D" w14:textId="77777777" w:rsidR="002760B2" w:rsidRPr="007F1103" w:rsidRDefault="007B334A" w:rsidP="009E1248">
      <w:pPr>
        <w:pStyle w:val="Default"/>
        <w:tabs>
          <w:tab w:val="left" w:pos="0"/>
        </w:tabs>
        <w:spacing w:before="120" w:line="300" w:lineRule="auto"/>
        <w:ind w:firstLine="709"/>
        <w:rPr>
          <w:color w:val="auto"/>
          <w:spacing w:val="-2"/>
          <w:kern w:val="24"/>
        </w:rPr>
      </w:pPr>
      <w:r w:rsidRPr="007F1103">
        <w:rPr>
          <w:spacing w:val="-2"/>
          <w:kern w:val="24"/>
        </w:rPr>
        <w:t xml:space="preserve">Ce concept de </w:t>
      </w:r>
      <w:r w:rsidR="002760B2" w:rsidRPr="007F1103">
        <w:rPr>
          <w:i/>
          <w:iCs/>
          <w:spacing w:val="-2"/>
          <w:kern w:val="24"/>
        </w:rPr>
        <w:t>l’homme économique rationnel</w:t>
      </w:r>
      <w:r w:rsidR="002760B2" w:rsidRPr="007F1103">
        <w:rPr>
          <w:spacing w:val="-2"/>
          <w:kern w:val="24"/>
        </w:rPr>
        <w:t xml:space="preserve"> qui sert à satisfaire l’intérêt personnel n’est pas acceptable par l’</w:t>
      </w:r>
      <w:r w:rsidR="00F34669" w:rsidRPr="007F1103">
        <w:rPr>
          <w:spacing w:val="-2"/>
          <w:kern w:val="24"/>
        </w:rPr>
        <w:t>Islam</w:t>
      </w:r>
      <w:r w:rsidR="002760B2" w:rsidRPr="007F1103">
        <w:rPr>
          <w:spacing w:val="-2"/>
          <w:kern w:val="24"/>
        </w:rPr>
        <w:t>.</w:t>
      </w:r>
      <w:r w:rsidR="009E1248" w:rsidRPr="007F1103">
        <w:rPr>
          <w:spacing w:val="-2"/>
          <w:kern w:val="24"/>
        </w:rPr>
        <w:t xml:space="preserve"> D</w:t>
      </w:r>
      <w:r w:rsidR="002760B2" w:rsidRPr="007F1103">
        <w:rPr>
          <w:spacing w:val="-2"/>
          <w:kern w:val="24"/>
        </w:rPr>
        <w:t xml:space="preserve">ans l’économie </w:t>
      </w:r>
      <w:r w:rsidR="009E1248" w:rsidRPr="007F1103">
        <w:rPr>
          <w:spacing w:val="-2"/>
          <w:kern w:val="24"/>
        </w:rPr>
        <w:t>i</w:t>
      </w:r>
      <w:r w:rsidR="003773C6" w:rsidRPr="007F1103">
        <w:rPr>
          <w:spacing w:val="-2"/>
          <w:kern w:val="24"/>
        </w:rPr>
        <w:t>slamique</w:t>
      </w:r>
      <w:r w:rsidR="002760B2" w:rsidRPr="007F1103">
        <w:rPr>
          <w:spacing w:val="-2"/>
          <w:kern w:val="24"/>
        </w:rPr>
        <w:t xml:space="preserve">, </w:t>
      </w:r>
      <w:r w:rsidR="009E1248" w:rsidRPr="007F1103">
        <w:rPr>
          <w:spacing w:val="-2"/>
          <w:kern w:val="24"/>
        </w:rPr>
        <w:t xml:space="preserve">la rationalité </w:t>
      </w:r>
      <w:r w:rsidR="002760B2" w:rsidRPr="007F1103">
        <w:rPr>
          <w:spacing w:val="-2"/>
          <w:kern w:val="24"/>
        </w:rPr>
        <w:t xml:space="preserve">ne se limite pas juste à la satisfaction de l’intérêt personnel dans la vie quotidienne, mais elle est également étendue à l’au-delà en respectant les valeurs morales qui aident à freiner l’intérêt personnel et à promouvoir l’intérêt social. </w:t>
      </w:r>
      <w:r w:rsidR="002760B2" w:rsidRPr="007F1103">
        <w:rPr>
          <w:smallCaps/>
          <w:color w:val="auto"/>
          <w:spacing w:val="-2"/>
          <w:kern w:val="24"/>
        </w:rPr>
        <w:t>Chapra</w:t>
      </w:r>
      <w:r w:rsidR="002760B2" w:rsidRPr="007F1103">
        <w:rPr>
          <w:color w:val="auto"/>
          <w:spacing w:val="-2"/>
          <w:kern w:val="24"/>
        </w:rPr>
        <w:t xml:space="preserve"> (2000) ajoute : </w:t>
      </w:r>
      <w:r w:rsidR="00F67FA7" w:rsidRPr="007F1103">
        <w:rPr>
          <w:spacing w:val="-2"/>
          <w:kern w:val="24"/>
        </w:rPr>
        <w:t>« </w:t>
      </w:r>
      <w:r w:rsidR="002760B2" w:rsidRPr="007F1103">
        <w:rPr>
          <w:i/>
          <w:iCs/>
          <w:spacing w:val="-2"/>
          <w:kern w:val="24"/>
        </w:rPr>
        <w:t>L’</w:t>
      </w:r>
      <w:r w:rsidR="00F34669" w:rsidRPr="007F1103">
        <w:rPr>
          <w:i/>
          <w:iCs/>
          <w:spacing w:val="-2"/>
          <w:kern w:val="24"/>
        </w:rPr>
        <w:t>Islam</w:t>
      </w:r>
      <w:r w:rsidR="002760B2" w:rsidRPr="007F1103">
        <w:rPr>
          <w:i/>
          <w:iCs/>
          <w:spacing w:val="-2"/>
          <w:kern w:val="24"/>
        </w:rPr>
        <w:t xml:space="preserve"> place l’intérêt personnel dans une perspective de long terme dépassant la vie de ce monde et atteignant l’au-delà. Un individu peut servir son propre intérêt par l’égoïsme dans l’utilisation des </w:t>
      </w:r>
      <w:r w:rsidR="002760B2" w:rsidRPr="007F1103">
        <w:rPr>
          <w:i/>
          <w:iCs/>
          <w:color w:val="auto"/>
          <w:spacing w:val="-2"/>
          <w:kern w:val="24"/>
        </w:rPr>
        <w:t>ressources, mais il ne peut servir son intérêt individuel dans l’au-delà qu’en s’acquittant de ses obligations sociales</w:t>
      </w:r>
      <w:r w:rsidR="00F67FA7" w:rsidRPr="007F1103">
        <w:rPr>
          <w:color w:val="auto"/>
          <w:spacing w:val="-2"/>
          <w:kern w:val="24"/>
        </w:rPr>
        <w:t> »</w:t>
      </w:r>
      <w:r w:rsidR="002760B2" w:rsidRPr="007F1103">
        <w:rPr>
          <w:rStyle w:val="Appelnotedebasdep"/>
          <w:color w:val="auto"/>
          <w:spacing w:val="-2"/>
          <w:kern w:val="24"/>
        </w:rPr>
        <w:footnoteReference w:id="22"/>
      </w:r>
      <w:r w:rsidR="002760B2" w:rsidRPr="007F1103">
        <w:rPr>
          <w:color w:val="auto"/>
          <w:spacing w:val="-2"/>
          <w:kern w:val="24"/>
        </w:rPr>
        <w:t>.</w:t>
      </w:r>
    </w:p>
    <w:p w14:paraId="0E4A6805" w14:textId="77777777" w:rsidR="002760B2" w:rsidRPr="00210F47" w:rsidRDefault="002760B2" w:rsidP="00311689">
      <w:pPr>
        <w:pStyle w:val="Default"/>
        <w:tabs>
          <w:tab w:val="left" w:pos="0"/>
        </w:tabs>
        <w:spacing w:before="120" w:line="300" w:lineRule="auto"/>
        <w:ind w:firstLine="709"/>
        <w:rPr>
          <w:kern w:val="24"/>
        </w:rPr>
      </w:pPr>
      <w:r w:rsidRPr="00210F47">
        <w:rPr>
          <w:color w:val="auto"/>
          <w:kern w:val="24"/>
        </w:rPr>
        <w:t xml:space="preserve">D’autres savants musulmans comme </w:t>
      </w:r>
      <w:r w:rsidRPr="00210F47">
        <w:rPr>
          <w:smallCaps/>
          <w:kern w:val="24"/>
        </w:rPr>
        <w:t>AL-Mawardi</w:t>
      </w:r>
      <w:r w:rsidRPr="00210F47">
        <w:rPr>
          <w:kern w:val="24"/>
        </w:rPr>
        <w:t xml:space="preserve"> (974-1058) et </w:t>
      </w:r>
      <w:r w:rsidRPr="00210F47">
        <w:rPr>
          <w:smallCaps/>
          <w:kern w:val="24"/>
        </w:rPr>
        <w:t>Ibn Khaldoun</w:t>
      </w:r>
      <w:r w:rsidRPr="00210F47">
        <w:rPr>
          <w:kern w:val="24"/>
        </w:rPr>
        <w:t xml:space="preserve"> (1332-1406) ont jugé nécessaire que les préférences individuelles doivent contenir des valeurs morales afin d’éliminer les rivalités mutuelles, renforcer la solidarité sociale, et créer une porte (inclination) vers la justice</w:t>
      </w:r>
      <w:r w:rsidRPr="00210F47">
        <w:rPr>
          <w:rStyle w:val="Appelnotedebasdep"/>
          <w:kern w:val="24"/>
        </w:rPr>
        <w:footnoteReference w:id="23"/>
      </w:r>
      <w:r w:rsidRPr="00210F47">
        <w:rPr>
          <w:kern w:val="24"/>
        </w:rPr>
        <w:t>.</w:t>
      </w:r>
    </w:p>
    <w:p w14:paraId="57853E10" w14:textId="7E5A68E7" w:rsidR="002760B2" w:rsidRPr="00210F47" w:rsidRDefault="008F3EAB" w:rsidP="00236A71">
      <w:pPr>
        <w:pStyle w:val="Titre5"/>
        <w:keepNext w:val="0"/>
        <w:keepLines w:val="0"/>
        <w:spacing w:before="120" w:after="120" w:line="300" w:lineRule="auto"/>
        <w:ind w:firstLine="709"/>
        <w:rPr>
          <w:rFonts w:ascii="Times New Roman" w:hAnsi="Times New Roman" w:cs="Times New Roman"/>
          <w:b/>
          <w:bCs/>
          <w:color w:val="auto"/>
          <w:kern w:val="24"/>
          <w:sz w:val="24"/>
          <w:szCs w:val="24"/>
        </w:rPr>
      </w:pPr>
      <w:bookmarkStart w:id="157" w:name="_Toc182298595"/>
      <w:r w:rsidRPr="00210F47">
        <w:rPr>
          <w:rFonts w:ascii="Times New Roman" w:hAnsi="Times New Roman" w:cs="Times New Roman"/>
          <w:b/>
          <w:bCs/>
          <w:color w:val="auto"/>
          <w:kern w:val="24"/>
          <w:sz w:val="24"/>
          <w:szCs w:val="24"/>
        </w:rPr>
        <w:t xml:space="preserve">1.2.2.2- </w:t>
      </w:r>
      <w:r w:rsidR="00E20F12">
        <w:rPr>
          <w:rFonts w:ascii="Times New Roman" w:hAnsi="Times New Roman" w:cs="Times New Roman"/>
          <w:b/>
          <w:bCs/>
          <w:color w:val="auto"/>
          <w:kern w:val="24"/>
          <w:sz w:val="24"/>
          <w:szCs w:val="24"/>
        </w:rPr>
        <w:t>R</w:t>
      </w:r>
      <w:r w:rsidR="002760B2" w:rsidRPr="00210F47">
        <w:rPr>
          <w:rFonts w:ascii="Times New Roman" w:hAnsi="Times New Roman" w:cs="Times New Roman"/>
          <w:b/>
          <w:bCs/>
          <w:color w:val="auto"/>
          <w:kern w:val="24"/>
          <w:sz w:val="24"/>
          <w:szCs w:val="24"/>
        </w:rPr>
        <w:t>es</w:t>
      </w:r>
      <w:r w:rsidR="004B6A50" w:rsidRPr="00210F47">
        <w:rPr>
          <w:rFonts w:ascii="Times New Roman" w:hAnsi="Times New Roman" w:cs="Times New Roman"/>
          <w:b/>
          <w:bCs/>
          <w:color w:val="auto"/>
          <w:kern w:val="24"/>
          <w:sz w:val="24"/>
          <w:szCs w:val="24"/>
        </w:rPr>
        <w:t xml:space="preserve">pect des valeurs </w:t>
      </w:r>
      <w:r w:rsidR="007F1078" w:rsidRPr="00210F47">
        <w:rPr>
          <w:rFonts w:ascii="Times New Roman" w:hAnsi="Times New Roman" w:cs="Times New Roman"/>
          <w:b/>
          <w:bCs/>
          <w:color w:val="auto"/>
          <w:kern w:val="24"/>
          <w:sz w:val="24"/>
          <w:szCs w:val="24"/>
        </w:rPr>
        <w:t>éthiques</w:t>
      </w:r>
      <w:bookmarkEnd w:id="157"/>
    </w:p>
    <w:p w14:paraId="2DAAD922" w14:textId="77777777" w:rsidR="003E141E" w:rsidRPr="00210F47" w:rsidRDefault="002760B2" w:rsidP="00FA7772">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Il existe de n</w:t>
      </w:r>
      <w:r w:rsidR="00E400A7" w:rsidRPr="00210F47">
        <w:rPr>
          <w:rFonts w:ascii="Times New Roman" w:hAnsi="Times New Roman" w:cs="Times New Roman"/>
          <w:kern w:val="24"/>
          <w:sz w:val="24"/>
          <w:szCs w:val="24"/>
        </w:rPr>
        <w:t>ombreux points communs entre l’éthique</w:t>
      </w:r>
      <w:r w:rsidRPr="00210F47">
        <w:rPr>
          <w:rFonts w:ascii="Times New Roman" w:hAnsi="Times New Roman" w:cs="Times New Roman"/>
          <w:kern w:val="24"/>
          <w:sz w:val="24"/>
          <w:szCs w:val="24"/>
        </w:rPr>
        <w:t xml:space="preserve"> économique des trois religions monothéistes. </w:t>
      </w:r>
      <w:r w:rsidR="00EF43E9" w:rsidRPr="00210F47">
        <w:rPr>
          <w:rFonts w:ascii="Times New Roman" w:hAnsi="Times New Roman" w:cs="Times New Roman"/>
          <w:kern w:val="24"/>
          <w:sz w:val="24"/>
          <w:szCs w:val="24"/>
        </w:rPr>
        <w:t>Citons-en</w:t>
      </w:r>
      <w:r w:rsidRPr="00210F47">
        <w:rPr>
          <w:rFonts w:ascii="Times New Roman" w:hAnsi="Times New Roman" w:cs="Times New Roman"/>
          <w:kern w:val="24"/>
          <w:sz w:val="24"/>
          <w:szCs w:val="24"/>
        </w:rPr>
        <w:t xml:space="preserve"> quelques-uns. Par le sens du bien-être collectif, les trois religions prônent la solidarité envers les plus pauvres, même si l'</w:t>
      </w:r>
      <w:r w:rsidR="00F34669" w:rsidRPr="00210F47">
        <w:rPr>
          <w:rFonts w:ascii="Times New Roman" w:hAnsi="Times New Roman" w:cs="Times New Roman"/>
          <w:kern w:val="24"/>
          <w:sz w:val="24"/>
          <w:szCs w:val="24"/>
        </w:rPr>
        <w:t>Islam</w:t>
      </w:r>
      <w:r w:rsidRPr="00210F47">
        <w:rPr>
          <w:rFonts w:ascii="Times New Roman" w:hAnsi="Times New Roman" w:cs="Times New Roman"/>
          <w:kern w:val="24"/>
          <w:sz w:val="24"/>
          <w:szCs w:val="24"/>
        </w:rPr>
        <w:t xml:space="preserve"> va plus loin avec la </w:t>
      </w:r>
      <w:r w:rsidRPr="00210F47">
        <w:rPr>
          <w:rFonts w:ascii="Times New Roman" w:hAnsi="Times New Roman" w:cs="Times New Roman"/>
          <w:i/>
          <w:iCs/>
          <w:kern w:val="24"/>
          <w:sz w:val="24"/>
          <w:szCs w:val="24"/>
        </w:rPr>
        <w:t>zakât</w:t>
      </w:r>
      <w:r w:rsidRPr="00210F47">
        <w:rPr>
          <w:rFonts w:ascii="Times New Roman" w:hAnsi="Times New Roman" w:cs="Times New Roman"/>
          <w:kern w:val="24"/>
          <w:sz w:val="24"/>
          <w:szCs w:val="24"/>
        </w:rPr>
        <w:t>, qui restitu</w:t>
      </w:r>
      <w:r w:rsidR="003E141E" w:rsidRPr="00210F47">
        <w:rPr>
          <w:rFonts w:ascii="Times New Roman" w:hAnsi="Times New Roman" w:cs="Times New Roman"/>
          <w:kern w:val="24"/>
          <w:sz w:val="24"/>
          <w:szCs w:val="24"/>
        </w:rPr>
        <w:t>e au pauvre ce qui lui revient.</w:t>
      </w:r>
    </w:p>
    <w:p w14:paraId="0E58C7B8" w14:textId="77777777" w:rsidR="003E141E" w:rsidRPr="00210F47" w:rsidRDefault="002760B2" w:rsidP="00FA7772">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La monnaie n'a aucune valeur en soi et ne doit pas faire l'objet de spéculation. C’est seulement un outil de mesure, d’échange et de réserve de valeur. Il est considéré comme stérile tant qu’il n’est pas combiné au travail. </w:t>
      </w:r>
      <w:r w:rsidR="007B334A" w:rsidRPr="00210F47">
        <w:rPr>
          <w:rFonts w:ascii="Times New Roman" w:hAnsi="Times New Roman" w:cs="Times New Roman"/>
          <w:kern w:val="24"/>
          <w:sz w:val="24"/>
          <w:szCs w:val="24"/>
        </w:rPr>
        <w:t>« </w:t>
      </w:r>
      <w:r w:rsidRPr="00210F47">
        <w:rPr>
          <w:rFonts w:ascii="Times New Roman" w:hAnsi="Times New Roman" w:cs="Times New Roman"/>
          <w:i/>
          <w:iCs/>
          <w:kern w:val="24"/>
          <w:sz w:val="24"/>
          <w:szCs w:val="24"/>
        </w:rPr>
        <w:t>L’argent n’est que du capital potentiel et il ne deviendra réellement capital qu’après son association avec une autre ressource afin d’entreprendre une activité productive</w:t>
      </w:r>
      <w:r w:rsidR="007B334A" w:rsidRPr="00210F47">
        <w:rPr>
          <w:rFonts w:ascii="Times New Roman" w:hAnsi="Times New Roman" w:cs="Times New Roman"/>
          <w:kern w:val="24"/>
          <w:sz w:val="24"/>
          <w:szCs w:val="24"/>
        </w:rPr>
        <w:t> »</w:t>
      </w:r>
      <w:r w:rsidRPr="00210F47">
        <w:rPr>
          <w:rFonts w:ascii="Times New Roman" w:hAnsi="Times New Roman" w:cs="Times New Roman"/>
          <w:kern w:val="24"/>
          <w:sz w:val="24"/>
          <w:szCs w:val="24"/>
        </w:rPr>
        <w:t>.</w:t>
      </w:r>
      <w:r w:rsidRPr="00210F47">
        <w:rPr>
          <w:rStyle w:val="Appelnotedebasdep"/>
          <w:rFonts w:ascii="Times New Roman" w:hAnsi="Times New Roman"/>
          <w:kern w:val="24"/>
          <w:sz w:val="24"/>
          <w:szCs w:val="24"/>
        </w:rPr>
        <w:footnoteReference w:id="24"/>
      </w:r>
    </w:p>
    <w:p w14:paraId="7EF29390" w14:textId="541BF73D" w:rsidR="002760B2" w:rsidRPr="007F1103" w:rsidRDefault="002760B2" w:rsidP="004A1757">
      <w:pPr>
        <w:tabs>
          <w:tab w:val="left" w:pos="0"/>
        </w:tabs>
        <w:autoSpaceDE w:val="0"/>
        <w:autoSpaceDN w:val="0"/>
        <w:adjustRightInd w:val="0"/>
        <w:spacing w:before="120" w:line="300" w:lineRule="auto"/>
        <w:ind w:firstLine="709"/>
        <w:rPr>
          <w:rFonts w:ascii="Times New Roman" w:hAnsi="Times New Roman" w:cs="Times New Roman"/>
          <w:spacing w:val="-4"/>
          <w:kern w:val="24"/>
          <w:sz w:val="24"/>
          <w:szCs w:val="24"/>
        </w:rPr>
      </w:pPr>
      <w:r w:rsidRPr="007F1103">
        <w:rPr>
          <w:rFonts w:ascii="Times New Roman" w:hAnsi="Times New Roman" w:cs="Times New Roman"/>
          <w:spacing w:val="-4"/>
          <w:kern w:val="24"/>
          <w:sz w:val="24"/>
          <w:szCs w:val="24"/>
        </w:rPr>
        <w:t>A l’instar de la philosophie d’Aristote</w:t>
      </w:r>
      <w:r w:rsidR="002A4282" w:rsidRPr="007F1103">
        <w:rPr>
          <w:rStyle w:val="Appelnotedebasdep"/>
          <w:rFonts w:ascii="Times New Roman" w:hAnsi="Times New Roman"/>
          <w:spacing w:val="-4"/>
          <w:kern w:val="24"/>
          <w:sz w:val="24"/>
          <w:szCs w:val="24"/>
        </w:rPr>
        <w:footnoteReference w:id="25"/>
      </w:r>
      <w:r w:rsidRPr="007F1103">
        <w:rPr>
          <w:rFonts w:ascii="Times New Roman" w:hAnsi="Times New Roman" w:cs="Times New Roman"/>
          <w:spacing w:val="-4"/>
          <w:kern w:val="24"/>
          <w:sz w:val="24"/>
          <w:szCs w:val="24"/>
        </w:rPr>
        <w:t>, l’</w:t>
      </w:r>
      <w:r w:rsidR="00F34669" w:rsidRPr="007F1103">
        <w:rPr>
          <w:rFonts w:ascii="Times New Roman" w:hAnsi="Times New Roman" w:cs="Times New Roman"/>
          <w:spacing w:val="-4"/>
          <w:kern w:val="24"/>
          <w:sz w:val="24"/>
          <w:szCs w:val="24"/>
        </w:rPr>
        <w:t>Islam</w:t>
      </w:r>
      <w:r w:rsidRPr="007F1103">
        <w:rPr>
          <w:rFonts w:ascii="Times New Roman" w:hAnsi="Times New Roman" w:cs="Times New Roman"/>
          <w:spacing w:val="-4"/>
          <w:kern w:val="24"/>
          <w:sz w:val="24"/>
          <w:szCs w:val="24"/>
        </w:rPr>
        <w:t xml:space="preserve"> considère que le temps est une création de Dieu</w:t>
      </w:r>
      <w:r w:rsidR="007F1103" w:rsidRPr="007F1103">
        <w:rPr>
          <w:rFonts w:ascii="Times New Roman" w:hAnsi="Times New Roman" w:cs="Times New Roman"/>
          <w:spacing w:val="-4"/>
          <w:kern w:val="24"/>
          <w:sz w:val="24"/>
          <w:szCs w:val="24"/>
        </w:rPr>
        <w:t> ;</w:t>
      </w:r>
      <w:r w:rsidRPr="007F1103">
        <w:rPr>
          <w:rFonts w:ascii="Times New Roman" w:hAnsi="Times New Roman" w:cs="Times New Roman"/>
          <w:spacing w:val="-4"/>
          <w:kern w:val="24"/>
          <w:sz w:val="24"/>
          <w:szCs w:val="24"/>
        </w:rPr>
        <w:t xml:space="preserve"> </w:t>
      </w:r>
      <w:r w:rsidR="007F1103" w:rsidRPr="007F1103">
        <w:rPr>
          <w:rFonts w:ascii="Times New Roman" w:hAnsi="Times New Roman" w:cs="Times New Roman"/>
          <w:spacing w:val="-4"/>
          <w:kern w:val="24"/>
          <w:sz w:val="24"/>
          <w:szCs w:val="24"/>
        </w:rPr>
        <w:t xml:space="preserve">il </w:t>
      </w:r>
      <w:r w:rsidRPr="007F1103">
        <w:rPr>
          <w:rFonts w:ascii="Times New Roman" w:hAnsi="Times New Roman" w:cs="Times New Roman"/>
          <w:spacing w:val="-4"/>
          <w:kern w:val="24"/>
          <w:sz w:val="24"/>
          <w:szCs w:val="24"/>
        </w:rPr>
        <w:t>lui appartient et ne doit pas faire l'objet de transactions commerciales. Sans l’intervention du travail, toute opération ou rémunération basée uniquement sur le temps est illicite</w:t>
      </w:r>
      <w:r w:rsidRPr="007F1103">
        <w:rPr>
          <w:rStyle w:val="Appelnotedebasdep"/>
          <w:rFonts w:ascii="Times New Roman" w:hAnsi="Times New Roman"/>
          <w:spacing w:val="-4"/>
          <w:kern w:val="24"/>
          <w:sz w:val="24"/>
          <w:szCs w:val="24"/>
        </w:rPr>
        <w:footnoteReference w:id="26"/>
      </w:r>
      <w:r w:rsidR="00311689" w:rsidRPr="007F1103">
        <w:rPr>
          <w:rFonts w:ascii="Times New Roman" w:hAnsi="Times New Roman" w:cs="Times New Roman"/>
          <w:spacing w:val="-4"/>
          <w:kern w:val="24"/>
          <w:sz w:val="24"/>
          <w:szCs w:val="24"/>
        </w:rPr>
        <w:t>.</w:t>
      </w:r>
    </w:p>
    <w:p w14:paraId="3B140495" w14:textId="77777777" w:rsidR="002760B2" w:rsidRPr="00210F47" w:rsidRDefault="002760B2" w:rsidP="00BA2048">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Pour </w:t>
      </w:r>
      <w:r w:rsidRPr="00210F47">
        <w:rPr>
          <w:rFonts w:ascii="Times New Roman" w:hAnsi="Times New Roman" w:cs="Times New Roman"/>
          <w:smallCaps/>
          <w:color w:val="000000" w:themeColor="text1"/>
          <w:kern w:val="24"/>
          <w:sz w:val="24"/>
          <w:szCs w:val="24"/>
        </w:rPr>
        <w:t>Wellhoff</w:t>
      </w:r>
      <w:r w:rsidRPr="00210F47">
        <w:rPr>
          <w:rFonts w:ascii="Times New Roman" w:hAnsi="Times New Roman" w:cs="Times New Roman"/>
          <w:color w:val="000000" w:themeColor="text1"/>
          <w:kern w:val="24"/>
          <w:sz w:val="24"/>
          <w:szCs w:val="24"/>
        </w:rPr>
        <w:t xml:space="preserve"> (2009),</w:t>
      </w:r>
      <w:r w:rsidR="005A54CF" w:rsidRPr="00210F47">
        <w:rPr>
          <w:rFonts w:ascii="Times New Roman" w:hAnsi="Times New Roman" w:cs="Times New Roman"/>
          <w:color w:val="000000" w:themeColor="text1"/>
          <w:kern w:val="24"/>
          <w:sz w:val="24"/>
          <w:szCs w:val="24"/>
        </w:rPr>
        <w:t xml:space="preserve"> </w:t>
      </w:r>
      <w:r w:rsidRPr="00210F47">
        <w:rPr>
          <w:rFonts w:ascii="Times New Roman" w:hAnsi="Times New Roman" w:cs="Times New Roman"/>
          <w:kern w:val="24"/>
          <w:sz w:val="24"/>
          <w:szCs w:val="24"/>
        </w:rPr>
        <w:t>« </w:t>
      </w:r>
      <w:r w:rsidRPr="00210F47">
        <w:rPr>
          <w:rFonts w:ascii="Times New Roman" w:hAnsi="Times New Roman" w:cs="Times New Roman"/>
          <w:i/>
          <w:iCs/>
          <w:kern w:val="24"/>
          <w:sz w:val="24"/>
          <w:szCs w:val="24"/>
        </w:rPr>
        <w:t>le thème des valeurs nous renvoie à notre identité la plus profonde et à notre sentiment d’appartenance ou d’exclus</w:t>
      </w:r>
      <w:r w:rsidR="007B334A" w:rsidRPr="00210F47">
        <w:rPr>
          <w:rFonts w:ascii="Times New Roman" w:hAnsi="Times New Roman" w:cs="Times New Roman"/>
          <w:i/>
          <w:iCs/>
          <w:kern w:val="24"/>
          <w:sz w:val="24"/>
          <w:szCs w:val="24"/>
        </w:rPr>
        <w:t>ion de tel ou tel groupe social</w:t>
      </w:r>
      <w:r w:rsidRPr="00210F47">
        <w:rPr>
          <w:rFonts w:ascii="Times New Roman" w:hAnsi="Times New Roman" w:cs="Times New Roman"/>
          <w:i/>
          <w:iCs/>
          <w:kern w:val="24"/>
          <w:sz w:val="24"/>
          <w:szCs w:val="24"/>
        </w:rPr>
        <w:t>…</w:t>
      </w:r>
      <w:r w:rsidR="007B334A" w:rsidRPr="00210F47">
        <w:rPr>
          <w:rFonts w:ascii="Times New Roman" w:hAnsi="Times New Roman" w:cs="Times New Roman"/>
          <w:i/>
          <w:iCs/>
          <w:kern w:val="24"/>
          <w:sz w:val="24"/>
          <w:szCs w:val="24"/>
        </w:rPr>
        <w:t xml:space="preserve"> </w:t>
      </w:r>
      <w:r w:rsidRPr="00210F47">
        <w:rPr>
          <w:rFonts w:ascii="Times New Roman" w:hAnsi="Times New Roman" w:cs="Times New Roman"/>
          <w:i/>
          <w:iCs/>
          <w:kern w:val="24"/>
          <w:sz w:val="24"/>
          <w:szCs w:val="24"/>
        </w:rPr>
        <w:t>Les valeurs font à la fois appel à ce que nous avons d’intime en renvoyant à la notion de vertu et notre adhésion à la société à laquelle nous apportons notre contribution</w:t>
      </w:r>
      <w:r w:rsidR="007B334A" w:rsidRPr="00210F47">
        <w:rPr>
          <w:rFonts w:ascii="Times New Roman" w:hAnsi="Times New Roman" w:cs="Times New Roman"/>
          <w:kern w:val="24"/>
          <w:sz w:val="24"/>
          <w:szCs w:val="24"/>
        </w:rPr>
        <w:t> »</w:t>
      </w:r>
      <w:r w:rsidRPr="00210F47">
        <w:rPr>
          <w:rStyle w:val="Appelnotedebasdep"/>
          <w:rFonts w:ascii="Times New Roman" w:hAnsi="Times New Roman"/>
          <w:kern w:val="24"/>
          <w:sz w:val="24"/>
          <w:szCs w:val="24"/>
        </w:rPr>
        <w:footnoteReference w:id="27"/>
      </w:r>
      <w:r w:rsidRPr="00210F47">
        <w:rPr>
          <w:rFonts w:ascii="Times New Roman" w:hAnsi="Times New Roman" w:cs="Times New Roman"/>
          <w:kern w:val="24"/>
          <w:sz w:val="24"/>
          <w:szCs w:val="24"/>
        </w:rPr>
        <w:t>.</w:t>
      </w:r>
    </w:p>
    <w:p w14:paraId="0A0098FB" w14:textId="1E7CDECF" w:rsidR="002760B2" w:rsidRPr="00210F47" w:rsidRDefault="008F3EAB" w:rsidP="00544FF9">
      <w:pPr>
        <w:pStyle w:val="Titre5"/>
        <w:keepNext w:val="0"/>
        <w:keepLines w:val="0"/>
        <w:spacing w:before="120" w:after="120" w:line="300" w:lineRule="auto"/>
        <w:ind w:firstLine="709"/>
        <w:rPr>
          <w:rFonts w:ascii="Times New Roman" w:hAnsi="Times New Roman" w:cs="Times New Roman"/>
          <w:b/>
          <w:bCs/>
          <w:color w:val="auto"/>
          <w:kern w:val="24"/>
          <w:sz w:val="24"/>
          <w:szCs w:val="24"/>
        </w:rPr>
      </w:pPr>
      <w:bookmarkStart w:id="158" w:name="_Toc182298596"/>
      <w:r w:rsidRPr="00210F47">
        <w:rPr>
          <w:rFonts w:ascii="Times New Roman" w:hAnsi="Times New Roman" w:cs="Times New Roman"/>
          <w:b/>
          <w:bCs/>
          <w:color w:val="auto"/>
          <w:kern w:val="24"/>
          <w:sz w:val="24"/>
          <w:szCs w:val="24"/>
        </w:rPr>
        <w:lastRenderedPageBreak/>
        <w:t xml:space="preserve">1.2.2.3- </w:t>
      </w:r>
      <w:r w:rsidR="00E20F12">
        <w:rPr>
          <w:rFonts w:ascii="Times New Roman" w:hAnsi="Times New Roman" w:cs="Times New Roman"/>
          <w:b/>
          <w:bCs/>
          <w:color w:val="auto"/>
          <w:kern w:val="24"/>
          <w:sz w:val="24"/>
          <w:szCs w:val="24"/>
        </w:rPr>
        <w:t>J</w:t>
      </w:r>
      <w:r w:rsidRPr="00210F47">
        <w:rPr>
          <w:rFonts w:ascii="Times New Roman" w:hAnsi="Times New Roman" w:cs="Times New Roman"/>
          <w:b/>
          <w:bCs/>
          <w:color w:val="auto"/>
          <w:kern w:val="24"/>
          <w:sz w:val="24"/>
          <w:szCs w:val="24"/>
        </w:rPr>
        <w:t>ustice socio</w:t>
      </w:r>
      <w:r w:rsidR="00501D35" w:rsidRPr="00210F47">
        <w:rPr>
          <w:rFonts w:ascii="Times New Roman" w:hAnsi="Times New Roman" w:cs="Times New Roman"/>
          <w:b/>
          <w:bCs/>
          <w:color w:val="auto"/>
          <w:kern w:val="24"/>
          <w:sz w:val="24"/>
          <w:szCs w:val="24"/>
        </w:rPr>
        <w:t>-</w:t>
      </w:r>
      <w:r w:rsidRPr="00210F47">
        <w:rPr>
          <w:rFonts w:ascii="Times New Roman" w:hAnsi="Times New Roman" w:cs="Times New Roman"/>
          <w:b/>
          <w:bCs/>
          <w:color w:val="auto"/>
          <w:kern w:val="24"/>
          <w:sz w:val="24"/>
          <w:szCs w:val="24"/>
        </w:rPr>
        <w:t>économique</w:t>
      </w:r>
      <w:bookmarkEnd w:id="158"/>
    </w:p>
    <w:p w14:paraId="53F98849" w14:textId="77777777" w:rsidR="009467E6" w:rsidRPr="00210F47" w:rsidRDefault="002760B2" w:rsidP="00544FF9">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Le principe de justice et d’équité constitue l’axiome fondamental du système économique </w:t>
      </w:r>
      <w:r w:rsidR="009E1248" w:rsidRPr="00210F47">
        <w:rPr>
          <w:rFonts w:ascii="Times New Roman" w:hAnsi="Times New Roman" w:cs="Times New Roman"/>
          <w:kern w:val="24"/>
          <w:sz w:val="24"/>
          <w:szCs w:val="24"/>
        </w:rPr>
        <w:t>i</w:t>
      </w:r>
      <w:r w:rsidR="003773C6" w:rsidRPr="00210F47">
        <w:rPr>
          <w:rFonts w:ascii="Times New Roman" w:hAnsi="Times New Roman" w:cs="Times New Roman"/>
          <w:kern w:val="24"/>
          <w:sz w:val="24"/>
          <w:szCs w:val="24"/>
        </w:rPr>
        <w:t>slamique</w:t>
      </w:r>
      <w:r w:rsidRPr="00210F47">
        <w:rPr>
          <w:rFonts w:ascii="Times New Roman" w:hAnsi="Times New Roman" w:cs="Times New Roman"/>
          <w:kern w:val="24"/>
          <w:sz w:val="24"/>
          <w:szCs w:val="24"/>
        </w:rPr>
        <w:t xml:space="preserve">. Il trouve ses fondements dans les rapports sociaux, et la croyance que les êtres humains en tant que lieutenants de Dieu sur terre, sont frères. Ainsi, le </w:t>
      </w:r>
      <w:r w:rsidRPr="00210F47">
        <w:rPr>
          <w:rFonts w:ascii="Times New Roman" w:hAnsi="Times New Roman" w:cs="Times New Roman"/>
          <w:iCs/>
          <w:kern w:val="24"/>
          <w:sz w:val="24"/>
          <w:szCs w:val="24"/>
        </w:rPr>
        <w:t>Coran</w:t>
      </w:r>
      <w:r w:rsidRPr="00210F47">
        <w:rPr>
          <w:rFonts w:ascii="Times New Roman" w:hAnsi="Times New Roman" w:cs="Times New Roman"/>
          <w:kern w:val="24"/>
          <w:sz w:val="24"/>
          <w:szCs w:val="24"/>
        </w:rPr>
        <w:t xml:space="preserve"> indique que la justice est l'un des principaux objectifs pour lesquels Dieu a envoyé Ses messagers à l'humanité</w:t>
      </w:r>
      <w:r w:rsidR="007B334A" w:rsidRPr="00210F47">
        <w:rPr>
          <w:rFonts w:ascii="Times New Roman" w:hAnsi="Times New Roman" w:cs="Times New Roman"/>
          <w:kern w:val="24"/>
          <w:sz w:val="24"/>
          <w:szCs w:val="24"/>
        </w:rPr>
        <w:t> :</w:t>
      </w:r>
    </w:p>
    <w:p w14:paraId="26EE2DB7" w14:textId="77777777" w:rsidR="007E2C68" w:rsidRPr="00210F47" w:rsidRDefault="007E2C68" w:rsidP="00236A71">
      <w:pPr>
        <w:pStyle w:val="Paragraphedeliste"/>
        <w:tabs>
          <w:tab w:val="left" w:pos="0"/>
        </w:tabs>
        <w:autoSpaceDE w:val="0"/>
        <w:autoSpaceDN w:val="0"/>
        <w:bidi/>
        <w:adjustRightInd w:val="0"/>
        <w:spacing w:before="120" w:line="300" w:lineRule="auto"/>
        <w:ind w:left="0"/>
        <w:contextualSpacing w:val="0"/>
        <w:rPr>
          <w:rFonts w:ascii="Times New Roman" w:hAnsi="Times New Roman" w:cs="Times New Roman"/>
          <w:kern w:val="24"/>
          <w:sz w:val="26"/>
          <w:szCs w:val="26"/>
          <w:lang w:bidi="ar-DZ"/>
        </w:rPr>
      </w:pPr>
      <w:r w:rsidRPr="00210F47">
        <w:rPr>
          <w:rFonts w:ascii="Times New Roman" w:hAnsi="Times New Roman" w:cs="Times New Roman"/>
          <w:color w:val="000000"/>
          <w:kern w:val="24"/>
          <w:sz w:val="26"/>
          <w:szCs w:val="26"/>
          <w:shd w:val="clear" w:color="auto" w:fill="FFFFFF"/>
          <w:rtl/>
        </w:rPr>
        <w:t xml:space="preserve">"لقَدْ أَرْسَلْنَا رُسُلَنَا بِٱلْبَيِّنَٰتِ وَأَنزَلْنَا مَعَهُمُ ٱلْكِتَٰبَ وَٱلْمِيزَانَ لِيَقُومَ ٱلنَّاسُ بِٱلْقِسْطِ ... " </w:t>
      </w:r>
      <w:r w:rsidR="004F7610" w:rsidRPr="00210F47">
        <w:rPr>
          <w:rFonts w:ascii="Times New Roman" w:hAnsi="Times New Roman" w:cs="Times New Roman"/>
          <w:b/>
          <w:bCs/>
          <w:color w:val="000000"/>
          <w:kern w:val="24"/>
          <w:sz w:val="24"/>
          <w:szCs w:val="24"/>
          <w:shd w:val="clear" w:color="auto" w:fill="FFFFFF"/>
          <w:rtl/>
        </w:rPr>
        <w:t>(سورة</w:t>
      </w:r>
      <w:r w:rsidRPr="00210F47">
        <w:rPr>
          <w:rFonts w:ascii="Times New Roman" w:hAnsi="Times New Roman" w:cs="Times New Roman"/>
          <w:b/>
          <w:bCs/>
          <w:color w:val="000000"/>
          <w:kern w:val="24"/>
          <w:sz w:val="24"/>
          <w:szCs w:val="24"/>
          <w:shd w:val="clear" w:color="auto" w:fill="FFFFFF"/>
          <w:rtl/>
        </w:rPr>
        <w:t xml:space="preserve"> الحديد، الآية 25</w:t>
      </w:r>
      <w:r w:rsidRPr="00210F47">
        <w:rPr>
          <w:rFonts w:ascii="Times New Roman" w:hAnsi="Times New Roman" w:cs="Times New Roman"/>
          <w:b/>
          <w:bCs/>
          <w:color w:val="000000"/>
          <w:kern w:val="24"/>
          <w:sz w:val="26"/>
          <w:szCs w:val="26"/>
          <w:shd w:val="clear" w:color="auto" w:fill="FFFFFF"/>
          <w:rtl/>
        </w:rPr>
        <w:t>)</w:t>
      </w:r>
      <w:r w:rsidR="004D50E1" w:rsidRPr="00210F47">
        <w:rPr>
          <w:rFonts w:ascii="Times New Roman" w:hAnsi="Times New Roman" w:cs="Times New Roman"/>
          <w:b/>
          <w:bCs/>
          <w:color w:val="000000"/>
          <w:kern w:val="24"/>
          <w:sz w:val="26"/>
          <w:szCs w:val="26"/>
          <w:shd w:val="clear" w:color="auto" w:fill="FFFFFF"/>
          <w:rtl/>
          <w:lang w:bidi="ar-DZ"/>
        </w:rPr>
        <w:t>.</w:t>
      </w:r>
    </w:p>
    <w:p w14:paraId="1A5C8D1D" w14:textId="7A0E3034" w:rsidR="002760B2" w:rsidRPr="00210F47" w:rsidRDefault="007B334A" w:rsidP="00236A71">
      <w:pPr>
        <w:pStyle w:val="Paragraphedeliste"/>
        <w:tabs>
          <w:tab w:val="left" w:pos="0"/>
          <w:tab w:val="left" w:pos="9071"/>
        </w:tabs>
        <w:autoSpaceDE w:val="0"/>
        <w:autoSpaceDN w:val="0"/>
        <w:adjustRightInd w:val="0"/>
        <w:spacing w:before="120" w:line="300" w:lineRule="auto"/>
        <w:ind w:left="1134" w:right="-1"/>
        <w:contextualSpacing w:val="0"/>
        <w:rPr>
          <w:rFonts w:ascii="Times New Roman" w:hAnsi="Times New Roman" w:cs="Times New Roman"/>
          <w:i/>
          <w:iCs/>
          <w:kern w:val="24"/>
          <w:sz w:val="24"/>
          <w:szCs w:val="24"/>
        </w:rPr>
      </w:pPr>
      <w:r w:rsidRPr="00210F47">
        <w:rPr>
          <w:rFonts w:ascii="Times New Roman" w:hAnsi="Times New Roman" w:cs="Times New Roman"/>
          <w:b/>
          <w:bCs/>
          <w:i/>
          <w:iCs/>
          <w:kern w:val="24"/>
          <w:sz w:val="24"/>
          <w:szCs w:val="24"/>
        </w:rPr>
        <w:t>«</w:t>
      </w:r>
      <w:r w:rsidRPr="00544FF9">
        <w:rPr>
          <w:rFonts w:ascii="Times New Roman" w:hAnsi="Times New Roman" w:cs="Times New Roman"/>
          <w:i/>
          <w:iCs/>
          <w:kern w:val="24"/>
          <w:sz w:val="24"/>
          <w:szCs w:val="24"/>
        </w:rPr>
        <w:t> </w:t>
      </w:r>
      <w:r w:rsidR="007E2C68" w:rsidRPr="00210F47">
        <w:rPr>
          <w:rFonts w:ascii="Times New Roman" w:hAnsi="Times New Roman" w:cs="Times New Roman"/>
          <w:i/>
          <w:iCs/>
          <w:kern w:val="24"/>
          <w:sz w:val="24"/>
          <w:szCs w:val="24"/>
        </w:rPr>
        <w:t>Nous avons</w:t>
      </w:r>
      <w:r w:rsidR="002760B2" w:rsidRPr="00210F47">
        <w:rPr>
          <w:rFonts w:ascii="Times New Roman" w:hAnsi="Times New Roman" w:cs="Times New Roman"/>
          <w:i/>
          <w:iCs/>
          <w:kern w:val="24"/>
          <w:sz w:val="24"/>
          <w:szCs w:val="24"/>
        </w:rPr>
        <w:t xml:space="preserve"> env</w:t>
      </w:r>
      <w:r w:rsidR="007E2C68" w:rsidRPr="00210F47">
        <w:rPr>
          <w:rFonts w:ascii="Times New Roman" w:hAnsi="Times New Roman" w:cs="Times New Roman"/>
          <w:i/>
          <w:iCs/>
          <w:kern w:val="24"/>
          <w:sz w:val="24"/>
          <w:szCs w:val="24"/>
        </w:rPr>
        <w:t>oyé nos m</w:t>
      </w:r>
      <w:r w:rsidR="002760B2" w:rsidRPr="00210F47">
        <w:rPr>
          <w:rFonts w:ascii="Times New Roman" w:hAnsi="Times New Roman" w:cs="Times New Roman"/>
          <w:i/>
          <w:iCs/>
          <w:kern w:val="24"/>
          <w:sz w:val="24"/>
          <w:szCs w:val="24"/>
        </w:rPr>
        <w:t>essagers</w:t>
      </w:r>
      <w:r w:rsidR="007E2C68" w:rsidRPr="00210F47">
        <w:rPr>
          <w:rFonts w:ascii="Times New Roman" w:hAnsi="Times New Roman" w:cs="Times New Roman"/>
          <w:i/>
          <w:iCs/>
          <w:kern w:val="24"/>
          <w:sz w:val="24"/>
          <w:szCs w:val="24"/>
        </w:rPr>
        <w:t xml:space="preserve"> porteurs de preuves. Nous avons révélé l’Ecriture ; nous avons fait descendre la balance pour que les hommes observent l’équité…</w:t>
      </w:r>
      <w:r w:rsidR="00544FF9" w:rsidRPr="00544FF9">
        <w:rPr>
          <w:rFonts w:ascii="Times New Roman" w:hAnsi="Times New Roman" w:cs="Times New Roman"/>
          <w:i/>
          <w:iCs/>
          <w:kern w:val="24"/>
          <w:sz w:val="24"/>
          <w:szCs w:val="24"/>
        </w:rPr>
        <w:t> </w:t>
      </w:r>
      <w:r w:rsidRPr="00210F47">
        <w:rPr>
          <w:rFonts w:ascii="Times New Roman" w:hAnsi="Times New Roman" w:cs="Times New Roman"/>
          <w:i/>
          <w:iCs/>
          <w:kern w:val="24"/>
          <w:sz w:val="24"/>
          <w:szCs w:val="24"/>
        </w:rPr>
        <w:t>»</w:t>
      </w:r>
      <w:r w:rsidR="002760B2" w:rsidRPr="00210F47">
        <w:rPr>
          <w:rStyle w:val="Appelnotedebasdep"/>
          <w:rFonts w:ascii="Times New Roman" w:hAnsi="Times New Roman"/>
          <w:kern w:val="24"/>
          <w:sz w:val="24"/>
          <w:szCs w:val="24"/>
        </w:rPr>
        <w:footnoteReference w:id="28"/>
      </w:r>
      <w:r w:rsidR="004D50E1" w:rsidRPr="00210F47">
        <w:rPr>
          <w:rFonts w:ascii="Times New Roman" w:hAnsi="Times New Roman" w:cs="Times New Roman"/>
          <w:kern w:val="24"/>
          <w:sz w:val="24"/>
          <w:szCs w:val="24"/>
        </w:rPr>
        <w:t xml:space="preserve"> </w:t>
      </w:r>
      <w:r w:rsidR="007E2C68" w:rsidRPr="00210F47">
        <w:rPr>
          <w:rFonts w:ascii="Times New Roman" w:hAnsi="Times New Roman" w:cs="Times New Roman"/>
          <w:b/>
          <w:bCs/>
          <w:kern w:val="24"/>
          <w:sz w:val="24"/>
          <w:szCs w:val="24"/>
        </w:rPr>
        <w:t>(Sourate 57, verset 25)</w:t>
      </w:r>
      <w:r w:rsidR="004D50E1" w:rsidRPr="00210F47">
        <w:rPr>
          <w:rFonts w:ascii="Times New Roman" w:hAnsi="Times New Roman" w:cs="Times New Roman"/>
          <w:b/>
          <w:bCs/>
          <w:kern w:val="24"/>
          <w:sz w:val="24"/>
          <w:szCs w:val="24"/>
        </w:rPr>
        <w:t>.</w:t>
      </w:r>
    </w:p>
    <w:p w14:paraId="6B9E5DE2" w14:textId="77777777" w:rsidR="002760B2" w:rsidRPr="00210F47" w:rsidRDefault="002760B2" w:rsidP="00236A71">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210F47">
        <w:rPr>
          <w:rFonts w:ascii="Times New Roman" w:hAnsi="Times New Roman" w:cs="Times New Roman"/>
          <w:smallCaps/>
          <w:kern w:val="24"/>
          <w:sz w:val="24"/>
          <w:szCs w:val="24"/>
        </w:rPr>
        <w:t>Al-Mawardi</w:t>
      </w:r>
      <w:r w:rsidRPr="00210F47">
        <w:rPr>
          <w:rFonts w:ascii="Times New Roman" w:hAnsi="Times New Roman" w:cs="Times New Roman"/>
          <w:kern w:val="24"/>
          <w:sz w:val="24"/>
          <w:szCs w:val="24"/>
        </w:rPr>
        <w:t xml:space="preserve"> (1955) a fait valoir que la justice complète la solidarité, la loi, l'ordre, le développement du pays, ainsi que l'expansion de la richesse, la croissance de la population, et la sécurité du pays, et que </w:t>
      </w:r>
      <w:r w:rsidR="00F67FA7" w:rsidRPr="00210F47">
        <w:rPr>
          <w:rFonts w:ascii="Times New Roman" w:hAnsi="Times New Roman" w:cs="Times New Roman"/>
          <w:kern w:val="24"/>
          <w:sz w:val="24"/>
          <w:szCs w:val="24"/>
        </w:rPr>
        <w:t>« </w:t>
      </w:r>
      <w:r w:rsidRPr="00210F47">
        <w:rPr>
          <w:rFonts w:ascii="Times New Roman" w:hAnsi="Times New Roman" w:cs="Times New Roman"/>
          <w:i/>
          <w:iCs/>
          <w:kern w:val="24"/>
          <w:sz w:val="24"/>
          <w:szCs w:val="24"/>
        </w:rPr>
        <w:t>il n'y a rien qui détruit le monde et la conscience du peuple plus vite que l'injustice</w:t>
      </w:r>
      <w:r w:rsidR="00F67FA7" w:rsidRPr="00210F47">
        <w:rPr>
          <w:rFonts w:ascii="Times New Roman" w:hAnsi="Times New Roman" w:cs="Times New Roman"/>
          <w:kern w:val="24"/>
          <w:sz w:val="24"/>
          <w:szCs w:val="24"/>
        </w:rPr>
        <w:t> »</w:t>
      </w:r>
      <w:r w:rsidRPr="00210F47">
        <w:rPr>
          <w:rStyle w:val="Appelnotedebasdep"/>
          <w:rFonts w:ascii="Times New Roman" w:hAnsi="Times New Roman"/>
          <w:kern w:val="24"/>
          <w:sz w:val="24"/>
          <w:szCs w:val="24"/>
        </w:rPr>
        <w:footnoteReference w:id="29"/>
      </w:r>
      <w:r w:rsidR="00F67FA7" w:rsidRPr="00210F47">
        <w:rPr>
          <w:rFonts w:ascii="Times New Roman" w:hAnsi="Times New Roman" w:cs="Times New Roman"/>
          <w:kern w:val="24"/>
          <w:sz w:val="24"/>
          <w:szCs w:val="24"/>
        </w:rPr>
        <w:t>.</w:t>
      </w:r>
    </w:p>
    <w:p w14:paraId="3584AAD4" w14:textId="77777777" w:rsidR="002760B2" w:rsidRPr="00210F47" w:rsidRDefault="002760B2" w:rsidP="00236A71">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210F47">
        <w:rPr>
          <w:rFonts w:ascii="Times New Roman" w:hAnsi="Times New Roman" w:cs="Times New Roman"/>
          <w:kern w:val="24"/>
          <w:sz w:val="24"/>
          <w:szCs w:val="24"/>
        </w:rPr>
        <w:t>Ce principe de justice exige l’équité dans la rémunération du travail, dans la distribution des profits. Ce dernier est autorisé sous réserve qu’il n’entraîne pas un déséquilibre contractuel. En outre, cette justice distributive doit être étendue comme une justice socio-économique avec toutes les conséquences qu’elle suppose au niveau de la redistribution des richesses, du capital et de l’affectation du travail.</w:t>
      </w:r>
    </w:p>
    <w:p w14:paraId="3D9A4714" w14:textId="0BAF1188" w:rsidR="002760B2" w:rsidRPr="00210F47" w:rsidRDefault="00C90080" w:rsidP="00236A71">
      <w:pPr>
        <w:pStyle w:val="Titre5"/>
        <w:keepNext w:val="0"/>
        <w:keepLines w:val="0"/>
        <w:spacing w:before="120" w:after="120" w:line="300" w:lineRule="auto"/>
        <w:ind w:firstLine="709"/>
        <w:rPr>
          <w:rFonts w:ascii="Times New Roman" w:eastAsia="Code2000" w:hAnsi="Times New Roman" w:cs="Times New Roman"/>
          <w:b/>
          <w:bCs/>
          <w:color w:val="auto"/>
          <w:kern w:val="24"/>
          <w:sz w:val="24"/>
          <w:szCs w:val="24"/>
        </w:rPr>
      </w:pPr>
      <w:bookmarkStart w:id="159" w:name="_Toc182298597"/>
      <w:r w:rsidRPr="00210F47">
        <w:rPr>
          <w:rFonts w:ascii="Times New Roman" w:eastAsia="Code2000" w:hAnsi="Times New Roman" w:cs="Times New Roman"/>
          <w:b/>
          <w:bCs/>
          <w:color w:val="auto"/>
          <w:kern w:val="24"/>
          <w:sz w:val="24"/>
          <w:szCs w:val="24"/>
        </w:rPr>
        <w:t xml:space="preserve">1.2.2.4- </w:t>
      </w:r>
      <w:r w:rsidR="00E20F12">
        <w:rPr>
          <w:rFonts w:ascii="Times New Roman" w:eastAsia="Code2000" w:hAnsi="Times New Roman" w:cs="Times New Roman"/>
          <w:b/>
          <w:bCs/>
          <w:color w:val="auto"/>
          <w:kern w:val="24"/>
          <w:sz w:val="24"/>
          <w:szCs w:val="24"/>
        </w:rPr>
        <w:t>D</w:t>
      </w:r>
      <w:r w:rsidR="002760B2" w:rsidRPr="00210F47">
        <w:rPr>
          <w:rFonts w:ascii="Times New Roman" w:eastAsia="Code2000" w:hAnsi="Times New Roman" w:cs="Times New Roman"/>
          <w:b/>
          <w:bCs/>
          <w:color w:val="auto"/>
          <w:kern w:val="24"/>
          <w:sz w:val="24"/>
          <w:szCs w:val="24"/>
        </w:rPr>
        <w:t>roit de propriété</w:t>
      </w:r>
      <w:bookmarkEnd w:id="159"/>
    </w:p>
    <w:p w14:paraId="62A5AFB7" w14:textId="77777777" w:rsidR="003E141E" w:rsidRPr="00210F47" w:rsidRDefault="002760B2" w:rsidP="003E141E">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La propriété absolue est limitée à Dieu. Si le </w:t>
      </w:r>
      <w:r w:rsidRPr="00210F47">
        <w:rPr>
          <w:rFonts w:ascii="Times New Roman" w:hAnsi="Times New Roman" w:cs="Times New Roman"/>
          <w:i/>
          <w:kern w:val="24"/>
          <w:sz w:val="24"/>
          <w:szCs w:val="24"/>
        </w:rPr>
        <w:t>Coran</w:t>
      </w:r>
      <w:r w:rsidRPr="00210F47">
        <w:rPr>
          <w:rFonts w:ascii="Times New Roman" w:hAnsi="Times New Roman" w:cs="Times New Roman"/>
          <w:kern w:val="24"/>
          <w:sz w:val="24"/>
          <w:szCs w:val="24"/>
        </w:rPr>
        <w:t xml:space="preserve"> reconnaît bien le droit à la propriété privée, ce droit n'est pas absolu et tempéré. </w:t>
      </w:r>
      <w:r w:rsidR="007B334A" w:rsidRPr="00210F47">
        <w:rPr>
          <w:rFonts w:ascii="Times New Roman" w:hAnsi="Times New Roman" w:cs="Times New Roman"/>
          <w:kern w:val="24"/>
          <w:sz w:val="24"/>
          <w:szCs w:val="24"/>
        </w:rPr>
        <w:t>« </w:t>
      </w:r>
      <w:r w:rsidRPr="00210F47">
        <w:rPr>
          <w:rFonts w:ascii="Times New Roman" w:hAnsi="Times New Roman" w:cs="Times New Roman"/>
          <w:i/>
          <w:iCs/>
          <w:kern w:val="24"/>
          <w:sz w:val="24"/>
          <w:szCs w:val="24"/>
        </w:rPr>
        <w:t>Aucune propriété n’est le bien exclusif voire même réel de son possesseur. Le véritable propriétaire c’est Dieu qui la laisse à l’homme son vice-gérant sur la terre qui doit la faire fructifier</w:t>
      </w:r>
      <w:r w:rsidR="007B334A" w:rsidRPr="00210F47">
        <w:rPr>
          <w:rFonts w:ascii="Times New Roman" w:hAnsi="Times New Roman" w:cs="Times New Roman"/>
          <w:kern w:val="24"/>
          <w:sz w:val="24"/>
          <w:szCs w:val="24"/>
        </w:rPr>
        <w:t> »</w:t>
      </w:r>
      <w:r w:rsidRPr="00210F47">
        <w:rPr>
          <w:rStyle w:val="Appelnotedebasdep"/>
          <w:rFonts w:ascii="Times New Roman" w:hAnsi="Times New Roman"/>
          <w:kern w:val="24"/>
          <w:sz w:val="24"/>
          <w:szCs w:val="24"/>
        </w:rPr>
        <w:footnoteReference w:id="30"/>
      </w:r>
      <w:r w:rsidRPr="00210F47">
        <w:rPr>
          <w:rFonts w:ascii="Times New Roman" w:hAnsi="Times New Roman" w:cs="Times New Roman"/>
          <w:kern w:val="24"/>
          <w:sz w:val="24"/>
          <w:szCs w:val="24"/>
        </w:rPr>
        <w:t>. L’économie comme telle se base sur une donnée première de la natu</w:t>
      </w:r>
      <w:r w:rsidR="007B334A" w:rsidRPr="00210F47">
        <w:rPr>
          <w:rFonts w:ascii="Times New Roman" w:hAnsi="Times New Roman" w:cs="Times New Roman"/>
          <w:kern w:val="24"/>
          <w:sz w:val="24"/>
          <w:szCs w:val="24"/>
        </w:rPr>
        <w:t>re des hommes :</w:t>
      </w:r>
      <w:r w:rsidRPr="00210F47">
        <w:rPr>
          <w:rFonts w:ascii="Times New Roman" w:hAnsi="Times New Roman" w:cs="Times New Roman"/>
          <w:kern w:val="24"/>
          <w:sz w:val="24"/>
          <w:szCs w:val="24"/>
        </w:rPr>
        <w:t xml:space="preserve"> le besoin de se procurer les ressources de leur subsist</w:t>
      </w:r>
      <w:r w:rsidR="003E141E" w:rsidRPr="00210F47">
        <w:rPr>
          <w:rFonts w:ascii="Times New Roman" w:hAnsi="Times New Roman" w:cs="Times New Roman"/>
          <w:kern w:val="24"/>
          <w:sz w:val="24"/>
          <w:szCs w:val="24"/>
        </w:rPr>
        <w:t>ance de base.</w:t>
      </w:r>
    </w:p>
    <w:p w14:paraId="0952FD70" w14:textId="2FD2B80A" w:rsidR="002760B2" w:rsidRPr="00210F47" w:rsidRDefault="002760B2" w:rsidP="003E141E">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De cette donnée naturelle découle un droit, celui de l’homme à prendre activement possession des choses de la nature que Dieu a créée pour lui et dont il lui a fait don. Il ne s’agit pas ici de choses passives ou inertes, mais du produit d’un travail de la nature sur elle-même et de l’homme sur la nature, incluant ce que le monde génère et ce que l’homme produit.</w:t>
      </w:r>
    </w:p>
    <w:p w14:paraId="4FD17220" w14:textId="77777777" w:rsidR="002760B2" w:rsidRPr="00210F47" w:rsidRDefault="002760B2" w:rsidP="00311689">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210F47">
        <w:rPr>
          <w:rFonts w:ascii="Times New Roman" w:hAnsi="Times New Roman" w:cs="Times New Roman"/>
          <w:kern w:val="24"/>
          <w:sz w:val="24"/>
          <w:szCs w:val="24"/>
        </w:rPr>
        <w:t xml:space="preserve">En </w:t>
      </w:r>
      <w:r w:rsidR="00F34669" w:rsidRPr="00210F47">
        <w:rPr>
          <w:rFonts w:ascii="Times New Roman" w:hAnsi="Times New Roman" w:cs="Times New Roman"/>
          <w:kern w:val="24"/>
          <w:sz w:val="24"/>
          <w:szCs w:val="24"/>
        </w:rPr>
        <w:t>Islam</w:t>
      </w:r>
      <w:r w:rsidRPr="00210F47">
        <w:rPr>
          <w:rFonts w:ascii="Times New Roman" w:hAnsi="Times New Roman" w:cs="Times New Roman"/>
          <w:kern w:val="24"/>
          <w:sz w:val="24"/>
          <w:szCs w:val="24"/>
        </w:rPr>
        <w:t xml:space="preserve">, </w:t>
      </w:r>
      <w:r w:rsidR="007C2FB6" w:rsidRPr="00210F47">
        <w:rPr>
          <w:rFonts w:ascii="Times New Roman" w:hAnsi="Times New Roman" w:cs="Times New Roman"/>
          <w:kern w:val="24"/>
          <w:sz w:val="24"/>
          <w:szCs w:val="24"/>
        </w:rPr>
        <w:t>c</w:t>
      </w:r>
      <w:r w:rsidRPr="00210F47">
        <w:rPr>
          <w:rFonts w:ascii="Times New Roman" w:hAnsi="Times New Roman" w:cs="Times New Roman"/>
          <w:kern w:val="24"/>
          <w:sz w:val="24"/>
          <w:szCs w:val="24"/>
        </w:rPr>
        <w:t>haque individu, homme et femme, a droit à la propriété, la jouissance et le transfert de propriété, un droit qui doit être respecté et protégé par ses semblables. En d'autres termes, la propriété des biens est un droit reconnu dans l'</w:t>
      </w:r>
      <w:r w:rsidR="00F34669" w:rsidRPr="00210F47">
        <w:rPr>
          <w:rFonts w:ascii="Times New Roman" w:hAnsi="Times New Roman" w:cs="Times New Roman"/>
          <w:kern w:val="24"/>
          <w:sz w:val="24"/>
          <w:szCs w:val="24"/>
        </w:rPr>
        <w:t>Islam</w:t>
      </w:r>
      <w:r w:rsidRPr="00210F47">
        <w:rPr>
          <w:rFonts w:ascii="Times New Roman" w:hAnsi="Times New Roman" w:cs="Times New Roman"/>
          <w:kern w:val="24"/>
          <w:sz w:val="24"/>
          <w:szCs w:val="24"/>
        </w:rPr>
        <w:t xml:space="preserve"> et doit être apprécié par tous les secteurs de la société, indépendamment de la croyance, la couleur et la race.</w:t>
      </w:r>
    </w:p>
    <w:p w14:paraId="6AD88BEF" w14:textId="77777777" w:rsidR="0035349B" w:rsidRPr="0035349B" w:rsidRDefault="0035349B" w:rsidP="00CB0FF1">
      <w:pPr>
        <w:pStyle w:val="Titre3"/>
        <w:numPr>
          <w:ilvl w:val="2"/>
          <w:numId w:val="116"/>
        </w:numPr>
        <w:spacing w:before="100" w:beforeAutospacing="1" w:after="100" w:afterAutospacing="1"/>
        <w:ind w:left="1134" w:hanging="425"/>
        <w:rPr>
          <w:sz w:val="28"/>
          <w:szCs w:val="28"/>
        </w:rPr>
      </w:pPr>
      <w:bookmarkStart w:id="160" w:name="_Toc182298598"/>
      <w:r w:rsidRPr="0035349B">
        <w:rPr>
          <w:sz w:val="28"/>
          <w:szCs w:val="28"/>
        </w:rPr>
        <w:lastRenderedPageBreak/>
        <w:t>Principe de la finance islamique</w:t>
      </w:r>
      <w:bookmarkEnd w:id="160"/>
    </w:p>
    <w:p w14:paraId="107D3881" w14:textId="00ECA5B5" w:rsidR="002760B2" w:rsidRPr="002B005F" w:rsidRDefault="002760B2" w:rsidP="008214D4">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Tout contrat de financement </w:t>
      </w:r>
      <w:r w:rsidR="009467E6">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doit être conforme aux principes fondamentaux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 xml:space="preserve">. Les produits ou principes autorisés sont communément appelés </w:t>
      </w:r>
      <w:r w:rsidRPr="002B005F">
        <w:rPr>
          <w:rFonts w:ascii="Times New Roman" w:hAnsi="Times New Roman" w:cs="Times New Roman"/>
          <w:i/>
          <w:iCs/>
          <w:sz w:val="24"/>
          <w:szCs w:val="24"/>
        </w:rPr>
        <w:t>halal</w:t>
      </w:r>
      <w:r w:rsidRPr="002B005F">
        <w:rPr>
          <w:rFonts w:ascii="Times New Roman" w:hAnsi="Times New Roman" w:cs="Times New Roman"/>
          <w:sz w:val="24"/>
          <w:szCs w:val="24"/>
        </w:rPr>
        <w:t xml:space="preserve">, et ceux qui sont prohibés sont désignés par le terme </w:t>
      </w:r>
      <w:r w:rsidRPr="002B005F">
        <w:rPr>
          <w:rFonts w:ascii="Times New Roman" w:hAnsi="Times New Roman" w:cs="Times New Roman"/>
          <w:i/>
          <w:iCs/>
          <w:sz w:val="24"/>
          <w:szCs w:val="24"/>
        </w:rPr>
        <w:t>haram</w:t>
      </w:r>
      <w:r w:rsidRPr="002B005F">
        <w:rPr>
          <w:rFonts w:ascii="Times New Roman" w:hAnsi="Times New Roman" w:cs="Times New Roman"/>
          <w:sz w:val="24"/>
          <w:szCs w:val="24"/>
        </w:rPr>
        <w:t xml:space="preserve">. Les principales prohibitions et prescriptions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2B005F">
        <w:rPr>
          <w:rFonts w:ascii="Times New Roman" w:hAnsi="Times New Roman" w:cs="Times New Roman"/>
          <w:sz w:val="24"/>
          <w:szCs w:val="24"/>
        </w:rPr>
        <w:t xml:space="preserve"> </w:t>
      </w:r>
      <w:r w:rsidR="007B334A" w:rsidRPr="002B005F">
        <w:rPr>
          <w:rFonts w:ascii="Times New Roman" w:hAnsi="Times New Roman" w:cs="Times New Roman"/>
          <w:sz w:val="24"/>
          <w:szCs w:val="24"/>
        </w:rPr>
        <w:t>incluent :</w:t>
      </w:r>
    </w:p>
    <w:p w14:paraId="2EED56E6" w14:textId="77777777" w:rsidR="002760B2" w:rsidRPr="002B005F" w:rsidRDefault="007B334A" w:rsidP="007F1103">
      <w:pPr>
        <w:pStyle w:val="Titre4"/>
        <w:spacing w:before="100" w:beforeAutospacing="1" w:after="120" w:line="300" w:lineRule="auto"/>
        <w:ind w:firstLine="709"/>
      </w:pPr>
      <w:bookmarkStart w:id="161" w:name="_Toc33263216"/>
      <w:bookmarkStart w:id="162" w:name="_Toc37664468"/>
      <w:bookmarkStart w:id="163" w:name="_Toc37666313"/>
      <w:bookmarkStart w:id="164" w:name="_Toc54363202"/>
      <w:bookmarkStart w:id="165" w:name="_Toc58606218"/>
      <w:bookmarkStart w:id="166" w:name="_Toc61263423"/>
      <w:bookmarkStart w:id="167" w:name="_Toc182298599"/>
      <w:r w:rsidRPr="002B005F">
        <w:t xml:space="preserve">1.3.1- </w:t>
      </w:r>
      <w:r w:rsidR="007D20BD" w:rsidRPr="002B005F">
        <w:t>P</w:t>
      </w:r>
      <w:r w:rsidR="00F67FA7" w:rsidRPr="002B005F">
        <w:t>rohibition du</w:t>
      </w:r>
      <w:r w:rsidR="002760B2" w:rsidRPr="002B005F">
        <w:t xml:space="preserve"> </w:t>
      </w:r>
      <w:r w:rsidR="00F67FA7" w:rsidRPr="002B005F">
        <w:rPr>
          <w:i/>
          <w:iCs/>
        </w:rPr>
        <w:t>riba</w:t>
      </w:r>
      <w:bookmarkEnd w:id="161"/>
      <w:bookmarkEnd w:id="162"/>
      <w:bookmarkEnd w:id="163"/>
      <w:bookmarkEnd w:id="164"/>
      <w:bookmarkEnd w:id="165"/>
      <w:bookmarkEnd w:id="166"/>
      <w:bookmarkEnd w:id="167"/>
    </w:p>
    <w:p w14:paraId="622B8B92" w14:textId="77777777" w:rsidR="002760B2" w:rsidRPr="002B005F" w:rsidRDefault="002760B2" w:rsidP="00FA7772">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Très souvent considéré comme principal élément de distinction entre la finance conventionnelle et la finance </w:t>
      </w:r>
      <w:r w:rsidR="009467E6">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le </w:t>
      </w:r>
      <w:r w:rsidRPr="002B005F">
        <w:rPr>
          <w:rFonts w:ascii="Times New Roman" w:hAnsi="Times New Roman" w:cs="Times New Roman"/>
          <w:i/>
          <w:sz w:val="24"/>
          <w:szCs w:val="24"/>
        </w:rPr>
        <w:t>riba</w:t>
      </w:r>
      <w:r w:rsidRPr="002B005F">
        <w:rPr>
          <w:rFonts w:ascii="Times New Roman" w:hAnsi="Times New Roman" w:cs="Times New Roman"/>
          <w:sz w:val="24"/>
          <w:szCs w:val="24"/>
        </w:rPr>
        <w:t xml:space="preserve"> ce concept parfois mal interprété est en réalité une pratique qui a été condamnée bien avant l’arrivée de l’</w:t>
      </w:r>
      <w:r w:rsidR="00F34669" w:rsidRPr="002B005F">
        <w:rPr>
          <w:rFonts w:ascii="Times New Roman" w:hAnsi="Times New Roman" w:cs="Times New Roman"/>
          <w:sz w:val="24"/>
          <w:szCs w:val="24"/>
        </w:rPr>
        <w:t>Islam</w:t>
      </w:r>
      <w:r w:rsidRPr="002B005F">
        <w:rPr>
          <w:rFonts w:ascii="Times New Roman" w:hAnsi="Times New Roman" w:cs="Times New Roman"/>
          <w:sz w:val="24"/>
          <w:szCs w:val="24"/>
        </w:rPr>
        <w:t>.</w:t>
      </w:r>
    </w:p>
    <w:p w14:paraId="3B964DF6" w14:textId="77777777" w:rsidR="002760B2" w:rsidRPr="0035349B" w:rsidRDefault="00FA7772" w:rsidP="0035349B">
      <w:pPr>
        <w:pStyle w:val="Titre5"/>
        <w:spacing w:before="120" w:after="120" w:line="300" w:lineRule="auto"/>
        <w:ind w:firstLine="709"/>
        <w:rPr>
          <w:rFonts w:asciiTheme="majorBidi" w:hAnsiTheme="majorBidi"/>
          <w:b/>
          <w:bCs/>
          <w:color w:val="auto"/>
          <w:sz w:val="24"/>
          <w:szCs w:val="24"/>
        </w:rPr>
      </w:pPr>
      <w:bookmarkStart w:id="168" w:name="_Toc182298600"/>
      <w:r w:rsidRPr="0035349B">
        <w:rPr>
          <w:rFonts w:asciiTheme="majorBidi" w:hAnsiTheme="majorBidi"/>
          <w:b/>
          <w:bCs/>
          <w:color w:val="auto"/>
          <w:sz w:val="24"/>
          <w:szCs w:val="24"/>
        </w:rPr>
        <w:t>1.</w:t>
      </w:r>
      <w:r w:rsidR="007B334A" w:rsidRPr="0035349B">
        <w:rPr>
          <w:rFonts w:asciiTheme="majorBidi" w:hAnsiTheme="majorBidi"/>
          <w:b/>
          <w:bCs/>
          <w:color w:val="auto"/>
          <w:sz w:val="24"/>
          <w:szCs w:val="24"/>
        </w:rPr>
        <w:t xml:space="preserve">3.1.1- </w:t>
      </w:r>
      <w:r w:rsidR="007D20BD" w:rsidRPr="0035349B">
        <w:rPr>
          <w:rFonts w:asciiTheme="majorBidi" w:hAnsiTheme="majorBidi"/>
          <w:b/>
          <w:bCs/>
          <w:color w:val="auto"/>
          <w:sz w:val="24"/>
          <w:szCs w:val="24"/>
        </w:rPr>
        <w:t>N</w:t>
      </w:r>
      <w:r w:rsidR="00F2500F" w:rsidRPr="0035349B">
        <w:rPr>
          <w:rFonts w:asciiTheme="majorBidi" w:hAnsiTheme="majorBidi"/>
          <w:b/>
          <w:bCs/>
          <w:color w:val="auto"/>
          <w:sz w:val="24"/>
          <w:szCs w:val="24"/>
        </w:rPr>
        <w:t xml:space="preserve">otion du </w:t>
      </w:r>
      <w:r w:rsidR="00F2500F" w:rsidRPr="0035349B">
        <w:rPr>
          <w:rFonts w:asciiTheme="majorBidi" w:hAnsiTheme="majorBidi"/>
          <w:b/>
          <w:bCs/>
          <w:i/>
          <w:iCs/>
          <w:color w:val="auto"/>
          <w:sz w:val="24"/>
          <w:szCs w:val="24"/>
        </w:rPr>
        <w:t>riba</w:t>
      </w:r>
      <w:bookmarkEnd w:id="168"/>
    </w:p>
    <w:p w14:paraId="10399BC1" w14:textId="77777777" w:rsidR="002760B2" w:rsidRPr="002B005F" w:rsidRDefault="002760B2" w:rsidP="00311689">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Du point de vue étymologique, le mot </w:t>
      </w:r>
      <w:r w:rsidRPr="002B005F">
        <w:rPr>
          <w:rFonts w:ascii="Times New Roman" w:hAnsi="Times New Roman" w:cs="Times New Roman"/>
          <w:i/>
          <w:iCs/>
          <w:sz w:val="24"/>
          <w:szCs w:val="24"/>
        </w:rPr>
        <w:t>riba</w:t>
      </w:r>
      <w:r w:rsidRPr="002B005F">
        <w:rPr>
          <w:rFonts w:ascii="Times New Roman" w:hAnsi="Times New Roman" w:cs="Times New Roman"/>
          <w:sz w:val="24"/>
          <w:szCs w:val="24"/>
        </w:rPr>
        <w:t xml:space="preserve"> (nom arabe masculin) est traduit par la plupart des linguistiques arabophones par intérêt ou usure. </w:t>
      </w:r>
    </w:p>
    <w:p w14:paraId="0D18F63C" w14:textId="77777777" w:rsidR="002760B2" w:rsidRPr="002B005F" w:rsidRDefault="002760B2" w:rsidP="007C2FB6">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mot </w:t>
      </w:r>
      <w:r w:rsidRPr="002B005F">
        <w:rPr>
          <w:rFonts w:ascii="Times New Roman" w:hAnsi="Times New Roman" w:cs="Times New Roman"/>
          <w:i/>
          <w:sz w:val="24"/>
          <w:szCs w:val="24"/>
        </w:rPr>
        <w:t>riba</w:t>
      </w:r>
      <w:r w:rsidRPr="002B005F">
        <w:rPr>
          <w:rFonts w:ascii="Times New Roman" w:hAnsi="Times New Roman" w:cs="Times New Roman"/>
          <w:sz w:val="24"/>
          <w:szCs w:val="24"/>
        </w:rPr>
        <w:t xml:space="preserve"> vient du verbe </w:t>
      </w:r>
      <w:r w:rsidRPr="002B005F">
        <w:rPr>
          <w:rFonts w:ascii="Times New Roman" w:hAnsi="Times New Roman" w:cs="Times New Roman"/>
          <w:i/>
          <w:iCs/>
          <w:sz w:val="24"/>
          <w:szCs w:val="24"/>
        </w:rPr>
        <w:t>rabâ</w:t>
      </w:r>
      <w:r w:rsidRPr="002B005F">
        <w:rPr>
          <w:rFonts w:ascii="Times New Roman" w:hAnsi="Times New Roman" w:cs="Times New Roman"/>
          <w:sz w:val="24"/>
          <w:szCs w:val="24"/>
        </w:rPr>
        <w:t xml:space="preserve"> qui signifie augmenter et faire accroître la valeur d’une chose à partir</w:t>
      </w:r>
      <w:r w:rsidR="005A54CF" w:rsidRPr="002B005F">
        <w:rPr>
          <w:rFonts w:ascii="Times New Roman" w:hAnsi="Times New Roman" w:cs="Times New Roman"/>
          <w:sz w:val="24"/>
          <w:szCs w:val="24"/>
        </w:rPr>
        <w:t xml:space="preserve"> d’elle-même. </w:t>
      </w:r>
      <w:r w:rsidR="005A54CF" w:rsidRPr="007C2FB6">
        <w:rPr>
          <w:rFonts w:ascii="Times New Roman" w:hAnsi="Times New Roman" w:cs="Times New Roman"/>
          <w:smallCaps/>
          <w:sz w:val="24"/>
          <w:szCs w:val="24"/>
        </w:rPr>
        <w:t>Abou Ishaq</w:t>
      </w:r>
      <w:r w:rsidR="005A54CF" w:rsidRPr="002B005F">
        <w:rPr>
          <w:rFonts w:ascii="Times New Roman" w:hAnsi="Times New Roman" w:cs="Times New Roman"/>
          <w:sz w:val="24"/>
          <w:szCs w:val="24"/>
        </w:rPr>
        <w:t xml:space="preserve"> a dit :</w:t>
      </w:r>
      <w:r w:rsidRPr="002B005F">
        <w:rPr>
          <w:rFonts w:ascii="Times New Roman" w:hAnsi="Times New Roman" w:cs="Times New Roman"/>
          <w:sz w:val="24"/>
          <w:szCs w:val="24"/>
        </w:rPr>
        <w:t xml:space="preserve"> </w:t>
      </w:r>
      <w:r w:rsidR="005A54CF" w:rsidRPr="002B005F">
        <w:rPr>
          <w:rFonts w:ascii="Times New Roman" w:hAnsi="Times New Roman" w:cs="Times New Roman"/>
          <w:sz w:val="24"/>
          <w:szCs w:val="24"/>
        </w:rPr>
        <w:t>« </w:t>
      </w:r>
      <w:r w:rsidRPr="002B005F">
        <w:rPr>
          <w:rFonts w:ascii="Times New Roman" w:hAnsi="Times New Roman" w:cs="Times New Roman"/>
          <w:i/>
          <w:iCs/>
          <w:sz w:val="24"/>
          <w:szCs w:val="24"/>
        </w:rPr>
        <w:t>yarbu</w:t>
      </w:r>
      <w:r w:rsidRPr="002B005F">
        <w:rPr>
          <w:rFonts w:ascii="Times New Roman" w:hAnsi="Times New Roman" w:cs="Times New Roman"/>
          <w:sz w:val="24"/>
          <w:szCs w:val="24"/>
        </w:rPr>
        <w:t xml:space="preserve"> </w:t>
      </w:r>
      <w:r w:rsidRPr="002B005F">
        <w:rPr>
          <w:rFonts w:ascii="Times New Roman" w:hAnsi="Times New Roman" w:cs="Times New Roman"/>
          <w:i/>
          <w:iCs/>
          <w:sz w:val="24"/>
          <w:szCs w:val="24"/>
        </w:rPr>
        <w:t>signifie que l'homme paie quelque chose afin d'être indemnisé pour plus que ce qu'il a payé</w:t>
      </w:r>
      <w:r w:rsidRPr="002B005F">
        <w:rPr>
          <w:rFonts w:ascii="Times New Roman" w:hAnsi="Times New Roman" w:cs="Times New Roman"/>
          <w:sz w:val="24"/>
          <w:szCs w:val="24"/>
        </w:rPr>
        <w:t>.</w:t>
      </w:r>
      <w:r w:rsidR="005A54CF"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31"/>
      </w:r>
      <w:r w:rsidR="007C2FB6">
        <w:rPr>
          <w:rFonts w:ascii="Times New Roman" w:hAnsi="Times New Roman" w:cs="Times New Roman"/>
          <w:sz w:val="24"/>
          <w:szCs w:val="24"/>
        </w:rPr>
        <w:t>.</w:t>
      </w:r>
    </w:p>
    <w:p w14:paraId="11AB1B57" w14:textId="77777777" w:rsidR="002760B2" w:rsidRPr="002B005F" w:rsidRDefault="002760B2" w:rsidP="00311689">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mot </w:t>
      </w:r>
      <w:r w:rsidRPr="002B005F">
        <w:rPr>
          <w:rFonts w:ascii="Times New Roman" w:hAnsi="Times New Roman" w:cs="Times New Roman"/>
          <w:i/>
          <w:sz w:val="24"/>
          <w:szCs w:val="24"/>
        </w:rPr>
        <w:t>riba</w:t>
      </w:r>
      <w:r w:rsidRPr="002B005F">
        <w:rPr>
          <w:rFonts w:ascii="Times New Roman" w:hAnsi="Times New Roman" w:cs="Times New Roman"/>
          <w:sz w:val="24"/>
          <w:szCs w:val="24"/>
        </w:rPr>
        <w:t xml:space="preserve"> est souvent assimilé à la proscription de l’intérêt, alors qu’en réalité la notion est beaucoup plus large. « </w:t>
      </w:r>
      <w:r w:rsidRPr="002B005F">
        <w:rPr>
          <w:rFonts w:ascii="Times New Roman" w:hAnsi="Times New Roman" w:cs="Times New Roman"/>
          <w:i/>
          <w:iCs/>
          <w:sz w:val="24"/>
          <w:szCs w:val="24"/>
        </w:rPr>
        <w:t>Le concept de riba ne se limite pas à la prohibition de l’intérêt bancaire, mais il est aussi applicable dans d’autres transactions commerciales portant sur des objets susceptibles au riba. Ce dernier ne concerne pas uniquement le prêt à intérêt, mais toutes prestations des sommes d’argent ou de choses fongibles dues par une personne à une autre engendrant un profit réalisé par l’une des parties sans contrepartie</w:t>
      </w:r>
      <w:r w:rsidR="0041396A"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32"/>
      </w:r>
      <w:r w:rsidRPr="002B005F">
        <w:rPr>
          <w:rFonts w:ascii="Times New Roman" w:hAnsi="Times New Roman" w:cs="Times New Roman"/>
          <w:sz w:val="24"/>
          <w:szCs w:val="24"/>
        </w:rPr>
        <w:t>.</w:t>
      </w:r>
    </w:p>
    <w:p w14:paraId="6C448D47" w14:textId="77777777" w:rsidR="002760B2" w:rsidRPr="002B005F" w:rsidRDefault="002760B2" w:rsidP="0041396A">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Selon le raisonnement occidental, il existe une distinction entre « usure »</w:t>
      </w:r>
      <w:r w:rsidR="007B334A" w:rsidRPr="002B005F">
        <w:rPr>
          <w:rFonts w:ascii="Times New Roman" w:hAnsi="Times New Roman" w:cs="Times New Roman"/>
          <w:sz w:val="24"/>
          <w:szCs w:val="24"/>
        </w:rPr>
        <w:t xml:space="preserve"> et « prêt à intérêt », l’usure </w:t>
      </w:r>
      <w:r w:rsidRPr="002B005F">
        <w:rPr>
          <w:rFonts w:ascii="Times New Roman" w:hAnsi="Times New Roman" w:cs="Times New Roman"/>
          <w:sz w:val="24"/>
          <w:szCs w:val="24"/>
        </w:rPr>
        <w:t>étant un prêt à intérêt excessif et l’intérêt étant le paiement pour l’usage de l’argent. Mais, dans la pensée musulmane, il n’existe aucune distinction entre</w:t>
      </w:r>
      <w:r w:rsidR="0041396A" w:rsidRPr="002B005F">
        <w:rPr>
          <w:rFonts w:ascii="Times New Roman" w:hAnsi="Times New Roman" w:cs="Times New Roman"/>
          <w:sz w:val="24"/>
          <w:szCs w:val="24"/>
        </w:rPr>
        <w:t xml:space="preserve"> les deux termes, ces derniers</w:t>
      </w:r>
      <w:r w:rsidRPr="002B005F">
        <w:rPr>
          <w:rFonts w:ascii="Times New Roman" w:hAnsi="Times New Roman" w:cs="Times New Roman"/>
          <w:sz w:val="24"/>
          <w:szCs w:val="24"/>
        </w:rPr>
        <w:t xml:space="preserve"> recouvrent </w:t>
      </w:r>
      <w:r w:rsidR="0041396A" w:rsidRPr="002B005F">
        <w:rPr>
          <w:rFonts w:ascii="Times New Roman" w:hAnsi="Times New Roman" w:cs="Times New Roman"/>
          <w:sz w:val="24"/>
          <w:szCs w:val="24"/>
        </w:rPr>
        <w:t xml:space="preserve">donc </w:t>
      </w:r>
      <w:r w:rsidRPr="002B005F">
        <w:rPr>
          <w:rFonts w:ascii="Times New Roman" w:hAnsi="Times New Roman" w:cs="Times New Roman"/>
          <w:sz w:val="24"/>
          <w:szCs w:val="24"/>
        </w:rPr>
        <w:t xml:space="preserve">la même pratique dite </w:t>
      </w:r>
      <w:r w:rsidRPr="002B005F">
        <w:rPr>
          <w:rFonts w:ascii="Times New Roman" w:hAnsi="Times New Roman" w:cs="Times New Roman"/>
          <w:i/>
          <w:sz w:val="24"/>
          <w:szCs w:val="24"/>
        </w:rPr>
        <w:t>riba</w:t>
      </w:r>
      <w:r w:rsidRPr="002B005F">
        <w:rPr>
          <w:rFonts w:ascii="Times New Roman" w:hAnsi="Times New Roman" w:cs="Times New Roman"/>
          <w:sz w:val="24"/>
          <w:szCs w:val="24"/>
        </w:rPr>
        <w:t>.</w:t>
      </w:r>
    </w:p>
    <w:p w14:paraId="1CECD13C" w14:textId="77777777" w:rsidR="002760B2" w:rsidRPr="002B005F" w:rsidRDefault="002760B2" w:rsidP="00311689">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Cependant, l’</w:t>
      </w:r>
      <w:r w:rsidR="00F34669" w:rsidRPr="002B005F">
        <w:rPr>
          <w:rFonts w:ascii="Times New Roman" w:hAnsi="Times New Roman" w:cs="Times New Roman"/>
          <w:sz w:val="24"/>
          <w:szCs w:val="24"/>
        </w:rPr>
        <w:t>Islam</w:t>
      </w:r>
      <w:r w:rsidRPr="002B005F">
        <w:rPr>
          <w:rFonts w:ascii="Times New Roman" w:hAnsi="Times New Roman" w:cs="Times New Roman"/>
          <w:sz w:val="24"/>
          <w:szCs w:val="24"/>
        </w:rPr>
        <w:t xml:space="preserve"> n’est pas la seule doctrine à avoir interdit l’usure et l’intérêt en général. A travers t</w:t>
      </w:r>
      <w:r w:rsidR="00297476">
        <w:rPr>
          <w:rFonts w:ascii="Times New Roman" w:hAnsi="Times New Roman" w:cs="Times New Roman"/>
          <w:sz w:val="24"/>
          <w:szCs w:val="24"/>
        </w:rPr>
        <w:t>oute l’histoire de l’humanité</w:t>
      </w:r>
      <w:r w:rsidRPr="002B005F">
        <w:rPr>
          <w:rFonts w:ascii="Times New Roman" w:hAnsi="Times New Roman" w:cs="Times New Roman"/>
          <w:sz w:val="24"/>
          <w:szCs w:val="24"/>
        </w:rPr>
        <w:t>,</w:t>
      </w:r>
      <w:r w:rsidR="005E5F2B">
        <w:rPr>
          <w:rFonts w:ascii="Times New Roman" w:hAnsi="Times New Roman" w:cs="Times New Roman"/>
          <w:sz w:val="24"/>
          <w:szCs w:val="24"/>
        </w:rPr>
        <w:t xml:space="preserve"> le </w:t>
      </w:r>
      <w:r w:rsidR="005E5F2B" w:rsidRPr="005E5F2B">
        <w:rPr>
          <w:rFonts w:ascii="Times New Roman" w:hAnsi="Times New Roman" w:cs="Times New Roman"/>
          <w:i/>
          <w:iCs/>
          <w:sz w:val="24"/>
          <w:szCs w:val="24"/>
        </w:rPr>
        <w:t>riba</w:t>
      </w:r>
      <w:r w:rsidRPr="002B005F">
        <w:rPr>
          <w:rFonts w:ascii="Times New Roman" w:hAnsi="Times New Roman" w:cs="Times New Roman"/>
          <w:sz w:val="24"/>
          <w:szCs w:val="24"/>
        </w:rPr>
        <w:t xml:space="preserve"> a toujours fait l’objet de polémiques et d’interdictions successives.</w:t>
      </w:r>
    </w:p>
    <w:p w14:paraId="4423A8C3" w14:textId="77777777" w:rsidR="002760B2" w:rsidRPr="00BB6220" w:rsidRDefault="007B334A" w:rsidP="00544FF9">
      <w:pPr>
        <w:pStyle w:val="Titre5"/>
        <w:keepLines w:val="0"/>
        <w:spacing w:before="120" w:after="120" w:line="300" w:lineRule="auto"/>
        <w:ind w:firstLine="709"/>
        <w:rPr>
          <w:rFonts w:asciiTheme="majorBidi" w:hAnsiTheme="majorBidi"/>
          <w:b/>
          <w:bCs/>
          <w:color w:val="auto"/>
          <w:kern w:val="24"/>
          <w:sz w:val="24"/>
          <w:szCs w:val="24"/>
        </w:rPr>
      </w:pPr>
      <w:bookmarkStart w:id="169" w:name="_Toc182298601"/>
      <w:r w:rsidRPr="00BB6220">
        <w:rPr>
          <w:rFonts w:asciiTheme="majorBidi" w:hAnsiTheme="majorBidi"/>
          <w:b/>
          <w:bCs/>
          <w:color w:val="auto"/>
          <w:kern w:val="24"/>
          <w:sz w:val="24"/>
          <w:szCs w:val="24"/>
        </w:rPr>
        <w:t xml:space="preserve">1.3.1.2- </w:t>
      </w:r>
      <w:r w:rsidR="007D20BD" w:rsidRPr="00BB6220">
        <w:rPr>
          <w:rFonts w:asciiTheme="majorBidi" w:hAnsiTheme="majorBidi"/>
          <w:b/>
          <w:bCs/>
          <w:color w:val="auto"/>
          <w:kern w:val="24"/>
          <w:sz w:val="24"/>
          <w:szCs w:val="24"/>
        </w:rPr>
        <w:t>P</w:t>
      </w:r>
      <w:r w:rsidR="002760B2" w:rsidRPr="00BB6220">
        <w:rPr>
          <w:rFonts w:asciiTheme="majorBidi" w:hAnsiTheme="majorBidi"/>
          <w:b/>
          <w:bCs/>
          <w:color w:val="auto"/>
          <w:kern w:val="24"/>
          <w:sz w:val="24"/>
          <w:szCs w:val="24"/>
        </w:rPr>
        <w:t xml:space="preserve">rohibition du </w:t>
      </w:r>
      <w:r w:rsidR="002760B2" w:rsidRPr="00BB6220">
        <w:rPr>
          <w:rFonts w:asciiTheme="majorBidi" w:hAnsiTheme="majorBidi"/>
          <w:b/>
          <w:bCs/>
          <w:i/>
          <w:iCs/>
          <w:color w:val="auto"/>
          <w:kern w:val="24"/>
          <w:sz w:val="24"/>
          <w:szCs w:val="24"/>
        </w:rPr>
        <w:t>riba</w:t>
      </w:r>
      <w:r w:rsidR="002760B2" w:rsidRPr="00BB6220">
        <w:rPr>
          <w:rFonts w:asciiTheme="majorBidi" w:hAnsiTheme="majorBidi"/>
          <w:b/>
          <w:bCs/>
          <w:color w:val="auto"/>
          <w:kern w:val="24"/>
          <w:sz w:val="24"/>
          <w:szCs w:val="24"/>
        </w:rPr>
        <w:t xml:space="preserve"> avant l’</w:t>
      </w:r>
      <w:r w:rsidR="00F34669" w:rsidRPr="00BB6220">
        <w:rPr>
          <w:rFonts w:asciiTheme="majorBidi" w:hAnsiTheme="majorBidi"/>
          <w:b/>
          <w:bCs/>
          <w:color w:val="auto"/>
          <w:kern w:val="24"/>
          <w:sz w:val="24"/>
          <w:szCs w:val="24"/>
        </w:rPr>
        <w:t>Islam</w:t>
      </w:r>
      <w:bookmarkEnd w:id="169"/>
    </w:p>
    <w:p w14:paraId="270E22FF" w14:textId="754072DC" w:rsidR="001F66A0" w:rsidRPr="00BB6220" w:rsidRDefault="001F66A0" w:rsidP="00544FF9">
      <w:pPr>
        <w:keepNext/>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BB6220">
        <w:rPr>
          <w:rFonts w:ascii="Times New Roman" w:hAnsi="Times New Roman" w:cs="Times New Roman"/>
          <w:kern w:val="24"/>
          <w:sz w:val="24"/>
          <w:szCs w:val="24"/>
        </w:rPr>
        <w:t xml:space="preserve">Cette question de l’interdiction du </w:t>
      </w:r>
      <w:r w:rsidRPr="00BB6220">
        <w:rPr>
          <w:rFonts w:ascii="Times New Roman" w:hAnsi="Times New Roman" w:cs="Times New Roman"/>
          <w:i/>
          <w:iCs/>
          <w:kern w:val="24"/>
          <w:sz w:val="24"/>
          <w:szCs w:val="24"/>
        </w:rPr>
        <w:t>riba</w:t>
      </w:r>
      <w:r w:rsidRPr="00BB6220">
        <w:rPr>
          <w:rFonts w:ascii="Times New Roman" w:hAnsi="Times New Roman" w:cs="Times New Roman"/>
          <w:kern w:val="24"/>
          <w:sz w:val="24"/>
          <w:szCs w:val="24"/>
        </w:rPr>
        <w:t xml:space="preserve"> (intérêt/usure) n’est pas propre à l’Islam. </w:t>
      </w:r>
      <w:r w:rsidR="00297476" w:rsidRPr="00BB6220">
        <w:rPr>
          <w:rFonts w:ascii="Times New Roman" w:hAnsi="Times New Roman" w:cs="Times New Roman"/>
          <w:kern w:val="24"/>
          <w:sz w:val="24"/>
          <w:szCs w:val="24"/>
        </w:rPr>
        <w:t xml:space="preserve">Elle a été longuement sujette à controverse </w:t>
      </w:r>
      <w:r w:rsidR="00C030FF" w:rsidRPr="00BB6220">
        <w:rPr>
          <w:rFonts w:ascii="Times New Roman" w:hAnsi="Times New Roman" w:cs="Times New Roman"/>
          <w:kern w:val="24"/>
          <w:sz w:val="24"/>
          <w:szCs w:val="24"/>
        </w:rPr>
        <w:t>chez</w:t>
      </w:r>
      <w:r w:rsidR="00297476" w:rsidRPr="00BB6220">
        <w:rPr>
          <w:rFonts w:ascii="Times New Roman" w:hAnsi="Times New Roman" w:cs="Times New Roman"/>
          <w:kern w:val="24"/>
          <w:sz w:val="24"/>
          <w:szCs w:val="24"/>
        </w:rPr>
        <w:t xml:space="preserve"> les civilisations anciennes</w:t>
      </w:r>
      <w:r w:rsidR="00C030FF" w:rsidRPr="00BB6220">
        <w:rPr>
          <w:rFonts w:ascii="Times New Roman" w:hAnsi="Times New Roman" w:cs="Times New Roman"/>
          <w:kern w:val="24"/>
          <w:sz w:val="24"/>
          <w:szCs w:val="24"/>
        </w:rPr>
        <w:t>,</w:t>
      </w:r>
      <w:r w:rsidR="005E5F2B" w:rsidRPr="00BB6220">
        <w:rPr>
          <w:rFonts w:ascii="Times New Roman" w:hAnsi="Times New Roman" w:cs="Times New Roman"/>
          <w:kern w:val="24"/>
          <w:sz w:val="24"/>
          <w:szCs w:val="24"/>
        </w:rPr>
        <w:t xml:space="preserve"> </w:t>
      </w:r>
      <w:r w:rsidR="00C030FF" w:rsidRPr="00BB6220">
        <w:rPr>
          <w:rFonts w:ascii="Times New Roman" w:hAnsi="Times New Roman" w:cs="Times New Roman"/>
          <w:kern w:val="24"/>
          <w:sz w:val="24"/>
          <w:szCs w:val="24"/>
        </w:rPr>
        <w:t xml:space="preserve">les religions </w:t>
      </w:r>
      <w:r w:rsidR="00E13FA6" w:rsidRPr="00BB6220">
        <w:rPr>
          <w:rFonts w:ascii="Times New Roman" w:hAnsi="Times New Roman" w:cs="Times New Roman"/>
          <w:kern w:val="24"/>
          <w:sz w:val="24"/>
          <w:szCs w:val="24"/>
        </w:rPr>
        <w:t>judaïque</w:t>
      </w:r>
      <w:r w:rsidR="00C030FF" w:rsidRPr="00BB6220">
        <w:rPr>
          <w:rFonts w:ascii="Times New Roman" w:hAnsi="Times New Roman" w:cs="Times New Roman"/>
          <w:kern w:val="24"/>
          <w:sz w:val="24"/>
          <w:szCs w:val="24"/>
        </w:rPr>
        <w:t xml:space="preserve"> et </w:t>
      </w:r>
      <w:r w:rsidR="00C030FF" w:rsidRPr="00BB6220">
        <w:rPr>
          <w:rFonts w:ascii="Times New Roman" w:hAnsi="Times New Roman" w:cs="Times New Roman"/>
          <w:kern w:val="24"/>
          <w:sz w:val="24"/>
          <w:szCs w:val="24"/>
        </w:rPr>
        <w:lastRenderedPageBreak/>
        <w:t xml:space="preserve">chrétienne, </w:t>
      </w:r>
      <w:r w:rsidR="00297476" w:rsidRPr="00BB6220">
        <w:rPr>
          <w:rFonts w:ascii="Times New Roman" w:hAnsi="Times New Roman" w:cs="Times New Roman"/>
          <w:kern w:val="24"/>
          <w:sz w:val="24"/>
          <w:szCs w:val="24"/>
        </w:rPr>
        <w:t xml:space="preserve">les législateurs grecs et </w:t>
      </w:r>
      <w:r w:rsidR="00C030FF" w:rsidRPr="00BB6220">
        <w:rPr>
          <w:rFonts w:ascii="Times New Roman" w:hAnsi="Times New Roman" w:cs="Times New Roman"/>
          <w:kern w:val="24"/>
          <w:sz w:val="24"/>
          <w:szCs w:val="24"/>
        </w:rPr>
        <w:t>romains et les p</w:t>
      </w:r>
      <w:r w:rsidR="00181EAA" w:rsidRPr="00BB6220">
        <w:rPr>
          <w:rFonts w:ascii="Times New Roman" w:hAnsi="Times New Roman" w:cs="Times New Roman"/>
          <w:kern w:val="24"/>
          <w:sz w:val="24"/>
          <w:szCs w:val="24"/>
        </w:rPr>
        <w:t>hilosophes de la Grèce antique (</w:t>
      </w:r>
      <w:r w:rsidR="00181EAA" w:rsidRPr="00BB6220">
        <w:rPr>
          <w:rFonts w:ascii="Times New Roman" w:hAnsi="Times New Roman" w:cs="Times New Roman"/>
          <w:smallCaps/>
          <w:kern w:val="24"/>
          <w:sz w:val="24"/>
          <w:szCs w:val="24"/>
        </w:rPr>
        <w:t>Platon</w:t>
      </w:r>
      <w:r w:rsidR="00181EAA" w:rsidRPr="00BB6220">
        <w:rPr>
          <w:rFonts w:ascii="Times New Roman" w:hAnsi="Times New Roman" w:cs="Times New Roman"/>
          <w:kern w:val="24"/>
          <w:sz w:val="24"/>
          <w:szCs w:val="24"/>
        </w:rPr>
        <w:t xml:space="preserve">, </w:t>
      </w:r>
      <w:r w:rsidR="00181EAA" w:rsidRPr="00BB6220">
        <w:rPr>
          <w:rFonts w:ascii="Times New Roman" w:hAnsi="Times New Roman" w:cs="Times New Roman"/>
          <w:smallCaps/>
          <w:kern w:val="24"/>
          <w:sz w:val="24"/>
          <w:szCs w:val="24"/>
        </w:rPr>
        <w:t>Aristote</w:t>
      </w:r>
      <w:r w:rsidR="00181EAA" w:rsidRPr="00BB6220">
        <w:rPr>
          <w:rFonts w:ascii="Times New Roman" w:hAnsi="Times New Roman" w:cs="Times New Roman"/>
          <w:kern w:val="24"/>
          <w:sz w:val="24"/>
          <w:szCs w:val="24"/>
        </w:rPr>
        <w:t>).</w:t>
      </w:r>
      <w:r w:rsidR="00181EAA" w:rsidRPr="00BB6220">
        <w:rPr>
          <w:rStyle w:val="Appelnotedebasdep"/>
          <w:rFonts w:ascii="Times New Roman" w:hAnsi="Times New Roman"/>
          <w:kern w:val="24"/>
          <w:sz w:val="24"/>
          <w:szCs w:val="24"/>
        </w:rPr>
        <w:footnoteReference w:id="33"/>
      </w:r>
    </w:p>
    <w:p w14:paraId="64616887" w14:textId="63FE29E6" w:rsidR="005A417F" w:rsidRPr="00BB6220" w:rsidRDefault="00181EAA" w:rsidP="005A417F">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BB6220">
        <w:rPr>
          <w:rFonts w:ascii="Times New Roman" w:hAnsi="Times New Roman" w:cs="Times New Roman"/>
          <w:kern w:val="24"/>
          <w:sz w:val="24"/>
          <w:szCs w:val="24"/>
        </w:rPr>
        <w:t>Ainsi, à titre d’illustration de la sagesse philosophique grecque ant</w:t>
      </w:r>
      <w:r w:rsidR="00B75F8E" w:rsidRPr="00BB6220">
        <w:rPr>
          <w:rFonts w:ascii="Times New Roman" w:hAnsi="Times New Roman" w:cs="Times New Roman"/>
          <w:kern w:val="24"/>
          <w:sz w:val="24"/>
          <w:szCs w:val="24"/>
        </w:rPr>
        <w:t>ique,</w:t>
      </w:r>
      <w:r w:rsidR="002760B2" w:rsidRPr="00BB6220">
        <w:rPr>
          <w:rFonts w:ascii="Times New Roman" w:hAnsi="Times New Roman" w:cs="Times New Roman"/>
          <w:kern w:val="24"/>
          <w:sz w:val="24"/>
          <w:szCs w:val="24"/>
        </w:rPr>
        <w:t xml:space="preserve"> </w:t>
      </w:r>
      <w:r w:rsidR="002760B2" w:rsidRPr="00BB6220">
        <w:rPr>
          <w:rFonts w:ascii="Times New Roman" w:hAnsi="Times New Roman" w:cs="Times New Roman"/>
          <w:smallCaps/>
          <w:kern w:val="24"/>
          <w:sz w:val="24"/>
          <w:szCs w:val="24"/>
        </w:rPr>
        <w:t>Aristote</w:t>
      </w:r>
      <w:r w:rsidR="005A417F" w:rsidRPr="00BB6220">
        <w:rPr>
          <w:rFonts w:ascii="Times New Roman" w:hAnsi="Times New Roman" w:cs="Times New Roman"/>
          <w:kern w:val="24"/>
          <w:sz w:val="24"/>
          <w:szCs w:val="24"/>
        </w:rPr>
        <w:t xml:space="preserve"> affirme</w:t>
      </w:r>
      <w:r w:rsidR="00544FF9" w:rsidRPr="00BB6220">
        <w:rPr>
          <w:rFonts w:ascii="Times New Roman" w:hAnsi="Times New Roman" w:cs="Times New Roman"/>
          <w:kern w:val="24"/>
          <w:sz w:val="24"/>
          <w:szCs w:val="24"/>
        </w:rPr>
        <w:t> :</w:t>
      </w:r>
      <w:r w:rsidR="005A417F" w:rsidRPr="00BB6220">
        <w:rPr>
          <w:rFonts w:ascii="Times New Roman" w:hAnsi="Times New Roman" w:cs="Times New Roman"/>
          <w:kern w:val="24"/>
          <w:sz w:val="24"/>
          <w:szCs w:val="24"/>
        </w:rPr>
        <w:t xml:space="preserve"> « </w:t>
      </w:r>
      <w:r w:rsidR="005A417F" w:rsidRPr="00BB6220">
        <w:rPr>
          <w:rFonts w:ascii="Times New Roman" w:hAnsi="Times New Roman" w:cs="Times New Roman"/>
          <w:i/>
          <w:iCs/>
          <w:kern w:val="24"/>
          <w:sz w:val="24"/>
          <w:szCs w:val="24"/>
        </w:rPr>
        <w:t xml:space="preserve">Aussi a-t-on parfaitement raison </w:t>
      </w:r>
      <w:r w:rsidR="005A417F" w:rsidRPr="00BB6220">
        <w:rPr>
          <w:rFonts w:ascii="Times New Roman" w:hAnsi="Times New Roman" w:cs="Times New Roman"/>
          <w:b/>
          <w:i/>
          <w:iCs/>
          <w:kern w:val="24"/>
          <w:sz w:val="24"/>
          <w:szCs w:val="24"/>
        </w:rPr>
        <w:t>d’exécrer le prêt à intérêt</w:t>
      </w:r>
      <w:r w:rsidR="005A417F" w:rsidRPr="00BB6220">
        <w:rPr>
          <w:rFonts w:ascii="Times New Roman" w:hAnsi="Times New Roman" w:cs="Times New Roman"/>
          <w:i/>
          <w:iCs/>
          <w:kern w:val="24"/>
          <w:sz w:val="24"/>
          <w:szCs w:val="24"/>
        </w:rPr>
        <w:t>, parce qu</w:t>
      </w:r>
      <w:r w:rsidR="000F76E0" w:rsidRPr="00BB6220">
        <w:rPr>
          <w:rFonts w:ascii="Times New Roman" w:hAnsi="Times New Roman" w:cs="Times New Roman"/>
          <w:i/>
          <w:iCs/>
          <w:kern w:val="24"/>
          <w:sz w:val="24"/>
          <w:szCs w:val="24"/>
        </w:rPr>
        <w:t>’</w:t>
      </w:r>
      <w:r w:rsidR="005A417F" w:rsidRPr="00BB6220">
        <w:rPr>
          <w:rFonts w:ascii="Times New Roman" w:hAnsi="Times New Roman" w:cs="Times New Roman"/>
          <w:i/>
          <w:iCs/>
          <w:kern w:val="24"/>
          <w:sz w:val="24"/>
          <w:szCs w:val="24"/>
        </w:rPr>
        <w:t xml:space="preserve">alors les gains acquis proviennent de la monnaie elle-même et non plus de ce pour quoi on l’institua. Si la monnaie n’a été faite qu’en vue de l’échange, </w:t>
      </w:r>
      <w:r w:rsidR="005A417F" w:rsidRPr="00BB6220">
        <w:rPr>
          <w:rFonts w:ascii="Times New Roman" w:hAnsi="Times New Roman" w:cs="Times New Roman"/>
          <w:b/>
          <w:i/>
          <w:iCs/>
          <w:kern w:val="24"/>
          <w:sz w:val="24"/>
          <w:szCs w:val="24"/>
        </w:rPr>
        <w:t>l’intérêt, au contraire, multiplie cet argent-</w:t>
      </w:r>
      <w:r w:rsidR="005A417F" w:rsidRPr="00BB6220">
        <w:rPr>
          <w:rFonts w:ascii="Times New Roman" w:hAnsi="Times New Roman" w:cs="Times New Roman"/>
          <w:i/>
          <w:iCs/>
          <w:kern w:val="24"/>
          <w:sz w:val="24"/>
          <w:szCs w:val="24"/>
        </w:rPr>
        <w:t xml:space="preserve">même, c’est de là qu’il a pris son nom (tokos), parce que les êtres produits sont semblables à leurs parents, et </w:t>
      </w:r>
      <w:r w:rsidR="005A417F" w:rsidRPr="00BB6220">
        <w:rPr>
          <w:rFonts w:ascii="Times New Roman" w:hAnsi="Times New Roman" w:cs="Times New Roman"/>
          <w:b/>
          <w:i/>
          <w:iCs/>
          <w:kern w:val="24"/>
          <w:sz w:val="24"/>
          <w:szCs w:val="24"/>
        </w:rPr>
        <w:t>l’intérêt est de l’argent né d’argent, aussi l’usure</w:t>
      </w:r>
      <w:r w:rsidR="005A417F" w:rsidRPr="00BB6220">
        <w:rPr>
          <w:rFonts w:ascii="Times New Roman" w:hAnsi="Times New Roman" w:cs="Times New Roman"/>
          <w:i/>
          <w:iCs/>
          <w:kern w:val="24"/>
          <w:sz w:val="24"/>
          <w:szCs w:val="24"/>
        </w:rPr>
        <w:t xml:space="preserve"> est-elle de tous les modes d’acquisition le plus contraire à la nature</w:t>
      </w:r>
      <w:r w:rsidR="005A417F" w:rsidRPr="00BB6220">
        <w:rPr>
          <w:rFonts w:ascii="Times New Roman" w:hAnsi="Times New Roman" w:cs="Times New Roman"/>
          <w:kern w:val="24"/>
          <w:sz w:val="24"/>
          <w:szCs w:val="24"/>
        </w:rPr>
        <w:t> »</w:t>
      </w:r>
      <w:r w:rsidR="005A417F" w:rsidRPr="00BB6220">
        <w:rPr>
          <w:rStyle w:val="Appelnotedebasdep"/>
          <w:rFonts w:ascii="Times New Roman" w:hAnsi="Times New Roman"/>
          <w:kern w:val="24"/>
          <w:sz w:val="24"/>
          <w:szCs w:val="24"/>
        </w:rPr>
        <w:footnoteReference w:id="34"/>
      </w:r>
      <w:r w:rsidR="005A417F" w:rsidRPr="00BB6220">
        <w:rPr>
          <w:rFonts w:ascii="Times New Roman" w:hAnsi="Times New Roman" w:cs="Times New Roman"/>
          <w:kern w:val="24"/>
          <w:sz w:val="24"/>
          <w:szCs w:val="24"/>
        </w:rPr>
        <w:t>.</w:t>
      </w:r>
    </w:p>
    <w:p w14:paraId="31CC7782" w14:textId="51B40D3A" w:rsidR="00B53D23" w:rsidRPr="00BB6220" w:rsidRDefault="00017FA2" w:rsidP="00544FF9">
      <w:pPr>
        <w:tabs>
          <w:tab w:val="left" w:pos="0"/>
        </w:tabs>
        <w:spacing w:before="120" w:line="300" w:lineRule="auto"/>
        <w:ind w:firstLine="709"/>
        <w:rPr>
          <w:rFonts w:ascii="Times New Roman" w:hAnsi="Times New Roman" w:cs="Times New Roman"/>
          <w:kern w:val="24"/>
        </w:rPr>
      </w:pPr>
      <w:r w:rsidRPr="00BB6220">
        <w:rPr>
          <w:rFonts w:ascii="Times New Roman" w:hAnsi="Times New Roman" w:cs="Times New Roman"/>
          <w:kern w:val="24"/>
          <w:sz w:val="24"/>
          <w:szCs w:val="24"/>
        </w:rPr>
        <w:t xml:space="preserve">De leur part, le </w:t>
      </w:r>
      <w:r w:rsidR="00E13FA6" w:rsidRPr="00BB6220">
        <w:rPr>
          <w:rFonts w:ascii="Times New Roman" w:hAnsi="Times New Roman" w:cs="Times New Roman"/>
          <w:kern w:val="24"/>
          <w:sz w:val="24"/>
          <w:szCs w:val="24"/>
        </w:rPr>
        <w:t>Judaïsme</w:t>
      </w:r>
      <w:r w:rsidRPr="00BB6220">
        <w:rPr>
          <w:rFonts w:ascii="Times New Roman" w:hAnsi="Times New Roman" w:cs="Times New Roman"/>
          <w:kern w:val="24"/>
          <w:sz w:val="24"/>
          <w:szCs w:val="24"/>
        </w:rPr>
        <w:t xml:space="preserve"> et le Christianisme à travers leurs Ecritures Saintes évoquent l’attitude à tenir envers l’intérêt.</w:t>
      </w:r>
      <w:r w:rsidR="00C8693C" w:rsidRPr="00BB6220">
        <w:rPr>
          <w:rFonts w:ascii="Times New Roman" w:hAnsi="Times New Roman" w:cs="Times New Roman"/>
          <w:kern w:val="24"/>
          <w:sz w:val="24"/>
          <w:szCs w:val="24"/>
        </w:rPr>
        <w:t xml:space="preserve"> </w:t>
      </w:r>
      <w:r w:rsidR="00B53D23" w:rsidRPr="00BB6220">
        <w:rPr>
          <w:rFonts w:ascii="Times New Roman" w:hAnsi="Times New Roman" w:cs="Times New Roman"/>
          <w:kern w:val="24"/>
          <w:sz w:val="24"/>
          <w:szCs w:val="24"/>
        </w:rPr>
        <w:t xml:space="preserve">L’intérêt est interdit entre </w:t>
      </w:r>
      <w:r w:rsidR="00050A0B" w:rsidRPr="00BB6220">
        <w:rPr>
          <w:rFonts w:ascii="Times New Roman" w:hAnsi="Times New Roman" w:cs="Times New Roman"/>
          <w:kern w:val="24"/>
          <w:sz w:val="24"/>
          <w:szCs w:val="24"/>
        </w:rPr>
        <w:t>J</w:t>
      </w:r>
      <w:r w:rsidR="00B53D23" w:rsidRPr="00BB6220">
        <w:rPr>
          <w:rFonts w:ascii="Times New Roman" w:hAnsi="Times New Roman" w:cs="Times New Roman"/>
          <w:kern w:val="24"/>
          <w:sz w:val="24"/>
          <w:szCs w:val="24"/>
        </w:rPr>
        <w:t>uifs</w:t>
      </w:r>
      <w:r w:rsidR="00B53D23" w:rsidRPr="00BB6220">
        <w:rPr>
          <w:rFonts w:ascii="Times New Roman" w:hAnsi="Times New Roman" w:cs="Times New Roman"/>
          <w:b/>
          <w:bCs/>
          <w:kern w:val="24"/>
          <w:sz w:val="24"/>
          <w:szCs w:val="24"/>
        </w:rPr>
        <w:t>.</w:t>
      </w:r>
      <w:r w:rsidR="00B53D23" w:rsidRPr="00BB6220">
        <w:rPr>
          <w:rFonts w:ascii="Times New Roman" w:hAnsi="Times New Roman" w:cs="Times New Roman"/>
          <w:kern w:val="24"/>
        </w:rPr>
        <w:t xml:space="preserve"> </w:t>
      </w:r>
      <w:r w:rsidR="00050A0B" w:rsidRPr="00BB6220">
        <w:rPr>
          <w:rFonts w:ascii="Times New Roman" w:hAnsi="Times New Roman" w:cs="Times New Roman"/>
          <w:kern w:val="24"/>
        </w:rPr>
        <w:t>« </w:t>
      </w:r>
      <w:r w:rsidR="00B53D23" w:rsidRPr="00BB6220">
        <w:rPr>
          <w:rFonts w:ascii="Times New Roman" w:hAnsi="Times New Roman" w:cs="Times New Roman"/>
          <w:i/>
          <w:iCs/>
          <w:kern w:val="24"/>
        </w:rPr>
        <w:t>Le Deutéronome a prescrit aux Juifs de ne pas prêter à intérêt à leurs frères. Mais les Juifs interprètent cette règle comme la permission de prêter à intérêt à ceux qui ne sont pas leurs coreligionnaires. Du coup, ils acquièrent une solide réputation d’usuriers</w:t>
      </w:r>
      <w:r w:rsidR="00050A0B" w:rsidRPr="00BB6220">
        <w:rPr>
          <w:rFonts w:ascii="Times New Roman" w:hAnsi="Times New Roman" w:cs="Times New Roman"/>
          <w:kern w:val="24"/>
        </w:rPr>
        <w:t> »</w:t>
      </w:r>
      <w:r w:rsidR="00B53D23" w:rsidRPr="00BB6220">
        <w:rPr>
          <w:rStyle w:val="Appelnotedebasdep"/>
          <w:rFonts w:ascii="Times New Roman" w:hAnsi="Times New Roman"/>
          <w:kern w:val="24"/>
        </w:rPr>
        <w:footnoteReference w:id="35"/>
      </w:r>
      <w:r w:rsidR="00B53D23" w:rsidRPr="00BB6220">
        <w:rPr>
          <w:rFonts w:ascii="Times New Roman" w:hAnsi="Times New Roman" w:cs="Times New Roman"/>
          <w:kern w:val="24"/>
        </w:rPr>
        <w:t>. La Torah condamne la pratique de l’intérêt dans les passages suivants :</w:t>
      </w:r>
    </w:p>
    <w:p w14:paraId="0C117AB7" w14:textId="77777777" w:rsidR="00D45AC3" w:rsidRPr="00BB6220" w:rsidRDefault="00D45AC3" w:rsidP="00050A0B">
      <w:pPr>
        <w:spacing w:before="120"/>
        <w:ind w:left="1111" w:right="1843"/>
        <w:rPr>
          <w:rFonts w:asciiTheme="majorBidi" w:hAnsiTheme="majorBidi" w:cstheme="majorBidi"/>
          <w:i/>
          <w:kern w:val="24"/>
          <w:sz w:val="24"/>
        </w:rPr>
      </w:pPr>
      <w:r w:rsidRPr="00BB6220">
        <w:rPr>
          <w:rFonts w:asciiTheme="majorBidi" w:hAnsiTheme="majorBidi" w:cstheme="majorBidi"/>
          <w:i/>
          <w:kern w:val="24"/>
          <w:sz w:val="24"/>
        </w:rPr>
        <w:t>« Si ton frère tombe dans la gêne et que sa main vacille près de toi, tu le soutiendras, fût-il résident ou hôte, pour qu’il vive près de toi. Ne lui prends ni intérêt ni usure ; ainsi tu auras crainte de ton Dieu, et ton frère vivra près de toi... Tu ne lui céderas pas ton argent à intérêt ni tes aliments à usure »</w:t>
      </w:r>
    </w:p>
    <w:p w14:paraId="159D72B5" w14:textId="468BF6B9" w:rsidR="00D45AC3" w:rsidRPr="00BB6220" w:rsidRDefault="00D45AC3" w:rsidP="00050A0B">
      <w:pPr>
        <w:pStyle w:val="Corpsdetexte"/>
        <w:spacing w:line="300" w:lineRule="auto"/>
        <w:ind w:right="1843"/>
        <w:jc w:val="right"/>
        <w:rPr>
          <w:b/>
          <w:bCs/>
          <w:kern w:val="24"/>
        </w:rPr>
      </w:pPr>
      <w:r w:rsidRPr="00BB6220">
        <w:rPr>
          <w:b/>
          <w:bCs/>
          <w:kern w:val="24"/>
        </w:rPr>
        <w:t>(Lévitique, 25, 35-37)</w:t>
      </w:r>
    </w:p>
    <w:p w14:paraId="54465462" w14:textId="126EA604" w:rsidR="00D45AC3" w:rsidRPr="00BB6220" w:rsidRDefault="00D45AC3" w:rsidP="00BB6220">
      <w:pPr>
        <w:tabs>
          <w:tab w:val="left" w:pos="7938"/>
        </w:tabs>
        <w:spacing w:before="60"/>
        <w:ind w:left="1111"/>
        <w:rPr>
          <w:rFonts w:asciiTheme="majorBidi" w:hAnsiTheme="majorBidi" w:cstheme="majorBidi"/>
          <w:i/>
          <w:kern w:val="24"/>
          <w:sz w:val="24"/>
        </w:rPr>
      </w:pPr>
      <w:r w:rsidRPr="00BB6220">
        <w:rPr>
          <w:rFonts w:asciiTheme="majorBidi" w:hAnsiTheme="majorBidi" w:cstheme="majorBidi"/>
          <w:i/>
          <w:kern w:val="24"/>
          <w:sz w:val="24"/>
        </w:rPr>
        <w:t>« Mais il n’en est pas de même avec “l’étranger”</w:t>
      </w:r>
      <w:r w:rsidR="00050A0B" w:rsidRPr="00BB6220">
        <w:rPr>
          <w:rFonts w:asciiTheme="majorBidi" w:hAnsiTheme="majorBidi" w:cstheme="majorBidi"/>
          <w:i/>
          <w:kern w:val="24"/>
          <w:sz w:val="24"/>
        </w:rPr>
        <w:t> :</w:t>
      </w:r>
    </w:p>
    <w:p w14:paraId="4D31FF6A" w14:textId="6BD6C1C1" w:rsidR="00D45AC3" w:rsidRPr="00BB6220" w:rsidRDefault="00D45AC3" w:rsidP="00050A0B">
      <w:pPr>
        <w:tabs>
          <w:tab w:val="left" w:pos="7938"/>
        </w:tabs>
        <w:ind w:left="1111" w:right="1843"/>
        <w:rPr>
          <w:rFonts w:asciiTheme="majorBidi" w:hAnsiTheme="majorBidi" w:cstheme="majorBidi"/>
          <w:i/>
          <w:kern w:val="24"/>
          <w:sz w:val="24"/>
        </w:rPr>
      </w:pPr>
      <w:r w:rsidRPr="00BB6220">
        <w:rPr>
          <w:rFonts w:asciiTheme="majorBidi" w:hAnsiTheme="majorBidi" w:cstheme="majorBidi"/>
          <w:i/>
          <w:kern w:val="24"/>
          <w:sz w:val="24"/>
        </w:rPr>
        <w:t>Tu ne prêteras pas à intérêt à ton frère</w:t>
      </w:r>
      <w:r w:rsidR="00050A0B" w:rsidRPr="00BB6220">
        <w:rPr>
          <w:rFonts w:asciiTheme="majorBidi" w:hAnsiTheme="majorBidi" w:cstheme="majorBidi"/>
          <w:i/>
          <w:kern w:val="24"/>
          <w:sz w:val="24"/>
        </w:rPr>
        <w:t> :</w:t>
      </w:r>
      <w:r w:rsidRPr="00BB6220">
        <w:rPr>
          <w:rFonts w:asciiTheme="majorBidi" w:hAnsiTheme="majorBidi" w:cstheme="majorBidi"/>
          <w:i/>
          <w:kern w:val="24"/>
          <w:sz w:val="24"/>
        </w:rPr>
        <w:t xml:space="preserve"> intérêt pour argent,</w:t>
      </w:r>
      <w:r w:rsidR="00050A0B" w:rsidRPr="00BB6220">
        <w:rPr>
          <w:rFonts w:asciiTheme="majorBidi" w:hAnsiTheme="majorBidi" w:cstheme="majorBidi"/>
          <w:i/>
          <w:kern w:val="24"/>
          <w:sz w:val="24"/>
        </w:rPr>
        <w:t xml:space="preserve"> </w:t>
      </w:r>
      <w:r w:rsidRPr="00BB6220">
        <w:rPr>
          <w:rFonts w:asciiTheme="majorBidi" w:hAnsiTheme="majorBidi" w:cstheme="majorBidi"/>
          <w:i/>
          <w:kern w:val="24"/>
          <w:sz w:val="24"/>
        </w:rPr>
        <w:t xml:space="preserve">intérêt pour nourriture, intérêt pour quoi que </w:t>
      </w:r>
      <w:r w:rsidR="003A6906" w:rsidRPr="00BB6220">
        <w:rPr>
          <w:rFonts w:asciiTheme="majorBidi" w:hAnsiTheme="majorBidi" w:cstheme="majorBidi"/>
          <w:i/>
          <w:kern w:val="24"/>
          <w:sz w:val="24"/>
        </w:rPr>
        <w:t>ce soit qui se prête à intérêt.</w:t>
      </w:r>
      <w:r w:rsidRPr="00BB6220">
        <w:rPr>
          <w:rFonts w:asciiTheme="majorBidi" w:hAnsiTheme="majorBidi" w:cstheme="majorBidi"/>
          <w:i/>
          <w:kern w:val="24"/>
          <w:sz w:val="24"/>
        </w:rPr>
        <w:t xml:space="preserve"> </w:t>
      </w:r>
      <w:r w:rsidRPr="00BB6220">
        <w:rPr>
          <w:rFonts w:asciiTheme="majorBidi" w:hAnsiTheme="majorBidi" w:cstheme="majorBidi"/>
          <w:bCs/>
          <w:i/>
          <w:kern w:val="24"/>
          <w:sz w:val="24"/>
        </w:rPr>
        <w:t>A l’étranger tu pourras prêter à intérêt, mais à ton frère tu ne prêteras pas à intérêt,</w:t>
      </w:r>
      <w:r w:rsidRPr="00BB6220">
        <w:rPr>
          <w:rFonts w:asciiTheme="majorBidi" w:hAnsiTheme="majorBidi" w:cstheme="majorBidi"/>
          <w:i/>
          <w:kern w:val="24"/>
          <w:sz w:val="24"/>
        </w:rPr>
        <w:t xml:space="preserve"> afin que Yahvé, ton Dieu, te bénisse en toute entreprise de ta main, dans le pays où tu vas entrer pour en prendre possession ».</w:t>
      </w:r>
    </w:p>
    <w:p w14:paraId="12205469" w14:textId="7B3D070E" w:rsidR="00D45AC3" w:rsidRPr="00BB6220" w:rsidRDefault="00D45AC3" w:rsidP="00544FF9">
      <w:pPr>
        <w:pStyle w:val="Corpsdetexte"/>
        <w:tabs>
          <w:tab w:val="left" w:pos="7088"/>
          <w:tab w:val="left" w:pos="7230"/>
        </w:tabs>
        <w:spacing w:line="300" w:lineRule="auto"/>
        <w:ind w:right="1843"/>
        <w:jc w:val="right"/>
        <w:rPr>
          <w:b/>
          <w:bCs/>
          <w:kern w:val="24"/>
        </w:rPr>
      </w:pPr>
      <w:r w:rsidRPr="00BB6220">
        <w:rPr>
          <w:b/>
          <w:bCs/>
          <w:kern w:val="24"/>
        </w:rPr>
        <w:t>(Deutéronome, 23, 20-21)</w:t>
      </w:r>
    </w:p>
    <w:p w14:paraId="7D52FDE2" w14:textId="77777777" w:rsidR="002302F9" w:rsidRPr="00BB6220" w:rsidRDefault="002302F9" w:rsidP="003A6906">
      <w:pPr>
        <w:spacing w:before="120"/>
        <w:ind w:left="1111" w:right="1843"/>
        <w:rPr>
          <w:rFonts w:asciiTheme="majorBidi" w:hAnsiTheme="majorBidi" w:cstheme="majorBidi"/>
          <w:i/>
          <w:kern w:val="24"/>
          <w:sz w:val="24"/>
          <w:szCs w:val="24"/>
        </w:rPr>
      </w:pPr>
      <w:r w:rsidRPr="00BB6220">
        <w:rPr>
          <w:rFonts w:asciiTheme="majorBidi" w:hAnsiTheme="majorBidi" w:cstheme="majorBidi"/>
          <w:i/>
          <w:kern w:val="24"/>
          <w:sz w:val="24"/>
          <w:szCs w:val="24"/>
        </w:rPr>
        <w:t>« Si tu prêtes de l’argent à quelqu’un de mon peuple, au pauvre qui est près de toi, tu n’agiras pas à son égard comme un créancier : vous ne lui imposerez pas d’intérêt ».</w:t>
      </w:r>
    </w:p>
    <w:p w14:paraId="73E2BAB7" w14:textId="3D66D2E2" w:rsidR="00D45AC3" w:rsidRPr="00BB6220" w:rsidRDefault="002302F9" w:rsidP="00050A0B">
      <w:pPr>
        <w:pStyle w:val="Corpsdetexte"/>
        <w:spacing w:line="300" w:lineRule="auto"/>
        <w:ind w:right="1843"/>
        <w:jc w:val="right"/>
        <w:rPr>
          <w:b/>
          <w:bCs/>
          <w:kern w:val="24"/>
          <w:sz w:val="29"/>
        </w:rPr>
      </w:pPr>
      <w:r w:rsidRPr="00BB6220">
        <w:rPr>
          <w:b/>
          <w:bCs/>
          <w:kern w:val="24"/>
        </w:rPr>
        <w:t>(Exode, 22, 24)</w:t>
      </w:r>
    </w:p>
    <w:p w14:paraId="5C21E2CF" w14:textId="49687E16" w:rsidR="002760B2" w:rsidRPr="00BB6220" w:rsidRDefault="002302F9" w:rsidP="003A6906">
      <w:pPr>
        <w:spacing w:before="120" w:line="300" w:lineRule="auto"/>
        <w:ind w:firstLine="709"/>
        <w:rPr>
          <w:rFonts w:ascii="Times New Roman" w:hAnsi="Times New Roman" w:cs="Times New Roman"/>
          <w:i/>
          <w:kern w:val="24"/>
          <w:sz w:val="24"/>
          <w:szCs w:val="24"/>
        </w:rPr>
      </w:pPr>
      <w:r w:rsidRPr="00BB6220">
        <w:rPr>
          <w:rFonts w:ascii="Times New Roman" w:hAnsi="Times New Roman" w:cs="Times New Roman"/>
          <w:kern w:val="24"/>
          <w:sz w:val="24"/>
          <w:szCs w:val="24"/>
          <w:shd w:val="clear" w:color="auto" w:fill="FFFFFF"/>
        </w:rPr>
        <w:t>Des trois passages de la Torah, il ressort ainsi que</w:t>
      </w:r>
      <w:r w:rsidR="00BB6220">
        <w:rPr>
          <w:rFonts w:ascii="Times New Roman" w:hAnsi="Times New Roman" w:cs="Times New Roman"/>
          <w:kern w:val="24"/>
          <w:sz w:val="24"/>
          <w:szCs w:val="24"/>
          <w:shd w:val="clear" w:color="auto" w:fill="FFFFFF"/>
        </w:rPr>
        <w:t xml:space="preserve"> </w:t>
      </w:r>
      <w:r w:rsidRPr="00BB6220">
        <w:rPr>
          <w:rFonts w:ascii="Times New Roman" w:hAnsi="Times New Roman" w:cs="Times New Roman"/>
          <w:kern w:val="24"/>
          <w:sz w:val="24"/>
          <w:szCs w:val="24"/>
          <w:shd w:val="clear" w:color="auto" w:fill="FFFFFF"/>
        </w:rPr>
        <w:t>l’interdiction de prêter à intérêt</w:t>
      </w:r>
      <w:r w:rsidR="00544FF9" w:rsidRPr="00BB6220">
        <w:rPr>
          <w:rFonts w:ascii="Times New Roman" w:hAnsi="Times New Roman" w:cs="Times New Roman"/>
          <w:kern w:val="24"/>
          <w:sz w:val="24"/>
          <w:szCs w:val="24"/>
          <w:shd w:val="clear" w:color="auto" w:fill="FFFFFF"/>
        </w:rPr>
        <w:t xml:space="preserve"> </w:t>
      </w:r>
      <w:r w:rsidRPr="00BB6220">
        <w:rPr>
          <w:rFonts w:ascii="Times New Roman" w:hAnsi="Times New Roman" w:cs="Times New Roman"/>
          <w:kern w:val="24"/>
          <w:sz w:val="24"/>
          <w:szCs w:val="24"/>
          <w:shd w:val="clear" w:color="auto" w:fill="FFFFFF"/>
        </w:rPr>
        <w:t>ne s’applique que lorsque le prêteur et l’emprunteur sont juifs.</w:t>
      </w:r>
      <w:r w:rsidR="00D02B4A" w:rsidRPr="00BB6220">
        <w:rPr>
          <w:rFonts w:ascii="Times New Roman" w:hAnsi="Times New Roman" w:cs="Times New Roman"/>
          <w:kern w:val="24"/>
          <w:sz w:val="24"/>
          <w:szCs w:val="24"/>
          <w:shd w:val="clear" w:color="auto" w:fill="FFFFFF"/>
        </w:rPr>
        <w:t xml:space="preserve"> </w:t>
      </w:r>
      <w:r w:rsidR="00D02B4A" w:rsidRPr="00BB6220">
        <w:rPr>
          <w:rFonts w:ascii="Times New Roman" w:hAnsi="Times New Roman" w:cs="Times New Roman"/>
          <w:kern w:val="24"/>
          <w:sz w:val="24"/>
          <w:szCs w:val="24"/>
        </w:rPr>
        <w:t>D</w:t>
      </w:r>
      <w:r w:rsidR="002760B2" w:rsidRPr="00BB6220">
        <w:rPr>
          <w:rFonts w:ascii="Times New Roman" w:hAnsi="Times New Roman" w:cs="Times New Roman"/>
          <w:kern w:val="24"/>
          <w:sz w:val="24"/>
          <w:szCs w:val="24"/>
        </w:rPr>
        <w:t>onc, le prêt à intérêt est permis à un non juif.</w:t>
      </w:r>
    </w:p>
    <w:p w14:paraId="1B07016F" w14:textId="77777777" w:rsidR="001B0C8D" w:rsidRPr="00BB6220" w:rsidRDefault="007D20BD" w:rsidP="001B0C8D">
      <w:pPr>
        <w:tabs>
          <w:tab w:val="left" w:pos="709"/>
        </w:tabs>
        <w:autoSpaceDE w:val="0"/>
        <w:autoSpaceDN w:val="0"/>
        <w:adjustRightInd w:val="0"/>
        <w:spacing w:before="120" w:line="300" w:lineRule="auto"/>
        <w:ind w:firstLine="709"/>
        <w:rPr>
          <w:rFonts w:ascii="Times New Roman" w:hAnsi="Times New Roman" w:cs="Times New Roman"/>
          <w:kern w:val="24"/>
          <w:sz w:val="24"/>
          <w:szCs w:val="24"/>
        </w:rPr>
      </w:pPr>
      <w:r w:rsidRPr="00BB6220">
        <w:rPr>
          <w:rFonts w:ascii="Times New Roman" w:hAnsi="Times New Roman" w:cs="Times New Roman"/>
          <w:kern w:val="24"/>
          <w:sz w:val="24"/>
          <w:szCs w:val="24"/>
        </w:rPr>
        <w:lastRenderedPageBreak/>
        <w:t>Le Christianisme</w:t>
      </w:r>
      <w:r w:rsidR="002760B2" w:rsidRPr="00BB6220">
        <w:rPr>
          <w:rFonts w:ascii="Times New Roman" w:hAnsi="Times New Roman" w:cs="Times New Roman"/>
          <w:kern w:val="24"/>
          <w:sz w:val="24"/>
          <w:szCs w:val="24"/>
        </w:rPr>
        <w:t xml:space="preserve"> a également interdit l’intérêt, mais, juste à l’intérieur des cercles chrétiens. Les pères de l’Eglise ont condamné l’usurier en l’accusant d’avidité et d’iniquité. </w:t>
      </w:r>
    </w:p>
    <w:p w14:paraId="76CEB7D1" w14:textId="77777777" w:rsidR="002760B2" w:rsidRPr="00BB6220" w:rsidRDefault="002760B2" w:rsidP="001B0C8D">
      <w:pPr>
        <w:tabs>
          <w:tab w:val="left" w:pos="709"/>
        </w:tabs>
        <w:autoSpaceDE w:val="0"/>
        <w:autoSpaceDN w:val="0"/>
        <w:adjustRightInd w:val="0"/>
        <w:spacing w:before="120" w:line="300" w:lineRule="auto"/>
        <w:ind w:firstLine="709"/>
        <w:rPr>
          <w:rFonts w:ascii="Times New Roman" w:hAnsi="Times New Roman" w:cs="Times New Roman"/>
          <w:kern w:val="24"/>
          <w:sz w:val="24"/>
          <w:szCs w:val="24"/>
        </w:rPr>
      </w:pPr>
      <w:r w:rsidRPr="00BB6220">
        <w:rPr>
          <w:rFonts w:ascii="Times New Roman" w:hAnsi="Times New Roman" w:cs="Times New Roman"/>
          <w:kern w:val="24"/>
          <w:sz w:val="24"/>
          <w:szCs w:val="24"/>
        </w:rPr>
        <w:t>Avec le développement de</w:t>
      </w:r>
      <w:r w:rsidR="007B334A" w:rsidRPr="00BB6220">
        <w:rPr>
          <w:rFonts w:ascii="Times New Roman" w:hAnsi="Times New Roman" w:cs="Times New Roman"/>
          <w:kern w:val="24"/>
          <w:sz w:val="24"/>
          <w:szCs w:val="24"/>
        </w:rPr>
        <w:t xml:space="preserve"> l’économie monétaire, au Moyen-</w:t>
      </w:r>
      <w:r w:rsidRPr="00BB6220">
        <w:rPr>
          <w:rFonts w:ascii="Times New Roman" w:hAnsi="Times New Roman" w:cs="Times New Roman"/>
          <w:kern w:val="24"/>
          <w:sz w:val="24"/>
          <w:szCs w:val="24"/>
        </w:rPr>
        <w:t>Age, l’Eglise catholique renforça sa position d’interdiction du prêt à intérêt et à usure, les considérant ainsi comme un péché capital. A cet effet, des théologiens, Thomas d’Aquin en particulier, interviennent sur cette question pour condamner l’intérêt, car ils estiment que la perception par le prêteur d’argent d’un intérêt est absolument contraire à la justice</w:t>
      </w:r>
      <w:r w:rsidRPr="00BB6220">
        <w:rPr>
          <w:rStyle w:val="Appelnotedebasdep"/>
          <w:rFonts w:ascii="Times New Roman" w:hAnsi="Times New Roman"/>
          <w:kern w:val="24"/>
          <w:sz w:val="24"/>
          <w:szCs w:val="24"/>
        </w:rPr>
        <w:footnoteReference w:id="36"/>
      </w:r>
      <w:r w:rsidRPr="00BB6220">
        <w:rPr>
          <w:rFonts w:ascii="Times New Roman" w:hAnsi="Times New Roman" w:cs="Times New Roman"/>
          <w:kern w:val="24"/>
          <w:sz w:val="24"/>
          <w:szCs w:val="24"/>
        </w:rPr>
        <w:t xml:space="preserve">. </w:t>
      </w:r>
    </w:p>
    <w:p w14:paraId="736ECB7A" w14:textId="096C65AC" w:rsidR="00C55FDB" w:rsidRPr="00BB6220" w:rsidRDefault="00C55FDB" w:rsidP="003A6906">
      <w:pPr>
        <w:spacing w:before="120" w:line="300" w:lineRule="auto"/>
        <w:ind w:firstLine="709"/>
        <w:rPr>
          <w:rFonts w:ascii="Times New Roman" w:hAnsi="Times New Roman" w:cs="Times New Roman"/>
          <w:kern w:val="24"/>
          <w:sz w:val="24"/>
          <w:szCs w:val="24"/>
        </w:rPr>
      </w:pPr>
      <w:r w:rsidRPr="00BB6220">
        <w:rPr>
          <w:rFonts w:ascii="Times New Roman" w:eastAsia="Times New Roman" w:hAnsi="Times New Roman" w:cs="Times New Roman"/>
          <w:color w:val="000000"/>
          <w:kern w:val="24"/>
          <w:sz w:val="24"/>
          <w:szCs w:val="24"/>
          <w:lang w:eastAsia="fr-FR"/>
        </w:rPr>
        <w:t>En fait, St-Thomas d’</w:t>
      </w:r>
      <w:r w:rsidRPr="00BB6220">
        <w:rPr>
          <w:rFonts w:ascii="Times New Roman" w:eastAsia="Times New Roman" w:hAnsi="Times New Roman" w:cs="Times New Roman"/>
          <w:smallCaps/>
          <w:color w:val="000000"/>
          <w:kern w:val="24"/>
          <w:sz w:val="24"/>
          <w:szCs w:val="24"/>
          <w:lang w:eastAsia="fr-FR"/>
        </w:rPr>
        <w:t>Aquin</w:t>
      </w:r>
      <w:r w:rsidRPr="00BB6220">
        <w:rPr>
          <w:rFonts w:ascii="Times New Roman" w:eastAsia="Times New Roman" w:hAnsi="Times New Roman" w:cs="Times New Roman"/>
          <w:color w:val="000000"/>
          <w:kern w:val="24"/>
          <w:sz w:val="24"/>
          <w:szCs w:val="24"/>
          <w:lang w:eastAsia="fr-FR"/>
        </w:rPr>
        <w:t xml:space="preserve"> trouve que l'argent ne peut être productif qu'entre les mains de celui qui travaille à le faire fructifier. Il indique que si une personne investit une somme d'argent dans une entreprise artisanale ou commerciale, elle reste sa propriété et, au même titre que ses associés, il participe aux risques et il peut licitement réclamer, comme venant de son bien, une partie du profit réalisé</w:t>
      </w:r>
      <w:r w:rsidRPr="00BB6220">
        <w:rPr>
          <w:rStyle w:val="Appelnotedebasdep"/>
          <w:rFonts w:ascii="Times New Roman" w:eastAsia="Times New Roman" w:hAnsi="Times New Roman"/>
          <w:color w:val="000000"/>
          <w:kern w:val="24"/>
          <w:szCs w:val="24"/>
          <w:lang w:eastAsia="fr-FR"/>
        </w:rPr>
        <w:footnoteReference w:id="37"/>
      </w:r>
      <w:r w:rsidRPr="00BB6220">
        <w:rPr>
          <w:rFonts w:ascii="Times New Roman" w:hAnsi="Times New Roman" w:cs="Times New Roman"/>
          <w:kern w:val="24"/>
          <w:sz w:val="24"/>
          <w:szCs w:val="24"/>
        </w:rPr>
        <w:t>. Il suggère que recevoir un intérêt pour de l'argent prêté est de soi injuste, car c'est faire payer ce qui n'existe pas ; ce qui constitue évidemment une inégalité contraire à la justice.</w:t>
      </w:r>
    </w:p>
    <w:p w14:paraId="7C80FF94" w14:textId="77777777" w:rsidR="00010072" w:rsidRPr="00BB6220" w:rsidRDefault="00C55FDB" w:rsidP="00D02B4A">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BB6220">
        <w:rPr>
          <w:rFonts w:ascii="Times New Roman" w:hAnsi="Times New Roman" w:cs="Times New Roman"/>
          <w:kern w:val="24"/>
          <w:sz w:val="24"/>
          <w:szCs w:val="24"/>
        </w:rPr>
        <w:t>Dans toutes les religions monothéistes, l’Islam est la seule à avoir gardé l’interdiction de l’intérêt.</w:t>
      </w:r>
      <w:r w:rsidR="00D02B4A" w:rsidRPr="00BB6220">
        <w:rPr>
          <w:rFonts w:ascii="Times New Roman" w:hAnsi="Times New Roman" w:cs="Times New Roman"/>
          <w:kern w:val="24"/>
          <w:sz w:val="24"/>
          <w:szCs w:val="24"/>
        </w:rPr>
        <w:t xml:space="preserve"> L</w:t>
      </w:r>
      <w:r w:rsidR="00010072" w:rsidRPr="00BB6220">
        <w:rPr>
          <w:rFonts w:ascii="Times New Roman" w:hAnsi="Times New Roman" w:cs="Times New Roman"/>
          <w:kern w:val="24"/>
          <w:sz w:val="24"/>
          <w:szCs w:val="24"/>
        </w:rPr>
        <w:t>’Islam considère que le temps est une création de Dieu et lui appartient et ne doit pas faire l'objet de transactions commerciales. Sans l’intervention du travail, toute opération ou rémunération basée uniquement sur le temps est illicite</w:t>
      </w:r>
      <w:r w:rsidR="00010072" w:rsidRPr="00BB6220">
        <w:rPr>
          <w:rStyle w:val="Appelnotedebasdep"/>
          <w:rFonts w:ascii="Times New Roman" w:hAnsi="Times New Roman"/>
          <w:kern w:val="24"/>
          <w:sz w:val="24"/>
          <w:szCs w:val="24"/>
        </w:rPr>
        <w:footnoteReference w:id="38"/>
      </w:r>
      <w:r w:rsidR="00010072" w:rsidRPr="00BB6220">
        <w:rPr>
          <w:rFonts w:ascii="Times New Roman" w:hAnsi="Times New Roman" w:cs="Times New Roman"/>
          <w:kern w:val="24"/>
          <w:sz w:val="24"/>
          <w:szCs w:val="24"/>
        </w:rPr>
        <w:t>.</w:t>
      </w:r>
      <w:r w:rsidR="005E669C" w:rsidRPr="00BB6220">
        <w:rPr>
          <w:rFonts w:ascii="Times New Roman" w:hAnsi="Times New Roman" w:cs="Times New Roman"/>
          <w:kern w:val="24"/>
          <w:sz w:val="24"/>
          <w:szCs w:val="24"/>
        </w:rPr>
        <w:t xml:space="preserve"> </w:t>
      </w:r>
    </w:p>
    <w:p w14:paraId="7BD9BF22" w14:textId="77777777" w:rsidR="002760B2" w:rsidRPr="0035349B" w:rsidRDefault="007B334A" w:rsidP="00236A71">
      <w:pPr>
        <w:pStyle w:val="Titre5"/>
        <w:keepNext w:val="0"/>
        <w:keepLines w:val="0"/>
        <w:spacing w:before="120" w:after="120" w:line="300" w:lineRule="auto"/>
        <w:ind w:firstLine="709"/>
        <w:rPr>
          <w:rFonts w:asciiTheme="majorBidi" w:hAnsiTheme="majorBidi"/>
          <w:b/>
          <w:bCs/>
          <w:color w:val="auto"/>
          <w:sz w:val="24"/>
          <w:szCs w:val="24"/>
        </w:rPr>
      </w:pPr>
      <w:bookmarkStart w:id="170" w:name="_Toc182298602"/>
      <w:r w:rsidRPr="0035349B">
        <w:rPr>
          <w:rFonts w:asciiTheme="majorBidi" w:hAnsiTheme="majorBidi"/>
          <w:b/>
          <w:bCs/>
          <w:color w:val="auto"/>
          <w:sz w:val="24"/>
          <w:szCs w:val="24"/>
        </w:rPr>
        <w:t xml:space="preserve">1.3.1.3- </w:t>
      </w:r>
      <w:r w:rsidR="007D20BD" w:rsidRPr="0035349B">
        <w:rPr>
          <w:rFonts w:asciiTheme="majorBidi" w:hAnsiTheme="majorBidi"/>
          <w:b/>
          <w:bCs/>
          <w:color w:val="auto"/>
          <w:sz w:val="24"/>
          <w:szCs w:val="24"/>
        </w:rPr>
        <w:t>P</w:t>
      </w:r>
      <w:r w:rsidR="002760B2" w:rsidRPr="0035349B">
        <w:rPr>
          <w:rFonts w:asciiTheme="majorBidi" w:hAnsiTheme="majorBidi"/>
          <w:b/>
          <w:bCs/>
          <w:color w:val="auto"/>
          <w:sz w:val="24"/>
          <w:szCs w:val="24"/>
        </w:rPr>
        <w:t xml:space="preserve">rohibition du </w:t>
      </w:r>
      <w:r w:rsidR="002760B2" w:rsidRPr="0035349B">
        <w:rPr>
          <w:rFonts w:asciiTheme="majorBidi" w:hAnsiTheme="majorBidi"/>
          <w:b/>
          <w:bCs/>
          <w:i/>
          <w:iCs/>
          <w:color w:val="auto"/>
          <w:sz w:val="24"/>
          <w:szCs w:val="24"/>
        </w:rPr>
        <w:t>riba</w:t>
      </w:r>
      <w:r w:rsidR="002760B2" w:rsidRPr="0035349B">
        <w:rPr>
          <w:rFonts w:asciiTheme="majorBidi" w:hAnsiTheme="majorBidi"/>
          <w:b/>
          <w:bCs/>
          <w:color w:val="auto"/>
          <w:sz w:val="24"/>
          <w:szCs w:val="24"/>
        </w:rPr>
        <w:t xml:space="preserve"> en </w:t>
      </w:r>
      <w:r w:rsidR="00F34669" w:rsidRPr="0035349B">
        <w:rPr>
          <w:rFonts w:asciiTheme="majorBidi" w:hAnsiTheme="majorBidi"/>
          <w:b/>
          <w:bCs/>
          <w:color w:val="auto"/>
          <w:sz w:val="24"/>
          <w:szCs w:val="24"/>
        </w:rPr>
        <w:t>Islam</w:t>
      </w:r>
      <w:bookmarkEnd w:id="170"/>
    </w:p>
    <w:p w14:paraId="6B866A9E" w14:textId="2CBDC286" w:rsidR="002760B2" w:rsidRPr="006F09F7" w:rsidRDefault="002760B2" w:rsidP="00236A71">
      <w:pPr>
        <w:tabs>
          <w:tab w:val="left" w:pos="0"/>
        </w:tabs>
        <w:autoSpaceDE w:val="0"/>
        <w:autoSpaceDN w:val="0"/>
        <w:adjustRightInd w:val="0"/>
        <w:spacing w:line="300" w:lineRule="auto"/>
        <w:ind w:firstLine="709"/>
        <w:rPr>
          <w:rFonts w:ascii="Times New Roman" w:hAnsi="Times New Roman" w:cs="Times New Roman"/>
          <w:sz w:val="24"/>
          <w:szCs w:val="24"/>
        </w:rPr>
      </w:pPr>
      <w:r w:rsidRPr="006F09F7">
        <w:rPr>
          <w:rFonts w:ascii="Times New Roman" w:hAnsi="Times New Roman" w:cs="Times New Roman"/>
          <w:sz w:val="24"/>
          <w:szCs w:val="24"/>
        </w:rPr>
        <w:t xml:space="preserve">L’interdiction de la pratique de l’intérêt est clairement évoquée à plusieurs reprises dans le </w:t>
      </w:r>
      <w:r w:rsidRPr="006F09F7">
        <w:rPr>
          <w:rFonts w:ascii="Times New Roman" w:hAnsi="Times New Roman" w:cs="Times New Roman"/>
          <w:iCs/>
          <w:sz w:val="24"/>
          <w:szCs w:val="24"/>
        </w:rPr>
        <w:t xml:space="preserve">Coran </w:t>
      </w:r>
      <w:r w:rsidRPr="006F09F7">
        <w:rPr>
          <w:rFonts w:ascii="Times New Roman" w:hAnsi="Times New Roman" w:cs="Times New Roman"/>
          <w:sz w:val="24"/>
          <w:szCs w:val="24"/>
        </w:rPr>
        <w:t xml:space="preserve">et la </w:t>
      </w:r>
      <w:r w:rsidR="006C1230">
        <w:rPr>
          <w:rFonts w:ascii="Times New Roman" w:hAnsi="Times New Roman" w:cs="Times New Roman"/>
          <w:i/>
          <w:iCs/>
          <w:sz w:val="24"/>
          <w:szCs w:val="24"/>
        </w:rPr>
        <w:t>S</w:t>
      </w:r>
      <w:r w:rsidR="006C1230" w:rsidRPr="006F09F7">
        <w:rPr>
          <w:rFonts w:ascii="Times New Roman" w:hAnsi="Times New Roman" w:cs="Times New Roman"/>
          <w:i/>
          <w:iCs/>
          <w:sz w:val="24"/>
          <w:szCs w:val="24"/>
        </w:rPr>
        <w:t>unna</w:t>
      </w:r>
      <w:r w:rsidR="00544FF9">
        <w:rPr>
          <w:rFonts w:ascii="Times New Roman" w:hAnsi="Times New Roman" w:cs="Times New Roman"/>
          <w:i/>
          <w:iCs/>
          <w:sz w:val="24"/>
          <w:szCs w:val="24"/>
        </w:rPr>
        <w:t>h</w:t>
      </w:r>
      <w:r w:rsidRPr="006F09F7">
        <w:rPr>
          <w:rFonts w:ascii="Times New Roman" w:hAnsi="Times New Roman" w:cs="Times New Roman"/>
          <w:sz w:val="24"/>
          <w:szCs w:val="24"/>
        </w:rPr>
        <w:t xml:space="preserve"> (tradition prophétique).</w:t>
      </w:r>
    </w:p>
    <w:p w14:paraId="1EB52590" w14:textId="77777777" w:rsidR="002760B2" w:rsidRPr="00295EBC" w:rsidRDefault="007D20BD" w:rsidP="00236A71">
      <w:pPr>
        <w:pStyle w:val="Titre6"/>
        <w:keepNext w:val="0"/>
        <w:keepLines w:val="0"/>
        <w:spacing w:before="120" w:after="120" w:line="300" w:lineRule="auto"/>
        <w:ind w:firstLine="709"/>
        <w:rPr>
          <w:rFonts w:asciiTheme="majorBidi" w:hAnsiTheme="majorBidi"/>
          <w:b/>
          <w:bCs/>
          <w:i w:val="0"/>
          <w:iCs w:val="0"/>
          <w:color w:val="auto"/>
          <w:sz w:val="24"/>
          <w:szCs w:val="24"/>
        </w:rPr>
      </w:pPr>
      <w:bookmarkStart w:id="171" w:name="_Toc182298603"/>
      <w:r w:rsidRPr="00295EBC">
        <w:rPr>
          <w:rFonts w:asciiTheme="majorBidi" w:hAnsiTheme="majorBidi"/>
          <w:b/>
          <w:bCs/>
          <w:i w:val="0"/>
          <w:iCs w:val="0"/>
          <w:color w:val="auto"/>
          <w:sz w:val="24"/>
          <w:szCs w:val="24"/>
        </w:rPr>
        <w:t xml:space="preserve">1.3.1.3.1- </w:t>
      </w:r>
      <w:r w:rsidRPr="00295EBC">
        <w:rPr>
          <w:rFonts w:asciiTheme="majorBidi" w:hAnsiTheme="majorBidi"/>
          <w:b/>
          <w:bCs/>
          <w:color w:val="auto"/>
          <w:sz w:val="24"/>
          <w:szCs w:val="24"/>
        </w:rPr>
        <w:t xml:space="preserve">Riba </w:t>
      </w:r>
      <w:r w:rsidRPr="00295EBC">
        <w:rPr>
          <w:rFonts w:asciiTheme="majorBidi" w:hAnsiTheme="majorBidi"/>
          <w:b/>
          <w:bCs/>
          <w:i w:val="0"/>
          <w:iCs w:val="0"/>
          <w:color w:val="auto"/>
          <w:sz w:val="24"/>
          <w:szCs w:val="24"/>
        </w:rPr>
        <w:t>d</w:t>
      </w:r>
      <w:r w:rsidR="002760B2" w:rsidRPr="00295EBC">
        <w:rPr>
          <w:rFonts w:asciiTheme="majorBidi" w:hAnsiTheme="majorBidi"/>
          <w:b/>
          <w:bCs/>
          <w:i w:val="0"/>
          <w:iCs w:val="0"/>
          <w:color w:val="auto"/>
          <w:sz w:val="24"/>
          <w:szCs w:val="24"/>
        </w:rPr>
        <w:t>ans le</w:t>
      </w:r>
      <w:r w:rsidR="002760B2" w:rsidRPr="00295EBC">
        <w:rPr>
          <w:rFonts w:asciiTheme="majorBidi" w:hAnsiTheme="majorBidi"/>
          <w:b/>
          <w:bCs/>
          <w:color w:val="auto"/>
          <w:sz w:val="24"/>
          <w:szCs w:val="24"/>
        </w:rPr>
        <w:t xml:space="preserve"> Coran</w:t>
      </w:r>
      <w:bookmarkEnd w:id="171"/>
    </w:p>
    <w:p w14:paraId="266ECA06" w14:textId="77777777" w:rsidR="008E65F8" w:rsidRPr="006F09F7" w:rsidRDefault="005A77F4" w:rsidP="00B342EC">
      <w:pPr>
        <w:tabs>
          <w:tab w:val="left" w:pos="0"/>
        </w:tabs>
        <w:autoSpaceDE w:val="0"/>
        <w:autoSpaceDN w:val="0"/>
        <w:adjustRightInd w:val="0"/>
        <w:spacing w:line="300" w:lineRule="auto"/>
        <w:ind w:firstLine="709"/>
        <w:rPr>
          <w:rFonts w:ascii="Times New Roman" w:hAnsi="Times New Roman" w:cs="Times New Roman"/>
          <w:sz w:val="24"/>
          <w:szCs w:val="24"/>
        </w:rPr>
      </w:pPr>
      <w:r w:rsidRPr="006F09F7">
        <w:rPr>
          <w:rFonts w:ascii="Times New Roman" w:hAnsi="Times New Roman" w:cs="Times New Roman"/>
          <w:sz w:val="24"/>
          <w:szCs w:val="24"/>
        </w:rPr>
        <w:t>Le n</w:t>
      </w:r>
      <w:r w:rsidR="002760B2" w:rsidRPr="006F09F7">
        <w:rPr>
          <w:rFonts w:ascii="Times New Roman" w:hAnsi="Times New Roman" w:cs="Times New Roman"/>
          <w:sz w:val="24"/>
          <w:szCs w:val="24"/>
        </w:rPr>
        <w:t xml:space="preserve">ombre de versets qui traitent du </w:t>
      </w:r>
      <w:r w:rsidR="002760B2" w:rsidRPr="006F09F7">
        <w:rPr>
          <w:rFonts w:ascii="Times New Roman" w:hAnsi="Times New Roman" w:cs="Times New Roman"/>
          <w:i/>
          <w:iCs/>
          <w:sz w:val="24"/>
          <w:szCs w:val="24"/>
        </w:rPr>
        <w:t>ribâ</w:t>
      </w:r>
      <w:r w:rsidRPr="006F09F7">
        <w:rPr>
          <w:rFonts w:ascii="Times New Roman" w:hAnsi="Times New Roman" w:cs="Times New Roman"/>
          <w:sz w:val="24"/>
          <w:szCs w:val="24"/>
        </w:rPr>
        <w:t xml:space="preserve"> est de </w:t>
      </w:r>
      <w:r w:rsidR="00B342EC" w:rsidRPr="006F09F7">
        <w:rPr>
          <w:rFonts w:ascii="Times New Roman" w:hAnsi="Times New Roman" w:cs="Times New Roman"/>
          <w:sz w:val="24"/>
          <w:szCs w:val="24"/>
        </w:rPr>
        <w:t>7</w:t>
      </w:r>
      <w:r w:rsidR="008E65F8" w:rsidRPr="006F09F7">
        <w:rPr>
          <w:rFonts w:ascii="Times New Roman" w:hAnsi="Times New Roman" w:cs="Times New Roman"/>
          <w:sz w:val="24"/>
          <w:szCs w:val="24"/>
        </w:rPr>
        <w:t> :</w:t>
      </w:r>
    </w:p>
    <w:p w14:paraId="03491150" w14:textId="77777777" w:rsidR="008E65F8" w:rsidRPr="006F09F7" w:rsidRDefault="004F7610" w:rsidP="00CB0FF1">
      <w:pPr>
        <w:pStyle w:val="Paragraphedeliste"/>
        <w:numPr>
          <w:ilvl w:val="0"/>
          <w:numId w:val="101"/>
        </w:numPr>
        <w:tabs>
          <w:tab w:val="left" w:pos="0"/>
        </w:tabs>
        <w:autoSpaceDE w:val="0"/>
        <w:autoSpaceDN w:val="0"/>
        <w:adjustRightInd w:val="0"/>
        <w:spacing w:line="300" w:lineRule="auto"/>
        <w:ind w:left="1135" w:hanging="284"/>
        <w:contextualSpacing w:val="0"/>
        <w:rPr>
          <w:rFonts w:ascii="Times New Roman" w:hAnsi="Times New Roman" w:cs="Times New Roman"/>
          <w:sz w:val="24"/>
          <w:szCs w:val="24"/>
        </w:rPr>
      </w:pPr>
      <w:r w:rsidRPr="006F09F7">
        <w:rPr>
          <w:rFonts w:ascii="Times New Roman" w:hAnsi="Times New Roman" w:cs="Times New Roman"/>
          <w:sz w:val="24"/>
          <w:szCs w:val="24"/>
        </w:rPr>
        <w:t>Sourate</w:t>
      </w:r>
      <w:r w:rsidR="005A77F4" w:rsidRPr="006F09F7">
        <w:rPr>
          <w:rFonts w:ascii="Times New Roman" w:hAnsi="Times New Roman" w:cs="Times New Roman"/>
          <w:sz w:val="24"/>
          <w:szCs w:val="24"/>
        </w:rPr>
        <w:t xml:space="preserve"> 2</w:t>
      </w:r>
      <w:r w:rsidR="008E65F8" w:rsidRPr="006F09F7">
        <w:rPr>
          <w:rFonts w:ascii="Times New Roman" w:hAnsi="Times New Roman" w:cs="Times New Roman"/>
          <w:sz w:val="24"/>
          <w:szCs w:val="24"/>
        </w:rPr>
        <w:t> : La génisse ;</w:t>
      </w:r>
      <w:r w:rsidR="005A77F4" w:rsidRPr="006F09F7">
        <w:rPr>
          <w:rFonts w:ascii="Times New Roman" w:hAnsi="Times New Roman" w:cs="Times New Roman"/>
          <w:sz w:val="24"/>
          <w:szCs w:val="24"/>
        </w:rPr>
        <w:t xml:space="preserve"> v</w:t>
      </w:r>
      <w:r w:rsidR="002760B2" w:rsidRPr="006F09F7">
        <w:rPr>
          <w:rFonts w:ascii="Times New Roman" w:hAnsi="Times New Roman" w:cs="Times New Roman"/>
          <w:sz w:val="24"/>
          <w:szCs w:val="24"/>
        </w:rPr>
        <w:t>ers</w:t>
      </w:r>
      <w:r w:rsidR="005A77F4" w:rsidRPr="006F09F7">
        <w:rPr>
          <w:rFonts w:ascii="Times New Roman" w:hAnsi="Times New Roman" w:cs="Times New Roman"/>
          <w:sz w:val="24"/>
          <w:szCs w:val="24"/>
        </w:rPr>
        <w:t>ets :</w:t>
      </w:r>
      <w:r w:rsidR="002760B2" w:rsidRPr="006F09F7">
        <w:rPr>
          <w:rFonts w:ascii="Times New Roman" w:hAnsi="Times New Roman" w:cs="Times New Roman"/>
          <w:sz w:val="24"/>
          <w:szCs w:val="24"/>
        </w:rPr>
        <w:t xml:space="preserve"> 27</w:t>
      </w:r>
      <w:r w:rsidR="00B342EC" w:rsidRPr="006F09F7">
        <w:rPr>
          <w:rFonts w:ascii="Times New Roman" w:hAnsi="Times New Roman" w:cs="Times New Roman"/>
          <w:sz w:val="24"/>
          <w:szCs w:val="24"/>
        </w:rPr>
        <w:t>5</w:t>
      </w:r>
      <w:r w:rsidR="008E65F8" w:rsidRPr="006F09F7">
        <w:rPr>
          <w:rFonts w:ascii="Times New Roman" w:hAnsi="Times New Roman" w:cs="Times New Roman"/>
          <w:sz w:val="24"/>
          <w:szCs w:val="24"/>
        </w:rPr>
        <w:t>, 276, 278 et 279 ;</w:t>
      </w:r>
    </w:p>
    <w:p w14:paraId="2529E854" w14:textId="5EB0FA79" w:rsidR="008E65F8" w:rsidRPr="006F09F7" w:rsidRDefault="004F7610" w:rsidP="00CB0FF1">
      <w:pPr>
        <w:pStyle w:val="Paragraphedeliste"/>
        <w:numPr>
          <w:ilvl w:val="0"/>
          <w:numId w:val="101"/>
        </w:numPr>
        <w:tabs>
          <w:tab w:val="left" w:pos="0"/>
        </w:tabs>
        <w:autoSpaceDE w:val="0"/>
        <w:autoSpaceDN w:val="0"/>
        <w:adjustRightInd w:val="0"/>
        <w:spacing w:line="300" w:lineRule="auto"/>
        <w:ind w:left="1135" w:hanging="284"/>
        <w:contextualSpacing w:val="0"/>
        <w:rPr>
          <w:rFonts w:ascii="Times New Roman" w:hAnsi="Times New Roman" w:cs="Times New Roman"/>
          <w:sz w:val="24"/>
          <w:szCs w:val="24"/>
        </w:rPr>
      </w:pPr>
      <w:r w:rsidRPr="006F09F7">
        <w:rPr>
          <w:rFonts w:ascii="Times New Roman" w:hAnsi="Times New Roman" w:cs="Times New Roman"/>
          <w:sz w:val="24"/>
          <w:szCs w:val="24"/>
        </w:rPr>
        <w:t>Sourate</w:t>
      </w:r>
      <w:r w:rsidR="005A77F4" w:rsidRPr="006F09F7">
        <w:rPr>
          <w:rFonts w:ascii="Times New Roman" w:hAnsi="Times New Roman" w:cs="Times New Roman"/>
          <w:sz w:val="24"/>
          <w:szCs w:val="24"/>
        </w:rPr>
        <w:t xml:space="preserve"> 3</w:t>
      </w:r>
      <w:r w:rsidR="00621E73">
        <w:rPr>
          <w:rFonts w:ascii="Times New Roman" w:hAnsi="Times New Roman" w:cs="Times New Roman"/>
          <w:sz w:val="24"/>
          <w:szCs w:val="24"/>
        </w:rPr>
        <w:t> :</w:t>
      </w:r>
      <w:r w:rsidR="008E65F8" w:rsidRPr="006F09F7">
        <w:rPr>
          <w:rFonts w:ascii="Times New Roman" w:hAnsi="Times New Roman" w:cs="Times New Roman"/>
          <w:sz w:val="24"/>
          <w:szCs w:val="24"/>
        </w:rPr>
        <w:t xml:space="preserve"> Al-Imrane ; verset 130 ;</w:t>
      </w:r>
    </w:p>
    <w:p w14:paraId="53C2B62F" w14:textId="16125E56" w:rsidR="008E65F8" w:rsidRPr="006F09F7" w:rsidRDefault="004F7610" w:rsidP="00CB0FF1">
      <w:pPr>
        <w:pStyle w:val="Paragraphedeliste"/>
        <w:numPr>
          <w:ilvl w:val="0"/>
          <w:numId w:val="101"/>
        </w:numPr>
        <w:tabs>
          <w:tab w:val="left" w:pos="0"/>
        </w:tabs>
        <w:autoSpaceDE w:val="0"/>
        <w:autoSpaceDN w:val="0"/>
        <w:adjustRightInd w:val="0"/>
        <w:spacing w:line="300" w:lineRule="auto"/>
        <w:ind w:left="1135" w:hanging="284"/>
        <w:contextualSpacing w:val="0"/>
        <w:rPr>
          <w:rFonts w:ascii="Times New Roman" w:hAnsi="Times New Roman" w:cs="Times New Roman"/>
          <w:sz w:val="24"/>
          <w:szCs w:val="24"/>
        </w:rPr>
      </w:pPr>
      <w:r w:rsidRPr="006F09F7">
        <w:rPr>
          <w:rFonts w:ascii="Times New Roman" w:hAnsi="Times New Roman" w:cs="Times New Roman"/>
          <w:sz w:val="24"/>
          <w:szCs w:val="24"/>
        </w:rPr>
        <w:t>Sourate</w:t>
      </w:r>
      <w:r w:rsidR="008E65F8" w:rsidRPr="006F09F7">
        <w:rPr>
          <w:rFonts w:ascii="Times New Roman" w:hAnsi="Times New Roman" w:cs="Times New Roman"/>
          <w:sz w:val="24"/>
          <w:szCs w:val="24"/>
        </w:rPr>
        <w:t xml:space="preserve"> 4</w:t>
      </w:r>
      <w:r w:rsidR="00621E73">
        <w:rPr>
          <w:rFonts w:ascii="Times New Roman" w:hAnsi="Times New Roman" w:cs="Times New Roman"/>
          <w:sz w:val="24"/>
          <w:szCs w:val="24"/>
        </w:rPr>
        <w:t> :</w:t>
      </w:r>
      <w:r w:rsidR="008E65F8" w:rsidRPr="006F09F7">
        <w:rPr>
          <w:rFonts w:ascii="Times New Roman" w:hAnsi="Times New Roman" w:cs="Times New Roman"/>
          <w:sz w:val="24"/>
          <w:szCs w:val="24"/>
        </w:rPr>
        <w:t xml:space="preserve"> Les femmes</w:t>
      </w:r>
      <w:r w:rsidR="00A73C96" w:rsidRPr="006F09F7">
        <w:rPr>
          <w:rFonts w:ascii="Times New Roman" w:hAnsi="Times New Roman" w:cs="Times New Roman"/>
          <w:sz w:val="24"/>
          <w:szCs w:val="24"/>
        </w:rPr>
        <w:t> ; verset 161 ;</w:t>
      </w:r>
    </w:p>
    <w:p w14:paraId="6FD4077B" w14:textId="79544DD0" w:rsidR="002760B2" w:rsidRPr="006F09F7" w:rsidRDefault="004F7610" w:rsidP="00CB0FF1">
      <w:pPr>
        <w:pStyle w:val="Paragraphedeliste"/>
        <w:numPr>
          <w:ilvl w:val="0"/>
          <w:numId w:val="101"/>
        </w:numPr>
        <w:tabs>
          <w:tab w:val="left" w:pos="0"/>
        </w:tabs>
        <w:autoSpaceDE w:val="0"/>
        <w:autoSpaceDN w:val="0"/>
        <w:adjustRightInd w:val="0"/>
        <w:spacing w:line="300" w:lineRule="auto"/>
        <w:ind w:left="1135" w:hanging="284"/>
        <w:contextualSpacing w:val="0"/>
        <w:rPr>
          <w:rFonts w:ascii="Times New Roman" w:hAnsi="Times New Roman" w:cs="Times New Roman"/>
          <w:sz w:val="24"/>
          <w:szCs w:val="24"/>
        </w:rPr>
      </w:pPr>
      <w:r w:rsidRPr="006F09F7">
        <w:rPr>
          <w:rFonts w:ascii="Times New Roman" w:hAnsi="Times New Roman" w:cs="Times New Roman"/>
          <w:sz w:val="24"/>
          <w:szCs w:val="24"/>
        </w:rPr>
        <w:t>Sourate</w:t>
      </w:r>
      <w:r w:rsidR="005A77F4" w:rsidRPr="006F09F7">
        <w:rPr>
          <w:rFonts w:ascii="Times New Roman" w:hAnsi="Times New Roman" w:cs="Times New Roman"/>
          <w:sz w:val="24"/>
          <w:szCs w:val="24"/>
        </w:rPr>
        <w:t xml:space="preserve"> 30</w:t>
      </w:r>
      <w:r w:rsidR="00621E73">
        <w:rPr>
          <w:rFonts w:ascii="Times New Roman" w:hAnsi="Times New Roman" w:cs="Times New Roman"/>
          <w:sz w:val="24"/>
          <w:szCs w:val="24"/>
        </w:rPr>
        <w:t> :</w:t>
      </w:r>
      <w:r w:rsidR="008E65F8" w:rsidRPr="006F09F7">
        <w:rPr>
          <w:rFonts w:ascii="Times New Roman" w:hAnsi="Times New Roman" w:cs="Times New Roman"/>
          <w:sz w:val="24"/>
          <w:szCs w:val="24"/>
        </w:rPr>
        <w:t xml:space="preserve"> Les Gréco-romains ;</w:t>
      </w:r>
      <w:r w:rsidR="005A77F4" w:rsidRPr="006F09F7">
        <w:rPr>
          <w:rFonts w:ascii="Times New Roman" w:hAnsi="Times New Roman" w:cs="Times New Roman"/>
          <w:sz w:val="24"/>
          <w:szCs w:val="24"/>
        </w:rPr>
        <w:t xml:space="preserve"> v</w:t>
      </w:r>
      <w:r w:rsidR="002760B2" w:rsidRPr="006F09F7">
        <w:rPr>
          <w:rFonts w:ascii="Times New Roman" w:hAnsi="Times New Roman" w:cs="Times New Roman"/>
          <w:sz w:val="24"/>
          <w:szCs w:val="24"/>
        </w:rPr>
        <w:t>erset 39</w:t>
      </w:r>
      <w:r w:rsidR="00A73C96" w:rsidRPr="006F09F7">
        <w:rPr>
          <w:rFonts w:ascii="Times New Roman" w:hAnsi="Times New Roman" w:cs="Times New Roman"/>
          <w:sz w:val="24"/>
          <w:szCs w:val="24"/>
        </w:rPr>
        <w:t>.</w:t>
      </w:r>
    </w:p>
    <w:p w14:paraId="342FF4CB" w14:textId="44205D92" w:rsidR="005E669C" w:rsidRPr="004D50E1" w:rsidRDefault="005E669C" w:rsidP="00236A71">
      <w:pPr>
        <w:pStyle w:val="Paragraphedeliste"/>
        <w:tabs>
          <w:tab w:val="left" w:pos="0"/>
        </w:tabs>
        <w:autoSpaceDE w:val="0"/>
        <w:autoSpaceDN w:val="0"/>
        <w:bidi/>
        <w:adjustRightInd w:val="0"/>
        <w:spacing w:before="240" w:line="300" w:lineRule="auto"/>
        <w:ind w:left="0" w:right="1134"/>
        <w:contextualSpacing w:val="0"/>
        <w:rPr>
          <w:rFonts w:ascii="Times New Roman" w:hAnsi="Times New Roman" w:cs="Times New Roman"/>
          <w:sz w:val="26"/>
          <w:szCs w:val="26"/>
          <w:lang w:bidi="ar-DZ"/>
        </w:rPr>
      </w:pPr>
      <w:r w:rsidRPr="001B0C8D">
        <w:rPr>
          <w:rFonts w:asciiTheme="majorBidi" w:hAnsiTheme="majorBidi" w:cstheme="majorBidi"/>
          <w:sz w:val="26"/>
          <w:szCs w:val="26"/>
          <w:shd w:val="clear" w:color="auto" w:fill="FFFFFF"/>
          <w:rtl/>
        </w:rPr>
        <w:t>"ٱلَّذِينَ يَأْكُلُونَ ٱلرِّبَوٰاْ لَا يَقُومُونَ إِلَّا كَمَا يَقُومُ ٱلَّذِ</w:t>
      </w:r>
      <w:r w:rsidR="00544FF9">
        <w:rPr>
          <w:rFonts w:asciiTheme="majorBidi" w:hAnsiTheme="majorBidi" w:cstheme="majorBidi" w:hint="cs"/>
          <w:sz w:val="26"/>
          <w:szCs w:val="26"/>
          <w:shd w:val="clear" w:color="auto" w:fill="FFFFFF"/>
          <w:rtl/>
        </w:rPr>
        <w:t>ي</w:t>
      </w:r>
      <w:r w:rsidRPr="001B0C8D">
        <w:rPr>
          <w:rFonts w:asciiTheme="majorBidi" w:hAnsiTheme="majorBidi" w:cstheme="majorBidi"/>
          <w:sz w:val="26"/>
          <w:szCs w:val="26"/>
          <w:shd w:val="clear" w:color="auto" w:fill="FFFFFF"/>
          <w:rtl/>
        </w:rPr>
        <w:t xml:space="preserve"> يَتَخَبَّطُهُ ٱلشَّيْطَ</w:t>
      </w:r>
      <w:r w:rsidR="00544FF9">
        <w:rPr>
          <w:rFonts w:asciiTheme="majorBidi" w:hAnsiTheme="majorBidi" w:cstheme="majorBidi" w:hint="cs"/>
          <w:sz w:val="26"/>
          <w:szCs w:val="26"/>
          <w:shd w:val="clear" w:color="auto" w:fill="FFFFFF"/>
          <w:rtl/>
        </w:rPr>
        <w:t>ا</w:t>
      </w:r>
      <w:r w:rsidRPr="001B0C8D">
        <w:rPr>
          <w:rFonts w:asciiTheme="majorBidi" w:hAnsiTheme="majorBidi" w:cstheme="majorBidi"/>
          <w:sz w:val="26"/>
          <w:szCs w:val="26"/>
          <w:shd w:val="clear" w:color="auto" w:fill="FFFFFF"/>
          <w:rtl/>
        </w:rPr>
        <w:t>ٰنُ مِنَ ٱلْمَسِّ ۚ ذَٰلِكَ بِأَنَّهُمْ قَالُوٓاْ إِنَّمَا ٱلْبَيْعُ مِثْلُ ٱلرِّبَوٰاْ ۗ وَأَحَلَّ ٱللَّهُ ٱلْبَيْعَ وَحَرَّمَ ٱلرِّبَوٰاْ ۚ فَمَن جَآءَهُۥ مَوْعِظَةٌۭ مِّن رَّبِّهِۦ فَٱنتَهَىٰ فَلَهُۥ مَا سَلَفَ وَأَمْرُهُۥٓ إِلَى ٱللَّهِ ۖ وَمَنْ عَادَ فَأُوْلَٰٓئِكَ أَصْحَٰبُ ٱلنَّارِ ۖ هُمْ فِيهَا خَٰلِدُونَ</w:t>
      </w:r>
      <w:r w:rsidR="004F7610" w:rsidRPr="00EB2CD9">
        <w:rPr>
          <w:rFonts w:asciiTheme="majorBidi" w:hAnsiTheme="majorBidi" w:cstheme="majorBidi" w:hint="cs"/>
          <w:sz w:val="24"/>
          <w:szCs w:val="24"/>
          <w:shd w:val="clear" w:color="auto" w:fill="FFFFFF"/>
          <w:rtl/>
        </w:rPr>
        <w:t>"</w:t>
      </w:r>
      <w:r w:rsidR="00544FF9">
        <w:rPr>
          <w:rFonts w:asciiTheme="majorBidi" w:hAnsiTheme="majorBidi" w:cstheme="majorBidi" w:hint="cs"/>
          <w:sz w:val="24"/>
          <w:szCs w:val="24"/>
          <w:shd w:val="clear" w:color="auto" w:fill="FFFFFF"/>
          <w:rtl/>
        </w:rPr>
        <w:t xml:space="preserve"> </w:t>
      </w:r>
      <w:r w:rsidR="004F7610" w:rsidRPr="00EB2CD9">
        <w:rPr>
          <w:rFonts w:asciiTheme="majorBidi" w:hAnsiTheme="majorBidi" w:cstheme="majorBidi" w:hint="cs"/>
          <w:b/>
          <w:bCs/>
          <w:sz w:val="24"/>
          <w:szCs w:val="24"/>
          <w:shd w:val="clear" w:color="auto" w:fill="FFFFFF"/>
          <w:rtl/>
        </w:rPr>
        <w:t>(سورة</w:t>
      </w:r>
      <w:r w:rsidRPr="00EB2CD9">
        <w:rPr>
          <w:rFonts w:asciiTheme="majorBidi" w:hAnsiTheme="majorBidi" w:cstheme="majorBidi"/>
          <w:b/>
          <w:bCs/>
          <w:sz w:val="24"/>
          <w:szCs w:val="24"/>
          <w:shd w:val="clear" w:color="auto" w:fill="FFFFFF"/>
          <w:rtl/>
        </w:rPr>
        <w:t xml:space="preserve"> البقرة، الآية 275</w:t>
      </w:r>
      <w:r w:rsidRPr="00EB2CD9">
        <w:rPr>
          <w:rFonts w:asciiTheme="majorBidi" w:hAnsiTheme="majorBidi" w:cstheme="majorBidi"/>
          <w:sz w:val="24"/>
          <w:szCs w:val="24"/>
          <w:shd w:val="clear" w:color="auto" w:fill="FFFFFF"/>
          <w:rtl/>
        </w:rPr>
        <w:t>)</w:t>
      </w:r>
      <w:r w:rsidRPr="004D50E1">
        <w:rPr>
          <w:rFonts w:ascii="KFGQPC Uthmanic Script HAFS" w:hAnsi="KFGQPC Uthmanic Script HAFS" w:hint="cs"/>
          <w:sz w:val="26"/>
          <w:szCs w:val="26"/>
          <w:shd w:val="clear" w:color="auto" w:fill="FFFFFF"/>
          <w:rtl/>
        </w:rPr>
        <w:t>.</w:t>
      </w:r>
    </w:p>
    <w:p w14:paraId="2ECED402" w14:textId="68FAE411" w:rsidR="005E669C" w:rsidRPr="00544FF9" w:rsidRDefault="005E669C" w:rsidP="001F6531">
      <w:pPr>
        <w:tabs>
          <w:tab w:val="left" w:pos="0"/>
        </w:tabs>
        <w:spacing w:before="120" w:line="300" w:lineRule="auto"/>
        <w:ind w:left="1134" w:right="-1"/>
        <w:rPr>
          <w:rFonts w:asciiTheme="minorBidi" w:hAnsiTheme="minorBidi"/>
          <w:b/>
          <w:bCs/>
          <w:kern w:val="24"/>
          <w:sz w:val="26"/>
          <w:szCs w:val="26"/>
          <w:shd w:val="clear" w:color="auto" w:fill="FFFFFF"/>
        </w:rPr>
      </w:pPr>
      <w:r w:rsidRPr="00544FF9">
        <w:rPr>
          <w:rFonts w:asciiTheme="majorBidi" w:hAnsiTheme="majorBidi" w:cstheme="majorBidi"/>
          <w:kern w:val="24"/>
          <w:shd w:val="clear" w:color="auto" w:fill="FFFFFF"/>
        </w:rPr>
        <w:t>« </w:t>
      </w:r>
      <w:r w:rsidRPr="00544FF9">
        <w:rPr>
          <w:rFonts w:asciiTheme="majorBidi" w:hAnsiTheme="majorBidi" w:cstheme="majorBidi"/>
          <w:i/>
          <w:iCs/>
          <w:kern w:val="24"/>
          <w:sz w:val="24"/>
          <w:szCs w:val="24"/>
          <w:shd w:val="clear" w:color="auto" w:fill="FFFFFF"/>
        </w:rPr>
        <w:t xml:space="preserve">Ceux qui pratiquent l’usure se lèveront tels des possédés touchés par Satan et cela parce qu’ils auront prétendu que le troc est assimilable à l’usure, alors que Dieu a </w:t>
      </w:r>
      <w:r w:rsidRPr="00544FF9">
        <w:rPr>
          <w:rFonts w:asciiTheme="majorBidi" w:hAnsiTheme="majorBidi" w:cstheme="majorBidi"/>
          <w:i/>
          <w:iCs/>
          <w:kern w:val="24"/>
          <w:sz w:val="24"/>
          <w:szCs w:val="24"/>
          <w:shd w:val="clear" w:color="auto" w:fill="FFFFFF"/>
        </w:rPr>
        <w:lastRenderedPageBreak/>
        <w:t xml:space="preserve">permis le commerce et rendu l’usure illicite. Celui qui, exhorté par son Seigneur, s’interdira cette pratique conservera ses acquis </w:t>
      </w:r>
      <w:r w:rsidR="00544FF9" w:rsidRPr="00544FF9">
        <w:rPr>
          <w:rFonts w:asciiTheme="majorBidi" w:hAnsiTheme="majorBidi" w:cstheme="majorBidi"/>
          <w:i/>
          <w:iCs/>
          <w:kern w:val="24"/>
          <w:sz w:val="24"/>
          <w:szCs w:val="24"/>
          <w:shd w:val="clear" w:color="auto" w:fill="FFFFFF"/>
        </w:rPr>
        <w:t>usuraires</w:t>
      </w:r>
      <w:r w:rsidRPr="00544FF9">
        <w:rPr>
          <w:rFonts w:asciiTheme="majorBidi" w:hAnsiTheme="majorBidi" w:cstheme="majorBidi"/>
          <w:i/>
          <w:iCs/>
          <w:kern w:val="24"/>
          <w:sz w:val="24"/>
          <w:szCs w:val="24"/>
          <w:shd w:val="clear" w:color="auto" w:fill="FFFFFF"/>
        </w:rPr>
        <w:t xml:space="preserve"> antérieurs et son cas relève de Dieu. Ceux qui récidiveront, au contraire, ceux-là auront le feu pour séjour éternel</w:t>
      </w:r>
      <w:r w:rsidR="00852582" w:rsidRPr="00544FF9">
        <w:rPr>
          <w:rFonts w:asciiTheme="majorBidi" w:hAnsiTheme="majorBidi" w:cstheme="majorBidi"/>
          <w:kern w:val="24"/>
          <w:sz w:val="24"/>
          <w:szCs w:val="24"/>
          <w:shd w:val="clear" w:color="auto" w:fill="FFFFFF"/>
        </w:rPr>
        <w:t> »</w:t>
      </w:r>
      <w:r w:rsidRPr="00544FF9">
        <w:rPr>
          <w:rFonts w:asciiTheme="majorBidi" w:hAnsiTheme="majorBidi" w:cstheme="majorBidi"/>
          <w:kern w:val="24"/>
          <w:sz w:val="24"/>
          <w:szCs w:val="24"/>
          <w:shd w:val="clear" w:color="auto" w:fill="FFFFFF"/>
        </w:rPr>
        <w:t xml:space="preserve"> </w:t>
      </w:r>
      <w:r w:rsidRPr="00544FF9">
        <w:rPr>
          <w:rFonts w:asciiTheme="majorBidi" w:hAnsiTheme="majorBidi" w:cstheme="majorBidi"/>
          <w:b/>
          <w:bCs/>
          <w:kern w:val="24"/>
          <w:shd w:val="clear" w:color="auto" w:fill="FFFFFF"/>
        </w:rPr>
        <w:t>(Sourate 2, verset 275)</w:t>
      </w:r>
      <w:r w:rsidRPr="00544FF9">
        <w:rPr>
          <w:rStyle w:val="Appelnotedebasdep"/>
          <w:rFonts w:asciiTheme="majorBidi" w:hAnsiTheme="majorBidi"/>
          <w:b/>
          <w:bCs/>
          <w:kern w:val="24"/>
          <w:shd w:val="clear" w:color="auto" w:fill="FFFFFF"/>
        </w:rPr>
        <w:footnoteReference w:id="39"/>
      </w:r>
      <w:r w:rsidRPr="00544FF9">
        <w:rPr>
          <w:rFonts w:asciiTheme="majorBidi" w:hAnsiTheme="majorBidi" w:cstheme="majorBidi"/>
          <w:b/>
          <w:bCs/>
          <w:kern w:val="24"/>
          <w:shd w:val="clear" w:color="auto" w:fill="FFFFFF"/>
        </w:rPr>
        <w:t> ;</w:t>
      </w:r>
    </w:p>
    <w:p w14:paraId="4FA81669" w14:textId="155EDE5D" w:rsidR="005E669C" w:rsidRPr="004D50E1" w:rsidRDefault="00852582" w:rsidP="00852582">
      <w:pPr>
        <w:tabs>
          <w:tab w:val="left" w:pos="0"/>
          <w:tab w:val="left" w:pos="9071"/>
        </w:tabs>
        <w:bidi/>
        <w:spacing w:before="240" w:line="300" w:lineRule="auto"/>
        <w:rPr>
          <w:rFonts w:asciiTheme="minorBidi" w:hAnsiTheme="minorBidi"/>
          <w:sz w:val="26"/>
          <w:szCs w:val="26"/>
        </w:rPr>
      </w:pPr>
      <w:r>
        <w:t>"</w:t>
      </w:r>
      <w:hyperlink r:id="rId17" w:history="1">
        <w:r w:rsidR="005E669C" w:rsidRPr="00EB2CD9">
          <w:rPr>
            <w:rStyle w:val="Lienhypertexte"/>
            <w:rFonts w:asciiTheme="majorBidi" w:hAnsiTheme="majorBidi" w:cstheme="majorBidi"/>
            <w:color w:val="auto"/>
            <w:spacing w:val="-8"/>
            <w:sz w:val="26"/>
            <w:szCs w:val="26"/>
            <w:u w:val="none"/>
            <w:shd w:val="clear" w:color="auto" w:fill="FFFFFF"/>
            <w:rtl/>
          </w:rPr>
          <w:t>يَمْحَقُ اللَّهُ الرِّبَا وَيُرْبِي الصَّدَقَاتِ ۗ وَاللَّهُ لَا يُحِبُّ كُلَّ كَفَّارٍ أَثِيمٍ</w:t>
        </w:r>
      </w:hyperlink>
      <w:r w:rsidR="005E669C" w:rsidRPr="00EB2CD9">
        <w:rPr>
          <w:rFonts w:asciiTheme="majorBidi" w:hAnsiTheme="majorBidi" w:cstheme="majorBidi"/>
          <w:sz w:val="24"/>
          <w:szCs w:val="24"/>
          <w:rtl/>
        </w:rPr>
        <w:t>"</w:t>
      </w:r>
      <w:r w:rsidR="00621E73">
        <w:rPr>
          <w:rFonts w:asciiTheme="majorBidi" w:hAnsiTheme="majorBidi" w:cstheme="majorBidi"/>
          <w:sz w:val="24"/>
          <w:szCs w:val="24"/>
        </w:rPr>
        <w:t xml:space="preserve"> </w:t>
      </w:r>
      <w:r w:rsidR="005E669C" w:rsidRPr="00EB2CD9">
        <w:rPr>
          <w:rFonts w:asciiTheme="majorBidi" w:hAnsiTheme="majorBidi" w:cstheme="majorBidi"/>
          <w:b/>
          <w:bCs/>
          <w:sz w:val="24"/>
          <w:szCs w:val="24"/>
          <w:rtl/>
        </w:rPr>
        <w:t>(سورة البقرة، الآية 276)</w:t>
      </w:r>
      <w:r w:rsidR="004D50E1" w:rsidRPr="00EB2CD9">
        <w:rPr>
          <w:rFonts w:asciiTheme="majorBidi" w:hAnsiTheme="majorBidi" w:cstheme="majorBidi"/>
          <w:sz w:val="24"/>
          <w:szCs w:val="24"/>
          <w:rtl/>
        </w:rPr>
        <w:t>.</w:t>
      </w:r>
      <w:r>
        <w:rPr>
          <w:rFonts w:asciiTheme="minorBidi" w:hAnsiTheme="minorBidi" w:hint="cs"/>
          <w:sz w:val="26"/>
          <w:szCs w:val="26"/>
          <w:rtl/>
        </w:rPr>
        <w:t>"</w:t>
      </w:r>
    </w:p>
    <w:p w14:paraId="7E709122" w14:textId="6874DCA7" w:rsidR="005E669C" w:rsidRPr="00544FF9" w:rsidRDefault="00852582" w:rsidP="00852582">
      <w:pPr>
        <w:tabs>
          <w:tab w:val="left" w:pos="0"/>
          <w:tab w:val="left" w:pos="9072"/>
        </w:tabs>
        <w:spacing w:before="120" w:line="300" w:lineRule="auto"/>
        <w:ind w:left="1134"/>
        <w:rPr>
          <w:rFonts w:asciiTheme="majorBidi" w:hAnsiTheme="majorBidi" w:cstheme="majorBidi"/>
          <w:kern w:val="24"/>
          <w:sz w:val="24"/>
          <w:szCs w:val="24"/>
          <w:shd w:val="clear" w:color="auto" w:fill="FFFFFF"/>
        </w:rPr>
      </w:pPr>
      <w:r w:rsidRPr="00544FF9">
        <w:rPr>
          <w:rFonts w:asciiTheme="majorBidi" w:hAnsiTheme="majorBidi" w:cstheme="majorBidi"/>
          <w:kern w:val="24"/>
          <w:shd w:val="clear" w:color="auto" w:fill="FFFFFF"/>
        </w:rPr>
        <w:t>« </w:t>
      </w:r>
      <w:r w:rsidR="004F7610" w:rsidRPr="00544FF9">
        <w:rPr>
          <w:rFonts w:asciiTheme="majorBidi" w:hAnsiTheme="majorBidi" w:cstheme="majorBidi"/>
          <w:kern w:val="24"/>
          <w:sz w:val="24"/>
          <w:szCs w:val="24"/>
          <w:shd w:val="clear" w:color="auto" w:fill="FFFFFF"/>
        </w:rPr>
        <w:t>Dieu</w:t>
      </w:r>
      <w:r w:rsidR="005E669C" w:rsidRPr="00544FF9">
        <w:rPr>
          <w:rFonts w:asciiTheme="majorBidi" w:hAnsiTheme="majorBidi" w:cstheme="majorBidi"/>
          <w:kern w:val="24"/>
          <w:sz w:val="24"/>
          <w:szCs w:val="24"/>
          <w:shd w:val="clear" w:color="auto" w:fill="FFFFFF"/>
        </w:rPr>
        <w:t xml:space="preserve"> réduit à néant le profit </w:t>
      </w:r>
      <w:r w:rsidR="00E13FA6" w:rsidRPr="00544FF9">
        <w:rPr>
          <w:rFonts w:asciiTheme="majorBidi" w:hAnsiTheme="majorBidi" w:cstheme="majorBidi"/>
          <w:kern w:val="24"/>
          <w:sz w:val="24"/>
          <w:szCs w:val="24"/>
          <w:shd w:val="clear" w:color="auto" w:fill="FFFFFF"/>
        </w:rPr>
        <w:t>usuraire</w:t>
      </w:r>
      <w:r w:rsidR="005E669C" w:rsidRPr="00544FF9">
        <w:rPr>
          <w:rFonts w:asciiTheme="majorBidi" w:hAnsiTheme="majorBidi" w:cstheme="majorBidi"/>
          <w:kern w:val="24"/>
          <w:sz w:val="24"/>
          <w:szCs w:val="24"/>
          <w:shd w:val="clear" w:color="auto" w:fill="FFFFFF"/>
        </w:rPr>
        <w:t xml:space="preserve"> et accroît des aumônes. Dieu tient en aversion tout mécréant endurci et pécheur</w:t>
      </w:r>
      <w:r w:rsidRPr="00544FF9">
        <w:rPr>
          <w:rFonts w:asciiTheme="majorBidi" w:hAnsiTheme="majorBidi" w:cstheme="majorBidi"/>
          <w:kern w:val="24"/>
          <w:sz w:val="24"/>
          <w:szCs w:val="24"/>
          <w:shd w:val="clear" w:color="auto" w:fill="FFFFFF"/>
        </w:rPr>
        <w:t> »</w:t>
      </w:r>
      <w:r w:rsidR="005E669C" w:rsidRPr="00544FF9">
        <w:rPr>
          <w:rFonts w:asciiTheme="majorBidi" w:hAnsiTheme="majorBidi" w:cstheme="majorBidi"/>
          <w:kern w:val="24"/>
          <w:sz w:val="24"/>
          <w:szCs w:val="24"/>
          <w:shd w:val="clear" w:color="auto" w:fill="FFFFFF"/>
        </w:rPr>
        <w:t xml:space="preserve"> </w:t>
      </w:r>
      <w:r w:rsidR="005E669C" w:rsidRPr="00544FF9">
        <w:rPr>
          <w:rFonts w:asciiTheme="majorBidi" w:hAnsiTheme="majorBidi" w:cstheme="majorBidi"/>
          <w:b/>
          <w:bCs/>
          <w:kern w:val="24"/>
          <w:sz w:val="24"/>
          <w:szCs w:val="24"/>
          <w:shd w:val="clear" w:color="auto" w:fill="FFFFFF"/>
        </w:rPr>
        <w:t>(Sourate 2, verset 276)</w:t>
      </w:r>
      <w:r w:rsidR="005E669C" w:rsidRPr="00544FF9">
        <w:rPr>
          <w:rStyle w:val="Appelnotedebasdep"/>
          <w:rFonts w:asciiTheme="majorBidi" w:hAnsiTheme="majorBidi"/>
          <w:b/>
          <w:bCs/>
          <w:kern w:val="24"/>
          <w:sz w:val="24"/>
          <w:szCs w:val="24"/>
          <w:shd w:val="clear" w:color="auto" w:fill="FFFFFF"/>
        </w:rPr>
        <w:footnoteReference w:id="40"/>
      </w:r>
      <w:r w:rsidR="005E669C" w:rsidRPr="00544FF9">
        <w:rPr>
          <w:rFonts w:asciiTheme="majorBidi" w:hAnsiTheme="majorBidi" w:cstheme="majorBidi"/>
          <w:kern w:val="24"/>
          <w:sz w:val="24"/>
          <w:szCs w:val="24"/>
          <w:shd w:val="clear" w:color="auto" w:fill="FFFFFF"/>
        </w:rPr>
        <w:t> ;</w:t>
      </w:r>
    </w:p>
    <w:p w14:paraId="3F7CC122" w14:textId="3EEAA3AB" w:rsidR="005E669C" w:rsidRPr="004D50E1" w:rsidRDefault="005E669C" w:rsidP="00852582">
      <w:pPr>
        <w:pStyle w:val="Sansinterligne"/>
        <w:tabs>
          <w:tab w:val="left" w:pos="7371"/>
          <w:tab w:val="left" w:pos="8222"/>
          <w:tab w:val="left" w:pos="9071"/>
        </w:tabs>
        <w:bidi/>
        <w:spacing w:before="240" w:line="300" w:lineRule="auto"/>
        <w:rPr>
          <w:rFonts w:asciiTheme="minorBidi" w:hAnsiTheme="minorBidi"/>
          <w:sz w:val="26"/>
          <w:szCs w:val="26"/>
          <w:rtl/>
          <w:lang w:bidi="ar-DZ"/>
        </w:rPr>
      </w:pPr>
      <w:r w:rsidRPr="00EB2CD9">
        <w:rPr>
          <w:rFonts w:asciiTheme="majorBidi" w:hAnsiTheme="majorBidi" w:cstheme="majorBidi"/>
          <w:sz w:val="26"/>
          <w:szCs w:val="26"/>
          <w:rtl/>
          <w:lang w:bidi="ar-DZ"/>
        </w:rPr>
        <w:t>"</w:t>
      </w:r>
      <w:r w:rsidRPr="00EB2CD9">
        <w:rPr>
          <w:rFonts w:asciiTheme="majorBidi" w:hAnsiTheme="majorBidi" w:cstheme="majorBidi"/>
          <w:sz w:val="26"/>
          <w:szCs w:val="26"/>
          <w:rtl/>
        </w:rPr>
        <w:t>يَا أَيُّهَا الَّذِينَ آمَنُوا اتَّقُوا اللَّهَ وَذَرُوا مَا بَقِيَ مِنَ الرِّبَا إِنْ كُنْتُمْ مُؤْمِنِينَ"</w:t>
      </w:r>
      <w:r w:rsidRPr="004D50E1">
        <w:rPr>
          <w:rFonts w:asciiTheme="minorBidi" w:hAnsiTheme="minorBidi"/>
          <w:sz w:val="26"/>
          <w:szCs w:val="26"/>
          <w:rtl/>
        </w:rPr>
        <w:t xml:space="preserve"> </w:t>
      </w:r>
      <w:r w:rsidRPr="00EB2CD9">
        <w:rPr>
          <w:rFonts w:asciiTheme="majorBidi" w:hAnsiTheme="majorBidi" w:cstheme="majorBidi"/>
          <w:b/>
          <w:bCs/>
          <w:sz w:val="24"/>
          <w:szCs w:val="24"/>
          <w:rtl/>
        </w:rPr>
        <w:t>(سورة البقرة، الآية 278)</w:t>
      </w:r>
      <w:r w:rsidR="004D50E1" w:rsidRPr="00EB2CD9">
        <w:rPr>
          <w:rFonts w:asciiTheme="majorBidi" w:hAnsiTheme="majorBidi" w:cstheme="majorBidi"/>
          <w:sz w:val="24"/>
          <w:szCs w:val="24"/>
          <w:rtl/>
          <w:lang w:bidi="ar-DZ"/>
        </w:rPr>
        <w:t>.</w:t>
      </w:r>
    </w:p>
    <w:p w14:paraId="300A11E4" w14:textId="77777777" w:rsidR="005E669C" w:rsidRPr="004D50E1" w:rsidRDefault="005E669C" w:rsidP="00EB2CD9">
      <w:pPr>
        <w:tabs>
          <w:tab w:val="left" w:pos="0"/>
          <w:tab w:val="left" w:pos="9072"/>
        </w:tabs>
        <w:spacing w:before="120" w:line="300" w:lineRule="auto"/>
        <w:ind w:left="1134" w:right="-1"/>
        <w:rPr>
          <w:rFonts w:asciiTheme="majorBidi" w:hAnsiTheme="majorBidi" w:cstheme="majorBidi"/>
          <w:spacing w:val="-6"/>
          <w:sz w:val="24"/>
          <w:szCs w:val="24"/>
          <w:shd w:val="clear" w:color="auto" w:fill="FFFFFF"/>
        </w:rPr>
      </w:pPr>
      <w:r w:rsidRPr="006F09F7">
        <w:rPr>
          <w:rFonts w:asciiTheme="majorBidi" w:hAnsiTheme="majorBidi" w:cstheme="majorBidi"/>
          <w:color w:val="002030"/>
          <w:shd w:val="clear" w:color="auto" w:fill="FFFFFF"/>
        </w:rPr>
        <w:t>« </w:t>
      </w:r>
      <w:r w:rsidRPr="004D50E1">
        <w:rPr>
          <w:rFonts w:asciiTheme="majorBidi" w:hAnsiTheme="majorBidi" w:cstheme="majorBidi"/>
          <w:i/>
          <w:iCs/>
          <w:spacing w:val="-6"/>
          <w:sz w:val="24"/>
          <w:szCs w:val="24"/>
          <w:shd w:val="clear" w:color="auto" w:fill="FFFFFF"/>
        </w:rPr>
        <w:t xml:space="preserve">O vous qui croyez ! craignez Dieu et renoncez à ce qui reste encore (dû) comme produit de l’usure, si vous êtes des croyants » </w:t>
      </w:r>
      <w:r w:rsidRPr="004D50E1">
        <w:rPr>
          <w:rFonts w:asciiTheme="majorBidi" w:hAnsiTheme="majorBidi" w:cstheme="majorBidi"/>
          <w:b/>
          <w:bCs/>
          <w:spacing w:val="-6"/>
          <w:sz w:val="24"/>
          <w:szCs w:val="24"/>
          <w:shd w:val="clear" w:color="auto" w:fill="FFFFFF"/>
        </w:rPr>
        <w:t>(Sourate 2, verset 278)</w:t>
      </w:r>
      <w:r w:rsidRPr="004D50E1">
        <w:rPr>
          <w:rStyle w:val="Appelnotedebasdep"/>
          <w:rFonts w:asciiTheme="majorBidi" w:hAnsiTheme="majorBidi"/>
          <w:b/>
          <w:bCs/>
          <w:spacing w:val="-6"/>
          <w:sz w:val="24"/>
          <w:szCs w:val="24"/>
          <w:shd w:val="clear" w:color="auto" w:fill="FFFFFF"/>
        </w:rPr>
        <w:footnoteReference w:id="41"/>
      </w:r>
      <w:r w:rsidRPr="004D50E1">
        <w:rPr>
          <w:rFonts w:asciiTheme="majorBidi" w:hAnsiTheme="majorBidi" w:cstheme="majorBidi"/>
          <w:spacing w:val="-6"/>
          <w:sz w:val="24"/>
          <w:szCs w:val="24"/>
          <w:shd w:val="clear" w:color="auto" w:fill="FFFFFF"/>
        </w:rPr>
        <w:t> ;</w:t>
      </w:r>
    </w:p>
    <w:p w14:paraId="0D5D17D2" w14:textId="0D1915E2" w:rsidR="005E669C" w:rsidRPr="004D50E1" w:rsidRDefault="005E669C" w:rsidP="00852582">
      <w:pPr>
        <w:tabs>
          <w:tab w:val="left" w:pos="0"/>
        </w:tabs>
        <w:bidi/>
        <w:spacing w:before="240" w:line="300" w:lineRule="auto"/>
        <w:ind w:right="1134"/>
        <w:rPr>
          <w:rFonts w:asciiTheme="minorBidi" w:hAnsiTheme="minorBidi"/>
          <w:sz w:val="26"/>
          <w:szCs w:val="26"/>
        </w:rPr>
      </w:pPr>
      <w:r w:rsidRPr="004D50E1">
        <w:rPr>
          <w:rFonts w:asciiTheme="minorBidi" w:hAnsiTheme="minorBidi"/>
          <w:sz w:val="26"/>
          <w:szCs w:val="26"/>
          <w:rtl/>
        </w:rPr>
        <w:t>"</w:t>
      </w:r>
      <w:r w:rsidRPr="00EB2CD9">
        <w:rPr>
          <w:rFonts w:asciiTheme="majorBidi" w:hAnsiTheme="majorBidi" w:cstheme="majorBidi"/>
          <w:sz w:val="26"/>
          <w:szCs w:val="26"/>
          <w:rtl/>
        </w:rPr>
        <w:t>فَإِنْ لَمْ تَفْعَلُوا فَأْذَنُوا بِحَرْبٍ مِنَ اللَّهِ وَرَسُولِهِ ۖ وَإِنْ تُبْتُمْ فَلَكُمْ رُءُوسُ أَمْوَالِكُمْ لَا تَظْلِمُونَ وَلَا تُظْلَمُونَ"</w:t>
      </w:r>
      <w:r w:rsidRPr="004D50E1">
        <w:rPr>
          <w:rFonts w:asciiTheme="minorBidi" w:hAnsiTheme="minorBidi"/>
          <w:sz w:val="26"/>
          <w:szCs w:val="26"/>
          <w:rtl/>
        </w:rPr>
        <w:t xml:space="preserve"> </w:t>
      </w:r>
      <w:r w:rsidRPr="00EB2CD9">
        <w:rPr>
          <w:rFonts w:asciiTheme="majorBidi" w:hAnsiTheme="majorBidi" w:cstheme="majorBidi"/>
          <w:b/>
          <w:bCs/>
          <w:sz w:val="24"/>
          <w:szCs w:val="24"/>
          <w:rtl/>
        </w:rPr>
        <w:t>(سورة البقرة، الآية 279)</w:t>
      </w:r>
      <w:r w:rsidRPr="00772B2A">
        <w:rPr>
          <w:rFonts w:asciiTheme="minorBidi" w:hAnsiTheme="minorBidi"/>
          <w:sz w:val="26"/>
          <w:szCs w:val="26"/>
          <w:rtl/>
        </w:rPr>
        <w:t>.</w:t>
      </w:r>
    </w:p>
    <w:p w14:paraId="3867B5D0" w14:textId="77777777" w:rsidR="00BB6220" w:rsidRDefault="002764B0" w:rsidP="00EB2CD9">
      <w:pPr>
        <w:tabs>
          <w:tab w:val="left" w:pos="0"/>
          <w:tab w:val="left" w:pos="9072"/>
        </w:tabs>
        <w:spacing w:before="120" w:line="300" w:lineRule="auto"/>
        <w:ind w:left="1134" w:right="-1"/>
        <w:rPr>
          <w:rFonts w:asciiTheme="majorBidi" w:hAnsiTheme="majorBidi" w:cstheme="majorBidi"/>
          <w:i/>
          <w:iCs/>
          <w:color w:val="002030"/>
          <w:sz w:val="24"/>
          <w:szCs w:val="24"/>
          <w:shd w:val="clear" w:color="auto" w:fill="FFFFFF"/>
        </w:rPr>
      </w:pPr>
      <w:r w:rsidRPr="00057C8B">
        <w:rPr>
          <w:rFonts w:asciiTheme="majorBidi" w:hAnsiTheme="majorBidi" w:cstheme="majorBidi"/>
          <w:sz w:val="24"/>
          <w:szCs w:val="24"/>
          <w:shd w:val="clear" w:color="auto" w:fill="FFFFFF"/>
        </w:rPr>
        <w:t>« E</w:t>
      </w:r>
      <w:r w:rsidRPr="00057C8B">
        <w:rPr>
          <w:rFonts w:asciiTheme="majorBidi" w:hAnsiTheme="majorBidi" w:cstheme="majorBidi"/>
          <w:i/>
          <w:iCs/>
          <w:color w:val="002030"/>
          <w:sz w:val="24"/>
          <w:szCs w:val="24"/>
          <w:shd w:val="clear" w:color="auto" w:fill="FFFFFF"/>
        </w:rPr>
        <w:t>t si vous refusez (de le faire), attendez-vous à une guerre (entreprise contre vous) par Dieu et son Prophète. Si vous faites amende honorable, vos capitaux vous appartiennent. Ainsi vous ne léserez personne et personne ne vous »</w:t>
      </w:r>
    </w:p>
    <w:p w14:paraId="47678B69" w14:textId="1E6589E4" w:rsidR="002764B0" w:rsidRPr="00057C8B" w:rsidRDefault="002764B0" w:rsidP="00BB6220">
      <w:pPr>
        <w:tabs>
          <w:tab w:val="left" w:pos="0"/>
          <w:tab w:val="left" w:pos="9072"/>
        </w:tabs>
        <w:spacing w:line="300" w:lineRule="auto"/>
        <w:ind w:left="1134"/>
        <w:jc w:val="right"/>
        <w:rPr>
          <w:rFonts w:asciiTheme="majorBidi" w:hAnsiTheme="majorBidi" w:cstheme="majorBidi"/>
          <w:color w:val="002030"/>
          <w:sz w:val="24"/>
          <w:szCs w:val="24"/>
          <w:shd w:val="clear" w:color="auto" w:fill="FFFFFF"/>
        </w:rPr>
      </w:pPr>
      <w:r w:rsidRPr="00057C8B">
        <w:rPr>
          <w:rFonts w:asciiTheme="majorBidi" w:hAnsiTheme="majorBidi" w:cstheme="majorBidi"/>
          <w:b/>
          <w:bCs/>
          <w:color w:val="002030"/>
          <w:sz w:val="24"/>
          <w:szCs w:val="24"/>
          <w:shd w:val="clear" w:color="auto" w:fill="FFFFFF"/>
        </w:rPr>
        <w:t>(Sourate 2, verset 279)</w:t>
      </w:r>
      <w:r w:rsidRPr="00057C8B">
        <w:rPr>
          <w:rFonts w:asciiTheme="majorBidi" w:hAnsiTheme="majorBidi" w:cstheme="majorBidi"/>
          <w:color w:val="002030"/>
          <w:sz w:val="24"/>
          <w:szCs w:val="24"/>
          <w:shd w:val="clear" w:color="auto" w:fill="FFFFFF"/>
        </w:rPr>
        <w:t> </w:t>
      </w:r>
      <w:r w:rsidR="004D50E1">
        <w:rPr>
          <w:rStyle w:val="Appelnotedebasdep"/>
          <w:rFonts w:asciiTheme="majorBidi" w:hAnsiTheme="majorBidi"/>
          <w:color w:val="002030"/>
          <w:sz w:val="24"/>
          <w:szCs w:val="24"/>
          <w:shd w:val="clear" w:color="auto" w:fill="FFFFFF"/>
        </w:rPr>
        <w:footnoteReference w:id="42"/>
      </w:r>
      <w:r w:rsidRPr="00057C8B">
        <w:rPr>
          <w:rFonts w:asciiTheme="majorBidi" w:hAnsiTheme="majorBidi" w:cstheme="majorBidi"/>
          <w:color w:val="002030"/>
          <w:sz w:val="24"/>
          <w:szCs w:val="24"/>
          <w:shd w:val="clear" w:color="auto" w:fill="FFFFFF"/>
        </w:rPr>
        <w:t>;</w:t>
      </w:r>
    </w:p>
    <w:p w14:paraId="6A5C16DB" w14:textId="6F757792" w:rsidR="002764B0" w:rsidRPr="004D50E1" w:rsidRDefault="002764B0" w:rsidP="00852582">
      <w:pPr>
        <w:tabs>
          <w:tab w:val="left" w:pos="0"/>
          <w:tab w:val="left" w:pos="9072"/>
        </w:tabs>
        <w:bidi/>
        <w:spacing w:before="240" w:line="300" w:lineRule="auto"/>
        <w:rPr>
          <w:rFonts w:asciiTheme="minorBidi" w:hAnsiTheme="minorBidi"/>
          <w:sz w:val="26"/>
          <w:szCs w:val="26"/>
          <w:shd w:val="clear" w:color="auto" w:fill="FFFFFF"/>
        </w:rPr>
      </w:pPr>
      <w:r w:rsidRPr="00EB2CD9">
        <w:rPr>
          <w:rFonts w:asciiTheme="majorBidi" w:hAnsiTheme="majorBidi" w:cstheme="majorBidi"/>
          <w:sz w:val="26"/>
          <w:szCs w:val="26"/>
          <w:shd w:val="clear" w:color="auto" w:fill="FFFFFF"/>
          <w:rtl/>
        </w:rPr>
        <w:t>"يَٰٓأَيُّهَا ٱلَّذِينَ ءَامَنُواْ لَا تَأْكُلُواْ ٱلرِّبَوٰٓاْ أَضْعَٰفًۭا مُّضَٰعَفَةًۭ ۖ وَٱتَّقُواْ ٱللَّهَ لَعَلَّكُمْ تُفْلِحُونَ</w:t>
      </w:r>
      <w:r w:rsidRPr="00852582">
        <w:rPr>
          <w:rFonts w:asciiTheme="majorBidi" w:hAnsiTheme="majorBidi" w:cstheme="majorBidi"/>
          <w:sz w:val="24"/>
          <w:szCs w:val="24"/>
          <w:shd w:val="clear" w:color="auto" w:fill="FFFFFF"/>
          <w:rtl/>
        </w:rPr>
        <w:t>"</w:t>
      </w:r>
      <w:r w:rsidR="00337C81">
        <w:rPr>
          <w:rFonts w:asciiTheme="majorBidi" w:hAnsiTheme="majorBidi" w:cstheme="majorBidi"/>
          <w:sz w:val="24"/>
          <w:szCs w:val="24"/>
          <w:shd w:val="clear" w:color="auto" w:fill="FFFFFF"/>
        </w:rPr>
        <w:t xml:space="preserve"> </w:t>
      </w:r>
      <w:r w:rsidRPr="00EB2CD9">
        <w:rPr>
          <w:rFonts w:asciiTheme="majorBidi" w:hAnsiTheme="majorBidi" w:cstheme="majorBidi"/>
          <w:b/>
          <w:bCs/>
          <w:sz w:val="24"/>
          <w:szCs w:val="24"/>
          <w:shd w:val="clear" w:color="auto" w:fill="FFFFFF"/>
          <w:rtl/>
        </w:rPr>
        <w:t>(سورة آل عمران، آية 130)</w:t>
      </w:r>
      <w:r w:rsidRPr="004D50E1">
        <w:rPr>
          <w:rFonts w:asciiTheme="minorBidi" w:hAnsiTheme="minorBidi"/>
          <w:sz w:val="26"/>
          <w:szCs w:val="26"/>
          <w:shd w:val="clear" w:color="auto" w:fill="FFFFFF"/>
          <w:rtl/>
        </w:rPr>
        <w:t>.</w:t>
      </w:r>
    </w:p>
    <w:p w14:paraId="69E5B5FC" w14:textId="77777777" w:rsidR="002764B0" w:rsidRPr="00BB6220" w:rsidRDefault="002764B0" w:rsidP="00EB2CD9">
      <w:pPr>
        <w:tabs>
          <w:tab w:val="left" w:pos="0"/>
          <w:tab w:val="left" w:pos="9072"/>
        </w:tabs>
        <w:spacing w:before="240" w:line="300" w:lineRule="auto"/>
        <w:ind w:left="1134" w:right="-1"/>
        <w:rPr>
          <w:rFonts w:ascii="Times New Roman" w:hAnsi="Times New Roman"/>
          <w:b/>
          <w:bCs/>
          <w:kern w:val="24"/>
          <w:sz w:val="24"/>
          <w:szCs w:val="24"/>
        </w:rPr>
      </w:pPr>
      <w:r w:rsidRPr="00BB6220">
        <w:rPr>
          <w:rFonts w:asciiTheme="majorBidi" w:hAnsiTheme="majorBidi" w:cstheme="majorBidi"/>
          <w:i/>
          <w:iCs/>
          <w:kern w:val="24"/>
          <w:sz w:val="28"/>
          <w:szCs w:val="28"/>
        </w:rPr>
        <w:t>«</w:t>
      </w:r>
      <w:r w:rsidRPr="00BB6220">
        <w:rPr>
          <w:rFonts w:asciiTheme="majorBidi" w:hAnsiTheme="majorBidi" w:cstheme="majorBidi"/>
          <w:i/>
          <w:iCs/>
          <w:kern w:val="24"/>
        </w:rPr>
        <w:t> </w:t>
      </w:r>
      <w:r w:rsidRPr="00BB6220">
        <w:rPr>
          <w:rFonts w:asciiTheme="majorBidi" w:hAnsiTheme="majorBidi" w:cstheme="majorBidi"/>
          <w:i/>
          <w:iCs/>
          <w:color w:val="2A2A2A"/>
          <w:kern w:val="24"/>
          <w:sz w:val="24"/>
          <w:szCs w:val="24"/>
          <w:shd w:val="clear" w:color="auto" w:fill="FFFFFF"/>
        </w:rPr>
        <w:t xml:space="preserve">Ô vous qui croyez ! ne vous livrer pas à l’usure en portant de double en double (votre créance). Craignez Dieu pour être heureux </w:t>
      </w:r>
      <w:r w:rsidRPr="00BB6220">
        <w:rPr>
          <w:rFonts w:ascii="Times New Roman" w:hAnsi="Times New Roman" w:cs="Times New Roman"/>
          <w:kern w:val="24"/>
          <w:sz w:val="24"/>
          <w:szCs w:val="24"/>
        </w:rPr>
        <w:t xml:space="preserve">» </w:t>
      </w:r>
      <w:r w:rsidRPr="00BB6220">
        <w:rPr>
          <w:rFonts w:ascii="Times New Roman" w:hAnsi="Times New Roman" w:cs="Times New Roman"/>
          <w:b/>
          <w:bCs/>
          <w:kern w:val="24"/>
          <w:sz w:val="24"/>
          <w:szCs w:val="24"/>
        </w:rPr>
        <w:t>(Sourate 3, verset 130)</w:t>
      </w:r>
      <w:r w:rsidRPr="00BB6220">
        <w:rPr>
          <w:rStyle w:val="Appelnotedebasdep"/>
          <w:rFonts w:ascii="Times New Roman" w:hAnsi="Times New Roman"/>
          <w:b/>
          <w:bCs/>
          <w:kern w:val="24"/>
          <w:sz w:val="24"/>
          <w:szCs w:val="24"/>
        </w:rPr>
        <w:footnoteReference w:id="43"/>
      </w:r>
      <w:r w:rsidRPr="00BB6220">
        <w:rPr>
          <w:rFonts w:ascii="Times New Roman" w:hAnsi="Times New Roman" w:cs="Times New Roman"/>
          <w:b/>
          <w:bCs/>
          <w:kern w:val="24"/>
          <w:sz w:val="24"/>
          <w:szCs w:val="24"/>
        </w:rPr>
        <w:t> </w:t>
      </w:r>
      <w:r w:rsidRPr="00BB6220">
        <w:rPr>
          <w:rFonts w:ascii="Times New Roman" w:hAnsi="Times New Roman"/>
          <w:b/>
          <w:bCs/>
          <w:kern w:val="24"/>
          <w:sz w:val="24"/>
          <w:szCs w:val="24"/>
        </w:rPr>
        <w:t>;</w:t>
      </w:r>
    </w:p>
    <w:p w14:paraId="2C836A00" w14:textId="77777777" w:rsidR="002764B0" w:rsidRPr="006F09F7" w:rsidRDefault="002764B0" w:rsidP="00852582">
      <w:pPr>
        <w:tabs>
          <w:tab w:val="left" w:pos="9072"/>
        </w:tabs>
        <w:bidi/>
        <w:spacing w:before="240" w:line="300" w:lineRule="auto"/>
        <w:ind w:right="1134"/>
        <w:rPr>
          <w:rFonts w:asciiTheme="majorBidi" w:hAnsiTheme="majorBidi" w:cstheme="majorBidi"/>
          <w:sz w:val="28"/>
          <w:szCs w:val="28"/>
        </w:rPr>
      </w:pPr>
      <w:r w:rsidRPr="004D50E1">
        <w:rPr>
          <w:rFonts w:asciiTheme="majorBidi" w:hAnsiTheme="majorBidi" w:cstheme="majorBidi" w:hint="cs"/>
          <w:sz w:val="26"/>
          <w:szCs w:val="26"/>
          <w:rtl/>
        </w:rPr>
        <w:t>"</w:t>
      </w:r>
      <w:r w:rsidRPr="004D50E1">
        <w:rPr>
          <w:rFonts w:asciiTheme="majorBidi" w:hAnsiTheme="majorBidi" w:cstheme="majorBidi"/>
          <w:sz w:val="26"/>
          <w:szCs w:val="26"/>
          <w:rtl/>
        </w:rPr>
        <w:t xml:space="preserve">وَأَخْذِهِمُ الرِّبَا وَقَدْ نُهُوا عَنْهُ وَأَكْلِهِمْ أَمْوَالَ النَّاسِ بِالْبَاطِلِ ۚ وَأَعْتَدْنَا لِلْكَافِرِينَ مِنْهُمْ عَذَابًا أَلِيمًا" </w:t>
      </w:r>
      <w:r w:rsidRPr="00EB2CD9">
        <w:rPr>
          <w:rFonts w:asciiTheme="majorBidi" w:hAnsiTheme="majorBidi" w:cstheme="majorBidi"/>
          <w:b/>
          <w:bCs/>
          <w:sz w:val="24"/>
          <w:szCs w:val="24"/>
          <w:rtl/>
        </w:rPr>
        <w:t>(سورة النساء، الآية 161).</w:t>
      </w:r>
    </w:p>
    <w:p w14:paraId="48865997" w14:textId="1E586EEF" w:rsidR="002764B0" w:rsidRPr="00BB6220" w:rsidRDefault="002764B0" w:rsidP="00EB2CD9">
      <w:pPr>
        <w:tabs>
          <w:tab w:val="left" w:pos="0"/>
          <w:tab w:val="left" w:pos="9072"/>
        </w:tabs>
        <w:spacing w:before="120" w:line="300" w:lineRule="auto"/>
        <w:ind w:left="1134" w:right="-1"/>
        <w:rPr>
          <w:rFonts w:asciiTheme="majorBidi" w:hAnsiTheme="majorBidi" w:cstheme="majorBidi"/>
          <w:b/>
          <w:bCs/>
          <w:color w:val="2A2A2A"/>
          <w:kern w:val="24"/>
          <w:sz w:val="24"/>
          <w:szCs w:val="24"/>
          <w:shd w:val="clear" w:color="auto" w:fill="FFFFFF"/>
        </w:rPr>
      </w:pPr>
      <w:r w:rsidRPr="00BB6220">
        <w:rPr>
          <w:rFonts w:ascii="Times New Roman" w:hAnsi="Times New Roman" w:cs="Times New Roman"/>
          <w:kern w:val="24"/>
          <w:sz w:val="24"/>
          <w:szCs w:val="24"/>
        </w:rPr>
        <w:t>« (</w:t>
      </w:r>
      <w:r w:rsidR="003C21C6" w:rsidRPr="00BB6220">
        <w:rPr>
          <w:rFonts w:ascii="Times New Roman" w:hAnsi="Times New Roman" w:cs="Times New Roman"/>
          <w:kern w:val="24"/>
          <w:sz w:val="24"/>
          <w:szCs w:val="24"/>
        </w:rPr>
        <w:t>Et</w:t>
      </w:r>
      <w:r w:rsidRPr="00BB6220">
        <w:rPr>
          <w:rFonts w:ascii="Times New Roman" w:hAnsi="Times New Roman" w:cs="Times New Roman"/>
          <w:kern w:val="24"/>
          <w:sz w:val="24"/>
          <w:szCs w:val="24"/>
        </w:rPr>
        <w:t xml:space="preserve"> aussi) parce qu’</w:t>
      </w:r>
      <w:r w:rsidRPr="00BB6220">
        <w:rPr>
          <w:rFonts w:asciiTheme="majorBidi" w:hAnsiTheme="majorBidi" w:cstheme="majorBidi"/>
          <w:i/>
          <w:iCs/>
          <w:color w:val="2A2A2A"/>
          <w:kern w:val="24"/>
          <w:sz w:val="24"/>
          <w:szCs w:val="24"/>
          <w:shd w:val="clear" w:color="auto" w:fill="FFFFFF"/>
        </w:rPr>
        <w:t xml:space="preserve">ils pratiquaient illicitement l’usure et accaparent malhonnêtement les biens d’autrui. Aux impies nous avons réservé un châtiment </w:t>
      </w:r>
      <w:r w:rsidR="00E13FA6" w:rsidRPr="00BB6220">
        <w:rPr>
          <w:rFonts w:asciiTheme="majorBidi" w:hAnsiTheme="majorBidi" w:cstheme="majorBidi"/>
          <w:i/>
          <w:iCs/>
          <w:color w:val="2A2A2A"/>
          <w:kern w:val="24"/>
          <w:sz w:val="24"/>
          <w:szCs w:val="24"/>
          <w:shd w:val="clear" w:color="auto" w:fill="FFFFFF"/>
        </w:rPr>
        <w:t>douloureux</w:t>
      </w:r>
      <w:r w:rsidR="00852582" w:rsidRPr="00BB6220">
        <w:rPr>
          <w:rFonts w:asciiTheme="majorBidi" w:hAnsiTheme="majorBidi" w:cstheme="majorBidi"/>
          <w:i/>
          <w:iCs/>
          <w:color w:val="2A2A2A"/>
          <w:kern w:val="24"/>
          <w:sz w:val="24"/>
          <w:szCs w:val="24"/>
          <w:shd w:val="clear" w:color="auto" w:fill="FFFFFF"/>
        </w:rPr>
        <w:t> »</w:t>
      </w:r>
      <w:r w:rsidRPr="00BB6220">
        <w:rPr>
          <w:rFonts w:asciiTheme="majorBidi" w:hAnsiTheme="majorBidi" w:cstheme="majorBidi"/>
          <w:i/>
          <w:iCs/>
          <w:color w:val="2A2A2A"/>
          <w:kern w:val="24"/>
          <w:sz w:val="24"/>
          <w:szCs w:val="24"/>
          <w:shd w:val="clear" w:color="auto" w:fill="FFFFFF"/>
        </w:rPr>
        <w:t xml:space="preserve"> </w:t>
      </w:r>
      <w:r w:rsidRPr="00BB6220">
        <w:rPr>
          <w:rFonts w:asciiTheme="majorBidi" w:hAnsiTheme="majorBidi" w:cstheme="majorBidi"/>
          <w:color w:val="2A2A2A"/>
          <w:kern w:val="24"/>
          <w:sz w:val="24"/>
          <w:szCs w:val="24"/>
          <w:shd w:val="clear" w:color="auto" w:fill="FFFFFF"/>
        </w:rPr>
        <w:t>(</w:t>
      </w:r>
      <w:r w:rsidRPr="00BB6220">
        <w:rPr>
          <w:rFonts w:asciiTheme="majorBidi" w:hAnsiTheme="majorBidi" w:cstheme="majorBidi"/>
          <w:b/>
          <w:bCs/>
          <w:color w:val="2A2A2A"/>
          <w:kern w:val="24"/>
          <w:sz w:val="24"/>
          <w:szCs w:val="24"/>
          <w:shd w:val="clear" w:color="auto" w:fill="FFFFFF"/>
        </w:rPr>
        <w:t>Sourate 4, verset 161)</w:t>
      </w:r>
      <w:r w:rsidRPr="00BB6220">
        <w:rPr>
          <w:rStyle w:val="Appelnotedebasdep"/>
          <w:rFonts w:asciiTheme="majorBidi" w:hAnsiTheme="majorBidi"/>
          <w:b/>
          <w:bCs/>
          <w:color w:val="2A2A2A"/>
          <w:kern w:val="24"/>
          <w:sz w:val="24"/>
          <w:szCs w:val="24"/>
          <w:shd w:val="clear" w:color="auto" w:fill="FFFFFF"/>
        </w:rPr>
        <w:footnoteReference w:id="44"/>
      </w:r>
      <w:r w:rsidRPr="00BB6220">
        <w:rPr>
          <w:rFonts w:asciiTheme="majorBidi" w:hAnsiTheme="majorBidi" w:cstheme="majorBidi"/>
          <w:b/>
          <w:bCs/>
          <w:color w:val="2A2A2A"/>
          <w:kern w:val="24"/>
          <w:sz w:val="24"/>
          <w:szCs w:val="24"/>
          <w:shd w:val="clear" w:color="auto" w:fill="FFFFFF"/>
        </w:rPr>
        <w:t>;</w:t>
      </w:r>
    </w:p>
    <w:p w14:paraId="6527DCA8" w14:textId="77777777" w:rsidR="002764B0" w:rsidRPr="004D50E1" w:rsidRDefault="002764B0" w:rsidP="00852582">
      <w:pPr>
        <w:tabs>
          <w:tab w:val="left" w:pos="0"/>
          <w:tab w:val="left" w:pos="9072"/>
        </w:tabs>
        <w:bidi/>
        <w:spacing w:before="240" w:line="300" w:lineRule="auto"/>
        <w:ind w:right="1134"/>
        <w:rPr>
          <w:rFonts w:asciiTheme="majorBidi" w:hAnsiTheme="majorBidi" w:cstheme="majorBidi"/>
          <w:sz w:val="26"/>
          <w:szCs w:val="26"/>
        </w:rPr>
      </w:pPr>
      <w:r w:rsidRPr="004D50E1">
        <w:rPr>
          <w:rFonts w:asciiTheme="majorBidi" w:hAnsiTheme="majorBidi" w:cstheme="majorBidi"/>
          <w:sz w:val="26"/>
          <w:szCs w:val="26"/>
          <w:rtl/>
        </w:rPr>
        <w:t>"وَمَا آتَيْتُمْ مِنْ رِبًا لِيَرْبُوَ فِي أَمْوَالِ النَّاسِ فَلَا يَرْبُو عِنْدَ اللَّهِ ۖ وَمَا آتَيْتُمْ مِنْ زَكَاةٍ تُرِيدُونَ وَجْهَ اللَّهِ فَأُولَٰئِكَ هُمُ الْمُضْعِفُونَ</w:t>
      </w:r>
      <w:r w:rsidRPr="00EB2CD9">
        <w:rPr>
          <w:rFonts w:asciiTheme="majorBidi" w:hAnsiTheme="majorBidi" w:cstheme="majorBidi"/>
          <w:sz w:val="24"/>
          <w:szCs w:val="24"/>
          <w:rtl/>
        </w:rPr>
        <w:t xml:space="preserve">" </w:t>
      </w:r>
      <w:r w:rsidRPr="00EB2CD9">
        <w:rPr>
          <w:rFonts w:asciiTheme="majorBidi" w:hAnsiTheme="majorBidi" w:cstheme="majorBidi"/>
          <w:b/>
          <w:bCs/>
          <w:sz w:val="24"/>
          <w:szCs w:val="24"/>
          <w:rtl/>
        </w:rPr>
        <w:t>(سورة الروم، الآية 39)</w:t>
      </w:r>
      <w:r w:rsidRPr="004D50E1">
        <w:rPr>
          <w:rFonts w:asciiTheme="majorBidi" w:hAnsiTheme="majorBidi" w:cstheme="majorBidi"/>
          <w:sz w:val="26"/>
          <w:szCs w:val="26"/>
          <w:rtl/>
        </w:rPr>
        <w:t>.</w:t>
      </w:r>
    </w:p>
    <w:p w14:paraId="4548FAF6" w14:textId="2B27E58C" w:rsidR="002764B0" w:rsidRPr="00057C8B" w:rsidRDefault="002764B0" w:rsidP="00EB2CD9">
      <w:pPr>
        <w:tabs>
          <w:tab w:val="left" w:pos="0"/>
          <w:tab w:val="left" w:pos="9072"/>
        </w:tabs>
        <w:autoSpaceDE w:val="0"/>
        <w:autoSpaceDN w:val="0"/>
        <w:adjustRightInd w:val="0"/>
        <w:spacing w:before="120" w:line="300" w:lineRule="auto"/>
        <w:ind w:left="1134" w:right="-1"/>
        <w:rPr>
          <w:rFonts w:asciiTheme="majorBidi" w:hAnsiTheme="majorBidi" w:cstheme="majorBidi"/>
          <w:i/>
          <w:iCs/>
          <w:color w:val="2A2A2A"/>
          <w:sz w:val="24"/>
          <w:szCs w:val="24"/>
          <w:shd w:val="clear" w:color="auto" w:fill="FFFFFF"/>
        </w:rPr>
      </w:pPr>
      <w:r w:rsidRPr="00057C8B">
        <w:rPr>
          <w:rFonts w:ascii="Times New Roman" w:hAnsi="Times New Roman" w:cs="Times New Roman"/>
          <w:sz w:val="24"/>
          <w:szCs w:val="24"/>
        </w:rPr>
        <w:t>« </w:t>
      </w:r>
      <w:r w:rsidRPr="00057C8B">
        <w:rPr>
          <w:rFonts w:asciiTheme="majorBidi" w:hAnsiTheme="majorBidi" w:cstheme="majorBidi"/>
          <w:i/>
          <w:iCs/>
          <w:color w:val="2A2A2A"/>
          <w:sz w:val="24"/>
          <w:szCs w:val="24"/>
          <w:shd w:val="clear" w:color="auto" w:fill="FFFFFF"/>
        </w:rPr>
        <w:t>Ce que vous donnerez à usure en vue d’un accroissement aux dépens des biens de vos semblables ne s’accroît pas auprès de Dieu</w:t>
      </w:r>
      <w:r w:rsidR="00BB6220">
        <w:rPr>
          <w:rFonts w:asciiTheme="majorBidi" w:hAnsiTheme="majorBidi" w:cstheme="majorBidi"/>
          <w:i/>
          <w:iCs/>
          <w:color w:val="2A2A2A"/>
          <w:sz w:val="24"/>
          <w:szCs w:val="24"/>
          <w:shd w:val="clear" w:color="auto" w:fill="FFFFFF"/>
        </w:rPr>
        <w:t xml:space="preserve">. </w:t>
      </w:r>
      <w:r w:rsidRPr="00057C8B">
        <w:rPr>
          <w:rFonts w:asciiTheme="majorBidi" w:hAnsiTheme="majorBidi" w:cstheme="majorBidi"/>
          <w:i/>
          <w:iCs/>
          <w:color w:val="2A2A2A"/>
          <w:sz w:val="24"/>
          <w:szCs w:val="24"/>
          <w:shd w:val="clear" w:color="auto" w:fill="FFFFFF"/>
        </w:rPr>
        <w:t xml:space="preserve">(Par contre), ce que vous offrez </w:t>
      </w:r>
      <w:r w:rsidRPr="00057C8B">
        <w:rPr>
          <w:rFonts w:asciiTheme="majorBidi" w:hAnsiTheme="majorBidi" w:cstheme="majorBidi"/>
          <w:i/>
          <w:iCs/>
          <w:color w:val="2A2A2A"/>
          <w:sz w:val="24"/>
          <w:szCs w:val="24"/>
          <w:shd w:val="clear" w:color="auto" w:fill="FFFFFF"/>
        </w:rPr>
        <w:lastRenderedPageBreak/>
        <w:t>comme aumône, désirant la face de Dieu, voilà ceux qui auront un double avantage</w:t>
      </w:r>
      <w:r w:rsidRPr="00057C8B">
        <w:rPr>
          <w:rFonts w:asciiTheme="majorBidi" w:hAnsiTheme="majorBidi" w:cstheme="majorBidi"/>
          <w:i/>
          <w:iCs/>
          <w:sz w:val="24"/>
          <w:szCs w:val="24"/>
        </w:rPr>
        <w:t xml:space="preserve">» </w:t>
      </w:r>
      <w:r w:rsidRPr="00057C8B">
        <w:rPr>
          <w:rFonts w:asciiTheme="majorBidi" w:hAnsiTheme="majorBidi" w:cstheme="majorBidi"/>
          <w:b/>
          <w:bCs/>
          <w:sz w:val="24"/>
          <w:szCs w:val="24"/>
        </w:rPr>
        <w:t>(Sourat</w:t>
      </w:r>
      <w:r w:rsidR="00E13FA6">
        <w:rPr>
          <w:rFonts w:asciiTheme="majorBidi" w:hAnsiTheme="majorBidi" w:cstheme="majorBidi"/>
          <w:b/>
          <w:bCs/>
          <w:sz w:val="24"/>
          <w:szCs w:val="24"/>
        </w:rPr>
        <w:t>e</w:t>
      </w:r>
      <w:r w:rsidRPr="00057C8B">
        <w:rPr>
          <w:rFonts w:asciiTheme="majorBidi" w:hAnsiTheme="majorBidi" w:cstheme="majorBidi"/>
          <w:b/>
          <w:bCs/>
          <w:sz w:val="24"/>
          <w:szCs w:val="24"/>
        </w:rPr>
        <w:t xml:space="preserve"> 30, verset 39)</w:t>
      </w:r>
      <w:r w:rsidRPr="00057C8B">
        <w:rPr>
          <w:rStyle w:val="Appelnotedebasdep"/>
          <w:rFonts w:asciiTheme="majorBidi" w:hAnsiTheme="majorBidi"/>
          <w:b/>
          <w:bCs/>
          <w:sz w:val="24"/>
          <w:szCs w:val="24"/>
        </w:rPr>
        <w:footnoteReference w:id="45"/>
      </w:r>
      <w:r w:rsidRPr="00057C8B">
        <w:rPr>
          <w:rFonts w:asciiTheme="majorBidi" w:hAnsiTheme="majorBidi" w:cstheme="majorBidi"/>
          <w:b/>
          <w:bCs/>
          <w:sz w:val="24"/>
          <w:szCs w:val="24"/>
        </w:rPr>
        <w:t>.</w:t>
      </w:r>
    </w:p>
    <w:p w14:paraId="1BD098B8" w14:textId="340630C2" w:rsidR="002760B2" w:rsidRPr="006F09F7" w:rsidRDefault="002760B2" w:rsidP="00EB2CD9">
      <w:pPr>
        <w:tabs>
          <w:tab w:val="left" w:pos="0"/>
        </w:tabs>
        <w:spacing w:before="120" w:line="300" w:lineRule="auto"/>
        <w:ind w:right="-1" w:firstLine="709"/>
        <w:rPr>
          <w:rFonts w:asciiTheme="majorBidi" w:hAnsiTheme="majorBidi" w:cstheme="majorBidi"/>
          <w:b/>
          <w:bCs/>
          <w:color w:val="002030"/>
          <w:shd w:val="clear" w:color="auto" w:fill="FFFFFF"/>
          <w:lang w:bidi="ar-DZ"/>
        </w:rPr>
      </w:pPr>
      <w:r w:rsidRPr="006F09F7">
        <w:rPr>
          <w:rFonts w:ascii="Times New Roman" w:hAnsi="Times New Roman" w:cs="Times New Roman"/>
          <w:sz w:val="24"/>
          <w:szCs w:val="24"/>
        </w:rPr>
        <w:t xml:space="preserve">En analysant ces versets, nous pouvons conclure qu’il y a une claire distinction quant à la pratique du commerce et la pratique du </w:t>
      </w:r>
      <w:r w:rsidRPr="006F09F7">
        <w:rPr>
          <w:rFonts w:ascii="Times New Roman" w:hAnsi="Times New Roman" w:cs="Times New Roman"/>
          <w:i/>
          <w:sz w:val="24"/>
          <w:szCs w:val="24"/>
        </w:rPr>
        <w:t>riba</w:t>
      </w:r>
      <w:r w:rsidR="009408DD" w:rsidRPr="006F09F7">
        <w:rPr>
          <w:rFonts w:ascii="Times New Roman" w:hAnsi="Times New Roman" w:cs="Times New Roman"/>
          <w:sz w:val="24"/>
          <w:szCs w:val="24"/>
        </w:rPr>
        <w:t>. L</w:t>
      </w:r>
      <w:r w:rsidRPr="006F09F7">
        <w:rPr>
          <w:rFonts w:ascii="Times New Roman" w:hAnsi="Times New Roman" w:cs="Times New Roman"/>
          <w:sz w:val="24"/>
          <w:szCs w:val="24"/>
        </w:rPr>
        <w:t>a prohibition de ce dernier est dé</w:t>
      </w:r>
      <w:r w:rsidR="009408DD" w:rsidRPr="006F09F7">
        <w:rPr>
          <w:rFonts w:ascii="Times New Roman" w:hAnsi="Times New Roman" w:cs="Times New Roman"/>
          <w:sz w:val="24"/>
          <w:szCs w:val="24"/>
        </w:rPr>
        <w:t>finitivement mentionnée et,</w:t>
      </w:r>
      <w:r w:rsidRPr="006F09F7">
        <w:rPr>
          <w:rFonts w:ascii="Times New Roman" w:hAnsi="Times New Roman" w:cs="Times New Roman"/>
          <w:sz w:val="24"/>
          <w:szCs w:val="24"/>
        </w:rPr>
        <w:t xml:space="preserve"> doit d’être respectée par tout musulman. Le musulman a droit à son capital mais pas au surplus obtenu par l’exercice du </w:t>
      </w:r>
      <w:r w:rsidRPr="006F09F7">
        <w:rPr>
          <w:rFonts w:ascii="Times New Roman" w:hAnsi="Times New Roman" w:cs="Times New Roman"/>
          <w:i/>
          <w:sz w:val="24"/>
          <w:szCs w:val="24"/>
        </w:rPr>
        <w:t>riba</w:t>
      </w:r>
      <w:r w:rsidRPr="006F09F7">
        <w:rPr>
          <w:rFonts w:ascii="Times New Roman" w:hAnsi="Times New Roman" w:cs="Times New Roman"/>
          <w:sz w:val="24"/>
          <w:szCs w:val="24"/>
        </w:rPr>
        <w:t>.</w:t>
      </w:r>
    </w:p>
    <w:p w14:paraId="2C7F8D28" w14:textId="2A1BD2A6" w:rsidR="002760B2" w:rsidRPr="00295EBC" w:rsidRDefault="003327A8" w:rsidP="00050A0B">
      <w:pPr>
        <w:pStyle w:val="Titre6"/>
        <w:keepNext w:val="0"/>
        <w:keepLines w:val="0"/>
        <w:spacing w:before="120" w:after="120" w:line="300" w:lineRule="auto"/>
        <w:ind w:firstLine="709"/>
        <w:rPr>
          <w:rFonts w:asciiTheme="majorBidi" w:hAnsiTheme="majorBidi"/>
          <w:b/>
          <w:bCs/>
          <w:color w:val="auto"/>
          <w:sz w:val="24"/>
          <w:szCs w:val="24"/>
        </w:rPr>
      </w:pPr>
      <w:bookmarkStart w:id="172" w:name="_Toc182298604"/>
      <w:r w:rsidRPr="00295EBC">
        <w:rPr>
          <w:rFonts w:asciiTheme="majorBidi" w:hAnsiTheme="majorBidi"/>
          <w:b/>
          <w:bCs/>
          <w:i w:val="0"/>
          <w:iCs w:val="0"/>
          <w:color w:val="auto"/>
          <w:sz w:val="24"/>
          <w:szCs w:val="24"/>
        </w:rPr>
        <w:t xml:space="preserve">1.3.1.3.2- </w:t>
      </w:r>
      <w:r w:rsidR="007D20BD" w:rsidRPr="00295EBC">
        <w:rPr>
          <w:rFonts w:asciiTheme="majorBidi" w:hAnsiTheme="majorBidi"/>
          <w:b/>
          <w:bCs/>
          <w:color w:val="auto"/>
          <w:sz w:val="24"/>
          <w:szCs w:val="24"/>
        </w:rPr>
        <w:t>R</w:t>
      </w:r>
      <w:r w:rsidR="005A54CF" w:rsidRPr="00295EBC">
        <w:rPr>
          <w:rFonts w:asciiTheme="majorBidi" w:hAnsiTheme="majorBidi"/>
          <w:b/>
          <w:bCs/>
          <w:color w:val="auto"/>
          <w:sz w:val="24"/>
          <w:szCs w:val="24"/>
        </w:rPr>
        <w:t xml:space="preserve">iba </w:t>
      </w:r>
      <w:r w:rsidR="005A54CF" w:rsidRPr="00295EBC">
        <w:rPr>
          <w:rFonts w:asciiTheme="majorBidi" w:hAnsiTheme="majorBidi"/>
          <w:b/>
          <w:bCs/>
          <w:i w:val="0"/>
          <w:iCs w:val="0"/>
          <w:color w:val="auto"/>
          <w:sz w:val="24"/>
          <w:szCs w:val="24"/>
        </w:rPr>
        <w:t>dans la</w:t>
      </w:r>
      <w:r w:rsidR="005A54CF" w:rsidRPr="00295EBC">
        <w:rPr>
          <w:rFonts w:asciiTheme="majorBidi" w:hAnsiTheme="majorBidi"/>
          <w:b/>
          <w:bCs/>
          <w:color w:val="auto"/>
          <w:sz w:val="24"/>
          <w:szCs w:val="24"/>
        </w:rPr>
        <w:t xml:space="preserve"> S</w:t>
      </w:r>
      <w:r w:rsidR="002760B2" w:rsidRPr="00295EBC">
        <w:rPr>
          <w:rFonts w:asciiTheme="majorBidi" w:hAnsiTheme="majorBidi"/>
          <w:b/>
          <w:bCs/>
          <w:color w:val="auto"/>
          <w:sz w:val="24"/>
          <w:szCs w:val="24"/>
        </w:rPr>
        <w:t>unna</w:t>
      </w:r>
      <w:r w:rsidR="006C1230">
        <w:rPr>
          <w:rFonts w:asciiTheme="majorBidi" w:hAnsiTheme="majorBidi"/>
          <w:b/>
          <w:bCs/>
          <w:color w:val="auto"/>
          <w:sz w:val="24"/>
          <w:szCs w:val="24"/>
        </w:rPr>
        <w:t>h</w:t>
      </w:r>
      <w:bookmarkEnd w:id="172"/>
    </w:p>
    <w:p w14:paraId="345707DB" w14:textId="77777777" w:rsidR="002760B2" w:rsidRPr="006F09F7" w:rsidRDefault="002760B2" w:rsidP="00915C77">
      <w:pPr>
        <w:tabs>
          <w:tab w:val="left" w:pos="0"/>
        </w:tabs>
        <w:autoSpaceDE w:val="0"/>
        <w:autoSpaceDN w:val="0"/>
        <w:adjustRightInd w:val="0"/>
        <w:spacing w:line="300" w:lineRule="auto"/>
        <w:ind w:firstLine="709"/>
        <w:rPr>
          <w:rFonts w:ascii="Times New Roman" w:hAnsi="Times New Roman" w:cs="Times New Roman"/>
          <w:sz w:val="24"/>
          <w:szCs w:val="24"/>
        </w:rPr>
      </w:pPr>
      <w:r w:rsidRPr="006F09F7">
        <w:rPr>
          <w:rFonts w:ascii="Times New Roman" w:hAnsi="Times New Roman" w:cs="Times New Roman"/>
          <w:sz w:val="24"/>
          <w:szCs w:val="24"/>
        </w:rPr>
        <w:t xml:space="preserve">Il existe plusieurs </w:t>
      </w:r>
      <w:r w:rsidRPr="006F09F7">
        <w:rPr>
          <w:rFonts w:ascii="Times New Roman" w:hAnsi="Times New Roman" w:cs="Times New Roman"/>
          <w:i/>
          <w:iCs/>
          <w:sz w:val="24"/>
          <w:szCs w:val="24"/>
        </w:rPr>
        <w:t>hadiths</w:t>
      </w:r>
      <w:r w:rsidR="007D20BD" w:rsidRPr="006F09F7">
        <w:rPr>
          <w:rFonts w:ascii="Times New Roman" w:hAnsi="Times New Roman" w:cs="Times New Roman"/>
          <w:sz w:val="24"/>
          <w:szCs w:val="24"/>
        </w:rPr>
        <w:t xml:space="preserve"> du P</w:t>
      </w:r>
      <w:r w:rsidRPr="006F09F7">
        <w:rPr>
          <w:rFonts w:ascii="Times New Roman" w:hAnsi="Times New Roman" w:cs="Times New Roman"/>
          <w:sz w:val="24"/>
          <w:szCs w:val="24"/>
        </w:rPr>
        <w:t xml:space="preserve">rophète  </w:t>
      </w:r>
      <w:r w:rsidR="003B7538" w:rsidRPr="006F09F7">
        <w:rPr>
          <w:rFonts w:ascii="Times New Roman" w:hAnsi="Times New Roman" w:cs="Times New Roman"/>
          <w:sz w:val="24"/>
          <w:szCs w:val="24"/>
          <w:rtl/>
        </w:rPr>
        <w:t xml:space="preserve"> </w:t>
      </w:r>
      <w:r w:rsidR="003B7538" w:rsidRPr="006F09F7">
        <w:rPr>
          <w:rFonts w:ascii="Times New Roman" w:hAnsi="Times New Roman" w:cs="Times New Roman"/>
          <w:noProof/>
          <w:sz w:val="24"/>
          <w:szCs w:val="24"/>
          <w:lang w:eastAsia="fr-FR"/>
        </w:rPr>
        <w:drawing>
          <wp:anchor distT="0" distB="0" distL="114300" distR="114300" simplePos="0" relativeHeight="251497472" behindDoc="0" locked="1" layoutInCell="1" allowOverlap="0" wp14:anchorId="0AD66544" wp14:editId="4A5C32A8">
            <wp:simplePos x="0" y="0"/>
            <wp:positionH relativeFrom="column">
              <wp:posOffset>2868930</wp:posOffset>
            </wp:positionH>
            <wp:positionV relativeFrom="paragraph">
              <wp:posOffset>26035</wp:posOffset>
            </wp:positionV>
            <wp:extent cx="178435" cy="163195"/>
            <wp:effectExtent l="19050" t="0" r="0" b="0"/>
            <wp:wrapNone/>
            <wp:docPr id="198"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78435" cy="163195"/>
                    </a:xfrm>
                    <a:prstGeom prst="rect">
                      <a:avLst/>
                    </a:prstGeom>
                    <a:noFill/>
                    <a:ln w="9525">
                      <a:noFill/>
                      <a:miter lim="800000"/>
                      <a:headEnd/>
                      <a:tailEnd/>
                    </a:ln>
                  </pic:spPr>
                </pic:pic>
              </a:graphicData>
            </a:graphic>
          </wp:anchor>
        </w:drawing>
      </w:r>
      <w:r w:rsidR="003B7538" w:rsidRPr="006F09F7">
        <w:rPr>
          <w:rFonts w:ascii="Times New Roman" w:hAnsi="Times New Roman" w:cs="Times New Roman"/>
          <w:sz w:val="24"/>
          <w:szCs w:val="24"/>
        </w:rPr>
        <w:t xml:space="preserve"> </w:t>
      </w:r>
      <w:r w:rsidR="003B7538" w:rsidRPr="006F09F7">
        <w:rPr>
          <w:rFonts w:ascii="Times New Roman" w:hAnsi="Times New Roman" w:cs="Times New Roman"/>
          <w:sz w:val="24"/>
          <w:szCs w:val="24"/>
          <w:rtl/>
        </w:rPr>
        <w:t xml:space="preserve"> </w:t>
      </w:r>
      <w:r w:rsidRPr="006F09F7">
        <w:rPr>
          <w:rFonts w:ascii="Times New Roman" w:hAnsi="Times New Roman" w:cs="Times New Roman"/>
          <w:sz w:val="24"/>
          <w:szCs w:val="24"/>
        </w:rPr>
        <w:t xml:space="preserve">quant à la prohibition du </w:t>
      </w:r>
      <w:r w:rsidRPr="006F09F7">
        <w:rPr>
          <w:rFonts w:ascii="Times New Roman" w:hAnsi="Times New Roman" w:cs="Times New Roman"/>
          <w:i/>
          <w:sz w:val="24"/>
          <w:szCs w:val="24"/>
        </w:rPr>
        <w:t>riba</w:t>
      </w:r>
      <w:r w:rsidRPr="006F09F7">
        <w:rPr>
          <w:rFonts w:ascii="Times New Roman" w:hAnsi="Times New Roman" w:cs="Times New Roman"/>
          <w:sz w:val="24"/>
          <w:szCs w:val="24"/>
        </w:rPr>
        <w:t xml:space="preserve">. Dans ce qui suit, nous citerons quelques </w:t>
      </w:r>
      <w:r w:rsidR="00915C77" w:rsidRPr="006F09F7">
        <w:rPr>
          <w:rFonts w:ascii="Times New Roman" w:hAnsi="Times New Roman" w:cs="Times New Roman"/>
          <w:i/>
          <w:iCs/>
          <w:sz w:val="24"/>
          <w:szCs w:val="24"/>
        </w:rPr>
        <w:t>h</w:t>
      </w:r>
      <w:r w:rsidRPr="006F09F7">
        <w:rPr>
          <w:rFonts w:ascii="Times New Roman" w:hAnsi="Times New Roman" w:cs="Times New Roman"/>
          <w:i/>
          <w:iCs/>
          <w:sz w:val="24"/>
          <w:szCs w:val="24"/>
        </w:rPr>
        <w:t>adiths</w:t>
      </w:r>
      <w:r w:rsidRPr="006F09F7">
        <w:rPr>
          <w:rFonts w:ascii="Times New Roman" w:hAnsi="Times New Roman" w:cs="Times New Roman"/>
          <w:sz w:val="24"/>
          <w:szCs w:val="24"/>
        </w:rPr>
        <w:t> :</w:t>
      </w:r>
    </w:p>
    <w:p w14:paraId="09D52B9D" w14:textId="77777777" w:rsidR="00FA7772" w:rsidRPr="006F09F7" w:rsidRDefault="002760B2" w:rsidP="00B36563">
      <w:pPr>
        <w:tabs>
          <w:tab w:val="left" w:pos="0"/>
        </w:tabs>
        <w:spacing w:before="120" w:line="300" w:lineRule="auto"/>
        <w:ind w:firstLine="709"/>
        <w:rPr>
          <w:rFonts w:ascii="Times New Roman" w:hAnsi="Times New Roman" w:cs="Times New Roman"/>
          <w:sz w:val="24"/>
          <w:szCs w:val="24"/>
        </w:rPr>
      </w:pPr>
      <w:r w:rsidRPr="006F09F7">
        <w:rPr>
          <w:rFonts w:ascii="Times New Roman" w:hAnsi="Times New Roman" w:cs="Times New Roman"/>
          <w:smallCaps/>
          <w:sz w:val="24"/>
          <w:szCs w:val="24"/>
        </w:rPr>
        <w:t>Djabir</w:t>
      </w:r>
      <w:r w:rsidRPr="006F09F7">
        <w:rPr>
          <w:rFonts w:ascii="Times New Roman" w:hAnsi="Times New Roman" w:cs="Times New Roman"/>
          <w:sz w:val="24"/>
          <w:szCs w:val="24"/>
        </w:rPr>
        <w:t xml:space="preserve"> </w:t>
      </w:r>
      <w:r w:rsidR="003D6A69" w:rsidRPr="006F09F7">
        <w:rPr>
          <w:rFonts w:ascii="Times New Roman" w:hAnsi="Times New Roman" w:cs="Times New Roman"/>
          <w:sz w:val="24"/>
          <w:szCs w:val="24"/>
        </w:rPr>
        <w:t xml:space="preserve">   </w:t>
      </w:r>
      <w:r w:rsidR="003D6A69" w:rsidRPr="006F09F7">
        <w:rPr>
          <w:rFonts w:ascii="Times New Roman" w:hAnsi="Times New Roman" w:cs="Times New Roman"/>
          <w:noProof/>
          <w:sz w:val="24"/>
          <w:szCs w:val="24"/>
          <w:lang w:eastAsia="fr-FR"/>
        </w:rPr>
        <w:drawing>
          <wp:anchor distT="0" distB="0" distL="114300" distR="114300" simplePos="0" relativeHeight="251505664" behindDoc="0" locked="1" layoutInCell="1" allowOverlap="0" wp14:anchorId="7F1FCC00" wp14:editId="3DB4A816">
            <wp:simplePos x="0" y="0"/>
            <wp:positionH relativeFrom="column">
              <wp:posOffset>914400</wp:posOffset>
            </wp:positionH>
            <wp:positionV relativeFrom="paragraph">
              <wp:posOffset>85090</wp:posOffset>
            </wp:positionV>
            <wp:extent cx="251460" cy="179705"/>
            <wp:effectExtent l="0" t="0" r="0" b="0"/>
            <wp:wrapNone/>
            <wp:docPr id="20" name="Image 1" descr="ملف:رضي الله عنه.png - ويكيبيد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ملف:رضي الله عنه.png - ويكيبيديا"/>
                    <pic:cNvPicPr preferRelativeResize="0">
                      <a:picLocks noChangeAspect="1" noChangeArrowheads="1"/>
                    </pic:cNvPicPr>
                  </pic:nvPicPr>
                  <pic:blipFill>
                    <a:blip r:embed="rId18" cstate="print"/>
                    <a:srcRect/>
                    <a:stretch>
                      <a:fillRect/>
                    </a:stretch>
                  </pic:blipFill>
                  <pic:spPr bwMode="auto">
                    <a:xfrm>
                      <a:off x="0" y="0"/>
                      <a:ext cx="251460" cy="179705"/>
                    </a:xfrm>
                    <a:prstGeom prst="rect">
                      <a:avLst/>
                    </a:prstGeom>
                    <a:noFill/>
                    <a:ln w="9525">
                      <a:noFill/>
                      <a:miter lim="800000"/>
                      <a:headEnd/>
                      <a:tailEnd/>
                    </a:ln>
                  </pic:spPr>
                </pic:pic>
              </a:graphicData>
            </a:graphic>
          </wp:anchor>
        </w:drawing>
      </w:r>
      <w:r w:rsidR="003D6A69" w:rsidRPr="006F09F7">
        <w:rPr>
          <w:rFonts w:ascii="Times New Roman" w:hAnsi="Times New Roman" w:cs="Times New Roman"/>
          <w:sz w:val="24"/>
          <w:szCs w:val="24"/>
        </w:rPr>
        <w:t xml:space="preserve">   </w:t>
      </w:r>
      <w:r w:rsidR="00FA7772" w:rsidRPr="006F09F7">
        <w:rPr>
          <w:rFonts w:ascii="Times New Roman" w:hAnsi="Times New Roman" w:cs="Times New Roman"/>
          <w:sz w:val="24"/>
          <w:szCs w:val="24"/>
        </w:rPr>
        <w:t>rapporte que :</w:t>
      </w:r>
    </w:p>
    <w:p w14:paraId="51F6CB59" w14:textId="77777777" w:rsidR="002760B2" w:rsidRPr="001A7690" w:rsidRDefault="002760B2" w:rsidP="00210F47">
      <w:pPr>
        <w:tabs>
          <w:tab w:val="left" w:pos="0"/>
        </w:tabs>
        <w:spacing w:before="120" w:line="300" w:lineRule="auto"/>
        <w:ind w:left="1134" w:right="567"/>
        <w:rPr>
          <w:rFonts w:ascii="Times New Roman" w:hAnsi="Times New Roman" w:cs="Times New Roman"/>
          <w:sz w:val="24"/>
          <w:szCs w:val="24"/>
        </w:rPr>
      </w:pPr>
      <w:r w:rsidRPr="006F09F7">
        <w:rPr>
          <w:rFonts w:ascii="Times New Roman" w:hAnsi="Times New Roman" w:cs="Times New Roman"/>
        </w:rPr>
        <w:t>« </w:t>
      </w:r>
      <w:r w:rsidR="003E141E" w:rsidRPr="001A7690">
        <w:rPr>
          <w:rFonts w:ascii="Times New Roman" w:hAnsi="Times New Roman" w:cs="Times New Roman"/>
          <w:i/>
          <w:iCs/>
          <w:sz w:val="24"/>
          <w:szCs w:val="24"/>
        </w:rPr>
        <w:t>Le</w:t>
      </w:r>
      <w:r w:rsidRPr="001A7690">
        <w:rPr>
          <w:rFonts w:ascii="Times New Roman" w:hAnsi="Times New Roman" w:cs="Times New Roman"/>
          <w:i/>
          <w:iCs/>
          <w:sz w:val="24"/>
          <w:szCs w:val="24"/>
        </w:rPr>
        <w:t xml:space="preserve"> messager d’Allah (que la paix et la bénédiction de Dieu soient sur lui) a maudit celui qui se nourrit du riba, celui qui en donne à consommer, celui qui rédige (la </w:t>
      </w:r>
      <w:r w:rsidRPr="00210F47">
        <w:rPr>
          <w:rFonts w:ascii="Times New Roman" w:hAnsi="Times New Roman" w:cs="Times New Roman"/>
          <w:i/>
          <w:iCs/>
          <w:kern w:val="24"/>
          <w:sz w:val="24"/>
          <w:szCs w:val="24"/>
        </w:rPr>
        <w:t>transaction</w:t>
      </w:r>
      <w:r w:rsidRPr="001A7690">
        <w:rPr>
          <w:rFonts w:ascii="Times New Roman" w:hAnsi="Times New Roman" w:cs="Times New Roman"/>
          <w:i/>
          <w:iCs/>
          <w:sz w:val="24"/>
          <w:szCs w:val="24"/>
        </w:rPr>
        <w:t xml:space="preserve"> et met celle-ci à l’écrit) ainsi que les deux témoins. Et il a dit qu’ils sont (tous) pareils !</w:t>
      </w:r>
      <w:r w:rsidRPr="001A7690">
        <w:rPr>
          <w:rFonts w:ascii="Times New Roman" w:hAnsi="Times New Roman" w:cs="Times New Roman"/>
          <w:sz w:val="24"/>
          <w:szCs w:val="24"/>
        </w:rPr>
        <w:t> »</w:t>
      </w:r>
      <w:r w:rsidRPr="001A7690">
        <w:rPr>
          <w:rStyle w:val="Appelnotedebasdep"/>
          <w:rFonts w:ascii="Times New Roman" w:hAnsi="Times New Roman"/>
          <w:sz w:val="24"/>
          <w:szCs w:val="24"/>
        </w:rPr>
        <w:footnoteReference w:id="46"/>
      </w:r>
      <w:r w:rsidRPr="001A7690">
        <w:rPr>
          <w:rFonts w:ascii="Times New Roman" w:hAnsi="Times New Roman" w:cs="Times New Roman"/>
          <w:sz w:val="24"/>
          <w:szCs w:val="24"/>
        </w:rPr>
        <w:t>.</w:t>
      </w:r>
    </w:p>
    <w:p w14:paraId="03E400B5" w14:textId="7062EFCA" w:rsidR="00FA7772" w:rsidRPr="002B005F" w:rsidRDefault="002760B2" w:rsidP="00915C7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6F09F7">
        <w:rPr>
          <w:rFonts w:ascii="Times New Roman" w:hAnsi="Times New Roman" w:cs="Times New Roman"/>
          <w:sz w:val="24"/>
          <w:szCs w:val="24"/>
        </w:rPr>
        <w:t xml:space="preserve">Selon </w:t>
      </w:r>
      <w:r w:rsidRPr="006F09F7">
        <w:rPr>
          <w:rFonts w:ascii="Times New Roman" w:hAnsi="Times New Roman" w:cs="Times New Roman"/>
          <w:smallCaps/>
          <w:sz w:val="24"/>
          <w:szCs w:val="24"/>
        </w:rPr>
        <w:t>Abou Hourayr</w:t>
      </w:r>
      <w:r w:rsidR="00544FF9">
        <w:rPr>
          <w:rFonts w:ascii="Times New Roman" w:hAnsi="Times New Roman" w:cs="Times New Roman"/>
          <w:smallCaps/>
          <w:sz w:val="24"/>
          <w:szCs w:val="24"/>
        </w:rPr>
        <w:t>a</w:t>
      </w:r>
      <w:r w:rsidR="003D6A69" w:rsidRPr="006F09F7">
        <w:rPr>
          <w:rFonts w:ascii="Times New Roman" w:hAnsi="Times New Roman" w:cs="Times New Roman"/>
          <w:smallCaps/>
          <w:sz w:val="24"/>
          <w:szCs w:val="24"/>
        </w:rPr>
        <w:t xml:space="preserve">        </w:t>
      </w:r>
      <w:r w:rsidR="003D6A69" w:rsidRPr="006F09F7">
        <w:rPr>
          <w:rFonts w:ascii="Times New Roman" w:hAnsi="Times New Roman" w:cs="Times New Roman"/>
          <w:noProof/>
          <w:sz w:val="24"/>
          <w:szCs w:val="24"/>
          <w:lang w:eastAsia="fr-FR"/>
        </w:rPr>
        <w:drawing>
          <wp:anchor distT="0" distB="0" distL="114300" distR="114300" simplePos="0" relativeHeight="251506688" behindDoc="0" locked="1" layoutInCell="1" allowOverlap="0" wp14:anchorId="57B4A76A" wp14:editId="56A13207">
            <wp:simplePos x="0" y="0"/>
            <wp:positionH relativeFrom="column">
              <wp:posOffset>1938655</wp:posOffset>
            </wp:positionH>
            <wp:positionV relativeFrom="paragraph">
              <wp:posOffset>78105</wp:posOffset>
            </wp:positionV>
            <wp:extent cx="251460" cy="179705"/>
            <wp:effectExtent l="0" t="0" r="0" b="0"/>
            <wp:wrapNone/>
            <wp:docPr id="21" name="Image 1" descr="ملف:رضي الله عنه.png - ويكيبيد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ملف:رضي الله عنه.png - ويكيبيديا"/>
                    <pic:cNvPicPr preferRelativeResize="0">
                      <a:picLocks noChangeAspect="1" noChangeArrowheads="1"/>
                    </pic:cNvPicPr>
                  </pic:nvPicPr>
                  <pic:blipFill>
                    <a:blip r:embed="rId18" cstate="print"/>
                    <a:srcRect/>
                    <a:stretch>
                      <a:fillRect/>
                    </a:stretch>
                  </pic:blipFill>
                  <pic:spPr bwMode="auto">
                    <a:xfrm>
                      <a:off x="0" y="0"/>
                      <a:ext cx="251460" cy="179705"/>
                    </a:xfrm>
                    <a:prstGeom prst="rect">
                      <a:avLst/>
                    </a:prstGeom>
                    <a:noFill/>
                    <a:ln w="9525">
                      <a:noFill/>
                      <a:miter lim="800000"/>
                      <a:headEnd/>
                      <a:tailEnd/>
                    </a:ln>
                  </pic:spPr>
                </pic:pic>
              </a:graphicData>
            </a:graphic>
          </wp:anchor>
        </w:drawing>
      </w:r>
      <w:r w:rsidRPr="006F09F7">
        <w:rPr>
          <w:rFonts w:ascii="Times New Roman" w:hAnsi="Times New Roman" w:cs="Times New Roman"/>
          <w:sz w:val="24"/>
          <w:szCs w:val="24"/>
        </w:rPr>
        <w:t>, le Messager d’Allah</w:t>
      </w:r>
      <w:r w:rsidR="003D6A69" w:rsidRPr="006F09F7">
        <w:rPr>
          <w:rFonts w:ascii="Times New Roman" w:hAnsi="Times New Roman" w:cs="Times New Roman"/>
          <w:sz w:val="24"/>
          <w:szCs w:val="24"/>
        </w:rPr>
        <w:t xml:space="preserve"> </w:t>
      </w:r>
      <w:r w:rsidRPr="006F09F7">
        <w:rPr>
          <w:rFonts w:ascii="Times New Roman" w:hAnsi="Times New Roman" w:cs="Times New Roman"/>
          <w:sz w:val="24"/>
          <w:szCs w:val="24"/>
        </w:rPr>
        <w:t xml:space="preserve"> </w:t>
      </w:r>
      <w:r w:rsidR="00915C77" w:rsidRPr="006F09F7">
        <w:rPr>
          <w:rFonts w:ascii="Times New Roman" w:hAnsi="Times New Roman" w:cs="Times New Roman"/>
          <w:noProof/>
          <w:sz w:val="24"/>
          <w:szCs w:val="24"/>
          <w:lang w:eastAsia="fr-FR"/>
        </w:rPr>
        <w:drawing>
          <wp:anchor distT="0" distB="0" distL="114300" distR="114300" simplePos="0" relativeHeight="251498496" behindDoc="0" locked="1" layoutInCell="1" allowOverlap="0" wp14:anchorId="11D05941" wp14:editId="4E103943">
            <wp:simplePos x="0" y="0"/>
            <wp:positionH relativeFrom="column">
              <wp:posOffset>3500120</wp:posOffset>
            </wp:positionH>
            <wp:positionV relativeFrom="paragraph">
              <wp:posOffset>105410</wp:posOffset>
            </wp:positionV>
            <wp:extent cx="178435" cy="163195"/>
            <wp:effectExtent l="0" t="0" r="0" b="0"/>
            <wp:wrapNone/>
            <wp:docPr id="199"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78435" cy="163195"/>
                    </a:xfrm>
                    <a:prstGeom prst="rect">
                      <a:avLst/>
                    </a:prstGeom>
                    <a:noFill/>
                    <a:ln w="9525">
                      <a:noFill/>
                      <a:miter lim="800000"/>
                      <a:headEnd/>
                      <a:tailEnd/>
                    </a:ln>
                  </pic:spPr>
                </pic:pic>
              </a:graphicData>
            </a:graphic>
          </wp:anchor>
        </w:drawing>
      </w:r>
      <w:r w:rsidR="00915C77" w:rsidRPr="006F09F7">
        <w:rPr>
          <w:rFonts w:ascii="Times New Roman" w:hAnsi="Times New Roman" w:cs="Times New Roman"/>
          <w:sz w:val="24"/>
          <w:szCs w:val="24"/>
        </w:rPr>
        <w:t xml:space="preserve">    </w:t>
      </w:r>
      <w:r w:rsidRPr="006F09F7">
        <w:rPr>
          <w:rFonts w:ascii="Times New Roman" w:hAnsi="Times New Roman" w:cs="Times New Roman"/>
          <w:sz w:val="24"/>
          <w:szCs w:val="24"/>
        </w:rPr>
        <w:t>a dit</w:t>
      </w:r>
      <w:r w:rsidR="00FA7772" w:rsidRPr="002B005F">
        <w:rPr>
          <w:rFonts w:ascii="Times New Roman" w:hAnsi="Times New Roman" w:cs="Times New Roman"/>
          <w:sz w:val="24"/>
          <w:szCs w:val="24"/>
        </w:rPr>
        <w:t> :</w:t>
      </w:r>
    </w:p>
    <w:p w14:paraId="5CFBDE64" w14:textId="77777777" w:rsidR="002760B2" w:rsidRPr="001A7690" w:rsidRDefault="005A77F4" w:rsidP="00EB2CD9">
      <w:pPr>
        <w:tabs>
          <w:tab w:val="left" w:pos="0"/>
          <w:tab w:val="left" w:pos="9071"/>
        </w:tabs>
        <w:autoSpaceDE w:val="0"/>
        <w:autoSpaceDN w:val="0"/>
        <w:adjustRightInd w:val="0"/>
        <w:spacing w:before="120" w:line="300" w:lineRule="auto"/>
        <w:ind w:left="1134" w:right="-1"/>
        <w:rPr>
          <w:rFonts w:ascii="Times New Roman" w:hAnsi="Times New Roman" w:cs="Times New Roman"/>
          <w:spacing w:val="-6"/>
          <w:sz w:val="24"/>
          <w:szCs w:val="24"/>
        </w:rPr>
      </w:pPr>
      <w:r w:rsidRPr="001A7690">
        <w:rPr>
          <w:rFonts w:ascii="Times New Roman" w:hAnsi="Times New Roman" w:cs="Times New Roman"/>
          <w:spacing w:val="-6"/>
          <w:sz w:val="24"/>
          <w:szCs w:val="24"/>
        </w:rPr>
        <w:t>« </w:t>
      </w:r>
      <w:r w:rsidR="002760B2" w:rsidRPr="001A7690">
        <w:rPr>
          <w:rFonts w:ascii="Times New Roman" w:hAnsi="Times New Roman" w:cs="Times New Roman"/>
          <w:i/>
          <w:iCs/>
          <w:spacing w:val="-6"/>
          <w:sz w:val="24"/>
          <w:szCs w:val="24"/>
        </w:rPr>
        <w:t>Evitez les sept pernicieuses (péchés capitaux)</w:t>
      </w:r>
      <w:r w:rsidRPr="001A7690">
        <w:rPr>
          <w:rFonts w:ascii="Times New Roman" w:hAnsi="Times New Roman" w:cs="Times New Roman"/>
          <w:i/>
          <w:iCs/>
          <w:spacing w:val="-6"/>
          <w:sz w:val="24"/>
          <w:szCs w:val="24"/>
        </w:rPr>
        <w:t> »</w:t>
      </w:r>
      <w:r w:rsidRPr="001A7690">
        <w:rPr>
          <w:rFonts w:ascii="Times New Roman" w:hAnsi="Times New Roman" w:cs="Times New Roman"/>
          <w:spacing w:val="-6"/>
          <w:sz w:val="24"/>
          <w:szCs w:val="24"/>
        </w:rPr>
        <w:t>. Ils dirent :</w:t>
      </w:r>
      <w:r w:rsidR="002760B2" w:rsidRPr="001A7690">
        <w:rPr>
          <w:rFonts w:ascii="Times New Roman" w:hAnsi="Times New Roman" w:cs="Times New Roman"/>
          <w:spacing w:val="-6"/>
          <w:sz w:val="24"/>
          <w:szCs w:val="24"/>
        </w:rPr>
        <w:t xml:space="preserve"> </w:t>
      </w:r>
      <w:r w:rsidRPr="001A7690">
        <w:rPr>
          <w:rFonts w:ascii="Times New Roman" w:hAnsi="Times New Roman" w:cs="Times New Roman"/>
          <w:spacing w:val="-6"/>
          <w:sz w:val="24"/>
          <w:szCs w:val="24"/>
        </w:rPr>
        <w:t>« </w:t>
      </w:r>
      <w:r w:rsidR="002760B2" w:rsidRPr="001A7690">
        <w:rPr>
          <w:rFonts w:ascii="Times New Roman" w:hAnsi="Times New Roman" w:cs="Times New Roman"/>
          <w:i/>
          <w:iCs/>
          <w:spacing w:val="-6"/>
          <w:sz w:val="24"/>
          <w:szCs w:val="24"/>
        </w:rPr>
        <w:t>Ô Messager d’Allah ! Que sont-elles</w:t>
      </w:r>
      <w:r w:rsidRPr="001A7690">
        <w:rPr>
          <w:rFonts w:ascii="Times New Roman" w:hAnsi="Times New Roman" w:cs="Times New Roman"/>
          <w:i/>
          <w:iCs/>
          <w:spacing w:val="-6"/>
          <w:sz w:val="24"/>
          <w:szCs w:val="24"/>
        </w:rPr>
        <w:t> ? ».</w:t>
      </w:r>
      <w:r w:rsidRPr="001A7690">
        <w:rPr>
          <w:rFonts w:ascii="Times New Roman" w:hAnsi="Times New Roman" w:cs="Times New Roman"/>
          <w:spacing w:val="-6"/>
          <w:sz w:val="24"/>
          <w:szCs w:val="24"/>
        </w:rPr>
        <w:t xml:space="preserve"> Il dit :</w:t>
      </w:r>
      <w:r w:rsidR="002760B2" w:rsidRPr="001A7690">
        <w:rPr>
          <w:rFonts w:ascii="Times New Roman" w:hAnsi="Times New Roman" w:cs="Times New Roman"/>
          <w:spacing w:val="-6"/>
          <w:sz w:val="24"/>
          <w:szCs w:val="24"/>
        </w:rPr>
        <w:t xml:space="preserve"> </w:t>
      </w:r>
      <w:r w:rsidRPr="001A7690">
        <w:rPr>
          <w:rFonts w:ascii="Times New Roman" w:hAnsi="Times New Roman" w:cs="Times New Roman"/>
          <w:spacing w:val="-6"/>
          <w:sz w:val="24"/>
          <w:szCs w:val="24"/>
        </w:rPr>
        <w:t>« </w:t>
      </w:r>
      <w:r w:rsidR="002760B2" w:rsidRPr="001A7690">
        <w:rPr>
          <w:rFonts w:ascii="Times New Roman" w:hAnsi="Times New Roman" w:cs="Times New Roman"/>
          <w:i/>
          <w:iCs/>
          <w:spacing w:val="-6"/>
          <w:sz w:val="24"/>
          <w:szCs w:val="24"/>
        </w:rPr>
        <w:t>Associer quoi que ce soit à Allah. Pratiquer la magie. Tuer sans raison légitime l’âme qu’Allah a faite sacrée. Manger l’intérêt (l’usure). Manger les biens de l’orphelin. Tourner le dos dans la bataille. Accuser à tort d’adultère les femmes chastes, croyantes et distraites</w:t>
      </w:r>
      <w:r w:rsidRPr="001A7690">
        <w:rPr>
          <w:rFonts w:ascii="Times New Roman" w:hAnsi="Times New Roman" w:cs="Times New Roman"/>
          <w:spacing w:val="-6"/>
          <w:sz w:val="24"/>
          <w:szCs w:val="24"/>
        </w:rPr>
        <w:t> »</w:t>
      </w:r>
      <w:r w:rsidR="002760B2" w:rsidRPr="001A7690">
        <w:rPr>
          <w:rStyle w:val="Appelnotedebasdep"/>
          <w:rFonts w:ascii="Times New Roman" w:hAnsi="Times New Roman"/>
          <w:spacing w:val="-6"/>
          <w:sz w:val="24"/>
          <w:szCs w:val="24"/>
        </w:rPr>
        <w:footnoteReference w:id="47"/>
      </w:r>
      <w:r w:rsidR="002760B2" w:rsidRPr="001A7690">
        <w:rPr>
          <w:rFonts w:ascii="Times New Roman" w:hAnsi="Times New Roman" w:cs="Times New Roman"/>
          <w:spacing w:val="-6"/>
          <w:sz w:val="24"/>
          <w:szCs w:val="24"/>
        </w:rPr>
        <w:t>.</w:t>
      </w:r>
    </w:p>
    <w:p w14:paraId="458F9CD6" w14:textId="77777777" w:rsidR="002760B2" w:rsidRPr="001A7690" w:rsidRDefault="005A77F4" w:rsidP="00EB2CD9">
      <w:pPr>
        <w:tabs>
          <w:tab w:val="left" w:pos="0"/>
          <w:tab w:val="left" w:pos="9071"/>
        </w:tabs>
        <w:spacing w:before="120" w:line="300" w:lineRule="auto"/>
        <w:ind w:left="1134" w:right="-1"/>
        <w:rPr>
          <w:rFonts w:ascii="Times New Roman" w:hAnsi="Times New Roman" w:cs="Times New Roman"/>
          <w:sz w:val="24"/>
          <w:szCs w:val="24"/>
        </w:rPr>
      </w:pPr>
      <w:r w:rsidRPr="001A7690">
        <w:rPr>
          <w:rFonts w:ascii="Times New Roman" w:hAnsi="Times New Roman" w:cs="Times New Roman"/>
          <w:sz w:val="24"/>
          <w:szCs w:val="24"/>
        </w:rPr>
        <w:t>« </w:t>
      </w:r>
      <w:r w:rsidR="002760B2" w:rsidRPr="001A7690">
        <w:rPr>
          <w:rFonts w:ascii="Times New Roman" w:hAnsi="Times New Roman" w:cs="Times New Roman"/>
          <w:i/>
          <w:iCs/>
          <w:sz w:val="24"/>
          <w:szCs w:val="24"/>
        </w:rPr>
        <w:t>Manger un dirham provenant de l'usure sciemment est plus grave que commettre trente-six fois l'adultère</w:t>
      </w:r>
      <w:r w:rsidRPr="001A7690">
        <w:rPr>
          <w:rFonts w:ascii="Times New Roman" w:hAnsi="Times New Roman" w:cs="Times New Roman"/>
          <w:i/>
          <w:iCs/>
          <w:sz w:val="24"/>
          <w:szCs w:val="24"/>
        </w:rPr>
        <w:t> »</w:t>
      </w:r>
      <w:r w:rsidR="002760B2" w:rsidRPr="001A7690">
        <w:rPr>
          <w:rStyle w:val="Appelnotedebasdep"/>
          <w:rFonts w:ascii="Times New Roman" w:hAnsi="Times New Roman"/>
          <w:sz w:val="24"/>
          <w:szCs w:val="24"/>
        </w:rPr>
        <w:footnoteReference w:id="48"/>
      </w:r>
      <w:r w:rsidRPr="001A7690">
        <w:rPr>
          <w:rFonts w:ascii="Times New Roman" w:hAnsi="Times New Roman" w:cs="Times New Roman"/>
          <w:i/>
          <w:iCs/>
          <w:sz w:val="24"/>
          <w:szCs w:val="24"/>
        </w:rPr>
        <w:t>.</w:t>
      </w:r>
    </w:p>
    <w:p w14:paraId="318096E8" w14:textId="77777777" w:rsidR="002760B2" w:rsidRPr="002B005F" w:rsidRDefault="002760B2" w:rsidP="009408DD">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En résumé, ces </w:t>
      </w:r>
      <w:r w:rsidRPr="002B005F">
        <w:rPr>
          <w:rFonts w:ascii="Times New Roman" w:hAnsi="Times New Roman" w:cs="Times New Roman"/>
          <w:i/>
          <w:iCs/>
          <w:sz w:val="24"/>
          <w:szCs w:val="24"/>
        </w:rPr>
        <w:t>hadiths</w:t>
      </w:r>
      <w:r w:rsidRPr="002B005F">
        <w:rPr>
          <w:rFonts w:ascii="Times New Roman" w:hAnsi="Times New Roman" w:cs="Times New Roman"/>
          <w:sz w:val="24"/>
          <w:szCs w:val="24"/>
        </w:rPr>
        <w:t xml:space="preserve"> nous indiquent que l’usure ou le prêt à intérêt est strictement prohibé quelle que soit sa forme</w:t>
      </w:r>
      <w:r w:rsidR="009408DD" w:rsidRPr="002B005F">
        <w:rPr>
          <w:rFonts w:ascii="Times New Roman" w:hAnsi="Times New Roman" w:cs="Times New Roman"/>
          <w:sz w:val="24"/>
          <w:szCs w:val="24"/>
        </w:rPr>
        <w:t>. C</w:t>
      </w:r>
      <w:r w:rsidRPr="002B005F">
        <w:rPr>
          <w:rFonts w:ascii="Times New Roman" w:hAnsi="Times New Roman" w:cs="Times New Roman"/>
          <w:sz w:val="24"/>
          <w:szCs w:val="24"/>
        </w:rPr>
        <w:t>e qui ne laisse aucune manipulation ou détournement éventuel pour des interprétations laxistes dans le but d’adoucir la condamnation. La transparence de la chose prêtée, de la chose vendue et du prix payé est une règle absolue. Il s’agit de la transparence sur l’objet lui-même et de la transparence dans le temps</w:t>
      </w:r>
      <w:r w:rsidRPr="002B005F">
        <w:rPr>
          <w:rStyle w:val="Appelnotedebasdep"/>
          <w:rFonts w:ascii="Times New Roman" w:hAnsi="Times New Roman"/>
          <w:sz w:val="24"/>
          <w:szCs w:val="24"/>
        </w:rPr>
        <w:footnoteReference w:id="49"/>
      </w:r>
      <w:r w:rsidRPr="002B005F">
        <w:rPr>
          <w:rFonts w:ascii="Times New Roman" w:hAnsi="Times New Roman" w:cs="Times New Roman"/>
          <w:sz w:val="24"/>
          <w:szCs w:val="24"/>
        </w:rPr>
        <w:t>.</w:t>
      </w:r>
    </w:p>
    <w:p w14:paraId="2D2A21F7" w14:textId="77777777" w:rsidR="002760B2" w:rsidRPr="002B005F" w:rsidRDefault="002760B2" w:rsidP="00A73C96">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Faisant suite aux </w:t>
      </w:r>
      <w:r w:rsidRPr="002B005F">
        <w:rPr>
          <w:rFonts w:ascii="Times New Roman" w:hAnsi="Times New Roman" w:cs="Times New Roman"/>
          <w:i/>
          <w:iCs/>
          <w:sz w:val="24"/>
          <w:szCs w:val="24"/>
        </w:rPr>
        <w:t>hadiths</w:t>
      </w:r>
      <w:r w:rsidR="00D42A34" w:rsidRPr="002B005F">
        <w:rPr>
          <w:rFonts w:ascii="Times New Roman" w:hAnsi="Times New Roman" w:cs="Times New Roman"/>
          <w:sz w:val="24"/>
          <w:szCs w:val="24"/>
        </w:rPr>
        <w:t xml:space="preserve"> du P</w:t>
      </w:r>
      <w:r w:rsidRPr="002B005F">
        <w:rPr>
          <w:rFonts w:ascii="Times New Roman" w:hAnsi="Times New Roman" w:cs="Times New Roman"/>
          <w:sz w:val="24"/>
          <w:szCs w:val="24"/>
        </w:rPr>
        <w:t xml:space="preserve">rophète </w:t>
      </w:r>
      <w:r w:rsidRPr="002B005F">
        <w:rPr>
          <w:rFonts w:ascii="Times New Roman" w:hAnsi="Times New Roman" w:cs="Times New Roman"/>
          <w:i/>
          <w:iCs/>
          <w:sz w:val="24"/>
          <w:szCs w:val="24"/>
        </w:rPr>
        <w:t>Mohammed</w:t>
      </w:r>
      <w:r w:rsidR="00A73C96">
        <w:rPr>
          <w:rFonts w:ascii="Times New Roman" w:hAnsi="Times New Roman" w:cs="Times New Roman"/>
          <w:sz w:val="24"/>
          <w:szCs w:val="24"/>
        </w:rPr>
        <w:t xml:space="preserve">  </w:t>
      </w:r>
      <w:r w:rsidR="00A73C96" w:rsidRPr="002B005F">
        <w:rPr>
          <w:rFonts w:ascii="Times New Roman" w:hAnsi="Times New Roman" w:cs="Times New Roman"/>
          <w:noProof/>
          <w:sz w:val="24"/>
          <w:szCs w:val="24"/>
          <w:lang w:eastAsia="fr-FR"/>
        </w:rPr>
        <w:drawing>
          <wp:anchor distT="0" distB="0" distL="114300" distR="114300" simplePos="0" relativeHeight="251504640" behindDoc="0" locked="1" layoutInCell="1" allowOverlap="0" wp14:anchorId="7DBDE136" wp14:editId="640C0F52">
            <wp:simplePos x="0" y="0"/>
            <wp:positionH relativeFrom="column">
              <wp:posOffset>3907155</wp:posOffset>
            </wp:positionH>
            <wp:positionV relativeFrom="paragraph">
              <wp:posOffset>75565</wp:posOffset>
            </wp:positionV>
            <wp:extent cx="178435" cy="163195"/>
            <wp:effectExtent l="0" t="0" r="0" b="0"/>
            <wp:wrapNone/>
            <wp:docPr id="8"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78435" cy="163195"/>
                    </a:xfrm>
                    <a:prstGeom prst="rect">
                      <a:avLst/>
                    </a:prstGeom>
                    <a:noFill/>
                    <a:ln w="9525">
                      <a:noFill/>
                      <a:miter lim="800000"/>
                      <a:headEnd/>
                      <a:tailEnd/>
                    </a:ln>
                  </pic:spPr>
                </pic:pic>
              </a:graphicData>
            </a:graphic>
          </wp:anchor>
        </w:drawing>
      </w:r>
      <w:r w:rsidR="00A73C96">
        <w:rPr>
          <w:rFonts w:ascii="Times New Roman" w:hAnsi="Times New Roman" w:cs="Times New Roman"/>
          <w:sz w:val="24"/>
          <w:szCs w:val="24"/>
        </w:rPr>
        <w:t xml:space="preserve"> </w:t>
      </w:r>
      <w:r w:rsidRPr="002B005F">
        <w:rPr>
          <w:rFonts w:ascii="Times New Roman" w:hAnsi="Times New Roman" w:cs="Times New Roman"/>
          <w:sz w:val="24"/>
          <w:szCs w:val="24"/>
        </w:rPr>
        <w:t xml:space="preserve">, les scholars </w:t>
      </w:r>
      <w:r w:rsidR="003773C6" w:rsidRPr="002B005F">
        <w:rPr>
          <w:rFonts w:ascii="Times New Roman" w:hAnsi="Times New Roman" w:cs="Times New Roman"/>
          <w:sz w:val="24"/>
          <w:szCs w:val="24"/>
        </w:rPr>
        <w:t>islamique</w:t>
      </w:r>
      <w:r w:rsidRPr="002B005F">
        <w:rPr>
          <w:rFonts w:ascii="Times New Roman" w:hAnsi="Times New Roman" w:cs="Times New Roman"/>
          <w:sz w:val="24"/>
          <w:szCs w:val="24"/>
        </w:rPr>
        <w:t xml:space="preserve">s distinguent entre deux formes de </w:t>
      </w:r>
      <w:r w:rsidRPr="002B005F">
        <w:rPr>
          <w:rFonts w:ascii="Times New Roman" w:hAnsi="Times New Roman" w:cs="Times New Roman"/>
          <w:i/>
          <w:sz w:val="24"/>
          <w:szCs w:val="24"/>
        </w:rPr>
        <w:t>riba</w:t>
      </w:r>
      <w:r w:rsidR="009408DD" w:rsidRPr="002B005F">
        <w:rPr>
          <w:rFonts w:ascii="Times New Roman" w:hAnsi="Times New Roman" w:cs="Times New Roman"/>
          <w:i/>
          <w:sz w:val="24"/>
          <w:szCs w:val="24"/>
        </w:rPr>
        <w:t> </w:t>
      </w:r>
      <w:r w:rsidR="009408DD" w:rsidRPr="002B005F">
        <w:rPr>
          <w:rFonts w:ascii="Times New Roman" w:hAnsi="Times New Roman" w:cs="Times New Roman"/>
          <w:sz w:val="24"/>
          <w:szCs w:val="24"/>
        </w:rPr>
        <w:t>:</w:t>
      </w:r>
      <w:r w:rsidRPr="002B005F">
        <w:rPr>
          <w:rFonts w:ascii="Times New Roman" w:hAnsi="Times New Roman" w:cs="Times New Roman"/>
          <w:sz w:val="24"/>
          <w:szCs w:val="24"/>
        </w:rPr>
        <w:t xml:space="preserve"> </w:t>
      </w:r>
      <w:r w:rsidRPr="002B005F">
        <w:rPr>
          <w:rFonts w:ascii="Times New Roman" w:hAnsi="Times New Roman" w:cs="Times New Roman"/>
          <w:i/>
          <w:sz w:val="24"/>
          <w:szCs w:val="24"/>
        </w:rPr>
        <w:t>riba</w:t>
      </w:r>
      <w:r w:rsidRPr="002B005F">
        <w:rPr>
          <w:rFonts w:ascii="Times New Roman" w:hAnsi="Times New Roman" w:cs="Times New Roman"/>
          <w:sz w:val="24"/>
          <w:szCs w:val="24"/>
        </w:rPr>
        <w:t xml:space="preserve"> </w:t>
      </w:r>
      <w:r w:rsidRPr="002B005F">
        <w:rPr>
          <w:rFonts w:ascii="Times New Roman" w:hAnsi="Times New Roman" w:cs="Times New Roman"/>
          <w:i/>
          <w:iCs/>
          <w:sz w:val="24"/>
          <w:szCs w:val="24"/>
        </w:rPr>
        <w:t>al-fadl</w:t>
      </w:r>
      <w:r w:rsidRPr="002B005F">
        <w:rPr>
          <w:rFonts w:ascii="Times New Roman" w:hAnsi="Times New Roman" w:cs="Times New Roman"/>
          <w:sz w:val="24"/>
          <w:szCs w:val="24"/>
        </w:rPr>
        <w:t xml:space="preserve"> (de solde) et </w:t>
      </w:r>
      <w:r w:rsidRPr="002B005F">
        <w:rPr>
          <w:rFonts w:ascii="Times New Roman" w:hAnsi="Times New Roman" w:cs="Times New Roman"/>
          <w:i/>
          <w:sz w:val="24"/>
          <w:szCs w:val="24"/>
        </w:rPr>
        <w:t>riba</w:t>
      </w:r>
      <w:r w:rsidRPr="002B005F">
        <w:rPr>
          <w:rFonts w:ascii="Times New Roman" w:hAnsi="Times New Roman" w:cs="Times New Roman"/>
          <w:sz w:val="24"/>
          <w:szCs w:val="24"/>
        </w:rPr>
        <w:t xml:space="preserve"> </w:t>
      </w:r>
      <w:r w:rsidRPr="002B005F">
        <w:rPr>
          <w:rFonts w:ascii="Times New Roman" w:hAnsi="Times New Roman" w:cs="Times New Roman"/>
          <w:i/>
          <w:iCs/>
          <w:sz w:val="24"/>
          <w:szCs w:val="24"/>
        </w:rPr>
        <w:t>annassia</w:t>
      </w:r>
      <w:r w:rsidRPr="002B005F">
        <w:rPr>
          <w:rFonts w:ascii="Times New Roman" w:hAnsi="Times New Roman" w:cs="Times New Roman"/>
          <w:sz w:val="24"/>
          <w:szCs w:val="24"/>
        </w:rPr>
        <w:t xml:space="preserve"> (de report).</w:t>
      </w:r>
    </w:p>
    <w:p w14:paraId="4465D8D9" w14:textId="77777777" w:rsidR="008D1F2C" w:rsidRPr="00295EBC" w:rsidRDefault="003327A8" w:rsidP="00050A0B">
      <w:pPr>
        <w:pStyle w:val="Titre7"/>
        <w:keepNext w:val="0"/>
        <w:keepLines w:val="0"/>
        <w:spacing w:before="120" w:after="120" w:line="300" w:lineRule="auto"/>
        <w:ind w:firstLine="709"/>
        <w:rPr>
          <w:rFonts w:asciiTheme="majorBidi" w:hAnsiTheme="majorBidi"/>
          <w:b/>
          <w:bCs/>
          <w:color w:val="auto"/>
          <w:sz w:val="24"/>
          <w:szCs w:val="24"/>
        </w:rPr>
      </w:pPr>
      <w:bookmarkStart w:id="173" w:name="_Toc182298605"/>
      <w:r w:rsidRPr="00295EBC">
        <w:rPr>
          <w:rFonts w:asciiTheme="majorBidi" w:hAnsiTheme="majorBidi"/>
          <w:b/>
          <w:bCs/>
          <w:color w:val="auto"/>
          <w:sz w:val="24"/>
          <w:szCs w:val="24"/>
        </w:rPr>
        <w:t>1.3.1.3.</w:t>
      </w:r>
      <w:r w:rsidR="001A7690" w:rsidRPr="00295EBC">
        <w:rPr>
          <w:rFonts w:asciiTheme="majorBidi" w:hAnsiTheme="majorBidi"/>
          <w:b/>
          <w:bCs/>
          <w:color w:val="auto"/>
          <w:sz w:val="24"/>
          <w:szCs w:val="24"/>
        </w:rPr>
        <w:t>2</w:t>
      </w:r>
      <w:r w:rsidRPr="00295EBC">
        <w:rPr>
          <w:rFonts w:asciiTheme="majorBidi" w:hAnsiTheme="majorBidi"/>
          <w:b/>
          <w:bCs/>
          <w:color w:val="auto"/>
          <w:sz w:val="24"/>
          <w:szCs w:val="24"/>
        </w:rPr>
        <w:t xml:space="preserve">.1- </w:t>
      </w:r>
      <w:r w:rsidR="00A73C96" w:rsidRPr="00295EBC">
        <w:rPr>
          <w:rFonts w:asciiTheme="majorBidi" w:hAnsiTheme="majorBidi"/>
          <w:b/>
          <w:bCs/>
          <w:color w:val="auto"/>
          <w:sz w:val="24"/>
          <w:szCs w:val="24"/>
        </w:rPr>
        <w:t>Riba a</w:t>
      </w:r>
      <w:r w:rsidR="002760B2" w:rsidRPr="00295EBC">
        <w:rPr>
          <w:rFonts w:asciiTheme="majorBidi" w:hAnsiTheme="majorBidi"/>
          <w:b/>
          <w:bCs/>
          <w:color w:val="auto"/>
          <w:sz w:val="24"/>
          <w:szCs w:val="24"/>
        </w:rPr>
        <w:t>l-</w:t>
      </w:r>
      <w:r w:rsidR="005A54CF" w:rsidRPr="00295EBC">
        <w:rPr>
          <w:rFonts w:asciiTheme="majorBidi" w:hAnsiTheme="majorBidi"/>
          <w:b/>
          <w:bCs/>
          <w:color w:val="auto"/>
          <w:sz w:val="24"/>
          <w:szCs w:val="24"/>
        </w:rPr>
        <w:t>fadl</w:t>
      </w:r>
      <w:bookmarkEnd w:id="173"/>
    </w:p>
    <w:p w14:paraId="123CC7B0" w14:textId="77777777" w:rsidR="003E141E" w:rsidRPr="002B005F" w:rsidRDefault="008D1F2C" w:rsidP="00EF43E9">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pacing w:val="-2"/>
          <w:sz w:val="24"/>
          <w:szCs w:val="24"/>
        </w:rPr>
      </w:pPr>
      <w:r w:rsidRPr="002B005F">
        <w:rPr>
          <w:rFonts w:ascii="Times New Roman" w:hAnsi="Times New Roman" w:cs="Times New Roman"/>
          <w:spacing w:val="-2"/>
          <w:sz w:val="24"/>
          <w:szCs w:val="24"/>
        </w:rPr>
        <w:t xml:space="preserve">Il </w:t>
      </w:r>
      <w:r w:rsidR="002760B2" w:rsidRPr="002B005F">
        <w:rPr>
          <w:rFonts w:ascii="Times New Roman" w:hAnsi="Times New Roman" w:cs="Times New Roman"/>
          <w:spacing w:val="-2"/>
          <w:sz w:val="24"/>
          <w:szCs w:val="24"/>
        </w:rPr>
        <w:t xml:space="preserve">désigne tout excès illégal dans l’échange de deux contrevaleurs où l’excédent est mesurable grâce à son poids ou à sa mesure. Le concept est basé sur certains </w:t>
      </w:r>
      <w:r w:rsidR="002760B2" w:rsidRPr="002B005F">
        <w:rPr>
          <w:rFonts w:ascii="Times New Roman" w:hAnsi="Times New Roman" w:cs="Times New Roman"/>
          <w:i/>
          <w:iCs/>
          <w:spacing w:val="-2"/>
          <w:sz w:val="24"/>
          <w:szCs w:val="24"/>
        </w:rPr>
        <w:t>hadiths</w:t>
      </w:r>
      <w:r w:rsidR="002760B2" w:rsidRPr="002B005F">
        <w:rPr>
          <w:rFonts w:ascii="Times New Roman" w:hAnsi="Times New Roman" w:cs="Times New Roman"/>
          <w:spacing w:val="-2"/>
          <w:sz w:val="24"/>
          <w:szCs w:val="24"/>
        </w:rPr>
        <w:t xml:space="preserve"> selon lesquels si l’or, l’argent, le blé, l’orge, les dattes et le sel sont échangés contre eux-mêmes, ils devraient </w:t>
      </w:r>
      <w:r w:rsidR="002760B2" w:rsidRPr="002B005F">
        <w:rPr>
          <w:rFonts w:ascii="Times New Roman" w:hAnsi="Times New Roman" w:cs="Times New Roman"/>
          <w:spacing w:val="-2"/>
          <w:sz w:val="24"/>
          <w:szCs w:val="24"/>
        </w:rPr>
        <w:lastRenderedPageBreak/>
        <w:t xml:space="preserve">être sur place (au comptant), égaux et déterminés. Si les articles sont de genres différents, l’échange peut être pratiqué sans aucune restriction pourvu qu’il soit effectué par </w:t>
      </w:r>
      <w:r w:rsidR="003E141E" w:rsidRPr="002B005F">
        <w:rPr>
          <w:rFonts w:ascii="Times New Roman" w:hAnsi="Times New Roman" w:cs="Times New Roman"/>
          <w:spacing w:val="-2"/>
          <w:sz w:val="24"/>
          <w:szCs w:val="24"/>
        </w:rPr>
        <w:t>une transaction de main à main.</w:t>
      </w:r>
    </w:p>
    <w:p w14:paraId="40C57006" w14:textId="77777777" w:rsidR="003E141E" w:rsidRPr="001A7690" w:rsidRDefault="009408DD" w:rsidP="00EB2CD9">
      <w:pPr>
        <w:pStyle w:val="Paragraphedeliste"/>
        <w:tabs>
          <w:tab w:val="left" w:pos="0"/>
        </w:tabs>
        <w:autoSpaceDE w:val="0"/>
        <w:autoSpaceDN w:val="0"/>
        <w:adjustRightInd w:val="0"/>
        <w:spacing w:before="120" w:after="120" w:line="300" w:lineRule="auto"/>
        <w:ind w:left="1134" w:right="-1"/>
        <w:contextualSpacing w:val="0"/>
        <w:rPr>
          <w:rFonts w:ascii="Times New Roman" w:hAnsi="Times New Roman" w:cs="Times New Roman"/>
          <w:sz w:val="24"/>
          <w:szCs w:val="24"/>
        </w:rPr>
      </w:pPr>
      <w:r w:rsidRPr="001A7690">
        <w:rPr>
          <w:rFonts w:ascii="Times New Roman" w:hAnsi="Times New Roman" w:cs="Times New Roman"/>
          <w:sz w:val="24"/>
          <w:szCs w:val="24"/>
        </w:rPr>
        <w:t>« </w:t>
      </w:r>
      <w:r w:rsidR="002760B2" w:rsidRPr="001A7690">
        <w:rPr>
          <w:rFonts w:ascii="Times New Roman" w:hAnsi="Times New Roman" w:cs="Times New Roman"/>
          <w:i/>
          <w:iCs/>
          <w:sz w:val="24"/>
          <w:szCs w:val="24"/>
        </w:rPr>
        <w:t>L’or par l’or, l’argent par l’argent, le blé par le blé, l’orge par l’orge, les dattes par les dattes et le sel</w:t>
      </w:r>
      <w:r w:rsidRPr="001A7690">
        <w:rPr>
          <w:rFonts w:ascii="Times New Roman" w:hAnsi="Times New Roman" w:cs="Times New Roman"/>
          <w:i/>
          <w:iCs/>
          <w:sz w:val="24"/>
          <w:szCs w:val="24"/>
        </w:rPr>
        <w:t xml:space="preserve"> par le sel ;</w:t>
      </w:r>
      <w:r w:rsidR="002760B2" w:rsidRPr="001A7690">
        <w:rPr>
          <w:rFonts w:ascii="Times New Roman" w:hAnsi="Times New Roman" w:cs="Times New Roman"/>
          <w:i/>
          <w:iCs/>
          <w:sz w:val="24"/>
          <w:szCs w:val="24"/>
        </w:rPr>
        <w:t xml:space="preserve"> </w:t>
      </w:r>
      <w:r w:rsidR="002760B2" w:rsidRPr="00544FF9">
        <w:rPr>
          <w:rFonts w:ascii="Times New Roman" w:hAnsi="Times New Roman" w:cs="Times New Roman"/>
          <w:i/>
          <w:iCs/>
          <w:kern w:val="24"/>
          <w:sz w:val="24"/>
          <w:szCs w:val="24"/>
        </w:rPr>
        <w:t>chaque</w:t>
      </w:r>
      <w:r w:rsidR="002760B2" w:rsidRPr="001A7690">
        <w:rPr>
          <w:rFonts w:ascii="Times New Roman" w:hAnsi="Times New Roman" w:cs="Times New Roman"/>
          <w:i/>
          <w:iCs/>
          <w:sz w:val="24"/>
          <w:szCs w:val="24"/>
        </w:rPr>
        <w:t xml:space="preserve"> espèce par son pareil, de quantités semblables et de donnant-donnant. En dehors de ces espèces, vendez comme il vous convient mais donnant-donnant</w:t>
      </w:r>
      <w:r w:rsidRPr="001A7690">
        <w:rPr>
          <w:rFonts w:ascii="Times New Roman" w:hAnsi="Times New Roman" w:cs="Times New Roman"/>
          <w:i/>
          <w:iCs/>
          <w:sz w:val="24"/>
          <w:szCs w:val="24"/>
        </w:rPr>
        <w:t> »</w:t>
      </w:r>
      <w:r w:rsidR="002760B2" w:rsidRPr="001A7690">
        <w:rPr>
          <w:rStyle w:val="Appelnotedebasdep"/>
          <w:rFonts w:ascii="Times New Roman" w:hAnsi="Times New Roman"/>
          <w:sz w:val="24"/>
          <w:szCs w:val="24"/>
        </w:rPr>
        <w:footnoteReference w:id="50"/>
      </w:r>
      <w:r w:rsidR="003E141E" w:rsidRPr="001A7690">
        <w:rPr>
          <w:rFonts w:ascii="Times New Roman" w:hAnsi="Times New Roman" w:cs="Times New Roman"/>
          <w:sz w:val="24"/>
          <w:szCs w:val="24"/>
        </w:rPr>
        <w:t>.</w:t>
      </w:r>
    </w:p>
    <w:p w14:paraId="71675BC9" w14:textId="77777777" w:rsidR="002760B2" w:rsidRPr="002B005F" w:rsidRDefault="002760B2" w:rsidP="003327A8">
      <w:pPr>
        <w:pStyle w:val="Paragraphedeliste"/>
        <w:tabs>
          <w:tab w:val="left" w:pos="0"/>
        </w:tabs>
        <w:autoSpaceDE w:val="0"/>
        <w:autoSpaceDN w:val="0"/>
        <w:adjustRightInd w:val="0"/>
        <w:spacing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L’illicite de la pratique du </w:t>
      </w:r>
      <w:r w:rsidRPr="002B005F">
        <w:rPr>
          <w:rFonts w:ascii="Times New Roman" w:hAnsi="Times New Roman" w:cs="Times New Roman"/>
          <w:i/>
          <w:sz w:val="24"/>
          <w:szCs w:val="24"/>
        </w:rPr>
        <w:t>riba</w:t>
      </w:r>
      <w:r w:rsidRPr="002B005F">
        <w:rPr>
          <w:rFonts w:ascii="Times New Roman" w:hAnsi="Times New Roman" w:cs="Times New Roman"/>
          <w:sz w:val="24"/>
          <w:szCs w:val="24"/>
        </w:rPr>
        <w:t xml:space="preserve"> </w:t>
      </w:r>
      <w:r w:rsidR="003327A8" w:rsidRPr="002B005F">
        <w:rPr>
          <w:rFonts w:ascii="Times New Roman" w:hAnsi="Times New Roman" w:cs="Times New Roman"/>
          <w:i/>
          <w:iCs/>
          <w:sz w:val="24"/>
          <w:szCs w:val="24"/>
        </w:rPr>
        <w:t>al-</w:t>
      </w:r>
      <w:r w:rsidRPr="002B005F">
        <w:rPr>
          <w:rFonts w:ascii="Times New Roman" w:hAnsi="Times New Roman" w:cs="Times New Roman"/>
          <w:i/>
          <w:iCs/>
          <w:sz w:val="24"/>
          <w:szCs w:val="24"/>
        </w:rPr>
        <w:t xml:space="preserve">fadl </w:t>
      </w:r>
      <w:r w:rsidRPr="002B005F">
        <w:rPr>
          <w:rFonts w:ascii="Times New Roman" w:hAnsi="Times New Roman" w:cs="Times New Roman"/>
          <w:sz w:val="24"/>
          <w:szCs w:val="24"/>
        </w:rPr>
        <w:t>est destiné à supprimer toute sorte d’exploitation grâce à des échanges inéquitables et afin de garantir la justice.</w:t>
      </w:r>
    </w:p>
    <w:p w14:paraId="25392468" w14:textId="77777777" w:rsidR="008D1F2C" w:rsidRPr="00295EBC" w:rsidRDefault="003327A8" w:rsidP="00050A0B">
      <w:pPr>
        <w:pStyle w:val="Titre7"/>
        <w:keepNext w:val="0"/>
        <w:keepLines w:val="0"/>
        <w:spacing w:before="120" w:after="120" w:line="300" w:lineRule="auto"/>
        <w:ind w:firstLine="709"/>
        <w:rPr>
          <w:rFonts w:asciiTheme="majorBidi" w:hAnsiTheme="majorBidi"/>
          <w:b/>
          <w:bCs/>
          <w:color w:val="auto"/>
          <w:sz w:val="24"/>
          <w:szCs w:val="24"/>
        </w:rPr>
      </w:pPr>
      <w:bookmarkStart w:id="174" w:name="_Toc182298606"/>
      <w:r w:rsidRPr="00295EBC">
        <w:rPr>
          <w:rFonts w:asciiTheme="majorBidi" w:hAnsiTheme="majorBidi"/>
          <w:b/>
          <w:bCs/>
          <w:color w:val="auto"/>
          <w:sz w:val="24"/>
          <w:szCs w:val="24"/>
        </w:rPr>
        <w:t>1.3.1.3.</w:t>
      </w:r>
      <w:r w:rsidR="001A7690" w:rsidRPr="00295EBC">
        <w:rPr>
          <w:rFonts w:asciiTheme="majorBidi" w:hAnsiTheme="majorBidi"/>
          <w:b/>
          <w:bCs/>
          <w:color w:val="auto"/>
          <w:sz w:val="24"/>
          <w:szCs w:val="24"/>
        </w:rPr>
        <w:t>2</w:t>
      </w:r>
      <w:r w:rsidRPr="00295EBC">
        <w:rPr>
          <w:rFonts w:asciiTheme="majorBidi" w:hAnsiTheme="majorBidi"/>
          <w:b/>
          <w:bCs/>
          <w:color w:val="auto"/>
          <w:sz w:val="24"/>
          <w:szCs w:val="24"/>
        </w:rPr>
        <w:t xml:space="preserve">.2- </w:t>
      </w:r>
      <w:r w:rsidR="002760B2" w:rsidRPr="00295EBC">
        <w:rPr>
          <w:rFonts w:asciiTheme="majorBidi" w:hAnsiTheme="majorBidi"/>
          <w:b/>
          <w:bCs/>
          <w:color w:val="auto"/>
          <w:sz w:val="24"/>
          <w:szCs w:val="24"/>
        </w:rPr>
        <w:t>Riba an-nassi</w:t>
      </w:r>
      <w:r w:rsidR="005A54CF" w:rsidRPr="00295EBC">
        <w:rPr>
          <w:rFonts w:asciiTheme="majorBidi" w:hAnsiTheme="majorBidi"/>
          <w:b/>
          <w:bCs/>
          <w:color w:val="auto"/>
          <w:sz w:val="24"/>
          <w:szCs w:val="24"/>
        </w:rPr>
        <w:t>a</w:t>
      </w:r>
      <w:bookmarkEnd w:id="174"/>
    </w:p>
    <w:p w14:paraId="1C368353" w14:textId="77777777" w:rsidR="002760B2" w:rsidRPr="002B005F" w:rsidRDefault="008D1F2C" w:rsidP="00050A0B">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C’est</w:t>
      </w:r>
      <w:r w:rsidR="002760B2" w:rsidRPr="002B005F">
        <w:rPr>
          <w:rFonts w:ascii="Times New Roman" w:hAnsi="Times New Roman" w:cs="Times New Roman"/>
          <w:sz w:val="24"/>
          <w:szCs w:val="24"/>
        </w:rPr>
        <w:t xml:space="preserve"> le surplus perçu lors de l'acquittement d'un dû (et dont le paiement a été posé comme condition de façon explicite ou implicite dans le contrat) en raison du délai octroyé à l’emprunteur pour le règlement différé. Celui-ci était pratiqué par les arabes pendant la période d'ignorance anté</w:t>
      </w:r>
      <w:r w:rsidR="009E1248">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760B2" w:rsidRPr="002B005F">
        <w:rPr>
          <w:rFonts w:ascii="Times New Roman" w:hAnsi="Times New Roman" w:cs="Times New Roman"/>
          <w:sz w:val="24"/>
          <w:szCs w:val="24"/>
        </w:rPr>
        <w:t xml:space="preserve"> (antérieur à l’</w:t>
      </w:r>
      <w:r w:rsidR="00F34669" w:rsidRPr="002B005F">
        <w:rPr>
          <w:rFonts w:ascii="Times New Roman" w:hAnsi="Times New Roman" w:cs="Times New Roman"/>
          <w:iCs/>
          <w:sz w:val="24"/>
          <w:szCs w:val="24"/>
        </w:rPr>
        <w:t>Islam</w:t>
      </w:r>
      <w:r w:rsidR="002760B2" w:rsidRPr="002B005F">
        <w:rPr>
          <w:rFonts w:ascii="Times New Roman" w:hAnsi="Times New Roman" w:cs="Times New Roman"/>
          <w:sz w:val="24"/>
          <w:szCs w:val="24"/>
        </w:rPr>
        <w:t xml:space="preserve">). Il n’existe absolument aucune différence d’avis entre les courants </w:t>
      </w:r>
      <w:r w:rsidR="009E1248">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760B2" w:rsidRPr="002B005F">
        <w:rPr>
          <w:rFonts w:ascii="Times New Roman" w:hAnsi="Times New Roman" w:cs="Times New Roman"/>
          <w:sz w:val="24"/>
          <w:szCs w:val="24"/>
        </w:rPr>
        <w:t>s</w:t>
      </w:r>
      <w:r w:rsidR="002760B2" w:rsidRPr="002B005F">
        <w:rPr>
          <w:rStyle w:val="Appelnotedebasdep"/>
          <w:rFonts w:ascii="Times New Roman" w:hAnsi="Times New Roman"/>
          <w:sz w:val="24"/>
          <w:szCs w:val="24"/>
        </w:rPr>
        <w:footnoteReference w:id="51"/>
      </w:r>
      <w:r w:rsidR="002760B2" w:rsidRPr="002B005F">
        <w:rPr>
          <w:rFonts w:ascii="Times New Roman" w:hAnsi="Times New Roman" w:cs="Times New Roman"/>
          <w:sz w:val="24"/>
          <w:szCs w:val="24"/>
        </w:rPr>
        <w:t xml:space="preserve"> sur la prohibition du </w:t>
      </w:r>
      <w:r w:rsidR="002760B2" w:rsidRPr="002B005F">
        <w:rPr>
          <w:rFonts w:ascii="Times New Roman" w:hAnsi="Times New Roman" w:cs="Times New Roman"/>
          <w:i/>
          <w:sz w:val="24"/>
          <w:szCs w:val="24"/>
        </w:rPr>
        <w:t>riba</w:t>
      </w:r>
      <w:r w:rsidR="002760B2" w:rsidRPr="002B005F">
        <w:rPr>
          <w:rFonts w:ascii="Times New Roman" w:hAnsi="Times New Roman" w:cs="Times New Roman"/>
          <w:sz w:val="24"/>
          <w:szCs w:val="24"/>
        </w:rPr>
        <w:t xml:space="preserve"> </w:t>
      </w:r>
      <w:r w:rsidR="002760B2" w:rsidRPr="002B005F">
        <w:rPr>
          <w:rFonts w:ascii="Times New Roman" w:hAnsi="Times New Roman" w:cs="Times New Roman"/>
          <w:i/>
          <w:iCs/>
          <w:sz w:val="24"/>
          <w:szCs w:val="24"/>
        </w:rPr>
        <w:t>al-nassia</w:t>
      </w:r>
      <w:r w:rsidR="002760B2" w:rsidRPr="002B005F">
        <w:rPr>
          <w:rFonts w:ascii="Times New Roman" w:hAnsi="Times New Roman" w:cs="Times New Roman"/>
          <w:sz w:val="24"/>
          <w:szCs w:val="24"/>
        </w:rPr>
        <w:t xml:space="preserve">, la nature de cette interdiction est absolue et sans ambiguïté. Cette forme de </w:t>
      </w:r>
      <w:r w:rsidR="002760B2" w:rsidRPr="002B005F">
        <w:rPr>
          <w:rFonts w:ascii="Times New Roman" w:hAnsi="Times New Roman" w:cs="Times New Roman"/>
          <w:i/>
          <w:sz w:val="24"/>
          <w:szCs w:val="24"/>
        </w:rPr>
        <w:t>riba</w:t>
      </w:r>
      <w:r w:rsidR="005A54CF" w:rsidRPr="002B005F">
        <w:rPr>
          <w:rFonts w:ascii="Times New Roman" w:hAnsi="Times New Roman" w:cs="Times New Roman"/>
          <w:sz w:val="24"/>
          <w:szCs w:val="24"/>
        </w:rPr>
        <w:t xml:space="preserve"> est la plus répandue de </w:t>
      </w:r>
      <w:r w:rsidR="002760B2" w:rsidRPr="002B005F">
        <w:rPr>
          <w:rFonts w:ascii="Times New Roman" w:hAnsi="Times New Roman" w:cs="Times New Roman"/>
          <w:sz w:val="24"/>
          <w:szCs w:val="24"/>
        </w:rPr>
        <w:t>nos jours, surtout en accordant les crédits et les placements proposés par les banques et les établissements financiers conventionnels.</w:t>
      </w:r>
    </w:p>
    <w:p w14:paraId="7258BCF3" w14:textId="77777777" w:rsidR="002760B2" w:rsidRPr="002B005F" w:rsidRDefault="002760B2" w:rsidP="00050A0B">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Pour résumer, les raisons de la prohibition de l’intérêt sont les suivantes :</w:t>
      </w:r>
    </w:p>
    <w:p w14:paraId="5155A026" w14:textId="77777777" w:rsidR="002760B2" w:rsidRPr="002B005F" w:rsidRDefault="002760B2" w:rsidP="00CB0FF1">
      <w:pPr>
        <w:pStyle w:val="Paragraphedeliste"/>
        <w:numPr>
          <w:ilvl w:val="0"/>
          <w:numId w:val="30"/>
        </w:numPr>
        <w:tabs>
          <w:tab w:val="left" w:pos="1134"/>
        </w:tabs>
        <w:spacing w:before="60"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z w:val="24"/>
          <w:szCs w:val="24"/>
        </w:rPr>
        <w:t>L’intérêt représente la rémunération du temps qui ne devr</w:t>
      </w:r>
      <w:r w:rsidR="00DB45FC" w:rsidRPr="002B005F">
        <w:rPr>
          <w:rFonts w:ascii="Times New Roman" w:hAnsi="Times New Roman" w:cs="Times New Roman"/>
          <w:sz w:val="24"/>
          <w:szCs w:val="24"/>
        </w:rPr>
        <w:t>ait pas faire l’objet d’échange ;</w:t>
      </w:r>
    </w:p>
    <w:p w14:paraId="5CEDC4F8" w14:textId="77777777" w:rsidR="002760B2" w:rsidRPr="002B005F" w:rsidRDefault="002760B2" w:rsidP="00CB0FF1">
      <w:pPr>
        <w:pStyle w:val="Paragraphedeliste"/>
        <w:numPr>
          <w:ilvl w:val="0"/>
          <w:numId w:val="30"/>
        </w:numPr>
        <w:tabs>
          <w:tab w:val="left" w:pos="1134"/>
        </w:tabs>
        <w:spacing w:before="60"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z w:val="24"/>
          <w:szCs w:val="24"/>
        </w:rPr>
        <w:t>L’intérêt est injuste parce qu’il correspond à une rémunération garantie du préteur alors que les risques sont tota</w:t>
      </w:r>
      <w:r w:rsidR="00DB45FC" w:rsidRPr="002B005F">
        <w:rPr>
          <w:rFonts w:ascii="Times New Roman" w:hAnsi="Times New Roman" w:cs="Times New Roman"/>
          <w:sz w:val="24"/>
          <w:szCs w:val="24"/>
        </w:rPr>
        <w:t>lement assumés par l’emprunteur ;</w:t>
      </w:r>
    </w:p>
    <w:p w14:paraId="28AA3EE7" w14:textId="77777777" w:rsidR="002760B2" w:rsidRPr="002B005F" w:rsidRDefault="002760B2" w:rsidP="00CB0FF1">
      <w:pPr>
        <w:pStyle w:val="Paragraphedeliste"/>
        <w:numPr>
          <w:ilvl w:val="0"/>
          <w:numId w:val="30"/>
        </w:numPr>
        <w:tabs>
          <w:tab w:val="left" w:pos="1134"/>
        </w:tabs>
        <w:spacing w:before="60"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z w:val="24"/>
          <w:szCs w:val="24"/>
        </w:rPr>
        <w:t>L’intérêt est interdit, car il constitue une rémunération contra</w:t>
      </w:r>
      <w:r w:rsidR="00DB45FC" w:rsidRPr="002B005F">
        <w:rPr>
          <w:rFonts w:ascii="Times New Roman" w:hAnsi="Times New Roman" w:cs="Times New Roman"/>
          <w:sz w:val="24"/>
          <w:szCs w:val="24"/>
        </w:rPr>
        <w:t>ctuelle fixe et connue d’avance.</w:t>
      </w:r>
    </w:p>
    <w:p w14:paraId="263BF178" w14:textId="77777777" w:rsidR="002760B2" w:rsidRPr="00295EBC" w:rsidRDefault="008D1F2C" w:rsidP="00050A0B">
      <w:pPr>
        <w:pStyle w:val="Titre5"/>
        <w:keepNext w:val="0"/>
        <w:keepLines w:val="0"/>
        <w:spacing w:before="120" w:after="120" w:line="300" w:lineRule="auto"/>
        <w:ind w:firstLine="709"/>
        <w:rPr>
          <w:rFonts w:asciiTheme="majorBidi" w:hAnsiTheme="majorBidi"/>
          <w:b/>
          <w:bCs/>
          <w:color w:val="auto"/>
          <w:sz w:val="24"/>
          <w:szCs w:val="24"/>
        </w:rPr>
      </w:pPr>
      <w:bookmarkStart w:id="175" w:name="_Toc182298607"/>
      <w:r w:rsidRPr="00295EBC">
        <w:rPr>
          <w:rFonts w:asciiTheme="majorBidi" w:hAnsiTheme="majorBidi"/>
          <w:b/>
          <w:bCs/>
          <w:color w:val="auto"/>
          <w:sz w:val="24"/>
          <w:szCs w:val="24"/>
        </w:rPr>
        <w:t xml:space="preserve">1.3.1.4- </w:t>
      </w:r>
      <w:r w:rsidR="00295EBC" w:rsidRPr="00295EBC">
        <w:rPr>
          <w:rFonts w:asciiTheme="majorBidi" w:hAnsiTheme="majorBidi"/>
          <w:b/>
          <w:bCs/>
          <w:color w:val="auto"/>
          <w:sz w:val="24"/>
          <w:szCs w:val="24"/>
        </w:rPr>
        <w:t>J</w:t>
      </w:r>
      <w:r w:rsidR="002760B2" w:rsidRPr="00295EBC">
        <w:rPr>
          <w:rFonts w:asciiTheme="majorBidi" w:hAnsiTheme="majorBidi"/>
          <w:b/>
          <w:bCs/>
          <w:color w:val="auto"/>
          <w:sz w:val="24"/>
          <w:szCs w:val="24"/>
        </w:rPr>
        <w:t>ustification économique de la prohibition de l’intérêt</w:t>
      </w:r>
      <w:bookmarkEnd w:id="175"/>
    </w:p>
    <w:p w14:paraId="64AB625B" w14:textId="77777777" w:rsidR="002760B2" w:rsidRPr="002B005F" w:rsidRDefault="002760B2" w:rsidP="00923981">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Les raisons économiques justifiant la prohibition de l’intérêt sont encore actuellement avancées par les auteurs économiques musulmans. La pratique avec le taux d’intérêt découragerait l’activité économique et réduirait l’offre du capital à risque ainsi que l’augmentation des coûts des marchandises</w:t>
      </w:r>
      <w:r w:rsidRPr="002B005F">
        <w:rPr>
          <w:rStyle w:val="Appelnotedebasdep"/>
          <w:rFonts w:ascii="Times New Roman" w:hAnsi="Times New Roman"/>
          <w:sz w:val="24"/>
          <w:szCs w:val="24"/>
        </w:rPr>
        <w:footnoteReference w:id="52"/>
      </w:r>
      <w:r w:rsidR="00F67FA7" w:rsidRPr="002B005F">
        <w:rPr>
          <w:rFonts w:ascii="Times New Roman" w:hAnsi="Times New Roman" w:cs="Times New Roman"/>
          <w:sz w:val="24"/>
          <w:szCs w:val="24"/>
        </w:rPr>
        <w:t>.</w:t>
      </w:r>
    </w:p>
    <w:p w14:paraId="1DE92E21" w14:textId="77777777" w:rsidR="002760B2" w:rsidRPr="00BB6220" w:rsidRDefault="002760B2" w:rsidP="00D0061D">
      <w:pPr>
        <w:tabs>
          <w:tab w:val="left" w:pos="0"/>
        </w:tabs>
        <w:spacing w:before="120" w:line="300" w:lineRule="auto"/>
        <w:ind w:firstLine="709"/>
        <w:rPr>
          <w:rFonts w:ascii="Times New Roman" w:hAnsi="Times New Roman" w:cs="Times New Roman"/>
          <w:kern w:val="24"/>
          <w:sz w:val="24"/>
          <w:szCs w:val="24"/>
        </w:rPr>
      </w:pPr>
      <w:r w:rsidRPr="00BB6220">
        <w:rPr>
          <w:rFonts w:ascii="Times New Roman" w:hAnsi="Times New Roman" w:cs="Times New Roman"/>
          <w:kern w:val="24"/>
          <w:sz w:val="24"/>
          <w:szCs w:val="24"/>
        </w:rPr>
        <w:t>Sel</w:t>
      </w:r>
      <w:r w:rsidR="00B21B9C" w:rsidRPr="00BB6220">
        <w:rPr>
          <w:rFonts w:ascii="Times New Roman" w:hAnsi="Times New Roman" w:cs="Times New Roman"/>
          <w:kern w:val="24"/>
          <w:sz w:val="24"/>
          <w:szCs w:val="24"/>
        </w:rPr>
        <w:t>on les spécialistes musulmans, l</w:t>
      </w:r>
      <w:r w:rsidRPr="00BB6220">
        <w:rPr>
          <w:rFonts w:ascii="Times New Roman" w:hAnsi="Times New Roman" w:cs="Times New Roman"/>
          <w:kern w:val="24"/>
          <w:sz w:val="24"/>
          <w:szCs w:val="24"/>
        </w:rPr>
        <w:t xml:space="preserve">a rentabilité consiste à rechercher une plus-value équitable sociale au lieu d’une maximisation du profit. </w:t>
      </w:r>
      <w:r w:rsidR="00F67FA7" w:rsidRPr="00BB6220">
        <w:rPr>
          <w:rFonts w:ascii="Times New Roman" w:hAnsi="Times New Roman" w:cs="Times New Roman"/>
          <w:kern w:val="24"/>
          <w:sz w:val="24"/>
          <w:szCs w:val="24"/>
        </w:rPr>
        <w:t>« </w:t>
      </w:r>
      <w:r w:rsidRPr="00BB6220">
        <w:rPr>
          <w:rFonts w:ascii="Times New Roman" w:hAnsi="Times New Roman" w:cs="Times New Roman"/>
          <w:i/>
          <w:iCs/>
          <w:kern w:val="24"/>
          <w:sz w:val="24"/>
          <w:szCs w:val="24"/>
        </w:rPr>
        <w:t xml:space="preserve">Il n’y a aucune justification qui pourrait obliger l’entrepreneur à payer un intérêt s’il n’a eu aucun retour positif sur l’argent investi. Dire le contraire, comme il prévaut dans le système basé sur l’intérêt, requiert que le </w:t>
      </w:r>
      <w:r w:rsidRPr="00BB6220">
        <w:rPr>
          <w:rFonts w:ascii="Times New Roman" w:hAnsi="Times New Roman" w:cs="Times New Roman"/>
          <w:i/>
          <w:iCs/>
          <w:kern w:val="24"/>
          <w:sz w:val="24"/>
          <w:szCs w:val="24"/>
        </w:rPr>
        <w:lastRenderedPageBreak/>
        <w:t xml:space="preserve">capital financier soit considéré comme pouvant générer de la valeur mais ce n’est pas ainsi. La valeur est un phénomène de marché et non une propriété </w:t>
      </w:r>
      <w:r w:rsidR="00B36563" w:rsidRPr="00BB6220">
        <w:rPr>
          <w:rFonts w:ascii="Times New Roman" w:hAnsi="Times New Roman" w:cs="Times New Roman"/>
          <w:i/>
          <w:iCs/>
          <w:kern w:val="24"/>
          <w:sz w:val="24"/>
          <w:szCs w:val="24"/>
        </w:rPr>
        <w:t>intrinsèque du capital financie</w:t>
      </w:r>
      <w:r w:rsidR="00DE1C8F" w:rsidRPr="00BB6220">
        <w:rPr>
          <w:rFonts w:ascii="Times New Roman" w:hAnsi="Times New Roman" w:cs="Times New Roman"/>
          <w:i/>
          <w:iCs/>
          <w:kern w:val="24"/>
          <w:sz w:val="24"/>
          <w:szCs w:val="24"/>
        </w:rPr>
        <w:t>r</w:t>
      </w:r>
      <w:r w:rsidR="00F67FA7" w:rsidRPr="00BB6220">
        <w:rPr>
          <w:rFonts w:ascii="Times New Roman" w:hAnsi="Times New Roman" w:cs="Times New Roman"/>
          <w:i/>
          <w:iCs/>
          <w:kern w:val="24"/>
          <w:sz w:val="24"/>
          <w:szCs w:val="24"/>
        </w:rPr>
        <w:t> »</w:t>
      </w:r>
      <w:r w:rsidRPr="00BB6220">
        <w:rPr>
          <w:rStyle w:val="Appelnotedebasdep"/>
          <w:rFonts w:ascii="Times New Roman" w:hAnsi="Times New Roman"/>
          <w:kern w:val="24"/>
          <w:sz w:val="24"/>
          <w:szCs w:val="24"/>
        </w:rPr>
        <w:footnoteReference w:id="53"/>
      </w:r>
      <w:r w:rsidRPr="00BB6220">
        <w:rPr>
          <w:rFonts w:ascii="Times New Roman" w:hAnsi="Times New Roman" w:cs="Times New Roman"/>
          <w:kern w:val="24"/>
          <w:sz w:val="24"/>
          <w:szCs w:val="24"/>
        </w:rPr>
        <w:t>.</w:t>
      </w:r>
    </w:p>
    <w:p w14:paraId="159B5F23" w14:textId="77777777" w:rsidR="002760B2" w:rsidRPr="00BB6220" w:rsidRDefault="002760B2" w:rsidP="00D0061D">
      <w:pPr>
        <w:tabs>
          <w:tab w:val="left" w:pos="0"/>
        </w:tabs>
        <w:spacing w:before="120" w:line="300" w:lineRule="auto"/>
        <w:ind w:firstLine="709"/>
        <w:rPr>
          <w:rFonts w:ascii="Times New Roman" w:hAnsi="Times New Roman" w:cs="Times New Roman"/>
          <w:kern w:val="24"/>
          <w:sz w:val="24"/>
          <w:szCs w:val="24"/>
          <w:lang w:eastAsia="fr-FR"/>
        </w:rPr>
      </w:pPr>
      <w:r w:rsidRPr="00BB6220">
        <w:rPr>
          <w:rFonts w:ascii="Times New Roman" w:hAnsi="Times New Roman" w:cs="Times New Roman"/>
          <w:smallCaps/>
          <w:kern w:val="24"/>
          <w:sz w:val="24"/>
          <w:szCs w:val="24"/>
        </w:rPr>
        <w:t>Causse-Broquet</w:t>
      </w:r>
      <w:r w:rsidR="00565037" w:rsidRPr="00BB6220">
        <w:rPr>
          <w:rFonts w:ascii="Times New Roman" w:hAnsi="Times New Roman" w:cs="Times New Roman"/>
          <w:kern w:val="24"/>
          <w:sz w:val="24"/>
          <w:szCs w:val="24"/>
        </w:rPr>
        <w:t xml:space="preserve"> (2009) ajoute</w:t>
      </w:r>
      <w:r w:rsidRPr="00BB6220">
        <w:rPr>
          <w:rFonts w:ascii="Times New Roman" w:hAnsi="Times New Roman" w:cs="Times New Roman"/>
          <w:kern w:val="24"/>
          <w:sz w:val="24"/>
          <w:szCs w:val="24"/>
        </w:rPr>
        <w:t xml:space="preserve"> les inconvénients du</w:t>
      </w:r>
      <w:r w:rsidR="00565037" w:rsidRPr="00BB6220">
        <w:rPr>
          <w:rFonts w:ascii="Times New Roman" w:hAnsi="Times New Roman" w:cs="Times New Roman"/>
          <w:kern w:val="24"/>
          <w:sz w:val="24"/>
          <w:szCs w:val="24"/>
        </w:rPr>
        <w:t xml:space="preserve"> système basé sur l’intérêt</w:t>
      </w:r>
      <w:r w:rsidRPr="00BB6220">
        <w:rPr>
          <w:rFonts w:ascii="Times New Roman" w:hAnsi="Times New Roman" w:cs="Times New Roman"/>
          <w:kern w:val="24"/>
          <w:sz w:val="24"/>
          <w:szCs w:val="24"/>
        </w:rPr>
        <w:t> </w:t>
      </w:r>
      <w:r w:rsidRPr="00BB6220">
        <w:rPr>
          <w:rStyle w:val="Appelnotedebasdep"/>
          <w:rFonts w:ascii="Times New Roman" w:hAnsi="Times New Roman"/>
          <w:kern w:val="24"/>
          <w:sz w:val="24"/>
          <w:szCs w:val="24"/>
        </w:rPr>
        <w:footnoteReference w:id="54"/>
      </w:r>
      <w:r w:rsidR="00565037" w:rsidRPr="00BB6220">
        <w:rPr>
          <w:rFonts w:ascii="Times New Roman" w:hAnsi="Times New Roman" w:cs="Times New Roman"/>
          <w:kern w:val="24"/>
          <w:sz w:val="24"/>
          <w:szCs w:val="24"/>
        </w:rPr>
        <w:t>:</w:t>
      </w:r>
    </w:p>
    <w:p w14:paraId="049D8F92" w14:textId="77777777" w:rsidR="002760B2" w:rsidRPr="00BB6220" w:rsidRDefault="002760B2" w:rsidP="00CB0FF1">
      <w:pPr>
        <w:pStyle w:val="Paragraphedeliste"/>
        <w:numPr>
          <w:ilvl w:val="0"/>
          <w:numId w:val="31"/>
        </w:numPr>
        <w:tabs>
          <w:tab w:val="left" w:pos="709"/>
          <w:tab w:val="left" w:pos="1134"/>
        </w:tabs>
        <w:spacing w:before="60" w:line="300" w:lineRule="auto"/>
        <w:ind w:left="1135" w:hanging="284"/>
        <w:contextualSpacing w:val="0"/>
        <w:rPr>
          <w:rFonts w:ascii="Times New Roman" w:hAnsi="Times New Roman" w:cs="Times New Roman"/>
          <w:kern w:val="24"/>
          <w:sz w:val="24"/>
          <w:szCs w:val="24"/>
        </w:rPr>
      </w:pPr>
      <w:r w:rsidRPr="00BB6220">
        <w:rPr>
          <w:rFonts w:ascii="Times New Roman" w:hAnsi="Times New Roman" w:cs="Times New Roman"/>
          <w:kern w:val="24"/>
          <w:sz w:val="24"/>
          <w:szCs w:val="24"/>
        </w:rPr>
        <w:t>La pratique de l’intérêt décourage l’esprit de l’entreprise car dès l’octroi du prêt, avant même tout retour sur investissement, l’emprunteur (entrepreneur</w:t>
      </w:r>
      <w:r w:rsidR="00565037" w:rsidRPr="00BB6220">
        <w:rPr>
          <w:rFonts w:ascii="Times New Roman" w:hAnsi="Times New Roman" w:cs="Times New Roman"/>
          <w:kern w:val="24"/>
          <w:sz w:val="24"/>
          <w:szCs w:val="24"/>
        </w:rPr>
        <w:t>)</w:t>
      </w:r>
      <w:r w:rsidRPr="00BB6220">
        <w:rPr>
          <w:rFonts w:ascii="Times New Roman" w:hAnsi="Times New Roman" w:cs="Times New Roman"/>
          <w:kern w:val="24"/>
          <w:sz w:val="24"/>
          <w:szCs w:val="24"/>
        </w:rPr>
        <w:t xml:space="preserve"> doit payer des intérêts et co</w:t>
      </w:r>
      <w:r w:rsidR="00270EE0" w:rsidRPr="00BB6220">
        <w:rPr>
          <w:rFonts w:ascii="Times New Roman" w:hAnsi="Times New Roman" w:cs="Times New Roman"/>
          <w:kern w:val="24"/>
          <w:sz w:val="24"/>
          <w:szCs w:val="24"/>
        </w:rPr>
        <w:t>mmence à rembourser le capital) ;</w:t>
      </w:r>
    </w:p>
    <w:p w14:paraId="2B997CF4" w14:textId="77777777" w:rsidR="002760B2" w:rsidRPr="00BB6220" w:rsidRDefault="002760B2" w:rsidP="00CB0FF1">
      <w:pPr>
        <w:pStyle w:val="Paragraphedeliste"/>
        <w:numPr>
          <w:ilvl w:val="0"/>
          <w:numId w:val="31"/>
        </w:numPr>
        <w:tabs>
          <w:tab w:val="left" w:pos="709"/>
          <w:tab w:val="left" w:pos="993"/>
          <w:tab w:val="left" w:pos="1134"/>
        </w:tabs>
        <w:spacing w:before="60" w:line="300" w:lineRule="auto"/>
        <w:ind w:left="1135" w:hanging="284"/>
        <w:contextualSpacing w:val="0"/>
        <w:rPr>
          <w:rFonts w:ascii="Times New Roman" w:hAnsi="Times New Roman" w:cs="Times New Roman"/>
          <w:kern w:val="24"/>
          <w:sz w:val="24"/>
          <w:szCs w:val="24"/>
        </w:rPr>
      </w:pPr>
      <w:r w:rsidRPr="00BB6220">
        <w:rPr>
          <w:rFonts w:ascii="Times New Roman" w:hAnsi="Times New Roman" w:cs="Times New Roman"/>
          <w:kern w:val="24"/>
          <w:sz w:val="24"/>
          <w:szCs w:val="24"/>
        </w:rPr>
        <w:t>Cette pratique favorise l’inflation, puisqu</w:t>
      </w:r>
      <w:r w:rsidR="00565037" w:rsidRPr="00BB6220">
        <w:rPr>
          <w:rFonts w:ascii="Times New Roman" w:hAnsi="Times New Roman" w:cs="Times New Roman"/>
          <w:kern w:val="24"/>
          <w:sz w:val="24"/>
          <w:szCs w:val="24"/>
        </w:rPr>
        <w:t>e les intérêts sont des charges ;</w:t>
      </w:r>
      <w:r w:rsidRPr="00BB6220">
        <w:rPr>
          <w:rFonts w:ascii="Times New Roman" w:hAnsi="Times New Roman" w:cs="Times New Roman"/>
          <w:kern w:val="24"/>
          <w:sz w:val="24"/>
          <w:szCs w:val="24"/>
        </w:rPr>
        <w:t xml:space="preserve"> les </w:t>
      </w:r>
      <w:r w:rsidR="00270EE0" w:rsidRPr="00BB6220">
        <w:rPr>
          <w:rFonts w:ascii="Times New Roman" w:hAnsi="Times New Roman" w:cs="Times New Roman"/>
          <w:kern w:val="24"/>
          <w:sz w:val="24"/>
          <w:szCs w:val="24"/>
        </w:rPr>
        <w:t>prix de la vente vont augmenter ;</w:t>
      </w:r>
    </w:p>
    <w:p w14:paraId="3A5B56DC" w14:textId="7AD0DB88" w:rsidR="002760B2" w:rsidRPr="00BB6220" w:rsidRDefault="00565037" w:rsidP="00CB0FF1">
      <w:pPr>
        <w:pStyle w:val="Paragraphedeliste"/>
        <w:numPr>
          <w:ilvl w:val="0"/>
          <w:numId w:val="31"/>
        </w:numPr>
        <w:tabs>
          <w:tab w:val="left" w:pos="709"/>
          <w:tab w:val="left" w:pos="993"/>
          <w:tab w:val="left" w:pos="1134"/>
        </w:tabs>
        <w:autoSpaceDE w:val="0"/>
        <w:autoSpaceDN w:val="0"/>
        <w:adjustRightInd w:val="0"/>
        <w:spacing w:before="60" w:line="300" w:lineRule="auto"/>
        <w:ind w:left="1135" w:hanging="284"/>
        <w:contextualSpacing w:val="0"/>
        <w:rPr>
          <w:rFonts w:ascii="Times New Roman" w:hAnsi="Times New Roman" w:cs="Times New Roman"/>
          <w:kern w:val="24"/>
          <w:sz w:val="24"/>
          <w:szCs w:val="24"/>
        </w:rPr>
      </w:pPr>
      <w:r w:rsidRPr="00BB6220">
        <w:rPr>
          <w:rFonts w:ascii="Times New Roman" w:hAnsi="Times New Roman" w:cs="Times New Roman"/>
          <w:kern w:val="24"/>
          <w:sz w:val="24"/>
          <w:szCs w:val="24"/>
        </w:rPr>
        <w:t>Ce qui</w:t>
      </w:r>
      <w:r w:rsidR="002760B2" w:rsidRPr="00BB6220">
        <w:rPr>
          <w:rFonts w:ascii="Times New Roman" w:hAnsi="Times New Roman" w:cs="Times New Roman"/>
          <w:kern w:val="24"/>
          <w:sz w:val="24"/>
          <w:szCs w:val="24"/>
        </w:rPr>
        <w:t xml:space="preserve"> entraine une dichotomie entre l’économie réelle et l’économie monétaire. Cet argument est bien concrétisé actuellement. La pratique de l’intérêt provoque la création des produits financiers basés sur les opérations spéculatives qui n’ont aucune relati</w:t>
      </w:r>
      <w:r w:rsidR="00BB6220" w:rsidRPr="00BB6220">
        <w:rPr>
          <w:rFonts w:ascii="Times New Roman" w:hAnsi="Times New Roman" w:cs="Times New Roman"/>
          <w:kern w:val="24"/>
          <w:sz w:val="24"/>
          <w:szCs w:val="24"/>
        </w:rPr>
        <w:t>on</w:t>
      </w:r>
      <w:r w:rsidR="002760B2" w:rsidRPr="00BB6220">
        <w:rPr>
          <w:rFonts w:ascii="Times New Roman" w:hAnsi="Times New Roman" w:cs="Times New Roman"/>
          <w:kern w:val="24"/>
          <w:sz w:val="24"/>
          <w:szCs w:val="24"/>
        </w:rPr>
        <w:t xml:space="preserve"> avec l’activité économique réelle</w:t>
      </w:r>
      <w:r w:rsidR="00BB6220" w:rsidRPr="00BB6220">
        <w:rPr>
          <w:rFonts w:ascii="Times New Roman" w:hAnsi="Times New Roman" w:cs="Times New Roman"/>
          <w:kern w:val="24"/>
          <w:sz w:val="24"/>
          <w:szCs w:val="24"/>
        </w:rPr>
        <w:t>.</w:t>
      </w:r>
      <w:r w:rsidR="002760B2" w:rsidRPr="00BB6220">
        <w:rPr>
          <w:rFonts w:ascii="Times New Roman" w:hAnsi="Times New Roman" w:cs="Times New Roman"/>
          <w:kern w:val="24"/>
          <w:sz w:val="24"/>
          <w:szCs w:val="24"/>
        </w:rPr>
        <w:t xml:space="preserve"> </w:t>
      </w:r>
      <w:r w:rsidR="00BB6220" w:rsidRPr="00BB6220">
        <w:rPr>
          <w:rFonts w:ascii="Times New Roman" w:hAnsi="Times New Roman" w:cs="Times New Roman"/>
          <w:kern w:val="24"/>
          <w:sz w:val="24"/>
          <w:szCs w:val="24"/>
        </w:rPr>
        <w:t>Donc</w:t>
      </w:r>
      <w:r w:rsidR="002760B2" w:rsidRPr="00BB6220">
        <w:rPr>
          <w:rFonts w:ascii="Times New Roman" w:hAnsi="Times New Roman" w:cs="Times New Roman"/>
          <w:kern w:val="24"/>
          <w:sz w:val="24"/>
          <w:szCs w:val="24"/>
        </w:rPr>
        <w:t xml:space="preserve"> </w:t>
      </w:r>
      <w:r w:rsidR="00BB6220" w:rsidRPr="00BB6220">
        <w:rPr>
          <w:rFonts w:ascii="Times New Roman" w:hAnsi="Times New Roman" w:cs="Times New Roman"/>
          <w:kern w:val="24"/>
          <w:sz w:val="24"/>
          <w:szCs w:val="24"/>
        </w:rPr>
        <w:t>elles</w:t>
      </w:r>
      <w:r w:rsidR="002760B2" w:rsidRPr="00BB6220">
        <w:rPr>
          <w:rFonts w:ascii="Times New Roman" w:hAnsi="Times New Roman" w:cs="Times New Roman"/>
          <w:kern w:val="24"/>
          <w:sz w:val="24"/>
          <w:szCs w:val="24"/>
        </w:rPr>
        <w:t xml:space="preserve"> ne contribuent pas à la création d’une nouvelle richesse</w:t>
      </w:r>
      <w:r w:rsidR="00BB6220" w:rsidRPr="00BB6220">
        <w:rPr>
          <w:rFonts w:ascii="Times New Roman" w:hAnsi="Times New Roman" w:cs="Times New Roman"/>
          <w:kern w:val="24"/>
          <w:sz w:val="24"/>
          <w:szCs w:val="24"/>
        </w:rPr>
        <w:t> ;</w:t>
      </w:r>
      <w:r w:rsidR="002760B2" w:rsidRPr="00BB6220">
        <w:rPr>
          <w:rFonts w:ascii="Times New Roman" w:hAnsi="Times New Roman" w:cs="Times New Roman"/>
          <w:kern w:val="24"/>
          <w:sz w:val="24"/>
          <w:szCs w:val="24"/>
        </w:rPr>
        <w:t xml:space="preserve"> ce qui a conduit aux déséquilibres financiers. Certains économistes avancent que l’alternative au financement basé sur l’intérêt est le financement participatif fondé sur le partage des opportunités de profit et des risques de pertes. Ce principe va être abordé ultérieurement.</w:t>
      </w:r>
    </w:p>
    <w:p w14:paraId="5D2014EE" w14:textId="77777777" w:rsidR="00DE1C8F" w:rsidRPr="00BB6220" w:rsidRDefault="00DE1C8F" w:rsidP="00D0061D">
      <w:pPr>
        <w:pStyle w:val="Titre5"/>
        <w:keepNext w:val="0"/>
        <w:keepLines w:val="0"/>
        <w:spacing w:before="100" w:beforeAutospacing="1" w:line="300" w:lineRule="auto"/>
        <w:ind w:firstLine="709"/>
        <w:rPr>
          <w:rFonts w:asciiTheme="majorBidi" w:hAnsiTheme="majorBidi"/>
          <w:b/>
          <w:bCs/>
          <w:color w:val="auto"/>
          <w:kern w:val="24"/>
          <w:sz w:val="24"/>
          <w:szCs w:val="24"/>
        </w:rPr>
      </w:pPr>
      <w:bookmarkStart w:id="176" w:name="_Toc182298608"/>
      <w:r w:rsidRPr="00BB6220">
        <w:rPr>
          <w:rFonts w:asciiTheme="majorBidi" w:hAnsiTheme="majorBidi"/>
          <w:b/>
          <w:bCs/>
          <w:color w:val="auto"/>
          <w:kern w:val="24"/>
          <w:sz w:val="24"/>
          <w:szCs w:val="24"/>
        </w:rPr>
        <w:t>1.3.1.5- Rôle de la monnaie en Islam</w:t>
      </w:r>
      <w:bookmarkEnd w:id="176"/>
      <w:r w:rsidR="002764B0" w:rsidRPr="00BB6220">
        <w:rPr>
          <w:rFonts w:asciiTheme="majorBidi" w:hAnsiTheme="majorBidi"/>
          <w:b/>
          <w:bCs/>
          <w:color w:val="auto"/>
          <w:kern w:val="24"/>
          <w:sz w:val="24"/>
          <w:szCs w:val="24"/>
        </w:rPr>
        <w:t xml:space="preserve"> </w:t>
      </w:r>
    </w:p>
    <w:p w14:paraId="32CFD497" w14:textId="77777777" w:rsidR="00D923E1" w:rsidRPr="00BB6220" w:rsidRDefault="00D923E1" w:rsidP="00D0061D">
      <w:pPr>
        <w:spacing w:before="120" w:line="300" w:lineRule="auto"/>
        <w:ind w:firstLine="709"/>
        <w:rPr>
          <w:rFonts w:ascii="Times New Roman" w:eastAsiaTheme="minorEastAsia" w:hAnsi="Times New Roman" w:cs="Times New Roman"/>
          <w:kern w:val="24"/>
          <w:sz w:val="24"/>
          <w:szCs w:val="24"/>
        </w:rPr>
      </w:pPr>
      <w:r w:rsidRPr="00BB6220">
        <w:rPr>
          <w:rFonts w:ascii="Times New Roman" w:eastAsiaTheme="minorEastAsia" w:hAnsi="Times New Roman" w:cs="Times New Roman"/>
          <w:kern w:val="24"/>
          <w:sz w:val="24"/>
          <w:szCs w:val="24"/>
        </w:rPr>
        <w:t>En Islam, l’argent ne possède que deux fonctions : un moyen d’échange, une unité de mesure. C’est à partir de la compréhension de cette notion d’argent en Islam que l’on comprend mieux l’interdiction des différents crédits.</w:t>
      </w:r>
    </w:p>
    <w:p w14:paraId="6A1B6E6F" w14:textId="77777777" w:rsidR="00DE1C8F" w:rsidRPr="00BB6220" w:rsidRDefault="00DE1C8F" w:rsidP="00D0061D">
      <w:pPr>
        <w:tabs>
          <w:tab w:val="left" w:pos="0"/>
        </w:tabs>
        <w:spacing w:before="120" w:line="300" w:lineRule="auto"/>
        <w:ind w:firstLine="709"/>
        <w:rPr>
          <w:rFonts w:ascii="Times New Roman" w:hAnsi="Times New Roman" w:cs="Times New Roman"/>
          <w:kern w:val="24"/>
          <w:sz w:val="24"/>
          <w:szCs w:val="24"/>
          <w:lang w:eastAsia="fr-FR"/>
        </w:rPr>
      </w:pPr>
      <w:r w:rsidRPr="00BB6220">
        <w:rPr>
          <w:rFonts w:ascii="Times New Roman" w:hAnsi="Times New Roman" w:cs="Times New Roman"/>
          <w:kern w:val="24"/>
          <w:sz w:val="24"/>
          <w:szCs w:val="24"/>
        </w:rPr>
        <w:t xml:space="preserve">D’ailleurs, l’idée principale qui détermine l’interdiction de l’intérêt en </w:t>
      </w:r>
      <w:r w:rsidR="00D923E1" w:rsidRPr="00BB6220">
        <w:rPr>
          <w:rFonts w:ascii="Times New Roman" w:hAnsi="Times New Roman" w:cs="Times New Roman"/>
          <w:kern w:val="24"/>
          <w:sz w:val="24"/>
          <w:szCs w:val="24"/>
        </w:rPr>
        <w:t>i</w:t>
      </w:r>
      <w:r w:rsidRPr="00BB6220">
        <w:rPr>
          <w:rFonts w:ascii="Times New Roman" w:hAnsi="Times New Roman" w:cs="Times New Roman"/>
          <w:kern w:val="24"/>
          <w:sz w:val="24"/>
          <w:szCs w:val="24"/>
        </w:rPr>
        <w:t xml:space="preserve">slam provient du fait que selon cette religion, l’argent n’est pas un capital. Il ne le deviendra qu’après la transformation par le travail et l’effort. Dans ce cadre, </w:t>
      </w:r>
      <w:r w:rsidRPr="00BB6220">
        <w:rPr>
          <w:rFonts w:ascii="Times New Roman" w:hAnsi="Times New Roman" w:cs="Times New Roman"/>
          <w:smallCaps/>
          <w:kern w:val="24"/>
          <w:sz w:val="24"/>
          <w:szCs w:val="24"/>
        </w:rPr>
        <w:t>Al-Ghazali</w:t>
      </w:r>
      <w:r w:rsidRPr="00BB6220">
        <w:rPr>
          <w:rFonts w:ascii="Times New Roman" w:hAnsi="Times New Roman" w:cs="Times New Roman"/>
          <w:kern w:val="24"/>
          <w:sz w:val="24"/>
          <w:szCs w:val="24"/>
        </w:rPr>
        <w:t xml:space="preserve"> souligne que : « </w:t>
      </w:r>
      <w:r w:rsidRPr="00BB6220">
        <w:rPr>
          <w:rFonts w:ascii="Times New Roman" w:hAnsi="Times New Roman" w:cs="Times New Roman"/>
          <w:i/>
          <w:iCs/>
          <w:kern w:val="24"/>
          <w:sz w:val="24"/>
          <w:szCs w:val="24"/>
        </w:rPr>
        <w:t>Celui qui s’adonne à la pratique de l’intérêt nie le bienfait de Dieu, et c’est injuste, car l’or et l’argent ont été créés pour faciliter les échanges et ne peuvent être assimilés à des marchandises …Ils sont comme un miroir, qui n’a pas de couleur, et qui les reflète toutes</w:t>
      </w:r>
      <w:r w:rsidRPr="00BB6220">
        <w:rPr>
          <w:rFonts w:ascii="Times New Roman" w:hAnsi="Times New Roman" w:cs="Times New Roman"/>
          <w:kern w:val="24"/>
          <w:sz w:val="24"/>
          <w:szCs w:val="24"/>
        </w:rPr>
        <w:t> »</w:t>
      </w:r>
      <w:r w:rsidRPr="00BB6220">
        <w:rPr>
          <w:rStyle w:val="Appelnotedebasdep"/>
          <w:rFonts w:ascii="Times New Roman" w:hAnsi="Times New Roman"/>
          <w:kern w:val="24"/>
          <w:sz w:val="24"/>
          <w:szCs w:val="24"/>
        </w:rPr>
        <w:footnoteReference w:id="55"/>
      </w:r>
      <w:r w:rsidRPr="00BB6220">
        <w:rPr>
          <w:rFonts w:ascii="Times New Roman" w:hAnsi="Times New Roman" w:cs="Times New Roman"/>
          <w:kern w:val="24"/>
          <w:sz w:val="24"/>
          <w:szCs w:val="24"/>
        </w:rPr>
        <w:t>.</w:t>
      </w:r>
      <w:r w:rsidRPr="00BB6220">
        <w:rPr>
          <w:rFonts w:ascii="Times New Roman" w:hAnsi="Times New Roman" w:cs="Times New Roman"/>
          <w:kern w:val="24"/>
          <w:sz w:val="24"/>
          <w:szCs w:val="24"/>
          <w:lang w:eastAsia="fr-FR"/>
        </w:rPr>
        <w:t xml:space="preserve"> </w:t>
      </w:r>
    </w:p>
    <w:p w14:paraId="39688066" w14:textId="77777777" w:rsidR="00DE1C8F" w:rsidRPr="00BB6220" w:rsidRDefault="00E30809" w:rsidP="00D0061D">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BB6220">
        <w:rPr>
          <w:rFonts w:ascii="Times New Roman" w:hAnsi="Times New Roman" w:cs="Times New Roman"/>
          <w:kern w:val="24"/>
          <w:sz w:val="24"/>
          <w:szCs w:val="24"/>
        </w:rPr>
        <w:t>La monnaie n'a aucune valeur en soi et ne doit pas faire l'objet de spéculation. C’est seulement un outil de mesure, d’échange et de réserve de valeur. Il est considéré comme stérile tant qu’il n’est pas combiné au travail. « </w:t>
      </w:r>
      <w:r w:rsidRPr="00BB6220">
        <w:rPr>
          <w:rFonts w:ascii="Times New Roman" w:hAnsi="Times New Roman" w:cs="Times New Roman"/>
          <w:i/>
          <w:iCs/>
          <w:kern w:val="24"/>
          <w:sz w:val="24"/>
          <w:szCs w:val="24"/>
        </w:rPr>
        <w:t>L’argent n’est que du capital potentiel et il ne deviendra réellement capital qu’après son association avec une autre ressource afin d’entreprendre une activité productive</w:t>
      </w:r>
      <w:r w:rsidRPr="00BB6220">
        <w:rPr>
          <w:rFonts w:ascii="Times New Roman" w:hAnsi="Times New Roman" w:cs="Times New Roman"/>
          <w:kern w:val="24"/>
          <w:sz w:val="24"/>
          <w:szCs w:val="24"/>
        </w:rPr>
        <w:t> ».</w:t>
      </w:r>
      <w:r w:rsidRPr="00BB6220">
        <w:rPr>
          <w:rStyle w:val="Appelnotedebasdep"/>
          <w:rFonts w:ascii="Times New Roman" w:hAnsi="Times New Roman"/>
          <w:kern w:val="24"/>
          <w:sz w:val="24"/>
          <w:szCs w:val="24"/>
        </w:rPr>
        <w:footnoteReference w:id="56"/>
      </w:r>
    </w:p>
    <w:p w14:paraId="7912AE5B" w14:textId="579B6946" w:rsidR="00DC6E2C" w:rsidRPr="00D923E1" w:rsidRDefault="00DC6E2C" w:rsidP="00DC6E2C">
      <w:pPr>
        <w:tabs>
          <w:tab w:val="left" w:pos="0"/>
        </w:tabs>
        <w:spacing w:before="120" w:line="300" w:lineRule="auto"/>
        <w:ind w:firstLine="709"/>
        <w:rPr>
          <w:rFonts w:ascii="Times New Roman" w:hAnsi="Times New Roman" w:cs="Times New Roman"/>
          <w:sz w:val="24"/>
          <w:szCs w:val="24"/>
        </w:rPr>
      </w:pPr>
      <w:r w:rsidRPr="00DC6E2C">
        <w:rPr>
          <w:rFonts w:ascii="Times New Roman" w:hAnsi="Times New Roman" w:cs="Times New Roman"/>
          <w:sz w:val="24"/>
          <w:szCs w:val="24"/>
        </w:rPr>
        <w:t xml:space="preserve">La monnaie n’est pas identifiée comme un objet de commerce. </w:t>
      </w:r>
      <w:r w:rsidR="004F7610" w:rsidRPr="00DC6E2C">
        <w:rPr>
          <w:rFonts w:ascii="Times New Roman" w:hAnsi="Times New Roman" w:cs="Times New Roman"/>
          <w:sz w:val="24"/>
          <w:szCs w:val="24"/>
        </w:rPr>
        <w:t>Elle n’a</w:t>
      </w:r>
      <w:r w:rsidRPr="00DC6E2C">
        <w:rPr>
          <w:rFonts w:ascii="Times New Roman" w:hAnsi="Times New Roman" w:cs="Times New Roman"/>
          <w:sz w:val="24"/>
          <w:szCs w:val="24"/>
        </w:rPr>
        <w:t xml:space="preserve"> aucune utilité intrinsèque et ne peut réaliser un bénéfice (légitimé et justifié du point de vue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DC6E2C">
        <w:rPr>
          <w:rFonts w:ascii="Times New Roman" w:hAnsi="Times New Roman" w:cs="Times New Roman"/>
          <w:sz w:val="24"/>
          <w:szCs w:val="24"/>
        </w:rPr>
        <w:t>) par l’échange des monnaies entre elles. La réalisation du bénéfice est justifiée lorsque quelque chose ayant une utilité intrinsèque soit vendue pour l’argent.</w:t>
      </w:r>
    </w:p>
    <w:p w14:paraId="5CB7C913" w14:textId="77777777" w:rsidR="002760B2" w:rsidRPr="002B005F" w:rsidRDefault="008D1F2C" w:rsidP="00544FF9">
      <w:pPr>
        <w:pStyle w:val="Titre4"/>
        <w:keepNext w:val="0"/>
        <w:spacing w:before="100" w:beforeAutospacing="1" w:after="0" w:line="300" w:lineRule="auto"/>
        <w:ind w:firstLine="709"/>
      </w:pPr>
      <w:bookmarkStart w:id="177" w:name="_Toc33263217"/>
      <w:bookmarkStart w:id="178" w:name="_Toc37664469"/>
      <w:bookmarkStart w:id="179" w:name="_Toc37666314"/>
      <w:bookmarkStart w:id="180" w:name="_Toc54363203"/>
      <w:bookmarkStart w:id="181" w:name="_Toc58606219"/>
      <w:bookmarkStart w:id="182" w:name="_Toc61263424"/>
      <w:bookmarkStart w:id="183" w:name="_Toc182298609"/>
      <w:r w:rsidRPr="002B005F">
        <w:lastRenderedPageBreak/>
        <w:t xml:space="preserve">1.3.2- </w:t>
      </w:r>
      <w:r w:rsidR="003327A8" w:rsidRPr="002B005F">
        <w:t>I</w:t>
      </w:r>
      <w:r w:rsidR="00D42A34" w:rsidRPr="002B005F">
        <w:t>nterdiction du g</w:t>
      </w:r>
      <w:r w:rsidR="002760B2" w:rsidRPr="002B005F">
        <w:t>harar (incertitude, aléa)</w:t>
      </w:r>
      <w:bookmarkEnd w:id="177"/>
      <w:bookmarkEnd w:id="178"/>
      <w:bookmarkEnd w:id="179"/>
      <w:bookmarkEnd w:id="180"/>
      <w:bookmarkEnd w:id="181"/>
      <w:bookmarkEnd w:id="182"/>
      <w:bookmarkEnd w:id="183"/>
    </w:p>
    <w:p w14:paraId="11A9CD06" w14:textId="77777777" w:rsidR="002760B2" w:rsidRPr="002B005F" w:rsidRDefault="002760B2" w:rsidP="00544FF9">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w:t>
      </w:r>
      <w:r w:rsidRPr="002B005F">
        <w:rPr>
          <w:rFonts w:ascii="Times New Roman" w:hAnsi="Times New Roman" w:cs="Times New Roman"/>
          <w:i/>
          <w:iCs/>
          <w:sz w:val="24"/>
          <w:szCs w:val="24"/>
        </w:rPr>
        <w:t>gharar</w:t>
      </w:r>
      <w:r w:rsidRPr="002B005F">
        <w:rPr>
          <w:rFonts w:ascii="Times New Roman" w:hAnsi="Times New Roman" w:cs="Times New Roman"/>
          <w:sz w:val="24"/>
          <w:szCs w:val="24"/>
        </w:rPr>
        <w:t xml:space="preserve"> plus communément appelé incertitude, dans le cas d’un contrat financier, est interdit en </w:t>
      </w:r>
      <w:r w:rsidR="00F34669" w:rsidRPr="002B005F">
        <w:rPr>
          <w:rFonts w:ascii="Times New Roman" w:hAnsi="Times New Roman" w:cs="Times New Roman"/>
          <w:sz w:val="24"/>
          <w:szCs w:val="24"/>
        </w:rPr>
        <w:t>Islam</w:t>
      </w:r>
      <w:r w:rsidRPr="002B005F">
        <w:rPr>
          <w:rFonts w:ascii="Times New Roman" w:hAnsi="Times New Roman" w:cs="Times New Roman"/>
          <w:sz w:val="24"/>
          <w:szCs w:val="24"/>
        </w:rPr>
        <w:t>. Il désigne toute vente à caractère aléatoire ou possédant un élément vague, imprécis, ambigu, incertain, caché ou dépendant d’autre événement. Relatif notamment à l’objet de la vente, au prix ou à la livraison. L’</w:t>
      </w:r>
      <w:r w:rsidR="00F34669" w:rsidRPr="002B005F">
        <w:rPr>
          <w:rFonts w:ascii="Times New Roman" w:hAnsi="Times New Roman" w:cs="Times New Roman"/>
          <w:sz w:val="24"/>
          <w:szCs w:val="24"/>
        </w:rPr>
        <w:t>Islam</w:t>
      </w:r>
      <w:r w:rsidRPr="002B005F">
        <w:rPr>
          <w:rFonts w:ascii="Times New Roman" w:hAnsi="Times New Roman" w:cs="Times New Roman"/>
          <w:sz w:val="24"/>
          <w:szCs w:val="24"/>
        </w:rPr>
        <w:t xml:space="preserve"> exige que tous les termes fondamentaux d’un contrat financier doivent être définis au jour de sa conclusion, tels que le prix, l’objet, l’identité des parties et les délais d’exécution.</w:t>
      </w:r>
    </w:p>
    <w:p w14:paraId="3A2B20F8" w14:textId="594B00E3" w:rsidR="002760B2" w:rsidRPr="002B005F" w:rsidRDefault="002760B2" w:rsidP="00C02F34">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Selon </w:t>
      </w:r>
      <w:r w:rsidRPr="002B005F">
        <w:rPr>
          <w:rFonts w:ascii="Times New Roman" w:hAnsi="Times New Roman" w:cs="Times New Roman"/>
          <w:smallCaps/>
          <w:sz w:val="24"/>
          <w:szCs w:val="24"/>
        </w:rPr>
        <w:t>K</w:t>
      </w:r>
      <w:r w:rsidR="005A54CF" w:rsidRPr="002B005F">
        <w:rPr>
          <w:rFonts w:ascii="Times New Roman" w:hAnsi="Times New Roman" w:cs="Times New Roman"/>
          <w:smallCaps/>
          <w:sz w:val="24"/>
          <w:szCs w:val="24"/>
        </w:rPr>
        <w:t>a</w:t>
      </w:r>
      <w:r w:rsidRPr="002B005F">
        <w:rPr>
          <w:rFonts w:ascii="Times New Roman" w:hAnsi="Times New Roman" w:cs="Times New Roman"/>
          <w:smallCaps/>
          <w:sz w:val="24"/>
          <w:szCs w:val="24"/>
        </w:rPr>
        <w:t>rich</w:t>
      </w:r>
      <w:r w:rsidRPr="002B005F">
        <w:rPr>
          <w:rFonts w:ascii="Times New Roman" w:hAnsi="Times New Roman" w:cs="Times New Roman"/>
          <w:sz w:val="24"/>
          <w:szCs w:val="24"/>
        </w:rPr>
        <w:t xml:space="preserve"> (2002), le terme </w:t>
      </w:r>
      <w:r w:rsidRPr="002B005F">
        <w:rPr>
          <w:rFonts w:ascii="Times New Roman" w:hAnsi="Times New Roman" w:cs="Times New Roman"/>
          <w:i/>
          <w:iCs/>
          <w:sz w:val="24"/>
          <w:szCs w:val="24"/>
        </w:rPr>
        <w:t>gharar</w:t>
      </w:r>
      <w:r w:rsidRPr="002B005F">
        <w:rPr>
          <w:rFonts w:ascii="Times New Roman" w:hAnsi="Times New Roman" w:cs="Times New Roman"/>
          <w:sz w:val="24"/>
          <w:szCs w:val="24"/>
        </w:rPr>
        <w:t xml:space="preserve"> peut être définit comme « </w:t>
      </w:r>
      <w:r w:rsidRPr="002B005F">
        <w:rPr>
          <w:rFonts w:ascii="Times New Roman" w:hAnsi="Times New Roman" w:cs="Times New Roman"/>
          <w:i/>
          <w:iCs/>
          <w:sz w:val="24"/>
          <w:szCs w:val="24"/>
        </w:rPr>
        <w:t>la vente d’objets dont l’existence et les caractéristiques ne sont pas certaines, étant donné le risque qui accompagne cette probabilité et qui soumet la validité de la transaction à des conjonctures</w:t>
      </w:r>
      <w:r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57"/>
      </w:r>
      <w:r w:rsidRPr="002B005F">
        <w:rPr>
          <w:rFonts w:ascii="Times New Roman" w:hAnsi="Times New Roman" w:cs="Times New Roman"/>
          <w:sz w:val="24"/>
          <w:szCs w:val="24"/>
        </w:rPr>
        <w:t>. Elle suggère que la source principale de cette interdiction est la</w:t>
      </w:r>
      <w:r w:rsidR="005A54CF" w:rsidRPr="002B005F">
        <w:rPr>
          <w:rFonts w:ascii="Times New Roman" w:hAnsi="Times New Roman" w:cs="Times New Roman"/>
          <w:sz w:val="24"/>
          <w:szCs w:val="24"/>
        </w:rPr>
        <w:t xml:space="preserve"> </w:t>
      </w:r>
      <w:r w:rsidR="005A54CF" w:rsidRPr="002B005F">
        <w:rPr>
          <w:rFonts w:ascii="Times New Roman" w:hAnsi="Times New Roman" w:cs="Times New Roman"/>
          <w:i/>
          <w:iCs/>
          <w:sz w:val="24"/>
          <w:szCs w:val="24"/>
        </w:rPr>
        <w:t>Sunna</w:t>
      </w:r>
      <w:r w:rsidR="00210F47">
        <w:rPr>
          <w:rFonts w:ascii="Times New Roman" w:hAnsi="Times New Roman" w:cs="Times New Roman"/>
          <w:i/>
          <w:iCs/>
          <w:sz w:val="24"/>
          <w:szCs w:val="24"/>
        </w:rPr>
        <w:t>h</w:t>
      </w:r>
      <w:r w:rsidRPr="002B005F">
        <w:rPr>
          <w:rFonts w:ascii="Times New Roman" w:hAnsi="Times New Roman" w:cs="Times New Roman"/>
          <w:sz w:val="24"/>
          <w:szCs w:val="24"/>
        </w:rPr>
        <w:t xml:space="preserve"> du </w:t>
      </w:r>
      <w:r w:rsidR="00C02F34" w:rsidRPr="002B005F">
        <w:rPr>
          <w:rFonts w:ascii="Times New Roman" w:hAnsi="Times New Roman" w:cs="Times New Roman"/>
          <w:sz w:val="24"/>
          <w:szCs w:val="24"/>
        </w:rPr>
        <w:t>P</w:t>
      </w:r>
      <w:r w:rsidRPr="002B005F">
        <w:rPr>
          <w:rFonts w:ascii="Times New Roman" w:hAnsi="Times New Roman" w:cs="Times New Roman"/>
          <w:sz w:val="24"/>
          <w:szCs w:val="24"/>
        </w:rPr>
        <w:t xml:space="preserve">rophète </w:t>
      </w:r>
      <w:r w:rsidR="00C02F34" w:rsidRPr="002B005F">
        <w:rPr>
          <w:rFonts w:ascii="Times New Roman" w:hAnsi="Times New Roman" w:cs="Times New Roman"/>
          <w:sz w:val="24"/>
          <w:szCs w:val="24"/>
        </w:rPr>
        <w:t xml:space="preserve"> </w:t>
      </w:r>
      <w:r w:rsidR="00C02F34" w:rsidRPr="002B005F">
        <w:rPr>
          <w:rFonts w:ascii="Times New Roman" w:hAnsi="Times New Roman" w:cs="Times New Roman"/>
          <w:noProof/>
          <w:sz w:val="24"/>
          <w:szCs w:val="24"/>
          <w:lang w:eastAsia="fr-FR"/>
        </w:rPr>
        <w:drawing>
          <wp:anchor distT="0" distB="0" distL="114300" distR="114300" simplePos="0" relativeHeight="251500544" behindDoc="0" locked="1" layoutInCell="1" allowOverlap="0" wp14:anchorId="5B94D806" wp14:editId="24CEE2B8">
            <wp:simplePos x="0" y="0"/>
            <wp:positionH relativeFrom="column">
              <wp:posOffset>4465320</wp:posOffset>
            </wp:positionH>
            <wp:positionV relativeFrom="paragraph">
              <wp:posOffset>746760</wp:posOffset>
            </wp:positionV>
            <wp:extent cx="180975" cy="161925"/>
            <wp:effectExtent l="0" t="0" r="0" b="0"/>
            <wp:wrapNone/>
            <wp:docPr id="27"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C02F34" w:rsidRPr="002B005F">
        <w:rPr>
          <w:rFonts w:ascii="Times New Roman" w:hAnsi="Times New Roman" w:cs="Times New Roman"/>
          <w:sz w:val="24"/>
          <w:szCs w:val="24"/>
        </w:rPr>
        <w:t xml:space="preserve">  </w:t>
      </w:r>
      <w:r w:rsidRPr="002B005F">
        <w:rPr>
          <w:rFonts w:ascii="Times New Roman" w:hAnsi="Times New Roman" w:cs="Times New Roman"/>
          <w:sz w:val="24"/>
          <w:szCs w:val="24"/>
        </w:rPr>
        <w:t>, « </w:t>
      </w:r>
      <w:r w:rsidR="003066CB">
        <w:rPr>
          <w:rFonts w:ascii="Times New Roman" w:hAnsi="Times New Roman" w:cs="Times New Roman"/>
          <w:i/>
          <w:iCs/>
          <w:sz w:val="24"/>
          <w:szCs w:val="24"/>
        </w:rPr>
        <w:t>L</w:t>
      </w:r>
      <w:r w:rsidR="00C02F34" w:rsidRPr="002B005F">
        <w:rPr>
          <w:rFonts w:ascii="Times New Roman" w:hAnsi="Times New Roman" w:cs="Times New Roman"/>
          <w:i/>
          <w:iCs/>
          <w:sz w:val="24"/>
          <w:szCs w:val="24"/>
        </w:rPr>
        <w:t>e P</w:t>
      </w:r>
      <w:r w:rsidRPr="002B005F">
        <w:rPr>
          <w:rFonts w:ascii="Times New Roman" w:hAnsi="Times New Roman" w:cs="Times New Roman"/>
          <w:i/>
          <w:iCs/>
          <w:sz w:val="24"/>
          <w:szCs w:val="24"/>
        </w:rPr>
        <w:t>rophète a interdit l’achat d’un animal non né dans la matrice de sa mère, la vente du lait dans la mamelle sans mesure, l’achat du butin de guerre avant sa distribution, l’achat de ce qu’a récolté un pêcheur avant sa pêche</w:t>
      </w:r>
      <w:r w:rsidRPr="002B005F">
        <w:rPr>
          <w:rFonts w:ascii="Times New Roman" w:hAnsi="Times New Roman" w:cs="Times New Roman"/>
          <w:sz w:val="24"/>
          <w:szCs w:val="24"/>
        </w:rPr>
        <w:t> ». (</w:t>
      </w:r>
      <w:r w:rsidRPr="00315430">
        <w:rPr>
          <w:rFonts w:ascii="Times New Roman" w:hAnsi="Times New Roman" w:cs="Times New Roman"/>
          <w:smallCaps/>
          <w:sz w:val="24"/>
          <w:szCs w:val="24"/>
        </w:rPr>
        <w:t>Ahmad</w:t>
      </w:r>
      <w:r w:rsidRPr="002B005F">
        <w:rPr>
          <w:rFonts w:ascii="Times New Roman" w:hAnsi="Times New Roman" w:cs="Times New Roman"/>
          <w:sz w:val="24"/>
          <w:szCs w:val="24"/>
        </w:rPr>
        <w:t xml:space="preserve"> et </w:t>
      </w:r>
      <w:r w:rsidRPr="00315430">
        <w:rPr>
          <w:rFonts w:ascii="Times New Roman" w:hAnsi="Times New Roman" w:cs="Times New Roman"/>
          <w:smallCaps/>
          <w:sz w:val="24"/>
          <w:szCs w:val="24"/>
        </w:rPr>
        <w:t>Ibn Majah</w:t>
      </w:r>
      <w:r w:rsidRPr="002B005F">
        <w:rPr>
          <w:rFonts w:ascii="Times New Roman" w:hAnsi="Times New Roman" w:cs="Times New Roman"/>
          <w:sz w:val="24"/>
          <w:szCs w:val="24"/>
        </w:rPr>
        <w:t xml:space="preserve"> mentionnent sous l'autorité d'Abu Sa'id </w:t>
      </w:r>
      <w:r w:rsidRPr="00315430">
        <w:rPr>
          <w:rFonts w:ascii="Times New Roman" w:hAnsi="Times New Roman" w:cs="Times New Roman"/>
          <w:smallCaps/>
          <w:sz w:val="24"/>
          <w:szCs w:val="24"/>
        </w:rPr>
        <w:t>Al-Kh</w:t>
      </w:r>
      <w:r w:rsidR="005A54CF" w:rsidRPr="00315430">
        <w:rPr>
          <w:rFonts w:ascii="Times New Roman" w:hAnsi="Times New Roman" w:cs="Times New Roman"/>
          <w:smallCaps/>
          <w:sz w:val="24"/>
          <w:szCs w:val="24"/>
        </w:rPr>
        <w:t>o</w:t>
      </w:r>
      <w:r w:rsidRPr="00315430">
        <w:rPr>
          <w:rFonts w:ascii="Times New Roman" w:hAnsi="Times New Roman" w:cs="Times New Roman"/>
          <w:smallCaps/>
          <w:sz w:val="24"/>
          <w:szCs w:val="24"/>
        </w:rPr>
        <w:t>udri</w:t>
      </w:r>
      <w:r w:rsidRPr="002B005F">
        <w:rPr>
          <w:rFonts w:ascii="Times New Roman" w:hAnsi="Times New Roman" w:cs="Times New Roman"/>
          <w:sz w:val="24"/>
          <w:szCs w:val="24"/>
        </w:rPr>
        <w:t>)</w:t>
      </w:r>
    </w:p>
    <w:p w14:paraId="239C9001" w14:textId="2915121A" w:rsidR="002760B2" w:rsidRPr="002B005F" w:rsidRDefault="002760B2" w:rsidP="00923981">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De nombreux exemples de </w:t>
      </w:r>
      <w:r w:rsidRPr="002B005F">
        <w:rPr>
          <w:rFonts w:ascii="Times New Roman" w:hAnsi="Times New Roman" w:cs="Times New Roman"/>
          <w:i/>
          <w:iCs/>
          <w:sz w:val="24"/>
          <w:szCs w:val="24"/>
        </w:rPr>
        <w:t>gharar</w:t>
      </w:r>
      <w:r w:rsidRPr="002B005F">
        <w:rPr>
          <w:rFonts w:ascii="Times New Roman" w:hAnsi="Times New Roman" w:cs="Times New Roman"/>
          <w:sz w:val="24"/>
          <w:szCs w:val="24"/>
        </w:rPr>
        <w:t xml:space="preserve"> ont été donnés dans </w:t>
      </w:r>
      <w:r w:rsidR="004F7610" w:rsidRPr="002B005F">
        <w:rPr>
          <w:rFonts w:ascii="Times New Roman" w:hAnsi="Times New Roman" w:cs="Times New Roman"/>
          <w:sz w:val="24"/>
          <w:szCs w:val="24"/>
        </w:rPr>
        <w:t>l</w:t>
      </w:r>
      <w:r w:rsidR="00210F47">
        <w:rPr>
          <w:rFonts w:ascii="Times New Roman" w:hAnsi="Times New Roman" w:cs="Times New Roman"/>
          <w:sz w:val="24"/>
          <w:szCs w:val="24"/>
        </w:rPr>
        <w:t xml:space="preserve">e </w:t>
      </w:r>
      <w:r w:rsidR="004F7610" w:rsidRPr="002B005F">
        <w:rPr>
          <w:rFonts w:ascii="Times New Roman" w:hAnsi="Times New Roman" w:cs="Times New Roman"/>
          <w:sz w:val="24"/>
          <w:szCs w:val="24"/>
        </w:rPr>
        <w:t>hadith</w:t>
      </w:r>
      <w:r w:rsidRPr="002B005F">
        <w:rPr>
          <w:rFonts w:ascii="Times New Roman" w:hAnsi="Times New Roman" w:cs="Times New Roman"/>
          <w:sz w:val="24"/>
          <w:szCs w:val="24"/>
        </w:rPr>
        <w:t xml:space="preserve"> et qui concernent des objets dont la véritable existence n'est pas encore déterminée. En effet, le poisson peut ne jamais être pêché, le veau peut être mort-né et les fruits peuvent ne jamais mûrir. Dans tous ces cas, il est dans l'intérêt propre du vendeur et de l'acheteur d'être le plus précis possible quant à l'objet et au prix de la vente.</w:t>
      </w:r>
    </w:p>
    <w:p w14:paraId="484D3BE6" w14:textId="235AE1CB" w:rsidR="002760B2" w:rsidRPr="00194022" w:rsidRDefault="002760B2" w:rsidP="00923981">
      <w:pPr>
        <w:tabs>
          <w:tab w:val="left" w:pos="0"/>
        </w:tabs>
        <w:autoSpaceDE w:val="0"/>
        <w:autoSpaceDN w:val="0"/>
        <w:adjustRightInd w:val="0"/>
        <w:spacing w:before="120" w:line="300" w:lineRule="auto"/>
        <w:ind w:firstLine="709"/>
        <w:rPr>
          <w:rFonts w:ascii="Times New Roman" w:hAnsi="Times New Roman" w:cs="Times New Roman"/>
          <w:spacing w:val="-4"/>
          <w:sz w:val="24"/>
          <w:szCs w:val="24"/>
        </w:rPr>
      </w:pPr>
      <w:r w:rsidRPr="00194022">
        <w:rPr>
          <w:rFonts w:ascii="Times New Roman" w:hAnsi="Times New Roman" w:cs="Times New Roman"/>
          <w:spacing w:val="-4"/>
          <w:sz w:val="24"/>
          <w:szCs w:val="24"/>
        </w:rPr>
        <w:t xml:space="preserve">Dans la finance conventionnelle, le </w:t>
      </w:r>
      <w:r w:rsidRPr="00194022">
        <w:rPr>
          <w:rFonts w:ascii="Times New Roman" w:hAnsi="Times New Roman" w:cs="Times New Roman"/>
          <w:i/>
          <w:iCs/>
          <w:spacing w:val="-4"/>
          <w:sz w:val="24"/>
          <w:szCs w:val="24"/>
        </w:rPr>
        <w:t>gharar</w:t>
      </w:r>
      <w:r w:rsidRPr="00194022">
        <w:rPr>
          <w:rFonts w:ascii="Times New Roman" w:hAnsi="Times New Roman" w:cs="Times New Roman"/>
          <w:spacing w:val="-4"/>
          <w:sz w:val="24"/>
          <w:szCs w:val="24"/>
        </w:rPr>
        <w:t xml:space="preserve"> est surtout présent dans les contrats d'assurance et les produits dérivés. </w:t>
      </w:r>
      <w:r w:rsidRPr="00194022">
        <w:rPr>
          <w:rFonts w:ascii="Times New Roman" w:hAnsi="Times New Roman" w:cs="Times New Roman"/>
          <w:color w:val="000000"/>
          <w:spacing w:val="-4"/>
          <w:sz w:val="24"/>
          <w:szCs w:val="24"/>
        </w:rPr>
        <w:t>L'assurance commerciale a été déclarée illicite par les juristes musulmans car elle</w:t>
      </w:r>
      <w:r w:rsidRPr="00194022">
        <w:rPr>
          <w:rFonts w:ascii="Times New Roman" w:hAnsi="Times New Roman" w:cs="Times New Roman"/>
          <w:spacing w:val="-4"/>
          <w:sz w:val="24"/>
          <w:szCs w:val="24"/>
        </w:rPr>
        <w:t xml:space="preserve"> comporte l’élément d’incertitude d’avènement du sinistre</w:t>
      </w:r>
      <w:r w:rsidRPr="00194022">
        <w:rPr>
          <w:rFonts w:ascii="Times New Roman" w:hAnsi="Times New Roman" w:cs="Times New Roman"/>
          <w:color w:val="000000"/>
          <w:spacing w:val="-4"/>
          <w:sz w:val="24"/>
          <w:szCs w:val="24"/>
        </w:rPr>
        <w:t>. En effet, il peut arriver que l'assuré se fasse rembourser les dégâts d'un sinistre après seulement quelques mois. D’un autre côté, l'assuré garanti depuis plusieurs années peut ne pas être indemnisé pour non survenance d'un sinistre</w:t>
      </w:r>
      <w:r w:rsidRPr="00194022">
        <w:rPr>
          <w:rFonts w:ascii="Times New Roman" w:hAnsi="Times New Roman" w:cs="Times New Roman"/>
          <w:spacing w:val="-4"/>
          <w:sz w:val="24"/>
          <w:szCs w:val="24"/>
        </w:rPr>
        <w:t xml:space="preserve">. Ainsi, </w:t>
      </w:r>
      <w:r w:rsidR="00544FF9">
        <w:rPr>
          <w:rFonts w:ascii="Times New Roman" w:hAnsi="Times New Roman" w:cs="Times New Roman"/>
          <w:spacing w:val="-4"/>
          <w:sz w:val="24"/>
          <w:szCs w:val="24"/>
        </w:rPr>
        <w:t>l</w:t>
      </w:r>
      <w:r w:rsidRPr="00194022">
        <w:rPr>
          <w:rFonts w:ascii="Times New Roman" w:hAnsi="Times New Roman" w:cs="Times New Roman"/>
          <w:spacing w:val="-4"/>
          <w:sz w:val="24"/>
          <w:szCs w:val="24"/>
        </w:rPr>
        <w:t xml:space="preserve">a présence de </w:t>
      </w:r>
      <w:r w:rsidRPr="00194022">
        <w:rPr>
          <w:rFonts w:ascii="Times New Roman" w:hAnsi="Times New Roman" w:cs="Times New Roman"/>
          <w:i/>
          <w:iCs/>
          <w:spacing w:val="-4"/>
          <w:sz w:val="24"/>
          <w:szCs w:val="24"/>
        </w:rPr>
        <w:t>gharar</w:t>
      </w:r>
      <w:r w:rsidRPr="00194022">
        <w:rPr>
          <w:rFonts w:ascii="Times New Roman" w:hAnsi="Times New Roman" w:cs="Times New Roman"/>
          <w:spacing w:val="-4"/>
          <w:sz w:val="24"/>
          <w:szCs w:val="24"/>
        </w:rPr>
        <w:t xml:space="preserve"> dans les contrats </w:t>
      </w:r>
      <w:r w:rsidR="00993878" w:rsidRPr="00194022">
        <w:rPr>
          <w:rFonts w:ascii="Times New Roman" w:hAnsi="Times New Roman" w:cs="Times New Roman"/>
          <w:spacing w:val="-4"/>
          <w:sz w:val="24"/>
          <w:szCs w:val="24"/>
        </w:rPr>
        <w:t>de vente à terme tels que les « </w:t>
      </w:r>
      <w:r w:rsidR="00993878" w:rsidRPr="00210F47">
        <w:rPr>
          <w:rFonts w:ascii="Times New Roman" w:hAnsi="Times New Roman" w:cs="Times New Roman"/>
          <w:i/>
          <w:iCs/>
          <w:spacing w:val="-4"/>
          <w:sz w:val="24"/>
          <w:szCs w:val="24"/>
        </w:rPr>
        <w:t>forwards</w:t>
      </w:r>
      <w:r w:rsidR="00993878" w:rsidRPr="00194022">
        <w:rPr>
          <w:rFonts w:ascii="Times New Roman" w:hAnsi="Times New Roman" w:cs="Times New Roman"/>
          <w:spacing w:val="-4"/>
          <w:sz w:val="24"/>
          <w:szCs w:val="24"/>
        </w:rPr>
        <w:t> » et les « </w:t>
      </w:r>
      <w:r w:rsidR="00993878" w:rsidRPr="00210F47">
        <w:rPr>
          <w:rFonts w:ascii="Times New Roman" w:hAnsi="Times New Roman" w:cs="Times New Roman"/>
          <w:i/>
          <w:iCs/>
          <w:spacing w:val="-4"/>
          <w:sz w:val="24"/>
          <w:szCs w:val="24"/>
        </w:rPr>
        <w:t>futures</w:t>
      </w:r>
      <w:r w:rsidR="00993878" w:rsidRPr="00194022">
        <w:rPr>
          <w:rFonts w:ascii="Times New Roman" w:hAnsi="Times New Roman" w:cs="Times New Roman"/>
          <w:spacing w:val="-4"/>
          <w:sz w:val="24"/>
          <w:szCs w:val="24"/>
        </w:rPr>
        <w:t> »</w:t>
      </w:r>
      <w:r w:rsidRPr="00194022">
        <w:rPr>
          <w:rFonts w:ascii="Times New Roman" w:hAnsi="Times New Roman" w:cs="Times New Roman"/>
          <w:spacing w:val="-4"/>
          <w:sz w:val="24"/>
          <w:szCs w:val="24"/>
        </w:rPr>
        <w:t>, les contrats d'options et dans d'autres produits dérivés prohibent le recours à ce genre d'instruments financiers du fait que l'objet de la vente peut ne pas exister au moment où la transaction est effectuée.</w:t>
      </w:r>
    </w:p>
    <w:p w14:paraId="55FFAF9C" w14:textId="77777777" w:rsidR="002760B2" w:rsidRPr="002B005F" w:rsidRDefault="008D1F2C" w:rsidP="00D0061D">
      <w:pPr>
        <w:pStyle w:val="Titre4"/>
        <w:spacing w:before="100" w:beforeAutospacing="1" w:after="120" w:line="300" w:lineRule="auto"/>
        <w:ind w:firstLine="709"/>
      </w:pPr>
      <w:bookmarkStart w:id="184" w:name="_Toc33263218"/>
      <w:bookmarkStart w:id="185" w:name="_Toc37664470"/>
      <w:bookmarkStart w:id="186" w:name="_Toc37666315"/>
      <w:bookmarkStart w:id="187" w:name="_Toc54363204"/>
      <w:bookmarkStart w:id="188" w:name="_Toc58606220"/>
      <w:bookmarkStart w:id="189" w:name="_Toc61263425"/>
      <w:bookmarkStart w:id="190" w:name="_Toc182298610"/>
      <w:r w:rsidRPr="002B005F">
        <w:t xml:space="preserve">1.3.3- </w:t>
      </w:r>
      <w:r w:rsidR="003327A8" w:rsidRPr="002B005F">
        <w:t>I</w:t>
      </w:r>
      <w:r w:rsidR="00C90080" w:rsidRPr="002B005F">
        <w:t xml:space="preserve">nterdiction du </w:t>
      </w:r>
      <w:r w:rsidR="00C90080" w:rsidRPr="009B4362">
        <w:rPr>
          <w:i/>
          <w:iCs/>
        </w:rPr>
        <w:t>m</w:t>
      </w:r>
      <w:r w:rsidR="002760B2" w:rsidRPr="009B4362">
        <w:rPr>
          <w:i/>
          <w:iCs/>
        </w:rPr>
        <w:t>aysir</w:t>
      </w:r>
      <w:bookmarkEnd w:id="184"/>
      <w:bookmarkEnd w:id="185"/>
      <w:bookmarkEnd w:id="186"/>
      <w:bookmarkEnd w:id="187"/>
      <w:bookmarkEnd w:id="188"/>
      <w:bookmarkEnd w:id="189"/>
      <w:bookmarkEnd w:id="190"/>
    </w:p>
    <w:p w14:paraId="4D00D155" w14:textId="77777777" w:rsidR="003E141E" w:rsidRPr="006F09F7" w:rsidRDefault="002760B2" w:rsidP="00D0061D">
      <w:pPr>
        <w:keepNext/>
        <w:tabs>
          <w:tab w:val="left" w:pos="0"/>
        </w:tabs>
        <w:autoSpaceDE w:val="0"/>
        <w:autoSpaceDN w:val="0"/>
        <w:adjustRightInd w:val="0"/>
        <w:ind w:firstLine="709"/>
        <w:rPr>
          <w:rFonts w:ascii="Times New Roman" w:hAnsi="Times New Roman" w:cs="Times New Roman"/>
          <w:sz w:val="24"/>
          <w:szCs w:val="24"/>
        </w:rPr>
      </w:pPr>
      <w:r w:rsidRPr="006F09F7">
        <w:rPr>
          <w:rFonts w:ascii="Times New Roman" w:hAnsi="Times New Roman" w:cs="Times New Roman"/>
          <w:sz w:val="24"/>
          <w:szCs w:val="24"/>
        </w:rPr>
        <w:t xml:space="preserve">Le terme </w:t>
      </w:r>
      <w:r w:rsidRPr="006F09F7">
        <w:rPr>
          <w:rFonts w:ascii="Times New Roman" w:hAnsi="Times New Roman" w:cs="Times New Roman"/>
          <w:i/>
          <w:iCs/>
          <w:sz w:val="24"/>
          <w:szCs w:val="24"/>
        </w:rPr>
        <w:t>maysir</w:t>
      </w:r>
      <w:r w:rsidRPr="006F09F7">
        <w:rPr>
          <w:rFonts w:ascii="Times New Roman" w:hAnsi="Times New Roman" w:cs="Times New Roman"/>
          <w:sz w:val="24"/>
          <w:szCs w:val="24"/>
        </w:rPr>
        <w:t xml:space="preserve"> qui signifie jeu de hasard et sa prohibition découle du verset du </w:t>
      </w:r>
      <w:r w:rsidRPr="006F09F7">
        <w:rPr>
          <w:rFonts w:ascii="Times New Roman" w:hAnsi="Times New Roman" w:cs="Times New Roman"/>
          <w:i/>
          <w:sz w:val="24"/>
          <w:szCs w:val="24"/>
        </w:rPr>
        <w:t>Coran</w:t>
      </w:r>
      <w:r w:rsidRPr="006F09F7">
        <w:rPr>
          <w:rFonts w:ascii="Times New Roman" w:hAnsi="Times New Roman" w:cs="Times New Roman"/>
          <w:sz w:val="24"/>
          <w:szCs w:val="24"/>
        </w:rPr>
        <w:t xml:space="preserve"> suivant</w:t>
      </w:r>
      <w:r w:rsidR="003E141E" w:rsidRPr="006F09F7">
        <w:rPr>
          <w:rFonts w:ascii="Times New Roman" w:hAnsi="Times New Roman" w:cs="Times New Roman"/>
          <w:sz w:val="24"/>
          <w:szCs w:val="24"/>
        </w:rPr>
        <w:t> :</w:t>
      </w:r>
    </w:p>
    <w:p w14:paraId="336B85AB" w14:textId="77777777" w:rsidR="009B4362" w:rsidRPr="00210F47" w:rsidRDefault="002764B0" w:rsidP="00050A0B">
      <w:pPr>
        <w:tabs>
          <w:tab w:val="left" w:pos="0"/>
        </w:tabs>
        <w:autoSpaceDE w:val="0"/>
        <w:autoSpaceDN w:val="0"/>
        <w:bidi/>
        <w:adjustRightInd w:val="0"/>
        <w:spacing w:line="300" w:lineRule="auto"/>
        <w:ind w:right="1134"/>
        <w:rPr>
          <w:rFonts w:ascii="Times New Roman" w:hAnsi="Times New Roman" w:cs="Times New Roman"/>
          <w:sz w:val="26"/>
          <w:szCs w:val="26"/>
        </w:rPr>
      </w:pPr>
      <w:r w:rsidRPr="00210F47">
        <w:rPr>
          <w:rFonts w:ascii="Times New Roman" w:hAnsi="Times New Roman" w:cs="Times New Roman"/>
          <w:color w:val="000000"/>
          <w:sz w:val="26"/>
          <w:szCs w:val="26"/>
          <w:shd w:val="clear" w:color="auto" w:fill="FFFFFF"/>
          <w:rtl/>
          <w:lang w:bidi="ar-DZ"/>
        </w:rPr>
        <w:t>"</w:t>
      </w:r>
      <w:r w:rsidRPr="00210F47">
        <w:rPr>
          <w:rFonts w:ascii="Times New Roman" w:hAnsi="Times New Roman" w:cs="Times New Roman"/>
          <w:color w:val="000000"/>
          <w:sz w:val="26"/>
          <w:szCs w:val="26"/>
          <w:shd w:val="clear" w:color="auto" w:fill="FFFFFF"/>
          <w:rtl/>
        </w:rPr>
        <w:t xml:space="preserve">يَا أَيُّهَا الَّذِينَ آمَنُواْ إِنَّمَا الْخَمْرُ وَالْمَيْسِرُ وَالأَنصَابُ وَالأَزْلاَمُ رِجْسٌ مِّنْ عَمَلِ الشَّيْطَانِ فَاجْتَنِبُوهُ لَعَلَّكُمْ تُفْلِحُون" </w:t>
      </w:r>
      <w:r w:rsidRPr="00210F47">
        <w:rPr>
          <w:rFonts w:ascii="Times New Roman" w:hAnsi="Times New Roman" w:cs="Times New Roman"/>
          <w:b/>
          <w:bCs/>
          <w:color w:val="000000"/>
          <w:sz w:val="24"/>
          <w:szCs w:val="24"/>
          <w:shd w:val="clear" w:color="auto" w:fill="FFFFFF"/>
          <w:rtl/>
        </w:rPr>
        <w:t>(َسورة المائدة، الآية 90)</w:t>
      </w:r>
      <w:r w:rsidRPr="00210F47">
        <w:rPr>
          <w:rFonts w:ascii="Times New Roman" w:hAnsi="Times New Roman" w:cs="Times New Roman"/>
          <w:color w:val="000000"/>
          <w:sz w:val="26"/>
          <w:szCs w:val="26"/>
          <w:shd w:val="clear" w:color="auto" w:fill="FFFFFF"/>
          <w:rtl/>
        </w:rPr>
        <w:t>.</w:t>
      </w:r>
    </w:p>
    <w:p w14:paraId="3EF3B827" w14:textId="1226DD24" w:rsidR="002764B0" w:rsidRPr="00194022" w:rsidRDefault="002764B0" w:rsidP="00D0061D">
      <w:pPr>
        <w:tabs>
          <w:tab w:val="left" w:pos="0"/>
        </w:tabs>
        <w:autoSpaceDE w:val="0"/>
        <w:autoSpaceDN w:val="0"/>
        <w:adjustRightInd w:val="0"/>
        <w:spacing w:before="120"/>
        <w:ind w:left="1134"/>
        <w:rPr>
          <w:rFonts w:ascii="Times New Roman" w:hAnsi="Times New Roman" w:cs="Times New Roman"/>
          <w:sz w:val="24"/>
          <w:szCs w:val="24"/>
        </w:rPr>
      </w:pPr>
      <w:r w:rsidRPr="00194022">
        <w:rPr>
          <w:rFonts w:ascii="Times New Roman" w:hAnsi="Times New Roman" w:cs="Times New Roman"/>
          <w:sz w:val="24"/>
          <w:szCs w:val="24"/>
        </w:rPr>
        <w:t>« </w:t>
      </w:r>
      <w:r w:rsidRPr="00194022">
        <w:rPr>
          <w:rFonts w:ascii="Times New Roman" w:hAnsi="Times New Roman" w:cs="Times New Roman"/>
          <w:i/>
          <w:iCs/>
          <w:sz w:val="24"/>
          <w:szCs w:val="24"/>
        </w:rPr>
        <w:t>Ô vous qui croyez, les boissons fermentées, le jeu du hasard, les stèles, les flèches divinatoires ne sont autre chose qu’une souillure diabolique.</w:t>
      </w:r>
      <w:r w:rsidR="00E13FA6">
        <w:rPr>
          <w:rFonts w:ascii="Times New Roman" w:hAnsi="Times New Roman" w:cs="Times New Roman"/>
          <w:i/>
          <w:iCs/>
          <w:sz w:val="24"/>
          <w:szCs w:val="24"/>
        </w:rPr>
        <w:t xml:space="preserve"> </w:t>
      </w:r>
      <w:r w:rsidRPr="00194022">
        <w:rPr>
          <w:rFonts w:ascii="Times New Roman" w:hAnsi="Times New Roman" w:cs="Times New Roman"/>
          <w:i/>
          <w:iCs/>
          <w:sz w:val="24"/>
          <w:szCs w:val="24"/>
        </w:rPr>
        <w:t xml:space="preserve">Evitez-les et vous serez heureux » </w:t>
      </w:r>
      <w:r w:rsidR="00194022" w:rsidRPr="00194022">
        <w:rPr>
          <w:rFonts w:ascii="Times New Roman" w:hAnsi="Times New Roman" w:cs="Times New Roman"/>
          <w:b/>
          <w:bCs/>
          <w:sz w:val="24"/>
          <w:szCs w:val="24"/>
        </w:rPr>
        <w:t>(Sourate</w:t>
      </w:r>
      <w:r w:rsidRPr="00194022">
        <w:rPr>
          <w:rFonts w:ascii="Times New Roman" w:hAnsi="Times New Roman" w:cs="Times New Roman"/>
          <w:b/>
          <w:bCs/>
          <w:sz w:val="24"/>
          <w:szCs w:val="24"/>
        </w:rPr>
        <w:t xml:space="preserve"> 5, verset 90)</w:t>
      </w:r>
      <w:r w:rsidRPr="00194022">
        <w:rPr>
          <w:rStyle w:val="Appelnotedebasdep"/>
          <w:rFonts w:ascii="Times New Roman" w:hAnsi="Times New Roman"/>
          <w:sz w:val="24"/>
          <w:szCs w:val="24"/>
        </w:rPr>
        <w:footnoteReference w:id="58"/>
      </w:r>
    </w:p>
    <w:p w14:paraId="26EC9180" w14:textId="6C1B083E" w:rsidR="002760B2" w:rsidRPr="006F09F7" w:rsidRDefault="002760B2" w:rsidP="00D0061D">
      <w:pPr>
        <w:tabs>
          <w:tab w:val="left" w:pos="0"/>
        </w:tabs>
        <w:autoSpaceDE w:val="0"/>
        <w:autoSpaceDN w:val="0"/>
        <w:adjustRightInd w:val="0"/>
        <w:spacing w:before="120"/>
        <w:ind w:firstLine="709"/>
        <w:rPr>
          <w:rFonts w:ascii="Times New Roman" w:hAnsi="Times New Roman" w:cs="Times New Roman"/>
          <w:sz w:val="24"/>
          <w:szCs w:val="24"/>
        </w:rPr>
      </w:pPr>
      <w:r w:rsidRPr="006F09F7">
        <w:rPr>
          <w:rFonts w:ascii="Times New Roman" w:hAnsi="Times New Roman" w:cs="Times New Roman"/>
          <w:sz w:val="24"/>
          <w:szCs w:val="24"/>
        </w:rPr>
        <w:lastRenderedPageBreak/>
        <w:t xml:space="preserve">Etymologiquement, le </w:t>
      </w:r>
      <w:r w:rsidRPr="006F09F7">
        <w:rPr>
          <w:rFonts w:ascii="Times New Roman" w:hAnsi="Times New Roman" w:cs="Times New Roman"/>
          <w:i/>
          <w:iCs/>
          <w:sz w:val="24"/>
          <w:szCs w:val="24"/>
        </w:rPr>
        <w:t>maysir</w:t>
      </w:r>
      <w:r w:rsidRPr="006F09F7">
        <w:rPr>
          <w:rFonts w:ascii="Times New Roman" w:hAnsi="Times New Roman" w:cs="Times New Roman"/>
          <w:sz w:val="24"/>
          <w:szCs w:val="24"/>
        </w:rPr>
        <w:t xml:space="preserve"> vient de l’adjectif arabe « </w:t>
      </w:r>
      <w:r w:rsidRPr="006F09F7">
        <w:rPr>
          <w:rFonts w:ascii="Times New Roman" w:hAnsi="Times New Roman" w:cs="Times New Roman"/>
          <w:i/>
          <w:iCs/>
          <w:sz w:val="24"/>
          <w:szCs w:val="24"/>
        </w:rPr>
        <w:t>yasîr</w:t>
      </w:r>
      <w:r w:rsidRPr="006F09F7">
        <w:rPr>
          <w:rFonts w:ascii="Times New Roman" w:hAnsi="Times New Roman" w:cs="Times New Roman"/>
          <w:sz w:val="24"/>
          <w:szCs w:val="24"/>
        </w:rPr>
        <w:t> » qui veut dire facile. Avant l'avènement de l’</w:t>
      </w:r>
      <w:r w:rsidR="00F34669" w:rsidRPr="006F09F7">
        <w:rPr>
          <w:rFonts w:ascii="Times New Roman" w:hAnsi="Times New Roman" w:cs="Times New Roman"/>
          <w:sz w:val="24"/>
          <w:szCs w:val="24"/>
        </w:rPr>
        <w:t>Islam</w:t>
      </w:r>
      <w:r w:rsidRPr="006F09F7">
        <w:rPr>
          <w:rFonts w:ascii="Times New Roman" w:hAnsi="Times New Roman" w:cs="Times New Roman"/>
          <w:sz w:val="24"/>
          <w:szCs w:val="24"/>
        </w:rPr>
        <w:t xml:space="preserve">, les </w:t>
      </w:r>
      <w:r w:rsidR="00544FF9">
        <w:rPr>
          <w:rFonts w:ascii="Times New Roman" w:hAnsi="Times New Roman" w:cs="Times New Roman"/>
          <w:sz w:val="24"/>
          <w:szCs w:val="24"/>
        </w:rPr>
        <w:t>A</w:t>
      </w:r>
      <w:r w:rsidRPr="006F09F7">
        <w:rPr>
          <w:rFonts w:ascii="Times New Roman" w:hAnsi="Times New Roman" w:cs="Times New Roman"/>
          <w:sz w:val="24"/>
          <w:szCs w:val="24"/>
        </w:rPr>
        <w:t>rabes considéraient ces jeux comme m</w:t>
      </w:r>
      <w:r w:rsidR="00993878" w:rsidRPr="006F09F7">
        <w:rPr>
          <w:rFonts w:ascii="Times New Roman" w:hAnsi="Times New Roman" w:cs="Times New Roman"/>
          <w:sz w:val="24"/>
          <w:szCs w:val="24"/>
        </w:rPr>
        <w:t>oyen facile de gagner l’argent.</w:t>
      </w:r>
      <w:r w:rsidR="00C90080" w:rsidRPr="006F09F7">
        <w:rPr>
          <w:rFonts w:ascii="Times New Roman" w:hAnsi="Times New Roman" w:cs="Times New Roman"/>
          <w:sz w:val="24"/>
          <w:szCs w:val="24"/>
        </w:rPr>
        <w:t xml:space="preserve"> </w:t>
      </w:r>
      <w:r w:rsidRPr="006F09F7">
        <w:rPr>
          <w:rFonts w:ascii="Times New Roman" w:hAnsi="Times New Roman" w:cs="Times New Roman"/>
          <w:sz w:val="24"/>
          <w:szCs w:val="24"/>
        </w:rPr>
        <w:t xml:space="preserve">Le </w:t>
      </w:r>
      <w:r w:rsidRPr="006F09F7">
        <w:rPr>
          <w:rFonts w:ascii="Times New Roman" w:hAnsi="Times New Roman" w:cs="Times New Roman"/>
          <w:i/>
          <w:iCs/>
          <w:sz w:val="24"/>
          <w:szCs w:val="24"/>
        </w:rPr>
        <w:t>maysir</w:t>
      </w:r>
      <w:r w:rsidRPr="006F09F7">
        <w:rPr>
          <w:rFonts w:ascii="Times New Roman" w:hAnsi="Times New Roman" w:cs="Times New Roman"/>
          <w:sz w:val="24"/>
          <w:szCs w:val="24"/>
        </w:rPr>
        <w:t xml:space="preserve"> ou le </w:t>
      </w:r>
      <w:r w:rsidRPr="006F09F7">
        <w:rPr>
          <w:rFonts w:ascii="Times New Roman" w:hAnsi="Times New Roman" w:cs="Times New Roman"/>
          <w:i/>
          <w:iCs/>
          <w:sz w:val="24"/>
          <w:szCs w:val="24"/>
        </w:rPr>
        <w:t>qimâr</w:t>
      </w:r>
      <w:r w:rsidRPr="006F09F7">
        <w:rPr>
          <w:rFonts w:ascii="Times New Roman" w:hAnsi="Times New Roman" w:cs="Times New Roman"/>
          <w:sz w:val="24"/>
          <w:szCs w:val="24"/>
        </w:rPr>
        <w:t xml:space="preserve"> se définissent comme toute forme de contrat dans lequel le droit des parties contractantes dépend d'un événement aléatoire. Selon ce principe, les opérations qui reposent sur la spéculation en vue de réaliser un profit sont illicites (</w:t>
      </w:r>
      <w:r w:rsidRPr="006F09F7">
        <w:rPr>
          <w:rFonts w:ascii="Times New Roman" w:hAnsi="Times New Roman" w:cs="Times New Roman"/>
          <w:i/>
          <w:iCs/>
          <w:sz w:val="24"/>
          <w:szCs w:val="24"/>
        </w:rPr>
        <w:t>haram</w:t>
      </w:r>
      <w:r w:rsidRPr="006F09F7">
        <w:rPr>
          <w:rFonts w:ascii="Times New Roman" w:hAnsi="Times New Roman" w:cs="Times New Roman"/>
          <w:sz w:val="24"/>
          <w:szCs w:val="24"/>
        </w:rPr>
        <w:t>). Le principe est simple : on ne peut pas vendre ce que l’on ne possède pas.</w:t>
      </w:r>
    </w:p>
    <w:p w14:paraId="5C96B377" w14:textId="77777777" w:rsidR="002760B2" w:rsidRPr="006F09F7" w:rsidRDefault="002760B2" w:rsidP="00D0061D">
      <w:pPr>
        <w:tabs>
          <w:tab w:val="left" w:pos="0"/>
        </w:tabs>
        <w:autoSpaceDE w:val="0"/>
        <w:autoSpaceDN w:val="0"/>
        <w:adjustRightInd w:val="0"/>
        <w:spacing w:before="120"/>
        <w:ind w:firstLine="709"/>
        <w:rPr>
          <w:rFonts w:ascii="Times New Roman" w:hAnsi="Times New Roman" w:cs="Times New Roman"/>
          <w:sz w:val="24"/>
          <w:szCs w:val="24"/>
        </w:rPr>
      </w:pPr>
      <w:r w:rsidRPr="006F09F7">
        <w:rPr>
          <w:rFonts w:ascii="Times New Roman" w:hAnsi="Times New Roman" w:cs="Times New Roman"/>
          <w:sz w:val="24"/>
          <w:szCs w:val="24"/>
        </w:rPr>
        <w:t xml:space="preserve">Dans la finance classique, certaines activités sont caractérisées par l’incertitude et leurs espérances de rendement sont souvent spéculatives, notamment les options, les futures et les swaps ainsi que toute forme d’assurance. Ces derniers impliquent que leur objet n’existe pas au moment où la transaction est exécutée. Le respect de cette interdiction permet à la banque </w:t>
      </w:r>
      <w:r w:rsidR="009467E6" w:rsidRPr="006F09F7">
        <w:rPr>
          <w:rFonts w:ascii="Times New Roman" w:hAnsi="Times New Roman" w:cs="Times New Roman"/>
          <w:sz w:val="24"/>
          <w:szCs w:val="24"/>
        </w:rPr>
        <w:t>i</w:t>
      </w:r>
      <w:r w:rsidR="003773C6" w:rsidRPr="006F09F7">
        <w:rPr>
          <w:rFonts w:ascii="Times New Roman" w:hAnsi="Times New Roman" w:cs="Times New Roman"/>
          <w:sz w:val="24"/>
          <w:szCs w:val="24"/>
        </w:rPr>
        <w:t>slamique</w:t>
      </w:r>
      <w:r w:rsidRPr="006F09F7">
        <w:rPr>
          <w:rFonts w:ascii="Times New Roman" w:hAnsi="Times New Roman" w:cs="Times New Roman"/>
          <w:sz w:val="24"/>
          <w:szCs w:val="24"/>
        </w:rPr>
        <w:t xml:space="preserve"> de réduire le risque de marché sur ses actifs financiers et d’allouer ses ressources financières vers des actifs réels de long terme.</w:t>
      </w:r>
    </w:p>
    <w:p w14:paraId="1C6FBF83" w14:textId="1C24E597" w:rsidR="002760B2" w:rsidRPr="006F09F7" w:rsidRDefault="002760B2" w:rsidP="00D0061D">
      <w:pPr>
        <w:tabs>
          <w:tab w:val="left" w:pos="0"/>
        </w:tabs>
        <w:autoSpaceDE w:val="0"/>
        <w:autoSpaceDN w:val="0"/>
        <w:adjustRightInd w:val="0"/>
        <w:spacing w:before="120"/>
        <w:ind w:firstLine="709"/>
        <w:rPr>
          <w:rFonts w:ascii="Times New Roman" w:hAnsi="Times New Roman" w:cs="Times New Roman"/>
          <w:sz w:val="24"/>
          <w:szCs w:val="24"/>
        </w:rPr>
      </w:pPr>
      <w:r w:rsidRPr="006F09F7">
        <w:rPr>
          <w:rFonts w:ascii="Times New Roman" w:hAnsi="Times New Roman" w:cs="Times New Roman"/>
          <w:sz w:val="24"/>
          <w:szCs w:val="24"/>
        </w:rPr>
        <w:t xml:space="preserve">Dans la loi </w:t>
      </w:r>
      <w:r w:rsidR="009467E6" w:rsidRPr="006F09F7">
        <w:rPr>
          <w:rFonts w:ascii="Times New Roman" w:hAnsi="Times New Roman" w:cs="Times New Roman"/>
          <w:sz w:val="24"/>
          <w:szCs w:val="24"/>
        </w:rPr>
        <w:t>i</w:t>
      </w:r>
      <w:r w:rsidR="003773C6" w:rsidRPr="006F09F7">
        <w:rPr>
          <w:rFonts w:ascii="Times New Roman" w:hAnsi="Times New Roman" w:cs="Times New Roman"/>
          <w:sz w:val="24"/>
          <w:szCs w:val="24"/>
        </w:rPr>
        <w:t>slamique</w:t>
      </w:r>
      <w:r w:rsidRPr="006F09F7">
        <w:rPr>
          <w:rFonts w:ascii="Times New Roman" w:hAnsi="Times New Roman" w:cs="Times New Roman"/>
          <w:sz w:val="24"/>
          <w:szCs w:val="24"/>
        </w:rPr>
        <w:t xml:space="preserve">, il existe des conditions de validité d’une transaction qui relient la finance </w:t>
      </w:r>
      <w:r w:rsidR="009467E6" w:rsidRPr="006F09F7">
        <w:rPr>
          <w:rFonts w:ascii="Times New Roman" w:hAnsi="Times New Roman" w:cs="Times New Roman"/>
          <w:sz w:val="24"/>
          <w:szCs w:val="24"/>
        </w:rPr>
        <w:t>i</w:t>
      </w:r>
      <w:r w:rsidR="003773C6" w:rsidRPr="006F09F7">
        <w:rPr>
          <w:rFonts w:ascii="Times New Roman" w:hAnsi="Times New Roman" w:cs="Times New Roman"/>
          <w:sz w:val="24"/>
          <w:szCs w:val="24"/>
        </w:rPr>
        <w:t>slamique</w:t>
      </w:r>
      <w:r w:rsidRPr="006F09F7">
        <w:rPr>
          <w:rFonts w:ascii="Times New Roman" w:hAnsi="Times New Roman" w:cs="Times New Roman"/>
          <w:sz w:val="24"/>
          <w:szCs w:val="24"/>
        </w:rPr>
        <w:t xml:space="preserve"> à l’économie réelle</w:t>
      </w:r>
      <w:r w:rsidR="00D0061D">
        <w:rPr>
          <w:rFonts w:ascii="Times New Roman" w:hAnsi="Times New Roman" w:cs="Times New Roman"/>
          <w:sz w:val="24"/>
          <w:szCs w:val="24"/>
        </w:rPr>
        <w:t> ;</w:t>
      </w:r>
      <w:r w:rsidRPr="006F09F7">
        <w:rPr>
          <w:rFonts w:ascii="Times New Roman" w:hAnsi="Times New Roman" w:cs="Times New Roman"/>
          <w:sz w:val="24"/>
          <w:szCs w:val="24"/>
        </w:rPr>
        <w:t xml:space="preserve"> e</w:t>
      </w:r>
      <w:r w:rsidR="00D0061D">
        <w:rPr>
          <w:rFonts w:ascii="Times New Roman" w:hAnsi="Times New Roman" w:cs="Times New Roman"/>
          <w:sz w:val="24"/>
          <w:szCs w:val="24"/>
        </w:rPr>
        <w:t>lles</w:t>
      </w:r>
      <w:r w:rsidRPr="006F09F7">
        <w:rPr>
          <w:rFonts w:ascii="Times New Roman" w:hAnsi="Times New Roman" w:cs="Times New Roman"/>
          <w:sz w:val="24"/>
          <w:szCs w:val="24"/>
        </w:rPr>
        <w:t xml:space="preserve"> limitent la possibilité d’une spéculation excessive. Ces condi</w:t>
      </w:r>
      <w:r w:rsidR="009B4362" w:rsidRPr="006F09F7">
        <w:rPr>
          <w:rFonts w:ascii="Times New Roman" w:hAnsi="Times New Roman" w:cs="Times New Roman"/>
          <w:sz w:val="24"/>
          <w:szCs w:val="24"/>
        </w:rPr>
        <w:t>tions sont au nombre de quatre :</w:t>
      </w:r>
      <w:r w:rsidRPr="006F09F7">
        <w:rPr>
          <w:rFonts w:ascii="Times New Roman" w:hAnsi="Times New Roman" w:cs="Times New Roman"/>
          <w:sz w:val="24"/>
          <w:szCs w:val="24"/>
        </w:rPr>
        <w:t xml:space="preserve"> la légalité, l’existence, la livraison et la précision dans la définition</w:t>
      </w:r>
      <w:r w:rsidRPr="006F09F7">
        <w:rPr>
          <w:rStyle w:val="Appelnotedebasdep"/>
          <w:rFonts w:ascii="Times New Roman" w:hAnsi="Times New Roman"/>
          <w:sz w:val="24"/>
          <w:szCs w:val="24"/>
        </w:rPr>
        <w:footnoteReference w:id="59"/>
      </w:r>
      <w:r w:rsidRPr="006F09F7">
        <w:rPr>
          <w:rFonts w:ascii="Times New Roman" w:hAnsi="Times New Roman" w:cs="Times New Roman"/>
          <w:sz w:val="24"/>
          <w:szCs w:val="24"/>
        </w:rPr>
        <w:t>.</w:t>
      </w:r>
    </w:p>
    <w:p w14:paraId="0612D1EB" w14:textId="77777777" w:rsidR="002760B2" w:rsidRPr="006F09F7" w:rsidRDefault="008D1F2C" w:rsidP="00D0061D">
      <w:pPr>
        <w:pStyle w:val="Titre4"/>
        <w:keepNext w:val="0"/>
        <w:spacing w:before="120" w:after="120"/>
        <w:ind w:firstLine="709"/>
      </w:pPr>
      <w:bookmarkStart w:id="191" w:name="_Toc33263219"/>
      <w:bookmarkStart w:id="192" w:name="_Toc37664471"/>
      <w:bookmarkStart w:id="193" w:name="_Toc37666316"/>
      <w:bookmarkStart w:id="194" w:name="_Toc54363205"/>
      <w:bookmarkStart w:id="195" w:name="_Toc58606221"/>
      <w:bookmarkStart w:id="196" w:name="_Toc61263426"/>
      <w:bookmarkStart w:id="197" w:name="_Toc182298611"/>
      <w:r w:rsidRPr="006F09F7">
        <w:t xml:space="preserve">1.3.4- </w:t>
      </w:r>
      <w:r w:rsidR="003327A8" w:rsidRPr="006F09F7">
        <w:t>I</w:t>
      </w:r>
      <w:r w:rsidR="002760B2" w:rsidRPr="006F09F7">
        <w:t>nterdiction de la thésaurisation et des investissements illicites</w:t>
      </w:r>
      <w:bookmarkEnd w:id="191"/>
      <w:bookmarkEnd w:id="192"/>
      <w:bookmarkEnd w:id="193"/>
      <w:bookmarkEnd w:id="194"/>
      <w:bookmarkEnd w:id="195"/>
      <w:bookmarkEnd w:id="196"/>
      <w:bookmarkEnd w:id="197"/>
    </w:p>
    <w:p w14:paraId="1B0BE93C" w14:textId="477EC3CC" w:rsidR="00EF4A9A" w:rsidRPr="006F09F7" w:rsidRDefault="002760B2" w:rsidP="00D0061D">
      <w:pPr>
        <w:tabs>
          <w:tab w:val="left" w:pos="0"/>
        </w:tabs>
        <w:spacing w:before="120"/>
        <w:ind w:firstLine="709"/>
        <w:rPr>
          <w:rFonts w:ascii="Times New Roman" w:hAnsi="Times New Roman" w:cs="Times New Roman"/>
          <w:sz w:val="24"/>
          <w:szCs w:val="24"/>
        </w:rPr>
      </w:pPr>
      <w:r w:rsidRPr="006F09F7">
        <w:rPr>
          <w:rFonts w:ascii="Times New Roman" w:hAnsi="Times New Roman" w:cs="Times New Roman"/>
          <w:sz w:val="24"/>
          <w:szCs w:val="24"/>
        </w:rPr>
        <w:t>La thésaurisation désigne une accumulation de monnaie soit pour en tirer des profits</w:t>
      </w:r>
      <w:r w:rsidR="00923981" w:rsidRPr="006F09F7">
        <w:rPr>
          <w:rFonts w:ascii="Times New Roman" w:hAnsi="Times New Roman" w:cs="Times New Roman"/>
          <w:sz w:val="24"/>
          <w:szCs w:val="24"/>
        </w:rPr>
        <w:t>, soit</w:t>
      </w:r>
      <w:r w:rsidRPr="006F09F7">
        <w:rPr>
          <w:rFonts w:ascii="Times New Roman" w:hAnsi="Times New Roman" w:cs="Times New Roman"/>
          <w:sz w:val="24"/>
          <w:szCs w:val="24"/>
        </w:rPr>
        <w:t xml:space="preserve"> par absence de meilleur emploi et</w:t>
      </w:r>
      <w:r w:rsidR="00923981" w:rsidRPr="006F09F7">
        <w:rPr>
          <w:rFonts w:ascii="Times New Roman" w:hAnsi="Times New Roman" w:cs="Times New Roman"/>
          <w:sz w:val="24"/>
          <w:szCs w:val="24"/>
        </w:rPr>
        <w:t>,</w:t>
      </w:r>
      <w:r w:rsidRPr="006F09F7">
        <w:rPr>
          <w:rFonts w:ascii="Times New Roman" w:hAnsi="Times New Roman" w:cs="Times New Roman"/>
          <w:sz w:val="24"/>
          <w:szCs w:val="24"/>
        </w:rPr>
        <w:t xml:space="preserve"> non par princ</w:t>
      </w:r>
      <w:r w:rsidR="00923981" w:rsidRPr="006F09F7">
        <w:rPr>
          <w:rFonts w:ascii="Times New Roman" w:hAnsi="Times New Roman" w:cs="Times New Roman"/>
          <w:sz w:val="24"/>
          <w:szCs w:val="24"/>
        </w:rPr>
        <w:t xml:space="preserve">ipe d’investissement productif. </w:t>
      </w:r>
      <w:r w:rsidRPr="006F09F7">
        <w:rPr>
          <w:rFonts w:ascii="Times New Roman" w:hAnsi="Times New Roman" w:cs="Times New Roman"/>
          <w:sz w:val="24"/>
          <w:szCs w:val="24"/>
        </w:rPr>
        <w:t xml:space="preserve">Puisque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6F09F7">
        <w:rPr>
          <w:rFonts w:ascii="Times New Roman" w:hAnsi="Times New Roman" w:cs="Times New Roman"/>
          <w:sz w:val="24"/>
          <w:szCs w:val="24"/>
        </w:rPr>
        <w:t xml:space="preserve"> considère la monnaie comme un simple moyen d’échange sans valeur intrinsèque, l</w:t>
      </w:r>
      <w:r w:rsidRPr="00050A0B">
        <w:rPr>
          <w:rFonts w:ascii="Times New Roman" w:hAnsi="Times New Roman" w:cs="Times New Roman"/>
          <w:spacing w:val="-2"/>
          <w:sz w:val="24"/>
          <w:szCs w:val="24"/>
        </w:rPr>
        <w:t>a thésaurisation est condamnée. Cette interdiction est mentionnée</w:t>
      </w:r>
      <w:r w:rsidR="00050A0B" w:rsidRPr="00050A0B">
        <w:rPr>
          <w:rFonts w:ascii="Times New Roman" w:hAnsi="Times New Roman" w:cs="Times New Roman" w:hint="cs"/>
          <w:spacing w:val="-2"/>
          <w:sz w:val="24"/>
          <w:szCs w:val="24"/>
          <w:rtl/>
        </w:rPr>
        <w:t xml:space="preserve"> </w:t>
      </w:r>
      <w:r w:rsidRPr="00050A0B">
        <w:rPr>
          <w:rFonts w:ascii="Times New Roman" w:hAnsi="Times New Roman" w:cs="Times New Roman"/>
          <w:spacing w:val="-2"/>
          <w:sz w:val="24"/>
          <w:szCs w:val="24"/>
        </w:rPr>
        <w:t xml:space="preserve">dans </w:t>
      </w:r>
      <w:r w:rsidR="00050A0B" w:rsidRPr="00050A0B">
        <w:rPr>
          <w:rFonts w:ascii="Times New Roman" w:hAnsi="Times New Roman" w:cs="Times New Roman"/>
          <w:spacing w:val="-2"/>
          <w:sz w:val="24"/>
          <w:szCs w:val="24"/>
        </w:rPr>
        <w:t>s</w:t>
      </w:r>
      <w:r w:rsidRPr="00050A0B">
        <w:rPr>
          <w:rFonts w:ascii="Times New Roman" w:hAnsi="Times New Roman" w:cs="Times New Roman"/>
          <w:spacing w:val="-2"/>
          <w:sz w:val="24"/>
          <w:szCs w:val="24"/>
        </w:rPr>
        <w:t>ourate 9, verset 34 et</w:t>
      </w:r>
      <w:r w:rsidR="00F537B1" w:rsidRPr="00050A0B">
        <w:rPr>
          <w:rFonts w:ascii="Times New Roman" w:hAnsi="Times New Roman" w:cs="Times New Roman"/>
          <w:spacing w:val="-2"/>
          <w:sz w:val="24"/>
          <w:szCs w:val="24"/>
        </w:rPr>
        <w:t> </w:t>
      </w:r>
      <w:r w:rsidR="009B4362" w:rsidRPr="00050A0B">
        <w:rPr>
          <w:rFonts w:ascii="Times New Roman" w:hAnsi="Times New Roman" w:cs="Times New Roman"/>
          <w:spacing w:val="-2"/>
          <w:sz w:val="24"/>
          <w:szCs w:val="24"/>
        </w:rPr>
        <w:t>35 :</w:t>
      </w:r>
    </w:p>
    <w:p w14:paraId="32FF5380" w14:textId="77FE6D3D" w:rsidR="002764B0" w:rsidRPr="00194022" w:rsidRDefault="002764B0" w:rsidP="00050A0B">
      <w:pPr>
        <w:tabs>
          <w:tab w:val="left" w:pos="0"/>
        </w:tabs>
        <w:bidi/>
        <w:spacing w:before="240" w:line="300" w:lineRule="auto"/>
        <w:ind w:right="1134"/>
        <w:rPr>
          <w:rFonts w:asciiTheme="minorBidi" w:hAnsiTheme="minorBidi"/>
          <w:sz w:val="26"/>
          <w:szCs w:val="26"/>
        </w:rPr>
      </w:pPr>
      <w:r w:rsidRPr="00194022">
        <w:rPr>
          <w:rFonts w:asciiTheme="minorBidi" w:hAnsiTheme="minorBidi"/>
          <w:color w:val="000000"/>
          <w:sz w:val="26"/>
          <w:szCs w:val="26"/>
          <w:shd w:val="clear" w:color="auto" w:fill="FFFFFF"/>
          <w:rtl/>
          <w:lang w:bidi="ar-DZ"/>
        </w:rPr>
        <w:t>"</w:t>
      </w:r>
      <w:r w:rsidRPr="00EB2CD9">
        <w:rPr>
          <w:rFonts w:asciiTheme="majorBidi" w:hAnsiTheme="majorBidi" w:cstheme="majorBidi"/>
          <w:color w:val="000000"/>
          <w:sz w:val="26"/>
          <w:szCs w:val="26"/>
          <w:shd w:val="clear" w:color="auto" w:fill="FFFFFF"/>
          <w:rtl/>
        </w:rPr>
        <w:t xml:space="preserve">وَالَّذِينَ يَكْنِزُونَ الذَّهَبَ وَالْفِضَّةَ وَلَا يُنْفِقُونَهَا فِي سَبِيلِ اللَّهِ فَبَشِّرْهُمْ بِعَذَابٍ أَلِيمٍ </w:t>
      </w:r>
      <w:r w:rsidRPr="00D0061D">
        <w:rPr>
          <w:rFonts w:asciiTheme="majorBidi" w:hAnsiTheme="majorBidi" w:cstheme="majorBidi"/>
          <w:color w:val="000000"/>
          <w:sz w:val="24"/>
          <w:szCs w:val="24"/>
          <w:shd w:val="clear" w:color="auto" w:fill="FFFFFF"/>
          <w:rtl/>
        </w:rPr>
        <w:t>(34)</w:t>
      </w:r>
      <w:r w:rsidRPr="00EB2CD9">
        <w:rPr>
          <w:rFonts w:asciiTheme="majorBidi" w:hAnsiTheme="majorBidi" w:cstheme="majorBidi"/>
          <w:color w:val="000000"/>
          <w:sz w:val="26"/>
          <w:szCs w:val="26"/>
          <w:shd w:val="clear" w:color="auto" w:fill="FFFFFF"/>
          <w:rtl/>
        </w:rPr>
        <w:t xml:space="preserve"> يَوْمَ يُحْمَى عَلَيْهَا فِي نَار</w:t>
      </w:r>
      <w:r w:rsidR="00E13FA6">
        <w:rPr>
          <w:rFonts w:asciiTheme="majorBidi" w:hAnsiTheme="majorBidi" w:cstheme="majorBidi"/>
          <w:color w:val="000000"/>
          <w:sz w:val="26"/>
          <w:szCs w:val="26"/>
          <w:shd w:val="clear" w:color="auto" w:fill="FFFFFF"/>
        </w:rPr>
        <w:t xml:space="preserve"> </w:t>
      </w:r>
      <w:r w:rsidRPr="00EB2CD9">
        <w:rPr>
          <w:rFonts w:asciiTheme="majorBidi" w:hAnsiTheme="majorBidi" w:cstheme="majorBidi"/>
          <w:color w:val="000000"/>
          <w:sz w:val="26"/>
          <w:szCs w:val="26"/>
          <w:shd w:val="clear" w:color="auto" w:fill="FFFFFF"/>
          <w:rtl/>
        </w:rPr>
        <w:t xml:space="preserve">جَهَنَّمَ فَتُكْوَى بِهَا جِبَاهُهُمْ وَجُنُوبُهُمْ وَظُهُورُهُمْ هَذَا مَا كَنَزْتُمْ لِأَنْفُسِكُمْ فَذُوقُوا مَا كُنْتُمْ تَكْنِزُونَ </w:t>
      </w:r>
      <w:r w:rsidRPr="00D0061D">
        <w:rPr>
          <w:rFonts w:asciiTheme="majorBidi" w:hAnsiTheme="majorBidi" w:cstheme="majorBidi"/>
          <w:color w:val="000000"/>
          <w:sz w:val="24"/>
          <w:szCs w:val="24"/>
          <w:shd w:val="clear" w:color="auto" w:fill="FFFFFF"/>
          <w:rtl/>
        </w:rPr>
        <w:t>(35)</w:t>
      </w:r>
      <w:r w:rsidRPr="00EB2CD9">
        <w:rPr>
          <w:rFonts w:asciiTheme="majorBidi" w:hAnsiTheme="majorBidi" w:cstheme="majorBidi"/>
          <w:color w:val="000000"/>
          <w:sz w:val="26"/>
          <w:szCs w:val="26"/>
          <w:shd w:val="clear" w:color="auto" w:fill="FFFFFF"/>
          <w:rtl/>
        </w:rPr>
        <w:t>"</w:t>
      </w:r>
      <w:r w:rsidRPr="00194022">
        <w:rPr>
          <w:rFonts w:asciiTheme="minorBidi" w:hAnsiTheme="minorBidi"/>
          <w:color w:val="000000"/>
          <w:sz w:val="26"/>
          <w:szCs w:val="26"/>
          <w:shd w:val="clear" w:color="auto" w:fill="FFFFFF"/>
          <w:rtl/>
        </w:rPr>
        <w:t xml:space="preserve"> </w:t>
      </w:r>
      <w:r w:rsidRPr="00EB2CD9">
        <w:rPr>
          <w:rFonts w:asciiTheme="majorBidi" w:hAnsiTheme="majorBidi" w:cstheme="majorBidi"/>
          <w:b/>
          <w:bCs/>
          <w:color w:val="000000"/>
          <w:sz w:val="24"/>
          <w:szCs w:val="24"/>
          <w:shd w:val="clear" w:color="auto" w:fill="FFFFFF"/>
          <w:rtl/>
        </w:rPr>
        <w:t xml:space="preserve">(سورة التوبة، الآية 34 </w:t>
      </w:r>
      <w:r w:rsidR="00050A0B" w:rsidRPr="00EB2CD9">
        <w:rPr>
          <w:rFonts w:asciiTheme="majorBidi" w:hAnsiTheme="majorBidi" w:cstheme="majorBidi" w:hint="cs"/>
          <w:b/>
          <w:bCs/>
          <w:color w:val="000000"/>
          <w:sz w:val="24"/>
          <w:szCs w:val="24"/>
          <w:shd w:val="clear" w:color="auto" w:fill="FFFFFF"/>
          <w:rtl/>
        </w:rPr>
        <w:t>و35</w:t>
      </w:r>
      <w:r w:rsidRPr="00EB2CD9">
        <w:rPr>
          <w:rFonts w:asciiTheme="majorBidi" w:hAnsiTheme="majorBidi" w:cstheme="majorBidi"/>
          <w:b/>
          <w:bCs/>
          <w:color w:val="000000"/>
          <w:sz w:val="24"/>
          <w:szCs w:val="24"/>
          <w:shd w:val="clear" w:color="auto" w:fill="FFFFFF"/>
          <w:rtl/>
        </w:rPr>
        <w:t>)</w:t>
      </w:r>
      <w:r w:rsidRPr="00EB2CD9">
        <w:rPr>
          <w:rFonts w:asciiTheme="majorBidi" w:hAnsiTheme="majorBidi" w:cstheme="majorBidi"/>
          <w:color w:val="000000"/>
          <w:sz w:val="24"/>
          <w:szCs w:val="24"/>
          <w:shd w:val="clear" w:color="auto" w:fill="FFFFFF"/>
          <w:rtl/>
        </w:rPr>
        <w:t>.</w:t>
      </w:r>
    </w:p>
    <w:p w14:paraId="083331E4" w14:textId="231870A9" w:rsidR="002764B0" w:rsidRDefault="002764B0" w:rsidP="00D0061D">
      <w:pPr>
        <w:tabs>
          <w:tab w:val="left" w:pos="0"/>
        </w:tabs>
        <w:spacing w:before="120"/>
        <w:ind w:left="1134" w:right="-1"/>
        <w:rPr>
          <w:rFonts w:ascii="Times New Roman" w:hAnsi="Times New Roman" w:cs="Times New Roman"/>
          <w:sz w:val="24"/>
          <w:szCs w:val="24"/>
        </w:rPr>
      </w:pPr>
      <w:r w:rsidRPr="00194022">
        <w:rPr>
          <w:rFonts w:ascii="Times New Roman" w:hAnsi="Times New Roman" w:cs="Times New Roman"/>
          <w:sz w:val="24"/>
          <w:szCs w:val="24"/>
        </w:rPr>
        <w:t>« …</w:t>
      </w:r>
      <w:r w:rsidRPr="00194022">
        <w:rPr>
          <w:rFonts w:ascii="Times New Roman" w:hAnsi="Times New Roman" w:cs="Times New Roman"/>
          <w:i/>
          <w:iCs/>
          <w:sz w:val="24"/>
          <w:szCs w:val="24"/>
        </w:rPr>
        <w:t>De même, à ceux qui thésaurisent l’or et l’argent sans dépenser pour la cause de Dieu, annonce- leur un châtiment douloureux (34), le jour où ces métaux portés à l’incandescence dans le feu de la géhenne seront appliqués sur leur front, sur leurs flancs, sur leur dos, voici donc ce que vous avez thésaurisé</w:t>
      </w:r>
      <w:r w:rsidRPr="00194022">
        <w:rPr>
          <w:rFonts w:ascii="Times New Roman" w:hAnsi="Times New Roman" w:cs="Times New Roman"/>
          <w:sz w:val="24"/>
          <w:szCs w:val="24"/>
        </w:rPr>
        <w:t> ! (35)</w:t>
      </w:r>
      <w:r w:rsidR="00D0061D">
        <w:rPr>
          <w:rFonts w:ascii="Times New Roman" w:hAnsi="Times New Roman" w:cs="Times New Roman"/>
          <w:sz w:val="24"/>
          <w:szCs w:val="24"/>
        </w:rPr>
        <w:t> »</w:t>
      </w:r>
      <w:r w:rsidRPr="00194022">
        <w:rPr>
          <w:rStyle w:val="Appelnotedebasdep"/>
          <w:rFonts w:ascii="Times New Roman" w:hAnsi="Times New Roman"/>
          <w:sz w:val="24"/>
          <w:szCs w:val="24"/>
        </w:rPr>
        <w:footnoteReference w:id="60"/>
      </w:r>
      <w:r w:rsidRPr="00194022">
        <w:rPr>
          <w:rFonts w:ascii="Times New Roman" w:hAnsi="Times New Roman" w:cs="Times New Roman"/>
          <w:sz w:val="24"/>
          <w:szCs w:val="24"/>
        </w:rPr>
        <w:t>.</w:t>
      </w:r>
    </w:p>
    <w:p w14:paraId="1FA1E539" w14:textId="1B3640DE" w:rsidR="00050A0B" w:rsidRPr="00194022" w:rsidRDefault="00050A0B" w:rsidP="00D0061D">
      <w:pPr>
        <w:tabs>
          <w:tab w:val="left" w:pos="0"/>
        </w:tabs>
        <w:ind w:left="1134"/>
        <w:jc w:val="right"/>
        <w:rPr>
          <w:rFonts w:ascii="Times New Roman" w:hAnsi="Times New Roman" w:cs="Times New Roman"/>
          <w:sz w:val="24"/>
          <w:szCs w:val="24"/>
        </w:rPr>
      </w:pPr>
      <w:r w:rsidRPr="00194022">
        <w:rPr>
          <w:rFonts w:ascii="Times New Roman" w:hAnsi="Times New Roman" w:cs="Times New Roman"/>
          <w:b/>
          <w:bCs/>
          <w:sz w:val="24"/>
          <w:szCs w:val="24"/>
        </w:rPr>
        <w:t xml:space="preserve">(Sourate </w:t>
      </w:r>
      <w:r w:rsidR="005E784C">
        <w:rPr>
          <w:rFonts w:ascii="Times New Roman" w:hAnsi="Times New Roman" w:cs="Times New Roman"/>
          <w:b/>
          <w:bCs/>
          <w:sz w:val="24"/>
          <w:szCs w:val="24"/>
        </w:rPr>
        <w:t>9</w:t>
      </w:r>
      <w:r w:rsidRPr="00194022">
        <w:rPr>
          <w:rFonts w:ascii="Times New Roman" w:hAnsi="Times New Roman" w:cs="Times New Roman"/>
          <w:b/>
          <w:bCs/>
          <w:sz w:val="24"/>
          <w:szCs w:val="24"/>
        </w:rPr>
        <w:t>, verset</w:t>
      </w:r>
      <w:r>
        <w:rPr>
          <w:rFonts w:ascii="Times New Roman" w:hAnsi="Times New Roman" w:cs="Times New Roman"/>
          <w:b/>
          <w:bCs/>
          <w:sz w:val="24"/>
          <w:szCs w:val="24"/>
        </w:rPr>
        <w:t>s</w:t>
      </w:r>
      <w:r w:rsidRPr="00194022">
        <w:rPr>
          <w:rFonts w:ascii="Times New Roman" w:hAnsi="Times New Roman" w:cs="Times New Roman"/>
          <w:b/>
          <w:bCs/>
          <w:sz w:val="24"/>
          <w:szCs w:val="24"/>
        </w:rPr>
        <w:t xml:space="preserve"> </w:t>
      </w:r>
      <w:r>
        <w:rPr>
          <w:rFonts w:ascii="Times New Roman" w:hAnsi="Times New Roman" w:cs="Times New Roman"/>
          <w:b/>
          <w:bCs/>
          <w:sz w:val="24"/>
          <w:szCs w:val="24"/>
        </w:rPr>
        <w:t>34-35</w:t>
      </w:r>
      <w:r w:rsidRPr="00194022">
        <w:rPr>
          <w:rFonts w:ascii="Times New Roman" w:hAnsi="Times New Roman" w:cs="Times New Roman"/>
          <w:b/>
          <w:bCs/>
          <w:sz w:val="24"/>
          <w:szCs w:val="24"/>
        </w:rPr>
        <w:t>)</w:t>
      </w:r>
    </w:p>
    <w:p w14:paraId="2F0DA9E2" w14:textId="4E3BEDE6" w:rsidR="002760B2" w:rsidRPr="00544FF9" w:rsidRDefault="002760B2" w:rsidP="00544FF9">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544FF9">
        <w:rPr>
          <w:rFonts w:ascii="Times New Roman" w:hAnsi="Times New Roman" w:cs="Times New Roman"/>
          <w:kern w:val="24"/>
          <w:sz w:val="24"/>
          <w:szCs w:val="24"/>
        </w:rPr>
        <w:t xml:space="preserve">Un musulman peut accumuler de la richesse légitimement acquise, mais il doit veiller à </w:t>
      </w:r>
      <w:r w:rsidR="00544FF9" w:rsidRPr="00544FF9">
        <w:rPr>
          <w:rFonts w:ascii="Times New Roman" w:hAnsi="Times New Roman" w:cs="Times New Roman"/>
          <w:kern w:val="24"/>
          <w:sz w:val="24"/>
          <w:szCs w:val="24"/>
        </w:rPr>
        <w:t>la</w:t>
      </w:r>
      <w:r w:rsidR="005E784C" w:rsidRPr="00544FF9">
        <w:rPr>
          <w:rFonts w:ascii="Times New Roman" w:hAnsi="Times New Roman" w:cs="Times New Roman"/>
          <w:kern w:val="24"/>
          <w:sz w:val="24"/>
          <w:szCs w:val="24"/>
        </w:rPr>
        <w:t xml:space="preserve"> </w:t>
      </w:r>
      <w:r w:rsidRPr="00544FF9">
        <w:rPr>
          <w:rFonts w:ascii="Times New Roman" w:hAnsi="Times New Roman" w:cs="Times New Roman"/>
          <w:kern w:val="24"/>
          <w:sz w:val="24"/>
          <w:szCs w:val="24"/>
        </w:rPr>
        <w:t xml:space="preserve">dépenser ou </w:t>
      </w:r>
      <w:r w:rsidR="005E784C" w:rsidRPr="00544FF9">
        <w:rPr>
          <w:rFonts w:ascii="Times New Roman" w:hAnsi="Times New Roman" w:cs="Times New Roman"/>
          <w:kern w:val="24"/>
          <w:sz w:val="24"/>
          <w:szCs w:val="24"/>
        </w:rPr>
        <w:t>l’</w:t>
      </w:r>
      <w:r w:rsidRPr="00544FF9">
        <w:rPr>
          <w:rFonts w:ascii="Times New Roman" w:hAnsi="Times New Roman" w:cs="Times New Roman"/>
          <w:kern w:val="24"/>
          <w:sz w:val="24"/>
          <w:szCs w:val="24"/>
        </w:rPr>
        <w:t>investir de façon judicieuse. Lorsqu’</w:t>
      </w:r>
      <w:r w:rsidR="00544FF9">
        <w:rPr>
          <w:rFonts w:ascii="Times New Roman" w:hAnsi="Times New Roman" w:cs="Times New Roman"/>
          <w:kern w:val="24"/>
          <w:sz w:val="24"/>
          <w:szCs w:val="24"/>
        </w:rPr>
        <w:t>il</w:t>
      </w:r>
      <w:r w:rsidRPr="00544FF9">
        <w:rPr>
          <w:rFonts w:ascii="Times New Roman" w:hAnsi="Times New Roman" w:cs="Times New Roman"/>
          <w:kern w:val="24"/>
          <w:sz w:val="24"/>
          <w:szCs w:val="24"/>
        </w:rPr>
        <w:t xml:space="preserve"> dispose d’un revenu annuel supérieur à un certain montant, il a l’obligation d’en reverser une partie à une catégorie définie de la population incluant notamment les nécessiteux. Il se conforme ainsi à l’obligation de paiement de la </w:t>
      </w:r>
      <w:r w:rsidRPr="00544FF9">
        <w:rPr>
          <w:rFonts w:ascii="Times New Roman" w:hAnsi="Times New Roman" w:cs="Times New Roman"/>
          <w:i/>
          <w:kern w:val="24"/>
          <w:sz w:val="24"/>
          <w:szCs w:val="24"/>
        </w:rPr>
        <w:t>zakat</w:t>
      </w:r>
      <w:r w:rsidRPr="00544FF9">
        <w:rPr>
          <w:rFonts w:ascii="Times New Roman" w:hAnsi="Times New Roman" w:cs="Times New Roman"/>
          <w:kern w:val="24"/>
          <w:sz w:val="24"/>
          <w:szCs w:val="24"/>
        </w:rPr>
        <w:t>, l’un des cinq piliers de l’</w:t>
      </w:r>
      <w:r w:rsidR="00F34669" w:rsidRPr="00544FF9">
        <w:rPr>
          <w:rFonts w:ascii="Times New Roman" w:hAnsi="Times New Roman" w:cs="Times New Roman"/>
          <w:kern w:val="24"/>
          <w:sz w:val="24"/>
          <w:szCs w:val="24"/>
        </w:rPr>
        <w:t>Islam</w:t>
      </w:r>
      <w:r w:rsidRPr="00544FF9">
        <w:rPr>
          <w:rFonts w:ascii="Times New Roman" w:hAnsi="Times New Roman" w:cs="Times New Roman"/>
          <w:kern w:val="24"/>
          <w:sz w:val="24"/>
          <w:szCs w:val="24"/>
        </w:rPr>
        <w:t>.</w:t>
      </w:r>
      <w:r w:rsidR="003E141E" w:rsidRPr="00544FF9">
        <w:rPr>
          <w:rFonts w:ascii="Times New Roman" w:hAnsi="Times New Roman" w:cs="Times New Roman"/>
          <w:kern w:val="24"/>
          <w:sz w:val="24"/>
          <w:szCs w:val="24"/>
        </w:rPr>
        <w:t xml:space="preserve"> </w:t>
      </w:r>
      <w:r w:rsidRPr="00544FF9">
        <w:rPr>
          <w:rFonts w:ascii="Times New Roman" w:hAnsi="Times New Roman" w:cs="Times New Roman"/>
          <w:kern w:val="24"/>
          <w:sz w:val="24"/>
          <w:szCs w:val="24"/>
        </w:rPr>
        <w:t>On doit faire la distinction entre thésaurisation et épargne, car le compte d’épargne ne générant pas d’intérêts n’est pas une forme de thésaurisation car ce capital est utilisé par la banque à des fins productives</w:t>
      </w:r>
      <w:r w:rsidRPr="00544FF9">
        <w:rPr>
          <w:rStyle w:val="Appelnotedebasdep"/>
          <w:rFonts w:ascii="Times New Roman" w:hAnsi="Times New Roman"/>
          <w:kern w:val="24"/>
          <w:sz w:val="24"/>
          <w:szCs w:val="24"/>
        </w:rPr>
        <w:footnoteReference w:id="61"/>
      </w:r>
      <w:r w:rsidRPr="00544FF9">
        <w:rPr>
          <w:rFonts w:ascii="Times New Roman" w:hAnsi="Times New Roman" w:cs="Times New Roman"/>
          <w:kern w:val="24"/>
          <w:sz w:val="24"/>
          <w:szCs w:val="24"/>
        </w:rPr>
        <w:t>.</w:t>
      </w:r>
    </w:p>
    <w:p w14:paraId="3A3B0377" w14:textId="20DBA9E6" w:rsidR="002760B2" w:rsidRPr="00544FF9" w:rsidRDefault="002760B2" w:rsidP="00544FF9">
      <w:pPr>
        <w:tabs>
          <w:tab w:val="left" w:pos="0"/>
        </w:tabs>
        <w:spacing w:before="120" w:line="300" w:lineRule="auto"/>
        <w:ind w:firstLine="709"/>
        <w:rPr>
          <w:rFonts w:ascii="Times New Roman" w:hAnsi="Times New Roman" w:cs="Times New Roman"/>
          <w:kern w:val="24"/>
          <w:sz w:val="24"/>
          <w:szCs w:val="24"/>
        </w:rPr>
      </w:pPr>
      <w:r w:rsidRPr="00544FF9">
        <w:rPr>
          <w:rFonts w:ascii="Times New Roman" w:hAnsi="Times New Roman" w:cs="Times New Roman"/>
          <w:kern w:val="24"/>
          <w:sz w:val="24"/>
          <w:szCs w:val="24"/>
        </w:rPr>
        <w:t xml:space="preserve">Ainsi, aucune transaction financière ne doit être dirigée vers des secteurs non conformes à la </w:t>
      </w:r>
      <w:r w:rsidR="00A5400B" w:rsidRPr="00544FF9">
        <w:rPr>
          <w:rFonts w:ascii="Times New Roman" w:hAnsi="Times New Roman" w:cs="Times New Roman"/>
          <w:i/>
          <w:kern w:val="24"/>
          <w:sz w:val="24"/>
          <w:szCs w:val="24"/>
        </w:rPr>
        <w:t>Shariah</w:t>
      </w:r>
      <w:r w:rsidRPr="00544FF9">
        <w:rPr>
          <w:rFonts w:ascii="Times New Roman" w:hAnsi="Times New Roman" w:cs="Times New Roman"/>
          <w:kern w:val="24"/>
          <w:sz w:val="24"/>
          <w:szCs w:val="24"/>
        </w:rPr>
        <w:t xml:space="preserve"> dits </w:t>
      </w:r>
      <w:r w:rsidRPr="00544FF9">
        <w:rPr>
          <w:rFonts w:ascii="Times New Roman" w:hAnsi="Times New Roman" w:cs="Times New Roman"/>
          <w:i/>
          <w:iCs/>
          <w:kern w:val="24"/>
          <w:sz w:val="24"/>
          <w:szCs w:val="24"/>
        </w:rPr>
        <w:t>haram</w:t>
      </w:r>
      <w:r w:rsidRPr="00544FF9">
        <w:rPr>
          <w:rFonts w:ascii="Times New Roman" w:hAnsi="Times New Roman" w:cs="Times New Roman"/>
          <w:kern w:val="24"/>
          <w:sz w:val="24"/>
          <w:szCs w:val="24"/>
        </w:rPr>
        <w:t>.il est interdit d’investir dans :</w:t>
      </w:r>
    </w:p>
    <w:p w14:paraId="0500C733" w14:textId="77777777" w:rsidR="002760B2" w:rsidRPr="00544FF9" w:rsidRDefault="002760B2" w:rsidP="00CB0FF1">
      <w:pPr>
        <w:pStyle w:val="Paragraphedeliste"/>
        <w:numPr>
          <w:ilvl w:val="0"/>
          <w:numId w:val="2"/>
        </w:numPr>
        <w:tabs>
          <w:tab w:val="left" w:pos="993"/>
          <w:tab w:val="left" w:pos="1134"/>
        </w:tabs>
        <w:spacing w:before="60" w:line="300" w:lineRule="auto"/>
        <w:ind w:left="1135" w:hanging="284"/>
        <w:contextualSpacing w:val="0"/>
        <w:rPr>
          <w:rFonts w:ascii="Times New Roman" w:hAnsi="Times New Roman" w:cs="Times New Roman"/>
          <w:kern w:val="24"/>
          <w:sz w:val="24"/>
          <w:szCs w:val="24"/>
        </w:rPr>
      </w:pPr>
      <w:r w:rsidRPr="00544FF9">
        <w:rPr>
          <w:rFonts w:ascii="Times New Roman" w:hAnsi="Times New Roman" w:cs="Times New Roman"/>
          <w:kern w:val="24"/>
          <w:sz w:val="24"/>
          <w:szCs w:val="24"/>
        </w:rPr>
        <w:lastRenderedPageBreak/>
        <w:t>Des activités liée</w:t>
      </w:r>
      <w:r w:rsidR="00270EE0" w:rsidRPr="00544FF9">
        <w:rPr>
          <w:rFonts w:ascii="Times New Roman" w:hAnsi="Times New Roman" w:cs="Times New Roman"/>
          <w:kern w:val="24"/>
          <w:sz w:val="24"/>
          <w:szCs w:val="24"/>
        </w:rPr>
        <w:t>s aux jeux de hasard et casinos ;</w:t>
      </w:r>
    </w:p>
    <w:p w14:paraId="09E69046" w14:textId="77777777" w:rsidR="002760B2" w:rsidRPr="00544FF9" w:rsidRDefault="002760B2" w:rsidP="00CB0FF1">
      <w:pPr>
        <w:pStyle w:val="Paragraphedeliste"/>
        <w:numPr>
          <w:ilvl w:val="0"/>
          <w:numId w:val="2"/>
        </w:numPr>
        <w:tabs>
          <w:tab w:val="left" w:pos="993"/>
          <w:tab w:val="left" w:pos="1134"/>
        </w:tabs>
        <w:spacing w:before="60" w:line="300" w:lineRule="auto"/>
        <w:ind w:left="1135" w:hanging="284"/>
        <w:contextualSpacing w:val="0"/>
        <w:rPr>
          <w:rFonts w:ascii="Times New Roman" w:hAnsi="Times New Roman" w:cs="Times New Roman"/>
          <w:kern w:val="24"/>
          <w:sz w:val="24"/>
          <w:szCs w:val="24"/>
        </w:rPr>
      </w:pPr>
      <w:r w:rsidRPr="00544FF9">
        <w:rPr>
          <w:rFonts w:ascii="Times New Roman" w:hAnsi="Times New Roman" w:cs="Times New Roman"/>
          <w:kern w:val="24"/>
          <w:sz w:val="24"/>
          <w:szCs w:val="24"/>
        </w:rPr>
        <w:t>L’industrie cinématographique en général et les activités liées à</w:t>
      </w:r>
      <w:r w:rsidR="00270EE0" w:rsidRPr="00544FF9">
        <w:rPr>
          <w:rFonts w:ascii="Times New Roman" w:hAnsi="Times New Roman" w:cs="Times New Roman"/>
          <w:kern w:val="24"/>
          <w:sz w:val="24"/>
          <w:szCs w:val="24"/>
        </w:rPr>
        <w:t xml:space="preserve"> la pornographie en particulier ;</w:t>
      </w:r>
    </w:p>
    <w:p w14:paraId="6D398F5D" w14:textId="77777777" w:rsidR="002760B2" w:rsidRPr="00544FF9" w:rsidRDefault="002760B2" w:rsidP="00CB0FF1">
      <w:pPr>
        <w:pStyle w:val="Paragraphedeliste"/>
        <w:numPr>
          <w:ilvl w:val="0"/>
          <w:numId w:val="2"/>
        </w:numPr>
        <w:tabs>
          <w:tab w:val="left" w:pos="993"/>
          <w:tab w:val="left" w:pos="1134"/>
        </w:tabs>
        <w:spacing w:before="60" w:line="300" w:lineRule="auto"/>
        <w:ind w:left="1135" w:hanging="284"/>
        <w:contextualSpacing w:val="0"/>
        <w:rPr>
          <w:rFonts w:ascii="Times New Roman" w:hAnsi="Times New Roman" w:cs="Times New Roman"/>
          <w:kern w:val="24"/>
          <w:sz w:val="24"/>
          <w:szCs w:val="24"/>
        </w:rPr>
      </w:pPr>
      <w:r w:rsidRPr="00544FF9">
        <w:rPr>
          <w:rFonts w:ascii="Times New Roman" w:hAnsi="Times New Roman" w:cs="Times New Roman"/>
          <w:kern w:val="24"/>
          <w:sz w:val="24"/>
          <w:szCs w:val="24"/>
        </w:rPr>
        <w:t xml:space="preserve">La production des aliments illicites (porc, alcool, viande non </w:t>
      </w:r>
      <w:r w:rsidRPr="00544FF9">
        <w:rPr>
          <w:rFonts w:ascii="Times New Roman" w:hAnsi="Times New Roman" w:cs="Times New Roman"/>
          <w:i/>
          <w:iCs/>
          <w:kern w:val="24"/>
          <w:sz w:val="24"/>
          <w:szCs w:val="24"/>
        </w:rPr>
        <w:t>halal</w:t>
      </w:r>
      <w:r w:rsidRPr="00544FF9">
        <w:rPr>
          <w:rFonts w:ascii="Times New Roman" w:hAnsi="Times New Roman" w:cs="Times New Roman"/>
          <w:kern w:val="24"/>
          <w:sz w:val="24"/>
          <w:szCs w:val="24"/>
        </w:rPr>
        <w:t>, armes…)</w:t>
      </w:r>
      <w:r w:rsidR="00270EE0" w:rsidRPr="00544FF9">
        <w:rPr>
          <w:rFonts w:ascii="Times New Roman" w:hAnsi="Times New Roman" w:cs="Times New Roman"/>
          <w:kern w:val="24"/>
          <w:sz w:val="24"/>
          <w:szCs w:val="24"/>
        </w:rPr>
        <w:t> ;</w:t>
      </w:r>
    </w:p>
    <w:p w14:paraId="543DDCFE" w14:textId="77777777" w:rsidR="002760B2" w:rsidRPr="00544FF9" w:rsidRDefault="002760B2" w:rsidP="00CB0FF1">
      <w:pPr>
        <w:pStyle w:val="Paragraphedeliste"/>
        <w:numPr>
          <w:ilvl w:val="0"/>
          <w:numId w:val="2"/>
        </w:numPr>
        <w:tabs>
          <w:tab w:val="left" w:pos="993"/>
          <w:tab w:val="left" w:pos="1134"/>
        </w:tabs>
        <w:spacing w:before="60" w:line="300" w:lineRule="auto"/>
        <w:ind w:left="1135" w:hanging="284"/>
        <w:contextualSpacing w:val="0"/>
        <w:rPr>
          <w:rFonts w:ascii="Times New Roman" w:hAnsi="Times New Roman" w:cs="Times New Roman"/>
          <w:kern w:val="24"/>
          <w:sz w:val="24"/>
          <w:szCs w:val="24"/>
        </w:rPr>
      </w:pPr>
      <w:r w:rsidRPr="00544FF9">
        <w:rPr>
          <w:rFonts w:ascii="Times New Roman" w:hAnsi="Times New Roman" w:cs="Times New Roman"/>
          <w:kern w:val="24"/>
          <w:sz w:val="24"/>
          <w:szCs w:val="24"/>
        </w:rPr>
        <w:t>L’investissement dans les banques commerciales classiques, les sociétés de bourse, les sociétés de leasing, les compagnies d'assurances, puisqu’elles utili</w:t>
      </w:r>
      <w:r w:rsidR="00270EE0" w:rsidRPr="00544FF9">
        <w:rPr>
          <w:rFonts w:ascii="Times New Roman" w:hAnsi="Times New Roman" w:cs="Times New Roman"/>
          <w:kern w:val="24"/>
          <w:sz w:val="24"/>
          <w:szCs w:val="24"/>
        </w:rPr>
        <w:t>sent la pratique de l’intérêt.</w:t>
      </w:r>
    </w:p>
    <w:p w14:paraId="6453E000" w14:textId="77777777" w:rsidR="002760B2" w:rsidRPr="00544FF9" w:rsidRDefault="002760B2" w:rsidP="00544FF9">
      <w:pPr>
        <w:tabs>
          <w:tab w:val="left" w:pos="0"/>
        </w:tabs>
        <w:spacing w:before="120" w:line="300" w:lineRule="auto"/>
        <w:ind w:firstLine="709"/>
        <w:rPr>
          <w:rFonts w:ascii="Times New Roman" w:hAnsi="Times New Roman" w:cs="Times New Roman"/>
          <w:kern w:val="24"/>
          <w:sz w:val="24"/>
          <w:szCs w:val="24"/>
        </w:rPr>
      </w:pPr>
      <w:r w:rsidRPr="00544FF9">
        <w:rPr>
          <w:rFonts w:ascii="Times New Roman" w:hAnsi="Times New Roman" w:cs="Times New Roman"/>
          <w:kern w:val="24"/>
          <w:sz w:val="24"/>
          <w:szCs w:val="24"/>
        </w:rPr>
        <w:t>Donc, avant de s’engager dans un quelconque contrat, le musulman doit s’assurer que l’objet de celui-ci est licite « </w:t>
      </w:r>
      <w:r w:rsidRPr="00544FF9">
        <w:rPr>
          <w:rFonts w:ascii="Times New Roman" w:hAnsi="Times New Roman" w:cs="Times New Roman"/>
          <w:i/>
          <w:iCs/>
          <w:kern w:val="24"/>
          <w:sz w:val="24"/>
          <w:szCs w:val="24"/>
        </w:rPr>
        <w:t>halal</w:t>
      </w:r>
      <w:r w:rsidRPr="00544FF9">
        <w:rPr>
          <w:rFonts w:ascii="Times New Roman" w:hAnsi="Times New Roman" w:cs="Times New Roman"/>
          <w:kern w:val="24"/>
          <w:sz w:val="24"/>
          <w:szCs w:val="24"/>
        </w:rPr>
        <w:t> », et ne s’oppose pas aux impératifs religieux et éthiques.</w:t>
      </w:r>
    </w:p>
    <w:p w14:paraId="00C55724" w14:textId="77777777" w:rsidR="002760B2" w:rsidRPr="00544FF9" w:rsidRDefault="008D1F2C" w:rsidP="00544FF9">
      <w:pPr>
        <w:pStyle w:val="Titre4"/>
        <w:keepNext w:val="0"/>
        <w:spacing w:before="100" w:beforeAutospacing="1" w:after="120" w:line="300" w:lineRule="auto"/>
        <w:ind w:firstLine="709"/>
        <w:rPr>
          <w:kern w:val="24"/>
        </w:rPr>
      </w:pPr>
      <w:bookmarkStart w:id="198" w:name="_Toc33263220"/>
      <w:bookmarkStart w:id="199" w:name="_Toc37664472"/>
      <w:bookmarkStart w:id="200" w:name="_Toc37666317"/>
      <w:bookmarkStart w:id="201" w:name="_Toc54363206"/>
      <w:bookmarkStart w:id="202" w:name="_Toc58606222"/>
      <w:bookmarkStart w:id="203" w:name="_Toc61263427"/>
      <w:bookmarkStart w:id="204" w:name="_Toc182298612"/>
      <w:r w:rsidRPr="00544FF9">
        <w:rPr>
          <w:kern w:val="24"/>
        </w:rPr>
        <w:t xml:space="preserve">1.3.5- </w:t>
      </w:r>
      <w:r w:rsidR="003327A8" w:rsidRPr="00544FF9">
        <w:rPr>
          <w:kern w:val="24"/>
        </w:rPr>
        <w:t>P</w:t>
      </w:r>
      <w:r w:rsidR="002760B2" w:rsidRPr="00544FF9">
        <w:rPr>
          <w:kern w:val="24"/>
        </w:rPr>
        <w:t>rincipe de partage des profits et des pertes (principe des 3P)</w:t>
      </w:r>
      <w:bookmarkEnd w:id="198"/>
      <w:bookmarkEnd w:id="199"/>
      <w:bookmarkEnd w:id="200"/>
      <w:bookmarkEnd w:id="201"/>
      <w:bookmarkEnd w:id="202"/>
      <w:bookmarkEnd w:id="203"/>
      <w:bookmarkEnd w:id="204"/>
    </w:p>
    <w:p w14:paraId="2DACAC36" w14:textId="0D9554A3" w:rsidR="002760B2" w:rsidRPr="00544FF9" w:rsidRDefault="002760B2" w:rsidP="00544FF9">
      <w:pPr>
        <w:tabs>
          <w:tab w:val="left" w:pos="0"/>
        </w:tabs>
        <w:spacing w:before="120" w:line="300" w:lineRule="auto"/>
        <w:ind w:firstLine="709"/>
        <w:rPr>
          <w:rFonts w:ascii="Times New Roman" w:hAnsi="Times New Roman" w:cs="Times New Roman"/>
          <w:kern w:val="24"/>
          <w:sz w:val="24"/>
          <w:szCs w:val="24"/>
        </w:rPr>
      </w:pPr>
      <w:r w:rsidRPr="00544FF9">
        <w:rPr>
          <w:rFonts w:ascii="Times New Roman" w:hAnsi="Times New Roman" w:cs="Times New Roman"/>
          <w:kern w:val="24"/>
          <w:sz w:val="24"/>
          <w:szCs w:val="24"/>
        </w:rPr>
        <w:t xml:space="preserve">La notion de partage des profits et des pertes est fondamentale dans la finance </w:t>
      </w:r>
      <w:r w:rsidR="009E1248" w:rsidRPr="00544FF9">
        <w:rPr>
          <w:rFonts w:ascii="Times New Roman" w:hAnsi="Times New Roman" w:cs="Times New Roman"/>
          <w:kern w:val="24"/>
          <w:sz w:val="24"/>
          <w:szCs w:val="24"/>
        </w:rPr>
        <w:t>i</w:t>
      </w:r>
      <w:r w:rsidR="003773C6" w:rsidRPr="00544FF9">
        <w:rPr>
          <w:rFonts w:ascii="Times New Roman" w:hAnsi="Times New Roman" w:cs="Times New Roman"/>
          <w:kern w:val="24"/>
          <w:sz w:val="24"/>
          <w:szCs w:val="24"/>
        </w:rPr>
        <w:t>slamique</w:t>
      </w:r>
      <w:r w:rsidRPr="00544FF9">
        <w:rPr>
          <w:rFonts w:ascii="Times New Roman" w:hAnsi="Times New Roman" w:cs="Times New Roman"/>
          <w:kern w:val="24"/>
          <w:sz w:val="24"/>
          <w:szCs w:val="24"/>
        </w:rPr>
        <w:t>, car elle est le reflet des valeurs que l’</w:t>
      </w:r>
      <w:r w:rsidR="00F34669" w:rsidRPr="00544FF9">
        <w:rPr>
          <w:rFonts w:ascii="Times New Roman" w:hAnsi="Times New Roman" w:cs="Times New Roman"/>
          <w:kern w:val="24"/>
          <w:sz w:val="24"/>
          <w:szCs w:val="24"/>
        </w:rPr>
        <w:t>Islam</w:t>
      </w:r>
      <w:r w:rsidRPr="00544FF9">
        <w:rPr>
          <w:rFonts w:ascii="Times New Roman" w:hAnsi="Times New Roman" w:cs="Times New Roman"/>
          <w:kern w:val="24"/>
          <w:sz w:val="24"/>
          <w:szCs w:val="24"/>
        </w:rPr>
        <w:t xml:space="preserve"> transmet à ses fidèles, à savoir l’équité et la justice. Selon les règles de la </w:t>
      </w:r>
      <w:r w:rsidR="00A5400B" w:rsidRPr="00544FF9">
        <w:rPr>
          <w:rFonts w:ascii="Times New Roman" w:hAnsi="Times New Roman" w:cs="Times New Roman"/>
          <w:i/>
          <w:kern w:val="24"/>
          <w:sz w:val="24"/>
          <w:szCs w:val="24"/>
        </w:rPr>
        <w:t>Shariah</w:t>
      </w:r>
      <w:r w:rsidRPr="00544FF9">
        <w:rPr>
          <w:rFonts w:ascii="Times New Roman" w:hAnsi="Times New Roman" w:cs="Times New Roman"/>
          <w:kern w:val="24"/>
          <w:sz w:val="24"/>
          <w:szCs w:val="24"/>
        </w:rPr>
        <w:t>, personne ne peut prétendre à aucune rémunération, sans partager les risques liés à l’investissement (</w:t>
      </w:r>
      <w:r w:rsidRPr="00544FF9">
        <w:rPr>
          <w:rFonts w:ascii="Times New Roman" w:hAnsi="Times New Roman" w:cs="Times New Roman"/>
          <w:i/>
          <w:iCs/>
          <w:kern w:val="24"/>
          <w:sz w:val="24"/>
          <w:szCs w:val="24"/>
        </w:rPr>
        <w:t>al-ghounm bi al-ghourm</w:t>
      </w:r>
      <w:r w:rsidRPr="00544FF9">
        <w:rPr>
          <w:rFonts w:ascii="Times New Roman" w:hAnsi="Times New Roman" w:cs="Times New Roman"/>
          <w:kern w:val="24"/>
          <w:sz w:val="24"/>
          <w:szCs w:val="24"/>
        </w:rPr>
        <w:t>). C’est conformément à cette règle qu’a été conçu le processus de partage des profits et des pertes (3P) selon lequel les parties d’une opération financière doivent partager équitablement des gains et des risques entre parties prenantes quel que soit le type de contrat utilisé, de sorte que le bailleur de fond est dans la même position que l’entrepreneur, tant dans le partage des bénéfices générés par le projet que dans la prise de risques.</w:t>
      </w:r>
    </w:p>
    <w:p w14:paraId="54576CEF" w14:textId="77777777" w:rsidR="002760B2" w:rsidRPr="00544FF9" w:rsidRDefault="002760B2" w:rsidP="00544FF9">
      <w:pPr>
        <w:tabs>
          <w:tab w:val="left" w:pos="0"/>
        </w:tabs>
        <w:spacing w:before="120" w:line="300" w:lineRule="auto"/>
        <w:ind w:firstLine="709"/>
        <w:rPr>
          <w:rFonts w:ascii="Times New Roman" w:hAnsi="Times New Roman" w:cs="Times New Roman"/>
          <w:kern w:val="24"/>
          <w:sz w:val="24"/>
          <w:szCs w:val="24"/>
        </w:rPr>
      </w:pPr>
      <w:r w:rsidRPr="00544FF9">
        <w:rPr>
          <w:rFonts w:ascii="Times New Roman" w:hAnsi="Times New Roman" w:cs="Times New Roman"/>
          <w:smallCaps/>
          <w:kern w:val="24"/>
          <w:sz w:val="24"/>
          <w:szCs w:val="24"/>
        </w:rPr>
        <w:t>Khan</w:t>
      </w:r>
      <w:r w:rsidR="00F35311" w:rsidRPr="00544FF9">
        <w:rPr>
          <w:rFonts w:ascii="Times New Roman" w:hAnsi="Times New Roman" w:cs="Times New Roman"/>
          <w:smallCaps/>
          <w:kern w:val="24"/>
          <w:sz w:val="24"/>
          <w:szCs w:val="24"/>
        </w:rPr>
        <w:t xml:space="preserve"> </w:t>
      </w:r>
      <w:r w:rsidRPr="00544FF9">
        <w:rPr>
          <w:rFonts w:ascii="Times New Roman" w:hAnsi="Times New Roman" w:cs="Times New Roman"/>
          <w:kern w:val="24"/>
          <w:sz w:val="24"/>
          <w:szCs w:val="24"/>
        </w:rPr>
        <w:t>(1994) a défini le système basé sur ce principe comme : « </w:t>
      </w:r>
      <w:r w:rsidRPr="00544FF9">
        <w:rPr>
          <w:rFonts w:ascii="Times New Roman" w:hAnsi="Times New Roman" w:cs="Times New Roman"/>
          <w:i/>
          <w:iCs/>
          <w:kern w:val="24"/>
          <w:sz w:val="24"/>
          <w:szCs w:val="24"/>
        </w:rPr>
        <w:t>un mécanisme financier qui lie le capital financier à l’industrie et au commerce sans utiliser un intérêt</w:t>
      </w:r>
      <w:r w:rsidRPr="00544FF9">
        <w:rPr>
          <w:rFonts w:ascii="Times New Roman" w:hAnsi="Times New Roman" w:cs="Times New Roman"/>
          <w:kern w:val="24"/>
          <w:sz w:val="24"/>
          <w:szCs w:val="24"/>
        </w:rPr>
        <w:t> »</w:t>
      </w:r>
      <w:r w:rsidRPr="00544FF9">
        <w:rPr>
          <w:rStyle w:val="Appelnotedebasdep"/>
          <w:rFonts w:ascii="Times New Roman" w:hAnsi="Times New Roman"/>
          <w:kern w:val="24"/>
          <w:sz w:val="24"/>
          <w:szCs w:val="24"/>
        </w:rPr>
        <w:footnoteReference w:id="62"/>
      </w:r>
      <w:r w:rsidRPr="00544FF9">
        <w:rPr>
          <w:rFonts w:ascii="Times New Roman" w:hAnsi="Times New Roman" w:cs="Times New Roman"/>
          <w:kern w:val="24"/>
          <w:sz w:val="24"/>
          <w:szCs w:val="24"/>
        </w:rPr>
        <w:t>.</w:t>
      </w:r>
      <w:r w:rsidR="00315430" w:rsidRPr="00544FF9">
        <w:rPr>
          <w:rFonts w:ascii="Times New Roman" w:hAnsi="Times New Roman" w:cs="Times New Roman"/>
          <w:kern w:val="24"/>
          <w:sz w:val="24"/>
          <w:szCs w:val="24"/>
        </w:rPr>
        <w:t xml:space="preserve"> </w:t>
      </w:r>
      <w:r w:rsidRPr="00544FF9">
        <w:rPr>
          <w:rFonts w:ascii="Times New Roman" w:hAnsi="Times New Roman" w:cs="Times New Roman"/>
          <w:kern w:val="24"/>
          <w:sz w:val="24"/>
          <w:szCs w:val="24"/>
        </w:rPr>
        <w:t xml:space="preserve">Le système économique </w:t>
      </w:r>
      <w:r w:rsidR="00EF4A9A" w:rsidRPr="00544FF9">
        <w:rPr>
          <w:rFonts w:ascii="Times New Roman" w:hAnsi="Times New Roman" w:cs="Times New Roman"/>
          <w:kern w:val="24"/>
          <w:sz w:val="24"/>
          <w:szCs w:val="24"/>
        </w:rPr>
        <w:t>i</w:t>
      </w:r>
      <w:r w:rsidR="003773C6" w:rsidRPr="00544FF9">
        <w:rPr>
          <w:rFonts w:ascii="Times New Roman" w:hAnsi="Times New Roman" w:cs="Times New Roman"/>
          <w:kern w:val="24"/>
          <w:sz w:val="24"/>
          <w:szCs w:val="24"/>
        </w:rPr>
        <w:t>slamique</w:t>
      </w:r>
      <w:r w:rsidRPr="00544FF9">
        <w:rPr>
          <w:rFonts w:ascii="Times New Roman" w:hAnsi="Times New Roman" w:cs="Times New Roman"/>
          <w:kern w:val="24"/>
          <w:sz w:val="24"/>
          <w:szCs w:val="24"/>
        </w:rPr>
        <w:t xml:space="preserve"> ne considère pas l’apporteur des fonds et l’entrepreneur comme deux facteurs séparés de production. Il suppose que chaque personne qui participe dans le capital d’une entreprise qui tente de réaliser un projet doit assumer le risque de perte et il a droit de recevoir une part des profits</w:t>
      </w:r>
      <w:r w:rsidRPr="00544FF9">
        <w:rPr>
          <w:rStyle w:val="Appelnotedebasdep"/>
          <w:rFonts w:ascii="Times New Roman" w:hAnsi="Times New Roman"/>
          <w:kern w:val="24"/>
          <w:sz w:val="24"/>
          <w:szCs w:val="24"/>
        </w:rPr>
        <w:footnoteReference w:id="63"/>
      </w:r>
      <w:r w:rsidRPr="00544FF9">
        <w:rPr>
          <w:rFonts w:ascii="Times New Roman" w:hAnsi="Times New Roman" w:cs="Times New Roman"/>
          <w:kern w:val="24"/>
          <w:sz w:val="24"/>
          <w:szCs w:val="24"/>
        </w:rPr>
        <w:t>. Donc, ce système protège l’entrepreneur, qui doit dans un système capitaliste payer un intérêt fixé même en cas de pertes</w:t>
      </w:r>
      <w:r w:rsidRPr="00544FF9">
        <w:rPr>
          <w:rStyle w:val="Appelnotedebasdep"/>
          <w:rFonts w:ascii="Times New Roman" w:hAnsi="Times New Roman"/>
          <w:kern w:val="24"/>
          <w:sz w:val="24"/>
          <w:szCs w:val="24"/>
        </w:rPr>
        <w:footnoteReference w:id="64"/>
      </w:r>
      <w:r w:rsidRPr="00544FF9">
        <w:rPr>
          <w:rFonts w:ascii="Times New Roman" w:hAnsi="Times New Roman" w:cs="Times New Roman"/>
          <w:kern w:val="24"/>
          <w:sz w:val="24"/>
          <w:szCs w:val="24"/>
        </w:rPr>
        <w:t>.</w:t>
      </w:r>
    </w:p>
    <w:p w14:paraId="38FADF95" w14:textId="77777777" w:rsidR="002760B2" w:rsidRPr="00544FF9" w:rsidRDefault="002760B2" w:rsidP="00544FF9">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544FF9">
        <w:rPr>
          <w:rFonts w:ascii="Times New Roman" w:hAnsi="Times New Roman" w:cs="Times New Roman"/>
          <w:color w:val="000000"/>
          <w:kern w:val="24"/>
          <w:sz w:val="24"/>
          <w:szCs w:val="24"/>
        </w:rPr>
        <w:t xml:space="preserve">Le paradigme de partage des profits et des pertes est primordial dans l’intermédiation bancaire </w:t>
      </w:r>
      <w:r w:rsidR="00EF4A9A" w:rsidRPr="00544FF9">
        <w:rPr>
          <w:rFonts w:ascii="Times New Roman" w:hAnsi="Times New Roman" w:cs="Times New Roman"/>
          <w:color w:val="000000"/>
          <w:kern w:val="24"/>
          <w:sz w:val="24"/>
          <w:szCs w:val="24"/>
        </w:rPr>
        <w:t>i</w:t>
      </w:r>
      <w:r w:rsidR="003773C6" w:rsidRPr="00544FF9">
        <w:rPr>
          <w:rFonts w:ascii="Times New Roman" w:hAnsi="Times New Roman" w:cs="Times New Roman"/>
          <w:color w:val="000000"/>
          <w:kern w:val="24"/>
          <w:sz w:val="24"/>
          <w:szCs w:val="24"/>
        </w:rPr>
        <w:t>slamique</w:t>
      </w:r>
      <w:r w:rsidRPr="00544FF9">
        <w:rPr>
          <w:rFonts w:ascii="Times New Roman" w:hAnsi="Times New Roman" w:cs="Times New Roman"/>
          <w:color w:val="000000"/>
          <w:kern w:val="24"/>
          <w:sz w:val="24"/>
          <w:szCs w:val="24"/>
        </w:rPr>
        <w:t xml:space="preserve"> où il intervient au niveau du passif et des emplois bancaires. Ces deux derniers </w:t>
      </w:r>
      <w:r w:rsidRPr="00544FF9">
        <w:rPr>
          <w:rFonts w:ascii="Times New Roman" w:hAnsi="Times New Roman" w:cs="Times New Roman"/>
          <w:kern w:val="24"/>
          <w:sz w:val="24"/>
          <w:szCs w:val="24"/>
        </w:rPr>
        <w:t xml:space="preserve">sont intégrés dans le sens où les entrepreneurs partagent les bénéfices et les </w:t>
      </w:r>
      <w:r w:rsidR="00F35311" w:rsidRPr="00544FF9">
        <w:rPr>
          <w:rFonts w:ascii="Times New Roman" w:hAnsi="Times New Roman" w:cs="Times New Roman"/>
          <w:kern w:val="24"/>
          <w:sz w:val="24"/>
          <w:szCs w:val="24"/>
        </w:rPr>
        <w:t xml:space="preserve">pertes avec la banque </w:t>
      </w:r>
      <w:r w:rsidR="00B0520D" w:rsidRPr="00544FF9">
        <w:rPr>
          <w:rFonts w:ascii="Times New Roman" w:hAnsi="Times New Roman" w:cs="Times New Roman"/>
          <w:kern w:val="24"/>
          <w:sz w:val="24"/>
          <w:szCs w:val="24"/>
        </w:rPr>
        <w:t>i</w:t>
      </w:r>
      <w:r w:rsidR="003773C6" w:rsidRPr="00544FF9">
        <w:rPr>
          <w:rFonts w:ascii="Times New Roman" w:hAnsi="Times New Roman" w:cs="Times New Roman"/>
          <w:kern w:val="24"/>
          <w:sz w:val="24"/>
          <w:szCs w:val="24"/>
        </w:rPr>
        <w:t>slamique</w:t>
      </w:r>
      <w:r w:rsidRPr="00544FF9">
        <w:rPr>
          <w:rFonts w:ascii="Times New Roman" w:hAnsi="Times New Roman" w:cs="Times New Roman"/>
          <w:kern w:val="24"/>
          <w:sz w:val="24"/>
          <w:szCs w:val="24"/>
        </w:rPr>
        <w:t xml:space="preserve"> qui</w:t>
      </w:r>
      <w:r w:rsidR="00F35311" w:rsidRPr="00544FF9">
        <w:rPr>
          <w:rFonts w:ascii="Times New Roman" w:hAnsi="Times New Roman" w:cs="Times New Roman"/>
          <w:kern w:val="24"/>
          <w:sz w:val="24"/>
          <w:szCs w:val="24"/>
        </w:rPr>
        <w:t>,</w:t>
      </w:r>
      <w:r w:rsidRPr="00544FF9">
        <w:rPr>
          <w:rFonts w:ascii="Times New Roman" w:hAnsi="Times New Roman" w:cs="Times New Roman"/>
          <w:kern w:val="24"/>
          <w:sz w:val="24"/>
          <w:szCs w:val="24"/>
        </w:rPr>
        <w:t xml:space="preserve"> à son tour</w:t>
      </w:r>
      <w:r w:rsidR="00F35311" w:rsidRPr="00544FF9">
        <w:rPr>
          <w:rFonts w:ascii="Times New Roman" w:hAnsi="Times New Roman" w:cs="Times New Roman"/>
          <w:kern w:val="24"/>
          <w:sz w:val="24"/>
          <w:szCs w:val="24"/>
        </w:rPr>
        <w:t>,</w:t>
      </w:r>
      <w:r w:rsidRPr="00544FF9">
        <w:rPr>
          <w:rFonts w:ascii="Times New Roman" w:hAnsi="Times New Roman" w:cs="Times New Roman"/>
          <w:kern w:val="24"/>
          <w:sz w:val="24"/>
          <w:szCs w:val="24"/>
        </w:rPr>
        <w:t xml:space="preserve"> partage les bénéfices et les pertes avec les déposants</w:t>
      </w:r>
      <w:r w:rsidRPr="00544FF9">
        <w:rPr>
          <w:rStyle w:val="Appelnotedebasdep"/>
          <w:rFonts w:ascii="Times New Roman" w:hAnsi="Times New Roman"/>
          <w:kern w:val="24"/>
          <w:sz w:val="24"/>
          <w:szCs w:val="24"/>
        </w:rPr>
        <w:footnoteReference w:id="65"/>
      </w:r>
      <w:r w:rsidRPr="00544FF9">
        <w:rPr>
          <w:rFonts w:ascii="Times New Roman" w:hAnsi="Times New Roman" w:cs="Times New Roman"/>
          <w:kern w:val="24"/>
          <w:sz w:val="24"/>
          <w:szCs w:val="24"/>
        </w:rPr>
        <w:t>.</w:t>
      </w:r>
    </w:p>
    <w:p w14:paraId="0B6035B1" w14:textId="000AAE59" w:rsidR="002760B2" w:rsidRPr="00544FF9" w:rsidRDefault="002760B2" w:rsidP="00544FF9">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544FF9">
        <w:rPr>
          <w:rFonts w:ascii="Times New Roman" w:hAnsi="Times New Roman" w:cs="Times New Roman"/>
          <w:kern w:val="24"/>
          <w:sz w:val="24"/>
          <w:szCs w:val="24"/>
        </w:rPr>
        <w:t xml:space="preserve">Dans cette structure, la banque </w:t>
      </w:r>
      <w:r w:rsidR="00EF4A9A" w:rsidRPr="00544FF9">
        <w:rPr>
          <w:rFonts w:ascii="Times New Roman" w:hAnsi="Times New Roman" w:cs="Times New Roman"/>
          <w:kern w:val="24"/>
          <w:sz w:val="24"/>
          <w:szCs w:val="24"/>
        </w:rPr>
        <w:t>i</w:t>
      </w:r>
      <w:r w:rsidR="003773C6" w:rsidRPr="00544FF9">
        <w:rPr>
          <w:rFonts w:ascii="Times New Roman" w:hAnsi="Times New Roman" w:cs="Times New Roman"/>
          <w:kern w:val="24"/>
          <w:sz w:val="24"/>
          <w:szCs w:val="24"/>
        </w:rPr>
        <w:t>slamique</w:t>
      </w:r>
      <w:r w:rsidRPr="00544FF9">
        <w:rPr>
          <w:rFonts w:ascii="Times New Roman" w:hAnsi="Times New Roman" w:cs="Times New Roman"/>
          <w:kern w:val="24"/>
          <w:sz w:val="24"/>
          <w:szCs w:val="24"/>
        </w:rPr>
        <w:t xml:space="preserve"> peut jouer simultanément le rôle d’investisseur et d’entrepreneur. Du côté du passif, en tant que </w:t>
      </w:r>
      <w:r w:rsidR="004A4E16" w:rsidRPr="00544FF9">
        <w:rPr>
          <w:rFonts w:ascii="Times New Roman" w:hAnsi="Times New Roman" w:cs="Times New Roman"/>
          <w:i/>
          <w:iCs/>
          <w:kern w:val="24"/>
          <w:sz w:val="24"/>
          <w:szCs w:val="24"/>
        </w:rPr>
        <w:t>moudarib</w:t>
      </w:r>
      <w:r w:rsidRPr="00544FF9">
        <w:rPr>
          <w:rFonts w:ascii="Times New Roman" w:hAnsi="Times New Roman" w:cs="Times New Roman"/>
          <w:kern w:val="24"/>
          <w:sz w:val="24"/>
          <w:szCs w:val="24"/>
        </w:rPr>
        <w:t xml:space="preserve">, elle gère des dépôts qui lui sont confiés par ses clients. Du côté de l’actif, en tant que </w:t>
      </w:r>
      <w:r w:rsidRPr="00544FF9">
        <w:rPr>
          <w:rFonts w:ascii="Times New Roman" w:hAnsi="Times New Roman" w:cs="Times New Roman"/>
          <w:i/>
          <w:iCs/>
          <w:kern w:val="24"/>
          <w:sz w:val="24"/>
          <w:szCs w:val="24"/>
        </w:rPr>
        <w:t>rab al mal</w:t>
      </w:r>
      <w:r w:rsidRPr="00544FF9">
        <w:rPr>
          <w:rFonts w:ascii="Times New Roman" w:hAnsi="Times New Roman" w:cs="Times New Roman"/>
          <w:kern w:val="24"/>
          <w:sz w:val="24"/>
          <w:szCs w:val="24"/>
        </w:rPr>
        <w:t xml:space="preserve">, elle met les fonds ainsi collectés </w:t>
      </w:r>
      <w:r w:rsidRPr="00544FF9">
        <w:rPr>
          <w:rFonts w:ascii="Times New Roman" w:hAnsi="Times New Roman" w:cs="Times New Roman"/>
          <w:kern w:val="24"/>
          <w:sz w:val="24"/>
          <w:szCs w:val="24"/>
        </w:rPr>
        <w:lastRenderedPageBreak/>
        <w:t>à la disposition d’autres investisseurs</w:t>
      </w:r>
      <w:r w:rsidRPr="00544FF9">
        <w:rPr>
          <w:rStyle w:val="Appelnotedebasdep"/>
          <w:rFonts w:ascii="Times New Roman" w:hAnsi="Times New Roman"/>
          <w:kern w:val="24"/>
          <w:sz w:val="24"/>
          <w:szCs w:val="24"/>
        </w:rPr>
        <w:footnoteReference w:id="66"/>
      </w:r>
      <w:r w:rsidRPr="00544FF9">
        <w:rPr>
          <w:rFonts w:ascii="Times New Roman" w:hAnsi="Times New Roman" w:cs="Times New Roman"/>
          <w:kern w:val="24"/>
          <w:sz w:val="24"/>
          <w:szCs w:val="24"/>
        </w:rPr>
        <w:t>. De mê</w:t>
      </w:r>
      <w:r w:rsidR="008435D5" w:rsidRPr="00544FF9">
        <w:rPr>
          <w:rFonts w:ascii="Times New Roman" w:hAnsi="Times New Roman" w:cs="Times New Roman"/>
          <w:kern w:val="24"/>
          <w:sz w:val="24"/>
          <w:szCs w:val="24"/>
        </w:rPr>
        <w:t>me, le principe de 3P permet à la banque</w:t>
      </w:r>
      <w:r w:rsidRPr="00544FF9">
        <w:rPr>
          <w:rFonts w:ascii="Times New Roman" w:hAnsi="Times New Roman" w:cs="Times New Roman"/>
          <w:kern w:val="24"/>
          <w:sz w:val="24"/>
          <w:szCs w:val="24"/>
        </w:rPr>
        <w:t xml:space="preserve"> </w:t>
      </w:r>
      <w:r w:rsidR="00EF4A9A" w:rsidRPr="00544FF9">
        <w:rPr>
          <w:rFonts w:ascii="Times New Roman" w:hAnsi="Times New Roman" w:cs="Times New Roman"/>
          <w:kern w:val="24"/>
          <w:sz w:val="24"/>
          <w:szCs w:val="24"/>
        </w:rPr>
        <w:t>i</w:t>
      </w:r>
      <w:r w:rsidR="003773C6" w:rsidRPr="00544FF9">
        <w:rPr>
          <w:rFonts w:ascii="Times New Roman" w:hAnsi="Times New Roman" w:cs="Times New Roman"/>
          <w:kern w:val="24"/>
          <w:sz w:val="24"/>
          <w:szCs w:val="24"/>
        </w:rPr>
        <w:t>slamique</w:t>
      </w:r>
      <w:r w:rsidRPr="00544FF9">
        <w:rPr>
          <w:rFonts w:ascii="Times New Roman" w:hAnsi="Times New Roman" w:cs="Times New Roman"/>
          <w:kern w:val="24"/>
          <w:sz w:val="24"/>
          <w:szCs w:val="24"/>
        </w:rPr>
        <w:t xml:space="preserve"> de financer à long terme des projets avec des profils risque-rendement plus élevés et donc de promouvoir la croissance économique</w:t>
      </w:r>
      <w:r w:rsidRPr="00544FF9">
        <w:rPr>
          <w:rStyle w:val="Appelnotedebasdep"/>
          <w:rFonts w:ascii="Times New Roman" w:hAnsi="Times New Roman"/>
          <w:kern w:val="24"/>
          <w:sz w:val="24"/>
          <w:szCs w:val="24"/>
        </w:rPr>
        <w:footnoteReference w:id="67"/>
      </w:r>
      <w:r w:rsidRPr="00544FF9">
        <w:rPr>
          <w:rFonts w:ascii="Times New Roman" w:hAnsi="Times New Roman" w:cs="Times New Roman"/>
          <w:kern w:val="24"/>
          <w:sz w:val="24"/>
          <w:szCs w:val="24"/>
        </w:rPr>
        <w:t>.</w:t>
      </w:r>
    </w:p>
    <w:p w14:paraId="04F8839F" w14:textId="77777777" w:rsidR="002760B2" w:rsidRPr="00544FF9" w:rsidRDefault="002760B2" w:rsidP="00544FF9">
      <w:pPr>
        <w:tabs>
          <w:tab w:val="left" w:pos="0"/>
        </w:tabs>
        <w:autoSpaceDE w:val="0"/>
        <w:autoSpaceDN w:val="0"/>
        <w:adjustRightInd w:val="0"/>
        <w:spacing w:before="120" w:line="300" w:lineRule="auto"/>
        <w:ind w:firstLine="709"/>
        <w:rPr>
          <w:rFonts w:ascii="Times New Roman" w:hAnsi="Times New Roman" w:cs="Times New Roman"/>
          <w:color w:val="000000"/>
          <w:kern w:val="24"/>
          <w:sz w:val="24"/>
          <w:szCs w:val="24"/>
        </w:rPr>
      </w:pPr>
      <w:r w:rsidRPr="00544FF9">
        <w:rPr>
          <w:rFonts w:ascii="Times New Roman" w:hAnsi="Times New Roman" w:cs="Times New Roman"/>
          <w:color w:val="000000"/>
          <w:kern w:val="24"/>
          <w:sz w:val="24"/>
          <w:szCs w:val="24"/>
        </w:rPr>
        <w:t xml:space="preserve">Selon </w:t>
      </w:r>
      <w:r w:rsidRPr="00544FF9">
        <w:rPr>
          <w:rFonts w:ascii="Times New Roman" w:hAnsi="Times New Roman" w:cs="Times New Roman"/>
          <w:smallCaps/>
          <w:color w:val="000000"/>
          <w:kern w:val="24"/>
          <w:sz w:val="24"/>
          <w:szCs w:val="24"/>
        </w:rPr>
        <w:t>Al-Jarhi</w:t>
      </w:r>
      <w:r w:rsidRPr="00544FF9">
        <w:rPr>
          <w:rFonts w:ascii="Times New Roman" w:hAnsi="Times New Roman" w:cs="Times New Roman"/>
          <w:color w:val="000000"/>
          <w:kern w:val="24"/>
          <w:sz w:val="24"/>
          <w:szCs w:val="24"/>
        </w:rPr>
        <w:t xml:space="preserve"> et </w:t>
      </w:r>
      <w:r w:rsidRPr="00544FF9">
        <w:rPr>
          <w:rFonts w:ascii="Times New Roman" w:hAnsi="Times New Roman" w:cs="Times New Roman"/>
          <w:smallCaps/>
          <w:color w:val="000000"/>
          <w:kern w:val="24"/>
          <w:sz w:val="24"/>
          <w:szCs w:val="24"/>
        </w:rPr>
        <w:t>Iqbal</w:t>
      </w:r>
      <w:r w:rsidRPr="00544FF9">
        <w:rPr>
          <w:rFonts w:ascii="Times New Roman" w:hAnsi="Times New Roman" w:cs="Times New Roman"/>
          <w:color w:val="000000"/>
          <w:kern w:val="24"/>
          <w:sz w:val="24"/>
          <w:szCs w:val="24"/>
        </w:rPr>
        <w:t xml:space="preserve"> (2002), l’utilisation des contrats de partage des pertes et des profits apporte plusieurs avantages</w:t>
      </w:r>
      <w:r w:rsidRPr="00544FF9">
        <w:rPr>
          <w:rStyle w:val="Appelnotedebasdep"/>
          <w:rFonts w:ascii="Times New Roman" w:hAnsi="Times New Roman"/>
          <w:color w:val="000000"/>
          <w:kern w:val="24"/>
          <w:sz w:val="24"/>
          <w:szCs w:val="24"/>
        </w:rPr>
        <w:footnoteReference w:id="68"/>
      </w:r>
      <w:r w:rsidR="00993878" w:rsidRPr="00544FF9">
        <w:rPr>
          <w:rFonts w:ascii="Times New Roman" w:hAnsi="Times New Roman" w:cs="Times New Roman"/>
          <w:color w:val="000000"/>
          <w:kern w:val="24"/>
          <w:sz w:val="24"/>
          <w:szCs w:val="24"/>
        </w:rPr>
        <w:t> :</w:t>
      </w:r>
    </w:p>
    <w:p w14:paraId="4CDE26B4" w14:textId="5D895486" w:rsidR="002760B2" w:rsidRPr="00544FF9" w:rsidRDefault="002760B2" w:rsidP="00CB0FF1">
      <w:pPr>
        <w:pStyle w:val="Paragraphedeliste"/>
        <w:numPr>
          <w:ilvl w:val="0"/>
          <w:numId w:val="32"/>
        </w:numPr>
        <w:tabs>
          <w:tab w:val="left" w:pos="1134"/>
        </w:tabs>
        <w:spacing w:before="120" w:line="300" w:lineRule="auto"/>
        <w:ind w:left="1135" w:hanging="284"/>
        <w:contextualSpacing w:val="0"/>
        <w:rPr>
          <w:rFonts w:ascii="Times New Roman" w:hAnsi="Times New Roman" w:cs="Times New Roman"/>
          <w:kern w:val="24"/>
          <w:sz w:val="24"/>
          <w:szCs w:val="24"/>
        </w:rPr>
      </w:pPr>
      <w:r w:rsidRPr="00544FF9">
        <w:rPr>
          <w:rFonts w:ascii="Times New Roman" w:hAnsi="Times New Roman" w:cs="Times New Roman"/>
          <w:color w:val="000000"/>
          <w:kern w:val="24"/>
          <w:sz w:val="24"/>
          <w:szCs w:val="24"/>
        </w:rPr>
        <w:t xml:space="preserve">Un système basé sur la participation aux bénéfices est plus stable qu’un système basé sur le calcul d’un intérêt fixe sur le capital. Dans le système bancaire </w:t>
      </w:r>
      <w:r w:rsidR="00544FF9">
        <w:rPr>
          <w:rFonts w:ascii="Times New Roman" w:hAnsi="Times New Roman" w:cs="Times New Roman"/>
          <w:color w:val="000000"/>
          <w:kern w:val="24"/>
          <w:sz w:val="24"/>
          <w:szCs w:val="24"/>
        </w:rPr>
        <w:t>i</w:t>
      </w:r>
      <w:r w:rsidR="003773C6" w:rsidRPr="00544FF9">
        <w:rPr>
          <w:rFonts w:ascii="Times New Roman" w:hAnsi="Times New Roman" w:cs="Times New Roman"/>
          <w:color w:val="000000"/>
          <w:kern w:val="24"/>
          <w:sz w:val="24"/>
          <w:szCs w:val="24"/>
        </w:rPr>
        <w:t>slamique</w:t>
      </w:r>
      <w:r w:rsidRPr="00544FF9">
        <w:rPr>
          <w:rFonts w:ascii="Times New Roman" w:hAnsi="Times New Roman" w:cs="Times New Roman"/>
          <w:color w:val="000000"/>
          <w:kern w:val="24"/>
          <w:sz w:val="24"/>
          <w:szCs w:val="24"/>
        </w:rPr>
        <w:t>, les revenus payés sur les obligations de la banque dépendent directement du résultat global de son portefeuille d’investissement. Alors que la banque conventionnelle est obligée de payer un montant fixe sur les comptes de dépôts, indépendamment de leur destination, même si les condit</w:t>
      </w:r>
      <w:r w:rsidR="0050546A" w:rsidRPr="00544FF9">
        <w:rPr>
          <w:rFonts w:ascii="Times New Roman" w:hAnsi="Times New Roman" w:cs="Times New Roman"/>
          <w:color w:val="000000"/>
          <w:kern w:val="24"/>
          <w:sz w:val="24"/>
          <w:szCs w:val="24"/>
        </w:rPr>
        <w:t>ions économiques se détériorent ;</w:t>
      </w:r>
    </w:p>
    <w:p w14:paraId="017FAD39" w14:textId="77777777" w:rsidR="002760B2" w:rsidRPr="00544FF9" w:rsidRDefault="002760B2" w:rsidP="00CB0FF1">
      <w:pPr>
        <w:pStyle w:val="Paragraphedeliste"/>
        <w:numPr>
          <w:ilvl w:val="0"/>
          <w:numId w:val="32"/>
        </w:numPr>
        <w:tabs>
          <w:tab w:val="left" w:pos="1134"/>
        </w:tabs>
        <w:autoSpaceDE w:val="0"/>
        <w:autoSpaceDN w:val="0"/>
        <w:adjustRightInd w:val="0"/>
        <w:spacing w:before="120" w:line="300" w:lineRule="auto"/>
        <w:ind w:left="1135" w:hanging="284"/>
        <w:contextualSpacing w:val="0"/>
        <w:rPr>
          <w:rFonts w:ascii="Times New Roman" w:hAnsi="Times New Roman" w:cs="Times New Roman"/>
          <w:color w:val="000000"/>
          <w:kern w:val="24"/>
          <w:sz w:val="24"/>
          <w:szCs w:val="24"/>
        </w:rPr>
      </w:pPr>
      <w:r w:rsidRPr="00544FF9">
        <w:rPr>
          <w:rFonts w:ascii="Times New Roman" w:hAnsi="Times New Roman" w:cs="Times New Roman"/>
          <w:color w:val="000000"/>
          <w:kern w:val="24"/>
          <w:sz w:val="24"/>
          <w:szCs w:val="24"/>
        </w:rPr>
        <w:t>L’affectation des ressources financières sur la base du principe de partage des pertes et des profits donne plus d’importance à la rentabilité des projets, alors que celle basée sur l’intérêt ne s’intéresse qu’à la solvabilité des débiteurs. On peut donc s’attendre à ce qu’une affectation faite sur la base de la rentabilité soit beaucoup plus efficace que celle qui se</w:t>
      </w:r>
      <w:r w:rsidR="0050546A" w:rsidRPr="00544FF9">
        <w:rPr>
          <w:rFonts w:ascii="Times New Roman" w:hAnsi="Times New Roman" w:cs="Times New Roman"/>
          <w:color w:val="000000"/>
          <w:kern w:val="24"/>
          <w:sz w:val="24"/>
          <w:szCs w:val="24"/>
        </w:rPr>
        <w:t xml:space="preserve"> fait sur la base de l’intérêt ;</w:t>
      </w:r>
    </w:p>
    <w:p w14:paraId="1A25116A" w14:textId="78B6217F" w:rsidR="002760B2" w:rsidRPr="00544FF9" w:rsidRDefault="002760B2" w:rsidP="00CB0FF1">
      <w:pPr>
        <w:pStyle w:val="Paragraphedeliste"/>
        <w:numPr>
          <w:ilvl w:val="0"/>
          <w:numId w:val="32"/>
        </w:numPr>
        <w:tabs>
          <w:tab w:val="left" w:pos="1134"/>
        </w:tabs>
        <w:autoSpaceDE w:val="0"/>
        <w:autoSpaceDN w:val="0"/>
        <w:adjustRightInd w:val="0"/>
        <w:spacing w:before="120" w:line="300" w:lineRule="auto"/>
        <w:ind w:left="1135" w:hanging="284"/>
        <w:contextualSpacing w:val="0"/>
        <w:rPr>
          <w:rFonts w:ascii="Times New Roman" w:hAnsi="Times New Roman" w:cs="Times New Roman"/>
          <w:color w:val="000000"/>
          <w:kern w:val="24"/>
          <w:sz w:val="24"/>
          <w:szCs w:val="24"/>
        </w:rPr>
      </w:pPr>
      <w:r w:rsidRPr="00544FF9">
        <w:rPr>
          <w:rFonts w:ascii="Times New Roman" w:hAnsi="Times New Roman" w:cs="Times New Roman"/>
          <w:color w:val="000000"/>
          <w:kern w:val="24"/>
          <w:sz w:val="24"/>
          <w:szCs w:val="24"/>
        </w:rPr>
        <w:t>La richesse est créée en fonction des opportunités d’investissement au niveau du secteur réel de l’économie</w:t>
      </w:r>
      <w:r w:rsidR="00544FF9">
        <w:rPr>
          <w:rFonts w:ascii="Times New Roman" w:hAnsi="Times New Roman" w:cs="Times New Roman"/>
          <w:color w:val="000000"/>
          <w:kern w:val="24"/>
          <w:sz w:val="24"/>
          <w:szCs w:val="24"/>
        </w:rPr>
        <w:t> ;</w:t>
      </w:r>
      <w:r w:rsidRPr="00544FF9">
        <w:rPr>
          <w:rFonts w:ascii="Times New Roman" w:hAnsi="Times New Roman" w:cs="Times New Roman"/>
          <w:color w:val="000000"/>
          <w:kern w:val="24"/>
          <w:sz w:val="24"/>
          <w:szCs w:val="24"/>
        </w:rPr>
        <w:t xml:space="preserve"> les facteurs réels liés à la production des biens et des services (en contraste avec les facteurs financiers) deviennent les principaux éléments de formation des taux de</w:t>
      </w:r>
      <w:r w:rsidR="0050546A" w:rsidRPr="00544FF9">
        <w:rPr>
          <w:rFonts w:ascii="Times New Roman" w:hAnsi="Times New Roman" w:cs="Times New Roman"/>
          <w:color w:val="000000"/>
          <w:kern w:val="24"/>
          <w:sz w:val="24"/>
          <w:szCs w:val="24"/>
        </w:rPr>
        <w:t xml:space="preserve"> rendement du secteur financier ;</w:t>
      </w:r>
    </w:p>
    <w:p w14:paraId="1B19E1B5" w14:textId="77777777" w:rsidR="00FC6615" w:rsidRPr="00544FF9" w:rsidRDefault="002760B2" w:rsidP="00CB0FF1">
      <w:pPr>
        <w:pStyle w:val="Paragraphedeliste"/>
        <w:numPr>
          <w:ilvl w:val="0"/>
          <w:numId w:val="32"/>
        </w:numPr>
        <w:tabs>
          <w:tab w:val="left" w:pos="1134"/>
        </w:tabs>
        <w:autoSpaceDE w:val="0"/>
        <w:autoSpaceDN w:val="0"/>
        <w:adjustRightInd w:val="0"/>
        <w:spacing w:before="120" w:line="300" w:lineRule="auto"/>
        <w:ind w:left="1135" w:hanging="284"/>
        <w:contextualSpacing w:val="0"/>
        <w:rPr>
          <w:rFonts w:ascii="Times New Roman" w:hAnsi="Times New Roman" w:cs="Times New Roman"/>
          <w:color w:val="000000"/>
          <w:kern w:val="24"/>
          <w:sz w:val="24"/>
          <w:szCs w:val="24"/>
        </w:rPr>
      </w:pPr>
      <w:r w:rsidRPr="00544FF9">
        <w:rPr>
          <w:rFonts w:ascii="Times New Roman" w:hAnsi="Times New Roman" w:cs="Times New Roman"/>
          <w:color w:val="000000"/>
          <w:kern w:val="24"/>
          <w:sz w:val="24"/>
          <w:szCs w:val="24"/>
        </w:rPr>
        <w:t>La transformation du système de l’intérêt en un système basé sur le principe solidaire des pertes et des profits aide à la réalisation des objectifs de la croissance économique car il aboutit à une augmentation d</w:t>
      </w:r>
      <w:r w:rsidR="00993878" w:rsidRPr="00544FF9">
        <w:rPr>
          <w:rFonts w:ascii="Times New Roman" w:hAnsi="Times New Roman" w:cs="Times New Roman"/>
          <w:color w:val="000000"/>
          <w:kern w:val="24"/>
          <w:sz w:val="24"/>
          <w:szCs w:val="24"/>
        </w:rPr>
        <w:t>e l’offre de capitaux à risque ;</w:t>
      </w:r>
      <w:r w:rsidRPr="00544FF9">
        <w:rPr>
          <w:rFonts w:ascii="Times New Roman" w:hAnsi="Times New Roman" w:cs="Times New Roman"/>
          <w:color w:val="000000"/>
          <w:kern w:val="24"/>
          <w:sz w:val="24"/>
          <w:szCs w:val="24"/>
        </w:rPr>
        <w:t xml:space="preserve"> cela encourage donc les entrepreneurs à investir dans le domaine de la production du fait que les bailleurs de fonds prennent leur part de risque.</w:t>
      </w:r>
    </w:p>
    <w:p w14:paraId="4AF4A5B2" w14:textId="57C0C4F3" w:rsidR="002760B2" w:rsidRPr="002B005F" w:rsidRDefault="00697CCF" w:rsidP="00544FF9">
      <w:pPr>
        <w:pStyle w:val="Lgende"/>
        <w:keepNext/>
        <w:tabs>
          <w:tab w:val="left" w:pos="0"/>
        </w:tabs>
        <w:spacing w:before="100" w:beforeAutospacing="1" w:after="120" w:line="300" w:lineRule="auto"/>
        <w:jc w:val="center"/>
        <w:rPr>
          <w:rFonts w:ascii="Times New Roman" w:hAnsi="Times New Roman" w:cs="Times New Roman"/>
          <w:color w:val="auto"/>
          <w:sz w:val="24"/>
          <w:szCs w:val="24"/>
        </w:rPr>
      </w:pPr>
      <w:bookmarkStart w:id="205" w:name="_Toc115556069"/>
      <w:r w:rsidRPr="002B005F">
        <w:rPr>
          <w:rFonts w:ascii="Times New Roman" w:hAnsi="Times New Roman" w:cs="Times New Roman"/>
          <w:color w:val="auto"/>
          <w:sz w:val="24"/>
          <w:szCs w:val="24"/>
        </w:rPr>
        <w:lastRenderedPageBreak/>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1</w:t>
      </w:r>
      <w:r w:rsidR="00B544E5" w:rsidRPr="002B005F">
        <w:rPr>
          <w:rFonts w:ascii="Times New Roman" w:hAnsi="Times New Roman" w:cs="Times New Roman"/>
          <w:color w:val="auto"/>
          <w:sz w:val="24"/>
          <w:szCs w:val="24"/>
        </w:rPr>
        <w:fldChar w:fldCharType="end"/>
      </w:r>
      <w:r w:rsidR="00993878"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Différence entre rémunération basée sur le profit et sur l’intérêt</w:t>
      </w:r>
      <w:bookmarkEnd w:id="205"/>
    </w:p>
    <w:tbl>
      <w:tblPr>
        <w:tblStyle w:val="Grilledutableau"/>
        <w:tblW w:w="9072" w:type="dxa"/>
        <w:jc w:val="center"/>
        <w:tblLayout w:type="fixed"/>
        <w:tblCellMar>
          <w:top w:w="28" w:type="dxa"/>
          <w:left w:w="57" w:type="dxa"/>
          <w:bottom w:w="28" w:type="dxa"/>
          <w:right w:w="57" w:type="dxa"/>
        </w:tblCellMar>
        <w:tblLook w:val="05A0" w:firstRow="1" w:lastRow="0" w:firstColumn="1" w:lastColumn="1" w:noHBand="0" w:noVBand="1"/>
      </w:tblPr>
      <w:tblGrid>
        <w:gridCol w:w="1604"/>
        <w:gridCol w:w="3734"/>
        <w:gridCol w:w="3734"/>
      </w:tblGrid>
      <w:tr w:rsidR="002760B2" w:rsidRPr="002B005F" w14:paraId="070A081B" w14:textId="77777777" w:rsidTr="0070339E">
        <w:trPr>
          <w:trHeight w:val="454"/>
          <w:jc w:val="center"/>
        </w:trPr>
        <w:tc>
          <w:tcPr>
            <w:tcW w:w="1701" w:type="dxa"/>
          </w:tcPr>
          <w:p w14:paraId="2685840E" w14:textId="77777777" w:rsidR="002760B2" w:rsidRPr="002B005F" w:rsidRDefault="002760B2" w:rsidP="00F35311">
            <w:pPr>
              <w:keepNext/>
              <w:tabs>
                <w:tab w:val="left" w:pos="0"/>
              </w:tabs>
              <w:jc w:val="left"/>
              <w:rPr>
                <w:rFonts w:ascii="Times New Roman" w:hAnsi="Times New Roman" w:cs="Times New Roman"/>
                <w:sz w:val="24"/>
                <w:szCs w:val="24"/>
              </w:rPr>
            </w:pPr>
          </w:p>
        </w:tc>
        <w:tc>
          <w:tcPr>
            <w:tcW w:w="3969" w:type="dxa"/>
            <w:tcBorders>
              <w:bottom w:val="single" w:sz="4" w:space="0" w:color="000000" w:themeColor="text1"/>
            </w:tcBorders>
            <w:vAlign w:val="center"/>
          </w:tcPr>
          <w:p w14:paraId="6B27DBE8" w14:textId="77777777" w:rsidR="002760B2" w:rsidRPr="002B005F" w:rsidRDefault="002760B2" w:rsidP="00F35311">
            <w:pPr>
              <w:keepNext/>
              <w:tabs>
                <w:tab w:val="left" w:pos="0"/>
              </w:tabs>
              <w:jc w:val="center"/>
              <w:rPr>
                <w:rFonts w:ascii="Times New Roman" w:hAnsi="Times New Roman" w:cs="Times New Roman"/>
                <w:b/>
                <w:i/>
                <w:sz w:val="24"/>
                <w:szCs w:val="24"/>
              </w:rPr>
            </w:pPr>
            <w:r w:rsidRPr="002B005F">
              <w:rPr>
                <w:rFonts w:ascii="Times New Roman" w:hAnsi="Times New Roman" w:cs="Times New Roman"/>
                <w:b/>
                <w:i/>
                <w:sz w:val="24"/>
                <w:szCs w:val="24"/>
              </w:rPr>
              <w:t>Intérêt</w:t>
            </w:r>
          </w:p>
        </w:tc>
        <w:tc>
          <w:tcPr>
            <w:tcW w:w="3969" w:type="dxa"/>
            <w:vAlign w:val="center"/>
          </w:tcPr>
          <w:p w14:paraId="732C56C7" w14:textId="77777777" w:rsidR="002760B2" w:rsidRPr="002B005F" w:rsidRDefault="002760B2" w:rsidP="00F35311">
            <w:pPr>
              <w:keepNext/>
              <w:tabs>
                <w:tab w:val="left" w:pos="0"/>
              </w:tabs>
              <w:jc w:val="center"/>
              <w:rPr>
                <w:rFonts w:ascii="Times New Roman" w:hAnsi="Times New Roman" w:cs="Times New Roman"/>
                <w:b/>
                <w:i/>
                <w:sz w:val="24"/>
                <w:szCs w:val="24"/>
              </w:rPr>
            </w:pPr>
            <w:r w:rsidRPr="002B005F">
              <w:rPr>
                <w:rFonts w:ascii="Times New Roman" w:hAnsi="Times New Roman" w:cs="Times New Roman"/>
                <w:b/>
                <w:i/>
                <w:sz w:val="24"/>
                <w:szCs w:val="24"/>
              </w:rPr>
              <w:t>Profit</w:t>
            </w:r>
          </w:p>
        </w:tc>
      </w:tr>
      <w:tr w:rsidR="002760B2" w:rsidRPr="002B005F" w14:paraId="407CF642" w14:textId="77777777" w:rsidTr="0070339E">
        <w:trPr>
          <w:trHeight w:val="1474"/>
          <w:jc w:val="center"/>
        </w:trPr>
        <w:tc>
          <w:tcPr>
            <w:tcW w:w="1701" w:type="dxa"/>
            <w:tcMar>
              <w:top w:w="85" w:type="dxa"/>
            </w:tcMar>
          </w:tcPr>
          <w:p w14:paraId="26E5B85F" w14:textId="77777777" w:rsidR="002760B2" w:rsidRPr="002B005F" w:rsidRDefault="002760B2" w:rsidP="00F35311">
            <w:pPr>
              <w:keepNext/>
              <w:tabs>
                <w:tab w:val="left" w:pos="0"/>
              </w:tabs>
              <w:jc w:val="left"/>
              <w:rPr>
                <w:rFonts w:ascii="Times New Roman" w:hAnsi="Times New Roman" w:cs="Times New Roman"/>
                <w:b/>
                <w:i/>
                <w:sz w:val="24"/>
                <w:szCs w:val="24"/>
              </w:rPr>
            </w:pPr>
            <w:r w:rsidRPr="002B005F">
              <w:rPr>
                <w:rFonts w:ascii="Times New Roman" w:hAnsi="Times New Roman" w:cs="Times New Roman"/>
                <w:b/>
                <w:i/>
                <w:sz w:val="24"/>
                <w:szCs w:val="24"/>
              </w:rPr>
              <w:t>Origine</w:t>
            </w:r>
          </w:p>
        </w:tc>
        <w:tc>
          <w:tcPr>
            <w:tcW w:w="3969" w:type="dxa"/>
            <w:tcBorders>
              <w:top w:val="single" w:sz="4" w:space="0" w:color="000000" w:themeColor="text1"/>
            </w:tcBorders>
            <w:tcMar>
              <w:top w:w="85" w:type="dxa"/>
            </w:tcMar>
          </w:tcPr>
          <w:p w14:paraId="55DECFB4" w14:textId="77777777" w:rsidR="002760B2" w:rsidRPr="002B005F" w:rsidRDefault="002760B2" w:rsidP="00F35311">
            <w:pPr>
              <w:keepNext/>
              <w:tabs>
                <w:tab w:val="left" w:pos="0"/>
              </w:tabs>
              <w:jc w:val="left"/>
              <w:rPr>
                <w:rFonts w:ascii="Times New Roman" w:hAnsi="Times New Roman" w:cs="Times New Roman"/>
                <w:sz w:val="24"/>
                <w:szCs w:val="24"/>
              </w:rPr>
            </w:pPr>
            <w:r w:rsidRPr="002B005F">
              <w:rPr>
                <w:rFonts w:ascii="Times New Roman" w:hAnsi="Times New Roman" w:cs="Times New Roman"/>
                <w:sz w:val="24"/>
                <w:szCs w:val="24"/>
              </w:rPr>
              <w:t>L’intérêt représente l’augmentation</w:t>
            </w:r>
            <w:r w:rsidR="006418D4" w:rsidRPr="002B005F">
              <w:rPr>
                <w:rFonts w:ascii="Times New Roman" w:hAnsi="Times New Roman" w:cs="Times New Roman"/>
                <w:sz w:val="24"/>
                <w:szCs w:val="24"/>
              </w:rPr>
              <w:t xml:space="preserve"> du capital monétaire </w:t>
            </w:r>
            <w:r w:rsidRPr="002B005F">
              <w:rPr>
                <w:rFonts w:ascii="Times New Roman" w:hAnsi="Times New Roman" w:cs="Times New Roman"/>
                <w:sz w:val="24"/>
                <w:szCs w:val="24"/>
              </w:rPr>
              <w:t>indépendamment de tout autre facteur de production.</w:t>
            </w:r>
          </w:p>
        </w:tc>
        <w:tc>
          <w:tcPr>
            <w:tcW w:w="3969" w:type="dxa"/>
            <w:tcMar>
              <w:top w:w="85" w:type="dxa"/>
            </w:tcMar>
          </w:tcPr>
          <w:p w14:paraId="5FD31943" w14:textId="77777777" w:rsidR="002760B2" w:rsidRPr="002B005F" w:rsidRDefault="002760B2" w:rsidP="00F35311">
            <w:pPr>
              <w:keepNext/>
              <w:tabs>
                <w:tab w:val="left" w:pos="0"/>
              </w:tabs>
              <w:jc w:val="left"/>
              <w:rPr>
                <w:rFonts w:ascii="Times New Roman" w:hAnsi="Times New Roman" w:cs="Times New Roman"/>
                <w:sz w:val="24"/>
                <w:szCs w:val="24"/>
              </w:rPr>
            </w:pPr>
            <w:r w:rsidRPr="002B005F">
              <w:rPr>
                <w:rFonts w:ascii="Times New Roman" w:hAnsi="Times New Roman" w:cs="Times New Roman"/>
                <w:sz w:val="24"/>
                <w:szCs w:val="24"/>
              </w:rPr>
              <w:t>Le profit est l’augmentation du capital obtenue par la transformation de celui-ci grâce au facteur travail, produisant ainsi un bénéfice économique et réel.</w:t>
            </w:r>
          </w:p>
        </w:tc>
      </w:tr>
      <w:tr w:rsidR="002760B2" w:rsidRPr="002B005F" w14:paraId="6BB9483C" w14:textId="77777777" w:rsidTr="0070339E">
        <w:trPr>
          <w:trHeight w:val="1984"/>
          <w:jc w:val="center"/>
        </w:trPr>
        <w:tc>
          <w:tcPr>
            <w:tcW w:w="1701" w:type="dxa"/>
            <w:tcMar>
              <w:top w:w="85" w:type="dxa"/>
            </w:tcMar>
          </w:tcPr>
          <w:p w14:paraId="1500106E" w14:textId="77777777" w:rsidR="002760B2" w:rsidRPr="002B005F" w:rsidRDefault="002760B2" w:rsidP="00F35311">
            <w:pPr>
              <w:keepNext/>
              <w:tabs>
                <w:tab w:val="left" w:pos="0"/>
              </w:tabs>
              <w:jc w:val="left"/>
              <w:rPr>
                <w:rFonts w:ascii="Times New Roman" w:hAnsi="Times New Roman" w:cs="Times New Roman"/>
                <w:b/>
                <w:i/>
                <w:sz w:val="24"/>
                <w:szCs w:val="24"/>
              </w:rPr>
            </w:pPr>
            <w:r w:rsidRPr="002B005F">
              <w:rPr>
                <w:rFonts w:ascii="Times New Roman" w:hAnsi="Times New Roman" w:cs="Times New Roman"/>
                <w:b/>
                <w:i/>
                <w:sz w:val="24"/>
                <w:szCs w:val="24"/>
              </w:rPr>
              <w:t>Conditions de réalisation</w:t>
            </w:r>
          </w:p>
        </w:tc>
        <w:tc>
          <w:tcPr>
            <w:tcW w:w="3969" w:type="dxa"/>
            <w:tcMar>
              <w:top w:w="85" w:type="dxa"/>
            </w:tcMar>
          </w:tcPr>
          <w:p w14:paraId="3E830641" w14:textId="77777777" w:rsidR="002760B2" w:rsidRPr="002B005F" w:rsidRDefault="002760B2" w:rsidP="00F35311">
            <w:pPr>
              <w:keepNext/>
              <w:tabs>
                <w:tab w:val="left" w:pos="0"/>
              </w:tabs>
              <w:jc w:val="left"/>
              <w:rPr>
                <w:rFonts w:ascii="Times New Roman" w:hAnsi="Times New Roman" w:cs="Times New Roman"/>
                <w:sz w:val="24"/>
                <w:szCs w:val="24"/>
              </w:rPr>
            </w:pPr>
            <w:r w:rsidRPr="002B005F">
              <w:rPr>
                <w:rFonts w:ascii="Times New Roman" w:hAnsi="Times New Roman" w:cs="Times New Roman"/>
                <w:sz w:val="24"/>
                <w:szCs w:val="24"/>
              </w:rPr>
              <w:t>Pas de conditions : l’intérêt est un cout fixe supporté par le préteur –entrepreneur sans lien de causalité avec la rentabilité.</w:t>
            </w:r>
          </w:p>
          <w:p w14:paraId="4393D197" w14:textId="77777777" w:rsidR="002760B2" w:rsidRPr="002B005F" w:rsidRDefault="002760B2" w:rsidP="00F35311">
            <w:pPr>
              <w:keepNext/>
              <w:tabs>
                <w:tab w:val="left" w:pos="0"/>
              </w:tabs>
              <w:jc w:val="left"/>
              <w:rPr>
                <w:rFonts w:ascii="Times New Roman" w:hAnsi="Times New Roman" w:cs="Times New Roman"/>
                <w:sz w:val="24"/>
                <w:szCs w:val="24"/>
              </w:rPr>
            </w:pPr>
            <w:r w:rsidRPr="002B005F">
              <w:rPr>
                <w:rFonts w:ascii="Times New Roman" w:hAnsi="Times New Roman" w:cs="Times New Roman"/>
                <w:sz w:val="24"/>
                <w:szCs w:val="24"/>
              </w:rPr>
              <w:t>Il dépend de l’écoulement du temps et éventuellement de la conjoncture monétaire.</w:t>
            </w:r>
          </w:p>
        </w:tc>
        <w:tc>
          <w:tcPr>
            <w:tcW w:w="3969" w:type="dxa"/>
            <w:tcMar>
              <w:top w:w="85" w:type="dxa"/>
            </w:tcMar>
          </w:tcPr>
          <w:p w14:paraId="18DC6FDD" w14:textId="77777777" w:rsidR="002760B2" w:rsidRPr="002B005F" w:rsidRDefault="002760B2" w:rsidP="00F35311">
            <w:pPr>
              <w:keepNext/>
              <w:tabs>
                <w:tab w:val="left" w:pos="0"/>
              </w:tabs>
              <w:jc w:val="left"/>
              <w:rPr>
                <w:rFonts w:ascii="Times New Roman" w:hAnsi="Times New Roman" w:cs="Times New Roman"/>
                <w:sz w:val="24"/>
                <w:szCs w:val="24"/>
              </w:rPr>
            </w:pPr>
            <w:r w:rsidRPr="002B005F">
              <w:rPr>
                <w:rFonts w:ascii="Times New Roman" w:hAnsi="Times New Roman" w:cs="Times New Roman"/>
                <w:sz w:val="24"/>
                <w:szCs w:val="24"/>
              </w:rPr>
              <w:t>La réalisation du profit est conditionnée par :</w:t>
            </w:r>
          </w:p>
          <w:p w14:paraId="5BBC3B3D" w14:textId="77777777" w:rsidR="002760B2" w:rsidRPr="002B005F" w:rsidRDefault="0070339E" w:rsidP="00F35311">
            <w:pPr>
              <w:keepNext/>
              <w:tabs>
                <w:tab w:val="left" w:pos="0"/>
              </w:tabs>
              <w:ind w:left="113" w:hanging="113"/>
              <w:jc w:val="left"/>
              <w:rPr>
                <w:rFonts w:ascii="Times New Roman" w:hAnsi="Times New Roman" w:cs="Times New Roman"/>
                <w:sz w:val="24"/>
                <w:szCs w:val="24"/>
              </w:rPr>
            </w:pPr>
            <w:r w:rsidRPr="002B005F">
              <w:rPr>
                <w:rFonts w:ascii="Times New Roman" w:hAnsi="Times New Roman" w:cs="Times New Roman"/>
                <w:sz w:val="24"/>
                <w:szCs w:val="24"/>
              </w:rPr>
              <w:t xml:space="preserve">- </w:t>
            </w:r>
            <w:r w:rsidR="002760B2" w:rsidRPr="002B005F">
              <w:rPr>
                <w:rFonts w:ascii="Times New Roman" w:hAnsi="Times New Roman" w:cs="Times New Roman"/>
                <w:sz w:val="24"/>
                <w:szCs w:val="24"/>
              </w:rPr>
              <w:t>La transformation des fonds sous forme de</w:t>
            </w:r>
            <w:r w:rsidR="000C3621" w:rsidRPr="002B005F">
              <w:rPr>
                <w:rFonts w:ascii="Times New Roman" w:hAnsi="Times New Roman" w:cs="Times New Roman"/>
                <w:sz w:val="24"/>
                <w:szCs w:val="24"/>
              </w:rPr>
              <w:t xml:space="preserve"> biens matériels ou immatériels ;</w:t>
            </w:r>
          </w:p>
          <w:p w14:paraId="5F3977B6" w14:textId="77777777" w:rsidR="002760B2" w:rsidRPr="002B005F" w:rsidRDefault="0070339E" w:rsidP="00F35311">
            <w:pPr>
              <w:keepNext/>
              <w:tabs>
                <w:tab w:val="left" w:pos="0"/>
              </w:tabs>
              <w:ind w:left="113" w:hanging="113"/>
              <w:jc w:val="left"/>
              <w:rPr>
                <w:rFonts w:ascii="Times New Roman" w:hAnsi="Times New Roman" w:cs="Times New Roman"/>
                <w:sz w:val="24"/>
                <w:szCs w:val="24"/>
              </w:rPr>
            </w:pPr>
            <w:r w:rsidRPr="002B005F">
              <w:rPr>
                <w:rFonts w:ascii="Times New Roman" w:hAnsi="Times New Roman" w:cs="Times New Roman"/>
                <w:sz w:val="24"/>
                <w:szCs w:val="24"/>
              </w:rPr>
              <w:t xml:space="preserve">- </w:t>
            </w:r>
            <w:r w:rsidR="002760B2" w:rsidRPr="002B005F">
              <w:rPr>
                <w:rFonts w:ascii="Times New Roman" w:hAnsi="Times New Roman" w:cs="Times New Roman"/>
                <w:sz w:val="24"/>
                <w:szCs w:val="24"/>
              </w:rPr>
              <w:t>L’association à un travail</w:t>
            </w:r>
            <w:r w:rsidR="000C3621" w:rsidRPr="002B005F">
              <w:rPr>
                <w:rFonts w:ascii="Times New Roman" w:hAnsi="Times New Roman" w:cs="Times New Roman"/>
                <w:sz w:val="24"/>
                <w:szCs w:val="24"/>
              </w:rPr>
              <w:t> ;</w:t>
            </w:r>
          </w:p>
          <w:p w14:paraId="3AB2782E" w14:textId="77777777" w:rsidR="002760B2" w:rsidRPr="002B005F" w:rsidRDefault="0070339E" w:rsidP="00F35311">
            <w:pPr>
              <w:keepNext/>
              <w:tabs>
                <w:tab w:val="left" w:pos="0"/>
              </w:tabs>
              <w:ind w:left="113" w:hanging="113"/>
              <w:jc w:val="left"/>
              <w:rPr>
                <w:rFonts w:ascii="Times New Roman" w:hAnsi="Times New Roman" w:cs="Times New Roman"/>
                <w:sz w:val="24"/>
                <w:szCs w:val="24"/>
              </w:rPr>
            </w:pPr>
            <w:r w:rsidRPr="002B005F">
              <w:rPr>
                <w:rFonts w:ascii="Times New Roman" w:hAnsi="Times New Roman" w:cs="Times New Roman"/>
                <w:sz w:val="24"/>
                <w:szCs w:val="24"/>
              </w:rPr>
              <w:t xml:space="preserve">- </w:t>
            </w:r>
            <w:r w:rsidR="002760B2" w:rsidRPr="002B005F">
              <w:rPr>
                <w:rFonts w:ascii="Times New Roman" w:hAnsi="Times New Roman" w:cs="Times New Roman"/>
                <w:sz w:val="24"/>
                <w:szCs w:val="24"/>
              </w:rPr>
              <w:t>La création de richesse.</w:t>
            </w:r>
          </w:p>
        </w:tc>
      </w:tr>
      <w:tr w:rsidR="002760B2" w:rsidRPr="002B005F" w14:paraId="4CA585E2" w14:textId="77777777" w:rsidTr="0070339E">
        <w:trPr>
          <w:trHeight w:val="2268"/>
          <w:jc w:val="center"/>
        </w:trPr>
        <w:tc>
          <w:tcPr>
            <w:tcW w:w="1701" w:type="dxa"/>
            <w:tcMar>
              <w:top w:w="85" w:type="dxa"/>
            </w:tcMar>
          </w:tcPr>
          <w:p w14:paraId="3E152999" w14:textId="77777777" w:rsidR="002760B2" w:rsidRPr="002B005F" w:rsidRDefault="002760B2" w:rsidP="00F35311">
            <w:pPr>
              <w:keepNext/>
              <w:tabs>
                <w:tab w:val="left" w:pos="0"/>
              </w:tabs>
              <w:jc w:val="left"/>
              <w:rPr>
                <w:rFonts w:ascii="Times New Roman" w:hAnsi="Times New Roman" w:cs="Times New Roman"/>
                <w:b/>
                <w:i/>
                <w:sz w:val="24"/>
                <w:szCs w:val="24"/>
              </w:rPr>
            </w:pPr>
            <w:r w:rsidRPr="002B005F">
              <w:rPr>
                <w:rFonts w:ascii="Times New Roman" w:hAnsi="Times New Roman" w:cs="Times New Roman"/>
                <w:b/>
                <w:i/>
                <w:sz w:val="24"/>
                <w:szCs w:val="24"/>
              </w:rPr>
              <w:t>Conséquences</w:t>
            </w:r>
          </w:p>
        </w:tc>
        <w:tc>
          <w:tcPr>
            <w:tcW w:w="3969" w:type="dxa"/>
            <w:tcMar>
              <w:top w:w="85" w:type="dxa"/>
            </w:tcMar>
          </w:tcPr>
          <w:p w14:paraId="4CE9998A" w14:textId="77777777" w:rsidR="002760B2" w:rsidRPr="002B005F" w:rsidRDefault="002760B2" w:rsidP="00F35311">
            <w:pPr>
              <w:keepNext/>
              <w:tabs>
                <w:tab w:val="left" w:pos="0"/>
              </w:tabs>
              <w:jc w:val="left"/>
              <w:rPr>
                <w:rFonts w:ascii="Times New Roman" w:hAnsi="Times New Roman" w:cs="Times New Roman"/>
                <w:sz w:val="24"/>
                <w:szCs w:val="24"/>
              </w:rPr>
            </w:pPr>
            <w:r w:rsidRPr="002B005F">
              <w:rPr>
                <w:rFonts w:ascii="Times New Roman" w:hAnsi="Times New Roman" w:cs="Times New Roman"/>
                <w:sz w:val="24"/>
                <w:szCs w:val="24"/>
              </w:rPr>
              <w:t>Le créancier ne subit, au principe, aucun risque. Il reçoit une rémunération fixe préétablie.</w:t>
            </w:r>
          </w:p>
        </w:tc>
        <w:tc>
          <w:tcPr>
            <w:tcW w:w="3969" w:type="dxa"/>
            <w:tcMar>
              <w:top w:w="85" w:type="dxa"/>
            </w:tcMar>
          </w:tcPr>
          <w:p w14:paraId="38B41D7F" w14:textId="77777777" w:rsidR="002760B2" w:rsidRPr="002B005F" w:rsidRDefault="002760B2" w:rsidP="00F35311">
            <w:pPr>
              <w:keepNext/>
              <w:tabs>
                <w:tab w:val="left" w:pos="0"/>
              </w:tabs>
              <w:jc w:val="left"/>
              <w:rPr>
                <w:rFonts w:ascii="Times New Roman" w:hAnsi="Times New Roman" w:cs="Times New Roman"/>
                <w:sz w:val="24"/>
                <w:szCs w:val="24"/>
              </w:rPr>
            </w:pPr>
            <w:r w:rsidRPr="002B005F">
              <w:rPr>
                <w:rFonts w:ascii="Times New Roman" w:hAnsi="Times New Roman" w:cs="Times New Roman"/>
                <w:sz w:val="24"/>
                <w:szCs w:val="24"/>
              </w:rPr>
              <w:t>La part du profit est un réel partage de la création de richesse entre les partenaires.</w:t>
            </w:r>
          </w:p>
          <w:p w14:paraId="70DC6D39" w14:textId="77777777" w:rsidR="002760B2" w:rsidRPr="002B005F" w:rsidRDefault="002760B2" w:rsidP="00F35311">
            <w:pPr>
              <w:keepNext/>
              <w:tabs>
                <w:tab w:val="left" w:pos="0"/>
              </w:tabs>
              <w:jc w:val="left"/>
              <w:rPr>
                <w:rFonts w:ascii="Times New Roman" w:hAnsi="Times New Roman" w:cs="Times New Roman"/>
                <w:sz w:val="24"/>
                <w:szCs w:val="24"/>
              </w:rPr>
            </w:pPr>
            <w:r w:rsidRPr="002B005F">
              <w:rPr>
                <w:rFonts w:ascii="Times New Roman" w:hAnsi="Times New Roman" w:cs="Times New Roman"/>
                <w:sz w:val="24"/>
                <w:szCs w:val="24"/>
              </w:rPr>
              <w:t>Cette part est fonction de la rentabilité, elle est variable.</w:t>
            </w:r>
          </w:p>
          <w:p w14:paraId="5357069D" w14:textId="77777777" w:rsidR="002760B2" w:rsidRPr="002B005F" w:rsidRDefault="002760B2" w:rsidP="00F35311">
            <w:pPr>
              <w:keepNext/>
              <w:tabs>
                <w:tab w:val="left" w:pos="0"/>
              </w:tabs>
              <w:jc w:val="left"/>
              <w:rPr>
                <w:rFonts w:ascii="Times New Roman" w:hAnsi="Times New Roman" w:cs="Times New Roman"/>
                <w:sz w:val="24"/>
                <w:szCs w:val="24"/>
              </w:rPr>
            </w:pPr>
            <w:r w:rsidRPr="002B005F">
              <w:rPr>
                <w:rFonts w:ascii="Times New Roman" w:hAnsi="Times New Roman" w:cs="Times New Roman"/>
                <w:sz w:val="24"/>
                <w:szCs w:val="24"/>
              </w:rPr>
              <w:t>Le créancier recherche une par</w:t>
            </w:r>
            <w:r w:rsidR="000A4488">
              <w:rPr>
                <w:rFonts w:ascii="Times New Roman" w:hAnsi="Times New Roman" w:cs="Times New Roman" w:hint="cs"/>
                <w:sz w:val="24"/>
                <w:szCs w:val="24"/>
                <w:rtl/>
              </w:rPr>
              <w:t>ط</w:t>
            </w:r>
            <w:r w:rsidRPr="002B005F">
              <w:rPr>
                <w:rFonts w:ascii="Times New Roman" w:hAnsi="Times New Roman" w:cs="Times New Roman"/>
                <w:sz w:val="24"/>
                <w:szCs w:val="24"/>
              </w:rPr>
              <w:t>t du profit mais peut subir une perte totale : il risque.</w:t>
            </w:r>
          </w:p>
        </w:tc>
      </w:tr>
    </w:tbl>
    <w:p w14:paraId="050E0892" w14:textId="77777777" w:rsidR="002760B2" w:rsidRPr="002B005F" w:rsidRDefault="002760B2" w:rsidP="00315430">
      <w:pPr>
        <w:keepNext/>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Pr="002B005F">
        <w:rPr>
          <w:rFonts w:ascii="Times New Roman" w:hAnsi="Times New Roman" w:cs="Times New Roman"/>
          <w:smallCaps/>
          <w:sz w:val="20"/>
          <w:szCs w:val="20"/>
        </w:rPr>
        <w:t>Causse-Broquet</w:t>
      </w:r>
      <w:r w:rsidR="00993878" w:rsidRPr="002B005F">
        <w:rPr>
          <w:rFonts w:ascii="Times New Roman" w:hAnsi="Times New Roman" w:cs="Times New Roman"/>
          <w:sz w:val="20"/>
          <w:szCs w:val="20"/>
        </w:rPr>
        <w:t>, 2009</w:t>
      </w:r>
      <w:r w:rsidRPr="002B005F">
        <w:rPr>
          <w:rFonts w:ascii="Times New Roman" w:hAnsi="Times New Roman" w:cs="Times New Roman"/>
          <w:sz w:val="20"/>
          <w:szCs w:val="20"/>
        </w:rPr>
        <w:t>, p. 36.</w:t>
      </w:r>
    </w:p>
    <w:p w14:paraId="066B77E0" w14:textId="77777777" w:rsidR="006418D4" w:rsidRPr="00D0061D" w:rsidRDefault="006418D4" w:rsidP="00544FF9">
      <w:pPr>
        <w:pStyle w:val="Corpsdetexte"/>
        <w:spacing w:line="300" w:lineRule="auto"/>
        <w:ind w:firstLine="709"/>
        <w:rPr>
          <w:kern w:val="24"/>
        </w:rPr>
      </w:pPr>
      <w:r w:rsidRPr="00D0061D">
        <w:rPr>
          <w:kern w:val="24"/>
        </w:rPr>
        <w:t>Le taux de profit exprime le rapport entre le montant du profit dégagé comme résultat d’une activité en fin de période et le montant du capital engagé en début de période. Il ne peut être déterminé qu’après avoir obtenu le montant du résultat de l’activité. Ce résultat peut être positif (profit) ou négatif (perte) ; en aucun cas le taux de rentabilité n’est connu à l’avance</w:t>
      </w:r>
      <w:r w:rsidRPr="00D0061D">
        <w:rPr>
          <w:rStyle w:val="Appelnotedebasdep"/>
          <w:kern w:val="24"/>
        </w:rPr>
        <w:footnoteReference w:id="69"/>
      </w:r>
      <w:r w:rsidRPr="00D0061D">
        <w:rPr>
          <w:kern w:val="24"/>
        </w:rPr>
        <w:t>.</w:t>
      </w:r>
    </w:p>
    <w:p w14:paraId="63E26DA4" w14:textId="5267386D" w:rsidR="002760B2" w:rsidRPr="00D0061D" w:rsidRDefault="006418D4" w:rsidP="006C1230">
      <w:pPr>
        <w:pStyle w:val="Corpsdetexte"/>
        <w:spacing w:before="120" w:line="300" w:lineRule="auto"/>
        <w:ind w:firstLine="709"/>
        <w:rPr>
          <w:kern w:val="24"/>
        </w:rPr>
      </w:pPr>
      <w:r w:rsidRPr="00D0061D">
        <w:rPr>
          <w:kern w:val="24"/>
        </w:rPr>
        <w:t xml:space="preserve">Alors que le taux d’intérêt exprime le rapport entre le </w:t>
      </w:r>
      <w:r w:rsidR="008C3C4C" w:rsidRPr="00D0061D">
        <w:rPr>
          <w:kern w:val="24"/>
        </w:rPr>
        <w:t xml:space="preserve">montant de l’intérêt et </w:t>
      </w:r>
      <w:r w:rsidRPr="00D0061D">
        <w:rPr>
          <w:kern w:val="24"/>
        </w:rPr>
        <w:t xml:space="preserve">le montant du capital prêté, le montant de l’intérêt étant fonction du montant de ce capital et de la durée du montant prêté. Le taux d’intérêt est aussi lié à la </w:t>
      </w:r>
      <w:r w:rsidR="008C3C4C" w:rsidRPr="00D0061D">
        <w:rPr>
          <w:kern w:val="24"/>
        </w:rPr>
        <w:t>durée du prêt :</w:t>
      </w:r>
      <w:r w:rsidRPr="00D0061D">
        <w:rPr>
          <w:kern w:val="24"/>
        </w:rPr>
        <w:t xml:space="preserve"> plus l’échéance est lointaine pour récupérer le montant prêté, plus le taux de l’intérêt exigé est relativement élevé, et inversement. Le montant de l’intérêt est connu sans difficulté à l’avance quelle que soit l’échéance</w:t>
      </w:r>
      <w:r w:rsidRPr="00D0061D">
        <w:rPr>
          <w:rStyle w:val="Appelnotedebasdep"/>
          <w:kern w:val="24"/>
        </w:rPr>
        <w:footnoteReference w:id="70"/>
      </w:r>
      <w:r w:rsidRPr="00D0061D">
        <w:rPr>
          <w:kern w:val="24"/>
        </w:rPr>
        <w:t>. La différence entre la rémunération sous forme d’un intérêt et l’alternative qui est la rémunération par le profit est indiquée dans le tableau 1</w:t>
      </w:r>
      <w:r w:rsidR="00315430" w:rsidRPr="00D0061D">
        <w:rPr>
          <w:kern w:val="24"/>
        </w:rPr>
        <w:t xml:space="preserve"> ci-dessus</w:t>
      </w:r>
      <w:r w:rsidRPr="00D0061D">
        <w:rPr>
          <w:kern w:val="24"/>
        </w:rPr>
        <w:t>.</w:t>
      </w:r>
      <w:r w:rsidR="00463EC6" w:rsidRPr="00D0061D">
        <w:rPr>
          <w:kern w:val="24"/>
        </w:rPr>
        <w:t xml:space="preserve"> </w:t>
      </w:r>
      <w:r w:rsidR="002760B2" w:rsidRPr="00D0061D">
        <w:rPr>
          <w:kern w:val="24"/>
        </w:rPr>
        <w:t xml:space="preserve">A partir des années 70, des économistes et des scholars ont essayé de trouver des alternatives au </w:t>
      </w:r>
      <w:r w:rsidR="002760B2" w:rsidRPr="00D0061D">
        <w:rPr>
          <w:i/>
          <w:kern w:val="24"/>
        </w:rPr>
        <w:t>riba</w:t>
      </w:r>
      <w:r w:rsidR="002760B2" w:rsidRPr="00D0061D">
        <w:rPr>
          <w:kern w:val="24"/>
        </w:rPr>
        <w:t>, pour assurer une meilleure activité aux insti</w:t>
      </w:r>
      <w:r w:rsidR="004C7876" w:rsidRPr="00D0061D">
        <w:rPr>
          <w:kern w:val="24"/>
        </w:rPr>
        <w:t xml:space="preserve">tutions financières </w:t>
      </w:r>
      <w:r w:rsidR="009E1248" w:rsidRPr="00D0061D">
        <w:rPr>
          <w:kern w:val="24"/>
        </w:rPr>
        <w:t>i</w:t>
      </w:r>
      <w:r w:rsidR="003773C6" w:rsidRPr="00D0061D">
        <w:rPr>
          <w:kern w:val="24"/>
        </w:rPr>
        <w:t>slamique</w:t>
      </w:r>
      <w:r w:rsidR="004C7876" w:rsidRPr="00D0061D">
        <w:rPr>
          <w:kern w:val="24"/>
        </w:rPr>
        <w:t>s.</w:t>
      </w:r>
    </w:p>
    <w:p w14:paraId="00951F4C" w14:textId="55BA18E3" w:rsidR="002760B2" w:rsidRPr="00D0061D" w:rsidRDefault="002760B2" w:rsidP="006C1230">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D0061D">
        <w:rPr>
          <w:rFonts w:ascii="Times New Roman" w:hAnsi="Times New Roman" w:cs="Times New Roman"/>
          <w:kern w:val="24"/>
          <w:sz w:val="24"/>
          <w:szCs w:val="24"/>
        </w:rPr>
        <w:t xml:space="preserve">Dans ce qui suit, nous essayerons de présenter le mode de calcul du ratio de partage des pertes et des profits. Outre les opérations avec la clientèle, il existe également des opérations </w:t>
      </w:r>
      <w:r w:rsidRPr="00D0061D">
        <w:rPr>
          <w:rFonts w:ascii="Times New Roman" w:hAnsi="Times New Roman" w:cs="Times New Roman"/>
          <w:kern w:val="24"/>
          <w:sz w:val="24"/>
          <w:szCs w:val="24"/>
        </w:rPr>
        <w:lastRenderedPageBreak/>
        <w:t xml:space="preserve">qui s’effectuent entre les institutions financières </w:t>
      </w:r>
      <w:r w:rsidR="00621E73" w:rsidRPr="00D0061D">
        <w:rPr>
          <w:rFonts w:ascii="Times New Roman" w:hAnsi="Times New Roman" w:cs="Times New Roman"/>
          <w:kern w:val="24"/>
          <w:sz w:val="24"/>
          <w:szCs w:val="24"/>
        </w:rPr>
        <w:t>et</w:t>
      </w:r>
      <w:r w:rsidRPr="00D0061D">
        <w:rPr>
          <w:rFonts w:ascii="Times New Roman" w:hAnsi="Times New Roman" w:cs="Times New Roman"/>
          <w:kern w:val="24"/>
          <w:sz w:val="24"/>
          <w:szCs w:val="24"/>
        </w:rPr>
        <w:t xml:space="preserve"> bancaires</w:t>
      </w:r>
      <w:r w:rsidR="00315430" w:rsidRPr="00D0061D">
        <w:rPr>
          <w:rFonts w:ascii="Times New Roman" w:hAnsi="Times New Roman" w:cs="Times New Roman"/>
          <w:kern w:val="24"/>
          <w:sz w:val="24"/>
          <w:szCs w:val="24"/>
        </w:rPr>
        <w:t> ;</w:t>
      </w:r>
      <w:r w:rsidRPr="00D0061D">
        <w:rPr>
          <w:rFonts w:ascii="Times New Roman" w:hAnsi="Times New Roman" w:cs="Times New Roman"/>
          <w:kern w:val="24"/>
          <w:sz w:val="24"/>
          <w:szCs w:val="24"/>
        </w:rPr>
        <w:t xml:space="preserve"> à cet effet un taux interbancaire était nécessaire, généralement c’est le LIBOR qui est utilisé comme référence.</w:t>
      </w:r>
    </w:p>
    <w:p w14:paraId="73DE5D9B" w14:textId="53BB05ED" w:rsidR="002760B2" w:rsidRPr="00583EDB" w:rsidRDefault="00F537B1" w:rsidP="006C1230">
      <w:pPr>
        <w:pStyle w:val="Titre5"/>
        <w:keepNext w:val="0"/>
        <w:keepLines w:val="0"/>
        <w:spacing w:before="120" w:after="120" w:line="300" w:lineRule="auto"/>
        <w:ind w:firstLine="709"/>
        <w:rPr>
          <w:rFonts w:asciiTheme="majorBidi" w:hAnsiTheme="majorBidi"/>
          <w:b/>
          <w:bCs/>
          <w:i/>
          <w:iCs/>
          <w:color w:val="auto"/>
          <w:sz w:val="24"/>
          <w:szCs w:val="24"/>
        </w:rPr>
      </w:pPr>
      <w:bookmarkStart w:id="206" w:name="_Toc182298613"/>
      <w:r w:rsidRPr="00583EDB">
        <w:rPr>
          <w:rFonts w:asciiTheme="majorBidi" w:hAnsiTheme="majorBidi"/>
          <w:b/>
          <w:bCs/>
          <w:color w:val="auto"/>
          <w:sz w:val="24"/>
          <w:szCs w:val="24"/>
        </w:rPr>
        <w:t xml:space="preserve">1.3.5.1- </w:t>
      </w:r>
      <w:r w:rsidR="008353F3">
        <w:rPr>
          <w:rFonts w:asciiTheme="majorBidi" w:hAnsiTheme="majorBidi"/>
          <w:b/>
          <w:bCs/>
          <w:color w:val="auto"/>
          <w:sz w:val="24"/>
          <w:szCs w:val="24"/>
        </w:rPr>
        <w:t>R</w:t>
      </w:r>
      <w:r w:rsidR="002760B2" w:rsidRPr="00583EDB">
        <w:rPr>
          <w:rFonts w:asciiTheme="majorBidi" w:hAnsiTheme="majorBidi"/>
          <w:b/>
          <w:bCs/>
          <w:color w:val="auto"/>
          <w:sz w:val="24"/>
          <w:szCs w:val="24"/>
        </w:rPr>
        <w:t>atio de partage des pertes et des profits</w:t>
      </w:r>
      <w:bookmarkEnd w:id="206"/>
    </w:p>
    <w:p w14:paraId="34B9E997" w14:textId="1244ADD8" w:rsidR="002760B2" w:rsidRPr="002B005F" w:rsidRDefault="002760B2" w:rsidP="006C1230">
      <w:pPr>
        <w:tabs>
          <w:tab w:val="left" w:pos="0"/>
          <w:tab w:val="left" w:pos="3544"/>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Dans les modes de financement participatif </w:t>
      </w:r>
      <w:r w:rsidR="00565037" w:rsidRPr="002B005F">
        <w:rPr>
          <w:rFonts w:ascii="Times New Roman" w:hAnsi="Times New Roman" w:cs="Times New Roman"/>
          <w:sz w:val="24"/>
          <w:szCs w:val="24"/>
        </w:rPr>
        <w:t>que nous abordons à la section suivante</w:t>
      </w:r>
      <w:r w:rsidR="008435D5">
        <w:rPr>
          <w:rFonts w:ascii="Times New Roman" w:hAnsi="Times New Roman" w:cs="Times New Roman"/>
          <w:sz w:val="24"/>
          <w:szCs w:val="24"/>
        </w:rPr>
        <w:t>, la banque</w:t>
      </w:r>
      <w:r w:rsidRPr="002B005F">
        <w:rPr>
          <w:rFonts w:ascii="Times New Roman" w:hAnsi="Times New Roman" w:cs="Times New Roman"/>
          <w:sz w:val="24"/>
          <w:szCs w:val="24"/>
        </w:rPr>
        <w:t xml:space="preserve"> </w:t>
      </w:r>
      <w:r w:rsidR="009C321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8435D5">
        <w:rPr>
          <w:rFonts w:ascii="Times New Roman" w:hAnsi="Times New Roman" w:cs="Times New Roman"/>
          <w:sz w:val="24"/>
          <w:szCs w:val="24"/>
        </w:rPr>
        <w:t xml:space="preserve"> est tenue</w:t>
      </w:r>
      <w:r w:rsidRPr="002B005F">
        <w:rPr>
          <w:rFonts w:ascii="Times New Roman" w:hAnsi="Times New Roman" w:cs="Times New Roman"/>
          <w:sz w:val="24"/>
          <w:szCs w:val="24"/>
        </w:rPr>
        <w:t xml:space="preserve"> de s’entendre avec les autres investisseurs sur un ratio de partage de pertes et profits afin de se conformer aux directives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 Pour déterminer ce ratio, la BI prend en compte le taux de rendement prévu du capital. Le taux de rendement est basé sur l’apport de chaque investisseur, mais également sur la taille de l’investissement, la période d’exploitation, le revenu supplémentaire du projet et le risque encouru. Le solde du bénéfice attendu est considéré comme le ratio de partage de pertes et profits.</w:t>
      </w:r>
    </w:p>
    <w:p w14:paraId="5B43029F" w14:textId="77777777" w:rsidR="002760B2" w:rsidRPr="002B005F" w:rsidRDefault="002760B2" w:rsidP="006C1230">
      <w:pPr>
        <w:tabs>
          <w:tab w:val="left" w:pos="0"/>
          <w:tab w:val="left" w:pos="2730"/>
        </w:tabs>
        <w:autoSpaceDE w:val="0"/>
        <w:autoSpaceDN w:val="0"/>
        <w:adjustRightInd w:val="0"/>
        <w:spacing w:before="120" w:after="120" w:line="300" w:lineRule="auto"/>
        <w:jc w:val="center"/>
        <w:rPr>
          <w:rFonts w:ascii="Times New Roman" w:hAnsi="Times New Roman" w:cs="Times New Roman"/>
          <w:b/>
          <w:bCs/>
          <w:spacing w:val="20"/>
          <w:sz w:val="28"/>
          <w:szCs w:val="28"/>
        </w:rPr>
      </w:pPr>
      <w:r w:rsidRPr="002B005F">
        <w:rPr>
          <w:rFonts w:ascii="Times New Roman" w:hAnsi="Times New Roman" w:cs="Times New Roman"/>
          <w:b/>
          <w:bCs/>
          <w:spacing w:val="20"/>
          <w:sz w:val="28"/>
          <w:szCs w:val="28"/>
        </w:rPr>
        <w:t>Ratio PPPc = C× Tr × N</w:t>
      </w:r>
    </w:p>
    <w:p w14:paraId="34C87384" w14:textId="77777777" w:rsidR="002760B2" w:rsidRPr="002B005F" w:rsidRDefault="002760B2" w:rsidP="006C1230">
      <w:pPr>
        <w:tabs>
          <w:tab w:val="left" w:pos="0"/>
        </w:tabs>
        <w:autoSpaceDE w:val="0"/>
        <w:autoSpaceDN w:val="0"/>
        <w:adjustRightInd w:val="0"/>
        <w:spacing w:before="120" w:line="300" w:lineRule="auto"/>
        <w:rPr>
          <w:rFonts w:ascii="Times New Roman" w:hAnsi="Times New Roman" w:cs="Times New Roman"/>
          <w:sz w:val="24"/>
          <w:szCs w:val="24"/>
        </w:rPr>
      </w:pPr>
      <w:r w:rsidRPr="002B005F">
        <w:rPr>
          <w:rFonts w:ascii="Times New Roman" w:hAnsi="Times New Roman" w:cs="Times New Roman"/>
          <w:sz w:val="24"/>
          <w:szCs w:val="24"/>
        </w:rPr>
        <w:t>Avec :</w:t>
      </w:r>
    </w:p>
    <w:p w14:paraId="09045C0F" w14:textId="77777777" w:rsidR="002760B2" w:rsidRPr="002B005F" w:rsidRDefault="002760B2" w:rsidP="006C1230">
      <w:pPr>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b/>
          <w:bCs/>
          <w:i/>
          <w:iCs/>
          <w:sz w:val="24"/>
          <w:szCs w:val="24"/>
        </w:rPr>
        <w:t>Ratio PPPc</w:t>
      </w:r>
      <w:r w:rsidR="004C7876" w:rsidRPr="002B005F">
        <w:rPr>
          <w:rFonts w:ascii="Times New Roman" w:hAnsi="Times New Roman" w:cs="Times New Roman"/>
          <w:b/>
          <w:bCs/>
          <w:i/>
          <w:iCs/>
          <w:sz w:val="24"/>
          <w:szCs w:val="24"/>
        </w:rPr>
        <w:t> :</w:t>
      </w:r>
      <w:r w:rsidRPr="002B005F">
        <w:rPr>
          <w:rFonts w:ascii="Times New Roman" w:hAnsi="Times New Roman" w:cs="Times New Roman"/>
          <w:sz w:val="24"/>
          <w:szCs w:val="24"/>
        </w:rPr>
        <w:t xml:space="preserve"> Ratio de partage de pertes et de profits du capital</w:t>
      </w:r>
    </w:p>
    <w:p w14:paraId="074C5B68" w14:textId="77777777" w:rsidR="002760B2" w:rsidRPr="002B005F" w:rsidRDefault="002760B2" w:rsidP="006C1230">
      <w:pPr>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b/>
          <w:bCs/>
          <w:i/>
          <w:iCs/>
          <w:sz w:val="24"/>
          <w:szCs w:val="24"/>
        </w:rPr>
        <w:t>C</w:t>
      </w:r>
      <w:r w:rsidR="004C7876" w:rsidRPr="002B005F">
        <w:rPr>
          <w:rFonts w:ascii="Times New Roman" w:hAnsi="Times New Roman" w:cs="Times New Roman"/>
          <w:b/>
          <w:bCs/>
          <w:i/>
          <w:iCs/>
          <w:sz w:val="24"/>
          <w:szCs w:val="24"/>
        </w:rPr>
        <w:t> :</w:t>
      </w:r>
      <w:r w:rsidRPr="002B005F">
        <w:rPr>
          <w:rFonts w:ascii="Times New Roman" w:hAnsi="Times New Roman" w:cs="Times New Roman"/>
          <w:sz w:val="24"/>
          <w:szCs w:val="24"/>
        </w:rPr>
        <w:t xml:space="preserve"> Capital investi.</w:t>
      </w:r>
    </w:p>
    <w:p w14:paraId="175B61DA" w14:textId="77777777" w:rsidR="002760B2" w:rsidRPr="002B005F" w:rsidRDefault="002760B2" w:rsidP="006C1230">
      <w:pPr>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b/>
          <w:bCs/>
          <w:i/>
          <w:iCs/>
          <w:sz w:val="24"/>
          <w:szCs w:val="24"/>
        </w:rPr>
        <w:t>Tr</w:t>
      </w:r>
      <w:r w:rsidR="004C7876" w:rsidRPr="002B005F">
        <w:rPr>
          <w:rFonts w:ascii="Times New Roman" w:hAnsi="Times New Roman" w:cs="Times New Roman"/>
          <w:b/>
          <w:bCs/>
          <w:i/>
          <w:iCs/>
          <w:sz w:val="24"/>
          <w:szCs w:val="24"/>
        </w:rPr>
        <w:t> :</w:t>
      </w:r>
      <w:r w:rsidRPr="002B005F">
        <w:rPr>
          <w:rFonts w:ascii="Times New Roman" w:hAnsi="Times New Roman" w:cs="Times New Roman"/>
          <w:sz w:val="24"/>
          <w:szCs w:val="24"/>
        </w:rPr>
        <w:t xml:space="preserve"> Taux de rendement.</w:t>
      </w:r>
    </w:p>
    <w:p w14:paraId="27C59D19" w14:textId="77777777" w:rsidR="002760B2" w:rsidRPr="002B005F" w:rsidRDefault="002760B2" w:rsidP="006C1230">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b/>
          <w:bCs/>
          <w:i/>
          <w:iCs/>
          <w:sz w:val="24"/>
          <w:szCs w:val="24"/>
        </w:rPr>
        <w:t>N</w:t>
      </w:r>
      <w:r w:rsidR="004C7876" w:rsidRPr="002B005F">
        <w:rPr>
          <w:rFonts w:ascii="Times New Roman" w:hAnsi="Times New Roman" w:cs="Times New Roman"/>
          <w:b/>
          <w:bCs/>
          <w:i/>
          <w:iCs/>
          <w:sz w:val="24"/>
          <w:szCs w:val="24"/>
        </w:rPr>
        <w:t> :</w:t>
      </w:r>
      <w:r w:rsidRPr="002B005F">
        <w:rPr>
          <w:rFonts w:ascii="Times New Roman" w:hAnsi="Times New Roman" w:cs="Times New Roman"/>
          <w:sz w:val="24"/>
          <w:szCs w:val="24"/>
        </w:rPr>
        <w:t xml:space="preserve"> Durée de l’investissement.</w:t>
      </w:r>
    </w:p>
    <w:p w14:paraId="632884B2" w14:textId="3EA652E2" w:rsidR="002760B2" w:rsidRPr="00583EDB" w:rsidRDefault="00F537B1" w:rsidP="00544FF9">
      <w:pPr>
        <w:pStyle w:val="Titre5"/>
        <w:keepNext w:val="0"/>
        <w:keepLines w:val="0"/>
        <w:spacing w:before="100" w:beforeAutospacing="1" w:after="120" w:line="300" w:lineRule="auto"/>
        <w:ind w:firstLine="709"/>
        <w:rPr>
          <w:rFonts w:asciiTheme="majorBidi" w:hAnsiTheme="majorBidi"/>
          <w:b/>
          <w:bCs/>
          <w:color w:val="auto"/>
          <w:sz w:val="24"/>
          <w:szCs w:val="24"/>
        </w:rPr>
      </w:pPr>
      <w:bookmarkStart w:id="207" w:name="_Toc182298614"/>
      <w:r w:rsidRPr="00583EDB">
        <w:rPr>
          <w:rFonts w:asciiTheme="majorBidi" w:hAnsiTheme="majorBidi"/>
          <w:b/>
          <w:bCs/>
          <w:color w:val="auto"/>
          <w:sz w:val="24"/>
          <w:szCs w:val="24"/>
        </w:rPr>
        <w:t xml:space="preserve">1.3.5.2- </w:t>
      </w:r>
      <w:r w:rsidR="00697951" w:rsidRPr="00583EDB">
        <w:rPr>
          <w:rFonts w:asciiTheme="majorBidi" w:hAnsiTheme="majorBidi"/>
          <w:b/>
          <w:bCs/>
          <w:color w:val="auto"/>
          <w:sz w:val="24"/>
          <w:szCs w:val="24"/>
        </w:rPr>
        <w:t>LIBOR et IIBR</w:t>
      </w:r>
      <w:bookmarkEnd w:id="207"/>
    </w:p>
    <w:p w14:paraId="24779ED8" w14:textId="77777777" w:rsidR="002760B2" w:rsidRPr="0062706A" w:rsidRDefault="002760B2" w:rsidP="0062706A">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 xml:space="preserve">A cause de l’absence d’un taux de rendement interbancaire, les BI font recours à </w:t>
      </w:r>
      <w:r w:rsidRPr="0062706A">
        <w:rPr>
          <w:rFonts w:ascii="Times New Roman" w:hAnsi="Times New Roman" w:cs="Times New Roman"/>
          <w:i/>
          <w:iCs/>
          <w:kern w:val="24"/>
          <w:sz w:val="24"/>
          <w:szCs w:val="24"/>
        </w:rPr>
        <w:t xml:space="preserve">London Inter-Bank Offer Rate (LIBOR) </w:t>
      </w:r>
      <w:r w:rsidRPr="0062706A">
        <w:rPr>
          <w:rFonts w:ascii="Times New Roman" w:hAnsi="Times New Roman" w:cs="Times New Roman"/>
          <w:kern w:val="24"/>
          <w:sz w:val="24"/>
          <w:szCs w:val="24"/>
        </w:rPr>
        <w:t xml:space="preserve">comme référence à un taux de rendement et de performance. Le LIBOR, a été principalement utilisé dans le cadre d’une </w:t>
      </w:r>
      <w:r w:rsidRPr="0062706A">
        <w:rPr>
          <w:rFonts w:ascii="Times New Roman" w:hAnsi="Times New Roman" w:cs="Times New Roman"/>
          <w:i/>
          <w:iCs/>
          <w:kern w:val="24"/>
          <w:sz w:val="24"/>
          <w:szCs w:val="24"/>
        </w:rPr>
        <w:t>mourabaha</w:t>
      </w:r>
      <w:r w:rsidRPr="0062706A">
        <w:rPr>
          <w:rFonts w:ascii="Times New Roman" w:hAnsi="Times New Roman" w:cs="Times New Roman"/>
          <w:kern w:val="24"/>
          <w:sz w:val="24"/>
          <w:szCs w:val="24"/>
        </w:rPr>
        <w:t xml:space="preserve">, d’un </w:t>
      </w:r>
      <w:r w:rsidRPr="0062706A">
        <w:rPr>
          <w:rFonts w:ascii="Times New Roman" w:hAnsi="Times New Roman" w:cs="Times New Roman"/>
          <w:i/>
          <w:kern w:val="24"/>
          <w:sz w:val="24"/>
          <w:szCs w:val="24"/>
        </w:rPr>
        <w:t>ijara</w:t>
      </w:r>
      <w:r w:rsidRPr="0062706A">
        <w:rPr>
          <w:rFonts w:ascii="Times New Roman" w:hAnsi="Times New Roman" w:cs="Times New Roman"/>
          <w:kern w:val="24"/>
          <w:sz w:val="24"/>
          <w:szCs w:val="24"/>
        </w:rPr>
        <w:t xml:space="preserve"> ou d’un </w:t>
      </w:r>
      <w:r w:rsidRPr="0062706A">
        <w:rPr>
          <w:rFonts w:ascii="Times New Roman" w:hAnsi="Times New Roman" w:cs="Times New Roman"/>
          <w:i/>
          <w:kern w:val="24"/>
          <w:sz w:val="24"/>
          <w:szCs w:val="24"/>
        </w:rPr>
        <w:t>sak</w:t>
      </w:r>
      <w:r w:rsidRPr="0062706A">
        <w:rPr>
          <w:rFonts w:ascii="Times New Roman" w:hAnsi="Times New Roman" w:cs="Times New Roman"/>
          <w:kern w:val="24"/>
          <w:sz w:val="24"/>
          <w:szCs w:val="24"/>
        </w:rPr>
        <w:t xml:space="preserve"> (nous développerons ces techniques de financement </w:t>
      </w:r>
      <w:r w:rsidR="00B0520D"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Pr="0062706A">
        <w:rPr>
          <w:rFonts w:ascii="Times New Roman" w:hAnsi="Times New Roman" w:cs="Times New Roman"/>
          <w:kern w:val="24"/>
          <w:sz w:val="24"/>
          <w:szCs w:val="24"/>
        </w:rPr>
        <w:t xml:space="preserve"> dans les sections suivantes).</w:t>
      </w:r>
    </w:p>
    <w:p w14:paraId="1C1599D1" w14:textId="77777777" w:rsidR="002760B2" w:rsidRPr="0062706A" w:rsidRDefault="002760B2" w:rsidP="0062706A">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 xml:space="preserve">Historiquement, trois facteurs ont été à l’origine de l’utilisation du LIBOR en finance </w:t>
      </w:r>
      <w:r w:rsidR="00505EDD"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Pr="0062706A">
        <w:rPr>
          <w:rStyle w:val="Appelnotedebasdep"/>
          <w:rFonts w:ascii="Times New Roman" w:hAnsi="Times New Roman"/>
          <w:kern w:val="24"/>
          <w:sz w:val="24"/>
          <w:szCs w:val="24"/>
        </w:rPr>
        <w:footnoteReference w:id="71"/>
      </w:r>
      <w:r w:rsidRPr="0062706A">
        <w:rPr>
          <w:rFonts w:ascii="Times New Roman" w:hAnsi="Times New Roman" w:cs="Times New Roman"/>
          <w:kern w:val="24"/>
          <w:sz w:val="24"/>
          <w:szCs w:val="24"/>
        </w:rPr>
        <w:t xml:space="preserve">. D’abord, les BI étaient à la recherche d’un taux qui leur permettrait d’intégrer le marché international de capitaux. Puis, avec l’adoption de la finance </w:t>
      </w:r>
      <w:r w:rsidR="00505EDD"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Pr="0062706A">
        <w:rPr>
          <w:rFonts w:ascii="Times New Roman" w:hAnsi="Times New Roman" w:cs="Times New Roman"/>
          <w:kern w:val="24"/>
          <w:sz w:val="24"/>
          <w:szCs w:val="24"/>
        </w:rPr>
        <w:t xml:space="preserve"> par des banques conventionnelles, celles-ci se devaient trouver une référence comparable contre leur coût de financement dans le système conventionnel, qui se trouvait être le LIBOR. Enfin, la coexistence de la finance </w:t>
      </w:r>
      <w:r w:rsidR="00B0520D"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Pr="0062706A">
        <w:rPr>
          <w:rFonts w:ascii="Times New Roman" w:hAnsi="Times New Roman" w:cs="Times New Roman"/>
          <w:kern w:val="24"/>
          <w:sz w:val="24"/>
          <w:szCs w:val="24"/>
        </w:rPr>
        <w:t xml:space="preserve"> avec la finance conventionnelle a créé une certaine concurrence qui nécessitait l’utilisation de la même référence afin d’attirer les déposants.</w:t>
      </w:r>
    </w:p>
    <w:p w14:paraId="03BA9622" w14:textId="497EBA4D" w:rsidR="002760B2" w:rsidRPr="0062706A" w:rsidRDefault="002760B2" w:rsidP="0062706A">
      <w:pPr>
        <w:tabs>
          <w:tab w:val="left" w:pos="0"/>
        </w:tabs>
        <w:autoSpaceDE w:val="0"/>
        <w:autoSpaceDN w:val="0"/>
        <w:adjustRightInd w:val="0"/>
        <w:spacing w:before="120" w:line="300" w:lineRule="auto"/>
        <w:ind w:firstLine="709"/>
        <w:rPr>
          <w:rFonts w:ascii="Times New Roman" w:hAnsi="Times New Roman" w:cs="Times New Roman"/>
          <w:color w:val="222222"/>
          <w:kern w:val="24"/>
          <w:sz w:val="24"/>
          <w:szCs w:val="24"/>
        </w:rPr>
      </w:pPr>
      <w:r w:rsidRPr="0062706A">
        <w:rPr>
          <w:rFonts w:ascii="Times New Roman" w:hAnsi="Times New Roman" w:cs="Times New Roman"/>
          <w:kern w:val="24"/>
          <w:sz w:val="24"/>
          <w:szCs w:val="24"/>
        </w:rPr>
        <w:t xml:space="preserve">Indépendamment de diverses justifications fournies pour sa pratique, l’utilisation d’un taux d’intérêt est interdite par la </w:t>
      </w:r>
      <w:r w:rsidR="00A5400B" w:rsidRPr="0062706A">
        <w:rPr>
          <w:rFonts w:ascii="Times New Roman" w:hAnsi="Times New Roman" w:cs="Times New Roman"/>
          <w:i/>
          <w:kern w:val="24"/>
          <w:sz w:val="24"/>
          <w:szCs w:val="24"/>
        </w:rPr>
        <w:t>Shariah</w:t>
      </w:r>
      <w:r w:rsidRPr="0062706A">
        <w:rPr>
          <w:rFonts w:ascii="Times New Roman" w:hAnsi="Times New Roman" w:cs="Times New Roman"/>
          <w:kern w:val="24"/>
          <w:sz w:val="24"/>
          <w:szCs w:val="24"/>
        </w:rPr>
        <w:t xml:space="preserve"> et ne peut être pris comme étant une référence d’un taux de rendement. C’est pour cette raison, qu’en fin 2011 un taux interbancaire </w:t>
      </w:r>
      <w:r w:rsidR="00505EDD"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Pr="0062706A">
        <w:rPr>
          <w:rFonts w:ascii="Times New Roman" w:hAnsi="Times New Roman" w:cs="Times New Roman"/>
          <w:kern w:val="24"/>
          <w:sz w:val="24"/>
          <w:szCs w:val="24"/>
        </w:rPr>
        <w:t xml:space="preserve"> fût crée pour remplacer l’utilisation du LIBOR lors</w:t>
      </w:r>
      <w:r w:rsidRPr="0062706A">
        <w:rPr>
          <w:rFonts w:ascii="Times New Roman" w:hAnsi="Times New Roman" w:cs="Times New Roman"/>
          <w:color w:val="000000"/>
          <w:kern w:val="24"/>
          <w:sz w:val="24"/>
          <w:szCs w:val="24"/>
        </w:rPr>
        <w:t xml:space="preserve"> de la 18</w:t>
      </w:r>
      <w:r w:rsidRPr="0062706A">
        <w:rPr>
          <w:rFonts w:ascii="Times New Roman" w:hAnsi="Times New Roman" w:cs="Times New Roman"/>
          <w:color w:val="000000"/>
          <w:kern w:val="24"/>
          <w:sz w:val="24"/>
          <w:szCs w:val="24"/>
          <w:vertAlign w:val="superscript"/>
        </w:rPr>
        <w:t>ème</w:t>
      </w:r>
      <w:r w:rsidRPr="0062706A">
        <w:rPr>
          <w:rFonts w:ascii="Times New Roman" w:hAnsi="Times New Roman" w:cs="Times New Roman"/>
          <w:color w:val="000000"/>
          <w:kern w:val="24"/>
          <w:sz w:val="24"/>
          <w:szCs w:val="24"/>
        </w:rPr>
        <w:t xml:space="preserve">conférence mondiale annuelle des banques </w:t>
      </w:r>
      <w:r w:rsidR="00B0520D" w:rsidRPr="0062706A">
        <w:rPr>
          <w:rFonts w:ascii="Times New Roman" w:hAnsi="Times New Roman" w:cs="Times New Roman"/>
          <w:color w:val="000000"/>
          <w:kern w:val="24"/>
          <w:sz w:val="24"/>
          <w:szCs w:val="24"/>
        </w:rPr>
        <w:t>i</w:t>
      </w:r>
      <w:r w:rsidR="003773C6" w:rsidRPr="0062706A">
        <w:rPr>
          <w:rFonts w:ascii="Times New Roman" w:hAnsi="Times New Roman" w:cs="Times New Roman"/>
          <w:color w:val="000000"/>
          <w:kern w:val="24"/>
          <w:sz w:val="24"/>
          <w:szCs w:val="24"/>
        </w:rPr>
        <w:t>slamique</w:t>
      </w:r>
      <w:r w:rsidRPr="0062706A">
        <w:rPr>
          <w:rFonts w:ascii="Times New Roman" w:hAnsi="Times New Roman" w:cs="Times New Roman"/>
          <w:color w:val="000000"/>
          <w:kern w:val="24"/>
          <w:sz w:val="24"/>
          <w:szCs w:val="24"/>
        </w:rPr>
        <w:t>s tenue au Bahreïn, (l</w:t>
      </w:r>
      <w:r w:rsidR="008C3C4C" w:rsidRPr="0062706A">
        <w:rPr>
          <w:rFonts w:ascii="Times New Roman" w:hAnsi="Times New Roman" w:cs="Times New Roman"/>
          <w:color w:val="000000"/>
          <w:kern w:val="24"/>
          <w:sz w:val="24"/>
          <w:szCs w:val="24"/>
        </w:rPr>
        <w:t>e 22 novembre2011) : c’est le « </w:t>
      </w:r>
      <w:r w:rsidRPr="0062706A">
        <w:rPr>
          <w:rFonts w:ascii="Times New Roman" w:hAnsi="Times New Roman" w:cs="Times New Roman"/>
          <w:color w:val="000000"/>
          <w:kern w:val="24"/>
          <w:sz w:val="24"/>
          <w:szCs w:val="24"/>
        </w:rPr>
        <w:t xml:space="preserve">taux interbancaire de référence </w:t>
      </w:r>
      <w:r w:rsidR="00B0520D" w:rsidRPr="0062706A">
        <w:rPr>
          <w:rFonts w:ascii="Times New Roman" w:hAnsi="Times New Roman" w:cs="Times New Roman"/>
          <w:color w:val="000000"/>
          <w:kern w:val="24"/>
          <w:sz w:val="24"/>
          <w:szCs w:val="24"/>
        </w:rPr>
        <w:t>i</w:t>
      </w:r>
      <w:r w:rsidR="003773C6" w:rsidRPr="0062706A">
        <w:rPr>
          <w:rFonts w:ascii="Times New Roman" w:hAnsi="Times New Roman" w:cs="Times New Roman"/>
          <w:color w:val="000000"/>
          <w:kern w:val="24"/>
          <w:sz w:val="24"/>
          <w:szCs w:val="24"/>
        </w:rPr>
        <w:t>slamique</w:t>
      </w:r>
      <w:r w:rsidRPr="0062706A">
        <w:rPr>
          <w:rFonts w:ascii="Times New Roman" w:hAnsi="Times New Roman" w:cs="Times New Roman"/>
          <w:color w:val="000000"/>
          <w:kern w:val="24"/>
          <w:sz w:val="24"/>
          <w:szCs w:val="24"/>
        </w:rPr>
        <w:t xml:space="preserve"> </w:t>
      </w:r>
      <w:r w:rsidRPr="0062706A">
        <w:rPr>
          <w:rFonts w:ascii="Times New Roman" w:hAnsi="Times New Roman" w:cs="Times New Roman"/>
          <w:i/>
          <w:iCs/>
          <w:color w:val="000000"/>
          <w:kern w:val="24"/>
          <w:sz w:val="24"/>
          <w:szCs w:val="24"/>
        </w:rPr>
        <w:t>(IIBR)</w:t>
      </w:r>
      <w:r w:rsidR="008C3C4C" w:rsidRPr="0062706A">
        <w:rPr>
          <w:rFonts w:ascii="Times New Roman" w:hAnsi="Times New Roman" w:cs="Times New Roman"/>
          <w:i/>
          <w:iCs/>
          <w:color w:val="000000"/>
          <w:kern w:val="24"/>
          <w:sz w:val="24"/>
          <w:szCs w:val="24"/>
        </w:rPr>
        <w:t> ».</w:t>
      </w:r>
    </w:p>
    <w:p w14:paraId="281E5A77" w14:textId="77777777" w:rsidR="002760B2" w:rsidRPr="0062706A" w:rsidRDefault="002760B2" w:rsidP="0062706A">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color w:val="000000"/>
          <w:kern w:val="24"/>
          <w:sz w:val="24"/>
          <w:szCs w:val="24"/>
        </w:rPr>
        <w:t xml:space="preserve">Cet indice a été développé par Thomson Reuters en collaboration avec l’Accounting and Auditing Organisation for </w:t>
      </w:r>
      <w:r w:rsidR="00F34669" w:rsidRPr="0062706A">
        <w:rPr>
          <w:rFonts w:ascii="Times New Roman" w:hAnsi="Times New Roman" w:cs="Times New Roman"/>
          <w:color w:val="000000"/>
          <w:kern w:val="24"/>
          <w:sz w:val="24"/>
          <w:szCs w:val="24"/>
        </w:rPr>
        <w:t>Islam</w:t>
      </w:r>
      <w:r w:rsidRPr="0062706A">
        <w:rPr>
          <w:rFonts w:ascii="Times New Roman" w:hAnsi="Times New Roman" w:cs="Times New Roman"/>
          <w:color w:val="000000"/>
          <w:kern w:val="24"/>
          <w:sz w:val="24"/>
          <w:szCs w:val="24"/>
        </w:rPr>
        <w:t xml:space="preserve">ic Financial Institutions (AAOIFI), l’Association des banques de Bahrain, Hawkamah Institute for Corporate Governance, la Banque </w:t>
      </w:r>
      <w:r w:rsidR="003773C6" w:rsidRPr="0062706A">
        <w:rPr>
          <w:rFonts w:ascii="Times New Roman" w:hAnsi="Times New Roman" w:cs="Times New Roman"/>
          <w:color w:val="000000"/>
          <w:kern w:val="24"/>
          <w:sz w:val="24"/>
          <w:szCs w:val="24"/>
        </w:rPr>
        <w:t>Islamique</w:t>
      </w:r>
      <w:r w:rsidR="00B0520D" w:rsidRPr="0062706A">
        <w:rPr>
          <w:rFonts w:ascii="Times New Roman" w:hAnsi="Times New Roman" w:cs="Times New Roman"/>
          <w:color w:val="000000"/>
          <w:kern w:val="24"/>
          <w:sz w:val="24"/>
          <w:szCs w:val="24"/>
        </w:rPr>
        <w:t xml:space="preserve"> de </w:t>
      </w:r>
      <w:r w:rsidR="00B0520D" w:rsidRPr="0062706A">
        <w:rPr>
          <w:rFonts w:ascii="Times New Roman" w:hAnsi="Times New Roman" w:cs="Times New Roman"/>
          <w:color w:val="000000"/>
          <w:kern w:val="24"/>
          <w:sz w:val="24"/>
          <w:szCs w:val="24"/>
        </w:rPr>
        <w:lastRenderedPageBreak/>
        <w:t>D</w:t>
      </w:r>
      <w:r w:rsidRPr="0062706A">
        <w:rPr>
          <w:rFonts w:ascii="Times New Roman" w:hAnsi="Times New Roman" w:cs="Times New Roman"/>
          <w:color w:val="000000"/>
          <w:kern w:val="24"/>
          <w:sz w:val="24"/>
          <w:szCs w:val="24"/>
        </w:rPr>
        <w:t xml:space="preserve">éveloppement (BID), CIMB Bank, RHB Bank, Bahrain and Dubai </w:t>
      </w:r>
      <w:r w:rsidR="00F34669" w:rsidRPr="0062706A">
        <w:rPr>
          <w:rFonts w:ascii="Times New Roman" w:hAnsi="Times New Roman" w:cs="Times New Roman"/>
          <w:color w:val="000000"/>
          <w:kern w:val="24"/>
          <w:sz w:val="24"/>
          <w:szCs w:val="24"/>
        </w:rPr>
        <w:t>Islam</w:t>
      </w:r>
      <w:r w:rsidRPr="0062706A">
        <w:rPr>
          <w:rFonts w:ascii="Times New Roman" w:hAnsi="Times New Roman" w:cs="Times New Roman"/>
          <w:color w:val="000000"/>
          <w:kern w:val="24"/>
          <w:sz w:val="24"/>
          <w:szCs w:val="24"/>
        </w:rPr>
        <w:t xml:space="preserve">ic Banks, Al Hilal and Al </w:t>
      </w:r>
      <w:r w:rsidRPr="0062706A">
        <w:rPr>
          <w:rFonts w:ascii="Times New Roman" w:hAnsi="Times New Roman" w:cs="Times New Roman"/>
          <w:i/>
          <w:color w:val="000000"/>
          <w:kern w:val="24"/>
          <w:sz w:val="24"/>
          <w:szCs w:val="24"/>
        </w:rPr>
        <w:t>Salam</w:t>
      </w:r>
      <w:r w:rsidRPr="0062706A">
        <w:rPr>
          <w:rFonts w:ascii="Times New Roman" w:hAnsi="Times New Roman" w:cs="Times New Roman"/>
          <w:color w:val="000000"/>
          <w:kern w:val="24"/>
          <w:sz w:val="24"/>
          <w:szCs w:val="24"/>
        </w:rPr>
        <w:t xml:space="preserve"> Banks, Kuwait Finance House…</w:t>
      </w:r>
    </w:p>
    <w:p w14:paraId="2F813EFA" w14:textId="6D46D9B2" w:rsidR="002760B2" w:rsidRPr="0062706A" w:rsidRDefault="002760B2" w:rsidP="0062706A">
      <w:pPr>
        <w:tabs>
          <w:tab w:val="left" w:pos="0"/>
        </w:tabs>
        <w:autoSpaceDE w:val="0"/>
        <w:autoSpaceDN w:val="0"/>
        <w:adjustRightInd w:val="0"/>
        <w:spacing w:before="120" w:line="300" w:lineRule="auto"/>
        <w:ind w:firstLine="709"/>
        <w:rPr>
          <w:rFonts w:ascii="Times New Roman" w:hAnsi="Times New Roman" w:cs="Times New Roman"/>
          <w:color w:val="000000"/>
          <w:kern w:val="24"/>
          <w:sz w:val="24"/>
          <w:szCs w:val="24"/>
        </w:rPr>
      </w:pPr>
      <w:r w:rsidRPr="0062706A">
        <w:rPr>
          <w:rFonts w:ascii="Times New Roman" w:hAnsi="Times New Roman" w:cs="Times New Roman"/>
          <w:color w:val="000000"/>
          <w:kern w:val="24"/>
          <w:sz w:val="24"/>
          <w:szCs w:val="24"/>
        </w:rPr>
        <w:t xml:space="preserve">Ce taux sera utilisé comme base pour fixer le prix d'un large éventail d'instruments financiers </w:t>
      </w:r>
      <w:r w:rsidR="00B0520D" w:rsidRPr="0062706A">
        <w:rPr>
          <w:rFonts w:ascii="Times New Roman" w:hAnsi="Times New Roman" w:cs="Times New Roman"/>
          <w:color w:val="000000"/>
          <w:kern w:val="24"/>
          <w:sz w:val="24"/>
          <w:szCs w:val="24"/>
        </w:rPr>
        <w:t>i</w:t>
      </w:r>
      <w:r w:rsidR="003773C6" w:rsidRPr="0062706A">
        <w:rPr>
          <w:rFonts w:ascii="Times New Roman" w:hAnsi="Times New Roman" w:cs="Times New Roman"/>
          <w:color w:val="000000"/>
          <w:kern w:val="24"/>
          <w:sz w:val="24"/>
          <w:szCs w:val="24"/>
        </w:rPr>
        <w:t>slamique</w:t>
      </w:r>
      <w:r w:rsidRPr="0062706A">
        <w:rPr>
          <w:rFonts w:ascii="Times New Roman" w:hAnsi="Times New Roman" w:cs="Times New Roman"/>
          <w:color w:val="000000"/>
          <w:kern w:val="24"/>
          <w:sz w:val="24"/>
          <w:szCs w:val="24"/>
        </w:rPr>
        <w:t xml:space="preserve">s, y compris les </w:t>
      </w:r>
      <w:r w:rsidR="002C67F4" w:rsidRPr="0062706A">
        <w:rPr>
          <w:rFonts w:ascii="Times New Roman" w:hAnsi="Times New Roman" w:cs="Times New Roman"/>
          <w:i/>
          <w:color w:val="000000"/>
          <w:kern w:val="24"/>
          <w:sz w:val="24"/>
          <w:szCs w:val="24"/>
        </w:rPr>
        <w:t>sukuk</w:t>
      </w:r>
      <w:r w:rsidRPr="0062706A">
        <w:rPr>
          <w:rFonts w:ascii="Times New Roman" w:hAnsi="Times New Roman" w:cs="Times New Roman"/>
          <w:color w:val="000000"/>
          <w:kern w:val="24"/>
          <w:sz w:val="24"/>
          <w:szCs w:val="24"/>
        </w:rPr>
        <w:t xml:space="preserve"> (obligations </w:t>
      </w:r>
      <w:r w:rsidR="00B0520D" w:rsidRPr="0062706A">
        <w:rPr>
          <w:rFonts w:ascii="Times New Roman" w:hAnsi="Times New Roman" w:cs="Times New Roman"/>
          <w:color w:val="000000"/>
          <w:kern w:val="24"/>
          <w:sz w:val="24"/>
          <w:szCs w:val="24"/>
        </w:rPr>
        <w:t>i</w:t>
      </w:r>
      <w:r w:rsidR="003773C6" w:rsidRPr="0062706A">
        <w:rPr>
          <w:rFonts w:ascii="Times New Roman" w:hAnsi="Times New Roman" w:cs="Times New Roman"/>
          <w:color w:val="000000"/>
          <w:kern w:val="24"/>
          <w:sz w:val="24"/>
          <w:szCs w:val="24"/>
        </w:rPr>
        <w:t>slamique</w:t>
      </w:r>
      <w:r w:rsidRPr="0062706A">
        <w:rPr>
          <w:rFonts w:ascii="Times New Roman" w:hAnsi="Times New Roman" w:cs="Times New Roman"/>
          <w:color w:val="000000"/>
          <w:kern w:val="24"/>
          <w:sz w:val="24"/>
          <w:szCs w:val="24"/>
        </w:rPr>
        <w:t xml:space="preserve">s), le financement des entreprises et des accords communs de trésorerie </w:t>
      </w:r>
      <w:r w:rsidR="00B0520D" w:rsidRPr="0062706A">
        <w:rPr>
          <w:rFonts w:ascii="Times New Roman" w:hAnsi="Times New Roman" w:cs="Times New Roman"/>
          <w:color w:val="000000"/>
          <w:kern w:val="24"/>
          <w:sz w:val="24"/>
          <w:szCs w:val="24"/>
        </w:rPr>
        <w:t>i</w:t>
      </w:r>
      <w:r w:rsidR="003773C6" w:rsidRPr="0062706A">
        <w:rPr>
          <w:rFonts w:ascii="Times New Roman" w:hAnsi="Times New Roman" w:cs="Times New Roman"/>
          <w:color w:val="000000"/>
          <w:kern w:val="24"/>
          <w:sz w:val="24"/>
          <w:szCs w:val="24"/>
        </w:rPr>
        <w:t>slamique</w:t>
      </w:r>
      <w:r w:rsidRPr="0062706A">
        <w:rPr>
          <w:rFonts w:ascii="Times New Roman" w:hAnsi="Times New Roman" w:cs="Times New Roman"/>
          <w:color w:val="000000"/>
          <w:kern w:val="24"/>
          <w:sz w:val="24"/>
          <w:szCs w:val="24"/>
        </w:rPr>
        <w:t>s. Le nouveau système est basé sur le taux de rend</w:t>
      </w:r>
      <w:r w:rsidR="008435D5" w:rsidRPr="0062706A">
        <w:rPr>
          <w:rFonts w:ascii="Times New Roman" w:hAnsi="Times New Roman" w:cs="Times New Roman"/>
          <w:color w:val="000000"/>
          <w:kern w:val="24"/>
          <w:sz w:val="24"/>
          <w:szCs w:val="24"/>
        </w:rPr>
        <w:t>ement du capital utilisé par la banque</w:t>
      </w:r>
      <w:r w:rsidRPr="0062706A">
        <w:rPr>
          <w:rFonts w:ascii="Times New Roman" w:hAnsi="Times New Roman" w:cs="Times New Roman"/>
          <w:color w:val="000000"/>
          <w:kern w:val="24"/>
          <w:sz w:val="24"/>
          <w:szCs w:val="24"/>
        </w:rPr>
        <w:t xml:space="preserve"> </w:t>
      </w:r>
      <w:r w:rsidR="00505EDD" w:rsidRPr="0062706A">
        <w:rPr>
          <w:rFonts w:ascii="Times New Roman" w:hAnsi="Times New Roman" w:cs="Times New Roman"/>
          <w:color w:val="000000"/>
          <w:kern w:val="24"/>
          <w:sz w:val="24"/>
          <w:szCs w:val="24"/>
        </w:rPr>
        <w:t>i</w:t>
      </w:r>
      <w:r w:rsidR="003773C6" w:rsidRPr="0062706A">
        <w:rPr>
          <w:rFonts w:ascii="Times New Roman" w:hAnsi="Times New Roman" w:cs="Times New Roman"/>
          <w:color w:val="000000"/>
          <w:kern w:val="24"/>
          <w:sz w:val="24"/>
          <w:szCs w:val="24"/>
        </w:rPr>
        <w:t>slamique</w:t>
      </w:r>
      <w:r w:rsidRPr="0062706A">
        <w:rPr>
          <w:rFonts w:ascii="Times New Roman" w:hAnsi="Times New Roman" w:cs="Times New Roman"/>
          <w:color w:val="000000"/>
          <w:kern w:val="24"/>
          <w:sz w:val="24"/>
          <w:szCs w:val="24"/>
        </w:rPr>
        <w:t>, représent</w:t>
      </w:r>
      <w:r w:rsidR="0062706A" w:rsidRPr="0062706A">
        <w:rPr>
          <w:rFonts w:ascii="Times New Roman" w:hAnsi="Times New Roman" w:cs="Times New Roman"/>
          <w:color w:val="000000"/>
          <w:kern w:val="24"/>
          <w:sz w:val="24"/>
          <w:szCs w:val="24"/>
        </w:rPr>
        <w:t>ant</w:t>
      </w:r>
      <w:r w:rsidRPr="0062706A">
        <w:rPr>
          <w:rFonts w:ascii="Times New Roman" w:hAnsi="Times New Roman" w:cs="Times New Roman"/>
          <w:color w:val="000000"/>
          <w:kern w:val="24"/>
          <w:sz w:val="24"/>
          <w:szCs w:val="24"/>
        </w:rPr>
        <w:t xml:space="preserve"> le taux de profit moyen auquel les offres sont faites pour les transactions interbancaires compatibles à la </w:t>
      </w:r>
      <w:r w:rsidR="00A5400B" w:rsidRPr="0062706A">
        <w:rPr>
          <w:rFonts w:ascii="Times New Roman" w:hAnsi="Times New Roman" w:cs="Times New Roman"/>
          <w:i/>
          <w:kern w:val="24"/>
          <w:sz w:val="24"/>
          <w:szCs w:val="24"/>
        </w:rPr>
        <w:t>Shariah</w:t>
      </w:r>
      <w:r w:rsidRPr="0062706A">
        <w:rPr>
          <w:rFonts w:ascii="Times New Roman" w:hAnsi="Times New Roman" w:cs="Times New Roman"/>
          <w:color w:val="000000"/>
          <w:kern w:val="24"/>
          <w:sz w:val="24"/>
          <w:szCs w:val="24"/>
        </w:rPr>
        <w:t>.</w:t>
      </w:r>
    </w:p>
    <w:p w14:paraId="0C59DC0F" w14:textId="77777777" w:rsidR="002760B2" w:rsidRPr="0062706A" w:rsidRDefault="002760B2" w:rsidP="0062706A">
      <w:pPr>
        <w:tabs>
          <w:tab w:val="left" w:pos="0"/>
        </w:tabs>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En général, dans une activité financière, le risque et le rendement doivent être partagés équitablement entre les parties liées à cette activité. En cas de réalisation d’un profit, ce dernier sera réparti selon les proportions déterminées à l’avance entre le bailleur des fonds (banque ou établissement financier différent), tandis que l’entrepreneur perd, lui, le fruit de ses efforts et le temps engagé dans son activité.</w:t>
      </w:r>
    </w:p>
    <w:p w14:paraId="6E5BD9C1" w14:textId="77777777" w:rsidR="002760B2" w:rsidRPr="0062706A" w:rsidRDefault="00C12500" w:rsidP="007F1103">
      <w:pPr>
        <w:pStyle w:val="Titre4"/>
        <w:keepNext w:val="0"/>
        <w:spacing w:before="100" w:beforeAutospacing="1" w:after="120" w:line="300" w:lineRule="auto"/>
        <w:ind w:firstLine="709"/>
        <w:rPr>
          <w:kern w:val="24"/>
        </w:rPr>
      </w:pPr>
      <w:bookmarkStart w:id="208" w:name="_Toc33263221"/>
      <w:bookmarkStart w:id="209" w:name="_Toc37664473"/>
      <w:bookmarkStart w:id="210" w:name="_Toc37666318"/>
      <w:bookmarkStart w:id="211" w:name="_Toc54363207"/>
      <w:bookmarkStart w:id="212" w:name="_Toc58606223"/>
      <w:bookmarkStart w:id="213" w:name="_Toc61263428"/>
      <w:bookmarkStart w:id="214" w:name="_Toc182298615"/>
      <w:r w:rsidRPr="0062706A">
        <w:rPr>
          <w:kern w:val="24"/>
        </w:rPr>
        <w:t xml:space="preserve">1.3.6- </w:t>
      </w:r>
      <w:r w:rsidR="003327A8" w:rsidRPr="0062706A">
        <w:rPr>
          <w:kern w:val="24"/>
        </w:rPr>
        <w:t>P</w:t>
      </w:r>
      <w:r w:rsidR="002760B2" w:rsidRPr="0062706A">
        <w:rPr>
          <w:kern w:val="24"/>
        </w:rPr>
        <w:t xml:space="preserve">rincipe d’adossement des transactions à des actifs </w:t>
      </w:r>
      <w:bookmarkEnd w:id="208"/>
      <w:bookmarkEnd w:id="209"/>
      <w:bookmarkEnd w:id="210"/>
      <w:bookmarkEnd w:id="211"/>
      <w:bookmarkEnd w:id="212"/>
      <w:bookmarkEnd w:id="213"/>
      <w:r w:rsidR="008953D7" w:rsidRPr="0062706A">
        <w:rPr>
          <w:kern w:val="24"/>
        </w:rPr>
        <w:t>identifiables</w:t>
      </w:r>
      <w:bookmarkEnd w:id="214"/>
    </w:p>
    <w:p w14:paraId="54BDA4B1" w14:textId="77777777" w:rsidR="002760B2" w:rsidRPr="0062706A" w:rsidRDefault="00F35311" w:rsidP="0062706A">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L’</w:t>
      </w:r>
      <w:r w:rsidR="00A51560" w:rsidRPr="0062706A">
        <w:rPr>
          <w:rFonts w:ascii="Times New Roman" w:hAnsi="Times New Roman" w:cs="Times New Roman"/>
          <w:i/>
          <w:iCs/>
          <w:kern w:val="24"/>
          <w:sz w:val="24"/>
          <w:szCs w:val="24"/>
        </w:rPr>
        <w:t>asset b</w:t>
      </w:r>
      <w:r w:rsidR="00C12500" w:rsidRPr="0062706A">
        <w:rPr>
          <w:rFonts w:ascii="Times New Roman" w:hAnsi="Times New Roman" w:cs="Times New Roman"/>
          <w:i/>
          <w:iCs/>
          <w:kern w:val="24"/>
          <w:sz w:val="24"/>
          <w:szCs w:val="24"/>
        </w:rPr>
        <w:t>acking</w:t>
      </w:r>
      <w:r w:rsidR="002760B2" w:rsidRPr="0062706A">
        <w:rPr>
          <w:rFonts w:ascii="Times New Roman" w:hAnsi="Times New Roman" w:cs="Times New Roman"/>
          <w:kern w:val="24"/>
          <w:sz w:val="24"/>
          <w:szCs w:val="24"/>
        </w:rPr>
        <w:t xml:space="preserve"> ou adossement à un actif tangible, apparaît comme l’un des piliers qui font de la finance </w:t>
      </w:r>
      <w:r w:rsidR="00B0520D"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002760B2" w:rsidRPr="0062706A">
        <w:rPr>
          <w:rFonts w:ascii="Times New Roman" w:hAnsi="Times New Roman" w:cs="Times New Roman"/>
          <w:kern w:val="24"/>
          <w:sz w:val="24"/>
          <w:szCs w:val="24"/>
        </w:rPr>
        <w:t xml:space="preserve"> une finance reconnue pour son potentiel en termes de stabilité et de maîtrise des risques.</w:t>
      </w:r>
    </w:p>
    <w:p w14:paraId="0A640394" w14:textId="4CED0236" w:rsidR="002760B2" w:rsidRPr="0062706A" w:rsidRDefault="002760B2" w:rsidP="0062706A">
      <w:pPr>
        <w:tabs>
          <w:tab w:val="left" w:pos="0"/>
        </w:tabs>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 xml:space="preserve">Selon la </w:t>
      </w:r>
      <w:r w:rsidR="00A5400B" w:rsidRPr="0062706A">
        <w:rPr>
          <w:rFonts w:ascii="Times New Roman" w:hAnsi="Times New Roman" w:cs="Times New Roman"/>
          <w:i/>
          <w:kern w:val="24"/>
          <w:sz w:val="24"/>
          <w:szCs w:val="24"/>
        </w:rPr>
        <w:t>Shariah</w:t>
      </w:r>
      <w:r w:rsidRPr="0062706A">
        <w:rPr>
          <w:rFonts w:ascii="Times New Roman" w:hAnsi="Times New Roman" w:cs="Times New Roman"/>
          <w:kern w:val="24"/>
          <w:sz w:val="24"/>
          <w:szCs w:val="24"/>
        </w:rPr>
        <w:t xml:space="preserve">, toute transaction </w:t>
      </w:r>
      <w:r w:rsidR="008953D7" w:rsidRPr="0062706A">
        <w:rPr>
          <w:rFonts w:ascii="Times New Roman" w:hAnsi="Times New Roman" w:cs="Times New Roman"/>
          <w:kern w:val="24"/>
          <w:sz w:val="24"/>
          <w:szCs w:val="24"/>
        </w:rPr>
        <w:t>(financière, commerciale, locative)</w:t>
      </w:r>
      <w:r w:rsidR="009B4362" w:rsidRPr="0062706A">
        <w:rPr>
          <w:rFonts w:ascii="Times New Roman" w:hAnsi="Times New Roman" w:cs="Times New Roman"/>
          <w:kern w:val="24"/>
          <w:sz w:val="24"/>
          <w:szCs w:val="24"/>
        </w:rPr>
        <w:t xml:space="preserve"> doit être adossé</w:t>
      </w:r>
      <w:r w:rsidRPr="0062706A">
        <w:rPr>
          <w:rFonts w:ascii="Times New Roman" w:hAnsi="Times New Roman" w:cs="Times New Roman"/>
          <w:kern w:val="24"/>
          <w:sz w:val="24"/>
          <w:szCs w:val="24"/>
        </w:rPr>
        <w:t xml:space="preserve"> par un actif </w:t>
      </w:r>
      <w:r w:rsidR="00003CE2" w:rsidRPr="0062706A">
        <w:rPr>
          <w:rFonts w:ascii="Times New Roman" w:hAnsi="Times New Roman" w:cs="Times New Roman"/>
          <w:kern w:val="24"/>
          <w:sz w:val="24"/>
          <w:szCs w:val="24"/>
        </w:rPr>
        <w:t>identifiable c’est-à-dire que l’on peut vérifier son existence par une preuve tangible ; elle peut être</w:t>
      </w:r>
      <w:r w:rsidRPr="0062706A">
        <w:rPr>
          <w:rFonts w:ascii="Times New Roman" w:hAnsi="Times New Roman" w:cs="Times New Roman"/>
          <w:kern w:val="24"/>
          <w:sz w:val="24"/>
          <w:szCs w:val="24"/>
        </w:rPr>
        <w:t xml:space="preserve"> matériel</w:t>
      </w:r>
      <w:r w:rsidR="00003CE2" w:rsidRPr="0062706A">
        <w:rPr>
          <w:rFonts w:ascii="Times New Roman" w:hAnsi="Times New Roman" w:cs="Times New Roman"/>
          <w:kern w:val="24"/>
          <w:sz w:val="24"/>
          <w:szCs w:val="24"/>
        </w:rPr>
        <w:t>le (marchandise) ou immatériel</w:t>
      </w:r>
      <w:r w:rsidR="004A4626" w:rsidRPr="0062706A">
        <w:rPr>
          <w:rFonts w:ascii="Times New Roman" w:hAnsi="Times New Roman" w:cs="Times New Roman"/>
          <w:kern w:val="24"/>
          <w:sz w:val="24"/>
          <w:szCs w:val="24"/>
        </w:rPr>
        <w:t>le</w:t>
      </w:r>
      <w:r w:rsidR="00003CE2" w:rsidRPr="0062706A">
        <w:rPr>
          <w:rFonts w:ascii="Times New Roman" w:hAnsi="Times New Roman" w:cs="Times New Roman"/>
          <w:kern w:val="24"/>
          <w:sz w:val="24"/>
          <w:szCs w:val="24"/>
        </w:rPr>
        <w:t xml:space="preserve"> (service)</w:t>
      </w:r>
      <w:r w:rsidR="004A4626" w:rsidRPr="0062706A">
        <w:rPr>
          <w:rFonts w:ascii="Times New Roman" w:hAnsi="Times New Roman" w:cs="Times New Roman"/>
          <w:kern w:val="24"/>
          <w:sz w:val="24"/>
          <w:szCs w:val="24"/>
        </w:rPr>
        <w:t xml:space="preserve">. </w:t>
      </w:r>
    </w:p>
    <w:p w14:paraId="39EA001C" w14:textId="77777777" w:rsidR="002760B2" w:rsidRPr="0062706A" w:rsidRDefault="002760B2" w:rsidP="0062706A">
      <w:pPr>
        <w:tabs>
          <w:tab w:val="left" w:pos="0"/>
        </w:tabs>
        <w:autoSpaceDE w:val="0"/>
        <w:autoSpaceDN w:val="0"/>
        <w:adjustRightInd w:val="0"/>
        <w:spacing w:before="100" w:beforeAutospacing="1" w:after="100" w:afterAutospacing="1"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 xml:space="preserve">En plus de renforcer la stabilité et la maîtrise des risques, ce pilier est également une façon pour la finance </w:t>
      </w:r>
      <w:r w:rsidR="00505EDD"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Pr="0062706A">
        <w:rPr>
          <w:rFonts w:ascii="Times New Roman" w:hAnsi="Times New Roman" w:cs="Times New Roman"/>
          <w:kern w:val="24"/>
          <w:sz w:val="24"/>
          <w:szCs w:val="24"/>
        </w:rPr>
        <w:t xml:space="preserve"> de participer au développement de l’économie réelle par la créat</w:t>
      </w:r>
      <w:r w:rsidR="00A51560" w:rsidRPr="0062706A">
        <w:rPr>
          <w:rFonts w:ascii="Times New Roman" w:hAnsi="Times New Roman" w:cs="Times New Roman"/>
          <w:kern w:val="24"/>
          <w:sz w:val="24"/>
          <w:szCs w:val="24"/>
        </w:rPr>
        <w:t>ion d’activités économiques. L’</w:t>
      </w:r>
      <w:r w:rsidR="00A51560" w:rsidRPr="0062706A">
        <w:rPr>
          <w:rFonts w:ascii="Times New Roman" w:hAnsi="Times New Roman" w:cs="Times New Roman"/>
          <w:i/>
          <w:iCs/>
          <w:kern w:val="24"/>
          <w:sz w:val="24"/>
          <w:szCs w:val="24"/>
        </w:rPr>
        <w:t>asset b</w:t>
      </w:r>
      <w:r w:rsidRPr="0062706A">
        <w:rPr>
          <w:rFonts w:ascii="Times New Roman" w:hAnsi="Times New Roman" w:cs="Times New Roman"/>
          <w:i/>
          <w:iCs/>
          <w:kern w:val="24"/>
          <w:sz w:val="24"/>
          <w:szCs w:val="24"/>
        </w:rPr>
        <w:t xml:space="preserve">acking </w:t>
      </w:r>
      <w:r w:rsidRPr="0062706A">
        <w:rPr>
          <w:rFonts w:ascii="Times New Roman" w:hAnsi="Times New Roman" w:cs="Times New Roman"/>
          <w:kern w:val="24"/>
          <w:sz w:val="24"/>
          <w:szCs w:val="24"/>
        </w:rPr>
        <w:t>permet notamment de rassurer quant aux problématiques de déconnection de la sphère financière à la sphère réelle.</w:t>
      </w:r>
    </w:p>
    <w:p w14:paraId="6113069D" w14:textId="6999C7E8" w:rsidR="00583EDB" w:rsidRPr="0062706A" w:rsidRDefault="006C1230" w:rsidP="0062706A">
      <w:pPr>
        <w:pStyle w:val="Titre3"/>
        <w:keepNext w:val="0"/>
        <w:keepLines w:val="0"/>
        <w:spacing w:before="100" w:beforeAutospacing="1" w:after="100" w:afterAutospacing="1" w:line="300" w:lineRule="auto"/>
        <w:ind w:firstLine="709"/>
        <w:rPr>
          <w:kern w:val="24"/>
          <w:sz w:val="28"/>
          <w:szCs w:val="28"/>
        </w:rPr>
      </w:pPr>
      <w:bookmarkStart w:id="215" w:name="_Toc182298616"/>
      <w:r w:rsidRPr="0062706A">
        <w:rPr>
          <w:kern w:val="24"/>
          <w:sz w:val="28"/>
          <w:szCs w:val="28"/>
        </w:rPr>
        <w:t xml:space="preserve">1.4- </w:t>
      </w:r>
      <w:r w:rsidR="00E13FA6" w:rsidRPr="0062706A">
        <w:rPr>
          <w:kern w:val="24"/>
          <w:sz w:val="28"/>
          <w:szCs w:val="28"/>
        </w:rPr>
        <w:t>Développement</w:t>
      </w:r>
      <w:r w:rsidR="00583EDB" w:rsidRPr="0062706A">
        <w:rPr>
          <w:kern w:val="24"/>
          <w:sz w:val="28"/>
          <w:szCs w:val="28"/>
        </w:rPr>
        <w:t xml:space="preserve"> de la finance islamique</w:t>
      </w:r>
      <w:bookmarkEnd w:id="215"/>
    </w:p>
    <w:p w14:paraId="31F1AA13" w14:textId="77777777" w:rsidR="002760B2" w:rsidRPr="0062706A" w:rsidRDefault="002760B2" w:rsidP="0062706A">
      <w:pPr>
        <w:tabs>
          <w:tab w:val="left" w:pos="0"/>
        </w:tabs>
        <w:autoSpaceDE w:val="0"/>
        <w:autoSpaceDN w:val="0"/>
        <w:adjustRightInd w:val="0"/>
        <w:spacing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 xml:space="preserve">Très souvent considérée comme une finance nouvelle, l’histoire nous montre que la finance </w:t>
      </w:r>
      <w:r w:rsidR="00C02F34"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Pr="0062706A">
        <w:rPr>
          <w:rFonts w:ascii="Times New Roman" w:hAnsi="Times New Roman" w:cs="Times New Roman"/>
          <w:kern w:val="24"/>
          <w:sz w:val="24"/>
          <w:szCs w:val="24"/>
        </w:rPr>
        <w:t xml:space="preserve"> re</w:t>
      </w:r>
      <w:r w:rsidR="00C12500" w:rsidRPr="0062706A">
        <w:rPr>
          <w:rFonts w:ascii="Times New Roman" w:hAnsi="Times New Roman" w:cs="Times New Roman"/>
          <w:kern w:val="24"/>
          <w:sz w:val="24"/>
          <w:szCs w:val="24"/>
        </w:rPr>
        <w:t>monte à l’avènement de l’</w:t>
      </w:r>
      <w:r w:rsidR="00F34669" w:rsidRPr="0062706A">
        <w:rPr>
          <w:rFonts w:ascii="Times New Roman" w:hAnsi="Times New Roman" w:cs="Times New Roman"/>
          <w:kern w:val="24"/>
          <w:sz w:val="24"/>
          <w:szCs w:val="24"/>
        </w:rPr>
        <w:t>Islam</w:t>
      </w:r>
      <w:r w:rsidR="00BD5933" w:rsidRPr="0062706A">
        <w:rPr>
          <w:rFonts w:ascii="Times New Roman" w:hAnsi="Times New Roman" w:cs="Times New Roman"/>
          <w:kern w:val="24"/>
          <w:sz w:val="24"/>
          <w:szCs w:val="24"/>
        </w:rPr>
        <w:t>. E</w:t>
      </w:r>
      <w:r w:rsidRPr="0062706A">
        <w:rPr>
          <w:rFonts w:ascii="Times New Roman" w:hAnsi="Times New Roman" w:cs="Times New Roman"/>
          <w:kern w:val="24"/>
          <w:sz w:val="24"/>
          <w:szCs w:val="24"/>
        </w:rPr>
        <w:t>n revanche</w:t>
      </w:r>
      <w:r w:rsidR="00BD5933" w:rsidRPr="0062706A">
        <w:rPr>
          <w:rFonts w:ascii="Times New Roman" w:hAnsi="Times New Roman" w:cs="Times New Roman"/>
          <w:kern w:val="24"/>
          <w:sz w:val="24"/>
          <w:szCs w:val="24"/>
        </w:rPr>
        <w:t>, l</w:t>
      </w:r>
      <w:r w:rsidRPr="0062706A">
        <w:rPr>
          <w:rFonts w:ascii="Times New Roman" w:hAnsi="Times New Roman" w:cs="Times New Roman"/>
          <w:kern w:val="24"/>
          <w:sz w:val="24"/>
          <w:szCs w:val="24"/>
        </w:rPr>
        <w:t xml:space="preserve">a pratique </w:t>
      </w:r>
      <w:r w:rsidR="00BD5933" w:rsidRPr="0062706A">
        <w:rPr>
          <w:rFonts w:ascii="Times New Roman" w:hAnsi="Times New Roman" w:cs="Times New Roman"/>
          <w:kern w:val="24"/>
          <w:sz w:val="24"/>
          <w:szCs w:val="24"/>
        </w:rPr>
        <w:t xml:space="preserve">de la finance </w:t>
      </w:r>
      <w:r w:rsidR="00C02F34"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00BD5933" w:rsidRPr="0062706A">
        <w:rPr>
          <w:rFonts w:ascii="Times New Roman" w:hAnsi="Times New Roman" w:cs="Times New Roman"/>
          <w:kern w:val="24"/>
          <w:sz w:val="24"/>
          <w:szCs w:val="24"/>
        </w:rPr>
        <w:t xml:space="preserve"> </w:t>
      </w:r>
      <w:r w:rsidRPr="0062706A">
        <w:rPr>
          <w:rFonts w:ascii="Times New Roman" w:hAnsi="Times New Roman" w:cs="Times New Roman"/>
          <w:kern w:val="24"/>
          <w:sz w:val="24"/>
          <w:szCs w:val="24"/>
        </w:rPr>
        <w:t>telle que nous la c</w:t>
      </w:r>
      <w:r w:rsidR="00BD5933" w:rsidRPr="0062706A">
        <w:rPr>
          <w:rFonts w:ascii="Times New Roman" w:hAnsi="Times New Roman" w:cs="Times New Roman"/>
          <w:kern w:val="24"/>
          <w:sz w:val="24"/>
          <w:szCs w:val="24"/>
        </w:rPr>
        <w:t>onnaissons de nos jours, qualifiée de</w:t>
      </w:r>
      <w:r w:rsidR="00C12500" w:rsidRPr="0062706A">
        <w:rPr>
          <w:rFonts w:ascii="Times New Roman" w:hAnsi="Times New Roman" w:cs="Times New Roman"/>
          <w:kern w:val="24"/>
          <w:sz w:val="24"/>
          <w:szCs w:val="24"/>
        </w:rPr>
        <w:t xml:space="preserve"> « contemporaine »</w:t>
      </w:r>
      <w:r w:rsidRPr="0062706A">
        <w:rPr>
          <w:rFonts w:ascii="Times New Roman" w:hAnsi="Times New Roman" w:cs="Times New Roman"/>
          <w:kern w:val="24"/>
          <w:sz w:val="24"/>
          <w:szCs w:val="24"/>
        </w:rPr>
        <w:t xml:space="preserve">, trouve ses premières traces dans le </w:t>
      </w:r>
      <w:r w:rsidR="005F5EC6" w:rsidRPr="0062706A">
        <w:rPr>
          <w:rFonts w:ascii="Times New Roman" w:hAnsi="Times New Roman" w:cs="Times New Roman"/>
          <w:kern w:val="24"/>
          <w:sz w:val="24"/>
          <w:szCs w:val="24"/>
        </w:rPr>
        <w:t>19</w:t>
      </w:r>
      <w:r w:rsidR="005F5EC6" w:rsidRPr="0062706A">
        <w:rPr>
          <w:rFonts w:ascii="Times New Roman" w:hAnsi="Times New Roman" w:cs="Times New Roman"/>
          <w:kern w:val="24"/>
          <w:sz w:val="24"/>
          <w:szCs w:val="24"/>
          <w:vertAlign w:val="superscript"/>
        </w:rPr>
        <w:t>ème</w:t>
      </w:r>
      <w:r w:rsidRPr="0062706A">
        <w:rPr>
          <w:rFonts w:ascii="Times New Roman" w:hAnsi="Times New Roman" w:cs="Times New Roman"/>
          <w:kern w:val="24"/>
          <w:sz w:val="24"/>
          <w:szCs w:val="24"/>
        </w:rPr>
        <w:t xml:space="preserve"> siècle.</w:t>
      </w:r>
    </w:p>
    <w:p w14:paraId="1F166A1B" w14:textId="77777777" w:rsidR="002760B2" w:rsidRPr="0062706A" w:rsidRDefault="00C12500" w:rsidP="0062706A">
      <w:pPr>
        <w:pStyle w:val="Titre4"/>
        <w:keepNext w:val="0"/>
        <w:spacing w:before="120" w:after="120" w:line="300" w:lineRule="auto"/>
        <w:ind w:firstLine="709"/>
        <w:rPr>
          <w:kern w:val="24"/>
        </w:rPr>
      </w:pPr>
      <w:bookmarkStart w:id="216" w:name="_Toc33263223"/>
      <w:bookmarkStart w:id="217" w:name="_Toc37664475"/>
      <w:bookmarkStart w:id="218" w:name="_Toc37666320"/>
      <w:bookmarkStart w:id="219" w:name="_Toc54363209"/>
      <w:bookmarkStart w:id="220" w:name="_Toc58606225"/>
      <w:bookmarkStart w:id="221" w:name="_Toc61263430"/>
      <w:bookmarkStart w:id="222" w:name="_Toc182298617"/>
      <w:r w:rsidRPr="0062706A">
        <w:rPr>
          <w:kern w:val="24"/>
        </w:rPr>
        <w:t xml:space="preserve">1.4.1- </w:t>
      </w:r>
      <w:r w:rsidR="003327A8" w:rsidRPr="0062706A">
        <w:rPr>
          <w:kern w:val="24"/>
        </w:rPr>
        <w:t>F</w:t>
      </w:r>
      <w:r w:rsidR="00F35311" w:rsidRPr="0062706A">
        <w:rPr>
          <w:kern w:val="24"/>
        </w:rPr>
        <w:t>inance au temps du P</w:t>
      </w:r>
      <w:r w:rsidR="002760B2" w:rsidRPr="0062706A">
        <w:rPr>
          <w:kern w:val="24"/>
        </w:rPr>
        <w:t>rophète</w:t>
      </w:r>
      <w:bookmarkEnd w:id="216"/>
      <w:bookmarkEnd w:id="217"/>
      <w:bookmarkEnd w:id="218"/>
      <w:bookmarkEnd w:id="219"/>
      <w:bookmarkEnd w:id="220"/>
      <w:bookmarkEnd w:id="221"/>
      <w:r w:rsidR="00C02F34" w:rsidRPr="0062706A">
        <w:rPr>
          <w:kern w:val="24"/>
        </w:rPr>
        <w:t xml:space="preserve"> </w:t>
      </w:r>
      <w:r w:rsidR="00C02F34" w:rsidRPr="0062706A">
        <w:rPr>
          <w:noProof/>
          <w:kern w:val="24"/>
          <w:lang w:eastAsia="fr-FR"/>
        </w:rPr>
        <w:drawing>
          <wp:anchor distT="0" distB="0" distL="114300" distR="114300" simplePos="0" relativeHeight="251527168" behindDoc="0" locked="1" layoutInCell="1" allowOverlap="0" wp14:anchorId="6C0D330E" wp14:editId="74446E73">
            <wp:simplePos x="0" y="0"/>
            <wp:positionH relativeFrom="column">
              <wp:posOffset>2834640</wp:posOffset>
            </wp:positionH>
            <wp:positionV relativeFrom="paragraph">
              <wp:posOffset>108585</wp:posOffset>
            </wp:positionV>
            <wp:extent cx="179705" cy="166370"/>
            <wp:effectExtent l="0" t="0" r="0" b="0"/>
            <wp:wrapNone/>
            <wp:docPr id="29"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79705" cy="166370"/>
                    </a:xfrm>
                    <a:prstGeom prst="rect">
                      <a:avLst/>
                    </a:prstGeom>
                    <a:noFill/>
                    <a:ln w="9525">
                      <a:noFill/>
                      <a:miter lim="800000"/>
                      <a:headEnd/>
                      <a:tailEnd/>
                    </a:ln>
                  </pic:spPr>
                </pic:pic>
              </a:graphicData>
            </a:graphic>
          </wp:anchor>
        </w:drawing>
      </w:r>
      <w:bookmarkEnd w:id="222"/>
      <w:r w:rsidR="00C02F34" w:rsidRPr="0062706A">
        <w:rPr>
          <w:kern w:val="24"/>
        </w:rPr>
        <w:t xml:space="preserve">    </w:t>
      </w:r>
    </w:p>
    <w:p w14:paraId="39F1410F" w14:textId="7C42D81B" w:rsidR="002760B2" w:rsidRPr="0062706A" w:rsidRDefault="002760B2" w:rsidP="0062706A">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 xml:space="preserve">La vie étant simple au temps du Prophète </w:t>
      </w:r>
      <w:r w:rsidR="00C02F34" w:rsidRPr="0062706A">
        <w:rPr>
          <w:rFonts w:ascii="Times New Roman" w:hAnsi="Times New Roman" w:cs="Times New Roman"/>
          <w:kern w:val="24"/>
          <w:sz w:val="24"/>
          <w:szCs w:val="24"/>
        </w:rPr>
        <w:t xml:space="preserve"> </w:t>
      </w:r>
      <w:r w:rsidR="00C02F34" w:rsidRPr="0062706A">
        <w:rPr>
          <w:rFonts w:ascii="Times New Roman" w:hAnsi="Times New Roman" w:cs="Times New Roman"/>
          <w:noProof/>
          <w:kern w:val="24"/>
          <w:sz w:val="24"/>
          <w:szCs w:val="24"/>
          <w:lang w:eastAsia="fr-FR"/>
        </w:rPr>
        <w:drawing>
          <wp:anchor distT="0" distB="0" distL="114300" distR="114300" simplePos="0" relativeHeight="251514880" behindDoc="0" locked="1" layoutInCell="1" allowOverlap="0" wp14:anchorId="4EF20CC4" wp14:editId="6C946284">
            <wp:simplePos x="0" y="0"/>
            <wp:positionH relativeFrom="column">
              <wp:posOffset>3202305</wp:posOffset>
            </wp:positionH>
            <wp:positionV relativeFrom="paragraph">
              <wp:posOffset>3810</wp:posOffset>
            </wp:positionV>
            <wp:extent cx="180975" cy="161925"/>
            <wp:effectExtent l="0" t="0" r="0" b="0"/>
            <wp:wrapNone/>
            <wp:docPr id="28"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C02F34" w:rsidRPr="0062706A">
        <w:rPr>
          <w:rFonts w:ascii="Times New Roman" w:hAnsi="Times New Roman" w:cs="Times New Roman"/>
          <w:kern w:val="24"/>
          <w:sz w:val="24"/>
          <w:szCs w:val="24"/>
        </w:rPr>
        <w:t xml:space="preserve">  </w:t>
      </w:r>
      <w:r w:rsidRPr="0062706A">
        <w:rPr>
          <w:rFonts w:ascii="Times New Roman" w:hAnsi="Times New Roman" w:cs="Times New Roman"/>
          <w:kern w:val="24"/>
          <w:sz w:val="24"/>
          <w:szCs w:val="24"/>
        </w:rPr>
        <w:t xml:space="preserve">, la seule finance qui existait à cette époque était relativement une finance publique, répartie entre les dépenses et les ressources de l’État </w:t>
      </w:r>
      <w:r w:rsidR="008949B6"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Pr="0062706A">
        <w:rPr>
          <w:rFonts w:ascii="Times New Roman" w:hAnsi="Times New Roman" w:cs="Times New Roman"/>
          <w:b/>
          <w:bCs/>
          <w:kern w:val="24"/>
          <w:sz w:val="24"/>
          <w:szCs w:val="24"/>
        </w:rPr>
        <w:t xml:space="preserve"> </w:t>
      </w:r>
      <w:r w:rsidRPr="0062706A">
        <w:rPr>
          <w:rFonts w:ascii="Times New Roman" w:hAnsi="Times New Roman" w:cs="Times New Roman"/>
          <w:kern w:val="24"/>
          <w:sz w:val="24"/>
          <w:szCs w:val="24"/>
        </w:rPr>
        <w:t>de cette époque. Les dépenses publiques</w:t>
      </w:r>
      <w:r w:rsidRPr="0062706A">
        <w:rPr>
          <w:rFonts w:ascii="Times New Roman" w:hAnsi="Times New Roman" w:cs="Times New Roman"/>
          <w:b/>
          <w:bCs/>
          <w:kern w:val="24"/>
          <w:sz w:val="24"/>
          <w:szCs w:val="24"/>
        </w:rPr>
        <w:t xml:space="preserve"> </w:t>
      </w:r>
      <w:r w:rsidRPr="0062706A">
        <w:rPr>
          <w:rFonts w:ascii="Times New Roman" w:hAnsi="Times New Roman" w:cs="Times New Roman"/>
          <w:kern w:val="24"/>
          <w:sz w:val="24"/>
          <w:szCs w:val="24"/>
        </w:rPr>
        <w:t xml:space="preserve">étaient sous une forme monétaire, mais également sous forme de produits alimentaires et de vêtements ; cela a conduit à une diversité des capitaux que l’Etat dépensait pour satisfaire les besoins généraux et réaliser une société </w:t>
      </w:r>
      <w:r w:rsidRPr="0062706A">
        <w:rPr>
          <w:rFonts w:ascii="Times New Roman" w:hAnsi="Times New Roman" w:cs="Times New Roman"/>
          <w:kern w:val="24"/>
          <w:sz w:val="24"/>
          <w:szCs w:val="24"/>
        </w:rPr>
        <w:lastRenderedPageBreak/>
        <w:t xml:space="preserve">solidaire. Le principe de diversité est l’un des principes les plus importants de la jurisprudence </w:t>
      </w:r>
      <w:r w:rsidR="00505EDD"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Pr="0062706A">
        <w:rPr>
          <w:rStyle w:val="Appelnotedebasdep"/>
          <w:rFonts w:ascii="Times New Roman" w:hAnsi="Times New Roman"/>
          <w:kern w:val="24"/>
          <w:sz w:val="24"/>
          <w:szCs w:val="24"/>
        </w:rPr>
        <w:footnoteReference w:id="72"/>
      </w:r>
      <w:r w:rsidRPr="0062706A">
        <w:rPr>
          <w:rFonts w:ascii="Times New Roman" w:hAnsi="Times New Roman" w:cs="Times New Roman"/>
          <w:kern w:val="24"/>
          <w:sz w:val="24"/>
          <w:szCs w:val="24"/>
        </w:rPr>
        <w:t>.</w:t>
      </w:r>
    </w:p>
    <w:p w14:paraId="7759BF94" w14:textId="77777777" w:rsidR="002760B2" w:rsidRPr="0062706A" w:rsidRDefault="009D55CF" w:rsidP="0062706A">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Après l’émigration du P</w:t>
      </w:r>
      <w:r w:rsidR="002760B2" w:rsidRPr="0062706A">
        <w:rPr>
          <w:rFonts w:ascii="Times New Roman" w:hAnsi="Times New Roman" w:cs="Times New Roman"/>
          <w:kern w:val="24"/>
          <w:sz w:val="24"/>
          <w:szCs w:val="24"/>
        </w:rPr>
        <w:t xml:space="preserve">rophète </w:t>
      </w:r>
      <w:r w:rsidRPr="0062706A">
        <w:rPr>
          <w:rFonts w:ascii="Times New Roman" w:hAnsi="Times New Roman" w:cs="Times New Roman"/>
          <w:noProof/>
          <w:kern w:val="24"/>
          <w:sz w:val="24"/>
          <w:szCs w:val="24"/>
          <w:lang w:eastAsia="fr-FR"/>
        </w:rPr>
        <w:drawing>
          <wp:anchor distT="0" distB="0" distL="114300" distR="114300" simplePos="0" relativeHeight="251515904" behindDoc="0" locked="1" layoutInCell="1" allowOverlap="0" wp14:anchorId="64409072" wp14:editId="13945D4A">
            <wp:simplePos x="0" y="0"/>
            <wp:positionH relativeFrom="column">
              <wp:posOffset>2580005</wp:posOffset>
            </wp:positionH>
            <wp:positionV relativeFrom="paragraph">
              <wp:posOffset>84455</wp:posOffset>
            </wp:positionV>
            <wp:extent cx="179705" cy="166370"/>
            <wp:effectExtent l="19050" t="0" r="0" b="0"/>
            <wp:wrapNone/>
            <wp:docPr id="30"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79705" cy="166370"/>
                    </a:xfrm>
                    <a:prstGeom prst="rect">
                      <a:avLst/>
                    </a:prstGeom>
                    <a:noFill/>
                    <a:ln w="9525">
                      <a:noFill/>
                      <a:miter lim="800000"/>
                      <a:headEnd/>
                      <a:tailEnd/>
                    </a:ln>
                  </pic:spPr>
                </pic:pic>
              </a:graphicData>
            </a:graphic>
          </wp:anchor>
        </w:drawing>
      </w:r>
      <w:r w:rsidRPr="0062706A">
        <w:rPr>
          <w:rFonts w:ascii="Times New Roman" w:hAnsi="Times New Roman" w:cs="Times New Roman"/>
          <w:kern w:val="24"/>
          <w:sz w:val="24"/>
          <w:szCs w:val="24"/>
        </w:rPr>
        <w:t xml:space="preserve">   </w:t>
      </w:r>
      <w:r w:rsidR="002760B2" w:rsidRPr="0062706A">
        <w:rPr>
          <w:rFonts w:ascii="Times New Roman" w:hAnsi="Times New Roman" w:cs="Times New Roman"/>
          <w:kern w:val="24"/>
          <w:sz w:val="24"/>
          <w:szCs w:val="24"/>
        </w:rPr>
        <w:t xml:space="preserve">et de ses partisans à Médine (Hégire), les </w:t>
      </w:r>
      <w:r w:rsidR="002A14A9" w:rsidRPr="0062706A">
        <w:rPr>
          <w:rFonts w:ascii="Times New Roman" w:hAnsi="Times New Roman" w:cs="Times New Roman"/>
          <w:kern w:val="24"/>
          <w:sz w:val="24"/>
          <w:szCs w:val="24"/>
        </w:rPr>
        <w:t>M</w:t>
      </w:r>
      <w:r w:rsidR="002760B2" w:rsidRPr="0062706A">
        <w:rPr>
          <w:rFonts w:ascii="Times New Roman" w:hAnsi="Times New Roman" w:cs="Times New Roman"/>
          <w:kern w:val="24"/>
          <w:sz w:val="24"/>
          <w:szCs w:val="24"/>
        </w:rPr>
        <w:t xml:space="preserve">usulmans ne disposaient toujours pas d’un budget ou d’une caisse publique, mais simplement d’aumônes dispensées en fonction des besoins les plus pressants, appelées la </w:t>
      </w:r>
      <w:r w:rsidR="002760B2" w:rsidRPr="0062706A">
        <w:rPr>
          <w:rFonts w:ascii="Times New Roman" w:hAnsi="Times New Roman" w:cs="Times New Roman"/>
          <w:i/>
          <w:kern w:val="24"/>
          <w:sz w:val="24"/>
          <w:szCs w:val="24"/>
        </w:rPr>
        <w:t>zakat</w:t>
      </w:r>
      <w:r w:rsidR="002760B2" w:rsidRPr="0062706A">
        <w:rPr>
          <w:rFonts w:ascii="Times New Roman" w:hAnsi="Times New Roman" w:cs="Times New Roman"/>
          <w:kern w:val="24"/>
          <w:sz w:val="24"/>
          <w:szCs w:val="24"/>
        </w:rPr>
        <w:t xml:space="preserve"> (avant même qu’elle ne devienne une obligation).</w:t>
      </w:r>
    </w:p>
    <w:p w14:paraId="49177685" w14:textId="77777777" w:rsidR="002760B2" w:rsidRPr="0062706A" w:rsidRDefault="002760B2" w:rsidP="0062706A">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Les ressources de l’Etat musulman se sont distinguées entre les recettes de l’Etat et les propriétés de l’Etat</w:t>
      </w:r>
      <w:r w:rsidRPr="0062706A">
        <w:rPr>
          <w:rStyle w:val="Appelnotedebasdep"/>
          <w:rFonts w:ascii="Times New Roman" w:hAnsi="Times New Roman"/>
          <w:kern w:val="24"/>
          <w:sz w:val="24"/>
          <w:szCs w:val="24"/>
        </w:rPr>
        <w:footnoteReference w:id="73"/>
      </w:r>
      <w:r w:rsidRPr="0062706A">
        <w:rPr>
          <w:rFonts w:ascii="Times New Roman" w:hAnsi="Times New Roman" w:cs="Times New Roman"/>
          <w:kern w:val="24"/>
          <w:sz w:val="24"/>
          <w:szCs w:val="24"/>
        </w:rPr>
        <w:t xml:space="preserve">. Les recettes de l’État faisaient référence à la </w:t>
      </w:r>
      <w:r w:rsidRPr="0062706A">
        <w:rPr>
          <w:rFonts w:ascii="Times New Roman" w:hAnsi="Times New Roman" w:cs="Times New Roman"/>
          <w:i/>
          <w:kern w:val="24"/>
          <w:sz w:val="24"/>
          <w:szCs w:val="24"/>
        </w:rPr>
        <w:t>zakat</w:t>
      </w:r>
      <w:r w:rsidRPr="0062706A">
        <w:rPr>
          <w:rFonts w:ascii="Times New Roman" w:hAnsi="Times New Roman" w:cs="Times New Roman"/>
          <w:kern w:val="24"/>
          <w:sz w:val="24"/>
          <w:szCs w:val="24"/>
        </w:rPr>
        <w:t xml:space="preserve">, le </w:t>
      </w:r>
      <w:r w:rsidRPr="0062706A">
        <w:rPr>
          <w:rFonts w:ascii="Times New Roman" w:hAnsi="Times New Roman" w:cs="Times New Roman"/>
          <w:i/>
          <w:iCs/>
          <w:kern w:val="24"/>
          <w:sz w:val="24"/>
          <w:szCs w:val="24"/>
        </w:rPr>
        <w:t>waqf</w:t>
      </w:r>
      <w:r w:rsidRPr="0062706A">
        <w:rPr>
          <w:rFonts w:ascii="Times New Roman" w:hAnsi="Times New Roman" w:cs="Times New Roman"/>
          <w:kern w:val="24"/>
          <w:sz w:val="24"/>
          <w:szCs w:val="24"/>
        </w:rPr>
        <w:t xml:space="preserve">, la </w:t>
      </w:r>
      <w:r w:rsidRPr="0062706A">
        <w:rPr>
          <w:rFonts w:ascii="Times New Roman" w:hAnsi="Times New Roman" w:cs="Times New Roman"/>
          <w:i/>
          <w:iCs/>
          <w:kern w:val="24"/>
          <w:sz w:val="24"/>
          <w:szCs w:val="24"/>
        </w:rPr>
        <w:t>jizya</w:t>
      </w:r>
      <w:r w:rsidR="008C3C4C" w:rsidRPr="0062706A">
        <w:rPr>
          <w:rFonts w:ascii="Times New Roman" w:hAnsi="Times New Roman" w:cs="Times New Roman"/>
          <w:kern w:val="24"/>
          <w:sz w:val="24"/>
          <w:szCs w:val="24"/>
        </w:rPr>
        <w:t xml:space="preserve">, </w:t>
      </w:r>
      <w:r w:rsidR="008C3C4C" w:rsidRPr="0062706A">
        <w:rPr>
          <w:rFonts w:ascii="Times New Roman" w:hAnsi="Times New Roman" w:cs="Times New Roman"/>
          <w:i/>
          <w:iCs/>
          <w:kern w:val="24"/>
          <w:sz w:val="24"/>
          <w:szCs w:val="24"/>
        </w:rPr>
        <w:t>al-u’</w:t>
      </w:r>
      <w:r w:rsidRPr="0062706A">
        <w:rPr>
          <w:rFonts w:ascii="Times New Roman" w:hAnsi="Times New Roman" w:cs="Times New Roman"/>
          <w:i/>
          <w:iCs/>
          <w:kern w:val="24"/>
          <w:sz w:val="24"/>
          <w:szCs w:val="24"/>
        </w:rPr>
        <w:t>shr</w:t>
      </w:r>
      <w:r w:rsidRPr="0062706A">
        <w:rPr>
          <w:rFonts w:ascii="Times New Roman" w:hAnsi="Times New Roman" w:cs="Times New Roman"/>
          <w:kern w:val="24"/>
          <w:sz w:val="24"/>
          <w:szCs w:val="24"/>
        </w:rPr>
        <w:t xml:space="preserve">, la </w:t>
      </w:r>
      <w:r w:rsidRPr="0062706A">
        <w:rPr>
          <w:rFonts w:ascii="Times New Roman" w:hAnsi="Times New Roman" w:cs="Times New Roman"/>
          <w:i/>
          <w:iCs/>
          <w:kern w:val="24"/>
          <w:sz w:val="24"/>
          <w:szCs w:val="24"/>
        </w:rPr>
        <w:t>ghanima</w:t>
      </w:r>
      <w:r w:rsidRPr="0062706A">
        <w:rPr>
          <w:rFonts w:ascii="Times New Roman" w:hAnsi="Times New Roman" w:cs="Times New Roman"/>
          <w:kern w:val="24"/>
          <w:sz w:val="24"/>
          <w:szCs w:val="24"/>
        </w:rPr>
        <w:t xml:space="preserve">, les terres conquises par la </w:t>
      </w:r>
      <w:r w:rsidR="00697951" w:rsidRPr="0062706A">
        <w:rPr>
          <w:rFonts w:ascii="Times New Roman" w:hAnsi="Times New Roman" w:cs="Times New Roman"/>
          <w:kern w:val="24"/>
          <w:sz w:val="24"/>
          <w:szCs w:val="24"/>
        </w:rPr>
        <w:t>force et les denrées agricoles.</w:t>
      </w:r>
      <w:r w:rsidR="009D55CF" w:rsidRPr="0062706A">
        <w:rPr>
          <w:rFonts w:ascii="Times New Roman" w:hAnsi="Times New Roman" w:cs="Times New Roman"/>
          <w:kern w:val="24"/>
          <w:sz w:val="24"/>
          <w:szCs w:val="24"/>
        </w:rPr>
        <w:t xml:space="preserve"> </w:t>
      </w:r>
      <w:r w:rsidRPr="0062706A">
        <w:rPr>
          <w:rFonts w:ascii="Times New Roman" w:hAnsi="Times New Roman" w:cs="Times New Roman"/>
          <w:kern w:val="24"/>
          <w:sz w:val="24"/>
          <w:szCs w:val="24"/>
        </w:rPr>
        <w:t>Quant aux propriétés de l’</w:t>
      </w:r>
      <w:r w:rsidR="005F5EC6" w:rsidRPr="0062706A">
        <w:rPr>
          <w:rFonts w:ascii="Times New Roman" w:hAnsi="Times New Roman" w:cs="Times New Roman"/>
          <w:kern w:val="24"/>
          <w:sz w:val="24"/>
          <w:szCs w:val="24"/>
        </w:rPr>
        <w:t>E</w:t>
      </w:r>
      <w:r w:rsidRPr="0062706A">
        <w:rPr>
          <w:rFonts w:ascii="Times New Roman" w:hAnsi="Times New Roman" w:cs="Times New Roman"/>
          <w:kern w:val="24"/>
          <w:sz w:val="24"/>
          <w:szCs w:val="24"/>
        </w:rPr>
        <w:t>tat, celle</w:t>
      </w:r>
      <w:r w:rsidR="00BD5933" w:rsidRPr="0062706A">
        <w:rPr>
          <w:rFonts w:ascii="Times New Roman" w:hAnsi="Times New Roman" w:cs="Times New Roman"/>
          <w:kern w:val="24"/>
          <w:sz w:val="24"/>
          <w:szCs w:val="24"/>
        </w:rPr>
        <w:t>s</w:t>
      </w:r>
      <w:r w:rsidRPr="0062706A">
        <w:rPr>
          <w:rFonts w:ascii="Times New Roman" w:hAnsi="Times New Roman" w:cs="Times New Roman"/>
          <w:kern w:val="24"/>
          <w:sz w:val="24"/>
          <w:szCs w:val="24"/>
        </w:rPr>
        <w:t>-ci devaient être exploitées d’une manière à contribuer à la construction d’une société juste et f</w:t>
      </w:r>
      <w:r w:rsidR="00BD5933" w:rsidRPr="0062706A">
        <w:rPr>
          <w:rFonts w:ascii="Times New Roman" w:hAnsi="Times New Roman" w:cs="Times New Roman"/>
          <w:kern w:val="24"/>
          <w:sz w:val="24"/>
          <w:szCs w:val="24"/>
        </w:rPr>
        <w:t>raternelle pour le bien général</w:t>
      </w:r>
      <w:r w:rsidRPr="0062706A">
        <w:rPr>
          <w:rFonts w:ascii="Times New Roman" w:hAnsi="Times New Roman" w:cs="Times New Roman"/>
          <w:kern w:val="24"/>
          <w:sz w:val="24"/>
          <w:szCs w:val="24"/>
        </w:rPr>
        <w:t xml:space="preserve"> ou pour le bien d’une partie de la communauté musulmane (les pauvres,</w:t>
      </w:r>
      <w:r w:rsidR="00A74F65" w:rsidRPr="0062706A">
        <w:rPr>
          <w:rFonts w:ascii="Times New Roman" w:hAnsi="Times New Roman" w:cs="Times New Roman"/>
          <w:kern w:val="24"/>
          <w:sz w:val="24"/>
          <w:szCs w:val="24"/>
        </w:rPr>
        <w:t xml:space="preserve"> les nécess</w:t>
      </w:r>
      <w:r w:rsidR="00BD5933" w:rsidRPr="0062706A">
        <w:rPr>
          <w:rFonts w:ascii="Times New Roman" w:hAnsi="Times New Roman" w:cs="Times New Roman"/>
          <w:kern w:val="24"/>
          <w:sz w:val="24"/>
          <w:szCs w:val="24"/>
        </w:rPr>
        <w:t>iteux, etc.). L’Etat</w:t>
      </w:r>
      <w:r w:rsidRPr="0062706A">
        <w:rPr>
          <w:rFonts w:ascii="Times New Roman" w:hAnsi="Times New Roman" w:cs="Times New Roman"/>
          <w:kern w:val="24"/>
          <w:sz w:val="24"/>
          <w:szCs w:val="24"/>
        </w:rPr>
        <w:t xml:space="preserve"> pouvait également vendre ou donner une partie de la terre étatique, si cela était dans l’intérêt général de la communauté musulmane.</w:t>
      </w:r>
    </w:p>
    <w:p w14:paraId="242A9992" w14:textId="77777777" w:rsidR="002760B2" w:rsidRPr="0062706A" w:rsidRDefault="00C12500" w:rsidP="0062706A">
      <w:pPr>
        <w:pStyle w:val="Titre4"/>
        <w:keepNext w:val="0"/>
        <w:spacing w:before="120" w:after="120" w:line="300" w:lineRule="auto"/>
        <w:ind w:firstLine="709"/>
        <w:rPr>
          <w:kern w:val="24"/>
        </w:rPr>
      </w:pPr>
      <w:bookmarkStart w:id="223" w:name="_Toc33263224"/>
      <w:bookmarkStart w:id="224" w:name="_Toc37664476"/>
      <w:bookmarkStart w:id="225" w:name="_Toc37666321"/>
      <w:bookmarkStart w:id="226" w:name="_Toc54363210"/>
      <w:bookmarkStart w:id="227" w:name="_Toc58606226"/>
      <w:bookmarkStart w:id="228" w:name="_Toc61263431"/>
      <w:bookmarkStart w:id="229" w:name="_Toc182298618"/>
      <w:r w:rsidRPr="0062706A">
        <w:rPr>
          <w:kern w:val="24"/>
        </w:rPr>
        <w:t xml:space="preserve">1.4.2- </w:t>
      </w:r>
      <w:r w:rsidR="003327A8" w:rsidRPr="0062706A">
        <w:rPr>
          <w:kern w:val="24"/>
        </w:rPr>
        <w:t>F</w:t>
      </w:r>
      <w:r w:rsidR="002760B2" w:rsidRPr="0062706A">
        <w:rPr>
          <w:kern w:val="24"/>
        </w:rPr>
        <w:t xml:space="preserve">inance au temps des </w:t>
      </w:r>
      <w:r w:rsidR="00C45787" w:rsidRPr="0062706A">
        <w:rPr>
          <w:i/>
          <w:iCs/>
          <w:kern w:val="24"/>
        </w:rPr>
        <w:t>Khoulafa</w:t>
      </w:r>
      <w:r w:rsidR="00C45787" w:rsidRPr="0062706A">
        <w:rPr>
          <w:kern w:val="24"/>
        </w:rPr>
        <w:t xml:space="preserve"> (Califes</w:t>
      </w:r>
      <w:r w:rsidR="002760B2" w:rsidRPr="0062706A">
        <w:rPr>
          <w:kern w:val="24"/>
        </w:rPr>
        <w:t>)</w:t>
      </w:r>
      <w:bookmarkEnd w:id="223"/>
      <w:bookmarkEnd w:id="224"/>
      <w:bookmarkEnd w:id="225"/>
      <w:bookmarkEnd w:id="226"/>
      <w:bookmarkEnd w:id="227"/>
      <w:bookmarkEnd w:id="228"/>
      <w:bookmarkEnd w:id="229"/>
    </w:p>
    <w:p w14:paraId="115233EF" w14:textId="77777777" w:rsidR="002760B2" w:rsidRPr="0062706A" w:rsidRDefault="002760B2" w:rsidP="0062706A">
      <w:pPr>
        <w:tabs>
          <w:tab w:val="left" w:pos="0"/>
        </w:tabs>
        <w:autoSpaceDE w:val="0"/>
        <w:autoSpaceDN w:val="0"/>
        <w:adjustRightInd w:val="0"/>
        <w:spacing w:before="120" w:line="300" w:lineRule="auto"/>
        <w:ind w:firstLine="709"/>
        <w:rPr>
          <w:rFonts w:ascii="Times New Roman" w:hAnsi="Times New Roman" w:cs="Times New Roman"/>
          <w:b/>
          <w:bCs/>
          <w:kern w:val="24"/>
          <w:sz w:val="24"/>
          <w:szCs w:val="24"/>
        </w:rPr>
      </w:pPr>
      <w:r w:rsidRPr="0062706A">
        <w:rPr>
          <w:rFonts w:ascii="Times New Roman" w:hAnsi="Times New Roman" w:cs="Times New Roman"/>
          <w:kern w:val="24"/>
          <w:sz w:val="24"/>
          <w:szCs w:val="24"/>
        </w:rPr>
        <w:t xml:space="preserve">Les financiers étaient connus au début de l’histoire musulmane comme les </w:t>
      </w:r>
      <w:r w:rsidRPr="0062706A">
        <w:rPr>
          <w:rFonts w:ascii="Times New Roman" w:hAnsi="Times New Roman" w:cs="Times New Roman"/>
          <w:i/>
          <w:iCs/>
          <w:kern w:val="24"/>
          <w:sz w:val="24"/>
          <w:szCs w:val="24"/>
        </w:rPr>
        <w:t>sarrafs</w:t>
      </w:r>
      <w:r w:rsidRPr="0062706A">
        <w:rPr>
          <w:rFonts w:ascii="Times New Roman" w:hAnsi="Times New Roman" w:cs="Times New Roman"/>
          <w:kern w:val="24"/>
          <w:sz w:val="24"/>
          <w:szCs w:val="24"/>
        </w:rPr>
        <w:t xml:space="preserve">. À l’époque du Calife </w:t>
      </w:r>
      <w:r w:rsidRPr="0062706A">
        <w:rPr>
          <w:rFonts w:ascii="Times New Roman" w:hAnsi="Times New Roman" w:cs="Times New Roman"/>
          <w:iCs/>
          <w:smallCaps/>
          <w:kern w:val="24"/>
          <w:sz w:val="24"/>
          <w:szCs w:val="24"/>
        </w:rPr>
        <w:t>Abou Bakr Assidiq</w:t>
      </w:r>
      <w:r w:rsidR="00315430" w:rsidRPr="0062706A">
        <w:rPr>
          <w:rFonts w:ascii="Times New Roman" w:hAnsi="Times New Roman" w:cs="Times New Roman"/>
          <w:iCs/>
          <w:kern w:val="24"/>
          <w:sz w:val="24"/>
          <w:szCs w:val="24"/>
        </w:rPr>
        <w:t xml:space="preserve"> </w:t>
      </w:r>
      <w:r w:rsidR="00315430" w:rsidRPr="0062706A">
        <w:rPr>
          <w:rFonts w:ascii="Times New Roman" w:hAnsi="Times New Roman" w:cs="Times New Roman"/>
          <w:noProof/>
          <w:kern w:val="24"/>
          <w:sz w:val="24"/>
          <w:szCs w:val="24"/>
          <w:lang w:eastAsia="fr-FR"/>
        </w:rPr>
        <w:drawing>
          <wp:anchor distT="0" distB="0" distL="114300" distR="114300" simplePos="0" relativeHeight="251518976" behindDoc="0" locked="1" layoutInCell="1" allowOverlap="0" wp14:anchorId="3AC72BE0" wp14:editId="71E6DCFB">
            <wp:simplePos x="0" y="0"/>
            <wp:positionH relativeFrom="column">
              <wp:posOffset>2482215</wp:posOffset>
            </wp:positionH>
            <wp:positionV relativeFrom="paragraph">
              <wp:posOffset>222885</wp:posOffset>
            </wp:positionV>
            <wp:extent cx="247650" cy="180975"/>
            <wp:effectExtent l="0" t="0" r="0" b="0"/>
            <wp:wrapNone/>
            <wp:docPr id="1353" name="Image 1" descr="ملف:رضي الله عنه.png - ويكيبيد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ملف:رضي الله عنه.png - ويكيبيديا"/>
                    <pic:cNvPicPr preferRelativeResize="0">
                      <a:picLocks noChangeAspect="1" noChangeArrowheads="1"/>
                    </pic:cNvPicPr>
                  </pic:nvPicPr>
                  <pic:blipFill>
                    <a:blip r:embed="rId18" cstate="print"/>
                    <a:srcRect/>
                    <a:stretch>
                      <a:fillRect/>
                    </a:stretch>
                  </pic:blipFill>
                  <pic:spPr bwMode="auto">
                    <a:xfrm>
                      <a:off x="0" y="0"/>
                      <a:ext cx="247650" cy="180975"/>
                    </a:xfrm>
                    <a:prstGeom prst="rect">
                      <a:avLst/>
                    </a:prstGeom>
                    <a:noFill/>
                    <a:ln w="9525">
                      <a:noFill/>
                      <a:miter lim="800000"/>
                      <a:headEnd/>
                      <a:tailEnd/>
                    </a:ln>
                  </pic:spPr>
                </pic:pic>
              </a:graphicData>
            </a:graphic>
          </wp:anchor>
        </w:drawing>
      </w:r>
      <w:r w:rsidR="00315430" w:rsidRPr="0062706A">
        <w:rPr>
          <w:rFonts w:ascii="Times New Roman" w:hAnsi="Times New Roman" w:cs="Times New Roman"/>
          <w:iCs/>
          <w:kern w:val="24"/>
          <w:sz w:val="24"/>
          <w:szCs w:val="24"/>
        </w:rPr>
        <w:t xml:space="preserve">     </w:t>
      </w:r>
      <w:r w:rsidRPr="0062706A">
        <w:rPr>
          <w:rFonts w:ascii="Times New Roman" w:hAnsi="Times New Roman" w:cs="Times New Roman"/>
          <w:kern w:val="24"/>
          <w:sz w:val="24"/>
          <w:szCs w:val="24"/>
        </w:rPr>
        <w:t xml:space="preserve">, le </w:t>
      </w:r>
      <w:r w:rsidRPr="0062706A">
        <w:rPr>
          <w:rFonts w:ascii="Times New Roman" w:hAnsi="Times New Roman" w:cs="Times New Roman"/>
          <w:i/>
          <w:iCs/>
          <w:kern w:val="24"/>
          <w:sz w:val="24"/>
          <w:szCs w:val="24"/>
        </w:rPr>
        <w:t>Bait Al-Mal</w:t>
      </w:r>
      <w:r w:rsidRPr="0062706A">
        <w:rPr>
          <w:rFonts w:ascii="Times New Roman" w:hAnsi="Times New Roman" w:cs="Times New Roman"/>
          <w:kern w:val="24"/>
          <w:sz w:val="24"/>
          <w:szCs w:val="24"/>
        </w:rPr>
        <w:t xml:space="preserve"> n’existait pas encore. Il a dirigé la communauté mu</w:t>
      </w:r>
      <w:r w:rsidR="00C12500" w:rsidRPr="0062706A">
        <w:rPr>
          <w:rFonts w:ascii="Times New Roman" w:hAnsi="Times New Roman" w:cs="Times New Roman"/>
          <w:kern w:val="24"/>
          <w:sz w:val="24"/>
          <w:szCs w:val="24"/>
        </w:rPr>
        <w:t>sulmane un peu plus de deux</w:t>
      </w:r>
      <w:r w:rsidRPr="0062706A">
        <w:rPr>
          <w:rFonts w:ascii="Times New Roman" w:hAnsi="Times New Roman" w:cs="Times New Roman"/>
          <w:kern w:val="24"/>
          <w:sz w:val="24"/>
          <w:szCs w:val="24"/>
        </w:rPr>
        <w:t xml:space="preserve"> ans, et a exercé les mêmes pratiques financières que celles du</w:t>
      </w:r>
      <w:r w:rsidR="009D55CF" w:rsidRPr="0062706A">
        <w:rPr>
          <w:rFonts w:ascii="Times New Roman" w:hAnsi="Times New Roman" w:cs="Times New Roman"/>
          <w:kern w:val="24"/>
          <w:sz w:val="24"/>
          <w:szCs w:val="24"/>
        </w:rPr>
        <w:t xml:space="preserve"> Prophète     </w:t>
      </w:r>
      <w:r w:rsidR="009D55CF" w:rsidRPr="0062706A">
        <w:rPr>
          <w:rFonts w:ascii="Times New Roman" w:hAnsi="Times New Roman" w:cs="Times New Roman"/>
          <w:noProof/>
          <w:kern w:val="24"/>
          <w:sz w:val="24"/>
          <w:szCs w:val="24"/>
          <w:lang w:eastAsia="fr-FR"/>
        </w:rPr>
        <w:drawing>
          <wp:anchor distT="0" distB="0" distL="114300" distR="114300" simplePos="0" relativeHeight="251528192" behindDoc="0" locked="1" layoutInCell="1" allowOverlap="0" wp14:anchorId="256F4C18" wp14:editId="004E2FF6">
            <wp:simplePos x="0" y="0"/>
            <wp:positionH relativeFrom="column">
              <wp:posOffset>1395095</wp:posOffset>
            </wp:positionH>
            <wp:positionV relativeFrom="paragraph">
              <wp:posOffset>681990</wp:posOffset>
            </wp:positionV>
            <wp:extent cx="178435" cy="163195"/>
            <wp:effectExtent l="19050" t="0" r="0" b="0"/>
            <wp:wrapNone/>
            <wp:docPr id="31"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78435" cy="163195"/>
                    </a:xfrm>
                    <a:prstGeom prst="rect">
                      <a:avLst/>
                    </a:prstGeom>
                    <a:noFill/>
                    <a:ln w="9525">
                      <a:noFill/>
                      <a:miter lim="800000"/>
                      <a:headEnd/>
                      <a:tailEnd/>
                    </a:ln>
                  </pic:spPr>
                </pic:pic>
              </a:graphicData>
            </a:graphic>
          </wp:anchor>
        </w:drawing>
      </w:r>
      <w:r w:rsidRPr="0062706A">
        <w:rPr>
          <w:rFonts w:ascii="Times New Roman" w:hAnsi="Times New Roman" w:cs="Times New Roman"/>
          <w:kern w:val="24"/>
          <w:sz w:val="24"/>
          <w:szCs w:val="24"/>
        </w:rPr>
        <w:t>.</w:t>
      </w:r>
    </w:p>
    <w:p w14:paraId="199F0CA7" w14:textId="77777777" w:rsidR="002760B2" w:rsidRPr="0062706A" w:rsidRDefault="002760B2" w:rsidP="0062706A">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 xml:space="preserve">A l’arrivée de l’époque du Calife </w:t>
      </w:r>
      <w:r w:rsidRPr="0062706A">
        <w:rPr>
          <w:rFonts w:ascii="Times New Roman" w:hAnsi="Times New Roman" w:cs="Times New Roman"/>
          <w:iCs/>
          <w:smallCaps/>
          <w:kern w:val="24"/>
          <w:sz w:val="24"/>
          <w:szCs w:val="24"/>
        </w:rPr>
        <w:t>Omar Ibn Khatab</w:t>
      </w:r>
      <w:r w:rsidR="00315430" w:rsidRPr="0062706A">
        <w:rPr>
          <w:rFonts w:ascii="Times New Roman" w:hAnsi="Times New Roman" w:cs="Times New Roman"/>
          <w:kern w:val="24"/>
          <w:sz w:val="24"/>
          <w:szCs w:val="24"/>
        </w:rPr>
        <w:t xml:space="preserve">   </w:t>
      </w:r>
      <w:r w:rsidR="00315430" w:rsidRPr="0062706A">
        <w:rPr>
          <w:rFonts w:ascii="Times New Roman" w:hAnsi="Times New Roman" w:cs="Times New Roman"/>
          <w:noProof/>
          <w:kern w:val="24"/>
          <w:sz w:val="24"/>
          <w:szCs w:val="24"/>
          <w:lang w:eastAsia="fr-FR"/>
        </w:rPr>
        <w:drawing>
          <wp:anchor distT="0" distB="0" distL="114300" distR="114300" simplePos="0" relativeHeight="251531264" behindDoc="0" locked="1" layoutInCell="1" allowOverlap="0" wp14:anchorId="20E5DF65" wp14:editId="0B94E66B">
            <wp:simplePos x="0" y="0"/>
            <wp:positionH relativeFrom="column">
              <wp:posOffset>3978275</wp:posOffset>
            </wp:positionH>
            <wp:positionV relativeFrom="paragraph">
              <wp:posOffset>80645</wp:posOffset>
            </wp:positionV>
            <wp:extent cx="247650" cy="180975"/>
            <wp:effectExtent l="0" t="0" r="0" b="0"/>
            <wp:wrapNone/>
            <wp:docPr id="1354" name="Image 1" descr="ملف:رضي الله عنه.png - ويكيبيد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ملف:رضي الله عنه.png - ويكيبيديا"/>
                    <pic:cNvPicPr preferRelativeResize="0">
                      <a:picLocks noChangeAspect="1" noChangeArrowheads="1"/>
                    </pic:cNvPicPr>
                  </pic:nvPicPr>
                  <pic:blipFill>
                    <a:blip r:embed="rId18" cstate="print"/>
                    <a:srcRect/>
                    <a:stretch>
                      <a:fillRect/>
                    </a:stretch>
                  </pic:blipFill>
                  <pic:spPr bwMode="auto">
                    <a:xfrm>
                      <a:off x="0" y="0"/>
                      <a:ext cx="247650" cy="180975"/>
                    </a:xfrm>
                    <a:prstGeom prst="rect">
                      <a:avLst/>
                    </a:prstGeom>
                    <a:noFill/>
                    <a:ln w="9525">
                      <a:noFill/>
                      <a:miter lim="800000"/>
                      <a:headEnd/>
                      <a:tailEnd/>
                    </a:ln>
                  </pic:spPr>
                </pic:pic>
              </a:graphicData>
            </a:graphic>
          </wp:anchor>
        </w:drawing>
      </w:r>
      <w:r w:rsidR="00315430" w:rsidRPr="0062706A">
        <w:rPr>
          <w:rFonts w:ascii="Times New Roman" w:hAnsi="Times New Roman" w:cs="Times New Roman"/>
          <w:kern w:val="24"/>
          <w:sz w:val="24"/>
          <w:szCs w:val="24"/>
        </w:rPr>
        <w:t xml:space="preserve"> </w:t>
      </w:r>
      <w:r w:rsidRPr="0062706A">
        <w:rPr>
          <w:rFonts w:ascii="Times New Roman" w:hAnsi="Times New Roman" w:cs="Times New Roman"/>
          <w:kern w:val="24"/>
          <w:sz w:val="24"/>
          <w:szCs w:val="24"/>
        </w:rPr>
        <w:t>, les premiers systèmes comptables ont été restaurés et une gestion rigoureuse des comptes de l’État était exigée avec l’expansion territoriale de l’</w:t>
      </w:r>
      <w:r w:rsidR="00F34669" w:rsidRPr="0062706A">
        <w:rPr>
          <w:rFonts w:ascii="Times New Roman" w:hAnsi="Times New Roman" w:cs="Times New Roman"/>
          <w:kern w:val="24"/>
          <w:sz w:val="24"/>
          <w:szCs w:val="24"/>
        </w:rPr>
        <w:t>Islam</w:t>
      </w:r>
      <w:r w:rsidRPr="0062706A">
        <w:rPr>
          <w:rFonts w:ascii="Times New Roman" w:hAnsi="Times New Roman" w:cs="Times New Roman"/>
          <w:kern w:val="24"/>
          <w:sz w:val="24"/>
          <w:szCs w:val="24"/>
        </w:rPr>
        <w:t xml:space="preserve">. Il fut particulièrement de canaliser la collecte de la </w:t>
      </w:r>
      <w:r w:rsidRPr="0062706A">
        <w:rPr>
          <w:rFonts w:ascii="Times New Roman" w:hAnsi="Times New Roman" w:cs="Times New Roman"/>
          <w:i/>
          <w:kern w:val="24"/>
          <w:sz w:val="24"/>
          <w:szCs w:val="24"/>
        </w:rPr>
        <w:t>zakat</w:t>
      </w:r>
      <w:r w:rsidRPr="0062706A">
        <w:rPr>
          <w:rFonts w:ascii="Times New Roman" w:hAnsi="Times New Roman" w:cs="Times New Roman"/>
          <w:kern w:val="24"/>
          <w:sz w:val="24"/>
          <w:szCs w:val="24"/>
        </w:rPr>
        <w:t xml:space="preserve"> qui était acheminée vers le </w:t>
      </w:r>
      <w:r w:rsidRPr="0062706A">
        <w:rPr>
          <w:rFonts w:ascii="Times New Roman" w:hAnsi="Times New Roman" w:cs="Times New Roman"/>
          <w:i/>
          <w:iCs/>
          <w:kern w:val="24"/>
          <w:sz w:val="24"/>
          <w:szCs w:val="24"/>
        </w:rPr>
        <w:t>bait mal el-mouslimine</w:t>
      </w:r>
      <w:r w:rsidR="00C12500" w:rsidRPr="0062706A">
        <w:rPr>
          <w:rFonts w:ascii="Times New Roman" w:hAnsi="Times New Roman" w:cs="Times New Roman"/>
          <w:kern w:val="24"/>
          <w:sz w:val="24"/>
          <w:szCs w:val="24"/>
        </w:rPr>
        <w:t xml:space="preserve"> (</w:t>
      </w:r>
      <w:r w:rsidRPr="0062706A">
        <w:rPr>
          <w:rFonts w:ascii="Times New Roman" w:hAnsi="Times New Roman" w:cs="Times New Roman"/>
          <w:kern w:val="24"/>
          <w:sz w:val="24"/>
          <w:szCs w:val="24"/>
        </w:rPr>
        <w:t>Trésor public)</w:t>
      </w:r>
      <w:r w:rsidRPr="0062706A">
        <w:rPr>
          <w:rStyle w:val="Appelnotedebasdep"/>
          <w:rFonts w:ascii="Times New Roman" w:hAnsi="Times New Roman"/>
          <w:kern w:val="24"/>
          <w:sz w:val="24"/>
          <w:szCs w:val="24"/>
        </w:rPr>
        <w:footnoteReference w:id="74"/>
      </w:r>
      <w:r w:rsidRPr="0062706A">
        <w:rPr>
          <w:rFonts w:ascii="Times New Roman" w:hAnsi="Times New Roman" w:cs="Times New Roman"/>
          <w:kern w:val="24"/>
          <w:sz w:val="24"/>
          <w:szCs w:val="24"/>
        </w:rPr>
        <w:t>.</w:t>
      </w:r>
    </w:p>
    <w:p w14:paraId="05B51852" w14:textId="77777777" w:rsidR="002760B2" w:rsidRPr="0062706A" w:rsidRDefault="00C12500" w:rsidP="0062706A">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Puis, au temps du C</w:t>
      </w:r>
      <w:r w:rsidR="002760B2" w:rsidRPr="0062706A">
        <w:rPr>
          <w:rFonts w:ascii="Times New Roman" w:hAnsi="Times New Roman" w:cs="Times New Roman"/>
          <w:kern w:val="24"/>
          <w:sz w:val="24"/>
          <w:szCs w:val="24"/>
        </w:rPr>
        <w:t xml:space="preserve">alife abbasside </w:t>
      </w:r>
      <w:r w:rsidR="00F41F16" w:rsidRPr="0062706A">
        <w:rPr>
          <w:rFonts w:ascii="Times New Roman" w:hAnsi="Times New Roman" w:cs="Times New Roman"/>
          <w:smallCaps/>
          <w:kern w:val="24"/>
          <w:sz w:val="24"/>
          <w:szCs w:val="24"/>
        </w:rPr>
        <w:t>Al-</w:t>
      </w:r>
      <w:r w:rsidR="002760B2" w:rsidRPr="0062706A">
        <w:rPr>
          <w:rFonts w:ascii="Times New Roman" w:hAnsi="Times New Roman" w:cs="Times New Roman"/>
          <w:smallCaps/>
          <w:kern w:val="24"/>
          <w:sz w:val="24"/>
          <w:szCs w:val="24"/>
        </w:rPr>
        <w:t>Muqtadir</w:t>
      </w:r>
      <w:r w:rsidR="002760B2" w:rsidRPr="0062706A">
        <w:rPr>
          <w:rFonts w:ascii="Times New Roman" w:hAnsi="Times New Roman" w:cs="Times New Roman"/>
          <w:kern w:val="24"/>
          <w:sz w:val="24"/>
          <w:szCs w:val="24"/>
        </w:rPr>
        <w:t>, les musulmans ont commencé à effectuer les activités bancaires principales. Ils avaient leurs propres marchés, et ils répondaient à tous les besoins financiers du commerce, de l’industrie et de l’agriculture</w:t>
      </w:r>
      <w:r w:rsidR="002760B2" w:rsidRPr="0062706A">
        <w:rPr>
          <w:rStyle w:val="Appelnotedebasdep"/>
          <w:rFonts w:ascii="Times New Roman" w:hAnsi="Times New Roman"/>
          <w:kern w:val="24"/>
          <w:sz w:val="24"/>
          <w:szCs w:val="24"/>
        </w:rPr>
        <w:footnoteReference w:id="75"/>
      </w:r>
      <w:r w:rsidR="002760B2" w:rsidRPr="0062706A">
        <w:rPr>
          <w:rFonts w:ascii="Times New Roman" w:hAnsi="Times New Roman" w:cs="Times New Roman"/>
          <w:kern w:val="24"/>
          <w:sz w:val="24"/>
          <w:szCs w:val="24"/>
        </w:rPr>
        <w:t>.</w:t>
      </w:r>
    </w:p>
    <w:p w14:paraId="0F72B75E" w14:textId="77777777" w:rsidR="002760B2" w:rsidRPr="0062706A" w:rsidRDefault="00C12500" w:rsidP="0062706A">
      <w:pPr>
        <w:pStyle w:val="Titre4"/>
        <w:keepNext w:val="0"/>
        <w:spacing w:before="120" w:after="120" w:line="300" w:lineRule="auto"/>
        <w:ind w:firstLine="709"/>
        <w:rPr>
          <w:kern w:val="24"/>
        </w:rPr>
      </w:pPr>
      <w:bookmarkStart w:id="230" w:name="_Toc33263225"/>
      <w:bookmarkStart w:id="231" w:name="_Toc37664477"/>
      <w:bookmarkStart w:id="232" w:name="_Toc37666322"/>
      <w:bookmarkStart w:id="233" w:name="_Toc54363211"/>
      <w:bookmarkStart w:id="234" w:name="_Toc58606227"/>
      <w:bookmarkStart w:id="235" w:name="_Toc61263432"/>
      <w:bookmarkStart w:id="236" w:name="_Toc182298619"/>
      <w:r w:rsidRPr="0062706A">
        <w:rPr>
          <w:kern w:val="24"/>
        </w:rPr>
        <w:t xml:space="preserve">1.4.3- </w:t>
      </w:r>
      <w:r w:rsidR="003327A8" w:rsidRPr="0062706A">
        <w:rPr>
          <w:kern w:val="24"/>
        </w:rPr>
        <w:t>F</w:t>
      </w:r>
      <w:r w:rsidR="002760B2" w:rsidRPr="0062706A">
        <w:rPr>
          <w:kern w:val="24"/>
        </w:rPr>
        <w:t xml:space="preserve">inance </w:t>
      </w:r>
      <w:r w:rsidR="003773C6" w:rsidRPr="0062706A">
        <w:rPr>
          <w:kern w:val="24"/>
        </w:rPr>
        <w:t>islamique</w:t>
      </w:r>
      <w:r w:rsidR="002760B2" w:rsidRPr="0062706A">
        <w:rPr>
          <w:kern w:val="24"/>
        </w:rPr>
        <w:t xml:space="preserve"> contemporaine</w:t>
      </w:r>
      <w:bookmarkEnd w:id="230"/>
      <w:bookmarkEnd w:id="231"/>
      <w:bookmarkEnd w:id="232"/>
      <w:bookmarkEnd w:id="233"/>
      <w:bookmarkEnd w:id="234"/>
      <w:bookmarkEnd w:id="235"/>
      <w:bookmarkEnd w:id="236"/>
    </w:p>
    <w:p w14:paraId="3EF13FC1" w14:textId="77777777" w:rsidR="002760B2" w:rsidRPr="0062706A" w:rsidRDefault="002760B2" w:rsidP="0062706A">
      <w:pPr>
        <w:tabs>
          <w:tab w:val="left" w:pos="0"/>
        </w:tabs>
        <w:autoSpaceDE w:val="0"/>
        <w:autoSpaceDN w:val="0"/>
        <w:adjustRightInd w:val="0"/>
        <w:spacing w:line="300" w:lineRule="auto"/>
        <w:ind w:firstLine="709"/>
        <w:rPr>
          <w:rFonts w:ascii="Times New Roman" w:hAnsi="Times New Roman" w:cs="Times New Roman"/>
          <w:kern w:val="24"/>
          <w:sz w:val="24"/>
          <w:szCs w:val="24"/>
        </w:rPr>
      </w:pPr>
      <w:r w:rsidRPr="0062706A">
        <w:rPr>
          <w:rFonts w:ascii="Times New Roman" w:hAnsi="Times New Roman" w:cs="Times New Roman"/>
          <w:kern w:val="24"/>
          <w:sz w:val="24"/>
          <w:szCs w:val="24"/>
        </w:rPr>
        <w:t xml:space="preserve">Ce n’est qu’à partir de l’année 1940 environ que quelques expériences d’utilisation des techniques traditionnelles par des économistes et des banquiers, ont vu le jour. Les principes théoriques de la finance </w:t>
      </w:r>
      <w:r w:rsidR="003773C6" w:rsidRPr="0062706A">
        <w:rPr>
          <w:rFonts w:ascii="Times New Roman" w:hAnsi="Times New Roman" w:cs="Times New Roman"/>
          <w:kern w:val="24"/>
          <w:sz w:val="24"/>
          <w:szCs w:val="24"/>
        </w:rPr>
        <w:t>islamique</w:t>
      </w:r>
      <w:r w:rsidRPr="0062706A">
        <w:rPr>
          <w:rFonts w:ascii="Times New Roman" w:hAnsi="Times New Roman" w:cs="Times New Roman"/>
          <w:kern w:val="24"/>
          <w:sz w:val="24"/>
          <w:szCs w:val="24"/>
        </w:rPr>
        <w:t xml:space="preserve"> ont été </w:t>
      </w:r>
      <w:r w:rsidR="00C12500" w:rsidRPr="0062706A">
        <w:rPr>
          <w:rFonts w:ascii="Times New Roman" w:hAnsi="Times New Roman" w:cs="Times New Roman"/>
          <w:kern w:val="24"/>
          <w:sz w:val="24"/>
          <w:szCs w:val="24"/>
        </w:rPr>
        <w:t>formulés</w:t>
      </w:r>
      <w:r w:rsidRPr="0062706A">
        <w:rPr>
          <w:rFonts w:ascii="Times New Roman" w:hAnsi="Times New Roman" w:cs="Times New Roman"/>
          <w:kern w:val="24"/>
          <w:sz w:val="24"/>
          <w:szCs w:val="24"/>
        </w:rPr>
        <w:t xml:space="preserve"> en grande partie par le théologien pakistanais Sayyid Abdul </w:t>
      </w:r>
      <w:r w:rsidR="00F41F16" w:rsidRPr="0062706A">
        <w:rPr>
          <w:rFonts w:ascii="Times New Roman" w:hAnsi="Times New Roman" w:cs="Times New Roman"/>
          <w:kern w:val="24"/>
          <w:sz w:val="24"/>
          <w:szCs w:val="24"/>
        </w:rPr>
        <w:t>‘</w:t>
      </w:r>
      <w:r w:rsidRPr="0062706A">
        <w:rPr>
          <w:rFonts w:ascii="Times New Roman" w:hAnsi="Times New Roman" w:cs="Times New Roman"/>
          <w:kern w:val="24"/>
          <w:sz w:val="24"/>
          <w:szCs w:val="24"/>
        </w:rPr>
        <w:t xml:space="preserve">Ala </w:t>
      </w:r>
      <w:r w:rsidR="00F41F16" w:rsidRPr="0062706A">
        <w:rPr>
          <w:rFonts w:ascii="Times New Roman" w:hAnsi="Times New Roman" w:cs="Times New Roman"/>
          <w:smallCaps/>
          <w:kern w:val="24"/>
          <w:sz w:val="24"/>
          <w:szCs w:val="24"/>
        </w:rPr>
        <w:t>El-Maw</w:t>
      </w:r>
      <w:r w:rsidRPr="0062706A">
        <w:rPr>
          <w:rFonts w:ascii="Times New Roman" w:hAnsi="Times New Roman" w:cs="Times New Roman"/>
          <w:smallCaps/>
          <w:kern w:val="24"/>
          <w:sz w:val="24"/>
          <w:szCs w:val="24"/>
        </w:rPr>
        <w:t>d</w:t>
      </w:r>
      <w:r w:rsidR="00F41F16" w:rsidRPr="0062706A">
        <w:rPr>
          <w:rFonts w:ascii="Times New Roman" w:hAnsi="Times New Roman" w:cs="Times New Roman"/>
          <w:smallCaps/>
          <w:kern w:val="24"/>
          <w:sz w:val="24"/>
          <w:szCs w:val="24"/>
        </w:rPr>
        <w:t>o</w:t>
      </w:r>
      <w:r w:rsidRPr="0062706A">
        <w:rPr>
          <w:rFonts w:ascii="Times New Roman" w:hAnsi="Times New Roman" w:cs="Times New Roman"/>
          <w:smallCaps/>
          <w:kern w:val="24"/>
          <w:sz w:val="24"/>
          <w:szCs w:val="24"/>
        </w:rPr>
        <w:t>udi</w:t>
      </w:r>
      <w:r w:rsidRPr="0062706A">
        <w:rPr>
          <w:rFonts w:ascii="Times New Roman" w:hAnsi="Times New Roman" w:cs="Times New Roman"/>
          <w:kern w:val="24"/>
          <w:sz w:val="24"/>
          <w:szCs w:val="24"/>
        </w:rPr>
        <w:t>, à partir des a</w:t>
      </w:r>
      <w:r w:rsidR="00C12500" w:rsidRPr="0062706A">
        <w:rPr>
          <w:rFonts w:ascii="Times New Roman" w:hAnsi="Times New Roman" w:cs="Times New Roman"/>
          <w:kern w:val="24"/>
          <w:sz w:val="24"/>
          <w:szCs w:val="24"/>
        </w:rPr>
        <w:t>nnées 1940. U</w:t>
      </w:r>
      <w:r w:rsidRPr="0062706A">
        <w:rPr>
          <w:rFonts w:ascii="Times New Roman" w:hAnsi="Times New Roman" w:cs="Times New Roman"/>
          <w:kern w:val="24"/>
          <w:sz w:val="24"/>
          <w:szCs w:val="24"/>
        </w:rPr>
        <w:t xml:space="preserve">ne économie basée sur les principes </w:t>
      </w:r>
      <w:r w:rsidR="009C321F" w:rsidRPr="0062706A">
        <w:rPr>
          <w:rFonts w:ascii="Times New Roman" w:hAnsi="Times New Roman" w:cs="Times New Roman"/>
          <w:kern w:val="24"/>
          <w:sz w:val="24"/>
          <w:szCs w:val="24"/>
        </w:rPr>
        <w:t>i</w:t>
      </w:r>
      <w:r w:rsidR="003773C6" w:rsidRPr="0062706A">
        <w:rPr>
          <w:rFonts w:ascii="Times New Roman" w:hAnsi="Times New Roman" w:cs="Times New Roman"/>
          <w:kern w:val="24"/>
          <w:sz w:val="24"/>
          <w:szCs w:val="24"/>
        </w:rPr>
        <w:t>slamique</w:t>
      </w:r>
      <w:r w:rsidRPr="0062706A">
        <w:rPr>
          <w:rFonts w:ascii="Times New Roman" w:hAnsi="Times New Roman" w:cs="Times New Roman"/>
          <w:kern w:val="24"/>
          <w:sz w:val="24"/>
          <w:szCs w:val="24"/>
        </w:rPr>
        <w:t xml:space="preserve">s a également été préconisée par Anwar </w:t>
      </w:r>
      <w:r w:rsidRPr="0062706A">
        <w:rPr>
          <w:rFonts w:ascii="Times New Roman" w:hAnsi="Times New Roman" w:cs="Times New Roman"/>
          <w:smallCaps/>
          <w:kern w:val="24"/>
          <w:sz w:val="24"/>
          <w:szCs w:val="24"/>
        </w:rPr>
        <w:t>Iqbal</w:t>
      </w:r>
      <w:r w:rsidRPr="0062706A">
        <w:rPr>
          <w:rFonts w:ascii="Times New Roman" w:hAnsi="Times New Roman" w:cs="Times New Roman"/>
          <w:kern w:val="24"/>
          <w:sz w:val="24"/>
          <w:szCs w:val="24"/>
        </w:rPr>
        <w:t xml:space="preserve"> </w:t>
      </w:r>
      <w:r w:rsidRPr="0062706A">
        <w:rPr>
          <w:rFonts w:ascii="Times New Roman" w:hAnsi="Times New Roman" w:cs="Times New Roman"/>
          <w:smallCaps/>
          <w:kern w:val="24"/>
          <w:sz w:val="24"/>
          <w:szCs w:val="24"/>
        </w:rPr>
        <w:t>Qureshi</w:t>
      </w:r>
      <w:r w:rsidRPr="0062706A">
        <w:rPr>
          <w:rFonts w:ascii="Times New Roman" w:hAnsi="Times New Roman" w:cs="Times New Roman"/>
          <w:kern w:val="24"/>
          <w:sz w:val="24"/>
          <w:szCs w:val="24"/>
        </w:rPr>
        <w:t xml:space="preserve"> en 1946, Naiem </w:t>
      </w:r>
      <w:r w:rsidRPr="0062706A">
        <w:rPr>
          <w:rFonts w:ascii="Times New Roman" w:hAnsi="Times New Roman" w:cs="Times New Roman"/>
          <w:smallCaps/>
          <w:kern w:val="24"/>
          <w:sz w:val="24"/>
          <w:szCs w:val="24"/>
        </w:rPr>
        <w:t>Siddiqhi</w:t>
      </w:r>
      <w:r w:rsidRPr="0062706A">
        <w:rPr>
          <w:rFonts w:ascii="Times New Roman" w:hAnsi="Times New Roman" w:cs="Times New Roman"/>
          <w:kern w:val="24"/>
          <w:sz w:val="24"/>
          <w:szCs w:val="24"/>
        </w:rPr>
        <w:t xml:space="preserve"> en 1948 et Sheikh Mahmud </w:t>
      </w:r>
      <w:r w:rsidRPr="0062706A">
        <w:rPr>
          <w:rFonts w:ascii="Times New Roman" w:hAnsi="Times New Roman" w:cs="Times New Roman"/>
          <w:smallCaps/>
          <w:kern w:val="24"/>
          <w:sz w:val="24"/>
          <w:szCs w:val="24"/>
        </w:rPr>
        <w:t>Ahmad</w:t>
      </w:r>
      <w:r w:rsidRPr="0062706A">
        <w:rPr>
          <w:rFonts w:ascii="Times New Roman" w:hAnsi="Times New Roman" w:cs="Times New Roman"/>
          <w:kern w:val="24"/>
          <w:sz w:val="24"/>
          <w:szCs w:val="24"/>
        </w:rPr>
        <w:t xml:space="preserve"> en 1952</w:t>
      </w:r>
      <w:r w:rsidRPr="0062706A">
        <w:rPr>
          <w:rStyle w:val="Appelnotedebasdep"/>
          <w:rFonts w:ascii="Times New Roman" w:hAnsi="Times New Roman"/>
          <w:kern w:val="24"/>
          <w:sz w:val="24"/>
          <w:szCs w:val="24"/>
        </w:rPr>
        <w:footnoteReference w:id="76"/>
      </w:r>
      <w:r w:rsidRPr="0062706A">
        <w:rPr>
          <w:rFonts w:ascii="Times New Roman" w:hAnsi="Times New Roman" w:cs="Times New Roman"/>
          <w:kern w:val="24"/>
          <w:sz w:val="24"/>
          <w:szCs w:val="24"/>
        </w:rPr>
        <w:t>.</w:t>
      </w:r>
    </w:p>
    <w:p w14:paraId="4827A834" w14:textId="77777777" w:rsidR="002760B2" w:rsidRPr="007B3B64" w:rsidRDefault="00C12500" w:rsidP="006C1230">
      <w:pPr>
        <w:pStyle w:val="Titre5"/>
        <w:spacing w:before="120" w:after="120" w:line="300" w:lineRule="auto"/>
        <w:ind w:firstLine="709"/>
        <w:rPr>
          <w:rFonts w:asciiTheme="majorBidi" w:hAnsiTheme="majorBidi"/>
          <w:b/>
          <w:bCs/>
          <w:color w:val="auto"/>
          <w:sz w:val="24"/>
          <w:szCs w:val="24"/>
        </w:rPr>
      </w:pPr>
      <w:bookmarkStart w:id="237" w:name="_Toc182298620"/>
      <w:r w:rsidRPr="007B3B64">
        <w:rPr>
          <w:rFonts w:asciiTheme="majorBidi" w:hAnsiTheme="majorBidi"/>
          <w:b/>
          <w:bCs/>
          <w:color w:val="auto"/>
          <w:sz w:val="24"/>
          <w:szCs w:val="24"/>
        </w:rPr>
        <w:lastRenderedPageBreak/>
        <w:t xml:space="preserve">1.4.3.1- </w:t>
      </w:r>
      <w:r w:rsidR="005E580C" w:rsidRPr="007B3B64">
        <w:rPr>
          <w:rFonts w:asciiTheme="majorBidi" w:hAnsiTheme="majorBidi"/>
          <w:b/>
          <w:bCs/>
          <w:color w:val="auto"/>
          <w:sz w:val="24"/>
          <w:szCs w:val="24"/>
        </w:rPr>
        <w:t>P</w:t>
      </w:r>
      <w:r w:rsidR="002760B2" w:rsidRPr="007B3B64">
        <w:rPr>
          <w:rFonts w:asciiTheme="majorBidi" w:hAnsiTheme="majorBidi"/>
          <w:b/>
          <w:bCs/>
          <w:color w:val="auto"/>
          <w:sz w:val="24"/>
          <w:szCs w:val="24"/>
        </w:rPr>
        <w:t xml:space="preserve">remières traces d’institutions financières </w:t>
      </w:r>
      <w:r w:rsidR="003773C6" w:rsidRPr="007B3B64">
        <w:rPr>
          <w:rFonts w:asciiTheme="majorBidi" w:hAnsiTheme="majorBidi"/>
          <w:b/>
          <w:bCs/>
          <w:color w:val="auto"/>
          <w:sz w:val="24"/>
          <w:szCs w:val="24"/>
        </w:rPr>
        <w:t>islamique</w:t>
      </w:r>
      <w:r w:rsidR="002760B2" w:rsidRPr="007B3B64">
        <w:rPr>
          <w:rFonts w:asciiTheme="majorBidi" w:hAnsiTheme="majorBidi"/>
          <w:b/>
          <w:bCs/>
          <w:color w:val="auto"/>
          <w:sz w:val="24"/>
          <w:szCs w:val="24"/>
        </w:rPr>
        <w:t>s</w:t>
      </w:r>
      <w:bookmarkEnd w:id="237"/>
    </w:p>
    <w:p w14:paraId="346CAB9B" w14:textId="77777777" w:rsidR="002760B2" w:rsidRPr="002B005F" w:rsidRDefault="002760B2" w:rsidP="006C1230">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DC6E2C">
        <w:rPr>
          <w:rFonts w:ascii="Times New Roman" w:hAnsi="Times New Roman" w:cs="Times New Roman"/>
          <w:sz w:val="24"/>
          <w:szCs w:val="24"/>
        </w:rPr>
        <w:t xml:space="preserve">En 1957, la </w:t>
      </w:r>
      <w:r w:rsidR="00C45787" w:rsidRPr="00DC6E2C">
        <w:rPr>
          <w:rFonts w:ascii="Times New Roman" w:hAnsi="Times New Roman" w:cs="Times New Roman"/>
          <w:sz w:val="24"/>
          <w:szCs w:val="24"/>
        </w:rPr>
        <w:t>première institution financière</w:t>
      </w:r>
      <w:r w:rsidRPr="00DC6E2C">
        <w:rPr>
          <w:rFonts w:ascii="Times New Roman" w:hAnsi="Times New Roman" w:cs="Times New Roman"/>
          <w:sz w:val="24"/>
          <w:szCs w:val="24"/>
        </w:rPr>
        <w:t xml:space="preserve"> </w:t>
      </w:r>
      <w:r w:rsidR="003773C6" w:rsidRPr="00DC6E2C">
        <w:rPr>
          <w:rFonts w:ascii="Times New Roman" w:hAnsi="Times New Roman" w:cs="Times New Roman"/>
          <w:sz w:val="24"/>
          <w:szCs w:val="24"/>
        </w:rPr>
        <w:t>islamique</w:t>
      </w:r>
      <w:r w:rsidRPr="00DC6E2C">
        <w:rPr>
          <w:rFonts w:ascii="Times New Roman" w:hAnsi="Times New Roman" w:cs="Times New Roman"/>
          <w:sz w:val="24"/>
          <w:szCs w:val="24"/>
        </w:rPr>
        <w:t xml:space="preserve"> f</w:t>
      </w:r>
      <w:r w:rsidR="00A74F65" w:rsidRPr="00DC6E2C">
        <w:rPr>
          <w:rFonts w:ascii="Times New Roman" w:hAnsi="Times New Roman" w:cs="Times New Roman"/>
          <w:sz w:val="24"/>
          <w:szCs w:val="24"/>
        </w:rPr>
        <w:t>ut créée par l’</w:t>
      </w:r>
      <w:r w:rsidR="00C12500" w:rsidRPr="00DC6E2C">
        <w:rPr>
          <w:rFonts w:ascii="Times New Roman" w:hAnsi="Times New Roman" w:cs="Times New Roman"/>
          <w:sz w:val="24"/>
          <w:szCs w:val="24"/>
        </w:rPr>
        <w:t>Arabie Saoudite ; il s’agit d’</w:t>
      </w:r>
      <w:r w:rsidR="00C12500" w:rsidRPr="00DC6E2C">
        <w:rPr>
          <w:rFonts w:ascii="Times New Roman" w:hAnsi="Times New Roman" w:cs="Times New Roman"/>
          <w:i/>
          <w:iCs/>
          <w:sz w:val="24"/>
          <w:szCs w:val="24"/>
        </w:rPr>
        <w:t>Al Rajhi Bank</w:t>
      </w:r>
      <w:r w:rsidRPr="00DC6E2C">
        <w:rPr>
          <w:rFonts w:ascii="Times New Roman" w:hAnsi="Times New Roman" w:cs="Times New Roman"/>
          <w:sz w:val="24"/>
          <w:szCs w:val="24"/>
        </w:rPr>
        <w:t>, t</w:t>
      </w:r>
      <w:r w:rsidR="00A74F65" w:rsidRPr="00DC6E2C">
        <w:rPr>
          <w:rFonts w:ascii="Times New Roman" w:hAnsi="Times New Roman" w:cs="Times New Roman"/>
          <w:sz w:val="24"/>
          <w:szCs w:val="24"/>
        </w:rPr>
        <w:t xml:space="preserve">ransformée en 1978 en holding </w:t>
      </w:r>
      <w:r w:rsidRPr="00DC6E2C">
        <w:rPr>
          <w:rFonts w:ascii="Times New Roman" w:hAnsi="Times New Roman" w:cs="Times New Roman"/>
          <w:i/>
          <w:iCs/>
          <w:sz w:val="24"/>
          <w:szCs w:val="24"/>
        </w:rPr>
        <w:t>Al Rajhi Trad</w:t>
      </w:r>
      <w:r w:rsidR="00C12500" w:rsidRPr="00DC6E2C">
        <w:rPr>
          <w:rFonts w:ascii="Times New Roman" w:hAnsi="Times New Roman" w:cs="Times New Roman"/>
          <w:i/>
          <w:iCs/>
          <w:sz w:val="24"/>
          <w:szCs w:val="24"/>
        </w:rPr>
        <w:t>ing and Exchange C</w:t>
      </w:r>
      <w:r w:rsidR="00A74F65" w:rsidRPr="00DC6E2C">
        <w:rPr>
          <w:rFonts w:ascii="Times New Roman" w:hAnsi="Times New Roman" w:cs="Times New Roman"/>
          <w:i/>
          <w:iCs/>
          <w:sz w:val="24"/>
          <w:szCs w:val="24"/>
        </w:rPr>
        <w:t>orporation</w:t>
      </w:r>
      <w:r w:rsidR="00A74F65" w:rsidRPr="00DC6E2C">
        <w:rPr>
          <w:rFonts w:ascii="Times New Roman" w:hAnsi="Times New Roman" w:cs="Times New Roman"/>
          <w:sz w:val="24"/>
          <w:szCs w:val="24"/>
        </w:rPr>
        <w:t>.</w:t>
      </w:r>
    </w:p>
    <w:p w14:paraId="4800358C" w14:textId="6C7234C7" w:rsidR="002760B2" w:rsidRPr="002B005F" w:rsidRDefault="00C12500" w:rsidP="006C1230">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En août 1962, </w:t>
      </w:r>
      <w:r w:rsidRPr="002B005F">
        <w:rPr>
          <w:rFonts w:ascii="Times New Roman" w:hAnsi="Times New Roman" w:cs="Times New Roman"/>
          <w:i/>
          <w:iCs/>
          <w:sz w:val="24"/>
          <w:szCs w:val="24"/>
        </w:rPr>
        <w:t>Pilgrim’s Management Fund</w:t>
      </w:r>
      <w:r w:rsidR="002760B2" w:rsidRPr="002B005F">
        <w:rPr>
          <w:rFonts w:ascii="Times New Roman" w:hAnsi="Times New Roman" w:cs="Times New Roman"/>
          <w:sz w:val="24"/>
          <w:szCs w:val="24"/>
        </w:rPr>
        <w:t xml:space="preserve"> a été fondé</w:t>
      </w:r>
      <w:r w:rsidRPr="002B005F">
        <w:rPr>
          <w:rFonts w:ascii="Times New Roman" w:hAnsi="Times New Roman" w:cs="Times New Roman"/>
          <w:sz w:val="24"/>
          <w:szCs w:val="24"/>
        </w:rPr>
        <w:t>e</w:t>
      </w:r>
      <w:r w:rsidR="002760B2" w:rsidRPr="002B005F">
        <w:rPr>
          <w:rFonts w:ascii="Times New Roman" w:hAnsi="Times New Roman" w:cs="Times New Roman"/>
          <w:sz w:val="24"/>
          <w:szCs w:val="24"/>
        </w:rPr>
        <w:t xml:space="preserve"> en Malaisie. Cette expérience était dédiée à investir les ressources publiques auprès d’un grands nombre de petits épargnants dans de grands projets industriels, agricole</w:t>
      </w:r>
      <w:r w:rsidRPr="002B005F">
        <w:rPr>
          <w:rFonts w:ascii="Times New Roman" w:hAnsi="Times New Roman" w:cs="Times New Roman"/>
          <w:sz w:val="24"/>
          <w:szCs w:val="24"/>
        </w:rPr>
        <w:t>s ou de construction. Au fait, s</w:t>
      </w:r>
      <w:r w:rsidR="002760B2" w:rsidRPr="002B005F">
        <w:rPr>
          <w:rFonts w:ascii="Times New Roman" w:hAnsi="Times New Roman" w:cs="Times New Roman"/>
          <w:sz w:val="24"/>
          <w:szCs w:val="24"/>
        </w:rPr>
        <w:t xml:space="preserve">on objectif constructif était de faciliter l’épargne pour le voyage sacré à la </w:t>
      </w:r>
      <w:r w:rsidR="002760B2" w:rsidRPr="002B005F">
        <w:rPr>
          <w:rFonts w:ascii="Times New Roman" w:hAnsi="Times New Roman" w:cs="Times New Roman"/>
          <w:i/>
          <w:iCs/>
          <w:sz w:val="24"/>
          <w:szCs w:val="24"/>
        </w:rPr>
        <w:t xml:space="preserve">Mecque </w:t>
      </w:r>
      <w:r w:rsidR="002760B2" w:rsidRPr="002B005F">
        <w:rPr>
          <w:rFonts w:ascii="Times New Roman" w:hAnsi="Times New Roman" w:cs="Times New Roman"/>
          <w:sz w:val="24"/>
          <w:szCs w:val="24"/>
        </w:rPr>
        <w:t xml:space="preserve">à travers l’investissement dans des projets compatible avec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2760B2" w:rsidRPr="002B005F">
        <w:rPr>
          <w:rFonts w:ascii="Times New Roman" w:hAnsi="Times New Roman" w:cs="Times New Roman"/>
          <w:sz w:val="24"/>
          <w:szCs w:val="24"/>
        </w:rPr>
        <w:t>.</w:t>
      </w:r>
    </w:p>
    <w:p w14:paraId="4B130656" w14:textId="77777777" w:rsidR="002760B2" w:rsidRPr="002B005F" w:rsidRDefault="002760B2" w:rsidP="006C1230">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C’est en 1963 que la première </w:t>
      </w:r>
      <w:r w:rsidR="00C12500" w:rsidRPr="002B005F">
        <w:rPr>
          <w:rFonts w:ascii="Times New Roman" w:hAnsi="Times New Roman" w:cs="Times New Roman"/>
          <w:sz w:val="24"/>
          <w:szCs w:val="24"/>
        </w:rPr>
        <w:t xml:space="preserve">caisse d’épargne </w:t>
      </w:r>
      <w:r w:rsidR="00C45787">
        <w:rPr>
          <w:rFonts w:ascii="Times New Roman" w:hAnsi="Times New Roman" w:cs="Times New Roman"/>
          <w:sz w:val="24"/>
          <w:szCs w:val="24"/>
        </w:rPr>
        <w:t>islamique</w:t>
      </w:r>
      <w:r w:rsidR="00C12500" w:rsidRPr="002B005F">
        <w:rPr>
          <w:rFonts w:ascii="Times New Roman" w:hAnsi="Times New Roman" w:cs="Times New Roman"/>
          <w:sz w:val="24"/>
          <w:szCs w:val="24"/>
        </w:rPr>
        <w:t xml:space="preserve"> la </w:t>
      </w:r>
      <w:r w:rsidR="00C12500" w:rsidRPr="002B005F">
        <w:rPr>
          <w:rFonts w:ascii="Times New Roman" w:hAnsi="Times New Roman" w:cs="Times New Roman"/>
          <w:i/>
          <w:iCs/>
          <w:sz w:val="24"/>
          <w:szCs w:val="24"/>
        </w:rPr>
        <w:t>Mit Ghamr Saving Bank</w:t>
      </w:r>
      <w:r w:rsidRPr="002B005F">
        <w:rPr>
          <w:rFonts w:ascii="Times New Roman" w:hAnsi="Times New Roman" w:cs="Times New Roman"/>
          <w:i/>
          <w:iCs/>
          <w:sz w:val="24"/>
          <w:szCs w:val="24"/>
        </w:rPr>
        <w:t xml:space="preserve"> </w:t>
      </w:r>
      <w:r w:rsidRPr="002B005F">
        <w:rPr>
          <w:rFonts w:ascii="Times New Roman" w:hAnsi="Times New Roman" w:cs="Times New Roman"/>
          <w:sz w:val="24"/>
          <w:szCs w:val="24"/>
        </w:rPr>
        <w:t xml:space="preserve">a été créée dans le village égyptien de </w:t>
      </w:r>
      <w:r w:rsidRPr="002B005F">
        <w:rPr>
          <w:rFonts w:ascii="Times New Roman" w:hAnsi="Times New Roman" w:cs="Times New Roman"/>
          <w:i/>
          <w:iCs/>
          <w:sz w:val="24"/>
          <w:szCs w:val="24"/>
        </w:rPr>
        <w:t>Mit Ghamr</w:t>
      </w:r>
      <w:r w:rsidRPr="002B005F">
        <w:rPr>
          <w:rFonts w:ascii="Times New Roman" w:hAnsi="Times New Roman" w:cs="Times New Roman"/>
          <w:sz w:val="24"/>
          <w:szCs w:val="24"/>
        </w:rPr>
        <w:t xml:space="preserve"> par l’économiste Ahmed </w:t>
      </w:r>
      <w:r w:rsidRPr="00C45787">
        <w:rPr>
          <w:rFonts w:ascii="Times New Roman" w:hAnsi="Times New Roman" w:cs="Times New Roman"/>
          <w:smallCaps/>
          <w:sz w:val="24"/>
          <w:szCs w:val="24"/>
        </w:rPr>
        <w:t>El Naggar</w:t>
      </w:r>
      <w:r w:rsidRPr="002B005F">
        <w:rPr>
          <w:rFonts w:ascii="Times New Roman" w:hAnsi="Times New Roman" w:cs="Times New Roman"/>
          <w:sz w:val="24"/>
          <w:szCs w:val="24"/>
        </w:rPr>
        <w:t xml:space="preserve">. Mais cette expérience qui fût une véritable </w:t>
      </w:r>
      <w:r w:rsidR="00C12500" w:rsidRPr="002B005F">
        <w:rPr>
          <w:rFonts w:ascii="Times New Roman" w:hAnsi="Times New Roman" w:cs="Times New Roman"/>
          <w:sz w:val="24"/>
          <w:szCs w:val="24"/>
        </w:rPr>
        <w:t>réussite ne dura que quatre</w:t>
      </w:r>
      <w:r w:rsidRPr="002B005F">
        <w:rPr>
          <w:rFonts w:ascii="Times New Roman" w:hAnsi="Times New Roman" w:cs="Times New Roman"/>
          <w:sz w:val="24"/>
          <w:szCs w:val="24"/>
        </w:rPr>
        <w:t xml:space="preserve"> ans, car elle prit fin pour des raisons politiques</w:t>
      </w:r>
      <w:r w:rsidRPr="002B005F">
        <w:rPr>
          <w:rStyle w:val="Appelnotedebasdep"/>
          <w:rFonts w:ascii="Times New Roman" w:hAnsi="Times New Roman"/>
          <w:sz w:val="24"/>
          <w:szCs w:val="24"/>
        </w:rPr>
        <w:footnoteReference w:id="77"/>
      </w:r>
      <w:r w:rsidRPr="002B005F">
        <w:rPr>
          <w:rFonts w:ascii="Times New Roman" w:hAnsi="Times New Roman" w:cs="Times New Roman"/>
          <w:sz w:val="24"/>
          <w:szCs w:val="24"/>
        </w:rPr>
        <w:t>.</w:t>
      </w:r>
    </w:p>
    <w:p w14:paraId="33E70036" w14:textId="77777777" w:rsidR="002760B2" w:rsidRPr="007B3B64" w:rsidRDefault="00BD5933" w:rsidP="006C1230">
      <w:pPr>
        <w:pStyle w:val="Titre5"/>
        <w:keepNext w:val="0"/>
        <w:keepLines w:val="0"/>
        <w:spacing w:before="120" w:after="120" w:line="300" w:lineRule="auto"/>
        <w:ind w:firstLine="709"/>
        <w:rPr>
          <w:rFonts w:asciiTheme="majorBidi" w:hAnsiTheme="majorBidi"/>
          <w:b/>
          <w:bCs/>
          <w:color w:val="auto"/>
          <w:sz w:val="24"/>
          <w:szCs w:val="24"/>
        </w:rPr>
      </w:pPr>
      <w:bookmarkStart w:id="238" w:name="_Toc182298621"/>
      <w:r w:rsidRPr="007B3B64">
        <w:rPr>
          <w:rFonts w:asciiTheme="majorBidi" w:hAnsiTheme="majorBidi"/>
          <w:b/>
          <w:bCs/>
          <w:color w:val="auto"/>
          <w:sz w:val="24"/>
          <w:szCs w:val="24"/>
        </w:rPr>
        <w:t xml:space="preserve">1.4.3.2- </w:t>
      </w:r>
      <w:r w:rsidR="002760B2" w:rsidRPr="007B3B64">
        <w:rPr>
          <w:rFonts w:asciiTheme="majorBidi" w:hAnsiTheme="majorBidi"/>
          <w:b/>
          <w:bCs/>
          <w:color w:val="auto"/>
          <w:sz w:val="24"/>
          <w:szCs w:val="24"/>
        </w:rPr>
        <w:t xml:space="preserve">Essor des institutions financières </w:t>
      </w:r>
      <w:r w:rsidR="008949B6" w:rsidRPr="007B3B64">
        <w:rPr>
          <w:rFonts w:asciiTheme="majorBidi" w:hAnsiTheme="majorBidi"/>
          <w:b/>
          <w:bCs/>
          <w:color w:val="auto"/>
          <w:sz w:val="24"/>
          <w:szCs w:val="24"/>
        </w:rPr>
        <w:t>i</w:t>
      </w:r>
      <w:r w:rsidR="003773C6" w:rsidRPr="007B3B64">
        <w:rPr>
          <w:rFonts w:asciiTheme="majorBidi" w:hAnsiTheme="majorBidi"/>
          <w:b/>
          <w:bCs/>
          <w:color w:val="auto"/>
          <w:sz w:val="24"/>
          <w:szCs w:val="24"/>
        </w:rPr>
        <w:t>slamique</w:t>
      </w:r>
      <w:r w:rsidR="002760B2" w:rsidRPr="007B3B64">
        <w:rPr>
          <w:rFonts w:asciiTheme="majorBidi" w:hAnsiTheme="majorBidi"/>
          <w:b/>
          <w:bCs/>
          <w:color w:val="auto"/>
          <w:sz w:val="24"/>
          <w:szCs w:val="24"/>
        </w:rPr>
        <w:t>s</w:t>
      </w:r>
      <w:bookmarkEnd w:id="238"/>
    </w:p>
    <w:p w14:paraId="3FFFF1D5" w14:textId="19F67777" w:rsidR="002760B2" w:rsidRPr="002B005F" w:rsidRDefault="002760B2" w:rsidP="006C1230">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Sans ignorer les premières expériences, plusieurs économistes s’accordent à considérer que la véritable naissance de la finance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moderne revient aux années 70 </w:t>
      </w:r>
      <w:r w:rsidR="00621E73">
        <w:rPr>
          <w:rFonts w:ascii="Times New Roman" w:hAnsi="Times New Roman" w:cs="Times New Roman"/>
          <w:sz w:val="24"/>
          <w:szCs w:val="24"/>
        </w:rPr>
        <w:t>suite au</w:t>
      </w:r>
      <w:r w:rsidRPr="002B005F">
        <w:rPr>
          <w:rFonts w:ascii="Times New Roman" w:hAnsi="Times New Roman" w:cs="Times New Roman"/>
          <w:sz w:val="24"/>
          <w:szCs w:val="24"/>
        </w:rPr>
        <w:t xml:space="preserve"> boom pétrolier. Selon certains observateurs, le développement de la </w:t>
      </w:r>
      <w:r w:rsidR="00315430">
        <w:rPr>
          <w:rFonts w:ascii="Times New Roman" w:hAnsi="Times New Roman" w:cs="Times New Roman"/>
          <w:sz w:val="24"/>
          <w:szCs w:val="24"/>
        </w:rPr>
        <w:t>finance</w:t>
      </w:r>
      <w:r w:rsidR="00D869F5">
        <w:rPr>
          <w:rFonts w:ascii="Times New Roman" w:hAnsi="Times New Roman" w:cs="Times New Roman"/>
          <w:sz w:val="24"/>
          <w:szCs w:val="24"/>
        </w:rPr>
        <w:t xml:space="preserve"> islamique</w:t>
      </w:r>
      <w:r w:rsidRPr="002B005F">
        <w:rPr>
          <w:rFonts w:ascii="Times New Roman" w:hAnsi="Times New Roman" w:cs="Times New Roman"/>
          <w:sz w:val="24"/>
          <w:szCs w:val="24"/>
        </w:rPr>
        <w:t xml:space="preserve"> à partir des années 70 est une conséquence directe de la mise en exploitation des gisements du pétrole dans le Golfe Persique et des richesses générées par cette industrie stratégique</w:t>
      </w:r>
      <w:r w:rsidRPr="002B005F">
        <w:rPr>
          <w:rStyle w:val="Appelnotedebasdep"/>
          <w:rFonts w:ascii="Times New Roman" w:hAnsi="Times New Roman"/>
          <w:sz w:val="24"/>
          <w:szCs w:val="24"/>
        </w:rPr>
        <w:footnoteReference w:id="78"/>
      </w:r>
      <w:r w:rsidRPr="002B005F">
        <w:rPr>
          <w:rFonts w:ascii="Times New Roman" w:hAnsi="Times New Roman" w:cs="Times New Roman"/>
          <w:sz w:val="24"/>
          <w:szCs w:val="24"/>
        </w:rPr>
        <w:t>.</w:t>
      </w:r>
    </w:p>
    <w:p w14:paraId="58ED4687" w14:textId="78999664" w:rsidR="002760B2" w:rsidRPr="002B005F" w:rsidRDefault="002760B2" w:rsidP="006C1230">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deuxième phase dans l’évolution de l’activité financière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est caractérisée par l’accroissement du nombre des institutions financières </w:t>
      </w:r>
      <w:r w:rsidR="008949B6">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(IFI) et par une augmentation </w:t>
      </w:r>
      <w:r w:rsidR="00AF00C9" w:rsidRPr="002B005F">
        <w:rPr>
          <w:rFonts w:ascii="Times New Roman" w:hAnsi="Times New Roman" w:cs="Times New Roman"/>
          <w:sz w:val="24"/>
          <w:szCs w:val="24"/>
        </w:rPr>
        <w:t>incess</w:t>
      </w:r>
      <w:r w:rsidR="00A74F65" w:rsidRPr="002B005F">
        <w:rPr>
          <w:rFonts w:ascii="Times New Roman" w:hAnsi="Times New Roman" w:cs="Times New Roman"/>
          <w:sz w:val="24"/>
          <w:szCs w:val="24"/>
        </w:rPr>
        <w:t>ante du</w:t>
      </w:r>
      <w:r w:rsidRPr="002B005F">
        <w:rPr>
          <w:rFonts w:ascii="Times New Roman" w:hAnsi="Times New Roman" w:cs="Times New Roman"/>
          <w:sz w:val="24"/>
          <w:szCs w:val="24"/>
        </w:rPr>
        <w:t xml:space="preserve"> volume</w:t>
      </w:r>
      <w:r w:rsidR="008210ED" w:rsidRPr="002B005F">
        <w:rPr>
          <w:rFonts w:ascii="Times New Roman" w:hAnsi="Times New Roman" w:cs="Times New Roman"/>
          <w:sz w:val="24"/>
          <w:szCs w:val="24"/>
        </w:rPr>
        <w:t xml:space="preserve"> de leurs actifs</w:t>
      </w:r>
      <w:r w:rsidRPr="002B005F">
        <w:rPr>
          <w:rFonts w:ascii="Times New Roman" w:hAnsi="Times New Roman" w:cs="Times New Roman"/>
          <w:sz w:val="24"/>
          <w:szCs w:val="24"/>
        </w:rPr>
        <w:t xml:space="preserve">. Au cours des années 1970-1990, de nouveaux centres de la </w:t>
      </w:r>
      <w:r w:rsidR="00A271FD" w:rsidRPr="002B005F">
        <w:rPr>
          <w:rFonts w:ascii="Times New Roman" w:hAnsi="Times New Roman" w:cs="Times New Roman"/>
          <w:sz w:val="24"/>
          <w:szCs w:val="24"/>
        </w:rPr>
        <w:t>FI</w:t>
      </w:r>
      <w:r w:rsidR="00003027" w:rsidRPr="002B005F">
        <w:rPr>
          <w:rFonts w:ascii="Times New Roman" w:hAnsi="Times New Roman" w:cs="Times New Roman"/>
          <w:sz w:val="24"/>
          <w:szCs w:val="24"/>
        </w:rPr>
        <w:t xml:space="preserve"> </w:t>
      </w:r>
      <w:r w:rsidRPr="002B005F">
        <w:rPr>
          <w:rFonts w:ascii="Times New Roman" w:hAnsi="Times New Roman" w:cs="Times New Roman"/>
          <w:sz w:val="24"/>
          <w:szCs w:val="24"/>
        </w:rPr>
        <w:t>apparaissaient</w:t>
      </w:r>
      <w:r w:rsidR="00621E73">
        <w:rPr>
          <w:rFonts w:ascii="Times New Roman" w:hAnsi="Times New Roman" w:cs="Times New Roman"/>
          <w:sz w:val="24"/>
          <w:szCs w:val="24"/>
        </w:rPr>
        <w:t> ;</w:t>
      </w:r>
      <w:r w:rsidRPr="002B005F">
        <w:rPr>
          <w:rFonts w:ascii="Times New Roman" w:hAnsi="Times New Roman" w:cs="Times New Roman"/>
          <w:sz w:val="24"/>
          <w:szCs w:val="24"/>
        </w:rPr>
        <w:t xml:space="preserve"> au début</w:t>
      </w:r>
      <w:r w:rsidR="00621E73">
        <w:rPr>
          <w:rFonts w:ascii="Times New Roman" w:hAnsi="Times New Roman" w:cs="Times New Roman"/>
          <w:sz w:val="24"/>
          <w:szCs w:val="24"/>
        </w:rPr>
        <w:t>,</w:t>
      </w:r>
      <w:r w:rsidRPr="002B005F">
        <w:rPr>
          <w:rFonts w:ascii="Times New Roman" w:hAnsi="Times New Roman" w:cs="Times New Roman"/>
          <w:sz w:val="24"/>
          <w:szCs w:val="24"/>
        </w:rPr>
        <w:t xml:space="preserve"> </w:t>
      </w:r>
      <w:r w:rsidR="00621E73">
        <w:rPr>
          <w:rFonts w:ascii="Times New Roman" w:hAnsi="Times New Roman" w:cs="Times New Roman"/>
          <w:sz w:val="24"/>
          <w:szCs w:val="24"/>
        </w:rPr>
        <w:t>elle</w:t>
      </w:r>
      <w:r w:rsidR="00003027"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était localisée </w:t>
      </w:r>
      <w:r w:rsidR="00621E73">
        <w:rPr>
          <w:rFonts w:ascii="Times New Roman" w:hAnsi="Times New Roman" w:cs="Times New Roman"/>
          <w:sz w:val="24"/>
          <w:szCs w:val="24"/>
        </w:rPr>
        <w:t xml:space="preserve">au </w:t>
      </w:r>
      <w:r w:rsidRPr="002B005F">
        <w:rPr>
          <w:rFonts w:ascii="Times New Roman" w:hAnsi="Times New Roman" w:cs="Times New Roman"/>
          <w:sz w:val="24"/>
          <w:szCs w:val="24"/>
        </w:rPr>
        <w:t xml:space="preserve">Moyen-Orient, </w:t>
      </w:r>
      <w:r w:rsidR="00621E73">
        <w:rPr>
          <w:rFonts w:ascii="Times New Roman" w:hAnsi="Times New Roman" w:cs="Times New Roman"/>
          <w:sz w:val="24"/>
          <w:szCs w:val="24"/>
        </w:rPr>
        <w:t xml:space="preserve">en </w:t>
      </w:r>
      <w:r w:rsidRPr="002B005F">
        <w:rPr>
          <w:rFonts w:ascii="Times New Roman" w:hAnsi="Times New Roman" w:cs="Times New Roman"/>
          <w:sz w:val="24"/>
          <w:szCs w:val="24"/>
        </w:rPr>
        <w:t xml:space="preserve">Asie du Sud-est, </w:t>
      </w:r>
      <w:r w:rsidR="00621E73" w:rsidRPr="002B005F">
        <w:rPr>
          <w:rFonts w:ascii="Times New Roman" w:hAnsi="Times New Roman" w:cs="Times New Roman"/>
          <w:sz w:val="24"/>
          <w:szCs w:val="24"/>
        </w:rPr>
        <w:t xml:space="preserve">notamment dans certains pays </w:t>
      </w:r>
      <w:r w:rsidR="00621E73">
        <w:rPr>
          <w:rFonts w:ascii="Times New Roman" w:hAnsi="Times New Roman" w:cs="Times New Roman"/>
          <w:sz w:val="24"/>
          <w:szCs w:val="24"/>
        </w:rPr>
        <w:t>(</w:t>
      </w:r>
      <w:r w:rsidR="00621E73" w:rsidRPr="002B005F">
        <w:rPr>
          <w:rFonts w:ascii="Times New Roman" w:hAnsi="Times New Roman" w:cs="Times New Roman"/>
          <w:sz w:val="24"/>
          <w:szCs w:val="24"/>
        </w:rPr>
        <w:t>Arabie Saoudite, Malaisie, Egypte et Pakistan</w:t>
      </w:r>
      <w:r w:rsidR="00621E73">
        <w:rPr>
          <w:rFonts w:ascii="Times New Roman" w:hAnsi="Times New Roman" w:cs="Times New Roman"/>
          <w:sz w:val="24"/>
          <w:szCs w:val="24"/>
        </w:rPr>
        <w:t>) ;</w:t>
      </w:r>
      <w:r w:rsidR="00621E73" w:rsidRPr="002B005F">
        <w:rPr>
          <w:rFonts w:ascii="Times New Roman" w:hAnsi="Times New Roman" w:cs="Times New Roman"/>
          <w:sz w:val="24"/>
          <w:szCs w:val="24"/>
        </w:rPr>
        <w:t xml:space="preserve"> </w:t>
      </w:r>
      <w:r w:rsidRPr="002B005F">
        <w:rPr>
          <w:rFonts w:ascii="Times New Roman" w:hAnsi="Times New Roman" w:cs="Times New Roman"/>
          <w:sz w:val="24"/>
          <w:szCs w:val="24"/>
        </w:rPr>
        <w:t>pu</w:t>
      </w:r>
      <w:r w:rsidR="009C321F" w:rsidRPr="002B005F">
        <w:rPr>
          <w:rFonts w:ascii="Times New Roman" w:hAnsi="Times New Roman" w:cs="Times New Roman"/>
          <w:sz w:val="24"/>
          <w:szCs w:val="24"/>
        </w:rPr>
        <w:t>is</w:t>
      </w:r>
      <w:r w:rsidR="00621E73">
        <w:rPr>
          <w:rFonts w:ascii="Times New Roman" w:hAnsi="Times New Roman" w:cs="Times New Roman"/>
          <w:sz w:val="24"/>
          <w:szCs w:val="24"/>
        </w:rPr>
        <w:t>,</w:t>
      </w:r>
      <w:r w:rsidR="009C321F" w:rsidRPr="002B005F">
        <w:rPr>
          <w:rFonts w:ascii="Times New Roman" w:hAnsi="Times New Roman" w:cs="Times New Roman"/>
          <w:sz w:val="24"/>
          <w:szCs w:val="24"/>
        </w:rPr>
        <w:t xml:space="preserve"> elle a pénétré l’Afrique du N</w:t>
      </w:r>
      <w:r w:rsidRPr="002B005F">
        <w:rPr>
          <w:rFonts w:ascii="Times New Roman" w:hAnsi="Times New Roman" w:cs="Times New Roman"/>
          <w:sz w:val="24"/>
          <w:szCs w:val="24"/>
        </w:rPr>
        <w:t>ord.</w:t>
      </w:r>
    </w:p>
    <w:p w14:paraId="21B79431" w14:textId="43A042F1" w:rsidR="002760B2" w:rsidRPr="002B005F" w:rsidRDefault="00621E73" w:rsidP="006C1230">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O</w:t>
      </w:r>
      <w:r w:rsidR="002760B2" w:rsidRPr="002B005F">
        <w:rPr>
          <w:rFonts w:ascii="Times New Roman" w:hAnsi="Times New Roman" w:cs="Times New Roman"/>
          <w:sz w:val="24"/>
          <w:szCs w:val="24"/>
        </w:rPr>
        <w:t>utre</w:t>
      </w:r>
      <w:r>
        <w:rPr>
          <w:rFonts w:ascii="Times New Roman" w:hAnsi="Times New Roman" w:cs="Times New Roman"/>
          <w:sz w:val="24"/>
          <w:szCs w:val="24"/>
        </w:rPr>
        <w:t xml:space="preserve"> </w:t>
      </w:r>
      <w:r w:rsidRPr="002B005F">
        <w:rPr>
          <w:rFonts w:ascii="Times New Roman" w:hAnsi="Times New Roman" w:cs="Times New Roman"/>
          <w:sz w:val="24"/>
          <w:szCs w:val="24"/>
        </w:rPr>
        <w:t>le marché bancaire</w:t>
      </w:r>
      <w:r w:rsidR="002760B2" w:rsidRPr="002B005F">
        <w:rPr>
          <w:rFonts w:ascii="Times New Roman" w:hAnsi="Times New Roman" w:cs="Times New Roman"/>
          <w:sz w:val="24"/>
          <w:szCs w:val="24"/>
        </w:rPr>
        <w:t xml:space="preserve">, la </w:t>
      </w:r>
      <w:r w:rsidR="00D869F5">
        <w:rPr>
          <w:rFonts w:ascii="Times New Roman" w:hAnsi="Times New Roman" w:cs="Times New Roman"/>
          <w:sz w:val="24"/>
          <w:szCs w:val="24"/>
        </w:rPr>
        <w:t>finance islamique</w:t>
      </w:r>
      <w:r w:rsidR="00003027" w:rsidRPr="002B005F">
        <w:rPr>
          <w:rFonts w:ascii="Times New Roman" w:hAnsi="Times New Roman" w:cs="Times New Roman"/>
          <w:sz w:val="24"/>
          <w:szCs w:val="24"/>
        </w:rPr>
        <w:t xml:space="preserve"> </w:t>
      </w:r>
      <w:r w:rsidR="002760B2" w:rsidRPr="002B005F">
        <w:rPr>
          <w:rFonts w:ascii="Times New Roman" w:hAnsi="Times New Roman" w:cs="Times New Roman"/>
          <w:sz w:val="24"/>
          <w:szCs w:val="24"/>
        </w:rPr>
        <w:t xml:space="preserve">a envahi de nouveaux </w:t>
      </w:r>
      <w:r>
        <w:rPr>
          <w:rFonts w:ascii="Times New Roman" w:hAnsi="Times New Roman" w:cs="Times New Roman"/>
          <w:sz w:val="24"/>
          <w:szCs w:val="24"/>
        </w:rPr>
        <w:t>domaines</w:t>
      </w:r>
      <w:r w:rsidR="002760B2" w:rsidRPr="002B005F">
        <w:rPr>
          <w:rFonts w:ascii="Times New Roman" w:hAnsi="Times New Roman" w:cs="Times New Roman"/>
          <w:sz w:val="24"/>
          <w:szCs w:val="24"/>
        </w:rPr>
        <w:t xml:space="preserve"> comme le secteur </w:t>
      </w:r>
      <w:r>
        <w:rPr>
          <w:rFonts w:ascii="Times New Roman" w:hAnsi="Times New Roman" w:cs="Times New Roman"/>
          <w:sz w:val="24"/>
          <w:szCs w:val="24"/>
        </w:rPr>
        <w:t xml:space="preserve">des </w:t>
      </w:r>
      <w:r w:rsidR="002760B2" w:rsidRPr="002B005F">
        <w:rPr>
          <w:rFonts w:ascii="Times New Roman" w:hAnsi="Times New Roman" w:cs="Times New Roman"/>
          <w:sz w:val="24"/>
          <w:szCs w:val="24"/>
        </w:rPr>
        <w:t>assurance</w:t>
      </w:r>
      <w:r>
        <w:rPr>
          <w:rFonts w:ascii="Times New Roman" w:hAnsi="Times New Roman" w:cs="Times New Roman"/>
          <w:sz w:val="24"/>
          <w:szCs w:val="24"/>
        </w:rPr>
        <w:t>s,</w:t>
      </w:r>
      <w:r w:rsidR="002760B2" w:rsidRPr="002B005F">
        <w:rPr>
          <w:rFonts w:ascii="Times New Roman" w:hAnsi="Times New Roman" w:cs="Times New Roman"/>
          <w:sz w:val="24"/>
          <w:szCs w:val="24"/>
        </w:rPr>
        <w:t xml:space="preserve"> les fonds d’investissement</w:t>
      </w:r>
      <w:r>
        <w:rPr>
          <w:rFonts w:ascii="Times New Roman" w:hAnsi="Times New Roman" w:cs="Times New Roman"/>
          <w:sz w:val="24"/>
          <w:szCs w:val="24"/>
        </w:rPr>
        <w:t xml:space="preserve"> et les marchés boursiers</w:t>
      </w:r>
      <w:r w:rsidR="002760B2" w:rsidRPr="002B005F">
        <w:rPr>
          <w:rFonts w:ascii="Times New Roman" w:hAnsi="Times New Roman" w:cs="Times New Roman"/>
          <w:sz w:val="24"/>
          <w:szCs w:val="24"/>
        </w:rPr>
        <w:t xml:space="preserve">. Donc, cette forme de finance éthique est devenue de plus en plus </w:t>
      </w:r>
      <w:r>
        <w:rPr>
          <w:rFonts w:ascii="Times New Roman" w:hAnsi="Times New Roman" w:cs="Times New Roman"/>
          <w:sz w:val="24"/>
          <w:szCs w:val="24"/>
        </w:rPr>
        <w:t>demandée.</w:t>
      </w:r>
      <w:r w:rsidR="002760B2" w:rsidRPr="002B005F">
        <w:rPr>
          <w:rFonts w:ascii="Times New Roman" w:hAnsi="Times New Roman" w:cs="Times New Roman"/>
          <w:sz w:val="24"/>
          <w:szCs w:val="24"/>
        </w:rPr>
        <w:t xml:space="preserve"> </w:t>
      </w:r>
      <w:r w:rsidRPr="002B005F">
        <w:rPr>
          <w:rFonts w:ascii="Times New Roman" w:hAnsi="Times New Roman" w:cs="Times New Roman"/>
          <w:sz w:val="24"/>
          <w:szCs w:val="24"/>
        </w:rPr>
        <w:t>Ses</w:t>
      </w:r>
      <w:r w:rsidR="002760B2" w:rsidRPr="002B005F">
        <w:rPr>
          <w:rFonts w:ascii="Times New Roman" w:hAnsi="Times New Roman" w:cs="Times New Roman"/>
          <w:sz w:val="24"/>
          <w:szCs w:val="24"/>
        </w:rPr>
        <w:t xml:space="preserve"> pratiques </w:t>
      </w:r>
      <w:r>
        <w:rPr>
          <w:rFonts w:ascii="Times New Roman" w:hAnsi="Times New Roman" w:cs="Times New Roman"/>
          <w:sz w:val="24"/>
          <w:szCs w:val="24"/>
        </w:rPr>
        <w:t xml:space="preserve">de gestion modernes </w:t>
      </w:r>
      <w:r w:rsidR="002760B2" w:rsidRPr="002B005F">
        <w:rPr>
          <w:rFonts w:ascii="Times New Roman" w:hAnsi="Times New Roman" w:cs="Times New Roman"/>
          <w:sz w:val="24"/>
          <w:szCs w:val="24"/>
        </w:rPr>
        <w:t xml:space="preserve">convergent progressivement </w:t>
      </w:r>
      <w:r>
        <w:rPr>
          <w:rFonts w:ascii="Times New Roman" w:hAnsi="Times New Roman" w:cs="Times New Roman"/>
          <w:sz w:val="24"/>
          <w:szCs w:val="24"/>
        </w:rPr>
        <w:t>vers</w:t>
      </w:r>
      <w:r w:rsidR="002760B2" w:rsidRPr="002B005F">
        <w:rPr>
          <w:rFonts w:ascii="Times New Roman" w:hAnsi="Times New Roman" w:cs="Times New Roman"/>
          <w:sz w:val="24"/>
          <w:szCs w:val="24"/>
        </w:rPr>
        <w:t xml:space="preserve"> celles de</w:t>
      </w:r>
      <w:r w:rsidR="0062706A">
        <w:rPr>
          <w:rFonts w:ascii="Times New Roman" w:hAnsi="Times New Roman" w:cs="Times New Roman"/>
          <w:sz w:val="24"/>
          <w:szCs w:val="24"/>
        </w:rPr>
        <w:t xml:space="preserve"> </w:t>
      </w:r>
      <w:r w:rsidR="002760B2" w:rsidRPr="002B005F">
        <w:rPr>
          <w:rFonts w:ascii="Times New Roman" w:hAnsi="Times New Roman" w:cs="Times New Roman"/>
          <w:sz w:val="24"/>
          <w:szCs w:val="24"/>
        </w:rPr>
        <w:t xml:space="preserve">la finance conventionnelle, surtout après la mise en œuvre de certains standards comptables pour les IFI comme « Accounting and Auditing Organisation for </w:t>
      </w:r>
      <w:r w:rsidR="00F34669" w:rsidRPr="002B005F">
        <w:rPr>
          <w:rFonts w:ascii="Times New Roman" w:hAnsi="Times New Roman" w:cs="Times New Roman"/>
          <w:sz w:val="24"/>
          <w:szCs w:val="24"/>
        </w:rPr>
        <w:t>Islam</w:t>
      </w:r>
      <w:r w:rsidR="002760B2" w:rsidRPr="002B005F">
        <w:rPr>
          <w:rFonts w:ascii="Times New Roman" w:hAnsi="Times New Roman" w:cs="Times New Roman"/>
          <w:sz w:val="24"/>
          <w:szCs w:val="24"/>
        </w:rPr>
        <w:t>ic Finance Institution » (AAOIFI) en 1991.</w:t>
      </w:r>
    </w:p>
    <w:p w14:paraId="1ABCEBE7" w14:textId="12CE7241" w:rsidR="002760B2" w:rsidRPr="002B005F" w:rsidRDefault="002760B2" w:rsidP="006C1230">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Donc, l’accroissement </w:t>
      </w:r>
      <w:r w:rsidR="00621E73">
        <w:rPr>
          <w:rFonts w:ascii="Times New Roman" w:hAnsi="Times New Roman" w:cs="Times New Roman"/>
          <w:sz w:val="24"/>
          <w:szCs w:val="24"/>
        </w:rPr>
        <w:t>constant</w:t>
      </w:r>
      <w:r w:rsidRPr="002B005F">
        <w:rPr>
          <w:rFonts w:ascii="Times New Roman" w:hAnsi="Times New Roman" w:cs="Times New Roman"/>
          <w:sz w:val="24"/>
          <w:szCs w:val="24"/>
        </w:rPr>
        <w:t xml:space="preserve"> des actifs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durant cette période a renouvelé la pratique de la </w:t>
      </w:r>
      <w:r w:rsidR="00A271FD" w:rsidRPr="002B005F">
        <w:rPr>
          <w:rFonts w:ascii="Times New Roman" w:hAnsi="Times New Roman" w:cs="Times New Roman"/>
          <w:sz w:val="24"/>
          <w:szCs w:val="24"/>
        </w:rPr>
        <w:t>FI</w:t>
      </w:r>
      <w:r w:rsidR="00003027"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en créant deux phénomènes : un renouveau spirituel et religieux qui a engendré une demande énorme des produits financiers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et l’apparition des poches d’épargnes considérables dans les pays musulmans.</w:t>
      </w:r>
    </w:p>
    <w:p w14:paraId="5CB2B710" w14:textId="77777777" w:rsidR="002760B2" w:rsidRPr="007B3B64" w:rsidRDefault="00BD5933" w:rsidP="006C1230">
      <w:pPr>
        <w:pStyle w:val="Titre5"/>
        <w:spacing w:before="120" w:after="120" w:line="300" w:lineRule="auto"/>
        <w:ind w:firstLine="709"/>
        <w:rPr>
          <w:rFonts w:asciiTheme="majorBidi" w:hAnsiTheme="majorBidi"/>
          <w:b/>
          <w:bCs/>
          <w:color w:val="auto"/>
          <w:sz w:val="24"/>
          <w:szCs w:val="24"/>
        </w:rPr>
      </w:pPr>
      <w:bookmarkStart w:id="239" w:name="_Toc182298622"/>
      <w:r w:rsidRPr="007B3B64">
        <w:rPr>
          <w:rFonts w:asciiTheme="majorBidi" w:hAnsiTheme="majorBidi"/>
          <w:b/>
          <w:bCs/>
          <w:color w:val="auto"/>
          <w:sz w:val="24"/>
          <w:szCs w:val="24"/>
        </w:rPr>
        <w:lastRenderedPageBreak/>
        <w:t xml:space="preserve">1.4.3.3- </w:t>
      </w:r>
      <w:r w:rsidR="005E580C" w:rsidRPr="007B3B64">
        <w:rPr>
          <w:rFonts w:asciiTheme="majorBidi" w:hAnsiTheme="majorBidi"/>
          <w:b/>
          <w:bCs/>
          <w:color w:val="auto"/>
          <w:sz w:val="24"/>
          <w:szCs w:val="24"/>
        </w:rPr>
        <w:t xml:space="preserve">Finance </w:t>
      </w:r>
      <w:r w:rsidR="003773C6" w:rsidRPr="007B3B64">
        <w:rPr>
          <w:rFonts w:asciiTheme="majorBidi" w:hAnsiTheme="majorBidi"/>
          <w:b/>
          <w:bCs/>
          <w:color w:val="auto"/>
          <w:sz w:val="24"/>
          <w:szCs w:val="24"/>
        </w:rPr>
        <w:t>islamiq</w:t>
      </w:r>
      <w:r w:rsidR="002A3B91" w:rsidRPr="007B3B64">
        <w:rPr>
          <w:rFonts w:asciiTheme="majorBidi" w:hAnsiTheme="majorBidi"/>
          <w:b/>
          <w:bCs/>
          <w:color w:val="auto"/>
          <w:sz w:val="24"/>
          <w:szCs w:val="24"/>
        </w:rPr>
        <w:t>ue post-</w:t>
      </w:r>
      <w:r w:rsidR="00C45787" w:rsidRPr="007B3B64">
        <w:rPr>
          <w:rFonts w:asciiTheme="majorBidi" w:hAnsiTheme="majorBidi"/>
          <w:b/>
          <w:bCs/>
          <w:color w:val="auto"/>
          <w:sz w:val="24"/>
          <w:szCs w:val="24"/>
        </w:rPr>
        <w:t>crise financière internationale de 2008</w:t>
      </w:r>
      <w:bookmarkEnd w:id="239"/>
    </w:p>
    <w:p w14:paraId="4F25B8DA" w14:textId="77777777" w:rsidR="002760B2" w:rsidRPr="00621E73" w:rsidRDefault="0052560C" w:rsidP="00621E73">
      <w:pPr>
        <w:pStyle w:val="Paragraphedeliste"/>
        <w:tabs>
          <w:tab w:val="left" w:pos="0"/>
        </w:tabs>
        <w:spacing w:before="120" w:line="300" w:lineRule="auto"/>
        <w:ind w:left="0" w:firstLine="709"/>
        <w:contextualSpacing w:val="0"/>
        <w:rPr>
          <w:rFonts w:ascii="Times New Roman" w:hAnsi="Times New Roman" w:cs="Times New Roman"/>
          <w:kern w:val="24"/>
          <w:sz w:val="24"/>
          <w:szCs w:val="24"/>
        </w:rPr>
      </w:pPr>
      <w:r w:rsidRPr="00621E73">
        <w:rPr>
          <w:rFonts w:ascii="Times New Roman" w:hAnsi="Times New Roman" w:cs="Times New Roman"/>
          <w:kern w:val="24"/>
          <w:sz w:val="24"/>
          <w:szCs w:val="24"/>
        </w:rPr>
        <w:t xml:space="preserve">Nous pouvons souligner que la crise de 2008 fut un facteur déclenchant de l’essor de l’industrie bancaire islamique dans le monde. En effet, cette industrie naissante s’est remarquée par sa résilience aux effets négatifs provoqués par l’ampleur de cette crise financière. </w:t>
      </w:r>
      <w:r w:rsidR="002760B2" w:rsidRPr="00621E73">
        <w:rPr>
          <w:rFonts w:ascii="Times New Roman" w:hAnsi="Times New Roman" w:cs="Times New Roman"/>
          <w:kern w:val="24"/>
          <w:sz w:val="24"/>
          <w:szCs w:val="24"/>
        </w:rPr>
        <w:t xml:space="preserve">La </w:t>
      </w:r>
      <w:r w:rsidR="00E81AFF" w:rsidRPr="00621E73">
        <w:rPr>
          <w:rFonts w:ascii="Times New Roman" w:hAnsi="Times New Roman" w:cs="Times New Roman"/>
          <w:kern w:val="24"/>
          <w:sz w:val="24"/>
          <w:szCs w:val="24"/>
        </w:rPr>
        <w:t>FI</w:t>
      </w:r>
      <w:r w:rsidR="002760B2" w:rsidRPr="00621E73">
        <w:rPr>
          <w:rFonts w:ascii="Times New Roman" w:hAnsi="Times New Roman" w:cs="Times New Roman"/>
          <w:kern w:val="24"/>
          <w:sz w:val="24"/>
          <w:szCs w:val="24"/>
        </w:rPr>
        <w:t xml:space="preserve"> a connu une croissance très rapide ces dernières années. Alors que</w:t>
      </w:r>
      <w:r w:rsidRPr="00621E73">
        <w:rPr>
          <w:rFonts w:ascii="Times New Roman" w:hAnsi="Times New Roman" w:cs="Times New Roman"/>
          <w:kern w:val="24"/>
          <w:sz w:val="24"/>
          <w:szCs w:val="24"/>
        </w:rPr>
        <w:t>,</w:t>
      </w:r>
      <w:r w:rsidR="002760B2" w:rsidRPr="00621E73">
        <w:rPr>
          <w:rFonts w:ascii="Times New Roman" w:hAnsi="Times New Roman" w:cs="Times New Roman"/>
          <w:kern w:val="24"/>
          <w:sz w:val="24"/>
          <w:szCs w:val="24"/>
        </w:rPr>
        <w:t xml:space="preserve"> dans les années 50 et 60, le système bancaire </w:t>
      </w:r>
      <w:r w:rsidR="00505EDD" w:rsidRPr="00621E73">
        <w:rPr>
          <w:rFonts w:ascii="Times New Roman" w:hAnsi="Times New Roman" w:cs="Times New Roman"/>
          <w:kern w:val="24"/>
          <w:sz w:val="24"/>
          <w:szCs w:val="24"/>
        </w:rPr>
        <w:t>i</w:t>
      </w:r>
      <w:r w:rsidR="003773C6" w:rsidRPr="00621E73">
        <w:rPr>
          <w:rFonts w:ascii="Times New Roman" w:hAnsi="Times New Roman" w:cs="Times New Roman"/>
          <w:kern w:val="24"/>
          <w:sz w:val="24"/>
          <w:szCs w:val="24"/>
        </w:rPr>
        <w:t>slamique</w:t>
      </w:r>
      <w:r w:rsidR="002760B2" w:rsidRPr="00621E73">
        <w:rPr>
          <w:rFonts w:ascii="Times New Roman" w:hAnsi="Times New Roman" w:cs="Times New Roman"/>
          <w:kern w:val="24"/>
          <w:sz w:val="24"/>
          <w:szCs w:val="24"/>
        </w:rPr>
        <w:t xml:space="preserve"> représentait un rêve académique, il est </w:t>
      </w:r>
      <w:r w:rsidRPr="00621E73">
        <w:rPr>
          <w:rFonts w:ascii="Times New Roman" w:hAnsi="Times New Roman" w:cs="Times New Roman"/>
          <w:kern w:val="24"/>
          <w:sz w:val="24"/>
          <w:szCs w:val="24"/>
        </w:rPr>
        <w:t>devenu alors</w:t>
      </w:r>
      <w:r w:rsidR="002760B2" w:rsidRPr="00621E73">
        <w:rPr>
          <w:rFonts w:ascii="Times New Roman" w:hAnsi="Times New Roman" w:cs="Times New Roman"/>
          <w:kern w:val="24"/>
          <w:sz w:val="24"/>
          <w:szCs w:val="24"/>
        </w:rPr>
        <w:t xml:space="preserve"> une réalité concrète.</w:t>
      </w:r>
    </w:p>
    <w:p w14:paraId="75316D71" w14:textId="600147D6" w:rsidR="002A3B91" w:rsidRPr="00621E73" w:rsidRDefault="002760B2" w:rsidP="00621E73">
      <w:pPr>
        <w:pStyle w:val="Paragraphedeliste"/>
        <w:tabs>
          <w:tab w:val="left" w:pos="0"/>
        </w:tabs>
        <w:spacing w:before="120" w:line="300" w:lineRule="auto"/>
        <w:ind w:left="0" w:firstLine="709"/>
        <w:contextualSpacing w:val="0"/>
        <w:rPr>
          <w:rFonts w:ascii="Times New Roman" w:hAnsi="Times New Roman" w:cs="Times New Roman"/>
          <w:kern w:val="24"/>
          <w:sz w:val="24"/>
          <w:szCs w:val="24"/>
          <w:highlight w:val="yellow"/>
        </w:rPr>
      </w:pPr>
      <w:r w:rsidRPr="00621E73">
        <w:rPr>
          <w:rFonts w:ascii="Times New Roman" w:hAnsi="Times New Roman" w:cs="Times New Roman"/>
          <w:kern w:val="24"/>
          <w:sz w:val="24"/>
          <w:szCs w:val="24"/>
        </w:rPr>
        <w:t xml:space="preserve">Cette industrie a attiré l’attention des banques centrales occidentales comme la </w:t>
      </w:r>
      <w:r w:rsidR="00621E73" w:rsidRPr="00621E73">
        <w:rPr>
          <w:rFonts w:ascii="Times New Roman" w:hAnsi="Times New Roman" w:cs="Times New Roman"/>
          <w:kern w:val="24"/>
          <w:sz w:val="24"/>
          <w:szCs w:val="24"/>
        </w:rPr>
        <w:t>R</w:t>
      </w:r>
      <w:r w:rsidRPr="00621E73">
        <w:rPr>
          <w:rFonts w:ascii="Times New Roman" w:hAnsi="Times New Roman" w:cs="Times New Roman"/>
          <w:kern w:val="24"/>
          <w:sz w:val="24"/>
          <w:szCs w:val="24"/>
        </w:rPr>
        <w:t xml:space="preserve">éserve Fédérale, la </w:t>
      </w:r>
      <w:r w:rsidR="00621E73">
        <w:rPr>
          <w:rFonts w:ascii="Times New Roman" w:hAnsi="Times New Roman" w:cs="Times New Roman"/>
          <w:kern w:val="24"/>
          <w:sz w:val="24"/>
          <w:szCs w:val="24"/>
        </w:rPr>
        <w:t>B</w:t>
      </w:r>
      <w:r w:rsidRPr="00621E73">
        <w:rPr>
          <w:rFonts w:ascii="Times New Roman" w:hAnsi="Times New Roman" w:cs="Times New Roman"/>
          <w:kern w:val="24"/>
          <w:sz w:val="24"/>
          <w:szCs w:val="24"/>
        </w:rPr>
        <w:t>anque d’Angleterre</w:t>
      </w:r>
      <w:r w:rsidR="00621E73">
        <w:rPr>
          <w:rFonts w:ascii="Times New Roman" w:hAnsi="Times New Roman" w:cs="Times New Roman"/>
          <w:kern w:val="24"/>
          <w:sz w:val="24"/>
          <w:szCs w:val="24"/>
        </w:rPr>
        <w:t>,</w:t>
      </w:r>
      <w:r w:rsidRPr="00621E73">
        <w:rPr>
          <w:rFonts w:ascii="Times New Roman" w:hAnsi="Times New Roman" w:cs="Times New Roman"/>
          <w:kern w:val="24"/>
          <w:sz w:val="24"/>
          <w:szCs w:val="24"/>
        </w:rPr>
        <w:t xml:space="preserve"> </w:t>
      </w:r>
      <w:r w:rsidR="00621E73">
        <w:rPr>
          <w:rFonts w:ascii="Times New Roman" w:hAnsi="Times New Roman" w:cs="Times New Roman"/>
          <w:kern w:val="24"/>
          <w:sz w:val="24"/>
          <w:szCs w:val="24"/>
        </w:rPr>
        <w:t xml:space="preserve">la Banque de France </w:t>
      </w:r>
      <w:r w:rsidRPr="00621E73">
        <w:rPr>
          <w:rFonts w:ascii="Times New Roman" w:hAnsi="Times New Roman" w:cs="Times New Roman"/>
          <w:kern w:val="24"/>
          <w:sz w:val="24"/>
          <w:szCs w:val="24"/>
        </w:rPr>
        <w:t>et des institutions financières inte</w:t>
      </w:r>
      <w:r w:rsidR="0052560C" w:rsidRPr="00621E73">
        <w:rPr>
          <w:rFonts w:ascii="Times New Roman" w:hAnsi="Times New Roman" w:cs="Times New Roman"/>
          <w:kern w:val="24"/>
          <w:sz w:val="24"/>
          <w:szCs w:val="24"/>
        </w:rPr>
        <w:t>rnationales comme le FMI et la B</w:t>
      </w:r>
      <w:r w:rsidRPr="00621E73">
        <w:rPr>
          <w:rFonts w:ascii="Times New Roman" w:hAnsi="Times New Roman" w:cs="Times New Roman"/>
          <w:kern w:val="24"/>
          <w:sz w:val="24"/>
          <w:szCs w:val="24"/>
        </w:rPr>
        <w:t xml:space="preserve">anque mondiale. </w:t>
      </w:r>
      <w:r w:rsidR="008E72DA" w:rsidRPr="00621E73">
        <w:rPr>
          <w:rFonts w:ascii="Times New Roman" w:hAnsi="Times New Roman" w:cs="Times New Roman"/>
          <w:kern w:val="24"/>
          <w:sz w:val="24"/>
          <w:szCs w:val="24"/>
        </w:rPr>
        <w:t xml:space="preserve">Selon </w:t>
      </w:r>
      <w:r w:rsidR="008E72DA" w:rsidRPr="00621E73">
        <w:rPr>
          <w:rFonts w:ascii="Times New Roman" w:hAnsi="Times New Roman" w:cs="Times New Roman"/>
          <w:smallCaps/>
          <w:kern w:val="24"/>
          <w:sz w:val="24"/>
          <w:szCs w:val="24"/>
        </w:rPr>
        <w:t>Bouajina</w:t>
      </w:r>
      <w:r w:rsidR="008E72DA" w:rsidRPr="00621E73">
        <w:rPr>
          <w:rFonts w:ascii="Times New Roman" w:hAnsi="Times New Roman" w:cs="Times New Roman"/>
          <w:kern w:val="24"/>
          <w:sz w:val="24"/>
          <w:szCs w:val="24"/>
        </w:rPr>
        <w:t xml:space="preserve"> et </w:t>
      </w:r>
      <w:r w:rsidR="008E72DA" w:rsidRPr="00621E73">
        <w:rPr>
          <w:rFonts w:ascii="Times New Roman" w:hAnsi="Times New Roman" w:cs="Times New Roman"/>
          <w:smallCaps/>
          <w:kern w:val="24"/>
          <w:sz w:val="24"/>
          <w:szCs w:val="24"/>
        </w:rPr>
        <w:t>Ahmad</w:t>
      </w:r>
      <w:r w:rsidR="008E72DA" w:rsidRPr="00621E73">
        <w:rPr>
          <w:rFonts w:ascii="Times New Roman" w:hAnsi="Times New Roman" w:cs="Times New Roman"/>
          <w:kern w:val="24"/>
          <w:sz w:val="24"/>
          <w:szCs w:val="24"/>
        </w:rPr>
        <w:t xml:space="preserve"> (2020), « le marché mondial de la finance islamique a récemment franchi le cap des 2 000 milliards de dollars d’actifs et devrait atteindre environ 3 500 milliards de dollars d’ici à 2021 »</w:t>
      </w:r>
      <w:r w:rsidR="008E72DA" w:rsidRPr="00621E73">
        <w:rPr>
          <w:rStyle w:val="Appelnotedebasdep"/>
          <w:rFonts w:ascii="Times New Roman" w:hAnsi="Times New Roman"/>
          <w:kern w:val="24"/>
          <w:sz w:val="24"/>
          <w:szCs w:val="24"/>
        </w:rPr>
        <w:footnoteReference w:id="79"/>
      </w:r>
      <w:r w:rsidR="008E72DA" w:rsidRPr="00621E73">
        <w:rPr>
          <w:rFonts w:ascii="Times New Roman" w:hAnsi="Times New Roman" w:cs="Times New Roman"/>
          <w:kern w:val="24"/>
          <w:sz w:val="24"/>
          <w:szCs w:val="24"/>
        </w:rPr>
        <w:t xml:space="preserve">. (Voir </w:t>
      </w:r>
      <w:r w:rsidR="008E72DA" w:rsidRPr="00621E73">
        <w:rPr>
          <w:rFonts w:ascii="Times New Roman" w:hAnsi="Times New Roman" w:cs="Times New Roman"/>
          <w:b/>
          <w:bCs/>
          <w:kern w:val="24"/>
          <w:sz w:val="24"/>
          <w:szCs w:val="24"/>
        </w:rPr>
        <w:t>figure 01</w:t>
      </w:r>
      <w:r w:rsidR="008E72DA" w:rsidRPr="00621E73">
        <w:rPr>
          <w:rFonts w:ascii="Times New Roman" w:hAnsi="Times New Roman" w:cs="Times New Roman"/>
          <w:kern w:val="24"/>
          <w:sz w:val="24"/>
          <w:szCs w:val="24"/>
        </w:rPr>
        <w:t>).</w:t>
      </w:r>
    </w:p>
    <w:p w14:paraId="0440779F" w14:textId="40D8E63C" w:rsidR="00035AC3" w:rsidRDefault="00207B56" w:rsidP="001C4C52">
      <w:pPr>
        <w:pStyle w:val="Lgende"/>
        <w:keepNext/>
        <w:spacing w:before="100" w:beforeAutospacing="1" w:after="120" w:line="300" w:lineRule="auto"/>
        <w:jc w:val="center"/>
        <w:rPr>
          <w:rFonts w:asciiTheme="majorBidi" w:hAnsiTheme="majorBidi" w:cstheme="majorBidi"/>
          <w:color w:val="auto"/>
          <w:sz w:val="24"/>
          <w:szCs w:val="24"/>
        </w:rPr>
      </w:pPr>
      <w:bookmarkStart w:id="240" w:name="_Toc115527412"/>
      <w:r w:rsidRPr="00207B56">
        <w:rPr>
          <w:rFonts w:asciiTheme="majorBidi" w:hAnsiTheme="majorBidi" w:cstheme="majorBidi"/>
          <w:color w:val="auto"/>
          <w:sz w:val="24"/>
          <w:szCs w:val="24"/>
        </w:rPr>
        <w:t xml:space="preserve">Figure </w:t>
      </w:r>
      <w:r w:rsidR="00B544E5" w:rsidRPr="00207B56">
        <w:rPr>
          <w:rFonts w:asciiTheme="majorBidi" w:hAnsiTheme="majorBidi" w:cstheme="majorBidi"/>
          <w:color w:val="auto"/>
          <w:sz w:val="24"/>
          <w:szCs w:val="24"/>
        </w:rPr>
        <w:fldChar w:fldCharType="begin"/>
      </w:r>
      <w:r w:rsidRPr="00207B56">
        <w:rPr>
          <w:rFonts w:asciiTheme="majorBidi" w:hAnsiTheme="majorBidi" w:cstheme="majorBidi"/>
          <w:color w:val="auto"/>
          <w:sz w:val="24"/>
          <w:szCs w:val="24"/>
        </w:rPr>
        <w:instrText xml:space="preserve"> SEQ Figure \* ARABIC </w:instrText>
      </w:r>
      <w:r w:rsidR="00B544E5" w:rsidRPr="00207B56">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1</w:t>
      </w:r>
      <w:r w:rsidR="00B544E5" w:rsidRPr="00207B56">
        <w:rPr>
          <w:rFonts w:asciiTheme="majorBidi" w:hAnsiTheme="majorBidi" w:cstheme="majorBidi"/>
          <w:color w:val="auto"/>
          <w:sz w:val="24"/>
          <w:szCs w:val="24"/>
        </w:rPr>
        <w:fldChar w:fldCharType="end"/>
      </w:r>
      <w:r w:rsidRPr="00207B56">
        <w:rPr>
          <w:rFonts w:asciiTheme="majorBidi" w:hAnsiTheme="majorBidi" w:cstheme="majorBidi"/>
          <w:color w:val="auto"/>
          <w:sz w:val="24"/>
          <w:szCs w:val="24"/>
        </w:rPr>
        <w:t xml:space="preserve">- Evolution de l’encours financier des actifs islamiques </w:t>
      </w:r>
      <w:r w:rsidRPr="00621E73">
        <w:rPr>
          <w:rFonts w:asciiTheme="majorBidi" w:hAnsiTheme="majorBidi" w:cstheme="majorBidi"/>
          <w:b w:val="0"/>
          <w:bCs w:val="0"/>
          <w:color w:val="auto"/>
          <w:sz w:val="24"/>
          <w:szCs w:val="24"/>
        </w:rPr>
        <w:t>(en mds de dollars)</w:t>
      </w:r>
      <w:bookmarkEnd w:id="240"/>
    </w:p>
    <w:p w14:paraId="708026B7" w14:textId="77777777" w:rsidR="00621E73" w:rsidRPr="00621E73" w:rsidRDefault="00621E73" w:rsidP="001C4C52">
      <w:pPr>
        <w:keepNext/>
        <w:spacing w:before="120" w:after="120" w:line="300" w:lineRule="auto"/>
        <w:rPr>
          <w:rFonts w:ascii="Times New Roman" w:hAnsi="Times New Roman" w:cs="Times New Roman"/>
          <w:sz w:val="24"/>
          <w:szCs w:val="24"/>
        </w:rPr>
      </w:pPr>
    </w:p>
    <w:p w14:paraId="4308C337" w14:textId="77777777" w:rsidR="00621E73" w:rsidRPr="00621E73" w:rsidRDefault="00621E73" w:rsidP="001C4C52">
      <w:pPr>
        <w:keepNext/>
        <w:spacing w:before="120" w:after="120" w:line="300" w:lineRule="auto"/>
        <w:rPr>
          <w:rFonts w:ascii="Times New Roman" w:hAnsi="Times New Roman" w:cs="Times New Roman"/>
          <w:sz w:val="24"/>
          <w:szCs w:val="24"/>
        </w:rPr>
      </w:pPr>
    </w:p>
    <w:p w14:paraId="2B2BB38C" w14:textId="77777777" w:rsidR="00621E73" w:rsidRDefault="00621E73" w:rsidP="001C4C52">
      <w:pPr>
        <w:keepNext/>
        <w:spacing w:before="120" w:after="120" w:line="300" w:lineRule="auto"/>
        <w:rPr>
          <w:rFonts w:ascii="Times New Roman" w:hAnsi="Times New Roman" w:cs="Times New Roman"/>
          <w:sz w:val="24"/>
          <w:szCs w:val="24"/>
        </w:rPr>
      </w:pPr>
    </w:p>
    <w:p w14:paraId="7A51AABC" w14:textId="77777777" w:rsidR="00621E73" w:rsidRPr="00621E73" w:rsidRDefault="00621E73" w:rsidP="001C4C52">
      <w:pPr>
        <w:keepNext/>
        <w:spacing w:before="120" w:after="120" w:line="300" w:lineRule="auto"/>
        <w:rPr>
          <w:rFonts w:ascii="Times New Roman" w:hAnsi="Times New Roman" w:cs="Times New Roman"/>
          <w:sz w:val="24"/>
          <w:szCs w:val="24"/>
        </w:rPr>
      </w:pPr>
    </w:p>
    <w:p w14:paraId="2F83092B" w14:textId="77777777" w:rsidR="00621E73" w:rsidRPr="00621E73" w:rsidRDefault="00621E73" w:rsidP="001C4C52">
      <w:pPr>
        <w:keepNext/>
        <w:spacing w:before="120" w:after="120" w:line="300" w:lineRule="auto"/>
        <w:rPr>
          <w:rFonts w:ascii="Times New Roman" w:hAnsi="Times New Roman" w:cs="Times New Roman"/>
          <w:sz w:val="24"/>
          <w:szCs w:val="24"/>
        </w:rPr>
      </w:pPr>
    </w:p>
    <w:p w14:paraId="0FC15C71" w14:textId="77777777" w:rsidR="00621E73" w:rsidRPr="00621E73" w:rsidRDefault="00621E73" w:rsidP="001C4C52">
      <w:pPr>
        <w:keepNext/>
        <w:spacing w:before="120" w:after="120" w:line="300" w:lineRule="auto"/>
        <w:rPr>
          <w:rFonts w:ascii="Times New Roman" w:hAnsi="Times New Roman" w:cs="Times New Roman"/>
          <w:sz w:val="24"/>
          <w:szCs w:val="24"/>
        </w:rPr>
      </w:pPr>
    </w:p>
    <w:p w14:paraId="1DF06B41" w14:textId="77777777" w:rsidR="00621E73" w:rsidRPr="00621E73" w:rsidRDefault="00621E73" w:rsidP="001C4C52">
      <w:pPr>
        <w:keepNext/>
        <w:spacing w:before="120" w:after="120" w:line="300" w:lineRule="auto"/>
        <w:rPr>
          <w:rFonts w:ascii="Times New Roman" w:hAnsi="Times New Roman" w:cs="Times New Roman"/>
          <w:sz w:val="24"/>
          <w:szCs w:val="24"/>
        </w:rPr>
      </w:pPr>
    </w:p>
    <w:p w14:paraId="3839D412" w14:textId="77777777" w:rsidR="00B914A0" w:rsidRPr="002B005F" w:rsidRDefault="00B45F76" w:rsidP="001C4C52">
      <w:pPr>
        <w:keepNext/>
        <w:tabs>
          <w:tab w:val="left" w:pos="0"/>
        </w:tabs>
        <w:autoSpaceDE w:val="0"/>
        <w:autoSpaceDN w:val="0"/>
        <w:adjustRightInd w:val="0"/>
        <w:spacing w:line="240" w:lineRule="auto"/>
        <w:jc w:val="center"/>
        <w:rPr>
          <w:rFonts w:ascii="Times New Roman" w:hAnsi="Times New Roman" w:cs="Times New Roman"/>
          <w:b/>
          <w:bCs/>
          <w:i/>
          <w:iCs/>
          <w:color w:val="000000"/>
          <w:sz w:val="24"/>
          <w:szCs w:val="24"/>
        </w:rPr>
      </w:pPr>
      <w:r>
        <w:rPr>
          <w:noProof/>
          <w:lang w:eastAsia="fr-FR"/>
        </w:rPr>
        <w:drawing>
          <wp:anchor distT="0" distB="0" distL="114300" distR="114300" simplePos="0" relativeHeight="251540480" behindDoc="0" locked="1" layoutInCell="1" allowOverlap="0" wp14:anchorId="05040AE7" wp14:editId="43B355E3">
            <wp:simplePos x="0" y="0"/>
            <wp:positionH relativeFrom="column">
              <wp:posOffset>421005</wp:posOffset>
            </wp:positionH>
            <wp:positionV relativeFrom="paragraph">
              <wp:posOffset>-2009140</wp:posOffset>
            </wp:positionV>
            <wp:extent cx="4574540" cy="2127250"/>
            <wp:effectExtent l="0" t="0" r="0" b="0"/>
            <wp:wrapNone/>
            <wp:docPr id="1363" name="Image 2" descr="encours actifs islam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ours actifs islamiqu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4540" cy="2127250"/>
                    </a:xfrm>
                    <a:prstGeom prst="rect">
                      <a:avLst/>
                    </a:prstGeom>
                    <a:noFill/>
                    <a:ln w="9525">
                      <a:noFill/>
                      <a:miter lim="800000"/>
                      <a:headEnd/>
                      <a:tailEnd/>
                    </a:ln>
                  </pic:spPr>
                </pic:pic>
              </a:graphicData>
            </a:graphic>
            <wp14:sizeRelV relativeFrom="margin">
              <wp14:pctHeight>0</wp14:pctHeight>
            </wp14:sizeRelV>
          </wp:anchor>
        </w:drawing>
      </w:r>
    </w:p>
    <w:p w14:paraId="1D89910E" w14:textId="77777777" w:rsidR="00035AC3" w:rsidRPr="006F09F7" w:rsidRDefault="00035AC3" w:rsidP="001C4C52">
      <w:pPr>
        <w:keepNext/>
        <w:tabs>
          <w:tab w:val="left" w:pos="0"/>
        </w:tabs>
        <w:spacing w:before="120" w:after="100" w:afterAutospacing="1" w:line="240" w:lineRule="auto"/>
        <w:ind w:left="1134" w:right="1134"/>
        <w:jc w:val="center"/>
        <w:rPr>
          <w:rFonts w:ascii="Times New Roman" w:hAnsi="Times New Roman" w:cs="Times New Roman"/>
          <w:sz w:val="20"/>
          <w:szCs w:val="20"/>
        </w:rPr>
      </w:pPr>
      <w:r w:rsidRPr="006F09F7">
        <w:rPr>
          <w:rFonts w:ascii="Times New Roman" w:hAnsi="Times New Roman" w:cs="Times New Roman"/>
          <w:sz w:val="20"/>
          <w:szCs w:val="20"/>
        </w:rPr>
        <w:t>Source : lafinancepourtous.com d’après</w:t>
      </w:r>
      <w:r w:rsidR="00B45F76" w:rsidRPr="006F09F7">
        <w:rPr>
          <w:rFonts w:ascii="Times New Roman" w:hAnsi="Times New Roman" w:cs="Times New Roman"/>
          <w:sz w:val="20"/>
          <w:szCs w:val="20"/>
        </w:rPr>
        <w:t xml:space="preserve"> Islamic Finance Development Report 2020</w:t>
      </w:r>
      <w:r w:rsidRPr="006F09F7">
        <w:rPr>
          <w:rFonts w:ascii="Times New Roman" w:hAnsi="Times New Roman" w:cs="Times New Roman"/>
          <w:sz w:val="20"/>
          <w:szCs w:val="20"/>
        </w:rPr>
        <w:t>.</w:t>
      </w:r>
    </w:p>
    <w:p w14:paraId="418E89BF" w14:textId="4686B809" w:rsidR="00141464" w:rsidRPr="00621E73" w:rsidRDefault="00141464" w:rsidP="00621E73">
      <w:pPr>
        <w:tabs>
          <w:tab w:val="left" w:pos="0"/>
          <w:tab w:val="left" w:pos="1200"/>
        </w:tabs>
        <w:spacing w:before="100" w:beforeAutospacing="1" w:line="300" w:lineRule="auto"/>
        <w:ind w:firstLine="709"/>
        <w:rPr>
          <w:rFonts w:ascii="Times New Roman" w:hAnsi="Times New Roman" w:cs="Times New Roman"/>
          <w:kern w:val="24"/>
          <w:sz w:val="24"/>
          <w:szCs w:val="24"/>
        </w:rPr>
      </w:pPr>
      <w:r w:rsidRPr="00621E73">
        <w:rPr>
          <w:rFonts w:ascii="Times New Roman" w:hAnsi="Times New Roman" w:cs="Times New Roman"/>
          <w:kern w:val="24"/>
          <w:sz w:val="24"/>
          <w:szCs w:val="24"/>
          <w:shd w:val="clear" w:color="auto" w:fill="FFFFFF"/>
        </w:rPr>
        <w:t xml:space="preserve">La </w:t>
      </w:r>
      <w:r w:rsidR="00E81AFF" w:rsidRPr="00621E73">
        <w:rPr>
          <w:rFonts w:ascii="Times New Roman" w:hAnsi="Times New Roman" w:cs="Times New Roman"/>
          <w:kern w:val="24"/>
          <w:sz w:val="24"/>
          <w:szCs w:val="24"/>
          <w:shd w:val="clear" w:color="auto" w:fill="FFFFFF"/>
        </w:rPr>
        <w:t>FI</w:t>
      </w:r>
      <w:r w:rsidRPr="00621E73">
        <w:rPr>
          <w:rFonts w:ascii="Times New Roman" w:hAnsi="Times New Roman" w:cs="Times New Roman"/>
          <w:kern w:val="24"/>
          <w:sz w:val="24"/>
          <w:szCs w:val="24"/>
          <w:shd w:val="clear" w:color="auto" w:fill="FFFFFF"/>
        </w:rPr>
        <w:t xml:space="preserve"> ne</w:t>
      </w:r>
      <w:r w:rsidR="000713D4" w:rsidRPr="00621E73">
        <w:rPr>
          <w:rFonts w:ascii="Times New Roman" w:hAnsi="Times New Roman" w:cs="Times New Roman"/>
          <w:kern w:val="24"/>
          <w:sz w:val="24"/>
          <w:szCs w:val="24"/>
          <w:shd w:val="clear" w:color="auto" w:fill="FFFFFF"/>
        </w:rPr>
        <w:t xml:space="preserve"> </w:t>
      </w:r>
      <w:r w:rsidRPr="00621E73">
        <w:rPr>
          <w:rStyle w:val="lev"/>
          <w:rFonts w:ascii="Times New Roman" w:hAnsi="Times New Roman" w:cs="Times New Roman"/>
          <w:b w:val="0"/>
          <w:bCs w:val="0"/>
          <w:kern w:val="24"/>
          <w:sz w:val="24"/>
          <w:szCs w:val="24"/>
          <w:shd w:val="clear" w:color="auto" w:fill="FFFFFF"/>
        </w:rPr>
        <w:t>s’adres</w:t>
      </w:r>
      <w:r w:rsidR="000713D4" w:rsidRPr="00621E73">
        <w:rPr>
          <w:rStyle w:val="lev"/>
          <w:rFonts w:ascii="Times New Roman" w:hAnsi="Times New Roman" w:cs="Times New Roman"/>
          <w:b w:val="0"/>
          <w:bCs w:val="0"/>
          <w:kern w:val="24"/>
          <w:sz w:val="24"/>
          <w:szCs w:val="24"/>
          <w:shd w:val="clear" w:color="auto" w:fill="FFFFFF"/>
        </w:rPr>
        <w:t xml:space="preserve">se pas uniquement au </w:t>
      </w:r>
      <w:r w:rsidR="00A5383D" w:rsidRPr="00621E73">
        <w:rPr>
          <w:rStyle w:val="lev"/>
          <w:rFonts w:ascii="Times New Roman" w:hAnsi="Times New Roman" w:cs="Times New Roman"/>
          <w:b w:val="0"/>
          <w:bCs w:val="0"/>
          <w:kern w:val="24"/>
          <w:sz w:val="24"/>
          <w:szCs w:val="24"/>
          <w:shd w:val="clear" w:color="auto" w:fill="FFFFFF"/>
        </w:rPr>
        <w:t>2</w:t>
      </w:r>
      <w:r w:rsidR="000713D4" w:rsidRPr="00621E73">
        <w:rPr>
          <w:rStyle w:val="lev"/>
          <w:rFonts w:ascii="Times New Roman" w:hAnsi="Times New Roman" w:cs="Times New Roman"/>
          <w:b w:val="0"/>
          <w:bCs w:val="0"/>
          <w:kern w:val="24"/>
          <w:sz w:val="24"/>
          <w:szCs w:val="24"/>
          <w:shd w:val="clear" w:color="auto" w:fill="FFFFFF"/>
        </w:rPr>
        <w:t xml:space="preserve"> m</w:t>
      </w:r>
      <w:r w:rsidR="00A5383D" w:rsidRPr="00621E73">
        <w:rPr>
          <w:rStyle w:val="lev"/>
          <w:rFonts w:ascii="Times New Roman" w:hAnsi="Times New Roman" w:cs="Times New Roman"/>
          <w:b w:val="0"/>
          <w:bCs w:val="0"/>
          <w:kern w:val="24"/>
          <w:sz w:val="24"/>
          <w:szCs w:val="24"/>
          <w:shd w:val="clear" w:color="auto" w:fill="FFFFFF"/>
        </w:rPr>
        <w:t>illiar</w:t>
      </w:r>
      <w:r w:rsidRPr="00621E73">
        <w:rPr>
          <w:rStyle w:val="lev"/>
          <w:rFonts w:ascii="Times New Roman" w:hAnsi="Times New Roman" w:cs="Times New Roman"/>
          <w:b w:val="0"/>
          <w:bCs w:val="0"/>
          <w:kern w:val="24"/>
          <w:sz w:val="24"/>
          <w:szCs w:val="24"/>
          <w:shd w:val="clear" w:color="auto" w:fill="FFFFFF"/>
        </w:rPr>
        <w:t>d</w:t>
      </w:r>
      <w:r w:rsidR="00A5383D" w:rsidRPr="00621E73">
        <w:rPr>
          <w:rStyle w:val="lev"/>
          <w:rFonts w:ascii="Times New Roman" w:hAnsi="Times New Roman" w:cs="Times New Roman"/>
          <w:b w:val="0"/>
          <w:bCs w:val="0"/>
          <w:kern w:val="24"/>
          <w:sz w:val="24"/>
          <w:szCs w:val="24"/>
          <w:shd w:val="clear" w:color="auto" w:fill="FFFFFF"/>
        </w:rPr>
        <w:t>s</w:t>
      </w:r>
      <w:r w:rsidRPr="00621E73">
        <w:rPr>
          <w:rStyle w:val="lev"/>
          <w:rFonts w:ascii="Times New Roman" w:hAnsi="Times New Roman" w:cs="Times New Roman"/>
          <w:b w:val="0"/>
          <w:bCs w:val="0"/>
          <w:kern w:val="24"/>
          <w:sz w:val="24"/>
          <w:szCs w:val="24"/>
          <w:shd w:val="clear" w:color="auto" w:fill="FFFFFF"/>
        </w:rPr>
        <w:t xml:space="preserve"> de </w:t>
      </w:r>
      <w:r w:rsidR="001C4C52">
        <w:rPr>
          <w:rStyle w:val="lev"/>
          <w:rFonts w:ascii="Times New Roman" w:hAnsi="Times New Roman" w:cs="Times New Roman"/>
          <w:b w:val="0"/>
          <w:bCs w:val="0"/>
          <w:kern w:val="24"/>
          <w:sz w:val="24"/>
          <w:szCs w:val="24"/>
          <w:shd w:val="clear" w:color="auto" w:fill="FFFFFF"/>
        </w:rPr>
        <w:t>M</w:t>
      </w:r>
      <w:r w:rsidRPr="00621E73">
        <w:rPr>
          <w:rStyle w:val="lev"/>
          <w:rFonts w:ascii="Times New Roman" w:hAnsi="Times New Roman" w:cs="Times New Roman"/>
          <w:b w:val="0"/>
          <w:bCs w:val="0"/>
          <w:kern w:val="24"/>
          <w:sz w:val="24"/>
          <w:szCs w:val="24"/>
          <w:shd w:val="clear" w:color="auto" w:fill="FFFFFF"/>
        </w:rPr>
        <w:t>usulmans</w:t>
      </w:r>
      <w:r w:rsidR="00A5383D" w:rsidRPr="00621E73">
        <w:rPr>
          <w:rStyle w:val="Appelnotedebasdep"/>
          <w:rFonts w:ascii="Times New Roman" w:hAnsi="Times New Roman"/>
          <w:kern w:val="24"/>
          <w:sz w:val="24"/>
          <w:szCs w:val="24"/>
          <w:shd w:val="clear" w:color="auto" w:fill="FFFFFF"/>
        </w:rPr>
        <w:footnoteReference w:id="80"/>
      </w:r>
      <w:r w:rsidRPr="00621E73">
        <w:rPr>
          <w:rFonts w:ascii="Times New Roman" w:hAnsi="Times New Roman" w:cs="Times New Roman"/>
          <w:b/>
          <w:bCs/>
          <w:kern w:val="24"/>
          <w:sz w:val="24"/>
          <w:szCs w:val="24"/>
          <w:shd w:val="clear" w:color="auto" w:fill="FFFFFF"/>
        </w:rPr>
        <w:t>.</w:t>
      </w:r>
      <w:r w:rsidRPr="00621E73">
        <w:rPr>
          <w:rFonts w:ascii="Times New Roman" w:hAnsi="Times New Roman" w:cs="Times New Roman"/>
          <w:kern w:val="24"/>
          <w:sz w:val="24"/>
          <w:szCs w:val="24"/>
          <w:shd w:val="clear" w:color="auto" w:fill="FFFFFF"/>
        </w:rPr>
        <w:t xml:space="preserve"> </w:t>
      </w:r>
      <w:r w:rsidR="0069195E" w:rsidRPr="00621E73">
        <w:rPr>
          <w:rFonts w:ascii="Times New Roman" w:hAnsi="Times New Roman" w:cs="Times New Roman"/>
          <w:kern w:val="24"/>
          <w:sz w:val="24"/>
          <w:szCs w:val="24"/>
          <w:shd w:val="clear" w:color="auto" w:fill="FFFFFF"/>
        </w:rPr>
        <w:t xml:space="preserve">Elle concerne toute l’humanité. Eu égard à ses </w:t>
      </w:r>
      <w:r w:rsidRPr="00621E73">
        <w:rPr>
          <w:rFonts w:ascii="Times New Roman" w:hAnsi="Times New Roman" w:cs="Times New Roman"/>
          <w:kern w:val="24"/>
          <w:sz w:val="24"/>
          <w:szCs w:val="24"/>
          <w:shd w:val="clear" w:color="auto" w:fill="FFFFFF"/>
        </w:rPr>
        <w:t xml:space="preserve">caractéristiques intéressantes en matière </w:t>
      </w:r>
      <w:r w:rsidR="0069195E" w:rsidRPr="00621E73">
        <w:rPr>
          <w:rFonts w:ascii="Times New Roman" w:hAnsi="Times New Roman" w:cs="Times New Roman"/>
          <w:kern w:val="24"/>
          <w:sz w:val="24"/>
          <w:szCs w:val="24"/>
          <w:shd w:val="clear" w:color="auto" w:fill="FFFFFF"/>
        </w:rPr>
        <w:t xml:space="preserve">d’offre d’instruments de financement et de placement, </w:t>
      </w:r>
      <w:r w:rsidRPr="00621E73">
        <w:rPr>
          <w:rFonts w:ascii="Times New Roman" w:hAnsi="Times New Roman" w:cs="Times New Roman"/>
          <w:kern w:val="24"/>
          <w:sz w:val="24"/>
          <w:szCs w:val="24"/>
          <w:shd w:val="clear" w:color="auto" w:fill="FFFFFF"/>
        </w:rPr>
        <w:t>de transpa</w:t>
      </w:r>
      <w:r w:rsidR="0069195E" w:rsidRPr="00621E73">
        <w:rPr>
          <w:rFonts w:ascii="Times New Roman" w:hAnsi="Times New Roman" w:cs="Times New Roman"/>
          <w:kern w:val="24"/>
          <w:sz w:val="24"/>
          <w:szCs w:val="24"/>
          <w:shd w:val="clear" w:color="auto" w:fill="FFFFFF"/>
        </w:rPr>
        <w:t>rence et de régulation bancaire, nous assistons à l’implantation d’institutions financières islamiques sur tous les continents de la planète.</w:t>
      </w:r>
    </w:p>
    <w:p w14:paraId="14473F0E" w14:textId="77777777" w:rsidR="002760B2" w:rsidRPr="00621E73" w:rsidRDefault="002760B2" w:rsidP="00621E73">
      <w:pPr>
        <w:pStyle w:val="Paragraphedeliste"/>
        <w:tabs>
          <w:tab w:val="left" w:pos="0"/>
        </w:tabs>
        <w:spacing w:before="120" w:line="300" w:lineRule="auto"/>
        <w:ind w:left="0" w:firstLine="709"/>
        <w:contextualSpacing w:val="0"/>
        <w:rPr>
          <w:rFonts w:ascii="Times New Roman" w:hAnsi="Times New Roman" w:cs="Times New Roman"/>
          <w:kern w:val="24"/>
          <w:sz w:val="24"/>
          <w:szCs w:val="24"/>
        </w:rPr>
      </w:pPr>
      <w:r w:rsidRPr="00621E73">
        <w:rPr>
          <w:rFonts w:ascii="Times New Roman" w:hAnsi="Times New Roman" w:cs="Times New Roman"/>
          <w:kern w:val="24"/>
          <w:sz w:val="24"/>
          <w:szCs w:val="24"/>
        </w:rPr>
        <w:t>Cependant, malgré cette croissance fulgurante,</w:t>
      </w:r>
      <w:r w:rsidR="004A7A9E" w:rsidRPr="00621E73">
        <w:rPr>
          <w:rFonts w:ascii="Times New Roman" w:hAnsi="Times New Roman" w:cs="Times New Roman"/>
          <w:kern w:val="24"/>
          <w:sz w:val="24"/>
          <w:szCs w:val="24"/>
        </w:rPr>
        <w:t xml:space="preserve"> </w:t>
      </w:r>
      <w:r w:rsidR="004A7A9E" w:rsidRPr="00621E73">
        <w:rPr>
          <w:rFonts w:ascii="Times New Roman" w:hAnsi="Times New Roman" w:cs="Times New Roman"/>
          <w:kern w:val="24"/>
          <w:sz w:val="24"/>
          <w:szCs w:val="24"/>
          <w:shd w:val="clear" w:color="auto" w:fill="FFFFFF"/>
        </w:rPr>
        <w:t>cette forme de finance est essentiellement pratiquée dans les pays du Moyen-Orient. L</w:t>
      </w:r>
      <w:r w:rsidRPr="00621E73">
        <w:rPr>
          <w:rFonts w:ascii="Times New Roman" w:hAnsi="Times New Roman" w:cs="Times New Roman"/>
          <w:kern w:val="24"/>
          <w:sz w:val="24"/>
          <w:szCs w:val="24"/>
        </w:rPr>
        <w:t xml:space="preserve">es actifs bancaires </w:t>
      </w:r>
      <w:r w:rsidR="008949B6" w:rsidRPr="00621E73">
        <w:rPr>
          <w:rFonts w:ascii="Times New Roman" w:hAnsi="Times New Roman" w:cs="Times New Roman"/>
          <w:kern w:val="24"/>
          <w:sz w:val="24"/>
          <w:szCs w:val="24"/>
        </w:rPr>
        <w:t>i</w:t>
      </w:r>
      <w:r w:rsidR="003773C6" w:rsidRPr="00621E73">
        <w:rPr>
          <w:rFonts w:ascii="Times New Roman" w:hAnsi="Times New Roman" w:cs="Times New Roman"/>
          <w:kern w:val="24"/>
          <w:sz w:val="24"/>
          <w:szCs w:val="24"/>
        </w:rPr>
        <w:t>slamique</w:t>
      </w:r>
      <w:r w:rsidRPr="00621E73">
        <w:rPr>
          <w:rFonts w:ascii="Times New Roman" w:hAnsi="Times New Roman" w:cs="Times New Roman"/>
          <w:kern w:val="24"/>
          <w:sz w:val="24"/>
          <w:szCs w:val="24"/>
        </w:rPr>
        <w:t xml:space="preserve">s restent concentrés </w:t>
      </w:r>
      <w:r w:rsidR="00003027" w:rsidRPr="00621E73">
        <w:rPr>
          <w:rFonts w:ascii="Times New Roman" w:hAnsi="Times New Roman" w:cs="Times New Roman"/>
          <w:kern w:val="24"/>
          <w:sz w:val="24"/>
          <w:szCs w:val="24"/>
        </w:rPr>
        <w:t xml:space="preserve">en Iran, </w:t>
      </w:r>
      <w:r w:rsidR="000121F4" w:rsidRPr="00621E73">
        <w:rPr>
          <w:rFonts w:ascii="Times New Roman" w:hAnsi="Times New Roman" w:cs="Times New Roman"/>
          <w:kern w:val="24"/>
          <w:sz w:val="24"/>
          <w:szCs w:val="24"/>
        </w:rPr>
        <w:t>dans</w:t>
      </w:r>
      <w:r w:rsidRPr="00621E73">
        <w:rPr>
          <w:rFonts w:ascii="Times New Roman" w:hAnsi="Times New Roman" w:cs="Times New Roman"/>
          <w:kern w:val="24"/>
          <w:sz w:val="24"/>
          <w:szCs w:val="24"/>
        </w:rPr>
        <w:t xml:space="preserve"> la région du </w:t>
      </w:r>
      <w:r w:rsidR="00CA5E1B" w:rsidRPr="00621E73">
        <w:rPr>
          <w:rFonts w:ascii="Times New Roman" w:hAnsi="Times New Roman" w:cs="Times New Roman"/>
          <w:kern w:val="24"/>
          <w:sz w:val="24"/>
          <w:szCs w:val="24"/>
        </w:rPr>
        <w:t xml:space="preserve">Conseil de coopération du Golfe </w:t>
      </w:r>
      <w:r w:rsidRPr="00621E73">
        <w:rPr>
          <w:rFonts w:ascii="Times New Roman" w:hAnsi="Times New Roman" w:cs="Times New Roman"/>
          <w:kern w:val="24"/>
          <w:sz w:val="24"/>
          <w:szCs w:val="24"/>
        </w:rPr>
        <w:t>(</w:t>
      </w:r>
      <w:r w:rsidR="00CA5E1B" w:rsidRPr="00621E73">
        <w:rPr>
          <w:rFonts w:ascii="Times New Roman" w:hAnsi="Times New Roman" w:cs="Times New Roman"/>
          <w:kern w:val="24"/>
          <w:sz w:val="24"/>
          <w:szCs w:val="24"/>
        </w:rPr>
        <w:t>CCG</w:t>
      </w:r>
      <w:r w:rsidR="000121F4" w:rsidRPr="00621E73">
        <w:rPr>
          <w:rFonts w:ascii="Times New Roman" w:hAnsi="Times New Roman" w:cs="Times New Roman"/>
          <w:kern w:val="24"/>
          <w:sz w:val="24"/>
          <w:szCs w:val="24"/>
        </w:rPr>
        <w:t xml:space="preserve">) </w:t>
      </w:r>
      <w:r w:rsidRPr="00621E73">
        <w:rPr>
          <w:rFonts w:ascii="Times New Roman" w:hAnsi="Times New Roman" w:cs="Times New Roman"/>
          <w:kern w:val="24"/>
          <w:sz w:val="24"/>
          <w:szCs w:val="24"/>
        </w:rPr>
        <w:t xml:space="preserve">et </w:t>
      </w:r>
      <w:r w:rsidR="000121F4" w:rsidRPr="00621E73">
        <w:rPr>
          <w:rFonts w:ascii="Times New Roman" w:hAnsi="Times New Roman" w:cs="Times New Roman"/>
          <w:kern w:val="24"/>
          <w:sz w:val="24"/>
          <w:szCs w:val="24"/>
        </w:rPr>
        <w:t xml:space="preserve">les </w:t>
      </w:r>
      <w:r w:rsidRPr="00621E73">
        <w:rPr>
          <w:rFonts w:ascii="Times New Roman" w:hAnsi="Times New Roman" w:cs="Times New Roman"/>
          <w:kern w:val="24"/>
          <w:sz w:val="24"/>
          <w:szCs w:val="24"/>
        </w:rPr>
        <w:t xml:space="preserve">pays de l’Asie (voir </w:t>
      </w:r>
      <w:r w:rsidR="004C7876" w:rsidRPr="00621E73">
        <w:rPr>
          <w:rFonts w:ascii="Times New Roman" w:hAnsi="Times New Roman" w:cs="Times New Roman"/>
          <w:b/>
          <w:bCs/>
          <w:kern w:val="24"/>
          <w:sz w:val="24"/>
          <w:szCs w:val="24"/>
        </w:rPr>
        <w:t xml:space="preserve">figure </w:t>
      </w:r>
      <w:r w:rsidRPr="00621E73">
        <w:rPr>
          <w:rFonts w:ascii="Times New Roman" w:hAnsi="Times New Roman" w:cs="Times New Roman"/>
          <w:b/>
          <w:bCs/>
          <w:kern w:val="24"/>
          <w:sz w:val="24"/>
          <w:szCs w:val="24"/>
        </w:rPr>
        <w:t>2</w:t>
      </w:r>
      <w:r w:rsidRPr="00621E73">
        <w:rPr>
          <w:rFonts w:ascii="Times New Roman" w:hAnsi="Times New Roman" w:cs="Times New Roman"/>
          <w:kern w:val="24"/>
          <w:sz w:val="24"/>
          <w:szCs w:val="24"/>
        </w:rPr>
        <w:t xml:space="preserve">). Sur le plan mondial, le poids de la finance </w:t>
      </w:r>
      <w:r w:rsidR="008949B6" w:rsidRPr="00621E73">
        <w:rPr>
          <w:rFonts w:ascii="Times New Roman" w:hAnsi="Times New Roman" w:cs="Times New Roman"/>
          <w:kern w:val="24"/>
          <w:sz w:val="24"/>
          <w:szCs w:val="24"/>
        </w:rPr>
        <w:t>i</w:t>
      </w:r>
      <w:r w:rsidR="003773C6" w:rsidRPr="00621E73">
        <w:rPr>
          <w:rFonts w:ascii="Times New Roman" w:hAnsi="Times New Roman" w:cs="Times New Roman"/>
          <w:kern w:val="24"/>
          <w:sz w:val="24"/>
          <w:szCs w:val="24"/>
        </w:rPr>
        <w:t>slamique</w:t>
      </w:r>
      <w:r w:rsidRPr="00621E73">
        <w:rPr>
          <w:rFonts w:ascii="Times New Roman" w:hAnsi="Times New Roman" w:cs="Times New Roman"/>
          <w:kern w:val="24"/>
          <w:sz w:val="24"/>
          <w:szCs w:val="24"/>
        </w:rPr>
        <w:t xml:space="preserve"> est relativement </w:t>
      </w:r>
      <w:r w:rsidRPr="00621E73">
        <w:rPr>
          <w:rFonts w:ascii="Times New Roman" w:hAnsi="Times New Roman" w:cs="Times New Roman"/>
          <w:kern w:val="24"/>
          <w:sz w:val="24"/>
          <w:szCs w:val="24"/>
        </w:rPr>
        <w:lastRenderedPageBreak/>
        <w:t xml:space="preserve">faible, les actifs bancaires </w:t>
      </w:r>
      <w:r w:rsidR="008949B6" w:rsidRPr="00621E73">
        <w:rPr>
          <w:rFonts w:ascii="Times New Roman" w:hAnsi="Times New Roman" w:cs="Times New Roman"/>
          <w:kern w:val="24"/>
          <w:sz w:val="24"/>
          <w:szCs w:val="24"/>
        </w:rPr>
        <w:t>i</w:t>
      </w:r>
      <w:r w:rsidR="003773C6" w:rsidRPr="00621E73">
        <w:rPr>
          <w:rFonts w:ascii="Times New Roman" w:hAnsi="Times New Roman" w:cs="Times New Roman"/>
          <w:kern w:val="24"/>
          <w:sz w:val="24"/>
          <w:szCs w:val="24"/>
        </w:rPr>
        <w:t>slamique</w:t>
      </w:r>
      <w:r w:rsidR="004C7876" w:rsidRPr="00621E73">
        <w:rPr>
          <w:rFonts w:ascii="Times New Roman" w:hAnsi="Times New Roman" w:cs="Times New Roman"/>
          <w:kern w:val="24"/>
          <w:sz w:val="24"/>
          <w:szCs w:val="24"/>
        </w:rPr>
        <w:t>s</w:t>
      </w:r>
      <w:r w:rsidR="00B45F76" w:rsidRPr="00621E73">
        <w:rPr>
          <w:rFonts w:ascii="Times New Roman" w:hAnsi="Times New Roman" w:cs="Times New Roman"/>
          <w:kern w:val="24"/>
          <w:sz w:val="24"/>
          <w:szCs w:val="24"/>
        </w:rPr>
        <w:t xml:space="preserve"> ne</w:t>
      </w:r>
      <w:r w:rsidR="004C7876" w:rsidRPr="00621E73">
        <w:rPr>
          <w:rFonts w:ascii="Times New Roman" w:hAnsi="Times New Roman" w:cs="Times New Roman"/>
          <w:kern w:val="24"/>
          <w:sz w:val="24"/>
          <w:szCs w:val="24"/>
        </w:rPr>
        <w:t xml:space="preserve"> représentent </w:t>
      </w:r>
      <w:r w:rsidR="00B45F76" w:rsidRPr="00621E73">
        <w:rPr>
          <w:rFonts w:ascii="Times New Roman" w:hAnsi="Times New Roman" w:cs="Times New Roman"/>
          <w:kern w:val="24"/>
          <w:sz w:val="24"/>
          <w:szCs w:val="24"/>
        </w:rPr>
        <w:t>qu’un peu plus de</w:t>
      </w:r>
      <w:r w:rsidR="004C7876" w:rsidRPr="00621E73">
        <w:rPr>
          <w:rFonts w:ascii="Times New Roman" w:hAnsi="Times New Roman" w:cs="Times New Roman"/>
          <w:kern w:val="24"/>
          <w:sz w:val="24"/>
          <w:szCs w:val="24"/>
        </w:rPr>
        <w:t xml:space="preserve"> 1</w:t>
      </w:r>
      <w:r w:rsidRPr="00621E73">
        <w:rPr>
          <w:rFonts w:ascii="Times New Roman" w:hAnsi="Times New Roman" w:cs="Times New Roman"/>
          <w:kern w:val="24"/>
          <w:sz w:val="24"/>
          <w:szCs w:val="24"/>
        </w:rPr>
        <w:t>% de la finance mondiale</w:t>
      </w:r>
      <w:r w:rsidR="00B45F76" w:rsidRPr="00621E73">
        <w:rPr>
          <w:rStyle w:val="Appelnotedebasdep"/>
          <w:rFonts w:ascii="Times New Roman" w:hAnsi="Times New Roman"/>
          <w:kern w:val="24"/>
          <w:sz w:val="24"/>
          <w:szCs w:val="24"/>
        </w:rPr>
        <w:footnoteReference w:id="81"/>
      </w:r>
      <w:r w:rsidRPr="00621E73">
        <w:rPr>
          <w:rFonts w:ascii="Times New Roman" w:hAnsi="Times New Roman" w:cs="Times New Roman"/>
          <w:kern w:val="24"/>
          <w:sz w:val="24"/>
          <w:szCs w:val="24"/>
        </w:rPr>
        <w:t>.</w:t>
      </w:r>
    </w:p>
    <w:p w14:paraId="0C4AA753" w14:textId="380E6806" w:rsidR="003F6BC3" w:rsidRDefault="00B914A0" w:rsidP="001C4C52">
      <w:pPr>
        <w:pStyle w:val="Lgende"/>
        <w:keepNext/>
        <w:spacing w:before="100" w:beforeAutospacing="1" w:after="120" w:line="300" w:lineRule="auto"/>
        <w:jc w:val="center"/>
        <w:rPr>
          <w:rFonts w:asciiTheme="majorBidi" w:hAnsiTheme="majorBidi" w:cstheme="majorBidi"/>
          <w:color w:val="auto"/>
          <w:kern w:val="24"/>
          <w:sz w:val="24"/>
          <w:szCs w:val="24"/>
        </w:rPr>
      </w:pPr>
      <w:bookmarkStart w:id="241" w:name="_Toc115527413"/>
      <w:r w:rsidRPr="00621E73">
        <w:rPr>
          <w:rFonts w:asciiTheme="majorBidi" w:hAnsiTheme="majorBidi" w:cstheme="majorBidi"/>
          <w:color w:val="auto"/>
          <w:kern w:val="24"/>
          <w:sz w:val="24"/>
          <w:szCs w:val="24"/>
        </w:rPr>
        <w:t xml:space="preserve">Figure </w:t>
      </w:r>
      <w:r w:rsidR="00B544E5" w:rsidRPr="00621E73">
        <w:rPr>
          <w:rFonts w:asciiTheme="majorBidi" w:hAnsiTheme="majorBidi" w:cstheme="majorBidi"/>
          <w:color w:val="auto"/>
          <w:kern w:val="24"/>
          <w:sz w:val="24"/>
          <w:szCs w:val="24"/>
        </w:rPr>
        <w:fldChar w:fldCharType="begin"/>
      </w:r>
      <w:r w:rsidRPr="00621E73">
        <w:rPr>
          <w:rFonts w:asciiTheme="majorBidi" w:hAnsiTheme="majorBidi" w:cstheme="majorBidi"/>
          <w:color w:val="auto"/>
          <w:kern w:val="24"/>
          <w:sz w:val="24"/>
          <w:szCs w:val="24"/>
        </w:rPr>
        <w:instrText xml:space="preserve"> SEQ Figure \* ARABIC </w:instrText>
      </w:r>
      <w:r w:rsidR="00B544E5" w:rsidRPr="00621E73">
        <w:rPr>
          <w:rFonts w:asciiTheme="majorBidi" w:hAnsiTheme="majorBidi" w:cstheme="majorBidi"/>
          <w:color w:val="auto"/>
          <w:kern w:val="24"/>
          <w:sz w:val="24"/>
          <w:szCs w:val="24"/>
        </w:rPr>
        <w:fldChar w:fldCharType="separate"/>
      </w:r>
      <w:r w:rsidR="00666FC7">
        <w:rPr>
          <w:rFonts w:asciiTheme="majorBidi" w:hAnsiTheme="majorBidi" w:cstheme="majorBidi"/>
          <w:noProof/>
          <w:color w:val="auto"/>
          <w:kern w:val="24"/>
          <w:sz w:val="24"/>
          <w:szCs w:val="24"/>
        </w:rPr>
        <w:t>2</w:t>
      </w:r>
      <w:r w:rsidR="00B544E5" w:rsidRPr="00621E73">
        <w:rPr>
          <w:rFonts w:asciiTheme="majorBidi" w:hAnsiTheme="majorBidi" w:cstheme="majorBidi"/>
          <w:color w:val="auto"/>
          <w:kern w:val="24"/>
          <w:sz w:val="24"/>
          <w:szCs w:val="24"/>
        </w:rPr>
        <w:fldChar w:fldCharType="end"/>
      </w:r>
      <w:r w:rsidRPr="00621E73">
        <w:rPr>
          <w:rFonts w:asciiTheme="majorBidi" w:hAnsiTheme="majorBidi" w:cstheme="majorBidi"/>
          <w:color w:val="auto"/>
          <w:kern w:val="24"/>
          <w:sz w:val="24"/>
          <w:szCs w:val="24"/>
        </w:rPr>
        <w:t>- Part de marché des actifs islamiques</w:t>
      </w:r>
      <w:bookmarkEnd w:id="241"/>
    </w:p>
    <w:p w14:paraId="0F46A590" w14:textId="77777777" w:rsidR="001C4C52" w:rsidRPr="001C4C52" w:rsidRDefault="001C4C52" w:rsidP="001C4C52">
      <w:pPr>
        <w:keepNext/>
        <w:spacing w:before="120" w:line="300" w:lineRule="auto"/>
        <w:rPr>
          <w:rFonts w:asciiTheme="majorBidi" w:hAnsiTheme="majorBidi" w:cstheme="majorBidi"/>
          <w:sz w:val="24"/>
          <w:szCs w:val="24"/>
        </w:rPr>
      </w:pPr>
    </w:p>
    <w:p w14:paraId="4F43459D" w14:textId="77777777" w:rsidR="001C4C52" w:rsidRPr="001C4C52" w:rsidRDefault="001C4C52" w:rsidP="001C4C52">
      <w:pPr>
        <w:keepNext/>
        <w:spacing w:before="120" w:line="300" w:lineRule="auto"/>
        <w:rPr>
          <w:rFonts w:asciiTheme="majorBidi" w:hAnsiTheme="majorBidi" w:cstheme="majorBidi"/>
          <w:sz w:val="24"/>
          <w:szCs w:val="24"/>
        </w:rPr>
      </w:pPr>
    </w:p>
    <w:p w14:paraId="3F3F0659" w14:textId="77777777" w:rsidR="001C4C52" w:rsidRDefault="001C4C52" w:rsidP="001C4C52">
      <w:pPr>
        <w:keepNext/>
        <w:spacing w:before="120" w:line="300" w:lineRule="auto"/>
        <w:rPr>
          <w:rFonts w:asciiTheme="majorBidi" w:hAnsiTheme="majorBidi" w:cstheme="majorBidi"/>
          <w:sz w:val="24"/>
          <w:szCs w:val="24"/>
        </w:rPr>
      </w:pPr>
    </w:p>
    <w:p w14:paraId="0C179786" w14:textId="77777777" w:rsidR="001C4C52" w:rsidRDefault="001C4C52" w:rsidP="001C4C52">
      <w:pPr>
        <w:keepNext/>
        <w:spacing w:before="120" w:line="300" w:lineRule="auto"/>
        <w:rPr>
          <w:rFonts w:asciiTheme="majorBidi" w:hAnsiTheme="majorBidi" w:cstheme="majorBidi"/>
          <w:sz w:val="24"/>
          <w:szCs w:val="24"/>
        </w:rPr>
      </w:pPr>
    </w:p>
    <w:p w14:paraId="63A3BE9C" w14:textId="77777777" w:rsidR="001C4C52" w:rsidRPr="001C4C52" w:rsidRDefault="001C4C52" w:rsidP="001C4C52">
      <w:pPr>
        <w:keepNext/>
        <w:spacing w:before="120" w:line="300" w:lineRule="auto"/>
        <w:rPr>
          <w:rFonts w:asciiTheme="majorBidi" w:hAnsiTheme="majorBidi" w:cstheme="majorBidi"/>
          <w:sz w:val="24"/>
          <w:szCs w:val="24"/>
        </w:rPr>
      </w:pPr>
    </w:p>
    <w:p w14:paraId="003BF430" w14:textId="77777777" w:rsidR="001C4C52" w:rsidRPr="001C4C52" w:rsidRDefault="001C4C52" w:rsidP="001C4C52">
      <w:pPr>
        <w:keepNext/>
        <w:spacing w:before="120" w:line="300" w:lineRule="auto"/>
        <w:rPr>
          <w:rFonts w:asciiTheme="majorBidi" w:hAnsiTheme="majorBidi" w:cstheme="majorBidi"/>
          <w:sz w:val="24"/>
          <w:szCs w:val="24"/>
        </w:rPr>
      </w:pPr>
    </w:p>
    <w:p w14:paraId="62085B3C" w14:textId="77777777" w:rsidR="001C4C52" w:rsidRPr="001C4C52" w:rsidRDefault="001C4C52" w:rsidP="001C4C52">
      <w:pPr>
        <w:keepNext/>
        <w:spacing w:before="120" w:line="300" w:lineRule="auto"/>
        <w:rPr>
          <w:rFonts w:asciiTheme="majorBidi" w:hAnsiTheme="majorBidi" w:cstheme="majorBidi"/>
          <w:sz w:val="24"/>
          <w:szCs w:val="24"/>
        </w:rPr>
      </w:pPr>
    </w:p>
    <w:p w14:paraId="3962CD70" w14:textId="77777777" w:rsidR="001C4C52" w:rsidRPr="001C4C52" w:rsidRDefault="001C4C52" w:rsidP="001C4C52">
      <w:pPr>
        <w:keepNext/>
        <w:spacing w:before="120" w:line="300" w:lineRule="auto"/>
        <w:rPr>
          <w:rFonts w:asciiTheme="majorBidi" w:hAnsiTheme="majorBidi" w:cstheme="majorBidi"/>
          <w:sz w:val="24"/>
          <w:szCs w:val="24"/>
        </w:rPr>
      </w:pPr>
    </w:p>
    <w:p w14:paraId="1EE8BF12" w14:textId="77777777" w:rsidR="005E784C" w:rsidRDefault="00B45F76" w:rsidP="001C4C52">
      <w:pPr>
        <w:keepNext/>
        <w:tabs>
          <w:tab w:val="left" w:pos="0"/>
          <w:tab w:val="left" w:pos="4005"/>
        </w:tabs>
        <w:spacing w:before="120" w:line="300" w:lineRule="auto"/>
        <w:jc w:val="center"/>
        <w:rPr>
          <w:rFonts w:ascii="Times New Roman" w:hAnsi="Times New Roman" w:cs="Times New Roman"/>
          <w:sz w:val="20"/>
          <w:szCs w:val="20"/>
        </w:rPr>
      </w:pPr>
      <w:r w:rsidRPr="006F09F7">
        <w:rPr>
          <w:noProof/>
          <w:lang w:eastAsia="fr-FR"/>
        </w:rPr>
        <w:drawing>
          <wp:anchor distT="0" distB="0" distL="114300" distR="114300" simplePos="0" relativeHeight="251541504" behindDoc="0" locked="1" layoutInCell="1" allowOverlap="0" wp14:anchorId="6481089C" wp14:editId="51F2C2AD">
            <wp:simplePos x="0" y="0"/>
            <wp:positionH relativeFrom="column">
              <wp:posOffset>451485</wp:posOffset>
            </wp:positionH>
            <wp:positionV relativeFrom="paragraph">
              <wp:posOffset>-2302510</wp:posOffset>
            </wp:positionV>
            <wp:extent cx="5039995" cy="2494280"/>
            <wp:effectExtent l="0" t="0" r="0" b="0"/>
            <wp:wrapNone/>
            <wp:docPr id="1365" name="Image 5" descr="encours actifs islam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ours actifs islamiqu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2494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01C736" w14:textId="1102439E" w:rsidR="002760B2" w:rsidRDefault="002760B2" w:rsidP="001C4C52">
      <w:pPr>
        <w:keepNext/>
        <w:tabs>
          <w:tab w:val="left" w:pos="0"/>
          <w:tab w:val="left" w:pos="4005"/>
        </w:tabs>
        <w:spacing w:line="300" w:lineRule="auto"/>
        <w:jc w:val="center"/>
        <w:rPr>
          <w:rFonts w:ascii="Times New Roman" w:hAnsi="Times New Roman" w:cs="Times New Roman"/>
          <w:sz w:val="20"/>
          <w:szCs w:val="20"/>
        </w:rPr>
      </w:pPr>
      <w:r w:rsidRPr="006F09F7">
        <w:rPr>
          <w:rFonts w:ascii="Times New Roman" w:hAnsi="Times New Roman" w:cs="Times New Roman"/>
          <w:sz w:val="20"/>
          <w:szCs w:val="20"/>
        </w:rPr>
        <w:t>Source</w:t>
      </w:r>
      <w:r w:rsidR="00C23055" w:rsidRPr="006F09F7">
        <w:rPr>
          <w:rFonts w:ascii="Times New Roman" w:hAnsi="Times New Roman" w:cs="Times New Roman"/>
          <w:sz w:val="20"/>
          <w:szCs w:val="20"/>
        </w:rPr>
        <w:t> :</w:t>
      </w:r>
      <w:r w:rsidRPr="006F09F7">
        <w:rPr>
          <w:rFonts w:ascii="Times New Roman" w:hAnsi="Times New Roman" w:cs="Times New Roman"/>
          <w:sz w:val="20"/>
          <w:szCs w:val="20"/>
        </w:rPr>
        <w:t xml:space="preserve"> </w:t>
      </w:r>
      <w:r w:rsidR="00E25CFB" w:rsidRPr="006F09F7">
        <w:rPr>
          <w:rFonts w:ascii="Times New Roman" w:hAnsi="Times New Roman" w:cs="Times New Roman"/>
          <w:sz w:val="20"/>
          <w:szCs w:val="20"/>
        </w:rPr>
        <w:t xml:space="preserve">lafinancepourtous.com d’après </w:t>
      </w:r>
      <w:r w:rsidR="00F34669" w:rsidRPr="006F09F7">
        <w:rPr>
          <w:rFonts w:ascii="Times New Roman" w:hAnsi="Times New Roman" w:cs="Times New Roman"/>
          <w:sz w:val="20"/>
          <w:szCs w:val="20"/>
        </w:rPr>
        <w:t>Islam</w:t>
      </w:r>
      <w:r w:rsidR="0016334A" w:rsidRPr="006F09F7">
        <w:rPr>
          <w:rFonts w:ascii="Times New Roman" w:hAnsi="Times New Roman" w:cs="Times New Roman"/>
          <w:sz w:val="20"/>
          <w:szCs w:val="20"/>
        </w:rPr>
        <w:t>ic Finance Development Report 2020</w:t>
      </w:r>
      <w:r w:rsidR="00E25CFB" w:rsidRPr="006F09F7">
        <w:rPr>
          <w:rFonts w:ascii="Times New Roman" w:hAnsi="Times New Roman" w:cs="Times New Roman"/>
          <w:sz w:val="20"/>
          <w:szCs w:val="20"/>
        </w:rPr>
        <w:t>.</w:t>
      </w:r>
    </w:p>
    <w:p w14:paraId="7219A29B" w14:textId="77777777" w:rsidR="00A71500" w:rsidRPr="006F09F7" w:rsidRDefault="00A71500" w:rsidP="00A71500">
      <w:pPr>
        <w:tabs>
          <w:tab w:val="left" w:pos="0"/>
          <w:tab w:val="left" w:pos="4005"/>
        </w:tabs>
        <w:spacing w:line="300" w:lineRule="auto"/>
        <w:jc w:val="center"/>
        <w:rPr>
          <w:rFonts w:ascii="Times New Roman" w:hAnsi="Times New Roman" w:cs="Times New Roman"/>
          <w:noProof/>
          <w:lang w:eastAsia="fr-FR"/>
        </w:rPr>
      </w:pPr>
    </w:p>
    <w:p w14:paraId="0A4434F8" w14:textId="77777777" w:rsidR="002760B2" w:rsidRPr="007B3B64" w:rsidRDefault="00BD5933" w:rsidP="006C1230">
      <w:pPr>
        <w:pStyle w:val="Titre5"/>
        <w:keepNext w:val="0"/>
        <w:keepLines w:val="0"/>
        <w:spacing w:before="100" w:beforeAutospacing="1" w:line="300" w:lineRule="auto"/>
        <w:ind w:firstLine="709"/>
        <w:rPr>
          <w:rFonts w:asciiTheme="majorBidi" w:hAnsiTheme="majorBidi"/>
          <w:b/>
          <w:bCs/>
          <w:color w:val="auto"/>
          <w:sz w:val="24"/>
          <w:szCs w:val="24"/>
        </w:rPr>
      </w:pPr>
      <w:bookmarkStart w:id="242" w:name="_Toc182298623"/>
      <w:r w:rsidRPr="007B3B64">
        <w:rPr>
          <w:rFonts w:asciiTheme="majorBidi" w:hAnsiTheme="majorBidi"/>
          <w:b/>
          <w:bCs/>
          <w:color w:val="auto"/>
          <w:sz w:val="24"/>
          <w:szCs w:val="24"/>
        </w:rPr>
        <w:t xml:space="preserve">1.4.3.4- </w:t>
      </w:r>
      <w:r w:rsidR="003773C6" w:rsidRPr="007B3B64">
        <w:rPr>
          <w:rFonts w:asciiTheme="majorBidi" w:hAnsiTheme="majorBidi"/>
          <w:b/>
          <w:bCs/>
          <w:color w:val="auto"/>
          <w:sz w:val="24"/>
          <w:szCs w:val="24"/>
        </w:rPr>
        <w:t>R</w:t>
      </w:r>
      <w:r w:rsidR="002760B2" w:rsidRPr="007B3B64">
        <w:rPr>
          <w:rFonts w:asciiTheme="majorBidi" w:hAnsiTheme="majorBidi"/>
          <w:b/>
          <w:bCs/>
          <w:color w:val="auto"/>
          <w:sz w:val="24"/>
          <w:szCs w:val="24"/>
        </w:rPr>
        <w:t xml:space="preserve">épartition géographique de la finance </w:t>
      </w:r>
      <w:r w:rsidR="003773C6" w:rsidRPr="007B3B64">
        <w:rPr>
          <w:rFonts w:asciiTheme="majorBidi" w:hAnsiTheme="majorBidi"/>
          <w:b/>
          <w:bCs/>
          <w:color w:val="auto"/>
          <w:sz w:val="24"/>
          <w:szCs w:val="24"/>
        </w:rPr>
        <w:t>islamique</w:t>
      </w:r>
      <w:bookmarkEnd w:id="242"/>
    </w:p>
    <w:p w14:paraId="75B0B31B" w14:textId="017CFFDB" w:rsidR="002760B2" w:rsidRPr="006F09F7" w:rsidRDefault="002760B2" w:rsidP="006C1230">
      <w:pPr>
        <w:tabs>
          <w:tab w:val="left" w:pos="0"/>
        </w:tabs>
        <w:suppressAutoHyphens/>
        <w:spacing w:before="120" w:line="300" w:lineRule="auto"/>
        <w:ind w:firstLine="709"/>
        <w:rPr>
          <w:rFonts w:ascii="Times New Roman" w:hAnsi="Times New Roman" w:cs="Times New Roman"/>
          <w:sz w:val="24"/>
          <w:szCs w:val="24"/>
        </w:rPr>
      </w:pPr>
      <w:r w:rsidRPr="006F09F7">
        <w:rPr>
          <w:rFonts w:ascii="Times New Roman" w:hAnsi="Times New Roman" w:cs="Times New Roman"/>
          <w:sz w:val="24"/>
          <w:szCs w:val="24"/>
        </w:rPr>
        <w:t xml:space="preserve">La finance </w:t>
      </w:r>
      <w:r w:rsidR="003773C6" w:rsidRPr="006F09F7">
        <w:rPr>
          <w:rFonts w:ascii="Times New Roman" w:hAnsi="Times New Roman" w:cs="Times New Roman"/>
          <w:sz w:val="24"/>
          <w:szCs w:val="24"/>
        </w:rPr>
        <w:t>islamique</w:t>
      </w:r>
      <w:r w:rsidRPr="006F09F7">
        <w:rPr>
          <w:rFonts w:ascii="Times New Roman" w:hAnsi="Times New Roman" w:cs="Times New Roman"/>
          <w:sz w:val="24"/>
          <w:szCs w:val="24"/>
        </w:rPr>
        <w:t xml:space="preserve"> ne cesse de pénétrer les différents secteurs financiers à travers le monde. </w:t>
      </w:r>
      <w:r w:rsidR="005E784C">
        <w:rPr>
          <w:rFonts w:ascii="Times New Roman" w:hAnsi="Times New Roman" w:cs="Times New Roman"/>
          <w:sz w:val="24"/>
          <w:szCs w:val="24"/>
        </w:rPr>
        <w:t>L</w:t>
      </w:r>
      <w:r w:rsidR="005E784C" w:rsidRPr="006F09F7">
        <w:rPr>
          <w:rFonts w:ascii="Times New Roman" w:hAnsi="Times New Roman" w:cs="Times New Roman"/>
          <w:sz w:val="24"/>
          <w:szCs w:val="24"/>
        </w:rPr>
        <w:t xml:space="preserve">ocalisée </w:t>
      </w:r>
      <w:r w:rsidR="005E784C">
        <w:rPr>
          <w:rFonts w:ascii="Times New Roman" w:hAnsi="Times New Roman" w:cs="Times New Roman"/>
          <w:sz w:val="24"/>
          <w:szCs w:val="24"/>
        </w:rPr>
        <w:t>a</w:t>
      </w:r>
      <w:r w:rsidRPr="006F09F7">
        <w:rPr>
          <w:rFonts w:ascii="Times New Roman" w:hAnsi="Times New Roman" w:cs="Times New Roman"/>
          <w:sz w:val="24"/>
          <w:szCs w:val="24"/>
        </w:rPr>
        <w:t>u début</w:t>
      </w:r>
      <w:r w:rsidR="005E784C">
        <w:rPr>
          <w:rFonts w:ascii="Times New Roman" w:hAnsi="Times New Roman" w:cs="Times New Roman"/>
          <w:sz w:val="24"/>
          <w:szCs w:val="24"/>
        </w:rPr>
        <w:t xml:space="preserve"> </w:t>
      </w:r>
      <w:r w:rsidR="005E784C" w:rsidRPr="006F09F7">
        <w:rPr>
          <w:rFonts w:ascii="Times New Roman" w:hAnsi="Times New Roman" w:cs="Times New Roman"/>
          <w:sz w:val="24"/>
          <w:szCs w:val="24"/>
        </w:rPr>
        <w:t>en Asie de Sud Est et certains pays du Moyen-Orient</w:t>
      </w:r>
      <w:r w:rsidRPr="006F09F7">
        <w:rPr>
          <w:rFonts w:ascii="Times New Roman" w:hAnsi="Times New Roman" w:cs="Times New Roman"/>
          <w:sz w:val="24"/>
          <w:szCs w:val="24"/>
        </w:rPr>
        <w:t>, cette branche de la finance s’i</w:t>
      </w:r>
      <w:r w:rsidR="005E784C">
        <w:rPr>
          <w:rFonts w:ascii="Times New Roman" w:hAnsi="Times New Roman" w:cs="Times New Roman"/>
          <w:sz w:val="24"/>
          <w:szCs w:val="24"/>
        </w:rPr>
        <w:t xml:space="preserve">mplante </w:t>
      </w:r>
      <w:r w:rsidRPr="006F09F7">
        <w:rPr>
          <w:rFonts w:ascii="Times New Roman" w:hAnsi="Times New Roman" w:cs="Times New Roman"/>
          <w:sz w:val="24"/>
          <w:szCs w:val="24"/>
        </w:rPr>
        <w:t xml:space="preserve">en Europe et </w:t>
      </w:r>
      <w:r w:rsidR="005E784C">
        <w:rPr>
          <w:rFonts w:ascii="Times New Roman" w:hAnsi="Times New Roman" w:cs="Times New Roman"/>
          <w:sz w:val="24"/>
          <w:szCs w:val="24"/>
        </w:rPr>
        <w:t xml:space="preserve">fortement </w:t>
      </w:r>
      <w:r w:rsidRPr="006F09F7">
        <w:rPr>
          <w:rFonts w:ascii="Times New Roman" w:hAnsi="Times New Roman" w:cs="Times New Roman"/>
          <w:sz w:val="24"/>
          <w:szCs w:val="24"/>
        </w:rPr>
        <w:t>en Afrique.</w:t>
      </w:r>
    </w:p>
    <w:p w14:paraId="16D408AC" w14:textId="77777777" w:rsidR="002760B2" w:rsidRPr="007B3B64" w:rsidRDefault="00DF41BC" w:rsidP="00A71500">
      <w:pPr>
        <w:pStyle w:val="Titre6"/>
        <w:keepNext w:val="0"/>
        <w:keepLines w:val="0"/>
        <w:spacing w:before="100" w:beforeAutospacing="1" w:after="120" w:line="300" w:lineRule="auto"/>
        <w:ind w:firstLine="709"/>
        <w:rPr>
          <w:rFonts w:asciiTheme="majorBidi" w:hAnsiTheme="majorBidi"/>
          <w:b/>
          <w:bCs/>
          <w:i w:val="0"/>
          <w:iCs w:val="0"/>
          <w:color w:val="auto"/>
          <w:sz w:val="24"/>
          <w:szCs w:val="24"/>
        </w:rPr>
      </w:pPr>
      <w:bookmarkStart w:id="243" w:name="_Toc182298624"/>
      <w:r w:rsidRPr="007B3B64">
        <w:rPr>
          <w:rFonts w:asciiTheme="majorBidi" w:hAnsiTheme="majorBidi"/>
          <w:b/>
          <w:bCs/>
          <w:i w:val="0"/>
          <w:iCs w:val="0"/>
          <w:color w:val="auto"/>
          <w:sz w:val="24"/>
          <w:szCs w:val="24"/>
        </w:rPr>
        <w:t xml:space="preserve">1.4.3.4.1- </w:t>
      </w:r>
      <w:r w:rsidR="005C7423" w:rsidRPr="007B3B64">
        <w:rPr>
          <w:rFonts w:asciiTheme="majorBidi" w:hAnsiTheme="majorBidi"/>
          <w:b/>
          <w:bCs/>
          <w:i w:val="0"/>
          <w:iCs w:val="0"/>
          <w:color w:val="auto"/>
          <w:sz w:val="24"/>
          <w:szCs w:val="24"/>
        </w:rPr>
        <w:t>Moyen-</w:t>
      </w:r>
      <w:r w:rsidR="002760B2" w:rsidRPr="007B3B64">
        <w:rPr>
          <w:rFonts w:asciiTheme="majorBidi" w:hAnsiTheme="majorBidi"/>
          <w:b/>
          <w:bCs/>
          <w:i w:val="0"/>
          <w:iCs w:val="0"/>
          <w:color w:val="auto"/>
          <w:sz w:val="24"/>
          <w:szCs w:val="24"/>
        </w:rPr>
        <w:t>Ori</w:t>
      </w:r>
      <w:r w:rsidR="0041133B" w:rsidRPr="007B3B64">
        <w:rPr>
          <w:rFonts w:asciiTheme="majorBidi" w:hAnsiTheme="majorBidi"/>
          <w:b/>
          <w:bCs/>
          <w:i w:val="0"/>
          <w:iCs w:val="0"/>
          <w:color w:val="auto"/>
          <w:sz w:val="24"/>
          <w:szCs w:val="24"/>
        </w:rPr>
        <w:t xml:space="preserve">ent et </w:t>
      </w:r>
      <w:r w:rsidR="005C7423" w:rsidRPr="007B3B64">
        <w:rPr>
          <w:rFonts w:asciiTheme="majorBidi" w:hAnsiTheme="majorBidi"/>
          <w:b/>
          <w:bCs/>
          <w:i w:val="0"/>
          <w:iCs w:val="0"/>
          <w:color w:val="auto"/>
          <w:sz w:val="24"/>
          <w:szCs w:val="24"/>
        </w:rPr>
        <w:t>Asie de Sud-</w:t>
      </w:r>
      <w:r w:rsidR="00C04BD7" w:rsidRPr="007B3B64">
        <w:rPr>
          <w:rFonts w:asciiTheme="majorBidi" w:hAnsiTheme="majorBidi"/>
          <w:b/>
          <w:bCs/>
          <w:i w:val="0"/>
          <w:iCs w:val="0"/>
          <w:color w:val="auto"/>
          <w:sz w:val="24"/>
          <w:szCs w:val="24"/>
        </w:rPr>
        <w:t>Est</w:t>
      </w:r>
      <w:bookmarkEnd w:id="243"/>
    </w:p>
    <w:p w14:paraId="5F5D7DAF" w14:textId="47DCD4C5" w:rsidR="002760B2" w:rsidRPr="00C55304" w:rsidRDefault="005C7423" w:rsidP="006C1230">
      <w:pPr>
        <w:tabs>
          <w:tab w:val="left" w:pos="0"/>
        </w:tabs>
        <w:suppressAutoHyphens/>
        <w:spacing w:before="120" w:line="300" w:lineRule="auto"/>
        <w:ind w:firstLine="709"/>
        <w:rPr>
          <w:rFonts w:ascii="Times New Roman" w:hAnsi="Times New Roman" w:cs="Times New Roman"/>
          <w:kern w:val="24"/>
          <w:sz w:val="24"/>
          <w:szCs w:val="24"/>
        </w:rPr>
      </w:pPr>
      <w:r w:rsidRPr="00C55304">
        <w:rPr>
          <w:rFonts w:ascii="Times New Roman" w:hAnsi="Times New Roman" w:cs="Times New Roman"/>
          <w:kern w:val="24"/>
          <w:sz w:val="24"/>
          <w:szCs w:val="24"/>
        </w:rPr>
        <w:t>Le Moyen-</w:t>
      </w:r>
      <w:r w:rsidR="002760B2" w:rsidRPr="00C55304">
        <w:rPr>
          <w:rFonts w:ascii="Times New Roman" w:hAnsi="Times New Roman" w:cs="Times New Roman"/>
          <w:kern w:val="24"/>
          <w:sz w:val="24"/>
          <w:szCs w:val="24"/>
        </w:rPr>
        <w:t xml:space="preserve">Orient a enregistré une croissance exceptionnelle en termes de produits financiers </w:t>
      </w:r>
      <w:r w:rsidR="00505EDD" w:rsidRPr="00C55304">
        <w:rPr>
          <w:rFonts w:ascii="Times New Roman" w:hAnsi="Times New Roman" w:cs="Times New Roman"/>
          <w:kern w:val="24"/>
          <w:sz w:val="24"/>
          <w:szCs w:val="24"/>
        </w:rPr>
        <w:t>i</w:t>
      </w:r>
      <w:r w:rsidR="003773C6" w:rsidRPr="00C55304">
        <w:rPr>
          <w:rFonts w:ascii="Times New Roman" w:hAnsi="Times New Roman" w:cs="Times New Roman"/>
          <w:kern w:val="24"/>
          <w:sz w:val="24"/>
          <w:szCs w:val="24"/>
        </w:rPr>
        <w:t>slamique</w:t>
      </w:r>
      <w:r w:rsidR="002760B2" w:rsidRPr="00C55304">
        <w:rPr>
          <w:rFonts w:ascii="Times New Roman" w:hAnsi="Times New Roman" w:cs="Times New Roman"/>
          <w:kern w:val="24"/>
          <w:sz w:val="24"/>
          <w:szCs w:val="24"/>
        </w:rPr>
        <w:t>s proposés, a</w:t>
      </w:r>
      <w:r w:rsidRPr="00C55304">
        <w:rPr>
          <w:rFonts w:ascii="Times New Roman" w:hAnsi="Times New Roman" w:cs="Times New Roman"/>
          <w:kern w:val="24"/>
          <w:sz w:val="24"/>
          <w:szCs w:val="24"/>
        </w:rPr>
        <w:t>insi qu’en termes d’actifs sous-</w:t>
      </w:r>
      <w:r w:rsidR="002760B2" w:rsidRPr="00C55304">
        <w:rPr>
          <w:rFonts w:ascii="Times New Roman" w:hAnsi="Times New Roman" w:cs="Times New Roman"/>
          <w:kern w:val="24"/>
          <w:sz w:val="24"/>
          <w:szCs w:val="24"/>
        </w:rPr>
        <w:t xml:space="preserve">gestion. Il constitue l’axe principal où s’accroissent les fonds </w:t>
      </w:r>
      <w:r w:rsidR="008949B6" w:rsidRPr="00C55304">
        <w:rPr>
          <w:rFonts w:ascii="Times New Roman" w:hAnsi="Times New Roman" w:cs="Times New Roman"/>
          <w:kern w:val="24"/>
          <w:sz w:val="24"/>
          <w:szCs w:val="24"/>
        </w:rPr>
        <w:t>i</w:t>
      </w:r>
      <w:r w:rsidR="003773C6" w:rsidRPr="00C55304">
        <w:rPr>
          <w:rFonts w:ascii="Times New Roman" w:hAnsi="Times New Roman" w:cs="Times New Roman"/>
          <w:kern w:val="24"/>
          <w:sz w:val="24"/>
          <w:szCs w:val="24"/>
        </w:rPr>
        <w:t>slamique</w:t>
      </w:r>
      <w:r w:rsidR="00035AC3" w:rsidRPr="00C55304">
        <w:rPr>
          <w:rFonts w:ascii="Times New Roman" w:hAnsi="Times New Roman" w:cs="Times New Roman"/>
          <w:kern w:val="24"/>
          <w:sz w:val="24"/>
          <w:szCs w:val="24"/>
        </w:rPr>
        <w:t>s</w:t>
      </w:r>
      <w:r w:rsidR="001C39ED" w:rsidRPr="00C55304">
        <w:rPr>
          <w:rFonts w:ascii="Times New Roman" w:hAnsi="Times New Roman" w:cs="Times New Roman"/>
          <w:kern w:val="24"/>
          <w:sz w:val="24"/>
          <w:szCs w:val="24"/>
        </w:rPr>
        <w:t>.</w:t>
      </w:r>
      <w:r w:rsidR="002760B2" w:rsidRPr="00C55304">
        <w:rPr>
          <w:rFonts w:ascii="Times New Roman" w:hAnsi="Times New Roman" w:cs="Times New Roman"/>
          <w:kern w:val="24"/>
          <w:sz w:val="24"/>
          <w:szCs w:val="24"/>
        </w:rPr>
        <w:t xml:space="preserve"> L’activité financière </w:t>
      </w:r>
      <w:r w:rsidR="003773C6" w:rsidRPr="00C55304">
        <w:rPr>
          <w:rFonts w:ascii="Times New Roman" w:hAnsi="Times New Roman" w:cs="Times New Roman"/>
          <w:kern w:val="24"/>
          <w:sz w:val="24"/>
          <w:szCs w:val="24"/>
        </w:rPr>
        <w:t>islamique</w:t>
      </w:r>
      <w:r w:rsidR="002760B2" w:rsidRPr="00C55304">
        <w:rPr>
          <w:rFonts w:ascii="Times New Roman" w:hAnsi="Times New Roman" w:cs="Times New Roman"/>
          <w:kern w:val="24"/>
          <w:sz w:val="24"/>
          <w:szCs w:val="24"/>
        </w:rPr>
        <w:t xml:space="preserve"> dans cette région stratégique varie selon le pays</w:t>
      </w:r>
      <w:r w:rsidR="001C4C52" w:rsidRPr="00C55304">
        <w:rPr>
          <w:rFonts w:ascii="Times New Roman" w:hAnsi="Times New Roman" w:cs="Times New Roman"/>
          <w:kern w:val="24"/>
          <w:sz w:val="24"/>
          <w:szCs w:val="24"/>
        </w:rPr>
        <w:t> ;</w:t>
      </w:r>
      <w:r w:rsidR="002760B2" w:rsidRPr="00C55304">
        <w:rPr>
          <w:rFonts w:ascii="Times New Roman" w:hAnsi="Times New Roman" w:cs="Times New Roman"/>
          <w:kern w:val="24"/>
          <w:sz w:val="24"/>
          <w:szCs w:val="24"/>
        </w:rPr>
        <w:t xml:space="preserve"> l’Arabie Saoudite, Bahreïn et le Koweït disposent d’un système bancaire </w:t>
      </w:r>
      <w:r w:rsidR="008949B6" w:rsidRPr="00C55304">
        <w:rPr>
          <w:rFonts w:ascii="Times New Roman" w:hAnsi="Times New Roman" w:cs="Times New Roman"/>
          <w:kern w:val="24"/>
          <w:sz w:val="24"/>
          <w:szCs w:val="24"/>
        </w:rPr>
        <w:t>i</w:t>
      </w:r>
      <w:r w:rsidR="003773C6" w:rsidRPr="00C55304">
        <w:rPr>
          <w:rFonts w:ascii="Times New Roman" w:hAnsi="Times New Roman" w:cs="Times New Roman"/>
          <w:kern w:val="24"/>
          <w:sz w:val="24"/>
          <w:szCs w:val="24"/>
        </w:rPr>
        <w:t>slamique</w:t>
      </w:r>
      <w:r w:rsidR="002760B2" w:rsidRPr="00C55304">
        <w:rPr>
          <w:rFonts w:ascii="Times New Roman" w:hAnsi="Times New Roman" w:cs="Times New Roman"/>
          <w:kern w:val="24"/>
          <w:sz w:val="24"/>
          <w:szCs w:val="24"/>
        </w:rPr>
        <w:t xml:space="preserve"> mature, alors que d’autres pays sont encore en voie de renforcement de leur marché bancaire </w:t>
      </w:r>
      <w:r w:rsidR="008949B6" w:rsidRPr="00C55304">
        <w:rPr>
          <w:rFonts w:ascii="Times New Roman" w:hAnsi="Times New Roman" w:cs="Times New Roman"/>
          <w:kern w:val="24"/>
          <w:sz w:val="24"/>
          <w:szCs w:val="24"/>
        </w:rPr>
        <w:t>i</w:t>
      </w:r>
      <w:r w:rsidR="003773C6" w:rsidRPr="00C55304">
        <w:rPr>
          <w:rFonts w:ascii="Times New Roman" w:hAnsi="Times New Roman" w:cs="Times New Roman"/>
          <w:kern w:val="24"/>
          <w:sz w:val="24"/>
          <w:szCs w:val="24"/>
        </w:rPr>
        <w:t>slamique</w:t>
      </w:r>
      <w:r w:rsidR="002760B2" w:rsidRPr="00C55304">
        <w:rPr>
          <w:rFonts w:ascii="Times New Roman" w:hAnsi="Times New Roman" w:cs="Times New Roman"/>
          <w:kern w:val="24"/>
          <w:sz w:val="24"/>
          <w:szCs w:val="24"/>
        </w:rPr>
        <w:t>.</w:t>
      </w:r>
    </w:p>
    <w:p w14:paraId="20AB7C31" w14:textId="77777777" w:rsidR="002760B2" w:rsidRPr="00C55304" w:rsidRDefault="002760B2" w:rsidP="006C1230">
      <w:pPr>
        <w:tabs>
          <w:tab w:val="left" w:pos="0"/>
        </w:tabs>
        <w:suppressAutoHyphens/>
        <w:spacing w:before="120" w:line="300" w:lineRule="auto"/>
        <w:ind w:firstLine="709"/>
        <w:rPr>
          <w:rFonts w:ascii="Times New Roman" w:hAnsi="Times New Roman" w:cs="Times New Roman"/>
          <w:kern w:val="24"/>
          <w:sz w:val="24"/>
          <w:szCs w:val="24"/>
        </w:rPr>
      </w:pPr>
      <w:r w:rsidRPr="00C55304">
        <w:rPr>
          <w:rFonts w:ascii="Times New Roman" w:hAnsi="Times New Roman" w:cs="Times New Roman"/>
          <w:kern w:val="24"/>
          <w:sz w:val="24"/>
          <w:szCs w:val="24"/>
        </w:rPr>
        <w:t xml:space="preserve">Les pays d’Asie du Sud-est sont, également, considérés comme les précurseurs de la FI, surtout l’Indonésie et la Malaisie. Cette dernière est qualifiée d’être le premier centre mondial en termes d’efficience bancaire </w:t>
      </w:r>
      <w:r w:rsidR="008949B6" w:rsidRPr="00C55304">
        <w:rPr>
          <w:rFonts w:ascii="Times New Roman" w:hAnsi="Times New Roman" w:cs="Times New Roman"/>
          <w:kern w:val="24"/>
          <w:sz w:val="24"/>
          <w:szCs w:val="24"/>
        </w:rPr>
        <w:t>i</w:t>
      </w:r>
      <w:r w:rsidR="003773C6" w:rsidRPr="00C55304">
        <w:rPr>
          <w:rFonts w:ascii="Times New Roman" w:hAnsi="Times New Roman" w:cs="Times New Roman"/>
          <w:kern w:val="24"/>
          <w:sz w:val="24"/>
          <w:szCs w:val="24"/>
        </w:rPr>
        <w:t>slamique</w:t>
      </w:r>
      <w:r w:rsidRPr="00C55304">
        <w:rPr>
          <w:rFonts w:ascii="Times New Roman" w:hAnsi="Times New Roman" w:cs="Times New Roman"/>
          <w:kern w:val="24"/>
          <w:sz w:val="24"/>
          <w:szCs w:val="24"/>
        </w:rPr>
        <w:t xml:space="preserve">. Selon Badlisyah </w:t>
      </w:r>
      <w:r w:rsidRPr="00C55304">
        <w:rPr>
          <w:rFonts w:ascii="Times New Roman" w:hAnsi="Times New Roman" w:cs="Times New Roman"/>
          <w:smallCaps/>
          <w:kern w:val="24"/>
          <w:sz w:val="24"/>
          <w:szCs w:val="24"/>
        </w:rPr>
        <w:t>Abdul-Ghani</w:t>
      </w:r>
      <w:r w:rsidRPr="00C55304">
        <w:rPr>
          <w:rFonts w:ascii="Times New Roman" w:hAnsi="Times New Roman" w:cs="Times New Roman"/>
          <w:kern w:val="24"/>
          <w:sz w:val="24"/>
          <w:szCs w:val="24"/>
        </w:rPr>
        <w:t xml:space="preserve">, président de la branche </w:t>
      </w:r>
      <w:r w:rsidR="00505EDD" w:rsidRPr="00C55304">
        <w:rPr>
          <w:rFonts w:ascii="Times New Roman" w:hAnsi="Times New Roman" w:cs="Times New Roman"/>
          <w:kern w:val="24"/>
          <w:sz w:val="24"/>
          <w:szCs w:val="24"/>
        </w:rPr>
        <w:t>i</w:t>
      </w:r>
      <w:r w:rsidR="003773C6" w:rsidRPr="00C55304">
        <w:rPr>
          <w:rFonts w:ascii="Times New Roman" w:hAnsi="Times New Roman" w:cs="Times New Roman"/>
          <w:kern w:val="24"/>
          <w:sz w:val="24"/>
          <w:szCs w:val="24"/>
        </w:rPr>
        <w:t>slamique</w:t>
      </w:r>
      <w:r w:rsidRPr="00C55304">
        <w:rPr>
          <w:rFonts w:ascii="Times New Roman" w:hAnsi="Times New Roman" w:cs="Times New Roman"/>
          <w:kern w:val="24"/>
          <w:sz w:val="24"/>
          <w:szCs w:val="24"/>
        </w:rPr>
        <w:t xml:space="preserve"> </w:t>
      </w:r>
      <w:r w:rsidR="0041133B" w:rsidRPr="00C55304">
        <w:rPr>
          <w:rFonts w:ascii="Times New Roman" w:hAnsi="Times New Roman" w:cs="Times New Roman"/>
          <w:kern w:val="24"/>
          <w:sz w:val="24"/>
          <w:szCs w:val="24"/>
        </w:rPr>
        <w:t xml:space="preserve">de la banque </w:t>
      </w:r>
      <w:r w:rsidR="0069494F" w:rsidRPr="00C55304">
        <w:rPr>
          <w:rFonts w:ascii="Times New Roman" w:hAnsi="Times New Roman" w:cs="Times New Roman"/>
          <w:kern w:val="24"/>
          <w:sz w:val="24"/>
          <w:szCs w:val="24"/>
        </w:rPr>
        <w:t>m</w:t>
      </w:r>
      <w:r w:rsidR="0041133B" w:rsidRPr="00C55304">
        <w:rPr>
          <w:rFonts w:ascii="Times New Roman" w:hAnsi="Times New Roman" w:cs="Times New Roman"/>
          <w:kern w:val="24"/>
          <w:sz w:val="24"/>
          <w:szCs w:val="24"/>
        </w:rPr>
        <w:t xml:space="preserve">alaisienne CIMB : </w:t>
      </w:r>
      <w:r w:rsidRPr="00C55304">
        <w:rPr>
          <w:rFonts w:ascii="Times New Roman" w:hAnsi="Times New Roman" w:cs="Times New Roman"/>
          <w:kern w:val="24"/>
          <w:sz w:val="24"/>
          <w:szCs w:val="24"/>
        </w:rPr>
        <w:t>« </w:t>
      </w:r>
      <w:r w:rsidRPr="00C55304">
        <w:rPr>
          <w:rFonts w:ascii="Times New Roman" w:hAnsi="Times New Roman" w:cs="Times New Roman"/>
          <w:i/>
          <w:iCs/>
          <w:kern w:val="24"/>
          <w:sz w:val="24"/>
          <w:szCs w:val="24"/>
        </w:rPr>
        <w:t xml:space="preserve">La Malaisie est le seul pays au monde qui a établi un cadre légal clair concernant la </w:t>
      </w:r>
      <w:r w:rsidR="0069494F" w:rsidRPr="00C55304">
        <w:rPr>
          <w:rFonts w:ascii="Times New Roman" w:hAnsi="Times New Roman" w:cs="Times New Roman"/>
          <w:i/>
          <w:iCs/>
          <w:kern w:val="24"/>
          <w:sz w:val="24"/>
          <w:szCs w:val="24"/>
        </w:rPr>
        <w:t>finance islamique</w:t>
      </w:r>
      <w:r w:rsidRPr="00C55304">
        <w:rPr>
          <w:rFonts w:ascii="Times New Roman" w:hAnsi="Times New Roman" w:cs="Times New Roman"/>
          <w:i/>
          <w:iCs/>
          <w:kern w:val="24"/>
          <w:sz w:val="24"/>
          <w:szCs w:val="24"/>
        </w:rPr>
        <w:t>. Tout établissement basé ici jouit d’une crédibilité inégale ailleurs dans le monde</w:t>
      </w:r>
      <w:r w:rsidRPr="00C55304">
        <w:rPr>
          <w:rFonts w:ascii="Times New Roman" w:hAnsi="Times New Roman" w:cs="Times New Roman"/>
          <w:kern w:val="24"/>
          <w:sz w:val="24"/>
          <w:szCs w:val="24"/>
        </w:rPr>
        <w:t> »</w:t>
      </w:r>
      <w:r w:rsidR="00035AC3" w:rsidRPr="00C55304">
        <w:rPr>
          <w:rStyle w:val="Appelnotedebasdep"/>
          <w:rFonts w:ascii="Times New Roman" w:hAnsi="Times New Roman"/>
          <w:kern w:val="24"/>
          <w:sz w:val="24"/>
          <w:szCs w:val="24"/>
        </w:rPr>
        <w:footnoteReference w:id="82"/>
      </w:r>
      <w:r w:rsidRPr="00C55304">
        <w:rPr>
          <w:rFonts w:ascii="Times New Roman" w:hAnsi="Times New Roman" w:cs="Times New Roman"/>
          <w:kern w:val="24"/>
          <w:sz w:val="24"/>
          <w:szCs w:val="24"/>
        </w:rPr>
        <w:t>.</w:t>
      </w:r>
    </w:p>
    <w:p w14:paraId="6DC82091" w14:textId="77777777" w:rsidR="002760B2" w:rsidRPr="007B3B64" w:rsidRDefault="00DF41BC" w:rsidP="001C4C52">
      <w:pPr>
        <w:pStyle w:val="Titre6"/>
        <w:keepLines w:val="0"/>
        <w:spacing w:before="120" w:after="120" w:line="300" w:lineRule="auto"/>
        <w:ind w:firstLine="709"/>
        <w:rPr>
          <w:rFonts w:asciiTheme="majorBidi" w:hAnsiTheme="majorBidi"/>
          <w:b/>
          <w:bCs/>
          <w:i w:val="0"/>
          <w:iCs w:val="0"/>
          <w:color w:val="auto"/>
          <w:sz w:val="24"/>
          <w:szCs w:val="24"/>
        </w:rPr>
      </w:pPr>
      <w:bookmarkStart w:id="244" w:name="_Toc182298625"/>
      <w:r w:rsidRPr="007B3B64">
        <w:rPr>
          <w:rFonts w:asciiTheme="majorBidi" w:hAnsiTheme="majorBidi"/>
          <w:b/>
          <w:bCs/>
          <w:i w:val="0"/>
          <w:iCs w:val="0"/>
          <w:color w:val="auto"/>
          <w:sz w:val="24"/>
          <w:szCs w:val="24"/>
        </w:rPr>
        <w:lastRenderedPageBreak/>
        <w:t xml:space="preserve">1.4.3.4.2- </w:t>
      </w:r>
      <w:r w:rsidR="00C04BD7" w:rsidRPr="007B3B64">
        <w:rPr>
          <w:rFonts w:asciiTheme="majorBidi" w:hAnsiTheme="majorBidi"/>
          <w:b/>
          <w:bCs/>
          <w:i w:val="0"/>
          <w:iCs w:val="0"/>
          <w:color w:val="auto"/>
          <w:sz w:val="24"/>
          <w:szCs w:val="24"/>
        </w:rPr>
        <w:t>Europe</w:t>
      </w:r>
      <w:bookmarkEnd w:id="244"/>
    </w:p>
    <w:p w14:paraId="3196406E" w14:textId="5493025A" w:rsidR="005C7423" w:rsidRPr="006F09F7" w:rsidRDefault="00770256" w:rsidP="001C4C52">
      <w:pPr>
        <w:keepNext/>
        <w:spacing w:line="300" w:lineRule="auto"/>
        <w:ind w:firstLine="709"/>
        <w:rPr>
          <w:rFonts w:asciiTheme="majorBidi" w:hAnsiTheme="majorBidi" w:cstheme="majorBidi"/>
          <w:sz w:val="24"/>
          <w:szCs w:val="24"/>
        </w:rPr>
      </w:pPr>
      <w:r>
        <w:rPr>
          <w:rFonts w:asciiTheme="majorBidi" w:hAnsiTheme="majorBidi" w:cstheme="majorBidi"/>
          <w:sz w:val="24"/>
          <w:szCs w:val="24"/>
          <w:shd w:val="clear" w:color="auto" w:fill="FFFFFF"/>
        </w:rPr>
        <w:t>En général, l</w:t>
      </w:r>
      <w:r w:rsidRPr="00C55304">
        <w:rPr>
          <w:rFonts w:asciiTheme="majorBidi" w:hAnsiTheme="majorBidi" w:cstheme="majorBidi"/>
          <w:sz w:val="24"/>
          <w:szCs w:val="24"/>
          <w:shd w:val="clear" w:color="auto" w:fill="FFFFFF"/>
        </w:rPr>
        <w:t xml:space="preserve">a finance islamique mondiale se porte bien. </w:t>
      </w:r>
      <w:r w:rsidR="005C7423" w:rsidRPr="00CB18E6">
        <w:rPr>
          <w:rFonts w:asciiTheme="majorBidi" w:hAnsiTheme="majorBidi" w:cstheme="majorBidi"/>
          <w:sz w:val="24"/>
          <w:szCs w:val="24"/>
        </w:rPr>
        <w:t>L’intérêt de l’Europe pour la banque islamique date depuis le début des années 1980</w:t>
      </w:r>
      <w:r w:rsidR="00636853" w:rsidRPr="00CB18E6">
        <w:rPr>
          <w:rFonts w:asciiTheme="majorBidi" w:hAnsiTheme="majorBidi" w:cstheme="majorBidi"/>
          <w:sz w:val="24"/>
          <w:szCs w:val="24"/>
        </w:rPr>
        <w:t>.</w:t>
      </w:r>
      <w:r w:rsidR="00CB18E6">
        <w:rPr>
          <w:rFonts w:asciiTheme="majorBidi" w:hAnsiTheme="majorBidi" w:cstheme="majorBidi"/>
          <w:sz w:val="24"/>
          <w:szCs w:val="24"/>
        </w:rPr>
        <w:t xml:space="preserve"> </w:t>
      </w:r>
      <w:r w:rsidR="0049607B" w:rsidRPr="006F09F7">
        <w:rPr>
          <w:rFonts w:ascii="Times New Roman" w:hAnsi="Times New Roman" w:cs="Times New Roman"/>
          <w:sz w:val="24"/>
          <w:szCs w:val="24"/>
        </w:rPr>
        <w:t xml:space="preserve">La </w:t>
      </w:r>
      <w:r w:rsidR="0049607B" w:rsidRPr="006F09F7">
        <w:rPr>
          <w:rFonts w:ascii="Times New Roman" w:hAnsi="Times New Roman" w:cs="Times New Roman"/>
          <w:b/>
          <w:bCs/>
          <w:sz w:val="24"/>
          <w:szCs w:val="24"/>
        </w:rPr>
        <w:t>Suisse</w:t>
      </w:r>
      <w:r w:rsidR="0049607B" w:rsidRPr="006F09F7">
        <w:rPr>
          <w:rFonts w:ascii="Times New Roman" w:hAnsi="Times New Roman" w:cs="Times New Roman"/>
          <w:sz w:val="24"/>
          <w:szCs w:val="24"/>
        </w:rPr>
        <w:t xml:space="preserve"> a vu l’impla</w:t>
      </w:r>
      <w:r w:rsidR="0096663C" w:rsidRPr="006F09F7">
        <w:rPr>
          <w:rFonts w:ascii="Times New Roman" w:hAnsi="Times New Roman" w:cs="Times New Roman"/>
          <w:sz w:val="24"/>
          <w:szCs w:val="24"/>
        </w:rPr>
        <w:t xml:space="preserve">ntation de </w:t>
      </w:r>
      <w:r w:rsidR="0096663C" w:rsidRPr="006F09F7">
        <w:rPr>
          <w:rFonts w:ascii="Times New Roman" w:hAnsi="Times New Roman" w:cs="Times New Roman"/>
          <w:b/>
          <w:bCs/>
          <w:sz w:val="24"/>
          <w:szCs w:val="24"/>
        </w:rPr>
        <w:t>Dar al-Maal al-Islami</w:t>
      </w:r>
      <w:r w:rsidR="0096663C" w:rsidRPr="006F09F7">
        <w:rPr>
          <w:rFonts w:ascii="Times New Roman" w:hAnsi="Times New Roman" w:cs="Times New Roman"/>
          <w:sz w:val="24"/>
          <w:szCs w:val="24"/>
        </w:rPr>
        <w:t xml:space="preserve"> </w:t>
      </w:r>
      <w:r w:rsidR="0072726A" w:rsidRPr="006F09F7">
        <w:rPr>
          <w:rFonts w:ascii="Times New Roman" w:hAnsi="Times New Roman" w:cs="Times New Roman"/>
          <w:sz w:val="24"/>
          <w:szCs w:val="24"/>
        </w:rPr>
        <w:t>(</w:t>
      </w:r>
      <w:r w:rsidR="0072726A" w:rsidRPr="006F09F7">
        <w:rPr>
          <w:rFonts w:ascii="Times New Roman" w:hAnsi="Times New Roman" w:cs="Times New Roman"/>
          <w:b/>
          <w:bCs/>
          <w:sz w:val="24"/>
          <w:szCs w:val="24"/>
        </w:rPr>
        <w:t>DMI</w:t>
      </w:r>
      <w:r w:rsidR="0072726A" w:rsidRPr="006F09F7">
        <w:rPr>
          <w:rFonts w:ascii="Times New Roman" w:hAnsi="Times New Roman" w:cs="Times New Roman"/>
          <w:sz w:val="24"/>
          <w:szCs w:val="24"/>
        </w:rPr>
        <w:t xml:space="preserve">) </w:t>
      </w:r>
      <w:r w:rsidR="0096663C" w:rsidRPr="006F09F7">
        <w:rPr>
          <w:rFonts w:ascii="Times New Roman" w:hAnsi="Times New Roman" w:cs="Times New Roman"/>
          <w:sz w:val="24"/>
          <w:szCs w:val="24"/>
        </w:rPr>
        <w:t xml:space="preserve">à Genève en 1981, filiale de la holding </w:t>
      </w:r>
      <w:r w:rsidR="00E13FA6" w:rsidRPr="006F09F7">
        <w:rPr>
          <w:rFonts w:ascii="Times New Roman" w:hAnsi="Times New Roman" w:cs="Times New Roman"/>
          <w:sz w:val="24"/>
          <w:szCs w:val="24"/>
        </w:rPr>
        <w:t>saoudienne</w:t>
      </w:r>
      <w:r w:rsidR="0096663C" w:rsidRPr="006F09F7">
        <w:rPr>
          <w:rFonts w:ascii="Times New Roman" w:hAnsi="Times New Roman" w:cs="Times New Roman"/>
          <w:sz w:val="24"/>
          <w:szCs w:val="24"/>
        </w:rPr>
        <w:t xml:space="preserve"> </w:t>
      </w:r>
      <w:r w:rsidR="0072726A" w:rsidRPr="006F09F7">
        <w:rPr>
          <w:rFonts w:ascii="Times New Roman" w:hAnsi="Times New Roman" w:cs="Times New Roman"/>
          <w:sz w:val="24"/>
          <w:szCs w:val="24"/>
        </w:rPr>
        <w:t>« </w:t>
      </w:r>
      <w:r w:rsidR="00B04638" w:rsidRPr="006F09F7">
        <w:rPr>
          <w:rFonts w:ascii="Times New Roman" w:hAnsi="Times New Roman" w:cs="Times New Roman"/>
          <w:sz w:val="24"/>
          <w:szCs w:val="24"/>
        </w:rPr>
        <w:t>F</w:t>
      </w:r>
      <w:r w:rsidR="0072726A" w:rsidRPr="006F09F7">
        <w:rPr>
          <w:rFonts w:ascii="Times New Roman" w:hAnsi="Times New Roman" w:cs="Times New Roman"/>
          <w:sz w:val="24"/>
          <w:szCs w:val="24"/>
        </w:rPr>
        <w:t xml:space="preserve">aisal </w:t>
      </w:r>
      <w:r w:rsidR="00B04638" w:rsidRPr="006F09F7">
        <w:rPr>
          <w:rFonts w:ascii="Times New Roman" w:hAnsi="Times New Roman" w:cs="Times New Roman"/>
          <w:sz w:val="24"/>
          <w:szCs w:val="24"/>
        </w:rPr>
        <w:t>F</w:t>
      </w:r>
      <w:r w:rsidR="0072726A" w:rsidRPr="006F09F7">
        <w:rPr>
          <w:rFonts w:ascii="Times New Roman" w:hAnsi="Times New Roman" w:cs="Times New Roman"/>
          <w:sz w:val="24"/>
          <w:szCs w:val="24"/>
        </w:rPr>
        <w:t>inance »</w:t>
      </w:r>
      <w:r>
        <w:rPr>
          <w:rFonts w:ascii="Times New Roman" w:hAnsi="Times New Roman" w:cs="Times New Roman"/>
          <w:sz w:val="24"/>
          <w:szCs w:val="24"/>
        </w:rPr>
        <w:t>, d</w:t>
      </w:r>
      <w:r w:rsidR="0072726A" w:rsidRPr="006F09F7">
        <w:rPr>
          <w:rFonts w:ascii="Times New Roman" w:hAnsi="Times New Roman" w:cs="Times New Roman"/>
          <w:sz w:val="24"/>
          <w:szCs w:val="24"/>
        </w:rPr>
        <w:t xml:space="preserve">evenue un puissant groupe financier islamique installé dans plusieurs pays du monde. </w:t>
      </w:r>
      <w:r w:rsidR="0072726A" w:rsidRPr="006F09F7">
        <w:rPr>
          <w:rFonts w:asciiTheme="majorBidi" w:hAnsiTheme="majorBidi" w:cstheme="majorBidi"/>
          <w:color w:val="000000"/>
          <w:spacing w:val="4"/>
          <w:sz w:val="24"/>
          <w:szCs w:val="24"/>
          <w:shd w:val="clear" w:color="auto" w:fill="FFFFFF"/>
        </w:rPr>
        <w:t>La finance islamique continue son développement au sein des pays de l’</w:t>
      </w:r>
      <w:r w:rsidR="00893482">
        <w:rPr>
          <w:rFonts w:asciiTheme="majorBidi" w:hAnsiTheme="majorBidi" w:cstheme="majorBidi"/>
          <w:color w:val="000000"/>
          <w:spacing w:val="4"/>
          <w:sz w:val="24"/>
          <w:szCs w:val="24"/>
          <w:shd w:val="clear" w:color="auto" w:fill="FFFFFF"/>
        </w:rPr>
        <w:t>U</w:t>
      </w:r>
      <w:r w:rsidR="0072726A" w:rsidRPr="006F09F7">
        <w:rPr>
          <w:rFonts w:asciiTheme="majorBidi" w:hAnsiTheme="majorBidi" w:cstheme="majorBidi"/>
          <w:color w:val="000000"/>
          <w:spacing w:val="4"/>
          <w:sz w:val="24"/>
          <w:szCs w:val="24"/>
          <w:shd w:val="clear" w:color="auto" w:fill="FFFFFF"/>
        </w:rPr>
        <w:t xml:space="preserve">nion européenne notamment dans le Royaume-Uni, Luxembourg, France </w:t>
      </w:r>
      <w:r w:rsidR="008628CD" w:rsidRPr="006F09F7">
        <w:rPr>
          <w:rFonts w:asciiTheme="majorBidi" w:hAnsiTheme="majorBidi" w:cstheme="majorBidi"/>
          <w:color w:val="000000"/>
          <w:spacing w:val="4"/>
          <w:sz w:val="24"/>
          <w:szCs w:val="24"/>
          <w:shd w:val="clear" w:color="auto" w:fill="FFFFFF"/>
        </w:rPr>
        <w:t>et Allemagne.</w:t>
      </w:r>
    </w:p>
    <w:p w14:paraId="6C328936" w14:textId="6D9A5A62" w:rsidR="003773C6" w:rsidRPr="007B3B64" w:rsidRDefault="003773C6" w:rsidP="0062706A">
      <w:pPr>
        <w:pStyle w:val="Titre7"/>
        <w:keepNext w:val="0"/>
        <w:keepLines w:val="0"/>
        <w:suppressAutoHyphens/>
        <w:spacing w:before="120" w:after="120" w:line="300" w:lineRule="auto"/>
        <w:ind w:firstLine="709"/>
        <w:rPr>
          <w:rFonts w:asciiTheme="majorBidi" w:hAnsiTheme="majorBidi"/>
          <w:b/>
          <w:bCs/>
          <w:i w:val="0"/>
          <w:iCs w:val="0"/>
          <w:color w:val="auto"/>
          <w:sz w:val="24"/>
          <w:szCs w:val="24"/>
        </w:rPr>
      </w:pPr>
      <w:bookmarkStart w:id="245" w:name="_Toc182298626"/>
      <w:r w:rsidRPr="007B3B64">
        <w:rPr>
          <w:rFonts w:asciiTheme="majorBidi" w:hAnsiTheme="majorBidi"/>
          <w:b/>
          <w:bCs/>
          <w:i w:val="0"/>
          <w:iCs w:val="0"/>
          <w:color w:val="auto"/>
          <w:sz w:val="24"/>
          <w:szCs w:val="24"/>
        </w:rPr>
        <w:t>1.4.3.4.2.1- Royaume-Uni</w:t>
      </w:r>
      <w:bookmarkEnd w:id="245"/>
    </w:p>
    <w:p w14:paraId="69C6C0DE" w14:textId="4B52D587" w:rsidR="002760B2" w:rsidRPr="006F09F7" w:rsidRDefault="003773C6" w:rsidP="006C1230">
      <w:pPr>
        <w:tabs>
          <w:tab w:val="left" w:pos="0"/>
        </w:tabs>
        <w:suppressAutoHyphens/>
        <w:spacing w:before="120" w:line="300" w:lineRule="auto"/>
        <w:ind w:firstLine="709"/>
        <w:rPr>
          <w:rFonts w:ascii="Times New Roman" w:hAnsi="Times New Roman" w:cs="Times New Roman"/>
          <w:sz w:val="24"/>
          <w:szCs w:val="24"/>
        </w:rPr>
      </w:pPr>
      <w:r w:rsidRPr="006F09F7">
        <w:rPr>
          <w:rFonts w:ascii="Times New Roman" w:hAnsi="Times New Roman" w:cs="Times New Roman"/>
          <w:b/>
          <w:bCs/>
          <w:sz w:val="24"/>
          <w:szCs w:val="24"/>
        </w:rPr>
        <w:t>C’</w:t>
      </w:r>
      <w:r w:rsidR="002760B2" w:rsidRPr="006F09F7">
        <w:rPr>
          <w:rFonts w:ascii="Times New Roman" w:hAnsi="Times New Roman" w:cs="Times New Roman"/>
          <w:sz w:val="24"/>
          <w:szCs w:val="24"/>
        </w:rPr>
        <w:t xml:space="preserve">est le pays européen où la FI est la plus développée. Selon </w:t>
      </w:r>
      <w:r w:rsidR="002760B2" w:rsidRPr="006F09F7">
        <w:rPr>
          <w:rFonts w:ascii="Times New Roman" w:hAnsi="Times New Roman" w:cs="Times New Roman"/>
          <w:smallCaps/>
          <w:sz w:val="24"/>
          <w:szCs w:val="24"/>
        </w:rPr>
        <w:t>Ahmad</w:t>
      </w:r>
      <w:r w:rsidR="00DF41BC" w:rsidRPr="006F09F7">
        <w:rPr>
          <w:rFonts w:ascii="Times New Roman" w:hAnsi="Times New Roman" w:cs="Times New Roman"/>
          <w:sz w:val="24"/>
          <w:szCs w:val="24"/>
        </w:rPr>
        <w:t xml:space="preserve"> (2008), </w:t>
      </w:r>
      <w:r w:rsidR="002760B2" w:rsidRPr="006F09F7">
        <w:rPr>
          <w:rFonts w:ascii="Times New Roman" w:hAnsi="Times New Roman" w:cs="Times New Roman"/>
          <w:sz w:val="24"/>
          <w:szCs w:val="24"/>
        </w:rPr>
        <w:t>« </w:t>
      </w:r>
      <w:r w:rsidR="002760B2" w:rsidRPr="006F09F7">
        <w:rPr>
          <w:rFonts w:ascii="Times New Roman" w:hAnsi="Times New Roman" w:cs="Times New Roman"/>
          <w:i/>
          <w:iCs/>
          <w:sz w:val="24"/>
          <w:szCs w:val="24"/>
        </w:rPr>
        <w:t xml:space="preserve">Le Royaume-Uni est considéré comme le hub du secteur bancaire </w:t>
      </w:r>
      <w:r w:rsidR="008949B6" w:rsidRPr="006F09F7">
        <w:rPr>
          <w:rFonts w:ascii="Times New Roman" w:hAnsi="Times New Roman" w:cs="Times New Roman"/>
          <w:i/>
          <w:sz w:val="24"/>
          <w:szCs w:val="24"/>
        </w:rPr>
        <w:t>i</w:t>
      </w:r>
      <w:r w:rsidRPr="006F09F7">
        <w:rPr>
          <w:rFonts w:ascii="Times New Roman" w:hAnsi="Times New Roman" w:cs="Times New Roman"/>
          <w:i/>
          <w:sz w:val="24"/>
          <w:szCs w:val="24"/>
        </w:rPr>
        <w:t>slamique</w:t>
      </w:r>
      <w:r w:rsidR="002760B2" w:rsidRPr="006F09F7">
        <w:rPr>
          <w:rFonts w:ascii="Times New Roman" w:hAnsi="Times New Roman" w:cs="Times New Roman"/>
          <w:i/>
          <w:iCs/>
          <w:sz w:val="24"/>
          <w:szCs w:val="24"/>
        </w:rPr>
        <w:t xml:space="preserve"> en Europe. Il dispose d’un secteur financier très développé grâce à la croissance rapide de la population musulmane dans cette région</w:t>
      </w:r>
      <w:r w:rsidR="002760B2" w:rsidRPr="006F09F7">
        <w:rPr>
          <w:rFonts w:ascii="Times New Roman" w:hAnsi="Times New Roman" w:cs="Times New Roman"/>
          <w:sz w:val="24"/>
          <w:szCs w:val="24"/>
        </w:rPr>
        <w:t> »</w:t>
      </w:r>
      <w:r w:rsidR="002760B2" w:rsidRPr="006F09F7">
        <w:rPr>
          <w:rStyle w:val="Appelnotedebasdep"/>
          <w:rFonts w:ascii="Times New Roman" w:hAnsi="Times New Roman"/>
          <w:sz w:val="24"/>
          <w:szCs w:val="24"/>
        </w:rPr>
        <w:footnoteReference w:id="83"/>
      </w:r>
      <w:r w:rsidR="002760B2" w:rsidRPr="006F09F7">
        <w:rPr>
          <w:rFonts w:ascii="Times New Roman" w:hAnsi="Times New Roman" w:cs="Times New Roman"/>
          <w:sz w:val="24"/>
          <w:szCs w:val="24"/>
        </w:rPr>
        <w:t>. Son étude qui a porté sur les opportunités et les défis de la FI (secteur bancaire) au Royaume-Uni indique qu’il existe des opportunités importantes dans ce pays qui favorisent la croissance de la FI</w:t>
      </w:r>
      <w:r w:rsidR="00893482">
        <w:rPr>
          <w:rFonts w:ascii="Times New Roman" w:hAnsi="Times New Roman" w:cs="Times New Roman"/>
          <w:sz w:val="24"/>
          <w:szCs w:val="24"/>
        </w:rPr>
        <w:t xml:space="preserve"> grâce</w:t>
      </w:r>
      <w:r w:rsidR="002760B2" w:rsidRPr="006F09F7">
        <w:rPr>
          <w:rFonts w:ascii="Times New Roman" w:hAnsi="Times New Roman" w:cs="Times New Roman"/>
          <w:sz w:val="24"/>
          <w:szCs w:val="24"/>
        </w:rPr>
        <w:t xml:space="preserve"> à la volonté de la communauté musulmane de recourir à des produits financiers </w:t>
      </w:r>
      <w:r w:rsidR="008949B6" w:rsidRPr="006F09F7">
        <w:rPr>
          <w:rFonts w:ascii="Times New Roman" w:hAnsi="Times New Roman" w:cs="Times New Roman"/>
          <w:sz w:val="24"/>
          <w:szCs w:val="24"/>
        </w:rPr>
        <w:t>i</w:t>
      </w:r>
      <w:r w:rsidRPr="006F09F7">
        <w:rPr>
          <w:rFonts w:ascii="Times New Roman" w:hAnsi="Times New Roman" w:cs="Times New Roman"/>
          <w:sz w:val="24"/>
          <w:szCs w:val="24"/>
        </w:rPr>
        <w:t>slamique</w:t>
      </w:r>
      <w:r w:rsidR="002760B2" w:rsidRPr="006F09F7">
        <w:rPr>
          <w:rFonts w:ascii="Times New Roman" w:hAnsi="Times New Roman" w:cs="Times New Roman"/>
          <w:sz w:val="24"/>
          <w:szCs w:val="24"/>
        </w:rPr>
        <w:t>s afin d’honorer leurs engagements religieux.</w:t>
      </w:r>
    </w:p>
    <w:p w14:paraId="08E2065A" w14:textId="0ABB9EFD" w:rsidR="002760B2" w:rsidRPr="006F09F7" w:rsidRDefault="002760B2" w:rsidP="006C1230">
      <w:pPr>
        <w:tabs>
          <w:tab w:val="left" w:pos="0"/>
        </w:tabs>
        <w:suppressAutoHyphens/>
        <w:spacing w:before="120" w:line="300" w:lineRule="auto"/>
        <w:ind w:firstLine="709"/>
        <w:rPr>
          <w:rFonts w:ascii="Times New Roman" w:hAnsi="Times New Roman" w:cs="Times New Roman"/>
          <w:sz w:val="24"/>
          <w:szCs w:val="24"/>
        </w:rPr>
      </w:pPr>
      <w:r w:rsidRPr="006F09F7">
        <w:rPr>
          <w:rFonts w:ascii="Times New Roman" w:hAnsi="Times New Roman" w:cs="Times New Roman"/>
          <w:sz w:val="24"/>
          <w:szCs w:val="24"/>
        </w:rPr>
        <w:t>L’implantation de la FI dans le Royaume-Uni s’opère de deux manières</w:t>
      </w:r>
      <w:r w:rsidR="00893482">
        <w:rPr>
          <w:rFonts w:ascii="Times New Roman" w:hAnsi="Times New Roman" w:cs="Times New Roman"/>
          <w:sz w:val="24"/>
          <w:szCs w:val="24"/>
        </w:rPr>
        <w:t>,</w:t>
      </w:r>
      <w:r w:rsidRPr="006F09F7">
        <w:rPr>
          <w:rFonts w:ascii="Times New Roman" w:hAnsi="Times New Roman" w:cs="Times New Roman"/>
          <w:sz w:val="24"/>
          <w:szCs w:val="24"/>
        </w:rPr>
        <w:t xml:space="preserve"> soit par la création de banques </w:t>
      </w:r>
      <w:r w:rsidR="008949B6" w:rsidRPr="006F09F7">
        <w:rPr>
          <w:rFonts w:ascii="Times New Roman" w:hAnsi="Times New Roman" w:cs="Times New Roman"/>
          <w:sz w:val="24"/>
          <w:szCs w:val="24"/>
        </w:rPr>
        <w:t>i</w:t>
      </w:r>
      <w:r w:rsidR="003773C6" w:rsidRPr="006F09F7">
        <w:rPr>
          <w:rFonts w:ascii="Times New Roman" w:hAnsi="Times New Roman" w:cs="Times New Roman"/>
          <w:sz w:val="24"/>
          <w:szCs w:val="24"/>
        </w:rPr>
        <w:t>slamique</w:t>
      </w:r>
      <w:r w:rsidRPr="006F09F7">
        <w:rPr>
          <w:rFonts w:ascii="Times New Roman" w:hAnsi="Times New Roman" w:cs="Times New Roman"/>
          <w:sz w:val="24"/>
          <w:szCs w:val="24"/>
        </w:rPr>
        <w:t xml:space="preserve">s, soit par l’intégration de cette branche dans les banques conventionnelles en ouvrant des </w:t>
      </w:r>
      <w:r w:rsidR="00893482">
        <w:rPr>
          <w:rFonts w:ascii="Times New Roman" w:hAnsi="Times New Roman" w:cs="Times New Roman"/>
          <w:sz w:val="24"/>
          <w:szCs w:val="24"/>
        </w:rPr>
        <w:t>« </w:t>
      </w:r>
      <w:r w:rsidR="00893482" w:rsidRPr="00C55304">
        <w:rPr>
          <w:rFonts w:ascii="Times New Roman" w:hAnsi="Times New Roman" w:cs="Times New Roman"/>
          <w:i/>
          <w:iCs/>
          <w:sz w:val="24"/>
          <w:szCs w:val="24"/>
        </w:rPr>
        <w:t>I</w:t>
      </w:r>
      <w:r w:rsidR="003773C6" w:rsidRPr="00C55304">
        <w:rPr>
          <w:rFonts w:ascii="Times New Roman" w:hAnsi="Times New Roman" w:cs="Times New Roman"/>
          <w:i/>
          <w:iCs/>
          <w:sz w:val="24"/>
          <w:szCs w:val="24"/>
        </w:rPr>
        <w:t>slami</w:t>
      </w:r>
      <w:r w:rsidR="00893482" w:rsidRPr="00C55304">
        <w:rPr>
          <w:rFonts w:ascii="Times New Roman" w:hAnsi="Times New Roman" w:cs="Times New Roman"/>
          <w:i/>
          <w:iCs/>
          <w:sz w:val="24"/>
          <w:szCs w:val="24"/>
        </w:rPr>
        <w:t>c windows</w:t>
      </w:r>
      <w:r w:rsidRPr="006F09F7">
        <w:rPr>
          <w:rFonts w:ascii="Times New Roman" w:hAnsi="Times New Roman" w:cs="Times New Roman"/>
          <w:sz w:val="24"/>
          <w:szCs w:val="24"/>
        </w:rPr>
        <w:t> ». Parmi ces banques</w:t>
      </w:r>
      <w:r w:rsidR="004B5A59" w:rsidRPr="006F09F7">
        <w:rPr>
          <w:rFonts w:ascii="Times New Roman" w:hAnsi="Times New Roman" w:cs="Times New Roman"/>
          <w:sz w:val="24"/>
          <w:szCs w:val="24"/>
        </w:rPr>
        <w:t xml:space="preserve">, </w:t>
      </w:r>
      <w:r w:rsidR="00893482">
        <w:rPr>
          <w:rFonts w:ascii="Times New Roman" w:hAnsi="Times New Roman" w:cs="Times New Roman"/>
          <w:sz w:val="24"/>
          <w:szCs w:val="24"/>
        </w:rPr>
        <w:t>nous citons</w:t>
      </w:r>
      <w:r w:rsidR="004B5A59" w:rsidRPr="006F09F7">
        <w:rPr>
          <w:rFonts w:ascii="Times New Roman" w:hAnsi="Times New Roman" w:cs="Times New Roman"/>
          <w:sz w:val="24"/>
          <w:szCs w:val="24"/>
        </w:rPr>
        <w:t xml:space="preserve"> </w:t>
      </w:r>
      <w:r w:rsidR="00F34669" w:rsidRPr="006F09F7">
        <w:rPr>
          <w:rFonts w:ascii="Times New Roman" w:hAnsi="Times New Roman" w:cs="Times New Roman"/>
          <w:sz w:val="24"/>
          <w:szCs w:val="24"/>
        </w:rPr>
        <w:t>Islam</w:t>
      </w:r>
      <w:r w:rsidR="004B5A59" w:rsidRPr="006F09F7">
        <w:rPr>
          <w:rFonts w:ascii="Times New Roman" w:hAnsi="Times New Roman" w:cs="Times New Roman"/>
          <w:sz w:val="24"/>
          <w:szCs w:val="24"/>
        </w:rPr>
        <w:t>ic</w:t>
      </w:r>
      <w:r w:rsidRPr="006F09F7">
        <w:rPr>
          <w:rFonts w:ascii="Times New Roman" w:hAnsi="Times New Roman" w:cs="Times New Roman"/>
          <w:sz w:val="24"/>
          <w:szCs w:val="24"/>
        </w:rPr>
        <w:t xml:space="preserve"> Bank of Britain </w:t>
      </w:r>
      <w:r w:rsidR="00893482">
        <w:rPr>
          <w:rFonts w:ascii="Times New Roman" w:hAnsi="Times New Roman" w:cs="Times New Roman"/>
          <w:sz w:val="24"/>
          <w:szCs w:val="24"/>
        </w:rPr>
        <w:t>(IBB),</w:t>
      </w:r>
      <w:r w:rsidRPr="006F09F7">
        <w:rPr>
          <w:rFonts w:ascii="Times New Roman" w:hAnsi="Times New Roman" w:cs="Times New Roman"/>
          <w:sz w:val="24"/>
          <w:szCs w:val="24"/>
        </w:rPr>
        <w:t xml:space="preserve"> première banque créée en 2004 et la Bank of London and Middle East</w:t>
      </w:r>
      <w:r w:rsidR="00893482">
        <w:rPr>
          <w:rFonts w:ascii="Times New Roman" w:hAnsi="Times New Roman" w:cs="Times New Roman"/>
          <w:sz w:val="24"/>
          <w:szCs w:val="24"/>
        </w:rPr>
        <w:t xml:space="preserve"> (</w:t>
      </w:r>
      <w:r w:rsidR="00893482" w:rsidRPr="006F09F7">
        <w:rPr>
          <w:rFonts w:ascii="Times New Roman" w:hAnsi="Times New Roman" w:cs="Times New Roman"/>
          <w:sz w:val="24"/>
          <w:szCs w:val="24"/>
        </w:rPr>
        <w:t>BLME</w:t>
      </w:r>
      <w:r w:rsidRPr="006F09F7">
        <w:rPr>
          <w:rFonts w:ascii="Times New Roman" w:hAnsi="Times New Roman" w:cs="Times New Roman"/>
          <w:sz w:val="24"/>
          <w:szCs w:val="24"/>
        </w:rPr>
        <w:t xml:space="preserve">) créée en 2007. En outre, le marché secondaire de Londres est classé au deuxième rang après le marché de Dubaï en termes de la négociation des </w:t>
      </w:r>
      <w:r w:rsidR="002C67F4" w:rsidRPr="006F09F7">
        <w:rPr>
          <w:rFonts w:ascii="Times New Roman" w:hAnsi="Times New Roman" w:cs="Times New Roman"/>
          <w:i/>
          <w:sz w:val="24"/>
          <w:szCs w:val="24"/>
        </w:rPr>
        <w:t>sukuk</w:t>
      </w:r>
      <w:r w:rsidRPr="006F09F7">
        <w:rPr>
          <w:rFonts w:ascii="Times New Roman" w:hAnsi="Times New Roman" w:cs="Times New Roman"/>
          <w:sz w:val="24"/>
          <w:szCs w:val="24"/>
        </w:rPr>
        <w:t>.</w:t>
      </w:r>
    </w:p>
    <w:p w14:paraId="621A6E47" w14:textId="0ACEE956" w:rsidR="008628CD" w:rsidRPr="007B3B64" w:rsidRDefault="0062706A" w:rsidP="0062706A">
      <w:pPr>
        <w:pStyle w:val="Titre7"/>
        <w:keepNext w:val="0"/>
        <w:keepLines w:val="0"/>
        <w:tabs>
          <w:tab w:val="left" w:pos="1843"/>
        </w:tabs>
        <w:suppressAutoHyphens/>
        <w:spacing w:before="120" w:after="120" w:line="300" w:lineRule="auto"/>
        <w:ind w:firstLine="709"/>
        <w:rPr>
          <w:rFonts w:asciiTheme="majorBidi" w:hAnsiTheme="majorBidi"/>
          <w:b/>
          <w:bCs/>
          <w:i w:val="0"/>
          <w:iCs w:val="0"/>
          <w:color w:val="auto"/>
          <w:sz w:val="24"/>
          <w:szCs w:val="24"/>
        </w:rPr>
      </w:pPr>
      <w:bookmarkStart w:id="247" w:name="_Toc182298627"/>
      <w:r>
        <w:rPr>
          <w:rFonts w:asciiTheme="majorBidi" w:hAnsiTheme="majorBidi"/>
          <w:b/>
          <w:bCs/>
          <w:i w:val="0"/>
          <w:iCs w:val="0"/>
          <w:color w:val="auto"/>
          <w:sz w:val="24"/>
          <w:szCs w:val="24"/>
        </w:rPr>
        <w:t xml:space="preserve">1.4.3.4.2.2- </w:t>
      </w:r>
      <w:r w:rsidR="008628CD" w:rsidRPr="007B3B64">
        <w:rPr>
          <w:rFonts w:asciiTheme="majorBidi" w:hAnsiTheme="majorBidi"/>
          <w:b/>
          <w:bCs/>
          <w:i w:val="0"/>
          <w:iCs w:val="0"/>
          <w:color w:val="auto"/>
          <w:sz w:val="24"/>
          <w:szCs w:val="24"/>
        </w:rPr>
        <w:t>Luxembourg</w:t>
      </w:r>
      <w:bookmarkEnd w:id="247"/>
    </w:p>
    <w:p w14:paraId="2B0593DA" w14:textId="17453639" w:rsidR="008628CD" w:rsidRPr="00C55304" w:rsidRDefault="008628CD" w:rsidP="006C1230">
      <w:pPr>
        <w:pStyle w:val="Paragraphedeliste"/>
        <w:tabs>
          <w:tab w:val="left" w:pos="0"/>
          <w:tab w:val="left" w:pos="1843"/>
        </w:tabs>
        <w:suppressAutoHyphens/>
        <w:spacing w:line="300" w:lineRule="auto"/>
        <w:ind w:left="0" w:firstLine="709"/>
        <w:contextualSpacing w:val="0"/>
        <w:rPr>
          <w:rFonts w:asciiTheme="majorBidi" w:hAnsiTheme="majorBidi" w:cstheme="majorBidi"/>
          <w:kern w:val="24"/>
          <w:sz w:val="24"/>
          <w:szCs w:val="24"/>
          <w:shd w:val="clear" w:color="auto" w:fill="FFFFFF"/>
        </w:rPr>
      </w:pPr>
      <w:r w:rsidRPr="00C55304">
        <w:rPr>
          <w:rFonts w:asciiTheme="majorBidi" w:hAnsiTheme="majorBidi" w:cstheme="majorBidi"/>
          <w:kern w:val="24"/>
          <w:sz w:val="24"/>
          <w:szCs w:val="24"/>
          <w:shd w:val="clear" w:color="auto" w:fill="FFFFFF"/>
        </w:rPr>
        <w:t xml:space="preserve">Le Luxembourg reste le leader européen dans la domiciliation des fonds islamiques </w:t>
      </w:r>
      <w:r w:rsidR="00C55304">
        <w:rPr>
          <w:rFonts w:asciiTheme="majorBidi" w:hAnsiTheme="majorBidi" w:cstheme="majorBidi"/>
          <w:kern w:val="24"/>
          <w:sz w:val="24"/>
          <w:szCs w:val="24"/>
          <w:shd w:val="clear" w:color="auto" w:fill="FFFFFF"/>
        </w:rPr>
        <w:t>même s’</w:t>
      </w:r>
      <w:r w:rsidR="00893482" w:rsidRPr="00C55304">
        <w:rPr>
          <w:rFonts w:asciiTheme="majorBidi" w:hAnsiTheme="majorBidi" w:cstheme="majorBidi"/>
          <w:kern w:val="24"/>
          <w:sz w:val="24"/>
          <w:szCs w:val="24"/>
          <w:shd w:val="clear" w:color="auto" w:fill="FFFFFF"/>
        </w:rPr>
        <w:t>il</w:t>
      </w:r>
      <w:r w:rsidRPr="00C55304">
        <w:rPr>
          <w:rFonts w:asciiTheme="majorBidi" w:hAnsiTheme="majorBidi" w:cstheme="majorBidi"/>
          <w:kern w:val="24"/>
          <w:sz w:val="24"/>
          <w:szCs w:val="24"/>
          <w:shd w:val="clear" w:color="auto" w:fill="FFFFFF"/>
        </w:rPr>
        <w:t xml:space="preserve"> subit la concurrence d’autres hubs financiers. Selon</w:t>
      </w:r>
      <w:hyperlink r:id="rId21" w:history="1">
        <w:r w:rsidR="00893482" w:rsidRPr="00C55304">
          <w:rPr>
            <w:rStyle w:val="Lienhypertexte"/>
            <w:rFonts w:asciiTheme="majorBidi" w:hAnsiTheme="majorBidi" w:cstheme="majorBidi"/>
            <w:color w:val="auto"/>
            <w:kern w:val="24"/>
            <w:sz w:val="24"/>
            <w:szCs w:val="24"/>
            <w:u w:val="none"/>
            <w:bdr w:val="none" w:sz="0" w:space="0" w:color="auto" w:frame="1"/>
            <w:shd w:val="clear" w:color="auto" w:fill="FFFFFF"/>
          </w:rPr>
          <w:t xml:space="preserve"> l</w:t>
        </w:r>
        <w:r w:rsidRPr="00C55304">
          <w:rPr>
            <w:rStyle w:val="Lienhypertexte"/>
            <w:rFonts w:asciiTheme="majorBidi" w:hAnsiTheme="majorBidi" w:cstheme="majorBidi"/>
            <w:color w:val="auto"/>
            <w:kern w:val="24"/>
            <w:sz w:val="24"/>
            <w:szCs w:val="24"/>
            <w:u w:val="none"/>
            <w:bdr w:val="none" w:sz="0" w:space="0" w:color="auto" w:frame="1"/>
            <w:shd w:val="clear" w:color="auto" w:fill="FFFFFF"/>
          </w:rPr>
          <w:t>es chiffres</w:t>
        </w:r>
      </w:hyperlink>
      <w:r w:rsidR="00893482" w:rsidRPr="00C55304">
        <w:rPr>
          <w:rFonts w:asciiTheme="majorBidi" w:hAnsiTheme="majorBidi" w:cstheme="majorBidi"/>
          <w:kern w:val="24"/>
          <w:sz w:val="24"/>
          <w:szCs w:val="24"/>
          <w:shd w:val="clear" w:color="auto" w:fill="FFFFFF"/>
        </w:rPr>
        <w:t xml:space="preserve"> </w:t>
      </w:r>
      <w:r w:rsidRPr="00C55304">
        <w:rPr>
          <w:rFonts w:asciiTheme="majorBidi" w:hAnsiTheme="majorBidi" w:cstheme="majorBidi"/>
          <w:kern w:val="24"/>
          <w:sz w:val="24"/>
          <w:szCs w:val="24"/>
          <w:shd w:val="clear" w:color="auto" w:fill="FFFFFF"/>
        </w:rPr>
        <w:t>de l’agence Fitch Ratings au 3</w:t>
      </w:r>
      <w:r w:rsidR="00893482" w:rsidRPr="00C55304">
        <w:rPr>
          <w:rFonts w:asciiTheme="majorBidi" w:hAnsiTheme="majorBidi" w:cstheme="majorBidi"/>
          <w:kern w:val="24"/>
          <w:sz w:val="24"/>
          <w:szCs w:val="24"/>
          <w:bdr w:val="none" w:sz="0" w:space="0" w:color="auto" w:frame="1"/>
          <w:shd w:val="clear" w:color="auto" w:fill="FFFFFF"/>
          <w:vertAlign w:val="superscript"/>
        </w:rPr>
        <w:t xml:space="preserve">ème </w:t>
      </w:r>
      <w:r w:rsidRPr="00C55304">
        <w:rPr>
          <w:rFonts w:asciiTheme="majorBidi" w:hAnsiTheme="majorBidi" w:cstheme="majorBidi"/>
          <w:kern w:val="24"/>
          <w:sz w:val="24"/>
          <w:szCs w:val="24"/>
          <w:shd w:val="clear" w:color="auto" w:fill="FFFFFF"/>
        </w:rPr>
        <w:t>trimestre</w:t>
      </w:r>
      <w:r w:rsidR="00893482" w:rsidRPr="00C55304">
        <w:rPr>
          <w:rFonts w:asciiTheme="majorBidi" w:hAnsiTheme="majorBidi" w:cstheme="majorBidi"/>
          <w:kern w:val="24"/>
          <w:sz w:val="24"/>
          <w:szCs w:val="24"/>
          <w:shd w:val="clear" w:color="auto" w:fill="FFFFFF"/>
        </w:rPr>
        <w:t xml:space="preserve"> </w:t>
      </w:r>
      <w:r w:rsidRPr="00C55304">
        <w:rPr>
          <w:rFonts w:asciiTheme="majorBidi" w:hAnsiTheme="majorBidi" w:cstheme="majorBidi"/>
          <w:kern w:val="24"/>
          <w:sz w:val="24"/>
          <w:szCs w:val="24"/>
          <w:shd w:val="clear" w:color="auto" w:fill="FFFFFF"/>
        </w:rPr>
        <w:t>2021, le Luxembourg est</w:t>
      </w:r>
      <w:r w:rsidR="00893482" w:rsidRPr="00C55304">
        <w:rPr>
          <w:rFonts w:asciiTheme="majorBidi" w:hAnsiTheme="majorBidi" w:cstheme="majorBidi"/>
          <w:kern w:val="24"/>
          <w:sz w:val="24"/>
          <w:szCs w:val="24"/>
          <w:shd w:val="clear" w:color="auto" w:fill="FFFFFF"/>
        </w:rPr>
        <w:t xml:space="preserve"> </w:t>
      </w:r>
      <w:r w:rsidRPr="00C55304">
        <w:rPr>
          <w:rFonts w:asciiTheme="majorBidi" w:hAnsiTheme="majorBidi" w:cstheme="majorBidi"/>
          <w:kern w:val="24"/>
          <w:sz w:val="24"/>
          <w:szCs w:val="24"/>
          <w:shd w:val="clear" w:color="auto" w:fill="FFFFFF"/>
        </w:rPr>
        <w:t>à la tête de l’industrie européenne des fonds islamiques depuis 2016, avec 30</w:t>
      </w:r>
      <w:r w:rsidR="00893482" w:rsidRPr="00C55304">
        <w:rPr>
          <w:rFonts w:asciiTheme="majorBidi" w:hAnsiTheme="majorBidi" w:cstheme="majorBidi"/>
          <w:kern w:val="24"/>
          <w:sz w:val="24"/>
          <w:szCs w:val="24"/>
          <w:shd w:val="clear" w:color="auto" w:fill="FFFFFF"/>
        </w:rPr>
        <w:t xml:space="preserve"> </w:t>
      </w:r>
      <w:r w:rsidRPr="00C55304">
        <w:rPr>
          <w:rFonts w:asciiTheme="majorBidi" w:hAnsiTheme="majorBidi" w:cstheme="majorBidi"/>
          <w:kern w:val="24"/>
          <w:sz w:val="24"/>
          <w:szCs w:val="24"/>
          <w:shd w:val="clear" w:color="auto" w:fill="FFFFFF"/>
        </w:rPr>
        <w:t xml:space="preserve">fonds conformes à la </w:t>
      </w:r>
      <w:r w:rsidR="001124FF" w:rsidRPr="00C55304">
        <w:rPr>
          <w:rFonts w:asciiTheme="majorBidi" w:eastAsia="Times New Roman" w:hAnsiTheme="majorBidi" w:cstheme="majorBidi"/>
          <w:i/>
          <w:iCs/>
          <w:color w:val="000000" w:themeColor="text1"/>
          <w:kern w:val="24"/>
          <w:sz w:val="24"/>
          <w:szCs w:val="24"/>
          <w:lang w:eastAsia="fr-FR"/>
        </w:rPr>
        <w:t>Shariah</w:t>
      </w:r>
      <w:r w:rsidRPr="00C55304">
        <w:rPr>
          <w:rFonts w:asciiTheme="majorBidi" w:hAnsiTheme="majorBidi" w:cstheme="majorBidi"/>
          <w:kern w:val="24"/>
          <w:sz w:val="24"/>
          <w:szCs w:val="24"/>
          <w:shd w:val="clear" w:color="auto" w:fill="FFFFFF"/>
        </w:rPr>
        <w:t xml:space="preserve"> composés principalement de fonds communs de placement</w:t>
      </w:r>
      <w:r w:rsidR="00C55304">
        <w:rPr>
          <w:rFonts w:asciiTheme="majorBidi" w:hAnsiTheme="majorBidi" w:cstheme="majorBidi"/>
          <w:kern w:val="24"/>
          <w:sz w:val="24"/>
          <w:szCs w:val="24"/>
          <w:shd w:val="clear" w:color="auto" w:fill="FFFFFF"/>
        </w:rPr>
        <w:t>.</w:t>
      </w:r>
      <w:r w:rsidRPr="00C55304">
        <w:rPr>
          <w:rStyle w:val="Appelnotedebasdep"/>
          <w:rFonts w:asciiTheme="majorBidi" w:hAnsiTheme="majorBidi" w:cstheme="majorBidi"/>
          <w:kern w:val="24"/>
          <w:sz w:val="24"/>
          <w:szCs w:val="24"/>
          <w:shd w:val="clear" w:color="auto" w:fill="FFFFFF"/>
        </w:rPr>
        <w:footnoteReference w:id="84"/>
      </w:r>
    </w:p>
    <w:p w14:paraId="1005E7EB" w14:textId="1EA05193" w:rsidR="008628CD" w:rsidRPr="00C55304" w:rsidRDefault="008628CD" w:rsidP="006C1230">
      <w:pPr>
        <w:pStyle w:val="Paragraphedeliste"/>
        <w:tabs>
          <w:tab w:val="left" w:pos="0"/>
          <w:tab w:val="left" w:pos="1843"/>
        </w:tabs>
        <w:suppressAutoHyphens/>
        <w:spacing w:before="120" w:line="300" w:lineRule="auto"/>
        <w:ind w:left="0" w:firstLine="709"/>
        <w:contextualSpacing w:val="0"/>
        <w:rPr>
          <w:rFonts w:asciiTheme="majorBidi" w:hAnsiTheme="majorBidi" w:cstheme="majorBidi"/>
          <w:kern w:val="24"/>
          <w:sz w:val="24"/>
          <w:szCs w:val="24"/>
          <w:shd w:val="clear" w:color="auto" w:fill="FFFFFF"/>
        </w:rPr>
      </w:pPr>
      <w:r w:rsidRPr="00C55304">
        <w:rPr>
          <w:rFonts w:asciiTheme="majorBidi" w:hAnsiTheme="majorBidi" w:cstheme="majorBidi"/>
          <w:kern w:val="24"/>
          <w:sz w:val="24"/>
          <w:szCs w:val="24"/>
          <w:shd w:val="clear" w:color="auto" w:fill="FFFFFF"/>
        </w:rPr>
        <w:t>Le secteur des fonds islamiques luxembourgeois a connu une croissance de 122% au cours des six dernières années, avec un total d’actifs sous gestion de 6,7 milliards USD</w:t>
      </w:r>
      <w:r w:rsidR="00893482" w:rsidRPr="00C55304">
        <w:rPr>
          <w:rFonts w:asciiTheme="majorBidi" w:hAnsiTheme="majorBidi" w:cstheme="majorBidi"/>
          <w:kern w:val="24"/>
          <w:sz w:val="24"/>
          <w:szCs w:val="24"/>
          <w:shd w:val="clear" w:color="auto" w:fill="FFFFFF"/>
        </w:rPr>
        <w:t>.</w:t>
      </w:r>
      <w:r w:rsidRPr="00C55304">
        <w:rPr>
          <w:rFonts w:asciiTheme="majorBidi" w:hAnsiTheme="majorBidi" w:cstheme="majorBidi"/>
          <w:kern w:val="24"/>
          <w:sz w:val="24"/>
          <w:szCs w:val="24"/>
          <w:shd w:val="clear" w:color="auto" w:fill="FFFFFF"/>
        </w:rPr>
        <w:t xml:space="preserve"> </w:t>
      </w:r>
      <w:r w:rsidR="00C55304">
        <w:rPr>
          <w:rFonts w:asciiTheme="majorBidi" w:hAnsiTheme="majorBidi" w:cstheme="majorBidi"/>
          <w:kern w:val="24"/>
          <w:sz w:val="24"/>
          <w:szCs w:val="24"/>
          <w:shd w:val="clear" w:color="auto" w:fill="FFFFFF"/>
        </w:rPr>
        <w:t>Il est</w:t>
      </w:r>
      <w:r w:rsidRPr="00C55304">
        <w:rPr>
          <w:rFonts w:asciiTheme="majorBidi" w:hAnsiTheme="majorBidi" w:cstheme="majorBidi"/>
          <w:kern w:val="24"/>
          <w:sz w:val="24"/>
          <w:szCs w:val="24"/>
          <w:shd w:val="clear" w:color="auto" w:fill="FFFFFF"/>
        </w:rPr>
        <w:t xml:space="preserve"> </w:t>
      </w:r>
      <w:r w:rsidR="00C55304">
        <w:rPr>
          <w:rFonts w:asciiTheme="majorBidi" w:hAnsiTheme="majorBidi" w:cstheme="majorBidi"/>
          <w:kern w:val="24"/>
          <w:sz w:val="24"/>
          <w:szCs w:val="24"/>
          <w:shd w:val="clear" w:color="auto" w:fill="FFFFFF"/>
        </w:rPr>
        <w:t xml:space="preserve">classé </w:t>
      </w:r>
      <w:r w:rsidRPr="00C55304">
        <w:rPr>
          <w:rFonts w:asciiTheme="majorBidi" w:hAnsiTheme="majorBidi" w:cstheme="majorBidi"/>
          <w:kern w:val="24"/>
          <w:sz w:val="24"/>
          <w:szCs w:val="24"/>
          <w:shd w:val="clear" w:color="auto" w:fill="FFFFFF"/>
        </w:rPr>
        <w:t xml:space="preserve">parmi les cinq premiers </w:t>
      </w:r>
      <w:r w:rsidR="00C55304">
        <w:rPr>
          <w:rFonts w:asciiTheme="majorBidi" w:hAnsiTheme="majorBidi" w:cstheme="majorBidi"/>
          <w:kern w:val="24"/>
          <w:sz w:val="24"/>
          <w:szCs w:val="24"/>
          <w:shd w:val="clear" w:color="auto" w:fill="FFFFFF"/>
        </w:rPr>
        <w:t xml:space="preserve">pays </w:t>
      </w:r>
      <w:r w:rsidRPr="00C55304">
        <w:rPr>
          <w:rFonts w:asciiTheme="majorBidi" w:hAnsiTheme="majorBidi" w:cstheme="majorBidi"/>
          <w:kern w:val="24"/>
          <w:sz w:val="24"/>
          <w:szCs w:val="24"/>
          <w:shd w:val="clear" w:color="auto" w:fill="FFFFFF"/>
        </w:rPr>
        <w:t>de ce segment au niveau mondial, l’Arabie Saoudite et la Malaisie restant les deux principaux domiciles de fonds islamiques dans le monde</w:t>
      </w:r>
      <w:r w:rsidR="00C55304">
        <w:rPr>
          <w:rFonts w:asciiTheme="majorBidi" w:hAnsiTheme="majorBidi" w:cstheme="majorBidi"/>
          <w:kern w:val="24"/>
          <w:sz w:val="24"/>
          <w:szCs w:val="24"/>
          <w:shd w:val="clear" w:color="auto" w:fill="FFFFFF"/>
        </w:rPr>
        <w:t>.</w:t>
      </w:r>
      <w:r w:rsidR="0057703D" w:rsidRPr="00C55304">
        <w:rPr>
          <w:rStyle w:val="Appelnotedebasdep"/>
          <w:rFonts w:asciiTheme="majorBidi" w:hAnsiTheme="majorBidi" w:cstheme="majorBidi"/>
          <w:kern w:val="24"/>
          <w:sz w:val="24"/>
          <w:szCs w:val="24"/>
          <w:shd w:val="clear" w:color="auto" w:fill="FFFFFF"/>
        </w:rPr>
        <w:footnoteReference w:id="85"/>
      </w:r>
    </w:p>
    <w:p w14:paraId="4D9ECE0E" w14:textId="55BBD180" w:rsidR="008628CD" w:rsidRPr="00C55304" w:rsidRDefault="00770256" w:rsidP="006C1230">
      <w:pPr>
        <w:pStyle w:val="Paragraphedeliste"/>
        <w:tabs>
          <w:tab w:val="left" w:pos="0"/>
          <w:tab w:val="left" w:pos="1843"/>
        </w:tabs>
        <w:suppressAutoHyphens/>
        <w:spacing w:before="120" w:line="300" w:lineRule="auto"/>
        <w:ind w:left="0" w:firstLine="709"/>
        <w:contextualSpacing w:val="0"/>
        <w:rPr>
          <w:rFonts w:asciiTheme="majorBidi" w:hAnsiTheme="majorBidi" w:cstheme="majorBidi"/>
          <w:b/>
          <w:bCs/>
          <w:sz w:val="24"/>
          <w:szCs w:val="24"/>
        </w:rPr>
      </w:pPr>
      <w:r>
        <w:rPr>
          <w:rFonts w:asciiTheme="majorBidi" w:hAnsiTheme="majorBidi" w:cstheme="majorBidi"/>
          <w:sz w:val="24"/>
          <w:szCs w:val="24"/>
          <w:shd w:val="clear" w:color="auto" w:fill="FFFFFF"/>
        </w:rPr>
        <w:t>La FI</w:t>
      </w:r>
      <w:r w:rsidR="000E5F2E" w:rsidRPr="00C55304">
        <w:rPr>
          <w:rFonts w:asciiTheme="majorBidi" w:hAnsiTheme="majorBidi" w:cstheme="majorBidi"/>
          <w:sz w:val="24"/>
          <w:szCs w:val="24"/>
          <w:shd w:val="clear" w:color="auto" w:fill="FFFFFF"/>
        </w:rPr>
        <w:t xml:space="preserve"> reste un secteur clé pour le gouvernement luxembourgeois dans le cadre de sa stratégie de diversification des centres financiers, </w:t>
      </w:r>
      <w:r>
        <w:rPr>
          <w:rFonts w:asciiTheme="majorBidi" w:hAnsiTheme="majorBidi" w:cstheme="majorBidi"/>
          <w:sz w:val="24"/>
          <w:szCs w:val="24"/>
          <w:shd w:val="clear" w:color="auto" w:fill="FFFFFF"/>
        </w:rPr>
        <w:t xml:space="preserve">même si </w:t>
      </w:r>
      <w:r w:rsidR="000E5F2E" w:rsidRPr="00C55304">
        <w:rPr>
          <w:rFonts w:asciiTheme="majorBidi" w:hAnsiTheme="majorBidi" w:cstheme="majorBidi"/>
          <w:sz w:val="24"/>
          <w:szCs w:val="24"/>
          <w:shd w:val="clear" w:color="auto" w:fill="FFFFFF"/>
        </w:rPr>
        <w:t xml:space="preserve">elle n’agit pas comme </w:t>
      </w:r>
      <w:r>
        <w:rPr>
          <w:rFonts w:asciiTheme="majorBidi" w:hAnsiTheme="majorBidi" w:cstheme="majorBidi"/>
          <w:sz w:val="24"/>
          <w:szCs w:val="24"/>
          <w:shd w:val="clear" w:color="auto" w:fill="FFFFFF"/>
        </w:rPr>
        <w:t xml:space="preserve">le </w:t>
      </w:r>
      <w:r w:rsidR="000E5F2E" w:rsidRPr="00C55304">
        <w:rPr>
          <w:rFonts w:asciiTheme="majorBidi" w:hAnsiTheme="majorBidi" w:cstheme="majorBidi"/>
          <w:sz w:val="24"/>
          <w:szCs w:val="24"/>
          <w:shd w:val="clear" w:color="auto" w:fill="FFFFFF"/>
        </w:rPr>
        <w:t>levier économique de premier plan</w:t>
      </w:r>
      <w:r>
        <w:rPr>
          <w:rFonts w:asciiTheme="majorBidi" w:hAnsiTheme="majorBidi" w:cstheme="majorBidi"/>
          <w:sz w:val="24"/>
          <w:szCs w:val="24"/>
          <w:shd w:val="clear" w:color="auto" w:fill="FFFFFF"/>
        </w:rPr>
        <w:t> ; pour la simple raison que</w:t>
      </w:r>
      <w:r w:rsidR="000E5F2E" w:rsidRPr="00C55304">
        <w:rPr>
          <w:rFonts w:asciiTheme="majorBidi" w:hAnsiTheme="majorBidi" w:cstheme="majorBidi"/>
          <w:sz w:val="24"/>
          <w:szCs w:val="24"/>
          <w:shd w:val="clear" w:color="auto" w:fill="FFFFFF"/>
        </w:rPr>
        <w:t xml:space="preserve"> les actifs islamiques représentent à peine 0,11%</w:t>
      </w:r>
      <w:r w:rsidR="000E5F2E" w:rsidRPr="00C55304">
        <w:rPr>
          <w:rStyle w:val="Appelnotedebasdep"/>
          <w:rFonts w:asciiTheme="majorBidi" w:hAnsiTheme="majorBidi"/>
          <w:sz w:val="24"/>
          <w:szCs w:val="24"/>
          <w:shd w:val="clear" w:color="auto" w:fill="FFFFFF"/>
        </w:rPr>
        <w:footnoteReference w:id="86"/>
      </w:r>
      <w:r w:rsidR="000E5F2E" w:rsidRPr="00C55304">
        <w:rPr>
          <w:rFonts w:asciiTheme="majorBidi" w:hAnsiTheme="majorBidi" w:cstheme="majorBidi"/>
          <w:sz w:val="24"/>
          <w:szCs w:val="24"/>
          <w:shd w:val="clear" w:color="auto" w:fill="FFFFFF"/>
        </w:rPr>
        <w:t xml:space="preserve"> de l’ensemble des actifs sous gestion dans les fonds luxembourgeois.</w:t>
      </w:r>
    </w:p>
    <w:p w14:paraId="6053C4F4" w14:textId="55952B7F" w:rsidR="003773C6" w:rsidRPr="00BC2BC5" w:rsidRDefault="0062706A" w:rsidP="0062706A">
      <w:pPr>
        <w:pStyle w:val="Titre7"/>
        <w:keepNext w:val="0"/>
        <w:keepLines w:val="0"/>
        <w:suppressAutoHyphens/>
        <w:spacing w:before="120" w:after="120" w:line="300" w:lineRule="auto"/>
        <w:ind w:firstLine="709"/>
        <w:rPr>
          <w:rFonts w:asciiTheme="majorBidi" w:hAnsiTheme="majorBidi"/>
          <w:b/>
          <w:bCs/>
          <w:i w:val="0"/>
          <w:iCs w:val="0"/>
          <w:color w:val="auto"/>
          <w:sz w:val="24"/>
          <w:szCs w:val="24"/>
        </w:rPr>
      </w:pPr>
      <w:bookmarkStart w:id="248" w:name="_Toc182298628"/>
      <w:r>
        <w:rPr>
          <w:rFonts w:asciiTheme="majorBidi" w:hAnsiTheme="majorBidi"/>
          <w:b/>
          <w:bCs/>
          <w:i w:val="0"/>
          <w:iCs w:val="0"/>
          <w:color w:val="auto"/>
          <w:sz w:val="24"/>
          <w:szCs w:val="24"/>
        </w:rPr>
        <w:lastRenderedPageBreak/>
        <w:t xml:space="preserve">1.4.3.4.2.3- </w:t>
      </w:r>
      <w:r w:rsidR="003773C6" w:rsidRPr="00BC2BC5">
        <w:rPr>
          <w:rFonts w:asciiTheme="majorBidi" w:hAnsiTheme="majorBidi"/>
          <w:b/>
          <w:bCs/>
          <w:i w:val="0"/>
          <w:iCs w:val="0"/>
          <w:color w:val="auto"/>
          <w:sz w:val="24"/>
          <w:szCs w:val="24"/>
        </w:rPr>
        <w:t>France</w:t>
      </w:r>
      <w:bookmarkEnd w:id="248"/>
    </w:p>
    <w:p w14:paraId="08B7A4A1" w14:textId="7AAF546A" w:rsidR="003D6CC1" w:rsidRPr="001374DC" w:rsidRDefault="003773C6" w:rsidP="001374DC">
      <w:pPr>
        <w:tabs>
          <w:tab w:val="left" w:pos="0"/>
        </w:tabs>
        <w:suppressAutoHyphens/>
        <w:spacing w:before="120" w:line="300" w:lineRule="auto"/>
        <w:ind w:firstLine="709"/>
        <w:rPr>
          <w:rFonts w:ascii="Times New Roman" w:hAnsi="Times New Roman" w:cs="Times New Roman"/>
          <w:kern w:val="24"/>
          <w:sz w:val="24"/>
          <w:szCs w:val="24"/>
        </w:rPr>
      </w:pPr>
      <w:bookmarkStart w:id="249" w:name="_Hlk167828209"/>
      <w:r w:rsidRPr="001374DC">
        <w:rPr>
          <w:rFonts w:ascii="Times New Roman" w:hAnsi="Times New Roman" w:cs="Times New Roman"/>
          <w:kern w:val="24"/>
          <w:sz w:val="24"/>
          <w:szCs w:val="24"/>
        </w:rPr>
        <w:t>Ce pays</w:t>
      </w:r>
      <w:r w:rsidR="002760B2" w:rsidRPr="001374DC">
        <w:rPr>
          <w:rFonts w:ascii="Times New Roman" w:hAnsi="Times New Roman" w:cs="Times New Roman"/>
          <w:kern w:val="24"/>
          <w:sz w:val="24"/>
          <w:szCs w:val="24"/>
        </w:rPr>
        <w:t xml:space="preserve"> a essayé d’intégrer la finance </w:t>
      </w:r>
      <w:r w:rsidRPr="001374DC">
        <w:rPr>
          <w:rFonts w:ascii="Times New Roman" w:hAnsi="Times New Roman" w:cs="Times New Roman"/>
          <w:kern w:val="24"/>
          <w:sz w:val="24"/>
          <w:szCs w:val="24"/>
        </w:rPr>
        <w:t>islamique</w:t>
      </w:r>
      <w:r w:rsidR="002760B2" w:rsidRPr="001374DC">
        <w:rPr>
          <w:rFonts w:ascii="Times New Roman" w:hAnsi="Times New Roman" w:cs="Times New Roman"/>
          <w:kern w:val="24"/>
          <w:sz w:val="24"/>
          <w:szCs w:val="24"/>
        </w:rPr>
        <w:t xml:space="preserve"> à son système bancaire. Lors du Premier Forum Français de la FI, organisé le 12 juin 2007</w:t>
      </w:r>
      <w:r w:rsidR="004B5A59" w:rsidRPr="001374DC">
        <w:rPr>
          <w:rFonts w:ascii="Times New Roman" w:hAnsi="Times New Roman" w:cs="Times New Roman"/>
          <w:kern w:val="24"/>
          <w:sz w:val="24"/>
          <w:szCs w:val="24"/>
        </w:rPr>
        <w:t xml:space="preserve">, </w:t>
      </w:r>
      <w:r w:rsidR="003D6CC1" w:rsidRPr="001374DC">
        <w:rPr>
          <w:rFonts w:ascii="Times New Roman" w:hAnsi="Times New Roman" w:cs="Times New Roman"/>
          <w:kern w:val="24"/>
          <w:sz w:val="24"/>
          <w:szCs w:val="24"/>
        </w:rPr>
        <w:t>l</w:t>
      </w:r>
      <w:r w:rsidR="002760B2" w:rsidRPr="001374DC">
        <w:rPr>
          <w:rFonts w:ascii="Times New Roman" w:hAnsi="Times New Roman" w:cs="Times New Roman"/>
          <w:kern w:val="24"/>
          <w:sz w:val="24"/>
          <w:szCs w:val="24"/>
        </w:rPr>
        <w:t>a volonté de renforcer l’attractivité de la place fin</w:t>
      </w:r>
      <w:r w:rsidR="003D6CC1" w:rsidRPr="001374DC">
        <w:rPr>
          <w:rFonts w:ascii="Times New Roman" w:hAnsi="Times New Roman" w:cs="Times New Roman"/>
          <w:kern w:val="24"/>
          <w:sz w:val="24"/>
          <w:szCs w:val="24"/>
        </w:rPr>
        <w:t>ancière de Paris</w:t>
      </w:r>
      <w:bookmarkEnd w:id="249"/>
      <w:r w:rsidR="002C07BB" w:rsidRPr="001374DC">
        <w:rPr>
          <w:rFonts w:ascii="Times New Roman" w:hAnsi="Times New Roman" w:cs="Times New Roman"/>
          <w:kern w:val="24"/>
          <w:sz w:val="24"/>
          <w:szCs w:val="24"/>
        </w:rPr>
        <w:t xml:space="preserve"> fut affirmé</w:t>
      </w:r>
      <w:r w:rsidR="003D6CC1" w:rsidRPr="001374DC">
        <w:rPr>
          <w:rFonts w:ascii="Times New Roman" w:hAnsi="Times New Roman" w:cs="Times New Roman"/>
          <w:kern w:val="24"/>
          <w:sz w:val="24"/>
          <w:szCs w:val="24"/>
        </w:rPr>
        <w:t xml:space="preserve"> en soulignant</w:t>
      </w:r>
      <w:r w:rsidR="002760B2" w:rsidRPr="001374DC">
        <w:rPr>
          <w:rFonts w:ascii="Times New Roman" w:hAnsi="Times New Roman" w:cs="Times New Roman"/>
          <w:kern w:val="24"/>
          <w:sz w:val="24"/>
          <w:szCs w:val="24"/>
        </w:rPr>
        <w:t xml:space="preserve"> la nécessité de prendre la juste mesure des enjeux concurrentiels et des opportunités de développement qu’offre l’industrie financiè</w:t>
      </w:r>
      <w:r w:rsidR="003D6CC1" w:rsidRPr="001374DC">
        <w:rPr>
          <w:rFonts w:ascii="Times New Roman" w:hAnsi="Times New Roman" w:cs="Times New Roman"/>
          <w:kern w:val="24"/>
          <w:sz w:val="24"/>
          <w:szCs w:val="24"/>
        </w:rPr>
        <w:t xml:space="preserve">re </w:t>
      </w:r>
      <w:r w:rsidR="008949B6" w:rsidRPr="001374DC">
        <w:rPr>
          <w:rFonts w:ascii="Times New Roman" w:hAnsi="Times New Roman" w:cs="Times New Roman"/>
          <w:kern w:val="24"/>
          <w:sz w:val="24"/>
          <w:szCs w:val="24"/>
        </w:rPr>
        <w:t>i</w:t>
      </w:r>
      <w:r w:rsidRPr="001374DC">
        <w:rPr>
          <w:rFonts w:ascii="Times New Roman" w:hAnsi="Times New Roman" w:cs="Times New Roman"/>
          <w:kern w:val="24"/>
          <w:sz w:val="24"/>
          <w:szCs w:val="24"/>
        </w:rPr>
        <w:t>slamique</w:t>
      </w:r>
      <w:r w:rsidR="003D6CC1" w:rsidRPr="001374DC">
        <w:rPr>
          <w:rFonts w:ascii="Times New Roman" w:hAnsi="Times New Roman" w:cs="Times New Roman"/>
          <w:kern w:val="24"/>
          <w:sz w:val="24"/>
          <w:szCs w:val="24"/>
        </w:rPr>
        <w:t>.</w:t>
      </w:r>
    </w:p>
    <w:p w14:paraId="08335BC1" w14:textId="66E03C48" w:rsidR="002760B2" w:rsidRPr="001374DC" w:rsidRDefault="002760B2" w:rsidP="001374DC">
      <w:pPr>
        <w:tabs>
          <w:tab w:val="left" w:pos="0"/>
        </w:tabs>
        <w:suppressAutoHyphens/>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Ai</w:t>
      </w:r>
      <w:r w:rsidR="004B5A59" w:rsidRPr="001374DC">
        <w:rPr>
          <w:rFonts w:ascii="Times New Roman" w:hAnsi="Times New Roman" w:cs="Times New Roman"/>
          <w:kern w:val="24"/>
          <w:sz w:val="24"/>
          <w:szCs w:val="24"/>
        </w:rPr>
        <w:t>nsi, la</w:t>
      </w:r>
      <w:r w:rsidRPr="001374DC">
        <w:rPr>
          <w:rFonts w:ascii="Times New Roman" w:hAnsi="Times New Roman" w:cs="Times New Roman"/>
          <w:kern w:val="24"/>
          <w:sz w:val="24"/>
          <w:szCs w:val="24"/>
        </w:rPr>
        <w:t xml:space="preserve"> ministre de l’économie, des finances et du travail</w:t>
      </w:r>
      <w:r w:rsidR="003D6CC1" w:rsidRPr="001374DC">
        <w:rPr>
          <w:rFonts w:ascii="Times New Roman" w:hAnsi="Times New Roman" w:cs="Times New Roman"/>
          <w:kern w:val="24"/>
          <w:sz w:val="24"/>
          <w:szCs w:val="24"/>
        </w:rPr>
        <w:t xml:space="preserve"> avait déclaré que la France dispose d</w:t>
      </w:r>
      <w:r w:rsidRPr="001374DC">
        <w:rPr>
          <w:rFonts w:ascii="Times New Roman" w:hAnsi="Times New Roman" w:cs="Times New Roman"/>
          <w:kern w:val="24"/>
          <w:sz w:val="24"/>
          <w:szCs w:val="24"/>
        </w:rPr>
        <w:t xml:space="preserve">es outils nécessaires pour accueillir et attirer des capitaux </w:t>
      </w:r>
      <w:r w:rsidR="00505EDD"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s. Elle a</w:t>
      </w:r>
      <w:r w:rsidR="003D6CC1" w:rsidRPr="001374DC">
        <w:rPr>
          <w:rFonts w:ascii="Times New Roman" w:hAnsi="Times New Roman" w:cs="Times New Roman"/>
          <w:kern w:val="24"/>
          <w:sz w:val="24"/>
          <w:szCs w:val="24"/>
        </w:rPr>
        <w:t>vait</w:t>
      </w:r>
      <w:r w:rsidRPr="001374DC">
        <w:rPr>
          <w:rFonts w:ascii="Times New Roman" w:hAnsi="Times New Roman" w:cs="Times New Roman"/>
          <w:kern w:val="24"/>
          <w:sz w:val="24"/>
          <w:szCs w:val="24"/>
        </w:rPr>
        <w:t>, également, avancé un discours sur l’aspect éthique de la FI qui se révèle attirant,</w:t>
      </w:r>
      <w:r w:rsidR="003D6CC1" w:rsidRPr="001374DC">
        <w:rPr>
          <w:rFonts w:ascii="Times New Roman" w:hAnsi="Times New Roman" w:cs="Times New Roman"/>
          <w:kern w:val="24"/>
          <w:sz w:val="24"/>
          <w:szCs w:val="24"/>
        </w:rPr>
        <w:t xml:space="preserve"> surtout dans le contexte</w:t>
      </w:r>
      <w:r w:rsidRPr="001374DC">
        <w:rPr>
          <w:rFonts w:ascii="Times New Roman" w:hAnsi="Times New Roman" w:cs="Times New Roman"/>
          <w:kern w:val="24"/>
          <w:sz w:val="24"/>
          <w:szCs w:val="24"/>
        </w:rPr>
        <w:t xml:space="preserve"> de crise financière mondiale</w:t>
      </w:r>
      <w:r w:rsidR="003D6CC1" w:rsidRPr="001374DC">
        <w:rPr>
          <w:rFonts w:ascii="Times New Roman" w:hAnsi="Times New Roman" w:cs="Times New Roman"/>
          <w:kern w:val="24"/>
          <w:sz w:val="24"/>
          <w:szCs w:val="24"/>
        </w:rPr>
        <w:t xml:space="preserve"> de 2008</w:t>
      </w:r>
      <w:r w:rsidRPr="001374DC">
        <w:rPr>
          <w:rFonts w:ascii="Times New Roman" w:hAnsi="Times New Roman" w:cs="Times New Roman"/>
          <w:kern w:val="24"/>
          <w:sz w:val="24"/>
          <w:szCs w:val="24"/>
        </w:rPr>
        <w:t xml:space="preserve"> puisque la FI condamne la spéculation et le hasard</w:t>
      </w:r>
      <w:r w:rsidRPr="001374DC">
        <w:rPr>
          <w:rStyle w:val="Appelnotedebasdep"/>
          <w:rFonts w:ascii="Times New Roman" w:hAnsi="Times New Roman"/>
          <w:kern w:val="24"/>
          <w:sz w:val="24"/>
          <w:szCs w:val="24"/>
        </w:rPr>
        <w:footnoteReference w:id="87"/>
      </w:r>
      <w:r w:rsidRPr="001374DC">
        <w:rPr>
          <w:rFonts w:ascii="Times New Roman" w:hAnsi="Times New Roman" w:cs="Times New Roman"/>
          <w:kern w:val="24"/>
          <w:sz w:val="24"/>
          <w:szCs w:val="24"/>
        </w:rPr>
        <w:t>.</w:t>
      </w:r>
      <w:r w:rsidR="003D6CC1" w:rsidRPr="001374DC">
        <w:rPr>
          <w:rFonts w:ascii="Times New Roman" w:hAnsi="Times New Roman" w:cs="Times New Roman"/>
          <w:kern w:val="24"/>
          <w:sz w:val="24"/>
          <w:szCs w:val="24"/>
        </w:rPr>
        <w:t xml:space="preserve"> Elle avait confirmé</w:t>
      </w:r>
      <w:r w:rsidRPr="001374DC">
        <w:rPr>
          <w:rFonts w:ascii="Times New Roman" w:hAnsi="Times New Roman" w:cs="Times New Roman"/>
          <w:kern w:val="24"/>
          <w:sz w:val="24"/>
          <w:szCs w:val="24"/>
        </w:rPr>
        <w:t xml:space="preserve"> que la France tente de concurrencer la capitale britannique, Londres, dans ce domaine pour que Paris devienne à son tour un centre puissant de la FI. L’importance de la FI en France ne s’explique pas seulement par l’envie d’attirer des pétrodollars, elle est également conditionnée par la croissance importa</w:t>
      </w:r>
      <w:r w:rsidR="0041133B" w:rsidRPr="001374DC">
        <w:rPr>
          <w:rFonts w:ascii="Times New Roman" w:hAnsi="Times New Roman" w:cs="Times New Roman"/>
          <w:kern w:val="24"/>
          <w:sz w:val="24"/>
          <w:szCs w:val="24"/>
        </w:rPr>
        <w:t xml:space="preserve">nte de la </w:t>
      </w:r>
      <w:r w:rsidR="00A70123" w:rsidRPr="001374DC">
        <w:rPr>
          <w:rFonts w:ascii="Times New Roman" w:hAnsi="Times New Roman" w:cs="Times New Roman"/>
          <w:kern w:val="24"/>
          <w:sz w:val="24"/>
          <w:szCs w:val="24"/>
        </w:rPr>
        <w:t>communauté</w:t>
      </w:r>
      <w:r w:rsidR="0041133B" w:rsidRPr="001374DC">
        <w:rPr>
          <w:rFonts w:ascii="Times New Roman" w:hAnsi="Times New Roman" w:cs="Times New Roman"/>
          <w:kern w:val="24"/>
          <w:sz w:val="24"/>
          <w:szCs w:val="24"/>
        </w:rPr>
        <w:t xml:space="preserve"> musulmane.</w:t>
      </w:r>
    </w:p>
    <w:p w14:paraId="3553B57C" w14:textId="7DACFEEA" w:rsidR="00354F11" w:rsidRPr="001374DC" w:rsidRDefault="00354F11" w:rsidP="001374DC">
      <w:pPr>
        <w:tabs>
          <w:tab w:val="left" w:pos="0"/>
        </w:tabs>
        <w:suppressAutoHyphens/>
        <w:spacing w:before="120" w:line="300" w:lineRule="auto"/>
        <w:ind w:firstLine="709"/>
        <w:rPr>
          <w:rFonts w:ascii="Times New Roman" w:hAnsi="Times New Roman" w:cs="Times New Roman"/>
          <w:kern w:val="24"/>
          <w:sz w:val="24"/>
          <w:szCs w:val="24"/>
          <w:shd w:val="clear" w:color="auto" w:fill="FFFFFF"/>
        </w:rPr>
      </w:pPr>
      <w:r w:rsidRPr="001374DC">
        <w:rPr>
          <w:rFonts w:ascii="Times New Roman" w:hAnsi="Times New Roman" w:cs="Times New Roman"/>
          <w:kern w:val="24"/>
          <w:sz w:val="24"/>
          <w:szCs w:val="24"/>
          <w:shd w:val="clear" w:color="auto" w:fill="FFFFFF"/>
        </w:rPr>
        <w:t>En France, il n’existe à l’heure actuelle aucune banque islamique</w:t>
      </w:r>
      <w:r w:rsidR="00A70123" w:rsidRPr="001374DC">
        <w:rPr>
          <w:rFonts w:ascii="Times New Roman" w:hAnsi="Times New Roman" w:cs="Times New Roman"/>
          <w:kern w:val="24"/>
          <w:sz w:val="24"/>
          <w:szCs w:val="24"/>
          <w:shd w:val="clear" w:color="auto" w:fill="FFFFFF"/>
        </w:rPr>
        <w:t xml:space="preserve"> </w:t>
      </w:r>
      <w:r w:rsidRPr="001374DC">
        <w:rPr>
          <w:rStyle w:val="Accentuation"/>
          <w:rFonts w:ascii="Times New Roman" w:hAnsi="Times New Roman" w:cs="Times New Roman"/>
          <w:i w:val="0"/>
          <w:iCs w:val="0"/>
          <w:kern w:val="24"/>
          <w:sz w:val="24"/>
          <w:szCs w:val="24"/>
          <w:shd w:val="clear" w:color="auto" w:fill="FFFFFF"/>
        </w:rPr>
        <w:t>au sens strict</w:t>
      </w:r>
      <w:r w:rsidRPr="001374DC">
        <w:rPr>
          <w:rFonts w:ascii="Times New Roman" w:hAnsi="Times New Roman" w:cs="Times New Roman"/>
          <w:i/>
          <w:iCs/>
          <w:kern w:val="24"/>
          <w:sz w:val="24"/>
          <w:szCs w:val="24"/>
          <w:shd w:val="clear" w:color="auto" w:fill="FFFFFF"/>
        </w:rPr>
        <w:t>.</w:t>
      </w:r>
      <w:r w:rsidRPr="001374DC">
        <w:rPr>
          <w:rFonts w:ascii="Times New Roman" w:hAnsi="Times New Roman" w:cs="Times New Roman"/>
          <w:kern w:val="24"/>
          <w:sz w:val="24"/>
          <w:szCs w:val="24"/>
          <w:shd w:val="clear" w:color="auto" w:fill="FFFFFF"/>
        </w:rPr>
        <w:t xml:space="preserve"> Toutefois, </w:t>
      </w:r>
      <w:r w:rsidR="00A70123" w:rsidRPr="001374DC">
        <w:rPr>
          <w:rFonts w:ascii="Times New Roman" w:hAnsi="Times New Roman" w:cs="Times New Roman"/>
          <w:kern w:val="24"/>
          <w:sz w:val="24"/>
          <w:szCs w:val="24"/>
          <w:shd w:val="clear" w:color="auto" w:fill="FFFFFF"/>
        </w:rPr>
        <w:t xml:space="preserve">nous assistons à des initiatives </w:t>
      </w:r>
      <w:bookmarkStart w:id="250" w:name="_Hlk167828630"/>
      <w:r w:rsidR="00A70123" w:rsidRPr="001374DC">
        <w:rPr>
          <w:rFonts w:ascii="Times New Roman" w:hAnsi="Times New Roman" w:cs="Times New Roman"/>
          <w:kern w:val="24"/>
          <w:sz w:val="24"/>
          <w:szCs w:val="24"/>
          <w:shd w:val="clear" w:color="auto" w:fill="FFFFFF"/>
        </w:rPr>
        <w:t>(</w:t>
      </w:r>
      <w:r w:rsidR="00DD2A92" w:rsidRPr="001374DC">
        <w:rPr>
          <w:rFonts w:ascii="Times New Roman" w:hAnsi="Times New Roman" w:cs="Times New Roman"/>
          <w:kern w:val="24"/>
          <w:sz w:val="24"/>
          <w:szCs w:val="24"/>
          <w:shd w:val="clear" w:color="auto" w:fill="FFFFFF"/>
        </w:rPr>
        <w:t>UBAF</w:t>
      </w:r>
      <w:r w:rsidR="005B4199" w:rsidRPr="001374DC">
        <w:rPr>
          <w:rStyle w:val="Appelnotedebasdep"/>
          <w:rFonts w:ascii="Times New Roman" w:hAnsi="Times New Roman"/>
          <w:kern w:val="24"/>
          <w:sz w:val="24"/>
          <w:szCs w:val="24"/>
          <w:shd w:val="clear" w:color="auto" w:fill="FFFFFF"/>
        </w:rPr>
        <w:footnoteReference w:id="88"/>
      </w:r>
      <w:r w:rsidR="00DD2A92" w:rsidRPr="001374DC">
        <w:rPr>
          <w:rFonts w:ascii="Times New Roman" w:hAnsi="Times New Roman" w:cs="Times New Roman"/>
          <w:kern w:val="24"/>
          <w:sz w:val="24"/>
          <w:szCs w:val="24"/>
          <w:shd w:val="clear" w:color="auto" w:fill="FFFFFF"/>
        </w:rPr>
        <w:t xml:space="preserve">, </w:t>
      </w:r>
      <w:r w:rsidR="00A70123" w:rsidRPr="001374DC">
        <w:rPr>
          <w:rFonts w:ascii="Times New Roman" w:hAnsi="Times New Roman" w:cs="Times New Roman"/>
          <w:kern w:val="24"/>
          <w:sz w:val="24"/>
          <w:szCs w:val="24"/>
          <w:shd w:val="clear" w:color="auto" w:fill="FFFFFF"/>
        </w:rPr>
        <w:t xml:space="preserve">Chaabi </w:t>
      </w:r>
      <w:r w:rsidR="00DD2A92" w:rsidRPr="001374DC">
        <w:rPr>
          <w:rFonts w:ascii="Times New Roman" w:hAnsi="Times New Roman" w:cs="Times New Roman"/>
          <w:kern w:val="24"/>
          <w:sz w:val="24"/>
          <w:szCs w:val="24"/>
          <w:shd w:val="clear" w:color="auto" w:fill="FFFFFF"/>
        </w:rPr>
        <w:t>B</w:t>
      </w:r>
      <w:r w:rsidR="00A70123" w:rsidRPr="001374DC">
        <w:rPr>
          <w:rFonts w:ascii="Times New Roman" w:hAnsi="Times New Roman" w:cs="Times New Roman"/>
          <w:kern w:val="24"/>
          <w:sz w:val="24"/>
          <w:szCs w:val="24"/>
          <w:shd w:val="clear" w:color="auto" w:fill="FFFFFF"/>
        </w:rPr>
        <w:t>ank</w:t>
      </w:r>
      <w:r w:rsidR="001374DC" w:rsidRPr="001374DC">
        <w:rPr>
          <w:rStyle w:val="Appelnotedebasdep"/>
          <w:rFonts w:ascii="Times New Roman" w:hAnsi="Times New Roman"/>
          <w:kern w:val="24"/>
          <w:sz w:val="24"/>
          <w:szCs w:val="24"/>
          <w:shd w:val="clear" w:color="auto" w:fill="FFFFFF"/>
        </w:rPr>
        <w:footnoteReference w:id="89"/>
      </w:r>
      <w:r w:rsidR="00A70123" w:rsidRPr="001374DC">
        <w:rPr>
          <w:rFonts w:ascii="Times New Roman" w:hAnsi="Times New Roman" w:cs="Times New Roman"/>
          <w:kern w:val="24"/>
          <w:sz w:val="24"/>
          <w:szCs w:val="24"/>
          <w:shd w:val="clear" w:color="auto" w:fill="FFFFFF"/>
        </w:rPr>
        <w:t xml:space="preserve"> et associations agréées comme </w:t>
      </w:r>
      <w:r w:rsidR="0099207D" w:rsidRPr="001374DC">
        <w:rPr>
          <w:rFonts w:ascii="Times New Roman" w:hAnsi="Times New Roman" w:cs="Times New Roman"/>
          <w:kern w:val="24"/>
          <w:sz w:val="24"/>
          <w:szCs w:val="24"/>
          <w:shd w:val="clear" w:color="auto" w:fill="FFFFFF"/>
        </w:rPr>
        <w:t>ACERFI</w:t>
      </w:r>
      <w:r w:rsidR="008D6B89" w:rsidRPr="001374DC">
        <w:rPr>
          <w:rStyle w:val="Appelnotedebasdep"/>
          <w:rFonts w:ascii="Times New Roman" w:hAnsi="Times New Roman"/>
          <w:kern w:val="24"/>
          <w:sz w:val="24"/>
          <w:szCs w:val="24"/>
          <w:shd w:val="clear" w:color="auto" w:fill="FFFFFF"/>
        </w:rPr>
        <w:footnoteReference w:id="90"/>
      </w:r>
      <w:r w:rsidR="0099207D" w:rsidRPr="001374DC">
        <w:rPr>
          <w:rFonts w:ascii="Times New Roman" w:hAnsi="Times New Roman" w:cs="Times New Roman"/>
          <w:kern w:val="24"/>
          <w:sz w:val="24"/>
          <w:szCs w:val="24"/>
          <w:shd w:val="clear" w:color="auto" w:fill="FFFFFF"/>
        </w:rPr>
        <w:t xml:space="preserve">, </w:t>
      </w:r>
      <w:r w:rsidR="00316508" w:rsidRPr="001374DC">
        <w:rPr>
          <w:rFonts w:ascii="Times New Roman" w:hAnsi="Times New Roman" w:cs="Times New Roman"/>
          <w:kern w:val="24"/>
          <w:sz w:val="24"/>
          <w:szCs w:val="24"/>
          <w:shd w:val="clear" w:color="auto" w:fill="FFFFFF"/>
        </w:rPr>
        <w:t>570</w:t>
      </w:r>
      <w:r w:rsidR="00A70123" w:rsidRPr="001374DC">
        <w:rPr>
          <w:rFonts w:ascii="Times New Roman" w:hAnsi="Times New Roman" w:cs="Times New Roman"/>
          <w:kern w:val="24"/>
          <w:sz w:val="24"/>
          <w:szCs w:val="24"/>
          <w:shd w:val="clear" w:color="auto" w:fill="FFFFFF"/>
        </w:rPr>
        <w:t>easi</w:t>
      </w:r>
      <w:r w:rsidR="008D6B89" w:rsidRPr="001374DC">
        <w:rPr>
          <w:rStyle w:val="Appelnotedebasdep"/>
          <w:rFonts w:ascii="Times New Roman" w:hAnsi="Times New Roman"/>
          <w:kern w:val="24"/>
          <w:sz w:val="24"/>
          <w:szCs w:val="24"/>
          <w:shd w:val="clear" w:color="auto" w:fill="FFFFFF"/>
        </w:rPr>
        <w:footnoteReference w:id="91"/>
      </w:r>
      <w:r w:rsidR="0099207D" w:rsidRPr="001374DC">
        <w:rPr>
          <w:rFonts w:ascii="Times New Roman" w:hAnsi="Times New Roman" w:cs="Times New Roman"/>
          <w:kern w:val="24"/>
          <w:sz w:val="24"/>
          <w:szCs w:val="24"/>
          <w:shd w:val="clear" w:color="auto" w:fill="FFFFFF"/>
        </w:rPr>
        <w:t>…</w:t>
      </w:r>
      <w:r w:rsidR="00A70123" w:rsidRPr="001374DC">
        <w:rPr>
          <w:rFonts w:ascii="Times New Roman" w:hAnsi="Times New Roman" w:cs="Times New Roman"/>
          <w:kern w:val="24"/>
          <w:sz w:val="24"/>
          <w:szCs w:val="24"/>
          <w:shd w:val="clear" w:color="auto" w:fill="FFFFFF"/>
        </w:rPr>
        <w:t>)</w:t>
      </w:r>
      <w:r w:rsidRPr="001374DC">
        <w:rPr>
          <w:rFonts w:ascii="Times New Roman" w:hAnsi="Times New Roman" w:cs="Times New Roman"/>
          <w:kern w:val="24"/>
          <w:sz w:val="24"/>
          <w:szCs w:val="24"/>
          <w:shd w:val="clear" w:color="auto" w:fill="FFFFFF"/>
        </w:rPr>
        <w:t xml:space="preserve"> </w:t>
      </w:r>
      <w:bookmarkEnd w:id="250"/>
      <w:r w:rsidR="00A70123" w:rsidRPr="001374DC">
        <w:rPr>
          <w:rFonts w:ascii="Times New Roman" w:hAnsi="Times New Roman" w:cs="Times New Roman"/>
          <w:kern w:val="24"/>
          <w:sz w:val="24"/>
          <w:szCs w:val="24"/>
          <w:shd w:val="clear" w:color="auto" w:fill="FFFFFF"/>
        </w:rPr>
        <w:t xml:space="preserve">qui </w:t>
      </w:r>
      <w:r w:rsidRPr="001374DC">
        <w:rPr>
          <w:rFonts w:ascii="Times New Roman" w:hAnsi="Times New Roman" w:cs="Times New Roman"/>
          <w:kern w:val="24"/>
          <w:sz w:val="24"/>
          <w:szCs w:val="24"/>
          <w:shd w:val="clear" w:color="auto" w:fill="FFFFFF"/>
        </w:rPr>
        <w:t>proposent désormais des</w:t>
      </w:r>
      <w:r w:rsidR="00A70123" w:rsidRPr="001374DC">
        <w:rPr>
          <w:rFonts w:ascii="Times New Roman" w:hAnsi="Times New Roman" w:cs="Times New Roman"/>
          <w:kern w:val="24"/>
          <w:sz w:val="24"/>
          <w:szCs w:val="24"/>
          <w:shd w:val="clear" w:color="auto" w:fill="FFFFFF"/>
        </w:rPr>
        <w:t xml:space="preserve"> </w:t>
      </w:r>
      <w:r w:rsidRPr="001374DC">
        <w:rPr>
          <w:rStyle w:val="lev"/>
          <w:rFonts w:ascii="Times New Roman" w:hAnsi="Times New Roman" w:cs="Times New Roman"/>
          <w:b w:val="0"/>
          <w:bCs w:val="0"/>
          <w:kern w:val="24"/>
          <w:sz w:val="24"/>
          <w:szCs w:val="24"/>
          <w:shd w:val="clear" w:color="auto" w:fill="FFFFFF"/>
        </w:rPr>
        <w:t>produits et des solutions bancaires conformes aux principes de la finance islamique</w:t>
      </w:r>
      <w:r w:rsidR="00A70123" w:rsidRPr="001374DC">
        <w:rPr>
          <w:rStyle w:val="lev"/>
          <w:rFonts w:ascii="Times New Roman" w:hAnsi="Times New Roman" w:cs="Times New Roman"/>
          <w:b w:val="0"/>
          <w:bCs w:val="0"/>
          <w:kern w:val="24"/>
          <w:sz w:val="24"/>
          <w:szCs w:val="24"/>
          <w:shd w:val="clear" w:color="auto" w:fill="FFFFFF"/>
        </w:rPr>
        <w:t>.</w:t>
      </w:r>
      <w:r w:rsidRPr="001374DC">
        <w:rPr>
          <w:rStyle w:val="Appelnotedebasdep"/>
          <w:rFonts w:ascii="Times New Roman" w:hAnsi="Times New Roman"/>
          <w:kern w:val="24"/>
          <w:sz w:val="24"/>
          <w:szCs w:val="24"/>
          <w:shd w:val="clear" w:color="auto" w:fill="FFFFFF"/>
        </w:rPr>
        <w:footnoteReference w:id="92"/>
      </w:r>
    </w:p>
    <w:p w14:paraId="67661CA1" w14:textId="180A1939" w:rsidR="00354F11" w:rsidRPr="001374DC" w:rsidRDefault="0062706A" w:rsidP="001374DC">
      <w:pPr>
        <w:pStyle w:val="Titre7"/>
        <w:keepNext w:val="0"/>
        <w:keepLines w:val="0"/>
        <w:suppressAutoHyphens/>
        <w:spacing w:before="120" w:after="120" w:line="300" w:lineRule="auto"/>
        <w:ind w:firstLine="709"/>
        <w:rPr>
          <w:rFonts w:ascii="Times New Roman" w:hAnsi="Times New Roman" w:cs="Times New Roman"/>
          <w:b/>
          <w:bCs/>
          <w:i w:val="0"/>
          <w:iCs w:val="0"/>
          <w:color w:val="auto"/>
          <w:kern w:val="24"/>
          <w:sz w:val="24"/>
          <w:szCs w:val="24"/>
        </w:rPr>
      </w:pPr>
      <w:bookmarkStart w:id="251" w:name="_Toc182298629"/>
      <w:r w:rsidRPr="001374DC">
        <w:rPr>
          <w:rFonts w:ascii="Times New Roman" w:hAnsi="Times New Roman" w:cs="Times New Roman"/>
          <w:b/>
          <w:bCs/>
          <w:i w:val="0"/>
          <w:iCs w:val="0"/>
          <w:color w:val="auto"/>
          <w:kern w:val="24"/>
          <w:sz w:val="24"/>
          <w:szCs w:val="24"/>
          <w:shd w:val="clear" w:color="auto" w:fill="FFFFFF"/>
        </w:rPr>
        <w:t xml:space="preserve">1.4.3.4.2.4- </w:t>
      </w:r>
      <w:r w:rsidR="00354F11" w:rsidRPr="001374DC">
        <w:rPr>
          <w:rFonts w:ascii="Times New Roman" w:hAnsi="Times New Roman" w:cs="Times New Roman"/>
          <w:b/>
          <w:bCs/>
          <w:i w:val="0"/>
          <w:iCs w:val="0"/>
          <w:color w:val="auto"/>
          <w:kern w:val="24"/>
          <w:sz w:val="24"/>
          <w:szCs w:val="24"/>
          <w:shd w:val="clear" w:color="auto" w:fill="FFFFFF"/>
        </w:rPr>
        <w:t>Allemagne</w:t>
      </w:r>
      <w:bookmarkEnd w:id="251"/>
    </w:p>
    <w:p w14:paraId="53652A5F" w14:textId="71DA22F2" w:rsidR="00354F11" w:rsidRPr="001374DC" w:rsidRDefault="00354F11" w:rsidP="001374DC">
      <w:pPr>
        <w:pStyle w:val="Paragraphedeliste"/>
        <w:tabs>
          <w:tab w:val="left" w:pos="1843"/>
        </w:tabs>
        <w:spacing w:line="300" w:lineRule="auto"/>
        <w:ind w:left="0" w:firstLine="709"/>
        <w:contextualSpacing w:val="0"/>
        <w:rPr>
          <w:rFonts w:ascii="Times New Roman" w:hAnsi="Times New Roman" w:cs="Times New Roman"/>
          <w:kern w:val="24"/>
          <w:sz w:val="24"/>
          <w:szCs w:val="24"/>
          <w:shd w:val="clear" w:color="auto" w:fill="FFFFFF"/>
        </w:rPr>
      </w:pPr>
      <w:r w:rsidRPr="001374DC">
        <w:rPr>
          <w:rFonts w:ascii="Times New Roman" w:hAnsi="Times New Roman" w:cs="Times New Roman"/>
          <w:kern w:val="24"/>
          <w:sz w:val="24"/>
          <w:szCs w:val="24"/>
          <w:shd w:val="clear" w:color="auto" w:fill="FFFFFF"/>
        </w:rPr>
        <w:t xml:space="preserve">L’Allemagne compte une large communauté musulmane estimée à plus de 4,3 millions d’individus dont une majorité d’origine </w:t>
      </w:r>
      <w:r w:rsidR="00A70123" w:rsidRPr="001374DC">
        <w:rPr>
          <w:rFonts w:ascii="Times New Roman" w:hAnsi="Times New Roman" w:cs="Times New Roman"/>
          <w:kern w:val="24"/>
          <w:sz w:val="24"/>
          <w:szCs w:val="24"/>
          <w:shd w:val="clear" w:color="auto" w:fill="FFFFFF"/>
        </w:rPr>
        <w:t>t</w:t>
      </w:r>
      <w:r w:rsidRPr="001374DC">
        <w:rPr>
          <w:rFonts w:ascii="Times New Roman" w:hAnsi="Times New Roman" w:cs="Times New Roman"/>
          <w:kern w:val="24"/>
          <w:sz w:val="24"/>
          <w:szCs w:val="24"/>
          <w:shd w:val="clear" w:color="auto" w:fill="FFFFFF"/>
        </w:rPr>
        <w:t>urque. Il s’agit de la deuxième plus grande population musulmane dans l'UE après la France avec 5,5 millions.</w:t>
      </w:r>
    </w:p>
    <w:p w14:paraId="6B176F34" w14:textId="709C0C03" w:rsidR="00950B5E" w:rsidRPr="001374DC" w:rsidRDefault="00950B5E" w:rsidP="001374DC">
      <w:pPr>
        <w:pStyle w:val="Paragraphedeliste"/>
        <w:tabs>
          <w:tab w:val="left" w:pos="1843"/>
        </w:tabs>
        <w:spacing w:before="120" w:line="300" w:lineRule="auto"/>
        <w:ind w:left="0" w:firstLine="709"/>
        <w:contextualSpacing w:val="0"/>
        <w:rPr>
          <w:rFonts w:ascii="Times New Roman" w:hAnsi="Times New Roman" w:cs="Times New Roman"/>
          <w:kern w:val="24"/>
          <w:sz w:val="24"/>
          <w:szCs w:val="24"/>
          <w:shd w:val="clear" w:color="auto" w:fill="FFFFFF"/>
        </w:rPr>
      </w:pPr>
      <w:r w:rsidRPr="00A71500">
        <w:rPr>
          <w:rFonts w:ascii="Times New Roman" w:hAnsi="Times New Roman" w:cs="Times New Roman"/>
          <w:kern w:val="24"/>
          <w:sz w:val="24"/>
          <w:szCs w:val="24"/>
          <w:shd w:val="clear" w:color="auto" w:fill="FFFFFF"/>
        </w:rPr>
        <w:t>A</w:t>
      </w:r>
      <w:r w:rsidR="00A70123" w:rsidRPr="00A71500">
        <w:rPr>
          <w:rFonts w:ascii="Times New Roman" w:hAnsi="Times New Roman" w:cs="Times New Roman"/>
          <w:kern w:val="24"/>
          <w:sz w:val="24"/>
          <w:szCs w:val="24"/>
          <w:shd w:val="clear" w:color="auto" w:fill="FFFFFF"/>
        </w:rPr>
        <w:t>ctuellement</w:t>
      </w:r>
      <w:r w:rsidRPr="00A71500">
        <w:rPr>
          <w:rFonts w:ascii="Times New Roman" w:hAnsi="Times New Roman" w:cs="Times New Roman"/>
          <w:kern w:val="24"/>
          <w:sz w:val="24"/>
          <w:szCs w:val="24"/>
          <w:shd w:val="clear" w:color="auto" w:fill="FFFFFF"/>
        </w:rPr>
        <w:t xml:space="preserve">, deux banques islamiques opèrent en Allemagne. </w:t>
      </w:r>
      <w:r w:rsidR="00CA6B58" w:rsidRPr="00A71500">
        <w:rPr>
          <w:rFonts w:ascii="Times New Roman" w:hAnsi="Times New Roman" w:cs="Times New Roman"/>
          <w:kern w:val="24"/>
          <w:sz w:val="24"/>
          <w:szCs w:val="24"/>
          <w:shd w:val="clear" w:color="auto" w:fill="FFFFFF"/>
        </w:rPr>
        <w:t>KT Bank AG</w:t>
      </w:r>
      <w:r w:rsidRPr="00A71500">
        <w:rPr>
          <w:rFonts w:ascii="Times New Roman" w:hAnsi="Times New Roman" w:cs="Times New Roman"/>
          <w:kern w:val="24"/>
          <w:sz w:val="24"/>
          <w:szCs w:val="24"/>
          <w:shd w:val="clear" w:color="auto" w:fill="FFFFFF"/>
        </w:rPr>
        <w:t xml:space="preserve"> (filiale</w:t>
      </w:r>
      <w:r w:rsidRPr="001374DC">
        <w:rPr>
          <w:rFonts w:ascii="Times New Roman" w:hAnsi="Times New Roman" w:cs="Times New Roman"/>
          <w:kern w:val="24"/>
          <w:sz w:val="24"/>
          <w:szCs w:val="24"/>
          <w:shd w:val="clear" w:color="auto" w:fill="FFFFFF"/>
        </w:rPr>
        <w:t xml:space="preserve"> de la banque turque Kuveyt Türk)</w:t>
      </w:r>
      <w:r w:rsidR="00CA6B58" w:rsidRPr="001374DC">
        <w:rPr>
          <w:rFonts w:ascii="Times New Roman" w:hAnsi="Times New Roman" w:cs="Times New Roman"/>
          <w:kern w:val="24"/>
          <w:sz w:val="24"/>
          <w:szCs w:val="24"/>
          <w:shd w:val="clear" w:color="auto" w:fill="FFFFFF"/>
        </w:rPr>
        <w:t xml:space="preserve">, première banque islamique </w:t>
      </w:r>
      <w:r w:rsidR="00A70123" w:rsidRPr="001374DC">
        <w:rPr>
          <w:rFonts w:ascii="Times New Roman" w:hAnsi="Times New Roman" w:cs="Times New Roman"/>
          <w:kern w:val="24"/>
          <w:sz w:val="24"/>
          <w:szCs w:val="24"/>
          <w:shd w:val="clear" w:color="auto" w:fill="FFFFFF"/>
        </w:rPr>
        <w:t xml:space="preserve">en </w:t>
      </w:r>
      <w:r w:rsidR="00CA6B58" w:rsidRPr="001374DC">
        <w:rPr>
          <w:rFonts w:ascii="Times New Roman" w:hAnsi="Times New Roman" w:cs="Times New Roman"/>
          <w:kern w:val="24"/>
          <w:sz w:val="24"/>
          <w:szCs w:val="24"/>
          <w:shd w:val="clear" w:color="auto" w:fill="FFFFFF"/>
        </w:rPr>
        <w:t xml:space="preserve">Allemagne et de la </w:t>
      </w:r>
      <w:r w:rsidR="00A70123" w:rsidRPr="001374DC">
        <w:rPr>
          <w:rFonts w:ascii="Times New Roman" w:hAnsi="Times New Roman" w:cs="Times New Roman"/>
          <w:kern w:val="24"/>
          <w:sz w:val="24"/>
          <w:szCs w:val="24"/>
          <w:shd w:val="clear" w:color="auto" w:fill="FFFFFF"/>
        </w:rPr>
        <w:t>Z</w:t>
      </w:r>
      <w:r w:rsidR="00CA6B58" w:rsidRPr="001374DC">
        <w:rPr>
          <w:rFonts w:ascii="Times New Roman" w:hAnsi="Times New Roman" w:cs="Times New Roman"/>
          <w:kern w:val="24"/>
          <w:sz w:val="24"/>
          <w:szCs w:val="24"/>
          <w:shd w:val="clear" w:color="auto" w:fill="FFFFFF"/>
        </w:rPr>
        <w:t xml:space="preserve">one </w:t>
      </w:r>
      <w:r w:rsidR="00A70123" w:rsidRPr="001374DC">
        <w:rPr>
          <w:rFonts w:ascii="Times New Roman" w:hAnsi="Times New Roman" w:cs="Times New Roman"/>
          <w:kern w:val="24"/>
          <w:sz w:val="24"/>
          <w:szCs w:val="24"/>
          <w:shd w:val="clear" w:color="auto" w:fill="FFFFFF"/>
        </w:rPr>
        <w:t>E</w:t>
      </w:r>
      <w:r w:rsidR="00CA6B58" w:rsidRPr="001374DC">
        <w:rPr>
          <w:rFonts w:ascii="Times New Roman" w:hAnsi="Times New Roman" w:cs="Times New Roman"/>
          <w:kern w:val="24"/>
          <w:sz w:val="24"/>
          <w:szCs w:val="24"/>
          <w:shd w:val="clear" w:color="auto" w:fill="FFFFFF"/>
        </w:rPr>
        <w:t>uro</w:t>
      </w:r>
      <w:r w:rsidR="00A70123" w:rsidRPr="001374DC">
        <w:rPr>
          <w:rFonts w:ascii="Times New Roman" w:hAnsi="Times New Roman" w:cs="Times New Roman"/>
          <w:kern w:val="24"/>
          <w:sz w:val="24"/>
          <w:szCs w:val="24"/>
          <w:shd w:val="clear" w:color="auto" w:fill="FFFFFF"/>
        </w:rPr>
        <w:t>,</w:t>
      </w:r>
      <w:r w:rsidR="00CA6B58" w:rsidRPr="001374DC">
        <w:rPr>
          <w:rFonts w:ascii="Times New Roman" w:hAnsi="Times New Roman" w:cs="Times New Roman"/>
          <w:kern w:val="24"/>
          <w:sz w:val="24"/>
          <w:szCs w:val="24"/>
          <w:shd w:val="clear" w:color="auto" w:fill="FFFFFF"/>
        </w:rPr>
        <w:t xml:space="preserve"> dispose de succursales à Francfort, Berlin, Cologne et Mannheim. Présente en Allemagne depuis 2004, KT Bank AG a obtenu de l’Autorité fédérale de surveillance des finances (BaFin) une licence de courtage en 2010. En mars 2015, après avoir présenté une demande d’agrément en 2012, la BaFin lui a accordé une licence bancaire complète pour la fourniture d’activités de dépôts et de crédits</w:t>
      </w:r>
      <w:r w:rsidR="0014539F" w:rsidRPr="001374DC">
        <w:rPr>
          <w:rStyle w:val="Appelnotedebasdep"/>
          <w:rFonts w:ascii="Times New Roman" w:hAnsi="Times New Roman"/>
          <w:kern w:val="24"/>
          <w:sz w:val="24"/>
          <w:szCs w:val="24"/>
          <w:shd w:val="clear" w:color="auto" w:fill="FFFFFF"/>
        </w:rPr>
        <w:footnoteReference w:id="93"/>
      </w:r>
      <w:r w:rsidR="00CA6B58" w:rsidRPr="001374DC">
        <w:rPr>
          <w:rFonts w:ascii="Times New Roman" w:hAnsi="Times New Roman" w:cs="Times New Roman"/>
          <w:kern w:val="24"/>
          <w:sz w:val="24"/>
          <w:szCs w:val="24"/>
          <w:shd w:val="clear" w:color="auto" w:fill="FFFFFF"/>
        </w:rPr>
        <w:t>.</w:t>
      </w:r>
    </w:p>
    <w:p w14:paraId="7D11FEEB" w14:textId="4B058EAD" w:rsidR="00E63199" w:rsidRPr="001374DC" w:rsidRDefault="00A70123" w:rsidP="001374DC">
      <w:pPr>
        <w:pStyle w:val="Paragraphedeliste"/>
        <w:spacing w:before="120" w:line="300" w:lineRule="auto"/>
        <w:ind w:left="0" w:firstLine="720"/>
        <w:contextualSpacing w:val="0"/>
        <w:rPr>
          <w:rFonts w:ascii="Times New Roman" w:hAnsi="Times New Roman" w:cs="Times New Roman"/>
          <w:kern w:val="24"/>
          <w:sz w:val="24"/>
          <w:szCs w:val="24"/>
          <w:shd w:val="clear" w:color="auto" w:fill="FFFFFF"/>
          <w:lang w:bidi="ar-DZ"/>
        </w:rPr>
      </w:pPr>
      <w:r w:rsidRPr="00A71500">
        <w:rPr>
          <w:rFonts w:ascii="Times New Roman" w:hAnsi="Times New Roman" w:cs="Times New Roman"/>
          <w:kern w:val="24"/>
          <w:sz w:val="24"/>
          <w:szCs w:val="24"/>
          <w:shd w:val="clear" w:color="auto" w:fill="FFFFFF"/>
        </w:rPr>
        <w:lastRenderedPageBreak/>
        <w:t>Créée en 2017, l</w:t>
      </w:r>
      <w:r w:rsidR="00950B5E" w:rsidRPr="00A71500">
        <w:rPr>
          <w:rFonts w:ascii="Times New Roman" w:hAnsi="Times New Roman" w:cs="Times New Roman"/>
          <w:kern w:val="24"/>
          <w:sz w:val="24"/>
          <w:szCs w:val="24"/>
          <w:shd w:val="clear" w:color="auto" w:fill="FFFFFF"/>
        </w:rPr>
        <w:t>a deuxième banque est Insha Bank, offrant un service bancaire numérique</w:t>
      </w:r>
      <w:r w:rsidRPr="00A71500">
        <w:rPr>
          <w:rFonts w:ascii="Times New Roman" w:hAnsi="Times New Roman" w:cs="Times New Roman"/>
          <w:kern w:val="24"/>
          <w:sz w:val="24"/>
          <w:szCs w:val="24"/>
          <w:shd w:val="clear" w:color="auto" w:fill="FFFFFF"/>
        </w:rPr>
        <w:t>.</w:t>
      </w:r>
      <w:r w:rsidR="00950B5E" w:rsidRPr="00A71500">
        <w:rPr>
          <w:rFonts w:ascii="Times New Roman" w:hAnsi="Times New Roman" w:cs="Times New Roman"/>
          <w:kern w:val="24"/>
          <w:sz w:val="24"/>
          <w:szCs w:val="24"/>
          <w:shd w:val="clear" w:color="auto" w:fill="FFFFFF"/>
        </w:rPr>
        <w:t xml:space="preserve"> </w:t>
      </w:r>
      <w:r w:rsidRPr="00A71500">
        <w:rPr>
          <w:rFonts w:ascii="Times New Roman" w:hAnsi="Times New Roman" w:cs="Times New Roman"/>
          <w:kern w:val="24"/>
          <w:sz w:val="24"/>
          <w:szCs w:val="24"/>
          <w:shd w:val="clear" w:color="auto" w:fill="FFFFFF"/>
        </w:rPr>
        <w:t>Elle émane de</w:t>
      </w:r>
      <w:r w:rsidR="00E63199" w:rsidRPr="00A71500">
        <w:rPr>
          <w:rFonts w:ascii="Times New Roman" w:hAnsi="Times New Roman" w:cs="Times New Roman"/>
          <w:kern w:val="24"/>
          <w:sz w:val="24"/>
          <w:szCs w:val="24"/>
          <w:shd w:val="clear" w:color="auto" w:fill="FFFFFF"/>
        </w:rPr>
        <w:t xml:space="preserve"> la</w:t>
      </w:r>
      <w:r w:rsidR="00950B5E" w:rsidRPr="00A71500">
        <w:rPr>
          <w:rFonts w:ascii="Times New Roman" w:hAnsi="Times New Roman" w:cs="Times New Roman"/>
          <w:kern w:val="24"/>
          <w:sz w:val="24"/>
          <w:szCs w:val="24"/>
          <w:shd w:val="clear" w:color="auto" w:fill="FFFFFF"/>
        </w:rPr>
        <w:t xml:space="preserve"> banque islamique turque</w:t>
      </w:r>
      <w:r w:rsidR="00E63199" w:rsidRPr="00A71500">
        <w:rPr>
          <w:rFonts w:ascii="Times New Roman" w:hAnsi="Times New Roman" w:cs="Times New Roman"/>
          <w:kern w:val="24"/>
          <w:sz w:val="24"/>
          <w:szCs w:val="24"/>
          <w:shd w:val="clear" w:color="auto" w:fill="FFFFFF"/>
        </w:rPr>
        <w:t xml:space="preserve"> </w:t>
      </w:r>
      <w:r w:rsidR="00950B5E" w:rsidRPr="00A71500">
        <w:rPr>
          <w:rFonts w:ascii="Times New Roman" w:hAnsi="Times New Roman" w:cs="Times New Roman"/>
          <w:kern w:val="24"/>
          <w:sz w:val="24"/>
          <w:szCs w:val="24"/>
          <w:shd w:val="clear" w:color="auto" w:fill="FFFFFF"/>
        </w:rPr>
        <w:t>Albaraka Türk fai</w:t>
      </w:r>
      <w:r w:rsidRPr="00A71500">
        <w:rPr>
          <w:rFonts w:ascii="Times New Roman" w:hAnsi="Times New Roman" w:cs="Times New Roman"/>
          <w:kern w:val="24"/>
          <w:sz w:val="24"/>
          <w:szCs w:val="24"/>
          <w:shd w:val="clear" w:color="auto" w:fill="FFFFFF"/>
        </w:rPr>
        <w:t>sant</w:t>
      </w:r>
      <w:r w:rsidR="00950B5E" w:rsidRPr="00A71500">
        <w:rPr>
          <w:rFonts w:ascii="Times New Roman" w:hAnsi="Times New Roman" w:cs="Times New Roman"/>
          <w:kern w:val="24"/>
          <w:sz w:val="24"/>
          <w:szCs w:val="24"/>
          <w:shd w:val="clear" w:color="auto" w:fill="FFFFFF"/>
        </w:rPr>
        <w:t xml:space="preserve"> partie </w:t>
      </w:r>
      <w:r w:rsidRPr="00A71500">
        <w:rPr>
          <w:rFonts w:ascii="Times New Roman" w:hAnsi="Times New Roman" w:cs="Times New Roman"/>
          <w:kern w:val="24"/>
          <w:sz w:val="24"/>
          <w:szCs w:val="24"/>
          <w:shd w:val="clear" w:color="auto" w:fill="FFFFFF"/>
        </w:rPr>
        <w:t>elle-</w:t>
      </w:r>
      <w:r w:rsidRPr="001374DC">
        <w:rPr>
          <w:rFonts w:ascii="Times New Roman" w:hAnsi="Times New Roman" w:cs="Times New Roman"/>
          <w:kern w:val="24"/>
          <w:sz w:val="24"/>
          <w:szCs w:val="24"/>
          <w:shd w:val="clear" w:color="auto" w:fill="FFFFFF"/>
        </w:rPr>
        <w:t>même du</w:t>
      </w:r>
      <w:r w:rsidR="00950B5E" w:rsidRPr="001374DC">
        <w:rPr>
          <w:rFonts w:ascii="Times New Roman" w:hAnsi="Times New Roman" w:cs="Times New Roman"/>
          <w:kern w:val="24"/>
          <w:sz w:val="24"/>
          <w:szCs w:val="24"/>
          <w:shd w:val="clear" w:color="auto" w:fill="FFFFFF"/>
        </w:rPr>
        <w:t xml:space="preserve"> groupe bancaire </w:t>
      </w:r>
      <w:r w:rsidR="00E70170" w:rsidRPr="001374DC">
        <w:rPr>
          <w:rFonts w:ascii="Times New Roman" w:hAnsi="Times New Roman" w:cs="Times New Roman"/>
          <w:kern w:val="24"/>
          <w:sz w:val="24"/>
          <w:szCs w:val="24"/>
          <w:shd w:val="clear" w:color="auto" w:fill="FFFFFF"/>
        </w:rPr>
        <w:t>AlBaraka</w:t>
      </w:r>
      <w:r w:rsidR="00E63199" w:rsidRPr="001374DC">
        <w:rPr>
          <w:rFonts w:ascii="Times New Roman" w:hAnsi="Times New Roman" w:cs="Times New Roman"/>
          <w:kern w:val="24"/>
          <w:sz w:val="24"/>
          <w:szCs w:val="24"/>
          <w:shd w:val="clear" w:color="auto" w:fill="FFFFFF"/>
        </w:rPr>
        <w:t xml:space="preserve"> de </w:t>
      </w:r>
      <w:r w:rsidR="00E70170" w:rsidRPr="001374DC">
        <w:rPr>
          <w:rFonts w:ascii="Times New Roman" w:hAnsi="Times New Roman" w:cs="Times New Roman"/>
          <w:kern w:val="24"/>
          <w:sz w:val="24"/>
          <w:szCs w:val="24"/>
          <w:shd w:val="clear" w:color="auto" w:fill="FFFFFF"/>
        </w:rPr>
        <w:t>Bahreïn</w:t>
      </w:r>
      <w:r w:rsidR="00950B5E" w:rsidRPr="001374DC">
        <w:rPr>
          <w:rFonts w:ascii="Times New Roman" w:hAnsi="Times New Roman" w:cs="Times New Roman"/>
          <w:kern w:val="24"/>
          <w:sz w:val="24"/>
          <w:szCs w:val="24"/>
          <w:shd w:val="clear" w:color="auto" w:fill="FFFFFF"/>
        </w:rPr>
        <w:t xml:space="preserve">. </w:t>
      </w:r>
      <w:r w:rsidR="00025510" w:rsidRPr="001374DC">
        <w:rPr>
          <w:rFonts w:ascii="Times New Roman" w:hAnsi="Times New Roman" w:cs="Times New Roman"/>
          <w:kern w:val="24"/>
          <w:sz w:val="24"/>
          <w:szCs w:val="24"/>
          <w:shd w:val="clear" w:color="auto" w:fill="FFFFFF"/>
        </w:rPr>
        <w:t>Les services offerts par c</w:t>
      </w:r>
      <w:r w:rsidR="00E63199" w:rsidRPr="001374DC">
        <w:rPr>
          <w:rFonts w:ascii="Times New Roman" w:hAnsi="Times New Roman" w:cs="Times New Roman"/>
          <w:kern w:val="24"/>
          <w:sz w:val="24"/>
          <w:szCs w:val="24"/>
          <w:shd w:val="clear" w:color="auto" w:fill="FFFFFF"/>
        </w:rPr>
        <w:t xml:space="preserve">es deux banques attirent la population musulmane </w:t>
      </w:r>
      <w:r w:rsidRPr="001374DC">
        <w:rPr>
          <w:rFonts w:ascii="Times New Roman" w:hAnsi="Times New Roman" w:cs="Times New Roman"/>
          <w:kern w:val="24"/>
          <w:sz w:val="24"/>
          <w:szCs w:val="24"/>
          <w:shd w:val="clear" w:color="auto" w:fill="FFFFFF"/>
        </w:rPr>
        <w:t xml:space="preserve">préférant </w:t>
      </w:r>
      <w:r w:rsidR="00025510" w:rsidRPr="001374DC">
        <w:rPr>
          <w:rFonts w:ascii="Times New Roman" w:hAnsi="Times New Roman" w:cs="Times New Roman"/>
          <w:kern w:val="24"/>
          <w:sz w:val="24"/>
          <w:szCs w:val="24"/>
          <w:shd w:val="clear" w:color="auto" w:fill="FFFFFF"/>
        </w:rPr>
        <w:t>les banques de leur pays d’origine</w:t>
      </w:r>
      <w:r w:rsidRPr="001374DC">
        <w:rPr>
          <w:rFonts w:ascii="Times New Roman" w:hAnsi="Times New Roman" w:cs="Times New Roman"/>
          <w:kern w:val="24"/>
          <w:sz w:val="24"/>
          <w:szCs w:val="24"/>
          <w:shd w:val="clear" w:color="auto" w:fill="FFFFFF"/>
        </w:rPr>
        <w:t>.</w:t>
      </w:r>
      <w:r w:rsidR="00025510" w:rsidRPr="001374DC">
        <w:rPr>
          <w:rStyle w:val="Appelnotedebasdep"/>
          <w:rFonts w:ascii="Times New Roman" w:hAnsi="Times New Roman"/>
          <w:kern w:val="24"/>
          <w:sz w:val="24"/>
          <w:szCs w:val="24"/>
          <w:shd w:val="clear" w:color="auto" w:fill="FFFFFF"/>
        </w:rPr>
        <w:footnoteReference w:id="94"/>
      </w:r>
    </w:p>
    <w:p w14:paraId="366D8644" w14:textId="77777777" w:rsidR="002760B2" w:rsidRPr="001374DC" w:rsidRDefault="00DF41BC" w:rsidP="001374DC">
      <w:pPr>
        <w:pStyle w:val="Titre6"/>
        <w:keepNext w:val="0"/>
        <w:keepLines w:val="0"/>
        <w:spacing w:before="120" w:after="120" w:line="300" w:lineRule="auto"/>
        <w:ind w:firstLine="709"/>
        <w:rPr>
          <w:rFonts w:ascii="Times New Roman" w:hAnsi="Times New Roman" w:cs="Times New Roman"/>
          <w:b/>
          <w:bCs/>
          <w:i w:val="0"/>
          <w:iCs w:val="0"/>
          <w:color w:val="auto"/>
          <w:kern w:val="24"/>
          <w:sz w:val="24"/>
          <w:szCs w:val="24"/>
        </w:rPr>
      </w:pPr>
      <w:bookmarkStart w:id="252" w:name="_Toc182298630"/>
      <w:r w:rsidRPr="001374DC">
        <w:rPr>
          <w:rFonts w:ascii="Times New Roman" w:hAnsi="Times New Roman" w:cs="Times New Roman"/>
          <w:b/>
          <w:bCs/>
          <w:i w:val="0"/>
          <w:iCs w:val="0"/>
          <w:color w:val="auto"/>
          <w:kern w:val="24"/>
          <w:sz w:val="24"/>
          <w:szCs w:val="24"/>
        </w:rPr>
        <w:t xml:space="preserve">1.4.3.4.3- </w:t>
      </w:r>
      <w:r w:rsidR="004C7876" w:rsidRPr="001374DC">
        <w:rPr>
          <w:rFonts w:ascii="Times New Roman" w:hAnsi="Times New Roman" w:cs="Times New Roman"/>
          <w:b/>
          <w:bCs/>
          <w:i w:val="0"/>
          <w:iCs w:val="0"/>
          <w:color w:val="auto"/>
          <w:kern w:val="24"/>
          <w:sz w:val="24"/>
          <w:szCs w:val="24"/>
        </w:rPr>
        <w:t>Afrique du nord</w:t>
      </w:r>
      <w:bookmarkEnd w:id="252"/>
    </w:p>
    <w:p w14:paraId="5378ACE3" w14:textId="06D4E218" w:rsidR="00477DF1" w:rsidRPr="001374DC" w:rsidRDefault="00CA5C17" w:rsidP="001374DC">
      <w:pPr>
        <w:tabs>
          <w:tab w:val="left" w:pos="0"/>
        </w:tabs>
        <w:spacing w:before="120" w:line="300" w:lineRule="auto"/>
        <w:ind w:firstLine="709"/>
        <w:rPr>
          <w:rFonts w:ascii="Times New Roman" w:hAnsi="Times New Roman" w:cs="Times New Roman"/>
          <w:kern w:val="24"/>
          <w:sz w:val="24"/>
          <w:szCs w:val="24"/>
        </w:rPr>
      </w:pPr>
      <w:bookmarkStart w:id="253" w:name="_Hlk167400198"/>
      <w:r w:rsidRPr="001374DC">
        <w:rPr>
          <w:rFonts w:ascii="Times New Roman" w:hAnsi="Times New Roman" w:cs="Times New Roman"/>
          <w:kern w:val="24"/>
          <w:sz w:val="24"/>
          <w:szCs w:val="24"/>
        </w:rPr>
        <w:t xml:space="preserve">La finance islamique est peu développée en Tunisie. En 2010, les actifs bancaires conformes à la </w:t>
      </w:r>
      <w:r w:rsidR="00A5400B" w:rsidRPr="001374DC">
        <w:rPr>
          <w:rFonts w:ascii="Times New Roman" w:hAnsi="Times New Roman" w:cs="Times New Roman"/>
          <w:i/>
          <w:kern w:val="24"/>
          <w:sz w:val="24"/>
          <w:szCs w:val="24"/>
        </w:rPr>
        <w:t>Shariah</w:t>
      </w:r>
      <w:r w:rsidRPr="001374DC">
        <w:rPr>
          <w:rFonts w:ascii="Times New Roman" w:hAnsi="Times New Roman" w:cs="Times New Roman"/>
          <w:kern w:val="24"/>
          <w:sz w:val="24"/>
          <w:szCs w:val="24"/>
        </w:rPr>
        <w:t xml:space="preserve"> ne représentaient que 2,2% de l’actif total des banques</w:t>
      </w:r>
      <w:r w:rsidRPr="001374DC">
        <w:rPr>
          <w:rStyle w:val="Appelnotedebasdep"/>
          <w:rFonts w:ascii="Times New Roman" w:hAnsi="Times New Roman"/>
          <w:kern w:val="24"/>
          <w:sz w:val="24"/>
          <w:szCs w:val="24"/>
        </w:rPr>
        <w:footnoteReference w:id="95"/>
      </w:r>
      <w:r w:rsidRPr="001374DC">
        <w:rPr>
          <w:rFonts w:ascii="Times New Roman" w:hAnsi="Times New Roman" w:cs="Times New Roman"/>
          <w:kern w:val="24"/>
          <w:sz w:val="24"/>
          <w:szCs w:val="24"/>
        </w:rPr>
        <w:t xml:space="preserve">. </w:t>
      </w:r>
      <w:r w:rsidR="00337C81" w:rsidRPr="001374DC">
        <w:rPr>
          <w:rFonts w:ascii="Times New Roman" w:hAnsi="Times New Roman" w:cs="Times New Roman"/>
          <w:kern w:val="24"/>
          <w:sz w:val="24"/>
          <w:szCs w:val="24"/>
        </w:rPr>
        <w:t>Actuellement</w:t>
      </w:r>
      <w:r w:rsidRPr="001374DC">
        <w:rPr>
          <w:rFonts w:ascii="Times New Roman" w:hAnsi="Times New Roman" w:cs="Times New Roman"/>
          <w:kern w:val="24"/>
          <w:sz w:val="24"/>
          <w:szCs w:val="24"/>
        </w:rPr>
        <w:t>, trois banques islamiques interviennent sur le marché tun</w:t>
      </w:r>
      <w:r w:rsidR="00477DF1" w:rsidRPr="001374DC">
        <w:rPr>
          <w:rFonts w:ascii="Times New Roman" w:hAnsi="Times New Roman" w:cs="Times New Roman"/>
          <w:kern w:val="24"/>
          <w:sz w:val="24"/>
          <w:szCs w:val="24"/>
        </w:rPr>
        <w:t>isien</w:t>
      </w:r>
      <w:r w:rsidR="00337C81" w:rsidRPr="001374DC">
        <w:rPr>
          <w:rFonts w:ascii="Times New Roman" w:hAnsi="Times New Roman" w:cs="Times New Roman"/>
          <w:kern w:val="24"/>
          <w:sz w:val="24"/>
          <w:szCs w:val="24"/>
        </w:rPr>
        <w:t>,</w:t>
      </w:r>
      <w:r w:rsidRPr="001374DC">
        <w:rPr>
          <w:rFonts w:ascii="Times New Roman" w:hAnsi="Times New Roman" w:cs="Times New Roman"/>
          <w:kern w:val="24"/>
          <w:sz w:val="24"/>
          <w:szCs w:val="24"/>
        </w:rPr>
        <w:t xml:space="preserve"> à savoir </w:t>
      </w:r>
      <w:r w:rsidR="00F83F7F" w:rsidRPr="001374DC">
        <w:rPr>
          <w:rFonts w:ascii="Times New Roman" w:hAnsi="Times New Roman" w:cs="Times New Roman"/>
          <w:kern w:val="24"/>
          <w:sz w:val="24"/>
          <w:szCs w:val="24"/>
        </w:rPr>
        <w:t xml:space="preserve">Banque Zitouna, AlBaraka Bank </w:t>
      </w:r>
      <w:r w:rsidR="001B2B08" w:rsidRPr="001374DC">
        <w:rPr>
          <w:rFonts w:ascii="Times New Roman" w:hAnsi="Times New Roman" w:cs="Times New Roman"/>
          <w:kern w:val="24"/>
          <w:sz w:val="24"/>
          <w:szCs w:val="24"/>
        </w:rPr>
        <w:t xml:space="preserve">Tunisia </w:t>
      </w:r>
      <w:r w:rsidR="00F83F7F" w:rsidRPr="001374DC">
        <w:rPr>
          <w:rFonts w:ascii="Times New Roman" w:hAnsi="Times New Roman" w:cs="Times New Roman"/>
          <w:kern w:val="24"/>
          <w:sz w:val="24"/>
          <w:szCs w:val="24"/>
        </w:rPr>
        <w:t>et Wifak International Bank</w:t>
      </w:r>
      <w:r w:rsidR="001B2B08" w:rsidRPr="001374DC">
        <w:rPr>
          <w:rFonts w:ascii="Times New Roman" w:hAnsi="Times New Roman" w:cs="Times New Roman"/>
          <w:kern w:val="24"/>
          <w:sz w:val="24"/>
          <w:szCs w:val="24"/>
        </w:rPr>
        <w:t xml:space="preserve">. </w:t>
      </w:r>
      <w:bookmarkEnd w:id="253"/>
    </w:p>
    <w:p w14:paraId="7E24AE87" w14:textId="02500912" w:rsidR="00E70170" w:rsidRPr="001374DC" w:rsidRDefault="00E70170" w:rsidP="001374DC">
      <w:pPr>
        <w:tabs>
          <w:tab w:val="left" w:pos="0"/>
        </w:tabs>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En juillet 2016, une nouvelle loi bancaire encadrant explicitement l'activité des services bancaires islamiques a été promulguée</w:t>
      </w:r>
      <w:r w:rsidR="00427A65" w:rsidRPr="001374DC">
        <w:rPr>
          <w:rFonts w:ascii="Times New Roman" w:hAnsi="Times New Roman" w:cs="Times New Roman"/>
          <w:kern w:val="24"/>
          <w:sz w:val="24"/>
          <w:szCs w:val="24"/>
        </w:rPr>
        <w:t>.</w:t>
      </w:r>
      <w:r w:rsidR="00427A65" w:rsidRPr="001374DC">
        <w:rPr>
          <w:rStyle w:val="Appelnotedebasdep"/>
          <w:rFonts w:ascii="Times New Roman" w:hAnsi="Times New Roman"/>
          <w:kern w:val="24"/>
          <w:sz w:val="24"/>
          <w:szCs w:val="24"/>
        </w:rPr>
        <w:footnoteReference w:id="96"/>
      </w:r>
      <w:r w:rsidR="00477DF1" w:rsidRPr="001374DC">
        <w:rPr>
          <w:rFonts w:ascii="Times New Roman" w:hAnsi="Times New Roman" w:cs="Times New Roman"/>
          <w:kern w:val="24"/>
          <w:sz w:val="24"/>
          <w:szCs w:val="24"/>
        </w:rPr>
        <w:t xml:space="preserve"> </w:t>
      </w:r>
      <w:r w:rsidR="00477DF1" w:rsidRPr="001374DC">
        <w:rPr>
          <w:rFonts w:ascii="Times New Roman" w:eastAsia="Times New Roman" w:hAnsi="Times New Roman" w:cs="Times New Roman"/>
          <w:kern w:val="24"/>
          <w:sz w:val="24"/>
          <w:szCs w:val="24"/>
          <w:lang w:eastAsia="fr-FR"/>
        </w:rPr>
        <w:t>De même, en vue de finaliser le</w:t>
      </w:r>
      <w:r w:rsidR="00477DF1" w:rsidRPr="001374DC">
        <w:rPr>
          <w:rFonts w:ascii="Times New Roman" w:hAnsi="Times New Roman" w:cs="Times New Roman"/>
          <w:kern w:val="24"/>
          <w:sz w:val="24"/>
          <w:szCs w:val="24"/>
        </w:rPr>
        <w:t xml:space="preserve"> cadre réglementaire et opérationnel de la finance islamique, la Banque centrale de Tunisie a émis en octobre 2019 une circulaire relative aux modalités d'ouverture de fenêtres islamiques par les banques conventionnelles. Elle permet aux banques et aux institutions financières d’adopter les produits de la finance islamique simultanément avec la finance conventionnelle</w:t>
      </w:r>
    </w:p>
    <w:p w14:paraId="6F19877A" w14:textId="0874A683" w:rsidR="00CA5C17" w:rsidRPr="001374DC" w:rsidRDefault="00CA5C17" w:rsidP="001374DC">
      <w:pPr>
        <w:tabs>
          <w:tab w:val="left" w:pos="0"/>
        </w:tabs>
        <w:spacing w:before="120" w:line="300" w:lineRule="auto"/>
        <w:ind w:firstLine="709"/>
        <w:rPr>
          <w:rFonts w:ascii="Times New Roman" w:hAnsi="Times New Roman" w:cs="Times New Roman"/>
          <w:kern w:val="24"/>
          <w:sz w:val="24"/>
          <w:szCs w:val="24"/>
          <w:shd w:val="clear" w:color="auto" w:fill="FAFAFA"/>
        </w:rPr>
      </w:pPr>
      <w:r w:rsidRPr="001374DC">
        <w:rPr>
          <w:rFonts w:ascii="Times New Roman" w:hAnsi="Times New Roman" w:cs="Times New Roman"/>
          <w:kern w:val="24"/>
          <w:sz w:val="24"/>
          <w:szCs w:val="24"/>
        </w:rPr>
        <w:t xml:space="preserve">Au Maroc, la banque centrale Bank Al-Maghreb a autorisé </w:t>
      </w:r>
      <w:r w:rsidR="00337C81" w:rsidRPr="001374DC">
        <w:rPr>
          <w:rFonts w:ascii="Times New Roman" w:hAnsi="Times New Roman" w:cs="Times New Roman"/>
          <w:kern w:val="24"/>
          <w:sz w:val="24"/>
          <w:szCs w:val="24"/>
        </w:rPr>
        <w:t>l’</w:t>
      </w:r>
      <w:r w:rsidRPr="001374DC">
        <w:rPr>
          <w:rFonts w:ascii="Times New Roman" w:hAnsi="Times New Roman" w:cs="Times New Roman"/>
          <w:kern w:val="24"/>
          <w:sz w:val="24"/>
          <w:szCs w:val="24"/>
        </w:rPr>
        <w:t>ouv</w:t>
      </w:r>
      <w:r w:rsidR="00337C81" w:rsidRPr="001374DC">
        <w:rPr>
          <w:rFonts w:ascii="Times New Roman" w:hAnsi="Times New Roman" w:cs="Times New Roman"/>
          <w:kern w:val="24"/>
          <w:sz w:val="24"/>
          <w:szCs w:val="24"/>
        </w:rPr>
        <w:t>erture de</w:t>
      </w:r>
      <w:r w:rsidRPr="001374DC">
        <w:rPr>
          <w:rFonts w:ascii="Times New Roman" w:hAnsi="Times New Roman" w:cs="Times New Roman"/>
          <w:kern w:val="24"/>
          <w:sz w:val="24"/>
          <w:szCs w:val="24"/>
        </w:rPr>
        <w:t xml:space="preserve"> cinq</w:t>
      </w:r>
      <w:r w:rsidRPr="001374DC">
        <w:rPr>
          <w:rFonts w:ascii="Times New Roman" w:hAnsi="Times New Roman" w:cs="Times New Roman"/>
          <w:color w:val="000000"/>
          <w:kern w:val="24"/>
          <w:sz w:val="24"/>
          <w:szCs w:val="24"/>
        </w:rPr>
        <w:t xml:space="preserve"> banques dites « participatives »</w:t>
      </w:r>
      <w:r w:rsidR="00337C81" w:rsidRPr="001374DC">
        <w:rPr>
          <w:rFonts w:ascii="Times New Roman" w:hAnsi="Times New Roman" w:cs="Times New Roman"/>
          <w:color w:val="000000"/>
          <w:kern w:val="24"/>
          <w:sz w:val="24"/>
          <w:szCs w:val="24"/>
        </w:rPr>
        <w:t>,</w:t>
      </w:r>
      <w:r w:rsidRPr="001374DC">
        <w:rPr>
          <w:rFonts w:ascii="Times New Roman" w:hAnsi="Times New Roman" w:cs="Times New Roman"/>
          <w:color w:val="000000"/>
          <w:kern w:val="24"/>
          <w:sz w:val="24"/>
          <w:szCs w:val="24"/>
        </w:rPr>
        <w:t xml:space="preserve"> à savoir : Bank Assafaa, Bank Al</w:t>
      </w:r>
      <w:r w:rsidR="00E70170" w:rsidRPr="001374DC">
        <w:rPr>
          <w:rFonts w:ascii="Times New Roman" w:hAnsi="Times New Roman" w:cs="Times New Roman"/>
          <w:color w:val="000000"/>
          <w:kern w:val="24"/>
          <w:sz w:val="24"/>
          <w:szCs w:val="24"/>
        </w:rPr>
        <w:t>-</w:t>
      </w:r>
      <w:r w:rsidRPr="001374DC">
        <w:rPr>
          <w:rFonts w:ascii="Times New Roman" w:hAnsi="Times New Roman" w:cs="Times New Roman"/>
          <w:color w:val="000000"/>
          <w:kern w:val="24"/>
          <w:sz w:val="24"/>
          <w:szCs w:val="24"/>
        </w:rPr>
        <w:t>Yousr, Bank Al</w:t>
      </w:r>
      <w:r w:rsidR="00E70170" w:rsidRPr="001374DC">
        <w:rPr>
          <w:rFonts w:ascii="Times New Roman" w:hAnsi="Times New Roman" w:cs="Times New Roman"/>
          <w:color w:val="000000"/>
          <w:kern w:val="24"/>
          <w:sz w:val="24"/>
          <w:szCs w:val="24"/>
        </w:rPr>
        <w:t>-</w:t>
      </w:r>
      <w:r w:rsidRPr="001374DC">
        <w:rPr>
          <w:rFonts w:ascii="Times New Roman" w:hAnsi="Times New Roman" w:cs="Times New Roman"/>
          <w:color w:val="000000"/>
          <w:kern w:val="24"/>
          <w:sz w:val="24"/>
          <w:szCs w:val="24"/>
        </w:rPr>
        <w:t>Tamwil Wal</w:t>
      </w:r>
      <w:r w:rsidR="00E70170" w:rsidRPr="001374DC">
        <w:rPr>
          <w:rFonts w:ascii="Times New Roman" w:hAnsi="Times New Roman" w:cs="Times New Roman"/>
          <w:color w:val="000000"/>
          <w:kern w:val="24"/>
          <w:sz w:val="24"/>
          <w:szCs w:val="24"/>
        </w:rPr>
        <w:t>-</w:t>
      </w:r>
      <w:r w:rsidRPr="001374DC">
        <w:rPr>
          <w:rFonts w:ascii="Times New Roman" w:hAnsi="Times New Roman" w:cs="Times New Roman"/>
          <w:color w:val="000000"/>
          <w:kern w:val="24"/>
          <w:sz w:val="24"/>
          <w:szCs w:val="24"/>
        </w:rPr>
        <w:t>Inmaa, Umnia Bank et Al</w:t>
      </w:r>
      <w:r w:rsidR="00E70170" w:rsidRPr="001374DC">
        <w:rPr>
          <w:rFonts w:ascii="Times New Roman" w:hAnsi="Times New Roman" w:cs="Times New Roman"/>
          <w:color w:val="000000"/>
          <w:kern w:val="24"/>
          <w:sz w:val="24"/>
          <w:szCs w:val="24"/>
        </w:rPr>
        <w:t>-</w:t>
      </w:r>
      <w:r w:rsidRPr="001374DC">
        <w:rPr>
          <w:rFonts w:ascii="Times New Roman" w:hAnsi="Times New Roman" w:cs="Times New Roman"/>
          <w:color w:val="000000"/>
          <w:kern w:val="24"/>
          <w:sz w:val="24"/>
          <w:szCs w:val="24"/>
        </w:rPr>
        <w:t xml:space="preserve">Akhdar participative Bank. </w:t>
      </w:r>
      <w:r w:rsidR="00337C81" w:rsidRPr="001374DC">
        <w:rPr>
          <w:rFonts w:ascii="Times New Roman" w:hAnsi="Times New Roman" w:cs="Times New Roman"/>
          <w:color w:val="000000"/>
          <w:kern w:val="24"/>
          <w:sz w:val="24"/>
          <w:szCs w:val="24"/>
        </w:rPr>
        <w:t>De même</w:t>
      </w:r>
      <w:r w:rsidRPr="001374DC">
        <w:rPr>
          <w:rFonts w:ascii="Times New Roman" w:hAnsi="Times New Roman" w:cs="Times New Roman"/>
          <w:color w:val="000000"/>
          <w:kern w:val="24"/>
          <w:sz w:val="24"/>
          <w:szCs w:val="24"/>
        </w:rPr>
        <w:t xml:space="preserve">, </w:t>
      </w:r>
      <w:r w:rsidR="00337C81" w:rsidRPr="001374DC">
        <w:rPr>
          <w:rFonts w:ascii="Times New Roman" w:hAnsi="Times New Roman" w:cs="Times New Roman"/>
          <w:color w:val="000000"/>
          <w:kern w:val="24"/>
          <w:sz w:val="24"/>
          <w:szCs w:val="24"/>
        </w:rPr>
        <w:t>t</w:t>
      </w:r>
      <w:r w:rsidRPr="001374DC">
        <w:rPr>
          <w:rFonts w:ascii="Times New Roman" w:hAnsi="Times New Roman" w:cs="Times New Roman"/>
          <w:color w:val="000000"/>
          <w:kern w:val="24"/>
          <w:sz w:val="24"/>
          <w:szCs w:val="24"/>
        </w:rPr>
        <w:t>rois</w:t>
      </w:r>
      <w:r w:rsidRPr="001374DC">
        <w:rPr>
          <w:rFonts w:ascii="Times New Roman" w:hAnsi="Times New Roman" w:cs="Times New Roman"/>
          <w:color w:val="191919"/>
          <w:kern w:val="24"/>
          <w:sz w:val="24"/>
          <w:szCs w:val="24"/>
        </w:rPr>
        <w:t xml:space="preserve"> banques conventionnelles </w:t>
      </w:r>
      <w:r w:rsidRPr="001374DC">
        <w:rPr>
          <w:rFonts w:ascii="Times New Roman" w:hAnsi="Times New Roman" w:cs="Times New Roman"/>
          <w:kern w:val="24"/>
          <w:sz w:val="24"/>
          <w:szCs w:val="24"/>
        </w:rPr>
        <w:t xml:space="preserve">ont été autorisées à ouvrir des fenêtres participatives (guichets ou agences) pour présenter à leurs clients des services </w:t>
      </w:r>
      <w:r w:rsidR="002C07BB" w:rsidRPr="001374DC">
        <w:rPr>
          <w:rFonts w:ascii="Times New Roman" w:hAnsi="Times New Roman" w:cs="Times New Roman"/>
          <w:kern w:val="24"/>
          <w:sz w:val="24"/>
          <w:szCs w:val="24"/>
        </w:rPr>
        <w:t>participatifs :</w:t>
      </w:r>
      <w:r w:rsidRPr="001374DC">
        <w:rPr>
          <w:rFonts w:ascii="Times New Roman" w:hAnsi="Times New Roman" w:cs="Times New Roman"/>
          <w:kern w:val="24"/>
          <w:sz w:val="24"/>
          <w:szCs w:val="24"/>
        </w:rPr>
        <w:t xml:space="preserve"> Najmah du groupe BMCI, Arreda appartenant à Crédit du Maroc, et Dar Al-Amane, réseau d’agences créé par la Société Générale Maroc</w:t>
      </w:r>
      <w:r w:rsidRPr="001374DC">
        <w:rPr>
          <w:rStyle w:val="Appelnotedebasdep"/>
          <w:rFonts w:ascii="Times New Roman" w:hAnsi="Times New Roman"/>
          <w:kern w:val="24"/>
          <w:sz w:val="24"/>
          <w:szCs w:val="24"/>
        </w:rPr>
        <w:footnoteReference w:id="97"/>
      </w:r>
      <w:r w:rsidRPr="001374DC">
        <w:rPr>
          <w:rFonts w:ascii="Times New Roman" w:hAnsi="Times New Roman" w:cs="Times New Roman"/>
          <w:kern w:val="24"/>
          <w:sz w:val="24"/>
          <w:szCs w:val="24"/>
        </w:rPr>
        <w:t>.</w:t>
      </w:r>
    </w:p>
    <w:p w14:paraId="416F48E2" w14:textId="6FB02A04" w:rsidR="00CA5C17" w:rsidRPr="001374DC" w:rsidRDefault="00034CC9" w:rsidP="001374DC">
      <w:pPr>
        <w:tabs>
          <w:tab w:val="left" w:pos="0"/>
        </w:tabs>
        <w:spacing w:before="100" w:beforeAutospacing="1" w:line="300" w:lineRule="auto"/>
        <w:ind w:firstLine="709"/>
        <w:outlineLvl w:val="5"/>
        <w:rPr>
          <w:rFonts w:ascii="Times New Roman" w:hAnsi="Times New Roman" w:cs="Times New Roman"/>
          <w:b/>
          <w:bCs/>
          <w:kern w:val="24"/>
          <w:sz w:val="24"/>
          <w:szCs w:val="24"/>
          <w:shd w:val="clear" w:color="auto" w:fill="FAFAFA"/>
        </w:rPr>
      </w:pPr>
      <w:bookmarkStart w:id="254" w:name="_Toc182298631"/>
      <w:r w:rsidRPr="001374DC">
        <w:rPr>
          <w:rFonts w:ascii="Times New Roman" w:hAnsi="Times New Roman" w:cs="Times New Roman"/>
          <w:b/>
          <w:bCs/>
          <w:kern w:val="24"/>
          <w:sz w:val="24"/>
          <w:szCs w:val="24"/>
        </w:rPr>
        <w:t>1.4.3.4.</w:t>
      </w:r>
      <w:r w:rsidRPr="001374DC">
        <w:rPr>
          <w:rFonts w:ascii="Times New Roman" w:hAnsi="Times New Roman" w:cs="Times New Roman"/>
          <w:b/>
          <w:bCs/>
          <w:kern w:val="24"/>
          <w:sz w:val="24"/>
          <w:szCs w:val="24"/>
          <w:rtl/>
        </w:rPr>
        <w:t>4</w:t>
      </w:r>
      <w:r w:rsidRPr="001374DC">
        <w:rPr>
          <w:rFonts w:ascii="Times New Roman" w:hAnsi="Times New Roman" w:cs="Times New Roman"/>
          <w:b/>
          <w:bCs/>
          <w:kern w:val="24"/>
          <w:sz w:val="24"/>
          <w:szCs w:val="24"/>
        </w:rPr>
        <w:t xml:space="preserve">- </w:t>
      </w:r>
      <w:r w:rsidR="00CA5C17" w:rsidRPr="001374DC">
        <w:rPr>
          <w:rFonts w:ascii="Times New Roman" w:hAnsi="Times New Roman" w:cs="Times New Roman"/>
          <w:b/>
          <w:bCs/>
          <w:kern w:val="24"/>
          <w:sz w:val="24"/>
          <w:szCs w:val="24"/>
          <w:shd w:val="clear" w:color="auto" w:fill="FAFAFA"/>
        </w:rPr>
        <w:t>Algérie</w:t>
      </w:r>
      <w:bookmarkEnd w:id="254"/>
    </w:p>
    <w:p w14:paraId="2AD5327C" w14:textId="1E56F54B" w:rsidR="00CA5C17" w:rsidRPr="001374DC" w:rsidRDefault="00567A13" w:rsidP="001374DC">
      <w:pPr>
        <w:tabs>
          <w:tab w:val="left" w:pos="0"/>
        </w:tabs>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A</w:t>
      </w:r>
      <w:r w:rsidR="00CA5C17" w:rsidRPr="001374DC">
        <w:rPr>
          <w:rFonts w:ascii="Times New Roman" w:hAnsi="Times New Roman" w:cs="Times New Roman"/>
          <w:kern w:val="24"/>
          <w:sz w:val="24"/>
          <w:szCs w:val="24"/>
        </w:rPr>
        <w:t xml:space="preserve"> l’instar des pays dont l’économie dépend fortement des hydrocarbures, </w:t>
      </w:r>
      <w:r w:rsidRPr="001374DC">
        <w:rPr>
          <w:rFonts w:ascii="Times New Roman" w:hAnsi="Times New Roman" w:cs="Times New Roman"/>
          <w:kern w:val="24"/>
          <w:sz w:val="24"/>
          <w:szCs w:val="24"/>
        </w:rPr>
        <w:t xml:space="preserve">l’Algérie </w:t>
      </w:r>
      <w:r w:rsidR="002C07BB" w:rsidRPr="001374DC">
        <w:rPr>
          <w:rFonts w:ascii="Times New Roman" w:hAnsi="Times New Roman" w:cs="Times New Roman"/>
          <w:kern w:val="24"/>
          <w:sz w:val="24"/>
          <w:szCs w:val="24"/>
        </w:rPr>
        <w:t>a entrepris</w:t>
      </w:r>
      <w:r w:rsidR="00CA5C17" w:rsidRPr="001374DC">
        <w:rPr>
          <w:rFonts w:ascii="Times New Roman" w:hAnsi="Times New Roman" w:cs="Times New Roman"/>
          <w:kern w:val="24"/>
          <w:sz w:val="24"/>
          <w:szCs w:val="24"/>
        </w:rPr>
        <w:t xml:space="preserve"> des réformes profondes, notamment au niveau du secteur financier désormais appelé à bancariser l’épargne et à adopter de nouveaux instruments pour financer la diversification de l’économie.</w:t>
      </w:r>
      <w:r w:rsidR="009921D5" w:rsidRPr="001374DC">
        <w:rPr>
          <w:rFonts w:ascii="Times New Roman" w:hAnsi="Times New Roman" w:cs="Times New Roman"/>
          <w:kern w:val="24"/>
          <w:sz w:val="24"/>
          <w:szCs w:val="24"/>
        </w:rPr>
        <w:t xml:space="preserve"> L</w:t>
      </w:r>
      <w:r w:rsidR="00CA5C17" w:rsidRPr="001374DC">
        <w:rPr>
          <w:rFonts w:ascii="Times New Roman" w:hAnsi="Times New Roman" w:cs="Times New Roman"/>
          <w:kern w:val="24"/>
          <w:sz w:val="24"/>
          <w:szCs w:val="24"/>
        </w:rPr>
        <w:t xml:space="preserve">a finance islamique </w:t>
      </w:r>
      <w:r w:rsidR="009921D5" w:rsidRPr="001374DC">
        <w:rPr>
          <w:rFonts w:ascii="Times New Roman" w:hAnsi="Times New Roman" w:cs="Times New Roman"/>
          <w:kern w:val="24"/>
          <w:sz w:val="24"/>
          <w:szCs w:val="24"/>
        </w:rPr>
        <w:t xml:space="preserve">y </w:t>
      </w:r>
      <w:r w:rsidR="00CA5C17" w:rsidRPr="001374DC">
        <w:rPr>
          <w:rFonts w:ascii="Times New Roman" w:hAnsi="Times New Roman" w:cs="Times New Roman"/>
          <w:kern w:val="24"/>
          <w:sz w:val="24"/>
          <w:szCs w:val="24"/>
        </w:rPr>
        <w:t xml:space="preserve">a </w:t>
      </w:r>
      <w:r w:rsidR="009921D5" w:rsidRPr="001374DC">
        <w:rPr>
          <w:rFonts w:ascii="Times New Roman" w:hAnsi="Times New Roman" w:cs="Times New Roman"/>
          <w:kern w:val="24"/>
          <w:sz w:val="24"/>
          <w:szCs w:val="24"/>
        </w:rPr>
        <w:t xml:space="preserve">donc </w:t>
      </w:r>
      <w:r w:rsidR="00CA5C17" w:rsidRPr="001374DC">
        <w:rPr>
          <w:rFonts w:ascii="Times New Roman" w:hAnsi="Times New Roman" w:cs="Times New Roman"/>
          <w:kern w:val="24"/>
          <w:sz w:val="24"/>
          <w:szCs w:val="24"/>
        </w:rPr>
        <w:t xml:space="preserve">fait ses débuts dès 1991 avec la création de la première banque </w:t>
      </w:r>
      <w:r w:rsidR="004F7610" w:rsidRPr="001374DC">
        <w:rPr>
          <w:rFonts w:ascii="Times New Roman" w:hAnsi="Times New Roman" w:cs="Times New Roman"/>
          <w:kern w:val="24"/>
          <w:sz w:val="24"/>
          <w:szCs w:val="24"/>
        </w:rPr>
        <w:t>islamique</w:t>
      </w:r>
      <w:r w:rsidRPr="001374DC">
        <w:rPr>
          <w:rFonts w:ascii="Times New Roman" w:hAnsi="Times New Roman" w:cs="Times New Roman"/>
          <w:kern w:val="24"/>
          <w:sz w:val="24"/>
          <w:szCs w:val="24"/>
        </w:rPr>
        <w:t xml:space="preserve"> </w:t>
      </w:r>
      <w:r w:rsidR="004F7610" w:rsidRPr="001374DC">
        <w:rPr>
          <w:rFonts w:ascii="Times New Roman" w:hAnsi="Times New Roman" w:cs="Times New Roman"/>
          <w:color w:val="000000" w:themeColor="text1"/>
          <w:kern w:val="24"/>
          <w:sz w:val="24"/>
          <w:szCs w:val="24"/>
          <w:shd w:val="clear" w:color="auto" w:fill="FFFFFF"/>
        </w:rPr>
        <w:t>«</w:t>
      </w:r>
      <w:r w:rsidR="00CA5C17" w:rsidRPr="001374DC">
        <w:rPr>
          <w:rFonts w:ascii="Times New Roman" w:hAnsi="Times New Roman" w:cs="Times New Roman"/>
          <w:color w:val="000000" w:themeColor="text1"/>
          <w:kern w:val="24"/>
          <w:sz w:val="24"/>
          <w:szCs w:val="24"/>
          <w:shd w:val="clear" w:color="auto" w:fill="FFFFFF"/>
        </w:rPr>
        <w:t> </w:t>
      </w:r>
      <w:r w:rsidR="002C07BB" w:rsidRPr="001374DC">
        <w:rPr>
          <w:rFonts w:ascii="Times New Roman" w:hAnsi="Times New Roman" w:cs="Times New Roman"/>
          <w:color w:val="000000" w:themeColor="text1"/>
          <w:kern w:val="24"/>
          <w:sz w:val="24"/>
          <w:szCs w:val="24"/>
          <w:shd w:val="clear" w:color="auto" w:fill="FFFFFF"/>
        </w:rPr>
        <w:t xml:space="preserve">la banque </w:t>
      </w:r>
      <w:r w:rsidR="00CA5C17" w:rsidRPr="001374DC">
        <w:rPr>
          <w:rFonts w:ascii="Times New Roman" w:hAnsi="Times New Roman" w:cs="Times New Roman"/>
          <w:color w:val="000000" w:themeColor="text1"/>
          <w:kern w:val="24"/>
          <w:sz w:val="24"/>
          <w:szCs w:val="24"/>
          <w:shd w:val="clear" w:color="auto" w:fill="FFFFFF"/>
        </w:rPr>
        <w:t xml:space="preserve">AlBaraka </w:t>
      </w:r>
      <w:r w:rsidR="002C07BB" w:rsidRPr="001374DC">
        <w:rPr>
          <w:rFonts w:ascii="Times New Roman" w:hAnsi="Times New Roman" w:cs="Times New Roman"/>
          <w:color w:val="000000" w:themeColor="text1"/>
          <w:kern w:val="24"/>
          <w:sz w:val="24"/>
          <w:szCs w:val="24"/>
          <w:shd w:val="clear" w:color="auto" w:fill="FFFFFF"/>
        </w:rPr>
        <w:t>d’</w:t>
      </w:r>
      <w:r w:rsidR="00CA5C17" w:rsidRPr="001374DC">
        <w:rPr>
          <w:rFonts w:ascii="Times New Roman" w:hAnsi="Times New Roman" w:cs="Times New Roman"/>
          <w:color w:val="000000" w:themeColor="text1"/>
          <w:kern w:val="24"/>
          <w:sz w:val="24"/>
          <w:szCs w:val="24"/>
          <w:shd w:val="clear" w:color="auto" w:fill="FFFFFF"/>
        </w:rPr>
        <w:t xml:space="preserve">Algérie » dans le cadre d’un partenariat public/privé entre le groupe AlBaraka </w:t>
      </w:r>
      <w:r w:rsidR="002C07BB" w:rsidRPr="001374DC">
        <w:rPr>
          <w:rFonts w:ascii="Times New Roman" w:hAnsi="Times New Roman" w:cs="Times New Roman"/>
          <w:color w:val="000000" w:themeColor="text1"/>
          <w:kern w:val="24"/>
          <w:sz w:val="24"/>
          <w:szCs w:val="24"/>
          <w:shd w:val="clear" w:color="auto" w:fill="FFFFFF"/>
        </w:rPr>
        <w:t xml:space="preserve">siégeant à Bahreïn </w:t>
      </w:r>
      <w:r w:rsidR="00CA5C17" w:rsidRPr="001374DC">
        <w:rPr>
          <w:rFonts w:ascii="Times New Roman" w:hAnsi="Times New Roman" w:cs="Times New Roman"/>
          <w:color w:val="000000" w:themeColor="text1"/>
          <w:kern w:val="24"/>
          <w:sz w:val="24"/>
          <w:szCs w:val="24"/>
          <w:shd w:val="clear" w:color="auto" w:fill="FFFFFF"/>
        </w:rPr>
        <w:t>et l’Etat algérien représenté par la Banque de l’Agriculture du Développement Rural (BADR).</w:t>
      </w:r>
    </w:p>
    <w:p w14:paraId="4FFE7A51" w14:textId="144FC4E7" w:rsidR="00CA5C17" w:rsidRPr="001374DC" w:rsidRDefault="002C07BB" w:rsidP="001374DC">
      <w:pPr>
        <w:tabs>
          <w:tab w:val="left" w:pos="0"/>
        </w:tabs>
        <w:spacing w:before="120" w:line="300" w:lineRule="auto"/>
        <w:ind w:firstLine="709"/>
        <w:rPr>
          <w:rFonts w:ascii="Times New Roman" w:hAnsi="Times New Roman" w:cs="Times New Roman"/>
          <w:color w:val="000000" w:themeColor="text1"/>
          <w:kern w:val="24"/>
          <w:sz w:val="24"/>
          <w:szCs w:val="24"/>
          <w:shd w:val="clear" w:color="auto" w:fill="FFFFFF"/>
        </w:rPr>
      </w:pPr>
      <w:r w:rsidRPr="001374DC">
        <w:rPr>
          <w:rFonts w:ascii="Times New Roman" w:hAnsi="Times New Roman" w:cs="Times New Roman"/>
          <w:color w:val="000000" w:themeColor="text1"/>
          <w:kern w:val="24"/>
          <w:sz w:val="24"/>
          <w:szCs w:val="24"/>
          <w:shd w:val="clear" w:color="auto" w:fill="FFFFFF"/>
        </w:rPr>
        <w:lastRenderedPageBreak/>
        <w:t>À</w:t>
      </w:r>
      <w:r w:rsidR="00CA5C17" w:rsidRPr="001374DC">
        <w:rPr>
          <w:rFonts w:ascii="Times New Roman" w:hAnsi="Times New Roman" w:cs="Times New Roman"/>
          <w:color w:val="000000" w:themeColor="text1"/>
          <w:kern w:val="24"/>
          <w:sz w:val="24"/>
          <w:szCs w:val="24"/>
          <w:shd w:val="clear" w:color="auto" w:fill="FFFFFF"/>
        </w:rPr>
        <w:t xml:space="preserve"> partir de 2008</w:t>
      </w:r>
      <w:r w:rsidRPr="001374DC">
        <w:rPr>
          <w:rFonts w:ascii="Times New Roman" w:hAnsi="Times New Roman" w:cs="Times New Roman"/>
          <w:color w:val="000000" w:themeColor="text1"/>
          <w:kern w:val="24"/>
          <w:sz w:val="24"/>
          <w:szCs w:val="24"/>
          <w:shd w:val="clear" w:color="auto" w:fill="FFFFFF"/>
        </w:rPr>
        <w:t>,</w:t>
      </w:r>
      <w:r w:rsidR="00CA5C17" w:rsidRPr="001374DC">
        <w:rPr>
          <w:rFonts w:ascii="Times New Roman" w:hAnsi="Times New Roman" w:cs="Times New Roman"/>
          <w:color w:val="000000" w:themeColor="text1"/>
          <w:kern w:val="24"/>
          <w:sz w:val="24"/>
          <w:szCs w:val="24"/>
          <w:shd w:val="clear" w:color="auto" w:fill="FFFFFF"/>
        </w:rPr>
        <w:t xml:space="preserve"> </w:t>
      </w:r>
      <w:r w:rsidRPr="001374DC">
        <w:rPr>
          <w:rFonts w:ascii="Times New Roman" w:hAnsi="Times New Roman" w:cs="Times New Roman"/>
          <w:color w:val="000000" w:themeColor="text1"/>
          <w:kern w:val="24"/>
          <w:sz w:val="24"/>
          <w:szCs w:val="24"/>
          <w:shd w:val="clear" w:color="auto" w:fill="FFFFFF"/>
        </w:rPr>
        <w:t xml:space="preserve">l’environnement financier islamique a connu </w:t>
      </w:r>
      <w:r w:rsidR="00CA5C17" w:rsidRPr="001374DC">
        <w:rPr>
          <w:rFonts w:ascii="Times New Roman" w:hAnsi="Times New Roman" w:cs="Times New Roman"/>
          <w:color w:val="000000" w:themeColor="text1"/>
          <w:kern w:val="24"/>
          <w:sz w:val="24"/>
          <w:szCs w:val="24"/>
          <w:shd w:val="clear" w:color="auto" w:fill="FFFFFF"/>
        </w:rPr>
        <w:t>une nouvelle vague d</w:t>
      </w:r>
      <w:r w:rsidR="009921D5" w:rsidRPr="001374DC">
        <w:rPr>
          <w:rFonts w:ascii="Times New Roman" w:hAnsi="Times New Roman" w:cs="Times New Roman"/>
          <w:color w:val="000000" w:themeColor="text1"/>
          <w:kern w:val="24"/>
          <w:sz w:val="24"/>
          <w:szCs w:val="24"/>
          <w:shd w:val="clear" w:color="auto" w:fill="FFFFFF"/>
        </w:rPr>
        <w:t xml:space="preserve">’ouverture de </w:t>
      </w:r>
      <w:r w:rsidR="00CA5C17" w:rsidRPr="001374DC">
        <w:rPr>
          <w:rFonts w:ascii="Times New Roman" w:hAnsi="Times New Roman" w:cs="Times New Roman"/>
          <w:color w:val="000000" w:themeColor="text1"/>
          <w:kern w:val="24"/>
          <w:sz w:val="24"/>
          <w:szCs w:val="24"/>
          <w:shd w:val="clear" w:color="auto" w:fill="FFFFFF"/>
        </w:rPr>
        <w:t>banque</w:t>
      </w:r>
      <w:r w:rsidR="009921D5" w:rsidRPr="001374DC">
        <w:rPr>
          <w:rFonts w:ascii="Times New Roman" w:hAnsi="Times New Roman" w:cs="Times New Roman"/>
          <w:color w:val="000000" w:themeColor="text1"/>
          <w:kern w:val="24"/>
          <w:sz w:val="24"/>
          <w:szCs w:val="24"/>
          <w:shd w:val="clear" w:color="auto" w:fill="FFFFFF"/>
        </w:rPr>
        <w:t xml:space="preserve"> et</w:t>
      </w:r>
      <w:r w:rsidR="00CA5C17" w:rsidRPr="001374DC">
        <w:rPr>
          <w:rFonts w:ascii="Times New Roman" w:hAnsi="Times New Roman" w:cs="Times New Roman"/>
          <w:color w:val="000000" w:themeColor="text1"/>
          <w:kern w:val="24"/>
          <w:sz w:val="24"/>
          <w:szCs w:val="24"/>
          <w:shd w:val="clear" w:color="auto" w:fill="FFFFFF"/>
        </w:rPr>
        <w:t xml:space="preserve"> </w:t>
      </w:r>
      <w:r w:rsidR="009921D5" w:rsidRPr="001374DC">
        <w:rPr>
          <w:rFonts w:ascii="Times New Roman" w:hAnsi="Times New Roman" w:cs="Times New Roman"/>
          <w:color w:val="000000" w:themeColor="text1"/>
          <w:kern w:val="24"/>
          <w:sz w:val="24"/>
          <w:szCs w:val="24"/>
          <w:shd w:val="clear" w:color="auto" w:fill="FFFFFF"/>
        </w:rPr>
        <w:t>de</w:t>
      </w:r>
      <w:r w:rsidR="00CA5C17" w:rsidRPr="001374DC">
        <w:rPr>
          <w:rFonts w:ascii="Times New Roman" w:hAnsi="Times New Roman" w:cs="Times New Roman"/>
          <w:color w:val="000000" w:themeColor="text1"/>
          <w:kern w:val="24"/>
          <w:sz w:val="24"/>
          <w:szCs w:val="24"/>
          <w:shd w:val="clear" w:color="auto" w:fill="FFFFFF"/>
        </w:rPr>
        <w:t xml:space="preserve"> fenêtres islamiques </w:t>
      </w:r>
      <w:r w:rsidR="009921D5" w:rsidRPr="001374DC">
        <w:rPr>
          <w:rFonts w:ascii="Times New Roman" w:hAnsi="Times New Roman" w:cs="Times New Roman"/>
          <w:color w:val="000000" w:themeColor="text1"/>
          <w:kern w:val="24"/>
          <w:sz w:val="24"/>
          <w:szCs w:val="24"/>
          <w:shd w:val="clear" w:color="auto" w:fill="FFFFFF"/>
        </w:rPr>
        <w:t>sous l’initiative d’institutions financières arabes</w:t>
      </w:r>
      <w:r w:rsidR="00CA5C17" w:rsidRPr="001374DC">
        <w:rPr>
          <w:rStyle w:val="Appelnotedebasdep"/>
          <w:rFonts w:ascii="Times New Roman" w:hAnsi="Times New Roman"/>
          <w:color w:val="000000" w:themeColor="text1"/>
          <w:kern w:val="24"/>
          <w:sz w:val="24"/>
          <w:szCs w:val="24"/>
          <w:shd w:val="clear" w:color="auto" w:fill="FFFFFF"/>
        </w:rPr>
        <w:footnoteReference w:id="98"/>
      </w:r>
      <w:r w:rsidR="00CA5C17" w:rsidRPr="001374DC">
        <w:rPr>
          <w:rFonts w:ascii="Times New Roman" w:hAnsi="Times New Roman" w:cs="Times New Roman"/>
          <w:color w:val="000000" w:themeColor="text1"/>
          <w:kern w:val="24"/>
          <w:sz w:val="24"/>
          <w:szCs w:val="24"/>
          <w:shd w:val="clear" w:color="auto" w:fill="FFFFFF"/>
        </w:rPr>
        <w:t> :</w:t>
      </w:r>
    </w:p>
    <w:p w14:paraId="4CB4FF93" w14:textId="77777777" w:rsidR="009921D5" w:rsidRPr="001374DC" w:rsidRDefault="009921D5" w:rsidP="00CB0FF1">
      <w:pPr>
        <w:numPr>
          <w:ilvl w:val="0"/>
          <w:numId w:val="111"/>
        </w:numPr>
        <w:shd w:val="clear" w:color="auto" w:fill="FFFFFF"/>
        <w:spacing w:before="120" w:line="300" w:lineRule="auto"/>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b/>
          <w:bCs/>
          <w:color w:val="000000" w:themeColor="text1"/>
          <w:kern w:val="24"/>
          <w:sz w:val="24"/>
          <w:szCs w:val="24"/>
          <w:lang w:eastAsia="fr-FR"/>
        </w:rPr>
        <w:t>2000</w:t>
      </w:r>
      <w:r w:rsidRPr="001374DC">
        <w:rPr>
          <w:rFonts w:ascii="Times New Roman" w:eastAsia="Times New Roman" w:hAnsi="Times New Roman" w:cs="Times New Roman"/>
          <w:color w:val="000000" w:themeColor="text1"/>
          <w:kern w:val="24"/>
          <w:sz w:val="24"/>
          <w:szCs w:val="24"/>
          <w:lang w:eastAsia="fr-FR"/>
        </w:rPr>
        <w:t> : Salama Assurance : 1ère compagnie d’assurance Takaful. Elle appartient au groupe international Salama lslamic Arab Insurance Company (IAIC).</w:t>
      </w:r>
    </w:p>
    <w:p w14:paraId="70A742E6" w14:textId="77777777" w:rsidR="00CA5C17" w:rsidRPr="001374DC" w:rsidRDefault="00CA5C17" w:rsidP="00CB0FF1">
      <w:pPr>
        <w:numPr>
          <w:ilvl w:val="0"/>
          <w:numId w:val="111"/>
        </w:numPr>
        <w:shd w:val="clear" w:color="auto" w:fill="FFFFFF"/>
        <w:spacing w:before="120" w:line="300" w:lineRule="auto"/>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b/>
          <w:bCs/>
          <w:color w:val="000000" w:themeColor="text1"/>
          <w:kern w:val="24"/>
          <w:sz w:val="24"/>
          <w:szCs w:val="24"/>
          <w:lang w:eastAsia="fr-FR"/>
        </w:rPr>
        <w:t>2008 </w:t>
      </w:r>
      <w:r w:rsidRPr="001374DC">
        <w:rPr>
          <w:rFonts w:ascii="Times New Roman" w:eastAsia="Times New Roman" w:hAnsi="Times New Roman" w:cs="Times New Roman"/>
          <w:color w:val="000000" w:themeColor="text1"/>
          <w:kern w:val="24"/>
          <w:sz w:val="24"/>
          <w:szCs w:val="24"/>
          <w:lang w:eastAsia="fr-FR"/>
        </w:rPr>
        <w:t>: apparition de la Banque Al Salam (full Islamic Bank), filiale de la banque émiratie Al Salam Bank.</w:t>
      </w:r>
    </w:p>
    <w:p w14:paraId="5BBE6AB6" w14:textId="77777777" w:rsidR="00CA5C17" w:rsidRPr="001374DC" w:rsidRDefault="00CA5C17" w:rsidP="00CB0FF1">
      <w:pPr>
        <w:numPr>
          <w:ilvl w:val="0"/>
          <w:numId w:val="111"/>
        </w:numPr>
        <w:shd w:val="clear" w:color="auto" w:fill="FFFFFF"/>
        <w:spacing w:before="120" w:line="300" w:lineRule="auto"/>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b/>
          <w:bCs/>
          <w:color w:val="000000" w:themeColor="text1"/>
          <w:kern w:val="24"/>
          <w:sz w:val="24"/>
          <w:szCs w:val="24"/>
          <w:lang w:eastAsia="fr-FR"/>
        </w:rPr>
        <w:t>2015</w:t>
      </w:r>
      <w:r w:rsidRPr="001374DC">
        <w:rPr>
          <w:rFonts w:ascii="Times New Roman" w:eastAsia="Times New Roman" w:hAnsi="Times New Roman" w:cs="Times New Roman"/>
          <w:color w:val="000000" w:themeColor="text1"/>
          <w:kern w:val="24"/>
          <w:sz w:val="24"/>
          <w:szCs w:val="24"/>
          <w:lang w:eastAsia="fr-FR"/>
        </w:rPr>
        <w:t> : Housing Bank of Algeria, filiale de Housing Bank for Trade &amp; Finance/ Jordanie (85% du capital) créée en 2003 a entamé une fenêtre islamique en parallèle avec son activité conventionnelle.</w:t>
      </w:r>
    </w:p>
    <w:p w14:paraId="3310BD62" w14:textId="77777777" w:rsidR="00CA5C17" w:rsidRPr="001374DC" w:rsidRDefault="00CA5C17" w:rsidP="00CB0FF1">
      <w:pPr>
        <w:numPr>
          <w:ilvl w:val="0"/>
          <w:numId w:val="111"/>
        </w:numPr>
        <w:shd w:val="clear" w:color="auto" w:fill="FFFFFF"/>
        <w:spacing w:before="120" w:line="300" w:lineRule="auto"/>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b/>
          <w:bCs/>
          <w:color w:val="000000" w:themeColor="text1"/>
          <w:kern w:val="24"/>
          <w:sz w:val="24"/>
          <w:szCs w:val="24"/>
          <w:lang w:eastAsia="fr-FR"/>
        </w:rPr>
        <w:t>2017</w:t>
      </w:r>
      <w:r w:rsidRPr="001374DC">
        <w:rPr>
          <w:rFonts w:ascii="Times New Roman" w:eastAsia="Times New Roman" w:hAnsi="Times New Roman" w:cs="Times New Roman"/>
          <w:color w:val="000000" w:themeColor="text1"/>
          <w:kern w:val="24"/>
          <w:sz w:val="24"/>
          <w:szCs w:val="24"/>
          <w:lang w:eastAsia="fr-FR"/>
        </w:rPr>
        <w:t> : Algerian Gulf Bank (AGB), filiale de Burgan Bank Group et membre du groupe d’affaires KIPCO « Kuwait Projects Company » créé en 2004 introduisait des produits de finance islamique en parallèle avec son activité conventionnelle.</w:t>
      </w:r>
    </w:p>
    <w:p w14:paraId="7CEBFB37" w14:textId="58ADF2B7" w:rsidR="00CA5C17" w:rsidRPr="001374DC" w:rsidRDefault="00766FA6" w:rsidP="001374DC">
      <w:pPr>
        <w:tabs>
          <w:tab w:val="left" w:pos="0"/>
        </w:tabs>
        <w:spacing w:before="120" w:line="300" w:lineRule="auto"/>
        <w:ind w:firstLine="709"/>
        <w:rPr>
          <w:rFonts w:ascii="Times New Roman" w:hAnsi="Times New Roman" w:cs="Times New Roman"/>
          <w:color w:val="000000" w:themeColor="text1"/>
          <w:kern w:val="24"/>
          <w:sz w:val="24"/>
          <w:szCs w:val="24"/>
          <w:shd w:val="clear" w:color="auto" w:fill="FFFFFF"/>
        </w:rPr>
      </w:pPr>
      <w:r w:rsidRPr="001374DC">
        <w:rPr>
          <w:rFonts w:ascii="Times New Roman" w:hAnsi="Times New Roman" w:cs="Times New Roman"/>
          <w:color w:val="000000"/>
          <w:kern w:val="24"/>
          <w:sz w:val="24"/>
          <w:szCs w:val="24"/>
          <w:shd w:val="clear" w:color="auto" w:fill="FFFFFF"/>
        </w:rPr>
        <w:t>En Algérie, l</w:t>
      </w:r>
      <w:r w:rsidR="00CA5C17" w:rsidRPr="001374DC">
        <w:rPr>
          <w:rFonts w:ascii="Times New Roman" w:hAnsi="Times New Roman" w:cs="Times New Roman"/>
          <w:color w:val="000000"/>
          <w:kern w:val="24"/>
          <w:sz w:val="24"/>
          <w:szCs w:val="24"/>
          <w:shd w:val="clear" w:color="auto" w:fill="FFFFFF"/>
        </w:rPr>
        <w:t xml:space="preserve">es actifs bancaires islamiques sont d’environ </w:t>
      </w:r>
      <w:r w:rsidR="00CA5C17" w:rsidRPr="001374DC">
        <w:rPr>
          <w:rFonts w:ascii="Times New Roman" w:hAnsi="Times New Roman" w:cs="Times New Roman"/>
          <w:color w:val="000000"/>
          <w:kern w:val="24"/>
          <w:sz w:val="24"/>
          <w:szCs w:val="24"/>
        </w:rPr>
        <w:t>3,4 milliards dollars</w:t>
      </w:r>
      <w:r w:rsidR="00402FEA" w:rsidRPr="001374DC">
        <w:rPr>
          <w:rFonts w:ascii="Times New Roman" w:hAnsi="Times New Roman" w:cs="Times New Roman"/>
          <w:color w:val="000000"/>
          <w:kern w:val="24"/>
          <w:sz w:val="24"/>
          <w:szCs w:val="24"/>
        </w:rPr>
        <w:t> ;</w:t>
      </w:r>
      <w:r w:rsidR="00402FEA" w:rsidRPr="001374DC">
        <w:rPr>
          <w:rFonts w:ascii="Times New Roman" w:hAnsi="Times New Roman" w:cs="Times New Roman"/>
          <w:color w:val="000000"/>
          <w:kern w:val="24"/>
          <w:sz w:val="24"/>
          <w:szCs w:val="24"/>
          <w:shd w:val="clear" w:color="auto" w:fill="FFFFFF"/>
        </w:rPr>
        <w:t xml:space="preserve"> ils</w:t>
      </w:r>
      <w:r w:rsidR="00CA5C17" w:rsidRPr="001374DC">
        <w:rPr>
          <w:rFonts w:ascii="Times New Roman" w:hAnsi="Times New Roman" w:cs="Times New Roman"/>
          <w:color w:val="000000"/>
          <w:kern w:val="24"/>
          <w:sz w:val="24"/>
          <w:szCs w:val="24"/>
          <w:shd w:val="clear" w:color="auto" w:fill="FFFFFF"/>
        </w:rPr>
        <w:t xml:space="preserve"> représentent moins de 1% des </w:t>
      </w:r>
      <w:r w:rsidRPr="001374DC">
        <w:rPr>
          <w:rFonts w:ascii="Times New Roman" w:hAnsi="Times New Roman" w:cs="Times New Roman"/>
          <w:color w:val="000000"/>
          <w:kern w:val="24"/>
          <w:sz w:val="24"/>
          <w:szCs w:val="24"/>
          <w:shd w:val="clear" w:color="auto" w:fill="FFFFFF"/>
        </w:rPr>
        <w:t xml:space="preserve">actifs </w:t>
      </w:r>
      <w:r w:rsidR="0062706A" w:rsidRPr="001374DC">
        <w:rPr>
          <w:rFonts w:ascii="Times New Roman" w:hAnsi="Times New Roman" w:cs="Times New Roman"/>
          <w:color w:val="000000"/>
          <w:kern w:val="24"/>
          <w:sz w:val="24"/>
          <w:szCs w:val="24"/>
          <w:shd w:val="clear" w:color="auto" w:fill="FFFFFF"/>
        </w:rPr>
        <w:t>totaux</w:t>
      </w:r>
      <w:r w:rsidR="00CA5C17" w:rsidRPr="001374DC">
        <w:rPr>
          <w:rStyle w:val="Appelnotedebasdep"/>
          <w:rFonts w:ascii="Times New Roman" w:hAnsi="Times New Roman"/>
          <w:color w:val="000000"/>
          <w:kern w:val="24"/>
          <w:sz w:val="24"/>
          <w:szCs w:val="24"/>
          <w:shd w:val="clear" w:color="auto" w:fill="FFFFFF"/>
        </w:rPr>
        <w:footnoteReference w:id="99"/>
      </w:r>
      <w:r w:rsidR="00CA5C17" w:rsidRPr="001374DC">
        <w:rPr>
          <w:rFonts w:ascii="Times New Roman" w:hAnsi="Times New Roman" w:cs="Times New Roman"/>
          <w:color w:val="000000"/>
          <w:kern w:val="24"/>
          <w:sz w:val="24"/>
          <w:szCs w:val="24"/>
          <w:shd w:val="clear" w:color="auto" w:fill="FFFFFF"/>
        </w:rPr>
        <w:t>. Jusqu’en 2017, la finance islamique opérait en dehors de tout cadre juridique</w:t>
      </w:r>
      <w:r w:rsidR="0050533B" w:rsidRPr="001374DC">
        <w:rPr>
          <w:rFonts w:ascii="Times New Roman" w:hAnsi="Times New Roman" w:cs="Times New Roman"/>
          <w:color w:val="000000"/>
          <w:kern w:val="24"/>
          <w:sz w:val="24"/>
          <w:szCs w:val="24"/>
          <w:shd w:val="clear" w:color="auto" w:fill="FFFFFF"/>
        </w:rPr>
        <w:t xml:space="preserve"> ; </w:t>
      </w:r>
      <w:r w:rsidR="00CA5C17" w:rsidRPr="001374DC">
        <w:rPr>
          <w:rFonts w:ascii="Times New Roman" w:hAnsi="Times New Roman" w:cs="Times New Roman"/>
          <w:color w:val="000000"/>
          <w:kern w:val="24"/>
          <w:sz w:val="24"/>
          <w:szCs w:val="24"/>
          <w:shd w:val="clear" w:color="auto" w:fill="FFFFFF"/>
        </w:rPr>
        <w:t>ses activités obéissaient à un cadre réglementaire conçu pour la finance conventionnelle</w:t>
      </w:r>
      <w:r w:rsidR="00CA5C17" w:rsidRPr="001374DC">
        <w:rPr>
          <w:rFonts w:ascii="Times New Roman" w:hAnsi="Times New Roman" w:cs="Times New Roman"/>
          <w:color w:val="000000" w:themeColor="text1"/>
          <w:kern w:val="24"/>
          <w:sz w:val="24"/>
          <w:szCs w:val="24"/>
          <w:shd w:val="clear" w:color="auto" w:fill="FFFFFF"/>
        </w:rPr>
        <w:t xml:space="preserve">. C’est vers la fin de l’année 2018 que les autorités algériennes ont commencé à aborder sérieusement le domaine de la finance islamique en promulguant le </w:t>
      </w:r>
      <w:r w:rsidRPr="001374DC">
        <w:rPr>
          <w:rFonts w:ascii="Times New Roman" w:hAnsi="Times New Roman" w:cs="Times New Roman"/>
          <w:color w:val="000000" w:themeColor="text1"/>
          <w:kern w:val="24"/>
          <w:sz w:val="24"/>
          <w:szCs w:val="24"/>
          <w:shd w:val="clear" w:color="auto" w:fill="FFFFFF"/>
        </w:rPr>
        <w:t>r</w:t>
      </w:r>
      <w:r w:rsidR="00CA5C17" w:rsidRPr="001374DC">
        <w:rPr>
          <w:rFonts w:ascii="Times New Roman" w:hAnsi="Times New Roman" w:cs="Times New Roman"/>
          <w:color w:val="000000" w:themeColor="text1"/>
          <w:kern w:val="24"/>
          <w:sz w:val="24"/>
          <w:szCs w:val="24"/>
          <w:shd w:val="clear" w:color="auto" w:fill="FFFFFF"/>
        </w:rPr>
        <w:t xml:space="preserve">èglement 18-02 du 04 novembre 2018. </w:t>
      </w:r>
      <w:r w:rsidRPr="001374DC">
        <w:rPr>
          <w:rFonts w:ascii="Times New Roman" w:hAnsi="Times New Roman" w:cs="Times New Roman"/>
          <w:color w:val="000000" w:themeColor="text1"/>
          <w:kern w:val="24"/>
          <w:sz w:val="24"/>
          <w:szCs w:val="24"/>
          <w:shd w:val="clear" w:color="auto" w:fill="FFFFFF"/>
        </w:rPr>
        <w:t>Il</w:t>
      </w:r>
      <w:r w:rsidR="00CA5C17" w:rsidRPr="001374DC">
        <w:rPr>
          <w:rFonts w:ascii="Times New Roman" w:hAnsi="Times New Roman" w:cs="Times New Roman"/>
          <w:color w:val="000000" w:themeColor="text1"/>
          <w:kern w:val="24"/>
          <w:sz w:val="24"/>
          <w:szCs w:val="24"/>
          <w:shd w:val="clear" w:color="auto" w:fill="FFFFFF"/>
        </w:rPr>
        <w:t xml:space="preserve"> fai</w:t>
      </w:r>
      <w:r w:rsidRPr="001374DC">
        <w:rPr>
          <w:rFonts w:ascii="Times New Roman" w:hAnsi="Times New Roman" w:cs="Times New Roman"/>
          <w:color w:val="000000" w:themeColor="text1"/>
          <w:kern w:val="24"/>
          <w:sz w:val="24"/>
          <w:szCs w:val="24"/>
          <w:shd w:val="clear" w:color="auto" w:fill="FFFFFF"/>
        </w:rPr>
        <w:t>sait</w:t>
      </w:r>
      <w:r w:rsidR="00CA5C17" w:rsidRPr="001374DC">
        <w:rPr>
          <w:rFonts w:ascii="Times New Roman" w:hAnsi="Times New Roman" w:cs="Times New Roman"/>
          <w:color w:val="000000" w:themeColor="text1"/>
          <w:kern w:val="24"/>
          <w:sz w:val="24"/>
          <w:szCs w:val="24"/>
          <w:shd w:val="clear" w:color="auto" w:fill="FFFFFF"/>
        </w:rPr>
        <w:t xml:space="preserve"> référence à des produits participatifs</w:t>
      </w:r>
      <w:r w:rsidRPr="001374DC">
        <w:rPr>
          <w:rFonts w:ascii="Times New Roman" w:hAnsi="Times New Roman" w:cs="Times New Roman"/>
          <w:color w:val="000000" w:themeColor="text1"/>
          <w:kern w:val="24"/>
          <w:sz w:val="24"/>
          <w:szCs w:val="24"/>
          <w:shd w:val="clear" w:color="auto" w:fill="FFFFFF"/>
        </w:rPr>
        <w:t>.</w:t>
      </w:r>
      <w:r w:rsidR="00CA5C17" w:rsidRPr="001374DC">
        <w:rPr>
          <w:rFonts w:ascii="Times New Roman" w:hAnsi="Times New Roman" w:cs="Times New Roman"/>
          <w:color w:val="000000" w:themeColor="text1"/>
          <w:kern w:val="24"/>
          <w:sz w:val="24"/>
          <w:szCs w:val="24"/>
          <w:shd w:val="clear" w:color="auto" w:fill="FFFFFF"/>
        </w:rPr>
        <w:t xml:space="preserve"> </w:t>
      </w:r>
      <w:r w:rsidRPr="001374DC">
        <w:rPr>
          <w:rFonts w:ascii="Times New Roman" w:hAnsi="Times New Roman" w:cs="Times New Roman"/>
          <w:color w:val="000000" w:themeColor="text1"/>
          <w:kern w:val="24"/>
          <w:sz w:val="24"/>
          <w:szCs w:val="24"/>
          <w:shd w:val="clear" w:color="auto" w:fill="FFFFFF"/>
        </w:rPr>
        <w:t>Insuffisant</w:t>
      </w:r>
      <w:r w:rsidR="00CA5C17" w:rsidRPr="001374DC">
        <w:rPr>
          <w:rFonts w:ascii="Times New Roman" w:hAnsi="Times New Roman" w:cs="Times New Roman"/>
          <w:color w:val="000000" w:themeColor="text1"/>
          <w:kern w:val="24"/>
          <w:sz w:val="24"/>
          <w:szCs w:val="24"/>
          <w:shd w:val="clear" w:color="auto" w:fill="FFFFFF"/>
        </w:rPr>
        <w:t xml:space="preserve"> pour légaliser et impulser une véritable finance islamique</w:t>
      </w:r>
      <w:r w:rsidR="0050533B" w:rsidRPr="001374DC">
        <w:rPr>
          <w:rFonts w:ascii="Times New Roman" w:hAnsi="Times New Roman" w:cs="Times New Roman"/>
          <w:color w:val="000000" w:themeColor="text1"/>
          <w:kern w:val="24"/>
          <w:sz w:val="24"/>
          <w:szCs w:val="24"/>
          <w:shd w:val="clear" w:color="auto" w:fill="FFFFFF"/>
        </w:rPr>
        <w:t>, i</w:t>
      </w:r>
      <w:r w:rsidRPr="001374DC">
        <w:rPr>
          <w:rFonts w:ascii="Times New Roman" w:hAnsi="Times New Roman" w:cs="Times New Roman"/>
          <w:color w:val="000000" w:themeColor="text1"/>
          <w:kern w:val="24"/>
          <w:sz w:val="24"/>
          <w:szCs w:val="24"/>
          <w:shd w:val="clear" w:color="auto" w:fill="FFFFFF"/>
        </w:rPr>
        <w:t>l</w:t>
      </w:r>
      <w:r w:rsidR="00CA5C17" w:rsidRPr="001374DC">
        <w:rPr>
          <w:rFonts w:ascii="Times New Roman" w:hAnsi="Times New Roman" w:cs="Times New Roman"/>
          <w:color w:val="000000" w:themeColor="text1"/>
          <w:kern w:val="24"/>
          <w:sz w:val="24"/>
          <w:szCs w:val="24"/>
          <w:shd w:val="clear" w:color="auto" w:fill="FFFFFF"/>
        </w:rPr>
        <w:t xml:space="preserve"> fut aussitôt abrogé par celui du 15 mars 2020 apparu sous le n°20-02 </w:t>
      </w:r>
      <w:r w:rsidRPr="001374DC">
        <w:rPr>
          <w:rFonts w:ascii="Times New Roman" w:hAnsi="Times New Roman" w:cs="Times New Roman"/>
          <w:color w:val="000000" w:themeColor="text1"/>
          <w:kern w:val="24"/>
          <w:sz w:val="24"/>
          <w:szCs w:val="24"/>
          <w:shd w:val="clear" w:color="auto" w:fill="FFFFFF"/>
        </w:rPr>
        <w:t>lequel</w:t>
      </w:r>
      <w:r w:rsidR="00CA5C17" w:rsidRPr="001374DC">
        <w:rPr>
          <w:rFonts w:ascii="Times New Roman" w:hAnsi="Times New Roman" w:cs="Times New Roman"/>
          <w:color w:val="000000" w:themeColor="text1"/>
          <w:kern w:val="24"/>
          <w:sz w:val="24"/>
          <w:szCs w:val="24"/>
          <w:shd w:val="clear" w:color="auto" w:fill="FFFFFF"/>
        </w:rPr>
        <w:t xml:space="preserve"> constitue un nouveau tournant pour l’activité de banque islamique.</w:t>
      </w:r>
    </w:p>
    <w:p w14:paraId="0411779A" w14:textId="24F714EA" w:rsidR="00CA5C17" w:rsidRPr="001374DC" w:rsidRDefault="00CA5C17" w:rsidP="001374DC">
      <w:pPr>
        <w:tabs>
          <w:tab w:val="left" w:pos="0"/>
        </w:tabs>
        <w:spacing w:before="120" w:line="300" w:lineRule="auto"/>
        <w:ind w:firstLine="709"/>
        <w:rPr>
          <w:rFonts w:ascii="Times New Roman" w:hAnsi="Times New Roman" w:cs="Times New Roman"/>
          <w:color w:val="000000" w:themeColor="text1"/>
          <w:kern w:val="24"/>
          <w:sz w:val="24"/>
          <w:szCs w:val="24"/>
          <w:shd w:val="clear" w:color="auto" w:fill="FFFFFF"/>
        </w:rPr>
      </w:pPr>
      <w:r w:rsidRPr="001374DC">
        <w:rPr>
          <w:rFonts w:ascii="Times New Roman" w:hAnsi="Times New Roman" w:cs="Times New Roman"/>
          <w:color w:val="000000" w:themeColor="text1"/>
          <w:kern w:val="24"/>
          <w:sz w:val="24"/>
          <w:szCs w:val="24"/>
          <w:shd w:val="clear" w:color="auto" w:fill="FFFFFF"/>
        </w:rPr>
        <w:t>Le règlement 20-02 du 15 mars 2020 comportait des innovations et des précisions qui manquaient dans le règlement précédent</w:t>
      </w:r>
      <w:r w:rsidR="009921D5" w:rsidRPr="001374DC">
        <w:rPr>
          <w:rFonts w:ascii="Times New Roman" w:hAnsi="Times New Roman" w:cs="Times New Roman"/>
          <w:color w:val="000000" w:themeColor="text1"/>
          <w:kern w:val="24"/>
          <w:sz w:val="24"/>
          <w:szCs w:val="24"/>
          <w:shd w:val="clear" w:color="auto" w:fill="FFFFFF"/>
        </w:rPr>
        <w:t>,</w:t>
      </w:r>
      <w:r w:rsidRPr="001374DC">
        <w:rPr>
          <w:rFonts w:ascii="Times New Roman" w:hAnsi="Times New Roman" w:cs="Times New Roman"/>
          <w:color w:val="000000" w:themeColor="text1"/>
          <w:kern w:val="24"/>
          <w:sz w:val="24"/>
          <w:szCs w:val="24"/>
          <w:shd w:val="clear" w:color="auto" w:fill="FFFFFF"/>
        </w:rPr>
        <w:t xml:space="preserve"> notamment</w:t>
      </w:r>
      <w:r w:rsidRPr="001374DC">
        <w:rPr>
          <w:rStyle w:val="Appelnotedebasdep"/>
          <w:rFonts w:ascii="Times New Roman" w:hAnsi="Times New Roman"/>
          <w:color w:val="000000" w:themeColor="text1"/>
          <w:kern w:val="24"/>
          <w:sz w:val="24"/>
          <w:szCs w:val="24"/>
          <w:shd w:val="clear" w:color="auto" w:fill="FFFFFF"/>
        </w:rPr>
        <w:footnoteReference w:id="100"/>
      </w:r>
      <w:r w:rsidRPr="001374DC">
        <w:rPr>
          <w:rFonts w:ascii="Times New Roman" w:hAnsi="Times New Roman" w:cs="Times New Roman"/>
          <w:color w:val="000000" w:themeColor="text1"/>
          <w:kern w:val="24"/>
          <w:sz w:val="24"/>
          <w:szCs w:val="24"/>
          <w:shd w:val="clear" w:color="auto" w:fill="FFFFFF"/>
        </w:rPr>
        <w:t> :</w:t>
      </w:r>
    </w:p>
    <w:p w14:paraId="2D2603EC" w14:textId="77777777" w:rsidR="00CA5C17" w:rsidRPr="001374DC" w:rsidRDefault="00CA5C17" w:rsidP="00CB0FF1">
      <w:pPr>
        <w:pStyle w:val="Paragraphedeliste"/>
        <w:numPr>
          <w:ilvl w:val="0"/>
          <w:numId w:val="112"/>
        </w:numPr>
        <w:shd w:val="clear" w:color="auto" w:fill="FFFFFF"/>
        <w:tabs>
          <w:tab w:val="left" w:pos="993"/>
        </w:tabs>
        <w:spacing w:before="120" w:line="300" w:lineRule="auto"/>
        <w:ind w:left="1135" w:hanging="284"/>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color w:val="000000" w:themeColor="text1"/>
          <w:kern w:val="24"/>
          <w:sz w:val="24"/>
          <w:szCs w:val="24"/>
          <w:lang w:eastAsia="fr-FR"/>
        </w:rPr>
        <w:t>La référence explicite à la finance islamique et non plus, comme cela était le cas dans le précédent règlement abrogé, à la finance participative.</w:t>
      </w:r>
    </w:p>
    <w:p w14:paraId="26713852" w14:textId="5A13B1BB" w:rsidR="00CA5C17" w:rsidRPr="001374DC" w:rsidRDefault="00CA5C17" w:rsidP="00CB0FF1">
      <w:pPr>
        <w:pStyle w:val="Paragraphedeliste"/>
        <w:numPr>
          <w:ilvl w:val="0"/>
          <w:numId w:val="112"/>
        </w:numPr>
        <w:shd w:val="clear" w:color="auto" w:fill="FFFFFF"/>
        <w:tabs>
          <w:tab w:val="left" w:pos="993"/>
        </w:tabs>
        <w:spacing w:before="120" w:line="300" w:lineRule="auto"/>
        <w:ind w:left="1135" w:hanging="284"/>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color w:val="000000" w:themeColor="text1"/>
          <w:kern w:val="24"/>
          <w:sz w:val="24"/>
          <w:szCs w:val="24"/>
          <w:lang w:eastAsia="fr-FR"/>
        </w:rPr>
        <w:t xml:space="preserve">La définition des opérations de banque relevant de la finance islamique comme étant toute opération de banque qui ne donne pas lieu à la perception ou au versement d’intérêts et la délimitation du périmètre d’intervention à la </w:t>
      </w:r>
      <w:r w:rsidR="00567A13" w:rsidRPr="001374DC">
        <w:rPr>
          <w:rFonts w:ascii="Times New Roman" w:eastAsia="Times New Roman" w:hAnsi="Times New Roman" w:cs="Times New Roman"/>
          <w:i/>
          <w:iCs/>
          <w:color w:val="000000" w:themeColor="text1"/>
          <w:kern w:val="24"/>
          <w:sz w:val="24"/>
          <w:szCs w:val="24"/>
          <w:lang w:eastAsia="fr-FR"/>
        </w:rPr>
        <w:t>m</w:t>
      </w:r>
      <w:r w:rsidRPr="001374DC">
        <w:rPr>
          <w:rFonts w:ascii="Times New Roman" w:eastAsia="Times New Roman" w:hAnsi="Times New Roman" w:cs="Times New Roman"/>
          <w:i/>
          <w:iCs/>
          <w:color w:val="000000" w:themeColor="text1"/>
          <w:kern w:val="24"/>
          <w:sz w:val="24"/>
          <w:szCs w:val="24"/>
          <w:lang w:eastAsia="fr-FR"/>
        </w:rPr>
        <w:t>ourabaha</w:t>
      </w:r>
      <w:r w:rsidRPr="001374DC">
        <w:rPr>
          <w:rFonts w:ascii="Times New Roman" w:eastAsia="Times New Roman" w:hAnsi="Times New Roman" w:cs="Times New Roman"/>
          <w:color w:val="000000" w:themeColor="text1"/>
          <w:kern w:val="24"/>
          <w:sz w:val="24"/>
          <w:szCs w:val="24"/>
          <w:lang w:eastAsia="fr-FR"/>
        </w:rPr>
        <w:t xml:space="preserve">, la </w:t>
      </w:r>
      <w:r w:rsidR="00567A13" w:rsidRPr="001374DC">
        <w:rPr>
          <w:rFonts w:ascii="Times New Roman" w:eastAsia="Times New Roman" w:hAnsi="Times New Roman" w:cs="Times New Roman"/>
          <w:i/>
          <w:iCs/>
          <w:color w:val="000000" w:themeColor="text1"/>
          <w:kern w:val="24"/>
          <w:sz w:val="24"/>
          <w:szCs w:val="24"/>
          <w:lang w:eastAsia="fr-FR"/>
        </w:rPr>
        <w:t>m</w:t>
      </w:r>
      <w:r w:rsidRPr="001374DC">
        <w:rPr>
          <w:rFonts w:ascii="Times New Roman" w:eastAsia="Times New Roman" w:hAnsi="Times New Roman" w:cs="Times New Roman"/>
          <w:i/>
          <w:iCs/>
          <w:color w:val="000000" w:themeColor="text1"/>
          <w:kern w:val="24"/>
          <w:sz w:val="24"/>
          <w:szCs w:val="24"/>
          <w:lang w:eastAsia="fr-FR"/>
        </w:rPr>
        <w:t>oucharaka</w:t>
      </w:r>
      <w:r w:rsidRPr="001374DC">
        <w:rPr>
          <w:rFonts w:ascii="Times New Roman" w:eastAsia="Times New Roman" w:hAnsi="Times New Roman" w:cs="Times New Roman"/>
          <w:color w:val="000000" w:themeColor="text1"/>
          <w:kern w:val="24"/>
          <w:sz w:val="24"/>
          <w:szCs w:val="24"/>
          <w:lang w:eastAsia="fr-FR"/>
        </w:rPr>
        <w:t xml:space="preserve">, </w:t>
      </w:r>
      <w:r w:rsidR="00567A13" w:rsidRPr="001374DC">
        <w:rPr>
          <w:rFonts w:ascii="Times New Roman" w:eastAsia="Times New Roman" w:hAnsi="Times New Roman" w:cs="Times New Roman"/>
          <w:color w:val="000000" w:themeColor="text1"/>
          <w:kern w:val="24"/>
          <w:sz w:val="24"/>
          <w:szCs w:val="24"/>
          <w:lang w:eastAsia="fr-FR"/>
        </w:rPr>
        <w:t xml:space="preserve">la </w:t>
      </w:r>
      <w:r w:rsidR="00567A13" w:rsidRPr="001374DC">
        <w:rPr>
          <w:rFonts w:ascii="Times New Roman" w:eastAsia="Times New Roman" w:hAnsi="Times New Roman" w:cs="Times New Roman"/>
          <w:i/>
          <w:iCs/>
          <w:color w:val="000000" w:themeColor="text1"/>
          <w:kern w:val="24"/>
          <w:sz w:val="24"/>
          <w:szCs w:val="24"/>
          <w:lang w:eastAsia="fr-FR"/>
        </w:rPr>
        <w:t>m</w:t>
      </w:r>
      <w:r w:rsidRPr="001374DC">
        <w:rPr>
          <w:rFonts w:ascii="Times New Roman" w:eastAsia="Times New Roman" w:hAnsi="Times New Roman" w:cs="Times New Roman"/>
          <w:i/>
          <w:iCs/>
          <w:color w:val="000000" w:themeColor="text1"/>
          <w:kern w:val="24"/>
          <w:sz w:val="24"/>
          <w:szCs w:val="24"/>
          <w:lang w:eastAsia="fr-FR"/>
        </w:rPr>
        <w:t>oudaraba</w:t>
      </w:r>
      <w:r w:rsidRPr="001374DC">
        <w:rPr>
          <w:rFonts w:ascii="Times New Roman" w:eastAsia="Times New Roman" w:hAnsi="Times New Roman" w:cs="Times New Roman"/>
          <w:color w:val="000000" w:themeColor="text1"/>
          <w:kern w:val="24"/>
          <w:sz w:val="24"/>
          <w:szCs w:val="24"/>
          <w:lang w:eastAsia="fr-FR"/>
        </w:rPr>
        <w:t>, l</w:t>
      </w:r>
      <w:r w:rsidR="00567A13" w:rsidRPr="001374DC">
        <w:rPr>
          <w:rFonts w:ascii="Times New Roman" w:eastAsia="Times New Roman" w:hAnsi="Times New Roman" w:cs="Times New Roman"/>
          <w:color w:val="000000" w:themeColor="text1"/>
          <w:kern w:val="24"/>
          <w:sz w:val="24"/>
          <w:szCs w:val="24"/>
          <w:lang w:eastAsia="fr-FR"/>
        </w:rPr>
        <w:t>’</w:t>
      </w:r>
      <w:r w:rsidR="00567A13" w:rsidRPr="001374DC">
        <w:rPr>
          <w:rFonts w:ascii="Times New Roman" w:eastAsia="Times New Roman" w:hAnsi="Times New Roman" w:cs="Times New Roman"/>
          <w:i/>
          <w:iCs/>
          <w:color w:val="000000" w:themeColor="text1"/>
          <w:kern w:val="24"/>
          <w:sz w:val="24"/>
          <w:szCs w:val="24"/>
          <w:lang w:eastAsia="fr-FR"/>
        </w:rPr>
        <w:t>i</w:t>
      </w:r>
      <w:r w:rsidRPr="001374DC">
        <w:rPr>
          <w:rFonts w:ascii="Times New Roman" w:eastAsia="Times New Roman" w:hAnsi="Times New Roman" w:cs="Times New Roman"/>
          <w:i/>
          <w:iCs/>
          <w:color w:val="000000" w:themeColor="text1"/>
          <w:kern w:val="24"/>
          <w:sz w:val="24"/>
          <w:szCs w:val="24"/>
          <w:lang w:eastAsia="fr-FR"/>
        </w:rPr>
        <w:t>jara</w:t>
      </w:r>
      <w:r w:rsidRPr="001374DC">
        <w:rPr>
          <w:rFonts w:ascii="Times New Roman" w:eastAsia="Times New Roman" w:hAnsi="Times New Roman" w:cs="Times New Roman"/>
          <w:color w:val="000000" w:themeColor="text1"/>
          <w:kern w:val="24"/>
          <w:sz w:val="24"/>
          <w:szCs w:val="24"/>
          <w:lang w:eastAsia="fr-FR"/>
        </w:rPr>
        <w:t xml:space="preserve">, le </w:t>
      </w:r>
      <w:r w:rsidR="009921D5" w:rsidRPr="001374DC">
        <w:rPr>
          <w:rFonts w:ascii="Times New Roman" w:eastAsia="Times New Roman" w:hAnsi="Times New Roman" w:cs="Times New Roman"/>
          <w:i/>
          <w:iCs/>
          <w:color w:val="000000" w:themeColor="text1"/>
          <w:kern w:val="24"/>
          <w:sz w:val="24"/>
          <w:szCs w:val="24"/>
          <w:lang w:eastAsia="fr-FR"/>
        </w:rPr>
        <w:t>s</w:t>
      </w:r>
      <w:r w:rsidRPr="001374DC">
        <w:rPr>
          <w:rFonts w:ascii="Times New Roman" w:eastAsia="Times New Roman" w:hAnsi="Times New Roman" w:cs="Times New Roman"/>
          <w:i/>
          <w:iCs/>
          <w:color w:val="000000" w:themeColor="text1"/>
          <w:kern w:val="24"/>
          <w:sz w:val="24"/>
          <w:szCs w:val="24"/>
          <w:lang w:eastAsia="fr-FR"/>
        </w:rPr>
        <w:t>alam</w:t>
      </w:r>
      <w:r w:rsidRPr="001374DC">
        <w:rPr>
          <w:rFonts w:ascii="Times New Roman" w:eastAsia="Times New Roman" w:hAnsi="Times New Roman" w:cs="Times New Roman"/>
          <w:color w:val="000000" w:themeColor="text1"/>
          <w:kern w:val="24"/>
          <w:sz w:val="24"/>
          <w:szCs w:val="24"/>
          <w:lang w:eastAsia="fr-FR"/>
        </w:rPr>
        <w:t xml:space="preserve"> et l’</w:t>
      </w:r>
      <w:r w:rsidR="00567A13" w:rsidRPr="001374DC">
        <w:rPr>
          <w:rFonts w:ascii="Times New Roman" w:eastAsia="Times New Roman" w:hAnsi="Times New Roman" w:cs="Times New Roman"/>
          <w:i/>
          <w:iCs/>
          <w:color w:val="000000" w:themeColor="text1"/>
          <w:kern w:val="24"/>
          <w:sz w:val="24"/>
          <w:szCs w:val="24"/>
          <w:lang w:eastAsia="fr-FR"/>
        </w:rPr>
        <w:t>i</w:t>
      </w:r>
      <w:r w:rsidRPr="001374DC">
        <w:rPr>
          <w:rFonts w:ascii="Times New Roman" w:eastAsia="Times New Roman" w:hAnsi="Times New Roman" w:cs="Times New Roman"/>
          <w:i/>
          <w:iCs/>
          <w:color w:val="000000" w:themeColor="text1"/>
          <w:kern w:val="24"/>
          <w:sz w:val="24"/>
          <w:szCs w:val="24"/>
          <w:lang w:eastAsia="fr-FR"/>
        </w:rPr>
        <w:t>stisna’a</w:t>
      </w:r>
      <w:r w:rsidRPr="001374DC">
        <w:rPr>
          <w:rFonts w:ascii="Times New Roman" w:eastAsia="Times New Roman" w:hAnsi="Times New Roman" w:cs="Times New Roman"/>
          <w:color w:val="000000" w:themeColor="text1"/>
          <w:kern w:val="24"/>
          <w:sz w:val="24"/>
          <w:szCs w:val="24"/>
          <w:lang w:eastAsia="fr-FR"/>
        </w:rPr>
        <w:t>.</w:t>
      </w:r>
    </w:p>
    <w:p w14:paraId="608A757B" w14:textId="7E460C89" w:rsidR="00CA5C17" w:rsidRPr="001374DC" w:rsidRDefault="00CA5C17" w:rsidP="00CB0FF1">
      <w:pPr>
        <w:pStyle w:val="Paragraphedeliste"/>
        <w:numPr>
          <w:ilvl w:val="0"/>
          <w:numId w:val="112"/>
        </w:numPr>
        <w:shd w:val="clear" w:color="auto" w:fill="FFFFFF"/>
        <w:tabs>
          <w:tab w:val="left" w:pos="993"/>
        </w:tabs>
        <w:spacing w:before="120" w:line="300" w:lineRule="auto"/>
        <w:ind w:left="1135" w:hanging="284"/>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color w:val="000000" w:themeColor="text1"/>
          <w:kern w:val="24"/>
          <w:sz w:val="24"/>
          <w:szCs w:val="24"/>
          <w:lang w:eastAsia="fr-FR"/>
        </w:rPr>
        <w:t xml:space="preserve">L’obligation aux banques d’obtenir l’autorisation de la Banque d’Algérie avant toute introduction de produit de </w:t>
      </w:r>
      <w:r w:rsidR="00567A13" w:rsidRPr="001374DC">
        <w:rPr>
          <w:rFonts w:ascii="Times New Roman" w:eastAsia="Times New Roman" w:hAnsi="Times New Roman" w:cs="Times New Roman"/>
          <w:color w:val="000000" w:themeColor="text1"/>
          <w:kern w:val="24"/>
          <w:sz w:val="24"/>
          <w:szCs w:val="24"/>
          <w:lang w:eastAsia="fr-FR"/>
        </w:rPr>
        <w:t>f</w:t>
      </w:r>
      <w:r w:rsidRPr="001374DC">
        <w:rPr>
          <w:rFonts w:ascii="Times New Roman" w:eastAsia="Times New Roman" w:hAnsi="Times New Roman" w:cs="Times New Roman"/>
          <w:color w:val="000000" w:themeColor="text1"/>
          <w:kern w:val="24"/>
          <w:sz w:val="24"/>
          <w:szCs w:val="24"/>
          <w:lang w:eastAsia="fr-FR"/>
        </w:rPr>
        <w:t xml:space="preserve">inance islamique. Lequel produit doit obtenir au préalable la certification de conformité aux préceptes de la </w:t>
      </w:r>
      <w:r w:rsidR="00567A13" w:rsidRPr="001374DC">
        <w:rPr>
          <w:rFonts w:ascii="Times New Roman" w:eastAsia="Times New Roman" w:hAnsi="Times New Roman" w:cs="Times New Roman"/>
          <w:i/>
          <w:iCs/>
          <w:color w:val="000000" w:themeColor="text1"/>
          <w:kern w:val="24"/>
          <w:sz w:val="24"/>
          <w:szCs w:val="24"/>
          <w:lang w:eastAsia="fr-FR"/>
        </w:rPr>
        <w:t>S</w:t>
      </w:r>
      <w:r w:rsidRPr="001374DC">
        <w:rPr>
          <w:rFonts w:ascii="Times New Roman" w:eastAsia="Times New Roman" w:hAnsi="Times New Roman" w:cs="Times New Roman"/>
          <w:i/>
          <w:iCs/>
          <w:color w:val="000000" w:themeColor="text1"/>
          <w:kern w:val="24"/>
          <w:sz w:val="24"/>
          <w:szCs w:val="24"/>
          <w:lang w:eastAsia="fr-FR"/>
        </w:rPr>
        <w:t>haria</w:t>
      </w:r>
      <w:r w:rsidR="00567A13" w:rsidRPr="001374DC">
        <w:rPr>
          <w:rFonts w:ascii="Times New Roman" w:eastAsia="Times New Roman" w:hAnsi="Times New Roman" w:cs="Times New Roman"/>
          <w:i/>
          <w:iCs/>
          <w:color w:val="000000" w:themeColor="text1"/>
          <w:kern w:val="24"/>
          <w:sz w:val="24"/>
          <w:szCs w:val="24"/>
          <w:lang w:eastAsia="fr-FR"/>
        </w:rPr>
        <w:t>h</w:t>
      </w:r>
      <w:r w:rsidRPr="001374DC">
        <w:rPr>
          <w:rFonts w:ascii="Times New Roman" w:eastAsia="Times New Roman" w:hAnsi="Times New Roman" w:cs="Times New Roman"/>
          <w:color w:val="000000" w:themeColor="text1"/>
          <w:kern w:val="24"/>
          <w:sz w:val="24"/>
          <w:szCs w:val="24"/>
          <w:lang w:eastAsia="fr-FR"/>
        </w:rPr>
        <w:t xml:space="preserve">, délivrée par </w:t>
      </w:r>
      <w:r w:rsidRPr="001374DC">
        <w:rPr>
          <w:rFonts w:ascii="Times New Roman" w:eastAsia="Times New Roman" w:hAnsi="Times New Roman" w:cs="Times New Roman"/>
          <w:color w:val="000000" w:themeColor="text1"/>
          <w:kern w:val="24"/>
          <w:sz w:val="24"/>
          <w:szCs w:val="24"/>
          <w:lang w:eastAsia="fr-FR"/>
        </w:rPr>
        <w:lastRenderedPageBreak/>
        <w:t xml:space="preserve">l’Autorité </w:t>
      </w:r>
      <w:r w:rsidR="00E13FA6" w:rsidRPr="001374DC">
        <w:rPr>
          <w:rFonts w:ascii="Times New Roman" w:eastAsia="Times New Roman" w:hAnsi="Times New Roman" w:cs="Times New Roman"/>
          <w:color w:val="000000" w:themeColor="text1"/>
          <w:kern w:val="24"/>
          <w:sz w:val="24"/>
          <w:szCs w:val="24"/>
          <w:lang w:eastAsia="fr-FR"/>
        </w:rPr>
        <w:t>Charaïque</w:t>
      </w:r>
      <w:r w:rsidRPr="001374DC">
        <w:rPr>
          <w:rFonts w:ascii="Times New Roman" w:eastAsia="Times New Roman" w:hAnsi="Times New Roman" w:cs="Times New Roman"/>
          <w:color w:val="000000" w:themeColor="text1"/>
          <w:kern w:val="24"/>
          <w:sz w:val="24"/>
          <w:szCs w:val="24"/>
          <w:lang w:eastAsia="fr-FR"/>
        </w:rPr>
        <w:t xml:space="preserve"> Nationale de la Fatwa pour l’Industrie de la Finance Islamique.</w:t>
      </w:r>
    </w:p>
    <w:p w14:paraId="3AC9EBC4" w14:textId="0198615B" w:rsidR="00CA5C17" w:rsidRPr="001374DC" w:rsidRDefault="00CA5C17" w:rsidP="00CB0FF1">
      <w:pPr>
        <w:pStyle w:val="Paragraphedeliste"/>
        <w:numPr>
          <w:ilvl w:val="0"/>
          <w:numId w:val="112"/>
        </w:numPr>
        <w:shd w:val="clear" w:color="auto" w:fill="FFFFFF"/>
        <w:tabs>
          <w:tab w:val="left" w:pos="993"/>
        </w:tabs>
        <w:spacing w:before="120" w:line="300" w:lineRule="auto"/>
        <w:ind w:left="1135" w:hanging="284"/>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color w:val="000000" w:themeColor="text1"/>
          <w:kern w:val="24"/>
          <w:sz w:val="24"/>
          <w:szCs w:val="24"/>
          <w:lang w:eastAsia="fr-FR"/>
        </w:rPr>
        <w:t xml:space="preserve">L’obligation aux banques et aux établissements financiers exerçant dans le domaine de la finance islamique de créer un comité de contrôle </w:t>
      </w:r>
      <w:r w:rsidR="00337C11" w:rsidRPr="001374DC">
        <w:rPr>
          <w:rFonts w:ascii="Times New Roman" w:hAnsi="Times New Roman" w:cs="Times New Roman"/>
          <w:color w:val="000000"/>
          <w:kern w:val="24"/>
          <w:sz w:val="24"/>
          <w:szCs w:val="24"/>
          <w:shd w:val="clear" w:color="auto" w:fill="FFFFFF"/>
        </w:rPr>
        <w:t xml:space="preserve">charaïque </w:t>
      </w:r>
      <w:r w:rsidRPr="001374DC">
        <w:rPr>
          <w:rFonts w:ascii="Times New Roman" w:eastAsia="Times New Roman" w:hAnsi="Times New Roman" w:cs="Times New Roman"/>
          <w:color w:val="000000" w:themeColor="text1"/>
          <w:kern w:val="24"/>
          <w:sz w:val="24"/>
          <w:szCs w:val="24"/>
          <w:lang w:eastAsia="fr-FR"/>
        </w:rPr>
        <w:t>composé d’au moins trois membres et désignés par l’assemblée générale.</w:t>
      </w:r>
    </w:p>
    <w:p w14:paraId="6F66903F" w14:textId="77777777" w:rsidR="00CA5C17" w:rsidRPr="001374DC" w:rsidRDefault="00CA5C17" w:rsidP="00CB0FF1">
      <w:pPr>
        <w:pStyle w:val="Paragraphedeliste"/>
        <w:numPr>
          <w:ilvl w:val="0"/>
          <w:numId w:val="112"/>
        </w:numPr>
        <w:shd w:val="clear" w:color="auto" w:fill="FFFFFF"/>
        <w:tabs>
          <w:tab w:val="left" w:pos="993"/>
        </w:tabs>
        <w:spacing w:before="120" w:line="300" w:lineRule="auto"/>
        <w:ind w:left="1135" w:hanging="284"/>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color w:val="000000" w:themeColor="text1"/>
          <w:kern w:val="24"/>
          <w:sz w:val="24"/>
          <w:szCs w:val="24"/>
          <w:lang w:eastAsia="fr-FR"/>
        </w:rPr>
        <w:t>L’obligation d’exercer l’activité par le biais d’un guichet chargé exclusivement des services et des produits de finance islamique au niveau de la banque ou de l’établissement financier.</w:t>
      </w:r>
    </w:p>
    <w:p w14:paraId="4CB8BD1E" w14:textId="2D4239B5" w:rsidR="00CA5C17" w:rsidRPr="001374DC" w:rsidRDefault="00CA5C17" w:rsidP="00CB0FF1">
      <w:pPr>
        <w:pStyle w:val="Paragraphedeliste"/>
        <w:numPr>
          <w:ilvl w:val="0"/>
          <w:numId w:val="112"/>
        </w:numPr>
        <w:shd w:val="clear" w:color="auto" w:fill="FFFFFF"/>
        <w:tabs>
          <w:tab w:val="left" w:pos="993"/>
        </w:tabs>
        <w:spacing w:before="120" w:line="300" w:lineRule="auto"/>
        <w:ind w:left="1135" w:hanging="284"/>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color w:val="000000" w:themeColor="text1"/>
          <w:kern w:val="24"/>
          <w:sz w:val="24"/>
          <w:szCs w:val="24"/>
          <w:lang w:eastAsia="fr-FR"/>
        </w:rPr>
        <w:t>La définition du contenu du dossier de demande d’autorisation préalable comme suit</w:t>
      </w:r>
      <w:r w:rsidR="00E13FA6" w:rsidRPr="001374DC">
        <w:rPr>
          <w:rFonts w:ascii="Times New Roman" w:eastAsia="Times New Roman" w:hAnsi="Times New Roman" w:cs="Times New Roman"/>
          <w:color w:val="000000" w:themeColor="text1"/>
          <w:kern w:val="24"/>
          <w:sz w:val="24"/>
          <w:szCs w:val="24"/>
          <w:lang w:eastAsia="fr-FR"/>
        </w:rPr>
        <w:t> :</w:t>
      </w:r>
    </w:p>
    <w:p w14:paraId="663C0808" w14:textId="3518DDDC" w:rsidR="00CA5C17" w:rsidRPr="001374DC" w:rsidRDefault="00CA5C17" w:rsidP="00CB0FF1">
      <w:pPr>
        <w:pStyle w:val="Paragraphedeliste"/>
        <w:numPr>
          <w:ilvl w:val="0"/>
          <w:numId w:val="113"/>
        </w:numPr>
        <w:shd w:val="clear" w:color="auto" w:fill="FFFFFF"/>
        <w:tabs>
          <w:tab w:val="left" w:pos="993"/>
        </w:tabs>
        <w:spacing w:before="60" w:after="100" w:afterAutospacing="1" w:line="300" w:lineRule="auto"/>
        <w:ind w:left="1418" w:hanging="284"/>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color w:val="000000" w:themeColor="text1"/>
          <w:kern w:val="24"/>
          <w:sz w:val="24"/>
          <w:szCs w:val="24"/>
          <w:lang w:eastAsia="fr-FR"/>
        </w:rPr>
        <w:t xml:space="preserve">Certificat de conformité aux préceptes de la </w:t>
      </w:r>
      <w:r w:rsidR="00567A13" w:rsidRPr="001374DC">
        <w:rPr>
          <w:rFonts w:ascii="Times New Roman" w:eastAsia="Times New Roman" w:hAnsi="Times New Roman" w:cs="Times New Roman"/>
          <w:i/>
          <w:iCs/>
          <w:color w:val="000000" w:themeColor="text1"/>
          <w:kern w:val="24"/>
          <w:sz w:val="24"/>
          <w:szCs w:val="24"/>
          <w:lang w:eastAsia="fr-FR"/>
        </w:rPr>
        <w:t>Shariah</w:t>
      </w:r>
      <w:r w:rsidR="00567A13" w:rsidRPr="001374DC">
        <w:rPr>
          <w:rFonts w:ascii="Times New Roman" w:eastAsia="Times New Roman" w:hAnsi="Times New Roman" w:cs="Times New Roman"/>
          <w:color w:val="000000" w:themeColor="text1"/>
          <w:kern w:val="24"/>
          <w:sz w:val="24"/>
          <w:szCs w:val="24"/>
          <w:lang w:eastAsia="fr-FR"/>
        </w:rPr>
        <w:t xml:space="preserve"> </w:t>
      </w:r>
      <w:r w:rsidRPr="001374DC">
        <w:rPr>
          <w:rFonts w:ascii="Times New Roman" w:eastAsia="Times New Roman" w:hAnsi="Times New Roman" w:cs="Times New Roman"/>
          <w:color w:val="000000" w:themeColor="text1"/>
          <w:kern w:val="24"/>
          <w:sz w:val="24"/>
          <w:szCs w:val="24"/>
          <w:lang w:eastAsia="fr-FR"/>
        </w:rPr>
        <w:t>délivré par l’Autorité Charaïque Nationale de la Fatwa pour l’Industrie de la Finance Islamique pour chaque produit</w:t>
      </w:r>
      <w:r w:rsidR="00567A13" w:rsidRPr="001374DC">
        <w:rPr>
          <w:rFonts w:ascii="Times New Roman" w:eastAsia="Times New Roman" w:hAnsi="Times New Roman" w:cs="Times New Roman"/>
          <w:color w:val="000000" w:themeColor="text1"/>
          <w:kern w:val="24"/>
          <w:sz w:val="24"/>
          <w:szCs w:val="24"/>
          <w:lang w:eastAsia="fr-FR"/>
        </w:rPr>
        <w:t> ;</w:t>
      </w:r>
    </w:p>
    <w:p w14:paraId="280CF678" w14:textId="34D44FE9" w:rsidR="00CA5C17" w:rsidRPr="001374DC" w:rsidRDefault="00CA5C17" w:rsidP="00CB0FF1">
      <w:pPr>
        <w:pStyle w:val="Paragraphedeliste"/>
        <w:numPr>
          <w:ilvl w:val="0"/>
          <w:numId w:val="113"/>
        </w:numPr>
        <w:shd w:val="clear" w:color="auto" w:fill="FFFFFF"/>
        <w:tabs>
          <w:tab w:val="left" w:pos="993"/>
        </w:tabs>
        <w:spacing w:before="60" w:after="100" w:afterAutospacing="1" w:line="300" w:lineRule="auto"/>
        <w:ind w:left="1418" w:hanging="284"/>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color w:val="000000" w:themeColor="text1"/>
          <w:kern w:val="24"/>
          <w:sz w:val="24"/>
          <w:szCs w:val="24"/>
          <w:lang w:eastAsia="fr-FR"/>
        </w:rPr>
        <w:t>Fiche descriptive du produit</w:t>
      </w:r>
      <w:r w:rsidR="00567A13" w:rsidRPr="001374DC">
        <w:rPr>
          <w:rFonts w:ascii="Times New Roman" w:eastAsia="Times New Roman" w:hAnsi="Times New Roman" w:cs="Times New Roman"/>
          <w:color w:val="000000" w:themeColor="text1"/>
          <w:kern w:val="24"/>
          <w:sz w:val="24"/>
          <w:szCs w:val="24"/>
          <w:lang w:eastAsia="fr-FR"/>
        </w:rPr>
        <w:t> ;</w:t>
      </w:r>
    </w:p>
    <w:p w14:paraId="14583216" w14:textId="3D2C1AFF" w:rsidR="00CA5C17" w:rsidRPr="001374DC" w:rsidRDefault="00CA5C17" w:rsidP="00CB0FF1">
      <w:pPr>
        <w:pStyle w:val="Paragraphedeliste"/>
        <w:numPr>
          <w:ilvl w:val="0"/>
          <w:numId w:val="113"/>
        </w:numPr>
        <w:shd w:val="clear" w:color="auto" w:fill="FFFFFF"/>
        <w:tabs>
          <w:tab w:val="left" w:pos="993"/>
        </w:tabs>
        <w:spacing w:before="60" w:after="100" w:afterAutospacing="1" w:line="300" w:lineRule="auto"/>
        <w:ind w:left="1418" w:hanging="284"/>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color w:val="000000" w:themeColor="text1"/>
          <w:kern w:val="24"/>
          <w:sz w:val="24"/>
          <w:szCs w:val="24"/>
          <w:lang w:eastAsia="fr-FR"/>
        </w:rPr>
        <w:t>Avis du responsable du contrôle de la conformité de la banque</w:t>
      </w:r>
      <w:r w:rsidR="00567A13" w:rsidRPr="001374DC">
        <w:rPr>
          <w:rFonts w:ascii="Times New Roman" w:eastAsia="Times New Roman" w:hAnsi="Times New Roman" w:cs="Times New Roman"/>
          <w:color w:val="000000" w:themeColor="text1"/>
          <w:kern w:val="24"/>
          <w:sz w:val="24"/>
          <w:szCs w:val="24"/>
          <w:lang w:eastAsia="fr-FR"/>
        </w:rPr>
        <w:t> ;</w:t>
      </w:r>
    </w:p>
    <w:p w14:paraId="16863D54" w14:textId="7EDA5E93" w:rsidR="00CA5C17" w:rsidRPr="001374DC" w:rsidRDefault="00CA5C17" w:rsidP="00CB0FF1">
      <w:pPr>
        <w:pStyle w:val="Paragraphedeliste"/>
        <w:numPr>
          <w:ilvl w:val="0"/>
          <w:numId w:val="113"/>
        </w:numPr>
        <w:shd w:val="clear" w:color="auto" w:fill="FFFFFF"/>
        <w:tabs>
          <w:tab w:val="left" w:pos="993"/>
        </w:tabs>
        <w:spacing w:before="60" w:after="120" w:line="300" w:lineRule="auto"/>
        <w:ind w:left="1418" w:hanging="284"/>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eastAsia="Times New Roman" w:hAnsi="Times New Roman" w:cs="Times New Roman"/>
          <w:color w:val="000000" w:themeColor="text1"/>
          <w:kern w:val="24"/>
          <w:sz w:val="24"/>
          <w:szCs w:val="24"/>
          <w:lang w:eastAsia="fr-FR"/>
        </w:rPr>
        <w:t xml:space="preserve">Procédure à suivre pour assurer l’indépendance administrative et financière du </w:t>
      </w:r>
      <w:r w:rsidR="00567A13" w:rsidRPr="001374DC">
        <w:rPr>
          <w:rFonts w:ascii="Times New Roman" w:eastAsia="Times New Roman" w:hAnsi="Times New Roman" w:cs="Times New Roman"/>
          <w:color w:val="000000" w:themeColor="text1"/>
          <w:kern w:val="24"/>
          <w:sz w:val="24"/>
          <w:szCs w:val="24"/>
          <w:lang w:eastAsia="fr-FR"/>
        </w:rPr>
        <w:t>« </w:t>
      </w:r>
      <w:r w:rsidRPr="001374DC">
        <w:rPr>
          <w:rFonts w:ascii="Times New Roman" w:eastAsia="Times New Roman" w:hAnsi="Times New Roman" w:cs="Times New Roman"/>
          <w:color w:val="000000" w:themeColor="text1"/>
          <w:kern w:val="24"/>
          <w:sz w:val="24"/>
          <w:szCs w:val="24"/>
          <w:lang w:eastAsia="fr-FR"/>
        </w:rPr>
        <w:t>guichet de finance islamique</w:t>
      </w:r>
      <w:r w:rsidR="00766FA6" w:rsidRPr="001374DC">
        <w:rPr>
          <w:rFonts w:ascii="Times New Roman" w:eastAsia="Times New Roman" w:hAnsi="Times New Roman" w:cs="Times New Roman"/>
          <w:color w:val="000000" w:themeColor="text1"/>
          <w:kern w:val="24"/>
          <w:sz w:val="24"/>
          <w:szCs w:val="24"/>
          <w:lang w:eastAsia="fr-FR"/>
        </w:rPr>
        <w:t> ».</w:t>
      </w:r>
    </w:p>
    <w:p w14:paraId="36EB6FFF" w14:textId="36373A43" w:rsidR="00CA5C17" w:rsidRPr="001374DC" w:rsidRDefault="00CA5C17" w:rsidP="001374DC">
      <w:pPr>
        <w:pStyle w:val="Paragraphedeliste"/>
        <w:shd w:val="clear" w:color="auto" w:fill="FFFFFF"/>
        <w:tabs>
          <w:tab w:val="left" w:pos="284"/>
        </w:tabs>
        <w:spacing w:before="120" w:after="120" w:line="300" w:lineRule="auto"/>
        <w:ind w:left="-142" w:firstLine="851"/>
        <w:contextualSpacing w:val="0"/>
        <w:rPr>
          <w:rFonts w:ascii="Times New Roman" w:eastAsia="Times New Roman" w:hAnsi="Times New Roman" w:cs="Times New Roman"/>
          <w:color w:val="000000" w:themeColor="text1"/>
          <w:kern w:val="24"/>
          <w:sz w:val="24"/>
          <w:szCs w:val="24"/>
          <w:lang w:eastAsia="fr-FR"/>
        </w:rPr>
      </w:pPr>
      <w:r w:rsidRPr="001374DC">
        <w:rPr>
          <w:rFonts w:ascii="Times New Roman" w:hAnsi="Times New Roman" w:cs="Times New Roman"/>
          <w:color w:val="000000" w:themeColor="text1"/>
          <w:kern w:val="24"/>
          <w:sz w:val="24"/>
          <w:szCs w:val="24"/>
          <w:shd w:val="clear" w:color="auto" w:fill="FFFFFF"/>
        </w:rPr>
        <w:t xml:space="preserve">Le règlement 20-02 du 15 mars 2020 a été </w:t>
      </w:r>
      <w:r w:rsidRPr="001374DC">
        <w:rPr>
          <w:rFonts w:ascii="Times New Roman" w:hAnsi="Times New Roman" w:cs="Times New Roman"/>
          <w:color w:val="000000"/>
          <w:kern w:val="24"/>
          <w:sz w:val="24"/>
          <w:szCs w:val="24"/>
          <w:shd w:val="clear" w:color="auto" w:fill="FFFFFF"/>
        </w:rPr>
        <w:t>complété par une instruction en date du 2</w:t>
      </w:r>
      <w:r w:rsidR="00766FA6" w:rsidRPr="001374DC">
        <w:rPr>
          <w:rFonts w:ascii="Times New Roman" w:hAnsi="Times New Roman" w:cs="Times New Roman"/>
          <w:color w:val="000000"/>
          <w:kern w:val="24"/>
          <w:sz w:val="24"/>
          <w:szCs w:val="24"/>
          <w:shd w:val="clear" w:color="auto" w:fill="FFFFFF"/>
        </w:rPr>
        <w:t> </w:t>
      </w:r>
      <w:r w:rsidRPr="001374DC">
        <w:rPr>
          <w:rFonts w:ascii="Times New Roman" w:hAnsi="Times New Roman" w:cs="Times New Roman"/>
          <w:color w:val="000000"/>
          <w:kern w:val="24"/>
          <w:sz w:val="24"/>
          <w:szCs w:val="24"/>
          <w:shd w:val="clear" w:color="auto" w:fill="FFFFFF"/>
        </w:rPr>
        <w:t>avril 2020 de la Banque d’Algérie qui détermin</w:t>
      </w:r>
      <w:r w:rsidR="00766FA6" w:rsidRPr="001374DC">
        <w:rPr>
          <w:rFonts w:ascii="Times New Roman" w:hAnsi="Times New Roman" w:cs="Times New Roman"/>
          <w:color w:val="000000"/>
          <w:kern w:val="24"/>
          <w:sz w:val="24"/>
          <w:szCs w:val="24"/>
          <w:shd w:val="clear" w:color="auto" w:fill="FFFFFF"/>
        </w:rPr>
        <w:t>e</w:t>
      </w:r>
      <w:r w:rsidRPr="001374DC">
        <w:rPr>
          <w:rFonts w:ascii="Times New Roman" w:hAnsi="Times New Roman" w:cs="Times New Roman"/>
          <w:color w:val="000000"/>
          <w:kern w:val="24"/>
          <w:sz w:val="24"/>
          <w:szCs w:val="24"/>
          <w:shd w:val="clear" w:color="auto" w:fill="FFFFFF"/>
        </w:rPr>
        <w:t xml:space="preserve"> les produits à commercialiser (</w:t>
      </w:r>
      <w:r w:rsidRPr="001374DC">
        <w:rPr>
          <w:rFonts w:ascii="Times New Roman" w:hAnsi="Times New Roman" w:cs="Times New Roman"/>
          <w:i/>
          <w:iCs/>
          <w:color w:val="000000"/>
          <w:kern w:val="24"/>
          <w:sz w:val="24"/>
          <w:szCs w:val="24"/>
          <w:shd w:val="clear" w:color="auto" w:fill="FFFFFF"/>
        </w:rPr>
        <w:t>mourabaha</w:t>
      </w:r>
      <w:r w:rsidRPr="001374DC">
        <w:rPr>
          <w:rFonts w:ascii="Times New Roman" w:hAnsi="Times New Roman" w:cs="Times New Roman"/>
          <w:color w:val="000000"/>
          <w:kern w:val="24"/>
          <w:sz w:val="24"/>
          <w:szCs w:val="24"/>
          <w:shd w:val="clear" w:color="auto" w:fill="FFFFFF"/>
        </w:rPr>
        <w:t xml:space="preserve">, </w:t>
      </w:r>
      <w:r w:rsidRPr="001374DC">
        <w:rPr>
          <w:rFonts w:ascii="Times New Roman" w:hAnsi="Times New Roman" w:cs="Times New Roman"/>
          <w:i/>
          <w:iCs/>
          <w:color w:val="000000"/>
          <w:kern w:val="24"/>
          <w:sz w:val="24"/>
          <w:szCs w:val="24"/>
          <w:shd w:val="clear" w:color="auto" w:fill="FFFFFF"/>
        </w:rPr>
        <w:t>moucharaka</w:t>
      </w:r>
      <w:r w:rsidRPr="001374DC">
        <w:rPr>
          <w:rFonts w:ascii="Times New Roman" w:hAnsi="Times New Roman" w:cs="Times New Roman"/>
          <w:color w:val="000000"/>
          <w:kern w:val="24"/>
          <w:sz w:val="24"/>
          <w:szCs w:val="24"/>
          <w:shd w:val="clear" w:color="auto" w:fill="FFFFFF"/>
        </w:rPr>
        <w:t xml:space="preserve">, </w:t>
      </w:r>
      <w:r w:rsidRPr="001374DC">
        <w:rPr>
          <w:rFonts w:ascii="Times New Roman" w:hAnsi="Times New Roman" w:cs="Times New Roman"/>
          <w:i/>
          <w:iCs/>
          <w:color w:val="000000"/>
          <w:kern w:val="24"/>
          <w:sz w:val="24"/>
          <w:szCs w:val="24"/>
          <w:shd w:val="clear" w:color="auto" w:fill="FFFFFF"/>
        </w:rPr>
        <w:t>moudaraba</w:t>
      </w:r>
      <w:r w:rsidRPr="001374DC">
        <w:rPr>
          <w:rFonts w:ascii="Times New Roman" w:hAnsi="Times New Roman" w:cs="Times New Roman"/>
          <w:color w:val="000000"/>
          <w:kern w:val="24"/>
          <w:sz w:val="24"/>
          <w:szCs w:val="24"/>
          <w:shd w:val="clear" w:color="auto" w:fill="FFFFFF"/>
        </w:rPr>
        <w:t xml:space="preserve">, </w:t>
      </w:r>
      <w:r w:rsidRPr="001374DC">
        <w:rPr>
          <w:rFonts w:ascii="Times New Roman" w:hAnsi="Times New Roman" w:cs="Times New Roman"/>
          <w:i/>
          <w:iCs/>
          <w:color w:val="000000"/>
          <w:kern w:val="24"/>
          <w:sz w:val="24"/>
          <w:szCs w:val="24"/>
          <w:shd w:val="clear" w:color="auto" w:fill="FFFFFF"/>
        </w:rPr>
        <w:t>ijara</w:t>
      </w:r>
      <w:r w:rsidRPr="001374DC">
        <w:rPr>
          <w:rFonts w:ascii="Times New Roman" w:hAnsi="Times New Roman" w:cs="Times New Roman"/>
          <w:color w:val="000000"/>
          <w:kern w:val="24"/>
          <w:sz w:val="24"/>
          <w:szCs w:val="24"/>
          <w:shd w:val="clear" w:color="auto" w:fill="FFFFFF"/>
        </w:rPr>
        <w:t xml:space="preserve">, </w:t>
      </w:r>
      <w:r w:rsidRPr="001374DC">
        <w:rPr>
          <w:rFonts w:ascii="Times New Roman" w:hAnsi="Times New Roman" w:cs="Times New Roman"/>
          <w:i/>
          <w:iCs/>
          <w:color w:val="000000"/>
          <w:kern w:val="24"/>
          <w:sz w:val="24"/>
          <w:szCs w:val="24"/>
          <w:shd w:val="clear" w:color="auto" w:fill="FFFFFF"/>
        </w:rPr>
        <w:t>istisna’a</w:t>
      </w:r>
      <w:r w:rsidRPr="001374DC">
        <w:rPr>
          <w:rFonts w:ascii="Times New Roman" w:hAnsi="Times New Roman" w:cs="Times New Roman"/>
          <w:color w:val="000000"/>
          <w:kern w:val="24"/>
          <w:sz w:val="24"/>
          <w:szCs w:val="24"/>
          <w:shd w:val="clear" w:color="auto" w:fill="FFFFFF"/>
        </w:rPr>
        <w:t xml:space="preserve">, </w:t>
      </w:r>
      <w:r w:rsidRPr="001374DC">
        <w:rPr>
          <w:rFonts w:ascii="Times New Roman" w:hAnsi="Times New Roman" w:cs="Times New Roman"/>
          <w:i/>
          <w:iCs/>
          <w:color w:val="000000"/>
          <w:kern w:val="24"/>
          <w:sz w:val="24"/>
          <w:szCs w:val="24"/>
          <w:shd w:val="clear" w:color="auto" w:fill="FFFFFF"/>
        </w:rPr>
        <w:t>salam</w:t>
      </w:r>
      <w:r w:rsidRPr="001374DC">
        <w:rPr>
          <w:rFonts w:ascii="Times New Roman" w:hAnsi="Times New Roman" w:cs="Times New Roman"/>
          <w:color w:val="000000"/>
          <w:kern w:val="24"/>
          <w:sz w:val="24"/>
          <w:szCs w:val="24"/>
          <w:shd w:val="clear" w:color="auto" w:fill="FFFFFF"/>
        </w:rPr>
        <w:t xml:space="preserve"> et dépôts en compte d’investissement) et mettait en place deux instances de contrôle de conformité aux normes de la </w:t>
      </w:r>
      <w:r w:rsidR="00567A13" w:rsidRPr="001374DC">
        <w:rPr>
          <w:rFonts w:ascii="Times New Roman" w:eastAsia="Times New Roman" w:hAnsi="Times New Roman" w:cs="Times New Roman"/>
          <w:i/>
          <w:iCs/>
          <w:color w:val="000000" w:themeColor="text1"/>
          <w:kern w:val="24"/>
          <w:sz w:val="24"/>
          <w:szCs w:val="24"/>
          <w:lang w:eastAsia="fr-FR"/>
        </w:rPr>
        <w:t>Shariah</w:t>
      </w:r>
      <w:r w:rsidR="00567A13" w:rsidRPr="001374DC">
        <w:rPr>
          <w:rFonts w:ascii="Times New Roman" w:hAnsi="Times New Roman" w:cs="Times New Roman"/>
          <w:color w:val="000000"/>
          <w:kern w:val="24"/>
          <w:sz w:val="24"/>
          <w:szCs w:val="24"/>
          <w:shd w:val="clear" w:color="auto" w:fill="FFFFFF"/>
        </w:rPr>
        <w:t xml:space="preserve"> </w:t>
      </w:r>
      <w:r w:rsidRPr="001374DC">
        <w:rPr>
          <w:rFonts w:ascii="Times New Roman" w:hAnsi="Times New Roman" w:cs="Times New Roman"/>
          <w:color w:val="000000"/>
          <w:kern w:val="24"/>
          <w:sz w:val="24"/>
          <w:szCs w:val="24"/>
          <w:shd w:val="clear" w:color="auto" w:fill="FFFFFF"/>
        </w:rPr>
        <w:t>au niveau de l’établissement (organe chara</w:t>
      </w:r>
      <w:r w:rsidR="00337C11" w:rsidRPr="001374DC">
        <w:rPr>
          <w:rFonts w:ascii="Times New Roman" w:hAnsi="Times New Roman" w:cs="Times New Roman"/>
          <w:color w:val="000000"/>
          <w:kern w:val="24"/>
          <w:sz w:val="24"/>
          <w:szCs w:val="24"/>
          <w:shd w:val="clear" w:color="auto" w:fill="FFFFFF"/>
        </w:rPr>
        <w:t>ï</w:t>
      </w:r>
      <w:r w:rsidRPr="001374DC">
        <w:rPr>
          <w:rFonts w:ascii="Times New Roman" w:hAnsi="Times New Roman" w:cs="Times New Roman"/>
          <w:color w:val="000000"/>
          <w:kern w:val="24"/>
          <w:sz w:val="24"/>
          <w:szCs w:val="24"/>
          <w:shd w:val="clear" w:color="auto" w:fill="FFFFFF"/>
        </w:rPr>
        <w:t>que de supervision relevant de l’assemblée générale) et au niveau national (</w:t>
      </w:r>
      <w:r w:rsidR="00567A13" w:rsidRPr="001374DC">
        <w:rPr>
          <w:rFonts w:ascii="Times New Roman" w:hAnsi="Times New Roman" w:cs="Times New Roman"/>
          <w:color w:val="000000"/>
          <w:kern w:val="24"/>
          <w:sz w:val="24"/>
          <w:szCs w:val="24"/>
          <w:shd w:val="clear" w:color="auto" w:fill="FFFFFF"/>
        </w:rPr>
        <w:t>c</w:t>
      </w:r>
      <w:r w:rsidRPr="001374DC">
        <w:rPr>
          <w:rFonts w:ascii="Times New Roman" w:hAnsi="Times New Roman" w:cs="Times New Roman"/>
          <w:color w:val="000000"/>
          <w:kern w:val="24"/>
          <w:sz w:val="24"/>
          <w:szCs w:val="24"/>
          <w:shd w:val="clear" w:color="auto" w:fill="FFFFFF"/>
        </w:rPr>
        <w:t xml:space="preserve">ommission nationale de la </w:t>
      </w:r>
      <w:r w:rsidR="00567A13" w:rsidRPr="001374DC">
        <w:rPr>
          <w:rFonts w:ascii="Times New Roman" w:eastAsia="Times New Roman" w:hAnsi="Times New Roman" w:cs="Times New Roman"/>
          <w:i/>
          <w:iCs/>
          <w:color w:val="000000" w:themeColor="text1"/>
          <w:kern w:val="24"/>
          <w:sz w:val="24"/>
          <w:szCs w:val="24"/>
          <w:lang w:eastAsia="fr-FR"/>
        </w:rPr>
        <w:t>Shariah</w:t>
      </w:r>
      <w:r w:rsidR="00567A13" w:rsidRPr="001374DC">
        <w:rPr>
          <w:rFonts w:ascii="Times New Roman" w:hAnsi="Times New Roman" w:cs="Times New Roman"/>
          <w:color w:val="000000"/>
          <w:kern w:val="24"/>
          <w:sz w:val="24"/>
          <w:szCs w:val="24"/>
          <w:shd w:val="clear" w:color="auto" w:fill="FFFFFF"/>
        </w:rPr>
        <w:t xml:space="preserve"> </w:t>
      </w:r>
      <w:r w:rsidRPr="001374DC">
        <w:rPr>
          <w:rFonts w:ascii="Times New Roman" w:hAnsi="Times New Roman" w:cs="Times New Roman"/>
          <w:color w:val="000000"/>
          <w:kern w:val="24"/>
          <w:sz w:val="24"/>
          <w:szCs w:val="24"/>
          <w:shd w:val="clear" w:color="auto" w:fill="FFFFFF"/>
        </w:rPr>
        <w:t>chargée d’élaborer des fatwas pour l’industrie financière islamique).</w:t>
      </w:r>
    </w:p>
    <w:p w14:paraId="2AC18511" w14:textId="77777777" w:rsidR="00DC55CF" w:rsidRPr="001374DC" w:rsidRDefault="008C1D14" w:rsidP="001374DC">
      <w:pPr>
        <w:tabs>
          <w:tab w:val="left" w:pos="0"/>
        </w:tabs>
        <w:suppressAutoHyphens/>
        <w:spacing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En somme, le secteur bancaire islamique s’impose de plus en plus dans l’environnement financier dans les pays du Maghreb. Sa part de marché s’accroît de façon continue en diminuant la </w:t>
      </w:r>
      <w:r w:rsidR="002760B2" w:rsidRPr="001374DC">
        <w:rPr>
          <w:rFonts w:ascii="Times New Roman" w:hAnsi="Times New Roman" w:cs="Times New Roman"/>
          <w:kern w:val="24"/>
          <w:sz w:val="24"/>
          <w:szCs w:val="24"/>
        </w:rPr>
        <w:t xml:space="preserve">sous-bancarisation de leur population. </w:t>
      </w:r>
      <w:r w:rsidRPr="001374DC">
        <w:rPr>
          <w:rFonts w:ascii="Times New Roman" w:hAnsi="Times New Roman" w:cs="Times New Roman"/>
          <w:kern w:val="24"/>
          <w:sz w:val="24"/>
          <w:szCs w:val="24"/>
        </w:rPr>
        <w:t>Les formules de financement offertes répondent au fur et à mesure à la demande diversifiée.</w:t>
      </w:r>
    </w:p>
    <w:p w14:paraId="0134511F" w14:textId="1D6AF18E" w:rsidR="002760B2" w:rsidRPr="001374DC" w:rsidRDefault="002760B2" w:rsidP="001374DC">
      <w:pPr>
        <w:tabs>
          <w:tab w:val="left" w:pos="0"/>
        </w:tabs>
        <w:suppressAutoHyphens/>
        <w:spacing w:before="120" w:line="300" w:lineRule="auto"/>
        <w:ind w:firstLine="709"/>
        <w:rPr>
          <w:rFonts w:ascii="Times New Roman" w:hAnsi="Times New Roman" w:cs="Times New Roman"/>
          <w:color w:val="000000" w:themeColor="text1"/>
          <w:kern w:val="24"/>
          <w:sz w:val="24"/>
          <w:szCs w:val="24"/>
        </w:rPr>
      </w:pPr>
      <w:r w:rsidRPr="001374DC">
        <w:rPr>
          <w:rFonts w:ascii="Times New Roman" w:hAnsi="Times New Roman" w:cs="Times New Roman"/>
          <w:kern w:val="24"/>
          <w:sz w:val="24"/>
          <w:szCs w:val="24"/>
        </w:rPr>
        <w:t xml:space="preserve">D’ailleurs, </w:t>
      </w:r>
      <w:r w:rsidRPr="001374DC">
        <w:rPr>
          <w:rFonts w:ascii="Times New Roman" w:hAnsi="Times New Roman" w:cs="Times New Roman"/>
          <w:smallCaps/>
          <w:kern w:val="24"/>
          <w:sz w:val="24"/>
          <w:szCs w:val="24"/>
        </w:rPr>
        <w:t>Demirguc-kunt</w:t>
      </w:r>
      <w:r w:rsidRPr="001374DC">
        <w:rPr>
          <w:rFonts w:ascii="Times New Roman" w:hAnsi="Times New Roman" w:cs="Times New Roman"/>
          <w:kern w:val="24"/>
          <w:sz w:val="24"/>
          <w:szCs w:val="24"/>
        </w:rPr>
        <w:t xml:space="preserve">, </w:t>
      </w:r>
      <w:r w:rsidRPr="001374DC">
        <w:rPr>
          <w:rFonts w:ascii="Times New Roman" w:hAnsi="Times New Roman" w:cs="Times New Roman"/>
          <w:smallCaps/>
          <w:kern w:val="24"/>
          <w:sz w:val="24"/>
          <w:szCs w:val="24"/>
        </w:rPr>
        <w:t>Klapper</w:t>
      </w:r>
      <w:r w:rsidRPr="001374DC">
        <w:rPr>
          <w:rFonts w:ascii="Times New Roman" w:hAnsi="Times New Roman" w:cs="Times New Roman"/>
          <w:kern w:val="24"/>
          <w:sz w:val="24"/>
          <w:szCs w:val="24"/>
        </w:rPr>
        <w:t xml:space="preserve"> et al</w:t>
      </w:r>
      <w:r w:rsidR="001F2DBE" w:rsidRPr="001374DC">
        <w:rPr>
          <w:rFonts w:ascii="Times New Roman" w:hAnsi="Times New Roman" w:cs="Times New Roman"/>
          <w:kern w:val="24"/>
          <w:sz w:val="24"/>
          <w:szCs w:val="24"/>
        </w:rPr>
        <w:t>.</w:t>
      </w:r>
      <w:r w:rsidRPr="001374DC">
        <w:rPr>
          <w:rFonts w:ascii="Times New Roman" w:hAnsi="Times New Roman" w:cs="Times New Roman"/>
          <w:kern w:val="24"/>
          <w:sz w:val="24"/>
          <w:szCs w:val="24"/>
        </w:rPr>
        <w:t xml:space="preserve"> (2013)</w:t>
      </w:r>
      <w:r w:rsidRPr="001374DC">
        <w:rPr>
          <w:rStyle w:val="Appelnotedebasdep"/>
          <w:rFonts w:ascii="Times New Roman" w:hAnsi="Times New Roman"/>
          <w:kern w:val="24"/>
          <w:sz w:val="24"/>
          <w:szCs w:val="24"/>
        </w:rPr>
        <w:footnoteReference w:id="101"/>
      </w:r>
      <w:r w:rsidR="001F2DBE" w:rsidRPr="001374DC">
        <w:rPr>
          <w:rFonts w:ascii="Times New Roman" w:hAnsi="Times New Roman" w:cs="Times New Roman"/>
          <w:kern w:val="24"/>
          <w:sz w:val="24"/>
          <w:szCs w:val="24"/>
        </w:rPr>
        <w:t xml:space="preserve"> </w:t>
      </w:r>
      <w:r w:rsidRPr="001374DC">
        <w:rPr>
          <w:rFonts w:ascii="Times New Roman" w:hAnsi="Times New Roman" w:cs="Times New Roman"/>
          <w:color w:val="000000" w:themeColor="text1"/>
          <w:kern w:val="24"/>
          <w:sz w:val="24"/>
          <w:szCs w:val="24"/>
        </w:rPr>
        <w:t>ont effectué une enquête sur l’avenir des ba</w:t>
      </w:r>
      <w:r w:rsidR="001F2DBE" w:rsidRPr="001374DC">
        <w:rPr>
          <w:rFonts w:ascii="Times New Roman" w:hAnsi="Times New Roman" w:cs="Times New Roman"/>
          <w:color w:val="000000" w:themeColor="text1"/>
          <w:kern w:val="24"/>
          <w:sz w:val="24"/>
          <w:szCs w:val="24"/>
        </w:rPr>
        <w:t xml:space="preserve">nques </w:t>
      </w:r>
      <w:r w:rsidR="00094689" w:rsidRPr="001374DC">
        <w:rPr>
          <w:rFonts w:ascii="Times New Roman" w:hAnsi="Times New Roman" w:cs="Times New Roman"/>
          <w:color w:val="000000" w:themeColor="text1"/>
          <w:kern w:val="24"/>
          <w:sz w:val="24"/>
          <w:szCs w:val="24"/>
        </w:rPr>
        <w:t>i</w:t>
      </w:r>
      <w:r w:rsidR="003773C6" w:rsidRPr="001374DC">
        <w:rPr>
          <w:rFonts w:ascii="Times New Roman" w:hAnsi="Times New Roman" w:cs="Times New Roman"/>
          <w:color w:val="000000" w:themeColor="text1"/>
          <w:kern w:val="24"/>
          <w:sz w:val="24"/>
          <w:szCs w:val="24"/>
        </w:rPr>
        <w:t>slamique</w:t>
      </w:r>
      <w:r w:rsidR="001F2DBE" w:rsidRPr="001374DC">
        <w:rPr>
          <w:rFonts w:ascii="Times New Roman" w:hAnsi="Times New Roman" w:cs="Times New Roman"/>
          <w:color w:val="000000" w:themeColor="text1"/>
          <w:kern w:val="24"/>
          <w:sz w:val="24"/>
          <w:szCs w:val="24"/>
        </w:rPr>
        <w:t>s en Afrique du N</w:t>
      </w:r>
      <w:r w:rsidRPr="001374DC">
        <w:rPr>
          <w:rFonts w:ascii="Times New Roman" w:hAnsi="Times New Roman" w:cs="Times New Roman"/>
          <w:color w:val="000000" w:themeColor="text1"/>
          <w:kern w:val="24"/>
          <w:sz w:val="24"/>
          <w:szCs w:val="24"/>
        </w:rPr>
        <w:t xml:space="preserve">ord. </w:t>
      </w:r>
      <w:r w:rsidR="0050533B" w:rsidRPr="001374DC">
        <w:rPr>
          <w:rFonts w:ascii="Times New Roman" w:hAnsi="Times New Roman" w:cs="Times New Roman"/>
          <w:color w:val="000000" w:themeColor="text1"/>
          <w:kern w:val="24"/>
          <w:sz w:val="24"/>
          <w:szCs w:val="24"/>
        </w:rPr>
        <w:t>A</w:t>
      </w:r>
      <w:r w:rsidRPr="001374DC">
        <w:rPr>
          <w:rFonts w:ascii="Times New Roman" w:hAnsi="Times New Roman" w:cs="Times New Roman"/>
          <w:color w:val="000000" w:themeColor="text1"/>
          <w:kern w:val="24"/>
          <w:sz w:val="24"/>
          <w:szCs w:val="24"/>
        </w:rPr>
        <w:t xml:space="preserve"> travers une étude statistique, </w:t>
      </w:r>
      <w:r w:rsidR="0050533B" w:rsidRPr="001374DC">
        <w:rPr>
          <w:rFonts w:ascii="Times New Roman" w:hAnsi="Times New Roman" w:cs="Times New Roman"/>
          <w:color w:val="000000" w:themeColor="text1"/>
          <w:kern w:val="24"/>
          <w:sz w:val="24"/>
          <w:szCs w:val="24"/>
        </w:rPr>
        <w:t xml:space="preserve">ils ont mesuré </w:t>
      </w:r>
      <w:r w:rsidRPr="001374DC">
        <w:rPr>
          <w:rFonts w:ascii="Times New Roman" w:hAnsi="Times New Roman" w:cs="Times New Roman"/>
          <w:color w:val="000000" w:themeColor="text1"/>
          <w:kern w:val="24"/>
          <w:sz w:val="24"/>
          <w:szCs w:val="24"/>
        </w:rPr>
        <w:t xml:space="preserve">le taux de préférence des services bancaires </w:t>
      </w:r>
      <w:r w:rsidR="00094689" w:rsidRPr="001374DC">
        <w:rPr>
          <w:rFonts w:ascii="Times New Roman" w:hAnsi="Times New Roman" w:cs="Times New Roman"/>
          <w:color w:val="000000" w:themeColor="text1"/>
          <w:kern w:val="24"/>
          <w:sz w:val="24"/>
          <w:szCs w:val="24"/>
        </w:rPr>
        <w:t>i</w:t>
      </w:r>
      <w:r w:rsidR="003773C6" w:rsidRPr="001374DC">
        <w:rPr>
          <w:rFonts w:ascii="Times New Roman" w:hAnsi="Times New Roman" w:cs="Times New Roman"/>
          <w:color w:val="000000" w:themeColor="text1"/>
          <w:kern w:val="24"/>
          <w:sz w:val="24"/>
          <w:szCs w:val="24"/>
        </w:rPr>
        <w:t>slamique</w:t>
      </w:r>
      <w:r w:rsidRPr="001374DC">
        <w:rPr>
          <w:rFonts w:ascii="Times New Roman" w:hAnsi="Times New Roman" w:cs="Times New Roman"/>
          <w:color w:val="000000" w:themeColor="text1"/>
          <w:kern w:val="24"/>
          <w:sz w:val="24"/>
          <w:szCs w:val="24"/>
        </w:rPr>
        <w:t xml:space="preserve">s dans cette région. </w:t>
      </w:r>
      <w:r w:rsidR="0041133B" w:rsidRPr="001374DC">
        <w:rPr>
          <w:rFonts w:ascii="Times New Roman" w:hAnsi="Times New Roman" w:cs="Times New Roman"/>
          <w:color w:val="000000" w:themeColor="text1"/>
          <w:kern w:val="24"/>
          <w:sz w:val="24"/>
          <w:szCs w:val="24"/>
        </w:rPr>
        <w:t>Ils ont pu montrer que 54% des M</w:t>
      </w:r>
      <w:r w:rsidRPr="001374DC">
        <w:rPr>
          <w:rFonts w:ascii="Times New Roman" w:hAnsi="Times New Roman" w:cs="Times New Roman"/>
          <w:color w:val="000000" w:themeColor="text1"/>
          <w:kern w:val="24"/>
          <w:sz w:val="24"/>
          <w:szCs w:val="24"/>
        </w:rPr>
        <w:t>arocains préfèrent les services banc</w:t>
      </w:r>
      <w:r w:rsidR="0041133B" w:rsidRPr="001374DC">
        <w:rPr>
          <w:rFonts w:ascii="Times New Roman" w:hAnsi="Times New Roman" w:cs="Times New Roman"/>
          <w:color w:val="000000" w:themeColor="text1"/>
          <w:kern w:val="24"/>
          <w:sz w:val="24"/>
          <w:szCs w:val="24"/>
        </w:rPr>
        <w:t xml:space="preserve">aires </w:t>
      </w:r>
      <w:r w:rsidR="00094689" w:rsidRPr="001374DC">
        <w:rPr>
          <w:rFonts w:ascii="Times New Roman" w:hAnsi="Times New Roman" w:cs="Times New Roman"/>
          <w:color w:val="000000" w:themeColor="text1"/>
          <w:kern w:val="24"/>
          <w:sz w:val="24"/>
          <w:szCs w:val="24"/>
        </w:rPr>
        <w:t>i</w:t>
      </w:r>
      <w:r w:rsidR="003773C6" w:rsidRPr="001374DC">
        <w:rPr>
          <w:rFonts w:ascii="Times New Roman" w:hAnsi="Times New Roman" w:cs="Times New Roman"/>
          <w:color w:val="000000" w:themeColor="text1"/>
          <w:kern w:val="24"/>
          <w:sz w:val="24"/>
          <w:szCs w:val="24"/>
        </w:rPr>
        <w:t>slamique</w:t>
      </w:r>
      <w:r w:rsidR="0041133B" w:rsidRPr="001374DC">
        <w:rPr>
          <w:rFonts w:ascii="Times New Roman" w:hAnsi="Times New Roman" w:cs="Times New Roman"/>
          <w:color w:val="000000" w:themeColor="text1"/>
          <w:kern w:val="24"/>
          <w:sz w:val="24"/>
          <w:szCs w:val="24"/>
        </w:rPr>
        <w:t>s, 49% des A</w:t>
      </w:r>
      <w:r w:rsidRPr="001374DC">
        <w:rPr>
          <w:rFonts w:ascii="Times New Roman" w:hAnsi="Times New Roman" w:cs="Times New Roman"/>
          <w:color w:val="000000" w:themeColor="text1"/>
          <w:kern w:val="24"/>
          <w:sz w:val="24"/>
          <w:szCs w:val="24"/>
        </w:rPr>
        <w:t>lgériens présentent cette préfé</w:t>
      </w:r>
      <w:r w:rsidR="0041133B" w:rsidRPr="001374DC">
        <w:rPr>
          <w:rFonts w:ascii="Times New Roman" w:hAnsi="Times New Roman" w:cs="Times New Roman"/>
          <w:color w:val="000000" w:themeColor="text1"/>
          <w:kern w:val="24"/>
          <w:sz w:val="24"/>
          <w:szCs w:val="24"/>
        </w:rPr>
        <w:t>rence, alors que seuls 31% des T</w:t>
      </w:r>
      <w:r w:rsidRPr="001374DC">
        <w:rPr>
          <w:rFonts w:ascii="Times New Roman" w:hAnsi="Times New Roman" w:cs="Times New Roman"/>
          <w:color w:val="000000" w:themeColor="text1"/>
          <w:kern w:val="24"/>
          <w:sz w:val="24"/>
          <w:szCs w:val="24"/>
        </w:rPr>
        <w:t xml:space="preserve">unisiens vont dans cette tendance. Cette étude avance que les populations de ces pays, sujet de cette enquête ne connaissaient pas suffisamment les détails des </w:t>
      </w:r>
      <w:r w:rsidR="00D85BC5" w:rsidRPr="001374DC">
        <w:rPr>
          <w:rFonts w:ascii="Times New Roman" w:hAnsi="Times New Roman" w:cs="Times New Roman"/>
          <w:color w:val="000000" w:themeColor="text1"/>
          <w:kern w:val="24"/>
          <w:sz w:val="24"/>
          <w:szCs w:val="24"/>
        </w:rPr>
        <w:t xml:space="preserve">services bancaires </w:t>
      </w:r>
      <w:r w:rsidR="00094689" w:rsidRPr="001374DC">
        <w:rPr>
          <w:rFonts w:ascii="Times New Roman" w:hAnsi="Times New Roman" w:cs="Times New Roman"/>
          <w:color w:val="000000" w:themeColor="text1"/>
          <w:kern w:val="24"/>
          <w:sz w:val="24"/>
          <w:szCs w:val="24"/>
        </w:rPr>
        <w:t>i</w:t>
      </w:r>
      <w:r w:rsidR="003773C6" w:rsidRPr="001374DC">
        <w:rPr>
          <w:rFonts w:ascii="Times New Roman" w:hAnsi="Times New Roman" w:cs="Times New Roman"/>
          <w:color w:val="000000" w:themeColor="text1"/>
          <w:kern w:val="24"/>
          <w:sz w:val="24"/>
          <w:szCs w:val="24"/>
        </w:rPr>
        <w:t>slamique</w:t>
      </w:r>
      <w:r w:rsidR="00D85BC5" w:rsidRPr="001374DC">
        <w:rPr>
          <w:rFonts w:ascii="Times New Roman" w:hAnsi="Times New Roman" w:cs="Times New Roman"/>
          <w:color w:val="000000" w:themeColor="text1"/>
          <w:kern w:val="24"/>
          <w:sz w:val="24"/>
          <w:szCs w:val="24"/>
        </w:rPr>
        <w:t>s.</w:t>
      </w:r>
    </w:p>
    <w:p w14:paraId="4F18D0AD" w14:textId="77777777" w:rsidR="002760B2" w:rsidRPr="001374DC" w:rsidRDefault="00BD5933" w:rsidP="001374DC">
      <w:pPr>
        <w:pStyle w:val="Titre3"/>
        <w:keepLines w:val="0"/>
        <w:spacing w:before="100" w:beforeAutospacing="1" w:after="120" w:line="300" w:lineRule="auto"/>
        <w:ind w:firstLine="709"/>
        <w:rPr>
          <w:kern w:val="24"/>
          <w:sz w:val="28"/>
          <w:szCs w:val="28"/>
        </w:rPr>
      </w:pPr>
      <w:bookmarkStart w:id="256" w:name="_Toc33263226"/>
      <w:bookmarkStart w:id="257" w:name="_Toc37664478"/>
      <w:bookmarkStart w:id="258" w:name="_Toc37666323"/>
      <w:bookmarkStart w:id="259" w:name="_Toc54363212"/>
      <w:bookmarkStart w:id="260" w:name="_Toc58606228"/>
      <w:bookmarkStart w:id="261" w:name="_Toc61263433"/>
      <w:bookmarkStart w:id="262" w:name="_Toc182298632"/>
      <w:r w:rsidRPr="001374DC">
        <w:rPr>
          <w:kern w:val="24"/>
          <w:sz w:val="28"/>
          <w:szCs w:val="28"/>
        </w:rPr>
        <w:lastRenderedPageBreak/>
        <w:t xml:space="preserve">1.5- </w:t>
      </w:r>
      <w:r w:rsidR="00C66C20" w:rsidRPr="001374DC">
        <w:rPr>
          <w:kern w:val="24"/>
          <w:sz w:val="28"/>
          <w:szCs w:val="28"/>
        </w:rPr>
        <w:t>I</w:t>
      </w:r>
      <w:r w:rsidR="002760B2" w:rsidRPr="001374DC">
        <w:rPr>
          <w:kern w:val="24"/>
          <w:sz w:val="28"/>
          <w:szCs w:val="28"/>
        </w:rPr>
        <w:t xml:space="preserve">ntermédiation financière dans le système bancaire </w:t>
      </w:r>
      <w:r w:rsidR="00094689" w:rsidRPr="001374DC">
        <w:rPr>
          <w:kern w:val="24"/>
          <w:sz w:val="28"/>
          <w:szCs w:val="28"/>
        </w:rPr>
        <w:t>i</w:t>
      </w:r>
      <w:r w:rsidR="003773C6" w:rsidRPr="001374DC">
        <w:rPr>
          <w:kern w:val="24"/>
          <w:sz w:val="28"/>
          <w:szCs w:val="28"/>
        </w:rPr>
        <w:t>slamique</w:t>
      </w:r>
      <w:bookmarkEnd w:id="256"/>
      <w:bookmarkEnd w:id="257"/>
      <w:bookmarkEnd w:id="258"/>
      <w:bookmarkEnd w:id="259"/>
      <w:bookmarkEnd w:id="260"/>
      <w:bookmarkEnd w:id="261"/>
      <w:bookmarkEnd w:id="262"/>
    </w:p>
    <w:p w14:paraId="060A6275" w14:textId="77777777" w:rsidR="004A583D" w:rsidRPr="001374DC" w:rsidRDefault="002760B2" w:rsidP="001374DC">
      <w:pPr>
        <w:keepNext/>
        <w:tabs>
          <w:tab w:val="left" w:pos="0"/>
        </w:tabs>
        <w:suppressAutoHyphens/>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Les banques commerciales reposent sur le modèle d’intermédiation financière pure en mobilisant l’épargne pour la prêter aux entreprises et aux particuliers. Elles tirent profit de la différence entre les taux d’intérêt créditeurs et débiteurs. À cet égard, les banques </w:t>
      </w:r>
      <w:r w:rsidR="00094689"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s visent les mêmes objectifs et remplissent essentiellement les mêmes fonctions q</w:t>
      </w:r>
      <w:r w:rsidR="0041133B" w:rsidRPr="001374DC">
        <w:rPr>
          <w:rFonts w:ascii="Times New Roman" w:hAnsi="Times New Roman" w:cs="Times New Roman"/>
          <w:kern w:val="24"/>
          <w:sz w:val="24"/>
          <w:szCs w:val="24"/>
        </w:rPr>
        <w:t>ue les banques conventionnelles</w:t>
      </w:r>
      <w:r w:rsidRPr="001374DC">
        <w:rPr>
          <w:rFonts w:ascii="Times New Roman" w:hAnsi="Times New Roman" w:cs="Times New Roman"/>
          <w:kern w:val="24"/>
          <w:sz w:val="24"/>
          <w:szCs w:val="24"/>
        </w:rPr>
        <w:t xml:space="preserve"> en assurant l’intermédiation fin</w:t>
      </w:r>
      <w:r w:rsidR="0041133B" w:rsidRPr="001374DC">
        <w:rPr>
          <w:rFonts w:ascii="Times New Roman" w:hAnsi="Times New Roman" w:cs="Times New Roman"/>
          <w:kern w:val="24"/>
          <w:sz w:val="24"/>
          <w:szCs w:val="24"/>
        </w:rPr>
        <w:t>ancière. L</w:t>
      </w:r>
      <w:r w:rsidRPr="001374DC">
        <w:rPr>
          <w:rFonts w:ascii="Times New Roman" w:hAnsi="Times New Roman" w:cs="Times New Roman"/>
          <w:kern w:val="24"/>
          <w:sz w:val="24"/>
          <w:szCs w:val="24"/>
        </w:rPr>
        <w:t>a que</w:t>
      </w:r>
      <w:r w:rsidR="0041133B" w:rsidRPr="001374DC">
        <w:rPr>
          <w:rFonts w:ascii="Times New Roman" w:hAnsi="Times New Roman" w:cs="Times New Roman"/>
          <w:kern w:val="24"/>
          <w:sz w:val="24"/>
          <w:szCs w:val="24"/>
        </w:rPr>
        <w:t>stion qui se pose est de savoir en l’absence de taux d’intérêt :</w:t>
      </w:r>
    </w:p>
    <w:p w14:paraId="576FC6C5" w14:textId="77777777" w:rsidR="002760B2" w:rsidRPr="001374DC" w:rsidRDefault="004A583D" w:rsidP="00CB0FF1">
      <w:pPr>
        <w:pStyle w:val="Paragraphedeliste"/>
        <w:numPr>
          <w:ilvl w:val="0"/>
          <w:numId w:val="79"/>
        </w:numPr>
        <w:tabs>
          <w:tab w:val="left" w:pos="0"/>
        </w:tabs>
        <w:suppressAutoHyphens/>
        <w:spacing w:before="60" w:line="300" w:lineRule="auto"/>
        <w:ind w:left="1135" w:hanging="284"/>
        <w:contextualSpacing w:val="0"/>
        <w:rPr>
          <w:rFonts w:ascii="Times New Roman" w:hAnsi="Times New Roman" w:cs="Times New Roman"/>
          <w:kern w:val="24"/>
          <w:sz w:val="24"/>
          <w:szCs w:val="24"/>
        </w:rPr>
      </w:pPr>
      <w:r w:rsidRPr="001374DC">
        <w:rPr>
          <w:rFonts w:ascii="Times New Roman" w:hAnsi="Times New Roman" w:cs="Times New Roman"/>
          <w:kern w:val="24"/>
          <w:sz w:val="24"/>
          <w:szCs w:val="24"/>
        </w:rPr>
        <w:t>Quelle est</w:t>
      </w:r>
      <w:r w:rsidR="002760B2" w:rsidRPr="001374DC">
        <w:rPr>
          <w:rFonts w:ascii="Times New Roman" w:hAnsi="Times New Roman" w:cs="Times New Roman"/>
          <w:kern w:val="24"/>
          <w:sz w:val="24"/>
          <w:szCs w:val="24"/>
        </w:rPr>
        <w:t xml:space="preserve"> la nature de l’intermédiation financière dans le système </w:t>
      </w:r>
      <w:r w:rsidR="00E2419C"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0041133B" w:rsidRPr="001374DC">
        <w:rPr>
          <w:rFonts w:ascii="Times New Roman" w:hAnsi="Times New Roman" w:cs="Times New Roman"/>
          <w:kern w:val="24"/>
          <w:sz w:val="24"/>
          <w:szCs w:val="24"/>
        </w:rPr>
        <w:t> ?</w:t>
      </w:r>
    </w:p>
    <w:p w14:paraId="76294A1B" w14:textId="77777777" w:rsidR="004A583D" w:rsidRPr="001374DC" w:rsidRDefault="004A583D" w:rsidP="00CB0FF1">
      <w:pPr>
        <w:pStyle w:val="Paragraphedeliste"/>
        <w:numPr>
          <w:ilvl w:val="0"/>
          <w:numId w:val="79"/>
        </w:numPr>
        <w:tabs>
          <w:tab w:val="left" w:pos="0"/>
        </w:tabs>
        <w:suppressAutoHyphens/>
        <w:spacing w:before="60" w:line="300" w:lineRule="auto"/>
        <w:ind w:left="1135" w:hanging="284"/>
        <w:contextualSpacing w:val="0"/>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Comment la banque </w:t>
      </w:r>
      <w:r w:rsidR="00E2419C"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 se rémunère-t-elle ?</w:t>
      </w:r>
    </w:p>
    <w:p w14:paraId="290CE625" w14:textId="77777777" w:rsidR="002760B2" w:rsidRPr="001374DC" w:rsidRDefault="002760B2" w:rsidP="001374DC">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Etant donné les spécificités de la mobilisation des fonds et des financements offerts par la banque </w:t>
      </w:r>
      <w:r w:rsidR="00E2419C"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 l’intermédiation financière </w:t>
      </w:r>
      <w:r w:rsidR="0059312F"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 présente des caractéristiques distinctives.</w:t>
      </w:r>
      <w:r w:rsidR="000A5E73" w:rsidRPr="001374DC">
        <w:rPr>
          <w:rFonts w:ascii="Times New Roman" w:hAnsi="Times New Roman" w:cs="Times New Roman"/>
          <w:kern w:val="24"/>
          <w:sz w:val="24"/>
          <w:szCs w:val="24"/>
        </w:rPr>
        <w:t xml:space="preserve"> </w:t>
      </w:r>
      <w:r w:rsidRPr="001374DC">
        <w:rPr>
          <w:rFonts w:ascii="Times New Roman" w:hAnsi="Times New Roman" w:cs="Times New Roman"/>
          <w:kern w:val="24"/>
          <w:sz w:val="24"/>
          <w:szCs w:val="24"/>
        </w:rPr>
        <w:t>Dans le système capitaliste, l’entreprise qui s’engage à payer des intérêts déterminés ne sait pas a priori quel sera exactement le fruit de ses activités. Si elle réalise un gain tant mieux pour elle, sinon, en cas de perte, elle s’exposera seule au risque financier indépendamment de son degré de responsabilité dans la réalisation de cette perte.</w:t>
      </w:r>
    </w:p>
    <w:p w14:paraId="6EE5E87D" w14:textId="77777777" w:rsidR="002760B2" w:rsidRPr="001374DC" w:rsidRDefault="002760B2" w:rsidP="001374DC">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À ce titre, l’intermédiation financière </w:t>
      </w:r>
      <w:r w:rsidR="000C2C4C"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 est conditionnée par l’application du principe de partage de profit et de perte que ce soit du côté de l’emprunteur ou du déposant. La banque </w:t>
      </w:r>
      <w:r w:rsidR="000C2C4C"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 rémunère donc ces déposants sur la base de taux de rendement d’investissement plutôt que sur la base de taux d’intérêt. L’application de ce principe de 3P modifie le fonctionnement de l’intermédiation financière selon cette nouvelle philosophie. Le risque de l’investisseur remplace les garanties apparentes dont jouit le déposant dans le secteur bancaire traditionnel.</w:t>
      </w:r>
    </w:p>
    <w:p w14:paraId="0514F574" w14:textId="34B3E7FB" w:rsidR="002760B2" w:rsidRPr="001374DC" w:rsidRDefault="002760B2" w:rsidP="001374DC">
      <w:pPr>
        <w:tabs>
          <w:tab w:val="left" w:pos="0"/>
        </w:tabs>
        <w:suppressAutoHyphens/>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Le rôle joué par l’institution financière </w:t>
      </w:r>
      <w:r w:rsidR="00505EDD"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 est à la fois le rôle d’un entrepreneur et d’un gestionnaire. En fait</w:t>
      </w:r>
      <w:r w:rsidR="00BD5933" w:rsidRPr="001374DC">
        <w:rPr>
          <w:rFonts w:ascii="Times New Roman" w:hAnsi="Times New Roman" w:cs="Times New Roman"/>
          <w:kern w:val="24"/>
          <w:sz w:val="24"/>
          <w:szCs w:val="24"/>
        </w:rPr>
        <w:t>,</w:t>
      </w:r>
      <w:r w:rsidRPr="001374DC">
        <w:rPr>
          <w:rFonts w:ascii="Times New Roman" w:hAnsi="Times New Roman" w:cs="Times New Roman"/>
          <w:kern w:val="24"/>
          <w:sz w:val="24"/>
          <w:szCs w:val="24"/>
        </w:rPr>
        <w:t xml:space="preserve"> les personnes qui déposent leurs fonds auprès de la </w:t>
      </w:r>
      <w:r w:rsidR="00DC55CF" w:rsidRPr="001374DC">
        <w:rPr>
          <w:rFonts w:ascii="Times New Roman" w:hAnsi="Times New Roman" w:cs="Times New Roman"/>
          <w:kern w:val="24"/>
          <w:sz w:val="24"/>
          <w:szCs w:val="24"/>
        </w:rPr>
        <w:t>BI</w:t>
      </w:r>
      <w:r w:rsidRPr="001374DC">
        <w:rPr>
          <w:rFonts w:ascii="Times New Roman" w:hAnsi="Times New Roman" w:cs="Times New Roman"/>
          <w:kern w:val="24"/>
          <w:sz w:val="24"/>
          <w:szCs w:val="24"/>
        </w:rPr>
        <w:t xml:space="preserve"> sont des entrepreneurs qui </w:t>
      </w:r>
      <w:r w:rsidR="000A5E73" w:rsidRPr="001374DC">
        <w:rPr>
          <w:rFonts w:ascii="Times New Roman" w:hAnsi="Times New Roman" w:cs="Times New Roman"/>
          <w:kern w:val="24"/>
          <w:sz w:val="24"/>
          <w:szCs w:val="24"/>
        </w:rPr>
        <w:t xml:space="preserve">lui </w:t>
      </w:r>
      <w:r w:rsidRPr="001374DC">
        <w:rPr>
          <w:rFonts w:ascii="Times New Roman" w:hAnsi="Times New Roman" w:cs="Times New Roman"/>
          <w:kern w:val="24"/>
          <w:sz w:val="24"/>
          <w:szCs w:val="24"/>
        </w:rPr>
        <w:t xml:space="preserve">demandent d’investir leurs capitaux dans des projets. C’est en quelque sorte la fonction de gestion de patrimoine. Une bonne gestion consiste dans le choix </w:t>
      </w:r>
      <w:r w:rsidR="00BD5933" w:rsidRPr="001374DC">
        <w:rPr>
          <w:rFonts w:ascii="Times New Roman" w:hAnsi="Times New Roman" w:cs="Times New Roman"/>
          <w:kern w:val="24"/>
          <w:sz w:val="24"/>
          <w:szCs w:val="24"/>
        </w:rPr>
        <w:t>des projets les plus rentables.</w:t>
      </w:r>
      <w:r w:rsidRPr="001374DC">
        <w:rPr>
          <w:rFonts w:ascii="Times New Roman" w:hAnsi="Times New Roman" w:cs="Times New Roman"/>
          <w:kern w:val="24"/>
          <w:sz w:val="24"/>
          <w:szCs w:val="24"/>
        </w:rPr>
        <w:t xml:space="preserve"> Donc, le revenu de l’intermédiation de la banque </w:t>
      </w:r>
      <w:r w:rsidR="00E2419C"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 provient de sa participation aux profits dégagés à travers des opérations financières (principalement </w:t>
      </w:r>
      <w:r w:rsidR="004A4E16" w:rsidRPr="001374DC">
        <w:rPr>
          <w:rFonts w:ascii="Times New Roman" w:hAnsi="Times New Roman" w:cs="Times New Roman"/>
          <w:i/>
          <w:kern w:val="24"/>
          <w:sz w:val="24"/>
          <w:szCs w:val="24"/>
        </w:rPr>
        <w:t>moudaraba</w:t>
      </w:r>
      <w:r w:rsidRPr="001374DC">
        <w:rPr>
          <w:rFonts w:ascii="Times New Roman" w:hAnsi="Times New Roman" w:cs="Times New Roman"/>
          <w:kern w:val="24"/>
          <w:sz w:val="24"/>
          <w:szCs w:val="24"/>
        </w:rPr>
        <w:t xml:space="preserve">, </w:t>
      </w:r>
      <w:r w:rsidRPr="001374DC">
        <w:rPr>
          <w:rFonts w:ascii="Times New Roman" w:hAnsi="Times New Roman" w:cs="Times New Roman"/>
          <w:i/>
          <w:iCs/>
          <w:kern w:val="24"/>
          <w:sz w:val="24"/>
          <w:szCs w:val="24"/>
        </w:rPr>
        <w:t>moucharaka</w:t>
      </w:r>
      <w:r w:rsidRPr="001374DC">
        <w:rPr>
          <w:rFonts w:ascii="Times New Roman" w:hAnsi="Times New Roman" w:cs="Times New Roman"/>
          <w:kern w:val="24"/>
          <w:sz w:val="24"/>
          <w:szCs w:val="24"/>
        </w:rPr>
        <w:t>).</w:t>
      </w:r>
    </w:p>
    <w:p w14:paraId="1019284D" w14:textId="3EAA367F" w:rsidR="002760B2" w:rsidRPr="00A71500" w:rsidRDefault="002760B2" w:rsidP="001374DC">
      <w:pPr>
        <w:tabs>
          <w:tab w:val="left" w:pos="0"/>
        </w:tabs>
        <w:suppressAutoHyphens/>
        <w:autoSpaceDE w:val="0"/>
        <w:autoSpaceDN w:val="0"/>
        <w:adjustRightInd w:val="0"/>
        <w:spacing w:before="120" w:line="300" w:lineRule="auto"/>
        <w:ind w:firstLine="709"/>
        <w:rPr>
          <w:rFonts w:ascii="Times New Roman" w:hAnsi="Times New Roman" w:cs="Times New Roman"/>
          <w:spacing w:val="-2"/>
          <w:kern w:val="24"/>
          <w:sz w:val="24"/>
          <w:szCs w:val="24"/>
        </w:rPr>
      </w:pPr>
      <w:r w:rsidRPr="00A71500">
        <w:rPr>
          <w:rFonts w:ascii="Times New Roman" w:hAnsi="Times New Roman" w:cs="Times New Roman"/>
          <w:spacing w:val="-2"/>
          <w:kern w:val="24"/>
          <w:sz w:val="24"/>
          <w:szCs w:val="24"/>
        </w:rPr>
        <w:t>Cette in</w:t>
      </w:r>
      <w:r w:rsidR="000A5E73" w:rsidRPr="00A71500">
        <w:rPr>
          <w:rFonts w:ascii="Times New Roman" w:hAnsi="Times New Roman" w:cs="Times New Roman"/>
          <w:spacing w:val="-2"/>
          <w:kern w:val="24"/>
          <w:sz w:val="24"/>
          <w:szCs w:val="24"/>
        </w:rPr>
        <w:t>termédiation participative</w:t>
      </w:r>
      <w:r w:rsidRPr="00A71500">
        <w:rPr>
          <w:rFonts w:ascii="Times New Roman" w:hAnsi="Times New Roman" w:cs="Times New Roman"/>
          <w:spacing w:val="-2"/>
          <w:kern w:val="24"/>
          <w:sz w:val="24"/>
          <w:szCs w:val="24"/>
        </w:rPr>
        <w:t xml:space="preserve"> constitue la spécificité des </w:t>
      </w:r>
      <w:r w:rsidR="00DC55CF" w:rsidRPr="00A71500">
        <w:rPr>
          <w:rFonts w:ascii="Times New Roman" w:hAnsi="Times New Roman" w:cs="Times New Roman"/>
          <w:spacing w:val="-2"/>
          <w:kern w:val="24"/>
          <w:sz w:val="24"/>
          <w:szCs w:val="24"/>
        </w:rPr>
        <w:t>BI</w:t>
      </w:r>
      <w:r w:rsidRPr="00A71500">
        <w:rPr>
          <w:rFonts w:ascii="Times New Roman" w:hAnsi="Times New Roman" w:cs="Times New Roman"/>
          <w:spacing w:val="-2"/>
          <w:kern w:val="24"/>
          <w:sz w:val="24"/>
          <w:szCs w:val="24"/>
        </w:rPr>
        <w:t xml:space="preserve"> en matière d’intermédiation. En fait, elle ne se limite pas à de simples relations prêteurs-emprunteurs</w:t>
      </w:r>
      <w:r w:rsidR="00A71500" w:rsidRPr="00A71500">
        <w:rPr>
          <w:rFonts w:ascii="Times New Roman" w:hAnsi="Times New Roman" w:cs="Times New Roman"/>
          <w:spacing w:val="-2"/>
          <w:kern w:val="24"/>
          <w:sz w:val="24"/>
          <w:szCs w:val="24"/>
        </w:rPr>
        <w:t> ; e</w:t>
      </w:r>
      <w:r w:rsidR="00DC55CF" w:rsidRPr="00A71500">
        <w:rPr>
          <w:rFonts w:ascii="Times New Roman" w:hAnsi="Times New Roman" w:cs="Times New Roman"/>
          <w:spacing w:val="-2"/>
          <w:kern w:val="24"/>
          <w:sz w:val="24"/>
          <w:szCs w:val="24"/>
        </w:rPr>
        <w:t>lle</w:t>
      </w:r>
      <w:r w:rsidRPr="00A71500">
        <w:rPr>
          <w:rFonts w:ascii="Times New Roman" w:hAnsi="Times New Roman" w:cs="Times New Roman"/>
          <w:spacing w:val="-2"/>
          <w:kern w:val="24"/>
          <w:sz w:val="24"/>
          <w:szCs w:val="24"/>
        </w:rPr>
        <w:t xml:space="preserve"> développe une double relation d’agence entre</w:t>
      </w:r>
      <w:r w:rsidR="00DC55CF" w:rsidRPr="00A71500">
        <w:rPr>
          <w:rFonts w:ascii="Times New Roman" w:hAnsi="Times New Roman" w:cs="Times New Roman"/>
          <w:spacing w:val="-2"/>
          <w:kern w:val="24"/>
          <w:sz w:val="24"/>
          <w:szCs w:val="24"/>
        </w:rPr>
        <w:t>, d’une part,</w:t>
      </w:r>
      <w:r w:rsidRPr="00A71500">
        <w:rPr>
          <w:rFonts w:ascii="Times New Roman" w:hAnsi="Times New Roman" w:cs="Times New Roman"/>
          <w:spacing w:val="-2"/>
          <w:kern w:val="24"/>
          <w:sz w:val="24"/>
          <w:szCs w:val="24"/>
        </w:rPr>
        <w:t xml:space="preserve"> la banque et le déposant et</w:t>
      </w:r>
      <w:r w:rsidR="00DC55CF" w:rsidRPr="00A71500">
        <w:rPr>
          <w:rFonts w:ascii="Times New Roman" w:hAnsi="Times New Roman" w:cs="Times New Roman"/>
          <w:spacing w:val="-2"/>
          <w:kern w:val="24"/>
          <w:sz w:val="24"/>
          <w:szCs w:val="24"/>
        </w:rPr>
        <w:t xml:space="preserve">, d’autre part, </w:t>
      </w:r>
      <w:r w:rsidRPr="00A71500">
        <w:rPr>
          <w:rFonts w:ascii="Times New Roman" w:hAnsi="Times New Roman" w:cs="Times New Roman"/>
          <w:spacing w:val="-2"/>
          <w:kern w:val="24"/>
          <w:sz w:val="24"/>
          <w:szCs w:val="24"/>
        </w:rPr>
        <w:t xml:space="preserve">la banque et l’entrepreneur Dans cet esprit, la </w:t>
      </w:r>
      <w:r w:rsidR="00DC55CF" w:rsidRPr="00A71500">
        <w:rPr>
          <w:rFonts w:ascii="Times New Roman" w:hAnsi="Times New Roman" w:cs="Times New Roman"/>
          <w:spacing w:val="-2"/>
          <w:kern w:val="24"/>
          <w:sz w:val="24"/>
          <w:szCs w:val="24"/>
        </w:rPr>
        <w:t>BI</w:t>
      </w:r>
      <w:r w:rsidRPr="00A71500">
        <w:rPr>
          <w:rFonts w:ascii="Times New Roman" w:hAnsi="Times New Roman" w:cs="Times New Roman"/>
          <w:spacing w:val="-2"/>
          <w:kern w:val="24"/>
          <w:sz w:val="24"/>
          <w:szCs w:val="24"/>
        </w:rPr>
        <w:t xml:space="preserve"> joue un rôle essentiel de débouchés d’épargne et de concepteur d’investissement [</w:t>
      </w:r>
      <w:r w:rsidRPr="00A71500">
        <w:rPr>
          <w:rFonts w:ascii="Times New Roman" w:hAnsi="Times New Roman" w:cs="Times New Roman"/>
          <w:smallCaps/>
          <w:spacing w:val="-2"/>
          <w:kern w:val="24"/>
          <w:sz w:val="24"/>
          <w:szCs w:val="24"/>
        </w:rPr>
        <w:t>Ibrahima</w:t>
      </w:r>
      <w:r w:rsidRPr="00A71500">
        <w:rPr>
          <w:rFonts w:ascii="Times New Roman" w:hAnsi="Times New Roman" w:cs="Times New Roman"/>
          <w:spacing w:val="-2"/>
          <w:kern w:val="24"/>
          <w:sz w:val="24"/>
          <w:szCs w:val="24"/>
        </w:rPr>
        <w:t xml:space="preserve"> (1996)] tout en étant un partenaire.</w:t>
      </w:r>
    </w:p>
    <w:p w14:paraId="302BDE8D" w14:textId="77777777" w:rsidR="002760B2" w:rsidRPr="001374DC" w:rsidRDefault="00BD5933" w:rsidP="001374DC">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La </w:t>
      </w:r>
      <w:r w:rsidR="002760B2" w:rsidRPr="001374DC">
        <w:rPr>
          <w:rFonts w:ascii="Times New Roman" w:hAnsi="Times New Roman" w:cs="Times New Roman"/>
          <w:i/>
          <w:iCs/>
          <w:kern w:val="24"/>
          <w:sz w:val="24"/>
          <w:szCs w:val="24"/>
        </w:rPr>
        <w:t>two tier-</w:t>
      </w:r>
      <w:r w:rsidR="004A4E16" w:rsidRPr="001374DC">
        <w:rPr>
          <w:rFonts w:ascii="Times New Roman" w:hAnsi="Times New Roman" w:cs="Times New Roman"/>
          <w:i/>
          <w:kern w:val="24"/>
          <w:sz w:val="24"/>
          <w:szCs w:val="24"/>
        </w:rPr>
        <w:t>moudaraba</w:t>
      </w:r>
      <w:r w:rsidR="002760B2" w:rsidRPr="001374DC">
        <w:rPr>
          <w:rFonts w:ascii="Times New Roman" w:hAnsi="Times New Roman" w:cs="Times New Roman"/>
          <w:kern w:val="24"/>
          <w:sz w:val="24"/>
          <w:szCs w:val="24"/>
        </w:rPr>
        <w:t xml:space="preserve"> est une base convenable et appropriée de l’intermédiation financière </w:t>
      </w:r>
      <w:r w:rsidR="00505EDD"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002760B2" w:rsidRPr="001374DC">
        <w:rPr>
          <w:rFonts w:ascii="Times New Roman" w:hAnsi="Times New Roman" w:cs="Times New Roman"/>
          <w:kern w:val="24"/>
          <w:sz w:val="24"/>
          <w:szCs w:val="24"/>
        </w:rPr>
        <w:t xml:space="preserve">. </w:t>
      </w:r>
      <w:r w:rsidR="002760B2" w:rsidRPr="001374DC">
        <w:rPr>
          <w:rFonts w:ascii="Times New Roman" w:hAnsi="Times New Roman" w:cs="Times New Roman"/>
          <w:smallCaps/>
          <w:kern w:val="24"/>
          <w:sz w:val="24"/>
          <w:szCs w:val="24"/>
        </w:rPr>
        <w:t>Siddiqui</w:t>
      </w:r>
      <w:r w:rsidR="002760B2" w:rsidRPr="001374DC">
        <w:rPr>
          <w:rFonts w:ascii="Times New Roman" w:hAnsi="Times New Roman" w:cs="Times New Roman"/>
          <w:kern w:val="24"/>
          <w:sz w:val="24"/>
          <w:szCs w:val="24"/>
        </w:rPr>
        <w:t xml:space="preserve"> (1998)</w:t>
      </w:r>
      <w:r w:rsidR="002760B2" w:rsidRPr="001374DC">
        <w:rPr>
          <w:rStyle w:val="Appelnotedebasdep"/>
          <w:rFonts w:ascii="Times New Roman" w:hAnsi="Times New Roman"/>
          <w:kern w:val="24"/>
          <w:sz w:val="24"/>
          <w:szCs w:val="24"/>
        </w:rPr>
        <w:footnoteReference w:id="102"/>
      </w:r>
      <w:r w:rsidR="002760B2" w:rsidRPr="001374DC">
        <w:rPr>
          <w:rFonts w:ascii="Times New Roman" w:hAnsi="Times New Roman" w:cs="Times New Roman"/>
          <w:kern w:val="24"/>
          <w:sz w:val="24"/>
          <w:szCs w:val="24"/>
        </w:rPr>
        <w:t xml:space="preserve"> qualifie l’intermédiation de la double </w:t>
      </w:r>
      <w:r w:rsidR="004A4E16" w:rsidRPr="001374DC">
        <w:rPr>
          <w:rFonts w:ascii="Times New Roman" w:hAnsi="Times New Roman" w:cs="Times New Roman"/>
          <w:i/>
          <w:iCs/>
          <w:kern w:val="24"/>
          <w:sz w:val="24"/>
          <w:szCs w:val="24"/>
        </w:rPr>
        <w:t>moudaraba</w:t>
      </w:r>
      <w:r w:rsidRPr="001374DC">
        <w:rPr>
          <w:rFonts w:ascii="Times New Roman" w:hAnsi="Times New Roman" w:cs="Times New Roman"/>
          <w:kern w:val="24"/>
          <w:sz w:val="24"/>
          <w:szCs w:val="24"/>
        </w:rPr>
        <w:t xml:space="preserve"> de la « pure intermédiation »</w:t>
      </w:r>
      <w:r w:rsidR="002760B2" w:rsidRPr="001374DC">
        <w:rPr>
          <w:rFonts w:ascii="Times New Roman" w:hAnsi="Times New Roman" w:cs="Times New Roman"/>
          <w:kern w:val="24"/>
          <w:sz w:val="24"/>
          <w:szCs w:val="24"/>
        </w:rPr>
        <w:t xml:space="preserve"> </w:t>
      </w:r>
      <w:r w:rsidR="00D85BC5" w:rsidRPr="001374DC">
        <w:rPr>
          <w:rFonts w:ascii="Times New Roman" w:hAnsi="Times New Roman" w:cs="Times New Roman"/>
          <w:kern w:val="24"/>
          <w:sz w:val="24"/>
          <w:szCs w:val="24"/>
        </w:rPr>
        <w:t>à l’opposé de celle « non pure »</w:t>
      </w:r>
      <w:r w:rsidR="002760B2" w:rsidRPr="001374DC">
        <w:rPr>
          <w:rFonts w:ascii="Times New Roman" w:hAnsi="Times New Roman" w:cs="Times New Roman"/>
          <w:kern w:val="24"/>
          <w:sz w:val="24"/>
          <w:szCs w:val="24"/>
        </w:rPr>
        <w:t xml:space="preserve"> véhiculée par la </w:t>
      </w:r>
      <w:r w:rsidR="002760B2" w:rsidRPr="001374DC">
        <w:rPr>
          <w:rFonts w:ascii="Times New Roman" w:hAnsi="Times New Roman" w:cs="Times New Roman"/>
          <w:i/>
          <w:iCs/>
          <w:kern w:val="24"/>
          <w:sz w:val="24"/>
          <w:szCs w:val="24"/>
        </w:rPr>
        <w:t>mourabaha</w:t>
      </w:r>
      <w:r w:rsidR="002760B2" w:rsidRPr="001374DC">
        <w:rPr>
          <w:rFonts w:ascii="Times New Roman" w:hAnsi="Times New Roman" w:cs="Times New Roman"/>
          <w:kern w:val="24"/>
          <w:sz w:val="24"/>
          <w:szCs w:val="24"/>
        </w:rPr>
        <w:t>, l’</w:t>
      </w:r>
      <w:r w:rsidR="002760B2" w:rsidRPr="001374DC">
        <w:rPr>
          <w:rFonts w:ascii="Times New Roman" w:hAnsi="Times New Roman" w:cs="Times New Roman"/>
          <w:i/>
          <w:kern w:val="24"/>
          <w:sz w:val="24"/>
          <w:szCs w:val="24"/>
        </w:rPr>
        <w:t>ijara</w:t>
      </w:r>
      <w:r w:rsidR="002760B2" w:rsidRPr="001374DC">
        <w:rPr>
          <w:rFonts w:ascii="Times New Roman" w:hAnsi="Times New Roman" w:cs="Times New Roman"/>
          <w:kern w:val="24"/>
          <w:sz w:val="24"/>
          <w:szCs w:val="24"/>
        </w:rPr>
        <w:t xml:space="preserve">, le </w:t>
      </w:r>
      <w:r w:rsidR="002760B2" w:rsidRPr="001374DC">
        <w:rPr>
          <w:rFonts w:ascii="Times New Roman" w:hAnsi="Times New Roman" w:cs="Times New Roman"/>
          <w:i/>
          <w:kern w:val="24"/>
          <w:sz w:val="24"/>
          <w:szCs w:val="24"/>
        </w:rPr>
        <w:lastRenderedPageBreak/>
        <w:t>salam</w:t>
      </w:r>
      <w:r w:rsidR="002760B2" w:rsidRPr="001374DC">
        <w:rPr>
          <w:rFonts w:ascii="Times New Roman" w:hAnsi="Times New Roman" w:cs="Times New Roman"/>
          <w:kern w:val="24"/>
          <w:sz w:val="24"/>
          <w:szCs w:val="24"/>
        </w:rPr>
        <w:t>, l’</w:t>
      </w:r>
      <w:r w:rsidR="002760B2" w:rsidRPr="001374DC">
        <w:rPr>
          <w:rFonts w:ascii="Times New Roman" w:hAnsi="Times New Roman" w:cs="Times New Roman"/>
          <w:i/>
          <w:iCs/>
          <w:kern w:val="24"/>
          <w:sz w:val="24"/>
          <w:szCs w:val="24"/>
        </w:rPr>
        <w:t>istisna</w:t>
      </w:r>
      <w:r w:rsidR="00D85BC5" w:rsidRPr="001374DC">
        <w:rPr>
          <w:rFonts w:ascii="Times New Roman" w:hAnsi="Times New Roman" w:cs="Times New Roman"/>
          <w:i/>
          <w:iCs/>
          <w:kern w:val="24"/>
          <w:sz w:val="24"/>
          <w:szCs w:val="24"/>
        </w:rPr>
        <w:t>’</w:t>
      </w:r>
      <w:r w:rsidR="002760B2" w:rsidRPr="001374DC">
        <w:rPr>
          <w:rFonts w:ascii="Times New Roman" w:hAnsi="Times New Roman" w:cs="Times New Roman"/>
          <w:kern w:val="24"/>
          <w:sz w:val="24"/>
          <w:szCs w:val="24"/>
        </w:rPr>
        <w:t xml:space="preserve">. </w:t>
      </w:r>
      <w:r w:rsidR="00A70978" w:rsidRPr="001374DC">
        <w:rPr>
          <w:rFonts w:ascii="Times New Roman" w:hAnsi="Times New Roman" w:cs="Times New Roman"/>
          <w:kern w:val="24"/>
          <w:sz w:val="24"/>
          <w:szCs w:val="24"/>
        </w:rPr>
        <w:t xml:space="preserve">Par ailleurs, </w:t>
      </w:r>
      <w:r w:rsidR="00A70978" w:rsidRPr="001374DC">
        <w:rPr>
          <w:rFonts w:ascii="Times New Roman" w:hAnsi="Times New Roman" w:cs="Times New Roman"/>
          <w:smallCaps/>
          <w:kern w:val="24"/>
          <w:sz w:val="24"/>
          <w:szCs w:val="24"/>
        </w:rPr>
        <w:t>Al-Suwailem</w:t>
      </w:r>
      <w:r w:rsidR="00A70978" w:rsidRPr="001374DC">
        <w:rPr>
          <w:rFonts w:ascii="Times New Roman" w:hAnsi="Times New Roman" w:cs="Times New Roman"/>
          <w:kern w:val="24"/>
          <w:sz w:val="24"/>
          <w:szCs w:val="24"/>
        </w:rPr>
        <w:t xml:space="preserve"> (2009)</w:t>
      </w:r>
      <w:r w:rsidR="00A70978" w:rsidRPr="001374DC">
        <w:rPr>
          <w:rStyle w:val="Appelnotedebasdep"/>
          <w:rFonts w:ascii="Times New Roman" w:hAnsi="Times New Roman"/>
          <w:kern w:val="24"/>
          <w:sz w:val="24"/>
          <w:szCs w:val="24"/>
        </w:rPr>
        <w:footnoteReference w:id="103"/>
      </w:r>
      <w:r w:rsidR="00A70978" w:rsidRPr="001374DC">
        <w:rPr>
          <w:rFonts w:ascii="Times New Roman" w:hAnsi="Times New Roman" w:cs="Times New Roman"/>
          <w:kern w:val="24"/>
          <w:sz w:val="24"/>
          <w:szCs w:val="24"/>
        </w:rPr>
        <w:t xml:space="preserve"> précise que l’intermédiation idéale du point de vue </w:t>
      </w:r>
      <w:r w:rsidR="00505EDD"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00A70978" w:rsidRPr="001374DC">
        <w:rPr>
          <w:rFonts w:ascii="Times New Roman" w:hAnsi="Times New Roman" w:cs="Times New Roman"/>
          <w:kern w:val="24"/>
          <w:sz w:val="24"/>
          <w:szCs w:val="24"/>
        </w:rPr>
        <w:t xml:space="preserve"> doit se baser, au passif, en premier lieu sur la </w:t>
      </w:r>
      <w:r w:rsidR="004A4E16" w:rsidRPr="001374DC">
        <w:rPr>
          <w:rFonts w:ascii="Times New Roman" w:hAnsi="Times New Roman" w:cs="Times New Roman"/>
          <w:i/>
          <w:iCs/>
          <w:kern w:val="24"/>
          <w:sz w:val="24"/>
          <w:szCs w:val="24"/>
        </w:rPr>
        <w:t>moudaraba</w:t>
      </w:r>
      <w:r w:rsidR="00A70978" w:rsidRPr="001374DC">
        <w:rPr>
          <w:rFonts w:ascii="Times New Roman" w:hAnsi="Times New Roman" w:cs="Times New Roman"/>
          <w:kern w:val="24"/>
          <w:sz w:val="24"/>
          <w:szCs w:val="24"/>
        </w:rPr>
        <w:t xml:space="preserve"> et en deuxième lieu sur la </w:t>
      </w:r>
      <w:r w:rsidR="00A70978" w:rsidRPr="001374DC">
        <w:rPr>
          <w:rFonts w:ascii="Times New Roman" w:hAnsi="Times New Roman" w:cs="Times New Roman"/>
          <w:i/>
          <w:iCs/>
          <w:kern w:val="24"/>
          <w:sz w:val="24"/>
          <w:szCs w:val="24"/>
        </w:rPr>
        <w:t>wakala</w:t>
      </w:r>
      <w:r w:rsidR="00A70978" w:rsidRPr="001374DC">
        <w:rPr>
          <w:rFonts w:ascii="Times New Roman" w:hAnsi="Times New Roman" w:cs="Times New Roman"/>
          <w:kern w:val="24"/>
          <w:sz w:val="24"/>
          <w:szCs w:val="24"/>
        </w:rPr>
        <w:t xml:space="preserve">. </w:t>
      </w:r>
      <w:r w:rsidR="002760B2" w:rsidRPr="001374DC">
        <w:rPr>
          <w:rFonts w:ascii="Times New Roman" w:hAnsi="Times New Roman" w:cs="Times New Roman"/>
          <w:kern w:val="24"/>
          <w:sz w:val="24"/>
          <w:szCs w:val="24"/>
        </w:rPr>
        <w:t xml:space="preserve">Or, à l’actif, la priorité doit être accordée à la </w:t>
      </w:r>
      <w:r w:rsidR="002760B2" w:rsidRPr="001374DC">
        <w:rPr>
          <w:rFonts w:ascii="Times New Roman" w:hAnsi="Times New Roman" w:cs="Times New Roman"/>
          <w:i/>
          <w:iCs/>
          <w:kern w:val="24"/>
          <w:sz w:val="24"/>
          <w:szCs w:val="24"/>
        </w:rPr>
        <w:t xml:space="preserve">moucharaka </w:t>
      </w:r>
      <w:r w:rsidR="002760B2" w:rsidRPr="001374DC">
        <w:rPr>
          <w:rFonts w:ascii="Times New Roman" w:hAnsi="Times New Roman" w:cs="Times New Roman"/>
          <w:kern w:val="24"/>
          <w:sz w:val="24"/>
          <w:szCs w:val="24"/>
        </w:rPr>
        <w:t xml:space="preserve">effective et ensuite à la </w:t>
      </w:r>
      <w:r w:rsidR="004A4E16" w:rsidRPr="001374DC">
        <w:rPr>
          <w:rFonts w:ascii="Times New Roman" w:hAnsi="Times New Roman" w:cs="Times New Roman"/>
          <w:i/>
          <w:iCs/>
          <w:kern w:val="24"/>
          <w:sz w:val="24"/>
          <w:szCs w:val="24"/>
        </w:rPr>
        <w:t>moudaraba</w:t>
      </w:r>
      <w:r w:rsidR="002760B2" w:rsidRPr="001374DC">
        <w:rPr>
          <w:rFonts w:ascii="Times New Roman" w:hAnsi="Times New Roman" w:cs="Times New Roman"/>
          <w:kern w:val="24"/>
          <w:sz w:val="24"/>
          <w:szCs w:val="24"/>
        </w:rPr>
        <w:t>.</w:t>
      </w:r>
    </w:p>
    <w:p w14:paraId="1E059321" w14:textId="77777777" w:rsidR="002760B2" w:rsidRPr="001374DC" w:rsidRDefault="00801119" w:rsidP="001374DC">
      <w:pPr>
        <w:pStyle w:val="Titre2"/>
        <w:keepNext w:val="0"/>
        <w:spacing w:before="100" w:beforeAutospacing="1" w:after="100" w:afterAutospacing="1" w:line="300" w:lineRule="auto"/>
        <w:ind w:firstLine="709"/>
        <w:rPr>
          <w:rFonts w:cstheme="majorBidi"/>
          <w:i w:val="0"/>
          <w:iCs w:val="0"/>
          <w:kern w:val="24"/>
          <w:sz w:val="28"/>
        </w:rPr>
      </w:pPr>
      <w:bookmarkStart w:id="263" w:name="_Toc33263227"/>
      <w:bookmarkStart w:id="264" w:name="_Toc33264110"/>
      <w:bookmarkStart w:id="265" w:name="_Toc37664479"/>
      <w:bookmarkStart w:id="266" w:name="_Toc37666324"/>
      <w:bookmarkStart w:id="267" w:name="_Toc37667312"/>
      <w:bookmarkStart w:id="268" w:name="_Toc54361022"/>
      <w:bookmarkStart w:id="269" w:name="_Toc54361670"/>
      <w:bookmarkStart w:id="270" w:name="_Toc54363213"/>
      <w:bookmarkStart w:id="271" w:name="_Toc57901020"/>
      <w:bookmarkStart w:id="272" w:name="_Toc58261921"/>
      <w:bookmarkStart w:id="273" w:name="_Toc58606229"/>
      <w:bookmarkStart w:id="274" w:name="_Toc61263434"/>
      <w:bookmarkStart w:id="275" w:name="_Toc116257058"/>
      <w:bookmarkStart w:id="276" w:name="_Toc182298633"/>
      <w:bookmarkStart w:id="277" w:name="_Toc182309382"/>
      <w:r w:rsidRPr="001374DC">
        <w:rPr>
          <w:rFonts w:cstheme="majorBidi"/>
          <w:i w:val="0"/>
          <w:iCs w:val="0"/>
          <w:kern w:val="24"/>
          <w:sz w:val="28"/>
        </w:rPr>
        <w:t>Section II-</w:t>
      </w:r>
      <w:r w:rsidR="00E97478" w:rsidRPr="001374DC">
        <w:rPr>
          <w:rFonts w:cstheme="majorBidi"/>
          <w:i w:val="0"/>
          <w:iCs w:val="0"/>
          <w:kern w:val="24"/>
          <w:sz w:val="28"/>
        </w:rPr>
        <w:t xml:space="preserve"> </w:t>
      </w:r>
      <w:r w:rsidR="002760B2" w:rsidRPr="001374DC">
        <w:rPr>
          <w:rFonts w:cstheme="majorBidi"/>
          <w:i w:val="0"/>
          <w:iCs w:val="0"/>
          <w:kern w:val="24"/>
          <w:sz w:val="28"/>
        </w:rPr>
        <w:t xml:space="preserve">Modes de financement </w:t>
      </w:r>
      <w:r w:rsidR="003F6BC3" w:rsidRPr="001374DC">
        <w:rPr>
          <w:rFonts w:cstheme="majorBidi"/>
          <w:i w:val="0"/>
          <w:iCs w:val="0"/>
          <w:kern w:val="24"/>
          <w:sz w:val="28"/>
        </w:rPr>
        <w:t>i</w:t>
      </w:r>
      <w:r w:rsidR="003773C6" w:rsidRPr="001374DC">
        <w:rPr>
          <w:rFonts w:cstheme="majorBidi"/>
          <w:i w:val="0"/>
          <w:iCs w:val="0"/>
          <w:kern w:val="24"/>
          <w:sz w:val="28"/>
        </w:rPr>
        <w:t>slamique</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56EA0C8A" w14:textId="7DB94809" w:rsidR="000A5E73" w:rsidRPr="001374DC" w:rsidRDefault="002760B2" w:rsidP="001374DC">
      <w:pPr>
        <w:tabs>
          <w:tab w:val="left" w:pos="0"/>
        </w:tabs>
        <w:suppressAutoHyphens/>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La </w:t>
      </w:r>
      <w:r w:rsidR="00911061" w:rsidRPr="001374DC">
        <w:rPr>
          <w:rFonts w:ascii="Times New Roman" w:hAnsi="Times New Roman" w:cs="Times New Roman"/>
          <w:kern w:val="24"/>
          <w:sz w:val="24"/>
          <w:szCs w:val="24"/>
        </w:rPr>
        <w:t>FI</w:t>
      </w:r>
      <w:r w:rsidRPr="001374DC">
        <w:rPr>
          <w:rFonts w:ascii="Times New Roman" w:hAnsi="Times New Roman" w:cs="Times New Roman"/>
          <w:kern w:val="24"/>
          <w:sz w:val="24"/>
          <w:szCs w:val="24"/>
        </w:rPr>
        <w:t xml:space="preserve"> est, par définition, l’ensemble des techniques financières et juridiques mises en place afin de financer les biens et les services conformément aux préceptes </w:t>
      </w:r>
      <w:r w:rsidR="000C2C4C"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s. La diversité des interprétations de </w:t>
      </w:r>
      <w:r w:rsidR="00DC55CF" w:rsidRPr="001374DC">
        <w:rPr>
          <w:rFonts w:ascii="Times New Roman" w:hAnsi="Times New Roman" w:cs="Times New Roman"/>
          <w:kern w:val="24"/>
          <w:sz w:val="24"/>
          <w:szCs w:val="24"/>
        </w:rPr>
        <w:t>s</w:t>
      </w:r>
      <w:r w:rsidRPr="001374DC">
        <w:rPr>
          <w:rFonts w:ascii="Times New Roman" w:hAnsi="Times New Roman" w:cs="Times New Roman"/>
          <w:kern w:val="24"/>
          <w:sz w:val="24"/>
          <w:szCs w:val="24"/>
        </w:rPr>
        <w:t xml:space="preserve">es préceptes de la part des </w:t>
      </w:r>
      <w:r w:rsidRPr="001374DC">
        <w:rPr>
          <w:rFonts w:ascii="Times New Roman" w:hAnsi="Times New Roman" w:cs="Times New Roman"/>
          <w:i/>
          <w:iCs/>
          <w:kern w:val="24"/>
          <w:sz w:val="24"/>
          <w:szCs w:val="24"/>
        </w:rPr>
        <w:t>scholars</w:t>
      </w:r>
      <w:r w:rsidRPr="001374DC">
        <w:rPr>
          <w:rFonts w:ascii="Times New Roman" w:hAnsi="Times New Roman" w:cs="Times New Roman"/>
          <w:kern w:val="24"/>
          <w:sz w:val="24"/>
          <w:szCs w:val="24"/>
        </w:rPr>
        <w:t xml:space="preserve"> et des juristes </w:t>
      </w:r>
      <w:r w:rsidR="000C2C4C"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s et la nécessité de concevoir des alternatives aux financements à intérêt ont créé une gamme de plus en plus large d’instruments financiers proposés par les institutions financières </w:t>
      </w:r>
      <w:r w:rsidR="000C2C4C"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s (IFI). </w:t>
      </w:r>
      <w:r w:rsidR="00836558" w:rsidRPr="001374DC">
        <w:rPr>
          <w:rFonts w:ascii="Times New Roman" w:hAnsi="Times New Roman" w:cs="Times New Roman"/>
          <w:kern w:val="24"/>
          <w:sz w:val="24"/>
          <w:szCs w:val="24"/>
        </w:rPr>
        <w:t>L’objectif de cette section réside en la</w:t>
      </w:r>
      <w:r w:rsidRPr="001374DC">
        <w:rPr>
          <w:rFonts w:ascii="Times New Roman" w:hAnsi="Times New Roman" w:cs="Times New Roman"/>
          <w:kern w:val="24"/>
          <w:sz w:val="24"/>
          <w:szCs w:val="24"/>
        </w:rPr>
        <w:t xml:space="preserve"> présent</w:t>
      </w:r>
      <w:r w:rsidR="00836558" w:rsidRPr="001374DC">
        <w:rPr>
          <w:rFonts w:ascii="Times New Roman" w:hAnsi="Times New Roman" w:cs="Times New Roman"/>
          <w:kern w:val="24"/>
          <w:sz w:val="24"/>
          <w:szCs w:val="24"/>
        </w:rPr>
        <w:t>ation</w:t>
      </w:r>
      <w:r w:rsidRPr="001374DC">
        <w:rPr>
          <w:rFonts w:ascii="Times New Roman" w:hAnsi="Times New Roman" w:cs="Times New Roman"/>
          <w:kern w:val="24"/>
          <w:sz w:val="24"/>
          <w:szCs w:val="24"/>
        </w:rPr>
        <w:t xml:space="preserve"> </w:t>
      </w:r>
      <w:r w:rsidR="00836558" w:rsidRPr="001374DC">
        <w:rPr>
          <w:rFonts w:ascii="Times New Roman" w:hAnsi="Times New Roman" w:cs="Times New Roman"/>
          <w:kern w:val="24"/>
          <w:sz w:val="24"/>
          <w:szCs w:val="24"/>
        </w:rPr>
        <w:t>de c</w:t>
      </w:r>
      <w:r w:rsidRPr="001374DC">
        <w:rPr>
          <w:rFonts w:ascii="Times New Roman" w:hAnsi="Times New Roman" w:cs="Times New Roman"/>
          <w:kern w:val="24"/>
          <w:sz w:val="24"/>
          <w:szCs w:val="24"/>
        </w:rPr>
        <w:t>es</w:t>
      </w:r>
      <w:r w:rsidR="00836558" w:rsidRPr="001374DC">
        <w:rPr>
          <w:rFonts w:ascii="Times New Roman" w:hAnsi="Times New Roman" w:cs="Times New Roman"/>
          <w:kern w:val="24"/>
          <w:sz w:val="24"/>
          <w:szCs w:val="24"/>
        </w:rPr>
        <w:t xml:space="preserve"> alternatives</w:t>
      </w:r>
      <w:r w:rsidRPr="001374DC">
        <w:rPr>
          <w:rFonts w:ascii="Times New Roman" w:hAnsi="Times New Roman" w:cs="Times New Roman"/>
          <w:kern w:val="24"/>
          <w:sz w:val="24"/>
          <w:szCs w:val="24"/>
        </w:rPr>
        <w:t xml:space="preserve"> de fina</w:t>
      </w:r>
      <w:r w:rsidR="000A5E73" w:rsidRPr="001374DC">
        <w:rPr>
          <w:rFonts w:ascii="Times New Roman" w:hAnsi="Times New Roman" w:cs="Times New Roman"/>
          <w:kern w:val="24"/>
          <w:sz w:val="24"/>
          <w:szCs w:val="24"/>
        </w:rPr>
        <w:t>ncement. Ils</w:t>
      </w:r>
      <w:r w:rsidRPr="001374DC">
        <w:rPr>
          <w:rFonts w:ascii="Times New Roman" w:hAnsi="Times New Roman" w:cs="Times New Roman"/>
          <w:kern w:val="24"/>
          <w:sz w:val="24"/>
          <w:szCs w:val="24"/>
        </w:rPr>
        <w:t xml:space="preserve"> peuvent être class</w:t>
      </w:r>
      <w:r w:rsidR="000A5E73" w:rsidRPr="001374DC">
        <w:rPr>
          <w:rFonts w:ascii="Times New Roman" w:hAnsi="Times New Roman" w:cs="Times New Roman"/>
          <w:kern w:val="24"/>
          <w:sz w:val="24"/>
          <w:szCs w:val="24"/>
        </w:rPr>
        <w:t xml:space="preserve">és en </w:t>
      </w:r>
      <w:r w:rsidR="00836558" w:rsidRPr="001374DC">
        <w:rPr>
          <w:rFonts w:ascii="Times New Roman" w:hAnsi="Times New Roman" w:cs="Times New Roman"/>
          <w:kern w:val="24"/>
          <w:sz w:val="24"/>
          <w:szCs w:val="24"/>
        </w:rPr>
        <w:t xml:space="preserve">quatre </w:t>
      </w:r>
      <w:r w:rsidR="000A5E73" w:rsidRPr="001374DC">
        <w:rPr>
          <w:rFonts w:ascii="Times New Roman" w:hAnsi="Times New Roman" w:cs="Times New Roman"/>
          <w:kern w:val="24"/>
          <w:sz w:val="24"/>
          <w:szCs w:val="24"/>
        </w:rPr>
        <w:t>grandes catégories :</w:t>
      </w:r>
    </w:p>
    <w:p w14:paraId="6BEFE2C5" w14:textId="6849C85C" w:rsidR="000A5E73" w:rsidRPr="001374DC" w:rsidRDefault="00836558" w:rsidP="00CB0FF1">
      <w:pPr>
        <w:pStyle w:val="Paragraphedeliste"/>
        <w:numPr>
          <w:ilvl w:val="0"/>
          <w:numId w:val="85"/>
        </w:numPr>
        <w:tabs>
          <w:tab w:val="left" w:pos="0"/>
        </w:tabs>
        <w:suppressAutoHyphens/>
        <w:spacing w:before="60" w:line="300" w:lineRule="auto"/>
        <w:ind w:left="1135" w:hanging="284"/>
        <w:contextualSpacing w:val="0"/>
        <w:rPr>
          <w:rFonts w:ascii="Times New Roman" w:hAnsi="Times New Roman" w:cs="Times New Roman"/>
          <w:kern w:val="24"/>
          <w:sz w:val="24"/>
          <w:szCs w:val="24"/>
        </w:rPr>
      </w:pPr>
      <w:r w:rsidRPr="001374DC">
        <w:rPr>
          <w:rFonts w:ascii="Times New Roman" w:hAnsi="Times New Roman" w:cs="Times New Roman"/>
          <w:kern w:val="24"/>
          <w:sz w:val="24"/>
          <w:szCs w:val="24"/>
        </w:rPr>
        <w:t>Les instruments de financement participatif à la base</w:t>
      </w:r>
      <w:r w:rsidR="002760B2" w:rsidRPr="001374DC">
        <w:rPr>
          <w:rFonts w:ascii="Times New Roman" w:hAnsi="Times New Roman" w:cs="Times New Roman"/>
          <w:kern w:val="24"/>
          <w:sz w:val="24"/>
          <w:szCs w:val="24"/>
        </w:rPr>
        <w:t xml:space="preserve"> </w:t>
      </w:r>
      <w:r w:rsidRPr="001374DC">
        <w:rPr>
          <w:rFonts w:ascii="Times New Roman" w:hAnsi="Times New Roman" w:cs="Times New Roman"/>
          <w:kern w:val="24"/>
          <w:sz w:val="24"/>
          <w:szCs w:val="24"/>
        </w:rPr>
        <w:t>du</w:t>
      </w:r>
      <w:r w:rsidR="002760B2" w:rsidRPr="001374DC">
        <w:rPr>
          <w:rFonts w:ascii="Times New Roman" w:hAnsi="Times New Roman" w:cs="Times New Roman"/>
          <w:kern w:val="24"/>
          <w:sz w:val="24"/>
          <w:szCs w:val="24"/>
        </w:rPr>
        <w:t xml:space="preserve"> partage des pertes et des profits entre l’investisseur et l’entrepreneur</w:t>
      </w:r>
      <w:r w:rsidR="000A5E73" w:rsidRPr="001374DC">
        <w:rPr>
          <w:rFonts w:ascii="Times New Roman" w:hAnsi="Times New Roman" w:cs="Times New Roman"/>
          <w:kern w:val="24"/>
          <w:sz w:val="24"/>
          <w:szCs w:val="24"/>
        </w:rPr>
        <w:t> ;</w:t>
      </w:r>
    </w:p>
    <w:p w14:paraId="515EA2CE" w14:textId="11E8D748" w:rsidR="00836558" w:rsidRPr="001374DC" w:rsidRDefault="00836558" w:rsidP="00CB0FF1">
      <w:pPr>
        <w:pStyle w:val="Paragraphedeliste"/>
        <w:numPr>
          <w:ilvl w:val="0"/>
          <w:numId w:val="85"/>
        </w:numPr>
        <w:tabs>
          <w:tab w:val="left" w:pos="0"/>
        </w:tabs>
        <w:suppressAutoHyphens/>
        <w:spacing w:before="60" w:line="300" w:lineRule="auto"/>
        <w:ind w:left="1135" w:hanging="284"/>
        <w:contextualSpacing w:val="0"/>
        <w:rPr>
          <w:rFonts w:ascii="Times New Roman" w:hAnsi="Times New Roman" w:cs="Times New Roman"/>
          <w:kern w:val="24"/>
          <w:sz w:val="24"/>
          <w:szCs w:val="24"/>
        </w:rPr>
      </w:pPr>
      <w:r w:rsidRPr="001374DC">
        <w:rPr>
          <w:rFonts w:ascii="Times New Roman" w:hAnsi="Times New Roman" w:cs="Times New Roman"/>
          <w:kern w:val="24"/>
          <w:sz w:val="24"/>
          <w:szCs w:val="24"/>
        </w:rPr>
        <w:t>Les instruments de financement par dette où</w:t>
      </w:r>
      <w:r w:rsidR="002760B2" w:rsidRPr="001374DC">
        <w:rPr>
          <w:rFonts w:ascii="Times New Roman" w:hAnsi="Times New Roman" w:cs="Times New Roman"/>
          <w:kern w:val="24"/>
          <w:sz w:val="24"/>
          <w:szCs w:val="24"/>
        </w:rPr>
        <w:t xml:space="preserve"> un tel partage n’existe pas</w:t>
      </w:r>
      <w:r w:rsidRPr="001374DC">
        <w:rPr>
          <w:rFonts w:ascii="Times New Roman" w:hAnsi="Times New Roman" w:cs="Times New Roman"/>
          <w:kern w:val="24"/>
          <w:sz w:val="24"/>
          <w:szCs w:val="24"/>
        </w:rPr>
        <w:t> ;</w:t>
      </w:r>
    </w:p>
    <w:p w14:paraId="61FCD1FA" w14:textId="7A5B4467" w:rsidR="00836558" w:rsidRPr="001374DC" w:rsidRDefault="00836558" w:rsidP="00CB0FF1">
      <w:pPr>
        <w:pStyle w:val="Paragraphedeliste"/>
        <w:numPr>
          <w:ilvl w:val="0"/>
          <w:numId w:val="85"/>
        </w:numPr>
        <w:tabs>
          <w:tab w:val="left" w:pos="0"/>
        </w:tabs>
        <w:suppressAutoHyphens/>
        <w:spacing w:before="60" w:line="300" w:lineRule="auto"/>
        <w:ind w:left="1135" w:hanging="284"/>
        <w:contextualSpacing w:val="0"/>
        <w:rPr>
          <w:rFonts w:ascii="Times New Roman" w:hAnsi="Times New Roman" w:cs="Times New Roman"/>
          <w:kern w:val="24"/>
          <w:sz w:val="24"/>
          <w:szCs w:val="24"/>
        </w:rPr>
      </w:pPr>
      <w:r w:rsidRPr="001374DC">
        <w:rPr>
          <w:rFonts w:ascii="Times New Roman" w:hAnsi="Times New Roman" w:cs="Times New Roman"/>
          <w:kern w:val="24"/>
          <w:sz w:val="24"/>
          <w:szCs w:val="24"/>
        </w:rPr>
        <w:t>Les instruments de financement sans contrepartie et sans but lucratif ;</w:t>
      </w:r>
    </w:p>
    <w:p w14:paraId="6CDB9B32" w14:textId="596DB0E0" w:rsidR="002760B2" w:rsidRPr="001374DC" w:rsidRDefault="002760B2" w:rsidP="00CB0FF1">
      <w:pPr>
        <w:pStyle w:val="Paragraphedeliste"/>
        <w:numPr>
          <w:ilvl w:val="0"/>
          <w:numId w:val="85"/>
        </w:numPr>
        <w:tabs>
          <w:tab w:val="left" w:pos="0"/>
        </w:tabs>
        <w:suppressAutoHyphens/>
        <w:spacing w:before="60" w:line="300" w:lineRule="auto"/>
        <w:ind w:left="1135" w:hanging="284"/>
        <w:contextualSpacing w:val="0"/>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 </w:t>
      </w:r>
      <w:r w:rsidR="00836558" w:rsidRPr="001374DC">
        <w:rPr>
          <w:rFonts w:ascii="Times New Roman" w:hAnsi="Times New Roman" w:cs="Times New Roman"/>
          <w:kern w:val="24"/>
          <w:sz w:val="24"/>
          <w:szCs w:val="24"/>
        </w:rPr>
        <w:t>L</w:t>
      </w:r>
      <w:r w:rsidRPr="001374DC">
        <w:rPr>
          <w:rFonts w:ascii="Times New Roman" w:hAnsi="Times New Roman" w:cs="Times New Roman"/>
          <w:kern w:val="24"/>
          <w:sz w:val="24"/>
          <w:szCs w:val="24"/>
        </w:rPr>
        <w:t xml:space="preserve">es instruments financiers échangés sur le marché de capitaux </w:t>
      </w:r>
      <w:r w:rsidR="009C321F"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s.</w:t>
      </w:r>
      <w:bookmarkStart w:id="278" w:name="_Toc33263228"/>
      <w:bookmarkStart w:id="279" w:name="_Toc37664480"/>
      <w:bookmarkStart w:id="280" w:name="_Toc37666325"/>
      <w:bookmarkEnd w:id="278"/>
      <w:bookmarkEnd w:id="279"/>
      <w:bookmarkEnd w:id="280"/>
    </w:p>
    <w:p w14:paraId="3FDDC247" w14:textId="77777777" w:rsidR="002760B2" w:rsidRPr="001374DC" w:rsidRDefault="00AF30E7" w:rsidP="001374DC">
      <w:pPr>
        <w:pStyle w:val="Titre3"/>
        <w:keepNext w:val="0"/>
        <w:keepLines w:val="0"/>
        <w:spacing w:before="100" w:beforeAutospacing="1" w:after="120" w:line="300" w:lineRule="auto"/>
        <w:ind w:firstLine="709"/>
        <w:rPr>
          <w:kern w:val="24"/>
          <w:sz w:val="28"/>
          <w:szCs w:val="28"/>
        </w:rPr>
      </w:pPr>
      <w:bookmarkStart w:id="281" w:name="_Toc54363214"/>
      <w:bookmarkStart w:id="282" w:name="_Toc57230114"/>
      <w:bookmarkStart w:id="283" w:name="_Toc57881234"/>
      <w:bookmarkStart w:id="284" w:name="_Toc57900704"/>
      <w:bookmarkStart w:id="285" w:name="_Toc58606033"/>
      <w:bookmarkStart w:id="286" w:name="_Toc58606230"/>
      <w:bookmarkStart w:id="287" w:name="_Toc58606433"/>
      <w:bookmarkStart w:id="288" w:name="_Toc61263435"/>
      <w:bookmarkStart w:id="289" w:name="_Toc33263229"/>
      <w:bookmarkStart w:id="290" w:name="_Toc37664481"/>
      <w:bookmarkStart w:id="291" w:name="_Toc37666326"/>
      <w:bookmarkStart w:id="292" w:name="_Toc54363215"/>
      <w:bookmarkStart w:id="293" w:name="_Toc58606231"/>
      <w:bookmarkStart w:id="294" w:name="_Toc61263436"/>
      <w:bookmarkStart w:id="295" w:name="_Toc182298634"/>
      <w:bookmarkEnd w:id="281"/>
      <w:bookmarkEnd w:id="282"/>
      <w:bookmarkEnd w:id="283"/>
      <w:bookmarkEnd w:id="284"/>
      <w:bookmarkEnd w:id="285"/>
      <w:bookmarkEnd w:id="286"/>
      <w:bookmarkEnd w:id="287"/>
      <w:bookmarkEnd w:id="288"/>
      <w:r w:rsidRPr="001374DC">
        <w:rPr>
          <w:kern w:val="24"/>
          <w:sz w:val="28"/>
          <w:szCs w:val="28"/>
        </w:rPr>
        <w:t xml:space="preserve">2.1- </w:t>
      </w:r>
      <w:r w:rsidR="00CC5491" w:rsidRPr="001374DC">
        <w:rPr>
          <w:kern w:val="24"/>
          <w:sz w:val="28"/>
          <w:szCs w:val="28"/>
        </w:rPr>
        <w:t>M</w:t>
      </w:r>
      <w:r w:rsidR="002760B2" w:rsidRPr="001374DC">
        <w:rPr>
          <w:kern w:val="24"/>
          <w:sz w:val="28"/>
          <w:szCs w:val="28"/>
        </w:rPr>
        <w:t>odes de financement par participation</w:t>
      </w:r>
      <w:bookmarkEnd w:id="289"/>
      <w:bookmarkEnd w:id="290"/>
      <w:bookmarkEnd w:id="291"/>
      <w:bookmarkEnd w:id="292"/>
      <w:bookmarkEnd w:id="293"/>
      <w:bookmarkEnd w:id="294"/>
      <w:bookmarkEnd w:id="295"/>
    </w:p>
    <w:p w14:paraId="3972F409" w14:textId="77777777" w:rsidR="002760B2" w:rsidRPr="001374DC" w:rsidRDefault="002760B2" w:rsidP="001374DC">
      <w:pPr>
        <w:tabs>
          <w:tab w:val="left" w:pos="0"/>
        </w:tabs>
        <w:suppressAutoHyphens/>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Ces modes de financement reposent sur l’hypothèse d’une prise de risque par l’investisseur. Il s’agit d’une hypothèse où le financier (l’investisseur) et son client s’engagent ensemble dans un projet productif dont ils partagent les pertes et les profits. Le financement participatif peut s’exercer sous trois formes (</w:t>
      </w:r>
      <w:r w:rsidRPr="001374DC">
        <w:rPr>
          <w:rFonts w:ascii="Times New Roman" w:hAnsi="Times New Roman" w:cs="Times New Roman"/>
          <w:smallCaps/>
          <w:kern w:val="24"/>
          <w:sz w:val="24"/>
          <w:szCs w:val="24"/>
        </w:rPr>
        <w:t>Saadallah</w:t>
      </w:r>
      <w:r w:rsidRPr="001374DC">
        <w:rPr>
          <w:rFonts w:ascii="Times New Roman" w:hAnsi="Times New Roman" w:cs="Times New Roman"/>
          <w:kern w:val="24"/>
          <w:sz w:val="24"/>
          <w:szCs w:val="24"/>
        </w:rPr>
        <w:t>, 1998)</w:t>
      </w:r>
      <w:r w:rsidRPr="001374DC">
        <w:rPr>
          <w:rStyle w:val="Appelnotedebasdep"/>
          <w:rFonts w:ascii="Times New Roman" w:hAnsi="Times New Roman"/>
          <w:kern w:val="24"/>
          <w:sz w:val="24"/>
          <w:szCs w:val="24"/>
        </w:rPr>
        <w:footnoteReference w:id="104"/>
      </w:r>
      <w:r w:rsidRPr="001374DC">
        <w:rPr>
          <w:rFonts w:ascii="Times New Roman" w:hAnsi="Times New Roman" w:cs="Times New Roman"/>
          <w:kern w:val="24"/>
          <w:sz w:val="24"/>
          <w:szCs w:val="24"/>
        </w:rPr>
        <w:t> :</w:t>
      </w:r>
    </w:p>
    <w:p w14:paraId="0A08D9BC" w14:textId="77777777" w:rsidR="002760B2" w:rsidRPr="001374DC" w:rsidRDefault="002760B2" w:rsidP="00CB0FF1">
      <w:pPr>
        <w:pStyle w:val="Paragraphedeliste"/>
        <w:numPr>
          <w:ilvl w:val="0"/>
          <w:numId w:val="3"/>
        </w:numPr>
        <w:tabs>
          <w:tab w:val="left" w:pos="0"/>
          <w:tab w:val="left" w:pos="284"/>
          <w:tab w:val="left" w:pos="1276"/>
        </w:tabs>
        <w:suppressAutoHyphens/>
        <w:spacing w:before="60" w:line="300" w:lineRule="auto"/>
        <w:ind w:left="1135" w:hanging="284"/>
        <w:contextualSpacing w:val="0"/>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Le partage de pertes et des profits. C’est le cas de la </w:t>
      </w:r>
      <w:r w:rsidRPr="001374DC">
        <w:rPr>
          <w:rFonts w:ascii="Times New Roman" w:hAnsi="Times New Roman" w:cs="Times New Roman"/>
          <w:i/>
          <w:iCs/>
          <w:kern w:val="24"/>
          <w:sz w:val="24"/>
          <w:szCs w:val="24"/>
        </w:rPr>
        <w:t>moucharaka</w:t>
      </w:r>
      <w:r w:rsidR="00923FFC" w:rsidRPr="001374DC">
        <w:rPr>
          <w:rFonts w:ascii="Times New Roman" w:hAnsi="Times New Roman" w:cs="Times New Roman"/>
          <w:i/>
          <w:iCs/>
          <w:kern w:val="24"/>
          <w:sz w:val="24"/>
          <w:szCs w:val="24"/>
        </w:rPr>
        <w:t> </w:t>
      </w:r>
      <w:r w:rsidR="00923FFC" w:rsidRPr="001374DC">
        <w:rPr>
          <w:rFonts w:ascii="Times New Roman" w:hAnsi="Times New Roman" w:cs="Times New Roman"/>
          <w:kern w:val="24"/>
          <w:sz w:val="24"/>
          <w:szCs w:val="24"/>
        </w:rPr>
        <w:t>;</w:t>
      </w:r>
    </w:p>
    <w:p w14:paraId="1095BA52" w14:textId="77777777" w:rsidR="002760B2" w:rsidRPr="001374DC" w:rsidRDefault="002760B2" w:rsidP="00CB0FF1">
      <w:pPr>
        <w:pStyle w:val="Paragraphedeliste"/>
        <w:numPr>
          <w:ilvl w:val="0"/>
          <w:numId w:val="3"/>
        </w:numPr>
        <w:tabs>
          <w:tab w:val="left" w:pos="0"/>
          <w:tab w:val="left" w:pos="284"/>
          <w:tab w:val="left" w:pos="1276"/>
        </w:tabs>
        <w:suppressAutoHyphens/>
        <w:spacing w:before="60" w:line="300" w:lineRule="auto"/>
        <w:ind w:left="1135" w:hanging="284"/>
        <w:contextualSpacing w:val="0"/>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Le partage des profits. C’est le cas de la </w:t>
      </w:r>
      <w:r w:rsidR="004A4E16" w:rsidRPr="001374DC">
        <w:rPr>
          <w:rFonts w:ascii="Times New Roman" w:hAnsi="Times New Roman" w:cs="Times New Roman"/>
          <w:i/>
          <w:kern w:val="24"/>
          <w:sz w:val="24"/>
          <w:szCs w:val="24"/>
        </w:rPr>
        <w:t>moudaraba</w:t>
      </w:r>
      <w:r w:rsidR="00923FFC" w:rsidRPr="001374DC">
        <w:rPr>
          <w:rFonts w:ascii="Times New Roman" w:hAnsi="Times New Roman" w:cs="Times New Roman"/>
          <w:i/>
          <w:kern w:val="24"/>
          <w:sz w:val="24"/>
          <w:szCs w:val="24"/>
        </w:rPr>
        <w:t> </w:t>
      </w:r>
      <w:r w:rsidR="00923FFC" w:rsidRPr="001374DC">
        <w:rPr>
          <w:rFonts w:ascii="Times New Roman" w:hAnsi="Times New Roman" w:cs="Times New Roman"/>
          <w:kern w:val="24"/>
          <w:sz w:val="24"/>
          <w:szCs w:val="24"/>
        </w:rPr>
        <w:t>;</w:t>
      </w:r>
    </w:p>
    <w:p w14:paraId="5B199808" w14:textId="77777777" w:rsidR="002760B2" w:rsidRPr="001374DC" w:rsidRDefault="002760B2" w:rsidP="00CB0FF1">
      <w:pPr>
        <w:pStyle w:val="Paragraphedeliste"/>
        <w:numPr>
          <w:ilvl w:val="0"/>
          <w:numId w:val="3"/>
        </w:numPr>
        <w:tabs>
          <w:tab w:val="left" w:pos="0"/>
          <w:tab w:val="left" w:pos="284"/>
          <w:tab w:val="left" w:pos="1276"/>
        </w:tabs>
        <w:suppressAutoHyphens/>
        <w:spacing w:before="60" w:line="300" w:lineRule="auto"/>
        <w:ind w:left="1135" w:hanging="284"/>
        <w:contextualSpacing w:val="0"/>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Le partage du produit comme dans la </w:t>
      </w:r>
      <w:r w:rsidRPr="001374DC">
        <w:rPr>
          <w:rFonts w:ascii="Times New Roman" w:hAnsi="Times New Roman" w:cs="Times New Roman"/>
          <w:i/>
          <w:kern w:val="24"/>
          <w:sz w:val="24"/>
          <w:szCs w:val="24"/>
        </w:rPr>
        <w:t>mouzara</w:t>
      </w:r>
      <w:r w:rsidR="00D85BC5" w:rsidRPr="001374DC">
        <w:rPr>
          <w:rFonts w:ascii="Times New Roman" w:hAnsi="Times New Roman" w:cs="Times New Roman"/>
          <w:i/>
          <w:kern w:val="24"/>
          <w:sz w:val="24"/>
          <w:szCs w:val="24"/>
        </w:rPr>
        <w:t>a'</w:t>
      </w:r>
      <w:r w:rsidRPr="001374DC">
        <w:rPr>
          <w:rFonts w:ascii="Times New Roman" w:hAnsi="Times New Roman" w:cs="Times New Roman"/>
          <w:kern w:val="24"/>
          <w:sz w:val="24"/>
          <w:szCs w:val="24"/>
        </w:rPr>
        <w:t>.</w:t>
      </w:r>
    </w:p>
    <w:p w14:paraId="7FEA463E" w14:textId="77777777" w:rsidR="002760B2" w:rsidRPr="001374DC" w:rsidRDefault="00AF30E7" w:rsidP="001374DC">
      <w:pPr>
        <w:pStyle w:val="Titre4"/>
        <w:keepNext w:val="0"/>
        <w:suppressAutoHyphens/>
        <w:spacing w:before="100" w:beforeAutospacing="1" w:after="120" w:line="300" w:lineRule="auto"/>
        <w:ind w:firstLine="709"/>
        <w:rPr>
          <w:kern w:val="24"/>
        </w:rPr>
      </w:pPr>
      <w:bookmarkStart w:id="296" w:name="_Toc33263230"/>
      <w:bookmarkStart w:id="297" w:name="_Toc37664482"/>
      <w:bookmarkStart w:id="298" w:name="_Toc37666327"/>
      <w:bookmarkStart w:id="299" w:name="_Toc54363216"/>
      <w:bookmarkStart w:id="300" w:name="_Toc58606232"/>
      <w:bookmarkStart w:id="301" w:name="_Toc61263437"/>
      <w:bookmarkStart w:id="302" w:name="_Toc182298635"/>
      <w:r w:rsidRPr="001374DC">
        <w:rPr>
          <w:kern w:val="24"/>
        </w:rPr>
        <w:t xml:space="preserve">2.1.1- </w:t>
      </w:r>
      <w:r w:rsidR="00CC5491" w:rsidRPr="001374DC">
        <w:rPr>
          <w:i/>
          <w:iCs/>
          <w:kern w:val="24"/>
        </w:rPr>
        <w:t>M</w:t>
      </w:r>
      <w:r w:rsidR="002760B2" w:rsidRPr="001374DC">
        <w:rPr>
          <w:i/>
          <w:iCs/>
          <w:kern w:val="24"/>
        </w:rPr>
        <w:t>oucharaka</w:t>
      </w:r>
      <w:bookmarkEnd w:id="296"/>
      <w:bookmarkEnd w:id="297"/>
      <w:bookmarkEnd w:id="298"/>
      <w:bookmarkEnd w:id="299"/>
      <w:bookmarkEnd w:id="300"/>
      <w:bookmarkEnd w:id="301"/>
      <w:bookmarkEnd w:id="302"/>
    </w:p>
    <w:p w14:paraId="5995A279" w14:textId="562AA028" w:rsidR="002760B2" w:rsidRPr="001374DC" w:rsidRDefault="002760B2" w:rsidP="001374DC">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Aux yeux de la </w:t>
      </w:r>
      <w:r w:rsidR="00567A13" w:rsidRPr="001374DC">
        <w:rPr>
          <w:rFonts w:asciiTheme="majorBidi" w:eastAsia="Times New Roman" w:hAnsiTheme="majorBidi" w:cstheme="majorBidi"/>
          <w:i/>
          <w:iCs/>
          <w:color w:val="000000" w:themeColor="text1"/>
          <w:kern w:val="24"/>
          <w:sz w:val="24"/>
          <w:szCs w:val="24"/>
          <w:lang w:eastAsia="fr-FR"/>
        </w:rPr>
        <w:t>Shariah</w:t>
      </w:r>
      <w:r w:rsidRPr="001374DC">
        <w:rPr>
          <w:rFonts w:ascii="Times New Roman" w:hAnsi="Times New Roman" w:cs="Times New Roman"/>
          <w:kern w:val="24"/>
          <w:sz w:val="24"/>
          <w:szCs w:val="24"/>
        </w:rPr>
        <w:t xml:space="preserve">, la </w:t>
      </w:r>
      <w:r w:rsidRPr="001374DC">
        <w:rPr>
          <w:rFonts w:ascii="Times New Roman" w:hAnsi="Times New Roman" w:cs="Times New Roman"/>
          <w:i/>
          <w:iCs/>
          <w:kern w:val="24"/>
          <w:sz w:val="24"/>
          <w:szCs w:val="24"/>
        </w:rPr>
        <w:t>moucharaka</w:t>
      </w:r>
      <w:r w:rsidRPr="001374DC">
        <w:rPr>
          <w:rFonts w:ascii="Times New Roman" w:hAnsi="Times New Roman" w:cs="Times New Roman"/>
          <w:kern w:val="24"/>
          <w:sz w:val="24"/>
          <w:szCs w:val="24"/>
        </w:rPr>
        <w:t xml:space="preserve"> est la forme la plus désirée dans le domaine du financement. Cette forme répond à tous les éléments essentiels promulgués par la </w:t>
      </w:r>
      <w:r w:rsidR="001F5C83" w:rsidRPr="001374DC">
        <w:rPr>
          <w:rFonts w:asciiTheme="majorBidi" w:eastAsia="Times New Roman" w:hAnsiTheme="majorBidi" w:cstheme="majorBidi"/>
          <w:i/>
          <w:iCs/>
          <w:color w:val="000000" w:themeColor="text1"/>
          <w:kern w:val="24"/>
          <w:sz w:val="24"/>
          <w:szCs w:val="24"/>
          <w:lang w:eastAsia="fr-FR"/>
        </w:rPr>
        <w:t>Shariah</w:t>
      </w:r>
      <w:r w:rsidRPr="001374DC">
        <w:rPr>
          <w:rFonts w:ascii="Times New Roman" w:hAnsi="Times New Roman" w:cs="Times New Roman"/>
          <w:kern w:val="24"/>
          <w:sz w:val="24"/>
          <w:szCs w:val="24"/>
        </w:rPr>
        <w:t xml:space="preserve"> comme l’absence du taux d’intérêt, la présence du risque, le principe des partages de profits et des pertes et la connexion directe de l’investissement du capital à l’actif sous-jacent. Ce mode de financement est considéré comme le plus conforme à la </w:t>
      </w:r>
      <w:r w:rsidR="00567A13" w:rsidRPr="001374DC">
        <w:rPr>
          <w:rFonts w:asciiTheme="majorBidi" w:eastAsia="Times New Roman" w:hAnsiTheme="majorBidi" w:cstheme="majorBidi"/>
          <w:i/>
          <w:iCs/>
          <w:color w:val="000000" w:themeColor="text1"/>
          <w:kern w:val="24"/>
          <w:sz w:val="24"/>
          <w:szCs w:val="24"/>
          <w:lang w:eastAsia="fr-FR"/>
        </w:rPr>
        <w:t>Shariah</w:t>
      </w:r>
      <w:r w:rsidR="00567A13" w:rsidRPr="001374DC">
        <w:rPr>
          <w:rStyle w:val="Appelnotedebasdep"/>
          <w:rFonts w:ascii="Times New Roman" w:hAnsi="Times New Roman"/>
          <w:kern w:val="24"/>
          <w:sz w:val="24"/>
          <w:szCs w:val="24"/>
        </w:rPr>
        <w:t xml:space="preserve"> </w:t>
      </w:r>
      <w:r w:rsidRPr="001374DC">
        <w:rPr>
          <w:rStyle w:val="Appelnotedebasdep"/>
          <w:rFonts w:ascii="Times New Roman" w:hAnsi="Times New Roman"/>
          <w:kern w:val="24"/>
          <w:sz w:val="24"/>
          <w:szCs w:val="24"/>
        </w:rPr>
        <w:footnoteReference w:id="105"/>
      </w:r>
      <w:r w:rsidRPr="001374DC">
        <w:rPr>
          <w:rFonts w:ascii="Times New Roman" w:hAnsi="Times New Roman" w:cs="Times New Roman"/>
          <w:kern w:val="24"/>
          <w:sz w:val="24"/>
          <w:szCs w:val="24"/>
        </w:rPr>
        <w:t>.</w:t>
      </w:r>
    </w:p>
    <w:p w14:paraId="5C86CFCD" w14:textId="77777777" w:rsidR="00852BA7" w:rsidRPr="001374DC" w:rsidRDefault="002760B2" w:rsidP="001374DC">
      <w:pPr>
        <w:tabs>
          <w:tab w:val="left" w:pos="0"/>
        </w:tabs>
        <w:suppressAutoHyphens/>
        <w:spacing w:before="120" w:after="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lastRenderedPageBreak/>
        <w:t>Ce mode de financement implique la participation de deux ou plusieurs parties au capital d’une même affaire. La banque contribue ainsi au financement de projets sur demande d’une ou plusieurs parties qui ne disposent pas de moyens suffisants pour lancer l’affaire. Le risque du projet est réparti entre les différentes parties. Ainsi les pertes éventuelles seront réparties suivant l’apport de chacun. Les profits sont partagés suivant des ratios préétablis indépe</w:t>
      </w:r>
      <w:r w:rsidR="0049344B" w:rsidRPr="001374DC">
        <w:rPr>
          <w:rFonts w:ascii="Times New Roman" w:hAnsi="Times New Roman" w:cs="Times New Roman"/>
          <w:kern w:val="24"/>
          <w:sz w:val="24"/>
          <w:szCs w:val="24"/>
        </w:rPr>
        <w:t>ndamment des apports initiaux.</w:t>
      </w:r>
    </w:p>
    <w:p w14:paraId="3ADECF21" w14:textId="77777777" w:rsidR="00A8210D" w:rsidRPr="001374DC" w:rsidRDefault="00E41613" w:rsidP="00A71500">
      <w:pPr>
        <w:pStyle w:val="Titre5"/>
        <w:keepNext w:val="0"/>
        <w:keepLines w:val="0"/>
        <w:suppressAutoHyphens/>
        <w:spacing w:before="100" w:beforeAutospacing="1" w:after="120" w:line="300" w:lineRule="auto"/>
        <w:ind w:firstLine="709"/>
        <w:rPr>
          <w:rFonts w:asciiTheme="majorBidi" w:hAnsiTheme="majorBidi"/>
          <w:b/>
          <w:bCs/>
          <w:color w:val="auto"/>
          <w:kern w:val="24"/>
          <w:sz w:val="24"/>
          <w:szCs w:val="24"/>
        </w:rPr>
      </w:pPr>
      <w:bookmarkStart w:id="303" w:name="_Toc182298636"/>
      <w:r w:rsidRPr="001374DC">
        <w:rPr>
          <w:rFonts w:asciiTheme="majorBidi" w:hAnsiTheme="majorBidi"/>
          <w:b/>
          <w:bCs/>
          <w:color w:val="auto"/>
          <w:kern w:val="24"/>
          <w:sz w:val="24"/>
          <w:szCs w:val="24"/>
        </w:rPr>
        <w:t xml:space="preserve">2.1.1.1- </w:t>
      </w:r>
      <w:r w:rsidR="00A8210D" w:rsidRPr="001374DC">
        <w:rPr>
          <w:rFonts w:asciiTheme="majorBidi" w:hAnsiTheme="majorBidi"/>
          <w:b/>
          <w:bCs/>
          <w:color w:val="auto"/>
          <w:kern w:val="24"/>
          <w:sz w:val="24"/>
          <w:szCs w:val="24"/>
        </w:rPr>
        <w:t xml:space="preserve">Définition de la </w:t>
      </w:r>
      <w:r w:rsidR="00A8210D" w:rsidRPr="001374DC">
        <w:rPr>
          <w:rFonts w:asciiTheme="majorBidi" w:hAnsiTheme="majorBidi"/>
          <w:b/>
          <w:bCs/>
          <w:i/>
          <w:iCs/>
          <w:color w:val="auto"/>
          <w:kern w:val="24"/>
          <w:sz w:val="24"/>
          <w:szCs w:val="24"/>
        </w:rPr>
        <w:t>moucharaka</w:t>
      </w:r>
      <w:bookmarkEnd w:id="303"/>
    </w:p>
    <w:p w14:paraId="10BCEECC" w14:textId="77777777" w:rsidR="00ED3F2E" w:rsidRPr="001374DC" w:rsidRDefault="002760B2" w:rsidP="001374DC">
      <w:pPr>
        <w:tabs>
          <w:tab w:val="left" w:pos="0"/>
        </w:tabs>
        <w:suppressAutoHyphens/>
        <w:autoSpaceDE w:val="0"/>
        <w:autoSpaceDN w:val="0"/>
        <w:adjustRightInd w:val="0"/>
        <w:spacing w:before="120" w:line="300" w:lineRule="auto"/>
        <w:ind w:firstLine="709"/>
        <w:rPr>
          <w:rFonts w:asciiTheme="majorBidi" w:hAnsiTheme="majorBidi" w:cstheme="majorBidi"/>
          <w:i/>
          <w:iCs/>
          <w:color w:val="000000"/>
          <w:kern w:val="24"/>
          <w:shd w:val="clear" w:color="auto" w:fill="FFFFFF"/>
        </w:rPr>
      </w:pPr>
      <w:r w:rsidRPr="001374DC">
        <w:rPr>
          <w:rFonts w:ascii="Times New Roman" w:hAnsi="Times New Roman" w:cs="Times New Roman"/>
          <w:kern w:val="24"/>
          <w:sz w:val="24"/>
          <w:szCs w:val="24"/>
        </w:rPr>
        <w:t xml:space="preserve">Le mot </w:t>
      </w:r>
      <w:r w:rsidRPr="001374DC">
        <w:rPr>
          <w:rFonts w:ascii="Times New Roman" w:hAnsi="Times New Roman" w:cs="Times New Roman"/>
          <w:i/>
          <w:iCs/>
          <w:kern w:val="24"/>
          <w:sz w:val="24"/>
          <w:szCs w:val="24"/>
        </w:rPr>
        <w:t>moucharaka</w:t>
      </w:r>
      <w:r w:rsidRPr="001374DC">
        <w:rPr>
          <w:rFonts w:ascii="Times New Roman" w:hAnsi="Times New Roman" w:cs="Times New Roman"/>
          <w:kern w:val="24"/>
          <w:sz w:val="24"/>
          <w:szCs w:val="24"/>
        </w:rPr>
        <w:t xml:space="preserve"> vient du mot arabe </w:t>
      </w:r>
      <w:r w:rsidRPr="001374DC">
        <w:rPr>
          <w:rFonts w:ascii="Times New Roman" w:hAnsi="Times New Roman" w:cs="Times New Roman"/>
          <w:i/>
          <w:iCs/>
          <w:kern w:val="24"/>
          <w:sz w:val="24"/>
          <w:szCs w:val="24"/>
        </w:rPr>
        <w:t>shirkah</w:t>
      </w:r>
      <w:r w:rsidRPr="001374DC">
        <w:rPr>
          <w:rFonts w:ascii="Times New Roman" w:hAnsi="Times New Roman" w:cs="Times New Roman"/>
          <w:kern w:val="24"/>
          <w:sz w:val="24"/>
          <w:szCs w:val="24"/>
        </w:rPr>
        <w:t xml:space="preserve"> qui signifie participation ou association. Cette technique a été utilisée pendant la période pré</w:t>
      </w:r>
      <w:r w:rsidR="00505EDD"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 par les commerçants de la Mecque ainsi que par les marchands juifs.</w:t>
      </w:r>
      <w:r w:rsidR="003F6BC3" w:rsidRPr="001374DC">
        <w:rPr>
          <w:rFonts w:ascii="Times New Roman" w:hAnsi="Times New Roman" w:cs="Times New Roman"/>
          <w:kern w:val="24"/>
          <w:sz w:val="24"/>
          <w:szCs w:val="24"/>
        </w:rPr>
        <w:t xml:space="preserve"> </w:t>
      </w:r>
    </w:p>
    <w:p w14:paraId="3B21B85D" w14:textId="77777777" w:rsidR="002760B2" w:rsidRPr="001374DC" w:rsidRDefault="002760B2" w:rsidP="001374DC">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Par définition</w:t>
      </w:r>
      <w:r w:rsidR="000E1009" w:rsidRPr="001374DC">
        <w:rPr>
          <w:rFonts w:ascii="Times New Roman" w:hAnsi="Times New Roman" w:cs="Times New Roman"/>
          <w:kern w:val="24"/>
          <w:sz w:val="24"/>
          <w:szCs w:val="24"/>
        </w:rPr>
        <w:t>,</w:t>
      </w:r>
      <w:r w:rsidRPr="001374DC">
        <w:rPr>
          <w:rFonts w:ascii="Times New Roman" w:hAnsi="Times New Roman" w:cs="Times New Roman"/>
          <w:kern w:val="24"/>
          <w:sz w:val="24"/>
          <w:szCs w:val="24"/>
        </w:rPr>
        <w:t xml:space="preserve"> la </w:t>
      </w:r>
      <w:r w:rsidRPr="001374DC">
        <w:rPr>
          <w:rFonts w:ascii="Times New Roman" w:hAnsi="Times New Roman" w:cs="Times New Roman"/>
          <w:i/>
          <w:iCs/>
          <w:kern w:val="24"/>
          <w:sz w:val="24"/>
          <w:szCs w:val="24"/>
        </w:rPr>
        <w:t>moucharaka</w:t>
      </w:r>
      <w:r w:rsidRPr="001374DC">
        <w:rPr>
          <w:rFonts w:ascii="Times New Roman" w:hAnsi="Times New Roman" w:cs="Times New Roman"/>
          <w:kern w:val="24"/>
          <w:sz w:val="24"/>
          <w:szCs w:val="24"/>
        </w:rPr>
        <w:t xml:space="preserve"> est une association entre deux ou plusieurs parties dans le cadre d</w:t>
      </w:r>
      <w:r w:rsidR="000E1009" w:rsidRPr="001374DC">
        <w:rPr>
          <w:rFonts w:ascii="Times New Roman" w:hAnsi="Times New Roman" w:cs="Times New Roman"/>
          <w:kern w:val="24"/>
          <w:sz w:val="24"/>
          <w:szCs w:val="24"/>
        </w:rPr>
        <w:t>'un projet spécifique (type j</w:t>
      </w:r>
      <w:r w:rsidRPr="001374DC">
        <w:rPr>
          <w:rFonts w:ascii="Times New Roman" w:hAnsi="Times New Roman" w:cs="Times New Roman"/>
          <w:kern w:val="24"/>
          <w:sz w:val="24"/>
          <w:szCs w:val="24"/>
        </w:rPr>
        <w:t>oint-venture) en vue de partager les profits et les pertes selon les règles dictées dans le contrat.</w:t>
      </w:r>
    </w:p>
    <w:p w14:paraId="17AAA0BA" w14:textId="77777777" w:rsidR="002760B2" w:rsidRPr="001374DC" w:rsidRDefault="002760B2" w:rsidP="001374DC">
      <w:pPr>
        <w:tabs>
          <w:tab w:val="left" w:pos="0"/>
        </w:tabs>
        <w:suppressAutoHyphens/>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La </w:t>
      </w:r>
      <w:r w:rsidRPr="001374DC">
        <w:rPr>
          <w:rFonts w:ascii="Times New Roman" w:hAnsi="Times New Roman" w:cs="Times New Roman"/>
          <w:i/>
          <w:iCs/>
          <w:kern w:val="24"/>
          <w:sz w:val="24"/>
          <w:szCs w:val="24"/>
        </w:rPr>
        <w:t>moucharaka</w:t>
      </w:r>
      <w:r w:rsidRPr="001374DC">
        <w:rPr>
          <w:rFonts w:ascii="Times New Roman" w:hAnsi="Times New Roman" w:cs="Times New Roman"/>
          <w:kern w:val="24"/>
          <w:sz w:val="24"/>
          <w:szCs w:val="24"/>
        </w:rPr>
        <w:t xml:space="preserve"> en tant que technique de financement est basée sur l</w:t>
      </w:r>
      <w:r w:rsidR="000E1009" w:rsidRPr="001374DC">
        <w:rPr>
          <w:rFonts w:ascii="Times New Roman" w:hAnsi="Times New Roman" w:cs="Times New Roman"/>
          <w:kern w:val="24"/>
          <w:sz w:val="24"/>
          <w:szCs w:val="24"/>
        </w:rPr>
        <w:t>e principe « PLS » (profit and loss s</w:t>
      </w:r>
      <w:r w:rsidRPr="001374DC">
        <w:rPr>
          <w:rFonts w:ascii="Times New Roman" w:hAnsi="Times New Roman" w:cs="Times New Roman"/>
          <w:kern w:val="24"/>
          <w:sz w:val="24"/>
          <w:szCs w:val="24"/>
        </w:rPr>
        <w:t>haring) qui signifie le partage des profits et des pertes, ce qui implique une juste répartition des risques entre les associés. Ce contrat peut êt</w:t>
      </w:r>
      <w:r w:rsidR="00A45490" w:rsidRPr="001374DC">
        <w:rPr>
          <w:rFonts w:ascii="Times New Roman" w:hAnsi="Times New Roman" w:cs="Times New Roman"/>
          <w:kern w:val="24"/>
          <w:sz w:val="24"/>
          <w:szCs w:val="24"/>
        </w:rPr>
        <w:t>re conçu de la façon suivante :</w:t>
      </w:r>
    </w:p>
    <w:p w14:paraId="07E4CA5A" w14:textId="77777777" w:rsidR="002760B2" w:rsidRPr="001374DC" w:rsidRDefault="002760B2" w:rsidP="001374DC">
      <w:pPr>
        <w:tabs>
          <w:tab w:val="left" w:pos="0"/>
        </w:tabs>
        <w:suppressAutoHyphens/>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 xml:space="preserve">Un, deux, ou plusieurs entrepreneurs approchent la banque </w:t>
      </w:r>
      <w:r w:rsidR="009C321F" w:rsidRPr="001374DC">
        <w:rPr>
          <w:rFonts w:ascii="Times New Roman" w:hAnsi="Times New Roman" w:cs="Times New Roman"/>
          <w:kern w:val="24"/>
          <w:sz w:val="24"/>
          <w:szCs w:val="24"/>
        </w:rPr>
        <w:t>i</w:t>
      </w:r>
      <w:r w:rsidR="003773C6" w:rsidRPr="001374DC">
        <w:rPr>
          <w:rFonts w:ascii="Times New Roman" w:hAnsi="Times New Roman" w:cs="Times New Roman"/>
          <w:kern w:val="24"/>
          <w:sz w:val="24"/>
          <w:szCs w:val="24"/>
        </w:rPr>
        <w:t>slamique</w:t>
      </w:r>
      <w:r w:rsidRPr="001374DC">
        <w:rPr>
          <w:rFonts w:ascii="Times New Roman" w:hAnsi="Times New Roman" w:cs="Times New Roman"/>
          <w:kern w:val="24"/>
          <w:sz w:val="24"/>
          <w:szCs w:val="24"/>
        </w:rPr>
        <w:t xml:space="preserve"> pour demander un financement d’un projet sur la base de la </w:t>
      </w:r>
      <w:r w:rsidRPr="001374DC">
        <w:rPr>
          <w:rFonts w:ascii="Times New Roman" w:hAnsi="Times New Roman" w:cs="Times New Roman"/>
          <w:i/>
          <w:iCs/>
          <w:kern w:val="24"/>
          <w:sz w:val="24"/>
          <w:szCs w:val="24"/>
        </w:rPr>
        <w:t>moucharaka</w:t>
      </w:r>
      <w:r w:rsidRPr="001374DC">
        <w:rPr>
          <w:rFonts w:ascii="Times New Roman" w:hAnsi="Times New Roman" w:cs="Times New Roman"/>
          <w:kern w:val="24"/>
          <w:sz w:val="24"/>
          <w:szCs w:val="24"/>
        </w:rPr>
        <w:t xml:space="preserve">. La banque avec le concours des autres partenaires procure le financement total qu’exige le projet. Tous les contractants ont un droit de regard sur la gestion du projet pour suivre la progression de l’activité en cours. Le partage des profits est fixé à l’avance selon un ratio spécifique indiqué dans le contrat et indépendamment des apports initiaux, alors que les pertes éventuelles sont partagées exactement au prorata des apports. La </w:t>
      </w:r>
      <w:r w:rsidRPr="00A71500">
        <w:rPr>
          <w:rFonts w:ascii="Times New Roman" w:hAnsi="Times New Roman" w:cs="Times New Roman"/>
          <w:b/>
          <w:bCs/>
          <w:kern w:val="24"/>
          <w:sz w:val="24"/>
          <w:szCs w:val="24"/>
        </w:rPr>
        <w:t>figure 03</w:t>
      </w:r>
      <w:r w:rsidRPr="001374DC">
        <w:rPr>
          <w:rFonts w:ascii="Times New Roman" w:hAnsi="Times New Roman" w:cs="Times New Roman"/>
          <w:kern w:val="24"/>
          <w:sz w:val="24"/>
          <w:szCs w:val="24"/>
        </w:rPr>
        <w:t xml:space="preserve"> résume le fonctionnement de ce mode de financement.</w:t>
      </w:r>
    </w:p>
    <w:p w14:paraId="6F339CCF" w14:textId="77777777" w:rsidR="00A45490" w:rsidRPr="001374DC" w:rsidRDefault="00A45490" w:rsidP="001374DC">
      <w:pPr>
        <w:tabs>
          <w:tab w:val="left" w:pos="0"/>
        </w:tabs>
        <w:suppressAutoHyphens/>
        <w:spacing w:before="120" w:line="300" w:lineRule="auto"/>
        <w:ind w:firstLine="709"/>
        <w:rPr>
          <w:rFonts w:ascii="Times New Roman" w:hAnsi="Times New Roman" w:cs="Times New Roman"/>
          <w:kern w:val="24"/>
          <w:sz w:val="24"/>
          <w:szCs w:val="24"/>
        </w:rPr>
      </w:pPr>
      <w:r w:rsidRPr="001374DC">
        <w:rPr>
          <w:rFonts w:ascii="Times New Roman" w:hAnsi="Times New Roman" w:cs="Times New Roman"/>
          <w:kern w:val="24"/>
          <w:sz w:val="24"/>
          <w:szCs w:val="24"/>
        </w:rPr>
        <w:t>Cette technique de financement peut être utilisée pour financer des immobilisations, le besoin de fonds de roulement</w:t>
      </w:r>
      <w:r w:rsidR="00962E4B" w:rsidRPr="001374DC">
        <w:rPr>
          <w:rFonts w:ascii="Times New Roman" w:hAnsi="Times New Roman" w:cs="Times New Roman"/>
          <w:kern w:val="24"/>
          <w:sz w:val="24"/>
          <w:szCs w:val="24"/>
        </w:rPr>
        <w:t xml:space="preserve"> </w:t>
      </w:r>
      <w:r w:rsidRPr="001374DC">
        <w:rPr>
          <w:rFonts w:ascii="Times New Roman" w:hAnsi="Times New Roman" w:cs="Times New Roman"/>
          <w:kern w:val="24"/>
          <w:sz w:val="24"/>
          <w:szCs w:val="24"/>
        </w:rPr>
        <w:t>d’un projet ou d’une firme dont l’activité peut être aussi bien industrielle que commerciale</w:t>
      </w:r>
      <w:r w:rsidRPr="001374DC">
        <w:rPr>
          <w:rStyle w:val="Appelnotedebasdep"/>
          <w:rFonts w:ascii="Times New Roman" w:hAnsi="Times New Roman"/>
          <w:kern w:val="24"/>
          <w:sz w:val="24"/>
          <w:szCs w:val="24"/>
        </w:rPr>
        <w:footnoteReference w:id="106"/>
      </w:r>
      <w:r w:rsidRPr="001374DC">
        <w:rPr>
          <w:rFonts w:ascii="Times New Roman" w:hAnsi="Times New Roman" w:cs="Times New Roman"/>
          <w:kern w:val="24"/>
          <w:sz w:val="24"/>
          <w:szCs w:val="24"/>
        </w:rPr>
        <w:t>.</w:t>
      </w:r>
    </w:p>
    <w:p w14:paraId="2A13A14B" w14:textId="5B680EEC" w:rsidR="00A034FC" w:rsidRPr="00A034FC" w:rsidRDefault="00C772CB" w:rsidP="00A034FC">
      <w:pPr>
        <w:keepNext/>
        <w:tabs>
          <w:tab w:val="left" w:pos="0"/>
        </w:tabs>
        <w:suppressAutoHyphens/>
        <w:spacing w:before="100" w:beforeAutospacing="1" w:after="120"/>
        <w:jc w:val="center"/>
        <w:rPr>
          <w:rFonts w:ascii="Times New Roman" w:hAnsi="Times New Roman" w:cs="Times New Roman"/>
          <w:b/>
          <w:bCs/>
          <w:i/>
          <w:iCs/>
          <w:sz w:val="24"/>
          <w:szCs w:val="24"/>
        </w:rPr>
      </w:pPr>
      <w:bookmarkStart w:id="304" w:name="_Toc57219411"/>
      <w:bookmarkStart w:id="305" w:name="_Toc115527414"/>
      <w:r w:rsidRPr="002B005F">
        <w:rPr>
          <w:rFonts w:ascii="Times New Roman" w:hAnsi="Times New Roman" w:cs="Times New Roman"/>
          <w:b/>
          <w:bCs/>
          <w:sz w:val="24"/>
          <w:szCs w:val="24"/>
        </w:rPr>
        <w:lastRenderedPageBreak/>
        <w:t xml:space="preserve">Figure </w:t>
      </w:r>
      <w:r w:rsidR="00B544E5">
        <w:rPr>
          <w:rFonts w:ascii="Times New Roman" w:hAnsi="Times New Roman" w:cs="Times New Roman"/>
          <w:b/>
          <w:bCs/>
          <w:sz w:val="24"/>
          <w:szCs w:val="24"/>
        </w:rPr>
        <w:fldChar w:fldCharType="begin"/>
      </w:r>
      <w:r w:rsidR="00BF1EB6">
        <w:rPr>
          <w:rFonts w:ascii="Times New Roman" w:hAnsi="Times New Roman" w:cs="Times New Roman"/>
          <w:b/>
          <w:bCs/>
          <w:sz w:val="24"/>
          <w:szCs w:val="24"/>
        </w:rPr>
        <w:instrText xml:space="preserve"> SEQ Figure \* ARABIC </w:instrText>
      </w:r>
      <w:r w:rsidR="00B544E5">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3</w:t>
      </w:r>
      <w:r w:rsidR="00B544E5">
        <w:rPr>
          <w:rFonts w:ascii="Times New Roman" w:hAnsi="Times New Roman" w:cs="Times New Roman"/>
          <w:b/>
          <w:bCs/>
          <w:sz w:val="24"/>
          <w:szCs w:val="24"/>
        </w:rPr>
        <w:fldChar w:fldCharType="end"/>
      </w:r>
      <w:r w:rsidR="00007347" w:rsidRPr="002B005F">
        <w:rPr>
          <w:rFonts w:ascii="Times New Roman" w:hAnsi="Times New Roman" w:cs="Times New Roman"/>
          <w:b/>
          <w:bCs/>
          <w:sz w:val="24"/>
          <w:szCs w:val="24"/>
        </w:rPr>
        <w:t>-</w:t>
      </w:r>
      <w:r w:rsidRPr="002B005F">
        <w:rPr>
          <w:rFonts w:ascii="Times New Roman" w:hAnsi="Times New Roman" w:cs="Times New Roman"/>
          <w:b/>
          <w:bCs/>
          <w:sz w:val="24"/>
          <w:szCs w:val="24"/>
        </w:rPr>
        <w:t xml:space="preserve"> Le contrat </w:t>
      </w:r>
      <w:r w:rsidR="00007347" w:rsidRPr="002B005F">
        <w:rPr>
          <w:rFonts w:ascii="Times New Roman" w:hAnsi="Times New Roman" w:cs="Times New Roman"/>
          <w:b/>
          <w:bCs/>
          <w:i/>
          <w:iCs/>
          <w:sz w:val="24"/>
          <w:szCs w:val="24"/>
        </w:rPr>
        <w:t>m</w:t>
      </w:r>
      <w:r w:rsidRPr="002B005F">
        <w:rPr>
          <w:rFonts w:ascii="Times New Roman" w:hAnsi="Times New Roman" w:cs="Times New Roman"/>
          <w:b/>
          <w:bCs/>
          <w:i/>
          <w:iCs/>
          <w:sz w:val="24"/>
          <w:szCs w:val="24"/>
        </w:rPr>
        <w:t>oucharaka</w:t>
      </w:r>
      <w:bookmarkEnd w:id="304"/>
      <w:bookmarkEnd w:id="305"/>
    </w:p>
    <w:p w14:paraId="4E1F89E5" w14:textId="721399C5" w:rsidR="00A034FC" w:rsidRPr="002B005F" w:rsidRDefault="002C5EFF" w:rsidP="00A034FC">
      <w:pPr>
        <w:keepNext/>
        <w:tabs>
          <w:tab w:val="left" w:pos="0"/>
        </w:tabs>
        <w:suppressAutoHyphens/>
        <w:spacing w:before="120" w:line="300" w:lineRule="auto"/>
        <w:rPr>
          <w:rFonts w:ascii="Times New Roman" w:hAnsi="Times New Roman" w:cs="Times New Roman"/>
          <w:b/>
          <w:bCs/>
          <w:i/>
          <w:iCs/>
          <w:sz w:val="24"/>
          <w:szCs w:val="24"/>
        </w:rPr>
      </w:pPr>
      <w:r>
        <w:rPr>
          <w:rFonts w:ascii="Times New Roman" w:hAnsi="Times New Roman" w:cs="Times New Roman"/>
          <w:b/>
          <w:bCs/>
          <w:i/>
          <w:iCs/>
          <w:noProof/>
          <w:lang w:eastAsia="fr-FR"/>
        </w:rPr>
        <mc:AlternateContent>
          <mc:Choice Requires="wps">
            <w:drawing>
              <wp:anchor distT="0" distB="0" distL="114300" distR="114300" simplePos="0" relativeHeight="251672576" behindDoc="0" locked="0" layoutInCell="1" allowOverlap="1" wp14:anchorId="7E7B51F8" wp14:editId="022C21A6">
                <wp:simplePos x="0" y="0"/>
                <wp:positionH relativeFrom="column">
                  <wp:posOffset>2024380</wp:posOffset>
                </wp:positionH>
                <wp:positionV relativeFrom="paragraph">
                  <wp:posOffset>61595</wp:posOffset>
                </wp:positionV>
                <wp:extent cx="1671955" cy="156210"/>
                <wp:effectExtent l="0" t="0" r="4445" b="0"/>
                <wp:wrapNone/>
                <wp:docPr id="95905407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156210"/>
                        </a:xfrm>
                        <a:prstGeom prst="rect">
                          <a:avLst/>
                        </a:prstGeom>
                        <a:solidFill>
                          <a:srgbClr val="FFFFFF"/>
                        </a:solidFill>
                        <a:ln w="9525">
                          <a:solidFill>
                            <a:srgbClr val="FFFFFF"/>
                          </a:solidFill>
                          <a:miter lim="800000"/>
                          <a:headEnd/>
                          <a:tailEnd/>
                        </a:ln>
                      </wps:spPr>
                      <wps:txbx>
                        <w:txbxContent>
                          <w:p w14:paraId="537C5C91" w14:textId="77777777" w:rsidR="009C2D83" w:rsidRPr="00335E13" w:rsidRDefault="009C2D83" w:rsidP="00CB0FF1">
                            <w:pPr>
                              <w:pStyle w:val="Paragraphedeliste"/>
                              <w:numPr>
                                <w:ilvl w:val="0"/>
                                <w:numId w:val="4"/>
                              </w:numPr>
                              <w:ind w:left="284" w:right="-4" w:hanging="284"/>
                              <w:rPr>
                                <w:rFonts w:ascii="Times New Roman" w:hAnsi="Times New Roman" w:cs="Times New Roman"/>
                                <w:sz w:val="20"/>
                                <w:szCs w:val="20"/>
                              </w:rPr>
                            </w:pPr>
                            <w:r w:rsidRPr="00335E13">
                              <w:rPr>
                                <w:rFonts w:ascii="Times New Roman" w:hAnsi="Times New Roman" w:cs="Times New Roman"/>
                                <w:sz w:val="20"/>
                                <w:szCs w:val="20"/>
                              </w:rPr>
                              <w:t xml:space="preserve">Contrat </w:t>
                            </w:r>
                            <w:r w:rsidRPr="001D7709">
                              <w:rPr>
                                <w:rFonts w:ascii="Times New Roman" w:hAnsi="Times New Roman" w:cs="Times New Roman"/>
                                <w:i/>
                                <w:iCs/>
                                <w:sz w:val="20"/>
                                <w:szCs w:val="20"/>
                              </w:rPr>
                              <w:t>Moucharaka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B51F8" id="Rectangle 53" o:spid="_x0000_s1033" style="position:absolute;left:0;text-align:left;margin-left:159.4pt;margin-top:4.85pt;width:131.65pt;height:1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" strokecolor="white">
                <v:textbox inset="0,0,0,0">
                  <w:txbxContent>
                    <w:p w14:paraId="537C5C91" w14:textId="77777777" w:rsidR="009C2D83" w:rsidRPr="00335E13" w:rsidRDefault="009C2D83" w:rsidP="00CB0FF1">
                      <w:pPr>
                        <w:pStyle w:val="Paragraphedeliste"/>
                        <w:numPr>
                          <w:ilvl w:val="0"/>
                          <w:numId w:val="4"/>
                        </w:numPr>
                        <w:ind w:left="284" w:right="-4" w:hanging="284"/>
                        <w:rPr>
                          <w:rFonts w:ascii="Times New Roman" w:hAnsi="Times New Roman" w:cs="Times New Roman"/>
                          <w:sz w:val="20"/>
                          <w:szCs w:val="20"/>
                        </w:rPr>
                      </w:pPr>
                      <w:r w:rsidRPr="00335E13">
                        <w:rPr>
                          <w:rFonts w:ascii="Times New Roman" w:hAnsi="Times New Roman" w:cs="Times New Roman"/>
                          <w:sz w:val="20"/>
                          <w:szCs w:val="20"/>
                        </w:rPr>
                        <w:t xml:space="preserve">Contrat </w:t>
                      </w:r>
                      <w:r w:rsidRPr="001D7709">
                        <w:rPr>
                          <w:rFonts w:ascii="Times New Roman" w:hAnsi="Times New Roman" w:cs="Times New Roman"/>
                          <w:i/>
                          <w:iCs/>
                          <w:sz w:val="20"/>
                          <w:szCs w:val="20"/>
                        </w:rPr>
                        <w:t>Moucharaka</w:t>
                      </w:r>
                    </w:p>
                  </w:txbxContent>
                </v:textbox>
              </v:rect>
            </w:pict>
          </mc:Fallback>
        </mc:AlternateContent>
      </w:r>
      <w:r>
        <w:rPr>
          <w:rFonts w:ascii="Times New Roman" w:hAnsi="Times New Roman" w:cs="Times New Roman"/>
          <w:b/>
          <w:bCs/>
          <w:i/>
          <w:iCs/>
          <w:noProof/>
          <w:lang w:eastAsia="fr-FR"/>
        </w:rPr>
        <mc:AlternateContent>
          <mc:Choice Requires="wps">
            <w:drawing>
              <wp:anchor distT="0" distB="0" distL="114300" distR="114300" simplePos="0" relativeHeight="251671552" behindDoc="0" locked="0" layoutInCell="1" allowOverlap="1" wp14:anchorId="5C04A3A8" wp14:editId="6B8A4ED0">
                <wp:simplePos x="0" y="0"/>
                <wp:positionH relativeFrom="column">
                  <wp:posOffset>1612265</wp:posOffset>
                </wp:positionH>
                <wp:positionV relativeFrom="paragraph">
                  <wp:posOffset>276860</wp:posOffset>
                </wp:positionV>
                <wp:extent cx="2247900" cy="635"/>
                <wp:effectExtent l="38100" t="76200" r="0" b="75565"/>
                <wp:wrapNone/>
                <wp:docPr id="959054071" name="Connecteur droit avec flèch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12FBD8" id="_x0000_t32" coordsize="21600,21600" o:spt="32" o:oned="t" path="m,l21600,21600e" filled="f">
                <v:path arrowok="t" fillok="f" o:connecttype="none"/>
                <o:lock v:ext="edit" shapetype="t"/>
              </v:shapetype>
              <v:shape id="Connecteur droit avec flèche 55" o:spid="_x0000_s1026" type="#_x0000_t32" style="position:absolute;margin-left:126.95pt;margin-top:21.8pt;width:177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">
                <v:stroke startarrow="block" endarrow="block"/>
              </v:shape>
            </w:pict>
          </mc:Fallback>
        </mc:AlternateContent>
      </w:r>
      <w:r>
        <w:rPr>
          <w:rFonts w:ascii="Times New Roman" w:hAnsi="Times New Roman" w:cs="Times New Roman"/>
          <w:b/>
          <w:bCs/>
          <w:i/>
          <w:iCs/>
          <w:noProof/>
          <w:lang w:eastAsia="fr-FR"/>
        </w:rPr>
        <mc:AlternateContent>
          <mc:Choice Requires="wps">
            <w:drawing>
              <wp:anchor distT="0" distB="0" distL="114300" distR="114300" simplePos="0" relativeHeight="251667456" behindDoc="0" locked="0" layoutInCell="1" allowOverlap="1" wp14:anchorId="39075AF1" wp14:editId="7F4A0C87">
                <wp:simplePos x="0" y="0"/>
                <wp:positionH relativeFrom="column">
                  <wp:posOffset>3860165</wp:posOffset>
                </wp:positionH>
                <wp:positionV relativeFrom="paragraph">
                  <wp:posOffset>21590</wp:posOffset>
                </wp:positionV>
                <wp:extent cx="1249045" cy="518795"/>
                <wp:effectExtent l="0" t="0" r="8255" b="0"/>
                <wp:wrapNone/>
                <wp:docPr id="959054070" name="Rectangle à coins arrondi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18795"/>
                        </a:xfrm>
                        <a:prstGeom prst="roundRect">
                          <a:avLst>
                            <a:gd name="adj" fmla="val 16667"/>
                          </a:avLst>
                        </a:prstGeom>
                        <a:solidFill>
                          <a:srgbClr val="FFFFFF"/>
                        </a:solidFill>
                        <a:ln w="9525">
                          <a:solidFill>
                            <a:srgbClr val="000000"/>
                          </a:solidFill>
                          <a:round/>
                          <a:headEnd/>
                          <a:tailEnd/>
                        </a:ln>
                      </wps:spPr>
                      <wps:txbx>
                        <w:txbxContent>
                          <w:p w14:paraId="1CB69168" w14:textId="77777777" w:rsidR="009C2D83" w:rsidRPr="00335E13" w:rsidRDefault="009C2D83" w:rsidP="00A034FC">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 xml:space="preserve">Banque </w:t>
                            </w:r>
                            <w:r>
                              <w:rPr>
                                <w:rFonts w:ascii="Times New Roman" w:hAnsi="Times New Roman" w:cs="Times New Roman"/>
                                <w:sz w:val="20"/>
                                <w:szCs w:val="20"/>
                              </w:rPr>
                              <w:t>Islamique</w:t>
                            </w:r>
                          </w:p>
                          <w:p w14:paraId="22F50C83" w14:textId="77777777" w:rsidR="009C2D83" w:rsidRPr="00335E13" w:rsidRDefault="009C2D83" w:rsidP="00A034FC">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Participation y %</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75AF1" id="Rectangle à coins arrondis 54" o:spid="_x0000_s1034" style="position:absolute;left:0;text-align:left;margin-left:303.95pt;margin-top:1.7pt;width:98.35pt;height:4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">
                <v:textbox inset="1mm,2mm,1mm,2mm">
                  <w:txbxContent>
                    <w:p w14:paraId="1CB69168" w14:textId="77777777" w:rsidR="009C2D83" w:rsidRPr="00335E13" w:rsidRDefault="009C2D83" w:rsidP="00A034FC">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 xml:space="preserve">Banque </w:t>
                      </w:r>
                      <w:r>
                        <w:rPr>
                          <w:rFonts w:ascii="Times New Roman" w:hAnsi="Times New Roman" w:cs="Times New Roman"/>
                          <w:sz w:val="20"/>
                          <w:szCs w:val="20"/>
                        </w:rPr>
                        <w:t>Islamique</w:t>
                      </w:r>
                    </w:p>
                    <w:p w14:paraId="22F50C83" w14:textId="77777777" w:rsidR="009C2D83" w:rsidRPr="00335E13" w:rsidRDefault="009C2D83" w:rsidP="00A034FC">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Participation y %</w:t>
                      </w:r>
                    </w:p>
                  </w:txbxContent>
                </v:textbox>
              </v:roundrect>
            </w:pict>
          </mc:Fallback>
        </mc:AlternateContent>
      </w:r>
      <w:r>
        <w:rPr>
          <w:rFonts w:ascii="Times New Roman" w:hAnsi="Times New Roman" w:cs="Times New Roman"/>
          <w:b/>
          <w:bCs/>
          <w:i/>
          <w:iCs/>
          <w:noProof/>
          <w:lang w:eastAsia="fr-FR"/>
        </w:rPr>
        <mc:AlternateContent>
          <mc:Choice Requires="wps">
            <w:drawing>
              <wp:anchor distT="0" distB="0" distL="114300" distR="114300" simplePos="0" relativeHeight="251666432" behindDoc="0" locked="0" layoutInCell="1" allowOverlap="1" wp14:anchorId="6A38B381" wp14:editId="135D9BD0">
                <wp:simplePos x="0" y="0"/>
                <wp:positionH relativeFrom="column">
                  <wp:posOffset>393065</wp:posOffset>
                </wp:positionH>
                <wp:positionV relativeFrom="paragraph">
                  <wp:posOffset>21590</wp:posOffset>
                </wp:positionV>
                <wp:extent cx="1219200" cy="518795"/>
                <wp:effectExtent l="0" t="0" r="0" b="0"/>
                <wp:wrapNone/>
                <wp:docPr id="959054069" name="Rectangle à coins arrondi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18795"/>
                        </a:xfrm>
                        <a:prstGeom prst="roundRect">
                          <a:avLst>
                            <a:gd name="adj" fmla="val 16667"/>
                          </a:avLst>
                        </a:prstGeom>
                        <a:solidFill>
                          <a:srgbClr val="FFFFFF"/>
                        </a:solidFill>
                        <a:ln w="9525">
                          <a:solidFill>
                            <a:srgbClr val="000000"/>
                          </a:solidFill>
                          <a:round/>
                          <a:headEnd/>
                          <a:tailEnd/>
                        </a:ln>
                      </wps:spPr>
                      <wps:txbx>
                        <w:txbxContent>
                          <w:p w14:paraId="16E77A39" w14:textId="77777777" w:rsidR="009C2D83" w:rsidRPr="00335E13" w:rsidRDefault="009C2D83" w:rsidP="00A034FC">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Client(s)</w:t>
                            </w:r>
                          </w:p>
                          <w:p w14:paraId="4948A71C" w14:textId="77777777" w:rsidR="009C2D83" w:rsidRPr="00335E13" w:rsidRDefault="009C2D83" w:rsidP="00A034FC">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Participation x %</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8B381" id="Rectangle à coins arrondis 52" o:spid="_x0000_s1035" style="position:absolute;left:0;text-align:left;margin-left:30.95pt;margin-top:1.7pt;width:96pt;height:4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">
                <v:textbox inset="1mm,2mm,1mm,2mm">
                  <w:txbxContent>
                    <w:p w14:paraId="16E77A39" w14:textId="77777777" w:rsidR="009C2D83" w:rsidRPr="00335E13" w:rsidRDefault="009C2D83" w:rsidP="00A034FC">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Client(s)</w:t>
                      </w:r>
                    </w:p>
                    <w:p w14:paraId="4948A71C" w14:textId="77777777" w:rsidR="009C2D83" w:rsidRPr="00335E13" w:rsidRDefault="009C2D83" w:rsidP="00A034FC">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Participation x %</w:t>
                      </w:r>
                    </w:p>
                  </w:txbxContent>
                </v:textbox>
              </v:roundrect>
            </w:pict>
          </mc:Fallback>
        </mc:AlternateContent>
      </w:r>
    </w:p>
    <w:p w14:paraId="2AF9F341" w14:textId="4DC39998" w:rsidR="00A034FC" w:rsidRPr="002B005F" w:rsidRDefault="002C5EFF" w:rsidP="00A034FC">
      <w:pPr>
        <w:keepNext/>
        <w:tabs>
          <w:tab w:val="left" w:pos="0"/>
        </w:tabs>
        <w:suppressAutoHyphens/>
        <w:spacing w:before="120" w:line="300" w:lineRule="auto"/>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85888" behindDoc="0" locked="0" layoutInCell="1" allowOverlap="1" wp14:anchorId="1C4B418B" wp14:editId="42017A74">
                <wp:simplePos x="0" y="0"/>
                <wp:positionH relativeFrom="column">
                  <wp:posOffset>-481965</wp:posOffset>
                </wp:positionH>
                <wp:positionV relativeFrom="paragraph">
                  <wp:posOffset>1412875</wp:posOffset>
                </wp:positionV>
                <wp:extent cx="2300605" cy="0"/>
                <wp:effectExtent l="62865" t="21590" r="60960" b="11430"/>
                <wp:wrapNone/>
                <wp:docPr id="959054068"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00605" cy="0"/>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4588B" id="Connecteur droit avec flèche 51" o:spid="_x0000_s1026" type="#_x0000_t32" style="position:absolute;margin-left:-37.95pt;margin-top:111.25pt;width:181.15pt;height:0;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" strokeweight="1pt">
                <v:stroke dashstyle="longDash" endarrow="block"/>
              </v:shape>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86912" behindDoc="0" locked="0" layoutInCell="1" allowOverlap="1" wp14:anchorId="0E1E37A2" wp14:editId="3AC6EFB3">
                <wp:simplePos x="0" y="0"/>
                <wp:positionH relativeFrom="column">
                  <wp:posOffset>3718560</wp:posOffset>
                </wp:positionH>
                <wp:positionV relativeFrom="paragraph">
                  <wp:posOffset>1402080</wp:posOffset>
                </wp:positionV>
                <wp:extent cx="2279015" cy="0"/>
                <wp:effectExtent l="61595" t="21590" r="62230" b="13970"/>
                <wp:wrapNone/>
                <wp:docPr id="959054067" name="Connecteur droit avec flèch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79015" cy="0"/>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AD1B2" id="Connecteur droit avec flèche 50" o:spid="_x0000_s1026" type="#_x0000_t32" style="position:absolute;margin-left:292.8pt;margin-top:110.4pt;width:179.45pt;height:0;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" strokeweight="1pt">
                <v:stroke dashstyle="longDash" endarrow="block"/>
              </v:shape>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84864" behindDoc="0" locked="0" layoutInCell="1" allowOverlap="1" wp14:anchorId="3848F5ED" wp14:editId="6CBEC5D8">
                <wp:simplePos x="0" y="0"/>
                <wp:positionH relativeFrom="column">
                  <wp:posOffset>-113665</wp:posOffset>
                </wp:positionH>
                <wp:positionV relativeFrom="paragraph">
                  <wp:posOffset>1129665</wp:posOffset>
                </wp:positionV>
                <wp:extent cx="1755140" cy="635"/>
                <wp:effectExtent l="62230" t="21590" r="60960" b="13970"/>
                <wp:wrapNone/>
                <wp:docPr id="959054066"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55140" cy="635"/>
                        </a:xfrm>
                        <a:prstGeom prst="bentConnector3">
                          <a:avLst>
                            <a:gd name="adj1" fmla="val 50000"/>
                          </a:avLst>
                        </a:prstGeom>
                        <a:noFill/>
                        <a:ln w="12700">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4C2F5A"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49" o:spid="_x0000_s1026" type="#_x0000_t34" style="position:absolute;margin-left:-8.95pt;margin-top:88.95pt;width:138.2pt;height:.0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" strokeweight="1pt">
                <v:stroke dashstyle="longDash" endarrow="block"/>
              </v:shape>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83840" behindDoc="0" locked="0" layoutInCell="1" allowOverlap="1" wp14:anchorId="620F6827" wp14:editId="798A19E6">
                <wp:simplePos x="0" y="0"/>
                <wp:positionH relativeFrom="column">
                  <wp:posOffset>3874135</wp:posOffset>
                </wp:positionH>
                <wp:positionV relativeFrom="paragraph">
                  <wp:posOffset>1130935</wp:posOffset>
                </wp:positionV>
                <wp:extent cx="1736725" cy="0"/>
                <wp:effectExtent l="60325" t="21590" r="53975" b="13335"/>
                <wp:wrapNone/>
                <wp:docPr id="959054065"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36725" cy="0"/>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A4BAC" id="Connecteur droit avec flèche 48" o:spid="_x0000_s1026" type="#_x0000_t32" style="position:absolute;margin-left:305.05pt;margin-top:89.05pt;width:136.75pt;height:0;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" strokeweight="1pt">
                <v:stroke dashstyle="longDash" endarrow="block"/>
              </v:shape>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73600" behindDoc="0" locked="0" layoutInCell="1" allowOverlap="1" wp14:anchorId="041B7EF5" wp14:editId="0070539C">
                <wp:simplePos x="0" y="0"/>
                <wp:positionH relativeFrom="column">
                  <wp:posOffset>496570</wp:posOffset>
                </wp:positionH>
                <wp:positionV relativeFrom="paragraph">
                  <wp:posOffset>750570</wp:posOffset>
                </wp:positionV>
                <wp:extent cx="996315" cy="635"/>
                <wp:effectExtent l="7620" t="12065" r="10795" b="10795"/>
                <wp:wrapNone/>
                <wp:docPr id="959054064"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96315" cy="635"/>
                        </a:xfrm>
                        <a:prstGeom prst="bentConnector3">
                          <a:avLst>
                            <a:gd name="adj1" fmla="val 49968"/>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EAD2F" id="Connecteur droit avec flèche 47" o:spid="_x0000_s1026" type="#_x0000_t34" style="position:absolute;margin-left:39.1pt;margin-top:59.1pt;width:78.45pt;height:.0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" adj="10793" strokeweight="1pt"/>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75648" behindDoc="0" locked="0" layoutInCell="1" allowOverlap="1" wp14:anchorId="2DE227DD" wp14:editId="54C2253F">
                <wp:simplePos x="0" y="0"/>
                <wp:positionH relativeFrom="column">
                  <wp:posOffset>3989070</wp:posOffset>
                </wp:positionH>
                <wp:positionV relativeFrom="paragraph">
                  <wp:posOffset>758190</wp:posOffset>
                </wp:positionV>
                <wp:extent cx="1011555" cy="635"/>
                <wp:effectExtent l="12065" t="12065" r="6350" b="14605"/>
                <wp:wrapNone/>
                <wp:docPr id="959054063"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11555" cy="635"/>
                        </a:xfrm>
                        <a:prstGeom prst="bentConnector3">
                          <a:avLst>
                            <a:gd name="adj1" fmla="val 49968"/>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AA0DA" id="Connecteur droit avec flèche 46" o:spid="_x0000_s1026" type="#_x0000_t34" style="position:absolute;margin-left:314.1pt;margin-top:59.7pt;width:79.65pt;height:.0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" adj="10793" strokeweight="1pt"/>
            </w:pict>
          </mc:Fallback>
        </mc:AlternateContent>
      </w:r>
    </w:p>
    <w:p w14:paraId="51F5CF04" w14:textId="77777777" w:rsidR="00A034FC" w:rsidRPr="002B005F" w:rsidRDefault="00A034FC" w:rsidP="00A034FC">
      <w:pPr>
        <w:keepNext/>
        <w:tabs>
          <w:tab w:val="left" w:pos="0"/>
        </w:tabs>
        <w:suppressAutoHyphens/>
        <w:spacing w:before="120" w:line="300" w:lineRule="auto"/>
        <w:rPr>
          <w:rFonts w:ascii="Times New Roman" w:hAnsi="Times New Roman" w:cs="Times New Roman"/>
          <w:b/>
          <w:bCs/>
          <w:i/>
          <w:iCs/>
          <w:sz w:val="24"/>
          <w:szCs w:val="24"/>
        </w:rPr>
      </w:pPr>
    </w:p>
    <w:p w14:paraId="5E13B474" w14:textId="061A2D34" w:rsidR="00A034FC" w:rsidRPr="002B005F" w:rsidRDefault="002C5EFF" w:rsidP="00A034FC">
      <w:pPr>
        <w:keepNext/>
        <w:tabs>
          <w:tab w:val="left" w:pos="0"/>
        </w:tabs>
        <w:suppressAutoHyphens/>
        <w:spacing w:before="120" w:line="300" w:lineRule="auto"/>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68480" behindDoc="0" locked="0" layoutInCell="1" allowOverlap="1" wp14:anchorId="58201F3A" wp14:editId="438951F6">
                <wp:simplePos x="0" y="0"/>
                <wp:positionH relativeFrom="column">
                  <wp:posOffset>2263775</wp:posOffset>
                </wp:positionH>
                <wp:positionV relativeFrom="paragraph">
                  <wp:posOffset>238760</wp:posOffset>
                </wp:positionV>
                <wp:extent cx="996950" cy="758190"/>
                <wp:effectExtent l="0" t="0" r="0" b="3810"/>
                <wp:wrapNone/>
                <wp:docPr id="959054062"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758190"/>
                        </a:xfrm>
                        <a:prstGeom prst="ellipse">
                          <a:avLst/>
                        </a:prstGeom>
                        <a:solidFill>
                          <a:srgbClr val="FFFFFF"/>
                        </a:solidFill>
                        <a:ln w="9525">
                          <a:solidFill>
                            <a:srgbClr val="000000"/>
                          </a:solidFill>
                          <a:round/>
                          <a:headEnd/>
                          <a:tailEnd/>
                        </a:ln>
                      </wps:spPr>
                      <wps:txbx>
                        <w:txbxContent>
                          <w:p w14:paraId="407C0752" w14:textId="77777777" w:rsidR="009C2D83" w:rsidRPr="00335E13" w:rsidRDefault="009C2D83" w:rsidP="00A034FC">
                            <w:pPr>
                              <w:spacing w:line="200" w:lineRule="exact"/>
                              <w:jc w:val="center"/>
                              <w:rPr>
                                <w:rFonts w:ascii="Times New Roman" w:hAnsi="Times New Roman" w:cs="Times New Roman"/>
                                <w:sz w:val="20"/>
                                <w:szCs w:val="20"/>
                              </w:rPr>
                            </w:pPr>
                            <w:r w:rsidRPr="00335E13">
                              <w:rPr>
                                <w:rFonts w:ascii="Times New Roman" w:hAnsi="Times New Roman" w:cs="Times New Roman"/>
                                <w:sz w:val="20"/>
                                <w:szCs w:val="20"/>
                              </w:rPr>
                              <w:t>Projet</w:t>
                            </w:r>
                          </w:p>
                          <w:p w14:paraId="7131A290" w14:textId="77777777" w:rsidR="009C2D83" w:rsidRPr="00335E13" w:rsidRDefault="009C2D83" w:rsidP="00A034FC">
                            <w:pPr>
                              <w:spacing w:line="200" w:lineRule="exact"/>
                              <w:jc w:val="center"/>
                              <w:rPr>
                                <w:rFonts w:ascii="Times New Roman" w:hAnsi="Times New Roman" w:cs="Times New Roman"/>
                                <w:sz w:val="20"/>
                                <w:szCs w:val="20"/>
                              </w:rPr>
                            </w:pPr>
                            <w:r w:rsidRPr="00335E13">
                              <w:rPr>
                                <w:rFonts w:ascii="Times New Roman" w:hAnsi="Times New Roman" w:cs="Times New Roman"/>
                                <w:sz w:val="20"/>
                                <w:szCs w:val="20"/>
                              </w:rPr>
                              <w:t>Ou</w:t>
                            </w:r>
                          </w:p>
                          <w:p w14:paraId="183673FD" w14:textId="77777777" w:rsidR="009C2D83" w:rsidRPr="00335E13" w:rsidRDefault="009C2D83" w:rsidP="00A034FC">
                            <w:pPr>
                              <w:spacing w:line="200" w:lineRule="exact"/>
                              <w:jc w:val="center"/>
                              <w:rPr>
                                <w:rFonts w:ascii="Times New Roman" w:hAnsi="Times New Roman" w:cs="Times New Roman"/>
                                <w:sz w:val="20"/>
                                <w:szCs w:val="20"/>
                              </w:rPr>
                            </w:pPr>
                            <w:r w:rsidRPr="00335E13">
                              <w:rPr>
                                <w:rFonts w:ascii="Times New Roman" w:hAnsi="Times New Roman" w:cs="Times New Roman"/>
                                <w:sz w:val="20"/>
                                <w:szCs w:val="20"/>
                              </w:rPr>
                              <w:t>Entreprise</w:t>
                            </w:r>
                          </w:p>
                          <w:p w14:paraId="7C0C662E" w14:textId="77777777" w:rsidR="009C2D83" w:rsidRPr="00335E13" w:rsidRDefault="009C2D83" w:rsidP="00A034FC">
                            <w:pPr>
                              <w:rPr>
                                <w:rFonts w:ascii="Times New Roman" w:hAnsi="Times New Roman" w:cs="Times New Roman"/>
                                <w:sz w:val="20"/>
                                <w:szCs w:val="20"/>
                              </w:rPr>
                            </w:pP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201F3A" id="Ellipse 45" o:spid="_x0000_s1036" style="position:absolute;left:0;text-align:left;margin-left:178.25pt;margin-top:18.8pt;width:78.5pt;height:5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">
                <v:textbox inset="1mm,2mm,1mm,2mm">
                  <w:txbxContent>
                    <w:p w14:paraId="407C0752" w14:textId="77777777" w:rsidR="009C2D83" w:rsidRPr="00335E13" w:rsidRDefault="009C2D83" w:rsidP="00A034FC">
                      <w:pPr>
                        <w:spacing w:line="200" w:lineRule="exact"/>
                        <w:jc w:val="center"/>
                        <w:rPr>
                          <w:rFonts w:ascii="Times New Roman" w:hAnsi="Times New Roman" w:cs="Times New Roman"/>
                          <w:sz w:val="20"/>
                          <w:szCs w:val="20"/>
                        </w:rPr>
                      </w:pPr>
                      <w:r w:rsidRPr="00335E13">
                        <w:rPr>
                          <w:rFonts w:ascii="Times New Roman" w:hAnsi="Times New Roman" w:cs="Times New Roman"/>
                          <w:sz w:val="20"/>
                          <w:szCs w:val="20"/>
                        </w:rPr>
                        <w:t>Projet</w:t>
                      </w:r>
                    </w:p>
                    <w:p w14:paraId="7131A290" w14:textId="77777777" w:rsidR="009C2D83" w:rsidRPr="00335E13" w:rsidRDefault="009C2D83" w:rsidP="00A034FC">
                      <w:pPr>
                        <w:spacing w:line="200" w:lineRule="exact"/>
                        <w:jc w:val="center"/>
                        <w:rPr>
                          <w:rFonts w:ascii="Times New Roman" w:hAnsi="Times New Roman" w:cs="Times New Roman"/>
                          <w:sz w:val="20"/>
                          <w:szCs w:val="20"/>
                        </w:rPr>
                      </w:pPr>
                      <w:r w:rsidRPr="00335E13">
                        <w:rPr>
                          <w:rFonts w:ascii="Times New Roman" w:hAnsi="Times New Roman" w:cs="Times New Roman"/>
                          <w:sz w:val="20"/>
                          <w:szCs w:val="20"/>
                        </w:rPr>
                        <w:t>Ou</w:t>
                      </w:r>
                    </w:p>
                    <w:p w14:paraId="183673FD" w14:textId="77777777" w:rsidR="009C2D83" w:rsidRPr="00335E13" w:rsidRDefault="009C2D83" w:rsidP="00A034FC">
                      <w:pPr>
                        <w:spacing w:line="200" w:lineRule="exact"/>
                        <w:jc w:val="center"/>
                        <w:rPr>
                          <w:rFonts w:ascii="Times New Roman" w:hAnsi="Times New Roman" w:cs="Times New Roman"/>
                          <w:sz w:val="20"/>
                          <w:szCs w:val="20"/>
                        </w:rPr>
                      </w:pPr>
                      <w:r w:rsidRPr="00335E13">
                        <w:rPr>
                          <w:rFonts w:ascii="Times New Roman" w:hAnsi="Times New Roman" w:cs="Times New Roman"/>
                          <w:sz w:val="20"/>
                          <w:szCs w:val="20"/>
                        </w:rPr>
                        <w:t>Entreprise</w:t>
                      </w:r>
                    </w:p>
                    <w:p w14:paraId="7C0C662E" w14:textId="77777777" w:rsidR="009C2D83" w:rsidRPr="00335E13" w:rsidRDefault="009C2D83" w:rsidP="00A034FC">
                      <w:pPr>
                        <w:rPr>
                          <w:rFonts w:ascii="Times New Roman" w:hAnsi="Times New Roman" w:cs="Times New Roman"/>
                          <w:sz w:val="20"/>
                          <w:szCs w:val="20"/>
                        </w:rPr>
                      </w:pPr>
                    </w:p>
                  </w:txbxContent>
                </v:textbox>
              </v:oval>
            </w:pict>
          </mc:Fallback>
        </mc:AlternateContent>
      </w:r>
    </w:p>
    <w:p w14:paraId="34FEA47A" w14:textId="0191C107" w:rsidR="00A034FC" w:rsidRPr="002B005F" w:rsidRDefault="002C5EFF" w:rsidP="00A034FC">
      <w:pPr>
        <w:keepNext/>
        <w:tabs>
          <w:tab w:val="left" w:pos="0"/>
        </w:tabs>
        <w:suppressAutoHyphens/>
        <w:spacing w:before="120" w:line="300" w:lineRule="auto"/>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78720" behindDoc="0" locked="0" layoutInCell="1" allowOverlap="1" wp14:anchorId="635ADB05" wp14:editId="22A3D0E6">
                <wp:simplePos x="0" y="0"/>
                <wp:positionH relativeFrom="column">
                  <wp:posOffset>3324860</wp:posOffset>
                </wp:positionH>
                <wp:positionV relativeFrom="paragraph">
                  <wp:posOffset>140970</wp:posOffset>
                </wp:positionV>
                <wp:extent cx="1112520" cy="222250"/>
                <wp:effectExtent l="0" t="0" r="0" b="6350"/>
                <wp:wrapNone/>
                <wp:docPr id="95905406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22250"/>
                        </a:xfrm>
                        <a:prstGeom prst="rect">
                          <a:avLst/>
                        </a:prstGeom>
                        <a:solidFill>
                          <a:srgbClr val="FFFFFF"/>
                        </a:solidFill>
                        <a:ln w="9525">
                          <a:solidFill>
                            <a:srgbClr val="FFFFFF"/>
                          </a:solidFill>
                          <a:miter lim="800000"/>
                          <a:headEnd/>
                          <a:tailEnd/>
                        </a:ln>
                      </wps:spPr>
                      <wps:txbx>
                        <w:txbxContent>
                          <w:p w14:paraId="0D236322" w14:textId="77777777" w:rsidR="009C2D83" w:rsidRPr="00335E13" w:rsidRDefault="009C2D83" w:rsidP="00A034FC">
                            <w:pPr>
                              <w:rPr>
                                <w:rFonts w:ascii="Times New Roman" w:hAnsi="Times New Roman" w:cs="Times New Roman"/>
                                <w:sz w:val="20"/>
                                <w:szCs w:val="20"/>
                              </w:rPr>
                            </w:pPr>
                            <w:r w:rsidRPr="00335E13">
                              <w:rPr>
                                <w:rFonts w:ascii="Times New Roman" w:hAnsi="Times New Roman" w:cs="Times New Roman"/>
                                <w:sz w:val="20"/>
                                <w:szCs w:val="20"/>
                              </w:rPr>
                              <w:t>(2) Capital/Expertise</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ADB05" id="Rectangle 43" o:spid="_x0000_s1037" style="position:absolute;left:0;text-align:left;margin-left:261.8pt;margin-top:11.1pt;width:87.6pt;height: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" strokecolor="white">
                <v:textbox inset="0,1mm,0,0">
                  <w:txbxContent>
                    <w:p w14:paraId="0D236322" w14:textId="77777777" w:rsidR="009C2D83" w:rsidRPr="00335E13" w:rsidRDefault="009C2D83" w:rsidP="00A034FC">
                      <w:pPr>
                        <w:rPr>
                          <w:rFonts w:ascii="Times New Roman" w:hAnsi="Times New Roman" w:cs="Times New Roman"/>
                          <w:sz w:val="20"/>
                          <w:szCs w:val="20"/>
                        </w:rPr>
                      </w:pPr>
                      <w:r w:rsidRPr="00335E13">
                        <w:rPr>
                          <w:rFonts w:ascii="Times New Roman" w:hAnsi="Times New Roman" w:cs="Times New Roman"/>
                          <w:sz w:val="20"/>
                          <w:szCs w:val="20"/>
                        </w:rPr>
                        <w:t>(2) Capital/Expertise</w:t>
                      </w:r>
                    </w:p>
                  </w:txbxContent>
                </v:textbox>
              </v:rect>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77696" behindDoc="0" locked="0" layoutInCell="1" allowOverlap="1" wp14:anchorId="2F913EB0" wp14:editId="746D5FED">
                <wp:simplePos x="0" y="0"/>
                <wp:positionH relativeFrom="column">
                  <wp:posOffset>1068070</wp:posOffset>
                </wp:positionH>
                <wp:positionV relativeFrom="paragraph">
                  <wp:posOffset>112395</wp:posOffset>
                </wp:positionV>
                <wp:extent cx="1112520" cy="222250"/>
                <wp:effectExtent l="0" t="0" r="0" b="6350"/>
                <wp:wrapNone/>
                <wp:docPr id="95905406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22250"/>
                        </a:xfrm>
                        <a:prstGeom prst="rect">
                          <a:avLst/>
                        </a:prstGeom>
                        <a:solidFill>
                          <a:srgbClr val="FFFFFF"/>
                        </a:solidFill>
                        <a:ln w="9525">
                          <a:solidFill>
                            <a:srgbClr val="FFFFFF"/>
                          </a:solidFill>
                          <a:miter lim="800000"/>
                          <a:headEnd/>
                          <a:tailEnd/>
                        </a:ln>
                      </wps:spPr>
                      <wps:txbx>
                        <w:txbxContent>
                          <w:p w14:paraId="64573427" w14:textId="77777777" w:rsidR="009C2D83" w:rsidRPr="00335E13" w:rsidRDefault="009C2D83" w:rsidP="00A034FC">
                            <w:pPr>
                              <w:rPr>
                                <w:rFonts w:ascii="Times New Roman" w:hAnsi="Times New Roman" w:cs="Times New Roman"/>
                                <w:sz w:val="20"/>
                                <w:szCs w:val="20"/>
                              </w:rPr>
                            </w:pPr>
                            <w:r w:rsidRPr="00335E13">
                              <w:rPr>
                                <w:rFonts w:ascii="Times New Roman" w:hAnsi="Times New Roman" w:cs="Times New Roman"/>
                                <w:sz w:val="20"/>
                                <w:szCs w:val="20"/>
                              </w:rPr>
                              <w:t>(2) Capital/Expertise</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13EB0" id="Rectangle 44" o:spid="_x0000_s1038" style="position:absolute;left:0;text-align:left;margin-left:84.1pt;margin-top:8.85pt;width:87.6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" strokecolor="white">
                <v:textbox inset="0,1mm,0,0">
                  <w:txbxContent>
                    <w:p w14:paraId="64573427" w14:textId="77777777" w:rsidR="009C2D83" w:rsidRPr="00335E13" w:rsidRDefault="009C2D83" w:rsidP="00A034FC">
                      <w:pPr>
                        <w:rPr>
                          <w:rFonts w:ascii="Times New Roman" w:hAnsi="Times New Roman" w:cs="Times New Roman"/>
                          <w:sz w:val="20"/>
                          <w:szCs w:val="20"/>
                        </w:rPr>
                      </w:pPr>
                      <w:r w:rsidRPr="00335E13">
                        <w:rPr>
                          <w:rFonts w:ascii="Times New Roman" w:hAnsi="Times New Roman" w:cs="Times New Roman"/>
                          <w:sz w:val="20"/>
                          <w:szCs w:val="20"/>
                        </w:rPr>
                        <w:t>(2) Capital/Expertise</w:t>
                      </w:r>
                    </w:p>
                  </w:txbxContent>
                </v:textbox>
              </v:rect>
            </w:pict>
          </mc:Fallback>
        </mc:AlternateContent>
      </w:r>
    </w:p>
    <w:p w14:paraId="27F8AA19" w14:textId="60D39718" w:rsidR="00A034FC" w:rsidRPr="002B005F" w:rsidRDefault="002C5EFF" w:rsidP="00A034FC">
      <w:pPr>
        <w:keepNext/>
        <w:tabs>
          <w:tab w:val="left" w:pos="0"/>
        </w:tabs>
        <w:suppressAutoHyphens/>
        <w:spacing w:before="120" w:line="300" w:lineRule="auto"/>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74624" behindDoc="0" locked="0" layoutInCell="1" allowOverlap="1" wp14:anchorId="721EA0AE" wp14:editId="5963B2EA">
                <wp:simplePos x="0" y="0"/>
                <wp:positionH relativeFrom="column">
                  <wp:posOffset>994410</wp:posOffset>
                </wp:positionH>
                <wp:positionV relativeFrom="paragraph">
                  <wp:posOffset>83185</wp:posOffset>
                </wp:positionV>
                <wp:extent cx="1269365" cy="635"/>
                <wp:effectExtent l="0" t="76200" r="6985" b="75565"/>
                <wp:wrapNone/>
                <wp:docPr id="959054059"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93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97626" id="Connecteur droit avec flèche 42" o:spid="_x0000_s1026" type="#_x0000_t32" style="position:absolute;margin-left:78.3pt;margin-top:6.55pt;width:99.9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">
                <v:stroke endarrow="block"/>
              </v:shape>
            </w:pict>
          </mc:Fallback>
        </mc:AlternateContent>
      </w:r>
      <w:r>
        <w:rPr>
          <w:rFonts w:ascii="Times New Roman" w:hAnsi="Times New Roman" w:cs="Times New Roman"/>
          <w:b/>
          <w:bCs/>
          <w:i/>
          <w:iCs/>
          <w:noProof/>
          <w:sz w:val="24"/>
          <w:szCs w:val="24"/>
          <w:lang w:eastAsia="fr-FR"/>
        </w:rPr>
        <mc:AlternateContent>
          <mc:Choice Requires="wps">
            <w:drawing>
              <wp:anchor distT="4294967295" distB="4294967295" distL="114300" distR="114300" simplePos="0" relativeHeight="251676672" behindDoc="0" locked="0" layoutInCell="1" allowOverlap="1" wp14:anchorId="1C071CA3" wp14:editId="640A0581">
                <wp:simplePos x="0" y="0"/>
                <wp:positionH relativeFrom="column">
                  <wp:posOffset>3239135</wp:posOffset>
                </wp:positionH>
                <wp:positionV relativeFrom="paragraph">
                  <wp:posOffset>83184</wp:posOffset>
                </wp:positionV>
                <wp:extent cx="1255395" cy="0"/>
                <wp:effectExtent l="38100" t="76200" r="0" b="76200"/>
                <wp:wrapNone/>
                <wp:docPr id="959054058"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5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1DFEC" id="Connecteur droit avec flèche 41" o:spid="_x0000_s1026" type="#_x0000_t32" style="position:absolute;margin-left:255.05pt;margin-top:6.55pt;width:98.85pt;height:0;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">
                <v:stroke endarrow="block"/>
              </v:shape>
            </w:pict>
          </mc:Fallback>
        </mc:AlternateContent>
      </w:r>
    </w:p>
    <w:p w14:paraId="09A24964" w14:textId="0A31D3BD" w:rsidR="00A034FC" w:rsidRPr="002B005F" w:rsidRDefault="002C5EFF" w:rsidP="00A034FC">
      <w:pPr>
        <w:keepNext/>
        <w:tabs>
          <w:tab w:val="left" w:pos="0"/>
        </w:tabs>
        <w:suppressAutoHyphens/>
        <w:spacing w:before="120" w:line="300" w:lineRule="auto"/>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64384" behindDoc="0" locked="0" layoutInCell="1" allowOverlap="1" wp14:anchorId="57E26292" wp14:editId="2159B999">
                <wp:simplePos x="0" y="0"/>
                <wp:positionH relativeFrom="column">
                  <wp:posOffset>1186180</wp:posOffset>
                </wp:positionH>
                <wp:positionV relativeFrom="paragraph">
                  <wp:posOffset>158115</wp:posOffset>
                </wp:positionV>
                <wp:extent cx="799465" cy="257175"/>
                <wp:effectExtent l="0" t="0" r="635" b="9525"/>
                <wp:wrapNone/>
                <wp:docPr id="95905405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57175"/>
                        </a:xfrm>
                        <a:prstGeom prst="rect">
                          <a:avLst/>
                        </a:prstGeom>
                        <a:solidFill>
                          <a:srgbClr val="FFFFFF"/>
                        </a:solidFill>
                        <a:ln w="9525">
                          <a:solidFill>
                            <a:srgbClr val="FFFFFF"/>
                          </a:solidFill>
                          <a:miter lim="800000"/>
                          <a:headEnd/>
                          <a:tailEnd/>
                        </a:ln>
                      </wps:spPr>
                      <wps:txbx>
                        <w:txbxContent>
                          <w:p w14:paraId="2DE48381"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w:t>
                            </w:r>
                            <w:r>
                              <w:rPr>
                                <w:rFonts w:ascii="Times New Roman" w:hAnsi="Times New Roman" w:cs="Times New Roman"/>
                                <w:sz w:val="20"/>
                                <w:szCs w:val="20"/>
                              </w:rPr>
                              <w:t>3</w:t>
                            </w:r>
                            <w:r w:rsidRPr="00335E13">
                              <w:rPr>
                                <w:rFonts w:ascii="Times New Roman" w:hAnsi="Times New Roman" w:cs="Times New Roman"/>
                                <w:sz w:val="20"/>
                                <w:szCs w:val="20"/>
                              </w:rPr>
                              <w:t>) 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26292" id="Rectangle 40" o:spid="_x0000_s1039" style="position:absolute;left:0;text-align:left;margin-left:93.4pt;margin-top:12.45pt;width:62.9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" strokecolor="white">
                <v:textbox>
                  <w:txbxContent>
                    <w:p w14:paraId="2DE48381"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w:t>
                      </w:r>
                      <w:r>
                        <w:rPr>
                          <w:rFonts w:ascii="Times New Roman" w:hAnsi="Times New Roman" w:cs="Times New Roman"/>
                          <w:sz w:val="20"/>
                          <w:szCs w:val="20"/>
                        </w:rPr>
                        <w:t>3</w:t>
                      </w:r>
                      <w:r w:rsidRPr="00335E13">
                        <w:rPr>
                          <w:rFonts w:ascii="Times New Roman" w:hAnsi="Times New Roman" w:cs="Times New Roman"/>
                          <w:sz w:val="20"/>
                          <w:szCs w:val="20"/>
                        </w:rPr>
                        <w:t>) X %</w:t>
                      </w:r>
                    </w:p>
                  </w:txbxContent>
                </v:textbox>
              </v:rect>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65408" behindDoc="0" locked="0" layoutInCell="1" allowOverlap="1" wp14:anchorId="22EC4E36" wp14:editId="68AD1A5A">
                <wp:simplePos x="0" y="0"/>
                <wp:positionH relativeFrom="column">
                  <wp:posOffset>3386455</wp:posOffset>
                </wp:positionH>
                <wp:positionV relativeFrom="paragraph">
                  <wp:posOffset>158115</wp:posOffset>
                </wp:positionV>
                <wp:extent cx="799465" cy="238125"/>
                <wp:effectExtent l="0" t="0" r="635" b="9525"/>
                <wp:wrapNone/>
                <wp:docPr id="95905405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38125"/>
                        </a:xfrm>
                        <a:prstGeom prst="rect">
                          <a:avLst/>
                        </a:prstGeom>
                        <a:solidFill>
                          <a:srgbClr val="FFFFFF"/>
                        </a:solidFill>
                        <a:ln w="9525">
                          <a:solidFill>
                            <a:srgbClr val="FFFFFF"/>
                          </a:solidFill>
                          <a:miter lim="800000"/>
                          <a:headEnd/>
                          <a:tailEnd/>
                        </a:ln>
                      </wps:spPr>
                      <wps:txbx>
                        <w:txbxContent>
                          <w:p w14:paraId="34280616"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w:t>
                            </w:r>
                            <w:r>
                              <w:rPr>
                                <w:rFonts w:ascii="Times New Roman" w:hAnsi="Times New Roman" w:cs="Times New Roman"/>
                                <w:sz w:val="20"/>
                                <w:szCs w:val="20"/>
                              </w:rPr>
                              <w:t>3</w:t>
                            </w:r>
                            <w:r w:rsidRPr="00335E13">
                              <w:rPr>
                                <w:rFonts w:ascii="Times New Roman" w:hAnsi="Times New Roman" w:cs="Times New Roman"/>
                                <w:sz w:val="20"/>
                                <w:szCs w:val="20"/>
                              </w:rPr>
                              <w:t>)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C4E36" id="Rectangle 39" o:spid="_x0000_s1040" style="position:absolute;left:0;text-align:left;margin-left:266.65pt;margin-top:12.45pt;width:62.9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" strokecolor="white">
                <v:textbox>
                  <w:txbxContent>
                    <w:p w14:paraId="34280616"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w:t>
                      </w:r>
                      <w:r>
                        <w:rPr>
                          <w:rFonts w:ascii="Times New Roman" w:hAnsi="Times New Roman" w:cs="Times New Roman"/>
                          <w:sz w:val="20"/>
                          <w:szCs w:val="20"/>
                        </w:rPr>
                        <w:t>3</w:t>
                      </w:r>
                      <w:r w:rsidRPr="00335E13">
                        <w:rPr>
                          <w:rFonts w:ascii="Times New Roman" w:hAnsi="Times New Roman" w:cs="Times New Roman"/>
                          <w:sz w:val="20"/>
                          <w:szCs w:val="20"/>
                        </w:rPr>
                        <w:t>) Y %</w:t>
                      </w:r>
                    </w:p>
                  </w:txbxContent>
                </v:textbox>
              </v:rect>
            </w:pict>
          </mc:Fallback>
        </mc:AlternateContent>
      </w:r>
    </w:p>
    <w:p w14:paraId="31E63FAB" w14:textId="05C1E1B4" w:rsidR="00A034FC" w:rsidRPr="002B005F" w:rsidRDefault="002C5EFF" w:rsidP="00A034FC">
      <w:pPr>
        <w:keepNext/>
        <w:tabs>
          <w:tab w:val="left" w:pos="0"/>
        </w:tabs>
        <w:suppressAutoHyphens/>
        <w:spacing w:before="120" w:line="300" w:lineRule="auto"/>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69504" behindDoc="0" locked="0" layoutInCell="1" allowOverlap="1" wp14:anchorId="5E8138EB" wp14:editId="1C58625A">
                <wp:simplePos x="0" y="0"/>
                <wp:positionH relativeFrom="column">
                  <wp:posOffset>2376805</wp:posOffset>
                </wp:positionH>
                <wp:positionV relativeFrom="paragraph">
                  <wp:posOffset>88900</wp:posOffset>
                </wp:positionV>
                <wp:extent cx="724535" cy="353695"/>
                <wp:effectExtent l="0" t="0" r="0" b="8255"/>
                <wp:wrapNone/>
                <wp:docPr id="959054055" name="Rectangle à coins arrondi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353695"/>
                        </a:xfrm>
                        <a:prstGeom prst="roundRect">
                          <a:avLst>
                            <a:gd name="adj" fmla="val 16667"/>
                          </a:avLst>
                        </a:prstGeom>
                        <a:solidFill>
                          <a:srgbClr val="FFFFFF"/>
                        </a:solidFill>
                        <a:ln w="9525">
                          <a:solidFill>
                            <a:srgbClr val="000000"/>
                          </a:solidFill>
                          <a:round/>
                          <a:headEnd/>
                          <a:tailEnd/>
                        </a:ln>
                      </wps:spPr>
                      <wps:txbx>
                        <w:txbxContent>
                          <w:p w14:paraId="4DC9467B"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Pertes</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138EB" id="Rectangle à coins arrondis 36" o:spid="_x0000_s1041" style="position:absolute;left:0;text-align:left;margin-left:187.15pt;margin-top:7pt;width:57.05pt;height:2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">
                <v:textbox inset="1mm,2mm,1mm,2mm">
                  <w:txbxContent>
                    <w:p w14:paraId="4DC9467B"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Pertes</w:t>
                      </w:r>
                    </w:p>
                  </w:txbxContent>
                </v:textbox>
              </v:roundrect>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80768" behindDoc="0" locked="0" layoutInCell="1" allowOverlap="1" wp14:anchorId="1E717E44" wp14:editId="1CC2561B">
                <wp:simplePos x="0" y="0"/>
                <wp:positionH relativeFrom="column">
                  <wp:posOffset>763270</wp:posOffset>
                </wp:positionH>
                <wp:positionV relativeFrom="paragraph">
                  <wp:posOffset>227330</wp:posOffset>
                </wp:positionV>
                <wp:extent cx="1617980" cy="635"/>
                <wp:effectExtent l="0" t="0" r="1270" b="18415"/>
                <wp:wrapNone/>
                <wp:docPr id="959054054"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635"/>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83342" id="Connecteur droit avec flèche 38" o:spid="_x0000_s1026" type="#_x0000_t32" style="position:absolute;margin-left:60.1pt;margin-top:17.9pt;width:127.4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" strokeweight="1pt">
                <v:stroke dashstyle="longDash"/>
              </v:shape>
            </w:pict>
          </mc:Fallback>
        </mc:AlternateContent>
      </w:r>
      <w:r>
        <w:rPr>
          <w:rFonts w:ascii="Times New Roman" w:hAnsi="Times New Roman" w:cs="Times New Roman"/>
          <w:b/>
          <w:bCs/>
          <w:i/>
          <w:iCs/>
          <w:noProof/>
          <w:sz w:val="24"/>
          <w:szCs w:val="24"/>
          <w:lang w:eastAsia="fr-FR"/>
        </w:rPr>
        <mc:AlternateContent>
          <mc:Choice Requires="wps">
            <w:drawing>
              <wp:anchor distT="4294967295" distB="4294967295" distL="114300" distR="114300" simplePos="0" relativeHeight="251679744" behindDoc="0" locked="0" layoutInCell="1" allowOverlap="1" wp14:anchorId="0305C9F4" wp14:editId="13EB8435">
                <wp:simplePos x="0" y="0"/>
                <wp:positionH relativeFrom="column">
                  <wp:posOffset>3112135</wp:posOffset>
                </wp:positionH>
                <wp:positionV relativeFrom="paragraph">
                  <wp:posOffset>236219</wp:posOffset>
                </wp:positionV>
                <wp:extent cx="1630045" cy="0"/>
                <wp:effectExtent l="0" t="0" r="0" b="0"/>
                <wp:wrapNone/>
                <wp:docPr id="959054053"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045" cy="0"/>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808FB" id="Connecteur droit avec flèche 37" o:spid="_x0000_s1026" type="#_x0000_t32" style="position:absolute;margin-left:245.05pt;margin-top:18.6pt;width:128.3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" strokeweight="1pt">
                <v:stroke dashstyle="longDash"/>
              </v:shape>
            </w:pict>
          </mc:Fallback>
        </mc:AlternateContent>
      </w:r>
    </w:p>
    <w:p w14:paraId="692561C1" w14:textId="773B6EF2" w:rsidR="00A034FC" w:rsidRPr="002B005F" w:rsidRDefault="002C5EFF" w:rsidP="00A034FC">
      <w:pPr>
        <w:keepNext/>
        <w:tabs>
          <w:tab w:val="left" w:pos="0"/>
        </w:tabs>
        <w:suppressAutoHyphens/>
        <w:spacing w:before="120" w:line="300" w:lineRule="auto"/>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88960" behindDoc="0" locked="0" layoutInCell="1" allowOverlap="1" wp14:anchorId="1021418D" wp14:editId="13B73A12">
                <wp:simplePos x="0" y="0"/>
                <wp:positionH relativeFrom="column">
                  <wp:posOffset>3503295</wp:posOffset>
                </wp:positionH>
                <wp:positionV relativeFrom="paragraph">
                  <wp:posOffset>166370</wp:posOffset>
                </wp:positionV>
                <wp:extent cx="799465" cy="276225"/>
                <wp:effectExtent l="0" t="0" r="635" b="9525"/>
                <wp:wrapNone/>
                <wp:docPr id="9590540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76225"/>
                        </a:xfrm>
                        <a:prstGeom prst="rect">
                          <a:avLst/>
                        </a:prstGeom>
                        <a:solidFill>
                          <a:srgbClr val="FFFFFF"/>
                        </a:solidFill>
                        <a:ln w="9525">
                          <a:solidFill>
                            <a:srgbClr val="FFFFFF"/>
                          </a:solidFill>
                          <a:miter lim="800000"/>
                          <a:headEnd/>
                          <a:tailEnd/>
                        </a:ln>
                      </wps:spPr>
                      <wps:txbx>
                        <w:txbxContent>
                          <w:p w14:paraId="7EB911CC"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w:t>
                            </w:r>
                            <w:r>
                              <w:rPr>
                                <w:rFonts w:ascii="Times New Roman" w:hAnsi="Times New Roman" w:cs="Times New Roman"/>
                                <w:sz w:val="20"/>
                                <w:szCs w:val="20"/>
                              </w:rPr>
                              <w:t>3</w:t>
                            </w:r>
                            <w:r w:rsidRPr="00335E13">
                              <w:rPr>
                                <w:rFonts w:ascii="Times New Roman" w:hAnsi="Times New Roman" w:cs="Times New Roman"/>
                                <w:sz w:val="20"/>
                                <w:szCs w:val="20"/>
                              </w:rPr>
                              <w:t>) Y</w:t>
                            </w:r>
                            <w:r w:rsidRPr="00335E13">
                              <w:rPr>
                                <w:rFonts w:ascii="Times New Roman" w:hAnsi="Times New Roman" w:cs="Times New Roman"/>
                                <w:b/>
                                <w:bCs/>
                                <w:vertAlign w:val="superscript"/>
                              </w:rPr>
                              <w:t>’</w:t>
                            </w:r>
                            <w:r w:rsidRPr="00335E13">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1418D" id="Rectangle 34" o:spid="_x0000_s1042" style="position:absolute;left:0;text-align:left;margin-left:275.85pt;margin-top:13.1pt;width:62.9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" strokecolor="white">
                <v:textbox>
                  <w:txbxContent>
                    <w:p w14:paraId="7EB911CC"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w:t>
                      </w:r>
                      <w:r>
                        <w:rPr>
                          <w:rFonts w:ascii="Times New Roman" w:hAnsi="Times New Roman" w:cs="Times New Roman"/>
                          <w:sz w:val="20"/>
                          <w:szCs w:val="20"/>
                        </w:rPr>
                        <w:t>3</w:t>
                      </w:r>
                      <w:r w:rsidRPr="00335E13">
                        <w:rPr>
                          <w:rFonts w:ascii="Times New Roman" w:hAnsi="Times New Roman" w:cs="Times New Roman"/>
                          <w:sz w:val="20"/>
                          <w:szCs w:val="20"/>
                        </w:rPr>
                        <w:t>) Y</w:t>
                      </w:r>
                      <w:r w:rsidRPr="00335E13">
                        <w:rPr>
                          <w:rFonts w:ascii="Times New Roman" w:hAnsi="Times New Roman" w:cs="Times New Roman"/>
                          <w:b/>
                          <w:bCs/>
                          <w:vertAlign w:val="superscript"/>
                        </w:rPr>
                        <w:t>’</w:t>
                      </w:r>
                      <w:r w:rsidRPr="00335E13">
                        <w:rPr>
                          <w:rFonts w:ascii="Times New Roman" w:hAnsi="Times New Roman" w:cs="Times New Roman"/>
                          <w:sz w:val="20"/>
                          <w:szCs w:val="20"/>
                        </w:rPr>
                        <w:t xml:space="preserve"> %</w:t>
                      </w:r>
                    </w:p>
                  </w:txbxContent>
                </v:textbox>
              </v:rect>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87936" behindDoc="0" locked="0" layoutInCell="1" allowOverlap="1" wp14:anchorId="66DC82A2" wp14:editId="31EB1570">
                <wp:simplePos x="0" y="0"/>
                <wp:positionH relativeFrom="column">
                  <wp:posOffset>1180465</wp:posOffset>
                </wp:positionH>
                <wp:positionV relativeFrom="paragraph">
                  <wp:posOffset>186055</wp:posOffset>
                </wp:positionV>
                <wp:extent cx="799465" cy="288290"/>
                <wp:effectExtent l="0" t="0" r="635" b="0"/>
                <wp:wrapNone/>
                <wp:docPr id="9590540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88290"/>
                        </a:xfrm>
                        <a:prstGeom prst="rect">
                          <a:avLst/>
                        </a:prstGeom>
                        <a:solidFill>
                          <a:srgbClr val="FFFFFF"/>
                        </a:solidFill>
                        <a:ln w="9525">
                          <a:solidFill>
                            <a:srgbClr val="FFFFFF"/>
                          </a:solidFill>
                          <a:miter lim="800000"/>
                          <a:headEnd/>
                          <a:tailEnd/>
                        </a:ln>
                      </wps:spPr>
                      <wps:txbx>
                        <w:txbxContent>
                          <w:p w14:paraId="425FE734"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w:t>
                            </w:r>
                            <w:r>
                              <w:rPr>
                                <w:rFonts w:ascii="Times New Roman" w:hAnsi="Times New Roman" w:cs="Times New Roman"/>
                                <w:sz w:val="20"/>
                                <w:szCs w:val="20"/>
                              </w:rPr>
                              <w:t>3</w:t>
                            </w:r>
                            <w:r w:rsidRPr="00335E13">
                              <w:rPr>
                                <w:rFonts w:ascii="Times New Roman" w:hAnsi="Times New Roman" w:cs="Times New Roman"/>
                                <w:sz w:val="20"/>
                                <w:szCs w:val="20"/>
                              </w:rPr>
                              <w:t>) X</w:t>
                            </w:r>
                            <w:r w:rsidRPr="00335E13">
                              <w:rPr>
                                <w:rFonts w:ascii="Times New Roman" w:hAnsi="Times New Roman" w:cs="Times New Roman"/>
                                <w:b/>
                                <w:bCs/>
                                <w:sz w:val="20"/>
                                <w:szCs w:val="20"/>
                                <w:vertAlign w:val="superscript"/>
                              </w:rPr>
                              <w:t>’</w:t>
                            </w:r>
                            <w:r w:rsidRPr="00335E13">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C82A2" id="Rectangle 33" o:spid="_x0000_s1043" style="position:absolute;left:0;text-align:left;margin-left:92.95pt;margin-top:14.65pt;width:62.9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" strokecolor="white">
                <v:textbox>
                  <w:txbxContent>
                    <w:p w14:paraId="425FE734"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w:t>
                      </w:r>
                      <w:r>
                        <w:rPr>
                          <w:rFonts w:ascii="Times New Roman" w:hAnsi="Times New Roman" w:cs="Times New Roman"/>
                          <w:sz w:val="20"/>
                          <w:szCs w:val="20"/>
                        </w:rPr>
                        <w:t>3</w:t>
                      </w:r>
                      <w:r w:rsidRPr="00335E13">
                        <w:rPr>
                          <w:rFonts w:ascii="Times New Roman" w:hAnsi="Times New Roman" w:cs="Times New Roman"/>
                          <w:sz w:val="20"/>
                          <w:szCs w:val="20"/>
                        </w:rPr>
                        <w:t>) X</w:t>
                      </w:r>
                      <w:r w:rsidRPr="00335E13">
                        <w:rPr>
                          <w:rFonts w:ascii="Times New Roman" w:hAnsi="Times New Roman" w:cs="Times New Roman"/>
                          <w:b/>
                          <w:bCs/>
                          <w:sz w:val="20"/>
                          <w:szCs w:val="20"/>
                          <w:vertAlign w:val="superscript"/>
                        </w:rPr>
                        <w:t>’</w:t>
                      </w:r>
                      <w:r w:rsidRPr="00335E13">
                        <w:rPr>
                          <w:rFonts w:ascii="Times New Roman" w:hAnsi="Times New Roman" w:cs="Times New Roman"/>
                          <w:sz w:val="20"/>
                          <w:szCs w:val="20"/>
                        </w:rPr>
                        <w:t xml:space="preserve"> %</w:t>
                      </w:r>
                    </w:p>
                  </w:txbxContent>
                </v:textbox>
              </v:rect>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70528" behindDoc="0" locked="0" layoutInCell="1" allowOverlap="1" wp14:anchorId="348C6B7A" wp14:editId="00B64DC9">
                <wp:simplePos x="0" y="0"/>
                <wp:positionH relativeFrom="column">
                  <wp:posOffset>2379345</wp:posOffset>
                </wp:positionH>
                <wp:positionV relativeFrom="paragraph">
                  <wp:posOffset>275590</wp:posOffset>
                </wp:positionV>
                <wp:extent cx="724535" cy="296545"/>
                <wp:effectExtent l="0" t="0" r="0" b="8255"/>
                <wp:wrapNone/>
                <wp:docPr id="959054050" name="Rectangle à coins arrondi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296545"/>
                        </a:xfrm>
                        <a:prstGeom prst="roundRect">
                          <a:avLst>
                            <a:gd name="adj" fmla="val 16667"/>
                          </a:avLst>
                        </a:prstGeom>
                        <a:solidFill>
                          <a:srgbClr val="FFFFFF"/>
                        </a:solidFill>
                        <a:ln w="9525">
                          <a:solidFill>
                            <a:srgbClr val="000000"/>
                          </a:solidFill>
                          <a:round/>
                          <a:headEnd/>
                          <a:tailEnd/>
                        </a:ln>
                      </wps:spPr>
                      <wps:txbx>
                        <w:txbxContent>
                          <w:p w14:paraId="47EB92AE"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Profits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C6B7A" id="Rectangle à coins arrondis 32" o:spid="_x0000_s1044" style="position:absolute;left:0;text-align:left;margin-left:187.35pt;margin-top:21.7pt;width:57.05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">
                <v:textbox inset="1mm,1mm,1mm,1mm">
                  <w:txbxContent>
                    <w:p w14:paraId="47EB92AE" w14:textId="77777777" w:rsidR="009C2D83" w:rsidRPr="00335E13" w:rsidRDefault="009C2D83" w:rsidP="00A034FC">
                      <w:pPr>
                        <w:jc w:val="center"/>
                        <w:rPr>
                          <w:rFonts w:ascii="Times New Roman" w:hAnsi="Times New Roman" w:cs="Times New Roman"/>
                          <w:sz w:val="20"/>
                          <w:szCs w:val="20"/>
                        </w:rPr>
                      </w:pPr>
                      <w:r w:rsidRPr="00335E13">
                        <w:rPr>
                          <w:rFonts w:ascii="Times New Roman" w:hAnsi="Times New Roman" w:cs="Times New Roman"/>
                          <w:sz w:val="20"/>
                          <w:szCs w:val="20"/>
                        </w:rPr>
                        <w:t>Profits</w:t>
                      </w:r>
                    </w:p>
                  </w:txbxContent>
                </v:textbox>
              </v:roundrect>
            </w:pict>
          </mc:Fallback>
        </mc:AlternateContent>
      </w:r>
    </w:p>
    <w:p w14:paraId="5A2412C3" w14:textId="0AA769E3" w:rsidR="00A034FC" w:rsidRPr="00A034FC" w:rsidRDefault="002C5EFF" w:rsidP="00A034FC">
      <w:pPr>
        <w:keepNext/>
        <w:tabs>
          <w:tab w:val="left" w:pos="0"/>
        </w:tabs>
        <w:suppressAutoHyphens/>
        <w:spacing w:before="120" w:line="300" w:lineRule="auto"/>
        <w:rPr>
          <w:rFonts w:ascii="Times New Roman" w:hAnsi="Times New Roman" w:cs="Times New Roman"/>
          <w:i/>
          <w:iCs/>
          <w:sz w:val="24"/>
          <w:szCs w:val="24"/>
        </w:rPr>
      </w:pPr>
      <w:r>
        <w:rPr>
          <w:rFonts w:ascii="Times New Roman" w:hAnsi="Times New Roman" w:cs="Times New Roman"/>
          <w:b/>
          <w:bCs/>
          <w:i/>
          <w:iCs/>
          <w:noProof/>
          <w:sz w:val="24"/>
          <w:szCs w:val="24"/>
          <w:lang w:eastAsia="fr-FR"/>
        </w:rPr>
        <mc:AlternateContent>
          <mc:Choice Requires="wps">
            <w:drawing>
              <wp:anchor distT="4294967295" distB="4294967295" distL="114300" distR="114300" simplePos="0" relativeHeight="251681792" behindDoc="0" locked="0" layoutInCell="1" allowOverlap="1" wp14:anchorId="0A03ED02" wp14:editId="47AB1DEA">
                <wp:simplePos x="0" y="0"/>
                <wp:positionH relativeFrom="column">
                  <wp:posOffset>668020</wp:posOffset>
                </wp:positionH>
                <wp:positionV relativeFrom="paragraph">
                  <wp:posOffset>200659</wp:posOffset>
                </wp:positionV>
                <wp:extent cx="1712595" cy="0"/>
                <wp:effectExtent l="0" t="0" r="1905" b="0"/>
                <wp:wrapNone/>
                <wp:docPr id="959054049"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2595" cy="0"/>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28755" id="Connecteur droit avec flèche 31" o:spid="_x0000_s1026" type="#_x0000_t32" style="position:absolute;margin-left:52.6pt;margin-top:15.8pt;width:134.8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" strokeweight="1pt">
                <v:stroke dashstyle="longDash"/>
              </v:shape>
            </w:pict>
          </mc:Fallback>
        </mc:AlternateContent>
      </w:r>
      <w:r>
        <w:rPr>
          <w:rFonts w:ascii="Times New Roman" w:hAnsi="Times New Roman" w:cs="Times New Roman"/>
          <w:b/>
          <w:bCs/>
          <w:i/>
          <w:iCs/>
          <w:noProof/>
          <w:sz w:val="24"/>
          <w:szCs w:val="24"/>
          <w:lang w:eastAsia="fr-FR"/>
        </w:rPr>
        <mc:AlternateContent>
          <mc:Choice Requires="wps">
            <w:drawing>
              <wp:anchor distT="0" distB="0" distL="114300" distR="114300" simplePos="0" relativeHeight="251682816" behindDoc="0" locked="0" layoutInCell="1" allowOverlap="1" wp14:anchorId="53A8165B" wp14:editId="15E0CA4A">
                <wp:simplePos x="0" y="0"/>
                <wp:positionH relativeFrom="column">
                  <wp:posOffset>3128010</wp:posOffset>
                </wp:positionH>
                <wp:positionV relativeFrom="paragraph">
                  <wp:posOffset>179070</wp:posOffset>
                </wp:positionV>
                <wp:extent cx="1729740" cy="635"/>
                <wp:effectExtent l="0" t="0" r="3810" b="18415"/>
                <wp:wrapNone/>
                <wp:docPr id="959054048"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9740" cy="635"/>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824B4" id="Connecteur droit avec flèche 30" o:spid="_x0000_s1026" type="#_x0000_t32" style="position:absolute;margin-left:246.3pt;margin-top:14.1pt;width:136.2pt;height:.0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" strokeweight="1pt">
                <v:stroke dashstyle="longDash"/>
              </v:shape>
            </w:pict>
          </mc:Fallback>
        </mc:AlternateContent>
      </w:r>
    </w:p>
    <w:p w14:paraId="34F0A107" w14:textId="77777777" w:rsidR="00A034FC" w:rsidRPr="002B005F" w:rsidRDefault="00A034FC" w:rsidP="00A034FC">
      <w:pPr>
        <w:keepNext/>
        <w:tabs>
          <w:tab w:val="left" w:pos="0"/>
        </w:tabs>
        <w:suppressAutoHyphens/>
        <w:spacing w:before="240" w:line="30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Pr="002B005F">
        <w:rPr>
          <w:rFonts w:ascii="Times New Roman" w:hAnsi="Times New Roman" w:cs="Times New Roman"/>
          <w:smallCaps/>
          <w:sz w:val="20"/>
          <w:szCs w:val="20"/>
        </w:rPr>
        <w:t>Causse-Broquet</w:t>
      </w:r>
      <w:r w:rsidRPr="002B005F">
        <w:rPr>
          <w:rFonts w:ascii="Times New Roman" w:hAnsi="Times New Roman" w:cs="Times New Roman"/>
          <w:sz w:val="20"/>
          <w:szCs w:val="20"/>
        </w:rPr>
        <w:t>, (2009), p. 60.</w:t>
      </w:r>
    </w:p>
    <w:p w14:paraId="0E5E4963" w14:textId="77777777" w:rsidR="003568E0" w:rsidRPr="002B005F" w:rsidRDefault="003568E0" w:rsidP="00346763">
      <w:pPr>
        <w:tabs>
          <w:tab w:val="left" w:pos="0"/>
        </w:tabs>
        <w:suppressAutoHyphens/>
        <w:spacing w:line="300" w:lineRule="auto"/>
        <w:rPr>
          <w:rFonts w:ascii="Times New Roman" w:hAnsi="Times New Roman" w:cs="Times New Roman"/>
          <w:sz w:val="24"/>
          <w:szCs w:val="24"/>
        </w:rPr>
      </w:pPr>
    </w:p>
    <w:p w14:paraId="52320526" w14:textId="77777777" w:rsidR="002760B2" w:rsidRPr="002B005F" w:rsidRDefault="002760B2" w:rsidP="000A5E73">
      <w:pPr>
        <w:tabs>
          <w:tab w:val="left" w:pos="0"/>
        </w:tabs>
        <w:suppressAutoHyphen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L’application du mode de financement de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a fait surgir deux techniques qui dépendent de la nature de son application et des variables exogènes dont on ne peut négliger leurs effets :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permanente et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décroissante.</w:t>
      </w:r>
    </w:p>
    <w:p w14:paraId="63FC66C2" w14:textId="77777777" w:rsidR="002760B2" w:rsidRPr="0082089D" w:rsidRDefault="00E41613" w:rsidP="007F1103">
      <w:pPr>
        <w:pStyle w:val="Titre5"/>
        <w:spacing w:before="100" w:beforeAutospacing="1"/>
        <w:ind w:firstLine="709"/>
        <w:rPr>
          <w:rFonts w:asciiTheme="majorBidi" w:hAnsiTheme="majorBidi"/>
          <w:b/>
          <w:bCs/>
          <w:color w:val="auto"/>
          <w:kern w:val="24"/>
          <w:sz w:val="24"/>
          <w:szCs w:val="24"/>
        </w:rPr>
      </w:pPr>
      <w:bookmarkStart w:id="306" w:name="_Toc182298637"/>
      <w:r w:rsidRPr="0082089D">
        <w:rPr>
          <w:rFonts w:asciiTheme="majorBidi" w:hAnsiTheme="majorBidi"/>
          <w:b/>
          <w:bCs/>
          <w:color w:val="auto"/>
          <w:kern w:val="24"/>
          <w:sz w:val="24"/>
          <w:szCs w:val="24"/>
        </w:rPr>
        <w:t xml:space="preserve">2.1.1.2- </w:t>
      </w:r>
      <w:r w:rsidR="00CC5491" w:rsidRPr="008C3912">
        <w:rPr>
          <w:rFonts w:asciiTheme="majorBidi" w:hAnsiTheme="majorBidi"/>
          <w:b/>
          <w:bCs/>
          <w:i/>
          <w:iCs/>
          <w:color w:val="auto"/>
          <w:kern w:val="24"/>
          <w:sz w:val="24"/>
          <w:szCs w:val="24"/>
        </w:rPr>
        <w:t>M</w:t>
      </w:r>
      <w:r w:rsidR="002031CF" w:rsidRPr="008C3912">
        <w:rPr>
          <w:rFonts w:asciiTheme="majorBidi" w:hAnsiTheme="majorBidi"/>
          <w:b/>
          <w:bCs/>
          <w:i/>
          <w:iCs/>
          <w:color w:val="auto"/>
          <w:kern w:val="24"/>
          <w:sz w:val="24"/>
          <w:szCs w:val="24"/>
        </w:rPr>
        <w:t>oucharaka</w:t>
      </w:r>
      <w:r w:rsidR="002031CF" w:rsidRPr="0082089D">
        <w:rPr>
          <w:rFonts w:asciiTheme="majorBidi" w:hAnsiTheme="majorBidi"/>
          <w:b/>
          <w:bCs/>
          <w:color w:val="auto"/>
          <w:kern w:val="24"/>
          <w:sz w:val="24"/>
          <w:szCs w:val="24"/>
        </w:rPr>
        <w:t xml:space="preserve"> permanente</w:t>
      </w:r>
      <w:bookmarkEnd w:id="306"/>
    </w:p>
    <w:p w14:paraId="64FF0627" w14:textId="77777777" w:rsidR="00C474C9" w:rsidRPr="0082089D" w:rsidRDefault="00C474C9" w:rsidP="0082089D">
      <w:pPr>
        <w:pStyle w:val="Paragraphedeliste"/>
        <w:tabs>
          <w:tab w:val="left" w:pos="0"/>
        </w:tabs>
        <w:suppressAutoHyphens/>
        <w:spacing w:before="120"/>
        <w:ind w:left="0" w:firstLine="709"/>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Cette technique est une des formes de la </w:t>
      </w:r>
      <w:r w:rsidRPr="0082089D">
        <w:rPr>
          <w:rFonts w:ascii="Times New Roman" w:hAnsi="Times New Roman" w:cs="Times New Roman"/>
          <w:i/>
          <w:iCs/>
          <w:kern w:val="24"/>
          <w:sz w:val="24"/>
          <w:szCs w:val="24"/>
        </w:rPr>
        <w:t>moucharaka</w:t>
      </w:r>
      <w:r w:rsidRPr="0082089D">
        <w:rPr>
          <w:rFonts w:ascii="Times New Roman" w:hAnsi="Times New Roman" w:cs="Times New Roman"/>
          <w:kern w:val="24"/>
          <w:sz w:val="24"/>
          <w:szCs w:val="24"/>
        </w:rPr>
        <w:t xml:space="preserve"> où la banque participe au financement du projet de façon durable et perçoit régulièrement sa part de bénéfices en tant que partenaire. Elle a le droit comme toute autre société dans la gestion et la supervision. Si le projet est temporaire (ou saisonnier) comme les activités agricoles, la participation est qualifiée</w:t>
      </w:r>
      <w:r w:rsidR="0061468D" w:rsidRPr="0082089D">
        <w:rPr>
          <w:rFonts w:ascii="Times New Roman" w:hAnsi="Times New Roman" w:cs="Times New Roman"/>
          <w:kern w:val="24"/>
          <w:sz w:val="24"/>
          <w:szCs w:val="24"/>
        </w:rPr>
        <w:t xml:space="preserve"> comme limitée dans le temps ;</w:t>
      </w:r>
      <w:r w:rsidRPr="0082089D">
        <w:rPr>
          <w:rFonts w:ascii="Times New Roman" w:hAnsi="Times New Roman" w:cs="Times New Roman"/>
          <w:kern w:val="24"/>
          <w:sz w:val="24"/>
          <w:szCs w:val="24"/>
        </w:rPr>
        <w:t xml:space="preserve"> dans ce cas</w:t>
      </w:r>
      <w:r w:rsidR="0061468D" w:rsidRPr="0082089D">
        <w:rPr>
          <w:rFonts w:ascii="Times New Roman" w:hAnsi="Times New Roman" w:cs="Times New Roman"/>
          <w:kern w:val="24"/>
          <w:sz w:val="24"/>
          <w:szCs w:val="24"/>
        </w:rPr>
        <w:t>,</w:t>
      </w:r>
      <w:r w:rsidRPr="0082089D">
        <w:rPr>
          <w:rFonts w:ascii="Times New Roman" w:hAnsi="Times New Roman" w:cs="Times New Roman"/>
          <w:kern w:val="24"/>
          <w:sz w:val="24"/>
          <w:szCs w:val="24"/>
        </w:rPr>
        <w:t xml:space="preserve"> le contrat de </w:t>
      </w:r>
      <w:r w:rsidRPr="0082089D">
        <w:rPr>
          <w:rFonts w:ascii="Times New Roman" w:hAnsi="Times New Roman" w:cs="Times New Roman"/>
          <w:i/>
          <w:iCs/>
          <w:kern w:val="24"/>
          <w:sz w:val="24"/>
          <w:szCs w:val="24"/>
        </w:rPr>
        <w:t>moucharaka</w:t>
      </w:r>
      <w:r w:rsidRPr="0082089D">
        <w:rPr>
          <w:rFonts w:ascii="Times New Roman" w:hAnsi="Times New Roman" w:cs="Times New Roman"/>
          <w:kern w:val="24"/>
          <w:sz w:val="24"/>
          <w:szCs w:val="24"/>
        </w:rPr>
        <w:t xml:space="preserve"> prend fin à la clôture du projet. Par contre, lorsque la banque est partenaire à part entière tant que le projet fonctionne, la </w:t>
      </w:r>
      <w:r w:rsidRPr="0082089D">
        <w:rPr>
          <w:rFonts w:ascii="Times New Roman" w:hAnsi="Times New Roman" w:cs="Times New Roman"/>
          <w:i/>
          <w:iCs/>
          <w:kern w:val="24"/>
          <w:sz w:val="24"/>
          <w:szCs w:val="24"/>
        </w:rPr>
        <w:t>moucharaka</w:t>
      </w:r>
      <w:r w:rsidRPr="0082089D">
        <w:rPr>
          <w:rFonts w:ascii="Times New Roman" w:hAnsi="Times New Roman" w:cs="Times New Roman"/>
          <w:kern w:val="24"/>
          <w:sz w:val="24"/>
          <w:szCs w:val="24"/>
        </w:rPr>
        <w:t xml:space="preserve"> est dite illimitée dans le temps.</w:t>
      </w:r>
    </w:p>
    <w:p w14:paraId="269BF2AA" w14:textId="77777777" w:rsidR="00C474C9" w:rsidRPr="0082089D" w:rsidRDefault="00E41613" w:rsidP="007F1103">
      <w:pPr>
        <w:pStyle w:val="Titre5"/>
        <w:keepNext w:val="0"/>
        <w:keepLines w:val="0"/>
        <w:suppressAutoHyphens/>
        <w:spacing w:before="100" w:beforeAutospacing="1"/>
        <w:ind w:firstLine="709"/>
        <w:rPr>
          <w:rFonts w:asciiTheme="majorBidi" w:hAnsiTheme="majorBidi"/>
          <w:b/>
          <w:bCs/>
          <w:i/>
          <w:color w:val="auto"/>
          <w:kern w:val="24"/>
          <w:sz w:val="24"/>
          <w:szCs w:val="24"/>
        </w:rPr>
      </w:pPr>
      <w:bookmarkStart w:id="307" w:name="_Toc182298638"/>
      <w:r w:rsidRPr="0082089D">
        <w:rPr>
          <w:rFonts w:asciiTheme="majorBidi" w:hAnsiTheme="majorBidi"/>
          <w:b/>
          <w:bCs/>
          <w:iCs/>
          <w:color w:val="auto"/>
          <w:kern w:val="24"/>
          <w:sz w:val="24"/>
          <w:szCs w:val="24"/>
        </w:rPr>
        <w:t>2.1.1.3-</w:t>
      </w:r>
      <w:r w:rsidRPr="0082089D">
        <w:rPr>
          <w:rFonts w:asciiTheme="majorBidi" w:hAnsiTheme="majorBidi"/>
          <w:b/>
          <w:bCs/>
          <w:i/>
          <w:color w:val="auto"/>
          <w:kern w:val="24"/>
          <w:sz w:val="24"/>
          <w:szCs w:val="24"/>
        </w:rPr>
        <w:t xml:space="preserve"> </w:t>
      </w:r>
      <w:r w:rsidR="00CC5491" w:rsidRPr="0082089D">
        <w:rPr>
          <w:rFonts w:asciiTheme="majorBidi" w:hAnsiTheme="majorBidi"/>
          <w:b/>
          <w:bCs/>
          <w:i/>
          <w:color w:val="auto"/>
          <w:kern w:val="24"/>
          <w:sz w:val="24"/>
          <w:szCs w:val="24"/>
        </w:rPr>
        <w:t>M</w:t>
      </w:r>
      <w:r w:rsidR="00C474C9" w:rsidRPr="0082089D">
        <w:rPr>
          <w:rFonts w:asciiTheme="majorBidi" w:hAnsiTheme="majorBidi"/>
          <w:b/>
          <w:bCs/>
          <w:i/>
          <w:color w:val="auto"/>
          <w:kern w:val="24"/>
          <w:sz w:val="24"/>
          <w:szCs w:val="24"/>
        </w:rPr>
        <w:t xml:space="preserve">oucharaka </w:t>
      </w:r>
      <w:r w:rsidR="00C474C9" w:rsidRPr="0082089D">
        <w:rPr>
          <w:rFonts w:asciiTheme="majorBidi" w:hAnsiTheme="majorBidi"/>
          <w:b/>
          <w:bCs/>
          <w:color w:val="auto"/>
          <w:kern w:val="24"/>
          <w:sz w:val="24"/>
          <w:szCs w:val="24"/>
        </w:rPr>
        <w:t>décroissante</w:t>
      </w:r>
      <w:r w:rsidR="00C474C9" w:rsidRPr="0082089D">
        <w:rPr>
          <w:rFonts w:asciiTheme="majorBidi" w:hAnsiTheme="majorBidi"/>
          <w:b/>
          <w:bCs/>
          <w:i/>
          <w:color w:val="auto"/>
          <w:kern w:val="24"/>
          <w:sz w:val="24"/>
          <w:szCs w:val="24"/>
        </w:rPr>
        <w:t xml:space="preserve"> </w:t>
      </w:r>
      <w:r w:rsidR="00C474C9" w:rsidRPr="0082089D">
        <w:rPr>
          <w:rFonts w:asciiTheme="majorBidi" w:hAnsiTheme="majorBidi"/>
          <w:b/>
          <w:bCs/>
          <w:color w:val="auto"/>
          <w:kern w:val="24"/>
          <w:sz w:val="24"/>
          <w:szCs w:val="24"/>
        </w:rPr>
        <w:t>(dégressive)</w:t>
      </w:r>
      <w:bookmarkEnd w:id="307"/>
    </w:p>
    <w:p w14:paraId="47B93E32" w14:textId="77777777" w:rsidR="002760B2" w:rsidRPr="0082089D" w:rsidRDefault="002760B2" w:rsidP="0082089D">
      <w:pPr>
        <w:tabs>
          <w:tab w:val="left" w:pos="0"/>
        </w:tabs>
        <w:suppressAutoHyphens/>
        <w:spacing w:before="120"/>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Dans ce type de </w:t>
      </w:r>
      <w:r w:rsidRPr="0082089D">
        <w:rPr>
          <w:rFonts w:ascii="Times New Roman" w:hAnsi="Times New Roman" w:cs="Times New Roman"/>
          <w:i/>
          <w:iCs/>
          <w:kern w:val="24"/>
          <w:sz w:val="24"/>
          <w:szCs w:val="24"/>
        </w:rPr>
        <w:t>moucharaka</w:t>
      </w:r>
      <w:r w:rsidRPr="0082089D">
        <w:rPr>
          <w:rFonts w:ascii="Times New Roman" w:hAnsi="Times New Roman" w:cs="Times New Roman"/>
          <w:kern w:val="24"/>
          <w:sz w:val="24"/>
          <w:szCs w:val="24"/>
        </w:rPr>
        <w:t>, la banque s’engage à financer un projet, soit totalement ou partiellement avec l’intention de se retirer progressivement. Elle recevra un pourcentage de profits lié à s</w:t>
      </w:r>
      <w:r w:rsidR="0061468D" w:rsidRPr="0082089D">
        <w:rPr>
          <w:rFonts w:ascii="Times New Roman" w:hAnsi="Times New Roman" w:cs="Times New Roman"/>
          <w:kern w:val="24"/>
          <w:sz w:val="24"/>
          <w:szCs w:val="24"/>
        </w:rPr>
        <w:t>a participation au capital. C</w:t>
      </w:r>
      <w:r w:rsidRPr="0082089D">
        <w:rPr>
          <w:rFonts w:ascii="Times New Roman" w:hAnsi="Times New Roman" w:cs="Times New Roman"/>
          <w:kern w:val="24"/>
          <w:sz w:val="24"/>
          <w:szCs w:val="24"/>
        </w:rPr>
        <w:t>e qui spécifie ce contrat est qu’une partie des revenus nets du projet sera allouée au remboursement du capital initial consenti par la banque. De telle façon, la participation de la banque décroit d’un exercice à l’autre jusqu’à ce que le client (l’entrepreneur) devienne à la fin du contrat le propriétaire final du projet</w:t>
      </w:r>
      <w:r w:rsidR="0061468D" w:rsidRPr="0082089D">
        <w:rPr>
          <w:rFonts w:ascii="Times New Roman" w:hAnsi="Times New Roman" w:cs="Times New Roman"/>
          <w:kern w:val="24"/>
          <w:sz w:val="24"/>
          <w:szCs w:val="24"/>
        </w:rPr>
        <w:t>. Autrement dit</w:t>
      </w:r>
      <w:r w:rsidRPr="0082089D">
        <w:rPr>
          <w:rFonts w:ascii="Times New Roman" w:hAnsi="Times New Roman" w:cs="Times New Roman"/>
          <w:kern w:val="24"/>
          <w:sz w:val="24"/>
          <w:szCs w:val="24"/>
        </w:rPr>
        <w:t xml:space="preserve">, le contrat de </w:t>
      </w:r>
      <w:r w:rsidRPr="0082089D">
        <w:rPr>
          <w:rFonts w:ascii="Times New Roman" w:hAnsi="Times New Roman" w:cs="Times New Roman"/>
          <w:i/>
          <w:iCs/>
          <w:kern w:val="24"/>
          <w:sz w:val="24"/>
          <w:szCs w:val="24"/>
        </w:rPr>
        <w:t>moucharaka</w:t>
      </w:r>
      <w:r w:rsidRPr="0082089D">
        <w:rPr>
          <w:rFonts w:ascii="Times New Roman" w:hAnsi="Times New Roman" w:cs="Times New Roman"/>
          <w:kern w:val="24"/>
          <w:sz w:val="24"/>
          <w:szCs w:val="24"/>
        </w:rPr>
        <w:t xml:space="preserve"> dégressive offre la possibilité à l’entrepreneur d’acheter progressivement les parts de la banque </w:t>
      </w:r>
      <w:r w:rsidR="00505EDD"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Pr="0082089D">
        <w:rPr>
          <w:rFonts w:ascii="Times New Roman" w:hAnsi="Times New Roman" w:cs="Times New Roman"/>
          <w:kern w:val="24"/>
          <w:sz w:val="24"/>
          <w:szCs w:val="24"/>
        </w:rPr>
        <w:t>.</w:t>
      </w:r>
    </w:p>
    <w:p w14:paraId="2893E739" w14:textId="77777777" w:rsidR="00DA29A2" w:rsidRPr="0082089D" w:rsidRDefault="00E41613" w:rsidP="007F1103">
      <w:pPr>
        <w:pStyle w:val="Titre4"/>
        <w:keepLines/>
        <w:suppressAutoHyphens/>
        <w:spacing w:before="120" w:after="0"/>
        <w:ind w:firstLine="709"/>
        <w:rPr>
          <w:kern w:val="24"/>
        </w:rPr>
      </w:pPr>
      <w:bookmarkStart w:id="308" w:name="_Toc182298639"/>
      <w:r w:rsidRPr="0082089D">
        <w:rPr>
          <w:kern w:val="24"/>
        </w:rPr>
        <w:lastRenderedPageBreak/>
        <w:t xml:space="preserve">2.1.2- </w:t>
      </w:r>
      <w:r w:rsidR="00CC5491" w:rsidRPr="008C3912">
        <w:rPr>
          <w:i/>
          <w:iCs/>
          <w:kern w:val="24"/>
        </w:rPr>
        <w:t>M</w:t>
      </w:r>
      <w:r w:rsidR="00DA29A2" w:rsidRPr="008C3912">
        <w:rPr>
          <w:i/>
          <w:iCs/>
          <w:kern w:val="24"/>
        </w:rPr>
        <w:t>oudaraba</w:t>
      </w:r>
      <w:bookmarkEnd w:id="308"/>
    </w:p>
    <w:p w14:paraId="4D1A2E21" w14:textId="0842F1E7" w:rsidR="002760B2" w:rsidRPr="0082089D" w:rsidRDefault="00C61C28" w:rsidP="007F1103">
      <w:pPr>
        <w:pStyle w:val="Paragraphedeliste"/>
        <w:keepNext/>
        <w:keepLines/>
        <w:tabs>
          <w:tab w:val="left" w:pos="0"/>
        </w:tabs>
        <w:suppressAutoHyphens/>
        <w:spacing w:before="120"/>
        <w:ind w:left="0" w:firstLine="709"/>
        <w:contextualSpacing w:val="0"/>
        <w:rPr>
          <w:rFonts w:ascii="Times New Roman" w:hAnsi="Times New Roman" w:cs="Times New Roman"/>
          <w:b/>
          <w:bCs/>
          <w:kern w:val="24"/>
          <w:sz w:val="24"/>
          <w:szCs w:val="24"/>
        </w:rPr>
      </w:pPr>
      <w:r w:rsidRPr="0082089D">
        <w:rPr>
          <w:rFonts w:ascii="Times New Roman" w:hAnsi="Times New Roman" w:cs="Times New Roman"/>
          <w:kern w:val="24"/>
          <w:sz w:val="24"/>
          <w:szCs w:val="24"/>
        </w:rPr>
        <w:t xml:space="preserve">Appelée également le </w:t>
      </w:r>
      <w:r w:rsidRPr="0082089D">
        <w:rPr>
          <w:rFonts w:ascii="Times New Roman" w:hAnsi="Times New Roman" w:cs="Times New Roman"/>
          <w:i/>
          <w:iCs/>
          <w:kern w:val="24"/>
          <w:sz w:val="24"/>
          <w:szCs w:val="24"/>
        </w:rPr>
        <w:t>qirad,</w:t>
      </w:r>
      <w:r w:rsidRPr="0082089D">
        <w:rPr>
          <w:rFonts w:ascii="Times New Roman" w:hAnsi="Times New Roman" w:cs="Times New Roman"/>
          <w:kern w:val="24"/>
          <w:sz w:val="24"/>
          <w:szCs w:val="24"/>
        </w:rPr>
        <w:t xml:space="preserve"> l</w:t>
      </w:r>
      <w:r w:rsidR="002760B2" w:rsidRPr="0082089D">
        <w:rPr>
          <w:rFonts w:ascii="Times New Roman" w:hAnsi="Times New Roman" w:cs="Times New Roman"/>
          <w:kern w:val="24"/>
          <w:sz w:val="24"/>
          <w:szCs w:val="24"/>
        </w:rPr>
        <w:t xml:space="preserve">a </w:t>
      </w:r>
      <w:r w:rsidR="004A4E16" w:rsidRPr="0082089D">
        <w:rPr>
          <w:rFonts w:ascii="Times New Roman" w:hAnsi="Times New Roman" w:cs="Times New Roman"/>
          <w:i/>
          <w:kern w:val="24"/>
          <w:sz w:val="24"/>
          <w:szCs w:val="24"/>
        </w:rPr>
        <w:t>moudaraba</w:t>
      </w:r>
      <w:r w:rsidR="002760B2" w:rsidRPr="0082089D">
        <w:rPr>
          <w:rFonts w:ascii="Times New Roman" w:hAnsi="Times New Roman" w:cs="Times New Roman"/>
          <w:kern w:val="24"/>
          <w:sz w:val="24"/>
          <w:szCs w:val="24"/>
        </w:rPr>
        <w:t xml:space="preserve"> est une forme d’association entre le capital financier d’une part et le travail de l’autre. La technique </w:t>
      </w:r>
      <w:r w:rsidR="004A4E16" w:rsidRPr="0082089D">
        <w:rPr>
          <w:rFonts w:ascii="Times New Roman" w:hAnsi="Times New Roman" w:cs="Times New Roman"/>
          <w:i/>
          <w:kern w:val="24"/>
          <w:sz w:val="24"/>
          <w:szCs w:val="24"/>
        </w:rPr>
        <w:t>moudaraba</w:t>
      </w:r>
      <w:r w:rsidR="002760B2" w:rsidRPr="0082089D">
        <w:rPr>
          <w:rFonts w:ascii="Times New Roman" w:hAnsi="Times New Roman" w:cs="Times New Roman"/>
          <w:kern w:val="24"/>
          <w:sz w:val="24"/>
          <w:szCs w:val="24"/>
        </w:rPr>
        <w:t xml:space="preserve"> était fortement répandue dans le commerce en Arabie pré</w:t>
      </w:r>
      <w:r w:rsidR="00505EDD"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009D55CF" w:rsidRPr="0082089D">
        <w:rPr>
          <w:rFonts w:ascii="Times New Roman" w:hAnsi="Times New Roman" w:cs="Times New Roman"/>
          <w:kern w:val="24"/>
          <w:sz w:val="24"/>
          <w:szCs w:val="24"/>
        </w:rPr>
        <w:t xml:space="preserve">. En effet, le Prophète   </w:t>
      </w:r>
      <w:r w:rsidR="009D55CF" w:rsidRPr="0082089D">
        <w:rPr>
          <w:rFonts w:ascii="Times New Roman" w:hAnsi="Times New Roman" w:cs="Times New Roman"/>
          <w:noProof/>
          <w:kern w:val="24"/>
          <w:sz w:val="24"/>
          <w:szCs w:val="24"/>
          <w:lang w:eastAsia="fr-FR"/>
        </w:rPr>
        <w:drawing>
          <wp:anchor distT="0" distB="0" distL="114300" distR="114300" simplePos="0" relativeHeight="251529216" behindDoc="0" locked="1" layoutInCell="1" allowOverlap="0" wp14:anchorId="726E7679" wp14:editId="52929F59">
            <wp:simplePos x="0" y="0"/>
            <wp:positionH relativeFrom="column">
              <wp:posOffset>3973195</wp:posOffset>
            </wp:positionH>
            <wp:positionV relativeFrom="paragraph">
              <wp:posOffset>507365</wp:posOffset>
            </wp:positionV>
            <wp:extent cx="180975" cy="161925"/>
            <wp:effectExtent l="19050" t="0" r="9525" b="0"/>
            <wp:wrapNone/>
            <wp:docPr id="1344"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9D55CF" w:rsidRPr="0082089D">
        <w:rPr>
          <w:rFonts w:ascii="Times New Roman" w:hAnsi="Times New Roman" w:cs="Times New Roman"/>
          <w:kern w:val="24"/>
          <w:sz w:val="24"/>
          <w:szCs w:val="24"/>
        </w:rPr>
        <w:t xml:space="preserve"> </w:t>
      </w:r>
      <w:r w:rsidR="002760B2" w:rsidRPr="0082089D">
        <w:rPr>
          <w:rFonts w:ascii="Times New Roman" w:hAnsi="Times New Roman" w:cs="Times New Roman"/>
          <w:kern w:val="24"/>
          <w:sz w:val="24"/>
          <w:szCs w:val="24"/>
        </w:rPr>
        <w:t xml:space="preserve"> a pratiqué la </w:t>
      </w:r>
      <w:r w:rsidR="004A4E16" w:rsidRPr="0082089D">
        <w:rPr>
          <w:rFonts w:ascii="Times New Roman" w:hAnsi="Times New Roman" w:cs="Times New Roman"/>
          <w:i/>
          <w:kern w:val="24"/>
          <w:sz w:val="24"/>
          <w:szCs w:val="24"/>
        </w:rPr>
        <w:t>moudaraba</w:t>
      </w:r>
      <w:r w:rsidR="002760B2" w:rsidRPr="0082089D">
        <w:rPr>
          <w:rFonts w:ascii="Times New Roman" w:hAnsi="Times New Roman" w:cs="Times New Roman"/>
          <w:kern w:val="24"/>
          <w:sz w:val="24"/>
          <w:szCs w:val="24"/>
        </w:rPr>
        <w:t>, en faisant le commerce avec l’argent de son épouse Khadija</w:t>
      </w:r>
      <w:r w:rsidR="009723AC" w:rsidRPr="0082089D">
        <w:rPr>
          <w:rFonts w:ascii="Times New Roman" w:hAnsi="Times New Roman" w:cs="Times New Roman"/>
          <w:kern w:val="24"/>
          <w:sz w:val="24"/>
          <w:szCs w:val="24"/>
        </w:rPr>
        <w:t xml:space="preserve">   </w:t>
      </w:r>
      <w:r w:rsidR="009723AC" w:rsidRPr="0082089D">
        <w:rPr>
          <w:rFonts w:ascii="Times New Roman" w:hAnsi="Times New Roman" w:cs="Times New Roman"/>
          <w:noProof/>
          <w:kern w:val="24"/>
          <w:sz w:val="24"/>
          <w:szCs w:val="24"/>
          <w:lang w:eastAsia="fr-FR"/>
        </w:rPr>
        <w:drawing>
          <wp:anchor distT="0" distB="0" distL="114300" distR="114300" simplePos="0" relativeHeight="251532288" behindDoc="0" locked="1" layoutInCell="1" allowOverlap="0" wp14:anchorId="04AE71FD" wp14:editId="6A5849D2">
            <wp:simplePos x="0" y="0"/>
            <wp:positionH relativeFrom="column">
              <wp:posOffset>3723640</wp:posOffset>
            </wp:positionH>
            <wp:positionV relativeFrom="paragraph">
              <wp:posOffset>692150</wp:posOffset>
            </wp:positionV>
            <wp:extent cx="247650" cy="180975"/>
            <wp:effectExtent l="0" t="0" r="0" b="0"/>
            <wp:wrapNone/>
            <wp:docPr id="1361" name="Image 1" descr="ملف:رضي الله عنه.png - ويكيبيد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ملف:رضي الله عنه.png - ويكيبيديا"/>
                    <pic:cNvPicPr preferRelativeResize="0">
                      <a:picLocks noChangeAspect="1" noChangeArrowheads="1"/>
                    </pic:cNvPicPr>
                  </pic:nvPicPr>
                  <pic:blipFill>
                    <a:blip r:embed="rId18" cstate="print"/>
                    <a:srcRect/>
                    <a:stretch>
                      <a:fillRect/>
                    </a:stretch>
                  </pic:blipFill>
                  <pic:spPr bwMode="auto">
                    <a:xfrm>
                      <a:off x="0" y="0"/>
                      <a:ext cx="247650" cy="180975"/>
                    </a:xfrm>
                    <a:prstGeom prst="rect">
                      <a:avLst/>
                    </a:prstGeom>
                    <a:noFill/>
                    <a:ln w="9525">
                      <a:noFill/>
                      <a:miter lim="800000"/>
                      <a:headEnd/>
                      <a:tailEnd/>
                    </a:ln>
                  </pic:spPr>
                </pic:pic>
              </a:graphicData>
            </a:graphic>
          </wp:anchor>
        </w:drawing>
      </w:r>
      <w:r w:rsidR="00F04B08" w:rsidRPr="0082089D">
        <w:rPr>
          <w:rFonts w:ascii="Times New Roman" w:hAnsi="Times New Roman" w:cs="Times New Roman"/>
          <w:kern w:val="24"/>
          <w:sz w:val="24"/>
          <w:szCs w:val="24"/>
        </w:rPr>
        <w:t xml:space="preserve"> .</w:t>
      </w:r>
      <w:r w:rsidR="002760B2" w:rsidRPr="0082089D">
        <w:rPr>
          <w:rFonts w:ascii="Times New Roman" w:hAnsi="Times New Roman" w:cs="Times New Roman"/>
          <w:kern w:val="24"/>
          <w:sz w:val="24"/>
          <w:szCs w:val="24"/>
        </w:rPr>
        <w:t xml:space="preserve"> Certains avancent l’idée que ce contrat a été développé en Arabie occidentale sur la base des accords de métayage entre ceux qui possèdent des terres et ceux qui ont le savoir-faire et fournissent le travail. Les deux groupes collaborent pour générer des bénéfices à partager</w:t>
      </w:r>
      <w:r w:rsidR="002760B2" w:rsidRPr="0082089D">
        <w:rPr>
          <w:rStyle w:val="Appelnotedebasdep"/>
          <w:rFonts w:ascii="Times New Roman" w:hAnsi="Times New Roman"/>
          <w:kern w:val="24"/>
          <w:sz w:val="24"/>
          <w:szCs w:val="24"/>
        </w:rPr>
        <w:footnoteReference w:id="107"/>
      </w:r>
      <w:r w:rsidR="002760B2" w:rsidRPr="0082089D">
        <w:rPr>
          <w:rFonts w:ascii="Times New Roman" w:hAnsi="Times New Roman" w:cs="Times New Roman"/>
          <w:kern w:val="24"/>
          <w:sz w:val="24"/>
          <w:szCs w:val="24"/>
        </w:rPr>
        <w:t>.</w:t>
      </w:r>
    </w:p>
    <w:p w14:paraId="00687937" w14:textId="4030C644" w:rsidR="002760B2" w:rsidRPr="0082089D" w:rsidRDefault="002760B2" w:rsidP="0082089D">
      <w:pPr>
        <w:pStyle w:val="Paragraphedeliste"/>
        <w:tabs>
          <w:tab w:val="left" w:pos="0"/>
        </w:tabs>
        <w:suppressAutoHyphens/>
        <w:spacing w:before="120"/>
        <w:ind w:left="0" w:firstLine="709"/>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Cette technique de financement est fondée sur une relation de solidarité entre le client et la banque. Cette relation a pour fondement le principe du partage des pertes et des profits. Au lieu que la banque prête de l’argent à un taux de rendement fixe, elle forme un partenariat avec l’emprunteur (entrepreneur) dans une opération conforme au précepte de la </w:t>
      </w:r>
      <w:r w:rsidR="00567A13" w:rsidRPr="0082089D">
        <w:rPr>
          <w:rFonts w:asciiTheme="majorBidi" w:eastAsia="Times New Roman" w:hAnsiTheme="majorBidi" w:cstheme="majorBidi"/>
          <w:i/>
          <w:iCs/>
          <w:color w:val="000000" w:themeColor="text1"/>
          <w:kern w:val="24"/>
          <w:sz w:val="24"/>
          <w:szCs w:val="24"/>
          <w:lang w:eastAsia="fr-FR"/>
        </w:rPr>
        <w:t>Shariah</w:t>
      </w:r>
      <w:r w:rsidRPr="0082089D">
        <w:rPr>
          <w:rFonts w:ascii="Times New Roman" w:hAnsi="Times New Roman" w:cs="Times New Roman"/>
          <w:kern w:val="24"/>
          <w:sz w:val="24"/>
          <w:szCs w:val="24"/>
        </w:rPr>
        <w:t>.</w:t>
      </w:r>
    </w:p>
    <w:p w14:paraId="42FEE28F" w14:textId="77777777" w:rsidR="002760B2" w:rsidRPr="0082089D" w:rsidRDefault="00E41613" w:rsidP="007F1103">
      <w:pPr>
        <w:pStyle w:val="Titre5"/>
        <w:keepNext w:val="0"/>
        <w:keepLines w:val="0"/>
        <w:suppressAutoHyphens/>
        <w:spacing w:before="100" w:beforeAutospacing="1"/>
        <w:ind w:firstLine="709"/>
        <w:rPr>
          <w:rFonts w:asciiTheme="majorBidi" w:hAnsiTheme="majorBidi"/>
          <w:b/>
          <w:bCs/>
          <w:i/>
          <w:iCs/>
          <w:color w:val="auto"/>
          <w:kern w:val="24"/>
          <w:sz w:val="24"/>
          <w:szCs w:val="24"/>
        </w:rPr>
      </w:pPr>
      <w:bookmarkStart w:id="309" w:name="_Toc182298640"/>
      <w:r w:rsidRPr="0082089D">
        <w:rPr>
          <w:rFonts w:asciiTheme="majorBidi" w:hAnsiTheme="majorBidi"/>
          <w:b/>
          <w:bCs/>
          <w:color w:val="auto"/>
          <w:kern w:val="24"/>
          <w:sz w:val="24"/>
          <w:szCs w:val="24"/>
        </w:rPr>
        <w:t xml:space="preserve">2.1.2.1- </w:t>
      </w:r>
      <w:r w:rsidR="002760B2" w:rsidRPr="0082089D">
        <w:rPr>
          <w:rFonts w:asciiTheme="majorBidi" w:hAnsiTheme="majorBidi"/>
          <w:b/>
          <w:bCs/>
          <w:color w:val="auto"/>
          <w:kern w:val="24"/>
          <w:sz w:val="24"/>
          <w:szCs w:val="24"/>
        </w:rPr>
        <w:t>Définition de la</w:t>
      </w:r>
      <w:r w:rsidR="002760B2" w:rsidRPr="0082089D">
        <w:rPr>
          <w:rFonts w:asciiTheme="majorBidi" w:hAnsiTheme="majorBidi"/>
          <w:b/>
          <w:bCs/>
          <w:i/>
          <w:iCs/>
          <w:color w:val="auto"/>
          <w:kern w:val="24"/>
          <w:sz w:val="24"/>
          <w:szCs w:val="24"/>
        </w:rPr>
        <w:t xml:space="preserve"> </w:t>
      </w:r>
      <w:r w:rsidR="004A4E16" w:rsidRPr="0082089D">
        <w:rPr>
          <w:rFonts w:asciiTheme="majorBidi" w:hAnsiTheme="majorBidi"/>
          <w:b/>
          <w:bCs/>
          <w:i/>
          <w:iCs/>
          <w:color w:val="auto"/>
          <w:kern w:val="24"/>
          <w:sz w:val="24"/>
          <w:szCs w:val="24"/>
        </w:rPr>
        <w:t>moudaraba</w:t>
      </w:r>
      <w:bookmarkEnd w:id="309"/>
    </w:p>
    <w:p w14:paraId="47466EE7" w14:textId="77777777" w:rsidR="00AC406E" w:rsidRDefault="002760B2" w:rsidP="0082089D">
      <w:pPr>
        <w:tabs>
          <w:tab w:val="left" w:pos="0"/>
        </w:tabs>
        <w:suppressAutoHyphens/>
        <w:autoSpaceDE w:val="0"/>
        <w:autoSpaceDN w:val="0"/>
        <w:adjustRightInd w:val="0"/>
        <w:spacing w:before="120"/>
        <w:ind w:firstLine="709"/>
        <w:rPr>
          <w:rFonts w:ascii="Times New Roman" w:hAnsi="Times New Roman" w:cs="Times New Roman"/>
          <w:kern w:val="24"/>
          <w:sz w:val="24"/>
          <w:szCs w:val="24"/>
        </w:rPr>
      </w:pPr>
      <w:r w:rsidRPr="0082089D">
        <w:rPr>
          <w:rFonts w:ascii="Times New Roman" w:hAnsi="Times New Roman" w:cs="Times New Roman"/>
          <w:smallCaps/>
          <w:kern w:val="24"/>
          <w:sz w:val="24"/>
          <w:szCs w:val="24"/>
        </w:rPr>
        <w:t>Berkane</w:t>
      </w:r>
      <w:r w:rsidRPr="0082089D">
        <w:rPr>
          <w:rFonts w:ascii="Times New Roman" w:hAnsi="Times New Roman" w:cs="Times New Roman"/>
          <w:kern w:val="24"/>
          <w:sz w:val="24"/>
          <w:szCs w:val="24"/>
        </w:rPr>
        <w:t xml:space="preserve"> (2015) a défini cette technique de financement comme étant : « </w:t>
      </w:r>
      <w:r w:rsidRPr="0082089D">
        <w:rPr>
          <w:rFonts w:ascii="Times New Roman" w:hAnsi="Times New Roman" w:cs="Times New Roman"/>
          <w:i/>
          <w:iCs/>
          <w:kern w:val="24"/>
          <w:sz w:val="24"/>
          <w:szCs w:val="24"/>
        </w:rPr>
        <w:t>un partenariat limité dans le temps entre un entrepreneur et un investisseur</w:t>
      </w:r>
      <w:r w:rsidR="002031CF" w:rsidRPr="0082089D">
        <w:rPr>
          <w:rFonts w:ascii="Times New Roman" w:hAnsi="Times New Roman" w:cs="Times New Roman"/>
          <w:i/>
          <w:iCs/>
          <w:kern w:val="24"/>
          <w:sz w:val="24"/>
          <w:szCs w:val="24"/>
        </w:rPr>
        <w:t>, dans</w:t>
      </w:r>
      <w:r w:rsidR="000A5E73" w:rsidRPr="0082089D">
        <w:rPr>
          <w:rFonts w:ascii="Times New Roman" w:hAnsi="Times New Roman" w:cs="Times New Roman"/>
          <w:i/>
          <w:iCs/>
          <w:kern w:val="24"/>
          <w:sz w:val="24"/>
          <w:szCs w:val="24"/>
        </w:rPr>
        <w:t xml:space="preserve"> lequel l’investisseur (rab el-m</w:t>
      </w:r>
      <w:r w:rsidRPr="0082089D">
        <w:rPr>
          <w:rFonts w:ascii="Times New Roman" w:hAnsi="Times New Roman" w:cs="Times New Roman"/>
          <w:i/>
          <w:iCs/>
          <w:kern w:val="24"/>
          <w:sz w:val="24"/>
          <w:szCs w:val="24"/>
        </w:rPr>
        <w:t>al) s'engage à financer le projet de l’entrepreneur (</w:t>
      </w:r>
      <w:r w:rsidR="004A4E16" w:rsidRPr="0082089D">
        <w:rPr>
          <w:rFonts w:ascii="Times New Roman" w:hAnsi="Times New Roman" w:cs="Times New Roman"/>
          <w:i/>
          <w:iCs/>
          <w:kern w:val="24"/>
          <w:sz w:val="24"/>
          <w:szCs w:val="24"/>
        </w:rPr>
        <w:t>moudarib</w:t>
      </w:r>
      <w:r w:rsidRPr="0082089D">
        <w:rPr>
          <w:rFonts w:ascii="Times New Roman" w:hAnsi="Times New Roman" w:cs="Times New Roman"/>
          <w:i/>
          <w:iCs/>
          <w:kern w:val="24"/>
          <w:sz w:val="24"/>
          <w:szCs w:val="24"/>
        </w:rPr>
        <w:t>). En contrepartie, l'entrepreneur doit assurer la gestion du projet, et la rémunération des deux parties est fondée sur une clé de répartition fixée au préalable sous forme de pourcentage des bénéfices du projet. Les pertes éventuelles doivent être supportées par le seul bailleur de capitaux </w:t>
      </w:r>
      <w:r w:rsidRPr="0082089D">
        <w:rPr>
          <w:rFonts w:ascii="Times New Roman" w:hAnsi="Times New Roman" w:cs="Times New Roman"/>
          <w:kern w:val="24"/>
          <w:sz w:val="24"/>
          <w:szCs w:val="24"/>
        </w:rPr>
        <w:t>»</w:t>
      </w:r>
      <w:r w:rsidRPr="0082089D">
        <w:rPr>
          <w:rStyle w:val="Appelnotedebasdep"/>
          <w:rFonts w:ascii="Times New Roman" w:hAnsi="Times New Roman"/>
          <w:kern w:val="24"/>
          <w:sz w:val="24"/>
          <w:szCs w:val="24"/>
        </w:rPr>
        <w:footnoteReference w:id="108"/>
      </w:r>
      <w:r w:rsidRPr="0082089D">
        <w:rPr>
          <w:rFonts w:ascii="Times New Roman" w:hAnsi="Times New Roman" w:cs="Times New Roman"/>
          <w:kern w:val="24"/>
          <w:sz w:val="24"/>
          <w:szCs w:val="24"/>
        </w:rPr>
        <w:t>. (Voir figure N° 4)</w:t>
      </w:r>
      <w:r w:rsidR="00AC406E" w:rsidRPr="0082089D">
        <w:rPr>
          <w:rFonts w:ascii="Times New Roman" w:hAnsi="Times New Roman" w:cs="Times New Roman"/>
          <w:kern w:val="24"/>
          <w:sz w:val="24"/>
          <w:szCs w:val="24"/>
        </w:rPr>
        <w:t xml:space="preserve">. </w:t>
      </w:r>
      <w:r w:rsidRPr="0082089D">
        <w:rPr>
          <w:rFonts w:ascii="Times New Roman" w:hAnsi="Times New Roman" w:cs="Times New Roman"/>
          <w:kern w:val="24"/>
          <w:sz w:val="24"/>
          <w:szCs w:val="24"/>
        </w:rPr>
        <w:t xml:space="preserve">De cette définition, </w:t>
      </w:r>
      <w:r w:rsidR="009723AC" w:rsidRPr="0082089D">
        <w:rPr>
          <w:rFonts w:ascii="Times New Roman" w:hAnsi="Times New Roman" w:cs="Times New Roman"/>
          <w:kern w:val="24"/>
          <w:sz w:val="24"/>
          <w:szCs w:val="24"/>
        </w:rPr>
        <w:t>nous pouvons</w:t>
      </w:r>
      <w:r w:rsidRPr="0082089D">
        <w:rPr>
          <w:rFonts w:ascii="Times New Roman" w:hAnsi="Times New Roman" w:cs="Times New Roman"/>
          <w:kern w:val="24"/>
          <w:sz w:val="24"/>
          <w:szCs w:val="24"/>
        </w:rPr>
        <w:t xml:space="preserve"> tirer les composantes d’un contrat </w:t>
      </w:r>
      <w:r w:rsidR="004A4E16" w:rsidRPr="0082089D">
        <w:rPr>
          <w:rFonts w:ascii="Times New Roman" w:hAnsi="Times New Roman" w:cs="Times New Roman"/>
          <w:i/>
          <w:kern w:val="24"/>
          <w:sz w:val="24"/>
          <w:szCs w:val="24"/>
        </w:rPr>
        <w:t>moudaraba</w:t>
      </w:r>
      <w:r w:rsidRPr="0082089D">
        <w:rPr>
          <w:rFonts w:ascii="Times New Roman" w:hAnsi="Times New Roman" w:cs="Times New Roman"/>
          <w:kern w:val="24"/>
          <w:sz w:val="24"/>
          <w:szCs w:val="24"/>
        </w:rPr>
        <w:t> :</w:t>
      </w:r>
    </w:p>
    <w:p w14:paraId="74196BCE" w14:textId="77777777" w:rsidR="002760B2" w:rsidRPr="006C7977" w:rsidRDefault="009C33EC" w:rsidP="007F1103">
      <w:pPr>
        <w:pStyle w:val="Titre6"/>
        <w:keepNext w:val="0"/>
        <w:keepLines w:val="0"/>
        <w:suppressAutoHyphens/>
        <w:spacing w:before="100" w:beforeAutospacing="1" w:after="120" w:line="300" w:lineRule="auto"/>
        <w:ind w:firstLine="709"/>
        <w:rPr>
          <w:rFonts w:asciiTheme="majorBidi" w:hAnsiTheme="majorBidi"/>
          <w:b/>
          <w:bCs/>
          <w:i w:val="0"/>
          <w:iCs w:val="0"/>
          <w:color w:val="auto"/>
          <w:sz w:val="24"/>
          <w:szCs w:val="24"/>
        </w:rPr>
      </w:pPr>
      <w:bookmarkStart w:id="310" w:name="_Toc182298641"/>
      <w:r w:rsidRPr="006C7977">
        <w:rPr>
          <w:rFonts w:asciiTheme="majorBidi" w:hAnsiTheme="majorBidi"/>
          <w:b/>
          <w:bCs/>
          <w:i w:val="0"/>
          <w:iCs w:val="0"/>
          <w:color w:val="auto"/>
          <w:sz w:val="24"/>
          <w:szCs w:val="24"/>
        </w:rPr>
        <w:t>2.1.2.1.1- C</w:t>
      </w:r>
      <w:r w:rsidR="00FB2B02" w:rsidRPr="006C7977">
        <w:rPr>
          <w:rFonts w:asciiTheme="majorBidi" w:hAnsiTheme="majorBidi"/>
          <w:b/>
          <w:bCs/>
          <w:i w:val="0"/>
          <w:iCs w:val="0"/>
          <w:color w:val="auto"/>
          <w:sz w:val="24"/>
          <w:szCs w:val="24"/>
        </w:rPr>
        <w:t>apital</w:t>
      </w:r>
      <w:bookmarkEnd w:id="310"/>
    </w:p>
    <w:p w14:paraId="0E49C084" w14:textId="77777777" w:rsidR="002760B2" w:rsidRPr="002B005F" w:rsidRDefault="002760B2" w:rsidP="00F04B08">
      <w:pPr>
        <w:tabs>
          <w:tab w:val="left" w:pos="0"/>
        </w:tabs>
        <w:suppressAutoHyphen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capital est apporté par la </w:t>
      </w:r>
      <w:r w:rsidR="002031CF" w:rsidRPr="002B005F">
        <w:rPr>
          <w:rFonts w:ascii="Times New Roman" w:hAnsi="Times New Roman" w:cs="Times New Roman"/>
          <w:sz w:val="24"/>
          <w:szCs w:val="24"/>
        </w:rPr>
        <w:t>BI</w:t>
      </w:r>
      <w:r w:rsidR="000A5E73" w:rsidRPr="002B005F">
        <w:rPr>
          <w:rFonts w:ascii="Times New Roman" w:hAnsi="Times New Roman" w:cs="Times New Roman"/>
          <w:sz w:val="24"/>
          <w:szCs w:val="24"/>
        </w:rPr>
        <w:t xml:space="preserve"> (</w:t>
      </w:r>
      <w:r w:rsidRPr="002B005F">
        <w:rPr>
          <w:rFonts w:ascii="Times New Roman" w:hAnsi="Times New Roman" w:cs="Times New Roman"/>
          <w:sz w:val="24"/>
          <w:szCs w:val="24"/>
        </w:rPr>
        <w:t>bailleur de fonds) qui demeure la propriété de ce dernier. Il ne peut être garanti par l’entrepreneur, ni considéré comme une créance sur ce dernier. Le montant du capital investi doit être en numéraire, déterminé et disponible au début du contrat.</w:t>
      </w:r>
    </w:p>
    <w:p w14:paraId="3E6B330A" w14:textId="77777777" w:rsidR="002760B2" w:rsidRPr="006C7977" w:rsidRDefault="009C33EC" w:rsidP="007F1103">
      <w:pPr>
        <w:pStyle w:val="Titre6"/>
        <w:keepNext w:val="0"/>
        <w:keepLines w:val="0"/>
        <w:suppressAutoHyphens/>
        <w:spacing w:before="100" w:beforeAutospacing="1" w:after="120" w:line="300" w:lineRule="auto"/>
        <w:ind w:firstLine="709"/>
        <w:rPr>
          <w:rFonts w:asciiTheme="majorBidi" w:hAnsiTheme="majorBidi"/>
          <w:b/>
          <w:bCs/>
          <w:i w:val="0"/>
          <w:iCs w:val="0"/>
          <w:color w:val="auto"/>
          <w:sz w:val="24"/>
          <w:szCs w:val="24"/>
        </w:rPr>
      </w:pPr>
      <w:bookmarkStart w:id="311" w:name="_Toc182298642"/>
      <w:r w:rsidRPr="006C7977">
        <w:rPr>
          <w:rFonts w:asciiTheme="majorBidi" w:hAnsiTheme="majorBidi"/>
          <w:b/>
          <w:bCs/>
          <w:i w:val="0"/>
          <w:iCs w:val="0"/>
          <w:color w:val="auto"/>
          <w:sz w:val="24"/>
          <w:szCs w:val="24"/>
        </w:rPr>
        <w:t>2.1.2.1.2- T</w:t>
      </w:r>
      <w:r w:rsidR="002760B2" w:rsidRPr="006C7977">
        <w:rPr>
          <w:rFonts w:asciiTheme="majorBidi" w:hAnsiTheme="majorBidi"/>
          <w:b/>
          <w:bCs/>
          <w:i w:val="0"/>
          <w:iCs w:val="0"/>
          <w:color w:val="auto"/>
          <w:sz w:val="24"/>
          <w:szCs w:val="24"/>
        </w:rPr>
        <w:t>ravail</w:t>
      </w:r>
      <w:bookmarkEnd w:id="311"/>
    </w:p>
    <w:p w14:paraId="3191CB1E" w14:textId="7AF60BC9" w:rsidR="002760B2" w:rsidRPr="00ED3F2E" w:rsidRDefault="002760B2" w:rsidP="009C33EC">
      <w:pPr>
        <w:tabs>
          <w:tab w:val="left" w:pos="0"/>
        </w:tabs>
        <w:suppressAutoHyphens/>
        <w:spacing w:before="120" w:line="300" w:lineRule="auto"/>
        <w:ind w:firstLine="709"/>
        <w:rPr>
          <w:rFonts w:ascii="Times New Roman" w:hAnsi="Times New Roman" w:cs="Times New Roman"/>
          <w:spacing w:val="-4"/>
          <w:sz w:val="24"/>
          <w:szCs w:val="24"/>
        </w:rPr>
      </w:pPr>
      <w:r w:rsidRPr="00ED3F2E">
        <w:rPr>
          <w:rFonts w:ascii="Times New Roman" w:hAnsi="Times New Roman" w:cs="Times New Roman"/>
          <w:spacing w:val="-4"/>
          <w:sz w:val="24"/>
          <w:szCs w:val="24"/>
        </w:rPr>
        <w:t xml:space="preserve">Le </w:t>
      </w:r>
      <w:r w:rsidR="004B5A59" w:rsidRPr="00ED3F2E">
        <w:rPr>
          <w:rFonts w:ascii="Times New Roman" w:hAnsi="Times New Roman" w:cs="Times New Roman"/>
          <w:i/>
          <w:iCs/>
          <w:spacing w:val="-4"/>
          <w:sz w:val="24"/>
          <w:szCs w:val="24"/>
        </w:rPr>
        <w:t>m</w:t>
      </w:r>
      <w:r w:rsidR="004A4E16" w:rsidRPr="00ED3F2E">
        <w:rPr>
          <w:rFonts w:ascii="Times New Roman" w:hAnsi="Times New Roman" w:cs="Times New Roman"/>
          <w:i/>
          <w:iCs/>
          <w:spacing w:val="-4"/>
          <w:sz w:val="24"/>
          <w:szCs w:val="24"/>
        </w:rPr>
        <w:t>oudarib</w:t>
      </w:r>
      <w:r w:rsidRPr="00ED3F2E">
        <w:rPr>
          <w:rFonts w:ascii="Times New Roman" w:hAnsi="Times New Roman" w:cs="Times New Roman"/>
          <w:spacing w:val="-4"/>
          <w:sz w:val="24"/>
          <w:szCs w:val="24"/>
        </w:rPr>
        <w:t xml:space="preserve"> de par sa nature et sa fonction est tenu d’agir de bonne foi et, est tenu responsable des pertes dans le cas de négligence intentionnelle. En tant qu’agent, il est aussi supposé employer et gérer l’affaire de la manière la plus optimale sans pour autant violer les principes de la </w:t>
      </w:r>
      <w:r w:rsidR="001F5C83" w:rsidRPr="00567A13">
        <w:rPr>
          <w:rFonts w:asciiTheme="majorBidi" w:eastAsia="Times New Roman" w:hAnsiTheme="majorBidi" w:cstheme="majorBidi"/>
          <w:i/>
          <w:iCs/>
          <w:color w:val="000000" w:themeColor="text1"/>
          <w:sz w:val="24"/>
          <w:szCs w:val="24"/>
          <w:lang w:eastAsia="fr-FR"/>
        </w:rPr>
        <w:t>Shariah</w:t>
      </w:r>
      <w:r w:rsidR="001F5C83" w:rsidRPr="00ED3F2E">
        <w:rPr>
          <w:rStyle w:val="Appelnotedebasdep"/>
          <w:rFonts w:ascii="Times New Roman" w:hAnsi="Times New Roman"/>
          <w:spacing w:val="-4"/>
          <w:sz w:val="24"/>
          <w:szCs w:val="24"/>
        </w:rPr>
        <w:t xml:space="preserve"> </w:t>
      </w:r>
      <w:r w:rsidRPr="00ED3F2E">
        <w:rPr>
          <w:rStyle w:val="Appelnotedebasdep"/>
          <w:rFonts w:ascii="Times New Roman" w:hAnsi="Times New Roman"/>
          <w:spacing w:val="-4"/>
          <w:sz w:val="24"/>
          <w:szCs w:val="24"/>
        </w:rPr>
        <w:footnoteReference w:id="109"/>
      </w:r>
      <w:r w:rsidRPr="00ED3F2E">
        <w:rPr>
          <w:rFonts w:ascii="Times New Roman" w:hAnsi="Times New Roman" w:cs="Times New Roman"/>
          <w:spacing w:val="-4"/>
          <w:sz w:val="24"/>
          <w:szCs w:val="24"/>
        </w:rPr>
        <w:t>.</w:t>
      </w:r>
    </w:p>
    <w:p w14:paraId="412A187D" w14:textId="37C652A9" w:rsidR="00843020" w:rsidRPr="002B005F" w:rsidRDefault="002C5EFF" w:rsidP="00B914A0">
      <w:pPr>
        <w:keepNext/>
        <w:keepLines/>
        <w:tabs>
          <w:tab w:val="left" w:pos="0"/>
          <w:tab w:val="left" w:pos="3544"/>
        </w:tabs>
        <w:suppressAutoHyphens/>
        <w:spacing w:before="360" w:after="360" w:line="300" w:lineRule="auto"/>
        <w:jc w:val="center"/>
        <w:rPr>
          <w:rFonts w:ascii="Times New Roman" w:hAnsi="Times New Roman" w:cs="Times New Roman"/>
          <w:b/>
          <w:bCs/>
          <w:i/>
          <w:iCs/>
          <w:sz w:val="28"/>
          <w:szCs w:val="28"/>
        </w:rPr>
      </w:pPr>
      <w:r>
        <w:rPr>
          <w:rFonts w:ascii="Times New Roman" w:hAnsi="Times New Roman" w:cs="Times New Roman"/>
          <w:b/>
          <w:bCs/>
          <w:i/>
          <w:iCs/>
          <w:noProof/>
          <w:sz w:val="28"/>
          <w:szCs w:val="28"/>
          <w:lang w:eastAsia="fr-FR"/>
        </w:rPr>
        <w:lastRenderedPageBreak/>
        <mc:AlternateContent>
          <mc:Choice Requires="wps">
            <w:drawing>
              <wp:anchor distT="0" distB="0" distL="114300" distR="114300" simplePos="0" relativeHeight="251633664" behindDoc="0" locked="0" layoutInCell="1" allowOverlap="1" wp14:anchorId="46EDF597" wp14:editId="2111A6C6">
                <wp:simplePos x="0" y="0"/>
                <wp:positionH relativeFrom="column">
                  <wp:posOffset>442595</wp:posOffset>
                </wp:positionH>
                <wp:positionV relativeFrom="paragraph">
                  <wp:posOffset>524510</wp:posOffset>
                </wp:positionV>
                <wp:extent cx="1219200" cy="518795"/>
                <wp:effectExtent l="0" t="0" r="0" b="0"/>
                <wp:wrapNone/>
                <wp:docPr id="1759" name="Rectangle à coins arrondi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18795"/>
                        </a:xfrm>
                        <a:prstGeom prst="roundRect">
                          <a:avLst>
                            <a:gd name="adj" fmla="val 16667"/>
                          </a:avLst>
                        </a:prstGeom>
                        <a:solidFill>
                          <a:srgbClr val="FFFFFF"/>
                        </a:solidFill>
                        <a:ln w="9525">
                          <a:solidFill>
                            <a:srgbClr val="000000"/>
                          </a:solidFill>
                          <a:round/>
                          <a:headEnd/>
                          <a:tailEnd/>
                        </a:ln>
                      </wps:spPr>
                      <wps:txbx>
                        <w:txbxContent>
                          <w:p w14:paraId="10CCF7A3" w14:textId="77777777" w:rsidR="009C2D83" w:rsidRPr="00335E13" w:rsidRDefault="009C2D83" w:rsidP="00843020">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Client</w:t>
                            </w:r>
                          </w:p>
                          <w:p w14:paraId="2244F086" w14:textId="77777777" w:rsidR="009C2D83" w:rsidRDefault="009C2D83" w:rsidP="00843020">
                            <w:pPr>
                              <w:spacing w:line="240" w:lineRule="auto"/>
                              <w:jc w:val="center"/>
                              <w:rPr>
                                <w:rFonts w:ascii="Times New Roman" w:hAnsi="Times New Roman" w:cs="Times New Roman"/>
                                <w:sz w:val="20"/>
                                <w:szCs w:val="20"/>
                              </w:rPr>
                            </w:pPr>
                            <w:r>
                              <w:rPr>
                                <w:rFonts w:ascii="Times New Roman" w:hAnsi="Times New Roman" w:cs="Times New Roman"/>
                                <w:sz w:val="20"/>
                                <w:szCs w:val="20"/>
                              </w:rPr>
                              <w:t>Entrepreneur</w:t>
                            </w:r>
                          </w:p>
                          <w:p w14:paraId="49CC0305" w14:textId="77777777" w:rsidR="009C2D83" w:rsidRPr="00335E13" w:rsidRDefault="009C2D83" w:rsidP="00843020">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Pr="00012FE9">
                              <w:rPr>
                                <w:rFonts w:ascii="Times New Roman" w:hAnsi="Times New Roman" w:cs="Times New Roman"/>
                                <w:i/>
                                <w:iCs/>
                                <w:sz w:val="20"/>
                                <w:szCs w:val="20"/>
                              </w:rPr>
                              <w:t>Moudarib</w:t>
                            </w:r>
                            <w:r>
                              <w:rPr>
                                <w:rFonts w:ascii="Times New Roman" w:hAnsi="Times New Roman" w:cs="Times New Roman"/>
                                <w:sz w:val="20"/>
                                <w:szCs w:val="20"/>
                              </w:rPr>
                              <w:t>)</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DF597" id="Rectangle à coins arrondis 83" o:spid="_x0000_s1045" style="position:absolute;left:0;text-align:left;margin-left:34.85pt;margin-top:41.3pt;width:96pt;height:40.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">
                <v:textbox inset="1mm,0,1mm,0">
                  <w:txbxContent>
                    <w:p w14:paraId="10CCF7A3" w14:textId="77777777" w:rsidR="009C2D83" w:rsidRPr="00335E13" w:rsidRDefault="009C2D83" w:rsidP="00843020">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Client</w:t>
                      </w:r>
                    </w:p>
                    <w:p w14:paraId="2244F086" w14:textId="77777777" w:rsidR="009C2D83" w:rsidRDefault="009C2D83" w:rsidP="00843020">
                      <w:pPr>
                        <w:spacing w:line="240" w:lineRule="auto"/>
                        <w:jc w:val="center"/>
                        <w:rPr>
                          <w:rFonts w:ascii="Times New Roman" w:hAnsi="Times New Roman" w:cs="Times New Roman"/>
                          <w:sz w:val="20"/>
                          <w:szCs w:val="20"/>
                        </w:rPr>
                      </w:pPr>
                      <w:r>
                        <w:rPr>
                          <w:rFonts w:ascii="Times New Roman" w:hAnsi="Times New Roman" w:cs="Times New Roman"/>
                          <w:sz w:val="20"/>
                          <w:szCs w:val="20"/>
                        </w:rPr>
                        <w:t>Entrepreneur</w:t>
                      </w:r>
                    </w:p>
                    <w:p w14:paraId="49CC0305" w14:textId="77777777" w:rsidR="009C2D83" w:rsidRPr="00335E13" w:rsidRDefault="009C2D83" w:rsidP="00843020">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Pr="00012FE9">
                        <w:rPr>
                          <w:rFonts w:ascii="Times New Roman" w:hAnsi="Times New Roman" w:cs="Times New Roman"/>
                          <w:i/>
                          <w:iCs/>
                          <w:sz w:val="20"/>
                          <w:szCs w:val="20"/>
                        </w:rPr>
                        <w:t>Moudarib</w:t>
                      </w:r>
                      <w:r>
                        <w:rPr>
                          <w:rFonts w:ascii="Times New Roman" w:hAnsi="Times New Roman" w:cs="Times New Roman"/>
                          <w:sz w:val="20"/>
                          <w:szCs w:val="20"/>
                        </w:rPr>
                        <w:t>)</w:t>
                      </w:r>
                    </w:p>
                  </w:txbxContent>
                </v:textbox>
              </v:roundrect>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59264" behindDoc="0" locked="0" layoutInCell="1" allowOverlap="1" wp14:anchorId="31F388A9" wp14:editId="3117E761">
                <wp:simplePos x="0" y="0"/>
                <wp:positionH relativeFrom="column">
                  <wp:posOffset>4634230</wp:posOffset>
                </wp:positionH>
                <wp:positionV relativeFrom="paragraph">
                  <wp:posOffset>1037590</wp:posOffset>
                </wp:positionV>
                <wp:extent cx="635" cy="1450340"/>
                <wp:effectExtent l="76200" t="38100" r="56515" b="0"/>
                <wp:wrapNone/>
                <wp:docPr id="1758" name="Connecteur droit avec flèch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50340"/>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8E3C7" id="Connecteur droit avec flèche 108" o:spid="_x0000_s1026" type="#_x0000_t32" style="position:absolute;margin-left:364.9pt;margin-top:81.7pt;width:.05pt;height:114.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" strokeweight="1pt">
                <v:stroke dashstyle="longDash" endarrow="block"/>
              </v:shape>
            </w:pict>
          </mc:Fallback>
        </mc:AlternateContent>
      </w:r>
      <w:r>
        <w:rPr>
          <w:rFonts w:ascii="Times New Roman" w:hAnsi="Times New Roman" w:cs="Times New Roman"/>
          <w:b/>
          <w:bCs/>
          <w:i/>
          <w:iCs/>
          <w:noProof/>
          <w:sz w:val="28"/>
          <w:szCs w:val="28"/>
          <w:lang w:eastAsia="fr-FR"/>
        </w:rPr>
        <mc:AlternateContent>
          <mc:Choice Requires="wps">
            <w:drawing>
              <wp:anchor distT="4294967295" distB="4294967295" distL="114300" distR="114300" simplePos="0" relativeHeight="251658240" behindDoc="0" locked="0" layoutInCell="1" allowOverlap="1" wp14:anchorId="66CE76F6" wp14:editId="4B913C65">
                <wp:simplePos x="0" y="0"/>
                <wp:positionH relativeFrom="column">
                  <wp:posOffset>3745865</wp:posOffset>
                </wp:positionH>
                <wp:positionV relativeFrom="paragraph">
                  <wp:posOffset>2487929</wp:posOffset>
                </wp:positionV>
                <wp:extent cx="888365" cy="0"/>
                <wp:effectExtent l="0" t="0" r="6985" b="0"/>
                <wp:wrapNone/>
                <wp:docPr id="1757" name="Connecteur droit avec flèch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0"/>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30103" id="Connecteur droit avec flèche 107" o:spid="_x0000_s1026" type="#_x0000_t32" style="position:absolute;margin-left:294.95pt;margin-top:195.9pt;width:69.9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" strokeweight="1pt">
                <v:stroke dashstyle="longDash"/>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56192" behindDoc="0" locked="0" layoutInCell="1" allowOverlap="1" wp14:anchorId="19B6A4B8" wp14:editId="0605FC13">
                <wp:simplePos x="0" y="0"/>
                <wp:positionH relativeFrom="column">
                  <wp:posOffset>3250565</wp:posOffset>
                </wp:positionH>
                <wp:positionV relativeFrom="paragraph">
                  <wp:posOffset>2009775</wp:posOffset>
                </wp:positionV>
                <wp:extent cx="213995" cy="318135"/>
                <wp:effectExtent l="0" t="0" r="52705" b="43815"/>
                <wp:wrapNone/>
                <wp:docPr id="1756" name="Connecteur droit avec flèch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318135"/>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AFE50" id="Connecteur droit avec flèche 105" o:spid="_x0000_s1026" type="#_x0000_t32" style="position:absolute;margin-left:255.95pt;margin-top:158.25pt;width:16.85pt;height:2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" strokeweight="1pt">
                <v:stroke dashstyle="longDash" endarrow="block"/>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55168" behindDoc="0" locked="0" layoutInCell="1" allowOverlap="1" wp14:anchorId="0ED9E929" wp14:editId="57E54EA3">
                <wp:simplePos x="0" y="0"/>
                <wp:positionH relativeFrom="column">
                  <wp:posOffset>2476500</wp:posOffset>
                </wp:positionH>
                <wp:positionV relativeFrom="paragraph">
                  <wp:posOffset>2199005</wp:posOffset>
                </wp:positionV>
                <wp:extent cx="321945" cy="545465"/>
                <wp:effectExtent l="38100" t="0" r="1905" b="45085"/>
                <wp:wrapNone/>
                <wp:docPr id="1755" name="Connecteur droit avec flèch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545465"/>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88DC0" id="Connecteur droit avec flèche 104" o:spid="_x0000_s1026" type="#_x0000_t32" style="position:absolute;margin-left:195pt;margin-top:173.15pt;width:25.35pt;height:42.9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" strokeweight="1pt">
                <v:stroke dashstyle="longDash" endarrow="block"/>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299" distR="114299" simplePos="0" relativeHeight="251654144" behindDoc="0" locked="0" layoutInCell="1" allowOverlap="1" wp14:anchorId="58D273DA" wp14:editId="4051053D">
                <wp:simplePos x="0" y="0"/>
                <wp:positionH relativeFrom="column">
                  <wp:posOffset>4907914</wp:posOffset>
                </wp:positionH>
                <wp:positionV relativeFrom="paragraph">
                  <wp:posOffset>1043305</wp:posOffset>
                </wp:positionV>
                <wp:extent cx="0" cy="1913890"/>
                <wp:effectExtent l="76200" t="38100" r="38100" b="0"/>
                <wp:wrapNone/>
                <wp:docPr id="1754" name="Connecteur droit avec flèch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13890"/>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CF0D9" id="Connecteur droit avec flèche 103" o:spid="_x0000_s1026" type="#_x0000_t32" style="position:absolute;margin-left:386.45pt;margin-top:82.15pt;width:0;height:150.7pt;flip:y;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" strokeweight="1pt">
                <v:stroke dashstyle="longDash" endarrow="block"/>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53120" behindDoc="0" locked="0" layoutInCell="1" allowOverlap="1" wp14:anchorId="1CB3679C" wp14:editId="3F03A252">
                <wp:simplePos x="0" y="0"/>
                <wp:positionH relativeFrom="column">
                  <wp:posOffset>718185</wp:posOffset>
                </wp:positionH>
                <wp:positionV relativeFrom="paragraph">
                  <wp:posOffset>1043940</wp:posOffset>
                </wp:positionV>
                <wp:extent cx="635" cy="1913255"/>
                <wp:effectExtent l="76200" t="38100" r="56515" b="0"/>
                <wp:wrapNone/>
                <wp:docPr id="1753" name="Connecteur droit avec flèch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13255"/>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D83AC" id="Connecteur droit avec flèche 102" o:spid="_x0000_s1026" type="#_x0000_t32" style="position:absolute;margin-left:56.55pt;margin-top:82.2pt;width:.05pt;height:150.6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" strokeweight="1pt">
                <v:stroke dashstyle="longDash" endarrow="block"/>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52096" behindDoc="0" locked="0" layoutInCell="1" allowOverlap="1" wp14:anchorId="299A975A" wp14:editId="2440B33C">
                <wp:simplePos x="0" y="0"/>
                <wp:positionH relativeFrom="column">
                  <wp:posOffset>812800</wp:posOffset>
                </wp:positionH>
                <wp:positionV relativeFrom="paragraph">
                  <wp:posOffset>1043940</wp:posOffset>
                </wp:positionV>
                <wp:extent cx="635" cy="1821815"/>
                <wp:effectExtent l="76200" t="38100" r="56515" b="6985"/>
                <wp:wrapNone/>
                <wp:docPr id="1752" name="Connecteur droit avec flèch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21815"/>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63DEA" id="Connecteur droit avec flèche 101" o:spid="_x0000_s1026" type="#_x0000_t32" style="position:absolute;margin-left:64pt;margin-top:82.2pt;width:.05pt;height:143.4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" strokeweight="1pt">
                <v:stroke dashstyle="longDash" endarrow="block"/>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51072" behindDoc="0" locked="0" layoutInCell="1" allowOverlap="1" wp14:anchorId="2AAD1CB5" wp14:editId="63B10545">
                <wp:simplePos x="0" y="0"/>
                <wp:positionH relativeFrom="column">
                  <wp:posOffset>4791710</wp:posOffset>
                </wp:positionH>
                <wp:positionV relativeFrom="paragraph">
                  <wp:posOffset>1043305</wp:posOffset>
                </wp:positionV>
                <wp:extent cx="635" cy="1828165"/>
                <wp:effectExtent l="76200" t="38100" r="56515" b="635"/>
                <wp:wrapNone/>
                <wp:docPr id="1751" name="Connecteur droit avec flèch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28165"/>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33B75" id="Connecteur droit avec flèche 100" o:spid="_x0000_s1026" type="#_x0000_t32" style="position:absolute;margin-left:377.3pt;margin-top:82.15pt;width:.05pt;height:143.9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" strokeweight="1pt">
                <v:stroke dashstyle="longDash" endarrow="block"/>
              </v:shape>
            </w:pict>
          </mc:Fallback>
        </mc:AlternateContent>
      </w:r>
      <w:r>
        <w:rPr>
          <w:rFonts w:ascii="Times New Roman" w:hAnsi="Times New Roman" w:cs="Times New Roman"/>
          <w:b/>
          <w:bCs/>
          <w:i/>
          <w:iCs/>
          <w:noProof/>
          <w:sz w:val="28"/>
          <w:szCs w:val="28"/>
          <w:lang w:eastAsia="fr-FR"/>
        </w:rPr>
        <mc:AlternateContent>
          <mc:Choice Requires="wps">
            <w:drawing>
              <wp:anchor distT="4294967295" distB="4294967295" distL="114300" distR="114300" simplePos="0" relativeHeight="251650048" behindDoc="0" locked="0" layoutInCell="1" allowOverlap="1" wp14:anchorId="4E330A65" wp14:editId="4C10C03C">
                <wp:simplePos x="0" y="0"/>
                <wp:positionH relativeFrom="column">
                  <wp:posOffset>2798445</wp:posOffset>
                </wp:positionH>
                <wp:positionV relativeFrom="paragraph">
                  <wp:posOffset>2957194</wp:posOffset>
                </wp:positionV>
                <wp:extent cx="2109470" cy="0"/>
                <wp:effectExtent l="0" t="0" r="5080" b="0"/>
                <wp:wrapNone/>
                <wp:docPr id="1750" name="Connecteur droit avec flèch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9470" cy="0"/>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1D44C" id="Connecteur droit avec flèche 99" o:spid="_x0000_s1026" type="#_x0000_t32" style="position:absolute;margin-left:220.35pt;margin-top:232.85pt;width:166.1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" strokeweight="1pt">
                <v:stroke dashstyle="longDash"/>
              </v:shape>
            </w:pict>
          </mc:Fallback>
        </mc:AlternateContent>
      </w:r>
      <w:r>
        <w:rPr>
          <w:rFonts w:ascii="Times New Roman" w:hAnsi="Times New Roman" w:cs="Times New Roman"/>
          <w:b/>
          <w:bCs/>
          <w:i/>
          <w:iCs/>
          <w:noProof/>
          <w:sz w:val="28"/>
          <w:szCs w:val="28"/>
          <w:lang w:eastAsia="fr-FR"/>
        </w:rPr>
        <mc:AlternateContent>
          <mc:Choice Requires="wps">
            <w:drawing>
              <wp:anchor distT="4294967295" distB="4294967295" distL="114300" distR="114300" simplePos="0" relativeHeight="251649024" behindDoc="0" locked="0" layoutInCell="1" allowOverlap="1" wp14:anchorId="172298D7" wp14:editId="224029B0">
                <wp:simplePos x="0" y="0"/>
                <wp:positionH relativeFrom="column">
                  <wp:posOffset>717550</wp:posOffset>
                </wp:positionH>
                <wp:positionV relativeFrom="paragraph">
                  <wp:posOffset>2957194</wp:posOffset>
                </wp:positionV>
                <wp:extent cx="1351280" cy="0"/>
                <wp:effectExtent l="0" t="0" r="1270" b="0"/>
                <wp:wrapNone/>
                <wp:docPr id="1749" name="Connecteur droit avec flèch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1280" cy="0"/>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A0383" id="Connecteur droit avec flèche 98" o:spid="_x0000_s1026" type="#_x0000_t32" style="position:absolute;margin-left:56.5pt;margin-top:232.85pt;width:106.4pt;height:0;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" strokeweight="1pt">
                <v:stroke dashstyle="longDash"/>
              </v:shape>
            </w:pict>
          </mc:Fallback>
        </mc:AlternateContent>
      </w:r>
      <w:r>
        <w:rPr>
          <w:rFonts w:ascii="Times New Roman" w:hAnsi="Times New Roman" w:cs="Times New Roman"/>
          <w:b/>
          <w:bCs/>
          <w:i/>
          <w:iCs/>
          <w:noProof/>
          <w:sz w:val="28"/>
          <w:szCs w:val="28"/>
          <w:lang w:eastAsia="fr-FR"/>
        </w:rPr>
        <mc:AlternateContent>
          <mc:Choice Requires="wps">
            <w:drawing>
              <wp:anchor distT="4294967295" distB="4294967295" distL="114300" distR="114300" simplePos="0" relativeHeight="251648000" behindDoc="0" locked="0" layoutInCell="1" allowOverlap="1" wp14:anchorId="254E22E9" wp14:editId="2D708275">
                <wp:simplePos x="0" y="0"/>
                <wp:positionH relativeFrom="column">
                  <wp:posOffset>812800</wp:posOffset>
                </wp:positionH>
                <wp:positionV relativeFrom="paragraph">
                  <wp:posOffset>2865754</wp:posOffset>
                </wp:positionV>
                <wp:extent cx="1261110" cy="0"/>
                <wp:effectExtent l="0" t="0" r="0" b="0"/>
                <wp:wrapNone/>
                <wp:docPr id="1748" name="Connecteur droit avec flèch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BB3AD" id="Connecteur droit avec flèche 97" o:spid="_x0000_s1026" type="#_x0000_t32" style="position:absolute;margin-left:64pt;margin-top:225.65pt;width:99.3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" strokeweight="1pt">
                <v:stroke dashstyle="longDash"/>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46976" behindDoc="0" locked="0" layoutInCell="1" allowOverlap="1" wp14:anchorId="419DFDF7" wp14:editId="3C1B7460">
                <wp:simplePos x="0" y="0"/>
                <wp:positionH relativeFrom="column">
                  <wp:posOffset>2798445</wp:posOffset>
                </wp:positionH>
                <wp:positionV relativeFrom="paragraph">
                  <wp:posOffset>2871470</wp:posOffset>
                </wp:positionV>
                <wp:extent cx="1993900" cy="635"/>
                <wp:effectExtent l="0" t="0" r="6350" b="18415"/>
                <wp:wrapNone/>
                <wp:docPr id="1746" name="Connecteur droit avec flèch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0" cy="635"/>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59FCB" id="Connecteur droit avec flèche 96" o:spid="_x0000_s1026" type="#_x0000_t32" style="position:absolute;margin-left:220.35pt;margin-top:226.1pt;width:157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" strokeweight="1pt">
                <v:stroke dashstyle="longDash"/>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45952" behindDoc="0" locked="0" layoutInCell="1" allowOverlap="1" wp14:anchorId="6524C4D8" wp14:editId="48BB49EE">
                <wp:simplePos x="0" y="0"/>
                <wp:positionH relativeFrom="column">
                  <wp:posOffset>3374390</wp:posOffset>
                </wp:positionH>
                <wp:positionV relativeFrom="paragraph">
                  <wp:posOffset>1545590</wp:posOffset>
                </wp:positionV>
                <wp:extent cx="1112520" cy="222250"/>
                <wp:effectExtent l="0" t="0" r="0" b="6350"/>
                <wp:wrapNone/>
                <wp:docPr id="174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22250"/>
                        </a:xfrm>
                        <a:prstGeom prst="rect">
                          <a:avLst/>
                        </a:prstGeom>
                        <a:solidFill>
                          <a:srgbClr val="FFFFFF"/>
                        </a:solidFill>
                        <a:ln w="9525">
                          <a:solidFill>
                            <a:srgbClr val="FFFFFF"/>
                          </a:solidFill>
                          <a:miter lim="800000"/>
                          <a:headEnd/>
                          <a:tailEnd/>
                        </a:ln>
                      </wps:spPr>
                      <wps:txbx>
                        <w:txbxContent>
                          <w:p w14:paraId="40E9E66D" w14:textId="77777777" w:rsidR="009C2D83" w:rsidRPr="00335E13" w:rsidRDefault="009C2D83" w:rsidP="00843020">
                            <w:pPr>
                              <w:jc w:val="center"/>
                              <w:rPr>
                                <w:rFonts w:ascii="Times New Roman" w:hAnsi="Times New Roman" w:cs="Times New Roman"/>
                                <w:sz w:val="20"/>
                                <w:szCs w:val="20"/>
                              </w:rPr>
                            </w:pPr>
                            <w:r w:rsidRPr="00335E13">
                              <w:rPr>
                                <w:rFonts w:ascii="Times New Roman" w:hAnsi="Times New Roman" w:cs="Times New Roman"/>
                                <w:sz w:val="20"/>
                                <w:szCs w:val="20"/>
                              </w:rPr>
                              <w:t>(2) Capital</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4C4D8" id="Rectangle 95" o:spid="_x0000_s1046" style="position:absolute;left:0;text-align:left;margin-left:265.7pt;margin-top:121.7pt;width:87.6pt;height: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" strokecolor="white">
                <v:textbox inset="0,1mm,0,1mm">
                  <w:txbxContent>
                    <w:p w14:paraId="40E9E66D" w14:textId="77777777" w:rsidR="009C2D83" w:rsidRPr="00335E13" w:rsidRDefault="009C2D83" w:rsidP="00843020">
                      <w:pPr>
                        <w:jc w:val="center"/>
                        <w:rPr>
                          <w:rFonts w:ascii="Times New Roman" w:hAnsi="Times New Roman" w:cs="Times New Roman"/>
                          <w:sz w:val="20"/>
                          <w:szCs w:val="20"/>
                        </w:rPr>
                      </w:pPr>
                      <w:r w:rsidRPr="00335E13">
                        <w:rPr>
                          <w:rFonts w:ascii="Times New Roman" w:hAnsi="Times New Roman" w:cs="Times New Roman"/>
                          <w:sz w:val="20"/>
                          <w:szCs w:val="20"/>
                        </w:rPr>
                        <w:t>(2) Capital</w:t>
                      </w:r>
                    </w:p>
                  </w:txbxContent>
                </v:textbox>
              </v:rect>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44928" behindDoc="0" locked="0" layoutInCell="1" allowOverlap="1" wp14:anchorId="4EA083AF" wp14:editId="18B5391E">
                <wp:simplePos x="0" y="0"/>
                <wp:positionH relativeFrom="column">
                  <wp:posOffset>1115695</wp:posOffset>
                </wp:positionH>
                <wp:positionV relativeFrom="paragraph">
                  <wp:posOffset>1545590</wp:posOffset>
                </wp:positionV>
                <wp:extent cx="1112520" cy="222250"/>
                <wp:effectExtent l="0" t="0" r="0" b="6350"/>
                <wp:wrapNone/>
                <wp:docPr id="17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22250"/>
                        </a:xfrm>
                        <a:prstGeom prst="rect">
                          <a:avLst/>
                        </a:prstGeom>
                        <a:solidFill>
                          <a:srgbClr val="FFFFFF"/>
                        </a:solidFill>
                        <a:ln w="9525">
                          <a:solidFill>
                            <a:srgbClr val="FFFFFF"/>
                          </a:solidFill>
                          <a:miter lim="800000"/>
                          <a:headEnd/>
                          <a:tailEnd/>
                        </a:ln>
                      </wps:spPr>
                      <wps:txbx>
                        <w:txbxContent>
                          <w:p w14:paraId="0ACBFBDD" w14:textId="77777777" w:rsidR="009C2D83" w:rsidRPr="00335E13" w:rsidRDefault="009C2D83" w:rsidP="00843020">
                            <w:pPr>
                              <w:jc w:val="center"/>
                              <w:rPr>
                                <w:rFonts w:ascii="Times New Roman" w:hAnsi="Times New Roman" w:cs="Times New Roman"/>
                                <w:sz w:val="20"/>
                                <w:szCs w:val="20"/>
                              </w:rPr>
                            </w:pPr>
                            <w:r w:rsidRPr="00335E13">
                              <w:rPr>
                                <w:rFonts w:ascii="Times New Roman" w:hAnsi="Times New Roman" w:cs="Times New Roman"/>
                                <w:sz w:val="20"/>
                                <w:szCs w:val="20"/>
                              </w:rPr>
                              <w:t xml:space="preserve">(2) </w:t>
                            </w:r>
                            <w:r>
                              <w:rPr>
                                <w:rFonts w:ascii="Times New Roman" w:hAnsi="Times New Roman" w:cs="Times New Roman"/>
                                <w:sz w:val="20"/>
                                <w:szCs w:val="20"/>
                              </w:rPr>
                              <w:t>Travail</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083AF" id="Rectangle 94" o:spid="_x0000_s1047" style="position:absolute;left:0;text-align:left;margin-left:87.85pt;margin-top:121.7pt;width:87.6pt;height: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" strokecolor="white">
                <v:textbox inset="0,1mm,0,1mm">
                  <w:txbxContent>
                    <w:p w14:paraId="0ACBFBDD" w14:textId="77777777" w:rsidR="009C2D83" w:rsidRPr="00335E13" w:rsidRDefault="009C2D83" w:rsidP="00843020">
                      <w:pPr>
                        <w:jc w:val="center"/>
                        <w:rPr>
                          <w:rFonts w:ascii="Times New Roman" w:hAnsi="Times New Roman" w:cs="Times New Roman"/>
                          <w:sz w:val="20"/>
                          <w:szCs w:val="20"/>
                        </w:rPr>
                      </w:pPr>
                      <w:r w:rsidRPr="00335E13">
                        <w:rPr>
                          <w:rFonts w:ascii="Times New Roman" w:hAnsi="Times New Roman" w:cs="Times New Roman"/>
                          <w:sz w:val="20"/>
                          <w:szCs w:val="20"/>
                        </w:rPr>
                        <w:t xml:space="preserve">(2) </w:t>
                      </w:r>
                      <w:r>
                        <w:rPr>
                          <w:rFonts w:ascii="Times New Roman" w:hAnsi="Times New Roman" w:cs="Times New Roman"/>
                          <w:sz w:val="20"/>
                          <w:szCs w:val="20"/>
                        </w:rPr>
                        <w:t>Travail</w:t>
                      </w:r>
                    </w:p>
                  </w:txbxContent>
                </v:textbox>
              </v:rect>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43904" behindDoc="0" locked="0" layoutInCell="1" allowOverlap="1" wp14:anchorId="7EE8BC05" wp14:editId="52434DD2">
                <wp:simplePos x="0" y="0"/>
                <wp:positionH relativeFrom="column">
                  <wp:posOffset>3302000</wp:posOffset>
                </wp:positionH>
                <wp:positionV relativeFrom="paragraph">
                  <wp:posOffset>1818005</wp:posOffset>
                </wp:positionV>
                <wp:extent cx="1233805" cy="635"/>
                <wp:effectExtent l="38100" t="76200" r="0" b="75565"/>
                <wp:wrapNone/>
                <wp:docPr id="1743" name="Connecteur droit avec flèch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38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A8B11" id="Connecteur droit avec flèche 93" o:spid="_x0000_s1026" type="#_x0000_t32" style="position:absolute;margin-left:260pt;margin-top:143.15pt;width:97.15pt;height:.0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">
                <v:stroke endarrow="block"/>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42880" behindDoc="0" locked="0" layoutInCell="1" allowOverlap="1" wp14:anchorId="4181F7CA" wp14:editId="20E27FA6">
                <wp:simplePos x="0" y="0"/>
                <wp:positionH relativeFrom="column">
                  <wp:posOffset>4535805</wp:posOffset>
                </wp:positionH>
                <wp:positionV relativeFrom="paragraph">
                  <wp:posOffset>1043305</wp:posOffset>
                </wp:positionV>
                <wp:extent cx="8255" cy="773430"/>
                <wp:effectExtent l="0" t="0" r="10795" b="7620"/>
                <wp:wrapNone/>
                <wp:docPr id="1742" name="Connecteur droit avec flèch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7734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4B070" id="Connecteur droit avec flèche 92" o:spid="_x0000_s1026" type="#_x0000_t32" style="position:absolute;margin-left:357.15pt;margin-top:82.15pt;width:.65pt;height:6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" strokeweight="1pt"/>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41856" behindDoc="0" locked="0" layoutInCell="1" allowOverlap="1" wp14:anchorId="320BD07B" wp14:editId="59DC99D3">
                <wp:simplePos x="0" y="0"/>
                <wp:positionH relativeFrom="column">
                  <wp:posOffset>1043940</wp:posOffset>
                </wp:positionH>
                <wp:positionV relativeFrom="paragraph">
                  <wp:posOffset>1817370</wp:posOffset>
                </wp:positionV>
                <wp:extent cx="1269365" cy="635"/>
                <wp:effectExtent l="0" t="76200" r="6985" b="75565"/>
                <wp:wrapNone/>
                <wp:docPr id="1741" name="Connecteur droit avec flèch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93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4CF6E" id="Connecteur droit avec flèche 91" o:spid="_x0000_s1026" type="#_x0000_t32" style="position:absolute;margin-left:82.2pt;margin-top:143.1pt;width:99.95pt;height:.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">
                <v:stroke endarrow="block"/>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299" distR="114299" simplePos="0" relativeHeight="251640832" behindDoc="0" locked="0" layoutInCell="1" allowOverlap="1" wp14:anchorId="0A49DF32" wp14:editId="4BD9C523">
                <wp:simplePos x="0" y="0"/>
                <wp:positionH relativeFrom="column">
                  <wp:posOffset>1043939</wp:posOffset>
                </wp:positionH>
                <wp:positionV relativeFrom="paragraph">
                  <wp:posOffset>1043305</wp:posOffset>
                </wp:positionV>
                <wp:extent cx="0" cy="774700"/>
                <wp:effectExtent l="0" t="0" r="0" b="6350"/>
                <wp:wrapNone/>
                <wp:docPr id="1740" name="Connecteur droit avec flèch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53408" id="Connecteur droit avec flèche 90" o:spid="_x0000_s1026" type="#_x0000_t32" style="position:absolute;margin-left:82.2pt;margin-top:82.15pt;width:0;height:61pt;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" strokeweight="1pt"/>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39808" behindDoc="0" locked="0" layoutInCell="1" allowOverlap="1" wp14:anchorId="4F0432D7" wp14:editId="06982F68">
                <wp:simplePos x="0" y="0"/>
                <wp:positionH relativeFrom="column">
                  <wp:posOffset>2073910</wp:posOffset>
                </wp:positionH>
                <wp:positionV relativeFrom="paragraph">
                  <wp:posOffset>574040</wp:posOffset>
                </wp:positionV>
                <wp:extent cx="1671955" cy="156210"/>
                <wp:effectExtent l="0" t="0" r="4445" b="0"/>
                <wp:wrapNone/>
                <wp:docPr id="173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156210"/>
                        </a:xfrm>
                        <a:prstGeom prst="rect">
                          <a:avLst/>
                        </a:prstGeom>
                        <a:solidFill>
                          <a:srgbClr val="FFFFFF"/>
                        </a:solidFill>
                        <a:ln w="9525">
                          <a:solidFill>
                            <a:srgbClr val="FFFFFF"/>
                          </a:solidFill>
                          <a:miter lim="800000"/>
                          <a:headEnd/>
                          <a:tailEnd/>
                        </a:ln>
                      </wps:spPr>
                      <wps:txbx>
                        <w:txbxContent>
                          <w:p w14:paraId="1DE79A8D" w14:textId="77777777" w:rsidR="009C2D83" w:rsidRPr="001902DA" w:rsidRDefault="009C2D83" w:rsidP="00CB0FF1">
                            <w:pPr>
                              <w:pStyle w:val="Paragraphedeliste"/>
                              <w:numPr>
                                <w:ilvl w:val="0"/>
                                <w:numId w:val="6"/>
                              </w:numPr>
                              <w:ind w:right="-4"/>
                              <w:rPr>
                                <w:rFonts w:ascii="Times New Roman" w:hAnsi="Times New Roman" w:cs="Times New Roman"/>
                                <w:sz w:val="20"/>
                                <w:szCs w:val="20"/>
                              </w:rPr>
                            </w:pPr>
                            <w:r w:rsidRPr="001902DA">
                              <w:rPr>
                                <w:rFonts w:ascii="Times New Roman" w:hAnsi="Times New Roman" w:cs="Times New Roman"/>
                                <w:sz w:val="20"/>
                                <w:szCs w:val="20"/>
                              </w:rPr>
                              <w:t xml:space="preserve">Contrat </w:t>
                            </w:r>
                            <w:r w:rsidRPr="00360117">
                              <w:rPr>
                                <w:rFonts w:ascii="Times New Roman" w:hAnsi="Times New Roman" w:cs="Times New Roman"/>
                                <w:i/>
                                <w:sz w:val="20"/>
                                <w:szCs w:val="20"/>
                              </w:rPr>
                              <w:t>Moudaraba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432D7" id="Rectangle 89" o:spid="_x0000_s1048" style="position:absolute;left:0;text-align:left;margin-left:163.3pt;margin-top:45.2pt;width:131.65pt;height:1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" strokecolor="white">
                <v:textbox inset="0,0,0,0">
                  <w:txbxContent>
                    <w:p w14:paraId="1DE79A8D" w14:textId="77777777" w:rsidR="009C2D83" w:rsidRPr="001902DA" w:rsidRDefault="009C2D83" w:rsidP="00CB0FF1">
                      <w:pPr>
                        <w:pStyle w:val="Paragraphedeliste"/>
                        <w:numPr>
                          <w:ilvl w:val="0"/>
                          <w:numId w:val="6"/>
                        </w:numPr>
                        <w:ind w:right="-4"/>
                        <w:rPr>
                          <w:rFonts w:ascii="Times New Roman" w:hAnsi="Times New Roman" w:cs="Times New Roman"/>
                          <w:sz w:val="20"/>
                          <w:szCs w:val="20"/>
                        </w:rPr>
                      </w:pPr>
                      <w:r w:rsidRPr="001902DA">
                        <w:rPr>
                          <w:rFonts w:ascii="Times New Roman" w:hAnsi="Times New Roman" w:cs="Times New Roman"/>
                          <w:sz w:val="20"/>
                          <w:szCs w:val="20"/>
                        </w:rPr>
                        <w:t xml:space="preserve">Contrat </w:t>
                      </w:r>
                      <w:r w:rsidRPr="00360117">
                        <w:rPr>
                          <w:rFonts w:ascii="Times New Roman" w:hAnsi="Times New Roman" w:cs="Times New Roman"/>
                          <w:i/>
                          <w:sz w:val="20"/>
                          <w:szCs w:val="20"/>
                        </w:rPr>
                        <w:t>Moudaraba</w:t>
                      </w:r>
                    </w:p>
                  </w:txbxContent>
                </v:textbox>
              </v:rect>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38784" behindDoc="0" locked="0" layoutInCell="1" allowOverlap="1" wp14:anchorId="6F1F4C5A" wp14:editId="1FD653C0">
                <wp:simplePos x="0" y="0"/>
                <wp:positionH relativeFrom="column">
                  <wp:posOffset>1661795</wp:posOffset>
                </wp:positionH>
                <wp:positionV relativeFrom="paragraph">
                  <wp:posOffset>779780</wp:posOffset>
                </wp:positionV>
                <wp:extent cx="2247900" cy="635"/>
                <wp:effectExtent l="38100" t="76200" r="0" b="75565"/>
                <wp:wrapNone/>
                <wp:docPr id="173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83BB2" id="Connecteur droit avec flèche 88" o:spid="_x0000_s1026" type="#_x0000_t32" style="position:absolute;margin-left:130.85pt;margin-top:61.4pt;width:177pt;height:.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">
                <v:stroke startarrow="block" endarrow="block"/>
              </v:shape>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37760" behindDoc="0" locked="0" layoutInCell="1" allowOverlap="1" wp14:anchorId="1EC10844" wp14:editId="6A42D1C5">
                <wp:simplePos x="0" y="0"/>
                <wp:positionH relativeFrom="column">
                  <wp:posOffset>2073910</wp:posOffset>
                </wp:positionH>
                <wp:positionV relativeFrom="paragraph">
                  <wp:posOffset>2744470</wp:posOffset>
                </wp:positionV>
                <wp:extent cx="724535" cy="296545"/>
                <wp:effectExtent l="0" t="0" r="0" b="8255"/>
                <wp:wrapNone/>
                <wp:docPr id="1737" name="Rectangle à coins arrond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296545"/>
                        </a:xfrm>
                        <a:prstGeom prst="roundRect">
                          <a:avLst>
                            <a:gd name="adj" fmla="val 16667"/>
                          </a:avLst>
                        </a:prstGeom>
                        <a:solidFill>
                          <a:srgbClr val="FFFFFF"/>
                        </a:solidFill>
                        <a:ln w="9525">
                          <a:solidFill>
                            <a:srgbClr val="000000"/>
                          </a:solidFill>
                          <a:round/>
                          <a:headEnd/>
                          <a:tailEnd/>
                        </a:ln>
                      </wps:spPr>
                      <wps:txbx>
                        <w:txbxContent>
                          <w:p w14:paraId="5B39BE44" w14:textId="77777777" w:rsidR="009C2D83" w:rsidRPr="00335E13" w:rsidRDefault="009C2D83" w:rsidP="00843020">
                            <w:pPr>
                              <w:jc w:val="center"/>
                              <w:rPr>
                                <w:rFonts w:ascii="Times New Roman" w:hAnsi="Times New Roman" w:cs="Times New Roman"/>
                                <w:sz w:val="20"/>
                                <w:szCs w:val="20"/>
                              </w:rPr>
                            </w:pPr>
                            <w:r w:rsidRPr="00335E13">
                              <w:rPr>
                                <w:rFonts w:ascii="Times New Roman" w:hAnsi="Times New Roman" w:cs="Times New Roman"/>
                                <w:sz w:val="20"/>
                                <w:szCs w:val="20"/>
                              </w:rPr>
                              <w:t>Profits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10844" id="Rectangle à coins arrondis 87" o:spid="_x0000_s1049" style="position:absolute;left:0;text-align:left;margin-left:163.3pt;margin-top:216.1pt;width:57.05pt;height:23.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">
                <v:textbox inset="1mm,1mm,1mm,1mm">
                  <w:txbxContent>
                    <w:p w14:paraId="5B39BE44" w14:textId="77777777" w:rsidR="009C2D83" w:rsidRPr="00335E13" w:rsidRDefault="009C2D83" w:rsidP="00843020">
                      <w:pPr>
                        <w:jc w:val="center"/>
                        <w:rPr>
                          <w:rFonts w:ascii="Times New Roman" w:hAnsi="Times New Roman" w:cs="Times New Roman"/>
                          <w:sz w:val="20"/>
                          <w:szCs w:val="20"/>
                        </w:rPr>
                      </w:pPr>
                      <w:r w:rsidRPr="00335E13">
                        <w:rPr>
                          <w:rFonts w:ascii="Times New Roman" w:hAnsi="Times New Roman" w:cs="Times New Roman"/>
                          <w:sz w:val="20"/>
                          <w:szCs w:val="20"/>
                        </w:rPr>
                        <w:t>Profits</w:t>
                      </w:r>
                    </w:p>
                  </w:txbxContent>
                </v:textbox>
              </v:roundrect>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36736" behindDoc="0" locked="0" layoutInCell="1" allowOverlap="1" wp14:anchorId="6E66DE02" wp14:editId="0CDCE2AD">
                <wp:simplePos x="0" y="0"/>
                <wp:positionH relativeFrom="column">
                  <wp:posOffset>3021330</wp:posOffset>
                </wp:positionH>
                <wp:positionV relativeFrom="paragraph">
                  <wp:posOffset>2327910</wp:posOffset>
                </wp:positionV>
                <wp:extent cx="724535" cy="296545"/>
                <wp:effectExtent l="0" t="0" r="0" b="8255"/>
                <wp:wrapNone/>
                <wp:docPr id="1736" name="Rectangle à coins arrondi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296545"/>
                        </a:xfrm>
                        <a:prstGeom prst="roundRect">
                          <a:avLst>
                            <a:gd name="adj" fmla="val 16667"/>
                          </a:avLst>
                        </a:prstGeom>
                        <a:solidFill>
                          <a:srgbClr val="FFFFFF"/>
                        </a:solidFill>
                        <a:ln w="9525">
                          <a:solidFill>
                            <a:srgbClr val="000000"/>
                          </a:solidFill>
                          <a:round/>
                          <a:headEnd/>
                          <a:tailEnd/>
                        </a:ln>
                      </wps:spPr>
                      <wps:txbx>
                        <w:txbxContent>
                          <w:p w14:paraId="61AF7522" w14:textId="77777777" w:rsidR="009C2D83" w:rsidRPr="00335E13" w:rsidRDefault="009C2D83" w:rsidP="00843020">
                            <w:pPr>
                              <w:jc w:val="center"/>
                              <w:rPr>
                                <w:rFonts w:ascii="Times New Roman" w:hAnsi="Times New Roman" w:cs="Times New Roman"/>
                                <w:sz w:val="20"/>
                                <w:szCs w:val="20"/>
                              </w:rPr>
                            </w:pPr>
                            <w:r w:rsidRPr="00335E13">
                              <w:rPr>
                                <w:rFonts w:ascii="Times New Roman" w:hAnsi="Times New Roman" w:cs="Times New Roman"/>
                                <w:sz w:val="20"/>
                                <w:szCs w:val="20"/>
                              </w:rPr>
                              <w:t>Pertes</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6DE02" id="Rectangle à coins arrondis 86" o:spid="_x0000_s1050" style="position:absolute;left:0;text-align:left;margin-left:237.9pt;margin-top:183.3pt;width:57.05pt;height:2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">
                <v:textbox inset="1mm,2mm,1mm,2mm">
                  <w:txbxContent>
                    <w:p w14:paraId="61AF7522" w14:textId="77777777" w:rsidR="009C2D83" w:rsidRPr="00335E13" w:rsidRDefault="009C2D83" w:rsidP="00843020">
                      <w:pPr>
                        <w:jc w:val="center"/>
                        <w:rPr>
                          <w:rFonts w:ascii="Times New Roman" w:hAnsi="Times New Roman" w:cs="Times New Roman"/>
                          <w:sz w:val="20"/>
                          <w:szCs w:val="20"/>
                        </w:rPr>
                      </w:pPr>
                      <w:r w:rsidRPr="00335E13">
                        <w:rPr>
                          <w:rFonts w:ascii="Times New Roman" w:hAnsi="Times New Roman" w:cs="Times New Roman"/>
                          <w:sz w:val="20"/>
                          <w:szCs w:val="20"/>
                        </w:rPr>
                        <w:t>Pertes</w:t>
                      </w:r>
                    </w:p>
                  </w:txbxContent>
                </v:textbox>
              </v:roundrect>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35712" behindDoc="0" locked="0" layoutInCell="1" allowOverlap="1" wp14:anchorId="7B5FF39A" wp14:editId="3D9AABBA">
                <wp:simplePos x="0" y="0"/>
                <wp:positionH relativeFrom="column">
                  <wp:posOffset>2313305</wp:posOffset>
                </wp:positionH>
                <wp:positionV relativeFrom="paragraph">
                  <wp:posOffset>1466215</wp:posOffset>
                </wp:positionV>
                <wp:extent cx="996950" cy="732790"/>
                <wp:effectExtent l="0" t="0" r="0" b="0"/>
                <wp:wrapNone/>
                <wp:docPr id="1735" name="Ellips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732790"/>
                        </a:xfrm>
                        <a:prstGeom prst="ellipse">
                          <a:avLst/>
                        </a:prstGeom>
                        <a:solidFill>
                          <a:srgbClr val="FFFFFF"/>
                        </a:solidFill>
                        <a:ln w="9525">
                          <a:solidFill>
                            <a:srgbClr val="000000"/>
                          </a:solidFill>
                          <a:round/>
                          <a:headEnd/>
                          <a:tailEnd/>
                        </a:ln>
                      </wps:spPr>
                      <wps:txbx>
                        <w:txbxContent>
                          <w:p w14:paraId="2266A7F0" w14:textId="77777777" w:rsidR="009C2D83" w:rsidRDefault="009C2D83" w:rsidP="00843020">
                            <w:pPr>
                              <w:spacing w:line="240" w:lineRule="auto"/>
                              <w:jc w:val="center"/>
                              <w:rPr>
                                <w:rFonts w:ascii="Times New Roman" w:hAnsi="Times New Roman" w:cs="Times New Roman"/>
                                <w:sz w:val="20"/>
                                <w:szCs w:val="20"/>
                              </w:rPr>
                            </w:pPr>
                          </w:p>
                          <w:p w14:paraId="57457821" w14:textId="77777777" w:rsidR="009C2D83" w:rsidRPr="00335E13" w:rsidRDefault="009C2D83" w:rsidP="00843020">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Projet</w:t>
                            </w:r>
                          </w:p>
                          <w:p w14:paraId="1F1E70F1" w14:textId="77777777" w:rsidR="009C2D83" w:rsidRPr="00335E13" w:rsidRDefault="009C2D83" w:rsidP="00843020">
                            <w:pPr>
                              <w:rPr>
                                <w:rFonts w:ascii="Times New Roman" w:hAnsi="Times New Roman" w:cs="Times New Roman"/>
                                <w:sz w:val="20"/>
                                <w:szCs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FF39A" id="Ellipse 85" o:spid="_x0000_s1051" style="position:absolute;left:0;text-align:left;margin-left:182.15pt;margin-top:115.45pt;width:78.5pt;height:57.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">
                <v:textbox inset="1mm,1mm,1mm,1mm">
                  <w:txbxContent>
                    <w:p w14:paraId="2266A7F0" w14:textId="77777777" w:rsidR="009C2D83" w:rsidRDefault="009C2D83" w:rsidP="00843020">
                      <w:pPr>
                        <w:spacing w:line="240" w:lineRule="auto"/>
                        <w:jc w:val="center"/>
                        <w:rPr>
                          <w:rFonts w:ascii="Times New Roman" w:hAnsi="Times New Roman" w:cs="Times New Roman"/>
                          <w:sz w:val="20"/>
                          <w:szCs w:val="20"/>
                        </w:rPr>
                      </w:pPr>
                    </w:p>
                    <w:p w14:paraId="57457821" w14:textId="77777777" w:rsidR="009C2D83" w:rsidRPr="00335E13" w:rsidRDefault="009C2D83" w:rsidP="00843020">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Projet</w:t>
                      </w:r>
                    </w:p>
                    <w:p w14:paraId="1F1E70F1" w14:textId="77777777" w:rsidR="009C2D83" w:rsidRPr="00335E13" w:rsidRDefault="009C2D83" w:rsidP="00843020">
                      <w:pPr>
                        <w:rPr>
                          <w:rFonts w:ascii="Times New Roman" w:hAnsi="Times New Roman" w:cs="Times New Roman"/>
                          <w:sz w:val="20"/>
                          <w:szCs w:val="20"/>
                        </w:rPr>
                      </w:pPr>
                    </w:p>
                  </w:txbxContent>
                </v:textbox>
              </v:oval>
            </w:pict>
          </mc:Fallback>
        </mc:AlternateContent>
      </w: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34688" behindDoc="0" locked="0" layoutInCell="1" allowOverlap="1" wp14:anchorId="2B1144F8" wp14:editId="228625D9">
                <wp:simplePos x="0" y="0"/>
                <wp:positionH relativeFrom="column">
                  <wp:posOffset>3909695</wp:posOffset>
                </wp:positionH>
                <wp:positionV relativeFrom="paragraph">
                  <wp:posOffset>524510</wp:posOffset>
                </wp:positionV>
                <wp:extent cx="1249045" cy="518795"/>
                <wp:effectExtent l="0" t="0" r="8255" b="0"/>
                <wp:wrapNone/>
                <wp:docPr id="1734" name="Rectangle à coins arrond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18795"/>
                        </a:xfrm>
                        <a:prstGeom prst="roundRect">
                          <a:avLst>
                            <a:gd name="adj" fmla="val 16667"/>
                          </a:avLst>
                        </a:prstGeom>
                        <a:solidFill>
                          <a:srgbClr val="FFFFFF"/>
                        </a:solidFill>
                        <a:ln w="9525">
                          <a:solidFill>
                            <a:srgbClr val="000000"/>
                          </a:solidFill>
                          <a:round/>
                          <a:headEnd/>
                          <a:tailEnd/>
                        </a:ln>
                      </wps:spPr>
                      <wps:txbx>
                        <w:txbxContent>
                          <w:p w14:paraId="35B2D532" w14:textId="77777777" w:rsidR="009C2D83" w:rsidRPr="00335E13" w:rsidRDefault="009C2D83" w:rsidP="00843020">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 xml:space="preserve">Banque </w:t>
                            </w:r>
                            <w:r>
                              <w:rPr>
                                <w:rFonts w:ascii="Times New Roman" w:hAnsi="Times New Roman" w:cs="Times New Roman"/>
                                <w:sz w:val="20"/>
                                <w:szCs w:val="20"/>
                              </w:rPr>
                              <w:t>Islamique</w:t>
                            </w:r>
                          </w:p>
                          <w:p w14:paraId="28A9A23A" w14:textId="77777777" w:rsidR="009C2D83" w:rsidRPr="00335E13" w:rsidRDefault="009C2D83" w:rsidP="00843020">
                            <w:pPr>
                              <w:spacing w:line="240" w:lineRule="auto"/>
                              <w:jc w:val="center"/>
                              <w:rPr>
                                <w:rFonts w:ascii="Times New Roman" w:hAnsi="Times New Roman" w:cs="Times New Roman"/>
                                <w:sz w:val="20"/>
                                <w:szCs w:val="20"/>
                              </w:rPr>
                            </w:pPr>
                            <w:r>
                              <w:rPr>
                                <w:rFonts w:ascii="Times New Roman" w:hAnsi="Times New Roman" w:cs="Times New Roman"/>
                                <w:sz w:val="20"/>
                                <w:szCs w:val="20"/>
                              </w:rPr>
                              <w:t>(Rab-el-mal)</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144F8" id="Rectangle à coins arrondis 84" o:spid="_x0000_s1052" style="position:absolute;left:0;text-align:left;margin-left:307.85pt;margin-top:41.3pt;width:98.35pt;height:40.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">
                <v:textbox inset="1mm,2mm,1mm,2mm">
                  <w:txbxContent>
                    <w:p w14:paraId="35B2D532" w14:textId="77777777" w:rsidR="009C2D83" w:rsidRPr="00335E13" w:rsidRDefault="009C2D83" w:rsidP="00843020">
                      <w:pPr>
                        <w:spacing w:line="240" w:lineRule="auto"/>
                        <w:jc w:val="center"/>
                        <w:rPr>
                          <w:rFonts w:ascii="Times New Roman" w:hAnsi="Times New Roman" w:cs="Times New Roman"/>
                          <w:sz w:val="20"/>
                          <w:szCs w:val="20"/>
                        </w:rPr>
                      </w:pPr>
                      <w:r w:rsidRPr="00335E13">
                        <w:rPr>
                          <w:rFonts w:ascii="Times New Roman" w:hAnsi="Times New Roman" w:cs="Times New Roman"/>
                          <w:sz w:val="20"/>
                          <w:szCs w:val="20"/>
                        </w:rPr>
                        <w:t xml:space="preserve">Banque </w:t>
                      </w:r>
                      <w:r>
                        <w:rPr>
                          <w:rFonts w:ascii="Times New Roman" w:hAnsi="Times New Roman" w:cs="Times New Roman"/>
                          <w:sz w:val="20"/>
                          <w:szCs w:val="20"/>
                        </w:rPr>
                        <w:t>Islamique</w:t>
                      </w:r>
                    </w:p>
                    <w:p w14:paraId="28A9A23A" w14:textId="77777777" w:rsidR="009C2D83" w:rsidRPr="00335E13" w:rsidRDefault="009C2D83" w:rsidP="00843020">
                      <w:pPr>
                        <w:spacing w:line="240" w:lineRule="auto"/>
                        <w:jc w:val="center"/>
                        <w:rPr>
                          <w:rFonts w:ascii="Times New Roman" w:hAnsi="Times New Roman" w:cs="Times New Roman"/>
                          <w:sz w:val="20"/>
                          <w:szCs w:val="20"/>
                        </w:rPr>
                      </w:pPr>
                      <w:r>
                        <w:rPr>
                          <w:rFonts w:ascii="Times New Roman" w:hAnsi="Times New Roman" w:cs="Times New Roman"/>
                          <w:sz w:val="20"/>
                          <w:szCs w:val="20"/>
                        </w:rPr>
                        <w:t>(Rab-el-mal)</w:t>
                      </w:r>
                    </w:p>
                  </w:txbxContent>
                </v:textbox>
              </v:roundrect>
            </w:pict>
          </mc:Fallback>
        </mc:AlternateContent>
      </w:r>
      <w:bookmarkStart w:id="312" w:name="_Toc115527415"/>
      <w:r w:rsidR="00843020" w:rsidRPr="002B005F">
        <w:rPr>
          <w:rFonts w:ascii="Times New Roman" w:hAnsi="Times New Roman" w:cs="Times New Roman"/>
          <w:b/>
          <w:bCs/>
          <w:sz w:val="24"/>
          <w:szCs w:val="24"/>
        </w:rPr>
        <w:t xml:space="preserve">Figure </w:t>
      </w:r>
      <w:r w:rsidR="00B544E5">
        <w:rPr>
          <w:rFonts w:ascii="Times New Roman" w:hAnsi="Times New Roman" w:cs="Times New Roman"/>
          <w:b/>
          <w:bCs/>
          <w:sz w:val="24"/>
          <w:szCs w:val="24"/>
        </w:rPr>
        <w:fldChar w:fldCharType="begin"/>
      </w:r>
      <w:r w:rsidR="00BF1EB6">
        <w:rPr>
          <w:rFonts w:ascii="Times New Roman" w:hAnsi="Times New Roman" w:cs="Times New Roman"/>
          <w:b/>
          <w:bCs/>
          <w:sz w:val="24"/>
          <w:szCs w:val="24"/>
        </w:rPr>
        <w:instrText xml:space="preserve"> SEQ Figure \* ARABIC </w:instrText>
      </w:r>
      <w:r w:rsidR="00B544E5">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4</w:t>
      </w:r>
      <w:r w:rsidR="00B544E5">
        <w:rPr>
          <w:rFonts w:ascii="Times New Roman" w:hAnsi="Times New Roman" w:cs="Times New Roman"/>
          <w:b/>
          <w:bCs/>
          <w:sz w:val="24"/>
          <w:szCs w:val="24"/>
        </w:rPr>
        <w:fldChar w:fldCharType="end"/>
      </w:r>
      <w:r w:rsidR="00843020" w:rsidRPr="002B005F">
        <w:rPr>
          <w:rFonts w:ascii="Times New Roman" w:hAnsi="Times New Roman" w:cs="Times New Roman"/>
          <w:b/>
          <w:bCs/>
          <w:sz w:val="24"/>
          <w:szCs w:val="24"/>
        </w:rPr>
        <w:t xml:space="preserve">- Le contrat </w:t>
      </w:r>
      <w:r w:rsidR="00843020" w:rsidRPr="002B005F">
        <w:rPr>
          <w:rFonts w:ascii="Times New Roman" w:hAnsi="Times New Roman" w:cs="Times New Roman"/>
          <w:b/>
          <w:bCs/>
          <w:i/>
          <w:iCs/>
          <w:sz w:val="24"/>
          <w:szCs w:val="24"/>
        </w:rPr>
        <w:t>moudaraba</w:t>
      </w:r>
      <w:bookmarkEnd w:id="312"/>
    </w:p>
    <w:p w14:paraId="06FA3E0B" w14:textId="77777777" w:rsidR="00843020" w:rsidRPr="002B005F" w:rsidRDefault="00843020" w:rsidP="00745999">
      <w:pPr>
        <w:keepNext/>
        <w:keepLines/>
        <w:tabs>
          <w:tab w:val="left" w:pos="0"/>
        </w:tabs>
        <w:suppressAutoHyphens/>
        <w:spacing w:before="120" w:line="300" w:lineRule="auto"/>
        <w:jc w:val="center"/>
        <w:rPr>
          <w:rFonts w:ascii="Times New Roman" w:hAnsi="Times New Roman" w:cs="Times New Roman"/>
          <w:sz w:val="24"/>
          <w:szCs w:val="24"/>
        </w:rPr>
      </w:pPr>
    </w:p>
    <w:p w14:paraId="492ADC2D" w14:textId="77777777" w:rsidR="00843020" w:rsidRPr="002B005F" w:rsidRDefault="00843020" w:rsidP="00745999">
      <w:pPr>
        <w:keepNext/>
        <w:keepLines/>
        <w:tabs>
          <w:tab w:val="left" w:pos="0"/>
        </w:tabs>
        <w:suppressAutoHyphens/>
        <w:spacing w:before="120" w:line="300" w:lineRule="auto"/>
        <w:jc w:val="center"/>
        <w:rPr>
          <w:rFonts w:ascii="Times New Roman" w:hAnsi="Times New Roman" w:cs="Times New Roman"/>
          <w:sz w:val="24"/>
          <w:szCs w:val="24"/>
        </w:rPr>
      </w:pPr>
    </w:p>
    <w:p w14:paraId="0C4D7C53" w14:textId="77777777" w:rsidR="00843020" w:rsidRPr="002B005F" w:rsidRDefault="00843020" w:rsidP="00745999">
      <w:pPr>
        <w:keepNext/>
        <w:keepLines/>
        <w:tabs>
          <w:tab w:val="left" w:pos="0"/>
        </w:tabs>
        <w:suppressAutoHyphens/>
        <w:spacing w:before="120" w:line="300" w:lineRule="auto"/>
        <w:jc w:val="center"/>
        <w:rPr>
          <w:rFonts w:ascii="Times New Roman" w:hAnsi="Times New Roman" w:cs="Times New Roman"/>
          <w:sz w:val="24"/>
          <w:szCs w:val="24"/>
        </w:rPr>
      </w:pPr>
    </w:p>
    <w:p w14:paraId="13A724B1" w14:textId="77777777" w:rsidR="00843020" w:rsidRPr="002B005F" w:rsidRDefault="00843020" w:rsidP="00745999">
      <w:pPr>
        <w:keepNext/>
        <w:keepLines/>
        <w:tabs>
          <w:tab w:val="left" w:pos="0"/>
        </w:tabs>
        <w:suppressAutoHyphens/>
        <w:spacing w:before="120" w:line="300" w:lineRule="auto"/>
        <w:jc w:val="center"/>
        <w:rPr>
          <w:rFonts w:ascii="Times New Roman" w:hAnsi="Times New Roman" w:cs="Times New Roman"/>
          <w:sz w:val="24"/>
          <w:szCs w:val="24"/>
        </w:rPr>
      </w:pPr>
    </w:p>
    <w:p w14:paraId="0E37580C" w14:textId="77777777" w:rsidR="00843020" w:rsidRPr="002B005F" w:rsidRDefault="00843020" w:rsidP="00745999">
      <w:pPr>
        <w:keepNext/>
        <w:keepLines/>
        <w:tabs>
          <w:tab w:val="left" w:pos="0"/>
        </w:tabs>
        <w:suppressAutoHyphens/>
        <w:spacing w:before="120" w:line="300" w:lineRule="auto"/>
        <w:jc w:val="center"/>
        <w:rPr>
          <w:rFonts w:ascii="Times New Roman" w:hAnsi="Times New Roman" w:cs="Times New Roman"/>
          <w:sz w:val="24"/>
          <w:szCs w:val="24"/>
        </w:rPr>
      </w:pPr>
    </w:p>
    <w:p w14:paraId="7C396B3E" w14:textId="77777777" w:rsidR="00843020" w:rsidRPr="002B005F" w:rsidRDefault="00843020" w:rsidP="00745999">
      <w:pPr>
        <w:keepNext/>
        <w:keepLines/>
        <w:tabs>
          <w:tab w:val="left" w:pos="0"/>
        </w:tabs>
        <w:suppressAutoHyphens/>
        <w:spacing w:before="120" w:line="300" w:lineRule="auto"/>
        <w:jc w:val="center"/>
        <w:rPr>
          <w:rFonts w:ascii="Times New Roman" w:hAnsi="Times New Roman" w:cs="Times New Roman"/>
          <w:sz w:val="24"/>
          <w:szCs w:val="24"/>
        </w:rPr>
      </w:pPr>
    </w:p>
    <w:p w14:paraId="41D43424" w14:textId="609AB6CC" w:rsidR="00843020" w:rsidRPr="002B005F" w:rsidRDefault="002C5EFF" w:rsidP="00745999">
      <w:pPr>
        <w:keepNext/>
        <w:keepLines/>
        <w:tabs>
          <w:tab w:val="left" w:pos="0"/>
        </w:tabs>
        <w:suppressAutoHyphens/>
        <w:spacing w:before="120" w:line="300" w:lineRule="auto"/>
        <w:jc w:val="cente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7216" behindDoc="0" locked="0" layoutInCell="1" allowOverlap="1" wp14:anchorId="508FB8D5" wp14:editId="2BBF2FD5">
                <wp:simplePos x="0" y="0"/>
                <wp:positionH relativeFrom="column">
                  <wp:posOffset>2156460</wp:posOffset>
                </wp:positionH>
                <wp:positionV relativeFrom="paragraph">
                  <wp:posOffset>166370</wp:posOffset>
                </wp:positionV>
                <wp:extent cx="402590" cy="217170"/>
                <wp:effectExtent l="0" t="0" r="0" b="0"/>
                <wp:wrapNone/>
                <wp:docPr id="173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17170"/>
                        </a:xfrm>
                        <a:prstGeom prst="rect">
                          <a:avLst/>
                        </a:prstGeom>
                        <a:solidFill>
                          <a:srgbClr val="FFFFFF"/>
                        </a:solidFill>
                        <a:ln w="9525">
                          <a:solidFill>
                            <a:schemeClr val="bg1">
                              <a:lumMod val="100000"/>
                              <a:lumOff val="0"/>
                            </a:schemeClr>
                          </a:solidFill>
                          <a:miter lim="800000"/>
                          <a:headEnd/>
                          <a:tailEnd/>
                        </a:ln>
                      </wps:spPr>
                      <wps:txbx>
                        <w:txbxContent>
                          <w:p w14:paraId="29CDCCE6" w14:textId="77777777" w:rsidR="009C2D83" w:rsidRPr="00974D7F" w:rsidRDefault="009C2D83" w:rsidP="00843020">
                            <w:pPr>
                              <w:jc w:val="right"/>
                              <w:rPr>
                                <w:rFonts w:asciiTheme="majorBidi" w:hAnsiTheme="majorBidi" w:cstheme="majorBidi"/>
                                <w:sz w:val="20"/>
                                <w:szCs w:val="20"/>
                              </w:rPr>
                            </w:pPr>
                            <w:r w:rsidRPr="00974D7F">
                              <w:rPr>
                                <w:rFonts w:asciiTheme="majorBidi" w:hAnsiTheme="majorBidi" w:cstheme="majorBidi"/>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FB8D5" id="Rectangle 106" o:spid="_x0000_s1053" style="position:absolute;left:0;text-align:left;margin-left:169.8pt;margin-top:13.1pt;width:31.7pt;height:1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" strokecolor="white [3212]">
                <v:textbox inset="0,0,0,0">
                  <w:txbxContent>
                    <w:p w14:paraId="29CDCCE6" w14:textId="77777777" w:rsidR="009C2D83" w:rsidRPr="00974D7F" w:rsidRDefault="009C2D83" w:rsidP="00843020">
                      <w:pPr>
                        <w:jc w:val="right"/>
                        <w:rPr>
                          <w:rFonts w:asciiTheme="majorBidi" w:hAnsiTheme="majorBidi" w:cstheme="majorBidi"/>
                          <w:sz w:val="20"/>
                          <w:szCs w:val="20"/>
                        </w:rPr>
                      </w:pPr>
                      <w:r w:rsidRPr="00974D7F">
                        <w:rPr>
                          <w:rFonts w:asciiTheme="majorBidi" w:hAnsiTheme="majorBidi" w:cstheme="majorBidi"/>
                          <w:sz w:val="20"/>
                          <w:szCs w:val="20"/>
                        </w:rPr>
                        <w:t>(3)</w:t>
                      </w:r>
                    </w:p>
                  </w:txbxContent>
                </v:textbox>
              </v:rect>
            </w:pict>
          </mc:Fallback>
        </mc:AlternateContent>
      </w:r>
    </w:p>
    <w:p w14:paraId="04E1246B" w14:textId="77777777" w:rsidR="00843020" w:rsidRPr="002B005F" w:rsidRDefault="00843020" w:rsidP="00745999">
      <w:pPr>
        <w:keepNext/>
        <w:keepLines/>
        <w:tabs>
          <w:tab w:val="left" w:pos="0"/>
        </w:tabs>
        <w:suppressAutoHyphens/>
        <w:spacing w:before="120" w:line="300" w:lineRule="auto"/>
        <w:jc w:val="center"/>
        <w:rPr>
          <w:rFonts w:ascii="Times New Roman" w:hAnsi="Times New Roman" w:cs="Times New Roman"/>
          <w:sz w:val="24"/>
          <w:szCs w:val="24"/>
        </w:rPr>
      </w:pPr>
    </w:p>
    <w:p w14:paraId="4C3EE075" w14:textId="743E4517" w:rsidR="00843020" w:rsidRPr="002B005F" w:rsidRDefault="002C5EFF" w:rsidP="00ED3F2E">
      <w:pPr>
        <w:keepNext/>
        <w:keepLines/>
        <w:tabs>
          <w:tab w:val="left" w:pos="0"/>
        </w:tabs>
        <w:suppressAutoHyphens/>
        <w:spacing w:before="120" w:line="30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34B29BF2" wp14:editId="2A64B346">
                <wp:simplePos x="0" y="0"/>
                <wp:positionH relativeFrom="column">
                  <wp:posOffset>3010535</wp:posOffset>
                </wp:positionH>
                <wp:positionV relativeFrom="paragraph">
                  <wp:posOffset>260350</wp:posOffset>
                </wp:positionV>
                <wp:extent cx="1662430" cy="237490"/>
                <wp:effectExtent l="0" t="0" r="0" b="0"/>
                <wp:wrapNone/>
                <wp:docPr id="17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237490"/>
                        </a:xfrm>
                        <a:prstGeom prst="rect">
                          <a:avLst/>
                        </a:prstGeom>
                        <a:solidFill>
                          <a:srgbClr val="FFFFFF"/>
                        </a:solidFill>
                        <a:ln w="9525">
                          <a:solidFill>
                            <a:schemeClr val="bg1">
                              <a:lumMod val="100000"/>
                              <a:lumOff val="0"/>
                            </a:schemeClr>
                          </a:solidFill>
                          <a:miter lim="800000"/>
                          <a:headEnd/>
                          <a:tailEnd/>
                        </a:ln>
                      </wps:spPr>
                      <wps:txbx>
                        <w:txbxContent>
                          <w:p w14:paraId="75F3FF56" w14:textId="77777777" w:rsidR="009C2D83" w:rsidRPr="00F5466D" w:rsidRDefault="009C2D83" w:rsidP="00843020">
                            <w:pPr>
                              <w:jc w:val="center"/>
                              <w:rPr>
                                <w:rFonts w:ascii="Times New Roman" w:hAnsi="Times New Roman" w:cs="Times New Roman"/>
                                <w:sz w:val="20"/>
                                <w:szCs w:val="20"/>
                              </w:rPr>
                            </w:pPr>
                            <w:r>
                              <w:rPr>
                                <w:rFonts w:ascii="Times New Roman" w:hAnsi="Times New Roman" w:cs="Times New Roman"/>
                                <w:sz w:val="20"/>
                                <w:szCs w:val="20"/>
                              </w:rPr>
                              <w:t>Remboursement du capital</w:t>
                            </w:r>
                          </w:p>
                        </w:txbxContent>
                      </wps:txbx>
                      <wps:bodyPr rot="0" vert="horz" wrap="square" lIns="36000" tIns="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29BF2" id="Rectangle 109" o:spid="_x0000_s1054" style="position:absolute;left:0;text-align:left;margin-left:237.05pt;margin-top:20.5pt;width:130.9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" strokecolor="white [3212]">
                <v:textbox inset="1mm,0,1mm,1mm">
                  <w:txbxContent>
                    <w:p w14:paraId="75F3FF56" w14:textId="77777777" w:rsidR="009C2D83" w:rsidRPr="00F5466D" w:rsidRDefault="009C2D83" w:rsidP="00843020">
                      <w:pPr>
                        <w:jc w:val="center"/>
                        <w:rPr>
                          <w:rFonts w:ascii="Times New Roman" w:hAnsi="Times New Roman" w:cs="Times New Roman"/>
                          <w:sz w:val="20"/>
                          <w:szCs w:val="20"/>
                        </w:rPr>
                      </w:pPr>
                      <w:r>
                        <w:rPr>
                          <w:rFonts w:ascii="Times New Roman" w:hAnsi="Times New Roman" w:cs="Times New Roman"/>
                          <w:sz w:val="20"/>
                          <w:szCs w:val="20"/>
                        </w:rPr>
                        <w:t>Remboursement du capital</w:t>
                      </w:r>
                    </w:p>
                  </w:txbxContent>
                </v:textbox>
              </v:rect>
            </w:pict>
          </mc:Fallback>
        </mc:AlternateContent>
      </w:r>
    </w:p>
    <w:p w14:paraId="2335BC33" w14:textId="77777777" w:rsidR="00843020" w:rsidRPr="00877B6D" w:rsidRDefault="00843020" w:rsidP="00877B6D"/>
    <w:p w14:paraId="5F81C63E" w14:textId="77777777" w:rsidR="00843020" w:rsidRPr="002B005F" w:rsidRDefault="00843020" w:rsidP="00745999">
      <w:pPr>
        <w:keepNext/>
        <w:keepLines/>
        <w:tabs>
          <w:tab w:val="left" w:pos="0"/>
        </w:tabs>
        <w:suppressAutoHyphens/>
        <w:spacing w:before="120" w:line="30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Pr="002B005F">
        <w:rPr>
          <w:rFonts w:ascii="Times New Roman" w:hAnsi="Times New Roman" w:cs="Times New Roman"/>
          <w:smallCaps/>
          <w:sz w:val="20"/>
          <w:szCs w:val="20"/>
        </w:rPr>
        <w:t>Causse-Broquet</w:t>
      </w:r>
      <w:r w:rsidRPr="002B005F">
        <w:rPr>
          <w:rFonts w:ascii="Times New Roman" w:hAnsi="Times New Roman" w:cs="Times New Roman"/>
          <w:sz w:val="20"/>
          <w:szCs w:val="20"/>
        </w:rPr>
        <w:t>, (2009), p. 53.</w:t>
      </w:r>
    </w:p>
    <w:p w14:paraId="109F30F0" w14:textId="77777777" w:rsidR="002760B2" w:rsidRPr="0082089D" w:rsidRDefault="002760B2" w:rsidP="00A71787">
      <w:pPr>
        <w:pStyle w:val="Paragraphedeliste"/>
        <w:tabs>
          <w:tab w:val="left" w:pos="0"/>
        </w:tabs>
        <w:suppressAutoHyphens/>
        <w:autoSpaceDE w:val="0"/>
        <w:autoSpaceDN w:val="0"/>
        <w:adjustRightInd w:val="0"/>
        <w:spacing w:before="100" w:beforeAutospacing="1" w:line="300" w:lineRule="auto"/>
        <w:ind w:left="0" w:firstLine="709"/>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Par le recours à un contrat </w:t>
      </w:r>
      <w:r w:rsidR="004A4E16" w:rsidRPr="0082089D">
        <w:rPr>
          <w:rFonts w:ascii="Times New Roman" w:hAnsi="Times New Roman" w:cs="Times New Roman"/>
          <w:i/>
          <w:kern w:val="24"/>
          <w:sz w:val="24"/>
          <w:szCs w:val="24"/>
        </w:rPr>
        <w:t>moudaraba</w:t>
      </w:r>
      <w:r w:rsidRPr="0082089D">
        <w:rPr>
          <w:rFonts w:ascii="Times New Roman" w:hAnsi="Times New Roman" w:cs="Times New Roman"/>
          <w:kern w:val="24"/>
          <w:sz w:val="24"/>
          <w:szCs w:val="24"/>
        </w:rPr>
        <w:t xml:space="preserve">, l’entrepreneur ou </w:t>
      </w:r>
      <w:r w:rsidR="004A4E16" w:rsidRPr="0082089D">
        <w:rPr>
          <w:rFonts w:ascii="Times New Roman" w:hAnsi="Times New Roman" w:cs="Times New Roman"/>
          <w:i/>
          <w:iCs/>
          <w:kern w:val="24"/>
          <w:sz w:val="24"/>
          <w:szCs w:val="24"/>
        </w:rPr>
        <w:t>moudarib</w:t>
      </w:r>
      <w:r w:rsidRPr="0082089D">
        <w:rPr>
          <w:rFonts w:ascii="Times New Roman" w:hAnsi="Times New Roman" w:cs="Times New Roman"/>
          <w:kern w:val="24"/>
          <w:sz w:val="24"/>
          <w:szCs w:val="24"/>
        </w:rPr>
        <w:t xml:space="preserve"> devient le seul responsable de la gestion du projet financé et de son évolution. Selon </w:t>
      </w:r>
      <w:r w:rsidRPr="0082089D">
        <w:rPr>
          <w:rFonts w:ascii="Times New Roman" w:hAnsi="Times New Roman" w:cs="Times New Roman"/>
          <w:smallCaps/>
          <w:kern w:val="24"/>
          <w:sz w:val="24"/>
          <w:szCs w:val="24"/>
        </w:rPr>
        <w:t>Ba</w:t>
      </w:r>
      <w:r w:rsidRPr="0082089D">
        <w:rPr>
          <w:rFonts w:ascii="Times New Roman" w:hAnsi="Times New Roman" w:cs="Times New Roman"/>
          <w:kern w:val="24"/>
          <w:sz w:val="24"/>
          <w:szCs w:val="24"/>
        </w:rPr>
        <w:t xml:space="preserve"> (1993), les conditions que doit respecter l’activité financée par la </w:t>
      </w:r>
      <w:r w:rsidR="004A4E16" w:rsidRPr="0082089D">
        <w:rPr>
          <w:rFonts w:ascii="Times New Roman" w:hAnsi="Times New Roman" w:cs="Times New Roman"/>
          <w:i/>
          <w:kern w:val="24"/>
          <w:sz w:val="24"/>
          <w:szCs w:val="24"/>
        </w:rPr>
        <w:t>moudaraba</w:t>
      </w:r>
      <w:r w:rsidRPr="0082089D">
        <w:rPr>
          <w:rFonts w:ascii="Times New Roman" w:hAnsi="Times New Roman" w:cs="Times New Roman"/>
          <w:kern w:val="24"/>
          <w:sz w:val="24"/>
          <w:szCs w:val="24"/>
        </w:rPr>
        <w:t xml:space="preserve"> sont</w:t>
      </w:r>
      <w:r w:rsidRPr="0082089D">
        <w:rPr>
          <w:rStyle w:val="Appelnotedebasdep"/>
          <w:rFonts w:ascii="Times New Roman" w:hAnsi="Times New Roman"/>
          <w:kern w:val="24"/>
          <w:sz w:val="24"/>
          <w:szCs w:val="24"/>
        </w:rPr>
        <w:footnoteReference w:id="110"/>
      </w:r>
      <w:r w:rsidRPr="0082089D">
        <w:rPr>
          <w:rFonts w:ascii="Times New Roman" w:hAnsi="Times New Roman" w:cs="Times New Roman"/>
          <w:kern w:val="24"/>
          <w:sz w:val="24"/>
          <w:szCs w:val="24"/>
        </w:rPr>
        <w:t> :</w:t>
      </w:r>
    </w:p>
    <w:p w14:paraId="462516B1" w14:textId="77777777" w:rsidR="002760B2" w:rsidRPr="0082089D" w:rsidRDefault="002760B2" w:rsidP="00CB0FF1">
      <w:pPr>
        <w:pStyle w:val="Paragraphedeliste"/>
        <w:numPr>
          <w:ilvl w:val="0"/>
          <w:numId w:val="5"/>
        </w:numPr>
        <w:tabs>
          <w:tab w:val="left" w:pos="284"/>
        </w:tabs>
        <w:suppressAutoHyphens/>
        <w:autoSpaceDE w:val="0"/>
        <w:autoSpaceDN w:val="0"/>
        <w:adjustRightInd w:val="0"/>
        <w:spacing w:before="60" w:line="300" w:lineRule="auto"/>
        <w:ind w:left="1135" w:hanging="284"/>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L’investissement doit être orienté vers la production de biens et services qu</w:t>
      </w:r>
      <w:r w:rsidR="00FB2B02" w:rsidRPr="0082089D">
        <w:rPr>
          <w:rFonts w:ascii="Times New Roman" w:hAnsi="Times New Roman" w:cs="Times New Roman"/>
          <w:kern w:val="24"/>
          <w:sz w:val="24"/>
          <w:szCs w:val="24"/>
        </w:rPr>
        <w:t>i</w:t>
      </w:r>
      <w:r w:rsidR="00ED7573" w:rsidRPr="0082089D">
        <w:rPr>
          <w:rFonts w:ascii="Times New Roman" w:hAnsi="Times New Roman" w:cs="Times New Roman"/>
          <w:kern w:val="24"/>
          <w:sz w:val="24"/>
          <w:szCs w:val="24"/>
        </w:rPr>
        <w:t xml:space="preserve"> répondent à des besoins sains.</w:t>
      </w:r>
    </w:p>
    <w:p w14:paraId="17E46449" w14:textId="77777777" w:rsidR="002760B2" w:rsidRPr="0082089D" w:rsidRDefault="00ED7573" w:rsidP="00CB0FF1">
      <w:pPr>
        <w:pStyle w:val="Paragraphedeliste"/>
        <w:numPr>
          <w:ilvl w:val="0"/>
          <w:numId w:val="5"/>
        </w:numPr>
        <w:tabs>
          <w:tab w:val="left" w:pos="284"/>
        </w:tabs>
        <w:suppressAutoHyphens/>
        <w:autoSpaceDE w:val="0"/>
        <w:autoSpaceDN w:val="0"/>
        <w:adjustRightInd w:val="0"/>
        <w:spacing w:before="60" w:line="300" w:lineRule="auto"/>
        <w:ind w:left="1135" w:hanging="284"/>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Le produit doit être licite.</w:t>
      </w:r>
    </w:p>
    <w:p w14:paraId="2FE81226" w14:textId="77777777" w:rsidR="002760B2" w:rsidRPr="0082089D" w:rsidRDefault="002760B2" w:rsidP="00CB0FF1">
      <w:pPr>
        <w:pStyle w:val="Paragraphedeliste"/>
        <w:numPr>
          <w:ilvl w:val="0"/>
          <w:numId w:val="5"/>
        </w:numPr>
        <w:tabs>
          <w:tab w:val="left" w:pos="284"/>
        </w:tabs>
        <w:suppressAutoHyphens/>
        <w:autoSpaceDE w:val="0"/>
        <w:autoSpaceDN w:val="0"/>
        <w:adjustRightInd w:val="0"/>
        <w:spacing w:before="60" w:line="300" w:lineRule="auto"/>
        <w:ind w:left="1135" w:hanging="284"/>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Toutes les étapes de production de ce produit doivent être licites (financement, i</w:t>
      </w:r>
      <w:r w:rsidR="00FB2B02" w:rsidRPr="0082089D">
        <w:rPr>
          <w:rFonts w:ascii="Times New Roman" w:hAnsi="Times New Roman" w:cs="Times New Roman"/>
          <w:kern w:val="24"/>
          <w:sz w:val="24"/>
          <w:szCs w:val="24"/>
        </w:rPr>
        <w:t>n</w:t>
      </w:r>
      <w:r w:rsidR="00ED7573" w:rsidRPr="0082089D">
        <w:rPr>
          <w:rFonts w:ascii="Times New Roman" w:hAnsi="Times New Roman" w:cs="Times New Roman"/>
          <w:kern w:val="24"/>
          <w:sz w:val="24"/>
          <w:szCs w:val="24"/>
        </w:rPr>
        <w:t>dustrialisation, achat, vente).</w:t>
      </w:r>
    </w:p>
    <w:p w14:paraId="750CF62C" w14:textId="452333D6" w:rsidR="002760B2" w:rsidRPr="0082089D" w:rsidRDefault="002760B2" w:rsidP="00CB0FF1">
      <w:pPr>
        <w:pStyle w:val="Paragraphedeliste"/>
        <w:numPr>
          <w:ilvl w:val="0"/>
          <w:numId w:val="5"/>
        </w:numPr>
        <w:tabs>
          <w:tab w:val="left" w:pos="284"/>
        </w:tabs>
        <w:suppressAutoHyphens/>
        <w:autoSpaceDE w:val="0"/>
        <w:autoSpaceDN w:val="0"/>
        <w:adjustRightInd w:val="0"/>
        <w:spacing w:before="60" w:line="300" w:lineRule="auto"/>
        <w:ind w:left="1135" w:hanging="284"/>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Tous les facteurs de production doivent être conformes à la </w:t>
      </w:r>
      <w:r w:rsidR="001F5C83" w:rsidRPr="0082089D">
        <w:rPr>
          <w:rFonts w:asciiTheme="majorBidi" w:eastAsia="Times New Roman" w:hAnsiTheme="majorBidi" w:cstheme="majorBidi"/>
          <w:i/>
          <w:iCs/>
          <w:color w:val="000000" w:themeColor="text1"/>
          <w:kern w:val="24"/>
          <w:sz w:val="24"/>
          <w:szCs w:val="24"/>
          <w:lang w:eastAsia="fr-FR"/>
        </w:rPr>
        <w:t>Shariah</w:t>
      </w:r>
      <w:r w:rsidRPr="0082089D">
        <w:rPr>
          <w:rFonts w:ascii="Times New Roman" w:hAnsi="Times New Roman" w:cs="Times New Roman"/>
          <w:kern w:val="24"/>
          <w:sz w:val="24"/>
          <w:szCs w:val="24"/>
        </w:rPr>
        <w:t xml:space="preserve"> (salaires, système de travail...).</w:t>
      </w:r>
    </w:p>
    <w:p w14:paraId="0D4CE2EF" w14:textId="77777777" w:rsidR="002760B2" w:rsidRPr="0082089D" w:rsidRDefault="009C33EC" w:rsidP="007F1103">
      <w:pPr>
        <w:pStyle w:val="Titre6"/>
        <w:keepNext w:val="0"/>
        <w:keepLines w:val="0"/>
        <w:suppressAutoHyphens/>
        <w:spacing w:before="100" w:beforeAutospacing="1" w:after="120" w:line="300" w:lineRule="auto"/>
        <w:ind w:firstLine="709"/>
        <w:rPr>
          <w:rFonts w:asciiTheme="majorBidi" w:hAnsiTheme="majorBidi"/>
          <w:b/>
          <w:bCs/>
          <w:i w:val="0"/>
          <w:iCs w:val="0"/>
          <w:color w:val="auto"/>
          <w:kern w:val="24"/>
          <w:sz w:val="24"/>
          <w:szCs w:val="24"/>
        </w:rPr>
      </w:pPr>
      <w:bookmarkStart w:id="313" w:name="_Toc182298643"/>
      <w:r w:rsidRPr="0082089D">
        <w:rPr>
          <w:rFonts w:asciiTheme="majorBidi" w:hAnsiTheme="majorBidi"/>
          <w:b/>
          <w:bCs/>
          <w:i w:val="0"/>
          <w:iCs w:val="0"/>
          <w:color w:val="auto"/>
          <w:kern w:val="24"/>
          <w:sz w:val="24"/>
          <w:szCs w:val="24"/>
        </w:rPr>
        <w:t>2.1.2.1.3- T</w:t>
      </w:r>
      <w:r w:rsidR="002760B2" w:rsidRPr="0082089D">
        <w:rPr>
          <w:rFonts w:asciiTheme="majorBidi" w:hAnsiTheme="majorBidi"/>
          <w:b/>
          <w:bCs/>
          <w:i w:val="0"/>
          <w:iCs w:val="0"/>
          <w:color w:val="auto"/>
          <w:kern w:val="24"/>
          <w:sz w:val="24"/>
          <w:szCs w:val="24"/>
        </w:rPr>
        <w:t>emps</w:t>
      </w:r>
      <w:bookmarkEnd w:id="313"/>
    </w:p>
    <w:p w14:paraId="59AAA27F" w14:textId="04C3577F" w:rsidR="00ED7573" w:rsidRPr="0082089D" w:rsidRDefault="002760B2" w:rsidP="00F04B08">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Le contrat de </w:t>
      </w:r>
      <w:r w:rsidR="004A4E16" w:rsidRPr="0082089D">
        <w:rPr>
          <w:rFonts w:ascii="Times New Roman" w:hAnsi="Times New Roman" w:cs="Times New Roman"/>
          <w:i/>
          <w:kern w:val="24"/>
          <w:sz w:val="24"/>
          <w:szCs w:val="24"/>
        </w:rPr>
        <w:t>moudaraba</w:t>
      </w:r>
      <w:r w:rsidRPr="0082089D">
        <w:rPr>
          <w:rFonts w:ascii="Times New Roman" w:hAnsi="Times New Roman" w:cs="Times New Roman"/>
          <w:kern w:val="24"/>
          <w:sz w:val="24"/>
          <w:szCs w:val="24"/>
        </w:rPr>
        <w:t xml:space="preserve"> doit être limité dans le temps. Selon les standards de </w:t>
      </w:r>
      <w:r w:rsidR="001F5C83" w:rsidRPr="0082089D">
        <w:rPr>
          <w:rFonts w:asciiTheme="majorBidi" w:eastAsia="Times New Roman" w:hAnsiTheme="majorBidi" w:cstheme="majorBidi"/>
          <w:i/>
          <w:iCs/>
          <w:color w:val="000000" w:themeColor="text1"/>
          <w:kern w:val="24"/>
          <w:sz w:val="24"/>
          <w:szCs w:val="24"/>
          <w:lang w:eastAsia="fr-FR"/>
        </w:rPr>
        <w:t>Shariah</w:t>
      </w:r>
      <w:r w:rsidR="001F5C83" w:rsidRPr="0082089D">
        <w:rPr>
          <w:rFonts w:ascii="Times New Roman" w:hAnsi="Times New Roman" w:cs="Times New Roman"/>
          <w:kern w:val="24"/>
          <w:sz w:val="24"/>
          <w:szCs w:val="24"/>
        </w:rPr>
        <w:t xml:space="preserve"> </w:t>
      </w:r>
      <w:r w:rsidRPr="0082089D">
        <w:rPr>
          <w:rFonts w:ascii="Times New Roman" w:hAnsi="Times New Roman" w:cs="Times New Roman"/>
          <w:kern w:val="24"/>
          <w:sz w:val="24"/>
          <w:szCs w:val="24"/>
        </w:rPr>
        <w:t xml:space="preserve">l’AAOIFI (Accounting and Auditing Organization for </w:t>
      </w:r>
      <w:r w:rsidR="00F34669" w:rsidRPr="0082089D">
        <w:rPr>
          <w:rFonts w:ascii="Times New Roman" w:hAnsi="Times New Roman" w:cs="Times New Roman"/>
          <w:kern w:val="24"/>
          <w:sz w:val="24"/>
          <w:szCs w:val="24"/>
        </w:rPr>
        <w:t>Islam</w:t>
      </w:r>
      <w:r w:rsidRPr="0082089D">
        <w:rPr>
          <w:rFonts w:ascii="Times New Roman" w:hAnsi="Times New Roman" w:cs="Times New Roman"/>
          <w:kern w:val="24"/>
          <w:sz w:val="24"/>
          <w:szCs w:val="24"/>
        </w:rPr>
        <w:t>ic Financial Institutions), il est possible de mettre un t</w:t>
      </w:r>
      <w:r w:rsidR="00ED7573" w:rsidRPr="0082089D">
        <w:rPr>
          <w:rFonts w:ascii="Times New Roman" w:hAnsi="Times New Roman" w:cs="Times New Roman"/>
          <w:kern w:val="24"/>
          <w:sz w:val="24"/>
          <w:szCs w:val="24"/>
        </w:rPr>
        <w:t>erme au contrat dans quatre cas :</w:t>
      </w:r>
    </w:p>
    <w:p w14:paraId="0228BA68" w14:textId="77777777" w:rsidR="00ED7573" w:rsidRPr="0082089D" w:rsidRDefault="004F7610" w:rsidP="00CB0FF1">
      <w:pPr>
        <w:pStyle w:val="Paragraphedeliste"/>
        <w:numPr>
          <w:ilvl w:val="0"/>
          <w:numId w:val="80"/>
        </w:numPr>
        <w:tabs>
          <w:tab w:val="left" w:pos="0"/>
        </w:tabs>
        <w:suppressAutoHyphens/>
        <w:autoSpaceDE w:val="0"/>
        <w:autoSpaceDN w:val="0"/>
        <w:adjustRightInd w:val="0"/>
        <w:spacing w:before="60" w:line="300" w:lineRule="auto"/>
        <w:ind w:left="1276" w:hanging="284"/>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Le</w:t>
      </w:r>
      <w:r w:rsidR="00ED7573" w:rsidRPr="0082089D">
        <w:rPr>
          <w:rFonts w:ascii="Times New Roman" w:hAnsi="Times New Roman" w:cs="Times New Roman"/>
          <w:kern w:val="24"/>
          <w:sz w:val="24"/>
          <w:szCs w:val="24"/>
        </w:rPr>
        <w:t xml:space="preserve"> premier réside</w:t>
      </w:r>
      <w:r w:rsidR="002760B2" w:rsidRPr="0082089D">
        <w:rPr>
          <w:rFonts w:ascii="Times New Roman" w:hAnsi="Times New Roman" w:cs="Times New Roman"/>
          <w:kern w:val="24"/>
          <w:sz w:val="24"/>
          <w:szCs w:val="24"/>
        </w:rPr>
        <w:t xml:space="preserve"> en le désistement d’une des parties</w:t>
      </w:r>
      <w:r w:rsidR="00ED7573" w:rsidRPr="0082089D">
        <w:rPr>
          <w:rFonts w:ascii="Times New Roman" w:hAnsi="Times New Roman" w:cs="Times New Roman"/>
          <w:kern w:val="24"/>
          <w:sz w:val="24"/>
          <w:szCs w:val="24"/>
        </w:rPr>
        <w:t xml:space="preserve"> en accord avec l’autre partie ;</w:t>
      </w:r>
    </w:p>
    <w:p w14:paraId="6F83DA35" w14:textId="77777777" w:rsidR="00ED7573" w:rsidRPr="0082089D" w:rsidRDefault="004F7610" w:rsidP="00CB0FF1">
      <w:pPr>
        <w:pStyle w:val="Paragraphedeliste"/>
        <w:numPr>
          <w:ilvl w:val="0"/>
          <w:numId w:val="80"/>
        </w:numPr>
        <w:tabs>
          <w:tab w:val="left" w:pos="0"/>
        </w:tabs>
        <w:suppressAutoHyphens/>
        <w:autoSpaceDE w:val="0"/>
        <w:autoSpaceDN w:val="0"/>
        <w:adjustRightInd w:val="0"/>
        <w:spacing w:before="60" w:line="300" w:lineRule="auto"/>
        <w:ind w:left="1276" w:hanging="284"/>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Le</w:t>
      </w:r>
      <w:r w:rsidR="00ED7573" w:rsidRPr="0082089D">
        <w:rPr>
          <w:rFonts w:ascii="Times New Roman" w:hAnsi="Times New Roman" w:cs="Times New Roman"/>
          <w:kern w:val="24"/>
          <w:sz w:val="24"/>
          <w:szCs w:val="24"/>
        </w:rPr>
        <w:t xml:space="preserve"> deuxième</w:t>
      </w:r>
      <w:r w:rsidR="002760B2" w:rsidRPr="0082089D">
        <w:rPr>
          <w:rFonts w:ascii="Times New Roman" w:hAnsi="Times New Roman" w:cs="Times New Roman"/>
          <w:kern w:val="24"/>
          <w:sz w:val="24"/>
          <w:szCs w:val="24"/>
        </w:rPr>
        <w:t xml:space="preserve"> est que le projet du contrat souffre de lourdes pertes</w:t>
      </w:r>
      <w:r w:rsidR="00ED7573" w:rsidRPr="0082089D">
        <w:rPr>
          <w:rFonts w:ascii="Times New Roman" w:hAnsi="Times New Roman" w:cs="Times New Roman"/>
          <w:kern w:val="24"/>
          <w:sz w:val="24"/>
          <w:szCs w:val="24"/>
        </w:rPr>
        <w:t> ;</w:t>
      </w:r>
    </w:p>
    <w:p w14:paraId="30570676" w14:textId="77777777" w:rsidR="00ED7573" w:rsidRPr="0082089D" w:rsidRDefault="004F7610" w:rsidP="00CB0FF1">
      <w:pPr>
        <w:pStyle w:val="Paragraphedeliste"/>
        <w:numPr>
          <w:ilvl w:val="0"/>
          <w:numId w:val="80"/>
        </w:numPr>
        <w:tabs>
          <w:tab w:val="left" w:pos="0"/>
        </w:tabs>
        <w:suppressAutoHyphens/>
        <w:autoSpaceDE w:val="0"/>
        <w:autoSpaceDN w:val="0"/>
        <w:adjustRightInd w:val="0"/>
        <w:spacing w:before="60" w:line="300" w:lineRule="auto"/>
        <w:ind w:left="1276" w:hanging="284"/>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Le</w:t>
      </w:r>
      <w:r w:rsidR="00ED7573" w:rsidRPr="0082089D">
        <w:rPr>
          <w:rFonts w:ascii="Times New Roman" w:hAnsi="Times New Roman" w:cs="Times New Roman"/>
          <w:kern w:val="24"/>
          <w:sz w:val="24"/>
          <w:szCs w:val="24"/>
        </w:rPr>
        <w:t xml:space="preserve"> troisième</w:t>
      </w:r>
      <w:r w:rsidR="002760B2" w:rsidRPr="0082089D">
        <w:rPr>
          <w:rFonts w:ascii="Times New Roman" w:hAnsi="Times New Roman" w:cs="Times New Roman"/>
          <w:kern w:val="24"/>
          <w:sz w:val="24"/>
          <w:szCs w:val="24"/>
        </w:rPr>
        <w:t xml:space="preserve"> est la fin de la période négociée</w:t>
      </w:r>
      <w:r w:rsidR="00ED7573" w:rsidRPr="0082089D">
        <w:rPr>
          <w:rFonts w:ascii="Times New Roman" w:hAnsi="Times New Roman" w:cs="Times New Roman"/>
          <w:kern w:val="24"/>
          <w:sz w:val="24"/>
          <w:szCs w:val="24"/>
        </w:rPr>
        <w:t> ;</w:t>
      </w:r>
    </w:p>
    <w:p w14:paraId="159FBA4E" w14:textId="77777777" w:rsidR="002760B2" w:rsidRPr="0082089D" w:rsidRDefault="004F7610" w:rsidP="00CB0FF1">
      <w:pPr>
        <w:pStyle w:val="Paragraphedeliste"/>
        <w:numPr>
          <w:ilvl w:val="0"/>
          <w:numId w:val="80"/>
        </w:numPr>
        <w:tabs>
          <w:tab w:val="left" w:pos="0"/>
        </w:tabs>
        <w:suppressAutoHyphens/>
        <w:autoSpaceDE w:val="0"/>
        <w:autoSpaceDN w:val="0"/>
        <w:adjustRightInd w:val="0"/>
        <w:spacing w:before="60" w:line="300" w:lineRule="auto"/>
        <w:ind w:left="1276" w:hanging="284"/>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Le</w:t>
      </w:r>
      <w:r w:rsidR="002760B2" w:rsidRPr="0082089D">
        <w:rPr>
          <w:rFonts w:ascii="Times New Roman" w:hAnsi="Times New Roman" w:cs="Times New Roman"/>
          <w:kern w:val="24"/>
          <w:sz w:val="24"/>
          <w:szCs w:val="24"/>
        </w:rPr>
        <w:t xml:space="preserve"> quatrième consiste en le décès de l’entrepreneur.</w:t>
      </w:r>
    </w:p>
    <w:p w14:paraId="2BBB0938" w14:textId="77777777" w:rsidR="002760B2" w:rsidRPr="0082089D" w:rsidRDefault="009C33EC" w:rsidP="007F1103">
      <w:pPr>
        <w:pStyle w:val="Titre6"/>
        <w:keepLines w:val="0"/>
        <w:suppressAutoHyphens/>
        <w:spacing w:before="100" w:beforeAutospacing="1" w:after="120" w:line="300" w:lineRule="auto"/>
        <w:ind w:firstLine="709"/>
        <w:rPr>
          <w:rFonts w:asciiTheme="majorBidi" w:hAnsiTheme="majorBidi"/>
          <w:b/>
          <w:bCs/>
          <w:color w:val="auto"/>
          <w:kern w:val="24"/>
          <w:sz w:val="24"/>
          <w:szCs w:val="24"/>
        </w:rPr>
      </w:pPr>
      <w:bookmarkStart w:id="314" w:name="_Toc182298644"/>
      <w:r w:rsidRPr="0082089D">
        <w:rPr>
          <w:rFonts w:asciiTheme="majorBidi" w:hAnsiTheme="majorBidi"/>
          <w:b/>
          <w:bCs/>
          <w:color w:val="auto"/>
          <w:kern w:val="24"/>
          <w:sz w:val="24"/>
          <w:szCs w:val="24"/>
        </w:rPr>
        <w:lastRenderedPageBreak/>
        <w:t>2.1.2.1.4- R</w:t>
      </w:r>
      <w:r w:rsidR="002760B2" w:rsidRPr="0082089D">
        <w:rPr>
          <w:rFonts w:asciiTheme="majorBidi" w:hAnsiTheme="majorBidi"/>
          <w:b/>
          <w:bCs/>
          <w:color w:val="auto"/>
          <w:kern w:val="24"/>
          <w:sz w:val="24"/>
          <w:szCs w:val="24"/>
        </w:rPr>
        <w:t>épartition des pertes et des profits</w:t>
      </w:r>
      <w:bookmarkEnd w:id="314"/>
    </w:p>
    <w:p w14:paraId="415D7CBD" w14:textId="77777777" w:rsidR="002760B2" w:rsidRPr="0082089D" w:rsidRDefault="002760B2" w:rsidP="007F1103">
      <w:pPr>
        <w:pStyle w:val="Paragraphedeliste"/>
        <w:keepNext/>
        <w:tabs>
          <w:tab w:val="left" w:pos="0"/>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Les pertes sont supportées par le bailleur seulement, alors que l’entrepreneur perd le fruit de ses efforts. Les profits sont distribués après le remboursement du capital à l’investisseur selon une clé de répartition déterminée au début de l’opération.</w:t>
      </w:r>
    </w:p>
    <w:p w14:paraId="3A873EDE" w14:textId="77777777" w:rsidR="002760B2" w:rsidRPr="0082089D" w:rsidRDefault="002760B2" w:rsidP="00F04B08">
      <w:pPr>
        <w:pStyle w:val="Paragraphedeliste"/>
        <w:tabs>
          <w:tab w:val="left" w:pos="0"/>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Les institutions financières </w:t>
      </w:r>
      <w:r w:rsidR="00A71787"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Pr="0082089D">
        <w:rPr>
          <w:rFonts w:ascii="Times New Roman" w:hAnsi="Times New Roman" w:cs="Times New Roman"/>
          <w:kern w:val="24"/>
          <w:sz w:val="24"/>
          <w:szCs w:val="24"/>
        </w:rPr>
        <w:t xml:space="preserve">s ont la possibilité de contracter principalement </w:t>
      </w:r>
      <w:r w:rsidRPr="0082089D">
        <w:rPr>
          <w:rFonts w:ascii="Times New Roman" w:hAnsi="Times New Roman" w:cs="Times New Roman"/>
          <w:b/>
          <w:bCs/>
          <w:i/>
          <w:iCs/>
          <w:kern w:val="24"/>
          <w:sz w:val="24"/>
          <w:szCs w:val="24"/>
        </w:rPr>
        <w:t xml:space="preserve">deux types de contrats </w:t>
      </w:r>
      <w:r w:rsidR="004A4E16" w:rsidRPr="0082089D">
        <w:rPr>
          <w:rFonts w:ascii="Times New Roman" w:hAnsi="Times New Roman" w:cs="Times New Roman"/>
          <w:b/>
          <w:bCs/>
          <w:i/>
          <w:iCs/>
          <w:kern w:val="24"/>
          <w:sz w:val="24"/>
          <w:szCs w:val="24"/>
        </w:rPr>
        <w:t>moudaraba</w:t>
      </w:r>
      <w:r w:rsidRPr="0082089D">
        <w:rPr>
          <w:rFonts w:ascii="Times New Roman" w:hAnsi="Times New Roman" w:cs="Times New Roman"/>
          <w:i/>
          <w:iCs/>
          <w:kern w:val="24"/>
          <w:sz w:val="24"/>
          <w:szCs w:val="24"/>
        </w:rPr>
        <w:t>,</w:t>
      </w:r>
      <w:r w:rsidRPr="0082089D">
        <w:rPr>
          <w:rFonts w:ascii="Times New Roman" w:hAnsi="Times New Roman" w:cs="Times New Roman"/>
          <w:kern w:val="24"/>
          <w:sz w:val="24"/>
          <w:szCs w:val="24"/>
        </w:rPr>
        <w:t xml:space="preserve"> soit des contrats de type limité, soit des contrats de type illimité :</w:t>
      </w:r>
    </w:p>
    <w:p w14:paraId="7183AD2D" w14:textId="77777777" w:rsidR="002760B2" w:rsidRPr="0082089D" w:rsidRDefault="003568E0" w:rsidP="00F04B08">
      <w:pPr>
        <w:pStyle w:val="Titre5"/>
        <w:keepNext w:val="0"/>
        <w:keepLines w:val="0"/>
        <w:suppressAutoHyphens/>
        <w:spacing w:before="120" w:after="120" w:line="300" w:lineRule="auto"/>
        <w:ind w:firstLine="709"/>
        <w:rPr>
          <w:rFonts w:asciiTheme="majorBidi" w:hAnsiTheme="majorBidi"/>
          <w:b/>
          <w:bCs/>
          <w:color w:val="auto"/>
          <w:kern w:val="24"/>
          <w:sz w:val="24"/>
          <w:szCs w:val="24"/>
        </w:rPr>
      </w:pPr>
      <w:bookmarkStart w:id="315" w:name="_Toc182298645"/>
      <w:r w:rsidRPr="0082089D">
        <w:rPr>
          <w:rFonts w:asciiTheme="majorBidi" w:hAnsiTheme="majorBidi"/>
          <w:b/>
          <w:bCs/>
          <w:color w:val="auto"/>
          <w:kern w:val="24"/>
          <w:sz w:val="24"/>
          <w:szCs w:val="24"/>
        </w:rPr>
        <w:t xml:space="preserve">2.1.2.2- </w:t>
      </w:r>
      <w:r w:rsidR="00EB7CE8" w:rsidRPr="0082089D">
        <w:rPr>
          <w:rFonts w:asciiTheme="majorBidi" w:hAnsiTheme="majorBidi"/>
          <w:b/>
          <w:bCs/>
          <w:i/>
          <w:iCs/>
          <w:color w:val="auto"/>
          <w:kern w:val="24"/>
          <w:sz w:val="24"/>
          <w:szCs w:val="24"/>
        </w:rPr>
        <w:t>Moudaraba</w:t>
      </w:r>
      <w:r w:rsidR="00EB7CE8" w:rsidRPr="0082089D">
        <w:rPr>
          <w:rFonts w:asciiTheme="majorBidi" w:hAnsiTheme="majorBidi"/>
          <w:b/>
          <w:bCs/>
          <w:color w:val="auto"/>
          <w:kern w:val="24"/>
          <w:sz w:val="24"/>
          <w:szCs w:val="24"/>
        </w:rPr>
        <w:t xml:space="preserve"> </w:t>
      </w:r>
      <w:r w:rsidR="00EB7CE8" w:rsidRPr="0082089D">
        <w:rPr>
          <w:rFonts w:asciiTheme="majorBidi" w:hAnsiTheme="majorBidi"/>
          <w:b/>
          <w:bCs/>
          <w:i/>
          <w:iCs/>
          <w:color w:val="auto"/>
          <w:kern w:val="24"/>
          <w:sz w:val="24"/>
          <w:szCs w:val="24"/>
        </w:rPr>
        <w:t>mouqayyada</w:t>
      </w:r>
      <w:r w:rsidR="00A70978" w:rsidRPr="0082089D">
        <w:rPr>
          <w:rFonts w:asciiTheme="majorBidi" w:hAnsiTheme="majorBidi"/>
          <w:b/>
          <w:bCs/>
          <w:color w:val="auto"/>
          <w:kern w:val="24"/>
          <w:sz w:val="24"/>
          <w:szCs w:val="24"/>
        </w:rPr>
        <w:t xml:space="preserve"> (</w:t>
      </w:r>
      <w:r w:rsidR="00EB7CE8" w:rsidRPr="0082089D">
        <w:rPr>
          <w:rFonts w:asciiTheme="majorBidi" w:hAnsiTheme="majorBidi"/>
          <w:b/>
          <w:bCs/>
          <w:color w:val="auto"/>
          <w:kern w:val="24"/>
          <w:sz w:val="24"/>
          <w:szCs w:val="24"/>
        </w:rPr>
        <w:t>restrictive</w:t>
      </w:r>
      <w:r w:rsidR="00014F9A" w:rsidRPr="0082089D">
        <w:rPr>
          <w:rFonts w:asciiTheme="majorBidi" w:hAnsiTheme="majorBidi"/>
          <w:b/>
          <w:bCs/>
          <w:color w:val="auto"/>
          <w:kern w:val="24"/>
          <w:sz w:val="24"/>
          <w:szCs w:val="24"/>
        </w:rPr>
        <w:t>)</w:t>
      </w:r>
      <w:bookmarkEnd w:id="315"/>
    </w:p>
    <w:p w14:paraId="63979214" w14:textId="77777777" w:rsidR="002760B2" w:rsidRPr="0082089D" w:rsidRDefault="002760B2" w:rsidP="00F04B08">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Dans ce cas le </w:t>
      </w:r>
      <w:r w:rsidR="004A4E16" w:rsidRPr="0082089D">
        <w:rPr>
          <w:rFonts w:ascii="Times New Roman" w:hAnsi="Times New Roman" w:cs="Times New Roman"/>
          <w:i/>
          <w:iCs/>
          <w:kern w:val="24"/>
          <w:sz w:val="24"/>
          <w:szCs w:val="24"/>
        </w:rPr>
        <w:t>moudarib</w:t>
      </w:r>
      <w:r w:rsidRPr="0082089D">
        <w:rPr>
          <w:rFonts w:ascii="Times New Roman" w:hAnsi="Times New Roman" w:cs="Times New Roman"/>
          <w:kern w:val="24"/>
          <w:sz w:val="24"/>
          <w:szCs w:val="24"/>
        </w:rPr>
        <w:t xml:space="preserve"> doit respecter la restriction imposée par le financier (durée, nature et objet de l’investissement, des partenaires financier</w:t>
      </w:r>
      <w:r w:rsidR="00D85BC5" w:rsidRPr="0082089D">
        <w:rPr>
          <w:rFonts w:ascii="Times New Roman" w:hAnsi="Times New Roman" w:cs="Times New Roman"/>
          <w:kern w:val="24"/>
          <w:sz w:val="24"/>
          <w:szCs w:val="24"/>
        </w:rPr>
        <w:t>s et autres entrepreneurs, etc.</w:t>
      </w:r>
      <w:r w:rsidRPr="0082089D">
        <w:rPr>
          <w:rFonts w:ascii="Times New Roman" w:hAnsi="Times New Roman" w:cs="Times New Roman"/>
          <w:kern w:val="24"/>
          <w:sz w:val="24"/>
          <w:szCs w:val="24"/>
        </w:rPr>
        <w:t xml:space="preserve">). Ainsi, il ne devrait cependant pas utiliser les fonds accordés pour investir dans d’autres activités ou projets, ou ceux ne respectant pas les conditions établies par le financier. </w:t>
      </w:r>
    </w:p>
    <w:p w14:paraId="48CBF77C" w14:textId="77777777" w:rsidR="002760B2" w:rsidRPr="0082089D" w:rsidRDefault="00713B9D" w:rsidP="00F04B08">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Exemple :</w:t>
      </w:r>
      <w:r w:rsidR="002760B2" w:rsidRPr="0082089D">
        <w:rPr>
          <w:rFonts w:ascii="Times New Roman" w:hAnsi="Times New Roman" w:cs="Times New Roman"/>
          <w:kern w:val="24"/>
          <w:sz w:val="24"/>
          <w:szCs w:val="24"/>
        </w:rPr>
        <w:t xml:space="preserve"> le financier peut exiger d’acheter qu’un objet spécifique, ou faire obliger l’entrepreneur à faire ses transactions dans un lieu déterminé, en lui disant, par exemple, je vous ai donné ce capital financier pour effectuer une </w:t>
      </w:r>
      <w:r w:rsidR="004A4E16" w:rsidRPr="0082089D">
        <w:rPr>
          <w:rFonts w:ascii="Times New Roman" w:hAnsi="Times New Roman" w:cs="Times New Roman"/>
          <w:i/>
          <w:kern w:val="24"/>
          <w:sz w:val="24"/>
          <w:szCs w:val="24"/>
        </w:rPr>
        <w:t>moudaraba</w:t>
      </w:r>
      <w:r w:rsidR="002760B2" w:rsidRPr="0082089D">
        <w:rPr>
          <w:rFonts w:ascii="Times New Roman" w:hAnsi="Times New Roman" w:cs="Times New Roman"/>
          <w:kern w:val="24"/>
          <w:sz w:val="24"/>
          <w:szCs w:val="24"/>
        </w:rPr>
        <w:t xml:space="preserve"> à Oran ou Alger en lui fixant un délai et en lui précisant la nature du commerce. Dans le cas où le </w:t>
      </w:r>
      <w:r w:rsidR="004A4E16" w:rsidRPr="0082089D">
        <w:rPr>
          <w:rFonts w:ascii="Times New Roman" w:hAnsi="Times New Roman" w:cs="Times New Roman"/>
          <w:i/>
          <w:iCs/>
          <w:kern w:val="24"/>
          <w:sz w:val="24"/>
          <w:szCs w:val="24"/>
        </w:rPr>
        <w:t>moudarib</w:t>
      </w:r>
      <w:r w:rsidR="002760B2" w:rsidRPr="0082089D">
        <w:rPr>
          <w:rFonts w:ascii="Times New Roman" w:hAnsi="Times New Roman" w:cs="Times New Roman"/>
          <w:kern w:val="24"/>
          <w:sz w:val="24"/>
          <w:szCs w:val="24"/>
        </w:rPr>
        <w:t xml:space="preserve"> agit contrairement à ces conditions, il serait le seul responsable des pertes.</w:t>
      </w:r>
    </w:p>
    <w:p w14:paraId="53E2314E" w14:textId="77777777" w:rsidR="002760B2" w:rsidRPr="0082089D" w:rsidRDefault="003568E0" w:rsidP="00F04B08">
      <w:pPr>
        <w:pStyle w:val="Titre5"/>
        <w:keepNext w:val="0"/>
        <w:keepLines w:val="0"/>
        <w:suppressAutoHyphens/>
        <w:spacing w:before="120" w:after="120" w:line="300" w:lineRule="auto"/>
        <w:ind w:firstLine="709"/>
        <w:rPr>
          <w:rFonts w:asciiTheme="majorBidi" w:hAnsiTheme="majorBidi"/>
          <w:b/>
          <w:bCs/>
          <w:color w:val="auto"/>
          <w:kern w:val="24"/>
          <w:sz w:val="24"/>
          <w:szCs w:val="24"/>
        </w:rPr>
      </w:pPr>
      <w:bookmarkStart w:id="316" w:name="_Toc182298646"/>
      <w:r w:rsidRPr="0082089D">
        <w:rPr>
          <w:rFonts w:asciiTheme="majorBidi" w:hAnsiTheme="majorBidi"/>
          <w:b/>
          <w:bCs/>
          <w:color w:val="auto"/>
          <w:kern w:val="24"/>
          <w:sz w:val="24"/>
          <w:szCs w:val="24"/>
        </w:rPr>
        <w:t xml:space="preserve">2.1.2.3- </w:t>
      </w:r>
      <w:r w:rsidR="004A4E16" w:rsidRPr="0082089D">
        <w:rPr>
          <w:rFonts w:asciiTheme="majorBidi" w:hAnsiTheme="majorBidi"/>
          <w:b/>
          <w:bCs/>
          <w:i/>
          <w:iCs/>
          <w:color w:val="auto"/>
          <w:kern w:val="24"/>
          <w:sz w:val="24"/>
          <w:szCs w:val="24"/>
        </w:rPr>
        <w:t>Moudaraba</w:t>
      </w:r>
      <w:r w:rsidR="00014F9A" w:rsidRPr="0082089D">
        <w:rPr>
          <w:rFonts w:asciiTheme="majorBidi" w:hAnsiTheme="majorBidi"/>
          <w:b/>
          <w:bCs/>
          <w:i/>
          <w:iCs/>
          <w:color w:val="auto"/>
          <w:kern w:val="24"/>
          <w:sz w:val="24"/>
          <w:szCs w:val="24"/>
        </w:rPr>
        <w:t xml:space="preserve"> </w:t>
      </w:r>
      <w:r w:rsidR="00843020" w:rsidRPr="0082089D">
        <w:rPr>
          <w:rFonts w:asciiTheme="majorBidi" w:hAnsiTheme="majorBidi"/>
          <w:b/>
          <w:bCs/>
          <w:i/>
          <w:iCs/>
          <w:color w:val="auto"/>
          <w:kern w:val="24"/>
          <w:sz w:val="24"/>
          <w:szCs w:val="24"/>
        </w:rPr>
        <w:t>moutlaqa</w:t>
      </w:r>
      <w:r w:rsidR="00843020" w:rsidRPr="0082089D">
        <w:rPr>
          <w:rFonts w:asciiTheme="majorBidi" w:hAnsiTheme="majorBidi"/>
          <w:b/>
          <w:bCs/>
          <w:color w:val="auto"/>
          <w:kern w:val="24"/>
          <w:sz w:val="24"/>
          <w:szCs w:val="24"/>
        </w:rPr>
        <w:t xml:space="preserve"> </w:t>
      </w:r>
      <w:r w:rsidR="00014F9A" w:rsidRPr="0082089D">
        <w:rPr>
          <w:rFonts w:asciiTheme="majorBidi" w:hAnsiTheme="majorBidi"/>
          <w:b/>
          <w:bCs/>
          <w:color w:val="auto"/>
          <w:kern w:val="24"/>
          <w:sz w:val="24"/>
          <w:szCs w:val="24"/>
        </w:rPr>
        <w:t>(</w:t>
      </w:r>
      <w:r w:rsidR="00843020" w:rsidRPr="0082089D">
        <w:rPr>
          <w:rFonts w:asciiTheme="majorBidi" w:hAnsiTheme="majorBidi"/>
          <w:b/>
          <w:bCs/>
          <w:color w:val="auto"/>
          <w:kern w:val="24"/>
          <w:sz w:val="24"/>
          <w:szCs w:val="24"/>
        </w:rPr>
        <w:t>absolue</w:t>
      </w:r>
      <w:r w:rsidR="00014F9A" w:rsidRPr="0082089D">
        <w:rPr>
          <w:rFonts w:asciiTheme="majorBidi" w:hAnsiTheme="majorBidi"/>
          <w:b/>
          <w:bCs/>
          <w:color w:val="auto"/>
          <w:kern w:val="24"/>
          <w:sz w:val="24"/>
          <w:szCs w:val="24"/>
        </w:rPr>
        <w:t>)</w:t>
      </w:r>
      <w:bookmarkEnd w:id="316"/>
    </w:p>
    <w:p w14:paraId="278A4E56" w14:textId="0AF040BA" w:rsidR="004B5A59" w:rsidRPr="0082089D" w:rsidRDefault="002760B2" w:rsidP="00F04B08">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Le </w:t>
      </w:r>
      <w:r w:rsidR="004A4E16" w:rsidRPr="0082089D">
        <w:rPr>
          <w:rFonts w:ascii="Times New Roman" w:hAnsi="Times New Roman" w:cs="Times New Roman"/>
          <w:i/>
          <w:iCs/>
          <w:kern w:val="24"/>
          <w:sz w:val="24"/>
          <w:szCs w:val="24"/>
        </w:rPr>
        <w:t>moudarib</w:t>
      </w:r>
      <w:r w:rsidRPr="0082089D">
        <w:rPr>
          <w:rFonts w:ascii="Times New Roman" w:hAnsi="Times New Roman" w:cs="Times New Roman"/>
          <w:kern w:val="24"/>
          <w:sz w:val="24"/>
          <w:szCs w:val="24"/>
        </w:rPr>
        <w:t xml:space="preserve"> (entrepreneur) a un mandat ouvert</w:t>
      </w:r>
      <w:r w:rsidR="000D05D3" w:rsidRPr="0082089D">
        <w:rPr>
          <w:rFonts w:ascii="Times New Roman" w:hAnsi="Times New Roman" w:cs="Times New Roman"/>
          <w:kern w:val="24"/>
          <w:sz w:val="24"/>
          <w:szCs w:val="24"/>
        </w:rPr>
        <w:t> ;</w:t>
      </w:r>
      <w:r w:rsidRPr="0082089D">
        <w:rPr>
          <w:rFonts w:ascii="Times New Roman" w:hAnsi="Times New Roman" w:cs="Times New Roman"/>
          <w:kern w:val="24"/>
          <w:sz w:val="24"/>
          <w:szCs w:val="24"/>
        </w:rPr>
        <w:t xml:space="preserve"> il est autorisé à faire tout ce que nécessite la </w:t>
      </w:r>
      <w:r w:rsidR="004A4E16" w:rsidRPr="0082089D">
        <w:rPr>
          <w:rFonts w:ascii="Times New Roman" w:hAnsi="Times New Roman" w:cs="Times New Roman"/>
          <w:i/>
          <w:kern w:val="24"/>
          <w:sz w:val="24"/>
          <w:szCs w:val="24"/>
        </w:rPr>
        <w:t>moudaraba</w:t>
      </w:r>
      <w:r w:rsidRPr="0082089D">
        <w:rPr>
          <w:rFonts w:ascii="Times New Roman" w:hAnsi="Times New Roman" w:cs="Times New Roman"/>
          <w:kern w:val="24"/>
          <w:sz w:val="24"/>
          <w:szCs w:val="24"/>
        </w:rPr>
        <w:t xml:space="preserve"> au fur et à mesure que l’affaire se déroule</w:t>
      </w:r>
      <w:r w:rsidR="000D05D3" w:rsidRPr="0082089D">
        <w:rPr>
          <w:rFonts w:ascii="Times New Roman" w:hAnsi="Times New Roman" w:cs="Times New Roman"/>
          <w:kern w:val="24"/>
          <w:sz w:val="24"/>
          <w:szCs w:val="24"/>
        </w:rPr>
        <w:t>.</w:t>
      </w:r>
      <w:r w:rsidRPr="0082089D">
        <w:rPr>
          <w:rFonts w:ascii="Times New Roman" w:hAnsi="Times New Roman" w:cs="Times New Roman"/>
          <w:kern w:val="24"/>
          <w:sz w:val="24"/>
          <w:szCs w:val="24"/>
        </w:rPr>
        <w:t xml:space="preserve"> </w:t>
      </w:r>
      <w:r w:rsidR="000D05D3" w:rsidRPr="0082089D">
        <w:rPr>
          <w:rFonts w:ascii="Times New Roman" w:hAnsi="Times New Roman" w:cs="Times New Roman"/>
          <w:kern w:val="24"/>
          <w:sz w:val="24"/>
          <w:szCs w:val="24"/>
        </w:rPr>
        <w:t>C</w:t>
      </w:r>
      <w:r w:rsidRPr="0082089D">
        <w:rPr>
          <w:rFonts w:ascii="Times New Roman" w:hAnsi="Times New Roman" w:cs="Times New Roman"/>
          <w:kern w:val="24"/>
          <w:sz w:val="24"/>
          <w:szCs w:val="24"/>
        </w:rPr>
        <w:t xml:space="preserve">e qui laisse supposer une grande confiance de la part du bailleur du capital envers le </w:t>
      </w:r>
      <w:r w:rsidR="004A4E16" w:rsidRPr="0082089D">
        <w:rPr>
          <w:rFonts w:ascii="Times New Roman" w:hAnsi="Times New Roman" w:cs="Times New Roman"/>
          <w:i/>
          <w:iCs/>
          <w:kern w:val="24"/>
          <w:sz w:val="24"/>
          <w:szCs w:val="24"/>
        </w:rPr>
        <w:t>moudarib</w:t>
      </w:r>
      <w:r w:rsidRPr="0082089D">
        <w:rPr>
          <w:rFonts w:ascii="Times New Roman" w:hAnsi="Times New Roman" w:cs="Times New Roman"/>
          <w:kern w:val="24"/>
          <w:sz w:val="24"/>
          <w:szCs w:val="24"/>
        </w:rPr>
        <w:t xml:space="preserve">. Autrement dit, le financier offre la possibilité à l’entrepreneur d’investir ses fonds dans n’importe quelle activité ou n’importe quel projet conforme à la </w:t>
      </w:r>
      <w:r w:rsidR="001F5C83" w:rsidRPr="0082089D">
        <w:rPr>
          <w:rFonts w:asciiTheme="majorBidi" w:eastAsia="Times New Roman" w:hAnsiTheme="majorBidi" w:cstheme="majorBidi"/>
          <w:i/>
          <w:iCs/>
          <w:color w:val="000000" w:themeColor="text1"/>
          <w:kern w:val="24"/>
          <w:sz w:val="24"/>
          <w:szCs w:val="24"/>
          <w:lang w:eastAsia="fr-FR"/>
        </w:rPr>
        <w:t>Shariah</w:t>
      </w:r>
      <w:r w:rsidRPr="0082089D">
        <w:rPr>
          <w:rFonts w:ascii="Times New Roman" w:hAnsi="Times New Roman" w:cs="Times New Roman"/>
          <w:kern w:val="24"/>
          <w:sz w:val="24"/>
          <w:szCs w:val="24"/>
        </w:rPr>
        <w:t xml:space="preserve"> (exemple des</w:t>
      </w:r>
      <w:r w:rsidR="00611EA9" w:rsidRPr="0082089D">
        <w:rPr>
          <w:rFonts w:ascii="Times New Roman" w:hAnsi="Times New Roman" w:cs="Times New Roman"/>
          <w:kern w:val="24"/>
          <w:sz w:val="24"/>
          <w:szCs w:val="24"/>
        </w:rPr>
        <w:t xml:space="preserve"> comptes d’épargne au niveau de la banque</w:t>
      </w:r>
      <w:r w:rsidRPr="0082089D">
        <w:rPr>
          <w:rFonts w:ascii="Times New Roman" w:hAnsi="Times New Roman" w:cs="Times New Roman"/>
          <w:kern w:val="24"/>
          <w:sz w:val="24"/>
          <w:szCs w:val="24"/>
        </w:rPr>
        <w:t xml:space="preserve"> </w:t>
      </w:r>
      <w:r w:rsidR="00505EDD"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Pr="0082089D">
        <w:rPr>
          <w:rFonts w:ascii="Times New Roman" w:hAnsi="Times New Roman" w:cs="Times New Roman"/>
          <w:kern w:val="24"/>
          <w:sz w:val="24"/>
          <w:szCs w:val="24"/>
        </w:rPr>
        <w:t>).</w:t>
      </w:r>
    </w:p>
    <w:p w14:paraId="7FEBFA47" w14:textId="77777777" w:rsidR="002760B2" w:rsidRPr="0082089D" w:rsidRDefault="003568E0" w:rsidP="0082089D">
      <w:pPr>
        <w:pStyle w:val="Titre5"/>
        <w:keepNext w:val="0"/>
        <w:keepLines w:val="0"/>
        <w:suppressAutoHyphens/>
        <w:spacing w:before="120" w:line="300" w:lineRule="auto"/>
        <w:ind w:firstLine="709"/>
        <w:rPr>
          <w:rFonts w:asciiTheme="majorBidi" w:hAnsiTheme="majorBidi"/>
          <w:b/>
          <w:bCs/>
          <w:color w:val="auto"/>
          <w:kern w:val="24"/>
          <w:sz w:val="24"/>
          <w:szCs w:val="24"/>
        </w:rPr>
      </w:pPr>
      <w:bookmarkStart w:id="317" w:name="_Toc182298647"/>
      <w:r w:rsidRPr="0082089D">
        <w:rPr>
          <w:rFonts w:asciiTheme="majorBidi" w:hAnsiTheme="majorBidi"/>
          <w:b/>
          <w:bCs/>
          <w:color w:val="auto"/>
          <w:kern w:val="24"/>
          <w:sz w:val="24"/>
          <w:szCs w:val="24"/>
        </w:rPr>
        <w:t xml:space="preserve">2.1.2.4- </w:t>
      </w:r>
      <w:r w:rsidR="008B04B4" w:rsidRPr="0082089D">
        <w:rPr>
          <w:rFonts w:asciiTheme="majorBidi" w:hAnsiTheme="majorBidi"/>
          <w:b/>
          <w:bCs/>
          <w:i/>
          <w:iCs/>
          <w:color w:val="auto"/>
          <w:kern w:val="24"/>
          <w:sz w:val="24"/>
          <w:szCs w:val="24"/>
        </w:rPr>
        <w:t>Moudaraba muzdawaja</w:t>
      </w:r>
      <w:r w:rsidR="008B04B4" w:rsidRPr="0082089D">
        <w:rPr>
          <w:rFonts w:asciiTheme="majorBidi" w:hAnsiTheme="majorBidi"/>
          <w:b/>
          <w:bCs/>
          <w:color w:val="auto"/>
          <w:kern w:val="24"/>
          <w:sz w:val="24"/>
          <w:szCs w:val="24"/>
        </w:rPr>
        <w:t xml:space="preserve"> ou</w:t>
      </w:r>
      <w:r w:rsidR="002760B2" w:rsidRPr="0082089D">
        <w:rPr>
          <w:rFonts w:asciiTheme="majorBidi" w:hAnsiTheme="majorBidi"/>
          <w:b/>
          <w:bCs/>
          <w:color w:val="auto"/>
          <w:kern w:val="24"/>
          <w:sz w:val="24"/>
          <w:szCs w:val="24"/>
        </w:rPr>
        <w:t xml:space="preserve"> double rôle de la banque </w:t>
      </w:r>
      <w:r w:rsidR="00C61C28" w:rsidRPr="0082089D">
        <w:rPr>
          <w:rFonts w:asciiTheme="majorBidi" w:hAnsiTheme="majorBidi"/>
          <w:b/>
          <w:bCs/>
          <w:color w:val="auto"/>
          <w:kern w:val="24"/>
          <w:sz w:val="24"/>
          <w:szCs w:val="24"/>
        </w:rPr>
        <w:t>i</w:t>
      </w:r>
      <w:r w:rsidR="003773C6" w:rsidRPr="0082089D">
        <w:rPr>
          <w:rFonts w:asciiTheme="majorBidi" w:hAnsiTheme="majorBidi"/>
          <w:b/>
          <w:bCs/>
          <w:color w:val="auto"/>
          <w:kern w:val="24"/>
          <w:sz w:val="24"/>
          <w:szCs w:val="24"/>
        </w:rPr>
        <w:t>slamique</w:t>
      </w:r>
      <w:bookmarkEnd w:id="317"/>
    </w:p>
    <w:p w14:paraId="1AED691C" w14:textId="77777777" w:rsidR="002760B2" w:rsidRPr="0082089D" w:rsidRDefault="002760B2" w:rsidP="0082089D">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A travers le contrat </w:t>
      </w:r>
      <w:r w:rsidR="004A4E16" w:rsidRPr="0082089D">
        <w:rPr>
          <w:rFonts w:ascii="Times New Roman" w:hAnsi="Times New Roman" w:cs="Times New Roman"/>
          <w:i/>
          <w:kern w:val="24"/>
          <w:sz w:val="24"/>
          <w:szCs w:val="24"/>
        </w:rPr>
        <w:t>moudaraba</w:t>
      </w:r>
      <w:r w:rsidR="00D376FE" w:rsidRPr="0082089D">
        <w:rPr>
          <w:rFonts w:ascii="Times New Roman" w:hAnsi="Times New Roman" w:cs="Times New Roman"/>
          <w:kern w:val="24"/>
          <w:sz w:val="24"/>
          <w:szCs w:val="24"/>
        </w:rPr>
        <w:t xml:space="preserve">, la banque </w:t>
      </w:r>
      <w:r w:rsidR="00C61C28"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00D376FE" w:rsidRPr="0082089D">
        <w:rPr>
          <w:rFonts w:ascii="Times New Roman" w:hAnsi="Times New Roman" w:cs="Times New Roman"/>
          <w:kern w:val="24"/>
          <w:sz w:val="24"/>
          <w:szCs w:val="24"/>
        </w:rPr>
        <w:t xml:space="preserve"> s’assigne simultanément l</w:t>
      </w:r>
      <w:r w:rsidRPr="0082089D">
        <w:rPr>
          <w:rFonts w:ascii="Times New Roman" w:hAnsi="Times New Roman" w:cs="Times New Roman"/>
          <w:kern w:val="24"/>
          <w:sz w:val="24"/>
          <w:szCs w:val="24"/>
        </w:rPr>
        <w:t>es deux rôles suivants :</w:t>
      </w:r>
    </w:p>
    <w:p w14:paraId="20E61FA1" w14:textId="77777777" w:rsidR="00ED7573" w:rsidRPr="0082089D" w:rsidRDefault="002A14A9" w:rsidP="0082089D">
      <w:pPr>
        <w:pStyle w:val="Titre6"/>
        <w:keepNext w:val="0"/>
        <w:keepLines w:val="0"/>
        <w:suppressAutoHyphens/>
        <w:spacing w:before="120" w:line="300" w:lineRule="auto"/>
        <w:ind w:firstLine="709"/>
        <w:rPr>
          <w:rFonts w:asciiTheme="majorBidi" w:hAnsiTheme="majorBidi"/>
          <w:b/>
          <w:bCs/>
          <w:i w:val="0"/>
          <w:iCs w:val="0"/>
          <w:color w:val="auto"/>
          <w:kern w:val="24"/>
          <w:sz w:val="24"/>
          <w:szCs w:val="24"/>
        </w:rPr>
      </w:pPr>
      <w:bookmarkStart w:id="318" w:name="_Toc182298648"/>
      <w:r w:rsidRPr="0082089D">
        <w:rPr>
          <w:rFonts w:asciiTheme="majorBidi" w:hAnsiTheme="majorBidi"/>
          <w:b/>
          <w:bCs/>
          <w:i w:val="0"/>
          <w:iCs w:val="0"/>
          <w:color w:val="auto"/>
          <w:kern w:val="24"/>
          <w:sz w:val="24"/>
          <w:szCs w:val="24"/>
        </w:rPr>
        <w:t>2.1.</w:t>
      </w:r>
      <w:r w:rsidR="009C33EC" w:rsidRPr="0082089D">
        <w:rPr>
          <w:rFonts w:asciiTheme="majorBidi" w:hAnsiTheme="majorBidi"/>
          <w:b/>
          <w:bCs/>
          <w:i w:val="0"/>
          <w:iCs w:val="0"/>
          <w:color w:val="auto"/>
          <w:kern w:val="24"/>
          <w:sz w:val="24"/>
          <w:szCs w:val="24"/>
        </w:rPr>
        <w:t>2.4.1- R</w:t>
      </w:r>
      <w:r w:rsidR="002760B2" w:rsidRPr="0082089D">
        <w:rPr>
          <w:rFonts w:asciiTheme="majorBidi" w:hAnsiTheme="majorBidi"/>
          <w:b/>
          <w:bCs/>
          <w:i w:val="0"/>
          <w:iCs w:val="0"/>
          <w:color w:val="auto"/>
          <w:kern w:val="24"/>
          <w:sz w:val="24"/>
          <w:szCs w:val="24"/>
        </w:rPr>
        <w:t>ôle de commandité</w:t>
      </w:r>
      <w:bookmarkEnd w:id="318"/>
    </w:p>
    <w:p w14:paraId="37582FC4" w14:textId="69E900BD" w:rsidR="002760B2" w:rsidRPr="0082089D" w:rsidRDefault="00ED7573" w:rsidP="0082089D">
      <w:pPr>
        <w:pStyle w:val="Paragraphedeliste"/>
        <w:tabs>
          <w:tab w:val="left" w:pos="0"/>
          <w:tab w:val="left" w:pos="284"/>
          <w:tab w:val="left" w:pos="1134"/>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C’est</w:t>
      </w:r>
      <w:r w:rsidR="002760B2" w:rsidRPr="0082089D">
        <w:rPr>
          <w:rFonts w:ascii="Times New Roman" w:hAnsi="Times New Roman" w:cs="Times New Roman"/>
          <w:kern w:val="24"/>
          <w:sz w:val="24"/>
          <w:szCs w:val="24"/>
        </w:rPr>
        <w:t xml:space="preserve"> lorsque les déposants confient à la banque </w:t>
      </w:r>
      <w:r w:rsidR="00505EDD"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002760B2" w:rsidRPr="0082089D">
        <w:rPr>
          <w:rFonts w:ascii="Times New Roman" w:hAnsi="Times New Roman" w:cs="Times New Roman"/>
          <w:kern w:val="24"/>
          <w:sz w:val="24"/>
          <w:szCs w:val="24"/>
        </w:rPr>
        <w:t xml:space="preserve"> leurs fonds pour qu’elle les investisse dans des projets rentables. C’est en quelque sorte la fonction de gestion de patrimoine. Une bonne gestion consiste dans le choix des projets les plus rentables. Ainsi la banque conf</w:t>
      </w:r>
      <w:r w:rsidR="002B70C0">
        <w:rPr>
          <w:rFonts w:ascii="Times New Roman" w:hAnsi="Times New Roman" w:cs="Times New Roman"/>
          <w:kern w:val="24"/>
          <w:sz w:val="24"/>
          <w:szCs w:val="24"/>
        </w:rPr>
        <w:t>ère</w:t>
      </w:r>
      <w:r w:rsidR="002760B2" w:rsidRPr="0082089D">
        <w:rPr>
          <w:rFonts w:ascii="Times New Roman" w:hAnsi="Times New Roman" w:cs="Times New Roman"/>
          <w:kern w:val="24"/>
          <w:sz w:val="24"/>
          <w:szCs w:val="24"/>
        </w:rPr>
        <w:t xml:space="preserve"> ces fonds à des personnes qui demandent le financement de leurs affaires et</w:t>
      </w:r>
      <w:r w:rsidR="002B70C0">
        <w:rPr>
          <w:rFonts w:ascii="Times New Roman" w:hAnsi="Times New Roman" w:cs="Times New Roman"/>
          <w:kern w:val="24"/>
          <w:sz w:val="24"/>
          <w:szCs w:val="24"/>
        </w:rPr>
        <w:t xml:space="preserve"> en </w:t>
      </w:r>
      <w:r w:rsidR="002760B2" w:rsidRPr="0082089D">
        <w:rPr>
          <w:rFonts w:ascii="Times New Roman" w:hAnsi="Times New Roman" w:cs="Times New Roman"/>
          <w:kern w:val="24"/>
          <w:sz w:val="24"/>
          <w:szCs w:val="24"/>
        </w:rPr>
        <w:t>assure</w:t>
      </w:r>
      <w:r w:rsidR="002B70C0">
        <w:rPr>
          <w:rFonts w:ascii="Times New Roman" w:hAnsi="Times New Roman" w:cs="Times New Roman"/>
          <w:kern w:val="24"/>
          <w:sz w:val="24"/>
          <w:szCs w:val="24"/>
        </w:rPr>
        <w:t>nt</w:t>
      </w:r>
      <w:r w:rsidR="002760B2" w:rsidRPr="0082089D">
        <w:rPr>
          <w:rFonts w:ascii="Times New Roman" w:hAnsi="Times New Roman" w:cs="Times New Roman"/>
          <w:kern w:val="24"/>
          <w:sz w:val="24"/>
          <w:szCs w:val="24"/>
        </w:rPr>
        <w:t xml:space="preserve"> la g</w:t>
      </w:r>
      <w:r w:rsidR="008E309A" w:rsidRPr="0082089D">
        <w:rPr>
          <w:rFonts w:ascii="Times New Roman" w:hAnsi="Times New Roman" w:cs="Times New Roman"/>
          <w:kern w:val="24"/>
          <w:sz w:val="24"/>
          <w:szCs w:val="24"/>
        </w:rPr>
        <w:t>estion tout a</w:t>
      </w:r>
      <w:r w:rsidR="0068001A" w:rsidRPr="0082089D">
        <w:rPr>
          <w:rFonts w:ascii="Times New Roman" w:hAnsi="Times New Roman" w:cs="Times New Roman"/>
          <w:kern w:val="24"/>
          <w:sz w:val="24"/>
          <w:szCs w:val="24"/>
        </w:rPr>
        <w:t>u long du projet.</w:t>
      </w:r>
    </w:p>
    <w:p w14:paraId="4D2D4898" w14:textId="77777777" w:rsidR="00ED7573" w:rsidRPr="0082089D" w:rsidRDefault="009C33EC" w:rsidP="0082089D">
      <w:pPr>
        <w:pStyle w:val="Titre6"/>
        <w:keepNext w:val="0"/>
        <w:keepLines w:val="0"/>
        <w:suppressAutoHyphens/>
        <w:spacing w:before="120" w:line="300" w:lineRule="auto"/>
        <w:ind w:firstLine="709"/>
        <w:rPr>
          <w:rFonts w:asciiTheme="majorBidi" w:hAnsiTheme="majorBidi"/>
          <w:b/>
          <w:bCs/>
          <w:i w:val="0"/>
          <w:iCs w:val="0"/>
          <w:color w:val="auto"/>
          <w:kern w:val="24"/>
          <w:sz w:val="24"/>
          <w:szCs w:val="24"/>
        </w:rPr>
      </w:pPr>
      <w:bookmarkStart w:id="319" w:name="_Toc182298649"/>
      <w:r w:rsidRPr="0082089D">
        <w:rPr>
          <w:rFonts w:asciiTheme="majorBidi" w:hAnsiTheme="majorBidi"/>
          <w:b/>
          <w:bCs/>
          <w:i w:val="0"/>
          <w:iCs w:val="0"/>
          <w:color w:val="auto"/>
          <w:kern w:val="24"/>
          <w:sz w:val="24"/>
          <w:szCs w:val="24"/>
        </w:rPr>
        <w:t>2.1.2.4.2- R</w:t>
      </w:r>
      <w:r w:rsidR="002760B2" w:rsidRPr="0082089D">
        <w:rPr>
          <w:rFonts w:asciiTheme="majorBidi" w:hAnsiTheme="majorBidi"/>
          <w:b/>
          <w:bCs/>
          <w:i w:val="0"/>
          <w:iCs w:val="0"/>
          <w:color w:val="auto"/>
          <w:kern w:val="24"/>
          <w:sz w:val="24"/>
          <w:szCs w:val="24"/>
        </w:rPr>
        <w:t>ôle de commanditaire</w:t>
      </w:r>
      <w:bookmarkEnd w:id="319"/>
    </w:p>
    <w:p w14:paraId="5D46D99E" w14:textId="77777777" w:rsidR="00AC406E" w:rsidRPr="0082089D" w:rsidRDefault="00ED7573" w:rsidP="0082089D">
      <w:pPr>
        <w:pStyle w:val="Paragraphedeliste"/>
        <w:tabs>
          <w:tab w:val="left" w:pos="0"/>
          <w:tab w:val="left" w:pos="284"/>
          <w:tab w:val="left" w:pos="1134"/>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82089D">
        <w:rPr>
          <w:rFonts w:ascii="Times New Roman" w:hAnsi="Times New Roman" w:cs="Times New Roman"/>
          <w:kern w:val="24"/>
          <w:sz w:val="24"/>
          <w:szCs w:val="24"/>
        </w:rPr>
        <w:t>C’est</w:t>
      </w:r>
      <w:r w:rsidR="002760B2" w:rsidRPr="0082089D">
        <w:rPr>
          <w:rFonts w:ascii="Times New Roman" w:hAnsi="Times New Roman" w:cs="Times New Roman"/>
          <w:kern w:val="24"/>
          <w:sz w:val="24"/>
          <w:szCs w:val="24"/>
        </w:rPr>
        <w:t xml:space="preserve"> le cas où la banque devient bailleur de fonds et finance avec les dépôts collectés les besoins d’investissement d’un entrepreneur.</w:t>
      </w:r>
    </w:p>
    <w:p w14:paraId="0217598B" w14:textId="77BC130D" w:rsidR="002760B2" w:rsidRPr="0082089D" w:rsidRDefault="00E41613" w:rsidP="007F1103">
      <w:pPr>
        <w:pStyle w:val="Titre4"/>
        <w:suppressAutoHyphens/>
        <w:spacing w:before="120" w:after="0" w:line="300" w:lineRule="auto"/>
        <w:ind w:firstLine="709"/>
        <w:rPr>
          <w:kern w:val="24"/>
        </w:rPr>
      </w:pPr>
      <w:bookmarkStart w:id="320" w:name="_Toc33263232"/>
      <w:bookmarkStart w:id="321" w:name="_Toc37664484"/>
      <w:bookmarkStart w:id="322" w:name="_Toc37666329"/>
      <w:bookmarkStart w:id="323" w:name="_Toc54363218"/>
      <w:bookmarkStart w:id="324" w:name="_Toc58606234"/>
      <w:bookmarkStart w:id="325" w:name="_Toc61263439"/>
      <w:bookmarkStart w:id="326" w:name="_Toc182298650"/>
      <w:r w:rsidRPr="0082089D">
        <w:rPr>
          <w:kern w:val="24"/>
        </w:rPr>
        <w:lastRenderedPageBreak/>
        <w:t>2.1.</w:t>
      </w:r>
      <w:r w:rsidR="000A160A" w:rsidRPr="0082089D">
        <w:rPr>
          <w:kern w:val="24"/>
        </w:rPr>
        <w:t>3</w:t>
      </w:r>
      <w:r w:rsidRPr="0082089D">
        <w:rPr>
          <w:kern w:val="24"/>
        </w:rPr>
        <w:t xml:space="preserve">- </w:t>
      </w:r>
      <w:r w:rsidRPr="0082089D">
        <w:rPr>
          <w:i/>
          <w:iCs/>
          <w:kern w:val="24"/>
        </w:rPr>
        <w:t>M</w:t>
      </w:r>
      <w:r w:rsidR="002C67F4" w:rsidRPr="0082089D">
        <w:rPr>
          <w:i/>
          <w:iCs/>
          <w:kern w:val="24"/>
        </w:rPr>
        <w:t>ouz</w:t>
      </w:r>
      <w:r w:rsidR="00234733" w:rsidRPr="0082089D">
        <w:rPr>
          <w:i/>
          <w:iCs/>
          <w:kern w:val="24"/>
        </w:rPr>
        <w:t>â</w:t>
      </w:r>
      <w:r w:rsidR="002C67F4" w:rsidRPr="0082089D">
        <w:rPr>
          <w:i/>
          <w:iCs/>
          <w:kern w:val="24"/>
        </w:rPr>
        <w:t>raa’</w:t>
      </w:r>
      <w:r w:rsidRPr="0082089D">
        <w:rPr>
          <w:kern w:val="24"/>
        </w:rPr>
        <w:t>,</w:t>
      </w:r>
      <w:r w:rsidR="002760B2" w:rsidRPr="0082089D">
        <w:rPr>
          <w:kern w:val="24"/>
        </w:rPr>
        <w:t xml:space="preserve"> </w:t>
      </w:r>
      <w:r w:rsidR="002760B2" w:rsidRPr="0082089D">
        <w:rPr>
          <w:i/>
          <w:iCs/>
          <w:kern w:val="24"/>
        </w:rPr>
        <w:t>m</w:t>
      </w:r>
      <w:r w:rsidR="002C67F4" w:rsidRPr="0082089D">
        <w:rPr>
          <w:i/>
          <w:iCs/>
          <w:kern w:val="24"/>
        </w:rPr>
        <w:t>o</w:t>
      </w:r>
      <w:r w:rsidR="00C61C28" w:rsidRPr="0082089D">
        <w:rPr>
          <w:i/>
          <w:iCs/>
          <w:kern w:val="24"/>
        </w:rPr>
        <w:t>ussaqâ</w:t>
      </w:r>
      <w:r w:rsidR="00C61C28" w:rsidRPr="0082089D">
        <w:rPr>
          <w:kern w:val="24"/>
        </w:rPr>
        <w:t xml:space="preserve"> et </w:t>
      </w:r>
      <w:r w:rsidR="00C61C28" w:rsidRPr="0082089D">
        <w:rPr>
          <w:i/>
          <w:iCs/>
          <w:kern w:val="24"/>
        </w:rPr>
        <w:t>m</w:t>
      </w:r>
      <w:r w:rsidR="002760B2" w:rsidRPr="0082089D">
        <w:rPr>
          <w:i/>
          <w:iCs/>
          <w:kern w:val="24"/>
        </w:rPr>
        <w:t>ough</w:t>
      </w:r>
      <w:r w:rsidR="00234733" w:rsidRPr="0082089D">
        <w:rPr>
          <w:i/>
          <w:iCs/>
          <w:kern w:val="24"/>
        </w:rPr>
        <w:t>â</w:t>
      </w:r>
      <w:r w:rsidR="002760B2" w:rsidRPr="0082089D">
        <w:rPr>
          <w:i/>
          <w:iCs/>
          <w:kern w:val="24"/>
        </w:rPr>
        <w:t>rassa</w:t>
      </w:r>
      <w:bookmarkEnd w:id="320"/>
      <w:bookmarkEnd w:id="321"/>
      <w:bookmarkEnd w:id="322"/>
      <w:bookmarkEnd w:id="323"/>
      <w:bookmarkEnd w:id="324"/>
      <w:bookmarkEnd w:id="325"/>
      <w:bookmarkEnd w:id="326"/>
    </w:p>
    <w:p w14:paraId="54D2E67D" w14:textId="77777777" w:rsidR="002760B2" w:rsidRPr="0082089D" w:rsidRDefault="002760B2" w:rsidP="007F1103">
      <w:pPr>
        <w:pStyle w:val="Paragraphedeliste"/>
        <w:keepNext/>
        <w:tabs>
          <w:tab w:val="left" w:pos="0"/>
        </w:tabs>
        <w:suppressAutoHyphens/>
        <w:spacing w:before="120" w:line="300" w:lineRule="auto"/>
        <w:ind w:left="0" w:firstLine="709"/>
        <w:contextualSpacing w:val="0"/>
        <w:rPr>
          <w:rFonts w:ascii="Times New Roman" w:hAnsi="Times New Roman" w:cs="Times New Roman"/>
          <w:bCs/>
          <w:iCs/>
          <w:kern w:val="24"/>
          <w:sz w:val="24"/>
          <w:szCs w:val="24"/>
        </w:rPr>
      </w:pPr>
      <w:r w:rsidRPr="0082089D">
        <w:rPr>
          <w:rFonts w:ascii="Times New Roman" w:hAnsi="Times New Roman" w:cs="Times New Roman"/>
          <w:kern w:val="24"/>
          <w:sz w:val="24"/>
          <w:szCs w:val="24"/>
        </w:rPr>
        <w:t xml:space="preserve">Ces trois types de contrats sont utilisés dans le domaine de l’exploitation des terres agricoles. C’est une forme d’association entre le capital (terre agricole) et le travail. Donc, ils présentent une certaine analogie avec la </w:t>
      </w:r>
      <w:r w:rsidR="004A4E16" w:rsidRPr="0082089D">
        <w:rPr>
          <w:rFonts w:ascii="Times New Roman" w:hAnsi="Times New Roman" w:cs="Times New Roman"/>
          <w:i/>
          <w:kern w:val="24"/>
          <w:sz w:val="24"/>
          <w:szCs w:val="24"/>
        </w:rPr>
        <w:t>moudaraba</w:t>
      </w:r>
      <w:r w:rsidRPr="0082089D">
        <w:rPr>
          <w:rFonts w:ascii="Times New Roman" w:hAnsi="Times New Roman" w:cs="Times New Roman"/>
          <w:kern w:val="24"/>
          <w:sz w:val="24"/>
          <w:szCs w:val="24"/>
        </w:rPr>
        <w:t>. L’usage de tel ou tel contrat est conditionné par la nature du produit cultivable.</w:t>
      </w:r>
    </w:p>
    <w:p w14:paraId="39E11DB5" w14:textId="77777777" w:rsidR="00B05CF6" w:rsidRPr="0082089D" w:rsidRDefault="00B05CF6" w:rsidP="0082089D">
      <w:pPr>
        <w:pStyle w:val="Titre5"/>
        <w:keepNext w:val="0"/>
        <w:keepLines w:val="0"/>
        <w:suppressAutoHyphens/>
        <w:spacing w:before="120" w:line="300" w:lineRule="auto"/>
        <w:ind w:firstLine="709"/>
        <w:rPr>
          <w:rFonts w:asciiTheme="majorBidi" w:hAnsiTheme="majorBidi"/>
          <w:b/>
          <w:bCs/>
          <w:color w:val="auto"/>
          <w:kern w:val="24"/>
          <w:sz w:val="24"/>
          <w:szCs w:val="24"/>
        </w:rPr>
      </w:pPr>
      <w:bookmarkStart w:id="327" w:name="_Toc182298651"/>
      <w:r w:rsidRPr="0082089D">
        <w:rPr>
          <w:rFonts w:asciiTheme="majorBidi" w:hAnsiTheme="majorBidi"/>
          <w:b/>
          <w:bCs/>
          <w:color w:val="auto"/>
          <w:kern w:val="24"/>
          <w:sz w:val="24"/>
          <w:szCs w:val="24"/>
        </w:rPr>
        <w:t xml:space="preserve">2.1.3.1- </w:t>
      </w:r>
      <w:r w:rsidR="00CC5491" w:rsidRPr="0082089D">
        <w:rPr>
          <w:rFonts w:asciiTheme="majorBidi" w:hAnsiTheme="majorBidi"/>
          <w:b/>
          <w:bCs/>
          <w:i/>
          <w:iCs/>
          <w:color w:val="auto"/>
          <w:kern w:val="24"/>
          <w:sz w:val="24"/>
          <w:szCs w:val="24"/>
        </w:rPr>
        <w:t>M</w:t>
      </w:r>
      <w:r w:rsidRPr="0082089D">
        <w:rPr>
          <w:rFonts w:asciiTheme="majorBidi" w:hAnsiTheme="majorBidi"/>
          <w:b/>
          <w:bCs/>
          <w:i/>
          <w:iCs/>
          <w:color w:val="auto"/>
          <w:kern w:val="24"/>
          <w:sz w:val="24"/>
          <w:szCs w:val="24"/>
        </w:rPr>
        <w:t>ouz</w:t>
      </w:r>
      <w:r w:rsidR="002A14A9" w:rsidRPr="0082089D">
        <w:rPr>
          <w:rFonts w:asciiTheme="majorBidi" w:hAnsiTheme="majorBidi"/>
          <w:b/>
          <w:bCs/>
          <w:i/>
          <w:iCs/>
          <w:color w:val="auto"/>
          <w:kern w:val="24"/>
          <w:sz w:val="24"/>
          <w:szCs w:val="24"/>
        </w:rPr>
        <w:t>â</w:t>
      </w:r>
      <w:r w:rsidRPr="0082089D">
        <w:rPr>
          <w:rFonts w:asciiTheme="majorBidi" w:hAnsiTheme="majorBidi"/>
          <w:b/>
          <w:bCs/>
          <w:i/>
          <w:iCs/>
          <w:color w:val="auto"/>
          <w:kern w:val="24"/>
          <w:sz w:val="24"/>
          <w:szCs w:val="24"/>
        </w:rPr>
        <w:t>raa’</w:t>
      </w:r>
      <w:bookmarkEnd w:id="327"/>
    </w:p>
    <w:p w14:paraId="0C3D8080" w14:textId="69A6A75D" w:rsidR="002760B2" w:rsidRPr="0082089D" w:rsidRDefault="002760B2" w:rsidP="0082089D">
      <w:pPr>
        <w:tabs>
          <w:tab w:val="left" w:pos="0"/>
        </w:tabs>
        <w:suppressAutoHyphens/>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La </w:t>
      </w:r>
      <w:r w:rsidR="002C67F4" w:rsidRPr="0082089D">
        <w:rPr>
          <w:rFonts w:ascii="Times New Roman" w:hAnsi="Times New Roman" w:cs="Times New Roman"/>
          <w:b/>
          <w:bCs/>
          <w:i/>
          <w:iCs/>
          <w:kern w:val="24"/>
          <w:sz w:val="24"/>
          <w:szCs w:val="24"/>
        </w:rPr>
        <w:t>mouz</w:t>
      </w:r>
      <w:r w:rsidR="002A14A9" w:rsidRPr="0082089D">
        <w:rPr>
          <w:rFonts w:ascii="Times New Roman" w:hAnsi="Times New Roman" w:cs="Times New Roman"/>
          <w:b/>
          <w:bCs/>
          <w:i/>
          <w:iCs/>
          <w:kern w:val="24"/>
          <w:sz w:val="24"/>
          <w:szCs w:val="24"/>
        </w:rPr>
        <w:t>â</w:t>
      </w:r>
      <w:r w:rsidR="002C67F4" w:rsidRPr="0082089D">
        <w:rPr>
          <w:rFonts w:ascii="Times New Roman" w:hAnsi="Times New Roman" w:cs="Times New Roman"/>
          <w:b/>
          <w:bCs/>
          <w:i/>
          <w:iCs/>
          <w:kern w:val="24"/>
          <w:sz w:val="24"/>
          <w:szCs w:val="24"/>
        </w:rPr>
        <w:t>raa’</w:t>
      </w:r>
      <w:r w:rsidRPr="0082089D">
        <w:rPr>
          <w:rFonts w:ascii="Times New Roman" w:hAnsi="Times New Roman" w:cs="Times New Roman"/>
          <w:kern w:val="24"/>
          <w:sz w:val="24"/>
          <w:szCs w:val="24"/>
        </w:rPr>
        <w:t xml:space="preserve"> est utilisée dans le cas des cultures céréalières car le mot « </w:t>
      </w:r>
      <w:r w:rsidRPr="0082089D">
        <w:rPr>
          <w:rFonts w:ascii="Times New Roman" w:hAnsi="Times New Roman" w:cs="Times New Roman"/>
          <w:i/>
          <w:iCs/>
          <w:kern w:val="24"/>
          <w:sz w:val="24"/>
          <w:szCs w:val="24"/>
        </w:rPr>
        <w:t>zara</w:t>
      </w:r>
      <w:r w:rsidR="002C67F4" w:rsidRPr="0082089D">
        <w:rPr>
          <w:rFonts w:ascii="Times New Roman" w:hAnsi="Times New Roman" w:cs="Times New Roman"/>
          <w:i/>
          <w:iCs/>
          <w:kern w:val="24"/>
          <w:sz w:val="24"/>
          <w:szCs w:val="24"/>
        </w:rPr>
        <w:t>a’</w:t>
      </w:r>
      <w:r w:rsidRPr="0082089D">
        <w:rPr>
          <w:rFonts w:ascii="Times New Roman" w:hAnsi="Times New Roman" w:cs="Times New Roman"/>
          <w:kern w:val="24"/>
          <w:sz w:val="24"/>
          <w:szCs w:val="24"/>
        </w:rPr>
        <w:t> » signifie</w:t>
      </w:r>
      <w:r w:rsidRPr="0082089D">
        <w:rPr>
          <w:rFonts w:ascii="Times New Roman" w:hAnsi="Times New Roman" w:cs="Times New Roman"/>
          <w:kern w:val="24"/>
          <w:sz w:val="24"/>
          <w:szCs w:val="24"/>
          <w:rtl/>
        </w:rPr>
        <w:t xml:space="preserve"> </w:t>
      </w:r>
      <w:r w:rsidRPr="0082089D">
        <w:rPr>
          <w:rFonts w:ascii="Times New Roman" w:hAnsi="Times New Roman" w:cs="Times New Roman"/>
          <w:kern w:val="24"/>
          <w:sz w:val="24"/>
          <w:szCs w:val="24"/>
        </w:rPr>
        <w:t xml:space="preserve">planter des grains ou des semences. Dans ce type de contrat, la banque apporte des fonds ou des terres en vue de les cultiver pour une période déterminée. Le produit de la terre sera réparti entre la banque et le travailleur selon des conditions déterminées à l’avance. Il s’agit d’un contrat d’association entre le capital (terres agricoles, nues ou plantées) et le travail. La différence entre la </w:t>
      </w:r>
      <w:r w:rsidR="004A4E16" w:rsidRPr="0082089D">
        <w:rPr>
          <w:rFonts w:ascii="Times New Roman" w:hAnsi="Times New Roman" w:cs="Times New Roman"/>
          <w:i/>
          <w:kern w:val="24"/>
          <w:sz w:val="24"/>
          <w:szCs w:val="24"/>
        </w:rPr>
        <w:t>moudaraba</w:t>
      </w:r>
      <w:r w:rsidRPr="0082089D">
        <w:rPr>
          <w:rFonts w:ascii="Times New Roman" w:hAnsi="Times New Roman" w:cs="Times New Roman"/>
          <w:kern w:val="24"/>
          <w:sz w:val="24"/>
          <w:szCs w:val="24"/>
        </w:rPr>
        <w:t xml:space="preserve"> et la </w:t>
      </w:r>
      <w:r w:rsidR="002C67F4" w:rsidRPr="0082089D">
        <w:rPr>
          <w:rFonts w:ascii="Times New Roman" w:hAnsi="Times New Roman" w:cs="Times New Roman"/>
          <w:i/>
          <w:iCs/>
          <w:kern w:val="24"/>
          <w:sz w:val="24"/>
          <w:szCs w:val="24"/>
        </w:rPr>
        <w:t>mouzaraa’</w:t>
      </w:r>
      <w:r w:rsidRPr="0082089D">
        <w:rPr>
          <w:rFonts w:ascii="Times New Roman" w:hAnsi="Times New Roman" w:cs="Times New Roman"/>
          <w:kern w:val="24"/>
          <w:sz w:val="24"/>
          <w:szCs w:val="24"/>
        </w:rPr>
        <w:t xml:space="preserve"> est que</w:t>
      </w:r>
      <w:r w:rsidR="001660CD">
        <w:rPr>
          <w:rFonts w:ascii="Times New Roman" w:hAnsi="Times New Roman" w:cs="Times New Roman"/>
          <w:kern w:val="24"/>
          <w:sz w:val="24"/>
          <w:szCs w:val="24"/>
        </w:rPr>
        <w:t>,</w:t>
      </w:r>
      <w:r w:rsidRPr="0082089D">
        <w:rPr>
          <w:rFonts w:ascii="Times New Roman" w:hAnsi="Times New Roman" w:cs="Times New Roman"/>
          <w:kern w:val="24"/>
          <w:sz w:val="24"/>
          <w:szCs w:val="24"/>
        </w:rPr>
        <w:t xml:space="preserve"> dans le premier contrat</w:t>
      </w:r>
      <w:r w:rsidR="001660CD">
        <w:rPr>
          <w:rFonts w:ascii="Times New Roman" w:hAnsi="Times New Roman" w:cs="Times New Roman"/>
          <w:kern w:val="24"/>
          <w:sz w:val="24"/>
          <w:szCs w:val="24"/>
        </w:rPr>
        <w:t>,</w:t>
      </w:r>
      <w:r w:rsidRPr="0082089D">
        <w:rPr>
          <w:rFonts w:ascii="Times New Roman" w:hAnsi="Times New Roman" w:cs="Times New Roman"/>
          <w:kern w:val="24"/>
          <w:sz w:val="24"/>
          <w:szCs w:val="24"/>
        </w:rPr>
        <w:t xml:space="preserve"> le profit sera réparti entre les contractants, alors que</w:t>
      </w:r>
      <w:r w:rsidR="008628B0" w:rsidRPr="0082089D">
        <w:rPr>
          <w:rFonts w:ascii="Times New Roman" w:hAnsi="Times New Roman" w:cs="Times New Roman"/>
          <w:kern w:val="24"/>
          <w:sz w:val="24"/>
          <w:szCs w:val="24"/>
        </w:rPr>
        <w:t>,</w:t>
      </w:r>
      <w:r w:rsidRPr="0082089D">
        <w:rPr>
          <w:rFonts w:ascii="Times New Roman" w:hAnsi="Times New Roman" w:cs="Times New Roman"/>
          <w:kern w:val="24"/>
          <w:sz w:val="24"/>
          <w:szCs w:val="24"/>
        </w:rPr>
        <w:t xml:space="preserve"> dans le deuxième</w:t>
      </w:r>
      <w:r w:rsidR="008628B0" w:rsidRPr="0082089D">
        <w:rPr>
          <w:rFonts w:ascii="Times New Roman" w:hAnsi="Times New Roman" w:cs="Times New Roman"/>
          <w:kern w:val="24"/>
          <w:sz w:val="24"/>
          <w:szCs w:val="24"/>
        </w:rPr>
        <w:t>,</w:t>
      </w:r>
      <w:r w:rsidRPr="0082089D">
        <w:rPr>
          <w:rFonts w:ascii="Times New Roman" w:hAnsi="Times New Roman" w:cs="Times New Roman"/>
          <w:kern w:val="24"/>
          <w:sz w:val="24"/>
          <w:szCs w:val="24"/>
        </w:rPr>
        <w:t xml:space="preserve"> les parties prenantes partagent le produit de la récolté (fruits, céréales…).</w:t>
      </w:r>
    </w:p>
    <w:p w14:paraId="2E775683" w14:textId="65B8E477" w:rsidR="00B05CF6" w:rsidRPr="0082089D" w:rsidRDefault="00B05CF6" w:rsidP="0082089D">
      <w:pPr>
        <w:pStyle w:val="Titre5"/>
        <w:keepNext w:val="0"/>
        <w:keepLines w:val="0"/>
        <w:suppressAutoHyphens/>
        <w:spacing w:before="120" w:line="300" w:lineRule="auto"/>
        <w:ind w:firstLine="709"/>
        <w:rPr>
          <w:rFonts w:asciiTheme="majorBidi" w:hAnsiTheme="majorBidi"/>
          <w:b/>
          <w:bCs/>
          <w:color w:val="auto"/>
          <w:kern w:val="24"/>
          <w:sz w:val="24"/>
          <w:szCs w:val="24"/>
        </w:rPr>
      </w:pPr>
      <w:bookmarkStart w:id="328" w:name="_Toc182298652"/>
      <w:r w:rsidRPr="0082089D">
        <w:rPr>
          <w:rFonts w:asciiTheme="majorBidi" w:hAnsiTheme="majorBidi"/>
          <w:b/>
          <w:bCs/>
          <w:color w:val="auto"/>
          <w:kern w:val="24"/>
          <w:sz w:val="24"/>
          <w:szCs w:val="24"/>
        </w:rPr>
        <w:t>2.1.3.</w:t>
      </w:r>
      <w:r w:rsidR="00F0033A" w:rsidRPr="0082089D">
        <w:rPr>
          <w:rFonts w:asciiTheme="majorBidi" w:hAnsiTheme="majorBidi"/>
          <w:b/>
          <w:bCs/>
          <w:color w:val="auto"/>
          <w:kern w:val="24"/>
          <w:sz w:val="24"/>
          <w:szCs w:val="24"/>
        </w:rPr>
        <w:t>2</w:t>
      </w:r>
      <w:r w:rsidRPr="0082089D">
        <w:rPr>
          <w:rFonts w:asciiTheme="majorBidi" w:hAnsiTheme="majorBidi"/>
          <w:b/>
          <w:bCs/>
          <w:color w:val="auto"/>
          <w:kern w:val="24"/>
          <w:sz w:val="24"/>
          <w:szCs w:val="24"/>
        </w:rPr>
        <w:t xml:space="preserve">- </w:t>
      </w:r>
      <w:r w:rsidR="00CC5491" w:rsidRPr="0082089D">
        <w:rPr>
          <w:rFonts w:asciiTheme="majorBidi" w:hAnsiTheme="majorBidi"/>
          <w:b/>
          <w:bCs/>
          <w:i/>
          <w:iCs/>
          <w:color w:val="auto"/>
          <w:kern w:val="24"/>
          <w:sz w:val="24"/>
          <w:szCs w:val="24"/>
        </w:rPr>
        <w:t>M</w:t>
      </w:r>
      <w:r w:rsidRPr="0082089D">
        <w:rPr>
          <w:rFonts w:asciiTheme="majorBidi" w:hAnsiTheme="majorBidi"/>
          <w:b/>
          <w:bCs/>
          <w:i/>
          <w:iCs/>
          <w:color w:val="auto"/>
          <w:kern w:val="24"/>
          <w:sz w:val="24"/>
          <w:szCs w:val="24"/>
        </w:rPr>
        <w:t>oussaqâ</w:t>
      </w:r>
      <w:bookmarkEnd w:id="328"/>
    </w:p>
    <w:p w14:paraId="333EB948" w14:textId="01218B64" w:rsidR="00F0033A" w:rsidRPr="0082089D" w:rsidRDefault="002760B2" w:rsidP="0082089D">
      <w:pPr>
        <w:tabs>
          <w:tab w:val="left" w:pos="0"/>
        </w:tabs>
        <w:suppressAutoHyphens/>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Si les produits cultivables nécessitent des efforts permanents d’irrigation, on fait appel au contrat </w:t>
      </w:r>
      <w:r w:rsidR="002C67F4" w:rsidRPr="0082089D">
        <w:rPr>
          <w:rFonts w:ascii="Times New Roman" w:hAnsi="Times New Roman" w:cs="Times New Roman"/>
          <w:b/>
          <w:bCs/>
          <w:i/>
          <w:iCs/>
          <w:kern w:val="24"/>
          <w:sz w:val="24"/>
          <w:szCs w:val="24"/>
        </w:rPr>
        <w:t>moussaqâ</w:t>
      </w:r>
      <w:r w:rsidRPr="0082089D">
        <w:rPr>
          <w:rFonts w:ascii="Times New Roman" w:hAnsi="Times New Roman" w:cs="Times New Roman"/>
          <w:i/>
          <w:iCs/>
          <w:kern w:val="24"/>
          <w:sz w:val="24"/>
          <w:szCs w:val="24"/>
        </w:rPr>
        <w:t>.</w:t>
      </w:r>
      <w:r w:rsidRPr="0082089D">
        <w:rPr>
          <w:rFonts w:ascii="Times New Roman" w:hAnsi="Times New Roman" w:cs="Times New Roman"/>
          <w:kern w:val="24"/>
          <w:sz w:val="24"/>
          <w:szCs w:val="24"/>
        </w:rPr>
        <w:t xml:space="preserve"> Car le mot « </w:t>
      </w:r>
      <w:r w:rsidRPr="0082089D">
        <w:rPr>
          <w:rFonts w:ascii="Times New Roman" w:hAnsi="Times New Roman" w:cs="Times New Roman"/>
          <w:i/>
          <w:iCs/>
          <w:kern w:val="24"/>
          <w:sz w:val="24"/>
          <w:szCs w:val="24"/>
        </w:rPr>
        <w:t>saki</w:t>
      </w:r>
      <w:r w:rsidR="00C34419" w:rsidRPr="0082089D">
        <w:rPr>
          <w:rFonts w:ascii="Times New Roman" w:hAnsi="Times New Roman" w:cs="Times New Roman"/>
          <w:kern w:val="24"/>
          <w:sz w:val="24"/>
          <w:szCs w:val="24"/>
        </w:rPr>
        <w:t> »</w:t>
      </w:r>
      <w:r w:rsidRPr="0082089D">
        <w:rPr>
          <w:rFonts w:ascii="Times New Roman" w:hAnsi="Times New Roman" w:cs="Times New Roman"/>
          <w:kern w:val="24"/>
          <w:sz w:val="24"/>
          <w:szCs w:val="24"/>
        </w:rPr>
        <w:t xml:space="preserve"> veut dire irrigation. Ce mode de financement peut être utilisé davantage dans l</w:t>
      </w:r>
      <w:r w:rsidR="00F0033A" w:rsidRPr="0082089D">
        <w:rPr>
          <w:rFonts w:ascii="Times New Roman" w:hAnsi="Times New Roman" w:cs="Times New Roman"/>
          <w:kern w:val="24"/>
          <w:sz w:val="24"/>
          <w:szCs w:val="24"/>
        </w:rPr>
        <w:t>e cas des cultures maraîchères.</w:t>
      </w:r>
    </w:p>
    <w:p w14:paraId="0856C2E5" w14:textId="77777777" w:rsidR="00F0033A" w:rsidRPr="0082089D" w:rsidRDefault="00F0033A" w:rsidP="0082089D">
      <w:pPr>
        <w:pStyle w:val="Titre5"/>
        <w:keepNext w:val="0"/>
        <w:keepLines w:val="0"/>
        <w:suppressAutoHyphens/>
        <w:spacing w:before="120" w:line="300" w:lineRule="auto"/>
        <w:ind w:firstLine="709"/>
        <w:rPr>
          <w:rFonts w:asciiTheme="majorBidi" w:hAnsiTheme="majorBidi"/>
          <w:b/>
          <w:bCs/>
          <w:color w:val="auto"/>
          <w:kern w:val="24"/>
          <w:sz w:val="24"/>
          <w:szCs w:val="24"/>
        </w:rPr>
      </w:pPr>
      <w:bookmarkStart w:id="329" w:name="_Toc182298653"/>
      <w:r w:rsidRPr="0082089D">
        <w:rPr>
          <w:rFonts w:asciiTheme="majorBidi" w:hAnsiTheme="majorBidi"/>
          <w:b/>
          <w:bCs/>
          <w:color w:val="auto"/>
          <w:kern w:val="24"/>
          <w:sz w:val="24"/>
          <w:szCs w:val="24"/>
        </w:rPr>
        <w:t xml:space="preserve">2.1.3.3- </w:t>
      </w:r>
      <w:r w:rsidR="00CC5491" w:rsidRPr="0082089D">
        <w:rPr>
          <w:rFonts w:asciiTheme="majorBidi" w:hAnsiTheme="majorBidi"/>
          <w:b/>
          <w:bCs/>
          <w:i/>
          <w:iCs/>
          <w:color w:val="auto"/>
          <w:kern w:val="24"/>
          <w:sz w:val="24"/>
          <w:szCs w:val="24"/>
        </w:rPr>
        <w:t>M</w:t>
      </w:r>
      <w:r w:rsidRPr="0082089D">
        <w:rPr>
          <w:rFonts w:asciiTheme="majorBidi" w:hAnsiTheme="majorBidi"/>
          <w:b/>
          <w:bCs/>
          <w:i/>
          <w:iCs/>
          <w:color w:val="auto"/>
          <w:kern w:val="24"/>
          <w:sz w:val="24"/>
          <w:szCs w:val="24"/>
        </w:rPr>
        <w:t>ough</w:t>
      </w:r>
      <w:r w:rsidR="002A14A9" w:rsidRPr="0082089D">
        <w:rPr>
          <w:rFonts w:asciiTheme="majorBidi" w:hAnsiTheme="majorBidi"/>
          <w:b/>
          <w:bCs/>
          <w:i/>
          <w:iCs/>
          <w:color w:val="auto"/>
          <w:kern w:val="24"/>
          <w:sz w:val="24"/>
          <w:szCs w:val="24"/>
        </w:rPr>
        <w:t>â</w:t>
      </w:r>
      <w:r w:rsidRPr="0082089D">
        <w:rPr>
          <w:rFonts w:asciiTheme="majorBidi" w:hAnsiTheme="majorBidi"/>
          <w:b/>
          <w:bCs/>
          <w:i/>
          <w:iCs/>
          <w:color w:val="auto"/>
          <w:kern w:val="24"/>
          <w:sz w:val="24"/>
          <w:szCs w:val="24"/>
        </w:rPr>
        <w:t>rassa</w:t>
      </w:r>
      <w:bookmarkEnd w:id="329"/>
    </w:p>
    <w:p w14:paraId="037F8677" w14:textId="77777777" w:rsidR="002760B2" w:rsidRPr="0082089D" w:rsidRDefault="002760B2" w:rsidP="0082089D">
      <w:pPr>
        <w:tabs>
          <w:tab w:val="left" w:pos="0"/>
        </w:tabs>
        <w:suppressAutoHyphens/>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Dans le cas d’arboriculture, on utilise le contrat de la </w:t>
      </w:r>
      <w:r w:rsidRPr="0082089D">
        <w:rPr>
          <w:rFonts w:ascii="Times New Roman" w:hAnsi="Times New Roman" w:cs="Times New Roman"/>
          <w:b/>
          <w:bCs/>
          <w:i/>
          <w:iCs/>
          <w:kern w:val="24"/>
          <w:sz w:val="24"/>
          <w:szCs w:val="24"/>
        </w:rPr>
        <w:t>mough</w:t>
      </w:r>
      <w:r w:rsidR="002A14A9" w:rsidRPr="0082089D">
        <w:rPr>
          <w:rFonts w:ascii="Times New Roman" w:hAnsi="Times New Roman" w:cs="Times New Roman"/>
          <w:b/>
          <w:bCs/>
          <w:i/>
          <w:iCs/>
          <w:kern w:val="24"/>
          <w:sz w:val="24"/>
          <w:szCs w:val="24"/>
        </w:rPr>
        <w:t>â</w:t>
      </w:r>
      <w:r w:rsidRPr="0082089D">
        <w:rPr>
          <w:rFonts w:ascii="Times New Roman" w:hAnsi="Times New Roman" w:cs="Times New Roman"/>
          <w:b/>
          <w:bCs/>
          <w:i/>
          <w:iCs/>
          <w:kern w:val="24"/>
          <w:sz w:val="24"/>
          <w:szCs w:val="24"/>
        </w:rPr>
        <w:t>rassa</w:t>
      </w:r>
      <w:r w:rsidRPr="0082089D">
        <w:rPr>
          <w:rFonts w:ascii="Times New Roman" w:hAnsi="Times New Roman" w:cs="Times New Roman"/>
          <w:kern w:val="24"/>
          <w:sz w:val="24"/>
          <w:szCs w:val="24"/>
        </w:rPr>
        <w:t>, car le terme « </w:t>
      </w:r>
      <w:r w:rsidRPr="0082089D">
        <w:rPr>
          <w:rFonts w:ascii="Times New Roman" w:hAnsi="Times New Roman" w:cs="Times New Roman"/>
          <w:i/>
          <w:iCs/>
          <w:kern w:val="24"/>
          <w:sz w:val="24"/>
          <w:szCs w:val="24"/>
        </w:rPr>
        <w:t>gharss</w:t>
      </w:r>
      <w:r w:rsidR="00C34419" w:rsidRPr="0082089D">
        <w:rPr>
          <w:rFonts w:ascii="Times New Roman" w:hAnsi="Times New Roman" w:cs="Times New Roman"/>
          <w:kern w:val="24"/>
          <w:sz w:val="24"/>
          <w:szCs w:val="24"/>
        </w:rPr>
        <w:t> » signifie la plantation.</w:t>
      </w:r>
    </w:p>
    <w:p w14:paraId="4E562A58" w14:textId="77777777" w:rsidR="008B07E2" w:rsidRPr="0082089D" w:rsidRDefault="008B07E2" w:rsidP="0082089D">
      <w:pPr>
        <w:suppressAutoHyphens/>
        <w:spacing w:before="120" w:line="300" w:lineRule="auto"/>
        <w:ind w:firstLine="709"/>
        <w:rPr>
          <w:rFonts w:ascii="Times New Roman" w:hAnsi="Times New Roman" w:cs="Times New Roman"/>
          <w:color w:val="000000" w:themeColor="text1"/>
          <w:kern w:val="24"/>
          <w:sz w:val="24"/>
          <w:szCs w:val="24"/>
        </w:rPr>
      </w:pPr>
      <w:r w:rsidRPr="0082089D">
        <w:rPr>
          <w:rFonts w:ascii="Times New Roman" w:hAnsi="Times New Roman" w:cs="Times New Roman"/>
          <w:color w:val="000000" w:themeColor="text1"/>
          <w:kern w:val="24"/>
          <w:sz w:val="24"/>
          <w:szCs w:val="24"/>
        </w:rPr>
        <w:t xml:space="preserve">Les contrats </w:t>
      </w:r>
      <w:r w:rsidRPr="0082089D">
        <w:rPr>
          <w:rFonts w:ascii="Times New Roman" w:hAnsi="Times New Roman" w:cs="Times New Roman"/>
          <w:i/>
          <w:color w:val="000000" w:themeColor="text1"/>
          <w:kern w:val="24"/>
          <w:sz w:val="24"/>
          <w:szCs w:val="24"/>
        </w:rPr>
        <w:t>moucharaka</w:t>
      </w:r>
      <w:r w:rsidRPr="0082089D">
        <w:rPr>
          <w:rFonts w:ascii="Times New Roman" w:hAnsi="Times New Roman" w:cs="Times New Roman"/>
          <w:color w:val="000000" w:themeColor="text1"/>
          <w:kern w:val="24"/>
          <w:sz w:val="24"/>
          <w:szCs w:val="24"/>
        </w:rPr>
        <w:t xml:space="preserve"> et </w:t>
      </w:r>
      <w:r w:rsidRPr="0082089D">
        <w:rPr>
          <w:rFonts w:ascii="Times New Roman" w:hAnsi="Times New Roman" w:cs="Times New Roman"/>
          <w:i/>
          <w:color w:val="000000" w:themeColor="text1"/>
          <w:kern w:val="24"/>
          <w:sz w:val="24"/>
          <w:szCs w:val="24"/>
        </w:rPr>
        <w:t>moudaraba</w:t>
      </w:r>
      <w:r w:rsidRPr="0082089D">
        <w:rPr>
          <w:rFonts w:ascii="Times New Roman" w:hAnsi="Times New Roman" w:cs="Times New Roman"/>
          <w:color w:val="000000" w:themeColor="text1"/>
          <w:kern w:val="24"/>
          <w:sz w:val="24"/>
          <w:szCs w:val="24"/>
        </w:rPr>
        <w:t xml:space="preserve"> sont les plus recommandés par les </w:t>
      </w:r>
      <w:r w:rsidRPr="0082089D">
        <w:rPr>
          <w:rFonts w:ascii="Times New Roman" w:hAnsi="Times New Roman" w:cs="Times New Roman"/>
          <w:i/>
          <w:color w:val="000000" w:themeColor="text1"/>
          <w:kern w:val="24"/>
          <w:sz w:val="24"/>
          <w:szCs w:val="24"/>
        </w:rPr>
        <w:t>scholars</w:t>
      </w:r>
      <w:r w:rsidRPr="0082089D">
        <w:rPr>
          <w:rFonts w:ascii="Times New Roman" w:hAnsi="Times New Roman" w:cs="Times New Roman"/>
          <w:color w:val="000000" w:themeColor="text1"/>
          <w:kern w:val="24"/>
          <w:sz w:val="24"/>
          <w:szCs w:val="24"/>
        </w:rPr>
        <w:t xml:space="preserve"> </w:t>
      </w:r>
      <w:r w:rsidR="00505EDD" w:rsidRPr="0082089D">
        <w:rPr>
          <w:rFonts w:ascii="Times New Roman" w:hAnsi="Times New Roman" w:cs="Times New Roman"/>
          <w:color w:val="000000" w:themeColor="text1"/>
          <w:kern w:val="24"/>
          <w:sz w:val="24"/>
          <w:szCs w:val="24"/>
        </w:rPr>
        <w:t>i</w:t>
      </w:r>
      <w:r w:rsidR="003773C6" w:rsidRPr="0082089D">
        <w:rPr>
          <w:rFonts w:ascii="Times New Roman" w:hAnsi="Times New Roman" w:cs="Times New Roman"/>
          <w:color w:val="000000" w:themeColor="text1"/>
          <w:kern w:val="24"/>
          <w:sz w:val="24"/>
          <w:szCs w:val="24"/>
        </w:rPr>
        <w:t>slamique</w:t>
      </w:r>
      <w:r w:rsidRPr="0082089D">
        <w:rPr>
          <w:rFonts w:ascii="Times New Roman" w:hAnsi="Times New Roman" w:cs="Times New Roman"/>
          <w:color w:val="000000" w:themeColor="text1"/>
          <w:kern w:val="24"/>
          <w:sz w:val="24"/>
          <w:szCs w:val="24"/>
        </w:rPr>
        <w:t>s, car ils sont basés sur le principe de partage des risques et des rendements équitablement. Mais en pratique, ces deux types de financemen</w:t>
      </w:r>
      <w:r w:rsidR="00D145D3" w:rsidRPr="0082089D">
        <w:rPr>
          <w:rFonts w:ascii="Times New Roman" w:hAnsi="Times New Roman" w:cs="Times New Roman"/>
          <w:color w:val="000000" w:themeColor="text1"/>
          <w:kern w:val="24"/>
          <w:sz w:val="24"/>
          <w:szCs w:val="24"/>
        </w:rPr>
        <w:t>t</w:t>
      </w:r>
      <w:r w:rsidRPr="0082089D">
        <w:rPr>
          <w:rFonts w:ascii="Times New Roman" w:hAnsi="Times New Roman" w:cs="Times New Roman"/>
          <w:color w:val="000000" w:themeColor="text1"/>
          <w:kern w:val="24"/>
          <w:sz w:val="24"/>
          <w:szCs w:val="24"/>
        </w:rPr>
        <w:t xml:space="preserve"> sont rarement utilisés par les banques </w:t>
      </w:r>
      <w:r w:rsidR="00505EDD" w:rsidRPr="0082089D">
        <w:rPr>
          <w:rFonts w:ascii="Times New Roman" w:hAnsi="Times New Roman" w:cs="Times New Roman"/>
          <w:color w:val="000000" w:themeColor="text1"/>
          <w:kern w:val="24"/>
          <w:sz w:val="24"/>
          <w:szCs w:val="24"/>
        </w:rPr>
        <w:t>i</w:t>
      </w:r>
      <w:r w:rsidR="003773C6" w:rsidRPr="0082089D">
        <w:rPr>
          <w:rFonts w:ascii="Times New Roman" w:hAnsi="Times New Roman" w:cs="Times New Roman"/>
          <w:color w:val="000000" w:themeColor="text1"/>
          <w:kern w:val="24"/>
          <w:sz w:val="24"/>
          <w:szCs w:val="24"/>
        </w:rPr>
        <w:t>slamique</w:t>
      </w:r>
      <w:r w:rsidRPr="0082089D">
        <w:rPr>
          <w:rFonts w:ascii="Times New Roman" w:hAnsi="Times New Roman" w:cs="Times New Roman"/>
          <w:color w:val="000000" w:themeColor="text1"/>
          <w:kern w:val="24"/>
          <w:sz w:val="24"/>
          <w:szCs w:val="24"/>
        </w:rPr>
        <w:t>s en raison de leur fort degré de risque</w:t>
      </w:r>
      <w:r w:rsidR="00D145D3" w:rsidRPr="0082089D">
        <w:rPr>
          <w:rFonts w:ascii="Times New Roman" w:hAnsi="Times New Roman" w:cs="Times New Roman"/>
          <w:color w:val="000000" w:themeColor="text1"/>
          <w:kern w:val="24"/>
          <w:sz w:val="24"/>
          <w:szCs w:val="24"/>
        </w:rPr>
        <w:t>s</w:t>
      </w:r>
      <w:r w:rsidRPr="0082089D">
        <w:rPr>
          <w:rFonts w:ascii="Times New Roman" w:hAnsi="Times New Roman" w:cs="Times New Roman"/>
          <w:color w:val="000000" w:themeColor="text1"/>
          <w:kern w:val="24"/>
          <w:sz w:val="24"/>
          <w:szCs w:val="24"/>
        </w:rPr>
        <w:t xml:space="preserve"> et </w:t>
      </w:r>
      <w:r w:rsidR="00D145D3" w:rsidRPr="0082089D">
        <w:rPr>
          <w:rFonts w:ascii="Times New Roman" w:hAnsi="Times New Roman" w:cs="Times New Roman"/>
          <w:color w:val="000000" w:themeColor="text1"/>
          <w:kern w:val="24"/>
          <w:sz w:val="24"/>
          <w:szCs w:val="24"/>
        </w:rPr>
        <w:t>d’</w:t>
      </w:r>
      <w:r w:rsidRPr="0082089D">
        <w:rPr>
          <w:rFonts w:ascii="Times New Roman" w:hAnsi="Times New Roman" w:cs="Times New Roman"/>
          <w:color w:val="000000" w:themeColor="text1"/>
          <w:kern w:val="24"/>
          <w:sz w:val="24"/>
          <w:szCs w:val="24"/>
        </w:rPr>
        <w:t>incertitude des profits. Dans le chapitre suivant, nous abordons avec détails les différents risques liés à ces modes de financement ainsi que les différentes techniques de leur couverture.</w:t>
      </w:r>
    </w:p>
    <w:p w14:paraId="5AA344C3" w14:textId="77777777" w:rsidR="002760B2" w:rsidRPr="0082089D" w:rsidRDefault="00AF30E7" w:rsidP="0082089D">
      <w:pPr>
        <w:pStyle w:val="Titre3"/>
        <w:keepNext w:val="0"/>
        <w:keepLines w:val="0"/>
        <w:suppressAutoHyphens/>
        <w:spacing w:before="100" w:beforeAutospacing="1" w:after="120"/>
        <w:ind w:firstLine="709"/>
        <w:rPr>
          <w:kern w:val="24"/>
          <w:sz w:val="28"/>
          <w:szCs w:val="28"/>
        </w:rPr>
      </w:pPr>
      <w:bookmarkStart w:id="330" w:name="_Toc33263233"/>
      <w:bookmarkStart w:id="331" w:name="_Toc37664485"/>
      <w:bookmarkStart w:id="332" w:name="_Toc37666330"/>
      <w:bookmarkStart w:id="333" w:name="_Toc54363219"/>
      <w:bookmarkStart w:id="334" w:name="_Toc58606235"/>
      <w:bookmarkStart w:id="335" w:name="_Toc61263440"/>
      <w:bookmarkStart w:id="336" w:name="_Toc182298654"/>
      <w:r w:rsidRPr="0082089D">
        <w:rPr>
          <w:kern w:val="24"/>
          <w:sz w:val="28"/>
          <w:szCs w:val="28"/>
        </w:rPr>
        <w:t xml:space="preserve">2.2- </w:t>
      </w:r>
      <w:r w:rsidR="00CC5491" w:rsidRPr="0082089D">
        <w:rPr>
          <w:kern w:val="24"/>
          <w:sz w:val="28"/>
          <w:szCs w:val="28"/>
        </w:rPr>
        <w:t>M</w:t>
      </w:r>
      <w:r w:rsidR="002760B2" w:rsidRPr="0082089D">
        <w:rPr>
          <w:kern w:val="24"/>
          <w:sz w:val="28"/>
          <w:szCs w:val="28"/>
        </w:rPr>
        <w:t>odes de financement par dette</w:t>
      </w:r>
      <w:bookmarkEnd w:id="330"/>
      <w:bookmarkEnd w:id="331"/>
      <w:bookmarkEnd w:id="332"/>
      <w:bookmarkEnd w:id="333"/>
      <w:bookmarkEnd w:id="334"/>
      <w:bookmarkEnd w:id="335"/>
      <w:bookmarkEnd w:id="336"/>
    </w:p>
    <w:p w14:paraId="4491E207" w14:textId="6D106C60" w:rsidR="002760B2" w:rsidRPr="0082089D" w:rsidRDefault="002760B2" w:rsidP="001660CD">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La </w:t>
      </w:r>
      <w:r w:rsidRPr="0082089D">
        <w:rPr>
          <w:rFonts w:ascii="Times New Roman" w:hAnsi="Times New Roman" w:cs="Times New Roman"/>
          <w:i/>
          <w:iCs/>
          <w:kern w:val="24"/>
          <w:sz w:val="24"/>
          <w:szCs w:val="24"/>
        </w:rPr>
        <w:t>moucharaka</w:t>
      </w:r>
      <w:r w:rsidRPr="0082089D">
        <w:rPr>
          <w:rFonts w:ascii="Times New Roman" w:hAnsi="Times New Roman" w:cs="Times New Roman"/>
          <w:kern w:val="24"/>
          <w:sz w:val="24"/>
          <w:szCs w:val="24"/>
        </w:rPr>
        <w:t xml:space="preserve"> et la </w:t>
      </w:r>
      <w:r w:rsidR="004A4E16" w:rsidRPr="0082089D">
        <w:rPr>
          <w:rFonts w:ascii="Times New Roman" w:hAnsi="Times New Roman" w:cs="Times New Roman"/>
          <w:i/>
          <w:kern w:val="24"/>
          <w:sz w:val="24"/>
          <w:szCs w:val="24"/>
        </w:rPr>
        <w:t>moudaraba</w:t>
      </w:r>
      <w:r w:rsidRPr="0082089D">
        <w:rPr>
          <w:rFonts w:ascii="Times New Roman" w:hAnsi="Times New Roman" w:cs="Times New Roman"/>
          <w:kern w:val="24"/>
          <w:sz w:val="24"/>
          <w:szCs w:val="24"/>
        </w:rPr>
        <w:t xml:space="preserve"> ne peuvent pas être appliquées dans toutes les circonstances. Il existe d’autres modes de financement </w:t>
      </w:r>
      <w:r w:rsidR="00505EDD"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Pr="0082089D">
        <w:rPr>
          <w:rFonts w:ascii="Times New Roman" w:hAnsi="Times New Roman" w:cs="Times New Roman"/>
          <w:kern w:val="24"/>
          <w:sz w:val="24"/>
          <w:szCs w:val="24"/>
        </w:rPr>
        <w:t xml:space="preserve"> qui ne sont pas basés sur le principe de partage du risque et dont le fonctionnement se rapproche de celui des mécanismes de crédit bancaire classique, avec des différences majeures, à savoir, l’exclusion et l’utilisation d’un taux d’intérêt et la répartition des risques qui représentent la structure des instruments de financement </w:t>
      </w:r>
      <w:r w:rsidR="00505EDD"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Pr="0082089D">
        <w:rPr>
          <w:rFonts w:ascii="Times New Roman" w:hAnsi="Times New Roman" w:cs="Times New Roman"/>
          <w:kern w:val="24"/>
          <w:sz w:val="24"/>
          <w:szCs w:val="24"/>
        </w:rPr>
        <w:t xml:space="preserve">. Nous allons nous contenter de présenter les contrats les plus courants : </w:t>
      </w:r>
      <w:r w:rsidRPr="0082089D">
        <w:rPr>
          <w:rFonts w:ascii="Times New Roman" w:hAnsi="Times New Roman" w:cs="Times New Roman"/>
          <w:i/>
          <w:iCs/>
          <w:kern w:val="24"/>
          <w:sz w:val="24"/>
          <w:szCs w:val="24"/>
        </w:rPr>
        <w:t>mourabaha</w:t>
      </w:r>
      <w:r w:rsidRPr="0082089D">
        <w:rPr>
          <w:rFonts w:ascii="Times New Roman" w:hAnsi="Times New Roman" w:cs="Times New Roman"/>
          <w:kern w:val="24"/>
          <w:sz w:val="24"/>
          <w:szCs w:val="24"/>
        </w:rPr>
        <w:t xml:space="preserve">, </w:t>
      </w:r>
      <w:r w:rsidRPr="0082089D">
        <w:rPr>
          <w:rFonts w:ascii="Times New Roman" w:hAnsi="Times New Roman" w:cs="Times New Roman"/>
          <w:i/>
          <w:kern w:val="24"/>
          <w:sz w:val="24"/>
          <w:szCs w:val="24"/>
        </w:rPr>
        <w:t>salam</w:t>
      </w:r>
      <w:r w:rsidRPr="0082089D">
        <w:rPr>
          <w:rFonts w:ascii="Times New Roman" w:hAnsi="Times New Roman" w:cs="Times New Roman"/>
          <w:kern w:val="24"/>
          <w:sz w:val="24"/>
          <w:szCs w:val="24"/>
        </w:rPr>
        <w:t xml:space="preserve">, </w:t>
      </w:r>
      <w:r w:rsidR="002C67F4" w:rsidRPr="0082089D">
        <w:rPr>
          <w:rFonts w:ascii="Times New Roman" w:hAnsi="Times New Roman" w:cs="Times New Roman"/>
          <w:i/>
          <w:iCs/>
          <w:kern w:val="24"/>
          <w:sz w:val="24"/>
          <w:szCs w:val="24"/>
        </w:rPr>
        <w:t>istisna’</w:t>
      </w:r>
      <w:r w:rsidRPr="0082089D">
        <w:rPr>
          <w:rFonts w:ascii="Times New Roman" w:hAnsi="Times New Roman" w:cs="Times New Roman"/>
          <w:kern w:val="24"/>
          <w:sz w:val="24"/>
          <w:szCs w:val="24"/>
        </w:rPr>
        <w:t xml:space="preserve"> et </w:t>
      </w:r>
      <w:r w:rsidRPr="0082089D">
        <w:rPr>
          <w:rFonts w:ascii="Times New Roman" w:hAnsi="Times New Roman" w:cs="Times New Roman"/>
          <w:i/>
          <w:kern w:val="24"/>
          <w:sz w:val="24"/>
          <w:szCs w:val="24"/>
        </w:rPr>
        <w:t>ijara</w:t>
      </w:r>
      <w:r w:rsidRPr="0082089D">
        <w:rPr>
          <w:rFonts w:ascii="Times New Roman" w:hAnsi="Times New Roman" w:cs="Times New Roman"/>
          <w:kern w:val="24"/>
          <w:sz w:val="24"/>
          <w:szCs w:val="24"/>
        </w:rPr>
        <w:t xml:space="preserve"> </w:t>
      </w:r>
      <w:r w:rsidRPr="0082089D">
        <w:rPr>
          <w:rFonts w:ascii="Times New Roman" w:hAnsi="Times New Roman" w:cs="Times New Roman"/>
          <w:i/>
          <w:iCs/>
          <w:kern w:val="24"/>
          <w:sz w:val="24"/>
          <w:szCs w:val="24"/>
        </w:rPr>
        <w:t xml:space="preserve">wa </w:t>
      </w:r>
      <w:r w:rsidR="002C67F4" w:rsidRPr="0082089D">
        <w:rPr>
          <w:rFonts w:ascii="Times New Roman" w:hAnsi="Times New Roman" w:cs="Times New Roman"/>
          <w:i/>
          <w:iCs/>
          <w:kern w:val="24"/>
          <w:sz w:val="24"/>
          <w:szCs w:val="24"/>
        </w:rPr>
        <w:t>iqtina</w:t>
      </w:r>
      <w:r w:rsidR="0082089D">
        <w:rPr>
          <w:rFonts w:ascii="Times New Roman" w:hAnsi="Times New Roman" w:cs="Times New Roman"/>
          <w:i/>
          <w:iCs/>
          <w:kern w:val="24"/>
          <w:sz w:val="24"/>
          <w:szCs w:val="24"/>
        </w:rPr>
        <w:t>’</w:t>
      </w:r>
      <w:r w:rsidRPr="0082089D">
        <w:rPr>
          <w:rFonts w:ascii="Times New Roman" w:hAnsi="Times New Roman" w:cs="Times New Roman"/>
          <w:kern w:val="24"/>
          <w:sz w:val="24"/>
          <w:szCs w:val="24"/>
        </w:rPr>
        <w:t>.</w:t>
      </w:r>
    </w:p>
    <w:p w14:paraId="2B9903AE" w14:textId="77777777" w:rsidR="002760B2" w:rsidRPr="0082089D" w:rsidRDefault="00AF30E7" w:rsidP="007F1103">
      <w:pPr>
        <w:pStyle w:val="Titre4"/>
        <w:suppressAutoHyphens/>
        <w:spacing w:before="100" w:beforeAutospacing="1" w:after="120" w:line="300" w:lineRule="auto"/>
        <w:ind w:firstLine="709"/>
        <w:rPr>
          <w:kern w:val="24"/>
        </w:rPr>
      </w:pPr>
      <w:bookmarkStart w:id="337" w:name="_Toc33263234"/>
      <w:bookmarkStart w:id="338" w:name="_Toc37664486"/>
      <w:bookmarkStart w:id="339" w:name="_Toc37666331"/>
      <w:bookmarkStart w:id="340" w:name="_Toc54363220"/>
      <w:bookmarkStart w:id="341" w:name="_Toc58606236"/>
      <w:bookmarkStart w:id="342" w:name="_Toc61263441"/>
      <w:bookmarkStart w:id="343" w:name="_Toc182298655"/>
      <w:r w:rsidRPr="0082089D">
        <w:rPr>
          <w:kern w:val="24"/>
        </w:rPr>
        <w:lastRenderedPageBreak/>
        <w:t xml:space="preserve">2.2.1- </w:t>
      </w:r>
      <w:r w:rsidR="00F537B1" w:rsidRPr="0082089D">
        <w:rPr>
          <w:i/>
          <w:iCs/>
          <w:kern w:val="24"/>
        </w:rPr>
        <w:t>M</w:t>
      </w:r>
      <w:r w:rsidR="002760B2" w:rsidRPr="0082089D">
        <w:rPr>
          <w:i/>
          <w:iCs/>
          <w:kern w:val="24"/>
        </w:rPr>
        <w:t>ourabaha</w:t>
      </w:r>
      <w:r w:rsidR="002760B2" w:rsidRPr="0082089D">
        <w:rPr>
          <w:kern w:val="24"/>
        </w:rPr>
        <w:t xml:space="preserve"> (achat- revente avec marge bénéficiaire)</w:t>
      </w:r>
      <w:bookmarkEnd w:id="337"/>
      <w:bookmarkEnd w:id="338"/>
      <w:bookmarkEnd w:id="339"/>
      <w:bookmarkEnd w:id="340"/>
      <w:bookmarkEnd w:id="341"/>
      <w:bookmarkEnd w:id="342"/>
      <w:bookmarkEnd w:id="343"/>
    </w:p>
    <w:p w14:paraId="282EFB96" w14:textId="6813ABF7" w:rsidR="002760B2" w:rsidRPr="0082089D" w:rsidRDefault="002760B2" w:rsidP="007F1103">
      <w:pPr>
        <w:keepNext/>
        <w:tabs>
          <w:tab w:val="left" w:pos="0"/>
        </w:tabs>
        <w:suppressAutoHyphens/>
        <w:spacing w:before="120" w:after="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Afin d’offrir la possibilité aux clients d’acquérir les équipements et les biens qui leur sont utiles avec des facilités de paiement, les banques </w:t>
      </w:r>
      <w:r w:rsidR="00505EDD"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Pr="0082089D">
        <w:rPr>
          <w:rFonts w:ascii="Times New Roman" w:hAnsi="Times New Roman" w:cs="Times New Roman"/>
          <w:kern w:val="24"/>
          <w:sz w:val="24"/>
          <w:szCs w:val="24"/>
        </w:rPr>
        <w:t>s ont créé une sorte de vente, avec marge de bénéfice, dite « </w:t>
      </w:r>
      <w:r w:rsidRPr="0082089D">
        <w:rPr>
          <w:rFonts w:ascii="Times New Roman" w:hAnsi="Times New Roman" w:cs="Times New Roman"/>
          <w:i/>
          <w:iCs/>
          <w:kern w:val="24"/>
          <w:sz w:val="24"/>
          <w:szCs w:val="24"/>
        </w:rPr>
        <w:t>mourabaha</w:t>
      </w:r>
      <w:r w:rsidRPr="0082089D">
        <w:rPr>
          <w:rFonts w:ascii="Times New Roman" w:hAnsi="Times New Roman" w:cs="Times New Roman"/>
          <w:kern w:val="24"/>
          <w:sz w:val="24"/>
          <w:szCs w:val="24"/>
        </w:rPr>
        <w:t xml:space="preserve"> ». Cette technique est un instrument financier très flexible et facilement </w:t>
      </w:r>
      <w:r w:rsidR="0082089D" w:rsidRPr="0082089D">
        <w:rPr>
          <w:rFonts w:ascii="Times New Roman" w:hAnsi="Times New Roman" w:cs="Times New Roman"/>
          <w:kern w:val="24"/>
          <w:sz w:val="24"/>
          <w:szCs w:val="24"/>
        </w:rPr>
        <w:t>adaptable</w:t>
      </w:r>
      <w:r w:rsidR="00D145D3" w:rsidRPr="0082089D">
        <w:rPr>
          <w:rFonts w:ascii="Times New Roman" w:hAnsi="Times New Roman" w:cs="Times New Roman"/>
          <w:kern w:val="24"/>
          <w:sz w:val="24"/>
          <w:szCs w:val="24"/>
        </w:rPr>
        <w:t>. E</w:t>
      </w:r>
      <w:r w:rsidRPr="0082089D">
        <w:rPr>
          <w:rFonts w:ascii="Times New Roman" w:hAnsi="Times New Roman" w:cs="Times New Roman"/>
          <w:kern w:val="24"/>
          <w:sz w:val="24"/>
          <w:szCs w:val="24"/>
        </w:rPr>
        <w:t xml:space="preserve">lle est à la base d’une grande variété de montages financiers </w:t>
      </w:r>
      <w:r w:rsidR="00A71787"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Pr="0082089D">
        <w:rPr>
          <w:rFonts w:ascii="Times New Roman" w:hAnsi="Times New Roman" w:cs="Times New Roman"/>
          <w:kern w:val="24"/>
          <w:sz w:val="24"/>
          <w:szCs w:val="24"/>
        </w:rPr>
        <w:t xml:space="preserve">s, allant du financement immobilier au financement des projets. C’est l’un des instruments financiers les plus utilisés par les institutions financières </w:t>
      </w:r>
      <w:r w:rsidR="00A72007"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Pr="0082089D">
        <w:rPr>
          <w:rFonts w:ascii="Times New Roman" w:hAnsi="Times New Roman" w:cs="Times New Roman"/>
          <w:kern w:val="24"/>
          <w:sz w:val="24"/>
          <w:szCs w:val="24"/>
        </w:rPr>
        <w:t>s</w:t>
      </w:r>
      <w:r w:rsidRPr="0082089D">
        <w:rPr>
          <w:rStyle w:val="Appelnotedebasdep"/>
          <w:rFonts w:ascii="Times New Roman" w:hAnsi="Times New Roman"/>
          <w:kern w:val="24"/>
          <w:sz w:val="24"/>
          <w:szCs w:val="24"/>
        </w:rPr>
        <w:footnoteReference w:id="111"/>
      </w:r>
      <w:r w:rsidRPr="0082089D">
        <w:rPr>
          <w:rFonts w:ascii="Times New Roman" w:hAnsi="Times New Roman" w:cs="Times New Roman"/>
          <w:kern w:val="24"/>
          <w:sz w:val="24"/>
          <w:szCs w:val="24"/>
        </w:rPr>
        <w:t>.</w:t>
      </w:r>
    </w:p>
    <w:p w14:paraId="2D766703" w14:textId="0CCCB028" w:rsidR="00A72007" w:rsidRPr="0082089D" w:rsidRDefault="002760B2" w:rsidP="001660CD">
      <w:pPr>
        <w:tabs>
          <w:tab w:val="left" w:pos="0"/>
        </w:tabs>
        <w:suppressAutoHyphens/>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Cette popularité ressort parfaitement des statistiques tenues par les différentes banques </w:t>
      </w:r>
      <w:r w:rsidR="00A72007" w:rsidRPr="0082089D">
        <w:rPr>
          <w:rFonts w:ascii="Times New Roman" w:hAnsi="Times New Roman" w:cs="Times New Roman"/>
          <w:kern w:val="24"/>
          <w:sz w:val="24"/>
          <w:szCs w:val="24"/>
        </w:rPr>
        <w:t>i</w:t>
      </w:r>
      <w:r w:rsidR="003773C6" w:rsidRPr="0082089D">
        <w:rPr>
          <w:rFonts w:ascii="Times New Roman" w:hAnsi="Times New Roman" w:cs="Times New Roman"/>
          <w:kern w:val="24"/>
          <w:sz w:val="24"/>
          <w:szCs w:val="24"/>
        </w:rPr>
        <w:t>slamique</w:t>
      </w:r>
      <w:r w:rsidRPr="0082089D">
        <w:rPr>
          <w:rFonts w:ascii="Times New Roman" w:hAnsi="Times New Roman" w:cs="Times New Roman"/>
          <w:kern w:val="24"/>
          <w:sz w:val="24"/>
          <w:szCs w:val="24"/>
        </w:rPr>
        <w:t xml:space="preserve">s dans leur rapport annuel. </w:t>
      </w:r>
      <w:r w:rsidR="001660CD">
        <w:rPr>
          <w:rFonts w:ascii="Times New Roman" w:hAnsi="Times New Roman" w:cs="Times New Roman"/>
          <w:kern w:val="24"/>
          <w:sz w:val="24"/>
          <w:szCs w:val="24"/>
        </w:rPr>
        <w:t>Nous</w:t>
      </w:r>
      <w:r w:rsidRPr="0082089D">
        <w:rPr>
          <w:rFonts w:ascii="Times New Roman" w:hAnsi="Times New Roman" w:cs="Times New Roman"/>
          <w:kern w:val="24"/>
          <w:sz w:val="24"/>
          <w:szCs w:val="24"/>
        </w:rPr>
        <w:t xml:space="preserve"> remarqu</w:t>
      </w:r>
      <w:r w:rsidR="001660CD">
        <w:rPr>
          <w:rFonts w:ascii="Times New Roman" w:hAnsi="Times New Roman" w:cs="Times New Roman"/>
          <w:kern w:val="24"/>
          <w:sz w:val="24"/>
          <w:szCs w:val="24"/>
        </w:rPr>
        <w:t>ons</w:t>
      </w:r>
      <w:r w:rsidRPr="0082089D">
        <w:rPr>
          <w:rFonts w:ascii="Times New Roman" w:hAnsi="Times New Roman" w:cs="Times New Roman"/>
          <w:kern w:val="24"/>
          <w:sz w:val="24"/>
          <w:szCs w:val="24"/>
        </w:rPr>
        <w:t xml:space="preserve"> dans la </w:t>
      </w:r>
      <w:r w:rsidRPr="001660CD">
        <w:rPr>
          <w:rFonts w:ascii="Times New Roman" w:hAnsi="Times New Roman" w:cs="Times New Roman"/>
          <w:b/>
          <w:bCs/>
          <w:kern w:val="24"/>
          <w:sz w:val="24"/>
          <w:szCs w:val="24"/>
        </w:rPr>
        <w:t xml:space="preserve">figure </w:t>
      </w:r>
      <w:r w:rsidR="006935F2" w:rsidRPr="001660CD">
        <w:rPr>
          <w:rFonts w:ascii="Times New Roman" w:hAnsi="Times New Roman" w:cs="Times New Roman"/>
          <w:b/>
          <w:bCs/>
          <w:kern w:val="24"/>
          <w:sz w:val="24"/>
          <w:szCs w:val="24"/>
        </w:rPr>
        <w:t>5</w:t>
      </w:r>
      <w:r w:rsidRPr="0082089D">
        <w:rPr>
          <w:rFonts w:ascii="Times New Roman" w:hAnsi="Times New Roman" w:cs="Times New Roman"/>
          <w:b/>
          <w:bCs/>
          <w:kern w:val="24"/>
          <w:sz w:val="24"/>
          <w:szCs w:val="24"/>
        </w:rPr>
        <w:t xml:space="preserve"> </w:t>
      </w:r>
      <w:r w:rsidRPr="0082089D">
        <w:rPr>
          <w:rFonts w:ascii="Times New Roman" w:hAnsi="Times New Roman" w:cs="Times New Roman"/>
          <w:kern w:val="24"/>
          <w:sz w:val="24"/>
          <w:szCs w:val="24"/>
        </w:rPr>
        <w:t xml:space="preserve">que 71% du total d’un actif proviennent du financement par </w:t>
      </w:r>
      <w:r w:rsidRPr="0082089D">
        <w:rPr>
          <w:rFonts w:ascii="Times New Roman" w:hAnsi="Times New Roman" w:cs="Times New Roman"/>
          <w:i/>
          <w:iCs/>
          <w:kern w:val="24"/>
          <w:sz w:val="24"/>
          <w:szCs w:val="24"/>
        </w:rPr>
        <w:t>mourabaha</w:t>
      </w:r>
      <w:r w:rsidRPr="0082089D">
        <w:rPr>
          <w:rFonts w:ascii="Times New Roman" w:hAnsi="Times New Roman" w:cs="Times New Roman"/>
          <w:kern w:val="24"/>
          <w:sz w:val="24"/>
          <w:szCs w:val="24"/>
        </w:rPr>
        <w:t xml:space="preserve"> contre à peine 4% pour les arrangements par </w:t>
      </w:r>
      <w:r w:rsidR="004A4E16" w:rsidRPr="0082089D">
        <w:rPr>
          <w:rFonts w:ascii="Times New Roman" w:hAnsi="Times New Roman" w:cs="Times New Roman"/>
          <w:i/>
          <w:kern w:val="24"/>
          <w:sz w:val="24"/>
          <w:szCs w:val="24"/>
        </w:rPr>
        <w:t>moudaraba</w:t>
      </w:r>
      <w:r w:rsidRPr="0082089D">
        <w:rPr>
          <w:rFonts w:ascii="Times New Roman" w:hAnsi="Times New Roman" w:cs="Times New Roman"/>
          <w:kern w:val="24"/>
          <w:sz w:val="24"/>
          <w:szCs w:val="24"/>
        </w:rPr>
        <w:t xml:space="preserve"> et 2% pour les arrangements </w:t>
      </w:r>
      <w:r w:rsidRPr="0082089D">
        <w:rPr>
          <w:rFonts w:ascii="Times New Roman" w:hAnsi="Times New Roman" w:cs="Times New Roman"/>
          <w:i/>
          <w:iCs/>
          <w:kern w:val="24"/>
          <w:sz w:val="24"/>
          <w:szCs w:val="24"/>
        </w:rPr>
        <w:t>moucharaka</w:t>
      </w:r>
      <w:r w:rsidRPr="0082089D">
        <w:rPr>
          <w:rFonts w:ascii="Times New Roman" w:hAnsi="Times New Roman" w:cs="Times New Roman"/>
          <w:kern w:val="24"/>
          <w:sz w:val="24"/>
          <w:szCs w:val="24"/>
        </w:rPr>
        <w:t xml:space="preserve">. Dans les chapitres suivants, nous analysons les causes qui poussent les </w:t>
      </w:r>
      <w:r w:rsidR="00D145D3" w:rsidRPr="0082089D">
        <w:rPr>
          <w:rFonts w:ascii="Times New Roman" w:hAnsi="Times New Roman" w:cs="Times New Roman"/>
          <w:kern w:val="24"/>
          <w:sz w:val="24"/>
          <w:szCs w:val="24"/>
        </w:rPr>
        <w:t>banques islamiques</w:t>
      </w:r>
      <w:r w:rsidRPr="0082089D">
        <w:rPr>
          <w:rFonts w:ascii="Times New Roman" w:hAnsi="Times New Roman" w:cs="Times New Roman"/>
          <w:kern w:val="24"/>
          <w:sz w:val="24"/>
          <w:szCs w:val="24"/>
        </w:rPr>
        <w:t xml:space="preserve"> à éviter les contrats participatifs et recourir principalement à la </w:t>
      </w:r>
      <w:r w:rsidRPr="0082089D">
        <w:rPr>
          <w:rFonts w:ascii="Times New Roman" w:hAnsi="Times New Roman" w:cs="Times New Roman"/>
          <w:i/>
          <w:iCs/>
          <w:kern w:val="24"/>
          <w:sz w:val="24"/>
          <w:szCs w:val="24"/>
        </w:rPr>
        <w:t>mourabaha</w:t>
      </w:r>
      <w:r w:rsidRPr="0082089D">
        <w:rPr>
          <w:rFonts w:ascii="Times New Roman" w:hAnsi="Times New Roman" w:cs="Times New Roman"/>
          <w:kern w:val="24"/>
          <w:sz w:val="24"/>
          <w:szCs w:val="24"/>
        </w:rPr>
        <w:t>.</w:t>
      </w:r>
    </w:p>
    <w:p w14:paraId="325A9670" w14:textId="68231849" w:rsidR="002760B2" w:rsidRPr="002B005F" w:rsidRDefault="009C5A00" w:rsidP="007F1103">
      <w:pPr>
        <w:pStyle w:val="Lgende"/>
        <w:keepNext/>
        <w:keepLines/>
        <w:tabs>
          <w:tab w:val="left" w:pos="0"/>
        </w:tabs>
        <w:suppressAutoHyphens/>
        <w:spacing w:before="100" w:beforeAutospacing="1" w:line="300" w:lineRule="auto"/>
        <w:jc w:val="center"/>
        <w:rPr>
          <w:rFonts w:ascii="Times New Roman" w:hAnsi="Times New Roman" w:cs="Times New Roman"/>
          <w:color w:val="auto"/>
          <w:sz w:val="24"/>
          <w:szCs w:val="24"/>
        </w:rPr>
      </w:pPr>
      <w:bookmarkStart w:id="344" w:name="_Toc115527416"/>
      <w:r w:rsidRPr="002B005F">
        <w:rPr>
          <w:rFonts w:ascii="Times New Roman" w:hAnsi="Times New Roman" w:cs="Times New Roman"/>
          <w:color w:val="auto"/>
          <w:sz w:val="24"/>
          <w:szCs w:val="24"/>
        </w:rPr>
        <w:t xml:space="preserve">Figure </w:t>
      </w:r>
      <w:r w:rsidR="00B544E5">
        <w:rPr>
          <w:rFonts w:ascii="Times New Roman" w:hAnsi="Times New Roman" w:cs="Times New Roman"/>
          <w:color w:val="auto"/>
          <w:sz w:val="24"/>
          <w:szCs w:val="24"/>
        </w:rPr>
        <w:fldChar w:fldCharType="begin"/>
      </w:r>
      <w:r w:rsidR="00BF1EB6">
        <w:rPr>
          <w:rFonts w:ascii="Times New Roman" w:hAnsi="Times New Roman" w:cs="Times New Roman"/>
          <w:color w:val="auto"/>
          <w:sz w:val="24"/>
          <w:szCs w:val="24"/>
        </w:rPr>
        <w:instrText xml:space="preserve"> SEQ Figure \* ARABIC </w:instrText>
      </w:r>
      <w:r w:rsidR="00B544E5">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5</w:t>
      </w:r>
      <w:r w:rsidR="00B544E5">
        <w:rPr>
          <w:rFonts w:ascii="Times New Roman" w:hAnsi="Times New Roman" w:cs="Times New Roman"/>
          <w:color w:val="auto"/>
          <w:sz w:val="24"/>
          <w:szCs w:val="24"/>
        </w:rPr>
        <w:fldChar w:fldCharType="end"/>
      </w:r>
      <w:r w:rsidR="006935F2" w:rsidRPr="00E454E2">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Répartition de l’activité par type de produit</w:t>
      </w:r>
      <w:bookmarkEnd w:id="344"/>
    </w:p>
    <w:p w14:paraId="584A10F1" w14:textId="77777777" w:rsidR="00AF30E7" w:rsidRPr="001660CD" w:rsidRDefault="00AF30E7" w:rsidP="001660CD">
      <w:pPr>
        <w:keepNext/>
        <w:keepLines/>
        <w:suppressAutoHyphens/>
        <w:spacing w:before="120" w:line="300" w:lineRule="auto"/>
        <w:jc w:val="center"/>
        <w:rPr>
          <w:rFonts w:ascii="Times New Roman" w:hAnsi="Times New Roman" w:cs="Times New Roman"/>
          <w:sz w:val="24"/>
          <w:szCs w:val="24"/>
        </w:rPr>
      </w:pPr>
    </w:p>
    <w:p w14:paraId="0C0EB4B5" w14:textId="77777777" w:rsidR="001660CD" w:rsidRPr="001660CD" w:rsidRDefault="001660CD" w:rsidP="001660CD">
      <w:pPr>
        <w:keepNext/>
        <w:keepLines/>
        <w:suppressAutoHyphens/>
        <w:spacing w:before="120" w:line="300" w:lineRule="auto"/>
        <w:jc w:val="center"/>
        <w:rPr>
          <w:rFonts w:ascii="Times New Roman" w:hAnsi="Times New Roman" w:cs="Times New Roman"/>
          <w:sz w:val="24"/>
          <w:szCs w:val="24"/>
        </w:rPr>
      </w:pPr>
    </w:p>
    <w:p w14:paraId="2C78C79E" w14:textId="77777777" w:rsidR="00A72007" w:rsidRPr="001660CD" w:rsidRDefault="00A72007" w:rsidP="001660CD">
      <w:pPr>
        <w:keepNext/>
        <w:keepLines/>
        <w:suppressAutoHyphens/>
        <w:spacing w:before="120" w:line="300" w:lineRule="auto"/>
        <w:jc w:val="center"/>
        <w:rPr>
          <w:rFonts w:ascii="Times New Roman" w:hAnsi="Times New Roman" w:cs="Times New Roman"/>
          <w:sz w:val="24"/>
          <w:szCs w:val="24"/>
        </w:rPr>
      </w:pPr>
    </w:p>
    <w:p w14:paraId="308EB89D" w14:textId="77777777" w:rsidR="00A71787" w:rsidRPr="001660CD" w:rsidRDefault="00A71787" w:rsidP="001660CD">
      <w:pPr>
        <w:keepNext/>
        <w:keepLines/>
        <w:suppressAutoHyphens/>
        <w:spacing w:before="120" w:line="300" w:lineRule="auto"/>
        <w:jc w:val="center"/>
        <w:rPr>
          <w:rFonts w:ascii="Times New Roman" w:hAnsi="Times New Roman" w:cs="Times New Roman"/>
          <w:sz w:val="24"/>
          <w:szCs w:val="24"/>
        </w:rPr>
      </w:pPr>
    </w:p>
    <w:p w14:paraId="6E4D2C0F" w14:textId="57C7D632" w:rsidR="00A71787" w:rsidRPr="001660CD" w:rsidRDefault="0082089D" w:rsidP="001660CD">
      <w:pPr>
        <w:keepNext/>
        <w:keepLines/>
        <w:suppressAutoHyphens/>
        <w:spacing w:before="120" w:line="300" w:lineRule="auto"/>
        <w:jc w:val="center"/>
        <w:rPr>
          <w:rFonts w:ascii="Times New Roman" w:hAnsi="Times New Roman" w:cs="Times New Roman"/>
          <w:sz w:val="24"/>
          <w:szCs w:val="24"/>
        </w:rPr>
      </w:pPr>
      <w:r w:rsidRPr="001660CD">
        <w:rPr>
          <w:rFonts w:ascii="Times New Roman" w:hAnsi="Times New Roman" w:cs="Times New Roman"/>
          <w:noProof/>
          <w:sz w:val="24"/>
          <w:szCs w:val="24"/>
          <w:lang w:eastAsia="fr-FR"/>
        </w:rPr>
        <w:drawing>
          <wp:anchor distT="0" distB="0" distL="114300" distR="114300" simplePos="0" relativeHeight="251539456" behindDoc="0" locked="1" layoutInCell="1" allowOverlap="0" wp14:anchorId="287115B5" wp14:editId="3232033F">
            <wp:simplePos x="0" y="0"/>
            <wp:positionH relativeFrom="margin">
              <wp:align>center</wp:align>
            </wp:positionH>
            <wp:positionV relativeFrom="paragraph">
              <wp:posOffset>-1010920</wp:posOffset>
            </wp:positionV>
            <wp:extent cx="4320000" cy="2386098"/>
            <wp:effectExtent l="0" t="0" r="0" b="0"/>
            <wp:wrapNone/>
            <wp:docPr id="1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tretch>
                      <a:fillRect/>
                    </a:stretch>
                  </pic:blipFill>
                  <pic:spPr bwMode="auto">
                    <a:xfrm>
                      <a:off x="0" y="0"/>
                      <a:ext cx="4320000" cy="2386098"/>
                    </a:xfrm>
                    <a:prstGeom prst="rect">
                      <a:avLst/>
                    </a:prstGeom>
                    <a:noFill/>
                  </pic:spPr>
                </pic:pic>
              </a:graphicData>
            </a:graphic>
            <wp14:sizeRelH relativeFrom="margin">
              <wp14:pctWidth>0</wp14:pctWidth>
            </wp14:sizeRelH>
            <wp14:sizeRelV relativeFrom="margin">
              <wp14:pctHeight>0</wp14:pctHeight>
            </wp14:sizeRelV>
          </wp:anchor>
        </w:drawing>
      </w:r>
    </w:p>
    <w:p w14:paraId="21A0312A" w14:textId="77777777" w:rsidR="00A71787" w:rsidRPr="001660CD" w:rsidRDefault="00A71787" w:rsidP="001660CD">
      <w:pPr>
        <w:keepNext/>
        <w:keepLines/>
        <w:suppressAutoHyphens/>
        <w:spacing w:before="120" w:line="300" w:lineRule="auto"/>
        <w:jc w:val="center"/>
        <w:rPr>
          <w:rFonts w:ascii="Times New Roman" w:hAnsi="Times New Roman" w:cs="Times New Roman"/>
          <w:sz w:val="24"/>
          <w:szCs w:val="24"/>
        </w:rPr>
      </w:pPr>
    </w:p>
    <w:p w14:paraId="198AD986" w14:textId="77777777" w:rsidR="00A71787" w:rsidRPr="001660CD" w:rsidRDefault="00A71787" w:rsidP="001660CD">
      <w:pPr>
        <w:keepNext/>
        <w:keepLines/>
        <w:suppressAutoHyphens/>
        <w:spacing w:before="120" w:line="300" w:lineRule="auto"/>
        <w:jc w:val="center"/>
        <w:rPr>
          <w:rFonts w:ascii="Times New Roman" w:hAnsi="Times New Roman" w:cs="Times New Roman"/>
          <w:sz w:val="24"/>
          <w:szCs w:val="24"/>
        </w:rPr>
      </w:pPr>
    </w:p>
    <w:p w14:paraId="7EC7A52B" w14:textId="77777777" w:rsidR="0068001A" w:rsidRPr="001660CD" w:rsidRDefault="0068001A" w:rsidP="001660CD">
      <w:pPr>
        <w:keepNext/>
        <w:keepLines/>
        <w:suppressAutoHyphens/>
        <w:spacing w:before="120" w:line="300" w:lineRule="auto"/>
        <w:jc w:val="center"/>
        <w:rPr>
          <w:rFonts w:ascii="Times New Roman" w:hAnsi="Times New Roman" w:cs="Times New Roman"/>
          <w:sz w:val="24"/>
          <w:szCs w:val="24"/>
        </w:rPr>
      </w:pPr>
    </w:p>
    <w:p w14:paraId="4C186B5D" w14:textId="77777777" w:rsidR="00E454E2" w:rsidRPr="001660CD" w:rsidRDefault="00E454E2" w:rsidP="001660CD">
      <w:pPr>
        <w:pStyle w:val="Notedebasdepage"/>
        <w:keepNext/>
        <w:keepLines/>
        <w:tabs>
          <w:tab w:val="left" w:pos="0"/>
        </w:tabs>
        <w:suppressAutoHyphens/>
        <w:spacing w:before="120" w:line="300" w:lineRule="auto"/>
        <w:jc w:val="center"/>
        <w:rPr>
          <w:rFonts w:ascii="Times New Roman" w:hAnsi="Times New Roman" w:cs="Times New Roman"/>
          <w:sz w:val="24"/>
          <w:szCs w:val="24"/>
        </w:rPr>
      </w:pPr>
    </w:p>
    <w:p w14:paraId="5FDBBBA8" w14:textId="77777777" w:rsidR="002760B2" w:rsidRPr="002B005F" w:rsidRDefault="002760B2" w:rsidP="001660CD">
      <w:pPr>
        <w:pStyle w:val="Notedebasdepage"/>
        <w:keepNext/>
        <w:keepLines/>
        <w:tabs>
          <w:tab w:val="left" w:pos="0"/>
        </w:tabs>
        <w:suppressAutoHyphens/>
        <w:spacing w:before="120" w:line="300" w:lineRule="auto"/>
        <w:jc w:val="center"/>
        <w:rPr>
          <w:rFonts w:ascii="Times New Roman" w:hAnsi="Times New Roman" w:cs="Times New Roman"/>
        </w:rPr>
      </w:pPr>
      <w:r w:rsidRPr="002B005F">
        <w:rPr>
          <w:rFonts w:ascii="Times New Roman" w:hAnsi="Times New Roman" w:cs="Times New Roman"/>
        </w:rPr>
        <w:t xml:space="preserve">Source : </w:t>
      </w:r>
      <w:r w:rsidRPr="002B005F">
        <w:rPr>
          <w:rFonts w:ascii="Times New Roman" w:hAnsi="Times New Roman" w:cs="Times New Roman"/>
          <w:smallCaps/>
        </w:rPr>
        <w:t>Majidi</w:t>
      </w:r>
      <w:r w:rsidR="00C35105" w:rsidRPr="002B005F">
        <w:rPr>
          <w:rFonts w:ascii="Times New Roman" w:hAnsi="Times New Roman" w:cs="Times New Roman"/>
        </w:rPr>
        <w:t>, 2016</w:t>
      </w:r>
      <w:r w:rsidRPr="002B005F">
        <w:rPr>
          <w:rFonts w:ascii="Times New Roman" w:hAnsi="Times New Roman" w:cs="Times New Roman"/>
        </w:rPr>
        <w:t>, p. 59.</w:t>
      </w:r>
    </w:p>
    <w:p w14:paraId="52237304" w14:textId="77777777" w:rsidR="001660CD" w:rsidRDefault="001660CD" w:rsidP="001660CD">
      <w:pPr>
        <w:tabs>
          <w:tab w:val="left" w:pos="0"/>
        </w:tabs>
        <w:suppressAutoHyphens/>
        <w:autoSpaceDE w:val="0"/>
        <w:autoSpaceDN w:val="0"/>
        <w:adjustRightInd w:val="0"/>
        <w:spacing w:line="300" w:lineRule="auto"/>
        <w:ind w:firstLine="709"/>
        <w:rPr>
          <w:rFonts w:ascii="Times New Roman" w:hAnsi="Times New Roman" w:cs="Times New Roman"/>
          <w:kern w:val="24"/>
          <w:sz w:val="24"/>
          <w:szCs w:val="24"/>
        </w:rPr>
      </w:pPr>
    </w:p>
    <w:p w14:paraId="0BBAF2F4" w14:textId="4222F525" w:rsidR="002760B2" w:rsidRPr="0082089D" w:rsidRDefault="002760B2" w:rsidP="0082089D">
      <w:pPr>
        <w:tabs>
          <w:tab w:val="left" w:pos="0"/>
        </w:tabs>
        <w:suppressAutoHyphens/>
        <w:autoSpaceDE w:val="0"/>
        <w:autoSpaceDN w:val="0"/>
        <w:adjustRightInd w:val="0"/>
        <w:spacing w:before="100" w:beforeAutospacing="1"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Le terme "</w:t>
      </w:r>
      <w:r w:rsidRPr="0082089D">
        <w:rPr>
          <w:rFonts w:ascii="Times New Roman" w:hAnsi="Times New Roman" w:cs="Times New Roman"/>
          <w:i/>
          <w:iCs/>
          <w:kern w:val="24"/>
          <w:sz w:val="24"/>
          <w:szCs w:val="24"/>
        </w:rPr>
        <w:t>mourabaha</w:t>
      </w:r>
      <w:r w:rsidRPr="0082089D">
        <w:rPr>
          <w:rFonts w:ascii="Times New Roman" w:hAnsi="Times New Roman" w:cs="Times New Roman"/>
          <w:kern w:val="24"/>
          <w:sz w:val="24"/>
          <w:szCs w:val="24"/>
        </w:rPr>
        <w:t>" est dérivé du mot "</w:t>
      </w:r>
      <w:r w:rsidRPr="0082089D">
        <w:rPr>
          <w:rFonts w:ascii="Times New Roman" w:hAnsi="Times New Roman" w:cs="Times New Roman"/>
          <w:i/>
          <w:iCs/>
          <w:kern w:val="24"/>
          <w:sz w:val="24"/>
          <w:szCs w:val="24"/>
        </w:rPr>
        <w:t>ribh</w:t>
      </w:r>
      <w:r w:rsidRPr="0082089D">
        <w:rPr>
          <w:rFonts w:ascii="Times New Roman" w:hAnsi="Times New Roman" w:cs="Times New Roman"/>
          <w:kern w:val="24"/>
          <w:sz w:val="24"/>
          <w:szCs w:val="24"/>
        </w:rPr>
        <w:t xml:space="preserve">" qui veut dire "bénéfice". Selon l'AAOIFI, la </w:t>
      </w:r>
      <w:r w:rsidRPr="0082089D">
        <w:rPr>
          <w:rFonts w:ascii="Times New Roman" w:hAnsi="Times New Roman" w:cs="Times New Roman"/>
          <w:i/>
          <w:iCs/>
          <w:kern w:val="24"/>
          <w:sz w:val="24"/>
          <w:szCs w:val="24"/>
        </w:rPr>
        <w:t>mourabaha</w:t>
      </w:r>
      <w:r w:rsidR="002C67F4" w:rsidRPr="0082089D">
        <w:rPr>
          <w:rFonts w:ascii="Times New Roman" w:hAnsi="Times New Roman" w:cs="Times New Roman"/>
          <w:kern w:val="24"/>
          <w:sz w:val="24"/>
          <w:szCs w:val="24"/>
        </w:rPr>
        <w:t xml:space="preserve"> est « </w:t>
      </w:r>
      <w:r w:rsidRPr="0082089D">
        <w:rPr>
          <w:rFonts w:ascii="Times New Roman" w:hAnsi="Times New Roman" w:cs="Times New Roman"/>
          <w:kern w:val="24"/>
          <w:sz w:val="24"/>
          <w:szCs w:val="24"/>
        </w:rPr>
        <w:t>la vente d'un bien pour un prix d'achat avec une marge définie et approuvée par les parties. Cette marge de profit peut être un pourcentage du prix de vente ou un montant fixe »</w:t>
      </w:r>
      <w:r w:rsidRPr="0082089D">
        <w:rPr>
          <w:rStyle w:val="Appelnotedebasdep"/>
          <w:rFonts w:ascii="Times New Roman" w:hAnsi="Times New Roman"/>
          <w:kern w:val="24"/>
          <w:sz w:val="24"/>
          <w:szCs w:val="24"/>
        </w:rPr>
        <w:footnoteReference w:id="112"/>
      </w:r>
      <w:r w:rsidRPr="0082089D">
        <w:rPr>
          <w:rFonts w:ascii="Times New Roman" w:hAnsi="Times New Roman" w:cs="Times New Roman"/>
          <w:kern w:val="24"/>
          <w:sz w:val="24"/>
          <w:szCs w:val="24"/>
        </w:rPr>
        <w:t xml:space="preserve">. En général, ce contrat se déroule de la façon suivante (voir la </w:t>
      </w:r>
      <w:r w:rsidRPr="001660CD">
        <w:rPr>
          <w:rFonts w:ascii="Times New Roman" w:hAnsi="Times New Roman" w:cs="Times New Roman"/>
          <w:b/>
          <w:bCs/>
          <w:kern w:val="24"/>
          <w:sz w:val="24"/>
          <w:szCs w:val="24"/>
        </w:rPr>
        <w:t>figure 6</w:t>
      </w:r>
      <w:r w:rsidR="002C67F4" w:rsidRPr="0082089D">
        <w:rPr>
          <w:rFonts w:ascii="Times New Roman" w:hAnsi="Times New Roman" w:cs="Times New Roman"/>
          <w:kern w:val="24"/>
          <w:sz w:val="24"/>
          <w:szCs w:val="24"/>
        </w:rPr>
        <w:t>).</w:t>
      </w:r>
    </w:p>
    <w:p w14:paraId="1E0722BB" w14:textId="3ED6EF3A" w:rsidR="002760B2" w:rsidRPr="0082089D" w:rsidRDefault="002760B2" w:rsidP="0082089D">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Le client-acheteur prend contact avec le vendeur de la marchandise dont il a besoin pour négocier et déterminer les caractéristiques de cette dernière. Il présente les informations nécessaires à sa banque qui lui précise le prix à paye</w:t>
      </w:r>
      <w:r w:rsidR="00040B1C" w:rsidRPr="0082089D">
        <w:rPr>
          <w:rFonts w:ascii="Times New Roman" w:hAnsi="Times New Roman" w:cs="Times New Roman"/>
          <w:kern w:val="24"/>
          <w:sz w:val="24"/>
          <w:szCs w:val="24"/>
        </w:rPr>
        <w:t>r</w:t>
      </w:r>
      <w:r w:rsidR="00D145D3" w:rsidRPr="0082089D">
        <w:rPr>
          <w:rFonts w:ascii="Times New Roman" w:hAnsi="Times New Roman" w:cs="Times New Roman"/>
          <w:kern w:val="24"/>
          <w:sz w:val="24"/>
          <w:szCs w:val="24"/>
        </w:rPr>
        <w:t xml:space="preserve"> ; </w:t>
      </w:r>
      <w:r w:rsidRPr="0082089D">
        <w:rPr>
          <w:rFonts w:ascii="Times New Roman" w:hAnsi="Times New Roman" w:cs="Times New Roman"/>
          <w:kern w:val="24"/>
          <w:sz w:val="24"/>
          <w:szCs w:val="24"/>
        </w:rPr>
        <w:t xml:space="preserve">il signe à la banque une promesse d'acheter la marchandise demandée accompagnée ou non d'une garantie. </w:t>
      </w:r>
      <w:r w:rsidR="00D145D3" w:rsidRPr="0082089D">
        <w:rPr>
          <w:rFonts w:ascii="Times New Roman" w:hAnsi="Times New Roman" w:cs="Times New Roman"/>
          <w:kern w:val="24"/>
          <w:sz w:val="24"/>
          <w:szCs w:val="24"/>
        </w:rPr>
        <w:t>Ensuite, l</w:t>
      </w:r>
      <w:r w:rsidRPr="0082089D">
        <w:rPr>
          <w:rFonts w:ascii="Times New Roman" w:hAnsi="Times New Roman" w:cs="Times New Roman"/>
          <w:kern w:val="24"/>
          <w:sz w:val="24"/>
          <w:szCs w:val="24"/>
        </w:rPr>
        <w:t>a banqu</w:t>
      </w:r>
      <w:r w:rsidR="00D145D3" w:rsidRPr="0082089D">
        <w:rPr>
          <w:rFonts w:ascii="Times New Roman" w:hAnsi="Times New Roman" w:cs="Times New Roman"/>
          <w:kern w:val="24"/>
          <w:sz w:val="24"/>
          <w:szCs w:val="24"/>
        </w:rPr>
        <w:t>e</w:t>
      </w:r>
      <w:r w:rsidRPr="0082089D">
        <w:rPr>
          <w:rFonts w:ascii="Times New Roman" w:hAnsi="Times New Roman" w:cs="Times New Roman"/>
          <w:kern w:val="24"/>
          <w:sz w:val="24"/>
          <w:szCs w:val="24"/>
        </w:rPr>
        <w:t xml:space="preserve"> achète le bien</w:t>
      </w:r>
      <w:r w:rsidR="00D145D3" w:rsidRPr="0082089D">
        <w:rPr>
          <w:rFonts w:ascii="Times New Roman" w:hAnsi="Times New Roman" w:cs="Times New Roman"/>
          <w:kern w:val="24"/>
          <w:sz w:val="24"/>
          <w:szCs w:val="24"/>
        </w:rPr>
        <w:t> ;</w:t>
      </w:r>
      <w:r w:rsidRPr="0082089D">
        <w:rPr>
          <w:rFonts w:ascii="Times New Roman" w:hAnsi="Times New Roman" w:cs="Times New Roman"/>
          <w:kern w:val="24"/>
          <w:sz w:val="24"/>
          <w:szCs w:val="24"/>
        </w:rPr>
        <w:t xml:space="preserve"> elle peut charger un agent ou le client-acheteur d'effectuer l'opération d'achat</w:t>
      </w:r>
      <w:r w:rsidR="002F7CDF" w:rsidRPr="0082089D">
        <w:rPr>
          <w:rFonts w:ascii="Times New Roman" w:hAnsi="Times New Roman" w:cs="Times New Roman"/>
          <w:kern w:val="24"/>
          <w:sz w:val="24"/>
          <w:szCs w:val="24"/>
        </w:rPr>
        <w:t>.</w:t>
      </w:r>
      <w:r w:rsidRPr="0082089D">
        <w:rPr>
          <w:rFonts w:ascii="Times New Roman" w:hAnsi="Times New Roman" w:cs="Times New Roman"/>
          <w:kern w:val="24"/>
          <w:sz w:val="24"/>
          <w:szCs w:val="24"/>
        </w:rPr>
        <w:t xml:space="preserve"> </w:t>
      </w:r>
      <w:r w:rsidR="002F7CDF" w:rsidRPr="0082089D">
        <w:rPr>
          <w:rFonts w:ascii="Times New Roman" w:hAnsi="Times New Roman" w:cs="Times New Roman"/>
          <w:kern w:val="24"/>
          <w:sz w:val="24"/>
          <w:szCs w:val="24"/>
        </w:rPr>
        <w:lastRenderedPageBreak/>
        <w:t>A</w:t>
      </w:r>
      <w:r w:rsidRPr="0082089D">
        <w:rPr>
          <w:rFonts w:ascii="Times New Roman" w:hAnsi="Times New Roman" w:cs="Times New Roman"/>
          <w:kern w:val="24"/>
          <w:sz w:val="24"/>
          <w:szCs w:val="24"/>
        </w:rPr>
        <w:t xml:space="preserve"> la livraison, le client et la banque discutent les modalités de la vente, le prix définitif qui comprend la marge bénéficiaire, l'échéancier du remboursement, </w:t>
      </w:r>
      <w:r w:rsidR="001660CD">
        <w:rPr>
          <w:rFonts w:ascii="Times New Roman" w:hAnsi="Times New Roman" w:cs="Times New Roman"/>
          <w:kern w:val="24"/>
          <w:sz w:val="24"/>
          <w:szCs w:val="24"/>
        </w:rPr>
        <w:t>l’</w:t>
      </w:r>
      <w:r w:rsidRPr="0082089D">
        <w:rPr>
          <w:rFonts w:ascii="Times New Roman" w:hAnsi="Times New Roman" w:cs="Times New Roman"/>
          <w:kern w:val="24"/>
          <w:sz w:val="24"/>
          <w:szCs w:val="24"/>
        </w:rPr>
        <w:t>avance sur prix...</w:t>
      </w:r>
      <w:r w:rsidR="002F7CDF" w:rsidRPr="0082089D">
        <w:rPr>
          <w:rFonts w:ascii="Times New Roman" w:hAnsi="Times New Roman" w:cs="Times New Roman"/>
          <w:kern w:val="24"/>
          <w:sz w:val="24"/>
          <w:szCs w:val="24"/>
        </w:rPr>
        <w:t xml:space="preserve"> </w:t>
      </w:r>
      <w:r w:rsidRPr="0082089D">
        <w:rPr>
          <w:rFonts w:ascii="Times New Roman" w:hAnsi="Times New Roman" w:cs="Times New Roman"/>
          <w:kern w:val="24"/>
          <w:sz w:val="24"/>
          <w:szCs w:val="24"/>
        </w:rPr>
        <w:t>Donc ce contrat fait intervenir trois acteurs : le client de la banque qui demande le financement pour acheter un bien (marchandise ou matières premières ou produits semi-finis…), un fournisseur et la banque.</w:t>
      </w:r>
    </w:p>
    <w:p w14:paraId="12CC1A3B" w14:textId="77777777" w:rsidR="002760B2" w:rsidRPr="0082089D" w:rsidRDefault="002760B2" w:rsidP="0082089D">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Bien que la </w:t>
      </w:r>
      <w:r w:rsidRPr="0082089D">
        <w:rPr>
          <w:rFonts w:ascii="Times New Roman" w:hAnsi="Times New Roman" w:cs="Times New Roman"/>
          <w:i/>
          <w:iCs/>
          <w:kern w:val="24"/>
          <w:sz w:val="24"/>
          <w:szCs w:val="24"/>
        </w:rPr>
        <w:t>mourabaha</w:t>
      </w:r>
      <w:r w:rsidR="00CC5491" w:rsidRPr="0082089D">
        <w:rPr>
          <w:rFonts w:ascii="Times New Roman" w:hAnsi="Times New Roman" w:cs="Times New Roman"/>
          <w:kern w:val="24"/>
          <w:sz w:val="24"/>
          <w:szCs w:val="24"/>
        </w:rPr>
        <w:t xml:space="preserve"> consiste en un contrat de « vente »</w:t>
      </w:r>
      <w:r w:rsidRPr="0082089D">
        <w:rPr>
          <w:rFonts w:ascii="Times New Roman" w:hAnsi="Times New Roman" w:cs="Times New Roman"/>
          <w:kern w:val="24"/>
          <w:sz w:val="24"/>
          <w:szCs w:val="24"/>
        </w:rPr>
        <w:t>, néanmoins</w:t>
      </w:r>
      <w:r w:rsidR="002F7CDF" w:rsidRPr="0082089D">
        <w:rPr>
          <w:rFonts w:ascii="Times New Roman" w:hAnsi="Times New Roman" w:cs="Times New Roman"/>
          <w:kern w:val="24"/>
          <w:sz w:val="24"/>
          <w:szCs w:val="24"/>
        </w:rPr>
        <w:t>,</w:t>
      </w:r>
      <w:r w:rsidRPr="0082089D">
        <w:rPr>
          <w:rFonts w:ascii="Times New Roman" w:hAnsi="Times New Roman" w:cs="Times New Roman"/>
          <w:kern w:val="24"/>
          <w:sz w:val="24"/>
          <w:szCs w:val="24"/>
        </w:rPr>
        <w:t xml:space="preserve"> les jurisconsultes ont mis en place un certain nombre de conditions que les BI doivent respectées lors de leur utilisation de cet </w:t>
      </w:r>
      <w:r w:rsidR="002C67F4" w:rsidRPr="0082089D">
        <w:rPr>
          <w:rFonts w:ascii="Times New Roman" w:hAnsi="Times New Roman" w:cs="Times New Roman"/>
          <w:kern w:val="24"/>
          <w:sz w:val="24"/>
          <w:szCs w:val="24"/>
        </w:rPr>
        <w:t>instrument. Les conditions sont :</w:t>
      </w:r>
    </w:p>
    <w:p w14:paraId="3B17090C" w14:textId="77777777" w:rsidR="002760B2" w:rsidRPr="0082089D" w:rsidRDefault="002760B2" w:rsidP="0082089D">
      <w:pPr>
        <w:suppressAutoHyphens/>
        <w:autoSpaceDE w:val="0"/>
        <w:autoSpaceDN w:val="0"/>
        <w:adjustRightInd w:val="0"/>
        <w:spacing w:line="300" w:lineRule="auto"/>
        <w:ind w:left="1276" w:hanging="284"/>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 La spécification de </w:t>
      </w:r>
      <w:r w:rsidR="002C67F4" w:rsidRPr="0082089D">
        <w:rPr>
          <w:rFonts w:ascii="Times New Roman" w:hAnsi="Times New Roman" w:cs="Times New Roman"/>
          <w:kern w:val="24"/>
          <w:sz w:val="24"/>
          <w:szCs w:val="24"/>
        </w:rPr>
        <w:t>l’objet de la transaction ;</w:t>
      </w:r>
    </w:p>
    <w:p w14:paraId="7DC2F35D" w14:textId="782FA248" w:rsidR="002760B2" w:rsidRPr="0082089D" w:rsidRDefault="002760B2" w:rsidP="0082089D">
      <w:pPr>
        <w:suppressAutoHyphens/>
        <w:autoSpaceDE w:val="0"/>
        <w:autoSpaceDN w:val="0"/>
        <w:adjustRightInd w:val="0"/>
        <w:spacing w:line="300" w:lineRule="auto"/>
        <w:ind w:left="1276" w:hanging="284"/>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 Le prix d’acquisition de l’actif par </w:t>
      </w:r>
      <w:r w:rsidR="001660CD">
        <w:rPr>
          <w:rFonts w:ascii="Times New Roman" w:hAnsi="Times New Roman" w:cs="Times New Roman"/>
          <w:kern w:val="24"/>
          <w:sz w:val="24"/>
          <w:szCs w:val="24"/>
        </w:rPr>
        <w:t>l</w:t>
      </w:r>
      <w:r w:rsidRPr="0082089D">
        <w:rPr>
          <w:rFonts w:ascii="Times New Roman" w:hAnsi="Times New Roman" w:cs="Times New Roman"/>
          <w:kern w:val="24"/>
          <w:sz w:val="24"/>
          <w:szCs w:val="24"/>
        </w:rPr>
        <w:t>a BI</w:t>
      </w:r>
      <w:r w:rsidR="002C67F4" w:rsidRPr="0082089D">
        <w:rPr>
          <w:rFonts w:ascii="Times New Roman" w:hAnsi="Times New Roman" w:cs="Times New Roman"/>
          <w:kern w:val="24"/>
          <w:sz w:val="24"/>
          <w:szCs w:val="24"/>
        </w:rPr>
        <w:t xml:space="preserve"> doit être connu par le client ;</w:t>
      </w:r>
    </w:p>
    <w:p w14:paraId="3AFF271A" w14:textId="77777777" w:rsidR="002760B2" w:rsidRPr="0082089D" w:rsidRDefault="002760B2" w:rsidP="0082089D">
      <w:pPr>
        <w:suppressAutoHyphens/>
        <w:autoSpaceDE w:val="0"/>
        <w:autoSpaceDN w:val="0"/>
        <w:adjustRightInd w:val="0"/>
        <w:spacing w:line="300" w:lineRule="auto"/>
        <w:ind w:left="1276" w:hanging="284"/>
        <w:rPr>
          <w:rFonts w:ascii="Times New Roman" w:hAnsi="Times New Roman" w:cs="Times New Roman"/>
          <w:kern w:val="24"/>
          <w:sz w:val="24"/>
          <w:szCs w:val="24"/>
        </w:rPr>
      </w:pPr>
      <w:r w:rsidRPr="0082089D">
        <w:rPr>
          <w:rFonts w:ascii="Times New Roman" w:hAnsi="Times New Roman" w:cs="Times New Roman"/>
          <w:kern w:val="24"/>
          <w:sz w:val="24"/>
          <w:szCs w:val="24"/>
        </w:rPr>
        <w:t xml:space="preserve">- La marge bénéficiaire </w:t>
      </w:r>
      <w:r w:rsidR="002C67F4" w:rsidRPr="0082089D">
        <w:rPr>
          <w:rFonts w:ascii="Times New Roman" w:hAnsi="Times New Roman" w:cs="Times New Roman"/>
          <w:kern w:val="24"/>
          <w:sz w:val="24"/>
          <w:szCs w:val="24"/>
        </w:rPr>
        <w:t>doit être connue par le client ;</w:t>
      </w:r>
    </w:p>
    <w:p w14:paraId="698BF512" w14:textId="77777777" w:rsidR="00AC406E" w:rsidRPr="0082089D" w:rsidRDefault="002760B2" w:rsidP="0082089D">
      <w:pPr>
        <w:suppressAutoHyphens/>
        <w:autoSpaceDE w:val="0"/>
        <w:autoSpaceDN w:val="0"/>
        <w:adjustRightInd w:val="0"/>
        <w:spacing w:line="300" w:lineRule="auto"/>
        <w:ind w:left="1134" w:hanging="142"/>
        <w:rPr>
          <w:rFonts w:ascii="Times New Roman" w:hAnsi="Times New Roman" w:cs="Times New Roman"/>
          <w:kern w:val="24"/>
          <w:sz w:val="24"/>
          <w:szCs w:val="24"/>
        </w:rPr>
      </w:pPr>
      <w:r w:rsidRPr="0082089D">
        <w:rPr>
          <w:rFonts w:ascii="Times New Roman" w:hAnsi="Times New Roman" w:cs="Times New Roman"/>
          <w:kern w:val="24"/>
          <w:sz w:val="24"/>
          <w:szCs w:val="24"/>
        </w:rPr>
        <w:t>- L’objet de la transaction doit être une propriété et en possession de la BI lors de la vente au client.</w:t>
      </w:r>
    </w:p>
    <w:p w14:paraId="66EE5736" w14:textId="77777777" w:rsidR="000F21BE" w:rsidRDefault="000F21BE" w:rsidP="000F21BE">
      <w:pPr>
        <w:pStyle w:val="Lgende"/>
        <w:keepNext/>
        <w:tabs>
          <w:tab w:val="left" w:pos="0"/>
        </w:tabs>
        <w:suppressAutoHyphens/>
        <w:spacing w:line="300" w:lineRule="auto"/>
        <w:jc w:val="center"/>
        <w:rPr>
          <w:rFonts w:ascii="Times New Roman" w:hAnsi="Times New Roman" w:cs="Times New Roman"/>
          <w:color w:val="auto"/>
          <w:sz w:val="24"/>
          <w:szCs w:val="24"/>
        </w:rPr>
      </w:pPr>
      <w:bookmarkStart w:id="345" w:name="_Toc115527417"/>
    </w:p>
    <w:p w14:paraId="3945B192" w14:textId="581BF881" w:rsidR="00AC406E" w:rsidRPr="002B005F" w:rsidRDefault="009C5A00" w:rsidP="000F21BE">
      <w:pPr>
        <w:pStyle w:val="Lgende"/>
        <w:keepNext/>
        <w:tabs>
          <w:tab w:val="left" w:pos="0"/>
        </w:tabs>
        <w:suppressAutoHyphens/>
        <w:spacing w:line="30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 xml:space="preserve">Figure </w:t>
      </w:r>
      <w:r w:rsidR="00B544E5">
        <w:rPr>
          <w:rFonts w:ascii="Times New Roman" w:hAnsi="Times New Roman" w:cs="Times New Roman"/>
          <w:color w:val="auto"/>
          <w:sz w:val="24"/>
          <w:szCs w:val="24"/>
        </w:rPr>
        <w:fldChar w:fldCharType="begin"/>
      </w:r>
      <w:r w:rsidR="00BF1EB6">
        <w:rPr>
          <w:rFonts w:ascii="Times New Roman" w:hAnsi="Times New Roman" w:cs="Times New Roman"/>
          <w:color w:val="auto"/>
          <w:sz w:val="24"/>
          <w:szCs w:val="24"/>
        </w:rPr>
        <w:instrText xml:space="preserve"> SEQ Figure \* ARABIC </w:instrText>
      </w:r>
      <w:r w:rsidR="00B544E5">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6</w:t>
      </w:r>
      <w:r w:rsidR="00B544E5">
        <w:rPr>
          <w:rFonts w:ascii="Times New Roman" w:hAnsi="Times New Roman" w:cs="Times New Roman"/>
          <w:color w:val="auto"/>
          <w:sz w:val="24"/>
          <w:szCs w:val="24"/>
        </w:rPr>
        <w:fldChar w:fldCharType="end"/>
      </w:r>
      <w:r w:rsidR="00173153"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Le contrat </w:t>
      </w:r>
      <w:r w:rsidRPr="00716A32">
        <w:rPr>
          <w:rFonts w:ascii="Times New Roman" w:hAnsi="Times New Roman" w:cs="Times New Roman"/>
          <w:i/>
          <w:iCs/>
          <w:color w:val="auto"/>
          <w:sz w:val="24"/>
          <w:szCs w:val="24"/>
        </w:rPr>
        <w:t>mourabaha</w:t>
      </w:r>
      <w:bookmarkEnd w:id="345"/>
    </w:p>
    <w:p w14:paraId="41B9F572" w14:textId="5DE248B0" w:rsidR="00AC406E" w:rsidRPr="002B005F" w:rsidRDefault="002C5EFF" w:rsidP="000F21BE">
      <w:pPr>
        <w:keepNext/>
        <w:tabs>
          <w:tab w:val="left" w:pos="0"/>
        </w:tabs>
        <w:suppressAutoHyphens/>
        <w:spacing w:before="120" w:line="30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61312" behindDoc="0" locked="0" layoutInCell="1" allowOverlap="1" wp14:anchorId="6594BA3F" wp14:editId="7742EF46">
                <wp:simplePos x="0" y="0"/>
                <wp:positionH relativeFrom="margin">
                  <wp:posOffset>532130</wp:posOffset>
                </wp:positionH>
                <wp:positionV relativeFrom="paragraph">
                  <wp:posOffset>191135</wp:posOffset>
                </wp:positionV>
                <wp:extent cx="4708949" cy="1911985"/>
                <wp:effectExtent l="0" t="0" r="15875" b="12065"/>
                <wp:wrapNone/>
                <wp:docPr id="143942836" name="Group 13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08949" cy="1911985"/>
                          <a:chOff x="2837" y="5706"/>
                          <a:chExt cx="6787" cy="2754"/>
                        </a:xfrm>
                      </wpg:grpSpPr>
                      <wpg:grpSp>
                        <wpg:cNvPr id="143942837" name="Group 1349"/>
                        <wpg:cNvGrpSpPr>
                          <a:grpSpLocks noChangeAspect="1"/>
                        </wpg:cNvGrpSpPr>
                        <wpg:grpSpPr bwMode="auto">
                          <a:xfrm>
                            <a:off x="3437" y="6209"/>
                            <a:ext cx="5681" cy="1134"/>
                            <a:chOff x="3437" y="6209"/>
                            <a:chExt cx="5681" cy="1134"/>
                          </a:xfrm>
                        </wpg:grpSpPr>
                        <wps:wsp>
                          <wps:cNvPr id="143942838" name="Connecteur droit avec flèche 7"/>
                          <wps:cNvCnPr>
                            <a:cxnSpLocks noChangeAspect="1" noChangeShapeType="1"/>
                          </wps:cNvCnPr>
                          <wps:spPr bwMode="auto">
                            <a:xfrm flipH="1">
                              <a:off x="3437" y="6231"/>
                              <a:ext cx="1871" cy="107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42839" name="Connecteur droit avec flèche 56"/>
                          <wps:cNvCnPr>
                            <a:cxnSpLocks noChangeAspect="1" noChangeShapeType="1"/>
                          </wps:cNvCnPr>
                          <wps:spPr bwMode="auto">
                            <a:xfrm flipH="1" flipV="1">
                              <a:off x="7134" y="6209"/>
                              <a:ext cx="1984" cy="113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3942840" name="Group 1350"/>
                        <wpg:cNvGrpSpPr>
                          <a:grpSpLocks noChangeAspect="1"/>
                        </wpg:cNvGrpSpPr>
                        <wpg:grpSpPr bwMode="auto">
                          <a:xfrm>
                            <a:off x="2837" y="5706"/>
                            <a:ext cx="6787" cy="2754"/>
                            <a:chOff x="2837" y="5706"/>
                            <a:chExt cx="6787" cy="2754"/>
                          </a:xfrm>
                        </wpg:grpSpPr>
                        <wps:wsp>
                          <wps:cNvPr id="143942841" name="Text Box 1340"/>
                          <wps:cNvSpPr txBox="1">
                            <a:spLocks noChangeAspect="1" noChangeArrowheads="1"/>
                          </wps:cNvSpPr>
                          <wps:spPr bwMode="auto">
                            <a:xfrm>
                              <a:off x="3606" y="6484"/>
                              <a:ext cx="1071" cy="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7BA8A" w14:textId="77777777" w:rsidR="009C2D83" w:rsidRPr="00CD4BAA" w:rsidRDefault="009C2D83" w:rsidP="00751F3F">
                                <w:pPr>
                                  <w:spacing w:line="240" w:lineRule="auto"/>
                                  <w:jc w:val="center"/>
                                  <w:rPr>
                                    <w:rFonts w:ascii="Times New Roman" w:hAnsi="Times New Roman" w:cs="Times New Roman"/>
                                  </w:rPr>
                                </w:pPr>
                                <w:r w:rsidRPr="00CD4BAA">
                                  <w:rPr>
                                    <w:rFonts w:ascii="Times New Roman" w:hAnsi="Times New Roman" w:cs="Times New Roman"/>
                                  </w:rPr>
                                  <w:t>Marchandise</w:t>
                                </w:r>
                              </w:p>
                            </w:txbxContent>
                          </wps:txbx>
                          <wps:bodyPr rot="0" vert="horz" wrap="none" lIns="10800" tIns="10800" rIns="10800" bIns="10800" anchor="ctr" anchorCtr="0" upright="1">
                            <a:noAutofit/>
                          </wps:bodyPr>
                        </wps:wsp>
                        <wps:wsp>
                          <wps:cNvPr id="143942842" name="Text Box 1341"/>
                          <wps:cNvSpPr txBox="1">
                            <a:spLocks noChangeAspect="1" noChangeArrowheads="1"/>
                          </wps:cNvSpPr>
                          <wps:spPr bwMode="auto">
                            <a:xfrm>
                              <a:off x="7496" y="6436"/>
                              <a:ext cx="1814"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5E74C" w14:textId="77777777" w:rsidR="009C2D83" w:rsidRPr="00CD4BAA" w:rsidRDefault="009C2D83" w:rsidP="00CD4BAA">
                                <w:pPr>
                                  <w:spacing w:line="240" w:lineRule="auto"/>
                                  <w:jc w:val="center"/>
                                  <w:rPr>
                                    <w:rFonts w:ascii="Times New Roman" w:hAnsi="Times New Roman" w:cs="Times New Roman"/>
                                  </w:rPr>
                                </w:pPr>
                                <w:r w:rsidRPr="00CD4BAA">
                                  <w:rPr>
                                    <w:rFonts w:ascii="Times New Roman" w:hAnsi="Times New Roman" w:cs="Times New Roman"/>
                                  </w:rPr>
                                  <w:t>Achat du bien par la banque</w:t>
                                </w:r>
                              </w:p>
                            </w:txbxContent>
                          </wps:txbx>
                          <wps:bodyPr rot="0" vert="horz" wrap="square" lIns="18000" tIns="10800" rIns="18000" bIns="10800" anchor="ctr" anchorCtr="0" upright="1">
                            <a:spAutoFit/>
                          </wps:bodyPr>
                        </wps:wsp>
                        <wps:wsp>
                          <wps:cNvPr id="143942844" name="Text Box 1342"/>
                          <wps:cNvSpPr txBox="1">
                            <a:spLocks noChangeAspect="1" noChangeArrowheads="1"/>
                          </wps:cNvSpPr>
                          <wps:spPr bwMode="auto">
                            <a:xfrm>
                              <a:off x="4928" y="7297"/>
                              <a:ext cx="2381"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C1C1E" w14:textId="77777777" w:rsidR="009C2D83" w:rsidRPr="00CD4BAA" w:rsidRDefault="009C2D83" w:rsidP="002417B6">
                                <w:pPr>
                                  <w:spacing w:line="240" w:lineRule="auto"/>
                                  <w:jc w:val="center"/>
                                  <w:rPr>
                                    <w:rFonts w:ascii="Times New Roman" w:hAnsi="Times New Roman" w:cs="Times New Roman"/>
                                  </w:rPr>
                                </w:pPr>
                                <w:r w:rsidRPr="00CD4BAA">
                                  <w:rPr>
                                    <w:rFonts w:ascii="Times New Roman" w:hAnsi="Times New Roman" w:cs="Times New Roman"/>
                                  </w:rPr>
                                  <w:t>Paiement du prix de revient</w:t>
                                </w:r>
                              </w:p>
                            </w:txbxContent>
                          </wps:txbx>
                          <wps:bodyPr rot="0" vert="horz" wrap="none" lIns="54000" tIns="46800" rIns="54000" bIns="46800" anchor="ctr" anchorCtr="0" upright="1">
                            <a:spAutoFit/>
                          </wps:bodyPr>
                        </wps:wsp>
                        <wps:wsp>
                          <wps:cNvPr id="143942845" name="Text Box 1343"/>
                          <wps:cNvSpPr txBox="1">
                            <a:spLocks noChangeAspect="1" noChangeArrowheads="1"/>
                          </wps:cNvSpPr>
                          <wps:spPr bwMode="auto">
                            <a:xfrm>
                              <a:off x="5365" y="8077"/>
                              <a:ext cx="1583"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23138" w14:textId="77777777" w:rsidR="009C2D83" w:rsidRPr="00CD4BAA" w:rsidRDefault="009C2D83" w:rsidP="002417B6">
                                <w:pPr>
                                  <w:keepNext/>
                                  <w:tabs>
                                    <w:tab w:val="left" w:pos="0"/>
                                  </w:tabs>
                                  <w:suppressAutoHyphens/>
                                  <w:spacing w:line="240" w:lineRule="auto"/>
                                  <w:rPr>
                                    <w:rFonts w:ascii="Times New Roman" w:hAnsi="Times New Roman" w:cs="Times New Roman"/>
                                  </w:rPr>
                                </w:pPr>
                                <w:r w:rsidRPr="00CD4BAA">
                                  <w:rPr>
                                    <w:rFonts w:ascii="Times New Roman" w:hAnsi="Times New Roman" w:cs="Times New Roman"/>
                                  </w:rPr>
                                  <w:t>+ Marge de profit</w:t>
                                </w:r>
                              </w:p>
                            </w:txbxContent>
                          </wps:txbx>
                          <wps:bodyPr rot="0" vert="horz" wrap="none" lIns="54000" tIns="46800" rIns="54000" bIns="46800" anchor="ctr" anchorCtr="0" upright="1">
                            <a:spAutoFit/>
                          </wps:bodyPr>
                        </wps:wsp>
                        <wps:wsp>
                          <wps:cNvPr id="143942846" name="Ellipse 29"/>
                          <wps:cNvSpPr>
                            <a:spLocks noChangeAspect="1" noChangeArrowheads="1"/>
                          </wps:cNvSpPr>
                          <wps:spPr bwMode="auto">
                            <a:xfrm>
                              <a:off x="5359" y="5706"/>
                              <a:ext cx="1670" cy="1021"/>
                            </a:xfrm>
                            <a:prstGeom prst="ellipse">
                              <a:avLst/>
                            </a:prstGeom>
                            <a:solidFill>
                              <a:srgbClr val="FFFFFF"/>
                            </a:solidFill>
                            <a:ln w="9525">
                              <a:solidFill>
                                <a:srgbClr val="000000"/>
                              </a:solidFill>
                              <a:round/>
                              <a:headEnd/>
                              <a:tailEnd/>
                            </a:ln>
                          </wps:spPr>
                          <wps:txbx>
                            <w:txbxContent>
                              <w:p w14:paraId="5CDAB671" w14:textId="77777777" w:rsidR="009C2D83" w:rsidRPr="00CD4BAA" w:rsidRDefault="009C2D83" w:rsidP="00CD4BAA">
                                <w:pPr>
                                  <w:spacing w:line="240" w:lineRule="auto"/>
                                  <w:jc w:val="center"/>
                                  <w:rPr>
                                    <w:rFonts w:ascii="Times New Roman" w:hAnsi="Times New Roman" w:cs="Times New Roman"/>
                                    <w:b/>
                                    <w:bCs/>
                                    <w:sz w:val="24"/>
                                    <w:szCs w:val="24"/>
                                  </w:rPr>
                                </w:pPr>
                                <w:r w:rsidRPr="00CD4BAA">
                                  <w:rPr>
                                    <w:rFonts w:ascii="Times New Roman" w:hAnsi="Times New Roman" w:cs="Times New Roman"/>
                                    <w:b/>
                                    <w:bCs/>
                                    <w:sz w:val="24"/>
                                    <w:szCs w:val="24"/>
                                  </w:rPr>
                                  <w:t>Fournisseur</w:t>
                                </w:r>
                              </w:p>
                            </w:txbxContent>
                          </wps:txbx>
                          <wps:bodyPr rot="0" vert="horz" wrap="none" lIns="10800" tIns="108000" rIns="10800" bIns="108000" anchor="ctr" anchorCtr="0" upright="1">
                            <a:noAutofit/>
                          </wps:bodyPr>
                        </wps:wsp>
                        <wps:wsp>
                          <wps:cNvPr id="143942847" name="Ellipse 8"/>
                          <wps:cNvSpPr>
                            <a:spLocks noChangeAspect="1" noChangeArrowheads="1"/>
                          </wps:cNvSpPr>
                          <wps:spPr bwMode="auto">
                            <a:xfrm>
                              <a:off x="8541" y="7328"/>
                              <a:ext cx="1083" cy="1132"/>
                            </a:xfrm>
                            <a:prstGeom prst="ellipse">
                              <a:avLst/>
                            </a:prstGeom>
                            <a:solidFill>
                              <a:srgbClr val="FFFFFF"/>
                            </a:solidFill>
                            <a:ln w="9525">
                              <a:solidFill>
                                <a:srgbClr val="000000"/>
                              </a:solidFill>
                              <a:round/>
                              <a:headEnd/>
                              <a:tailEnd/>
                            </a:ln>
                          </wps:spPr>
                          <wps:txbx>
                            <w:txbxContent>
                              <w:p w14:paraId="0E2303D6" w14:textId="77777777" w:rsidR="009C2D83" w:rsidRPr="00CD4BAA" w:rsidRDefault="009C2D83" w:rsidP="007120A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Banque</w:t>
                                </w:r>
                              </w:p>
                            </w:txbxContent>
                          </wps:txbx>
                          <wps:bodyPr rot="0" vert="horz" wrap="none" lIns="10800" tIns="10800" rIns="10800" bIns="10800" anchor="ctr" anchorCtr="0" upright="1">
                            <a:noAutofit/>
                          </wps:bodyPr>
                        </wps:wsp>
                        <wps:wsp>
                          <wps:cNvPr id="1728" name="Ellipse 57"/>
                          <wps:cNvSpPr>
                            <a:spLocks noChangeAspect="1" noChangeArrowheads="1"/>
                          </wps:cNvSpPr>
                          <wps:spPr bwMode="auto">
                            <a:xfrm>
                              <a:off x="2837" y="7334"/>
                              <a:ext cx="1134" cy="1020"/>
                            </a:xfrm>
                            <a:prstGeom prst="ellipse">
                              <a:avLst/>
                            </a:prstGeom>
                            <a:solidFill>
                              <a:srgbClr val="FFFFFF"/>
                            </a:solidFill>
                            <a:ln w="9525">
                              <a:solidFill>
                                <a:srgbClr val="000000"/>
                              </a:solidFill>
                              <a:round/>
                              <a:headEnd/>
                              <a:tailEnd/>
                            </a:ln>
                          </wps:spPr>
                          <wps:txbx>
                            <w:txbxContent>
                              <w:p w14:paraId="4E8A8AAE" w14:textId="77777777" w:rsidR="009C2D83" w:rsidRPr="00CD4BAA" w:rsidRDefault="009C2D83" w:rsidP="00CD4BAA">
                                <w:pPr>
                                  <w:spacing w:line="240" w:lineRule="auto"/>
                                  <w:jc w:val="center"/>
                                  <w:rPr>
                                    <w:rFonts w:asciiTheme="majorBidi" w:hAnsiTheme="majorBidi" w:cstheme="majorBidi"/>
                                    <w:b/>
                                    <w:bCs/>
                                    <w:sz w:val="20"/>
                                    <w:szCs w:val="20"/>
                                  </w:rPr>
                                </w:pPr>
                                <w:r w:rsidRPr="00CD4BAA">
                                  <w:rPr>
                                    <w:rFonts w:ascii="Times New Roman" w:hAnsi="Times New Roman" w:cs="Times New Roman"/>
                                    <w:b/>
                                    <w:bCs/>
                                    <w:sz w:val="24"/>
                                    <w:szCs w:val="24"/>
                                  </w:rPr>
                                  <w:t>Client</w:t>
                                </w:r>
                              </w:p>
                            </w:txbxContent>
                          </wps:txbx>
                          <wps:bodyPr rot="0" vert="horz" wrap="square" lIns="10800" tIns="10800" rIns="10800" bIns="10800" anchor="ctr" anchorCtr="0" upright="1">
                            <a:noAutofit/>
                          </wps:bodyPr>
                        </wps:wsp>
                        <wpg:grpSp>
                          <wpg:cNvPr id="1729" name="Group 1344"/>
                          <wpg:cNvGrpSpPr>
                            <a:grpSpLocks noChangeAspect="1"/>
                          </wpg:cNvGrpSpPr>
                          <wpg:grpSpPr bwMode="auto">
                            <a:xfrm>
                              <a:off x="3968" y="7844"/>
                              <a:ext cx="4535" cy="166"/>
                              <a:chOff x="4079" y="7700"/>
                              <a:chExt cx="4535" cy="166"/>
                            </a:xfrm>
                          </wpg:grpSpPr>
                          <wps:wsp>
                            <wps:cNvPr id="1730" name="Connecteur droit avec flèche 58"/>
                            <wps:cNvCnPr>
                              <a:cxnSpLocks noChangeAspect="1" noChangeShapeType="1"/>
                            </wps:cNvCnPr>
                            <wps:spPr bwMode="auto">
                              <a:xfrm>
                                <a:off x="4079" y="7700"/>
                                <a:ext cx="453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1" name="Connecteur droit avec flèche 6"/>
                            <wps:cNvCnPr>
                              <a:cxnSpLocks noChangeAspect="1" noChangeShapeType="1"/>
                            </wps:cNvCnPr>
                            <wps:spPr bwMode="auto">
                              <a:xfrm>
                                <a:off x="4079" y="7865"/>
                                <a:ext cx="4535" cy="1"/>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594BA3F" id="Group 1351" o:spid="_x0000_s1055" style="position:absolute;left:0;text-align:left;margin-left:41.9pt;margin-top:15.05pt;width:370.8pt;height:150.55pt;z-index:251661312;mso-position-horizontal-relative:margin" coordorigin="2837,5706" coordsize="6787,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">
                <o:lock v:ext="edit" aspectratio="t"/>
                <v:group id="Group 1349" o:spid="_x0000_s1056" style="position:absolute;left:3437;top:6209;width:5681;height:1134" coordorigin="3437,6209" coordsize="568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">
                  <o:lock v:ext="edit" aspectratio="t"/>
                  <v:shapetype id="_x0000_t32" coordsize="21600,21600" o:spt="32" o:oned="t" path="m,l21600,21600e" filled="f">
                    <v:path arrowok="t" fillok="f" o:connecttype="none"/>
                    <o:lock v:ext="edit" shapetype="t"/>
                  </v:shapetype>
                  <v:shape id="Connecteur droit avec flèche 7" o:spid="_x0000_s1057" type="#_x0000_t32" style="position:absolute;left:3437;top:6231;width:1871;height:1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" strokeweight="1pt">
                    <v:stroke endarrow="block"/>
                    <o:lock v:ext="edit" aspectratio="t"/>
                  </v:shape>
                  <v:shape id="Connecteur droit avec flèche 56" o:spid="_x0000_s1058" type="#_x0000_t32" style="position:absolute;left:7134;top:6209;width:1984;height:11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" strokeweight="1pt">
                    <v:stroke endarrow="block"/>
                    <o:lock v:ext="edit" aspectratio="t"/>
                  </v:shape>
                </v:group>
                <v:group id="Group 1350" o:spid="_x0000_s1059" style="position:absolute;left:2837;top:5706;width:6787;height:2754" coordorigin="2837,5706" coordsize="6787,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">
                  <o:lock v:ext="edit" aspectratio="t"/>
                  <v:shapetype id="_x0000_t202" coordsize="21600,21600" o:spt="202" path="m,l,21600r21600,l21600,xe">
                    <v:stroke joinstyle="miter"/>
                    <v:path gradientshapeok="t" o:connecttype="rect"/>
                  </v:shapetype>
                  <v:shape id="Text Box 1340" o:spid="_x0000_s1060" type="#_x0000_t202" style="position:absolute;left:3606;top:6484;width:1071;height:2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" stroked="f">
                    <o:lock v:ext="edit" aspectratio="t"/>
                    <v:textbox inset=".3mm,.3mm,.3mm,.3mm">
                      <w:txbxContent>
                        <w:p w14:paraId="4B97BA8A" w14:textId="77777777" w:rsidR="009C2D83" w:rsidRPr="00CD4BAA" w:rsidRDefault="009C2D83" w:rsidP="00751F3F">
                          <w:pPr>
                            <w:spacing w:line="240" w:lineRule="auto"/>
                            <w:jc w:val="center"/>
                            <w:rPr>
                              <w:rFonts w:ascii="Times New Roman" w:hAnsi="Times New Roman" w:cs="Times New Roman"/>
                            </w:rPr>
                          </w:pPr>
                          <w:r w:rsidRPr="00CD4BAA">
                            <w:rPr>
                              <w:rFonts w:ascii="Times New Roman" w:hAnsi="Times New Roman" w:cs="Times New Roman"/>
                            </w:rPr>
                            <w:t>Marchandise</w:t>
                          </w:r>
                        </w:p>
                      </w:txbxContent>
                    </v:textbox>
                  </v:shape>
                  <v:shape id="Text Box 1341" o:spid="_x0000_s1061" type="#_x0000_t202" style="position:absolute;left:7496;top:6436;width:1814;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" stroked="f">
                    <o:lock v:ext="edit" aspectratio="t"/>
                    <v:textbox style="mso-fit-shape-to-text:t" inset=".5mm,.3mm,.5mm,.3mm">
                      <w:txbxContent>
                        <w:p w14:paraId="1375E74C" w14:textId="77777777" w:rsidR="009C2D83" w:rsidRPr="00CD4BAA" w:rsidRDefault="009C2D83" w:rsidP="00CD4BAA">
                          <w:pPr>
                            <w:spacing w:line="240" w:lineRule="auto"/>
                            <w:jc w:val="center"/>
                            <w:rPr>
                              <w:rFonts w:ascii="Times New Roman" w:hAnsi="Times New Roman" w:cs="Times New Roman"/>
                            </w:rPr>
                          </w:pPr>
                          <w:r w:rsidRPr="00CD4BAA">
                            <w:rPr>
                              <w:rFonts w:ascii="Times New Roman" w:hAnsi="Times New Roman" w:cs="Times New Roman"/>
                            </w:rPr>
                            <w:t>Achat du bien par la banque</w:t>
                          </w:r>
                        </w:p>
                      </w:txbxContent>
                    </v:textbox>
                  </v:shape>
                  <v:shape id="Text Box 1342" o:spid="_x0000_s1062" type="#_x0000_t202" style="position:absolute;left:4928;top:7297;width:2381;height:3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" stroked="f">
                    <o:lock v:ext="edit" aspectratio="t"/>
                    <v:textbox style="mso-fit-shape-to-text:t" inset="1.5mm,1.3mm,1.5mm,1.3mm">
                      <w:txbxContent>
                        <w:p w14:paraId="34BC1C1E" w14:textId="77777777" w:rsidR="009C2D83" w:rsidRPr="00CD4BAA" w:rsidRDefault="009C2D83" w:rsidP="002417B6">
                          <w:pPr>
                            <w:spacing w:line="240" w:lineRule="auto"/>
                            <w:jc w:val="center"/>
                            <w:rPr>
                              <w:rFonts w:ascii="Times New Roman" w:hAnsi="Times New Roman" w:cs="Times New Roman"/>
                            </w:rPr>
                          </w:pPr>
                          <w:r w:rsidRPr="00CD4BAA">
                            <w:rPr>
                              <w:rFonts w:ascii="Times New Roman" w:hAnsi="Times New Roman" w:cs="Times New Roman"/>
                            </w:rPr>
                            <w:t>Paiement du prix de revient</w:t>
                          </w:r>
                        </w:p>
                      </w:txbxContent>
                    </v:textbox>
                  </v:shape>
                  <v:shape id="Text Box 1343" o:spid="_x0000_s1063" type="#_x0000_t202" style="position:absolute;left:5365;top:8077;width:1583;height:3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" stroked="f">
                    <o:lock v:ext="edit" aspectratio="t"/>
                    <v:textbox style="mso-fit-shape-to-text:t" inset="1.5mm,1.3mm,1.5mm,1.3mm">
                      <w:txbxContent>
                        <w:p w14:paraId="30823138" w14:textId="77777777" w:rsidR="009C2D83" w:rsidRPr="00CD4BAA" w:rsidRDefault="009C2D83" w:rsidP="002417B6">
                          <w:pPr>
                            <w:keepNext/>
                            <w:tabs>
                              <w:tab w:val="left" w:pos="0"/>
                            </w:tabs>
                            <w:suppressAutoHyphens/>
                            <w:spacing w:line="240" w:lineRule="auto"/>
                            <w:rPr>
                              <w:rFonts w:ascii="Times New Roman" w:hAnsi="Times New Roman" w:cs="Times New Roman"/>
                            </w:rPr>
                          </w:pPr>
                          <w:r w:rsidRPr="00CD4BAA">
                            <w:rPr>
                              <w:rFonts w:ascii="Times New Roman" w:hAnsi="Times New Roman" w:cs="Times New Roman"/>
                            </w:rPr>
                            <w:t>+ Marge de profit</w:t>
                          </w:r>
                        </w:p>
                      </w:txbxContent>
                    </v:textbox>
                  </v:shape>
                  <v:oval id="Ellipse 29" o:spid="_x0000_s1064" style="position:absolute;left:5359;top:5706;width:1670;height:10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">
                    <o:lock v:ext="edit" aspectratio="t"/>
                    <v:textbox inset=".3mm,3mm,.3mm,3mm">
                      <w:txbxContent>
                        <w:p w14:paraId="5CDAB671" w14:textId="77777777" w:rsidR="009C2D83" w:rsidRPr="00CD4BAA" w:rsidRDefault="009C2D83" w:rsidP="00CD4BAA">
                          <w:pPr>
                            <w:spacing w:line="240" w:lineRule="auto"/>
                            <w:jc w:val="center"/>
                            <w:rPr>
                              <w:rFonts w:ascii="Times New Roman" w:hAnsi="Times New Roman" w:cs="Times New Roman"/>
                              <w:b/>
                              <w:bCs/>
                              <w:sz w:val="24"/>
                              <w:szCs w:val="24"/>
                            </w:rPr>
                          </w:pPr>
                          <w:r w:rsidRPr="00CD4BAA">
                            <w:rPr>
                              <w:rFonts w:ascii="Times New Roman" w:hAnsi="Times New Roman" w:cs="Times New Roman"/>
                              <w:b/>
                              <w:bCs/>
                              <w:sz w:val="24"/>
                              <w:szCs w:val="24"/>
                            </w:rPr>
                            <w:t>Fournisseur</w:t>
                          </w:r>
                        </w:p>
                      </w:txbxContent>
                    </v:textbox>
                  </v:oval>
                  <v:oval id="Ellipse 8" o:spid="_x0000_s1065" style="position:absolute;left:8541;top:7328;width:1083;height:11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">
                    <o:lock v:ext="edit" aspectratio="t"/>
                    <v:textbox inset=".3mm,.3mm,.3mm,.3mm">
                      <w:txbxContent>
                        <w:p w14:paraId="0E2303D6" w14:textId="77777777" w:rsidR="009C2D83" w:rsidRPr="00CD4BAA" w:rsidRDefault="009C2D83" w:rsidP="007120A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Banque</w:t>
                          </w:r>
                        </w:p>
                      </w:txbxContent>
                    </v:textbox>
                  </v:oval>
                  <v:oval id="Ellipse 57" o:spid="_x0000_s1066" style="position:absolute;left:2837;top:7334;width:1134;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">
                    <o:lock v:ext="edit" aspectratio="t"/>
                    <v:textbox inset=".3mm,.3mm,.3mm,.3mm">
                      <w:txbxContent>
                        <w:p w14:paraId="4E8A8AAE" w14:textId="77777777" w:rsidR="009C2D83" w:rsidRPr="00CD4BAA" w:rsidRDefault="009C2D83" w:rsidP="00CD4BAA">
                          <w:pPr>
                            <w:spacing w:line="240" w:lineRule="auto"/>
                            <w:jc w:val="center"/>
                            <w:rPr>
                              <w:rFonts w:asciiTheme="majorBidi" w:hAnsiTheme="majorBidi" w:cstheme="majorBidi"/>
                              <w:b/>
                              <w:bCs/>
                              <w:sz w:val="20"/>
                              <w:szCs w:val="20"/>
                            </w:rPr>
                          </w:pPr>
                          <w:r w:rsidRPr="00CD4BAA">
                            <w:rPr>
                              <w:rFonts w:ascii="Times New Roman" w:hAnsi="Times New Roman" w:cs="Times New Roman"/>
                              <w:b/>
                              <w:bCs/>
                              <w:sz w:val="24"/>
                              <w:szCs w:val="24"/>
                            </w:rPr>
                            <w:t>Client</w:t>
                          </w:r>
                        </w:p>
                      </w:txbxContent>
                    </v:textbox>
                  </v:oval>
                  <v:group id="Group 1344" o:spid="_x0000_s1067" style="position:absolute;left:3968;top:7844;width:4535;height:166" coordorigin="4079,7700" coordsize="453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o:lock v:ext="edit" aspectratio="t"/>
                    <v:shape id="Connecteur droit avec flèche 58" o:spid="_x0000_s1068" type="#_x0000_t32" style="position:absolute;left:4079;top:7700;width:4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" strokeweight="1pt">
                      <v:stroke endarrow="block"/>
                      <o:lock v:ext="edit" aspectratio="t"/>
                    </v:shape>
                    <v:shape id="Connecteur droit avec flèche 6" o:spid="_x0000_s1069" type="#_x0000_t32" style="position:absolute;left:4079;top:7865;width:45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" strokeweight="1pt">
                      <v:stroke dashstyle="longDash" endarrow="block"/>
                      <o:lock v:ext="edit" aspectratio="t"/>
                    </v:shape>
                  </v:group>
                </v:group>
                <w10:wrap anchorx="margin"/>
              </v:group>
            </w:pict>
          </mc:Fallback>
        </mc:AlternateContent>
      </w:r>
    </w:p>
    <w:p w14:paraId="1609F43A" w14:textId="77777777" w:rsidR="00AC406E" w:rsidRPr="002B005F" w:rsidRDefault="00AC406E" w:rsidP="000F21BE">
      <w:pPr>
        <w:keepNext/>
        <w:tabs>
          <w:tab w:val="left" w:pos="0"/>
          <w:tab w:val="left" w:pos="6660"/>
        </w:tabs>
        <w:suppressAutoHyphens/>
        <w:spacing w:before="120" w:line="300" w:lineRule="auto"/>
        <w:rPr>
          <w:rFonts w:ascii="Times New Roman" w:hAnsi="Times New Roman" w:cs="Times New Roman"/>
          <w:sz w:val="24"/>
          <w:szCs w:val="24"/>
        </w:rPr>
      </w:pPr>
    </w:p>
    <w:p w14:paraId="16EB186F" w14:textId="77777777" w:rsidR="00AC406E" w:rsidRPr="002B005F" w:rsidRDefault="00AC406E" w:rsidP="000F21BE">
      <w:pPr>
        <w:keepNext/>
        <w:tabs>
          <w:tab w:val="left" w:pos="0"/>
        </w:tabs>
        <w:suppressAutoHyphens/>
        <w:spacing w:before="120" w:line="300" w:lineRule="auto"/>
        <w:rPr>
          <w:rFonts w:ascii="Times New Roman" w:hAnsi="Times New Roman" w:cs="Times New Roman"/>
          <w:sz w:val="24"/>
          <w:szCs w:val="24"/>
        </w:rPr>
      </w:pPr>
    </w:p>
    <w:p w14:paraId="5415191D" w14:textId="77777777" w:rsidR="00AC406E" w:rsidRPr="002B005F" w:rsidRDefault="00AC406E" w:rsidP="000F21BE">
      <w:pPr>
        <w:keepNext/>
        <w:tabs>
          <w:tab w:val="left" w:pos="0"/>
          <w:tab w:val="left" w:pos="2910"/>
        </w:tabs>
        <w:suppressAutoHyphens/>
        <w:spacing w:before="120" w:line="300" w:lineRule="auto"/>
        <w:rPr>
          <w:rFonts w:ascii="Times New Roman" w:hAnsi="Times New Roman" w:cs="Times New Roman"/>
          <w:sz w:val="24"/>
          <w:szCs w:val="24"/>
        </w:rPr>
      </w:pPr>
    </w:p>
    <w:p w14:paraId="48714F9E" w14:textId="77777777" w:rsidR="00AC406E" w:rsidRPr="002B005F" w:rsidRDefault="00AC406E" w:rsidP="000F21BE">
      <w:pPr>
        <w:keepNext/>
        <w:tabs>
          <w:tab w:val="left" w:pos="0"/>
          <w:tab w:val="left" w:pos="2910"/>
        </w:tabs>
        <w:suppressAutoHyphens/>
        <w:spacing w:before="120" w:line="300" w:lineRule="auto"/>
        <w:rPr>
          <w:rFonts w:ascii="Times New Roman" w:hAnsi="Times New Roman" w:cs="Times New Roman"/>
          <w:sz w:val="24"/>
          <w:szCs w:val="24"/>
        </w:rPr>
      </w:pPr>
    </w:p>
    <w:p w14:paraId="3E083152" w14:textId="77777777" w:rsidR="00CD4BAA" w:rsidRPr="002B005F" w:rsidRDefault="00CD4BAA" w:rsidP="000F21BE">
      <w:pPr>
        <w:keepNext/>
        <w:tabs>
          <w:tab w:val="left" w:pos="0"/>
        </w:tabs>
        <w:suppressAutoHyphens/>
        <w:spacing w:before="120" w:line="300" w:lineRule="auto"/>
        <w:rPr>
          <w:rFonts w:ascii="Times New Roman" w:hAnsi="Times New Roman" w:cs="Times New Roman"/>
          <w:sz w:val="24"/>
          <w:szCs w:val="24"/>
        </w:rPr>
      </w:pPr>
    </w:p>
    <w:p w14:paraId="5B58F738" w14:textId="77777777" w:rsidR="00AC406E" w:rsidRPr="002B005F" w:rsidRDefault="00AC406E" w:rsidP="000F21BE">
      <w:pPr>
        <w:keepNext/>
        <w:tabs>
          <w:tab w:val="left" w:pos="0"/>
        </w:tabs>
        <w:suppressAutoHyphens/>
        <w:spacing w:before="120" w:line="300" w:lineRule="auto"/>
        <w:rPr>
          <w:rFonts w:ascii="Times New Roman" w:hAnsi="Times New Roman" w:cs="Times New Roman"/>
          <w:sz w:val="24"/>
          <w:szCs w:val="24"/>
        </w:rPr>
      </w:pPr>
    </w:p>
    <w:p w14:paraId="7F1116C7" w14:textId="77777777" w:rsidR="002B0E58" w:rsidRPr="00E454E2" w:rsidRDefault="00AC406E" w:rsidP="000F21BE">
      <w:pPr>
        <w:keepNext/>
        <w:tabs>
          <w:tab w:val="left" w:pos="0"/>
        </w:tabs>
        <w:suppressAutoHyphens/>
        <w:spacing w:before="120" w:after="100" w:afterAutospacing="1" w:line="300" w:lineRule="auto"/>
        <w:jc w:val="center"/>
        <w:rPr>
          <w:rFonts w:ascii="Times New Roman" w:hAnsi="Times New Roman" w:cs="Times New Roman"/>
          <w:sz w:val="20"/>
          <w:szCs w:val="20"/>
          <w:lang w:eastAsia="fr-FR"/>
        </w:rPr>
      </w:pPr>
      <w:r w:rsidRPr="002B005F">
        <w:rPr>
          <w:rFonts w:ascii="Times New Roman" w:hAnsi="Times New Roman" w:cs="Times New Roman"/>
          <w:sz w:val="20"/>
          <w:szCs w:val="20"/>
        </w:rPr>
        <w:t>Source :</w:t>
      </w:r>
      <w:r w:rsidRPr="002B005F">
        <w:rPr>
          <w:rFonts w:ascii="Times New Roman" w:hAnsi="Times New Roman" w:cs="Times New Roman"/>
          <w:sz w:val="20"/>
          <w:szCs w:val="20"/>
          <w:lang w:eastAsia="fr-FR"/>
        </w:rPr>
        <w:t xml:space="preserve"> </w:t>
      </w:r>
      <w:r w:rsidRPr="002B005F">
        <w:rPr>
          <w:rFonts w:ascii="Times New Roman" w:hAnsi="Times New Roman" w:cs="Times New Roman"/>
          <w:smallCaps/>
          <w:sz w:val="20"/>
          <w:szCs w:val="20"/>
          <w:lang w:eastAsia="fr-FR"/>
        </w:rPr>
        <w:t>Abdalla</w:t>
      </w:r>
      <w:r w:rsidR="00600DF4" w:rsidRPr="002B005F">
        <w:rPr>
          <w:rFonts w:ascii="Times New Roman" w:hAnsi="Times New Roman" w:cs="Times New Roman"/>
          <w:sz w:val="20"/>
          <w:szCs w:val="20"/>
          <w:lang w:eastAsia="fr-FR"/>
        </w:rPr>
        <w:t>, 1999</w:t>
      </w:r>
      <w:r w:rsidRPr="002B005F">
        <w:rPr>
          <w:rFonts w:ascii="Times New Roman" w:hAnsi="Times New Roman" w:cs="Times New Roman"/>
          <w:sz w:val="20"/>
          <w:szCs w:val="20"/>
          <w:lang w:eastAsia="fr-FR"/>
        </w:rPr>
        <w:t>, p. 262.</w:t>
      </w:r>
    </w:p>
    <w:p w14:paraId="4DA3BEA9" w14:textId="77777777" w:rsidR="00944E26" w:rsidRPr="00522BEC" w:rsidRDefault="002760B2" w:rsidP="007F1103">
      <w:pPr>
        <w:tabs>
          <w:tab w:val="left" w:pos="0"/>
        </w:tabs>
        <w:suppressAutoHyphens/>
        <w:autoSpaceDE w:val="0"/>
        <w:autoSpaceDN w:val="0"/>
        <w:adjustRightInd w:val="0"/>
        <w:spacing w:before="100" w:beforeAutospacing="1" w:line="300" w:lineRule="auto"/>
        <w:ind w:firstLine="709"/>
        <w:rPr>
          <w:rFonts w:ascii="Times New Roman" w:hAnsi="Times New Roman" w:cs="Times New Roman"/>
          <w:kern w:val="24"/>
          <w:sz w:val="24"/>
          <w:szCs w:val="24"/>
        </w:rPr>
      </w:pPr>
      <w:r w:rsidRPr="00522BEC">
        <w:rPr>
          <w:rFonts w:ascii="Times New Roman" w:hAnsi="Times New Roman" w:cs="Times New Roman"/>
          <w:kern w:val="24"/>
          <w:sz w:val="24"/>
          <w:szCs w:val="24"/>
        </w:rPr>
        <w:t xml:space="preserve">Pour savoir si la </w:t>
      </w:r>
      <w:r w:rsidRPr="00522BEC">
        <w:rPr>
          <w:rFonts w:ascii="Times New Roman" w:hAnsi="Times New Roman" w:cs="Times New Roman"/>
          <w:i/>
          <w:iCs/>
          <w:kern w:val="24"/>
          <w:sz w:val="24"/>
          <w:szCs w:val="24"/>
        </w:rPr>
        <w:t>mourabaha</w:t>
      </w:r>
      <w:r w:rsidR="002F7CDF" w:rsidRPr="00522BEC">
        <w:rPr>
          <w:rFonts w:ascii="Times New Roman" w:hAnsi="Times New Roman" w:cs="Times New Roman"/>
          <w:iCs/>
          <w:kern w:val="24"/>
          <w:sz w:val="24"/>
          <w:szCs w:val="24"/>
        </w:rPr>
        <w:t>,</w:t>
      </w:r>
      <w:r w:rsidRPr="00522BEC">
        <w:rPr>
          <w:rFonts w:ascii="Times New Roman" w:hAnsi="Times New Roman" w:cs="Times New Roman"/>
          <w:kern w:val="24"/>
          <w:sz w:val="24"/>
          <w:szCs w:val="24"/>
        </w:rPr>
        <w:t xml:space="preserve"> telle qu'elle est pratiquée par les banques </w:t>
      </w:r>
      <w:r w:rsidR="00505EDD" w:rsidRPr="00522BEC">
        <w:rPr>
          <w:rFonts w:ascii="Times New Roman" w:hAnsi="Times New Roman" w:cs="Times New Roman"/>
          <w:kern w:val="24"/>
          <w:sz w:val="24"/>
          <w:szCs w:val="24"/>
        </w:rPr>
        <w:t>i</w:t>
      </w:r>
      <w:r w:rsidR="003773C6" w:rsidRPr="00522BEC">
        <w:rPr>
          <w:rFonts w:ascii="Times New Roman" w:hAnsi="Times New Roman" w:cs="Times New Roman"/>
          <w:kern w:val="24"/>
          <w:sz w:val="24"/>
          <w:szCs w:val="24"/>
        </w:rPr>
        <w:t>slamique</w:t>
      </w:r>
      <w:r w:rsidRPr="00522BEC">
        <w:rPr>
          <w:rFonts w:ascii="Times New Roman" w:hAnsi="Times New Roman" w:cs="Times New Roman"/>
          <w:kern w:val="24"/>
          <w:sz w:val="24"/>
          <w:szCs w:val="24"/>
        </w:rPr>
        <w:t>s, peut réellement présenter une alternative crédible et solide au financement par intérêt, il faut analyser les différences majeures entre les deux modes de financement. Les divergences concernent la nature de l'engagement, l'objet de l'opération, la rémunération de la banque et les pénalités en cas de retard de remboursement ou de non-paiement. Le tableau suivant résume ces d</w:t>
      </w:r>
      <w:r w:rsidR="002B0E58" w:rsidRPr="00522BEC">
        <w:rPr>
          <w:rFonts w:ascii="Times New Roman" w:hAnsi="Times New Roman" w:cs="Times New Roman"/>
          <w:kern w:val="24"/>
          <w:sz w:val="24"/>
          <w:szCs w:val="24"/>
        </w:rPr>
        <w:t>ifférences de façon simplifiée :</w:t>
      </w:r>
    </w:p>
    <w:p w14:paraId="1DD648AA" w14:textId="0F267433" w:rsidR="00697CCF" w:rsidRPr="002B005F" w:rsidRDefault="00697CCF" w:rsidP="007F1103">
      <w:pPr>
        <w:pStyle w:val="Lgende"/>
        <w:keepNext/>
        <w:keepLines/>
        <w:tabs>
          <w:tab w:val="left" w:pos="0"/>
        </w:tabs>
        <w:spacing w:before="100" w:beforeAutospacing="1" w:after="120" w:line="300" w:lineRule="auto"/>
        <w:jc w:val="center"/>
        <w:rPr>
          <w:rFonts w:ascii="Times New Roman" w:hAnsi="Times New Roman" w:cs="Times New Roman"/>
          <w:color w:val="auto"/>
          <w:sz w:val="24"/>
          <w:szCs w:val="24"/>
        </w:rPr>
      </w:pPr>
      <w:bookmarkStart w:id="346" w:name="_Toc115556070"/>
      <w:r w:rsidRPr="002B005F">
        <w:rPr>
          <w:rFonts w:ascii="Times New Roman" w:hAnsi="Times New Roman" w:cs="Times New Roman"/>
          <w:color w:val="auto"/>
          <w:sz w:val="24"/>
          <w:szCs w:val="24"/>
        </w:rPr>
        <w:lastRenderedPageBreak/>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w:t>
      </w:r>
      <w:r w:rsidR="00B544E5" w:rsidRPr="002B005F">
        <w:rPr>
          <w:rFonts w:ascii="Times New Roman" w:hAnsi="Times New Roman" w:cs="Times New Roman"/>
          <w:color w:val="auto"/>
          <w:sz w:val="24"/>
          <w:szCs w:val="24"/>
        </w:rPr>
        <w:fldChar w:fldCharType="end"/>
      </w:r>
      <w:r w:rsidR="008B07E2"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Comparaison entre les financements par </w:t>
      </w:r>
      <w:r w:rsidRPr="002B005F">
        <w:rPr>
          <w:rFonts w:ascii="Times New Roman" w:hAnsi="Times New Roman" w:cs="Times New Roman"/>
          <w:i/>
          <w:iCs/>
          <w:color w:val="auto"/>
          <w:sz w:val="24"/>
          <w:szCs w:val="24"/>
        </w:rPr>
        <w:t>mourabaha</w:t>
      </w:r>
      <w:r w:rsidRPr="002B005F">
        <w:rPr>
          <w:rFonts w:ascii="Times New Roman" w:hAnsi="Times New Roman" w:cs="Times New Roman"/>
          <w:color w:val="auto"/>
          <w:sz w:val="24"/>
          <w:szCs w:val="24"/>
        </w:rPr>
        <w:t xml:space="preserve"> et crédit à intérêt</w:t>
      </w:r>
      <w:bookmarkEnd w:id="346"/>
    </w:p>
    <w:tbl>
      <w:tblPr>
        <w:tblStyle w:val="Grilledutableau"/>
        <w:tblW w:w="9072" w:type="dxa"/>
        <w:jc w:val="center"/>
        <w:tblLayout w:type="fixed"/>
        <w:tblCellMar>
          <w:top w:w="57" w:type="dxa"/>
          <w:left w:w="57" w:type="dxa"/>
          <w:bottom w:w="57" w:type="dxa"/>
          <w:right w:w="57" w:type="dxa"/>
        </w:tblCellMar>
        <w:tblLook w:val="01E0" w:firstRow="1" w:lastRow="1" w:firstColumn="1" w:lastColumn="1" w:noHBand="0" w:noVBand="0"/>
      </w:tblPr>
      <w:tblGrid>
        <w:gridCol w:w="2411"/>
        <w:gridCol w:w="2835"/>
        <w:gridCol w:w="3826"/>
      </w:tblGrid>
      <w:tr w:rsidR="002760B2" w:rsidRPr="002B005F" w14:paraId="3801E25E" w14:textId="77777777" w:rsidTr="006168F4">
        <w:trPr>
          <w:trHeight w:val="454"/>
          <w:jc w:val="center"/>
        </w:trPr>
        <w:tc>
          <w:tcPr>
            <w:tcW w:w="2411" w:type="dxa"/>
            <w:vAlign w:val="center"/>
          </w:tcPr>
          <w:p w14:paraId="40AE717B" w14:textId="77777777" w:rsidR="002760B2" w:rsidRPr="002B005F" w:rsidRDefault="002760B2" w:rsidP="007F1103">
            <w:pPr>
              <w:keepNext/>
              <w:keepLines/>
              <w:tabs>
                <w:tab w:val="left" w:pos="0"/>
              </w:tabs>
              <w:jc w:val="center"/>
              <w:rPr>
                <w:rFonts w:ascii="Times New Roman" w:hAnsi="Times New Roman" w:cs="Times New Roman"/>
                <w:b/>
              </w:rPr>
            </w:pPr>
            <w:r w:rsidRPr="002B005F">
              <w:rPr>
                <w:rFonts w:ascii="Times New Roman" w:hAnsi="Times New Roman" w:cs="Times New Roman"/>
                <w:b/>
              </w:rPr>
              <w:t>Eléments de comparaison</w:t>
            </w:r>
          </w:p>
        </w:tc>
        <w:tc>
          <w:tcPr>
            <w:tcW w:w="2835" w:type="dxa"/>
            <w:vAlign w:val="center"/>
          </w:tcPr>
          <w:p w14:paraId="7F445FB6" w14:textId="77777777" w:rsidR="002760B2" w:rsidRPr="002B005F" w:rsidRDefault="002760B2" w:rsidP="007F1103">
            <w:pPr>
              <w:keepNext/>
              <w:keepLines/>
              <w:tabs>
                <w:tab w:val="left" w:pos="0"/>
              </w:tabs>
              <w:jc w:val="center"/>
              <w:rPr>
                <w:rFonts w:ascii="Times New Roman" w:hAnsi="Times New Roman" w:cs="Times New Roman"/>
                <w:b/>
              </w:rPr>
            </w:pPr>
            <w:r w:rsidRPr="002B005F">
              <w:rPr>
                <w:rFonts w:ascii="Times New Roman" w:hAnsi="Times New Roman" w:cs="Times New Roman"/>
                <w:b/>
              </w:rPr>
              <w:t>Crédit à intérêt</w:t>
            </w:r>
          </w:p>
        </w:tc>
        <w:tc>
          <w:tcPr>
            <w:tcW w:w="3826" w:type="dxa"/>
            <w:vAlign w:val="center"/>
          </w:tcPr>
          <w:p w14:paraId="7D18B5C3" w14:textId="77777777" w:rsidR="002760B2" w:rsidRPr="002B005F" w:rsidRDefault="002760B2" w:rsidP="007F1103">
            <w:pPr>
              <w:keepNext/>
              <w:keepLines/>
              <w:tabs>
                <w:tab w:val="left" w:pos="0"/>
              </w:tabs>
              <w:jc w:val="center"/>
              <w:rPr>
                <w:rFonts w:ascii="Times New Roman" w:hAnsi="Times New Roman" w:cs="Times New Roman"/>
                <w:b/>
              </w:rPr>
            </w:pPr>
            <w:r w:rsidRPr="002B005F">
              <w:rPr>
                <w:rFonts w:ascii="Times New Roman" w:hAnsi="Times New Roman" w:cs="Times New Roman"/>
                <w:b/>
                <w:i/>
                <w:iCs/>
              </w:rPr>
              <w:t>Mourabaha</w:t>
            </w:r>
          </w:p>
        </w:tc>
      </w:tr>
      <w:tr w:rsidR="002760B2" w:rsidRPr="002B005F" w14:paraId="492E565A" w14:textId="77777777" w:rsidTr="006168F4">
        <w:trPr>
          <w:trHeight w:val="454"/>
          <w:jc w:val="center"/>
        </w:trPr>
        <w:tc>
          <w:tcPr>
            <w:tcW w:w="2411" w:type="dxa"/>
          </w:tcPr>
          <w:p w14:paraId="3B55F29C" w14:textId="77777777" w:rsidR="002760B2" w:rsidRPr="002B005F" w:rsidRDefault="002760B2" w:rsidP="007F1103">
            <w:pPr>
              <w:keepNext/>
              <w:keepLines/>
              <w:tabs>
                <w:tab w:val="left" w:pos="0"/>
              </w:tabs>
              <w:jc w:val="left"/>
              <w:rPr>
                <w:rFonts w:ascii="Times New Roman" w:hAnsi="Times New Roman" w:cs="Times New Roman"/>
                <w:b/>
              </w:rPr>
            </w:pPr>
            <w:r w:rsidRPr="002B005F">
              <w:rPr>
                <w:rFonts w:ascii="Times New Roman" w:hAnsi="Times New Roman" w:cs="Times New Roman"/>
                <w:b/>
              </w:rPr>
              <w:t>Objet de l’opération</w:t>
            </w:r>
          </w:p>
        </w:tc>
        <w:tc>
          <w:tcPr>
            <w:tcW w:w="2835" w:type="dxa"/>
          </w:tcPr>
          <w:p w14:paraId="6B4928EE" w14:textId="77777777" w:rsidR="002760B2" w:rsidRPr="002B005F" w:rsidRDefault="002760B2" w:rsidP="007F1103">
            <w:pPr>
              <w:keepNext/>
              <w:keepLines/>
              <w:tabs>
                <w:tab w:val="left" w:pos="0"/>
              </w:tabs>
              <w:jc w:val="left"/>
              <w:rPr>
                <w:rFonts w:ascii="Times New Roman" w:hAnsi="Times New Roman" w:cs="Times New Roman"/>
              </w:rPr>
            </w:pPr>
            <w:r w:rsidRPr="002B005F">
              <w:rPr>
                <w:rFonts w:ascii="Times New Roman" w:hAnsi="Times New Roman" w:cs="Times New Roman"/>
              </w:rPr>
              <w:t>Financement par l’argent liquide</w:t>
            </w:r>
            <w:r w:rsidR="006168F4">
              <w:rPr>
                <w:rFonts w:ascii="Times New Roman" w:hAnsi="Times New Roman" w:cs="Times New Roman"/>
              </w:rPr>
              <w:t>.</w:t>
            </w:r>
          </w:p>
        </w:tc>
        <w:tc>
          <w:tcPr>
            <w:tcW w:w="3826" w:type="dxa"/>
          </w:tcPr>
          <w:p w14:paraId="70B41FA1" w14:textId="77777777" w:rsidR="002760B2" w:rsidRPr="002B005F" w:rsidRDefault="002760B2" w:rsidP="007F1103">
            <w:pPr>
              <w:keepNext/>
              <w:keepLines/>
              <w:tabs>
                <w:tab w:val="left" w:pos="0"/>
              </w:tabs>
              <w:jc w:val="left"/>
              <w:rPr>
                <w:rFonts w:ascii="Times New Roman" w:hAnsi="Times New Roman" w:cs="Times New Roman"/>
              </w:rPr>
            </w:pPr>
            <w:r w:rsidRPr="002B005F">
              <w:rPr>
                <w:rFonts w:ascii="Times New Roman" w:hAnsi="Times New Roman" w:cs="Times New Roman"/>
              </w:rPr>
              <w:t>L’existence</w:t>
            </w:r>
            <w:r w:rsidR="002C67F4" w:rsidRPr="002B005F">
              <w:rPr>
                <w:rFonts w:ascii="Times New Roman" w:hAnsi="Times New Roman" w:cs="Times New Roman"/>
              </w:rPr>
              <w:t xml:space="preserve"> d’un équipement ou marchandise</w:t>
            </w:r>
            <w:r w:rsidRPr="002B005F">
              <w:rPr>
                <w:rFonts w:ascii="Times New Roman" w:hAnsi="Times New Roman" w:cs="Times New Roman"/>
              </w:rPr>
              <w:t xml:space="preserve"> en possession du vendeur</w:t>
            </w:r>
            <w:r w:rsidR="006168F4">
              <w:rPr>
                <w:rFonts w:ascii="Times New Roman" w:hAnsi="Times New Roman" w:cs="Times New Roman"/>
              </w:rPr>
              <w:t>.</w:t>
            </w:r>
          </w:p>
        </w:tc>
      </w:tr>
      <w:tr w:rsidR="002760B2" w:rsidRPr="002B005F" w14:paraId="576679B9" w14:textId="77777777" w:rsidTr="006168F4">
        <w:trPr>
          <w:trHeight w:val="454"/>
          <w:jc w:val="center"/>
        </w:trPr>
        <w:tc>
          <w:tcPr>
            <w:tcW w:w="2411" w:type="dxa"/>
          </w:tcPr>
          <w:p w14:paraId="11B3A612" w14:textId="77777777" w:rsidR="002760B2" w:rsidRPr="002B005F" w:rsidRDefault="002760B2" w:rsidP="007F1103">
            <w:pPr>
              <w:keepNext/>
              <w:keepLines/>
              <w:tabs>
                <w:tab w:val="left" w:pos="0"/>
              </w:tabs>
              <w:jc w:val="left"/>
              <w:rPr>
                <w:rFonts w:ascii="Times New Roman" w:hAnsi="Times New Roman" w:cs="Times New Roman"/>
                <w:b/>
              </w:rPr>
            </w:pPr>
            <w:r w:rsidRPr="002B005F">
              <w:rPr>
                <w:rFonts w:ascii="Times New Roman" w:hAnsi="Times New Roman" w:cs="Times New Roman"/>
                <w:b/>
              </w:rPr>
              <w:t>Rémunération de la banque</w:t>
            </w:r>
          </w:p>
        </w:tc>
        <w:tc>
          <w:tcPr>
            <w:tcW w:w="2835" w:type="dxa"/>
          </w:tcPr>
          <w:p w14:paraId="33F6BF2E" w14:textId="77777777" w:rsidR="002760B2" w:rsidRPr="002B005F" w:rsidRDefault="002760B2" w:rsidP="007F1103">
            <w:pPr>
              <w:keepNext/>
              <w:keepLines/>
              <w:tabs>
                <w:tab w:val="left" w:pos="0"/>
              </w:tabs>
              <w:jc w:val="left"/>
              <w:rPr>
                <w:rFonts w:ascii="Times New Roman" w:hAnsi="Times New Roman" w:cs="Times New Roman"/>
              </w:rPr>
            </w:pPr>
            <w:r w:rsidRPr="002B005F">
              <w:rPr>
                <w:rFonts w:ascii="Times New Roman" w:hAnsi="Times New Roman" w:cs="Times New Roman"/>
              </w:rPr>
              <w:t>Intérêt fixé en fonction du montant et de sa durée et non en fonction du rendement de l’activité du client</w:t>
            </w:r>
          </w:p>
        </w:tc>
        <w:tc>
          <w:tcPr>
            <w:tcW w:w="3826" w:type="dxa"/>
          </w:tcPr>
          <w:p w14:paraId="1C111BDC" w14:textId="77777777" w:rsidR="002760B2" w:rsidRPr="002B005F" w:rsidRDefault="002760B2" w:rsidP="007F1103">
            <w:pPr>
              <w:keepNext/>
              <w:keepLines/>
              <w:tabs>
                <w:tab w:val="left" w:pos="0"/>
              </w:tabs>
              <w:jc w:val="left"/>
              <w:rPr>
                <w:rFonts w:ascii="Times New Roman" w:hAnsi="Times New Roman" w:cs="Times New Roman"/>
              </w:rPr>
            </w:pPr>
            <w:r w:rsidRPr="002B005F">
              <w:rPr>
                <w:rFonts w:ascii="Times New Roman" w:hAnsi="Times New Roman" w:cs="Times New Roman"/>
              </w:rPr>
              <w:t>Marge fixée en commun accord après connaissance parfaite du prix de revient et ses composantes. Les conditions du marché et de la conjoncture sont prises en compte pour la détermination de la marge</w:t>
            </w:r>
          </w:p>
        </w:tc>
      </w:tr>
      <w:tr w:rsidR="002760B2" w:rsidRPr="002B005F" w14:paraId="038B1AD2" w14:textId="77777777" w:rsidTr="006168F4">
        <w:trPr>
          <w:trHeight w:val="454"/>
          <w:jc w:val="center"/>
        </w:trPr>
        <w:tc>
          <w:tcPr>
            <w:tcW w:w="2411" w:type="dxa"/>
          </w:tcPr>
          <w:p w14:paraId="11588DE5" w14:textId="77777777" w:rsidR="002760B2" w:rsidRPr="002B005F" w:rsidRDefault="002760B2" w:rsidP="007F1103">
            <w:pPr>
              <w:keepNext/>
              <w:keepLines/>
              <w:tabs>
                <w:tab w:val="left" w:pos="0"/>
              </w:tabs>
              <w:jc w:val="left"/>
              <w:rPr>
                <w:rFonts w:ascii="Times New Roman" w:hAnsi="Times New Roman" w:cs="Times New Roman"/>
                <w:b/>
              </w:rPr>
            </w:pPr>
            <w:r w:rsidRPr="002B005F">
              <w:rPr>
                <w:rFonts w:ascii="Times New Roman" w:hAnsi="Times New Roman" w:cs="Times New Roman"/>
                <w:b/>
              </w:rPr>
              <w:t>Pénalités en cas de retard ou non-paiement à terme échu</w:t>
            </w:r>
          </w:p>
        </w:tc>
        <w:tc>
          <w:tcPr>
            <w:tcW w:w="2835" w:type="dxa"/>
          </w:tcPr>
          <w:p w14:paraId="0D483BF2" w14:textId="77777777" w:rsidR="002760B2" w:rsidRPr="002B005F" w:rsidRDefault="002760B2" w:rsidP="007F1103">
            <w:pPr>
              <w:keepNext/>
              <w:keepLines/>
              <w:tabs>
                <w:tab w:val="left" w:pos="0"/>
              </w:tabs>
              <w:jc w:val="left"/>
              <w:rPr>
                <w:rFonts w:ascii="Times New Roman" w:hAnsi="Times New Roman" w:cs="Times New Roman"/>
              </w:rPr>
            </w:pPr>
            <w:r w:rsidRPr="002B005F">
              <w:rPr>
                <w:rFonts w:ascii="Times New Roman" w:hAnsi="Times New Roman" w:cs="Times New Roman"/>
              </w:rPr>
              <w:t>Des intérêts de retard s’ajoutent à la dette.</w:t>
            </w:r>
          </w:p>
        </w:tc>
        <w:tc>
          <w:tcPr>
            <w:tcW w:w="3826" w:type="dxa"/>
          </w:tcPr>
          <w:p w14:paraId="27307DC5" w14:textId="77777777" w:rsidR="002760B2" w:rsidRPr="002B005F" w:rsidRDefault="002760B2" w:rsidP="007F1103">
            <w:pPr>
              <w:keepNext/>
              <w:keepLines/>
              <w:tabs>
                <w:tab w:val="left" w:pos="0"/>
              </w:tabs>
              <w:jc w:val="left"/>
              <w:rPr>
                <w:rFonts w:ascii="Times New Roman" w:hAnsi="Times New Roman" w:cs="Times New Roman"/>
              </w:rPr>
            </w:pPr>
            <w:r w:rsidRPr="002B005F">
              <w:rPr>
                <w:rFonts w:ascii="Times New Roman" w:hAnsi="Times New Roman" w:cs="Times New Roman"/>
              </w:rPr>
              <w:t>On distingue deux cas :</w:t>
            </w:r>
          </w:p>
          <w:p w14:paraId="0A55B3A7" w14:textId="77777777" w:rsidR="002760B2" w:rsidRPr="002B005F" w:rsidRDefault="002760B2" w:rsidP="007F1103">
            <w:pPr>
              <w:keepNext/>
              <w:keepLines/>
              <w:tabs>
                <w:tab w:val="left" w:pos="0"/>
              </w:tabs>
              <w:ind w:left="113"/>
              <w:jc w:val="left"/>
              <w:rPr>
                <w:rFonts w:ascii="Times New Roman" w:hAnsi="Times New Roman" w:cs="Times New Roman"/>
              </w:rPr>
            </w:pPr>
            <w:r w:rsidRPr="002B005F">
              <w:rPr>
                <w:rFonts w:ascii="Times New Roman" w:hAnsi="Times New Roman" w:cs="Times New Roman"/>
              </w:rPr>
              <w:t>-</w:t>
            </w:r>
            <w:r w:rsidR="004D375A" w:rsidRPr="002B005F">
              <w:rPr>
                <w:rFonts w:ascii="Times New Roman" w:hAnsi="Times New Roman" w:cs="Times New Roman"/>
              </w:rPr>
              <w:t xml:space="preserve"> </w:t>
            </w:r>
            <w:r w:rsidRPr="002B005F">
              <w:rPr>
                <w:rFonts w:ascii="Times New Roman" w:hAnsi="Times New Roman" w:cs="Times New Roman"/>
              </w:rPr>
              <w:t>Le non payement dû à des problèmes de force majeure : dans ce cas on doit accorder un délai au débiteur qui se trouve dans la gêne.</w:t>
            </w:r>
          </w:p>
          <w:p w14:paraId="14D9D348" w14:textId="77777777" w:rsidR="002760B2" w:rsidRPr="002B005F" w:rsidRDefault="002760B2" w:rsidP="007F1103">
            <w:pPr>
              <w:keepNext/>
              <w:keepLines/>
              <w:tabs>
                <w:tab w:val="left" w:pos="0"/>
              </w:tabs>
              <w:ind w:left="113"/>
              <w:jc w:val="left"/>
              <w:rPr>
                <w:rFonts w:ascii="Times New Roman" w:hAnsi="Times New Roman" w:cs="Times New Roman"/>
              </w:rPr>
            </w:pPr>
            <w:r w:rsidRPr="002B005F">
              <w:rPr>
                <w:rFonts w:ascii="Times New Roman" w:hAnsi="Times New Roman" w:cs="Times New Roman"/>
              </w:rPr>
              <w:t>-</w:t>
            </w:r>
            <w:r w:rsidR="004D375A" w:rsidRPr="002B005F">
              <w:rPr>
                <w:rFonts w:ascii="Times New Roman" w:hAnsi="Times New Roman" w:cs="Times New Roman"/>
              </w:rPr>
              <w:t xml:space="preserve"> Le non-</w:t>
            </w:r>
            <w:r w:rsidRPr="002B005F">
              <w:rPr>
                <w:rFonts w:ascii="Times New Roman" w:hAnsi="Times New Roman" w:cs="Times New Roman"/>
              </w:rPr>
              <w:t>paiement dû à la mauvaise volonté : la banque mettra tout en œuvre pour faire respecter ses droits</w:t>
            </w:r>
            <w:r w:rsidR="006168F4">
              <w:rPr>
                <w:rFonts w:ascii="Times New Roman" w:hAnsi="Times New Roman" w:cs="Times New Roman"/>
              </w:rPr>
              <w:t>.</w:t>
            </w:r>
          </w:p>
        </w:tc>
      </w:tr>
      <w:tr w:rsidR="002760B2" w:rsidRPr="002B005F" w14:paraId="319C2F9E" w14:textId="77777777" w:rsidTr="006168F4">
        <w:trPr>
          <w:trHeight w:val="454"/>
          <w:jc w:val="center"/>
        </w:trPr>
        <w:tc>
          <w:tcPr>
            <w:tcW w:w="2411" w:type="dxa"/>
          </w:tcPr>
          <w:p w14:paraId="0A909D78" w14:textId="77777777" w:rsidR="002760B2" w:rsidRPr="002B005F" w:rsidRDefault="002760B2" w:rsidP="007F1103">
            <w:pPr>
              <w:keepNext/>
              <w:keepLines/>
              <w:tabs>
                <w:tab w:val="left" w:pos="0"/>
              </w:tabs>
              <w:jc w:val="left"/>
              <w:rPr>
                <w:rFonts w:ascii="Times New Roman" w:hAnsi="Times New Roman" w:cs="Times New Roman"/>
                <w:b/>
              </w:rPr>
            </w:pPr>
            <w:r w:rsidRPr="002B005F">
              <w:rPr>
                <w:rFonts w:ascii="Times New Roman" w:hAnsi="Times New Roman" w:cs="Times New Roman"/>
                <w:b/>
              </w:rPr>
              <w:t>Garanties</w:t>
            </w:r>
          </w:p>
        </w:tc>
        <w:tc>
          <w:tcPr>
            <w:tcW w:w="2835" w:type="dxa"/>
          </w:tcPr>
          <w:p w14:paraId="68F5BA64" w14:textId="77777777" w:rsidR="002760B2" w:rsidRPr="002B005F" w:rsidRDefault="002760B2" w:rsidP="007F1103">
            <w:pPr>
              <w:keepNext/>
              <w:keepLines/>
              <w:tabs>
                <w:tab w:val="left" w:pos="0"/>
              </w:tabs>
              <w:jc w:val="left"/>
              <w:rPr>
                <w:rFonts w:ascii="Times New Roman" w:hAnsi="Times New Roman" w:cs="Times New Roman"/>
              </w:rPr>
            </w:pPr>
            <w:r w:rsidRPr="002B005F">
              <w:rPr>
                <w:rFonts w:ascii="Times New Roman" w:hAnsi="Times New Roman" w:cs="Times New Roman"/>
              </w:rPr>
              <w:t>Elément fondamental pour une banque classique. C’est ainsi qu’on classifie et évalue les crédits suivants les garanties qui s’y rattachent.</w:t>
            </w:r>
          </w:p>
        </w:tc>
        <w:tc>
          <w:tcPr>
            <w:tcW w:w="3826" w:type="dxa"/>
          </w:tcPr>
          <w:p w14:paraId="35FC7834" w14:textId="77777777" w:rsidR="002760B2" w:rsidRPr="002B005F" w:rsidRDefault="002760B2" w:rsidP="007F1103">
            <w:pPr>
              <w:keepNext/>
              <w:keepLines/>
              <w:tabs>
                <w:tab w:val="left" w:pos="0"/>
              </w:tabs>
              <w:jc w:val="left"/>
              <w:rPr>
                <w:rFonts w:ascii="Times New Roman" w:hAnsi="Times New Roman" w:cs="Times New Roman"/>
              </w:rPr>
            </w:pPr>
            <w:r w:rsidRPr="002B005F">
              <w:rPr>
                <w:rFonts w:ascii="Times New Roman" w:hAnsi="Times New Roman" w:cs="Times New Roman"/>
              </w:rPr>
              <w:t>Les garanties doivent être exigées en fonction de la capacité du client et de la nature de l’opération et son objet. La moralité du client est dans ce cas déterminante</w:t>
            </w:r>
            <w:r w:rsidR="006168F4">
              <w:rPr>
                <w:rFonts w:ascii="Times New Roman" w:hAnsi="Times New Roman" w:cs="Times New Roman"/>
              </w:rPr>
              <w:t>.</w:t>
            </w:r>
          </w:p>
        </w:tc>
      </w:tr>
    </w:tbl>
    <w:p w14:paraId="4FDB9A3D" w14:textId="77777777" w:rsidR="002760B2" w:rsidRPr="002B005F" w:rsidRDefault="004F7610" w:rsidP="007F1103">
      <w:pPr>
        <w:keepNext/>
        <w:keepLines/>
        <w:tabs>
          <w:tab w:val="left" w:pos="0"/>
        </w:tabs>
        <w:spacing w:after="120" w:line="240" w:lineRule="auto"/>
        <w:jc w:val="center"/>
        <w:rPr>
          <w:rFonts w:ascii="Times New Roman" w:hAnsi="Times New Roman" w:cs="Times New Roman"/>
          <w:sz w:val="20"/>
          <w:szCs w:val="20"/>
          <w:lang w:val="en-GB"/>
        </w:rPr>
      </w:pPr>
      <w:r w:rsidRPr="002B005F">
        <w:rPr>
          <w:rFonts w:ascii="Times New Roman" w:hAnsi="Times New Roman" w:cs="Times New Roman"/>
          <w:sz w:val="20"/>
          <w:szCs w:val="20"/>
          <w:lang w:val="en-GB"/>
        </w:rPr>
        <w:t>Source</w:t>
      </w:r>
      <w:r w:rsidRPr="002B005F">
        <w:rPr>
          <w:rFonts w:ascii="Times New Roman" w:hAnsi="Times New Roman" w:cs="Times New Roman"/>
          <w:sz w:val="24"/>
          <w:szCs w:val="24"/>
        </w:rPr>
        <w:t>:</w:t>
      </w:r>
      <w:r w:rsidR="002760B2" w:rsidRPr="002B005F">
        <w:rPr>
          <w:rFonts w:ascii="Times New Roman" w:hAnsi="Times New Roman" w:cs="Times New Roman"/>
          <w:sz w:val="20"/>
          <w:szCs w:val="20"/>
          <w:lang w:val="en-GB"/>
        </w:rPr>
        <w:t xml:space="preserve"> </w:t>
      </w:r>
      <w:r w:rsidR="002760B2" w:rsidRPr="002B005F">
        <w:rPr>
          <w:rFonts w:ascii="Times New Roman" w:hAnsi="Times New Roman" w:cs="Times New Roman"/>
          <w:smallCaps/>
          <w:sz w:val="20"/>
          <w:szCs w:val="20"/>
        </w:rPr>
        <w:t>Mohameden</w:t>
      </w:r>
      <w:r w:rsidR="00863C45" w:rsidRPr="002B005F">
        <w:rPr>
          <w:rFonts w:ascii="Times New Roman" w:hAnsi="Times New Roman" w:cs="Times New Roman"/>
          <w:sz w:val="20"/>
          <w:szCs w:val="20"/>
          <w:lang w:val="en-GB"/>
        </w:rPr>
        <w:t>, 1992</w:t>
      </w:r>
      <w:r w:rsidR="002760B2" w:rsidRPr="002B005F">
        <w:rPr>
          <w:rFonts w:ascii="Times New Roman" w:hAnsi="Times New Roman" w:cs="Times New Roman"/>
          <w:sz w:val="20"/>
          <w:szCs w:val="20"/>
          <w:lang w:val="en-GB"/>
        </w:rPr>
        <w:t>, p. 129</w:t>
      </w:r>
      <w:r w:rsidR="00A70978" w:rsidRPr="002B005F">
        <w:rPr>
          <w:rFonts w:ascii="Times New Roman" w:hAnsi="Times New Roman" w:cs="Times New Roman"/>
          <w:sz w:val="20"/>
          <w:szCs w:val="20"/>
          <w:lang w:val="en-GB"/>
        </w:rPr>
        <w:t>.</w:t>
      </w:r>
    </w:p>
    <w:p w14:paraId="061FE507" w14:textId="24272332" w:rsidR="00D50AA5" w:rsidRPr="0082089D" w:rsidRDefault="00D50AA5" w:rsidP="007412F3">
      <w:pPr>
        <w:pStyle w:val="Titre4"/>
        <w:keepNext w:val="0"/>
        <w:suppressAutoHyphens/>
        <w:spacing w:before="100" w:beforeAutospacing="1" w:after="120" w:line="300" w:lineRule="auto"/>
        <w:ind w:firstLine="709"/>
        <w:rPr>
          <w:kern w:val="24"/>
        </w:rPr>
      </w:pPr>
      <w:bookmarkStart w:id="347" w:name="_Toc182298656"/>
      <w:r w:rsidRPr="0082089D">
        <w:rPr>
          <w:kern w:val="24"/>
        </w:rPr>
        <w:t>2.2.</w:t>
      </w:r>
      <w:r>
        <w:rPr>
          <w:kern w:val="24"/>
        </w:rPr>
        <w:t>2</w:t>
      </w:r>
      <w:r w:rsidRPr="0082089D">
        <w:rPr>
          <w:kern w:val="24"/>
        </w:rPr>
        <w:t xml:space="preserve">- </w:t>
      </w:r>
      <w:r>
        <w:rPr>
          <w:i/>
          <w:iCs/>
          <w:kern w:val="24"/>
        </w:rPr>
        <w:t>Salam</w:t>
      </w:r>
      <w:r w:rsidRPr="0082089D">
        <w:rPr>
          <w:kern w:val="24"/>
        </w:rPr>
        <w:t xml:space="preserve"> (</w:t>
      </w:r>
      <w:r>
        <w:rPr>
          <w:kern w:val="24"/>
        </w:rPr>
        <w:t>bien à acquérir</w:t>
      </w:r>
      <w:r w:rsidRPr="0082089D">
        <w:rPr>
          <w:kern w:val="24"/>
        </w:rPr>
        <w:t>)</w:t>
      </w:r>
      <w:bookmarkEnd w:id="347"/>
    </w:p>
    <w:p w14:paraId="7C147814" w14:textId="77777777" w:rsidR="007412F3" w:rsidRPr="00664610" w:rsidRDefault="007412F3" w:rsidP="0001003B">
      <w:pPr>
        <w:spacing w:before="120" w:line="300" w:lineRule="auto"/>
        <w:ind w:firstLine="709"/>
        <w:rPr>
          <w:rFonts w:ascii="Times New Roman" w:eastAsia="Times New Roman" w:hAnsi="Times New Roman" w:cs="Times New Roman"/>
          <w:kern w:val="24"/>
          <w:sz w:val="24"/>
          <w:szCs w:val="24"/>
        </w:rPr>
      </w:pPr>
      <w:r w:rsidRPr="00664610">
        <w:rPr>
          <w:rFonts w:ascii="Times New Roman" w:eastAsia="Times New Roman" w:hAnsi="Times New Roman" w:cs="Times New Roman"/>
          <w:kern w:val="24"/>
          <w:sz w:val="24"/>
          <w:szCs w:val="24"/>
        </w:rPr>
        <w:t xml:space="preserve">Les règles </w:t>
      </w:r>
      <w:r w:rsidRPr="00664610">
        <w:rPr>
          <w:rFonts w:ascii="Times New Roman" w:hAnsi="Times New Roman" w:cs="Times New Roman"/>
          <w:kern w:val="24"/>
          <w:sz w:val="24"/>
          <w:szCs w:val="24"/>
          <w:shd w:val="clear" w:color="auto" w:fill="FFFFFF"/>
        </w:rPr>
        <w:t xml:space="preserve">du Droit islamique </w:t>
      </w:r>
      <w:r w:rsidRPr="00664610">
        <w:rPr>
          <w:rFonts w:ascii="Times New Roman" w:eastAsia="Times New Roman" w:hAnsi="Times New Roman" w:cs="Times New Roman"/>
          <w:kern w:val="24"/>
          <w:sz w:val="24"/>
          <w:szCs w:val="24"/>
        </w:rPr>
        <w:t>interdisent en principe toute transaction commerciale dont l’objet est inexistant au moment de sa conclusion (</w:t>
      </w:r>
      <w:r w:rsidRPr="00664610">
        <w:rPr>
          <w:rFonts w:ascii="Times New Roman" w:eastAsia="Times New Roman" w:hAnsi="Times New Roman" w:cs="Times New Roman"/>
          <w:i/>
          <w:iCs/>
          <w:kern w:val="24"/>
          <w:sz w:val="24"/>
          <w:szCs w:val="24"/>
        </w:rPr>
        <w:t>bay’ al ma’adoum</w:t>
      </w:r>
      <w:r w:rsidRPr="00664610">
        <w:rPr>
          <w:rFonts w:ascii="Times New Roman" w:eastAsia="Times New Roman" w:hAnsi="Times New Roman" w:cs="Times New Roman"/>
          <w:kern w:val="24"/>
          <w:sz w:val="24"/>
          <w:szCs w:val="24"/>
        </w:rPr>
        <w:t xml:space="preserve">). Cependant, bien que ne répondant pas à cette condition, certaines pratiques commerciales sont tolérées compte tenu de leur nécessité dans la vie des gens. C’est le cas de la vente </w:t>
      </w:r>
      <w:r w:rsidRPr="00664610">
        <w:rPr>
          <w:rFonts w:ascii="Times New Roman" w:eastAsia="Times New Roman" w:hAnsi="Times New Roman" w:cs="Times New Roman"/>
          <w:i/>
          <w:iCs/>
          <w:kern w:val="24"/>
          <w:sz w:val="24"/>
          <w:szCs w:val="24"/>
        </w:rPr>
        <w:t>salam</w:t>
      </w:r>
      <w:r w:rsidRPr="00664610">
        <w:rPr>
          <w:rFonts w:ascii="Times New Roman" w:eastAsia="Times New Roman" w:hAnsi="Times New Roman" w:cs="Times New Roman"/>
          <w:kern w:val="24"/>
          <w:sz w:val="24"/>
          <w:szCs w:val="24"/>
        </w:rPr>
        <w:t xml:space="preserve"> qui a été autorisée par le Prophète dans le hadith :</w:t>
      </w:r>
    </w:p>
    <w:p w14:paraId="384F9B4A" w14:textId="77777777" w:rsidR="007412F3" w:rsidRPr="0001003B" w:rsidRDefault="007412F3" w:rsidP="007412F3">
      <w:pPr>
        <w:bidi/>
        <w:spacing w:before="120" w:line="300" w:lineRule="auto"/>
        <w:ind w:left="284"/>
        <w:rPr>
          <w:rFonts w:ascii="Times New Roman" w:eastAsia="Times New Roman" w:hAnsi="Times New Roman" w:cs="Times New Roman"/>
          <w:kern w:val="28"/>
          <w:sz w:val="28"/>
          <w:szCs w:val="28"/>
          <w:rtl/>
          <w:lang w:bidi="ar-DZ"/>
        </w:rPr>
      </w:pPr>
      <w:r w:rsidRPr="0001003B">
        <w:rPr>
          <w:rFonts w:ascii="Times New Roman" w:eastAsia="Times New Roman" w:hAnsi="Times New Roman" w:cs="Times New Roman" w:hint="cs"/>
          <w:kern w:val="28"/>
          <w:sz w:val="28"/>
          <w:szCs w:val="28"/>
          <w:rtl/>
          <w:lang w:bidi="ar-DZ"/>
        </w:rPr>
        <w:t>"من أسلف فليسلف في كيل معلوم ووزن معلوم إلى أجل معلوم"</w:t>
      </w:r>
    </w:p>
    <w:p w14:paraId="610541D1" w14:textId="77777777" w:rsidR="007412F3" w:rsidRPr="007412F3" w:rsidRDefault="007412F3" w:rsidP="007412F3">
      <w:pPr>
        <w:spacing w:before="120" w:line="300" w:lineRule="auto"/>
        <w:ind w:left="1134" w:right="284"/>
        <w:rPr>
          <w:rFonts w:ascii="Times New Roman" w:eastAsia="Times New Roman" w:hAnsi="Times New Roman" w:cs="Times New Roman"/>
          <w:i/>
          <w:iCs/>
          <w:sz w:val="24"/>
          <w:szCs w:val="24"/>
        </w:rPr>
      </w:pPr>
      <w:r w:rsidRPr="007412F3">
        <w:rPr>
          <w:rFonts w:ascii="Times New Roman" w:eastAsia="Times New Roman" w:hAnsi="Times New Roman" w:cs="Times New Roman"/>
          <w:i/>
          <w:iCs/>
          <w:sz w:val="24"/>
          <w:szCs w:val="24"/>
        </w:rPr>
        <w:t>Celui qui fait le salam</w:t>
      </w:r>
      <w:r w:rsidRPr="007412F3">
        <w:rPr>
          <w:rStyle w:val="Appelnotedebasdep"/>
          <w:rFonts w:ascii="Times New Roman" w:eastAsia="Times New Roman" w:hAnsi="Times New Roman"/>
          <w:i/>
          <w:iCs/>
          <w:sz w:val="24"/>
          <w:szCs w:val="24"/>
        </w:rPr>
        <w:footnoteReference w:id="113"/>
      </w:r>
      <w:r w:rsidRPr="007412F3">
        <w:rPr>
          <w:rFonts w:ascii="Times New Roman" w:eastAsia="Times New Roman" w:hAnsi="Times New Roman" w:cs="Times New Roman"/>
          <w:i/>
          <w:iCs/>
          <w:sz w:val="24"/>
          <w:szCs w:val="24"/>
        </w:rPr>
        <w:t>, qu’il le fasse pour un volume connu, pour un poids connu et pour un délai connu.</w:t>
      </w:r>
    </w:p>
    <w:p w14:paraId="21BAEA43" w14:textId="4467B4B9" w:rsidR="007412F3" w:rsidRPr="00D87A4B" w:rsidRDefault="007412F3" w:rsidP="007412F3">
      <w:pPr>
        <w:spacing w:before="120" w:line="30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w:t>
      </w:r>
      <w:r w:rsidRPr="00E74DC7">
        <w:rPr>
          <w:rFonts w:ascii="Times New Roman" w:eastAsia="Times New Roman" w:hAnsi="Times New Roman" w:cs="Times New Roman"/>
          <w:i/>
          <w:iCs/>
          <w:sz w:val="24"/>
          <w:szCs w:val="24"/>
        </w:rPr>
        <w:t>salam</w:t>
      </w:r>
      <w:r>
        <w:rPr>
          <w:rFonts w:ascii="Times New Roman" w:eastAsia="Times New Roman" w:hAnsi="Times New Roman" w:cs="Times New Roman"/>
          <w:sz w:val="24"/>
          <w:szCs w:val="24"/>
        </w:rPr>
        <w:t xml:space="preserve"> est alors </w:t>
      </w:r>
      <w:r w:rsidRPr="00D87A4B">
        <w:rPr>
          <w:rFonts w:ascii="Times New Roman" w:eastAsia="Times New Roman" w:hAnsi="Times New Roman" w:cs="Times New Roman"/>
          <w:sz w:val="24"/>
          <w:szCs w:val="24"/>
        </w:rPr>
        <w:t xml:space="preserve">un contrat de vente avec livraison différée de la marchandise. Ainsi, contrairement à la </w:t>
      </w:r>
      <w:r w:rsidRPr="00D87A4B">
        <w:rPr>
          <w:rFonts w:ascii="Times New Roman" w:eastAsia="Times New Roman" w:hAnsi="Times New Roman" w:cs="Times New Roman"/>
          <w:i/>
          <w:iCs/>
          <w:sz w:val="24"/>
          <w:szCs w:val="24"/>
        </w:rPr>
        <w:t>mourabaha</w:t>
      </w:r>
      <w:r w:rsidRPr="00D87A4B">
        <w:rPr>
          <w:rFonts w:ascii="Times New Roman" w:eastAsia="Times New Roman" w:hAnsi="Times New Roman" w:cs="Times New Roman"/>
          <w:sz w:val="24"/>
          <w:szCs w:val="24"/>
        </w:rPr>
        <w:t>, la banque n’intervient pas comme vendeur à crédit de la marchandise acquise sur commande de sa relation, mais comme acquéreur avec paiement</w:t>
      </w:r>
      <w:r>
        <w:rPr>
          <w:rFonts w:ascii="Times New Roman" w:eastAsia="Times New Roman" w:hAnsi="Times New Roman" w:cs="Times New Roman" w:hint="cs"/>
          <w:sz w:val="24"/>
          <w:szCs w:val="24"/>
          <w:rtl/>
        </w:rPr>
        <w:t xml:space="preserve"> </w:t>
      </w:r>
      <w:r w:rsidR="00664610">
        <w:rPr>
          <w:rFonts w:ascii="Times New Roman" w:eastAsia="Times New Roman" w:hAnsi="Times New Roman" w:cs="Times New Roman"/>
          <w:sz w:val="24"/>
          <w:szCs w:val="24"/>
        </w:rPr>
        <w:t xml:space="preserve">au </w:t>
      </w:r>
      <w:r w:rsidRPr="00D87A4B">
        <w:rPr>
          <w:rFonts w:ascii="Times New Roman" w:eastAsia="Times New Roman" w:hAnsi="Times New Roman" w:cs="Times New Roman"/>
          <w:sz w:val="24"/>
          <w:szCs w:val="24"/>
        </w:rPr>
        <w:t>comptant d’une marchandise qui lui sera livrée à terme par son partenaire.</w:t>
      </w:r>
      <w:r w:rsidR="00664610">
        <w:rPr>
          <w:rStyle w:val="Appelnotedebasdep"/>
          <w:rFonts w:ascii="Times New Roman" w:eastAsia="Times New Roman" w:hAnsi="Times New Roman"/>
          <w:sz w:val="24"/>
          <w:szCs w:val="24"/>
        </w:rPr>
        <w:footnoteReference w:id="114"/>
      </w:r>
      <w:r w:rsidR="00664610">
        <w:rPr>
          <w:rFonts w:ascii="Times New Roman" w:eastAsia="Times New Roman" w:hAnsi="Times New Roman" w:cs="Times New Roman"/>
          <w:sz w:val="24"/>
          <w:szCs w:val="24"/>
        </w:rPr>
        <w:t xml:space="preserve"> </w:t>
      </w:r>
    </w:p>
    <w:p w14:paraId="1AB9BF12" w14:textId="32F9432F" w:rsidR="007412F3" w:rsidRPr="00D87A4B" w:rsidRDefault="007412F3" w:rsidP="007412F3">
      <w:pPr>
        <w:spacing w:before="120" w:line="300" w:lineRule="auto"/>
        <w:ind w:firstLine="709"/>
        <w:rPr>
          <w:rFonts w:ascii="Times New Roman" w:eastAsia="Times New Roman" w:hAnsi="Times New Roman" w:cs="Times New Roman"/>
          <w:sz w:val="24"/>
          <w:szCs w:val="24"/>
        </w:rPr>
      </w:pPr>
      <w:r w:rsidRPr="00D87A4B">
        <w:rPr>
          <w:rFonts w:ascii="Times New Roman" w:hAnsi="Times New Roman" w:cs="Times New Roman"/>
          <w:spacing w:val="4"/>
          <w:sz w:val="24"/>
          <w:szCs w:val="24"/>
          <w:shd w:val="clear" w:color="auto" w:fill="FFFFFF"/>
        </w:rPr>
        <w:t xml:space="preserve">Il permet à la </w:t>
      </w:r>
      <w:r w:rsidR="00664610">
        <w:rPr>
          <w:rFonts w:ascii="Times New Roman" w:hAnsi="Times New Roman" w:cs="Times New Roman"/>
          <w:spacing w:val="4"/>
          <w:sz w:val="24"/>
          <w:szCs w:val="24"/>
          <w:shd w:val="clear" w:color="auto" w:fill="FFFFFF"/>
        </w:rPr>
        <w:t>BI</w:t>
      </w:r>
      <w:r w:rsidRPr="00D87A4B">
        <w:rPr>
          <w:rFonts w:ascii="Times New Roman" w:hAnsi="Times New Roman" w:cs="Times New Roman"/>
          <w:spacing w:val="4"/>
          <w:sz w:val="24"/>
          <w:szCs w:val="24"/>
          <w:shd w:val="clear" w:color="auto" w:fill="FFFFFF"/>
        </w:rPr>
        <w:t xml:space="preserve"> d’avancer un montant donné en sa qualité d’acheteur à un vendeur. Ce dernier s’engage en contrepartie à livrer à la banque la marchandise payée selon toutes les conditions convenues (nature, prix, quantité, délai et lieu de la livraison…) et dûment </w:t>
      </w:r>
      <w:r w:rsidRPr="00D87A4B">
        <w:rPr>
          <w:rFonts w:ascii="Times New Roman" w:hAnsi="Times New Roman" w:cs="Times New Roman"/>
          <w:spacing w:val="4"/>
          <w:sz w:val="24"/>
          <w:szCs w:val="24"/>
          <w:shd w:val="clear" w:color="auto" w:fill="FFFFFF"/>
        </w:rPr>
        <w:lastRenderedPageBreak/>
        <w:t>stipulées dans le contrat. A son tour, la banque livre la marchandise au client-acheteur selon aussi les clauses du contrat initial.</w:t>
      </w:r>
    </w:p>
    <w:p w14:paraId="76CB8CFD" w14:textId="0422CD8F" w:rsidR="002760B2" w:rsidRPr="002B005F" w:rsidRDefault="00CE5A09" w:rsidP="007412F3">
      <w:pPr>
        <w:pStyle w:val="Lgende"/>
        <w:keepNext/>
        <w:tabs>
          <w:tab w:val="left" w:pos="0"/>
        </w:tabs>
        <w:spacing w:before="100" w:beforeAutospacing="1" w:after="120" w:line="300" w:lineRule="auto"/>
        <w:jc w:val="center"/>
        <w:rPr>
          <w:rFonts w:ascii="Times New Roman" w:hAnsi="Times New Roman" w:cs="Times New Roman"/>
          <w:i/>
          <w:iCs/>
          <w:color w:val="auto"/>
          <w:sz w:val="24"/>
          <w:szCs w:val="24"/>
        </w:rPr>
      </w:pPr>
      <w:bookmarkStart w:id="348" w:name="_Toc115527418"/>
      <w:r w:rsidRPr="002B005F">
        <w:rPr>
          <w:rFonts w:ascii="Times New Roman" w:hAnsi="Times New Roman" w:cs="Times New Roman"/>
          <w:color w:val="auto"/>
          <w:sz w:val="24"/>
          <w:szCs w:val="24"/>
        </w:rPr>
        <w:t xml:space="preserve">Figure </w:t>
      </w:r>
      <w:r w:rsidR="00B544E5">
        <w:rPr>
          <w:rFonts w:ascii="Times New Roman" w:hAnsi="Times New Roman" w:cs="Times New Roman"/>
          <w:color w:val="auto"/>
          <w:sz w:val="24"/>
          <w:szCs w:val="24"/>
        </w:rPr>
        <w:fldChar w:fldCharType="begin"/>
      </w:r>
      <w:r w:rsidR="00BF1EB6">
        <w:rPr>
          <w:rFonts w:ascii="Times New Roman" w:hAnsi="Times New Roman" w:cs="Times New Roman"/>
          <w:color w:val="auto"/>
          <w:sz w:val="24"/>
          <w:szCs w:val="24"/>
        </w:rPr>
        <w:instrText xml:space="preserve"> SEQ Figure \* ARABIC </w:instrText>
      </w:r>
      <w:r w:rsidR="00B544E5">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7</w:t>
      </w:r>
      <w:r w:rsidR="00B544E5">
        <w:rPr>
          <w:rFonts w:ascii="Times New Roman" w:hAnsi="Times New Roman" w:cs="Times New Roman"/>
          <w:color w:val="auto"/>
          <w:sz w:val="24"/>
          <w:szCs w:val="24"/>
        </w:rPr>
        <w:fldChar w:fldCharType="end"/>
      </w:r>
      <w:r w:rsidR="004D375A"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Le contrat </w:t>
      </w:r>
      <w:r w:rsidRPr="002B005F">
        <w:rPr>
          <w:rFonts w:ascii="Times New Roman" w:hAnsi="Times New Roman" w:cs="Times New Roman"/>
          <w:i/>
          <w:iCs/>
          <w:color w:val="auto"/>
          <w:sz w:val="24"/>
          <w:szCs w:val="24"/>
        </w:rPr>
        <w:t>salam</w:t>
      </w:r>
      <w:bookmarkEnd w:id="348"/>
    </w:p>
    <w:p w14:paraId="79ECB3D4" w14:textId="77777777" w:rsidR="00C35105" w:rsidRPr="002B005F" w:rsidRDefault="00C35105" w:rsidP="000F21BE">
      <w:pPr>
        <w:spacing w:before="120" w:line="300" w:lineRule="auto"/>
        <w:rPr>
          <w:rFonts w:ascii="Times New Roman" w:hAnsi="Times New Roman" w:cs="Times New Roman"/>
          <w:sz w:val="24"/>
          <w:szCs w:val="24"/>
        </w:rPr>
      </w:pPr>
    </w:p>
    <w:p w14:paraId="08BBB7D7" w14:textId="77777777" w:rsidR="002760B2" w:rsidRPr="002B005F" w:rsidRDefault="002760B2" w:rsidP="000F21BE">
      <w:pPr>
        <w:tabs>
          <w:tab w:val="left" w:pos="0"/>
        </w:tabs>
        <w:autoSpaceDE w:val="0"/>
        <w:autoSpaceDN w:val="0"/>
        <w:adjustRightInd w:val="0"/>
        <w:spacing w:before="120" w:line="300" w:lineRule="auto"/>
        <w:rPr>
          <w:rFonts w:ascii="Times New Roman" w:hAnsi="Times New Roman" w:cs="Times New Roman"/>
          <w:sz w:val="24"/>
          <w:szCs w:val="24"/>
        </w:rPr>
      </w:pPr>
    </w:p>
    <w:p w14:paraId="24887545" w14:textId="77777777" w:rsidR="0003654C" w:rsidRPr="002B005F" w:rsidRDefault="0003654C" w:rsidP="000F21BE">
      <w:pPr>
        <w:tabs>
          <w:tab w:val="left" w:pos="0"/>
        </w:tabs>
        <w:autoSpaceDE w:val="0"/>
        <w:autoSpaceDN w:val="0"/>
        <w:adjustRightInd w:val="0"/>
        <w:spacing w:before="120" w:line="300" w:lineRule="auto"/>
        <w:rPr>
          <w:rFonts w:ascii="Times New Roman" w:hAnsi="Times New Roman" w:cs="Times New Roman"/>
          <w:sz w:val="24"/>
          <w:szCs w:val="24"/>
        </w:rPr>
      </w:pPr>
    </w:p>
    <w:p w14:paraId="22079A74" w14:textId="77777777" w:rsidR="0003654C" w:rsidRPr="002B005F" w:rsidRDefault="0003654C" w:rsidP="000F21BE">
      <w:pPr>
        <w:tabs>
          <w:tab w:val="left" w:pos="0"/>
        </w:tabs>
        <w:autoSpaceDE w:val="0"/>
        <w:autoSpaceDN w:val="0"/>
        <w:adjustRightInd w:val="0"/>
        <w:spacing w:before="120" w:line="300" w:lineRule="auto"/>
        <w:rPr>
          <w:rFonts w:ascii="Times New Roman" w:hAnsi="Times New Roman" w:cs="Times New Roman"/>
          <w:sz w:val="24"/>
          <w:szCs w:val="24"/>
        </w:rPr>
      </w:pPr>
    </w:p>
    <w:p w14:paraId="18BD2B6F" w14:textId="77777777" w:rsidR="0003654C" w:rsidRPr="002B005F" w:rsidRDefault="0003654C" w:rsidP="000F21BE">
      <w:pPr>
        <w:tabs>
          <w:tab w:val="left" w:pos="0"/>
        </w:tabs>
        <w:autoSpaceDE w:val="0"/>
        <w:autoSpaceDN w:val="0"/>
        <w:adjustRightInd w:val="0"/>
        <w:spacing w:before="120" w:line="300" w:lineRule="auto"/>
        <w:rPr>
          <w:rFonts w:ascii="Times New Roman" w:hAnsi="Times New Roman" w:cs="Times New Roman"/>
          <w:sz w:val="24"/>
          <w:szCs w:val="24"/>
        </w:rPr>
      </w:pPr>
    </w:p>
    <w:p w14:paraId="2C380C41" w14:textId="77777777" w:rsidR="0003654C" w:rsidRPr="002B005F" w:rsidRDefault="0003654C" w:rsidP="000F21BE">
      <w:pPr>
        <w:tabs>
          <w:tab w:val="left" w:pos="0"/>
        </w:tabs>
        <w:autoSpaceDE w:val="0"/>
        <w:autoSpaceDN w:val="0"/>
        <w:adjustRightInd w:val="0"/>
        <w:spacing w:before="120" w:line="300" w:lineRule="auto"/>
        <w:rPr>
          <w:rFonts w:ascii="Times New Roman" w:hAnsi="Times New Roman" w:cs="Times New Roman"/>
          <w:sz w:val="24"/>
          <w:szCs w:val="24"/>
        </w:rPr>
      </w:pPr>
    </w:p>
    <w:p w14:paraId="7D3AE5A9" w14:textId="77777777" w:rsidR="0003654C" w:rsidRPr="002B005F" w:rsidRDefault="0003654C" w:rsidP="000F21BE">
      <w:pPr>
        <w:tabs>
          <w:tab w:val="left" w:pos="0"/>
        </w:tabs>
        <w:autoSpaceDE w:val="0"/>
        <w:autoSpaceDN w:val="0"/>
        <w:adjustRightInd w:val="0"/>
        <w:spacing w:before="120" w:line="300" w:lineRule="auto"/>
        <w:rPr>
          <w:rFonts w:ascii="Times New Roman" w:hAnsi="Times New Roman" w:cs="Times New Roman"/>
          <w:sz w:val="24"/>
          <w:szCs w:val="24"/>
        </w:rPr>
      </w:pPr>
      <w:r w:rsidRPr="002B005F">
        <w:rPr>
          <w:rFonts w:ascii="Times New Roman" w:hAnsi="Times New Roman" w:cs="Times New Roman"/>
          <w:noProof/>
          <w:lang w:eastAsia="fr-FR"/>
        </w:rPr>
        <w:drawing>
          <wp:anchor distT="0" distB="0" distL="114300" distR="114300" simplePos="0" relativeHeight="251517952" behindDoc="0" locked="1" layoutInCell="1" allowOverlap="0" wp14:anchorId="4BF905B3" wp14:editId="45CA0321">
            <wp:simplePos x="0" y="0"/>
            <wp:positionH relativeFrom="column">
              <wp:posOffset>24765</wp:posOffset>
            </wp:positionH>
            <wp:positionV relativeFrom="paragraph">
              <wp:posOffset>-1616710</wp:posOffset>
            </wp:positionV>
            <wp:extent cx="5762625" cy="2409825"/>
            <wp:effectExtent l="0" t="0" r="0" b="0"/>
            <wp:wrapNone/>
            <wp:docPr id="5" name="Image 6" descr="C:\Users\hP\AppData\Local\Microsoft\Windows\INetCache\Content.Word\Nouvell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Nouvelle image.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40000"/>
                              </a14:imgEffect>
                            </a14:imgLayer>
                          </a14:imgProps>
                        </a:ext>
                      </a:extLst>
                    </a:blip>
                    <a:srcRect t="13864" b="5002"/>
                    <a:stretch>
                      <a:fillRect/>
                    </a:stretch>
                  </pic:blipFill>
                  <pic:spPr bwMode="auto">
                    <a:xfrm>
                      <a:off x="0" y="0"/>
                      <a:ext cx="5762625" cy="2409825"/>
                    </a:xfrm>
                    <a:prstGeom prst="rect">
                      <a:avLst/>
                    </a:prstGeom>
                    <a:noFill/>
                    <a:ln w="9525">
                      <a:noFill/>
                      <a:miter lim="800000"/>
                      <a:headEnd/>
                      <a:tailEnd/>
                    </a:ln>
                  </pic:spPr>
                </pic:pic>
              </a:graphicData>
            </a:graphic>
          </wp:anchor>
        </w:drawing>
      </w:r>
    </w:p>
    <w:p w14:paraId="5789929B" w14:textId="77777777" w:rsidR="0001491E" w:rsidRPr="002B005F" w:rsidRDefault="0001491E" w:rsidP="000F21BE">
      <w:pPr>
        <w:tabs>
          <w:tab w:val="left" w:pos="0"/>
        </w:tabs>
        <w:autoSpaceDE w:val="0"/>
        <w:autoSpaceDN w:val="0"/>
        <w:adjustRightInd w:val="0"/>
        <w:spacing w:before="120" w:line="300" w:lineRule="auto"/>
        <w:rPr>
          <w:rFonts w:ascii="Times New Roman" w:hAnsi="Times New Roman" w:cs="Times New Roman"/>
          <w:sz w:val="20"/>
          <w:szCs w:val="20"/>
        </w:rPr>
      </w:pPr>
    </w:p>
    <w:p w14:paraId="53CA3B38" w14:textId="77777777" w:rsidR="00276FCC" w:rsidRDefault="00276FCC" w:rsidP="000F21BE">
      <w:pPr>
        <w:spacing w:after="100" w:afterAutospacing="1" w:line="300" w:lineRule="auto"/>
        <w:jc w:val="center"/>
        <w:rPr>
          <w:rFonts w:ascii="Times New Roman" w:eastAsia="Times New Roman" w:hAnsi="Times New Roman" w:cs="Times New Roman"/>
          <w:sz w:val="20"/>
          <w:szCs w:val="20"/>
          <w:lang w:eastAsia="fr-FR"/>
        </w:rPr>
      </w:pPr>
    </w:p>
    <w:p w14:paraId="104EB74D" w14:textId="77777777" w:rsidR="0001491E" w:rsidRPr="002B005F" w:rsidRDefault="0001491E" w:rsidP="000F21BE">
      <w:pPr>
        <w:spacing w:after="100" w:afterAutospacing="1" w:line="300" w:lineRule="auto"/>
        <w:jc w:val="center"/>
        <w:rPr>
          <w:rFonts w:ascii="Times New Roman" w:eastAsia="Times New Roman" w:hAnsi="Times New Roman" w:cs="Times New Roman"/>
          <w:sz w:val="20"/>
          <w:szCs w:val="20"/>
          <w:lang w:eastAsia="fr-FR"/>
        </w:rPr>
      </w:pPr>
      <w:r w:rsidRPr="002B005F">
        <w:rPr>
          <w:rFonts w:ascii="Times New Roman" w:eastAsia="Times New Roman" w:hAnsi="Times New Roman" w:cs="Times New Roman"/>
          <w:sz w:val="20"/>
          <w:szCs w:val="20"/>
          <w:lang w:eastAsia="fr-FR"/>
        </w:rPr>
        <w:t xml:space="preserve">Source : </w:t>
      </w:r>
      <w:hyperlink r:id="rId25" w:history="1">
        <w:r w:rsidRPr="002B005F">
          <w:rPr>
            <w:rFonts w:ascii="Times New Roman" w:eastAsia="Times New Roman" w:hAnsi="Times New Roman" w:cs="Times New Roman"/>
            <w:color w:val="0000FF"/>
            <w:sz w:val="20"/>
            <w:szCs w:val="20"/>
            <w:u w:val="single"/>
            <w:lang w:eastAsia="fr-FR"/>
          </w:rPr>
          <w:t>https://www.linkedin.com/pulse/les-contrats-standards-de-la-finance-</w:t>
        </w:r>
        <w:r w:rsidR="00505EDD">
          <w:rPr>
            <w:rFonts w:ascii="Times New Roman" w:eastAsia="Times New Roman" w:hAnsi="Times New Roman" w:cs="Times New Roman"/>
            <w:color w:val="0000FF"/>
            <w:sz w:val="20"/>
            <w:szCs w:val="20"/>
            <w:u w:val="single"/>
            <w:lang w:eastAsia="fr-FR"/>
          </w:rPr>
          <w:t>i</w:t>
        </w:r>
        <w:r w:rsidR="003773C6" w:rsidRPr="002B005F">
          <w:rPr>
            <w:rFonts w:ascii="Times New Roman" w:eastAsia="Times New Roman" w:hAnsi="Times New Roman" w:cs="Times New Roman"/>
            <w:color w:val="0000FF"/>
            <w:sz w:val="20"/>
            <w:szCs w:val="20"/>
            <w:u w:val="single"/>
            <w:lang w:eastAsia="fr-FR"/>
          </w:rPr>
          <w:t>slamique</w:t>
        </w:r>
        <w:r w:rsidRPr="002B005F">
          <w:rPr>
            <w:rFonts w:ascii="Times New Roman" w:eastAsia="Times New Roman" w:hAnsi="Times New Roman" w:cs="Times New Roman"/>
            <w:color w:val="0000FF"/>
            <w:sz w:val="20"/>
            <w:szCs w:val="20"/>
            <w:u w:val="single"/>
            <w:lang w:eastAsia="fr-FR"/>
          </w:rPr>
          <w:t>-abdelhak-bounjoum?trk=portfolio_article-card_title</w:t>
        </w:r>
      </w:hyperlink>
      <w:r w:rsidR="001B2776" w:rsidRPr="002B005F">
        <w:rPr>
          <w:rFonts w:ascii="Times New Roman" w:eastAsia="Times New Roman" w:hAnsi="Times New Roman" w:cs="Times New Roman"/>
          <w:sz w:val="20"/>
          <w:szCs w:val="20"/>
          <w:lang w:eastAsia="fr-FR"/>
        </w:rPr>
        <w:t>, Publiée le 17 mai</w:t>
      </w:r>
      <w:r w:rsidRPr="002B005F">
        <w:rPr>
          <w:rFonts w:ascii="Times New Roman" w:eastAsia="Times New Roman" w:hAnsi="Times New Roman" w:cs="Times New Roman"/>
          <w:sz w:val="20"/>
          <w:szCs w:val="20"/>
          <w:lang w:eastAsia="fr-FR"/>
        </w:rPr>
        <w:t xml:space="preserve"> 2019.</w:t>
      </w:r>
    </w:p>
    <w:p w14:paraId="36DAC44A" w14:textId="234EC938" w:rsidR="002760B2" w:rsidRPr="00664610" w:rsidRDefault="00664610" w:rsidP="005B47AD">
      <w:pPr>
        <w:tabs>
          <w:tab w:val="left" w:pos="0"/>
        </w:tabs>
        <w:autoSpaceDE w:val="0"/>
        <w:autoSpaceDN w:val="0"/>
        <w:adjustRightInd w:val="0"/>
        <w:spacing w:before="100" w:beforeAutospacing="1" w:line="300" w:lineRule="auto"/>
        <w:ind w:firstLine="709"/>
        <w:rPr>
          <w:rFonts w:ascii="Times New Roman" w:hAnsi="Times New Roman" w:cs="Times New Roman"/>
          <w:kern w:val="24"/>
          <w:sz w:val="24"/>
          <w:szCs w:val="24"/>
        </w:rPr>
      </w:pPr>
      <w:bookmarkStart w:id="349" w:name="_Hlk167937477"/>
      <w:r w:rsidRPr="00664610">
        <w:rPr>
          <w:rFonts w:ascii="Times New Roman" w:hAnsi="Times New Roman" w:cs="Times New Roman"/>
          <w:kern w:val="24"/>
          <w:sz w:val="24"/>
          <w:szCs w:val="24"/>
        </w:rPr>
        <w:t>En outre</w:t>
      </w:r>
      <w:r w:rsidR="000F4546" w:rsidRPr="00664610">
        <w:rPr>
          <w:rFonts w:ascii="Times New Roman" w:hAnsi="Times New Roman" w:cs="Times New Roman"/>
          <w:kern w:val="24"/>
          <w:sz w:val="24"/>
          <w:szCs w:val="24"/>
        </w:rPr>
        <w:t>, la BI peu</w:t>
      </w:r>
      <w:r w:rsidR="002760B2" w:rsidRPr="00664610">
        <w:rPr>
          <w:rFonts w:ascii="Times New Roman" w:hAnsi="Times New Roman" w:cs="Times New Roman"/>
          <w:kern w:val="24"/>
          <w:sz w:val="24"/>
          <w:szCs w:val="24"/>
        </w:rPr>
        <w:t xml:space="preserve">t utiliser l’instrument de </w:t>
      </w:r>
      <w:r w:rsidR="002760B2" w:rsidRPr="00664610">
        <w:rPr>
          <w:rFonts w:ascii="Times New Roman" w:hAnsi="Times New Roman" w:cs="Times New Roman"/>
          <w:i/>
          <w:kern w:val="24"/>
          <w:sz w:val="24"/>
          <w:szCs w:val="24"/>
        </w:rPr>
        <w:t>salam</w:t>
      </w:r>
      <w:r w:rsidR="002760B2" w:rsidRPr="00664610">
        <w:rPr>
          <w:rFonts w:ascii="Times New Roman" w:hAnsi="Times New Roman" w:cs="Times New Roman"/>
          <w:kern w:val="24"/>
          <w:sz w:val="24"/>
          <w:szCs w:val="24"/>
        </w:rPr>
        <w:t xml:space="preserve"> parallèle. La vente des biens achetés dans un contrat </w:t>
      </w:r>
      <w:r w:rsidR="002760B2" w:rsidRPr="00664610">
        <w:rPr>
          <w:rFonts w:ascii="Times New Roman" w:hAnsi="Times New Roman" w:cs="Times New Roman"/>
          <w:i/>
          <w:kern w:val="24"/>
          <w:sz w:val="24"/>
          <w:szCs w:val="24"/>
        </w:rPr>
        <w:t>salam</w:t>
      </w:r>
      <w:r w:rsidR="002760B2" w:rsidRPr="00664610">
        <w:rPr>
          <w:rFonts w:ascii="Times New Roman" w:hAnsi="Times New Roman" w:cs="Times New Roman"/>
          <w:kern w:val="24"/>
          <w:sz w:val="24"/>
          <w:szCs w:val="24"/>
        </w:rPr>
        <w:t xml:space="preserve"> avant la prise de livraison n’est généralement pas autorisée par la </w:t>
      </w:r>
      <w:r w:rsidR="001F5C83" w:rsidRPr="00664610">
        <w:rPr>
          <w:rFonts w:asciiTheme="majorBidi" w:eastAsia="Times New Roman" w:hAnsiTheme="majorBidi" w:cstheme="majorBidi"/>
          <w:i/>
          <w:iCs/>
          <w:color w:val="000000" w:themeColor="text1"/>
          <w:kern w:val="24"/>
          <w:sz w:val="24"/>
          <w:szCs w:val="24"/>
          <w:lang w:eastAsia="fr-FR"/>
        </w:rPr>
        <w:t>Shariah</w:t>
      </w:r>
      <w:r w:rsidR="002760B2" w:rsidRPr="00664610">
        <w:rPr>
          <w:rFonts w:ascii="Times New Roman" w:hAnsi="Times New Roman" w:cs="Times New Roman"/>
          <w:kern w:val="24"/>
          <w:sz w:val="24"/>
          <w:szCs w:val="24"/>
        </w:rPr>
        <w:t xml:space="preserve">. </w:t>
      </w:r>
      <w:r w:rsidR="00F73AA3" w:rsidRPr="00664610">
        <w:rPr>
          <w:rFonts w:ascii="Times New Roman" w:hAnsi="Times New Roman" w:cs="Times New Roman"/>
          <w:kern w:val="24"/>
          <w:sz w:val="24"/>
          <w:szCs w:val="24"/>
        </w:rPr>
        <w:t>Cependant, il est</w:t>
      </w:r>
      <w:r w:rsidR="000F4546" w:rsidRPr="00664610">
        <w:rPr>
          <w:rFonts w:ascii="Times New Roman" w:hAnsi="Times New Roman" w:cs="Times New Roman"/>
          <w:kern w:val="24"/>
          <w:sz w:val="24"/>
          <w:szCs w:val="24"/>
        </w:rPr>
        <w:t xml:space="preserve"> permis à la</w:t>
      </w:r>
      <w:r w:rsidR="002760B2" w:rsidRPr="00664610">
        <w:rPr>
          <w:rFonts w:ascii="Times New Roman" w:hAnsi="Times New Roman" w:cs="Times New Roman"/>
          <w:kern w:val="24"/>
          <w:sz w:val="24"/>
          <w:szCs w:val="24"/>
        </w:rPr>
        <w:t xml:space="preserve"> BI de conclure des contrats </w:t>
      </w:r>
      <w:r w:rsidR="002760B2" w:rsidRPr="00664610">
        <w:rPr>
          <w:rFonts w:ascii="Times New Roman" w:hAnsi="Times New Roman" w:cs="Times New Roman"/>
          <w:i/>
          <w:kern w:val="24"/>
          <w:sz w:val="24"/>
          <w:szCs w:val="24"/>
        </w:rPr>
        <w:t>salam</w:t>
      </w:r>
      <w:r w:rsidR="002760B2" w:rsidRPr="00664610">
        <w:rPr>
          <w:rFonts w:ascii="Times New Roman" w:hAnsi="Times New Roman" w:cs="Times New Roman"/>
          <w:kern w:val="24"/>
          <w:sz w:val="24"/>
          <w:szCs w:val="24"/>
        </w:rPr>
        <w:t xml:space="preserve"> parallèle pour les mêmes biens à la date et l’heure de livraison du </w:t>
      </w:r>
      <w:r w:rsidR="002760B2" w:rsidRPr="00664610">
        <w:rPr>
          <w:rFonts w:ascii="Times New Roman" w:hAnsi="Times New Roman" w:cs="Times New Roman"/>
          <w:i/>
          <w:kern w:val="24"/>
          <w:sz w:val="24"/>
          <w:szCs w:val="24"/>
        </w:rPr>
        <w:t>salam</w:t>
      </w:r>
      <w:r w:rsidR="002760B2" w:rsidRPr="00664610">
        <w:rPr>
          <w:rFonts w:ascii="Times New Roman" w:hAnsi="Times New Roman" w:cs="Times New Roman"/>
          <w:kern w:val="24"/>
          <w:sz w:val="24"/>
          <w:szCs w:val="24"/>
        </w:rPr>
        <w:t xml:space="preserve"> original. Il doit y avoir deux contr</w:t>
      </w:r>
      <w:r w:rsidR="00F73AA3" w:rsidRPr="00664610">
        <w:rPr>
          <w:rFonts w:ascii="Times New Roman" w:hAnsi="Times New Roman" w:cs="Times New Roman"/>
          <w:kern w:val="24"/>
          <w:sz w:val="24"/>
          <w:szCs w:val="24"/>
        </w:rPr>
        <w:t>ats différents et indépendants :</w:t>
      </w:r>
      <w:r w:rsidR="002760B2" w:rsidRPr="00664610">
        <w:rPr>
          <w:rFonts w:ascii="Times New Roman" w:hAnsi="Times New Roman" w:cs="Times New Roman"/>
          <w:kern w:val="24"/>
          <w:sz w:val="24"/>
          <w:szCs w:val="24"/>
        </w:rPr>
        <w:t xml:space="preserve"> celui où la BI est acheteuse et l’autre dans lequel elle est vendeuse. Après l’achat du bien par voie de </w:t>
      </w:r>
      <w:r w:rsidR="002760B2" w:rsidRPr="00664610">
        <w:rPr>
          <w:rFonts w:ascii="Times New Roman" w:hAnsi="Times New Roman" w:cs="Times New Roman"/>
          <w:i/>
          <w:iCs/>
          <w:kern w:val="24"/>
          <w:sz w:val="24"/>
          <w:szCs w:val="24"/>
        </w:rPr>
        <w:t>salam</w:t>
      </w:r>
      <w:r w:rsidR="002760B2" w:rsidRPr="00664610">
        <w:rPr>
          <w:rFonts w:ascii="Times New Roman" w:hAnsi="Times New Roman" w:cs="Times New Roman"/>
          <w:kern w:val="24"/>
          <w:sz w:val="24"/>
          <w:szCs w:val="24"/>
        </w:rPr>
        <w:t xml:space="preserve">, la BI peut le vendre à travers un contrat parallèle de </w:t>
      </w:r>
      <w:r w:rsidR="002760B2" w:rsidRPr="00664610">
        <w:rPr>
          <w:rFonts w:ascii="Times New Roman" w:hAnsi="Times New Roman" w:cs="Times New Roman"/>
          <w:i/>
          <w:iCs/>
          <w:kern w:val="24"/>
          <w:sz w:val="24"/>
          <w:szCs w:val="24"/>
        </w:rPr>
        <w:t>salam</w:t>
      </w:r>
      <w:r w:rsidR="002760B2" w:rsidRPr="00664610">
        <w:rPr>
          <w:rFonts w:ascii="Times New Roman" w:hAnsi="Times New Roman" w:cs="Times New Roman"/>
          <w:kern w:val="24"/>
          <w:sz w:val="24"/>
          <w:szCs w:val="24"/>
        </w:rPr>
        <w:t xml:space="preserve"> pour la même date de livraison à un prix plus élevé q</w:t>
      </w:r>
      <w:r w:rsidR="00F73AA3" w:rsidRPr="00664610">
        <w:rPr>
          <w:rFonts w:ascii="Times New Roman" w:hAnsi="Times New Roman" w:cs="Times New Roman"/>
          <w:kern w:val="24"/>
          <w:sz w:val="24"/>
          <w:szCs w:val="24"/>
        </w:rPr>
        <w:t>ue le prix du premier contrat. L</w:t>
      </w:r>
      <w:r w:rsidR="002760B2" w:rsidRPr="00664610">
        <w:rPr>
          <w:rFonts w:ascii="Times New Roman" w:hAnsi="Times New Roman" w:cs="Times New Roman"/>
          <w:kern w:val="24"/>
          <w:sz w:val="24"/>
          <w:szCs w:val="24"/>
        </w:rPr>
        <w:t>a différence entre les deux prix représente le bénéfice réalisé par la banque.</w:t>
      </w:r>
    </w:p>
    <w:p w14:paraId="01A91105" w14:textId="399A9037" w:rsidR="002760B2" w:rsidRPr="00664610" w:rsidRDefault="002760B2" w:rsidP="005B47AD">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664610">
        <w:rPr>
          <w:rFonts w:ascii="Times New Roman" w:hAnsi="Times New Roman" w:cs="Times New Roman"/>
          <w:kern w:val="24"/>
          <w:sz w:val="24"/>
          <w:szCs w:val="24"/>
        </w:rPr>
        <w:t xml:space="preserve">Le contrat de </w:t>
      </w:r>
      <w:r w:rsidRPr="00664610">
        <w:rPr>
          <w:rFonts w:ascii="Times New Roman" w:hAnsi="Times New Roman" w:cs="Times New Roman"/>
          <w:i/>
          <w:kern w:val="24"/>
          <w:sz w:val="24"/>
          <w:szCs w:val="24"/>
        </w:rPr>
        <w:t>salam</w:t>
      </w:r>
      <w:r w:rsidRPr="00664610">
        <w:rPr>
          <w:rFonts w:ascii="Times New Roman" w:hAnsi="Times New Roman" w:cs="Times New Roman"/>
          <w:kern w:val="24"/>
          <w:sz w:val="24"/>
          <w:szCs w:val="24"/>
        </w:rPr>
        <w:t xml:space="preserve"> est actuellement utilisé pour</w:t>
      </w:r>
      <w:r w:rsidR="00F73AA3" w:rsidRPr="00664610">
        <w:rPr>
          <w:rFonts w:ascii="Times New Roman" w:hAnsi="Times New Roman" w:cs="Times New Roman"/>
          <w:kern w:val="24"/>
          <w:sz w:val="24"/>
          <w:szCs w:val="24"/>
        </w:rPr>
        <w:t xml:space="preserve"> remplacer les produits dérivés</w:t>
      </w:r>
      <w:r w:rsidRPr="00664610">
        <w:rPr>
          <w:rFonts w:ascii="Times New Roman" w:hAnsi="Times New Roman" w:cs="Times New Roman"/>
          <w:kern w:val="24"/>
          <w:sz w:val="24"/>
          <w:szCs w:val="24"/>
        </w:rPr>
        <w:t xml:space="preserve"> tels que les contr</w:t>
      </w:r>
      <w:r w:rsidR="00F73AA3" w:rsidRPr="00664610">
        <w:rPr>
          <w:rFonts w:ascii="Times New Roman" w:hAnsi="Times New Roman" w:cs="Times New Roman"/>
          <w:kern w:val="24"/>
          <w:sz w:val="24"/>
          <w:szCs w:val="24"/>
        </w:rPr>
        <w:t>ats à terme ou les options. C</w:t>
      </w:r>
      <w:r w:rsidRPr="00664610">
        <w:rPr>
          <w:rFonts w:ascii="Times New Roman" w:hAnsi="Times New Roman" w:cs="Times New Roman"/>
          <w:kern w:val="24"/>
          <w:sz w:val="24"/>
          <w:szCs w:val="24"/>
        </w:rPr>
        <w:t xml:space="preserve">e qui différencie entre ces derniers et l’opération de </w:t>
      </w:r>
      <w:r w:rsidRPr="00664610">
        <w:rPr>
          <w:rFonts w:ascii="Times New Roman" w:hAnsi="Times New Roman" w:cs="Times New Roman"/>
          <w:i/>
          <w:kern w:val="24"/>
          <w:sz w:val="24"/>
          <w:szCs w:val="24"/>
        </w:rPr>
        <w:t>salam</w:t>
      </w:r>
      <w:r w:rsidRPr="00664610">
        <w:rPr>
          <w:rFonts w:ascii="Times New Roman" w:hAnsi="Times New Roman" w:cs="Times New Roman"/>
          <w:kern w:val="24"/>
          <w:sz w:val="24"/>
          <w:szCs w:val="24"/>
        </w:rPr>
        <w:t xml:space="preserve">, le paiement est au comptant le </w:t>
      </w:r>
      <w:r w:rsidR="00F73AA3" w:rsidRPr="00664610">
        <w:rPr>
          <w:rFonts w:ascii="Times New Roman" w:hAnsi="Times New Roman" w:cs="Times New Roman"/>
          <w:kern w:val="24"/>
          <w:sz w:val="24"/>
          <w:szCs w:val="24"/>
        </w:rPr>
        <w:t>jour de la signature du contrat ;</w:t>
      </w:r>
      <w:r w:rsidRPr="00664610">
        <w:rPr>
          <w:rFonts w:ascii="Times New Roman" w:hAnsi="Times New Roman" w:cs="Times New Roman"/>
          <w:kern w:val="24"/>
          <w:sz w:val="24"/>
          <w:szCs w:val="24"/>
        </w:rPr>
        <w:t xml:space="preserve"> alors que dans un contrat à terme classique, rien n’est échangé avant l’expiration du contrat. Donc, afin que ce mode de financement soit conforme à la </w:t>
      </w:r>
      <w:r w:rsidR="001F5C83" w:rsidRPr="00664610">
        <w:rPr>
          <w:rFonts w:asciiTheme="majorBidi" w:eastAsia="Times New Roman" w:hAnsiTheme="majorBidi" w:cstheme="majorBidi"/>
          <w:i/>
          <w:iCs/>
          <w:color w:val="000000" w:themeColor="text1"/>
          <w:kern w:val="24"/>
          <w:sz w:val="24"/>
          <w:szCs w:val="24"/>
          <w:lang w:eastAsia="fr-FR"/>
        </w:rPr>
        <w:t>Shariah</w:t>
      </w:r>
      <w:r w:rsidRPr="00664610">
        <w:rPr>
          <w:rFonts w:ascii="Times New Roman" w:hAnsi="Times New Roman" w:cs="Times New Roman"/>
          <w:kern w:val="24"/>
          <w:sz w:val="24"/>
          <w:szCs w:val="24"/>
        </w:rPr>
        <w:t xml:space="preserve">, le paiement doit être effectué intégralement </w:t>
      </w:r>
      <w:r w:rsidR="00F73AA3" w:rsidRPr="00664610">
        <w:rPr>
          <w:rFonts w:ascii="Times New Roman" w:hAnsi="Times New Roman" w:cs="Times New Roman"/>
          <w:kern w:val="24"/>
          <w:sz w:val="24"/>
          <w:szCs w:val="24"/>
        </w:rPr>
        <w:t>lors de la signature du contrat</w:t>
      </w:r>
      <w:r w:rsidRPr="00664610">
        <w:rPr>
          <w:rFonts w:ascii="Times New Roman" w:hAnsi="Times New Roman" w:cs="Times New Roman"/>
          <w:kern w:val="24"/>
          <w:sz w:val="24"/>
          <w:szCs w:val="24"/>
        </w:rPr>
        <w:t xml:space="preserve"> et</w:t>
      </w:r>
      <w:r w:rsidR="00F73AA3" w:rsidRPr="00664610">
        <w:rPr>
          <w:rFonts w:ascii="Times New Roman" w:hAnsi="Times New Roman" w:cs="Times New Roman"/>
          <w:kern w:val="24"/>
          <w:sz w:val="24"/>
          <w:szCs w:val="24"/>
        </w:rPr>
        <w:t>,</w:t>
      </w:r>
      <w:r w:rsidRPr="00664610">
        <w:rPr>
          <w:rFonts w:ascii="Times New Roman" w:hAnsi="Times New Roman" w:cs="Times New Roman"/>
          <w:kern w:val="24"/>
          <w:sz w:val="24"/>
          <w:szCs w:val="24"/>
        </w:rPr>
        <w:t xml:space="preserve"> la date de la livraison doit être clairement précise.</w:t>
      </w:r>
    </w:p>
    <w:p w14:paraId="4DFEA0E4" w14:textId="77777777" w:rsidR="002760B2" w:rsidRPr="00522BEC" w:rsidRDefault="000A160A" w:rsidP="00A0589B">
      <w:pPr>
        <w:pStyle w:val="Titre4"/>
        <w:keepNext w:val="0"/>
        <w:spacing w:before="100" w:beforeAutospacing="1" w:after="120" w:line="300" w:lineRule="auto"/>
        <w:ind w:firstLine="709"/>
      </w:pPr>
      <w:bookmarkStart w:id="350" w:name="_Toc33263236"/>
      <w:bookmarkStart w:id="351" w:name="_Toc37664488"/>
      <w:bookmarkStart w:id="352" w:name="_Toc37666333"/>
      <w:bookmarkStart w:id="353" w:name="_Toc54363222"/>
      <w:bookmarkStart w:id="354" w:name="_Toc58606238"/>
      <w:bookmarkStart w:id="355" w:name="_Toc61263443"/>
      <w:bookmarkStart w:id="356" w:name="_Toc182298657"/>
      <w:bookmarkEnd w:id="349"/>
      <w:r w:rsidRPr="00522BEC">
        <w:t>2.</w:t>
      </w:r>
      <w:r w:rsidR="00CB18E6" w:rsidRPr="00522BEC">
        <w:t>2</w:t>
      </w:r>
      <w:r w:rsidRPr="00522BEC">
        <w:t xml:space="preserve">.3- </w:t>
      </w:r>
      <w:r w:rsidR="002C67F4" w:rsidRPr="00522BEC">
        <w:rPr>
          <w:i/>
        </w:rPr>
        <w:t>Istisna’</w:t>
      </w:r>
      <w:r w:rsidR="002760B2" w:rsidRPr="00522BEC">
        <w:t xml:space="preserve"> (bien à fabriquer)</w:t>
      </w:r>
      <w:bookmarkEnd w:id="350"/>
      <w:bookmarkEnd w:id="351"/>
      <w:bookmarkEnd w:id="352"/>
      <w:bookmarkEnd w:id="353"/>
      <w:bookmarkEnd w:id="354"/>
      <w:bookmarkEnd w:id="355"/>
      <w:bookmarkEnd w:id="356"/>
    </w:p>
    <w:p w14:paraId="3C6F2DE3" w14:textId="5324CDB2" w:rsidR="002760B2" w:rsidRPr="00522BEC" w:rsidRDefault="002760B2" w:rsidP="00522BEC">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522BEC">
        <w:rPr>
          <w:rFonts w:ascii="Times New Roman" w:hAnsi="Times New Roman" w:cs="Times New Roman"/>
          <w:kern w:val="24"/>
          <w:sz w:val="24"/>
          <w:szCs w:val="24"/>
        </w:rPr>
        <w:t xml:space="preserve">Littéralement, </w:t>
      </w:r>
      <w:r w:rsidR="002C67F4" w:rsidRPr="00522BEC">
        <w:rPr>
          <w:rFonts w:ascii="Times New Roman" w:hAnsi="Times New Roman" w:cs="Times New Roman"/>
          <w:i/>
          <w:iCs/>
          <w:kern w:val="24"/>
          <w:sz w:val="24"/>
          <w:szCs w:val="24"/>
        </w:rPr>
        <w:t>istisna’</w:t>
      </w:r>
      <w:r w:rsidRPr="00522BEC">
        <w:rPr>
          <w:rFonts w:ascii="Times New Roman" w:hAnsi="Times New Roman" w:cs="Times New Roman"/>
          <w:kern w:val="24"/>
          <w:sz w:val="24"/>
          <w:szCs w:val="24"/>
        </w:rPr>
        <w:t xml:space="preserve"> est la demande de fabrication. Le contrat </w:t>
      </w:r>
      <w:r w:rsidR="002C67F4" w:rsidRPr="00522BEC">
        <w:rPr>
          <w:rFonts w:ascii="Times New Roman" w:hAnsi="Times New Roman" w:cs="Times New Roman"/>
          <w:i/>
          <w:iCs/>
          <w:kern w:val="24"/>
          <w:sz w:val="24"/>
          <w:szCs w:val="24"/>
        </w:rPr>
        <w:t>istisna’</w:t>
      </w:r>
      <w:r w:rsidR="004D375A" w:rsidRPr="00522BEC">
        <w:rPr>
          <w:rFonts w:ascii="Times New Roman" w:hAnsi="Times New Roman" w:cs="Times New Roman"/>
          <w:kern w:val="24"/>
          <w:sz w:val="24"/>
          <w:szCs w:val="24"/>
        </w:rPr>
        <w:t xml:space="preserve"> </w:t>
      </w:r>
      <w:r w:rsidRPr="00522BEC">
        <w:rPr>
          <w:rFonts w:ascii="Times New Roman" w:hAnsi="Times New Roman" w:cs="Times New Roman"/>
          <w:kern w:val="24"/>
          <w:sz w:val="24"/>
          <w:szCs w:val="24"/>
        </w:rPr>
        <w:t>peut être défini comme étant « </w:t>
      </w:r>
      <w:r w:rsidRPr="00522BEC">
        <w:rPr>
          <w:rFonts w:ascii="Times New Roman" w:hAnsi="Times New Roman" w:cs="Times New Roman"/>
          <w:i/>
          <w:iCs/>
          <w:kern w:val="24"/>
          <w:sz w:val="24"/>
          <w:szCs w:val="24"/>
        </w:rPr>
        <w:t>un contrat d’achat d’un bien à manufacturer ou à construire ultérieurement, pour un prix défini, payé selon un échéancier convenu entre les deux parties. L’objet de l’</w:t>
      </w:r>
      <w:r w:rsidR="002C67F4" w:rsidRPr="00522BEC">
        <w:rPr>
          <w:rFonts w:ascii="Times New Roman" w:hAnsi="Times New Roman" w:cs="Times New Roman"/>
          <w:i/>
          <w:iCs/>
          <w:kern w:val="24"/>
          <w:sz w:val="24"/>
          <w:szCs w:val="24"/>
        </w:rPr>
        <w:t>istisna’</w:t>
      </w:r>
      <w:r w:rsidRPr="00522BEC">
        <w:rPr>
          <w:rFonts w:ascii="Times New Roman" w:hAnsi="Times New Roman" w:cs="Times New Roman"/>
          <w:i/>
          <w:iCs/>
          <w:kern w:val="24"/>
          <w:sz w:val="24"/>
          <w:szCs w:val="24"/>
        </w:rPr>
        <w:t xml:space="preserve"> est souvent inexistant au moment de la signature du contrat, mais il sera livré après sa fabrication </w:t>
      </w:r>
      <w:r w:rsidRPr="00522BEC">
        <w:rPr>
          <w:rFonts w:ascii="Times New Roman" w:hAnsi="Times New Roman" w:cs="Times New Roman"/>
          <w:kern w:val="24"/>
          <w:sz w:val="24"/>
          <w:szCs w:val="24"/>
        </w:rPr>
        <w:t>»</w:t>
      </w:r>
      <w:r w:rsidR="001124FF" w:rsidRPr="00522BEC">
        <w:rPr>
          <w:rFonts w:ascii="Times New Roman" w:hAnsi="Times New Roman" w:cs="Times New Roman"/>
          <w:kern w:val="24"/>
          <w:sz w:val="24"/>
          <w:szCs w:val="24"/>
        </w:rPr>
        <w:t>.</w:t>
      </w:r>
      <w:r w:rsidRPr="00522BEC">
        <w:rPr>
          <w:rStyle w:val="Appelnotedebasdep"/>
          <w:rFonts w:ascii="Times New Roman" w:hAnsi="Times New Roman"/>
          <w:kern w:val="24"/>
          <w:sz w:val="24"/>
          <w:szCs w:val="24"/>
        </w:rPr>
        <w:footnoteReference w:id="115"/>
      </w:r>
      <w:r w:rsidR="00FC72B8" w:rsidRPr="00522BEC">
        <w:rPr>
          <w:rFonts w:ascii="Times New Roman" w:hAnsi="Times New Roman" w:cs="Times New Roman"/>
          <w:kern w:val="24"/>
          <w:sz w:val="24"/>
          <w:szCs w:val="24"/>
        </w:rPr>
        <w:t xml:space="preserve"> (voir </w:t>
      </w:r>
      <w:r w:rsidR="00FC72B8" w:rsidRPr="00522BEC">
        <w:rPr>
          <w:rFonts w:ascii="Times New Roman" w:hAnsi="Times New Roman" w:cs="Times New Roman"/>
          <w:b/>
          <w:bCs/>
          <w:kern w:val="24"/>
          <w:sz w:val="24"/>
          <w:szCs w:val="24"/>
        </w:rPr>
        <w:t>figure 8</w:t>
      </w:r>
      <w:r w:rsidR="00FC72B8" w:rsidRPr="00522BEC">
        <w:rPr>
          <w:rFonts w:ascii="Times New Roman" w:hAnsi="Times New Roman" w:cs="Times New Roman"/>
          <w:kern w:val="24"/>
          <w:sz w:val="24"/>
          <w:szCs w:val="24"/>
        </w:rPr>
        <w:t>)</w:t>
      </w:r>
    </w:p>
    <w:p w14:paraId="1040215A" w14:textId="0E092D7C" w:rsidR="00F21CE4" w:rsidRPr="00522BEC" w:rsidRDefault="00C607E6" w:rsidP="00522BEC">
      <w:pPr>
        <w:pStyle w:val="Lgende"/>
        <w:keepNext/>
        <w:keepLines/>
        <w:suppressAutoHyphens/>
        <w:spacing w:before="100" w:beforeAutospacing="1" w:line="300" w:lineRule="auto"/>
        <w:jc w:val="center"/>
        <w:rPr>
          <w:rFonts w:ascii="Times New Roman" w:hAnsi="Times New Roman" w:cs="Times New Roman"/>
          <w:i/>
          <w:iCs/>
          <w:color w:val="auto"/>
          <w:sz w:val="24"/>
          <w:szCs w:val="24"/>
        </w:rPr>
      </w:pPr>
      <w:bookmarkStart w:id="357" w:name="_Toc115527419"/>
      <w:r w:rsidRPr="00C607E6">
        <w:rPr>
          <w:rFonts w:asciiTheme="majorBidi" w:hAnsiTheme="majorBidi" w:cstheme="majorBidi"/>
          <w:color w:val="auto"/>
          <w:sz w:val="24"/>
          <w:szCs w:val="24"/>
        </w:rPr>
        <w:lastRenderedPageBreak/>
        <w:t xml:space="preserve">Figure </w:t>
      </w:r>
      <w:r w:rsidR="00B544E5" w:rsidRPr="00C607E6">
        <w:rPr>
          <w:rFonts w:asciiTheme="majorBidi" w:hAnsiTheme="majorBidi" w:cstheme="majorBidi"/>
          <w:color w:val="auto"/>
          <w:sz w:val="24"/>
          <w:szCs w:val="24"/>
        </w:rPr>
        <w:fldChar w:fldCharType="begin"/>
      </w:r>
      <w:r w:rsidRPr="00C607E6">
        <w:rPr>
          <w:rFonts w:asciiTheme="majorBidi" w:hAnsiTheme="majorBidi" w:cstheme="majorBidi"/>
          <w:color w:val="auto"/>
          <w:sz w:val="24"/>
          <w:szCs w:val="24"/>
        </w:rPr>
        <w:instrText xml:space="preserve"> SEQ Figure \* ARABIC </w:instrText>
      </w:r>
      <w:r w:rsidR="00B544E5" w:rsidRPr="00C607E6">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8</w:t>
      </w:r>
      <w:r w:rsidR="00B544E5" w:rsidRPr="00C607E6">
        <w:rPr>
          <w:rFonts w:asciiTheme="majorBidi" w:hAnsiTheme="majorBidi" w:cstheme="majorBidi"/>
          <w:color w:val="auto"/>
          <w:sz w:val="24"/>
          <w:szCs w:val="24"/>
        </w:rPr>
        <w:fldChar w:fldCharType="end"/>
      </w:r>
      <w:r w:rsidRPr="00C607E6">
        <w:rPr>
          <w:rFonts w:asciiTheme="majorBidi" w:hAnsiTheme="majorBidi" w:cstheme="majorBidi"/>
          <w:color w:val="auto"/>
          <w:sz w:val="24"/>
          <w:szCs w:val="24"/>
        </w:rPr>
        <w:t xml:space="preserve">-Le contrat </w:t>
      </w:r>
      <w:r w:rsidRPr="000C0886">
        <w:rPr>
          <w:rFonts w:asciiTheme="majorBidi" w:hAnsiTheme="majorBidi" w:cstheme="majorBidi"/>
          <w:i/>
          <w:iCs/>
          <w:color w:val="auto"/>
          <w:sz w:val="24"/>
          <w:szCs w:val="24"/>
        </w:rPr>
        <w:t>istisna'</w:t>
      </w:r>
      <w:bookmarkEnd w:id="357"/>
    </w:p>
    <w:p w14:paraId="074C42E7" w14:textId="77777777" w:rsidR="00B969AA" w:rsidRPr="00522BEC" w:rsidRDefault="00B969AA" w:rsidP="00522BEC">
      <w:pPr>
        <w:keepNext/>
        <w:keepLines/>
        <w:suppressAutoHyphens/>
        <w:spacing w:before="120" w:line="300" w:lineRule="auto"/>
        <w:jc w:val="center"/>
        <w:rPr>
          <w:rFonts w:ascii="Times New Roman" w:hAnsi="Times New Roman" w:cs="Times New Roman"/>
        </w:rPr>
      </w:pPr>
    </w:p>
    <w:p w14:paraId="13AF5D28" w14:textId="77777777" w:rsidR="000B20C0" w:rsidRPr="00522BEC" w:rsidRDefault="000B20C0" w:rsidP="00522BEC">
      <w:pPr>
        <w:keepNext/>
        <w:keepLines/>
        <w:suppressAutoHyphens/>
        <w:spacing w:before="120" w:line="300" w:lineRule="auto"/>
        <w:jc w:val="center"/>
        <w:rPr>
          <w:rFonts w:ascii="Times New Roman" w:hAnsi="Times New Roman" w:cs="Times New Roman"/>
        </w:rPr>
      </w:pPr>
    </w:p>
    <w:p w14:paraId="499574B6" w14:textId="77777777" w:rsidR="00B969AA" w:rsidRPr="00522BEC" w:rsidRDefault="00F31071" w:rsidP="00522BEC">
      <w:pPr>
        <w:keepNext/>
        <w:keepLines/>
        <w:suppressAutoHyphens/>
        <w:spacing w:before="120" w:line="300" w:lineRule="auto"/>
        <w:jc w:val="center"/>
        <w:rPr>
          <w:rFonts w:ascii="Times New Roman" w:hAnsi="Times New Roman" w:cs="Times New Roman"/>
        </w:rPr>
      </w:pPr>
      <w:r w:rsidRPr="00522BEC">
        <w:rPr>
          <w:rFonts w:ascii="Times New Roman" w:hAnsi="Times New Roman" w:cs="Times New Roman"/>
          <w:noProof/>
          <w:lang w:eastAsia="fr-FR"/>
        </w:rPr>
        <w:drawing>
          <wp:anchor distT="0" distB="0" distL="114300" distR="114300" simplePos="0" relativeHeight="251516928" behindDoc="0" locked="1" layoutInCell="1" allowOverlap="0" wp14:anchorId="18C26363" wp14:editId="3DCB92C2">
            <wp:simplePos x="0" y="0"/>
            <wp:positionH relativeFrom="margin">
              <wp:posOffset>15240</wp:posOffset>
            </wp:positionH>
            <wp:positionV relativeFrom="paragraph">
              <wp:posOffset>-518160</wp:posOffset>
            </wp:positionV>
            <wp:extent cx="5762625" cy="3181350"/>
            <wp:effectExtent l="0" t="0" r="0" b="0"/>
            <wp:wrapNone/>
            <wp:docPr id="11" name="Image 7" descr="C:\Users\hP\AppData\Local\Microsoft\Windows\INetCache\Content.Word\Nouvell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Nouvelle image.p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contrast="40000"/>
                              </a14:imgEffect>
                            </a14:imgLayer>
                          </a14:imgProps>
                        </a:ext>
                      </a:extLst>
                    </a:blip>
                    <a:srcRect t="3448" r="2910" b="4775"/>
                    <a:stretch>
                      <a:fillRect/>
                    </a:stretch>
                  </pic:blipFill>
                  <pic:spPr bwMode="auto">
                    <a:xfrm>
                      <a:off x="0" y="0"/>
                      <a:ext cx="5762625" cy="3181350"/>
                    </a:xfrm>
                    <a:prstGeom prst="rect">
                      <a:avLst/>
                    </a:prstGeom>
                    <a:noFill/>
                    <a:ln w="9525">
                      <a:noFill/>
                      <a:miter lim="800000"/>
                      <a:headEnd/>
                      <a:tailEnd/>
                    </a:ln>
                  </pic:spPr>
                </pic:pic>
              </a:graphicData>
            </a:graphic>
          </wp:anchor>
        </w:drawing>
      </w:r>
    </w:p>
    <w:p w14:paraId="05AB5844" w14:textId="77777777" w:rsidR="00B969AA" w:rsidRPr="00522BEC" w:rsidRDefault="00B969AA" w:rsidP="00522BEC">
      <w:pPr>
        <w:keepNext/>
        <w:keepLines/>
        <w:suppressAutoHyphens/>
        <w:spacing w:before="120" w:line="300" w:lineRule="auto"/>
        <w:jc w:val="center"/>
        <w:rPr>
          <w:rFonts w:ascii="Times New Roman" w:hAnsi="Times New Roman" w:cs="Times New Roman"/>
        </w:rPr>
      </w:pPr>
    </w:p>
    <w:p w14:paraId="1965DCA2" w14:textId="77777777" w:rsidR="00B969AA" w:rsidRPr="00522BEC" w:rsidRDefault="00B969AA" w:rsidP="00522BEC">
      <w:pPr>
        <w:keepNext/>
        <w:keepLines/>
        <w:suppressAutoHyphens/>
        <w:spacing w:before="120" w:line="300" w:lineRule="auto"/>
        <w:jc w:val="center"/>
        <w:rPr>
          <w:rFonts w:ascii="Times New Roman" w:hAnsi="Times New Roman" w:cs="Times New Roman"/>
        </w:rPr>
      </w:pPr>
    </w:p>
    <w:p w14:paraId="73CDE19B" w14:textId="77777777" w:rsidR="00B969AA" w:rsidRPr="00522BEC" w:rsidRDefault="00B969AA" w:rsidP="00522BEC">
      <w:pPr>
        <w:keepNext/>
        <w:keepLines/>
        <w:suppressAutoHyphens/>
        <w:spacing w:before="120" w:line="300" w:lineRule="auto"/>
        <w:jc w:val="center"/>
        <w:rPr>
          <w:rFonts w:ascii="Times New Roman" w:hAnsi="Times New Roman" w:cs="Times New Roman"/>
        </w:rPr>
      </w:pPr>
    </w:p>
    <w:p w14:paraId="3C54DE56" w14:textId="77777777" w:rsidR="00B969AA" w:rsidRPr="00522BEC" w:rsidRDefault="00B969AA" w:rsidP="00522BEC">
      <w:pPr>
        <w:keepNext/>
        <w:keepLines/>
        <w:suppressAutoHyphens/>
        <w:spacing w:before="120" w:line="300" w:lineRule="auto"/>
        <w:jc w:val="center"/>
        <w:rPr>
          <w:rFonts w:ascii="Times New Roman" w:hAnsi="Times New Roman" w:cs="Times New Roman"/>
        </w:rPr>
      </w:pPr>
    </w:p>
    <w:p w14:paraId="1EE259CB" w14:textId="77777777" w:rsidR="00B969AA" w:rsidRPr="00522BEC" w:rsidRDefault="00B969AA" w:rsidP="00522BEC">
      <w:pPr>
        <w:keepNext/>
        <w:keepLines/>
        <w:suppressAutoHyphens/>
        <w:spacing w:before="120" w:line="300" w:lineRule="auto"/>
        <w:jc w:val="center"/>
        <w:rPr>
          <w:rFonts w:ascii="Times New Roman" w:hAnsi="Times New Roman" w:cs="Times New Roman"/>
        </w:rPr>
      </w:pPr>
    </w:p>
    <w:p w14:paraId="6C9B7E56" w14:textId="77777777" w:rsidR="00B969AA" w:rsidRPr="00522BEC" w:rsidRDefault="00B969AA" w:rsidP="00522BEC">
      <w:pPr>
        <w:keepNext/>
        <w:keepLines/>
        <w:suppressAutoHyphens/>
        <w:spacing w:before="120" w:line="300" w:lineRule="auto"/>
        <w:jc w:val="center"/>
        <w:rPr>
          <w:rFonts w:ascii="Times New Roman" w:hAnsi="Times New Roman" w:cs="Times New Roman"/>
        </w:rPr>
      </w:pPr>
    </w:p>
    <w:p w14:paraId="244A8EEC" w14:textId="77777777" w:rsidR="00B969AA" w:rsidRPr="00522BEC" w:rsidRDefault="00B969AA" w:rsidP="00522BEC">
      <w:pPr>
        <w:keepNext/>
        <w:keepLines/>
        <w:suppressAutoHyphens/>
        <w:spacing w:before="120" w:line="300" w:lineRule="auto"/>
        <w:jc w:val="center"/>
        <w:rPr>
          <w:rFonts w:ascii="Times New Roman" w:hAnsi="Times New Roman" w:cs="Times New Roman"/>
        </w:rPr>
      </w:pPr>
    </w:p>
    <w:p w14:paraId="5B59B9F1" w14:textId="77777777" w:rsidR="00B969AA" w:rsidRPr="00522BEC" w:rsidRDefault="00B969AA" w:rsidP="00522BEC">
      <w:pPr>
        <w:keepNext/>
        <w:keepLines/>
        <w:suppressAutoHyphens/>
        <w:spacing w:before="120" w:line="300" w:lineRule="auto"/>
        <w:jc w:val="center"/>
        <w:rPr>
          <w:rFonts w:ascii="Times New Roman" w:hAnsi="Times New Roman" w:cs="Times New Roman"/>
        </w:rPr>
      </w:pPr>
    </w:p>
    <w:p w14:paraId="1C3F33F6" w14:textId="77777777" w:rsidR="00276FCC" w:rsidRPr="00522BEC" w:rsidRDefault="00276FCC" w:rsidP="00522BEC">
      <w:pPr>
        <w:keepNext/>
        <w:keepLines/>
        <w:tabs>
          <w:tab w:val="left" w:pos="0"/>
        </w:tabs>
        <w:suppressAutoHyphens/>
        <w:autoSpaceDE w:val="0"/>
        <w:autoSpaceDN w:val="0"/>
        <w:adjustRightInd w:val="0"/>
        <w:spacing w:before="120" w:line="300" w:lineRule="auto"/>
        <w:jc w:val="center"/>
        <w:rPr>
          <w:rFonts w:ascii="Times New Roman" w:eastAsia="Times New Roman" w:hAnsi="Times New Roman" w:cs="Times New Roman"/>
          <w:sz w:val="20"/>
          <w:szCs w:val="20"/>
          <w:lang w:eastAsia="fr-FR"/>
        </w:rPr>
      </w:pPr>
    </w:p>
    <w:p w14:paraId="3FB91CF0" w14:textId="77777777" w:rsidR="00F21CE4" w:rsidRPr="002B005F" w:rsidRDefault="00B969AA" w:rsidP="00522BEC">
      <w:pPr>
        <w:keepNext/>
        <w:keepLines/>
        <w:tabs>
          <w:tab w:val="left" w:pos="0"/>
        </w:tabs>
        <w:suppressAutoHyphens/>
        <w:autoSpaceDE w:val="0"/>
        <w:autoSpaceDN w:val="0"/>
        <w:adjustRightInd w:val="0"/>
        <w:spacing w:before="120" w:line="300" w:lineRule="auto"/>
        <w:jc w:val="center"/>
        <w:rPr>
          <w:rFonts w:ascii="Times New Roman" w:hAnsi="Times New Roman" w:cs="Times New Roman"/>
          <w:spacing w:val="-6"/>
          <w:sz w:val="24"/>
          <w:szCs w:val="24"/>
        </w:rPr>
      </w:pPr>
      <w:r w:rsidRPr="00522BEC">
        <w:rPr>
          <w:rFonts w:ascii="Times New Roman" w:eastAsia="Times New Roman" w:hAnsi="Times New Roman" w:cs="Times New Roman"/>
          <w:sz w:val="20"/>
          <w:szCs w:val="20"/>
          <w:lang w:eastAsia="fr-FR"/>
        </w:rPr>
        <w:t xml:space="preserve">Source : </w:t>
      </w:r>
      <w:hyperlink r:id="rId28" w:history="1">
        <w:r w:rsidRPr="00522BEC">
          <w:rPr>
            <w:rFonts w:ascii="Times New Roman" w:eastAsia="Times New Roman" w:hAnsi="Times New Roman" w:cs="Times New Roman"/>
            <w:color w:val="0000FF"/>
            <w:sz w:val="20"/>
            <w:szCs w:val="20"/>
            <w:u w:val="single"/>
            <w:lang w:eastAsia="fr-FR"/>
          </w:rPr>
          <w:t>https://www.linkedin.com/pulse/les-contrats-standards-de-la-finance-</w:t>
        </w:r>
        <w:r w:rsidR="00505EDD" w:rsidRPr="00522BEC">
          <w:rPr>
            <w:rFonts w:ascii="Times New Roman" w:eastAsia="Times New Roman" w:hAnsi="Times New Roman" w:cs="Times New Roman"/>
            <w:color w:val="0000FF"/>
            <w:sz w:val="20"/>
            <w:szCs w:val="20"/>
            <w:u w:val="single"/>
            <w:lang w:eastAsia="fr-FR"/>
          </w:rPr>
          <w:t>i</w:t>
        </w:r>
        <w:r w:rsidR="003773C6" w:rsidRPr="00522BEC">
          <w:rPr>
            <w:rFonts w:ascii="Times New Roman" w:eastAsia="Times New Roman" w:hAnsi="Times New Roman" w:cs="Times New Roman"/>
            <w:color w:val="0000FF"/>
            <w:sz w:val="20"/>
            <w:szCs w:val="20"/>
            <w:u w:val="single"/>
            <w:lang w:eastAsia="fr-FR"/>
          </w:rPr>
          <w:t>slamique</w:t>
        </w:r>
        <w:r w:rsidRPr="00522BEC">
          <w:rPr>
            <w:rFonts w:ascii="Times New Roman" w:eastAsia="Times New Roman" w:hAnsi="Times New Roman" w:cs="Times New Roman"/>
            <w:color w:val="0000FF"/>
            <w:sz w:val="20"/>
            <w:szCs w:val="20"/>
            <w:u w:val="single"/>
            <w:lang w:eastAsia="fr-FR"/>
          </w:rPr>
          <w:t>-abdelhak-bounjoum?trk=portfolio_article-card_title</w:t>
        </w:r>
      </w:hyperlink>
      <w:r w:rsidRPr="002B005F">
        <w:rPr>
          <w:rFonts w:ascii="Times New Roman" w:eastAsia="Times New Roman" w:hAnsi="Times New Roman" w:cs="Times New Roman"/>
          <w:sz w:val="20"/>
          <w:szCs w:val="20"/>
          <w:lang w:eastAsia="fr-FR"/>
        </w:rPr>
        <w:t xml:space="preserve">, </w:t>
      </w:r>
      <w:r w:rsidR="000A0012" w:rsidRPr="002B005F">
        <w:rPr>
          <w:rFonts w:ascii="Times New Roman" w:eastAsia="Times New Roman" w:hAnsi="Times New Roman" w:cs="Times New Roman"/>
          <w:sz w:val="20"/>
          <w:szCs w:val="20"/>
          <w:lang w:eastAsia="fr-FR"/>
        </w:rPr>
        <w:t>Publiée le 17 mai</w:t>
      </w:r>
      <w:r w:rsidR="005C7FAF" w:rsidRPr="002B005F">
        <w:rPr>
          <w:rFonts w:ascii="Times New Roman" w:eastAsia="Times New Roman" w:hAnsi="Times New Roman" w:cs="Times New Roman"/>
          <w:sz w:val="20"/>
          <w:szCs w:val="20"/>
          <w:lang w:eastAsia="fr-FR"/>
        </w:rPr>
        <w:t xml:space="preserve"> 2019.</w:t>
      </w:r>
    </w:p>
    <w:p w14:paraId="2516B8FB" w14:textId="77777777" w:rsidR="00522BEC" w:rsidRDefault="00522BEC" w:rsidP="00522BEC">
      <w:pPr>
        <w:widowControl w:val="0"/>
        <w:tabs>
          <w:tab w:val="left" w:pos="0"/>
        </w:tabs>
        <w:autoSpaceDE w:val="0"/>
        <w:autoSpaceDN w:val="0"/>
        <w:adjustRightInd w:val="0"/>
        <w:spacing w:line="240" w:lineRule="auto"/>
        <w:ind w:firstLine="709"/>
        <w:rPr>
          <w:rFonts w:ascii="Times New Roman" w:hAnsi="Times New Roman" w:cs="Times New Roman"/>
          <w:kern w:val="24"/>
          <w:sz w:val="24"/>
          <w:szCs w:val="24"/>
        </w:rPr>
      </w:pPr>
    </w:p>
    <w:p w14:paraId="3B980259" w14:textId="4BA21BF1" w:rsidR="00F21CE4" w:rsidRPr="007C559B" w:rsidRDefault="00F21CE4" w:rsidP="007C559B">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Donc, c'est une technique de financement par laquelle l'une des parties (</w:t>
      </w:r>
      <w:r w:rsidRPr="007C559B">
        <w:rPr>
          <w:rFonts w:ascii="Times New Roman" w:hAnsi="Times New Roman" w:cs="Times New Roman"/>
          <w:i/>
          <w:iCs/>
          <w:kern w:val="24"/>
          <w:sz w:val="24"/>
          <w:szCs w:val="24"/>
        </w:rPr>
        <w:t>moustasni’</w:t>
      </w:r>
      <w:r w:rsidRPr="007C559B">
        <w:rPr>
          <w:rFonts w:ascii="Times New Roman" w:hAnsi="Times New Roman" w:cs="Times New Roman"/>
          <w:kern w:val="24"/>
          <w:sz w:val="24"/>
          <w:szCs w:val="24"/>
        </w:rPr>
        <w:t>) demande à une autre partie (</w:t>
      </w:r>
      <w:r w:rsidRPr="007C559B">
        <w:rPr>
          <w:rFonts w:ascii="Times New Roman" w:hAnsi="Times New Roman" w:cs="Times New Roman"/>
          <w:i/>
          <w:iCs/>
          <w:kern w:val="24"/>
          <w:sz w:val="24"/>
          <w:szCs w:val="24"/>
        </w:rPr>
        <w:t>sani’</w:t>
      </w:r>
      <w:r w:rsidRPr="007C559B">
        <w:rPr>
          <w:rFonts w:ascii="Times New Roman" w:hAnsi="Times New Roman" w:cs="Times New Roman"/>
          <w:kern w:val="24"/>
          <w:sz w:val="24"/>
          <w:szCs w:val="24"/>
        </w:rPr>
        <w:t>) de lui fabriquer ou construire un bien moyennant une rémunération fixée. Ce contrat est souvent utilisé pour le financement de projets dans plusieurs secteurs tels que la construction d’infrastructures, l’industrie aéronautique ou navale.</w:t>
      </w:r>
    </w:p>
    <w:p w14:paraId="519EDE08" w14:textId="77777777" w:rsidR="002760B2" w:rsidRPr="007C559B" w:rsidRDefault="002760B2" w:rsidP="007C559B">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Le contrat </w:t>
      </w:r>
      <w:r w:rsidR="002C67F4" w:rsidRPr="007C559B">
        <w:rPr>
          <w:rFonts w:ascii="Times New Roman" w:hAnsi="Times New Roman" w:cs="Times New Roman"/>
          <w:i/>
          <w:kern w:val="24"/>
          <w:sz w:val="24"/>
          <w:szCs w:val="24"/>
        </w:rPr>
        <w:t>istisna’</w:t>
      </w:r>
      <w:r w:rsidRPr="007C559B">
        <w:rPr>
          <w:rFonts w:ascii="Times New Roman" w:hAnsi="Times New Roman" w:cs="Times New Roman"/>
          <w:i/>
          <w:kern w:val="24"/>
          <w:sz w:val="24"/>
          <w:szCs w:val="24"/>
        </w:rPr>
        <w:t xml:space="preserve"> </w:t>
      </w:r>
      <w:r w:rsidRPr="007C559B">
        <w:rPr>
          <w:rFonts w:ascii="Times New Roman" w:hAnsi="Times New Roman" w:cs="Times New Roman"/>
          <w:kern w:val="24"/>
          <w:sz w:val="24"/>
          <w:szCs w:val="24"/>
        </w:rPr>
        <w:t xml:space="preserve">ressemble au contrat </w:t>
      </w:r>
      <w:r w:rsidRPr="007C559B">
        <w:rPr>
          <w:rFonts w:ascii="Times New Roman" w:hAnsi="Times New Roman" w:cs="Times New Roman"/>
          <w:i/>
          <w:kern w:val="24"/>
          <w:sz w:val="24"/>
          <w:szCs w:val="24"/>
        </w:rPr>
        <w:t>salam</w:t>
      </w:r>
      <w:r w:rsidRPr="007C559B">
        <w:rPr>
          <w:rFonts w:ascii="Times New Roman" w:hAnsi="Times New Roman" w:cs="Times New Roman"/>
          <w:kern w:val="24"/>
          <w:sz w:val="24"/>
          <w:szCs w:val="24"/>
        </w:rPr>
        <w:t xml:space="preserve"> puisqu’il est également relatif au financement d’un bien qui n’existe pas au moment de la signature du contrat mais il porte non sur la livraison de produits marchands courants mais sur la livraison de biens à manufacturer ou à construire selon les spécifications fournies par l’acheteur. D’ailleurs, le prix n’est pas payé en totalité au moment de la vente, ni même à l’avance. Le paiement s’effectue plutôt en fonction de l’avancement du projet. À la fin, le constructeur livre la marchandise à la banque qui la transfère à son client lequel règle celle-ci selon les modalités convenues.</w:t>
      </w:r>
    </w:p>
    <w:p w14:paraId="56B8C09B" w14:textId="77777777" w:rsidR="002760B2" w:rsidRDefault="002760B2" w:rsidP="007C559B">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Pour que le contrat </w:t>
      </w:r>
      <w:r w:rsidR="002C67F4" w:rsidRPr="007C559B">
        <w:rPr>
          <w:rFonts w:ascii="Times New Roman" w:hAnsi="Times New Roman" w:cs="Times New Roman"/>
          <w:i/>
          <w:iCs/>
          <w:kern w:val="24"/>
          <w:sz w:val="24"/>
          <w:szCs w:val="24"/>
        </w:rPr>
        <w:t>istisna’</w:t>
      </w:r>
      <w:r w:rsidRPr="007C559B">
        <w:rPr>
          <w:rFonts w:ascii="Times New Roman" w:hAnsi="Times New Roman" w:cs="Times New Roman"/>
          <w:kern w:val="24"/>
          <w:sz w:val="24"/>
          <w:szCs w:val="24"/>
        </w:rPr>
        <w:t xml:space="preserve"> soit valide, la banque </w:t>
      </w:r>
      <w:r w:rsidR="00505EDD" w:rsidRPr="007C559B">
        <w:rPr>
          <w:rFonts w:ascii="Times New Roman" w:hAnsi="Times New Roman" w:cs="Times New Roman"/>
          <w:kern w:val="24"/>
          <w:sz w:val="24"/>
          <w:szCs w:val="24"/>
        </w:rPr>
        <w:t>i</w:t>
      </w:r>
      <w:r w:rsidR="003773C6" w:rsidRPr="007C559B">
        <w:rPr>
          <w:rFonts w:ascii="Times New Roman" w:hAnsi="Times New Roman" w:cs="Times New Roman"/>
          <w:kern w:val="24"/>
          <w:sz w:val="24"/>
          <w:szCs w:val="24"/>
        </w:rPr>
        <w:t>slamique</w:t>
      </w:r>
      <w:r w:rsidRPr="007C559B">
        <w:rPr>
          <w:rFonts w:ascii="Times New Roman" w:hAnsi="Times New Roman" w:cs="Times New Roman"/>
          <w:kern w:val="24"/>
          <w:sz w:val="24"/>
          <w:szCs w:val="24"/>
        </w:rPr>
        <w:t xml:space="preserve"> doit intervenir comme entrepreneur pour justifier sa rémunération, soit par une intervention directe ou par l'intermédiation d'un sous-traitant. Ainsi, le contrat doit préciser la nature, la quantité, la qualité et autres spécificités des bien à fabriquer et ceci pour éviter le </w:t>
      </w:r>
      <w:r w:rsidR="000B20C0" w:rsidRPr="007C559B">
        <w:rPr>
          <w:rFonts w:ascii="Times New Roman" w:hAnsi="Times New Roman" w:cs="Times New Roman"/>
          <w:i/>
          <w:kern w:val="24"/>
          <w:sz w:val="24"/>
          <w:szCs w:val="24"/>
        </w:rPr>
        <w:t>g</w:t>
      </w:r>
      <w:r w:rsidRPr="007C559B">
        <w:rPr>
          <w:rFonts w:ascii="Times New Roman" w:hAnsi="Times New Roman" w:cs="Times New Roman"/>
          <w:i/>
          <w:kern w:val="24"/>
          <w:sz w:val="24"/>
          <w:szCs w:val="24"/>
        </w:rPr>
        <w:t>harar</w:t>
      </w:r>
      <w:r w:rsidRPr="007C559B">
        <w:rPr>
          <w:rFonts w:ascii="Times New Roman" w:hAnsi="Times New Roman" w:cs="Times New Roman"/>
          <w:kern w:val="24"/>
          <w:sz w:val="24"/>
          <w:szCs w:val="24"/>
        </w:rPr>
        <w:t>.</w:t>
      </w:r>
    </w:p>
    <w:p w14:paraId="08C1E323" w14:textId="77777777" w:rsidR="002760B2" w:rsidRPr="007C559B" w:rsidRDefault="000A160A" w:rsidP="007F1103">
      <w:pPr>
        <w:pStyle w:val="Titre4"/>
        <w:keepNext w:val="0"/>
        <w:spacing w:before="100" w:beforeAutospacing="1" w:after="0" w:line="300" w:lineRule="auto"/>
        <w:ind w:firstLine="709"/>
        <w:rPr>
          <w:kern w:val="24"/>
        </w:rPr>
      </w:pPr>
      <w:bookmarkStart w:id="358" w:name="_Toc33263237"/>
      <w:bookmarkStart w:id="359" w:name="_Toc37664489"/>
      <w:bookmarkStart w:id="360" w:name="_Toc37666334"/>
      <w:bookmarkStart w:id="361" w:name="_Toc54363223"/>
      <w:bookmarkStart w:id="362" w:name="_Toc58606239"/>
      <w:bookmarkStart w:id="363" w:name="_Toc61263444"/>
      <w:bookmarkStart w:id="364" w:name="_Toc182298658"/>
      <w:r w:rsidRPr="007C559B">
        <w:rPr>
          <w:kern w:val="24"/>
        </w:rPr>
        <w:t xml:space="preserve">2.2.4- </w:t>
      </w:r>
      <w:r w:rsidR="002760B2" w:rsidRPr="007C559B">
        <w:rPr>
          <w:i/>
          <w:iCs/>
          <w:kern w:val="24"/>
        </w:rPr>
        <w:t xml:space="preserve">Ijara/ ijara wa </w:t>
      </w:r>
      <w:bookmarkEnd w:id="358"/>
      <w:bookmarkEnd w:id="359"/>
      <w:bookmarkEnd w:id="360"/>
      <w:bookmarkEnd w:id="361"/>
      <w:bookmarkEnd w:id="362"/>
      <w:r w:rsidR="007A11D7" w:rsidRPr="007C559B">
        <w:rPr>
          <w:i/>
          <w:iCs/>
          <w:kern w:val="24"/>
        </w:rPr>
        <w:t>iqtina</w:t>
      </w:r>
      <w:bookmarkEnd w:id="363"/>
      <w:bookmarkEnd w:id="364"/>
    </w:p>
    <w:p w14:paraId="11336D9D" w14:textId="77777777" w:rsidR="002760B2" w:rsidRPr="007C559B" w:rsidRDefault="002760B2" w:rsidP="007C559B">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L'</w:t>
      </w:r>
      <w:r w:rsidRPr="007C559B">
        <w:rPr>
          <w:rFonts w:ascii="Times New Roman" w:hAnsi="Times New Roman" w:cs="Times New Roman"/>
          <w:i/>
          <w:kern w:val="24"/>
          <w:sz w:val="24"/>
          <w:szCs w:val="24"/>
        </w:rPr>
        <w:t>ijara</w:t>
      </w:r>
      <w:r w:rsidR="00481B5E" w:rsidRPr="007C559B">
        <w:rPr>
          <w:rFonts w:ascii="Times New Roman" w:hAnsi="Times New Roman" w:cs="Times New Roman"/>
          <w:kern w:val="24"/>
          <w:sz w:val="24"/>
          <w:szCs w:val="24"/>
        </w:rPr>
        <w:t xml:space="preserve"> ressemble</w:t>
      </w:r>
      <w:r w:rsidRPr="007C559B">
        <w:rPr>
          <w:rFonts w:ascii="Times New Roman" w:hAnsi="Times New Roman" w:cs="Times New Roman"/>
          <w:kern w:val="24"/>
          <w:sz w:val="24"/>
          <w:szCs w:val="24"/>
        </w:rPr>
        <w:t xml:space="preserve"> en beau</w:t>
      </w:r>
      <w:r w:rsidR="00481B5E" w:rsidRPr="007C559B">
        <w:rPr>
          <w:rFonts w:ascii="Times New Roman" w:hAnsi="Times New Roman" w:cs="Times New Roman"/>
          <w:kern w:val="24"/>
          <w:sz w:val="24"/>
          <w:szCs w:val="24"/>
        </w:rPr>
        <w:t>coup de points à la technique du</w:t>
      </w:r>
      <w:r w:rsidRPr="007C559B">
        <w:rPr>
          <w:rFonts w:ascii="Times New Roman" w:hAnsi="Times New Roman" w:cs="Times New Roman"/>
          <w:kern w:val="24"/>
          <w:sz w:val="24"/>
          <w:szCs w:val="24"/>
        </w:rPr>
        <w:t xml:space="preserve"> leasing conventionnel. Ce contrat ne consiste pas à la vente d'un objet, mais à la vente de l'utilité de ce dernier pendant une période donnée. Cette techniq</w:t>
      </w:r>
      <w:r w:rsidR="006B091B" w:rsidRPr="007C559B">
        <w:rPr>
          <w:rFonts w:ascii="Times New Roman" w:hAnsi="Times New Roman" w:cs="Times New Roman"/>
          <w:kern w:val="24"/>
          <w:sz w:val="24"/>
          <w:szCs w:val="24"/>
        </w:rPr>
        <w:t>ue peut être définie comme</w:t>
      </w:r>
      <w:r w:rsidRPr="007C559B">
        <w:rPr>
          <w:rFonts w:ascii="Times New Roman" w:hAnsi="Times New Roman" w:cs="Times New Roman"/>
          <w:kern w:val="24"/>
          <w:sz w:val="24"/>
          <w:szCs w:val="24"/>
        </w:rPr>
        <w:t> : « </w:t>
      </w:r>
      <w:r w:rsidRPr="007C559B">
        <w:rPr>
          <w:rFonts w:ascii="Times New Roman" w:hAnsi="Times New Roman" w:cs="Times New Roman"/>
          <w:i/>
          <w:iCs/>
          <w:kern w:val="24"/>
          <w:sz w:val="24"/>
          <w:szCs w:val="24"/>
        </w:rPr>
        <w:t xml:space="preserve">un contrat dans lequel la banque achète un actif fixe et tangible (bien immobilier, machine, outil, voiture...) qu’elle loue </w:t>
      </w:r>
      <w:r w:rsidRPr="007C559B">
        <w:rPr>
          <w:rFonts w:ascii="Times New Roman" w:hAnsi="Times New Roman" w:cs="Times New Roman"/>
          <w:i/>
          <w:iCs/>
          <w:kern w:val="24"/>
          <w:sz w:val="24"/>
          <w:szCs w:val="24"/>
        </w:rPr>
        <w:lastRenderedPageBreak/>
        <w:t>à une entreprise en contrepartie d'un loyer périodique prédéterminé contractuellement</w:t>
      </w:r>
      <w:r w:rsidRPr="007C559B">
        <w:rPr>
          <w:rFonts w:ascii="Times New Roman" w:hAnsi="Times New Roman" w:cs="Times New Roman"/>
          <w:kern w:val="24"/>
          <w:sz w:val="24"/>
          <w:szCs w:val="24"/>
        </w:rPr>
        <w:t> »</w:t>
      </w:r>
      <w:r w:rsidRPr="007C559B">
        <w:rPr>
          <w:rStyle w:val="Appelnotedebasdep"/>
          <w:rFonts w:ascii="Times New Roman" w:hAnsi="Times New Roman"/>
          <w:kern w:val="24"/>
          <w:sz w:val="24"/>
          <w:szCs w:val="24"/>
        </w:rPr>
        <w:footnoteReference w:id="116"/>
      </w:r>
      <w:r w:rsidRPr="007C559B">
        <w:rPr>
          <w:rFonts w:ascii="Times New Roman" w:hAnsi="Times New Roman" w:cs="Times New Roman"/>
          <w:kern w:val="24"/>
          <w:sz w:val="24"/>
          <w:szCs w:val="24"/>
        </w:rPr>
        <w:t>.</w:t>
      </w:r>
    </w:p>
    <w:p w14:paraId="7D00E6D7" w14:textId="3FC03CB7" w:rsidR="002E3099" w:rsidRPr="002E3099" w:rsidRDefault="002E3099" w:rsidP="007C559B">
      <w:pPr>
        <w:pStyle w:val="Lgende"/>
        <w:spacing w:before="100" w:beforeAutospacing="1" w:after="120"/>
        <w:jc w:val="center"/>
        <w:rPr>
          <w:rFonts w:asciiTheme="majorBidi" w:hAnsiTheme="majorBidi" w:cstheme="majorBidi"/>
          <w:color w:val="auto"/>
          <w:sz w:val="24"/>
          <w:szCs w:val="24"/>
        </w:rPr>
      </w:pPr>
      <w:bookmarkStart w:id="365" w:name="_Toc115527420"/>
      <w:r w:rsidRPr="002E3099">
        <w:rPr>
          <w:rFonts w:asciiTheme="majorBidi" w:hAnsiTheme="majorBidi" w:cstheme="majorBidi"/>
          <w:color w:val="auto"/>
          <w:sz w:val="24"/>
          <w:szCs w:val="24"/>
        </w:rPr>
        <w:t xml:space="preserve">Figure </w:t>
      </w:r>
      <w:r w:rsidR="00B544E5">
        <w:rPr>
          <w:rFonts w:asciiTheme="majorBidi" w:hAnsiTheme="majorBidi" w:cstheme="majorBidi"/>
          <w:color w:val="auto"/>
          <w:sz w:val="24"/>
          <w:szCs w:val="24"/>
        </w:rPr>
        <w:fldChar w:fldCharType="begin"/>
      </w:r>
      <w:r w:rsidR="00BF1EB6">
        <w:rPr>
          <w:rFonts w:asciiTheme="majorBidi" w:hAnsiTheme="majorBidi" w:cstheme="majorBidi"/>
          <w:color w:val="auto"/>
          <w:sz w:val="24"/>
          <w:szCs w:val="24"/>
        </w:rPr>
        <w:instrText xml:space="preserve"> SEQ Figure \* ARABIC </w:instrText>
      </w:r>
      <w:r w:rsidR="00B544E5">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9</w:t>
      </w:r>
      <w:r w:rsidR="00B544E5">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Pr="002E3099">
        <w:rPr>
          <w:rFonts w:asciiTheme="majorBidi" w:hAnsiTheme="majorBidi" w:cstheme="majorBidi"/>
          <w:color w:val="auto"/>
          <w:sz w:val="24"/>
          <w:szCs w:val="24"/>
        </w:rPr>
        <w:t xml:space="preserve">Le contrat </w:t>
      </w:r>
      <w:r w:rsidRPr="00120365">
        <w:rPr>
          <w:rFonts w:asciiTheme="majorBidi" w:hAnsiTheme="majorBidi" w:cstheme="majorBidi"/>
          <w:i/>
          <w:iCs/>
          <w:color w:val="auto"/>
          <w:sz w:val="24"/>
          <w:szCs w:val="24"/>
        </w:rPr>
        <w:t>ijara</w:t>
      </w:r>
      <w:bookmarkEnd w:id="365"/>
    </w:p>
    <w:p w14:paraId="26A4B8E6" w14:textId="77777777" w:rsidR="00481B5E" w:rsidRPr="007C559B" w:rsidRDefault="006B091B" w:rsidP="007C559B">
      <w:pPr>
        <w:keepNext/>
        <w:tabs>
          <w:tab w:val="left" w:pos="0"/>
        </w:tabs>
        <w:autoSpaceDE w:val="0"/>
        <w:autoSpaceDN w:val="0"/>
        <w:adjustRightInd w:val="0"/>
        <w:spacing w:before="120" w:line="300" w:lineRule="auto"/>
        <w:jc w:val="center"/>
        <w:rPr>
          <w:rFonts w:ascii="Times New Roman" w:hAnsi="Times New Roman" w:cs="Times New Roman"/>
          <w:kern w:val="24"/>
          <w:sz w:val="24"/>
          <w:szCs w:val="24"/>
        </w:rPr>
      </w:pPr>
      <w:r w:rsidRPr="007C559B">
        <w:rPr>
          <w:rFonts w:ascii="Times New Roman" w:hAnsi="Times New Roman" w:cs="Times New Roman"/>
          <w:noProof/>
          <w:kern w:val="24"/>
          <w:sz w:val="24"/>
          <w:szCs w:val="24"/>
          <w:lang w:eastAsia="fr-FR"/>
        </w:rPr>
        <w:drawing>
          <wp:anchor distT="0" distB="0" distL="114300" distR="114300" simplePos="0" relativeHeight="251511808" behindDoc="0" locked="1" layoutInCell="1" allowOverlap="0" wp14:anchorId="5FAECCBB" wp14:editId="02183E2D">
            <wp:simplePos x="0" y="0"/>
            <wp:positionH relativeFrom="margin">
              <wp:posOffset>360045</wp:posOffset>
            </wp:positionH>
            <wp:positionV relativeFrom="paragraph">
              <wp:posOffset>27305</wp:posOffset>
            </wp:positionV>
            <wp:extent cx="5039995" cy="2679700"/>
            <wp:effectExtent l="0" t="0" r="0" b="0"/>
            <wp:wrapNone/>
            <wp:docPr id="24" name="Image 10" descr="C:\Users\hP\Pictures\Nouvelle 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Nouvelle image (8).pn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contrast="40000"/>
                              </a14:imgEffect>
                            </a14:imgLayer>
                          </a14:imgProps>
                        </a:ext>
                      </a:extLst>
                    </a:blip>
                    <a:srcRect t="1835" b="2141"/>
                    <a:stretch>
                      <a:fillRect/>
                    </a:stretch>
                  </pic:blipFill>
                  <pic:spPr bwMode="auto">
                    <a:xfrm>
                      <a:off x="0" y="0"/>
                      <a:ext cx="5039995" cy="267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560D86" w14:textId="77777777" w:rsidR="00481B5E" w:rsidRDefault="00481B5E" w:rsidP="007C559B">
      <w:pPr>
        <w:keepNext/>
        <w:tabs>
          <w:tab w:val="left" w:pos="0"/>
        </w:tabs>
        <w:autoSpaceDE w:val="0"/>
        <w:autoSpaceDN w:val="0"/>
        <w:adjustRightInd w:val="0"/>
        <w:spacing w:before="120" w:line="300" w:lineRule="auto"/>
        <w:jc w:val="center"/>
        <w:rPr>
          <w:rFonts w:ascii="Times New Roman" w:hAnsi="Times New Roman" w:cs="Times New Roman"/>
          <w:kern w:val="24"/>
          <w:sz w:val="24"/>
          <w:szCs w:val="24"/>
        </w:rPr>
      </w:pPr>
    </w:p>
    <w:p w14:paraId="2BC23B89" w14:textId="77777777" w:rsidR="00120365" w:rsidRPr="007C559B" w:rsidRDefault="00120365" w:rsidP="007C559B">
      <w:pPr>
        <w:keepNext/>
        <w:tabs>
          <w:tab w:val="left" w:pos="0"/>
        </w:tabs>
        <w:autoSpaceDE w:val="0"/>
        <w:autoSpaceDN w:val="0"/>
        <w:adjustRightInd w:val="0"/>
        <w:spacing w:before="120" w:line="300" w:lineRule="auto"/>
        <w:jc w:val="center"/>
        <w:rPr>
          <w:rFonts w:ascii="Times New Roman" w:hAnsi="Times New Roman" w:cs="Times New Roman"/>
          <w:kern w:val="24"/>
          <w:sz w:val="24"/>
          <w:szCs w:val="24"/>
        </w:rPr>
      </w:pPr>
    </w:p>
    <w:p w14:paraId="38518979" w14:textId="77777777" w:rsidR="00481B5E" w:rsidRPr="007C559B" w:rsidRDefault="00481B5E" w:rsidP="007C559B">
      <w:pPr>
        <w:keepNext/>
        <w:tabs>
          <w:tab w:val="left" w:pos="0"/>
        </w:tabs>
        <w:autoSpaceDE w:val="0"/>
        <w:autoSpaceDN w:val="0"/>
        <w:adjustRightInd w:val="0"/>
        <w:spacing w:before="120" w:line="300" w:lineRule="auto"/>
        <w:jc w:val="center"/>
        <w:rPr>
          <w:rFonts w:ascii="Times New Roman" w:hAnsi="Times New Roman" w:cs="Times New Roman"/>
          <w:kern w:val="24"/>
          <w:sz w:val="24"/>
          <w:szCs w:val="24"/>
        </w:rPr>
      </w:pPr>
    </w:p>
    <w:p w14:paraId="2B13BED9" w14:textId="77777777" w:rsidR="00481B5E" w:rsidRPr="007C559B" w:rsidRDefault="00481B5E" w:rsidP="007C559B">
      <w:pPr>
        <w:keepNext/>
        <w:tabs>
          <w:tab w:val="left" w:pos="0"/>
        </w:tabs>
        <w:autoSpaceDE w:val="0"/>
        <w:autoSpaceDN w:val="0"/>
        <w:adjustRightInd w:val="0"/>
        <w:spacing w:before="120" w:line="300" w:lineRule="auto"/>
        <w:jc w:val="center"/>
        <w:rPr>
          <w:rFonts w:ascii="Times New Roman" w:hAnsi="Times New Roman" w:cs="Times New Roman"/>
          <w:kern w:val="24"/>
          <w:sz w:val="24"/>
          <w:szCs w:val="24"/>
        </w:rPr>
      </w:pPr>
    </w:p>
    <w:p w14:paraId="2F8D6725" w14:textId="77777777" w:rsidR="00481B5E" w:rsidRPr="007C559B" w:rsidRDefault="00481B5E" w:rsidP="007C559B">
      <w:pPr>
        <w:keepNext/>
        <w:tabs>
          <w:tab w:val="left" w:pos="0"/>
        </w:tabs>
        <w:autoSpaceDE w:val="0"/>
        <w:autoSpaceDN w:val="0"/>
        <w:adjustRightInd w:val="0"/>
        <w:spacing w:before="120" w:line="300" w:lineRule="auto"/>
        <w:jc w:val="center"/>
        <w:rPr>
          <w:rFonts w:ascii="Times New Roman" w:hAnsi="Times New Roman" w:cs="Times New Roman"/>
          <w:kern w:val="24"/>
          <w:sz w:val="24"/>
          <w:szCs w:val="24"/>
        </w:rPr>
      </w:pPr>
    </w:p>
    <w:p w14:paraId="5EBAC7E3" w14:textId="77777777" w:rsidR="00481B5E" w:rsidRPr="007C559B" w:rsidRDefault="00481B5E" w:rsidP="007C559B">
      <w:pPr>
        <w:keepNext/>
        <w:tabs>
          <w:tab w:val="left" w:pos="0"/>
        </w:tabs>
        <w:autoSpaceDE w:val="0"/>
        <w:autoSpaceDN w:val="0"/>
        <w:adjustRightInd w:val="0"/>
        <w:spacing w:before="120" w:line="300" w:lineRule="auto"/>
        <w:jc w:val="center"/>
        <w:rPr>
          <w:rFonts w:ascii="Times New Roman" w:hAnsi="Times New Roman" w:cs="Times New Roman"/>
          <w:kern w:val="24"/>
          <w:sz w:val="24"/>
          <w:szCs w:val="24"/>
        </w:rPr>
      </w:pPr>
    </w:p>
    <w:p w14:paraId="3E933A50" w14:textId="77777777" w:rsidR="00481B5E" w:rsidRPr="007C559B" w:rsidRDefault="00481B5E" w:rsidP="007C559B">
      <w:pPr>
        <w:keepNext/>
        <w:tabs>
          <w:tab w:val="left" w:pos="0"/>
        </w:tabs>
        <w:autoSpaceDE w:val="0"/>
        <w:autoSpaceDN w:val="0"/>
        <w:adjustRightInd w:val="0"/>
        <w:spacing w:before="120" w:line="300" w:lineRule="auto"/>
        <w:jc w:val="center"/>
        <w:rPr>
          <w:rFonts w:ascii="Times New Roman" w:hAnsi="Times New Roman" w:cs="Times New Roman"/>
          <w:kern w:val="24"/>
          <w:sz w:val="24"/>
          <w:szCs w:val="24"/>
        </w:rPr>
      </w:pPr>
    </w:p>
    <w:p w14:paraId="3130E9A7" w14:textId="77777777" w:rsidR="00481B5E" w:rsidRPr="007C559B" w:rsidRDefault="00481B5E" w:rsidP="007C559B">
      <w:pPr>
        <w:keepNext/>
        <w:tabs>
          <w:tab w:val="left" w:pos="0"/>
        </w:tabs>
        <w:autoSpaceDE w:val="0"/>
        <w:autoSpaceDN w:val="0"/>
        <w:adjustRightInd w:val="0"/>
        <w:spacing w:before="120" w:line="300" w:lineRule="auto"/>
        <w:jc w:val="center"/>
        <w:rPr>
          <w:rFonts w:ascii="Times New Roman" w:hAnsi="Times New Roman" w:cs="Times New Roman"/>
          <w:kern w:val="24"/>
          <w:sz w:val="24"/>
          <w:szCs w:val="24"/>
        </w:rPr>
      </w:pPr>
    </w:p>
    <w:p w14:paraId="3C80764C" w14:textId="77777777" w:rsidR="00481B5E" w:rsidRPr="007C559B" w:rsidRDefault="00481B5E" w:rsidP="007C559B">
      <w:pPr>
        <w:keepNext/>
        <w:tabs>
          <w:tab w:val="left" w:pos="0"/>
        </w:tabs>
        <w:autoSpaceDE w:val="0"/>
        <w:autoSpaceDN w:val="0"/>
        <w:adjustRightInd w:val="0"/>
        <w:spacing w:before="120" w:line="300" w:lineRule="auto"/>
        <w:jc w:val="center"/>
        <w:rPr>
          <w:rFonts w:ascii="Times New Roman" w:hAnsi="Times New Roman" w:cs="Times New Roman"/>
          <w:kern w:val="24"/>
          <w:sz w:val="24"/>
          <w:szCs w:val="24"/>
        </w:rPr>
      </w:pPr>
    </w:p>
    <w:p w14:paraId="6D766223" w14:textId="77777777" w:rsidR="000A0012" w:rsidRPr="007C559B" w:rsidRDefault="000A0012" w:rsidP="007C559B">
      <w:pPr>
        <w:keepNext/>
        <w:tabs>
          <w:tab w:val="left" w:pos="0"/>
        </w:tabs>
        <w:autoSpaceDE w:val="0"/>
        <w:autoSpaceDN w:val="0"/>
        <w:adjustRightInd w:val="0"/>
        <w:spacing w:before="120" w:line="300" w:lineRule="auto"/>
        <w:jc w:val="center"/>
        <w:rPr>
          <w:rFonts w:ascii="Times New Roman" w:hAnsi="Times New Roman" w:cs="Times New Roman"/>
          <w:spacing w:val="-6"/>
          <w:sz w:val="20"/>
          <w:szCs w:val="20"/>
        </w:rPr>
      </w:pPr>
      <w:r w:rsidRPr="007C559B">
        <w:rPr>
          <w:rFonts w:ascii="Times New Roman" w:eastAsia="Times New Roman" w:hAnsi="Times New Roman" w:cs="Times New Roman"/>
          <w:kern w:val="24"/>
          <w:sz w:val="20"/>
          <w:szCs w:val="20"/>
          <w:lang w:eastAsia="fr-FR"/>
        </w:rPr>
        <w:t>S</w:t>
      </w:r>
      <w:r w:rsidRPr="007C559B">
        <w:rPr>
          <w:rFonts w:ascii="Times New Roman" w:eastAsia="Times New Roman" w:hAnsi="Times New Roman" w:cs="Times New Roman"/>
          <w:sz w:val="20"/>
          <w:szCs w:val="20"/>
          <w:lang w:eastAsia="fr-FR"/>
        </w:rPr>
        <w:t xml:space="preserve">ource : </w:t>
      </w:r>
      <w:hyperlink r:id="rId31" w:history="1">
        <w:r w:rsidRPr="007C559B">
          <w:rPr>
            <w:rFonts w:ascii="Times New Roman" w:eastAsia="Times New Roman" w:hAnsi="Times New Roman" w:cs="Times New Roman"/>
            <w:color w:val="0000FF"/>
            <w:sz w:val="20"/>
            <w:szCs w:val="20"/>
            <w:u w:val="single"/>
            <w:lang w:eastAsia="fr-FR"/>
          </w:rPr>
          <w:t>https://www.linkedin.com/pulse/les-contrats-standards-de-la-finance-</w:t>
        </w:r>
        <w:r w:rsidR="00505EDD" w:rsidRPr="007C559B">
          <w:rPr>
            <w:rFonts w:ascii="Times New Roman" w:eastAsia="Times New Roman" w:hAnsi="Times New Roman" w:cs="Times New Roman"/>
            <w:color w:val="0000FF"/>
            <w:sz w:val="20"/>
            <w:szCs w:val="20"/>
            <w:u w:val="single"/>
            <w:lang w:eastAsia="fr-FR"/>
          </w:rPr>
          <w:t>i</w:t>
        </w:r>
        <w:r w:rsidR="003773C6" w:rsidRPr="007C559B">
          <w:rPr>
            <w:rFonts w:ascii="Times New Roman" w:eastAsia="Times New Roman" w:hAnsi="Times New Roman" w:cs="Times New Roman"/>
            <w:color w:val="0000FF"/>
            <w:sz w:val="20"/>
            <w:szCs w:val="20"/>
            <w:u w:val="single"/>
            <w:lang w:eastAsia="fr-FR"/>
          </w:rPr>
          <w:t>slamique</w:t>
        </w:r>
        <w:r w:rsidRPr="007C559B">
          <w:rPr>
            <w:rFonts w:ascii="Times New Roman" w:eastAsia="Times New Roman" w:hAnsi="Times New Roman" w:cs="Times New Roman"/>
            <w:color w:val="0000FF"/>
            <w:sz w:val="20"/>
            <w:szCs w:val="20"/>
            <w:u w:val="single"/>
            <w:lang w:eastAsia="fr-FR"/>
          </w:rPr>
          <w:t>-abdelhak-bounjoum?trk=portfolio_article-card_title</w:t>
        </w:r>
      </w:hyperlink>
      <w:r w:rsidRPr="007C559B">
        <w:rPr>
          <w:rFonts w:ascii="Times New Roman" w:eastAsia="Times New Roman" w:hAnsi="Times New Roman" w:cs="Times New Roman"/>
          <w:sz w:val="20"/>
          <w:szCs w:val="20"/>
          <w:lang w:eastAsia="fr-FR"/>
        </w:rPr>
        <w:t>, Publiée le 17 mai 2019.</w:t>
      </w:r>
    </w:p>
    <w:p w14:paraId="0194BA1C" w14:textId="77777777" w:rsidR="007C559B" w:rsidRDefault="007C559B" w:rsidP="007C559B">
      <w:pPr>
        <w:widowControl w:val="0"/>
        <w:tabs>
          <w:tab w:val="left" w:pos="0"/>
        </w:tabs>
        <w:autoSpaceDE w:val="0"/>
        <w:autoSpaceDN w:val="0"/>
        <w:adjustRightInd w:val="0"/>
        <w:spacing w:line="300" w:lineRule="auto"/>
        <w:ind w:firstLine="709"/>
        <w:rPr>
          <w:rFonts w:ascii="Times New Roman" w:hAnsi="Times New Roman" w:cs="Times New Roman"/>
          <w:kern w:val="24"/>
          <w:sz w:val="24"/>
          <w:szCs w:val="24"/>
        </w:rPr>
      </w:pPr>
    </w:p>
    <w:p w14:paraId="719FCDFA" w14:textId="5AD391FF" w:rsidR="00481B5E" w:rsidRPr="00522BEC" w:rsidRDefault="00481B5E" w:rsidP="007C559B">
      <w:pPr>
        <w:widowControl w:val="0"/>
        <w:tabs>
          <w:tab w:val="left" w:pos="0"/>
        </w:tabs>
        <w:autoSpaceDE w:val="0"/>
        <w:autoSpaceDN w:val="0"/>
        <w:adjustRightInd w:val="0"/>
        <w:spacing w:line="300" w:lineRule="auto"/>
        <w:ind w:firstLine="709"/>
        <w:rPr>
          <w:rFonts w:ascii="Times New Roman" w:hAnsi="Times New Roman" w:cs="Times New Roman"/>
          <w:kern w:val="24"/>
          <w:sz w:val="24"/>
          <w:szCs w:val="24"/>
        </w:rPr>
      </w:pPr>
      <w:r w:rsidRPr="00522BEC">
        <w:rPr>
          <w:rFonts w:ascii="Times New Roman" w:hAnsi="Times New Roman" w:cs="Times New Roman"/>
          <w:kern w:val="24"/>
          <w:sz w:val="24"/>
          <w:szCs w:val="24"/>
        </w:rPr>
        <w:t>L</w:t>
      </w:r>
      <w:r w:rsidR="008B5153" w:rsidRPr="00522BEC">
        <w:rPr>
          <w:rFonts w:ascii="Times New Roman" w:hAnsi="Times New Roman" w:cs="Times New Roman"/>
          <w:kern w:val="24"/>
          <w:sz w:val="24"/>
          <w:szCs w:val="24"/>
        </w:rPr>
        <w:t>a formule de l</w:t>
      </w:r>
      <w:r w:rsidRPr="00522BEC">
        <w:rPr>
          <w:rFonts w:ascii="Times New Roman" w:hAnsi="Times New Roman" w:cs="Times New Roman"/>
          <w:kern w:val="24"/>
          <w:sz w:val="24"/>
          <w:szCs w:val="24"/>
        </w:rPr>
        <w:t>'</w:t>
      </w:r>
      <w:r w:rsidRPr="00522BEC">
        <w:rPr>
          <w:rFonts w:ascii="Times New Roman" w:hAnsi="Times New Roman" w:cs="Times New Roman"/>
          <w:i/>
          <w:kern w:val="24"/>
          <w:sz w:val="24"/>
          <w:szCs w:val="24"/>
        </w:rPr>
        <w:t>ijara</w:t>
      </w:r>
      <w:r w:rsidRPr="00522BEC">
        <w:rPr>
          <w:rFonts w:ascii="Times New Roman" w:hAnsi="Times New Roman" w:cs="Times New Roman"/>
          <w:kern w:val="24"/>
          <w:sz w:val="24"/>
          <w:szCs w:val="24"/>
        </w:rPr>
        <w:t xml:space="preserve"> </w:t>
      </w:r>
      <w:r w:rsidR="008B5153" w:rsidRPr="00522BEC">
        <w:rPr>
          <w:rFonts w:ascii="Times New Roman" w:hAnsi="Times New Roman" w:cs="Times New Roman"/>
          <w:kern w:val="24"/>
          <w:sz w:val="24"/>
          <w:szCs w:val="24"/>
        </w:rPr>
        <w:t xml:space="preserve">telle qu’illustrée sur la figure 9 </w:t>
      </w:r>
      <w:r w:rsidRPr="00522BEC">
        <w:rPr>
          <w:rFonts w:ascii="Times New Roman" w:hAnsi="Times New Roman" w:cs="Times New Roman"/>
          <w:kern w:val="24"/>
          <w:sz w:val="24"/>
          <w:szCs w:val="24"/>
        </w:rPr>
        <w:t>fait intervenir trois acteurs :</w:t>
      </w:r>
    </w:p>
    <w:p w14:paraId="1AADD401" w14:textId="77777777" w:rsidR="00481B5E" w:rsidRPr="00522BEC" w:rsidRDefault="00021BB2" w:rsidP="00CB0FF1">
      <w:pPr>
        <w:pStyle w:val="Paragraphedeliste"/>
        <w:widowControl w:val="0"/>
        <w:numPr>
          <w:ilvl w:val="0"/>
          <w:numId w:val="82"/>
        </w:numPr>
        <w:tabs>
          <w:tab w:val="left" w:pos="0"/>
        </w:tabs>
        <w:autoSpaceDE w:val="0"/>
        <w:autoSpaceDN w:val="0"/>
        <w:adjustRightInd w:val="0"/>
        <w:spacing w:before="60" w:line="300" w:lineRule="auto"/>
        <w:ind w:left="1135" w:hanging="284"/>
        <w:contextualSpacing w:val="0"/>
        <w:rPr>
          <w:rFonts w:ascii="Times New Roman" w:hAnsi="Times New Roman" w:cs="Times New Roman"/>
          <w:kern w:val="24"/>
          <w:sz w:val="24"/>
          <w:szCs w:val="24"/>
        </w:rPr>
      </w:pPr>
      <w:r w:rsidRPr="00522BEC">
        <w:rPr>
          <w:rFonts w:ascii="Times New Roman" w:hAnsi="Times New Roman" w:cs="Times New Roman"/>
          <w:kern w:val="24"/>
          <w:sz w:val="24"/>
          <w:szCs w:val="24"/>
        </w:rPr>
        <w:t>Le</w:t>
      </w:r>
      <w:r w:rsidR="00481B5E" w:rsidRPr="00522BEC">
        <w:rPr>
          <w:rFonts w:ascii="Times New Roman" w:hAnsi="Times New Roman" w:cs="Times New Roman"/>
          <w:kern w:val="24"/>
          <w:sz w:val="24"/>
          <w:szCs w:val="24"/>
        </w:rPr>
        <w:t xml:space="preserve"> fournisseur (vendeur ou fabricant),</w:t>
      </w:r>
    </w:p>
    <w:p w14:paraId="19AAD84C" w14:textId="77777777" w:rsidR="00481B5E" w:rsidRPr="00522BEC" w:rsidRDefault="00021BB2" w:rsidP="00CB0FF1">
      <w:pPr>
        <w:pStyle w:val="Paragraphedeliste"/>
        <w:widowControl w:val="0"/>
        <w:numPr>
          <w:ilvl w:val="0"/>
          <w:numId w:val="82"/>
        </w:numPr>
        <w:tabs>
          <w:tab w:val="left" w:pos="0"/>
        </w:tabs>
        <w:autoSpaceDE w:val="0"/>
        <w:autoSpaceDN w:val="0"/>
        <w:adjustRightInd w:val="0"/>
        <w:spacing w:before="60" w:line="300" w:lineRule="auto"/>
        <w:ind w:left="1135" w:hanging="284"/>
        <w:contextualSpacing w:val="0"/>
        <w:rPr>
          <w:rFonts w:ascii="Times New Roman" w:hAnsi="Times New Roman" w:cs="Times New Roman"/>
          <w:kern w:val="24"/>
          <w:sz w:val="24"/>
          <w:szCs w:val="24"/>
        </w:rPr>
      </w:pPr>
      <w:r w:rsidRPr="00522BEC">
        <w:rPr>
          <w:rFonts w:ascii="Times New Roman" w:hAnsi="Times New Roman" w:cs="Times New Roman"/>
          <w:kern w:val="24"/>
          <w:sz w:val="24"/>
          <w:szCs w:val="24"/>
        </w:rPr>
        <w:t>Le</w:t>
      </w:r>
      <w:r w:rsidR="00481B5E" w:rsidRPr="00522BEC">
        <w:rPr>
          <w:rFonts w:ascii="Times New Roman" w:hAnsi="Times New Roman" w:cs="Times New Roman"/>
          <w:kern w:val="24"/>
          <w:sz w:val="24"/>
          <w:szCs w:val="24"/>
        </w:rPr>
        <w:t xml:space="preserve"> bailleur de fonds (banque </w:t>
      </w:r>
      <w:r w:rsidR="00505EDD" w:rsidRPr="00522BEC">
        <w:rPr>
          <w:rFonts w:ascii="Times New Roman" w:hAnsi="Times New Roman" w:cs="Times New Roman"/>
          <w:kern w:val="24"/>
          <w:sz w:val="24"/>
          <w:szCs w:val="24"/>
        </w:rPr>
        <w:t>i</w:t>
      </w:r>
      <w:r w:rsidR="003773C6" w:rsidRPr="00522BEC">
        <w:rPr>
          <w:rFonts w:ascii="Times New Roman" w:hAnsi="Times New Roman" w:cs="Times New Roman"/>
          <w:kern w:val="24"/>
          <w:sz w:val="24"/>
          <w:szCs w:val="24"/>
        </w:rPr>
        <w:t>slamique</w:t>
      </w:r>
      <w:r w:rsidR="00481B5E" w:rsidRPr="00522BEC">
        <w:rPr>
          <w:rFonts w:ascii="Times New Roman" w:hAnsi="Times New Roman" w:cs="Times New Roman"/>
          <w:kern w:val="24"/>
          <w:sz w:val="24"/>
          <w:szCs w:val="24"/>
        </w:rPr>
        <w:t>) qui achète le bien pour le louer à son client),</w:t>
      </w:r>
    </w:p>
    <w:p w14:paraId="4A389C59" w14:textId="77777777" w:rsidR="00481B5E" w:rsidRPr="00522BEC" w:rsidRDefault="00021BB2" w:rsidP="00CB0FF1">
      <w:pPr>
        <w:pStyle w:val="Paragraphedeliste"/>
        <w:widowControl w:val="0"/>
        <w:numPr>
          <w:ilvl w:val="0"/>
          <w:numId w:val="82"/>
        </w:numPr>
        <w:tabs>
          <w:tab w:val="left" w:pos="0"/>
        </w:tabs>
        <w:autoSpaceDE w:val="0"/>
        <w:autoSpaceDN w:val="0"/>
        <w:adjustRightInd w:val="0"/>
        <w:spacing w:before="60" w:line="300" w:lineRule="auto"/>
        <w:ind w:left="1135" w:hanging="284"/>
        <w:contextualSpacing w:val="0"/>
        <w:rPr>
          <w:rFonts w:ascii="Times New Roman" w:hAnsi="Times New Roman" w:cs="Times New Roman"/>
          <w:kern w:val="24"/>
          <w:sz w:val="24"/>
          <w:szCs w:val="24"/>
        </w:rPr>
      </w:pPr>
      <w:r w:rsidRPr="00522BEC">
        <w:rPr>
          <w:rFonts w:ascii="Times New Roman" w:hAnsi="Times New Roman" w:cs="Times New Roman"/>
          <w:kern w:val="24"/>
          <w:sz w:val="24"/>
          <w:szCs w:val="24"/>
        </w:rPr>
        <w:t>Le</w:t>
      </w:r>
      <w:r w:rsidR="00481B5E" w:rsidRPr="00522BEC">
        <w:rPr>
          <w:rFonts w:ascii="Times New Roman" w:hAnsi="Times New Roman" w:cs="Times New Roman"/>
          <w:kern w:val="24"/>
          <w:sz w:val="24"/>
          <w:szCs w:val="24"/>
        </w:rPr>
        <w:t xml:space="preserve"> locataire (client) qui loue le bien.</w:t>
      </w:r>
    </w:p>
    <w:p w14:paraId="78D2D9C5" w14:textId="77777777" w:rsidR="00481B5E" w:rsidRPr="00522BEC" w:rsidRDefault="00481B5E" w:rsidP="00522BEC">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522BEC">
        <w:rPr>
          <w:rFonts w:ascii="Times New Roman" w:hAnsi="Times New Roman" w:cs="Times New Roman"/>
          <w:kern w:val="24"/>
          <w:sz w:val="24"/>
          <w:szCs w:val="24"/>
        </w:rPr>
        <w:t>C'est un contrat de location d'un bien pour une durée déterminée. D</w:t>
      </w:r>
      <w:r w:rsidR="00BC4A29" w:rsidRPr="00522BEC">
        <w:rPr>
          <w:rFonts w:ascii="Times New Roman" w:hAnsi="Times New Roman" w:cs="Times New Roman"/>
          <w:kern w:val="24"/>
          <w:sz w:val="24"/>
          <w:szCs w:val="24"/>
        </w:rPr>
        <w:t>ans le cas où la propriété du</w:t>
      </w:r>
      <w:r w:rsidRPr="00522BEC">
        <w:rPr>
          <w:rFonts w:ascii="Times New Roman" w:hAnsi="Times New Roman" w:cs="Times New Roman"/>
          <w:kern w:val="24"/>
          <w:sz w:val="24"/>
          <w:szCs w:val="24"/>
        </w:rPr>
        <w:t xml:space="preserve"> bien est transférée</w:t>
      </w:r>
      <w:r w:rsidR="00BC4A29" w:rsidRPr="00522BEC">
        <w:rPr>
          <w:rFonts w:ascii="Times New Roman" w:hAnsi="Times New Roman" w:cs="Times New Roman"/>
          <w:kern w:val="24"/>
          <w:sz w:val="24"/>
          <w:szCs w:val="24"/>
        </w:rPr>
        <w:t>,</w:t>
      </w:r>
      <w:r w:rsidRPr="00522BEC">
        <w:rPr>
          <w:rFonts w:ascii="Times New Roman" w:hAnsi="Times New Roman" w:cs="Times New Roman"/>
          <w:kern w:val="24"/>
          <w:sz w:val="24"/>
          <w:szCs w:val="24"/>
        </w:rPr>
        <w:t xml:space="preserve"> en cours du contrat ou en fin du contrat, de la banque à son client</w:t>
      </w:r>
      <w:r w:rsidR="00BC4A29" w:rsidRPr="00522BEC">
        <w:rPr>
          <w:rFonts w:ascii="Times New Roman" w:hAnsi="Times New Roman" w:cs="Times New Roman"/>
          <w:kern w:val="24"/>
          <w:sz w:val="24"/>
          <w:szCs w:val="24"/>
        </w:rPr>
        <w:t xml:space="preserve">, </w:t>
      </w:r>
      <w:r w:rsidR="00B14B27" w:rsidRPr="00522BEC">
        <w:rPr>
          <w:rFonts w:ascii="Times New Roman" w:hAnsi="Times New Roman" w:cs="Times New Roman"/>
          <w:kern w:val="24"/>
          <w:sz w:val="24"/>
          <w:szCs w:val="24"/>
        </w:rPr>
        <w:t>ce dernier acquiert</w:t>
      </w:r>
      <w:r w:rsidRPr="00522BEC">
        <w:rPr>
          <w:rFonts w:ascii="Times New Roman" w:hAnsi="Times New Roman" w:cs="Times New Roman"/>
          <w:kern w:val="24"/>
          <w:sz w:val="24"/>
          <w:szCs w:val="24"/>
        </w:rPr>
        <w:t xml:space="preserve"> le </w:t>
      </w:r>
      <w:r w:rsidR="00BC4A29" w:rsidRPr="00522BEC">
        <w:rPr>
          <w:rFonts w:ascii="Times New Roman" w:hAnsi="Times New Roman" w:cs="Times New Roman"/>
          <w:kern w:val="24"/>
          <w:sz w:val="24"/>
          <w:szCs w:val="24"/>
        </w:rPr>
        <w:t>bien.</w:t>
      </w:r>
      <w:r w:rsidRPr="00522BEC">
        <w:rPr>
          <w:rFonts w:ascii="Times New Roman" w:hAnsi="Times New Roman" w:cs="Times New Roman"/>
          <w:kern w:val="24"/>
          <w:sz w:val="24"/>
          <w:szCs w:val="24"/>
        </w:rPr>
        <w:t xml:space="preserve"> </w:t>
      </w:r>
      <w:r w:rsidR="00BC4A29" w:rsidRPr="00522BEC">
        <w:rPr>
          <w:rFonts w:ascii="Times New Roman" w:hAnsi="Times New Roman" w:cs="Times New Roman"/>
          <w:kern w:val="24"/>
          <w:sz w:val="24"/>
          <w:szCs w:val="24"/>
        </w:rPr>
        <w:t>Ce</w:t>
      </w:r>
      <w:r w:rsidRPr="00522BEC">
        <w:rPr>
          <w:rFonts w:ascii="Times New Roman" w:hAnsi="Times New Roman" w:cs="Times New Roman"/>
          <w:kern w:val="24"/>
          <w:sz w:val="24"/>
          <w:szCs w:val="24"/>
        </w:rPr>
        <w:t xml:space="preserve"> contrat est baptisé </w:t>
      </w:r>
      <w:r w:rsidRPr="00522BEC">
        <w:rPr>
          <w:rFonts w:ascii="Times New Roman" w:hAnsi="Times New Roman" w:cs="Times New Roman"/>
          <w:i/>
          <w:iCs/>
          <w:kern w:val="24"/>
          <w:sz w:val="24"/>
          <w:szCs w:val="24"/>
        </w:rPr>
        <w:t>ijara wa iqtina</w:t>
      </w:r>
      <w:r w:rsidR="00B14B27" w:rsidRPr="00522BEC">
        <w:rPr>
          <w:rFonts w:ascii="Times New Roman" w:hAnsi="Times New Roman" w:cs="Times New Roman"/>
          <w:kern w:val="24"/>
          <w:sz w:val="24"/>
          <w:szCs w:val="24"/>
        </w:rPr>
        <w:t>, proche du</w:t>
      </w:r>
      <w:r w:rsidRPr="00522BEC">
        <w:rPr>
          <w:rFonts w:ascii="Times New Roman" w:hAnsi="Times New Roman" w:cs="Times New Roman"/>
          <w:kern w:val="24"/>
          <w:sz w:val="24"/>
          <w:szCs w:val="24"/>
        </w:rPr>
        <w:t xml:space="preserve"> crédit-bail</w:t>
      </w:r>
      <w:r w:rsidR="00B14B27" w:rsidRPr="00522BEC">
        <w:rPr>
          <w:rFonts w:ascii="Times New Roman" w:hAnsi="Times New Roman" w:cs="Times New Roman"/>
          <w:kern w:val="24"/>
          <w:sz w:val="24"/>
          <w:szCs w:val="24"/>
        </w:rPr>
        <w:t xml:space="preserve"> avec option d'achat qui</w:t>
      </w:r>
      <w:r w:rsidRPr="00522BEC">
        <w:rPr>
          <w:rFonts w:ascii="Times New Roman" w:hAnsi="Times New Roman" w:cs="Times New Roman"/>
          <w:kern w:val="24"/>
          <w:sz w:val="24"/>
          <w:szCs w:val="24"/>
        </w:rPr>
        <w:t xml:space="preserve"> inclut une promesse d’achat du bien de la part du client à la fin du contrat.</w:t>
      </w:r>
    </w:p>
    <w:p w14:paraId="4BF959CB" w14:textId="77777777" w:rsidR="002760B2" w:rsidRPr="00522BEC" w:rsidRDefault="002760B2" w:rsidP="00522BEC">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522BEC">
        <w:rPr>
          <w:rFonts w:ascii="Times New Roman" w:hAnsi="Times New Roman" w:cs="Times New Roman"/>
          <w:kern w:val="24"/>
          <w:sz w:val="24"/>
          <w:szCs w:val="24"/>
        </w:rPr>
        <w:t xml:space="preserve">Pendant la période de location, la banque </w:t>
      </w:r>
      <w:r w:rsidR="00505EDD" w:rsidRPr="00522BEC">
        <w:rPr>
          <w:rFonts w:ascii="Times New Roman" w:hAnsi="Times New Roman" w:cs="Times New Roman"/>
          <w:kern w:val="24"/>
          <w:sz w:val="24"/>
          <w:szCs w:val="24"/>
        </w:rPr>
        <w:t>i</w:t>
      </w:r>
      <w:r w:rsidR="003773C6" w:rsidRPr="00522BEC">
        <w:rPr>
          <w:rFonts w:ascii="Times New Roman" w:hAnsi="Times New Roman" w:cs="Times New Roman"/>
          <w:kern w:val="24"/>
          <w:sz w:val="24"/>
          <w:szCs w:val="24"/>
        </w:rPr>
        <w:t>slamique</w:t>
      </w:r>
      <w:r w:rsidRPr="00522BEC">
        <w:rPr>
          <w:rFonts w:ascii="Times New Roman" w:hAnsi="Times New Roman" w:cs="Times New Roman"/>
          <w:kern w:val="24"/>
          <w:sz w:val="24"/>
          <w:szCs w:val="24"/>
        </w:rPr>
        <w:t xml:space="preserve"> supporte tous les risques l</w:t>
      </w:r>
      <w:r w:rsidR="00B14B27" w:rsidRPr="00522BEC">
        <w:rPr>
          <w:rFonts w:ascii="Times New Roman" w:hAnsi="Times New Roman" w:cs="Times New Roman"/>
          <w:kern w:val="24"/>
          <w:sz w:val="24"/>
          <w:szCs w:val="24"/>
        </w:rPr>
        <w:t>iés à la propriété. De</w:t>
      </w:r>
      <w:r w:rsidRPr="00522BEC">
        <w:rPr>
          <w:rFonts w:ascii="Times New Roman" w:hAnsi="Times New Roman" w:cs="Times New Roman"/>
          <w:kern w:val="24"/>
          <w:sz w:val="24"/>
          <w:szCs w:val="24"/>
        </w:rPr>
        <w:t xml:space="preserve"> </w:t>
      </w:r>
      <w:r w:rsidR="00B14B27" w:rsidRPr="00522BEC">
        <w:rPr>
          <w:rFonts w:ascii="Times New Roman" w:hAnsi="Times New Roman" w:cs="Times New Roman"/>
          <w:kern w:val="24"/>
          <w:sz w:val="24"/>
          <w:szCs w:val="24"/>
        </w:rPr>
        <w:t>son côté, le colocataire</w:t>
      </w:r>
      <w:r w:rsidRPr="00522BEC">
        <w:rPr>
          <w:rFonts w:ascii="Times New Roman" w:hAnsi="Times New Roman" w:cs="Times New Roman"/>
          <w:kern w:val="24"/>
          <w:sz w:val="24"/>
          <w:szCs w:val="24"/>
        </w:rPr>
        <w:t xml:space="preserve"> sera tenu d'indemniser tout dommage au bien suite à une exploitation médiocre. La durée du contrat </w:t>
      </w:r>
      <w:r w:rsidRPr="00522BEC">
        <w:rPr>
          <w:rFonts w:ascii="Times New Roman" w:hAnsi="Times New Roman" w:cs="Times New Roman"/>
          <w:i/>
          <w:kern w:val="24"/>
          <w:sz w:val="24"/>
          <w:szCs w:val="24"/>
        </w:rPr>
        <w:t>ijara</w:t>
      </w:r>
      <w:r w:rsidRPr="00522BEC">
        <w:rPr>
          <w:rFonts w:ascii="Times New Roman" w:hAnsi="Times New Roman" w:cs="Times New Roman"/>
          <w:kern w:val="24"/>
          <w:sz w:val="24"/>
          <w:szCs w:val="24"/>
        </w:rPr>
        <w:t xml:space="preserve"> est celle de la vie économique du bien. C'est une durée intermédiaire entre la durée de l'amortissement qui est trop courte et la durée de v</w:t>
      </w:r>
      <w:r w:rsidR="00B14B27" w:rsidRPr="00522BEC">
        <w:rPr>
          <w:rFonts w:ascii="Times New Roman" w:hAnsi="Times New Roman" w:cs="Times New Roman"/>
          <w:kern w:val="24"/>
          <w:sz w:val="24"/>
          <w:szCs w:val="24"/>
        </w:rPr>
        <w:t>ie du bien qui est trop longue.</w:t>
      </w:r>
    </w:p>
    <w:p w14:paraId="37F6AB12" w14:textId="77777777" w:rsidR="002760B2" w:rsidRPr="00522BEC" w:rsidRDefault="002760B2" w:rsidP="00522BEC">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522BEC">
        <w:rPr>
          <w:rFonts w:ascii="Times New Roman" w:hAnsi="Times New Roman" w:cs="Times New Roman"/>
          <w:kern w:val="24"/>
          <w:sz w:val="24"/>
          <w:szCs w:val="24"/>
        </w:rPr>
        <w:t>La</w:t>
      </w:r>
      <w:r w:rsidR="00E91E21" w:rsidRPr="00522BEC">
        <w:rPr>
          <w:rFonts w:ascii="Times New Roman" w:hAnsi="Times New Roman" w:cs="Times New Roman"/>
          <w:kern w:val="24"/>
          <w:sz w:val="24"/>
          <w:szCs w:val="24"/>
        </w:rPr>
        <w:t xml:space="preserve"> principale différence entre le contrat</w:t>
      </w:r>
      <w:r w:rsidRPr="00522BEC">
        <w:rPr>
          <w:rFonts w:ascii="Times New Roman" w:hAnsi="Times New Roman" w:cs="Times New Roman"/>
          <w:kern w:val="24"/>
          <w:sz w:val="24"/>
          <w:szCs w:val="24"/>
        </w:rPr>
        <w:t xml:space="preserve"> de l</w:t>
      </w:r>
      <w:r w:rsidR="00BC4A29" w:rsidRPr="00522BEC">
        <w:rPr>
          <w:rFonts w:ascii="Times New Roman" w:hAnsi="Times New Roman" w:cs="Times New Roman"/>
          <w:kern w:val="24"/>
          <w:sz w:val="24"/>
          <w:szCs w:val="24"/>
        </w:rPr>
        <w:t>easing permis par l'</w:t>
      </w:r>
      <w:r w:rsidR="00F34669" w:rsidRPr="00522BEC">
        <w:rPr>
          <w:rFonts w:ascii="Times New Roman" w:hAnsi="Times New Roman" w:cs="Times New Roman"/>
          <w:kern w:val="24"/>
          <w:sz w:val="24"/>
          <w:szCs w:val="24"/>
        </w:rPr>
        <w:t>Islam</w:t>
      </w:r>
      <w:r w:rsidR="00BC4A29" w:rsidRPr="00522BEC">
        <w:rPr>
          <w:rFonts w:ascii="Times New Roman" w:hAnsi="Times New Roman" w:cs="Times New Roman"/>
          <w:kern w:val="24"/>
          <w:sz w:val="24"/>
          <w:szCs w:val="24"/>
        </w:rPr>
        <w:t xml:space="preserve"> et </w:t>
      </w:r>
      <w:r w:rsidR="00E91E21" w:rsidRPr="00522BEC">
        <w:rPr>
          <w:rFonts w:ascii="Times New Roman" w:hAnsi="Times New Roman" w:cs="Times New Roman"/>
          <w:kern w:val="24"/>
          <w:sz w:val="24"/>
          <w:szCs w:val="24"/>
        </w:rPr>
        <w:t xml:space="preserve">celui </w:t>
      </w:r>
      <w:r w:rsidR="00BC4A29" w:rsidRPr="00522BEC">
        <w:rPr>
          <w:rFonts w:ascii="Times New Roman" w:hAnsi="Times New Roman" w:cs="Times New Roman"/>
          <w:kern w:val="24"/>
          <w:sz w:val="24"/>
          <w:szCs w:val="24"/>
        </w:rPr>
        <w:t>conventionnel</w:t>
      </w:r>
      <w:r w:rsidRPr="00522BEC">
        <w:rPr>
          <w:rFonts w:ascii="Times New Roman" w:hAnsi="Times New Roman" w:cs="Times New Roman"/>
          <w:kern w:val="24"/>
          <w:sz w:val="24"/>
          <w:szCs w:val="24"/>
        </w:rPr>
        <w:t xml:space="preserve"> est que le bailleur doit posséder le bien tout au long de la période couverte par le contrat. L’institution financière </w:t>
      </w:r>
      <w:r w:rsidR="00505EDD" w:rsidRPr="00522BEC">
        <w:rPr>
          <w:rFonts w:ascii="Times New Roman" w:hAnsi="Times New Roman" w:cs="Times New Roman"/>
          <w:kern w:val="24"/>
          <w:sz w:val="24"/>
          <w:szCs w:val="24"/>
        </w:rPr>
        <w:t>i</w:t>
      </w:r>
      <w:r w:rsidR="003773C6" w:rsidRPr="00522BEC">
        <w:rPr>
          <w:rFonts w:ascii="Times New Roman" w:hAnsi="Times New Roman" w:cs="Times New Roman"/>
          <w:kern w:val="24"/>
          <w:sz w:val="24"/>
          <w:szCs w:val="24"/>
        </w:rPr>
        <w:t>slamique</w:t>
      </w:r>
      <w:r w:rsidRPr="00522BEC">
        <w:rPr>
          <w:rFonts w:ascii="Times New Roman" w:hAnsi="Times New Roman" w:cs="Times New Roman"/>
          <w:kern w:val="24"/>
          <w:sz w:val="24"/>
          <w:szCs w:val="24"/>
        </w:rPr>
        <w:t xml:space="preserve"> achète le bien financé et maintient son droit de propriété tout au long de la durée du contrat.</w:t>
      </w:r>
    </w:p>
    <w:p w14:paraId="0D0DA1B7" w14:textId="77777777" w:rsidR="002760B2" w:rsidRPr="00522BEC" w:rsidRDefault="003A5EDE" w:rsidP="007F1103">
      <w:pPr>
        <w:pStyle w:val="Titre3"/>
        <w:keepLines w:val="0"/>
        <w:spacing w:before="100" w:beforeAutospacing="1" w:after="120"/>
        <w:ind w:firstLine="709"/>
        <w:rPr>
          <w:kern w:val="24"/>
          <w:sz w:val="26"/>
          <w:szCs w:val="26"/>
        </w:rPr>
      </w:pPr>
      <w:bookmarkStart w:id="366" w:name="_Toc33263238"/>
      <w:bookmarkStart w:id="367" w:name="_Toc37664490"/>
      <w:bookmarkStart w:id="368" w:name="_Toc37666335"/>
      <w:bookmarkStart w:id="369" w:name="_Toc54363224"/>
      <w:bookmarkStart w:id="370" w:name="_Toc58606240"/>
      <w:bookmarkStart w:id="371" w:name="_Toc61263445"/>
      <w:bookmarkStart w:id="372" w:name="_Toc182298659"/>
      <w:r w:rsidRPr="00522BEC">
        <w:rPr>
          <w:kern w:val="24"/>
          <w:sz w:val="26"/>
          <w:szCs w:val="26"/>
        </w:rPr>
        <w:lastRenderedPageBreak/>
        <w:t xml:space="preserve">2.3- </w:t>
      </w:r>
      <w:r w:rsidR="00CC5491" w:rsidRPr="00522BEC">
        <w:rPr>
          <w:kern w:val="24"/>
          <w:sz w:val="26"/>
          <w:szCs w:val="26"/>
        </w:rPr>
        <w:t>M</w:t>
      </w:r>
      <w:r w:rsidR="002760B2" w:rsidRPr="00522BEC">
        <w:rPr>
          <w:kern w:val="24"/>
          <w:sz w:val="26"/>
          <w:szCs w:val="26"/>
        </w:rPr>
        <w:t>odes de financement sans contrepartie (secteur à but non-lucratif)</w:t>
      </w:r>
      <w:bookmarkEnd w:id="366"/>
      <w:bookmarkEnd w:id="367"/>
      <w:bookmarkEnd w:id="368"/>
      <w:bookmarkEnd w:id="369"/>
      <w:bookmarkEnd w:id="370"/>
      <w:bookmarkEnd w:id="371"/>
      <w:bookmarkEnd w:id="372"/>
    </w:p>
    <w:p w14:paraId="5F01AA97" w14:textId="77777777" w:rsidR="002760B2" w:rsidRPr="00522BEC" w:rsidRDefault="002760B2" w:rsidP="00120365">
      <w:pPr>
        <w:keepNext/>
        <w:tabs>
          <w:tab w:val="left" w:pos="0"/>
        </w:tabs>
        <w:autoSpaceDE w:val="0"/>
        <w:autoSpaceDN w:val="0"/>
        <w:adjustRightInd w:val="0"/>
        <w:spacing w:before="120"/>
        <w:ind w:firstLine="709"/>
        <w:rPr>
          <w:rFonts w:ascii="Times New Roman" w:hAnsi="Times New Roman" w:cs="Times New Roman"/>
          <w:kern w:val="24"/>
          <w:sz w:val="24"/>
          <w:szCs w:val="24"/>
        </w:rPr>
      </w:pPr>
      <w:r w:rsidRPr="00522BEC">
        <w:rPr>
          <w:rFonts w:ascii="Times New Roman" w:hAnsi="Times New Roman" w:cs="Times New Roman"/>
          <w:kern w:val="24"/>
          <w:sz w:val="24"/>
          <w:szCs w:val="24"/>
        </w:rPr>
        <w:t xml:space="preserve">Ces opérations sont indispensables pour légitimer la banque </w:t>
      </w:r>
      <w:r w:rsidR="00505EDD" w:rsidRPr="00522BEC">
        <w:rPr>
          <w:rFonts w:ascii="Times New Roman" w:hAnsi="Times New Roman" w:cs="Times New Roman"/>
          <w:kern w:val="24"/>
          <w:sz w:val="24"/>
          <w:szCs w:val="24"/>
        </w:rPr>
        <w:t>i</w:t>
      </w:r>
      <w:r w:rsidR="003773C6" w:rsidRPr="00522BEC">
        <w:rPr>
          <w:rFonts w:ascii="Times New Roman" w:hAnsi="Times New Roman" w:cs="Times New Roman"/>
          <w:kern w:val="24"/>
          <w:sz w:val="24"/>
          <w:szCs w:val="24"/>
        </w:rPr>
        <w:t>slamique</w:t>
      </w:r>
      <w:r w:rsidRPr="00522BEC">
        <w:rPr>
          <w:rFonts w:ascii="Times New Roman" w:hAnsi="Times New Roman" w:cs="Times New Roman"/>
          <w:kern w:val="24"/>
          <w:sz w:val="24"/>
          <w:szCs w:val="24"/>
        </w:rPr>
        <w:t>, non seulement à l’égard du public, mais aussi de l’Etat et ses représentants</w:t>
      </w:r>
      <w:r w:rsidRPr="00522BEC">
        <w:rPr>
          <w:rStyle w:val="Appelnotedebasdep"/>
          <w:rFonts w:ascii="Times New Roman" w:hAnsi="Times New Roman"/>
          <w:kern w:val="24"/>
          <w:sz w:val="24"/>
          <w:szCs w:val="24"/>
        </w:rPr>
        <w:footnoteReference w:id="117"/>
      </w:r>
      <w:r w:rsidRPr="00522BEC">
        <w:rPr>
          <w:rFonts w:ascii="Times New Roman" w:hAnsi="Times New Roman" w:cs="Times New Roman"/>
          <w:kern w:val="24"/>
          <w:sz w:val="24"/>
          <w:szCs w:val="24"/>
        </w:rPr>
        <w:t xml:space="preserve"> (</w:t>
      </w:r>
      <w:r w:rsidRPr="00522BEC">
        <w:rPr>
          <w:rFonts w:ascii="Times New Roman" w:hAnsi="Times New Roman" w:cs="Times New Roman"/>
          <w:smallCaps/>
          <w:kern w:val="24"/>
          <w:sz w:val="24"/>
          <w:szCs w:val="24"/>
        </w:rPr>
        <w:t>Majidi</w:t>
      </w:r>
      <w:r w:rsidRPr="00522BEC">
        <w:rPr>
          <w:rFonts w:ascii="Times New Roman" w:hAnsi="Times New Roman" w:cs="Times New Roman"/>
          <w:kern w:val="24"/>
          <w:sz w:val="24"/>
          <w:szCs w:val="24"/>
        </w:rPr>
        <w:t>, 2016). Les actions sociales de la banque se veulent en fait complémentaires et solidaires de la politique de crédit de bienfaisance des autorités monétaires qui consiste à faire des prêts sociaux et grat</w:t>
      </w:r>
      <w:r w:rsidR="00B14B27" w:rsidRPr="00522BEC">
        <w:rPr>
          <w:rFonts w:ascii="Times New Roman" w:hAnsi="Times New Roman" w:cs="Times New Roman"/>
          <w:kern w:val="24"/>
          <w:sz w:val="24"/>
          <w:szCs w:val="24"/>
        </w:rPr>
        <w:t>uits aux pauvres et nécessiteux</w:t>
      </w:r>
      <w:r w:rsidRPr="00522BEC">
        <w:rPr>
          <w:rFonts w:ascii="Times New Roman" w:hAnsi="Times New Roman" w:cs="Times New Roman"/>
          <w:kern w:val="24"/>
          <w:sz w:val="24"/>
          <w:szCs w:val="24"/>
        </w:rPr>
        <w:t xml:space="preserve"> et</w:t>
      </w:r>
      <w:r w:rsidR="00B14B27" w:rsidRPr="00522BEC">
        <w:rPr>
          <w:rFonts w:ascii="Times New Roman" w:hAnsi="Times New Roman" w:cs="Times New Roman"/>
          <w:kern w:val="24"/>
          <w:sz w:val="24"/>
          <w:szCs w:val="24"/>
        </w:rPr>
        <w:t>,</w:t>
      </w:r>
      <w:r w:rsidRPr="00522BEC">
        <w:rPr>
          <w:rFonts w:ascii="Times New Roman" w:hAnsi="Times New Roman" w:cs="Times New Roman"/>
          <w:kern w:val="24"/>
          <w:sz w:val="24"/>
          <w:szCs w:val="24"/>
        </w:rPr>
        <w:t xml:space="preserve"> à ceux qui ne peuvent fournir des garanties suffisantes.</w:t>
      </w:r>
    </w:p>
    <w:p w14:paraId="5DFA5D23" w14:textId="77777777" w:rsidR="002760B2" w:rsidRPr="00522BEC" w:rsidRDefault="000A160A" w:rsidP="00F04B08">
      <w:pPr>
        <w:pStyle w:val="Titre4"/>
        <w:keepNext w:val="0"/>
        <w:spacing w:before="120" w:after="120" w:line="300" w:lineRule="auto"/>
        <w:ind w:firstLine="709"/>
        <w:rPr>
          <w:kern w:val="24"/>
        </w:rPr>
      </w:pPr>
      <w:bookmarkStart w:id="373" w:name="_Toc33263239"/>
      <w:bookmarkStart w:id="374" w:name="_Toc37664491"/>
      <w:bookmarkStart w:id="375" w:name="_Toc37666336"/>
      <w:bookmarkStart w:id="376" w:name="_Toc54363225"/>
      <w:bookmarkStart w:id="377" w:name="_Toc58606241"/>
      <w:bookmarkStart w:id="378" w:name="_Toc61263446"/>
      <w:bookmarkStart w:id="379" w:name="_Toc182298660"/>
      <w:r w:rsidRPr="00522BEC">
        <w:rPr>
          <w:kern w:val="24"/>
        </w:rPr>
        <w:t xml:space="preserve">2.3.1- </w:t>
      </w:r>
      <w:r w:rsidR="007A11D7" w:rsidRPr="00522BEC">
        <w:rPr>
          <w:i/>
          <w:iCs/>
          <w:kern w:val="24"/>
        </w:rPr>
        <w:t>Qard h</w:t>
      </w:r>
      <w:r w:rsidR="002760B2" w:rsidRPr="00522BEC">
        <w:rPr>
          <w:i/>
          <w:iCs/>
          <w:kern w:val="24"/>
        </w:rPr>
        <w:t>assan</w:t>
      </w:r>
      <w:r w:rsidR="002760B2" w:rsidRPr="00522BEC">
        <w:rPr>
          <w:kern w:val="24"/>
        </w:rPr>
        <w:t xml:space="preserve"> (prêt sans intérêt)</w:t>
      </w:r>
      <w:bookmarkEnd w:id="373"/>
      <w:bookmarkEnd w:id="374"/>
      <w:bookmarkEnd w:id="375"/>
      <w:bookmarkEnd w:id="376"/>
      <w:bookmarkEnd w:id="377"/>
      <w:bookmarkEnd w:id="378"/>
      <w:bookmarkEnd w:id="379"/>
    </w:p>
    <w:p w14:paraId="68D3F256" w14:textId="3EC3E049" w:rsidR="00563A43" w:rsidRPr="00522BEC" w:rsidRDefault="002760B2" w:rsidP="000F21BE">
      <w:pPr>
        <w:tabs>
          <w:tab w:val="left" w:pos="0"/>
        </w:tabs>
        <w:spacing w:before="120" w:line="288" w:lineRule="auto"/>
        <w:ind w:firstLine="709"/>
        <w:rPr>
          <w:rFonts w:ascii="Times New Roman" w:hAnsi="Times New Roman" w:cs="Times New Roman"/>
          <w:kern w:val="24"/>
          <w:sz w:val="24"/>
          <w:szCs w:val="24"/>
        </w:rPr>
      </w:pPr>
      <w:r w:rsidRPr="00522BEC">
        <w:rPr>
          <w:rFonts w:ascii="Times New Roman" w:hAnsi="Times New Roman" w:cs="Times New Roman"/>
          <w:kern w:val="24"/>
          <w:sz w:val="24"/>
          <w:szCs w:val="24"/>
        </w:rPr>
        <w:t xml:space="preserve">Les règles de la </w:t>
      </w:r>
      <w:r w:rsidR="001F5C83" w:rsidRPr="00522BEC">
        <w:rPr>
          <w:rFonts w:asciiTheme="majorBidi" w:eastAsia="Times New Roman" w:hAnsiTheme="majorBidi" w:cstheme="majorBidi"/>
          <w:i/>
          <w:iCs/>
          <w:color w:val="000000" w:themeColor="text1"/>
          <w:kern w:val="24"/>
          <w:sz w:val="24"/>
          <w:szCs w:val="24"/>
          <w:lang w:eastAsia="fr-FR"/>
        </w:rPr>
        <w:t>Shariah</w:t>
      </w:r>
      <w:r w:rsidRPr="00522BEC">
        <w:rPr>
          <w:rFonts w:ascii="Times New Roman" w:hAnsi="Times New Roman" w:cs="Times New Roman"/>
          <w:kern w:val="24"/>
          <w:sz w:val="24"/>
          <w:szCs w:val="24"/>
        </w:rPr>
        <w:t xml:space="preserve"> interdisent l’intérêt et non pas le prêt. La seule forme de prêt qui est permise en </w:t>
      </w:r>
      <w:r w:rsidR="00F34669" w:rsidRPr="00522BEC">
        <w:rPr>
          <w:rFonts w:ascii="Times New Roman" w:hAnsi="Times New Roman" w:cs="Times New Roman"/>
          <w:kern w:val="24"/>
          <w:sz w:val="24"/>
          <w:szCs w:val="24"/>
        </w:rPr>
        <w:t>Islam</w:t>
      </w:r>
      <w:r w:rsidRPr="00522BEC">
        <w:rPr>
          <w:rFonts w:ascii="Times New Roman" w:hAnsi="Times New Roman" w:cs="Times New Roman"/>
          <w:kern w:val="24"/>
          <w:sz w:val="24"/>
          <w:szCs w:val="24"/>
        </w:rPr>
        <w:t xml:space="preserve"> est le </w:t>
      </w:r>
      <w:r w:rsidRPr="00522BEC">
        <w:rPr>
          <w:rFonts w:ascii="Times New Roman" w:hAnsi="Times New Roman" w:cs="Times New Roman"/>
          <w:i/>
          <w:iCs/>
          <w:kern w:val="24"/>
          <w:sz w:val="24"/>
          <w:szCs w:val="24"/>
        </w:rPr>
        <w:t>qard hassan</w:t>
      </w:r>
      <w:r w:rsidRPr="00522BEC">
        <w:rPr>
          <w:rFonts w:ascii="Times New Roman" w:hAnsi="Times New Roman" w:cs="Times New Roman"/>
          <w:kern w:val="24"/>
          <w:sz w:val="24"/>
          <w:szCs w:val="24"/>
        </w:rPr>
        <w:t xml:space="preserve">. </w:t>
      </w:r>
      <w:r w:rsidR="00B14B27" w:rsidRPr="00522BEC">
        <w:rPr>
          <w:rFonts w:ascii="Times New Roman" w:hAnsi="Times New Roman" w:cs="Times New Roman"/>
          <w:kern w:val="24"/>
          <w:sz w:val="24"/>
          <w:szCs w:val="24"/>
        </w:rPr>
        <w:t>Très peu utilisée, cette forme de financement est</w:t>
      </w:r>
      <w:r w:rsidRPr="00522BEC">
        <w:rPr>
          <w:rFonts w:ascii="Times New Roman" w:hAnsi="Times New Roman" w:cs="Times New Roman"/>
          <w:kern w:val="24"/>
          <w:sz w:val="24"/>
          <w:szCs w:val="24"/>
        </w:rPr>
        <w:t xml:space="preserve"> effectuée dans un but humanitaire ou de bienfaisance pour aider les clients « fidèles » à surmonter leurs difficultés financières. A cet effet, </w:t>
      </w:r>
      <w:r w:rsidRPr="00522BEC">
        <w:rPr>
          <w:rFonts w:ascii="Times New Roman" w:hAnsi="Times New Roman" w:cs="Times New Roman"/>
          <w:smallCaps/>
          <w:kern w:val="24"/>
          <w:sz w:val="24"/>
          <w:szCs w:val="24"/>
        </w:rPr>
        <w:t>Abou Houraira</w:t>
      </w:r>
      <w:r w:rsidRPr="00522BEC">
        <w:rPr>
          <w:rFonts w:ascii="Times New Roman" w:hAnsi="Times New Roman" w:cs="Times New Roman"/>
          <w:kern w:val="24"/>
          <w:sz w:val="24"/>
          <w:szCs w:val="24"/>
        </w:rPr>
        <w:t xml:space="preserve"> </w:t>
      </w:r>
      <w:r w:rsidR="00EF28EC" w:rsidRPr="00522BEC">
        <w:rPr>
          <w:rFonts w:ascii="Times New Roman" w:hAnsi="Times New Roman" w:cs="Times New Roman"/>
          <w:kern w:val="24"/>
          <w:sz w:val="24"/>
          <w:szCs w:val="24"/>
        </w:rPr>
        <w:t xml:space="preserve">  </w:t>
      </w:r>
      <w:r w:rsidR="00EF28EC" w:rsidRPr="00522BEC">
        <w:rPr>
          <w:rFonts w:ascii="Times New Roman" w:hAnsi="Times New Roman" w:cs="Times New Roman"/>
          <w:noProof/>
          <w:kern w:val="24"/>
          <w:sz w:val="24"/>
          <w:szCs w:val="24"/>
          <w:lang w:eastAsia="fr-FR"/>
        </w:rPr>
        <w:drawing>
          <wp:anchor distT="0" distB="0" distL="114300" distR="114300" simplePos="0" relativeHeight="251513856" behindDoc="0" locked="1" layoutInCell="1" allowOverlap="0" wp14:anchorId="6F97F751" wp14:editId="1DD76D9A">
            <wp:simplePos x="0" y="0"/>
            <wp:positionH relativeFrom="column">
              <wp:posOffset>4131310</wp:posOffset>
            </wp:positionH>
            <wp:positionV relativeFrom="paragraph">
              <wp:posOffset>652145</wp:posOffset>
            </wp:positionV>
            <wp:extent cx="247650" cy="180975"/>
            <wp:effectExtent l="0" t="0" r="0" b="0"/>
            <wp:wrapNone/>
            <wp:docPr id="1362" name="Image 1" descr="ملف:رضي الله عنه.png - ويكيبيد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ملف:رضي الله عنه.png - ويكيبيديا"/>
                    <pic:cNvPicPr preferRelativeResize="0">
                      <a:picLocks noChangeAspect="1" noChangeArrowheads="1"/>
                    </pic:cNvPicPr>
                  </pic:nvPicPr>
                  <pic:blipFill>
                    <a:blip r:embed="rId18" cstate="print"/>
                    <a:srcRect/>
                    <a:stretch>
                      <a:fillRect/>
                    </a:stretch>
                  </pic:blipFill>
                  <pic:spPr bwMode="auto">
                    <a:xfrm>
                      <a:off x="0" y="0"/>
                      <a:ext cx="247650" cy="180975"/>
                    </a:xfrm>
                    <a:prstGeom prst="rect">
                      <a:avLst/>
                    </a:prstGeom>
                    <a:noFill/>
                    <a:ln w="9525">
                      <a:noFill/>
                      <a:miter lim="800000"/>
                      <a:headEnd/>
                      <a:tailEnd/>
                    </a:ln>
                  </pic:spPr>
                </pic:pic>
              </a:graphicData>
            </a:graphic>
          </wp:anchor>
        </w:drawing>
      </w:r>
      <w:r w:rsidR="00EF28EC" w:rsidRPr="00522BEC">
        <w:rPr>
          <w:rFonts w:ascii="Times New Roman" w:hAnsi="Times New Roman" w:cs="Times New Roman"/>
          <w:kern w:val="24"/>
          <w:sz w:val="24"/>
          <w:szCs w:val="24"/>
        </w:rPr>
        <w:t xml:space="preserve">   </w:t>
      </w:r>
      <w:r w:rsidR="0075731C" w:rsidRPr="00522BEC">
        <w:rPr>
          <w:rFonts w:ascii="Times New Roman" w:hAnsi="Times New Roman" w:cs="Times New Roman"/>
          <w:kern w:val="24"/>
          <w:sz w:val="24"/>
          <w:szCs w:val="24"/>
        </w:rPr>
        <w:t>rapporte les paroles du P</w:t>
      </w:r>
      <w:r w:rsidRPr="00522BEC">
        <w:rPr>
          <w:rFonts w:ascii="Times New Roman" w:hAnsi="Times New Roman" w:cs="Times New Roman"/>
          <w:kern w:val="24"/>
          <w:sz w:val="24"/>
          <w:szCs w:val="24"/>
        </w:rPr>
        <w:t>r</w:t>
      </w:r>
      <w:r w:rsidR="0075731C" w:rsidRPr="00522BEC">
        <w:rPr>
          <w:rFonts w:ascii="Times New Roman" w:hAnsi="Times New Roman" w:cs="Times New Roman"/>
          <w:kern w:val="24"/>
          <w:sz w:val="24"/>
          <w:szCs w:val="24"/>
        </w:rPr>
        <w:t>ophète</w:t>
      </w:r>
      <w:r w:rsidR="00522BEC">
        <w:rPr>
          <w:rFonts w:ascii="Times New Roman" w:hAnsi="Times New Roman" w:cs="Times New Roman"/>
          <w:kern w:val="24"/>
          <w:sz w:val="24"/>
          <w:szCs w:val="24"/>
        </w:rPr>
        <w:t xml:space="preserve"> </w:t>
      </w:r>
      <w:r w:rsidR="0075731C" w:rsidRPr="00522BEC">
        <w:rPr>
          <w:rFonts w:ascii="Times New Roman" w:hAnsi="Times New Roman" w:cs="Times New Roman"/>
          <w:kern w:val="24"/>
          <w:sz w:val="24"/>
          <w:szCs w:val="24"/>
        </w:rPr>
        <w:t xml:space="preserve">   </w:t>
      </w:r>
      <w:r w:rsidR="0075731C" w:rsidRPr="00522BEC">
        <w:rPr>
          <w:rFonts w:ascii="Times New Roman" w:hAnsi="Times New Roman" w:cs="Times New Roman"/>
          <w:noProof/>
          <w:kern w:val="24"/>
          <w:sz w:val="24"/>
          <w:szCs w:val="24"/>
          <w:lang w:eastAsia="fr-FR"/>
        </w:rPr>
        <w:drawing>
          <wp:anchor distT="0" distB="0" distL="114300" distR="114300" simplePos="0" relativeHeight="251512832" behindDoc="0" locked="1" layoutInCell="1" allowOverlap="0" wp14:anchorId="4597EA15" wp14:editId="7715E3F7">
            <wp:simplePos x="0" y="0"/>
            <wp:positionH relativeFrom="column">
              <wp:posOffset>580390</wp:posOffset>
            </wp:positionH>
            <wp:positionV relativeFrom="paragraph">
              <wp:posOffset>871220</wp:posOffset>
            </wp:positionV>
            <wp:extent cx="180975" cy="161925"/>
            <wp:effectExtent l="0" t="0" r="0" b="0"/>
            <wp:wrapNone/>
            <wp:docPr id="1348"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75731C" w:rsidRPr="00522BEC">
        <w:rPr>
          <w:rFonts w:ascii="Times New Roman" w:hAnsi="Times New Roman" w:cs="Times New Roman"/>
          <w:kern w:val="24"/>
          <w:sz w:val="24"/>
          <w:szCs w:val="24"/>
        </w:rPr>
        <w:t xml:space="preserve">  </w:t>
      </w:r>
      <w:r w:rsidR="00563A43" w:rsidRPr="00522BEC">
        <w:rPr>
          <w:rFonts w:ascii="Times New Roman" w:hAnsi="Times New Roman" w:cs="Times New Roman"/>
          <w:kern w:val="24"/>
          <w:sz w:val="24"/>
          <w:szCs w:val="24"/>
        </w:rPr>
        <w:t> :</w:t>
      </w:r>
    </w:p>
    <w:p w14:paraId="2604B94A" w14:textId="77777777" w:rsidR="002760B2" w:rsidRPr="00522BEC" w:rsidRDefault="002760B2" w:rsidP="000F21BE">
      <w:pPr>
        <w:tabs>
          <w:tab w:val="left" w:pos="0"/>
        </w:tabs>
        <w:spacing w:before="120" w:line="288" w:lineRule="auto"/>
        <w:ind w:left="1134" w:right="567"/>
        <w:rPr>
          <w:rFonts w:ascii="Times New Roman" w:hAnsi="Times New Roman" w:cs="Times New Roman"/>
          <w:kern w:val="24"/>
        </w:rPr>
      </w:pPr>
      <w:r w:rsidRPr="00522BEC">
        <w:rPr>
          <w:rFonts w:ascii="Times New Roman" w:hAnsi="Times New Roman" w:cs="Times New Roman"/>
          <w:kern w:val="24"/>
        </w:rPr>
        <w:t>« </w:t>
      </w:r>
      <w:r w:rsidR="00B14B27" w:rsidRPr="00522BEC">
        <w:rPr>
          <w:rFonts w:ascii="Times New Roman" w:hAnsi="Times New Roman" w:cs="Times New Roman"/>
          <w:i/>
          <w:iCs/>
          <w:kern w:val="24"/>
        </w:rPr>
        <w:t>Celui</w:t>
      </w:r>
      <w:r w:rsidRPr="00522BEC">
        <w:rPr>
          <w:rFonts w:ascii="Times New Roman" w:hAnsi="Times New Roman" w:cs="Times New Roman"/>
          <w:i/>
          <w:iCs/>
          <w:kern w:val="24"/>
        </w:rPr>
        <w:t xml:space="preserve"> qui soulage un musulman en difficulté, sera soulagé d’une difficulté le jour du jugement dernier</w:t>
      </w:r>
      <w:r w:rsidRPr="00522BEC">
        <w:rPr>
          <w:rFonts w:ascii="Times New Roman" w:hAnsi="Times New Roman" w:cs="Times New Roman"/>
          <w:kern w:val="24"/>
        </w:rPr>
        <w:t> »</w:t>
      </w:r>
      <w:r w:rsidRPr="00522BEC">
        <w:rPr>
          <w:rStyle w:val="Appelnotedebasdep"/>
          <w:rFonts w:ascii="Times New Roman" w:hAnsi="Times New Roman"/>
          <w:kern w:val="24"/>
        </w:rPr>
        <w:footnoteReference w:id="118"/>
      </w:r>
      <w:r w:rsidR="000A160A" w:rsidRPr="00522BEC">
        <w:rPr>
          <w:rFonts w:ascii="Times New Roman" w:hAnsi="Times New Roman" w:cs="Times New Roman"/>
          <w:kern w:val="24"/>
        </w:rPr>
        <w:t>.</w:t>
      </w:r>
    </w:p>
    <w:p w14:paraId="1E4522E0" w14:textId="40A19308" w:rsidR="002760B2" w:rsidRPr="00120365" w:rsidRDefault="002760B2" w:rsidP="00120365">
      <w:pPr>
        <w:tabs>
          <w:tab w:val="left" w:pos="0"/>
        </w:tabs>
        <w:spacing w:before="120"/>
        <w:ind w:firstLine="709"/>
        <w:rPr>
          <w:rFonts w:ascii="Times New Roman" w:hAnsi="Times New Roman" w:cs="Times New Roman"/>
          <w:spacing w:val="-2"/>
          <w:kern w:val="24"/>
          <w:sz w:val="24"/>
          <w:szCs w:val="24"/>
        </w:rPr>
      </w:pPr>
      <w:r w:rsidRPr="00120365">
        <w:rPr>
          <w:rFonts w:ascii="Times New Roman" w:hAnsi="Times New Roman" w:cs="Times New Roman"/>
          <w:spacing w:val="-2"/>
          <w:kern w:val="24"/>
          <w:sz w:val="24"/>
          <w:szCs w:val="24"/>
        </w:rPr>
        <w:t xml:space="preserve">Ce prêt peut être accordé pour financer des projets liés à un domaine social, éducatif, religieux ou économique. Concernant les modalités de remboursement, elles sont traitées entre le prêteur et l’emprunteur au moment de l’octroi du </w:t>
      </w:r>
      <w:r w:rsidR="00BC4A29" w:rsidRPr="00120365">
        <w:rPr>
          <w:rFonts w:ascii="Times New Roman" w:hAnsi="Times New Roman" w:cs="Times New Roman"/>
          <w:spacing w:val="-2"/>
          <w:kern w:val="24"/>
          <w:sz w:val="24"/>
          <w:szCs w:val="24"/>
        </w:rPr>
        <w:t>prêt. La banque</w:t>
      </w:r>
      <w:r w:rsidRPr="00120365">
        <w:rPr>
          <w:rFonts w:ascii="Times New Roman" w:hAnsi="Times New Roman" w:cs="Times New Roman"/>
          <w:spacing w:val="-2"/>
          <w:kern w:val="24"/>
          <w:sz w:val="24"/>
          <w:szCs w:val="24"/>
        </w:rPr>
        <w:t xml:space="preserve"> </w:t>
      </w:r>
      <w:r w:rsidR="00120365" w:rsidRPr="00120365">
        <w:rPr>
          <w:rFonts w:ascii="Times New Roman" w:hAnsi="Times New Roman" w:cs="Times New Roman"/>
          <w:spacing w:val="-2"/>
          <w:kern w:val="24"/>
          <w:sz w:val="24"/>
          <w:szCs w:val="24"/>
        </w:rPr>
        <w:t xml:space="preserve">pourrait </w:t>
      </w:r>
      <w:r w:rsidRPr="00120365">
        <w:rPr>
          <w:rFonts w:ascii="Times New Roman" w:hAnsi="Times New Roman" w:cs="Times New Roman"/>
          <w:spacing w:val="-2"/>
          <w:kern w:val="24"/>
          <w:sz w:val="24"/>
          <w:szCs w:val="24"/>
        </w:rPr>
        <w:t>facture</w:t>
      </w:r>
      <w:r w:rsidR="00120365" w:rsidRPr="00120365">
        <w:rPr>
          <w:rFonts w:ascii="Times New Roman" w:hAnsi="Times New Roman" w:cs="Times New Roman"/>
          <w:spacing w:val="-2"/>
          <w:kern w:val="24"/>
          <w:sz w:val="24"/>
          <w:szCs w:val="24"/>
        </w:rPr>
        <w:t>r</w:t>
      </w:r>
      <w:r w:rsidRPr="00120365">
        <w:rPr>
          <w:rFonts w:ascii="Times New Roman" w:hAnsi="Times New Roman" w:cs="Times New Roman"/>
          <w:spacing w:val="-2"/>
          <w:kern w:val="24"/>
          <w:sz w:val="24"/>
          <w:szCs w:val="24"/>
        </w:rPr>
        <w:t xml:space="preserve"> à l’emprunteur les frais du service couvrant les frais administratifs. En cas où l’emprunteur est une entrepri</w:t>
      </w:r>
      <w:r w:rsidR="00BC4A29" w:rsidRPr="00120365">
        <w:rPr>
          <w:rFonts w:ascii="Times New Roman" w:hAnsi="Times New Roman" w:cs="Times New Roman"/>
          <w:spacing w:val="-2"/>
          <w:kern w:val="24"/>
          <w:sz w:val="24"/>
          <w:szCs w:val="24"/>
        </w:rPr>
        <w:t>se, ce prêt peut être converti</w:t>
      </w:r>
      <w:r w:rsidRPr="00120365">
        <w:rPr>
          <w:rFonts w:ascii="Times New Roman" w:hAnsi="Times New Roman" w:cs="Times New Roman"/>
          <w:spacing w:val="-2"/>
          <w:kern w:val="24"/>
          <w:sz w:val="24"/>
          <w:szCs w:val="24"/>
        </w:rPr>
        <w:t xml:space="preserve"> en prise de participation au capital de cette entreprise.</w:t>
      </w:r>
    </w:p>
    <w:p w14:paraId="5D57C0CB" w14:textId="77777777" w:rsidR="002760B2" w:rsidRPr="00522BEC" w:rsidRDefault="000A160A" w:rsidP="00F04B08">
      <w:pPr>
        <w:pStyle w:val="Titre4"/>
        <w:keepNext w:val="0"/>
        <w:spacing w:before="120" w:after="120" w:line="300" w:lineRule="auto"/>
        <w:ind w:firstLine="709"/>
        <w:rPr>
          <w:kern w:val="24"/>
        </w:rPr>
      </w:pPr>
      <w:bookmarkStart w:id="380" w:name="_Toc33263240"/>
      <w:bookmarkStart w:id="381" w:name="_Toc37664492"/>
      <w:bookmarkStart w:id="382" w:name="_Toc37666337"/>
      <w:bookmarkStart w:id="383" w:name="_Toc54363226"/>
      <w:bookmarkStart w:id="384" w:name="_Toc58606242"/>
      <w:bookmarkStart w:id="385" w:name="_Toc61263447"/>
      <w:bookmarkStart w:id="386" w:name="_Toc182298661"/>
      <w:r w:rsidRPr="00522BEC">
        <w:rPr>
          <w:kern w:val="24"/>
        </w:rPr>
        <w:t xml:space="preserve">2.3.2- </w:t>
      </w:r>
      <w:r w:rsidR="002760B2" w:rsidRPr="00522BEC">
        <w:rPr>
          <w:kern w:val="24"/>
        </w:rPr>
        <w:t>Prêts sociaux de bienfaisance</w:t>
      </w:r>
      <w:bookmarkEnd w:id="380"/>
      <w:bookmarkEnd w:id="381"/>
      <w:bookmarkEnd w:id="382"/>
      <w:bookmarkEnd w:id="383"/>
      <w:bookmarkEnd w:id="384"/>
      <w:bookmarkEnd w:id="385"/>
      <w:bookmarkEnd w:id="386"/>
    </w:p>
    <w:p w14:paraId="0A8C0849" w14:textId="77777777" w:rsidR="002760B2" w:rsidRPr="00522BEC" w:rsidRDefault="002760B2" w:rsidP="00120365">
      <w:pPr>
        <w:pStyle w:val="Default"/>
        <w:tabs>
          <w:tab w:val="left" w:pos="0"/>
        </w:tabs>
        <w:spacing w:before="120" w:line="276" w:lineRule="auto"/>
        <w:ind w:firstLine="709"/>
        <w:rPr>
          <w:kern w:val="24"/>
        </w:rPr>
      </w:pPr>
      <w:r w:rsidRPr="00522BEC">
        <w:rPr>
          <w:kern w:val="24"/>
        </w:rPr>
        <w:t xml:space="preserve">Ce sont des prêts gratuits qui s’inscrivent surtout dans le rôle social que la banque joue dans la société. Généralement, ces prêts sont octroyés aux nécessiteux et aux groupes socialement faibles. Le remboursement se fait sans paiement d’intérêt au terme convenu ou sur demande du préteur. La BI accorde ces prêts aux petites coopératives pauvres en capitaux, cherchant à couvrir des besoins financiers vitaux, aux petits paysans, aux étudiants issus de milieux pauvres désirant poursuivre leur étude, </w:t>
      </w:r>
      <w:r w:rsidR="00FE1175" w:rsidRPr="00522BEC">
        <w:rPr>
          <w:kern w:val="24"/>
        </w:rPr>
        <w:t>etc.</w:t>
      </w:r>
    </w:p>
    <w:p w14:paraId="39269882" w14:textId="77777777" w:rsidR="002760B2" w:rsidRPr="00522BEC" w:rsidRDefault="002760B2" w:rsidP="00120365">
      <w:pPr>
        <w:pStyle w:val="Default"/>
        <w:tabs>
          <w:tab w:val="left" w:pos="0"/>
        </w:tabs>
        <w:spacing w:before="120" w:line="276" w:lineRule="auto"/>
        <w:ind w:firstLine="709"/>
        <w:rPr>
          <w:kern w:val="24"/>
        </w:rPr>
      </w:pPr>
      <w:r w:rsidRPr="00522BEC">
        <w:rPr>
          <w:kern w:val="24"/>
        </w:rPr>
        <w:t xml:space="preserve">Ainsi, pour concilier entre les deux aspects financier et religieux, des réalisations concrètes sur le plan social peuvent avoir lieu. En effet, la banque </w:t>
      </w:r>
      <w:r w:rsidR="00505EDD" w:rsidRPr="00522BEC">
        <w:rPr>
          <w:kern w:val="24"/>
        </w:rPr>
        <w:t>i</w:t>
      </w:r>
      <w:r w:rsidR="003773C6" w:rsidRPr="00522BEC">
        <w:rPr>
          <w:kern w:val="24"/>
        </w:rPr>
        <w:t>slamique</w:t>
      </w:r>
      <w:r w:rsidRPr="00522BEC">
        <w:rPr>
          <w:kern w:val="24"/>
        </w:rPr>
        <w:t xml:space="preserve"> peut apporter sa contribution financière aux projets de constructions d’hôpitaux et de cliniques, de mosquées ou encore de centre de formation professionnelle.</w:t>
      </w:r>
    </w:p>
    <w:p w14:paraId="18B591B7" w14:textId="77777777" w:rsidR="002760B2" w:rsidRPr="007C559B" w:rsidRDefault="000A160A" w:rsidP="00120365">
      <w:pPr>
        <w:pStyle w:val="Titre3"/>
        <w:keepNext w:val="0"/>
        <w:keepLines w:val="0"/>
        <w:spacing w:before="100" w:beforeAutospacing="1" w:line="300" w:lineRule="auto"/>
        <w:ind w:firstLine="709"/>
        <w:rPr>
          <w:kern w:val="24"/>
        </w:rPr>
      </w:pPr>
      <w:bookmarkStart w:id="387" w:name="_Toc33263241"/>
      <w:bookmarkStart w:id="388" w:name="_Toc37664493"/>
      <w:bookmarkStart w:id="389" w:name="_Toc37666338"/>
      <w:bookmarkStart w:id="390" w:name="_Toc54363227"/>
      <w:bookmarkStart w:id="391" w:name="_Toc58606243"/>
      <w:bookmarkStart w:id="392" w:name="_Toc61263448"/>
      <w:bookmarkStart w:id="393" w:name="_Toc182298662"/>
      <w:r w:rsidRPr="007C559B">
        <w:rPr>
          <w:kern w:val="24"/>
        </w:rPr>
        <w:t xml:space="preserve">2.4- </w:t>
      </w:r>
      <w:r w:rsidR="00CC5491" w:rsidRPr="007C559B">
        <w:rPr>
          <w:kern w:val="24"/>
        </w:rPr>
        <w:t>I</w:t>
      </w:r>
      <w:r w:rsidR="002760B2" w:rsidRPr="007C559B">
        <w:rPr>
          <w:kern w:val="24"/>
        </w:rPr>
        <w:t xml:space="preserve">nstruments financiers utilisés sur le marché de capitaux </w:t>
      </w:r>
      <w:r w:rsidR="00505EDD" w:rsidRPr="007C559B">
        <w:rPr>
          <w:kern w:val="24"/>
        </w:rPr>
        <w:t>i</w:t>
      </w:r>
      <w:r w:rsidR="003773C6" w:rsidRPr="007C559B">
        <w:rPr>
          <w:kern w:val="24"/>
        </w:rPr>
        <w:t>slamique</w:t>
      </w:r>
      <w:bookmarkEnd w:id="387"/>
      <w:bookmarkEnd w:id="388"/>
      <w:bookmarkEnd w:id="389"/>
      <w:bookmarkEnd w:id="390"/>
      <w:bookmarkEnd w:id="391"/>
      <w:bookmarkEnd w:id="392"/>
      <w:bookmarkEnd w:id="393"/>
    </w:p>
    <w:p w14:paraId="08A3CED5" w14:textId="7FC9FFAA" w:rsidR="002760B2" w:rsidRPr="007C559B" w:rsidRDefault="002760B2" w:rsidP="00120365">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Devant une situation d’incompatibilité des instruments financiers </w:t>
      </w:r>
      <w:r w:rsidR="00C34E77" w:rsidRPr="007C559B">
        <w:rPr>
          <w:rFonts w:ascii="Times New Roman" w:hAnsi="Times New Roman" w:cs="Times New Roman"/>
          <w:kern w:val="24"/>
          <w:sz w:val="24"/>
          <w:szCs w:val="24"/>
        </w:rPr>
        <w:t xml:space="preserve">classiques </w:t>
      </w:r>
      <w:r w:rsidRPr="007C559B">
        <w:rPr>
          <w:rFonts w:ascii="Times New Roman" w:hAnsi="Times New Roman" w:cs="Times New Roman"/>
          <w:kern w:val="24"/>
          <w:sz w:val="24"/>
          <w:szCs w:val="24"/>
        </w:rPr>
        <w:t xml:space="preserve">disponibles sur le marché avec les règles de la </w:t>
      </w:r>
      <w:r w:rsidR="001F5C83" w:rsidRPr="007C559B">
        <w:rPr>
          <w:rFonts w:asciiTheme="majorBidi" w:eastAsia="Times New Roman" w:hAnsiTheme="majorBidi" w:cstheme="majorBidi"/>
          <w:i/>
          <w:iCs/>
          <w:color w:val="000000" w:themeColor="text1"/>
          <w:kern w:val="24"/>
          <w:sz w:val="24"/>
          <w:szCs w:val="24"/>
          <w:lang w:eastAsia="fr-FR"/>
        </w:rPr>
        <w:t>Shariah</w:t>
      </w:r>
      <w:r w:rsidRPr="007C559B">
        <w:rPr>
          <w:rFonts w:ascii="Times New Roman" w:hAnsi="Times New Roman" w:cs="Times New Roman"/>
          <w:kern w:val="24"/>
          <w:sz w:val="24"/>
          <w:szCs w:val="24"/>
        </w:rPr>
        <w:t>, il est indispensable de préparer des alternatives. L’existence de marchés financiers efficients est un élément primordial pour le développeme</w:t>
      </w:r>
      <w:r w:rsidR="00E91E21" w:rsidRPr="007C559B">
        <w:rPr>
          <w:rFonts w:ascii="Times New Roman" w:hAnsi="Times New Roman" w:cs="Times New Roman"/>
          <w:kern w:val="24"/>
          <w:sz w:val="24"/>
          <w:szCs w:val="24"/>
        </w:rPr>
        <w:t xml:space="preserve">nt de la finance </w:t>
      </w:r>
      <w:r w:rsidR="00505EDD" w:rsidRPr="007C559B">
        <w:rPr>
          <w:rFonts w:ascii="Times New Roman" w:hAnsi="Times New Roman" w:cs="Times New Roman"/>
          <w:kern w:val="24"/>
          <w:sz w:val="24"/>
          <w:szCs w:val="24"/>
        </w:rPr>
        <w:t>i</w:t>
      </w:r>
      <w:r w:rsidR="003773C6" w:rsidRPr="007C559B">
        <w:rPr>
          <w:rFonts w:ascii="Times New Roman" w:hAnsi="Times New Roman" w:cs="Times New Roman"/>
          <w:kern w:val="24"/>
          <w:sz w:val="24"/>
          <w:szCs w:val="24"/>
        </w:rPr>
        <w:t>slamique</w:t>
      </w:r>
      <w:r w:rsidR="00E91E21" w:rsidRPr="007C559B">
        <w:rPr>
          <w:rFonts w:ascii="Times New Roman" w:hAnsi="Times New Roman" w:cs="Times New Roman"/>
          <w:kern w:val="24"/>
          <w:sz w:val="24"/>
          <w:szCs w:val="24"/>
        </w:rPr>
        <w:t>. Car</w:t>
      </w:r>
      <w:r w:rsidRPr="007C559B">
        <w:rPr>
          <w:rFonts w:ascii="Times New Roman" w:hAnsi="Times New Roman" w:cs="Times New Roman"/>
          <w:kern w:val="24"/>
          <w:sz w:val="24"/>
          <w:szCs w:val="24"/>
        </w:rPr>
        <w:t xml:space="preserve"> les marchés permettent d’acheminer les ressources disponibles vers les besoins de fonds, d’assurer ainsi une meilleure allocation des ressources</w:t>
      </w:r>
      <w:r w:rsidRPr="007C559B">
        <w:rPr>
          <w:rStyle w:val="Appelnotedebasdep"/>
          <w:rFonts w:ascii="Times New Roman" w:hAnsi="Times New Roman"/>
          <w:kern w:val="24"/>
          <w:sz w:val="24"/>
          <w:szCs w:val="24"/>
        </w:rPr>
        <w:footnoteReference w:id="119"/>
      </w:r>
      <w:r w:rsidRPr="007C559B">
        <w:rPr>
          <w:rFonts w:ascii="Times New Roman" w:hAnsi="Times New Roman" w:cs="Times New Roman"/>
          <w:kern w:val="24"/>
          <w:sz w:val="24"/>
          <w:szCs w:val="24"/>
        </w:rPr>
        <w:t>.</w:t>
      </w:r>
    </w:p>
    <w:p w14:paraId="0F428172" w14:textId="6545E364" w:rsidR="002760B2" w:rsidRPr="007C559B" w:rsidRDefault="00614CBB" w:rsidP="007C559B">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Les</w:t>
      </w:r>
      <w:r w:rsidR="002760B2" w:rsidRPr="007C559B">
        <w:rPr>
          <w:rFonts w:ascii="Times New Roman" w:hAnsi="Times New Roman" w:cs="Times New Roman"/>
          <w:kern w:val="24"/>
          <w:sz w:val="24"/>
          <w:szCs w:val="24"/>
        </w:rPr>
        <w:t xml:space="preserve"> IFI investissent de plus en plus dans de nouveaux produits financiers conforment à </w:t>
      </w:r>
      <w:r w:rsidR="002760B2" w:rsidRPr="007C559B">
        <w:rPr>
          <w:rFonts w:ascii="Times New Roman" w:hAnsi="Times New Roman" w:cs="Times New Roman"/>
          <w:kern w:val="24"/>
          <w:sz w:val="24"/>
          <w:szCs w:val="24"/>
        </w:rPr>
        <w:lastRenderedPageBreak/>
        <w:t xml:space="preserve">la </w:t>
      </w:r>
      <w:r w:rsidR="001F5C83" w:rsidRPr="007C559B">
        <w:rPr>
          <w:rFonts w:asciiTheme="majorBidi" w:eastAsia="Times New Roman" w:hAnsiTheme="majorBidi" w:cstheme="majorBidi"/>
          <w:i/>
          <w:iCs/>
          <w:color w:val="000000" w:themeColor="text1"/>
          <w:kern w:val="24"/>
          <w:sz w:val="24"/>
          <w:szCs w:val="24"/>
          <w:lang w:eastAsia="fr-FR"/>
        </w:rPr>
        <w:t>Shariah</w:t>
      </w:r>
      <w:r w:rsidR="00EF28EC" w:rsidRPr="007C559B">
        <w:rPr>
          <w:rFonts w:ascii="Times New Roman" w:hAnsi="Times New Roman" w:cs="Times New Roman"/>
          <w:kern w:val="24"/>
          <w:sz w:val="24"/>
          <w:szCs w:val="24"/>
        </w:rPr>
        <w:t xml:space="preserve"> et</w:t>
      </w:r>
      <w:r w:rsidR="002760B2" w:rsidRPr="007C559B">
        <w:rPr>
          <w:rFonts w:ascii="Times New Roman" w:hAnsi="Times New Roman" w:cs="Times New Roman"/>
          <w:kern w:val="24"/>
          <w:sz w:val="24"/>
          <w:szCs w:val="24"/>
        </w:rPr>
        <w:t xml:space="preserve"> inspirés des instruments financiers conventionnels. Le marché des obligations </w:t>
      </w:r>
      <w:r w:rsidR="00505EDD" w:rsidRPr="007C559B">
        <w:rPr>
          <w:rFonts w:ascii="Times New Roman" w:hAnsi="Times New Roman" w:cs="Times New Roman"/>
          <w:kern w:val="24"/>
          <w:sz w:val="24"/>
          <w:szCs w:val="24"/>
        </w:rPr>
        <w:t>i</w:t>
      </w:r>
      <w:r w:rsidR="003773C6" w:rsidRPr="007C559B">
        <w:rPr>
          <w:rFonts w:ascii="Times New Roman" w:hAnsi="Times New Roman" w:cs="Times New Roman"/>
          <w:kern w:val="24"/>
          <w:sz w:val="24"/>
          <w:szCs w:val="24"/>
        </w:rPr>
        <w:t>slamique</w:t>
      </w:r>
      <w:r w:rsidR="002760B2" w:rsidRPr="007C559B">
        <w:rPr>
          <w:rFonts w:ascii="Times New Roman" w:hAnsi="Times New Roman" w:cs="Times New Roman"/>
          <w:kern w:val="24"/>
          <w:sz w:val="24"/>
          <w:szCs w:val="24"/>
        </w:rPr>
        <w:t xml:space="preserve">s internationales dites </w:t>
      </w:r>
      <w:r w:rsidR="002C67F4" w:rsidRPr="007C559B">
        <w:rPr>
          <w:rFonts w:ascii="Times New Roman" w:hAnsi="Times New Roman" w:cs="Times New Roman"/>
          <w:i/>
          <w:kern w:val="24"/>
          <w:sz w:val="24"/>
          <w:szCs w:val="24"/>
        </w:rPr>
        <w:t>sukuk</w:t>
      </w:r>
      <w:r w:rsidR="002760B2" w:rsidRPr="007C559B">
        <w:rPr>
          <w:rFonts w:ascii="Times New Roman" w:hAnsi="Times New Roman" w:cs="Times New Roman"/>
          <w:kern w:val="24"/>
          <w:sz w:val="24"/>
          <w:szCs w:val="24"/>
        </w:rPr>
        <w:t xml:space="preserve"> représente l’un des </w:t>
      </w:r>
      <w:r w:rsidR="00E91E21" w:rsidRPr="007C559B">
        <w:rPr>
          <w:rFonts w:ascii="Times New Roman" w:hAnsi="Times New Roman" w:cs="Times New Roman"/>
          <w:kern w:val="24"/>
          <w:sz w:val="24"/>
          <w:szCs w:val="24"/>
        </w:rPr>
        <w:t xml:space="preserve">secteurs particulièrement innovant. Il </w:t>
      </w:r>
      <w:r w:rsidR="002760B2" w:rsidRPr="007C559B">
        <w:rPr>
          <w:rFonts w:ascii="Times New Roman" w:hAnsi="Times New Roman" w:cs="Times New Roman"/>
          <w:kern w:val="24"/>
          <w:sz w:val="24"/>
          <w:szCs w:val="24"/>
        </w:rPr>
        <w:t>conna</w:t>
      </w:r>
      <w:r w:rsidR="00E91E21" w:rsidRPr="007C559B">
        <w:rPr>
          <w:rFonts w:ascii="Times New Roman" w:hAnsi="Times New Roman" w:cs="Times New Roman"/>
          <w:kern w:val="24"/>
          <w:sz w:val="24"/>
          <w:szCs w:val="24"/>
        </w:rPr>
        <w:t>î</w:t>
      </w:r>
      <w:r w:rsidR="002760B2" w:rsidRPr="007C559B">
        <w:rPr>
          <w:rFonts w:ascii="Times New Roman" w:hAnsi="Times New Roman" w:cs="Times New Roman"/>
          <w:kern w:val="24"/>
          <w:sz w:val="24"/>
          <w:szCs w:val="24"/>
        </w:rPr>
        <w:t xml:space="preserve">t </w:t>
      </w:r>
      <w:r w:rsidRPr="007C559B">
        <w:rPr>
          <w:rFonts w:ascii="Times New Roman" w:hAnsi="Times New Roman" w:cs="Times New Roman"/>
          <w:kern w:val="24"/>
          <w:sz w:val="24"/>
          <w:szCs w:val="24"/>
        </w:rPr>
        <w:t>depuis sa création,</w:t>
      </w:r>
      <w:r w:rsidR="002760B2" w:rsidRPr="007C559B">
        <w:rPr>
          <w:rFonts w:ascii="Times New Roman" w:hAnsi="Times New Roman" w:cs="Times New Roman"/>
          <w:kern w:val="24"/>
          <w:sz w:val="24"/>
          <w:szCs w:val="24"/>
        </w:rPr>
        <w:t xml:space="preserve"> une</w:t>
      </w:r>
      <w:r w:rsidR="00E91E21" w:rsidRPr="007C559B">
        <w:rPr>
          <w:rFonts w:ascii="Times New Roman" w:hAnsi="Times New Roman" w:cs="Times New Roman"/>
          <w:kern w:val="24"/>
          <w:sz w:val="24"/>
          <w:szCs w:val="24"/>
        </w:rPr>
        <w:t xml:space="preserve"> expansion extraordinaire. Après une description du marché, nous en</w:t>
      </w:r>
      <w:r w:rsidR="002760B2" w:rsidRPr="007C559B">
        <w:rPr>
          <w:rFonts w:ascii="Times New Roman" w:hAnsi="Times New Roman" w:cs="Times New Roman"/>
          <w:kern w:val="24"/>
          <w:sz w:val="24"/>
          <w:szCs w:val="24"/>
        </w:rPr>
        <w:t xml:space="preserve"> </w:t>
      </w:r>
      <w:r w:rsidR="00E91E21" w:rsidRPr="007C559B">
        <w:rPr>
          <w:rFonts w:ascii="Times New Roman" w:hAnsi="Times New Roman" w:cs="Times New Roman"/>
          <w:kern w:val="24"/>
          <w:sz w:val="24"/>
          <w:szCs w:val="24"/>
        </w:rPr>
        <w:t>exposons</w:t>
      </w:r>
      <w:r w:rsidR="002760B2" w:rsidRPr="007C559B">
        <w:rPr>
          <w:rFonts w:ascii="Times New Roman" w:hAnsi="Times New Roman" w:cs="Times New Roman"/>
          <w:kern w:val="24"/>
          <w:sz w:val="24"/>
          <w:szCs w:val="24"/>
        </w:rPr>
        <w:t xml:space="preserve"> quelques produits financiers alternatifs.</w:t>
      </w:r>
    </w:p>
    <w:p w14:paraId="056CB182" w14:textId="02F1F6D8" w:rsidR="002760B2" w:rsidRPr="007C559B" w:rsidRDefault="000A160A" w:rsidP="007C559B">
      <w:pPr>
        <w:pStyle w:val="Titre4"/>
        <w:keepNext w:val="0"/>
        <w:spacing w:before="120" w:after="0" w:line="300" w:lineRule="auto"/>
        <w:ind w:firstLine="709"/>
        <w:rPr>
          <w:kern w:val="24"/>
        </w:rPr>
      </w:pPr>
      <w:bookmarkStart w:id="394" w:name="_Toc33263242"/>
      <w:bookmarkStart w:id="395" w:name="_Toc37664494"/>
      <w:bookmarkStart w:id="396" w:name="_Toc37666339"/>
      <w:bookmarkStart w:id="397" w:name="_Toc54363228"/>
      <w:bookmarkStart w:id="398" w:name="_Toc58606244"/>
      <w:bookmarkStart w:id="399" w:name="_Toc61263449"/>
      <w:bookmarkStart w:id="400" w:name="_Toc182298663"/>
      <w:r w:rsidRPr="007C559B">
        <w:rPr>
          <w:kern w:val="24"/>
        </w:rPr>
        <w:t xml:space="preserve">2.4.1- </w:t>
      </w:r>
      <w:r w:rsidR="00F92644" w:rsidRPr="00F92644">
        <w:rPr>
          <w:i/>
          <w:iCs/>
          <w:kern w:val="24"/>
        </w:rPr>
        <w:t>S</w:t>
      </w:r>
      <w:r w:rsidR="002C67F4" w:rsidRPr="00F92644">
        <w:rPr>
          <w:i/>
          <w:iCs/>
          <w:kern w:val="24"/>
        </w:rPr>
        <w:t>ukuk</w:t>
      </w:r>
      <w:bookmarkEnd w:id="394"/>
      <w:bookmarkEnd w:id="395"/>
      <w:bookmarkEnd w:id="396"/>
      <w:bookmarkEnd w:id="397"/>
      <w:bookmarkEnd w:id="398"/>
      <w:bookmarkEnd w:id="399"/>
      <w:bookmarkEnd w:id="400"/>
    </w:p>
    <w:p w14:paraId="35E27975" w14:textId="77777777" w:rsidR="002760B2" w:rsidRPr="007C559B" w:rsidRDefault="007A11D7" w:rsidP="007C559B">
      <w:pPr>
        <w:tabs>
          <w:tab w:val="left" w:pos="0"/>
        </w:tabs>
        <w:spacing w:before="120" w:line="300" w:lineRule="auto"/>
        <w:ind w:firstLine="709"/>
        <w:rPr>
          <w:rFonts w:ascii="Times New Roman" w:hAnsi="Times New Roman" w:cs="Times New Roman"/>
          <w:b/>
          <w:bCs/>
          <w:kern w:val="24"/>
          <w:sz w:val="24"/>
          <w:szCs w:val="24"/>
        </w:rPr>
      </w:pPr>
      <w:r w:rsidRPr="007C559B">
        <w:rPr>
          <w:rFonts w:ascii="Times New Roman" w:hAnsi="Times New Roman" w:cs="Times New Roman"/>
          <w:kern w:val="24"/>
          <w:sz w:val="24"/>
          <w:szCs w:val="24"/>
        </w:rPr>
        <w:t xml:space="preserve">Les </w:t>
      </w:r>
      <w:r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offrent un vaste champ d'innovations et représente une opportunité pour le développement de la finance </w:t>
      </w:r>
      <w:r w:rsidR="00505EDD" w:rsidRPr="007C559B">
        <w:rPr>
          <w:rFonts w:ascii="Times New Roman" w:hAnsi="Times New Roman" w:cs="Times New Roman"/>
          <w:kern w:val="24"/>
          <w:sz w:val="24"/>
          <w:szCs w:val="24"/>
        </w:rPr>
        <w:t>i</w:t>
      </w:r>
      <w:r w:rsidR="003773C6" w:rsidRPr="007C559B">
        <w:rPr>
          <w:rFonts w:ascii="Times New Roman" w:hAnsi="Times New Roman" w:cs="Times New Roman"/>
          <w:kern w:val="24"/>
          <w:sz w:val="24"/>
          <w:szCs w:val="24"/>
        </w:rPr>
        <w:t>slamique</w:t>
      </w:r>
      <w:r w:rsidRPr="007C559B">
        <w:rPr>
          <w:rStyle w:val="Appelnotedebasdep"/>
          <w:rFonts w:ascii="Times New Roman" w:hAnsi="Times New Roman"/>
          <w:kern w:val="24"/>
          <w:sz w:val="24"/>
          <w:szCs w:val="24"/>
        </w:rPr>
        <w:footnoteReference w:id="120"/>
      </w:r>
      <w:r w:rsidRPr="007C559B">
        <w:rPr>
          <w:rFonts w:ascii="Times New Roman" w:hAnsi="Times New Roman" w:cs="Times New Roman"/>
          <w:kern w:val="24"/>
          <w:sz w:val="24"/>
          <w:szCs w:val="24"/>
        </w:rPr>
        <w:t xml:space="preserve">. Le mot arabe </w:t>
      </w:r>
      <w:r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est le pluriel du mot </w:t>
      </w:r>
      <w:r w:rsidRPr="007C559B">
        <w:rPr>
          <w:rFonts w:ascii="Times New Roman" w:hAnsi="Times New Roman" w:cs="Times New Roman"/>
          <w:i/>
          <w:iCs/>
          <w:kern w:val="24"/>
          <w:sz w:val="24"/>
          <w:szCs w:val="24"/>
        </w:rPr>
        <w:t>sak</w:t>
      </w:r>
      <w:r w:rsidR="007A7889" w:rsidRPr="007C559B">
        <w:rPr>
          <w:rFonts w:ascii="Times New Roman" w:hAnsi="Times New Roman" w:cs="Times New Roman"/>
          <w:i/>
          <w:iCs/>
          <w:kern w:val="24"/>
          <w:sz w:val="24"/>
          <w:szCs w:val="24"/>
        </w:rPr>
        <w:t>k</w:t>
      </w:r>
      <w:r w:rsidR="00C35105" w:rsidRPr="007C559B">
        <w:rPr>
          <w:rFonts w:ascii="Times New Roman" w:hAnsi="Times New Roman" w:cs="Times New Roman"/>
          <w:kern w:val="24"/>
          <w:sz w:val="24"/>
          <w:szCs w:val="24"/>
        </w:rPr>
        <w:t xml:space="preserve"> qui signifie « </w:t>
      </w:r>
      <w:r w:rsidRPr="007C559B">
        <w:rPr>
          <w:rFonts w:ascii="Times New Roman" w:hAnsi="Times New Roman" w:cs="Times New Roman"/>
          <w:kern w:val="24"/>
          <w:sz w:val="24"/>
          <w:szCs w:val="24"/>
        </w:rPr>
        <w:t xml:space="preserve">document financier permettant au titulaire de bénéficier de la somme </w:t>
      </w:r>
      <w:r w:rsidR="00C35105" w:rsidRPr="007C559B">
        <w:rPr>
          <w:rFonts w:ascii="Times New Roman" w:hAnsi="Times New Roman" w:cs="Times New Roman"/>
          <w:kern w:val="24"/>
          <w:sz w:val="24"/>
          <w:szCs w:val="24"/>
        </w:rPr>
        <w:t>d’argent indiquée sur celui-ci »</w:t>
      </w:r>
      <w:r w:rsidRPr="007C559B">
        <w:rPr>
          <w:rFonts w:ascii="Times New Roman" w:hAnsi="Times New Roman" w:cs="Times New Roman"/>
          <w:kern w:val="24"/>
          <w:sz w:val="24"/>
          <w:szCs w:val="24"/>
        </w:rPr>
        <w:t>.</w:t>
      </w:r>
    </w:p>
    <w:p w14:paraId="4C5A3DF1" w14:textId="0FAC5952" w:rsidR="002760B2" w:rsidRPr="007C559B" w:rsidRDefault="002760B2" w:rsidP="007C559B">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L'AAOIFI définit les </w:t>
      </w:r>
      <w:r w:rsidR="007A11D7"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comme étant des titres de copropriété représentatifs d'un actif tangible. Plus simplement, les </w:t>
      </w:r>
      <w:r w:rsidR="007A11D7"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sont des titres dont le rendement est lié à la performance d'un actif sous-jacent</w:t>
      </w:r>
      <w:r w:rsidRPr="007C559B">
        <w:rPr>
          <w:rStyle w:val="Appelnotedebasdep"/>
          <w:rFonts w:ascii="Times New Roman" w:hAnsi="Times New Roman"/>
          <w:kern w:val="24"/>
          <w:sz w:val="24"/>
          <w:szCs w:val="24"/>
        </w:rPr>
        <w:footnoteReference w:id="121"/>
      </w:r>
      <w:r w:rsidRPr="007C559B">
        <w:rPr>
          <w:rFonts w:ascii="Times New Roman" w:hAnsi="Times New Roman" w:cs="Times New Roman"/>
          <w:kern w:val="24"/>
          <w:sz w:val="24"/>
          <w:szCs w:val="24"/>
        </w:rPr>
        <w:t>. Donc, c'est une sorte d'obligations adossées à un actif tangible ou à un investissement dans une entreprise, émises par des organismes</w:t>
      </w:r>
      <w:r w:rsidR="007A7889" w:rsidRPr="007C559B">
        <w:rPr>
          <w:rFonts w:ascii="Times New Roman" w:hAnsi="Times New Roman" w:cs="Times New Roman"/>
          <w:kern w:val="24"/>
          <w:sz w:val="24"/>
          <w:szCs w:val="24"/>
        </w:rPr>
        <w:t xml:space="preserve"> financiers</w:t>
      </w:r>
      <w:r w:rsidRPr="007C559B">
        <w:rPr>
          <w:rFonts w:ascii="Times New Roman" w:hAnsi="Times New Roman" w:cs="Times New Roman"/>
          <w:kern w:val="24"/>
          <w:sz w:val="24"/>
          <w:szCs w:val="24"/>
        </w:rPr>
        <w:t xml:space="preserve">, entreprises ou Etat, qui ont </w:t>
      </w:r>
      <w:r w:rsidR="007A7889" w:rsidRPr="007C559B">
        <w:rPr>
          <w:rFonts w:ascii="Times New Roman" w:hAnsi="Times New Roman" w:cs="Times New Roman"/>
          <w:kern w:val="24"/>
          <w:sz w:val="24"/>
          <w:szCs w:val="24"/>
        </w:rPr>
        <w:t>besoin de financement</w:t>
      </w:r>
      <w:r w:rsidRPr="007C559B">
        <w:rPr>
          <w:rFonts w:ascii="Times New Roman" w:hAnsi="Times New Roman" w:cs="Times New Roman"/>
          <w:kern w:val="24"/>
          <w:sz w:val="24"/>
          <w:szCs w:val="24"/>
        </w:rPr>
        <w:t xml:space="preserve">. Ces obligations sont compatibles avec la </w:t>
      </w:r>
      <w:r w:rsidR="001F5C83" w:rsidRPr="007C559B">
        <w:rPr>
          <w:rFonts w:asciiTheme="majorBidi" w:eastAsia="Times New Roman" w:hAnsiTheme="majorBidi" w:cstheme="majorBidi"/>
          <w:i/>
          <w:iCs/>
          <w:color w:val="000000" w:themeColor="text1"/>
          <w:kern w:val="24"/>
          <w:sz w:val="24"/>
          <w:szCs w:val="24"/>
          <w:lang w:eastAsia="fr-FR"/>
        </w:rPr>
        <w:t>Shariah</w:t>
      </w:r>
      <w:r w:rsidRPr="007C559B">
        <w:rPr>
          <w:rFonts w:ascii="Times New Roman" w:hAnsi="Times New Roman" w:cs="Times New Roman"/>
          <w:kern w:val="24"/>
          <w:sz w:val="24"/>
          <w:szCs w:val="24"/>
        </w:rPr>
        <w:t xml:space="preserve"> qui interdit l</w:t>
      </w:r>
      <w:r w:rsidR="008D7D3C" w:rsidRPr="007C559B">
        <w:rPr>
          <w:rFonts w:ascii="Times New Roman" w:hAnsi="Times New Roman" w:cs="Times New Roman"/>
          <w:kern w:val="24"/>
          <w:sz w:val="24"/>
          <w:szCs w:val="24"/>
        </w:rPr>
        <w:t>’</w:t>
      </w:r>
      <w:r w:rsidRPr="007C559B">
        <w:rPr>
          <w:rFonts w:ascii="Times New Roman" w:hAnsi="Times New Roman" w:cs="Times New Roman"/>
          <w:kern w:val="24"/>
          <w:sz w:val="24"/>
          <w:szCs w:val="24"/>
        </w:rPr>
        <w:t>intérê</w:t>
      </w:r>
      <w:r w:rsidR="007A7889" w:rsidRPr="007C559B">
        <w:rPr>
          <w:rFonts w:ascii="Times New Roman" w:hAnsi="Times New Roman" w:cs="Times New Roman"/>
          <w:kern w:val="24"/>
          <w:sz w:val="24"/>
          <w:szCs w:val="24"/>
        </w:rPr>
        <w:t xml:space="preserve">t </w:t>
      </w:r>
      <w:r w:rsidR="008D7D3C" w:rsidRPr="007C559B">
        <w:rPr>
          <w:rFonts w:ascii="Times New Roman" w:hAnsi="Times New Roman" w:cs="Times New Roman"/>
          <w:kern w:val="24"/>
          <w:sz w:val="24"/>
          <w:szCs w:val="24"/>
        </w:rPr>
        <w:t>sous toutes ses formes (</w:t>
      </w:r>
      <w:r w:rsidR="007A7889" w:rsidRPr="007C559B">
        <w:rPr>
          <w:rFonts w:ascii="Times New Roman" w:hAnsi="Times New Roman" w:cs="Times New Roman"/>
          <w:kern w:val="24"/>
          <w:sz w:val="24"/>
          <w:szCs w:val="24"/>
        </w:rPr>
        <w:t>bancaire</w:t>
      </w:r>
      <w:r w:rsidR="008D7D3C" w:rsidRPr="007C559B">
        <w:rPr>
          <w:rFonts w:ascii="Times New Roman" w:hAnsi="Times New Roman" w:cs="Times New Roman"/>
          <w:kern w:val="24"/>
          <w:sz w:val="24"/>
          <w:szCs w:val="24"/>
        </w:rPr>
        <w:t>, monétaire, financier, commercial…)</w:t>
      </w:r>
      <w:r w:rsidR="007A7889" w:rsidRPr="007C559B">
        <w:rPr>
          <w:rFonts w:ascii="Times New Roman" w:hAnsi="Times New Roman" w:cs="Times New Roman"/>
          <w:kern w:val="24"/>
          <w:sz w:val="24"/>
          <w:szCs w:val="24"/>
        </w:rPr>
        <w:t xml:space="preserve"> et la spéculation.</w:t>
      </w:r>
    </w:p>
    <w:p w14:paraId="3D07287C" w14:textId="0646AC7C" w:rsidR="00614CBB" w:rsidRPr="007C559B" w:rsidRDefault="002760B2" w:rsidP="007C559B">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Selon </w:t>
      </w:r>
      <w:r w:rsidRPr="007C559B">
        <w:rPr>
          <w:rFonts w:ascii="Times New Roman" w:hAnsi="Times New Roman" w:cs="Times New Roman"/>
          <w:smallCaps/>
          <w:kern w:val="24"/>
          <w:sz w:val="24"/>
          <w:szCs w:val="24"/>
        </w:rPr>
        <w:t>Hassoun</w:t>
      </w:r>
      <w:r w:rsidRPr="007C559B">
        <w:rPr>
          <w:rFonts w:ascii="Times New Roman" w:hAnsi="Times New Roman" w:cs="Times New Roman"/>
          <w:kern w:val="24"/>
          <w:sz w:val="24"/>
          <w:szCs w:val="24"/>
        </w:rPr>
        <w:t xml:space="preserve"> (2009), le financement des </w:t>
      </w:r>
      <w:r w:rsidR="007A11D7"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peut être décrit comme</w:t>
      </w:r>
      <w:r w:rsidR="00614CBB" w:rsidRPr="007C559B">
        <w:rPr>
          <w:rFonts w:ascii="Times New Roman" w:hAnsi="Times New Roman" w:cs="Times New Roman"/>
          <w:kern w:val="24"/>
          <w:sz w:val="24"/>
          <w:szCs w:val="24"/>
        </w:rPr>
        <w:t xml:space="preserve"> suit : (</w:t>
      </w:r>
      <w:r w:rsidR="00D51F49" w:rsidRPr="007C559B">
        <w:rPr>
          <w:rFonts w:ascii="Times New Roman" w:hAnsi="Times New Roman" w:cs="Times New Roman"/>
          <w:kern w:val="24"/>
          <w:sz w:val="24"/>
          <w:szCs w:val="24"/>
        </w:rPr>
        <w:t xml:space="preserve">voir </w:t>
      </w:r>
      <w:r w:rsidR="00614CBB" w:rsidRPr="007C559B">
        <w:rPr>
          <w:rFonts w:ascii="Times New Roman" w:hAnsi="Times New Roman" w:cs="Times New Roman"/>
          <w:b/>
          <w:bCs/>
          <w:kern w:val="24"/>
          <w:sz w:val="24"/>
          <w:szCs w:val="24"/>
        </w:rPr>
        <w:t>figure 10</w:t>
      </w:r>
      <w:r w:rsidR="00614CBB" w:rsidRPr="007C559B">
        <w:rPr>
          <w:rFonts w:ascii="Times New Roman" w:hAnsi="Times New Roman" w:cs="Times New Roman"/>
          <w:kern w:val="24"/>
          <w:sz w:val="24"/>
          <w:szCs w:val="24"/>
        </w:rPr>
        <w:t>)</w:t>
      </w:r>
    </w:p>
    <w:p w14:paraId="56A8E008" w14:textId="179E9F1A" w:rsidR="002760B2" w:rsidRPr="007C559B" w:rsidRDefault="002760B2" w:rsidP="007C559B">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 </w:t>
      </w:r>
      <w:r w:rsidRPr="007C559B">
        <w:rPr>
          <w:rFonts w:ascii="Times New Roman" w:hAnsi="Times New Roman" w:cs="Times New Roman"/>
          <w:i/>
          <w:iCs/>
          <w:kern w:val="24"/>
          <w:sz w:val="24"/>
          <w:szCs w:val="24"/>
        </w:rPr>
        <w:t xml:space="preserve">Toute émission de </w:t>
      </w:r>
      <w:r w:rsidR="007A11D7" w:rsidRPr="007C559B">
        <w:rPr>
          <w:rFonts w:ascii="Times New Roman" w:hAnsi="Times New Roman" w:cs="Times New Roman"/>
          <w:i/>
          <w:iCs/>
          <w:kern w:val="24"/>
          <w:sz w:val="24"/>
          <w:szCs w:val="24"/>
        </w:rPr>
        <w:t>sukuk</w:t>
      </w:r>
      <w:r w:rsidRPr="007C559B">
        <w:rPr>
          <w:rFonts w:ascii="Times New Roman" w:hAnsi="Times New Roman" w:cs="Times New Roman"/>
          <w:i/>
          <w:iCs/>
          <w:kern w:val="24"/>
          <w:sz w:val="24"/>
          <w:szCs w:val="24"/>
        </w:rPr>
        <w:t xml:space="preserve"> commence par l’identification et la ségrégation d’un pool d’actifs sous-jacents conformes aux principes de la finance </w:t>
      </w:r>
      <w:r w:rsidR="00505EDD" w:rsidRPr="007C559B">
        <w:rPr>
          <w:rFonts w:ascii="Times New Roman" w:hAnsi="Times New Roman" w:cs="Times New Roman"/>
          <w:iCs/>
          <w:kern w:val="24"/>
          <w:sz w:val="24"/>
          <w:szCs w:val="24"/>
        </w:rPr>
        <w:t>i</w:t>
      </w:r>
      <w:r w:rsidR="003773C6" w:rsidRPr="007C559B">
        <w:rPr>
          <w:rFonts w:ascii="Times New Roman" w:hAnsi="Times New Roman" w:cs="Times New Roman"/>
          <w:iCs/>
          <w:kern w:val="24"/>
          <w:sz w:val="24"/>
          <w:szCs w:val="24"/>
        </w:rPr>
        <w:t>slamique</w:t>
      </w:r>
      <w:r w:rsidRPr="007C559B">
        <w:rPr>
          <w:rFonts w:ascii="Times New Roman" w:hAnsi="Times New Roman" w:cs="Times New Roman"/>
          <w:i/>
          <w:iCs/>
          <w:kern w:val="24"/>
          <w:sz w:val="24"/>
          <w:szCs w:val="24"/>
        </w:rPr>
        <w:t xml:space="preserve">. A l’origine, ce pool d’actifs est détenu par l’originateur des </w:t>
      </w:r>
      <w:r w:rsidR="007A11D7" w:rsidRPr="007C559B">
        <w:rPr>
          <w:rFonts w:ascii="Times New Roman" w:hAnsi="Times New Roman" w:cs="Times New Roman"/>
          <w:i/>
          <w:iCs/>
          <w:kern w:val="24"/>
          <w:sz w:val="24"/>
          <w:szCs w:val="24"/>
        </w:rPr>
        <w:t>sukuk</w:t>
      </w:r>
      <w:r w:rsidRPr="007C559B">
        <w:rPr>
          <w:rFonts w:ascii="Times New Roman" w:hAnsi="Times New Roman" w:cs="Times New Roman"/>
          <w:i/>
          <w:iCs/>
          <w:kern w:val="24"/>
          <w:sz w:val="24"/>
          <w:szCs w:val="24"/>
        </w:rPr>
        <w:t>, comme une collection de droit à des flux économiques futurs […]</w:t>
      </w:r>
      <w:r w:rsidR="00AB4C02" w:rsidRPr="007C559B">
        <w:rPr>
          <w:rFonts w:ascii="Times New Roman" w:hAnsi="Times New Roman" w:cs="Times New Roman"/>
          <w:i/>
          <w:iCs/>
          <w:kern w:val="24"/>
          <w:sz w:val="24"/>
          <w:szCs w:val="24"/>
        </w:rPr>
        <w:t>.</w:t>
      </w:r>
      <w:r w:rsidRPr="007C559B">
        <w:rPr>
          <w:rFonts w:ascii="Times New Roman" w:hAnsi="Times New Roman" w:cs="Times New Roman"/>
          <w:i/>
          <w:iCs/>
          <w:kern w:val="24"/>
          <w:sz w:val="24"/>
          <w:szCs w:val="24"/>
        </w:rPr>
        <w:t xml:space="preserve"> </w:t>
      </w:r>
      <w:r w:rsidR="00AB4C02" w:rsidRPr="007C559B">
        <w:rPr>
          <w:rFonts w:ascii="Times New Roman" w:hAnsi="Times New Roman" w:cs="Times New Roman"/>
          <w:i/>
          <w:iCs/>
          <w:kern w:val="24"/>
          <w:sz w:val="24"/>
          <w:szCs w:val="24"/>
        </w:rPr>
        <w:t>Les</w:t>
      </w:r>
      <w:r w:rsidRPr="007C559B">
        <w:rPr>
          <w:rFonts w:ascii="Times New Roman" w:hAnsi="Times New Roman" w:cs="Times New Roman"/>
          <w:i/>
          <w:iCs/>
          <w:kern w:val="24"/>
          <w:sz w:val="24"/>
          <w:szCs w:val="24"/>
        </w:rPr>
        <w:t xml:space="preserve"> droits de propriétés attachés au pool d’actifs sont transférés à une entité économique ad hoc, sous la forme d’un fonds commun (SPV, en anglais) qui détient ses droits pour le compte des investisseurs (souscripteurs des </w:t>
      </w:r>
      <w:r w:rsidR="007A11D7" w:rsidRPr="007C559B">
        <w:rPr>
          <w:rFonts w:ascii="Times New Roman" w:hAnsi="Times New Roman" w:cs="Times New Roman"/>
          <w:i/>
          <w:iCs/>
          <w:kern w:val="24"/>
          <w:sz w:val="24"/>
          <w:szCs w:val="24"/>
        </w:rPr>
        <w:t>sukuk</w:t>
      </w:r>
      <w:r w:rsidRPr="007C559B">
        <w:rPr>
          <w:rFonts w:ascii="Times New Roman" w:hAnsi="Times New Roman" w:cs="Times New Roman"/>
          <w:i/>
          <w:iCs/>
          <w:kern w:val="24"/>
          <w:sz w:val="24"/>
          <w:szCs w:val="24"/>
        </w:rPr>
        <w:t xml:space="preserve">), en contre partie de leur paiement du prix des </w:t>
      </w:r>
      <w:r w:rsidR="007A11D7" w:rsidRPr="007C559B">
        <w:rPr>
          <w:rFonts w:ascii="Times New Roman" w:hAnsi="Times New Roman" w:cs="Times New Roman"/>
          <w:i/>
          <w:iCs/>
          <w:kern w:val="24"/>
          <w:sz w:val="24"/>
          <w:szCs w:val="24"/>
        </w:rPr>
        <w:t>sukuk</w:t>
      </w:r>
      <w:r w:rsidRPr="007C559B">
        <w:rPr>
          <w:rFonts w:ascii="Times New Roman" w:hAnsi="Times New Roman" w:cs="Times New Roman"/>
          <w:i/>
          <w:iCs/>
          <w:kern w:val="24"/>
          <w:sz w:val="24"/>
          <w:szCs w:val="24"/>
        </w:rPr>
        <w:t xml:space="preserve">. Le SPV est l’émetteur légal des </w:t>
      </w:r>
      <w:r w:rsidR="007A11D7" w:rsidRPr="007C559B">
        <w:rPr>
          <w:rFonts w:ascii="Times New Roman" w:hAnsi="Times New Roman" w:cs="Times New Roman"/>
          <w:i/>
          <w:iCs/>
          <w:kern w:val="24"/>
          <w:sz w:val="24"/>
          <w:szCs w:val="24"/>
        </w:rPr>
        <w:t>sukuk</w:t>
      </w:r>
      <w:r w:rsidRPr="007C559B">
        <w:rPr>
          <w:rFonts w:ascii="Times New Roman" w:hAnsi="Times New Roman" w:cs="Times New Roman"/>
          <w:i/>
          <w:iCs/>
          <w:kern w:val="24"/>
          <w:sz w:val="24"/>
          <w:szCs w:val="24"/>
        </w:rPr>
        <w:t xml:space="preserve"> en recourant à la technique de titrisation</w:t>
      </w:r>
      <w:r w:rsidRPr="007C559B">
        <w:rPr>
          <w:rStyle w:val="Appelnotedebasdep"/>
          <w:rFonts w:ascii="Times New Roman" w:hAnsi="Times New Roman"/>
          <w:i/>
          <w:iCs/>
          <w:kern w:val="24"/>
          <w:sz w:val="24"/>
          <w:szCs w:val="24"/>
        </w:rPr>
        <w:footnoteReference w:id="122"/>
      </w:r>
      <w:r w:rsidRPr="007C559B">
        <w:rPr>
          <w:rFonts w:ascii="Times New Roman" w:hAnsi="Times New Roman" w:cs="Times New Roman"/>
          <w:i/>
          <w:iCs/>
          <w:kern w:val="24"/>
          <w:sz w:val="24"/>
          <w:szCs w:val="24"/>
        </w:rPr>
        <w:t xml:space="preserve">. Les liquidités reçues par ce véhicule en contrepartie de l’émission des </w:t>
      </w:r>
      <w:r w:rsidR="007A11D7" w:rsidRPr="007C559B">
        <w:rPr>
          <w:rFonts w:ascii="Times New Roman" w:hAnsi="Times New Roman" w:cs="Times New Roman"/>
          <w:i/>
          <w:iCs/>
          <w:kern w:val="24"/>
          <w:sz w:val="24"/>
          <w:szCs w:val="24"/>
        </w:rPr>
        <w:t>sukuk</w:t>
      </w:r>
      <w:r w:rsidRPr="007C559B">
        <w:rPr>
          <w:rFonts w:ascii="Times New Roman" w:hAnsi="Times New Roman" w:cs="Times New Roman"/>
          <w:i/>
          <w:iCs/>
          <w:kern w:val="24"/>
          <w:sz w:val="24"/>
          <w:szCs w:val="24"/>
        </w:rPr>
        <w:t xml:space="preserve"> servent à rémunérer l’émetteur de sa cession des droits attachés au pool d’actifs et la maturité des </w:t>
      </w:r>
      <w:r w:rsidR="007A11D7" w:rsidRPr="007C559B">
        <w:rPr>
          <w:rFonts w:ascii="Times New Roman" w:hAnsi="Times New Roman" w:cs="Times New Roman"/>
          <w:i/>
          <w:iCs/>
          <w:kern w:val="24"/>
          <w:sz w:val="24"/>
          <w:szCs w:val="24"/>
        </w:rPr>
        <w:t>sukuk</w:t>
      </w:r>
      <w:r w:rsidRPr="007C559B">
        <w:rPr>
          <w:rFonts w:ascii="Times New Roman" w:hAnsi="Times New Roman" w:cs="Times New Roman"/>
          <w:i/>
          <w:iCs/>
          <w:kern w:val="24"/>
          <w:sz w:val="24"/>
          <w:szCs w:val="24"/>
        </w:rPr>
        <w:t>, les actifs sous-jacents font l’objet d’une revente, la recette de laquelle sert à rembourser le principal de l’émission</w:t>
      </w:r>
      <w:r w:rsidRPr="007C559B">
        <w:rPr>
          <w:rFonts w:ascii="Times New Roman" w:hAnsi="Times New Roman" w:cs="Times New Roman"/>
          <w:kern w:val="24"/>
          <w:sz w:val="24"/>
          <w:szCs w:val="24"/>
        </w:rPr>
        <w:t> »</w:t>
      </w:r>
      <w:r w:rsidRPr="007C559B">
        <w:rPr>
          <w:rStyle w:val="Appelnotedebasdep"/>
          <w:rFonts w:ascii="Times New Roman" w:hAnsi="Times New Roman"/>
          <w:kern w:val="24"/>
          <w:sz w:val="24"/>
          <w:szCs w:val="24"/>
        </w:rPr>
        <w:footnoteReference w:id="123"/>
      </w:r>
      <w:r w:rsidRPr="007C559B">
        <w:rPr>
          <w:rFonts w:ascii="Times New Roman" w:hAnsi="Times New Roman" w:cs="Times New Roman"/>
          <w:kern w:val="24"/>
          <w:sz w:val="24"/>
          <w:szCs w:val="24"/>
        </w:rPr>
        <w:t>.</w:t>
      </w:r>
    </w:p>
    <w:p w14:paraId="27A77B95" w14:textId="5E88E586" w:rsidR="002E3099" w:rsidRPr="002E3099" w:rsidRDefault="002E3099" w:rsidP="00FC72B8">
      <w:pPr>
        <w:pStyle w:val="Lgende"/>
        <w:keepNext/>
        <w:spacing w:before="240"/>
        <w:jc w:val="center"/>
        <w:rPr>
          <w:rFonts w:asciiTheme="majorBidi" w:hAnsiTheme="majorBidi" w:cstheme="majorBidi"/>
          <w:color w:val="auto"/>
          <w:sz w:val="24"/>
          <w:szCs w:val="24"/>
        </w:rPr>
      </w:pPr>
      <w:bookmarkStart w:id="401" w:name="_Toc115527421"/>
      <w:r w:rsidRPr="002E3099">
        <w:rPr>
          <w:rFonts w:asciiTheme="majorBidi" w:hAnsiTheme="majorBidi" w:cstheme="majorBidi"/>
          <w:color w:val="auto"/>
          <w:sz w:val="24"/>
          <w:szCs w:val="24"/>
        </w:rPr>
        <w:lastRenderedPageBreak/>
        <w:t xml:space="preserve">Figure </w:t>
      </w:r>
      <w:r w:rsidR="00B544E5">
        <w:rPr>
          <w:rFonts w:asciiTheme="majorBidi" w:hAnsiTheme="majorBidi" w:cstheme="majorBidi"/>
          <w:color w:val="auto"/>
          <w:sz w:val="24"/>
          <w:szCs w:val="24"/>
        </w:rPr>
        <w:fldChar w:fldCharType="begin"/>
      </w:r>
      <w:r w:rsidR="00BF1EB6">
        <w:rPr>
          <w:rFonts w:asciiTheme="majorBidi" w:hAnsiTheme="majorBidi" w:cstheme="majorBidi"/>
          <w:color w:val="auto"/>
          <w:sz w:val="24"/>
          <w:szCs w:val="24"/>
        </w:rPr>
        <w:instrText xml:space="preserve"> SEQ Figure \* ARABIC </w:instrText>
      </w:r>
      <w:r w:rsidR="00B544E5">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10</w:t>
      </w:r>
      <w:r w:rsidR="00B544E5">
        <w:rPr>
          <w:rFonts w:asciiTheme="majorBidi" w:hAnsiTheme="majorBidi" w:cstheme="majorBidi"/>
          <w:color w:val="auto"/>
          <w:sz w:val="24"/>
          <w:szCs w:val="24"/>
        </w:rPr>
        <w:fldChar w:fldCharType="end"/>
      </w:r>
      <w:r w:rsidRPr="002E3099">
        <w:rPr>
          <w:rFonts w:asciiTheme="majorBidi" w:hAnsiTheme="majorBidi" w:cstheme="majorBidi"/>
          <w:color w:val="auto"/>
          <w:sz w:val="24"/>
          <w:szCs w:val="24"/>
        </w:rPr>
        <w:t xml:space="preserve">- La structure d'une émission </w:t>
      </w:r>
      <w:r w:rsidRPr="00120365">
        <w:rPr>
          <w:rFonts w:asciiTheme="majorBidi" w:hAnsiTheme="majorBidi" w:cstheme="majorBidi"/>
          <w:i/>
          <w:iCs/>
          <w:color w:val="auto"/>
          <w:sz w:val="24"/>
          <w:szCs w:val="24"/>
        </w:rPr>
        <w:t>sukuk</w:t>
      </w:r>
      <w:bookmarkEnd w:id="401"/>
    </w:p>
    <w:p w14:paraId="5F3CD373" w14:textId="6518786E" w:rsidR="002760B2" w:rsidRPr="002B005F" w:rsidRDefault="002C5EFF" w:rsidP="007C559B">
      <w:pPr>
        <w:keepNext/>
        <w:tabs>
          <w:tab w:val="left" w:pos="0"/>
        </w:tabs>
        <w:spacing w:before="120" w:line="300" w:lineRule="auto"/>
        <w:jc w:val="cente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821056" behindDoc="0" locked="0" layoutInCell="1" allowOverlap="1" wp14:anchorId="04778BC2" wp14:editId="150E6A80">
                <wp:simplePos x="0" y="0"/>
                <wp:positionH relativeFrom="margin">
                  <wp:posOffset>40005</wp:posOffset>
                </wp:positionH>
                <wp:positionV relativeFrom="paragraph">
                  <wp:posOffset>126365</wp:posOffset>
                </wp:positionV>
                <wp:extent cx="5708650" cy="2361565"/>
                <wp:effectExtent l="0" t="0" r="25400" b="19685"/>
                <wp:wrapNone/>
                <wp:docPr id="143942819"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2361565"/>
                          <a:chOff x="2142" y="7941"/>
                          <a:chExt cx="8990" cy="3719"/>
                        </a:xfrm>
                      </wpg:grpSpPr>
                      <wps:wsp>
                        <wps:cNvPr id="143942820" name="Rectangle 64"/>
                        <wps:cNvSpPr>
                          <a:spLocks noChangeArrowheads="1"/>
                        </wps:cNvSpPr>
                        <wps:spPr bwMode="auto">
                          <a:xfrm>
                            <a:off x="7980" y="10401"/>
                            <a:ext cx="717" cy="375"/>
                          </a:xfrm>
                          <a:prstGeom prst="rect">
                            <a:avLst/>
                          </a:prstGeom>
                          <a:solidFill>
                            <a:srgbClr val="FFFFFF"/>
                          </a:solidFill>
                          <a:ln w="9525">
                            <a:solidFill>
                              <a:schemeClr val="bg1">
                                <a:lumMod val="100000"/>
                                <a:lumOff val="0"/>
                              </a:schemeClr>
                            </a:solidFill>
                            <a:miter lim="800000"/>
                            <a:headEnd/>
                            <a:tailEnd/>
                          </a:ln>
                        </wps:spPr>
                        <wps:txbx>
                          <w:txbxContent>
                            <w:p w14:paraId="132EC02D" w14:textId="77777777" w:rsidR="009C2D83" w:rsidRPr="007D4B63" w:rsidRDefault="009C2D83" w:rsidP="007C559B">
                              <w:pPr>
                                <w:jc w:val="center"/>
                                <w:rPr>
                                  <w:rFonts w:ascii="Times New Roman" w:hAnsi="Times New Roman" w:cs="Times New Roman"/>
                                  <w:b/>
                                  <w:bCs/>
                                </w:rPr>
                              </w:pPr>
                              <w:r w:rsidRPr="007D4B63">
                                <w:rPr>
                                  <w:rFonts w:ascii="Times New Roman" w:hAnsi="Times New Roman" w:cs="Times New Roman"/>
                                  <w:b/>
                                  <w:bCs/>
                                  <w:i/>
                                </w:rPr>
                                <w:t>Sukuk</w:t>
                              </w:r>
                            </w:p>
                          </w:txbxContent>
                        </wps:txbx>
                        <wps:bodyPr rot="0" vert="horz" wrap="none" lIns="36000" tIns="36000" rIns="36000" bIns="36000" anchor="ctr" anchorCtr="0" upright="1">
                          <a:noAutofit/>
                        </wps:bodyPr>
                      </wps:wsp>
                      <wps:wsp>
                        <wps:cNvPr id="143942821" name="Connecteur droit avec flèche 16"/>
                        <wps:cNvCnPr>
                          <a:cxnSpLocks noChangeShapeType="1"/>
                        </wps:cNvCnPr>
                        <wps:spPr bwMode="auto">
                          <a:xfrm flipV="1">
                            <a:off x="6597" y="8714"/>
                            <a:ext cx="0" cy="1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3942822" name="Group 1733"/>
                        <wpg:cNvGrpSpPr>
                          <a:grpSpLocks/>
                        </wpg:cNvGrpSpPr>
                        <wpg:grpSpPr bwMode="auto">
                          <a:xfrm>
                            <a:off x="2142" y="7941"/>
                            <a:ext cx="8990" cy="3719"/>
                            <a:chOff x="2142" y="7941"/>
                            <a:chExt cx="8990" cy="3719"/>
                          </a:xfrm>
                        </wpg:grpSpPr>
                        <wps:wsp>
                          <wps:cNvPr id="143942823" name="Rectangle 63"/>
                          <wps:cNvSpPr>
                            <a:spLocks noChangeArrowheads="1"/>
                          </wps:cNvSpPr>
                          <wps:spPr bwMode="auto">
                            <a:xfrm>
                              <a:off x="7980" y="11270"/>
                              <a:ext cx="606" cy="390"/>
                            </a:xfrm>
                            <a:prstGeom prst="rect">
                              <a:avLst/>
                            </a:prstGeom>
                            <a:solidFill>
                              <a:srgbClr val="FFFFFF"/>
                            </a:solidFill>
                            <a:ln w="9525">
                              <a:solidFill>
                                <a:srgbClr val="FFFFFF"/>
                              </a:solidFill>
                              <a:miter lim="800000"/>
                              <a:headEnd/>
                              <a:tailEnd/>
                            </a:ln>
                          </wps:spPr>
                          <wps:txbx>
                            <w:txbxContent>
                              <w:p w14:paraId="038F36FF" w14:textId="77777777" w:rsidR="009C2D83" w:rsidRPr="007D4B63" w:rsidRDefault="009C2D83" w:rsidP="007C559B">
                                <w:pPr>
                                  <w:jc w:val="center"/>
                                  <w:rPr>
                                    <w:rFonts w:ascii="Times New Roman" w:hAnsi="Times New Roman" w:cs="Times New Roman"/>
                                    <w:b/>
                                    <w:bCs/>
                                  </w:rPr>
                                </w:pPr>
                                <w:r w:rsidRPr="007D4B63">
                                  <w:rPr>
                                    <w:rFonts w:ascii="Times New Roman" w:hAnsi="Times New Roman" w:cs="Times New Roman"/>
                                    <w:b/>
                                    <w:bCs/>
                                  </w:rPr>
                                  <w:t>Cash</w:t>
                                </w:r>
                              </w:p>
                            </w:txbxContent>
                          </wps:txbx>
                          <wps:bodyPr rot="0" vert="horz" wrap="none" lIns="36000" tIns="36000" rIns="36000" bIns="36000" anchor="ctr" anchorCtr="0" upright="1">
                            <a:noAutofit/>
                          </wps:bodyPr>
                        </wps:wsp>
                        <wpg:grpSp>
                          <wpg:cNvPr id="143942824" name="Group 1735"/>
                          <wpg:cNvGrpSpPr>
                            <a:grpSpLocks/>
                          </wpg:cNvGrpSpPr>
                          <wpg:grpSpPr bwMode="auto">
                            <a:xfrm>
                              <a:off x="2142" y="7941"/>
                              <a:ext cx="8990" cy="3412"/>
                              <a:chOff x="2142" y="7941"/>
                              <a:chExt cx="8990" cy="3412"/>
                            </a:xfrm>
                          </wpg:grpSpPr>
                          <wps:wsp>
                            <wps:cNvPr id="143942825" name="Rectangle à coins arrondis 62"/>
                            <wps:cNvSpPr>
                              <a:spLocks noChangeArrowheads="1"/>
                            </wps:cNvSpPr>
                            <wps:spPr bwMode="auto">
                              <a:xfrm>
                                <a:off x="5967" y="7941"/>
                                <a:ext cx="1329" cy="764"/>
                              </a:xfrm>
                              <a:prstGeom prst="roundRect">
                                <a:avLst>
                                  <a:gd name="adj" fmla="val 16667"/>
                                </a:avLst>
                              </a:prstGeom>
                              <a:solidFill>
                                <a:srgbClr val="FFFFFF"/>
                              </a:solidFill>
                              <a:ln w="9525">
                                <a:solidFill>
                                  <a:srgbClr val="000000"/>
                                </a:solidFill>
                                <a:round/>
                                <a:headEnd/>
                                <a:tailEnd/>
                              </a:ln>
                            </wps:spPr>
                            <wps:txbx>
                              <w:txbxContent>
                                <w:p w14:paraId="283D9467" w14:textId="77777777" w:rsidR="009C2D83" w:rsidRPr="007D4B63" w:rsidRDefault="009C2D83" w:rsidP="007C559B">
                                  <w:pPr>
                                    <w:jc w:val="center"/>
                                    <w:rPr>
                                      <w:rFonts w:ascii="Times New Roman" w:hAnsi="Times New Roman" w:cs="Times New Roman"/>
                                      <w:b/>
                                      <w:bCs/>
                                    </w:rPr>
                                  </w:pPr>
                                  <w:r w:rsidRPr="007D4B63">
                                    <w:rPr>
                                      <w:rFonts w:ascii="Times New Roman" w:hAnsi="Times New Roman" w:cs="Times New Roman"/>
                                      <w:b/>
                                      <w:bCs/>
                                    </w:rPr>
                                    <w:t>Originateur</w:t>
                                  </w:r>
                                </w:p>
                              </w:txbxContent>
                            </wps:txbx>
                            <wps:bodyPr rot="0" vert="horz" wrap="none" lIns="36000" tIns="36000" rIns="36000" bIns="36000" anchor="ctr" anchorCtr="0" upright="1">
                              <a:noAutofit/>
                            </wps:bodyPr>
                          </wps:wsp>
                          <wps:wsp>
                            <wps:cNvPr id="143942826" name="Rectangle à coins arrondis 61"/>
                            <wps:cNvSpPr>
                              <a:spLocks noChangeArrowheads="1"/>
                            </wps:cNvSpPr>
                            <wps:spPr bwMode="auto">
                              <a:xfrm>
                                <a:off x="5892" y="10589"/>
                                <a:ext cx="1713" cy="764"/>
                              </a:xfrm>
                              <a:prstGeom prst="roundRect">
                                <a:avLst>
                                  <a:gd name="adj" fmla="val 16667"/>
                                </a:avLst>
                              </a:prstGeom>
                              <a:solidFill>
                                <a:srgbClr val="FFFFFF"/>
                              </a:solidFill>
                              <a:ln w="9525">
                                <a:solidFill>
                                  <a:srgbClr val="000000"/>
                                </a:solidFill>
                                <a:round/>
                                <a:headEnd/>
                                <a:tailEnd/>
                              </a:ln>
                            </wps:spPr>
                            <wps:txbx>
                              <w:txbxContent>
                                <w:p w14:paraId="5D72FCFF" w14:textId="77777777" w:rsidR="009C2D83" w:rsidRPr="007D4B63" w:rsidRDefault="009C2D83" w:rsidP="007C559B">
                                  <w:pPr>
                                    <w:jc w:val="center"/>
                                    <w:rPr>
                                      <w:rFonts w:ascii="Times New Roman" w:hAnsi="Times New Roman" w:cs="Times New Roman"/>
                                      <w:b/>
                                      <w:bCs/>
                                    </w:rPr>
                                  </w:pPr>
                                  <w:r w:rsidRPr="007D4B63">
                                    <w:rPr>
                                      <w:rFonts w:ascii="Times New Roman" w:hAnsi="Times New Roman" w:cs="Times New Roman"/>
                                      <w:b/>
                                      <w:bCs/>
                                    </w:rPr>
                                    <w:t>SPV (Emetteur)</w:t>
                                  </w:r>
                                </w:p>
                              </w:txbxContent>
                            </wps:txbx>
                            <wps:bodyPr rot="0" vert="horz" wrap="none" lIns="36000" tIns="36000" rIns="36000" bIns="36000" anchor="ctr" anchorCtr="0" upright="1">
                              <a:noAutofit/>
                            </wps:bodyPr>
                          </wps:wsp>
                          <wps:wsp>
                            <wps:cNvPr id="143942827" name="Rectangle à coins arrondis 60"/>
                            <wps:cNvSpPr>
                              <a:spLocks noChangeArrowheads="1"/>
                            </wps:cNvSpPr>
                            <wps:spPr bwMode="auto">
                              <a:xfrm>
                                <a:off x="2142" y="7941"/>
                                <a:ext cx="2403" cy="764"/>
                              </a:xfrm>
                              <a:prstGeom prst="roundRect">
                                <a:avLst>
                                  <a:gd name="adj" fmla="val 16667"/>
                                </a:avLst>
                              </a:prstGeom>
                              <a:solidFill>
                                <a:srgbClr val="FFFFFF"/>
                              </a:solidFill>
                              <a:ln w="9525">
                                <a:solidFill>
                                  <a:srgbClr val="000000"/>
                                </a:solidFill>
                                <a:round/>
                                <a:headEnd/>
                                <a:tailEnd/>
                              </a:ln>
                            </wps:spPr>
                            <wps:txbx>
                              <w:txbxContent>
                                <w:p w14:paraId="1F60AAB7" w14:textId="77777777" w:rsidR="009C2D83" w:rsidRPr="007D4B63" w:rsidRDefault="009C2D83" w:rsidP="007C559B">
                                  <w:pPr>
                                    <w:spacing w:line="240" w:lineRule="auto"/>
                                    <w:jc w:val="center"/>
                                    <w:rPr>
                                      <w:rFonts w:ascii="Times New Roman" w:hAnsi="Times New Roman" w:cs="Times New Roman"/>
                                      <w:b/>
                                      <w:bCs/>
                                    </w:rPr>
                                  </w:pPr>
                                  <w:r w:rsidRPr="007D4B63">
                                    <w:rPr>
                                      <w:rFonts w:ascii="Times New Roman" w:hAnsi="Times New Roman" w:cs="Times New Roman"/>
                                      <w:b/>
                                      <w:bCs/>
                                    </w:rPr>
                                    <w:t>Pool d’actifs conformes</w:t>
                                  </w:r>
                                </w:p>
                              </w:txbxContent>
                            </wps:txbx>
                            <wps:bodyPr rot="0" vert="horz" wrap="none" lIns="36000" tIns="36000" rIns="36000" bIns="36000" anchor="ctr" anchorCtr="0" upright="1">
                              <a:noAutofit/>
                            </wps:bodyPr>
                          </wps:wsp>
                          <wps:wsp>
                            <wps:cNvPr id="143942828" name="Ellipse 17"/>
                            <wps:cNvSpPr>
                              <a:spLocks noChangeArrowheads="1"/>
                            </wps:cNvSpPr>
                            <wps:spPr bwMode="auto">
                              <a:xfrm>
                                <a:off x="8112" y="8518"/>
                                <a:ext cx="3020" cy="1515"/>
                              </a:xfrm>
                              <a:prstGeom prst="ellipse">
                                <a:avLst/>
                              </a:prstGeom>
                              <a:solidFill>
                                <a:srgbClr val="FFFFFF"/>
                              </a:solidFill>
                              <a:ln w="9525">
                                <a:solidFill>
                                  <a:srgbClr val="000000"/>
                                </a:solidFill>
                                <a:round/>
                                <a:headEnd/>
                                <a:tailEnd/>
                              </a:ln>
                            </wps:spPr>
                            <wps:txbx>
                              <w:txbxContent>
                                <w:p w14:paraId="5A81ED6B" w14:textId="77777777" w:rsidR="009C2D83" w:rsidRPr="007D4B63" w:rsidRDefault="009C2D83" w:rsidP="007C559B">
                                  <w:pPr>
                                    <w:spacing w:line="240" w:lineRule="auto"/>
                                    <w:jc w:val="center"/>
                                    <w:rPr>
                                      <w:rFonts w:ascii="Times New Roman" w:hAnsi="Times New Roman" w:cs="Times New Roman"/>
                                      <w:b/>
                                      <w:bCs/>
                                    </w:rPr>
                                  </w:pPr>
                                  <w:r w:rsidRPr="007D4B63">
                                    <w:rPr>
                                      <w:rFonts w:ascii="Times New Roman" w:hAnsi="Times New Roman" w:cs="Times New Roman"/>
                                      <w:b/>
                                      <w:bCs/>
                                    </w:rPr>
                                    <w:t xml:space="preserve">Investisseur en </w:t>
                                  </w:r>
                                  <w:r w:rsidRPr="007D4B63">
                                    <w:rPr>
                                      <w:rFonts w:ascii="Times New Roman" w:hAnsi="Times New Roman" w:cs="Times New Roman"/>
                                      <w:b/>
                                      <w:bCs/>
                                      <w:i/>
                                    </w:rPr>
                                    <w:t>sukuk</w:t>
                                  </w:r>
                                </w:p>
                              </w:txbxContent>
                            </wps:txbx>
                            <wps:bodyPr rot="0" vert="horz" wrap="none" lIns="36000" tIns="36000" rIns="36000" bIns="36000" anchor="ctr" anchorCtr="0" upright="1">
                              <a:noAutofit/>
                            </wps:bodyPr>
                          </wps:wsp>
                          <wps:wsp>
                            <wps:cNvPr id="143942829" name="Connecteur droit avec flèche 27"/>
                            <wps:cNvCnPr>
                              <a:cxnSpLocks noChangeShapeType="1"/>
                            </wps:cNvCnPr>
                            <wps:spPr bwMode="auto">
                              <a:xfrm rot="10800000">
                                <a:off x="4533" y="8309"/>
                                <a:ext cx="14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42830" name="Connecteur droit avec flèche 59"/>
                            <wps:cNvCnPr>
                              <a:cxnSpLocks noChangeShapeType="1"/>
                            </wps:cNvCnPr>
                            <wps:spPr bwMode="auto">
                              <a:xfrm>
                                <a:off x="3326" y="11025"/>
                                <a:ext cx="25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42831" name="Connecteur droit avec flèche 15"/>
                            <wps:cNvCnPr>
                              <a:cxnSpLocks noChangeShapeType="1"/>
                            </wps:cNvCnPr>
                            <wps:spPr bwMode="auto">
                              <a:xfrm flipV="1">
                                <a:off x="3326" y="8714"/>
                                <a:ext cx="1" cy="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42832" name="Connecteur droit avec flèche 68"/>
                            <wps:cNvCnPr>
                              <a:cxnSpLocks noChangeShapeType="1"/>
                            </wps:cNvCnPr>
                            <wps:spPr bwMode="auto">
                              <a:xfrm>
                                <a:off x="7617" y="10860"/>
                                <a:ext cx="19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42833" name="Connecteur droit avec flèche 67"/>
                            <wps:cNvCnPr>
                              <a:cxnSpLocks noChangeShapeType="1"/>
                            </wps:cNvCnPr>
                            <wps:spPr bwMode="auto">
                              <a:xfrm flipV="1">
                                <a:off x="9567" y="10035"/>
                                <a:ext cx="1"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42834" name="Connecteur droit avec flèche 66"/>
                            <wps:cNvCnPr>
                              <a:cxnSpLocks noChangeShapeType="1"/>
                            </wps:cNvCnPr>
                            <wps:spPr bwMode="auto">
                              <a:xfrm flipH="1">
                                <a:off x="7617" y="11143"/>
                                <a:ext cx="21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42835" name="Connecteur droit avec flèche 65"/>
                            <wps:cNvCnPr>
                              <a:cxnSpLocks noChangeShapeType="1"/>
                            </wps:cNvCnPr>
                            <wps:spPr bwMode="auto">
                              <a:xfrm flipV="1">
                                <a:off x="9778" y="10041"/>
                                <a:ext cx="0" cy="1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4778BC2" id="Group 1730" o:spid="_x0000_s1070" style="position:absolute;left:0;text-align:left;margin-left:3.15pt;margin-top:9.95pt;width:449.5pt;height:185.95pt;z-index:251821056;mso-position-horizontal-relative:margin" coordorigin="2142,7941" coordsize="8990,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">
                <v:rect id="Rectangle 64" o:spid="_x0000_s1071" style="position:absolute;left:7980;top:10401;width:717;height: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" strokecolor="white [3212]">
                  <v:textbox inset="1mm,1mm,1mm,1mm">
                    <w:txbxContent>
                      <w:p w14:paraId="132EC02D" w14:textId="77777777" w:rsidR="009C2D83" w:rsidRPr="007D4B63" w:rsidRDefault="009C2D83" w:rsidP="007C559B">
                        <w:pPr>
                          <w:jc w:val="center"/>
                          <w:rPr>
                            <w:rFonts w:ascii="Times New Roman" w:hAnsi="Times New Roman" w:cs="Times New Roman"/>
                            <w:b/>
                            <w:bCs/>
                          </w:rPr>
                        </w:pPr>
                        <w:r w:rsidRPr="007D4B63">
                          <w:rPr>
                            <w:rFonts w:ascii="Times New Roman" w:hAnsi="Times New Roman" w:cs="Times New Roman"/>
                            <w:b/>
                            <w:bCs/>
                            <w:i/>
                          </w:rPr>
                          <w:t>Sukuk</w:t>
                        </w:r>
                      </w:p>
                    </w:txbxContent>
                  </v:textbox>
                </v:rect>
                <v:shape id="Connecteur droit avec flèche 16" o:spid="_x0000_s1072" type="#_x0000_t32" style="position:absolute;left:6597;top:8714;width:0;height:18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">
                  <v:stroke endarrow="block"/>
                </v:shape>
                <v:group id="Group 1733" o:spid="_x0000_s1073" style="position:absolute;left:2142;top:7941;width:8990;height:3719" coordorigin="2142,7941" coordsize="8990,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">
                  <v:rect id="Rectangle 63" o:spid="_x0000_s1074" style="position:absolute;left:7980;top:11270;width:606;height:3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" strokecolor="white">
                    <v:textbox inset="1mm,1mm,1mm,1mm">
                      <w:txbxContent>
                        <w:p w14:paraId="038F36FF" w14:textId="77777777" w:rsidR="009C2D83" w:rsidRPr="007D4B63" w:rsidRDefault="009C2D83" w:rsidP="007C559B">
                          <w:pPr>
                            <w:jc w:val="center"/>
                            <w:rPr>
                              <w:rFonts w:ascii="Times New Roman" w:hAnsi="Times New Roman" w:cs="Times New Roman"/>
                              <w:b/>
                              <w:bCs/>
                            </w:rPr>
                          </w:pPr>
                          <w:r w:rsidRPr="007D4B63">
                            <w:rPr>
                              <w:rFonts w:ascii="Times New Roman" w:hAnsi="Times New Roman" w:cs="Times New Roman"/>
                              <w:b/>
                              <w:bCs/>
                            </w:rPr>
                            <w:t>Cash</w:t>
                          </w:r>
                        </w:p>
                      </w:txbxContent>
                    </v:textbox>
                  </v:rect>
                  <v:group id="Group 1735" o:spid="_x0000_s1075" style="position:absolute;left:2142;top:7941;width:8990;height:3412" coordorigin="2142,7941" coordsize="8990,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">
                    <v:roundrect id="Rectangle à coins arrondis 62" o:spid="_x0000_s1076" style="position:absolute;left:5967;top:7941;width:1329;height:764;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">
                      <v:textbox inset="1mm,1mm,1mm,1mm">
                        <w:txbxContent>
                          <w:p w14:paraId="283D9467" w14:textId="77777777" w:rsidR="009C2D83" w:rsidRPr="007D4B63" w:rsidRDefault="009C2D83" w:rsidP="007C559B">
                            <w:pPr>
                              <w:jc w:val="center"/>
                              <w:rPr>
                                <w:rFonts w:ascii="Times New Roman" w:hAnsi="Times New Roman" w:cs="Times New Roman"/>
                                <w:b/>
                                <w:bCs/>
                              </w:rPr>
                            </w:pPr>
                            <w:r w:rsidRPr="007D4B63">
                              <w:rPr>
                                <w:rFonts w:ascii="Times New Roman" w:hAnsi="Times New Roman" w:cs="Times New Roman"/>
                                <w:b/>
                                <w:bCs/>
                              </w:rPr>
                              <w:t>Originateur</w:t>
                            </w:r>
                          </w:p>
                        </w:txbxContent>
                      </v:textbox>
                    </v:roundrect>
                    <v:roundrect id="Rectangle à coins arrondis 61" o:spid="_x0000_s1077" style="position:absolute;left:5892;top:10589;width:1713;height:764;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">
                      <v:textbox inset="1mm,1mm,1mm,1mm">
                        <w:txbxContent>
                          <w:p w14:paraId="5D72FCFF" w14:textId="77777777" w:rsidR="009C2D83" w:rsidRPr="007D4B63" w:rsidRDefault="009C2D83" w:rsidP="007C559B">
                            <w:pPr>
                              <w:jc w:val="center"/>
                              <w:rPr>
                                <w:rFonts w:ascii="Times New Roman" w:hAnsi="Times New Roman" w:cs="Times New Roman"/>
                                <w:b/>
                                <w:bCs/>
                              </w:rPr>
                            </w:pPr>
                            <w:r w:rsidRPr="007D4B63">
                              <w:rPr>
                                <w:rFonts w:ascii="Times New Roman" w:hAnsi="Times New Roman" w:cs="Times New Roman"/>
                                <w:b/>
                                <w:bCs/>
                              </w:rPr>
                              <w:t>SPV (Emetteur)</w:t>
                            </w:r>
                          </w:p>
                        </w:txbxContent>
                      </v:textbox>
                    </v:roundrect>
                    <v:roundrect id="Rectangle à coins arrondis 60" o:spid="_x0000_s1078" style="position:absolute;left:2142;top:7941;width:2403;height:764;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">
                      <v:textbox inset="1mm,1mm,1mm,1mm">
                        <w:txbxContent>
                          <w:p w14:paraId="1F60AAB7" w14:textId="77777777" w:rsidR="009C2D83" w:rsidRPr="007D4B63" w:rsidRDefault="009C2D83" w:rsidP="007C559B">
                            <w:pPr>
                              <w:spacing w:line="240" w:lineRule="auto"/>
                              <w:jc w:val="center"/>
                              <w:rPr>
                                <w:rFonts w:ascii="Times New Roman" w:hAnsi="Times New Roman" w:cs="Times New Roman"/>
                                <w:b/>
                                <w:bCs/>
                              </w:rPr>
                            </w:pPr>
                            <w:r w:rsidRPr="007D4B63">
                              <w:rPr>
                                <w:rFonts w:ascii="Times New Roman" w:hAnsi="Times New Roman" w:cs="Times New Roman"/>
                                <w:b/>
                                <w:bCs/>
                              </w:rPr>
                              <w:t>Pool d’actifs conformes</w:t>
                            </w:r>
                          </w:p>
                        </w:txbxContent>
                      </v:textbox>
                    </v:roundrect>
                    <v:oval id="Ellipse 17" o:spid="_x0000_s1079" style="position:absolute;left:8112;top:8518;width:3020;height:15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">
                      <v:textbox inset="1mm,1mm,1mm,1mm">
                        <w:txbxContent>
                          <w:p w14:paraId="5A81ED6B" w14:textId="77777777" w:rsidR="009C2D83" w:rsidRPr="007D4B63" w:rsidRDefault="009C2D83" w:rsidP="007C559B">
                            <w:pPr>
                              <w:spacing w:line="240" w:lineRule="auto"/>
                              <w:jc w:val="center"/>
                              <w:rPr>
                                <w:rFonts w:ascii="Times New Roman" w:hAnsi="Times New Roman" w:cs="Times New Roman"/>
                                <w:b/>
                                <w:bCs/>
                              </w:rPr>
                            </w:pPr>
                            <w:r w:rsidRPr="007D4B63">
                              <w:rPr>
                                <w:rFonts w:ascii="Times New Roman" w:hAnsi="Times New Roman" w:cs="Times New Roman"/>
                                <w:b/>
                                <w:bCs/>
                              </w:rPr>
                              <w:t xml:space="preserve">Investisseur en </w:t>
                            </w:r>
                            <w:r w:rsidRPr="007D4B63">
                              <w:rPr>
                                <w:rFonts w:ascii="Times New Roman" w:hAnsi="Times New Roman" w:cs="Times New Roman"/>
                                <w:b/>
                                <w:bCs/>
                                <w:i/>
                              </w:rPr>
                              <w:t>sukuk</w:t>
                            </w:r>
                          </w:p>
                        </w:txbxContent>
                      </v:textbox>
                    </v:oval>
                    <v:shape id="Connecteur droit avec flèche 27" o:spid="_x0000_s1080" type="#_x0000_t32" style="position:absolute;left:4533;top:8309;width:143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">
                      <v:stroke endarrow="block"/>
                    </v:shape>
                    <v:shape id="Connecteur droit avec flèche 59" o:spid="_x0000_s1081" type="#_x0000_t32" style="position:absolute;left:3326;top:11025;width:2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">
                      <v:stroke endarrow="block"/>
                    </v:shape>
                    <v:shape id="Connecteur droit avec flèche 15" o:spid="_x0000_s1082" type="#_x0000_t32" style="position:absolute;left:3326;top:8714;width:1;height:2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"/>
                    <v:shape id="Connecteur droit avec flèche 68" o:spid="_x0000_s1083" type="#_x0000_t32" style="position:absolute;left:7617;top:10860;width:19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"/>
                    <v:shape id="Connecteur droit avec flèche 67" o:spid="_x0000_s1084" type="#_x0000_t32" style="position:absolute;left:9567;top:10035;width:1;height: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">
                      <v:stroke endarrow="block"/>
                    </v:shape>
                    <v:shape id="Connecteur droit avec flèche 66" o:spid="_x0000_s1085" type="#_x0000_t32" style="position:absolute;left:7617;top:11143;width:216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">
                      <v:stroke endarrow="block"/>
                    </v:shape>
                    <v:shape id="Connecteur droit avec flèche 65" o:spid="_x0000_s1086" type="#_x0000_t32" style="position:absolute;left:9778;top:10041;width:0;height:11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"/>
                  </v:group>
                </v:group>
                <w10:wrap anchorx="margin"/>
              </v:group>
            </w:pict>
          </mc:Fallback>
        </mc:AlternateContent>
      </w:r>
    </w:p>
    <w:p w14:paraId="3B88D831" w14:textId="0E23744E" w:rsidR="002760B2" w:rsidRPr="002B005F" w:rsidRDefault="002760B2" w:rsidP="007C559B">
      <w:pPr>
        <w:keepNext/>
        <w:tabs>
          <w:tab w:val="left" w:pos="0"/>
        </w:tabs>
        <w:spacing w:before="120" w:line="300" w:lineRule="auto"/>
        <w:jc w:val="center"/>
        <w:rPr>
          <w:rFonts w:ascii="Times New Roman" w:hAnsi="Times New Roman" w:cs="Times New Roman"/>
          <w:sz w:val="24"/>
          <w:szCs w:val="24"/>
        </w:rPr>
      </w:pPr>
    </w:p>
    <w:p w14:paraId="0BDA9B7B" w14:textId="6670BD85" w:rsidR="002760B2" w:rsidRPr="002B005F" w:rsidRDefault="002760B2" w:rsidP="007C559B">
      <w:pPr>
        <w:keepNext/>
        <w:tabs>
          <w:tab w:val="left" w:pos="0"/>
        </w:tabs>
        <w:spacing w:before="120" w:line="300" w:lineRule="auto"/>
        <w:jc w:val="center"/>
        <w:rPr>
          <w:rFonts w:ascii="Times New Roman" w:hAnsi="Times New Roman" w:cs="Times New Roman"/>
          <w:sz w:val="24"/>
          <w:szCs w:val="24"/>
        </w:rPr>
      </w:pPr>
    </w:p>
    <w:p w14:paraId="5C8B82B1" w14:textId="10812083" w:rsidR="002760B2" w:rsidRPr="002B005F" w:rsidRDefault="002760B2" w:rsidP="007C559B">
      <w:pPr>
        <w:keepNext/>
        <w:tabs>
          <w:tab w:val="left" w:pos="0"/>
        </w:tabs>
        <w:spacing w:before="120" w:line="300" w:lineRule="auto"/>
        <w:jc w:val="center"/>
        <w:rPr>
          <w:rFonts w:ascii="Times New Roman" w:hAnsi="Times New Roman" w:cs="Times New Roman"/>
          <w:sz w:val="24"/>
          <w:szCs w:val="24"/>
        </w:rPr>
      </w:pPr>
    </w:p>
    <w:p w14:paraId="6F21A54D" w14:textId="77777777" w:rsidR="002760B2" w:rsidRPr="003271C9" w:rsidRDefault="002760B2" w:rsidP="007C559B">
      <w:pPr>
        <w:pStyle w:val="NormalWeb"/>
        <w:keepNext/>
        <w:tabs>
          <w:tab w:val="left" w:pos="0"/>
        </w:tabs>
        <w:spacing w:before="120" w:beforeAutospacing="0" w:after="0" w:afterAutospacing="0" w:line="300" w:lineRule="auto"/>
        <w:jc w:val="center"/>
        <w:rPr>
          <w:rFonts w:eastAsiaTheme="minorHAnsi"/>
          <w:lang w:eastAsia="en-US"/>
        </w:rPr>
      </w:pPr>
    </w:p>
    <w:p w14:paraId="78CF757A" w14:textId="77777777" w:rsidR="002760B2" w:rsidRPr="002B005F" w:rsidRDefault="002760B2" w:rsidP="007C559B">
      <w:pPr>
        <w:keepNext/>
        <w:tabs>
          <w:tab w:val="left" w:pos="0"/>
        </w:tabs>
        <w:spacing w:before="120" w:line="300" w:lineRule="auto"/>
        <w:jc w:val="center"/>
        <w:rPr>
          <w:rFonts w:ascii="Times New Roman" w:hAnsi="Times New Roman" w:cs="Times New Roman"/>
          <w:sz w:val="24"/>
          <w:szCs w:val="24"/>
        </w:rPr>
      </w:pPr>
    </w:p>
    <w:p w14:paraId="49DAC8EC" w14:textId="4F08F5F9" w:rsidR="002760B2" w:rsidRPr="002B005F" w:rsidRDefault="002760B2" w:rsidP="007C559B">
      <w:pPr>
        <w:keepNext/>
        <w:tabs>
          <w:tab w:val="left" w:pos="0"/>
        </w:tabs>
        <w:spacing w:before="120" w:line="300" w:lineRule="auto"/>
        <w:jc w:val="center"/>
        <w:rPr>
          <w:rFonts w:ascii="Times New Roman" w:hAnsi="Times New Roman" w:cs="Times New Roman"/>
          <w:sz w:val="24"/>
          <w:szCs w:val="24"/>
        </w:rPr>
      </w:pPr>
    </w:p>
    <w:p w14:paraId="695AEC75" w14:textId="013197C7" w:rsidR="00FE1175" w:rsidRPr="002B005F" w:rsidRDefault="00FE1175" w:rsidP="007C559B">
      <w:pPr>
        <w:keepNext/>
        <w:tabs>
          <w:tab w:val="left" w:pos="0"/>
        </w:tabs>
        <w:spacing w:before="120" w:line="300" w:lineRule="auto"/>
        <w:jc w:val="center"/>
        <w:rPr>
          <w:rFonts w:ascii="Times New Roman" w:hAnsi="Times New Roman" w:cs="Times New Roman"/>
          <w:sz w:val="24"/>
          <w:szCs w:val="24"/>
        </w:rPr>
      </w:pPr>
    </w:p>
    <w:p w14:paraId="602E45D4" w14:textId="77777777" w:rsidR="00FE1175" w:rsidRPr="002B005F" w:rsidRDefault="00FE1175" w:rsidP="007C559B">
      <w:pPr>
        <w:keepNext/>
        <w:tabs>
          <w:tab w:val="left" w:pos="0"/>
        </w:tabs>
        <w:spacing w:before="120" w:line="300" w:lineRule="auto"/>
        <w:jc w:val="center"/>
        <w:rPr>
          <w:rFonts w:ascii="Times New Roman" w:hAnsi="Times New Roman" w:cs="Times New Roman"/>
          <w:sz w:val="24"/>
          <w:szCs w:val="24"/>
        </w:rPr>
      </w:pPr>
    </w:p>
    <w:p w14:paraId="6A39C37C" w14:textId="77777777" w:rsidR="00196BDE" w:rsidRPr="002B005F" w:rsidRDefault="002760B2" w:rsidP="007C559B">
      <w:pPr>
        <w:keepNext/>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w:t>
      </w:r>
      <w:r w:rsidR="000A58A4" w:rsidRPr="002B005F">
        <w:rPr>
          <w:rFonts w:ascii="Times New Roman" w:hAnsi="Times New Roman" w:cs="Times New Roman"/>
          <w:sz w:val="20"/>
          <w:szCs w:val="20"/>
        </w:rPr>
        <w:t> :</w:t>
      </w:r>
      <w:r w:rsidRPr="002B005F">
        <w:rPr>
          <w:rFonts w:ascii="Times New Roman" w:hAnsi="Times New Roman" w:cs="Times New Roman"/>
          <w:sz w:val="20"/>
          <w:szCs w:val="20"/>
        </w:rPr>
        <w:t xml:space="preserve"> </w:t>
      </w:r>
      <w:r w:rsidRPr="002B005F">
        <w:rPr>
          <w:rFonts w:ascii="Times New Roman" w:hAnsi="Times New Roman" w:cs="Times New Roman"/>
          <w:smallCaps/>
          <w:sz w:val="20"/>
          <w:szCs w:val="20"/>
        </w:rPr>
        <w:t>Hassoun</w:t>
      </w:r>
      <w:r w:rsidR="000A58A4" w:rsidRPr="002B005F">
        <w:rPr>
          <w:rFonts w:ascii="Times New Roman" w:hAnsi="Times New Roman" w:cs="Times New Roman"/>
          <w:sz w:val="20"/>
          <w:szCs w:val="20"/>
        </w:rPr>
        <w:t>, 2009</w:t>
      </w:r>
      <w:r w:rsidRPr="002B005F">
        <w:rPr>
          <w:rFonts w:ascii="Times New Roman" w:hAnsi="Times New Roman" w:cs="Times New Roman"/>
          <w:sz w:val="20"/>
          <w:szCs w:val="20"/>
        </w:rPr>
        <w:t>, p.</w:t>
      </w:r>
      <w:r w:rsidR="008D7D3C">
        <w:rPr>
          <w:rFonts w:ascii="Times New Roman" w:hAnsi="Times New Roman" w:cs="Times New Roman"/>
          <w:sz w:val="20"/>
          <w:szCs w:val="20"/>
        </w:rPr>
        <w:t xml:space="preserve"> </w:t>
      </w:r>
      <w:r w:rsidRPr="002B005F">
        <w:rPr>
          <w:rFonts w:ascii="Times New Roman" w:hAnsi="Times New Roman" w:cs="Times New Roman"/>
          <w:sz w:val="20"/>
          <w:szCs w:val="20"/>
        </w:rPr>
        <w:t>21.</w:t>
      </w:r>
    </w:p>
    <w:p w14:paraId="450D5459" w14:textId="77777777" w:rsidR="008D7D3C" w:rsidRPr="007C559B" w:rsidRDefault="008D7D3C" w:rsidP="00F04B08">
      <w:pPr>
        <w:widowControl w:val="0"/>
        <w:tabs>
          <w:tab w:val="left" w:pos="0"/>
        </w:tabs>
        <w:autoSpaceDE w:val="0"/>
        <w:autoSpaceDN w:val="0"/>
        <w:adjustRightInd w:val="0"/>
        <w:spacing w:before="100" w:beforeAutospacing="1"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Chaque </w:t>
      </w:r>
      <w:r w:rsidRPr="007C559B">
        <w:rPr>
          <w:rFonts w:ascii="Times New Roman" w:hAnsi="Times New Roman" w:cs="Times New Roman"/>
          <w:i/>
          <w:kern w:val="24"/>
          <w:sz w:val="24"/>
          <w:szCs w:val="24"/>
        </w:rPr>
        <w:t>sakk</w:t>
      </w:r>
      <w:r w:rsidRPr="007C559B">
        <w:rPr>
          <w:rFonts w:ascii="Times New Roman" w:hAnsi="Times New Roman" w:cs="Times New Roman"/>
          <w:kern w:val="24"/>
          <w:sz w:val="24"/>
          <w:szCs w:val="24"/>
        </w:rPr>
        <w:t xml:space="preserve"> représente une part du capital qui, en cas de faillite, doit être remboursée au détenteur prioritairement par rapport aux actionnaires, mais cela ne donne pas droit à participer à la gestion. Donc, cette forme de titres n’est équivalente ni à une action, ni à une obligation</w:t>
      </w:r>
      <w:r w:rsidRPr="007C559B">
        <w:rPr>
          <w:rStyle w:val="Appelnotedebasdep"/>
          <w:rFonts w:ascii="Times New Roman" w:hAnsi="Times New Roman"/>
          <w:kern w:val="24"/>
          <w:sz w:val="24"/>
          <w:szCs w:val="24"/>
        </w:rPr>
        <w:footnoteReference w:id="124"/>
      </w:r>
      <w:r w:rsidRPr="007C559B">
        <w:rPr>
          <w:rFonts w:ascii="Times New Roman" w:hAnsi="Times New Roman" w:cs="Times New Roman"/>
          <w:kern w:val="24"/>
          <w:sz w:val="24"/>
          <w:szCs w:val="24"/>
        </w:rPr>
        <w:t>. C’est un titre hybride en prenant certaines caractérisques de l’action et d’autres de l’obligation classique.</w:t>
      </w:r>
    </w:p>
    <w:p w14:paraId="2B69AE2E" w14:textId="77777777" w:rsidR="002760B2" w:rsidRPr="007C559B" w:rsidRDefault="002760B2" w:rsidP="007C559B">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Les </w:t>
      </w:r>
      <w:r w:rsidR="007A11D7"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doivent nécessairement respecter les cinq principes de la finance </w:t>
      </w:r>
      <w:r w:rsidR="00505EDD" w:rsidRPr="007C559B">
        <w:rPr>
          <w:rFonts w:ascii="Times New Roman" w:hAnsi="Times New Roman" w:cs="Times New Roman"/>
          <w:kern w:val="24"/>
          <w:sz w:val="24"/>
          <w:szCs w:val="24"/>
        </w:rPr>
        <w:t>i</w:t>
      </w:r>
      <w:r w:rsidR="003773C6" w:rsidRPr="007C559B">
        <w:rPr>
          <w:rFonts w:ascii="Times New Roman" w:hAnsi="Times New Roman" w:cs="Times New Roman"/>
          <w:kern w:val="24"/>
          <w:sz w:val="24"/>
          <w:szCs w:val="24"/>
        </w:rPr>
        <w:t>slamique</w:t>
      </w:r>
      <w:r w:rsidRPr="007C559B">
        <w:rPr>
          <w:rFonts w:ascii="Times New Roman" w:hAnsi="Times New Roman" w:cs="Times New Roman"/>
          <w:kern w:val="24"/>
          <w:sz w:val="24"/>
          <w:szCs w:val="24"/>
        </w:rPr>
        <w:t xml:space="preserve"> </w:t>
      </w:r>
      <w:r w:rsidR="00AB4C02" w:rsidRPr="007C559B">
        <w:rPr>
          <w:rFonts w:ascii="Times New Roman" w:hAnsi="Times New Roman" w:cs="Times New Roman"/>
          <w:kern w:val="24"/>
          <w:sz w:val="24"/>
          <w:szCs w:val="24"/>
        </w:rPr>
        <w:t>qui</w:t>
      </w:r>
      <w:r w:rsidRPr="007C559B">
        <w:rPr>
          <w:rFonts w:ascii="Times New Roman" w:hAnsi="Times New Roman" w:cs="Times New Roman"/>
          <w:kern w:val="24"/>
          <w:sz w:val="24"/>
          <w:szCs w:val="24"/>
        </w:rPr>
        <w:t xml:space="preserve"> peu</w:t>
      </w:r>
      <w:r w:rsidR="00AB4C02" w:rsidRPr="007C559B">
        <w:rPr>
          <w:rFonts w:ascii="Times New Roman" w:hAnsi="Times New Roman" w:cs="Times New Roman"/>
          <w:kern w:val="24"/>
          <w:sz w:val="24"/>
          <w:szCs w:val="24"/>
        </w:rPr>
        <w:t>vent</w:t>
      </w:r>
      <w:r w:rsidRPr="007C559B">
        <w:rPr>
          <w:rFonts w:ascii="Times New Roman" w:hAnsi="Times New Roman" w:cs="Times New Roman"/>
          <w:kern w:val="24"/>
          <w:sz w:val="24"/>
          <w:szCs w:val="24"/>
        </w:rPr>
        <w:t xml:space="preserve"> être atteint</w:t>
      </w:r>
      <w:r w:rsidR="00AB4C02" w:rsidRPr="007C559B">
        <w:rPr>
          <w:rFonts w:ascii="Times New Roman" w:hAnsi="Times New Roman" w:cs="Times New Roman"/>
          <w:kern w:val="24"/>
          <w:sz w:val="24"/>
          <w:szCs w:val="24"/>
        </w:rPr>
        <w:t>s</w:t>
      </w:r>
      <w:r w:rsidRPr="007C559B">
        <w:rPr>
          <w:rFonts w:ascii="Times New Roman" w:hAnsi="Times New Roman" w:cs="Times New Roman"/>
          <w:kern w:val="24"/>
          <w:sz w:val="24"/>
          <w:szCs w:val="24"/>
        </w:rPr>
        <w:t xml:space="preserve"> dans les conditions suivantes :</w:t>
      </w:r>
    </w:p>
    <w:p w14:paraId="104BD801" w14:textId="77777777" w:rsidR="002760B2" w:rsidRPr="007C559B" w:rsidRDefault="002760B2" w:rsidP="00CB0FF1">
      <w:pPr>
        <w:widowControl w:val="0"/>
        <w:numPr>
          <w:ilvl w:val="0"/>
          <w:numId w:val="7"/>
        </w:numPr>
        <w:tabs>
          <w:tab w:val="left" w:pos="993"/>
          <w:tab w:val="left" w:pos="1134"/>
        </w:tabs>
        <w:autoSpaceDE w:val="0"/>
        <w:autoSpaceDN w:val="0"/>
        <w:adjustRightInd w:val="0"/>
        <w:spacing w:line="300" w:lineRule="auto"/>
        <w:ind w:left="1208" w:hanging="357"/>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L’adossement des </w:t>
      </w:r>
      <w:r w:rsidR="007A11D7" w:rsidRPr="007C559B">
        <w:rPr>
          <w:rFonts w:ascii="Times New Roman" w:hAnsi="Times New Roman" w:cs="Times New Roman"/>
          <w:i/>
          <w:kern w:val="24"/>
          <w:sz w:val="24"/>
          <w:szCs w:val="24"/>
        </w:rPr>
        <w:t>sukuk</w:t>
      </w:r>
      <w:r w:rsidR="00E35038" w:rsidRPr="007C559B">
        <w:rPr>
          <w:rFonts w:ascii="Times New Roman" w:hAnsi="Times New Roman" w:cs="Times New Roman"/>
          <w:kern w:val="24"/>
          <w:sz w:val="24"/>
          <w:szCs w:val="24"/>
        </w:rPr>
        <w:t xml:space="preserve"> à un actif réel sous-jacent ;</w:t>
      </w:r>
      <w:r w:rsidRPr="007C559B">
        <w:rPr>
          <w:rFonts w:ascii="Times New Roman" w:hAnsi="Times New Roman" w:cs="Times New Roman"/>
          <w:kern w:val="24"/>
          <w:sz w:val="24"/>
          <w:szCs w:val="24"/>
        </w:rPr>
        <w:t xml:space="preserve"> ce qui représente une nécessité absolue.</w:t>
      </w:r>
    </w:p>
    <w:p w14:paraId="48AA682B" w14:textId="77777777" w:rsidR="002760B2" w:rsidRPr="007C559B" w:rsidRDefault="002760B2" w:rsidP="00CB0FF1">
      <w:pPr>
        <w:widowControl w:val="0"/>
        <w:numPr>
          <w:ilvl w:val="0"/>
          <w:numId w:val="7"/>
        </w:numPr>
        <w:tabs>
          <w:tab w:val="left" w:pos="993"/>
          <w:tab w:val="left" w:pos="1134"/>
        </w:tabs>
        <w:autoSpaceDE w:val="0"/>
        <w:autoSpaceDN w:val="0"/>
        <w:adjustRightInd w:val="0"/>
        <w:spacing w:line="300" w:lineRule="auto"/>
        <w:ind w:left="1208" w:hanging="357"/>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La préservation des </w:t>
      </w:r>
      <w:r w:rsidR="007A11D7" w:rsidRPr="007C559B">
        <w:rPr>
          <w:rFonts w:ascii="Times New Roman" w:hAnsi="Times New Roman" w:cs="Times New Roman"/>
          <w:i/>
          <w:kern w:val="24"/>
          <w:sz w:val="24"/>
          <w:szCs w:val="24"/>
        </w:rPr>
        <w:t>sukuk</w:t>
      </w:r>
      <w:r w:rsidR="00E35038" w:rsidRPr="007C559B">
        <w:rPr>
          <w:rFonts w:ascii="Times New Roman" w:hAnsi="Times New Roman" w:cs="Times New Roman"/>
          <w:kern w:val="24"/>
          <w:sz w:val="24"/>
          <w:szCs w:val="24"/>
        </w:rPr>
        <w:t xml:space="preserve"> du caractère participatif ;</w:t>
      </w:r>
      <w:r w:rsidRPr="007C559B">
        <w:rPr>
          <w:rFonts w:ascii="Times New Roman" w:hAnsi="Times New Roman" w:cs="Times New Roman"/>
          <w:kern w:val="24"/>
          <w:sz w:val="24"/>
          <w:szCs w:val="24"/>
        </w:rPr>
        <w:t xml:space="preserve"> les investisseurs en </w:t>
      </w:r>
      <w:r w:rsidR="007A11D7"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partagent avec l</w:t>
      </w:r>
      <w:r w:rsidR="00A944E4" w:rsidRPr="007C559B">
        <w:rPr>
          <w:rFonts w:ascii="Times New Roman" w:hAnsi="Times New Roman" w:cs="Times New Roman"/>
          <w:kern w:val="24"/>
          <w:sz w:val="24"/>
          <w:szCs w:val="24"/>
        </w:rPr>
        <w:t xml:space="preserve">eur </w:t>
      </w:r>
      <w:r w:rsidRPr="007C559B">
        <w:rPr>
          <w:rFonts w:ascii="Times New Roman" w:hAnsi="Times New Roman" w:cs="Times New Roman"/>
          <w:kern w:val="24"/>
          <w:sz w:val="24"/>
          <w:szCs w:val="24"/>
        </w:rPr>
        <w:t xml:space="preserve">originateur </w:t>
      </w:r>
      <w:r w:rsidR="00A944E4" w:rsidRPr="007C559B">
        <w:rPr>
          <w:rFonts w:ascii="Times New Roman" w:hAnsi="Times New Roman" w:cs="Times New Roman"/>
          <w:kern w:val="24"/>
          <w:sz w:val="24"/>
          <w:szCs w:val="24"/>
        </w:rPr>
        <w:t>aux</w:t>
      </w:r>
      <w:r w:rsidRPr="007C559B">
        <w:rPr>
          <w:rFonts w:ascii="Times New Roman" w:hAnsi="Times New Roman" w:cs="Times New Roman"/>
          <w:kern w:val="24"/>
          <w:sz w:val="24"/>
          <w:szCs w:val="24"/>
        </w:rPr>
        <w:t xml:space="preserve"> rendements tirés des actifs sous-jacents.</w:t>
      </w:r>
    </w:p>
    <w:p w14:paraId="4C6B103D" w14:textId="77777777" w:rsidR="002760B2" w:rsidRPr="007C559B" w:rsidRDefault="002760B2" w:rsidP="00CB0FF1">
      <w:pPr>
        <w:widowControl w:val="0"/>
        <w:numPr>
          <w:ilvl w:val="0"/>
          <w:numId w:val="7"/>
        </w:numPr>
        <w:tabs>
          <w:tab w:val="left" w:pos="993"/>
          <w:tab w:val="left" w:pos="1134"/>
        </w:tabs>
        <w:autoSpaceDE w:val="0"/>
        <w:autoSpaceDN w:val="0"/>
        <w:adjustRightInd w:val="0"/>
        <w:spacing w:line="300" w:lineRule="auto"/>
        <w:ind w:left="1208" w:hanging="357"/>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Les flux versés aux détenteurs des </w:t>
      </w:r>
      <w:r w:rsidR="007A11D7"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ne so</w:t>
      </w:r>
      <w:r w:rsidR="00E35038" w:rsidRPr="007C559B">
        <w:rPr>
          <w:rFonts w:ascii="Times New Roman" w:hAnsi="Times New Roman" w:cs="Times New Roman"/>
          <w:kern w:val="24"/>
          <w:sz w:val="24"/>
          <w:szCs w:val="24"/>
        </w:rPr>
        <w:t>nt pas des flux d’intérêt, mais</w:t>
      </w:r>
      <w:r w:rsidRPr="007C559B">
        <w:rPr>
          <w:rFonts w:ascii="Times New Roman" w:hAnsi="Times New Roman" w:cs="Times New Roman"/>
          <w:kern w:val="24"/>
          <w:sz w:val="24"/>
          <w:szCs w:val="24"/>
        </w:rPr>
        <w:t xml:space="preserve"> un transfert de la richesse accumulée par l’actif sous-jacent à ces détenteurs.</w:t>
      </w:r>
    </w:p>
    <w:p w14:paraId="425ACD1A" w14:textId="77777777" w:rsidR="002760B2" w:rsidRPr="007C559B" w:rsidRDefault="002760B2" w:rsidP="00CB0FF1">
      <w:pPr>
        <w:widowControl w:val="0"/>
        <w:numPr>
          <w:ilvl w:val="0"/>
          <w:numId w:val="7"/>
        </w:numPr>
        <w:tabs>
          <w:tab w:val="left" w:pos="993"/>
          <w:tab w:val="left" w:pos="1134"/>
        </w:tabs>
        <w:autoSpaceDE w:val="0"/>
        <w:autoSpaceDN w:val="0"/>
        <w:adjustRightInd w:val="0"/>
        <w:spacing w:line="300" w:lineRule="auto"/>
        <w:ind w:left="1208" w:hanging="357"/>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L’émission des </w:t>
      </w:r>
      <w:r w:rsidR="007A11D7"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s’effectue compatiblement avec le principe d’interdiction du </w:t>
      </w:r>
      <w:r w:rsidRPr="007C559B">
        <w:rPr>
          <w:rFonts w:ascii="Times New Roman" w:hAnsi="Times New Roman" w:cs="Times New Roman"/>
          <w:i/>
          <w:iCs/>
          <w:kern w:val="24"/>
          <w:sz w:val="24"/>
          <w:szCs w:val="24"/>
        </w:rPr>
        <w:t>haram</w:t>
      </w:r>
      <w:r w:rsidRPr="007C559B">
        <w:rPr>
          <w:rFonts w:ascii="Times New Roman" w:hAnsi="Times New Roman" w:cs="Times New Roman"/>
          <w:kern w:val="24"/>
          <w:sz w:val="24"/>
          <w:szCs w:val="24"/>
        </w:rPr>
        <w:t>.</w:t>
      </w:r>
    </w:p>
    <w:p w14:paraId="307B293A" w14:textId="77777777" w:rsidR="002760B2" w:rsidRPr="007C559B" w:rsidRDefault="002760B2" w:rsidP="00CB0FF1">
      <w:pPr>
        <w:widowControl w:val="0"/>
        <w:numPr>
          <w:ilvl w:val="0"/>
          <w:numId w:val="7"/>
        </w:numPr>
        <w:tabs>
          <w:tab w:val="left" w:pos="993"/>
          <w:tab w:val="left" w:pos="1134"/>
        </w:tabs>
        <w:autoSpaceDE w:val="0"/>
        <w:autoSpaceDN w:val="0"/>
        <w:adjustRightInd w:val="0"/>
        <w:spacing w:line="300" w:lineRule="auto"/>
        <w:ind w:left="1208" w:hanging="357"/>
        <w:rPr>
          <w:rFonts w:ascii="Times New Roman" w:hAnsi="Times New Roman" w:cs="Times New Roman"/>
          <w:kern w:val="24"/>
          <w:sz w:val="24"/>
          <w:szCs w:val="24"/>
        </w:rPr>
      </w:pPr>
      <w:r w:rsidRPr="007C559B">
        <w:rPr>
          <w:rFonts w:ascii="Times New Roman" w:hAnsi="Times New Roman" w:cs="Times New Roman"/>
          <w:kern w:val="24"/>
          <w:sz w:val="24"/>
          <w:szCs w:val="24"/>
        </w:rPr>
        <w:t xml:space="preserve">Les </w:t>
      </w:r>
      <w:r w:rsidR="007A11D7" w:rsidRPr="007C559B">
        <w:rPr>
          <w:rFonts w:ascii="Times New Roman" w:hAnsi="Times New Roman" w:cs="Times New Roman"/>
          <w:i/>
          <w:kern w:val="24"/>
          <w:sz w:val="24"/>
          <w:szCs w:val="24"/>
        </w:rPr>
        <w:t>sukuk</w:t>
      </w:r>
      <w:r w:rsidR="00E35038" w:rsidRPr="007C559B">
        <w:rPr>
          <w:rFonts w:ascii="Times New Roman" w:hAnsi="Times New Roman" w:cs="Times New Roman"/>
          <w:kern w:val="24"/>
          <w:sz w:val="24"/>
          <w:szCs w:val="24"/>
        </w:rPr>
        <w:t xml:space="preserve"> ont un caractère risqué eu</w:t>
      </w:r>
      <w:r w:rsidRPr="007C559B">
        <w:rPr>
          <w:rFonts w:ascii="Times New Roman" w:hAnsi="Times New Roman" w:cs="Times New Roman"/>
          <w:kern w:val="24"/>
          <w:sz w:val="24"/>
          <w:szCs w:val="24"/>
        </w:rPr>
        <w:t xml:space="preserve"> égard au fait que la prise de risque es</w:t>
      </w:r>
      <w:r w:rsidR="00E35038" w:rsidRPr="007C559B">
        <w:rPr>
          <w:rFonts w:ascii="Times New Roman" w:hAnsi="Times New Roman" w:cs="Times New Roman"/>
          <w:kern w:val="24"/>
          <w:sz w:val="24"/>
          <w:szCs w:val="24"/>
        </w:rPr>
        <w:t xml:space="preserve">t valorisée en </w:t>
      </w:r>
      <w:r w:rsidR="00F34669" w:rsidRPr="007C559B">
        <w:rPr>
          <w:rFonts w:ascii="Times New Roman" w:hAnsi="Times New Roman" w:cs="Times New Roman"/>
          <w:kern w:val="24"/>
          <w:sz w:val="24"/>
          <w:szCs w:val="24"/>
        </w:rPr>
        <w:t>Islam</w:t>
      </w:r>
      <w:r w:rsidRPr="007C559B">
        <w:rPr>
          <w:rFonts w:ascii="Times New Roman" w:hAnsi="Times New Roman" w:cs="Times New Roman"/>
          <w:kern w:val="24"/>
          <w:sz w:val="24"/>
          <w:szCs w:val="24"/>
        </w:rPr>
        <w:t xml:space="preserve"> dans un cadre qui dis</w:t>
      </w:r>
      <w:r w:rsidR="00996506" w:rsidRPr="007C559B">
        <w:rPr>
          <w:rFonts w:ascii="Times New Roman" w:hAnsi="Times New Roman" w:cs="Times New Roman"/>
          <w:kern w:val="24"/>
          <w:sz w:val="24"/>
          <w:szCs w:val="24"/>
        </w:rPr>
        <w:t xml:space="preserve">tingue entre les deux notions : </w:t>
      </w:r>
      <w:r w:rsidRPr="007C559B">
        <w:rPr>
          <w:rFonts w:ascii="Times New Roman" w:hAnsi="Times New Roman" w:cs="Times New Roman"/>
          <w:kern w:val="24"/>
          <w:sz w:val="24"/>
          <w:szCs w:val="24"/>
        </w:rPr>
        <w:t>« risque » et « incertitude ».</w:t>
      </w:r>
    </w:p>
    <w:p w14:paraId="7FE9542F" w14:textId="77777777" w:rsidR="002760B2" w:rsidRPr="007C559B" w:rsidRDefault="002760B2" w:rsidP="007C559B">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t>Selon l’organisation de normalisation comptable des insti</w:t>
      </w:r>
      <w:r w:rsidR="001361E3" w:rsidRPr="007C559B">
        <w:rPr>
          <w:rFonts w:ascii="Times New Roman" w:hAnsi="Times New Roman" w:cs="Times New Roman"/>
          <w:kern w:val="24"/>
          <w:sz w:val="24"/>
          <w:szCs w:val="24"/>
        </w:rPr>
        <w:t xml:space="preserve">tutions financières </w:t>
      </w:r>
      <w:r w:rsidR="00505EDD" w:rsidRPr="007C559B">
        <w:rPr>
          <w:rFonts w:ascii="Times New Roman" w:hAnsi="Times New Roman" w:cs="Times New Roman"/>
          <w:kern w:val="24"/>
          <w:sz w:val="24"/>
          <w:szCs w:val="24"/>
        </w:rPr>
        <w:t>i</w:t>
      </w:r>
      <w:r w:rsidR="003773C6" w:rsidRPr="007C559B">
        <w:rPr>
          <w:rFonts w:ascii="Times New Roman" w:hAnsi="Times New Roman" w:cs="Times New Roman"/>
          <w:kern w:val="24"/>
          <w:sz w:val="24"/>
          <w:szCs w:val="24"/>
        </w:rPr>
        <w:t>slamique</w:t>
      </w:r>
      <w:r w:rsidR="001361E3" w:rsidRPr="007C559B">
        <w:rPr>
          <w:rFonts w:ascii="Times New Roman" w:hAnsi="Times New Roman" w:cs="Times New Roman"/>
          <w:kern w:val="24"/>
          <w:sz w:val="24"/>
          <w:szCs w:val="24"/>
        </w:rPr>
        <w:t xml:space="preserve">s, </w:t>
      </w:r>
      <w:r w:rsidRPr="007C559B">
        <w:rPr>
          <w:rFonts w:ascii="Times New Roman" w:hAnsi="Times New Roman" w:cs="Times New Roman"/>
          <w:kern w:val="24"/>
          <w:sz w:val="24"/>
          <w:szCs w:val="24"/>
        </w:rPr>
        <w:t>Accounting and Aud</w:t>
      </w:r>
      <w:r w:rsidR="007A11D7" w:rsidRPr="007C559B">
        <w:rPr>
          <w:rFonts w:ascii="Times New Roman" w:hAnsi="Times New Roman" w:cs="Times New Roman"/>
          <w:kern w:val="24"/>
          <w:sz w:val="24"/>
          <w:szCs w:val="24"/>
        </w:rPr>
        <w:t xml:space="preserve">iting Organization for </w:t>
      </w:r>
      <w:r w:rsidR="00F34669" w:rsidRPr="007C559B">
        <w:rPr>
          <w:rFonts w:ascii="Times New Roman" w:hAnsi="Times New Roman" w:cs="Times New Roman"/>
          <w:kern w:val="24"/>
          <w:sz w:val="24"/>
          <w:szCs w:val="24"/>
        </w:rPr>
        <w:t>Islam</w:t>
      </w:r>
      <w:r w:rsidR="007A11D7" w:rsidRPr="007C559B">
        <w:rPr>
          <w:rFonts w:ascii="Times New Roman" w:hAnsi="Times New Roman" w:cs="Times New Roman"/>
          <w:kern w:val="24"/>
          <w:sz w:val="24"/>
          <w:szCs w:val="24"/>
        </w:rPr>
        <w:t>ic Financial I</w:t>
      </w:r>
      <w:r w:rsidR="001361E3" w:rsidRPr="007C559B">
        <w:rPr>
          <w:rFonts w:ascii="Times New Roman" w:hAnsi="Times New Roman" w:cs="Times New Roman"/>
          <w:kern w:val="24"/>
          <w:sz w:val="24"/>
          <w:szCs w:val="24"/>
        </w:rPr>
        <w:t>nstitutions</w:t>
      </w:r>
      <w:r w:rsidRPr="007C559B">
        <w:rPr>
          <w:rFonts w:ascii="Times New Roman" w:hAnsi="Times New Roman" w:cs="Times New Roman"/>
          <w:kern w:val="24"/>
          <w:sz w:val="24"/>
          <w:szCs w:val="24"/>
        </w:rPr>
        <w:t xml:space="preserve"> </w:t>
      </w:r>
      <w:r w:rsidR="001361E3" w:rsidRPr="007C559B">
        <w:rPr>
          <w:rFonts w:ascii="Times New Roman" w:hAnsi="Times New Roman" w:cs="Times New Roman"/>
          <w:kern w:val="24"/>
          <w:sz w:val="24"/>
          <w:szCs w:val="24"/>
        </w:rPr>
        <w:t>(</w:t>
      </w:r>
      <w:r w:rsidRPr="007C559B">
        <w:rPr>
          <w:rFonts w:ascii="Times New Roman" w:hAnsi="Times New Roman" w:cs="Times New Roman"/>
          <w:kern w:val="24"/>
          <w:sz w:val="24"/>
          <w:szCs w:val="24"/>
        </w:rPr>
        <w:t xml:space="preserve">AAOIFI), il existerait 14 types de </w:t>
      </w:r>
      <w:r w:rsidR="007A11D7"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Cependant</w:t>
      </w:r>
      <w:r w:rsidR="007A11D7" w:rsidRPr="007C559B">
        <w:rPr>
          <w:rFonts w:ascii="Times New Roman" w:hAnsi="Times New Roman" w:cs="Times New Roman"/>
          <w:kern w:val="24"/>
          <w:sz w:val="24"/>
          <w:szCs w:val="24"/>
        </w:rPr>
        <w:t>,</w:t>
      </w:r>
      <w:r w:rsidRPr="007C559B">
        <w:rPr>
          <w:rFonts w:ascii="Times New Roman" w:hAnsi="Times New Roman" w:cs="Times New Roman"/>
          <w:kern w:val="24"/>
          <w:sz w:val="24"/>
          <w:szCs w:val="24"/>
        </w:rPr>
        <w:t xml:space="preserve"> seules </w:t>
      </w:r>
      <w:r w:rsidR="007A11D7" w:rsidRPr="007C559B">
        <w:rPr>
          <w:rFonts w:ascii="Times New Roman" w:hAnsi="Times New Roman" w:cs="Times New Roman"/>
          <w:kern w:val="24"/>
          <w:sz w:val="24"/>
          <w:szCs w:val="24"/>
        </w:rPr>
        <w:t>sept</w:t>
      </w:r>
      <w:r w:rsidRPr="007C559B">
        <w:rPr>
          <w:rFonts w:ascii="Times New Roman" w:hAnsi="Times New Roman" w:cs="Times New Roman"/>
          <w:kern w:val="24"/>
          <w:sz w:val="24"/>
          <w:szCs w:val="24"/>
        </w:rPr>
        <w:t xml:space="preserve"> techniques sont utilisées couramment : l’</w:t>
      </w:r>
      <w:r w:rsidRPr="007C559B">
        <w:rPr>
          <w:rFonts w:ascii="Times New Roman" w:hAnsi="Times New Roman" w:cs="Times New Roman"/>
          <w:i/>
          <w:kern w:val="24"/>
          <w:sz w:val="24"/>
          <w:szCs w:val="24"/>
        </w:rPr>
        <w:t>ijara</w:t>
      </w:r>
      <w:r w:rsidRPr="007C559B">
        <w:rPr>
          <w:rFonts w:ascii="Times New Roman" w:hAnsi="Times New Roman" w:cs="Times New Roman"/>
          <w:kern w:val="24"/>
          <w:sz w:val="24"/>
          <w:szCs w:val="24"/>
        </w:rPr>
        <w:t xml:space="preserve">, la </w:t>
      </w:r>
      <w:r w:rsidRPr="007C559B">
        <w:rPr>
          <w:rFonts w:ascii="Times New Roman" w:hAnsi="Times New Roman" w:cs="Times New Roman"/>
          <w:i/>
          <w:iCs/>
          <w:kern w:val="24"/>
          <w:sz w:val="24"/>
          <w:szCs w:val="24"/>
        </w:rPr>
        <w:t>mourabaha</w:t>
      </w:r>
      <w:r w:rsidRPr="007C559B">
        <w:rPr>
          <w:rFonts w:ascii="Times New Roman" w:hAnsi="Times New Roman" w:cs="Times New Roman"/>
          <w:kern w:val="24"/>
          <w:sz w:val="24"/>
          <w:szCs w:val="24"/>
        </w:rPr>
        <w:t xml:space="preserve">, la </w:t>
      </w:r>
      <w:r w:rsidRPr="007C559B">
        <w:rPr>
          <w:rFonts w:ascii="Times New Roman" w:hAnsi="Times New Roman" w:cs="Times New Roman"/>
          <w:i/>
          <w:iCs/>
          <w:kern w:val="24"/>
          <w:sz w:val="24"/>
          <w:szCs w:val="24"/>
        </w:rPr>
        <w:t>moucharaka</w:t>
      </w:r>
      <w:r w:rsidRPr="007C559B">
        <w:rPr>
          <w:rFonts w:ascii="Times New Roman" w:hAnsi="Times New Roman" w:cs="Times New Roman"/>
          <w:kern w:val="24"/>
          <w:sz w:val="24"/>
          <w:szCs w:val="24"/>
        </w:rPr>
        <w:t xml:space="preserve">, la </w:t>
      </w:r>
      <w:r w:rsidR="004A4E16" w:rsidRPr="007C559B">
        <w:rPr>
          <w:rFonts w:ascii="Times New Roman" w:hAnsi="Times New Roman" w:cs="Times New Roman"/>
          <w:i/>
          <w:kern w:val="24"/>
          <w:sz w:val="24"/>
          <w:szCs w:val="24"/>
        </w:rPr>
        <w:t>moudaraba</w:t>
      </w:r>
      <w:r w:rsidRPr="007C559B">
        <w:rPr>
          <w:rFonts w:ascii="Times New Roman" w:hAnsi="Times New Roman" w:cs="Times New Roman"/>
          <w:kern w:val="24"/>
          <w:sz w:val="24"/>
          <w:szCs w:val="24"/>
        </w:rPr>
        <w:t>, l’</w:t>
      </w:r>
      <w:r w:rsidR="002C67F4" w:rsidRPr="007C559B">
        <w:rPr>
          <w:rFonts w:ascii="Times New Roman" w:hAnsi="Times New Roman" w:cs="Times New Roman"/>
          <w:i/>
          <w:iCs/>
          <w:kern w:val="24"/>
          <w:sz w:val="24"/>
          <w:szCs w:val="24"/>
        </w:rPr>
        <w:t>istisna’</w:t>
      </w:r>
      <w:r w:rsidRPr="007C559B">
        <w:rPr>
          <w:rFonts w:ascii="Times New Roman" w:hAnsi="Times New Roman" w:cs="Times New Roman"/>
          <w:kern w:val="24"/>
          <w:sz w:val="24"/>
          <w:szCs w:val="24"/>
        </w:rPr>
        <w:t xml:space="preserve">, le </w:t>
      </w:r>
      <w:r w:rsidRPr="007C559B">
        <w:rPr>
          <w:rFonts w:ascii="Times New Roman" w:hAnsi="Times New Roman" w:cs="Times New Roman"/>
          <w:i/>
          <w:kern w:val="24"/>
          <w:sz w:val="24"/>
          <w:szCs w:val="24"/>
        </w:rPr>
        <w:t>salam</w:t>
      </w:r>
      <w:r w:rsidRPr="007C559B">
        <w:rPr>
          <w:rFonts w:ascii="Times New Roman" w:hAnsi="Times New Roman" w:cs="Times New Roman"/>
          <w:kern w:val="24"/>
          <w:sz w:val="24"/>
          <w:szCs w:val="24"/>
        </w:rPr>
        <w:t xml:space="preserve"> et la </w:t>
      </w:r>
      <w:r w:rsidR="002C67F4" w:rsidRPr="007C559B">
        <w:rPr>
          <w:rFonts w:ascii="Times New Roman" w:hAnsi="Times New Roman" w:cs="Times New Roman"/>
          <w:i/>
          <w:iCs/>
          <w:kern w:val="24"/>
          <w:sz w:val="24"/>
          <w:szCs w:val="24"/>
        </w:rPr>
        <w:t>manfa</w:t>
      </w:r>
      <w:r w:rsidRPr="007C559B">
        <w:rPr>
          <w:rFonts w:ascii="Times New Roman" w:hAnsi="Times New Roman" w:cs="Times New Roman"/>
          <w:i/>
          <w:iCs/>
          <w:kern w:val="24"/>
          <w:sz w:val="24"/>
          <w:szCs w:val="24"/>
        </w:rPr>
        <w:t>a</w:t>
      </w:r>
      <w:r w:rsidR="002C67F4" w:rsidRPr="007C559B">
        <w:rPr>
          <w:rFonts w:ascii="Times New Roman" w:hAnsi="Times New Roman" w:cs="Times New Roman"/>
          <w:i/>
          <w:iCs/>
          <w:kern w:val="24"/>
          <w:sz w:val="24"/>
          <w:szCs w:val="24"/>
        </w:rPr>
        <w:t>’</w:t>
      </w:r>
      <w:r w:rsidRPr="007C559B">
        <w:rPr>
          <w:rStyle w:val="Appelnotedebasdep"/>
          <w:rFonts w:ascii="Times New Roman" w:hAnsi="Times New Roman"/>
          <w:kern w:val="24"/>
          <w:sz w:val="24"/>
          <w:szCs w:val="24"/>
        </w:rPr>
        <w:footnoteReference w:id="125"/>
      </w:r>
      <w:r w:rsidRPr="007C559B">
        <w:rPr>
          <w:rFonts w:ascii="Times New Roman" w:hAnsi="Times New Roman" w:cs="Times New Roman"/>
          <w:kern w:val="24"/>
          <w:sz w:val="24"/>
          <w:szCs w:val="24"/>
        </w:rPr>
        <w:t>.</w:t>
      </w:r>
    </w:p>
    <w:p w14:paraId="0929885A" w14:textId="03B4401F" w:rsidR="007C559B" w:rsidRDefault="002760B2" w:rsidP="00A2748E">
      <w:pPr>
        <w:keepLines/>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7C559B">
        <w:rPr>
          <w:rFonts w:ascii="Times New Roman" w:hAnsi="Times New Roman" w:cs="Times New Roman"/>
          <w:kern w:val="24"/>
          <w:sz w:val="24"/>
          <w:szCs w:val="24"/>
        </w:rPr>
        <w:lastRenderedPageBreak/>
        <w:t xml:space="preserve">Les premières émissions des </w:t>
      </w:r>
      <w:r w:rsidR="007A11D7"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étaient des émissions de </w:t>
      </w:r>
      <w:r w:rsidR="007A11D7" w:rsidRPr="007C559B">
        <w:rPr>
          <w:rFonts w:ascii="Times New Roman" w:hAnsi="Times New Roman" w:cs="Times New Roman"/>
          <w:i/>
          <w:kern w:val="24"/>
          <w:sz w:val="24"/>
          <w:szCs w:val="24"/>
        </w:rPr>
        <w:t>sukuk</w:t>
      </w:r>
      <w:r w:rsidRPr="007C559B">
        <w:rPr>
          <w:rFonts w:ascii="Times New Roman" w:hAnsi="Times New Roman" w:cs="Times New Roman"/>
          <w:kern w:val="24"/>
          <w:sz w:val="24"/>
          <w:szCs w:val="24"/>
        </w:rPr>
        <w:t xml:space="preserve"> souverains émis en 2001 et 2002 </w:t>
      </w:r>
      <w:r w:rsidR="008D3E42">
        <w:rPr>
          <w:rFonts w:ascii="Times New Roman" w:hAnsi="Times New Roman" w:cs="Times New Roman"/>
          <w:kern w:val="24"/>
          <w:sz w:val="24"/>
          <w:szCs w:val="24"/>
        </w:rPr>
        <w:t xml:space="preserve">(voir </w:t>
      </w:r>
      <w:r w:rsidR="008D3E42" w:rsidRPr="008D3E42">
        <w:rPr>
          <w:rFonts w:ascii="Times New Roman" w:hAnsi="Times New Roman" w:cs="Times New Roman"/>
          <w:b/>
          <w:bCs/>
          <w:kern w:val="24"/>
          <w:sz w:val="24"/>
          <w:szCs w:val="24"/>
        </w:rPr>
        <w:t>figure 11</w:t>
      </w:r>
      <w:r w:rsidR="008D3E42">
        <w:rPr>
          <w:rFonts w:ascii="Times New Roman" w:hAnsi="Times New Roman" w:cs="Times New Roman"/>
          <w:kern w:val="24"/>
          <w:sz w:val="24"/>
          <w:szCs w:val="24"/>
        </w:rPr>
        <w:t xml:space="preserve">) </w:t>
      </w:r>
      <w:r w:rsidRPr="007C559B">
        <w:rPr>
          <w:rFonts w:ascii="Times New Roman" w:hAnsi="Times New Roman" w:cs="Times New Roman"/>
          <w:kern w:val="24"/>
          <w:sz w:val="24"/>
          <w:szCs w:val="24"/>
        </w:rPr>
        <w:t>par trois Etats, à savoir : Ma</w:t>
      </w:r>
      <w:r w:rsidR="002C67F4" w:rsidRPr="007C559B">
        <w:rPr>
          <w:rFonts w:ascii="Times New Roman" w:hAnsi="Times New Roman" w:cs="Times New Roman"/>
          <w:kern w:val="24"/>
          <w:sz w:val="24"/>
          <w:szCs w:val="24"/>
        </w:rPr>
        <w:t>laisie, Bahreïn et Qatar. A</w:t>
      </w:r>
      <w:r w:rsidRPr="007C559B">
        <w:rPr>
          <w:rFonts w:ascii="Times New Roman" w:hAnsi="Times New Roman" w:cs="Times New Roman"/>
          <w:kern w:val="24"/>
          <w:sz w:val="24"/>
          <w:szCs w:val="24"/>
        </w:rPr>
        <w:t>ctuelle</w:t>
      </w:r>
      <w:r w:rsidR="002C67F4" w:rsidRPr="007C559B">
        <w:rPr>
          <w:rFonts w:ascii="Times New Roman" w:hAnsi="Times New Roman" w:cs="Times New Roman"/>
          <w:kern w:val="24"/>
          <w:sz w:val="24"/>
          <w:szCs w:val="24"/>
        </w:rPr>
        <w:t xml:space="preserve">ment, à côté des émissions des </w:t>
      </w:r>
      <w:r w:rsidRPr="007C559B">
        <w:rPr>
          <w:rFonts w:ascii="Times New Roman" w:hAnsi="Times New Roman" w:cs="Times New Roman"/>
          <w:kern w:val="24"/>
          <w:sz w:val="24"/>
          <w:szCs w:val="24"/>
        </w:rPr>
        <w:t>Etats et des collectivités ter</w:t>
      </w:r>
      <w:r w:rsidR="002C67F4" w:rsidRPr="007C559B">
        <w:rPr>
          <w:rFonts w:ascii="Times New Roman" w:hAnsi="Times New Roman" w:cs="Times New Roman"/>
          <w:kern w:val="24"/>
          <w:sz w:val="24"/>
          <w:szCs w:val="24"/>
        </w:rPr>
        <w:t xml:space="preserve">ritoriales </w:t>
      </w:r>
      <w:r w:rsidRPr="007C559B">
        <w:rPr>
          <w:rFonts w:ascii="Times New Roman" w:hAnsi="Times New Roman" w:cs="Times New Roman"/>
          <w:kern w:val="24"/>
          <w:sz w:val="24"/>
          <w:szCs w:val="24"/>
        </w:rPr>
        <w:t>pour com</w:t>
      </w:r>
      <w:r w:rsidR="002C67F4" w:rsidRPr="007C559B">
        <w:rPr>
          <w:rFonts w:ascii="Times New Roman" w:hAnsi="Times New Roman" w:cs="Times New Roman"/>
          <w:kern w:val="24"/>
          <w:sz w:val="24"/>
          <w:szCs w:val="24"/>
        </w:rPr>
        <w:t>bler leurs déficits budgétaires</w:t>
      </w:r>
      <w:r w:rsidRPr="007C559B">
        <w:rPr>
          <w:rFonts w:ascii="Times New Roman" w:hAnsi="Times New Roman" w:cs="Times New Roman"/>
          <w:kern w:val="24"/>
          <w:sz w:val="24"/>
          <w:szCs w:val="24"/>
        </w:rPr>
        <w:t>, il existe ce</w:t>
      </w:r>
      <w:r w:rsidR="00F66503" w:rsidRPr="007C559B">
        <w:rPr>
          <w:rFonts w:ascii="Times New Roman" w:hAnsi="Times New Roman" w:cs="Times New Roman"/>
          <w:kern w:val="24"/>
          <w:sz w:val="24"/>
          <w:szCs w:val="24"/>
        </w:rPr>
        <w:t>ux</w:t>
      </w:r>
      <w:r w:rsidRPr="007C559B">
        <w:rPr>
          <w:rFonts w:ascii="Times New Roman" w:hAnsi="Times New Roman" w:cs="Times New Roman"/>
          <w:kern w:val="24"/>
          <w:sz w:val="24"/>
          <w:szCs w:val="24"/>
        </w:rPr>
        <w:t xml:space="preserve"> des entreprises de tous types et de tous les domaines. Les </w:t>
      </w:r>
      <w:r w:rsidR="007A11D7" w:rsidRPr="007C559B">
        <w:rPr>
          <w:rFonts w:ascii="Times New Roman" w:hAnsi="Times New Roman" w:cs="Times New Roman"/>
          <w:i/>
          <w:kern w:val="24"/>
          <w:sz w:val="24"/>
          <w:szCs w:val="24"/>
        </w:rPr>
        <w:t>sukuk</w:t>
      </w:r>
      <w:r w:rsidR="007A11D7" w:rsidRPr="007C559B">
        <w:rPr>
          <w:rFonts w:ascii="Times New Roman" w:hAnsi="Times New Roman" w:cs="Times New Roman"/>
          <w:kern w:val="24"/>
          <w:sz w:val="24"/>
          <w:szCs w:val="24"/>
        </w:rPr>
        <w:t xml:space="preserve"> peuvent être achetés</w:t>
      </w:r>
      <w:r w:rsidRPr="007C559B">
        <w:rPr>
          <w:rFonts w:ascii="Times New Roman" w:hAnsi="Times New Roman" w:cs="Times New Roman"/>
          <w:kern w:val="24"/>
          <w:sz w:val="24"/>
          <w:szCs w:val="24"/>
        </w:rPr>
        <w:t xml:space="preserve"> auprès de l’émetteur (marché primaire)</w:t>
      </w:r>
      <w:r w:rsidR="002C67F4" w:rsidRPr="007C559B">
        <w:rPr>
          <w:rFonts w:ascii="Times New Roman" w:hAnsi="Times New Roman" w:cs="Times New Roman"/>
          <w:kern w:val="24"/>
          <w:sz w:val="24"/>
          <w:szCs w:val="24"/>
        </w:rPr>
        <w:t>, auprès des détenteurs (marché secondaire</w:t>
      </w:r>
      <w:r w:rsidRPr="007C559B">
        <w:rPr>
          <w:rFonts w:ascii="Times New Roman" w:hAnsi="Times New Roman" w:cs="Times New Roman"/>
          <w:kern w:val="24"/>
          <w:sz w:val="24"/>
          <w:szCs w:val="24"/>
        </w:rPr>
        <w:t>) et aussi auprès des intermédiaires.</w:t>
      </w:r>
    </w:p>
    <w:p w14:paraId="44E957FB" w14:textId="1D767DF9" w:rsidR="007C559B" w:rsidRPr="007C559B" w:rsidRDefault="007C559B" w:rsidP="007C559B">
      <w:pPr>
        <w:pStyle w:val="Lgende"/>
        <w:keepNext/>
        <w:keepLines/>
        <w:spacing w:before="100" w:beforeAutospacing="1" w:after="120" w:line="300" w:lineRule="auto"/>
        <w:jc w:val="center"/>
        <w:rPr>
          <w:rFonts w:ascii="Times New Roman" w:hAnsi="Times New Roman" w:cs="Times New Roman"/>
          <w:color w:val="auto"/>
          <w:sz w:val="24"/>
          <w:szCs w:val="24"/>
        </w:rPr>
      </w:pPr>
      <w:bookmarkStart w:id="402" w:name="_Toc115527422"/>
      <w:r w:rsidRPr="007C559B">
        <w:rPr>
          <w:rFonts w:ascii="Times New Roman" w:hAnsi="Times New Roman" w:cs="Times New Roman"/>
          <w:color w:val="auto"/>
          <w:sz w:val="24"/>
          <w:szCs w:val="24"/>
        </w:rPr>
        <w:t xml:space="preserve">Figure </w:t>
      </w:r>
      <w:r w:rsidRPr="007C559B">
        <w:rPr>
          <w:rFonts w:ascii="Times New Roman" w:hAnsi="Times New Roman" w:cs="Times New Roman"/>
          <w:color w:val="auto"/>
          <w:sz w:val="24"/>
          <w:szCs w:val="24"/>
        </w:rPr>
        <w:fldChar w:fldCharType="begin"/>
      </w:r>
      <w:r w:rsidRPr="007C559B">
        <w:rPr>
          <w:rFonts w:ascii="Times New Roman" w:hAnsi="Times New Roman" w:cs="Times New Roman"/>
          <w:color w:val="auto"/>
          <w:sz w:val="24"/>
          <w:szCs w:val="24"/>
        </w:rPr>
        <w:instrText xml:space="preserve"> SEQ Figure \* ARABIC </w:instrText>
      </w:r>
      <w:r w:rsidRPr="007C559B">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11</w:t>
      </w:r>
      <w:r w:rsidRPr="007C559B">
        <w:rPr>
          <w:rFonts w:ascii="Times New Roman" w:hAnsi="Times New Roman" w:cs="Times New Roman"/>
          <w:color w:val="auto"/>
          <w:sz w:val="24"/>
          <w:szCs w:val="24"/>
        </w:rPr>
        <w:fldChar w:fldCharType="end"/>
      </w:r>
      <w:r w:rsidRPr="007C559B">
        <w:rPr>
          <w:rFonts w:ascii="Times New Roman" w:hAnsi="Times New Roman" w:cs="Times New Roman"/>
          <w:color w:val="auto"/>
          <w:sz w:val="24"/>
          <w:szCs w:val="24"/>
        </w:rPr>
        <w:t xml:space="preserve">- Evolution des émissions des sukuk entre 2001-2016 </w:t>
      </w:r>
      <w:r w:rsidRPr="007C559B">
        <w:rPr>
          <w:rFonts w:ascii="Times New Roman" w:hAnsi="Times New Roman" w:cs="Times New Roman"/>
          <w:b w:val="0"/>
          <w:bCs w:val="0"/>
          <w:color w:val="auto"/>
          <w:sz w:val="24"/>
          <w:szCs w:val="24"/>
        </w:rPr>
        <w:t>(en milliards de dollars</w:t>
      </w:r>
      <w:r w:rsidRPr="007C559B">
        <w:rPr>
          <w:rFonts w:ascii="Times New Roman" w:hAnsi="Times New Roman" w:cs="Times New Roman"/>
          <w:color w:val="auto"/>
          <w:sz w:val="24"/>
          <w:szCs w:val="24"/>
        </w:rPr>
        <w:t>)</w:t>
      </w:r>
      <w:bookmarkEnd w:id="402"/>
    </w:p>
    <w:p w14:paraId="46E1085B" w14:textId="77B6D5AC" w:rsidR="007C559B" w:rsidRPr="007C559B" w:rsidRDefault="007C559B" w:rsidP="007C559B">
      <w:pPr>
        <w:pStyle w:val="Paragraphedeliste"/>
        <w:keepNext/>
        <w:keepLines/>
        <w:spacing w:before="120" w:line="300" w:lineRule="auto"/>
        <w:ind w:left="0"/>
        <w:contextualSpacing w:val="0"/>
        <w:jc w:val="center"/>
        <w:rPr>
          <w:rFonts w:ascii="Times New Roman" w:hAnsi="Times New Roman" w:cs="Times New Roman"/>
          <w:sz w:val="24"/>
          <w:szCs w:val="24"/>
        </w:rPr>
      </w:pPr>
      <w:r w:rsidRPr="007C559B">
        <w:rPr>
          <w:rFonts w:ascii="Times New Roman" w:hAnsi="Times New Roman" w:cs="Times New Roman"/>
          <w:noProof/>
          <w:lang w:eastAsia="fr-FR"/>
        </w:rPr>
        <w:drawing>
          <wp:anchor distT="0" distB="0" distL="114300" distR="114300" simplePos="0" relativeHeight="251542528" behindDoc="0" locked="1" layoutInCell="1" allowOverlap="0" wp14:anchorId="25D8C5B1" wp14:editId="69233F30">
            <wp:simplePos x="0" y="0"/>
            <wp:positionH relativeFrom="margin">
              <wp:posOffset>385445</wp:posOffset>
            </wp:positionH>
            <wp:positionV relativeFrom="paragraph">
              <wp:posOffset>50800</wp:posOffset>
            </wp:positionV>
            <wp:extent cx="4989195" cy="2372360"/>
            <wp:effectExtent l="0" t="0" r="0" b="0"/>
            <wp:wrapNone/>
            <wp:docPr id="1568" name="Imag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32" cstate="print"/>
                    <a:srcRect/>
                    <a:stretch>
                      <a:fillRect/>
                    </a:stretch>
                  </pic:blipFill>
                  <pic:spPr bwMode="auto">
                    <a:xfrm>
                      <a:off x="0" y="0"/>
                      <a:ext cx="4989195" cy="2372360"/>
                    </a:xfrm>
                    <a:prstGeom prst="rect">
                      <a:avLst/>
                    </a:prstGeom>
                    <a:noFill/>
                  </pic:spPr>
                </pic:pic>
              </a:graphicData>
            </a:graphic>
            <wp14:sizeRelH relativeFrom="margin">
              <wp14:pctWidth>0</wp14:pctWidth>
            </wp14:sizeRelH>
            <wp14:sizeRelV relativeFrom="margin">
              <wp14:pctHeight>0</wp14:pctHeight>
            </wp14:sizeRelV>
          </wp:anchor>
        </w:drawing>
      </w:r>
      <w:r w:rsidR="002C5EFF">
        <w:rPr>
          <w:rFonts w:ascii="Times New Roman" w:hAnsi="Times New Roman" w:cs="Times New Roman"/>
          <w:noProof/>
          <w:lang w:eastAsia="fr-FR"/>
        </w:rPr>
        <mc:AlternateContent>
          <mc:Choice Requires="wpc">
            <w:drawing>
              <wp:inline distT="0" distB="0" distL="0" distR="0" wp14:anchorId="3346F9C9" wp14:editId="5614D186">
                <wp:extent cx="4977130" cy="2363470"/>
                <wp:effectExtent l="2540" t="2540" r="1905" b="0"/>
                <wp:docPr id="1747" name="Zone de dessin 17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BBC28A7" id="Zone de dessin 1747" o:spid="_x0000_s1026" editas="canvas" style="width:391.9pt;height:186.1pt;mso-position-horizontal-relative:char;mso-position-vertical-relative:line" coordsize="49771,2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771;height:23634;visibility:visible;mso-wrap-style:square">
                  <v:fill o:detectmouseclick="t"/>
                  <v:path o:connecttype="none"/>
                </v:shape>
                <w10:anchorlock/>
              </v:group>
            </w:pict>
          </mc:Fallback>
        </mc:AlternateContent>
      </w:r>
    </w:p>
    <w:p w14:paraId="420A7289" w14:textId="77777777" w:rsidR="007C559B" w:rsidRPr="007C559B" w:rsidRDefault="007C559B" w:rsidP="007C559B">
      <w:pPr>
        <w:keepNext/>
        <w:keepLines/>
        <w:tabs>
          <w:tab w:val="left" w:pos="0"/>
        </w:tabs>
        <w:spacing w:before="120" w:line="300" w:lineRule="auto"/>
        <w:jc w:val="center"/>
        <w:rPr>
          <w:rFonts w:ascii="Times New Roman" w:hAnsi="Times New Roman" w:cs="Times New Roman"/>
          <w:sz w:val="20"/>
          <w:szCs w:val="20"/>
          <w:lang w:val="en-GB"/>
        </w:rPr>
      </w:pPr>
      <w:r w:rsidRPr="007C559B">
        <w:rPr>
          <w:rFonts w:ascii="Times New Roman" w:hAnsi="Times New Roman" w:cs="Times New Roman"/>
          <w:sz w:val="20"/>
          <w:szCs w:val="20"/>
          <w:lang w:val="en-GB"/>
        </w:rPr>
        <w:t>Source : Bloomberg database, Thomson&amp;Reuters, &amp; IIFM sukuk database)</w:t>
      </w:r>
    </w:p>
    <w:p w14:paraId="7E9A5026" w14:textId="77777777" w:rsidR="007C559B" w:rsidRPr="007C559B" w:rsidRDefault="007C559B" w:rsidP="007C559B">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lang w:val="en-GB"/>
        </w:rPr>
      </w:pPr>
    </w:p>
    <w:p w14:paraId="354F7F2B" w14:textId="5BAFB407" w:rsidR="002C67F4" w:rsidRPr="00A2748E" w:rsidRDefault="002760B2" w:rsidP="00A2748E">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A2748E">
        <w:rPr>
          <w:rFonts w:ascii="Times New Roman" w:hAnsi="Times New Roman" w:cs="Times New Roman"/>
          <w:kern w:val="24"/>
          <w:sz w:val="24"/>
          <w:szCs w:val="24"/>
        </w:rPr>
        <w:t xml:space="preserve">Selon </w:t>
      </w:r>
      <w:r w:rsidRPr="00A2748E">
        <w:rPr>
          <w:rFonts w:ascii="Times New Roman" w:hAnsi="Times New Roman" w:cs="Times New Roman"/>
          <w:smallCaps/>
          <w:kern w:val="24"/>
          <w:sz w:val="24"/>
          <w:szCs w:val="24"/>
        </w:rPr>
        <w:t>Hassoun</w:t>
      </w:r>
      <w:r w:rsidRPr="00A2748E">
        <w:rPr>
          <w:rFonts w:ascii="Times New Roman" w:hAnsi="Times New Roman" w:cs="Times New Roman"/>
          <w:kern w:val="24"/>
          <w:sz w:val="24"/>
          <w:szCs w:val="24"/>
        </w:rPr>
        <w:t xml:space="preserve"> (2008), il existe deux grandes catégories de </w:t>
      </w:r>
      <w:r w:rsidR="007A11D7" w:rsidRPr="00A2748E">
        <w:rPr>
          <w:rFonts w:ascii="Times New Roman" w:hAnsi="Times New Roman" w:cs="Times New Roman"/>
          <w:i/>
          <w:kern w:val="24"/>
          <w:sz w:val="24"/>
          <w:szCs w:val="24"/>
        </w:rPr>
        <w:t>sukuk</w:t>
      </w:r>
      <w:r w:rsidRPr="00A2748E">
        <w:rPr>
          <w:rFonts w:ascii="Times New Roman" w:hAnsi="Times New Roman" w:cs="Times New Roman"/>
          <w:kern w:val="24"/>
          <w:sz w:val="24"/>
          <w:szCs w:val="24"/>
        </w:rPr>
        <w:t xml:space="preserve"> qui sont retenue</w:t>
      </w:r>
      <w:r w:rsidR="002C67F4" w:rsidRPr="00A2748E">
        <w:rPr>
          <w:rFonts w:ascii="Times New Roman" w:hAnsi="Times New Roman" w:cs="Times New Roman"/>
          <w:kern w:val="24"/>
          <w:sz w:val="24"/>
          <w:szCs w:val="24"/>
        </w:rPr>
        <w:t>s par les agences de notation :</w:t>
      </w:r>
    </w:p>
    <w:p w14:paraId="45CE6445" w14:textId="1221BE1F" w:rsidR="002C67F4" w:rsidRPr="00A2748E" w:rsidRDefault="00F92644" w:rsidP="00CB0FF1">
      <w:pPr>
        <w:pStyle w:val="Paragraphedeliste"/>
        <w:widowControl w:val="0"/>
        <w:numPr>
          <w:ilvl w:val="0"/>
          <w:numId w:val="54"/>
        </w:numPr>
        <w:tabs>
          <w:tab w:val="left" w:pos="0"/>
        </w:tabs>
        <w:autoSpaceDE w:val="0"/>
        <w:autoSpaceDN w:val="0"/>
        <w:adjustRightInd w:val="0"/>
        <w:spacing w:line="300" w:lineRule="auto"/>
        <w:ind w:left="1208" w:hanging="357"/>
        <w:contextualSpacing w:val="0"/>
        <w:rPr>
          <w:rFonts w:ascii="Times New Roman" w:hAnsi="Times New Roman" w:cs="Times New Roman"/>
          <w:kern w:val="24"/>
          <w:sz w:val="24"/>
          <w:szCs w:val="24"/>
        </w:rPr>
      </w:pPr>
      <w:r w:rsidRPr="00F92644">
        <w:rPr>
          <w:rFonts w:ascii="Times New Roman" w:hAnsi="Times New Roman" w:cs="Times New Roman"/>
          <w:i/>
          <w:iCs/>
          <w:kern w:val="24"/>
          <w:sz w:val="24"/>
          <w:szCs w:val="24"/>
        </w:rPr>
        <w:t>S</w:t>
      </w:r>
      <w:r w:rsidR="007A11D7" w:rsidRPr="00F92644">
        <w:rPr>
          <w:rFonts w:ascii="Times New Roman" w:hAnsi="Times New Roman" w:cs="Times New Roman"/>
          <w:i/>
          <w:iCs/>
          <w:kern w:val="24"/>
          <w:sz w:val="24"/>
          <w:szCs w:val="24"/>
        </w:rPr>
        <w:t>ukuk</w:t>
      </w:r>
      <w:r w:rsidR="002760B2" w:rsidRPr="00A2748E">
        <w:rPr>
          <w:rFonts w:ascii="Times New Roman" w:hAnsi="Times New Roman" w:cs="Times New Roman"/>
          <w:kern w:val="24"/>
          <w:sz w:val="24"/>
          <w:szCs w:val="24"/>
        </w:rPr>
        <w:t xml:space="preserve"> « asset-based » qui incluent toutes les émissions obligataires </w:t>
      </w:r>
      <w:r w:rsidR="00505EDD" w:rsidRPr="00A2748E">
        <w:rPr>
          <w:rFonts w:ascii="Times New Roman" w:hAnsi="Times New Roman" w:cs="Times New Roman"/>
          <w:kern w:val="24"/>
          <w:sz w:val="24"/>
          <w:szCs w:val="24"/>
        </w:rPr>
        <w:t>i</w:t>
      </w:r>
      <w:r w:rsidR="003773C6" w:rsidRPr="00A2748E">
        <w:rPr>
          <w:rFonts w:ascii="Times New Roman" w:hAnsi="Times New Roman" w:cs="Times New Roman"/>
          <w:kern w:val="24"/>
          <w:sz w:val="24"/>
          <w:szCs w:val="24"/>
        </w:rPr>
        <w:t>slamique</w:t>
      </w:r>
      <w:r w:rsidR="002760B2" w:rsidRPr="00A2748E">
        <w:rPr>
          <w:rFonts w:ascii="Times New Roman" w:hAnsi="Times New Roman" w:cs="Times New Roman"/>
          <w:kern w:val="24"/>
          <w:sz w:val="24"/>
          <w:szCs w:val="24"/>
        </w:rPr>
        <w:t>s bénéficiant de l’entière garantie de l’orig</w:t>
      </w:r>
      <w:r w:rsidR="002C67F4" w:rsidRPr="00A2748E">
        <w:rPr>
          <w:rFonts w:ascii="Times New Roman" w:hAnsi="Times New Roman" w:cs="Times New Roman"/>
          <w:kern w:val="24"/>
          <w:sz w:val="24"/>
          <w:szCs w:val="24"/>
        </w:rPr>
        <w:t>inateur des actifs sous-jacents ;</w:t>
      </w:r>
    </w:p>
    <w:p w14:paraId="19E98821" w14:textId="2BFAF2BE" w:rsidR="002760B2" w:rsidRPr="00A2748E" w:rsidRDefault="00F92644" w:rsidP="00CB0FF1">
      <w:pPr>
        <w:pStyle w:val="Paragraphedeliste"/>
        <w:widowControl w:val="0"/>
        <w:numPr>
          <w:ilvl w:val="0"/>
          <w:numId w:val="54"/>
        </w:numPr>
        <w:tabs>
          <w:tab w:val="left" w:pos="0"/>
        </w:tabs>
        <w:autoSpaceDE w:val="0"/>
        <w:autoSpaceDN w:val="0"/>
        <w:adjustRightInd w:val="0"/>
        <w:spacing w:line="300" w:lineRule="auto"/>
        <w:ind w:left="1208" w:hanging="357"/>
        <w:contextualSpacing w:val="0"/>
        <w:rPr>
          <w:rFonts w:ascii="Times New Roman" w:hAnsi="Times New Roman" w:cs="Times New Roman"/>
          <w:kern w:val="24"/>
          <w:sz w:val="24"/>
          <w:szCs w:val="24"/>
        </w:rPr>
      </w:pPr>
      <w:r w:rsidRPr="00F92644">
        <w:rPr>
          <w:rFonts w:ascii="Times New Roman" w:hAnsi="Times New Roman" w:cs="Times New Roman"/>
          <w:i/>
          <w:iCs/>
          <w:kern w:val="24"/>
          <w:sz w:val="24"/>
          <w:szCs w:val="24"/>
        </w:rPr>
        <w:t>S</w:t>
      </w:r>
      <w:r w:rsidR="007A11D7" w:rsidRPr="00F92644">
        <w:rPr>
          <w:rFonts w:ascii="Times New Roman" w:hAnsi="Times New Roman" w:cs="Times New Roman"/>
          <w:i/>
          <w:iCs/>
          <w:kern w:val="24"/>
          <w:sz w:val="24"/>
          <w:szCs w:val="24"/>
        </w:rPr>
        <w:t>ukuk</w:t>
      </w:r>
      <w:r w:rsidR="002760B2" w:rsidRPr="00A2748E">
        <w:rPr>
          <w:rFonts w:ascii="Times New Roman" w:hAnsi="Times New Roman" w:cs="Times New Roman"/>
          <w:kern w:val="24"/>
          <w:sz w:val="24"/>
          <w:szCs w:val="24"/>
        </w:rPr>
        <w:t xml:space="preserve"> « asset-backed » qui représentent des émissions obligataires </w:t>
      </w:r>
      <w:r>
        <w:rPr>
          <w:rFonts w:ascii="Times New Roman" w:hAnsi="Times New Roman" w:cs="Times New Roman"/>
          <w:i/>
          <w:kern w:val="24"/>
          <w:sz w:val="24"/>
          <w:szCs w:val="24"/>
        </w:rPr>
        <w:t>cha</w:t>
      </w:r>
      <w:r w:rsidR="002760B2" w:rsidRPr="00A2748E">
        <w:rPr>
          <w:rFonts w:ascii="Times New Roman" w:hAnsi="Times New Roman" w:cs="Times New Roman"/>
          <w:i/>
          <w:kern w:val="24"/>
          <w:sz w:val="24"/>
          <w:szCs w:val="24"/>
        </w:rPr>
        <w:t>riatiques</w:t>
      </w:r>
      <w:r w:rsidR="002760B2" w:rsidRPr="00A2748E">
        <w:rPr>
          <w:rFonts w:ascii="Times New Roman" w:hAnsi="Times New Roman" w:cs="Times New Roman"/>
          <w:kern w:val="24"/>
          <w:sz w:val="24"/>
          <w:szCs w:val="24"/>
        </w:rPr>
        <w:t xml:space="preserve"> qui ne sont couvertes par aucune forme de garantie provenant de l’originateur des actifs sous-jacents</w:t>
      </w:r>
      <w:r w:rsidR="002760B2" w:rsidRPr="00A2748E">
        <w:rPr>
          <w:rStyle w:val="Appelnotedebasdep"/>
          <w:rFonts w:ascii="Times New Roman" w:hAnsi="Times New Roman"/>
          <w:kern w:val="24"/>
          <w:sz w:val="24"/>
          <w:szCs w:val="24"/>
        </w:rPr>
        <w:footnoteReference w:id="126"/>
      </w:r>
      <w:r w:rsidR="002760B2" w:rsidRPr="00A2748E">
        <w:rPr>
          <w:rFonts w:ascii="Times New Roman" w:hAnsi="Times New Roman" w:cs="Times New Roman"/>
          <w:kern w:val="24"/>
          <w:sz w:val="24"/>
          <w:szCs w:val="24"/>
        </w:rPr>
        <w:t>.</w:t>
      </w:r>
    </w:p>
    <w:p w14:paraId="2F182465" w14:textId="568A0125" w:rsidR="00D51F49" w:rsidRPr="00A2748E" w:rsidRDefault="00D51F49" w:rsidP="00A2748E">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A2748E">
        <w:rPr>
          <w:rFonts w:asciiTheme="majorBidi" w:hAnsiTheme="majorBidi" w:cstheme="majorBidi"/>
          <w:color w:val="000000" w:themeColor="text1"/>
          <w:kern w:val="24"/>
          <w:sz w:val="24"/>
          <w:szCs w:val="24"/>
          <w:shd w:val="clear" w:color="auto" w:fill="FFFFFF"/>
        </w:rPr>
        <w:t xml:space="preserve">Le marché des </w:t>
      </w:r>
      <w:r w:rsidRPr="00A2748E">
        <w:rPr>
          <w:rFonts w:asciiTheme="majorBidi" w:hAnsiTheme="majorBidi" w:cstheme="majorBidi"/>
          <w:i/>
          <w:iCs/>
          <w:color w:val="000000" w:themeColor="text1"/>
          <w:kern w:val="24"/>
          <w:sz w:val="24"/>
          <w:szCs w:val="24"/>
          <w:shd w:val="clear" w:color="auto" w:fill="FFFFFF"/>
        </w:rPr>
        <w:t>suku</w:t>
      </w:r>
      <w:r w:rsidR="007C559B" w:rsidRPr="00A2748E">
        <w:rPr>
          <w:rFonts w:asciiTheme="majorBidi" w:hAnsiTheme="majorBidi" w:cstheme="majorBidi"/>
          <w:i/>
          <w:iCs/>
          <w:color w:val="000000" w:themeColor="text1"/>
          <w:kern w:val="24"/>
          <w:sz w:val="24"/>
          <w:szCs w:val="24"/>
          <w:shd w:val="clear" w:color="auto" w:fill="FFFFFF"/>
        </w:rPr>
        <w:t>k</w:t>
      </w:r>
      <w:r w:rsidRPr="00A2748E">
        <w:rPr>
          <w:rFonts w:asciiTheme="majorBidi" w:hAnsiTheme="majorBidi" w:cstheme="majorBidi"/>
          <w:color w:val="000000" w:themeColor="text1"/>
          <w:kern w:val="24"/>
          <w:sz w:val="24"/>
          <w:szCs w:val="24"/>
          <w:shd w:val="clear" w:color="auto" w:fill="FFFFFF"/>
        </w:rPr>
        <w:t xml:space="preserve"> progresse sur les plans de la croissance et de l’innovation. Moody’s prévoit l’émission de 200 milliards de dollars en </w:t>
      </w:r>
      <w:r w:rsidRPr="00120365">
        <w:rPr>
          <w:rFonts w:asciiTheme="majorBidi" w:hAnsiTheme="majorBidi" w:cstheme="majorBidi"/>
          <w:i/>
          <w:iCs/>
          <w:color w:val="000000" w:themeColor="text1"/>
          <w:kern w:val="24"/>
          <w:sz w:val="24"/>
          <w:szCs w:val="24"/>
          <w:shd w:val="clear" w:color="auto" w:fill="FFFFFF"/>
        </w:rPr>
        <w:t>sukuk</w:t>
      </w:r>
      <w:r w:rsidRPr="00A2748E">
        <w:rPr>
          <w:rFonts w:asciiTheme="majorBidi" w:hAnsiTheme="majorBidi" w:cstheme="majorBidi"/>
          <w:color w:val="000000" w:themeColor="text1"/>
          <w:kern w:val="24"/>
          <w:sz w:val="24"/>
          <w:szCs w:val="24"/>
          <w:shd w:val="clear" w:color="auto" w:fill="FFFFFF"/>
        </w:rPr>
        <w:t xml:space="preserve"> islamiques mondiaux en 2021 conte les 205 milliards de dollars en </w:t>
      </w:r>
      <w:r w:rsidRPr="00120365">
        <w:rPr>
          <w:rFonts w:asciiTheme="majorBidi" w:hAnsiTheme="majorBidi" w:cstheme="majorBidi"/>
          <w:i/>
          <w:iCs/>
          <w:color w:val="000000" w:themeColor="text1"/>
          <w:kern w:val="24"/>
          <w:sz w:val="24"/>
          <w:szCs w:val="24"/>
          <w:shd w:val="clear" w:color="auto" w:fill="FFFFFF"/>
        </w:rPr>
        <w:t>sukuk</w:t>
      </w:r>
      <w:r w:rsidRPr="00A2748E">
        <w:rPr>
          <w:rFonts w:asciiTheme="majorBidi" w:hAnsiTheme="majorBidi" w:cstheme="majorBidi"/>
          <w:color w:val="000000" w:themeColor="text1"/>
          <w:kern w:val="24"/>
          <w:sz w:val="24"/>
          <w:szCs w:val="24"/>
          <w:shd w:val="clear" w:color="auto" w:fill="FFFFFF"/>
        </w:rPr>
        <w:t xml:space="preserve"> émis en 2020</w:t>
      </w:r>
      <w:r w:rsidRPr="00A2748E">
        <w:rPr>
          <w:rStyle w:val="Appelnotedebasdep"/>
          <w:rFonts w:asciiTheme="majorBidi" w:hAnsiTheme="majorBidi"/>
          <w:color w:val="000000" w:themeColor="text1"/>
          <w:kern w:val="24"/>
          <w:sz w:val="24"/>
          <w:szCs w:val="24"/>
          <w:shd w:val="clear" w:color="auto" w:fill="FFFFFF"/>
        </w:rPr>
        <w:footnoteReference w:id="127"/>
      </w:r>
      <w:r w:rsidRPr="00A2748E">
        <w:rPr>
          <w:rFonts w:asciiTheme="majorBidi" w:hAnsiTheme="majorBidi" w:cstheme="majorBidi"/>
          <w:color w:val="000000" w:themeColor="text1"/>
          <w:kern w:val="24"/>
          <w:sz w:val="24"/>
          <w:szCs w:val="24"/>
          <w:shd w:val="clear" w:color="auto" w:fill="FFFFFF"/>
        </w:rPr>
        <w:t xml:space="preserve">. </w:t>
      </w:r>
      <w:r w:rsidRPr="00A2748E">
        <w:rPr>
          <w:rFonts w:ascii="Times New Roman" w:hAnsi="Times New Roman" w:cs="Times New Roman"/>
          <w:kern w:val="24"/>
          <w:sz w:val="24"/>
          <w:szCs w:val="24"/>
        </w:rPr>
        <w:t xml:space="preserve">La Malaisie détient la part la plus importante du marché des sukuk dans le monde avec 82.36% de </w:t>
      </w:r>
      <w:r w:rsidRPr="00A2748E">
        <w:rPr>
          <w:rFonts w:ascii="Times New Roman" w:hAnsi="Times New Roman" w:cs="Times New Roman"/>
          <w:i/>
          <w:kern w:val="24"/>
          <w:sz w:val="24"/>
          <w:szCs w:val="24"/>
        </w:rPr>
        <w:t>sukuk</w:t>
      </w:r>
      <w:r w:rsidRPr="00A2748E">
        <w:rPr>
          <w:rFonts w:ascii="Times New Roman" w:hAnsi="Times New Roman" w:cs="Times New Roman"/>
          <w:kern w:val="24"/>
          <w:sz w:val="24"/>
          <w:szCs w:val="24"/>
        </w:rPr>
        <w:t xml:space="preserve"> émis à fin 2013 devant les autres pays comme l’Arabie Saoudite qui enregistre seulement 14.69% (</w:t>
      </w:r>
      <w:r w:rsidRPr="00A2748E">
        <w:rPr>
          <w:rFonts w:ascii="Times New Roman" w:hAnsi="Times New Roman" w:cs="Times New Roman"/>
          <w:b/>
          <w:bCs/>
          <w:kern w:val="24"/>
          <w:sz w:val="24"/>
          <w:szCs w:val="24"/>
        </w:rPr>
        <w:t>figure 1</w:t>
      </w:r>
      <w:r w:rsidR="00FC72B8" w:rsidRPr="00A2748E">
        <w:rPr>
          <w:rFonts w:ascii="Times New Roman" w:hAnsi="Times New Roman" w:cs="Times New Roman"/>
          <w:b/>
          <w:bCs/>
          <w:kern w:val="24"/>
          <w:sz w:val="24"/>
          <w:szCs w:val="24"/>
        </w:rPr>
        <w:t>2</w:t>
      </w:r>
      <w:r w:rsidRPr="00A2748E">
        <w:rPr>
          <w:rFonts w:ascii="Times New Roman" w:hAnsi="Times New Roman" w:cs="Times New Roman"/>
          <w:kern w:val="24"/>
          <w:sz w:val="24"/>
          <w:szCs w:val="24"/>
        </w:rPr>
        <w:t>).</w:t>
      </w:r>
    </w:p>
    <w:p w14:paraId="4C38F854" w14:textId="2D1470CA" w:rsidR="00D51F49" w:rsidRPr="00A2748E" w:rsidRDefault="00D51F49" w:rsidP="00A2748E">
      <w:pPr>
        <w:pStyle w:val="NormalWeb"/>
        <w:shd w:val="clear" w:color="auto" w:fill="FFFFFF"/>
        <w:spacing w:before="120" w:beforeAutospacing="0" w:after="0" w:afterAutospacing="0" w:line="300" w:lineRule="auto"/>
        <w:ind w:firstLine="709"/>
        <w:rPr>
          <w:rFonts w:asciiTheme="majorBidi" w:hAnsiTheme="majorBidi" w:cstheme="majorBidi"/>
          <w:kern w:val="24"/>
          <w:shd w:val="clear" w:color="auto" w:fill="FFFFFF"/>
        </w:rPr>
      </w:pPr>
      <w:r w:rsidRPr="00A2748E">
        <w:rPr>
          <w:rFonts w:asciiTheme="majorBidi" w:hAnsiTheme="majorBidi" w:cstheme="majorBidi"/>
          <w:kern w:val="24"/>
          <w:shd w:val="clear" w:color="auto" w:fill="FFFFFF"/>
        </w:rPr>
        <w:t xml:space="preserve">Toutefois, les émissions réalisées en Afrique ne représentent encore que 0,5% du marché mondial des </w:t>
      </w:r>
      <w:r w:rsidRPr="00A2748E">
        <w:rPr>
          <w:rFonts w:asciiTheme="majorBidi" w:hAnsiTheme="majorBidi" w:cstheme="majorBidi"/>
          <w:i/>
          <w:iCs/>
          <w:kern w:val="24"/>
          <w:shd w:val="clear" w:color="auto" w:fill="FFFFFF"/>
        </w:rPr>
        <w:t>sukuk</w:t>
      </w:r>
      <w:r w:rsidRPr="00A2748E">
        <w:rPr>
          <w:rStyle w:val="Appelnotedebasdep"/>
          <w:rFonts w:asciiTheme="majorBidi" w:hAnsiTheme="majorBidi" w:cstheme="majorBidi"/>
          <w:kern w:val="24"/>
          <w:shd w:val="clear" w:color="auto" w:fill="FFFFFF"/>
        </w:rPr>
        <w:footnoteReference w:id="128"/>
      </w:r>
      <w:r w:rsidR="006775FA" w:rsidRPr="00A2748E">
        <w:rPr>
          <w:rFonts w:asciiTheme="majorBidi" w:hAnsiTheme="majorBidi" w:cstheme="majorBidi"/>
          <w:kern w:val="24"/>
          <w:shd w:val="clear" w:color="auto" w:fill="FFFFFF"/>
        </w:rPr>
        <w:t>.</w:t>
      </w:r>
      <w:r w:rsidRPr="00A2748E">
        <w:rPr>
          <w:rFonts w:asciiTheme="majorBidi" w:hAnsiTheme="majorBidi" w:cstheme="majorBidi"/>
          <w:kern w:val="24"/>
          <w:shd w:val="clear" w:color="auto" w:fill="FFFFFF"/>
        </w:rPr>
        <w:t xml:space="preserve"> </w:t>
      </w:r>
      <w:r w:rsidR="006775FA" w:rsidRPr="00A2748E">
        <w:rPr>
          <w:rFonts w:asciiTheme="majorBidi" w:hAnsiTheme="majorBidi" w:cstheme="majorBidi"/>
          <w:kern w:val="24"/>
          <w:shd w:val="clear" w:color="auto" w:fill="FFFFFF"/>
        </w:rPr>
        <w:t>N</w:t>
      </w:r>
      <w:r w:rsidRPr="00A2748E">
        <w:rPr>
          <w:rFonts w:asciiTheme="majorBidi" w:hAnsiTheme="majorBidi" w:cstheme="majorBidi"/>
          <w:kern w:val="24"/>
          <w:shd w:val="clear" w:color="auto" w:fill="FFFFFF"/>
        </w:rPr>
        <w:t>ot</w:t>
      </w:r>
      <w:r w:rsidR="006775FA" w:rsidRPr="00A2748E">
        <w:rPr>
          <w:rFonts w:asciiTheme="majorBidi" w:hAnsiTheme="majorBidi" w:cstheme="majorBidi"/>
          <w:kern w:val="24"/>
          <w:shd w:val="clear" w:color="auto" w:fill="FFFFFF"/>
        </w:rPr>
        <w:t>ons</w:t>
      </w:r>
      <w:r w:rsidRPr="00A2748E">
        <w:rPr>
          <w:rFonts w:asciiTheme="majorBidi" w:hAnsiTheme="majorBidi" w:cstheme="majorBidi"/>
          <w:kern w:val="24"/>
          <w:shd w:val="clear" w:color="auto" w:fill="FFFFFF"/>
        </w:rPr>
        <w:t xml:space="preserve"> que l'Algérie, l'Egypte, le Maroc et le Soudan ont déjà manifesté </w:t>
      </w:r>
      <w:r w:rsidRPr="00A2748E">
        <w:rPr>
          <w:rFonts w:asciiTheme="majorBidi" w:hAnsiTheme="majorBidi" w:cstheme="majorBidi"/>
          <w:kern w:val="24"/>
          <w:shd w:val="clear" w:color="auto" w:fill="FFFFFF"/>
        </w:rPr>
        <w:lastRenderedPageBreak/>
        <w:t xml:space="preserve">leur intérêt pour le recours à ce genre d'emprunt. </w:t>
      </w:r>
      <w:r w:rsidR="006775FA" w:rsidRPr="00A2748E">
        <w:rPr>
          <w:rFonts w:asciiTheme="majorBidi" w:hAnsiTheme="majorBidi" w:cstheme="majorBidi"/>
          <w:kern w:val="24"/>
          <w:shd w:val="clear" w:color="auto" w:fill="FFFFFF"/>
        </w:rPr>
        <w:t xml:space="preserve">Par ailleurs, </w:t>
      </w:r>
      <w:r w:rsidRPr="00A2748E">
        <w:rPr>
          <w:rFonts w:asciiTheme="majorBidi" w:hAnsiTheme="majorBidi" w:cstheme="majorBidi"/>
          <w:kern w:val="24"/>
          <w:shd w:val="clear" w:color="auto" w:fill="FFFFFF"/>
        </w:rPr>
        <w:t>Moody’s identifie</w:t>
      </w:r>
      <w:r w:rsidR="006775FA" w:rsidRPr="00A2748E">
        <w:rPr>
          <w:rFonts w:asciiTheme="majorBidi" w:hAnsiTheme="majorBidi" w:cstheme="majorBidi"/>
          <w:kern w:val="24"/>
          <w:shd w:val="clear" w:color="auto" w:fill="FFFFFF"/>
        </w:rPr>
        <w:t xml:space="preserve"> 18</w:t>
      </w:r>
      <w:r w:rsidRPr="00A2748E">
        <w:rPr>
          <w:rFonts w:asciiTheme="majorBidi" w:hAnsiTheme="majorBidi" w:cstheme="majorBidi"/>
          <w:kern w:val="24"/>
          <w:shd w:val="clear" w:color="auto" w:fill="FFFFFF"/>
        </w:rPr>
        <w:t xml:space="preserve"> pays africains ayant un potentiel de croissance dans le domaine de la finance </w:t>
      </w:r>
      <w:r w:rsidR="00021BB2" w:rsidRPr="00A2748E">
        <w:rPr>
          <w:rFonts w:asciiTheme="majorBidi" w:hAnsiTheme="majorBidi" w:cstheme="majorBidi"/>
          <w:kern w:val="24"/>
          <w:shd w:val="clear" w:color="auto" w:fill="FFFFFF"/>
        </w:rPr>
        <w:t>islamique</w:t>
      </w:r>
      <w:r w:rsidR="00F5589B" w:rsidRPr="00A2748E">
        <w:rPr>
          <w:rFonts w:asciiTheme="majorBidi" w:hAnsiTheme="majorBidi" w:cstheme="majorBidi"/>
          <w:kern w:val="24"/>
          <w:shd w:val="clear" w:color="auto" w:fill="FFFFFF"/>
        </w:rPr>
        <w:t>.</w:t>
      </w:r>
      <w:r w:rsidR="006775FA" w:rsidRPr="00A2748E">
        <w:rPr>
          <w:rStyle w:val="Appelnotedebasdep"/>
          <w:rFonts w:asciiTheme="majorBidi" w:hAnsiTheme="majorBidi"/>
          <w:kern w:val="24"/>
          <w:shd w:val="clear" w:color="auto" w:fill="FFFFFF"/>
        </w:rPr>
        <w:footnoteReference w:id="129"/>
      </w:r>
    </w:p>
    <w:p w14:paraId="409B8CDA" w14:textId="2FFF62FD" w:rsidR="00D51F49" w:rsidRPr="00A2748E" w:rsidRDefault="00D51F49" w:rsidP="00A2748E">
      <w:pPr>
        <w:pStyle w:val="NormalWeb"/>
        <w:shd w:val="clear" w:color="auto" w:fill="FFFFFF"/>
        <w:spacing w:before="120" w:beforeAutospacing="0" w:after="0" w:afterAutospacing="0" w:line="300" w:lineRule="auto"/>
        <w:ind w:firstLine="709"/>
        <w:rPr>
          <w:rFonts w:asciiTheme="majorBidi" w:hAnsiTheme="majorBidi" w:cstheme="majorBidi"/>
          <w:kern w:val="24"/>
          <w:shd w:val="clear" w:color="auto" w:fill="FFFFFF"/>
        </w:rPr>
      </w:pPr>
      <w:r w:rsidRPr="00A2748E">
        <w:rPr>
          <w:rFonts w:asciiTheme="majorBidi" w:hAnsiTheme="majorBidi" w:cstheme="majorBidi"/>
          <w:kern w:val="24"/>
          <w:shd w:val="clear" w:color="auto" w:fill="FFFFFF"/>
        </w:rPr>
        <w:t>D’ailleurs, en Algérie,</w:t>
      </w:r>
      <w:r w:rsidRPr="00A2748E">
        <w:rPr>
          <w:rFonts w:asciiTheme="majorBidi" w:hAnsiTheme="majorBidi" w:cstheme="majorBidi"/>
          <w:b/>
          <w:bCs/>
          <w:kern w:val="24"/>
          <w:shd w:val="clear" w:color="auto" w:fill="FFFFFF"/>
        </w:rPr>
        <w:t xml:space="preserve"> </w:t>
      </w:r>
      <w:r w:rsidRPr="00A2748E">
        <w:rPr>
          <w:rStyle w:val="lev"/>
          <w:rFonts w:asciiTheme="majorBidi" w:hAnsiTheme="majorBidi" w:cstheme="majorBidi"/>
          <w:b w:val="0"/>
          <w:bCs w:val="0"/>
          <w:kern w:val="24"/>
        </w:rPr>
        <w:t>la banque islamique</w:t>
      </w:r>
      <w:r w:rsidR="00F04B08" w:rsidRPr="00A2748E">
        <w:rPr>
          <w:rStyle w:val="lev"/>
          <w:rFonts w:asciiTheme="majorBidi" w:hAnsiTheme="majorBidi" w:cstheme="majorBidi"/>
          <w:b w:val="0"/>
          <w:bCs w:val="0"/>
          <w:kern w:val="24"/>
        </w:rPr>
        <w:t xml:space="preserve"> </w:t>
      </w:r>
      <w:hyperlink r:id="rId33" w:history="1">
        <w:r w:rsidRPr="00A2748E">
          <w:rPr>
            <w:rStyle w:val="Lienhypertexte"/>
            <w:rFonts w:asciiTheme="majorBidi" w:eastAsiaTheme="majorEastAsia" w:hAnsiTheme="majorBidi" w:cstheme="majorBidi"/>
            <w:color w:val="auto"/>
            <w:kern w:val="24"/>
            <w:u w:val="none"/>
          </w:rPr>
          <w:t>Al Salam Bank Algeria</w:t>
        </w:r>
      </w:hyperlink>
      <w:r w:rsidR="00F04B08" w:rsidRPr="00A2748E">
        <w:rPr>
          <w:rStyle w:val="lev"/>
          <w:rFonts w:asciiTheme="majorBidi" w:hAnsiTheme="majorBidi" w:cstheme="majorBidi"/>
          <w:b w:val="0"/>
          <w:bCs w:val="0"/>
          <w:kern w:val="24"/>
        </w:rPr>
        <w:t xml:space="preserve"> </w:t>
      </w:r>
      <w:r w:rsidRPr="00A2748E">
        <w:rPr>
          <w:rStyle w:val="lev"/>
          <w:rFonts w:asciiTheme="majorBidi" w:hAnsiTheme="majorBidi" w:cstheme="majorBidi"/>
          <w:b w:val="0"/>
          <w:bCs w:val="0"/>
          <w:kern w:val="24"/>
        </w:rPr>
        <w:t xml:space="preserve">a émis un </w:t>
      </w:r>
      <w:r w:rsidRPr="00A2748E">
        <w:rPr>
          <w:rStyle w:val="lev"/>
          <w:rFonts w:asciiTheme="majorBidi" w:hAnsiTheme="majorBidi" w:cstheme="majorBidi"/>
          <w:b w:val="0"/>
          <w:bCs w:val="0"/>
          <w:i/>
          <w:iCs/>
          <w:kern w:val="24"/>
        </w:rPr>
        <w:t>Sak al-Istithmar</w:t>
      </w:r>
      <w:r w:rsidRPr="00A2748E">
        <w:rPr>
          <w:rStyle w:val="lev"/>
          <w:rFonts w:asciiTheme="majorBidi" w:hAnsiTheme="majorBidi" w:cstheme="majorBidi"/>
          <w:b w:val="0"/>
          <w:bCs w:val="0"/>
          <w:kern w:val="24"/>
        </w:rPr>
        <w:t xml:space="preserve"> sous la désignation « Titre </w:t>
      </w:r>
      <w:r w:rsidRPr="00A2748E">
        <w:rPr>
          <w:rStyle w:val="lev"/>
          <w:rFonts w:asciiTheme="majorBidi" w:hAnsiTheme="majorBidi" w:cstheme="majorBidi"/>
          <w:b w:val="0"/>
          <w:bCs w:val="0"/>
          <w:i/>
          <w:iCs/>
          <w:kern w:val="24"/>
        </w:rPr>
        <w:t>Moussa</w:t>
      </w:r>
      <w:r w:rsidR="000F21BE" w:rsidRPr="00A2748E">
        <w:rPr>
          <w:rStyle w:val="lev"/>
          <w:rFonts w:asciiTheme="majorBidi" w:hAnsiTheme="majorBidi" w:cstheme="majorBidi"/>
          <w:b w:val="0"/>
          <w:bCs w:val="0"/>
          <w:i/>
          <w:iCs/>
          <w:kern w:val="24"/>
        </w:rPr>
        <w:t>w</w:t>
      </w:r>
      <w:r w:rsidRPr="00A2748E">
        <w:rPr>
          <w:rStyle w:val="lev"/>
          <w:rFonts w:asciiTheme="majorBidi" w:hAnsiTheme="majorBidi" w:cstheme="majorBidi"/>
          <w:b w:val="0"/>
          <w:bCs w:val="0"/>
          <w:i/>
          <w:iCs/>
          <w:kern w:val="24"/>
        </w:rPr>
        <w:t>ama</w:t>
      </w:r>
      <w:r w:rsidRPr="00A2748E">
        <w:rPr>
          <w:rStyle w:val="lev"/>
          <w:rFonts w:asciiTheme="majorBidi" w:hAnsiTheme="majorBidi" w:cstheme="majorBidi"/>
          <w:b w:val="0"/>
          <w:bCs w:val="0"/>
          <w:kern w:val="24"/>
        </w:rPr>
        <w:t> » au 1er trimestre 2018.</w:t>
      </w:r>
      <w:r w:rsidRPr="00A2748E">
        <w:rPr>
          <w:rFonts w:asciiTheme="majorBidi" w:hAnsiTheme="majorBidi" w:cstheme="majorBidi"/>
          <w:b/>
          <w:bCs/>
          <w:kern w:val="24"/>
        </w:rPr>
        <w:t xml:space="preserve"> </w:t>
      </w:r>
      <w:r w:rsidRPr="00A2748E">
        <w:rPr>
          <w:rFonts w:asciiTheme="majorBidi" w:hAnsiTheme="majorBidi" w:cstheme="majorBidi"/>
          <w:kern w:val="24"/>
        </w:rPr>
        <w:t>Il s’agit de la première émission d’un Sukuk en Algérie et l’initiative revient à une institution privée.</w:t>
      </w:r>
    </w:p>
    <w:p w14:paraId="41BDB821" w14:textId="57EA5C78" w:rsidR="007D2D9C" w:rsidRPr="00F5589B" w:rsidRDefault="007D2D9C" w:rsidP="00F5589B">
      <w:pPr>
        <w:pStyle w:val="Lgende"/>
        <w:keepNext/>
        <w:tabs>
          <w:tab w:val="left" w:pos="0"/>
        </w:tabs>
        <w:spacing w:before="100" w:beforeAutospacing="1" w:after="120" w:line="300" w:lineRule="auto"/>
        <w:jc w:val="center"/>
        <w:rPr>
          <w:rFonts w:ascii="Times New Roman Gras" w:hAnsi="Times New Roman Gras" w:cs="Times New Roman"/>
          <w:color w:val="auto"/>
          <w:kern w:val="24"/>
          <w:sz w:val="24"/>
          <w:szCs w:val="24"/>
        </w:rPr>
      </w:pPr>
      <w:bookmarkStart w:id="403" w:name="_Toc115527423"/>
      <w:r w:rsidRPr="00F5589B">
        <w:rPr>
          <w:rFonts w:ascii="Times New Roman Gras" w:hAnsi="Times New Roman Gras" w:cs="Times New Roman"/>
          <w:color w:val="auto"/>
          <w:kern w:val="24"/>
          <w:sz w:val="24"/>
          <w:szCs w:val="24"/>
        </w:rPr>
        <w:t xml:space="preserve">Figure </w:t>
      </w:r>
      <w:r w:rsidR="00B544E5" w:rsidRPr="00F5589B">
        <w:rPr>
          <w:rFonts w:ascii="Times New Roman Gras" w:hAnsi="Times New Roman Gras" w:cs="Times New Roman"/>
          <w:color w:val="auto"/>
          <w:kern w:val="24"/>
          <w:sz w:val="24"/>
          <w:szCs w:val="24"/>
        </w:rPr>
        <w:fldChar w:fldCharType="begin"/>
      </w:r>
      <w:r w:rsidR="00BF1EB6" w:rsidRPr="00F5589B">
        <w:rPr>
          <w:rFonts w:ascii="Times New Roman Gras" w:hAnsi="Times New Roman Gras" w:cs="Times New Roman"/>
          <w:color w:val="auto"/>
          <w:kern w:val="24"/>
          <w:sz w:val="24"/>
          <w:szCs w:val="24"/>
        </w:rPr>
        <w:instrText xml:space="preserve"> SEQ Figure \* ARABIC </w:instrText>
      </w:r>
      <w:r w:rsidR="00B544E5" w:rsidRPr="00F5589B">
        <w:rPr>
          <w:rFonts w:ascii="Times New Roman Gras" w:hAnsi="Times New Roman Gras" w:cs="Times New Roman"/>
          <w:color w:val="auto"/>
          <w:kern w:val="24"/>
          <w:sz w:val="24"/>
          <w:szCs w:val="24"/>
        </w:rPr>
        <w:fldChar w:fldCharType="separate"/>
      </w:r>
      <w:r w:rsidR="00666FC7">
        <w:rPr>
          <w:rFonts w:ascii="Times New Roman Gras" w:hAnsi="Times New Roman Gras" w:cs="Times New Roman"/>
          <w:noProof/>
          <w:color w:val="auto"/>
          <w:kern w:val="24"/>
          <w:sz w:val="24"/>
          <w:szCs w:val="24"/>
        </w:rPr>
        <w:t>12</w:t>
      </w:r>
      <w:r w:rsidR="00B544E5" w:rsidRPr="00F5589B">
        <w:rPr>
          <w:rFonts w:ascii="Times New Roman Gras" w:hAnsi="Times New Roman Gras" w:cs="Times New Roman"/>
          <w:color w:val="auto"/>
          <w:kern w:val="24"/>
          <w:sz w:val="24"/>
          <w:szCs w:val="24"/>
        </w:rPr>
        <w:fldChar w:fldCharType="end"/>
      </w:r>
      <w:r w:rsidRPr="00F5589B">
        <w:rPr>
          <w:rFonts w:ascii="Times New Roman Gras" w:hAnsi="Times New Roman Gras" w:cs="Times New Roman"/>
          <w:color w:val="auto"/>
          <w:kern w:val="24"/>
          <w:sz w:val="24"/>
          <w:szCs w:val="24"/>
        </w:rPr>
        <w:t>- La part et la domiciliation de l'émission de sukuk (en %)</w:t>
      </w:r>
      <w:bookmarkEnd w:id="403"/>
    </w:p>
    <w:p w14:paraId="264DB3A4" w14:textId="77777777" w:rsidR="007D2D9C" w:rsidRPr="00F5589B" w:rsidRDefault="007D2D9C" w:rsidP="007D2D9C">
      <w:pPr>
        <w:keepNext/>
        <w:spacing w:before="120" w:line="300" w:lineRule="auto"/>
        <w:rPr>
          <w:rFonts w:ascii="Times New Roman" w:hAnsi="Times New Roman" w:cs="Times New Roman"/>
          <w:kern w:val="24"/>
          <w:sz w:val="24"/>
          <w:szCs w:val="24"/>
        </w:rPr>
      </w:pPr>
    </w:p>
    <w:p w14:paraId="0DF15267" w14:textId="77777777" w:rsidR="007D2D9C" w:rsidRPr="00F5589B" w:rsidRDefault="007D2D9C" w:rsidP="007D2D9C">
      <w:pPr>
        <w:keepNext/>
        <w:spacing w:before="120" w:line="300" w:lineRule="auto"/>
        <w:rPr>
          <w:rFonts w:ascii="Times New Roman" w:hAnsi="Times New Roman" w:cs="Times New Roman"/>
          <w:kern w:val="24"/>
          <w:sz w:val="24"/>
          <w:szCs w:val="24"/>
        </w:rPr>
      </w:pPr>
    </w:p>
    <w:p w14:paraId="7DF2F941" w14:textId="77777777" w:rsidR="007D2D9C" w:rsidRPr="00F5589B" w:rsidRDefault="007D2D9C" w:rsidP="007D2D9C">
      <w:pPr>
        <w:keepNext/>
        <w:spacing w:before="120" w:line="300" w:lineRule="auto"/>
        <w:rPr>
          <w:rFonts w:ascii="Times New Roman" w:hAnsi="Times New Roman" w:cs="Times New Roman"/>
          <w:noProof/>
          <w:kern w:val="24"/>
          <w:sz w:val="24"/>
          <w:szCs w:val="24"/>
          <w:lang w:eastAsia="fr-FR"/>
        </w:rPr>
      </w:pPr>
    </w:p>
    <w:p w14:paraId="6D512986" w14:textId="108ECFB4" w:rsidR="007D2D9C" w:rsidRPr="00F5589B" w:rsidRDefault="007D2D9C" w:rsidP="007D2D9C">
      <w:pPr>
        <w:keepNext/>
        <w:spacing w:before="120" w:line="300" w:lineRule="auto"/>
        <w:rPr>
          <w:rFonts w:ascii="Times New Roman" w:hAnsi="Times New Roman" w:cs="Times New Roman"/>
          <w:kern w:val="24"/>
          <w:sz w:val="24"/>
          <w:szCs w:val="24"/>
        </w:rPr>
      </w:pPr>
    </w:p>
    <w:p w14:paraId="5DB2DDB5" w14:textId="51C2D42D" w:rsidR="007D2D9C" w:rsidRPr="00F5589B" w:rsidRDefault="00F5589B" w:rsidP="007D2D9C">
      <w:pPr>
        <w:keepNext/>
        <w:spacing w:before="120" w:line="300" w:lineRule="auto"/>
        <w:rPr>
          <w:rFonts w:ascii="Times New Roman" w:hAnsi="Times New Roman" w:cs="Times New Roman"/>
          <w:kern w:val="24"/>
          <w:sz w:val="24"/>
          <w:szCs w:val="24"/>
        </w:rPr>
      </w:pPr>
      <w:r w:rsidRPr="00F5589B">
        <w:rPr>
          <w:rFonts w:ascii="Times New Roman" w:hAnsi="Times New Roman" w:cs="Times New Roman"/>
          <w:noProof/>
          <w:kern w:val="24"/>
          <w:sz w:val="24"/>
          <w:szCs w:val="24"/>
          <w:lang w:eastAsia="fr-FR"/>
        </w:rPr>
        <w:drawing>
          <wp:anchor distT="0" distB="0" distL="114300" distR="114300" simplePos="0" relativeHeight="251543552" behindDoc="0" locked="1" layoutInCell="1" allowOverlap="0" wp14:anchorId="3A52AD7F" wp14:editId="083BF433">
            <wp:simplePos x="0" y="0"/>
            <wp:positionH relativeFrom="margin">
              <wp:posOffset>900430</wp:posOffset>
            </wp:positionH>
            <wp:positionV relativeFrom="paragraph">
              <wp:posOffset>-1095375</wp:posOffset>
            </wp:positionV>
            <wp:extent cx="3959860" cy="2578735"/>
            <wp:effectExtent l="0" t="0" r="0" b="0"/>
            <wp:wrapNone/>
            <wp:docPr id="15"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959860"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0557A" w14:textId="77777777" w:rsidR="007D2D9C" w:rsidRDefault="007D2D9C" w:rsidP="007D2D9C">
      <w:pPr>
        <w:keepNext/>
        <w:spacing w:before="120" w:line="300" w:lineRule="auto"/>
        <w:rPr>
          <w:rFonts w:ascii="Times New Roman" w:hAnsi="Times New Roman" w:cs="Times New Roman"/>
          <w:kern w:val="24"/>
          <w:sz w:val="24"/>
          <w:szCs w:val="24"/>
        </w:rPr>
      </w:pPr>
    </w:p>
    <w:p w14:paraId="0ADF2669" w14:textId="77777777" w:rsidR="00F5589B" w:rsidRPr="00F5589B" w:rsidRDefault="00F5589B" w:rsidP="007D2D9C">
      <w:pPr>
        <w:keepNext/>
        <w:spacing w:before="120" w:line="300" w:lineRule="auto"/>
        <w:rPr>
          <w:rFonts w:ascii="Times New Roman" w:hAnsi="Times New Roman" w:cs="Times New Roman"/>
          <w:kern w:val="24"/>
          <w:sz w:val="24"/>
          <w:szCs w:val="24"/>
        </w:rPr>
      </w:pPr>
    </w:p>
    <w:p w14:paraId="6C0BF24C" w14:textId="77777777" w:rsidR="007D2D9C" w:rsidRPr="00F5589B" w:rsidRDefault="007D2D9C" w:rsidP="007D2D9C">
      <w:pPr>
        <w:keepNext/>
        <w:spacing w:before="120" w:line="300" w:lineRule="auto"/>
        <w:rPr>
          <w:rFonts w:ascii="Times New Roman" w:hAnsi="Times New Roman" w:cs="Times New Roman"/>
          <w:kern w:val="24"/>
          <w:sz w:val="24"/>
          <w:szCs w:val="24"/>
        </w:rPr>
      </w:pPr>
    </w:p>
    <w:p w14:paraId="215B4AAB" w14:textId="77777777" w:rsidR="007D2D9C" w:rsidRPr="00F5589B" w:rsidRDefault="007D2D9C" w:rsidP="007D2D9C">
      <w:pPr>
        <w:keepNext/>
        <w:spacing w:before="120" w:line="300" w:lineRule="auto"/>
        <w:rPr>
          <w:rFonts w:ascii="Times New Roman" w:hAnsi="Times New Roman" w:cs="Times New Roman"/>
          <w:kern w:val="24"/>
          <w:sz w:val="24"/>
          <w:szCs w:val="24"/>
        </w:rPr>
      </w:pPr>
    </w:p>
    <w:p w14:paraId="464C3BBE" w14:textId="77777777" w:rsidR="00345589" w:rsidRDefault="007D2D9C" w:rsidP="00F5589B">
      <w:pPr>
        <w:tabs>
          <w:tab w:val="left" w:pos="0"/>
        </w:tabs>
        <w:spacing w:before="120" w:line="300" w:lineRule="auto"/>
        <w:jc w:val="center"/>
        <w:rPr>
          <w:rFonts w:ascii="Times New Roman" w:hAnsi="Times New Roman" w:cs="Times New Roman"/>
          <w:sz w:val="20"/>
          <w:szCs w:val="20"/>
        </w:rPr>
      </w:pPr>
      <w:r w:rsidRPr="002B005F">
        <w:rPr>
          <w:rFonts w:ascii="Times New Roman" w:hAnsi="Times New Roman" w:cs="Times New Roman"/>
          <w:sz w:val="20"/>
          <w:szCs w:val="20"/>
        </w:rPr>
        <w:t>Source : Bloomberg, IFIS, Zawya, KFHR, 31 décembre 2013</w:t>
      </w:r>
    </w:p>
    <w:p w14:paraId="3252D3A7" w14:textId="77777777" w:rsidR="00F5589B" w:rsidRPr="007D2D9C" w:rsidRDefault="00F5589B" w:rsidP="00F5589B">
      <w:pPr>
        <w:tabs>
          <w:tab w:val="left" w:pos="0"/>
        </w:tabs>
        <w:spacing w:line="300" w:lineRule="auto"/>
        <w:jc w:val="center"/>
        <w:rPr>
          <w:rFonts w:ascii="Times New Roman" w:hAnsi="Times New Roman" w:cs="Times New Roman"/>
          <w:sz w:val="20"/>
          <w:szCs w:val="20"/>
        </w:rPr>
      </w:pPr>
    </w:p>
    <w:p w14:paraId="759CB5A5" w14:textId="5E57B791" w:rsidR="002760B2" w:rsidRPr="00926280" w:rsidRDefault="00021BB2" w:rsidP="00F04B08">
      <w:pPr>
        <w:pStyle w:val="Titre4"/>
        <w:keepNext w:val="0"/>
        <w:spacing w:before="120" w:after="120" w:line="300" w:lineRule="auto"/>
        <w:ind w:firstLine="851"/>
        <w:rPr>
          <w:kern w:val="24"/>
        </w:rPr>
      </w:pPr>
      <w:bookmarkStart w:id="404" w:name="_Toc33263243"/>
      <w:bookmarkStart w:id="405" w:name="_Toc37664495"/>
      <w:bookmarkStart w:id="406" w:name="_Toc37666340"/>
      <w:bookmarkStart w:id="407" w:name="_Toc54363229"/>
      <w:bookmarkStart w:id="408" w:name="_Toc58606245"/>
      <w:bookmarkStart w:id="409" w:name="_Toc61263450"/>
      <w:bookmarkStart w:id="410" w:name="_Toc182298664"/>
      <w:r w:rsidRPr="00926280">
        <w:rPr>
          <w:kern w:val="24"/>
        </w:rPr>
        <w:t xml:space="preserve">2.4.2 </w:t>
      </w:r>
      <w:bookmarkEnd w:id="404"/>
      <w:bookmarkEnd w:id="405"/>
      <w:bookmarkEnd w:id="406"/>
      <w:bookmarkEnd w:id="407"/>
      <w:bookmarkEnd w:id="408"/>
      <w:bookmarkEnd w:id="409"/>
      <w:r w:rsidR="00F92644">
        <w:rPr>
          <w:kern w:val="24"/>
        </w:rPr>
        <w:t>A</w:t>
      </w:r>
      <w:r w:rsidR="00F15F38" w:rsidRPr="00926280">
        <w:rPr>
          <w:kern w:val="24"/>
        </w:rPr>
        <w:t xml:space="preserve">ctions </w:t>
      </w:r>
      <w:r w:rsidR="00F92644">
        <w:rPr>
          <w:kern w:val="24"/>
        </w:rPr>
        <w:t xml:space="preserve">conformes à la </w:t>
      </w:r>
      <w:r w:rsidR="00F92644" w:rsidRPr="00F92644">
        <w:rPr>
          <w:i/>
          <w:iCs/>
          <w:kern w:val="24"/>
        </w:rPr>
        <w:t>Shariah</w:t>
      </w:r>
      <w:bookmarkEnd w:id="410"/>
    </w:p>
    <w:p w14:paraId="17F1820A" w14:textId="49130DE3" w:rsidR="00772A2F" w:rsidRPr="00926280" w:rsidRDefault="00FF30BB" w:rsidP="00CB3043">
      <w:pPr>
        <w:spacing w:after="120"/>
        <w:ind w:firstLine="709"/>
        <w:rPr>
          <w:rFonts w:asciiTheme="majorBidi" w:hAnsiTheme="majorBidi" w:cstheme="majorBidi"/>
          <w:kern w:val="24"/>
          <w:sz w:val="24"/>
          <w:szCs w:val="24"/>
        </w:rPr>
      </w:pPr>
      <w:r w:rsidRPr="00926280">
        <w:rPr>
          <w:rFonts w:asciiTheme="majorBidi" w:hAnsiTheme="majorBidi" w:cstheme="majorBidi"/>
          <w:kern w:val="24"/>
          <w:sz w:val="24"/>
          <w:szCs w:val="24"/>
        </w:rPr>
        <w:t xml:space="preserve">Le marché islamique des actions fonctionne de manière similaire au marché conventionnel mais reste soumis aux exigences de la </w:t>
      </w:r>
      <w:r w:rsidR="001F5C83" w:rsidRPr="00926280">
        <w:rPr>
          <w:rFonts w:asciiTheme="majorBidi" w:eastAsia="Times New Roman" w:hAnsiTheme="majorBidi" w:cstheme="majorBidi"/>
          <w:i/>
          <w:iCs/>
          <w:color w:val="000000" w:themeColor="text1"/>
          <w:kern w:val="24"/>
          <w:sz w:val="24"/>
          <w:szCs w:val="24"/>
          <w:lang w:eastAsia="fr-FR"/>
        </w:rPr>
        <w:t>Shariah</w:t>
      </w:r>
      <w:r w:rsidRPr="00926280">
        <w:rPr>
          <w:rFonts w:asciiTheme="majorBidi" w:hAnsiTheme="majorBidi" w:cstheme="majorBidi"/>
          <w:kern w:val="24"/>
          <w:sz w:val="24"/>
          <w:szCs w:val="24"/>
        </w:rPr>
        <w:t>. Le premier indice boursier islamique a été élaboré en mai 1996 en Malaisie. Il a été suivi par l'indice Dow Jones Islamic Market lancé par la société Dow Jones à Bahreïn en février 1999</w:t>
      </w:r>
      <w:r w:rsidR="003F742E" w:rsidRPr="00926280">
        <w:rPr>
          <w:rStyle w:val="Appelnotedebasdep"/>
          <w:rFonts w:asciiTheme="majorBidi" w:hAnsiTheme="majorBidi" w:cstheme="majorBidi"/>
          <w:kern w:val="24"/>
          <w:sz w:val="24"/>
          <w:szCs w:val="24"/>
        </w:rPr>
        <w:footnoteReference w:id="130"/>
      </w:r>
      <w:r w:rsidRPr="00926280">
        <w:rPr>
          <w:rFonts w:asciiTheme="majorBidi" w:hAnsiTheme="majorBidi" w:cstheme="majorBidi"/>
          <w:kern w:val="24"/>
          <w:sz w:val="24"/>
          <w:szCs w:val="24"/>
        </w:rPr>
        <w:t>.</w:t>
      </w:r>
    </w:p>
    <w:p w14:paraId="2716804B" w14:textId="6EF9C5FD" w:rsidR="00A73D45" w:rsidRPr="00926280" w:rsidRDefault="00A73D45" w:rsidP="00283630">
      <w:pPr>
        <w:spacing w:before="120"/>
        <w:ind w:firstLine="709"/>
        <w:rPr>
          <w:rFonts w:asciiTheme="majorBidi" w:hAnsiTheme="majorBidi" w:cstheme="majorBidi"/>
          <w:kern w:val="24"/>
          <w:sz w:val="24"/>
          <w:szCs w:val="24"/>
          <w:shd w:val="clear" w:color="auto" w:fill="FFFFFF"/>
        </w:rPr>
      </w:pPr>
      <w:r w:rsidRPr="00926280">
        <w:rPr>
          <w:rFonts w:asciiTheme="majorBidi" w:hAnsiTheme="majorBidi" w:cstheme="majorBidi"/>
          <w:kern w:val="24"/>
          <w:sz w:val="24"/>
          <w:szCs w:val="24"/>
          <w:shd w:val="clear" w:color="auto" w:fill="FFFFFF"/>
        </w:rPr>
        <w:t xml:space="preserve">Les actions cotées en </w:t>
      </w:r>
      <w:r w:rsidR="006775FA" w:rsidRPr="00926280">
        <w:rPr>
          <w:rFonts w:asciiTheme="majorBidi" w:hAnsiTheme="majorBidi" w:cstheme="majorBidi"/>
          <w:kern w:val="24"/>
          <w:sz w:val="24"/>
          <w:szCs w:val="24"/>
          <w:shd w:val="clear" w:color="auto" w:fill="FFFFFF"/>
        </w:rPr>
        <w:t>B</w:t>
      </w:r>
      <w:r w:rsidRPr="00926280">
        <w:rPr>
          <w:rFonts w:asciiTheme="majorBidi" w:hAnsiTheme="majorBidi" w:cstheme="majorBidi"/>
          <w:kern w:val="24"/>
          <w:sz w:val="24"/>
          <w:szCs w:val="24"/>
          <w:shd w:val="clear" w:color="auto" w:fill="FFFFFF"/>
        </w:rPr>
        <w:t xml:space="preserve">ourse sont réputées conformes à la </w:t>
      </w:r>
      <w:r w:rsidR="001F5C83" w:rsidRPr="00926280">
        <w:rPr>
          <w:rFonts w:asciiTheme="majorBidi" w:eastAsia="Times New Roman" w:hAnsiTheme="majorBidi" w:cstheme="majorBidi"/>
          <w:i/>
          <w:iCs/>
          <w:color w:val="000000" w:themeColor="text1"/>
          <w:kern w:val="24"/>
          <w:sz w:val="24"/>
          <w:szCs w:val="24"/>
          <w:lang w:eastAsia="fr-FR"/>
        </w:rPr>
        <w:t>Shariah</w:t>
      </w:r>
      <w:r w:rsidR="006775FA" w:rsidRPr="00926280">
        <w:rPr>
          <w:rFonts w:asciiTheme="majorBidi" w:eastAsia="Times New Roman" w:hAnsiTheme="majorBidi" w:cstheme="majorBidi"/>
          <w:i/>
          <w:iCs/>
          <w:color w:val="000000" w:themeColor="text1"/>
          <w:kern w:val="24"/>
          <w:sz w:val="24"/>
          <w:szCs w:val="24"/>
          <w:lang w:eastAsia="fr-FR"/>
        </w:rPr>
        <w:t>.</w:t>
      </w:r>
      <w:r w:rsidR="001F5C83" w:rsidRPr="00926280">
        <w:rPr>
          <w:rFonts w:asciiTheme="majorBidi" w:hAnsiTheme="majorBidi" w:cstheme="majorBidi"/>
          <w:kern w:val="24"/>
          <w:sz w:val="24"/>
          <w:szCs w:val="24"/>
          <w:shd w:val="clear" w:color="auto" w:fill="FFFFFF"/>
        </w:rPr>
        <w:t xml:space="preserve"> </w:t>
      </w:r>
      <w:r w:rsidR="006775FA" w:rsidRPr="00926280">
        <w:rPr>
          <w:rFonts w:asciiTheme="majorBidi" w:hAnsiTheme="majorBidi" w:cstheme="majorBidi"/>
          <w:kern w:val="24"/>
          <w:sz w:val="24"/>
          <w:szCs w:val="24"/>
          <w:shd w:val="clear" w:color="auto" w:fill="FFFFFF"/>
        </w:rPr>
        <w:t>Il est possible</w:t>
      </w:r>
      <w:r w:rsidRPr="00926280">
        <w:rPr>
          <w:rFonts w:asciiTheme="majorBidi" w:hAnsiTheme="majorBidi" w:cstheme="majorBidi"/>
          <w:kern w:val="24"/>
          <w:sz w:val="24"/>
          <w:szCs w:val="24"/>
          <w:shd w:val="clear" w:color="auto" w:fill="FFFFFF"/>
        </w:rPr>
        <w:t xml:space="preserve"> </w:t>
      </w:r>
      <w:r w:rsidR="006775FA" w:rsidRPr="00926280">
        <w:rPr>
          <w:rFonts w:asciiTheme="majorBidi" w:hAnsiTheme="majorBidi" w:cstheme="majorBidi"/>
          <w:kern w:val="24"/>
          <w:sz w:val="24"/>
          <w:szCs w:val="24"/>
          <w:shd w:val="clear" w:color="auto" w:fill="FFFFFF"/>
        </w:rPr>
        <w:t>d’</w:t>
      </w:r>
      <w:r w:rsidRPr="00926280">
        <w:rPr>
          <w:rFonts w:asciiTheme="majorBidi" w:hAnsiTheme="majorBidi" w:cstheme="majorBidi"/>
          <w:kern w:val="24"/>
          <w:sz w:val="24"/>
          <w:szCs w:val="24"/>
          <w:shd w:val="clear" w:color="auto" w:fill="FFFFFF"/>
        </w:rPr>
        <w:t>y investir si elles</w:t>
      </w:r>
      <w:r w:rsidR="000F21BE" w:rsidRPr="00926280">
        <w:rPr>
          <w:rFonts w:asciiTheme="majorBidi" w:hAnsiTheme="majorBidi" w:cstheme="majorBidi"/>
          <w:kern w:val="24"/>
          <w:sz w:val="24"/>
          <w:szCs w:val="24"/>
          <w:shd w:val="clear" w:color="auto" w:fill="FFFFFF"/>
        </w:rPr>
        <w:t xml:space="preserve"> </w:t>
      </w:r>
      <w:r w:rsidRPr="00926280">
        <w:rPr>
          <w:rFonts w:asciiTheme="majorBidi" w:hAnsiTheme="majorBidi" w:cstheme="majorBidi"/>
          <w:kern w:val="24"/>
          <w:sz w:val="24"/>
          <w:szCs w:val="24"/>
          <w:shd w:val="clear" w:color="auto" w:fill="FFFFFF"/>
        </w:rPr>
        <w:t xml:space="preserve">passent un certain nombre de filtres définis dans </w:t>
      </w:r>
      <w:r w:rsidR="006775FA" w:rsidRPr="00926280">
        <w:rPr>
          <w:rFonts w:asciiTheme="majorBidi" w:hAnsiTheme="majorBidi" w:cstheme="majorBidi"/>
          <w:kern w:val="24"/>
          <w:sz w:val="24"/>
          <w:szCs w:val="24"/>
          <w:shd w:val="clear" w:color="auto" w:fill="FFFFFF"/>
        </w:rPr>
        <w:t>« </w:t>
      </w:r>
      <w:r w:rsidRPr="00926280">
        <w:rPr>
          <w:rFonts w:asciiTheme="majorBidi" w:hAnsiTheme="majorBidi" w:cstheme="majorBidi"/>
          <w:kern w:val="24"/>
          <w:sz w:val="24"/>
          <w:szCs w:val="24"/>
          <w:shd w:val="clear" w:color="auto" w:fill="FFFFFF"/>
        </w:rPr>
        <w:t>une méthodologie de filtrage</w:t>
      </w:r>
      <w:r w:rsidR="006775FA" w:rsidRPr="00926280">
        <w:rPr>
          <w:rFonts w:asciiTheme="majorBidi" w:hAnsiTheme="majorBidi" w:cstheme="majorBidi"/>
          <w:kern w:val="24"/>
          <w:sz w:val="24"/>
          <w:szCs w:val="24"/>
          <w:shd w:val="clear" w:color="auto" w:fill="FFFFFF"/>
        </w:rPr>
        <w:t> »</w:t>
      </w:r>
      <w:r w:rsidRPr="00926280">
        <w:rPr>
          <w:rFonts w:asciiTheme="majorBidi" w:hAnsiTheme="majorBidi" w:cstheme="majorBidi"/>
          <w:kern w:val="24"/>
          <w:sz w:val="24"/>
          <w:szCs w:val="24"/>
          <w:shd w:val="clear" w:color="auto" w:fill="FFFFFF"/>
        </w:rPr>
        <w:t xml:space="preserve"> validée par un conseil de conformité </w:t>
      </w:r>
      <w:r w:rsidR="001F5C83" w:rsidRPr="00926280">
        <w:rPr>
          <w:rFonts w:asciiTheme="majorBidi" w:eastAsia="Times New Roman" w:hAnsiTheme="majorBidi" w:cstheme="majorBidi"/>
          <w:i/>
          <w:iCs/>
          <w:color w:val="000000" w:themeColor="text1"/>
          <w:kern w:val="24"/>
          <w:sz w:val="24"/>
          <w:szCs w:val="24"/>
          <w:lang w:eastAsia="fr-FR"/>
        </w:rPr>
        <w:t>Shariah</w:t>
      </w:r>
      <w:r w:rsidR="001F5C83" w:rsidRPr="00926280">
        <w:rPr>
          <w:rFonts w:asciiTheme="majorBidi" w:hAnsiTheme="majorBidi" w:cstheme="majorBidi"/>
          <w:kern w:val="24"/>
          <w:sz w:val="24"/>
          <w:szCs w:val="24"/>
          <w:shd w:val="clear" w:color="auto" w:fill="FFFFFF"/>
        </w:rPr>
        <w:t xml:space="preserve"> </w:t>
      </w:r>
      <w:r w:rsidRPr="00926280">
        <w:rPr>
          <w:rFonts w:asciiTheme="majorBidi" w:hAnsiTheme="majorBidi" w:cstheme="majorBidi"/>
          <w:kern w:val="24"/>
          <w:sz w:val="24"/>
          <w:szCs w:val="24"/>
          <w:shd w:val="clear" w:color="auto" w:fill="FFFFFF"/>
        </w:rPr>
        <w:t>et qui sera scrupuleusement appliquée par les fournisseurs d’indices</w:t>
      </w:r>
      <w:r w:rsidR="000F21BE" w:rsidRPr="00926280">
        <w:rPr>
          <w:rFonts w:asciiTheme="majorBidi" w:hAnsiTheme="majorBidi" w:cstheme="majorBidi"/>
          <w:kern w:val="24"/>
          <w:sz w:val="24"/>
          <w:szCs w:val="24"/>
          <w:shd w:val="clear" w:color="auto" w:fill="FFFFFF"/>
        </w:rPr>
        <w:t xml:space="preserve"> </w:t>
      </w:r>
      <w:r w:rsidRPr="00926280">
        <w:rPr>
          <w:rFonts w:asciiTheme="majorBidi" w:hAnsiTheme="majorBidi" w:cstheme="majorBidi"/>
          <w:kern w:val="24"/>
          <w:sz w:val="24"/>
          <w:szCs w:val="24"/>
          <w:shd w:val="clear" w:color="auto" w:fill="FFFFFF"/>
        </w:rPr>
        <w:t>et les asset-managers</w:t>
      </w:r>
      <w:r w:rsidRPr="00926280">
        <w:rPr>
          <w:rStyle w:val="Appelnotedebasdep"/>
          <w:rFonts w:asciiTheme="majorBidi" w:hAnsiTheme="majorBidi"/>
          <w:kern w:val="24"/>
          <w:sz w:val="24"/>
          <w:szCs w:val="24"/>
          <w:shd w:val="clear" w:color="auto" w:fill="FFFFFF"/>
        </w:rPr>
        <w:footnoteReference w:id="131"/>
      </w:r>
      <w:r w:rsidRPr="00926280">
        <w:rPr>
          <w:rFonts w:asciiTheme="majorBidi" w:hAnsiTheme="majorBidi" w:cstheme="majorBidi"/>
          <w:kern w:val="24"/>
          <w:sz w:val="24"/>
          <w:szCs w:val="24"/>
          <w:shd w:val="clear" w:color="auto" w:fill="FFFFFF"/>
        </w:rPr>
        <w:t xml:space="preserve">. L’exigence de conformité à la </w:t>
      </w:r>
      <w:r w:rsidR="001F5C83" w:rsidRPr="00926280">
        <w:rPr>
          <w:rFonts w:asciiTheme="majorBidi" w:eastAsia="Times New Roman" w:hAnsiTheme="majorBidi" w:cstheme="majorBidi"/>
          <w:i/>
          <w:iCs/>
          <w:color w:val="000000" w:themeColor="text1"/>
          <w:kern w:val="24"/>
          <w:sz w:val="24"/>
          <w:szCs w:val="24"/>
          <w:lang w:eastAsia="fr-FR"/>
        </w:rPr>
        <w:t>Shariah</w:t>
      </w:r>
      <w:r w:rsidR="001F5C83" w:rsidRPr="00926280">
        <w:rPr>
          <w:rFonts w:asciiTheme="majorBidi" w:hAnsiTheme="majorBidi" w:cstheme="majorBidi"/>
          <w:kern w:val="24"/>
          <w:sz w:val="24"/>
          <w:szCs w:val="24"/>
          <w:shd w:val="clear" w:color="auto" w:fill="FFFFFF"/>
        </w:rPr>
        <w:t xml:space="preserve"> </w:t>
      </w:r>
      <w:r w:rsidRPr="00926280">
        <w:rPr>
          <w:rFonts w:asciiTheme="majorBidi" w:hAnsiTheme="majorBidi" w:cstheme="majorBidi"/>
          <w:kern w:val="24"/>
          <w:sz w:val="24"/>
          <w:szCs w:val="24"/>
          <w:shd w:val="clear" w:color="auto" w:fill="FFFFFF"/>
        </w:rPr>
        <w:t>d’une action se justifie dans le fait que l’investisseur devient l’actionnaire de l’entreprise</w:t>
      </w:r>
      <w:r w:rsidR="006775FA" w:rsidRPr="00926280">
        <w:rPr>
          <w:rFonts w:asciiTheme="majorBidi" w:hAnsiTheme="majorBidi" w:cstheme="majorBidi"/>
          <w:kern w:val="24"/>
          <w:sz w:val="24"/>
          <w:szCs w:val="24"/>
          <w:shd w:val="clear" w:color="auto" w:fill="FFFFFF"/>
        </w:rPr>
        <w:t>.</w:t>
      </w:r>
      <w:r w:rsidRPr="00926280">
        <w:rPr>
          <w:rFonts w:asciiTheme="majorBidi" w:hAnsiTheme="majorBidi" w:cstheme="majorBidi"/>
          <w:kern w:val="24"/>
          <w:sz w:val="24"/>
          <w:szCs w:val="24"/>
          <w:shd w:val="clear" w:color="auto" w:fill="FFFFFF"/>
        </w:rPr>
        <w:t xml:space="preserve"> </w:t>
      </w:r>
      <w:r w:rsidR="006775FA" w:rsidRPr="00926280">
        <w:rPr>
          <w:rFonts w:asciiTheme="majorBidi" w:hAnsiTheme="majorBidi" w:cstheme="majorBidi"/>
          <w:kern w:val="24"/>
          <w:sz w:val="24"/>
          <w:szCs w:val="24"/>
          <w:shd w:val="clear" w:color="auto" w:fill="FFFFFF"/>
        </w:rPr>
        <w:t>P</w:t>
      </w:r>
      <w:r w:rsidRPr="00926280">
        <w:rPr>
          <w:rFonts w:asciiTheme="majorBidi" w:hAnsiTheme="majorBidi" w:cstheme="majorBidi"/>
          <w:kern w:val="24"/>
          <w:sz w:val="24"/>
          <w:szCs w:val="24"/>
          <w:shd w:val="clear" w:color="auto" w:fill="FFFFFF"/>
        </w:rPr>
        <w:t>ar conséquent</w:t>
      </w:r>
      <w:r w:rsidR="006775FA" w:rsidRPr="00926280">
        <w:rPr>
          <w:rFonts w:asciiTheme="majorBidi" w:hAnsiTheme="majorBidi" w:cstheme="majorBidi"/>
          <w:kern w:val="24"/>
          <w:sz w:val="24"/>
          <w:szCs w:val="24"/>
          <w:shd w:val="clear" w:color="auto" w:fill="FFFFFF"/>
        </w:rPr>
        <w:t>,</w:t>
      </w:r>
      <w:r w:rsidRPr="00926280">
        <w:rPr>
          <w:rFonts w:asciiTheme="majorBidi" w:hAnsiTheme="majorBidi" w:cstheme="majorBidi"/>
          <w:kern w:val="24"/>
          <w:sz w:val="24"/>
          <w:szCs w:val="24"/>
          <w:shd w:val="clear" w:color="auto" w:fill="FFFFFF"/>
        </w:rPr>
        <w:t xml:space="preserve"> il est associé et indirectement responsable des décisions de l’entreprise.</w:t>
      </w:r>
    </w:p>
    <w:p w14:paraId="25447BBD" w14:textId="0218042C" w:rsidR="00FF30BB" w:rsidRPr="00926280" w:rsidRDefault="00FF30BB" w:rsidP="00A73D45">
      <w:pPr>
        <w:spacing w:before="120"/>
        <w:ind w:firstLine="709"/>
        <w:rPr>
          <w:rFonts w:asciiTheme="majorBidi" w:hAnsiTheme="majorBidi" w:cstheme="majorBidi"/>
          <w:color w:val="222222"/>
          <w:kern w:val="24"/>
          <w:sz w:val="24"/>
          <w:szCs w:val="24"/>
        </w:rPr>
      </w:pPr>
      <w:r w:rsidRPr="00926280">
        <w:rPr>
          <w:rFonts w:asciiTheme="majorBidi" w:hAnsiTheme="majorBidi" w:cstheme="majorBidi"/>
          <w:color w:val="222222"/>
          <w:kern w:val="24"/>
          <w:sz w:val="24"/>
          <w:szCs w:val="24"/>
        </w:rPr>
        <w:t xml:space="preserve">En effet, l’achat d’action est considéré comme </w:t>
      </w:r>
      <w:r w:rsidRPr="00926280">
        <w:rPr>
          <w:rFonts w:asciiTheme="majorBidi" w:hAnsiTheme="majorBidi" w:cstheme="majorBidi"/>
          <w:i/>
          <w:iCs/>
          <w:color w:val="222222"/>
          <w:kern w:val="24"/>
          <w:sz w:val="24"/>
          <w:szCs w:val="24"/>
        </w:rPr>
        <w:t>halal</w:t>
      </w:r>
      <w:r w:rsidRPr="00926280">
        <w:rPr>
          <w:rFonts w:asciiTheme="majorBidi" w:hAnsiTheme="majorBidi" w:cstheme="majorBidi"/>
          <w:color w:val="222222"/>
          <w:kern w:val="24"/>
          <w:sz w:val="24"/>
          <w:szCs w:val="24"/>
        </w:rPr>
        <w:t xml:space="preserve"> car il correspond simplement à l’achat d’un pourcentage de l’entreprise. Ce point de vue peut toutefois varier compte tenu de l’activité de l’entreprise. Cet investissement peut être considéré comme </w:t>
      </w:r>
      <w:r w:rsidRPr="00926280">
        <w:rPr>
          <w:rFonts w:asciiTheme="majorBidi" w:hAnsiTheme="majorBidi" w:cstheme="majorBidi"/>
          <w:i/>
          <w:iCs/>
          <w:color w:val="222222"/>
          <w:kern w:val="24"/>
          <w:sz w:val="24"/>
          <w:szCs w:val="24"/>
        </w:rPr>
        <w:t>haram</w:t>
      </w:r>
      <w:r w:rsidRPr="00926280">
        <w:rPr>
          <w:rFonts w:asciiTheme="majorBidi" w:hAnsiTheme="majorBidi" w:cstheme="majorBidi"/>
          <w:color w:val="222222"/>
          <w:kern w:val="24"/>
          <w:sz w:val="24"/>
          <w:szCs w:val="24"/>
        </w:rPr>
        <w:t xml:space="preserve"> lorsque le secteur de la firme ne cadre pas avec la </w:t>
      </w:r>
      <w:r w:rsidR="001F5C83" w:rsidRPr="00926280">
        <w:rPr>
          <w:rFonts w:asciiTheme="majorBidi" w:eastAsia="Times New Roman" w:hAnsiTheme="majorBidi" w:cstheme="majorBidi"/>
          <w:i/>
          <w:iCs/>
          <w:color w:val="000000" w:themeColor="text1"/>
          <w:kern w:val="24"/>
          <w:sz w:val="24"/>
          <w:szCs w:val="24"/>
          <w:lang w:eastAsia="fr-FR"/>
        </w:rPr>
        <w:t>Shariah</w:t>
      </w:r>
      <w:r w:rsidRPr="00926280">
        <w:rPr>
          <w:rFonts w:asciiTheme="majorBidi" w:hAnsiTheme="majorBidi" w:cstheme="majorBidi"/>
          <w:color w:val="222222"/>
          <w:kern w:val="24"/>
          <w:sz w:val="24"/>
          <w:szCs w:val="24"/>
        </w:rPr>
        <w:t>. Il est alors conseillé de n’investir que dans les entreprises opérant dans des secteurs licites.</w:t>
      </w:r>
    </w:p>
    <w:p w14:paraId="4F4BC7DE" w14:textId="79DE47BB" w:rsidR="00742B11" w:rsidRPr="00CB18E6" w:rsidRDefault="00742B11" w:rsidP="00F04B08">
      <w:pPr>
        <w:spacing w:before="120" w:after="120"/>
        <w:ind w:firstLine="709"/>
        <w:rPr>
          <w:rFonts w:asciiTheme="majorBidi" w:hAnsiTheme="majorBidi" w:cstheme="majorBidi"/>
          <w:sz w:val="24"/>
          <w:szCs w:val="24"/>
        </w:rPr>
      </w:pPr>
      <w:r w:rsidRPr="00CB18E6">
        <w:rPr>
          <w:rFonts w:asciiTheme="majorBidi" w:hAnsiTheme="majorBidi" w:cstheme="majorBidi"/>
          <w:sz w:val="24"/>
          <w:szCs w:val="24"/>
        </w:rPr>
        <w:lastRenderedPageBreak/>
        <w:t xml:space="preserve">Quels </w:t>
      </w:r>
      <w:r w:rsidR="00F04B08">
        <w:rPr>
          <w:rFonts w:asciiTheme="majorBidi" w:hAnsiTheme="majorBidi" w:cstheme="majorBidi"/>
          <w:sz w:val="24"/>
          <w:szCs w:val="24"/>
        </w:rPr>
        <w:t>c</w:t>
      </w:r>
      <w:r w:rsidRPr="00CB18E6">
        <w:rPr>
          <w:rFonts w:asciiTheme="majorBidi" w:hAnsiTheme="majorBidi" w:cstheme="majorBidi"/>
          <w:sz w:val="24"/>
          <w:szCs w:val="24"/>
        </w:rPr>
        <w:t xml:space="preserve">ritères </w:t>
      </w:r>
      <w:r w:rsidR="00F04B08">
        <w:rPr>
          <w:rFonts w:asciiTheme="majorBidi" w:hAnsiTheme="majorBidi" w:cstheme="majorBidi"/>
          <w:sz w:val="24"/>
          <w:szCs w:val="24"/>
        </w:rPr>
        <w:t>c</w:t>
      </w:r>
      <w:r w:rsidRPr="00CB18E6">
        <w:rPr>
          <w:rFonts w:asciiTheme="majorBidi" w:hAnsiTheme="majorBidi" w:cstheme="majorBidi"/>
          <w:sz w:val="24"/>
          <w:szCs w:val="24"/>
        </w:rPr>
        <w:t xml:space="preserve">onsidérer pour </w:t>
      </w:r>
      <w:r w:rsidR="00F04B08">
        <w:rPr>
          <w:rFonts w:asciiTheme="majorBidi" w:hAnsiTheme="majorBidi" w:cstheme="majorBidi"/>
          <w:sz w:val="24"/>
          <w:szCs w:val="24"/>
        </w:rPr>
        <w:t>a</w:t>
      </w:r>
      <w:r w:rsidRPr="00CB18E6">
        <w:rPr>
          <w:rFonts w:asciiTheme="majorBidi" w:hAnsiTheme="majorBidi" w:cstheme="majorBidi"/>
          <w:sz w:val="24"/>
          <w:szCs w:val="24"/>
        </w:rPr>
        <w:t xml:space="preserve">cheter des </w:t>
      </w:r>
      <w:r w:rsidR="00F04B08">
        <w:rPr>
          <w:rFonts w:asciiTheme="majorBidi" w:hAnsiTheme="majorBidi" w:cstheme="majorBidi"/>
          <w:sz w:val="24"/>
          <w:szCs w:val="24"/>
        </w:rPr>
        <w:t>a</w:t>
      </w:r>
      <w:r w:rsidRPr="00CB18E6">
        <w:rPr>
          <w:rFonts w:asciiTheme="majorBidi" w:hAnsiTheme="majorBidi" w:cstheme="majorBidi"/>
          <w:sz w:val="24"/>
          <w:szCs w:val="24"/>
        </w:rPr>
        <w:t xml:space="preserve">ctions en </w:t>
      </w:r>
      <w:r w:rsidR="00F04B08">
        <w:rPr>
          <w:rFonts w:asciiTheme="majorBidi" w:hAnsiTheme="majorBidi" w:cstheme="majorBidi"/>
          <w:sz w:val="24"/>
          <w:szCs w:val="24"/>
        </w:rPr>
        <w:t>c</w:t>
      </w:r>
      <w:r w:rsidRPr="00CB18E6">
        <w:rPr>
          <w:rFonts w:asciiTheme="majorBidi" w:hAnsiTheme="majorBidi" w:cstheme="majorBidi"/>
          <w:sz w:val="24"/>
          <w:szCs w:val="24"/>
        </w:rPr>
        <w:t>onformité avec l’Islam</w:t>
      </w:r>
      <w:r w:rsidR="00F04B08">
        <w:rPr>
          <w:rFonts w:asciiTheme="majorBidi" w:hAnsiTheme="majorBidi" w:cstheme="majorBidi"/>
          <w:sz w:val="24"/>
          <w:szCs w:val="24"/>
        </w:rPr>
        <w:t> ?</w:t>
      </w:r>
      <w:r w:rsidRPr="00CB18E6">
        <w:rPr>
          <w:rStyle w:val="Appelnotedebasdep"/>
          <w:rFonts w:asciiTheme="majorBidi" w:hAnsiTheme="majorBidi" w:cstheme="majorBidi"/>
          <w:sz w:val="24"/>
          <w:szCs w:val="24"/>
        </w:rPr>
        <w:footnoteReference w:id="132"/>
      </w:r>
    </w:p>
    <w:p w14:paraId="293F710F" w14:textId="074478B1" w:rsidR="00742B11" w:rsidRPr="00742B11" w:rsidRDefault="00742B11" w:rsidP="00CB0FF1">
      <w:pPr>
        <w:numPr>
          <w:ilvl w:val="0"/>
          <w:numId w:val="114"/>
        </w:numPr>
        <w:shd w:val="clear" w:color="auto" w:fill="FFFFFF"/>
        <w:tabs>
          <w:tab w:val="left" w:pos="851"/>
        </w:tabs>
        <w:spacing w:after="60" w:line="300" w:lineRule="auto"/>
        <w:ind w:left="1135" w:hanging="284"/>
        <w:rPr>
          <w:rFonts w:asciiTheme="majorBidi" w:eastAsia="Times New Roman" w:hAnsiTheme="majorBidi" w:cstheme="majorBidi"/>
          <w:sz w:val="24"/>
          <w:szCs w:val="24"/>
          <w:lang w:eastAsia="fr-FR"/>
        </w:rPr>
      </w:pPr>
      <w:r w:rsidRPr="00742B11">
        <w:rPr>
          <w:rFonts w:asciiTheme="majorBidi" w:eastAsia="Times New Roman" w:hAnsiTheme="majorBidi" w:cstheme="majorBidi"/>
          <w:sz w:val="24"/>
          <w:szCs w:val="24"/>
          <w:lang w:eastAsia="fr-FR"/>
        </w:rPr>
        <w:t>Faire une recherche sur le domaine d’activité et le type de produits et/ou services proposés par la société afin de vérifier si tout cela est conforme à l’islam ;</w:t>
      </w:r>
    </w:p>
    <w:p w14:paraId="01E10506" w14:textId="77777777" w:rsidR="00742B11" w:rsidRPr="00742B11" w:rsidRDefault="00742B11" w:rsidP="00CB0FF1">
      <w:pPr>
        <w:numPr>
          <w:ilvl w:val="0"/>
          <w:numId w:val="114"/>
        </w:numPr>
        <w:shd w:val="clear" w:color="auto" w:fill="FFFFFF"/>
        <w:tabs>
          <w:tab w:val="left" w:pos="851"/>
        </w:tabs>
        <w:spacing w:after="60" w:line="300" w:lineRule="auto"/>
        <w:ind w:left="1135" w:hanging="284"/>
        <w:rPr>
          <w:rFonts w:asciiTheme="majorBidi" w:eastAsia="Times New Roman" w:hAnsiTheme="majorBidi" w:cstheme="majorBidi"/>
          <w:sz w:val="24"/>
          <w:szCs w:val="24"/>
          <w:lang w:eastAsia="fr-FR"/>
        </w:rPr>
      </w:pPr>
      <w:r w:rsidRPr="00742B11">
        <w:rPr>
          <w:rFonts w:asciiTheme="majorBidi" w:eastAsia="Times New Roman" w:hAnsiTheme="majorBidi" w:cstheme="majorBidi"/>
          <w:sz w:val="24"/>
          <w:szCs w:val="24"/>
          <w:lang w:eastAsia="fr-FR"/>
        </w:rPr>
        <w:t>Ne pas acheter les actions des sociétés impliquées dans la vente à découvert ;</w:t>
      </w:r>
    </w:p>
    <w:p w14:paraId="308A6FFA" w14:textId="77777777" w:rsidR="00742B11" w:rsidRPr="00742B11" w:rsidRDefault="00742B11" w:rsidP="00CB0FF1">
      <w:pPr>
        <w:numPr>
          <w:ilvl w:val="0"/>
          <w:numId w:val="114"/>
        </w:numPr>
        <w:shd w:val="clear" w:color="auto" w:fill="FFFFFF"/>
        <w:tabs>
          <w:tab w:val="left" w:pos="851"/>
        </w:tabs>
        <w:spacing w:after="60" w:line="300" w:lineRule="auto"/>
        <w:ind w:left="1135" w:hanging="284"/>
        <w:rPr>
          <w:rFonts w:asciiTheme="majorBidi" w:eastAsia="Times New Roman" w:hAnsiTheme="majorBidi" w:cstheme="majorBidi"/>
          <w:sz w:val="24"/>
          <w:szCs w:val="24"/>
          <w:lang w:eastAsia="fr-FR"/>
        </w:rPr>
      </w:pPr>
      <w:r w:rsidRPr="00742B11">
        <w:rPr>
          <w:rFonts w:asciiTheme="majorBidi" w:eastAsia="Times New Roman" w:hAnsiTheme="majorBidi" w:cstheme="majorBidi"/>
          <w:sz w:val="24"/>
          <w:szCs w:val="24"/>
          <w:lang w:eastAsia="fr-FR"/>
        </w:rPr>
        <w:t>Eviter de faire des placements sur des entreprises qui pratiquent l’intérêt (riba) ;</w:t>
      </w:r>
    </w:p>
    <w:p w14:paraId="49F69786" w14:textId="77777777" w:rsidR="00742B11" w:rsidRPr="00742B11" w:rsidRDefault="00742B11" w:rsidP="00CB0FF1">
      <w:pPr>
        <w:numPr>
          <w:ilvl w:val="0"/>
          <w:numId w:val="114"/>
        </w:numPr>
        <w:shd w:val="clear" w:color="auto" w:fill="FFFFFF"/>
        <w:tabs>
          <w:tab w:val="left" w:pos="851"/>
        </w:tabs>
        <w:spacing w:after="60" w:line="300" w:lineRule="auto"/>
        <w:ind w:left="1135" w:hanging="284"/>
        <w:rPr>
          <w:rFonts w:asciiTheme="majorBidi" w:eastAsia="Times New Roman" w:hAnsiTheme="majorBidi" w:cstheme="majorBidi"/>
          <w:sz w:val="24"/>
          <w:szCs w:val="24"/>
          <w:lang w:eastAsia="fr-FR"/>
        </w:rPr>
      </w:pPr>
      <w:r w:rsidRPr="00742B11">
        <w:rPr>
          <w:rFonts w:asciiTheme="majorBidi" w:eastAsia="Times New Roman" w:hAnsiTheme="majorBidi" w:cstheme="majorBidi"/>
          <w:sz w:val="24"/>
          <w:szCs w:val="24"/>
          <w:lang w:eastAsia="fr-FR"/>
        </w:rPr>
        <w:t>Cibler les sociétés qui ont un taux d’endettement inférieur à 33 % de leur capital global ;</w:t>
      </w:r>
    </w:p>
    <w:p w14:paraId="141FC806" w14:textId="77777777" w:rsidR="00F15F38" w:rsidRPr="00742B11" w:rsidRDefault="00742B11" w:rsidP="00CB0FF1">
      <w:pPr>
        <w:numPr>
          <w:ilvl w:val="0"/>
          <w:numId w:val="114"/>
        </w:numPr>
        <w:shd w:val="clear" w:color="auto" w:fill="FFFFFF"/>
        <w:tabs>
          <w:tab w:val="left" w:pos="851"/>
        </w:tabs>
        <w:spacing w:after="60" w:line="300" w:lineRule="auto"/>
        <w:ind w:left="1135" w:hanging="284"/>
        <w:rPr>
          <w:rFonts w:asciiTheme="majorBidi" w:eastAsia="Times New Roman" w:hAnsiTheme="majorBidi" w:cstheme="majorBidi"/>
          <w:sz w:val="24"/>
          <w:szCs w:val="24"/>
          <w:lang w:eastAsia="fr-FR"/>
        </w:rPr>
      </w:pPr>
      <w:r w:rsidRPr="00742B11">
        <w:rPr>
          <w:rFonts w:asciiTheme="majorBidi" w:eastAsia="Times New Roman" w:hAnsiTheme="majorBidi" w:cstheme="majorBidi"/>
          <w:sz w:val="24"/>
          <w:szCs w:val="24"/>
          <w:lang w:eastAsia="fr-FR"/>
        </w:rPr>
        <w:t>Vérifier au préalable que la valeur des actifs liquides de la société n’est pas supérieure à 33 % de la valeur de sa capitalisation boursière.</w:t>
      </w:r>
    </w:p>
    <w:p w14:paraId="22494794" w14:textId="77777777" w:rsidR="0084135F" w:rsidRPr="00F15F38" w:rsidRDefault="00021BB2" w:rsidP="00F04B08">
      <w:pPr>
        <w:pStyle w:val="Titre4"/>
        <w:keepNext w:val="0"/>
        <w:spacing w:before="100" w:beforeAutospacing="1" w:after="120" w:line="300" w:lineRule="auto"/>
        <w:ind w:firstLine="709"/>
        <w:rPr>
          <w:sz w:val="32"/>
        </w:rPr>
      </w:pPr>
      <w:bookmarkStart w:id="411" w:name="_Toc182298665"/>
      <w:r w:rsidRPr="002B005F">
        <w:t>2.</w:t>
      </w:r>
      <w:r>
        <w:t>4.3 Fonds</w:t>
      </w:r>
      <w:r w:rsidR="0084135F" w:rsidRPr="00F15F38">
        <w:t xml:space="preserve"> d’investissement </w:t>
      </w:r>
      <w:r w:rsidR="004A25A1" w:rsidRPr="00F15F38">
        <w:t>i</w:t>
      </w:r>
      <w:r w:rsidR="003773C6" w:rsidRPr="00F15F38">
        <w:t>slamique</w:t>
      </w:r>
      <w:r w:rsidR="0084135F" w:rsidRPr="00F15F38">
        <w:t>s</w:t>
      </w:r>
      <w:bookmarkEnd w:id="411"/>
    </w:p>
    <w:p w14:paraId="704BB17C" w14:textId="77777777" w:rsidR="002760B2" w:rsidRPr="002B005F" w:rsidRDefault="002760B2" w:rsidP="00AF63C6">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F15F38">
        <w:rPr>
          <w:rFonts w:ascii="Times New Roman" w:hAnsi="Times New Roman" w:cs="Times New Roman"/>
          <w:sz w:val="24"/>
          <w:szCs w:val="24"/>
        </w:rPr>
        <w:t xml:space="preserve">L’AAOIFI </w:t>
      </w:r>
      <w:r w:rsidR="00CB6F92" w:rsidRPr="00F15F38">
        <w:rPr>
          <w:rFonts w:ascii="Times New Roman" w:hAnsi="Times New Roman" w:cs="Times New Roman"/>
          <w:sz w:val="24"/>
          <w:szCs w:val="24"/>
        </w:rPr>
        <w:t>a défini ces fonds comme étant :</w:t>
      </w:r>
      <w:r w:rsidRPr="002B005F">
        <w:rPr>
          <w:rFonts w:ascii="Times New Roman" w:hAnsi="Times New Roman" w:cs="Times New Roman"/>
          <w:sz w:val="24"/>
          <w:szCs w:val="24"/>
        </w:rPr>
        <w:t xml:space="preserve"> « </w:t>
      </w:r>
      <w:r w:rsidRPr="002B005F">
        <w:rPr>
          <w:rFonts w:ascii="Times New Roman" w:hAnsi="Times New Roman" w:cs="Times New Roman"/>
          <w:i/>
          <w:iCs/>
          <w:sz w:val="24"/>
          <w:szCs w:val="24"/>
        </w:rPr>
        <w:t>Des</w:t>
      </w:r>
      <w:r w:rsidR="00CB6F92" w:rsidRPr="002B005F">
        <w:rPr>
          <w:rFonts w:ascii="Times New Roman" w:hAnsi="Times New Roman" w:cs="Times New Roman"/>
          <w:i/>
          <w:iCs/>
          <w:sz w:val="24"/>
          <w:szCs w:val="24"/>
        </w:rPr>
        <w:t xml:space="preserve"> véhicules d’investissement</w:t>
      </w:r>
      <w:r w:rsidRPr="002B005F">
        <w:rPr>
          <w:rFonts w:ascii="Times New Roman" w:hAnsi="Times New Roman" w:cs="Times New Roman"/>
          <w:i/>
          <w:iCs/>
          <w:sz w:val="24"/>
          <w:szCs w:val="24"/>
        </w:rPr>
        <w:t xml:space="preserve"> qui sont financièrement indépendants des institutions qui les établissent. Les fonds prennent la forme de participation égale d’actions/parts des actionnaires/porteurs d’actifs et de droit aux bénéfices ou pertes. Les fonds sont gérés selon la </w:t>
      </w:r>
      <w:r w:rsidR="007A11D7" w:rsidRPr="002B005F">
        <w:rPr>
          <w:rFonts w:ascii="Times New Roman" w:hAnsi="Times New Roman" w:cs="Times New Roman"/>
          <w:i/>
          <w:iCs/>
          <w:sz w:val="24"/>
          <w:szCs w:val="24"/>
        </w:rPr>
        <w:t>moudaraba</w:t>
      </w:r>
      <w:r w:rsidRPr="002B005F">
        <w:rPr>
          <w:rFonts w:ascii="Times New Roman" w:hAnsi="Times New Roman" w:cs="Times New Roman"/>
          <w:i/>
          <w:iCs/>
          <w:sz w:val="24"/>
          <w:szCs w:val="24"/>
        </w:rPr>
        <w:t xml:space="preserve"> ou la wakala (contrat d’agence)</w:t>
      </w:r>
      <w:r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133"/>
      </w:r>
      <w:r w:rsidRPr="002B005F">
        <w:rPr>
          <w:rFonts w:ascii="Times New Roman" w:hAnsi="Times New Roman" w:cs="Times New Roman"/>
          <w:sz w:val="24"/>
          <w:szCs w:val="24"/>
        </w:rPr>
        <w:t xml:space="preserve">. C’est l’une des formes d’institutions financières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qui collectent des fonds des investisseurs sous forme de parts ou d’instruments de placement afin de</w:t>
      </w:r>
      <w:r w:rsidR="00CB6F92" w:rsidRPr="002B005F">
        <w:rPr>
          <w:rFonts w:ascii="Times New Roman" w:hAnsi="Times New Roman" w:cs="Times New Roman"/>
          <w:sz w:val="24"/>
          <w:szCs w:val="24"/>
        </w:rPr>
        <w:t xml:space="preserve"> les confier à des spécialistes</w:t>
      </w:r>
      <w:r w:rsidRPr="002B005F">
        <w:rPr>
          <w:rFonts w:ascii="Times New Roman" w:hAnsi="Times New Roman" w:cs="Times New Roman"/>
          <w:sz w:val="24"/>
          <w:szCs w:val="24"/>
        </w:rPr>
        <w:t xml:space="preserve"> de gestion d’actifs pour les employer suivant des formes d’investisseme</w:t>
      </w:r>
      <w:r w:rsidR="00C64863" w:rsidRPr="002B005F">
        <w:rPr>
          <w:rFonts w:ascii="Times New Roman" w:hAnsi="Times New Roman" w:cs="Times New Roman"/>
          <w:sz w:val="24"/>
          <w:szCs w:val="24"/>
        </w:rPr>
        <w:t xml:space="preserve">nt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C64863" w:rsidRPr="002B005F">
        <w:rPr>
          <w:rFonts w:ascii="Times New Roman" w:hAnsi="Times New Roman" w:cs="Times New Roman"/>
          <w:sz w:val="24"/>
          <w:szCs w:val="24"/>
        </w:rPr>
        <w:t xml:space="preserve"> appropriées ;</w:t>
      </w:r>
      <w:r w:rsidRPr="002B005F">
        <w:rPr>
          <w:rFonts w:ascii="Times New Roman" w:hAnsi="Times New Roman" w:cs="Times New Roman"/>
          <w:sz w:val="24"/>
          <w:szCs w:val="24"/>
        </w:rPr>
        <w:t xml:space="preserve"> les résultats seront partagés conformément aux accords établis.</w:t>
      </w:r>
    </w:p>
    <w:p w14:paraId="22E4CF25" w14:textId="15EC9D71" w:rsidR="00700AA6" w:rsidRPr="002B005F" w:rsidRDefault="002760B2" w:rsidP="00700AA6">
      <w:pPr>
        <w:tabs>
          <w:tab w:val="left" w:pos="0"/>
        </w:tabs>
        <w:autoSpaceDE w:val="0"/>
        <w:autoSpaceDN w:val="0"/>
        <w:adjustRightInd w:val="0"/>
        <w:spacing w:before="120" w:line="300" w:lineRule="auto"/>
        <w:ind w:firstLine="709"/>
        <w:rPr>
          <w:rFonts w:ascii="Times New Roman" w:hAnsi="Times New Roman" w:cs="Times New Roman"/>
          <w:color w:val="000000"/>
          <w:sz w:val="24"/>
          <w:szCs w:val="24"/>
        </w:rPr>
      </w:pPr>
      <w:r w:rsidRPr="002B005F">
        <w:rPr>
          <w:rFonts w:ascii="Times New Roman" w:hAnsi="Times New Roman" w:cs="Times New Roman"/>
          <w:sz w:val="24"/>
          <w:szCs w:val="24"/>
        </w:rPr>
        <w:t xml:space="preserve">Historiquement, les premiers fonds d‘investissement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ont été créés durant les années 1970. Plusieurs d‘entre eux n‘ont pas pu survivre à cause de l‘absence d‘un marché structuré et d‘un cadre réglementaire approprié</w:t>
      </w:r>
      <w:r w:rsidRPr="002B005F">
        <w:rPr>
          <w:rStyle w:val="Appelnotedebasdep"/>
          <w:rFonts w:ascii="Times New Roman" w:hAnsi="Times New Roman"/>
          <w:sz w:val="24"/>
          <w:szCs w:val="24"/>
        </w:rPr>
        <w:footnoteReference w:id="134"/>
      </w:r>
      <w:r w:rsidRPr="002B005F">
        <w:rPr>
          <w:rFonts w:ascii="Times New Roman" w:hAnsi="Times New Roman" w:cs="Times New Roman"/>
          <w:sz w:val="24"/>
          <w:szCs w:val="24"/>
        </w:rPr>
        <w:t>. Le début effectif de ces fonds a eu</w:t>
      </w:r>
      <w:r w:rsidR="00CC5491" w:rsidRPr="002B005F">
        <w:rPr>
          <w:rFonts w:ascii="Times New Roman" w:hAnsi="Times New Roman" w:cs="Times New Roman"/>
          <w:sz w:val="24"/>
          <w:szCs w:val="24"/>
        </w:rPr>
        <w:t xml:space="preserve"> lieu en 1986 par la Malaisie</w:t>
      </w:r>
      <w:r w:rsidR="00CD492E">
        <w:rPr>
          <w:rFonts w:ascii="Times New Roman" w:hAnsi="Times New Roman" w:cs="Times New Roman"/>
          <w:sz w:val="24"/>
          <w:szCs w:val="24"/>
        </w:rPr>
        <w:t>.</w:t>
      </w:r>
      <w:r w:rsidR="00CC5491" w:rsidRPr="002B005F">
        <w:rPr>
          <w:rFonts w:ascii="Times New Roman" w:hAnsi="Times New Roman" w:cs="Times New Roman"/>
          <w:sz w:val="24"/>
          <w:szCs w:val="24"/>
        </w:rPr>
        <w:t xml:space="preserve"> </w:t>
      </w:r>
      <w:r w:rsidR="00CD492E" w:rsidRPr="002B005F">
        <w:rPr>
          <w:rFonts w:ascii="Times New Roman" w:hAnsi="Times New Roman" w:cs="Times New Roman"/>
          <w:sz w:val="24"/>
          <w:szCs w:val="24"/>
        </w:rPr>
        <w:t>Ils</w:t>
      </w:r>
      <w:r w:rsidRPr="002B005F">
        <w:rPr>
          <w:rFonts w:ascii="Times New Roman" w:hAnsi="Times New Roman" w:cs="Times New Roman"/>
          <w:sz w:val="24"/>
          <w:szCs w:val="24"/>
        </w:rPr>
        <w:t xml:space="preserve"> ont connu des taux de croissance importants du milieu des années 1990 (</w:t>
      </w:r>
      <w:r w:rsidRPr="002B005F">
        <w:rPr>
          <w:rFonts w:ascii="Times New Roman" w:hAnsi="Times New Roman" w:cs="Times New Roman"/>
          <w:smallCaps/>
          <w:sz w:val="24"/>
          <w:szCs w:val="24"/>
        </w:rPr>
        <w:t>Al-Rifai</w:t>
      </w:r>
      <w:r w:rsidRPr="002B005F">
        <w:rPr>
          <w:rFonts w:ascii="Times New Roman" w:hAnsi="Times New Roman" w:cs="Times New Roman"/>
          <w:sz w:val="24"/>
          <w:szCs w:val="24"/>
        </w:rPr>
        <w:t xml:space="preserve">, 1999). </w:t>
      </w:r>
      <w:r w:rsidR="00700AA6" w:rsidRPr="0093610E">
        <w:rPr>
          <w:rFonts w:asciiTheme="majorBidi" w:hAnsiTheme="majorBidi" w:cstheme="majorBidi"/>
          <w:sz w:val="24"/>
          <w:szCs w:val="24"/>
        </w:rPr>
        <w:t xml:space="preserve">Le nombre des fonds islamiques d’investissement est passé de 300 fonds en 2004, 812 en 2010, 876 fonds en 2011, pour atteindre 1029 fonds en 2012. La valeur de ces fonds </w:t>
      </w:r>
      <w:r w:rsidR="006775FA">
        <w:rPr>
          <w:rFonts w:asciiTheme="majorBidi" w:hAnsiTheme="majorBidi" w:cstheme="majorBidi"/>
          <w:sz w:val="24"/>
          <w:szCs w:val="24"/>
        </w:rPr>
        <w:t xml:space="preserve">a </w:t>
      </w:r>
      <w:r w:rsidR="00700AA6" w:rsidRPr="0093610E">
        <w:rPr>
          <w:rFonts w:asciiTheme="majorBidi" w:hAnsiTheme="majorBidi" w:cstheme="majorBidi"/>
          <w:sz w:val="24"/>
          <w:szCs w:val="24"/>
        </w:rPr>
        <w:t>été estimée à 58 milliards de dollars en 2010 et à 60 milliards de dollars en 2011</w:t>
      </w:r>
      <w:r w:rsidR="00700AA6" w:rsidRPr="0093610E">
        <w:rPr>
          <w:rStyle w:val="Appelnotedebasdep"/>
          <w:rFonts w:asciiTheme="majorBidi" w:hAnsiTheme="majorBidi"/>
          <w:sz w:val="24"/>
          <w:szCs w:val="24"/>
        </w:rPr>
        <w:footnoteReference w:id="135"/>
      </w:r>
      <w:r w:rsidR="00700AA6" w:rsidRPr="0093610E">
        <w:rPr>
          <w:rFonts w:asciiTheme="majorBidi" w:hAnsiTheme="majorBidi" w:cstheme="majorBidi"/>
          <w:sz w:val="24"/>
          <w:szCs w:val="24"/>
        </w:rPr>
        <w:t>. Ce marché est caractérisé par une concentration entre l’Arabie Saoudite et la Malaisie</w:t>
      </w:r>
      <w:r w:rsidR="00700AA6" w:rsidRPr="0093610E">
        <w:rPr>
          <w:rStyle w:val="Appelnotedebasdep"/>
          <w:rFonts w:ascii="Times New Roman" w:hAnsi="Times New Roman"/>
          <w:sz w:val="24"/>
          <w:szCs w:val="24"/>
        </w:rPr>
        <w:footnoteReference w:id="136"/>
      </w:r>
      <w:r w:rsidR="00700AA6" w:rsidRPr="0093610E">
        <w:rPr>
          <w:rFonts w:ascii="Times New Roman" w:hAnsi="Times New Roman" w:cs="Times New Roman"/>
          <w:sz w:val="24"/>
          <w:szCs w:val="24"/>
        </w:rPr>
        <w:t xml:space="preserve">. </w:t>
      </w:r>
      <w:r w:rsidR="00700AA6" w:rsidRPr="0093610E">
        <w:rPr>
          <w:rFonts w:ascii="Times New Roman" w:hAnsi="Times New Roman" w:cs="Times New Roman"/>
          <w:color w:val="000000"/>
          <w:sz w:val="24"/>
          <w:szCs w:val="24"/>
        </w:rPr>
        <w:t xml:space="preserve">(Voir </w:t>
      </w:r>
      <w:r w:rsidR="00700AA6" w:rsidRPr="006775FA">
        <w:rPr>
          <w:rFonts w:ascii="Times New Roman" w:hAnsi="Times New Roman" w:cs="Times New Roman"/>
          <w:b/>
          <w:bCs/>
          <w:color w:val="000000"/>
          <w:sz w:val="24"/>
          <w:szCs w:val="24"/>
        </w:rPr>
        <w:t>figure 13</w:t>
      </w:r>
      <w:r w:rsidR="00700AA6" w:rsidRPr="0093610E">
        <w:rPr>
          <w:rFonts w:ascii="Times New Roman" w:hAnsi="Times New Roman" w:cs="Times New Roman"/>
          <w:color w:val="000000"/>
          <w:sz w:val="24"/>
          <w:szCs w:val="24"/>
        </w:rPr>
        <w:t>).</w:t>
      </w:r>
    </w:p>
    <w:p w14:paraId="3EEB83E6" w14:textId="4460B390" w:rsidR="00530E5E" w:rsidRPr="00EF7FC5" w:rsidRDefault="00530E5E" w:rsidP="006775FA">
      <w:pPr>
        <w:keepNext/>
        <w:tabs>
          <w:tab w:val="left" w:pos="0"/>
        </w:tabs>
        <w:autoSpaceDE w:val="0"/>
        <w:autoSpaceDN w:val="0"/>
        <w:adjustRightInd w:val="0"/>
        <w:spacing w:before="100" w:beforeAutospacing="1" w:after="120" w:line="300" w:lineRule="auto"/>
        <w:jc w:val="center"/>
        <w:rPr>
          <w:rFonts w:asciiTheme="majorBidi" w:hAnsiTheme="majorBidi" w:cstheme="majorBidi"/>
          <w:b/>
          <w:bCs/>
          <w:i/>
          <w:iCs/>
          <w:sz w:val="24"/>
          <w:szCs w:val="24"/>
        </w:rPr>
      </w:pPr>
      <w:r w:rsidRPr="00EF7FC5">
        <w:rPr>
          <w:rFonts w:asciiTheme="majorBidi" w:hAnsiTheme="majorBidi" w:cstheme="majorBidi"/>
          <w:b/>
          <w:bCs/>
          <w:noProof/>
          <w:color w:val="000000"/>
          <w:sz w:val="24"/>
          <w:szCs w:val="24"/>
          <w:lang w:eastAsia="fr-FR"/>
        </w:rPr>
        <w:lastRenderedPageBreak/>
        <w:drawing>
          <wp:anchor distT="0" distB="0" distL="114300" distR="114300" simplePos="0" relativeHeight="251496448" behindDoc="0" locked="1" layoutInCell="1" allowOverlap="0" wp14:anchorId="2474DD97" wp14:editId="74826B53">
            <wp:simplePos x="0" y="0"/>
            <wp:positionH relativeFrom="margin">
              <wp:align>center</wp:align>
            </wp:positionH>
            <wp:positionV relativeFrom="paragraph">
              <wp:posOffset>472440</wp:posOffset>
            </wp:positionV>
            <wp:extent cx="4751705" cy="2295525"/>
            <wp:effectExtent l="0" t="0" r="0" b="0"/>
            <wp:wrapNone/>
            <wp:docPr id="1355" name="Imag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35" cstate="print"/>
                    <a:srcRect l="4144" t="14512" r="8923" b="6651"/>
                    <a:stretch>
                      <a:fillRect/>
                    </a:stretch>
                  </pic:blipFill>
                  <pic:spPr bwMode="auto">
                    <a:xfrm>
                      <a:off x="0" y="0"/>
                      <a:ext cx="4751705" cy="2295525"/>
                    </a:xfrm>
                    <a:prstGeom prst="rect">
                      <a:avLst/>
                    </a:prstGeom>
                    <a:noFill/>
                  </pic:spPr>
                </pic:pic>
              </a:graphicData>
            </a:graphic>
            <wp14:sizeRelH relativeFrom="margin">
              <wp14:pctWidth>0</wp14:pctWidth>
            </wp14:sizeRelH>
            <wp14:sizeRelV relativeFrom="margin">
              <wp14:pctHeight>0</wp14:pctHeight>
            </wp14:sizeRelV>
          </wp:anchor>
        </w:drawing>
      </w:r>
      <w:bookmarkStart w:id="412" w:name="_Toc115527424"/>
      <w:r w:rsidR="00EF7FC5" w:rsidRPr="00EF7FC5">
        <w:rPr>
          <w:rFonts w:asciiTheme="majorBidi" w:hAnsiTheme="majorBidi" w:cstheme="majorBidi"/>
          <w:b/>
          <w:bCs/>
          <w:sz w:val="24"/>
          <w:szCs w:val="24"/>
        </w:rPr>
        <w:t xml:space="preserve">Figure </w:t>
      </w:r>
      <w:r w:rsidR="00B544E5" w:rsidRPr="00EF7FC5">
        <w:rPr>
          <w:rFonts w:asciiTheme="majorBidi" w:hAnsiTheme="majorBidi" w:cstheme="majorBidi"/>
          <w:b/>
          <w:bCs/>
          <w:sz w:val="24"/>
          <w:szCs w:val="24"/>
        </w:rPr>
        <w:fldChar w:fldCharType="begin"/>
      </w:r>
      <w:r w:rsidR="00EF7FC5" w:rsidRPr="00EF7FC5">
        <w:rPr>
          <w:rFonts w:asciiTheme="majorBidi" w:hAnsiTheme="majorBidi" w:cstheme="majorBidi"/>
          <w:b/>
          <w:bCs/>
          <w:sz w:val="24"/>
          <w:szCs w:val="24"/>
        </w:rPr>
        <w:instrText xml:space="preserve"> SEQ Figure \* ARABIC </w:instrText>
      </w:r>
      <w:r w:rsidR="00B544E5" w:rsidRPr="00EF7FC5">
        <w:rPr>
          <w:rFonts w:asciiTheme="majorBidi" w:hAnsiTheme="majorBidi" w:cstheme="majorBidi"/>
          <w:b/>
          <w:bCs/>
          <w:sz w:val="24"/>
          <w:szCs w:val="24"/>
        </w:rPr>
        <w:fldChar w:fldCharType="separate"/>
      </w:r>
      <w:r w:rsidR="00666FC7">
        <w:rPr>
          <w:rFonts w:asciiTheme="majorBidi" w:hAnsiTheme="majorBidi" w:cstheme="majorBidi"/>
          <w:b/>
          <w:bCs/>
          <w:noProof/>
          <w:sz w:val="24"/>
          <w:szCs w:val="24"/>
        </w:rPr>
        <w:t>13</w:t>
      </w:r>
      <w:r w:rsidR="00B544E5" w:rsidRPr="00EF7FC5">
        <w:rPr>
          <w:rFonts w:asciiTheme="majorBidi" w:hAnsiTheme="majorBidi" w:cstheme="majorBidi"/>
          <w:b/>
          <w:bCs/>
          <w:sz w:val="24"/>
          <w:szCs w:val="24"/>
        </w:rPr>
        <w:fldChar w:fldCharType="end"/>
      </w:r>
      <w:r w:rsidR="00EF7FC5" w:rsidRPr="00EF7FC5">
        <w:rPr>
          <w:rFonts w:asciiTheme="majorBidi" w:hAnsiTheme="majorBidi" w:cstheme="majorBidi"/>
          <w:b/>
          <w:bCs/>
          <w:sz w:val="24"/>
          <w:szCs w:val="24"/>
        </w:rPr>
        <w:t>- Répartition géographique des fonds d'investissement islamique</w:t>
      </w:r>
      <w:bookmarkEnd w:id="412"/>
    </w:p>
    <w:p w14:paraId="6C2FF701" w14:textId="77777777" w:rsidR="00530E5E" w:rsidRDefault="00530E5E" w:rsidP="00A2748E">
      <w:pPr>
        <w:keepNext/>
        <w:tabs>
          <w:tab w:val="left" w:pos="0"/>
        </w:tabs>
        <w:autoSpaceDE w:val="0"/>
        <w:autoSpaceDN w:val="0"/>
        <w:adjustRightInd w:val="0"/>
        <w:spacing w:before="120" w:line="300" w:lineRule="auto"/>
        <w:jc w:val="center"/>
        <w:rPr>
          <w:rFonts w:asciiTheme="majorBidi" w:hAnsiTheme="majorBidi" w:cstheme="majorBidi"/>
          <w:b/>
          <w:bCs/>
          <w:color w:val="000000"/>
          <w:sz w:val="24"/>
          <w:szCs w:val="24"/>
        </w:rPr>
      </w:pPr>
    </w:p>
    <w:p w14:paraId="593CE91E" w14:textId="77777777" w:rsidR="00A2748E" w:rsidRDefault="00A2748E" w:rsidP="00E667DE">
      <w:pPr>
        <w:keepNext/>
        <w:tabs>
          <w:tab w:val="left" w:pos="0"/>
        </w:tabs>
        <w:autoSpaceDE w:val="0"/>
        <w:autoSpaceDN w:val="0"/>
        <w:adjustRightInd w:val="0"/>
        <w:spacing w:before="120" w:line="300" w:lineRule="auto"/>
        <w:jc w:val="center"/>
        <w:rPr>
          <w:rFonts w:asciiTheme="majorBidi" w:hAnsiTheme="majorBidi" w:cstheme="majorBidi"/>
          <w:b/>
          <w:bCs/>
          <w:color w:val="000000"/>
          <w:sz w:val="24"/>
          <w:szCs w:val="24"/>
        </w:rPr>
      </w:pPr>
    </w:p>
    <w:p w14:paraId="73948A8E" w14:textId="77777777" w:rsidR="00E667DE" w:rsidRPr="00EF7FC5" w:rsidRDefault="00E667DE" w:rsidP="00E667DE">
      <w:pPr>
        <w:keepNext/>
        <w:tabs>
          <w:tab w:val="left" w:pos="0"/>
        </w:tabs>
        <w:autoSpaceDE w:val="0"/>
        <w:autoSpaceDN w:val="0"/>
        <w:adjustRightInd w:val="0"/>
        <w:spacing w:before="120" w:line="300" w:lineRule="auto"/>
        <w:jc w:val="center"/>
        <w:rPr>
          <w:rFonts w:asciiTheme="majorBidi" w:hAnsiTheme="majorBidi" w:cstheme="majorBidi"/>
          <w:b/>
          <w:bCs/>
          <w:color w:val="000000"/>
          <w:sz w:val="24"/>
          <w:szCs w:val="24"/>
        </w:rPr>
      </w:pPr>
    </w:p>
    <w:p w14:paraId="0723C326" w14:textId="77777777" w:rsidR="00530E5E" w:rsidRPr="002B005F" w:rsidRDefault="00530E5E" w:rsidP="00E667DE">
      <w:pPr>
        <w:keepNext/>
        <w:tabs>
          <w:tab w:val="left" w:pos="0"/>
        </w:tabs>
        <w:autoSpaceDE w:val="0"/>
        <w:autoSpaceDN w:val="0"/>
        <w:adjustRightInd w:val="0"/>
        <w:spacing w:before="120" w:line="300" w:lineRule="auto"/>
        <w:jc w:val="center"/>
        <w:rPr>
          <w:rFonts w:ascii="Times New Roman" w:hAnsi="Times New Roman" w:cs="Times New Roman"/>
          <w:color w:val="000000"/>
          <w:sz w:val="24"/>
          <w:szCs w:val="24"/>
        </w:rPr>
      </w:pPr>
    </w:p>
    <w:p w14:paraId="02023DEF" w14:textId="77777777" w:rsidR="00530E5E" w:rsidRPr="002B005F" w:rsidRDefault="00530E5E" w:rsidP="00E667DE">
      <w:pPr>
        <w:keepNext/>
        <w:tabs>
          <w:tab w:val="left" w:pos="0"/>
        </w:tabs>
        <w:autoSpaceDE w:val="0"/>
        <w:autoSpaceDN w:val="0"/>
        <w:adjustRightInd w:val="0"/>
        <w:spacing w:before="120" w:line="300" w:lineRule="auto"/>
        <w:jc w:val="center"/>
        <w:rPr>
          <w:rFonts w:ascii="Times New Roman" w:hAnsi="Times New Roman" w:cs="Times New Roman"/>
          <w:color w:val="000000"/>
          <w:sz w:val="24"/>
          <w:szCs w:val="24"/>
        </w:rPr>
      </w:pPr>
    </w:p>
    <w:p w14:paraId="2B0EA4FC" w14:textId="77777777" w:rsidR="00700AA6" w:rsidRDefault="00700AA6" w:rsidP="00E667DE">
      <w:pPr>
        <w:tabs>
          <w:tab w:val="left" w:pos="0"/>
        </w:tabs>
        <w:autoSpaceDE w:val="0"/>
        <w:autoSpaceDN w:val="0"/>
        <w:adjustRightInd w:val="0"/>
        <w:spacing w:before="120" w:line="300" w:lineRule="auto"/>
        <w:jc w:val="center"/>
        <w:rPr>
          <w:rFonts w:ascii="Times New Roman" w:hAnsi="Times New Roman" w:cs="Times New Roman"/>
          <w:sz w:val="24"/>
          <w:szCs w:val="24"/>
        </w:rPr>
      </w:pPr>
    </w:p>
    <w:p w14:paraId="6BDC2300" w14:textId="77777777" w:rsidR="00700AA6" w:rsidRDefault="00700AA6" w:rsidP="00E667DE">
      <w:pPr>
        <w:tabs>
          <w:tab w:val="left" w:pos="0"/>
        </w:tabs>
        <w:autoSpaceDE w:val="0"/>
        <w:autoSpaceDN w:val="0"/>
        <w:adjustRightInd w:val="0"/>
        <w:spacing w:before="120" w:line="300" w:lineRule="auto"/>
        <w:jc w:val="center"/>
        <w:rPr>
          <w:rFonts w:ascii="Times New Roman" w:hAnsi="Times New Roman" w:cs="Times New Roman"/>
          <w:sz w:val="24"/>
          <w:szCs w:val="24"/>
        </w:rPr>
      </w:pPr>
    </w:p>
    <w:p w14:paraId="7737A478" w14:textId="77777777" w:rsidR="00700AA6" w:rsidRDefault="00700AA6" w:rsidP="00E667DE">
      <w:pPr>
        <w:tabs>
          <w:tab w:val="left" w:pos="0"/>
        </w:tabs>
        <w:autoSpaceDE w:val="0"/>
        <w:autoSpaceDN w:val="0"/>
        <w:adjustRightInd w:val="0"/>
        <w:spacing w:before="120" w:line="300" w:lineRule="auto"/>
        <w:jc w:val="center"/>
        <w:rPr>
          <w:rFonts w:ascii="Times New Roman" w:hAnsi="Times New Roman" w:cs="Times New Roman"/>
          <w:sz w:val="24"/>
          <w:szCs w:val="24"/>
        </w:rPr>
      </w:pPr>
    </w:p>
    <w:p w14:paraId="2CAD77F8" w14:textId="77777777" w:rsidR="00700AA6" w:rsidRDefault="00700AA6" w:rsidP="00E667DE">
      <w:pPr>
        <w:tabs>
          <w:tab w:val="left" w:pos="0"/>
        </w:tabs>
        <w:autoSpaceDE w:val="0"/>
        <w:autoSpaceDN w:val="0"/>
        <w:adjustRightInd w:val="0"/>
        <w:spacing w:before="120" w:line="300" w:lineRule="auto"/>
        <w:jc w:val="center"/>
        <w:rPr>
          <w:rFonts w:ascii="Times New Roman" w:hAnsi="Times New Roman" w:cs="Times New Roman"/>
          <w:sz w:val="24"/>
          <w:szCs w:val="24"/>
        </w:rPr>
      </w:pPr>
    </w:p>
    <w:p w14:paraId="15E03FFC" w14:textId="77777777" w:rsidR="00700AA6" w:rsidRPr="00700AA6" w:rsidRDefault="00700AA6" w:rsidP="00E667DE">
      <w:pPr>
        <w:keepNext/>
        <w:tabs>
          <w:tab w:val="left" w:pos="0"/>
        </w:tabs>
        <w:spacing w:before="120" w:line="300" w:lineRule="auto"/>
        <w:jc w:val="center"/>
        <w:rPr>
          <w:rFonts w:ascii="Times New Roman" w:hAnsi="Times New Roman" w:cs="Times New Roman"/>
          <w:i/>
          <w:iCs/>
          <w:sz w:val="20"/>
          <w:szCs w:val="20"/>
        </w:rPr>
      </w:pPr>
      <w:r w:rsidRPr="002B005F">
        <w:rPr>
          <w:rFonts w:ascii="Times New Roman" w:hAnsi="Times New Roman" w:cs="Times New Roman"/>
          <w:sz w:val="20"/>
          <w:szCs w:val="20"/>
        </w:rPr>
        <w:t>Source : Failaka</w:t>
      </w:r>
      <w:r w:rsidRPr="002B005F">
        <w:rPr>
          <w:rFonts w:ascii="Times New Roman" w:hAnsi="Times New Roman" w:cs="Times New Roman"/>
          <w:smallCaps/>
          <w:sz w:val="20"/>
          <w:szCs w:val="20"/>
        </w:rPr>
        <w:t>,</w:t>
      </w:r>
      <w:r w:rsidRPr="002B005F">
        <w:rPr>
          <w:rFonts w:ascii="Times New Roman" w:hAnsi="Times New Roman" w:cs="Times New Roman"/>
          <w:sz w:val="20"/>
          <w:szCs w:val="20"/>
        </w:rPr>
        <w:t xml:space="preserve"> (2007), p.5.</w:t>
      </w:r>
    </w:p>
    <w:p w14:paraId="7704CF03" w14:textId="77777777" w:rsidR="00E667DE" w:rsidRDefault="00E667DE" w:rsidP="00E667DE">
      <w:pPr>
        <w:tabs>
          <w:tab w:val="left" w:pos="0"/>
        </w:tabs>
        <w:autoSpaceDE w:val="0"/>
        <w:autoSpaceDN w:val="0"/>
        <w:adjustRightInd w:val="0"/>
        <w:spacing w:line="300" w:lineRule="auto"/>
        <w:jc w:val="center"/>
        <w:rPr>
          <w:rFonts w:ascii="Times New Roman" w:hAnsi="Times New Roman" w:cs="Times New Roman"/>
          <w:spacing w:val="6"/>
          <w:sz w:val="24"/>
          <w:szCs w:val="24"/>
        </w:rPr>
      </w:pPr>
    </w:p>
    <w:p w14:paraId="570366AF" w14:textId="415BBA3F" w:rsidR="002760B2" w:rsidRPr="00E667DE" w:rsidRDefault="002760B2" w:rsidP="00F04B08">
      <w:pPr>
        <w:tabs>
          <w:tab w:val="left" w:pos="0"/>
        </w:tabs>
        <w:autoSpaceDE w:val="0"/>
        <w:autoSpaceDN w:val="0"/>
        <w:adjustRightInd w:val="0"/>
        <w:spacing w:before="100" w:beforeAutospacing="1" w:line="300" w:lineRule="auto"/>
        <w:ind w:firstLine="709"/>
        <w:rPr>
          <w:rFonts w:ascii="Times New Roman" w:hAnsi="Times New Roman" w:cs="Times New Roman"/>
          <w:kern w:val="24"/>
          <w:sz w:val="24"/>
          <w:szCs w:val="24"/>
        </w:rPr>
      </w:pPr>
      <w:r w:rsidRPr="00E667DE">
        <w:rPr>
          <w:rFonts w:ascii="Times New Roman" w:hAnsi="Times New Roman" w:cs="Times New Roman"/>
          <w:kern w:val="24"/>
          <w:sz w:val="24"/>
          <w:szCs w:val="24"/>
        </w:rPr>
        <w:t xml:space="preserve">Les fonds d’investissement </w:t>
      </w:r>
      <w:r w:rsidR="004A25A1" w:rsidRPr="00E667DE">
        <w:rPr>
          <w:rFonts w:ascii="Times New Roman" w:hAnsi="Times New Roman" w:cs="Times New Roman"/>
          <w:kern w:val="24"/>
          <w:sz w:val="24"/>
          <w:szCs w:val="24"/>
        </w:rPr>
        <w:t>i</w:t>
      </w:r>
      <w:r w:rsidR="003773C6" w:rsidRPr="00E667DE">
        <w:rPr>
          <w:rFonts w:ascii="Times New Roman" w:hAnsi="Times New Roman" w:cs="Times New Roman"/>
          <w:kern w:val="24"/>
          <w:sz w:val="24"/>
          <w:szCs w:val="24"/>
        </w:rPr>
        <w:t>slamique</w:t>
      </w:r>
      <w:r w:rsidRPr="00E667DE">
        <w:rPr>
          <w:rFonts w:ascii="Times New Roman" w:hAnsi="Times New Roman" w:cs="Times New Roman"/>
          <w:kern w:val="24"/>
          <w:sz w:val="24"/>
          <w:szCs w:val="24"/>
        </w:rPr>
        <w:t xml:space="preserve"> peuvent recourir à plusieurs instruments financiers conventionnels (conformes à la </w:t>
      </w:r>
      <w:r w:rsidR="001124FF" w:rsidRPr="00E667DE">
        <w:rPr>
          <w:rFonts w:asciiTheme="majorBidi" w:eastAsia="Times New Roman" w:hAnsiTheme="majorBidi" w:cstheme="majorBidi"/>
          <w:i/>
          <w:iCs/>
          <w:color w:val="000000" w:themeColor="text1"/>
          <w:kern w:val="24"/>
          <w:sz w:val="24"/>
          <w:szCs w:val="24"/>
          <w:lang w:eastAsia="fr-FR"/>
        </w:rPr>
        <w:t>Shariah</w:t>
      </w:r>
      <w:r w:rsidRPr="00E667DE">
        <w:rPr>
          <w:rFonts w:ascii="Times New Roman" w:hAnsi="Times New Roman" w:cs="Times New Roman"/>
          <w:kern w:val="24"/>
          <w:sz w:val="24"/>
          <w:szCs w:val="24"/>
        </w:rPr>
        <w:t xml:space="preserve"> tel</w:t>
      </w:r>
      <w:r w:rsidR="00CB6F92" w:rsidRPr="00E667DE">
        <w:rPr>
          <w:rFonts w:ascii="Times New Roman" w:hAnsi="Times New Roman" w:cs="Times New Roman"/>
          <w:kern w:val="24"/>
          <w:sz w:val="24"/>
          <w:szCs w:val="24"/>
        </w:rPr>
        <w:t>les</w:t>
      </w:r>
      <w:r w:rsidRPr="00E667DE">
        <w:rPr>
          <w:rFonts w:ascii="Times New Roman" w:hAnsi="Times New Roman" w:cs="Times New Roman"/>
          <w:kern w:val="24"/>
          <w:sz w:val="24"/>
          <w:szCs w:val="24"/>
        </w:rPr>
        <w:t xml:space="preserve"> les actions) et </w:t>
      </w:r>
      <w:r w:rsidR="004A25A1" w:rsidRPr="00E667DE">
        <w:rPr>
          <w:rFonts w:ascii="Times New Roman" w:hAnsi="Times New Roman" w:cs="Times New Roman"/>
          <w:kern w:val="24"/>
          <w:sz w:val="24"/>
          <w:szCs w:val="24"/>
        </w:rPr>
        <w:t>i</w:t>
      </w:r>
      <w:r w:rsidR="003773C6" w:rsidRPr="00E667DE">
        <w:rPr>
          <w:rFonts w:ascii="Times New Roman" w:hAnsi="Times New Roman" w:cs="Times New Roman"/>
          <w:kern w:val="24"/>
          <w:sz w:val="24"/>
          <w:szCs w:val="24"/>
        </w:rPr>
        <w:t>slamique</w:t>
      </w:r>
      <w:r w:rsidR="004A25A1" w:rsidRPr="00E667DE">
        <w:rPr>
          <w:rFonts w:ascii="Times New Roman" w:hAnsi="Times New Roman" w:cs="Times New Roman"/>
          <w:kern w:val="24"/>
          <w:sz w:val="24"/>
          <w:szCs w:val="24"/>
        </w:rPr>
        <w:t>s</w:t>
      </w:r>
      <w:r w:rsidRPr="00E667DE">
        <w:rPr>
          <w:rFonts w:ascii="Times New Roman" w:hAnsi="Times New Roman" w:cs="Times New Roman"/>
          <w:kern w:val="24"/>
          <w:sz w:val="24"/>
          <w:szCs w:val="24"/>
        </w:rPr>
        <w:t xml:space="preserve"> à l’instar des </w:t>
      </w:r>
      <w:r w:rsidR="007A11D7" w:rsidRPr="00E667DE">
        <w:rPr>
          <w:rFonts w:ascii="Times New Roman" w:hAnsi="Times New Roman" w:cs="Times New Roman"/>
          <w:i/>
          <w:kern w:val="24"/>
          <w:sz w:val="24"/>
          <w:szCs w:val="24"/>
        </w:rPr>
        <w:t>sukuk</w:t>
      </w:r>
      <w:r w:rsidRPr="00E667DE">
        <w:rPr>
          <w:rFonts w:ascii="Times New Roman" w:hAnsi="Times New Roman" w:cs="Times New Roman"/>
          <w:kern w:val="24"/>
          <w:sz w:val="24"/>
          <w:szCs w:val="24"/>
        </w:rPr>
        <w:t xml:space="preserve"> de la </w:t>
      </w:r>
      <w:r w:rsidR="004A4E16" w:rsidRPr="00E667DE">
        <w:rPr>
          <w:rFonts w:ascii="Times New Roman" w:hAnsi="Times New Roman" w:cs="Times New Roman"/>
          <w:i/>
          <w:kern w:val="24"/>
          <w:sz w:val="24"/>
          <w:szCs w:val="24"/>
        </w:rPr>
        <w:t>moudaraba</w:t>
      </w:r>
      <w:r w:rsidRPr="00E667DE">
        <w:rPr>
          <w:rFonts w:ascii="Times New Roman" w:hAnsi="Times New Roman" w:cs="Times New Roman"/>
          <w:kern w:val="24"/>
          <w:sz w:val="24"/>
          <w:szCs w:val="24"/>
        </w:rPr>
        <w:t xml:space="preserve">, de la </w:t>
      </w:r>
      <w:r w:rsidRPr="00E667DE">
        <w:rPr>
          <w:rFonts w:ascii="Times New Roman" w:hAnsi="Times New Roman" w:cs="Times New Roman"/>
          <w:i/>
          <w:iCs/>
          <w:kern w:val="24"/>
          <w:sz w:val="24"/>
          <w:szCs w:val="24"/>
        </w:rPr>
        <w:t>mourabaha</w:t>
      </w:r>
      <w:r w:rsidRPr="00E667DE">
        <w:rPr>
          <w:rFonts w:ascii="Times New Roman" w:hAnsi="Times New Roman" w:cs="Times New Roman"/>
          <w:kern w:val="24"/>
          <w:sz w:val="24"/>
          <w:szCs w:val="24"/>
        </w:rPr>
        <w:t xml:space="preserve">, etc. </w:t>
      </w:r>
      <w:r w:rsidRPr="00E667DE">
        <w:rPr>
          <w:rFonts w:ascii="Times New Roman" w:hAnsi="Times New Roman" w:cs="Times New Roman"/>
          <w:color w:val="000000"/>
          <w:kern w:val="24"/>
          <w:sz w:val="24"/>
          <w:szCs w:val="24"/>
        </w:rPr>
        <w:t xml:space="preserve">Parmi les différentes catégories des fonds d‘investissement </w:t>
      </w:r>
      <w:r w:rsidR="00505EDD" w:rsidRPr="00E667DE">
        <w:rPr>
          <w:rFonts w:ascii="Times New Roman" w:hAnsi="Times New Roman" w:cs="Times New Roman"/>
          <w:color w:val="000000"/>
          <w:kern w:val="24"/>
          <w:sz w:val="24"/>
          <w:szCs w:val="24"/>
        </w:rPr>
        <w:t>i</w:t>
      </w:r>
      <w:r w:rsidR="003773C6" w:rsidRPr="00E667DE">
        <w:rPr>
          <w:rFonts w:ascii="Times New Roman" w:hAnsi="Times New Roman" w:cs="Times New Roman"/>
          <w:color w:val="000000"/>
          <w:kern w:val="24"/>
          <w:sz w:val="24"/>
          <w:szCs w:val="24"/>
        </w:rPr>
        <w:t>slamique</w:t>
      </w:r>
      <w:r w:rsidRPr="00E667DE">
        <w:rPr>
          <w:rFonts w:ascii="Times New Roman" w:hAnsi="Times New Roman" w:cs="Times New Roman"/>
          <w:color w:val="000000"/>
          <w:kern w:val="24"/>
          <w:sz w:val="24"/>
          <w:szCs w:val="24"/>
        </w:rPr>
        <w:t xml:space="preserve">, </w:t>
      </w:r>
      <w:r w:rsidRPr="00E667DE">
        <w:rPr>
          <w:rFonts w:ascii="Times New Roman" w:hAnsi="Times New Roman" w:cs="Times New Roman"/>
          <w:smallCaps/>
          <w:color w:val="000000"/>
          <w:kern w:val="24"/>
          <w:sz w:val="24"/>
          <w:szCs w:val="24"/>
        </w:rPr>
        <w:t>Siagh</w:t>
      </w:r>
      <w:r w:rsidRPr="00E667DE">
        <w:rPr>
          <w:rFonts w:ascii="Times New Roman" w:hAnsi="Times New Roman" w:cs="Times New Roman"/>
          <w:color w:val="000000"/>
          <w:kern w:val="24"/>
          <w:sz w:val="24"/>
          <w:szCs w:val="24"/>
        </w:rPr>
        <w:t xml:space="preserve"> (2003)</w:t>
      </w:r>
      <w:r w:rsidRPr="00E667DE">
        <w:rPr>
          <w:rStyle w:val="Appelnotedebasdep"/>
          <w:rFonts w:ascii="Times New Roman" w:hAnsi="Times New Roman"/>
          <w:color w:val="000000"/>
          <w:kern w:val="24"/>
          <w:sz w:val="24"/>
          <w:szCs w:val="24"/>
        </w:rPr>
        <w:footnoteReference w:id="137"/>
      </w:r>
      <w:r w:rsidRPr="00E667DE">
        <w:rPr>
          <w:rFonts w:ascii="Times New Roman" w:hAnsi="Times New Roman" w:cs="Times New Roman"/>
          <w:color w:val="000000"/>
          <w:kern w:val="24"/>
          <w:sz w:val="24"/>
          <w:szCs w:val="24"/>
        </w:rPr>
        <w:t xml:space="preserve"> propose la classification suivante</w:t>
      </w:r>
      <w:r w:rsidR="00CB6F92" w:rsidRPr="00E667DE">
        <w:rPr>
          <w:rFonts w:ascii="Times New Roman" w:hAnsi="Times New Roman" w:cs="Times New Roman"/>
          <w:color w:val="000000"/>
          <w:kern w:val="24"/>
          <w:sz w:val="24"/>
          <w:szCs w:val="24"/>
        </w:rPr>
        <w:t> :</w:t>
      </w:r>
    </w:p>
    <w:p w14:paraId="388733FF" w14:textId="4085DD33" w:rsidR="002760B2" w:rsidRPr="00E667DE" w:rsidRDefault="007A11D7" w:rsidP="00CB0FF1">
      <w:pPr>
        <w:pStyle w:val="Paragraphedeliste"/>
        <w:numPr>
          <w:ilvl w:val="0"/>
          <w:numId w:val="8"/>
        </w:numPr>
        <w:tabs>
          <w:tab w:val="left" w:pos="284"/>
        </w:tabs>
        <w:autoSpaceDE w:val="0"/>
        <w:autoSpaceDN w:val="0"/>
        <w:adjustRightInd w:val="0"/>
        <w:spacing w:line="300" w:lineRule="auto"/>
        <w:ind w:left="1248" w:hanging="284"/>
        <w:contextualSpacing w:val="0"/>
        <w:rPr>
          <w:rFonts w:ascii="Times New Roman" w:hAnsi="Times New Roman" w:cs="Times New Roman"/>
          <w:kern w:val="24"/>
          <w:sz w:val="24"/>
          <w:szCs w:val="24"/>
        </w:rPr>
      </w:pPr>
      <w:r w:rsidRPr="00E667DE">
        <w:rPr>
          <w:rFonts w:ascii="Times New Roman" w:hAnsi="Times New Roman" w:cs="Times New Roman"/>
          <w:i/>
          <w:color w:val="000000"/>
          <w:kern w:val="24"/>
          <w:sz w:val="24"/>
          <w:szCs w:val="24"/>
        </w:rPr>
        <w:t>Equity Funds</w:t>
      </w:r>
      <w:r w:rsidRPr="00E667DE">
        <w:rPr>
          <w:rFonts w:ascii="Times New Roman" w:hAnsi="Times New Roman" w:cs="Times New Roman"/>
          <w:color w:val="000000"/>
          <w:kern w:val="24"/>
          <w:sz w:val="24"/>
          <w:szCs w:val="24"/>
        </w:rPr>
        <w:t> :</w:t>
      </w:r>
      <w:r w:rsidR="002760B2" w:rsidRPr="00E667DE">
        <w:rPr>
          <w:rFonts w:ascii="Times New Roman" w:hAnsi="Times New Roman" w:cs="Times New Roman"/>
          <w:color w:val="000000"/>
          <w:kern w:val="24"/>
          <w:sz w:val="24"/>
          <w:szCs w:val="24"/>
        </w:rPr>
        <w:t xml:space="preserve"> il s‘agit des fonds d‘investissement dans des actions cotées sur les</w:t>
      </w:r>
      <w:r w:rsidRPr="00E667DE">
        <w:rPr>
          <w:rFonts w:ascii="Times New Roman" w:hAnsi="Times New Roman" w:cs="Times New Roman"/>
          <w:color w:val="000000"/>
          <w:kern w:val="24"/>
          <w:sz w:val="24"/>
          <w:szCs w:val="24"/>
        </w:rPr>
        <w:t xml:space="preserve"> </w:t>
      </w:r>
      <w:r w:rsidR="002760B2" w:rsidRPr="00E667DE">
        <w:rPr>
          <w:rFonts w:ascii="Times New Roman" w:hAnsi="Times New Roman" w:cs="Times New Roman"/>
          <w:color w:val="000000"/>
          <w:kern w:val="24"/>
          <w:sz w:val="24"/>
          <w:szCs w:val="24"/>
        </w:rPr>
        <w:t xml:space="preserve">places financières et jugées conformes à la </w:t>
      </w:r>
      <w:r w:rsidR="001124FF" w:rsidRPr="00E667DE">
        <w:rPr>
          <w:rFonts w:asciiTheme="majorBidi" w:eastAsia="Times New Roman" w:hAnsiTheme="majorBidi" w:cstheme="majorBidi"/>
          <w:i/>
          <w:iCs/>
          <w:color w:val="000000" w:themeColor="text1"/>
          <w:kern w:val="24"/>
          <w:sz w:val="24"/>
          <w:szCs w:val="24"/>
          <w:lang w:eastAsia="fr-FR"/>
        </w:rPr>
        <w:t>Shariah</w:t>
      </w:r>
      <w:r w:rsidRPr="00E667DE">
        <w:rPr>
          <w:rFonts w:ascii="Times New Roman" w:hAnsi="Times New Roman" w:cs="Times New Roman"/>
          <w:i/>
          <w:color w:val="000000"/>
          <w:kern w:val="24"/>
          <w:sz w:val="24"/>
          <w:szCs w:val="24"/>
        </w:rPr>
        <w:t> </w:t>
      </w:r>
      <w:r w:rsidRPr="00E667DE">
        <w:rPr>
          <w:rFonts w:ascii="Times New Roman" w:hAnsi="Times New Roman" w:cs="Times New Roman"/>
          <w:color w:val="000000"/>
          <w:kern w:val="24"/>
          <w:sz w:val="24"/>
          <w:szCs w:val="24"/>
        </w:rPr>
        <w:t>;</w:t>
      </w:r>
    </w:p>
    <w:p w14:paraId="35E2911C" w14:textId="77777777" w:rsidR="002760B2" w:rsidRPr="00E667DE" w:rsidRDefault="002C67F4" w:rsidP="00CB0FF1">
      <w:pPr>
        <w:pStyle w:val="Paragraphedeliste"/>
        <w:numPr>
          <w:ilvl w:val="0"/>
          <w:numId w:val="8"/>
        </w:numPr>
        <w:tabs>
          <w:tab w:val="left" w:pos="284"/>
          <w:tab w:val="left" w:pos="993"/>
        </w:tabs>
        <w:autoSpaceDE w:val="0"/>
        <w:autoSpaceDN w:val="0"/>
        <w:adjustRightInd w:val="0"/>
        <w:spacing w:line="300" w:lineRule="auto"/>
        <w:ind w:left="1248" w:hanging="284"/>
        <w:contextualSpacing w:val="0"/>
        <w:rPr>
          <w:rFonts w:ascii="Times New Roman" w:hAnsi="Times New Roman" w:cs="Times New Roman"/>
          <w:color w:val="000000"/>
          <w:kern w:val="24"/>
          <w:sz w:val="24"/>
          <w:szCs w:val="24"/>
        </w:rPr>
      </w:pPr>
      <w:r w:rsidRPr="00E667DE">
        <w:rPr>
          <w:rFonts w:ascii="Times New Roman" w:hAnsi="Times New Roman" w:cs="Times New Roman"/>
          <w:i/>
          <w:color w:val="000000"/>
          <w:kern w:val="24"/>
          <w:sz w:val="24"/>
          <w:szCs w:val="24"/>
        </w:rPr>
        <w:t>Short Term Investment Funds</w:t>
      </w:r>
      <w:r w:rsidRPr="00E667DE">
        <w:rPr>
          <w:rFonts w:ascii="Times New Roman" w:hAnsi="Times New Roman" w:cs="Times New Roman"/>
          <w:color w:val="000000"/>
          <w:kern w:val="24"/>
          <w:sz w:val="24"/>
          <w:szCs w:val="24"/>
        </w:rPr>
        <w:t> :</w:t>
      </w:r>
      <w:r w:rsidR="002760B2" w:rsidRPr="00E667DE">
        <w:rPr>
          <w:rFonts w:ascii="Times New Roman" w:hAnsi="Times New Roman" w:cs="Times New Roman"/>
          <w:color w:val="000000"/>
          <w:kern w:val="24"/>
          <w:sz w:val="24"/>
          <w:szCs w:val="24"/>
        </w:rPr>
        <w:t xml:space="preserve"> ce sont les fonds qui investissent à court terme et qui financent des activités</w:t>
      </w:r>
      <w:r w:rsidR="007A11D7" w:rsidRPr="00E667DE">
        <w:rPr>
          <w:rFonts w:ascii="Times New Roman" w:hAnsi="Times New Roman" w:cs="Times New Roman"/>
          <w:color w:val="000000"/>
          <w:kern w:val="24"/>
          <w:sz w:val="24"/>
          <w:szCs w:val="24"/>
        </w:rPr>
        <w:t xml:space="preserve"> d‘investissement spécialisées ;</w:t>
      </w:r>
    </w:p>
    <w:p w14:paraId="4FE59FFC" w14:textId="77777777" w:rsidR="002760B2" w:rsidRPr="00E667DE" w:rsidRDefault="007A11D7" w:rsidP="00CB0FF1">
      <w:pPr>
        <w:pStyle w:val="Paragraphedeliste"/>
        <w:numPr>
          <w:ilvl w:val="0"/>
          <w:numId w:val="8"/>
        </w:numPr>
        <w:tabs>
          <w:tab w:val="left" w:pos="284"/>
        </w:tabs>
        <w:autoSpaceDE w:val="0"/>
        <w:autoSpaceDN w:val="0"/>
        <w:adjustRightInd w:val="0"/>
        <w:spacing w:line="300" w:lineRule="auto"/>
        <w:ind w:left="1248" w:hanging="284"/>
        <w:contextualSpacing w:val="0"/>
        <w:rPr>
          <w:rFonts w:ascii="Times New Roman" w:hAnsi="Times New Roman" w:cs="Times New Roman"/>
          <w:color w:val="000000"/>
          <w:kern w:val="24"/>
          <w:sz w:val="24"/>
          <w:szCs w:val="24"/>
        </w:rPr>
      </w:pPr>
      <w:r w:rsidRPr="00E667DE">
        <w:rPr>
          <w:rFonts w:ascii="Times New Roman" w:hAnsi="Times New Roman" w:cs="Times New Roman"/>
          <w:i/>
          <w:color w:val="000000"/>
          <w:kern w:val="24"/>
          <w:sz w:val="24"/>
          <w:szCs w:val="24"/>
        </w:rPr>
        <w:t>Leasing Funds</w:t>
      </w:r>
      <w:r w:rsidRPr="00E667DE">
        <w:rPr>
          <w:rFonts w:ascii="Times New Roman" w:hAnsi="Times New Roman" w:cs="Times New Roman"/>
          <w:color w:val="000000"/>
          <w:kern w:val="24"/>
          <w:sz w:val="24"/>
          <w:szCs w:val="24"/>
        </w:rPr>
        <w:t> :</w:t>
      </w:r>
      <w:r w:rsidR="002760B2" w:rsidRPr="00E667DE">
        <w:rPr>
          <w:rFonts w:ascii="Times New Roman" w:hAnsi="Times New Roman" w:cs="Times New Roman"/>
          <w:color w:val="000000"/>
          <w:kern w:val="24"/>
          <w:sz w:val="24"/>
          <w:szCs w:val="24"/>
        </w:rPr>
        <w:t xml:space="preserve"> les fonds propo</w:t>
      </w:r>
      <w:r w:rsidRPr="00E667DE">
        <w:rPr>
          <w:rFonts w:ascii="Times New Roman" w:hAnsi="Times New Roman" w:cs="Times New Roman"/>
          <w:color w:val="000000"/>
          <w:kern w:val="24"/>
          <w:sz w:val="24"/>
          <w:szCs w:val="24"/>
        </w:rPr>
        <w:t>sant divers actifs en location ;</w:t>
      </w:r>
    </w:p>
    <w:p w14:paraId="373764F5" w14:textId="28EACA14" w:rsidR="002760B2" w:rsidRPr="00E667DE" w:rsidRDefault="007A11D7" w:rsidP="00CB0FF1">
      <w:pPr>
        <w:pStyle w:val="Paragraphedeliste"/>
        <w:numPr>
          <w:ilvl w:val="0"/>
          <w:numId w:val="8"/>
        </w:numPr>
        <w:tabs>
          <w:tab w:val="left" w:pos="284"/>
          <w:tab w:val="left" w:pos="993"/>
        </w:tabs>
        <w:autoSpaceDE w:val="0"/>
        <w:autoSpaceDN w:val="0"/>
        <w:adjustRightInd w:val="0"/>
        <w:spacing w:line="300" w:lineRule="auto"/>
        <w:ind w:left="1248" w:hanging="284"/>
        <w:contextualSpacing w:val="0"/>
        <w:rPr>
          <w:rFonts w:ascii="Times New Roman" w:hAnsi="Times New Roman" w:cs="Times New Roman"/>
          <w:color w:val="000000"/>
          <w:kern w:val="24"/>
          <w:sz w:val="24"/>
          <w:szCs w:val="24"/>
        </w:rPr>
      </w:pPr>
      <w:r w:rsidRPr="00E667DE">
        <w:rPr>
          <w:rFonts w:ascii="Times New Roman" w:hAnsi="Times New Roman" w:cs="Times New Roman"/>
          <w:i/>
          <w:color w:val="000000"/>
          <w:kern w:val="24"/>
          <w:sz w:val="24"/>
          <w:szCs w:val="24"/>
        </w:rPr>
        <w:t>Real Estate Funds</w:t>
      </w:r>
      <w:r w:rsidRPr="00E667DE">
        <w:rPr>
          <w:rFonts w:ascii="Times New Roman" w:hAnsi="Times New Roman" w:cs="Times New Roman"/>
          <w:color w:val="000000"/>
          <w:kern w:val="24"/>
          <w:sz w:val="24"/>
          <w:szCs w:val="24"/>
        </w:rPr>
        <w:t> :</w:t>
      </w:r>
      <w:r w:rsidR="002760B2" w:rsidRPr="00E667DE">
        <w:rPr>
          <w:rFonts w:ascii="Times New Roman" w:hAnsi="Times New Roman" w:cs="Times New Roman"/>
          <w:color w:val="000000"/>
          <w:kern w:val="24"/>
          <w:sz w:val="24"/>
          <w:szCs w:val="24"/>
        </w:rPr>
        <w:t xml:space="preserve"> ce sont des fonds immobiliers qui s‘intéressent aux propriétés</w:t>
      </w:r>
      <w:r w:rsidR="004B52F5" w:rsidRPr="00E667DE">
        <w:rPr>
          <w:rFonts w:ascii="Times New Roman" w:hAnsi="Times New Roman" w:cs="Times New Roman"/>
          <w:color w:val="000000"/>
          <w:kern w:val="24"/>
          <w:sz w:val="24"/>
          <w:szCs w:val="24"/>
        </w:rPr>
        <w:t xml:space="preserve"> </w:t>
      </w:r>
      <w:r w:rsidR="002760B2" w:rsidRPr="00E667DE">
        <w:rPr>
          <w:rFonts w:ascii="Times New Roman" w:hAnsi="Times New Roman" w:cs="Times New Roman"/>
          <w:color w:val="000000"/>
          <w:kern w:val="24"/>
          <w:sz w:val="24"/>
          <w:szCs w:val="24"/>
        </w:rPr>
        <w:t>générant des revenus stables et nécessite</w:t>
      </w:r>
      <w:r w:rsidRPr="00E667DE">
        <w:rPr>
          <w:rFonts w:ascii="Times New Roman" w:hAnsi="Times New Roman" w:cs="Times New Roman"/>
          <w:color w:val="000000"/>
          <w:kern w:val="24"/>
          <w:sz w:val="24"/>
          <w:szCs w:val="24"/>
        </w:rPr>
        <w:t>nt un investissement important ;</w:t>
      </w:r>
    </w:p>
    <w:p w14:paraId="6328DFBF" w14:textId="77777777" w:rsidR="002760B2" w:rsidRPr="00E667DE" w:rsidRDefault="007A11D7" w:rsidP="00CB0FF1">
      <w:pPr>
        <w:pStyle w:val="Paragraphedeliste"/>
        <w:numPr>
          <w:ilvl w:val="0"/>
          <w:numId w:val="9"/>
        </w:numPr>
        <w:tabs>
          <w:tab w:val="left" w:pos="284"/>
          <w:tab w:val="left" w:pos="993"/>
        </w:tabs>
        <w:autoSpaceDE w:val="0"/>
        <w:autoSpaceDN w:val="0"/>
        <w:adjustRightInd w:val="0"/>
        <w:spacing w:line="300" w:lineRule="auto"/>
        <w:ind w:left="1248" w:hanging="284"/>
        <w:contextualSpacing w:val="0"/>
        <w:rPr>
          <w:rFonts w:ascii="Times New Roman" w:hAnsi="Times New Roman" w:cs="Times New Roman"/>
          <w:color w:val="000000"/>
          <w:kern w:val="24"/>
          <w:sz w:val="24"/>
          <w:szCs w:val="24"/>
        </w:rPr>
      </w:pPr>
      <w:r w:rsidRPr="00E667DE">
        <w:rPr>
          <w:rFonts w:ascii="Times New Roman" w:hAnsi="Times New Roman" w:cs="Times New Roman"/>
          <w:i/>
          <w:color w:val="000000"/>
          <w:kern w:val="24"/>
          <w:sz w:val="24"/>
          <w:szCs w:val="24"/>
        </w:rPr>
        <w:t>Commodity Funds</w:t>
      </w:r>
      <w:r w:rsidRPr="00E667DE">
        <w:rPr>
          <w:rFonts w:ascii="Times New Roman" w:hAnsi="Times New Roman" w:cs="Times New Roman"/>
          <w:color w:val="000000"/>
          <w:kern w:val="24"/>
          <w:sz w:val="24"/>
          <w:szCs w:val="24"/>
        </w:rPr>
        <w:t> :</w:t>
      </w:r>
      <w:r w:rsidR="002760B2" w:rsidRPr="00E667DE">
        <w:rPr>
          <w:rFonts w:ascii="Times New Roman" w:hAnsi="Times New Roman" w:cs="Times New Roman"/>
          <w:color w:val="000000"/>
          <w:kern w:val="24"/>
          <w:sz w:val="24"/>
          <w:szCs w:val="24"/>
        </w:rPr>
        <w:t xml:space="preserve"> ce sont des fonds qui se caractérisent par une prise de risque </w:t>
      </w:r>
      <w:r w:rsidR="002C67F4" w:rsidRPr="00E667DE">
        <w:rPr>
          <w:rFonts w:ascii="Times New Roman" w:hAnsi="Times New Roman" w:cs="Times New Roman"/>
          <w:color w:val="000000"/>
          <w:kern w:val="24"/>
          <w:sz w:val="24"/>
          <w:szCs w:val="24"/>
        </w:rPr>
        <w:t>réelle sur</w:t>
      </w:r>
      <w:r w:rsidRPr="00E667DE">
        <w:rPr>
          <w:rFonts w:ascii="Times New Roman" w:hAnsi="Times New Roman" w:cs="Times New Roman"/>
          <w:color w:val="000000"/>
          <w:kern w:val="24"/>
          <w:sz w:val="24"/>
          <w:szCs w:val="24"/>
        </w:rPr>
        <w:t xml:space="preserve"> les matières premières ;</w:t>
      </w:r>
    </w:p>
    <w:p w14:paraId="321C8CF0" w14:textId="702747E7" w:rsidR="002760B2" w:rsidRPr="00E667DE" w:rsidRDefault="002760B2" w:rsidP="00CB0FF1">
      <w:pPr>
        <w:pStyle w:val="Paragraphedeliste"/>
        <w:numPr>
          <w:ilvl w:val="0"/>
          <w:numId w:val="9"/>
        </w:numPr>
        <w:tabs>
          <w:tab w:val="left" w:pos="284"/>
          <w:tab w:val="left" w:pos="993"/>
        </w:tabs>
        <w:autoSpaceDE w:val="0"/>
        <w:autoSpaceDN w:val="0"/>
        <w:adjustRightInd w:val="0"/>
        <w:spacing w:line="300" w:lineRule="auto"/>
        <w:ind w:left="1248" w:hanging="284"/>
        <w:contextualSpacing w:val="0"/>
        <w:rPr>
          <w:rFonts w:ascii="Times New Roman" w:hAnsi="Times New Roman" w:cs="Times New Roman"/>
          <w:color w:val="000000"/>
          <w:kern w:val="24"/>
          <w:sz w:val="24"/>
          <w:szCs w:val="24"/>
        </w:rPr>
      </w:pPr>
      <w:r w:rsidRPr="00E667DE">
        <w:rPr>
          <w:rFonts w:ascii="Times New Roman" w:hAnsi="Times New Roman" w:cs="Times New Roman"/>
          <w:i/>
          <w:color w:val="000000"/>
          <w:kern w:val="24"/>
          <w:sz w:val="24"/>
          <w:szCs w:val="24"/>
        </w:rPr>
        <w:t>Private Equity</w:t>
      </w:r>
      <w:r w:rsidR="007A11D7" w:rsidRPr="00E667DE">
        <w:rPr>
          <w:rFonts w:ascii="Times New Roman" w:hAnsi="Times New Roman" w:cs="Times New Roman"/>
          <w:i/>
          <w:color w:val="000000"/>
          <w:kern w:val="24"/>
          <w:sz w:val="24"/>
          <w:szCs w:val="24"/>
        </w:rPr>
        <w:t xml:space="preserve"> Funds</w:t>
      </w:r>
      <w:r w:rsidR="007A11D7" w:rsidRPr="00E667DE">
        <w:rPr>
          <w:rFonts w:ascii="Times New Roman" w:hAnsi="Times New Roman" w:cs="Times New Roman"/>
          <w:color w:val="000000"/>
          <w:kern w:val="24"/>
          <w:sz w:val="24"/>
          <w:szCs w:val="24"/>
        </w:rPr>
        <w:t> :</w:t>
      </w:r>
      <w:r w:rsidRPr="00E667DE">
        <w:rPr>
          <w:rFonts w:ascii="Times New Roman" w:hAnsi="Times New Roman" w:cs="Times New Roman"/>
          <w:color w:val="000000"/>
          <w:kern w:val="24"/>
          <w:sz w:val="24"/>
          <w:szCs w:val="24"/>
        </w:rPr>
        <w:t xml:space="preserve"> ils s‘intéressent aux sociétés non cotées conformes à la </w:t>
      </w:r>
      <w:r w:rsidR="001124FF" w:rsidRPr="00E667DE">
        <w:rPr>
          <w:rFonts w:asciiTheme="majorBidi" w:eastAsia="Times New Roman" w:hAnsiTheme="majorBidi" w:cstheme="majorBidi"/>
          <w:i/>
          <w:iCs/>
          <w:color w:val="000000" w:themeColor="text1"/>
          <w:kern w:val="24"/>
          <w:sz w:val="24"/>
          <w:szCs w:val="24"/>
          <w:lang w:eastAsia="fr-FR"/>
        </w:rPr>
        <w:t>Shariah</w:t>
      </w:r>
      <w:r w:rsidRPr="00E667DE">
        <w:rPr>
          <w:rFonts w:ascii="Times New Roman" w:hAnsi="Times New Roman" w:cs="Times New Roman"/>
          <w:color w:val="000000"/>
          <w:kern w:val="24"/>
          <w:sz w:val="24"/>
          <w:szCs w:val="24"/>
        </w:rPr>
        <w:t xml:space="preserve"> </w:t>
      </w:r>
      <w:r w:rsidR="006775FA">
        <w:rPr>
          <w:rFonts w:ascii="Times New Roman" w:hAnsi="Times New Roman" w:cs="Times New Roman"/>
          <w:color w:val="000000"/>
          <w:kern w:val="24"/>
          <w:sz w:val="24"/>
          <w:szCs w:val="24"/>
        </w:rPr>
        <w:t>avec</w:t>
      </w:r>
      <w:r w:rsidRPr="00E667DE">
        <w:rPr>
          <w:rFonts w:ascii="Times New Roman" w:hAnsi="Times New Roman" w:cs="Times New Roman"/>
          <w:color w:val="000000"/>
          <w:kern w:val="24"/>
          <w:sz w:val="24"/>
          <w:szCs w:val="24"/>
        </w:rPr>
        <w:t xml:space="preserve"> des potentialités de croissance importantes.</w:t>
      </w:r>
    </w:p>
    <w:p w14:paraId="0C5791E8" w14:textId="77777777" w:rsidR="00DA1BFB" w:rsidRPr="00E667DE" w:rsidRDefault="002760B2" w:rsidP="00F04B08">
      <w:pPr>
        <w:tabs>
          <w:tab w:val="left" w:pos="0"/>
        </w:tabs>
        <w:autoSpaceDE w:val="0"/>
        <w:autoSpaceDN w:val="0"/>
        <w:adjustRightInd w:val="0"/>
        <w:spacing w:before="120" w:after="100" w:afterAutospacing="1" w:line="300" w:lineRule="auto"/>
        <w:ind w:firstLine="709"/>
        <w:rPr>
          <w:rFonts w:ascii="Times New Roman" w:hAnsi="Times New Roman" w:cs="Times New Roman"/>
          <w:color w:val="000000"/>
          <w:kern w:val="24"/>
          <w:sz w:val="24"/>
          <w:szCs w:val="24"/>
        </w:rPr>
      </w:pPr>
      <w:r w:rsidRPr="00E667DE">
        <w:rPr>
          <w:rFonts w:ascii="Times New Roman" w:hAnsi="Times New Roman" w:cs="Times New Roman"/>
          <w:color w:val="000000"/>
          <w:kern w:val="24"/>
          <w:sz w:val="24"/>
          <w:szCs w:val="24"/>
        </w:rPr>
        <w:t>Le point commun entre ces différents fonds d‘investissement est qu‘ils sont à capital n</w:t>
      </w:r>
      <w:r w:rsidR="002E0CB6" w:rsidRPr="00E667DE">
        <w:rPr>
          <w:rFonts w:ascii="Times New Roman" w:hAnsi="Times New Roman" w:cs="Times New Roman"/>
          <w:color w:val="000000"/>
          <w:kern w:val="24"/>
          <w:sz w:val="24"/>
          <w:szCs w:val="24"/>
        </w:rPr>
        <w:t>on garanti</w:t>
      </w:r>
      <w:r w:rsidR="00CD492E" w:rsidRPr="00E667DE">
        <w:rPr>
          <w:rFonts w:ascii="Times New Roman" w:hAnsi="Times New Roman" w:cs="Times New Roman"/>
          <w:color w:val="000000"/>
          <w:kern w:val="24"/>
          <w:sz w:val="24"/>
          <w:szCs w:val="24"/>
        </w:rPr>
        <w:t>.</w:t>
      </w:r>
      <w:r w:rsidRPr="00E667DE">
        <w:rPr>
          <w:rFonts w:ascii="Times New Roman" w:hAnsi="Times New Roman" w:cs="Times New Roman"/>
          <w:color w:val="000000"/>
          <w:kern w:val="24"/>
          <w:sz w:val="24"/>
          <w:szCs w:val="24"/>
        </w:rPr>
        <w:t xml:space="preserve"> </w:t>
      </w:r>
      <w:r w:rsidR="00CD492E" w:rsidRPr="00E667DE">
        <w:rPr>
          <w:rFonts w:ascii="Times New Roman" w:hAnsi="Times New Roman" w:cs="Times New Roman"/>
          <w:color w:val="000000"/>
          <w:kern w:val="24"/>
          <w:sz w:val="24"/>
          <w:szCs w:val="24"/>
        </w:rPr>
        <w:t>Leur</w:t>
      </w:r>
      <w:r w:rsidRPr="00E667DE">
        <w:rPr>
          <w:rFonts w:ascii="Times New Roman" w:hAnsi="Times New Roman" w:cs="Times New Roman"/>
          <w:color w:val="000000"/>
          <w:kern w:val="24"/>
          <w:sz w:val="24"/>
          <w:szCs w:val="24"/>
        </w:rPr>
        <w:t xml:space="preserve"> niveau de rentabilité dépend directement des bénéfices et des pertes qu‘ils réalisent et qui seront partagés entre les différents investisseurs participant dans le fonds.</w:t>
      </w:r>
    </w:p>
    <w:p w14:paraId="16852609" w14:textId="77777777" w:rsidR="002760B2" w:rsidRPr="00926280" w:rsidRDefault="0084135F" w:rsidP="00926280">
      <w:pPr>
        <w:pStyle w:val="Titre3"/>
        <w:spacing w:before="100" w:beforeAutospacing="1" w:line="300" w:lineRule="auto"/>
        <w:ind w:firstLine="709"/>
        <w:rPr>
          <w:kern w:val="24"/>
          <w:sz w:val="28"/>
          <w:szCs w:val="28"/>
        </w:rPr>
      </w:pPr>
      <w:bookmarkStart w:id="413" w:name="_Toc33263246"/>
      <w:bookmarkStart w:id="414" w:name="_Toc37664498"/>
      <w:bookmarkStart w:id="415" w:name="_Toc37666343"/>
      <w:bookmarkStart w:id="416" w:name="_Toc54363232"/>
      <w:bookmarkStart w:id="417" w:name="_Toc58606248"/>
      <w:bookmarkStart w:id="418" w:name="_Toc61263453"/>
      <w:bookmarkStart w:id="419" w:name="_Toc182298666"/>
      <w:r w:rsidRPr="00926280">
        <w:rPr>
          <w:kern w:val="24"/>
          <w:sz w:val="28"/>
          <w:szCs w:val="28"/>
        </w:rPr>
        <w:lastRenderedPageBreak/>
        <w:t>2.</w:t>
      </w:r>
      <w:r w:rsidR="00CB18E6" w:rsidRPr="00926280">
        <w:rPr>
          <w:kern w:val="24"/>
          <w:sz w:val="28"/>
          <w:szCs w:val="28"/>
        </w:rPr>
        <w:t>5</w:t>
      </w:r>
      <w:r w:rsidRPr="00926280">
        <w:rPr>
          <w:kern w:val="24"/>
          <w:sz w:val="28"/>
          <w:szCs w:val="28"/>
        </w:rPr>
        <w:t xml:space="preserve">- </w:t>
      </w:r>
      <w:r w:rsidR="00920496" w:rsidRPr="00926280">
        <w:rPr>
          <w:kern w:val="24"/>
          <w:sz w:val="28"/>
          <w:szCs w:val="28"/>
        </w:rPr>
        <w:t>I</w:t>
      </w:r>
      <w:r w:rsidR="002760B2" w:rsidRPr="00926280">
        <w:rPr>
          <w:kern w:val="24"/>
          <w:sz w:val="28"/>
          <w:szCs w:val="28"/>
        </w:rPr>
        <w:t>nstruments faisant débat</w:t>
      </w:r>
      <w:bookmarkEnd w:id="413"/>
      <w:bookmarkEnd w:id="414"/>
      <w:bookmarkEnd w:id="415"/>
      <w:bookmarkEnd w:id="416"/>
      <w:bookmarkEnd w:id="417"/>
      <w:bookmarkEnd w:id="418"/>
      <w:bookmarkEnd w:id="419"/>
    </w:p>
    <w:p w14:paraId="0D10D5F4" w14:textId="192D5C8B" w:rsidR="002760B2" w:rsidRPr="00926280" w:rsidRDefault="002760B2" w:rsidP="00926280">
      <w:pPr>
        <w:keepNext/>
        <w:keepLines/>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926280">
        <w:rPr>
          <w:rFonts w:ascii="Times New Roman" w:hAnsi="Times New Roman" w:cs="Times New Roman"/>
          <w:kern w:val="24"/>
          <w:sz w:val="24"/>
          <w:szCs w:val="24"/>
        </w:rPr>
        <w:t>Il existe d’autres types d’instruments et d’opérat</w:t>
      </w:r>
      <w:r w:rsidR="004A25A1" w:rsidRPr="00926280">
        <w:rPr>
          <w:rFonts w:ascii="Times New Roman" w:hAnsi="Times New Roman" w:cs="Times New Roman"/>
          <w:kern w:val="24"/>
          <w:sz w:val="24"/>
          <w:szCs w:val="24"/>
        </w:rPr>
        <w:t>ions en cours de débat</w:t>
      </w:r>
      <w:r w:rsidRPr="00926280">
        <w:rPr>
          <w:rFonts w:ascii="Times New Roman" w:hAnsi="Times New Roman" w:cs="Times New Roman"/>
          <w:kern w:val="24"/>
          <w:sz w:val="24"/>
          <w:szCs w:val="24"/>
        </w:rPr>
        <w:t xml:space="preserve"> entre les jurisconsultes musulmans et les spécialistes de la finance </w:t>
      </w:r>
      <w:r w:rsidR="004A25A1" w:rsidRPr="00926280">
        <w:rPr>
          <w:rFonts w:ascii="Times New Roman" w:hAnsi="Times New Roman" w:cs="Times New Roman"/>
          <w:kern w:val="24"/>
          <w:sz w:val="24"/>
          <w:szCs w:val="24"/>
        </w:rPr>
        <w:t>i</w:t>
      </w:r>
      <w:r w:rsidR="003773C6" w:rsidRPr="00926280">
        <w:rPr>
          <w:rFonts w:ascii="Times New Roman" w:hAnsi="Times New Roman" w:cs="Times New Roman"/>
          <w:kern w:val="24"/>
          <w:sz w:val="24"/>
          <w:szCs w:val="24"/>
        </w:rPr>
        <w:t>slamique</w:t>
      </w:r>
      <w:r w:rsidRPr="00926280">
        <w:rPr>
          <w:rFonts w:ascii="Times New Roman" w:hAnsi="Times New Roman" w:cs="Times New Roman"/>
          <w:kern w:val="24"/>
          <w:sz w:val="24"/>
          <w:szCs w:val="24"/>
        </w:rPr>
        <w:t xml:space="preserve"> quant à leur </w:t>
      </w:r>
      <w:r w:rsidR="004A25A1" w:rsidRPr="00926280">
        <w:rPr>
          <w:rFonts w:ascii="Times New Roman" w:hAnsi="Times New Roman" w:cs="Times New Roman"/>
          <w:kern w:val="24"/>
          <w:sz w:val="24"/>
          <w:szCs w:val="24"/>
        </w:rPr>
        <w:t>compatibilité avec</w:t>
      </w:r>
      <w:r w:rsidRPr="00926280">
        <w:rPr>
          <w:rFonts w:ascii="Times New Roman" w:hAnsi="Times New Roman" w:cs="Times New Roman"/>
          <w:kern w:val="24"/>
          <w:sz w:val="24"/>
          <w:szCs w:val="24"/>
        </w:rPr>
        <w:t xml:space="preserve"> la </w:t>
      </w:r>
      <w:r w:rsidR="001124FF" w:rsidRPr="00926280">
        <w:rPr>
          <w:rFonts w:asciiTheme="majorBidi" w:eastAsia="Times New Roman" w:hAnsiTheme="majorBidi" w:cstheme="majorBidi"/>
          <w:i/>
          <w:iCs/>
          <w:color w:val="000000" w:themeColor="text1"/>
          <w:kern w:val="24"/>
          <w:sz w:val="24"/>
          <w:szCs w:val="24"/>
          <w:lang w:eastAsia="fr-FR"/>
        </w:rPr>
        <w:t>Shariah</w:t>
      </w:r>
      <w:r w:rsidR="0067429C" w:rsidRPr="00926280">
        <w:rPr>
          <w:rFonts w:ascii="Times New Roman" w:hAnsi="Times New Roman" w:cs="Times New Roman"/>
          <w:kern w:val="24"/>
          <w:sz w:val="24"/>
          <w:szCs w:val="24"/>
        </w:rPr>
        <w:t>.</w:t>
      </w:r>
      <w:r w:rsidR="00926280" w:rsidRPr="00926280">
        <w:rPr>
          <w:rFonts w:ascii="Times New Roman" w:hAnsi="Times New Roman" w:cs="Times New Roman"/>
          <w:kern w:val="24"/>
          <w:sz w:val="24"/>
          <w:szCs w:val="24"/>
        </w:rPr>
        <w:t xml:space="preserve"> Nous tentons dans ce paragraphe à rendre compte.</w:t>
      </w:r>
    </w:p>
    <w:p w14:paraId="59ECAB56" w14:textId="77777777" w:rsidR="002760B2" w:rsidRPr="00926280" w:rsidRDefault="008E19DA" w:rsidP="00A2748E">
      <w:pPr>
        <w:pStyle w:val="Titre4"/>
        <w:keepNext w:val="0"/>
        <w:spacing w:before="100" w:beforeAutospacing="1" w:after="0" w:line="300" w:lineRule="auto"/>
        <w:ind w:firstLine="709"/>
        <w:rPr>
          <w:kern w:val="24"/>
        </w:rPr>
      </w:pPr>
      <w:bookmarkStart w:id="420" w:name="_Toc33263247"/>
      <w:bookmarkStart w:id="421" w:name="_Toc37664499"/>
      <w:bookmarkStart w:id="422" w:name="_Toc37666344"/>
      <w:bookmarkStart w:id="423" w:name="_Toc54363233"/>
      <w:bookmarkStart w:id="424" w:name="_Toc58606249"/>
      <w:bookmarkStart w:id="425" w:name="_Toc61263454"/>
      <w:bookmarkStart w:id="426" w:name="_Toc182298667"/>
      <w:r w:rsidRPr="00926280">
        <w:rPr>
          <w:kern w:val="24"/>
        </w:rPr>
        <w:t>2.</w:t>
      </w:r>
      <w:r w:rsidR="00CB18E6" w:rsidRPr="00926280">
        <w:rPr>
          <w:kern w:val="24"/>
        </w:rPr>
        <w:t>5</w:t>
      </w:r>
      <w:r w:rsidRPr="00926280">
        <w:rPr>
          <w:kern w:val="24"/>
        </w:rPr>
        <w:t xml:space="preserve">.1- </w:t>
      </w:r>
      <w:r w:rsidR="00920496" w:rsidRPr="00926280">
        <w:rPr>
          <w:kern w:val="24"/>
        </w:rPr>
        <w:t>P</w:t>
      </w:r>
      <w:r w:rsidR="002760B2" w:rsidRPr="00926280">
        <w:rPr>
          <w:kern w:val="24"/>
        </w:rPr>
        <w:t>roduits dérivés</w:t>
      </w:r>
      <w:bookmarkEnd w:id="420"/>
      <w:bookmarkEnd w:id="421"/>
      <w:bookmarkEnd w:id="422"/>
      <w:bookmarkEnd w:id="423"/>
      <w:bookmarkEnd w:id="424"/>
      <w:bookmarkEnd w:id="425"/>
      <w:bookmarkEnd w:id="426"/>
    </w:p>
    <w:p w14:paraId="6775D6D6" w14:textId="77777777" w:rsidR="002760B2" w:rsidRPr="00926280" w:rsidRDefault="002760B2" w:rsidP="00A2748E">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926280">
        <w:rPr>
          <w:rFonts w:ascii="Times New Roman" w:hAnsi="Times New Roman" w:cs="Times New Roman"/>
          <w:kern w:val="24"/>
          <w:sz w:val="24"/>
          <w:szCs w:val="24"/>
        </w:rPr>
        <w:t xml:space="preserve">Suite à la non-unanimité entre les jurisconsultes </w:t>
      </w:r>
      <w:r w:rsidR="004A25A1" w:rsidRPr="00926280">
        <w:rPr>
          <w:rFonts w:ascii="Times New Roman" w:hAnsi="Times New Roman" w:cs="Times New Roman"/>
          <w:kern w:val="24"/>
          <w:sz w:val="24"/>
          <w:szCs w:val="24"/>
        </w:rPr>
        <w:t>i</w:t>
      </w:r>
      <w:r w:rsidR="003773C6" w:rsidRPr="00926280">
        <w:rPr>
          <w:rFonts w:ascii="Times New Roman" w:hAnsi="Times New Roman" w:cs="Times New Roman"/>
          <w:kern w:val="24"/>
          <w:sz w:val="24"/>
          <w:szCs w:val="24"/>
        </w:rPr>
        <w:t>slamique</w:t>
      </w:r>
      <w:r w:rsidRPr="00926280">
        <w:rPr>
          <w:rFonts w:ascii="Times New Roman" w:hAnsi="Times New Roman" w:cs="Times New Roman"/>
          <w:kern w:val="24"/>
          <w:sz w:val="24"/>
          <w:szCs w:val="24"/>
        </w:rPr>
        <w:t>s concernant le recours aux produ</w:t>
      </w:r>
      <w:r w:rsidR="004A25A1" w:rsidRPr="00926280">
        <w:rPr>
          <w:rFonts w:ascii="Times New Roman" w:hAnsi="Times New Roman" w:cs="Times New Roman"/>
          <w:kern w:val="24"/>
          <w:sz w:val="24"/>
          <w:szCs w:val="24"/>
        </w:rPr>
        <w:t>its dérivés,</w:t>
      </w:r>
      <w:r w:rsidR="0067429C" w:rsidRPr="00926280">
        <w:rPr>
          <w:rFonts w:ascii="Times New Roman" w:hAnsi="Times New Roman" w:cs="Times New Roman"/>
          <w:kern w:val="24"/>
          <w:sz w:val="24"/>
          <w:szCs w:val="24"/>
        </w:rPr>
        <w:t xml:space="preserve"> avec l’aide d’</w:t>
      </w:r>
      <w:r w:rsidR="0067429C" w:rsidRPr="00926280">
        <w:rPr>
          <w:rFonts w:ascii="Times New Roman" w:hAnsi="Times New Roman" w:cs="Times New Roman"/>
          <w:kern w:val="24"/>
          <w:sz w:val="20"/>
          <w:szCs w:val="20"/>
        </w:rPr>
        <w:t>“</w:t>
      </w:r>
      <w:r w:rsidRPr="00926280">
        <w:rPr>
          <w:rFonts w:ascii="Times New Roman" w:hAnsi="Times New Roman" w:cs="Times New Roman"/>
          <w:i/>
          <w:kern w:val="24"/>
          <w:sz w:val="24"/>
          <w:szCs w:val="24"/>
        </w:rPr>
        <w:t xml:space="preserve">International </w:t>
      </w:r>
      <w:r w:rsidR="00F34669" w:rsidRPr="00926280">
        <w:rPr>
          <w:rFonts w:ascii="Times New Roman" w:hAnsi="Times New Roman" w:cs="Times New Roman"/>
          <w:i/>
          <w:kern w:val="24"/>
          <w:sz w:val="24"/>
          <w:szCs w:val="24"/>
        </w:rPr>
        <w:t>Islam</w:t>
      </w:r>
      <w:r w:rsidRPr="00926280">
        <w:rPr>
          <w:rFonts w:ascii="Times New Roman" w:hAnsi="Times New Roman" w:cs="Times New Roman"/>
          <w:i/>
          <w:kern w:val="24"/>
          <w:sz w:val="24"/>
          <w:szCs w:val="24"/>
        </w:rPr>
        <w:t>ic Financial Market</w:t>
      </w:r>
      <w:r w:rsidR="0067429C" w:rsidRPr="00926280">
        <w:rPr>
          <w:rFonts w:ascii="Times New Roman" w:hAnsi="Times New Roman" w:cs="Times New Roman"/>
          <w:kern w:val="24"/>
          <w:sz w:val="20"/>
          <w:szCs w:val="20"/>
        </w:rPr>
        <w:t>“</w:t>
      </w:r>
      <w:r w:rsidR="004A25A1" w:rsidRPr="00926280">
        <w:rPr>
          <w:rFonts w:ascii="Times New Roman" w:hAnsi="Times New Roman" w:cs="Times New Roman"/>
          <w:kern w:val="24"/>
          <w:sz w:val="24"/>
          <w:szCs w:val="24"/>
        </w:rPr>
        <w:t>, situé au Bahreïn, et l</w:t>
      </w:r>
      <w:r w:rsidR="0067429C" w:rsidRPr="00926280">
        <w:rPr>
          <w:rFonts w:ascii="Times New Roman" w:hAnsi="Times New Roman" w:cs="Times New Roman"/>
          <w:kern w:val="24"/>
          <w:sz w:val="24"/>
          <w:szCs w:val="24"/>
        </w:rPr>
        <w:t>’</w:t>
      </w:r>
      <w:r w:rsidR="0067429C" w:rsidRPr="00926280">
        <w:rPr>
          <w:rFonts w:ascii="Times New Roman" w:hAnsi="Times New Roman" w:cs="Times New Roman"/>
          <w:kern w:val="24"/>
          <w:sz w:val="20"/>
          <w:szCs w:val="20"/>
        </w:rPr>
        <w:t>“</w:t>
      </w:r>
      <w:r w:rsidRPr="00926280">
        <w:rPr>
          <w:rFonts w:ascii="Times New Roman" w:hAnsi="Times New Roman" w:cs="Times New Roman"/>
          <w:i/>
          <w:kern w:val="24"/>
          <w:sz w:val="24"/>
          <w:szCs w:val="24"/>
        </w:rPr>
        <w:t>International Swaps and Derivatives Association</w:t>
      </w:r>
      <w:r w:rsidR="0067429C" w:rsidRPr="00926280">
        <w:rPr>
          <w:rFonts w:ascii="Times New Roman" w:hAnsi="Times New Roman" w:cs="Times New Roman"/>
          <w:kern w:val="24"/>
          <w:sz w:val="20"/>
          <w:szCs w:val="20"/>
        </w:rPr>
        <w:t>“</w:t>
      </w:r>
      <w:r w:rsidRPr="00926280">
        <w:rPr>
          <w:rFonts w:ascii="Times New Roman" w:hAnsi="Times New Roman" w:cs="Times New Roman"/>
          <w:kern w:val="24"/>
          <w:sz w:val="24"/>
          <w:szCs w:val="24"/>
        </w:rPr>
        <w:t>, située à New-York, des normes mondiales pour le</w:t>
      </w:r>
      <w:r w:rsidR="0067429C" w:rsidRPr="00926280">
        <w:rPr>
          <w:rFonts w:ascii="Times New Roman" w:hAnsi="Times New Roman" w:cs="Times New Roman"/>
          <w:kern w:val="24"/>
          <w:sz w:val="24"/>
          <w:szCs w:val="24"/>
        </w:rPr>
        <w:t xml:space="preserve">s produits dérivés </w:t>
      </w:r>
      <w:r w:rsidR="004A25A1" w:rsidRPr="00926280">
        <w:rPr>
          <w:rFonts w:ascii="Times New Roman" w:hAnsi="Times New Roman" w:cs="Times New Roman"/>
          <w:kern w:val="24"/>
          <w:sz w:val="24"/>
          <w:szCs w:val="24"/>
        </w:rPr>
        <w:t>i</w:t>
      </w:r>
      <w:r w:rsidR="003773C6" w:rsidRPr="00926280">
        <w:rPr>
          <w:rFonts w:ascii="Times New Roman" w:hAnsi="Times New Roman" w:cs="Times New Roman"/>
          <w:kern w:val="24"/>
          <w:sz w:val="24"/>
          <w:szCs w:val="24"/>
        </w:rPr>
        <w:t>slamique</w:t>
      </w:r>
      <w:r w:rsidR="0067429C" w:rsidRPr="00926280">
        <w:rPr>
          <w:rFonts w:ascii="Times New Roman" w:hAnsi="Times New Roman" w:cs="Times New Roman"/>
          <w:kern w:val="24"/>
          <w:sz w:val="24"/>
          <w:szCs w:val="24"/>
        </w:rPr>
        <w:t>s ont</w:t>
      </w:r>
      <w:r w:rsidRPr="00926280">
        <w:rPr>
          <w:rFonts w:ascii="Times New Roman" w:hAnsi="Times New Roman" w:cs="Times New Roman"/>
          <w:kern w:val="24"/>
          <w:sz w:val="24"/>
          <w:szCs w:val="24"/>
        </w:rPr>
        <w:t xml:space="preserve"> été fixé</w:t>
      </w:r>
      <w:r w:rsidR="0067429C" w:rsidRPr="00926280">
        <w:rPr>
          <w:rFonts w:ascii="Times New Roman" w:hAnsi="Times New Roman" w:cs="Times New Roman"/>
          <w:kern w:val="24"/>
          <w:sz w:val="24"/>
          <w:szCs w:val="24"/>
        </w:rPr>
        <w:t>e</w:t>
      </w:r>
      <w:r w:rsidRPr="00926280">
        <w:rPr>
          <w:rFonts w:ascii="Times New Roman" w:hAnsi="Times New Roman" w:cs="Times New Roman"/>
          <w:kern w:val="24"/>
          <w:sz w:val="24"/>
          <w:szCs w:val="24"/>
        </w:rPr>
        <w:t>s en 2010.</w:t>
      </w:r>
    </w:p>
    <w:p w14:paraId="2EBFAC5B" w14:textId="77777777" w:rsidR="002760B2" w:rsidRPr="008D4BEF" w:rsidRDefault="008E19DA" w:rsidP="008D4BEF">
      <w:pPr>
        <w:pStyle w:val="Titre5"/>
        <w:keepNext w:val="0"/>
        <w:keepLines w:val="0"/>
        <w:spacing w:before="120" w:after="120" w:line="300" w:lineRule="auto"/>
        <w:ind w:firstLine="709"/>
        <w:rPr>
          <w:rFonts w:asciiTheme="majorBidi" w:hAnsiTheme="majorBidi"/>
          <w:b/>
          <w:bCs/>
          <w:color w:val="auto"/>
          <w:kern w:val="24"/>
          <w:sz w:val="24"/>
          <w:szCs w:val="24"/>
        </w:rPr>
      </w:pPr>
      <w:bookmarkStart w:id="427" w:name="_Toc182298668"/>
      <w:r w:rsidRPr="008D4BEF">
        <w:rPr>
          <w:rFonts w:asciiTheme="majorBidi" w:hAnsiTheme="majorBidi"/>
          <w:b/>
          <w:bCs/>
          <w:color w:val="auto"/>
          <w:kern w:val="24"/>
          <w:sz w:val="24"/>
          <w:szCs w:val="24"/>
        </w:rPr>
        <w:t>2.</w:t>
      </w:r>
      <w:r w:rsidR="00CB18E6" w:rsidRPr="008D4BEF">
        <w:rPr>
          <w:rFonts w:asciiTheme="majorBidi" w:hAnsiTheme="majorBidi"/>
          <w:b/>
          <w:bCs/>
          <w:color w:val="auto"/>
          <w:kern w:val="24"/>
          <w:sz w:val="24"/>
          <w:szCs w:val="24"/>
        </w:rPr>
        <w:t>5</w:t>
      </w:r>
      <w:r w:rsidRPr="008D4BEF">
        <w:rPr>
          <w:rFonts w:asciiTheme="majorBidi" w:hAnsiTheme="majorBidi"/>
          <w:b/>
          <w:bCs/>
          <w:color w:val="auto"/>
          <w:kern w:val="24"/>
          <w:sz w:val="24"/>
          <w:szCs w:val="24"/>
        </w:rPr>
        <w:t xml:space="preserve">.1.1- </w:t>
      </w:r>
      <w:r w:rsidR="002E0CB6" w:rsidRPr="008D4BEF">
        <w:rPr>
          <w:rFonts w:asciiTheme="majorBidi" w:hAnsiTheme="majorBidi"/>
          <w:b/>
          <w:bCs/>
          <w:i/>
          <w:iCs/>
          <w:color w:val="auto"/>
          <w:kern w:val="24"/>
          <w:sz w:val="24"/>
          <w:szCs w:val="24"/>
        </w:rPr>
        <w:t>Al-</w:t>
      </w:r>
      <w:r w:rsidR="002760B2" w:rsidRPr="008D4BEF">
        <w:rPr>
          <w:rFonts w:asciiTheme="majorBidi" w:hAnsiTheme="majorBidi"/>
          <w:b/>
          <w:bCs/>
          <w:i/>
          <w:iCs/>
          <w:color w:val="auto"/>
          <w:kern w:val="24"/>
          <w:sz w:val="24"/>
          <w:szCs w:val="24"/>
        </w:rPr>
        <w:t>khiyar</w:t>
      </w:r>
      <w:r w:rsidRPr="008D4BEF">
        <w:rPr>
          <w:rFonts w:asciiTheme="majorBidi" w:hAnsiTheme="majorBidi"/>
          <w:b/>
          <w:bCs/>
          <w:color w:val="auto"/>
          <w:kern w:val="24"/>
          <w:sz w:val="24"/>
          <w:szCs w:val="24"/>
        </w:rPr>
        <w:t xml:space="preserve"> (o</w:t>
      </w:r>
      <w:r w:rsidR="002760B2" w:rsidRPr="008D4BEF">
        <w:rPr>
          <w:rFonts w:asciiTheme="majorBidi" w:hAnsiTheme="majorBidi"/>
          <w:b/>
          <w:bCs/>
          <w:color w:val="auto"/>
          <w:kern w:val="24"/>
          <w:sz w:val="24"/>
          <w:szCs w:val="24"/>
        </w:rPr>
        <w:t xml:space="preserve">ption </w:t>
      </w:r>
      <w:r w:rsidR="004A25A1" w:rsidRPr="008D4BEF">
        <w:rPr>
          <w:rFonts w:asciiTheme="majorBidi" w:hAnsiTheme="majorBidi"/>
          <w:b/>
          <w:bCs/>
          <w:color w:val="auto"/>
          <w:kern w:val="24"/>
          <w:sz w:val="24"/>
          <w:szCs w:val="24"/>
        </w:rPr>
        <w:t>i</w:t>
      </w:r>
      <w:r w:rsidR="003773C6" w:rsidRPr="008D4BEF">
        <w:rPr>
          <w:rFonts w:asciiTheme="majorBidi" w:hAnsiTheme="majorBidi"/>
          <w:b/>
          <w:bCs/>
          <w:color w:val="auto"/>
          <w:kern w:val="24"/>
          <w:sz w:val="24"/>
          <w:szCs w:val="24"/>
        </w:rPr>
        <w:t>slamique</w:t>
      </w:r>
      <w:r w:rsidR="00C04BD7" w:rsidRPr="008D4BEF">
        <w:rPr>
          <w:rFonts w:asciiTheme="majorBidi" w:hAnsiTheme="majorBidi"/>
          <w:b/>
          <w:bCs/>
          <w:color w:val="auto"/>
          <w:kern w:val="24"/>
          <w:sz w:val="24"/>
          <w:szCs w:val="24"/>
        </w:rPr>
        <w:t>)</w:t>
      </w:r>
      <w:bookmarkEnd w:id="427"/>
    </w:p>
    <w:p w14:paraId="0A43E605" w14:textId="77777777" w:rsidR="002760B2" w:rsidRPr="008D4BEF" w:rsidRDefault="006E13FA" w:rsidP="008D4BEF">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Le concept </w:t>
      </w:r>
      <w:r w:rsidR="00CD492E" w:rsidRPr="008D4BEF">
        <w:rPr>
          <w:rFonts w:ascii="Times New Roman" w:hAnsi="Times New Roman" w:cs="Times New Roman"/>
          <w:kern w:val="24"/>
          <w:sz w:val="24"/>
          <w:szCs w:val="24"/>
        </w:rPr>
        <w:t>d’</w:t>
      </w:r>
      <w:r w:rsidRPr="008D4BEF">
        <w:rPr>
          <w:rFonts w:ascii="Times New Roman" w:hAnsi="Times New Roman" w:cs="Times New Roman"/>
          <w:kern w:val="24"/>
          <w:sz w:val="24"/>
          <w:szCs w:val="24"/>
        </w:rPr>
        <w:t xml:space="preserve">option </w:t>
      </w:r>
      <w:r w:rsidR="002760B2" w:rsidRPr="008D4BEF">
        <w:rPr>
          <w:rFonts w:ascii="Times New Roman" w:hAnsi="Times New Roman" w:cs="Times New Roman"/>
          <w:kern w:val="24"/>
          <w:sz w:val="24"/>
          <w:szCs w:val="24"/>
        </w:rPr>
        <w:t xml:space="preserve">en </w:t>
      </w:r>
      <w:r w:rsidR="002760B2" w:rsidRPr="008D4BEF">
        <w:rPr>
          <w:rFonts w:ascii="Times New Roman" w:hAnsi="Times New Roman" w:cs="Times New Roman"/>
          <w:i/>
          <w:iCs/>
          <w:kern w:val="24"/>
          <w:sz w:val="24"/>
          <w:szCs w:val="24"/>
        </w:rPr>
        <w:t>fiqh</w:t>
      </w:r>
      <w:r w:rsidR="002760B2" w:rsidRPr="008D4BEF">
        <w:rPr>
          <w:rFonts w:ascii="Times New Roman" w:hAnsi="Times New Roman" w:cs="Times New Roman"/>
          <w:kern w:val="24"/>
          <w:sz w:val="24"/>
          <w:szCs w:val="24"/>
        </w:rPr>
        <w:t xml:space="preserve"> est désigné par </w:t>
      </w:r>
      <w:r w:rsidR="0067429C" w:rsidRPr="008D4BEF">
        <w:rPr>
          <w:rFonts w:ascii="Times New Roman" w:hAnsi="Times New Roman" w:cs="Times New Roman"/>
          <w:i/>
          <w:iCs/>
          <w:kern w:val="24"/>
          <w:sz w:val="24"/>
          <w:szCs w:val="24"/>
        </w:rPr>
        <w:t>al-</w:t>
      </w:r>
      <w:r w:rsidR="002760B2" w:rsidRPr="008D4BEF">
        <w:rPr>
          <w:rFonts w:ascii="Times New Roman" w:hAnsi="Times New Roman" w:cs="Times New Roman"/>
          <w:i/>
          <w:iCs/>
          <w:kern w:val="24"/>
          <w:sz w:val="24"/>
          <w:szCs w:val="24"/>
        </w:rPr>
        <w:t>kh</w:t>
      </w:r>
      <w:r w:rsidR="0067429C" w:rsidRPr="008D4BEF">
        <w:rPr>
          <w:rFonts w:ascii="Times New Roman" w:hAnsi="Times New Roman" w:cs="Times New Roman"/>
          <w:i/>
          <w:iCs/>
          <w:kern w:val="24"/>
          <w:sz w:val="24"/>
          <w:szCs w:val="24"/>
        </w:rPr>
        <w:t>i</w:t>
      </w:r>
      <w:r w:rsidR="002760B2" w:rsidRPr="008D4BEF">
        <w:rPr>
          <w:rFonts w:ascii="Times New Roman" w:hAnsi="Times New Roman" w:cs="Times New Roman"/>
          <w:i/>
          <w:iCs/>
          <w:kern w:val="24"/>
          <w:sz w:val="24"/>
          <w:szCs w:val="24"/>
        </w:rPr>
        <w:t>tiyarat</w:t>
      </w:r>
      <w:r w:rsidR="002760B2" w:rsidRPr="008D4BEF">
        <w:rPr>
          <w:rFonts w:ascii="Times New Roman" w:hAnsi="Times New Roman" w:cs="Times New Roman"/>
          <w:kern w:val="24"/>
          <w:sz w:val="24"/>
          <w:szCs w:val="24"/>
        </w:rPr>
        <w:t xml:space="preserve"> qui dérive du mot </w:t>
      </w:r>
      <w:r w:rsidR="002760B2" w:rsidRPr="008D4BEF">
        <w:rPr>
          <w:rFonts w:ascii="Times New Roman" w:hAnsi="Times New Roman" w:cs="Times New Roman"/>
          <w:i/>
          <w:iCs/>
          <w:kern w:val="24"/>
          <w:sz w:val="24"/>
          <w:szCs w:val="24"/>
        </w:rPr>
        <w:t>al-khiyar</w:t>
      </w:r>
      <w:r w:rsidR="002760B2" w:rsidRPr="008D4BEF">
        <w:rPr>
          <w:rFonts w:ascii="Times New Roman" w:hAnsi="Times New Roman" w:cs="Times New Roman"/>
          <w:kern w:val="24"/>
          <w:sz w:val="24"/>
          <w:szCs w:val="24"/>
        </w:rPr>
        <w:t xml:space="preserve">. Du point de vue de la plupart des </w:t>
      </w:r>
      <w:r w:rsidR="002760B2" w:rsidRPr="008D4BEF">
        <w:rPr>
          <w:rFonts w:ascii="Times New Roman" w:hAnsi="Times New Roman" w:cs="Times New Roman"/>
          <w:i/>
          <w:kern w:val="24"/>
          <w:sz w:val="24"/>
          <w:szCs w:val="24"/>
        </w:rPr>
        <w:t>scholars</w:t>
      </w:r>
      <w:r w:rsidR="002760B2" w:rsidRPr="008D4BEF">
        <w:rPr>
          <w:rFonts w:ascii="Times New Roman" w:hAnsi="Times New Roman" w:cs="Times New Roman"/>
          <w:kern w:val="24"/>
          <w:sz w:val="24"/>
          <w:szCs w:val="24"/>
        </w:rPr>
        <w:t xml:space="preserve"> </w:t>
      </w:r>
      <w:r w:rsidR="00505EDD"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2760B2" w:rsidRPr="008D4BEF">
        <w:rPr>
          <w:rFonts w:ascii="Times New Roman" w:hAnsi="Times New Roman" w:cs="Times New Roman"/>
          <w:kern w:val="24"/>
          <w:sz w:val="24"/>
          <w:szCs w:val="24"/>
        </w:rPr>
        <w:t xml:space="preserve">s, </w:t>
      </w:r>
      <w:r w:rsidR="002E0CB6" w:rsidRPr="008D4BEF">
        <w:rPr>
          <w:rFonts w:ascii="Times New Roman" w:hAnsi="Times New Roman" w:cs="Times New Roman"/>
          <w:i/>
          <w:iCs/>
          <w:kern w:val="24"/>
          <w:sz w:val="24"/>
          <w:szCs w:val="24"/>
        </w:rPr>
        <w:t>al-</w:t>
      </w:r>
      <w:r w:rsidR="002760B2" w:rsidRPr="008D4BEF">
        <w:rPr>
          <w:rFonts w:ascii="Times New Roman" w:hAnsi="Times New Roman" w:cs="Times New Roman"/>
          <w:i/>
          <w:iCs/>
          <w:kern w:val="24"/>
          <w:sz w:val="24"/>
          <w:szCs w:val="24"/>
        </w:rPr>
        <w:t>khiyar</w:t>
      </w:r>
      <w:r w:rsidR="002E0CB6" w:rsidRPr="008D4BEF">
        <w:rPr>
          <w:rFonts w:ascii="Times New Roman" w:hAnsi="Times New Roman" w:cs="Times New Roman"/>
          <w:kern w:val="24"/>
          <w:sz w:val="24"/>
          <w:szCs w:val="24"/>
        </w:rPr>
        <w:t xml:space="preserve"> ou l’option est</w:t>
      </w:r>
      <w:r w:rsidR="002760B2" w:rsidRPr="008D4BEF">
        <w:rPr>
          <w:rFonts w:ascii="Times New Roman" w:hAnsi="Times New Roman" w:cs="Times New Roman"/>
          <w:kern w:val="24"/>
          <w:sz w:val="24"/>
          <w:szCs w:val="24"/>
        </w:rPr>
        <w:t xml:space="preserve"> une promesse de vente ou d’achat d’actifs à un pri</w:t>
      </w:r>
      <w:r w:rsidR="0067429C" w:rsidRPr="008D4BEF">
        <w:rPr>
          <w:rFonts w:ascii="Times New Roman" w:hAnsi="Times New Roman" w:cs="Times New Roman"/>
          <w:kern w:val="24"/>
          <w:sz w:val="24"/>
          <w:szCs w:val="24"/>
        </w:rPr>
        <w:t>x déterminé dans un délai prévu</w:t>
      </w:r>
      <w:r w:rsidR="002E0CB6" w:rsidRPr="008D4BEF">
        <w:rPr>
          <w:rFonts w:ascii="Times New Roman" w:hAnsi="Times New Roman" w:cs="Times New Roman"/>
          <w:kern w:val="24"/>
          <w:sz w:val="24"/>
          <w:szCs w:val="24"/>
        </w:rPr>
        <w:t>.</w:t>
      </w:r>
      <w:r w:rsidR="004C73E5" w:rsidRPr="008D4BEF">
        <w:rPr>
          <w:rFonts w:ascii="Times New Roman" w:hAnsi="Times New Roman" w:cs="Times New Roman"/>
          <w:kern w:val="24"/>
          <w:sz w:val="24"/>
          <w:szCs w:val="24"/>
        </w:rPr>
        <w:t xml:space="preserve"> Les options islamiques peuvent être utilisées pour couvrir les risques notamment ceux du banquier.</w:t>
      </w:r>
      <w:r w:rsidR="002760B2" w:rsidRPr="008D4BEF">
        <w:rPr>
          <w:rFonts w:ascii="Times New Roman" w:hAnsi="Times New Roman" w:cs="Times New Roman"/>
          <w:kern w:val="24"/>
          <w:sz w:val="24"/>
          <w:szCs w:val="24"/>
        </w:rPr>
        <w:t xml:space="preserve"> C’est ainsi que, pour faire face au risque de défaut d’un client, le banquier peut insérer dans un contrat de prêt la possibilité de convertir un prêt en action de l’entreprise. Cette option peut aussi s’attacher aux titres de dette comme les obligations</w:t>
      </w:r>
      <w:r w:rsidR="002760B2" w:rsidRPr="008D4BEF">
        <w:rPr>
          <w:rStyle w:val="Appelnotedebasdep"/>
          <w:rFonts w:ascii="Times New Roman" w:hAnsi="Times New Roman"/>
          <w:kern w:val="24"/>
          <w:sz w:val="24"/>
          <w:szCs w:val="24"/>
        </w:rPr>
        <w:footnoteReference w:id="138"/>
      </w:r>
      <w:r w:rsidR="002760B2" w:rsidRPr="008D4BEF">
        <w:rPr>
          <w:rFonts w:ascii="Times New Roman" w:hAnsi="Times New Roman" w:cs="Times New Roman"/>
          <w:kern w:val="24"/>
          <w:sz w:val="24"/>
          <w:szCs w:val="24"/>
        </w:rPr>
        <w:t>. La notion d’</w:t>
      </w:r>
      <w:r w:rsidR="002760B2" w:rsidRPr="008D4BEF">
        <w:rPr>
          <w:rFonts w:ascii="Times New Roman" w:hAnsi="Times New Roman" w:cs="Times New Roman"/>
          <w:i/>
          <w:iCs/>
          <w:kern w:val="24"/>
          <w:sz w:val="24"/>
          <w:szCs w:val="24"/>
        </w:rPr>
        <w:t xml:space="preserve">al-khiyar </w:t>
      </w:r>
      <w:r w:rsidR="002760B2" w:rsidRPr="008D4BEF">
        <w:rPr>
          <w:rFonts w:ascii="Times New Roman" w:hAnsi="Times New Roman" w:cs="Times New Roman"/>
          <w:kern w:val="24"/>
          <w:sz w:val="24"/>
          <w:szCs w:val="24"/>
        </w:rPr>
        <w:t xml:space="preserve">(option </w:t>
      </w:r>
      <w:r w:rsidR="0028400A"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2760B2" w:rsidRPr="008D4BEF">
        <w:rPr>
          <w:rFonts w:ascii="Times New Roman" w:hAnsi="Times New Roman" w:cs="Times New Roman"/>
          <w:kern w:val="24"/>
          <w:sz w:val="24"/>
          <w:szCs w:val="24"/>
        </w:rPr>
        <w:t>)</w:t>
      </w:r>
      <w:r w:rsidR="00EF27C4" w:rsidRPr="008D4BEF">
        <w:rPr>
          <w:rFonts w:ascii="Times New Roman" w:hAnsi="Times New Roman" w:cs="Times New Roman"/>
          <w:kern w:val="24"/>
          <w:sz w:val="24"/>
          <w:szCs w:val="24"/>
        </w:rPr>
        <w:t xml:space="preserve"> recouvre le droit d’une partie ou des deux parties</w:t>
      </w:r>
      <w:r w:rsidR="002760B2" w:rsidRPr="008D4BEF">
        <w:rPr>
          <w:rFonts w:ascii="Times New Roman" w:hAnsi="Times New Roman" w:cs="Times New Roman"/>
          <w:kern w:val="24"/>
          <w:sz w:val="24"/>
          <w:szCs w:val="24"/>
        </w:rPr>
        <w:t xml:space="preserve"> à un contrat de confirmer ou non la convention</w:t>
      </w:r>
      <w:r w:rsidR="00C21D21" w:rsidRPr="008D4BEF">
        <w:rPr>
          <w:rFonts w:ascii="Times New Roman" w:hAnsi="Times New Roman" w:cs="Times New Roman"/>
          <w:kern w:val="24"/>
          <w:sz w:val="24"/>
          <w:szCs w:val="24"/>
        </w:rPr>
        <w:t> ;</w:t>
      </w:r>
      <w:r w:rsidR="002760B2" w:rsidRPr="008D4BEF">
        <w:rPr>
          <w:rFonts w:ascii="Times New Roman" w:hAnsi="Times New Roman" w:cs="Times New Roman"/>
          <w:kern w:val="24"/>
          <w:sz w:val="24"/>
          <w:szCs w:val="24"/>
        </w:rPr>
        <w:t xml:space="preserve"> ce qui permet d’ajuster les conditions afin de parvenir à un contrat équilibré.</w:t>
      </w:r>
    </w:p>
    <w:p w14:paraId="69DC01D0" w14:textId="5B2ED20A" w:rsidR="002760B2" w:rsidRPr="008D4BEF" w:rsidRDefault="00EF27C4" w:rsidP="008D4BEF">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Les options conventionnelles</w:t>
      </w:r>
      <w:r w:rsidR="002760B2" w:rsidRPr="008D4BEF">
        <w:rPr>
          <w:rFonts w:ascii="Times New Roman" w:hAnsi="Times New Roman" w:cs="Times New Roman"/>
          <w:kern w:val="24"/>
          <w:sz w:val="24"/>
          <w:szCs w:val="24"/>
        </w:rPr>
        <w:t xml:space="preserve"> qu’elles portent sur les devises ou autres actifs ne sont pas admissibles en </w:t>
      </w:r>
      <w:r w:rsidR="00F34669" w:rsidRPr="008D4BEF">
        <w:rPr>
          <w:rFonts w:ascii="Times New Roman" w:hAnsi="Times New Roman" w:cs="Times New Roman"/>
          <w:kern w:val="24"/>
          <w:sz w:val="24"/>
          <w:szCs w:val="24"/>
        </w:rPr>
        <w:t>Islam</w:t>
      </w:r>
      <w:r w:rsidR="002760B2" w:rsidRPr="008D4BEF">
        <w:rPr>
          <w:rFonts w:ascii="Times New Roman" w:hAnsi="Times New Roman" w:cs="Times New Roman"/>
          <w:kern w:val="24"/>
          <w:sz w:val="24"/>
          <w:szCs w:val="24"/>
        </w:rPr>
        <w:t xml:space="preserve">. Selon l’Académie du Fiqh de la Ligue </w:t>
      </w:r>
      <w:r w:rsidR="003773C6" w:rsidRPr="008D4BEF">
        <w:rPr>
          <w:rFonts w:ascii="Times New Roman" w:hAnsi="Times New Roman" w:cs="Times New Roman"/>
          <w:kern w:val="24"/>
          <w:sz w:val="24"/>
          <w:szCs w:val="24"/>
        </w:rPr>
        <w:t>Islamique</w:t>
      </w:r>
      <w:r w:rsidR="00505EDD" w:rsidRPr="008D4BEF">
        <w:rPr>
          <w:rFonts w:ascii="Times New Roman" w:hAnsi="Times New Roman" w:cs="Times New Roman"/>
          <w:kern w:val="24"/>
          <w:sz w:val="24"/>
          <w:szCs w:val="24"/>
        </w:rPr>
        <w:t xml:space="preserve"> M</w:t>
      </w:r>
      <w:r w:rsidR="002760B2" w:rsidRPr="008D4BEF">
        <w:rPr>
          <w:rFonts w:ascii="Times New Roman" w:hAnsi="Times New Roman" w:cs="Times New Roman"/>
          <w:kern w:val="24"/>
          <w:sz w:val="24"/>
          <w:szCs w:val="24"/>
        </w:rPr>
        <w:t>ondiale</w:t>
      </w:r>
      <w:r w:rsidR="002E0CB6" w:rsidRPr="008D4BEF">
        <w:rPr>
          <w:rFonts w:ascii="Times New Roman" w:hAnsi="Times New Roman" w:cs="Times New Roman"/>
          <w:kern w:val="24"/>
          <w:sz w:val="24"/>
          <w:szCs w:val="24"/>
        </w:rPr>
        <w:t>,</w:t>
      </w:r>
      <w:r w:rsidR="002760B2" w:rsidRPr="008D4BEF">
        <w:rPr>
          <w:rFonts w:ascii="Times New Roman" w:hAnsi="Times New Roman" w:cs="Times New Roman"/>
          <w:kern w:val="24"/>
          <w:sz w:val="24"/>
          <w:szCs w:val="24"/>
        </w:rPr>
        <w:t xml:space="preserve"> </w:t>
      </w:r>
      <w:r w:rsidRPr="008D4BEF">
        <w:rPr>
          <w:rFonts w:ascii="Times New Roman" w:hAnsi="Times New Roman" w:cs="Times New Roman"/>
          <w:kern w:val="24"/>
          <w:sz w:val="24"/>
          <w:szCs w:val="24"/>
        </w:rPr>
        <w:t>« </w:t>
      </w:r>
      <w:r w:rsidR="002760B2" w:rsidRPr="008D4BEF">
        <w:rPr>
          <w:rFonts w:ascii="Times New Roman" w:hAnsi="Times New Roman" w:cs="Times New Roman"/>
          <w:i/>
          <w:iCs/>
          <w:kern w:val="24"/>
          <w:sz w:val="24"/>
          <w:szCs w:val="24"/>
        </w:rPr>
        <w:t xml:space="preserve">les contrats d’options comme ils sont actuellement appliqués sur </w:t>
      </w:r>
      <w:r w:rsidRPr="008D4BEF">
        <w:rPr>
          <w:rFonts w:ascii="Times New Roman" w:hAnsi="Times New Roman" w:cs="Times New Roman"/>
          <w:i/>
          <w:iCs/>
          <w:kern w:val="24"/>
          <w:sz w:val="24"/>
          <w:szCs w:val="24"/>
        </w:rPr>
        <w:t>les marchés financiers mondiaux</w:t>
      </w:r>
      <w:r w:rsidR="002760B2" w:rsidRPr="008D4BEF">
        <w:rPr>
          <w:rFonts w:ascii="Times New Roman" w:hAnsi="Times New Roman" w:cs="Times New Roman"/>
          <w:i/>
          <w:iCs/>
          <w:kern w:val="24"/>
          <w:sz w:val="24"/>
          <w:szCs w:val="24"/>
        </w:rPr>
        <w:t xml:space="preserve"> sont un nouveau type de contrats qui ne relèvent pas d’un quelconque contrat nominé par la </w:t>
      </w:r>
      <w:r w:rsidR="001124FF" w:rsidRPr="008D4BEF">
        <w:rPr>
          <w:rFonts w:asciiTheme="majorBidi" w:eastAsia="Times New Roman" w:hAnsiTheme="majorBidi" w:cstheme="majorBidi"/>
          <w:i/>
          <w:iCs/>
          <w:color w:val="000000" w:themeColor="text1"/>
          <w:kern w:val="24"/>
          <w:sz w:val="24"/>
          <w:szCs w:val="24"/>
          <w:lang w:eastAsia="fr-FR"/>
        </w:rPr>
        <w:t>Shariah</w:t>
      </w:r>
      <w:r w:rsidR="002760B2" w:rsidRPr="008D4BEF">
        <w:rPr>
          <w:rFonts w:ascii="Times New Roman" w:hAnsi="Times New Roman" w:cs="Times New Roman"/>
          <w:i/>
          <w:iCs/>
          <w:kern w:val="24"/>
          <w:sz w:val="24"/>
          <w:szCs w:val="24"/>
        </w:rPr>
        <w:t xml:space="preserve">. L’objet des contrats ne porte ni sur une somme d’argent, ni sur un utilitaire et ni sur un droit financier, c’est alors que ce type de contrat est prohibé par </w:t>
      </w:r>
      <w:r w:rsidR="001124FF" w:rsidRPr="008D4BEF">
        <w:rPr>
          <w:rFonts w:asciiTheme="majorBidi" w:eastAsia="Times New Roman" w:hAnsiTheme="majorBidi" w:cstheme="majorBidi"/>
          <w:i/>
          <w:iCs/>
          <w:color w:val="000000" w:themeColor="text1"/>
          <w:kern w:val="24"/>
          <w:sz w:val="24"/>
          <w:szCs w:val="24"/>
          <w:lang w:eastAsia="fr-FR"/>
        </w:rPr>
        <w:t>Shariah</w:t>
      </w:r>
      <w:r w:rsidR="002E0CB6" w:rsidRPr="008D4BEF">
        <w:rPr>
          <w:rFonts w:ascii="Times New Roman" w:hAnsi="Times New Roman" w:cs="Times New Roman"/>
          <w:kern w:val="24"/>
          <w:sz w:val="24"/>
          <w:szCs w:val="24"/>
        </w:rPr>
        <w:t> »</w:t>
      </w:r>
      <w:r w:rsidR="002760B2" w:rsidRPr="008D4BEF">
        <w:rPr>
          <w:rStyle w:val="Appelnotedebasdep"/>
          <w:rFonts w:ascii="Times New Roman" w:hAnsi="Times New Roman"/>
          <w:kern w:val="24"/>
          <w:sz w:val="24"/>
          <w:szCs w:val="24"/>
        </w:rPr>
        <w:footnoteReference w:id="139"/>
      </w:r>
      <w:r w:rsidR="002760B2" w:rsidRPr="008D4BEF">
        <w:rPr>
          <w:rFonts w:ascii="Times New Roman" w:hAnsi="Times New Roman" w:cs="Times New Roman"/>
          <w:kern w:val="24"/>
          <w:sz w:val="24"/>
          <w:szCs w:val="24"/>
        </w:rPr>
        <w:t>.</w:t>
      </w:r>
    </w:p>
    <w:p w14:paraId="383E8B03" w14:textId="77777777" w:rsidR="0028400A" w:rsidRPr="008D4BEF" w:rsidRDefault="00C21D21" w:rsidP="00926280">
      <w:pPr>
        <w:pStyle w:val="Titre5"/>
        <w:keepNext w:val="0"/>
        <w:keepLines w:val="0"/>
        <w:spacing w:before="120" w:line="300" w:lineRule="auto"/>
        <w:ind w:firstLine="709"/>
        <w:rPr>
          <w:rFonts w:asciiTheme="majorBidi" w:hAnsiTheme="majorBidi"/>
          <w:b/>
          <w:bCs/>
          <w:color w:val="auto"/>
          <w:kern w:val="24"/>
          <w:sz w:val="24"/>
          <w:szCs w:val="24"/>
        </w:rPr>
      </w:pPr>
      <w:bookmarkStart w:id="428" w:name="_Toc182298669"/>
      <w:r w:rsidRPr="008D4BEF">
        <w:rPr>
          <w:rFonts w:asciiTheme="majorBidi" w:hAnsiTheme="majorBidi"/>
          <w:b/>
          <w:bCs/>
          <w:color w:val="auto"/>
          <w:kern w:val="24"/>
          <w:sz w:val="24"/>
          <w:szCs w:val="24"/>
        </w:rPr>
        <w:t>2.</w:t>
      </w:r>
      <w:r w:rsidR="00CB18E6" w:rsidRPr="008D4BEF">
        <w:rPr>
          <w:rFonts w:asciiTheme="majorBidi" w:hAnsiTheme="majorBidi"/>
          <w:b/>
          <w:bCs/>
          <w:color w:val="auto"/>
          <w:kern w:val="24"/>
          <w:sz w:val="24"/>
          <w:szCs w:val="24"/>
        </w:rPr>
        <w:t>5</w:t>
      </w:r>
      <w:r w:rsidRPr="008D4BEF">
        <w:rPr>
          <w:rFonts w:asciiTheme="majorBidi" w:hAnsiTheme="majorBidi"/>
          <w:b/>
          <w:bCs/>
          <w:color w:val="auto"/>
          <w:kern w:val="24"/>
          <w:sz w:val="24"/>
          <w:szCs w:val="24"/>
        </w:rPr>
        <w:t xml:space="preserve">.1.2- </w:t>
      </w:r>
      <w:r w:rsidRPr="008D4BEF">
        <w:rPr>
          <w:rFonts w:asciiTheme="majorBidi" w:hAnsiTheme="majorBidi"/>
          <w:b/>
          <w:bCs/>
          <w:i/>
          <w:color w:val="auto"/>
          <w:kern w:val="24"/>
          <w:sz w:val="24"/>
          <w:szCs w:val="24"/>
        </w:rPr>
        <w:t>Bay’</w:t>
      </w:r>
      <w:r w:rsidR="0028400A" w:rsidRPr="008D4BEF">
        <w:rPr>
          <w:rFonts w:asciiTheme="majorBidi" w:hAnsiTheme="majorBidi"/>
          <w:b/>
          <w:bCs/>
          <w:i/>
          <w:color w:val="auto"/>
          <w:kern w:val="24"/>
          <w:sz w:val="24"/>
          <w:szCs w:val="24"/>
        </w:rPr>
        <w:t xml:space="preserve"> al-a’rboun</w:t>
      </w:r>
      <w:r w:rsidR="0028400A" w:rsidRPr="008D4BEF">
        <w:rPr>
          <w:rFonts w:asciiTheme="majorBidi" w:hAnsiTheme="majorBidi"/>
          <w:b/>
          <w:bCs/>
          <w:color w:val="auto"/>
          <w:kern w:val="24"/>
          <w:sz w:val="24"/>
          <w:szCs w:val="24"/>
        </w:rPr>
        <w:t xml:space="preserve"> (vente d’</w:t>
      </w:r>
      <w:r w:rsidR="0028400A" w:rsidRPr="008D4BEF">
        <w:rPr>
          <w:rFonts w:asciiTheme="majorBidi" w:hAnsiTheme="majorBidi"/>
          <w:b/>
          <w:bCs/>
          <w:i/>
          <w:iCs/>
          <w:color w:val="auto"/>
          <w:kern w:val="24"/>
          <w:sz w:val="24"/>
          <w:szCs w:val="24"/>
        </w:rPr>
        <w:t>al-a’rboun</w:t>
      </w:r>
      <w:r w:rsidR="004C73E5" w:rsidRPr="008D4BEF">
        <w:rPr>
          <w:rFonts w:asciiTheme="majorBidi" w:hAnsiTheme="majorBidi"/>
          <w:b/>
          <w:bCs/>
          <w:color w:val="auto"/>
          <w:kern w:val="24"/>
          <w:sz w:val="24"/>
          <w:szCs w:val="24"/>
        </w:rPr>
        <w:t>)</w:t>
      </w:r>
      <w:bookmarkEnd w:id="428"/>
    </w:p>
    <w:p w14:paraId="5267D4FF" w14:textId="77777777" w:rsidR="002760B2" w:rsidRPr="008D4BEF" w:rsidRDefault="002760B2" w:rsidP="00926280">
      <w:pPr>
        <w:tabs>
          <w:tab w:val="left" w:pos="0"/>
        </w:tabs>
        <w:autoSpaceDE w:val="0"/>
        <w:autoSpaceDN w:val="0"/>
        <w:adjustRightInd w:val="0"/>
        <w:spacing w:before="120" w:line="300" w:lineRule="auto"/>
        <w:ind w:firstLine="709"/>
        <w:rPr>
          <w:rFonts w:ascii="Times New Roman" w:eastAsia="ArialMT" w:hAnsi="Times New Roman" w:cs="Times New Roman"/>
          <w:kern w:val="24"/>
          <w:sz w:val="24"/>
          <w:szCs w:val="24"/>
        </w:rPr>
      </w:pPr>
      <w:r w:rsidRPr="008D4BEF">
        <w:rPr>
          <w:rFonts w:ascii="Times New Roman" w:hAnsi="Times New Roman" w:cs="Times New Roman"/>
          <w:kern w:val="24"/>
          <w:sz w:val="24"/>
          <w:szCs w:val="24"/>
        </w:rPr>
        <w:t xml:space="preserve">Un autre courant de </w:t>
      </w:r>
      <w:r w:rsidR="004C73E5" w:rsidRPr="008D4BEF">
        <w:rPr>
          <w:rFonts w:ascii="Times New Roman" w:hAnsi="Times New Roman" w:cs="Times New Roman"/>
          <w:iCs/>
          <w:kern w:val="24"/>
          <w:sz w:val="24"/>
          <w:szCs w:val="24"/>
        </w:rPr>
        <w:t>jurisconsultes</w:t>
      </w:r>
      <w:r w:rsidR="004C73E5" w:rsidRPr="008D4BEF">
        <w:rPr>
          <w:rFonts w:ascii="Times New Roman" w:hAnsi="Times New Roman" w:cs="Times New Roman"/>
          <w:i/>
          <w:kern w:val="24"/>
          <w:sz w:val="24"/>
          <w:szCs w:val="24"/>
        </w:rPr>
        <w:t xml:space="preserve"> </w:t>
      </w:r>
      <w:r w:rsidRPr="008D4BEF">
        <w:rPr>
          <w:rFonts w:ascii="Times New Roman" w:hAnsi="Times New Roman" w:cs="Times New Roman"/>
          <w:kern w:val="24"/>
          <w:sz w:val="24"/>
          <w:szCs w:val="24"/>
        </w:rPr>
        <w:t xml:space="preserve">(Ahmed Yousef </w:t>
      </w:r>
      <w:r w:rsidRPr="008D4BEF">
        <w:rPr>
          <w:rFonts w:ascii="Times New Roman" w:hAnsi="Times New Roman" w:cs="Times New Roman"/>
          <w:smallCaps/>
          <w:kern w:val="24"/>
          <w:sz w:val="24"/>
          <w:szCs w:val="24"/>
        </w:rPr>
        <w:t>Sulaiman</w:t>
      </w:r>
      <w:r w:rsidRPr="008D4BEF">
        <w:rPr>
          <w:rFonts w:ascii="Times New Roman" w:hAnsi="Times New Roman" w:cs="Times New Roman"/>
          <w:kern w:val="24"/>
          <w:sz w:val="24"/>
          <w:szCs w:val="24"/>
        </w:rPr>
        <w:t xml:space="preserve">, Mohammed </w:t>
      </w:r>
      <w:r w:rsidRPr="008D4BEF">
        <w:rPr>
          <w:rFonts w:ascii="Times New Roman" w:hAnsi="Times New Roman" w:cs="Times New Roman"/>
          <w:smallCaps/>
          <w:kern w:val="24"/>
          <w:sz w:val="24"/>
          <w:szCs w:val="24"/>
        </w:rPr>
        <w:t>Ali Elqari</w:t>
      </w:r>
      <w:r w:rsidRPr="008D4BEF">
        <w:rPr>
          <w:rFonts w:ascii="Times New Roman" w:hAnsi="Times New Roman" w:cs="Times New Roman"/>
          <w:kern w:val="24"/>
          <w:sz w:val="24"/>
          <w:szCs w:val="24"/>
        </w:rPr>
        <w:t xml:space="preserve"> et autres) a essayé de justifier l’admissibilité aux options en faisant un parallèle avec </w:t>
      </w:r>
      <w:r w:rsidRPr="008D4BEF">
        <w:rPr>
          <w:rFonts w:ascii="Times New Roman" w:hAnsi="Times New Roman" w:cs="Times New Roman"/>
          <w:b/>
          <w:bCs/>
          <w:i/>
          <w:iCs/>
          <w:kern w:val="24"/>
          <w:sz w:val="24"/>
          <w:szCs w:val="24"/>
        </w:rPr>
        <w:t>ba</w:t>
      </w:r>
      <w:r w:rsidR="00C21D21" w:rsidRPr="008D4BEF">
        <w:rPr>
          <w:rFonts w:ascii="Times New Roman" w:hAnsi="Times New Roman" w:cs="Times New Roman"/>
          <w:b/>
          <w:bCs/>
          <w:i/>
          <w:iCs/>
          <w:kern w:val="24"/>
          <w:sz w:val="24"/>
          <w:szCs w:val="24"/>
        </w:rPr>
        <w:t>y’</w:t>
      </w:r>
      <w:r w:rsidRPr="008D4BEF">
        <w:rPr>
          <w:rFonts w:ascii="Times New Roman" w:hAnsi="Times New Roman" w:cs="Times New Roman"/>
          <w:b/>
          <w:bCs/>
          <w:i/>
          <w:iCs/>
          <w:kern w:val="24"/>
          <w:sz w:val="24"/>
          <w:szCs w:val="24"/>
        </w:rPr>
        <w:t xml:space="preserve"> al-</w:t>
      </w:r>
      <w:r w:rsidR="00EA64F0" w:rsidRPr="008D4BEF">
        <w:rPr>
          <w:rFonts w:ascii="Times New Roman" w:hAnsi="Times New Roman" w:cs="Times New Roman"/>
          <w:b/>
          <w:bCs/>
          <w:i/>
          <w:iCs/>
          <w:kern w:val="24"/>
          <w:sz w:val="24"/>
          <w:szCs w:val="24"/>
        </w:rPr>
        <w:t>a</w:t>
      </w:r>
      <w:r w:rsidR="00B13A51" w:rsidRPr="008D4BEF">
        <w:rPr>
          <w:rFonts w:ascii="Times New Roman" w:hAnsi="Times New Roman" w:cs="Times New Roman"/>
          <w:b/>
          <w:bCs/>
          <w:i/>
          <w:iCs/>
          <w:kern w:val="24"/>
          <w:sz w:val="24"/>
          <w:szCs w:val="24"/>
        </w:rPr>
        <w:t>’</w:t>
      </w:r>
      <w:r w:rsidRPr="008D4BEF">
        <w:rPr>
          <w:rFonts w:ascii="Times New Roman" w:hAnsi="Times New Roman" w:cs="Times New Roman"/>
          <w:b/>
          <w:bCs/>
          <w:i/>
          <w:iCs/>
          <w:kern w:val="24"/>
          <w:sz w:val="24"/>
          <w:szCs w:val="24"/>
        </w:rPr>
        <w:t>rb</w:t>
      </w:r>
      <w:r w:rsidR="00B13A51" w:rsidRPr="008D4BEF">
        <w:rPr>
          <w:rFonts w:ascii="Times New Roman" w:hAnsi="Times New Roman" w:cs="Times New Roman"/>
          <w:b/>
          <w:bCs/>
          <w:i/>
          <w:iCs/>
          <w:kern w:val="24"/>
          <w:sz w:val="24"/>
          <w:szCs w:val="24"/>
        </w:rPr>
        <w:t>o</w:t>
      </w:r>
      <w:r w:rsidRPr="008D4BEF">
        <w:rPr>
          <w:rFonts w:ascii="Times New Roman" w:hAnsi="Times New Roman" w:cs="Times New Roman"/>
          <w:b/>
          <w:bCs/>
          <w:i/>
          <w:iCs/>
          <w:kern w:val="24"/>
          <w:sz w:val="24"/>
          <w:szCs w:val="24"/>
        </w:rPr>
        <w:t>un</w:t>
      </w:r>
      <w:r w:rsidRPr="008D4BEF">
        <w:rPr>
          <w:rFonts w:ascii="Times New Roman" w:hAnsi="Times New Roman" w:cs="Times New Roman"/>
          <w:i/>
          <w:iCs/>
          <w:kern w:val="24"/>
          <w:sz w:val="24"/>
          <w:szCs w:val="24"/>
        </w:rPr>
        <w:t xml:space="preserve"> (</w:t>
      </w:r>
      <w:r w:rsidRPr="008D4BEF">
        <w:rPr>
          <w:rFonts w:ascii="Times New Roman" w:hAnsi="Times New Roman" w:cs="Times New Roman"/>
          <w:kern w:val="24"/>
          <w:sz w:val="24"/>
          <w:szCs w:val="24"/>
        </w:rPr>
        <w:t>vente d’</w:t>
      </w:r>
      <w:r w:rsidRPr="008D4BEF">
        <w:rPr>
          <w:rFonts w:ascii="Times New Roman" w:hAnsi="Times New Roman" w:cs="Times New Roman"/>
          <w:i/>
          <w:iCs/>
          <w:kern w:val="24"/>
          <w:sz w:val="24"/>
          <w:szCs w:val="24"/>
        </w:rPr>
        <w:t>al</w:t>
      </w:r>
      <w:r w:rsidR="007A11D7" w:rsidRPr="008D4BEF">
        <w:rPr>
          <w:rFonts w:ascii="Times New Roman" w:hAnsi="Times New Roman" w:cs="Times New Roman"/>
          <w:i/>
          <w:iCs/>
          <w:kern w:val="24"/>
          <w:sz w:val="24"/>
          <w:szCs w:val="24"/>
        </w:rPr>
        <w:t>-</w:t>
      </w:r>
      <w:r w:rsidRPr="008D4BEF">
        <w:rPr>
          <w:rFonts w:ascii="Times New Roman" w:hAnsi="Times New Roman" w:cs="Times New Roman"/>
          <w:i/>
          <w:iCs/>
          <w:kern w:val="24"/>
          <w:sz w:val="24"/>
          <w:szCs w:val="24"/>
        </w:rPr>
        <w:t>a</w:t>
      </w:r>
      <w:r w:rsidR="007A11D7" w:rsidRPr="008D4BEF">
        <w:rPr>
          <w:rFonts w:ascii="Times New Roman" w:hAnsi="Times New Roman" w:cs="Times New Roman"/>
          <w:i/>
          <w:iCs/>
          <w:kern w:val="24"/>
          <w:sz w:val="24"/>
          <w:szCs w:val="24"/>
        </w:rPr>
        <w:t>’</w:t>
      </w:r>
      <w:r w:rsidRPr="008D4BEF">
        <w:rPr>
          <w:rFonts w:ascii="Times New Roman" w:hAnsi="Times New Roman" w:cs="Times New Roman"/>
          <w:i/>
          <w:iCs/>
          <w:kern w:val="24"/>
          <w:sz w:val="24"/>
          <w:szCs w:val="24"/>
        </w:rPr>
        <w:t>rb</w:t>
      </w:r>
      <w:r w:rsidR="00B13A51" w:rsidRPr="008D4BEF">
        <w:rPr>
          <w:rFonts w:ascii="Times New Roman" w:hAnsi="Times New Roman" w:cs="Times New Roman"/>
          <w:i/>
          <w:iCs/>
          <w:kern w:val="24"/>
          <w:sz w:val="24"/>
          <w:szCs w:val="24"/>
        </w:rPr>
        <w:t>o</w:t>
      </w:r>
      <w:r w:rsidRPr="008D4BEF">
        <w:rPr>
          <w:rFonts w:ascii="Times New Roman" w:hAnsi="Times New Roman" w:cs="Times New Roman"/>
          <w:i/>
          <w:iCs/>
          <w:kern w:val="24"/>
          <w:sz w:val="24"/>
          <w:szCs w:val="24"/>
        </w:rPr>
        <w:t>un</w:t>
      </w:r>
      <w:r w:rsidRPr="008D4BEF">
        <w:rPr>
          <w:rFonts w:ascii="Times New Roman" w:hAnsi="Times New Roman" w:cs="Times New Roman"/>
          <w:kern w:val="24"/>
          <w:sz w:val="24"/>
          <w:szCs w:val="24"/>
        </w:rPr>
        <w:t>)</w:t>
      </w:r>
      <w:r w:rsidRPr="008D4BEF">
        <w:rPr>
          <w:rStyle w:val="Appelnotedebasdep"/>
          <w:rFonts w:ascii="Times New Roman" w:hAnsi="Times New Roman"/>
          <w:kern w:val="24"/>
          <w:sz w:val="24"/>
          <w:szCs w:val="24"/>
        </w:rPr>
        <w:footnoteReference w:id="140"/>
      </w:r>
      <w:r w:rsidRPr="008D4BEF">
        <w:rPr>
          <w:rFonts w:ascii="Times New Roman" w:hAnsi="Times New Roman" w:cs="Times New Roman"/>
          <w:kern w:val="24"/>
          <w:sz w:val="24"/>
          <w:szCs w:val="24"/>
        </w:rPr>
        <w:t xml:space="preserve">. Ce dernier est défini par </w:t>
      </w:r>
      <w:r w:rsidRPr="008D4BEF">
        <w:rPr>
          <w:rFonts w:ascii="Times New Roman" w:hAnsi="Times New Roman" w:cs="Times New Roman"/>
          <w:smallCaps/>
          <w:kern w:val="24"/>
          <w:sz w:val="24"/>
          <w:szCs w:val="24"/>
        </w:rPr>
        <w:t>Cherif</w:t>
      </w:r>
      <w:r w:rsidRPr="008D4BEF">
        <w:rPr>
          <w:rFonts w:ascii="Times New Roman" w:hAnsi="Times New Roman" w:cs="Times New Roman"/>
          <w:kern w:val="24"/>
          <w:sz w:val="24"/>
          <w:szCs w:val="24"/>
        </w:rPr>
        <w:t xml:space="preserve"> (2008) com</w:t>
      </w:r>
      <w:r w:rsidR="00B13A51" w:rsidRPr="008D4BEF">
        <w:rPr>
          <w:rFonts w:ascii="Times New Roman" w:hAnsi="Times New Roman" w:cs="Times New Roman"/>
          <w:kern w:val="24"/>
          <w:sz w:val="24"/>
          <w:szCs w:val="24"/>
        </w:rPr>
        <w:t>me étant un</w:t>
      </w:r>
      <w:r w:rsidRPr="008D4BEF">
        <w:rPr>
          <w:rFonts w:ascii="Times New Roman" w:hAnsi="Times New Roman" w:cs="Times New Roman"/>
          <w:kern w:val="24"/>
          <w:sz w:val="24"/>
          <w:szCs w:val="24"/>
        </w:rPr>
        <w:t xml:space="preserve"> « </w:t>
      </w:r>
      <w:r w:rsidR="00B13A51" w:rsidRPr="008D4BEF">
        <w:rPr>
          <w:rFonts w:ascii="Times New Roman" w:eastAsia="ArialMT" w:hAnsi="Times New Roman" w:cs="Times New Roman"/>
          <w:i/>
          <w:iCs/>
          <w:kern w:val="24"/>
          <w:sz w:val="24"/>
          <w:szCs w:val="24"/>
        </w:rPr>
        <w:t>m</w:t>
      </w:r>
      <w:r w:rsidRPr="008D4BEF">
        <w:rPr>
          <w:rFonts w:ascii="Times New Roman" w:eastAsia="ArialMT" w:hAnsi="Times New Roman" w:cs="Times New Roman"/>
          <w:i/>
          <w:iCs/>
          <w:kern w:val="24"/>
          <w:sz w:val="24"/>
          <w:szCs w:val="24"/>
        </w:rPr>
        <w:t>ontant prélevé en garantie pour l’exécution d’un contrat futur. L’acheteur paie au vendeur un dépôt pour avoir le droit de conclure ou d’annuler la vente. En cas de non-exécution du contrat</w:t>
      </w:r>
      <w:r w:rsidR="00C21D21" w:rsidRPr="008D4BEF">
        <w:rPr>
          <w:rFonts w:ascii="Times New Roman" w:eastAsia="ArialMT" w:hAnsi="Times New Roman" w:cs="Times New Roman"/>
          <w:i/>
          <w:iCs/>
          <w:kern w:val="24"/>
          <w:sz w:val="24"/>
          <w:szCs w:val="24"/>
        </w:rPr>
        <w:t>,</w:t>
      </w:r>
      <w:r w:rsidRPr="008D4BEF">
        <w:rPr>
          <w:rFonts w:ascii="Times New Roman" w:eastAsia="ArialMT" w:hAnsi="Times New Roman" w:cs="Times New Roman"/>
          <w:i/>
          <w:iCs/>
          <w:kern w:val="24"/>
          <w:sz w:val="24"/>
          <w:szCs w:val="24"/>
        </w:rPr>
        <w:t xml:space="preserve"> le vendeur garde le dépôt en compensation. Si la vente est conclue</w:t>
      </w:r>
      <w:r w:rsidR="000E09D0" w:rsidRPr="008D4BEF">
        <w:rPr>
          <w:rFonts w:ascii="Times New Roman" w:eastAsia="ArialMT" w:hAnsi="Times New Roman" w:cs="Times New Roman"/>
          <w:i/>
          <w:iCs/>
          <w:kern w:val="24"/>
          <w:sz w:val="24"/>
          <w:szCs w:val="24"/>
        </w:rPr>
        <w:t>,</w:t>
      </w:r>
      <w:r w:rsidRPr="008D4BEF">
        <w:rPr>
          <w:rFonts w:ascii="Times New Roman" w:eastAsia="ArialMT" w:hAnsi="Times New Roman" w:cs="Times New Roman"/>
          <w:i/>
          <w:iCs/>
          <w:kern w:val="24"/>
          <w:sz w:val="24"/>
          <w:szCs w:val="24"/>
        </w:rPr>
        <w:t xml:space="preserve"> le montant du dépôt est intégré au prix d’achat</w:t>
      </w:r>
      <w:r w:rsidRPr="008D4BEF">
        <w:rPr>
          <w:rFonts w:ascii="Times New Roman" w:eastAsia="ArialMT" w:hAnsi="Times New Roman" w:cs="Times New Roman"/>
          <w:kern w:val="24"/>
          <w:sz w:val="24"/>
          <w:szCs w:val="24"/>
        </w:rPr>
        <w:t> »</w:t>
      </w:r>
      <w:r w:rsidRPr="008D4BEF">
        <w:rPr>
          <w:rStyle w:val="Appelnotedebasdep"/>
          <w:rFonts w:ascii="Times New Roman" w:eastAsia="ArialMT" w:hAnsi="Times New Roman"/>
          <w:kern w:val="24"/>
          <w:sz w:val="24"/>
          <w:szCs w:val="24"/>
        </w:rPr>
        <w:footnoteReference w:id="141"/>
      </w:r>
      <w:r w:rsidRPr="008D4BEF">
        <w:rPr>
          <w:rFonts w:ascii="Times New Roman" w:eastAsia="ArialMT" w:hAnsi="Times New Roman" w:cs="Times New Roman"/>
          <w:kern w:val="24"/>
          <w:sz w:val="24"/>
          <w:szCs w:val="24"/>
        </w:rPr>
        <w:t>.</w:t>
      </w:r>
    </w:p>
    <w:p w14:paraId="74630B7B" w14:textId="77777777" w:rsidR="002760B2" w:rsidRPr="008D4BEF" w:rsidRDefault="000E09D0" w:rsidP="008D4BEF">
      <w:pPr>
        <w:tabs>
          <w:tab w:val="left" w:pos="0"/>
        </w:tabs>
        <w:autoSpaceDE w:val="0"/>
        <w:autoSpaceDN w:val="0"/>
        <w:adjustRightInd w:val="0"/>
        <w:spacing w:before="120" w:line="300" w:lineRule="auto"/>
        <w:ind w:firstLine="709"/>
        <w:rPr>
          <w:rFonts w:ascii="Times New Roman" w:eastAsia="ArialMT" w:hAnsi="Times New Roman" w:cs="Times New Roman"/>
          <w:b/>
          <w:bCs/>
          <w:kern w:val="24"/>
          <w:sz w:val="24"/>
          <w:szCs w:val="24"/>
        </w:rPr>
      </w:pPr>
      <w:r w:rsidRPr="008D4BEF">
        <w:rPr>
          <w:rFonts w:ascii="Times New Roman" w:eastAsia="ArialMT" w:hAnsi="Times New Roman" w:cs="Times New Roman"/>
          <w:kern w:val="24"/>
          <w:sz w:val="24"/>
          <w:szCs w:val="24"/>
        </w:rPr>
        <w:lastRenderedPageBreak/>
        <w:t>Le</w:t>
      </w:r>
      <w:r w:rsidRPr="008D4BEF">
        <w:rPr>
          <w:rFonts w:ascii="Times New Roman" w:eastAsia="ArialMT" w:hAnsi="Times New Roman" w:cs="Times New Roman"/>
          <w:i/>
          <w:iCs/>
          <w:kern w:val="24"/>
          <w:sz w:val="24"/>
          <w:szCs w:val="24"/>
        </w:rPr>
        <w:t xml:space="preserve"> b</w:t>
      </w:r>
      <w:r w:rsidR="002760B2" w:rsidRPr="008D4BEF">
        <w:rPr>
          <w:rFonts w:ascii="Times New Roman" w:eastAsia="ArialMT" w:hAnsi="Times New Roman" w:cs="Times New Roman"/>
          <w:i/>
          <w:iCs/>
          <w:kern w:val="24"/>
          <w:sz w:val="24"/>
          <w:szCs w:val="24"/>
        </w:rPr>
        <w:t>a</w:t>
      </w:r>
      <w:r w:rsidR="00C21D21" w:rsidRPr="008D4BEF">
        <w:rPr>
          <w:rFonts w:ascii="Times New Roman" w:eastAsia="ArialMT" w:hAnsi="Times New Roman" w:cs="Times New Roman"/>
          <w:i/>
          <w:iCs/>
          <w:kern w:val="24"/>
          <w:sz w:val="24"/>
          <w:szCs w:val="24"/>
        </w:rPr>
        <w:t>y’</w:t>
      </w:r>
      <w:r w:rsidR="002760B2" w:rsidRPr="008D4BEF">
        <w:rPr>
          <w:rFonts w:ascii="Times New Roman" w:eastAsia="ArialMT" w:hAnsi="Times New Roman" w:cs="Times New Roman"/>
          <w:i/>
          <w:iCs/>
          <w:kern w:val="24"/>
          <w:sz w:val="24"/>
          <w:szCs w:val="24"/>
        </w:rPr>
        <w:t xml:space="preserve"> al-</w:t>
      </w:r>
      <w:r w:rsidRPr="008D4BEF">
        <w:rPr>
          <w:rFonts w:ascii="Times New Roman" w:eastAsia="ArialMT" w:hAnsi="Times New Roman" w:cs="Times New Roman"/>
          <w:i/>
          <w:iCs/>
          <w:kern w:val="24"/>
          <w:sz w:val="24"/>
          <w:szCs w:val="24"/>
        </w:rPr>
        <w:t>a</w:t>
      </w:r>
      <w:r w:rsidR="00B13A51" w:rsidRPr="008D4BEF">
        <w:rPr>
          <w:rFonts w:ascii="Times New Roman" w:eastAsia="ArialMT" w:hAnsi="Times New Roman" w:cs="Times New Roman"/>
          <w:i/>
          <w:iCs/>
          <w:kern w:val="24"/>
          <w:sz w:val="24"/>
          <w:szCs w:val="24"/>
        </w:rPr>
        <w:t>’</w:t>
      </w:r>
      <w:r w:rsidR="002760B2" w:rsidRPr="008D4BEF">
        <w:rPr>
          <w:rFonts w:ascii="Times New Roman" w:eastAsia="ArialMT" w:hAnsi="Times New Roman" w:cs="Times New Roman"/>
          <w:i/>
          <w:iCs/>
          <w:kern w:val="24"/>
          <w:sz w:val="24"/>
          <w:szCs w:val="24"/>
        </w:rPr>
        <w:t>rb</w:t>
      </w:r>
      <w:r w:rsidR="00B13A51" w:rsidRPr="008D4BEF">
        <w:rPr>
          <w:rFonts w:ascii="Times New Roman" w:eastAsia="ArialMT" w:hAnsi="Times New Roman" w:cs="Times New Roman"/>
          <w:i/>
          <w:iCs/>
          <w:kern w:val="24"/>
          <w:sz w:val="24"/>
          <w:szCs w:val="24"/>
        </w:rPr>
        <w:t>o</w:t>
      </w:r>
      <w:r w:rsidR="002760B2" w:rsidRPr="008D4BEF">
        <w:rPr>
          <w:rFonts w:ascii="Times New Roman" w:eastAsia="ArialMT" w:hAnsi="Times New Roman" w:cs="Times New Roman"/>
          <w:i/>
          <w:iCs/>
          <w:kern w:val="24"/>
          <w:sz w:val="24"/>
          <w:szCs w:val="24"/>
        </w:rPr>
        <w:t>un</w:t>
      </w:r>
      <w:r w:rsidR="00CF66C7" w:rsidRPr="008D4BEF">
        <w:rPr>
          <w:rFonts w:ascii="Times New Roman" w:eastAsia="ArialMT" w:hAnsi="Times New Roman" w:cs="Times New Roman"/>
          <w:kern w:val="24"/>
          <w:sz w:val="24"/>
          <w:szCs w:val="24"/>
        </w:rPr>
        <w:t xml:space="preserve"> peut être comparable à une option c</w:t>
      </w:r>
      <w:r w:rsidR="002760B2" w:rsidRPr="008D4BEF">
        <w:rPr>
          <w:rFonts w:ascii="Times New Roman" w:eastAsia="ArialMT" w:hAnsi="Times New Roman" w:cs="Times New Roman"/>
          <w:kern w:val="24"/>
          <w:sz w:val="24"/>
          <w:szCs w:val="24"/>
        </w:rPr>
        <w:t>all. Celle-ci donne le droit mais non l’obligation d’acheter un sous-jacent à un prix et une date déterminée. Par ailleurs, pour l’</w:t>
      </w:r>
      <w:r w:rsidRPr="008D4BEF">
        <w:rPr>
          <w:rFonts w:ascii="Times New Roman" w:eastAsia="ArialMT" w:hAnsi="Times New Roman" w:cs="Times New Roman"/>
          <w:i/>
          <w:kern w:val="24"/>
          <w:sz w:val="24"/>
          <w:szCs w:val="24"/>
        </w:rPr>
        <w:t>a</w:t>
      </w:r>
      <w:r w:rsidR="00B13A51" w:rsidRPr="008D4BEF">
        <w:rPr>
          <w:rFonts w:ascii="Times New Roman" w:eastAsia="ArialMT" w:hAnsi="Times New Roman" w:cs="Times New Roman"/>
          <w:i/>
          <w:kern w:val="24"/>
          <w:sz w:val="24"/>
          <w:szCs w:val="24"/>
        </w:rPr>
        <w:t>’rboun</w:t>
      </w:r>
      <w:r w:rsidR="00C45E15" w:rsidRPr="008D4BEF">
        <w:rPr>
          <w:rFonts w:ascii="Times New Roman" w:eastAsia="ArialMT" w:hAnsi="Times New Roman" w:cs="Times New Roman"/>
          <w:kern w:val="24"/>
          <w:sz w:val="24"/>
          <w:szCs w:val="24"/>
        </w:rPr>
        <w:t>, l’acheteur d’un c</w:t>
      </w:r>
      <w:r w:rsidR="002760B2" w:rsidRPr="008D4BEF">
        <w:rPr>
          <w:rFonts w:ascii="Times New Roman" w:eastAsia="ArialMT" w:hAnsi="Times New Roman" w:cs="Times New Roman"/>
          <w:kern w:val="24"/>
          <w:sz w:val="24"/>
          <w:szCs w:val="24"/>
        </w:rPr>
        <w:t xml:space="preserve">all doit la « prime » au vendeur si l’option n’est pas exercée. Il existe deux différences majeures entre un </w:t>
      </w:r>
      <w:r w:rsidRPr="008D4BEF">
        <w:rPr>
          <w:rFonts w:ascii="Times New Roman" w:eastAsia="ArialMT" w:hAnsi="Times New Roman" w:cs="Times New Roman"/>
          <w:kern w:val="24"/>
          <w:sz w:val="24"/>
          <w:szCs w:val="24"/>
        </w:rPr>
        <w:t>c</w:t>
      </w:r>
      <w:r w:rsidR="002760B2" w:rsidRPr="008D4BEF">
        <w:rPr>
          <w:rFonts w:ascii="Times New Roman" w:eastAsia="ArialMT" w:hAnsi="Times New Roman" w:cs="Times New Roman"/>
          <w:kern w:val="24"/>
          <w:sz w:val="24"/>
          <w:szCs w:val="24"/>
        </w:rPr>
        <w:t>all et un</w:t>
      </w:r>
      <w:r w:rsidR="009F6867" w:rsidRPr="008D4BEF">
        <w:rPr>
          <w:rFonts w:ascii="Times New Roman" w:eastAsia="ArialMT" w:hAnsi="Times New Roman" w:cs="Times New Roman"/>
          <w:i/>
          <w:kern w:val="24"/>
          <w:sz w:val="24"/>
          <w:szCs w:val="24"/>
        </w:rPr>
        <w:t xml:space="preserve"> a’rboun</w:t>
      </w:r>
      <w:r w:rsidR="002760B2" w:rsidRPr="008D4BEF">
        <w:rPr>
          <w:rFonts w:ascii="Times New Roman" w:eastAsia="ArialMT" w:hAnsi="Times New Roman" w:cs="Times New Roman"/>
          <w:kern w:val="24"/>
          <w:sz w:val="24"/>
          <w:szCs w:val="24"/>
        </w:rPr>
        <w:t>. Premièrement</w:t>
      </w:r>
      <w:r w:rsidR="009F6867" w:rsidRPr="008D4BEF">
        <w:rPr>
          <w:rFonts w:ascii="Times New Roman" w:eastAsia="ArialMT" w:hAnsi="Times New Roman" w:cs="Times New Roman"/>
          <w:kern w:val="24"/>
          <w:sz w:val="24"/>
          <w:szCs w:val="24"/>
        </w:rPr>
        <w:t>,</w:t>
      </w:r>
      <w:r w:rsidR="002760B2" w:rsidRPr="008D4BEF">
        <w:rPr>
          <w:rFonts w:ascii="Times New Roman" w:eastAsia="ArialMT" w:hAnsi="Times New Roman" w:cs="Times New Roman"/>
          <w:kern w:val="24"/>
          <w:sz w:val="24"/>
          <w:szCs w:val="24"/>
        </w:rPr>
        <w:t xml:space="preserve"> dans le cas d’un </w:t>
      </w:r>
      <w:r w:rsidRPr="008D4BEF">
        <w:rPr>
          <w:rFonts w:ascii="Times New Roman" w:eastAsia="ArialMT" w:hAnsi="Times New Roman" w:cs="Times New Roman"/>
          <w:i/>
          <w:iCs/>
          <w:kern w:val="24"/>
          <w:sz w:val="24"/>
          <w:szCs w:val="24"/>
        </w:rPr>
        <w:t>a</w:t>
      </w:r>
      <w:r w:rsidR="00B13A51" w:rsidRPr="008D4BEF">
        <w:rPr>
          <w:rFonts w:ascii="Times New Roman" w:eastAsia="ArialMT" w:hAnsi="Times New Roman" w:cs="Times New Roman"/>
          <w:i/>
          <w:kern w:val="24"/>
          <w:sz w:val="24"/>
          <w:szCs w:val="24"/>
        </w:rPr>
        <w:t>’rboun</w:t>
      </w:r>
      <w:r w:rsidR="002760B2" w:rsidRPr="008D4BEF">
        <w:rPr>
          <w:rFonts w:ascii="Times New Roman" w:eastAsia="ArialMT" w:hAnsi="Times New Roman" w:cs="Times New Roman"/>
          <w:kern w:val="24"/>
          <w:sz w:val="24"/>
          <w:szCs w:val="24"/>
        </w:rPr>
        <w:t xml:space="preserve">, si l’option est exercée, le vendeur intègre la « prime » dans le prix du sous-jacent. Deuxièmement, le sous-jacent d’un </w:t>
      </w:r>
      <w:r w:rsidRPr="008D4BEF">
        <w:rPr>
          <w:rFonts w:ascii="Times New Roman" w:eastAsia="ArialMT" w:hAnsi="Times New Roman" w:cs="Times New Roman"/>
          <w:i/>
          <w:kern w:val="24"/>
          <w:sz w:val="24"/>
          <w:szCs w:val="24"/>
        </w:rPr>
        <w:t>a</w:t>
      </w:r>
      <w:r w:rsidR="00B13A51" w:rsidRPr="008D4BEF">
        <w:rPr>
          <w:rFonts w:ascii="Times New Roman" w:eastAsia="ArialMT" w:hAnsi="Times New Roman" w:cs="Times New Roman"/>
          <w:i/>
          <w:kern w:val="24"/>
          <w:sz w:val="24"/>
          <w:szCs w:val="24"/>
        </w:rPr>
        <w:t>’rboun</w:t>
      </w:r>
      <w:r w:rsidR="002760B2" w:rsidRPr="008D4BEF">
        <w:rPr>
          <w:rFonts w:ascii="Times New Roman" w:eastAsia="ArialMT" w:hAnsi="Times New Roman" w:cs="Times New Roman"/>
          <w:kern w:val="24"/>
          <w:sz w:val="24"/>
          <w:szCs w:val="24"/>
        </w:rPr>
        <w:t xml:space="preserve"> est toujours un actif tangible</w:t>
      </w:r>
      <w:r w:rsidR="002760B2" w:rsidRPr="008D4BEF">
        <w:rPr>
          <w:rStyle w:val="Appelnotedebasdep"/>
          <w:rFonts w:ascii="Times New Roman" w:eastAsia="ArialMT" w:hAnsi="Times New Roman"/>
          <w:kern w:val="24"/>
          <w:sz w:val="24"/>
          <w:szCs w:val="24"/>
        </w:rPr>
        <w:footnoteReference w:id="142"/>
      </w:r>
      <w:r w:rsidR="002760B2" w:rsidRPr="008D4BEF">
        <w:rPr>
          <w:rFonts w:ascii="Times New Roman" w:eastAsia="ArialMT" w:hAnsi="Times New Roman" w:cs="Times New Roman"/>
          <w:kern w:val="24"/>
          <w:sz w:val="24"/>
          <w:szCs w:val="24"/>
        </w:rPr>
        <w:t>.</w:t>
      </w:r>
    </w:p>
    <w:p w14:paraId="16BC6D84" w14:textId="58F7F223" w:rsidR="002760B2" w:rsidRPr="008D4BEF" w:rsidRDefault="002760B2" w:rsidP="008D4BEF">
      <w:pPr>
        <w:tabs>
          <w:tab w:val="left" w:pos="0"/>
        </w:tabs>
        <w:autoSpaceDE w:val="0"/>
        <w:autoSpaceDN w:val="0"/>
        <w:adjustRightInd w:val="0"/>
        <w:spacing w:before="120" w:line="300" w:lineRule="auto"/>
        <w:ind w:firstLine="709"/>
        <w:rPr>
          <w:rFonts w:ascii="Times New Roman" w:eastAsia="ArialMT" w:hAnsi="Times New Roman" w:cs="Times New Roman"/>
          <w:kern w:val="24"/>
          <w:sz w:val="24"/>
          <w:szCs w:val="24"/>
        </w:rPr>
      </w:pPr>
      <w:r w:rsidRPr="008D4BEF">
        <w:rPr>
          <w:rFonts w:ascii="Times New Roman" w:eastAsia="ArialMT" w:hAnsi="Times New Roman" w:cs="Times New Roman"/>
          <w:kern w:val="24"/>
          <w:sz w:val="24"/>
          <w:szCs w:val="24"/>
        </w:rPr>
        <w:t xml:space="preserve">Selon </w:t>
      </w:r>
      <w:r w:rsidRPr="008D4BEF">
        <w:rPr>
          <w:rFonts w:ascii="Times New Roman" w:eastAsia="ArialMT" w:hAnsi="Times New Roman" w:cs="Times New Roman"/>
          <w:smallCaps/>
          <w:kern w:val="24"/>
          <w:sz w:val="24"/>
          <w:szCs w:val="24"/>
        </w:rPr>
        <w:t>Nuradli</w:t>
      </w:r>
      <w:r w:rsidRPr="008D4BEF">
        <w:rPr>
          <w:rFonts w:ascii="Times New Roman" w:eastAsia="ArialMT" w:hAnsi="Times New Roman" w:cs="Times New Roman"/>
          <w:kern w:val="24"/>
          <w:sz w:val="24"/>
          <w:szCs w:val="24"/>
        </w:rPr>
        <w:t xml:space="preserve"> (2001)</w:t>
      </w:r>
      <w:r w:rsidRPr="008D4BEF">
        <w:rPr>
          <w:rStyle w:val="Appelnotedebasdep"/>
          <w:rFonts w:ascii="Times New Roman" w:eastAsia="ArialMT" w:hAnsi="Times New Roman"/>
          <w:kern w:val="24"/>
          <w:sz w:val="24"/>
          <w:szCs w:val="24"/>
        </w:rPr>
        <w:footnoteReference w:id="143"/>
      </w:r>
      <w:r w:rsidRPr="008D4BEF">
        <w:rPr>
          <w:rFonts w:ascii="Times New Roman" w:eastAsia="ArialMT" w:hAnsi="Times New Roman" w:cs="Times New Roman"/>
          <w:kern w:val="24"/>
          <w:sz w:val="24"/>
          <w:szCs w:val="24"/>
        </w:rPr>
        <w:t>, ce type de transaction n’est pas unanimement accepté par l</w:t>
      </w:r>
      <w:r w:rsidR="00280797" w:rsidRPr="008D4BEF">
        <w:rPr>
          <w:rFonts w:ascii="Times New Roman" w:eastAsia="ArialMT" w:hAnsi="Times New Roman" w:cs="Times New Roman"/>
          <w:kern w:val="24"/>
          <w:sz w:val="24"/>
          <w:szCs w:val="24"/>
        </w:rPr>
        <w:t>es différentes écoles de pensée</w:t>
      </w:r>
      <w:r w:rsidRPr="008D4BEF">
        <w:rPr>
          <w:rFonts w:ascii="Times New Roman" w:eastAsia="ArialMT" w:hAnsi="Times New Roman" w:cs="Times New Roman"/>
          <w:kern w:val="24"/>
          <w:sz w:val="24"/>
          <w:szCs w:val="24"/>
        </w:rPr>
        <w:t xml:space="preserve"> </w:t>
      </w:r>
      <w:r w:rsidR="00280797" w:rsidRPr="008D4BEF">
        <w:rPr>
          <w:rFonts w:ascii="Times New Roman" w:eastAsia="ArialMT" w:hAnsi="Times New Roman" w:cs="Times New Roman"/>
          <w:kern w:val="24"/>
          <w:sz w:val="24"/>
          <w:szCs w:val="24"/>
        </w:rPr>
        <w:t>musulmanes</w:t>
      </w:r>
      <w:r w:rsidR="000E09D0" w:rsidRPr="008D4BEF">
        <w:rPr>
          <w:rFonts w:ascii="Times New Roman" w:eastAsia="ArialMT" w:hAnsi="Times New Roman" w:cs="Times New Roman"/>
          <w:kern w:val="24"/>
          <w:sz w:val="24"/>
          <w:szCs w:val="24"/>
        </w:rPr>
        <w:t>. D’un côté, l’école h</w:t>
      </w:r>
      <w:r w:rsidRPr="008D4BEF">
        <w:rPr>
          <w:rFonts w:ascii="Times New Roman" w:eastAsia="ArialMT" w:hAnsi="Times New Roman" w:cs="Times New Roman"/>
          <w:kern w:val="24"/>
          <w:sz w:val="24"/>
          <w:szCs w:val="24"/>
        </w:rPr>
        <w:t>anafite, estime que l’</w:t>
      </w:r>
      <w:r w:rsidR="000E09D0" w:rsidRPr="008D4BEF">
        <w:rPr>
          <w:rFonts w:ascii="Times New Roman" w:eastAsia="ArialMT" w:hAnsi="Times New Roman" w:cs="Times New Roman"/>
          <w:i/>
          <w:kern w:val="24"/>
          <w:sz w:val="24"/>
          <w:szCs w:val="24"/>
        </w:rPr>
        <w:t>a</w:t>
      </w:r>
      <w:r w:rsidR="00B13A51" w:rsidRPr="008D4BEF">
        <w:rPr>
          <w:rFonts w:ascii="Times New Roman" w:eastAsia="ArialMT" w:hAnsi="Times New Roman" w:cs="Times New Roman"/>
          <w:i/>
          <w:kern w:val="24"/>
          <w:sz w:val="24"/>
          <w:szCs w:val="24"/>
        </w:rPr>
        <w:t>’rboun</w:t>
      </w:r>
      <w:r w:rsidRPr="008D4BEF">
        <w:rPr>
          <w:rFonts w:ascii="Times New Roman" w:eastAsia="ArialMT" w:hAnsi="Times New Roman" w:cs="Times New Roman"/>
          <w:kern w:val="24"/>
          <w:sz w:val="24"/>
          <w:szCs w:val="24"/>
        </w:rPr>
        <w:t xml:space="preserve"> est une forme de co</w:t>
      </w:r>
      <w:r w:rsidR="0087267A" w:rsidRPr="008D4BEF">
        <w:rPr>
          <w:rFonts w:ascii="Times New Roman" w:eastAsia="ArialMT" w:hAnsi="Times New Roman" w:cs="Times New Roman"/>
          <w:kern w:val="24"/>
          <w:sz w:val="24"/>
          <w:szCs w:val="24"/>
        </w:rPr>
        <w:t>rruption ;</w:t>
      </w:r>
      <w:r w:rsidR="00CF66C7" w:rsidRPr="008D4BEF">
        <w:rPr>
          <w:rFonts w:ascii="Times New Roman" w:eastAsia="ArialMT" w:hAnsi="Times New Roman" w:cs="Times New Roman"/>
          <w:kern w:val="24"/>
          <w:sz w:val="24"/>
          <w:szCs w:val="24"/>
        </w:rPr>
        <w:t xml:space="preserve"> les écoles </w:t>
      </w:r>
      <w:r w:rsidR="00CF66C7" w:rsidRPr="008D4BEF">
        <w:rPr>
          <w:rFonts w:ascii="Times New Roman" w:eastAsia="ArialMT" w:hAnsi="Times New Roman" w:cs="Times New Roman"/>
          <w:i/>
          <w:iCs/>
          <w:kern w:val="24"/>
          <w:sz w:val="24"/>
          <w:szCs w:val="24"/>
        </w:rPr>
        <w:t>shafii’te</w:t>
      </w:r>
      <w:r w:rsidR="00CF66C7" w:rsidRPr="008D4BEF">
        <w:rPr>
          <w:rFonts w:ascii="Times New Roman" w:eastAsia="ArialMT" w:hAnsi="Times New Roman" w:cs="Times New Roman"/>
          <w:kern w:val="24"/>
          <w:sz w:val="24"/>
          <w:szCs w:val="24"/>
        </w:rPr>
        <w:t xml:space="preserve"> et </w:t>
      </w:r>
      <w:r w:rsidR="00CF66C7" w:rsidRPr="008D4BEF">
        <w:rPr>
          <w:rFonts w:ascii="Times New Roman" w:eastAsia="ArialMT" w:hAnsi="Times New Roman" w:cs="Times New Roman"/>
          <w:i/>
          <w:iCs/>
          <w:kern w:val="24"/>
          <w:sz w:val="24"/>
          <w:szCs w:val="24"/>
        </w:rPr>
        <w:t>m</w:t>
      </w:r>
      <w:r w:rsidRPr="008D4BEF">
        <w:rPr>
          <w:rFonts w:ascii="Times New Roman" w:eastAsia="ArialMT" w:hAnsi="Times New Roman" w:cs="Times New Roman"/>
          <w:i/>
          <w:iCs/>
          <w:kern w:val="24"/>
          <w:sz w:val="24"/>
          <w:szCs w:val="24"/>
        </w:rPr>
        <w:t>alikite</w:t>
      </w:r>
      <w:r w:rsidRPr="008D4BEF">
        <w:rPr>
          <w:rFonts w:ascii="Times New Roman" w:eastAsia="ArialMT" w:hAnsi="Times New Roman" w:cs="Times New Roman"/>
          <w:kern w:val="24"/>
          <w:sz w:val="24"/>
          <w:szCs w:val="24"/>
        </w:rPr>
        <w:t xml:space="preserve"> soutiennent que ce genre de contrat est nul, car, selon eux, il s’agit d’une forme de tromperie et accentue le risque. D’un autre </w:t>
      </w:r>
      <w:r w:rsidR="00926280" w:rsidRPr="008D4BEF">
        <w:rPr>
          <w:rFonts w:ascii="Times New Roman" w:eastAsia="ArialMT" w:hAnsi="Times New Roman" w:cs="Times New Roman"/>
          <w:kern w:val="24"/>
          <w:sz w:val="24"/>
          <w:szCs w:val="24"/>
        </w:rPr>
        <w:t>côté</w:t>
      </w:r>
      <w:r w:rsidRPr="008D4BEF">
        <w:rPr>
          <w:rFonts w:ascii="Times New Roman" w:eastAsia="ArialMT" w:hAnsi="Times New Roman" w:cs="Times New Roman"/>
          <w:kern w:val="24"/>
          <w:sz w:val="24"/>
          <w:szCs w:val="24"/>
        </w:rPr>
        <w:t xml:space="preserve">, </w:t>
      </w:r>
      <w:r w:rsidRPr="008D4BEF">
        <w:rPr>
          <w:rFonts w:ascii="Times New Roman" w:eastAsia="ArialMT" w:hAnsi="Times New Roman" w:cs="Times New Roman"/>
          <w:smallCaps/>
          <w:kern w:val="24"/>
          <w:sz w:val="24"/>
          <w:szCs w:val="24"/>
        </w:rPr>
        <w:t>Kamali</w:t>
      </w:r>
      <w:r w:rsidRPr="008D4BEF">
        <w:rPr>
          <w:rFonts w:ascii="Times New Roman" w:eastAsia="ArialMT" w:hAnsi="Times New Roman" w:cs="Times New Roman"/>
          <w:kern w:val="24"/>
          <w:sz w:val="24"/>
          <w:szCs w:val="24"/>
        </w:rPr>
        <w:t xml:space="preserve"> (2002)</w:t>
      </w:r>
      <w:r w:rsidRPr="008D4BEF">
        <w:rPr>
          <w:rStyle w:val="Appelnotedebasdep"/>
          <w:rFonts w:ascii="Times New Roman" w:eastAsia="ArialMT" w:hAnsi="Times New Roman"/>
          <w:kern w:val="24"/>
          <w:sz w:val="24"/>
          <w:szCs w:val="24"/>
        </w:rPr>
        <w:footnoteReference w:id="144"/>
      </w:r>
      <w:r w:rsidRPr="008D4BEF">
        <w:rPr>
          <w:rFonts w:ascii="Times New Roman" w:eastAsia="ArialMT" w:hAnsi="Times New Roman" w:cs="Times New Roman"/>
          <w:kern w:val="24"/>
          <w:sz w:val="24"/>
          <w:szCs w:val="24"/>
        </w:rPr>
        <w:t xml:space="preserve"> approuve l’</w:t>
      </w:r>
      <w:r w:rsidR="00280797" w:rsidRPr="008D4BEF">
        <w:rPr>
          <w:rFonts w:ascii="Times New Roman" w:eastAsia="ArialMT" w:hAnsi="Times New Roman" w:cs="Times New Roman"/>
          <w:i/>
          <w:kern w:val="24"/>
          <w:sz w:val="24"/>
          <w:szCs w:val="24"/>
        </w:rPr>
        <w:t>a</w:t>
      </w:r>
      <w:r w:rsidR="00B13A51" w:rsidRPr="008D4BEF">
        <w:rPr>
          <w:rFonts w:ascii="Times New Roman" w:eastAsia="ArialMT" w:hAnsi="Times New Roman" w:cs="Times New Roman"/>
          <w:i/>
          <w:kern w:val="24"/>
          <w:sz w:val="24"/>
          <w:szCs w:val="24"/>
        </w:rPr>
        <w:t>’rboun</w:t>
      </w:r>
      <w:r w:rsidR="006173F4" w:rsidRPr="008D4BEF">
        <w:rPr>
          <w:rFonts w:ascii="Times New Roman" w:eastAsia="ArialMT" w:hAnsi="Times New Roman" w:cs="Times New Roman"/>
          <w:kern w:val="24"/>
          <w:sz w:val="24"/>
          <w:szCs w:val="24"/>
        </w:rPr>
        <w:t xml:space="preserve"> en se basant sur des </w:t>
      </w:r>
      <w:r w:rsidR="003303C3" w:rsidRPr="008D4BEF">
        <w:rPr>
          <w:rFonts w:ascii="Times New Roman" w:eastAsia="ArialMT" w:hAnsi="Times New Roman" w:cs="Times New Roman"/>
          <w:kern w:val="24"/>
          <w:sz w:val="24"/>
          <w:szCs w:val="24"/>
        </w:rPr>
        <w:t>points de vue</w:t>
      </w:r>
      <w:r w:rsidR="00530E5E" w:rsidRPr="008D4BEF">
        <w:rPr>
          <w:rFonts w:ascii="Times New Roman" w:eastAsia="ArialMT" w:hAnsi="Times New Roman" w:cs="Times New Roman"/>
          <w:kern w:val="24"/>
          <w:sz w:val="24"/>
          <w:szCs w:val="24"/>
        </w:rPr>
        <w:t xml:space="preserve"> de gens du </w:t>
      </w:r>
      <w:r w:rsidR="00530E5E" w:rsidRPr="008D4BEF">
        <w:rPr>
          <w:rFonts w:ascii="Times New Roman" w:eastAsia="ArialMT" w:hAnsi="Times New Roman" w:cs="Times New Roman"/>
          <w:i/>
          <w:iCs/>
          <w:kern w:val="24"/>
          <w:sz w:val="24"/>
          <w:szCs w:val="24"/>
        </w:rPr>
        <w:t>fiqh</w:t>
      </w:r>
      <w:r w:rsidRPr="008D4BEF">
        <w:rPr>
          <w:rFonts w:ascii="Times New Roman" w:eastAsia="ArialMT" w:hAnsi="Times New Roman" w:cs="Times New Roman"/>
          <w:kern w:val="24"/>
          <w:sz w:val="24"/>
          <w:szCs w:val="24"/>
        </w:rPr>
        <w:t xml:space="preserve"> tels que Yusuf </w:t>
      </w:r>
      <w:r w:rsidRPr="008D4BEF">
        <w:rPr>
          <w:rFonts w:ascii="Times New Roman" w:eastAsia="ArialMT" w:hAnsi="Times New Roman" w:cs="Times New Roman"/>
          <w:smallCaps/>
          <w:kern w:val="24"/>
          <w:sz w:val="24"/>
          <w:szCs w:val="24"/>
        </w:rPr>
        <w:t>Qar</w:t>
      </w:r>
      <w:r w:rsidR="00CF66C7" w:rsidRPr="008D4BEF">
        <w:rPr>
          <w:rFonts w:ascii="Times New Roman" w:eastAsia="ArialMT" w:hAnsi="Times New Roman" w:cs="Times New Roman"/>
          <w:smallCaps/>
          <w:kern w:val="24"/>
          <w:sz w:val="24"/>
          <w:szCs w:val="24"/>
        </w:rPr>
        <w:t>a</w:t>
      </w:r>
      <w:r w:rsidRPr="008D4BEF">
        <w:rPr>
          <w:rFonts w:ascii="Times New Roman" w:eastAsia="ArialMT" w:hAnsi="Times New Roman" w:cs="Times New Roman"/>
          <w:smallCaps/>
          <w:kern w:val="24"/>
          <w:sz w:val="24"/>
          <w:szCs w:val="24"/>
        </w:rPr>
        <w:t>dawi</w:t>
      </w:r>
      <w:r w:rsidR="0087267A" w:rsidRPr="008D4BEF">
        <w:rPr>
          <w:rFonts w:ascii="Times New Roman" w:eastAsia="ArialMT" w:hAnsi="Times New Roman" w:cs="Times New Roman"/>
          <w:kern w:val="24"/>
          <w:sz w:val="24"/>
          <w:szCs w:val="24"/>
        </w:rPr>
        <w:t xml:space="preserve"> et</w:t>
      </w:r>
      <w:r w:rsidRPr="008D4BEF">
        <w:rPr>
          <w:rFonts w:ascii="Times New Roman" w:eastAsia="ArialMT" w:hAnsi="Times New Roman" w:cs="Times New Roman"/>
          <w:kern w:val="24"/>
          <w:sz w:val="24"/>
          <w:szCs w:val="24"/>
        </w:rPr>
        <w:t xml:space="preserve"> Mustafa </w:t>
      </w:r>
      <w:r w:rsidRPr="008D4BEF">
        <w:rPr>
          <w:rFonts w:ascii="Times New Roman" w:eastAsia="ArialMT" w:hAnsi="Times New Roman" w:cs="Times New Roman"/>
          <w:smallCaps/>
          <w:kern w:val="24"/>
          <w:sz w:val="24"/>
          <w:szCs w:val="24"/>
        </w:rPr>
        <w:t>al-Zarqa</w:t>
      </w:r>
      <w:r w:rsidRPr="008D4BEF">
        <w:rPr>
          <w:rFonts w:ascii="Times New Roman" w:eastAsia="ArialMT" w:hAnsi="Times New Roman" w:cs="Times New Roman"/>
          <w:kern w:val="24"/>
          <w:sz w:val="24"/>
          <w:szCs w:val="24"/>
        </w:rPr>
        <w:t>. Malgré ces divergences d’opinion, de nombreux produits financiers utilisant cette technique ont été conçus.</w:t>
      </w:r>
    </w:p>
    <w:p w14:paraId="55C20FEF" w14:textId="6D623E2E" w:rsidR="002760B2" w:rsidRPr="008D4BEF" w:rsidRDefault="008D4BEF" w:rsidP="00A2748E">
      <w:pPr>
        <w:pStyle w:val="Titre5"/>
        <w:keepNext w:val="0"/>
        <w:keepLines w:val="0"/>
        <w:spacing w:before="100" w:beforeAutospacing="1" w:line="300" w:lineRule="auto"/>
        <w:ind w:firstLine="709"/>
        <w:rPr>
          <w:rFonts w:asciiTheme="majorBidi" w:hAnsiTheme="majorBidi"/>
          <w:b/>
          <w:bCs/>
          <w:color w:val="auto"/>
          <w:kern w:val="24"/>
          <w:sz w:val="24"/>
          <w:szCs w:val="24"/>
        </w:rPr>
      </w:pPr>
      <w:bookmarkStart w:id="429" w:name="_Toc182298670"/>
      <w:r w:rsidRPr="008D4BEF">
        <w:rPr>
          <w:rFonts w:asciiTheme="majorBidi" w:hAnsiTheme="majorBidi"/>
          <w:b/>
          <w:bCs/>
          <w:color w:val="auto"/>
          <w:kern w:val="24"/>
          <w:sz w:val="24"/>
          <w:szCs w:val="24"/>
        </w:rPr>
        <w:t xml:space="preserve">2.5.1.3- </w:t>
      </w:r>
      <w:r w:rsidR="00920496" w:rsidRPr="008D4BEF">
        <w:rPr>
          <w:rFonts w:asciiTheme="majorBidi" w:hAnsiTheme="majorBidi"/>
          <w:b/>
          <w:bCs/>
          <w:color w:val="auto"/>
          <w:kern w:val="24"/>
          <w:sz w:val="24"/>
          <w:szCs w:val="24"/>
        </w:rPr>
        <w:t>S</w:t>
      </w:r>
      <w:r w:rsidR="00B162F0" w:rsidRPr="008D4BEF">
        <w:rPr>
          <w:rFonts w:asciiTheme="majorBidi" w:hAnsiTheme="majorBidi"/>
          <w:b/>
          <w:bCs/>
          <w:color w:val="auto"/>
          <w:kern w:val="24"/>
          <w:sz w:val="24"/>
          <w:szCs w:val="24"/>
        </w:rPr>
        <w:t>waps</w:t>
      </w:r>
      <w:bookmarkEnd w:id="429"/>
    </w:p>
    <w:p w14:paraId="10EA1965" w14:textId="3A47C011" w:rsidR="004B790B" w:rsidRPr="008D4BEF" w:rsidRDefault="00842E53" w:rsidP="008D4BEF">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Un accord de swap est un contrat par lequel deux parties conviennent d’échanger des flux financiers sur une certaine période et selon une formule préétablie. </w:t>
      </w:r>
      <w:r w:rsidR="002760B2" w:rsidRPr="008D4BEF">
        <w:rPr>
          <w:rFonts w:ascii="Times New Roman" w:hAnsi="Times New Roman" w:cs="Times New Roman"/>
          <w:kern w:val="24"/>
          <w:sz w:val="24"/>
          <w:szCs w:val="24"/>
        </w:rPr>
        <w:t xml:space="preserve">Il existe plusieurs types de swaps conventionnels dont la plupart sont prohibés par la </w:t>
      </w:r>
      <w:r w:rsidR="001124FF" w:rsidRPr="008D4BEF">
        <w:rPr>
          <w:rFonts w:asciiTheme="majorBidi" w:eastAsia="Times New Roman" w:hAnsiTheme="majorBidi" w:cstheme="majorBidi"/>
          <w:i/>
          <w:iCs/>
          <w:color w:val="000000" w:themeColor="text1"/>
          <w:kern w:val="24"/>
          <w:sz w:val="24"/>
          <w:szCs w:val="24"/>
          <w:lang w:eastAsia="fr-FR"/>
        </w:rPr>
        <w:t>Shariah</w:t>
      </w:r>
      <w:r w:rsidR="002760B2" w:rsidRPr="008D4BEF">
        <w:rPr>
          <w:rFonts w:ascii="Times New Roman" w:hAnsi="Times New Roman" w:cs="Times New Roman"/>
          <w:kern w:val="24"/>
          <w:sz w:val="24"/>
          <w:szCs w:val="24"/>
        </w:rPr>
        <w:t xml:space="preserve">. Nous présentons l’avis des </w:t>
      </w:r>
      <w:r w:rsidR="002760B2" w:rsidRPr="008D4BEF">
        <w:rPr>
          <w:rFonts w:ascii="Times New Roman" w:hAnsi="Times New Roman" w:cs="Times New Roman"/>
          <w:i/>
          <w:kern w:val="24"/>
          <w:sz w:val="24"/>
          <w:szCs w:val="24"/>
        </w:rPr>
        <w:t>scholars</w:t>
      </w:r>
      <w:r w:rsidR="002760B2" w:rsidRPr="008D4BEF">
        <w:rPr>
          <w:rFonts w:ascii="Times New Roman" w:hAnsi="Times New Roman" w:cs="Times New Roman"/>
          <w:kern w:val="24"/>
          <w:sz w:val="24"/>
          <w:szCs w:val="24"/>
        </w:rPr>
        <w:t xml:space="preserve"> </w:t>
      </w:r>
      <w:r w:rsidR="00505EDD"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2760B2" w:rsidRPr="008D4BEF">
        <w:rPr>
          <w:rFonts w:ascii="Times New Roman" w:hAnsi="Times New Roman" w:cs="Times New Roman"/>
          <w:kern w:val="24"/>
          <w:sz w:val="24"/>
          <w:szCs w:val="24"/>
        </w:rPr>
        <w:t>s sur les plus répandus</w:t>
      </w:r>
      <w:r w:rsidR="002760B2" w:rsidRPr="008D4BEF">
        <w:rPr>
          <w:rStyle w:val="Appelnotedebasdep"/>
          <w:rFonts w:ascii="Times New Roman" w:hAnsi="Times New Roman"/>
          <w:kern w:val="24"/>
          <w:sz w:val="24"/>
          <w:szCs w:val="24"/>
        </w:rPr>
        <w:footnoteReference w:id="145"/>
      </w:r>
      <w:r w:rsidR="00CF66C7" w:rsidRPr="008D4BEF">
        <w:rPr>
          <w:rFonts w:ascii="Times New Roman" w:hAnsi="Times New Roman" w:cs="Times New Roman"/>
          <w:kern w:val="24"/>
          <w:sz w:val="24"/>
          <w:szCs w:val="24"/>
        </w:rPr>
        <w:t> :</w:t>
      </w:r>
    </w:p>
    <w:p w14:paraId="7FDCFBCC" w14:textId="4231705F" w:rsidR="00842E53" w:rsidRPr="008D4BEF" w:rsidRDefault="008D4BEF" w:rsidP="00A2748E">
      <w:pPr>
        <w:pStyle w:val="Titre6"/>
        <w:keepNext w:val="0"/>
        <w:keepLines w:val="0"/>
        <w:tabs>
          <w:tab w:val="left" w:pos="1701"/>
        </w:tabs>
        <w:spacing w:before="100" w:beforeAutospacing="1" w:line="300" w:lineRule="auto"/>
        <w:ind w:firstLine="709"/>
        <w:rPr>
          <w:rFonts w:asciiTheme="majorBidi" w:hAnsiTheme="majorBidi"/>
          <w:b/>
          <w:bCs/>
          <w:i w:val="0"/>
          <w:iCs w:val="0"/>
          <w:color w:val="auto"/>
          <w:kern w:val="24"/>
          <w:sz w:val="24"/>
          <w:szCs w:val="24"/>
        </w:rPr>
      </w:pPr>
      <w:bookmarkStart w:id="430" w:name="_Toc182298671"/>
      <w:r w:rsidRPr="008D4BEF">
        <w:rPr>
          <w:rFonts w:asciiTheme="majorBidi" w:hAnsiTheme="majorBidi"/>
          <w:b/>
          <w:bCs/>
          <w:i w:val="0"/>
          <w:iCs w:val="0"/>
          <w:color w:val="auto"/>
          <w:kern w:val="24"/>
          <w:sz w:val="24"/>
          <w:szCs w:val="24"/>
        </w:rPr>
        <w:t xml:space="preserve">2.5.1.3.1- </w:t>
      </w:r>
      <w:r w:rsidR="00920496" w:rsidRPr="008D4BEF">
        <w:rPr>
          <w:rFonts w:asciiTheme="majorBidi" w:hAnsiTheme="majorBidi"/>
          <w:b/>
          <w:bCs/>
          <w:i w:val="0"/>
          <w:iCs w:val="0"/>
          <w:color w:val="auto"/>
          <w:kern w:val="24"/>
          <w:sz w:val="24"/>
          <w:szCs w:val="24"/>
        </w:rPr>
        <w:t>S</w:t>
      </w:r>
      <w:r w:rsidR="002760B2" w:rsidRPr="008D4BEF">
        <w:rPr>
          <w:rFonts w:asciiTheme="majorBidi" w:hAnsiTheme="majorBidi"/>
          <w:b/>
          <w:bCs/>
          <w:i w:val="0"/>
          <w:iCs w:val="0"/>
          <w:color w:val="auto"/>
          <w:kern w:val="24"/>
          <w:sz w:val="24"/>
          <w:szCs w:val="24"/>
        </w:rPr>
        <w:t>wap de taux d’intérêt</w:t>
      </w:r>
      <w:bookmarkEnd w:id="430"/>
    </w:p>
    <w:p w14:paraId="5BB4C595" w14:textId="77777777" w:rsidR="0015217A" w:rsidRPr="008D4BEF" w:rsidRDefault="00842E53" w:rsidP="008D4BEF">
      <w:pPr>
        <w:pStyle w:val="Paragraphedeliste"/>
        <w:autoSpaceDE w:val="0"/>
        <w:autoSpaceDN w:val="0"/>
        <w:adjustRightInd w:val="0"/>
        <w:spacing w:before="120" w:line="300" w:lineRule="auto"/>
        <w:ind w:left="0" w:firstLine="709"/>
        <w:contextualSpacing w:val="0"/>
        <w:rPr>
          <w:rFonts w:asciiTheme="majorBidi" w:hAnsiTheme="majorBidi" w:cstheme="majorBidi"/>
          <w:kern w:val="24"/>
          <w:sz w:val="24"/>
          <w:szCs w:val="24"/>
        </w:rPr>
      </w:pPr>
      <w:r w:rsidRPr="008D4BEF">
        <w:rPr>
          <w:rFonts w:ascii="Times New Roman" w:hAnsi="Times New Roman" w:cs="Times New Roman"/>
          <w:kern w:val="24"/>
          <w:sz w:val="24"/>
          <w:szCs w:val="24"/>
          <w:shd w:val="clear" w:color="auto" w:fill="FFFFFF"/>
        </w:rPr>
        <w:t xml:space="preserve">Un swap de taux d'intérêt </w:t>
      </w:r>
      <w:r w:rsidR="00280797" w:rsidRPr="008D4BEF">
        <w:rPr>
          <w:rFonts w:ascii="Times New Roman" w:hAnsi="Times New Roman" w:cs="Times New Roman"/>
          <w:kern w:val="24"/>
          <w:sz w:val="24"/>
          <w:szCs w:val="24"/>
          <w:shd w:val="clear" w:color="auto" w:fill="FFFFFF"/>
        </w:rPr>
        <w:t>est un produit dérivé financier</w:t>
      </w:r>
      <w:r w:rsidRPr="008D4BEF">
        <w:rPr>
          <w:rFonts w:ascii="Times New Roman" w:hAnsi="Times New Roman" w:cs="Times New Roman"/>
          <w:kern w:val="24"/>
          <w:sz w:val="24"/>
          <w:szCs w:val="24"/>
          <w:shd w:val="clear" w:color="auto" w:fill="FFFFFF"/>
        </w:rPr>
        <w:t xml:space="preserve"> dont l'appellati</w:t>
      </w:r>
      <w:r w:rsidR="006E2052" w:rsidRPr="008D4BEF">
        <w:rPr>
          <w:rFonts w:ascii="Times New Roman" w:hAnsi="Times New Roman" w:cs="Times New Roman"/>
          <w:kern w:val="24"/>
          <w:sz w:val="24"/>
          <w:szCs w:val="24"/>
          <w:shd w:val="clear" w:color="auto" w:fill="FFFFFF"/>
        </w:rPr>
        <w:t>on officielle en français est « </w:t>
      </w:r>
      <w:r w:rsidRPr="008D4BEF">
        <w:rPr>
          <w:rFonts w:ascii="Times New Roman" w:hAnsi="Times New Roman" w:cs="Times New Roman"/>
          <w:kern w:val="24"/>
          <w:sz w:val="24"/>
          <w:szCs w:val="24"/>
          <w:shd w:val="clear" w:color="auto" w:fill="FFFFFF"/>
        </w:rPr>
        <w:t xml:space="preserve">contrat d'échange de taux d'intérêt ». </w:t>
      </w:r>
      <w:r w:rsidRPr="008D4BEF">
        <w:rPr>
          <w:rFonts w:ascii="Times New Roman" w:hAnsi="Times New Roman" w:cs="Times New Roman"/>
          <w:kern w:val="24"/>
          <w:sz w:val="24"/>
          <w:szCs w:val="24"/>
        </w:rPr>
        <w:t xml:space="preserve">Dans </w:t>
      </w:r>
      <w:r w:rsidR="008E38A6" w:rsidRPr="008D4BEF">
        <w:rPr>
          <w:rFonts w:ascii="Times New Roman" w:hAnsi="Times New Roman" w:cs="Times New Roman"/>
          <w:kern w:val="24"/>
          <w:sz w:val="24"/>
          <w:szCs w:val="24"/>
        </w:rPr>
        <w:t>ce swap</w:t>
      </w:r>
      <w:r w:rsidRPr="008D4BEF">
        <w:rPr>
          <w:rFonts w:ascii="Times New Roman" w:hAnsi="Times New Roman" w:cs="Times New Roman"/>
          <w:kern w:val="24"/>
          <w:sz w:val="24"/>
          <w:szCs w:val="24"/>
        </w:rPr>
        <w:t>, les contreparties s’échangent une série de paiements d’intérêts libellés dans la même monnaie</w:t>
      </w:r>
      <w:r w:rsidR="008E38A6" w:rsidRPr="008D4BEF">
        <w:rPr>
          <w:rFonts w:ascii="Times New Roman" w:hAnsi="Times New Roman" w:cs="Times New Roman"/>
          <w:kern w:val="24"/>
          <w:sz w:val="24"/>
          <w:szCs w:val="24"/>
        </w:rPr>
        <w:t xml:space="preserve">. </w:t>
      </w:r>
      <w:r w:rsidR="00B314BE" w:rsidRPr="008D4BEF">
        <w:rPr>
          <w:rFonts w:ascii="Times New Roman" w:hAnsi="Times New Roman" w:cs="Times New Roman"/>
          <w:kern w:val="24"/>
          <w:sz w:val="24"/>
          <w:szCs w:val="24"/>
        </w:rPr>
        <w:t>Une partie convient d’échanger avec l’autre un taux d’intérêt fixe sur un montant nominal de principal contre un taux d’intérêt variable sur le même montant nominal.</w:t>
      </w:r>
      <w:r w:rsidR="0015217A" w:rsidRPr="008D4BEF">
        <w:rPr>
          <w:rFonts w:ascii="Times New Roman" w:hAnsi="Times New Roman" w:cs="Times New Roman"/>
          <w:kern w:val="24"/>
          <w:sz w:val="24"/>
          <w:szCs w:val="24"/>
        </w:rPr>
        <w:t xml:space="preserve"> </w:t>
      </w:r>
      <w:r w:rsidR="0015217A" w:rsidRPr="008D4BEF">
        <w:rPr>
          <w:rFonts w:asciiTheme="majorBidi" w:hAnsiTheme="majorBidi" w:cstheme="majorBidi"/>
          <w:kern w:val="24"/>
          <w:sz w:val="24"/>
          <w:szCs w:val="24"/>
        </w:rPr>
        <w:t xml:space="preserve">(Voir </w:t>
      </w:r>
      <w:r w:rsidR="0015217A" w:rsidRPr="008D4BEF">
        <w:rPr>
          <w:rFonts w:asciiTheme="majorBidi" w:hAnsiTheme="majorBidi" w:cstheme="majorBidi"/>
          <w:b/>
          <w:bCs/>
          <w:kern w:val="24"/>
          <w:sz w:val="24"/>
          <w:szCs w:val="24"/>
        </w:rPr>
        <w:t>figure 14</w:t>
      </w:r>
      <w:r w:rsidR="0015217A" w:rsidRPr="008D4BEF">
        <w:rPr>
          <w:rFonts w:asciiTheme="majorBidi" w:hAnsiTheme="majorBidi" w:cstheme="majorBidi"/>
          <w:kern w:val="24"/>
          <w:sz w:val="24"/>
          <w:szCs w:val="24"/>
        </w:rPr>
        <w:t>).</w:t>
      </w:r>
    </w:p>
    <w:p w14:paraId="410CC45D" w14:textId="5CD44BE7" w:rsidR="0015217A" w:rsidRPr="00EF7FC5" w:rsidRDefault="00EF7FC5" w:rsidP="008D4BEF">
      <w:pPr>
        <w:pStyle w:val="Lgende"/>
        <w:keepNext/>
        <w:spacing w:before="100" w:beforeAutospacing="1" w:after="120" w:line="300" w:lineRule="auto"/>
        <w:jc w:val="center"/>
        <w:rPr>
          <w:rFonts w:asciiTheme="majorBidi" w:hAnsiTheme="majorBidi" w:cstheme="majorBidi"/>
          <w:color w:val="auto"/>
          <w:spacing w:val="6"/>
          <w:sz w:val="24"/>
          <w:szCs w:val="24"/>
        </w:rPr>
      </w:pPr>
      <w:bookmarkStart w:id="431" w:name="_Toc115527425"/>
      <w:r w:rsidRPr="00EF7FC5">
        <w:rPr>
          <w:rFonts w:asciiTheme="majorBidi" w:hAnsiTheme="majorBidi" w:cstheme="majorBidi"/>
          <w:color w:val="auto"/>
          <w:sz w:val="24"/>
          <w:szCs w:val="24"/>
        </w:rPr>
        <w:lastRenderedPageBreak/>
        <w:t xml:space="preserve">Figure </w:t>
      </w:r>
      <w:r w:rsidR="00B544E5" w:rsidRPr="00EF7FC5">
        <w:rPr>
          <w:rFonts w:asciiTheme="majorBidi" w:hAnsiTheme="majorBidi" w:cstheme="majorBidi"/>
          <w:color w:val="auto"/>
          <w:sz w:val="24"/>
          <w:szCs w:val="24"/>
        </w:rPr>
        <w:fldChar w:fldCharType="begin"/>
      </w:r>
      <w:r w:rsidRPr="00EF7FC5">
        <w:rPr>
          <w:rFonts w:asciiTheme="majorBidi" w:hAnsiTheme="majorBidi" w:cstheme="majorBidi"/>
          <w:color w:val="auto"/>
          <w:sz w:val="24"/>
          <w:szCs w:val="24"/>
        </w:rPr>
        <w:instrText xml:space="preserve"> SEQ Figure \* ARABIC </w:instrText>
      </w:r>
      <w:r w:rsidR="00B544E5" w:rsidRPr="00EF7FC5">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14</w:t>
      </w:r>
      <w:r w:rsidR="00B544E5" w:rsidRPr="00EF7FC5">
        <w:rPr>
          <w:rFonts w:asciiTheme="majorBidi" w:hAnsiTheme="majorBidi" w:cstheme="majorBidi"/>
          <w:color w:val="auto"/>
          <w:sz w:val="24"/>
          <w:szCs w:val="24"/>
        </w:rPr>
        <w:fldChar w:fldCharType="end"/>
      </w:r>
      <w:r w:rsidRPr="00EF7FC5">
        <w:rPr>
          <w:rFonts w:asciiTheme="majorBidi" w:hAnsiTheme="majorBidi" w:cstheme="majorBidi"/>
          <w:noProof/>
          <w:color w:val="auto"/>
          <w:sz w:val="24"/>
          <w:szCs w:val="24"/>
        </w:rPr>
        <w:t>- Structure d'un swap de taux d'intérêt</w:t>
      </w:r>
      <w:bookmarkEnd w:id="431"/>
    </w:p>
    <w:p w14:paraId="21D5F875" w14:textId="77777777" w:rsidR="0015217A" w:rsidRPr="00197D30" w:rsidRDefault="00A67C73" w:rsidP="00846B78">
      <w:pPr>
        <w:keepNext/>
        <w:autoSpaceDE w:val="0"/>
        <w:autoSpaceDN w:val="0"/>
        <w:adjustRightInd w:val="0"/>
        <w:spacing w:before="600" w:line="360" w:lineRule="auto"/>
        <w:jc w:val="center"/>
        <w:rPr>
          <w:rFonts w:asciiTheme="majorBidi" w:hAnsiTheme="majorBidi" w:cstheme="majorBidi"/>
          <w:spacing w:val="6"/>
          <w:sz w:val="24"/>
          <w:szCs w:val="24"/>
          <w:highlight w:val="yellow"/>
        </w:rPr>
      </w:pPr>
      <w:r>
        <w:rPr>
          <w:rFonts w:asciiTheme="majorBidi" w:hAnsiTheme="majorBidi" w:cstheme="majorBidi"/>
          <w:noProof/>
          <w:spacing w:val="6"/>
          <w:sz w:val="24"/>
          <w:szCs w:val="24"/>
          <w:lang w:eastAsia="fr-FR"/>
        </w:rPr>
        <w:drawing>
          <wp:anchor distT="0" distB="0" distL="114300" distR="114300" simplePos="0" relativeHeight="251534336" behindDoc="0" locked="0" layoutInCell="1" allowOverlap="1" wp14:anchorId="7F76F5DE" wp14:editId="3584BC85">
            <wp:simplePos x="0" y="0"/>
            <wp:positionH relativeFrom="column">
              <wp:posOffset>853440</wp:posOffset>
            </wp:positionH>
            <wp:positionV relativeFrom="paragraph">
              <wp:posOffset>77674</wp:posOffset>
            </wp:positionV>
            <wp:extent cx="3962400" cy="1076325"/>
            <wp:effectExtent l="0" t="0" r="0" b="0"/>
            <wp:wrapNone/>
            <wp:docPr id="1549" name="Imag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36" cstate="print"/>
                    <a:srcRect/>
                    <a:stretch>
                      <a:fillRect/>
                    </a:stretch>
                  </pic:blipFill>
                  <pic:spPr bwMode="auto">
                    <a:xfrm>
                      <a:off x="0" y="0"/>
                      <a:ext cx="3962400" cy="1076325"/>
                    </a:xfrm>
                    <a:prstGeom prst="rect">
                      <a:avLst/>
                    </a:prstGeom>
                    <a:noFill/>
                  </pic:spPr>
                </pic:pic>
              </a:graphicData>
            </a:graphic>
          </wp:anchor>
        </w:drawing>
      </w:r>
    </w:p>
    <w:p w14:paraId="28A95DB9" w14:textId="77777777" w:rsidR="00A67C73" w:rsidRDefault="00A67C73" w:rsidP="00846B78">
      <w:pPr>
        <w:keepNext/>
        <w:autoSpaceDE w:val="0"/>
        <w:autoSpaceDN w:val="0"/>
        <w:adjustRightInd w:val="0"/>
        <w:spacing w:before="480" w:after="240" w:line="360" w:lineRule="auto"/>
        <w:jc w:val="center"/>
        <w:rPr>
          <w:rFonts w:asciiTheme="majorBidi" w:hAnsiTheme="majorBidi" w:cstheme="majorBidi"/>
          <w:b/>
          <w:bCs/>
          <w:spacing w:val="6"/>
          <w:sz w:val="24"/>
          <w:szCs w:val="24"/>
        </w:rPr>
      </w:pPr>
    </w:p>
    <w:p w14:paraId="047D450C" w14:textId="77777777" w:rsidR="0015217A" w:rsidRPr="008D4BEF" w:rsidRDefault="0015217A" w:rsidP="00846B78">
      <w:pPr>
        <w:keepNext/>
        <w:autoSpaceDE w:val="0"/>
        <w:autoSpaceDN w:val="0"/>
        <w:adjustRightInd w:val="0"/>
        <w:spacing w:before="60" w:line="240" w:lineRule="auto"/>
        <w:jc w:val="center"/>
        <w:rPr>
          <w:rFonts w:asciiTheme="majorBidi" w:hAnsiTheme="majorBidi" w:cstheme="majorBidi"/>
          <w:spacing w:val="6"/>
          <w:sz w:val="20"/>
          <w:szCs w:val="20"/>
        </w:rPr>
      </w:pPr>
      <w:r w:rsidRPr="008D4BEF">
        <w:rPr>
          <w:rFonts w:asciiTheme="majorBidi" w:hAnsiTheme="majorBidi" w:cstheme="majorBidi"/>
          <w:spacing w:val="6"/>
          <w:sz w:val="20"/>
          <w:szCs w:val="20"/>
        </w:rPr>
        <w:t xml:space="preserve">Source : </w:t>
      </w:r>
      <w:r w:rsidRPr="008D4BEF">
        <w:rPr>
          <w:rFonts w:asciiTheme="majorBidi" w:hAnsiTheme="majorBidi" w:cstheme="majorBidi"/>
          <w:smallCaps/>
          <w:spacing w:val="6"/>
          <w:sz w:val="20"/>
          <w:szCs w:val="20"/>
        </w:rPr>
        <w:t>kiff</w:t>
      </w:r>
      <w:r w:rsidRPr="008D4BEF">
        <w:rPr>
          <w:rFonts w:asciiTheme="majorBidi" w:hAnsiTheme="majorBidi" w:cstheme="majorBidi"/>
          <w:spacing w:val="6"/>
          <w:sz w:val="20"/>
          <w:szCs w:val="20"/>
        </w:rPr>
        <w:t xml:space="preserve">, </w:t>
      </w:r>
      <w:r w:rsidRPr="008D4BEF">
        <w:rPr>
          <w:rFonts w:asciiTheme="majorBidi" w:hAnsiTheme="majorBidi" w:cstheme="majorBidi"/>
          <w:smallCaps/>
          <w:spacing w:val="6"/>
          <w:sz w:val="20"/>
          <w:szCs w:val="20"/>
        </w:rPr>
        <w:t>ron</w:t>
      </w:r>
      <w:r w:rsidRPr="008D4BEF">
        <w:rPr>
          <w:rFonts w:asciiTheme="majorBidi" w:hAnsiTheme="majorBidi" w:cstheme="majorBidi"/>
          <w:spacing w:val="6"/>
          <w:sz w:val="20"/>
          <w:szCs w:val="20"/>
        </w:rPr>
        <w:t xml:space="preserve"> et </w:t>
      </w:r>
      <w:r w:rsidRPr="008D4BEF">
        <w:rPr>
          <w:rFonts w:asciiTheme="majorBidi" w:hAnsiTheme="majorBidi" w:cstheme="majorBidi"/>
          <w:smallCaps/>
          <w:spacing w:val="6"/>
          <w:sz w:val="20"/>
          <w:szCs w:val="20"/>
        </w:rPr>
        <w:t>ebrahim</w:t>
      </w:r>
      <w:r w:rsidRPr="008D4BEF">
        <w:rPr>
          <w:rFonts w:asciiTheme="majorBidi" w:hAnsiTheme="majorBidi" w:cstheme="majorBidi"/>
          <w:spacing w:val="6"/>
          <w:sz w:val="20"/>
          <w:szCs w:val="20"/>
        </w:rPr>
        <w:t>, (2001), p. 27.</w:t>
      </w:r>
    </w:p>
    <w:p w14:paraId="54CE91BC" w14:textId="18687EC8" w:rsidR="00EA64F0" w:rsidRPr="008D4BEF" w:rsidRDefault="00850E4B" w:rsidP="00926280">
      <w:pPr>
        <w:pStyle w:val="Paragraphedeliste"/>
        <w:tabs>
          <w:tab w:val="left" w:pos="851"/>
        </w:tabs>
        <w:autoSpaceDE w:val="0"/>
        <w:autoSpaceDN w:val="0"/>
        <w:adjustRightInd w:val="0"/>
        <w:spacing w:before="100" w:beforeAutospacing="1" w:line="300" w:lineRule="auto"/>
        <w:ind w:left="0" w:firstLine="709"/>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Comme pour de nombreux produits dérivés conventionnels, un swap de taux d'intérêt conventionnel est interdit du point de vue de la </w:t>
      </w:r>
      <w:r w:rsidR="001124FF" w:rsidRPr="008D4BEF">
        <w:rPr>
          <w:rFonts w:asciiTheme="majorBidi" w:eastAsia="Times New Roman" w:hAnsiTheme="majorBidi" w:cstheme="majorBidi"/>
          <w:i/>
          <w:iCs/>
          <w:color w:val="000000" w:themeColor="text1"/>
          <w:kern w:val="24"/>
          <w:sz w:val="24"/>
          <w:szCs w:val="24"/>
          <w:lang w:eastAsia="fr-FR"/>
        </w:rPr>
        <w:t>Shariah</w:t>
      </w:r>
      <w:r w:rsidRPr="008D4BEF">
        <w:rPr>
          <w:rFonts w:ascii="Times New Roman" w:hAnsi="Times New Roman" w:cs="Times New Roman"/>
          <w:kern w:val="24"/>
          <w:sz w:val="24"/>
          <w:szCs w:val="24"/>
        </w:rPr>
        <w:t xml:space="preserve"> car il enfreint potentiellement trois interdictions clés de la </w:t>
      </w:r>
      <w:r w:rsidR="001124FF" w:rsidRPr="008D4BEF">
        <w:rPr>
          <w:rFonts w:asciiTheme="majorBidi" w:eastAsia="Times New Roman" w:hAnsiTheme="majorBidi" w:cstheme="majorBidi"/>
          <w:i/>
          <w:iCs/>
          <w:color w:val="000000" w:themeColor="text1"/>
          <w:kern w:val="24"/>
          <w:sz w:val="24"/>
          <w:szCs w:val="24"/>
          <w:lang w:eastAsia="fr-FR"/>
        </w:rPr>
        <w:t>Shariah</w:t>
      </w:r>
      <w:r w:rsidR="00EA64F0" w:rsidRPr="008D4BEF">
        <w:rPr>
          <w:rFonts w:ascii="Times New Roman" w:hAnsi="Times New Roman" w:cs="Times New Roman"/>
          <w:kern w:val="24"/>
          <w:sz w:val="24"/>
          <w:szCs w:val="24"/>
        </w:rPr>
        <w:t> :</w:t>
      </w:r>
    </w:p>
    <w:p w14:paraId="13B9B1DD" w14:textId="77777777" w:rsidR="00EA64F0" w:rsidRPr="008D4BEF" w:rsidRDefault="00452A97" w:rsidP="008D4BEF">
      <w:pPr>
        <w:pStyle w:val="Paragraphedeliste"/>
        <w:tabs>
          <w:tab w:val="left" w:pos="851"/>
        </w:tabs>
        <w:autoSpaceDE w:val="0"/>
        <w:autoSpaceDN w:val="0"/>
        <w:adjustRightInd w:val="0"/>
        <w:spacing w:before="60" w:line="300" w:lineRule="auto"/>
        <w:ind w:left="1305" w:hanging="45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(i)</w:t>
      </w:r>
      <w:r w:rsidR="00EA64F0" w:rsidRPr="008D4BEF">
        <w:rPr>
          <w:rFonts w:ascii="Times New Roman" w:hAnsi="Times New Roman" w:cs="Times New Roman"/>
          <w:kern w:val="24"/>
          <w:sz w:val="24"/>
          <w:szCs w:val="24"/>
        </w:rPr>
        <w:t xml:space="preserve">- </w:t>
      </w:r>
      <w:r w:rsidRPr="008D4BEF">
        <w:rPr>
          <w:rFonts w:ascii="Times New Roman" w:hAnsi="Times New Roman" w:cs="Times New Roman"/>
          <w:i/>
          <w:iCs/>
          <w:kern w:val="24"/>
          <w:sz w:val="24"/>
          <w:szCs w:val="24"/>
        </w:rPr>
        <w:t>Riba</w:t>
      </w:r>
      <w:r w:rsidR="00EA64F0" w:rsidRPr="008D4BEF">
        <w:rPr>
          <w:rFonts w:ascii="Times New Roman" w:hAnsi="Times New Roman" w:cs="Times New Roman"/>
          <w:i/>
          <w:iCs/>
          <w:kern w:val="24"/>
          <w:sz w:val="24"/>
          <w:szCs w:val="24"/>
        </w:rPr>
        <w:t> </w:t>
      </w:r>
      <w:r w:rsidR="00EA64F0" w:rsidRPr="008D4BEF">
        <w:rPr>
          <w:rFonts w:ascii="Times New Roman" w:hAnsi="Times New Roman" w:cs="Times New Roman"/>
          <w:kern w:val="24"/>
          <w:sz w:val="24"/>
          <w:szCs w:val="24"/>
        </w:rPr>
        <w:t xml:space="preserve">: </w:t>
      </w:r>
      <w:r w:rsidRPr="008D4BEF">
        <w:rPr>
          <w:rFonts w:ascii="Times New Roman" w:hAnsi="Times New Roman" w:cs="Times New Roman"/>
          <w:kern w:val="24"/>
          <w:sz w:val="24"/>
          <w:szCs w:val="24"/>
        </w:rPr>
        <w:t xml:space="preserve">puisqu’il s’agit d’un échange de monnaie contre une monnaie avec différenciation et report, pratiquant ainsi le </w:t>
      </w:r>
      <w:r w:rsidRPr="008D4BEF">
        <w:rPr>
          <w:rFonts w:ascii="Times New Roman" w:hAnsi="Times New Roman" w:cs="Times New Roman"/>
          <w:i/>
          <w:kern w:val="24"/>
          <w:sz w:val="24"/>
          <w:szCs w:val="24"/>
        </w:rPr>
        <w:t>riba</w:t>
      </w:r>
      <w:r w:rsidR="00CF66C7" w:rsidRPr="008D4BEF">
        <w:rPr>
          <w:rFonts w:ascii="Times New Roman" w:hAnsi="Times New Roman" w:cs="Times New Roman"/>
          <w:i/>
          <w:kern w:val="24"/>
          <w:sz w:val="24"/>
          <w:szCs w:val="24"/>
        </w:rPr>
        <w:t> </w:t>
      </w:r>
      <w:r w:rsidR="00CF66C7"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w:t>
      </w:r>
      <w:r w:rsidRPr="008D4BEF">
        <w:rPr>
          <w:rFonts w:ascii="Times New Roman" w:hAnsi="Times New Roman" w:cs="Times New Roman"/>
          <w:i/>
          <w:kern w:val="24"/>
          <w:sz w:val="24"/>
          <w:szCs w:val="24"/>
        </w:rPr>
        <w:t>riba</w:t>
      </w:r>
      <w:r w:rsidRPr="008D4BEF">
        <w:rPr>
          <w:rFonts w:ascii="Times New Roman" w:hAnsi="Times New Roman" w:cs="Times New Roman"/>
          <w:kern w:val="24"/>
          <w:sz w:val="24"/>
          <w:szCs w:val="24"/>
        </w:rPr>
        <w:t xml:space="preserve"> </w:t>
      </w:r>
      <w:r w:rsidRPr="008D4BEF">
        <w:rPr>
          <w:rFonts w:ascii="Times New Roman" w:hAnsi="Times New Roman" w:cs="Times New Roman"/>
          <w:i/>
          <w:iCs/>
          <w:kern w:val="24"/>
          <w:sz w:val="24"/>
          <w:szCs w:val="24"/>
        </w:rPr>
        <w:t>al-fadl</w:t>
      </w:r>
      <w:r w:rsidRPr="008D4BEF">
        <w:rPr>
          <w:rFonts w:ascii="Times New Roman" w:hAnsi="Times New Roman" w:cs="Times New Roman"/>
          <w:kern w:val="24"/>
          <w:sz w:val="24"/>
          <w:szCs w:val="24"/>
        </w:rPr>
        <w:t xml:space="preserve"> si les monnaies étaient de la même devise et </w:t>
      </w:r>
      <w:r w:rsidRPr="008D4BEF">
        <w:rPr>
          <w:rFonts w:ascii="Times New Roman" w:hAnsi="Times New Roman" w:cs="Times New Roman"/>
          <w:i/>
          <w:kern w:val="24"/>
          <w:sz w:val="24"/>
          <w:szCs w:val="24"/>
        </w:rPr>
        <w:t>riba</w:t>
      </w:r>
      <w:r w:rsidRPr="008D4BEF">
        <w:rPr>
          <w:rFonts w:ascii="Times New Roman" w:hAnsi="Times New Roman" w:cs="Times New Roman"/>
          <w:kern w:val="24"/>
          <w:sz w:val="24"/>
          <w:szCs w:val="24"/>
        </w:rPr>
        <w:t xml:space="preserve"> </w:t>
      </w:r>
      <w:r w:rsidRPr="008D4BEF">
        <w:rPr>
          <w:rFonts w:ascii="Times New Roman" w:hAnsi="Times New Roman" w:cs="Times New Roman"/>
          <w:i/>
          <w:iCs/>
          <w:kern w:val="24"/>
          <w:sz w:val="24"/>
          <w:szCs w:val="24"/>
        </w:rPr>
        <w:t>anassia</w:t>
      </w:r>
      <w:r w:rsidRPr="008D4BEF">
        <w:rPr>
          <w:rFonts w:ascii="Times New Roman" w:hAnsi="Times New Roman" w:cs="Times New Roman"/>
          <w:kern w:val="24"/>
          <w:sz w:val="24"/>
          <w:szCs w:val="24"/>
        </w:rPr>
        <w:t xml:space="preserve"> si les monnaies étaient de devises différentes </w:t>
      </w:r>
      <w:r w:rsidR="00EA64F0" w:rsidRPr="008D4BEF">
        <w:rPr>
          <w:rFonts w:ascii="Times New Roman" w:hAnsi="Times New Roman" w:cs="Times New Roman"/>
          <w:kern w:val="24"/>
          <w:sz w:val="24"/>
          <w:szCs w:val="24"/>
        </w:rPr>
        <w:t>;</w:t>
      </w:r>
    </w:p>
    <w:p w14:paraId="55E93996" w14:textId="77777777" w:rsidR="00EA64F0" w:rsidRPr="008D4BEF" w:rsidRDefault="00850E4B" w:rsidP="008D4BEF">
      <w:pPr>
        <w:pStyle w:val="Paragraphedeliste"/>
        <w:tabs>
          <w:tab w:val="left" w:pos="851"/>
        </w:tabs>
        <w:autoSpaceDE w:val="0"/>
        <w:autoSpaceDN w:val="0"/>
        <w:adjustRightInd w:val="0"/>
        <w:spacing w:before="60" w:line="300" w:lineRule="auto"/>
        <w:ind w:left="1305" w:hanging="45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(ii)</w:t>
      </w:r>
      <w:r w:rsidR="00EA64F0" w:rsidRPr="008D4BEF">
        <w:rPr>
          <w:rFonts w:ascii="Times New Roman" w:hAnsi="Times New Roman" w:cs="Times New Roman"/>
          <w:kern w:val="24"/>
          <w:sz w:val="24"/>
          <w:szCs w:val="24"/>
        </w:rPr>
        <w:t xml:space="preserve">- </w:t>
      </w:r>
      <w:r w:rsidRPr="008D4BEF">
        <w:rPr>
          <w:rFonts w:ascii="Times New Roman" w:hAnsi="Times New Roman" w:cs="Times New Roman"/>
          <w:i/>
          <w:iCs/>
          <w:kern w:val="24"/>
          <w:sz w:val="24"/>
          <w:szCs w:val="24"/>
        </w:rPr>
        <w:t>Gharar</w:t>
      </w:r>
      <w:r w:rsidR="00EA64F0" w:rsidRPr="008D4BEF">
        <w:rPr>
          <w:rFonts w:ascii="Times New Roman" w:hAnsi="Times New Roman" w:cs="Times New Roman"/>
          <w:i/>
          <w:iCs/>
          <w:kern w:val="24"/>
          <w:sz w:val="24"/>
          <w:szCs w:val="24"/>
        </w:rPr>
        <w:t> </w:t>
      </w:r>
      <w:r w:rsidR="00EA64F0" w:rsidRPr="008D4BEF">
        <w:rPr>
          <w:rFonts w:ascii="Times New Roman" w:hAnsi="Times New Roman" w:cs="Times New Roman"/>
          <w:kern w:val="24"/>
          <w:sz w:val="24"/>
          <w:szCs w:val="24"/>
        </w:rPr>
        <w:t xml:space="preserve">; </w:t>
      </w:r>
      <w:r w:rsidRPr="008D4BEF">
        <w:rPr>
          <w:rFonts w:ascii="Times New Roman" w:hAnsi="Times New Roman" w:cs="Times New Roman"/>
          <w:kern w:val="24"/>
          <w:sz w:val="24"/>
          <w:szCs w:val="24"/>
        </w:rPr>
        <w:t>incertitude dans les conditions d'un contrat swap (l'accord d'effectuer des paiements f</w:t>
      </w:r>
      <w:r w:rsidR="00EA64F0" w:rsidRPr="008D4BEF">
        <w:rPr>
          <w:rFonts w:ascii="Times New Roman" w:hAnsi="Times New Roman" w:cs="Times New Roman"/>
          <w:kern w:val="24"/>
          <w:sz w:val="24"/>
          <w:szCs w:val="24"/>
        </w:rPr>
        <w:t>uturs liés à un taux variable) ;</w:t>
      </w:r>
    </w:p>
    <w:p w14:paraId="6F530236" w14:textId="77777777" w:rsidR="00850E4B" w:rsidRPr="008D4BEF" w:rsidRDefault="00850E4B" w:rsidP="008D4BEF">
      <w:pPr>
        <w:pStyle w:val="Paragraphedeliste"/>
        <w:tabs>
          <w:tab w:val="left" w:pos="851"/>
        </w:tabs>
        <w:autoSpaceDE w:val="0"/>
        <w:autoSpaceDN w:val="0"/>
        <w:adjustRightInd w:val="0"/>
        <w:spacing w:before="60" w:line="300" w:lineRule="auto"/>
        <w:ind w:left="1305" w:hanging="45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(iii)</w:t>
      </w:r>
      <w:r w:rsidR="00EA64F0"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w:t>
      </w:r>
      <w:r w:rsidRPr="008D4BEF">
        <w:rPr>
          <w:rFonts w:ascii="Times New Roman" w:hAnsi="Times New Roman" w:cs="Times New Roman"/>
          <w:i/>
          <w:iCs/>
          <w:kern w:val="24"/>
          <w:sz w:val="24"/>
          <w:szCs w:val="24"/>
        </w:rPr>
        <w:t>Maysir</w:t>
      </w:r>
      <w:r w:rsidR="00EA64F0" w:rsidRPr="008D4BEF">
        <w:rPr>
          <w:rFonts w:ascii="Times New Roman" w:hAnsi="Times New Roman" w:cs="Times New Roman"/>
          <w:i/>
          <w:iCs/>
          <w:kern w:val="24"/>
          <w:sz w:val="24"/>
          <w:szCs w:val="24"/>
        </w:rPr>
        <w:t> </w:t>
      </w:r>
      <w:r w:rsidR="00EA64F0"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le jeu ou la spéculation sur les contrats (les contrats à terme et d'options particuliers considérés comme </w:t>
      </w:r>
      <w:r w:rsidR="006A3484" w:rsidRPr="008D4BEF">
        <w:rPr>
          <w:rFonts w:ascii="Times New Roman" w:hAnsi="Times New Roman" w:cs="Times New Roman"/>
          <w:kern w:val="24"/>
          <w:sz w:val="24"/>
          <w:szCs w:val="24"/>
        </w:rPr>
        <w:t>apparentés aux jeux).</w:t>
      </w:r>
    </w:p>
    <w:p w14:paraId="5E88BFD6" w14:textId="630C5E23" w:rsidR="00452A97" w:rsidRPr="008D4BEF" w:rsidRDefault="00902419" w:rsidP="008D4BEF">
      <w:pPr>
        <w:pStyle w:val="Paragraphedeliste"/>
        <w:tabs>
          <w:tab w:val="left" w:pos="851"/>
        </w:tab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Com</w:t>
      </w:r>
      <w:r w:rsidR="000677A5" w:rsidRPr="008D4BEF">
        <w:rPr>
          <w:rFonts w:ascii="Times New Roman" w:hAnsi="Times New Roman" w:cs="Times New Roman"/>
          <w:kern w:val="24"/>
          <w:sz w:val="24"/>
          <w:szCs w:val="24"/>
        </w:rPr>
        <w:t xml:space="preserve">pte tenu des controverses </w:t>
      </w:r>
      <w:r w:rsidRPr="008D4BEF">
        <w:rPr>
          <w:rFonts w:ascii="Times New Roman" w:hAnsi="Times New Roman" w:cs="Times New Roman"/>
          <w:kern w:val="24"/>
          <w:sz w:val="24"/>
          <w:szCs w:val="24"/>
        </w:rPr>
        <w:t xml:space="preserve">ci-dessus, le défi lors de la structuration de dérivés conformes à la </w:t>
      </w:r>
      <w:r w:rsidR="001124FF" w:rsidRPr="008D4BEF">
        <w:rPr>
          <w:rFonts w:asciiTheme="majorBidi" w:eastAsia="Times New Roman" w:hAnsiTheme="majorBidi" w:cstheme="majorBidi"/>
          <w:i/>
          <w:iCs/>
          <w:color w:val="000000" w:themeColor="text1"/>
          <w:kern w:val="24"/>
          <w:sz w:val="24"/>
          <w:szCs w:val="24"/>
          <w:lang w:eastAsia="fr-FR"/>
        </w:rPr>
        <w:t>Shariah</w:t>
      </w:r>
      <w:r w:rsidRPr="008D4BEF">
        <w:rPr>
          <w:rFonts w:ascii="Times New Roman" w:hAnsi="Times New Roman" w:cs="Times New Roman"/>
          <w:kern w:val="24"/>
          <w:sz w:val="24"/>
          <w:szCs w:val="24"/>
        </w:rPr>
        <w:t xml:space="preserve"> est, par conséquent, d'organiser la transaction de manière à ce que les </w:t>
      </w:r>
      <w:r w:rsidR="0015217A" w:rsidRPr="008D4BEF">
        <w:rPr>
          <w:rFonts w:ascii="Times New Roman" w:hAnsi="Times New Roman" w:cs="Times New Roman"/>
          <w:kern w:val="24"/>
          <w:sz w:val="24"/>
          <w:szCs w:val="24"/>
        </w:rPr>
        <w:t xml:space="preserve">co-contractants </w:t>
      </w:r>
      <w:r w:rsidR="006E64BA" w:rsidRPr="008D4BEF">
        <w:rPr>
          <w:rFonts w:ascii="Times New Roman" w:hAnsi="Times New Roman" w:cs="Times New Roman"/>
          <w:kern w:val="24"/>
          <w:sz w:val="24"/>
          <w:szCs w:val="24"/>
        </w:rPr>
        <w:t>tirent parti</w:t>
      </w:r>
      <w:r w:rsidRPr="008D4BEF">
        <w:rPr>
          <w:rFonts w:ascii="Times New Roman" w:hAnsi="Times New Roman" w:cs="Times New Roman"/>
          <w:kern w:val="24"/>
          <w:sz w:val="24"/>
          <w:szCs w:val="24"/>
        </w:rPr>
        <w:t xml:space="preserve"> des solutions positives de partage/gestion des risques que le</w:t>
      </w:r>
      <w:r w:rsidR="000677A5" w:rsidRPr="008D4BEF">
        <w:rPr>
          <w:rFonts w:ascii="Times New Roman" w:hAnsi="Times New Roman" w:cs="Times New Roman"/>
          <w:kern w:val="24"/>
          <w:sz w:val="24"/>
          <w:szCs w:val="24"/>
        </w:rPr>
        <w:t xml:space="preserve">s dérivés peuvent offrir, </w:t>
      </w:r>
      <w:r w:rsidRPr="008D4BEF">
        <w:rPr>
          <w:rFonts w:ascii="Times New Roman" w:hAnsi="Times New Roman" w:cs="Times New Roman"/>
          <w:kern w:val="24"/>
          <w:sz w:val="24"/>
          <w:szCs w:val="24"/>
        </w:rPr>
        <w:t xml:space="preserve">mais sans enfreindre les interdictions fondamentales évoquées ci-dessus. Andreas Alexander </w:t>
      </w:r>
      <w:r w:rsidRPr="008D4BEF">
        <w:rPr>
          <w:rFonts w:ascii="Times New Roman" w:hAnsi="Times New Roman" w:cs="Times New Roman"/>
          <w:smallCaps/>
          <w:kern w:val="24"/>
          <w:sz w:val="24"/>
          <w:szCs w:val="24"/>
        </w:rPr>
        <w:t>Jobst</w:t>
      </w:r>
      <w:r w:rsidRPr="008D4BEF">
        <w:rPr>
          <w:rFonts w:ascii="Times New Roman" w:hAnsi="Times New Roman" w:cs="Times New Roman"/>
          <w:kern w:val="24"/>
          <w:sz w:val="24"/>
          <w:szCs w:val="24"/>
        </w:rPr>
        <w:t xml:space="preserve"> (économiste au Fonds monétaire international) a fait valoir que les dérivés ne sont pas nécessairement en principe incompatibles avec la </w:t>
      </w:r>
      <w:r w:rsidR="001124FF" w:rsidRPr="008D4BEF">
        <w:rPr>
          <w:rFonts w:asciiTheme="majorBidi" w:eastAsia="Times New Roman" w:hAnsiTheme="majorBidi" w:cstheme="majorBidi"/>
          <w:i/>
          <w:iCs/>
          <w:color w:val="000000" w:themeColor="text1"/>
          <w:kern w:val="24"/>
          <w:sz w:val="24"/>
          <w:szCs w:val="24"/>
          <w:lang w:eastAsia="fr-FR"/>
        </w:rPr>
        <w:t>Shariah</w:t>
      </w:r>
      <w:r w:rsidRPr="008D4BEF">
        <w:rPr>
          <w:rFonts w:ascii="Times New Roman" w:hAnsi="Times New Roman" w:cs="Times New Roman"/>
          <w:kern w:val="24"/>
          <w:sz w:val="24"/>
          <w:szCs w:val="24"/>
        </w:rPr>
        <w:t>, à condition qu'ils</w:t>
      </w:r>
      <w:r w:rsidR="000677A5" w:rsidRPr="008D4BEF">
        <w:rPr>
          <w:rStyle w:val="Appelnotedebasdep"/>
          <w:rFonts w:ascii="Times New Roman" w:hAnsi="Times New Roman"/>
          <w:kern w:val="24"/>
          <w:sz w:val="24"/>
          <w:szCs w:val="24"/>
        </w:rPr>
        <w:footnoteReference w:id="146"/>
      </w:r>
      <w:r w:rsidR="00CF66C7" w:rsidRPr="008D4BEF">
        <w:rPr>
          <w:rFonts w:ascii="Times New Roman" w:hAnsi="Times New Roman" w:cs="Times New Roman"/>
          <w:kern w:val="24"/>
          <w:sz w:val="24"/>
          <w:szCs w:val="24"/>
        </w:rPr>
        <w:t> :</w:t>
      </w:r>
    </w:p>
    <w:p w14:paraId="3F345613" w14:textId="77777777" w:rsidR="002B1153" w:rsidRPr="008D4BEF" w:rsidRDefault="00E94185" w:rsidP="008D4BEF">
      <w:pPr>
        <w:pStyle w:val="Paragraphedeliste"/>
        <w:tabs>
          <w:tab w:val="left" w:pos="851"/>
        </w:tabs>
        <w:autoSpaceDE w:val="0"/>
        <w:autoSpaceDN w:val="0"/>
        <w:adjustRightInd w:val="0"/>
        <w:spacing w:before="60" w:line="300" w:lineRule="auto"/>
        <w:ind w:left="1305" w:hanging="45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(a)</w:t>
      </w:r>
      <w:r w:rsidR="00EA64F0"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w:t>
      </w:r>
      <w:r w:rsidR="003303C3" w:rsidRPr="008D4BEF">
        <w:rPr>
          <w:rFonts w:ascii="Times New Roman" w:hAnsi="Times New Roman" w:cs="Times New Roman"/>
          <w:kern w:val="24"/>
          <w:sz w:val="24"/>
          <w:szCs w:val="24"/>
        </w:rPr>
        <w:t>Soie</w:t>
      </w:r>
      <w:r w:rsidR="002B1153" w:rsidRPr="008D4BEF">
        <w:rPr>
          <w:rFonts w:ascii="Times New Roman" w:hAnsi="Times New Roman" w:cs="Times New Roman"/>
          <w:kern w:val="24"/>
          <w:sz w:val="24"/>
          <w:szCs w:val="24"/>
        </w:rPr>
        <w:t>nt employés</w:t>
      </w:r>
      <w:r w:rsidRPr="008D4BEF">
        <w:rPr>
          <w:rFonts w:ascii="Times New Roman" w:hAnsi="Times New Roman" w:cs="Times New Roman"/>
          <w:kern w:val="24"/>
          <w:sz w:val="24"/>
          <w:szCs w:val="24"/>
        </w:rPr>
        <w:t xml:space="preserve"> pour répondre à une </w:t>
      </w:r>
      <w:r w:rsidR="002B1153" w:rsidRPr="008D4BEF">
        <w:rPr>
          <w:rFonts w:ascii="Times New Roman" w:hAnsi="Times New Roman" w:cs="Times New Roman"/>
          <w:kern w:val="24"/>
          <w:sz w:val="24"/>
          <w:szCs w:val="24"/>
        </w:rPr>
        <w:t>couverture réelle associée à une participation effective et prévue (</w:t>
      </w:r>
      <w:r w:rsidR="002B1153" w:rsidRPr="008D4BEF">
        <w:rPr>
          <w:rFonts w:ascii="Times New Roman" w:hAnsi="Times New Roman" w:cs="Times New Roman"/>
          <w:i/>
          <w:iCs/>
          <w:kern w:val="24"/>
          <w:sz w:val="24"/>
          <w:szCs w:val="24"/>
        </w:rPr>
        <w:t>qabd</w:t>
      </w:r>
      <w:r w:rsidR="002B1153" w:rsidRPr="008D4BEF">
        <w:rPr>
          <w:rFonts w:ascii="Times New Roman" w:hAnsi="Times New Roman" w:cs="Times New Roman"/>
          <w:kern w:val="24"/>
          <w:sz w:val="24"/>
          <w:szCs w:val="24"/>
        </w:rPr>
        <w:t>) dans un act</w:t>
      </w:r>
      <w:r w:rsidR="00CF66C7" w:rsidRPr="008D4BEF">
        <w:rPr>
          <w:rFonts w:ascii="Times New Roman" w:hAnsi="Times New Roman" w:cs="Times New Roman"/>
          <w:kern w:val="24"/>
          <w:sz w:val="24"/>
          <w:szCs w:val="24"/>
        </w:rPr>
        <w:t>if ou une entreprise spécifique ;</w:t>
      </w:r>
    </w:p>
    <w:p w14:paraId="55D6EEDE" w14:textId="77777777" w:rsidR="002B1153" w:rsidRPr="008D4BEF" w:rsidRDefault="002B1153" w:rsidP="008D4BEF">
      <w:pPr>
        <w:pStyle w:val="Paragraphedeliste"/>
        <w:tabs>
          <w:tab w:val="left" w:pos="851"/>
        </w:tabs>
        <w:autoSpaceDE w:val="0"/>
        <w:autoSpaceDN w:val="0"/>
        <w:adjustRightInd w:val="0"/>
        <w:spacing w:before="60" w:line="300" w:lineRule="auto"/>
        <w:ind w:left="1305" w:hanging="45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w:t>
      </w:r>
      <w:r w:rsidR="00155961" w:rsidRPr="008D4BEF">
        <w:rPr>
          <w:rFonts w:ascii="Times New Roman" w:hAnsi="Times New Roman" w:cs="Times New Roman"/>
          <w:kern w:val="24"/>
          <w:sz w:val="24"/>
          <w:szCs w:val="24"/>
        </w:rPr>
        <w:t>b</w:t>
      </w:r>
      <w:r w:rsidRPr="008D4BEF">
        <w:rPr>
          <w:rFonts w:ascii="Times New Roman" w:hAnsi="Times New Roman" w:cs="Times New Roman"/>
          <w:kern w:val="24"/>
          <w:sz w:val="24"/>
          <w:szCs w:val="24"/>
        </w:rPr>
        <w:t>)</w:t>
      </w:r>
      <w:r w:rsidR="00EA64F0"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w:t>
      </w:r>
      <w:r w:rsidR="00E94185" w:rsidRPr="008D4BEF">
        <w:rPr>
          <w:rFonts w:ascii="Times New Roman" w:hAnsi="Times New Roman" w:cs="Times New Roman"/>
          <w:kern w:val="24"/>
          <w:sz w:val="24"/>
          <w:szCs w:val="24"/>
        </w:rPr>
        <w:t>Doivent m</w:t>
      </w:r>
      <w:r w:rsidRPr="008D4BEF">
        <w:rPr>
          <w:rFonts w:ascii="Times New Roman" w:hAnsi="Times New Roman" w:cs="Times New Roman"/>
          <w:kern w:val="24"/>
          <w:sz w:val="24"/>
          <w:szCs w:val="24"/>
        </w:rPr>
        <w:t xml:space="preserve">aintenir le paiement garanti pour l'utilisation de l'actif contractuel mais exclure les dispositions visant à générer des gains unilatéraux à partir des variations de prix intermédiaires de l'actif sous-jacent au-delà de la portée </w:t>
      </w:r>
      <w:r w:rsidR="00155961" w:rsidRPr="008D4BEF">
        <w:rPr>
          <w:rFonts w:ascii="Times New Roman" w:hAnsi="Times New Roman" w:cs="Times New Roman"/>
          <w:kern w:val="24"/>
          <w:sz w:val="24"/>
          <w:szCs w:val="24"/>
        </w:rPr>
        <w:t>du risque commercial partagé ;</w:t>
      </w:r>
    </w:p>
    <w:p w14:paraId="31969DEE" w14:textId="77777777" w:rsidR="002B1153" w:rsidRPr="008D4BEF" w:rsidRDefault="00E94185" w:rsidP="008D4BEF">
      <w:pPr>
        <w:pStyle w:val="Paragraphedeliste"/>
        <w:tabs>
          <w:tab w:val="left" w:pos="851"/>
        </w:tabs>
        <w:autoSpaceDE w:val="0"/>
        <w:autoSpaceDN w:val="0"/>
        <w:adjustRightInd w:val="0"/>
        <w:spacing w:before="60" w:line="300" w:lineRule="auto"/>
        <w:ind w:left="1305" w:hanging="45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w:t>
      </w:r>
      <w:r w:rsidR="00155961" w:rsidRPr="008D4BEF">
        <w:rPr>
          <w:rFonts w:ascii="Times New Roman" w:hAnsi="Times New Roman" w:cs="Times New Roman"/>
          <w:kern w:val="24"/>
          <w:sz w:val="24"/>
          <w:szCs w:val="24"/>
        </w:rPr>
        <w:t>c</w:t>
      </w:r>
      <w:r w:rsidRPr="008D4BEF">
        <w:rPr>
          <w:rFonts w:ascii="Times New Roman" w:hAnsi="Times New Roman" w:cs="Times New Roman"/>
          <w:kern w:val="24"/>
          <w:sz w:val="24"/>
          <w:szCs w:val="24"/>
        </w:rPr>
        <w:t>)</w:t>
      </w:r>
      <w:r w:rsidR="00EA64F0"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Doivent éviter</w:t>
      </w:r>
      <w:r w:rsidR="002B1153" w:rsidRPr="008D4BEF">
        <w:rPr>
          <w:rFonts w:ascii="Times New Roman" w:hAnsi="Times New Roman" w:cs="Times New Roman"/>
          <w:kern w:val="24"/>
          <w:sz w:val="24"/>
          <w:szCs w:val="24"/>
        </w:rPr>
        <w:t xml:space="preserve"> les activités jugées similaires à la spéculation (gharar) et d'autres activités pécheresses interdites (</w:t>
      </w:r>
      <w:r w:rsidR="002B1153" w:rsidRPr="008D4BEF">
        <w:rPr>
          <w:rFonts w:ascii="Times New Roman" w:hAnsi="Times New Roman" w:cs="Times New Roman"/>
          <w:i/>
          <w:iCs/>
          <w:kern w:val="24"/>
          <w:sz w:val="24"/>
          <w:szCs w:val="24"/>
        </w:rPr>
        <w:t>haram</w:t>
      </w:r>
      <w:r w:rsidR="002B1153" w:rsidRPr="008D4BEF">
        <w:rPr>
          <w:rFonts w:ascii="Times New Roman" w:hAnsi="Times New Roman" w:cs="Times New Roman"/>
          <w:kern w:val="24"/>
          <w:sz w:val="24"/>
          <w:szCs w:val="24"/>
        </w:rPr>
        <w:t>).</w:t>
      </w:r>
    </w:p>
    <w:p w14:paraId="7A3580C9" w14:textId="53A1D7A9" w:rsidR="00842E53" w:rsidRPr="008D4BEF" w:rsidRDefault="008D4BEF" w:rsidP="008D4BEF">
      <w:pPr>
        <w:pStyle w:val="Titre6"/>
        <w:tabs>
          <w:tab w:val="left" w:pos="1701"/>
        </w:tabs>
        <w:spacing w:before="120" w:after="120" w:line="300" w:lineRule="auto"/>
        <w:ind w:left="709"/>
        <w:rPr>
          <w:rFonts w:asciiTheme="majorBidi" w:hAnsiTheme="majorBidi"/>
          <w:b/>
          <w:bCs/>
          <w:i w:val="0"/>
          <w:iCs w:val="0"/>
          <w:color w:val="auto"/>
          <w:kern w:val="24"/>
          <w:sz w:val="24"/>
          <w:szCs w:val="24"/>
        </w:rPr>
      </w:pPr>
      <w:bookmarkStart w:id="432" w:name="_Toc182298672"/>
      <w:r>
        <w:rPr>
          <w:rFonts w:asciiTheme="majorBidi" w:hAnsiTheme="majorBidi"/>
          <w:b/>
          <w:bCs/>
          <w:i w:val="0"/>
          <w:iCs w:val="0"/>
          <w:color w:val="auto"/>
          <w:kern w:val="24"/>
          <w:sz w:val="24"/>
          <w:szCs w:val="24"/>
        </w:rPr>
        <w:lastRenderedPageBreak/>
        <w:t xml:space="preserve">2.5.1.3.2- </w:t>
      </w:r>
      <w:r w:rsidR="00920496" w:rsidRPr="008D4BEF">
        <w:rPr>
          <w:rFonts w:asciiTheme="majorBidi" w:hAnsiTheme="majorBidi"/>
          <w:b/>
          <w:bCs/>
          <w:i w:val="0"/>
          <w:iCs w:val="0"/>
          <w:color w:val="auto"/>
          <w:kern w:val="24"/>
          <w:sz w:val="24"/>
          <w:szCs w:val="24"/>
        </w:rPr>
        <w:t>S</w:t>
      </w:r>
      <w:r w:rsidR="002760B2" w:rsidRPr="008D4BEF">
        <w:rPr>
          <w:rFonts w:asciiTheme="majorBidi" w:hAnsiTheme="majorBidi"/>
          <w:b/>
          <w:bCs/>
          <w:i w:val="0"/>
          <w:iCs w:val="0"/>
          <w:color w:val="auto"/>
          <w:kern w:val="24"/>
          <w:sz w:val="24"/>
          <w:szCs w:val="24"/>
        </w:rPr>
        <w:t>wap de devises</w:t>
      </w:r>
      <w:bookmarkEnd w:id="432"/>
    </w:p>
    <w:p w14:paraId="719A8A3D" w14:textId="77777777" w:rsidR="006E64BA" w:rsidRPr="008D4BEF" w:rsidRDefault="006E64BA" w:rsidP="008D4BEF">
      <w:pPr>
        <w:pStyle w:val="Paragraphedeliste"/>
        <w:keepNext/>
        <w:keepLines/>
        <w:tabs>
          <w:tab w:val="left" w:pos="851"/>
        </w:tab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shd w:val="clear" w:color="auto" w:fill="FFFFFF"/>
        </w:rPr>
        <w:t>Dans le cadre d'une opération de swap de devises, les parties concernées s'engagent par contrat à</w:t>
      </w:r>
      <w:r w:rsidR="00B13A51" w:rsidRPr="008D4BEF">
        <w:rPr>
          <w:rFonts w:ascii="Times New Roman" w:hAnsi="Times New Roman" w:cs="Times New Roman"/>
          <w:kern w:val="24"/>
          <w:sz w:val="24"/>
          <w:szCs w:val="24"/>
          <w:shd w:val="clear" w:color="auto" w:fill="FFFFFF"/>
        </w:rPr>
        <w:t xml:space="preserve"> échanger les éléments suivants :</w:t>
      </w:r>
      <w:r w:rsidRPr="008D4BEF">
        <w:rPr>
          <w:rFonts w:ascii="Times New Roman" w:hAnsi="Times New Roman" w:cs="Times New Roman"/>
          <w:kern w:val="24"/>
          <w:sz w:val="24"/>
          <w:szCs w:val="24"/>
          <w:shd w:val="clear" w:color="auto" w:fill="FFFFFF"/>
        </w:rPr>
        <w:t xml:space="preserve"> le montant principal d'un prêt libellé dans une devise et les intérêts qui s'y appliquent pendant une période donnée contre un montant correspondant et les intérêts applicables dans une seconde devise.</w:t>
      </w:r>
    </w:p>
    <w:p w14:paraId="50B643AA" w14:textId="7343C756" w:rsidR="009E468F" w:rsidRPr="003D101B" w:rsidRDefault="006E64BA" w:rsidP="008D4BEF">
      <w:pPr>
        <w:pStyle w:val="Paragraphedeliste"/>
        <w:tabs>
          <w:tab w:val="left" w:pos="851"/>
        </w:tabs>
        <w:autoSpaceDE w:val="0"/>
        <w:autoSpaceDN w:val="0"/>
        <w:adjustRightInd w:val="0"/>
        <w:spacing w:before="120" w:line="300" w:lineRule="auto"/>
        <w:ind w:left="0" w:firstLine="709"/>
        <w:contextualSpacing w:val="0"/>
        <w:rPr>
          <w:rFonts w:ascii="Times New Roman" w:hAnsi="Times New Roman" w:cs="Times New Roman"/>
          <w:spacing w:val="-2"/>
          <w:kern w:val="24"/>
          <w:sz w:val="24"/>
          <w:szCs w:val="24"/>
          <w:shd w:val="clear" w:color="auto" w:fill="FFFFFF"/>
        </w:rPr>
      </w:pPr>
      <w:r w:rsidRPr="003D101B">
        <w:rPr>
          <w:rFonts w:ascii="Times New Roman" w:hAnsi="Times New Roman" w:cs="Times New Roman"/>
          <w:spacing w:val="-2"/>
          <w:kern w:val="24"/>
          <w:sz w:val="24"/>
          <w:szCs w:val="24"/>
          <w:shd w:val="clear" w:color="auto" w:fill="FFFFFF"/>
        </w:rPr>
        <w:t>Dans une opération</w:t>
      </w:r>
      <w:r w:rsidR="00230DBD" w:rsidRPr="003D101B">
        <w:rPr>
          <w:rFonts w:ascii="Times New Roman" w:hAnsi="Times New Roman" w:cs="Times New Roman"/>
          <w:spacing w:val="-2"/>
          <w:kern w:val="24"/>
          <w:sz w:val="24"/>
          <w:szCs w:val="24"/>
          <w:shd w:val="clear" w:color="auto" w:fill="FFFFFF"/>
        </w:rPr>
        <w:t xml:space="preserve"> typique</w:t>
      </w:r>
      <w:r w:rsidRPr="003D101B">
        <w:rPr>
          <w:rFonts w:ascii="Times New Roman" w:hAnsi="Times New Roman" w:cs="Times New Roman"/>
          <w:spacing w:val="-2"/>
          <w:kern w:val="24"/>
          <w:sz w:val="24"/>
          <w:szCs w:val="24"/>
          <w:shd w:val="clear" w:color="auto" w:fill="FFFFFF"/>
        </w:rPr>
        <w:t xml:space="preserve"> de swap de devise</w:t>
      </w:r>
      <w:r w:rsidR="00280797" w:rsidRPr="003D101B">
        <w:rPr>
          <w:rFonts w:ascii="Times New Roman" w:hAnsi="Times New Roman" w:cs="Times New Roman"/>
          <w:spacing w:val="-2"/>
          <w:kern w:val="24"/>
          <w:sz w:val="24"/>
          <w:szCs w:val="24"/>
          <w:shd w:val="clear" w:color="auto" w:fill="FFFFFF"/>
        </w:rPr>
        <w:t>s</w:t>
      </w:r>
      <w:r w:rsidRPr="003D101B">
        <w:rPr>
          <w:rFonts w:ascii="Times New Roman" w:hAnsi="Times New Roman" w:cs="Times New Roman"/>
          <w:spacing w:val="-2"/>
          <w:kern w:val="24"/>
          <w:sz w:val="24"/>
          <w:szCs w:val="24"/>
          <w:shd w:val="clear" w:color="auto" w:fill="FFFFFF"/>
        </w:rPr>
        <w:t>, la première partie emprunte un montant spécifié de devise</w:t>
      </w:r>
      <w:r w:rsidR="003D101B" w:rsidRPr="003D101B">
        <w:rPr>
          <w:rFonts w:ascii="Times New Roman" w:hAnsi="Times New Roman" w:cs="Times New Roman"/>
          <w:spacing w:val="-2"/>
          <w:kern w:val="24"/>
          <w:sz w:val="24"/>
          <w:szCs w:val="24"/>
          <w:shd w:val="clear" w:color="auto" w:fill="FFFFFF"/>
        </w:rPr>
        <w:t>s</w:t>
      </w:r>
      <w:r w:rsidRPr="003D101B">
        <w:rPr>
          <w:rFonts w:ascii="Times New Roman" w:hAnsi="Times New Roman" w:cs="Times New Roman"/>
          <w:spacing w:val="-2"/>
          <w:kern w:val="24"/>
          <w:sz w:val="24"/>
          <w:szCs w:val="24"/>
          <w:shd w:val="clear" w:color="auto" w:fill="FFFFFF"/>
        </w:rPr>
        <w:t xml:space="preserve"> à la contrepartie au taux de change en vigueur. Dans le même temps, il prête un montant correspondant à la contrepartie dans la devise qu'il détient. Pendant la durée du contrat, chaque participant verse des intérêts à l'autre dans la devise du principal qu'il a reçu. À l'expiration du contrat à une date ultérieure, les deux parties se remboursent le principal.</w:t>
      </w:r>
    </w:p>
    <w:p w14:paraId="7B4EB42F" w14:textId="77FF5E4A" w:rsidR="009E468F" w:rsidRPr="008D4BEF" w:rsidRDefault="009E468F" w:rsidP="008D4BEF">
      <w:pPr>
        <w:pStyle w:val="Lgende"/>
        <w:keepNext/>
        <w:spacing w:before="100" w:beforeAutospacing="1" w:after="120" w:line="300" w:lineRule="auto"/>
        <w:jc w:val="center"/>
        <w:rPr>
          <w:rFonts w:asciiTheme="majorBidi" w:hAnsiTheme="majorBidi" w:cstheme="majorBidi"/>
          <w:color w:val="000000" w:themeColor="text1"/>
          <w:kern w:val="24"/>
          <w:sz w:val="24"/>
          <w:szCs w:val="24"/>
          <w:shd w:val="clear" w:color="auto" w:fill="FFFFFF"/>
        </w:rPr>
      </w:pPr>
      <w:bookmarkStart w:id="433" w:name="_Toc74993894"/>
      <w:bookmarkStart w:id="434" w:name="_Toc115527426"/>
      <w:r w:rsidRPr="008D4BEF">
        <w:rPr>
          <w:rFonts w:asciiTheme="majorBidi" w:hAnsiTheme="majorBidi" w:cstheme="majorBidi"/>
          <w:color w:val="000000" w:themeColor="text1"/>
          <w:kern w:val="24"/>
          <w:sz w:val="24"/>
          <w:szCs w:val="24"/>
        </w:rPr>
        <w:t xml:space="preserve">Figure </w:t>
      </w:r>
      <w:r w:rsidR="00B544E5" w:rsidRPr="008D4BEF">
        <w:rPr>
          <w:rFonts w:asciiTheme="majorBidi" w:hAnsiTheme="majorBidi" w:cstheme="majorBidi"/>
          <w:color w:val="000000" w:themeColor="text1"/>
          <w:kern w:val="24"/>
          <w:sz w:val="24"/>
          <w:szCs w:val="24"/>
        </w:rPr>
        <w:fldChar w:fldCharType="begin"/>
      </w:r>
      <w:r w:rsidR="00BF1EB6" w:rsidRPr="008D4BEF">
        <w:rPr>
          <w:rFonts w:asciiTheme="majorBidi" w:hAnsiTheme="majorBidi" w:cstheme="majorBidi"/>
          <w:color w:val="000000" w:themeColor="text1"/>
          <w:kern w:val="24"/>
          <w:sz w:val="24"/>
          <w:szCs w:val="24"/>
        </w:rPr>
        <w:instrText xml:space="preserve"> SEQ Figure \* ARABIC </w:instrText>
      </w:r>
      <w:r w:rsidR="00B544E5" w:rsidRPr="008D4BEF">
        <w:rPr>
          <w:rFonts w:asciiTheme="majorBidi" w:hAnsiTheme="majorBidi" w:cstheme="majorBidi"/>
          <w:color w:val="000000" w:themeColor="text1"/>
          <w:kern w:val="24"/>
          <w:sz w:val="24"/>
          <w:szCs w:val="24"/>
        </w:rPr>
        <w:fldChar w:fldCharType="separate"/>
      </w:r>
      <w:r w:rsidR="00666FC7">
        <w:rPr>
          <w:rFonts w:asciiTheme="majorBidi" w:hAnsiTheme="majorBidi" w:cstheme="majorBidi"/>
          <w:noProof/>
          <w:color w:val="000000" w:themeColor="text1"/>
          <w:kern w:val="24"/>
          <w:sz w:val="24"/>
          <w:szCs w:val="24"/>
        </w:rPr>
        <w:t>15</w:t>
      </w:r>
      <w:r w:rsidR="00B544E5" w:rsidRPr="008D4BEF">
        <w:rPr>
          <w:rFonts w:asciiTheme="majorBidi" w:hAnsiTheme="majorBidi" w:cstheme="majorBidi"/>
          <w:color w:val="000000" w:themeColor="text1"/>
          <w:kern w:val="24"/>
          <w:sz w:val="24"/>
          <w:szCs w:val="24"/>
        </w:rPr>
        <w:fldChar w:fldCharType="end"/>
      </w:r>
      <w:r w:rsidRPr="008D4BEF">
        <w:rPr>
          <w:rFonts w:asciiTheme="majorBidi" w:hAnsiTheme="majorBidi" w:cstheme="majorBidi"/>
          <w:color w:val="000000" w:themeColor="text1"/>
          <w:kern w:val="24"/>
          <w:sz w:val="24"/>
          <w:szCs w:val="24"/>
        </w:rPr>
        <w:t>: Structure d'un swap de devises.</w:t>
      </w:r>
      <w:bookmarkEnd w:id="433"/>
      <w:bookmarkEnd w:id="434"/>
    </w:p>
    <w:p w14:paraId="156370B4" w14:textId="7BEC7D31" w:rsidR="009E468F" w:rsidRPr="009E468F" w:rsidRDefault="009E468F" w:rsidP="008D4BEF">
      <w:pPr>
        <w:pStyle w:val="Paragraphedeliste"/>
        <w:keepNext/>
        <w:tabs>
          <w:tab w:val="left" w:pos="851"/>
        </w:tabs>
        <w:autoSpaceDE w:val="0"/>
        <w:autoSpaceDN w:val="0"/>
        <w:adjustRightInd w:val="0"/>
        <w:spacing w:before="120" w:line="300" w:lineRule="auto"/>
        <w:ind w:left="0" w:firstLine="709"/>
        <w:contextualSpacing w:val="0"/>
        <w:jc w:val="center"/>
        <w:rPr>
          <w:rFonts w:asciiTheme="majorBidi" w:hAnsiTheme="majorBidi" w:cstheme="majorBidi"/>
          <w:spacing w:val="-8"/>
          <w:sz w:val="24"/>
          <w:szCs w:val="24"/>
        </w:rPr>
      </w:pPr>
      <w:r w:rsidRPr="009E468F">
        <w:rPr>
          <w:rFonts w:asciiTheme="majorBidi" w:hAnsiTheme="majorBidi" w:cstheme="majorBidi"/>
          <w:noProof/>
          <w:spacing w:val="-8"/>
          <w:sz w:val="24"/>
          <w:szCs w:val="24"/>
          <w:lang w:eastAsia="fr-FR"/>
        </w:rPr>
        <w:drawing>
          <wp:anchor distT="0" distB="0" distL="114300" distR="114300" simplePos="0" relativeHeight="251510784" behindDoc="0" locked="0" layoutInCell="1" allowOverlap="1" wp14:anchorId="0902C90D" wp14:editId="43AA94B8">
            <wp:simplePos x="0" y="0"/>
            <wp:positionH relativeFrom="margin">
              <wp:align>center</wp:align>
            </wp:positionH>
            <wp:positionV relativeFrom="paragraph">
              <wp:posOffset>0</wp:posOffset>
            </wp:positionV>
            <wp:extent cx="4876800" cy="2000250"/>
            <wp:effectExtent l="0" t="0" r="0" b="0"/>
            <wp:wrapNone/>
            <wp:docPr id="1552" name="Imag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37" cstate="print"/>
                    <a:srcRect/>
                    <a:stretch>
                      <a:fillRect/>
                    </a:stretch>
                  </pic:blipFill>
                  <pic:spPr bwMode="auto">
                    <a:xfrm>
                      <a:off x="0" y="0"/>
                      <a:ext cx="4876800" cy="2000250"/>
                    </a:xfrm>
                    <a:prstGeom prst="rect">
                      <a:avLst/>
                    </a:prstGeom>
                    <a:noFill/>
                  </pic:spPr>
                </pic:pic>
              </a:graphicData>
            </a:graphic>
          </wp:anchor>
        </w:drawing>
      </w:r>
      <w:r w:rsidR="002C5EFF">
        <w:rPr>
          <w:rFonts w:asciiTheme="majorBidi" w:hAnsiTheme="majorBidi" w:cstheme="majorBidi"/>
          <w:noProof/>
          <w:spacing w:val="-8"/>
          <w:sz w:val="24"/>
          <w:szCs w:val="24"/>
          <w:lang w:eastAsia="fr-FR"/>
        </w:rPr>
        <mc:AlternateContent>
          <mc:Choice Requires="wpc">
            <w:drawing>
              <wp:inline distT="0" distB="0" distL="0" distR="0" wp14:anchorId="6763D7F5" wp14:editId="04278A2C">
                <wp:extent cx="4867275" cy="1990725"/>
                <wp:effectExtent l="0" t="2540" r="635" b="0"/>
                <wp:docPr id="143942818" name="Zone de dessin 15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02D8AE3" id="Zone de dessin 1569" o:spid="_x0000_s1026" editas="canvas" style="width:383.25pt;height:156.75pt;mso-position-horizontal-relative:char;mso-position-vertical-relative:line" coordsize="48672,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">
                <v:shape id="_x0000_s1027" type="#_x0000_t75" style="position:absolute;width:48672;height:19907;visibility:visible;mso-wrap-style:square">
                  <v:fill o:detectmouseclick="t"/>
                  <v:path o:connecttype="none"/>
                </v:shape>
                <w10:anchorlock/>
              </v:group>
            </w:pict>
          </mc:Fallback>
        </mc:AlternateContent>
      </w:r>
    </w:p>
    <w:p w14:paraId="22E76629" w14:textId="77777777" w:rsidR="009E468F" w:rsidRPr="008D4BEF" w:rsidRDefault="009E468F" w:rsidP="008D4BEF">
      <w:pPr>
        <w:pStyle w:val="Paragraphedeliste"/>
        <w:keepNext/>
        <w:tabs>
          <w:tab w:val="left" w:pos="851"/>
        </w:tabs>
        <w:autoSpaceDE w:val="0"/>
        <w:autoSpaceDN w:val="0"/>
        <w:adjustRightInd w:val="0"/>
        <w:spacing w:line="240" w:lineRule="auto"/>
        <w:ind w:left="0"/>
        <w:contextualSpacing w:val="0"/>
        <w:jc w:val="center"/>
        <w:rPr>
          <w:rFonts w:asciiTheme="majorBidi" w:hAnsiTheme="majorBidi" w:cstheme="majorBidi"/>
          <w:sz w:val="20"/>
          <w:szCs w:val="20"/>
          <w:shd w:val="clear" w:color="auto" w:fill="FFFFFF"/>
        </w:rPr>
      </w:pPr>
      <w:r w:rsidRPr="008D4BEF">
        <w:rPr>
          <w:rFonts w:asciiTheme="majorBidi" w:hAnsiTheme="majorBidi" w:cstheme="majorBidi"/>
          <w:sz w:val="20"/>
          <w:szCs w:val="20"/>
          <w:shd w:val="clear" w:color="auto" w:fill="FFFFFF"/>
        </w:rPr>
        <w:t>Source : I</w:t>
      </w:r>
      <w:r w:rsidR="00D637D7" w:rsidRPr="008D4BEF">
        <w:rPr>
          <w:rFonts w:asciiTheme="majorBidi" w:hAnsiTheme="majorBidi" w:cstheme="majorBidi"/>
          <w:sz w:val="20"/>
          <w:szCs w:val="20"/>
          <w:shd w:val="clear" w:color="auto" w:fill="FFFFFF"/>
        </w:rPr>
        <w:t>bid</w:t>
      </w:r>
      <w:r w:rsidRPr="008D4BEF">
        <w:rPr>
          <w:rFonts w:asciiTheme="majorBidi" w:hAnsiTheme="majorBidi" w:cstheme="majorBidi"/>
          <w:sz w:val="20"/>
          <w:szCs w:val="20"/>
          <w:shd w:val="clear" w:color="auto" w:fill="FFFFFF"/>
        </w:rPr>
        <w:t>, p.27.</w:t>
      </w:r>
    </w:p>
    <w:p w14:paraId="1DC8A094" w14:textId="77777777" w:rsidR="008D4BEF" w:rsidRDefault="008D4BEF" w:rsidP="008D4BEF">
      <w:pPr>
        <w:tabs>
          <w:tab w:val="left" w:pos="851"/>
        </w:tabs>
        <w:autoSpaceDE w:val="0"/>
        <w:autoSpaceDN w:val="0"/>
        <w:adjustRightInd w:val="0"/>
        <w:spacing w:line="300" w:lineRule="auto"/>
        <w:ind w:firstLine="709"/>
        <w:rPr>
          <w:rFonts w:asciiTheme="majorBidi" w:hAnsiTheme="majorBidi" w:cstheme="majorBidi"/>
          <w:kern w:val="24"/>
          <w:sz w:val="24"/>
          <w:szCs w:val="24"/>
          <w:shd w:val="clear" w:color="auto" w:fill="FFFFFF"/>
        </w:rPr>
      </w:pPr>
    </w:p>
    <w:p w14:paraId="2246F249" w14:textId="399FA277" w:rsidR="009E468F" w:rsidRPr="008D4BEF" w:rsidRDefault="009E468F" w:rsidP="003D101B">
      <w:pPr>
        <w:tabs>
          <w:tab w:val="left" w:pos="851"/>
        </w:tabs>
        <w:autoSpaceDE w:val="0"/>
        <w:autoSpaceDN w:val="0"/>
        <w:adjustRightInd w:val="0"/>
        <w:ind w:firstLine="709"/>
        <w:rPr>
          <w:rFonts w:asciiTheme="majorBidi" w:hAnsiTheme="majorBidi" w:cstheme="majorBidi"/>
          <w:kern w:val="24"/>
          <w:sz w:val="24"/>
          <w:szCs w:val="24"/>
          <w:shd w:val="clear" w:color="auto" w:fill="FFFFFF"/>
        </w:rPr>
      </w:pPr>
      <w:r w:rsidRPr="008D4BEF">
        <w:rPr>
          <w:rFonts w:asciiTheme="majorBidi" w:hAnsiTheme="majorBidi" w:cstheme="majorBidi"/>
          <w:kern w:val="24"/>
          <w:sz w:val="24"/>
          <w:szCs w:val="24"/>
          <w:shd w:val="clear" w:color="auto" w:fill="FFFFFF"/>
        </w:rPr>
        <w:t xml:space="preserve">La </w:t>
      </w:r>
      <w:r w:rsidR="008D4BEF" w:rsidRPr="003D101B">
        <w:rPr>
          <w:rFonts w:asciiTheme="majorBidi" w:hAnsiTheme="majorBidi" w:cstheme="majorBidi"/>
          <w:b/>
          <w:bCs/>
          <w:kern w:val="24"/>
          <w:sz w:val="24"/>
          <w:szCs w:val="24"/>
          <w:shd w:val="clear" w:color="auto" w:fill="FFFFFF"/>
        </w:rPr>
        <w:t>f</w:t>
      </w:r>
      <w:r w:rsidRPr="003D101B">
        <w:rPr>
          <w:rFonts w:asciiTheme="majorBidi" w:hAnsiTheme="majorBidi" w:cstheme="majorBidi"/>
          <w:b/>
          <w:bCs/>
          <w:kern w:val="24"/>
          <w:sz w:val="24"/>
          <w:szCs w:val="24"/>
          <w:shd w:val="clear" w:color="auto" w:fill="FFFFFF"/>
        </w:rPr>
        <w:t>igure 15</w:t>
      </w:r>
      <w:r w:rsidRPr="008D4BEF">
        <w:rPr>
          <w:rFonts w:asciiTheme="majorBidi" w:hAnsiTheme="majorBidi" w:cstheme="majorBidi"/>
          <w:kern w:val="24"/>
          <w:sz w:val="24"/>
          <w:szCs w:val="24"/>
          <w:shd w:val="clear" w:color="auto" w:fill="FFFFFF"/>
        </w:rPr>
        <w:t xml:space="preserve"> illustre ce type d’opération. Dans cet exemple, la contrepartie A paie à la contrepartie B le taux variable en dollars américain</w:t>
      </w:r>
      <w:r w:rsidR="003D101B">
        <w:rPr>
          <w:rFonts w:asciiTheme="majorBidi" w:hAnsiTheme="majorBidi" w:cstheme="majorBidi"/>
          <w:kern w:val="24"/>
          <w:sz w:val="24"/>
          <w:szCs w:val="24"/>
          <w:shd w:val="clear" w:color="auto" w:fill="FFFFFF"/>
        </w:rPr>
        <w:t>s</w:t>
      </w:r>
      <w:r w:rsidRPr="008D4BEF">
        <w:rPr>
          <w:rFonts w:asciiTheme="majorBidi" w:hAnsiTheme="majorBidi" w:cstheme="majorBidi"/>
          <w:kern w:val="24"/>
          <w:sz w:val="24"/>
          <w:szCs w:val="24"/>
          <w:shd w:val="clear" w:color="auto" w:fill="FFFFFF"/>
        </w:rPr>
        <w:t xml:space="preserve">. </w:t>
      </w:r>
      <w:r w:rsidR="008D4BEF">
        <w:rPr>
          <w:rFonts w:asciiTheme="majorBidi" w:hAnsiTheme="majorBidi" w:cstheme="majorBidi"/>
          <w:kern w:val="24"/>
          <w:sz w:val="24"/>
          <w:szCs w:val="24"/>
          <w:shd w:val="clear" w:color="auto" w:fill="FFFFFF"/>
        </w:rPr>
        <w:t>E</w:t>
      </w:r>
      <w:r w:rsidRPr="008D4BEF">
        <w:rPr>
          <w:rFonts w:asciiTheme="majorBidi" w:hAnsiTheme="majorBidi" w:cstheme="majorBidi"/>
          <w:kern w:val="24"/>
          <w:sz w:val="24"/>
          <w:szCs w:val="24"/>
          <w:shd w:val="clear" w:color="auto" w:fill="FFFFFF"/>
        </w:rPr>
        <w:t>t</w:t>
      </w:r>
      <w:r w:rsidR="008D4BEF">
        <w:rPr>
          <w:rFonts w:asciiTheme="majorBidi" w:hAnsiTheme="majorBidi" w:cstheme="majorBidi"/>
          <w:kern w:val="24"/>
          <w:sz w:val="24"/>
          <w:szCs w:val="24"/>
          <w:shd w:val="clear" w:color="auto" w:fill="FFFFFF"/>
        </w:rPr>
        <w:t>,</w:t>
      </w:r>
      <w:r w:rsidRPr="008D4BEF">
        <w:rPr>
          <w:rFonts w:asciiTheme="majorBidi" w:hAnsiTheme="majorBidi" w:cstheme="majorBidi"/>
          <w:kern w:val="24"/>
          <w:sz w:val="24"/>
          <w:szCs w:val="24"/>
          <w:shd w:val="clear" w:color="auto" w:fill="FFFFFF"/>
        </w:rPr>
        <w:t xml:space="preserve"> elle reçoit d’elle le taux fixe dans l’autre devise pendant toute la durée du swap. À l’entrée en vigueur du contrat, B paie à A le principal en dollars américain, et A paie à B le principal dans l’autre devise.</w:t>
      </w:r>
      <w:r w:rsidRPr="008D4BEF">
        <w:rPr>
          <w:kern w:val="24"/>
        </w:rPr>
        <w:t xml:space="preserve"> </w:t>
      </w:r>
      <w:r w:rsidRPr="008D4BEF">
        <w:rPr>
          <w:rFonts w:asciiTheme="majorBidi" w:hAnsiTheme="majorBidi" w:cstheme="majorBidi"/>
          <w:kern w:val="24"/>
          <w:sz w:val="24"/>
          <w:szCs w:val="24"/>
          <w:shd w:val="clear" w:color="auto" w:fill="FFFFFF"/>
        </w:rPr>
        <w:t>À l’expiration du contrat, ces paiements de principal sont inversés.</w:t>
      </w:r>
    </w:p>
    <w:p w14:paraId="16C9A7A0" w14:textId="77777777" w:rsidR="00E94185" w:rsidRPr="008D4BEF" w:rsidRDefault="00DF6496" w:rsidP="003D101B">
      <w:pPr>
        <w:pStyle w:val="Paragraphedeliste"/>
        <w:tabs>
          <w:tab w:val="left" w:pos="851"/>
        </w:tabs>
        <w:autoSpaceDE w:val="0"/>
        <w:autoSpaceDN w:val="0"/>
        <w:adjustRightInd w:val="0"/>
        <w:spacing w:before="120"/>
        <w:ind w:left="0" w:firstLine="709"/>
        <w:contextualSpacing w:val="0"/>
        <w:rPr>
          <w:rFonts w:ascii="Times New Roman" w:eastAsia="Times New Roman" w:hAnsi="Times New Roman" w:cs="Times New Roman"/>
          <w:kern w:val="24"/>
          <w:sz w:val="24"/>
          <w:szCs w:val="24"/>
          <w:lang w:eastAsia="fr-FR"/>
        </w:rPr>
      </w:pPr>
      <w:r w:rsidRPr="008D4BEF">
        <w:rPr>
          <w:noProof/>
          <w:kern w:val="24"/>
          <w:lang w:eastAsia="fr-FR"/>
        </w:rPr>
        <w:drawing>
          <wp:anchor distT="0" distB="0" distL="114300" distR="114300" simplePos="0" relativeHeight="251509760" behindDoc="0" locked="0" layoutInCell="1" allowOverlap="1" wp14:anchorId="7C60C71D" wp14:editId="6E62141D">
            <wp:simplePos x="0" y="0"/>
            <wp:positionH relativeFrom="column">
              <wp:posOffset>775022</wp:posOffset>
            </wp:positionH>
            <wp:positionV relativeFrom="paragraph">
              <wp:posOffset>965679</wp:posOffset>
            </wp:positionV>
            <wp:extent cx="219075" cy="190500"/>
            <wp:effectExtent l="19050" t="0" r="9525" b="0"/>
            <wp:wrapNone/>
            <wp:docPr id="1364" name="Image 1364" descr="C:\Users\UserA\AppData\Local\Microsoft\Windows\INetCache\Content.MSO\DD1F13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AppData\Local\Microsoft\Windows\INetCache\Content.MSO\DD1F13CE.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anchor>
        </w:drawing>
      </w:r>
      <w:r w:rsidR="00230DBD" w:rsidRPr="008D4BEF">
        <w:rPr>
          <w:rFonts w:ascii="Times New Roman" w:hAnsi="Times New Roman" w:cs="Times New Roman"/>
          <w:kern w:val="24"/>
          <w:sz w:val="24"/>
          <w:szCs w:val="24"/>
          <w:shd w:val="clear" w:color="auto" w:fill="FFFFFF"/>
        </w:rPr>
        <w:t xml:space="preserve">Selon les préceptes </w:t>
      </w:r>
      <w:r w:rsidR="0075731C" w:rsidRPr="008D4BEF">
        <w:rPr>
          <w:rFonts w:ascii="Times New Roman" w:hAnsi="Times New Roman" w:cs="Times New Roman"/>
          <w:kern w:val="24"/>
          <w:sz w:val="24"/>
          <w:szCs w:val="24"/>
          <w:shd w:val="clear" w:color="auto" w:fill="FFFFFF"/>
        </w:rPr>
        <w:t>i</w:t>
      </w:r>
      <w:r w:rsidR="003773C6" w:rsidRPr="008D4BEF">
        <w:rPr>
          <w:rFonts w:ascii="Times New Roman" w:hAnsi="Times New Roman" w:cs="Times New Roman"/>
          <w:kern w:val="24"/>
          <w:sz w:val="24"/>
          <w:szCs w:val="24"/>
          <w:shd w:val="clear" w:color="auto" w:fill="FFFFFF"/>
        </w:rPr>
        <w:t>slamique</w:t>
      </w:r>
      <w:r w:rsidR="00230DBD" w:rsidRPr="008D4BEF">
        <w:rPr>
          <w:rFonts w:ascii="Times New Roman" w:hAnsi="Times New Roman" w:cs="Times New Roman"/>
          <w:kern w:val="24"/>
          <w:sz w:val="24"/>
          <w:szCs w:val="24"/>
          <w:shd w:val="clear" w:color="auto" w:fill="FFFFFF"/>
        </w:rPr>
        <w:t>s, l’opération d</w:t>
      </w:r>
      <w:r w:rsidR="00E94185" w:rsidRPr="008D4BEF">
        <w:rPr>
          <w:rFonts w:ascii="Times New Roman" w:hAnsi="Times New Roman" w:cs="Times New Roman"/>
          <w:kern w:val="24"/>
          <w:sz w:val="24"/>
          <w:szCs w:val="24"/>
          <w:shd w:val="clear" w:color="auto" w:fill="FFFFFF"/>
        </w:rPr>
        <w:t>e change n’est licite que s’il se fait au comptant. C'est-à-dire donne</w:t>
      </w:r>
      <w:r w:rsidR="00230DBD" w:rsidRPr="008D4BEF">
        <w:rPr>
          <w:rFonts w:ascii="Times New Roman" w:hAnsi="Times New Roman" w:cs="Times New Roman"/>
          <w:kern w:val="24"/>
          <w:sz w:val="24"/>
          <w:szCs w:val="24"/>
          <w:shd w:val="clear" w:color="auto" w:fill="FFFFFF"/>
        </w:rPr>
        <w:t>r</w:t>
      </w:r>
      <w:r w:rsidR="00E94185" w:rsidRPr="008D4BEF">
        <w:rPr>
          <w:rFonts w:ascii="Times New Roman" w:hAnsi="Times New Roman" w:cs="Times New Roman"/>
          <w:kern w:val="24"/>
          <w:sz w:val="24"/>
          <w:szCs w:val="24"/>
          <w:shd w:val="clear" w:color="auto" w:fill="FFFFFF"/>
        </w:rPr>
        <w:t xml:space="preserve"> une </w:t>
      </w:r>
      <w:r w:rsidR="00230DBD" w:rsidRPr="008D4BEF">
        <w:rPr>
          <w:rFonts w:ascii="Times New Roman" w:hAnsi="Times New Roman" w:cs="Times New Roman"/>
          <w:kern w:val="24"/>
          <w:sz w:val="24"/>
          <w:szCs w:val="24"/>
          <w:shd w:val="clear" w:color="auto" w:fill="FFFFFF"/>
        </w:rPr>
        <w:t xml:space="preserve">somme dans une devise et recevoir </w:t>
      </w:r>
      <w:r w:rsidR="00E94185" w:rsidRPr="008D4BEF">
        <w:rPr>
          <w:rFonts w:ascii="Times New Roman" w:hAnsi="Times New Roman" w:cs="Times New Roman"/>
          <w:kern w:val="24"/>
          <w:sz w:val="24"/>
          <w:szCs w:val="24"/>
          <w:shd w:val="clear" w:color="auto" w:fill="FFFFFF"/>
        </w:rPr>
        <w:t>en contrepartie son équivalent dans l’autre devise immédiatement au moment même de l’échange et sans délai.</w:t>
      </w:r>
      <w:r w:rsidR="0075731C" w:rsidRPr="008D4BEF">
        <w:rPr>
          <w:rFonts w:ascii="Times New Roman" w:hAnsi="Times New Roman" w:cs="Times New Roman"/>
          <w:kern w:val="24"/>
          <w:sz w:val="24"/>
          <w:szCs w:val="24"/>
          <w:shd w:val="clear" w:color="auto" w:fill="FFFFFF"/>
        </w:rPr>
        <w:t xml:space="preserve"> </w:t>
      </w:r>
      <w:r w:rsidR="00230DBD" w:rsidRPr="008D4BEF">
        <w:rPr>
          <w:rFonts w:ascii="Times New Roman" w:eastAsia="Times New Roman" w:hAnsi="Times New Roman" w:cs="Times New Roman"/>
          <w:kern w:val="24"/>
          <w:sz w:val="24"/>
          <w:szCs w:val="24"/>
          <w:lang w:eastAsia="fr-FR"/>
        </w:rPr>
        <w:t>P</w:t>
      </w:r>
      <w:r w:rsidR="00E94185" w:rsidRPr="008D4BEF">
        <w:rPr>
          <w:rFonts w:ascii="Times New Roman" w:eastAsia="Times New Roman" w:hAnsi="Times New Roman" w:cs="Times New Roman"/>
          <w:kern w:val="24"/>
          <w:sz w:val="24"/>
          <w:szCs w:val="24"/>
          <w:lang w:eastAsia="fr-FR"/>
        </w:rPr>
        <w:t>reuve en est l</w:t>
      </w:r>
      <w:r w:rsidR="00CF66C7" w:rsidRPr="008D4BEF">
        <w:rPr>
          <w:rFonts w:ascii="Times New Roman" w:eastAsia="Times New Roman" w:hAnsi="Times New Roman" w:cs="Times New Roman"/>
          <w:kern w:val="24"/>
          <w:sz w:val="24"/>
          <w:szCs w:val="24"/>
          <w:lang w:eastAsia="fr-FR"/>
        </w:rPr>
        <w:t xml:space="preserve">e hadith rapporté dans les deux </w:t>
      </w:r>
      <w:r w:rsidR="00E94185" w:rsidRPr="008D4BEF">
        <w:rPr>
          <w:rFonts w:ascii="Times New Roman" w:eastAsia="Times New Roman" w:hAnsi="Times New Roman" w:cs="Times New Roman"/>
          <w:i/>
          <w:iCs/>
          <w:kern w:val="24"/>
          <w:sz w:val="24"/>
          <w:szCs w:val="24"/>
          <w:lang w:eastAsia="fr-FR"/>
        </w:rPr>
        <w:t>Sahih</w:t>
      </w:r>
      <w:r w:rsidR="00E94185" w:rsidRPr="008D4BEF">
        <w:rPr>
          <w:rFonts w:ascii="Times New Roman" w:eastAsia="Times New Roman" w:hAnsi="Times New Roman" w:cs="Times New Roman"/>
          <w:kern w:val="24"/>
          <w:sz w:val="24"/>
          <w:szCs w:val="24"/>
          <w:lang w:eastAsia="fr-FR"/>
        </w:rPr>
        <w:t xml:space="preserve"> dans lequel al-Barâ’ </w:t>
      </w:r>
      <w:r w:rsidR="00F445C9" w:rsidRPr="008D4BEF">
        <w:rPr>
          <w:rFonts w:ascii="Times New Roman" w:eastAsia="Times New Roman" w:hAnsi="Times New Roman" w:cs="Times New Roman"/>
          <w:smallCaps/>
          <w:kern w:val="24"/>
          <w:sz w:val="24"/>
          <w:szCs w:val="24"/>
          <w:lang w:eastAsia="fr-FR"/>
        </w:rPr>
        <w:t>I</w:t>
      </w:r>
      <w:r w:rsidR="00E94185" w:rsidRPr="008D4BEF">
        <w:rPr>
          <w:rFonts w:ascii="Times New Roman" w:eastAsia="Times New Roman" w:hAnsi="Times New Roman" w:cs="Times New Roman"/>
          <w:smallCaps/>
          <w:kern w:val="24"/>
          <w:sz w:val="24"/>
          <w:szCs w:val="24"/>
          <w:lang w:eastAsia="fr-FR"/>
        </w:rPr>
        <w:t>bn ‘Âzib</w:t>
      </w:r>
      <w:r w:rsidR="00E94185" w:rsidRPr="008D4BEF">
        <w:rPr>
          <w:rFonts w:ascii="Times New Roman" w:eastAsia="Times New Roman" w:hAnsi="Times New Roman" w:cs="Times New Roman"/>
          <w:kern w:val="24"/>
          <w:sz w:val="24"/>
          <w:szCs w:val="24"/>
          <w:lang w:eastAsia="fr-FR"/>
        </w:rPr>
        <w:t xml:space="preserve"> et Zayd </w:t>
      </w:r>
      <w:r w:rsidR="00F445C9" w:rsidRPr="008D4BEF">
        <w:rPr>
          <w:rFonts w:ascii="Times New Roman" w:eastAsia="Times New Roman" w:hAnsi="Times New Roman" w:cs="Times New Roman"/>
          <w:smallCaps/>
          <w:kern w:val="24"/>
          <w:sz w:val="24"/>
          <w:szCs w:val="24"/>
          <w:lang w:eastAsia="fr-FR"/>
        </w:rPr>
        <w:t>I</w:t>
      </w:r>
      <w:r w:rsidR="00E94185" w:rsidRPr="008D4BEF">
        <w:rPr>
          <w:rFonts w:ascii="Times New Roman" w:eastAsia="Times New Roman" w:hAnsi="Times New Roman" w:cs="Times New Roman"/>
          <w:smallCaps/>
          <w:kern w:val="24"/>
          <w:sz w:val="24"/>
          <w:szCs w:val="24"/>
          <w:lang w:eastAsia="fr-FR"/>
        </w:rPr>
        <w:t>bn Arqam</w:t>
      </w:r>
      <w:r w:rsidR="00EE516E" w:rsidRPr="008D4BEF">
        <w:rPr>
          <w:rFonts w:ascii="Times New Roman" w:eastAsia="Times New Roman" w:hAnsi="Times New Roman" w:cs="Times New Roman"/>
          <w:kern w:val="24"/>
          <w:sz w:val="24"/>
          <w:szCs w:val="24"/>
          <w:lang w:eastAsia="fr-FR"/>
        </w:rPr>
        <w:t xml:space="preserve">       </w:t>
      </w:r>
      <w:r w:rsidR="00230DBD" w:rsidRPr="008D4BEF">
        <w:rPr>
          <w:rFonts w:ascii="Times New Roman" w:eastAsia="Times New Roman" w:hAnsi="Times New Roman" w:cs="Times New Roman"/>
          <w:kern w:val="24"/>
          <w:sz w:val="24"/>
          <w:szCs w:val="24"/>
          <w:lang w:eastAsia="fr-FR"/>
        </w:rPr>
        <w:t xml:space="preserve">, interrogèrent le Prophète </w:t>
      </w:r>
      <w:r w:rsidR="0075731C" w:rsidRPr="008D4BEF">
        <w:rPr>
          <w:rFonts w:ascii="Times New Roman" w:eastAsia="Times New Roman" w:hAnsi="Times New Roman" w:cs="Times New Roman"/>
          <w:kern w:val="24"/>
          <w:sz w:val="24"/>
          <w:szCs w:val="24"/>
          <w:lang w:eastAsia="fr-FR"/>
        </w:rPr>
        <w:t xml:space="preserve">  </w:t>
      </w:r>
      <w:r w:rsidR="0075731C" w:rsidRPr="008D4BEF">
        <w:rPr>
          <w:rFonts w:ascii="Times New Roman" w:eastAsia="Times New Roman" w:hAnsi="Times New Roman" w:cs="Times New Roman"/>
          <w:noProof/>
          <w:kern w:val="24"/>
          <w:sz w:val="24"/>
          <w:szCs w:val="24"/>
          <w:lang w:eastAsia="fr-FR"/>
        </w:rPr>
        <w:drawing>
          <wp:anchor distT="0" distB="0" distL="114300" distR="114300" simplePos="0" relativeHeight="251508736" behindDoc="0" locked="1" layoutInCell="1" allowOverlap="0" wp14:anchorId="16E081D2" wp14:editId="5389F3FD">
            <wp:simplePos x="0" y="0"/>
            <wp:positionH relativeFrom="column">
              <wp:posOffset>2609850</wp:posOffset>
            </wp:positionH>
            <wp:positionV relativeFrom="paragraph">
              <wp:posOffset>967740</wp:posOffset>
            </wp:positionV>
            <wp:extent cx="180975" cy="161925"/>
            <wp:effectExtent l="0" t="0" r="0" b="0"/>
            <wp:wrapNone/>
            <wp:docPr id="1349"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2B7651" w:rsidRPr="008D4BEF">
        <w:rPr>
          <w:rFonts w:ascii="Times New Roman" w:eastAsia="Times New Roman" w:hAnsi="Times New Roman" w:cs="Times New Roman"/>
          <w:kern w:val="24"/>
          <w:sz w:val="24"/>
          <w:szCs w:val="24"/>
          <w:lang w:eastAsia="fr-FR"/>
        </w:rPr>
        <w:t xml:space="preserve"> </w:t>
      </w:r>
      <w:r w:rsidR="0075731C" w:rsidRPr="008D4BEF">
        <w:rPr>
          <w:rFonts w:ascii="Times New Roman" w:eastAsia="Times New Roman" w:hAnsi="Times New Roman" w:cs="Times New Roman"/>
          <w:kern w:val="24"/>
          <w:sz w:val="24"/>
          <w:szCs w:val="24"/>
          <w:lang w:eastAsia="fr-FR"/>
        </w:rPr>
        <w:t xml:space="preserve"> </w:t>
      </w:r>
      <w:r w:rsidR="00E94185" w:rsidRPr="008D4BEF">
        <w:rPr>
          <w:rFonts w:ascii="Times New Roman" w:eastAsia="Times New Roman" w:hAnsi="Times New Roman" w:cs="Times New Roman"/>
          <w:kern w:val="24"/>
          <w:sz w:val="24"/>
          <w:szCs w:val="24"/>
          <w:lang w:eastAsia="fr-FR"/>
        </w:rPr>
        <w:t xml:space="preserve"> au sujet du change</w:t>
      </w:r>
      <w:r w:rsidR="00B13A51" w:rsidRPr="008D4BEF">
        <w:rPr>
          <w:rFonts w:ascii="Times New Roman" w:eastAsia="Times New Roman" w:hAnsi="Times New Roman" w:cs="Times New Roman"/>
          <w:kern w:val="24"/>
          <w:sz w:val="24"/>
          <w:szCs w:val="24"/>
          <w:lang w:eastAsia="fr-FR"/>
        </w:rPr>
        <w:t> ;</w:t>
      </w:r>
      <w:r w:rsidR="00E94185" w:rsidRPr="008D4BEF">
        <w:rPr>
          <w:rFonts w:ascii="Times New Roman" w:eastAsia="Times New Roman" w:hAnsi="Times New Roman" w:cs="Times New Roman"/>
          <w:kern w:val="24"/>
          <w:sz w:val="24"/>
          <w:szCs w:val="24"/>
          <w:lang w:eastAsia="fr-FR"/>
        </w:rPr>
        <w:t xml:space="preserve"> il leur dit :</w:t>
      </w:r>
    </w:p>
    <w:p w14:paraId="51305514" w14:textId="77777777" w:rsidR="00E94185" w:rsidRPr="008D4BEF" w:rsidRDefault="00E94185" w:rsidP="008D4BEF">
      <w:pPr>
        <w:shd w:val="clear" w:color="auto" w:fill="FFFFFF"/>
        <w:tabs>
          <w:tab w:val="left" w:pos="851"/>
        </w:tabs>
        <w:spacing w:before="120" w:line="300" w:lineRule="auto"/>
        <w:ind w:left="1134" w:right="567"/>
        <w:rPr>
          <w:rFonts w:ascii="Times New Roman" w:eastAsia="Times New Roman" w:hAnsi="Times New Roman" w:cs="Times New Roman"/>
          <w:kern w:val="24"/>
          <w:lang w:eastAsia="fr-FR"/>
        </w:rPr>
      </w:pPr>
      <w:r w:rsidRPr="008D4BEF">
        <w:rPr>
          <w:rFonts w:ascii="Times New Roman" w:eastAsia="Times New Roman" w:hAnsi="Times New Roman" w:cs="Times New Roman"/>
          <w:kern w:val="24"/>
          <w:lang w:eastAsia="fr-FR"/>
        </w:rPr>
        <w:t>« </w:t>
      </w:r>
      <w:r w:rsidRPr="008D4BEF">
        <w:rPr>
          <w:rFonts w:ascii="Times New Roman" w:eastAsia="Times New Roman" w:hAnsi="Times New Roman" w:cs="Times New Roman"/>
          <w:i/>
          <w:iCs/>
          <w:kern w:val="24"/>
          <w:lang w:eastAsia="fr-FR"/>
        </w:rPr>
        <w:t>Il n’y a pas d’inconvénient à le faire quand c’est au comptant. Par contre, il est illicite quand le paiement est différé (à crédit)</w:t>
      </w:r>
      <w:r w:rsidRPr="008D4BEF">
        <w:rPr>
          <w:rFonts w:ascii="Times New Roman" w:eastAsia="Times New Roman" w:hAnsi="Times New Roman" w:cs="Times New Roman"/>
          <w:kern w:val="24"/>
          <w:lang w:eastAsia="fr-FR"/>
        </w:rPr>
        <w:t> »</w:t>
      </w:r>
      <w:r w:rsidR="006E2052" w:rsidRPr="008D4BEF">
        <w:rPr>
          <w:rFonts w:ascii="Times New Roman" w:eastAsia="Times New Roman" w:hAnsi="Times New Roman" w:cs="Times New Roman"/>
          <w:kern w:val="24"/>
          <w:lang w:eastAsia="fr-FR"/>
        </w:rPr>
        <w:t>.</w:t>
      </w:r>
    </w:p>
    <w:p w14:paraId="463CC3B2" w14:textId="6FF202AD" w:rsidR="003950FA" w:rsidRPr="008D4BEF" w:rsidRDefault="00230DBD" w:rsidP="008D4BEF">
      <w:pPr>
        <w:pStyle w:val="Paragraphedeliste"/>
        <w:tabs>
          <w:tab w:val="left" w:pos="851"/>
        </w:tabs>
        <w:autoSpaceDE w:val="0"/>
        <w:autoSpaceDN w:val="0"/>
        <w:adjustRightInd w:val="0"/>
        <w:spacing w:before="120" w:after="120" w:line="300" w:lineRule="auto"/>
        <w:ind w:left="0" w:firstLine="709"/>
        <w:contextualSpacing w:val="0"/>
        <w:rPr>
          <w:rFonts w:ascii="Times New Roman" w:hAnsi="Times New Roman" w:cs="Times New Roman"/>
          <w:kern w:val="24"/>
          <w:sz w:val="24"/>
          <w:szCs w:val="24"/>
          <w:rtl/>
          <w:lang w:bidi="ar-DZ"/>
        </w:rPr>
      </w:pPr>
      <w:r w:rsidRPr="008D4BEF">
        <w:rPr>
          <w:rFonts w:ascii="Times New Roman" w:hAnsi="Times New Roman" w:cs="Times New Roman"/>
          <w:kern w:val="24"/>
          <w:sz w:val="24"/>
          <w:szCs w:val="24"/>
        </w:rPr>
        <w:t>Donc le swap de devises est</w:t>
      </w:r>
      <w:r w:rsidR="002760B2" w:rsidRPr="008D4BEF">
        <w:rPr>
          <w:rFonts w:ascii="Times New Roman" w:hAnsi="Times New Roman" w:cs="Times New Roman"/>
          <w:kern w:val="24"/>
          <w:sz w:val="24"/>
          <w:szCs w:val="24"/>
        </w:rPr>
        <w:t xml:space="preserve"> prohibé par la </w:t>
      </w:r>
      <w:r w:rsidR="001124FF" w:rsidRPr="008D4BEF">
        <w:rPr>
          <w:rFonts w:asciiTheme="majorBidi" w:eastAsia="Times New Roman" w:hAnsiTheme="majorBidi" w:cstheme="majorBidi"/>
          <w:i/>
          <w:iCs/>
          <w:color w:val="000000" w:themeColor="text1"/>
          <w:kern w:val="24"/>
          <w:sz w:val="24"/>
          <w:szCs w:val="24"/>
          <w:lang w:eastAsia="fr-FR"/>
        </w:rPr>
        <w:t>Shariah</w:t>
      </w:r>
      <w:r w:rsidR="002760B2" w:rsidRPr="008D4BEF">
        <w:rPr>
          <w:rFonts w:ascii="Times New Roman" w:hAnsi="Times New Roman" w:cs="Times New Roman"/>
          <w:kern w:val="24"/>
          <w:sz w:val="24"/>
          <w:szCs w:val="24"/>
        </w:rPr>
        <w:t>, car il s’agit d’</w:t>
      </w:r>
      <w:r w:rsidR="00D46AC0" w:rsidRPr="008D4BEF">
        <w:rPr>
          <w:rFonts w:ascii="Times New Roman" w:hAnsi="Times New Roman" w:cs="Times New Roman"/>
          <w:kern w:val="24"/>
          <w:sz w:val="24"/>
          <w:szCs w:val="24"/>
        </w:rPr>
        <w:t xml:space="preserve">un </w:t>
      </w:r>
      <w:r w:rsidR="002760B2" w:rsidRPr="008D4BEF">
        <w:rPr>
          <w:rFonts w:ascii="Times New Roman" w:hAnsi="Times New Roman" w:cs="Times New Roman"/>
          <w:kern w:val="24"/>
          <w:sz w:val="24"/>
          <w:szCs w:val="24"/>
        </w:rPr>
        <w:t xml:space="preserve">échange de devises à terme (interprété comme </w:t>
      </w:r>
      <w:r w:rsidR="002760B2" w:rsidRPr="008D4BEF">
        <w:rPr>
          <w:rFonts w:ascii="Times New Roman" w:hAnsi="Times New Roman" w:cs="Times New Roman"/>
          <w:i/>
          <w:kern w:val="24"/>
          <w:sz w:val="24"/>
          <w:szCs w:val="24"/>
        </w:rPr>
        <w:t>riba</w:t>
      </w:r>
      <w:r w:rsidR="002760B2" w:rsidRPr="008D4BEF">
        <w:rPr>
          <w:rFonts w:ascii="Times New Roman" w:hAnsi="Times New Roman" w:cs="Times New Roman"/>
          <w:kern w:val="24"/>
          <w:sz w:val="24"/>
          <w:szCs w:val="24"/>
        </w:rPr>
        <w:t xml:space="preserve"> </w:t>
      </w:r>
      <w:r w:rsidR="002760B2" w:rsidRPr="008D4BEF">
        <w:rPr>
          <w:rFonts w:ascii="Times New Roman" w:hAnsi="Times New Roman" w:cs="Times New Roman"/>
          <w:i/>
          <w:iCs/>
          <w:kern w:val="24"/>
          <w:sz w:val="24"/>
          <w:szCs w:val="24"/>
        </w:rPr>
        <w:t>anassia</w:t>
      </w:r>
      <w:r w:rsidR="002760B2" w:rsidRPr="008D4BEF">
        <w:rPr>
          <w:rFonts w:ascii="Times New Roman" w:hAnsi="Times New Roman" w:cs="Times New Roman"/>
          <w:kern w:val="24"/>
          <w:sz w:val="24"/>
          <w:szCs w:val="24"/>
        </w:rPr>
        <w:t>, du fait que le prix à terme est différent du prix au comptant dans le premier échange de devises).</w:t>
      </w:r>
      <w:r w:rsidR="00280797" w:rsidRPr="008D4BEF">
        <w:rPr>
          <w:rFonts w:ascii="Times New Roman" w:hAnsi="Times New Roman" w:cs="Times New Roman"/>
          <w:kern w:val="24"/>
          <w:sz w:val="24"/>
          <w:szCs w:val="24"/>
        </w:rPr>
        <w:t xml:space="preserve"> </w:t>
      </w:r>
      <w:r w:rsidR="002760B2" w:rsidRPr="008D4BEF">
        <w:rPr>
          <w:rFonts w:ascii="Times New Roman" w:hAnsi="Times New Roman" w:cs="Times New Roman"/>
          <w:kern w:val="24"/>
          <w:sz w:val="24"/>
          <w:szCs w:val="24"/>
        </w:rPr>
        <w:t xml:space="preserve">Néanmoins, même un échange avec le même prix, le swap reste interdit par la </w:t>
      </w:r>
      <w:r w:rsidR="001124FF" w:rsidRPr="008D4BEF">
        <w:rPr>
          <w:rFonts w:asciiTheme="majorBidi" w:eastAsia="Times New Roman" w:hAnsiTheme="majorBidi" w:cstheme="majorBidi"/>
          <w:i/>
          <w:iCs/>
          <w:color w:val="000000" w:themeColor="text1"/>
          <w:kern w:val="24"/>
          <w:sz w:val="24"/>
          <w:szCs w:val="24"/>
          <w:lang w:eastAsia="fr-FR"/>
        </w:rPr>
        <w:t>Shariah</w:t>
      </w:r>
      <w:r w:rsidR="002760B2" w:rsidRPr="008D4BEF">
        <w:rPr>
          <w:rFonts w:ascii="Times New Roman" w:hAnsi="Times New Roman" w:cs="Times New Roman"/>
          <w:kern w:val="24"/>
          <w:sz w:val="24"/>
          <w:szCs w:val="24"/>
        </w:rPr>
        <w:t xml:space="preserve">, car il s’agit dans ce cas d’échange conditionnel de dettes, et également une vente de dette par </w:t>
      </w:r>
      <w:r w:rsidR="004B52F5" w:rsidRPr="008D4BEF">
        <w:rPr>
          <w:rFonts w:ascii="Times New Roman" w:hAnsi="Times New Roman" w:cs="Times New Roman"/>
          <w:kern w:val="24"/>
          <w:sz w:val="24"/>
          <w:szCs w:val="24"/>
        </w:rPr>
        <w:t>une</w:t>
      </w:r>
      <w:r w:rsidR="00E94185" w:rsidRPr="008D4BEF">
        <w:rPr>
          <w:rFonts w:ascii="Times New Roman" w:hAnsi="Times New Roman" w:cs="Times New Roman"/>
          <w:kern w:val="24"/>
          <w:sz w:val="24"/>
          <w:szCs w:val="24"/>
        </w:rPr>
        <w:t xml:space="preserve"> </w:t>
      </w:r>
      <w:r w:rsidR="002760B2" w:rsidRPr="008D4BEF">
        <w:rPr>
          <w:rFonts w:ascii="Times New Roman" w:hAnsi="Times New Roman" w:cs="Times New Roman"/>
          <w:kern w:val="24"/>
          <w:sz w:val="24"/>
          <w:szCs w:val="24"/>
        </w:rPr>
        <w:t>dette (contrat à terme portant sur deux échanges)</w:t>
      </w:r>
      <w:r w:rsidR="002B7651" w:rsidRPr="008D4BEF">
        <w:rPr>
          <w:rFonts w:ascii="Times New Roman" w:hAnsi="Times New Roman" w:cs="Times New Roman"/>
          <w:kern w:val="24"/>
          <w:sz w:val="24"/>
          <w:szCs w:val="24"/>
        </w:rPr>
        <w:t>.</w:t>
      </w:r>
    </w:p>
    <w:p w14:paraId="242C5EEE" w14:textId="2936D758" w:rsidR="00842E53" w:rsidRPr="008D4BEF" w:rsidRDefault="008D4BEF" w:rsidP="00A2748E">
      <w:pPr>
        <w:pStyle w:val="Titre6"/>
        <w:keepNext w:val="0"/>
        <w:keepLines w:val="0"/>
        <w:tabs>
          <w:tab w:val="left" w:pos="1701"/>
        </w:tabs>
        <w:spacing w:before="100" w:beforeAutospacing="1" w:after="120" w:line="300" w:lineRule="auto"/>
        <w:ind w:left="709"/>
        <w:rPr>
          <w:rFonts w:asciiTheme="majorBidi" w:hAnsiTheme="majorBidi"/>
          <w:b/>
          <w:bCs/>
          <w:i w:val="0"/>
          <w:iCs w:val="0"/>
          <w:color w:val="auto"/>
          <w:kern w:val="24"/>
          <w:sz w:val="24"/>
          <w:szCs w:val="24"/>
        </w:rPr>
      </w:pPr>
      <w:bookmarkStart w:id="435" w:name="_Toc182298673"/>
      <w:r>
        <w:rPr>
          <w:rFonts w:asciiTheme="majorBidi" w:hAnsiTheme="majorBidi"/>
          <w:b/>
          <w:bCs/>
          <w:i w:val="0"/>
          <w:iCs w:val="0"/>
          <w:color w:val="auto"/>
          <w:kern w:val="24"/>
          <w:sz w:val="24"/>
          <w:szCs w:val="24"/>
        </w:rPr>
        <w:lastRenderedPageBreak/>
        <w:t xml:space="preserve">2.5.1.3.3- </w:t>
      </w:r>
      <w:r w:rsidR="005738D8" w:rsidRPr="008D4BEF">
        <w:rPr>
          <w:rFonts w:asciiTheme="majorBidi" w:hAnsiTheme="majorBidi"/>
          <w:b/>
          <w:bCs/>
          <w:i w:val="0"/>
          <w:iCs w:val="0"/>
          <w:color w:val="auto"/>
          <w:kern w:val="24"/>
          <w:sz w:val="24"/>
          <w:szCs w:val="24"/>
        </w:rPr>
        <w:t>Credit Default Swap (CDS)</w:t>
      </w:r>
      <w:bookmarkEnd w:id="435"/>
    </w:p>
    <w:p w14:paraId="55428D14" w14:textId="77777777" w:rsidR="00DE2926" w:rsidRPr="008D4BEF" w:rsidRDefault="00155961" w:rsidP="008D4BEF">
      <w:pPr>
        <w:pStyle w:val="Paragraphedeliste"/>
        <w:tabs>
          <w:tab w:val="left" w:pos="0"/>
          <w:tab w:val="left" w:pos="1560"/>
        </w:tabs>
        <w:autoSpaceDE w:val="0"/>
        <w:autoSpaceDN w:val="0"/>
        <w:adjustRightInd w:val="0"/>
        <w:spacing w:before="120" w:line="300" w:lineRule="auto"/>
        <w:ind w:left="0" w:firstLine="709"/>
        <w:contextualSpacing w:val="0"/>
        <w:rPr>
          <w:rFonts w:ascii="Times New Roman" w:hAnsi="Times New Roman" w:cs="Times New Roman"/>
          <w:color w:val="3B342A"/>
          <w:kern w:val="24"/>
          <w:sz w:val="24"/>
          <w:szCs w:val="24"/>
          <w:shd w:val="clear" w:color="auto" w:fill="FFFFFF"/>
        </w:rPr>
      </w:pPr>
      <w:r w:rsidRPr="008D4BEF">
        <w:rPr>
          <w:rFonts w:ascii="Times New Roman" w:hAnsi="Times New Roman" w:cs="Times New Roman"/>
          <w:color w:val="222222"/>
          <w:kern w:val="24"/>
          <w:sz w:val="24"/>
          <w:szCs w:val="24"/>
          <w:shd w:val="clear" w:color="auto" w:fill="FFFFFF"/>
        </w:rPr>
        <w:t xml:space="preserve">Le </w:t>
      </w:r>
      <w:r w:rsidRPr="008D4BEF">
        <w:rPr>
          <w:rFonts w:ascii="Times New Roman" w:hAnsi="Times New Roman" w:cs="Times New Roman"/>
          <w:i/>
          <w:color w:val="222222"/>
          <w:kern w:val="24"/>
          <w:sz w:val="24"/>
          <w:szCs w:val="24"/>
          <w:shd w:val="clear" w:color="auto" w:fill="FFFFFF"/>
        </w:rPr>
        <w:t>credit default swap</w:t>
      </w:r>
      <w:r w:rsidRPr="008D4BEF">
        <w:rPr>
          <w:rFonts w:ascii="Times New Roman" w:hAnsi="Times New Roman" w:cs="Times New Roman"/>
          <w:color w:val="222222"/>
          <w:kern w:val="24"/>
          <w:sz w:val="24"/>
          <w:szCs w:val="24"/>
          <w:shd w:val="clear" w:color="auto" w:fill="FFFFFF"/>
        </w:rPr>
        <w:t xml:space="preserve"> </w:t>
      </w:r>
      <w:r w:rsidR="00DE2926" w:rsidRPr="008D4BEF">
        <w:rPr>
          <w:rFonts w:ascii="Times New Roman" w:hAnsi="Times New Roman" w:cs="Times New Roman"/>
          <w:color w:val="222222"/>
          <w:kern w:val="24"/>
          <w:sz w:val="24"/>
          <w:szCs w:val="24"/>
          <w:shd w:val="clear" w:color="auto" w:fill="FFFFFF"/>
        </w:rPr>
        <w:t>est un produit dérivé qui permet de s'assurer contre le risque de non-paiement d'une dette émise par un Etat ou une entreprise. Il s'agit d'un contrat qui s'apparente à une assurance.</w:t>
      </w:r>
      <w:r w:rsidR="00CD7AF2" w:rsidRPr="008D4BEF">
        <w:rPr>
          <w:rFonts w:ascii="Times New Roman" w:hAnsi="Times New Roman" w:cs="Times New Roman"/>
          <w:color w:val="222222"/>
          <w:kern w:val="24"/>
          <w:sz w:val="24"/>
          <w:szCs w:val="24"/>
          <w:shd w:val="clear" w:color="auto" w:fill="FFFFFF"/>
        </w:rPr>
        <w:t xml:space="preserve"> Autrement dit, </w:t>
      </w:r>
      <w:r w:rsidR="00CD7AF2" w:rsidRPr="008D4BEF">
        <w:rPr>
          <w:rFonts w:ascii="Times New Roman" w:hAnsi="Times New Roman" w:cs="Times New Roman"/>
          <w:color w:val="3B342A"/>
          <w:kern w:val="24"/>
          <w:sz w:val="24"/>
          <w:szCs w:val="24"/>
          <w:shd w:val="clear" w:color="auto" w:fill="FFFFFF"/>
        </w:rPr>
        <w:t>c’est un contrat par lequel un</w:t>
      </w:r>
      <w:r w:rsidRPr="008D4BEF">
        <w:rPr>
          <w:rFonts w:ascii="Times New Roman" w:hAnsi="Times New Roman" w:cs="Times New Roman"/>
          <w:color w:val="3B342A"/>
          <w:kern w:val="24"/>
          <w:sz w:val="24"/>
          <w:szCs w:val="24"/>
          <w:shd w:val="clear" w:color="auto" w:fill="FFFFFF"/>
        </w:rPr>
        <w:t xml:space="preserve"> </w:t>
      </w:r>
      <w:r w:rsidR="00CD7AF2" w:rsidRPr="008D4BEF">
        <w:rPr>
          <w:rStyle w:val="lev"/>
          <w:rFonts w:ascii="Times New Roman" w:hAnsi="Times New Roman" w:cs="Times New Roman"/>
          <w:b w:val="0"/>
          <w:bCs w:val="0"/>
          <w:color w:val="3B342A"/>
          <w:kern w:val="24"/>
          <w:sz w:val="24"/>
          <w:szCs w:val="24"/>
          <w:shd w:val="clear" w:color="auto" w:fill="FFFFFF"/>
        </w:rPr>
        <w:t>vendeur de protection</w:t>
      </w:r>
      <w:r w:rsidRPr="008D4BEF">
        <w:rPr>
          <w:rFonts w:ascii="Times New Roman" w:hAnsi="Times New Roman" w:cs="Times New Roman"/>
          <w:color w:val="3B342A"/>
          <w:kern w:val="24"/>
          <w:sz w:val="24"/>
          <w:szCs w:val="24"/>
          <w:shd w:val="clear" w:color="auto" w:fill="FFFFFF"/>
        </w:rPr>
        <w:t xml:space="preserve"> </w:t>
      </w:r>
      <w:r w:rsidR="00B13A51" w:rsidRPr="008D4BEF">
        <w:rPr>
          <w:rFonts w:ascii="Times New Roman" w:hAnsi="Times New Roman" w:cs="Times New Roman"/>
          <w:color w:val="3B342A"/>
          <w:kern w:val="24"/>
          <w:sz w:val="24"/>
          <w:szCs w:val="24"/>
          <w:shd w:val="clear" w:color="auto" w:fill="FFFFFF"/>
        </w:rPr>
        <w:t>(</w:t>
      </w:r>
      <w:r w:rsidR="00B13A51" w:rsidRPr="008D4BEF">
        <w:rPr>
          <w:rFonts w:ascii="Times New Roman" w:hAnsi="Times New Roman" w:cs="Times New Roman"/>
          <w:i/>
          <w:iCs/>
          <w:color w:val="3B342A"/>
          <w:kern w:val="24"/>
          <w:sz w:val="24"/>
          <w:szCs w:val="24"/>
          <w:shd w:val="clear" w:color="auto" w:fill="FFFFFF"/>
        </w:rPr>
        <w:t>protection seller</w:t>
      </w:r>
      <w:r w:rsidR="00B13A51" w:rsidRPr="008D4BEF">
        <w:rPr>
          <w:rFonts w:ascii="Times New Roman" w:hAnsi="Times New Roman" w:cs="Times New Roman"/>
          <w:color w:val="3B342A"/>
          <w:kern w:val="24"/>
          <w:sz w:val="24"/>
          <w:szCs w:val="24"/>
          <w:shd w:val="clear" w:color="auto" w:fill="FFFFFF"/>
        </w:rPr>
        <w:t>) s'engage</w:t>
      </w:r>
      <w:r w:rsidR="00CD7AF2" w:rsidRPr="008D4BEF">
        <w:rPr>
          <w:rFonts w:ascii="Times New Roman" w:hAnsi="Times New Roman" w:cs="Times New Roman"/>
          <w:color w:val="3B342A"/>
          <w:kern w:val="24"/>
          <w:sz w:val="24"/>
          <w:szCs w:val="24"/>
          <w:shd w:val="clear" w:color="auto" w:fill="FFFFFF"/>
        </w:rPr>
        <w:t xml:space="preserve"> contre le paiement d'une</w:t>
      </w:r>
      <w:r w:rsidRPr="008D4BEF">
        <w:rPr>
          <w:rFonts w:ascii="Times New Roman" w:hAnsi="Times New Roman" w:cs="Times New Roman"/>
          <w:b/>
          <w:bCs/>
          <w:color w:val="3B342A"/>
          <w:kern w:val="24"/>
          <w:sz w:val="24"/>
          <w:szCs w:val="24"/>
          <w:shd w:val="clear" w:color="auto" w:fill="FFFFFF"/>
        </w:rPr>
        <w:t xml:space="preserve"> </w:t>
      </w:r>
      <w:r w:rsidR="00CD7AF2" w:rsidRPr="008D4BEF">
        <w:rPr>
          <w:rStyle w:val="lev"/>
          <w:rFonts w:ascii="Times New Roman" w:hAnsi="Times New Roman" w:cs="Times New Roman"/>
          <w:b w:val="0"/>
          <w:bCs w:val="0"/>
          <w:color w:val="3B342A"/>
          <w:kern w:val="24"/>
          <w:sz w:val="24"/>
          <w:szCs w:val="24"/>
          <w:shd w:val="clear" w:color="auto" w:fill="FFFFFF"/>
        </w:rPr>
        <w:t>prime</w:t>
      </w:r>
      <w:r w:rsidR="00CD7AF2" w:rsidRPr="008D4BEF">
        <w:rPr>
          <w:rFonts w:ascii="Times New Roman" w:hAnsi="Times New Roman" w:cs="Times New Roman"/>
          <w:b/>
          <w:bCs/>
          <w:color w:val="3B342A"/>
          <w:kern w:val="24"/>
          <w:sz w:val="24"/>
          <w:szCs w:val="24"/>
          <w:shd w:val="clear" w:color="auto" w:fill="FFFFFF"/>
        </w:rPr>
        <w:t>,</w:t>
      </w:r>
      <w:r w:rsidR="00CD7AF2" w:rsidRPr="008D4BEF">
        <w:rPr>
          <w:rFonts w:ascii="Times New Roman" w:hAnsi="Times New Roman" w:cs="Times New Roman"/>
          <w:color w:val="3B342A"/>
          <w:kern w:val="24"/>
          <w:sz w:val="24"/>
          <w:szCs w:val="24"/>
          <w:shd w:val="clear" w:color="auto" w:fill="FFFFFF"/>
        </w:rPr>
        <w:t xml:space="preserve"> en cas d'événement (</w:t>
      </w:r>
      <w:r w:rsidR="00CD7AF2" w:rsidRPr="008D4BEF">
        <w:rPr>
          <w:rStyle w:val="lev"/>
          <w:rFonts w:ascii="Times New Roman" w:hAnsi="Times New Roman" w:cs="Times New Roman"/>
          <w:b w:val="0"/>
          <w:bCs w:val="0"/>
          <w:i/>
          <w:iCs/>
          <w:color w:val="3B342A"/>
          <w:kern w:val="24"/>
          <w:sz w:val="24"/>
          <w:szCs w:val="24"/>
          <w:shd w:val="clear" w:color="auto" w:fill="FFFFFF"/>
        </w:rPr>
        <w:t>credit event</w:t>
      </w:r>
      <w:r w:rsidR="00CD7AF2" w:rsidRPr="008D4BEF">
        <w:rPr>
          <w:rFonts w:ascii="Times New Roman" w:hAnsi="Times New Roman" w:cs="Times New Roman"/>
          <w:color w:val="3B342A"/>
          <w:kern w:val="24"/>
          <w:sz w:val="24"/>
          <w:szCs w:val="24"/>
          <w:shd w:val="clear" w:color="auto" w:fill="FFFFFF"/>
        </w:rPr>
        <w:t>) affectant la solvabilité d'une</w:t>
      </w:r>
      <w:r w:rsidRPr="008D4BEF">
        <w:rPr>
          <w:rFonts w:ascii="Times New Roman" w:hAnsi="Times New Roman" w:cs="Times New Roman"/>
          <w:color w:val="3B342A"/>
          <w:kern w:val="24"/>
          <w:sz w:val="24"/>
          <w:szCs w:val="24"/>
          <w:shd w:val="clear" w:color="auto" w:fill="FFFFFF"/>
        </w:rPr>
        <w:t xml:space="preserve"> </w:t>
      </w:r>
      <w:r w:rsidR="00CD7AF2" w:rsidRPr="008D4BEF">
        <w:rPr>
          <w:rStyle w:val="lev"/>
          <w:rFonts w:ascii="Times New Roman" w:hAnsi="Times New Roman" w:cs="Times New Roman"/>
          <w:b w:val="0"/>
          <w:bCs w:val="0"/>
          <w:color w:val="3B342A"/>
          <w:kern w:val="24"/>
          <w:sz w:val="24"/>
          <w:szCs w:val="24"/>
          <w:shd w:val="clear" w:color="auto" w:fill="FFFFFF"/>
        </w:rPr>
        <w:t>entité de référence</w:t>
      </w:r>
      <w:r w:rsidRPr="008D4BEF">
        <w:rPr>
          <w:rFonts w:ascii="Times New Roman" w:hAnsi="Times New Roman" w:cs="Times New Roman"/>
          <w:color w:val="3B342A"/>
          <w:kern w:val="24"/>
          <w:sz w:val="24"/>
          <w:szCs w:val="24"/>
          <w:shd w:val="clear" w:color="auto" w:fill="FFFFFF"/>
        </w:rPr>
        <w:t xml:space="preserve"> </w:t>
      </w:r>
      <w:r w:rsidR="00B13A51" w:rsidRPr="008D4BEF">
        <w:rPr>
          <w:rFonts w:ascii="Times New Roman" w:hAnsi="Times New Roman" w:cs="Times New Roman"/>
          <w:color w:val="3B342A"/>
          <w:kern w:val="24"/>
          <w:sz w:val="24"/>
          <w:szCs w:val="24"/>
          <w:shd w:val="clear" w:color="auto" w:fill="FFFFFF"/>
        </w:rPr>
        <w:t>(</w:t>
      </w:r>
      <w:r w:rsidR="00B13A51" w:rsidRPr="008D4BEF">
        <w:rPr>
          <w:rFonts w:ascii="Times New Roman" w:hAnsi="Times New Roman" w:cs="Times New Roman"/>
          <w:i/>
          <w:iCs/>
          <w:color w:val="3B342A"/>
          <w:kern w:val="24"/>
          <w:sz w:val="24"/>
          <w:szCs w:val="24"/>
          <w:shd w:val="clear" w:color="auto" w:fill="FFFFFF"/>
        </w:rPr>
        <w:t>reference entity</w:t>
      </w:r>
      <w:r w:rsidR="00B13A51" w:rsidRPr="008D4BEF">
        <w:rPr>
          <w:rFonts w:ascii="Times New Roman" w:hAnsi="Times New Roman" w:cs="Times New Roman"/>
          <w:color w:val="3B342A"/>
          <w:kern w:val="24"/>
          <w:sz w:val="24"/>
          <w:szCs w:val="24"/>
          <w:shd w:val="clear" w:color="auto" w:fill="FFFFFF"/>
        </w:rPr>
        <w:t>)</w:t>
      </w:r>
      <w:r w:rsidR="002C0FC6" w:rsidRPr="008D4BEF">
        <w:rPr>
          <w:rFonts w:ascii="Times New Roman" w:hAnsi="Times New Roman" w:cs="Times New Roman"/>
          <w:color w:val="3B342A"/>
          <w:kern w:val="24"/>
          <w:sz w:val="24"/>
          <w:szCs w:val="24"/>
          <w:shd w:val="clear" w:color="auto" w:fill="FFFFFF"/>
        </w:rPr>
        <w:t>,</w:t>
      </w:r>
      <w:r w:rsidR="00CD7AF2" w:rsidRPr="008D4BEF">
        <w:rPr>
          <w:rFonts w:ascii="Times New Roman" w:hAnsi="Times New Roman" w:cs="Times New Roman"/>
          <w:color w:val="3B342A"/>
          <w:kern w:val="24"/>
          <w:sz w:val="24"/>
          <w:szCs w:val="24"/>
          <w:shd w:val="clear" w:color="auto" w:fill="FFFFFF"/>
        </w:rPr>
        <w:t xml:space="preserve"> à dédommager</w:t>
      </w:r>
      <w:r w:rsidRPr="008D4BEF">
        <w:rPr>
          <w:rFonts w:ascii="Times New Roman" w:hAnsi="Times New Roman" w:cs="Times New Roman"/>
          <w:color w:val="3B342A"/>
          <w:kern w:val="24"/>
          <w:sz w:val="24"/>
          <w:szCs w:val="24"/>
          <w:shd w:val="clear" w:color="auto" w:fill="FFFFFF"/>
        </w:rPr>
        <w:t xml:space="preserve"> </w:t>
      </w:r>
      <w:r w:rsidR="00CD7AF2" w:rsidRPr="008D4BEF">
        <w:rPr>
          <w:rStyle w:val="lev"/>
          <w:rFonts w:ascii="Times New Roman" w:hAnsi="Times New Roman" w:cs="Times New Roman"/>
          <w:b w:val="0"/>
          <w:bCs w:val="0"/>
          <w:color w:val="3B342A"/>
          <w:kern w:val="24"/>
          <w:sz w:val="24"/>
          <w:szCs w:val="24"/>
          <w:shd w:val="clear" w:color="auto" w:fill="FFFFFF"/>
        </w:rPr>
        <w:t>l'acheteur</w:t>
      </w:r>
      <w:r w:rsidRPr="008D4BEF">
        <w:rPr>
          <w:rFonts w:ascii="Times New Roman" w:hAnsi="Times New Roman" w:cs="Times New Roman"/>
          <w:color w:val="3B342A"/>
          <w:kern w:val="24"/>
          <w:sz w:val="24"/>
          <w:szCs w:val="24"/>
          <w:shd w:val="clear" w:color="auto" w:fill="FFFFFF"/>
        </w:rPr>
        <w:t xml:space="preserve"> </w:t>
      </w:r>
      <w:r w:rsidR="00B13A51" w:rsidRPr="008D4BEF">
        <w:rPr>
          <w:rFonts w:ascii="Times New Roman" w:hAnsi="Times New Roman" w:cs="Times New Roman"/>
          <w:color w:val="3B342A"/>
          <w:kern w:val="24"/>
          <w:sz w:val="24"/>
          <w:szCs w:val="24"/>
          <w:shd w:val="clear" w:color="auto" w:fill="FFFFFF"/>
        </w:rPr>
        <w:t>(</w:t>
      </w:r>
      <w:r w:rsidR="00B13A51" w:rsidRPr="008D4BEF">
        <w:rPr>
          <w:rFonts w:ascii="Times New Roman" w:hAnsi="Times New Roman" w:cs="Times New Roman"/>
          <w:i/>
          <w:iCs/>
          <w:color w:val="3B342A"/>
          <w:kern w:val="24"/>
          <w:sz w:val="24"/>
          <w:szCs w:val="24"/>
          <w:shd w:val="clear" w:color="auto" w:fill="FFFFFF"/>
        </w:rPr>
        <w:t>protection b</w:t>
      </w:r>
      <w:r w:rsidR="00CD7AF2" w:rsidRPr="008D4BEF">
        <w:rPr>
          <w:rFonts w:ascii="Times New Roman" w:hAnsi="Times New Roman" w:cs="Times New Roman"/>
          <w:i/>
          <w:iCs/>
          <w:color w:val="3B342A"/>
          <w:kern w:val="24"/>
          <w:sz w:val="24"/>
          <w:szCs w:val="24"/>
          <w:shd w:val="clear" w:color="auto" w:fill="FFFFFF"/>
        </w:rPr>
        <w:t>uyer</w:t>
      </w:r>
      <w:r w:rsidR="00CD7AF2" w:rsidRPr="008D4BEF">
        <w:rPr>
          <w:rFonts w:ascii="Times New Roman" w:hAnsi="Times New Roman" w:cs="Times New Roman"/>
          <w:color w:val="3B342A"/>
          <w:kern w:val="24"/>
          <w:sz w:val="24"/>
          <w:szCs w:val="24"/>
          <w:shd w:val="clear" w:color="auto" w:fill="FFFFFF"/>
        </w:rPr>
        <w:t>).</w:t>
      </w:r>
    </w:p>
    <w:p w14:paraId="752B1014" w14:textId="4B045051" w:rsidR="002760B2" w:rsidRPr="008D4BEF" w:rsidRDefault="00CD7AF2" w:rsidP="008D4BEF">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Ces swaps ne sont pas conformes à la </w:t>
      </w:r>
      <w:r w:rsidR="001124FF" w:rsidRPr="008D4BEF">
        <w:rPr>
          <w:rFonts w:asciiTheme="majorBidi" w:eastAsia="Times New Roman" w:hAnsiTheme="majorBidi" w:cstheme="majorBidi"/>
          <w:i/>
          <w:iCs/>
          <w:color w:val="000000" w:themeColor="text1"/>
          <w:kern w:val="24"/>
          <w:sz w:val="24"/>
          <w:szCs w:val="24"/>
          <w:lang w:eastAsia="fr-FR"/>
        </w:rPr>
        <w:t>Shariah</w:t>
      </w:r>
      <w:r w:rsidR="00B13A51" w:rsidRPr="008D4BEF">
        <w:rPr>
          <w:rFonts w:ascii="Times New Roman" w:hAnsi="Times New Roman" w:cs="Times New Roman"/>
          <w:kern w:val="24"/>
          <w:sz w:val="24"/>
          <w:szCs w:val="24"/>
        </w:rPr>
        <w:t xml:space="preserve"> en raison de l'implication de</w:t>
      </w:r>
      <w:r w:rsidRPr="008D4BEF">
        <w:rPr>
          <w:rFonts w:ascii="Times New Roman" w:hAnsi="Times New Roman" w:cs="Times New Roman"/>
          <w:kern w:val="24"/>
          <w:sz w:val="24"/>
          <w:szCs w:val="24"/>
        </w:rPr>
        <w:t xml:space="preserve"> l'intérêt (</w:t>
      </w:r>
      <w:r w:rsidR="00B13A51" w:rsidRPr="008D4BEF">
        <w:rPr>
          <w:rFonts w:ascii="Times New Roman" w:hAnsi="Times New Roman" w:cs="Times New Roman"/>
          <w:i/>
          <w:iCs/>
          <w:kern w:val="24"/>
          <w:sz w:val="24"/>
          <w:szCs w:val="24"/>
        </w:rPr>
        <w:t>r</w:t>
      </w:r>
      <w:r w:rsidRPr="008D4BEF">
        <w:rPr>
          <w:rFonts w:ascii="Times New Roman" w:hAnsi="Times New Roman" w:cs="Times New Roman"/>
          <w:i/>
          <w:iCs/>
          <w:kern w:val="24"/>
          <w:sz w:val="24"/>
          <w:szCs w:val="24"/>
        </w:rPr>
        <w:t>iba</w:t>
      </w:r>
      <w:r w:rsidRPr="008D4BEF">
        <w:rPr>
          <w:rFonts w:ascii="Times New Roman" w:hAnsi="Times New Roman" w:cs="Times New Roman"/>
          <w:kern w:val="24"/>
          <w:sz w:val="24"/>
          <w:szCs w:val="24"/>
        </w:rPr>
        <w:t>),</w:t>
      </w:r>
      <w:r w:rsidR="009515D5" w:rsidRPr="008D4BEF">
        <w:rPr>
          <w:rFonts w:ascii="Times New Roman" w:hAnsi="Times New Roman" w:cs="Times New Roman"/>
          <w:kern w:val="24"/>
          <w:sz w:val="24"/>
          <w:szCs w:val="24"/>
        </w:rPr>
        <w:t xml:space="preserve"> </w:t>
      </w:r>
      <w:r w:rsidRPr="008D4BEF">
        <w:rPr>
          <w:rFonts w:ascii="Times New Roman" w:hAnsi="Times New Roman" w:cs="Times New Roman"/>
          <w:kern w:val="24"/>
          <w:sz w:val="24"/>
          <w:szCs w:val="24"/>
        </w:rPr>
        <w:t>l'incertitude majeure (</w:t>
      </w:r>
      <w:r w:rsidR="00B13A51" w:rsidRPr="008D4BEF">
        <w:rPr>
          <w:rFonts w:ascii="Times New Roman" w:hAnsi="Times New Roman" w:cs="Times New Roman"/>
          <w:i/>
          <w:iCs/>
          <w:kern w:val="24"/>
          <w:sz w:val="24"/>
          <w:szCs w:val="24"/>
        </w:rPr>
        <w:t>g</w:t>
      </w:r>
      <w:r w:rsidRPr="008D4BEF">
        <w:rPr>
          <w:rFonts w:ascii="Times New Roman" w:hAnsi="Times New Roman" w:cs="Times New Roman"/>
          <w:i/>
          <w:iCs/>
          <w:kern w:val="24"/>
          <w:sz w:val="24"/>
          <w:szCs w:val="24"/>
        </w:rPr>
        <w:t>harar</w:t>
      </w:r>
      <w:r w:rsidR="00280797" w:rsidRPr="008D4BEF">
        <w:rPr>
          <w:rFonts w:ascii="Times New Roman" w:hAnsi="Times New Roman" w:cs="Times New Roman"/>
          <w:kern w:val="24"/>
          <w:sz w:val="24"/>
          <w:szCs w:val="24"/>
        </w:rPr>
        <w:t>), le trading du risque</w:t>
      </w:r>
      <w:r w:rsidRPr="008D4BEF">
        <w:rPr>
          <w:rFonts w:ascii="Times New Roman" w:hAnsi="Times New Roman" w:cs="Times New Roman"/>
          <w:kern w:val="24"/>
          <w:sz w:val="24"/>
          <w:szCs w:val="24"/>
        </w:rPr>
        <w:t xml:space="preserve"> et la vente d’une dette contre une dette.</w:t>
      </w:r>
    </w:p>
    <w:p w14:paraId="1014CAFA" w14:textId="77777777" w:rsidR="004A25A1" w:rsidRPr="008D4BEF" w:rsidRDefault="004A25A1" w:rsidP="00A2748E">
      <w:pPr>
        <w:pStyle w:val="Titre4"/>
        <w:keepNext w:val="0"/>
        <w:spacing w:before="100" w:beforeAutospacing="1" w:after="120" w:line="300" w:lineRule="auto"/>
        <w:ind w:firstLine="709"/>
        <w:rPr>
          <w:kern w:val="24"/>
        </w:rPr>
      </w:pPr>
      <w:bookmarkStart w:id="436" w:name="_Toc182298674"/>
      <w:r w:rsidRPr="008D4BEF">
        <w:rPr>
          <w:kern w:val="24"/>
        </w:rPr>
        <w:t>2.</w:t>
      </w:r>
      <w:r w:rsidR="00364992" w:rsidRPr="008D4BEF">
        <w:rPr>
          <w:kern w:val="24"/>
        </w:rPr>
        <w:t>5</w:t>
      </w:r>
      <w:r w:rsidRPr="008D4BEF">
        <w:rPr>
          <w:kern w:val="24"/>
        </w:rPr>
        <w:t>.2- Innovation de swaps islamique</w:t>
      </w:r>
      <w:r w:rsidR="00271861" w:rsidRPr="008D4BEF">
        <w:rPr>
          <w:kern w:val="24"/>
        </w:rPr>
        <w:t>s</w:t>
      </w:r>
      <w:bookmarkEnd w:id="436"/>
    </w:p>
    <w:p w14:paraId="08BB881B" w14:textId="77777777" w:rsidR="002760B2" w:rsidRPr="008D4BEF" w:rsidRDefault="002760B2" w:rsidP="008D4BEF">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Toutefois, trois types de swaps </w:t>
      </w:r>
      <w:r w:rsidR="007638E2"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s ont été structurés de manière conforme aux principes de la finance </w:t>
      </w:r>
      <w:r w:rsidR="007638E2"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w:t>
      </w:r>
      <w:r w:rsidR="006E2052" w:rsidRPr="008D4BEF">
        <w:rPr>
          <w:rFonts w:ascii="Times New Roman" w:hAnsi="Times New Roman" w:cs="Times New Roman"/>
          <w:kern w:val="24"/>
          <w:sz w:val="24"/>
          <w:szCs w:val="24"/>
        </w:rPr>
        <w:t xml:space="preserve"> à savoir</w:t>
      </w:r>
      <w:r w:rsidR="00531331" w:rsidRPr="008D4BEF">
        <w:rPr>
          <w:rFonts w:ascii="Times New Roman" w:hAnsi="Times New Roman" w:cs="Times New Roman"/>
          <w:kern w:val="24"/>
          <w:sz w:val="24"/>
          <w:szCs w:val="24"/>
        </w:rPr>
        <w:t> :</w:t>
      </w:r>
      <w:r w:rsidR="006E2052" w:rsidRPr="008D4BEF">
        <w:rPr>
          <w:rFonts w:ascii="Times New Roman" w:hAnsi="Times New Roman" w:cs="Times New Roman"/>
          <w:kern w:val="24"/>
          <w:sz w:val="24"/>
          <w:szCs w:val="24"/>
        </w:rPr>
        <w:t xml:space="preserve"> le FX swap </w:t>
      </w:r>
      <w:r w:rsidR="007638E2"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6E2052"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le sw</w:t>
      </w:r>
      <w:r w:rsidR="00B13A51" w:rsidRPr="008D4BEF">
        <w:rPr>
          <w:rFonts w:ascii="Times New Roman" w:hAnsi="Times New Roman" w:cs="Times New Roman"/>
          <w:kern w:val="24"/>
          <w:sz w:val="24"/>
          <w:szCs w:val="24"/>
        </w:rPr>
        <w:t xml:space="preserve">ap </w:t>
      </w:r>
      <w:r w:rsidR="007638E2"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B13A51" w:rsidRPr="008D4BEF">
        <w:rPr>
          <w:rFonts w:ascii="Times New Roman" w:hAnsi="Times New Roman" w:cs="Times New Roman"/>
          <w:kern w:val="24"/>
          <w:sz w:val="24"/>
          <w:szCs w:val="24"/>
        </w:rPr>
        <w:t xml:space="preserve"> de taux de profit</w:t>
      </w:r>
      <w:r w:rsidR="006E2052" w:rsidRPr="008D4BEF">
        <w:rPr>
          <w:rFonts w:ascii="Times New Roman" w:hAnsi="Times New Roman" w:cs="Times New Roman"/>
          <w:kern w:val="24"/>
          <w:sz w:val="24"/>
          <w:szCs w:val="24"/>
        </w:rPr>
        <w:t xml:space="preserve"> et le swap </w:t>
      </w:r>
      <w:r w:rsidR="007638E2"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6E2052" w:rsidRPr="008D4BEF">
        <w:rPr>
          <w:rFonts w:ascii="Times New Roman" w:hAnsi="Times New Roman" w:cs="Times New Roman"/>
          <w:kern w:val="24"/>
          <w:sz w:val="24"/>
          <w:szCs w:val="24"/>
        </w:rPr>
        <w:t xml:space="preserve"> de devises</w:t>
      </w:r>
      <w:r w:rsidR="00271861" w:rsidRPr="008D4BEF">
        <w:rPr>
          <w:rFonts w:ascii="Times New Roman" w:hAnsi="Times New Roman" w:cs="Times New Roman"/>
          <w:kern w:val="24"/>
          <w:sz w:val="24"/>
          <w:szCs w:val="24"/>
        </w:rPr>
        <w:t>.</w:t>
      </w:r>
    </w:p>
    <w:p w14:paraId="1D611887" w14:textId="77777777" w:rsidR="00920496" w:rsidRPr="008D4BEF" w:rsidRDefault="0028400A" w:rsidP="00A2748E">
      <w:pPr>
        <w:pStyle w:val="Titre5"/>
        <w:keepNext w:val="0"/>
        <w:keepLines w:val="0"/>
        <w:spacing w:before="100" w:beforeAutospacing="1" w:after="120" w:line="300" w:lineRule="auto"/>
        <w:ind w:firstLine="709"/>
        <w:rPr>
          <w:rFonts w:asciiTheme="majorBidi" w:hAnsiTheme="majorBidi"/>
          <w:b/>
          <w:bCs/>
          <w:color w:val="auto"/>
          <w:kern w:val="24"/>
          <w:sz w:val="24"/>
          <w:szCs w:val="24"/>
        </w:rPr>
      </w:pPr>
      <w:bookmarkStart w:id="437" w:name="_Toc182298675"/>
      <w:r w:rsidRPr="008D4BEF">
        <w:rPr>
          <w:rFonts w:asciiTheme="majorBidi" w:hAnsiTheme="majorBidi"/>
          <w:b/>
          <w:bCs/>
          <w:color w:val="auto"/>
          <w:kern w:val="24"/>
          <w:sz w:val="24"/>
          <w:szCs w:val="24"/>
        </w:rPr>
        <w:t>2.</w:t>
      </w:r>
      <w:r w:rsidR="00364992" w:rsidRPr="008D4BEF">
        <w:rPr>
          <w:rFonts w:asciiTheme="majorBidi" w:hAnsiTheme="majorBidi"/>
          <w:b/>
          <w:bCs/>
          <w:color w:val="auto"/>
          <w:kern w:val="24"/>
          <w:sz w:val="24"/>
          <w:szCs w:val="24"/>
        </w:rPr>
        <w:t>5</w:t>
      </w:r>
      <w:r w:rsidRPr="008D4BEF">
        <w:rPr>
          <w:rFonts w:asciiTheme="majorBidi" w:hAnsiTheme="majorBidi"/>
          <w:b/>
          <w:bCs/>
          <w:color w:val="auto"/>
          <w:kern w:val="24"/>
          <w:sz w:val="24"/>
          <w:szCs w:val="24"/>
        </w:rPr>
        <w:t xml:space="preserve">.2.1- </w:t>
      </w:r>
      <w:r w:rsidR="002760B2" w:rsidRPr="008D4BEF">
        <w:rPr>
          <w:rFonts w:asciiTheme="majorBidi" w:hAnsiTheme="majorBidi"/>
          <w:b/>
          <w:bCs/>
          <w:color w:val="auto"/>
          <w:kern w:val="24"/>
          <w:sz w:val="24"/>
          <w:szCs w:val="24"/>
        </w:rPr>
        <w:t xml:space="preserve">FX swap </w:t>
      </w:r>
      <w:r w:rsidR="007638E2" w:rsidRPr="008D4BEF">
        <w:rPr>
          <w:rFonts w:asciiTheme="majorBidi" w:hAnsiTheme="majorBidi"/>
          <w:b/>
          <w:bCs/>
          <w:color w:val="auto"/>
          <w:kern w:val="24"/>
          <w:sz w:val="24"/>
          <w:szCs w:val="24"/>
        </w:rPr>
        <w:t>i</w:t>
      </w:r>
      <w:r w:rsidR="003773C6" w:rsidRPr="008D4BEF">
        <w:rPr>
          <w:rFonts w:asciiTheme="majorBidi" w:hAnsiTheme="majorBidi"/>
          <w:b/>
          <w:bCs/>
          <w:color w:val="auto"/>
          <w:kern w:val="24"/>
          <w:sz w:val="24"/>
          <w:szCs w:val="24"/>
        </w:rPr>
        <w:t>slamique</w:t>
      </w:r>
      <w:r w:rsidR="006E2052" w:rsidRPr="008D4BEF">
        <w:rPr>
          <w:rFonts w:asciiTheme="majorBidi" w:hAnsiTheme="majorBidi"/>
          <w:b/>
          <w:bCs/>
          <w:color w:val="auto"/>
          <w:kern w:val="24"/>
          <w:sz w:val="24"/>
          <w:szCs w:val="24"/>
        </w:rPr>
        <w:t xml:space="preserve"> </w:t>
      </w:r>
      <w:r w:rsidR="002760B2" w:rsidRPr="008D4BEF">
        <w:rPr>
          <w:rFonts w:asciiTheme="majorBidi" w:hAnsiTheme="majorBidi"/>
          <w:b/>
          <w:bCs/>
          <w:color w:val="auto"/>
          <w:kern w:val="24"/>
          <w:sz w:val="24"/>
          <w:szCs w:val="24"/>
        </w:rPr>
        <w:t>(</w:t>
      </w:r>
      <w:r w:rsidR="00F34669" w:rsidRPr="008D4BEF">
        <w:rPr>
          <w:rFonts w:asciiTheme="majorBidi" w:hAnsiTheme="majorBidi"/>
          <w:b/>
          <w:bCs/>
          <w:color w:val="auto"/>
          <w:kern w:val="24"/>
          <w:sz w:val="24"/>
          <w:szCs w:val="24"/>
        </w:rPr>
        <w:t>Islam</w:t>
      </w:r>
      <w:r w:rsidR="00B13A51" w:rsidRPr="008D4BEF">
        <w:rPr>
          <w:rFonts w:asciiTheme="majorBidi" w:hAnsiTheme="majorBidi"/>
          <w:b/>
          <w:bCs/>
          <w:color w:val="auto"/>
          <w:kern w:val="24"/>
          <w:sz w:val="24"/>
          <w:szCs w:val="24"/>
        </w:rPr>
        <w:t>ic</w:t>
      </w:r>
      <w:r w:rsidR="00271861" w:rsidRPr="008D4BEF">
        <w:rPr>
          <w:rFonts w:asciiTheme="majorBidi" w:hAnsiTheme="majorBidi"/>
          <w:b/>
          <w:bCs/>
          <w:color w:val="auto"/>
          <w:kern w:val="24"/>
          <w:sz w:val="24"/>
          <w:szCs w:val="24"/>
        </w:rPr>
        <w:t xml:space="preserve"> Foreign Exchange Swap)</w:t>
      </w:r>
      <w:bookmarkEnd w:id="437"/>
    </w:p>
    <w:p w14:paraId="30F6A6AB" w14:textId="77777777" w:rsidR="0094121B" w:rsidRPr="008D4BEF" w:rsidRDefault="0028400A" w:rsidP="008D4BEF">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S</w:t>
      </w:r>
      <w:r w:rsidR="002760B2" w:rsidRPr="008D4BEF">
        <w:rPr>
          <w:rFonts w:ascii="Times New Roman" w:hAnsi="Times New Roman" w:cs="Times New Roman"/>
          <w:kern w:val="24"/>
          <w:sz w:val="24"/>
          <w:szCs w:val="24"/>
        </w:rPr>
        <w:t>on objectif consiste à se protéger contre le risque de fluctuation des taux de change. Ce swap fait recours à deux structures offertes sur le marché</w:t>
      </w:r>
      <w:r w:rsidR="0094121B" w:rsidRPr="008D4BEF">
        <w:rPr>
          <w:rFonts w:ascii="Times New Roman" w:hAnsi="Times New Roman" w:cs="Times New Roman"/>
          <w:kern w:val="24"/>
          <w:sz w:val="24"/>
          <w:szCs w:val="24"/>
        </w:rPr>
        <w:t> :</w:t>
      </w:r>
    </w:p>
    <w:p w14:paraId="0164CDBC" w14:textId="77777777" w:rsidR="0094121B" w:rsidRPr="008D4BEF" w:rsidRDefault="002760B2" w:rsidP="00CB0FF1">
      <w:pPr>
        <w:pStyle w:val="Paragraphedeliste"/>
        <w:numPr>
          <w:ilvl w:val="0"/>
          <w:numId w:val="104"/>
        </w:numPr>
        <w:tabs>
          <w:tab w:val="left" w:pos="0"/>
        </w:tabs>
        <w:autoSpaceDE w:val="0"/>
        <w:autoSpaceDN w:val="0"/>
        <w:adjustRightInd w:val="0"/>
        <w:spacing w:before="60" w:line="300" w:lineRule="auto"/>
        <w:ind w:left="1276" w:hanging="28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La première est basée sur le contrat </w:t>
      </w:r>
      <w:r w:rsidR="002F4B1F" w:rsidRPr="008D4BEF">
        <w:rPr>
          <w:rFonts w:ascii="Times New Roman" w:hAnsi="Times New Roman" w:cs="Times New Roman"/>
          <w:i/>
          <w:iCs/>
          <w:kern w:val="24"/>
          <w:sz w:val="24"/>
          <w:szCs w:val="24"/>
        </w:rPr>
        <w:t>bay</w:t>
      </w:r>
      <w:r w:rsidRPr="008D4BEF">
        <w:rPr>
          <w:rFonts w:ascii="Times New Roman" w:hAnsi="Times New Roman" w:cs="Times New Roman"/>
          <w:i/>
          <w:iCs/>
          <w:kern w:val="24"/>
          <w:sz w:val="24"/>
          <w:szCs w:val="24"/>
        </w:rPr>
        <w:t>'</w:t>
      </w:r>
      <w:r w:rsidR="002F4B1F" w:rsidRPr="008D4BEF">
        <w:rPr>
          <w:rFonts w:ascii="Times New Roman" w:hAnsi="Times New Roman" w:cs="Times New Roman"/>
          <w:i/>
          <w:iCs/>
          <w:kern w:val="24"/>
          <w:sz w:val="24"/>
          <w:szCs w:val="24"/>
        </w:rPr>
        <w:t xml:space="preserve"> </w:t>
      </w:r>
      <w:r w:rsidRPr="008D4BEF">
        <w:rPr>
          <w:rFonts w:ascii="Times New Roman" w:hAnsi="Times New Roman" w:cs="Times New Roman"/>
          <w:i/>
          <w:iCs/>
          <w:kern w:val="24"/>
          <w:sz w:val="24"/>
          <w:szCs w:val="24"/>
        </w:rPr>
        <w:t>al-tawarruq</w:t>
      </w:r>
      <w:r w:rsidR="0094121B" w:rsidRPr="008D4BEF">
        <w:rPr>
          <w:rFonts w:ascii="Times New Roman" w:hAnsi="Times New Roman" w:cs="Times New Roman"/>
          <w:kern w:val="24"/>
          <w:sz w:val="24"/>
          <w:szCs w:val="24"/>
        </w:rPr>
        <w:t>,</w:t>
      </w:r>
    </w:p>
    <w:p w14:paraId="13355016" w14:textId="1673CB1D" w:rsidR="002760B2" w:rsidRPr="008D4BEF" w:rsidRDefault="0094121B" w:rsidP="00CB0FF1">
      <w:pPr>
        <w:pStyle w:val="Paragraphedeliste"/>
        <w:numPr>
          <w:ilvl w:val="0"/>
          <w:numId w:val="104"/>
        </w:numPr>
        <w:tabs>
          <w:tab w:val="left" w:pos="0"/>
        </w:tabs>
        <w:autoSpaceDE w:val="0"/>
        <w:autoSpaceDN w:val="0"/>
        <w:adjustRightInd w:val="0"/>
        <w:spacing w:before="60" w:line="300" w:lineRule="auto"/>
        <w:ind w:left="1276" w:hanging="28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L’autre</w:t>
      </w:r>
      <w:r w:rsidR="002F4B1F" w:rsidRPr="008D4BEF">
        <w:rPr>
          <w:rFonts w:ascii="Times New Roman" w:hAnsi="Times New Roman" w:cs="Times New Roman"/>
          <w:kern w:val="24"/>
          <w:sz w:val="24"/>
          <w:szCs w:val="24"/>
        </w:rPr>
        <w:t xml:space="preserve"> adopte le c</w:t>
      </w:r>
      <w:r w:rsidR="002760B2" w:rsidRPr="008D4BEF">
        <w:rPr>
          <w:rFonts w:ascii="Times New Roman" w:hAnsi="Times New Roman" w:cs="Times New Roman"/>
          <w:kern w:val="24"/>
          <w:sz w:val="24"/>
          <w:szCs w:val="24"/>
        </w:rPr>
        <w:t xml:space="preserve">oncept de </w:t>
      </w:r>
      <w:r w:rsidR="00FC060C" w:rsidRPr="008D4BEF">
        <w:rPr>
          <w:rFonts w:ascii="Times New Roman" w:hAnsi="Times New Roman" w:cs="Times New Roman"/>
          <w:i/>
          <w:iCs/>
          <w:kern w:val="24"/>
          <w:sz w:val="24"/>
          <w:szCs w:val="24"/>
        </w:rPr>
        <w:t>wa'</w:t>
      </w:r>
      <w:r w:rsidR="003D101B">
        <w:rPr>
          <w:rFonts w:ascii="Times New Roman" w:hAnsi="Times New Roman" w:cs="Times New Roman"/>
          <w:i/>
          <w:iCs/>
          <w:kern w:val="24"/>
          <w:sz w:val="24"/>
          <w:szCs w:val="24"/>
        </w:rPr>
        <w:t>a</w:t>
      </w:r>
      <w:r w:rsidR="002760B2" w:rsidRPr="008D4BEF">
        <w:rPr>
          <w:rFonts w:ascii="Times New Roman" w:hAnsi="Times New Roman" w:cs="Times New Roman"/>
          <w:i/>
          <w:iCs/>
          <w:kern w:val="24"/>
          <w:sz w:val="24"/>
          <w:szCs w:val="24"/>
        </w:rPr>
        <w:t>d</w:t>
      </w:r>
      <w:r w:rsidR="0087267A" w:rsidRPr="008D4BEF">
        <w:rPr>
          <w:rFonts w:ascii="Times New Roman" w:hAnsi="Times New Roman" w:cs="Times New Roman"/>
          <w:i/>
          <w:iCs/>
          <w:kern w:val="24"/>
          <w:sz w:val="24"/>
          <w:szCs w:val="24"/>
        </w:rPr>
        <w:t xml:space="preserve"> </w:t>
      </w:r>
      <w:r w:rsidR="0087267A" w:rsidRPr="008D4BEF">
        <w:rPr>
          <w:rFonts w:ascii="Times New Roman" w:hAnsi="Times New Roman" w:cs="Times New Roman"/>
          <w:kern w:val="24"/>
          <w:sz w:val="24"/>
          <w:szCs w:val="24"/>
        </w:rPr>
        <w:t>(promesse)</w:t>
      </w:r>
      <w:r w:rsidR="002760B2" w:rsidRPr="008D4BEF">
        <w:rPr>
          <w:rStyle w:val="Appelnotedebasdep"/>
          <w:rFonts w:ascii="Times New Roman" w:hAnsi="Times New Roman"/>
          <w:kern w:val="24"/>
          <w:sz w:val="24"/>
          <w:szCs w:val="24"/>
        </w:rPr>
        <w:footnoteReference w:id="147"/>
      </w:r>
      <w:r w:rsidR="0087267A" w:rsidRPr="008D4BEF">
        <w:rPr>
          <w:rFonts w:ascii="Times New Roman" w:hAnsi="Times New Roman" w:cs="Times New Roman"/>
          <w:kern w:val="24"/>
          <w:sz w:val="24"/>
          <w:szCs w:val="24"/>
        </w:rPr>
        <w:t>.</w:t>
      </w:r>
    </w:p>
    <w:p w14:paraId="7F4E049A" w14:textId="77777777" w:rsidR="002760B2" w:rsidRPr="008D4BEF" w:rsidRDefault="002760B2" w:rsidP="008D4BEF">
      <w:pPr>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Dans la première structure, il y a deux transactions </w:t>
      </w:r>
      <w:r w:rsidRPr="008D4BEF">
        <w:rPr>
          <w:rFonts w:ascii="Times New Roman" w:hAnsi="Times New Roman" w:cs="Times New Roman"/>
          <w:i/>
          <w:iCs/>
          <w:kern w:val="24"/>
          <w:sz w:val="24"/>
          <w:szCs w:val="24"/>
        </w:rPr>
        <w:t>tawarruq</w:t>
      </w:r>
      <w:r w:rsidRPr="008D4BEF">
        <w:rPr>
          <w:rFonts w:ascii="Times New Roman" w:hAnsi="Times New Roman" w:cs="Times New Roman"/>
          <w:kern w:val="24"/>
          <w:sz w:val="24"/>
          <w:szCs w:val="24"/>
        </w:rPr>
        <w:t xml:space="preserve"> au début et à la fin. Le </w:t>
      </w:r>
      <w:r w:rsidR="006523B1" w:rsidRPr="008D4BEF">
        <w:rPr>
          <w:rFonts w:ascii="Times New Roman" w:hAnsi="Times New Roman" w:cs="Times New Roman"/>
          <w:i/>
          <w:iCs/>
          <w:kern w:val="24"/>
          <w:sz w:val="24"/>
          <w:szCs w:val="24"/>
        </w:rPr>
        <w:t>tawarruq</w:t>
      </w:r>
      <w:r w:rsidRPr="008D4BEF">
        <w:rPr>
          <w:rFonts w:ascii="Times New Roman" w:hAnsi="Times New Roman" w:cs="Times New Roman"/>
          <w:kern w:val="24"/>
          <w:sz w:val="24"/>
          <w:szCs w:val="24"/>
        </w:rPr>
        <w:t xml:space="preserve"> est un instrument financier dans lequel un acheteur achète une marchandise auprès d'un vendeur sur une base de paiement différé</w:t>
      </w:r>
      <w:r w:rsidR="0094121B" w:rsidRPr="008D4BEF">
        <w:rPr>
          <w:rFonts w:ascii="Times New Roman" w:hAnsi="Times New Roman" w:cs="Times New Roman"/>
          <w:kern w:val="24"/>
          <w:sz w:val="24"/>
          <w:szCs w:val="24"/>
        </w:rPr>
        <w:t> ;</w:t>
      </w:r>
      <w:r w:rsidRPr="008D4BEF">
        <w:rPr>
          <w:rFonts w:ascii="Times New Roman" w:hAnsi="Times New Roman" w:cs="Times New Roman"/>
          <w:kern w:val="24"/>
          <w:sz w:val="24"/>
          <w:szCs w:val="24"/>
        </w:rPr>
        <w:t xml:space="preserve"> l'acheteur vend le même produit à un tiers sur une base de paiement au comptant. Plus tard, lorsqu'il sécurise l'argent de la deuxième transaction, l'acheteur paie au vendeur d'origine le montant qu'il doit (le coût plus la majoration).</w:t>
      </w:r>
    </w:p>
    <w:p w14:paraId="6F137E84" w14:textId="6E885E32" w:rsidR="002760B2" w:rsidRPr="008D4BEF" w:rsidRDefault="002760B2" w:rsidP="008D4BEF">
      <w:pPr>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Cette structure peut être appliquée sur ce swap. Le problème qui peut se poser est lorsque les deux parties veulent échanger des devises à terme </w:t>
      </w:r>
      <w:r w:rsidR="0094121B" w:rsidRPr="008D4BEF">
        <w:rPr>
          <w:rFonts w:ascii="Times New Roman" w:hAnsi="Times New Roman" w:cs="Times New Roman"/>
          <w:kern w:val="24"/>
          <w:sz w:val="24"/>
          <w:szCs w:val="24"/>
        </w:rPr>
        <w:t>alors que</w:t>
      </w:r>
      <w:r w:rsidRPr="008D4BEF">
        <w:rPr>
          <w:rFonts w:ascii="Times New Roman" w:hAnsi="Times New Roman" w:cs="Times New Roman"/>
          <w:kern w:val="24"/>
          <w:sz w:val="24"/>
          <w:szCs w:val="24"/>
        </w:rPr>
        <w:t xml:space="preserve"> le taux étant fixé lo</w:t>
      </w:r>
      <w:r w:rsidR="00B13A51" w:rsidRPr="008D4BEF">
        <w:rPr>
          <w:rFonts w:ascii="Times New Roman" w:hAnsi="Times New Roman" w:cs="Times New Roman"/>
          <w:kern w:val="24"/>
          <w:sz w:val="24"/>
          <w:szCs w:val="24"/>
        </w:rPr>
        <w:t>rs de la conclusion du contrat ;</w:t>
      </w:r>
      <w:r w:rsidRPr="008D4BEF">
        <w:rPr>
          <w:rFonts w:ascii="Times New Roman" w:hAnsi="Times New Roman" w:cs="Times New Roman"/>
          <w:kern w:val="24"/>
          <w:sz w:val="24"/>
          <w:szCs w:val="24"/>
        </w:rPr>
        <w:t xml:space="preserve"> à ce moment</w:t>
      </w:r>
      <w:r w:rsidR="0094121B"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la deuxième structure</w:t>
      </w:r>
      <w:r w:rsidR="0087267A" w:rsidRPr="008D4BEF">
        <w:rPr>
          <w:rFonts w:ascii="Times New Roman" w:hAnsi="Times New Roman" w:cs="Times New Roman"/>
          <w:kern w:val="24"/>
          <w:sz w:val="24"/>
          <w:szCs w:val="24"/>
        </w:rPr>
        <w:t xml:space="preserve"> </w:t>
      </w:r>
      <w:r w:rsidR="006523B1" w:rsidRPr="008D4BEF">
        <w:rPr>
          <w:rFonts w:ascii="Times New Roman" w:hAnsi="Times New Roman" w:cs="Times New Roman"/>
          <w:i/>
          <w:iCs/>
          <w:kern w:val="24"/>
          <w:sz w:val="24"/>
          <w:szCs w:val="24"/>
        </w:rPr>
        <w:t>wa’</w:t>
      </w:r>
      <w:r w:rsidR="003D101B">
        <w:rPr>
          <w:rFonts w:ascii="Times New Roman" w:hAnsi="Times New Roman" w:cs="Times New Roman"/>
          <w:i/>
          <w:iCs/>
          <w:kern w:val="24"/>
          <w:sz w:val="24"/>
          <w:szCs w:val="24"/>
        </w:rPr>
        <w:t>a</w:t>
      </w:r>
      <w:r w:rsidRPr="008D4BEF">
        <w:rPr>
          <w:rFonts w:ascii="Times New Roman" w:hAnsi="Times New Roman" w:cs="Times New Roman"/>
          <w:i/>
          <w:iCs/>
          <w:kern w:val="24"/>
          <w:sz w:val="24"/>
          <w:szCs w:val="24"/>
        </w:rPr>
        <w:t>d</w:t>
      </w:r>
      <w:r w:rsidRPr="008D4BEF">
        <w:rPr>
          <w:rFonts w:ascii="Times New Roman" w:hAnsi="Times New Roman" w:cs="Times New Roman"/>
          <w:kern w:val="24"/>
          <w:sz w:val="24"/>
          <w:szCs w:val="24"/>
        </w:rPr>
        <w:t xml:space="preserve"> intervient dans le contrat </w:t>
      </w:r>
      <w:r w:rsidR="006523B1" w:rsidRPr="008D4BEF">
        <w:rPr>
          <w:rFonts w:ascii="Times New Roman" w:hAnsi="Times New Roman" w:cs="Times New Roman"/>
          <w:i/>
          <w:iCs/>
          <w:kern w:val="24"/>
          <w:sz w:val="24"/>
          <w:szCs w:val="24"/>
        </w:rPr>
        <w:t>tawarruq</w:t>
      </w:r>
      <w:r w:rsidRPr="008D4BEF">
        <w:rPr>
          <w:rFonts w:ascii="Times New Roman" w:hAnsi="Times New Roman" w:cs="Times New Roman"/>
          <w:kern w:val="24"/>
          <w:sz w:val="24"/>
          <w:szCs w:val="24"/>
        </w:rPr>
        <w:t xml:space="preserve">. En effet, la structure </w:t>
      </w:r>
      <w:r w:rsidR="001A6F65" w:rsidRPr="008D4BEF">
        <w:rPr>
          <w:rFonts w:ascii="Times New Roman" w:hAnsi="Times New Roman" w:cs="Times New Roman"/>
          <w:i/>
          <w:iCs/>
          <w:kern w:val="24"/>
          <w:sz w:val="24"/>
          <w:szCs w:val="24"/>
        </w:rPr>
        <w:t>wa’</w:t>
      </w:r>
      <w:r w:rsidR="00AC4110">
        <w:rPr>
          <w:rFonts w:ascii="Times New Roman" w:hAnsi="Times New Roman" w:cs="Times New Roman"/>
          <w:i/>
          <w:iCs/>
          <w:kern w:val="24"/>
          <w:sz w:val="24"/>
          <w:szCs w:val="24"/>
        </w:rPr>
        <w:t>a</w:t>
      </w:r>
      <w:r w:rsidR="001A6F65" w:rsidRPr="008D4BEF">
        <w:rPr>
          <w:rFonts w:ascii="Times New Roman" w:hAnsi="Times New Roman" w:cs="Times New Roman"/>
          <w:i/>
          <w:iCs/>
          <w:kern w:val="24"/>
          <w:sz w:val="24"/>
          <w:szCs w:val="24"/>
        </w:rPr>
        <w:t>d</w:t>
      </w:r>
      <w:r w:rsidRPr="008D4BEF">
        <w:rPr>
          <w:rFonts w:ascii="Times New Roman" w:hAnsi="Times New Roman" w:cs="Times New Roman"/>
          <w:kern w:val="24"/>
          <w:sz w:val="24"/>
          <w:szCs w:val="24"/>
        </w:rPr>
        <w:t xml:space="preserve"> dans le FX Swap </w:t>
      </w:r>
      <w:r w:rsidR="0028400A"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 implique la vente de devise au début avec une promesse d’effectuer une autre vente à la date future. Lors de la période d'expiration, la deuxième vente est mise en œuvre pour récupérer la monnaie d'origine sans être exposé aux risques de fluctuation des devises.</w:t>
      </w:r>
    </w:p>
    <w:p w14:paraId="59E98C35" w14:textId="1B90616C" w:rsidR="0007143C" w:rsidRPr="0007143C" w:rsidRDefault="0007143C" w:rsidP="008D4BEF">
      <w:pPr>
        <w:pStyle w:val="Lgende"/>
        <w:keepNext/>
        <w:spacing w:before="100" w:beforeAutospacing="1" w:after="120" w:line="300" w:lineRule="auto"/>
        <w:jc w:val="center"/>
        <w:rPr>
          <w:rFonts w:asciiTheme="majorBidi" w:hAnsiTheme="majorBidi" w:cstheme="majorBidi"/>
          <w:color w:val="000000" w:themeColor="text1"/>
          <w:sz w:val="22"/>
          <w:szCs w:val="22"/>
        </w:rPr>
      </w:pPr>
      <w:bookmarkStart w:id="438" w:name="_Toc74993895"/>
      <w:bookmarkStart w:id="439" w:name="_Toc115527427"/>
      <w:r w:rsidRPr="0007143C">
        <w:rPr>
          <w:rFonts w:asciiTheme="majorBidi" w:hAnsiTheme="majorBidi" w:cstheme="majorBidi"/>
          <w:color w:val="000000" w:themeColor="text1"/>
          <w:sz w:val="22"/>
          <w:szCs w:val="22"/>
        </w:rPr>
        <w:lastRenderedPageBreak/>
        <w:t xml:space="preserve">Figure </w:t>
      </w:r>
      <w:r w:rsidR="00B544E5">
        <w:rPr>
          <w:rFonts w:asciiTheme="majorBidi" w:hAnsiTheme="majorBidi" w:cstheme="majorBidi"/>
          <w:color w:val="000000" w:themeColor="text1"/>
          <w:sz w:val="22"/>
          <w:szCs w:val="22"/>
        </w:rPr>
        <w:fldChar w:fldCharType="begin"/>
      </w:r>
      <w:r w:rsidR="00BF1EB6">
        <w:rPr>
          <w:rFonts w:asciiTheme="majorBidi" w:hAnsiTheme="majorBidi" w:cstheme="majorBidi"/>
          <w:color w:val="000000" w:themeColor="text1"/>
          <w:sz w:val="22"/>
          <w:szCs w:val="22"/>
        </w:rPr>
        <w:instrText xml:space="preserve"> SEQ Figure \* ARABIC </w:instrText>
      </w:r>
      <w:r w:rsidR="00B544E5">
        <w:rPr>
          <w:rFonts w:asciiTheme="majorBidi" w:hAnsiTheme="majorBidi" w:cstheme="majorBidi"/>
          <w:color w:val="000000" w:themeColor="text1"/>
          <w:sz w:val="22"/>
          <w:szCs w:val="22"/>
        </w:rPr>
        <w:fldChar w:fldCharType="separate"/>
      </w:r>
      <w:r w:rsidR="00666FC7">
        <w:rPr>
          <w:rFonts w:asciiTheme="majorBidi" w:hAnsiTheme="majorBidi" w:cstheme="majorBidi"/>
          <w:noProof/>
          <w:color w:val="000000" w:themeColor="text1"/>
          <w:sz w:val="22"/>
          <w:szCs w:val="22"/>
        </w:rPr>
        <w:t>16</w:t>
      </w:r>
      <w:r w:rsidR="00B544E5">
        <w:rPr>
          <w:rFonts w:asciiTheme="majorBidi" w:hAnsiTheme="majorBidi" w:cstheme="majorBidi"/>
          <w:color w:val="000000" w:themeColor="text1"/>
          <w:sz w:val="22"/>
          <w:szCs w:val="22"/>
        </w:rPr>
        <w:fldChar w:fldCharType="end"/>
      </w:r>
      <w:r w:rsidRPr="0007143C">
        <w:rPr>
          <w:rFonts w:asciiTheme="majorBidi" w:hAnsiTheme="majorBidi" w:cstheme="majorBidi"/>
          <w:color w:val="000000" w:themeColor="text1"/>
          <w:sz w:val="22"/>
          <w:szCs w:val="22"/>
        </w:rPr>
        <w:t xml:space="preserve">: FX swap islamique basé sur </w:t>
      </w:r>
      <w:r w:rsidRPr="003D101B">
        <w:rPr>
          <w:rFonts w:asciiTheme="majorBidi" w:hAnsiTheme="majorBidi" w:cstheme="majorBidi"/>
          <w:i/>
          <w:iCs/>
          <w:color w:val="000000" w:themeColor="text1"/>
          <w:sz w:val="22"/>
          <w:szCs w:val="22"/>
        </w:rPr>
        <w:t>wa'</w:t>
      </w:r>
      <w:r w:rsidR="003D101B" w:rsidRPr="003D101B">
        <w:rPr>
          <w:rFonts w:asciiTheme="majorBidi" w:hAnsiTheme="majorBidi" w:cstheme="majorBidi"/>
          <w:i/>
          <w:iCs/>
          <w:color w:val="000000" w:themeColor="text1"/>
          <w:sz w:val="22"/>
          <w:szCs w:val="22"/>
        </w:rPr>
        <w:t>a</w:t>
      </w:r>
      <w:r w:rsidRPr="003D101B">
        <w:rPr>
          <w:rFonts w:asciiTheme="majorBidi" w:hAnsiTheme="majorBidi" w:cstheme="majorBidi"/>
          <w:i/>
          <w:iCs/>
          <w:color w:val="000000" w:themeColor="text1"/>
          <w:sz w:val="22"/>
          <w:szCs w:val="22"/>
        </w:rPr>
        <w:t>d</w:t>
      </w:r>
      <w:bookmarkEnd w:id="438"/>
      <w:bookmarkEnd w:id="439"/>
    </w:p>
    <w:p w14:paraId="6FB4A9A3" w14:textId="77777777" w:rsidR="0007143C" w:rsidRPr="0007143C" w:rsidRDefault="0007143C" w:rsidP="008D4BEF">
      <w:pPr>
        <w:keepNext/>
        <w:tabs>
          <w:tab w:val="left" w:pos="0"/>
        </w:tabs>
        <w:autoSpaceDE w:val="0"/>
        <w:autoSpaceDN w:val="0"/>
        <w:adjustRightInd w:val="0"/>
        <w:spacing w:line="360" w:lineRule="auto"/>
        <w:ind w:firstLine="709"/>
        <w:jc w:val="left"/>
        <w:rPr>
          <w:rFonts w:asciiTheme="majorBidi" w:hAnsiTheme="majorBidi" w:cstheme="majorBidi"/>
          <w:sz w:val="24"/>
          <w:szCs w:val="24"/>
        </w:rPr>
      </w:pPr>
      <w:r w:rsidRPr="0007143C">
        <w:rPr>
          <w:noProof/>
          <w:lang w:eastAsia="fr-FR"/>
        </w:rPr>
        <w:drawing>
          <wp:inline distT="0" distB="0" distL="0" distR="0" wp14:anchorId="00A39024" wp14:editId="1DDD6E53">
            <wp:extent cx="4895850" cy="2581275"/>
            <wp:effectExtent l="19050" t="0" r="0" b="0"/>
            <wp:docPr id="1569" name="Image 21" descr="https://www.eurekahedge.com/Content/Images/News/07_dec_Islamic_PE_Real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urekahedge.com/Content/Images/News/07_dec_Islamic_PE_Real2_s.jpg"/>
                    <pic:cNvPicPr>
                      <a:picLocks noChangeAspect="1" noChangeArrowheads="1"/>
                    </pic:cNvPicPr>
                  </pic:nvPicPr>
                  <pic:blipFill>
                    <a:blip r:embed="rId39" cstate="print">
                      <a:lum bright="-20000" contrast="10000"/>
                    </a:blip>
                    <a:srcRect/>
                    <a:stretch>
                      <a:fillRect/>
                    </a:stretch>
                  </pic:blipFill>
                  <pic:spPr bwMode="auto">
                    <a:xfrm>
                      <a:off x="0" y="0"/>
                      <a:ext cx="4895850" cy="2581275"/>
                    </a:xfrm>
                    <a:prstGeom prst="rect">
                      <a:avLst/>
                    </a:prstGeom>
                    <a:noFill/>
                    <a:ln w="9525">
                      <a:noFill/>
                      <a:miter lim="800000"/>
                      <a:headEnd/>
                      <a:tailEnd/>
                    </a:ln>
                  </pic:spPr>
                </pic:pic>
              </a:graphicData>
            </a:graphic>
          </wp:inline>
        </w:drawing>
      </w:r>
    </w:p>
    <w:p w14:paraId="00DCD0FF" w14:textId="77777777" w:rsidR="0007143C" w:rsidRPr="008D4BEF" w:rsidRDefault="0007143C" w:rsidP="008D4BEF">
      <w:pPr>
        <w:keepNext/>
        <w:tabs>
          <w:tab w:val="left" w:pos="0"/>
        </w:tabs>
        <w:autoSpaceDE w:val="0"/>
        <w:autoSpaceDN w:val="0"/>
        <w:adjustRightInd w:val="0"/>
        <w:spacing w:before="120" w:after="120" w:line="240" w:lineRule="auto"/>
        <w:jc w:val="center"/>
        <w:rPr>
          <w:rFonts w:asciiTheme="majorBidi" w:hAnsiTheme="majorBidi" w:cstheme="majorBidi"/>
          <w:sz w:val="20"/>
          <w:szCs w:val="20"/>
        </w:rPr>
      </w:pPr>
      <w:r w:rsidRPr="008D4BEF">
        <w:rPr>
          <w:rFonts w:asciiTheme="majorBidi" w:hAnsiTheme="majorBidi" w:cstheme="majorBidi"/>
          <w:sz w:val="20"/>
          <w:szCs w:val="20"/>
        </w:rPr>
        <w:t xml:space="preserve">Source : </w:t>
      </w:r>
      <w:r w:rsidRPr="008D4BEF">
        <w:rPr>
          <w:rFonts w:asciiTheme="majorBidi" w:hAnsiTheme="majorBidi" w:cstheme="majorBidi"/>
          <w:smallCaps/>
          <w:sz w:val="20"/>
          <w:szCs w:val="20"/>
        </w:rPr>
        <w:t>Dusuki</w:t>
      </w:r>
      <w:r w:rsidRPr="008D4BEF">
        <w:rPr>
          <w:rFonts w:asciiTheme="majorBidi" w:hAnsiTheme="majorBidi" w:cstheme="majorBidi"/>
          <w:sz w:val="20"/>
          <w:szCs w:val="20"/>
        </w:rPr>
        <w:t>, (2009), p.14.</w:t>
      </w:r>
    </w:p>
    <w:p w14:paraId="324A8700" w14:textId="06AE4E08" w:rsidR="0007143C" w:rsidRPr="008D4BEF" w:rsidRDefault="0007143C" w:rsidP="008D4BEF">
      <w:pPr>
        <w:tabs>
          <w:tab w:val="left" w:pos="0"/>
        </w:tabs>
        <w:autoSpaceDE w:val="0"/>
        <w:autoSpaceDN w:val="0"/>
        <w:adjustRightInd w:val="0"/>
        <w:spacing w:before="100" w:beforeAutospacing="1" w:line="300" w:lineRule="auto"/>
        <w:ind w:firstLine="709"/>
        <w:rPr>
          <w:rFonts w:asciiTheme="majorBidi" w:hAnsiTheme="majorBidi" w:cstheme="majorBidi"/>
          <w:kern w:val="24"/>
          <w:sz w:val="24"/>
          <w:szCs w:val="24"/>
        </w:rPr>
      </w:pPr>
      <w:r w:rsidRPr="008D4BEF">
        <w:rPr>
          <w:rFonts w:asciiTheme="majorBidi" w:hAnsiTheme="majorBidi" w:cstheme="majorBidi"/>
          <w:kern w:val="24"/>
          <w:sz w:val="24"/>
          <w:szCs w:val="24"/>
        </w:rPr>
        <w:t xml:space="preserve">La figure 16 montre un exemple sur la structure d’un FX swap islamique basé sur </w:t>
      </w:r>
      <w:r w:rsidRPr="003D101B">
        <w:rPr>
          <w:rFonts w:asciiTheme="majorBidi" w:hAnsiTheme="majorBidi" w:cstheme="majorBidi"/>
          <w:i/>
          <w:iCs/>
          <w:kern w:val="24"/>
          <w:sz w:val="24"/>
          <w:szCs w:val="24"/>
        </w:rPr>
        <w:t>wa’</w:t>
      </w:r>
      <w:r w:rsidR="003D101B" w:rsidRPr="003D101B">
        <w:rPr>
          <w:rFonts w:asciiTheme="majorBidi" w:hAnsiTheme="majorBidi" w:cstheme="majorBidi"/>
          <w:i/>
          <w:iCs/>
          <w:kern w:val="24"/>
          <w:sz w:val="24"/>
          <w:szCs w:val="24"/>
        </w:rPr>
        <w:t>a</w:t>
      </w:r>
      <w:r w:rsidRPr="003D101B">
        <w:rPr>
          <w:rFonts w:asciiTheme="majorBidi" w:hAnsiTheme="majorBidi" w:cstheme="majorBidi"/>
          <w:i/>
          <w:iCs/>
          <w:kern w:val="24"/>
          <w:sz w:val="24"/>
          <w:szCs w:val="24"/>
        </w:rPr>
        <w:t>d</w:t>
      </w:r>
      <w:r w:rsidRPr="008D4BEF">
        <w:rPr>
          <w:rFonts w:asciiTheme="majorBidi" w:hAnsiTheme="majorBidi" w:cstheme="majorBidi"/>
          <w:kern w:val="24"/>
          <w:sz w:val="24"/>
          <w:szCs w:val="24"/>
        </w:rPr>
        <w:t xml:space="preserve">. Au début, l'investisseur qui dispose de 14,5 millions de dollars peut vendre ces dollars à la banque au comptant pour obtenir des €. Ceci est conforme avec les principes de bay` </w:t>
      </w:r>
      <w:r w:rsidRPr="003D101B">
        <w:rPr>
          <w:rFonts w:asciiTheme="majorBidi" w:hAnsiTheme="majorBidi" w:cstheme="majorBidi"/>
          <w:i/>
          <w:iCs/>
          <w:kern w:val="24"/>
          <w:sz w:val="24"/>
          <w:szCs w:val="24"/>
        </w:rPr>
        <w:t>al-sarf</w:t>
      </w:r>
      <w:r w:rsidRPr="008D4BEF">
        <w:rPr>
          <w:rFonts w:asciiTheme="majorBidi" w:hAnsiTheme="majorBidi" w:cstheme="majorBidi"/>
          <w:kern w:val="24"/>
          <w:sz w:val="24"/>
          <w:szCs w:val="24"/>
        </w:rPr>
        <w:t xml:space="preserve"> qui exigent que les transactions soient sur place. Par la suite, l'investisseur conclura un </w:t>
      </w:r>
      <w:r w:rsidRPr="00AC3A2C">
        <w:rPr>
          <w:rFonts w:asciiTheme="majorBidi" w:hAnsiTheme="majorBidi" w:cstheme="majorBidi"/>
          <w:i/>
          <w:iCs/>
          <w:kern w:val="24"/>
          <w:sz w:val="24"/>
          <w:szCs w:val="24"/>
        </w:rPr>
        <w:t>wa'ad</w:t>
      </w:r>
      <w:r w:rsidRPr="008D4BEF">
        <w:rPr>
          <w:rFonts w:asciiTheme="majorBidi" w:hAnsiTheme="majorBidi" w:cstheme="majorBidi"/>
          <w:kern w:val="24"/>
          <w:sz w:val="24"/>
          <w:szCs w:val="24"/>
        </w:rPr>
        <w:t xml:space="preserve"> ou s'engagera à conclure un contrat de change basé sur le principe de </w:t>
      </w:r>
      <w:r w:rsidRPr="00AC3A2C">
        <w:rPr>
          <w:rFonts w:asciiTheme="majorBidi" w:hAnsiTheme="majorBidi" w:cstheme="majorBidi"/>
          <w:i/>
          <w:iCs/>
          <w:kern w:val="24"/>
          <w:sz w:val="24"/>
          <w:szCs w:val="24"/>
        </w:rPr>
        <w:t>bay` al-sarf</w:t>
      </w:r>
      <w:r w:rsidRPr="008D4BEF">
        <w:rPr>
          <w:rFonts w:asciiTheme="majorBidi" w:hAnsiTheme="majorBidi" w:cstheme="majorBidi"/>
          <w:kern w:val="24"/>
          <w:sz w:val="24"/>
          <w:szCs w:val="24"/>
        </w:rPr>
        <w:t xml:space="preserve"> à une date future. Le futur échange de devises sera basé sur un taux de change qui est référé au taux d'aujourd'hui. A la fin, l'investisseur récupérera ses dollars sans être exposé aux risques de fluctuation des devises.</w:t>
      </w:r>
    </w:p>
    <w:p w14:paraId="7029E5F6" w14:textId="77777777" w:rsidR="0028400A" w:rsidRPr="008D4BEF" w:rsidRDefault="0028400A" w:rsidP="008D4BEF">
      <w:pPr>
        <w:pStyle w:val="Titre5"/>
        <w:keepNext w:val="0"/>
        <w:keepLines w:val="0"/>
        <w:spacing w:before="120" w:after="120" w:line="300" w:lineRule="auto"/>
        <w:ind w:firstLine="709"/>
        <w:rPr>
          <w:rFonts w:asciiTheme="majorBidi" w:hAnsiTheme="majorBidi"/>
          <w:b/>
          <w:bCs/>
          <w:color w:val="auto"/>
          <w:kern w:val="24"/>
          <w:sz w:val="24"/>
          <w:szCs w:val="24"/>
        </w:rPr>
      </w:pPr>
      <w:bookmarkStart w:id="440" w:name="_Toc182298676"/>
      <w:r w:rsidRPr="008D4BEF">
        <w:rPr>
          <w:rFonts w:asciiTheme="majorBidi" w:hAnsiTheme="majorBidi"/>
          <w:b/>
          <w:bCs/>
          <w:color w:val="auto"/>
          <w:kern w:val="24"/>
          <w:sz w:val="24"/>
          <w:szCs w:val="24"/>
        </w:rPr>
        <w:t>2.</w:t>
      </w:r>
      <w:r w:rsidR="00364992" w:rsidRPr="008D4BEF">
        <w:rPr>
          <w:rFonts w:asciiTheme="majorBidi" w:hAnsiTheme="majorBidi"/>
          <w:b/>
          <w:bCs/>
          <w:color w:val="auto"/>
          <w:kern w:val="24"/>
          <w:sz w:val="24"/>
          <w:szCs w:val="24"/>
        </w:rPr>
        <w:t>5</w:t>
      </w:r>
      <w:r w:rsidRPr="008D4BEF">
        <w:rPr>
          <w:rFonts w:asciiTheme="majorBidi" w:hAnsiTheme="majorBidi"/>
          <w:b/>
          <w:bCs/>
          <w:color w:val="auto"/>
          <w:kern w:val="24"/>
          <w:sz w:val="24"/>
          <w:szCs w:val="24"/>
        </w:rPr>
        <w:t>.2.2- S</w:t>
      </w:r>
      <w:r w:rsidR="002760B2" w:rsidRPr="008D4BEF">
        <w:rPr>
          <w:rFonts w:asciiTheme="majorBidi" w:hAnsiTheme="majorBidi"/>
          <w:b/>
          <w:bCs/>
          <w:color w:val="auto"/>
          <w:kern w:val="24"/>
          <w:sz w:val="24"/>
          <w:szCs w:val="24"/>
        </w:rPr>
        <w:t xml:space="preserve">wap </w:t>
      </w:r>
      <w:r w:rsidR="007638E2" w:rsidRPr="008D4BEF">
        <w:rPr>
          <w:rFonts w:asciiTheme="majorBidi" w:hAnsiTheme="majorBidi"/>
          <w:b/>
          <w:bCs/>
          <w:color w:val="auto"/>
          <w:kern w:val="24"/>
          <w:sz w:val="24"/>
          <w:szCs w:val="24"/>
        </w:rPr>
        <w:t>i</w:t>
      </w:r>
      <w:r w:rsidR="003773C6" w:rsidRPr="008D4BEF">
        <w:rPr>
          <w:rFonts w:asciiTheme="majorBidi" w:hAnsiTheme="majorBidi"/>
          <w:b/>
          <w:bCs/>
          <w:color w:val="auto"/>
          <w:kern w:val="24"/>
          <w:sz w:val="24"/>
          <w:szCs w:val="24"/>
        </w:rPr>
        <w:t>slamique</w:t>
      </w:r>
      <w:r w:rsidR="002760B2" w:rsidRPr="008D4BEF">
        <w:rPr>
          <w:rFonts w:asciiTheme="majorBidi" w:hAnsiTheme="majorBidi"/>
          <w:b/>
          <w:bCs/>
          <w:color w:val="auto"/>
          <w:kern w:val="24"/>
          <w:sz w:val="24"/>
          <w:szCs w:val="24"/>
        </w:rPr>
        <w:t xml:space="preserve"> de taux de profit</w:t>
      </w:r>
      <w:r w:rsidR="00E7508E" w:rsidRPr="008D4BEF">
        <w:rPr>
          <w:rFonts w:asciiTheme="majorBidi" w:hAnsiTheme="majorBidi"/>
          <w:b/>
          <w:bCs/>
          <w:color w:val="auto"/>
          <w:kern w:val="24"/>
          <w:sz w:val="24"/>
          <w:szCs w:val="24"/>
        </w:rPr>
        <w:t xml:space="preserve"> (Profit Rate Swap):</w:t>
      </w:r>
      <w:bookmarkEnd w:id="440"/>
    </w:p>
    <w:p w14:paraId="12680758" w14:textId="77777777" w:rsidR="002760B2" w:rsidRPr="008D4BEF" w:rsidRDefault="00271861" w:rsidP="008D4BEF">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C’est</w:t>
      </w:r>
      <w:r w:rsidR="002760B2" w:rsidRPr="008D4BEF">
        <w:rPr>
          <w:rFonts w:ascii="Times New Roman" w:hAnsi="Times New Roman" w:cs="Times New Roman"/>
          <w:kern w:val="24"/>
          <w:sz w:val="24"/>
          <w:szCs w:val="24"/>
        </w:rPr>
        <w:t xml:space="preserve"> un accord entre deux personnes d’échanger des paiements périodiques fixes et variables en multipliant les montants notionnels sur les taux fixes et variables déterminés à l’avance. Les montants obtenus seront payés de l’un à l’autre. Cette opération est effectuée en recourant à un contrat </w:t>
      </w:r>
      <w:r w:rsidR="002760B2" w:rsidRPr="008D4BEF">
        <w:rPr>
          <w:rFonts w:ascii="Times New Roman" w:hAnsi="Times New Roman" w:cs="Times New Roman"/>
          <w:i/>
          <w:iCs/>
          <w:kern w:val="24"/>
          <w:sz w:val="24"/>
          <w:szCs w:val="24"/>
        </w:rPr>
        <w:t>mourabaha</w:t>
      </w:r>
      <w:r w:rsidR="002760B2" w:rsidRPr="008D4BEF">
        <w:rPr>
          <w:rFonts w:ascii="Times New Roman" w:hAnsi="Times New Roman" w:cs="Times New Roman"/>
          <w:kern w:val="24"/>
          <w:sz w:val="24"/>
          <w:szCs w:val="24"/>
        </w:rPr>
        <w:t xml:space="preserve"> pour générer les paiements à taux fixe et à une </w:t>
      </w:r>
      <w:r w:rsidR="002760B2" w:rsidRPr="008D4BEF">
        <w:rPr>
          <w:rFonts w:ascii="Times New Roman" w:hAnsi="Times New Roman" w:cs="Times New Roman"/>
          <w:i/>
          <w:iCs/>
          <w:kern w:val="24"/>
          <w:sz w:val="24"/>
          <w:szCs w:val="24"/>
        </w:rPr>
        <w:t>mourabaha</w:t>
      </w:r>
      <w:r w:rsidR="002760B2" w:rsidRPr="008D4BEF">
        <w:rPr>
          <w:rFonts w:ascii="Times New Roman" w:hAnsi="Times New Roman" w:cs="Times New Roman"/>
          <w:kern w:val="24"/>
          <w:sz w:val="24"/>
          <w:szCs w:val="24"/>
        </w:rPr>
        <w:t xml:space="preserve"> inversée (contrat </w:t>
      </w:r>
      <w:r w:rsidR="006523B1" w:rsidRPr="008D4BEF">
        <w:rPr>
          <w:rFonts w:ascii="Times New Roman" w:hAnsi="Times New Roman" w:cs="Times New Roman"/>
          <w:i/>
          <w:iCs/>
          <w:kern w:val="24"/>
          <w:sz w:val="24"/>
          <w:szCs w:val="24"/>
        </w:rPr>
        <w:t>tawarruq</w:t>
      </w:r>
      <w:r w:rsidR="002760B2" w:rsidRPr="008D4BEF">
        <w:rPr>
          <w:rFonts w:ascii="Times New Roman" w:hAnsi="Times New Roman" w:cs="Times New Roman"/>
          <w:kern w:val="24"/>
          <w:sz w:val="24"/>
          <w:szCs w:val="24"/>
        </w:rPr>
        <w:t>) pour générer les paiements à taux variable</w:t>
      </w:r>
      <w:r w:rsidR="002760B2" w:rsidRPr="008D4BEF">
        <w:rPr>
          <w:rStyle w:val="Appelnotedebasdep"/>
          <w:rFonts w:ascii="Times New Roman" w:hAnsi="Times New Roman"/>
          <w:kern w:val="24"/>
          <w:sz w:val="24"/>
          <w:szCs w:val="24"/>
        </w:rPr>
        <w:footnoteReference w:id="148"/>
      </w:r>
      <w:r w:rsidR="002760B2" w:rsidRPr="008D4BEF">
        <w:rPr>
          <w:rFonts w:ascii="Times New Roman" w:hAnsi="Times New Roman" w:cs="Times New Roman"/>
          <w:kern w:val="24"/>
          <w:sz w:val="24"/>
          <w:szCs w:val="24"/>
        </w:rPr>
        <w:t>.</w:t>
      </w:r>
    </w:p>
    <w:p w14:paraId="3BEE654E" w14:textId="77777777" w:rsidR="00E7508E" w:rsidRPr="008D4BEF" w:rsidRDefault="00E7508E" w:rsidP="008D4BEF">
      <w:pPr>
        <w:pStyle w:val="Paragraphedeliste"/>
        <w:tabs>
          <w:tab w:val="left" w:pos="0"/>
        </w:tabs>
        <w:autoSpaceDE w:val="0"/>
        <w:autoSpaceDN w:val="0"/>
        <w:adjustRightInd w:val="0"/>
        <w:spacing w:before="120" w:line="300" w:lineRule="auto"/>
        <w:ind w:left="0" w:firstLine="709"/>
        <w:contextualSpacing w:val="0"/>
        <w:rPr>
          <w:rFonts w:asciiTheme="majorBidi" w:hAnsiTheme="majorBidi" w:cstheme="majorBidi"/>
          <w:i/>
          <w:iCs/>
          <w:kern w:val="24"/>
          <w:sz w:val="24"/>
          <w:szCs w:val="24"/>
        </w:rPr>
      </w:pPr>
      <w:r w:rsidRPr="008D4BEF">
        <w:rPr>
          <w:rFonts w:asciiTheme="majorBidi" w:hAnsiTheme="majorBidi" w:cstheme="majorBidi"/>
          <w:kern w:val="24"/>
          <w:sz w:val="24"/>
          <w:szCs w:val="24"/>
        </w:rPr>
        <w:t xml:space="preserve">Autrement dit, en utilisant un swap de taux de profit, les IFI utilisent des contrats </w:t>
      </w:r>
      <w:r w:rsidRPr="008D4BEF">
        <w:rPr>
          <w:rFonts w:asciiTheme="majorBidi" w:hAnsiTheme="majorBidi" w:cstheme="majorBidi"/>
          <w:i/>
          <w:iCs/>
          <w:kern w:val="24"/>
          <w:sz w:val="24"/>
          <w:szCs w:val="24"/>
        </w:rPr>
        <w:t>mourabaha</w:t>
      </w:r>
      <w:r w:rsidRPr="008D4BEF">
        <w:rPr>
          <w:rFonts w:asciiTheme="majorBidi" w:hAnsiTheme="majorBidi" w:cstheme="majorBidi"/>
          <w:kern w:val="24"/>
          <w:sz w:val="24"/>
          <w:szCs w:val="24"/>
        </w:rPr>
        <w:t xml:space="preserve"> à court terme renouvelables sur une marchandise contre des contrats </w:t>
      </w:r>
      <w:r w:rsidRPr="008D4BEF">
        <w:rPr>
          <w:rFonts w:asciiTheme="majorBidi" w:hAnsiTheme="majorBidi" w:cstheme="majorBidi"/>
          <w:i/>
          <w:iCs/>
          <w:kern w:val="24"/>
          <w:sz w:val="24"/>
          <w:szCs w:val="24"/>
        </w:rPr>
        <w:t>mourabaha</w:t>
      </w:r>
      <w:r w:rsidRPr="008D4BEF">
        <w:rPr>
          <w:rFonts w:asciiTheme="majorBidi" w:hAnsiTheme="majorBidi" w:cstheme="majorBidi"/>
          <w:kern w:val="24"/>
          <w:sz w:val="24"/>
          <w:szCs w:val="24"/>
        </w:rPr>
        <w:t xml:space="preserve"> à long terme de même nature sur le mode de l’arbitrage comptant/ à terme (voir figure 17). Ceci permet de couvrir le risque de change des contrats </w:t>
      </w:r>
      <w:r w:rsidRPr="008D4BEF">
        <w:rPr>
          <w:rFonts w:asciiTheme="majorBidi" w:hAnsiTheme="majorBidi" w:cstheme="majorBidi"/>
          <w:i/>
          <w:iCs/>
          <w:kern w:val="24"/>
          <w:sz w:val="24"/>
          <w:szCs w:val="24"/>
        </w:rPr>
        <w:t>mourabaha.</w:t>
      </w:r>
      <w:r w:rsidRPr="008D4BEF">
        <w:rPr>
          <w:rStyle w:val="Appelnotedebasdep"/>
          <w:rFonts w:asciiTheme="majorBidi" w:hAnsiTheme="majorBidi"/>
          <w:i/>
          <w:iCs/>
          <w:kern w:val="24"/>
          <w:sz w:val="24"/>
          <w:szCs w:val="24"/>
        </w:rPr>
        <w:footnoteReference w:id="149"/>
      </w:r>
    </w:p>
    <w:p w14:paraId="43B12CDD" w14:textId="074C814B" w:rsidR="00E7508E" w:rsidRPr="008D4BEF" w:rsidRDefault="00E7508E" w:rsidP="008D4BEF">
      <w:pPr>
        <w:pStyle w:val="Lgende"/>
        <w:keepNext/>
        <w:spacing w:before="120" w:line="300" w:lineRule="auto"/>
        <w:jc w:val="center"/>
        <w:rPr>
          <w:rFonts w:ascii="Times New Roman" w:hAnsi="Times New Roman" w:cs="Times New Roman"/>
          <w:i/>
          <w:iCs/>
          <w:color w:val="000000" w:themeColor="text1"/>
          <w:kern w:val="24"/>
          <w:sz w:val="24"/>
          <w:szCs w:val="24"/>
        </w:rPr>
      </w:pPr>
      <w:bookmarkStart w:id="441" w:name="_Toc74993896"/>
      <w:bookmarkStart w:id="442" w:name="_Toc115527428"/>
      <w:r w:rsidRPr="008D4BEF">
        <w:rPr>
          <w:rFonts w:ascii="Times New Roman" w:hAnsi="Times New Roman" w:cs="Times New Roman"/>
          <w:color w:val="000000" w:themeColor="text1"/>
          <w:kern w:val="24"/>
          <w:sz w:val="24"/>
          <w:szCs w:val="24"/>
        </w:rPr>
        <w:lastRenderedPageBreak/>
        <w:t xml:space="preserve">Figure </w:t>
      </w:r>
      <w:r w:rsidR="00B544E5" w:rsidRPr="008D4BEF">
        <w:rPr>
          <w:rFonts w:ascii="Times New Roman" w:hAnsi="Times New Roman" w:cs="Times New Roman"/>
          <w:color w:val="000000" w:themeColor="text1"/>
          <w:kern w:val="24"/>
          <w:sz w:val="24"/>
          <w:szCs w:val="24"/>
        </w:rPr>
        <w:fldChar w:fldCharType="begin"/>
      </w:r>
      <w:r w:rsidR="00BF1EB6" w:rsidRPr="008D4BEF">
        <w:rPr>
          <w:rFonts w:ascii="Times New Roman" w:hAnsi="Times New Roman" w:cs="Times New Roman"/>
          <w:color w:val="000000" w:themeColor="text1"/>
          <w:kern w:val="24"/>
          <w:sz w:val="24"/>
          <w:szCs w:val="24"/>
        </w:rPr>
        <w:instrText xml:space="preserve"> SEQ Figure \* ARABIC </w:instrText>
      </w:r>
      <w:r w:rsidR="00B544E5" w:rsidRPr="008D4BEF">
        <w:rPr>
          <w:rFonts w:ascii="Times New Roman" w:hAnsi="Times New Roman" w:cs="Times New Roman"/>
          <w:color w:val="000000" w:themeColor="text1"/>
          <w:kern w:val="24"/>
          <w:sz w:val="24"/>
          <w:szCs w:val="24"/>
        </w:rPr>
        <w:fldChar w:fldCharType="separate"/>
      </w:r>
      <w:r w:rsidR="00666FC7">
        <w:rPr>
          <w:rFonts w:ascii="Times New Roman" w:hAnsi="Times New Roman" w:cs="Times New Roman"/>
          <w:noProof/>
          <w:color w:val="000000" w:themeColor="text1"/>
          <w:kern w:val="24"/>
          <w:sz w:val="24"/>
          <w:szCs w:val="24"/>
        </w:rPr>
        <w:t>17</w:t>
      </w:r>
      <w:r w:rsidR="00B544E5" w:rsidRPr="008D4BEF">
        <w:rPr>
          <w:rFonts w:ascii="Times New Roman" w:hAnsi="Times New Roman" w:cs="Times New Roman"/>
          <w:color w:val="000000" w:themeColor="text1"/>
          <w:kern w:val="24"/>
          <w:sz w:val="24"/>
          <w:szCs w:val="24"/>
        </w:rPr>
        <w:fldChar w:fldCharType="end"/>
      </w:r>
      <w:r w:rsidRPr="008D4BEF">
        <w:rPr>
          <w:rFonts w:ascii="Times New Roman" w:hAnsi="Times New Roman" w:cs="Times New Roman"/>
          <w:color w:val="000000" w:themeColor="text1"/>
          <w:kern w:val="24"/>
          <w:sz w:val="24"/>
          <w:szCs w:val="24"/>
        </w:rPr>
        <w:t xml:space="preserve">: </w:t>
      </w:r>
      <w:r w:rsidR="008D4BEF" w:rsidRPr="008D4BEF">
        <w:rPr>
          <w:rFonts w:ascii="Times New Roman" w:hAnsi="Times New Roman" w:cs="Times New Roman"/>
          <w:color w:val="000000" w:themeColor="text1"/>
          <w:kern w:val="24"/>
          <w:sz w:val="24"/>
          <w:szCs w:val="24"/>
        </w:rPr>
        <w:t>Structure</w:t>
      </w:r>
      <w:r w:rsidRPr="008D4BEF">
        <w:rPr>
          <w:rFonts w:ascii="Times New Roman" w:hAnsi="Times New Roman" w:cs="Times New Roman"/>
          <w:color w:val="000000" w:themeColor="text1"/>
          <w:kern w:val="24"/>
          <w:sz w:val="24"/>
          <w:szCs w:val="24"/>
        </w:rPr>
        <w:t xml:space="preserve"> d'un swap de taux de profit</w:t>
      </w:r>
      <w:bookmarkEnd w:id="441"/>
      <w:bookmarkEnd w:id="442"/>
    </w:p>
    <w:p w14:paraId="7F12F7B8" w14:textId="05EF691C" w:rsidR="00E7508E" w:rsidRPr="008D4BEF" w:rsidRDefault="002C5EFF" w:rsidP="008D4BEF">
      <w:pPr>
        <w:pStyle w:val="Paragraphedeliste"/>
        <w:keepNext/>
        <w:tabs>
          <w:tab w:val="left" w:pos="0"/>
        </w:tabs>
        <w:autoSpaceDE w:val="0"/>
        <w:autoSpaceDN w:val="0"/>
        <w:adjustRightInd w:val="0"/>
        <w:spacing w:before="120" w:line="300" w:lineRule="auto"/>
        <w:ind w:left="0"/>
        <w:contextualSpacing w:val="0"/>
        <w:jc w:val="center"/>
        <w:rPr>
          <w:rFonts w:ascii="Times New Roman" w:hAnsi="Times New Roman" w:cs="Times New Roman"/>
          <w:i/>
          <w:iCs/>
          <w:sz w:val="24"/>
          <w:szCs w:val="24"/>
        </w:rPr>
      </w:pPr>
      <w:r>
        <w:rPr>
          <w:rFonts w:ascii="Times New Roman" w:hAnsi="Times New Roman" w:cs="Times New Roman"/>
          <w:i/>
          <w:iCs/>
          <w:noProof/>
          <w:sz w:val="24"/>
          <w:szCs w:val="24"/>
          <w:lang w:eastAsia="fr-FR"/>
        </w:rPr>
        <mc:AlternateContent>
          <mc:Choice Requires="wpg">
            <w:drawing>
              <wp:anchor distT="0" distB="0" distL="114300" distR="114300" simplePos="0" relativeHeight="251822080" behindDoc="0" locked="0" layoutInCell="1" allowOverlap="1" wp14:anchorId="205BBD89" wp14:editId="21A9B0C6">
                <wp:simplePos x="0" y="0"/>
                <wp:positionH relativeFrom="margin">
                  <wp:align>center</wp:align>
                </wp:positionH>
                <wp:positionV relativeFrom="paragraph">
                  <wp:posOffset>97790</wp:posOffset>
                </wp:positionV>
                <wp:extent cx="3060065" cy="1917700"/>
                <wp:effectExtent l="1270" t="10160" r="0" b="5715"/>
                <wp:wrapNone/>
                <wp:docPr id="733"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1917700"/>
                          <a:chOff x="3828" y="1717"/>
                          <a:chExt cx="4819" cy="3020"/>
                        </a:xfrm>
                      </wpg:grpSpPr>
                      <wps:wsp>
                        <wps:cNvPr id="734" name="AutoShape 1756"/>
                        <wps:cNvSpPr>
                          <a:spLocks noChangeArrowheads="1"/>
                        </wps:cNvSpPr>
                        <wps:spPr bwMode="auto">
                          <a:xfrm>
                            <a:off x="6123" y="2599"/>
                            <a:ext cx="283" cy="1361"/>
                          </a:xfrm>
                          <a:prstGeom prst="upDownArrow">
                            <a:avLst>
                              <a:gd name="adj1" fmla="val 50000"/>
                              <a:gd name="adj2" fmla="val 96184"/>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wps:wsp>
                        <wps:cNvPr id="735" name="Rectangle 1571"/>
                        <wps:cNvSpPr>
                          <a:spLocks noChangeArrowheads="1"/>
                        </wps:cNvSpPr>
                        <wps:spPr bwMode="auto">
                          <a:xfrm>
                            <a:off x="4731" y="1717"/>
                            <a:ext cx="3005" cy="850"/>
                          </a:xfrm>
                          <a:prstGeom prst="rect">
                            <a:avLst/>
                          </a:prstGeom>
                          <a:solidFill>
                            <a:srgbClr val="FFFFFF"/>
                          </a:solidFill>
                          <a:ln w="9525">
                            <a:solidFill>
                              <a:srgbClr val="000000"/>
                            </a:solidFill>
                            <a:miter lim="800000"/>
                            <a:headEnd/>
                            <a:tailEnd/>
                          </a:ln>
                        </wps:spPr>
                        <wps:txbx>
                          <w:txbxContent>
                            <w:p w14:paraId="52C6F3C5" w14:textId="77777777" w:rsidR="009C2D83" w:rsidRPr="00AC3A2C" w:rsidRDefault="009C2D83" w:rsidP="00E7508E">
                              <w:pPr>
                                <w:spacing w:line="240" w:lineRule="auto"/>
                                <w:jc w:val="center"/>
                                <w:rPr>
                                  <w:rFonts w:ascii="Times New Roman" w:hAnsi="Times New Roman" w:cs="Times New Roman"/>
                                  <w:b/>
                                  <w:bCs/>
                                  <w:i/>
                                  <w:iCs/>
                                  <w:sz w:val="24"/>
                                  <w:szCs w:val="24"/>
                                </w:rPr>
                              </w:pPr>
                              <w:r w:rsidRPr="00AC3A2C">
                                <w:rPr>
                                  <w:rFonts w:ascii="Times New Roman" w:hAnsi="Times New Roman" w:cs="Times New Roman"/>
                                  <w:b/>
                                  <w:bCs/>
                                  <w:i/>
                                  <w:iCs/>
                                  <w:sz w:val="24"/>
                                  <w:szCs w:val="24"/>
                                </w:rPr>
                                <w:t>Mourabaha CT</w:t>
                              </w:r>
                            </w:p>
                            <w:p w14:paraId="3582A9B4" w14:textId="77777777" w:rsidR="009C2D83" w:rsidRPr="00AC3A2C" w:rsidRDefault="009C2D83" w:rsidP="00E7508E">
                              <w:pPr>
                                <w:spacing w:line="240" w:lineRule="auto"/>
                                <w:jc w:val="center"/>
                                <w:rPr>
                                  <w:rFonts w:ascii="Times New Roman" w:hAnsi="Times New Roman" w:cs="Times New Roman"/>
                                  <w:i/>
                                  <w:iCs/>
                                  <w:sz w:val="20"/>
                                  <w:szCs w:val="20"/>
                                </w:rPr>
                              </w:pPr>
                              <w:r w:rsidRPr="00AC3A2C">
                                <w:rPr>
                                  <w:rFonts w:ascii="Times New Roman" w:hAnsi="Times New Roman" w:cs="Times New Roman"/>
                                  <w:i/>
                                  <w:iCs/>
                                  <w:sz w:val="20"/>
                                  <w:szCs w:val="20"/>
                                </w:rPr>
                                <w:t>Renouvelable sur une marchandise</w:t>
                              </w:r>
                            </w:p>
                          </w:txbxContent>
                        </wps:txbx>
                        <wps:bodyPr rot="0" vert="horz" wrap="square" lIns="54000" tIns="45720" rIns="54000" bIns="45720" anchor="ctr" anchorCtr="0" upright="1">
                          <a:noAutofit/>
                        </wps:bodyPr>
                      </wps:wsp>
                      <wps:wsp>
                        <wps:cNvPr id="143942816" name="Rectangle 1573"/>
                        <wps:cNvSpPr>
                          <a:spLocks noChangeArrowheads="1"/>
                        </wps:cNvSpPr>
                        <wps:spPr bwMode="auto">
                          <a:xfrm>
                            <a:off x="4734" y="3887"/>
                            <a:ext cx="3005" cy="850"/>
                          </a:xfrm>
                          <a:prstGeom prst="rect">
                            <a:avLst/>
                          </a:prstGeom>
                          <a:solidFill>
                            <a:srgbClr val="FFFFFF"/>
                          </a:solidFill>
                          <a:ln w="9525">
                            <a:solidFill>
                              <a:srgbClr val="000000"/>
                            </a:solidFill>
                            <a:miter lim="800000"/>
                            <a:headEnd/>
                            <a:tailEnd/>
                          </a:ln>
                        </wps:spPr>
                        <wps:txbx>
                          <w:txbxContent>
                            <w:p w14:paraId="71F62FB7" w14:textId="77777777" w:rsidR="009C2D83" w:rsidRPr="00AC3A2C" w:rsidRDefault="009C2D83" w:rsidP="00E7508E">
                              <w:pPr>
                                <w:spacing w:line="240" w:lineRule="auto"/>
                                <w:jc w:val="center"/>
                                <w:rPr>
                                  <w:rFonts w:asciiTheme="majorBidi" w:hAnsiTheme="majorBidi" w:cstheme="majorBidi"/>
                                  <w:sz w:val="24"/>
                                  <w:szCs w:val="24"/>
                                </w:rPr>
                              </w:pPr>
                              <w:r w:rsidRPr="00AC3A2C">
                                <w:rPr>
                                  <w:rFonts w:asciiTheme="majorBidi" w:hAnsiTheme="majorBidi" w:cstheme="majorBidi"/>
                                  <w:sz w:val="24"/>
                                  <w:szCs w:val="24"/>
                                </w:rPr>
                                <w:t>Mourabaha LT</w:t>
                              </w:r>
                            </w:p>
                            <w:p w14:paraId="0C9184A2" w14:textId="77777777" w:rsidR="009C2D83" w:rsidRPr="00AC3A2C" w:rsidRDefault="009C2D83" w:rsidP="008D4BEF">
                              <w:pPr>
                                <w:spacing w:line="240" w:lineRule="auto"/>
                                <w:jc w:val="center"/>
                                <w:rPr>
                                  <w:rFonts w:asciiTheme="majorBidi" w:hAnsiTheme="majorBidi" w:cstheme="majorBidi"/>
                                  <w:sz w:val="20"/>
                                  <w:szCs w:val="20"/>
                                </w:rPr>
                              </w:pPr>
                              <w:r w:rsidRPr="00AC3A2C">
                                <w:rPr>
                                  <w:rFonts w:asciiTheme="majorBidi" w:hAnsiTheme="majorBidi" w:cstheme="majorBidi"/>
                                  <w:sz w:val="20"/>
                                  <w:szCs w:val="20"/>
                                </w:rPr>
                                <w:t>Même nature</w:t>
                              </w:r>
                            </w:p>
                          </w:txbxContent>
                        </wps:txbx>
                        <wps:bodyPr rot="0" vert="horz" wrap="square" lIns="54000" tIns="45720" rIns="54000" bIns="45720" anchor="ctr" anchorCtr="0" upright="1">
                          <a:noAutofit/>
                        </wps:bodyPr>
                      </wps:wsp>
                      <wps:wsp>
                        <wps:cNvPr id="143942817" name="Text Box 1753"/>
                        <wps:cNvSpPr txBox="1">
                          <a:spLocks noChangeArrowheads="1"/>
                        </wps:cNvSpPr>
                        <wps:spPr bwMode="auto">
                          <a:xfrm>
                            <a:off x="3828" y="2981"/>
                            <a:ext cx="4819"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823AD" w14:textId="4555C94F" w:rsidR="009C2D83" w:rsidRPr="008D4BEF" w:rsidRDefault="009C2D83" w:rsidP="008D4BEF">
                              <w:pPr>
                                <w:tabs>
                                  <w:tab w:val="left" w:pos="0"/>
                                  <w:tab w:val="left" w:pos="4425"/>
                                </w:tabs>
                                <w:autoSpaceDE w:val="0"/>
                                <w:autoSpaceDN w:val="0"/>
                                <w:adjustRightInd w:val="0"/>
                                <w:spacing w:line="240" w:lineRule="auto"/>
                                <w:jc w:val="center"/>
                                <w:rPr>
                                  <w:sz w:val="24"/>
                                  <w:szCs w:val="24"/>
                                </w:rPr>
                              </w:pPr>
                              <w:r w:rsidRPr="008D4BEF">
                                <w:rPr>
                                  <w:rFonts w:ascii="Times New Roman" w:hAnsi="Times New Roman" w:cs="Times New Roman"/>
                                  <w:sz w:val="24"/>
                                  <w:szCs w:val="24"/>
                                </w:rPr>
                                <w:t>Echange : mode d’arbitrage comptant/à terme</w:t>
                              </w:r>
                            </w:p>
                          </w:txbxContent>
                        </wps:txbx>
                        <wps:bodyPr rot="0" vert="horz" wrap="square" lIns="18000" tIns="10800" rIns="18000" bIns="1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BBD89" id="Group 1758" o:spid="_x0000_s1087" style="position:absolute;left:0;text-align:left;margin-left:0;margin-top:7.7pt;width:240.95pt;height:151pt;z-index:251822080;mso-position-horizontal:center;mso-position-horizontal-relative:margin" coordorigin="3828,1717" coordsize="4819,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756" o:spid="_x0000_s1088" type="#_x0000_t70" style="position:absolute;left:6123;top:2599;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" fillcolor="#5b9bd5 [3204]" strokecolor="#f2f2f2 [3041]" strokeweight="3pt">
                  <v:shadow on="t" color="#1f4d78 [1604]" opacity=".5" offset="1pt"/>
                  <v:textbox style="layout-flow:vertical-ideographic"/>
                </v:shape>
                <v:rect id="Rectangle 1571" o:spid="_x0000_s1089" style="position:absolute;left:4731;top:1717;width:3005;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">
                  <v:textbox inset="1.5mm,,1.5mm">
                    <w:txbxContent>
                      <w:p w14:paraId="52C6F3C5" w14:textId="77777777" w:rsidR="009C2D83" w:rsidRPr="00AC3A2C" w:rsidRDefault="009C2D83" w:rsidP="00E7508E">
                        <w:pPr>
                          <w:spacing w:line="240" w:lineRule="auto"/>
                          <w:jc w:val="center"/>
                          <w:rPr>
                            <w:rFonts w:ascii="Times New Roman" w:hAnsi="Times New Roman" w:cs="Times New Roman"/>
                            <w:b/>
                            <w:bCs/>
                            <w:i/>
                            <w:iCs/>
                            <w:sz w:val="24"/>
                            <w:szCs w:val="24"/>
                          </w:rPr>
                        </w:pPr>
                        <w:r w:rsidRPr="00AC3A2C">
                          <w:rPr>
                            <w:rFonts w:ascii="Times New Roman" w:hAnsi="Times New Roman" w:cs="Times New Roman"/>
                            <w:b/>
                            <w:bCs/>
                            <w:i/>
                            <w:iCs/>
                            <w:sz w:val="24"/>
                            <w:szCs w:val="24"/>
                          </w:rPr>
                          <w:t>Mourabaha CT</w:t>
                        </w:r>
                      </w:p>
                      <w:p w14:paraId="3582A9B4" w14:textId="77777777" w:rsidR="009C2D83" w:rsidRPr="00AC3A2C" w:rsidRDefault="009C2D83" w:rsidP="00E7508E">
                        <w:pPr>
                          <w:spacing w:line="240" w:lineRule="auto"/>
                          <w:jc w:val="center"/>
                          <w:rPr>
                            <w:rFonts w:ascii="Times New Roman" w:hAnsi="Times New Roman" w:cs="Times New Roman"/>
                            <w:i/>
                            <w:iCs/>
                            <w:sz w:val="20"/>
                            <w:szCs w:val="20"/>
                          </w:rPr>
                        </w:pPr>
                        <w:r w:rsidRPr="00AC3A2C">
                          <w:rPr>
                            <w:rFonts w:ascii="Times New Roman" w:hAnsi="Times New Roman" w:cs="Times New Roman"/>
                            <w:i/>
                            <w:iCs/>
                            <w:sz w:val="20"/>
                            <w:szCs w:val="20"/>
                          </w:rPr>
                          <w:t>Renouvelable sur une marchandise</w:t>
                        </w:r>
                      </w:p>
                    </w:txbxContent>
                  </v:textbox>
                </v:rect>
                <v:rect id="Rectangle 1573" o:spid="_x0000_s1090" style="position:absolute;left:4734;top:3887;width:3005;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">
                  <v:textbox inset="1.5mm,,1.5mm">
                    <w:txbxContent>
                      <w:p w14:paraId="71F62FB7" w14:textId="77777777" w:rsidR="009C2D83" w:rsidRPr="00AC3A2C" w:rsidRDefault="009C2D83" w:rsidP="00E7508E">
                        <w:pPr>
                          <w:spacing w:line="240" w:lineRule="auto"/>
                          <w:jc w:val="center"/>
                          <w:rPr>
                            <w:rFonts w:asciiTheme="majorBidi" w:hAnsiTheme="majorBidi" w:cstheme="majorBidi"/>
                            <w:sz w:val="24"/>
                            <w:szCs w:val="24"/>
                          </w:rPr>
                        </w:pPr>
                        <w:r w:rsidRPr="00AC3A2C">
                          <w:rPr>
                            <w:rFonts w:asciiTheme="majorBidi" w:hAnsiTheme="majorBidi" w:cstheme="majorBidi"/>
                            <w:sz w:val="24"/>
                            <w:szCs w:val="24"/>
                          </w:rPr>
                          <w:t>Mourabaha LT</w:t>
                        </w:r>
                      </w:p>
                      <w:p w14:paraId="0C9184A2" w14:textId="77777777" w:rsidR="009C2D83" w:rsidRPr="00AC3A2C" w:rsidRDefault="009C2D83" w:rsidP="008D4BEF">
                        <w:pPr>
                          <w:spacing w:line="240" w:lineRule="auto"/>
                          <w:jc w:val="center"/>
                          <w:rPr>
                            <w:rFonts w:asciiTheme="majorBidi" w:hAnsiTheme="majorBidi" w:cstheme="majorBidi"/>
                            <w:sz w:val="20"/>
                            <w:szCs w:val="20"/>
                          </w:rPr>
                        </w:pPr>
                        <w:r w:rsidRPr="00AC3A2C">
                          <w:rPr>
                            <w:rFonts w:asciiTheme="majorBidi" w:hAnsiTheme="majorBidi" w:cstheme="majorBidi"/>
                            <w:sz w:val="20"/>
                            <w:szCs w:val="20"/>
                          </w:rPr>
                          <w:t>Même nature</w:t>
                        </w:r>
                      </w:p>
                    </w:txbxContent>
                  </v:textbox>
                </v:rect>
                <v:shape id="Text Box 1753" o:spid="_x0000_s1091" type="#_x0000_t202" style="position:absolute;left:3828;top:2981;width:4819;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" stroked="f">
                  <v:textbox inset=".5mm,.3mm,.5mm,.3mm">
                    <w:txbxContent>
                      <w:p w14:paraId="110823AD" w14:textId="4555C94F" w:rsidR="009C2D83" w:rsidRPr="008D4BEF" w:rsidRDefault="009C2D83" w:rsidP="008D4BEF">
                        <w:pPr>
                          <w:tabs>
                            <w:tab w:val="left" w:pos="0"/>
                            <w:tab w:val="left" w:pos="4425"/>
                          </w:tabs>
                          <w:autoSpaceDE w:val="0"/>
                          <w:autoSpaceDN w:val="0"/>
                          <w:adjustRightInd w:val="0"/>
                          <w:spacing w:line="240" w:lineRule="auto"/>
                          <w:jc w:val="center"/>
                          <w:rPr>
                            <w:sz w:val="24"/>
                            <w:szCs w:val="24"/>
                          </w:rPr>
                        </w:pPr>
                        <w:r w:rsidRPr="008D4BEF">
                          <w:rPr>
                            <w:rFonts w:ascii="Times New Roman" w:hAnsi="Times New Roman" w:cs="Times New Roman"/>
                            <w:sz w:val="24"/>
                            <w:szCs w:val="24"/>
                          </w:rPr>
                          <w:t>Echange : mode d’arbitrage comptant/à terme</w:t>
                        </w:r>
                      </w:p>
                    </w:txbxContent>
                  </v:textbox>
                </v:shape>
                <w10:wrap anchorx="margin"/>
              </v:group>
            </w:pict>
          </mc:Fallback>
        </mc:AlternateContent>
      </w:r>
    </w:p>
    <w:p w14:paraId="2E34FA73" w14:textId="77777777" w:rsidR="008D4BEF" w:rsidRDefault="008D4BEF" w:rsidP="008D4BEF">
      <w:pPr>
        <w:keepNext/>
        <w:tabs>
          <w:tab w:val="left" w:pos="0"/>
        </w:tabs>
        <w:autoSpaceDE w:val="0"/>
        <w:autoSpaceDN w:val="0"/>
        <w:adjustRightInd w:val="0"/>
        <w:spacing w:before="120" w:line="300" w:lineRule="auto"/>
        <w:jc w:val="center"/>
        <w:rPr>
          <w:rFonts w:ascii="Times New Roman" w:hAnsi="Times New Roman" w:cs="Times New Roman"/>
          <w:sz w:val="24"/>
          <w:szCs w:val="24"/>
        </w:rPr>
      </w:pPr>
    </w:p>
    <w:p w14:paraId="74F9C9B2" w14:textId="2744A9AE" w:rsidR="00E7508E" w:rsidRPr="008D4BEF" w:rsidRDefault="00E7508E" w:rsidP="008D4BEF">
      <w:pPr>
        <w:keepNext/>
        <w:tabs>
          <w:tab w:val="left" w:pos="0"/>
        </w:tabs>
        <w:autoSpaceDE w:val="0"/>
        <w:autoSpaceDN w:val="0"/>
        <w:adjustRightInd w:val="0"/>
        <w:spacing w:before="120" w:after="120" w:line="300" w:lineRule="auto"/>
        <w:jc w:val="center"/>
        <w:rPr>
          <w:rFonts w:ascii="Times New Roman" w:hAnsi="Times New Roman" w:cs="Times New Roman"/>
          <w:sz w:val="24"/>
          <w:szCs w:val="24"/>
        </w:rPr>
      </w:pPr>
    </w:p>
    <w:p w14:paraId="2DBBB251" w14:textId="7DCC9790" w:rsidR="00E7508E" w:rsidRDefault="00E7508E" w:rsidP="008D4BEF">
      <w:pPr>
        <w:keepNext/>
        <w:tabs>
          <w:tab w:val="left" w:pos="0"/>
        </w:tabs>
        <w:autoSpaceDE w:val="0"/>
        <w:autoSpaceDN w:val="0"/>
        <w:adjustRightInd w:val="0"/>
        <w:spacing w:before="120" w:line="300" w:lineRule="auto"/>
        <w:jc w:val="center"/>
        <w:rPr>
          <w:rFonts w:ascii="Times New Roman" w:hAnsi="Times New Roman" w:cs="Times New Roman"/>
          <w:sz w:val="24"/>
          <w:szCs w:val="24"/>
        </w:rPr>
      </w:pPr>
    </w:p>
    <w:p w14:paraId="7A1B84AA" w14:textId="6D63573F" w:rsidR="008D4BEF" w:rsidRPr="008D4BEF" w:rsidRDefault="008D4BEF" w:rsidP="008D4BEF">
      <w:pPr>
        <w:keepNext/>
        <w:tabs>
          <w:tab w:val="left" w:pos="0"/>
        </w:tabs>
        <w:autoSpaceDE w:val="0"/>
        <w:autoSpaceDN w:val="0"/>
        <w:adjustRightInd w:val="0"/>
        <w:spacing w:before="120" w:line="300" w:lineRule="auto"/>
        <w:jc w:val="center"/>
        <w:rPr>
          <w:rFonts w:ascii="Times New Roman" w:hAnsi="Times New Roman" w:cs="Times New Roman"/>
          <w:sz w:val="24"/>
          <w:szCs w:val="24"/>
        </w:rPr>
      </w:pPr>
    </w:p>
    <w:p w14:paraId="34E49296" w14:textId="77AC479F" w:rsidR="008D4BEF" w:rsidRPr="008D4BEF" w:rsidRDefault="008D4BEF" w:rsidP="008D4BEF">
      <w:pPr>
        <w:keepNext/>
        <w:tabs>
          <w:tab w:val="left" w:pos="0"/>
        </w:tabs>
        <w:autoSpaceDE w:val="0"/>
        <w:autoSpaceDN w:val="0"/>
        <w:adjustRightInd w:val="0"/>
        <w:spacing w:before="120" w:line="300" w:lineRule="auto"/>
        <w:jc w:val="center"/>
        <w:rPr>
          <w:rFonts w:ascii="Times New Roman" w:hAnsi="Times New Roman" w:cs="Times New Roman"/>
          <w:sz w:val="24"/>
          <w:szCs w:val="24"/>
        </w:rPr>
      </w:pPr>
    </w:p>
    <w:p w14:paraId="7942EF56" w14:textId="384D885F" w:rsidR="008D4BEF" w:rsidRDefault="008D4BEF" w:rsidP="008D4BEF">
      <w:pPr>
        <w:keepNext/>
        <w:tabs>
          <w:tab w:val="left" w:pos="0"/>
        </w:tabs>
        <w:autoSpaceDE w:val="0"/>
        <w:autoSpaceDN w:val="0"/>
        <w:adjustRightInd w:val="0"/>
        <w:spacing w:line="240" w:lineRule="auto"/>
        <w:jc w:val="center"/>
        <w:rPr>
          <w:rFonts w:ascii="Times New Roman" w:hAnsi="Times New Roman" w:cs="Times New Roman"/>
          <w:kern w:val="20"/>
          <w:sz w:val="20"/>
          <w:szCs w:val="20"/>
        </w:rPr>
      </w:pPr>
    </w:p>
    <w:p w14:paraId="39862433" w14:textId="7ED3ED38" w:rsidR="008D4BEF" w:rsidRDefault="008D4BEF" w:rsidP="008D4BEF">
      <w:pPr>
        <w:keepNext/>
        <w:tabs>
          <w:tab w:val="left" w:pos="0"/>
        </w:tabs>
        <w:autoSpaceDE w:val="0"/>
        <w:autoSpaceDN w:val="0"/>
        <w:adjustRightInd w:val="0"/>
        <w:spacing w:line="240" w:lineRule="auto"/>
        <w:jc w:val="center"/>
        <w:rPr>
          <w:rFonts w:ascii="Times New Roman" w:hAnsi="Times New Roman" w:cs="Times New Roman"/>
          <w:kern w:val="20"/>
          <w:sz w:val="20"/>
          <w:szCs w:val="20"/>
        </w:rPr>
      </w:pPr>
    </w:p>
    <w:p w14:paraId="14B4A29F" w14:textId="55EBF9EF" w:rsidR="00E7508E" w:rsidRPr="008D4BEF" w:rsidRDefault="00E7508E" w:rsidP="008D4BEF">
      <w:pPr>
        <w:keepNext/>
        <w:tabs>
          <w:tab w:val="left" w:pos="0"/>
        </w:tabs>
        <w:autoSpaceDE w:val="0"/>
        <w:autoSpaceDN w:val="0"/>
        <w:adjustRightInd w:val="0"/>
        <w:spacing w:before="120" w:line="240" w:lineRule="auto"/>
        <w:jc w:val="center"/>
        <w:rPr>
          <w:rFonts w:ascii="Times New Roman" w:hAnsi="Times New Roman" w:cs="Times New Roman"/>
          <w:kern w:val="20"/>
          <w:sz w:val="20"/>
          <w:szCs w:val="20"/>
        </w:rPr>
      </w:pPr>
      <w:r w:rsidRPr="008D4BEF">
        <w:rPr>
          <w:rFonts w:ascii="Times New Roman" w:hAnsi="Times New Roman" w:cs="Times New Roman"/>
          <w:kern w:val="20"/>
          <w:sz w:val="20"/>
          <w:szCs w:val="20"/>
        </w:rPr>
        <w:t xml:space="preserve">Source : </w:t>
      </w:r>
      <w:r w:rsidRPr="008D4BEF">
        <w:rPr>
          <w:rFonts w:ascii="Times New Roman" w:hAnsi="Times New Roman" w:cs="Times New Roman"/>
          <w:smallCaps/>
          <w:kern w:val="20"/>
          <w:sz w:val="20"/>
          <w:szCs w:val="20"/>
        </w:rPr>
        <w:t>Taleb</w:t>
      </w:r>
      <w:r w:rsidRPr="008D4BEF">
        <w:rPr>
          <w:rFonts w:ascii="Times New Roman" w:hAnsi="Times New Roman" w:cs="Times New Roman"/>
          <w:kern w:val="20"/>
          <w:sz w:val="20"/>
          <w:szCs w:val="20"/>
        </w:rPr>
        <w:t xml:space="preserve"> (2015), p. 14.</w:t>
      </w:r>
    </w:p>
    <w:p w14:paraId="11C4BA51" w14:textId="6924FC73" w:rsidR="008D4BEF" w:rsidRDefault="008D4BEF" w:rsidP="008D4BEF">
      <w:pPr>
        <w:tabs>
          <w:tab w:val="left" w:pos="0"/>
        </w:tabs>
        <w:autoSpaceDE w:val="0"/>
        <w:autoSpaceDN w:val="0"/>
        <w:adjustRightInd w:val="0"/>
        <w:spacing w:after="120" w:line="300" w:lineRule="auto"/>
        <w:jc w:val="center"/>
        <w:rPr>
          <w:rFonts w:asciiTheme="majorBidi" w:hAnsiTheme="majorBidi" w:cstheme="majorBidi"/>
          <w:sz w:val="24"/>
          <w:szCs w:val="24"/>
        </w:rPr>
      </w:pPr>
    </w:p>
    <w:p w14:paraId="70CF7564" w14:textId="77777777" w:rsidR="002760B2" w:rsidRPr="002B005F" w:rsidRDefault="008E19DA" w:rsidP="008D4BEF">
      <w:pPr>
        <w:pStyle w:val="Titre4"/>
        <w:keepNext w:val="0"/>
        <w:spacing w:before="0" w:after="120" w:line="300" w:lineRule="auto"/>
        <w:ind w:firstLine="709"/>
      </w:pPr>
      <w:bookmarkStart w:id="443" w:name="_Toc33263248"/>
      <w:bookmarkStart w:id="444" w:name="_Toc37664500"/>
      <w:bookmarkStart w:id="445" w:name="_Toc37666345"/>
      <w:bookmarkStart w:id="446" w:name="_Toc54363234"/>
      <w:bookmarkStart w:id="447" w:name="_Toc58606250"/>
      <w:bookmarkStart w:id="448" w:name="_Toc61263455"/>
      <w:bookmarkStart w:id="449" w:name="_Toc182298677"/>
      <w:r w:rsidRPr="002B005F">
        <w:t>2.</w:t>
      </w:r>
      <w:r w:rsidR="00364992">
        <w:t>5</w:t>
      </w:r>
      <w:r w:rsidRPr="002B005F">
        <w:t>.</w:t>
      </w:r>
      <w:r w:rsidR="0028400A" w:rsidRPr="002B005F">
        <w:t>3</w:t>
      </w:r>
      <w:r w:rsidRPr="002B005F">
        <w:t xml:space="preserve">- </w:t>
      </w:r>
      <w:r w:rsidR="00920496" w:rsidRPr="002B005F">
        <w:t>P</w:t>
      </w:r>
      <w:r w:rsidR="002760B2" w:rsidRPr="002B005F">
        <w:t>roduits financiers à terme</w:t>
      </w:r>
      <w:bookmarkEnd w:id="443"/>
      <w:bookmarkEnd w:id="444"/>
      <w:bookmarkEnd w:id="445"/>
      <w:bookmarkEnd w:id="446"/>
      <w:bookmarkEnd w:id="447"/>
      <w:bookmarkEnd w:id="448"/>
      <w:bookmarkEnd w:id="449"/>
    </w:p>
    <w:p w14:paraId="61D7700B" w14:textId="77777777" w:rsidR="002E77EB" w:rsidRPr="002B005F" w:rsidRDefault="002760B2" w:rsidP="008D4BEF">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Il y a une divergence entre les </w:t>
      </w:r>
      <w:r w:rsidRPr="00D83FB0">
        <w:rPr>
          <w:rFonts w:ascii="Times New Roman" w:hAnsi="Times New Roman" w:cs="Times New Roman"/>
          <w:i/>
          <w:sz w:val="24"/>
          <w:szCs w:val="24"/>
        </w:rPr>
        <w:t>scholars</w:t>
      </w:r>
      <w:r w:rsidRPr="002B005F">
        <w:rPr>
          <w:rFonts w:ascii="Times New Roman" w:hAnsi="Times New Roman" w:cs="Times New Roman"/>
          <w:sz w:val="24"/>
          <w:szCs w:val="24"/>
        </w:rPr>
        <w:t xml:space="preserve"> </w:t>
      </w:r>
      <w:r w:rsidR="007638E2"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quant à la prohibitio</w:t>
      </w:r>
      <w:r w:rsidR="00125B50" w:rsidRPr="002B005F">
        <w:rPr>
          <w:rFonts w:ascii="Times New Roman" w:hAnsi="Times New Roman" w:cs="Times New Roman"/>
          <w:sz w:val="24"/>
          <w:szCs w:val="24"/>
        </w:rPr>
        <w:t>n ou pas des produits à terme (</w:t>
      </w:r>
      <w:r w:rsidR="00125B50" w:rsidRPr="002B005F">
        <w:rPr>
          <w:rFonts w:ascii="Times New Roman" w:hAnsi="Times New Roman" w:cs="Times New Roman"/>
          <w:i/>
          <w:iCs/>
          <w:sz w:val="24"/>
          <w:szCs w:val="24"/>
        </w:rPr>
        <w:t>f</w:t>
      </w:r>
      <w:r w:rsidRPr="002B005F">
        <w:rPr>
          <w:rFonts w:ascii="Times New Roman" w:hAnsi="Times New Roman" w:cs="Times New Roman"/>
          <w:i/>
          <w:iCs/>
          <w:sz w:val="24"/>
          <w:szCs w:val="24"/>
        </w:rPr>
        <w:t>utures</w:t>
      </w:r>
      <w:r w:rsidRPr="002B005F">
        <w:rPr>
          <w:rFonts w:ascii="Times New Roman" w:hAnsi="Times New Roman" w:cs="Times New Roman"/>
          <w:sz w:val="24"/>
          <w:szCs w:val="24"/>
        </w:rPr>
        <w:t xml:space="preserve"> et </w:t>
      </w:r>
      <w:r w:rsidRPr="002B005F">
        <w:rPr>
          <w:rFonts w:ascii="Times New Roman" w:hAnsi="Times New Roman" w:cs="Times New Roman"/>
          <w:i/>
          <w:iCs/>
          <w:sz w:val="24"/>
          <w:szCs w:val="24"/>
        </w:rPr>
        <w:t>forwards</w:t>
      </w:r>
      <w:r w:rsidR="002E77EB" w:rsidRPr="002B005F">
        <w:rPr>
          <w:rFonts w:ascii="Times New Roman" w:hAnsi="Times New Roman" w:cs="Times New Roman"/>
          <w:sz w:val="24"/>
          <w:szCs w:val="24"/>
        </w:rPr>
        <w:t>).</w:t>
      </w:r>
    </w:p>
    <w:p w14:paraId="20F2336F" w14:textId="77777777" w:rsidR="002E77EB" w:rsidRPr="00C51467" w:rsidRDefault="002E77EB" w:rsidP="008D4BEF">
      <w:pPr>
        <w:pStyle w:val="Titre5"/>
        <w:keepNext w:val="0"/>
        <w:keepLines w:val="0"/>
        <w:spacing w:before="120" w:after="120" w:line="300" w:lineRule="auto"/>
        <w:ind w:firstLine="709"/>
        <w:rPr>
          <w:rFonts w:asciiTheme="majorBidi" w:hAnsiTheme="majorBidi"/>
          <w:b/>
          <w:bCs/>
          <w:color w:val="auto"/>
          <w:sz w:val="24"/>
          <w:szCs w:val="24"/>
        </w:rPr>
      </w:pPr>
      <w:bookmarkStart w:id="450" w:name="_Toc182298678"/>
      <w:r w:rsidRPr="00C51467">
        <w:rPr>
          <w:rFonts w:asciiTheme="majorBidi" w:hAnsiTheme="majorBidi"/>
          <w:b/>
          <w:bCs/>
          <w:color w:val="auto"/>
          <w:sz w:val="24"/>
          <w:szCs w:val="24"/>
        </w:rPr>
        <w:t>2</w:t>
      </w:r>
      <w:r w:rsidR="00364992" w:rsidRPr="00C51467">
        <w:rPr>
          <w:rFonts w:asciiTheme="majorBidi" w:hAnsiTheme="majorBidi"/>
          <w:b/>
          <w:bCs/>
          <w:color w:val="auto"/>
          <w:sz w:val="24"/>
          <w:szCs w:val="24"/>
        </w:rPr>
        <w:t>.5</w:t>
      </w:r>
      <w:r w:rsidRPr="00C51467">
        <w:rPr>
          <w:rFonts w:asciiTheme="majorBidi" w:hAnsiTheme="majorBidi"/>
          <w:b/>
          <w:bCs/>
          <w:color w:val="auto"/>
          <w:sz w:val="24"/>
          <w:szCs w:val="24"/>
        </w:rPr>
        <w:t>.</w:t>
      </w:r>
      <w:r w:rsidR="0028400A" w:rsidRPr="00C51467">
        <w:rPr>
          <w:rFonts w:asciiTheme="majorBidi" w:hAnsiTheme="majorBidi"/>
          <w:b/>
          <w:bCs/>
          <w:color w:val="auto"/>
          <w:sz w:val="24"/>
          <w:szCs w:val="24"/>
        </w:rPr>
        <w:t>3</w:t>
      </w:r>
      <w:r w:rsidRPr="00C51467">
        <w:rPr>
          <w:rFonts w:asciiTheme="majorBidi" w:hAnsiTheme="majorBidi"/>
          <w:b/>
          <w:bCs/>
          <w:color w:val="auto"/>
          <w:sz w:val="24"/>
          <w:szCs w:val="24"/>
        </w:rPr>
        <w:t xml:space="preserve">.1- </w:t>
      </w:r>
      <w:r w:rsidRPr="00C51467">
        <w:rPr>
          <w:rFonts w:asciiTheme="majorBidi" w:hAnsiTheme="majorBidi"/>
          <w:b/>
          <w:bCs/>
          <w:i/>
          <w:iCs/>
          <w:color w:val="auto"/>
          <w:sz w:val="24"/>
          <w:szCs w:val="24"/>
        </w:rPr>
        <w:t>Futures</w:t>
      </w:r>
      <w:bookmarkEnd w:id="450"/>
    </w:p>
    <w:p w14:paraId="06ABF036" w14:textId="77777777" w:rsidR="002760B2" w:rsidRPr="002B005F" w:rsidRDefault="002760B2" w:rsidP="008D4BEF">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Pour les</w:t>
      </w:r>
      <w:r w:rsidR="007638E2" w:rsidRPr="002B005F">
        <w:rPr>
          <w:rFonts w:ascii="Times New Roman" w:hAnsi="Times New Roman" w:cs="Times New Roman"/>
          <w:b/>
          <w:bCs/>
          <w:i/>
          <w:iCs/>
          <w:sz w:val="24"/>
          <w:szCs w:val="24"/>
        </w:rPr>
        <w:t xml:space="preserve"> f</w:t>
      </w:r>
      <w:r w:rsidRPr="002B005F">
        <w:rPr>
          <w:rFonts w:ascii="Times New Roman" w:hAnsi="Times New Roman" w:cs="Times New Roman"/>
          <w:b/>
          <w:bCs/>
          <w:i/>
          <w:iCs/>
          <w:sz w:val="24"/>
          <w:szCs w:val="24"/>
        </w:rPr>
        <w:t>utures</w:t>
      </w:r>
      <w:r w:rsidR="00AB58AA" w:rsidRPr="002B005F">
        <w:rPr>
          <w:rFonts w:ascii="Times New Roman" w:hAnsi="Times New Roman" w:cs="Times New Roman"/>
          <w:sz w:val="24"/>
          <w:szCs w:val="24"/>
        </w:rPr>
        <w:t>,</w:t>
      </w:r>
      <w:r w:rsidRPr="002B005F">
        <w:rPr>
          <w:rFonts w:ascii="Times New Roman" w:hAnsi="Times New Roman" w:cs="Times New Roman"/>
          <w:sz w:val="24"/>
          <w:szCs w:val="24"/>
        </w:rPr>
        <w:t xml:space="preserve"> </w:t>
      </w:r>
      <w:r w:rsidR="00AB58AA" w:rsidRPr="002B005F">
        <w:rPr>
          <w:rFonts w:ascii="Times New Roman" w:hAnsi="Times New Roman" w:cs="Times New Roman"/>
          <w:sz w:val="24"/>
          <w:szCs w:val="24"/>
        </w:rPr>
        <w:t xml:space="preserve">deux positions se sont dégagées de </w:t>
      </w:r>
      <w:r w:rsidRPr="002B005F">
        <w:rPr>
          <w:rFonts w:ascii="Times New Roman" w:hAnsi="Times New Roman" w:cs="Times New Roman"/>
          <w:sz w:val="24"/>
          <w:szCs w:val="24"/>
        </w:rPr>
        <w:t xml:space="preserve">l’Académie du </w:t>
      </w:r>
      <w:r w:rsidRPr="002B005F">
        <w:rPr>
          <w:rFonts w:ascii="Times New Roman" w:hAnsi="Times New Roman" w:cs="Times New Roman"/>
          <w:i/>
          <w:iCs/>
          <w:sz w:val="24"/>
          <w:szCs w:val="24"/>
        </w:rPr>
        <w:t>Fiqh</w:t>
      </w:r>
      <w:r w:rsidRPr="002B005F">
        <w:rPr>
          <w:rFonts w:ascii="Times New Roman" w:hAnsi="Times New Roman" w:cs="Times New Roman"/>
          <w:sz w:val="24"/>
          <w:szCs w:val="24"/>
        </w:rPr>
        <w:t xml:space="preserve"> de la Ligue </w:t>
      </w:r>
      <w:r w:rsidR="003773C6" w:rsidRPr="002B005F">
        <w:rPr>
          <w:rFonts w:ascii="Times New Roman" w:hAnsi="Times New Roman" w:cs="Times New Roman"/>
          <w:sz w:val="24"/>
          <w:szCs w:val="24"/>
        </w:rPr>
        <w:t>Islamique</w:t>
      </w:r>
      <w:r w:rsidRPr="002B005F">
        <w:rPr>
          <w:rFonts w:ascii="Times New Roman" w:hAnsi="Times New Roman" w:cs="Times New Roman"/>
          <w:sz w:val="24"/>
          <w:szCs w:val="24"/>
        </w:rPr>
        <w:t xml:space="preserve"> Mondiale</w:t>
      </w:r>
      <w:r w:rsidR="00E7409C" w:rsidRPr="002B005F">
        <w:rPr>
          <w:rStyle w:val="Appelnotedebasdep"/>
          <w:rFonts w:ascii="Times New Roman" w:hAnsi="Times New Roman"/>
          <w:sz w:val="24"/>
          <w:szCs w:val="24"/>
        </w:rPr>
        <w:footnoteReference w:id="150"/>
      </w:r>
      <w:r w:rsidR="00AB58AA" w:rsidRPr="002B005F">
        <w:rPr>
          <w:rFonts w:ascii="Times New Roman" w:hAnsi="Times New Roman" w:cs="Times New Roman"/>
          <w:sz w:val="24"/>
          <w:szCs w:val="24"/>
        </w:rPr>
        <w:t> :</w:t>
      </w:r>
    </w:p>
    <w:p w14:paraId="0D2AF4A7" w14:textId="103A99CB" w:rsidR="00E7409C" w:rsidRPr="002B005F" w:rsidRDefault="002760B2" w:rsidP="00CB0FF1">
      <w:pPr>
        <w:pStyle w:val="Paragraphedeliste"/>
        <w:numPr>
          <w:ilvl w:val="0"/>
          <w:numId w:val="86"/>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Selon la première position, il s’agit d’une vente fictive qui vise à </w:t>
      </w:r>
      <w:r w:rsidR="00E7409C" w:rsidRPr="002B005F">
        <w:rPr>
          <w:rFonts w:ascii="Times New Roman" w:hAnsi="Times New Roman" w:cs="Times New Roman"/>
          <w:sz w:val="24"/>
          <w:szCs w:val="24"/>
        </w:rPr>
        <w:t>gagner le différentiel des prix</w:t>
      </w:r>
      <w:r w:rsidRPr="002B005F">
        <w:rPr>
          <w:rFonts w:ascii="Times New Roman" w:hAnsi="Times New Roman" w:cs="Times New Roman"/>
          <w:sz w:val="24"/>
          <w:szCs w:val="24"/>
        </w:rPr>
        <w:t xml:space="preserve"> à travers la spéculation. Ces produits représentent</w:t>
      </w:r>
      <w:r w:rsidR="00B13A51" w:rsidRPr="002B005F">
        <w:rPr>
          <w:rFonts w:ascii="Times New Roman" w:hAnsi="Times New Roman" w:cs="Times New Roman"/>
          <w:sz w:val="24"/>
          <w:szCs w:val="24"/>
        </w:rPr>
        <w:t xml:space="preserve"> à peine 3% sur le marché ;</w:t>
      </w:r>
      <w:r w:rsidRPr="002B005F">
        <w:rPr>
          <w:rFonts w:ascii="Times New Roman" w:hAnsi="Times New Roman" w:cs="Times New Roman"/>
          <w:sz w:val="24"/>
          <w:szCs w:val="24"/>
        </w:rPr>
        <w:t xml:space="preserve"> ils ne correspondent pas à un besoin légitime méritant de cherch</w:t>
      </w:r>
      <w:r w:rsidR="00E7409C" w:rsidRPr="002B005F">
        <w:rPr>
          <w:rFonts w:ascii="Times New Roman" w:hAnsi="Times New Roman" w:cs="Times New Roman"/>
          <w:sz w:val="24"/>
          <w:szCs w:val="24"/>
        </w:rPr>
        <w:t xml:space="preserve">er des alternatives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E7409C" w:rsidRPr="002B005F">
        <w:rPr>
          <w:rFonts w:ascii="Times New Roman" w:hAnsi="Times New Roman" w:cs="Times New Roman"/>
          <w:sz w:val="24"/>
          <w:szCs w:val="24"/>
        </w:rPr>
        <w:t>s.</w:t>
      </w:r>
    </w:p>
    <w:p w14:paraId="43F86483" w14:textId="77777777" w:rsidR="002760B2" w:rsidRPr="002B005F" w:rsidRDefault="002760B2" w:rsidP="00CB0FF1">
      <w:pPr>
        <w:pStyle w:val="Paragraphedeliste"/>
        <w:numPr>
          <w:ilvl w:val="0"/>
          <w:numId w:val="86"/>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Quant à la deuxième position, elle ne traite pas la question d’une façon générale, mais avance une classification des différents types de transactions dont certaines peuvent être autor</w:t>
      </w:r>
      <w:r w:rsidR="00B13A51" w:rsidRPr="002B005F">
        <w:rPr>
          <w:rFonts w:ascii="Times New Roman" w:hAnsi="Times New Roman" w:cs="Times New Roman"/>
          <w:sz w:val="24"/>
          <w:szCs w:val="24"/>
        </w:rPr>
        <w:t>isées.</w:t>
      </w:r>
    </w:p>
    <w:p w14:paraId="2B34D81F" w14:textId="5F372395" w:rsidR="002760B2" w:rsidRPr="002B005F" w:rsidRDefault="002760B2" w:rsidP="008D4BEF">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535E77">
        <w:rPr>
          <w:rFonts w:ascii="Times New Roman" w:hAnsi="Times New Roman" w:cs="Times New Roman"/>
          <w:sz w:val="24"/>
          <w:szCs w:val="24"/>
        </w:rPr>
        <w:t>Un substitut est exigé par la nature même des relations commerciales actuelles et peut être conçu en tant que promesse et non en tant que contrat au sens plein du terme. Si</w:t>
      </w:r>
      <w:r w:rsidR="00D83FB0" w:rsidRPr="00535E77">
        <w:rPr>
          <w:rFonts w:ascii="Times New Roman" w:hAnsi="Times New Roman" w:cs="Times New Roman"/>
          <w:sz w:val="24"/>
          <w:szCs w:val="24"/>
        </w:rPr>
        <w:t>,</w:t>
      </w:r>
      <w:r w:rsidRPr="00535E77">
        <w:rPr>
          <w:rFonts w:ascii="Times New Roman" w:hAnsi="Times New Roman" w:cs="Times New Roman"/>
          <w:sz w:val="24"/>
          <w:szCs w:val="24"/>
        </w:rPr>
        <w:t xml:space="preserve"> à l’échéance de la promesse, l’acheteur désire effectuer l’achat alors la promesse devient</w:t>
      </w:r>
      <w:r w:rsidRPr="00124B9E">
        <w:rPr>
          <w:rFonts w:ascii="Times New Roman" w:hAnsi="Times New Roman" w:cs="Times New Roman"/>
          <w:sz w:val="24"/>
          <w:szCs w:val="24"/>
        </w:rPr>
        <w:t xml:space="preserve"> contraignante et la marchandise doit lui être livrée au prix convenu, sinon la promesse n’est pas contraignante et rien n’est versé en tan</w:t>
      </w:r>
      <w:r w:rsidR="001361E3" w:rsidRPr="00124B9E">
        <w:rPr>
          <w:rFonts w:ascii="Times New Roman" w:hAnsi="Times New Roman" w:cs="Times New Roman"/>
          <w:sz w:val="24"/>
          <w:szCs w:val="24"/>
        </w:rPr>
        <w:t>t que différence des prix. Mais</w:t>
      </w:r>
      <w:r w:rsidRPr="00124B9E">
        <w:rPr>
          <w:rFonts w:ascii="Times New Roman" w:hAnsi="Times New Roman" w:cs="Times New Roman"/>
          <w:sz w:val="24"/>
          <w:szCs w:val="24"/>
        </w:rPr>
        <w:t xml:space="preserve"> le</w:t>
      </w:r>
      <w:r w:rsidRPr="002B005F">
        <w:rPr>
          <w:rFonts w:ascii="Times New Roman" w:hAnsi="Times New Roman" w:cs="Times New Roman"/>
          <w:sz w:val="24"/>
          <w:szCs w:val="24"/>
        </w:rPr>
        <w:t xml:space="preserve"> montant initial versé lui sera resti</w:t>
      </w:r>
      <w:r w:rsidR="002E77EB" w:rsidRPr="002B005F">
        <w:rPr>
          <w:rFonts w:ascii="Times New Roman" w:hAnsi="Times New Roman" w:cs="Times New Roman"/>
          <w:sz w:val="24"/>
          <w:szCs w:val="24"/>
        </w:rPr>
        <w:t>tué sans aucune augmentation</w:t>
      </w:r>
      <w:r w:rsidRPr="002B005F">
        <w:rPr>
          <w:rFonts w:ascii="Times New Roman" w:hAnsi="Times New Roman" w:cs="Times New Roman"/>
          <w:sz w:val="24"/>
          <w:szCs w:val="24"/>
        </w:rPr>
        <w:t xml:space="preserve"> et</w:t>
      </w:r>
      <w:r w:rsidR="002E77EB" w:rsidRPr="002B005F">
        <w:rPr>
          <w:rFonts w:ascii="Times New Roman" w:hAnsi="Times New Roman" w:cs="Times New Roman"/>
          <w:sz w:val="24"/>
          <w:szCs w:val="24"/>
        </w:rPr>
        <w:t>,</w:t>
      </w:r>
      <w:r w:rsidRPr="002B005F">
        <w:rPr>
          <w:rFonts w:ascii="Times New Roman" w:hAnsi="Times New Roman" w:cs="Times New Roman"/>
          <w:sz w:val="24"/>
          <w:szCs w:val="24"/>
        </w:rPr>
        <w:t xml:space="preserve"> cela</w:t>
      </w:r>
      <w:r w:rsidR="002E77EB" w:rsidRPr="002B005F">
        <w:rPr>
          <w:rFonts w:ascii="Times New Roman" w:hAnsi="Times New Roman" w:cs="Times New Roman"/>
          <w:sz w:val="24"/>
          <w:szCs w:val="24"/>
        </w:rPr>
        <w:t>,</w:t>
      </w:r>
      <w:r w:rsidRPr="002B005F">
        <w:rPr>
          <w:rFonts w:ascii="Times New Roman" w:hAnsi="Times New Roman" w:cs="Times New Roman"/>
          <w:sz w:val="24"/>
          <w:szCs w:val="24"/>
        </w:rPr>
        <w:t xml:space="preserve"> malgré le fait que ce montant soit retenu pour une période allant jusqu’à plusieurs mois. Une telle procédure pourrait être à elle seule une garantie contre les abus, c’est-à-dire contre toute entrée sur le marché ne visant pas l’accomplissement d’une transaction réelle</w:t>
      </w:r>
      <w:r w:rsidRPr="002B005F">
        <w:rPr>
          <w:rStyle w:val="Appelnotedebasdep"/>
          <w:rFonts w:ascii="Times New Roman" w:hAnsi="Times New Roman"/>
          <w:sz w:val="24"/>
          <w:szCs w:val="24"/>
        </w:rPr>
        <w:footnoteReference w:id="151"/>
      </w:r>
      <w:r w:rsidRPr="002B005F">
        <w:rPr>
          <w:rFonts w:ascii="Times New Roman" w:hAnsi="Times New Roman" w:cs="Times New Roman"/>
          <w:sz w:val="24"/>
          <w:szCs w:val="24"/>
        </w:rPr>
        <w:t>.</w:t>
      </w:r>
    </w:p>
    <w:p w14:paraId="2553F1A2" w14:textId="77777777" w:rsidR="002760B2" w:rsidRPr="002B005F" w:rsidRDefault="002760B2" w:rsidP="008D4BEF">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En définitive, la </w:t>
      </w:r>
      <w:r w:rsidR="00D83FB0">
        <w:rPr>
          <w:rFonts w:ascii="Times New Roman" w:hAnsi="Times New Roman" w:cs="Times New Roman"/>
          <w:sz w:val="24"/>
          <w:szCs w:val="24"/>
        </w:rPr>
        <w:t>L</w:t>
      </w:r>
      <w:r w:rsidRPr="002B005F">
        <w:rPr>
          <w:rFonts w:ascii="Times New Roman" w:hAnsi="Times New Roman" w:cs="Times New Roman"/>
          <w:sz w:val="24"/>
          <w:szCs w:val="24"/>
        </w:rPr>
        <w:t xml:space="preserve">igue </w:t>
      </w:r>
      <w:r w:rsidR="00096C4F">
        <w:rPr>
          <w:rFonts w:ascii="Times New Roman" w:hAnsi="Times New Roman" w:cs="Times New Roman"/>
          <w:sz w:val="24"/>
          <w:szCs w:val="24"/>
        </w:rPr>
        <w:t>I</w:t>
      </w:r>
      <w:r w:rsidR="00096C4F" w:rsidRPr="002B005F">
        <w:rPr>
          <w:rFonts w:ascii="Times New Roman" w:hAnsi="Times New Roman" w:cs="Times New Roman"/>
          <w:sz w:val="24"/>
          <w:szCs w:val="24"/>
        </w:rPr>
        <w:t>slamique</w:t>
      </w:r>
      <w:r w:rsidR="00096C4F">
        <w:rPr>
          <w:rFonts w:ascii="Times New Roman" w:hAnsi="Times New Roman" w:cs="Times New Roman"/>
          <w:sz w:val="24"/>
          <w:szCs w:val="24"/>
        </w:rPr>
        <w:t xml:space="preserve"> </w:t>
      </w:r>
      <w:r w:rsidRPr="002B005F">
        <w:rPr>
          <w:rFonts w:ascii="Times New Roman" w:hAnsi="Times New Roman" w:cs="Times New Roman"/>
          <w:sz w:val="24"/>
          <w:szCs w:val="24"/>
        </w:rPr>
        <w:t xml:space="preserve">du </w:t>
      </w:r>
      <w:r w:rsidRPr="00D83FB0">
        <w:rPr>
          <w:rFonts w:ascii="Times New Roman" w:hAnsi="Times New Roman" w:cs="Times New Roman"/>
          <w:i/>
          <w:iCs/>
          <w:caps/>
          <w:sz w:val="24"/>
          <w:szCs w:val="24"/>
        </w:rPr>
        <w:t>f</w:t>
      </w:r>
      <w:r w:rsidRPr="002B005F">
        <w:rPr>
          <w:rFonts w:ascii="Times New Roman" w:hAnsi="Times New Roman" w:cs="Times New Roman"/>
          <w:i/>
          <w:iCs/>
          <w:sz w:val="24"/>
          <w:szCs w:val="24"/>
        </w:rPr>
        <w:t>iqh</w:t>
      </w:r>
      <w:r w:rsidRPr="002B005F">
        <w:rPr>
          <w:rFonts w:ascii="Times New Roman" w:hAnsi="Times New Roman" w:cs="Times New Roman"/>
          <w:sz w:val="24"/>
          <w:szCs w:val="24"/>
        </w:rPr>
        <w:t xml:space="preserve"> a annoncé l’interdiction des contrats à terme puisqu’il y a un paiement et une livraison différés dans le même contrat (vente de dette par </w:t>
      </w:r>
      <w:r w:rsidRPr="002B005F">
        <w:rPr>
          <w:rFonts w:ascii="Times New Roman" w:hAnsi="Times New Roman" w:cs="Times New Roman"/>
          <w:sz w:val="24"/>
          <w:szCs w:val="24"/>
        </w:rPr>
        <w:lastRenderedPageBreak/>
        <w:t>dette) et</w:t>
      </w:r>
      <w:r w:rsidR="00D83FB0" w:rsidRPr="00124B9E">
        <w:rPr>
          <w:rFonts w:ascii="Times New Roman" w:hAnsi="Times New Roman" w:cs="Times New Roman"/>
          <w:sz w:val="24"/>
          <w:szCs w:val="24"/>
        </w:rPr>
        <w:t>,</w:t>
      </w:r>
      <w:r w:rsidRPr="00124B9E">
        <w:rPr>
          <w:rFonts w:ascii="Times New Roman" w:hAnsi="Times New Roman" w:cs="Times New Roman"/>
          <w:sz w:val="24"/>
          <w:szCs w:val="24"/>
        </w:rPr>
        <w:t xml:space="preserve"> </w:t>
      </w:r>
      <w:r w:rsidR="00096C4F" w:rsidRPr="00124B9E">
        <w:rPr>
          <w:rFonts w:ascii="Times New Roman" w:hAnsi="Times New Roman" w:cs="Times New Roman"/>
          <w:sz w:val="24"/>
          <w:szCs w:val="24"/>
        </w:rPr>
        <w:t>aussi</w:t>
      </w:r>
      <w:r w:rsidR="00D83FB0" w:rsidRPr="00124B9E">
        <w:rPr>
          <w:rFonts w:ascii="Times New Roman" w:hAnsi="Times New Roman" w:cs="Times New Roman"/>
          <w:sz w:val="24"/>
          <w:szCs w:val="24"/>
        </w:rPr>
        <w:t>,</w:t>
      </w:r>
      <w:r w:rsidRPr="00124B9E">
        <w:rPr>
          <w:rFonts w:ascii="Times New Roman" w:hAnsi="Times New Roman" w:cs="Times New Roman"/>
          <w:sz w:val="24"/>
          <w:szCs w:val="24"/>
        </w:rPr>
        <w:t xml:space="preserve"> la</w:t>
      </w:r>
      <w:r w:rsidRPr="002B005F">
        <w:rPr>
          <w:rFonts w:ascii="Times New Roman" w:hAnsi="Times New Roman" w:cs="Times New Roman"/>
          <w:sz w:val="24"/>
          <w:szCs w:val="24"/>
        </w:rPr>
        <w:t xml:space="preserve"> présence du </w:t>
      </w:r>
      <w:r w:rsidRPr="002B005F">
        <w:rPr>
          <w:rFonts w:ascii="Times New Roman" w:hAnsi="Times New Roman" w:cs="Times New Roman"/>
          <w:i/>
          <w:sz w:val="24"/>
          <w:szCs w:val="24"/>
        </w:rPr>
        <w:t>riba</w:t>
      </w:r>
      <w:r w:rsidRPr="002B005F">
        <w:rPr>
          <w:rFonts w:ascii="Times New Roman" w:hAnsi="Times New Roman" w:cs="Times New Roman"/>
          <w:sz w:val="24"/>
          <w:szCs w:val="24"/>
        </w:rPr>
        <w:t xml:space="preserve"> dans ce </w:t>
      </w:r>
      <w:r w:rsidRPr="008D4BEF">
        <w:rPr>
          <w:rFonts w:ascii="Times New Roman" w:hAnsi="Times New Roman" w:cs="Times New Roman"/>
          <w:kern w:val="24"/>
          <w:sz w:val="24"/>
          <w:szCs w:val="24"/>
        </w:rPr>
        <w:t>type</w:t>
      </w:r>
      <w:r w:rsidRPr="002B005F">
        <w:rPr>
          <w:rFonts w:ascii="Times New Roman" w:hAnsi="Times New Roman" w:cs="Times New Roman"/>
          <w:sz w:val="24"/>
          <w:szCs w:val="24"/>
        </w:rPr>
        <w:t xml:space="preserve"> de contrat (</w:t>
      </w:r>
      <w:r w:rsidRPr="002B005F">
        <w:rPr>
          <w:rFonts w:ascii="Times New Roman" w:hAnsi="Times New Roman" w:cs="Times New Roman"/>
          <w:i/>
          <w:sz w:val="24"/>
          <w:szCs w:val="24"/>
        </w:rPr>
        <w:t>riba</w:t>
      </w:r>
      <w:r w:rsidRPr="002B005F">
        <w:rPr>
          <w:rFonts w:ascii="Times New Roman" w:hAnsi="Times New Roman" w:cs="Times New Roman"/>
          <w:sz w:val="24"/>
          <w:szCs w:val="24"/>
        </w:rPr>
        <w:t xml:space="preserve"> </w:t>
      </w:r>
      <w:r w:rsidRPr="002B005F">
        <w:rPr>
          <w:rFonts w:ascii="Times New Roman" w:hAnsi="Times New Roman" w:cs="Times New Roman"/>
          <w:i/>
          <w:iCs/>
          <w:sz w:val="24"/>
          <w:szCs w:val="24"/>
        </w:rPr>
        <w:t>anassia</w:t>
      </w:r>
      <w:r w:rsidRPr="002B005F">
        <w:rPr>
          <w:rFonts w:ascii="Times New Roman" w:hAnsi="Times New Roman" w:cs="Times New Roman"/>
          <w:sz w:val="24"/>
          <w:szCs w:val="24"/>
        </w:rPr>
        <w:t xml:space="preserve"> sur les contrats portant sur l’or et l’argent, car ils sont considérés comme de la monnaie).</w:t>
      </w:r>
    </w:p>
    <w:p w14:paraId="20699B8F" w14:textId="77777777" w:rsidR="002E77EB" w:rsidRPr="00C51467" w:rsidRDefault="002E77EB" w:rsidP="00A2748E">
      <w:pPr>
        <w:pStyle w:val="Titre5"/>
        <w:keepNext w:val="0"/>
        <w:keepLines w:val="0"/>
        <w:spacing w:before="100" w:beforeAutospacing="1" w:after="120" w:line="300" w:lineRule="auto"/>
        <w:ind w:firstLine="709"/>
        <w:rPr>
          <w:rFonts w:asciiTheme="majorBidi" w:hAnsiTheme="majorBidi"/>
          <w:b/>
          <w:bCs/>
          <w:color w:val="auto"/>
          <w:sz w:val="24"/>
          <w:szCs w:val="24"/>
        </w:rPr>
      </w:pPr>
      <w:bookmarkStart w:id="451" w:name="_Toc182298679"/>
      <w:r w:rsidRPr="00C51467">
        <w:rPr>
          <w:rFonts w:asciiTheme="majorBidi" w:hAnsiTheme="majorBidi"/>
          <w:b/>
          <w:bCs/>
          <w:color w:val="auto"/>
          <w:sz w:val="24"/>
          <w:szCs w:val="24"/>
        </w:rPr>
        <w:t>2.</w:t>
      </w:r>
      <w:r w:rsidR="00364992" w:rsidRPr="00C51467">
        <w:rPr>
          <w:rFonts w:asciiTheme="majorBidi" w:hAnsiTheme="majorBidi"/>
          <w:b/>
          <w:bCs/>
          <w:color w:val="auto"/>
          <w:sz w:val="24"/>
          <w:szCs w:val="24"/>
        </w:rPr>
        <w:t>5</w:t>
      </w:r>
      <w:r w:rsidRPr="00C51467">
        <w:rPr>
          <w:rFonts w:asciiTheme="majorBidi" w:hAnsiTheme="majorBidi"/>
          <w:b/>
          <w:bCs/>
          <w:color w:val="auto"/>
          <w:sz w:val="24"/>
          <w:szCs w:val="24"/>
        </w:rPr>
        <w:t>.</w:t>
      </w:r>
      <w:r w:rsidR="0028400A" w:rsidRPr="00C51467">
        <w:rPr>
          <w:rFonts w:asciiTheme="majorBidi" w:hAnsiTheme="majorBidi"/>
          <w:b/>
          <w:bCs/>
          <w:color w:val="auto"/>
          <w:sz w:val="24"/>
          <w:szCs w:val="24"/>
        </w:rPr>
        <w:t>3</w:t>
      </w:r>
      <w:r w:rsidRPr="00C51467">
        <w:rPr>
          <w:rFonts w:asciiTheme="majorBidi" w:hAnsiTheme="majorBidi"/>
          <w:b/>
          <w:bCs/>
          <w:color w:val="auto"/>
          <w:sz w:val="24"/>
          <w:szCs w:val="24"/>
        </w:rPr>
        <w:t xml:space="preserve">.2- </w:t>
      </w:r>
      <w:r w:rsidRPr="00C51467">
        <w:rPr>
          <w:rFonts w:asciiTheme="majorBidi" w:hAnsiTheme="majorBidi"/>
          <w:b/>
          <w:bCs/>
          <w:i/>
          <w:iCs/>
          <w:color w:val="auto"/>
          <w:sz w:val="24"/>
          <w:szCs w:val="24"/>
        </w:rPr>
        <w:t>Forwards</w:t>
      </w:r>
      <w:bookmarkEnd w:id="451"/>
    </w:p>
    <w:p w14:paraId="0E819046" w14:textId="70C97D3D" w:rsidR="002760B2" w:rsidRPr="008D4BEF" w:rsidRDefault="002760B2" w:rsidP="008D4BEF">
      <w:pPr>
        <w:tabs>
          <w:tab w:val="left" w:pos="0"/>
        </w:tabs>
        <w:autoSpaceDE w:val="0"/>
        <w:autoSpaceDN w:val="0"/>
        <w:adjustRightInd w:val="0"/>
        <w:spacing w:before="120" w:line="300" w:lineRule="auto"/>
        <w:ind w:firstLine="709"/>
        <w:rPr>
          <w:rFonts w:ascii="Times New Roman" w:hAnsi="Times New Roman" w:cs="Times New Roman"/>
          <w:kern w:val="24"/>
          <w:sz w:val="24"/>
          <w:szCs w:val="24"/>
          <w:rtl/>
        </w:rPr>
      </w:pPr>
      <w:r w:rsidRPr="008D4BEF">
        <w:rPr>
          <w:rFonts w:ascii="Times New Roman" w:hAnsi="Times New Roman" w:cs="Times New Roman"/>
          <w:kern w:val="24"/>
          <w:sz w:val="24"/>
          <w:szCs w:val="24"/>
        </w:rPr>
        <w:t xml:space="preserve">Concernant </w:t>
      </w:r>
      <w:r w:rsidRPr="008D4BEF">
        <w:rPr>
          <w:rFonts w:ascii="Times New Roman" w:hAnsi="Times New Roman" w:cs="Times New Roman"/>
          <w:b/>
          <w:bCs/>
          <w:i/>
          <w:iCs/>
          <w:kern w:val="24"/>
          <w:sz w:val="24"/>
          <w:szCs w:val="24"/>
        </w:rPr>
        <w:t>les forwards</w:t>
      </w:r>
      <w:r w:rsidRPr="008D4BEF">
        <w:rPr>
          <w:rFonts w:ascii="Times New Roman" w:hAnsi="Times New Roman" w:cs="Times New Roman"/>
          <w:kern w:val="24"/>
          <w:sz w:val="24"/>
          <w:szCs w:val="24"/>
        </w:rPr>
        <w:t xml:space="preserve">, il y a </w:t>
      </w:r>
      <w:r w:rsidR="00096C4F" w:rsidRPr="008D4BEF">
        <w:rPr>
          <w:rFonts w:ascii="Times New Roman" w:hAnsi="Times New Roman" w:cs="Times New Roman"/>
          <w:kern w:val="24"/>
          <w:sz w:val="24"/>
          <w:szCs w:val="24"/>
        </w:rPr>
        <w:t xml:space="preserve">également </w:t>
      </w:r>
      <w:r w:rsidRPr="008D4BEF">
        <w:rPr>
          <w:rFonts w:ascii="Times New Roman" w:hAnsi="Times New Roman" w:cs="Times New Roman"/>
          <w:kern w:val="24"/>
          <w:sz w:val="24"/>
          <w:szCs w:val="24"/>
        </w:rPr>
        <w:t xml:space="preserve">une divergence entre les avis des </w:t>
      </w:r>
      <w:r w:rsidRPr="008D4BEF">
        <w:rPr>
          <w:rFonts w:ascii="Times New Roman" w:hAnsi="Times New Roman" w:cs="Times New Roman"/>
          <w:i/>
          <w:kern w:val="24"/>
          <w:sz w:val="24"/>
          <w:szCs w:val="24"/>
        </w:rPr>
        <w:t>scholars</w:t>
      </w:r>
      <w:r w:rsidRPr="008D4BEF">
        <w:rPr>
          <w:rFonts w:ascii="Times New Roman" w:hAnsi="Times New Roman" w:cs="Times New Roman"/>
          <w:kern w:val="24"/>
          <w:sz w:val="24"/>
          <w:szCs w:val="24"/>
        </w:rPr>
        <w:t xml:space="preserve"> </w:t>
      </w:r>
      <w:r w:rsidR="002E77EB"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s. Certains (Ali </w:t>
      </w:r>
      <w:r w:rsidRPr="008D4BEF">
        <w:rPr>
          <w:rFonts w:ascii="Times New Roman" w:hAnsi="Times New Roman" w:cs="Times New Roman"/>
          <w:smallCaps/>
          <w:kern w:val="24"/>
          <w:sz w:val="24"/>
          <w:szCs w:val="24"/>
        </w:rPr>
        <w:t>Q</w:t>
      </w:r>
      <w:r w:rsidR="00727815" w:rsidRPr="008D4BEF">
        <w:rPr>
          <w:rFonts w:ascii="Times New Roman" w:hAnsi="Times New Roman" w:cs="Times New Roman"/>
          <w:smallCaps/>
          <w:kern w:val="24"/>
          <w:sz w:val="24"/>
          <w:szCs w:val="24"/>
        </w:rPr>
        <w:t>o</w:t>
      </w:r>
      <w:r w:rsidRPr="008D4BEF">
        <w:rPr>
          <w:rFonts w:ascii="Times New Roman" w:hAnsi="Times New Roman" w:cs="Times New Roman"/>
          <w:smallCaps/>
          <w:kern w:val="24"/>
          <w:sz w:val="24"/>
          <w:szCs w:val="24"/>
        </w:rPr>
        <w:t>ra Daghi</w:t>
      </w:r>
      <w:r w:rsidRPr="008D4BEF">
        <w:rPr>
          <w:rFonts w:ascii="Times New Roman" w:hAnsi="Times New Roman" w:cs="Times New Roman"/>
          <w:kern w:val="24"/>
          <w:sz w:val="24"/>
          <w:szCs w:val="24"/>
        </w:rPr>
        <w:t xml:space="preserve">, Ahmed Yousef </w:t>
      </w:r>
      <w:r w:rsidRPr="008D4BEF">
        <w:rPr>
          <w:rFonts w:ascii="Times New Roman" w:hAnsi="Times New Roman" w:cs="Times New Roman"/>
          <w:smallCaps/>
          <w:kern w:val="24"/>
          <w:sz w:val="24"/>
          <w:szCs w:val="24"/>
        </w:rPr>
        <w:t>Sulaiman</w:t>
      </w:r>
      <w:r w:rsidRPr="008D4BEF">
        <w:rPr>
          <w:rFonts w:ascii="Times New Roman" w:hAnsi="Times New Roman" w:cs="Times New Roman"/>
          <w:kern w:val="24"/>
          <w:sz w:val="24"/>
          <w:szCs w:val="24"/>
        </w:rPr>
        <w:t xml:space="preserve"> et autres) trouvent que les </w:t>
      </w:r>
      <w:r w:rsidRPr="008D4BEF">
        <w:rPr>
          <w:rFonts w:ascii="Times New Roman" w:hAnsi="Times New Roman" w:cs="Times New Roman"/>
          <w:i/>
          <w:iCs/>
          <w:kern w:val="24"/>
          <w:sz w:val="24"/>
          <w:szCs w:val="24"/>
        </w:rPr>
        <w:t>forwards</w:t>
      </w:r>
      <w:r w:rsidRPr="008D4BEF">
        <w:rPr>
          <w:rFonts w:ascii="Times New Roman" w:hAnsi="Times New Roman" w:cs="Times New Roman"/>
          <w:kern w:val="24"/>
          <w:sz w:val="24"/>
          <w:szCs w:val="24"/>
        </w:rPr>
        <w:t xml:space="preserve"> sont des produits interdits par la </w:t>
      </w:r>
      <w:r w:rsidR="001124FF" w:rsidRPr="008D4BEF">
        <w:rPr>
          <w:rFonts w:asciiTheme="majorBidi" w:eastAsia="Times New Roman" w:hAnsiTheme="majorBidi" w:cstheme="majorBidi"/>
          <w:i/>
          <w:iCs/>
          <w:color w:val="000000" w:themeColor="text1"/>
          <w:kern w:val="24"/>
          <w:sz w:val="24"/>
          <w:szCs w:val="24"/>
          <w:lang w:eastAsia="fr-FR"/>
        </w:rPr>
        <w:t>Shariah</w:t>
      </w:r>
      <w:r w:rsidRPr="008D4BEF">
        <w:rPr>
          <w:rFonts w:ascii="Times New Roman" w:hAnsi="Times New Roman" w:cs="Times New Roman"/>
          <w:kern w:val="24"/>
          <w:sz w:val="24"/>
          <w:szCs w:val="24"/>
        </w:rPr>
        <w:t xml:space="preserve"> puisqu’ils relèvent d’une vente de dette</w:t>
      </w:r>
      <w:r w:rsidR="00727815" w:rsidRPr="008D4BEF">
        <w:rPr>
          <w:rFonts w:ascii="Times New Roman" w:hAnsi="Times New Roman" w:cs="Times New Roman"/>
          <w:kern w:val="24"/>
          <w:sz w:val="24"/>
          <w:szCs w:val="24"/>
        </w:rPr>
        <w:t> ;</w:t>
      </w:r>
      <w:r w:rsidRPr="008D4BEF">
        <w:rPr>
          <w:rFonts w:ascii="Times New Roman" w:hAnsi="Times New Roman" w:cs="Times New Roman"/>
          <w:kern w:val="24"/>
          <w:sz w:val="24"/>
          <w:szCs w:val="24"/>
        </w:rPr>
        <w:t xml:space="preserve"> et</w:t>
      </w:r>
      <w:r w:rsidR="00727815"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très souvent</w:t>
      </w:r>
      <w:r w:rsidR="00727815"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il s’agit d’une vente à découvert (également interdite en </w:t>
      </w:r>
      <w:r w:rsidR="00F34669" w:rsidRPr="008D4BEF">
        <w:rPr>
          <w:rFonts w:ascii="Times New Roman" w:hAnsi="Times New Roman" w:cs="Times New Roman"/>
          <w:kern w:val="24"/>
          <w:sz w:val="24"/>
          <w:szCs w:val="24"/>
        </w:rPr>
        <w:t>Islam</w:t>
      </w:r>
      <w:r w:rsidRPr="008D4BEF">
        <w:rPr>
          <w:rFonts w:ascii="Times New Roman" w:hAnsi="Times New Roman" w:cs="Times New Roman"/>
          <w:kern w:val="24"/>
          <w:sz w:val="24"/>
          <w:szCs w:val="24"/>
        </w:rPr>
        <w:t xml:space="preserve">). Pour Mohammed </w:t>
      </w:r>
      <w:r w:rsidRPr="008D4BEF">
        <w:rPr>
          <w:rFonts w:ascii="Times New Roman" w:hAnsi="Times New Roman" w:cs="Times New Roman"/>
          <w:smallCaps/>
          <w:kern w:val="24"/>
          <w:sz w:val="24"/>
          <w:szCs w:val="24"/>
        </w:rPr>
        <w:t>Abd alghafar</w:t>
      </w:r>
      <w:r w:rsidRPr="008D4BEF">
        <w:rPr>
          <w:rFonts w:ascii="Times New Roman" w:hAnsi="Times New Roman" w:cs="Times New Roman"/>
          <w:kern w:val="24"/>
          <w:sz w:val="24"/>
          <w:szCs w:val="24"/>
        </w:rPr>
        <w:t xml:space="preserve">, </w:t>
      </w:r>
      <w:r w:rsidRPr="008D4BEF">
        <w:rPr>
          <w:rFonts w:ascii="Times New Roman" w:hAnsi="Times New Roman" w:cs="Times New Roman"/>
          <w:smallCaps/>
          <w:kern w:val="24"/>
          <w:sz w:val="24"/>
          <w:szCs w:val="24"/>
        </w:rPr>
        <w:t xml:space="preserve">Sharif </w:t>
      </w:r>
      <w:r w:rsidRPr="008D4BEF">
        <w:rPr>
          <w:rFonts w:ascii="Times New Roman" w:hAnsi="Times New Roman" w:cs="Times New Roman"/>
          <w:kern w:val="24"/>
          <w:sz w:val="24"/>
          <w:szCs w:val="24"/>
        </w:rPr>
        <w:t xml:space="preserve">et autres, les produits </w:t>
      </w:r>
      <w:r w:rsidRPr="008D4BEF">
        <w:rPr>
          <w:rFonts w:ascii="Times New Roman" w:hAnsi="Times New Roman" w:cs="Times New Roman"/>
          <w:i/>
          <w:iCs/>
          <w:kern w:val="24"/>
          <w:sz w:val="24"/>
          <w:szCs w:val="24"/>
        </w:rPr>
        <w:t>forwards</w:t>
      </w:r>
      <w:r w:rsidRPr="008D4BEF">
        <w:rPr>
          <w:rFonts w:ascii="Times New Roman" w:hAnsi="Times New Roman" w:cs="Times New Roman"/>
          <w:kern w:val="24"/>
          <w:sz w:val="24"/>
          <w:szCs w:val="24"/>
        </w:rPr>
        <w:t xml:space="preserve"> ne sont pas des produits prohibés car le vendeur dét</w:t>
      </w:r>
      <w:r w:rsidR="00727815" w:rsidRPr="008D4BEF">
        <w:rPr>
          <w:rFonts w:ascii="Times New Roman" w:hAnsi="Times New Roman" w:cs="Times New Roman"/>
          <w:kern w:val="24"/>
          <w:sz w:val="24"/>
          <w:szCs w:val="24"/>
        </w:rPr>
        <w:t>ient la valeur des actifs ;</w:t>
      </w:r>
      <w:r w:rsidRPr="008D4BEF">
        <w:rPr>
          <w:rFonts w:ascii="Times New Roman" w:hAnsi="Times New Roman" w:cs="Times New Roman"/>
          <w:kern w:val="24"/>
          <w:sz w:val="24"/>
          <w:szCs w:val="24"/>
        </w:rPr>
        <w:t xml:space="preserve"> ces derniers sont la propriété de l’acheteur une fois le co</w:t>
      </w:r>
      <w:r w:rsidR="00727815" w:rsidRPr="008D4BEF">
        <w:rPr>
          <w:rFonts w:ascii="Times New Roman" w:hAnsi="Times New Roman" w:cs="Times New Roman"/>
          <w:kern w:val="24"/>
          <w:sz w:val="24"/>
          <w:szCs w:val="24"/>
        </w:rPr>
        <w:t>ntrat conclu ; le paiement</w:t>
      </w:r>
      <w:r w:rsidRPr="008D4BEF">
        <w:rPr>
          <w:rFonts w:ascii="Times New Roman" w:hAnsi="Times New Roman" w:cs="Times New Roman"/>
          <w:kern w:val="24"/>
          <w:sz w:val="24"/>
          <w:szCs w:val="24"/>
        </w:rPr>
        <w:t xml:space="preserve"> ainsi que le transfert des actifs ne représentent qu’une garantie</w:t>
      </w:r>
      <w:r w:rsidRPr="008D4BEF">
        <w:rPr>
          <w:rStyle w:val="Appelnotedebasdep"/>
          <w:rFonts w:ascii="Times New Roman" w:hAnsi="Times New Roman"/>
          <w:kern w:val="24"/>
          <w:sz w:val="24"/>
          <w:szCs w:val="24"/>
        </w:rPr>
        <w:footnoteReference w:id="152"/>
      </w:r>
      <w:r w:rsidRPr="008D4BEF">
        <w:rPr>
          <w:rFonts w:ascii="Times New Roman" w:hAnsi="Times New Roman" w:cs="Times New Roman"/>
          <w:kern w:val="24"/>
          <w:sz w:val="24"/>
          <w:szCs w:val="24"/>
        </w:rPr>
        <w:t>.</w:t>
      </w:r>
    </w:p>
    <w:p w14:paraId="1B88804F" w14:textId="4DC07D1E" w:rsidR="002760B2" w:rsidRPr="008D4BEF" w:rsidRDefault="002760B2" w:rsidP="008D4BEF">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La décision de l’Académie du </w:t>
      </w:r>
      <w:r w:rsidRPr="008D4BEF">
        <w:rPr>
          <w:rFonts w:ascii="Times New Roman" w:hAnsi="Times New Roman" w:cs="Times New Roman"/>
          <w:i/>
          <w:kern w:val="24"/>
          <w:sz w:val="24"/>
          <w:szCs w:val="24"/>
        </w:rPr>
        <w:t>Fiqh</w:t>
      </w:r>
      <w:r w:rsidRPr="008D4BEF">
        <w:rPr>
          <w:rFonts w:ascii="Times New Roman" w:hAnsi="Times New Roman" w:cs="Times New Roman"/>
          <w:kern w:val="24"/>
          <w:sz w:val="24"/>
          <w:szCs w:val="24"/>
        </w:rPr>
        <w:t xml:space="preserve"> de la Ligue </w:t>
      </w:r>
      <w:r w:rsidR="00505EDD"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505EDD" w:rsidRPr="008D4BEF">
        <w:rPr>
          <w:rFonts w:ascii="Times New Roman" w:hAnsi="Times New Roman" w:cs="Times New Roman"/>
          <w:kern w:val="24"/>
          <w:sz w:val="24"/>
          <w:szCs w:val="24"/>
        </w:rPr>
        <w:t xml:space="preserve"> M</w:t>
      </w:r>
      <w:r w:rsidR="00727815" w:rsidRPr="008D4BEF">
        <w:rPr>
          <w:rFonts w:ascii="Times New Roman" w:hAnsi="Times New Roman" w:cs="Times New Roman"/>
          <w:kern w:val="24"/>
          <w:sz w:val="24"/>
          <w:szCs w:val="24"/>
        </w:rPr>
        <w:t>ondiale</w:t>
      </w:r>
      <w:r w:rsidR="00727815" w:rsidRPr="008D4BEF">
        <w:rPr>
          <w:rStyle w:val="Appelnotedebasdep"/>
          <w:rFonts w:ascii="Times New Roman" w:hAnsi="Times New Roman"/>
          <w:kern w:val="24"/>
          <w:sz w:val="24"/>
          <w:szCs w:val="24"/>
        </w:rPr>
        <w:footnoteReference w:id="153"/>
      </w:r>
      <w:r w:rsidR="00727815" w:rsidRPr="008D4BEF">
        <w:rPr>
          <w:rFonts w:ascii="Times New Roman" w:hAnsi="Times New Roman" w:cs="Times New Roman"/>
          <w:kern w:val="24"/>
          <w:sz w:val="24"/>
          <w:szCs w:val="24"/>
        </w:rPr>
        <w:t xml:space="preserve">, relative à la prohibition des </w:t>
      </w:r>
      <w:r w:rsidR="00727815" w:rsidRPr="008D4BEF">
        <w:rPr>
          <w:rFonts w:ascii="Times New Roman" w:hAnsi="Times New Roman" w:cs="Times New Roman"/>
          <w:i/>
          <w:kern w:val="24"/>
          <w:sz w:val="24"/>
          <w:szCs w:val="24"/>
        </w:rPr>
        <w:t>forwards</w:t>
      </w:r>
      <w:r w:rsidR="00727815"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est comme suit</w:t>
      </w:r>
      <w:r w:rsidR="001361E3" w:rsidRPr="008D4BEF">
        <w:rPr>
          <w:rFonts w:ascii="Times New Roman" w:hAnsi="Times New Roman" w:cs="Times New Roman"/>
          <w:kern w:val="24"/>
          <w:sz w:val="24"/>
          <w:szCs w:val="24"/>
        </w:rPr>
        <w:t> : « </w:t>
      </w:r>
      <w:r w:rsidRPr="008D4BEF">
        <w:rPr>
          <w:rFonts w:ascii="Times New Roman" w:hAnsi="Times New Roman" w:cs="Times New Roman"/>
          <w:i/>
          <w:iCs/>
          <w:kern w:val="24"/>
          <w:sz w:val="24"/>
          <w:szCs w:val="24"/>
        </w:rPr>
        <w:t xml:space="preserve">les contrats forwards de tout type, basés sur la vente à découvert, c’est-à-dire sur des actions qui ne sont pas en possession du vendeur, comme ils se pratiquent </w:t>
      </w:r>
      <w:r w:rsidR="00727815" w:rsidRPr="008D4BEF">
        <w:rPr>
          <w:rFonts w:ascii="Times New Roman" w:hAnsi="Times New Roman" w:cs="Times New Roman"/>
          <w:i/>
          <w:iCs/>
          <w:kern w:val="24"/>
          <w:sz w:val="24"/>
          <w:szCs w:val="24"/>
        </w:rPr>
        <w:t>sur les marchés financiers (la B</w:t>
      </w:r>
      <w:r w:rsidRPr="008D4BEF">
        <w:rPr>
          <w:rFonts w:ascii="Times New Roman" w:hAnsi="Times New Roman" w:cs="Times New Roman"/>
          <w:i/>
          <w:iCs/>
          <w:kern w:val="24"/>
          <w:sz w:val="24"/>
          <w:szCs w:val="24"/>
        </w:rPr>
        <w:t xml:space="preserve">ourse) sont prohibés, car une personne procède à la vente de ce qu’elle ne détient pas, selon qu’elle rachètera plus tard afin de </w:t>
      </w:r>
      <w:r w:rsidR="007638E2" w:rsidRPr="008D4BEF">
        <w:rPr>
          <w:rFonts w:ascii="Times New Roman" w:hAnsi="Times New Roman" w:cs="Times New Roman"/>
          <w:i/>
          <w:iCs/>
          <w:kern w:val="24"/>
          <w:sz w:val="24"/>
          <w:szCs w:val="24"/>
        </w:rPr>
        <w:t>le transmettre à la date prévue</w:t>
      </w:r>
      <w:r w:rsidRPr="008D4BEF">
        <w:rPr>
          <w:rFonts w:ascii="Times New Roman" w:hAnsi="Times New Roman" w:cs="Times New Roman"/>
          <w:i/>
          <w:iCs/>
          <w:kern w:val="24"/>
          <w:sz w:val="24"/>
          <w:szCs w:val="24"/>
        </w:rPr>
        <w:t xml:space="preserve"> et</w:t>
      </w:r>
      <w:r w:rsidR="007638E2" w:rsidRPr="008D4BEF">
        <w:rPr>
          <w:rFonts w:ascii="Times New Roman" w:hAnsi="Times New Roman" w:cs="Times New Roman"/>
          <w:i/>
          <w:iCs/>
          <w:kern w:val="24"/>
          <w:sz w:val="24"/>
          <w:szCs w:val="24"/>
        </w:rPr>
        <w:t>,</w:t>
      </w:r>
      <w:r w:rsidRPr="008D4BEF">
        <w:rPr>
          <w:rFonts w:ascii="Times New Roman" w:hAnsi="Times New Roman" w:cs="Times New Roman"/>
          <w:i/>
          <w:iCs/>
          <w:kern w:val="24"/>
          <w:sz w:val="24"/>
          <w:szCs w:val="24"/>
        </w:rPr>
        <w:t xml:space="preserve"> ceci est interdit par la </w:t>
      </w:r>
      <w:r w:rsidR="001124FF" w:rsidRPr="008D4BEF">
        <w:rPr>
          <w:rFonts w:asciiTheme="majorBidi" w:eastAsia="Times New Roman" w:hAnsiTheme="majorBidi" w:cstheme="majorBidi"/>
          <w:i/>
          <w:iCs/>
          <w:color w:val="000000" w:themeColor="text1"/>
          <w:kern w:val="24"/>
          <w:sz w:val="24"/>
          <w:szCs w:val="24"/>
          <w:lang w:eastAsia="fr-FR"/>
        </w:rPr>
        <w:t>Shariah</w:t>
      </w:r>
      <w:r w:rsidR="001361E3" w:rsidRPr="008D4BEF">
        <w:rPr>
          <w:rFonts w:ascii="Times New Roman" w:hAnsi="Times New Roman" w:cs="Times New Roman"/>
          <w:kern w:val="24"/>
          <w:sz w:val="24"/>
          <w:szCs w:val="24"/>
        </w:rPr>
        <w:t> »</w:t>
      </w:r>
      <w:r w:rsidRPr="008D4BEF">
        <w:rPr>
          <w:rStyle w:val="Appelnotedebasdep"/>
          <w:rFonts w:ascii="Times New Roman" w:hAnsi="Times New Roman"/>
          <w:kern w:val="24"/>
          <w:sz w:val="24"/>
          <w:szCs w:val="24"/>
        </w:rPr>
        <w:footnoteReference w:id="154"/>
      </w:r>
      <w:r w:rsidRPr="008D4BEF">
        <w:rPr>
          <w:rFonts w:ascii="Times New Roman" w:hAnsi="Times New Roman" w:cs="Times New Roman"/>
          <w:kern w:val="24"/>
          <w:sz w:val="24"/>
          <w:szCs w:val="24"/>
        </w:rPr>
        <w:t xml:space="preserve">. On peut remarquer que cette interdiction porte sur les contrats </w:t>
      </w:r>
      <w:r w:rsidRPr="008D4BEF">
        <w:rPr>
          <w:rFonts w:ascii="Times New Roman" w:hAnsi="Times New Roman" w:cs="Times New Roman"/>
          <w:i/>
          <w:iCs/>
          <w:kern w:val="24"/>
          <w:sz w:val="24"/>
          <w:szCs w:val="24"/>
        </w:rPr>
        <w:t>forwards</w:t>
      </w:r>
      <w:r w:rsidR="007638E2" w:rsidRPr="008D4BEF">
        <w:rPr>
          <w:rFonts w:ascii="Times New Roman" w:hAnsi="Times New Roman" w:cs="Times New Roman"/>
          <w:kern w:val="24"/>
          <w:sz w:val="24"/>
          <w:szCs w:val="24"/>
        </w:rPr>
        <w:t xml:space="preserve"> basés sur la vente à découvert ;</w:t>
      </w:r>
      <w:r w:rsidRPr="008D4BEF">
        <w:rPr>
          <w:rFonts w:ascii="Times New Roman" w:hAnsi="Times New Roman" w:cs="Times New Roman"/>
          <w:kern w:val="24"/>
          <w:sz w:val="24"/>
          <w:szCs w:val="24"/>
        </w:rPr>
        <w:t xml:space="preserve"> ce qui ne peut être généralisé sur toutes les autres pratiques des </w:t>
      </w:r>
      <w:r w:rsidRPr="008D4BEF">
        <w:rPr>
          <w:rFonts w:ascii="Times New Roman" w:hAnsi="Times New Roman" w:cs="Times New Roman"/>
          <w:i/>
          <w:iCs/>
          <w:kern w:val="24"/>
          <w:sz w:val="24"/>
          <w:szCs w:val="24"/>
        </w:rPr>
        <w:t>forwards</w:t>
      </w:r>
      <w:r w:rsidRPr="008D4BEF">
        <w:rPr>
          <w:rFonts w:ascii="Times New Roman" w:hAnsi="Times New Roman" w:cs="Times New Roman"/>
          <w:kern w:val="24"/>
          <w:sz w:val="24"/>
          <w:szCs w:val="24"/>
        </w:rPr>
        <w:t>.</w:t>
      </w:r>
    </w:p>
    <w:p w14:paraId="5EAF16FC" w14:textId="77777777" w:rsidR="002760B2" w:rsidRPr="00346763" w:rsidRDefault="008E19DA" w:rsidP="00A2748E">
      <w:pPr>
        <w:pStyle w:val="Titre4"/>
        <w:keepNext w:val="0"/>
        <w:spacing w:before="100" w:beforeAutospacing="1" w:after="120" w:line="300" w:lineRule="auto"/>
        <w:ind w:firstLine="709"/>
      </w:pPr>
      <w:bookmarkStart w:id="452" w:name="_Toc33263249"/>
      <w:bookmarkStart w:id="453" w:name="_Toc37664501"/>
      <w:bookmarkStart w:id="454" w:name="_Toc37666346"/>
      <w:bookmarkStart w:id="455" w:name="_Toc54363235"/>
      <w:bookmarkStart w:id="456" w:name="_Toc58606251"/>
      <w:bookmarkStart w:id="457" w:name="_Toc61263456"/>
      <w:bookmarkStart w:id="458" w:name="_Toc182298680"/>
      <w:r w:rsidRPr="00346763">
        <w:t>2.</w:t>
      </w:r>
      <w:r w:rsidR="00364992" w:rsidRPr="00346763">
        <w:t>5</w:t>
      </w:r>
      <w:r w:rsidRPr="00346763">
        <w:t>.</w:t>
      </w:r>
      <w:r w:rsidR="0028400A" w:rsidRPr="00346763">
        <w:t>4</w:t>
      </w:r>
      <w:r w:rsidRPr="00346763">
        <w:t xml:space="preserve">- </w:t>
      </w:r>
      <w:r w:rsidR="00F2163E" w:rsidRPr="00346763">
        <w:t>Spéculation et</w:t>
      </w:r>
      <w:r w:rsidR="002760B2" w:rsidRPr="00346763">
        <w:t xml:space="preserve"> </w:t>
      </w:r>
      <w:bookmarkEnd w:id="452"/>
      <w:bookmarkEnd w:id="453"/>
      <w:bookmarkEnd w:id="454"/>
      <w:bookmarkEnd w:id="455"/>
      <w:bookmarkEnd w:id="456"/>
      <w:r w:rsidR="006523B1" w:rsidRPr="00346763">
        <w:rPr>
          <w:i/>
          <w:iCs/>
        </w:rPr>
        <w:t>tawarruq</w:t>
      </w:r>
      <w:bookmarkEnd w:id="457"/>
      <w:bookmarkEnd w:id="458"/>
    </w:p>
    <w:p w14:paraId="7E11BBE7" w14:textId="77777777" w:rsidR="00F2163E" w:rsidRPr="00C51467" w:rsidRDefault="00F2163E" w:rsidP="00F04B08">
      <w:pPr>
        <w:pStyle w:val="Titre5"/>
        <w:keepNext w:val="0"/>
        <w:keepLines w:val="0"/>
        <w:spacing w:before="120" w:after="120" w:line="300" w:lineRule="auto"/>
        <w:ind w:firstLine="709"/>
        <w:rPr>
          <w:rFonts w:asciiTheme="majorBidi" w:hAnsiTheme="majorBidi"/>
          <w:b/>
          <w:bCs/>
          <w:color w:val="auto"/>
          <w:sz w:val="24"/>
          <w:szCs w:val="24"/>
        </w:rPr>
      </w:pPr>
      <w:bookmarkStart w:id="459" w:name="_Toc182298681"/>
      <w:r w:rsidRPr="00C51467">
        <w:rPr>
          <w:rFonts w:asciiTheme="majorBidi" w:hAnsiTheme="majorBidi"/>
          <w:b/>
          <w:bCs/>
          <w:color w:val="auto"/>
          <w:sz w:val="24"/>
          <w:szCs w:val="24"/>
        </w:rPr>
        <w:t>2.</w:t>
      </w:r>
      <w:r w:rsidR="00364992" w:rsidRPr="00C51467">
        <w:rPr>
          <w:rFonts w:asciiTheme="majorBidi" w:hAnsiTheme="majorBidi"/>
          <w:b/>
          <w:bCs/>
          <w:color w:val="auto"/>
          <w:sz w:val="24"/>
          <w:szCs w:val="24"/>
        </w:rPr>
        <w:t>5</w:t>
      </w:r>
      <w:r w:rsidRPr="00C51467">
        <w:rPr>
          <w:rFonts w:asciiTheme="majorBidi" w:hAnsiTheme="majorBidi"/>
          <w:b/>
          <w:bCs/>
          <w:color w:val="auto"/>
          <w:sz w:val="24"/>
          <w:szCs w:val="24"/>
        </w:rPr>
        <w:t>.</w:t>
      </w:r>
      <w:r w:rsidR="0028400A" w:rsidRPr="00C51467">
        <w:rPr>
          <w:rFonts w:asciiTheme="majorBidi" w:hAnsiTheme="majorBidi"/>
          <w:b/>
          <w:bCs/>
          <w:color w:val="auto"/>
          <w:sz w:val="24"/>
          <w:szCs w:val="24"/>
        </w:rPr>
        <w:t>4</w:t>
      </w:r>
      <w:r w:rsidRPr="00C51467">
        <w:rPr>
          <w:rFonts w:asciiTheme="majorBidi" w:hAnsiTheme="majorBidi"/>
          <w:b/>
          <w:bCs/>
          <w:color w:val="auto"/>
          <w:sz w:val="24"/>
          <w:szCs w:val="24"/>
        </w:rPr>
        <w:t xml:space="preserve">.1- </w:t>
      </w:r>
      <w:r w:rsidR="00C66C20" w:rsidRPr="00C51467">
        <w:rPr>
          <w:rFonts w:asciiTheme="majorBidi" w:hAnsiTheme="majorBidi"/>
          <w:b/>
          <w:bCs/>
          <w:color w:val="auto"/>
          <w:sz w:val="24"/>
          <w:szCs w:val="24"/>
        </w:rPr>
        <w:t>S</w:t>
      </w:r>
      <w:r w:rsidR="002760B2" w:rsidRPr="00C51467">
        <w:rPr>
          <w:rFonts w:asciiTheme="majorBidi" w:hAnsiTheme="majorBidi"/>
          <w:b/>
          <w:bCs/>
          <w:color w:val="auto"/>
          <w:sz w:val="24"/>
          <w:szCs w:val="24"/>
        </w:rPr>
        <w:t>péculation</w:t>
      </w:r>
      <w:bookmarkEnd w:id="459"/>
    </w:p>
    <w:p w14:paraId="09627E83" w14:textId="16DF9C6C" w:rsidR="002760B2" w:rsidRPr="008D4BEF" w:rsidRDefault="00F2163E" w:rsidP="00124B9E">
      <w:pPr>
        <w:tabs>
          <w:tab w:val="left" w:pos="0"/>
        </w:tabs>
        <w:autoSpaceDE w:val="0"/>
        <w:autoSpaceDN w:val="0"/>
        <w:adjustRightInd w:val="0"/>
        <w:spacing w:before="120" w:line="300" w:lineRule="auto"/>
        <w:ind w:firstLine="709"/>
        <w:rPr>
          <w:rFonts w:ascii="Times New Roman" w:hAnsi="Times New Roman" w:cs="Times New Roman"/>
          <w:kern w:val="24"/>
          <w:sz w:val="24"/>
          <w:szCs w:val="24"/>
          <w:rtl/>
        </w:rPr>
      </w:pPr>
      <w:r w:rsidRPr="008D4BEF">
        <w:rPr>
          <w:rFonts w:ascii="Times New Roman" w:hAnsi="Times New Roman" w:cs="Times New Roman"/>
          <w:kern w:val="24"/>
          <w:sz w:val="24"/>
          <w:szCs w:val="24"/>
        </w:rPr>
        <w:t>C’</w:t>
      </w:r>
      <w:r w:rsidR="002760B2" w:rsidRPr="008D4BEF">
        <w:rPr>
          <w:rFonts w:ascii="Times New Roman" w:hAnsi="Times New Roman" w:cs="Times New Roman"/>
          <w:kern w:val="24"/>
          <w:sz w:val="24"/>
          <w:szCs w:val="24"/>
        </w:rPr>
        <w:t xml:space="preserve">est une opération financière basée sur les anticipations des investisseurs comptant sur le facteur de la chance. Cette opération peut créer une </w:t>
      </w:r>
      <w:r w:rsidR="00124B9E" w:rsidRPr="008D4BEF">
        <w:rPr>
          <w:rFonts w:ascii="Times New Roman" w:hAnsi="Times New Roman" w:cs="Times New Roman"/>
          <w:kern w:val="24"/>
          <w:sz w:val="24"/>
          <w:szCs w:val="24"/>
        </w:rPr>
        <w:t>sous</w:t>
      </w:r>
      <w:r w:rsidR="001124FF" w:rsidRPr="008D4BEF">
        <w:rPr>
          <w:rFonts w:ascii="Times New Roman" w:hAnsi="Times New Roman" w:cs="Times New Roman"/>
          <w:kern w:val="24"/>
          <w:sz w:val="24"/>
          <w:szCs w:val="24"/>
        </w:rPr>
        <w:t xml:space="preserve"> ou </w:t>
      </w:r>
      <w:r w:rsidR="000F21BE" w:rsidRPr="008D4BEF">
        <w:rPr>
          <w:rFonts w:ascii="Times New Roman" w:hAnsi="Times New Roman" w:cs="Times New Roman"/>
          <w:kern w:val="24"/>
          <w:sz w:val="24"/>
          <w:szCs w:val="24"/>
        </w:rPr>
        <w:t>surévaluation</w:t>
      </w:r>
      <w:r w:rsidR="002760B2" w:rsidRPr="008D4BEF">
        <w:rPr>
          <w:rFonts w:ascii="Times New Roman" w:hAnsi="Times New Roman" w:cs="Times New Roman"/>
          <w:kern w:val="24"/>
          <w:sz w:val="24"/>
          <w:szCs w:val="24"/>
        </w:rPr>
        <w:t xml:space="preserve"> des variations des prix d’act</w:t>
      </w:r>
      <w:r w:rsidR="00FD0AC3" w:rsidRPr="008D4BEF">
        <w:rPr>
          <w:rFonts w:ascii="Times New Roman" w:hAnsi="Times New Roman" w:cs="Times New Roman"/>
          <w:kern w:val="24"/>
          <w:sz w:val="24"/>
          <w:szCs w:val="24"/>
        </w:rPr>
        <w:t>ifs financiers inscrits sur la B</w:t>
      </w:r>
      <w:r w:rsidR="002760B2" w:rsidRPr="008D4BEF">
        <w:rPr>
          <w:rFonts w:ascii="Times New Roman" w:hAnsi="Times New Roman" w:cs="Times New Roman"/>
          <w:kern w:val="24"/>
          <w:sz w:val="24"/>
          <w:szCs w:val="24"/>
        </w:rPr>
        <w:t>ourse des valeurs. La spéculation est très souvent co</w:t>
      </w:r>
      <w:r w:rsidR="00FD0AC3" w:rsidRPr="008D4BEF">
        <w:rPr>
          <w:rFonts w:ascii="Times New Roman" w:hAnsi="Times New Roman" w:cs="Times New Roman"/>
          <w:kern w:val="24"/>
          <w:sz w:val="24"/>
          <w:szCs w:val="24"/>
        </w:rPr>
        <w:t xml:space="preserve">ndamnée en </w:t>
      </w:r>
      <w:r w:rsidR="00F34669" w:rsidRPr="008D4BEF">
        <w:rPr>
          <w:rFonts w:ascii="Times New Roman" w:hAnsi="Times New Roman" w:cs="Times New Roman"/>
          <w:kern w:val="24"/>
          <w:sz w:val="24"/>
          <w:szCs w:val="24"/>
        </w:rPr>
        <w:t>Islam</w:t>
      </w:r>
      <w:r w:rsidR="002760B2" w:rsidRPr="008D4BEF">
        <w:rPr>
          <w:rFonts w:ascii="Times New Roman" w:hAnsi="Times New Roman" w:cs="Times New Roman"/>
          <w:kern w:val="24"/>
          <w:sz w:val="24"/>
          <w:szCs w:val="24"/>
        </w:rPr>
        <w:t xml:space="preserve"> puisqu’il s’agit d’une transaction aléatoire portant sur un jeu de hasard (</w:t>
      </w:r>
      <w:r w:rsidR="002760B2" w:rsidRPr="008D4BEF">
        <w:rPr>
          <w:rFonts w:ascii="Times New Roman" w:hAnsi="Times New Roman" w:cs="Times New Roman"/>
          <w:i/>
          <w:iCs/>
          <w:kern w:val="24"/>
          <w:sz w:val="24"/>
          <w:szCs w:val="24"/>
        </w:rPr>
        <w:t>gambling</w:t>
      </w:r>
      <w:r w:rsidR="002760B2" w:rsidRPr="008D4BEF">
        <w:rPr>
          <w:rFonts w:ascii="Times New Roman" w:hAnsi="Times New Roman" w:cs="Times New Roman"/>
          <w:kern w:val="24"/>
          <w:sz w:val="24"/>
          <w:szCs w:val="24"/>
        </w:rPr>
        <w:t xml:space="preserve">) et donc prohibée par la </w:t>
      </w:r>
      <w:r w:rsidR="001124FF" w:rsidRPr="008D4BEF">
        <w:rPr>
          <w:rFonts w:asciiTheme="majorBidi" w:eastAsia="Times New Roman" w:hAnsiTheme="majorBidi" w:cstheme="majorBidi"/>
          <w:i/>
          <w:iCs/>
          <w:color w:val="000000" w:themeColor="text1"/>
          <w:kern w:val="24"/>
          <w:sz w:val="24"/>
          <w:szCs w:val="24"/>
          <w:lang w:eastAsia="fr-FR"/>
        </w:rPr>
        <w:t>Shariah</w:t>
      </w:r>
      <w:r w:rsidR="00124B9E" w:rsidRPr="008D4BEF">
        <w:rPr>
          <w:rFonts w:ascii="Times New Roman" w:hAnsi="Times New Roman" w:cs="Times New Roman"/>
          <w:i/>
          <w:iCs/>
          <w:kern w:val="24"/>
          <w:sz w:val="24"/>
          <w:szCs w:val="24"/>
        </w:rPr>
        <w:t>.</w:t>
      </w:r>
    </w:p>
    <w:p w14:paraId="229C2927" w14:textId="56D0BB7D" w:rsidR="002760B2" w:rsidRPr="008D4BEF" w:rsidRDefault="002760B2" w:rsidP="00124B9E">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L’avis des jurisconsultes </w:t>
      </w:r>
      <w:r w:rsidR="00727815"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s sur la pratique de la spéculation n’est pas unanime. Parmi ceux qui interdisent la spéculation, nous citons Ahmed </w:t>
      </w:r>
      <w:r w:rsidRPr="008D4BEF">
        <w:rPr>
          <w:rFonts w:ascii="Times New Roman" w:hAnsi="Times New Roman" w:cs="Times New Roman"/>
          <w:smallCaps/>
          <w:kern w:val="24"/>
          <w:sz w:val="24"/>
          <w:szCs w:val="24"/>
        </w:rPr>
        <w:t>Mohyidine</w:t>
      </w:r>
      <w:r w:rsidRPr="008D4BEF">
        <w:rPr>
          <w:rFonts w:ascii="Times New Roman" w:hAnsi="Times New Roman" w:cs="Times New Roman"/>
          <w:kern w:val="24"/>
          <w:sz w:val="24"/>
          <w:szCs w:val="24"/>
        </w:rPr>
        <w:t xml:space="preserve"> et Hassan </w:t>
      </w:r>
      <w:r w:rsidRPr="008D4BEF">
        <w:rPr>
          <w:rFonts w:ascii="Times New Roman" w:hAnsi="Times New Roman" w:cs="Times New Roman"/>
          <w:smallCaps/>
          <w:kern w:val="24"/>
          <w:sz w:val="24"/>
          <w:szCs w:val="24"/>
        </w:rPr>
        <w:t>Abdullah El-Amine</w:t>
      </w:r>
      <w:r w:rsidR="00096C4F" w:rsidRPr="008D4BEF">
        <w:rPr>
          <w:rFonts w:ascii="Times New Roman" w:hAnsi="Times New Roman" w:cs="Times New Roman"/>
          <w:smallCaps/>
          <w:kern w:val="24"/>
          <w:sz w:val="24"/>
          <w:szCs w:val="24"/>
        </w:rPr>
        <w:t xml:space="preserve"> ; </w:t>
      </w:r>
      <w:r w:rsidR="00096C4F" w:rsidRPr="008D4BEF">
        <w:rPr>
          <w:rFonts w:ascii="Times New Roman" w:hAnsi="Times New Roman" w:cs="Times New Roman"/>
          <w:kern w:val="24"/>
          <w:sz w:val="24"/>
          <w:szCs w:val="24"/>
        </w:rPr>
        <w:t>ils</w:t>
      </w:r>
      <w:r w:rsidRPr="008D4BEF">
        <w:rPr>
          <w:rFonts w:ascii="Times New Roman" w:hAnsi="Times New Roman" w:cs="Times New Roman"/>
          <w:kern w:val="24"/>
          <w:sz w:val="24"/>
          <w:szCs w:val="24"/>
        </w:rPr>
        <w:t xml:space="preserve"> </w:t>
      </w:r>
      <w:r w:rsidR="000F21BE" w:rsidRPr="008D4BEF">
        <w:rPr>
          <w:rFonts w:ascii="Times New Roman" w:hAnsi="Times New Roman" w:cs="Times New Roman"/>
          <w:kern w:val="24"/>
          <w:sz w:val="24"/>
          <w:szCs w:val="24"/>
        </w:rPr>
        <w:t>considèrent</w:t>
      </w:r>
      <w:r w:rsidRPr="008D4BEF">
        <w:rPr>
          <w:rFonts w:ascii="Times New Roman" w:hAnsi="Times New Roman" w:cs="Times New Roman"/>
          <w:kern w:val="24"/>
          <w:sz w:val="24"/>
          <w:szCs w:val="24"/>
        </w:rPr>
        <w:t xml:space="preserve"> que les spéculateurs ne cherchent</w:t>
      </w:r>
      <w:r w:rsidR="007638E2" w:rsidRPr="008D4BEF">
        <w:rPr>
          <w:rFonts w:ascii="Times New Roman" w:hAnsi="Times New Roman" w:cs="Times New Roman"/>
          <w:kern w:val="24"/>
          <w:sz w:val="24"/>
          <w:szCs w:val="24"/>
        </w:rPr>
        <w:t xml:space="preserve"> pas à détenir des actifs mais</w:t>
      </w:r>
      <w:r w:rsidRPr="008D4BEF">
        <w:rPr>
          <w:rFonts w:ascii="Times New Roman" w:hAnsi="Times New Roman" w:cs="Times New Roman"/>
          <w:kern w:val="24"/>
          <w:sz w:val="24"/>
          <w:szCs w:val="24"/>
        </w:rPr>
        <w:t xml:space="preserve"> vendent souvent ce qui n’est pas encore en leur possession. Ils considèren aussi la spéculation comme étant un jeu de hasard masqué sous une opération dite d’achat ou de vente</w:t>
      </w:r>
      <w:r w:rsidRPr="008D4BEF">
        <w:rPr>
          <w:rStyle w:val="Appelnotedebasdep"/>
          <w:rFonts w:ascii="Times New Roman" w:hAnsi="Times New Roman"/>
          <w:kern w:val="24"/>
          <w:sz w:val="24"/>
          <w:szCs w:val="24"/>
        </w:rPr>
        <w:footnoteReference w:id="155"/>
      </w:r>
      <w:r w:rsidRPr="008D4BEF">
        <w:rPr>
          <w:rFonts w:ascii="Times New Roman" w:hAnsi="Times New Roman" w:cs="Times New Roman"/>
          <w:kern w:val="24"/>
          <w:sz w:val="24"/>
          <w:szCs w:val="24"/>
        </w:rPr>
        <w:t>.</w:t>
      </w:r>
    </w:p>
    <w:p w14:paraId="5BE39488" w14:textId="77777777" w:rsidR="002760B2" w:rsidRPr="008D4BEF" w:rsidRDefault="002760B2" w:rsidP="00124B9E">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Mohammed Abdelmoneim </w:t>
      </w:r>
      <w:r w:rsidRPr="008D4BEF">
        <w:rPr>
          <w:rFonts w:ascii="Times New Roman" w:hAnsi="Times New Roman" w:cs="Times New Roman"/>
          <w:smallCaps/>
          <w:kern w:val="24"/>
          <w:sz w:val="24"/>
          <w:szCs w:val="24"/>
        </w:rPr>
        <w:t>Afar</w:t>
      </w:r>
      <w:r w:rsidRPr="008D4BEF">
        <w:rPr>
          <w:rFonts w:ascii="Times New Roman" w:hAnsi="Times New Roman" w:cs="Times New Roman"/>
          <w:kern w:val="24"/>
          <w:sz w:val="24"/>
          <w:szCs w:val="24"/>
        </w:rPr>
        <w:t xml:space="preserve">, Mohammed Ali </w:t>
      </w:r>
      <w:r w:rsidRPr="008D4BEF">
        <w:rPr>
          <w:rFonts w:ascii="Times New Roman" w:hAnsi="Times New Roman" w:cs="Times New Roman"/>
          <w:smallCaps/>
          <w:kern w:val="24"/>
          <w:sz w:val="24"/>
          <w:szCs w:val="24"/>
        </w:rPr>
        <w:t>Elqari</w:t>
      </w:r>
      <w:r w:rsidR="006523B1" w:rsidRPr="008D4BEF">
        <w:rPr>
          <w:rFonts w:ascii="Times New Roman" w:hAnsi="Times New Roman" w:cs="Times New Roman"/>
          <w:kern w:val="24"/>
          <w:sz w:val="24"/>
          <w:szCs w:val="24"/>
        </w:rPr>
        <w:t xml:space="preserve"> et Mohammed Abdel</w:t>
      </w:r>
      <w:r w:rsidR="005417D9" w:rsidRPr="008D4BEF">
        <w:rPr>
          <w:rFonts w:ascii="Times New Roman" w:hAnsi="Times New Roman" w:cs="Times New Roman"/>
          <w:kern w:val="24"/>
          <w:sz w:val="24"/>
          <w:szCs w:val="24"/>
        </w:rPr>
        <w:t>h</w:t>
      </w:r>
      <w:r w:rsidRPr="008D4BEF">
        <w:rPr>
          <w:rFonts w:ascii="Times New Roman" w:hAnsi="Times New Roman" w:cs="Times New Roman"/>
          <w:kern w:val="24"/>
          <w:sz w:val="24"/>
          <w:szCs w:val="24"/>
        </w:rPr>
        <w:t xml:space="preserve">alim </w:t>
      </w:r>
      <w:r w:rsidRPr="008D4BEF">
        <w:rPr>
          <w:rFonts w:ascii="Times New Roman" w:hAnsi="Times New Roman" w:cs="Times New Roman"/>
          <w:smallCaps/>
          <w:kern w:val="24"/>
          <w:sz w:val="24"/>
          <w:szCs w:val="24"/>
        </w:rPr>
        <w:t>Omar</w:t>
      </w:r>
      <w:r w:rsidRPr="008D4BEF">
        <w:rPr>
          <w:rFonts w:ascii="Times New Roman" w:hAnsi="Times New Roman" w:cs="Times New Roman"/>
          <w:kern w:val="24"/>
          <w:sz w:val="24"/>
          <w:szCs w:val="24"/>
        </w:rPr>
        <w:t xml:space="preserve"> ont présenté un avis différent concernant la pratique de la spéculation. Ils trouvent qu’elle est autorisée en finance </w:t>
      </w:r>
      <w:r w:rsidR="007638E2"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 ayant pour argument le fait que </w:t>
      </w:r>
      <w:r w:rsidR="00124B9E" w:rsidRPr="008D4BEF">
        <w:rPr>
          <w:rFonts w:ascii="Times New Roman" w:hAnsi="Times New Roman" w:cs="Times New Roman"/>
          <w:kern w:val="24"/>
          <w:sz w:val="24"/>
          <w:szCs w:val="24"/>
        </w:rPr>
        <w:t>la spéculation</w:t>
      </w:r>
      <w:r w:rsidRPr="008D4BEF">
        <w:rPr>
          <w:rFonts w:ascii="Times New Roman" w:hAnsi="Times New Roman" w:cs="Times New Roman"/>
          <w:kern w:val="24"/>
          <w:sz w:val="24"/>
          <w:szCs w:val="24"/>
        </w:rPr>
        <w:t xml:space="preserve"> soit </w:t>
      </w:r>
      <w:r w:rsidRPr="008D4BEF">
        <w:rPr>
          <w:rFonts w:ascii="Times New Roman" w:hAnsi="Times New Roman" w:cs="Times New Roman"/>
          <w:kern w:val="24"/>
          <w:sz w:val="24"/>
          <w:szCs w:val="24"/>
        </w:rPr>
        <w:lastRenderedPageBreak/>
        <w:t xml:space="preserve">véritablement une opération d’achat ou de vente et que la prise de risque est un principe majeur en finance </w:t>
      </w:r>
      <w:r w:rsidR="007638E2"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à condition qu’elle soit basée sur des informations et des données relatives aux marchés</w:t>
      </w:r>
      <w:r w:rsidRPr="008D4BEF">
        <w:rPr>
          <w:rStyle w:val="Appelnotedebasdep"/>
          <w:rFonts w:ascii="Times New Roman" w:hAnsi="Times New Roman"/>
          <w:kern w:val="24"/>
          <w:sz w:val="24"/>
          <w:szCs w:val="24"/>
        </w:rPr>
        <w:footnoteReference w:id="156"/>
      </w:r>
      <w:r w:rsidR="00124B9E" w:rsidRPr="008D4BEF">
        <w:rPr>
          <w:rFonts w:ascii="Times New Roman" w:hAnsi="Times New Roman" w:cs="Times New Roman"/>
          <w:kern w:val="24"/>
          <w:sz w:val="24"/>
          <w:szCs w:val="24"/>
        </w:rPr>
        <w:t>.</w:t>
      </w:r>
    </w:p>
    <w:p w14:paraId="44C61DAB" w14:textId="77777777" w:rsidR="00C66C20" w:rsidRPr="00C51467" w:rsidRDefault="00C66C20" w:rsidP="00F04B08">
      <w:pPr>
        <w:pStyle w:val="Titre5"/>
        <w:keepNext w:val="0"/>
        <w:keepLines w:val="0"/>
        <w:spacing w:before="120" w:after="120" w:line="300" w:lineRule="auto"/>
        <w:ind w:firstLine="709"/>
        <w:rPr>
          <w:rFonts w:asciiTheme="majorBidi" w:hAnsiTheme="majorBidi"/>
          <w:b/>
          <w:bCs/>
          <w:color w:val="auto"/>
          <w:sz w:val="24"/>
          <w:szCs w:val="24"/>
        </w:rPr>
      </w:pPr>
      <w:bookmarkStart w:id="460" w:name="_Toc182298682"/>
      <w:r w:rsidRPr="00C51467">
        <w:rPr>
          <w:rFonts w:asciiTheme="majorBidi" w:hAnsiTheme="majorBidi"/>
          <w:b/>
          <w:bCs/>
          <w:color w:val="auto"/>
          <w:sz w:val="24"/>
          <w:szCs w:val="24"/>
        </w:rPr>
        <w:t>2.</w:t>
      </w:r>
      <w:r w:rsidR="00364992" w:rsidRPr="00C51467">
        <w:rPr>
          <w:rFonts w:asciiTheme="majorBidi" w:hAnsiTheme="majorBidi"/>
          <w:b/>
          <w:bCs/>
          <w:color w:val="auto"/>
          <w:sz w:val="24"/>
          <w:szCs w:val="24"/>
        </w:rPr>
        <w:t>5</w:t>
      </w:r>
      <w:r w:rsidRPr="00C51467">
        <w:rPr>
          <w:rFonts w:asciiTheme="majorBidi" w:hAnsiTheme="majorBidi"/>
          <w:b/>
          <w:bCs/>
          <w:color w:val="auto"/>
          <w:sz w:val="24"/>
          <w:szCs w:val="24"/>
        </w:rPr>
        <w:t>.</w:t>
      </w:r>
      <w:r w:rsidR="0028400A" w:rsidRPr="00C51467">
        <w:rPr>
          <w:rFonts w:asciiTheme="majorBidi" w:hAnsiTheme="majorBidi"/>
          <w:b/>
          <w:bCs/>
          <w:color w:val="auto"/>
          <w:sz w:val="24"/>
          <w:szCs w:val="24"/>
        </w:rPr>
        <w:t>4.</w:t>
      </w:r>
      <w:r w:rsidRPr="00C51467">
        <w:rPr>
          <w:rFonts w:asciiTheme="majorBidi" w:hAnsiTheme="majorBidi"/>
          <w:b/>
          <w:bCs/>
          <w:color w:val="auto"/>
          <w:sz w:val="24"/>
          <w:szCs w:val="24"/>
        </w:rPr>
        <w:t xml:space="preserve">2- </w:t>
      </w:r>
      <w:r w:rsidRPr="000F21BE">
        <w:rPr>
          <w:rFonts w:asciiTheme="majorBidi" w:hAnsiTheme="majorBidi"/>
          <w:b/>
          <w:bCs/>
          <w:i/>
          <w:iCs/>
          <w:color w:val="auto"/>
          <w:sz w:val="24"/>
          <w:szCs w:val="24"/>
        </w:rPr>
        <w:t>T</w:t>
      </w:r>
      <w:r w:rsidR="006523B1" w:rsidRPr="000F21BE">
        <w:rPr>
          <w:rFonts w:asciiTheme="majorBidi" w:hAnsiTheme="majorBidi"/>
          <w:b/>
          <w:bCs/>
          <w:i/>
          <w:iCs/>
          <w:color w:val="auto"/>
          <w:sz w:val="24"/>
          <w:szCs w:val="24"/>
        </w:rPr>
        <w:t>awarruq</w:t>
      </w:r>
      <w:bookmarkEnd w:id="460"/>
    </w:p>
    <w:p w14:paraId="7F6CF10C" w14:textId="77777777" w:rsidR="00627626" w:rsidRPr="00346763" w:rsidRDefault="00C66C20" w:rsidP="00BF1EB6">
      <w:pPr>
        <w:tabs>
          <w:tab w:val="left" w:pos="0"/>
        </w:tabs>
        <w:autoSpaceDE w:val="0"/>
        <w:autoSpaceDN w:val="0"/>
        <w:adjustRightInd w:val="0"/>
        <w:spacing w:before="120" w:line="300" w:lineRule="auto"/>
        <w:ind w:firstLine="709"/>
        <w:rPr>
          <w:rFonts w:ascii="Times New Roman" w:hAnsi="Times New Roman" w:cs="Times New Roman"/>
          <w:spacing w:val="-6"/>
          <w:sz w:val="24"/>
          <w:szCs w:val="24"/>
        </w:rPr>
      </w:pPr>
      <w:r w:rsidRPr="00346763">
        <w:rPr>
          <w:rFonts w:ascii="Times New Roman" w:hAnsi="Times New Roman" w:cs="Times New Roman"/>
          <w:spacing w:val="-6"/>
          <w:sz w:val="24"/>
          <w:szCs w:val="24"/>
        </w:rPr>
        <w:t>C’</w:t>
      </w:r>
      <w:r w:rsidR="002760B2" w:rsidRPr="00346763">
        <w:rPr>
          <w:rFonts w:ascii="Times New Roman" w:hAnsi="Times New Roman" w:cs="Times New Roman"/>
          <w:spacing w:val="-6"/>
          <w:sz w:val="24"/>
          <w:szCs w:val="24"/>
        </w:rPr>
        <w:t>est un instrument financier utilisé lorsqu’un individu se trouve dans le besoin de</w:t>
      </w:r>
      <w:r w:rsidR="00AA5C1F" w:rsidRPr="00346763">
        <w:rPr>
          <w:rFonts w:ascii="Times New Roman" w:hAnsi="Times New Roman" w:cs="Times New Roman"/>
          <w:spacing w:val="-6"/>
          <w:sz w:val="24"/>
          <w:szCs w:val="24"/>
        </w:rPr>
        <w:t xml:space="preserve"> liquidité. </w:t>
      </w:r>
      <w:r w:rsidR="00627626" w:rsidRPr="00346763">
        <w:rPr>
          <w:rFonts w:ascii="Times New Roman" w:hAnsi="Times New Roman" w:cs="Times New Roman"/>
          <w:spacing w:val="-6"/>
          <w:sz w:val="24"/>
          <w:szCs w:val="24"/>
        </w:rPr>
        <w:t>La figure 1</w:t>
      </w:r>
      <w:r w:rsidR="00BF1EB6" w:rsidRPr="00346763">
        <w:rPr>
          <w:rFonts w:ascii="Times New Roman" w:hAnsi="Times New Roman" w:cs="Times New Roman"/>
          <w:spacing w:val="-6"/>
          <w:sz w:val="24"/>
          <w:szCs w:val="24"/>
        </w:rPr>
        <w:t>7</w:t>
      </w:r>
      <w:r w:rsidR="00627626" w:rsidRPr="00346763">
        <w:rPr>
          <w:rFonts w:ascii="Times New Roman" w:hAnsi="Times New Roman" w:cs="Times New Roman"/>
          <w:spacing w:val="-6"/>
          <w:sz w:val="24"/>
          <w:szCs w:val="24"/>
        </w:rPr>
        <w:t xml:space="preserve"> ci-dessous illustre les étapes du </w:t>
      </w:r>
      <w:r w:rsidR="00627626" w:rsidRPr="00346763">
        <w:rPr>
          <w:rFonts w:ascii="Times New Roman" w:hAnsi="Times New Roman" w:cs="Times New Roman"/>
          <w:i/>
          <w:iCs/>
          <w:spacing w:val="-6"/>
          <w:sz w:val="24"/>
          <w:szCs w:val="24"/>
        </w:rPr>
        <w:t>tawarruq</w:t>
      </w:r>
      <w:r w:rsidR="00627626" w:rsidRPr="00346763">
        <w:rPr>
          <w:rFonts w:ascii="Times New Roman" w:hAnsi="Times New Roman" w:cs="Times New Roman"/>
          <w:spacing w:val="-6"/>
          <w:sz w:val="24"/>
          <w:szCs w:val="24"/>
        </w:rPr>
        <w:t xml:space="preserve"> en général. </w:t>
      </w:r>
      <w:r w:rsidR="00AA5C1F" w:rsidRPr="00346763">
        <w:rPr>
          <w:rFonts w:ascii="Times New Roman" w:hAnsi="Times New Roman" w:cs="Times New Roman"/>
          <w:spacing w:val="-6"/>
          <w:sz w:val="24"/>
          <w:szCs w:val="24"/>
        </w:rPr>
        <w:t>Il</w:t>
      </w:r>
      <w:r w:rsidR="002760B2" w:rsidRPr="00346763">
        <w:rPr>
          <w:rFonts w:ascii="Times New Roman" w:hAnsi="Times New Roman" w:cs="Times New Roman"/>
          <w:spacing w:val="-6"/>
          <w:sz w:val="24"/>
          <w:szCs w:val="24"/>
        </w:rPr>
        <w:t xml:space="preserve"> sig</w:t>
      </w:r>
      <w:r w:rsidR="00627626" w:rsidRPr="00346763">
        <w:rPr>
          <w:rFonts w:ascii="Times New Roman" w:hAnsi="Times New Roman" w:cs="Times New Roman"/>
          <w:spacing w:val="-6"/>
          <w:sz w:val="24"/>
          <w:szCs w:val="24"/>
        </w:rPr>
        <w:t>nifie que :</w:t>
      </w:r>
    </w:p>
    <w:p w14:paraId="116867F3" w14:textId="77777777" w:rsidR="00627626" w:rsidRPr="00C8727C" w:rsidRDefault="005417D9" w:rsidP="00CB0FF1">
      <w:pPr>
        <w:pStyle w:val="Paragraphedeliste"/>
        <w:numPr>
          <w:ilvl w:val="0"/>
          <w:numId w:val="89"/>
        </w:numPr>
        <w:tabs>
          <w:tab w:val="left" w:pos="0"/>
        </w:tabs>
        <w:autoSpaceDE w:val="0"/>
        <w:autoSpaceDN w:val="0"/>
        <w:adjustRightInd w:val="0"/>
        <w:spacing w:before="60" w:line="300" w:lineRule="auto"/>
        <w:ind w:left="1135" w:hanging="284"/>
        <w:rPr>
          <w:rFonts w:ascii="Times New Roman" w:hAnsi="Times New Roman" w:cs="Times New Roman"/>
          <w:kern w:val="24"/>
          <w:sz w:val="24"/>
          <w:szCs w:val="24"/>
        </w:rPr>
      </w:pPr>
      <w:r w:rsidRPr="00C8727C">
        <w:rPr>
          <w:rFonts w:ascii="Times New Roman" w:hAnsi="Times New Roman" w:cs="Times New Roman"/>
          <w:kern w:val="24"/>
          <w:sz w:val="24"/>
          <w:szCs w:val="24"/>
        </w:rPr>
        <w:t>Une</w:t>
      </w:r>
      <w:r w:rsidR="00AA5C1F" w:rsidRPr="00C8727C">
        <w:rPr>
          <w:rFonts w:ascii="Times New Roman" w:hAnsi="Times New Roman" w:cs="Times New Roman"/>
          <w:kern w:val="24"/>
          <w:sz w:val="24"/>
          <w:szCs w:val="24"/>
        </w:rPr>
        <w:t xml:space="preserve"> personne </w:t>
      </w:r>
      <w:r w:rsidR="00CF17BC" w:rsidRPr="00C8727C">
        <w:rPr>
          <w:rFonts w:ascii="Times New Roman" w:hAnsi="Times New Roman" w:cs="Times New Roman"/>
          <w:kern w:val="24"/>
          <w:sz w:val="24"/>
          <w:szCs w:val="24"/>
        </w:rPr>
        <w:t xml:space="preserve">« B » </w:t>
      </w:r>
      <w:r w:rsidR="00707660" w:rsidRPr="00C8727C">
        <w:rPr>
          <w:rFonts w:ascii="Times New Roman" w:hAnsi="Times New Roman" w:cs="Times New Roman"/>
          <w:kern w:val="24"/>
          <w:sz w:val="24"/>
          <w:szCs w:val="24"/>
        </w:rPr>
        <w:t xml:space="preserve">désignée comme </w:t>
      </w:r>
      <w:r w:rsidR="00707660" w:rsidRPr="00C8727C">
        <w:rPr>
          <w:rFonts w:ascii="Times New Roman" w:hAnsi="Times New Roman" w:cs="Times New Roman"/>
          <w:i/>
          <w:iCs/>
          <w:kern w:val="24"/>
          <w:sz w:val="24"/>
          <w:szCs w:val="24"/>
        </w:rPr>
        <w:t>mustawriq</w:t>
      </w:r>
      <w:r w:rsidR="00707660" w:rsidRPr="00C8727C">
        <w:rPr>
          <w:rFonts w:ascii="Times New Roman" w:hAnsi="Times New Roman" w:cs="Times New Roman"/>
          <w:kern w:val="24"/>
          <w:sz w:val="24"/>
          <w:szCs w:val="24"/>
        </w:rPr>
        <w:t xml:space="preserve"> </w:t>
      </w:r>
      <w:r w:rsidR="00AA5C1F" w:rsidRPr="00C8727C">
        <w:rPr>
          <w:rFonts w:ascii="Times New Roman" w:hAnsi="Times New Roman" w:cs="Times New Roman"/>
          <w:kern w:val="24"/>
          <w:sz w:val="24"/>
          <w:szCs w:val="24"/>
        </w:rPr>
        <w:t xml:space="preserve">achète un actif </w:t>
      </w:r>
      <w:r w:rsidR="00CF17BC" w:rsidRPr="00C8727C">
        <w:rPr>
          <w:rFonts w:ascii="Times New Roman" w:hAnsi="Times New Roman" w:cs="Times New Roman"/>
          <w:kern w:val="24"/>
          <w:sz w:val="24"/>
          <w:szCs w:val="24"/>
        </w:rPr>
        <w:t xml:space="preserve">déterminé </w:t>
      </w:r>
      <w:r w:rsidR="00AA5C1F" w:rsidRPr="00C8727C">
        <w:rPr>
          <w:rFonts w:ascii="Times New Roman" w:hAnsi="Times New Roman" w:cs="Times New Roman"/>
          <w:kern w:val="24"/>
          <w:sz w:val="24"/>
          <w:szCs w:val="24"/>
        </w:rPr>
        <w:t xml:space="preserve">avec payement </w:t>
      </w:r>
      <w:r w:rsidR="00627626" w:rsidRPr="00C8727C">
        <w:rPr>
          <w:rFonts w:ascii="Times New Roman" w:hAnsi="Times New Roman" w:cs="Times New Roman"/>
          <w:kern w:val="24"/>
          <w:sz w:val="24"/>
          <w:szCs w:val="24"/>
        </w:rPr>
        <w:t xml:space="preserve">échelonné et/ou </w:t>
      </w:r>
      <w:r w:rsidR="00AA5C1F" w:rsidRPr="00C8727C">
        <w:rPr>
          <w:rFonts w:ascii="Times New Roman" w:hAnsi="Times New Roman" w:cs="Times New Roman"/>
          <w:kern w:val="24"/>
          <w:sz w:val="24"/>
          <w:szCs w:val="24"/>
        </w:rPr>
        <w:t>différé</w:t>
      </w:r>
      <w:r w:rsidR="00CF17BC" w:rsidRPr="00C8727C">
        <w:rPr>
          <w:rFonts w:ascii="Times New Roman" w:hAnsi="Times New Roman" w:cs="Times New Roman"/>
          <w:kern w:val="24"/>
          <w:sz w:val="24"/>
          <w:szCs w:val="24"/>
        </w:rPr>
        <w:t xml:space="preserve"> auprès d'un vendeur « A »</w:t>
      </w:r>
      <w:r w:rsidR="00627626" w:rsidRPr="00C8727C">
        <w:rPr>
          <w:rFonts w:ascii="Times New Roman" w:hAnsi="Times New Roman" w:cs="Times New Roman"/>
          <w:kern w:val="24"/>
          <w:sz w:val="24"/>
          <w:szCs w:val="24"/>
        </w:rPr>
        <w:t> ;</w:t>
      </w:r>
    </w:p>
    <w:p w14:paraId="6D68A23A" w14:textId="77777777" w:rsidR="00CF17BC" w:rsidRPr="00C8727C" w:rsidRDefault="005417D9" w:rsidP="00CB0FF1">
      <w:pPr>
        <w:pStyle w:val="Paragraphedeliste"/>
        <w:numPr>
          <w:ilvl w:val="0"/>
          <w:numId w:val="89"/>
        </w:numPr>
        <w:tabs>
          <w:tab w:val="left" w:pos="0"/>
        </w:tabs>
        <w:autoSpaceDE w:val="0"/>
        <w:autoSpaceDN w:val="0"/>
        <w:adjustRightInd w:val="0"/>
        <w:spacing w:before="60" w:line="300" w:lineRule="auto"/>
        <w:ind w:left="1135" w:hanging="284"/>
        <w:rPr>
          <w:rFonts w:ascii="Times New Roman" w:hAnsi="Times New Roman" w:cs="Times New Roman"/>
          <w:kern w:val="24"/>
          <w:sz w:val="24"/>
          <w:szCs w:val="24"/>
        </w:rPr>
      </w:pPr>
      <w:r w:rsidRPr="00C8727C">
        <w:rPr>
          <w:rFonts w:ascii="Times New Roman" w:hAnsi="Times New Roman" w:cs="Times New Roman"/>
          <w:kern w:val="24"/>
          <w:sz w:val="24"/>
          <w:szCs w:val="24"/>
        </w:rPr>
        <w:t>Puis</w:t>
      </w:r>
      <w:r w:rsidR="00627626" w:rsidRPr="00C8727C">
        <w:rPr>
          <w:rFonts w:ascii="Times New Roman" w:hAnsi="Times New Roman" w:cs="Times New Roman"/>
          <w:kern w:val="24"/>
          <w:sz w:val="24"/>
          <w:szCs w:val="24"/>
        </w:rPr>
        <w:t>,</w:t>
      </w:r>
      <w:r w:rsidR="00AA5C1F" w:rsidRPr="00C8727C">
        <w:rPr>
          <w:rFonts w:ascii="Times New Roman" w:hAnsi="Times New Roman" w:cs="Times New Roman"/>
          <w:kern w:val="24"/>
          <w:sz w:val="24"/>
          <w:szCs w:val="24"/>
        </w:rPr>
        <w:t xml:space="preserve"> </w:t>
      </w:r>
      <w:r w:rsidRPr="00C8727C">
        <w:rPr>
          <w:rFonts w:ascii="Times New Roman" w:hAnsi="Times New Roman" w:cs="Times New Roman"/>
          <w:kern w:val="24"/>
          <w:sz w:val="24"/>
          <w:szCs w:val="24"/>
        </w:rPr>
        <w:t xml:space="preserve">elle </w:t>
      </w:r>
      <w:r w:rsidR="00AA5C1F" w:rsidRPr="00C8727C">
        <w:rPr>
          <w:rFonts w:ascii="Times New Roman" w:hAnsi="Times New Roman" w:cs="Times New Roman"/>
          <w:kern w:val="24"/>
          <w:sz w:val="24"/>
          <w:szCs w:val="24"/>
        </w:rPr>
        <w:t>le</w:t>
      </w:r>
      <w:r w:rsidR="002760B2" w:rsidRPr="00C8727C">
        <w:rPr>
          <w:rFonts w:ascii="Times New Roman" w:hAnsi="Times New Roman" w:cs="Times New Roman"/>
          <w:kern w:val="24"/>
          <w:sz w:val="24"/>
          <w:szCs w:val="24"/>
        </w:rPr>
        <w:t xml:space="preserve"> revend au comptant et en</w:t>
      </w:r>
      <w:r w:rsidR="00627626" w:rsidRPr="00C8727C">
        <w:rPr>
          <w:rFonts w:ascii="Times New Roman" w:hAnsi="Times New Roman" w:cs="Times New Roman"/>
          <w:kern w:val="24"/>
          <w:sz w:val="24"/>
          <w:szCs w:val="24"/>
        </w:rPr>
        <w:t xml:space="preserve"> espèces pour un prix minoré à une personne « C ».</w:t>
      </w:r>
    </w:p>
    <w:p w14:paraId="622479D0" w14:textId="75BB4FA4" w:rsidR="00207B56" w:rsidRPr="00346763" w:rsidRDefault="00207B56" w:rsidP="008D4BEF">
      <w:pPr>
        <w:pStyle w:val="Lgende"/>
        <w:keepNext/>
        <w:spacing w:before="100" w:beforeAutospacing="1" w:after="120" w:line="300" w:lineRule="auto"/>
        <w:jc w:val="center"/>
        <w:rPr>
          <w:rFonts w:asciiTheme="majorBidi" w:hAnsiTheme="majorBidi" w:cstheme="majorBidi"/>
          <w:color w:val="auto"/>
          <w:sz w:val="24"/>
          <w:szCs w:val="24"/>
        </w:rPr>
      </w:pPr>
      <w:bookmarkStart w:id="461" w:name="_Toc115527429"/>
      <w:r w:rsidRPr="00346763">
        <w:rPr>
          <w:rFonts w:asciiTheme="majorBidi" w:hAnsiTheme="majorBidi" w:cstheme="majorBidi"/>
          <w:color w:val="auto"/>
          <w:sz w:val="24"/>
          <w:szCs w:val="24"/>
        </w:rPr>
        <w:t xml:space="preserve">Figure </w:t>
      </w:r>
      <w:r w:rsidR="00B544E5" w:rsidRPr="00346763">
        <w:rPr>
          <w:rFonts w:asciiTheme="majorBidi" w:hAnsiTheme="majorBidi" w:cstheme="majorBidi"/>
          <w:color w:val="auto"/>
          <w:sz w:val="24"/>
          <w:szCs w:val="24"/>
        </w:rPr>
        <w:fldChar w:fldCharType="begin"/>
      </w:r>
      <w:r w:rsidRPr="00346763">
        <w:rPr>
          <w:rFonts w:asciiTheme="majorBidi" w:hAnsiTheme="majorBidi" w:cstheme="majorBidi"/>
          <w:color w:val="auto"/>
          <w:sz w:val="24"/>
          <w:szCs w:val="24"/>
        </w:rPr>
        <w:instrText xml:space="preserve"> SEQ Figure \* ARABIC </w:instrText>
      </w:r>
      <w:r w:rsidR="00B544E5" w:rsidRPr="00346763">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18</w:t>
      </w:r>
      <w:r w:rsidR="00B544E5" w:rsidRPr="00346763">
        <w:rPr>
          <w:rFonts w:asciiTheme="majorBidi" w:hAnsiTheme="majorBidi" w:cstheme="majorBidi"/>
          <w:color w:val="auto"/>
          <w:sz w:val="24"/>
          <w:szCs w:val="24"/>
        </w:rPr>
        <w:fldChar w:fldCharType="end"/>
      </w:r>
      <w:r w:rsidRPr="00346763">
        <w:rPr>
          <w:rFonts w:asciiTheme="majorBidi" w:hAnsiTheme="majorBidi" w:cstheme="majorBidi"/>
          <w:color w:val="auto"/>
          <w:sz w:val="24"/>
          <w:szCs w:val="24"/>
        </w:rPr>
        <w:t>- Structure d'un contrat Tawarrouq</w:t>
      </w:r>
      <w:bookmarkEnd w:id="461"/>
    </w:p>
    <w:p w14:paraId="2C620C63" w14:textId="77777777" w:rsidR="005417D9" w:rsidRPr="005417D9" w:rsidRDefault="005417D9" w:rsidP="00F04B08">
      <w:pPr>
        <w:pStyle w:val="Paragraphedeliste"/>
        <w:keepNext/>
        <w:tabs>
          <w:tab w:val="left" w:pos="0"/>
        </w:tabs>
        <w:autoSpaceDE w:val="0"/>
        <w:autoSpaceDN w:val="0"/>
        <w:adjustRightInd w:val="0"/>
        <w:spacing w:line="300" w:lineRule="auto"/>
        <w:ind w:left="0"/>
        <w:contextualSpacing w:val="0"/>
        <w:rPr>
          <w:rFonts w:ascii="Times New Roman" w:hAnsi="Times New Roman" w:cs="Times New Roman"/>
          <w:sz w:val="24"/>
          <w:szCs w:val="24"/>
        </w:rPr>
      </w:pPr>
      <w:r w:rsidRPr="002B005F">
        <w:rPr>
          <w:noProof/>
          <w:lang w:eastAsia="fr-FR"/>
        </w:rPr>
        <w:drawing>
          <wp:anchor distT="0" distB="0" distL="114300" distR="114300" simplePos="0" relativeHeight="251533312" behindDoc="0" locked="1" layoutInCell="1" allowOverlap="0" wp14:anchorId="5D7FA252" wp14:editId="5814EAE8">
            <wp:simplePos x="0" y="0"/>
            <wp:positionH relativeFrom="margin">
              <wp:posOffset>786765</wp:posOffset>
            </wp:positionH>
            <wp:positionV relativeFrom="paragraph">
              <wp:posOffset>130810</wp:posOffset>
            </wp:positionV>
            <wp:extent cx="4276725" cy="1514475"/>
            <wp:effectExtent l="0" t="0" r="0" b="0"/>
            <wp:wrapNone/>
            <wp:docPr id="1360" name="Image 117" descr="C:\Users\hP\Pictures\Nouvelle 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hP\Pictures\Nouvelle image (10).png"/>
                    <pic:cNvPicPr>
                      <a:picLocks noChangeAspect="1" noChangeArrowheads="1"/>
                    </pic:cNvPicPr>
                  </pic:nvPicPr>
                  <pic:blipFill>
                    <a:blip r:embed="rId40" cstate="print"/>
                    <a:srcRect/>
                    <a:stretch>
                      <a:fillRect/>
                    </a:stretch>
                  </pic:blipFill>
                  <pic:spPr bwMode="auto">
                    <a:xfrm>
                      <a:off x="0" y="0"/>
                      <a:ext cx="4276725" cy="1514475"/>
                    </a:xfrm>
                    <a:prstGeom prst="rect">
                      <a:avLst/>
                    </a:prstGeom>
                    <a:noFill/>
                    <a:ln w="9525">
                      <a:noFill/>
                      <a:miter lim="800000"/>
                      <a:headEnd/>
                      <a:tailEnd/>
                    </a:ln>
                  </pic:spPr>
                </pic:pic>
              </a:graphicData>
            </a:graphic>
          </wp:anchor>
        </w:drawing>
      </w:r>
    </w:p>
    <w:p w14:paraId="4881F40D" w14:textId="77777777" w:rsidR="005417D9" w:rsidRPr="005417D9" w:rsidRDefault="005417D9" w:rsidP="00F04B08">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sz w:val="24"/>
          <w:szCs w:val="24"/>
        </w:rPr>
      </w:pPr>
    </w:p>
    <w:p w14:paraId="3C7C7881" w14:textId="77777777" w:rsidR="005417D9" w:rsidRPr="005417D9" w:rsidRDefault="005417D9" w:rsidP="00F04B08">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sz w:val="24"/>
          <w:szCs w:val="24"/>
        </w:rPr>
      </w:pPr>
    </w:p>
    <w:p w14:paraId="0E27C847" w14:textId="77777777" w:rsidR="005417D9" w:rsidRPr="00685F48" w:rsidRDefault="005417D9" w:rsidP="00F04B08">
      <w:pPr>
        <w:keepNext/>
        <w:tabs>
          <w:tab w:val="left" w:pos="0"/>
        </w:tabs>
        <w:autoSpaceDE w:val="0"/>
        <w:autoSpaceDN w:val="0"/>
        <w:adjustRightInd w:val="0"/>
        <w:spacing w:before="120" w:line="300" w:lineRule="auto"/>
        <w:rPr>
          <w:rFonts w:ascii="Times New Roman" w:hAnsi="Times New Roman" w:cs="Times New Roman"/>
          <w:sz w:val="24"/>
          <w:szCs w:val="24"/>
        </w:rPr>
      </w:pPr>
    </w:p>
    <w:p w14:paraId="273B1659" w14:textId="77777777" w:rsidR="005417D9" w:rsidRPr="005417D9" w:rsidRDefault="005417D9" w:rsidP="00F04B08">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sz w:val="24"/>
          <w:szCs w:val="24"/>
        </w:rPr>
      </w:pPr>
    </w:p>
    <w:p w14:paraId="20D523E8" w14:textId="77777777" w:rsidR="005417D9" w:rsidRPr="005417D9" w:rsidRDefault="005417D9" w:rsidP="00F04B08">
      <w:pPr>
        <w:pStyle w:val="Paragraphedeliste"/>
        <w:keepNext/>
        <w:tabs>
          <w:tab w:val="left" w:pos="0"/>
        </w:tabs>
        <w:autoSpaceDE w:val="0"/>
        <w:autoSpaceDN w:val="0"/>
        <w:adjustRightInd w:val="0"/>
        <w:spacing w:before="480" w:after="240" w:line="240" w:lineRule="auto"/>
        <w:ind w:left="0"/>
        <w:contextualSpacing w:val="0"/>
        <w:jc w:val="center"/>
        <w:rPr>
          <w:rFonts w:ascii="Times New Roman" w:hAnsi="Times New Roman" w:cs="Times New Roman"/>
          <w:sz w:val="20"/>
          <w:szCs w:val="20"/>
        </w:rPr>
      </w:pPr>
      <w:r w:rsidRPr="005417D9">
        <w:rPr>
          <w:rFonts w:ascii="Times New Roman" w:hAnsi="Times New Roman" w:cs="Times New Roman"/>
          <w:sz w:val="20"/>
          <w:szCs w:val="20"/>
        </w:rPr>
        <w:t xml:space="preserve">Source : </w:t>
      </w:r>
      <w:r w:rsidRPr="005417D9">
        <w:rPr>
          <w:rFonts w:ascii="Times New Roman" w:hAnsi="Times New Roman" w:cs="Times New Roman"/>
          <w:smallCaps/>
          <w:sz w:val="20"/>
          <w:szCs w:val="20"/>
        </w:rPr>
        <w:t xml:space="preserve">Latrache </w:t>
      </w:r>
      <w:r w:rsidRPr="005417D9">
        <w:rPr>
          <w:rFonts w:ascii="Times New Roman" w:hAnsi="Times New Roman" w:cs="Times New Roman"/>
          <w:sz w:val="20"/>
          <w:szCs w:val="20"/>
        </w:rPr>
        <w:t xml:space="preserve">et </w:t>
      </w:r>
      <w:r w:rsidRPr="005417D9">
        <w:rPr>
          <w:rFonts w:ascii="Times New Roman" w:hAnsi="Times New Roman" w:cs="Times New Roman"/>
          <w:smallCaps/>
          <w:sz w:val="20"/>
          <w:szCs w:val="20"/>
        </w:rPr>
        <w:t>Oddos</w:t>
      </w:r>
      <w:r w:rsidRPr="005417D9">
        <w:rPr>
          <w:rFonts w:ascii="Times New Roman" w:hAnsi="Times New Roman" w:cs="Times New Roman"/>
          <w:sz w:val="20"/>
          <w:szCs w:val="20"/>
        </w:rPr>
        <w:t xml:space="preserve"> (2010), p. 53.</w:t>
      </w:r>
    </w:p>
    <w:p w14:paraId="2BCF5160" w14:textId="77777777" w:rsidR="002760B2" w:rsidRPr="00FF6277" w:rsidRDefault="002760B2" w:rsidP="008D4BEF">
      <w:pPr>
        <w:tabs>
          <w:tab w:val="left" w:pos="0"/>
        </w:tabs>
        <w:autoSpaceDE w:val="0"/>
        <w:autoSpaceDN w:val="0"/>
        <w:adjustRightInd w:val="0"/>
        <w:spacing w:before="100" w:beforeAutospacing="1" w:line="300" w:lineRule="auto"/>
        <w:ind w:firstLine="709"/>
        <w:rPr>
          <w:rFonts w:ascii="Times New Roman" w:hAnsi="Times New Roman" w:cs="Times New Roman"/>
          <w:spacing w:val="-6"/>
          <w:sz w:val="24"/>
          <w:szCs w:val="24"/>
        </w:rPr>
      </w:pPr>
      <w:r w:rsidRPr="00FF6277">
        <w:rPr>
          <w:rFonts w:ascii="Times New Roman" w:hAnsi="Times New Roman" w:cs="Times New Roman"/>
          <w:spacing w:val="-6"/>
          <w:sz w:val="24"/>
          <w:szCs w:val="24"/>
        </w:rPr>
        <w:t xml:space="preserve">L’Académie du </w:t>
      </w:r>
      <w:r w:rsidRPr="00FF6277">
        <w:rPr>
          <w:rFonts w:ascii="Times New Roman" w:hAnsi="Times New Roman" w:cs="Times New Roman"/>
          <w:i/>
          <w:spacing w:val="-6"/>
          <w:sz w:val="24"/>
          <w:szCs w:val="24"/>
        </w:rPr>
        <w:t>Fiqh</w:t>
      </w:r>
      <w:r w:rsidR="00732369">
        <w:rPr>
          <w:rFonts w:ascii="Times New Roman" w:hAnsi="Times New Roman" w:cs="Times New Roman"/>
          <w:spacing w:val="-6"/>
          <w:sz w:val="24"/>
          <w:szCs w:val="24"/>
        </w:rPr>
        <w:t xml:space="preserve"> </w:t>
      </w:r>
      <w:r w:rsidRPr="00FF6277">
        <w:rPr>
          <w:rFonts w:ascii="Times New Roman" w:hAnsi="Times New Roman" w:cs="Times New Roman"/>
          <w:spacing w:val="-6"/>
          <w:sz w:val="24"/>
          <w:szCs w:val="24"/>
        </w:rPr>
        <w:t xml:space="preserve">définit les trois types du </w:t>
      </w:r>
      <w:r w:rsidR="006523B1" w:rsidRPr="00FF6277">
        <w:rPr>
          <w:rFonts w:ascii="Times New Roman" w:hAnsi="Times New Roman" w:cs="Times New Roman"/>
          <w:i/>
          <w:iCs/>
          <w:spacing w:val="-6"/>
          <w:sz w:val="24"/>
          <w:szCs w:val="24"/>
        </w:rPr>
        <w:t>tawarruq</w:t>
      </w:r>
      <w:r w:rsidRPr="00FF6277">
        <w:rPr>
          <w:rFonts w:ascii="Times New Roman" w:hAnsi="Times New Roman" w:cs="Times New Roman"/>
          <w:i/>
          <w:iCs/>
          <w:spacing w:val="-6"/>
          <w:sz w:val="24"/>
          <w:szCs w:val="24"/>
        </w:rPr>
        <w:t xml:space="preserve"> </w:t>
      </w:r>
      <w:r w:rsidRPr="00FF6277">
        <w:rPr>
          <w:rFonts w:ascii="Times New Roman" w:hAnsi="Times New Roman" w:cs="Times New Roman"/>
          <w:spacing w:val="-6"/>
          <w:sz w:val="24"/>
          <w:szCs w:val="24"/>
        </w:rPr>
        <w:t xml:space="preserve">comme suit : </w:t>
      </w:r>
    </w:p>
    <w:p w14:paraId="4B719E66" w14:textId="461D92FB" w:rsidR="00AA5C1F" w:rsidRPr="00FF6277" w:rsidRDefault="00CF17BC" w:rsidP="008D4BEF">
      <w:pPr>
        <w:pStyle w:val="Titre6"/>
        <w:keepNext w:val="0"/>
        <w:keepLines w:val="0"/>
        <w:spacing w:before="120" w:after="120" w:line="300" w:lineRule="auto"/>
        <w:ind w:firstLine="709"/>
        <w:rPr>
          <w:rFonts w:asciiTheme="majorBidi" w:hAnsiTheme="majorBidi"/>
          <w:b/>
          <w:bCs/>
          <w:color w:val="auto"/>
          <w:spacing w:val="-6"/>
          <w:sz w:val="24"/>
          <w:szCs w:val="24"/>
        </w:rPr>
      </w:pPr>
      <w:bookmarkStart w:id="462" w:name="_Toc182298683"/>
      <w:r w:rsidRPr="00FF6277">
        <w:rPr>
          <w:rFonts w:asciiTheme="majorBidi" w:hAnsiTheme="majorBidi"/>
          <w:b/>
          <w:bCs/>
          <w:color w:val="auto"/>
          <w:spacing w:val="-6"/>
          <w:sz w:val="24"/>
          <w:szCs w:val="24"/>
        </w:rPr>
        <w:t>2.</w:t>
      </w:r>
      <w:r w:rsidR="00364992" w:rsidRPr="00FF6277">
        <w:rPr>
          <w:rFonts w:asciiTheme="majorBidi" w:hAnsiTheme="majorBidi"/>
          <w:b/>
          <w:bCs/>
          <w:color w:val="auto"/>
          <w:spacing w:val="-6"/>
          <w:sz w:val="24"/>
          <w:szCs w:val="24"/>
        </w:rPr>
        <w:t>5</w:t>
      </w:r>
      <w:r w:rsidRPr="00FF6277">
        <w:rPr>
          <w:rFonts w:asciiTheme="majorBidi" w:hAnsiTheme="majorBidi"/>
          <w:b/>
          <w:bCs/>
          <w:color w:val="auto"/>
          <w:spacing w:val="-6"/>
          <w:sz w:val="24"/>
          <w:szCs w:val="24"/>
        </w:rPr>
        <w:t xml:space="preserve">.4.2.1- </w:t>
      </w:r>
      <w:r w:rsidR="002760B2" w:rsidRPr="00FF6277">
        <w:rPr>
          <w:rFonts w:asciiTheme="majorBidi" w:hAnsiTheme="majorBidi"/>
          <w:b/>
          <w:bCs/>
          <w:color w:val="auto"/>
          <w:spacing w:val="-6"/>
          <w:sz w:val="24"/>
          <w:szCs w:val="24"/>
        </w:rPr>
        <w:t>Tawarruq</w:t>
      </w:r>
      <w:r w:rsidRPr="00FF6277">
        <w:rPr>
          <w:rFonts w:asciiTheme="majorBidi" w:hAnsiTheme="majorBidi"/>
          <w:b/>
          <w:bCs/>
          <w:color w:val="auto"/>
          <w:spacing w:val="-6"/>
          <w:sz w:val="24"/>
          <w:szCs w:val="24"/>
        </w:rPr>
        <w:t xml:space="preserve"> </w:t>
      </w:r>
      <w:r w:rsidRPr="00FF6277">
        <w:rPr>
          <w:rFonts w:asciiTheme="majorBidi" w:hAnsiTheme="majorBidi"/>
          <w:b/>
          <w:bCs/>
          <w:i w:val="0"/>
          <w:iCs w:val="0"/>
          <w:color w:val="auto"/>
          <w:spacing w:val="-6"/>
          <w:sz w:val="24"/>
          <w:szCs w:val="24"/>
        </w:rPr>
        <w:t>classique</w:t>
      </w:r>
      <w:bookmarkEnd w:id="462"/>
    </w:p>
    <w:p w14:paraId="60D696AE" w14:textId="77777777" w:rsidR="002760B2" w:rsidRPr="00FF6277" w:rsidRDefault="00CF17BC" w:rsidP="008D4BEF">
      <w:pPr>
        <w:pStyle w:val="Paragraphedeliste"/>
        <w:tabs>
          <w:tab w:val="left" w:pos="284"/>
          <w:tab w:val="left" w:pos="851"/>
          <w:tab w:val="left" w:pos="1134"/>
        </w:tabs>
        <w:autoSpaceDE w:val="0"/>
        <w:autoSpaceDN w:val="0"/>
        <w:adjustRightInd w:val="0"/>
        <w:spacing w:before="120" w:line="300" w:lineRule="auto"/>
        <w:ind w:left="0" w:firstLine="709"/>
        <w:contextualSpacing w:val="0"/>
        <w:rPr>
          <w:rFonts w:ascii="Times New Roman" w:hAnsi="Times New Roman" w:cs="Times New Roman"/>
          <w:spacing w:val="-6"/>
          <w:sz w:val="24"/>
          <w:szCs w:val="24"/>
        </w:rPr>
      </w:pPr>
      <w:r w:rsidRPr="00FF6277">
        <w:rPr>
          <w:rFonts w:ascii="Times New Roman" w:hAnsi="Times New Roman" w:cs="Times New Roman"/>
          <w:spacing w:val="-6"/>
          <w:sz w:val="24"/>
          <w:szCs w:val="24"/>
        </w:rPr>
        <w:t>U</w:t>
      </w:r>
      <w:r w:rsidR="002760B2" w:rsidRPr="00FF6277">
        <w:rPr>
          <w:rFonts w:ascii="Times New Roman" w:hAnsi="Times New Roman" w:cs="Times New Roman"/>
          <w:spacing w:val="-6"/>
          <w:sz w:val="24"/>
          <w:szCs w:val="24"/>
        </w:rPr>
        <w:t xml:space="preserve">ne opération dans laquelle </w:t>
      </w:r>
      <w:r w:rsidR="00707660" w:rsidRPr="00FF6277">
        <w:rPr>
          <w:rFonts w:ascii="Times New Roman" w:hAnsi="Times New Roman" w:cs="Times New Roman"/>
          <w:spacing w:val="-6"/>
          <w:sz w:val="24"/>
          <w:szCs w:val="24"/>
        </w:rPr>
        <w:t>un</w:t>
      </w:r>
      <w:r w:rsidR="002760B2" w:rsidRPr="00FF6277">
        <w:rPr>
          <w:rFonts w:ascii="Times New Roman" w:hAnsi="Times New Roman" w:cs="Times New Roman"/>
          <w:spacing w:val="-6"/>
          <w:sz w:val="24"/>
          <w:szCs w:val="24"/>
        </w:rPr>
        <w:t xml:space="preserve"> </w:t>
      </w:r>
      <w:r w:rsidR="002760B2" w:rsidRPr="00FF6277">
        <w:rPr>
          <w:rFonts w:ascii="Times New Roman" w:hAnsi="Times New Roman" w:cs="Times New Roman"/>
          <w:i/>
          <w:iCs/>
          <w:spacing w:val="-6"/>
          <w:sz w:val="24"/>
          <w:szCs w:val="24"/>
        </w:rPr>
        <w:t>m</w:t>
      </w:r>
      <w:r w:rsidR="00707660" w:rsidRPr="00FF6277">
        <w:rPr>
          <w:rFonts w:ascii="Times New Roman" w:hAnsi="Times New Roman" w:cs="Times New Roman"/>
          <w:i/>
          <w:iCs/>
          <w:spacing w:val="-6"/>
          <w:sz w:val="24"/>
          <w:szCs w:val="24"/>
        </w:rPr>
        <w:t>o</w:t>
      </w:r>
      <w:r w:rsidR="002760B2" w:rsidRPr="00FF6277">
        <w:rPr>
          <w:rFonts w:ascii="Times New Roman" w:hAnsi="Times New Roman" w:cs="Times New Roman"/>
          <w:i/>
          <w:iCs/>
          <w:spacing w:val="-6"/>
          <w:sz w:val="24"/>
          <w:szCs w:val="24"/>
        </w:rPr>
        <w:t>ustawriq</w:t>
      </w:r>
      <w:r w:rsidR="002760B2" w:rsidRPr="00FF6277">
        <w:rPr>
          <w:rFonts w:ascii="Times New Roman" w:hAnsi="Times New Roman" w:cs="Times New Roman"/>
          <w:spacing w:val="-6"/>
          <w:sz w:val="24"/>
          <w:szCs w:val="24"/>
        </w:rPr>
        <w:t xml:space="preserve"> achète une marchandise moyennant un paiement di</w:t>
      </w:r>
      <w:r w:rsidR="00AA5C1F" w:rsidRPr="00FF6277">
        <w:rPr>
          <w:rFonts w:ascii="Times New Roman" w:hAnsi="Times New Roman" w:cs="Times New Roman"/>
          <w:spacing w:val="-6"/>
          <w:sz w:val="24"/>
          <w:szCs w:val="24"/>
        </w:rPr>
        <w:t>fféré</w:t>
      </w:r>
      <w:r w:rsidR="002760B2" w:rsidRPr="00FF6277">
        <w:rPr>
          <w:rFonts w:ascii="Times New Roman" w:hAnsi="Times New Roman" w:cs="Times New Roman"/>
          <w:spacing w:val="-6"/>
          <w:sz w:val="24"/>
          <w:szCs w:val="24"/>
        </w:rPr>
        <w:t xml:space="preserve"> pour la </w:t>
      </w:r>
      <w:r w:rsidR="00685F48" w:rsidRPr="00FF6277">
        <w:rPr>
          <w:rFonts w:ascii="Times New Roman" w:hAnsi="Times New Roman" w:cs="Times New Roman"/>
          <w:spacing w:val="-6"/>
          <w:sz w:val="24"/>
          <w:szCs w:val="24"/>
        </w:rPr>
        <w:t>re</w:t>
      </w:r>
      <w:r w:rsidR="002760B2" w:rsidRPr="00FF6277">
        <w:rPr>
          <w:rFonts w:ascii="Times New Roman" w:hAnsi="Times New Roman" w:cs="Times New Roman"/>
          <w:spacing w:val="-6"/>
          <w:sz w:val="24"/>
          <w:szCs w:val="24"/>
        </w:rPr>
        <w:t xml:space="preserve">vendre comptant à un prix inférieur. Le </w:t>
      </w:r>
      <w:r w:rsidR="002760B2" w:rsidRPr="00FF6277">
        <w:rPr>
          <w:rFonts w:ascii="Times New Roman" w:hAnsi="Times New Roman" w:cs="Times New Roman"/>
          <w:i/>
          <w:iCs/>
          <w:spacing w:val="-6"/>
          <w:sz w:val="24"/>
          <w:szCs w:val="24"/>
        </w:rPr>
        <w:t>m</w:t>
      </w:r>
      <w:r w:rsidR="00707660" w:rsidRPr="00FF6277">
        <w:rPr>
          <w:rFonts w:ascii="Times New Roman" w:hAnsi="Times New Roman" w:cs="Times New Roman"/>
          <w:i/>
          <w:iCs/>
          <w:spacing w:val="-6"/>
          <w:sz w:val="24"/>
          <w:szCs w:val="24"/>
        </w:rPr>
        <w:t>o</w:t>
      </w:r>
      <w:r w:rsidR="002760B2" w:rsidRPr="00FF6277">
        <w:rPr>
          <w:rFonts w:ascii="Times New Roman" w:hAnsi="Times New Roman" w:cs="Times New Roman"/>
          <w:i/>
          <w:iCs/>
          <w:spacing w:val="-6"/>
          <w:sz w:val="24"/>
          <w:szCs w:val="24"/>
        </w:rPr>
        <w:t>ustawriq</w:t>
      </w:r>
      <w:r w:rsidR="002760B2" w:rsidRPr="00FF6277">
        <w:rPr>
          <w:rFonts w:ascii="Times New Roman" w:hAnsi="Times New Roman" w:cs="Times New Roman"/>
          <w:spacing w:val="-6"/>
          <w:sz w:val="24"/>
          <w:szCs w:val="24"/>
        </w:rPr>
        <w:t xml:space="preserve"> revend en général la marchandise à </w:t>
      </w:r>
      <w:r w:rsidR="00627626" w:rsidRPr="00FF6277">
        <w:rPr>
          <w:rFonts w:ascii="Times New Roman" w:hAnsi="Times New Roman" w:cs="Times New Roman"/>
          <w:spacing w:val="-6"/>
          <w:sz w:val="24"/>
          <w:szCs w:val="24"/>
        </w:rPr>
        <w:t xml:space="preserve">une tierce personne </w:t>
      </w:r>
      <w:r w:rsidR="002760B2" w:rsidRPr="00FF6277">
        <w:rPr>
          <w:rFonts w:ascii="Times New Roman" w:hAnsi="Times New Roman" w:cs="Times New Roman"/>
          <w:spacing w:val="-6"/>
          <w:sz w:val="24"/>
          <w:szCs w:val="24"/>
        </w:rPr>
        <w:t>dans le but d'obtenir des liquidités.</w:t>
      </w:r>
    </w:p>
    <w:p w14:paraId="235F7312" w14:textId="77777777" w:rsidR="00CF17BC" w:rsidRPr="00FF6277" w:rsidRDefault="00CF17BC" w:rsidP="008D4BEF">
      <w:pPr>
        <w:pStyle w:val="Titre6"/>
        <w:keepNext w:val="0"/>
        <w:keepLines w:val="0"/>
        <w:spacing w:before="120" w:after="120" w:line="300" w:lineRule="auto"/>
        <w:ind w:firstLine="709"/>
        <w:rPr>
          <w:rFonts w:asciiTheme="majorBidi" w:hAnsiTheme="majorBidi"/>
          <w:b/>
          <w:bCs/>
          <w:color w:val="auto"/>
          <w:spacing w:val="-6"/>
          <w:sz w:val="24"/>
          <w:szCs w:val="24"/>
        </w:rPr>
      </w:pPr>
      <w:bookmarkStart w:id="463" w:name="_Toc182298684"/>
      <w:r w:rsidRPr="00FF6277">
        <w:rPr>
          <w:rFonts w:asciiTheme="majorBidi" w:hAnsiTheme="majorBidi"/>
          <w:b/>
          <w:bCs/>
          <w:color w:val="auto"/>
          <w:spacing w:val="-6"/>
          <w:sz w:val="24"/>
          <w:szCs w:val="24"/>
        </w:rPr>
        <w:t>2.</w:t>
      </w:r>
      <w:r w:rsidR="00364992" w:rsidRPr="00FF6277">
        <w:rPr>
          <w:rFonts w:asciiTheme="majorBidi" w:hAnsiTheme="majorBidi"/>
          <w:b/>
          <w:bCs/>
          <w:color w:val="auto"/>
          <w:spacing w:val="-6"/>
          <w:sz w:val="24"/>
          <w:szCs w:val="24"/>
        </w:rPr>
        <w:t>5</w:t>
      </w:r>
      <w:r w:rsidRPr="00FF6277">
        <w:rPr>
          <w:rFonts w:asciiTheme="majorBidi" w:hAnsiTheme="majorBidi"/>
          <w:b/>
          <w:bCs/>
          <w:color w:val="auto"/>
          <w:spacing w:val="-6"/>
          <w:sz w:val="24"/>
          <w:szCs w:val="24"/>
        </w:rPr>
        <w:t xml:space="preserve">.4.2.2- </w:t>
      </w:r>
      <w:r w:rsidR="002760B2" w:rsidRPr="00FF6277">
        <w:rPr>
          <w:rFonts w:asciiTheme="majorBidi" w:hAnsiTheme="majorBidi"/>
          <w:b/>
          <w:bCs/>
          <w:i w:val="0"/>
          <w:iCs w:val="0"/>
          <w:color w:val="auto"/>
          <w:spacing w:val="-6"/>
          <w:sz w:val="24"/>
          <w:szCs w:val="24"/>
        </w:rPr>
        <w:t>Organized</w:t>
      </w:r>
      <w:r w:rsidR="002760B2" w:rsidRPr="00FF6277">
        <w:rPr>
          <w:rFonts w:asciiTheme="majorBidi" w:hAnsiTheme="majorBidi"/>
          <w:b/>
          <w:bCs/>
          <w:color w:val="auto"/>
          <w:spacing w:val="-6"/>
          <w:sz w:val="24"/>
          <w:szCs w:val="24"/>
        </w:rPr>
        <w:t xml:space="preserve"> </w:t>
      </w:r>
      <w:r w:rsidR="00C82C2D" w:rsidRPr="00FF6277">
        <w:rPr>
          <w:rFonts w:asciiTheme="majorBidi" w:hAnsiTheme="majorBidi"/>
          <w:b/>
          <w:bCs/>
          <w:color w:val="auto"/>
          <w:spacing w:val="-6"/>
          <w:sz w:val="24"/>
          <w:szCs w:val="24"/>
        </w:rPr>
        <w:t>t</w:t>
      </w:r>
      <w:r w:rsidR="002760B2" w:rsidRPr="00FF6277">
        <w:rPr>
          <w:rFonts w:asciiTheme="majorBidi" w:hAnsiTheme="majorBidi"/>
          <w:b/>
          <w:bCs/>
          <w:color w:val="auto"/>
          <w:spacing w:val="-6"/>
          <w:sz w:val="24"/>
          <w:szCs w:val="24"/>
        </w:rPr>
        <w:t>awarruq</w:t>
      </w:r>
      <w:bookmarkEnd w:id="463"/>
    </w:p>
    <w:p w14:paraId="1FCE358F" w14:textId="77777777" w:rsidR="002760B2" w:rsidRPr="00FF6277" w:rsidRDefault="00685F48" w:rsidP="008D4BEF">
      <w:pPr>
        <w:pStyle w:val="Paragraphedeliste"/>
        <w:tabs>
          <w:tab w:val="left" w:pos="284"/>
          <w:tab w:val="left" w:pos="851"/>
          <w:tab w:val="left" w:pos="1134"/>
        </w:tabs>
        <w:autoSpaceDE w:val="0"/>
        <w:autoSpaceDN w:val="0"/>
        <w:adjustRightInd w:val="0"/>
        <w:spacing w:before="120" w:line="300" w:lineRule="auto"/>
        <w:ind w:left="0" w:firstLine="709"/>
        <w:contextualSpacing w:val="0"/>
        <w:rPr>
          <w:rFonts w:ascii="Times New Roman" w:hAnsi="Times New Roman" w:cs="Times New Roman"/>
          <w:spacing w:val="-6"/>
          <w:sz w:val="24"/>
          <w:szCs w:val="24"/>
        </w:rPr>
      </w:pPr>
      <w:r w:rsidRPr="00FF6277">
        <w:rPr>
          <w:rFonts w:ascii="Times New Roman" w:hAnsi="Times New Roman" w:cs="Times New Roman"/>
          <w:spacing w:val="-6"/>
          <w:sz w:val="24"/>
          <w:szCs w:val="24"/>
        </w:rPr>
        <w:t>Il s’agit d’une pratique par laquelle</w:t>
      </w:r>
      <w:r w:rsidR="00707660" w:rsidRPr="00FF6277">
        <w:rPr>
          <w:rFonts w:ascii="Times New Roman" w:hAnsi="Times New Roman" w:cs="Times New Roman"/>
          <w:spacing w:val="-6"/>
          <w:sz w:val="24"/>
          <w:szCs w:val="24"/>
        </w:rPr>
        <w:t xml:space="preserve"> un </w:t>
      </w:r>
      <w:r w:rsidR="00707660" w:rsidRPr="00FF6277">
        <w:rPr>
          <w:rFonts w:ascii="Times New Roman" w:hAnsi="Times New Roman" w:cs="Times New Roman"/>
          <w:i/>
          <w:iCs/>
          <w:spacing w:val="-6"/>
          <w:sz w:val="24"/>
          <w:szCs w:val="24"/>
        </w:rPr>
        <w:t>mustawriq</w:t>
      </w:r>
      <w:r w:rsidR="002760B2" w:rsidRPr="00FF6277">
        <w:rPr>
          <w:rFonts w:ascii="Times New Roman" w:hAnsi="Times New Roman" w:cs="Times New Roman"/>
          <w:spacing w:val="-6"/>
          <w:sz w:val="24"/>
          <w:szCs w:val="24"/>
        </w:rPr>
        <w:t xml:space="preserve"> achète une marchandise s</w:t>
      </w:r>
      <w:r w:rsidR="00246A3B" w:rsidRPr="00FF6277">
        <w:rPr>
          <w:rFonts w:ascii="Times New Roman" w:hAnsi="Times New Roman" w:cs="Times New Roman"/>
          <w:spacing w:val="-6"/>
          <w:sz w:val="24"/>
          <w:szCs w:val="24"/>
        </w:rPr>
        <w:t>ur un marché ré</w:t>
      </w:r>
      <w:r w:rsidR="002760B2" w:rsidRPr="00FF6277">
        <w:rPr>
          <w:rFonts w:ascii="Times New Roman" w:hAnsi="Times New Roman" w:cs="Times New Roman"/>
          <w:spacing w:val="-6"/>
          <w:sz w:val="24"/>
          <w:szCs w:val="24"/>
        </w:rPr>
        <w:t>glementé n</w:t>
      </w:r>
      <w:r w:rsidR="00707660" w:rsidRPr="00FF6277">
        <w:rPr>
          <w:rFonts w:ascii="Times New Roman" w:hAnsi="Times New Roman" w:cs="Times New Roman"/>
          <w:spacing w:val="-6"/>
          <w:sz w:val="24"/>
          <w:szCs w:val="24"/>
        </w:rPr>
        <w:t>ational ou international</w:t>
      </w:r>
      <w:r w:rsidR="002760B2" w:rsidRPr="00FF6277">
        <w:rPr>
          <w:rFonts w:ascii="Times New Roman" w:hAnsi="Times New Roman" w:cs="Times New Roman"/>
          <w:spacing w:val="-6"/>
          <w:sz w:val="24"/>
          <w:szCs w:val="24"/>
        </w:rPr>
        <w:t xml:space="preserve"> moye</w:t>
      </w:r>
      <w:r w:rsidR="00AA5C1F" w:rsidRPr="00FF6277">
        <w:rPr>
          <w:rFonts w:ascii="Times New Roman" w:hAnsi="Times New Roman" w:cs="Times New Roman"/>
          <w:spacing w:val="-6"/>
          <w:sz w:val="24"/>
          <w:szCs w:val="24"/>
        </w:rPr>
        <w:t>nnant un paiement différé. Le « financier »</w:t>
      </w:r>
      <w:r w:rsidR="002760B2" w:rsidRPr="00FF6277">
        <w:rPr>
          <w:rFonts w:ascii="Times New Roman" w:hAnsi="Times New Roman" w:cs="Times New Roman"/>
          <w:spacing w:val="-6"/>
          <w:sz w:val="24"/>
          <w:szCs w:val="24"/>
        </w:rPr>
        <w:t xml:space="preserve"> met en place le contrat de vente lui-même ou par l'intermédiaire de son mandataire. Simu</w:t>
      </w:r>
      <w:r w:rsidR="00AA5C1F" w:rsidRPr="00FF6277">
        <w:rPr>
          <w:rFonts w:ascii="Times New Roman" w:hAnsi="Times New Roman" w:cs="Times New Roman"/>
          <w:spacing w:val="-6"/>
          <w:sz w:val="24"/>
          <w:szCs w:val="24"/>
        </w:rPr>
        <w:t xml:space="preserve">ltanément, le </w:t>
      </w:r>
      <w:r w:rsidR="00AA5C1F" w:rsidRPr="00FF6277">
        <w:rPr>
          <w:rFonts w:ascii="Times New Roman" w:hAnsi="Times New Roman" w:cs="Times New Roman"/>
          <w:i/>
          <w:iCs/>
          <w:spacing w:val="-6"/>
          <w:sz w:val="24"/>
          <w:szCs w:val="24"/>
        </w:rPr>
        <w:t>mustawriq</w:t>
      </w:r>
      <w:r w:rsidR="00AA5C1F" w:rsidRPr="00FF6277">
        <w:rPr>
          <w:rFonts w:ascii="Times New Roman" w:hAnsi="Times New Roman" w:cs="Times New Roman"/>
          <w:spacing w:val="-6"/>
          <w:sz w:val="24"/>
          <w:szCs w:val="24"/>
        </w:rPr>
        <w:t xml:space="preserve"> et le « financier »</w:t>
      </w:r>
      <w:r w:rsidR="002760B2" w:rsidRPr="00FF6277">
        <w:rPr>
          <w:rFonts w:ascii="Times New Roman" w:hAnsi="Times New Roman" w:cs="Times New Roman"/>
          <w:spacing w:val="-6"/>
          <w:sz w:val="24"/>
          <w:szCs w:val="24"/>
        </w:rPr>
        <w:t xml:space="preserve"> exécutent les opérations, en général pour un prix inférieur payé comptant.</w:t>
      </w:r>
    </w:p>
    <w:p w14:paraId="44E97562" w14:textId="77777777" w:rsidR="00CF17BC" w:rsidRPr="00FF6277" w:rsidRDefault="00CF17BC" w:rsidP="008D4BEF">
      <w:pPr>
        <w:pStyle w:val="Titre6"/>
        <w:keepNext w:val="0"/>
        <w:keepLines w:val="0"/>
        <w:spacing w:before="120" w:after="120" w:line="300" w:lineRule="auto"/>
        <w:ind w:firstLine="709"/>
        <w:rPr>
          <w:rFonts w:asciiTheme="majorBidi" w:hAnsiTheme="majorBidi"/>
          <w:b/>
          <w:bCs/>
          <w:color w:val="auto"/>
          <w:spacing w:val="-6"/>
          <w:sz w:val="24"/>
          <w:szCs w:val="24"/>
        </w:rPr>
      </w:pPr>
      <w:bookmarkStart w:id="464" w:name="_Toc182298685"/>
      <w:r w:rsidRPr="00FF6277">
        <w:rPr>
          <w:rFonts w:asciiTheme="majorBidi" w:hAnsiTheme="majorBidi"/>
          <w:b/>
          <w:bCs/>
          <w:color w:val="auto"/>
          <w:spacing w:val="-6"/>
          <w:sz w:val="24"/>
          <w:szCs w:val="24"/>
        </w:rPr>
        <w:t>2.</w:t>
      </w:r>
      <w:r w:rsidR="00364992" w:rsidRPr="00FF6277">
        <w:rPr>
          <w:rFonts w:asciiTheme="majorBidi" w:hAnsiTheme="majorBidi"/>
          <w:b/>
          <w:bCs/>
          <w:color w:val="auto"/>
          <w:spacing w:val="-6"/>
          <w:sz w:val="24"/>
          <w:szCs w:val="24"/>
        </w:rPr>
        <w:t>5</w:t>
      </w:r>
      <w:r w:rsidRPr="00FF6277">
        <w:rPr>
          <w:rFonts w:asciiTheme="majorBidi" w:hAnsiTheme="majorBidi"/>
          <w:b/>
          <w:bCs/>
          <w:color w:val="auto"/>
          <w:spacing w:val="-6"/>
          <w:sz w:val="24"/>
          <w:szCs w:val="24"/>
        </w:rPr>
        <w:t xml:space="preserve">.4.2.3- </w:t>
      </w:r>
      <w:r w:rsidR="002760B2" w:rsidRPr="00FF6277">
        <w:rPr>
          <w:rFonts w:asciiTheme="majorBidi" w:hAnsiTheme="majorBidi"/>
          <w:b/>
          <w:bCs/>
          <w:i w:val="0"/>
          <w:iCs w:val="0"/>
          <w:color w:val="auto"/>
          <w:spacing w:val="-6"/>
          <w:sz w:val="24"/>
          <w:szCs w:val="24"/>
        </w:rPr>
        <w:t>Reverse</w:t>
      </w:r>
      <w:r w:rsidR="002760B2" w:rsidRPr="00FF6277">
        <w:rPr>
          <w:rFonts w:asciiTheme="majorBidi" w:hAnsiTheme="majorBidi"/>
          <w:b/>
          <w:bCs/>
          <w:color w:val="auto"/>
          <w:spacing w:val="-6"/>
          <w:sz w:val="24"/>
          <w:szCs w:val="24"/>
        </w:rPr>
        <w:t xml:space="preserve"> </w:t>
      </w:r>
      <w:r w:rsidR="00C82C2D" w:rsidRPr="00FF6277">
        <w:rPr>
          <w:rFonts w:asciiTheme="majorBidi" w:hAnsiTheme="majorBidi"/>
          <w:b/>
          <w:bCs/>
          <w:color w:val="auto"/>
          <w:spacing w:val="-6"/>
          <w:sz w:val="24"/>
          <w:szCs w:val="24"/>
        </w:rPr>
        <w:t>t</w:t>
      </w:r>
      <w:r w:rsidR="00246A3B" w:rsidRPr="00FF6277">
        <w:rPr>
          <w:rFonts w:asciiTheme="majorBidi" w:hAnsiTheme="majorBidi"/>
          <w:b/>
          <w:bCs/>
          <w:color w:val="auto"/>
          <w:spacing w:val="-6"/>
          <w:sz w:val="24"/>
          <w:szCs w:val="24"/>
        </w:rPr>
        <w:t>awarruq</w:t>
      </w:r>
      <w:r w:rsidR="002760B2" w:rsidRPr="00FF6277">
        <w:rPr>
          <w:rFonts w:asciiTheme="majorBidi" w:hAnsiTheme="majorBidi"/>
          <w:b/>
          <w:bCs/>
          <w:color w:val="auto"/>
          <w:spacing w:val="-6"/>
          <w:sz w:val="24"/>
          <w:szCs w:val="24"/>
        </w:rPr>
        <w:t xml:space="preserve"> (mourabaha inversée)</w:t>
      </w:r>
      <w:bookmarkEnd w:id="464"/>
    </w:p>
    <w:p w14:paraId="4B49008D" w14:textId="77777777" w:rsidR="002760B2" w:rsidRPr="00FF6277" w:rsidRDefault="00CF17BC" w:rsidP="008D4BEF">
      <w:pPr>
        <w:pStyle w:val="Paragraphedeliste"/>
        <w:tabs>
          <w:tab w:val="left" w:pos="284"/>
          <w:tab w:val="left" w:pos="851"/>
          <w:tab w:val="left" w:pos="1134"/>
        </w:tabs>
        <w:autoSpaceDE w:val="0"/>
        <w:autoSpaceDN w:val="0"/>
        <w:adjustRightInd w:val="0"/>
        <w:spacing w:before="120" w:line="300" w:lineRule="auto"/>
        <w:ind w:left="0" w:firstLine="709"/>
        <w:contextualSpacing w:val="0"/>
        <w:rPr>
          <w:rFonts w:ascii="Times New Roman" w:hAnsi="Times New Roman" w:cs="Times New Roman"/>
          <w:spacing w:val="-6"/>
          <w:sz w:val="24"/>
          <w:szCs w:val="24"/>
        </w:rPr>
      </w:pPr>
      <w:r w:rsidRPr="00FF6277">
        <w:rPr>
          <w:rFonts w:ascii="Times New Roman" w:hAnsi="Times New Roman" w:cs="Times New Roman"/>
          <w:spacing w:val="-6"/>
          <w:sz w:val="24"/>
          <w:szCs w:val="24"/>
        </w:rPr>
        <w:t>Cette</w:t>
      </w:r>
      <w:r w:rsidR="002760B2" w:rsidRPr="00FF6277">
        <w:rPr>
          <w:rFonts w:ascii="Times New Roman" w:hAnsi="Times New Roman" w:cs="Times New Roman"/>
          <w:spacing w:val="-6"/>
          <w:sz w:val="24"/>
          <w:szCs w:val="24"/>
        </w:rPr>
        <w:t xml:space="preserve"> variante est semblable à </w:t>
      </w:r>
      <w:r w:rsidR="00246A3B" w:rsidRPr="00FF6277">
        <w:rPr>
          <w:rFonts w:ascii="Times New Roman" w:hAnsi="Times New Roman" w:cs="Times New Roman"/>
          <w:i/>
          <w:iCs/>
          <w:spacing w:val="-6"/>
          <w:sz w:val="24"/>
          <w:szCs w:val="24"/>
        </w:rPr>
        <w:t>Organized ta</w:t>
      </w:r>
      <w:r w:rsidR="002760B2" w:rsidRPr="00FF6277">
        <w:rPr>
          <w:rFonts w:ascii="Times New Roman" w:hAnsi="Times New Roman" w:cs="Times New Roman"/>
          <w:i/>
          <w:iCs/>
          <w:spacing w:val="-6"/>
          <w:sz w:val="24"/>
          <w:szCs w:val="24"/>
        </w:rPr>
        <w:t>warruq</w:t>
      </w:r>
      <w:r w:rsidR="002760B2" w:rsidRPr="00FF6277">
        <w:rPr>
          <w:rFonts w:ascii="Times New Roman" w:hAnsi="Times New Roman" w:cs="Times New Roman"/>
          <w:spacing w:val="-6"/>
          <w:sz w:val="24"/>
          <w:szCs w:val="24"/>
        </w:rPr>
        <w:t xml:space="preserve"> à la différence que, dans ce cas</w:t>
      </w:r>
      <w:r w:rsidRPr="00FF6277">
        <w:rPr>
          <w:rFonts w:ascii="Times New Roman" w:hAnsi="Times New Roman" w:cs="Times New Roman"/>
          <w:spacing w:val="-6"/>
          <w:sz w:val="24"/>
          <w:szCs w:val="24"/>
        </w:rPr>
        <w:t>,</w:t>
      </w:r>
      <w:r w:rsidR="002760B2" w:rsidRPr="00FF6277">
        <w:rPr>
          <w:rFonts w:ascii="Times New Roman" w:hAnsi="Times New Roman" w:cs="Times New Roman"/>
          <w:spacing w:val="-6"/>
          <w:sz w:val="24"/>
          <w:szCs w:val="24"/>
        </w:rPr>
        <w:t xml:space="preserve"> le </w:t>
      </w:r>
      <w:r w:rsidR="002760B2" w:rsidRPr="00FF6277">
        <w:rPr>
          <w:rFonts w:ascii="Times New Roman" w:hAnsi="Times New Roman" w:cs="Times New Roman"/>
          <w:i/>
          <w:iCs/>
          <w:spacing w:val="-6"/>
          <w:sz w:val="24"/>
          <w:szCs w:val="24"/>
        </w:rPr>
        <w:t>m</w:t>
      </w:r>
      <w:r w:rsidR="001A6F65" w:rsidRPr="00FF6277">
        <w:rPr>
          <w:rFonts w:ascii="Times New Roman" w:hAnsi="Times New Roman" w:cs="Times New Roman"/>
          <w:i/>
          <w:iCs/>
          <w:spacing w:val="-6"/>
          <w:sz w:val="24"/>
          <w:szCs w:val="24"/>
        </w:rPr>
        <w:t>o</w:t>
      </w:r>
      <w:r w:rsidR="002760B2" w:rsidRPr="00FF6277">
        <w:rPr>
          <w:rFonts w:ascii="Times New Roman" w:hAnsi="Times New Roman" w:cs="Times New Roman"/>
          <w:i/>
          <w:iCs/>
          <w:spacing w:val="-6"/>
          <w:sz w:val="24"/>
          <w:szCs w:val="24"/>
        </w:rPr>
        <w:t xml:space="preserve">ustawriq </w:t>
      </w:r>
      <w:r w:rsidRPr="00FF6277">
        <w:rPr>
          <w:rFonts w:ascii="Times New Roman" w:hAnsi="Times New Roman" w:cs="Times New Roman"/>
          <w:spacing w:val="-6"/>
          <w:sz w:val="24"/>
          <w:szCs w:val="24"/>
        </w:rPr>
        <w:t>est l'établissement financier</w:t>
      </w:r>
      <w:r w:rsidR="002760B2" w:rsidRPr="00FF6277">
        <w:rPr>
          <w:rFonts w:ascii="Times New Roman" w:hAnsi="Times New Roman" w:cs="Times New Roman"/>
          <w:spacing w:val="-6"/>
          <w:sz w:val="24"/>
          <w:szCs w:val="24"/>
        </w:rPr>
        <w:t xml:space="preserve"> et agit en qualité de client.</w:t>
      </w:r>
    </w:p>
    <w:p w14:paraId="4AA6F3CB" w14:textId="41E03BF4" w:rsidR="002760B2" w:rsidRPr="00FF6277" w:rsidRDefault="002760B2" w:rsidP="008D4BEF">
      <w:pPr>
        <w:tabs>
          <w:tab w:val="left" w:pos="0"/>
        </w:tabs>
        <w:autoSpaceDE w:val="0"/>
        <w:autoSpaceDN w:val="0"/>
        <w:adjustRightInd w:val="0"/>
        <w:spacing w:before="120" w:line="300" w:lineRule="auto"/>
        <w:ind w:firstLine="709"/>
        <w:rPr>
          <w:rFonts w:ascii="Times New Roman" w:hAnsi="Times New Roman" w:cs="Times New Roman"/>
          <w:spacing w:val="-6"/>
          <w:sz w:val="24"/>
          <w:szCs w:val="24"/>
        </w:rPr>
      </w:pPr>
      <w:r w:rsidRPr="00FF6277">
        <w:rPr>
          <w:rFonts w:ascii="Times New Roman" w:hAnsi="Times New Roman" w:cs="Times New Roman"/>
          <w:spacing w:val="-6"/>
          <w:sz w:val="24"/>
          <w:szCs w:val="24"/>
        </w:rPr>
        <w:lastRenderedPageBreak/>
        <w:t>Il</w:t>
      </w:r>
      <w:r w:rsidR="00723012" w:rsidRPr="00FF6277">
        <w:rPr>
          <w:rFonts w:ascii="Times New Roman" w:hAnsi="Times New Roman" w:cs="Times New Roman"/>
          <w:spacing w:val="-6"/>
          <w:sz w:val="24"/>
          <w:szCs w:val="24"/>
        </w:rPr>
        <w:t xml:space="preserve"> faut noter que si le Vendeur « A » et l'Acheteur Final « C »</w:t>
      </w:r>
      <w:r w:rsidRPr="00FF6277">
        <w:rPr>
          <w:rFonts w:ascii="Times New Roman" w:hAnsi="Times New Roman" w:cs="Times New Roman"/>
          <w:spacing w:val="-6"/>
          <w:sz w:val="24"/>
          <w:szCs w:val="24"/>
        </w:rPr>
        <w:t xml:space="preserve"> ne sont qu'une seule et même personne, nous retombons dans un schéma de </w:t>
      </w:r>
      <w:r w:rsidR="005E5C0F" w:rsidRPr="00FF6277">
        <w:rPr>
          <w:rFonts w:ascii="Times New Roman" w:hAnsi="Times New Roman" w:cs="Times New Roman"/>
          <w:i/>
          <w:iCs/>
          <w:spacing w:val="-6"/>
          <w:sz w:val="24"/>
          <w:szCs w:val="24"/>
        </w:rPr>
        <w:t>b</w:t>
      </w:r>
      <w:r w:rsidR="00B00ED0" w:rsidRPr="00FF6277">
        <w:rPr>
          <w:rFonts w:ascii="Times New Roman" w:hAnsi="Times New Roman" w:cs="Times New Roman"/>
          <w:i/>
          <w:iCs/>
          <w:spacing w:val="-6"/>
          <w:sz w:val="24"/>
          <w:szCs w:val="24"/>
        </w:rPr>
        <w:t>ay’ al-</w:t>
      </w:r>
      <w:r w:rsidRPr="00FF6277">
        <w:rPr>
          <w:rFonts w:ascii="Times New Roman" w:hAnsi="Times New Roman" w:cs="Times New Roman"/>
          <w:i/>
          <w:iCs/>
          <w:spacing w:val="-6"/>
          <w:sz w:val="24"/>
          <w:szCs w:val="24"/>
        </w:rPr>
        <w:t>i</w:t>
      </w:r>
      <w:r w:rsidR="00B00ED0" w:rsidRPr="00FF6277">
        <w:rPr>
          <w:rFonts w:ascii="Times New Roman" w:hAnsi="Times New Roman" w:cs="Times New Roman"/>
          <w:i/>
          <w:iCs/>
          <w:spacing w:val="-6"/>
          <w:sz w:val="24"/>
          <w:szCs w:val="24"/>
        </w:rPr>
        <w:t>’</w:t>
      </w:r>
      <w:r w:rsidRPr="00FF6277">
        <w:rPr>
          <w:rFonts w:ascii="Times New Roman" w:hAnsi="Times New Roman" w:cs="Times New Roman"/>
          <w:i/>
          <w:iCs/>
          <w:spacing w:val="-6"/>
          <w:sz w:val="24"/>
          <w:szCs w:val="24"/>
        </w:rPr>
        <w:t>nah</w:t>
      </w:r>
      <w:r w:rsidRPr="00FF6277">
        <w:rPr>
          <w:rFonts w:ascii="Times New Roman" w:hAnsi="Times New Roman" w:cs="Times New Roman"/>
          <w:spacing w:val="-6"/>
          <w:sz w:val="24"/>
          <w:szCs w:val="24"/>
        </w:rPr>
        <w:t>. Ce dernier qui consiste à revendre les actifs au premier vendeur</w:t>
      </w:r>
      <w:r w:rsidR="00685F48" w:rsidRPr="00FF6277">
        <w:rPr>
          <w:rFonts w:ascii="Times New Roman" w:hAnsi="Times New Roman" w:cs="Times New Roman"/>
          <w:spacing w:val="-6"/>
          <w:sz w:val="24"/>
          <w:szCs w:val="24"/>
        </w:rPr>
        <w:t> ;</w:t>
      </w:r>
      <w:r w:rsidRPr="00FF6277">
        <w:rPr>
          <w:rFonts w:ascii="Times New Roman" w:hAnsi="Times New Roman" w:cs="Times New Roman"/>
          <w:spacing w:val="-6"/>
          <w:sz w:val="24"/>
          <w:szCs w:val="24"/>
        </w:rPr>
        <w:t xml:space="preserve"> ce qui est prohibé par la </w:t>
      </w:r>
      <w:r w:rsidR="001124FF" w:rsidRPr="00567A13">
        <w:rPr>
          <w:rFonts w:asciiTheme="majorBidi" w:eastAsia="Times New Roman" w:hAnsiTheme="majorBidi" w:cstheme="majorBidi"/>
          <w:i/>
          <w:iCs/>
          <w:color w:val="000000" w:themeColor="text1"/>
          <w:sz w:val="24"/>
          <w:szCs w:val="24"/>
          <w:lang w:eastAsia="fr-FR"/>
        </w:rPr>
        <w:t>Shariah</w:t>
      </w:r>
      <w:r w:rsidR="001124FF" w:rsidRPr="00FF6277">
        <w:rPr>
          <w:rStyle w:val="Appelnotedebasdep"/>
          <w:rFonts w:ascii="Times New Roman" w:hAnsi="Times New Roman"/>
          <w:spacing w:val="-6"/>
          <w:sz w:val="24"/>
          <w:szCs w:val="24"/>
        </w:rPr>
        <w:t xml:space="preserve"> </w:t>
      </w:r>
      <w:r w:rsidRPr="00FF6277">
        <w:rPr>
          <w:rStyle w:val="Appelnotedebasdep"/>
          <w:rFonts w:ascii="Times New Roman" w:hAnsi="Times New Roman"/>
          <w:spacing w:val="-6"/>
          <w:sz w:val="24"/>
          <w:szCs w:val="24"/>
        </w:rPr>
        <w:footnoteReference w:id="157"/>
      </w:r>
      <w:r w:rsidRPr="00FF6277">
        <w:rPr>
          <w:rFonts w:ascii="Times New Roman" w:hAnsi="Times New Roman" w:cs="Times New Roman"/>
          <w:spacing w:val="-6"/>
          <w:sz w:val="24"/>
          <w:szCs w:val="24"/>
        </w:rPr>
        <w:t>.</w:t>
      </w:r>
    </w:p>
    <w:p w14:paraId="01E39308" w14:textId="303A8901" w:rsidR="002760B2" w:rsidRPr="00FF6277" w:rsidRDefault="002760B2" w:rsidP="008D4BEF">
      <w:pPr>
        <w:tabs>
          <w:tab w:val="left" w:pos="0"/>
        </w:tabs>
        <w:autoSpaceDE w:val="0"/>
        <w:autoSpaceDN w:val="0"/>
        <w:adjustRightInd w:val="0"/>
        <w:spacing w:before="120" w:line="300" w:lineRule="auto"/>
        <w:ind w:firstLine="709"/>
        <w:rPr>
          <w:rFonts w:ascii="Times New Roman" w:hAnsi="Times New Roman" w:cs="Times New Roman"/>
          <w:spacing w:val="-6"/>
          <w:sz w:val="24"/>
          <w:szCs w:val="24"/>
        </w:rPr>
      </w:pPr>
      <w:r w:rsidRPr="00FF6277">
        <w:rPr>
          <w:rFonts w:ascii="Times New Roman" w:hAnsi="Times New Roman" w:cs="Times New Roman"/>
          <w:spacing w:val="-6"/>
          <w:sz w:val="24"/>
          <w:szCs w:val="24"/>
        </w:rPr>
        <w:t xml:space="preserve">Le contrat </w:t>
      </w:r>
      <w:r w:rsidR="00246A3B" w:rsidRPr="00FF6277">
        <w:rPr>
          <w:rFonts w:ascii="Times New Roman" w:hAnsi="Times New Roman" w:cs="Times New Roman"/>
          <w:i/>
          <w:iCs/>
          <w:spacing w:val="-6"/>
          <w:sz w:val="24"/>
          <w:szCs w:val="24"/>
        </w:rPr>
        <w:t>tawarruq</w:t>
      </w:r>
      <w:r w:rsidR="00611EA9" w:rsidRPr="00FF6277">
        <w:rPr>
          <w:rFonts w:ascii="Times New Roman" w:hAnsi="Times New Roman" w:cs="Times New Roman"/>
          <w:spacing w:val="-6"/>
          <w:sz w:val="24"/>
          <w:szCs w:val="24"/>
        </w:rPr>
        <w:t xml:space="preserve"> peut être pratiqué par la banque islamique</w:t>
      </w:r>
      <w:r w:rsidRPr="00FF6277">
        <w:rPr>
          <w:rFonts w:ascii="Times New Roman" w:hAnsi="Times New Roman" w:cs="Times New Roman"/>
          <w:spacing w:val="-6"/>
          <w:sz w:val="24"/>
          <w:szCs w:val="24"/>
        </w:rPr>
        <w:t xml:space="preserve">. Dans ce cas, cette dernière intervient comme étant un intermédiaire entre le vendeur et le client de la banque (généralement la transaction se fait sous forme de </w:t>
      </w:r>
      <w:r w:rsidRPr="00FF6277">
        <w:rPr>
          <w:rFonts w:ascii="Times New Roman" w:hAnsi="Times New Roman" w:cs="Times New Roman"/>
          <w:i/>
          <w:iCs/>
          <w:spacing w:val="-6"/>
          <w:sz w:val="24"/>
          <w:szCs w:val="24"/>
        </w:rPr>
        <w:t>mourabaha</w:t>
      </w:r>
      <w:r w:rsidRPr="00FF6277">
        <w:rPr>
          <w:rFonts w:ascii="Times New Roman" w:hAnsi="Times New Roman" w:cs="Times New Roman"/>
          <w:spacing w:val="-6"/>
          <w:sz w:val="24"/>
          <w:szCs w:val="24"/>
        </w:rPr>
        <w:t xml:space="preserve"> assortie d’un ordre d’acha</w:t>
      </w:r>
      <w:r w:rsidR="00710994" w:rsidRPr="00FF6277">
        <w:rPr>
          <w:rFonts w:ascii="Times New Roman" w:hAnsi="Times New Roman" w:cs="Times New Roman"/>
          <w:spacing w:val="-6"/>
          <w:sz w:val="24"/>
          <w:szCs w:val="24"/>
        </w:rPr>
        <w:t>t entre le client et la banque)</w:t>
      </w:r>
      <w:r w:rsidRPr="00FF6277">
        <w:rPr>
          <w:rFonts w:ascii="Times New Roman" w:hAnsi="Times New Roman" w:cs="Times New Roman"/>
          <w:spacing w:val="-6"/>
          <w:sz w:val="24"/>
          <w:szCs w:val="24"/>
        </w:rPr>
        <w:t xml:space="preserve"> pour l’achat d</w:t>
      </w:r>
      <w:r w:rsidR="00710994" w:rsidRPr="00FF6277">
        <w:rPr>
          <w:rFonts w:ascii="Times New Roman" w:hAnsi="Times New Roman" w:cs="Times New Roman"/>
          <w:spacing w:val="-6"/>
          <w:sz w:val="24"/>
          <w:szCs w:val="24"/>
        </w:rPr>
        <w:t>es actifs avec payement différé</w:t>
      </w:r>
      <w:r w:rsidRPr="00FF6277">
        <w:rPr>
          <w:rFonts w:ascii="Times New Roman" w:hAnsi="Times New Roman" w:cs="Times New Roman"/>
          <w:spacing w:val="-6"/>
          <w:sz w:val="24"/>
          <w:szCs w:val="24"/>
        </w:rPr>
        <w:t xml:space="preserve"> ainsi qu’un intermédiaire entre le client et l’acheteur des actifs au comptant et en espèces.</w:t>
      </w:r>
    </w:p>
    <w:p w14:paraId="128C5D0C" w14:textId="5ECDB8F0" w:rsidR="002760B2" w:rsidRPr="00FF6277" w:rsidRDefault="002760B2" w:rsidP="008D4BEF">
      <w:pPr>
        <w:tabs>
          <w:tab w:val="left" w:pos="0"/>
        </w:tabs>
        <w:autoSpaceDE w:val="0"/>
        <w:autoSpaceDN w:val="0"/>
        <w:adjustRightInd w:val="0"/>
        <w:spacing w:before="120" w:line="300" w:lineRule="auto"/>
        <w:ind w:firstLine="709"/>
        <w:rPr>
          <w:rFonts w:ascii="Times New Roman" w:hAnsi="Times New Roman" w:cs="Times New Roman"/>
          <w:spacing w:val="-6"/>
          <w:sz w:val="24"/>
          <w:szCs w:val="24"/>
        </w:rPr>
      </w:pPr>
      <w:r w:rsidRPr="00FF6277">
        <w:rPr>
          <w:rFonts w:ascii="Times New Roman" w:hAnsi="Times New Roman" w:cs="Times New Roman"/>
          <w:spacing w:val="-6"/>
          <w:sz w:val="24"/>
          <w:szCs w:val="24"/>
        </w:rPr>
        <w:t xml:space="preserve">Le </w:t>
      </w:r>
      <w:r w:rsidR="00246A3B" w:rsidRPr="00FF6277">
        <w:rPr>
          <w:rFonts w:ascii="Times New Roman" w:hAnsi="Times New Roman" w:cs="Times New Roman"/>
          <w:i/>
          <w:iCs/>
          <w:spacing w:val="-6"/>
          <w:sz w:val="24"/>
          <w:szCs w:val="24"/>
        </w:rPr>
        <w:t>tawarruq</w:t>
      </w:r>
      <w:r w:rsidRPr="00FF6277">
        <w:rPr>
          <w:rFonts w:ascii="Times New Roman" w:hAnsi="Times New Roman" w:cs="Times New Roman"/>
          <w:spacing w:val="-6"/>
          <w:sz w:val="24"/>
          <w:szCs w:val="24"/>
        </w:rPr>
        <w:t xml:space="preserve"> est un instrument financier peu controve</w:t>
      </w:r>
      <w:r w:rsidR="00B00ED0" w:rsidRPr="00FF6277">
        <w:rPr>
          <w:rFonts w:ascii="Times New Roman" w:hAnsi="Times New Roman" w:cs="Times New Roman"/>
          <w:spacing w:val="-6"/>
          <w:sz w:val="24"/>
          <w:szCs w:val="24"/>
        </w:rPr>
        <w:t xml:space="preserve">rsé. Il existe plusieurs </w:t>
      </w:r>
      <w:r w:rsidR="00B00ED0" w:rsidRPr="00FF6277">
        <w:rPr>
          <w:rFonts w:ascii="Times New Roman" w:hAnsi="Times New Roman" w:cs="Times New Roman"/>
          <w:i/>
          <w:iCs/>
          <w:spacing w:val="-6"/>
          <w:sz w:val="24"/>
          <w:szCs w:val="24"/>
        </w:rPr>
        <w:t>moufti</w:t>
      </w:r>
      <w:r w:rsidRPr="00FF6277">
        <w:rPr>
          <w:rFonts w:ascii="Times New Roman" w:hAnsi="Times New Roman" w:cs="Times New Roman"/>
          <w:spacing w:val="-6"/>
          <w:sz w:val="24"/>
          <w:szCs w:val="24"/>
        </w:rPr>
        <w:t xml:space="preserve"> et jurisconsultes qui approuvent la pratique du </w:t>
      </w:r>
      <w:r w:rsidR="00246A3B" w:rsidRPr="00FF6277">
        <w:rPr>
          <w:rFonts w:ascii="Times New Roman" w:hAnsi="Times New Roman" w:cs="Times New Roman"/>
          <w:i/>
          <w:iCs/>
          <w:spacing w:val="-6"/>
          <w:sz w:val="24"/>
          <w:szCs w:val="24"/>
        </w:rPr>
        <w:t>tawarruq</w:t>
      </w:r>
      <w:r w:rsidRPr="00FF6277">
        <w:rPr>
          <w:rFonts w:ascii="Times New Roman" w:hAnsi="Times New Roman" w:cs="Times New Roman"/>
          <w:spacing w:val="-6"/>
          <w:sz w:val="24"/>
          <w:szCs w:val="24"/>
        </w:rPr>
        <w:t xml:space="preserve"> et la considèrent comme licite (Sheikh </w:t>
      </w:r>
      <w:r w:rsidR="00B00ED0" w:rsidRPr="00FF6277">
        <w:rPr>
          <w:rFonts w:ascii="Times New Roman" w:hAnsi="Times New Roman" w:cs="Times New Roman"/>
          <w:smallCaps/>
          <w:spacing w:val="-6"/>
          <w:sz w:val="24"/>
          <w:szCs w:val="24"/>
        </w:rPr>
        <w:t>Ibn El-Ba</w:t>
      </w:r>
      <w:r w:rsidRPr="00FF6277">
        <w:rPr>
          <w:rFonts w:ascii="Times New Roman" w:hAnsi="Times New Roman" w:cs="Times New Roman"/>
          <w:smallCaps/>
          <w:spacing w:val="-6"/>
          <w:sz w:val="24"/>
          <w:szCs w:val="24"/>
        </w:rPr>
        <w:t>z</w:t>
      </w:r>
      <w:r w:rsidRPr="00FF6277">
        <w:rPr>
          <w:rFonts w:ascii="Times New Roman" w:hAnsi="Times New Roman" w:cs="Times New Roman"/>
          <w:spacing w:val="-6"/>
          <w:sz w:val="24"/>
          <w:szCs w:val="24"/>
        </w:rPr>
        <w:t xml:space="preserve">, Sheikh </w:t>
      </w:r>
      <w:r w:rsidRPr="00FF6277">
        <w:rPr>
          <w:rFonts w:ascii="Times New Roman" w:hAnsi="Times New Roman" w:cs="Times New Roman"/>
          <w:smallCaps/>
          <w:spacing w:val="-6"/>
          <w:sz w:val="24"/>
          <w:szCs w:val="24"/>
        </w:rPr>
        <w:t>Ibn ‘Uthaymeen</w:t>
      </w:r>
      <w:r w:rsidRPr="00FF6277">
        <w:rPr>
          <w:rFonts w:ascii="Times New Roman" w:hAnsi="Times New Roman" w:cs="Times New Roman"/>
          <w:spacing w:val="-6"/>
          <w:sz w:val="24"/>
          <w:szCs w:val="24"/>
        </w:rPr>
        <w:t xml:space="preserve">, Sheikh Nysam </w:t>
      </w:r>
      <w:r w:rsidRPr="00FF6277">
        <w:rPr>
          <w:rFonts w:ascii="Times New Roman" w:hAnsi="Times New Roman" w:cs="Times New Roman"/>
          <w:smallCaps/>
          <w:spacing w:val="-6"/>
          <w:sz w:val="24"/>
          <w:szCs w:val="24"/>
        </w:rPr>
        <w:t>Yaqubi</w:t>
      </w:r>
      <w:r w:rsidRPr="00FF6277">
        <w:rPr>
          <w:rFonts w:ascii="Times New Roman" w:hAnsi="Times New Roman" w:cs="Times New Roman"/>
          <w:spacing w:val="-6"/>
          <w:sz w:val="24"/>
          <w:szCs w:val="24"/>
        </w:rPr>
        <w:t xml:space="preserve">, Sheikh Yusuf </w:t>
      </w:r>
      <w:r w:rsidRPr="00FF6277">
        <w:rPr>
          <w:rFonts w:ascii="Times New Roman" w:hAnsi="Times New Roman" w:cs="Times New Roman"/>
          <w:smallCaps/>
          <w:spacing w:val="-6"/>
          <w:sz w:val="24"/>
          <w:szCs w:val="24"/>
        </w:rPr>
        <w:t>Talal</w:t>
      </w:r>
      <w:r w:rsidRPr="00FF6277">
        <w:rPr>
          <w:rFonts w:ascii="Times New Roman" w:hAnsi="Times New Roman" w:cs="Times New Roman"/>
          <w:spacing w:val="-6"/>
          <w:sz w:val="24"/>
          <w:szCs w:val="24"/>
        </w:rPr>
        <w:t>), mais sous certaines conditions.</w:t>
      </w:r>
      <w:r w:rsidR="008E19DA" w:rsidRPr="00FF6277">
        <w:rPr>
          <w:rFonts w:ascii="Times New Roman" w:hAnsi="Times New Roman" w:cs="Times New Roman"/>
          <w:spacing w:val="-6"/>
          <w:sz w:val="24"/>
          <w:szCs w:val="24"/>
        </w:rPr>
        <w:t xml:space="preserve"> D’autres spécialistes comme </w:t>
      </w:r>
      <w:r w:rsidRPr="00FF6277">
        <w:rPr>
          <w:rFonts w:ascii="Times New Roman" w:hAnsi="Times New Roman" w:cs="Times New Roman"/>
          <w:spacing w:val="-6"/>
          <w:sz w:val="24"/>
          <w:szCs w:val="24"/>
        </w:rPr>
        <w:t xml:space="preserve">Mohammad Nejatullah </w:t>
      </w:r>
      <w:r w:rsidRPr="00FF6277">
        <w:rPr>
          <w:rFonts w:ascii="Times New Roman" w:hAnsi="Times New Roman" w:cs="Times New Roman"/>
          <w:smallCaps/>
          <w:spacing w:val="-6"/>
          <w:sz w:val="24"/>
          <w:szCs w:val="24"/>
        </w:rPr>
        <w:t>Siddiqi</w:t>
      </w:r>
      <w:r w:rsidR="008E19DA" w:rsidRPr="00FF6277">
        <w:rPr>
          <w:rFonts w:ascii="Times New Roman" w:hAnsi="Times New Roman" w:cs="Times New Roman"/>
          <w:spacing w:val="-6"/>
          <w:sz w:val="24"/>
          <w:szCs w:val="24"/>
        </w:rPr>
        <w:t xml:space="preserve"> et </w:t>
      </w:r>
      <w:r w:rsidRPr="00FF6277">
        <w:rPr>
          <w:rFonts w:ascii="Times New Roman" w:hAnsi="Times New Roman" w:cs="Times New Roman"/>
          <w:spacing w:val="-6"/>
          <w:sz w:val="24"/>
          <w:szCs w:val="24"/>
        </w:rPr>
        <w:t xml:space="preserve">Mahmoud A. </w:t>
      </w:r>
      <w:r w:rsidRPr="00FF6277">
        <w:rPr>
          <w:rFonts w:ascii="Times New Roman" w:hAnsi="Times New Roman" w:cs="Times New Roman"/>
          <w:smallCaps/>
          <w:spacing w:val="-6"/>
          <w:sz w:val="24"/>
          <w:szCs w:val="24"/>
        </w:rPr>
        <w:t>El Gamal</w:t>
      </w:r>
      <w:r w:rsidRPr="00FF6277">
        <w:rPr>
          <w:rFonts w:ascii="Times New Roman" w:hAnsi="Times New Roman" w:cs="Times New Roman"/>
          <w:spacing w:val="-6"/>
          <w:sz w:val="24"/>
          <w:szCs w:val="24"/>
        </w:rPr>
        <w:t xml:space="preserve"> trouvent que le </w:t>
      </w:r>
      <w:r w:rsidR="00246A3B" w:rsidRPr="00FF6277">
        <w:rPr>
          <w:rFonts w:ascii="Times New Roman" w:hAnsi="Times New Roman" w:cs="Times New Roman"/>
          <w:i/>
          <w:iCs/>
          <w:spacing w:val="-6"/>
          <w:sz w:val="24"/>
          <w:szCs w:val="24"/>
        </w:rPr>
        <w:t>tawarruq</w:t>
      </w:r>
      <w:r w:rsidRPr="00FF6277">
        <w:rPr>
          <w:rFonts w:ascii="Times New Roman" w:hAnsi="Times New Roman" w:cs="Times New Roman"/>
          <w:spacing w:val="-6"/>
          <w:sz w:val="24"/>
          <w:szCs w:val="24"/>
        </w:rPr>
        <w:t xml:space="preserve"> éloigne la finance </w:t>
      </w:r>
      <w:r w:rsidR="00710994" w:rsidRPr="00FF6277">
        <w:rPr>
          <w:rFonts w:ascii="Times New Roman" w:hAnsi="Times New Roman" w:cs="Times New Roman"/>
          <w:spacing w:val="-6"/>
          <w:sz w:val="24"/>
          <w:szCs w:val="24"/>
        </w:rPr>
        <w:t>i</w:t>
      </w:r>
      <w:r w:rsidR="003773C6" w:rsidRPr="00FF6277">
        <w:rPr>
          <w:rFonts w:ascii="Times New Roman" w:hAnsi="Times New Roman" w:cs="Times New Roman"/>
          <w:spacing w:val="-6"/>
          <w:sz w:val="24"/>
          <w:szCs w:val="24"/>
        </w:rPr>
        <w:t>slamique</w:t>
      </w:r>
      <w:r w:rsidRPr="00FF6277">
        <w:rPr>
          <w:rFonts w:ascii="Times New Roman" w:hAnsi="Times New Roman" w:cs="Times New Roman"/>
          <w:spacing w:val="-6"/>
          <w:sz w:val="24"/>
          <w:szCs w:val="24"/>
        </w:rPr>
        <w:t xml:space="preserve"> </w:t>
      </w:r>
      <w:r w:rsidR="00710994" w:rsidRPr="00FF6277">
        <w:rPr>
          <w:rFonts w:ascii="Times New Roman" w:hAnsi="Times New Roman" w:cs="Times New Roman"/>
          <w:spacing w:val="-6"/>
          <w:sz w:val="24"/>
          <w:szCs w:val="24"/>
        </w:rPr>
        <w:t>de ses principes de base. Ainsi</w:t>
      </w:r>
      <w:r w:rsidRPr="00FF6277">
        <w:rPr>
          <w:rFonts w:ascii="Times New Roman" w:hAnsi="Times New Roman" w:cs="Times New Roman"/>
          <w:spacing w:val="-6"/>
          <w:sz w:val="24"/>
          <w:szCs w:val="24"/>
        </w:rPr>
        <w:t xml:space="preserve"> la </w:t>
      </w:r>
      <w:r w:rsidRPr="00FF6277">
        <w:rPr>
          <w:rFonts w:ascii="Times New Roman" w:hAnsi="Times New Roman" w:cs="Times New Roman"/>
          <w:i/>
          <w:iCs/>
          <w:spacing w:val="-6"/>
          <w:sz w:val="24"/>
          <w:szCs w:val="24"/>
        </w:rPr>
        <w:t>fatwa</w:t>
      </w:r>
      <w:r w:rsidRPr="00FF6277">
        <w:rPr>
          <w:rFonts w:ascii="Times New Roman" w:hAnsi="Times New Roman" w:cs="Times New Roman"/>
          <w:spacing w:val="-6"/>
          <w:sz w:val="24"/>
          <w:szCs w:val="24"/>
        </w:rPr>
        <w:t xml:space="preserve"> avancée par </w:t>
      </w:r>
      <w:r w:rsidR="00F17C63" w:rsidRPr="00FF6277">
        <w:rPr>
          <w:rFonts w:ascii="Times New Roman" w:hAnsi="Times New Roman" w:cs="Times New Roman"/>
          <w:spacing w:val="-6"/>
          <w:sz w:val="24"/>
          <w:szCs w:val="24"/>
        </w:rPr>
        <w:t xml:space="preserve">cette </w:t>
      </w:r>
      <w:r w:rsidRPr="00FF6277">
        <w:rPr>
          <w:rFonts w:ascii="Times New Roman" w:hAnsi="Times New Roman" w:cs="Times New Roman"/>
          <w:spacing w:val="-6"/>
          <w:sz w:val="24"/>
          <w:szCs w:val="24"/>
        </w:rPr>
        <w:t xml:space="preserve">Académie du </w:t>
      </w:r>
      <w:r w:rsidRPr="00FF6277">
        <w:rPr>
          <w:rFonts w:ascii="Times New Roman" w:hAnsi="Times New Roman" w:cs="Times New Roman"/>
          <w:i/>
          <w:spacing w:val="-6"/>
          <w:sz w:val="24"/>
          <w:szCs w:val="24"/>
        </w:rPr>
        <w:t>Fiqh</w:t>
      </w:r>
      <w:r w:rsidRPr="00FF6277">
        <w:rPr>
          <w:rFonts w:ascii="Times New Roman" w:hAnsi="Times New Roman" w:cs="Times New Roman"/>
          <w:spacing w:val="-6"/>
          <w:sz w:val="24"/>
          <w:szCs w:val="24"/>
        </w:rPr>
        <w:t xml:space="preserve"> de la Ligue</w:t>
      </w:r>
      <w:r w:rsidR="005E5C0F" w:rsidRPr="00FF6277">
        <w:rPr>
          <w:rStyle w:val="Appelnotedebasdep"/>
          <w:rFonts w:ascii="Times New Roman" w:hAnsi="Times New Roman"/>
          <w:spacing w:val="-6"/>
          <w:sz w:val="24"/>
          <w:szCs w:val="24"/>
        </w:rPr>
        <w:footnoteReference w:id="158"/>
      </w:r>
      <w:r w:rsidRPr="00FF6277">
        <w:rPr>
          <w:rFonts w:ascii="Times New Roman" w:hAnsi="Times New Roman" w:cs="Times New Roman"/>
          <w:spacing w:val="-6"/>
          <w:sz w:val="24"/>
          <w:szCs w:val="24"/>
        </w:rPr>
        <w:t xml:space="preserve"> porte sur deux points :</w:t>
      </w:r>
    </w:p>
    <w:p w14:paraId="2DDA3F40" w14:textId="153CA61B" w:rsidR="002760B2" w:rsidRPr="00FF6277" w:rsidRDefault="00F17C63" w:rsidP="00CB0FF1">
      <w:pPr>
        <w:pStyle w:val="Paragraphedeliste"/>
        <w:numPr>
          <w:ilvl w:val="0"/>
          <w:numId w:val="1"/>
        </w:numPr>
        <w:tabs>
          <w:tab w:val="left" w:pos="284"/>
          <w:tab w:val="left" w:pos="851"/>
          <w:tab w:val="left" w:pos="1134"/>
        </w:tabs>
        <w:autoSpaceDE w:val="0"/>
        <w:autoSpaceDN w:val="0"/>
        <w:adjustRightInd w:val="0"/>
        <w:spacing w:line="300" w:lineRule="auto"/>
        <w:ind w:left="1135" w:hanging="284"/>
        <w:contextualSpacing w:val="0"/>
        <w:rPr>
          <w:rFonts w:ascii="Times New Roman" w:hAnsi="Times New Roman" w:cs="Times New Roman"/>
          <w:spacing w:val="-6"/>
          <w:sz w:val="24"/>
          <w:szCs w:val="24"/>
        </w:rPr>
      </w:pPr>
      <w:r w:rsidRPr="00FF6277">
        <w:rPr>
          <w:rFonts w:ascii="Times New Roman" w:hAnsi="Times New Roman" w:cs="Times New Roman"/>
          <w:iCs/>
          <w:spacing w:val="-6"/>
          <w:sz w:val="24"/>
          <w:szCs w:val="24"/>
        </w:rPr>
        <w:t xml:space="preserve">Le </w:t>
      </w:r>
      <w:r w:rsidR="002760B2" w:rsidRPr="00FF6277">
        <w:rPr>
          <w:rFonts w:ascii="Times New Roman" w:hAnsi="Times New Roman" w:cs="Times New Roman"/>
          <w:i/>
          <w:iCs/>
          <w:spacing w:val="-6"/>
          <w:sz w:val="24"/>
          <w:szCs w:val="24"/>
        </w:rPr>
        <w:t>Tawarruq</w:t>
      </w:r>
      <w:r w:rsidR="00317931" w:rsidRPr="00FF6277">
        <w:rPr>
          <w:rFonts w:ascii="Times New Roman" w:hAnsi="Times New Roman" w:cs="Times New Roman"/>
          <w:spacing w:val="-6"/>
          <w:sz w:val="24"/>
          <w:szCs w:val="24"/>
        </w:rPr>
        <w:t xml:space="preserve"> « classique »</w:t>
      </w:r>
      <w:r w:rsidR="002760B2" w:rsidRPr="00FF6277">
        <w:rPr>
          <w:rFonts w:ascii="Times New Roman" w:hAnsi="Times New Roman" w:cs="Times New Roman"/>
          <w:spacing w:val="-6"/>
          <w:sz w:val="24"/>
          <w:szCs w:val="24"/>
        </w:rPr>
        <w:t xml:space="preserve"> est autorisé s’il se conforme aux dispositions de la </w:t>
      </w:r>
      <w:r w:rsidR="001124FF" w:rsidRPr="00567A13">
        <w:rPr>
          <w:rFonts w:asciiTheme="majorBidi" w:eastAsia="Times New Roman" w:hAnsiTheme="majorBidi" w:cstheme="majorBidi"/>
          <w:i/>
          <w:iCs/>
          <w:color w:val="000000" w:themeColor="text1"/>
          <w:sz w:val="24"/>
          <w:szCs w:val="24"/>
          <w:lang w:eastAsia="fr-FR"/>
        </w:rPr>
        <w:t>Shariah</w:t>
      </w:r>
      <w:r w:rsidR="00BA0021" w:rsidRPr="00FF6277">
        <w:rPr>
          <w:rFonts w:ascii="Times New Roman" w:hAnsi="Times New Roman" w:cs="Times New Roman"/>
          <w:spacing w:val="-6"/>
          <w:sz w:val="24"/>
          <w:szCs w:val="24"/>
        </w:rPr>
        <w:t xml:space="preserve"> relatives à la vente (</w:t>
      </w:r>
      <w:r w:rsidR="00BA0021" w:rsidRPr="00FF6277">
        <w:rPr>
          <w:rFonts w:ascii="Times New Roman" w:hAnsi="Times New Roman" w:cs="Times New Roman"/>
          <w:i/>
          <w:iCs/>
          <w:spacing w:val="-6"/>
          <w:sz w:val="24"/>
          <w:szCs w:val="24"/>
        </w:rPr>
        <w:t>bay’</w:t>
      </w:r>
      <w:r w:rsidR="00BA0021" w:rsidRPr="00FF6277">
        <w:rPr>
          <w:rFonts w:ascii="Times New Roman" w:hAnsi="Times New Roman" w:cs="Times New Roman"/>
          <w:spacing w:val="-6"/>
          <w:sz w:val="24"/>
          <w:szCs w:val="24"/>
        </w:rPr>
        <w:t>) ;</w:t>
      </w:r>
    </w:p>
    <w:p w14:paraId="28B932F9" w14:textId="52BD2842" w:rsidR="002760B2" w:rsidRPr="00FF6277" w:rsidRDefault="002760B2" w:rsidP="00CB0FF1">
      <w:pPr>
        <w:pStyle w:val="Paragraphedeliste"/>
        <w:numPr>
          <w:ilvl w:val="0"/>
          <w:numId w:val="1"/>
        </w:numPr>
        <w:tabs>
          <w:tab w:val="left" w:pos="284"/>
          <w:tab w:val="left" w:pos="851"/>
          <w:tab w:val="left" w:pos="1134"/>
        </w:tabs>
        <w:autoSpaceDE w:val="0"/>
        <w:autoSpaceDN w:val="0"/>
        <w:adjustRightInd w:val="0"/>
        <w:spacing w:line="300" w:lineRule="auto"/>
        <w:ind w:left="1135" w:hanging="284"/>
        <w:contextualSpacing w:val="0"/>
        <w:rPr>
          <w:rFonts w:ascii="Times New Roman" w:hAnsi="Times New Roman" w:cs="Times New Roman"/>
          <w:spacing w:val="-6"/>
          <w:sz w:val="24"/>
          <w:szCs w:val="24"/>
        </w:rPr>
      </w:pPr>
      <w:r w:rsidRPr="00FF6277">
        <w:rPr>
          <w:rFonts w:ascii="Times New Roman" w:hAnsi="Times New Roman" w:cs="Times New Roman"/>
          <w:spacing w:val="-6"/>
          <w:sz w:val="24"/>
          <w:szCs w:val="24"/>
        </w:rPr>
        <w:t xml:space="preserve">Les deux formes de </w:t>
      </w:r>
      <w:r w:rsidR="00B00ED0" w:rsidRPr="00FF6277">
        <w:rPr>
          <w:rFonts w:ascii="Times New Roman" w:hAnsi="Times New Roman" w:cs="Times New Roman"/>
          <w:i/>
          <w:iCs/>
          <w:spacing w:val="-6"/>
          <w:sz w:val="24"/>
          <w:szCs w:val="24"/>
        </w:rPr>
        <w:t>tawarruq</w:t>
      </w:r>
      <w:r w:rsidRPr="00FF6277">
        <w:rPr>
          <w:rFonts w:ascii="Times New Roman" w:hAnsi="Times New Roman" w:cs="Times New Roman"/>
          <w:spacing w:val="-6"/>
          <w:sz w:val="24"/>
          <w:szCs w:val="24"/>
        </w:rPr>
        <w:t xml:space="preserve"> (</w:t>
      </w:r>
      <w:r w:rsidRPr="00FF6277">
        <w:rPr>
          <w:rFonts w:ascii="Times New Roman" w:hAnsi="Times New Roman" w:cs="Times New Roman"/>
          <w:i/>
          <w:iCs/>
          <w:spacing w:val="-6"/>
          <w:sz w:val="24"/>
          <w:szCs w:val="24"/>
        </w:rPr>
        <w:t>organised</w:t>
      </w:r>
      <w:r w:rsidRPr="00FF6277">
        <w:rPr>
          <w:rFonts w:ascii="Times New Roman" w:hAnsi="Times New Roman" w:cs="Times New Roman"/>
          <w:spacing w:val="-6"/>
          <w:sz w:val="24"/>
          <w:szCs w:val="24"/>
        </w:rPr>
        <w:t xml:space="preserve"> et </w:t>
      </w:r>
      <w:r w:rsidRPr="00FF6277">
        <w:rPr>
          <w:rFonts w:ascii="Times New Roman" w:hAnsi="Times New Roman" w:cs="Times New Roman"/>
          <w:i/>
          <w:iCs/>
          <w:spacing w:val="-6"/>
          <w:sz w:val="24"/>
          <w:szCs w:val="24"/>
        </w:rPr>
        <w:t>reversed</w:t>
      </w:r>
      <w:r w:rsidRPr="00FF6277">
        <w:rPr>
          <w:rFonts w:ascii="Times New Roman" w:hAnsi="Times New Roman" w:cs="Times New Roman"/>
          <w:spacing w:val="-6"/>
          <w:sz w:val="24"/>
          <w:szCs w:val="24"/>
        </w:rPr>
        <w:t xml:space="preserve">) doivent être considérées comme illicites de par l'existence de plusieurs opérations simultanées entre le financier et le </w:t>
      </w:r>
      <w:r w:rsidRPr="00FF6277">
        <w:rPr>
          <w:rFonts w:ascii="Times New Roman" w:hAnsi="Times New Roman" w:cs="Times New Roman"/>
          <w:i/>
          <w:iCs/>
          <w:spacing w:val="-6"/>
          <w:sz w:val="24"/>
          <w:szCs w:val="24"/>
        </w:rPr>
        <w:t>mustawriq</w:t>
      </w:r>
      <w:r w:rsidRPr="00FF6277">
        <w:rPr>
          <w:rFonts w:ascii="Times New Roman" w:hAnsi="Times New Roman" w:cs="Times New Roman"/>
          <w:spacing w:val="-6"/>
          <w:sz w:val="24"/>
          <w:szCs w:val="24"/>
        </w:rPr>
        <w:t xml:space="preserve">, qu'elles soient explicites, implicites ou bien le fruit des usages, en échange d'une obligation financière. Ces opérations constituent une tromperie destinée à procurer rapidement des liquidités. Ces opérations doivent ainsi être considérées comme contenant un élément de </w:t>
      </w:r>
      <w:r w:rsidRPr="00FF6277">
        <w:rPr>
          <w:rFonts w:ascii="Times New Roman" w:hAnsi="Times New Roman" w:cs="Times New Roman"/>
          <w:i/>
          <w:spacing w:val="-6"/>
          <w:sz w:val="24"/>
          <w:szCs w:val="24"/>
        </w:rPr>
        <w:t>riba</w:t>
      </w:r>
      <w:r w:rsidRPr="00FF6277">
        <w:rPr>
          <w:rFonts w:ascii="Times New Roman" w:hAnsi="Times New Roman" w:cs="Times New Roman"/>
          <w:spacing w:val="-6"/>
          <w:sz w:val="24"/>
          <w:szCs w:val="24"/>
        </w:rPr>
        <w:t>.</w:t>
      </w:r>
    </w:p>
    <w:p w14:paraId="63E54130" w14:textId="77777777" w:rsidR="002F1F64" w:rsidRPr="00F04B08" w:rsidRDefault="002F1F64" w:rsidP="001F259E">
      <w:pPr>
        <w:pStyle w:val="Titre2"/>
        <w:keepNext w:val="0"/>
        <w:spacing w:before="100" w:beforeAutospacing="1" w:after="100" w:afterAutospacing="1" w:line="300" w:lineRule="auto"/>
        <w:ind w:firstLine="709"/>
        <w:rPr>
          <w:i w:val="0"/>
          <w:iCs w:val="0"/>
          <w:sz w:val="28"/>
        </w:rPr>
      </w:pPr>
      <w:bookmarkStart w:id="465" w:name="_Toc33263250"/>
      <w:bookmarkStart w:id="466" w:name="_Toc33264111"/>
      <w:bookmarkStart w:id="467" w:name="_Toc37664502"/>
      <w:bookmarkStart w:id="468" w:name="_Toc37666347"/>
      <w:bookmarkStart w:id="469" w:name="_Toc37667313"/>
      <w:bookmarkStart w:id="470" w:name="_Toc54361023"/>
      <w:bookmarkStart w:id="471" w:name="_Toc54361671"/>
      <w:bookmarkStart w:id="472" w:name="_Toc54363236"/>
      <w:bookmarkStart w:id="473" w:name="_Toc57901021"/>
      <w:bookmarkStart w:id="474" w:name="_Toc58261922"/>
      <w:bookmarkStart w:id="475" w:name="_Toc58606252"/>
      <w:bookmarkStart w:id="476" w:name="_Toc61263457"/>
      <w:bookmarkStart w:id="477" w:name="_Toc116257059"/>
      <w:bookmarkStart w:id="478" w:name="_Toc182298686"/>
      <w:bookmarkStart w:id="479" w:name="_Toc182309383"/>
      <w:r w:rsidRPr="00F04B08">
        <w:rPr>
          <w:i w:val="0"/>
          <w:iCs w:val="0"/>
          <w:sz w:val="28"/>
        </w:rPr>
        <w:t>Section</w:t>
      </w:r>
      <w:r w:rsidR="00801119" w:rsidRPr="00F04B08">
        <w:rPr>
          <w:i w:val="0"/>
          <w:iCs w:val="0"/>
          <w:sz w:val="28"/>
        </w:rPr>
        <w:t xml:space="preserve"> III-</w:t>
      </w:r>
      <w:r w:rsidR="006125CE" w:rsidRPr="00F04B08">
        <w:rPr>
          <w:i w:val="0"/>
          <w:iCs w:val="0"/>
          <w:sz w:val="28"/>
        </w:rPr>
        <w:t xml:space="preserve"> </w:t>
      </w:r>
      <w:r w:rsidR="00C66C20" w:rsidRPr="00F04B08">
        <w:rPr>
          <w:i w:val="0"/>
          <w:iCs w:val="0"/>
          <w:sz w:val="28"/>
        </w:rPr>
        <w:t>Organisation et</w:t>
      </w:r>
      <w:r w:rsidRPr="00F04B08">
        <w:rPr>
          <w:i w:val="0"/>
          <w:iCs w:val="0"/>
          <w:sz w:val="28"/>
        </w:rPr>
        <w:t xml:space="preserve"> gouvernance </w:t>
      </w:r>
      <w:r w:rsidR="00611EA9" w:rsidRPr="00F04B08">
        <w:rPr>
          <w:i w:val="0"/>
          <w:iCs w:val="0"/>
          <w:sz w:val="28"/>
        </w:rPr>
        <w:t>de</w:t>
      </w:r>
      <w:r w:rsidR="005B400E" w:rsidRPr="00F04B08">
        <w:rPr>
          <w:i w:val="0"/>
          <w:iCs w:val="0"/>
          <w:sz w:val="28"/>
        </w:rPr>
        <w:t xml:space="preserve">s </w:t>
      </w:r>
      <w:r w:rsidR="00611EA9" w:rsidRPr="00F04B08">
        <w:rPr>
          <w:i w:val="0"/>
          <w:iCs w:val="0"/>
          <w:sz w:val="28"/>
        </w:rPr>
        <w:t>banque</w:t>
      </w:r>
      <w:r w:rsidR="005B400E" w:rsidRPr="00F04B08">
        <w:rPr>
          <w:i w:val="0"/>
          <w:iCs w:val="0"/>
          <w:sz w:val="28"/>
        </w:rPr>
        <w:t>s</w:t>
      </w:r>
      <w:r w:rsidR="00611EA9" w:rsidRPr="00F04B08">
        <w:rPr>
          <w:i w:val="0"/>
          <w:iCs w:val="0"/>
          <w:sz w:val="28"/>
        </w:rPr>
        <w:t xml:space="preserve"> </w:t>
      </w:r>
      <w:r w:rsidR="009267E6" w:rsidRPr="00F04B08">
        <w:rPr>
          <w:i w:val="0"/>
          <w:iCs w:val="0"/>
          <w:sz w:val="28"/>
        </w:rPr>
        <w:t>i</w:t>
      </w:r>
      <w:r w:rsidR="003773C6" w:rsidRPr="00F04B08">
        <w:rPr>
          <w:i w:val="0"/>
          <w:iCs w:val="0"/>
          <w:sz w:val="28"/>
        </w:rPr>
        <w:t>slamique</w:t>
      </w:r>
      <w:bookmarkEnd w:id="465"/>
      <w:bookmarkEnd w:id="466"/>
      <w:bookmarkEnd w:id="467"/>
      <w:bookmarkEnd w:id="468"/>
      <w:bookmarkEnd w:id="469"/>
      <w:bookmarkEnd w:id="470"/>
      <w:bookmarkEnd w:id="471"/>
      <w:bookmarkEnd w:id="472"/>
      <w:bookmarkEnd w:id="473"/>
      <w:bookmarkEnd w:id="474"/>
      <w:bookmarkEnd w:id="475"/>
      <w:bookmarkEnd w:id="476"/>
      <w:r w:rsidR="005B400E" w:rsidRPr="00F04B08">
        <w:rPr>
          <w:i w:val="0"/>
          <w:iCs w:val="0"/>
          <w:sz w:val="28"/>
        </w:rPr>
        <w:t>s</w:t>
      </w:r>
      <w:bookmarkEnd w:id="477"/>
      <w:bookmarkEnd w:id="478"/>
      <w:bookmarkEnd w:id="479"/>
    </w:p>
    <w:p w14:paraId="6D02BA42" w14:textId="77777777" w:rsidR="002F1F64" w:rsidRPr="008D4BEF" w:rsidRDefault="002F1F64" w:rsidP="00F04B08">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L'accroissement de la taille des banques </w:t>
      </w:r>
      <w:r w:rsidR="009267E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s et l'évolution de leur activité financière ont conduit à l'évolution de leur structure organisationnelle. A côté des entités communes avec les banques conventionnelles, de nouvelles entités sont créées. Parmi les départements qui prennent de l'importance</w:t>
      </w:r>
      <w:r w:rsidR="004C1FF3"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nous trouvons</w:t>
      </w:r>
      <w:r w:rsidRPr="008D4BEF">
        <w:rPr>
          <w:rStyle w:val="Appelnotedebasdep"/>
          <w:rFonts w:ascii="Times New Roman" w:hAnsi="Times New Roman"/>
          <w:kern w:val="24"/>
          <w:sz w:val="24"/>
          <w:szCs w:val="24"/>
        </w:rPr>
        <w:footnoteReference w:id="159"/>
      </w:r>
      <w:r w:rsidR="00723012" w:rsidRPr="008D4BEF">
        <w:rPr>
          <w:rFonts w:ascii="Times New Roman" w:hAnsi="Times New Roman" w:cs="Times New Roman"/>
          <w:kern w:val="24"/>
          <w:sz w:val="24"/>
          <w:szCs w:val="24"/>
        </w:rPr>
        <w:t> :</w:t>
      </w:r>
    </w:p>
    <w:p w14:paraId="1CB05E6E" w14:textId="77777777" w:rsidR="002F1F64" w:rsidRPr="008D4BEF" w:rsidRDefault="002F1F64" w:rsidP="00CB0FF1">
      <w:pPr>
        <w:pStyle w:val="Paragraphedeliste"/>
        <w:widowControl w:val="0"/>
        <w:numPr>
          <w:ilvl w:val="0"/>
          <w:numId w:val="47"/>
        </w:numPr>
        <w:tabs>
          <w:tab w:val="left" w:pos="1134"/>
        </w:tabs>
        <w:autoSpaceDE w:val="0"/>
        <w:autoSpaceDN w:val="0"/>
        <w:adjustRightInd w:val="0"/>
        <w:spacing w:line="300" w:lineRule="auto"/>
        <w:ind w:left="1135" w:hanging="28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Le dépar</w:t>
      </w:r>
      <w:r w:rsidR="00C239A1" w:rsidRPr="008D4BEF">
        <w:rPr>
          <w:rFonts w:ascii="Times New Roman" w:hAnsi="Times New Roman" w:cs="Times New Roman"/>
          <w:kern w:val="24"/>
          <w:sz w:val="24"/>
          <w:szCs w:val="24"/>
        </w:rPr>
        <w:t xml:space="preserve">tement </w:t>
      </w:r>
      <w:r w:rsidR="00BF47FC" w:rsidRPr="008D4BEF">
        <w:rPr>
          <w:rFonts w:ascii="Times New Roman" w:hAnsi="Times New Roman" w:cs="Times New Roman"/>
          <w:kern w:val="24"/>
          <w:sz w:val="24"/>
          <w:szCs w:val="24"/>
        </w:rPr>
        <w:t>"</w:t>
      </w:r>
      <w:r w:rsidR="00C239A1" w:rsidRPr="008D4BEF">
        <w:rPr>
          <w:rFonts w:ascii="Times New Roman" w:hAnsi="Times New Roman" w:cs="Times New Roman"/>
          <w:kern w:val="24"/>
          <w:sz w:val="24"/>
          <w:szCs w:val="24"/>
        </w:rPr>
        <w:t>Etudes et Recherche</w:t>
      </w:r>
      <w:r w:rsidR="00BF47FC" w:rsidRPr="008D4BEF">
        <w:rPr>
          <w:rFonts w:ascii="Times New Roman" w:hAnsi="Times New Roman" w:cs="Times New Roman"/>
          <w:kern w:val="24"/>
          <w:sz w:val="24"/>
          <w:szCs w:val="24"/>
        </w:rPr>
        <w:t>"</w:t>
      </w:r>
      <w:r w:rsidR="00C239A1" w:rsidRPr="008D4BEF">
        <w:rPr>
          <w:rFonts w:ascii="Times New Roman" w:hAnsi="Times New Roman" w:cs="Times New Roman"/>
          <w:kern w:val="24"/>
          <w:sz w:val="24"/>
          <w:szCs w:val="24"/>
        </w:rPr>
        <w:t> ;</w:t>
      </w:r>
    </w:p>
    <w:p w14:paraId="35235D88" w14:textId="77777777" w:rsidR="002F1F64" w:rsidRPr="008D4BEF" w:rsidRDefault="002F1F64" w:rsidP="00CB0FF1">
      <w:pPr>
        <w:pStyle w:val="Paragraphedeliste"/>
        <w:widowControl w:val="0"/>
        <w:numPr>
          <w:ilvl w:val="0"/>
          <w:numId w:val="47"/>
        </w:numPr>
        <w:tabs>
          <w:tab w:val="left" w:pos="851"/>
          <w:tab w:val="left" w:pos="1134"/>
        </w:tabs>
        <w:autoSpaceDE w:val="0"/>
        <w:autoSpaceDN w:val="0"/>
        <w:adjustRightInd w:val="0"/>
        <w:spacing w:line="300" w:lineRule="auto"/>
        <w:ind w:left="1135" w:hanging="28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Les départemen</w:t>
      </w:r>
      <w:r w:rsidR="00C239A1" w:rsidRPr="008D4BEF">
        <w:rPr>
          <w:rFonts w:ascii="Times New Roman" w:hAnsi="Times New Roman" w:cs="Times New Roman"/>
          <w:kern w:val="24"/>
          <w:sz w:val="24"/>
          <w:szCs w:val="24"/>
        </w:rPr>
        <w:t>ts exclusivement réservés aux "</w:t>
      </w:r>
      <w:r w:rsidRPr="008D4BEF">
        <w:rPr>
          <w:rFonts w:ascii="Times New Roman" w:hAnsi="Times New Roman" w:cs="Times New Roman"/>
          <w:kern w:val="24"/>
          <w:sz w:val="24"/>
          <w:szCs w:val="24"/>
        </w:rPr>
        <w:t xml:space="preserve">produits phares" comme la </w:t>
      </w:r>
      <w:r w:rsidRPr="008D4BEF">
        <w:rPr>
          <w:rFonts w:ascii="Times New Roman" w:hAnsi="Times New Roman" w:cs="Times New Roman"/>
          <w:i/>
          <w:iCs/>
          <w:kern w:val="24"/>
          <w:sz w:val="24"/>
          <w:szCs w:val="24"/>
        </w:rPr>
        <w:t>mourabaha</w:t>
      </w:r>
      <w:r w:rsidR="00BF47FC"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w:t>
      </w:r>
      <w:r w:rsidR="00C239A1" w:rsidRPr="008D4BEF">
        <w:rPr>
          <w:rFonts w:ascii="Times New Roman" w:hAnsi="Times New Roman" w:cs="Times New Roman"/>
          <w:kern w:val="24"/>
          <w:sz w:val="24"/>
          <w:szCs w:val="24"/>
        </w:rPr>
        <w:t xml:space="preserve">le </w:t>
      </w:r>
      <w:r w:rsidRPr="008D4BEF">
        <w:rPr>
          <w:rFonts w:ascii="Times New Roman" w:hAnsi="Times New Roman" w:cs="Times New Roman"/>
          <w:i/>
          <w:kern w:val="24"/>
          <w:sz w:val="24"/>
          <w:szCs w:val="24"/>
        </w:rPr>
        <w:t>salam</w:t>
      </w:r>
      <w:r w:rsidRPr="008D4BEF">
        <w:rPr>
          <w:rFonts w:ascii="Times New Roman" w:hAnsi="Times New Roman" w:cs="Times New Roman"/>
          <w:kern w:val="24"/>
          <w:sz w:val="24"/>
          <w:szCs w:val="24"/>
        </w:rPr>
        <w:t>, l'</w:t>
      </w:r>
      <w:r w:rsidRPr="008D4BEF">
        <w:rPr>
          <w:rFonts w:ascii="Times New Roman" w:hAnsi="Times New Roman" w:cs="Times New Roman"/>
          <w:i/>
          <w:kern w:val="24"/>
          <w:sz w:val="24"/>
          <w:szCs w:val="24"/>
        </w:rPr>
        <w:t>ijara</w:t>
      </w:r>
      <w:r w:rsidRPr="008D4BEF">
        <w:rPr>
          <w:rFonts w:ascii="Times New Roman" w:hAnsi="Times New Roman" w:cs="Times New Roman"/>
          <w:kern w:val="24"/>
          <w:sz w:val="24"/>
          <w:szCs w:val="24"/>
        </w:rPr>
        <w:t xml:space="preserve"> ou </w:t>
      </w:r>
      <w:r w:rsidR="00C239A1" w:rsidRPr="008D4BEF">
        <w:rPr>
          <w:rFonts w:ascii="Times New Roman" w:hAnsi="Times New Roman" w:cs="Times New Roman"/>
          <w:kern w:val="24"/>
          <w:sz w:val="24"/>
          <w:szCs w:val="24"/>
        </w:rPr>
        <w:t>l’</w:t>
      </w:r>
      <w:r w:rsidR="002C67F4" w:rsidRPr="008D4BEF">
        <w:rPr>
          <w:rFonts w:ascii="Times New Roman" w:hAnsi="Times New Roman" w:cs="Times New Roman"/>
          <w:i/>
          <w:iCs/>
          <w:kern w:val="24"/>
          <w:sz w:val="24"/>
          <w:szCs w:val="24"/>
        </w:rPr>
        <w:t>istisna’</w:t>
      </w:r>
      <w:r w:rsidR="00C239A1" w:rsidRPr="008D4BEF">
        <w:rPr>
          <w:rFonts w:ascii="Times New Roman" w:hAnsi="Times New Roman" w:cs="Times New Roman"/>
          <w:i/>
          <w:iCs/>
          <w:kern w:val="24"/>
          <w:sz w:val="24"/>
          <w:szCs w:val="24"/>
        </w:rPr>
        <w:t> </w:t>
      </w:r>
      <w:r w:rsidR="00C239A1" w:rsidRPr="008D4BEF">
        <w:rPr>
          <w:rFonts w:ascii="Times New Roman" w:hAnsi="Times New Roman" w:cs="Times New Roman"/>
          <w:kern w:val="24"/>
          <w:sz w:val="24"/>
          <w:szCs w:val="24"/>
        </w:rPr>
        <w:t>;</w:t>
      </w:r>
    </w:p>
    <w:p w14:paraId="28C7ED65" w14:textId="60D1DBD6" w:rsidR="002F1F64" w:rsidRPr="008D4BEF" w:rsidRDefault="002F1F64" w:rsidP="00CB0FF1">
      <w:pPr>
        <w:pStyle w:val="Paragraphedeliste"/>
        <w:widowControl w:val="0"/>
        <w:numPr>
          <w:ilvl w:val="0"/>
          <w:numId w:val="47"/>
        </w:numPr>
        <w:tabs>
          <w:tab w:val="left" w:pos="851"/>
          <w:tab w:val="left" w:pos="1134"/>
        </w:tabs>
        <w:autoSpaceDE w:val="0"/>
        <w:autoSpaceDN w:val="0"/>
        <w:adjustRightInd w:val="0"/>
        <w:spacing w:line="300" w:lineRule="auto"/>
        <w:ind w:left="1135" w:hanging="284"/>
        <w:contextualSpacing w:val="0"/>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Le département </w:t>
      </w:r>
      <w:r w:rsidR="00BF47FC" w:rsidRPr="008D4BEF">
        <w:rPr>
          <w:rFonts w:ascii="Times New Roman" w:hAnsi="Times New Roman" w:cs="Times New Roman"/>
          <w:kern w:val="24"/>
          <w:sz w:val="24"/>
          <w:szCs w:val="24"/>
        </w:rPr>
        <w:t xml:space="preserve">"Affaires </w:t>
      </w:r>
      <w:r w:rsidR="000F21BE" w:rsidRPr="008D4BEF">
        <w:rPr>
          <w:rFonts w:ascii="Times New Roman" w:hAnsi="Times New Roman" w:cs="Times New Roman"/>
          <w:kern w:val="24"/>
          <w:sz w:val="24"/>
          <w:szCs w:val="24"/>
        </w:rPr>
        <w:t>internationales</w:t>
      </w:r>
      <w:r w:rsidR="00BF47FC"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pour les banques dont les entreprises client</w:t>
      </w:r>
      <w:r w:rsidR="00BF47FC" w:rsidRPr="008D4BEF">
        <w:rPr>
          <w:rFonts w:ascii="Times New Roman" w:hAnsi="Times New Roman" w:cs="Times New Roman"/>
          <w:kern w:val="24"/>
          <w:sz w:val="24"/>
          <w:szCs w:val="24"/>
        </w:rPr>
        <w:t>e</w:t>
      </w:r>
      <w:r w:rsidRPr="008D4BEF">
        <w:rPr>
          <w:rFonts w:ascii="Times New Roman" w:hAnsi="Times New Roman" w:cs="Times New Roman"/>
          <w:kern w:val="24"/>
          <w:sz w:val="24"/>
          <w:szCs w:val="24"/>
        </w:rPr>
        <w:t xml:space="preserve">s ont des activités internationales. La </w:t>
      </w:r>
      <w:r w:rsidRPr="00892957">
        <w:rPr>
          <w:rFonts w:ascii="Times New Roman" w:hAnsi="Times New Roman" w:cs="Times New Roman"/>
          <w:b/>
          <w:bCs/>
          <w:kern w:val="24"/>
          <w:sz w:val="24"/>
          <w:szCs w:val="24"/>
        </w:rPr>
        <w:t xml:space="preserve">figure </w:t>
      </w:r>
      <w:r w:rsidR="00124B9E" w:rsidRPr="00892957">
        <w:rPr>
          <w:rFonts w:ascii="Times New Roman" w:hAnsi="Times New Roman" w:cs="Times New Roman"/>
          <w:b/>
          <w:bCs/>
          <w:kern w:val="24"/>
          <w:sz w:val="24"/>
          <w:szCs w:val="24"/>
        </w:rPr>
        <w:t>1</w:t>
      </w:r>
      <w:r w:rsidR="00BF1EB6" w:rsidRPr="00892957">
        <w:rPr>
          <w:rFonts w:ascii="Times New Roman" w:hAnsi="Times New Roman" w:cs="Times New Roman"/>
          <w:b/>
          <w:bCs/>
          <w:kern w:val="24"/>
          <w:sz w:val="24"/>
          <w:szCs w:val="24"/>
        </w:rPr>
        <w:t>9</w:t>
      </w:r>
      <w:r w:rsidRPr="008D4BEF">
        <w:rPr>
          <w:rFonts w:ascii="Times New Roman" w:hAnsi="Times New Roman" w:cs="Times New Roman"/>
          <w:kern w:val="24"/>
          <w:sz w:val="24"/>
          <w:szCs w:val="24"/>
        </w:rPr>
        <w:t xml:space="preserve"> présente la structure d'une ba</w:t>
      </w:r>
      <w:r w:rsidR="00C239A1" w:rsidRPr="008D4BEF">
        <w:rPr>
          <w:rFonts w:ascii="Times New Roman" w:hAnsi="Times New Roman" w:cs="Times New Roman"/>
          <w:kern w:val="24"/>
          <w:sz w:val="24"/>
          <w:szCs w:val="24"/>
        </w:rPr>
        <w:t xml:space="preserve">nque </w:t>
      </w:r>
      <w:r w:rsidR="00BF47FC"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C239A1" w:rsidRPr="008D4BEF">
        <w:rPr>
          <w:rFonts w:ascii="Times New Roman" w:hAnsi="Times New Roman" w:cs="Times New Roman"/>
          <w:kern w:val="24"/>
          <w:sz w:val="24"/>
          <w:szCs w:val="24"/>
        </w:rPr>
        <w:t xml:space="preserve"> de petite taille</w:t>
      </w:r>
      <w:r w:rsidR="00BA0021" w:rsidRPr="008D4BEF">
        <w:rPr>
          <w:rFonts w:ascii="Times New Roman" w:hAnsi="Times New Roman" w:cs="Times New Roman"/>
          <w:kern w:val="24"/>
          <w:sz w:val="24"/>
          <w:szCs w:val="24"/>
        </w:rPr>
        <w:t>.</w:t>
      </w:r>
    </w:p>
    <w:p w14:paraId="637ED920" w14:textId="77777777" w:rsidR="001F259E" w:rsidRDefault="001F259E" w:rsidP="001F259E">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p>
    <w:p w14:paraId="18EAFE01" w14:textId="1A9BF036" w:rsidR="004C1FF3" w:rsidRPr="00892957" w:rsidRDefault="002F1F64" w:rsidP="001F259E">
      <w:pPr>
        <w:widowControl w:val="0"/>
        <w:tabs>
          <w:tab w:val="left" w:pos="0"/>
        </w:tabs>
        <w:autoSpaceDE w:val="0"/>
        <w:autoSpaceDN w:val="0"/>
        <w:adjustRightInd w:val="0"/>
        <w:spacing w:before="120" w:line="300" w:lineRule="auto"/>
        <w:ind w:firstLine="709"/>
        <w:rPr>
          <w:rFonts w:ascii="Times New Roman" w:hAnsi="Times New Roman" w:cs="Times New Roman"/>
          <w:spacing w:val="-2"/>
          <w:kern w:val="24"/>
          <w:sz w:val="24"/>
          <w:szCs w:val="24"/>
        </w:rPr>
      </w:pPr>
      <w:r w:rsidRPr="00892957">
        <w:rPr>
          <w:rFonts w:ascii="Times New Roman" w:hAnsi="Times New Roman" w:cs="Times New Roman"/>
          <w:spacing w:val="-2"/>
          <w:kern w:val="24"/>
          <w:sz w:val="24"/>
          <w:szCs w:val="24"/>
        </w:rPr>
        <w:lastRenderedPageBreak/>
        <w:t>La gouvernance d’une entité</w:t>
      </w:r>
      <w:r w:rsidR="00BF47FC" w:rsidRPr="00892957">
        <w:rPr>
          <w:rFonts w:ascii="Times New Roman" w:hAnsi="Times New Roman" w:cs="Times New Roman"/>
          <w:spacing w:val="-2"/>
          <w:kern w:val="24"/>
          <w:sz w:val="24"/>
          <w:szCs w:val="24"/>
        </w:rPr>
        <w:t xml:space="preserve"> est un mécanisme d’orientation</w:t>
      </w:r>
      <w:r w:rsidRPr="00892957">
        <w:rPr>
          <w:rFonts w:ascii="Times New Roman" w:hAnsi="Times New Roman" w:cs="Times New Roman"/>
          <w:spacing w:val="-2"/>
          <w:kern w:val="24"/>
          <w:sz w:val="24"/>
          <w:szCs w:val="24"/>
        </w:rPr>
        <w:t>, de contrôle et</w:t>
      </w:r>
      <w:r w:rsidR="00BF47FC" w:rsidRPr="00892957">
        <w:rPr>
          <w:rFonts w:ascii="Times New Roman" w:hAnsi="Times New Roman" w:cs="Times New Roman"/>
          <w:spacing w:val="-2"/>
          <w:kern w:val="24"/>
          <w:sz w:val="24"/>
          <w:szCs w:val="24"/>
        </w:rPr>
        <w:t xml:space="preserve"> d’évaluation de cette dernière</w:t>
      </w:r>
      <w:r w:rsidRPr="00892957">
        <w:rPr>
          <w:rFonts w:ascii="Times New Roman" w:hAnsi="Times New Roman" w:cs="Times New Roman"/>
          <w:spacing w:val="-2"/>
          <w:kern w:val="24"/>
          <w:sz w:val="24"/>
          <w:szCs w:val="24"/>
        </w:rPr>
        <w:t xml:space="preserve"> contribuant à créer un climat sain et confiant entre l’investisseur et l’entité. Le système de gouvernance est plus important et complexe po</w:t>
      </w:r>
      <w:r w:rsidR="00E618F3" w:rsidRPr="00892957">
        <w:rPr>
          <w:rFonts w:ascii="Times New Roman" w:hAnsi="Times New Roman" w:cs="Times New Roman"/>
          <w:spacing w:val="-2"/>
          <w:kern w:val="24"/>
          <w:sz w:val="24"/>
          <w:szCs w:val="24"/>
        </w:rPr>
        <w:t>ur les établissements bancaires</w:t>
      </w:r>
      <w:r w:rsidRPr="00892957">
        <w:rPr>
          <w:rFonts w:ascii="Times New Roman" w:hAnsi="Times New Roman" w:cs="Times New Roman"/>
          <w:spacing w:val="-2"/>
          <w:kern w:val="24"/>
          <w:sz w:val="24"/>
          <w:szCs w:val="24"/>
        </w:rPr>
        <w:t xml:space="preserve"> notamment pour les </w:t>
      </w:r>
      <w:r w:rsidR="00AC3A2C" w:rsidRPr="00892957">
        <w:rPr>
          <w:rFonts w:ascii="Times New Roman" w:hAnsi="Times New Roman" w:cs="Times New Roman"/>
          <w:spacing w:val="-2"/>
          <w:kern w:val="24"/>
          <w:sz w:val="24"/>
          <w:szCs w:val="24"/>
        </w:rPr>
        <w:t>BI</w:t>
      </w:r>
      <w:r w:rsidRPr="00892957">
        <w:rPr>
          <w:rFonts w:ascii="Times New Roman" w:hAnsi="Times New Roman" w:cs="Times New Roman"/>
          <w:spacing w:val="-2"/>
          <w:kern w:val="24"/>
          <w:sz w:val="24"/>
          <w:szCs w:val="24"/>
        </w:rPr>
        <w:t xml:space="preserve">. </w:t>
      </w:r>
      <w:r w:rsidR="00AC3A2C" w:rsidRPr="00892957">
        <w:rPr>
          <w:rFonts w:ascii="Times New Roman" w:hAnsi="Times New Roman" w:cs="Times New Roman"/>
          <w:spacing w:val="-2"/>
          <w:kern w:val="24"/>
          <w:sz w:val="24"/>
          <w:szCs w:val="24"/>
        </w:rPr>
        <w:t>E</w:t>
      </w:r>
      <w:r w:rsidRPr="00892957">
        <w:rPr>
          <w:rFonts w:ascii="Times New Roman" w:hAnsi="Times New Roman" w:cs="Times New Roman"/>
          <w:spacing w:val="-2"/>
          <w:kern w:val="24"/>
          <w:sz w:val="24"/>
          <w:szCs w:val="24"/>
        </w:rPr>
        <w:t xml:space="preserve">n plus des principes particulièrement contraignants de la </w:t>
      </w:r>
      <w:r w:rsidR="001124FF" w:rsidRPr="00892957">
        <w:rPr>
          <w:rFonts w:asciiTheme="majorBidi" w:eastAsia="Times New Roman" w:hAnsiTheme="majorBidi" w:cstheme="majorBidi"/>
          <w:i/>
          <w:iCs/>
          <w:color w:val="000000" w:themeColor="text1"/>
          <w:spacing w:val="-2"/>
          <w:kern w:val="24"/>
          <w:sz w:val="24"/>
          <w:szCs w:val="24"/>
          <w:lang w:eastAsia="fr-FR"/>
        </w:rPr>
        <w:t>Shariah</w:t>
      </w:r>
      <w:r w:rsidRPr="00892957">
        <w:rPr>
          <w:rFonts w:ascii="Times New Roman" w:hAnsi="Times New Roman" w:cs="Times New Roman"/>
          <w:spacing w:val="-2"/>
          <w:kern w:val="24"/>
          <w:sz w:val="24"/>
          <w:szCs w:val="24"/>
        </w:rPr>
        <w:t xml:space="preserve">, </w:t>
      </w:r>
      <w:r w:rsidR="00BF47FC" w:rsidRPr="00892957">
        <w:rPr>
          <w:rFonts w:ascii="Times New Roman" w:hAnsi="Times New Roman" w:cs="Times New Roman"/>
          <w:spacing w:val="-2"/>
          <w:kern w:val="24"/>
          <w:sz w:val="24"/>
          <w:szCs w:val="24"/>
        </w:rPr>
        <w:t xml:space="preserve">ces dernières </w:t>
      </w:r>
      <w:r w:rsidRPr="00892957">
        <w:rPr>
          <w:rFonts w:ascii="Times New Roman" w:hAnsi="Times New Roman" w:cs="Times New Roman"/>
          <w:spacing w:val="-2"/>
          <w:kern w:val="24"/>
          <w:sz w:val="24"/>
          <w:szCs w:val="24"/>
        </w:rPr>
        <w:t>doivent aussi satisfaire les exigences de rentabilité classiques</w:t>
      </w:r>
      <w:r w:rsidRPr="00892957">
        <w:rPr>
          <w:rStyle w:val="Appelnotedebasdep"/>
          <w:rFonts w:ascii="Times New Roman" w:hAnsi="Times New Roman"/>
          <w:spacing w:val="-2"/>
          <w:kern w:val="24"/>
          <w:sz w:val="24"/>
          <w:szCs w:val="24"/>
        </w:rPr>
        <w:footnoteReference w:id="160"/>
      </w:r>
      <w:r w:rsidR="000F4546" w:rsidRPr="00892957">
        <w:rPr>
          <w:rFonts w:ascii="Times New Roman" w:hAnsi="Times New Roman" w:cs="Times New Roman"/>
          <w:spacing w:val="-2"/>
          <w:kern w:val="24"/>
          <w:sz w:val="24"/>
          <w:szCs w:val="24"/>
        </w:rPr>
        <w:t xml:space="preserve">. De ce fait, la BI est dotée </w:t>
      </w:r>
      <w:r w:rsidRPr="00892957">
        <w:rPr>
          <w:rFonts w:ascii="Times New Roman" w:hAnsi="Times New Roman" w:cs="Times New Roman"/>
          <w:spacing w:val="-2"/>
          <w:kern w:val="24"/>
          <w:sz w:val="24"/>
          <w:szCs w:val="24"/>
        </w:rPr>
        <w:t>d’une structure de gouvernance bicéphale, c'est-à-dire, à côté des organes habituel</w:t>
      </w:r>
      <w:r w:rsidR="00BF47FC" w:rsidRPr="00892957">
        <w:rPr>
          <w:rFonts w:ascii="Times New Roman" w:hAnsi="Times New Roman" w:cs="Times New Roman"/>
          <w:spacing w:val="-2"/>
          <w:kern w:val="24"/>
          <w:sz w:val="24"/>
          <w:szCs w:val="24"/>
        </w:rPr>
        <w:t>s détenant le pouvoir juridique</w:t>
      </w:r>
      <w:r w:rsidRPr="00892957">
        <w:rPr>
          <w:rFonts w:ascii="Times New Roman" w:hAnsi="Times New Roman" w:cs="Times New Roman"/>
          <w:spacing w:val="-2"/>
          <w:kern w:val="24"/>
          <w:sz w:val="24"/>
          <w:szCs w:val="24"/>
        </w:rPr>
        <w:t xml:space="preserve"> comme le conseil d’administration, il existe un autre organe qui exerce un pouvoir moral, c’est le </w:t>
      </w:r>
      <w:r w:rsidR="00BF47FC" w:rsidRPr="00892957">
        <w:rPr>
          <w:rFonts w:ascii="Times New Roman" w:hAnsi="Times New Roman" w:cs="Times New Roman"/>
          <w:i/>
          <w:iCs/>
          <w:spacing w:val="-2"/>
          <w:kern w:val="24"/>
          <w:sz w:val="24"/>
          <w:szCs w:val="24"/>
        </w:rPr>
        <w:t>Shariah</w:t>
      </w:r>
      <w:r w:rsidR="00853917" w:rsidRPr="00892957">
        <w:rPr>
          <w:rFonts w:ascii="Times New Roman" w:hAnsi="Times New Roman" w:cs="Times New Roman"/>
          <w:spacing w:val="-2"/>
          <w:kern w:val="24"/>
          <w:sz w:val="24"/>
          <w:szCs w:val="24"/>
        </w:rPr>
        <w:t>-</w:t>
      </w:r>
      <w:r w:rsidR="00BF47FC" w:rsidRPr="00892957">
        <w:rPr>
          <w:rFonts w:ascii="Times New Roman" w:hAnsi="Times New Roman" w:cs="Times New Roman"/>
          <w:i/>
          <w:iCs/>
          <w:spacing w:val="-2"/>
          <w:kern w:val="24"/>
          <w:sz w:val="24"/>
          <w:szCs w:val="24"/>
        </w:rPr>
        <w:t>Board</w:t>
      </w:r>
      <w:r w:rsidR="00BF47FC" w:rsidRPr="00892957">
        <w:rPr>
          <w:rFonts w:ascii="Times New Roman" w:hAnsi="Times New Roman" w:cs="Times New Roman"/>
          <w:spacing w:val="-2"/>
          <w:kern w:val="24"/>
          <w:sz w:val="24"/>
          <w:szCs w:val="24"/>
        </w:rPr>
        <w:t xml:space="preserve"> (</w:t>
      </w:r>
      <w:r w:rsidR="00A16031" w:rsidRPr="00892957">
        <w:rPr>
          <w:rFonts w:ascii="Times New Roman" w:hAnsi="Times New Roman" w:cs="Times New Roman"/>
          <w:spacing w:val="-2"/>
          <w:kern w:val="24"/>
          <w:sz w:val="24"/>
          <w:szCs w:val="24"/>
        </w:rPr>
        <w:t xml:space="preserve">organe </w:t>
      </w:r>
      <w:r w:rsidR="00337C11" w:rsidRPr="00892957">
        <w:rPr>
          <w:rFonts w:asciiTheme="majorBidi" w:hAnsiTheme="majorBidi" w:cstheme="majorBidi"/>
          <w:color w:val="000000"/>
          <w:spacing w:val="-2"/>
          <w:kern w:val="24"/>
          <w:sz w:val="24"/>
          <w:szCs w:val="24"/>
          <w:shd w:val="clear" w:color="auto" w:fill="FFFFFF"/>
        </w:rPr>
        <w:t xml:space="preserve">charaïque </w:t>
      </w:r>
      <w:r w:rsidR="00A16031" w:rsidRPr="00892957">
        <w:rPr>
          <w:rFonts w:ascii="Times New Roman" w:hAnsi="Times New Roman" w:cs="Times New Roman"/>
          <w:spacing w:val="-2"/>
          <w:kern w:val="24"/>
          <w:sz w:val="24"/>
          <w:szCs w:val="24"/>
        </w:rPr>
        <w:t>de supervision</w:t>
      </w:r>
      <w:r w:rsidRPr="00892957">
        <w:rPr>
          <w:rFonts w:ascii="Times New Roman" w:hAnsi="Times New Roman" w:cs="Times New Roman"/>
          <w:spacing w:val="-2"/>
          <w:kern w:val="24"/>
          <w:sz w:val="24"/>
          <w:szCs w:val="24"/>
        </w:rPr>
        <w:t>).</w:t>
      </w:r>
      <w:bookmarkStart w:id="480" w:name="_Toc33263251"/>
      <w:bookmarkStart w:id="481" w:name="_Toc37664503"/>
      <w:bookmarkStart w:id="482" w:name="_Toc37666348"/>
      <w:bookmarkStart w:id="483" w:name="_Toc54363237"/>
      <w:bookmarkStart w:id="484" w:name="_Toc57230137"/>
      <w:bookmarkStart w:id="485" w:name="_Toc57881257"/>
      <w:bookmarkStart w:id="486" w:name="_Toc57900727"/>
      <w:bookmarkStart w:id="487" w:name="_Toc33263252"/>
      <w:bookmarkStart w:id="488" w:name="_Toc37664504"/>
      <w:bookmarkStart w:id="489" w:name="_Toc37666349"/>
      <w:bookmarkStart w:id="490" w:name="_Toc54363238"/>
      <w:bookmarkStart w:id="491" w:name="_Toc58606253"/>
      <w:bookmarkStart w:id="492" w:name="_Toc61263458"/>
      <w:bookmarkEnd w:id="480"/>
      <w:bookmarkEnd w:id="481"/>
      <w:bookmarkEnd w:id="482"/>
      <w:bookmarkEnd w:id="483"/>
      <w:bookmarkEnd w:id="484"/>
      <w:bookmarkEnd w:id="485"/>
      <w:bookmarkEnd w:id="486"/>
    </w:p>
    <w:p w14:paraId="0A1F3CB1" w14:textId="3E573802" w:rsidR="00E618F3" w:rsidRPr="008D4BEF" w:rsidRDefault="00E618F3" w:rsidP="008D4BEF">
      <w:pPr>
        <w:pStyle w:val="Titre3"/>
        <w:keepNext w:val="0"/>
        <w:keepLines w:val="0"/>
        <w:spacing w:before="100" w:beforeAutospacing="1" w:after="120" w:line="300" w:lineRule="auto"/>
        <w:ind w:firstLine="709"/>
        <w:rPr>
          <w:kern w:val="24"/>
          <w:sz w:val="28"/>
          <w:szCs w:val="28"/>
          <w:rtl/>
        </w:rPr>
      </w:pPr>
      <w:bookmarkStart w:id="493" w:name="_Toc182298687"/>
      <w:r w:rsidRPr="008D4BEF">
        <w:rPr>
          <w:kern w:val="24"/>
          <w:sz w:val="28"/>
          <w:szCs w:val="28"/>
        </w:rPr>
        <w:t xml:space="preserve">3.1- </w:t>
      </w:r>
      <w:r w:rsidR="00337C81" w:rsidRPr="008D4BEF">
        <w:rPr>
          <w:kern w:val="24"/>
          <w:sz w:val="28"/>
          <w:szCs w:val="28"/>
        </w:rPr>
        <w:t>O</w:t>
      </w:r>
      <w:r w:rsidRPr="008D4BEF">
        <w:rPr>
          <w:kern w:val="24"/>
          <w:sz w:val="28"/>
          <w:szCs w:val="28"/>
        </w:rPr>
        <w:t>rganes de gestion</w:t>
      </w:r>
      <w:bookmarkEnd w:id="493"/>
    </w:p>
    <w:p w14:paraId="6B67FAFC" w14:textId="244A8685" w:rsidR="00DE0408" w:rsidRPr="008D4BEF" w:rsidRDefault="00E618F3" w:rsidP="008D4BEF">
      <w:pPr>
        <w:pStyle w:val="Titre4"/>
        <w:keepNext w:val="0"/>
        <w:spacing w:before="120" w:after="120" w:line="300" w:lineRule="auto"/>
        <w:ind w:firstLine="709"/>
        <w:rPr>
          <w:kern w:val="24"/>
        </w:rPr>
      </w:pPr>
      <w:bookmarkStart w:id="494" w:name="_Toc33263253"/>
      <w:bookmarkStart w:id="495" w:name="_Toc37664505"/>
      <w:bookmarkStart w:id="496" w:name="_Toc37666350"/>
      <w:bookmarkStart w:id="497" w:name="_Toc54363239"/>
      <w:bookmarkStart w:id="498" w:name="_Toc58606254"/>
      <w:bookmarkStart w:id="499" w:name="_Toc61263459"/>
      <w:bookmarkStart w:id="500" w:name="_Toc182298688"/>
      <w:bookmarkEnd w:id="487"/>
      <w:bookmarkEnd w:id="488"/>
      <w:bookmarkEnd w:id="489"/>
      <w:bookmarkEnd w:id="490"/>
      <w:bookmarkEnd w:id="491"/>
      <w:bookmarkEnd w:id="492"/>
      <w:r w:rsidRPr="008D4BEF">
        <w:rPr>
          <w:kern w:val="24"/>
        </w:rPr>
        <w:t xml:space="preserve">3.1.1- </w:t>
      </w:r>
      <w:r w:rsidR="002F1F64" w:rsidRPr="008D4BEF">
        <w:rPr>
          <w:kern w:val="24"/>
        </w:rPr>
        <w:t>Conseil d'administration</w:t>
      </w:r>
      <w:bookmarkEnd w:id="494"/>
      <w:bookmarkEnd w:id="495"/>
      <w:bookmarkEnd w:id="496"/>
      <w:bookmarkEnd w:id="497"/>
      <w:bookmarkEnd w:id="498"/>
      <w:bookmarkEnd w:id="499"/>
      <w:bookmarkEnd w:id="500"/>
    </w:p>
    <w:p w14:paraId="0F148797" w14:textId="77777777" w:rsidR="002F1F64" w:rsidRPr="008D4BEF" w:rsidRDefault="002F1F64" w:rsidP="008D4BEF">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Toute banque </w:t>
      </w:r>
      <w:r w:rsidR="00BF47FC"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 est dirigée par un conseil d’administration</w:t>
      </w:r>
      <w:r w:rsidR="004207E0" w:rsidRPr="008D4BEF">
        <w:rPr>
          <w:rFonts w:ascii="Times New Roman" w:hAnsi="Times New Roman" w:cs="Times New Roman"/>
          <w:kern w:val="24"/>
          <w:sz w:val="24"/>
          <w:szCs w:val="24"/>
        </w:rPr>
        <w:t xml:space="preserve"> (CA)</w:t>
      </w:r>
      <w:r w:rsidRPr="008D4BEF">
        <w:rPr>
          <w:rFonts w:ascii="Times New Roman" w:hAnsi="Times New Roman" w:cs="Times New Roman"/>
          <w:kern w:val="24"/>
          <w:sz w:val="24"/>
          <w:szCs w:val="24"/>
        </w:rPr>
        <w:t xml:space="preserve">. Ce dernier est désigné par l’assemblée générale des actionnaires </w:t>
      </w:r>
      <w:r w:rsidR="00BF47FC"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AG</w:t>
      </w:r>
      <w:r w:rsidR="00677B94" w:rsidRPr="008D4BEF">
        <w:rPr>
          <w:rFonts w:ascii="Times New Roman" w:hAnsi="Times New Roman" w:cs="Times New Roman"/>
          <w:kern w:val="24"/>
          <w:sz w:val="24"/>
          <w:szCs w:val="24"/>
        </w:rPr>
        <w:t>A</w:t>
      </w:r>
      <w:r w:rsidR="00BF47FC" w:rsidRPr="008D4BEF">
        <w:rPr>
          <w:rFonts w:ascii="Times New Roman" w:hAnsi="Times New Roman" w:cs="Times New Roman"/>
          <w:kern w:val="24"/>
          <w:sz w:val="24"/>
          <w:szCs w:val="24"/>
        </w:rPr>
        <w:t>)</w:t>
      </w:r>
      <w:r w:rsidR="00191A21" w:rsidRPr="008D4BEF">
        <w:rPr>
          <w:rFonts w:ascii="Times New Roman" w:hAnsi="Times New Roman" w:cs="Times New Roman"/>
          <w:kern w:val="24"/>
          <w:sz w:val="24"/>
          <w:szCs w:val="24"/>
        </w:rPr>
        <w:t>. I</w:t>
      </w:r>
      <w:r w:rsidR="00BF47FC" w:rsidRPr="008D4BEF">
        <w:rPr>
          <w:rFonts w:ascii="Times New Roman" w:hAnsi="Times New Roman" w:cs="Times New Roman"/>
          <w:kern w:val="24"/>
          <w:sz w:val="24"/>
          <w:szCs w:val="24"/>
        </w:rPr>
        <w:t>l</w:t>
      </w:r>
      <w:r w:rsidRPr="008D4BEF">
        <w:rPr>
          <w:rFonts w:ascii="Times New Roman" w:hAnsi="Times New Roman" w:cs="Times New Roman"/>
          <w:kern w:val="24"/>
          <w:sz w:val="24"/>
          <w:szCs w:val="24"/>
        </w:rPr>
        <w:t xml:space="preserve"> est composé d’administrateurs choisis selon certains critères : en principe, être de confession musulmane, </w:t>
      </w:r>
      <w:r w:rsidR="00BF47FC" w:rsidRPr="008D4BEF">
        <w:rPr>
          <w:rFonts w:ascii="Times New Roman" w:hAnsi="Times New Roman" w:cs="Times New Roman"/>
          <w:kern w:val="24"/>
          <w:sz w:val="24"/>
          <w:szCs w:val="24"/>
        </w:rPr>
        <w:t>détenteur</w:t>
      </w:r>
      <w:r w:rsidRPr="008D4BEF">
        <w:rPr>
          <w:rFonts w:ascii="Times New Roman" w:hAnsi="Times New Roman" w:cs="Times New Roman"/>
          <w:kern w:val="24"/>
          <w:sz w:val="24"/>
          <w:szCs w:val="24"/>
        </w:rPr>
        <w:t xml:space="preserve"> d’un nombre d’actions exigée</w:t>
      </w:r>
      <w:r w:rsidR="00BF47FC" w:rsidRPr="008D4BEF">
        <w:rPr>
          <w:rFonts w:ascii="Times New Roman" w:hAnsi="Times New Roman" w:cs="Times New Roman"/>
          <w:kern w:val="24"/>
          <w:sz w:val="24"/>
          <w:szCs w:val="24"/>
        </w:rPr>
        <w:t>s par les statuts et ne peut</w:t>
      </w:r>
      <w:r w:rsidRPr="008D4BEF">
        <w:rPr>
          <w:rFonts w:ascii="Times New Roman" w:hAnsi="Times New Roman" w:cs="Times New Roman"/>
          <w:kern w:val="24"/>
          <w:sz w:val="24"/>
          <w:szCs w:val="24"/>
        </w:rPr>
        <w:t xml:space="preserve"> tomber sous le coup d’une incompatibilité. Concernant le dernier critère, </w:t>
      </w:r>
      <w:r w:rsidR="00BF47FC" w:rsidRPr="008D4BEF">
        <w:rPr>
          <w:rFonts w:ascii="Times New Roman" w:hAnsi="Times New Roman" w:cs="Times New Roman"/>
          <w:kern w:val="24"/>
          <w:sz w:val="24"/>
          <w:szCs w:val="24"/>
        </w:rPr>
        <w:t xml:space="preserve">selon les pays, </w:t>
      </w:r>
      <w:r w:rsidRPr="008D4BEF">
        <w:rPr>
          <w:rFonts w:ascii="Times New Roman" w:hAnsi="Times New Roman" w:cs="Times New Roman"/>
          <w:kern w:val="24"/>
          <w:sz w:val="24"/>
          <w:szCs w:val="24"/>
        </w:rPr>
        <w:t>cert</w:t>
      </w:r>
      <w:r w:rsidR="00BF47FC" w:rsidRPr="008D4BEF">
        <w:rPr>
          <w:rFonts w:ascii="Times New Roman" w:hAnsi="Times New Roman" w:cs="Times New Roman"/>
          <w:kern w:val="24"/>
          <w:sz w:val="24"/>
          <w:szCs w:val="24"/>
        </w:rPr>
        <w:t>aines banques</w:t>
      </w:r>
      <w:r w:rsidRPr="008D4BEF">
        <w:rPr>
          <w:rFonts w:ascii="Times New Roman" w:hAnsi="Times New Roman" w:cs="Times New Roman"/>
          <w:kern w:val="24"/>
          <w:sz w:val="24"/>
          <w:szCs w:val="24"/>
        </w:rPr>
        <w:t xml:space="preserve"> ont fixé des règles d’incompatibilité a</w:t>
      </w:r>
      <w:r w:rsidR="00BF47FC" w:rsidRPr="008D4BEF">
        <w:rPr>
          <w:rFonts w:ascii="Times New Roman" w:hAnsi="Times New Roman" w:cs="Times New Roman"/>
          <w:kern w:val="24"/>
          <w:sz w:val="24"/>
          <w:szCs w:val="24"/>
        </w:rPr>
        <w:t xml:space="preserve">vec le statut d’administrateur ; </w:t>
      </w:r>
      <w:r w:rsidRPr="008D4BEF">
        <w:rPr>
          <w:rFonts w:ascii="Times New Roman" w:hAnsi="Times New Roman" w:cs="Times New Roman"/>
          <w:kern w:val="24"/>
          <w:sz w:val="24"/>
          <w:szCs w:val="24"/>
        </w:rPr>
        <w:t>par exemple, l’administrateur qui a un intérêt quelconque dans une opération traitée avec la banque doit dé</w:t>
      </w:r>
      <w:r w:rsidR="00BF47FC" w:rsidRPr="008D4BEF">
        <w:rPr>
          <w:rFonts w:ascii="Times New Roman" w:hAnsi="Times New Roman" w:cs="Times New Roman"/>
          <w:kern w:val="24"/>
          <w:sz w:val="24"/>
          <w:szCs w:val="24"/>
        </w:rPr>
        <w:t>clarer la nature de cet intérêt</w:t>
      </w:r>
      <w:r w:rsidRPr="008D4BEF">
        <w:rPr>
          <w:rFonts w:ascii="Times New Roman" w:hAnsi="Times New Roman" w:cs="Times New Roman"/>
          <w:kern w:val="24"/>
          <w:sz w:val="24"/>
          <w:szCs w:val="24"/>
        </w:rPr>
        <w:t xml:space="preserve"> et</w:t>
      </w:r>
      <w:r w:rsidR="00BF47FC" w:rsidRPr="008D4BEF">
        <w:rPr>
          <w:rFonts w:ascii="Times New Roman" w:hAnsi="Times New Roman" w:cs="Times New Roman"/>
          <w:kern w:val="24"/>
          <w:sz w:val="24"/>
          <w:szCs w:val="24"/>
        </w:rPr>
        <w:t>,</w:t>
      </w:r>
      <w:r w:rsidRPr="008D4BEF">
        <w:rPr>
          <w:rFonts w:ascii="Times New Roman" w:hAnsi="Times New Roman" w:cs="Times New Roman"/>
          <w:kern w:val="24"/>
          <w:sz w:val="24"/>
          <w:szCs w:val="24"/>
        </w:rPr>
        <w:t xml:space="preserve"> dans ce cas, il perd son droit au vote</w:t>
      </w:r>
      <w:r w:rsidRPr="008D4BEF">
        <w:rPr>
          <w:rStyle w:val="Appelnotedebasdep"/>
          <w:rFonts w:ascii="Times New Roman" w:hAnsi="Times New Roman"/>
          <w:kern w:val="24"/>
          <w:sz w:val="24"/>
          <w:szCs w:val="24"/>
        </w:rPr>
        <w:footnoteReference w:id="161"/>
      </w:r>
      <w:r w:rsidRPr="008D4BEF">
        <w:rPr>
          <w:rFonts w:ascii="Times New Roman" w:hAnsi="Times New Roman" w:cs="Times New Roman"/>
          <w:kern w:val="24"/>
          <w:sz w:val="24"/>
          <w:szCs w:val="24"/>
        </w:rPr>
        <w:t>.</w:t>
      </w:r>
    </w:p>
    <w:p w14:paraId="21A27104" w14:textId="77777777" w:rsidR="00A16031" w:rsidRPr="008D4BEF" w:rsidRDefault="00BF47FC" w:rsidP="008D4BEF">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A l’exception de ce qui est réservé en termes formels à l’AG, l</w:t>
      </w:r>
      <w:r w:rsidR="002F1F64" w:rsidRPr="008D4BEF">
        <w:rPr>
          <w:rFonts w:ascii="Times New Roman" w:hAnsi="Times New Roman" w:cs="Times New Roman"/>
          <w:kern w:val="24"/>
          <w:sz w:val="24"/>
          <w:szCs w:val="24"/>
        </w:rPr>
        <w:t>e conseil jouit</w:t>
      </w:r>
      <w:r w:rsidR="004207E0" w:rsidRPr="008D4BEF">
        <w:rPr>
          <w:rFonts w:ascii="Times New Roman" w:hAnsi="Times New Roman" w:cs="Times New Roman"/>
          <w:kern w:val="24"/>
          <w:sz w:val="24"/>
          <w:szCs w:val="24"/>
        </w:rPr>
        <w:t xml:space="preserve"> des pleins pouvoirs de gestion. </w:t>
      </w:r>
      <w:r w:rsidR="00191A21" w:rsidRPr="008D4BEF">
        <w:rPr>
          <w:rFonts w:ascii="Times New Roman" w:hAnsi="Times New Roman" w:cs="Times New Roman"/>
          <w:kern w:val="24"/>
          <w:sz w:val="24"/>
          <w:szCs w:val="24"/>
        </w:rPr>
        <w:t>C</w:t>
      </w:r>
      <w:r w:rsidR="002F1F64" w:rsidRPr="008D4BEF">
        <w:rPr>
          <w:rFonts w:ascii="Times New Roman" w:hAnsi="Times New Roman" w:cs="Times New Roman"/>
          <w:kern w:val="24"/>
          <w:sz w:val="24"/>
          <w:szCs w:val="24"/>
        </w:rPr>
        <w:t>es pouvoirs sont s</w:t>
      </w:r>
      <w:r w:rsidR="004207E0" w:rsidRPr="008D4BEF">
        <w:rPr>
          <w:rFonts w:ascii="Times New Roman" w:hAnsi="Times New Roman" w:cs="Times New Roman"/>
          <w:kern w:val="24"/>
          <w:sz w:val="24"/>
          <w:szCs w:val="24"/>
        </w:rPr>
        <w:t>oumis à des réglementations et</w:t>
      </w:r>
      <w:r w:rsidR="002F1F64" w:rsidRPr="008D4BEF">
        <w:rPr>
          <w:rFonts w:ascii="Times New Roman" w:hAnsi="Times New Roman" w:cs="Times New Roman"/>
          <w:kern w:val="24"/>
          <w:sz w:val="24"/>
          <w:szCs w:val="24"/>
        </w:rPr>
        <w:t xml:space="preserve"> des statuts intensifs. </w:t>
      </w:r>
      <w:r w:rsidR="004207E0" w:rsidRPr="008D4BEF">
        <w:rPr>
          <w:rFonts w:ascii="Times New Roman" w:hAnsi="Times New Roman" w:cs="Times New Roman"/>
          <w:kern w:val="24"/>
          <w:sz w:val="24"/>
          <w:szCs w:val="24"/>
        </w:rPr>
        <w:t xml:space="preserve">En tant que mécanisme interne de gouvernance, </w:t>
      </w:r>
      <w:r w:rsidR="00A16031" w:rsidRPr="008D4BEF">
        <w:rPr>
          <w:rFonts w:ascii="Times New Roman" w:hAnsi="Times New Roman" w:cs="Times New Roman"/>
          <w:kern w:val="24"/>
          <w:sz w:val="24"/>
          <w:szCs w:val="24"/>
        </w:rPr>
        <w:t>le CA constitue le principal acteur du processus de gouvernance bancaire.</w:t>
      </w:r>
    </w:p>
    <w:p w14:paraId="6FD67307" w14:textId="77777777" w:rsidR="006125CE" w:rsidRPr="008D4BEF" w:rsidRDefault="002F1F64" w:rsidP="008D4BEF">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D’ailleurs, le CA convoque l’AG pour fixer l’ordre d</w:t>
      </w:r>
      <w:r w:rsidR="004207E0" w:rsidRPr="008D4BEF">
        <w:rPr>
          <w:rFonts w:ascii="Times New Roman" w:hAnsi="Times New Roman" w:cs="Times New Roman"/>
          <w:kern w:val="24"/>
          <w:sz w:val="24"/>
          <w:szCs w:val="24"/>
        </w:rPr>
        <w:t>u jour ; il établit annuellement</w:t>
      </w:r>
      <w:r w:rsidRPr="008D4BEF">
        <w:rPr>
          <w:rFonts w:ascii="Times New Roman" w:hAnsi="Times New Roman" w:cs="Times New Roman"/>
          <w:kern w:val="24"/>
          <w:sz w:val="24"/>
          <w:szCs w:val="24"/>
        </w:rPr>
        <w:t xml:space="preserve"> le bilan d’activité bancaire ainsi que la situation financière de la banque. En ce qui concerne les décisions au niveau d</w:t>
      </w:r>
      <w:r w:rsidR="00191A21" w:rsidRPr="008D4BEF">
        <w:rPr>
          <w:rFonts w:ascii="Times New Roman" w:hAnsi="Times New Roman" w:cs="Times New Roman"/>
          <w:kern w:val="24"/>
          <w:sz w:val="24"/>
          <w:szCs w:val="24"/>
        </w:rPr>
        <w:t>u</w:t>
      </w:r>
      <w:r w:rsidRPr="008D4BEF">
        <w:rPr>
          <w:rFonts w:ascii="Times New Roman" w:hAnsi="Times New Roman" w:cs="Times New Roman"/>
          <w:kern w:val="24"/>
          <w:sz w:val="24"/>
          <w:szCs w:val="24"/>
        </w:rPr>
        <w:t xml:space="preserve"> CA, elles sont prises par la majorité</w:t>
      </w:r>
      <w:r w:rsidR="00710994" w:rsidRPr="008D4BEF">
        <w:rPr>
          <w:rFonts w:ascii="Times New Roman" w:hAnsi="Times New Roman" w:cs="Times New Roman"/>
          <w:kern w:val="24"/>
          <w:sz w:val="24"/>
          <w:szCs w:val="24"/>
        </w:rPr>
        <w:t>. L</w:t>
      </w:r>
      <w:r w:rsidRPr="008D4BEF">
        <w:rPr>
          <w:rFonts w:ascii="Times New Roman" w:hAnsi="Times New Roman" w:cs="Times New Roman"/>
          <w:kern w:val="24"/>
          <w:sz w:val="24"/>
          <w:szCs w:val="24"/>
        </w:rPr>
        <w:t xml:space="preserve">es membres du CA de banque </w:t>
      </w:r>
      <w:r w:rsidR="004207E0"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 </w:t>
      </w:r>
      <w:r w:rsidR="00710994" w:rsidRPr="008D4BEF">
        <w:rPr>
          <w:rFonts w:ascii="Times New Roman" w:hAnsi="Times New Roman" w:cs="Times New Roman"/>
          <w:kern w:val="24"/>
          <w:sz w:val="24"/>
          <w:szCs w:val="24"/>
        </w:rPr>
        <w:t xml:space="preserve">sont </w:t>
      </w:r>
      <w:r w:rsidRPr="008D4BEF">
        <w:rPr>
          <w:rFonts w:ascii="Times New Roman" w:hAnsi="Times New Roman" w:cs="Times New Roman"/>
          <w:kern w:val="24"/>
          <w:sz w:val="24"/>
          <w:szCs w:val="24"/>
        </w:rPr>
        <w:t>responsables envers la banque</w:t>
      </w:r>
      <w:r w:rsidR="004207E0" w:rsidRPr="008D4BEF">
        <w:rPr>
          <w:rFonts w:ascii="Times New Roman" w:hAnsi="Times New Roman" w:cs="Times New Roman"/>
          <w:kern w:val="24"/>
          <w:sz w:val="24"/>
          <w:szCs w:val="24"/>
        </w:rPr>
        <w:t>, les actionnaires et les tiers</w:t>
      </w:r>
      <w:r w:rsidRPr="008D4BEF">
        <w:rPr>
          <w:rFonts w:ascii="Times New Roman" w:hAnsi="Times New Roman" w:cs="Times New Roman"/>
          <w:kern w:val="24"/>
          <w:sz w:val="24"/>
          <w:szCs w:val="24"/>
        </w:rPr>
        <w:t xml:space="preserve"> d</w:t>
      </w:r>
      <w:r w:rsidR="004207E0" w:rsidRPr="008D4BEF">
        <w:rPr>
          <w:rFonts w:ascii="Times New Roman" w:hAnsi="Times New Roman" w:cs="Times New Roman"/>
          <w:kern w:val="24"/>
          <w:sz w:val="24"/>
          <w:szCs w:val="24"/>
        </w:rPr>
        <w:t>e toute opération frauduleuse,</w:t>
      </w:r>
      <w:r w:rsidRPr="008D4BEF">
        <w:rPr>
          <w:rFonts w:ascii="Times New Roman" w:hAnsi="Times New Roman" w:cs="Times New Roman"/>
          <w:kern w:val="24"/>
          <w:sz w:val="24"/>
          <w:szCs w:val="24"/>
        </w:rPr>
        <w:t xml:space="preserve"> de tout débordement de règles ou de statuts mis en place.</w:t>
      </w:r>
      <w:bookmarkStart w:id="501" w:name="_Toc33263254"/>
      <w:bookmarkStart w:id="502" w:name="_Toc37664506"/>
      <w:bookmarkStart w:id="503" w:name="_Toc37666351"/>
      <w:bookmarkStart w:id="504" w:name="_Toc54363240"/>
      <w:bookmarkStart w:id="505" w:name="_Toc57230140"/>
      <w:bookmarkStart w:id="506" w:name="_Toc57881260"/>
      <w:bookmarkStart w:id="507" w:name="_Toc57900730"/>
      <w:bookmarkStart w:id="508" w:name="_Toc33263259"/>
      <w:bookmarkStart w:id="509" w:name="_Toc37664511"/>
      <w:bookmarkStart w:id="510" w:name="_Toc37666356"/>
      <w:bookmarkStart w:id="511" w:name="_Toc54363245"/>
      <w:bookmarkEnd w:id="501"/>
      <w:bookmarkEnd w:id="502"/>
      <w:bookmarkEnd w:id="503"/>
      <w:bookmarkEnd w:id="504"/>
      <w:bookmarkEnd w:id="505"/>
      <w:bookmarkEnd w:id="506"/>
      <w:bookmarkEnd w:id="507"/>
    </w:p>
    <w:p w14:paraId="1107C5D0" w14:textId="66E2906E" w:rsidR="002F1F64" w:rsidRPr="002B005F" w:rsidRDefault="00E618F3" w:rsidP="001F259E">
      <w:pPr>
        <w:pStyle w:val="Titre4"/>
        <w:keepNext w:val="0"/>
        <w:spacing w:before="100" w:beforeAutospacing="1" w:after="120" w:line="300" w:lineRule="auto"/>
        <w:ind w:firstLine="709"/>
      </w:pPr>
      <w:bookmarkStart w:id="512" w:name="_Toc58606255"/>
      <w:bookmarkStart w:id="513" w:name="_Toc61263460"/>
      <w:bookmarkStart w:id="514" w:name="_Toc182298689"/>
      <w:r w:rsidRPr="002B005F">
        <w:t xml:space="preserve">3.1.2- </w:t>
      </w:r>
      <w:r w:rsidR="00337C81">
        <w:t>D</w:t>
      </w:r>
      <w:r w:rsidR="002F1F64" w:rsidRPr="002B005F">
        <w:t>irigeants</w:t>
      </w:r>
      <w:bookmarkEnd w:id="508"/>
      <w:bookmarkEnd w:id="509"/>
      <w:bookmarkEnd w:id="510"/>
      <w:bookmarkEnd w:id="511"/>
      <w:bookmarkEnd w:id="512"/>
      <w:bookmarkEnd w:id="513"/>
      <w:bookmarkEnd w:id="514"/>
    </w:p>
    <w:p w14:paraId="723C702F" w14:textId="77777777" w:rsidR="002F1F64" w:rsidRPr="002B005F" w:rsidRDefault="002F1F64" w:rsidP="00892957">
      <w:pPr>
        <w:widowControl w:val="0"/>
        <w:tabs>
          <w:tab w:val="left" w:pos="0"/>
        </w:tabs>
        <w:autoSpaceDE w:val="0"/>
        <w:autoSpaceDN w:val="0"/>
        <w:adjustRightInd w:val="0"/>
        <w:spacing w:before="120"/>
        <w:ind w:firstLine="709"/>
        <w:rPr>
          <w:rFonts w:ascii="Times New Roman" w:hAnsi="Times New Roman" w:cs="Times New Roman"/>
          <w:sz w:val="24"/>
          <w:szCs w:val="24"/>
        </w:rPr>
      </w:pPr>
      <w:r w:rsidRPr="002B005F">
        <w:rPr>
          <w:rFonts w:ascii="Times New Roman" w:hAnsi="Times New Roman" w:cs="Times New Roman"/>
          <w:sz w:val="24"/>
          <w:szCs w:val="24"/>
        </w:rPr>
        <w:t>Ils sont contrôlés par l</w:t>
      </w:r>
      <w:r w:rsidR="004207E0" w:rsidRPr="002B005F">
        <w:rPr>
          <w:rFonts w:ascii="Times New Roman" w:hAnsi="Times New Roman" w:cs="Times New Roman"/>
          <w:sz w:val="24"/>
          <w:szCs w:val="24"/>
        </w:rPr>
        <w:t>e CA. Leur tâche est compliquée</w:t>
      </w:r>
      <w:r w:rsidRPr="002B005F">
        <w:rPr>
          <w:rFonts w:ascii="Times New Roman" w:hAnsi="Times New Roman" w:cs="Times New Roman"/>
          <w:sz w:val="24"/>
          <w:szCs w:val="24"/>
        </w:rPr>
        <w:t xml:space="preserve"> car ils sont tenus d’harmoniser entre la rationalité économique et les contraintes de la réglementation </w:t>
      </w:r>
      <w:r w:rsidR="004207E0"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470F07" w:rsidRPr="002B005F">
        <w:rPr>
          <w:rFonts w:ascii="Times New Roman" w:hAnsi="Times New Roman" w:cs="Times New Roman"/>
          <w:sz w:val="24"/>
          <w:szCs w:val="24"/>
        </w:rPr>
        <w:t xml:space="preserve">. Selon </w:t>
      </w:r>
      <w:r w:rsidR="00470F07" w:rsidRPr="002B005F">
        <w:rPr>
          <w:rFonts w:ascii="Times New Roman" w:hAnsi="Times New Roman" w:cs="Times New Roman"/>
          <w:smallCaps/>
          <w:sz w:val="24"/>
          <w:szCs w:val="24"/>
        </w:rPr>
        <w:t>Siagh</w:t>
      </w:r>
      <w:r w:rsidR="004207E0" w:rsidRPr="002B005F">
        <w:rPr>
          <w:rFonts w:ascii="Times New Roman" w:hAnsi="Times New Roman" w:cs="Times New Roman"/>
          <w:sz w:val="24"/>
          <w:szCs w:val="24"/>
        </w:rPr>
        <w:t>,</w:t>
      </w:r>
      <w:r w:rsidR="00470F07" w:rsidRPr="002B005F">
        <w:rPr>
          <w:rFonts w:ascii="Times New Roman" w:hAnsi="Times New Roman" w:cs="Times New Roman"/>
          <w:sz w:val="24"/>
          <w:szCs w:val="24"/>
        </w:rPr>
        <w:t xml:space="preserve"> </w:t>
      </w:r>
      <w:r w:rsidRPr="002B005F">
        <w:rPr>
          <w:rFonts w:ascii="Times New Roman" w:hAnsi="Times New Roman" w:cs="Times New Roman"/>
          <w:sz w:val="24"/>
          <w:szCs w:val="24"/>
        </w:rPr>
        <w:t>« </w:t>
      </w:r>
      <w:r w:rsidRPr="002B005F">
        <w:rPr>
          <w:rFonts w:ascii="Times New Roman" w:hAnsi="Times New Roman" w:cs="Times New Roman"/>
          <w:i/>
          <w:iCs/>
          <w:sz w:val="24"/>
          <w:szCs w:val="24"/>
        </w:rPr>
        <w:t xml:space="preserve">le dirigeant doit gérer deux systèmes de logique potentiellement contradictoires à savoir une logique d’efficience et une logique de maintien et de protection des valeurs éthiques et religieuses. Ces logiques s’expriment à travers le système de double gouvernance qui caractérise les banques </w:t>
      </w:r>
      <w:r w:rsidR="004207E0" w:rsidRPr="002B005F">
        <w:rPr>
          <w:rFonts w:ascii="Times New Roman" w:hAnsi="Times New Roman" w:cs="Times New Roman"/>
          <w:iCs/>
          <w:sz w:val="24"/>
          <w:szCs w:val="24"/>
        </w:rPr>
        <w:t>i</w:t>
      </w:r>
      <w:r w:rsidR="003773C6" w:rsidRPr="002B005F">
        <w:rPr>
          <w:rFonts w:ascii="Times New Roman" w:hAnsi="Times New Roman" w:cs="Times New Roman"/>
          <w:iCs/>
          <w:sz w:val="24"/>
          <w:szCs w:val="24"/>
        </w:rPr>
        <w:t>slamique</w:t>
      </w:r>
      <w:r w:rsidRPr="002B005F">
        <w:rPr>
          <w:rFonts w:ascii="Times New Roman" w:hAnsi="Times New Roman" w:cs="Times New Roman"/>
          <w:i/>
          <w:iCs/>
          <w:sz w:val="24"/>
          <w:szCs w:val="24"/>
        </w:rPr>
        <w:t>s</w:t>
      </w:r>
      <w:r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162"/>
      </w:r>
      <w:r w:rsidRPr="002B005F">
        <w:rPr>
          <w:rFonts w:ascii="Times New Roman" w:hAnsi="Times New Roman" w:cs="Times New Roman"/>
          <w:sz w:val="24"/>
          <w:szCs w:val="24"/>
        </w:rPr>
        <w:t xml:space="preserve">. </w:t>
      </w:r>
      <w:r w:rsidR="00710994" w:rsidRPr="002B005F">
        <w:rPr>
          <w:rFonts w:ascii="Times New Roman" w:hAnsi="Times New Roman" w:cs="Times New Roman"/>
          <w:sz w:val="24"/>
          <w:szCs w:val="24"/>
        </w:rPr>
        <w:t>Pour accomplir cette fonction doublée,</w:t>
      </w:r>
      <w:r w:rsidR="00710994" w:rsidRPr="002B005F">
        <w:rPr>
          <w:rFonts w:ascii="Times New Roman" w:hAnsi="Times New Roman" w:cs="Times New Roman"/>
          <w:smallCaps/>
          <w:sz w:val="24"/>
          <w:szCs w:val="24"/>
        </w:rPr>
        <w:t xml:space="preserve"> </w:t>
      </w:r>
      <w:r w:rsidRPr="002B005F">
        <w:rPr>
          <w:rFonts w:ascii="Times New Roman" w:hAnsi="Times New Roman" w:cs="Times New Roman"/>
          <w:smallCaps/>
          <w:sz w:val="24"/>
          <w:szCs w:val="24"/>
        </w:rPr>
        <w:t>Siagh</w:t>
      </w:r>
      <w:r w:rsidR="00710994" w:rsidRPr="002B005F">
        <w:rPr>
          <w:rFonts w:ascii="Times New Roman" w:hAnsi="Times New Roman" w:cs="Times New Roman"/>
          <w:sz w:val="24"/>
          <w:szCs w:val="24"/>
        </w:rPr>
        <w:t xml:space="preserve"> a ajouté que</w:t>
      </w:r>
      <w:r w:rsidRPr="002B005F">
        <w:rPr>
          <w:rFonts w:ascii="Times New Roman" w:hAnsi="Times New Roman" w:cs="Times New Roman"/>
          <w:sz w:val="24"/>
          <w:szCs w:val="24"/>
        </w:rPr>
        <w:t xml:space="preserve"> la banque doit mettre en œuvre une </w:t>
      </w:r>
      <w:r w:rsidRPr="00A16031">
        <w:rPr>
          <w:rFonts w:ascii="Times New Roman" w:hAnsi="Times New Roman" w:cs="Times New Roman"/>
          <w:sz w:val="24"/>
          <w:szCs w:val="24"/>
        </w:rPr>
        <w:t>culture éthique (</w:t>
      </w:r>
      <w:r w:rsidRPr="00A16031">
        <w:rPr>
          <w:rFonts w:ascii="Times New Roman" w:hAnsi="Times New Roman" w:cs="Times New Roman"/>
          <w:i/>
          <w:iCs/>
          <w:sz w:val="24"/>
          <w:szCs w:val="24"/>
        </w:rPr>
        <w:t>souloukiat</w:t>
      </w:r>
      <w:r w:rsidRPr="00A16031">
        <w:rPr>
          <w:rFonts w:ascii="Times New Roman" w:hAnsi="Times New Roman" w:cs="Times New Roman"/>
          <w:sz w:val="24"/>
          <w:szCs w:val="24"/>
        </w:rPr>
        <w:t>)</w:t>
      </w:r>
      <w:r w:rsidRPr="002B005F">
        <w:rPr>
          <w:rFonts w:ascii="Times New Roman" w:hAnsi="Times New Roman" w:cs="Times New Roman"/>
          <w:sz w:val="24"/>
          <w:szCs w:val="24"/>
        </w:rPr>
        <w:t xml:space="preserve"> et une culture </w:t>
      </w:r>
      <w:r w:rsidRPr="002B005F">
        <w:rPr>
          <w:rFonts w:ascii="Times New Roman" w:hAnsi="Times New Roman" w:cs="Times New Roman"/>
          <w:sz w:val="24"/>
          <w:szCs w:val="24"/>
        </w:rPr>
        <w:lastRenderedPageBreak/>
        <w:t>organisationnelle forte au moyen de la formation du personnel.</w:t>
      </w:r>
    </w:p>
    <w:p w14:paraId="13A8C10D" w14:textId="4BE0939C" w:rsidR="002F1F64" w:rsidRPr="00596C5A" w:rsidRDefault="00E618F3" w:rsidP="008D4BEF">
      <w:pPr>
        <w:pStyle w:val="Titre3"/>
        <w:keepNext w:val="0"/>
        <w:keepLines w:val="0"/>
        <w:spacing w:before="100" w:beforeAutospacing="1" w:after="120" w:line="300" w:lineRule="auto"/>
        <w:ind w:firstLine="709"/>
        <w:rPr>
          <w:sz w:val="28"/>
          <w:szCs w:val="28"/>
        </w:rPr>
      </w:pPr>
      <w:bookmarkStart w:id="515" w:name="_Toc33263260"/>
      <w:bookmarkStart w:id="516" w:name="_Toc37664512"/>
      <w:bookmarkStart w:id="517" w:name="_Toc37666357"/>
      <w:bookmarkStart w:id="518" w:name="_Toc54363246"/>
      <w:bookmarkStart w:id="519" w:name="_Toc58606256"/>
      <w:bookmarkStart w:id="520" w:name="_Toc61263461"/>
      <w:bookmarkStart w:id="521" w:name="_Toc182298690"/>
      <w:r w:rsidRPr="00596C5A">
        <w:rPr>
          <w:sz w:val="28"/>
          <w:szCs w:val="28"/>
        </w:rPr>
        <w:t xml:space="preserve">3.2- </w:t>
      </w:r>
      <w:r w:rsidR="00337C81">
        <w:rPr>
          <w:sz w:val="28"/>
          <w:szCs w:val="28"/>
        </w:rPr>
        <w:t>O</w:t>
      </w:r>
      <w:r w:rsidR="002F1F64" w:rsidRPr="00596C5A">
        <w:rPr>
          <w:sz w:val="28"/>
          <w:szCs w:val="28"/>
        </w:rPr>
        <w:t>rganes de contrôle</w:t>
      </w:r>
      <w:bookmarkEnd w:id="515"/>
      <w:bookmarkEnd w:id="516"/>
      <w:bookmarkEnd w:id="517"/>
      <w:bookmarkEnd w:id="518"/>
      <w:bookmarkEnd w:id="519"/>
      <w:bookmarkEnd w:id="520"/>
      <w:bookmarkEnd w:id="521"/>
    </w:p>
    <w:p w14:paraId="4C02BA82" w14:textId="68C9F196" w:rsidR="002F1F64" w:rsidRPr="002B005F" w:rsidRDefault="00A16031" w:rsidP="008D4BEF">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A16031">
        <w:rPr>
          <w:rFonts w:ascii="Times New Roman" w:hAnsi="Times New Roman" w:cs="Times New Roman"/>
          <w:sz w:val="24"/>
          <w:szCs w:val="24"/>
        </w:rPr>
        <w:t>Une plus grande discipline de marché constitue l’un des points forts du système financier islamique. Elle ne peut, cependant,</w:t>
      </w:r>
      <w:r w:rsidRPr="002B005F">
        <w:rPr>
          <w:rFonts w:ascii="Times New Roman" w:hAnsi="Times New Roman" w:cs="Times New Roman"/>
          <w:sz w:val="24"/>
          <w:szCs w:val="24"/>
        </w:rPr>
        <w:t xml:space="preserve"> </w:t>
      </w:r>
      <w:r w:rsidR="002F1F64" w:rsidRPr="002B005F">
        <w:rPr>
          <w:rFonts w:ascii="Times New Roman" w:hAnsi="Times New Roman" w:cs="Times New Roman"/>
          <w:sz w:val="24"/>
          <w:szCs w:val="24"/>
        </w:rPr>
        <w:t>éliminer le besoin de réglementation et de contrôle</w:t>
      </w:r>
      <w:r w:rsidR="002F1F64" w:rsidRPr="002B005F">
        <w:rPr>
          <w:rStyle w:val="Appelnotedebasdep"/>
          <w:rFonts w:ascii="Times New Roman" w:hAnsi="Times New Roman"/>
          <w:sz w:val="24"/>
          <w:szCs w:val="24"/>
        </w:rPr>
        <w:footnoteReference w:id="163"/>
      </w:r>
      <w:r w:rsidR="00D645C7" w:rsidRPr="002B005F">
        <w:rPr>
          <w:rFonts w:ascii="Times New Roman" w:hAnsi="Times New Roman" w:cs="Times New Roman"/>
          <w:sz w:val="24"/>
          <w:szCs w:val="24"/>
        </w:rPr>
        <w:t>. Car</w:t>
      </w:r>
      <w:r w:rsidR="00611EA9">
        <w:rPr>
          <w:rFonts w:ascii="Times New Roman" w:hAnsi="Times New Roman" w:cs="Times New Roman"/>
          <w:sz w:val="24"/>
          <w:szCs w:val="24"/>
        </w:rPr>
        <w:t xml:space="preserve"> la banque</w:t>
      </w:r>
      <w:r w:rsidR="002F1F64" w:rsidRPr="002B005F">
        <w:rPr>
          <w:rFonts w:ascii="Times New Roman" w:hAnsi="Times New Roman" w:cs="Times New Roman"/>
          <w:sz w:val="24"/>
          <w:szCs w:val="24"/>
        </w:rPr>
        <w:t xml:space="preserve"> </w:t>
      </w:r>
      <w:r w:rsidR="004207E0"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611EA9">
        <w:rPr>
          <w:rFonts w:ascii="Times New Roman" w:hAnsi="Times New Roman" w:cs="Times New Roman"/>
          <w:sz w:val="24"/>
          <w:szCs w:val="24"/>
        </w:rPr>
        <w:t xml:space="preserve"> détien</w:t>
      </w:r>
      <w:r w:rsidR="002F1F64" w:rsidRPr="002B005F">
        <w:rPr>
          <w:rFonts w:ascii="Times New Roman" w:hAnsi="Times New Roman" w:cs="Times New Roman"/>
          <w:sz w:val="24"/>
          <w:szCs w:val="24"/>
        </w:rPr>
        <w:t>t des dépôts dont la val</w:t>
      </w:r>
      <w:r w:rsidR="00611EA9">
        <w:rPr>
          <w:rFonts w:ascii="Times New Roman" w:hAnsi="Times New Roman" w:cs="Times New Roman"/>
          <w:sz w:val="24"/>
          <w:szCs w:val="24"/>
        </w:rPr>
        <w:t>eur dépasse son</w:t>
      </w:r>
      <w:r w:rsidR="00D645C7" w:rsidRPr="002B005F">
        <w:rPr>
          <w:rFonts w:ascii="Times New Roman" w:hAnsi="Times New Roman" w:cs="Times New Roman"/>
          <w:sz w:val="24"/>
          <w:szCs w:val="24"/>
        </w:rPr>
        <w:t xml:space="preserve"> propre capital. C</w:t>
      </w:r>
      <w:r w:rsidR="002F1F64" w:rsidRPr="002B005F">
        <w:rPr>
          <w:rFonts w:ascii="Times New Roman" w:hAnsi="Times New Roman" w:cs="Times New Roman"/>
          <w:sz w:val="24"/>
          <w:szCs w:val="24"/>
        </w:rPr>
        <w:t>e qui impose la nécessité d’instaurer un climat sain et transparent pour éviter les pertes et pour se prémunir des fraudes, tout en maintenant une bonne gestion et un meilleur audit.</w:t>
      </w:r>
      <w:r w:rsidR="00E83403" w:rsidRPr="002B005F">
        <w:rPr>
          <w:rFonts w:ascii="Times New Roman" w:hAnsi="Times New Roman" w:cs="Times New Roman"/>
          <w:sz w:val="24"/>
          <w:szCs w:val="24"/>
        </w:rPr>
        <w:t xml:space="preserve"> </w:t>
      </w:r>
      <w:r w:rsidR="00611EA9">
        <w:rPr>
          <w:rFonts w:ascii="Times New Roman" w:hAnsi="Times New Roman" w:cs="Times New Roman"/>
          <w:sz w:val="24"/>
          <w:szCs w:val="24"/>
        </w:rPr>
        <w:t>Le contrôle de la banque</w:t>
      </w:r>
      <w:r w:rsidR="002F1F64" w:rsidRPr="002B005F">
        <w:rPr>
          <w:rFonts w:ascii="Times New Roman" w:hAnsi="Times New Roman" w:cs="Times New Roman"/>
          <w:sz w:val="24"/>
          <w:szCs w:val="24"/>
        </w:rPr>
        <w:t xml:space="preserve"> </w:t>
      </w:r>
      <w:r w:rsidR="004207E0"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F1F64" w:rsidRPr="002B005F">
        <w:rPr>
          <w:rFonts w:ascii="Times New Roman" w:hAnsi="Times New Roman" w:cs="Times New Roman"/>
          <w:sz w:val="24"/>
          <w:szCs w:val="24"/>
        </w:rPr>
        <w:t xml:space="preserve"> est assuré conjointement p</w:t>
      </w:r>
      <w:r>
        <w:rPr>
          <w:rFonts w:ascii="Times New Roman" w:hAnsi="Times New Roman" w:cs="Times New Roman"/>
          <w:sz w:val="24"/>
          <w:szCs w:val="24"/>
        </w:rPr>
        <w:t xml:space="preserve">ar les censeurs comptables et l’organe </w:t>
      </w:r>
      <w:r w:rsidR="00337C11" w:rsidRPr="00337C11">
        <w:rPr>
          <w:rFonts w:asciiTheme="majorBidi" w:hAnsiTheme="majorBidi" w:cstheme="majorBidi"/>
          <w:color w:val="000000"/>
          <w:kern w:val="24"/>
          <w:sz w:val="24"/>
          <w:szCs w:val="24"/>
          <w:shd w:val="clear" w:color="auto" w:fill="FFFFFF"/>
        </w:rPr>
        <w:t>chara</w:t>
      </w:r>
      <w:r w:rsidR="00337C11">
        <w:rPr>
          <w:rFonts w:asciiTheme="majorBidi" w:hAnsiTheme="majorBidi" w:cstheme="majorBidi"/>
          <w:color w:val="000000"/>
          <w:kern w:val="24"/>
          <w:sz w:val="24"/>
          <w:szCs w:val="24"/>
          <w:shd w:val="clear" w:color="auto" w:fill="FFFFFF"/>
        </w:rPr>
        <w:t>ï</w:t>
      </w:r>
      <w:r w:rsidR="00337C11" w:rsidRPr="00337C11">
        <w:rPr>
          <w:rFonts w:asciiTheme="majorBidi" w:hAnsiTheme="majorBidi" w:cstheme="majorBidi"/>
          <w:color w:val="000000"/>
          <w:kern w:val="24"/>
          <w:sz w:val="24"/>
          <w:szCs w:val="24"/>
          <w:shd w:val="clear" w:color="auto" w:fill="FFFFFF"/>
        </w:rPr>
        <w:t xml:space="preserve">que </w:t>
      </w:r>
      <w:r>
        <w:rPr>
          <w:rFonts w:ascii="Times New Roman" w:hAnsi="Times New Roman" w:cs="Times New Roman"/>
          <w:sz w:val="24"/>
          <w:szCs w:val="24"/>
        </w:rPr>
        <w:t>de supervision</w:t>
      </w:r>
      <w:r w:rsidR="002F1F64" w:rsidRPr="002B005F">
        <w:rPr>
          <w:rFonts w:ascii="Times New Roman" w:hAnsi="Times New Roman" w:cs="Times New Roman"/>
          <w:sz w:val="24"/>
          <w:szCs w:val="24"/>
        </w:rPr>
        <w:t>.</w:t>
      </w:r>
    </w:p>
    <w:p w14:paraId="1FB9DC34" w14:textId="47E7D85E" w:rsidR="002F1F64" w:rsidRPr="008D4BEF" w:rsidRDefault="00E618F3" w:rsidP="008D4BEF">
      <w:pPr>
        <w:pStyle w:val="Titre4"/>
        <w:keepNext w:val="0"/>
        <w:spacing w:before="120" w:after="120" w:line="300" w:lineRule="auto"/>
        <w:ind w:firstLine="709"/>
        <w:rPr>
          <w:kern w:val="24"/>
        </w:rPr>
      </w:pPr>
      <w:bookmarkStart w:id="522" w:name="_Toc33263261"/>
      <w:bookmarkStart w:id="523" w:name="_Toc37664513"/>
      <w:bookmarkStart w:id="524" w:name="_Toc37666358"/>
      <w:bookmarkStart w:id="525" w:name="_Toc54363247"/>
      <w:bookmarkStart w:id="526" w:name="_Toc58606257"/>
      <w:bookmarkStart w:id="527" w:name="_Toc61263462"/>
      <w:bookmarkStart w:id="528" w:name="_Toc182298691"/>
      <w:r w:rsidRPr="008D4BEF">
        <w:rPr>
          <w:kern w:val="24"/>
        </w:rPr>
        <w:t xml:space="preserve">3.2.1- </w:t>
      </w:r>
      <w:r w:rsidR="00337C81" w:rsidRPr="008D4BEF">
        <w:rPr>
          <w:kern w:val="24"/>
        </w:rPr>
        <w:t>C</w:t>
      </w:r>
      <w:r w:rsidR="002F1F64" w:rsidRPr="008D4BEF">
        <w:rPr>
          <w:kern w:val="24"/>
        </w:rPr>
        <w:t>enseurs comptables</w:t>
      </w:r>
      <w:bookmarkEnd w:id="522"/>
      <w:bookmarkEnd w:id="523"/>
      <w:bookmarkEnd w:id="524"/>
      <w:bookmarkEnd w:id="525"/>
      <w:bookmarkEnd w:id="526"/>
      <w:bookmarkEnd w:id="527"/>
      <w:bookmarkEnd w:id="528"/>
    </w:p>
    <w:p w14:paraId="38417B9A" w14:textId="77777777" w:rsidR="002F1F64" w:rsidRPr="008D4BEF" w:rsidRDefault="002F1F64" w:rsidP="008D4BEF">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Ils sont nommés par l’AG des actionnaires qui fixe leur rémunération et la durée de leur mandat</w:t>
      </w:r>
      <w:r w:rsidRPr="008D4BEF">
        <w:rPr>
          <w:rStyle w:val="Appelnotedebasdep"/>
          <w:rFonts w:ascii="Times New Roman" w:hAnsi="Times New Roman"/>
          <w:kern w:val="24"/>
          <w:sz w:val="24"/>
          <w:szCs w:val="24"/>
        </w:rPr>
        <w:footnoteReference w:id="164"/>
      </w:r>
      <w:r w:rsidRPr="008D4BEF">
        <w:rPr>
          <w:rFonts w:ascii="Times New Roman" w:hAnsi="Times New Roman" w:cs="Times New Roman"/>
          <w:kern w:val="24"/>
          <w:sz w:val="24"/>
          <w:szCs w:val="24"/>
        </w:rPr>
        <w:t xml:space="preserve">. Ils doivent assurer le contrôle de la gestion de la banque </w:t>
      </w:r>
      <w:r w:rsidR="00E13959"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 et établir leur rapport annuel à l’in</w:t>
      </w:r>
      <w:r w:rsidR="00710994" w:rsidRPr="008D4BEF">
        <w:rPr>
          <w:rFonts w:ascii="Times New Roman" w:hAnsi="Times New Roman" w:cs="Times New Roman"/>
          <w:kern w:val="24"/>
          <w:sz w:val="24"/>
          <w:szCs w:val="24"/>
        </w:rPr>
        <w:t>tention de l’AG</w:t>
      </w:r>
      <w:r w:rsidRPr="008D4BEF">
        <w:rPr>
          <w:rFonts w:ascii="Times New Roman" w:hAnsi="Times New Roman" w:cs="Times New Roman"/>
          <w:kern w:val="24"/>
          <w:sz w:val="24"/>
          <w:szCs w:val="24"/>
        </w:rPr>
        <w:t xml:space="preserve"> qui inclut une analyse bilan</w:t>
      </w:r>
      <w:r w:rsidR="00191A21" w:rsidRPr="008D4BEF">
        <w:rPr>
          <w:rFonts w:ascii="Times New Roman" w:hAnsi="Times New Roman" w:cs="Times New Roman"/>
          <w:kern w:val="24"/>
          <w:sz w:val="24"/>
          <w:szCs w:val="24"/>
        </w:rPr>
        <w:t>c</w:t>
      </w:r>
      <w:r w:rsidRPr="008D4BEF">
        <w:rPr>
          <w:rFonts w:ascii="Times New Roman" w:hAnsi="Times New Roman" w:cs="Times New Roman"/>
          <w:kern w:val="24"/>
          <w:sz w:val="24"/>
          <w:szCs w:val="24"/>
        </w:rPr>
        <w:t>ielle de la ba</w:t>
      </w:r>
      <w:r w:rsidR="00E13959" w:rsidRPr="008D4BEF">
        <w:rPr>
          <w:rFonts w:ascii="Times New Roman" w:hAnsi="Times New Roman" w:cs="Times New Roman"/>
          <w:kern w:val="24"/>
          <w:sz w:val="24"/>
          <w:szCs w:val="24"/>
        </w:rPr>
        <w:t xml:space="preserve">nque. </w:t>
      </w:r>
      <w:r w:rsidR="00191A21" w:rsidRPr="008D4BEF">
        <w:rPr>
          <w:rFonts w:ascii="Times New Roman" w:hAnsi="Times New Roman" w:cs="Times New Roman"/>
          <w:kern w:val="24"/>
          <w:sz w:val="24"/>
          <w:szCs w:val="24"/>
        </w:rPr>
        <w:t>I</w:t>
      </w:r>
      <w:r w:rsidR="00F706CB" w:rsidRPr="008D4BEF">
        <w:rPr>
          <w:rFonts w:ascii="Times New Roman" w:hAnsi="Times New Roman" w:cs="Times New Roman"/>
          <w:kern w:val="24"/>
          <w:sz w:val="24"/>
          <w:szCs w:val="24"/>
        </w:rPr>
        <w:t>ls sont tenus de divulguer les informations indiqua</w:t>
      </w:r>
      <w:r w:rsidRPr="008D4BEF">
        <w:rPr>
          <w:rFonts w:ascii="Times New Roman" w:hAnsi="Times New Roman" w:cs="Times New Roman"/>
          <w:kern w:val="24"/>
          <w:sz w:val="24"/>
          <w:szCs w:val="24"/>
        </w:rPr>
        <w:t>nt la situation véritable de la banque, a</w:t>
      </w:r>
      <w:r w:rsidR="00F706CB" w:rsidRPr="008D4BEF">
        <w:rPr>
          <w:rFonts w:ascii="Times New Roman" w:hAnsi="Times New Roman" w:cs="Times New Roman"/>
          <w:kern w:val="24"/>
          <w:sz w:val="24"/>
          <w:szCs w:val="24"/>
        </w:rPr>
        <w:t>près avoir examiné les livres,</w:t>
      </w:r>
      <w:r w:rsidRPr="008D4BEF">
        <w:rPr>
          <w:rFonts w:ascii="Times New Roman" w:hAnsi="Times New Roman" w:cs="Times New Roman"/>
          <w:kern w:val="24"/>
          <w:sz w:val="24"/>
          <w:szCs w:val="24"/>
        </w:rPr>
        <w:t xml:space="preserve"> les regi</w:t>
      </w:r>
      <w:r w:rsidR="00F706CB" w:rsidRPr="008D4BEF">
        <w:rPr>
          <w:rFonts w:ascii="Times New Roman" w:hAnsi="Times New Roman" w:cs="Times New Roman"/>
          <w:kern w:val="24"/>
          <w:sz w:val="24"/>
          <w:szCs w:val="24"/>
        </w:rPr>
        <w:t>stres et les actes concrétisé par cette dernière.</w:t>
      </w:r>
    </w:p>
    <w:p w14:paraId="432F8C13" w14:textId="0D3C510F" w:rsidR="002F1F64" w:rsidRPr="008D4BEF" w:rsidRDefault="00364992" w:rsidP="008D4BEF">
      <w:pPr>
        <w:pStyle w:val="Titre4"/>
        <w:keepNext w:val="0"/>
        <w:spacing w:before="120" w:after="120" w:line="300" w:lineRule="auto"/>
        <w:ind w:firstLine="709"/>
        <w:rPr>
          <w:kern w:val="24"/>
        </w:rPr>
      </w:pPr>
      <w:bookmarkStart w:id="529" w:name="_Toc33263262"/>
      <w:bookmarkStart w:id="530" w:name="_Toc37664514"/>
      <w:bookmarkStart w:id="531" w:name="_Toc37666359"/>
      <w:bookmarkStart w:id="532" w:name="_Toc54363248"/>
      <w:bookmarkStart w:id="533" w:name="_Toc58606258"/>
      <w:bookmarkStart w:id="534" w:name="_Toc61263463"/>
      <w:bookmarkStart w:id="535" w:name="_Toc182298692"/>
      <w:r w:rsidRPr="008D4BEF">
        <w:rPr>
          <w:kern w:val="24"/>
        </w:rPr>
        <w:t>3.2.2</w:t>
      </w:r>
      <w:r w:rsidR="00E618F3" w:rsidRPr="008D4BEF">
        <w:rPr>
          <w:kern w:val="24"/>
        </w:rPr>
        <w:t xml:space="preserve">- </w:t>
      </w:r>
      <w:r w:rsidR="00E13959" w:rsidRPr="008D4BEF">
        <w:rPr>
          <w:i/>
          <w:iCs/>
          <w:kern w:val="24"/>
        </w:rPr>
        <w:t>Shariah</w:t>
      </w:r>
      <w:r w:rsidR="00853917">
        <w:rPr>
          <w:kern w:val="24"/>
        </w:rPr>
        <w:t>-</w:t>
      </w:r>
      <w:r w:rsidR="00E13959" w:rsidRPr="00337C11">
        <w:rPr>
          <w:i/>
          <w:iCs/>
          <w:kern w:val="24"/>
        </w:rPr>
        <w:t>Board</w:t>
      </w:r>
      <w:r w:rsidR="00E13959" w:rsidRPr="008D4BEF">
        <w:rPr>
          <w:kern w:val="24"/>
        </w:rPr>
        <w:t xml:space="preserve"> (</w:t>
      </w:r>
      <w:r w:rsidR="007F139F" w:rsidRPr="008D4BEF">
        <w:rPr>
          <w:kern w:val="24"/>
        </w:rPr>
        <w:t xml:space="preserve">organe </w:t>
      </w:r>
      <w:r w:rsidR="00337C11" w:rsidRPr="00337C11">
        <w:rPr>
          <w:rFonts w:asciiTheme="majorBidi" w:hAnsiTheme="majorBidi" w:cstheme="majorBidi"/>
          <w:color w:val="000000"/>
          <w:kern w:val="24"/>
          <w:szCs w:val="24"/>
          <w:shd w:val="clear" w:color="auto" w:fill="FFFFFF"/>
        </w:rPr>
        <w:t>chara</w:t>
      </w:r>
      <w:r w:rsidR="00337C11">
        <w:rPr>
          <w:rFonts w:asciiTheme="majorBidi" w:hAnsiTheme="majorBidi" w:cstheme="majorBidi"/>
          <w:color w:val="000000"/>
          <w:kern w:val="24"/>
          <w:szCs w:val="24"/>
          <w:shd w:val="clear" w:color="auto" w:fill="FFFFFF"/>
        </w:rPr>
        <w:t>ï</w:t>
      </w:r>
      <w:r w:rsidR="00337C11" w:rsidRPr="00337C11">
        <w:rPr>
          <w:rFonts w:asciiTheme="majorBidi" w:hAnsiTheme="majorBidi" w:cstheme="majorBidi"/>
          <w:color w:val="000000"/>
          <w:kern w:val="24"/>
          <w:szCs w:val="24"/>
          <w:shd w:val="clear" w:color="auto" w:fill="FFFFFF"/>
        </w:rPr>
        <w:t xml:space="preserve">que </w:t>
      </w:r>
      <w:r w:rsidR="007F139F" w:rsidRPr="008D4BEF">
        <w:rPr>
          <w:kern w:val="24"/>
        </w:rPr>
        <w:t>de supervision</w:t>
      </w:r>
      <w:r w:rsidR="002F1F64" w:rsidRPr="008D4BEF">
        <w:rPr>
          <w:kern w:val="24"/>
        </w:rPr>
        <w:t>)</w:t>
      </w:r>
      <w:bookmarkEnd w:id="529"/>
      <w:bookmarkEnd w:id="530"/>
      <w:bookmarkEnd w:id="531"/>
      <w:bookmarkEnd w:id="532"/>
      <w:bookmarkEnd w:id="533"/>
      <w:bookmarkEnd w:id="534"/>
      <w:bookmarkEnd w:id="535"/>
    </w:p>
    <w:p w14:paraId="121D9989" w14:textId="1F0405CF" w:rsidR="002F1F64" w:rsidRPr="008D4BEF" w:rsidRDefault="002F1F64" w:rsidP="008D4BEF">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smallCaps/>
          <w:kern w:val="24"/>
          <w:sz w:val="24"/>
          <w:szCs w:val="24"/>
        </w:rPr>
        <w:t>Siagh</w:t>
      </w:r>
      <w:r w:rsidR="00021CA6" w:rsidRPr="008D4BEF">
        <w:rPr>
          <w:rFonts w:ascii="Times New Roman" w:hAnsi="Times New Roman" w:cs="Times New Roman"/>
          <w:kern w:val="24"/>
          <w:sz w:val="24"/>
          <w:szCs w:val="24"/>
        </w:rPr>
        <w:t xml:space="preserve"> (2003) a souligné que</w:t>
      </w:r>
      <w:r w:rsidRPr="008D4BEF">
        <w:rPr>
          <w:rFonts w:ascii="Times New Roman" w:hAnsi="Times New Roman" w:cs="Times New Roman"/>
          <w:kern w:val="24"/>
          <w:sz w:val="24"/>
          <w:szCs w:val="24"/>
        </w:rPr>
        <w:t xml:space="preserve"> « </w:t>
      </w:r>
      <w:r w:rsidRPr="008D4BEF">
        <w:rPr>
          <w:rFonts w:ascii="Times New Roman" w:hAnsi="Times New Roman" w:cs="Times New Roman"/>
          <w:i/>
          <w:iCs/>
          <w:kern w:val="24"/>
          <w:sz w:val="24"/>
          <w:szCs w:val="24"/>
        </w:rPr>
        <w:t xml:space="preserve">les banques </w:t>
      </w:r>
      <w:r w:rsidR="00E13959" w:rsidRPr="008D4BEF">
        <w:rPr>
          <w:rFonts w:ascii="Times New Roman" w:hAnsi="Times New Roman" w:cs="Times New Roman"/>
          <w:iCs/>
          <w:kern w:val="24"/>
          <w:sz w:val="24"/>
          <w:szCs w:val="24"/>
        </w:rPr>
        <w:t>i</w:t>
      </w:r>
      <w:r w:rsidR="003773C6" w:rsidRPr="008D4BEF">
        <w:rPr>
          <w:rFonts w:ascii="Times New Roman" w:hAnsi="Times New Roman" w:cs="Times New Roman"/>
          <w:iCs/>
          <w:kern w:val="24"/>
          <w:sz w:val="24"/>
          <w:szCs w:val="24"/>
        </w:rPr>
        <w:t>slamique</w:t>
      </w:r>
      <w:r w:rsidRPr="008D4BEF">
        <w:rPr>
          <w:rFonts w:ascii="Times New Roman" w:hAnsi="Times New Roman" w:cs="Times New Roman"/>
          <w:i/>
          <w:iCs/>
          <w:kern w:val="24"/>
          <w:sz w:val="24"/>
          <w:szCs w:val="24"/>
        </w:rPr>
        <w:t xml:space="preserve">s se réfèrent aux principes de la </w:t>
      </w:r>
      <w:r w:rsidR="001124FF" w:rsidRPr="008D4BEF">
        <w:rPr>
          <w:rFonts w:asciiTheme="majorBidi" w:eastAsia="Times New Roman" w:hAnsiTheme="majorBidi" w:cstheme="majorBidi"/>
          <w:i/>
          <w:iCs/>
          <w:color w:val="000000" w:themeColor="text1"/>
          <w:kern w:val="24"/>
          <w:sz w:val="24"/>
          <w:szCs w:val="24"/>
          <w:lang w:eastAsia="fr-FR"/>
        </w:rPr>
        <w:t>Shariah</w:t>
      </w:r>
      <w:r w:rsidRPr="008D4BEF">
        <w:rPr>
          <w:rFonts w:ascii="Times New Roman" w:hAnsi="Times New Roman" w:cs="Times New Roman"/>
          <w:i/>
          <w:iCs/>
          <w:kern w:val="24"/>
          <w:sz w:val="24"/>
          <w:szCs w:val="24"/>
        </w:rPr>
        <w:t xml:space="preserve"> pour planifier, élaborer et choisir les</w:t>
      </w:r>
      <w:r w:rsidR="00021CA6" w:rsidRPr="008D4BEF">
        <w:rPr>
          <w:rFonts w:ascii="Times New Roman" w:hAnsi="Times New Roman" w:cs="Times New Roman"/>
          <w:i/>
          <w:iCs/>
          <w:kern w:val="24"/>
          <w:sz w:val="24"/>
          <w:szCs w:val="24"/>
        </w:rPr>
        <w:t xml:space="preserve"> activités qu’elles poursuivent ainsi que les produits/</w:t>
      </w:r>
      <w:r w:rsidRPr="008D4BEF">
        <w:rPr>
          <w:rFonts w:ascii="Times New Roman" w:hAnsi="Times New Roman" w:cs="Times New Roman"/>
          <w:i/>
          <w:iCs/>
          <w:kern w:val="24"/>
          <w:sz w:val="24"/>
          <w:szCs w:val="24"/>
        </w:rPr>
        <w:t>services qu’elles offrent</w:t>
      </w:r>
      <w:r w:rsidRPr="008D4BEF">
        <w:rPr>
          <w:rFonts w:ascii="Times New Roman" w:hAnsi="Times New Roman" w:cs="Times New Roman"/>
          <w:kern w:val="24"/>
          <w:sz w:val="24"/>
          <w:szCs w:val="24"/>
        </w:rPr>
        <w:t> »</w:t>
      </w:r>
      <w:r w:rsidRPr="008D4BEF">
        <w:rPr>
          <w:rStyle w:val="Appelnotedebasdep"/>
          <w:rFonts w:ascii="Times New Roman" w:hAnsi="Times New Roman"/>
          <w:kern w:val="24"/>
          <w:sz w:val="24"/>
          <w:szCs w:val="24"/>
        </w:rPr>
        <w:footnoteReference w:id="165"/>
      </w:r>
      <w:r w:rsidRPr="008D4BEF">
        <w:rPr>
          <w:rFonts w:ascii="Times New Roman" w:hAnsi="Times New Roman" w:cs="Times New Roman"/>
          <w:kern w:val="24"/>
          <w:sz w:val="24"/>
          <w:szCs w:val="24"/>
        </w:rPr>
        <w:t>. Afin d’accompl</w:t>
      </w:r>
      <w:r w:rsidR="00611EA9" w:rsidRPr="008D4BEF">
        <w:rPr>
          <w:rFonts w:ascii="Times New Roman" w:hAnsi="Times New Roman" w:cs="Times New Roman"/>
          <w:kern w:val="24"/>
          <w:sz w:val="24"/>
          <w:szCs w:val="24"/>
        </w:rPr>
        <w:t>ir cette tâche essentielle, la banque</w:t>
      </w:r>
      <w:r w:rsidRPr="008D4BEF">
        <w:rPr>
          <w:rFonts w:ascii="Times New Roman" w:hAnsi="Times New Roman" w:cs="Times New Roman"/>
          <w:kern w:val="24"/>
          <w:sz w:val="24"/>
          <w:szCs w:val="24"/>
        </w:rPr>
        <w:t xml:space="preserve"> </w:t>
      </w:r>
      <w:r w:rsidR="00021CA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611EA9" w:rsidRPr="008D4BEF">
        <w:rPr>
          <w:rFonts w:ascii="Times New Roman" w:hAnsi="Times New Roman" w:cs="Times New Roman"/>
          <w:kern w:val="24"/>
          <w:sz w:val="24"/>
          <w:szCs w:val="24"/>
        </w:rPr>
        <w:t xml:space="preserve"> est contrôlée</w:t>
      </w:r>
      <w:r w:rsidRPr="008D4BEF">
        <w:rPr>
          <w:rFonts w:ascii="Times New Roman" w:hAnsi="Times New Roman" w:cs="Times New Roman"/>
          <w:kern w:val="24"/>
          <w:sz w:val="24"/>
          <w:szCs w:val="24"/>
        </w:rPr>
        <w:t xml:space="preserve"> par</w:t>
      </w:r>
      <w:r w:rsidR="007F139F" w:rsidRPr="008D4BEF">
        <w:rPr>
          <w:rFonts w:ascii="Times New Roman" w:hAnsi="Times New Roman" w:cs="Times New Roman"/>
          <w:kern w:val="24"/>
          <w:sz w:val="24"/>
          <w:szCs w:val="24"/>
        </w:rPr>
        <w:t xml:space="preserve"> son organe </w:t>
      </w:r>
      <w:r w:rsidR="00337C11" w:rsidRPr="00337C11">
        <w:rPr>
          <w:rFonts w:asciiTheme="majorBidi" w:hAnsiTheme="majorBidi" w:cstheme="majorBidi"/>
          <w:color w:val="000000"/>
          <w:kern w:val="24"/>
          <w:sz w:val="24"/>
          <w:szCs w:val="24"/>
          <w:shd w:val="clear" w:color="auto" w:fill="FFFFFF"/>
        </w:rPr>
        <w:t>chara</w:t>
      </w:r>
      <w:r w:rsidR="00337C11">
        <w:rPr>
          <w:rFonts w:asciiTheme="majorBidi" w:hAnsiTheme="majorBidi" w:cstheme="majorBidi"/>
          <w:color w:val="000000"/>
          <w:kern w:val="24"/>
          <w:sz w:val="24"/>
          <w:szCs w:val="24"/>
          <w:shd w:val="clear" w:color="auto" w:fill="FFFFFF"/>
        </w:rPr>
        <w:t>ï</w:t>
      </w:r>
      <w:r w:rsidR="00337C11" w:rsidRPr="00337C11">
        <w:rPr>
          <w:rFonts w:asciiTheme="majorBidi" w:hAnsiTheme="majorBidi" w:cstheme="majorBidi"/>
          <w:color w:val="000000"/>
          <w:kern w:val="24"/>
          <w:sz w:val="24"/>
          <w:szCs w:val="24"/>
          <w:shd w:val="clear" w:color="auto" w:fill="FFFFFF"/>
        </w:rPr>
        <w:t xml:space="preserve">que </w:t>
      </w:r>
      <w:r w:rsidR="007F139F" w:rsidRPr="008D4BEF">
        <w:rPr>
          <w:rFonts w:ascii="Times New Roman" w:hAnsi="Times New Roman" w:cs="Times New Roman"/>
          <w:kern w:val="24"/>
          <w:sz w:val="24"/>
          <w:szCs w:val="24"/>
        </w:rPr>
        <w:t xml:space="preserve">de supervision. </w:t>
      </w:r>
      <w:r w:rsidRPr="008D4BEF">
        <w:rPr>
          <w:rFonts w:ascii="Times New Roman" w:hAnsi="Times New Roman" w:cs="Times New Roman"/>
          <w:kern w:val="24"/>
          <w:sz w:val="24"/>
          <w:szCs w:val="24"/>
        </w:rPr>
        <w:t>Ce dernier représente un organe primordial</w:t>
      </w:r>
      <w:r w:rsidR="00191A21" w:rsidRPr="008D4BEF">
        <w:rPr>
          <w:rFonts w:ascii="Times New Roman" w:hAnsi="Times New Roman" w:cs="Times New Roman"/>
          <w:kern w:val="24"/>
          <w:sz w:val="24"/>
          <w:szCs w:val="24"/>
        </w:rPr>
        <w:t>. U</w:t>
      </w:r>
      <w:r w:rsidRPr="008D4BEF">
        <w:rPr>
          <w:rFonts w:ascii="Times New Roman" w:hAnsi="Times New Roman" w:cs="Times New Roman"/>
          <w:kern w:val="24"/>
          <w:sz w:val="24"/>
          <w:szCs w:val="24"/>
        </w:rPr>
        <w:t xml:space="preserve">ne banque </w:t>
      </w:r>
      <w:r w:rsidR="00021CA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 ne peut pas s’intégrer à l’Association Intern</w:t>
      </w:r>
      <w:r w:rsidR="00723012" w:rsidRPr="008D4BEF">
        <w:rPr>
          <w:rFonts w:ascii="Times New Roman" w:hAnsi="Times New Roman" w:cs="Times New Roman"/>
          <w:kern w:val="24"/>
          <w:sz w:val="24"/>
          <w:szCs w:val="24"/>
        </w:rPr>
        <w:t xml:space="preserve">ationale des Banques </w:t>
      </w:r>
      <w:r w:rsidR="003773C6" w:rsidRPr="008D4BEF">
        <w:rPr>
          <w:rFonts w:ascii="Times New Roman" w:hAnsi="Times New Roman" w:cs="Times New Roman"/>
          <w:kern w:val="24"/>
          <w:sz w:val="24"/>
          <w:szCs w:val="24"/>
        </w:rPr>
        <w:t>Islamique</w:t>
      </w:r>
      <w:r w:rsidR="00723012" w:rsidRPr="008D4BEF">
        <w:rPr>
          <w:rFonts w:ascii="Times New Roman" w:hAnsi="Times New Roman" w:cs="Times New Roman"/>
          <w:kern w:val="24"/>
          <w:sz w:val="24"/>
          <w:szCs w:val="24"/>
        </w:rPr>
        <w:t>s (AIBI)</w:t>
      </w:r>
      <w:r w:rsidRPr="008D4BEF">
        <w:rPr>
          <w:rFonts w:ascii="Times New Roman" w:hAnsi="Times New Roman" w:cs="Times New Roman"/>
          <w:kern w:val="24"/>
          <w:sz w:val="24"/>
          <w:szCs w:val="24"/>
        </w:rPr>
        <w:t xml:space="preserve">, si elle ne dispose pas d’un </w:t>
      </w:r>
      <w:r w:rsidR="00853917">
        <w:rPr>
          <w:rFonts w:ascii="Times New Roman" w:hAnsi="Times New Roman" w:cs="Times New Roman"/>
          <w:i/>
          <w:iCs/>
          <w:kern w:val="24"/>
          <w:sz w:val="24"/>
          <w:szCs w:val="24"/>
        </w:rPr>
        <w:t>S</w:t>
      </w:r>
      <w:r w:rsidR="007F139F" w:rsidRPr="008D4BEF">
        <w:rPr>
          <w:rFonts w:ascii="Times New Roman" w:hAnsi="Times New Roman" w:cs="Times New Roman"/>
          <w:i/>
          <w:iCs/>
          <w:kern w:val="24"/>
          <w:sz w:val="24"/>
          <w:szCs w:val="24"/>
        </w:rPr>
        <w:t>hariah</w:t>
      </w:r>
      <w:r w:rsidR="00853917">
        <w:rPr>
          <w:rFonts w:ascii="Times New Roman" w:hAnsi="Times New Roman" w:cs="Times New Roman"/>
          <w:kern w:val="24"/>
          <w:sz w:val="24"/>
          <w:szCs w:val="24"/>
        </w:rPr>
        <w:t>-</w:t>
      </w:r>
      <w:r w:rsidR="007F139F" w:rsidRPr="00337C11">
        <w:rPr>
          <w:rFonts w:ascii="Times New Roman" w:hAnsi="Times New Roman" w:cs="Times New Roman"/>
          <w:i/>
          <w:iCs/>
          <w:kern w:val="24"/>
          <w:sz w:val="24"/>
          <w:szCs w:val="24"/>
        </w:rPr>
        <w:t>board</w:t>
      </w:r>
      <w:r w:rsidRPr="008D4BEF">
        <w:rPr>
          <w:rFonts w:ascii="Times New Roman" w:hAnsi="Times New Roman" w:cs="Times New Roman"/>
          <w:kern w:val="24"/>
          <w:sz w:val="24"/>
          <w:szCs w:val="24"/>
        </w:rPr>
        <w:t>.</w:t>
      </w:r>
    </w:p>
    <w:p w14:paraId="1497CE13" w14:textId="7A7A11BF" w:rsidR="002F1F64" w:rsidRPr="008D4BEF" w:rsidRDefault="002F1F64" w:rsidP="008D4BEF">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smallCaps/>
          <w:kern w:val="24"/>
          <w:sz w:val="24"/>
          <w:szCs w:val="24"/>
        </w:rPr>
        <w:t>Chapra</w:t>
      </w:r>
      <w:r w:rsidRPr="008D4BEF">
        <w:rPr>
          <w:rFonts w:ascii="Times New Roman" w:hAnsi="Times New Roman" w:cs="Times New Roman"/>
          <w:kern w:val="24"/>
          <w:sz w:val="24"/>
          <w:szCs w:val="24"/>
        </w:rPr>
        <w:t xml:space="preserve"> et </w:t>
      </w:r>
      <w:r w:rsidRPr="008D4BEF">
        <w:rPr>
          <w:rFonts w:ascii="Times New Roman" w:hAnsi="Times New Roman" w:cs="Times New Roman"/>
          <w:smallCaps/>
          <w:kern w:val="24"/>
          <w:sz w:val="24"/>
          <w:szCs w:val="24"/>
        </w:rPr>
        <w:t>Khan</w:t>
      </w:r>
      <w:r w:rsidRPr="008D4BEF">
        <w:rPr>
          <w:rFonts w:ascii="Times New Roman" w:hAnsi="Times New Roman" w:cs="Times New Roman"/>
          <w:kern w:val="24"/>
          <w:sz w:val="24"/>
          <w:szCs w:val="24"/>
        </w:rPr>
        <w:t xml:space="preserve"> ont défini le </w:t>
      </w:r>
      <w:r w:rsidR="00853917">
        <w:rPr>
          <w:rFonts w:ascii="Times New Roman" w:hAnsi="Times New Roman" w:cs="Times New Roman"/>
          <w:i/>
          <w:iCs/>
          <w:kern w:val="24"/>
          <w:sz w:val="24"/>
          <w:szCs w:val="24"/>
        </w:rPr>
        <w:t>S</w:t>
      </w:r>
      <w:r w:rsidR="007F139F" w:rsidRPr="008D4BEF">
        <w:rPr>
          <w:rFonts w:ascii="Times New Roman" w:hAnsi="Times New Roman" w:cs="Times New Roman"/>
          <w:i/>
          <w:iCs/>
          <w:kern w:val="24"/>
          <w:sz w:val="24"/>
          <w:szCs w:val="24"/>
        </w:rPr>
        <w:t>hariah</w:t>
      </w:r>
      <w:r w:rsidR="00853917">
        <w:rPr>
          <w:rFonts w:ascii="Times New Roman" w:hAnsi="Times New Roman" w:cs="Times New Roman"/>
          <w:kern w:val="24"/>
          <w:sz w:val="24"/>
          <w:szCs w:val="24"/>
        </w:rPr>
        <w:t>-</w:t>
      </w:r>
      <w:r w:rsidR="007F139F" w:rsidRPr="00337C11">
        <w:rPr>
          <w:rFonts w:ascii="Times New Roman" w:hAnsi="Times New Roman" w:cs="Times New Roman"/>
          <w:i/>
          <w:iCs/>
          <w:kern w:val="24"/>
          <w:sz w:val="24"/>
          <w:szCs w:val="24"/>
        </w:rPr>
        <w:t>board</w:t>
      </w:r>
      <w:r w:rsidRPr="008D4BEF">
        <w:rPr>
          <w:rFonts w:ascii="Times New Roman" w:hAnsi="Times New Roman" w:cs="Times New Roman"/>
          <w:kern w:val="24"/>
          <w:sz w:val="24"/>
          <w:szCs w:val="24"/>
        </w:rPr>
        <w:t xml:space="preserve"> comme étant « </w:t>
      </w:r>
      <w:r w:rsidRPr="008D4BEF">
        <w:rPr>
          <w:rFonts w:ascii="Times New Roman" w:hAnsi="Times New Roman" w:cs="Times New Roman"/>
          <w:i/>
          <w:iCs/>
          <w:kern w:val="24"/>
          <w:sz w:val="24"/>
          <w:szCs w:val="24"/>
        </w:rPr>
        <w:t xml:space="preserve">une entité indépendante de conseillers spécialistes dans la jurisprudence </w:t>
      </w:r>
      <w:r w:rsidR="00021CA6" w:rsidRPr="008D4BEF">
        <w:rPr>
          <w:rFonts w:ascii="Times New Roman" w:hAnsi="Times New Roman" w:cs="Times New Roman"/>
          <w:i/>
          <w:kern w:val="24"/>
          <w:sz w:val="24"/>
          <w:szCs w:val="24"/>
        </w:rPr>
        <w:t>i</w:t>
      </w:r>
      <w:r w:rsidR="003773C6" w:rsidRPr="008D4BEF">
        <w:rPr>
          <w:rFonts w:ascii="Times New Roman" w:hAnsi="Times New Roman" w:cs="Times New Roman"/>
          <w:i/>
          <w:kern w:val="24"/>
          <w:sz w:val="24"/>
          <w:szCs w:val="24"/>
        </w:rPr>
        <w:t>slamique</w:t>
      </w:r>
      <w:r w:rsidRPr="008D4BEF">
        <w:rPr>
          <w:rFonts w:ascii="Times New Roman" w:hAnsi="Times New Roman" w:cs="Times New Roman"/>
          <w:i/>
          <w:iCs/>
          <w:kern w:val="24"/>
          <w:sz w:val="24"/>
          <w:szCs w:val="24"/>
        </w:rPr>
        <w:t xml:space="preserve">, chargée de passer en revue et de superviser les activités de la banque </w:t>
      </w:r>
      <w:r w:rsidR="00021CA6" w:rsidRPr="008D4BEF">
        <w:rPr>
          <w:rFonts w:ascii="Times New Roman" w:hAnsi="Times New Roman" w:cs="Times New Roman"/>
          <w:i/>
          <w:kern w:val="24"/>
          <w:sz w:val="24"/>
          <w:szCs w:val="24"/>
        </w:rPr>
        <w:t>i</w:t>
      </w:r>
      <w:r w:rsidR="003773C6" w:rsidRPr="008D4BEF">
        <w:rPr>
          <w:rFonts w:ascii="Times New Roman" w:hAnsi="Times New Roman" w:cs="Times New Roman"/>
          <w:i/>
          <w:kern w:val="24"/>
          <w:sz w:val="24"/>
          <w:szCs w:val="24"/>
        </w:rPr>
        <w:t>slamique</w:t>
      </w:r>
      <w:r w:rsidRPr="008D4BEF">
        <w:rPr>
          <w:rFonts w:ascii="Times New Roman" w:hAnsi="Times New Roman" w:cs="Times New Roman"/>
          <w:i/>
          <w:iCs/>
          <w:kern w:val="24"/>
          <w:sz w:val="24"/>
          <w:szCs w:val="24"/>
        </w:rPr>
        <w:t xml:space="preserve"> pour assurer leur conformité avec les principes de la </w:t>
      </w:r>
      <w:r w:rsidR="001124FF" w:rsidRPr="008D4BEF">
        <w:rPr>
          <w:rFonts w:asciiTheme="majorBidi" w:eastAsia="Times New Roman" w:hAnsiTheme="majorBidi" w:cstheme="majorBidi"/>
          <w:i/>
          <w:iCs/>
          <w:color w:val="000000" w:themeColor="text1"/>
          <w:kern w:val="24"/>
          <w:sz w:val="24"/>
          <w:szCs w:val="24"/>
          <w:lang w:eastAsia="fr-FR"/>
        </w:rPr>
        <w:t>Shariah</w:t>
      </w:r>
      <w:r w:rsidRPr="008D4BEF">
        <w:rPr>
          <w:rFonts w:ascii="Times New Roman" w:hAnsi="Times New Roman" w:cs="Times New Roman"/>
          <w:i/>
          <w:iCs/>
          <w:kern w:val="24"/>
          <w:sz w:val="24"/>
          <w:szCs w:val="24"/>
        </w:rPr>
        <w:t> </w:t>
      </w:r>
      <w:r w:rsidRPr="008D4BEF">
        <w:rPr>
          <w:rFonts w:ascii="Times New Roman" w:hAnsi="Times New Roman" w:cs="Times New Roman"/>
          <w:kern w:val="24"/>
          <w:sz w:val="24"/>
          <w:szCs w:val="24"/>
        </w:rPr>
        <w:t>»</w:t>
      </w:r>
      <w:r w:rsidRPr="008D4BEF">
        <w:rPr>
          <w:rStyle w:val="Appelnotedebasdep"/>
          <w:rFonts w:ascii="Times New Roman" w:hAnsi="Times New Roman"/>
          <w:kern w:val="24"/>
          <w:sz w:val="24"/>
          <w:szCs w:val="24"/>
        </w:rPr>
        <w:footnoteReference w:id="166"/>
      </w:r>
      <w:r w:rsidR="0038270C" w:rsidRPr="008D4BEF">
        <w:rPr>
          <w:rFonts w:ascii="Times New Roman" w:hAnsi="Times New Roman" w:cs="Times New Roman"/>
          <w:kern w:val="24"/>
          <w:sz w:val="24"/>
          <w:szCs w:val="24"/>
        </w:rPr>
        <w:t>. C</w:t>
      </w:r>
      <w:r w:rsidRPr="008D4BEF">
        <w:rPr>
          <w:rFonts w:ascii="Times New Roman" w:hAnsi="Times New Roman" w:cs="Times New Roman"/>
          <w:kern w:val="24"/>
          <w:sz w:val="24"/>
          <w:szCs w:val="24"/>
        </w:rPr>
        <w:t xml:space="preserve">ette définition </w:t>
      </w:r>
      <w:r w:rsidR="0038270C" w:rsidRPr="008D4BEF">
        <w:rPr>
          <w:rFonts w:ascii="Times New Roman" w:hAnsi="Times New Roman" w:cs="Times New Roman"/>
          <w:kern w:val="24"/>
          <w:sz w:val="24"/>
          <w:szCs w:val="24"/>
        </w:rPr>
        <w:t xml:space="preserve">exprime </w:t>
      </w:r>
      <w:r w:rsidR="007F139F" w:rsidRPr="008D4BEF">
        <w:rPr>
          <w:rFonts w:ascii="Times New Roman" w:hAnsi="Times New Roman" w:cs="Times New Roman"/>
          <w:kern w:val="24"/>
          <w:sz w:val="24"/>
          <w:szCs w:val="24"/>
        </w:rPr>
        <w:t xml:space="preserve">que le </w:t>
      </w:r>
      <w:r w:rsidR="00853917">
        <w:rPr>
          <w:rFonts w:ascii="Times New Roman" w:hAnsi="Times New Roman" w:cs="Times New Roman"/>
          <w:i/>
          <w:iCs/>
          <w:kern w:val="24"/>
          <w:sz w:val="24"/>
          <w:szCs w:val="24"/>
        </w:rPr>
        <w:t>S</w:t>
      </w:r>
      <w:r w:rsidR="007F139F" w:rsidRPr="008D4BEF">
        <w:rPr>
          <w:rFonts w:ascii="Times New Roman" w:hAnsi="Times New Roman" w:cs="Times New Roman"/>
          <w:i/>
          <w:iCs/>
          <w:kern w:val="24"/>
          <w:sz w:val="24"/>
          <w:szCs w:val="24"/>
        </w:rPr>
        <w:t>haria</w:t>
      </w:r>
      <w:r w:rsidR="00675057" w:rsidRPr="008D4BEF">
        <w:rPr>
          <w:rFonts w:ascii="Times New Roman" w:hAnsi="Times New Roman" w:cs="Times New Roman"/>
          <w:i/>
          <w:iCs/>
          <w:kern w:val="24"/>
          <w:sz w:val="24"/>
          <w:szCs w:val="24"/>
        </w:rPr>
        <w:t>h</w:t>
      </w:r>
      <w:r w:rsidR="00853917">
        <w:rPr>
          <w:rFonts w:ascii="Times New Roman" w:hAnsi="Times New Roman" w:cs="Times New Roman"/>
          <w:kern w:val="24"/>
          <w:sz w:val="24"/>
          <w:szCs w:val="24"/>
        </w:rPr>
        <w:t>-</w:t>
      </w:r>
      <w:r w:rsidR="007F139F" w:rsidRPr="00337C11">
        <w:rPr>
          <w:rFonts w:ascii="Times New Roman" w:hAnsi="Times New Roman" w:cs="Times New Roman"/>
          <w:i/>
          <w:iCs/>
          <w:kern w:val="24"/>
          <w:sz w:val="24"/>
          <w:szCs w:val="24"/>
        </w:rPr>
        <w:t>board</w:t>
      </w:r>
      <w:r w:rsidR="007F139F" w:rsidRPr="008D4BEF">
        <w:rPr>
          <w:rFonts w:ascii="Times New Roman" w:hAnsi="Times New Roman" w:cs="Times New Roman"/>
          <w:kern w:val="24"/>
          <w:sz w:val="24"/>
          <w:szCs w:val="24"/>
        </w:rPr>
        <w:t xml:space="preserve"> </w:t>
      </w:r>
      <w:r w:rsidRPr="008D4BEF">
        <w:rPr>
          <w:rFonts w:ascii="Times New Roman" w:hAnsi="Times New Roman" w:cs="Times New Roman"/>
          <w:kern w:val="24"/>
          <w:sz w:val="24"/>
          <w:szCs w:val="24"/>
        </w:rPr>
        <w:t xml:space="preserve">est un organe chargé de vérifier et d’interpréter la conformité des opérations bancaires avec les règles </w:t>
      </w:r>
      <w:r w:rsidR="00021CA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s avant de valider leurs actions.</w:t>
      </w:r>
      <w:r w:rsidR="00E83403" w:rsidRPr="008D4BEF">
        <w:rPr>
          <w:rFonts w:ascii="Times New Roman" w:hAnsi="Times New Roman" w:cs="Times New Roman"/>
          <w:kern w:val="24"/>
          <w:sz w:val="24"/>
          <w:szCs w:val="24"/>
        </w:rPr>
        <w:t xml:space="preserve"> </w:t>
      </w:r>
      <w:r w:rsidRPr="008D4BEF">
        <w:rPr>
          <w:rFonts w:ascii="Times New Roman" w:hAnsi="Times New Roman" w:cs="Times New Roman"/>
          <w:kern w:val="24"/>
          <w:sz w:val="24"/>
          <w:szCs w:val="24"/>
        </w:rPr>
        <w:t xml:space="preserve">Les </w:t>
      </w:r>
      <w:r w:rsidR="007F139F" w:rsidRPr="008D4BEF">
        <w:rPr>
          <w:rFonts w:ascii="Times New Roman" w:hAnsi="Times New Roman" w:cs="Times New Roman"/>
          <w:kern w:val="24"/>
          <w:sz w:val="24"/>
          <w:szCs w:val="24"/>
        </w:rPr>
        <w:t xml:space="preserve">membres du </w:t>
      </w:r>
      <w:r w:rsidR="00853917">
        <w:rPr>
          <w:rFonts w:ascii="Times New Roman" w:hAnsi="Times New Roman" w:cs="Times New Roman"/>
          <w:i/>
          <w:iCs/>
          <w:kern w:val="24"/>
          <w:sz w:val="24"/>
          <w:szCs w:val="24"/>
        </w:rPr>
        <w:t>S</w:t>
      </w:r>
      <w:r w:rsidR="007F139F" w:rsidRPr="008D4BEF">
        <w:rPr>
          <w:rFonts w:ascii="Times New Roman" w:hAnsi="Times New Roman" w:cs="Times New Roman"/>
          <w:i/>
          <w:iCs/>
          <w:kern w:val="24"/>
          <w:sz w:val="24"/>
          <w:szCs w:val="24"/>
        </w:rPr>
        <w:t>haria</w:t>
      </w:r>
      <w:r w:rsidR="00675057" w:rsidRPr="008D4BEF">
        <w:rPr>
          <w:rFonts w:ascii="Times New Roman" w:hAnsi="Times New Roman" w:cs="Times New Roman"/>
          <w:i/>
          <w:iCs/>
          <w:kern w:val="24"/>
          <w:sz w:val="24"/>
          <w:szCs w:val="24"/>
        </w:rPr>
        <w:t>h</w:t>
      </w:r>
      <w:r w:rsidR="00853917">
        <w:rPr>
          <w:rFonts w:ascii="Times New Roman" w:hAnsi="Times New Roman" w:cs="Times New Roman"/>
          <w:kern w:val="24"/>
          <w:sz w:val="24"/>
          <w:szCs w:val="24"/>
        </w:rPr>
        <w:t>-</w:t>
      </w:r>
      <w:r w:rsidR="007F139F" w:rsidRPr="00337C11">
        <w:rPr>
          <w:rFonts w:ascii="Times New Roman" w:hAnsi="Times New Roman" w:cs="Times New Roman"/>
          <w:i/>
          <w:iCs/>
          <w:kern w:val="24"/>
          <w:sz w:val="24"/>
          <w:szCs w:val="24"/>
        </w:rPr>
        <w:t>board</w:t>
      </w:r>
      <w:r w:rsidRPr="008D4BEF">
        <w:rPr>
          <w:rFonts w:ascii="Times New Roman" w:hAnsi="Times New Roman" w:cs="Times New Roman"/>
          <w:kern w:val="24"/>
          <w:sz w:val="24"/>
          <w:szCs w:val="24"/>
        </w:rPr>
        <w:t xml:space="preserve"> prennent leurs décisions selon trois critères importants</w:t>
      </w:r>
      <w:r w:rsidRPr="008D4BEF">
        <w:rPr>
          <w:rStyle w:val="Appelnotedebasdep"/>
          <w:rFonts w:ascii="Times New Roman" w:hAnsi="Times New Roman"/>
          <w:kern w:val="24"/>
          <w:sz w:val="24"/>
          <w:szCs w:val="24"/>
        </w:rPr>
        <w:footnoteReference w:id="167"/>
      </w:r>
      <w:r w:rsidRPr="008D4BEF">
        <w:rPr>
          <w:rFonts w:ascii="Times New Roman" w:hAnsi="Times New Roman" w:cs="Times New Roman"/>
          <w:kern w:val="24"/>
          <w:sz w:val="24"/>
          <w:szCs w:val="24"/>
        </w:rPr>
        <w:t> :</w:t>
      </w:r>
    </w:p>
    <w:p w14:paraId="1EC97650" w14:textId="4B802A76" w:rsidR="002F1F64" w:rsidRPr="008D4BEF" w:rsidRDefault="002F1F64" w:rsidP="00CB0FF1">
      <w:pPr>
        <w:widowControl w:val="0"/>
        <w:numPr>
          <w:ilvl w:val="0"/>
          <w:numId w:val="7"/>
        </w:numPr>
        <w:tabs>
          <w:tab w:val="left" w:pos="851"/>
        </w:tabs>
        <w:autoSpaceDE w:val="0"/>
        <w:autoSpaceDN w:val="0"/>
        <w:adjustRightInd w:val="0"/>
        <w:spacing w:before="60" w:line="300" w:lineRule="auto"/>
        <w:ind w:left="1135" w:hanging="284"/>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Est-ce que les termes du contrat financier sont compatibles avec les principes de la </w:t>
      </w:r>
      <w:r w:rsidR="00A5400B" w:rsidRPr="008D4BEF">
        <w:rPr>
          <w:rFonts w:ascii="Times New Roman" w:hAnsi="Times New Roman" w:cs="Times New Roman"/>
          <w:i/>
          <w:kern w:val="24"/>
          <w:sz w:val="24"/>
          <w:szCs w:val="24"/>
        </w:rPr>
        <w:t>Shariah</w:t>
      </w:r>
      <w:r w:rsidRPr="008D4BEF">
        <w:rPr>
          <w:rFonts w:ascii="Times New Roman" w:hAnsi="Times New Roman" w:cs="Times New Roman"/>
          <w:kern w:val="24"/>
          <w:sz w:val="24"/>
          <w:szCs w:val="24"/>
        </w:rPr>
        <w:t> ?</w:t>
      </w:r>
    </w:p>
    <w:p w14:paraId="31CC9283" w14:textId="77777777" w:rsidR="002F1F64" w:rsidRPr="008D4BEF" w:rsidRDefault="002F1F64" w:rsidP="00CB0FF1">
      <w:pPr>
        <w:widowControl w:val="0"/>
        <w:numPr>
          <w:ilvl w:val="0"/>
          <w:numId w:val="7"/>
        </w:numPr>
        <w:tabs>
          <w:tab w:val="left" w:pos="851"/>
        </w:tabs>
        <w:autoSpaceDE w:val="0"/>
        <w:autoSpaceDN w:val="0"/>
        <w:adjustRightInd w:val="0"/>
        <w:spacing w:before="60" w:line="300" w:lineRule="auto"/>
        <w:ind w:left="1135" w:hanging="284"/>
        <w:rPr>
          <w:rFonts w:ascii="Times New Roman" w:hAnsi="Times New Roman" w:cs="Times New Roman"/>
          <w:kern w:val="24"/>
          <w:sz w:val="24"/>
          <w:szCs w:val="24"/>
        </w:rPr>
      </w:pPr>
      <w:r w:rsidRPr="008D4BEF">
        <w:rPr>
          <w:rFonts w:ascii="Times New Roman" w:hAnsi="Times New Roman" w:cs="Times New Roman"/>
          <w:kern w:val="24"/>
          <w:sz w:val="24"/>
          <w:szCs w:val="24"/>
        </w:rPr>
        <w:t>Est-ce que cet investissement est optimal pour le client et la banque ?</w:t>
      </w:r>
    </w:p>
    <w:p w14:paraId="101D6EF4" w14:textId="77777777" w:rsidR="002F1F64" w:rsidRPr="008D4BEF" w:rsidRDefault="002F1F64" w:rsidP="00CB0FF1">
      <w:pPr>
        <w:widowControl w:val="0"/>
        <w:numPr>
          <w:ilvl w:val="0"/>
          <w:numId w:val="7"/>
        </w:numPr>
        <w:tabs>
          <w:tab w:val="left" w:pos="851"/>
        </w:tabs>
        <w:autoSpaceDE w:val="0"/>
        <w:autoSpaceDN w:val="0"/>
        <w:adjustRightInd w:val="0"/>
        <w:spacing w:before="60" w:line="300" w:lineRule="auto"/>
        <w:ind w:left="1135" w:hanging="284"/>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Est-ce que cet investissement contribue à la création de valeur pour le client ainsi </w:t>
      </w:r>
      <w:r w:rsidRPr="008D4BEF">
        <w:rPr>
          <w:rFonts w:ascii="Times New Roman" w:hAnsi="Times New Roman" w:cs="Times New Roman"/>
          <w:kern w:val="24"/>
          <w:sz w:val="24"/>
          <w:szCs w:val="24"/>
        </w:rPr>
        <w:lastRenderedPageBreak/>
        <w:t>que pour la communauté ?</w:t>
      </w:r>
    </w:p>
    <w:p w14:paraId="5436456E" w14:textId="6D4966E6" w:rsidR="002F1F64" w:rsidRPr="008D4BEF" w:rsidRDefault="002F1F64" w:rsidP="00892957">
      <w:pPr>
        <w:keepLines/>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Donc, le </w:t>
      </w:r>
      <w:r w:rsidR="00853917">
        <w:rPr>
          <w:rFonts w:ascii="Times New Roman" w:hAnsi="Times New Roman" w:cs="Times New Roman"/>
          <w:i/>
          <w:iCs/>
          <w:kern w:val="24"/>
          <w:sz w:val="24"/>
          <w:szCs w:val="24"/>
        </w:rPr>
        <w:t>S</w:t>
      </w:r>
      <w:r w:rsidR="007F139F" w:rsidRPr="008D4BEF">
        <w:rPr>
          <w:rFonts w:ascii="Times New Roman" w:hAnsi="Times New Roman" w:cs="Times New Roman"/>
          <w:i/>
          <w:iCs/>
          <w:kern w:val="24"/>
          <w:sz w:val="24"/>
          <w:szCs w:val="24"/>
        </w:rPr>
        <w:t>haria</w:t>
      </w:r>
      <w:r w:rsidR="00675057" w:rsidRPr="008D4BEF">
        <w:rPr>
          <w:rFonts w:ascii="Times New Roman" w:hAnsi="Times New Roman" w:cs="Times New Roman"/>
          <w:i/>
          <w:iCs/>
          <w:kern w:val="24"/>
          <w:sz w:val="24"/>
          <w:szCs w:val="24"/>
        </w:rPr>
        <w:t>h</w:t>
      </w:r>
      <w:r w:rsidR="00853917">
        <w:rPr>
          <w:rFonts w:ascii="Times New Roman" w:hAnsi="Times New Roman" w:cs="Times New Roman"/>
          <w:kern w:val="24"/>
          <w:sz w:val="24"/>
          <w:szCs w:val="24"/>
        </w:rPr>
        <w:t>-</w:t>
      </w:r>
      <w:r w:rsidR="007F139F" w:rsidRPr="00337C11">
        <w:rPr>
          <w:rFonts w:ascii="Times New Roman" w:hAnsi="Times New Roman" w:cs="Times New Roman"/>
          <w:i/>
          <w:iCs/>
          <w:kern w:val="24"/>
          <w:sz w:val="24"/>
          <w:szCs w:val="24"/>
        </w:rPr>
        <w:t>board</w:t>
      </w:r>
      <w:r w:rsidRPr="008D4BEF">
        <w:rPr>
          <w:rFonts w:ascii="Times New Roman" w:hAnsi="Times New Roman" w:cs="Times New Roman"/>
          <w:kern w:val="24"/>
          <w:sz w:val="24"/>
          <w:szCs w:val="24"/>
        </w:rPr>
        <w:t xml:space="preserve"> est une entité active qui peut favoriser le développeme</w:t>
      </w:r>
      <w:r w:rsidR="00021CA6" w:rsidRPr="008D4BEF">
        <w:rPr>
          <w:rFonts w:ascii="Times New Roman" w:hAnsi="Times New Roman" w:cs="Times New Roman"/>
          <w:kern w:val="24"/>
          <w:sz w:val="24"/>
          <w:szCs w:val="24"/>
        </w:rPr>
        <w:t>nt des IFI qu’il conseille. S</w:t>
      </w:r>
      <w:r w:rsidRPr="008D4BEF">
        <w:rPr>
          <w:rFonts w:ascii="Times New Roman" w:hAnsi="Times New Roman" w:cs="Times New Roman"/>
          <w:kern w:val="24"/>
          <w:sz w:val="24"/>
          <w:szCs w:val="24"/>
        </w:rPr>
        <w:t>on rôle ne se li</w:t>
      </w:r>
      <w:r w:rsidR="00021CA6" w:rsidRPr="008D4BEF">
        <w:rPr>
          <w:rFonts w:ascii="Times New Roman" w:hAnsi="Times New Roman" w:cs="Times New Roman"/>
          <w:kern w:val="24"/>
          <w:sz w:val="24"/>
          <w:szCs w:val="24"/>
        </w:rPr>
        <w:t>mite plus au rôle de contrôleur car</w:t>
      </w:r>
      <w:r w:rsidRPr="008D4BEF">
        <w:rPr>
          <w:rFonts w:ascii="Times New Roman" w:hAnsi="Times New Roman" w:cs="Times New Roman"/>
          <w:kern w:val="24"/>
          <w:sz w:val="24"/>
          <w:szCs w:val="24"/>
        </w:rPr>
        <w:t xml:space="preserve"> il peut participer à l’élaboration même des produits/services. En général, les fonctions principales d</w:t>
      </w:r>
      <w:r w:rsidR="007F139F" w:rsidRPr="008D4BEF">
        <w:rPr>
          <w:rFonts w:ascii="Times New Roman" w:hAnsi="Times New Roman" w:cs="Times New Roman"/>
          <w:kern w:val="24"/>
          <w:sz w:val="24"/>
          <w:szCs w:val="24"/>
        </w:rPr>
        <w:t xml:space="preserve">u </w:t>
      </w:r>
      <w:r w:rsidR="00853917">
        <w:rPr>
          <w:rFonts w:ascii="Times New Roman" w:hAnsi="Times New Roman" w:cs="Times New Roman"/>
          <w:i/>
          <w:iCs/>
          <w:kern w:val="24"/>
          <w:sz w:val="24"/>
          <w:szCs w:val="24"/>
        </w:rPr>
        <w:t>S</w:t>
      </w:r>
      <w:r w:rsidR="007F139F" w:rsidRPr="008D4BEF">
        <w:rPr>
          <w:rFonts w:ascii="Times New Roman" w:hAnsi="Times New Roman" w:cs="Times New Roman"/>
          <w:i/>
          <w:iCs/>
          <w:kern w:val="24"/>
          <w:sz w:val="24"/>
          <w:szCs w:val="24"/>
        </w:rPr>
        <w:t>haria</w:t>
      </w:r>
      <w:r w:rsidR="00675057" w:rsidRPr="008D4BEF">
        <w:rPr>
          <w:rFonts w:ascii="Times New Roman" w:hAnsi="Times New Roman" w:cs="Times New Roman"/>
          <w:i/>
          <w:iCs/>
          <w:kern w:val="24"/>
          <w:sz w:val="24"/>
          <w:szCs w:val="24"/>
        </w:rPr>
        <w:t>h</w:t>
      </w:r>
      <w:r w:rsidR="00853917">
        <w:rPr>
          <w:rFonts w:ascii="Times New Roman" w:hAnsi="Times New Roman" w:cs="Times New Roman"/>
          <w:kern w:val="24"/>
          <w:sz w:val="24"/>
          <w:szCs w:val="24"/>
        </w:rPr>
        <w:t>-</w:t>
      </w:r>
      <w:r w:rsidR="007F139F" w:rsidRPr="00337C11">
        <w:rPr>
          <w:rFonts w:ascii="Times New Roman" w:hAnsi="Times New Roman" w:cs="Times New Roman"/>
          <w:i/>
          <w:iCs/>
          <w:kern w:val="24"/>
          <w:sz w:val="24"/>
          <w:szCs w:val="24"/>
        </w:rPr>
        <w:t>board</w:t>
      </w:r>
      <w:r w:rsidRPr="008D4BEF">
        <w:rPr>
          <w:rFonts w:ascii="Times New Roman" w:hAnsi="Times New Roman" w:cs="Times New Roman"/>
          <w:kern w:val="24"/>
          <w:sz w:val="24"/>
          <w:szCs w:val="24"/>
        </w:rPr>
        <w:t xml:space="preserve"> </w:t>
      </w:r>
      <w:r w:rsidR="006571F6" w:rsidRPr="008D4BEF">
        <w:rPr>
          <w:rFonts w:ascii="Times New Roman" w:hAnsi="Times New Roman" w:cs="Times New Roman"/>
          <w:kern w:val="24"/>
          <w:sz w:val="24"/>
          <w:szCs w:val="24"/>
        </w:rPr>
        <w:t xml:space="preserve">se résument </w:t>
      </w:r>
      <w:r w:rsidRPr="008D4BEF">
        <w:rPr>
          <w:rFonts w:ascii="Times New Roman" w:hAnsi="Times New Roman" w:cs="Times New Roman"/>
          <w:kern w:val="24"/>
          <w:sz w:val="24"/>
          <w:szCs w:val="24"/>
        </w:rPr>
        <w:t>comme suit</w:t>
      </w:r>
      <w:r w:rsidRPr="008D4BEF">
        <w:rPr>
          <w:rStyle w:val="Appelnotedebasdep"/>
          <w:rFonts w:ascii="Times New Roman" w:hAnsi="Times New Roman"/>
          <w:kern w:val="24"/>
          <w:sz w:val="24"/>
          <w:szCs w:val="24"/>
        </w:rPr>
        <w:footnoteReference w:id="168"/>
      </w:r>
      <w:r w:rsidR="00470F07" w:rsidRPr="008D4BEF">
        <w:rPr>
          <w:rFonts w:ascii="Times New Roman" w:hAnsi="Times New Roman" w:cs="Times New Roman"/>
          <w:kern w:val="24"/>
          <w:sz w:val="24"/>
          <w:szCs w:val="24"/>
        </w:rPr>
        <w:t> :</w:t>
      </w:r>
    </w:p>
    <w:p w14:paraId="41126F0B" w14:textId="6A90C798" w:rsidR="002F1F64" w:rsidRPr="008D4BEF" w:rsidRDefault="00C46F70" w:rsidP="00CB0FF1">
      <w:pPr>
        <w:widowControl w:val="0"/>
        <w:numPr>
          <w:ilvl w:val="0"/>
          <w:numId w:val="92"/>
        </w:numPr>
        <w:tabs>
          <w:tab w:val="left" w:pos="851"/>
          <w:tab w:val="left" w:pos="1134"/>
        </w:tabs>
        <w:autoSpaceDE w:val="0"/>
        <w:autoSpaceDN w:val="0"/>
        <w:adjustRightInd w:val="0"/>
        <w:spacing w:before="120" w:line="300" w:lineRule="auto"/>
        <w:ind w:left="1135" w:hanging="284"/>
        <w:rPr>
          <w:rFonts w:ascii="Times New Roman" w:hAnsi="Times New Roman" w:cs="Times New Roman"/>
          <w:kern w:val="24"/>
          <w:sz w:val="24"/>
          <w:szCs w:val="24"/>
        </w:rPr>
      </w:pPr>
      <w:r w:rsidRPr="008D4BEF">
        <w:rPr>
          <w:rFonts w:ascii="Times New Roman" w:hAnsi="Times New Roman" w:cs="Times New Roman"/>
          <w:kern w:val="24"/>
          <w:sz w:val="24"/>
          <w:szCs w:val="24"/>
        </w:rPr>
        <w:t>La vérification</w:t>
      </w:r>
      <w:r w:rsidR="002F1F64" w:rsidRPr="008D4BEF">
        <w:rPr>
          <w:rFonts w:ascii="Times New Roman" w:hAnsi="Times New Roman" w:cs="Times New Roman"/>
          <w:kern w:val="24"/>
          <w:sz w:val="24"/>
          <w:szCs w:val="24"/>
        </w:rPr>
        <w:t xml:space="preserve"> de toute négociation et transaction effectuée par la banque en les soumettant aux règles de la </w:t>
      </w:r>
      <w:r w:rsidR="00A5400B" w:rsidRPr="008D4BEF">
        <w:rPr>
          <w:rFonts w:ascii="Times New Roman" w:hAnsi="Times New Roman" w:cs="Times New Roman"/>
          <w:i/>
          <w:kern w:val="24"/>
          <w:sz w:val="24"/>
          <w:szCs w:val="24"/>
        </w:rPr>
        <w:t>Shariah</w:t>
      </w:r>
      <w:r w:rsidR="002F1F64" w:rsidRPr="008D4BEF">
        <w:rPr>
          <w:rFonts w:ascii="Times New Roman" w:hAnsi="Times New Roman" w:cs="Times New Roman"/>
          <w:kern w:val="24"/>
          <w:sz w:val="24"/>
          <w:szCs w:val="24"/>
        </w:rPr>
        <w:t xml:space="preserve">. Dans le cas de l’incompatibilité d’une transaction avec les préceptes </w:t>
      </w:r>
      <w:r w:rsidR="00021CA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2F1F64" w:rsidRPr="008D4BEF">
        <w:rPr>
          <w:rFonts w:ascii="Times New Roman" w:hAnsi="Times New Roman" w:cs="Times New Roman"/>
          <w:kern w:val="24"/>
          <w:sz w:val="24"/>
          <w:szCs w:val="24"/>
        </w:rPr>
        <w:t>s, elle sera directement exclue (non approuvée).</w:t>
      </w:r>
    </w:p>
    <w:p w14:paraId="7B3AC9EA" w14:textId="77777777" w:rsidR="002F1F64" w:rsidRPr="008D4BEF" w:rsidRDefault="002F1F64" w:rsidP="00CB0FF1">
      <w:pPr>
        <w:widowControl w:val="0"/>
        <w:numPr>
          <w:ilvl w:val="0"/>
          <w:numId w:val="92"/>
        </w:numPr>
        <w:tabs>
          <w:tab w:val="left" w:pos="851"/>
        </w:tabs>
        <w:autoSpaceDE w:val="0"/>
        <w:autoSpaceDN w:val="0"/>
        <w:adjustRightInd w:val="0"/>
        <w:spacing w:before="60" w:line="300" w:lineRule="auto"/>
        <w:ind w:left="1135" w:hanging="284"/>
        <w:rPr>
          <w:rFonts w:ascii="Times New Roman" w:hAnsi="Times New Roman" w:cs="Times New Roman"/>
          <w:kern w:val="24"/>
          <w:sz w:val="24"/>
          <w:szCs w:val="24"/>
        </w:rPr>
      </w:pPr>
      <w:r w:rsidRPr="008D4BEF">
        <w:rPr>
          <w:rFonts w:ascii="Times New Roman" w:hAnsi="Times New Roman" w:cs="Times New Roman"/>
          <w:kern w:val="24"/>
          <w:sz w:val="24"/>
          <w:szCs w:val="24"/>
        </w:rPr>
        <w:t>La participation régul</w:t>
      </w:r>
      <w:r w:rsidR="0038270C" w:rsidRPr="008D4BEF">
        <w:rPr>
          <w:rFonts w:ascii="Times New Roman" w:hAnsi="Times New Roman" w:cs="Times New Roman"/>
          <w:kern w:val="24"/>
          <w:sz w:val="24"/>
          <w:szCs w:val="24"/>
        </w:rPr>
        <w:t>ière dans des conférences et</w:t>
      </w:r>
      <w:r w:rsidRPr="008D4BEF">
        <w:rPr>
          <w:rFonts w:ascii="Times New Roman" w:hAnsi="Times New Roman" w:cs="Times New Roman"/>
          <w:kern w:val="24"/>
          <w:sz w:val="24"/>
          <w:szCs w:val="24"/>
        </w:rPr>
        <w:t xml:space="preserve"> réunions pour discuter les enquêtes reçues.</w:t>
      </w:r>
    </w:p>
    <w:p w14:paraId="19611CCE" w14:textId="77777777" w:rsidR="002F1F64" w:rsidRPr="008D4BEF" w:rsidRDefault="002F1F64" w:rsidP="00CB0FF1">
      <w:pPr>
        <w:widowControl w:val="0"/>
        <w:numPr>
          <w:ilvl w:val="0"/>
          <w:numId w:val="92"/>
        </w:numPr>
        <w:tabs>
          <w:tab w:val="left" w:pos="851"/>
        </w:tabs>
        <w:autoSpaceDE w:val="0"/>
        <w:autoSpaceDN w:val="0"/>
        <w:adjustRightInd w:val="0"/>
        <w:spacing w:before="60" w:line="300" w:lineRule="auto"/>
        <w:ind w:left="1135" w:hanging="284"/>
        <w:rPr>
          <w:rFonts w:ascii="Times New Roman" w:hAnsi="Times New Roman" w:cs="Times New Roman"/>
          <w:kern w:val="24"/>
          <w:sz w:val="24"/>
          <w:szCs w:val="24"/>
        </w:rPr>
      </w:pPr>
      <w:r w:rsidRPr="008D4BEF">
        <w:rPr>
          <w:rFonts w:ascii="Times New Roman" w:hAnsi="Times New Roman" w:cs="Times New Roman"/>
          <w:kern w:val="24"/>
          <w:sz w:val="24"/>
          <w:szCs w:val="24"/>
        </w:rPr>
        <w:t>La réception des enquêtes pour les présenter au conseil d’administration.</w:t>
      </w:r>
    </w:p>
    <w:p w14:paraId="3D9ADBFC" w14:textId="77777777" w:rsidR="002F1F64" w:rsidRPr="008D4BEF" w:rsidRDefault="002F1F64" w:rsidP="00CB0FF1">
      <w:pPr>
        <w:widowControl w:val="0"/>
        <w:numPr>
          <w:ilvl w:val="0"/>
          <w:numId w:val="92"/>
        </w:numPr>
        <w:tabs>
          <w:tab w:val="left" w:pos="851"/>
        </w:tabs>
        <w:autoSpaceDE w:val="0"/>
        <w:autoSpaceDN w:val="0"/>
        <w:adjustRightInd w:val="0"/>
        <w:spacing w:before="60" w:line="300" w:lineRule="auto"/>
        <w:ind w:left="1135" w:hanging="284"/>
        <w:rPr>
          <w:rFonts w:ascii="Times New Roman" w:hAnsi="Times New Roman" w:cs="Times New Roman"/>
          <w:kern w:val="24"/>
          <w:sz w:val="24"/>
          <w:szCs w:val="24"/>
        </w:rPr>
      </w:pPr>
      <w:r w:rsidRPr="008D4BEF">
        <w:rPr>
          <w:rFonts w:ascii="Times New Roman" w:hAnsi="Times New Roman" w:cs="Times New Roman"/>
          <w:kern w:val="24"/>
          <w:sz w:val="24"/>
          <w:szCs w:val="24"/>
        </w:rPr>
        <w:t>La préparation des opinions pour les diffuser après avoir eu l’accord du CA.</w:t>
      </w:r>
    </w:p>
    <w:p w14:paraId="78F62185" w14:textId="77777777" w:rsidR="002F1F64" w:rsidRPr="008D4BEF" w:rsidRDefault="002F1F64" w:rsidP="00CB0FF1">
      <w:pPr>
        <w:widowControl w:val="0"/>
        <w:numPr>
          <w:ilvl w:val="0"/>
          <w:numId w:val="92"/>
        </w:numPr>
        <w:tabs>
          <w:tab w:val="left" w:pos="851"/>
        </w:tabs>
        <w:autoSpaceDE w:val="0"/>
        <w:autoSpaceDN w:val="0"/>
        <w:adjustRightInd w:val="0"/>
        <w:spacing w:before="60" w:line="300" w:lineRule="auto"/>
        <w:ind w:left="1135" w:hanging="284"/>
        <w:rPr>
          <w:rFonts w:ascii="Times New Roman" w:hAnsi="Times New Roman" w:cs="Times New Roman"/>
          <w:kern w:val="24"/>
          <w:sz w:val="24"/>
          <w:szCs w:val="24"/>
        </w:rPr>
      </w:pPr>
      <w:r w:rsidRPr="008D4BEF">
        <w:rPr>
          <w:rFonts w:ascii="Times New Roman" w:hAnsi="Times New Roman" w:cs="Times New Roman"/>
          <w:kern w:val="24"/>
          <w:sz w:val="24"/>
          <w:szCs w:val="24"/>
        </w:rPr>
        <w:t>La préparation des contrats en collaboration avec les conseillers juridiques de la banque.</w:t>
      </w:r>
    </w:p>
    <w:p w14:paraId="1570D664" w14:textId="77777777" w:rsidR="002F1F64" w:rsidRPr="008D4BEF" w:rsidRDefault="00021CA6" w:rsidP="00CB0FF1">
      <w:pPr>
        <w:widowControl w:val="0"/>
        <w:numPr>
          <w:ilvl w:val="0"/>
          <w:numId w:val="92"/>
        </w:numPr>
        <w:tabs>
          <w:tab w:val="left" w:pos="851"/>
        </w:tabs>
        <w:autoSpaceDE w:val="0"/>
        <w:autoSpaceDN w:val="0"/>
        <w:adjustRightInd w:val="0"/>
        <w:spacing w:before="60" w:line="300" w:lineRule="auto"/>
        <w:ind w:left="1135" w:hanging="284"/>
        <w:rPr>
          <w:rFonts w:ascii="Times New Roman" w:hAnsi="Times New Roman" w:cs="Times New Roman"/>
          <w:kern w:val="24"/>
          <w:sz w:val="24"/>
          <w:szCs w:val="24"/>
        </w:rPr>
      </w:pPr>
      <w:r w:rsidRPr="008D4BEF">
        <w:rPr>
          <w:rFonts w:ascii="Times New Roman" w:hAnsi="Times New Roman" w:cs="Times New Roman"/>
          <w:kern w:val="24"/>
          <w:sz w:val="24"/>
          <w:szCs w:val="24"/>
        </w:rPr>
        <w:t>L’élaboration des études et</w:t>
      </w:r>
      <w:r w:rsidR="002F1F64" w:rsidRPr="008D4BEF">
        <w:rPr>
          <w:rFonts w:ascii="Times New Roman" w:hAnsi="Times New Roman" w:cs="Times New Roman"/>
          <w:kern w:val="24"/>
          <w:sz w:val="24"/>
          <w:szCs w:val="24"/>
        </w:rPr>
        <w:t xml:space="preserve"> recher</w:t>
      </w:r>
      <w:r w:rsidR="00E83403" w:rsidRPr="008D4BEF">
        <w:rPr>
          <w:rFonts w:ascii="Times New Roman" w:hAnsi="Times New Roman" w:cs="Times New Roman"/>
          <w:kern w:val="24"/>
          <w:sz w:val="24"/>
          <w:szCs w:val="24"/>
        </w:rPr>
        <w:t>ches nécessaires pour</w:t>
      </w:r>
      <w:r w:rsidR="002F1F64" w:rsidRPr="008D4BEF">
        <w:rPr>
          <w:rFonts w:ascii="Times New Roman" w:hAnsi="Times New Roman" w:cs="Times New Roman"/>
          <w:kern w:val="24"/>
          <w:sz w:val="24"/>
          <w:szCs w:val="24"/>
        </w:rPr>
        <w:t xml:space="preserve"> gérer les fonds de </w:t>
      </w:r>
      <w:r w:rsidR="002F1F64" w:rsidRPr="008D4BEF">
        <w:rPr>
          <w:rFonts w:ascii="Times New Roman" w:hAnsi="Times New Roman" w:cs="Times New Roman"/>
          <w:i/>
          <w:kern w:val="24"/>
          <w:sz w:val="24"/>
          <w:szCs w:val="24"/>
        </w:rPr>
        <w:t>zakat</w:t>
      </w:r>
      <w:r w:rsidR="002F1F64" w:rsidRPr="008D4BEF">
        <w:rPr>
          <w:rFonts w:ascii="Times New Roman" w:hAnsi="Times New Roman" w:cs="Times New Roman"/>
          <w:kern w:val="24"/>
          <w:sz w:val="24"/>
          <w:szCs w:val="24"/>
        </w:rPr>
        <w:t xml:space="preserve"> et s’assurer d</w:t>
      </w:r>
      <w:r w:rsidRPr="008D4BEF">
        <w:rPr>
          <w:rFonts w:ascii="Times New Roman" w:hAnsi="Times New Roman" w:cs="Times New Roman"/>
          <w:kern w:val="24"/>
          <w:sz w:val="24"/>
          <w:szCs w:val="24"/>
        </w:rPr>
        <w:t xml:space="preserve">e leur </w:t>
      </w:r>
      <w:r w:rsidR="002F1F64" w:rsidRPr="008D4BEF">
        <w:rPr>
          <w:rFonts w:ascii="Times New Roman" w:hAnsi="Times New Roman" w:cs="Times New Roman"/>
          <w:kern w:val="24"/>
          <w:sz w:val="24"/>
          <w:szCs w:val="24"/>
        </w:rPr>
        <w:t>répartition équitable entre les différentes parties méritantes.</w:t>
      </w:r>
    </w:p>
    <w:p w14:paraId="24DD8389" w14:textId="77777777" w:rsidR="002F1F64" w:rsidRPr="008D4BEF" w:rsidRDefault="002F1F64" w:rsidP="00CB0FF1">
      <w:pPr>
        <w:widowControl w:val="0"/>
        <w:numPr>
          <w:ilvl w:val="0"/>
          <w:numId w:val="92"/>
        </w:numPr>
        <w:tabs>
          <w:tab w:val="left" w:pos="851"/>
        </w:tabs>
        <w:autoSpaceDE w:val="0"/>
        <w:autoSpaceDN w:val="0"/>
        <w:adjustRightInd w:val="0"/>
        <w:spacing w:before="60" w:line="300" w:lineRule="auto"/>
        <w:ind w:left="1135" w:hanging="284"/>
        <w:rPr>
          <w:rFonts w:ascii="Times New Roman" w:hAnsi="Times New Roman" w:cs="Times New Roman"/>
          <w:kern w:val="24"/>
          <w:sz w:val="24"/>
          <w:szCs w:val="24"/>
        </w:rPr>
      </w:pPr>
      <w:r w:rsidRPr="008D4BEF">
        <w:rPr>
          <w:rFonts w:ascii="Times New Roman" w:hAnsi="Times New Roman" w:cs="Times New Roman"/>
          <w:kern w:val="24"/>
          <w:sz w:val="24"/>
          <w:szCs w:val="24"/>
        </w:rPr>
        <w:t>La contribution</w:t>
      </w:r>
      <w:r w:rsidR="00021CA6" w:rsidRPr="008D4BEF">
        <w:rPr>
          <w:rFonts w:ascii="Times New Roman" w:hAnsi="Times New Roman" w:cs="Times New Roman"/>
          <w:kern w:val="24"/>
          <w:sz w:val="24"/>
          <w:szCs w:val="24"/>
        </w:rPr>
        <w:t xml:space="preserve"> dans le processus de création, d’innovation et de production</w:t>
      </w:r>
      <w:r w:rsidRPr="008D4BEF">
        <w:rPr>
          <w:rFonts w:ascii="Times New Roman" w:hAnsi="Times New Roman" w:cs="Times New Roman"/>
          <w:kern w:val="24"/>
          <w:sz w:val="24"/>
          <w:szCs w:val="24"/>
        </w:rPr>
        <w:t xml:space="preserve"> de nouveaux produits/</w:t>
      </w:r>
      <w:r w:rsidR="00021CA6" w:rsidRPr="008D4BEF">
        <w:rPr>
          <w:rFonts w:ascii="Times New Roman" w:hAnsi="Times New Roman" w:cs="Times New Roman"/>
          <w:kern w:val="24"/>
          <w:sz w:val="24"/>
          <w:szCs w:val="24"/>
        </w:rPr>
        <w:t>services</w:t>
      </w:r>
      <w:r w:rsidRPr="008D4BEF">
        <w:rPr>
          <w:rFonts w:ascii="Times New Roman" w:hAnsi="Times New Roman" w:cs="Times New Roman"/>
          <w:kern w:val="24"/>
          <w:sz w:val="24"/>
          <w:szCs w:val="24"/>
        </w:rPr>
        <w:t xml:space="preserve"> afin de rendre la banque </w:t>
      </w:r>
      <w:r w:rsidR="009267E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 compétitive aux banques conventionnelles.</w:t>
      </w:r>
    </w:p>
    <w:p w14:paraId="610BE400" w14:textId="089EF604" w:rsidR="00354393" w:rsidRPr="008D4BEF" w:rsidRDefault="00DF3685" w:rsidP="008D4BEF">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 xml:space="preserve">Les membres du </w:t>
      </w:r>
      <w:r w:rsidR="00853917">
        <w:rPr>
          <w:rFonts w:ascii="Times New Roman" w:hAnsi="Times New Roman" w:cs="Times New Roman"/>
          <w:i/>
          <w:iCs/>
          <w:kern w:val="24"/>
          <w:sz w:val="24"/>
          <w:szCs w:val="24"/>
        </w:rPr>
        <w:t>S</w:t>
      </w:r>
      <w:r w:rsidRPr="008D4BEF">
        <w:rPr>
          <w:rFonts w:ascii="Times New Roman" w:hAnsi="Times New Roman" w:cs="Times New Roman"/>
          <w:i/>
          <w:iCs/>
          <w:kern w:val="24"/>
          <w:sz w:val="24"/>
          <w:szCs w:val="24"/>
        </w:rPr>
        <w:t>haria</w:t>
      </w:r>
      <w:r w:rsidR="00675057" w:rsidRPr="008D4BEF">
        <w:rPr>
          <w:rFonts w:ascii="Times New Roman" w:hAnsi="Times New Roman" w:cs="Times New Roman"/>
          <w:i/>
          <w:iCs/>
          <w:kern w:val="24"/>
          <w:sz w:val="24"/>
          <w:szCs w:val="24"/>
        </w:rPr>
        <w:t>h</w:t>
      </w:r>
      <w:r w:rsidR="00853917">
        <w:rPr>
          <w:rFonts w:ascii="Times New Roman" w:hAnsi="Times New Roman" w:cs="Times New Roman"/>
          <w:kern w:val="24"/>
          <w:sz w:val="24"/>
          <w:szCs w:val="24"/>
        </w:rPr>
        <w:t>-</w:t>
      </w:r>
      <w:r w:rsidRPr="00853917">
        <w:rPr>
          <w:rFonts w:ascii="Times New Roman" w:hAnsi="Times New Roman" w:cs="Times New Roman"/>
          <w:i/>
          <w:iCs/>
          <w:kern w:val="24"/>
          <w:sz w:val="24"/>
          <w:szCs w:val="24"/>
        </w:rPr>
        <w:t>board</w:t>
      </w:r>
      <w:r w:rsidRPr="008D4BEF">
        <w:rPr>
          <w:rFonts w:ascii="Times New Roman" w:hAnsi="Times New Roman" w:cs="Times New Roman"/>
          <w:kern w:val="24"/>
          <w:sz w:val="24"/>
          <w:szCs w:val="24"/>
        </w:rPr>
        <w:t xml:space="preserve"> sont choisis par l’AG des </w:t>
      </w:r>
      <w:r w:rsidR="00354393" w:rsidRPr="008D4BEF">
        <w:rPr>
          <w:rFonts w:ascii="Times New Roman" w:hAnsi="Times New Roman" w:cs="Times New Roman"/>
          <w:kern w:val="24"/>
          <w:sz w:val="24"/>
          <w:szCs w:val="24"/>
        </w:rPr>
        <w:t>actionnaires. Leur nombre</w:t>
      </w:r>
      <w:r w:rsidR="00021CA6" w:rsidRPr="008D4BEF">
        <w:rPr>
          <w:rFonts w:ascii="Times New Roman" w:hAnsi="Times New Roman" w:cs="Times New Roman"/>
          <w:kern w:val="24"/>
          <w:sz w:val="24"/>
          <w:szCs w:val="24"/>
        </w:rPr>
        <w:t xml:space="preserve"> est variable selon les banques.</w:t>
      </w:r>
      <w:r w:rsidR="00354393" w:rsidRPr="008D4BEF">
        <w:rPr>
          <w:rFonts w:ascii="Times New Roman" w:hAnsi="Times New Roman" w:cs="Times New Roman"/>
          <w:kern w:val="24"/>
          <w:sz w:val="24"/>
          <w:szCs w:val="24"/>
        </w:rPr>
        <w:t xml:space="preserve"> </w:t>
      </w:r>
      <w:r w:rsidR="00021CA6" w:rsidRPr="008D4BEF">
        <w:rPr>
          <w:rFonts w:ascii="Times New Roman" w:hAnsi="Times New Roman" w:cs="Times New Roman"/>
          <w:kern w:val="24"/>
          <w:sz w:val="24"/>
          <w:szCs w:val="24"/>
        </w:rPr>
        <w:t>La</w:t>
      </w:r>
      <w:r w:rsidR="00354393" w:rsidRPr="008D4BEF">
        <w:rPr>
          <w:rFonts w:ascii="Times New Roman" w:hAnsi="Times New Roman" w:cs="Times New Roman"/>
          <w:kern w:val="24"/>
          <w:sz w:val="24"/>
          <w:szCs w:val="24"/>
        </w:rPr>
        <w:t xml:space="preserve"> plupart ont un conseil composé de </w:t>
      </w:r>
      <w:r w:rsidR="00853917">
        <w:rPr>
          <w:rFonts w:ascii="Times New Roman" w:hAnsi="Times New Roman" w:cs="Times New Roman"/>
          <w:kern w:val="24"/>
          <w:sz w:val="24"/>
          <w:szCs w:val="24"/>
        </w:rPr>
        <w:t>quatre</w:t>
      </w:r>
      <w:r w:rsidR="00354393" w:rsidRPr="008D4BEF">
        <w:rPr>
          <w:rFonts w:ascii="Times New Roman" w:hAnsi="Times New Roman" w:cs="Times New Roman"/>
          <w:kern w:val="24"/>
          <w:sz w:val="24"/>
          <w:szCs w:val="24"/>
        </w:rPr>
        <w:t xml:space="preserve"> à </w:t>
      </w:r>
      <w:r w:rsidR="00853917">
        <w:rPr>
          <w:rFonts w:ascii="Times New Roman" w:hAnsi="Times New Roman" w:cs="Times New Roman"/>
          <w:kern w:val="24"/>
          <w:sz w:val="24"/>
          <w:szCs w:val="24"/>
        </w:rPr>
        <w:t>sept</w:t>
      </w:r>
      <w:r w:rsidR="00354393" w:rsidRPr="008D4BEF">
        <w:rPr>
          <w:rFonts w:ascii="Times New Roman" w:hAnsi="Times New Roman" w:cs="Times New Roman"/>
          <w:kern w:val="24"/>
          <w:sz w:val="24"/>
          <w:szCs w:val="24"/>
        </w:rPr>
        <w:t xml:space="preserve"> membres</w:t>
      </w:r>
      <w:r w:rsidR="00354393" w:rsidRPr="008D4BEF">
        <w:rPr>
          <w:rStyle w:val="Appelnotedebasdep"/>
          <w:rFonts w:ascii="Times New Roman" w:hAnsi="Times New Roman"/>
          <w:kern w:val="24"/>
          <w:sz w:val="24"/>
          <w:szCs w:val="24"/>
        </w:rPr>
        <w:footnoteReference w:id="169"/>
      </w:r>
      <w:r w:rsidR="00354393" w:rsidRPr="008D4BEF">
        <w:rPr>
          <w:rFonts w:ascii="Times New Roman" w:hAnsi="Times New Roman" w:cs="Times New Roman"/>
          <w:kern w:val="24"/>
          <w:sz w:val="24"/>
          <w:szCs w:val="24"/>
        </w:rPr>
        <w:t xml:space="preserve">. La composition du </w:t>
      </w:r>
      <w:r w:rsidR="00853917">
        <w:rPr>
          <w:rFonts w:ascii="Times New Roman" w:hAnsi="Times New Roman" w:cs="Times New Roman"/>
          <w:i/>
          <w:iCs/>
          <w:kern w:val="24"/>
          <w:sz w:val="24"/>
          <w:szCs w:val="24"/>
        </w:rPr>
        <w:t>S</w:t>
      </w:r>
      <w:r w:rsidR="007F139F" w:rsidRPr="008D4BEF">
        <w:rPr>
          <w:rFonts w:ascii="Times New Roman" w:hAnsi="Times New Roman" w:cs="Times New Roman"/>
          <w:i/>
          <w:iCs/>
          <w:kern w:val="24"/>
          <w:sz w:val="24"/>
          <w:szCs w:val="24"/>
        </w:rPr>
        <w:t>haria</w:t>
      </w:r>
      <w:r w:rsidR="00675057" w:rsidRPr="008D4BEF">
        <w:rPr>
          <w:rFonts w:ascii="Times New Roman" w:hAnsi="Times New Roman" w:cs="Times New Roman"/>
          <w:i/>
          <w:iCs/>
          <w:kern w:val="24"/>
          <w:sz w:val="24"/>
          <w:szCs w:val="24"/>
        </w:rPr>
        <w:t>h</w:t>
      </w:r>
      <w:r w:rsidR="00853917">
        <w:rPr>
          <w:rFonts w:ascii="Times New Roman" w:hAnsi="Times New Roman" w:cs="Times New Roman"/>
          <w:kern w:val="24"/>
          <w:sz w:val="24"/>
          <w:szCs w:val="24"/>
        </w:rPr>
        <w:t>-</w:t>
      </w:r>
      <w:r w:rsidR="007F139F" w:rsidRPr="00853917">
        <w:rPr>
          <w:rFonts w:ascii="Times New Roman" w:hAnsi="Times New Roman" w:cs="Times New Roman"/>
          <w:i/>
          <w:iCs/>
          <w:kern w:val="24"/>
          <w:sz w:val="24"/>
          <w:szCs w:val="24"/>
        </w:rPr>
        <w:t>board</w:t>
      </w:r>
      <w:r w:rsidR="00021CA6" w:rsidRPr="008D4BEF">
        <w:rPr>
          <w:rFonts w:ascii="Times New Roman" w:hAnsi="Times New Roman" w:cs="Times New Roman"/>
          <w:kern w:val="24"/>
          <w:sz w:val="24"/>
          <w:szCs w:val="24"/>
        </w:rPr>
        <w:t xml:space="preserve"> est une décision stratégique</w:t>
      </w:r>
      <w:r w:rsidR="00354393" w:rsidRPr="008D4BEF">
        <w:rPr>
          <w:rFonts w:ascii="Times New Roman" w:hAnsi="Times New Roman" w:cs="Times New Roman"/>
          <w:kern w:val="24"/>
          <w:sz w:val="24"/>
          <w:szCs w:val="24"/>
        </w:rPr>
        <w:t xml:space="preserve"> car, dans le cas où l’un des conseillers religieux est déjà membre dans un conseil d’une banque prestigieuse ou d’un organisme de normalisation comme l’AAOIFI ou l’IFSB, </w:t>
      </w:r>
      <w:r w:rsidR="007F139F" w:rsidRPr="008D4BEF">
        <w:rPr>
          <w:rFonts w:ascii="Times New Roman" w:hAnsi="Times New Roman" w:cs="Times New Roman"/>
          <w:kern w:val="24"/>
          <w:sz w:val="24"/>
          <w:szCs w:val="24"/>
        </w:rPr>
        <w:t xml:space="preserve">son adhésion </w:t>
      </w:r>
      <w:r w:rsidR="00354393" w:rsidRPr="008D4BEF">
        <w:rPr>
          <w:rFonts w:ascii="Times New Roman" w:hAnsi="Times New Roman" w:cs="Times New Roman"/>
          <w:kern w:val="24"/>
          <w:sz w:val="24"/>
          <w:szCs w:val="24"/>
        </w:rPr>
        <w:t>renforcer</w:t>
      </w:r>
      <w:r w:rsidR="0038270C" w:rsidRPr="008D4BEF">
        <w:rPr>
          <w:rFonts w:ascii="Times New Roman" w:hAnsi="Times New Roman" w:cs="Times New Roman"/>
          <w:kern w:val="24"/>
          <w:sz w:val="24"/>
          <w:szCs w:val="24"/>
        </w:rPr>
        <w:t>ait</w:t>
      </w:r>
      <w:r w:rsidR="00354393" w:rsidRPr="008D4BEF">
        <w:rPr>
          <w:rFonts w:ascii="Times New Roman" w:hAnsi="Times New Roman" w:cs="Times New Roman"/>
          <w:kern w:val="24"/>
          <w:sz w:val="24"/>
          <w:szCs w:val="24"/>
        </w:rPr>
        <w:t xml:space="preserve"> la crédibilité et la réputation de la banque </w:t>
      </w:r>
      <w:r w:rsidR="00021CA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00354393" w:rsidRPr="008D4BEF">
        <w:rPr>
          <w:rFonts w:ascii="Times New Roman" w:hAnsi="Times New Roman" w:cs="Times New Roman"/>
          <w:kern w:val="24"/>
          <w:sz w:val="24"/>
          <w:szCs w:val="24"/>
        </w:rPr>
        <w:t xml:space="preserve"> auprès de ses clients.</w:t>
      </w:r>
    </w:p>
    <w:p w14:paraId="2036CDE9" w14:textId="26E8082B" w:rsidR="006406E4" w:rsidRPr="008D4BEF" w:rsidRDefault="00354393" w:rsidP="008D4BEF">
      <w:pPr>
        <w:widowControl w:val="0"/>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8D4BEF">
        <w:rPr>
          <w:rFonts w:ascii="Times New Roman" w:hAnsi="Times New Roman" w:cs="Times New Roman"/>
          <w:kern w:val="24"/>
          <w:sz w:val="24"/>
          <w:szCs w:val="24"/>
        </w:rPr>
        <w:t>Par ailleurs, il arriv</w:t>
      </w:r>
      <w:r w:rsidR="00021CA6" w:rsidRPr="008D4BEF">
        <w:rPr>
          <w:rFonts w:ascii="Times New Roman" w:hAnsi="Times New Roman" w:cs="Times New Roman"/>
          <w:kern w:val="24"/>
          <w:sz w:val="24"/>
          <w:szCs w:val="24"/>
        </w:rPr>
        <w:t>e que les interprétations et</w:t>
      </w:r>
      <w:r w:rsidRPr="008D4BEF">
        <w:rPr>
          <w:rFonts w:ascii="Times New Roman" w:hAnsi="Times New Roman" w:cs="Times New Roman"/>
          <w:kern w:val="24"/>
          <w:sz w:val="24"/>
          <w:szCs w:val="24"/>
        </w:rPr>
        <w:t xml:space="preserve"> opinions avancées par les </w:t>
      </w:r>
      <w:r w:rsidRPr="008D4BEF">
        <w:rPr>
          <w:rFonts w:ascii="Times New Roman" w:hAnsi="Times New Roman" w:cs="Times New Roman"/>
          <w:i/>
          <w:iCs/>
          <w:kern w:val="24"/>
          <w:sz w:val="24"/>
          <w:szCs w:val="24"/>
        </w:rPr>
        <w:t>scholars</w:t>
      </w:r>
      <w:r w:rsidR="00021CA6" w:rsidRPr="008D4BEF">
        <w:rPr>
          <w:rFonts w:ascii="Times New Roman" w:hAnsi="Times New Roman" w:cs="Times New Roman"/>
          <w:kern w:val="24"/>
          <w:sz w:val="24"/>
          <w:szCs w:val="24"/>
        </w:rPr>
        <w:t xml:space="preserve"> musulmans varient ; c</w:t>
      </w:r>
      <w:r w:rsidRPr="008D4BEF">
        <w:rPr>
          <w:rFonts w:ascii="Times New Roman" w:hAnsi="Times New Roman" w:cs="Times New Roman"/>
          <w:kern w:val="24"/>
          <w:sz w:val="24"/>
          <w:szCs w:val="24"/>
        </w:rPr>
        <w:t xml:space="preserve">e qui peut empêcher l’harmonisation des produits financiers </w:t>
      </w:r>
      <w:r w:rsidR="00021CA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s. Cette divergence de </w:t>
      </w:r>
      <w:r w:rsidRPr="008D4BEF">
        <w:rPr>
          <w:rFonts w:ascii="Times New Roman" w:hAnsi="Times New Roman" w:cs="Times New Roman"/>
          <w:i/>
          <w:iCs/>
          <w:kern w:val="24"/>
          <w:sz w:val="24"/>
          <w:szCs w:val="24"/>
        </w:rPr>
        <w:t xml:space="preserve">fatawi </w:t>
      </w:r>
      <w:r w:rsidRPr="008D4BEF">
        <w:rPr>
          <w:rFonts w:ascii="Times New Roman" w:hAnsi="Times New Roman" w:cs="Times New Roman"/>
          <w:kern w:val="24"/>
          <w:sz w:val="24"/>
          <w:szCs w:val="24"/>
        </w:rPr>
        <w:t xml:space="preserve">(interprétations </w:t>
      </w:r>
      <w:r w:rsidR="009267E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s) représente l’un des plus grands défis à relever par la finance </w:t>
      </w:r>
      <w:r w:rsidR="00021CA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 Pour éviter ces confusions, des Etats musulmans ayant une expérience de la pratique bancaire </w:t>
      </w:r>
      <w:r w:rsidR="00021CA6" w:rsidRPr="008D4BEF">
        <w:rPr>
          <w:rFonts w:ascii="Times New Roman" w:hAnsi="Times New Roman" w:cs="Times New Roman"/>
          <w:kern w:val="24"/>
          <w:sz w:val="24"/>
          <w:szCs w:val="24"/>
        </w:rPr>
        <w:t>i</w:t>
      </w:r>
      <w:r w:rsidR="003773C6" w:rsidRPr="008D4BEF">
        <w:rPr>
          <w:rFonts w:ascii="Times New Roman" w:hAnsi="Times New Roman" w:cs="Times New Roman"/>
          <w:kern w:val="24"/>
          <w:sz w:val="24"/>
          <w:szCs w:val="24"/>
        </w:rPr>
        <w:t>slamique</w:t>
      </w:r>
      <w:r w:rsidRPr="008D4BEF">
        <w:rPr>
          <w:rFonts w:ascii="Times New Roman" w:hAnsi="Times New Roman" w:cs="Times New Roman"/>
          <w:kern w:val="24"/>
          <w:sz w:val="24"/>
          <w:szCs w:val="24"/>
        </w:rPr>
        <w:t xml:space="preserve"> ont créé un bureau national unique de la </w:t>
      </w:r>
      <w:r w:rsidR="00A5400B" w:rsidRPr="008D4BEF">
        <w:rPr>
          <w:rFonts w:ascii="Times New Roman" w:hAnsi="Times New Roman" w:cs="Times New Roman"/>
          <w:i/>
          <w:kern w:val="24"/>
          <w:sz w:val="24"/>
          <w:szCs w:val="24"/>
        </w:rPr>
        <w:t>Shariah</w:t>
      </w:r>
      <w:r w:rsidR="00A5400B" w:rsidRPr="008D4BEF">
        <w:rPr>
          <w:rFonts w:ascii="Times New Roman" w:hAnsi="Times New Roman" w:cs="Times New Roman"/>
          <w:kern w:val="24"/>
          <w:sz w:val="24"/>
          <w:szCs w:val="24"/>
        </w:rPr>
        <w:t xml:space="preserve"> </w:t>
      </w:r>
      <w:r w:rsidRPr="008D4BEF">
        <w:rPr>
          <w:rFonts w:ascii="Times New Roman" w:hAnsi="Times New Roman" w:cs="Times New Roman"/>
          <w:kern w:val="24"/>
          <w:sz w:val="24"/>
          <w:szCs w:val="24"/>
        </w:rPr>
        <w:t>dans le but de standardiser les avis religieux</w:t>
      </w:r>
      <w:r w:rsidRPr="008D4BEF">
        <w:rPr>
          <w:rStyle w:val="Appelnotedebasdep"/>
          <w:rFonts w:ascii="Times New Roman" w:hAnsi="Times New Roman"/>
          <w:kern w:val="24"/>
          <w:sz w:val="24"/>
          <w:szCs w:val="24"/>
        </w:rPr>
        <w:footnoteReference w:id="170"/>
      </w:r>
      <w:r w:rsidR="00021CA6" w:rsidRPr="008D4BEF">
        <w:rPr>
          <w:rFonts w:ascii="Times New Roman" w:hAnsi="Times New Roman" w:cs="Times New Roman"/>
          <w:kern w:val="24"/>
          <w:sz w:val="24"/>
          <w:szCs w:val="24"/>
        </w:rPr>
        <w:t xml:space="preserve">. </w:t>
      </w:r>
    </w:p>
    <w:p w14:paraId="71862B6C" w14:textId="3ED19B68" w:rsidR="00E83403" w:rsidRPr="002B005F" w:rsidRDefault="00E83403" w:rsidP="008D4BEF">
      <w:pPr>
        <w:keepNext/>
        <w:tabs>
          <w:tab w:val="left" w:pos="0"/>
        </w:tabs>
        <w:spacing w:before="100" w:beforeAutospacing="1" w:after="100" w:afterAutospacing="1" w:line="300" w:lineRule="auto"/>
        <w:jc w:val="center"/>
        <w:rPr>
          <w:rFonts w:ascii="Times New Roman" w:eastAsia="Calibri" w:hAnsi="Times New Roman" w:cs="Times New Roman"/>
          <w:b/>
          <w:bCs/>
          <w:sz w:val="24"/>
          <w:szCs w:val="24"/>
        </w:rPr>
      </w:pPr>
      <w:bookmarkStart w:id="536" w:name="_Toc115527430"/>
      <w:r w:rsidRPr="002B005F">
        <w:rPr>
          <w:rFonts w:ascii="Times New Roman" w:eastAsia="Calibri" w:hAnsi="Times New Roman" w:cs="Times New Roman"/>
          <w:b/>
          <w:bCs/>
          <w:sz w:val="24"/>
          <w:szCs w:val="24"/>
        </w:rPr>
        <w:lastRenderedPageBreak/>
        <w:t xml:space="preserve">Figure </w:t>
      </w:r>
      <w:r w:rsidR="00B544E5">
        <w:rPr>
          <w:rFonts w:ascii="Times New Roman" w:eastAsia="Calibri" w:hAnsi="Times New Roman" w:cs="Times New Roman"/>
          <w:b/>
          <w:bCs/>
          <w:sz w:val="24"/>
          <w:szCs w:val="24"/>
        </w:rPr>
        <w:fldChar w:fldCharType="begin"/>
      </w:r>
      <w:r w:rsidR="00BF1EB6">
        <w:rPr>
          <w:rFonts w:ascii="Times New Roman" w:eastAsia="Calibri" w:hAnsi="Times New Roman" w:cs="Times New Roman"/>
          <w:b/>
          <w:bCs/>
          <w:sz w:val="24"/>
          <w:szCs w:val="24"/>
        </w:rPr>
        <w:instrText xml:space="preserve"> SEQ Figure \* ARABIC </w:instrText>
      </w:r>
      <w:r w:rsidR="00B544E5">
        <w:rPr>
          <w:rFonts w:ascii="Times New Roman" w:eastAsia="Calibri" w:hAnsi="Times New Roman" w:cs="Times New Roman"/>
          <w:b/>
          <w:bCs/>
          <w:sz w:val="24"/>
          <w:szCs w:val="24"/>
        </w:rPr>
        <w:fldChar w:fldCharType="separate"/>
      </w:r>
      <w:r w:rsidR="00666FC7">
        <w:rPr>
          <w:rFonts w:ascii="Times New Roman" w:eastAsia="Calibri" w:hAnsi="Times New Roman" w:cs="Times New Roman"/>
          <w:b/>
          <w:bCs/>
          <w:noProof/>
          <w:sz w:val="24"/>
          <w:szCs w:val="24"/>
        </w:rPr>
        <w:t>19</w:t>
      </w:r>
      <w:r w:rsidR="00B544E5">
        <w:rPr>
          <w:rFonts w:ascii="Times New Roman" w:eastAsia="Calibri" w:hAnsi="Times New Roman" w:cs="Times New Roman"/>
          <w:b/>
          <w:bCs/>
          <w:sz w:val="24"/>
          <w:szCs w:val="24"/>
        </w:rPr>
        <w:fldChar w:fldCharType="end"/>
      </w:r>
      <w:r w:rsidRPr="002B005F">
        <w:rPr>
          <w:rFonts w:ascii="Times New Roman" w:eastAsia="Calibri" w:hAnsi="Times New Roman" w:cs="Times New Roman"/>
          <w:b/>
          <w:bCs/>
          <w:sz w:val="24"/>
          <w:szCs w:val="24"/>
        </w:rPr>
        <w:t>- Structure organisationnelle d’une banque islamique</w:t>
      </w:r>
      <w:bookmarkEnd w:id="536"/>
    </w:p>
    <w:p w14:paraId="433CCEE3" w14:textId="46A0E32C" w:rsidR="00E83403" w:rsidRPr="002B005F" w:rsidRDefault="002C5EFF" w:rsidP="008D4BEF">
      <w:pPr>
        <w:keepNext/>
        <w:tabs>
          <w:tab w:val="left" w:pos="0"/>
        </w:tabs>
        <w:spacing w:before="120" w:line="300" w:lineRule="auto"/>
        <w:jc w:val="center"/>
        <w:rPr>
          <w:rFonts w:ascii="Times New Roman" w:eastAsia="Calibri" w:hAnsi="Times New Roman" w:cs="Times New Roman"/>
        </w:rPr>
      </w:pPr>
      <w:r>
        <w:rPr>
          <w:rFonts w:ascii="Times New Roman" w:eastAsia="Times New Roman" w:hAnsi="Times New Roman" w:cs="Times New Roman"/>
          <w:noProof/>
          <w:sz w:val="24"/>
          <w:szCs w:val="24"/>
          <w:lang w:eastAsia="fr-FR"/>
        </w:rPr>
        <mc:AlternateContent>
          <mc:Choice Requires="wpg">
            <w:drawing>
              <wp:anchor distT="0" distB="0" distL="114300" distR="114300" simplePos="0" relativeHeight="251663360" behindDoc="0" locked="0" layoutInCell="1" allowOverlap="1" wp14:anchorId="3234650C" wp14:editId="20004D44">
                <wp:simplePos x="0" y="0"/>
                <wp:positionH relativeFrom="margin">
                  <wp:align>center</wp:align>
                </wp:positionH>
                <wp:positionV relativeFrom="paragraph">
                  <wp:posOffset>48895</wp:posOffset>
                </wp:positionV>
                <wp:extent cx="5555615" cy="6480175"/>
                <wp:effectExtent l="12065" t="6985" r="13970" b="8890"/>
                <wp:wrapNone/>
                <wp:docPr id="959054034"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6480175"/>
                          <a:chOff x="2016" y="2581"/>
                          <a:chExt cx="8749" cy="10350"/>
                        </a:xfrm>
                      </wpg:grpSpPr>
                      <wps:wsp>
                        <wps:cNvPr id="959054035" name="Rectangle 66"/>
                        <wps:cNvSpPr>
                          <a:spLocks noChangeArrowheads="1"/>
                        </wps:cNvSpPr>
                        <wps:spPr bwMode="auto">
                          <a:xfrm>
                            <a:off x="4961" y="5915"/>
                            <a:ext cx="2551" cy="567"/>
                          </a:xfrm>
                          <a:prstGeom prst="rect">
                            <a:avLst/>
                          </a:prstGeom>
                          <a:solidFill>
                            <a:srgbClr val="FFFFFF"/>
                          </a:solidFill>
                          <a:ln w="12700">
                            <a:solidFill>
                              <a:srgbClr val="000000"/>
                            </a:solidFill>
                            <a:miter lim="800000"/>
                            <a:headEnd/>
                            <a:tailEnd/>
                          </a:ln>
                        </wps:spPr>
                        <wps:txbx>
                          <w:txbxContent>
                            <w:p w14:paraId="3C112CEE" w14:textId="77777777" w:rsidR="009C2D83" w:rsidRPr="00E83403" w:rsidRDefault="009C2D83" w:rsidP="00E83403">
                              <w:pPr>
                                <w:spacing w:line="240" w:lineRule="auto"/>
                                <w:jc w:val="center"/>
                                <w:rPr>
                                  <w:rFonts w:ascii="Times New Roman" w:hAnsi="Times New Roman" w:cs="Times New Roman"/>
                                  <w:b/>
                                  <w:bCs/>
                                </w:rPr>
                              </w:pPr>
                              <w:r w:rsidRPr="00E83403">
                                <w:rPr>
                                  <w:rFonts w:ascii="Times New Roman" w:hAnsi="Times New Roman" w:cs="Times New Roman"/>
                                  <w:b/>
                                  <w:bCs/>
                                </w:rPr>
                                <w:t>Direction Générale</w:t>
                              </w:r>
                            </w:p>
                          </w:txbxContent>
                        </wps:txbx>
                        <wps:bodyPr rot="0" vert="horz" wrap="square" lIns="91440" tIns="45720" rIns="91440" bIns="45720" anchor="ctr" anchorCtr="0" upright="1">
                          <a:noAutofit/>
                        </wps:bodyPr>
                      </wps:wsp>
                      <wpg:grpSp>
                        <wpg:cNvPr id="959054036" name="Group 1455"/>
                        <wpg:cNvGrpSpPr>
                          <a:grpSpLocks/>
                        </wpg:cNvGrpSpPr>
                        <wpg:grpSpPr bwMode="auto">
                          <a:xfrm>
                            <a:off x="2016" y="2581"/>
                            <a:ext cx="8749" cy="10350"/>
                            <a:chOff x="2016" y="2581"/>
                            <a:chExt cx="8749" cy="10350"/>
                          </a:xfrm>
                        </wpg:grpSpPr>
                        <wpg:grpSp>
                          <wpg:cNvPr id="959054037" name="Group 1456"/>
                          <wpg:cNvGrpSpPr>
                            <a:grpSpLocks/>
                          </wpg:cNvGrpSpPr>
                          <wpg:grpSpPr bwMode="auto">
                            <a:xfrm>
                              <a:off x="7929" y="8552"/>
                              <a:ext cx="2836" cy="4053"/>
                              <a:chOff x="7929" y="8569"/>
                              <a:chExt cx="2836" cy="4053"/>
                            </a:xfrm>
                          </wpg:grpSpPr>
                          <wpg:grpSp>
                            <wpg:cNvPr id="959054038" name="Group 1457"/>
                            <wpg:cNvGrpSpPr>
                              <a:grpSpLocks/>
                            </wpg:cNvGrpSpPr>
                            <wpg:grpSpPr bwMode="auto">
                              <a:xfrm>
                                <a:off x="8126" y="10037"/>
                                <a:ext cx="2639" cy="2585"/>
                                <a:chOff x="8126" y="9504"/>
                                <a:chExt cx="2639" cy="2585"/>
                              </a:xfrm>
                            </wpg:grpSpPr>
                            <wpg:grpSp>
                              <wpg:cNvPr id="959054039" name="Group 1458"/>
                              <wpg:cNvGrpSpPr>
                                <a:grpSpLocks/>
                              </wpg:cNvGrpSpPr>
                              <wpg:grpSpPr bwMode="auto">
                                <a:xfrm>
                                  <a:off x="9609" y="9538"/>
                                  <a:ext cx="1156" cy="1692"/>
                                  <a:chOff x="9609" y="9579"/>
                                  <a:chExt cx="1156" cy="1692"/>
                                </a:xfrm>
                              </wpg:grpSpPr>
                              <wps:wsp>
                                <wps:cNvPr id="959054040" name="Connecteur droit 124"/>
                                <wps:cNvCnPr>
                                  <a:cxnSpLocks noChangeShapeType="1"/>
                                </wps:cNvCnPr>
                                <wps:spPr bwMode="auto">
                                  <a:xfrm>
                                    <a:off x="9609" y="9579"/>
                                    <a:ext cx="0" cy="1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054041" name="Connecteur droit avec flèche 125"/>
                                <wps:cNvCnPr>
                                  <a:cxnSpLocks noChangeShapeType="1"/>
                                </wps:cNvCnPr>
                                <wps:spPr bwMode="auto">
                                  <a:xfrm>
                                    <a:off x="9626" y="10154"/>
                                    <a:ext cx="283"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59054042" name="Connecteur droit avec flèche 126"/>
                                <wps:cNvCnPr>
                                  <a:cxnSpLocks noChangeShapeType="1"/>
                                </wps:cNvCnPr>
                                <wps:spPr bwMode="auto">
                                  <a:xfrm>
                                    <a:off x="9626" y="10997"/>
                                    <a:ext cx="283"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59054043" name="Text Box 1462"/>
                                <wps:cNvSpPr txBox="1">
                                  <a:spLocks noChangeArrowheads="1"/>
                                </wps:cNvSpPr>
                                <wps:spPr bwMode="auto">
                                  <a:xfrm>
                                    <a:off x="9915" y="9864"/>
                                    <a:ext cx="850" cy="567"/>
                                  </a:xfrm>
                                  <a:prstGeom prst="rect">
                                    <a:avLst/>
                                  </a:prstGeom>
                                  <a:solidFill>
                                    <a:srgbClr val="FFFFFF"/>
                                  </a:solidFill>
                                  <a:ln w="9525">
                                    <a:solidFill>
                                      <a:srgbClr val="000000"/>
                                    </a:solidFill>
                                    <a:miter lim="800000"/>
                                    <a:headEnd/>
                                    <a:tailEnd/>
                                  </a:ln>
                                </wps:spPr>
                                <wps:txbx>
                                  <w:txbxContent>
                                    <w:p w14:paraId="5BA0CC20"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Zakat</w:t>
                                      </w:r>
                                    </w:p>
                                  </w:txbxContent>
                                </wps:txbx>
                                <wps:bodyPr rot="0" vert="horz" wrap="square" lIns="36000" tIns="45720" rIns="36000" bIns="45720" anchor="ctr" anchorCtr="0" upright="1">
                                  <a:noAutofit/>
                                </wps:bodyPr>
                              </wps:wsp>
                              <wps:wsp>
                                <wps:cNvPr id="959054044" name="Text Box 1463"/>
                                <wps:cNvSpPr txBox="1">
                                  <a:spLocks noChangeArrowheads="1"/>
                                </wps:cNvSpPr>
                                <wps:spPr bwMode="auto">
                                  <a:xfrm>
                                    <a:off x="9915" y="10704"/>
                                    <a:ext cx="850" cy="567"/>
                                  </a:xfrm>
                                  <a:prstGeom prst="rect">
                                    <a:avLst/>
                                  </a:prstGeom>
                                  <a:solidFill>
                                    <a:srgbClr val="FFFFFF"/>
                                  </a:solidFill>
                                  <a:ln w="9525">
                                    <a:solidFill>
                                      <a:srgbClr val="000000"/>
                                    </a:solidFill>
                                    <a:miter lim="800000"/>
                                    <a:headEnd/>
                                    <a:tailEnd/>
                                  </a:ln>
                                </wps:spPr>
                                <wps:txbx>
                                  <w:txbxContent>
                                    <w:p w14:paraId="6B773D2D" w14:textId="77777777" w:rsidR="009C2D83" w:rsidRPr="00E83403" w:rsidRDefault="009C2D83" w:rsidP="00E83403">
                                      <w:pPr>
                                        <w:spacing w:line="240" w:lineRule="auto"/>
                                        <w:jc w:val="center"/>
                                        <w:rPr>
                                          <w:rFonts w:ascii="Times New Roman" w:hAnsi="Times New Roman" w:cs="Times New Roman"/>
                                        </w:rPr>
                                      </w:pPr>
                                      <w:r w:rsidRPr="00E83403">
                                        <w:rPr>
                                          <w:rFonts w:ascii="Times New Roman" w:hAnsi="Times New Roman" w:cs="Times New Roman"/>
                                        </w:rPr>
                                        <w:t>Prêts</w:t>
                                      </w:r>
                                    </w:p>
                                  </w:txbxContent>
                                </wps:txbx>
                                <wps:bodyPr rot="0" vert="horz" wrap="square" lIns="36000" tIns="45720" rIns="36000" bIns="45720" anchor="ctr" anchorCtr="0" upright="1">
                                  <a:noAutofit/>
                                </wps:bodyPr>
                              </wps:wsp>
                            </wpg:grpSp>
                            <wpg:grpSp>
                              <wpg:cNvPr id="959054045" name="Group 1464"/>
                              <wpg:cNvGrpSpPr>
                                <a:grpSpLocks/>
                              </wpg:cNvGrpSpPr>
                              <wpg:grpSpPr bwMode="auto">
                                <a:xfrm>
                                  <a:off x="8126" y="9504"/>
                                  <a:ext cx="1540" cy="2585"/>
                                  <a:chOff x="8126" y="9545"/>
                                  <a:chExt cx="1540" cy="2585"/>
                                </a:xfrm>
                              </wpg:grpSpPr>
                              <wpg:grpSp>
                                <wpg:cNvPr id="959054046" name="Group 1465"/>
                                <wpg:cNvGrpSpPr>
                                  <a:grpSpLocks/>
                                </wpg:cNvGrpSpPr>
                                <wpg:grpSpPr bwMode="auto">
                                  <a:xfrm>
                                    <a:off x="8126" y="9545"/>
                                    <a:ext cx="289" cy="2337"/>
                                    <a:chOff x="8126" y="9545"/>
                                    <a:chExt cx="289" cy="2337"/>
                                  </a:xfrm>
                                </wpg:grpSpPr>
                                <wps:wsp>
                                  <wps:cNvPr id="959054047" name="Connecteur droit 117"/>
                                  <wps:cNvCnPr>
                                    <a:cxnSpLocks noChangeShapeType="1"/>
                                  </wps:cNvCnPr>
                                  <wps:spPr bwMode="auto">
                                    <a:xfrm>
                                      <a:off x="8136" y="9545"/>
                                      <a:ext cx="0" cy="2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Connecteur droit avec flèche 121"/>
                                  <wps:cNvCnPr>
                                    <a:cxnSpLocks noChangeShapeType="1"/>
                                  </wps:cNvCnPr>
                                  <wps:spPr bwMode="auto">
                                    <a:xfrm>
                                      <a:off x="8130" y="10997"/>
                                      <a:ext cx="283"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6" name="Connecteur droit avec flèche 122"/>
                                  <wps:cNvCnPr>
                                    <a:cxnSpLocks noChangeShapeType="1"/>
                                  </wps:cNvCnPr>
                                  <wps:spPr bwMode="auto">
                                    <a:xfrm>
                                      <a:off x="8132" y="10147"/>
                                      <a:ext cx="283"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7" name="Connecteur droit avec flèche 123"/>
                                  <wps:cNvCnPr>
                                    <a:cxnSpLocks noChangeShapeType="1"/>
                                  </wps:cNvCnPr>
                                  <wps:spPr bwMode="auto">
                                    <a:xfrm>
                                      <a:off x="8126" y="11882"/>
                                      <a:ext cx="283"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350" name="Text Box 1470"/>
                                <wps:cNvSpPr txBox="1">
                                  <a:spLocks noChangeArrowheads="1"/>
                                </wps:cNvSpPr>
                                <wps:spPr bwMode="auto">
                                  <a:xfrm>
                                    <a:off x="8419" y="9864"/>
                                    <a:ext cx="850" cy="567"/>
                                  </a:xfrm>
                                  <a:prstGeom prst="rect">
                                    <a:avLst/>
                                  </a:prstGeom>
                                  <a:solidFill>
                                    <a:srgbClr val="FFFFFF"/>
                                  </a:solidFill>
                                  <a:ln w="9525">
                                    <a:solidFill>
                                      <a:srgbClr val="000000"/>
                                    </a:solidFill>
                                    <a:miter lim="800000"/>
                                    <a:headEnd/>
                                    <a:tailEnd/>
                                  </a:ln>
                                </wps:spPr>
                                <wps:txbx>
                                  <w:txbxContent>
                                    <w:p w14:paraId="47BA458B"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Caisse</w:t>
                                      </w:r>
                                    </w:p>
                                  </w:txbxContent>
                                </wps:txbx>
                                <wps:bodyPr rot="0" vert="horz" wrap="square" lIns="36000" tIns="45720" rIns="36000" bIns="45720" anchor="ctr" anchorCtr="0" upright="1">
                                  <a:noAutofit/>
                                </wps:bodyPr>
                              </wps:wsp>
                              <wps:wsp>
                                <wps:cNvPr id="1351" name="Text Box 1471"/>
                                <wps:cNvSpPr txBox="1">
                                  <a:spLocks noChangeArrowheads="1"/>
                                </wps:cNvSpPr>
                                <wps:spPr bwMode="auto">
                                  <a:xfrm>
                                    <a:off x="8419" y="10704"/>
                                    <a:ext cx="1020" cy="567"/>
                                  </a:xfrm>
                                  <a:prstGeom prst="rect">
                                    <a:avLst/>
                                  </a:prstGeom>
                                  <a:solidFill>
                                    <a:srgbClr val="FFFFFF"/>
                                  </a:solidFill>
                                  <a:ln w="9525">
                                    <a:solidFill>
                                      <a:srgbClr val="000000"/>
                                    </a:solidFill>
                                    <a:miter lim="800000"/>
                                    <a:headEnd/>
                                    <a:tailEnd/>
                                  </a:ln>
                                </wps:spPr>
                                <wps:txbx>
                                  <w:txbxContent>
                                    <w:p w14:paraId="47977533"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Comptes courants</w:t>
                                      </w:r>
                                    </w:p>
                                  </w:txbxContent>
                                </wps:txbx>
                                <wps:bodyPr rot="0" vert="horz" wrap="square" lIns="18000" tIns="10800" rIns="18000" bIns="10800" anchor="ctr" anchorCtr="0" upright="1">
                                  <a:noAutofit/>
                                </wps:bodyPr>
                              </wps:wsp>
                              <wps:wsp>
                                <wps:cNvPr id="1352" name="Text Box 1472"/>
                                <wps:cNvSpPr txBox="1">
                                  <a:spLocks noChangeArrowheads="1"/>
                                </wps:cNvSpPr>
                                <wps:spPr bwMode="auto">
                                  <a:xfrm>
                                    <a:off x="8419" y="11563"/>
                                    <a:ext cx="1247" cy="567"/>
                                  </a:xfrm>
                                  <a:prstGeom prst="rect">
                                    <a:avLst/>
                                  </a:prstGeom>
                                  <a:solidFill>
                                    <a:srgbClr val="FFFFFF"/>
                                  </a:solidFill>
                                  <a:ln w="9525">
                                    <a:solidFill>
                                      <a:srgbClr val="000000"/>
                                    </a:solidFill>
                                    <a:miter lim="800000"/>
                                    <a:headEnd/>
                                    <a:tailEnd/>
                                  </a:ln>
                                </wps:spPr>
                                <wps:txbx>
                                  <w:txbxContent>
                                    <w:p w14:paraId="4D02BC8A"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Crédit documentaire</w:t>
                                      </w:r>
                                    </w:p>
                                  </w:txbxContent>
                                </wps:txbx>
                                <wps:bodyPr rot="0" vert="horz" wrap="square" lIns="18000" tIns="10800" rIns="18000" bIns="10800" anchor="t" anchorCtr="0" upright="1">
                                  <a:noAutofit/>
                                </wps:bodyPr>
                              </wps:wsp>
                            </wpg:grpSp>
                          </wpg:grpSp>
                          <wpg:grpSp>
                            <wpg:cNvPr id="1356" name="Group 1473"/>
                            <wpg:cNvGrpSpPr>
                              <a:grpSpLocks/>
                            </wpg:cNvGrpSpPr>
                            <wpg:grpSpPr bwMode="auto">
                              <a:xfrm>
                                <a:off x="7929" y="8569"/>
                                <a:ext cx="2298" cy="1482"/>
                                <a:chOff x="5088" y="8075"/>
                                <a:chExt cx="2298" cy="1482"/>
                              </a:xfrm>
                            </wpg:grpSpPr>
                            <wps:wsp>
                              <wps:cNvPr id="1357" name="Connecteur droit 115"/>
                              <wps:cNvCnPr>
                                <a:cxnSpLocks noChangeShapeType="1"/>
                              </wps:cNvCnPr>
                              <wps:spPr bwMode="auto">
                                <a:xfrm>
                                  <a:off x="5523" y="839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 name="Connecteur droit 116"/>
                              <wps:cNvCnPr>
                                <a:cxnSpLocks noChangeShapeType="1"/>
                              </wps:cNvCnPr>
                              <wps:spPr bwMode="auto">
                                <a:xfrm>
                                  <a:off x="6944" y="8401"/>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Text Box 1476"/>
                              <wps:cNvSpPr txBox="1">
                                <a:spLocks noChangeArrowheads="1"/>
                              </wps:cNvSpPr>
                              <wps:spPr bwMode="auto">
                                <a:xfrm>
                                  <a:off x="5088" y="8690"/>
                                  <a:ext cx="850" cy="850"/>
                                </a:xfrm>
                                <a:prstGeom prst="rect">
                                  <a:avLst/>
                                </a:prstGeom>
                                <a:solidFill>
                                  <a:srgbClr val="FFFFFF"/>
                                </a:solidFill>
                                <a:ln w="9525">
                                  <a:solidFill>
                                    <a:srgbClr val="000000"/>
                                  </a:solidFill>
                                  <a:miter lim="800000"/>
                                  <a:headEnd/>
                                  <a:tailEnd/>
                                </a:ln>
                              </wps:spPr>
                              <wps:txbx>
                                <w:txbxContent>
                                  <w:p w14:paraId="2EA9BCA9"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Services bancaires</w:t>
                                    </w:r>
                                  </w:p>
                                </w:txbxContent>
                              </wps:txbx>
                              <wps:bodyPr rot="0" vert="horz" wrap="square" lIns="18000" tIns="45720" rIns="18000" bIns="45720" anchor="ctr" anchorCtr="0" upright="1">
                                <a:noAutofit/>
                              </wps:bodyPr>
                            </wps:wsp>
                            <wps:wsp>
                              <wps:cNvPr id="1366" name="Text Box 1477"/>
                              <wps:cNvSpPr txBox="1">
                                <a:spLocks noChangeArrowheads="1"/>
                              </wps:cNvSpPr>
                              <wps:spPr bwMode="auto">
                                <a:xfrm>
                                  <a:off x="6536" y="8707"/>
                                  <a:ext cx="850" cy="850"/>
                                </a:xfrm>
                                <a:prstGeom prst="rect">
                                  <a:avLst/>
                                </a:prstGeom>
                                <a:solidFill>
                                  <a:srgbClr val="FFFFFF"/>
                                </a:solidFill>
                                <a:ln w="9525">
                                  <a:solidFill>
                                    <a:srgbClr val="000000"/>
                                  </a:solidFill>
                                  <a:miter lim="800000"/>
                                  <a:headEnd/>
                                  <a:tailEnd/>
                                </a:ln>
                              </wps:spPr>
                              <wps:txbx>
                                <w:txbxContent>
                                  <w:p w14:paraId="552978B7"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Services sociaux</w:t>
                                    </w:r>
                                  </w:p>
                                </w:txbxContent>
                              </wps:txbx>
                              <wps:bodyPr rot="0" vert="horz" wrap="square" lIns="18000" tIns="45720" rIns="18000" bIns="45720" anchor="ctr" anchorCtr="0" upright="1">
                                <a:noAutofit/>
                              </wps:bodyPr>
                            </wps:wsp>
                            <wps:wsp>
                              <wps:cNvPr id="1367" name="Connecteur droit 111"/>
                              <wps:cNvCnPr>
                                <a:cxnSpLocks noChangeShapeType="1"/>
                              </wps:cNvCnPr>
                              <wps:spPr bwMode="auto">
                                <a:xfrm>
                                  <a:off x="6252" y="8075"/>
                                  <a:ext cx="1"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Connecteur droit 113"/>
                              <wps:cNvCnPr>
                                <a:cxnSpLocks noChangeShapeType="1"/>
                              </wps:cNvCnPr>
                              <wps:spPr bwMode="auto">
                                <a:xfrm flipH="1">
                                  <a:off x="5529" y="8392"/>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69" name="Group 1480"/>
                          <wpg:cNvGrpSpPr>
                            <a:grpSpLocks/>
                          </wpg:cNvGrpSpPr>
                          <wpg:grpSpPr bwMode="auto">
                            <a:xfrm>
                              <a:off x="2016" y="2581"/>
                              <a:ext cx="8335" cy="10350"/>
                              <a:chOff x="2016" y="2581"/>
                              <a:chExt cx="8335" cy="10350"/>
                            </a:xfrm>
                          </wpg:grpSpPr>
                          <wpg:grpSp>
                            <wpg:cNvPr id="1370" name="Group 1481"/>
                            <wpg:cNvGrpSpPr>
                              <a:grpSpLocks/>
                            </wpg:cNvGrpSpPr>
                            <wpg:grpSpPr bwMode="auto">
                              <a:xfrm>
                                <a:off x="5087" y="8521"/>
                                <a:ext cx="2298" cy="4410"/>
                                <a:chOff x="5087" y="8005"/>
                                <a:chExt cx="2298" cy="4410"/>
                              </a:xfrm>
                            </wpg:grpSpPr>
                            <wpg:grpSp>
                              <wpg:cNvPr id="1371" name="Group 1482"/>
                              <wpg:cNvGrpSpPr>
                                <a:grpSpLocks/>
                              </wpg:cNvGrpSpPr>
                              <wpg:grpSpPr bwMode="auto">
                                <a:xfrm>
                                  <a:off x="5087" y="8042"/>
                                  <a:ext cx="2298" cy="4373"/>
                                  <a:chOff x="5087" y="8042"/>
                                  <a:chExt cx="2298" cy="4373"/>
                                </a:xfrm>
                              </wpg:grpSpPr>
                              <wpg:grpSp>
                                <wpg:cNvPr id="1372" name="Group 1483"/>
                                <wpg:cNvGrpSpPr>
                                  <a:grpSpLocks/>
                                </wpg:cNvGrpSpPr>
                                <wpg:grpSpPr bwMode="auto">
                                  <a:xfrm>
                                    <a:off x="5224" y="8042"/>
                                    <a:ext cx="1998" cy="2901"/>
                                    <a:chOff x="5224" y="8042"/>
                                    <a:chExt cx="1998" cy="2901"/>
                                  </a:xfrm>
                                </wpg:grpSpPr>
                                <wps:wsp>
                                  <wps:cNvPr id="1373" name="Connecteur droit 113"/>
                                  <wps:cNvCnPr>
                                    <a:cxnSpLocks noChangeShapeType="1"/>
                                  </wps:cNvCnPr>
                                  <wps:spPr bwMode="auto">
                                    <a:xfrm flipH="1">
                                      <a:off x="5529" y="8359"/>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74" name="Group 1485"/>
                                  <wpg:cNvGrpSpPr>
                                    <a:grpSpLocks/>
                                  </wpg:cNvGrpSpPr>
                                  <wpg:grpSpPr bwMode="auto">
                                    <a:xfrm>
                                      <a:off x="5224" y="8042"/>
                                      <a:ext cx="1998" cy="2901"/>
                                      <a:chOff x="5224" y="8042"/>
                                      <a:chExt cx="1998" cy="2901"/>
                                    </a:xfrm>
                                  </wpg:grpSpPr>
                                  <wps:wsp>
                                    <wps:cNvPr id="1375" name="Connecteur droit 115"/>
                                    <wps:cNvCnPr>
                                      <a:cxnSpLocks noChangeShapeType="1"/>
                                    </wps:cNvCnPr>
                                    <wps:spPr bwMode="auto">
                                      <a:xfrm>
                                        <a:off x="5523" y="8351"/>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Connecteur droit 116"/>
                                    <wps:cNvCnPr>
                                      <a:cxnSpLocks noChangeShapeType="1"/>
                                    </wps:cNvCnPr>
                                    <wps:spPr bwMode="auto">
                                      <a:xfrm>
                                        <a:off x="6944" y="836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Connecteur droit 111"/>
                                    <wps:cNvCnPr>
                                      <a:cxnSpLocks noChangeShapeType="1"/>
                                    </wps:cNvCnPr>
                                    <wps:spPr bwMode="auto">
                                      <a:xfrm>
                                        <a:off x="6236" y="804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Connecteur droit 115"/>
                                    <wps:cNvCnPr>
                                      <a:cxnSpLocks noChangeShapeType="1"/>
                                    </wps:cNvCnPr>
                                    <wps:spPr bwMode="auto">
                                      <a:xfrm>
                                        <a:off x="6236" y="836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Text Box 1490"/>
                                    <wps:cNvSpPr txBox="1">
                                      <a:spLocks noChangeArrowheads="1"/>
                                    </wps:cNvSpPr>
                                    <wps:spPr bwMode="auto">
                                      <a:xfrm>
                                        <a:off x="5224" y="8648"/>
                                        <a:ext cx="567" cy="1814"/>
                                      </a:xfrm>
                                      <a:prstGeom prst="rect">
                                        <a:avLst/>
                                      </a:prstGeom>
                                      <a:solidFill>
                                        <a:srgbClr val="FFFFFF"/>
                                      </a:solidFill>
                                      <a:ln w="9525">
                                        <a:solidFill>
                                          <a:srgbClr val="000000"/>
                                        </a:solidFill>
                                        <a:miter lim="800000"/>
                                        <a:headEnd/>
                                        <a:tailEnd/>
                                      </a:ln>
                                    </wps:spPr>
                                    <wps:txbx>
                                      <w:txbxContent>
                                        <w:p w14:paraId="787EE7DA"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Investissements directs</w:t>
                                          </w:r>
                                        </w:p>
                                      </w:txbxContent>
                                    </wps:txbx>
                                    <wps:bodyPr rot="0" vert="vert" wrap="square" lIns="18000" tIns="82800" rIns="18000" bIns="82800" anchor="ctr" anchorCtr="0" upright="1">
                                      <a:noAutofit/>
                                    </wps:bodyPr>
                                  </wps:wsp>
                                  <wps:wsp>
                                    <wps:cNvPr id="1544" name="Text Box 1491"/>
                                    <wps:cNvSpPr txBox="1">
                                      <a:spLocks noChangeArrowheads="1"/>
                                    </wps:cNvSpPr>
                                    <wps:spPr bwMode="auto">
                                      <a:xfrm>
                                        <a:off x="6655" y="8665"/>
                                        <a:ext cx="567" cy="1814"/>
                                      </a:xfrm>
                                      <a:prstGeom prst="rect">
                                        <a:avLst/>
                                      </a:prstGeom>
                                      <a:solidFill>
                                        <a:srgbClr val="FFFFFF"/>
                                      </a:solidFill>
                                      <a:ln w="9525">
                                        <a:solidFill>
                                          <a:srgbClr val="000000"/>
                                        </a:solidFill>
                                        <a:miter lim="800000"/>
                                        <a:headEnd/>
                                        <a:tailEnd/>
                                      </a:ln>
                                    </wps:spPr>
                                    <wps:txbx>
                                      <w:txbxContent>
                                        <w:p w14:paraId="65A5AB6C"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Participations</w:t>
                                          </w:r>
                                        </w:p>
                                      </w:txbxContent>
                                    </wps:txbx>
                                    <wps:bodyPr rot="0" vert="vert" wrap="square" lIns="18000" tIns="82800" rIns="18000" bIns="82800" anchor="ctr" anchorCtr="0" upright="1">
                                      <a:noAutofit/>
                                    </wps:bodyPr>
                                  </wps:wsp>
                                  <wps:wsp>
                                    <wps:cNvPr id="1545" name="Text Box 1492"/>
                                    <wps:cNvSpPr txBox="1">
                                      <a:spLocks noChangeArrowheads="1"/>
                                    </wps:cNvSpPr>
                                    <wps:spPr bwMode="auto">
                                      <a:xfrm>
                                        <a:off x="5954" y="8675"/>
                                        <a:ext cx="567" cy="2268"/>
                                      </a:xfrm>
                                      <a:prstGeom prst="rect">
                                        <a:avLst/>
                                      </a:prstGeom>
                                      <a:solidFill>
                                        <a:srgbClr val="FFFFFF"/>
                                      </a:solidFill>
                                      <a:ln w="9525">
                                        <a:solidFill>
                                          <a:srgbClr val="000000"/>
                                        </a:solidFill>
                                        <a:miter lim="800000"/>
                                        <a:headEnd/>
                                        <a:tailEnd/>
                                      </a:ln>
                                    </wps:spPr>
                                    <wps:txbx>
                                      <w:txbxContent>
                                        <w:p w14:paraId="7AF02848" w14:textId="77777777" w:rsidR="009C2D83" w:rsidRPr="00C46F70" w:rsidRDefault="009C2D83" w:rsidP="00E83403">
                                          <w:pPr>
                                            <w:spacing w:line="240" w:lineRule="auto"/>
                                            <w:jc w:val="center"/>
                                            <w:rPr>
                                              <w:rFonts w:ascii="Times New Roman" w:hAnsi="Times New Roman" w:cs="Times New Roman"/>
                                              <w:spacing w:val="10"/>
                                              <w:sz w:val="20"/>
                                              <w:szCs w:val="20"/>
                                            </w:rPr>
                                          </w:pPr>
                                          <w:r w:rsidRPr="00C46F70">
                                            <w:rPr>
                                              <w:rFonts w:ascii="Times New Roman" w:hAnsi="Times New Roman" w:cs="Times New Roman"/>
                                              <w:spacing w:val="10"/>
                                              <w:sz w:val="20"/>
                                              <w:szCs w:val="20"/>
                                            </w:rPr>
                                            <w:t>Dépôts et Epargne</w:t>
                                          </w:r>
                                        </w:p>
                                      </w:txbxContent>
                                    </wps:txbx>
                                    <wps:bodyPr rot="0" vert="vert" wrap="square" lIns="18000" tIns="82800" rIns="18000" bIns="10800" anchor="ctr" anchorCtr="0" upright="1">
                                      <a:noAutofit/>
                                    </wps:bodyPr>
                                  </wps:wsp>
                                </wpg:grpSp>
                              </wpg:grpSp>
                              <wpg:grpSp>
                                <wpg:cNvPr id="1546" name="Group 1493"/>
                                <wpg:cNvGrpSpPr>
                                  <a:grpSpLocks/>
                                </wpg:cNvGrpSpPr>
                                <wpg:grpSpPr bwMode="auto">
                                  <a:xfrm>
                                    <a:off x="5087" y="10933"/>
                                    <a:ext cx="2298" cy="1482"/>
                                    <a:chOff x="5088" y="8075"/>
                                    <a:chExt cx="2298" cy="1482"/>
                                  </a:xfrm>
                                </wpg:grpSpPr>
                                <wps:wsp>
                                  <wps:cNvPr id="1547" name="Connecteur droit 115"/>
                                  <wps:cNvCnPr>
                                    <a:cxnSpLocks noChangeShapeType="1"/>
                                  </wps:cNvCnPr>
                                  <wps:spPr bwMode="auto">
                                    <a:xfrm>
                                      <a:off x="5523" y="839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Connecteur droit 116"/>
                                  <wps:cNvCnPr>
                                    <a:cxnSpLocks noChangeShapeType="1"/>
                                  </wps:cNvCnPr>
                                  <wps:spPr bwMode="auto">
                                    <a:xfrm>
                                      <a:off x="6944" y="8401"/>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Text Box 1496"/>
                                  <wps:cNvSpPr txBox="1">
                                    <a:spLocks noChangeArrowheads="1"/>
                                  </wps:cNvSpPr>
                                  <wps:spPr bwMode="auto">
                                    <a:xfrm>
                                      <a:off x="5088" y="8690"/>
                                      <a:ext cx="850" cy="850"/>
                                    </a:xfrm>
                                    <a:prstGeom prst="rect">
                                      <a:avLst/>
                                    </a:prstGeom>
                                    <a:solidFill>
                                      <a:srgbClr val="FFFFFF"/>
                                    </a:solidFill>
                                    <a:ln w="9525">
                                      <a:solidFill>
                                        <a:srgbClr val="000000"/>
                                      </a:solidFill>
                                      <a:miter lim="800000"/>
                                      <a:headEnd/>
                                      <a:tailEnd/>
                                    </a:ln>
                                  </wps:spPr>
                                  <wps:txbx>
                                    <w:txbxContent>
                                      <w:p w14:paraId="26064E47"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Dépôts gratuits</w:t>
                                        </w:r>
                                      </w:p>
                                    </w:txbxContent>
                                  </wps:txbx>
                                  <wps:bodyPr rot="0" vert="horz" wrap="square" lIns="18000" tIns="45720" rIns="18000" bIns="45720" anchor="ctr" anchorCtr="0" upright="1">
                                    <a:noAutofit/>
                                  </wps:bodyPr>
                                </wps:wsp>
                                <wps:wsp>
                                  <wps:cNvPr id="1551" name="Text Box 1497"/>
                                  <wps:cNvSpPr txBox="1">
                                    <a:spLocks noChangeArrowheads="1"/>
                                  </wps:cNvSpPr>
                                  <wps:spPr bwMode="auto">
                                    <a:xfrm>
                                      <a:off x="6536" y="8707"/>
                                      <a:ext cx="850" cy="850"/>
                                    </a:xfrm>
                                    <a:prstGeom prst="rect">
                                      <a:avLst/>
                                    </a:prstGeom>
                                    <a:solidFill>
                                      <a:srgbClr val="FFFFFF"/>
                                    </a:solidFill>
                                    <a:ln w="9525">
                                      <a:solidFill>
                                        <a:srgbClr val="000000"/>
                                      </a:solidFill>
                                      <a:miter lim="800000"/>
                                      <a:headEnd/>
                                      <a:tailEnd/>
                                    </a:ln>
                                  </wps:spPr>
                                  <wps:txbx>
                                    <w:txbxContent>
                                      <w:p w14:paraId="218E7901"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Epargne</w:t>
                                        </w:r>
                                      </w:p>
                                    </w:txbxContent>
                                  </wps:txbx>
                                  <wps:bodyPr rot="0" vert="horz" wrap="square" lIns="18000" tIns="45720" rIns="18000" bIns="45720" anchor="ctr" anchorCtr="0" upright="1">
                                    <a:noAutofit/>
                                  </wps:bodyPr>
                                </wps:wsp>
                                <wps:wsp>
                                  <wps:cNvPr id="1553" name="Connecteur droit 111"/>
                                  <wps:cNvCnPr>
                                    <a:cxnSpLocks noChangeShapeType="1"/>
                                  </wps:cNvCnPr>
                                  <wps:spPr bwMode="auto">
                                    <a:xfrm>
                                      <a:off x="6252" y="8075"/>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Connecteur droit 113"/>
                                  <wps:cNvCnPr>
                                    <a:cxnSpLocks noChangeShapeType="1"/>
                                  </wps:cNvCnPr>
                                  <wps:spPr bwMode="auto">
                                    <a:xfrm flipH="1">
                                      <a:off x="5529" y="8392"/>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55" name="Connecteur droit 111"/>
                              <wps:cNvCnPr>
                                <a:cxnSpLocks noChangeShapeType="1"/>
                              </wps:cNvCnPr>
                              <wps:spPr bwMode="auto">
                                <a:xfrm>
                                  <a:off x="6236" y="8005"/>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56" name="Group 1501"/>
                            <wpg:cNvGrpSpPr>
                              <a:grpSpLocks/>
                            </wpg:cNvGrpSpPr>
                            <wpg:grpSpPr bwMode="auto">
                              <a:xfrm>
                                <a:off x="2016" y="2581"/>
                                <a:ext cx="8335" cy="8467"/>
                                <a:chOff x="2016" y="2581"/>
                                <a:chExt cx="8335" cy="8467"/>
                              </a:xfrm>
                            </wpg:grpSpPr>
                            <wpg:grpSp>
                              <wpg:cNvPr id="1557" name="Group 1502"/>
                              <wpg:cNvGrpSpPr>
                                <a:grpSpLocks/>
                              </wpg:cNvGrpSpPr>
                              <wpg:grpSpPr bwMode="auto">
                                <a:xfrm>
                                  <a:off x="2016" y="8524"/>
                                  <a:ext cx="2791" cy="2524"/>
                                  <a:chOff x="1914" y="8008"/>
                                  <a:chExt cx="2791" cy="2524"/>
                                </a:xfrm>
                              </wpg:grpSpPr>
                              <wpg:grpSp>
                                <wpg:cNvPr id="1558" name="Group 1503"/>
                                <wpg:cNvGrpSpPr>
                                  <a:grpSpLocks/>
                                </wpg:cNvGrpSpPr>
                                <wpg:grpSpPr bwMode="auto">
                                  <a:xfrm>
                                    <a:off x="1914" y="8369"/>
                                    <a:ext cx="567" cy="2111"/>
                                    <a:chOff x="2384" y="8357"/>
                                    <a:chExt cx="567" cy="2111"/>
                                  </a:xfrm>
                                </wpg:grpSpPr>
                                <wps:wsp>
                                  <wps:cNvPr id="1559" name="Connecteur droit 115"/>
                                  <wps:cNvCnPr>
                                    <a:cxnSpLocks noChangeShapeType="1"/>
                                  </wps:cNvCnPr>
                                  <wps:spPr bwMode="auto">
                                    <a:xfrm>
                                      <a:off x="2683" y="8357"/>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Text Box 1505"/>
                                  <wps:cNvSpPr txBox="1">
                                    <a:spLocks noChangeArrowheads="1"/>
                                  </wps:cNvSpPr>
                                  <wps:spPr bwMode="auto">
                                    <a:xfrm>
                                      <a:off x="2384" y="8654"/>
                                      <a:ext cx="567" cy="1814"/>
                                    </a:xfrm>
                                    <a:prstGeom prst="rect">
                                      <a:avLst/>
                                    </a:prstGeom>
                                    <a:solidFill>
                                      <a:srgbClr val="FFFFFF"/>
                                    </a:solidFill>
                                    <a:ln w="9525">
                                      <a:solidFill>
                                        <a:srgbClr val="000000"/>
                                      </a:solidFill>
                                      <a:miter lim="800000"/>
                                      <a:headEnd/>
                                      <a:tailEnd/>
                                    </a:ln>
                                  </wps:spPr>
                                  <wps:txbx>
                                    <w:txbxContent>
                                      <w:p w14:paraId="271D35D2"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Administration générale</w:t>
                                        </w:r>
                                      </w:p>
                                    </w:txbxContent>
                                  </wps:txbx>
                                  <wps:bodyPr rot="0" vert="vert" wrap="square" lIns="18000" tIns="46800" rIns="18000" bIns="46800" anchor="ctr" anchorCtr="0" upright="1">
                                    <a:noAutofit/>
                                  </wps:bodyPr>
                                </wps:wsp>
                              </wpg:grpSp>
                              <wpg:grpSp>
                                <wpg:cNvPr id="1561" name="Group 1506"/>
                                <wpg:cNvGrpSpPr>
                                  <a:grpSpLocks/>
                                </wpg:cNvGrpSpPr>
                                <wpg:grpSpPr bwMode="auto">
                                  <a:xfrm>
                                    <a:off x="4138" y="8352"/>
                                    <a:ext cx="567" cy="2109"/>
                                    <a:chOff x="3815" y="8366"/>
                                    <a:chExt cx="567" cy="2119"/>
                                  </a:xfrm>
                                </wpg:grpSpPr>
                                <wps:wsp>
                                  <wps:cNvPr id="1562" name="Connecteur droit 116"/>
                                  <wps:cNvCnPr>
                                    <a:cxnSpLocks noChangeShapeType="1"/>
                                  </wps:cNvCnPr>
                                  <wps:spPr bwMode="auto">
                                    <a:xfrm>
                                      <a:off x="4104" y="8366"/>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Text Box 1508"/>
                                  <wps:cNvSpPr txBox="1">
                                    <a:spLocks noChangeArrowheads="1"/>
                                  </wps:cNvSpPr>
                                  <wps:spPr bwMode="auto">
                                    <a:xfrm>
                                      <a:off x="3815" y="8671"/>
                                      <a:ext cx="567" cy="1814"/>
                                    </a:xfrm>
                                    <a:prstGeom prst="rect">
                                      <a:avLst/>
                                    </a:prstGeom>
                                    <a:solidFill>
                                      <a:srgbClr val="FFFFFF"/>
                                    </a:solidFill>
                                    <a:ln w="9525">
                                      <a:solidFill>
                                        <a:srgbClr val="000000"/>
                                      </a:solidFill>
                                      <a:miter lim="800000"/>
                                      <a:headEnd/>
                                      <a:tailEnd/>
                                    </a:ln>
                                  </wps:spPr>
                                  <wps:txbx>
                                    <w:txbxContent>
                                      <w:p w14:paraId="5DC93D48"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Affaires juridiques</w:t>
                                        </w:r>
                                      </w:p>
                                    </w:txbxContent>
                                  </wps:txbx>
                                  <wps:bodyPr rot="0" vert="vert" wrap="square" lIns="18000" tIns="46800" rIns="18000" bIns="46800" anchor="ctr" anchorCtr="0" upright="1">
                                    <a:noAutofit/>
                                  </wps:bodyPr>
                                </wps:wsp>
                              </wpg:grpSp>
                              <wps:wsp>
                                <wps:cNvPr id="1564" name="Connecteur droit 113"/>
                                <wps:cNvCnPr>
                                  <a:cxnSpLocks noChangeShapeType="1"/>
                                </wps:cNvCnPr>
                                <wps:spPr bwMode="auto">
                                  <a:xfrm flipH="1">
                                    <a:off x="2213" y="8345"/>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Connecteur droit 111"/>
                                <wps:cNvCnPr>
                                  <a:cxnSpLocks noChangeShapeType="1"/>
                                </wps:cNvCnPr>
                                <wps:spPr bwMode="auto">
                                  <a:xfrm>
                                    <a:off x="3266" y="8008"/>
                                    <a:ext cx="1"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Text Box 1511"/>
                                <wps:cNvSpPr txBox="1">
                                  <a:spLocks noChangeArrowheads="1"/>
                                </wps:cNvSpPr>
                                <wps:spPr bwMode="auto">
                                  <a:xfrm>
                                    <a:off x="2655" y="8646"/>
                                    <a:ext cx="567" cy="1867"/>
                                  </a:xfrm>
                                  <a:prstGeom prst="rect">
                                    <a:avLst/>
                                  </a:prstGeom>
                                  <a:solidFill>
                                    <a:srgbClr val="FFFFFF"/>
                                  </a:solidFill>
                                  <a:ln w="9525">
                                    <a:solidFill>
                                      <a:srgbClr val="000000"/>
                                    </a:solidFill>
                                    <a:miter lim="800000"/>
                                    <a:headEnd/>
                                    <a:tailEnd/>
                                  </a:ln>
                                </wps:spPr>
                                <wps:txbx>
                                  <w:txbxContent>
                                    <w:p w14:paraId="2FA5C60C"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Comptabilité</w:t>
                                      </w:r>
                                    </w:p>
                                  </w:txbxContent>
                                </wps:txbx>
                                <wps:bodyPr rot="0" vert="vert" wrap="square" lIns="18000" tIns="46800" rIns="18000" bIns="46800" anchor="ctr" anchorCtr="0" upright="1">
                                  <a:noAutofit/>
                                </wps:bodyPr>
                              </wps:wsp>
                              <wps:wsp>
                                <wps:cNvPr id="1567" name="AutoShape 1512"/>
                                <wps:cNvCnPr>
                                  <a:cxnSpLocks noChangeShapeType="1"/>
                                </wps:cNvCnPr>
                                <wps:spPr bwMode="auto">
                                  <a:xfrm flipH="1">
                                    <a:off x="2947" y="8353"/>
                                    <a:ext cx="1"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4" name="Group 1513"/>
                                <wpg:cNvGrpSpPr>
                                  <a:grpSpLocks/>
                                </wpg:cNvGrpSpPr>
                                <wpg:grpSpPr bwMode="auto">
                                  <a:xfrm>
                                    <a:off x="3391" y="8355"/>
                                    <a:ext cx="567" cy="2177"/>
                                    <a:chOff x="3391" y="8355"/>
                                    <a:chExt cx="567" cy="2177"/>
                                  </a:xfrm>
                                </wpg:grpSpPr>
                                <wps:wsp>
                                  <wps:cNvPr id="705" name="Text Box 1514"/>
                                  <wps:cNvSpPr txBox="1">
                                    <a:spLocks noChangeArrowheads="1"/>
                                  </wps:cNvSpPr>
                                  <wps:spPr bwMode="auto">
                                    <a:xfrm>
                                      <a:off x="3391" y="8665"/>
                                      <a:ext cx="567" cy="1867"/>
                                    </a:xfrm>
                                    <a:prstGeom prst="rect">
                                      <a:avLst/>
                                    </a:prstGeom>
                                    <a:solidFill>
                                      <a:srgbClr val="FFFFFF"/>
                                    </a:solidFill>
                                    <a:ln w="9525">
                                      <a:solidFill>
                                        <a:srgbClr val="000000"/>
                                      </a:solidFill>
                                      <a:miter lim="800000"/>
                                      <a:headEnd/>
                                      <a:tailEnd/>
                                    </a:ln>
                                  </wps:spPr>
                                  <wps:txbx>
                                    <w:txbxContent>
                                      <w:p w14:paraId="2186C408"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Informatique Statistiques</w:t>
                                        </w:r>
                                      </w:p>
                                    </w:txbxContent>
                                  </wps:txbx>
                                  <wps:bodyPr rot="0" vert="vert" wrap="square" lIns="18000" tIns="46800" rIns="18000" bIns="46800" anchor="ctr" anchorCtr="0" upright="1">
                                    <a:noAutofit/>
                                  </wps:bodyPr>
                                </wps:wsp>
                                <wps:wsp>
                                  <wps:cNvPr id="706" name="AutoShape 1515"/>
                                  <wps:cNvCnPr>
                                    <a:cxnSpLocks noChangeShapeType="1"/>
                                  </wps:cNvCnPr>
                                  <wps:spPr bwMode="auto">
                                    <a:xfrm flipH="1">
                                      <a:off x="3683" y="8355"/>
                                      <a:ext cx="0"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07" name="Group 1516"/>
                              <wpg:cNvGrpSpPr>
                                <a:grpSpLocks/>
                              </wpg:cNvGrpSpPr>
                              <wpg:grpSpPr bwMode="auto">
                                <a:xfrm>
                                  <a:off x="2122" y="2581"/>
                                  <a:ext cx="8229" cy="5944"/>
                                  <a:chOff x="2122" y="2581"/>
                                  <a:chExt cx="8229" cy="5944"/>
                                </a:xfrm>
                              </wpg:grpSpPr>
                              <wpg:grpSp>
                                <wpg:cNvPr id="708" name="Group 1517"/>
                                <wpg:cNvGrpSpPr>
                                  <a:grpSpLocks/>
                                </wpg:cNvGrpSpPr>
                                <wpg:grpSpPr bwMode="auto">
                                  <a:xfrm>
                                    <a:off x="2531" y="7348"/>
                                    <a:ext cx="7413" cy="1177"/>
                                    <a:chOff x="2534" y="6933"/>
                                    <a:chExt cx="7413" cy="1177"/>
                                  </a:xfrm>
                                </wpg:grpSpPr>
                                <wps:wsp>
                                  <wps:cNvPr id="709" name="Rectangle 1518"/>
                                  <wps:cNvSpPr>
                                    <a:spLocks noChangeArrowheads="1"/>
                                  </wps:cNvSpPr>
                                  <wps:spPr bwMode="auto">
                                    <a:xfrm>
                                      <a:off x="8246" y="6949"/>
                                      <a:ext cx="1701" cy="1134"/>
                                    </a:xfrm>
                                    <a:prstGeom prst="rect">
                                      <a:avLst/>
                                    </a:prstGeom>
                                    <a:solidFill>
                                      <a:srgbClr val="FFFFFF"/>
                                    </a:solidFill>
                                    <a:ln w="12700">
                                      <a:solidFill>
                                        <a:srgbClr val="000000"/>
                                      </a:solidFill>
                                      <a:miter lim="800000"/>
                                      <a:headEnd/>
                                      <a:tailEnd/>
                                    </a:ln>
                                  </wps:spPr>
                                  <wps:txbx>
                                    <w:txbxContent>
                                      <w:p w14:paraId="0DB02930" w14:textId="77777777" w:rsidR="009C2D83" w:rsidRPr="00E83403" w:rsidRDefault="009C2D83" w:rsidP="00E83403">
                                        <w:pPr>
                                          <w:spacing w:line="240" w:lineRule="auto"/>
                                          <w:jc w:val="center"/>
                                          <w:rPr>
                                            <w:rFonts w:ascii="Times New Roman" w:hAnsi="Times New Roman" w:cs="Times New Roman"/>
                                          </w:rPr>
                                        </w:pPr>
                                        <w:r w:rsidRPr="00E83403">
                                          <w:rPr>
                                            <w:rFonts w:ascii="Times New Roman" w:hAnsi="Times New Roman" w:cs="Times New Roman"/>
                                          </w:rPr>
                                          <w:t>Direction Activité bancaire</w:t>
                                        </w:r>
                                      </w:p>
                                    </w:txbxContent>
                                  </wps:txbx>
                                  <wps:bodyPr rot="0" vert="horz" wrap="square" lIns="91440" tIns="45720" rIns="91440" bIns="45720" anchor="ctr" anchorCtr="0" upright="1">
                                    <a:noAutofit/>
                                  </wps:bodyPr>
                                </wps:wsp>
                                <wps:wsp>
                                  <wps:cNvPr id="710" name="Rectangle 1519"/>
                                  <wps:cNvSpPr>
                                    <a:spLocks noChangeArrowheads="1"/>
                                  </wps:cNvSpPr>
                                  <wps:spPr bwMode="auto">
                                    <a:xfrm>
                                      <a:off x="2534" y="6976"/>
                                      <a:ext cx="1701" cy="1134"/>
                                    </a:xfrm>
                                    <a:prstGeom prst="rect">
                                      <a:avLst/>
                                    </a:prstGeom>
                                    <a:solidFill>
                                      <a:srgbClr val="FFFFFF"/>
                                    </a:solidFill>
                                    <a:ln w="12700">
                                      <a:solidFill>
                                        <a:srgbClr val="000000"/>
                                      </a:solidFill>
                                      <a:miter lim="800000"/>
                                      <a:headEnd/>
                                      <a:tailEnd/>
                                    </a:ln>
                                  </wps:spPr>
                                  <wps:txbx>
                                    <w:txbxContent>
                                      <w:p w14:paraId="4D57BF54" w14:textId="77777777" w:rsidR="009C2D83" w:rsidRPr="00E83403" w:rsidRDefault="009C2D83" w:rsidP="00E83403">
                                        <w:pPr>
                                          <w:spacing w:line="240" w:lineRule="auto"/>
                                          <w:jc w:val="center"/>
                                          <w:rPr>
                                            <w:rFonts w:ascii="Times New Roman" w:hAnsi="Times New Roman" w:cs="Times New Roman"/>
                                            <w:sz w:val="28"/>
                                            <w:szCs w:val="24"/>
                                          </w:rPr>
                                        </w:pPr>
                                        <w:r w:rsidRPr="00E83403">
                                          <w:rPr>
                                            <w:rFonts w:ascii="Times New Roman" w:hAnsi="Times New Roman" w:cs="Times New Roman"/>
                                          </w:rPr>
                                          <w:t>Direction Administration et Moyens</w:t>
                                        </w:r>
                                      </w:p>
                                    </w:txbxContent>
                                  </wps:txbx>
                                  <wps:bodyPr rot="0" vert="horz" wrap="square" lIns="91440" tIns="45720" rIns="91440" bIns="45720" anchor="ctr" anchorCtr="0" upright="1">
                                    <a:noAutofit/>
                                  </wps:bodyPr>
                                </wps:wsp>
                                <wps:wsp>
                                  <wps:cNvPr id="711" name="Rectangle 65"/>
                                  <wps:cNvSpPr>
                                    <a:spLocks noChangeArrowheads="1"/>
                                  </wps:cNvSpPr>
                                  <wps:spPr bwMode="auto">
                                    <a:xfrm>
                                      <a:off x="5386" y="6933"/>
                                      <a:ext cx="1814" cy="1134"/>
                                    </a:xfrm>
                                    <a:prstGeom prst="rect">
                                      <a:avLst/>
                                    </a:prstGeom>
                                    <a:solidFill>
                                      <a:srgbClr val="FFFFFF"/>
                                    </a:solidFill>
                                    <a:ln w="12700">
                                      <a:solidFill>
                                        <a:srgbClr val="000000"/>
                                      </a:solidFill>
                                      <a:miter lim="800000"/>
                                      <a:headEnd/>
                                      <a:tailEnd/>
                                    </a:ln>
                                  </wps:spPr>
                                  <wps:txbx>
                                    <w:txbxContent>
                                      <w:p w14:paraId="3F97BC6F" w14:textId="77777777" w:rsidR="009C2D83" w:rsidRPr="00E83403" w:rsidRDefault="009C2D83" w:rsidP="00E83403">
                                        <w:pPr>
                                          <w:jc w:val="center"/>
                                          <w:rPr>
                                            <w:rFonts w:ascii="Times New Roman" w:hAnsi="Times New Roman" w:cs="Times New Roman"/>
                                          </w:rPr>
                                        </w:pPr>
                                        <w:r w:rsidRPr="00E83403">
                                          <w:rPr>
                                            <w:rFonts w:ascii="Times New Roman" w:hAnsi="Times New Roman" w:cs="Times New Roman"/>
                                          </w:rPr>
                                          <w:t>Direction Dépôts et</w:t>
                                        </w:r>
                                      </w:p>
                                      <w:p w14:paraId="3B24C7DD" w14:textId="77777777" w:rsidR="009C2D83" w:rsidRPr="00E83403" w:rsidRDefault="009C2D83" w:rsidP="00E83403">
                                        <w:pPr>
                                          <w:spacing w:line="240" w:lineRule="auto"/>
                                          <w:jc w:val="center"/>
                                          <w:rPr>
                                            <w:rFonts w:ascii="Times New Roman" w:hAnsi="Times New Roman" w:cs="Times New Roman"/>
                                          </w:rPr>
                                        </w:pPr>
                                        <w:r w:rsidRPr="00E83403">
                                          <w:rPr>
                                            <w:rFonts w:ascii="Times New Roman" w:hAnsi="Times New Roman" w:cs="Times New Roman"/>
                                          </w:rPr>
                                          <w:t>Investissements</w:t>
                                        </w:r>
                                      </w:p>
                                    </w:txbxContent>
                                  </wps:txbx>
                                  <wps:bodyPr rot="0" vert="horz" wrap="square" lIns="36000" tIns="45720" rIns="36000" bIns="45720" anchor="ctr" anchorCtr="0" upright="1">
                                    <a:noAutofit/>
                                  </wps:bodyPr>
                                </wps:wsp>
                              </wpg:grpSp>
                              <wpg:grpSp>
                                <wpg:cNvPr id="712" name="Group 1521"/>
                                <wpg:cNvGrpSpPr>
                                  <a:grpSpLocks/>
                                </wpg:cNvGrpSpPr>
                                <wpg:grpSpPr bwMode="auto">
                                  <a:xfrm>
                                    <a:off x="3373" y="6505"/>
                                    <a:ext cx="5726" cy="853"/>
                                    <a:chOff x="3383" y="6092"/>
                                    <a:chExt cx="5711" cy="853"/>
                                  </a:xfrm>
                                </wpg:grpSpPr>
                                <wps:wsp>
                                  <wps:cNvPr id="713" name="Connecteur droit 72"/>
                                  <wps:cNvCnPr>
                                    <a:cxnSpLocks noChangeShapeType="1"/>
                                  </wps:cNvCnPr>
                                  <wps:spPr bwMode="auto">
                                    <a:xfrm flipH="1">
                                      <a:off x="3403" y="6378"/>
                                      <a:ext cx="56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Connecteur droit 71"/>
                                  <wps:cNvCnPr>
                                    <a:cxnSpLocks noChangeShapeType="1"/>
                                  </wps:cNvCnPr>
                                  <wps:spPr bwMode="auto">
                                    <a:xfrm>
                                      <a:off x="6236" y="6092"/>
                                      <a:ext cx="0" cy="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Connecteur droit 73"/>
                                  <wps:cNvCnPr>
                                    <a:cxnSpLocks noChangeShapeType="1"/>
                                  </wps:cNvCnPr>
                                  <wps:spPr bwMode="auto">
                                    <a:xfrm>
                                      <a:off x="3383" y="6378"/>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Connecteur droit 74"/>
                                  <wps:cNvCnPr>
                                    <a:cxnSpLocks noChangeShapeType="1"/>
                                  </wps:cNvCnPr>
                                  <wps:spPr bwMode="auto">
                                    <a:xfrm>
                                      <a:off x="9093" y="6370"/>
                                      <a:ext cx="1"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19" name="Group 1526"/>
                                <wpg:cNvGrpSpPr>
                                  <a:grpSpLocks/>
                                </wpg:cNvGrpSpPr>
                                <wpg:grpSpPr bwMode="auto">
                                  <a:xfrm>
                                    <a:off x="2122" y="2581"/>
                                    <a:ext cx="8229" cy="3330"/>
                                    <a:chOff x="2122" y="2054"/>
                                    <a:chExt cx="8229" cy="3330"/>
                                  </a:xfrm>
                                </wpg:grpSpPr>
                                <wps:wsp>
                                  <wps:cNvPr id="720" name="Connecteur droit 68"/>
                                  <wps:cNvCnPr>
                                    <a:cxnSpLocks noChangeShapeType="1"/>
                                  </wps:cNvCnPr>
                                  <wps:spPr bwMode="auto">
                                    <a:xfrm>
                                      <a:off x="6237" y="3400"/>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21" name="Group 1528"/>
                                  <wpg:cNvGrpSpPr>
                                    <a:grpSpLocks/>
                                  </wpg:cNvGrpSpPr>
                                  <wpg:grpSpPr bwMode="auto">
                                    <a:xfrm>
                                      <a:off x="2122" y="2054"/>
                                      <a:ext cx="8229" cy="3256"/>
                                      <a:chOff x="2122" y="2054"/>
                                      <a:chExt cx="8229" cy="3256"/>
                                    </a:xfrm>
                                  </wpg:grpSpPr>
                                  <wpg:grpSp>
                                    <wpg:cNvPr id="722" name="Group 1529"/>
                                    <wpg:cNvGrpSpPr>
                                      <a:grpSpLocks/>
                                    </wpg:cNvGrpSpPr>
                                    <wpg:grpSpPr bwMode="auto">
                                      <a:xfrm>
                                        <a:off x="3969" y="2054"/>
                                        <a:ext cx="4535" cy="1361"/>
                                        <a:chOff x="3969" y="2332"/>
                                        <a:chExt cx="4535" cy="1361"/>
                                      </a:xfrm>
                                    </wpg:grpSpPr>
                                    <wps:wsp>
                                      <wps:cNvPr id="723" name="Rectangle 1"/>
                                      <wps:cNvSpPr>
                                        <a:spLocks noChangeArrowheads="1"/>
                                      </wps:cNvSpPr>
                                      <wps:spPr bwMode="auto">
                                        <a:xfrm>
                                          <a:off x="3969" y="2332"/>
                                          <a:ext cx="4535" cy="567"/>
                                        </a:xfrm>
                                        <a:prstGeom prst="rect">
                                          <a:avLst/>
                                        </a:prstGeom>
                                        <a:solidFill>
                                          <a:srgbClr val="FFFFFF"/>
                                        </a:solidFill>
                                        <a:ln w="12700">
                                          <a:solidFill>
                                            <a:srgbClr val="000000"/>
                                          </a:solidFill>
                                          <a:miter lim="800000"/>
                                          <a:headEnd/>
                                          <a:tailEnd/>
                                        </a:ln>
                                      </wps:spPr>
                                      <wps:txbx>
                                        <w:txbxContent>
                                          <w:p w14:paraId="5DB91049" w14:textId="77777777" w:rsidR="009C2D83" w:rsidRPr="00E83403" w:rsidRDefault="009C2D83" w:rsidP="00E83403">
                                            <w:pPr>
                                              <w:spacing w:line="240" w:lineRule="auto"/>
                                              <w:jc w:val="center"/>
                                              <w:rPr>
                                                <w:rFonts w:ascii="Times New Roman" w:hAnsi="Times New Roman" w:cs="Times New Roman"/>
                                                <w:b/>
                                                <w:bCs/>
                                              </w:rPr>
                                            </w:pPr>
                                            <w:r w:rsidRPr="00E83403">
                                              <w:rPr>
                                                <w:rFonts w:ascii="Times New Roman" w:hAnsi="Times New Roman" w:cs="Times New Roman"/>
                                                <w:b/>
                                                <w:bCs/>
                                              </w:rPr>
                                              <w:t>Assemblée Générale des Actionnaires</w:t>
                                            </w:r>
                                          </w:p>
                                        </w:txbxContent>
                                      </wps:txbx>
                                      <wps:bodyPr rot="0" vert="horz" wrap="square" lIns="91440" tIns="45720" rIns="91440" bIns="45720" anchor="ctr" anchorCtr="0" upright="1">
                                        <a:noAutofit/>
                                      </wps:bodyPr>
                                    </wps:wsp>
                                    <wps:wsp>
                                      <wps:cNvPr id="724" name="Rectangle 58"/>
                                      <wps:cNvSpPr>
                                        <a:spLocks noChangeArrowheads="1"/>
                                      </wps:cNvSpPr>
                                      <wps:spPr bwMode="auto">
                                        <a:xfrm>
                                          <a:off x="4780" y="3168"/>
                                          <a:ext cx="2698" cy="525"/>
                                        </a:xfrm>
                                        <a:prstGeom prst="rect">
                                          <a:avLst/>
                                        </a:prstGeom>
                                        <a:solidFill>
                                          <a:srgbClr val="FFFFFF"/>
                                        </a:solidFill>
                                        <a:ln w="12700">
                                          <a:solidFill>
                                            <a:srgbClr val="000000"/>
                                          </a:solidFill>
                                          <a:miter lim="800000"/>
                                          <a:headEnd/>
                                          <a:tailEnd/>
                                        </a:ln>
                                      </wps:spPr>
                                      <wps:txbx>
                                        <w:txbxContent>
                                          <w:p w14:paraId="25A14183" w14:textId="77777777" w:rsidR="009C2D83" w:rsidRPr="00E83403" w:rsidRDefault="009C2D83" w:rsidP="00E83403">
                                            <w:pPr>
                                              <w:spacing w:line="240" w:lineRule="auto"/>
                                              <w:jc w:val="center"/>
                                              <w:rPr>
                                                <w:rFonts w:ascii="Times New Roman" w:hAnsi="Times New Roman" w:cs="Times New Roman"/>
                                                <w:b/>
                                                <w:bCs/>
                                              </w:rPr>
                                            </w:pPr>
                                            <w:r w:rsidRPr="00E83403">
                                              <w:rPr>
                                                <w:rFonts w:ascii="Times New Roman" w:hAnsi="Times New Roman" w:cs="Times New Roman"/>
                                                <w:b/>
                                                <w:bCs/>
                                              </w:rPr>
                                              <w:t>Conseil d’Administration</w:t>
                                            </w:r>
                                          </w:p>
                                        </w:txbxContent>
                                      </wps:txbx>
                                      <wps:bodyPr rot="0" vert="horz" wrap="none" lIns="91440" tIns="45720" rIns="91440" bIns="45720" anchor="ctr" anchorCtr="0" upright="1">
                                        <a:noAutofit/>
                                      </wps:bodyPr>
                                    </wps:wsp>
                                    <wps:wsp>
                                      <wps:cNvPr id="725" name="Connecteur droit 67"/>
                                      <wps:cNvCnPr>
                                        <a:cxnSpLocks noChangeShapeType="1"/>
                                      </wps:cNvCnPr>
                                      <wps:spPr bwMode="auto">
                                        <a:xfrm>
                                          <a:off x="6236" y="289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26" name="Group 1533"/>
                                    <wpg:cNvGrpSpPr>
                                      <a:grpSpLocks/>
                                    </wpg:cNvGrpSpPr>
                                    <wpg:grpSpPr bwMode="auto">
                                      <a:xfrm>
                                        <a:off x="2122" y="3748"/>
                                        <a:ext cx="8229" cy="568"/>
                                        <a:chOff x="1981" y="4158"/>
                                        <a:chExt cx="8229" cy="568"/>
                                      </a:xfrm>
                                    </wpg:grpSpPr>
                                    <wps:wsp>
                                      <wps:cNvPr id="727" name="Rectangle 59"/>
                                      <wps:cNvSpPr>
                                        <a:spLocks noChangeArrowheads="1"/>
                                      </wps:cNvSpPr>
                                      <wps:spPr bwMode="auto">
                                        <a:xfrm>
                                          <a:off x="1981" y="4159"/>
                                          <a:ext cx="1701" cy="567"/>
                                        </a:xfrm>
                                        <a:prstGeom prst="rect">
                                          <a:avLst/>
                                        </a:prstGeom>
                                        <a:solidFill>
                                          <a:srgbClr val="FFFFFF"/>
                                        </a:solidFill>
                                        <a:ln w="12700">
                                          <a:solidFill>
                                            <a:srgbClr val="000000"/>
                                          </a:solidFill>
                                          <a:miter lim="800000"/>
                                          <a:headEnd/>
                                          <a:tailEnd/>
                                        </a:ln>
                                      </wps:spPr>
                                      <wps:txbx>
                                        <w:txbxContent>
                                          <w:p w14:paraId="5E8BB3BA" w14:textId="77777777" w:rsidR="009C2D83" w:rsidRPr="00E83403" w:rsidRDefault="009C2D83" w:rsidP="00E83403">
                                            <w:pPr>
                                              <w:spacing w:line="240" w:lineRule="auto"/>
                                              <w:jc w:val="center"/>
                                              <w:rPr>
                                                <w:rFonts w:ascii="Times New Roman" w:hAnsi="Times New Roman" w:cs="Times New Roman"/>
                                                <w:b/>
                                                <w:bCs/>
                                                <w:sz w:val="24"/>
                                                <w:szCs w:val="24"/>
                                              </w:rPr>
                                            </w:pPr>
                                            <w:r w:rsidRPr="00E83403">
                                              <w:rPr>
                                                <w:rFonts w:ascii="Times New Roman" w:hAnsi="Times New Roman" w:cs="Times New Roman"/>
                                                <w:b/>
                                                <w:bCs/>
                                                <w:sz w:val="24"/>
                                                <w:szCs w:val="24"/>
                                              </w:rPr>
                                              <w:t>Audit interne</w:t>
                                            </w:r>
                                          </w:p>
                                        </w:txbxContent>
                                      </wps:txbx>
                                      <wps:bodyPr rot="0" vert="horz" wrap="square" lIns="91440" tIns="45720" rIns="91440" bIns="45720" anchor="ctr" anchorCtr="0" upright="1">
                                        <a:noAutofit/>
                                      </wps:bodyPr>
                                    </wps:wsp>
                                    <wps:wsp>
                                      <wps:cNvPr id="728" name="Rectangle 60"/>
                                      <wps:cNvSpPr>
                                        <a:spLocks noChangeArrowheads="1"/>
                                      </wps:cNvSpPr>
                                      <wps:spPr bwMode="auto">
                                        <a:xfrm>
                                          <a:off x="8793" y="4158"/>
                                          <a:ext cx="1417" cy="567"/>
                                        </a:xfrm>
                                        <a:prstGeom prst="rect">
                                          <a:avLst/>
                                        </a:prstGeom>
                                        <a:solidFill>
                                          <a:srgbClr val="FFFFFF"/>
                                        </a:solidFill>
                                        <a:ln w="12700">
                                          <a:solidFill>
                                            <a:srgbClr val="000000"/>
                                          </a:solidFill>
                                          <a:miter lim="800000"/>
                                          <a:headEnd/>
                                          <a:tailEnd/>
                                        </a:ln>
                                      </wps:spPr>
                                      <wps:txbx>
                                        <w:txbxContent>
                                          <w:p w14:paraId="74367FA5" w14:textId="77777777" w:rsidR="009C2D83" w:rsidRPr="00E83403" w:rsidRDefault="009C2D83" w:rsidP="00E83403">
                                            <w:pPr>
                                              <w:spacing w:line="240" w:lineRule="auto"/>
                                              <w:jc w:val="center"/>
                                              <w:rPr>
                                                <w:rFonts w:ascii="Times New Roman" w:hAnsi="Times New Roman" w:cs="Times New Roman"/>
                                                <w:b/>
                                                <w:bCs/>
                                              </w:rPr>
                                            </w:pPr>
                                            <w:r w:rsidRPr="00E83403">
                                              <w:rPr>
                                                <w:rFonts w:ascii="Times New Roman" w:hAnsi="Times New Roman" w:cs="Times New Roman"/>
                                                <w:b/>
                                                <w:bCs/>
                                              </w:rPr>
                                              <w:t>Inspection</w:t>
                                            </w:r>
                                          </w:p>
                                        </w:txbxContent>
                                      </wps:txbx>
                                      <wps:bodyPr rot="0" vert="horz" wrap="square" lIns="91440" tIns="45720" rIns="91440" bIns="45720" anchor="ctr" anchorCtr="0" upright="1">
                                        <a:noAutofit/>
                                      </wps:bodyPr>
                                    </wps:wsp>
                                    <wps:wsp>
                                      <wps:cNvPr id="729" name="Connecteur droit 69"/>
                                      <wps:cNvCnPr>
                                        <a:cxnSpLocks noChangeShapeType="1"/>
                                      </wps:cNvCnPr>
                                      <wps:spPr bwMode="auto">
                                        <a:xfrm flipH="1">
                                          <a:off x="3685" y="4442"/>
                                          <a:ext cx="51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0" name="Group 1537"/>
                                    <wpg:cNvGrpSpPr>
                                      <a:grpSpLocks/>
                                    </wpg:cNvGrpSpPr>
                                    <wpg:grpSpPr bwMode="auto">
                                      <a:xfrm>
                                        <a:off x="2130" y="4460"/>
                                        <a:ext cx="4090" cy="850"/>
                                        <a:chOff x="2130" y="4460"/>
                                        <a:chExt cx="4090" cy="850"/>
                                      </a:xfrm>
                                    </wpg:grpSpPr>
                                    <wps:wsp>
                                      <wps:cNvPr id="731" name="Rectangle 61"/>
                                      <wps:cNvSpPr>
                                        <a:spLocks noChangeArrowheads="1"/>
                                      </wps:cNvSpPr>
                                      <wps:spPr bwMode="auto">
                                        <a:xfrm>
                                          <a:off x="2130" y="4460"/>
                                          <a:ext cx="1701" cy="850"/>
                                        </a:xfrm>
                                        <a:prstGeom prst="rect">
                                          <a:avLst/>
                                        </a:prstGeom>
                                        <a:solidFill>
                                          <a:srgbClr val="FFFFFF"/>
                                        </a:solidFill>
                                        <a:ln w="12700">
                                          <a:solidFill>
                                            <a:srgbClr val="000000"/>
                                          </a:solidFill>
                                          <a:miter lim="800000"/>
                                          <a:headEnd/>
                                          <a:tailEnd/>
                                        </a:ln>
                                      </wps:spPr>
                                      <wps:txbx>
                                        <w:txbxContent>
                                          <w:p w14:paraId="4ADBDE30" w14:textId="6C8E3403" w:rsidR="009C2D83" w:rsidRPr="00E83403" w:rsidRDefault="009C2D83" w:rsidP="00E83403">
                                            <w:pPr>
                                              <w:spacing w:line="240" w:lineRule="auto"/>
                                              <w:jc w:val="center"/>
                                              <w:rPr>
                                                <w:rFonts w:ascii="Times New Roman" w:hAnsi="Times New Roman" w:cs="Times New Roman"/>
                                                <w:b/>
                                                <w:bCs/>
                                                <w:sz w:val="24"/>
                                                <w:szCs w:val="24"/>
                                              </w:rPr>
                                            </w:pPr>
                                            <w:r w:rsidRPr="00E83403">
                                              <w:rPr>
                                                <w:rFonts w:ascii="Times New Roman" w:hAnsi="Times New Roman" w:cs="Times New Roman"/>
                                                <w:b/>
                                                <w:bCs/>
                                                <w:sz w:val="24"/>
                                                <w:szCs w:val="24"/>
                                              </w:rPr>
                                              <w:t xml:space="preserve">Comité de la </w:t>
                                            </w:r>
                                            <w:r w:rsidRPr="00A5400B">
                                              <w:rPr>
                                                <w:rFonts w:ascii="Times New Roman" w:hAnsi="Times New Roman" w:cs="Times New Roman"/>
                                                <w:b/>
                                                <w:bCs/>
                                                <w:i/>
                                                <w:spacing w:val="4"/>
                                                <w:sz w:val="24"/>
                                                <w:szCs w:val="24"/>
                                              </w:rPr>
                                              <w:t>Shariah</w:t>
                                            </w:r>
                                          </w:p>
                                        </w:txbxContent>
                                      </wps:txbx>
                                      <wps:bodyPr rot="0" vert="horz" wrap="square" lIns="54000" tIns="45720" rIns="54000" bIns="45720" anchor="ctr" anchorCtr="0" upright="1">
                                        <a:noAutofit/>
                                      </wps:bodyPr>
                                    </wps:wsp>
                                    <wps:wsp>
                                      <wps:cNvPr id="732" name="Connecteur droit 70"/>
                                      <wps:cNvCnPr>
                                        <a:cxnSpLocks noChangeShapeType="1"/>
                                      </wps:cNvCnPr>
                                      <wps:spPr bwMode="auto">
                                        <a:xfrm flipH="1">
                                          <a:off x="3839" y="4890"/>
                                          <a:ext cx="23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3234650C" id="Group 1453" o:spid="_x0000_s1092" style="position:absolute;left:0;text-align:left;margin-left:0;margin-top:3.85pt;width:437.45pt;height:510.25pt;z-index:251663360;mso-position-horizontal:center;mso-position-horizontal-relative:margin" coordorigin="2016,2581" coordsize="8749,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">
                <v:rect id="Rectangle 66" o:spid="_x0000_s1093" style="position:absolute;left:4961;top:5915;width:2551;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" strokeweight="1pt">
                  <v:textbox>
                    <w:txbxContent>
                      <w:p w14:paraId="3C112CEE" w14:textId="77777777" w:rsidR="009C2D83" w:rsidRPr="00E83403" w:rsidRDefault="009C2D83" w:rsidP="00E83403">
                        <w:pPr>
                          <w:spacing w:line="240" w:lineRule="auto"/>
                          <w:jc w:val="center"/>
                          <w:rPr>
                            <w:rFonts w:ascii="Times New Roman" w:hAnsi="Times New Roman" w:cs="Times New Roman"/>
                            <w:b/>
                            <w:bCs/>
                          </w:rPr>
                        </w:pPr>
                        <w:r w:rsidRPr="00E83403">
                          <w:rPr>
                            <w:rFonts w:ascii="Times New Roman" w:hAnsi="Times New Roman" w:cs="Times New Roman"/>
                            <w:b/>
                            <w:bCs/>
                          </w:rPr>
                          <w:t>Direction Générale</w:t>
                        </w:r>
                      </w:p>
                    </w:txbxContent>
                  </v:textbox>
                </v:rect>
                <v:group id="Group 1455" o:spid="_x0000_s1094" style="position:absolute;left:2016;top:2581;width:8749;height:10350" coordorigin="2016,2581" coordsize="8749,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">
                  <v:group id="Group 1456" o:spid="_x0000_s1095" style="position:absolute;left:7929;top:8552;width:2836;height:4053" coordorigin="7929,8569" coordsize="2836,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">
                    <v:group id="Group 1457" o:spid="_x0000_s1096" style="position:absolute;left:8126;top:10037;width:2639;height:2585" coordorigin="8126,9504" coordsize="2639,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">
                      <v:group id="Group 1458" o:spid="_x0000_s1097" style="position:absolute;left:9609;top:9538;width:1156;height:1692" coordorigin="9609,9579" coordsize="115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">
                        <v:line id="Connecteur droit 124" o:spid="_x0000_s1098" style="position:absolute;visibility:visible;mso-wrap-style:square" from="9609,9579" to="9609,1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"/>
                        <v:shape id="Connecteur droit avec flèche 125" o:spid="_x0000_s1099" type="#_x0000_t32" style="position:absolute;left:9626;top:10154;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" strokeweight="1pt">
                          <v:stroke endarrow="open"/>
                        </v:shape>
                        <v:shape id="Connecteur droit avec flèche 126" o:spid="_x0000_s1100" type="#_x0000_t32" style="position:absolute;left:9626;top:10997;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" strokeweight="1pt">
                          <v:stroke endarrow="open"/>
                        </v:shape>
                        <v:shape id="Text Box 1462" o:spid="_x0000_s1101" type="#_x0000_t202" style="position:absolute;left:9915;top:9864;width:85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">
                          <v:textbox inset="1mm,,1mm">
                            <w:txbxContent>
                              <w:p w14:paraId="5BA0CC20"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Zakat</w:t>
                                </w:r>
                              </w:p>
                            </w:txbxContent>
                          </v:textbox>
                        </v:shape>
                        <v:shape id="Text Box 1463" o:spid="_x0000_s1102" type="#_x0000_t202" style="position:absolute;left:9915;top:10704;width:85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">
                          <v:textbox inset="1mm,,1mm">
                            <w:txbxContent>
                              <w:p w14:paraId="6B773D2D" w14:textId="77777777" w:rsidR="009C2D83" w:rsidRPr="00E83403" w:rsidRDefault="009C2D83" w:rsidP="00E83403">
                                <w:pPr>
                                  <w:spacing w:line="240" w:lineRule="auto"/>
                                  <w:jc w:val="center"/>
                                  <w:rPr>
                                    <w:rFonts w:ascii="Times New Roman" w:hAnsi="Times New Roman" w:cs="Times New Roman"/>
                                  </w:rPr>
                                </w:pPr>
                                <w:r w:rsidRPr="00E83403">
                                  <w:rPr>
                                    <w:rFonts w:ascii="Times New Roman" w:hAnsi="Times New Roman" w:cs="Times New Roman"/>
                                  </w:rPr>
                                  <w:t>Prêts</w:t>
                                </w:r>
                              </w:p>
                            </w:txbxContent>
                          </v:textbox>
                        </v:shape>
                      </v:group>
                      <v:group id="Group 1464" o:spid="_x0000_s1103" style="position:absolute;left:8126;top:9504;width:1540;height:2585" coordorigin="8126,9545" coordsize="1540,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">
                        <v:group id="Group 1465" o:spid="_x0000_s1104" style="position:absolute;left:8126;top:9545;width:289;height:2337" coordorigin="8126,9545" coordsize="289,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">
                          <v:line id="Connecteur droit 117" o:spid="_x0000_s1105" style="position:absolute;visibility:visible;mso-wrap-style:square" from="8136,9545" to="8136,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"/>
                          <v:shape id="Connecteur droit avec flèche 121" o:spid="_x0000_s1106" type="#_x0000_t32" style="position:absolute;left:8130;top:10997;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" strokeweight="1pt">
                            <v:stroke endarrow="open"/>
                          </v:shape>
                          <v:shape id="Connecteur droit avec flèche 122" o:spid="_x0000_s1107" type="#_x0000_t32" style="position:absolute;left:8132;top:10147;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" strokeweight="1pt">
                            <v:stroke endarrow="open"/>
                          </v:shape>
                          <v:shape id="Connecteur droit avec flèche 123" o:spid="_x0000_s1108" type="#_x0000_t32" style="position:absolute;left:8126;top:11882;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" strokeweight="1pt">
                            <v:stroke endarrow="open"/>
                          </v:shape>
                        </v:group>
                        <v:shape id="Text Box 1470" o:spid="_x0000_s1109" type="#_x0000_t202" style="position:absolute;left:8419;top:9864;width:85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">
                          <v:textbox inset="1mm,,1mm">
                            <w:txbxContent>
                              <w:p w14:paraId="47BA458B"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Caisse</w:t>
                                </w:r>
                              </w:p>
                            </w:txbxContent>
                          </v:textbox>
                        </v:shape>
                        <v:shape id="Text Box 1471" o:spid="_x0000_s1110" type="#_x0000_t202" style="position:absolute;left:8419;top:10704;width:102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">
                          <v:textbox inset=".5mm,.3mm,.5mm,.3mm">
                            <w:txbxContent>
                              <w:p w14:paraId="47977533"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Comptes courants</w:t>
                                </w:r>
                              </w:p>
                            </w:txbxContent>
                          </v:textbox>
                        </v:shape>
                        <v:shape id="Text Box 1472" o:spid="_x0000_s1111" type="#_x0000_t202" style="position:absolute;left:8419;top:11563;width:124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">
                          <v:textbox inset=".5mm,.3mm,.5mm,.3mm">
                            <w:txbxContent>
                              <w:p w14:paraId="4D02BC8A"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Crédit documentaire</w:t>
                                </w:r>
                              </w:p>
                            </w:txbxContent>
                          </v:textbox>
                        </v:shape>
                      </v:group>
                    </v:group>
                    <v:group id="Group 1473" o:spid="_x0000_s1112" style="position:absolute;left:7929;top:8569;width:2298;height:1482" coordorigin="5088,8075" coordsize="2298,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line id="Connecteur droit 115" o:spid="_x0000_s1113" style="position:absolute;visibility:visible;mso-wrap-style:square" from="5523,8392" to="5523,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"/>
                      <v:line id="Connecteur droit 116" o:spid="_x0000_s1114" style="position:absolute;visibility:visible;mso-wrap-style:square" from="6944,8401" to="6944,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"/>
                      <v:shape id="Text Box 1476" o:spid="_x0000_s1115" type="#_x0000_t202" style="position:absolute;left:5088;top:8690;width:8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">
                        <v:textbox inset=".5mm,,.5mm">
                          <w:txbxContent>
                            <w:p w14:paraId="2EA9BCA9"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Services bancaires</w:t>
                              </w:r>
                            </w:p>
                          </w:txbxContent>
                        </v:textbox>
                      </v:shape>
                      <v:shape id="Text Box 1477" o:spid="_x0000_s1116" type="#_x0000_t202" style="position:absolute;left:6536;top:8707;width:8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">
                        <v:textbox inset=".5mm,,.5mm">
                          <w:txbxContent>
                            <w:p w14:paraId="552978B7"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Services sociaux</w:t>
                              </w:r>
                            </w:p>
                          </w:txbxContent>
                        </v:textbox>
                      </v:shape>
                      <v:line id="Connecteur droit 111" o:spid="_x0000_s1117" style="position:absolute;visibility:visible;mso-wrap-style:square" from="6252,8075" to="62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UzxQAAAN0AAAAPAAAAZHJzL2Rvd25yZXYueG1sRE9La8JA&#10;EL4L/odlhN50Y4VU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CyvZUzxQAAAN0AAAAP&#10;AAAAAAAAAAAAAAAAAAcCAABkcnMvZG93bnJldi54bWxQSwUGAAAAAAMAAwC3AAAA+QIAAAAA&#10;"/>
                      <v:line id="Connecteur droit 113" o:spid="_x0000_s1118" style="position:absolute;flip:x;visibility:visible;mso-wrap-style:square" from="5529,8392" to="6946,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"/>
                    </v:group>
                  </v:group>
                  <v:group id="Group 1480" o:spid="_x0000_s1119" style="position:absolute;left:2016;top:2581;width:8335;height:10350" coordorigin="2016,2581" coordsize="8335,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group id="Group 1481" o:spid="_x0000_s1120" style="position:absolute;left:5087;top:8521;width:2298;height:4410" coordorigin="5087,8005" coordsize="2298,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group id="Group 1482" o:spid="_x0000_s1121" style="position:absolute;left:5087;top:8042;width:2298;height:4373" coordorigin="5087,8042" coordsize="2298,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group id="Group 1483" o:spid="_x0000_s1122" style="position:absolute;left:5224;top:8042;width:1998;height:2901" coordorigin="5224,8042" coordsize="1998,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line id="Connecteur droit 113" o:spid="_x0000_s1123" style="position:absolute;flip:x;visibility:visible;mso-wrap-style:square" from="5529,8359" to="6946,8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"/>
                          <v:group id="Group 1485" o:spid="_x0000_s1124" style="position:absolute;left:5224;top:8042;width:1998;height:2901" coordorigin="5224,8042" coordsize="1998,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line id="Connecteur droit 115" o:spid="_x0000_s1125" style="position:absolute;visibility:visible;mso-wrap-style:square" from="5523,8351" to="5523,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"/>
                            <v:line id="Connecteur droit 116" o:spid="_x0000_s1126" style="position:absolute;visibility:visible;mso-wrap-style:square" from="6944,8360" to="6944,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"/>
                            <v:line id="Connecteur droit 111" o:spid="_x0000_s1127" style="position:absolute;visibility:visible;mso-wrap-style:square" from="6236,8042" to="6236,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"/>
                            <v:line id="Connecteur droit 115" o:spid="_x0000_s1128" style="position:absolute;visibility:visible;mso-wrap-style:square" from="6236,8362" to="6236,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"/>
                            <v:shape id="Text Box 1490" o:spid="_x0000_s1129" type="#_x0000_t202" style="position:absolute;left:5224;top:8648;width:567;height: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">
                              <v:textbox style="layout-flow:vertical" inset=".5mm,2.3mm,.5mm,2.3mm">
                                <w:txbxContent>
                                  <w:p w14:paraId="787EE7DA"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Investissements directs</w:t>
                                    </w:r>
                                  </w:p>
                                </w:txbxContent>
                              </v:textbox>
                            </v:shape>
                            <v:shape id="Text Box 1491" o:spid="_x0000_s1130" type="#_x0000_t202" style="position:absolute;left:6655;top:8665;width:567;height: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">
                              <v:textbox style="layout-flow:vertical" inset=".5mm,2.3mm,.5mm,2.3mm">
                                <w:txbxContent>
                                  <w:p w14:paraId="65A5AB6C"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Participations</w:t>
                                    </w:r>
                                  </w:p>
                                </w:txbxContent>
                              </v:textbox>
                            </v:shape>
                            <v:shape id="Text Box 1492" o:spid="_x0000_s1131" type="#_x0000_t202" style="position:absolute;left:5954;top:8675;width:567;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">
                              <v:textbox style="layout-flow:vertical" inset=".5mm,2.3mm,.5mm,.3mm">
                                <w:txbxContent>
                                  <w:p w14:paraId="7AF02848" w14:textId="77777777" w:rsidR="009C2D83" w:rsidRPr="00C46F70" w:rsidRDefault="009C2D83" w:rsidP="00E83403">
                                    <w:pPr>
                                      <w:spacing w:line="240" w:lineRule="auto"/>
                                      <w:jc w:val="center"/>
                                      <w:rPr>
                                        <w:rFonts w:ascii="Times New Roman" w:hAnsi="Times New Roman" w:cs="Times New Roman"/>
                                        <w:spacing w:val="10"/>
                                        <w:sz w:val="20"/>
                                        <w:szCs w:val="20"/>
                                      </w:rPr>
                                    </w:pPr>
                                    <w:r w:rsidRPr="00C46F70">
                                      <w:rPr>
                                        <w:rFonts w:ascii="Times New Roman" w:hAnsi="Times New Roman" w:cs="Times New Roman"/>
                                        <w:spacing w:val="10"/>
                                        <w:sz w:val="20"/>
                                        <w:szCs w:val="20"/>
                                      </w:rPr>
                                      <w:t>Dépôts et Epargne</w:t>
                                    </w:r>
                                  </w:p>
                                </w:txbxContent>
                              </v:textbox>
                            </v:shape>
                          </v:group>
                        </v:group>
                        <v:group id="Group 1493" o:spid="_x0000_s1132" style="position:absolute;left:5087;top:10933;width:2298;height:1482" coordorigin="5088,8075" coordsize="2298,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line id="Connecteur droit 115" o:spid="_x0000_s1133" style="position:absolute;visibility:visible;mso-wrap-style:square" from="5523,8392" to="5523,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"/>
                          <v:line id="Connecteur droit 116" o:spid="_x0000_s1134" style="position:absolute;visibility:visible;mso-wrap-style:square" from="6944,8401" to="6944,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"/>
                          <v:shape id="Text Box 1496" o:spid="_x0000_s1135" type="#_x0000_t202" style="position:absolute;left:5088;top:8690;width:8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">
                            <v:textbox inset=".5mm,,.5mm">
                              <w:txbxContent>
                                <w:p w14:paraId="26064E47"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Dépôts gratuits</w:t>
                                  </w:r>
                                </w:p>
                              </w:txbxContent>
                            </v:textbox>
                          </v:shape>
                          <v:shape id="Text Box 1497" o:spid="_x0000_s1136" type="#_x0000_t202" style="position:absolute;left:6536;top:8707;width:8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">
                            <v:textbox inset=".5mm,,.5mm">
                              <w:txbxContent>
                                <w:p w14:paraId="218E7901" w14:textId="77777777" w:rsidR="009C2D83" w:rsidRPr="00E83403" w:rsidRDefault="009C2D83" w:rsidP="00E83403">
                                  <w:pPr>
                                    <w:spacing w:line="240" w:lineRule="auto"/>
                                    <w:jc w:val="center"/>
                                    <w:rPr>
                                      <w:rFonts w:ascii="Times New Roman" w:hAnsi="Times New Roman" w:cs="Times New Roman"/>
                                      <w:sz w:val="20"/>
                                      <w:szCs w:val="18"/>
                                    </w:rPr>
                                  </w:pPr>
                                  <w:r w:rsidRPr="00E83403">
                                    <w:rPr>
                                      <w:rFonts w:ascii="Times New Roman" w:hAnsi="Times New Roman" w:cs="Times New Roman"/>
                                      <w:sz w:val="20"/>
                                      <w:szCs w:val="18"/>
                                    </w:rPr>
                                    <w:t>Epargne</w:t>
                                  </w:r>
                                </w:p>
                              </w:txbxContent>
                            </v:textbox>
                          </v:shape>
                          <v:line id="Connecteur droit 111" o:spid="_x0000_s1137" style="position:absolute;visibility:visible;mso-wrap-style:square" from="6252,8075" to="6252,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"/>
                          <v:line id="Connecteur droit 113" o:spid="_x0000_s1138" style="position:absolute;flip:x;visibility:visible;mso-wrap-style:square" from="5529,8392" to="6946,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"/>
                        </v:group>
                      </v:group>
                      <v:line id="Connecteur droit 111" o:spid="_x0000_s1139" style="position:absolute;visibility:visible;mso-wrap-style:square" from="6236,8005" to="6236,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axgAAAN0AAAAPAAAAZHJzL2Rvd25yZXYueG1sRE9La8JA&#10;EL4X+h+WKfRWN60k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VQSmmsYAAADdAAAA&#10;DwAAAAAAAAAAAAAAAAAHAgAAZHJzL2Rvd25yZXYueG1sUEsFBgAAAAADAAMAtwAAAPoCAAAAAA==&#10;"/>
                    </v:group>
                    <v:group id="Group 1501" o:spid="_x0000_s1140" style="position:absolute;left:2016;top:2581;width:8335;height:8467" coordorigin="2016,2581" coordsize="8335,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group id="Group 1502" o:spid="_x0000_s1141" style="position:absolute;left:2016;top:8524;width:2791;height:2524" coordorigin="1914,8008" coordsize="279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group id="Group 1503" o:spid="_x0000_s1142" style="position:absolute;left:1914;top:8369;width:567;height:2111" coordorigin="2384,8357" coordsize="56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line id="Connecteur droit 115" o:spid="_x0000_s1143" style="position:absolute;visibility:visible;mso-wrap-style:square" from="2683,8357" to="2683,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"/>
                          <v:shape id="Text Box 1505" o:spid="_x0000_s1144" type="#_x0000_t202" style="position:absolute;left:2384;top:8654;width:567;height: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">
                            <v:textbox style="layout-flow:vertical" inset=".5mm,1.3mm,.5mm,1.3mm">
                              <w:txbxContent>
                                <w:p w14:paraId="271D35D2"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Administration générale</w:t>
                                  </w:r>
                                </w:p>
                              </w:txbxContent>
                            </v:textbox>
                          </v:shape>
                        </v:group>
                        <v:group id="Group 1506" o:spid="_x0000_s1145" style="position:absolute;left:4138;top:8352;width:567;height:2109" coordorigin="3815,8366" coordsize="567,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line id="Connecteur droit 116" o:spid="_x0000_s1146" style="position:absolute;visibility:visible;mso-wrap-style:square" from="4104,8366" to="4104,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"/>
                          <v:shape id="Text Box 1508" o:spid="_x0000_s1147" type="#_x0000_t202" style="position:absolute;left:3815;top:8671;width:567;height: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">
                            <v:textbox style="layout-flow:vertical" inset=".5mm,1.3mm,.5mm,1.3mm">
                              <w:txbxContent>
                                <w:p w14:paraId="5DC93D48"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Affaires juridiques</w:t>
                                  </w:r>
                                </w:p>
                              </w:txbxContent>
                            </v:textbox>
                          </v:shape>
                        </v:group>
                        <v:line id="Connecteur droit 113" o:spid="_x0000_s1148" style="position:absolute;flip:x;visibility:visible;mso-wrap-style:square" from="2213,8345" to="442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"/>
                        <v:line id="Connecteur droit 111" o:spid="_x0000_s1149" style="position:absolute;visibility:visible;mso-wrap-style:square" from="3266,8008" to="3267,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"/>
                        <v:shape id="Text Box 1511" o:spid="_x0000_s1150" type="#_x0000_t202" style="position:absolute;left:2655;top:8646;width:567;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">
                          <v:textbox style="layout-flow:vertical" inset=".5mm,1.3mm,.5mm,1.3mm">
                            <w:txbxContent>
                              <w:p w14:paraId="2FA5C60C"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Comptabilité</w:t>
                                </w:r>
                              </w:p>
                            </w:txbxContent>
                          </v:textbox>
                        </v:shape>
                        <v:shape id="AutoShape 1512" o:spid="_x0000_s1151" type="#_x0000_t32" style="position:absolute;left:2947;top:8353;width:1;height: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"/>
                        <v:group id="Group 1513" o:spid="_x0000_s1152" style="position:absolute;left:3391;top:8355;width:567;height:2177" coordorigin="3391,8355" coordsize="567,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Text Box 1514" o:spid="_x0000_s1153" type="#_x0000_t202" style="position:absolute;left:3391;top:8665;width:567;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">
                            <v:textbox style="layout-flow:vertical" inset=".5mm,1.3mm,.5mm,1.3mm">
                              <w:txbxContent>
                                <w:p w14:paraId="2186C408" w14:textId="77777777" w:rsidR="009C2D83" w:rsidRPr="00C46F70" w:rsidRDefault="009C2D83" w:rsidP="00E83403">
                                  <w:pPr>
                                    <w:spacing w:line="240" w:lineRule="auto"/>
                                    <w:jc w:val="center"/>
                                    <w:rPr>
                                      <w:rFonts w:ascii="Times New Roman" w:hAnsi="Times New Roman" w:cs="Times New Roman"/>
                                      <w:sz w:val="20"/>
                                      <w:szCs w:val="20"/>
                                    </w:rPr>
                                  </w:pPr>
                                  <w:r w:rsidRPr="00C46F70">
                                    <w:rPr>
                                      <w:rFonts w:ascii="Times New Roman" w:hAnsi="Times New Roman" w:cs="Times New Roman"/>
                                      <w:sz w:val="20"/>
                                      <w:szCs w:val="20"/>
                                    </w:rPr>
                                    <w:t>Informatique Statistiques</w:t>
                                  </w:r>
                                </w:p>
                              </w:txbxContent>
                            </v:textbox>
                          </v:shape>
                          <v:shape id="AutoShape 1515" o:spid="_x0000_s1154" type="#_x0000_t32" style="position:absolute;left:3683;top:8355;width:0;height: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"/>
                        </v:group>
                      </v:group>
                      <v:group id="Group 1516" o:spid="_x0000_s1155" style="position:absolute;left:2122;top:2581;width:8229;height:5944" coordorigin="2122,2581" coordsize="822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group id="Group 1517" o:spid="_x0000_s1156" style="position:absolute;left:2531;top:7348;width:7413;height:1177" coordorigin="2534,6933" coordsize="7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rect id="Rectangle 1518" o:spid="_x0000_s1157" style="position:absolute;left:8246;top:6949;width:1701;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" strokeweight="1pt">
                            <v:textbox>
                              <w:txbxContent>
                                <w:p w14:paraId="0DB02930" w14:textId="77777777" w:rsidR="009C2D83" w:rsidRPr="00E83403" w:rsidRDefault="009C2D83" w:rsidP="00E83403">
                                  <w:pPr>
                                    <w:spacing w:line="240" w:lineRule="auto"/>
                                    <w:jc w:val="center"/>
                                    <w:rPr>
                                      <w:rFonts w:ascii="Times New Roman" w:hAnsi="Times New Roman" w:cs="Times New Roman"/>
                                    </w:rPr>
                                  </w:pPr>
                                  <w:r w:rsidRPr="00E83403">
                                    <w:rPr>
                                      <w:rFonts w:ascii="Times New Roman" w:hAnsi="Times New Roman" w:cs="Times New Roman"/>
                                    </w:rPr>
                                    <w:t>Direction Activité bancaire</w:t>
                                  </w:r>
                                </w:p>
                              </w:txbxContent>
                            </v:textbox>
                          </v:rect>
                          <v:rect id="Rectangle 1519" o:spid="_x0000_s1158" style="position:absolute;left:2534;top:6976;width:1701;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" strokeweight="1pt">
                            <v:textbox>
                              <w:txbxContent>
                                <w:p w14:paraId="4D57BF54" w14:textId="77777777" w:rsidR="009C2D83" w:rsidRPr="00E83403" w:rsidRDefault="009C2D83" w:rsidP="00E83403">
                                  <w:pPr>
                                    <w:spacing w:line="240" w:lineRule="auto"/>
                                    <w:jc w:val="center"/>
                                    <w:rPr>
                                      <w:rFonts w:ascii="Times New Roman" w:hAnsi="Times New Roman" w:cs="Times New Roman"/>
                                      <w:sz w:val="28"/>
                                      <w:szCs w:val="24"/>
                                    </w:rPr>
                                  </w:pPr>
                                  <w:r w:rsidRPr="00E83403">
                                    <w:rPr>
                                      <w:rFonts w:ascii="Times New Roman" w:hAnsi="Times New Roman" w:cs="Times New Roman"/>
                                    </w:rPr>
                                    <w:t>Direction Administration et Moyens</w:t>
                                  </w:r>
                                </w:p>
                              </w:txbxContent>
                            </v:textbox>
                          </v:rect>
                          <v:rect id="Rectangle 65" o:spid="_x0000_s1159" style="position:absolute;left:5386;top:6933;width:1814;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" strokeweight="1pt">
                            <v:textbox inset="1mm,,1mm">
                              <w:txbxContent>
                                <w:p w14:paraId="3F97BC6F" w14:textId="77777777" w:rsidR="009C2D83" w:rsidRPr="00E83403" w:rsidRDefault="009C2D83" w:rsidP="00E83403">
                                  <w:pPr>
                                    <w:jc w:val="center"/>
                                    <w:rPr>
                                      <w:rFonts w:ascii="Times New Roman" w:hAnsi="Times New Roman" w:cs="Times New Roman"/>
                                    </w:rPr>
                                  </w:pPr>
                                  <w:r w:rsidRPr="00E83403">
                                    <w:rPr>
                                      <w:rFonts w:ascii="Times New Roman" w:hAnsi="Times New Roman" w:cs="Times New Roman"/>
                                    </w:rPr>
                                    <w:t>Direction Dépôts et</w:t>
                                  </w:r>
                                </w:p>
                                <w:p w14:paraId="3B24C7DD" w14:textId="77777777" w:rsidR="009C2D83" w:rsidRPr="00E83403" w:rsidRDefault="009C2D83" w:rsidP="00E83403">
                                  <w:pPr>
                                    <w:spacing w:line="240" w:lineRule="auto"/>
                                    <w:jc w:val="center"/>
                                    <w:rPr>
                                      <w:rFonts w:ascii="Times New Roman" w:hAnsi="Times New Roman" w:cs="Times New Roman"/>
                                    </w:rPr>
                                  </w:pPr>
                                  <w:r w:rsidRPr="00E83403">
                                    <w:rPr>
                                      <w:rFonts w:ascii="Times New Roman" w:hAnsi="Times New Roman" w:cs="Times New Roman"/>
                                    </w:rPr>
                                    <w:t>Investissements</w:t>
                                  </w:r>
                                </w:p>
                              </w:txbxContent>
                            </v:textbox>
                          </v:rect>
                        </v:group>
                        <v:group id="Group 1521" o:spid="_x0000_s1160" style="position:absolute;left:3373;top:6505;width:5726;height:853" coordorigin="3383,6092" coordsize="571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line id="Connecteur droit 72" o:spid="_x0000_s1161" style="position:absolute;flip:x;visibility:visible;mso-wrap-style:square" from="3403,6378" to="9072,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vz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Bn+zqQjIJe/AAAA//8DAFBLAQItABQABgAIAAAAIQDb4fbL7gAAAIUBAAATAAAAAAAA&#10;AAAAAAAAAAAAAABbQ29udGVudF9UeXBlc10ueG1sUEsBAi0AFAAGAAgAAAAhAFr0LFu/AAAAFQEA&#10;AAsAAAAAAAAAAAAAAAAAHwEAAF9yZWxzLy5yZWxzUEsBAi0AFAAGAAgAAAAhAIydS/PHAAAA3AAA&#10;AA8AAAAAAAAAAAAAAAAABwIAAGRycy9kb3ducmV2LnhtbFBLBQYAAAAAAwADALcAAAD7AgAAAAA=&#10;"/>
                          <v:line id="Connecteur droit 71" o:spid="_x0000_s1162" style="position:absolute;visibility:visible;mso-wrap-style:square" from="6236,6092" to="6236,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Connecteur droit 73" o:spid="_x0000_s1163" style="position:absolute;visibility:visible;mso-wrap-style:square" from="3383,6378" to="3383,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Connecteur droit 74" o:spid="_x0000_s1164" style="position:absolute;visibility:visible;mso-wrap-style:square" from="9093,6370" to="9094,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group>
                        <v:group id="Group 1526" o:spid="_x0000_s1165" style="position:absolute;left:2122;top:2581;width:8229;height:3330" coordorigin="2122,2054" coordsize="8229,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line id="Connecteur droit 68" o:spid="_x0000_s1166" style="position:absolute;visibility:visible;mso-wrap-style:square" from="6237,3400" to="6237,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v:group id="Group 1528" o:spid="_x0000_s1167" style="position:absolute;left:2122;top:2054;width:8229;height:3256" coordorigin="2122,2054" coordsize="822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Group 1529" o:spid="_x0000_s1168" style="position:absolute;left:3969;top:2054;width:4535;height:1361" coordorigin="3969,2332" coordsize="4535,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rect id="Rectangle 1" o:spid="_x0000_s1169" style="position:absolute;left:3969;top:2332;width:4535;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" strokeweight="1pt">
                                <v:textbox>
                                  <w:txbxContent>
                                    <w:p w14:paraId="5DB91049" w14:textId="77777777" w:rsidR="009C2D83" w:rsidRPr="00E83403" w:rsidRDefault="009C2D83" w:rsidP="00E83403">
                                      <w:pPr>
                                        <w:spacing w:line="240" w:lineRule="auto"/>
                                        <w:jc w:val="center"/>
                                        <w:rPr>
                                          <w:rFonts w:ascii="Times New Roman" w:hAnsi="Times New Roman" w:cs="Times New Roman"/>
                                          <w:b/>
                                          <w:bCs/>
                                        </w:rPr>
                                      </w:pPr>
                                      <w:r w:rsidRPr="00E83403">
                                        <w:rPr>
                                          <w:rFonts w:ascii="Times New Roman" w:hAnsi="Times New Roman" w:cs="Times New Roman"/>
                                          <w:b/>
                                          <w:bCs/>
                                        </w:rPr>
                                        <w:t>Assemblée Générale des Actionnaires</w:t>
                                      </w:r>
                                    </w:p>
                                  </w:txbxContent>
                                </v:textbox>
                              </v:rect>
                              <v:rect id="Rectangle 58" o:spid="_x0000_s1170" style="position:absolute;left:4780;top:3168;width:2698;height:5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" strokeweight="1pt">
                                <v:textbox>
                                  <w:txbxContent>
                                    <w:p w14:paraId="25A14183" w14:textId="77777777" w:rsidR="009C2D83" w:rsidRPr="00E83403" w:rsidRDefault="009C2D83" w:rsidP="00E83403">
                                      <w:pPr>
                                        <w:spacing w:line="240" w:lineRule="auto"/>
                                        <w:jc w:val="center"/>
                                        <w:rPr>
                                          <w:rFonts w:ascii="Times New Roman" w:hAnsi="Times New Roman" w:cs="Times New Roman"/>
                                          <w:b/>
                                          <w:bCs/>
                                        </w:rPr>
                                      </w:pPr>
                                      <w:r w:rsidRPr="00E83403">
                                        <w:rPr>
                                          <w:rFonts w:ascii="Times New Roman" w:hAnsi="Times New Roman" w:cs="Times New Roman"/>
                                          <w:b/>
                                          <w:bCs/>
                                        </w:rPr>
                                        <w:t>Conseil d’Administration</w:t>
                                      </w:r>
                                    </w:p>
                                  </w:txbxContent>
                                </v:textbox>
                              </v:rect>
                              <v:line id="Connecteur droit 67" o:spid="_x0000_s1171" style="position:absolute;visibility:visible;mso-wrap-style:square" from="6236,2894" to="6236,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group>
                            <v:group id="Group 1533" o:spid="_x0000_s1172" style="position:absolute;left:2122;top:3748;width:8229;height:568" coordorigin="1981,4158" coordsize="822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ect id="Rectangle 59" o:spid="_x0000_s1173" style="position:absolute;left:1981;top:4159;width:1701;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" strokeweight="1pt">
                                <v:textbox>
                                  <w:txbxContent>
                                    <w:p w14:paraId="5E8BB3BA" w14:textId="77777777" w:rsidR="009C2D83" w:rsidRPr="00E83403" w:rsidRDefault="009C2D83" w:rsidP="00E83403">
                                      <w:pPr>
                                        <w:spacing w:line="240" w:lineRule="auto"/>
                                        <w:jc w:val="center"/>
                                        <w:rPr>
                                          <w:rFonts w:ascii="Times New Roman" w:hAnsi="Times New Roman" w:cs="Times New Roman"/>
                                          <w:b/>
                                          <w:bCs/>
                                          <w:sz w:val="24"/>
                                          <w:szCs w:val="24"/>
                                        </w:rPr>
                                      </w:pPr>
                                      <w:r w:rsidRPr="00E83403">
                                        <w:rPr>
                                          <w:rFonts w:ascii="Times New Roman" w:hAnsi="Times New Roman" w:cs="Times New Roman"/>
                                          <w:b/>
                                          <w:bCs/>
                                          <w:sz w:val="24"/>
                                          <w:szCs w:val="24"/>
                                        </w:rPr>
                                        <w:t>Audit interne</w:t>
                                      </w:r>
                                    </w:p>
                                  </w:txbxContent>
                                </v:textbox>
                              </v:rect>
                              <v:rect id="Rectangle 60" o:spid="_x0000_s1174" style="position:absolute;left:8793;top:4158;width:1417;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" strokeweight="1pt">
                                <v:textbox>
                                  <w:txbxContent>
                                    <w:p w14:paraId="74367FA5" w14:textId="77777777" w:rsidR="009C2D83" w:rsidRPr="00E83403" w:rsidRDefault="009C2D83" w:rsidP="00E83403">
                                      <w:pPr>
                                        <w:spacing w:line="240" w:lineRule="auto"/>
                                        <w:jc w:val="center"/>
                                        <w:rPr>
                                          <w:rFonts w:ascii="Times New Roman" w:hAnsi="Times New Roman" w:cs="Times New Roman"/>
                                          <w:b/>
                                          <w:bCs/>
                                        </w:rPr>
                                      </w:pPr>
                                      <w:r w:rsidRPr="00E83403">
                                        <w:rPr>
                                          <w:rFonts w:ascii="Times New Roman" w:hAnsi="Times New Roman" w:cs="Times New Roman"/>
                                          <w:b/>
                                          <w:bCs/>
                                        </w:rPr>
                                        <w:t>Inspection</w:t>
                                      </w:r>
                                    </w:p>
                                  </w:txbxContent>
                                </v:textbox>
                              </v:rect>
                              <v:line id="Connecteur droit 69" o:spid="_x0000_s1175" style="position:absolute;flip:x;visibility:visible;mso-wrap-style:square" from="3685,4442" to="8787,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"/>
                            </v:group>
                            <v:group id="Group 1537" o:spid="_x0000_s1176" style="position:absolute;left:2130;top:4460;width:4090;height:850" coordorigin="2130,4460" coordsize="40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rect id="Rectangle 61" o:spid="_x0000_s1177" style="position:absolute;left:2130;top:4460;width:170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" strokeweight="1pt">
                                <v:textbox inset="1.5mm,,1.5mm">
                                  <w:txbxContent>
                                    <w:p w14:paraId="4ADBDE30" w14:textId="6C8E3403" w:rsidR="009C2D83" w:rsidRPr="00E83403" w:rsidRDefault="009C2D83" w:rsidP="00E83403">
                                      <w:pPr>
                                        <w:spacing w:line="240" w:lineRule="auto"/>
                                        <w:jc w:val="center"/>
                                        <w:rPr>
                                          <w:rFonts w:ascii="Times New Roman" w:hAnsi="Times New Roman" w:cs="Times New Roman"/>
                                          <w:b/>
                                          <w:bCs/>
                                          <w:sz w:val="24"/>
                                          <w:szCs w:val="24"/>
                                        </w:rPr>
                                      </w:pPr>
                                      <w:r w:rsidRPr="00E83403">
                                        <w:rPr>
                                          <w:rFonts w:ascii="Times New Roman" w:hAnsi="Times New Roman" w:cs="Times New Roman"/>
                                          <w:b/>
                                          <w:bCs/>
                                          <w:sz w:val="24"/>
                                          <w:szCs w:val="24"/>
                                        </w:rPr>
                                        <w:t xml:space="preserve">Comité de la </w:t>
                                      </w:r>
                                      <w:r w:rsidRPr="00A5400B">
                                        <w:rPr>
                                          <w:rFonts w:ascii="Times New Roman" w:hAnsi="Times New Roman" w:cs="Times New Roman"/>
                                          <w:b/>
                                          <w:bCs/>
                                          <w:i/>
                                          <w:spacing w:val="4"/>
                                          <w:sz w:val="24"/>
                                          <w:szCs w:val="24"/>
                                        </w:rPr>
                                        <w:t>Shariah</w:t>
                                      </w:r>
                                    </w:p>
                                  </w:txbxContent>
                                </v:textbox>
                              </v:rect>
                              <v:line id="Connecteur droit 70" o:spid="_x0000_s1178" style="position:absolute;flip:x;visibility:visible;mso-wrap-style:square" from="3839,4890" to="6220,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group>
                          </v:group>
                        </v:group>
                      </v:group>
                    </v:group>
                  </v:group>
                </v:group>
                <w10:wrap anchorx="margin"/>
              </v:group>
            </w:pict>
          </mc:Fallback>
        </mc:AlternateContent>
      </w:r>
    </w:p>
    <w:p w14:paraId="0ED9AFA9"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4"/>
          <w:szCs w:val="24"/>
        </w:rPr>
      </w:pPr>
    </w:p>
    <w:p w14:paraId="5034AE06"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4"/>
          <w:szCs w:val="24"/>
        </w:rPr>
      </w:pPr>
    </w:p>
    <w:p w14:paraId="10050EE6"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4"/>
          <w:szCs w:val="24"/>
        </w:rPr>
      </w:pPr>
    </w:p>
    <w:p w14:paraId="2D19448E"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4"/>
          <w:szCs w:val="24"/>
        </w:rPr>
      </w:pPr>
    </w:p>
    <w:p w14:paraId="3D67BB80"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4"/>
          <w:szCs w:val="24"/>
        </w:rPr>
      </w:pPr>
    </w:p>
    <w:p w14:paraId="4F90F504"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4"/>
          <w:szCs w:val="24"/>
        </w:rPr>
      </w:pPr>
    </w:p>
    <w:p w14:paraId="07147A4A"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4"/>
          <w:szCs w:val="24"/>
        </w:rPr>
      </w:pPr>
    </w:p>
    <w:p w14:paraId="37A42893"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4"/>
          <w:szCs w:val="24"/>
        </w:rPr>
      </w:pPr>
    </w:p>
    <w:p w14:paraId="2FB55204"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5A182949"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6BF4BA72"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26A19AF5"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20C26014"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5BECA625"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20AED334"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6DE92BBC"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253FADD4"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16FC7276"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6DBFE78A"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76228EB1"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26C91C5B" w14:textId="77777777" w:rsidR="00E83403" w:rsidRPr="002B005F" w:rsidRDefault="00E83403" w:rsidP="008D4BEF">
      <w:pPr>
        <w:keepNext/>
        <w:autoSpaceDE w:val="0"/>
        <w:autoSpaceDN w:val="0"/>
        <w:adjustRightInd w:val="0"/>
        <w:spacing w:before="120" w:line="300" w:lineRule="auto"/>
        <w:jc w:val="center"/>
        <w:rPr>
          <w:rFonts w:ascii="Times New Roman" w:eastAsia="Times New Roman" w:hAnsi="Times New Roman" w:cs="Times New Roman"/>
          <w:sz w:val="23"/>
          <w:szCs w:val="23"/>
        </w:rPr>
      </w:pPr>
    </w:p>
    <w:p w14:paraId="0C5192DF" w14:textId="77777777" w:rsidR="00E83403" w:rsidRPr="002B005F" w:rsidRDefault="00E83403" w:rsidP="008D4BEF">
      <w:pPr>
        <w:keepNext/>
        <w:tabs>
          <w:tab w:val="left" w:pos="3416"/>
        </w:tabs>
        <w:autoSpaceDE w:val="0"/>
        <w:autoSpaceDN w:val="0"/>
        <w:adjustRightInd w:val="0"/>
        <w:spacing w:before="120" w:line="300" w:lineRule="auto"/>
        <w:jc w:val="center"/>
        <w:rPr>
          <w:rFonts w:ascii="Times New Roman" w:eastAsia="Calibri" w:hAnsi="Times New Roman" w:cs="Times New Roman"/>
          <w:sz w:val="23"/>
          <w:szCs w:val="23"/>
        </w:rPr>
      </w:pPr>
    </w:p>
    <w:p w14:paraId="307C3740" w14:textId="77777777" w:rsidR="00E83403" w:rsidRPr="002B005F" w:rsidRDefault="00E83403" w:rsidP="008D4BEF">
      <w:pPr>
        <w:keepNext/>
        <w:tabs>
          <w:tab w:val="left" w:pos="3416"/>
        </w:tabs>
        <w:autoSpaceDE w:val="0"/>
        <w:autoSpaceDN w:val="0"/>
        <w:adjustRightInd w:val="0"/>
        <w:spacing w:before="120" w:line="300" w:lineRule="auto"/>
        <w:jc w:val="center"/>
        <w:rPr>
          <w:rFonts w:ascii="Times New Roman" w:eastAsia="Calibri" w:hAnsi="Times New Roman" w:cs="Times New Roman"/>
          <w:sz w:val="23"/>
          <w:szCs w:val="23"/>
        </w:rPr>
      </w:pPr>
    </w:p>
    <w:p w14:paraId="13A71C7B" w14:textId="77777777" w:rsidR="00E83403" w:rsidRPr="002B005F" w:rsidRDefault="00E83403" w:rsidP="008D4BEF">
      <w:pPr>
        <w:keepNext/>
        <w:tabs>
          <w:tab w:val="left" w:pos="3416"/>
        </w:tabs>
        <w:autoSpaceDE w:val="0"/>
        <w:autoSpaceDN w:val="0"/>
        <w:adjustRightInd w:val="0"/>
        <w:spacing w:before="120" w:line="300" w:lineRule="auto"/>
        <w:jc w:val="center"/>
        <w:rPr>
          <w:rFonts w:ascii="Times New Roman" w:eastAsia="Calibri" w:hAnsi="Times New Roman" w:cs="Times New Roman"/>
          <w:sz w:val="23"/>
          <w:szCs w:val="23"/>
        </w:rPr>
      </w:pPr>
    </w:p>
    <w:p w14:paraId="0CFC65FD" w14:textId="77777777" w:rsidR="00470F07" w:rsidRDefault="00E83403" w:rsidP="008D4BEF">
      <w:pPr>
        <w:keepNext/>
        <w:tabs>
          <w:tab w:val="left" w:pos="0"/>
        </w:tabs>
        <w:spacing w:before="120" w:line="300" w:lineRule="auto"/>
        <w:jc w:val="center"/>
        <w:rPr>
          <w:rFonts w:ascii="Times New Roman" w:eastAsia="Calibri" w:hAnsi="Times New Roman" w:cs="Times New Roman"/>
          <w:sz w:val="20"/>
          <w:szCs w:val="20"/>
        </w:rPr>
      </w:pPr>
      <w:r w:rsidRPr="002B005F">
        <w:rPr>
          <w:rFonts w:ascii="Times New Roman" w:eastAsia="Calibri" w:hAnsi="Times New Roman" w:cs="Times New Roman"/>
          <w:sz w:val="20"/>
          <w:szCs w:val="20"/>
        </w:rPr>
        <w:t xml:space="preserve">Source : </w:t>
      </w:r>
      <w:r w:rsidRPr="002B005F">
        <w:rPr>
          <w:rFonts w:ascii="Times New Roman" w:eastAsia="Calibri" w:hAnsi="Times New Roman" w:cs="Times New Roman"/>
          <w:smallCaps/>
          <w:sz w:val="20"/>
          <w:szCs w:val="20"/>
        </w:rPr>
        <w:t>Causse-Broquet</w:t>
      </w:r>
      <w:r w:rsidRPr="002B005F">
        <w:rPr>
          <w:rFonts w:ascii="Times New Roman" w:eastAsia="Calibri" w:hAnsi="Times New Roman" w:cs="Times New Roman"/>
          <w:sz w:val="20"/>
          <w:szCs w:val="20"/>
        </w:rPr>
        <w:t>, 2009, p. 127.</w:t>
      </w:r>
    </w:p>
    <w:p w14:paraId="1644F77F" w14:textId="77777777" w:rsidR="004A71E2" w:rsidRPr="00B65504" w:rsidRDefault="004A71E2" w:rsidP="004A71E2">
      <w:pPr>
        <w:tabs>
          <w:tab w:val="left" w:pos="0"/>
        </w:tabs>
        <w:spacing w:before="120" w:line="240" w:lineRule="auto"/>
        <w:jc w:val="center"/>
        <w:rPr>
          <w:rFonts w:ascii="Times New Roman" w:eastAsia="Calibri" w:hAnsi="Times New Roman" w:cs="Times New Roman"/>
          <w:sz w:val="20"/>
          <w:szCs w:val="20"/>
        </w:rPr>
      </w:pPr>
    </w:p>
    <w:p w14:paraId="49E16371" w14:textId="225642CC" w:rsidR="002F1F64" w:rsidRPr="00596C5A" w:rsidRDefault="00E618F3" w:rsidP="00F04B08">
      <w:pPr>
        <w:pStyle w:val="Titre3"/>
        <w:keepLines w:val="0"/>
        <w:spacing w:before="100" w:beforeAutospacing="1" w:line="300" w:lineRule="auto"/>
        <w:ind w:firstLine="709"/>
        <w:rPr>
          <w:sz w:val="28"/>
          <w:szCs w:val="28"/>
        </w:rPr>
      </w:pPr>
      <w:bookmarkStart w:id="537" w:name="_Toc33263263"/>
      <w:bookmarkStart w:id="538" w:name="_Toc37664515"/>
      <w:bookmarkStart w:id="539" w:name="_Toc37666360"/>
      <w:bookmarkStart w:id="540" w:name="_Toc54363249"/>
      <w:bookmarkStart w:id="541" w:name="_Toc58606259"/>
      <w:bookmarkStart w:id="542" w:name="_Toc61263464"/>
      <w:bookmarkStart w:id="543" w:name="_Toc182298693"/>
      <w:r w:rsidRPr="00596C5A">
        <w:rPr>
          <w:sz w:val="28"/>
          <w:szCs w:val="28"/>
        </w:rPr>
        <w:lastRenderedPageBreak/>
        <w:t xml:space="preserve">3.3- </w:t>
      </w:r>
      <w:r w:rsidR="00337C81">
        <w:rPr>
          <w:sz w:val="28"/>
          <w:szCs w:val="28"/>
        </w:rPr>
        <w:t>R</w:t>
      </w:r>
      <w:r w:rsidR="002F1F64" w:rsidRPr="00596C5A">
        <w:rPr>
          <w:sz w:val="28"/>
          <w:szCs w:val="28"/>
        </w:rPr>
        <w:t>ègle</w:t>
      </w:r>
      <w:r w:rsidR="00611EA9" w:rsidRPr="00596C5A">
        <w:rPr>
          <w:sz w:val="28"/>
          <w:szCs w:val="28"/>
        </w:rPr>
        <w:t>s de gouvernance applicables à la banque</w:t>
      </w:r>
      <w:r w:rsidR="002F1F64" w:rsidRPr="00596C5A">
        <w:rPr>
          <w:sz w:val="28"/>
          <w:szCs w:val="28"/>
        </w:rPr>
        <w:t xml:space="preserve"> </w:t>
      </w:r>
      <w:r w:rsidR="00505EDD" w:rsidRPr="00596C5A">
        <w:rPr>
          <w:sz w:val="28"/>
          <w:szCs w:val="28"/>
        </w:rPr>
        <w:t>i</w:t>
      </w:r>
      <w:r w:rsidR="003773C6" w:rsidRPr="00596C5A">
        <w:rPr>
          <w:sz w:val="28"/>
          <w:szCs w:val="28"/>
        </w:rPr>
        <w:t>slamique</w:t>
      </w:r>
      <w:bookmarkEnd w:id="537"/>
      <w:bookmarkEnd w:id="538"/>
      <w:bookmarkEnd w:id="539"/>
      <w:bookmarkEnd w:id="540"/>
      <w:bookmarkEnd w:id="541"/>
      <w:bookmarkEnd w:id="542"/>
      <w:bookmarkEnd w:id="543"/>
    </w:p>
    <w:p w14:paraId="66B0B94B" w14:textId="77777777" w:rsidR="002F1F64" w:rsidRPr="002B005F" w:rsidRDefault="002F1F64" w:rsidP="00F04B08">
      <w:pPr>
        <w:keepNext/>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Il exi</w:t>
      </w:r>
      <w:r w:rsidR="008F6DDE" w:rsidRPr="002B005F">
        <w:rPr>
          <w:rFonts w:ascii="Times New Roman" w:hAnsi="Times New Roman" w:cs="Times New Roman"/>
          <w:sz w:val="24"/>
          <w:szCs w:val="24"/>
        </w:rPr>
        <w:t>ste trois règles de gouvernance</w:t>
      </w:r>
      <w:r w:rsidRPr="002B005F">
        <w:rPr>
          <w:rFonts w:ascii="Times New Roman" w:hAnsi="Times New Roman" w:cs="Times New Roman"/>
          <w:sz w:val="24"/>
          <w:szCs w:val="24"/>
        </w:rPr>
        <w:t xml:space="preserve"> régissant les institutions financières </w:t>
      </w:r>
      <w:r w:rsidR="008F6DDE"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w:t>
      </w:r>
      <w:r w:rsidRPr="002B005F">
        <w:rPr>
          <w:rStyle w:val="Appelnotedebasdep"/>
          <w:rFonts w:ascii="Times New Roman" w:hAnsi="Times New Roman"/>
          <w:sz w:val="24"/>
          <w:szCs w:val="24"/>
        </w:rPr>
        <w:footnoteReference w:id="171"/>
      </w:r>
      <w:r w:rsidR="00442697" w:rsidRPr="002B005F">
        <w:rPr>
          <w:rFonts w:ascii="Times New Roman" w:hAnsi="Times New Roman" w:cs="Times New Roman"/>
          <w:sz w:val="24"/>
          <w:szCs w:val="24"/>
        </w:rPr>
        <w:t> :</w:t>
      </w:r>
    </w:p>
    <w:p w14:paraId="24C16AE2" w14:textId="77777777" w:rsidR="002F1F64" w:rsidRPr="002B005F" w:rsidRDefault="00F81836" w:rsidP="00CB0FF1">
      <w:pPr>
        <w:keepNext/>
        <w:widowControl w:val="0"/>
        <w:numPr>
          <w:ilvl w:val="0"/>
          <w:numId w:val="90"/>
        </w:numPr>
        <w:tabs>
          <w:tab w:val="left" w:pos="0"/>
        </w:tabs>
        <w:autoSpaceDE w:val="0"/>
        <w:autoSpaceDN w:val="0"/>
        <w:adjustRightInd w:val="0"/>
        <w:spacing w:before="60" w:line="300" w:lineRule="auto"/>
        <w:ind w:left="1135" w:hanging="284"/>
        <w:rPr>
          <w:rFonts w:ascii="Times New Roman" w:hAnsi="Times New Roman" w:cs="Times New Roman"/>
          <w:sz w:val="24"/>
          <w:szCs w:val="24"/>
        </w:rPr>
      </w:pPr>
      <w:r w:rsidRPr="002B005F">
        <w:rPr>
          <w:rFonts w:ascii="Times New Roman" w:hAnsi="Times New Roman" w:cs="Times New Roman"/>
          <w:sz w:val="24"/>
          <w:szCs w:val="24"/>
        </w:rPr>
        <w:t>Les</w:t>
      </w:r>
      <w:r w:rsidR="002F1F64" w:rsidRPr="002B005F">
        <w:rPr>
          <w:rFonts w:ascii="Times New Roman" w:hAnsi="Times New Roman" w:cs="Times New Roman"/>
          <w:sz w:val="24"/>
          <w:szCs w:val="24"/>
        </w:rPr>
        <w:t xml:space="preserve"> règles de gouvernance actionnariale.</w:t>
      </w:r>
    </w:p>
    <w:p w14:paraId="2B2E2483" w14:textId="77777777" w:rsidR="002F1F64" w:rsidRPr="002B005F" w:rsidRDefault="00F81836" w:rsidP="00CB0FF1">
      <w:pPr>
        <w:keepNext/>
        <w:widowControl w:val="0"/>
        <w:numPr>
          <w:ilvl w:val="0"/>
          <w:numId w:val="90"/>
        </w:numPr>
        <w:tabs>
          <w:tab w:val="left" w:pos="0"/>
        </w:tabs>
        <w:autoSpaceDE w:val="0"/>
        <w:autoSpaceDN w:val="0"/>
        <w:adjustRightInd w:val="0"/>
        <w:spacing w:before="60" w:line="300" w:lineRule="auto"/>
        <w:ind w:left="1135" w:hanging="284"/>
        <w:rPr>
          <w:rFonts w:ascii="Times New Roman" w:hAnsi="Times New Roman" w:cs="Times New Roman"/>
          <w:sz w:val="24"/>
          <w:szCs w:val="24"/>
        </w:rPr>
      </w:pPr>
      <w:r w:rsidRPr="002B005F">
        <w:rPr>
          <w:rFonts w:ascii="Times New Roman" w:hAnsi="Times New Roman" w:cs="Times New Roman"/>
          <w:sz w:val="24"/>
          <w:szCs w:val="24"/>
        </w:rPr>
        <w:t>Les</w:t>
      </w:r>
      <w:r w:rsidR="002F1F64" w:rsidRPr="002B005F">
        <w:rPr>
          <w:rFonts w:ascii="Times New Roman" w:hAnsi="Times New Roman" w:cs="Times New Roman"/>
          <w:sz w:val="24"/>
          <w:szCs w:val="24"/>
        </w:rPr>
        <w:t xml:space="preserve"> règles de </w:t>
      </w:r>
      <w:r w:rsidR="008F6DDE" w:rsidRPr="002B005F">
        <w:rPr>
          <w:rFonts w:ascii="Times New Roman" w:hAnsi="Times New Roman" w:cs="Times New Roman"/>
          <w:sz w:val="24"/>
          <w:szCs w:val="24"/>
        </w:rPr>
        <w:t>gouvernance partenariale,</w:t>
      </w:r>
    </w:p>
    <w:p w14:paraId="243B8936" w14:textId="77777777" w:rsidR="002F1F64" w:rsidRPr="002B005F" w:rsidRDefault="00F81836" w:rsidP="00CB0FF1">
      <w:pPr>
        <w:keepNext/>
        <w:widowControl w:val="0"/>
        <w:numPr>
          <w:ilvl w:val="0"/>
          <w:numId w:val="90"/>
        </w:numPr>
        <w:tabs>
          <w:tab w:val="left" w:pos="0"/>
        </w:tabs>
        <w:autoSpaceDE w:val="0"/>
        <w:autoSpaceDN w:val="0"/>
        <w:adjustRightInd w:val="0"/>
        <w:spacing w:before="60" w:line="300" w:lineRule="auto"/>
        <w:ind w:left="1135" w:hanging="284"/>
        <w:rPr>
          <w:rFonts w:ascii="Times New Roman" w:hAnsi="Times New Roman" w:cs="Times New Roman"/>
          <w:sz w:val="24"/>
          <w:szCs w:val="24"/>
        </w:rPr>
      </w:pPr>
      <w:r w:rsidRPr="002B005F">
        <w:rPr>
          <w:rFonts w:ascii="Times New Roman" w:hAnsi="Times New Roman" w:cs="Times New Roman"/>
          <w:sz w:val="24"/>
          <w:szCs w:val="24"/>
        </w:rPr>
        <w:t>Les</w:t>
      </w:r>
      <w:r w:rsidR="002F1F64" w:rsidRPr="002B005F">
        <w:rPr>
          <w:rFonts w:ascii="Times New Roman" w:hAnsi="Times New Roman" w:cs="Times New Roman"/>
          <w:sz w:val="24"/>
          <w:szCs w:val="24"/>
        </w:rPr>
        <w:t xml:space="preserve"> règles de gouvernance religieuse.</w:t>
      </w:r>
    </w:p>
    <w:p w14:paraId="1B0BAB5F" w14:textId="5C80053B" w:rsidR="002F1F64" w:rsidRPr="002B005F" w:rsidRDefault="00E618F3" w:rsidP="007B64B9">
      <w:pPr>
        <w:pStyle w:val="Titre4"/>
        <w:spacing w:before="100" w:beforeAutospacing="1" w:after="120" w:line="300" w:lineRule="auto"/>
        <w:ind w:firstLine="709"/>
      </w:pPr>
      <w:bookmarkStart w:id="544" w:name="_Toc33263264"/>
      <w:bookmarkStart w:id="545" w:name="_Toc37664516"/>
      <w:bookmarkStart w:id="546" w:name="_Toc37666361"/>
      <w:bookmarkStart w:id="547" w:name="_Toc54363250"/>
      <w:bookmarkStart w:id="548" w:name="_Toc58606260"/>
      <w:bookmarkStart w:id="549" w:name="_Toc61263465"/>
      <w:bookmarkStart w:id="550" w:name="_Toc182298694"/>
      <w:r w:rsidRPr="002B005F">
        <w:t xml:space="preserve">3.3.1- </w:t>
      </w:r>
      <w:r w:rsidR="00337C81">
        <w:t>R</w:t>
      </w:r>
      <w:r w:rsidR="002F1F64" w:rsidRPr="002B005F">
        <w:t xml:space="preserve">ègles </w:t>
      </w:r>
      <w:r w:rsidR="002F1F64" w:rsidRPr="00337C81">
        <w:rPr>
          <w:rFonts w:ascii="Times New Roman Gras" w:hAnsi="Times New Roman Gras"/>
        </w:rPr>
        <w:t>de</w:t>
      </w:r>
      <w:r w:rsidR="002F1F64" w:rsidRPr="002B005F">
        <w:t xml:space="preserve"> gouvernance actionnariale (</w:t>
      </w:r>
      <w:r w:rsidR="002F1F64" w:rsidRPr="002B005F">
        <w:rPr>
          <w:i/>
          <w:iCs/>
        </w:rPr>
        <w:t>shareholders</w:t>
      </w:r>
      <w:r w:rsidR="002F1F64" w:rsidRPr="002B005F">
        <w:t xml:space="preserve"> governance)</w:t>
      </w:r>
      <w:bookmarkEnd w:id="544"/>
      <w:bookmarkEnd w:id="545"/>
      <w:bookmarkEnd w:id="546"/>
      <w:bookmarkEnd w:id="547"/>
      <w:bookmarkEnd w:id="548"/>
      <w:bookmarkEnd w:id="549"/>
      <w:bookmarkEnd w:id="550"/>
    </w:p>
    <w:p w14:paraId="29BA0B51" w14:textId="77777777" w:rsidR="008A528E" w:rsidRPr="00D61AE3" w:rsidRDefault="002F1F64" w:rsidP="00F04B08">
      <w:pPr>
        <w:widowControl w:val="0"/>
        <w:tabs>
          <w:tab w:val="left" w:pos="0"/>
        </w:tabs>
        <w:autoSpaceDE w:val="0"/>
        <w:autoSpaceDN w:val="0"/>
        <w:adjustRightInd w:val="0"/>
        <w:spacing w:before="120" w:line="300" w:lineRule="auto"/>
        <w:ind w:firstLine="709"/>
        <w:rPr>
          <w:rFonts w:asciiTheme="majorBidi" w:hAnsiTheme="majorBidi" w:cstheme="majorBidi"/>
          <w:sz w:val="24"/>
          <w:szCs w:val="24"/>
        </w:rPr>
      </w:pPr>
      <w:r w:rsidRPr="002B005F">
        <w:rPr>
          <w:rFonts w:ascii="Times New Roman" w:hAnsi="Times New Roman" w:cs="Times New Roman"/>
          <w:sz w:val="24"/>
          <w:szCs w:val="24"/>
        </w:rPr>
        <w:t xml:space="preserve">Les mêmes règles qui gouvernent les institutions financières classiques sont applicables aux banques </w:t>
      </w:r>
      <w:r w:rsidR="008F6DDE"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Selon </w:t>
      </w:r>
      <w:r w:rsidRPr="002B005F">
        <w:rPr>
          <w:rFonts w:ascii="Times New Roman" w:hAnsi="Times New Roman" w:cs="Times New Roman"/>
          <w:smallCaps/>
          <w:sz w:val="24"/>
          <w:szCs w:val="24"/>
        </w:rPr>
        <w:t>Charreaux</w:t>
      </w:r>
      <w:r w:rsidRPr="002B005F">
        <w:rPr>
          <w:rFonts w:ascii="Times New Roman" w:hAnsi="Times New Roman" w:cs="Times New Roman"/>
          <w:sz w:val="24"/>
          <w:szCs w:val="24"/>
        </w:rPr>
        <w:t>, ces règles servent à « expliquer la performance organisationnelle des systèmes qui encadrent et contraignent les décisions des dirigeants »</w:t>
      </w:r>
      <w:r w:rsidRPr="002B005F">
        <w:rPr>
          <w:rStyle w:val="Appelnotedebasdep"/>
          <w:rFonts w:ascii="Times New Roman" w:hAnsi="Times New Roman"/>
          <w:sz w:val="24"/>
          <w:szCs w:val="24"/>
        </w:rPr>
        <w:footnoteReference w:id="172"/>
      </w:r>
      <w:r w:rsidRPr="002B005F">
        <w:rPr>
          <w:rFonts w:ascii="Times New Roman" w:hAnsi="Times New Roman" w:cs="Times New Roman"/>
          <w:sz w:val="24"/>
          <w:szCs w:val="24"/>
        </w:rPr>
        <w:t>. Elles reposent sur un conflit d’intérêt entre les actionnaires et les dirigeants. Ces derniers s’efforcent à réduire les risques encourus directement par l’institution et indirectement par eux-mêmes, alors que les actionnaires cherchent à maximiser les profits tirés de leurs placements dans l’institution. Pour éviter ce type de conflit, un ensemble d</w:t>
      </w:r>
      <w:r w:rsidR="008F6DDE" w:rsidRPr="002B005F">
        <w:rPr>
          <w:rFonts w:ascii="Times New Roman" w:hAnsi="Times New Roman" w:cs="Times New Roman"/>
          <w:sz w:val="24"/>
          <w:szCs w:val="24"/>
        </w:rPr>
        <w:t>e principes a été proposé</w:t>
      </w:r>
      <w:r w:rsidRPr="002B005F">
        <w:rPr>
          <w:rFonts w:ascii="Times New Roman" w:hAnsi="Times New Roman" w:cs="Times New Roman"/>
          <w:sz w:val="24"/>
          <w:szCs w:val="24"/>
        </w:rPr>
        <w:t xml:space="preserve"> pour organiser et vérifier le fonctionnement des CA</w:t>
      </w:r>
      <w:bookmarkStart w:id="552" w:name="_Toc33263265"/>
      <w:bookmarkStart w:id="553" w:name="_Toc37664517"/>
      <w:bookmarkStart w:id="554" w:name="_Toc37666362"/>
      <w:bookmarkStart w:id="555" w:name="_Toc54363251"/>
      <w:bookmarkStart w:id="556" w:name="_Toc58606261"/>
      <w:bookmarkStart w:id="557" w:name="_Toc61263466"/>
      <w:r w:rsidR="008A528E" w:rsidRPr="008A528E">
        <w:rPr>
          <w:rFonts w:ascii="Times New Roman" w:hAnsi="Times New Roman" w:cs="Times New Roman"/>
          <w:sz w:val="24"/>
          <w:szCs w:val="24"/>
        </w:rPr>
        <w:t xml:space="preserve">, visant à inciter et contrôler les comportements des dirigeants d’entreprise en limitant les pratiques inefficientes. </w:t>
      </w:r>
      <w:r w:rsidR="008A528E" w:rsidRPr="008A528E">
        <w:rPr>
          <w:rFonts w:asciiTheme="majorBidi" w:hAnsiTheme="majorBidi" w:cstheme="majorBidi"/>
          <w:sz w:val="24"/>
          <w:szCs w:val="24"/>
        </w:rPr>
        <w:t>Les instances internationales de régulation comptable (IAS/IFRS) ont imposé l’application par les sociétés cotées, à partir de 2005, de nouvelles règles comptables orientées vers la défense des intérêts des actionnaires, qui sont basées notamment sur le principe d’évaluation des éléments d’actif et de passif à leurs prix de marché ((fair value)</w:t>
      </w:r>
      <w:r w:rsidR="008A528E" w:rsidRPr="008A528E">
        <w:rPr>
          <w:rStyle w:val="Appelnotedebasdep"/>
          <w:rFonts w:asciiTheme="majorBidi" w:hAnsiTheme="majorBidi"/>
          <w:sz w:val="24"/>
          <w:szCs w:val="24"/>
        </w:rPr>
        <w:footnoteReference w:id="173"/>
      </w:r>
      <w:r w:rsidR="008A528E" w:rsidRPr="008A528E">
        <w:rPr>
          <w:rFonts w:asciiTheme="majorBidi" w:hAnsiTheme="majorBidi" w:cstheme="majorBidi"/>
          <w:sz w:val="24"/>
          <w:szCs w:val="24"/>
        </w:rPr>
        <w:t>.</w:t>
      </w:r>
    </w:p>
    <w:p w14:paraId="6150F7EB" w14:textId="74823D54" w:rsidR="002F1F64" w:rsidRPr="002B005F" w:rsidRDefault="00E618F3" w:rsidP="007B64B9">
      <w:pPr>
        <w:pStyle w:val="Titre4"/>
        <w:keepNext w:val="0"/>
        <w:spacing w:before="100" w:beforeAutospacing="1" w:after="120" w:line="300" w:lineRule="auto"/>
        <w:ind w:firstLine="709"/>
      </w:pPr>
      <w:bookmarkStart w:id="558" w:name="_Toc182298695"/>
      <w:r w:rsidRPr="002B005F">
        <w:t xml:space="preserve">3.3.2- </w:t>
      </w:r>
      <w:r w:rsidR="00337C81">
        <w:t>R</w:t>
      </w:r>
      <w:r w:rsidR="002F1F64" w:rsidRPr="002B005F">
        <w:t>ègles de gouvernance partenariale</w:t>
      </w:r>
      <w:bookmarkEnd w:id="552"/>
      <w:bookmarkEnd w:id="553"/>
      <w:bookmarkEnd w:id="554"/>
      <w:bookmarkEnd w:id="555"/>
      <w:bookmarkEnd w:id="556"/>
      <w:bookmarkEnd w:id="557"/>
      <w:bookmarkEnd w:id="558"/>
    </w:p>
    <w:p w14:paraId="7A43D5DF" w14:textId="77777777" w:rsidR="002F1F64" w:rsidRPr="002B005F" w:rsidRDefault="002F1F64" w:rsidP="00F04B08">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Selon cette approche, l’entreprise est un ensemble de partenaires qui contribuent à la</w:t>
      </w:r>
      <w:r w:rsidR="008F6DDE" w:rsidRPr="002B005F">
        <w:rPr>
          <w:rFonts w:ascii="Times New Roman" w:hAnsi="Times New Roman" w:cs="Times New Roman"/>
          <w:sz w:val="24"/>
          <w:szCs w:val="24"/>
        </w:rPr>
        <w:t xml:space="preserve"> perpétuité de cette entreprise ;</w:t>
      </w:r>
      <w:r w:rsidRPr="002B005F">
        <w:rPr>
          <w:rFonts w:ascii="Times New Roman" w:hAnsi="Times New Roman" w:cs="Times New Roman"/>
          <w:sz w:val="24"/>
          <w:szCs w:val="24"/>
        </w:rPr>
        <w:t xml:space="preserve"> ce qui conduit à une harmonisation entre les intérêts des actionnaires et l’intérêt général de la société. Parmi ces partenaires, il y a les salariés, les fournisseurs, les clients, les collectivités territoriales…</w:t>
      </w:r>
    </w:p>
    <w:p w14:paraId="1770D49C" w14:textId="77777777" w:rsidR="002F1F64" w:rsidRPr="002B005F" w:rsidRDefault="002F1F64" w:rsidP="00F04B08">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Plusieurs théories ont alimenté des débats académiques sur la nécessité d’introduire de nouvelles formes de capitalisme coopératif</w:t>
      </w:r>
      <w:r w:rsidRPr="002B005F">
        <w:rPr>
          <w:rStyle w:val="Appelnotedebasdep"/>
          <w:rFonts w:ascii="Times New Roman" w:hAnsi="Times New Roman"/>
          <w:sz w:val="24"/>
          <w:szCs w:val="24"/>
        </w:rPr>
        <w:footnoteReference w:id="174"/>
      </w:r>
      <w:r w:rsidRPr="002B005F">
        <w:rPr>
          <w:rFonts w:ascii="Times New Roman" w:hAnsi="Times New Roman" w:cs="Times New Roman"/>
          <w:sz w:val="24"/>
          <w:szCs w:val="24"/>
        </w:rPr>
        <w:t>, comme les coopératives, les associations…, ainsi que de c</w:t>
      </w:r>
      <w:r w:rsidR="008F6DDE" w:rsidRPr="002B005F">
        <w:rPr>
          <w:rFonts w:ascii="Times New Roman" w:hAnsi="Times New Roman" w:cs="Times New Roman"/>
          <w:sz w:val="24"/>
          <w:szCs w:val="24"/>
        </w:rPr>
        <w:t>réer des fonds d’investissement</w:t>
      </w:r>
      <w:r w:rsidRPr="002B005F">
        <w:rPr>
          <w:rFonts w:ascii="Times New Roman" w:hAnsi="Times New Roman" w:cs="Times New Roman"/>
          <w:sz w:val="24"/>
          <w:szCs w:val="24"/>
        </w:rPr>
        <w:t xml:space="preserve"> éthiques</w:t>
      </w:r>
      <w:r w:rsidRPr="008A528E">
        <w:rPr>
          <w:rFonts w:ascii="Times New Roman" w:hAnsi="Times New Roman" w:cs="Times New Roman"/>
          <w:sz w:val="24"/>
          <w:szCs w:val="24"/>
        </w:rPr>
        <w:t xml:space="preserve">. </w:t>
      </w:r>
      <w:r w:rsidR="008A528E" w:rsidRPr="008A528E">
        <w:rPr>
          <w:rFonts w:ascii="Times New Roman" w:hAnsi="Times New Roman" w:cs="Times New Roman"/>
          <w:sz w:val="24"/>
          <w:szCs w:val="24"/>
        </w:rPr>
        <w:t>Et c’est pour</w:t>
      </w:r>
      <w:r w:rsidR="008A528E"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minimiser les effets négatifs </w:t>
      </w:r>
      <w:r w:rsidR="008F6DDE" w:rsidRPr="002B005F">
        <w:rPr>
          <w:rFonts w:ascii="Times New Roman" w:hAnsi="Times New Roman" w:cs="Times New Roman"/>
          <w:sz w:val="24"/>
          <w:szCs w:val="24"/>
        </w:rPr>
        <w:t>de la gouvernance actionnariale</w:t>
      </w:r>
      <w:r w:rsidRPr="002B005F">
        <w:rPr>
          <w:rFonts w:ascii="Times New Roman" w:hAnsi="Times New Roman" w:cs="Times New Roman"/>
          <w:sz w:val="24"/>
          <w:szCs w:val="24"/>
        </w:rPr>
        <w:t xml:space="preserve"> en</w:t>
      </w:r>
      <w:r w:rsidR="008F6DDE" w:rsidRPr="002B005F">
        <w:rPr>
          <w:rFonts w:ascii="Times New Roman" w:hAnsi="Times New Roman" w:cs="Times New Roman"/>
          <w:sz w:val="24"/>
          <w:szCs w:val="24"/>
        </w:rPr>
        <w:t xml:space="preserve"> redéfinissant les droits et</w:t>
      </w:r>
      <w:r w:rsidRPr="002B005F">
        <w:rPr>
          <w:rFonts w:ascii="Times New Roman" w:hAnsi="Times New Roman" w:cs="Times New Roman"/>
          <w:sz w:val="24"/>
          <w:szCs w:val="24"/>
        </w:rPr>
        <w:t xml:space="preserve"> devoirs des différentes parties prenantes au sein d’une entreprise.</w:t>
      </w:r>
    </w:p>
    <w:p w14:paraId="5E991D3E" w14:textId="310B5329" w:rsidR="002F1F64" w:rsidRPr="002B005F" w:rsidRDefault="00E618F3" w:rsidP="00F04B08">
      <w:pPr>
        <w:pStyle w:val="Titre4"/>
        <w:keepLines/>
        <w:spacing w:before="120" w:after="120" w:line="300" w:lineRule="auto"/>
        <w:ind w:firstLine="709"/>
      </w:pPr>
      <w:bookmarkStart w:id="559" w:name="_Toc33263266"/>
      <w:bookmarkStart w:id="560" w:name="_Toc37664518"/>
      <w:bookmarkStart w:id="561" w:name="_Toc37666363"/>
      <w:bookmarkStart w:id="562" w:name="_Toc54363252"/>
      <w:bookmarkStart w:id="563" w:name="_Toc58606262"/>
      <w:bookmarkStart w:id="564" w:name="_Toc61263467"/>
      <w:bookmarkStart w:id="565" w:name="_Toc182298696"/>
      <w:r w:rsidRPr="002B005F">
        <w:lastRenderedPageBreak/>
        <w:t xml:space="preserve">3.3.3- </w:t>
      </w:r>
      <w:r w:rsidR="00337C81">
        <w:t>R</w:t>
      </w:r>
      <w:r w:rsidR="002F1F64" w:rsidRPr="002B005F">
        <w:t>ègles de gouvernance religieuse</w:t>
      </w:r>
      <w:bookmarkEnd w:id="559"/>
      <w:bookmarkEnd w:id="560"/>
      <w:bookmarkEnd w:id="561"/>
      <w:bookmarkEnd w:id="562"/>
      <w:bookmarkEnd w:id="563"/>
      <w:bookmarkEnd w:id="564"/>
      <w:bookmarkEnd w:id="565"/>
    </w:p>
    <w:p w14:paraId="3303B2AF" w14:textId="35E16227" w:rsidR="002F1F64" w:rsidRPr="002B005F" w:rsidRDefault="002F1F64" w:rsidP="00F04B08">
      <w:pPr>
        <w:keepNext/>
        <w:keepLines/>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mallCaps/>
          <w:sz w:val="24"/>
          <w:szCs w:val="24"/>
        </w:rPr>
        <w:t>Martens</w:t>
      </w:r>
      <w:r w:rsidRPr="002B005F">
        <w:rPr>
          <w:rFonts w:ascii="Times New Roman" w:hAnsi="Times New Roman" w:cs="Times New Roman"/>
          <w:sz w:val="24"/>
          <w:szCs w:val="24"/>
        </w:rPr>
        <w:t xml:space="preserve"> souligne que la finance </w:t>
      </w:r>
      <w:r w:rsidR="008F6DDE"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n’a fait l’objet que de rares recherches théoriques depuis les années 1960</w:t>
      </w:r>
      <w:r w:rsidRPr="002B005F">
        <w:rPr>
          <w:rStyle w:val="Appelnotedebasdep"/>
          <w:rFonts w:ascii="Times New Roman" w:hAnsi="Times New Roman"/>
          <w:sz w:val="24"/>
          <w:szCs w:val="24"/>
        </w:rPr>
        <w:footnoteReference w:id="175"/>
      </w:r>
      <w:r w:rsidRPr="002B005F">
        <w:rPr>
          <w:rFonts w:ascii="Times New Roman" w:hAnsi="Times New Roman" w:cs="Times New Roman"/>
          <w:sz w:val="24"/>
          <w:szCs w:val="24"/>
        </w:rPr>
        <w:t xml:space="preserve">. Toute banque </w:t>
      </w:r>
      <w:r w:rsidR="00C9615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doit respecter les règles </w:t>
      </w:r>
      <w:r w:rsidR="00C9615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dictées par le </w:t>
      </w:r>
      <w:r w:rsidRPr="002B005F">
        <w:rPr>
          <w:rFonts w:ascii="Times New Roman" w:hAnsi="Times New Roman" w:cs="Times New Roman"/>
          <w:iCs/>
          <w:sz w:val="24"/>
          <w:szCs w:val="24"/>
        </w:rPr>
        <w:t>Coran</w:t>
      </w:r>
      <w:r w:rsidRPr="002B005F">
        <w:rPr>
          <w:rFonts w:ascii="Times New Roman" w:hAnsi="Times New Roman" w:cs="Times New Roman"/>
          <w:sz w:val="24"/>
          <w:szCs w:val="24"/>
        </w:rPr>
        <w:t xml:space="preserve">, la </w:t>
      </w:r>
      <w:r w:rsidRPr="002B005F">
        <w:rPr>
          <w:rFonts w:ascii="Times New Roman" w:hAnsi="Times New Roman" w:cs="Times New Roman"/>
          <w:i/>
          <w:iCs/>
          <w:sz w:val="24"/>
          <w:szCs w:val="24"/>
        </w:rPr>
        <w:t>Sunna</w:t>
      </w:r>
      <w:r w:rsidR="00210F47">
        <w:rPr>
          <w:rFonts w:ascii="Times New Roman" w:hAnsi="Times New Roman" w:cs="Times New Roman"/>
          <w:i/>
          <w:iCs/>
          <w:sz w:val="24"/>
          <w:szCs w:val="24"/>
        </w:rPr>
        <w:t>h</w:t>
      </w:r>
      <w:r w:rsidR="00C96158" w:rsidRPr="002B005F">
        <w:rPr>
          <w:rFonts w:ascii="Times New Roman" w:hAnsi="Times New Roman" w:cs="Times New Roman"/>
          <w:sz w:val="24"/>
          <w:szCs w:val="24"/>
        </w:rPr>
        <w:t xml:space="preserve"> et la jurisprudence notamment</w:t>
      </w:r>
      <w:r w:rsidRPr="002B005F">
        <w:rPr>
          <w:rFonts w:ascii="Times New Roman" w:hAnsi="Times New Roman" w:cs="Times New Roman"/>
          <w:sz w:val="24"/>
          <w:szCs w:val="24"/>
        </w:rPr>
        <w:t xml:space="preserve"> les règles qui prohibent la pratique de l’intérêt et les activités basées sur le </w:t>
      </w:r>
      <w:r w:rsidRPr="002B005F">
        <w:rPr>
          <w:rFonts w:ascii="Times New Roman" w:hAnsi="Times New Roman" w:cs="Times New Roman"/>
          <w:i/>
          <w:iCs/>
          <w:sz w:val="24"/>
          <w:szCs w:val="24"/>
        </w:rPr>
        <w:t>gharar</w:t>
      </w:r>
      <w:r w:rsidRPr="002B005F">
        <w:rPr>
          <w:rFonts w:ascii="Times New Roman" w:hAnsi="Times New Roman" w:cs="Times New Roman"/>
          <w:sz w:val="24"/>
          <w:szCs w:val="24"/>
        </w:rPr>
        <w:t xml:space="preserve"> ainsi que les autres interdictions qu</w:t>
      </w:r>
      <w:r w:rsidR="006571F6">
        <w:rPr>
          <w:rFonts w:ascii="Times New Roman" w:hAnsi="Times New Roman" w:cs="Times New Roman"/>
          <w:sz w:val="24"/>
          <w:szCs w:val="24"/>
        </w:rPr>
        <w:t xml:space="preserve">e </w:t>
      </w:r>
      <w:r w:rsidR="006571F6" w:rsidRPr="008A528E">
        <w:rPr>
          <w:rFonts w:ascii="Times New Roman" w:hAnsi="Times New Roman" w:cs="Times New Roman"/>
          <w:sz w:val="24"/>
          <w:szCs w:val="24"/>
        </w:rPr>
        <w:t>nous avons</w:t>
      </w:r>
      <w:r w:rsidRPr="002B005F">
        <w:rPr>
          <w:rFonts w:ascii="Times New Roman" w:hAnsi="Times New Roman" w:cs="Times New Roman"/>
          <w:sz w:val="24"/>
          <w:szCs w:val="24"/>
        </w:rPr>
        <w:t xml:space="preserve"> déjà </w:t>
      </w:r>
      <w:r w:rsidR="001D32EA" w:rsidRPr="002B005F">
        <w:rPr>
          <w:rFonts w:ascii="Times New Roman" w:hAnsi="Times New Roman" w:cs="Times New Roman"/>
          <w:sz w:val="24"/>
          <w:szCs w:val="24"/>
        </w:rPr>
        <w:t>évoquées</w:t>
      </w:r>
      <w:r w:rsidRPr="002B005F">
        <w:rPr>
          <w:rFonts w:ascii="Times New Roman" w:hAnsi="Times New Roman" w:cs="Times New Roman"/>
          <w:sz w:val="24"/>
          <w:szCs w:val="24"/>
        </w:rPr>
        <w:t xml:space="preserve"> dans les sections précédentes. Ces règles sont dirigées par les comités de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 xml:space="preserve"> et d’autres instances religieuses. Dans le cas de divergence entre les différentes interprétations des </w:t>
      </w:r>
      <w:r w:rsidRPr="002B005F">
        <w:rPr>
          <w:rFonts w:ascii="Times New Roman" w:hAnsi="Times New Roman" w:cs="Times New Roman"/>
          <w:i/>
          <w:iCs/>
          <w:sz w:val="24"/>
          <w:szCs w:val="24"/>
        </w:rPr>
        <w:t>scholars</w:t>
      </w:r>
      <w:r w:rsidRPr="002B005F">
        <w:rPr>
          <w:rFonts w:ascii="Times New Roman" w:hAnsi="Times New Roman" w:cs="Times New Roman"/>
          <w:sz w:val="24"/>
          <w:szCs w:val="24"/>
        </w:rPr>
        <w:t xml:space="preserve"> </w:t>
      </w:r>
      <w:r w:rsidR="00C9615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C96158" w:rsidRPr="002B005F">
        <w:rPr>
          <w:rFonts w:ascii="Times New Roman" w:hAnsi="Times New Roman" w:cs="Times New Roman"/>
          <w:sz w:val="24"/>
          <w:szCs w:val="24"/>
        </w:rPr>
        <w:t>s, des instances fédérales (C</w:t>
      </w:r>
      <w:r w:rsidRPr="002B005F">
        <w:rPr>
          <w:rFonts w:ascii="Times New Roman" w:hAnsi="Times New Roman" w:cs="Times New Roman"/>
          <w:sz w:val="24"/>
          <w:szCs w:val="24"/>
        </w:rPr>
        <w:t xml:space="preserve">ours </w:t>
      </w:r>
      <w:r w:rsidR="00C9615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8F6DDE" w:rsidRPr="002B005F">
        <w:rPr>
          <w:rFonts w:ascii="Times New Roman" w:hAnsi="Times New Roman" w:cs="Times New Roman"/>
          <w:sz w:val="24"/>
          <w:szCs w:val="24"/>
        </w:rPr>
        <w:t>s suprêmes, université Al-</w:t>
      </w:r>
      <w:r w:rsidRPr="002B005F">
        <w:rPr>
          <w:rFonts w:ascii="Times New Roman" w:hAnsi="Times New Roman" w:cs="Times New Roman"/>
          <w:sz w:val="24"/>
          <w:szCs w:val="24"/>
        </w:rPr>
        <w:t>Azhar…) interviennent pour trancher les éventuels litiges.</w:t>
      </w:r>
    </w:p>
    <w:p w14:paraId="2FEAB147" w14:textId="77777777" w:rsidR="00C96158" w:rsidRPr="002B005F" w:rsidRDefault="00C96158" w:rsidP="00F04B08">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Ainsi</w:t>
      </w:r>
      <w:r w:rsidR="002F1F64" w:rsidRPr="002B005F">
        <w:rPr>
          <w:rFonts w:ascii="Times New Roman" w:hAnsi="Times New Roman" w:cs="Times New Roman"/>
          <w:sz w:val="24"/>
          <w:szCs w:val="24"/>
        </w:rPr>
        <w:t xml:space="preserve"> trois organisations ont été créées afin d’harmoniser les pratiques bancaires </w:t>
      </w:r>
      <w:r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w:t>
      </w:r>
      <w:r w:rsidR="006571F6">
        <w:rPr>
          <w:rFonts w:ascii="Times New Roman" w:hAnsi="Times New Roman" w:cs="Times New Roman"/>
          <w:sz w:val="24"/>
          <w:szCs w:val="24"/>
        </w:rPr>
        <w:t>,</w:t>
      </w:r>
      <w:r w:rsidRPr="002B005F">
        <w:rPr>
          <w:rFonts w:ascii="Times New Roman" w:hAnsi="Times New Roman" w:cs="Times New Roman"/>
          <w:sz w:val="24"/>
          <w:szCs w:val="24"/>
        </w:rPr>
        <w:t xml:space="preserve"> à savoir :</w:t>
      </w:r>
    </w:p>
    <w:p w14:paraId="599FB221" w14:textId="77777777" w:rsidR="00C96158" w:rsidRPr="002B005F" w:rsidRDefault="00732369" w:rsidP="00CB0FF1">
      <w:pPr>
        <w:pStyle w:val="Paragraphedeliste"/>
        <w:widowControl w:val="0"/>
        <w:numPr>
          <w:ilvl w:val="0"/>
          <w:numId w:val="91"/>
        </w:numPr>
        <w:tabs>
          <w:tab w:val="left" w:pos="0"/>
        </w:tabs>
        <w:autoSpaceDE w:val="0"/>
        <w:autoSpaceDN w:val="0"/>
        <w:adjustRightInd w:val="0"/>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L’AAOIFI</w:t>
      </w:r>
      <w:r w:rsidR="002F1F64" w:rsidRPr="002B005F">
        <w:rPr>
          <w:rFonts w:ascii="Times New Roman" w:hAnsi="Times New Roman" w:cs="Times New Roman"/>
          <w:sz w:val="24"/>
          <w:szCs w:val="24"/>
        </w:rPr>
        <w:t xml:space="preserve"> qui a pour mission d’harmoniser les règles comptables </w:t>
      </w:r>
      <w:r w:rsidR="002F1F64" w:rsidRPr="008A528E">
        <w:rPr>
          <w:rFonts w:ascii="Times New Roman" w:hAnsi="Times New Roman" w:cs="Times New Roman"/>
          <w:sz w:val="24"/>
          <w:szCs w:val="24"/>
        </w:rPr>
        <w:t>des banques</w:t>
      </w:r>
      <w:r w:rsidR="002F1F64" w:rsidRPr="002B005F">
        <w:rPr>
          <w:rFonts w:ascii="Times New Roman" w:hAnsi="Times New Roman" w:cs="Times New Roman"/>
          <w:sz w:val="24"/>
          <w:szCs w:val="24"/>
        </w:rPr>
        <w:t xml:space="preserve"> </w:t>
      </w:r>
      <w:r w:rsidR="00C9615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F1F64" w:rsidRPr="002B005F">
        <w:rPr>
          <w:rFonts w:ascii="Times New Roman" w:hAnsi="Times New Roman" w:cs="Times New Roman"/>
          <w:sz w:val="24"/>
          <w:szCs w:val="24"/>
        </w:rPr>
        <w:t>s,</w:t>
      </w:r>
    </w:p>
    <w:p w14:paraId="5E8184D0" w14:textId="77777777" w:rsidR="00C96158" w:rsidRPr="002B005F" w:rsidRDefault="00732369" w:rsidP="00CB0FF1">
      <w:pPr>
        <w:pStyle w:val="Paragraphedeliste"/>
        <w:widowControl w:val="0"/>
        <w:numPr>
          <w:ilvl w:val="0"/>
          <w:numId w:val="91"/>
        </w:numPr>
        <w:tabs>
          <w:tab w:val="left" w:pos="0"/>
        </w:tabs>
        <w:autoSpaceDE w:val="0"/>
        <w:autoSpaceDN w:val="0"/>
        <w:adjustRightInd w:val="0"/>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L’IFSB</w:t>
      </w:r>
      <w:r w:rsidR="002F1F64" w:rsidRPr="002B005F">
        <w:rPr>
          <w:rFonts w:ascii="Times New Roman" w:hAnsi="Times New Roman" w:cs="Times New Roman"/>
          <w:sz w:val="24"/>
          <w:szCs w:val="24"/>
        </w:rPr>
        <w:t xml:space="preserve"> qui tente de rechercher des voies d’intégration de la </w:t>
      </w:r>
      <w:r w:rsidR="006571F6">
        <w:rPr>
          <w:rFonts w:ascii="Times New Roman" w:hAnsi="Times New Roman" w:cs="Times New Roman"/>
          <w:sz w:val="24"/>
          <w:szCs w:val="24"/>
        </w:rPr>
        <w:t>finance islamique</w:t>
      </w:r>
      <w:r w:rsidR="002F1F64" w:rsidRPr="002B005F">
        <w:rPr>
          <w:rFonts w:ascii="Times New Roman" w:hAnsi="Times New Roman" w:cs="Times New Roman"/>
          <w:sz w:val="24"/>
          <w:szCs w:val="24"/>
        </w:rPr>
        <w:t xml:space="preserve"> à la finance internationale</w:t>
      </w:r>
      <w:r w:rsidR="00C96158" w:rsidRPr="002B005F">
        <w:rPr>
          <w:rFonts w:ascii="Times New Roman" w:hAnsi="Times New Roman" w:cs="Times New Roman"/>
          <w:sz w:val="24"/>
          <w:szCs w:val="24"/>
        </w:rPr>
        <w:t>,</w:t>
      </w:r>
    </w:p>
    <w:p w14:paraId="29D0FDD3" w14:textId="1611D082" w:rsidR="002F1F64" w:rsidRPr="002B005F" w:rsidRDefault="00732369" w:rsidP="00CB0FF1">
      <w:pPr>
        <w:pStyle w:val="Paragraphedeliste"/>
        <w:widowControl w:val="0"/>
        <w:numPr>
          <w:ilvl w:val="0"/>
          <w:numId w:val="91"/>
        </w:numPr>
        <w:tabs>
          <w:tab w:val="left" w:pos="0"/>
        </w:tabs>
        <w:autoSpaceDE w:val="0"/>
        <w:autoSpaceDN w:val="0"/>
        <w:adjustRightInd w:val="0"/>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L’IIFM</w:t>
      </w:r>
      <w:r w:rsidR="002F1F64" w:rsidRPr="002B005F">
        <w:rPr>
          <w:rFonts w:ascii="Times New Roman" w:hAnsi="Times New Roman" w:cs="Times New Roman"/>
          <w:sz w:val="24"/>
          <w:szCs w:val="24"/>
        </w:rPr>
        <w:t xml:space="preserve"> (I</w:t>
      </w:r>
      <w:r w:rsidR="002F1F64" w:rsidRPr="002B005F">
        <w:rPr>
          <w:rStyle w:val="Accentuation"/>
          <w:rFonts w:ascii="Times New Roman" w:hAnsi="Times New Roman" w:cs="Times New Roman"/>
          <w:i w:val="0"/>
          <w:iCs w:val="0"/>
          <w:sz w:val="24"/>
          <w:szCs w:val="24"/>
          <w:shd w:val="clear" w:color="auto" w:fill="FFFFFF"/>
        </w:rPr>
        <w:t xml:space="preserve">nternational </w:t>
      </w:r>
      <w:r w:rsidR="00F34669" w:rsidRPr="002B005F">
        <w:rPr>
          <w:rStyle w:val="Accentuation"/>
          <w:rFonts w:ascii="Times New Roman" w:hAnsi="Times New Roman" w:cs="Times New Roman"/>
          <w:i w:val="0"/>
          <w:iCs w:val="0"/>
          <w:sz w:val="24"/>
          <w:szCs w:val="24"/>
          <w:shd w:val="clear" w:color="auto" w:fill="FFFFFF"/>
        </w:rPr>
        <w:t>Islam</w:t>
      </w:r>
      <w:r w:rsidR="002F1F64" w:rsidRPr="002B005F">
        <w:rPr>
          <w:rStyle w:val="Accentuation"/>
          <w:rFonts w:ascii="Times New Roman" w:hAnsi="Times New Roman" w:cs="Times New Roman"/>
          <w:i w:val="0"/>
          <w:iCs w:val="0"/>
          <w:sz w:val="24"/>
          <w:szCs w:val="24"/>
          <w:shd w:val="clear" w:color="auto" w:fill="FFFFFF"/>
        </w:rPr>
        <w:t>ic Financial Market)</w:t>
      </w:r>
      <w:r w:rsidR="002F1F64" w:rsidRPr="002B005F">
        <w:rPr>
          <w:rFonts w:ascii="Times New Roman" w:hAnsi="Times New Roman" w:cs="Times New Roman"/>
          <w:sz w:val="24"/>
          <w:szCs w:val="24"/>
        </w:rPr>
        <w:t xml:space="preserve"> qui a pour objectif de concevoir de nouveaux m</w:t>
      </w:r>
      <w:r w:rsidR="00C96158" w:rsidRPr="002B005F">
        <w:rPr>
          <w:rFonts w:ascii="Times New Roman" w:hAnsi="Times New Roman" w:cs="Times New Roman"/>
          <w:sz w:val="24"/>
          <w:szCs w:val="24"/>
        </w:rPr>
        <w:t>écanismes et produits de marché</w:t>
      </w:r>
      <w:r w:rsidR="002F1F64" w:rsidRPr="002B005F">
        <w:rPr>
          <w:rFonts w:ascii="Times New Roman" w:hAnsi="Times New Roman" w:cs="Times New Roman"/>
          <w:sz w:val="24"/>
          <w:szCs w:val="24"/>
        </w:rPr>
        <w:t xml:space="preserve"> qui sont compatibles à la fois avec la</w:t>
      </w:r>
      <w:r w:rsidR="00A5400B" w:rsidRPr="00A5400B">
        <w:rPr>
          <w:rFonts w:ascii="Times New Roman" w:hAnsi="Times New Roman" w:cs="Times New Roman"/>
          <w:i/>
          <w:spacing w:val="4"/>
          <w:sz w:val="24"/>
          <w:szCs w:val="24"/>
        </w:rPr>
        <w:t xml:space="preserve">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A5400B">
        <w:rPr>
          <w:rFonts w:ascii="Times New Roman" w:hAnsi="Times New Roman" w:cs="Times New Roman"/>
          <w:i/>
          <w:sz w:val="24"/>
          <w:szCs w:val="24"/>
        </w:rPr>
        <w:t xml:space="preserve"> </w:t>
      </w:r>
      <w:r w:rsidR="002F1F64" w:rsidRPr="002B005F">
        <w:rPr>
          <w:rFonts w:ascii="Times New Roman" w:hAnsi="Times New Roman" w:cs="Times New Roman"/>
          <w:sz w:val="24"/>
          <w:szCs w:val="24"/>
        </w:rPr>
        <w:t xml:space="preserve">et le développement rapide de la banque </w:t>
      </w:r>
      <w:r w:rsidR="00C9615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F1F64" w:rsidRPr="002B005F">
        <w:rPr>
          <w:rFonts w:ascii="Times New Roman" w:hAnsi="Times New Roman" w:cs="Times New Roman"/>
          <w:sz w:val="24"/>
          <w:szCs w:val="24"/>
        </w:rPr>
        <w:t>.</w:t>
      </w:r>
    </w:p>
    <w:p w14:paraId="51A64E75" w14:textId="77777777" w:rsidR="002F1F64" w:rsidRPr="005F0BAD" w:rsidRDefault="002F1F64" w:rsidP="005F0BAD">
      <w:pPr>
        <w:pStyle w:val="Titre2"/>
        <w:keepNext w:val="0"/>
        <w:pageBreakBefore/>
        <w:spacing w:before="0" w:after="100" w:afterAutospacing="1" w:line="276" w:lineRule="auto"/>
        <w:ind w:firstLine="709"/>
        <w:rPr>
          <w:i w:val="0"/>
          <w:iCs w:val="0"/>
          <w:sz w:val="28"/>
        </w:rPr>
      </w:pPr>
      <w:bookmarkStart w:id="566" w:name="_Toc33263267"/>
      <w:bookmarkStart w:id="567" w:name="_Toc33264112"/>
      <w:bookmarkStart w:id="568" w:name="_Toc37664519"/>
      <w:bookmarkStart w:id="569" w:name="_Toc37666364"/>
      <w:bookmarkStart w:id="570" w:name="_Toc37667314"/>
      <w:bookmarkStart w:id="571" w:name="_Toc54361024"/>
      <w:bookmarkStart w:id="572" w:name="_Toc54361672"/>
      <w:bookmarkStart w:id="573" w:name="_Toc54363253"/>
      <w:bookmarkStart w:id="574" w:name="_Toc57901022"/>
      <w:bookmarkStart w:id="575" w:name="_Toc58261923"/>
      <w:bookmarkStart w:id="576" w:name="_Toc58606263"/>
      <w:bookmarkStart w:id="577" w:name="_Toc61263468"/>
      <w:bookmarkStart w:id="578" w:name="_Toc116257060"/>
      <w:bookmarkStart w:id="579" w:name="_Toc182298697"/>
      <w:bookmarkStart w:id="580" w:name="_Toc182309384"/>
      <w:r w:rsidRPr="005F0BAD">
        <w:rPr>
          <w:i w:val="0"/>
          <w:iCs w:val="0"/>
          <w:sz w:val="28"/>
        </w:rPr>
        <w:lastRenderedPageBreak/>
        <w:t>Conclusion</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741CD14B" w14:textId="77777777" w:rsidR="002F1F64" w:rsidRPr="002B005F" w:rsidRDefault="002F1F64" w:rsidP="00DE1691">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Tout au long de ce chapitre, nous avons passé en revue plusieurs aspects de la finance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Après avoir analysé les principes de base</w:t>
      </w:r>
      <w:r w:rsidR="00637616" w:rsidRPr="002B005F">
        <w:rPr>
          <w:rFonts w:ascii="Times New Roman" w:hAnsi="Times New Roman" w:cs="Times New Roman"/>
          <w:sz w:val="24"/>
          <w:szCs w:val="24"/>
        </w:rPr>
        <w:t xml:space="preserve"> de cette branche de la finance</w:t>
      </w:r>
      <w:r w:rsidRPr="002B005F">
        <w:rPr>
          <w:rFonts w:ascii="Times New Roman" w:hAnsi="Times New Roman" w:cs="Times New Roman"/>
          <w:sz w:val="24"/>
          <w:szCs w:val="24"/>
        </w:rPr>
        <w:t xml:space="preserve"> ainsi que son paradigme théorique, nous remarquons que cette finance est caractérisée par </w:t>
      </w:r>
      <w:r w:rsidR="00DE1691" w:rsidRPr="00DE1691">
        <w:rPr>
          <w:rFonts w:ascii="Times New Roman" w:hAnsi="Times New Roman" w:cs="Times New Roman"/>
          <w:sz w:val="24"/>
          <w:szCs w:val="24"/>
        </w:rPr>
        <w:t>l’éthique et la justice socio-économique.</w:t>
      </w:r>
      <w:r w:rsidRPr="002B005F">
        <w:rPr>
          <w:rFonts w:ascii="Times New Roman" w:hAnsi="Times New Roman" w:cs="Times New Roman"/>
          <w:sz w:val="24"/>
          <w:szCs w:val="24"/>
        </w:rPr>
        <w:t xml:space="preserve"> Ainsi, </w:t>
      </w:r>
      <w:r w:rsidR="00DE1691" w:rsidRPr="00DE1691">
        <w:rPr>
          <w:rFonts w:ascii="Times New Roman" w:hAnsi="Times New Roman" w:cs="Times New Roman"/>
          <w:sz w:val="24"/>
          <w:szCs w:val="24"/>
        </w:rPr>
        <w:t>l’industrie bancaire islamique</w:t>
      </w:r>
      <w:r w:rsidR="00DE1691"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est </w:t>
      </w:r>
      <w:r w:rsidR="00DE1691" w:rsidRPr="002B005F">
        <w:rPr>
          <w:rFonts w:ascii="Times New Roman" w:hAnsi="Times New Roman" w:cs="Times New Roman"/>
          <w:sz w:val="24"/>
          <w:szCs w:val="24"/>
        </w:rPr>
        <w:t>fondée</w:t>
      </w:r>
      <w:r w:rsidRPr="002B005F">
        <w:rPr>
          <w:rFonts w:ascii="Times New Roman" w:hAnsi="Times New Roman" w:cs="Times New Roman"/>
          <w:sz w:val="24"/>
          <w:szCs w:val="24"/>
        </w:rPr>
        <w:t xml:space="preserve"> sur l’interdiction absolue de verser ou de demander un quelconque taux de rendement prédéterminé et garanti. Il incite toutes les parties à partager le risque et le bénéfice ainsi que la perte éventuelle et décourage les comporteme</w:t>
      </w:r>
      <w:r w:rsidR="00637616" w:rsidRPr="002B005F">
        <w:rPr>
          <w:rFonts w:ascii="Times New Roman" w:hAnsi="Times New Roman" w:cs="Times New Roman"/>
          <w:sz w:val="24"/>
          <w:szCs w:val="24"/>
        </w:rPr>
        <w:t>nts spéculatifs.</w:t>
      </w:r>
    </w:p>
    <w:p w14:paraId="10960E94" w14:textId="282CA9AA" w:rsidR="002F1F64" w:rsidRPr="002B005F" w:rsidRDefault="002F1F64" w:rsidP="008A528E">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Ensuite, nous avons </w:t>
      </w:r>
      <w:r w:rsidR="00337C81">
        <w:rPr>
          <w:rFonts w:ascii="Times New Roman" w:hAnsi="Times New Roman" w:cs="Times New Roman"/>
          <w:sz w:val="24"/>
          <w:szCs w:val="24"/>
        </w:rPr>
        <w:t>exposé</w:t>
      </w:r>
      <w:r w:rsidRPr="002B005F">
        <w:rPr>
          <w:rFonts w:ascii="Times New Roman" w:hAnsi="Times New Roman" w:cs="Times New Roman"/>
          <w:sz w:val="24"/>
          <w:szCs w:val="24"/>
        </w:rPr>
        <w:t xml:space="preserve"> l’historique de la finance </w:t>
      </w:r>
      <w:r w:rsidR="00AA222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et son développement.</w:t>
      </w:r>
      <w:r w:rsidR="00DE1691">
        <w:rPr>
          <w:rFonts w:ascii="Times New Roman" w:hAnsi="Times New Roman" w:cs="Times New Roman"/>
          <w:sz w:val="24"/>
          <w:szCs w:val="24"/>
        </w:rPr>
        <w:t xml:space="preserve"> </w:t>
      </w:r>
      <w:r w:rsidR="00337C81">
        <w:rPr>
          <w:rFonts w:ascii="Times New Roman" w:hAnsi="Times New Roman" w:cs="Times New Roman"/>
          <w:sz w:val="24"/>
          <w:szCs w:val="24"/>
        </w:rPr>
        <w:t xml:space="preserve">A vrai dire, plusieurs </w:t>
      </w:r>
      <w:r w:rsidR="00337C81" w:rsidRPr="00DE1691">
        <w:rPr>
          <w:rFonts w:ascii="Times New Roman" w:hAnsi="Times New Roman" w:cs="Times New Roman"/>
          <w:sz w:val="24"/>
          <w:szCs w:val="24"/>
          <w:lang w:bidi="ar-DZ"/>
        </w:rPr>
        <w:t>pratiques financières et commerciales</w:t>
      </w:r>
      <w:r w:rsidR="00337C81" w:rsidRPr="00337C81">
        <w:rPr>
          <w:rFonts w:ascii="Times New Roman" w:hAnsi="Times New Roman" w:cs="Times New Roman"/>
          <w:sz w:val="24"/>
          <w:szCs w:val="24"/>
        </w:rPr>
        <w:t xml:space="preserve"> </w:t>
      </w:r>
      <w:r w:rsidR="00337C81" w:rsidRPr="00DE1691">
        <w:rPr>
          <w:rFonts w:ascii="Times New Roman" w:hAnsi="Times New Roman" w:cs="Times New Roman"/>
          <w:sz w:val="24"/>
          <w:szCs w:val="24"/>
        </w:rPr>
        <w:t>remonte</w:t>
      </w:r>
      <w:r w:rsidR="00337C81">
        <w:rPr>
          <w:rFonts w:ascii="Times New Roman" w:hAnsi="Times New Roman" w:cs="Times New Roman"/>
          <w:sz w:val="24"/>
          <w:szCs w:val="24"/>
        </w:rPr>
        <w:t>nt</w:t>
      </w:r>
      <w:r w:rsidR="00337C81" w:rsidRPr="00DE1691">
        <w:rPr>
          <w:rFonts w:ascii="Times New Roman" w:hAnsi="Times New Roman" w:cs="Times New Roman"/>
          <w:sz w:val="24"/>
          <w:szCs w:val="24"/>
        </w:rPr>
        <w:t xml:space="preserve"> </w:t>
      </w:r>
      <w:r w:rsidR="00337C81">
        <w:rPr>
          <w:rFonts w:ascii="Times New Roman" w:hAnsi="Times New Roman" w:cs="Times New Roman"/>
          <w:sz w:val="24"/>
          <w:szCs w:val="24"/>
        </w:rPr>
        <w:t>avant</w:t>
      </w:r>
      <w:r w:rsidR="00337C81" w:rsidRPr="00DE1691">
        <w:rPr>
          <w:rFonts w:ascii="Times New Roman" w:hAnsi="Times New Roman" w:cs="Times New Roman"/>
          <w:sz w:val="24"/>
          <w:szCs w:val="24"/>
        </w:rPr>
        <w:t xml:space="preserve"> l’avènement de l’Islam</w:t>
      </w:r>
      <w:r w:rsidR="00337C81">
        <w:rPr>
          <w:rFonts w:ascii="Times New Roman" w:hAnsi="Times New Roman" w:cs="Times New Roman"/>
          <w:sz w:val="24"/>
          <w:szCs w:val="24"/>
          <w:lang w:bidi="ar-DZ"/>
        </w:rPr>
        <w:t>.</w:t>
      </w:r>
      <w:r w:rsidR="00337C81" w:rsidRPr="00DE1691">
        <w:rPr>
          <w:rFonts w:ascii="Times New Roman" w:hAnsi="Times New Roman" w:cs="Times New Roman"/>
          <w:sz w:val="24"/>
          <w:szCs w:val="24"/>
          <w:lang w:bidi="ar-DZ"/>
        </w:rPr>
        <w:t xml:space="preserve"> </w:t>
      </w:r>
      <w:r w:rsidR="00337C81">
        <w:rPr>
          <w:rFonts w:ascii="Times New Roman" w:hAnsi="Times New Roman" w:cs="Times New Roman"/>
          <w:sz w:val="24"/>
          <w:szCs w:val="24"/>
          <w:lang w:bidi="ar-DZ"/>
        </w:rPr>
        <w:t>Le</w:t>
      </w:r>
      <w:r w:rsidR="00337C81" w:rsidRPr="00DE1691">
        <w:rPr>
          <w:rFonts w:ascii="Times New Roman" w:hAnsi="Times New Roman" w:cs="Times New Roman"/>
          <w:sz w:val="24"/>
          <w:szCs w:val="24"/>
          <w:lang w:bidi="ar-DZ"/>
        </w:rPr>
        <w:t xml:space="preserve"> </w:t>
      </w:r>
      <w:r w:rsidR="00337C81">
        <w:rPr>
          <w:rFonts w:ascii="Times New Roman" w:hAnsi="Times New Roman" w:cs="Times New Roman"/>
          <w:sz w:val="24"/>
          <w:szCs w:val="24"/>
          <w:lang w:bidi="ar-DZ"/>
        </w:rPr>
        <w:t>P</w:t>
      </w:r>
      <w:r w:rsidR="00337C81" w:rsidRPr="00DE1691">
        <w:rPr>
          <w:rFonts w:ascii="Times New Roman" w:hAnsi="Times New Roman" w:cs="Times New Roman"/>
          <w:sz w:val="24"/>
          <w:szCs w:val="24"/>
          <w:lang w:bidi="ar-DZ"/>
        </w:rPr>
        <w:t>rophète</w:t>
      </w:r>
      <w:r w:rsidR="00F36CDC">
        <w:rPr>
          <w:rFonts w:ascii="Times New Roman" w:hAnsi="Times New Roman" w:cs="Times New Roman"/>
          <w:sz w:val="24"/>
          <w:szCs w:val="24"/>
          <w:lang w:bidi="ar-DZ"/>
        </w:rPr>
        <w:t xml:space="preserve"> </w:t>
      </w:r>
      <w:r w:rsidR="00337C81" w:rsidRPr="00DE1691">
        <w:rPr>
          <w:rFonts w:ascii="Times New Roman" w:hAnsi="Times New Roman" w:cs="Times New Roman"/>
          <w:sz w:val="24"/>
          <w:szCs w:val="24"/>
          <w:lang w:bidi="ar-DZ"/>
        </w:rPr>
        <w:t xml:space="preserve"> </w:t>
      </w:r>
      <w:r w:rsidR="00337C81">
        <w:rPr>
          <w:rFonts w:ascii="Times New Roman" w:hAnsi="Times New Roman" w:cs="Times New Roman"/>
          <w:sz w:val="24"/>
          <w:szCs w:val="24"/>
          <w:lang w:bidi="ar-DZ"/>
        </w:rPr>
        <w:t xml:space="preserve">   </w:t>
      </w:r>
      <w:r w:rsidR="00337C81" w:rsidRPr="006F09F7">
        <w:rPr>
          <w:rFonts w:ascii="Times New Roman" w:hAnsi="Times New Roman" w:cs="Times New Roman"/>
          <w:noProof/>
          <w:sz w:val="24"/>
          <w:szCs w:val="24"/>
          <w:lang w:eastAsia="fr-FR"/>
        </w:rPr>
        <w:drawing>
          <wp:anchor distT="0" distB="0" distL="114300" distR="114300" simplePos="0" relativeHeight="251507712" behindDoc="0" locked="1" layoutInCell="1" allowOverlap="0" wp14:anchorId="258922F9" wp14:editId="01090ED0">
            <wp:simplePos x="0" y="0"/>
            <wp:positionH relativeFrom="column">
              <wp:posOffset>1300480</wp:posOffset>
            </wp:positionH>
            <wp:positionV relativeFrom="paragraph">
              <wp:posOffset>525780</wp:posOffset>
            </wp:positionV>
            <wp:extent cx="178435" cy="163195"/>
            <wp:effectExtent l="0" t="0" r="0" b="0"/>
            <wp:wrapNone/>
            <wp:docPr id="143942843"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78435" cy="163195"/>
                    </a:xfrm>
                    <a:prstGeom prst="rect">
                      <a:avLst/>
                    </a:prstGeom>
                    <a:noFill/>
                    <a:ln w="9525">
                      <a:noFill/>
                      <a:miter lim="800000"/>
                      <a:headEnd/>
                      <a:tailEnd/>
                    </a:ln>
                  </pic:spPr>
                </pic:pic>
              </a:graphicData>
            </a:graphic>
          </wp:anchor>
        </w:drawing>
      </w:r>
      <w:r w:rsidR="00337C81">
        <w:rPr>
          <w:rFonts w:ascii="Times New Roman" w:hAnsi="Times New Roman" w:cs="Times New Roman"/>
          <w:sz w:val="24"/>
          <w:szCs w:val="24"/>
          <w:lang w:bidi="ar-DZ"/>
        </w:rPr>
        <w:t xml:space="preserve"> </w:t>
      </w:r>
      <w:r w:rsidR="00F36CDC">
        <w:rPr>
          <w:rFonts w:ascii="Times New Roman" w:hAnsi="Times New Roman" w:cs="Times New Roman"/>
          <w:sz w:val="24"/>
          <w:szCs w:val="24"/>
          <w:lang w:bidi="ar-DZ"/>
        </w:rPr>
        <w:t>a régulé</w:t>
      </w:r>
      <w:r w:rsidR="00DE1691" w:rsidRPr="00DE1691">
        <w:rPr>
          <w:rFonts w:ascii="Times New Roman" w:hAnsi="Times New Roman" w:cs="Times New Roman"/>
          <w:sz w:val="24"/>
          <w:szCs w:val="24"/>
          <w:lang w:bidi="ar-DZ"/>
        </w:rPr>
        <w:t xml:space="preserve"> </w:t>
      </w:r>
      <w:r w:rsidR="00F36CDC">
        <w:rPr>
          <w:rFonts w:ascii="Times New Roman" w:hAnsi="Times New Roman" w:cs="Times New Roman"/>
          <w:sz w:val="24"/>
          <w:szCs w:val="24"/>
          <w:lang w:bidi="ar-DZ"/>
        </w:rPr>
        <w:t xml:space="preserve">ces pratiques en respect des préceptes de la </w:t>
      </w:r>
      <w:r w:rsidR="00F36CDC" w:rsidRPr="00F36CDC">
        <w:rPr>
          <w:rFonts w:ascii="Times New Roman" w:hAnsi="Times New Roman" w:cs="Times New Roman"/>
          <w:i/>
          <w:iCs/>
          <w:sz w:val="24"/>
          <w:szCs w:val="24"/>
          <w:lang w:bidi="ar-DZ"/>
        </w:rPr>
        <w:t>Shariah</w:t>
      </w:r>
      <w:r w:rsidR="00DE1691" w:rsidRPr="00DE1691">
        <w:rPr>
          <w:rFonts w:ascii="Times New Roman" w:hAnsi="Times New Roman" w:cs="Times New Roman"/>
          <w:sz w:val="24"/>
          <w:szCs w:val="24"/>
        </w:rPr>
        <w:t>.</w:t>
      </w:r>
      <w:r w:rsidRPr="002B005F">
        <w:rPr>
          <w:rFonts w:ascii="Times New Roman" w:hAnsi="Times New Roman" w:cs="Times New Roman"/>
          <w:sz w:val="24"/>
          <w:szCs w:val="24"/>
        </w:rPr>
        <w:t xml:space="preserve"> Quant à la finance </w:t>
      </w:r>
      <w:r w:rsidR="00AA222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dite moderne ou contemporaine, elle trouve </w:t>
      </w:r>
      <w:r w:rsidR="00F36CDC">
        <w:rPr>
          <w:rFonts w:ascii="Times New Roman" w:hAnsi="Times New Roman" w:cs="Times New Roman"/>
          <w:sz w:val="24"/>
          <w:szCs w:val="24"/>
        </w:rPr>
        <w:t>l</w:t>
      </w:r>
      <w:r w:rsidRPr="002B005F">
        <w:rPr>
          <w:rFonts w:ascii="Times New Roman" w:hAnsi="Times New Roman" w:cs="Times New Roman"/>
          <w:sz w:val="24"/>
          <w:szCs w:val="24"/>
        </w:rPr>
        <w:t xml:space="preserve">es origines </w:t>
      </w:r>
      <w:r w:rsidR="00F36CDC">
        <w:rPr>
          <w:rFonts w:ascii="Times New Roman" w:hAnsi="Times New Roman" w:cs="Times New Roman"/>
          <w:sz w:val="24"/>
          <w:szCs w:val="24"/>
        </w:rPr>
        <w:t xml:space="preserve">de son application </w:t>
      </w:r>
      <w:r w:rsidRPr="002B005F">
        <w:rPr>
          <w:rFonts w:ascii="Times New Roman" w:hAnsi="Times New Roman" w:cs="Times New Roman"/>
          <w:sz w:val="24"/>
          <w:szCs w:val="24"/>
        </w:rPr>
        <w:t xml:space="preserve">dans les </w:t>
      </w:r>
      <w:r w:rsidR="00DE1691" w:rsidRPr="008A528E">
        <w:rPr>
          <w:rFonts w:ascii="Times New Roman" w:hAnsi="Times New Roman" w:cs="Times New Roman"/>
          <w:sz w:val="24"/>
          <w:szCs w:val="24"/>
        </w:rPr>
        <w:t>années 1960 lors de la création des premières institutions financières en Egypte et en Malaisie</w:t>
      </w:r>
      <w:r w:rsidR="00F36CDC">
        <w:rPr>
          <w:rFonts w:ascii="Times New Roman" w:hAnsi="Times New Roman" w:cs="Times New Roman"/>
          <w:sz w:val="24"/>
          <w:szCs w:val="24"/>
        </w:rPr>
        <w:t>.</w:t>
      </w:r>
      <w:r w:rsidRPr="002B005F">
        <w:rPr>
          <w:rFonts w:ascii="Times New Roman" w:hAnsi="Times New Roman" w:cs="Times New Roman"/>
          <w:sz w:val="24"/>
          <w:szCs w:val="24"/>
        </w:rPr>
        <w:t xml:space="preserve"> </w:t>
      </w:r>
      <w:r w:rsidR="00F36CDC">
        <w:rPr>
          <w:rFonts w:ascii="Times New Roman" w:hAnsi="Times New Roman" w:cs="Times New Roman"/>
          <w:sz w:val="24"/>
          <w:szCs w:val="24"/>
        </w:rPr>
        <w:t>C</w:t>
      </w:r>
      <w:r w:rsidRPr="002B005F">
        <w:rPr>
          <w:rFonts w:ascii="Times New Roman" w:hAnsi="Times New Roman" w:cs="Times New Roman"/>
          <w:sz w:val="24"/>
          <w:szCs w:val="24"/>
        </w:rPr>
        <w:t xml:space="preserve">e n’est que durant les années 1970 que cette finance </w:t>
      </w:r>
      <w:r w:rsidRPr="008A528E">
        <w:rPr>
          <w:rFonts w:ascii="Times New Roman" w:hAnsi="Times New Roman" w:cs="Times New Roman"/>
          <w:sz w:val="24"/>
          <w:szCs w:val="24"/>
        </w:rPr>
        <w:t>a</w:t>
      </w:r>
      <w:r w:rsidRPr="002B005F">
        <w:rPr>
          <w:rFonts w:ascii="Times New Roman" w:hAnsi="Times New Roman" w:cs="Times New Roman"/>
          <w:sz w:val="24"/>
          <w:szCs w:val="24"/>
        </w:rPr>
        <w:t xml:space="preserve"> connu son véritable essor, notamment avec le boom pétrolier </w:t>
      </w:r>
      <w:r w:rsidR="00F36CDC">
        <w:rPr>
          <w:rFonts w:ascii="Times New Roman" w:hAnsi="Times New Roman" w:cs="Times New Roman"/>
          <w:sz w:val="24"/>
          <w:szCs w:val="24"/>
        </w:rPr>
        <w:t>durant sa période au</w:t>
      </w:r>
      <w:r w:rsidR="008A528E" w:rsidRPr="008A528E">
        <w:rPr>
          <w:rFonts w:ascii="Times New Roman" w:hAnsi="Times New Roman" w:cs="Times New Roman"/>
          <w:sz w:val="24"/>
          <w:szCs w:val="24"/>
        </w:rPr>
        <w:t xml:space="preserve"> le Moyen</w:t>
      </w:r>
      <w:r w:rsidR="00F36CDC">
        <w:rPr>
          <w:rFonts w:ascii="Times New Roman" w:hAnsi="Times New Roman" w:cs="Times New Roman"/>
          <w:sz w:val="24"/>
          <w:szCs w:val="24"/>
        </w:rPr>
        <w:t>-</w:t>
      </w:r>
      <w:r w:rsidR="008A528E" w:rsidRPr="008A528E">
        <w:rPr>
          <w:rFonts w:ascii="Times New Roman" w:hAnsi="Times New Roman" w:cs="Times New Roman"/>
          <w:sz w:val="24"/>
          <w:szCs w:val="24"/>
        </w:rPr>
        <w:t>Orient.</w:t>
      </w:r>
      <w:r w:rsidRPr="002B005F">
        <w:rPr>
          <w:rFonts w:ascii="Times New Roman" w:hAnsi="Times New Roman" w:cs="Times New Roman"/>
          <w:sz w:val="24"/>
          <w:szCs w:val="24"/>
        </w:rPr>
        <w:t xml:space="preserve"> </w:t>
      </w:r>
      <w:r w:rsidR="00F36CDC">
        <w:rPr>
          <w:rFonts w:ascii="Times New Roman" w:hAnsi="Times New Roman" w:cs="Times New Roman"/>
          <w:sz w:val="24"/>
          <w:szCs w:val="24"/>
        </w:rPr>
        <w:t>Elle connaît une évolution</w:t>
      </w:r>
      <w:r w:rsidRPr="002B005F">
        <w:rPr>
          <w:rFonts w:ascii="Times New Roman" w:hAnsi="Times New Roman" w:cs="Times New Roman"/>
          <w:sz w:val="24"/>
          <w:szCs w:val="24"/>
        </w:rPr>
        <w:t xml:space="preserve"> continue </w:t>
      </w:r>
      <w:r w:rsidR="00F36CDC">
        <w:rPr>
          <w:rFonts w:ascii="Times New Roman" w:hAnsi="Times New Roman" w:cs="Times New Roman"/>
          <w:sz w:val="24"/>
          <w:szCs w:val="24"/>
        </w:rPr>
        <w:t>dans</w:t>
      </w:r>
      <w:r w:rsidRPr="002B005F">
        <w:rPr>
          <w:rFonts w:ascii="Times New Roman" w:hAnsi="Times New Roman" w:cs="Times New Roman"/>
          <w:sz w:val="24"/>
          <w:szCs w:val="24"/>
        </w:rPr>
        <w:t xml:space="preserve"> le monde pour les </w:t>
      </w:r>
      <w:r w:rsidR="00F36CDC">
        <w:rPr>
          <w:rFonts w:ascii="Times New Roman" w:hAnsi="Times New Roman" w:cs="Times New Roman"/>
          <w:sz w:val="24"/>
          <w:szCs w:val="24"/>
        </w:rPr>
        <w:t>avantages</w:t>
      </w:r>
      <w:r w:rsidRPr="002B005F">
        <w:rPr>
          <w:rFonts w:ascii="Times New Roman" w:hAnsi="Times New Roman" w:cs="Times New Roman"/>
          <w:sz w:val="24"/>
          <w:szCs w:val="24"/>
        </w:rPr>
        <w:t xml:space="preserve"> qu’elle </w:t>
      </w:r>
      <w:r w:rsidR="00F36CDC">
        <w:rPr>
          <w:rFonts w:ascii="Times New Roman" w:hAnsi="Times New Roman" w:cs="Times New Roman"/>
          <w:sz w:val="24"/>
          <w:szCs w:val="24"/>
        </w:rPr>
        <w:t>engendre. Nous remarquons que</w:t>
      </w:r>
      <w:r w:rsidRPr="002B005F">
        <w:rPr>
          <w:rFonts w:ascii="Times New Roman" w:hAnsi="Times New Roman" w:cs="Times New Roman"/>
          <w:sz w:val="24"/>
          <w:szCs w:val="24"/>
        </w:rPr>
        <w:t xml:space="preserve"> plusieurs pays non musulmans </w:t>
      </w:r>
      <w:r w:rsidR="00F36CDC">
        <w:rPr>
          <w:rFonts w:ascii="Times New Roman" w:hAnsi="Times New Roman" w:cs="Times New Roman"/>
          <w:sz w:val="24"/>
          <w:szCs w:val="24"/>
        </w:rPr>
        <w:t xml:space="preserve">et institutions financières internationales non islamiques </w:t>
      </w:r>
      <w:r w:rsidRPr="002B005F">
        <w:rPr>
          <w:rFonts w:ascii="Times New Roman" w:hAnsi="Times New Roman" w:cs="Times New Roman"/>
          <w:sz w:val="24"/>
          <w:szCs w:val="24"/>
        </w:rPr>
        <w:t xml:space="preserve">portent un intérêt </w:t>
      </w:r>
      <w:r w:rsidR="00F36CDC">
        <w:rPr>
          <w:rFonts w:ascii="Times New Roman" w:hAnsi="Times New Roman" w:cs="Times New Roman"/>
          <w:sz w:val="24"/>
          <w:szCs w:val="24"/>
        </w:rPr>
        <w:t>réel</w:t>
      </w:r>
      <w:r w:rsidRPr="002B005F">
        <w:rPr>
          <w:rFonts w:ascii="Times New Roman" w:hAnsi="Times New Roman" w:cs="Times New Roman"/>
          <w:sz w:val="24"/>
          <w:szCs w:val="24"/>
        </w:rPr>
        <w:t xml:space="preserve"> à cette finance.</w:t>
      </w:r>
    </w:p>
    <w:p w14:paraId="67B9FFA2" w14:textId="47116786" w:rsidR="001D32EA" w:rsidRPr="002B005F" w:rsidRDefault="002F1F64" w:rsidP="00D645C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Une panoplie d’instruments financiers vient enrichir la finance </w:t>
      </w:r>
      <w:r w:rsidR="00AA222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Effectivement, comme nous avons pu le constater dans ce chapitre, la finance </w:t>
      </w:r>
      <w:r w:rsidR="00AA222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offre plusieurs</w:t>
      </w:r>
      <w:r w:rsidR="00F36CDC">
        <w:rPr>
          <w:rFonts w:ascii="Times New Roman" w:hAnsi="Times New Roman" w:cs="Times New Roman"/>
          <w:sz w:val="24"/>
          <w:szCs w:val="24"/>
        </w:rPr>
        <w:t xml:space="preserve"> formules</w:t>
      </w:r>
      <w:r w:rsidRPr="002B005F">
        <w:rPr>
          <w:rFonts w:ascii="Times New Roman" w:hAnsi="Times New Roman" w:cs="Times New Roman"/>
          <w:sz w:val="24"/>
          <w:szCs w:val="24"/>
        </w:rPr>
        <w:t xml:space="preserve"> de type participatif ou non participatif (basé sur les dettes) </w:t>
      </w:r>
      <w:r w:rsidR="00F36CDC">
        <w:rPr>
          <w:rFonts w:ascii="Times New Roman" w:hAnsi="Times New Roman" w:cs="Times New Roman"/>
          <w:sz w:val="24"/>
          <w:szCs w:val="24"/>
        </w:rPr>
        <w:t xml:space="preserve">ainsi qu’en matière </w:t>
      </w:r>
      <w:r w:rsidRPr="002B005F">
        <w:rPr>
          <w:rFonts w:ascii="Times New Roman" w:hAnsi="Times New Roman" w:cs="Times New Roman"/>
          <w:sz w:val="24"/>
          <w:szCs w:val="24"/>
        </w:rPr>
        <w:t xml:space="preserve">de gestion d’actifs. Cependant, les banques </w:t>
      </w:r>
      <w:r w:rsidR="00AA222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font recours excessivement aux modes de financement basés sur les dettes</w:t>
      </w:r>
      <w:r w:rsidR="00F36CDC">
        <w:rPr>
          <w:rFonts w:ascii="Times New Roman" w:hAnsi="Times New Roman" w:cs="Times New Roman"/>
          <w:sz w:val="24"/>
          <w:szCs w:val="24"/>
        </w:rPr>
        <w:t xml:space="preserve"> notamment</w:t>
      </w:r>
      <w:r w:rsidRPr="002B005F">
        <w:rPr>
          <w:rFonts w:ascii="Times New Roman" w:hAnsi="Times New Roman" w:cs="Times New Roman"/>
          <w:sz w:val="24"/>
          <w:szCs w:val="24"/>
        </w:rPr>
        <w:t xml:space="preserve"> </w:t>
      </w:r>
      <w:r w:rsidR="00F36CDC">
        <w:rPr>
          <w:rFonts w:ascii="Times New Roman" w:hAnsi="Times New Roman" w:cs="Times New Roman"/>
          <w:sz w:val="24"/>
          <w:szCs w:val="24"/>
        </w:rPr>
        <w:t xml:space="preserve">la </w:t>
      </w:r>
      <w:r w:rsidRPr="002B005F">
        <w:rPr>
          <w:rFonts w:ascii="Times New Roman" w:hAnsi="Times New Roman" w:cs="Times New Roman"/>
          <w:i/>
          <w:iCs/>
          <w:sz w:val="24"/>
          <w:szCs w:val="24"/>
        </w:rPr>
        <w:t>mourabaha</w:t>
      </w:r>
      <w:r w:rsidRPr="002B005F">
        <w:rPr>
          <w:rFonts w:ascii="Times New Roman" w:hAnsi="Times New Roman" w:cs="Times New Roman"/>
          <w:sz w:val="24"/>
          <w:szCs w:val="24"/>
        </w:rPr>
        <w:t>), à cause du fort degré des risques liés aux modes de financement participatif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et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Dans le chapitre suivant, nous essayerons d’étudier les particularités des modes de financement participatif, les différents risques qu’ils engendrent ainsi que les techniques possibles de leur atténuation.</w:t>
      </w:r>
    </w:p>
    <w:p w14:paraId="1B7160FF" w14:textId="77777777" w:rsidR="00CD7580" w:rsidRDefault="00CD7580" w:rsidP="00D83E25">
      <w:pPr>
        <w:spacing w:before="120" w:after="120" w:line="360" w:lineRule="auto"/>
        <w:jc w:val="center"/>
        <w:rPr>
          <w:rFonts w:ascii="Times New Roman" w:hAnsi="Times New Roman" w:cs="Times New Roman"/>
          <w:smallCaps/>
          <w:spacing w:val="8"/>
          <w:sz w:val="28"/>
          <w:szCs w:val="28"/>
        </w:rPr>
      </w:pPr>
      <w:bookmarkStart w:id="581" w:name="_Toc33263268"/>
      <w:bookmarkStart w:id="582" w:name="_Toc33264113"/>
      <w:bookmarkStart w:id="583" w:name="_Toc37664520"/>
      <w:bookmarkStart w:id="584" w:name="_Toc37666365"/>
      <w:bookmarkStart w:id="585" w:name="_Toc37667315"/>
      <w:bookmarkStart w:id="586" w:name="_Toc54361025"/>
      <w:bookmarkStart w:id="587" w:name="_Toc54361673"/>
      <w:bookmarkStart w:id="588" w:name="_Toc54363254"/>
      <w:bookmarkStart w:id="589" w:name="_Toc57901023"/>
      <w:bookmarkStart w:id="590" w:name="_Toc58261924"/>
      <w:bookmarkStart w:id="591" w:name="_Toc58606264"/>
      <w:bookmarkStart w:id="592" w:name="_Toc61263469"/>
    </w:p>
    <w:p w14:paraId="7E70C64E" w14:textId="77777777" w:rsidR="00892957" w:rsidRDefault="00892957" w:rsidP="00D83E25">
      <w:pPr>
        <w:spacing w:before="120" w:after="120" w:line="360" w:lineRule="auto"/>
        <w:jc w:val="center"/>
        <w:rPr>
          <w:rFonts w:ascii="Times New Roman" w:hAnsi="Times New Roman" w:cs="Times New Roman"/>
          <w:smallCaps/>
          <w:spacing w:val="8"/>
          <w:sz w:val="28"/>
          <w:szCs w:val="28"/>
        </w:rPr>
        <w:sectPr w:rsidR="00892957" w:rsidSect="003010C3">
          <w:footerReference w:type="default" r:id="rId41"/>
          <w:footnotePr>
            <w:numRestart w:val="eachPage"/>
          </w:footnotePr>
          <w:pgSz w:w="11906" w:h="16838" w:code="9"/>
          <w:pgMar w:top="1134" w:right="1134" w:bottom="1134" w:left="1134" w:header="709" w:footer="709" w:gutter="567"/>
          <w:pgNumType w:start="10"/>
          <w:cols w:space="708"/>
          <w:titlePg/>
          <w:docGrid w:linePitch="360"/>
        </w:sectPr>
      </w:pPr>
    </w:p>
    <w:p w14:paraId="47749685" w14:textId="77777777" w:rsidR="00D83E25" w:rsidRPr="002B005F" w:rsidRDefault="00D83E25" w:rsidP="00D83E25">
      <w:pPr>
        <w:spacing w:before="120" w:after="120" w:line="360" w:lineRule="auto"/>
        <w:jc w:val="center"/>
        <w:rPr>
          <w:rFonts w:ascii="Times New Roman" w:hAnsi="Times New Roman" w:cs="Times New Roman"/>
          <w:smallCaps/>
          <w:spacing w:val="8"/>
          <w:sz w:val="28"/>
          <w:szCs w:val="28"/>
        </w:rPr>
      </w:pPr>
    </w:p>
    <w:p w14:paraId="5EBF53A4" w14:textId="77777777" w:rsidR="00D83E25" w:rsidRPr="002B005F" w:rsidRDefault="00D83E25" w:rsidP="00D83E25">
      <w:pPr>
        <w:spacing w:before="120" w:after="120" w:line="360" w:lineRule="auto"/>
        <w:jc w:val="center"/>
        <w:rPr>
          <w:rFonts w:ascii="Times New Roman" w:hAnsi="Times New Roman" w:cs="Times New Roman"/>
          <w:smallCaps/>
          <w:spacing w:val="8"/>
          <w:sz w:val="28"/>
          <w:szCs w:val="28"/>
        </w:rPr>
      </w:pPr>
    </w:p>
    <w:p w14:paraId="6CF8A6EC" w14:textId="77777777" w:rsidR="00D83E25" w:rsidRPr="002B005F" w:rsidRDefault="00D83E25" w:rsidP="00D83E25">
      <w:pPr>
        <w:spacing w:before="120" w:after="120" w:line="360" w:lineRule="auto"/>
        <w:jc w:val="center"/>
        <w:rPr>
          <w:rFonts w:ascii="Times New Roman" w:hAnsi="Times New Roman" w:cs="Times New Roman"/>
          <w:smallCaps/>
          <w:spacing w:val="8"/>
          <w:sz w:val="28"/>
          <w:szCs w:val="28"/>
        </w:rPr>
      </w:pPr>
    </w:p>
    <w:p w14:paraId="1A289E9A" w14:textId="77777777" w:rsidR="00D83E25" w:rsidRPr="002B005F" w:rsidRDefault="00D83E25" w:rsidP="00D83E25">
      <w:pPr>
        <w:spacing w:before="120" w:after="120" w:line="360" w:lineRule="auto"/>
        <w:jc w:val="center"/>
        <w:rPr>
          <w:rFonts w:ascii="Times New Roman" w:hAnsi="Times New Roman" w:cs="Times New Roman"/>
          <w:smallCaps/>
          <w:spacing w:val="8"/>
          <w:sz w:val="28"/>
          <w:szCs w:val="28"/>
        </w:rPr>
      </w:pPr>
    </w:p>
    <w:p w14:paraId="23593EF5" w14:textId="77777777" w:rsidR="00D83E25" w:rsidRPr="002B005F" w:rsidRDefault="00D83E25" w:rsidP="00D83E25">
      <w:pPr>
        <w:spacing w:before="120" w:after="120" w:line="360" w:lineRule="auto"/>
        <w:jc w:val="center"/>
        <w:rPr>
          <w:rFonts w:ascii="Times New Roman" w:hAnsi="Times New Roman" w:cs="Times New Roman"/>
          <w:smallCaps/>
          <w:spacing w:val="8"/>
          <w:sz w:val="28"/>
          <w:szCs w:val="28"/>
        </w:rPr>
      </w:pPr>
    </w:p>
    <w:p w14:paraId="31D0FBA5" w14:textId="77777777" w:rsidR="00D83E25" w:rsidRPr="002B005F" w:rsidRDefault="00D83E25" w:rsidP="00D83E25">
      <w:pPr>
        <w:spacing w:before="120" w:after="120" w:line="360" w:lineRule="auto"/>
        <w:jc w:val="center"/>
        <w:rPr>
          <w:rFonts w:ascii="Times New Roman" w:hAnsi="Times New Roman" w:cs="Times New Roman"/>
          <w:smallCaps/>
          <w:spacing w:val="8"/>
          <w:sz w:val="28"/>
          <w:szCs w:val="28"/>
        </w:rPr>
      </w:pPr>
    </w:p>
    <w:p w14:paraId="3952BD16" w14:textId="77777777" w:rsidR="00D83E25" w:rsidRPr="002B005F" w:rsidRDefault="00D83E25" w:rsidP="00D83E25">
      <w:pPr>
        <w:spacing w:before="120" w:after="120" w:line="360" w:lineRule="auto"/>
        <w:jc w:val="center"/>
        <w:rPr>
          <w:rFonts w:ascii="Times New Roman" w:hAnsi="Times New Roman" w:cs="Times New Roman"/>
          <w:smallCaps/>
          <w:spacing w:val="8"/>
          <w:sz w:val="28"/>
          <w:szCs w:val="28"/>
        </w:rPr>
      </w:pPr>
    </w:p>
    <w:p w14:paraId="362CCE28" w14:textId="77777777" w:rsidR="00D83E25" w:rsidRPr="002B005F" w:rsidRDefault="00D83E25" w:rsidP="00D83E25">
      <w:pPr>
        <w:spacing w:before="120" w:after="120" w:line="360" w:lineRule="auto"/>
        <w:jc w:val="center"/>
        <w:rPr>
          <w:rFonts w:ascii="Times New Roman" w:hAnsi="Times New Roman" w:cs="Times New Roman"/>
          <w:smallCaps/>
          <w:spacing w:val="8"/>
          <w:sz w:val="28"/>
          <w:szCs w:val="28"/>
        </w:rPr>
      </w:pPr>
    </w:p>
    <w:p w14:paraId="6D148C76" w14:textId="77777777" w:rsidR="00C86447" w:rsidRDefault="00C239A1" w:rsidP="0069735E">
      <w:pPr>
        <w:spacing w:after="120" w:line="360" w:lineRule="auto"/>
        <w:jc w:val="center"/>
        <w:rPr>
          <w:rFonts w:asciiTheme="majorBidi" w:hAnsiTheme="majorBidi" w:cstheme="majorBidi"/>
          <w:b/>
          <w:bCs/>
          <w:smallCaps/>
          <w:spacing w:val="40"/>
          <w:sz w:val="56"/>
          <w:szCs w:val="56"/>
        </w:rPr>
      </w:pPr>
      <w:r w:rsidRPr="00611487">
        <w:rPr>
          <w:rFonts w:asciiTheme="majorBidi" w:hAnsiTheme="majorBidi" w:cstheme="majorBidi"/>
          <w:b/>
          <w:bCs/>
          <w:smallCaps/>
          <w:spacing w:val="40"/>
          <w:sz w:val="56"/>
          <w:szCs w:val="56"/>
        </w:rPr>
        <w:t>Chapitre II-</w:t>
      </w:r>
    </w:p>
    <w:p w14:paraId="35F2766B" w14:textId="77777777" w:rsidR="0069735E" w:rsidRDefault="00A71551" w:rsidP="0069735E">
      <w:pPr>
        <w:spacing w:after="120" w:line="360" w:lineRule="auto"/>
        <w:jc w:val="center"/>
        <w:rPr>
          <w:rFonts w:asciiTheme="majorBidi" w:hAnsiTheme="majorBidi" w:cstheme="majorBidi"/>
          <w:b/>
          <w:bCs/>
          <w:smallCaps/>
          <w:spacing w:val="40"/>
          <w:sz w:val="56"/>
          <w:szCs w:val="56"/>
        </w:rPr>
      </w:pPr>
      <w:r w:rsidRPr="00611487">
        <w:rPr>
          <w:rFonts w:asciiTheme="majorBidi" w:hAnsiTheme="majorBidi" w:cstheme="majorBidi"/>
          <w:b/>
          <w:bCs/>
          <w:smallCaps/>
          <w:spacing w:val="40"/>
          <w:sz w:val="56"/>
          <w:szCs w:val="56"/>
        </w:rPr>
        <w:t>Gestion des risques</w:t>
      </w:r>
    </w:p>
    <w:p w14:paraId="6FEDB436" w14:textId="1E8B4C6C" w:rsidR="0059612D" w:rsidRPr="00611487" w:rsidRDefault="0069735E" w:rsidP="0069735E">
      <w:pPr>
        <w:spacing w:after="120" w:line="360" w:lineRule="auto"/>
        <w:jc w:val="center"/>
        <w:rPr>
          <w:rFonts w:asciiTheme="majorBidi" w:hAnsiTheme="majorBidi" w:cstheme="majorBidi"/>
          <w:b/>
          <w:bCs/>
          <w:smallCaps/>
          <w:spacing w:val="40"/>
          <w:sz w:val="56"/>
          <w:szCs w:val="56"/>
        </w:rPr>
      </w:pPr>
      <w:r>
        <w:rPr>
          <w:rFonts w:asciiTheme="majorBidi" w:hAnsiTheme="majorBidi" w:cstheme="majorBidi"/>
          <w:b/>
          <w:bCs/>
          <w:smallCaps/>
          <w:spacing w:val="40"/>
          <w:sz w:val="56"/>
          <w:szCs w:val="56"/>
        </w:rPr>
        <w:t>dans les</w:t>
      </w:r>
      <w:r w:rsidR="00B2501A" w:rsidRPr="00611487">
        <w:rPr>
          <w:rFonts w:asciiTheme="majorBidi" w:hAnsiTheme="majorBidi" w:cstheme="majorBidi"/>
          <w:b/>
          <w:bCs/>
          <w:smallCaps/>
          <w:spacing w:val="40"/>
          <w:sz w:val="56"/>
          <w:szCs w:val="56"/>
        </w:rPr>
        <w:t xml:space="preserve"> banques </w:t>
      </w:r>
      <w:r w:rsidR="00222D9F" w:rsidRPr="00611487">
        <w:rPr>
          <w:rFonts w:asciiTheme="majorBidi" w:hAnsiTheme="majorBidi" w:cstheme="majorBidi"/>
          <w:b/>
          <w:bCs/>
          <w:smallCaps/>
          <w:spacing w:val="40"/>
          <w:sz w:val="56"/>
          <w:szCs w:val="56"/>
        </w:rPr>
        <w:t>i</w:t>
      </w:r>
      <w:r w:rsidR="003773C6" w:rsidRPr="00611487">
        <w:rPr>
          <w:rFonts w:asciiTheme="majorBidi" w:hAnsiTheme="majorBidi" w:cstheme="majorBidi"/>
          <w:b/>
          <w:bCs/>
          <w:smallCaps/>
          <w:spacing w:val="40"/>
          <w:sz w:val="56"/>
          <w:szCs w:val="56"/>
        </w:rPr>
        <w:t>slamique</w:t>
      </w:r>
      <w:r w:rsidR="00B2501A" w:rsidRPr="00611487">
        <w:rPr>
          <w:rFonts w:asciiTheme="majorBidi" w:hAnsiTheme="majorBidi" w:cstheme="majorBidi"/>
          <w:b/>
          <w:bCs/>
          <w:smallCaps/>
          <w:spacing w:val="40"/>
          <w:sz w:val="56"/>
          <w:szCs w:val="56"/>
        </w:rPr>
        <w:t>s</w:t>
      </w:r>
      <w:bookmarkEnd w:id="581"/>
      <w:bookmarkEnd w:id="582"/>
      <w:bookmarkEnd w:id="583"/>
      <w:bookmarkEnd w:id="584"/>
      <w:bookmarkEnd w:id="585"/>
      <w:bookmarkEnd w:id="586"/>
      <w:bookmarkEnd w:id="587"/>
      <w:bookmarkEnd w:id="588"/>
      <w:bookmarkEnd w:id="589"/>
      <w:bookmarkEnd w:id="590"/>
      <w:bookmarkEnd w:id="591"/>
      <w:bookmarkEnd w:id="592"/>
    </w:p>
    <w:p w14:paraId="0D277A19" w14:textId="5FA1BD38" w:rsidR="0059612D" w:rsidRPr="002B005F" w:rsidRDefault="0059612D">
      <w:pPr>
        <w:rPr>
          <w:rFonts w:ascii="Times New Roman" w:eastAsia="Times New Roman" w:hAnsi="Times New Roman" w:cs="Times New Roman"/>
          <w:b/>
          <w:bCs/>
          <w:smallCaps/>
          <w:kern w:val="36"/>
          <w:sz w:val="56"/>
          <w:szCs w:val="56"/>
          <w:lang w:eastAsia="fr-FR"/>
        </w:rPr>
      </w:pPr>
    </w:p>
    <w:p w14:paraId="3E83DBF0" w14:textId="77777777" w:rsidR="00CD7580" w:rsidRDefault="00CD7580" w:rsidP="00C77CF5">
      <w:pPr>
        <w:tabs>
          <w:tab w:val="left" w:pos="0"/>
        </w:tabs>
        <w:autoSpaceDE w:val="0"/>
        <w:autoSpaceDN w:val="0"/>
        <w:adjustRightInd w:val="0"/>
        <w:spacing w:before="120" w:after="120" w:line="300" w:lineRule="auto"/>
        <w:ind w:firstLine="709"/>
        <w:rPr>
          <w:rFonts w:ascii="Times New Roman" w:hAnsi="Times New Roman" w:cs="Times New Roman"/>
          <w:sz w:val="24"/>
          <w:szCs w:val="24"/>
        </w:rPr>
        <w:sectPr w:rsidR="00CD7580" w:rsidSect="00A772C1">
          <w:footerReference w:type="default" r:id="rId42"/>
          <w:footerReference w:type="first" r:id="rId43"/>
          <w:footnotePr>
            <w:numRestart w:val="eachPage"/>
          </w:footnotePr>
          <w:pgSz w:w="11906" w:h="16838" w:code="9"/>
          <w:pgMar w:top="1134" w:right="1134" w:bottom="1134" w:left="1134" w:header="709" w:footer="709" w:gutter="567"/>
          <w:pgNumType w:start="9"/>
          <w:cols w:space="708"/>
          <w:titlePg/>
          <w:docGrid w:linePitch="360"/>
        </w:sectPr>
      </w:pPr>
    </w:p>
    <w:p w14:paraId="63994B45" w14:textId="63935DC2" w:rsidR="00611487" w:rsidRPr="00611487" w:rsidRDefault="00611487" w:rsidP="0069735E">
      <w:pPr>
        <w:pStyle w:val="Titre1"/>
        <w:spacing w:line="360" w:lineRule="auto"/>
        <w:jc w:val="center"/>
      </w:pPr>
      <w:bookmarkStart w:id="593" w:name="_Toc116257061"/>
      <w:bookmarkStart w:id="594" w:name="_Toc182298698"/>
      <w:bookmarkStart w:id="595" w:name="_Toc182309385"/>
      <w:r w:rsidRPr="00611487">
        <w:lastRenderedPageBreak/>
        <w:t xml:space="preserve">Chapitre II- </w:t>
      </w:r>
      <w:r w:rsidRPr="0069735E">
        <w:rPr>
          <w:rFonts w:ascii="Times New Roman Gras" w:hAnsi="Times New Roman Gras"/>
          <w:smallCaps/>
        </w:rPr>
        <w:t xml:space="preserve">Gestion des risques </w:t>
      </w:r>
      <w:r w:rsidR="0069735E" w:rsidRPr="0069735E">
        <w:rPr>
          <w:rFonts w:ascii="Times New Roman Gras" w:hAnsi="Times New Roman Gras"/>
          <w:smallCaps/>
        </w:rPr>
        <w:t>dans les</w:t>
      </w:r>
      <w:r w:rsidRPr="0069735E">
        <w:rPr>
          <w:rFonts w:ascii="Times New Roman Gras" w:hAnsi="Times New Roman Gras"/>
          <w:smallCaps/>
        </w:rPr>
        <w:t xml:space="preserve"> banques islamiques</w:t>
      </w:r>
      <w:bookmarkEnd w:id="593"/>
      <w:bookmarkEnd w:id="594"/>
      <w:bookmarkEnd w:id="595"/>
    </w:p>
    <w:p w14:paraId="0AE9820B" w14:textId="77777777" w:rsidR="002760B2" w:rsidRPr="002B005F" w:rsidRDefault="002760B2" w:rsidP="002A5BC8">
      <w:pPr>
        <w:tabs>
          <w:tab w:val="left" w:pos="0"/>
        </w:tabs>
        <w:autoSpaceDE w:val="0"/>
        <w:autoSpaceDN w:val="0"/>
        <w:adjustRightInd w:val="0"/>
        <w:spacing w:before="120"/>
        <w:ind w:firstLine="709"/>
        <w:rPr>
          <w:rFonts w:ascii="Times New Roman" w:hAnsi="Times New Roman" w:cs="Times New Roman"/>
          <w:sz w:val="24"/>
          <w:szCs w:val="24"/>
        </w:rPr>
      </w:pPr>
      <w:r w:rsidRPr="002B005F">
        <w:rPr>
          <w:rFonts w:ascii="Times New Roman" w:hAnsi="Times New Roman" w:cs="Times New Roman"/>
          <w:sz w:val="24"/>
          <w:szCs w:val="24"/>
        </w:rPr>
        <w:t xml:space="preserve">Les banques </w:t>
      </w:r>
      <w:r w:rsidR="00966026"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sont parfois confrontées à des risques différents des banques conventionnelles</w:t>
      </w:r>
      <w:r w:rsidR="00611EA9">
        <w:rPr>
          <w:rFonts w:ascii="Times New Roman" w:hAnsi="Times New Roman" w:cs="Times New Roman"/>
          <w:sz w:val="24"/>
          <w:szCs w:val="24"/>
        </w:rPr>
        <w:t>.</w:t>
      </w:r>
      <w:r w:rsidRPr="002B005F">
        <w:rPr>
          <w:rFonts w:ascii="Times New Roman" w:hAnsi="Times New Roman" w:cs="Times New Roman"/>
          <w:sz w:val="24"/>
          <w:szCs w:val="24"/>
        </w:rPr>
        <w:t xml:space="preserve"> Pour survivre et se développer, elles </w:t>
      </w:r>
      <w:r w:rsidRPr="005129AA">
        <w:rPr>
          <w:rFonts w:ascii="Times New Roman" w:hAnsi="Times New Roman" w:cs="Times New Roman"/>
          <w:sz w:val="24"/>
          <w:szCs w:val="24"/>
        </w:rPr>
        <w:t xml:space="preserve">doivent </w:t>
      </w:r>
      <w:r w:rsidR="003B7183" w:rsidRPr="005129AA">
        <w:rPr>
          <w:rFonts w:ascii="Times New Roman" w:hAnsi="Times New Roman" w:cs="Times New Roman"/>
          <w:sz w:val="24"/>
          <w:szCs w:val="24"/>
        </w:rPr>
        <w:t>adopter</w:t>
      </w:r>
      <w:r w:rsidR="003B7183" w:rsidRPr="002B005F">
        <w:rPr>
          <w:rFonts w:ascii="Times New Roman" w:hAnsi="Times New Roman" w:cs="Times New Roman"/>
          <w:sz w:val="24"/>
          <w:szCs w:val="24"/>
        </w:rPr>
        <w:t xml:space="preserve"> </w:t>
      </w:r>
      <w:r w:rsidRPr="00C77CF5">
        <w:rPr>
          <w:rFonts w:ascii="Times New Roman" w:hAnsi="Times New Roman" w:cs="Times New Roman"/>
          <w:sz w:val="24"/>
          <w:szCs w:val="24"/>
        </w:rPr>
        <w:t xml:space="preserve">des </w:t>
      </w:r>
      <w:r w:rsidR="00C77CF5" w:rsidRPr="00C77CF5">
        <w:rPr>
          <w:rFonts w:ascii="Times New Roman" w:hAnsi="Times New Roman" w:cs="Times New Roman"/>
          <w:sz w:val="24"/>
          <w:szCs w:val="24"/>
        </w:rPr>
        <w:t>techniques</w:t>
      </w:r>
      <w:r w:rsidRPr="00C77CF5">
        <w:rPr>
          <w:rFonts w:ascii="Times New Roman" w:hAnsi="Times New Roman" w:cs="Times New Roman"/>
          <w:sz w:val="24"/>
          <w:szCs w:val="24"/>
        </w:rPr>
        <w:t xml:space="preserve"> de gestion d</w:t>
      </w:r>
      <w:r w:rsidRPr="002B005F">
        <w:rPr>
          <w:rFonts w:ascii="Times New Roman" w:hAnsi="Times New Roman" w:cs="Times New Roman"/>
          <w:sz w:val="24"/>
          <w:szCs w:val="24"/>
        </w:rPr>
        <w:t>es risques appropriées sans nécessairement avoir accès à toutes les techniques à la disposition</w:t>
      </w:r>
      <w:r w:rsidR="003303C3" w:rsidRPr="002B005F">
        <w:rPr>
          <w:rFonts w:ascii="Times New Roman" w:hAnsi="Times New Roman" w:cs="Times New Roman"/>
          <w:sz w:val="24"/>
          <w:szCs w:val="24"/>
        </w:rPr>
        <w:t xml:space="preserve"> des banques conventionnelles. </w:t>
      </w:r>
      <w:r w:rsidRPr="00C77CF5">
        <w:rPr>
          <w:rFonts w:ascii="Times New Roman" w:hAnsi="Times New Roman" w:cs="Times New Roman"/>
          <w:sz w:val="24"/>
          <w:szCs w:val="24"/>
        </w:rPr>
        <w:t>Du fait des contraintes éthiques,</w:t>
      </w:r>
      <w:r w:rsidRPr="002B005F">
        <w:rPr>
          <w:rFonts w:ascii="Times New Roman" w:hAnsi="Times New Roman" w:cs="Times New Roman"/>
          <w:sz w:val="24"/>
          <w:szCs w:val="24"/>
        </w:rPr>
        <w:t xml:space="preserve"> leur exposition aux risques traditionnels (marché, crédit, opérationnel) est différente de celle des banques conventionnelles. Les banques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font face également à de nouveaux risques </w:t>
      </w:r>
      <w:r w:rsidRPr="003F501F">
        <w:rPr>
          <w:rFonts w:ascii="Times New Roman" w:hAnsi="Times New Roman" w:cs="Times New Roman"/>
          <w:sz w:val="24"/>
          <w:szCs w:val="24"/>
        </w:rPr>
        <w:t xml:space="preserve">spécifiques </w:t>
      </w:r>
      <w:r w:rsidR="00D822DE" w:rsidRPr="003F501F">
        <w:rPr>
          <w:rFonts w:ascii="Times New Roman" w:hAnsi="Times New Roman" w:cs="Times New Roman"/>
          <w:sz w:val="24"/>
          <w:szCs w:val="24"/>
        </w:rPr>
        <w:t>dus</w:t>
      </w:r>
      <w:r w:rsidRPr="003F501F">
        <w:rPr>
          <w:rFonts w:ascii="Times New Roman" w:hAnsi="Times New Roman" w:cs="Times New Roman"/>
          <w:sz w:val="24"/>
          <w:szCs w:val="24"/>
        </w:rPr>
        <w:t xml:space="preserve"> à leurs modes de fonctionnement particulier.</w:t>
      </w:r>
    </w:p>
    <w:p w14:paraId="3B2E89A8" w14:textId="77777777" w:rsidR="002760B2" w:rsidRPr="002B005F" w:rsidRDefault="002760B2" w:rsidP="002A5BC8">
      <w:pPr>
        <w:tabs>
          <w:tab w:val="left" w:pos="0"/>
        </w:tabs>
        <w:autoSpaceDE w:val="0"/>
        <w:autoSpaceDN w:val="0"/>
        <w:adjustRightInd w:val="0"/>
        <w:spacing w:before="120"/>
        <w:ind w:firstLine="709"/>
        <w:rPr>
          <w:rFonts w:ascii="Times New Roman" w:hAnsi="Times New Roman" w:cs="Times New Roman"/>
          <w:sz w:val="24"/>
          <w:szCs w:val="24"/>
        </w:rPr>
      </w:pPr>
      <w:r w:rsidRPr="002B005F">
        <w:rPr>
          <w:rFonts w:ascii="Times New Roman" w:hAnsi="Times New Roman" w:cs="Times New Roman"/>
          <w:sz w:val="24"/>
          <w:szCs w:val="24"/>
        </w:rPr>
        <w:t xml:space="preserve">Dans le chapitre précédent, nous avons passé en revue les différents concepts de base liés à l’industrie bancaire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Au cours de ce chapitre, nous analysons les principaux risques encourus par les banques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et les différentes techniques de leur atténuation. Dans un premier temps</w:t>
      </w:r>
      <w:r w:rsidR="005129AA">
        <w:rPr>
          <w:rFonts w:ascii="Times New Roman" w:hAnsi="Times New Roman" w:cs="Times New Roman"/>
          <w:sz w:val="24"/>
          <w:szCs w:val="24"/>
        </w:rPr>
        <w:t>,</w:t>
      </w:r>
      <w:r w:rsidRPr="002B005F">
        <w:rPr>
          <w:rFonts w:ascii="Times New Roman" w:hAnsi="Times New Roman" w:cs="Times New Roman"/>
          <w:sz w:val="24"/>
          <w:szCs w:val="24"/>
        </w:rPr>
        <w:t xml:space="preserve"> nous présentons une vue générale des concepts de risque, des normes et des techniques de gestion des risques tels qu’ils existent dans la finance conventionnelle. En second lieu, nous analysons les risques de nature unique relatifs à l’industrie des services bancaires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et leurs modes de gestion.</w:t>
      </w:r>
    </w:p>
    <w:p w14:paraId="0363CB93" w14:textId="77777777" w:rsidR="002760B2" w:rsidRPr="005F0BAD" w:rsidRDefault="0004035B" w:rsidP="002A5BC8">
      <w:pPr>
        <w:pStyle w:val="Titre2"/>
        <w:keepNext w:val="0"/>
        <w:spacing w:before="100" w:beforeAutospacing="1" w:after="120" w:line="276" w:lineRule="auto"/>
        <w:ind w:firstLine="709"/>
        <w:rPr>
          <w:i w:val="0"/>
          <w:iCs w:val="0"/>
          <w:sz w:val="28"/>
        </w:rPr>
      </w:pPr>
      <w:bookmarkStart w:id="596" w:name="_Toc33263270"/>
      <w:bookmarkStart w:id="597" w:name="_Toc33264114"/>
      <w:bookmarkStart w:id="598" w:name="_Toc37664521"/>
      <w:bookmarkStart w:id="599" w:name="_Toc37666366"/>
      <w:bookmarkStart w:id="600" w:name="_Toc37667316"/>
      <w:bookmarkStart w:id="601" w:name="_Toc54361026"/>
      <w:bookmarkStart w:id="602" w:name="_Toc54361674"/>
      <w:bookmarkStart w:id="603" w:name="_Toc54363255"/>
      <w:bookmarkStart w:id="604" w:name="_Toc57901024"/>
      <w:bookmarkStart w:id="605" w:name="_Toc58261925"/>
      <w:bookmarkStart w:id="606" w:name="_Toc58606265"/>
      <w:bookmarkStart w:id="607" w:name="_Toc61263470"/>
      <w:bookmarkStart w:id="608" w:name="_Toc116257062"/>
      <w:bookmarkStart w:id="609" w:name="_Toc182298699"/>
      <w:bookmarkStart w:id="610" w:name="_Toc182309386"/>
      <w:r w:rsidRPr="005F0BAD">
        <w:rPr>
          <w:i w:val="0"/>
          <w:iCs w:val="0"/>
          <w:sz w:val="28"/>
        </w:rPr>
        <w:t xml:space="preserve">Section I- </w:t>
      </w:r>
      <w:r w:rsidR="002760B2" w:rsidRPr="005F0BAD">
        <w:rPr>
          <w:i w:val="0"/>
          <w:iCs w:val="0"/>
          <w:sz w:val="28"/>
        </w:rPr>
        <w:t>Genèse de la gestion des risques financiers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26857C34" w14:textId="77777777" w:rsidR="002760B2" w:rsidRPr="009E3134" w:rsidRDefault="002760B2" w:rsidP="002A5BC8">
      <w:pPr>
        <w:widowControl w:val="0"/>
        <w:tabs>
          <w:tab w:val="left" w:pos="0"/>
        </w:tabs>
        <w:autoSpaceDE w:val="0"/>
        <w:autoSpaceDN w:val="0"/>
        <w:adjustRightInd w:val="0"/>
        <w:spacing w:before="120" w:after="120" w:line="300" w:lineRule="auto"/>
        <w:ind w:firstLine="709"/>
        <w:rPr>
          <w:rFonts w:ascii="Times New Roman" w:hAnsi="Times New Roman" w:cs="Times New Roman"/>
          <w:spacing w:val="-6"/>
          <w:sz w:val="24"/>
          <w:szCs w:val="24"/>
        </w:rPr>
      </w:pPr>
      <w:r w:rsidRPr="009E3134">
        <w:rPr>
          <w:rFonts w:ascii="Times New Roman" w:hAnsi="Times New Roman" w:cs="Times New Roman"/>
          <w:spacing w:val="-6"/>
          <w:sz w:val="24"/>
          <w:szCs w:val="24"/>
        </w:rPr>
        <w:t xml:space="preserve">Durant le dernier siècle, le management de risques a connu un développement sans précédent. Beaucoup de chercheurs se sont penchés sur la problématique du risque, afin d'essayer d'en comprendre le comportement, les sources et l'impact. Dans cette section, nous allons discuter des concepts de base liés aux risques. Après avoir défini le risque, nous décrivons son environnement ainsi que son évolution. Ensuite, </w:t>
      </w:r>
      <w:r w:rsidR="003F501F" w:rsidRPr="009E3134">
        <w:rPr>
          <w:rFonts w:ascii="Times New Roman" w:hAnsi="Times New Roman" w:cs="Times New Roman"/>
          <w:spacing w:val="-6"/>
          <w:sz w:val="24"/>
          <w:szCs w:val="24"/>
        </w:rPr>
        <w:t>nous</w:t>
      </w:r>
      <w:r w:rsidRPr="009E3134">
        <w:rPr>
          <w:rFonts w:ascii="Times New Roman" w:hAnsi="Times New Roman" w:cs="Times New Roman"/>
          <w:spacing w:val="-6"/>
          <w:sz w:val="24"/>
          <w:szCs w:val="24"/>
        </w:rPr>
        <w:t xml:space="preserve"> présenter</w:t>
      </w:r>
      <w:r w:rsidR="003F501F" w:rsidRPr="009E3134">
        <w:rPr>
          <w:rFonts w:ascii="Times New Roman" w:hAnsi="Times New Roman" w:cs="Times New Roman"/>
          <w:spacing w:val="-6"/>
          <w:sz w:val="24"/>
          <w:szCs w:val="24"/>
        </w:rPr>
        <w:t>ons</w:t>
      </w:r>
      <w:r w:rsidRPr="009E3134">
        <w:rPr>
          <w:rFonts w:ascii="Times New Roman" w:hAnsi="Times New Roman" w:cs="Times New Roman"/>
          <w:spacing w:val="-6"/>
          <w:sz w:val="24"/>
          <w:szCs w:val="24"/>
        </w:rPr>
        <w:t xml:space="preserve"> les différents types de risques encourus par les institutions financières et l’histoire de la gestion des risques.</w:t>
      </w:r>
    </w:p>
    <w:p w14:paraId="69FA9A66" w14:textId="77777777" w:rsidR="002760B2" w:rsidRPr="005F0BAD" w:rsidRDefault="00AA2221" w:rsidP="002A5BC8">
      <w:pPr>
        <w:pStyle w:val="Titre3"/>
        <w:keepNext w:val="0"/>
        <w:keepLines w:val="0"/>
        <w:spacing w:before="100" w:beforeAutospacing="1" w:line="300" w:lineRule="auto"/>
        <w:ind w:firstLine="709"/>
        <w:rPr>
          <w:sz w:val="28"/>
          <w:szCs w:val="28"/>
        </w:rPr>
      </w:pPr>
      <w:bookmarkStart w:id="611" w:name="_Toc33263271"/>
      <w:bookmarkStart w:id="612" w:name="_Toc37664522"/>
      <w:bookmarkStart w:id="613" w:name="_Toc37666367"/>
      <w:bookmarkStart w:id="614" w:name="_Toc54363256"/>
      <w:bookmarkStart w:id="615" w:name="_Toc58606266"/>
      <w:bookmarkStart w:id="616" w:name="_Toc61263471"/>
      <w:bookmarkStart w:id="617" w:name="_Toc182298700"/>
      <w:r w:rsidRPr="005F0BAD">
        <w:rPr>
          <w:sz w:val="28"/>
          <w:szCs w:val="28"/>
        </w:rPr>
        <w:t xml:space="preserve">1.1- </w:t>
      </w:r>
      <w:r w:rsidR="002760B2" w:rsidRPr="005F0BAD">
        <w:rPr>
          <w:sz w:val="28"/>
          <w:szCs w:val="28"/>
        </w:rPr>
        <w:t>Définition et évolution des risques financiers</w:t>
      </w:r>
      <w:bookmarkEnd w:id="611"/>
      <w:bookmarkEnd w:id="612"/>
      <w:bookmarkEnd w:id="613"/>
      <w:bookmarkEnd w:id="614"/>
      <w:bookmarkEnd w:id="615"/>
      <w:bookmarkEnd w:id="616"/>
      <w:bookmarkEnd w:id="617"/>
    </w:p>
    <w:p w14:paraId="4E022E25" w14:textId="77777777" w:rsidR="002760B2" w:rsidRPr="009E3134" w:rsidRDefault="002760B2" w:rsidP="002A5BC8">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9E3134">
        <w:rPr>
          <w:rFonts w:ascii="Times New Roman" w:hAnsi="Times New Roman" w:cs="Times New Roman"/>
          <w:sz w:val="24"/>
          <w:szCs w:val="24"/>
        </w:rPr>
        <w:t>Le risque est inhérent à l'entreprise. Il a toujours existé</w:t>
      </w:r>
      <w:r w:rsidR="005129AA" w:rsidRPr="009E3134">
        <w:rPr>
          <w:rFonts w:ascii="Times New Roman" w:hAnsi="Times New Roman" w:cs="Times New Roman"/>
          <w:sz w:val="24"/>
          <w:szCs w:val="24"/>
        </w:rPr>
        <w:t> ;</w:t>
      </w:r>
      <w:r w:rsidRPr="009E3134">
        <w:rPr>
          <w:rFonts w:ascii="Times New Roman" w:hAnsi="Times New Roman" w:cs="Times New Roman"/>
          <w:sz w:val="24"/>
          <w:szCs w:val="24"/>
        </w:rPr>
        <w:t xml:space="preserve"> </w:t>
      </w:r>
      <w:r w:rsidR="005129AA" w:rsidRPr="009E3134">
        <w:rPr>
          <w:rFonts w:ascii="Times New Roman" w:hAnsi="Times New Roman" w:cs="Times New Roman"/>
          <w:sz w:val="24"/>
          <w:szCs w:val="24"/>
        </w:rPr>
        <w:t>il</w:t>
      </w:r>
      <w:r w:rsidRPr="009E3134">
        <w:rPr>
          <w:rFonts w:ascii="Times New Roman" w:hAnsi="Times New Roman" w:cs="Times New Roman"/>
          <w:sz w:val="24"/>
          <w:szCs w:val="24"/>
        </w:rPr>
        <w:t xml:space="preserve"> constitue d'après les économistes, son essence. Créer une entreprise, c'est déjà prendre un risque. Sa survie n'est jamais assurée.</w:t>
      </w:r>
    </w:p>
    <w:p w14:paraId="44B11B48" w14:textId="77777777" w:rsidR="002760B2" w:rsidRPr="00A72C6C" w:rsidRDefault="00AA2221" w:rsidP="00D66FFE">
      <w:pPr>
        <w:pStyle w:val="Titre4"/>
        <w:keepNext w:val="0"/>
        <w:spacing w:before="120" w:after="120" w:line="300" w:lineRule="auto"/>
        <w:ind w:firstLine="709"/>
      </w:pPr>
      <w:bookmarkStart w:id="618" w:name="_Toc33263272"/>
      <w:bookmarkStart w:id="619" w:name="_Toc37664523"/>
      <w:bookmarkStart w:id="620" w:name="_Toc37666368"/>
      <w:bookmarkStart w:id="621" w:name="_Toc54363257"/>
      <w:bookmarkStart w:id="622" w:name="_Toc58606267"/>
      <w:bookmarkStart w:id="623" w:name="_Toc61263472"/>
      <w:bookmarkStart w:id="624" w:name="_Toc182298701"/>
      <w:r w:rsidRPr="00A72C6C">
        <w:t xml:space="preserve">1.1.1- </w:t>
      </w:r>
      <w:r w:rsidR="002760B2" w:rsidRPr="00A72C6C">
        <w:t>Définition du risque</w:t>
      </w:r>
      <w:bookmarkEnd w:id="618"/>
      <w:bookmarkEnd w:id="619"/>
      <w:bookmarkEnd w:id="620"/>
      <w:bookmarkEnd w:id="621"/>
      <w:bookmarkEnd w:id="622"/>
      <w:bookmarkEnd w:id="623"/>
      <w:bookmarkEnd w:id="624"/>
    </w:p>
    <w:p w14:paraId="59706AD4" w14:textId="77777777" w:rsidR="002760B2" w:rsidRPr="002B005F" w:rsidRDefault="002760B2" w:rsidP="002A5BC8">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Il est très difficile de définir de façon générale la notion du risque. Ce dernier se manifeste lorsqu'il y a possibilité à plus d'une issue</w:t>
      </w:r>
      <w:r w:rsidR="005129AA">
        <w:rPr>
          <w:rFonts w:ascii="Times New Roman" w:hAnsi="Times New Roman" w:cs="Times New Roman"/>
          <w:sz w:val="24"/>
          <w:szCs w:val="24"/>
        </w:rPr>
        <w:t> ;</w:t>
      </w:r>
      <w:r w:rsidRPr="002B005F">
        <w:rPr>
          <w:rFonts w:ascii="Times New Roman" w:hAnsi="Times New Roman" w:cs="Times New Roman"/>
          <w:sz w:val="24"/>
          <w:szCs w:val="24"/>
        </w:rPr>
        <w:t xml:space="preserve"> l'issue finale </w:t>
      </w:r>
      <w:r w:rsidRPr="003F501F">
        <w:rPr>
          <w:rFonts w:ascii="Times New Roman" w:hAnsi="Times New Roman" w:cs="Times New Roman"/>
          <w:sz w:val="24"/>
          <w:szCs w:val="24"/>
        </w:rPr>
        <w:t>n'</w:t>
      </w:r>
      <w:r w:rsidR="005129AA" w:rsidRPr="003F501F">
        <w:rPr>
          <w:rFonts w:ascii="Times New Roman" w:hAnsi="Times New Roman" w:cs="Times New Roman"/>
          <w:sz w:val="24"/>
          <w:szCs w:val="24"/>
        </w:rPr>
        <w:t>é</w:t>
      </w:r>
      <w:r w:rsidRPr="003F501F">
        <w:rPr>
          <w:rFonts w:ascii="Times New Roman" w:hAnsi="Times New Roman" w:cs="Times New Roman"/>
          <w:sz w:val="24"/>
          <w:szCs w:val="24"/>
        </w:rPr>
        <w:t>t</w:t>
      </w:r>
      <w:r w:rsidR="005129AA" w:rsidRPr="003F501F">
        <w:rPr>
          <w:rFonts w:ascii="Times New Roman" w:hAnsi="Times New Roman" w:cs="Times New Roman"/>
          <w:sz w:val="24"/>
          <w:szCs w:val="24"/>
        </w:rPr>
        <w:t>ant</w:t>
      </w:r>
      <w:r w:rsidRPr="002B005F">
        <w:rPr>
          <w:rFonts w:ascii="Times New Roman" w:hAnsi="Times New Roman" w:cs="Times New Roman"/>
          <w:sz w:val="24"/>
          <w:szCs w:val="24"/>
        </w:rPr>
        <w:t xml:space="preserve"> pas connue.</w:t>
      </w:r>
    </w:p>
    <w:p w14:paraId="48BF2068" w14:textId="77777777" w:rsidR="002760B2" w:rsidRPr="002B005F" w:rsidRDefault="002760B2" w:rsidP="002A5BC8">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Selon </w:t>
      </w:r>
      <w:r w:rsidRPr="002B005F">
        <w:rPr>
          <w:rFonts w:ascii="Times New Roman" w:hAnsi="Times New Roman" w:cs="Times New Roman"/>
          <w:smallCaps/>
          <w:color w:val="000000" w:themeColor="text1"/>
          <w:sz w:val="24"/>
          <w:szCs w:val="24"/>
        </w:rPr>
        <w:t>Jorion</w:t>
      </w:r>
      <w:r w:rsidRPr="002B005F">
        <w:rPr>
          <w:rFonts w:ascii="Times New Roman" w:hAnsi="Times New Roman" w:cs="Times New Roman"/>
          <w:color w:val="000000" w:themeColor="text1"/>
          <w:sz w:val="24"/>
          <w:szCs w:val="24"/>
        </w:rPr>
        <w:t xml:space="preserve"> et </w:t>
      </w:r>
      <w:r w:rsidRPr="002B005F">
        <w:rPr>
          <w:rFonts w:ascii="Times New Roman" w:hAnsi="Times New Roman" w:cs="Times New Roman"/>
          <w:smallCaps/>
          <w:color w:val="000000" w:themeColor="text1"/>
          <w:sz w:val="24"/>
          <w:szCs w:val="24"/>
        </w:rPr>
        <w:t>Khoury</w:t>
      </w:r>
      <w:r w:rsidRPr="002B005F">
        <w:rPr>
          <w:rFonts w:ascii="Times New Roman" w:hAnsi="Times New Roman" w:cs="Times New Roman"/>
          <w:color w:val="000000" w:themeColor="text1"/>
          <w:sz w:val="24"/>
          <w:szCs w:val="24"/>
        </w:rPr>
        <w:t xml:space="preserve"> (1996), </w:t>
      </w:r>
      <w:r w:rsidRPr="002B005F">
        <w:rPr>
          <w:rFonts w:ascii="Times New Roman" w:hAnsi="Times New Roman" w:cs="Times New Roman"/>
          <w:sz w:val="24"/>
          <w:szCs w:val="24"/>
        </w:rPr>
        <w:t>le risque est</w:t>
      </w:r>
      <w:r w:rsidR="005129AA">
        <w:rPr>
          <w:rFonts w:ascii="Times New Roman" w:hAnsi="Times New Roman" w:cs="Times New Roman"/>
          <w:sz w:val="24"/>
          <w:szCs w:val="24"/>
        </w:rPr>
        <w:t> :</w:t>
      </w:r>
      <w:r w:rsidRPr="002B005F">
        <w:rPr>
          <w:rFonts w:ascii="Times New Roman" w:hAnsi="Times New Roman" w:cs="Times New Roman"/>
          <w:sz w:val="24"/>
          <w:szCs w:val="24"/>
        </w:rPr>
        <w:t xml:space="preserve"> « </w:t>
      </w:r>
      <w:r w:rsidRPr="002B005F">
        <w:rPr>
          <w:rFonts w:ascii="Times New Roman" w:hAnsi="Times New Roman" w:cs="Times New Roman"/>
          <w:i/>
          <w:iCs/>
          <w:sz w:val="24"/>
          <w:szCs w:val="24"/>
        </w:rPr>
        <w:t>la variabilité ou la volatilité d'une issue imprévue</w:t>
      </w:r>
      <w:r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176"/>
      </w:r>
      <w:r w:rsidRPr="002B005F">
        <w:rPr>
          <w:rFonts w:ascii="Times New Roman" w:hAnsi="Times New Roman" w:cs="Times New Roman"/>
          <w:sz w:val="24"/>
          <w:szCs w:val="24"/>
        </w:rPr>
        <w:t>.</w:t>
      </w:r>
    </w:p>
    <w:p w14:paraId="674B0401" w14:textId="6DEB7C74" w:rsidR="002760B2" w:rsidRPr="002B005F" w:rsidRDefault="00573A7E" w:rsidP="002A5BC8">
      <w:pPr>
        <w:widowControl w:val="0"/>
        <w:tabs>
          <w:tab w:val="left" w:pos="0"/>
          <w:tab w:val="left" w:pos="709"/>
        </w:tabs>
        <w:autoSpaceDE w:val="0"/>
        <w:autoSpaceDN w:val="0"/>
        <w:adjustRightInd w:val="0"/>
        <w:spacing w:before="120" w:line="300" w:lineRule="auto"/>
        <w:ind w:firstLine="709"/>
        <w:rPr>
          <w:rFonts w:ascii="Times New Roman" w:hAnsi="Times New Roman" w:cs="Times New Roman"/>
          <w:sz w:val="24"/>
          <w:szCs w:val="24"/>
        </w:rPr>
      </w:pPr>
      <w:r w:rsidRPr="003F501F">
        <w:rPr>
          <w:rFonts w:ascii="Times New Roman" w:hAnsi="Times New Roman" w:cs="Times New Roman"/>
          <w:sz w:val="24"/>
          <w:szCs w:val="24"/>
        </w:rPr>
        <w:t>Quant</w:t>
      </w:r>
      <w:r w:rsidR="005129AA" w:rsidRPr="005129AA">
        <w:rPr>
          <w:rFonts w:ascii="Times New Roman" w:hAnsi="Times New Roman" w:cs="Times New Roman"/>
          <w:sz w:val="24"/>
          <w:szCs w:val="24"/>
        </w:rPr>
        <w:t xml:space="preserve"> à</w:t>
      </w:r>
      <w:r w:rsidR="005129AA">
        <w:rPr>
          <w:rFonts w:ascii="Times New Roman" w:hAnsi="Times New Roman" w:cs="Times New Roman"/>
          <w:smallCaps/>
          <w:sz w:val="24"/>
          <w:szCs w:val="24"/>
        </w:rPr>
        <w:t xml:space="preserve"> </w:t>
      </w:r>
      <w:r w:rsidR="002760B2" w:rsidRPr="002B005F">
        <w:rPr>
          <w:rFonts w:ascii="Times New Roman" w:hAnsi="Times New Roman" w:cs="Times New Roman"/>
          <w:smallCaps/>
          <w:sz w:val="24"/>
          <w:szCs w:val="24"/>
        </w:rPr>
        <w:t>Vaughan</w:t>
      </w:r>
      <w:r w:rsidR="002760B2" w:rsidRPr="002B005F">
        <w:rPr>
          <w:rFonts w:ascii="Times New Roman" w:hAnsi="Times New Roman" w:cs="Times New Roman"/>
          <w:sz w:val="24"/>
          <w:szCs w:val="24"/>
        </w:rPr>
        <w:t xml:space="preserve"> (1997)</w:t>
      </w:r>
      <w:r>
        <w:rPr>
          <w:rFonts w:ascii="Times New Roman" w:hAnsi="Times New Roman" w:cs="Times New Roman"/>
          <w:sz w:val="24"/>
          <w:szCs w:val="24"/>
        </w:rPr>
        <w:t>,</w:t>
      </w:r>
      <w:r w:rsidR="00F15E38" w:rsidRPr="002B005F">
        <w:rPr>
          <w:rFonts w:ascii="Times New Roman" w:hAnsi="Times New Roman" w:cs="Times New Roman"/>
          <w:sz w:val="24"/>
          <w:szCs w:val="24"/>
        </w:rPr>
        <w:t xml:space="preserve"> </w:t>
      </w:r>
      <w:r w:rsidRPr="003F501F">
        <w:rPr>
          <w:rFonts w:ascii="Times New Roman" w:hAnsi="Times New Roman" w:cs="Times New Roman"/>
          <w:sz w:val="24"/>
          <w:szCs w:val="24"/>
        </w:rPr>
        <w:t>il</w:t>
      </w:r>
      <w:r w:rsidR="00F15E38" w:rsidRPr="003F501F">
        <w:rPr>
          <w:rFonts w:ascii="Times New Roman" w:hAnsi="Times New Roman" w:cs="Times New Roman"/>
          <w:sz w:val="24"/>
          <w:szCs w:val="24"/>
        </w:rPr>
        <w:t xml:space="preserve"> </w:t>
      </w:r>
      <w:r w:rsidRPr="003F501F">
        <w:rPr>
          <w:rFonts w:ascii="Times New Roman" w:hAnsi="Times New Roman" w:cs="Times New Roman"/>
          <w:sz w:val="24"/>
          <w:szCs w:val="24"/>
        </w:rPr>
        <w:t>affirme</w:t>
      </w:r>
      <w:r>
        <w:rPr>
          <w:rFonts w:ascii="Times New Roman" w:hAnsi="Times New Roman" w:cs="Times New Roman"/>
          <w:sz w:val="24"/>
          <w:szCs w:val="24"/>
        </w:rPr>
        <w:t xml:space="preserve"> qu’</w:t>
      </w:r>
      <w:r w:rsidR="002760B2" w:rsidRPr="002B005F">
        <w:rPr>
          <w:rFonts w:ascii="Times New Roman" w:hAnsi="Times New Roman" w:cs="Times New Roman"/>
          <w:sz w:val="24"/>
          <w:szCs w:val="24"/>
        </w:rPr>
        <w:t>« </w:t>
      </w:r>
      <w:r w:rsidR="002760B2" w:rsidRPr="002B005F">
        <w:rPr>
          <w:rFonts w:ascii="Times New Roman" w:hAnsi="Times New Roman" w:cs="Times New Roman"/>
          <w:i/>
          <w:iCs/>
          <w:sz w:val="24"/>
          <w:szCs w:val="24"/>
        </w:rPr>
        <w:t>Un risque financier implique une relation entre un individu (ou une organisation) et un actif (ou un objectif de revenu) qui peut être perdu ou endommagé</w:t>
      </w:r>
      <w:r w:rsidR="002760B2" w:rsidRPr="002B005F">
        <w:rPr>
          <w:rFonts w:ascii="Times New Roman" w:hAnsi="Times New Roman" w:cs="Times New Roman"/>
          <w:sz w:val="24"/>
          <w:szCs w:val="24"/>
        </w:rPr>
        <w:t> »</w:t>
      </w:r>
      <w:r w:rsidR="002760B2" w:rsidRPr="002B005F">
        <w:rPr>
          <w:rStyle w:val="Appelnotedebasdep"/>
          <w:rFonts w:ascii="Times New Roman" w:hAnsi="Times New Roman"/>
          <w:sz w:val="24"/>
          <w:szCs w:val="24"/>
        </w:rPr>
        <w:footnoteReference w:id="177"/>
      </w:r>
      <w:r w:rsidR="002760B2" w:rsidRPr="002B005F">
        <w:rPr>
          <w:rFonts w:ascii="Times New Roman" w:hAnsi="Times New Roman" w:cs="Times New Roman"/>
          <w:sz w:val="24"/>
          <w:szCs w:val="24"/>
        </w:rPr>
        <w:t>.</w:t>
      </w:r>
    </w:p>
    <w:p w14:paraId="43E58C7B" w14:textId="77777777" w:rsidR="002760B2" w:rsidRPr="00802D3F" w:rsidRDefault="002760B2" w:rsidP="003F501F">
      <w:pPr>
        <w:widowControl w:val="0"/>
        <w:tabs>
          <w:tab w:val="left" w:pos="0"/>
        </w:tabs>
        <w:autoSpaceDE w:val="0"/>
        <w:autoSpaceDN w:val="0"/>
        <w:adjustRightInd w:val="0"/>
        <w:spacing w:before="120" w:after="120" w:line="300" w:lineRule="auto"/>
        <w:ind w:firstLine="709"/>
        <w:rPr>
          <w:rFonts w:ascii="Times New Roman" w:hAnsi="Times New Roman" w:cs="Times New Roman"/>
          <w:spacing w:val="4"/>
          <w:sz w:val="24"/>
          <w:szCs w:val="24"/>
        </w:rPr>
      </w:pPr>
      <w:r w:rsidRPr="00802D3F">
        <w:rPr>
          <w:rFonts w:ascii="Times New Roman" w:hAnsi="Times New Roman" w:cs="Times New Roman"/>
          <w:spacing w:val="4"/>
          <w:sz w:val="24"/>
          <w:szCs w:val="24"/>
        </w:rPr>
        <w:lastRenderedPageBreak/>
        <w:t xml:space="preserve">Donc, </w:t>
      </w:r>
      <w:r w:rsidR="003F501F" w:rsidRPr="00802D3F">
        <w:rPr>
          <w:rFonts w:ascii="Times New Roman" w:hAnsi="Times New Roman" w:cs="Times New Roman"/>
          <w:spacing w:val="4"/>
          <w:sz w:val="24"/>
          <w:szCs w:val="24"/>
        </w:rPr>
        <w:t>nous pouvons</w:t>
      </w:r>
      <w:r w:rsidRPr="00802D3F">
        <w:rPr>
          <w:rFonts w:ascii="Times New Roman" w:hAnsi="Times New Roman" w:cs="Times New Roman"/>
          <w:spacing w:val="4"/>
          <w:sz w:val="24"/>
          <w:szCs w:val="24"/>
        </w:rPr>
        <w:t xml:space="preserve"> dire que le risque financier est un phénomène aléatoire lié à une situation où le futur n'est prévisible qu'avec des probabilités par opposition, d'une part, à l'incertitude qui correspond à un futur imprévisible et</w:t>
      </w:r>
      <w:r w:rsidR="00B06383" w:rsidRPr="00802D3F">
        <w:rPr>
          <w:rFonts w:ascii="Times New Roman" w:hAnsi="Times New Roman" w:cs="Times New Roman"/>
          <w:spacing w:val="4"/>
          <w:sz w:val="24"/>
          <w:szCs w:val="24"/>
        </w:rPr>
        <w:t>,</w:t>
      </w:r>
      <w:r w:rsidRPr="00802D3F">
        <w:rPr>
          <w:rFonts w:ascii="Times New Roman" w:hAnsi="Times New Roman" w:cs="Times New Roman"/>
          <w:spacing w:val="4"/>
          <w:sz w:val="24"/>
          <w:szCs w:val="24"/>
        </w:rPr>
        <w:t xml:space="preserve"> d'autre part, à la certitude qui permet une prédiction.</w:t>
      </w:r>
    </w:p>
    <w:p w14:paraId="584B16A9" w14:textId="77777777" w:rsidR="002760B2" w:rsidRPr="00802D3F" w:rsidRDefault="00AA2221" w:rsidP="00D66FFE">
      <w:pPr>
        <w:pStyle w:val="Titre4"/>
        <w:keepNext w:val="0"/>
        <w:spacing w:before="120" w:after="120" w:line="300" w:lineRule="auto"/>
        <w:ind w:firstLine="709"/>
      </w:pPr>
      <w:bookmarkStart w:id="625" w:name="_Toc33263273"/>
      <w:bookmarkStart w:id="626" w:name="_Toc37664524"/>
      <w:bookmarkStart w:id="627" w:name="_Toc37666369"/>
      <w:bookmarkStart w:id="628" w:name="_Toc54363258"/>
      <w:bookmarkStart w:id="629" w:name="_Toc58606268"/>
      <w:bookmarkStart w:id="630" w:name="_Toc61263473"/>
      <w:bookmarkStart w:id="631" w:name="_Toc182298702"/>
      <w:r w:rsidRPr="00802D3F">
        <w:t xml:space="preserve">1.1.2- </w:t>
      </w:r>
      <w:r w:rsidR="000E34D9" w:rsidRPr="00802D3F">
        <w:t xml:space="preserve">Environnement et </w:t>
      </w:r>
      <w:r w:rsidR="002760B2" w:rsidRPr="00802D3F">
        <w:t>évolution des risques financiers</w:t>
      </w:r>
      <w:bookmarkEnd w:id="625"/>
      <w:bookmarkEnd w:id="626"/>
      <w:bookmarkEnd w:id="627"/>
      <w:bookmarkEnd w:id="628"/>
      <w:bookmarkEnd w:id="629"/>
      <w:bookmarkEnd w:id="630"/>
      <w:bookmarkEnd w:id="631"/>
    </w:p>
    <w:p w14:paraId="53B13247" w14:textId="77777777" w:rsidR="002760B2" w:rsidRPr="00802D3F" w:rsidRDefault="002760B2" w:rsidP="00F81DAC">
      <w:pPr>
        <w:widowControl w:val="0"/>
        <w:tabs>
          <w:tab w:val="left" w:pos="0"/>
        </w:tabs>
        <w:autoSpaceDE w:val="0"/>
        <w:autoSpaceDN w:val="0"/>
        <w:adjustRightInd w:val="0"/>
        <w:spacing w:before="120" w:after="120" w:line="300" w:lineRule="auto"/>
        <w:ind w:firstLine="709"/>
        <w:rPr>
          <w:rFonts w:ascii="Times New Roman" w:hAnsi="Times New Roman" w:cs="Times New Roman"/>
          <w:b/>
          <w:bCs/>
          <w:i/>
          <w:iCs/>
          <w:spacing w:val="4"/>
          <w:sz w:val="24"/>
          <w:szCs w:val="24"/>
        </w:rPr>
      </w:pPr>
      <w:r w:rsidRPr="00802D3F">
        <w:rPr>
          <w:rFonts w:ascii="Times New Roman" w:hAnsi="Times New Roman" w:cs="Times New Roman"/>
          <w:spacing w:val="4"/>
          <w:sz w:val="24"/>
          <w:szCs w:val="24"/>
        </w:rPr>
        <w:t>L'univers des risques financiers bénéficie d'une actualité particulièrement riche depuis la fin des années 1990. Le risque n'est plus un élément intangible dont l'appréciation est qualitative. Il devient un objet spécifique, mesurable et quantifiable</w:t>
      </w:r>
      <w:r w:rsidR="00B06383" w:rsidRPr="00802D3F">
        <w:rPr>
          <w:rFonts w:ascii="Times New Roman" w:hAnsi="Times New Roman" w:cs="Times New Roman"/>
          <w:spacing w:val="4"/>
          <w:sz w:val="24"/>
          <w:szCs w:val="24"/>
        </w:rPr>
        <w:t xml:space="preserve"> voire</w:t>
      </w:r>
      <w:r w:rsidRPr="00802D3F">
        <w:rPr>
          <w:rFonts w:ascii="Times New Roman" w:hAnsi="Times New Roman" w:cs="Times New Roman"/>
          <w:spacing w:val="4"/>
          <w:sz w:val="24"/>
          <w:szCs w:val="24"/>
        </w:rPr>
        <w:t xml:space="preserve"> un facteur de performance.</w:t>
      </w:r>
    </w:p>
    <w:p w14:paraId="4FE2A250" w14:textId="77777777" w:rsidR="002760B2" w:rsidRPr="005F0BAD" w:rsidRDefault="002760B2" w:rsidP="00F81DAC">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5F0BAD">
        <w:rPr>
          <w:rFonts w:ascii="Times New Roman" w:hAnsi="Times New Roman" w:cs="Times New Roman"/>
          <w:sz w:val="24"/>
          <w:szCs w:val="24"/>
        </w:rPr>
        <w:t>Il existe plusieurs étapes de l'évolution des risques financiers pour aboutir à la situation d'aujourd'hui où la nécessité de mesurer les risques et de les contrôler est devenue une évidence. Dans les débuts des années 70, le secteur financier était réglementé et ses activités d'intermédiation bien connues</w:t>
      </w:r>
      <w:r w:rsidR="00B06383" w:rsidRPr="005F0BAD">
        <w:rPr>
          <w:rFonts w:ascii="Times New Roman" w:hAnsi="Times New Roman" w:cs="Times New Roman"/>
          <w:sz w:val="24"/>
          <w:szCs w:val="24"/>
        </w:rPr>
        <w:t>.</w:t>
      </w:r>
      <w:r w:rsidRPr="005F0BAD">
        <w:rPr>
          <w:rFonts w:ascii="Times New Roman" w:hAnsi="Times New Roman" w:cs="Times New Roman"/>
          <w:sz w:val="24"/>
          <w:szCs w:val="24"/>
        </w:rPr>
        <w:t xml:space="preserve"> </w:t>
      </w:r>
      <w:r w:rsidR="00B06383" w:rsidRPr="005F0BAD">
        <w:rPr>
          <w:rFonts w:ascii="Times New Roman" w:hAnsi="Times New Roman" w:cs="Times New Roman"/>
          <w:sz w:val="24"/>
          <w:szCs w:val="24"/>
        </w:rPr>
        <w:t>Les</w:t>
      </w:r>
      <w:r w:rsidRPr="005F0BAD">
        <w:rPr>
          <w:rFonts w:ascii="Times New Roman" w:hAnsi="Times New Roman" w:cs="Times New Roman"/>
          <w:sz w:val="24"/>
          <w:szCs w:val="24"/>
        </w:rPr>
        <w:t xml:space="preserve"> risques étaient acceptables et la concurrence relativement modérée. Les autorités de tutelle avaient instauré des règles de prudence qui réduisaient les marges de manœuvre des opérateurs et limitaient leurs risques.</w:t>
      </w:r>
    </w:p>
    <w:p w14:paraId="4479ACB5" w14:textId="77777777" w:rsidR="002760B2" w:rsidRPr="005F0BAD" w:rsidRDefault="002760B2" w:rsidP="00F81DAC">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5F0BAD">
        <w:rPr>
          <w:rFonts w:ascii="Times New Roman" w:hAnsi="Times New Roman" w:cs="Times New Roman"/>
          <w:sz w:val="24"/>
          <w:szCs w:val="24"/>
        </w:rPr>
        <w:t>Les années 80 ont été caractérisées p</w:t>
      </w:r>
      <w:r w:rsidR="000E34D9" w:rsidRPr="005F0BAD">
        <w:rPr>
          <w:rFonts w:ascii="Times New Roman" w:hAnsi="Times New Roman" w:cs="Times New Roman"/>
          <w:sz w:val="24"/>
          <w:szCs w:val="24"/>
        </w:rPr>
        <w:t>ar trois mutations financières ;</w:t>
      </w:r>
      <w:r w:rsidRPr="005F0BAD">
        <w:rPr>
          <w:rFonts w:ascii="Times New Roman" w:hAnsi="Times New Roman" w:cs="Times New Roman"/>
          <w:sz w:val="24"/>
          <w:szCs w:val="24"/>
        </w:rPr>
        <w:t xml:space="preserve"> l'instabilité des marchés financiers, la déréglementation et l'accroissement de la concurrence. Ceci a créé de nombreuses opportunités de prises de risques. A partir des années 2000, les métamorphoses du système financier ont accéléré le rythme d'évolution des risques. Si</w:t>
      </w:r>
      <w:r w:rsidR="00DA1072" w:rsidRPr="005F0BAD">
        <w:rPr>
          <w:rFonts w:ascii="Times New Roman" w:hAnsi="Times New Roman" w:cs="Times New Roman"/>
          <w:sz w:val="24"/>
          <w:szCs w:val="24"/>
        </w:rPr>
        <w:t>,</w:t>
      </w:r>
      <w:r w:rsidRPr="005F0BAD">
        <w:rPr>
          <w:rFonts w:ascii="Times New Roman" w:hAnsi="Times New Roman" w:cs="Times New Roman"/>
          <w:sz w:val="24"/>
          <w:szCs w:val="24"/>
        </w:rPr>
        <w:t xml:space="preserve"> auparavant, les banques conservaient les crédits qu'elles accordaient, aujourd'hui</w:t>
      </w:r>
      <w:r w:rsidR="00DA1072" w:rsidRPr="005F0BAD">
        <w:rPr>
          <w:rFonts w:ascii="Times New Roman" w:hAnsi="Times New Roman" w:cs="Times New Roman"/>
          <w:sz w:val="24"/>
          <w:szCs w:val="24"/>
        </w:rPr>
        <w:t>,</w:t>
      </w:r>
      <w:r w:rsidRPr="005F0BAD">
        <w:rPr>
          <w:rFonts w:ascii="Times New Roman" w:hAnsi="Times New Roman" w:cs="Times New Roman"/>
          <w:sz w:val="24"/>
          <w:szCs w:val="24"/>
        </w:rPr>
        <w:t xml:space="preserve"> elles externalisent, regroupent et revendent les risques et créances en recourant à la technique de titrisation et d'autres instruments financiers complexes très risqués</w:t>
      </w:r>
      <w:r w:rsidR="00DA1072" w:rsidRPr="005F0BAD">
        <w:rPr>
          <w:rFonts w:ascii="Times New Roman" w:hAnsi="Times New Roman" w:cs="Times New Roman"/>
          <w:sz w:val="24"/>
          <w:szCs w:val="24"/>
        </w:rPr>
        <w:t>. Cette situation</w:t>
      </w:r>
      <w:r w:rsidRPr="005F0BAD">
        <w:rPr>
          <w:rFonts w:ascii="Times New Roman" w:hAnsi="Times New Roman" w:cs="Times New Roman"/>
          <w:sz w:val="24"/>
          <w:szCs w:val="24"/>
        </w:rPr>
        <w:t xml:space="preserve"> déstabilise le système financier et provoque les crises financières</w:t>
      </w:r>
      <w:r w:rsidR="000908ED" w:rsidRPr="005F0BAD">
        <w:rPr>
          <w:rFonts w:ascii="Times New Roman" w:hAnsi="Times New Roman" w:cs="Times New Roman"/>
          <w:sz w:val="24"/>
          <w:szCs w:val="24"/>
        </w:rPr>
        <w:t> ;</w:t>
      </w:r>
      <w:r w:rsidRPr="005F0BAD">
        <w:rPr>
          <w:rFonts w:ascii="Times New Roman" w:hAnsi="Times New Roman" w:cs="Times New Roman"/>
          <w:sz w:val="24"/>
          <w:szCs w:val="24"/>
        </w:rPr>
        <w:t xml:space="preserve"> c'est le cas de la crise des "</w:t>
      </w:r>
      <w:r w:rsidRPr="005F0BAD">
        <w:rPr>
          <w:rFonts w:ascii="Times New Roman" w:hAnsi="Times New Roman" w:cs="Times New Roman"/>
          <w:i/>
          <w:iCs/>
          <w:sz w:val="24"/>
          <w:szCs w:val="24"/>
        </w:rPr>
        <w:t>Subprimes</w:t>
      </w:r>
      <w:r w:rsidRPr="005F0BAD">
        <w:rPr>
          <w:rFonts w:ascii="Times New Roman" w:hAnsi="Times New Roman" w:cs="Times New Roman"/>
          <w:sz w:val="24"/>
          <w:szCs w:val="24"/>
        </w:rPr>
        <w:t>"</w:t>
      </w:r>
      <w:r w:rsidR="00D822DE" w:rsidRPr="005F0BAD">
        <w:rPr>
          <w:rFonts w:ascii="Times New Roman" w:hAnsi="Times New Roman" w:cs="Times New Roman"/>
          <w:sz w:val="24"/>
          <w:szCs w:val="24"/>
        </w:rPr>
        <w:t xml:space="preserve"> de 2008</w:t>
      </w:r>
      <w:r w:rsidRPr="005F0BAD">
        <w:rPr>
          <w:rFonts w:ascii="Times New Roman" w:hAnsi="Times New Roman" w:cs="Times New Roman"/>
          <w:sz w:val="24"/>
          <w:szCs w:val="24"/>
        </w:rPr>
        <w:t>.</w:t>
      </w:r>
    </w:p>
    <w:p w14:paraId="0AE366D6" w14:textId="7F30B4DD" w:rsidR="002760B2" w:rsidRPr="00802D3F" w:rsidRDefault="002760B2" w:rsidP="00F81DAC">
      <w:pPr>
        <w:widowControl w:val="0"/>
        <w:tabs>
          <w:tab w:val="left" w:pos="0"/>
        </w:tabs>
        <w:autoSpaceDE w:val="0"/>
        <w:autoSpaceDN w:val="0"/>
        <w:adjustRightInd w:val="0"/>
        <w:spacing w:before="120" w:after="120" w:line="300" w:lineRule="auto"/>
        <w:ind w:firstLine="709"/>
        <w:rPr>
          <w:rFonts w:ascii="Times New Roman" w:hAnsi="Times New Roman" w:cs="Times New Roman"/>
          <w:spacing w:val="4"/>
          <w:sz w:val="24"/>
          <w:szCs w:val="24"/>
        </w:rPr>
      </w:pPr>
      <w:r w:rsidRPr="00802D3F">
        <w:rPr>
          <w:rFonts w:ascii="Times New Roman" w:hAnsi="Times New Roman" w:cs="Times New Roman"/>
          <w:spacing w:val="4"/>
          <w:sz w:val="24"/>
          <w:szCs w:val="24"/>
        </w:rPr>
        <w:t xml:space="preserve">Dans ce contexte, les banques et les autres institutions financières ne doivent pas gérer les risques par la suppression simple et nette de l'ensemble des risques encourus, mais plutôt par la détermination d'un niveau de risque tolérable. </w:t>
      </w:r>
      <w:r w:rsidR="009D76FC" w:rsidRPr="00802D3F">
        <w:rPr>
          <w:rFonts w:ascii="Times New Roman" w:hAnsi="Times New Roman" w:cs="Times New Roman"/>
          <w:spacing w:val="4"/>
          <w:sz w:val="24"/>
          <w:szCs w:val="24"/>
        </w:rPr>
        <w:t>E</w:t>
      </w:r>
      <w:r w:rsidRPr="00802D3F">
        <w:rPr>
          <w:rFonts w:ascii="Times New Roman" w:hAnsi="Times New Roman" w:cs="Times New Roman"/>
          <w:spacing w:val="4"/>
          <w:sz w:val="24"/>
          <w:szCs w:val="24"/>
        </w:rPr>
        <w:t>lles doivent chercher à maximiser leurs profits sans dépasser ce niveau en termes d'exposition.</w:t>
      </w:r>
    </w:p>
    <w:p w14:paraId="50ECD35E" w14:textId="77777777" w:rsidR="002760B2" w:rsidRPr="00802D3F" w:rsidRDefault="002760B2" w:rsidP="00F81DAC">
      <w:pPr>
        <w:widowControl w:val="0"/>
        <w:tabs>
          <w:tab w:val="left" w:pos="0"/>
        </w:tabs>
        <w:autoSpaceDE w:val="0"/>
        <w:autoSpaceDN w:val="0"/>
        <w:adjustRightInd w:val="0"/>
        <w:spacing w:before="120" w:after="120" w:line="300" w:lineRule="auto"/>
        <w:ind w:firstLine="709"/>
        <w:rPr>
          <w:rFonts w:ascii="Times New Roman" w:hAnsi="Times New Roman" w:cs="Times New Roman"/>
          <w:spacing w:val="4"/>
          <w:sz w:val="24"/>
          <w:szCs w:val="24"/>
        </w:rPr>
      </w:pPr>
      <w:r w:rsidRPr="00802D3F">
        <w:rPr>
          <w:rFonts w:ascii="Times New Roman" w:hAnsi="Times New Roman" w:cs="Times New Roman"/>
          <w:spacing w:val="4"/>
          <w:sz w:val="24"/>
          <w:szCs w:val="24"/>
        </w:rPr>
        <w:t>Pour ceci, il est nécessaire d'identifier et d'évaluer ces risques financiers afin d'en atténuer l'impact. Avant de discuter les différentes techniques de gestion des risques, nous présentons une vue d'ensemble des risques encourus par les institutions financières.</w:t>
      </w:r>
    </w:p>
    <w:p w14:paraId="28759CC2" w14:textId="77777777" w:rsidR="002760B2" w:rsidRPr="009827C7" w:rsidRDefault="00AA2221" w:rsidP="00D66FFE">
      <w:pPr>
        <w:pStyle w:val="Titre3"/>
        <w:keepNext w:val="0"/>
        <w:keepLines w:val="0"/>
        <w:spacing w:before="100" w:beforeAutospacing="1" w:after="100" w:afterAutospacing="1"/>
        <w:ind w:firstLine="709"/>
        <w:rPr>
          <w:sz w:val="28"/>
          <w:szCs w:val="28"/>
        </w:rPr>
      </w:pPr>
      <w:bookmarkStart w:id="632" w:name="_Toc33263274"/>
      <w:bookmarkStart w:id="633" w:name="_Toc37664525"/>
      <w:bookmarkStart w:id="634" w:name="_Toc37666370"/>
      <w:bookmarkStart w:id="635" w:name="_Toc54363259"/>
      <w:bookmarkStart w:id="636" w:name="_Toc58606269"/>
      <w:bookmarkStart w:id="637" w:name="_Toc61263474"/>
      <w:bookmarkStart w:id="638" w:name="_Toc182298703"/>
      <w:r w:rsidRPr="009827C7">
        <w:rPr>
          <w:sz w:val="28"/>
          <w:szCs w:val="28"/>
        </w:rPr>
        <w:t xml:space="preserve">1.2- </w:t>
      </w:r>
      <w:r w:rsidR="000E34D9" w:rsidRPr="009827C7">
        <w:rPr>
          <w:sz w:val="28"/>
          <w:szCs w:val="28"/>
        </w:rPr>
        <w:t>R</w:t>
      </w:r>
      <w:r w:rsidR="002760B2" w:rsidRPr="009827C7">
        <w:rPr>
          <w:sz w:val="28"/>
          <w:szCs w:val="28"/>
        </w:rPr>
        <w:t>isques encourus par les institutions financières</w:t>
      </w:r>
      <w:bookmarkEnd w:id="632"/>
      <w:bookmarkEnd w:id="633"/>
      <w:bookmarkEnd w:id="634"/>
      <w:bookmarkEnd w:id="635"/>
      <w:bookmarkEnd w:id="636"/>
      <w:bookmarkEnd w:id="637"/>
      <w:bookmarkEnd w:id="638"/>
    </w:p>
    <w:p w14:paraId="430B8FA0" w14:textId="77777777" w:rsidR="002760B2" w:rsidRPr="009827C7" w:rsidRDefault="002760B2" w:rsidP="00D66FFE">
      <w:pPr>
        <w:widowControl w:val="0"/>
        <w:tabs>
          <w:tab w:val="left" w:pos="0"/>
        </w:tabs>
        <w:autoSpaceDE w:val="0"/>
        <w:autoSpaceDN w:val="0"/>
        <w:adjustRightInd w:val="0"/>
        <w:spacing w:before="120" w:after="120" w:line="300" w:lineRule="auto"/>
        <w:ind w:firstLine="709"/>
        <w:rPr>
          <w:rFonts w:ascii="Times New Roman" w:hAnsi="Times New Roman" w:cs="Times New Roman"/>
          <w:spacing w:val="-2"/>
          <w:sz w:val="24"/>
          <w:szCs w:val="24"/>
        </w:rPr>
      </w:pPr>
      <w:r w:rsidRPr="009827C7">
        <w:rPr>
          <w:rFonts w:ascii="Times New Roman" w:hAnsi="Times New Roman" w:cs="Times New Roman"/>
          <w:spacing w:val="-2"/>
          <w:sz w:val="24"/>
          <w:szCs w:val="24"/>
        </w:rPr>
        <w:t>Les risques encourus par les institutions financières</w:t>
      </w:r>
      <w:r w:rsidR="009D76FC" w:rsidRPr="009827C7">
        <w:rPr>
          <w:rFonts w:ascii="Times New Roman" w:hAnsi="Times New Roman" w:cs="Times New Roman"/>
          <w:spacing w:val="-2"/>
          <w:sz w:val="24"/>
          <w:szCs w:val="24"/>
        </w:rPr>
        <w:t>,</w:t>
      </w:r>
      <w:r w:rsidRPr="009827C7">
        <w:rPr>
          <w:rFonts w:ascii="Times New Roman" w:hAnsi="Times New Roman" w:cs="Times New Roman"/>
          <w:spacing w:val="-2"/>
          <w:sz w:val="24"/>
          <w:szCs w:val="24"/>
        </w:rPr>
        <w:t xml:space="preserve"> principalement les banques</w:t>
      </w:r>
      <w:r w:rsidR="009D76FC" w:rsidRPr="009827C7">
        <w:rPr>
          <w:rFonts w:ascii="Times New Roman" w:hAnsi="Times New Roman" w:cs="Times New Roman"/>
          <w:spacing w:val="-2"/>
          <w:sz w:val="24"/>
          <w:szCs w:val="24"/>
        </w:rPr>
        <w:t>,</w:t>
      </w:r>
      <w:r w:rsidRPr="009827C7">
        <w:rPr>
          <w:rFonts w:ascii="Times New Roman" w:hAnsi="Times New Roman" w:cs="Times New Roman"/>
          <w:spacing w:val="-2"/>
          <w:sz w:val="24"/>
          <w:szCs w:val="24"/>
        </w:rPr>
        <w:t xml:space="preserve"> peuvent être partagés en risques financiers et risques non financiers. Les risques financiers comprennent les risques de marché et les risques de crédit, alors que les risques non financiers peuvent être partagés en risques opérationnels, risques de régulation et risque</w:t>
      </w:r>
      <w:r w:rsidR="003F501F" w:rsidRPr="009827C7">
        <w:rPr>
          <w:rFonts w:ascii="Times New Roman" w:hAnsi="Times New Roman" w:cs="Times New Roman"/>
          <w:spacing w:val="-2"/>
          <w:sz w:val="24"/>
          <w:szCs w:val="24"/>
        </w:rPr>
        <w:t>s</w:t>
      </w:r>
      <w:r w:rsidRPr="009827C7">
        <w:rPr>
          <w:rFonts w:ascii="Times New Roman" w:hAnsi="Times New Roman" w:cs="Times New Roman"/>
          <w:spacing w:val="-2"/>
          <w:sz w:val="24"/>
          <w:szCs w:val="24"/>
        </w:rPr>
        <w:t xml:space="preserve"> d'ordre juridique.</w:t>
      </w:r>
    </w:p>
    <w:p w14:paraId="2D91BC1A" w14:textId="77777777" w:rsidR="002760B2" w:rsidRPr="002A5BC8" w:rsidRDefault="00AA2221" w:rsidP="002A5BC8">
      <w:pPr>
        <w:pStyle w:val="Titre4"/>
        <w:spacing w:before="120" w:after="120" w:line="300" w:lineRule="auto"/>
        <w:ind w:firstLine="709"/>
        <w:rPr>
          <w:kern w:val="24"/>
        </w:rPr>
      </w:pPr>
      <w:bookmarkStart w:id="639" w:name="_Toc33263275"/>
      <w:bookmarkStart w:id="640" w:name="_Toc37664526"/>
      <w:bookmarkStart w:id="641" w:name="_Toc37666371"/>
      <w:bookmarkStart w:id="642" w:name="_Toc54363260"/>
      <w:bookmarkStart w:id="643" w:name="_Toc58606270"/>
      <w:bookmarkStart w:id="644" w:name="_Toc61263475"/>
      <w:bookmarkStart w:id="645" w:name="_Toc182298704"/>
      <w:r w:rsidRPr="002A5BC8">
        <w:rPr>
          <w:kern w:val="24"/>
        </w:rPr>
        <w:lastRenderedPageBreak/>
        <w:t xml:space="preserve">1.2.1- </w:t>
      </w:r>
      <w:r w:rsidR="002760B2" w:rsidRPr="002A5BC8">
        <w:rPr>
          <w:kern w:val="24"/>
        </w:rPr>
        <w:t>Risque de marché</w:t>
      </w:r>
      <w:bookmarkEnd w:id="639"/>
      <w:bookmarkEnd w:id="640"/>
      <w:bookmarkEnd w:id="641"/>
      <w:bookmarkEnd w:id="642"/>
      <w:bookmarkEnd w:id="643"/>
      <w:bookmarkEnd w:id="644"/>
      <w:bookmarkEnd w:id="645"/>
    </w:p>
    <w:p w14:paraId="4AE9F627" w14:textId="77777777" w:rsidR="002760B2" w:rsidRPr="002A5BC8" w:rsidRDefault="002760B2" w:rsidP="002A5BC8">
      <w:pPr>
        <w:keepNext/>
        <w:tabs>
          <w:tab w:val="left" w:pos="0"/>
        </w:tabs>
        <w:autoSpaceDE w:val="0"/>
        <w:autoSpaceDN w:val="0"/>
        <w:adjustRightInd w:val="0"/>
        <w:spacing w:before="120"/>
        <w:ind w:firstLine="709"/>
        <w:rPr>
          <w:rFonts w:ascii="Times New Roman" w:hAnsi="Times New Roman" w:cs="Times New Roman"/>
          <w:color w:val="000000" w:themeColor="text1"/>
          <w:kern w:val="24"/>
          <w:sz w:val="24"/>
          <w:szCs w:val="24"/>
        </w:rPr>
      </w:pPr>
      <w:r w:rsidRPr="002A5BC8">
        <w:rPr>
          <w:rFonts w:ascii="Times New Roman" w:hAnsi="Times New Roman" w:cs="Times New Roman"/>
          <w:kern w:val="24"/>
          <w:sz w:val="24"/>
          <w:szCs w:val="24"/>
        </w:rPr>
        <w:t>Ce risque est lié aux variations des prix de marché. Il correspond à l'exposition d'une banque à une perte de la valeur de ses instruments financiers suite à une variation défavorable des cours des actions, des obligations, des taux d'intérêt ou encore des taux de change</w:t>
      </w:r>
      <w:r w:rsidRPr="002A5BC8">
        <w:rPr>
          <w:rStyle w:val="Appelnotedebasdep"/>
          <w:rFonts w:ascii="Times New Roman" w:hAnsi="Times New Roman"/>
          <w:kern w:val="24"/>
          <w:sz w:val="24"/>
          <w:szCs w:val="24"/>
        </w:rPr>
        <w:footnoteReference w:id="178"/>
      </w:r>
      <w:r w:rsidRPr="002A5BC8">
        <w:rPr>
          <w:rFonts w:ascii="Times New Roman" w:hAnsi="Times New Roman" w:cs="Times New Roman"/>
          <w:color w:val="000000" w:themeColor="text1"/>
          <w:kern w:val="24"/>
          <w:sz w:val="24"/>
          <w:szCs w:val="24"/>
        </w:rPr>
        <w:t>.</w:t>
      </w:r>
    </w:p>
    <w:p w14:paraId="0C9525AA" w14:textId="77777777" w:rsidR="002760B2" w:rsidRPr="002A5BC8" w:rsidRDefault="002760B2" w:rsidP="002A5BC8">
      <w:pPr>
        <w:widowControl w:val="0"/>
        <w:tabs>
          <w:tab w:val="left" w:pos="0"/>
        </w:tabs>
        <w:autoSpaceDE w:val="0"/>
        <w:autoSpaceDN w:val="0"/>
        <w:adjustRightInd w:val="0"/>
        <w:spacing w:before="120"/>
        <w:ind w:firstLine="709"/>
        <w:rPr>
          <w:rFonts w:ascii="Times New Roman" w:hAnsi="Times New Roman" w:cs="Times New Roman"/>
          <w:kern w:val="24"/>
          <w:sz w:val="24"/>
          <w:szCs w:val="24"/>
        </w:rPr>
      </w:pPr>
      <w:r w:rsidRPr="002A5BC8">
        <w:rPr>
          <w:rFonts w:ascii="Times New Roman" w:hAnsi="Times New Roman" w:cs="Times New Roman"/>
          <w:kern w:val="24"/>
          <w:sz w:val="24"/>
          <w:szCs w:val="24"/>
        </w:rPr>
        <w:t>Les risques de marché peuvent avoir une micro ou macro source</w:t>
      </w:r>
      <w:r w:rsidRPr="002A5BC8">
        <w:rPr>
          <w:rStyle w:val="Appelnotedebasdep"/>
          <w:rFonts w:ascii="Times New Roman" w:hAnsi="Times New Roman"/>
          <w:kern w:val="24"/>
          <w:sz w:val="24"/>
          <w:szCs w:val="24"/>
        </w:rPr>
        <w:footnoteReference w:id="179"/>
      </w:r>
      <w:r w:rsidRPr="002A5BC8">
        <w:rPr>
          <w:rFonts w:ascii="Times New Roman" w:hAnsi="Times New Roman" w:cs="Times New Roman"/>
          <w:kern w:val="24"/>
          <w:sz w:val="24"/>
          <w:szCs w:val="24"/>
        </w:rPr>
        <w:t>. Le risque systématique de marché provient du mouvement général des prix et des politiques adoptées dans une économie donnée. Le risque de marché non systématique est la conséquence du changement du prix d'un bien spécifique ou d'un instrument financier à cause de certains évènements liés à ces derniers.</w:t>
      </w:r>
    </w:p>
    <w:p w14:paraId="50D2A906" w14:textId="77777777" w:rsidR="002760B2" w:rsidRPr="002A5BC8" w:rsidRDefault="002760B2" w:rsidP="002A5BC8">
      <w:pPr>
        <w:widowControl w:val="0"/>
        <w:tabs>
          <w:tab w:val="left" w:pos="0"/>
        </w:tabs>
        <w:autoSpaceDE w:val="0"/>
        <w:autoSpaceDN w:val="0"/>
        <w:adjustRightInd w:val="0"/>
        <w:spacing w:before="120"/>
        <w:ind w:firstLine="709"/>
        <w:rPr>
          <w:rFonts w:ascii="Times New Roman" w:hAnsi="Times New Roman" w:cs="Times New Roman"/>
          <w:kern w:val="24"/>
          <w:sz w:val="24"/>
          <w:szCs w:val="24"/>
        </w:rPr>
      </w:pPr>
      <w:r w:rsidRPr="002A5BC8">
        <w:rPr>
          <w:rFonts w:ascii="Times New Roman" w:hAnsi="Times New Roman" w:cs="Times New Roman"/>
          <w:kern w:val="24"/>
          <w:sz w:val="24"/>
          <w:szCs w:val="24"/>
        </w:rPr>
        <w:t xml:space="preserve">La volatilité des prix dans les différents marchés peut créer plusieurs types de risque de marché. </w:t>
      </w:r>
      <w:r w:rsidR="008B29D8" w:rsidRPr="002A5BC8">
        <w:rPr>
          <w:rFonts w:ascii="Times New Roman" w:hAnsi="Times New Roman" w:cs="Times New Roman"/>
          <w:kern w:val="24"/>
          <w:sz w:val="24"/>
          <w:szCs w:val="24"/>
        </w:rPr>
        <w:t>Nous</w:t>
      </w:r>
      <w:r w:rsidRPr="002A5BC8">
        <w:rPr>
          <w:rFonts w:ascii="Times New Roman" w:hAnsi="Times New Roman" w:cs="Times New Roman"/>
          <w:kern w:val="24"/>
          <w:sz w:val="24"/>
          <w:szCs w:val="24"/>
        </w:rPr>
        <w:t xml:space="preserve"> les class</w:t>
      </w:r>
      <w:r w:rsidR="008B29D8" w:rsidRPr="002A5BC8">
        <w:rPr>
          <w:rFonts w:ascii="Times New Roman" w:hAnsi="Times New Roman" w:cs="Times New Roman"/>
          <w:kern w:val="24"/>
          <w:sz w:val="24"/>
          <w:szCs w:val="24"/>
        </w:rPr>
        <w:t>ons</w:t>
      </w:r>
      <w:r w:rsidRPr="002A5BC8">
        <w:rPr>
          <w:rFonts w:ascii="Times New Roman" w:hAnsi="Times New Roman" w:cs="Times New Roman"/>
          <w:kern w:val="24"/>
          <w:sz w:val="24"/>
          <w:szCs w:val="24"/>
        </w:rPr>
        <w:t xml:space="preserve"> en risque de taux d'intérêt, risque de change, risque lié au prix des actions et risque lié aux prix des biens et services. </w:t>
      </w:r>
      <w:r w:rsidR="008B29D8" w:rsidRPr="002A5BC8">
        <w:rPr>
          <w:rFonts w:ascii="Times New Roman" w:hAnsi="Times New Roman" w:cs="Times New Roman"/>
          <w:kern w:val="24"/>
          <w:sz w:val="24"/>
          <w:szCs w:val="24"/>
        </w:rPr>
        <w:t>Nous</w:t>
      </w:r>
      <w:r w:rsidRPr="002A5BC8">
        <w:rPr>
          <w:rFonts w:ascii="Times New Roman" w:hAnsi="Times New Roman" w:cs="Times New Roman"/>
          <w:kern w:val="24"/>
          <w:sz w:val="24"/>
          <w:szCs w:val="24"/>
        </w:rPr>
        <w:t xml:space="preserve"> constat</w:t>
      </w:r>
      <w:r w:rsidR="008B29D8" w:rsidRPr="002A5BC8">
        <w:rPr>
          <w:rFonts w:ascii="Times New Roman" w:hAnsi="Times New Roman" w:cs="Times New Roman"/>
          <w:kern w:val="24"/>
          <w:sz w:val="24"/>
          <w:szCs w:val="24"/>
        </w:rPr>
        <w:t>ons</w:t>
      </w:r>
      <w:r w:rsidRPr="002A5BC8">
        <w:rPr>
          <w:rFonts w:ascii="Times New Roman" w:hAnsi="Times New Roman" w:cs="Times New Roman"/>
          <w:kern w:val="24"/>
          <w:sz w:val="24"/>
          <w:szCs w:val="24"/>
        </w:rPr>
        <w:t xml:space="preserve"> que le risque de marché est fortement lié aux activités commerciales et financières des banques. Nous essayons dans ce qui suit d'expliquer le risque de taux d'intérêt et le risque de change.</w:t>
      </w:r>
    </w:p>
    <w:p w14:paraId="3CAB22D9" w14:textId="77777777" w:rsidR="002760B2" w:rsidRPr="002A5BC8" w:rsidRDefault="00245624" w:rsidP="00D66FFE">
      <w:pPr>
        <w:pStyle w:val="Titre4"/>
        <w:keepNext w:val="0"/>
        <w:spacing w:before="120" w:after="120" w:line="300" w:lineRule="auto"/>
        <w:ind w:firstLine="709"/>
        <w:rPr>
          <w:kern w:val="24"/>
        </w:rPr>
      </w:pPr>
      <w:bookmarkStart w:id="646" w:name="_Toc182298705"/>
      <w:r w:rsidRPr="002A5BC8">
        <w:rPr>
          <w:kern w:val="24"/>
        </w:rPr>
        <w:t xml:space="preserve">1.2.2- </w:t>
      </w:r>
      <w:r w:rsidR="00CB7AB9" w:rsidRPr="002A5BC8">
        <w:rPr>
          <w:kern w:val="24"/>
        </w:rPr>
        <w:t>Risque de taux d’intérêt</w:t>
      </w:r>
      <w:bookmarkEnd w:id="646"/>
    </w:p>
    <w:p w14:paraId="0C64A63E" w14:textId="77777777" w:rsidR="002760B2" w:rsidRPr="002A5BC8" w:rsidRDefault="002760B2" w:rsidP="00D66FFE">
      <w:pPr>
        <w:widowControl w:val="0"/>
        <w:tabs>
          <w:tab w:val="left" w:pos="0"/>
        </w:tabs>
        <w:autoSpaceDE w:val="0"/>
        <w:autoSpaceDN w:val="0"/>
        <w:adjustRightInd w:val="0"/>
        <w:spacing w:before="120" w:after="120" w:line="300" w:lineRule="auto"/>
        <w:ind w:firstLine="709"/>
        <w:rPr>
          <w:rFonts w:ascii="Times New Roman" w:hAnsi="Times New Roman" w:cs="Times New Roman"/>
          <w:kern w:val="24"/>
          <w:sz w:val="24"/>
          <w:szCs w:val="24"/>
        </w:rPr>
      </w:pPr>
      <w:r w:rsidRPr="002A5BC8">
        <w:rPr>
          <w:rFonts w:ascii="Times New Roman" w:hAnsi="Times New Roman" w:cs="Times New Roman"/>
          <w:kern w:val="24"/>
          <w:sz w:val="24"/>
          <w:szCs w:val="24"/>
        </w:rPr>
        <w:t>C’est l'éventualité pour une banque de voir sa rentabilité affectée par les fluctuations des taux d'intérêt. Ce risque apparait à cause d'un décalage des échéances entre les éléments d'actif, de passif et des éléments du hors bilan</w:t>
      </w:r>
      <w:r w:rsidR="003F501F" w:rsidRPr="002A5BC8">
        <w:rPr>
          <w:rFonts w:ascii="Times New Roman" w:hAnsi="Times New Roman" w:cs="Times New Roman"/>
          <w:kern w:val="24"/>
          <w:sz w:val="24"/>
          <w:szCs w:val="24"/>
        </w:rPr>
        <w:t>, p</w:t>
      </w:r>
      <w:r w:rsidRPr="002A5BC8">
        <w:rPr>
          <w:rFonts w:ascii="Times New Roman" w:hAnsi="Times New Roman" w:cs="Times New Roman"/>
          <w:kern w:val="24"/>
          <w:sz w:val="24"/>
          <w:szCs w:val="24"/>
        </w:rPr>
        <w:t>lus précisément, lorsque l'ajustement des taux par rapport à l'actif et au passif se fait en corrélation imparfaite. Par exemple, lorsqu'une banque emprunte à taux variable afin de financer des crédits à court terme à taux fixe, et que les taux variables viennent à devenir supérieurs aux taux fixes, la banque va subir des pertes financières</w:t>
      </w:r>
      <w:r w:rsidRPr="002A5BC8">
        <w:rPr>
          <w:rStyle w:val="Appelnotedebasdep"/>
          <w:rFonts w:ascii="Times New Roman" w:hAnsi="Times New Roman"/>
          <w:kern w:val="24"/>
          <w:sz w:val="24"/>
          <w:szCs w:val="24"/>
        </w:rPr>
        <w:footnoteReference w:id="180"/>
      </w:r>
      <w:r w:rsidRPr="002A5BC8">
        <w:rPr>
          <w:rFonts w:ascii="Times New Roman" w:hAnsi="Times New Roman" w:cs="Times New Roman"/>
          <w:kern w:val="24"/>
          <w:sz w:val="24"/>
          <w:szCs w:val="24"/>
        </w:rPr>
        <w:t>.</w:t>
      </w:r>
      <w:r w:rsidR="0072644B" w:rsidRPr="002A5BC8">
        <w:rPr>
          <w:rFonts w:ascii="Times New Roman" w:hAnsi="Times New Roman" w:cs="Times New Roman"/>
          <w:kern w:val="24"/>
          <w:sz w:val="24"/>
          <w:szCs w:val="24"/>
        </w:rPr>
        <w:t xml:space="preserve"> </w:t>
      </w:r>
      <w:r w:rsidRPr="002A5BC8">
        <w:rPr>
          <w:rFonts w:ascii="Times New Roman" w:hAnsi="Times New Roman" w:cs="Times New Roman"/>
          <w:kern w:val="24"/>
          <w:sz w:val="24"/>
          <w:szCs w:val="24"/>
        </w:rPr>
        <w:t>Donc, ce risque affecte à la fois les activités d'octroi de crédit, de gestion des dépôts rémunérés et aussi les activités de marché.</w:t>
      </w:r>
    </w:p>
    <w:p w14:paraId="0C4A4FF9" w14:textId="77777777" w:rsidR="002760B2" w:rsidRPr="002A5BC8" w:rsidRDefault="00245624" w:rsidP="00D66FFE">
      <w:pPr>
        <w:pStyle w:val="Titre4"/>
        <w:keepNext w:val="0"/>
        <w:spacing w:before="120" w:after="120" w:line="300" w:lineRule="auto"/>
        <w:ind w:firstLine="709"/>
        <w:rPr>
          <w:kern w:val="24"/>
        </w:rPr>
      </w:pPr>
      <w:bookmarkStart w:id="647" w:name="_Toc182298706"/>
      <w:r w:rsidRPr="002A5BC8">
        <w:rPr>
          <w:kern w:val="24"/>
        </w:rPr>
        <w:t>1.2.3- R</w:t>
      </w:r>
      <w:r w:rsidR="00442697" w:rsidRPr="002A5BC8">
        <w:rPr>
          <w:kern w:val="24"/>
        </w:rPr>
        <w:t>isque de change</w:t>
      </w:r>
      <w:bookmarkEnd w:id="647"/>
    </w:p>
    <w:p w14:paraId="19EAC6D2" w14:textId="77777777" w:rsidR="002760B2" w:rsidRPr="002A5BC8" w:rsidRDefault="002760B2" w:rsidP="00D66FFE">
      <w:pPr>
        <w:widowControl w:val="0"/>
        <w:tabs>
          <w:tab w:val="left" w:pos="0"/>
        </w:tabs>
        <w:autoSpaceDE w:val="0"/>
        <w:autoSpaceDN w:val="0"/>
        <w:adjustRightInd w:val="0"/>
        <w:spacing w:before="120" w:after="120" w:line="300" w:lineRule="auto"/>
        <w:ind w:firstLine="709"/>
        <w:rPr>
          <w:rFonts w:ascii="Times New Roman" w:hAnsi="Times New Roman" w:cs="Times New Roman"/>
          <w:kern w:val="24"/>
          <w:sz w:val="24"/>
          <w:szCs w:val="24"/>
        </w:rPr>
      </w:pPr>
      <w:r w:rsidRPr="002A5BC8">
        <w:rPr>
          <w:rFonts w:ascii="Times New Roman" w:hAnsi="Times New Roman" w:cs="Times New Roman"/>
          <w:kern w:val="24"/>
          <w:sz w:val="24"/>
          <w:szCs w:val="24"/>
        </w:rPr>
        <w:t>Il correspond au risque de pertes engendrées par les fluctuations des taux de change. C'est à dire, les fluctuations défavorables des taux de change auront un impact négatif sur les flux futurs de la banque dans le cadre de son activité financière sur les devises.</w:t>
      </w:r>
    </w:p>
    <w:p w14:paraId="5EDA2514" w14:textId="77777777" w:rsidR="002760B2" w:rsidRPr="002A5BC8" w:rsidRDefault="002760B2" w:rsidP="00D66FFE">
      <w:pPr>
        <w:widowControl w:val="0"/>
        <w:tabs>
          <w:tab w:val="left" w:pos="0"/>
        </w:tabs>
        <w:autoSpaceDE w:val="0"/>
        <w:autoSpaceDN w:val="0"/>
        <w:adjustRightInd w:val="0"/>
        <w:spacing w:before="120" w:after="120" w:line="300" w:lineRule="auto"/>
        <w:ind w:firstLine="709"/>
        <w:rPr>
          <w:rFonts w:ascii="Times New Roman" w:hAnsi="Times New Roman" w:cs="Times New Roman"/>
          <w:kern w:val="24"/>
          <w:sz w:val="24"/>
          <w:szCs w:val="24"/>
        </w:rPr>
      </w:pPr>
      <w:r w:rsidRPr="002A5BC8">
        <w:rPr>
          <w:rFonts w:ascii="Times New Roman" w:hAnsi="Times New Roman" w:cs="Times New Roman"/>
          <w:kern w:val="24"/>
          <w:sz w:val="24"/>
          <w:szCs w:val="24"/>
        </w:rPr>
        <w:t>D'ailleurs, une banque peut être exposée à ce risque, lorsqu'elle accorde un crédit en devises étrangères. Dans ce cas, elle risque de voir le capital qui lui sera remboursé diminuer.</w:t>
      </w:r>
    </w:p>
    <w:p w14:paraId="71CD5258" w14:textId="77777777" w:rsidR="00245624" w:rsidRPr="002A5BC8" w:rsidRDefault="00245624" w:rsidP="00D66FFE">
      <w:pPr>
        <w:pStyle w:val="Titre4"/>
        <w:keepNext w:val="0"/>
        <w:spacing w:before="120" w:after="120" w:line="300" w:lineRule="auto"/>
        <w:ind w:firstLine="709"/>
        <w:rPr>
          <w:kern w:val="24"/>
        </w:rPr>
      </w:pPr>
      <w:bookmarkStart w:id="648" w:name="_Toc182298707"/>
      <w:r w:rsidRPr="002A5BC8">
        <w:rPr>
          <w:kern w:val="24"/>
        </w:rPr>
        <w:t>1.2.4- Risque de crédit</w:t>
      </w:r>
      <w:bookmarkEnd w:id="648"/>
    </w:p>
    <w:p w14:paraId="6CDCF141" w14:textId="77777777" w:rsidR="002760B2" w:rsidRPr="002A5BC8" w:rsidRDefault="00245624" w:rsidP="00D66FFE">
      <w:pPr>
        <w:widowControl w:val="0"/>
        <w:tabs>
          <w:tab w:val="left" w:pos="0"/>
        </w:tabs>
        <w:autoSpaceDE w:val="0"/>
        <w:autoSpaceDN w:val="0"/>
        <w:adjustRightInd w:val="0"/>
        <w:spacing w:before="120" w:after="120" w:line="300" w:lineRule="auto"/>
        <w:ind w:firstLine="709"/>
        <w:rPr>
          <w:rFonts w:ascii="Times New Roman" w:hAnsi="Times New Roman" w:cs="Times New Roman"/>
          <w:color w:val="000000" w:themeColor="text1"/>
          <w:kern w:val="24"/>
          <w:sz w:val="24"/>
          <w:szCs w:val="24"/>
        </w:rPr>
      </w:pPr>
      <w:r w:rsidRPr="002A5BC8">
        <w:rPr>
          <w:rFonts w:ascii="Times New Roman" w:hAnsi="Times New Roman" w:cs="Times New Roman"/>
          <w:kern w:val="24"/>
          <w:sz w:val="24"/>
          <w:szCs w:val="24"/>
        </w:rPr>
        <w:t>Appelé aussi risque de contrepartie, i</w:t>
      </w:r>
      <w:r w:rsidR="002760B2" w:rsidRPr="002A5BC8">
        <w:rPr>
          <w:rFonts w:ascii="Times New Roman" w:hAnsi="Times New Roman" w:cs="Times New Roman"/>
          <w:kern w:val="24"/>
          <w:sz w:val="24"/>
          <w:szCs w:val="24"/>
        </w:rPr>
        <w:t xml:space="preserve">l est considéré comme le plus important des risques encourus par les banques dans le cadre de leur relation avec leurs déposants. Il s'agit de la capacité du débiteur </w:t>
      </w:r>
      <w:r w:rsidR="00E35894" w:rsidRPr="002A5BC8">
        <w:rPr>
          <w:rFonts w:ascii="Times New Roman" w:hAnsi="Times New Roman" w:cs="Times New Roman"/>
          <w:kern w:val="24"/>
          <w:sz w:val="24"/>
          <w:szCs w:val="24"/>
        </w:rPr>
        <w:t>à</w:t>
      </w:r>
      <w:r w:rsidR="002760B2" w:rsidRPr="002A5BC8">
        <w:rPr>
          <w:rFonts w:ascii="Times New Roman" w:hAnsi="Times New Roman" w:cs="Times New Roman"/>
          <w:kern w:val="24"/>
          <w:sz w:val="24"/>
          <w:szCs w:val="24"/>
        </w:rPr>
        <w:t xml:space="preserve"> rembourser à l'échéance selon les clauses déterminées dans le contrat. Dans le cas contraire, le créditeur va subir des pertes</w:t>
      </w:r>
      <w:r w:rsidR="002760B2" w:rsidRPr="002A5BC8">
        <w:rPr>
          <w:rStyle w:val="Appelnotedebasdep"/>
          <w:rFonts w:ascii="Times New Roman" w:hAnsi="Times New Roman"/>
          <w:kern w:val="24"/>
          <w:sz w:val="24"/>
          <w:szCs w:val="24"/>
        </w:rPr>
        <w:footnoteReference w:id="181"/>
      </w:r>
      <w:r w:rsidR="002760B2" w:rsidRPr="002A5BC8">
        <w:rPr>
          <w:rFonts w:ascii="Times New Roman" w:hAnsi="Times New Roman" w:cs="Times New Roman"/>
          <w:kern w:val="24"/>
          <w:sz w:val="24"/>
          <w:szCs w:val="24"/>
        </w:rPr>
        <w:t>.</w:t>
      </w:r>
    </w:p>
    <w:p w14:paraId="73202B0B" w14:textId="77777777" w:rsidR="002760B2" w:rsidRPr="002B005F" w:rsidRDefault="002760B2" w:rsidP="00956171">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lastRenderedPageBreak/>
        <w:t>Donc, le risque de crédit peut être défini comme l'incapacité des clients bancaires d'honorer leurs engagements vers la banque. Autrement dit, c'est le défaut de remboursement des crédits envers la banque. Il peut s'agir d'un défaut de remboursement d'un particulier qui a bénéficié d'un prêt immobilier ou encore d'une entreprise pour un prêt d'équipement.</w:t>
      </w:r>
    </w:p>
    <w:p w14:paraId="34203C82" w14:textId="77777777" w:rsidR="002760B2" w:rsidRPr="002B005F" w:rsidRDefault="002760B2" w:rsidP="00956171">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Pour réduire ce risque, les banques doivent être prudentes en sélectionnant leurs clients emprunteurs, c'est</w:t>
      </w:r>
      <w:r w:rsidR="00B2557D">
        <w:rPr>
          <w:rFonts w:ascii="Times New Roman" w:hAnsi="Times New Roman" w:cs="Times New Roman"/>
          <w:sz w:val="24"/>
          <w:szCs w:val="24"/>
        </w:rPr>
        <w:t>-</w:t>
      </w:r>
      <w:r w:rsidRPr="002B005F">
        <w:rPr>
          <w:rFonts w:ascii="Times New Roman" w:hAnsi="Times New Roman" w:cs="Times New Roman"/>
          <w:sz w:val="24"/>
          <w:szCs w:val="24"/>
        </w:rPr>
        <w:t>à</w:t>
      </w:r>
      <w:r w:rsidR="00B2557D">
        <w:rPr>
          <w:rFonts w:ascii="Times New Roman" w:hAnsi="Times New Roman" w:cs="Times New Roman"/>
          <w:sz w:val="24"/>
          <w:szCs w:val="24"/>
        </w:rPr>
        <w:t>-</w:t>
      </w:r>
      <w:r w:rsidRPr="002B005F">
        <w:rPr>
          <w:rFonts w:ascii="Times New Roman" w:hAnsi="Times New Roman" w:cs="Times New Roman"/>
          <w:sz w:val="24"/>
          <w:szCs w:val="24"/>
        </w:rPr>
        <w:t>dire il faut vérifier leur solvabilité par le recours à des</w:t>
      </w:r>
      <w:r w:rsidR="003F501F">
        <w:rPr>
          <w:rFonts w:ascii="Times New Roman" w:hAnsi="Times New Roman" w:cs="Times New Roman"/>
          <w:sz w:val="24"/>
          <w:szCs w:val="24"/>
        </w:rPr>
        <w:t xml:space="preserve"> méthodes de scoring interne que nous</w:t>
      </w:r>
      <w:r w:rsidRPr="002B005F">
        <w:rPr>
          <w:rFonts w:ascii="Times New Roman" w:hAnsi="Times New Roman" w:cs="Times New Roman"/>
          <w:sz w:val="24"/>
          <w:szCs w:val="24"/>
        </w:rPr>
        <w:t xml:space="preserve"> discuter</w:t>
      </w:r>
      <w:r w:rsidR="003F501F">
        <w:rPr>
          <w:rFonts w:ascii="Times New Roman" w:hAnsi="Times New Roman" w:cs="Times New Roman"/>
          <w:sz w:val="24"/>
          <w:szCs w:val="24"/>
        </w:rPr>
        <w:t>ons</w:t>
      </w:r>
      <w:r w:rsidRPr="002B005F">
        <w:rPr>
          <w:rFonts w:ascii="Times New Roman" w:hAnsi="Times New Roman" w:cs="Times New Roman"/>
          <w:sz w:val="24"/>
          <w:szCs w:val="24"/>
        </w:rPr>
        <w:t xml:space="preserve"> ultérieurement.</w:t>
      </w:r>
    </w:p>
    <w:p w14:paraId="53BE1646" w14:textId="77777777" w:rsidR="002760B2" w:rsidRPr="002B005F" w:rsidRDefault="00245624" w:rsidP="00D66FFE">
      <w:pPr>
        <w:pStyle w:val="Titre4"/>
        <w:keepNext w:val="0"/>
        <w:spacing w:before="120" w:after="120" w:line="300" w:lineRule="auto"/>
        <w:ind w:firstLine="709"/>
      </w:pPr>
      <w:bookmarkStart w:id="649" w:name="_Toc33263277"/>
      <w:bookmarkStart w:id="650" w:name="_Toc37664528"/>
      <w:bookmarkStart w:id="651" w:name="_Toc37666373"/>
      <w:bookmarkStart w:id="652" w:name="_Toc54363262"/>
      <w:bookmarkStart w:id="653" w:name="_Toc58606272"/>
      <w:bookmarkStart w:id="654" w:name="_Toc61263477"/>
      <w:bookmarkStart w:id="655" w:name="_Toc182298708"/>
      <w:r>
        <w:t xml:space="preserve">1.2.5- </w:t>
      </w:r>
      <w:r w:rsidR="002760B2" w:rsidRPr="002B005F">
        <w:t>Risque de liquidité (ou d'illiquidité)</w:t>
      </w:r>
      <w:bookmarkEnd w:id="649"/>
      <w:bookmarkEnd w:id="650"/>
      <w:bookmarkEnd w:id="651"/>
      <w:bookmarkEnd w:id="652"/>
      <w:bookmarkEnd w:id="653"/>
      <w:bookmarkEnd w:id="654"/>
      <w:bookmarkEnd w:id="655"/>
    </w:p>
    <w:p w14:paraId="3E696D79" w14:textId="77777777" w:rsidR="002760B2" w:rsidRPr="002B005F" w:rsidRDefault="002760B2" w:rsidP="00D66FFE">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Il s'agit de l'inaptitude de la banque de faire face à ses engagements financiers. C'est le cas où elle ne dispose pas de fonds nécessaires pour répondre aux demandes massives de retrait. Si la banque cesse d'être en mesure de procurer la liquidité, </w:t>
      </w:r>
      <w:r w:rsidR="00B2557D" w:rsidRPr="003F501F">
        <w:rPr>
          <w:rFonts w:ascii="Times New Roman" w:hAnsi="Times New Roman" w:cs="Times New Roman"/>
          <w:sz w:val="24"/>
          <w:szCs w:val="24"/>
        </w:rPr>
        <w:t xml:space="preserve">elle s’exposerait à un risque de </w:t>
      </w:r>
      <w:r w:rsidRPr="003F501F">
        <w:rPr>
          <w:rFonts w:ascii="Times New Roman" w:hAnsi="Times New Roman" w:cs="Times New Roman"/>
          <w:sz w:val="24"/>
          <w:szCs w:val="24"/>
        </w:rPr>
        <w:t>disso</w:t>
      </w:r>
      <w:r w:rsidR="00B2557D" w:rsidRPr="003F501F">
        <w:rPr>
          <w:rFonts w:ascii="Times New Roman" w:hAnsi="Times New Roman" w:cs="Times New Roman"/>
          <w:sz w:val="24"/>
          <w:szCs w:val="24"/>
        </w:rPr>
        <w:t>lution</w:t>
      </w:r>
      <w:r w:rsidRPr="003F501F">
        <w:rPr>
          <w:rFonts w:ascii="Times New Roman" w:hAnsi="Times New Roman" w:cs="Times New Roman"/>
          <w:sz w:val="24"/>
          <w:szCs w:val="24"/>
        </w:rPr>
        <w:t xml:space="preserve">. Selon </w:t>
      </w:r>
      <w:r w:rsidRPr="003F501F">
        <w:rPr>
          <w:rFonts w:ascii="Times New Roman" w:hAnsi="Times New Roman" w:cs="Times New Roman"/>
          <w:smallCaps/>
          <w:sz w:val="24"/>
          <w:szCs w:val="24"/>
        </w:rPr>
        <w:t>Goodhart</w:t>
      </w:r>
      <w:r w:rsidRPr="003F501F">
        <w:rPr>
          <w:rFonts w:ascii="Times New Roman" w:hAnsi="Times New Roman" w:cs="Times New Roman"/>
          <w:sz w:val="24"/>
          <w:szCs w:val="24"/>
        </w:rPr>
        <w:t xml:space="preserve"> (2008), "</w:t>
      </w:r>
      <w:r w:rsidRPr="003F501F">
        <w:rPr>
          <w:rFonts w:ascii="Times New Roman" w:hAnsi="Times New Roman" w:cs="Times New Roman"/>
          <w:i/>
          <w:iCs/>
          <w:sz w:val="24"/>
          <w:szCs w:val="24"/>
        </w:rPr>
        <w:t>une crise sévère de liquidité peut</w:t>
      </w:r>
      <w:r w:rsidRPr="002B005F">
        <w:rPr>
          <w:rFonts w:ascii="Times New Roman" w:hAnsi="Times New Roman" w:cs="Times New Roman"/>
          <w:i/>
          <w:iCs/>
          <w:sz w:val="24"/>
          <w:szCs w:val="24"/>
        </w:rPr>
        <w:t xml:space="preserve"> causer une spirale dévastatrice conduisant à l'insolvabilité de la banque et éventuellement à sa faillite</w:t>
      </w:r>
      <w:r w:rsidRPr="002B005F">
        <w:rPr>
          <w:rFonts w:ascii="Times New Roman" w:hAnsi="Times New Roman" w:cs="Times New Roman"/>
          <w:sz w:val="24"/>
          <w:szCs w:val="24"/>
        </w:rPr>
        <w:t>"</w:t>
      </w:r>
      <w:r w:rsidRPr="002B005F">
        <w:rPr>
          <w:rStyle w:val="Appelnotedebasdep"/>
          <w:rFonts w:ascii="Times New Roman" w:hAnsi="Times New Roman"/>
          <w:sz w:val="24"/>
          <w:szCs w:val="24"/>
        </w:rPr>
        <w:footnoteReference w:id="182"/>
      </w:r>
      <w:r w:rsidRPr="002B005F">
        <w:rPr>
          <w:rFonts w:ascii="Times New Roman" w:hAnsi="Times New Roman" w:cs="Times New Roman"/>
          <w:sz w:val="24"/>
          <w:szCs w:val="24"/>
        </w:rPr>
        <w:t>.</w:t>
      </w:r>
    </w:p>
    <w:p w14:paraId="6D997FF7" w14:textId="77777777" w:rsidR="002760B2" w:rsidRPr="002B005F" w:rsidRDefault="002760B2" w:rsidP="00D66FFE">
      <w:pPr>
        <w:widowControl w:val="0"/>
        <w:tabs>
          <w:tab w:val="left" w:pos="0"/>
        </w:tabs>
        <w:autoSpaceDE w:val="0"/>
        <w:autoSpaceDN w:val="0"/>
        <w:adjustRightInd w:val="0"/>
        <w:spacing w:before="120" w:after="120" w:line="300" w:lineRule="auto"/>
        <w:ind w:firstLine="709"/>
        <w:rPr>
          <w:rFonts w:ascii="Times New Roman" w:hAnsi="Times New Roman" w:cs="Times New Roman"/>
          <w:b/>
          <w:bCs/>
          <w:sz w:val="24"/>
          <w:szCs w:val="24"/>
        </w:rPr>
      </w:pPr>
      <w:r w:rsidRPr="002B005F">
        <w:rPr>
          <w:rFonts w:ascii="Times New Roman" w:hAnsi="Times New Roman" w:cs="Times New Roman"/>
          <w:sz w:val="24"/>
          <w:szCs w:val="24"/>
        </w:rPr>
        <w:t>D'ailleurs, la transformation des dépôts à court terme en investissement à long terme peut créer un décalage d'échéances entre les ressources et les emplois. A cause de la divergence entre l'actif et le passif, les banques sont vulnérables à la ruée bancaire</w:t>
      </w:r>
      <w:r w:rsidRPr="002B005F">
        <w:rPr>
          <w:rStyle w:val="Appelnotedebasdep"/>
          <w:rFonts w:ascii="Times New Roman" w:hAnsi="Times New Roman"/>
          <w:sz w:val="24"/>
          <w:szCs w:val="24"/>
        </w:rPr>
        <w:footnoteReference w:id="183"/>
      </w:r>
      <w:r w:rsidRPr="002B005F">
        <w:rPr>
          <w:rFonts w:ascii="Times New Roman" w:hAnsi="Times New Roman" w:cs="Times New Roman"/>
          <w:sz w:val="24"/>
          <w:szCs w:val="24"/>
        </w:rPr>
        <w:t>.</w:t>
      </w:r>
    </w:p>
    <w:p w14:paraId="34CF0BBC" w14:textId="77777777" w:rsidR="002760B2" w:rsidRPr="002B005F" w:rsidRDefault="00245624" w:rsidP="00D66FFE">
      <w:pPr>
        <w:pStyle w:val="Titre4"/>
        <w:keepNext w:val="0"/>
        <w:spacing w:before="120" w:after="120" w:line="300" w:lineRule="auto"/>
        <w:ind w:firstLine="709"/>
      </w:pPr>
      <w:bookmarkStart w:id="656" w:name="_Toc33263278"/>
      <w:bookmarkStart w:id="657" w:name="_Toc37664529"/>
      <w:bookmarkStart w:id="658" w:name="_Toc37666374"/>
      <w:bookmarkStart w:id="659" w:name="_Toc54363263"/>
      <w:bookmarkStart w:id="660" w:name="_Toc58606273"/>
      <w:bookmarkStart w:id="661" w:name="_Toc61263478"/>
      <w:bookmarkStart w:id="662" w:name="_Toc182298709"/>
      <w:r>
        <w:t xml:space="preserve">1.2.6- </w:t>
      </w:r>
      <w:r w:rsidR="002760B2" w:rsidRPr="002B005F">
        <w:t>Risque opérationnel</w:t>
      </w:r>
      <w:bookmarkEnd w:id="656"/>
      <w:bookmarkEnd w:id="657"/>
      <w:bookmarkEnd w:id="658"/>
      <w:bookmarkEnd w:id="659"/>
      <w:bookmarkEnd w:id="660"/>
      <w:bookmarkEnd w:id="661"/>
      <w:bookmarkEnd w:id="662"/>
    </w:p>
    <w:p w14:paraId="0601FF72" w14:textId="77777777" w:rsidR="002760B2" w:rsidRPr="002B005F" w:rsidRDefault="002760B2" w:rsidP="00D66FFE">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C'est le risque de perte résultant d'une inadéquation des procédures adoptées par la banque, du personnel non qualifié, des systèmes internes ou d'évènements externes.</w:t>
      </w:r>
    </w:p>
    <w:p w14:paraId="15B16B38" w14:textId="77777777" w:rsidR="002760B2" w:rsidRPr="002B005F" w:rsidRDefault="002760B2" w:rsidP="00956171">
      <w:pPr>
        <w:widowControl w:val="0"/>
        <w:tabs>
          <w:tab w:val="left" w:pos="0"/>
        </w:tabs>
        <w:autoSpaceDE w:val="0"/>
        <w:autoSpaceDN w:val="0"/>
        <w:adjustRightInd w:val="0"/>
        <w:spacing w:before="120" w:after="120" w:line="300" w:lineRule="auto"/>
        <w:ind w:firstLine="709"/>
        <w:rPr>
          <w:rFonts w:ascii="Times New Roman" w:hAnsi="Times New Roman" w:cs="Times New Roman"/>
          <w:b/>
          <w:bCs/>
          <w:sz w:val="24"/>
          <w:szCs w:val="24"/>
        </w:rPr>
      </w:pPr>
      <w:r w:rsidRPr="002B005F">
        <w:rPr>
          <w:rFonts w:ascii="Times New Roman" w:hAnsi="Times New Roman" w:cs="Times New Roman"/>
          <w:sz w:val="24"/>
          <w:szCs w:val="24"/>
        </w:rPr>
        <w:t xml:space="preserve">Plusieurs évènements marquants ont placé ce risque au cœur de la gestion des risques. Le </w:t>
      </w:r>
      <w:r w:rsidR="00851EFB">
        <w:rPr>
          <w:rFonts w:ascii="Times New Roman" w:hAnsi="Times New Roman" w:cs="Times New Roman"/>
          <w:sz w:val="24"/>
          <w:szCs w:val="24"/>
        </w:rPr>
        <w:t>Comité</w:t>
      </w:r>
      <w:r w:rsidRPr="002B005F">
        <w:rPr>
          <w:rFonts w:ascii="Times New Roman" w:hAnsi="Times New Roman" w:cs="Times New Roman"/>
          <w:sz w:val="24"/>
          <w:szCs w:val="24"/>
        </w:rPr>
        <w:t xml:space="preserve"> de Bâle a ainsi retenu une classification qui répertorie les différents évènements qui engendre ce risque</w:t>
      </w:r>
      <w:r w:rsidRPr="002B005F">
        <w:rPr>
          <w:rStyle w:val="Appelnotedebasdep"/>
          <w:rFonts w:ascii="Times New Roman" w:hAnsi="Times New Roman"/>
          <w:sz w:val="24"/>
          <w:szCs w:val="24"/>
        </w:rPr>
        <w:footnoteReference w:id="184"/>
      </w:r>
      <w:r w:rsidR="00AF00C9" w:rsidRPr="002B005F">
        <w:rPr>
          <w:rFonts w:ascii="Times New Roman" w:hAnsi="Times New Roman" w:cs="Times New Roman"/>
          <w:sz w:val="24"/>
          <w:szCs w:val="24"/>
        </w:rPr>
        <w:t> :</w:t>
      </w:r>
    </w:p>
    <w:p w14:paraId="526AFCAA" w14:textId="77777777" w:rsidR="002760B2" w:rsidRPr="002B005F" w:rsidRDefault="002760B2" w:rsidP="00CB0FF1">
      <w:pPr>
        <w:widowControl w:val="0"/>
        <w:numPr>
          <w:ilvl w:val="0"/>
          <w:numId w:val="10"/>
        </w:numPr>
        <w:tabs>
          <w:tab w:val="left" w:pos="993"/>
        </w:tabs>
        <w:autoSpaceDE w:val="0"/>
        <w:autoSpaceDN w:val="0"/>
        <w:adjustRightInd w:val="0"/>
        <w:spacing w:before="60" w:after="60" w:line="300" w:lineRule="auto"/>
        <w:ind w:left="1191" w:hanging="340"/>
        <w:rPr>
          <w:rFonts w:ascii="Times New Roman" w:hAnsi="Times New Roman" w:cs="Times New Roman"/>
          <w:sz w:val="24"/>
          <w:szCs w:val="24"/>
        </w:rPr>
      </w:pPr>
      <w:r w:rsidRPr="002B005F">
        <w:rPr>
          <w:rFonts w:ascii="Times New Roman" w:hAnsi="Times New Roman" w:cs="Times New Roman"/>
          <w:b/>
          <w:bCs/>
          <w:i/>
          <w:iCs/>
          <w:sz w:val="24"/>
          <w:szCs w:val="24"/>
        </w:rPr>
        <w:t>Fraude interne</w:t>
      </w:r>
      <w:r w:rsidR="00B2557D">
        <w:rPr>
          <w:rFonts w:ascii="Times New Roman" w:hAnsi="Times New Roman" w:cs="Times New Roman"/>
          <w:b/>
          <w:bCs/>
          <w:i/>
          <w:iCs/>
          <w:sz w:val="24"/>
          <w:szCs w:val="24"/>
        </w:rPr>
        <w:t> :</w:t>
      </w:r>
      <w:r w:rsidRPr="002B005F">
        <w:rPr>
          <w:rFonts w:ascii="Times New Roman" w:hAnsi="Times New Roman" w:cs="Times New Roman"/>
          <w:b/>
          <w:bCs/>
          <w:i/>
          <w:iCs/>
          <w:sz w:val="24"/>
          <w:szCs w:val="24"/>
        </w:rPr>
        <w:t xml:space="preserve"> </w:t>
      </w:r>
      <w:r w:rsidRPr="002B005F">
        <w:rPr>
          <w:rFonts w:ascii="Times New Roman" w:hAnsi="Times New Roman" w:cs="Times New Roman"/>
          <w:sz w:val="24"/>
          <w:szCs w:val="24"/>
        </w:rPr>
        <w:t>comme la falsification des documents, le vol commis par un employé (actifs physiques, numériques, moyens de paiement...)</w:t>
      </w:r>
      <w:r w:rsidR="00280ABC" w:rsidRPr="002B005F">
        <w:rPr>
          <w:rFonts w:ascii="Times New Roman" w:hAnsi="Times New Roman" w:cs="Times New Roman"/>
          <w:sz w:val="24"/>
          <w:szCs w:val="24"/>
        </w:rPr>
        <w:t> ;</w:t>
      </w:r>
    </w:p>
    <w:p w14:paraId="6D6BDDDF" w14:textId="77777777" w:rsidR="002760B2" w:rsidRPr="002B005F" w:rsidRDefault="00442697" w:rsidP="00CB0FF1">
      <w:pPr>
        <w:widowControl w:val="0"/>
        <w:numPr>
          <w:ilvl w:val="0"/>
          <w:numId w:val="10"/>
        </w:numPr>
        <w:tabs>
          <w:tab w:val="left" w:pos="993"/>
        </w:tabs>
        <w:autoSpaceDE w:val="0"/>
        <w:autoSpaceDN w:val="0"/>
        <w:adjustRightInd w:val="0"/>
        <w:spacing w:before="60" w:after="60" w:line="300" w:lineRule="auto"/>
        <w:ind w:left="1191" w:hanging="340"/>
        <w:rPr>
          <w:rFonts w:ascii="Times New Roman" w:hAnsi="Times New Roman" w:cs="Times New Roman"/>
          <w:b/>
          <w:bCs/>
          <w:i/>
          <w:iCs/>
          <w:sz w:val="24"/>
          <w:szCs w:val="24"/>
        </w:rPr>
      </w:pPr>
      <w:r w:rsidRPr="002B005F">
        <w:rPr>
          <w:rFonts w:ascii="Times New Roman" w:hAnsi="Times New Roman" w:cs="Times New Roman"/>
          <w:b/>
          <w:bCs/>
          <w:i/>
          <w:iCs/>
          <w:sz w:val="24"/>
          <w:szCs w:val="24"/>
        </w:rPr>
        <w:t>Fraude externe :</w:t>
      </w:r>
      <w:r w:rsidR="002760B2" w:rsidRPr="002B005F">
        <w:rPr>
          <w:rFonts w:ascii="Times New Roman" w:hAnsi="Times New Roman" w:cs="Times New Roman"/>
          <w:b/>
          <w:bCs/>
          <w:i/>
          <w:iCs/>
          <w:sz w:val="24"/>
          <w:szCs w:val="24"/>
        </w:rPr>
        <w:t xml:space="preserve"> </w:t>
      </w:r>
      <w:r w:rsidR="002760B2" w:rsidRPr="002B005F">
        <w:rPr>
          <w:rFonts w:ascii="Times New Roman" w:hAnsi="Times New Roman" w:cs="Times New Roman"/>
          <w:sz w:val="24"/>
          <w:szCs w:val="24"/>
        </w:rPr>
        <w:t>comme le détournement des fonds, l'usurpation d'identité, le vol des données, le piratage informatique...</w:t>
      </w:r>
      <w:r w:rsidR="00280ABC" w:rsidRPr="002B005F">
        <w:rPr>
          <w:rFonts w:ascii="Times New Roman" w:hAnsi="Times New Roman" w:cs="Times New Roman"/>
          <w:sz w:val="24"/>
          <w:szCs w:val="24"/>
        </w:rPr>
        <w:t> ;</w:t>
      </w:r>
    </w:p>
    <w:p w14:paraId="5E2BA53A" w14:textId="77777777" w:rsidR="002760B2" w:rsidRPr="002B005F" w:rsidRDefault="00442697" w:rsidP="00CB0FF1">
      <w:pPr>
        <w:widowControl w:val="0"/>
        <w:numPr>
          <w:ilvl w:val="0"/>
          <w:numId w:val="10"/>
        </w:numPr>
        <w:tabs>
          <w:tab w:val="left" w:pos="993"/>
        </w:tabs>
        <w:autoSpaceDE w:val="0"/>
        <w:autoSpaceDN w:val="0"/>
        <w:adjustRightInd w:val="0"/>
        <w:spacing w:before="60" w:after="60" w:line="300" w:lineRule="auto"/>
        <w:ind w:left="1191" w:hanging="340"/>
        <w:rPr>
          <w:rFonts w:ascii="Times New Roman" w:hAnsi="Times New Roman" w:cs="Times New Roman"/>
          <w:b/>
          <w:bCs/>
          <w:i/>
          <w:iCs/>
          <w:sz w:val="24"/>
          <w:szCs w:val="24"/>
        </w:rPr>
      </w:pPr>
      <w:r w:rsidRPr="002B005F">
        <w:rPr>
          <w:rFonts w:ascii="Times New Roman" w:hAnsi="Times New Roman" w:cs="Times New Roman"/>
          <w:b/>
          <w:bCs/>
          <w:i/>
          <w:iCs/>
          <w:sz w:val="24"/>
          <w:szCs w:val="24"/>
        </w:rPr>
        <w:t>Dommages aux actifs corporels :</w:t>
      </w:r>
      <w:r w:rsidR="002760B2" w:rsidRPr="002B005F">
        <w:rPr>
          <w:rFonts w:ascii="Times New Roman" w:hAnsi="Times New Roman" w:cs="Times New Roman"/>
          <w:b/>
          <w:bCs/>
          <w:i/>
          <w:iCs/>
          <w:sz w:val="24"/>
          <w:szCs w:val="24"/>
        </w:rPr>
        <w:t xml:space="preserve"> </w:t>
      </w:r>
      <w:r w:rsidR="002760B2" w:rsidRPr="002B005F">
        <w:rPr>
          <w:rFonts w:ascii="Times New Roman" w:hAnsi="Times New Roman" w:cs="Times New Roman"/>
          <w:sz w:val="24"/>
          <w:szCs w:val="24"/>
        </w:rPr>
        <w:t>par exemple, les actes de terrorisme, vandalisme, séismes, incendies, inondations...</w:t>
      </w:r>
      <w:r w:rsidR="00280ABC" w:rsidRPr="002B005F">
        <w:rPr>
          <w:rFonts w:ascii="Times New Roman" w:hAnsi="Times New Roman" w:cs="Times New Roman"/>
          <w:sz w:val="24"/>
          <w:szCs w:val="24"/>
        </w:rPr>
        <w:t> ;</w:t>
      </w:r>
    </w:p>
    <w:p w14:paraId="4B6E8D98" w14:textId="77777777" w:rsidR="002760B2" w:rsidRPr="00F81DAC" w:rsidRDefault="002760B2" w:rsidP="00CB0FF1">
      <w:pPr>
        <w:widowControl w:val="0"/>
        <w:numPr>
          <w:ilvl w:val="0"/>
          <w:numId w:val="10"/>
        </w:numPr>
        <w:tabs>
          <w:tab w:val="left" w:pos="993"/>
        </w:tabs>
        <w:autoSpaceDE w:val="0"/>
        <w:autoSpaceDN w:val="0"/>
        <w:adjustRightInd w:val="0"/>
        <w:spacing w:before="60" w:after="60" w:line="300" w:lineRule="auto"/>
        <w:ind w:left="1191" w:hanging="340"/>
        <w:rPr>
          <w:rFonts w:ascii="Times New Roman" w:hAnsi="Times New Roman" w:cs="Times New Roman"/>
          <w:b/>
          <w:bCs/>
          <w:sz w:val="24"/>
          <w:szCs w:val="24"/>
        </w:rPr>
      </w:pPr>
      <w:r w:rsidRPr="002B005F">
        <w:rPr>
          <w:rFonts w:ascii="Times New Roman" w:hAnsi="Times New Roman" w:cs="Times New Roman"/>
          <w:b/>
          <w:bCs/>
          <w:i/>
          <w:iCs/>
          <w:sz w:val="24"/>
          <w:szCs w:val="24"/>
        </w:rPr>
        <w:t xml:space="preserve">Pratiques en matière d'emploi et de </w:t>
      </w:r>
      <w:r w:rsidR="00442697" w:rsidRPr="002B005F">
        <w:rPr>
          <w:rFonts w:ascii="Times New Roman" w:hAnsi="Times New Roman" w:cs="Times New Roman"/>
          <w:b/>
          <w:bCs/>
          <w:i/>
          <w:iCs/>
          <w:sz w:val="24"/>
          <w:szCs w:val="24"/>
        </w:rPr>
        <w:t>sécurité sur le lieu de travail :</w:t>
      </w:r>
      <w:r w:rsidRPr="002B005F">
        <w:rPr>
          <w:rFonts w:ascii="Times New Roman" w:hAnsi="Times New Roman" w:cs="Times New Roman"/>
          <w:b/>
          <w:bCs/>
          <w:i/>
          <w:iCs/>
          <w:sz w:val="24"/>
          <w:szCs w:val="24"/>
        </w:rPr>
        <w:t xml:space="preserve"> </w:t>
      </w:r>
      <w:r w:rsidRPr="002B005F">
        <w:rPr>
          <w:rFonts w:ascii="Times New Roman" w:hAnsi="Times New Roman" w:cs="Times New Roman"/>
          <w:sz w:val="24"/>
          <w:szCs w:val="24"/>
        </w:rPr>
        <w:t>comme la violation des règles de sécurité des employés, la discrimination à l'embauche...</w:t>
      </w:r>
      <w:r w:rsidR="00280ABC" w:rsidRPr="002B005F">
        <w:rPr>
          <w:rFonts w:ascii="Times New Roman" w:hAnsi="Times New Roman" w:cs="Times New Roman"/>
          <w:sz w:val="24"/>
          <w:szCs w:val="24"/>
        </w:rPr>
        <w:t> ;</w:t>
      </w:r>
    </w:p>
    <w:p w14:paraId="6B3ACCCB" w14:textId="77777777" w:rsidR="002760B2" w:rsidRPr="002A5BC8" w:rsidRDefault="002760B2" w:rsidP="00CB0FF1">
      <w:pPr>
        <w:widowControl w:val="0"/>
        <w:numPr>
          <w:ilvl w:val="0"/>
          <w:numId w:val="10"/>
        </w:numPr>
        <w:tabs>
          <w:tab w:val="left" w:pos="993"/>
        </w:tabs>
        <w:autoSpaceDE w:val="0"/>
        <w:autoSpaceDN w:val="0"/>
        <w:adjustRightInd w:val="0"/>
        <w:spacing w:before="60" w:after="60" w:line="300" w:lineRule="auto"/>
        <w:ind w:left="1191" w:hanging="340"/>
        <w:rPr>
          <w:rFonts w:ascii="Times New Roman" w:hAnsi="Times New Roman" w:cs="Times New Roman"/>
          <w:b/>
          <w:bCs/>
          <w:i/>
          <w:iCs/>
          <w:sz w:val="24"/>
          <w:szCs w:val="24"/>
        </w:rPr>
      </w:pPr>
      <w:r w:rsidRPr="002B005F">
        <w:rPr>
          <w:rFonts w:ascii="Times New Roman" w:hAnsi="Times New Roman" w:cs="Times New Roman"/>
          <w:b/>
          <w:bCs/>
          <w:i/>
          <w:iCs/>
          <w:sz w:val="24"/>
          <w:szCs w:val="24"/>
        </w:rPr>
        <w:t>Dysfonctionnemen</w:t>
      </w:r>
      <w:r w:rsidR="00442697" w:rsidRPr="002B005F">
        <w:rPr>
          <w:rFonts w:ascii="Times New Roman" w:hAnsi="Times New Roman" w:cs="Times New Roman"/>
          <w:b/>
          <w:bCs/>
          <w:i/>
          <w:iCs/>
          <w:sz w:val="24"/>
          <w:szCs w:val="24"/>
        </w:rPr>
        <w:t>t de l'activité et des systèmes :</w:t>
      </w:r>
      <w:r w:rsidRPr="002B005F">
        <w:rPr>
          <w:rFonts w:ascii="Times New Roman" w:hAnsi="Times New Roman" w:cs="Times New Roman"/>
          <w:b/>
          <w:bCs/>
          <w:i/>
          <w:iCs/>
          <w:sz w:val="24"/>
          <w:szCs w:val="24"/>
        </w:rPr>
        <w:t xml:space="preserve"> </w:t>
      </w:r>
      <w:r w:rsidRPr="002B005F">
        <w:rPr>
          <w:rFonts w:ascii="Times New Roman" w:hAnsi="Times New Roman" w:cs="Times New Roman"/>
          <w:sz w:val="24"/>
          <w:szCs w:val="24"/>
        </w:rPr>
        <w:t>c'est à dire les pannes de matériels et des logiciels informatiques, pannes d'électricité...</w:t>
      </w:r>
    </w:p>
    <w:p w14:paraId="56073C28" w14:textId="77777777" w:rsidR="002A5BC8" w:rsidRPr="002B005F" w:rsidRDefault="002A5BC8" w:rsidP="002A5BC8">
      <w:pPr>
        <w:widowControl w:val="0"/>
        <w:tabs>
          <w:tab w:val="left" w:pos="993"/>
        </w:tabs>
        <w:autoSpaceDE w:val="0"/>
        <w:autoSpaceDN w:val="0"/>
        <w:adjustRightInd w:val="0"/>
        <w:spacing w:before="60" w:after="60" w:line="300" w:lineRule="auto"/>
        <w:ind w:left="1191"/>
        <w:rPr>
          <w:rFonts w:ascii="Times New Roman" w:hAnsi="Times New Roman" w:cs="Times New Roman"/>
          <w:b/>
          <w:bCs/>
          <w:i/>
          <w:iCs/>
          <w:sz w:val="24"/>
          <w:szCs w:val="24"/>
        </w:rPr>
      </w:pPr>
    </w:p>
    <w:p w14:paraId="49CF7A03" w14:textId="77777777" w:rsidR="002760B2" w:rsidRPr="002B005F" w:rsidRDefault="00245624" w:rsidP="002A5BC8">
      <w:pPr>
        <w:pStyle w:val="Titre4"/>
        <w:keepNext w:val="0"/>
        <w:spacing w:before="100" w:beforeAutospacing="1" w:after="120" w:line="300" w:lineRule="auto"/>
        <w:ind w:firstLine="709"/>
      </w:pPr>
      <w:bookmarkStart w:id="663" w:name="_Toc33263279"/>
      <w:bookmarkStart w:id="664" w:name="_Toc37664530"/>
      <w:bookmarkStart w:id="665" w:name="_Toc37666375"/>
      <w:bookmarkStart w:id="666" w:name="_Toc54363264"/>
      <w:bookmarkStart w:id="667" w:name="_Toc58606274"/>
      <w:bookmarkStart w:id="668" w:name="_Toc61263479"/>
      <w:bookmarkStart w:id="669" w:name="_Toc182298710"/>
      <w:r>
        <w:lastRenderedPageBreak/>
        <w:t xml:space="preserve">1.2.7- </w:t>
      </w:r>
      <w:r w:rsidR="009E3134">
        <w:t>Risque</w:t>
      </w:r>
      <w:r w:rsidR="00E326F3" w:rsidRPr="00E326F3">
        <w:t xml:space="preserve"> </w:t>
      </w:r>
      <w:r w:rsidR="002760B2" w:rsidRPr="00E326F3">
        <w:t>juridique</w:t>
      </w:r>
      <w:bookmarkEnd w:id="663"/>
      <w:bookmarkEnd w:id="664"/>
      <w:bookmarkEnd w:id="665"/>
      <w:bookmarkEnd w:id="666"/>
      <w:bookmarkEnd w:id="667"/>
      <w:bookmarkEnd w:id="668"/>
      <w:bookmarkEnd w:id="669"/>
    </w:p>
    <w:p w14:paraId="37889F14" w14:textId="77777777" w:rsidR="002760B2" w:rsidRPr="002B005F" w:rsidRDefault="002760B2" w:rsidP="00D66FFE">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Ce risque concerne le statut légal, la législation et la réglementation qui affectent l'exécuti</w:t>
      </w:r>
      <w:r w:rsidR="000E34D9">
        <w:rPr>
          <w:rFonts w:ascii="Times New Roman" w:hAnsi="Times New Roman" w:cs="Times New Roman"/>
          <w:sz w:val="24"/>
          <w:szCs w:val="24"/>
        </w:rPr>
        <w:t>on des contrats. I</w:t>
      </w:r>
      <w:r w:rsidRPr="002B005F">
        <w:rPr>
          <w:rFonts w:ascii="Times New Roman" w:hAnsi="Times New Roman" w:cs="Times New Roman"/>
          <w:sz w:val="24"/>
          <w:szCs w:val="24"/>
        </w:rPr>
        <w:t>l résulte du non-respect des dispositions propres aux activités bancaires. Ce risque qui implique une sanction judiciaire, peut être d'origine interne ou externe. La première est liée à la gestion interne de la banque ou de ses employés (cas de fraude, violation des lois...), alors que la deuxième concerne la règlementation prudentielle affectant les activités de la banque. Les risques légaux peuvent être considérés comme une sous-catégorie du risque opérationnel.</w:t>
      </w:r>
    </w:p>
    <w:p w14:paraId="0F4BA1E1" w14:textId="77777777" w:rsidR="002760B2" w:rsidRPr="009827C7" w:rsidRDefault="000E34D9" w:rsidP="00D66FFE">
      <w:pPr>
        <w:pStyle w:val="Titre3"/>
        <w:keepNext w:val="0"/>
        <w:keepLines w:val="0"/>
        <w:spacing w:before="100" w:beforeAutospacing="1"/>
        <w:ind w:firstLine="709"/>
        <w:rPr>
          <w:sz w:val="28"/>
          <w:szCs w:val="28"/>
        </w:rPr>
      </w:pPr>
      <w:bookmarkStart w:id="670" w:name="_Toc33263280"/>
      <w:bookmarkStart w:id="671" w:name="_Toc37664531"/>
      <w:bookmarkStart w:id="672" w:name="_Toc37666376"/>
      <w:bookmarkStart w:id="673" w:name="_Toc54363265"/>
      <w:bookmarkStart w:id="674" w:name="_Toc58606275"/>
      <w:bookmarkStart w:id="675" w:name="_Toc61263480"/>
      <w:bookmarkStart w:id="676" w:name="_Toc182298711"/>
      <w:r w:rsidRPr="009827C7">
        <w:rPr>
          <w:sz w:val="28"/>
          <w:szCs w:val="28"/>
        </w:rPr>
        <w:t>1.3-</w:t>
      </w:r>
      <w:r w:rsidR="00877B6D" w:rsidRPr="009827C7">
        <w:rPr>
          <w:sz w:val="28"/>
          <w:szCs w:val="28"/>
        </w:rPr>
        <w:t xml:space="preserve"> </w:t>
      </w:r>
      <w:r w:rsidR="002760B2" w:rsidRPr="009827C7">
        <w:rPr>
          <w:sz w:val="28"/>
          <w:szCs w:val="28"/>
        </w:rPr>
        <w:t xml:space="preserve">Définition et </w:t>
      </w:r>
      <w:r w:rsidR="00A801E8" w:rsidRPr="009827C7">
        <w:rPr>
          <w:sz w:val="28"/>
          <w:szCs w:val="28"/>
        </w:rPr>
        <w:t xml:space="preserve">genèse </w:t>
      </w:r>
      <w:r w:rsidR="002760B2" w:rsidRPr="009827C7">
        <w:rPr>
          <w:sz w:val="28"/>
          <w:szCs w:val="28"/>
        </w:rPr>
        <w:t>de la gestion des risques</w:t>
      </w:r>
      <w:bookmarkEnd w:id="670"/>
      <w:bookmarkEnd w:id="671"/>
      <w:bookmarkEnd w:id="672"/>
      <w:bookmarkEnd w:id="673"/>
      <w:bookmarkEnd w:id="674"/>
      <w:bookmarkEnd w:id="675"/>
      <w:bookmarkEnd w:id="676"/>
    </w:p>
    <w:p w14:paraId="638DDF85" w14:textId="77777777" w:rsidR="002760B2" w:rsidRPr="002B005F" w:rsidRDefault="00877B6D" w:rsidP="00D66FFE">
      <w:pPr>
        <w:pStyle w:val="Titre4"/>
        <w:keepNext w:val="0"/>
        <w:spacing w:before="120" w:after="120" w:line="300" w:lineRule="auto"/>
        <w:ind w:firstLine="709"/>
      </w:pPr>
      <w:bookmarkStart w:id="677" w:name="_Toc33263281"/>
      <w:bookmarkStart w:id="678" w:name="_Toc37664532"/>
      <w:bookmarkStart w:id="679" w:name="_Toc37666377"/>
      <w:bookmarkStart w:id="680" w:name="_Toc54363266"/>
      <w:bookmarkStart w:id="681" w:name="_Toc58606276"/>
      <w:bookmarkStart w:id="682" w:name="_Toc61263481"/>
      <w:bookmarkStart w:id="683" w:name="_Toc182298712"/>
      <w:r>
        <w:t xml:space="preserve">1.3.1- </w:t>
      </w:r>
      <w:r w:rsidR="002760B2" w:rsidRPr="002B005F">
        <w:t>Définition de la gestion des risques</w:t>
      </w:r>
      <w:bookmarkEnd w:id="677"/>
      <w:bookmarkEnd w:id="678"/>
      <w:bookmarkEnd w:id="679"/>
      <w:bookmarkEnd w:id="680"/>
      <w:bookmarkEnd w:id="681"/>
      <w:bookmarkEnd w:id="682"/>
      <w:bookmarkEnd w:id="683"/>
    </w:p>
    <w:p w14:paraId="54C4E6A7" w14:textId="77777777" w:rsidR="002760B2" w:rsidRPr="00CC262F" w:rsidRDefault="002760B2" w:rsidP="00D05172">
      <w:pPr>
        <w:pStyle w:val="Paragraphedeliste"/>
        <w:widowControl w:val="0"/>
        <w:tabs>
          <w:tab w:val="left" w:pos="0"/>
          <w:tab w:val="left" w:pos="2977"/>
        </w:tabs>
        <w:autoSpaceDE w:val="0"/>
        <w:autoSpaceDN w:val="0"/>
        <w:adjustRightInd w:val="0"/>
        <w:spacing w:before="120" w:after="120" w:line="300" w:lineRule="auto"/>
        <w:ind w:left="0" w:firstLine="709"/>
        <w:contextualSpacing w:val="0"/>
        <w:rPr>
          <w:rFonts w:ascii="Times New Roman" w:hAnsi="Times New Roman" w:cs="Times New Roman"/>
          <w:color w:val="000000" w:themeColor="text1"/>
          <w:spacing w:val="-4"/>
          <w:sz w:val="24"/>
          <w:szCs w:val="24"/>
        </w:rPr>
      </w:pPr>
      <w:r w:rsidRPr="00CC262F">
        <w:rPr>
          <w:rFonts w:ascii="Times New Roman" w:hAnsi="Times New Roman" w:cs="Times New Roman"/>
          <w:spacing w:val="-4"/>
          <w:sz w:val="24"/>
          <w:szCs w:val="24"/>
        </w:rPr>
        <w:t>La gestion des risques a pour but de créer un cadre de référence aux entreprises afin d'affronter efficacement le risque et l'incertitude. Elle traite des risques et des opportunités ayant une incidence sur la création ou la préservation de la valeur. Elle se définit comme suit</w:t>
      </w:r>
      <w:r w:rsidR="00A801E8" w:rsidRPr="00CC262F">
        <w:rPr>
          <w:rFonts w:ascii="Times New Roman" w:hAnsi="Times New Roman" w:cs="Times New Roman"/>
          <w:spacing w:val="-4"/>
          <w:sz w:val="24"/>
          <w:szCs w:val="24"/>
        </w:rPr>
        <w:t> :</w:t>
      </w:r>
      <w:r w:rsidRPr="00CC262F">
        <w:rPr>
          <w:rFonts w:ascii="Times New Roman" w:hAnsi="Times New Roman" w:cs="Times New Roman"/>
          <w:spacing w:val="-4"/>
          <w:sz w:val="24"/>
          <w:szCs w:val="24"/>
        </w:rPr>
        <w:t xml:space="preserve"> « </w:t>
      </w:r>
      <w:r w:rsidR="00A801E8" w:rsidRPr="00CC262F">
        <w:rPr>
          <w:rFonts w:ascii="Times New Roman" w:hAnsi="Times New Roman" w:cs="Times New Roman"/>
          <w:spacing w:val="-4"/>
          <w:sz w:val="24"/>
          <w:szCs w:val="24"/>
        </w:rPr>
        <w:t>C</w:t>
      </w:r>
      <w:r w:rsidRPr="00CC262F">
        <w:rPr>
          <w:rFonts w:ascii="Times New Roman" w:hAnsi="Times New Roman" w:cs="Times New Roman"/>
          <w:spacing w:val="-4"/>
          <w:sz w:val="24"/>
          <w:szCs w:val="24"/>
        </w:rPr>
        <w:t>'est le processus global adopté par une institution financière pour définir sa stratégie, identifier les risques encourus, quantifier ces risques, comprendre et contrôler la nature des risques </w:t>
      </w:r>
      <w:r w:rsidRPr="00CC262F">
        <w:rPr>
          <w:rFonts w:ascii="Times New Roman" w:hAnsi="Times New Roman" w:cs="Times New Roman"/>
          <w:color w:val="000000" w:themeColor="text1"/>
          <w:spacing w:val="-4"/>
          <w:sz w:val="24"/>
          <w:szCs w:val="24"/>
        </w:rPr>
        <w:t>»</w:t>
      </w:r>
      <w:r w:rsidR="00A801E8" w:rsidRPr="00CC262F">
        <w:rPr>
          <w:rFonts w:ascii="Times New Roman" w:hAnsi="Times New Roman" w:cs="Times New Roman"/>
          <w:color w:val="000000" w:themeColor="text1"/>
          <w:spacing w:val="-4"/>
          <w:sz w:val="24"/>
          <w:szCs w:val="24"/>
        </w:rPr>
        <w:t>.</w:t>
      </w:r>
      <w:r w:rsidRPr="00CC262F">
        <w:rPr>
          <w:rStyle w:val="Appelnotedebasdep"/>
          <w:rFonts w:ascii="Times New Roman" w:hAnsi="Times New Roman"/>
          <w:color w:val="000000" w:themeColor="text1"/>
          <w:spacing w:val="-4"/>
          <w:sz w:val="24"/>
          <w:szCs w:val="24"/>
        </w:rPr>
        <w:footnoteReference w:id="185"/>
      </w:r>
    </w:p>
    <w:p w14:paraId="20D17FBE" w14:textId="77777777" w:rsidR="002760B2" w:rsidRPr="002B005F" w:rsidRDefault="002760B2" w:rsidP="00D05172">
      <w:pPr>
        <w:pStyle w:val="Paragraphedeliste"/>
        <w:widowControl w:val="0"/>
        <w:tabs>
          <w:tab w:val="left" w:pos="0"/>
        </w:tabs>
        <w:autoSpaceDE w:val="0"/>
        <w:autoSpaceDN w:val="0"/>
        <w:adjustRightInd w:val="0"/>
        <w:spacing w:before="120" w:after="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Elle est définie par </w:t>
      </w:r>
      <w:r w:rsidRPr="002B005F">
        <w:rPr>
          <w:rFonts w:ascii="Times New Roman" w:hAnsi="Times New Roman" w:cs="Times New Roman"/>
          <w:smallCaps/>
          <w:sz w:val="24"/>
          <w:szCs w:val="24"/>
        </w:rPr>
        <w:t>Eustache</w:t>
      </w:r>
      <w:r w:rsidRPr="002B005F">
        <w:rPr>
          <w:rFonts w:ascii="Times New Roman" w:hAnsi="Times New Roman" w:cs="Times New Roman"/>
          <w:sz w:val="24"/>
          <w:szCs w:val="24"/>
        </w:rPr>
        <w:t xml:space="preserve"> et </w:t>
      </w:r>
      <w:r w:rsidRPr="002B005F">
        <w:rPr>
          <w:rFonts w:ascii="Times New Roman" w:hAnsi="Times New Roman" w:cs="Times New Roman"/>
          <w:smallCaps/>
          <w:sz w:val="24"/>
          <w:szCs w:val="24"/>
        </w:rPr>
        <w:t>Zéghal</w:t>
      </w:r>
      <w:r w:rsidR="00F15E38" w:rsidRPr="002B005F">
        <w:rPr>
          <w:rFonts w:ascii="Times New Roman" w:hAnsi="Times New Roman" w:cs="Times New Roman"/>
          <w:sz w:val="24"/>
          <w:szCs w:val="24"/>
        </w:rPr>
        <w:t xml:space="preserve"> (2009) comme étant :</w:t>
      </w:r>
      <w:r w:rsidRPr="002B005F">
        <w:rPr>
          <w:rFonts w:ascii="Times New Roman" w:hAnsi="Times New Roman" w:cs="Times New Roman"/>
          <w:sz w:val="24"/>
          <w:szCs w:val="24"/>
        </w:rPr>
        <w:t xml:space="preserve"> « </w:t>
      </w:r>
      <w:r w:rsidRPr="002B005F">
        <w:rPr>
          <w:rFonts w:ascii="Times New Roman" w:hAnsi="Times New Roman" w:cs="Times New Roman"/>
          <w:i/>
          <w:iCs/>
          <w:sz w:val="24"/>
          <w:szCs w:val="24"/>
        </w:rPr>
        <w:t>un processus mis en œuvre par l'ensemble des collaborateurs de l'organisation. Il est pris en compte dans l'élaboration de la stratégie ainsi que dans toutes les activités de l'organisation. Il est conçu pour identifier les évènements potentiels susceptibles d'affecter l'organisation et pour gérer les risques dans les limites de son appétence pour le risque. Il vise à fournir une assurance raisonnable quant à l'atteinte des objectifs de l'organisation</w:t>
      </w:r>
      <w:r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186"/>
      </w:r>
      <w:r w:rsidRPr="002B005F">
        <w:rPr>
          <w:rFonts w:ascii="Times New Roman" w:hAnsi="Times New Roman" w:cs="Times New Roman"/>
          <w:sz w:val="24"/>
          <w:szCs w:val="24"/>
        </w:rPr>
        <w:t>.</w:t>
      </w:r>
    </w:p>
    <w:p w14:paraId="201E6528" w14:textId="77777777" w:rsidR="002760B2" w:rsidRPr="002B005F" w:rsidRDefault="00A801E8" w:rsidP="00D05172">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E326F3">
        <w:rPr>
          <w:rFonts w:ascii="Times New Roman" w:hAnsi="Times New Roman" w:cs="Times New Roman"/>
          <w:sz w:val="24"/>
          <w:szCs w:val="24"/>
        </w:rPr>
        <w:t xml:space="preserve">A son </w:t>
      </w:r>
      <w:r w:rsidRPr="00CC262F">
        <w:rPr>
          <w:rFonts w:ascii="Times New Roman" w:hAnsi="Times New Roman" w:cs="Times New Roman"/>
          <w:sz w:val="24"/>
          <w:szCs w:val="24"/>
        </w:rPr>
        <w:t>tour,</w:t>
      </w:r>
      <w:r w:rsidRPr="00CC262F">
        <w:rPr>
          <w:rFonts w:ascii="Times New Roman" w:hAnsi="Times New Roman" w:cs="Times New Roman"/>
          <w:smallCaps/>
          <w:sz w:val="24"/>
          <w:szCs w:val="24"/>
        </w:rPr>
        <w:t xml:space="preserve"> </w:t>
      </w:r>
      <w:r w:rsidR="002760B2" w:rsidRPr="00CC262F">
        <w:rPr>
          <w:rFonts w:ascii="Times New Roman" w:hAnsi="Times New Roman" w:cs="Times New Roman"/>
          <w:smallCaps/>
          <w:sz w:val="24"/>
          <w:szCs w:val="24"/>
        </w:rPr>
        <w:t>Dionne</w:t>
      </w:r>
      <w:r w:rsidR="002760B2" w:rsidRPr="002B005F">
        <w:rPr>
          <w:rFonts w:ascii="Times New Roman" w:hAnsi="Times New Roman" w:cs="Times New Roman"/>
          <w:sz w:val="24"/>
          <w:szCs w:val="24"/>
        </w:rPr>
        <w:t xml:space="preserve"> (2001) a défini la gestion des risques comme : « </w:t>
      </w:r>
      <w:r w:rsidR="002760B2" w:rsidRPr="002B005F">
        <w:rPr>
          <w:rFonts w:ascii="Times New Roman" w:hAnsi="Times New Roman" w:cs="Times New Roman"/>
          <w:i/>
          <w:iCs/>
          <w:sz w:val="24"/>
          <w:szCs w:val="24"/>
        </w:rPr>
        <w:t>un ensemble d'activités qui permet de maximiser la valeur d'une entreprise en réduisant les coûts associés à la volatilité de ses cash-flows</w:t>
      </w:r>
      <w:r w:rsidR="002760B2" w:rsidRPr="002B005F">
        <w:rPr>
          <w:rFonts w:ascii="Times New Roman" w:hAnsi="Times New Roman" w:cs="Times New Roman"/>
          <w:sz w:val="24"/>
          <w:szCs w:val="24"/>
        </w:rPr>
        <w:t> ».</w:t>
      </w:r>
      <w:r w:rsidR="002760B2" w:rsidRPr="002B005F">
        <w:rPr>
          <w:rStyle w:val="Appelnotedebasdep"/>
          <w:rFonts w:ascii="Times New Roman" w:hAnsi="Times New Roman"/>
          <w:sz w:val="24"/>
          <w:szCs w:val="24"/>
        </w:rPr>
        <w:footnoteReference w:id="187"/>
      </w:r>
    </w:p>
    <w:p w14:paraId="491B6DCC" w14:textId="77777777" w:rsidR="002760B2" w:rsidRPr="002B005F" w:rsidRDefault="002760B2" w:rsidP="00D05172">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Donc, la gestion de risques permet de recenser les différents risques de façon claire et structurée en utilisant les mesures appropriées afin de réduire les pertes potentielles.</w:t>
      </w:r>
    </w:p>
    <w:p w14:paraId="3C5002C7" w14:textId="77777777" w:rsidR="002760B2" w:rsidRPr="002B005F" w:rsidRDefault="00497D56" w:rsidP="00D66FFE">
      <w:pPr>
        <w:pStyle w:val="Titre4"/>
        <w:keepNext w:val="0"/>
        <w:spacing w:before="120" w:after="120" w:line="300" w:lineRule="auto"/>
        <w:ind w:firstLine="709"/>
      </w:pPr>
      <w:bookmarkStart w:id="684" w:name="_Toc33263282"/>
      <w:bookmarkStart w:id="685" w:name="_Toc37664533"/>
      <w:bookmarkStart w:id="686" w:name="_Toc37666378"/>
      <w:bookmarkStart w:id="687" w:name="_Toc54363267"/>
      <w:bookmarkStart w:id="688" w:name="_Toc57230167"/>
      <w:bookmarkStart w:id="689" w:name="_Toc57881287"/>
      <w:bookmarkStart w:id="690" w:name="_Toc57900757"/>
      <w:bookmarkStart w:id="691" w:name="_Toc33263284"/>
      <w:bookmarkStart w:id="692" w:name="_Toc37664535"/>
      <w:bookmarkStart w:id="693" w:name="_Toc37666380"/>
      <w:bookmarkStart w:id="694" w:name="_Toc54363269"/>
      <w:bookmarkStart w:id="695" w:name="_Toc57230169"/>
      <w:bookmarkStart w:id="696" w:name="_Toc57881289"/>
      <w:bookmarkStart w:id="697" w:name="_Toc57900759"/>
      <w:bookmarkStart w:id="698" w:name="_Toc33263285"/>
      <w:bookmarkStart w:id="699" w:name="_Toc37664536"/>
      <w:bookmarkStart w:id="700" w:name="_Toc37666381"/>
      <w:bookmarkStart w:id="701" w:name="_Toc54363270"/>
      <w:bookmarkStart w:id="702" w:name="_Toc57230170"/>
      <w:bookmarkStart w:id="703" w:name="_Toc57881290"/>
      <w:bookmarkStart w:id="704" w:name="_Toc57900760"/>
      <w:bookmarkStart w:id="705" w:name="_Toc33263286"/>
      <w:bookmarkStart w:id="706" w:name="_Toc37664537"/>
      <w:bookmarkStart w:id="707" w:name="_Toc37666382"/>
      <w:bookmarkStart w:id="708" w:name="_Toc54363271"/>
      <w:bookmarkStart w:id="709" w:name="_Toc57230171"/>
      <w:bookmarkStart w:id="710" w:name="_Toc57881291"/>
      <w:bookmarkStart w:id="711" w:name="_Toc57900761"/>
      <w:bookmarkStart w:id="712" w:name="_Toc33263287"/>
      <w:bookmarkStart w:id="713" w:name="_Toc37664538"/>
      <w:bookmarkStart w:id="714" w:name="_Toc37666383"/>
      <w:bookmarkStart w:id="715" w:name="_Toc54363272"/>
      <w:bookmarkStart w:id="716" w:name="_Toc58606277"/>
      <w:bookmarkStart w:id="717" w:name="_Toc61263482"/>
      <w:bookmarkStart w:id="718" w:name="_Toc18229871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Pr="002B005F">
        <w:t>1.3.2-</w:t>
      </w:r>
      <w:r w:rsidR="00877B6D">
        <w:t xml:space="preserve"> </w:t>
      </w:r>
      <w:r w:rsidR="00A801E8" w:rsidRPr="00E326F3">
        <w:t>Genèse</w:t>
      </w:r>
      <w:r w:rsidR="00A801E8" w:rsidRPr="002B005F">
        <w:t xml:space="preserve"> </w:t>
      </w:r>
      <w:r w:rsidR="002760B2" w:rsidRPr="002B005F">
        <w:t>de la gestion des risques financiers</w:t>
      </w:r>
      <w:bookmarkEnd w:id="712"/>
      <w:bookmarkEnd w:id="713"/>
      <w:bookmarkEnd w:id="714"/>
      <w:bookmarkEnd w:id="715"/>
      <w:bookmarkEnd w:id="716"/>
      <w:bookmarkEnd w:id="717"/>
      <w:bookmarkEnd w:id="718"/>
    </w:p>
    <w:p w14:paraId="648753B3" w14:textId="77777777" w:rsidR="002760B2" w:rsidRPr="002B005F" w:rsidRDefault="002760B2" w:rsidP="00D05172">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Malgré que les activités financières et commerciales </w:t>
      </w:r>
      <w:r w:rsidR="00280ABC" w:rsidRPr="002B005F">
        <w:rPr>
          <w:rFonts w:ascii="Times New Roman" w:hAnsi="Times New Roman" w:cs="Times New Roman"/>
          <w:sz w:val="24"/>
          <w:szCs w:val="24"/>
        </w:rPr>
        <w:t>fussent</w:t>
      </w:r>
      <w:r w:rsidRPr="002B005F">
        <w:rPr>
          <w:rFonts w:ascii="Times New Roman" w:hAnsi="Times New Roman" w:cs="Times New Roman"/>
          <w:sz w:val="24"/>
          <w:szCs w:val="24"/>
        </w:rPr>
        <w:t xml:space="preserve"> depuis toujours confrontées aux risques, l'étude formelle de la problématique de la gestion des risques n'a commencé que vers la deuxième moitié du vingtième siècle. Ce n'est que dans les années 1950-1960 que les chercheurs </w:t>
      </w:r>
      <w:r w:rsidRPr="002B005F">
        <w:rPr>
          <w:rFonts w:ascii="Times New Roman" w:hAnsi="Times New Roman" w:cs="Times New Roman"/>
          <w:smallCaps/>
          <w:sz w:val="24"/>
          <w:szCs w:val="24"/>
        </w:rPr>
        <w:t>Markowitz, Lintner, Treynor, Sharpe</w:t>
      </w:r>
      <w:r w:rsidRPr="002B005F">
        <w:rPr>
          <w:rFonts w:ascii="Times New Roman" w:hAnsi="Times New Roman" w:cs="Times New Roman"/>
          <w:sz w:val="24"/>
          <w:szCs w:val="24"/>
        </w:rPr>
        <w:t xml:space="preserve"> et </w:t>
      </w:r>
      <w:r w:rsidRPr="002B005F">
        <w:rPr>
          <w:rFonts w:ascii="Times New Roman" w:hAnsi="Times New Roman" w:cs="Times New Roman"/>
          <w:smallCaps/>
          <w:sz w:val="24"/>
          <w:szCs w:val="24"/>
        </w:rPr>
        <w:t xml:space="preserve">Mossin </w:t>
      </w:r>
      <w:r w:rsidRPr="002B005F">
        <w:rPr>
          <w:rFonts w:ascii="Times New Roman" w:hAnsi="Times New Roman" w:cs="Times New Roman"/>
          <w:sz w:val="24"/>
          <w:szCs w:val="24"/>
        </w:rPr>
        <w:t>entrep</w:t>
      </w:r>
      <w:r w:rsidR="00354393" w:rsidRPr="002B005F">
        <w:rPr>
          <w:rFonts w:ascii="Times New Roman" w:hAnsi="Times New Roman" w:cs="Times New Roman"/>
          <w:sz w:val="24"/>
          <w:szCs w:val="24"/>
        </w:rPr>
        <w:t xml:space="preserve">rennent des travaux </w:t>
      </w:r>
      <w:r w:rsidR="00497D56" w:rsidRPr="002B005F">
        <w:rPr>
          <w:rFonts w:ascii="Times New Roman" w:hAnsi="Times New Roman" w:cs="Times New Roman"/>
          <w:sz w:val="24"/>
          <w:szCs w:val="24"/>
        </w:rPr>
        <w:t>primordiaux</w:t>
      </w:r>
      <w:r w:rsidRPr="002B005F">
        <w:rPr>
          <w:rFonts w:ascii="Times New Roman" w:hAnsi="Times New Roman" w:cs="Times New Roman"/>
          <w:sz w:val="24"/>
          <w:szCs w:val="24"/>
        </w:rPr>
        <w:t xml:space="preserve"> sur le risque</w:t>
      </w:r>
      <w:r w:rsidR="00D822DE" w:rsidRPr="002B005F">
        <w:rPr>
          <w:rFonts w:ascii="Times New Roman" w:hAnsi="Times New Roman" w:cs="Times New Roman"/>
          <w:sz w:val="24"/>
          <w:szCs w:val="24"/>
        </w:rPr>
        <w:t>.</w:t>
      </w:r>
      <w:r w:rsidRPr="002B005F">
        <w:rPr>
          <w:rStyle w:val="Appelnotedebasdep"/>
          <w:rFonts w:ascii="Times New Roman" w:hAnsi="Times New Roman"/>
          <w:sz w:val="24"/>
          <w:szCs w:val="24"/>
        </w:rPr>
        <w:footnoteReference w:id="188"/>
      </w:r>
    </w:p>
    <w:p w14:paraId="36A2D7D7" w14:textId="77777777" w:rsidR="002760B2" w:rsidRPr="00E326F3" w:rsidRDefault="002760B2" w:rsidP="00D05172">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lastRenderedPageBreak/>
        <w:t xml:space="preserve">L'article de </w:t>
      </w:r>
      <w:r w:rsidRPr="002B005F">
        <w:rPr>
          <w:rFonts w:ascii="Times New Roman" w:hAnsi="Times New Roman" w:cs="Times New Roman"/>
          <w:smallCaps/>
          <w:sz w:val="24"/>
          <w:szCs w:val="24"/>
        </w:rPr>
        <w:t>Markowitz</w:t>
      </w:r>
      <w:r w:rsidRPr="002B005F">
        <w:rPr>
          <w:rFonts w:ascii="Times New Roman" w:hAnsi="Times New Roman" w:cs="Times New Roman"/>
          <w:sz w:val="24"/>
          <w:szCs w:val="24"/>
        </w:rPr>
        <w:t xml:space="preserve"> (1952) a pu montrer que la sélection d'un portefeuille optimal repose sur la maximisation des gains et </w:t>
      </w:r>
      <w:r w:rsidRPr="00E326F3">
        <w:rPr>
          <w:rFonts w:ascii="Times New Roman" w:hAnsi="Times New Roman" w:cs="Times New Roman"/>
          <w:sz w:val="24"/>
          <w:szCs w:val="24"/>
        </w:rPr>
        <w:t xml:space="preserve">de </w:t>
      </w:r>
      <w:r w:rsidR="00A801E8" w:rsidRPr="00E326F3">
        <w:rPr>
          <w:rFonts w:ascii="Times New Roman" w:hAnsi="Times New Roman" w:cs="Times New Roman"/>
          <w:sz w:val="24"/>
          <w:szCs w:val="24"/>
        </w:rPr>
        <w:t xml:space="preserve">la </w:t>
      </w:r>
      <w:r w:rsidRPr="00E326F3">
        <w:rPr>
          <w:rFonts w:ascii="Times New Roman" w:hAnsi="Times New Roman" w:cs="Times New Roman"/>
          <w:sz w:val="24"/>
          <w:szCs w:val="24"/>
        </w:rPr>
        <w:t>minimisation des risques. C'est</w:t>
      </w:r>
      <w:r w:rsidR="00A801E8" w:rsidRPr="00E326F3">
        <w:rPr>
          <w:rFonts w:ascii="Times New Roman" w:hAnsi="Times New Roman" w:cs="Times New Roman"/>
          <w:sz w:val="24"/>
          <w:szCs w:val="24"/>
        </w:rPr>
        <w:t>-</w:t>
      </w:r>
      <w:r w:rsidRPr="00E326F3">
        <w:rPr>
          <w:rFonts w:ascii="Times New Roman" w:hAnsi="Times New Roman" w:cs="Times New Roman"/>
          <w:sz w:val="24"/>
          <w:szCs w:val="24"/>
        </w:rPr>
        <w:t>à</w:t>
      </w:r>
      <w:r w:rsidR="00A801E8" w:rsidRPr="00E326F3">
        <w:rPr>
          <w:rFonts w:ascii="Times New Roman" w:hAnsi="Times New Roman" w:cs="Times New Roman"/>
          <w:sz w:val="24"/>
          <w:szCs w:val="24"/>
        </w:rPr>
        <w:t>-</w:t>
      </w:r>
      <w:r w:rsidRPr="00E326F3">
        <w:rPr>
          <w:rFonts w:ascii="Times New Roman" w:hAnsi="Times New Roman" w:cs="Times New Roman"/>
          <w:sz w:val="24"/>
          <w:szCs w:val="24"/>
        </w:rPr>
        <w:t>dire qu'une meilleure prise de risques financiers conduit à réaliser des gains parfaits</w:t>
      </w:r>
      <w:r w:rsidRPr="00E326F3">
        <w:rPr>
          <w:rStyle w:val="Appelnotedebasdep"/>
          <w:rFonts w:ascii="Times New Roman" w:hAnsi="Times New Roman"/>
          <w:sz w:val="24"/>
          <w:szCs w:val="24"/>
        </w:rPr>
        <w:footnoteReference w:id="189"/>
      </w:r>
      <w:r w:rsidRPr="00E326F3">
        <w:rPr>
          <w:rFonts w:ascii="Times New Roman" w:hAnsi="Times New Roman" w:cs="Times New Roman"/>
          <w:color w:val="000000" w:themeColor="text1"/>
          <w:sz w:val="24"/>
          <w:szCs w:val="24"/>
        </w:rPr>
        <w:t xml:space="preserve">. </w:t>
      </w:r>
      <w:r w:rsidRPr="00E326F3">
        <w:rPr>
          <w:rFonts w:ascii="Times New Roman" w:hAnsi="Times New Roman" w:cs="Times New Roman"/>
          <w:sz w:val="24"/>
          <w:szCs w:val="24"/>
        </w:rPr>
        <w:t>Donc, le bon investisseur doit trouver une combinaison optimale entre les risques et les gains. C</w:t>
      </w:r>
      <w:r w:rsidR="00A801E8" w:rsidRPr="00E326F3">
        <w:rPr>
          <w:rFonts w:ascii="Times New Roman" w:hAnsi="Times New Roman" w:cs="Times New Roman"/>
          <w:sz w:val="24"/>
          <w:szCs w:val="24"/>
        </w:rPr>
        <w:t>ependant, c</w:t>
      </w:r>
      <w:r w:rsidRPr="00E326F3">
        <w:rPr>
          <w:rFonts w:ascii="Times New Roman" w:hAnsi="Times New Roman" w:cs="Times New Roman"/>
          <w:sz w:val="24"/>
          <w:szCs w:val="24"/>
        </w:rPr>
        <w:t>ette approche a connu quelqu</w:t>
      </w:r>
      <w:r w:rsidR="00CC262F">
        <w:rPr>
          <w:rFonts w:ascii="Times New Roman" w:hAnsi="Times New Roman" w:cs="Times New Roman"/>
          <w:sz w:val="24"/>
          <w:szCs w:val="24"/>
        </w:rPr>
        <w:t>es lacunes d'ordre opérationnel</w:t>
      </w:r>
      <w:r w:rsidRPr="00E326F3">
        <w:rPr>
          <w:rFonts w:ascii="Times New Roman" w:hAnsi="Times New Roman" w:cs="Times New Roman"/>
          <w:sz w:val="24"/>
          <w:szCs w:val="24"/>
        </w:rPr>
        <w:t>, dans le cas d'un nombre important d'avoir</w:t>
      </w:r>
      <w:r w:rsidR="00AA3F55" w:rsidRPr="00E326F3">
        <w:rPr>
          <w:rFonts w:ascii="Times New Roman" w:hAnsi="Times New Roman" w:cs="Times New Roman"/>
          <w:sz w:val="24"/>
          <w:szCs w:val="24"/>
        </w:rPr>
        <w:t>s</w:t>
      </w:r>
      <w:r w:rsidRPr="00E326F3">
        <w:rPr>
          <w:rFonts w:ascii="Times New Roman" w:hAnsi="Times New Roman" w:cs="Times New Roman"/>
          <w:sz w:val="24"/>
          <w:szCs w:val="24"/>
        </w:rPr>
        <w:t xml:space="preserve"> dans le portefeuille.</w:t>
      </w:r>
    </w:p>
    <w:p w14:paraId="203F1678" w14:textId="77777777" w:rsidR="002760B2" w:rsidRPr="002B005F" w:rsidRDefault="00497D56" w:rsidP="00D05172">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E326F3">
        <w:rPr>
          <w:rFonts w:ascii="Times New Roman" w:hAnsi="Times New Roman" w:cs="Times New Roman"/>
          <w:sz w:val="24"/>
          <w:szCs w:val="24"/>
        </w:rPr>
        <w:t>Par la suite, un autre modèle a été introduit</w:t>
      </w:r>
      <w:r w:rsidR="002760B2" w:rsidRPr="00E326F3">
        <w:rPr>
          <w:rFonts w:ascii="Times New Roman" w:hAnsi="Times New Roman" w:cs="Times New Roman"/>
          <w:sz w:val="24"/>
          <w:szCs w:val="24"/>
        </w:rPr>
        <w:t xml:space="preserve"> par </w:t>
      </w:r>
      <w:r w:rsidR="002760B2" w:rsidRPr="00E326F3">
        <w:rPr>
          <w:rFonts w:ascii="Times New Roman" w:hAnsi="Times New Roman" w:cs="Times New Roman"/>
          <w:smallCaps/>
          <w:sz w:val="24"/>
          <w:szCs w:val="24"/>
        </w:rPr>
        <w:t>Sharpe, Lintner</w:t>
      </w:r>
      <w:r w:rsidR="002760B2" w:rsidRPr="00E326F3">
        <w:rPr>
          <w:rFonts w:ascii="Times New Roman" w:hAnsi="Times New Roman" w:cs="Times New Roman"/>
          <w:sz w:val="24"/>
          <w:szCs w:val="24"/>
        </w:rPr>
        <w:t xml:space="preserve"> et </w:t>
      </w:r>
      <w:r w:rsidR="002760B2" w:rsidRPr="00E326F3">
        <w:rPr>
          <w:rFonts w:ascii="Times New Roman" w:hAnsi="Times New Roman" w:cs="Times New Roman"/>
          <w:smallCaps/>
          <w:sz w:val="24"/>
          <w:szCs w:val="24"/>
        </w:rPr>
        <w:t>Mossi</w:t>
      </w:r>
      <w:r w:rsidR="00442697" w:rsidRPr="00E326F3">
        <w:rPr>
          <w:rFonts w:ascii="Times New Roman" w:hAnsi="Times New Roman" w:cs="Times New Roman"/>
          <w:sz w:val="24"/>
          <w:szCs w:val="24"/>
        </w:rPr>
        <w:t xml:space="preserve"> dans les années 60, baptisé </w:t>
      </w:r>
      <w:r w:rsidR="002760B2" w:rsidRPr="00E326F3">
        <w:rPr>
          <w:rFonts w:ascii="Times New Roman" w:hAnsi="Times New Roman" w:cs="Times New Roman"/>
          <w:sz w:val="24"/>
          <w:szCs w:val="24"/>
        </w:rPr>
        <w:t xml:space="preserve">le </w:t>
      </w:r>
      <w:r w:rsidR="00442697" w:rsidRPr="00E326F3">
        <w:rPr>
          <w:rFonts w:ascii="Times New Roman" w:hAnsi="Times New Roman" w:cs="Times New Roman"/>
          <w:sz w:val="24"/>
          <w:szCs w:val="24"/>
        </w:rPr>
        <w:t>« </w:t>
      </w:r>
      <w:r w:rsidR="002760B2" w:rsidRPr="00E326F3">
        <w:rPr>
          <w:rFonts w:ascii="Times New Roman" w:hAnsi="Times New Roman" w:cs="Times New Roman"/>
          <w:sz w:val="24"/>
          <w:szCs w:val="24"/>
        </w:rPr>
        <w:t>Modèle d'Evaluatio</w:t>
      </w:r>
      <w:r w:rsidRPr="00E326F3">
        <w:rPr>
          <w:rFonts w:ascii="Times New Roman" w:hAnsi="Times New Roman" w:cs="Times New Roman"/>
          <w:sz w:val="24"/>
          <w:szCs w:val="24"/>
        </w:rPr>
        <w:t>n des Actifs Financiers</w:t>
      </w:r>
      <w:r w:rsidR="00442697" w:rsidRPr="00E326F3">
        <w:rPr>
          <w:rFonts w:ascii="Times New Roman" w:hAnsi="Times New Roman" w:cs="Times New Roman"/>
          <w:sz w:val="24"/>
          <w:szCs w:val="24"/>
        </w:rPr>
        <w:t> »</w:t>
      </w:r>
      <w:r w:rsidRPr="00E326F3">
        <w:rPr>
          <w:rFonts w:ascii="Times New Roman" w:hAnsi="Times New Roman" w:cs="Times New Roman"/>
          <w:sz w:val="24"/>
          <w:szCs w:val="24"/>
        </w:rPr>
        <w:t xml:space="preserve"> (MEDAF) </w:t>
      </w:r>
      <w:r w:rsidR="002760B2" w:rsidRPr="00E326F3">
        <w:rPr>
          <w:rFonts w:ascii="Times New Roman" w:hAnsi="Times New Roman" w:cs="Times New Roman"/>
          <w:sz w:val="24"/>
          <w:szCs w:val="24"/>
        </w:rPr>
        <w:t>ou "Capital</w:t>
      </w:r>
      <w:r w:rsidRPr="00E326F3">
        <w:rPr>
          <w:rFonts w:ascii="Times New Roman" w:hAnsi="Times New Roman" w:cs="Times New Roman"/>
          <w:sz w:val="24"/>
          <w:szCs w:val="24"/>
        </w:rPr>
        <w:t xml:space="preserve"> </w:t>
      </w:r>
      <w:r w:rsidR="00442697" w:rsidRPr="00E326F3">
        <w:rPr>
          <w:rFonts w:ascii="Times New Roman" w:hAnsi="Times New Roman" w:cs="Times New Roman"/>
          <w:sz w:val="24"/>
          <w:szCs w:val="24"/>
        </w:rPr>
        <w:t>Asset Pricing</w:t>
      </w:r>
      <w:r w:rsidRPr="00E326F3">
        <w:rPr>
          <w:rFonts w:ascii="Times New Roman" w:hAnsi="Times New Roman" w:cs="Times New Roman"/>
          <w:sz w:val="24"/>
          <w:szCs w:val="24"/>
        </w:rPr>
        <w:t xml:space="preserve"> Model</w:t>
      </w:r>
      <w:r w:rsidR="00442697" w:rsidRPr="00E326F3">
        <w:rPr>
          <w:rFonts w:ascii="Times New Roman" w:hAnsi="Times New Roman" w:cs="Times New Roman"/>
          <w:sz w:val="24"/>
          <w:szCs w:val="24"/>
        </w:rPr>
        <w:t>"</w:t>
      </w:r>
      <w:r w:rsidRPr="00E326F3">
        <w:rPr>
          <w:rFonts w:ascii="Times New Roman" w:hAnsi="Times New Roman" w:cs="Times New Roman"/>
          <w:sz w:val="24"/>
          <w:szCs w:val="24"/>
        </w:rPr>
        <w:t xml:space="preserve"> (CAPM)</w:t>
      </w:r>
      <w:r w:rsidR="002760B2" w:rsidRPr="00E326F3">
        <w:rPr>
          <w:rFonts w:ascii="Times New Roman" w:hAnsi="Times New Roman" w:cs="Times New Roman"/>
          <w:sz w:val="24"/>
          <w:szCs w:val="24"/>
        </w:rPr>
        <w:t>. Ce modèle est basé sur les études accompli</w:t>
      </w:r>
      <w:r w:rsidR="00442697" w:rsidRPr="00E326F3">
        <w:rPr>
          <w:rFonts w:ascii="Times New Roman" w:hAnsi="Times New Roman" w:cs="Times New Roman"/>
          <w:sz w:val="24"/>
          <w:szCs w:val="24"/>
        </w:rPr>
        <w:t>e</w:t>
      </w:r>
      <w:r w:rsidR="002760B2" w:rsidRPr="00E326F3">
        <w:rPr>
          <w:rFonts w:ascii="Times New Roman" w:hAnsi="Times New Roman" w:cs="Times New Roman"/>
          <w:sz w:val="24"/>
          <w:szCs w:val="24"/>
        </w:rPr>
        <w:t xml:space="preserve">s par </w:t>
      </w:r>
      <w:r w:rsidR="002760B2" w:rsidRPr="00E326F3">
        <w:rPr>
          <w:rFonts w:ascii="Times New Roman" w:hAnsi="Times New Roman" w:cs="Times New Roman"/>
          <w:smallCaps/>
          <w:sz w:val="24"/>
          <w:szCs w:val="24"/>
        </w:rPr>
        <w:t>Markowitz</w:t>
      </w:r>
      <w:r w:rsidR="002760B2" w:rsidRPr="00E326F3">
        <w:rPr>
          <w:rFonts w:ascii="Times New Roman" w:hAnsi="Times New Roman" w:cs="Times New Roman"/>
          <w:sz w:val="24"/>
          <w:szCs w:val="24"/>
        </w:rPr>
        <w:t xml:space="preserve"> (1952). Il fournit une estimation du taux de rentabilité attendu pour un actif donné en fonction de son risque systématique. Ce </w:t>
      </w:r>
      <w:r w:rsidRPr="00E326F3">
        <w:rPr>
          <w:rFonts w:ascii="Times New Roman" w:hAnsi="Times New Roman" w:cs="Times New Roman"/>
          <w:sz w:val="24"/>
          <w:szCs w:val="24"/>
        </w:rPr>
        <w:t>dernier est représenté par le "bê</w:t>
      </w:r>
      <w:r w:rsidR="002760B2" w:rsidRPr="00E326F3">
        <w:rPr>
          <w:rFonts w:ascii="Times New Roman" w:hAnsi="Times New Roman" w:cs="Times New Roman"/>
          <w:sz w:val="24"/>
          <w:szCs w:val="24"/>
        </w:rPr>
        <w:t xml:space="preserve">ta" de </w:t>
      </w:r>
      <w:r w:rsidRPr="00E326F3">
        <w:rPr>
          <w:rFonts w:ascii="Times New Roman" w:hAnsi="Times New Roman" w:cs="Times New Roman"/>
          <w:sz w:val="24"/>
          <w:szCs w:val="24"/>
        </w:rPr>
        <w:t>l'actif financier, c'est-à-</w:t>
      </w:r>
      <w:r w:rsidR="002760B2" w:rsidRPr="00E326F3">
        <w:rPr>
          <w:rFonts w:ascii="Times New Roman" w:hAnsi="Times New Roman" w:cs="Times New Roman"/>
          <w:sz w:val="24"/>
          <w:szCs w:val="24"/>
        </w:rPr>
        <w:t>dire la volatilité de la rentabilité de l’actif rapportée à celle du marché</w:t>
      </w:r>
      <w:r w:rsidR="009F7270" w:rsidRPr="00E326F3">
        <w:rPr>
          <w:rFonts w:ascii="Times New Roman" w:hAnsi="Times New Roman" w:cs="Times New Roman"/>
          <w:sz w:val="24"/>
          <w:szCs w:val="24"/>
        </w:rPr>
        <w:t>.</w:t>
      </w:r>
      <w:r w:rsidR="002760B2" w:rsidRPr="00E326F3">
        <w:rPr>
          <w:rFonts w:ascii="Times New Roman" w:hAnsi="Times New Roman" w:cs="Times New Roman"/>
          <w:sz w:val="24"/>
          <w:szCs w:val="24"/>
        </w:rPr>
        <w:t xml:space="preserve"> </w:t>
      </w:r>
      <w:r w:rsidR="009F7270" w:rsidRPr="00E326F3">
        <w:rPr>
          <w:rFonts w:ascii="Times New Roman" w:hAnsi="Times New Roman" w:cs="Times New Roman"/>
          <w:sz w:val="24"/>
          <w:szCs w:val="24"/>
        </w:rPr>
        <w:t>L</w:t>
      </w:r>
      <w:r w:rsidR="002760B2" w:rsidRPr="00E326F3">
        <w:rPr>
          <w:rFonts w:ascii="Times New Roman" w:hAnsi="Times New Roman" w:cs="Times New Roman"/>
          <w:sz w:val="24"/>
          <w:szCs w:val="24"/>
        </w:rPr>
        <w:t>a formule de base du modèle est la suivante</w:t>
      </w:r>
      <w:r w:rsidR="002760B2" w:rsidRPr="00E326F3">
        <w:rPr>
          <w:rStyle w:val="Appelnotedebasdep"/>
          <w:rFonts w:ascii="Times New Roman" w:hAnsi="Times New Roman"/>
          <w:sz w:val="24"/>
          <w:szCs w:val="24"/>
        </w:rPr>
        <w:footnoteReference w:id="190"/>
      </w:r>
      <w:r w:rsidRPr="00E326F3">
        <w:rPr>
          <w:rFonts w:ascii="Times New Roman" w:hAnsi="Times New Roman" w:cs="Times New Roman"/>
          <w:sz w:val="24"/>
          <w:szCs w:val="24"/>
        </w:rPr>
        <w:t> :</w:t>
      </w:r>
    </w:p>
    <w:p w14:paraId="2F4DB863" w14:textId="77777777" w:rsidR="002760B2" w:rsidRPr="000F76E0" w:rsidRDefault="002760B2" w:rsidP="00D05172">
      <w:pPr>
        <w:pStyle w:val="Paragraphedeliste"/>
        <w:widowControl w:val="0"/>
        <w:tabs>
          <w:tab w:val="left" w:pos="0"/>
        </w:tabs>
        <w:autoSpaceDE w:val="0"/>
        <w:autoSpaceDN w:val="0"/>
        <w:adjustRightInd w:val="0"/>
        <w:spacing w:before="120" w:after="120" w:line="300" w:lineRule="auto"/>
        <w:ind w:left="0"/>
        <w:contextualSpacing w:val="0"/>
        <w:jc w:val="center"/>
        <w:rPr>
          <w:rFonts w:ascii="Times New Roman" w:hAnsi="Times New Roman" w:cs="Times New Roman"/>
          <w:b/>
          <w:bCs/>
          <w:spacing w:val="20"/>
          <w:sz w:val="28"/>
          <w:szCs w:val="28"/>
        </w:rPr>
      </w:pPr>
      <w:r w:rsidRPr="000F76E0">
        <w:rPr>
          <w:rFonts w:ascii="Times New Roman" w:hAnsi="Times New Roman" w:cs="Times New Roman"/>
          <w:b/>
          <w:bCs/>
          <w:spacing w:val="20"/>
          <w:sz w:val="28"/>
          <w:szCs w:val="28"/>
        </w:rPr>
        <w:t>r</w:t>
      </w:r>
      <w:r w:rsidRPr="000F76E0">
        <w:rPr>
          <w:rFonts w:ascii="Times New Roman" w:hAnsi="Times New Roman" w:cs="Times New Roman"/>
          <w:b/>
          <w:bCs/>
          <w:spacing w:val="20"/>
          <w:sz w:val="28"/>
          <w:szCs w:val="28"/>
          <w:vertAlign w:val="subscript"/>
        </w:rPr>
        <w:t xml:space="preserve">a = </w:t>
      </w:r>
      <w:r w:rsidRPr="000F76E0">
        <w:rPr>
          <w:rFonts w:ascii="Times New Roman" w:hAnsi="Times New Roman" w:cs="Times New Roman"/>
          <w:b/>
          <w:bCs/>
          <w:spacing w:val="20"/>
          <w:sz w:val="28"/>
          <w:szCs w:val="28"/>
        </w:rPr>
        <w:t>r</w:t>
      </w:r>
      <w:r w:rsidRPr="000F76E0">
        <w:rPr>
          <w:rFonts w:ascii="Times New Roman" w:hAnsi="Times New Roman" w:cs="Times New Roman"/>
          <w:b/>
          <w:bCs/>
          <w:spacing w:val="20"/>
          <w:sz w:val="28"/>
          <w:szCs w:val="28"/>
          <w:vertAlign w:val="subscript"/>
        </w:rPr>
        <w:t>f</w:t>
      </w:r>
      <w:r w:rsidRPr="000F76E0">
        <w:rPr>
          <w:rFonts w:ascii="Times New Roman" w:hAnsi="Times New Roman" w:cs="Times New Roman"/>
          <w:b/>
          <w:bCs/>
          <w:spacing w:val="20"/>
          <w:sz w:val="28"/>
          <w:szCs w:val="28"/>
        </w:rPr>
        <w:t xml:space="preserve"> + </w:t>
      </w:r>
      <w:r w:rsidRPr="002B005F">
        <w:rPr>
          <w:rFonts w:ascii="Times New Roman" w:hAnsi="Times New Roman" w:cs="Times New Roman"/>
          <w:b/>
          <w:bCs/>
          <w:color w:val="000000" w:themeColor="text1"/>
          <w:spacing w:val="20"/>
          <w:sz w:val="28"/>
          <w:szCs w:val="28"/>
          <w:lang w:val="en-GB"/>
        </w:rPr>
        <w:t>β</w:t>
      </w:r>
      <w:r w:rsidRPr="000F76E0">
        <w:rPr>
          <w:rFonts w:ascii="Times New Roman" w:hAnsi="Times New Roman" w:cs="Times New Roman"/>
          <w:b/>
          <w:bCs/>
          <w:spacing w:val="20"/>
          <w:sz w:val="28"/>
          <w:szCs w:val="28"/>
          <w:vertAlign w:val="subscript"/>
        </w:rPr>
        <w:t xml:space="preserve">a </w:t>
      </w:r>
      <w:r w:rsidRPr="000F76E0">
        <w:rPr>
          <w:rFonts w:ascii="Times New Roman" w:hAnsi="Times New Roman" w:cs="Times New Roman"/>
          <w:b/>
          <w:bCs/>
          <w:spacing w:val="20"/>
          <w:sz w:val="28"/>
          <w:szCs w:val="28"/>
        </w:rPr>
        <w:t>(r</w:t>
      </w:r>
      <w:r w:rsidRPr="000F76E0">
        <w:rPr>
          <w:rFonts w:ascii="Times New Roman" w:hAnsi="Times New Roman" w:cs="Times New Roman"/>
          <w:b/>
          <w:bCs/>
          <w:spacing w:val="20"/>
          <w:sz w:val="28"/>
          <w:szCs w:val="28"/>
          <w:vertAlign w:val="subscript"/>
        </w:rPr>
        <w:t>m</w:t>
      </w:r>
      <w:r w:rsidR="00497D56" w:rsidRPr="000F76E0">
        <w:rPr>
          <w:rFonts w:ascii="Times New Roman" w:hAnsi="Times New Roman" w:cs="Times New Roman"/>
          <w:b/>
          <w:bCs/>
          <w:spacing w:val="20"/>
          <w:sz w:val="28"/>
          <w:szCs w:val="28"/>
        </w:rPr>
        <w:t xml:space="preserve"> </w:t>
      </w:r>
      <w:r w:rsidRPr="000F76E0">
        <w:rPr>
          <w:rFonts w:ascii="Times New Roman" w:hAnsi="Times New Roman" w:cs="Times New Roman"/>
          <w:b/>
          <w:bCs/>
          <w:spacing w:val="20"/>
          <w:sz w:val="28"/>
          <w:szCs w:val="28"/>
        </w:rPr>
        <w:t>- r</w:t>
      </w:r>
      <w:r w:rsidRPr="000F76E0">
        <w:rPr>
          <w:rFonts w:ascii="Times New Roman" w:hAnsi="Times New Roman" w:cs="Times New Roman"/>
          <w:b/>
          <w:bCs/>
          <w:spacing w:val="20"/>
          <w:sz w:val="28"/>
          <w:szCs w:val="28"/>
          <w:vertAlign w:val="subscript"/>
        </w:rPr>
        <w:t>f</w:t>
      </w:r>
      <w:r w:rsidRPr="000F76E0">
        <w:rPr>
          <w:rFonts w:ascii="Times New Roman" w:hAnsi="Times New Roman" w:cs="Times New Roman"/>
          <w:b/>
          <w:bCs/>
          <w:spacing w:val="20"/>
          <w:sz w:val="28"/>
          <w:szCs w:val="28"/>
        </w:rPr>
        <w:t>)</w:t>
      </w:r>
    </w:p>
    <w:p w14:paraId="53A769AF" w14:textId="77777777" w:rsidR="002760B2" w:rsidRPr="002B005F" w:rsidRDefault="00497D56" w:rsidP="00D05172">
      <w:pPr>
        <w:pStyle w:val="Paragraphedeliste"/>
        <w:widowControl w:val="0"/>
        <w:tabs>
          <w:tab w:val="left" w:pos="0"/>
        </w:tabs>
        <w:autoSpaceDE w:val="0"/>
        <w:autoSpaceDN w:val="0"/>
        <w:adjustRightInd w:val="0"/>
        <w:spacing w:before="120" w:line="300" w:lineRule="auto"/>
        <w:ind w:left="0"/>
        <w:contextualSpacing w:val="0"/>
        <w:rPr>
          <w:rFonts w:ascii="Times New Roman" w:hAnsi="Times New Roman" w:cs="Times New Roman"/>
          <w:b/>
          <w:bCs/>
          <w:sz w:val="24"/>
          <w:szCs w:val="24"/>
        </w:rPr>
      </w:pPr>
      <w:r w:rsidRPr="002B005F">
        <w:rPr>
          <w:rFonts w:ascii="Times New Roman" w:hAnsi="Times New Roman" w:cs="Times New Roman"/>
          <w:b/>
          <w:bCs/>
          <w:sz w:val="24"/>
          <w:szCs w:val="24"/>
        </w:rPr>
        <w:t>Avec :</w:t>
      </w:r>
    </w:p>
    <w:p w14:paraId="588E2F7F" w14:textId="77777777" w:rsidR="002760B2" w:rsidRPr="002B005F" w:rsidRDefault="002760B2" w:rsidP="0004035B">
      <w:pPr>
        <w:pStyle w:val="Paragraphedeliste"/>
        <w:widowControl w:val="0"/>
        <w:tabs>
          <w:tab w:val="left" w:pos="0"/>
        </w:tabs>
        <w:autoSpaceDE w:val="0"/>
        <w:autoSpaceDN w:val="0"/>
        <w:adjustRightInd w:val="0"/>
        <w:spacing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b/>
          <w:bCs/>
          <w:sz w:val="24"/>
          <w:szCs w:val="24"/>
        </w:rPr>
        <w:t>r</w:t>
      </w:r>
      <w:r w:rsidR="00442697" w:rsidRPr="002B005F">
        <w:rPr>
          <w:rFonts w:ascii="Times New Roman" w:hAnsi="Times New Roman" w:cs="Times New Roman"/>
          <w:b/>
          <w:bCs/>
          <w:sz w:val="24"/>
          <w:szCs w:val="24"/>
          <w:vertAlign w:val="subscript"/>
        </w:rPr>
        <w:t>a :</w:t>
      </w:r>
      <w:r w:rsidRPr="002B005F">
        <w:rPr>
          <w:rFonts w:ascii="Times New Roman" w:hAnsi="Times New Roman" w:cs="Times New Roman"/>
          <w:b/>
          <w:bCs/>
          <w:sz w:val="24"/>
          <w:szCs w:val="24"/>
          <w:vertAlign w:val="subscript"/>
        </w:rPr>
        <w:t xml:space="preserve"> </w:t>
      </w:r>
      <w:r w:rsidRPr="002B005F">
        <w:rPr>
          <w:rFonts w:ascii="Times New Roman" w:hAnsi="Times New Roman" w:cs="Times New Roman"/>
          <w:sz w:val="24"/>
          <w:szCs w:val="24"/>
        </w:rPr>
        <w:t>Rentabilité espérée de l'actif financier</w:t>
      </w:r>
      <w:r w:rsidR="00442697" w:rsidRPr="002B005F">
        <w:rPr>
          <w:rFonts w:ascii="Times New Roman" w:hAnsi="Times New Roman" w:cs="Times New Roman"/>
          <w:sz w:val="24"/>
          <w:szCs w:val="24"/>
        </w:rPr>
        <w:t>.</w:t>
      </w:r>
    </w:p>
    <w:p w14:paraId="61C0FB91" w14:textId="77777777" w:rsidR="002760B2" w:rsidRPr="002B005F" w:rsidRDefault="002760B2" w:rsidP="0004035B">
      <w:pPr>
        <w:pStyle w:val="Paragraphedeliste"/>
        <w:widowControl w:val="0"/>
        <w:tabs>
          <w:tab w:val="left" w:pos="0"/>
        </w:tabs>
        <w:autoSpaceDE w:val="0"/>
        <w:autoSpaceDN w:val="0"/>
        <w:adjustRightInd w:val="0"/>
        <w:spacing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b/>
          <w:bCs/>
          <w:sz w:val="24"/>
          <w:szCs w:val="24"/>
        </w:rPr>
        <w:t>r</w:t>
      </w:r>
      <w:r w:rsidRPr="002B005F">
        <w:rPr>
          <w:rFonts w:ascii="Times New Roman" w:hAnsi="Times New Roman" w:cs="Times New Roman"/>
          <w:b/>
          <w:bCs/>
          <w:sz w:val="24"/>
          <w:szCs w:val="24"/>
          <w:vertAlign w:val="subscript"/>
        </w:rPr>
        <w:t>f</w:t>
      </w:r>
      <w:r w:rsidR="00442697" w:rsidRPr="002B005F">
        <w:rPr>
          <w:rFonts w:ascii="Times New Roman" w:hAnsi="Times New Roman" w:cs="Times New Roman"/>
          <w:b/>
          <w:bCs/>
          <w:sz w:val="24"/>
          <w:szCs w:val="24"/>
          <w:vertAlign w:val="subscript"/>
        </w:rPr>
        <w:t> </w:t>
      </w:r>
      <w:r w:rsidR="00442697" w:rsidRPr="002B005F">
        <w:rPr>
          <w:rFonts w:ascii="Times New Roman" w:hAnsi="Times New Roman" w:cs="Times New Roman"/>
          <w:sz w:val="24"/>
          <w:szCs w:val="24"/>
        </w:rPr>
        <w:t>:</w:t>
      </w:r>
      <w:r w:rsidRPr="002B005F">
        <w:rPr>
          <w:rFonts w:ascii="Times New Roman" w:hAnsi="Times New Roman" w:cs="Times New Roman"/>
          <w:sz w:val="24"/>
          <w:szCs w:val="24"/>
        </w:rPr>
        <w:t xml:space="preserve"> Taux sans risque (généralement des emprunts d'Etat)</w:t>
      </w:r>
      <w:r w:rsidR="00442697" w:rsidRPr="002B005F">
        <w:rPr>
          <w:rFonts w:ascii="Times New Roman" w:hAnsi="Times New Roman" w:cs="Times New Roman"/>
          <w:sz w:val="24"/>
          <w:szCs w:val="24"/>
        </w:rPr>
        <w:t>.</w:t>
      </w:r>
    </w:p>
    <w:p w14:paraId="437FE11D" w14:textId="77777777" w:rsidR="002760B2" w:rsidRPr="002B005F" w:rsidRDefault="002760B2" w:rsidP="0004035B">
      <w:pPr>
        <w:pStyle w:val="Paragraphedeliste"/>
        <w:widowControl w:val="0"/>
        <w:tabs>
          <w:tab w:val="left" w:pos="0"/>
        </w:tabs>
        <w:autoSpaceDE w:val="0"/>
        <w:autoSpaceDN w:val="0"/>
        <w:adjustRightInd w:val="0"/>
        <w:spacing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b/>
          <w:bCs/>
          <w:color w:val="000000" w:themeColor="text1"/>
          <w:sz w:val="24"/>
          <w:szCs w:val="24"/>
          <w:lang w:val="en-GB"/>
        </w:rPr>
        <w:t>β</w:t>
      </w:r>
      <w:r w:rsidRPr="002B005F">
        <w:rPr>
          <w:rFonts w:ascii="Times New Roman" w:hAnsi="Times New Roman" w:cs="Times New Roman"/>
          <w:b/>
          <w:bCs/>
          <w:sz w:val="24"/>
          <w:szCs w:val="24"/>
          <w:vertAlign w:val="subscript"/>
        </w:rPr>
        <w:t>a</w:t>
      </w:r>
      <w:r w:rsidR="00442697" w:rsidRPr="002B005F">
        <w:rPr>
          <w:rFonts w:ascii="Times New Roman" w:hAnsi="Times New Roman" w:cs="Times New Roman"/>
          <w:b/>
          <w:bCs/>
          <w:sz w:val="24"/>
          <w:szCs w:val="24"/>
          <w:vertAlign w:val="subscript"/>
        </w:rPr>
        <w:t> </w:t>
      </w:r>
      <w:r w:rsidR="00442697" w:rsidRPr="002B005F">
        <w:rPr>
          <w:rFonts w:ascii="Times New Roman" w:hAnsi="Times New Roman" w:cs="Times New Roman"/>
          <w:sz w:val="24"/>
          <w:szCs w:val="24"/>
        </w:rPr>
        <w:t>: Bê</w:t>
      </w:r>
      <w:r w:rsidRPr="002B005F">
        <w:rPr>
          <w:rFonts w:ascii="Times New Roman" w:hAnsi="Times New Roman" w:cs="Times New Roman"/>
          <w:sz w:val="24"/>
          <w:szCs w:val="24"/>
        </w:rPr>
        <w:t>ta de l'actif financier</w:t>
      </w:r>
      <w:r w:rsidR="00442697" w:rsidRPr="002B005F">
        <w:rPr>
          <w:rFonts w:ascii="Times New Roman" w:hAnsi="Times New Roman" w:cs="Times New Roman"/>
          <w:sz w:val="24"/>
          <w:szCs w:val="24"/>
        </w:rPr>
        <w:t>.</w:t>
      </w:r>
    </w:p>
    <w:p w14:paraId="1BEBDD8B" w14:textId="77777777" w:rsidR="002760B2" w:rsidRPr="002B005F" w:rsidRDefault="002760B2" w:rsidP="0004035B">
      <w:pPr>
        <w:pStyle w:val="Paragraphedeliste"/>
        <w:widowControl w:val="0"/>
        <w:tabs>
          <w:tab w:val="left" w:pos="0"/>
        </w:tabs>
        <w:autoSpaceDE w:val="0"/>
        <w:autoSpaceDN w:val="0"/>
        <w:adjustRightInd w:val="0"/>
        <w:spacing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b/>
          <w:bCs/>
          <w:sz w:val="24"/>
          <w:szCs w:val="24"/>
        </w:rPr>
        <w:t>r</w:t>
      </w:r>
      <w:r w:rsidRPr="002B005F">
        <w:rPr>
          <w:rFonts w:ascii="Times New Roman" w:hAnsi="Times New Roman" w:cs="Times New Roman"/>
          <w:b/>
          <w:bCs/>
          <w:sz w:val="24"/>
          <w:szCs w:val="24"/>
          <w:vertAlign w:val="subscript"/>
        </w:rPr>
        <w:t>m</w:t>
      </w:r>
      <w:r w:rsidR="00442697" w:rsidRPr="002B005F">
        <w:rPr>
          <w:rFonts w:ascii="Times New Roman" w:hAnsi="Times New Roman" w:cs="Times New Roman"/>
          <w:b/>
          <w:bCs/>
          <w:sz w:val="24"/>
          <w:szCs w:val="24"/>
          <w:vertAlign w:val="subscript"/>
        </w:rPr>
        <w:t> </w:t>
      </w:r>
      <w:r w:rsidR="00442697" w:rsidRPr="002B005F">
        <w:rPr>
          <w:rFonts w:ascii="Times New Roman" w:hAnsi="Times New Roman" w:cs="Times New Roman"/>
          <w:sz w:val="24"/>
          <w:szCs w:val="24"/>
        </w:rPr>
        <w:t>:</w:t>
      </w:r>
      <w:r w:rsidRPr="002B005F">
        <w:rPr>
          <w:rFonts w:ascii="Times New Roman" w:hAnsi="Times New Roman" w:cs="Times New Roman"/>
          <w:sz w:val="24"/>
          <w:szCs w:val="24"/>
        </w:rPr>
        <w:t xml:space="preserve"> rentabilité espérée du marché</w:t>
      </w:r>
      <w:r w:rsidR="00442697" w:rsidRPr="002B005F">
        <w:rPr>
          <w:rFonts w:ascii="Times New Roman" w:hAnsi="Times New Roman" w:cs="Times New Roman"/>
          <w:sz w:val="24"/>
          <w:szCs w:val="24"/>
        </w:rPr>
        <w:t>.</w:t>
      </w:r>
    </w:p>
    <w:p w14:paraId="429EE654" w14:textId="77777777" w:rsidR="002760B2" w:rsidRPr="00346FA3" w:rsidRDefault="002760B2" w:rsidP="00346FA3">
      <w:pPr>
        <w:widowControl w:val="0"/>
        <w:tabs>
          <w:tab w:val="left" w:pos="0"/>
        </w:tabs>
        <w:autoSpaceDE w:val="0"/>
        <w:autoSpaceDN w:val="0"/>
        <w:adjustRightInd w:val="0"/>
        <w:spacing w:before="100" w:beforeAutospacing="1" w:after="120" w:line="300" w:lineRule="auto"/>
        <w:ind w:firstLine="709"/>
        <w:rPr>
          <w:rFonts w:ascii="Times New Roman" w:hAnsi="Times New Roman" w:cs="Times New Roman"/>
          <w:sz w:val="24"/>
          <w:szCs w:val="24"/>
        </w:rPr>
      </w:pPr>
      <w:r w:rsidRPr="00346FA3">
        <w:rPr>
          <w:rFonts w:ascii="Times New Roman" w:hAnsi="Times New Roman" w:cs="Times New Roman"/>
          <w:sz w:val="24"/>
          <w:szCs w:val="24"/>
        </w:rPr>
        <w:t xml:space="preserve">Donc, le MEDAF décrit la rentabilité de l'actif comme la rentabilité sans risque majoré d'une prime de risque de marché pondérée par le </w:t>
      </w:r>
      <w:r w:rsidR="00346FA3" w:rsidRPr="00346FA3">
        <w:rPr>
          <w:rFonts w:ascii="Times New Roman" w:hAnsi="Times New Roman" w:cs="Times New Roman"/>
          <w:sz w:val="24"/>
          <w:szCs w:val="24"/>
        </w:rPr>
        <w:t>bê</w:t>
      </w:r>
      <w:r w:rsidRPr="00346FA3">
        <w:rPr>
          <w:rFonts w:ascii="Times New Roman" w:hAnsi="Times New Roman" w:cs="Times New Roman"/>
          <w:sz w:val="24"/>
          <w:szCs w:val="24"/>
        </w:rPr>
        <w:t>ta de l'actif.</w:t>
      </w:r>
      <w:r w:rsidR="00346FA3" w:rsidRPr="00346FA3">
        <w:rPr>
          <w:rFonts w:ascii="Times New Roman" w:hAnsi="Times New Roman" w:cs="Times New Roman"/>
          <w:sz w:val="24"/>
          <w:szCs w:val="24"/>
        </w:rPr>
        <w:t xml:space="preserve"> Tandis que le MEDAF explique une relation entre le rendement attendu d'actif et un seul facteur de </w:t>
      </w:r>
      <w:r w:rsidR="00346FA3" w:rsidRPr="00E326F3">
        <w:rPr>
          <w:rFonts w:ascii="Times New Roman" w:hAnsi="Times New Roman" w:cs="Times New Roman"/>
          <w:sz w:val="24"/>
          <w:szCs w:val="24"/>
        </w:rPr>
        <w:t>risque,</w:t>
      </w:r>
      <w:r w:rsidRPr="00E326F3">
        <w:rPr>
          <w:rFonts w:ascii="Times New Roman" w:hAnsi="Times New Roman" w:cs="Times New Roman"/>
          <w:sz w:val="24"/>
          <w:szCs w:val="24"/>
        </w:rPr>
        <w:t xml:space="preserve"> </w:t>
      </w:r>
      <w:r w:rsidR="007D16BC" w:rsidRPr="00E326F3">
        <w:rPr>
          <w:rFonts w:ascii="Times New Roman" w:hAnsi="Times New Roman" w:cs="Times New Roman"/>
          <w:sz w:val="24"/>
          <w:szCs w:val="24"/>
        </w:rPr>
        <w:t>le</w:t>
      </w:r>
      <w:r w:rsidR="00497D56" w:rsidRPr="00E326F3">
        <w:rPr>
          <w:rFonts w:ascii="Times New Roman" w:hAnsi="Times New Roman" w:cs="Times New Roman"/>
          <w:sz w:val="24"/>
          <w:szCs w:val="24"/>
        </w:rPr>
        <w:t xml:space="preserve"> </w:t>
      </w:r>
      <w:r w:rsidR="00346FA3" w:rsidRPr="00E326F3">
        <w:rPr>
          <w:rFonts w:ascii="Times New Roman" w:hAnsi="Times New Roman" w:cs="Times New Roman"/>
          <w:b/>
          <w:bCs/>
          <w:color w:val="202124"/>
          <w:sz w:val="24"/>
          <w:szCs w:val="24"/>
          <w:shd w:val="clear" w:color="auto" w:fill="FFFFFF"/>
        </w:rPr>
        <w:t>modèle d'évaluation par arbitrage</w:t>
      </w:r>
      <w:r w:rsidR="007D16BC" w:rsidRPr="00E326F3">
        <w:rPr>
          <w:rFonts w:ascii="Times New Roman" w:hAnsi="Times New Roman" w:cs="Times New Roman"/>
          <w:color w:val="202124"/>
          <w:sz w:val="24"/>
          <w:szCs w:val="24"/>
          <w:shd w:val="clear" w:color="auto" w:fill="FFFFFF"/>
        </w:rPr>
        <w:t xml:space="preserve"> </w:t>
      </w:r>
      <w:r w:rsidR="00346FA3" w:rsidRPr="00E326F3">
        <w:rPr>
          <w:rFonts w:ascii="Times New Roman" w:hAnsi="Times New Roman" w:cs="Times New Roman"/>
          <w:color w:val="202124"/>
          <w:sz w:val="24"/>
          <w:szCs w:val="24"/>
          <w:shd w:val="clear" w:color="auto" w:fill="FFFFFF"/>
        </w:rPr>
        <w:t>ou MEA (en anglais,</w:t>
      </w:r>
      <w:r w:rsidR="007D16BC" w:rsidRPr="00E326F3">
        <w:rPr>
          <w:rFonts w:ascii="Times New Roman" w:hAnsi="Times New Roman" w:cs="Times New Roman"/>
          <w:color w:val="202124"/>
          <w:sz w:val="24"/>
          <w:szCs w:val="24"/>
          <w:shd w:val="clear" w:color="auto" w:fill="FFFFFF"/>
        </w:rPr>
        <w:t xml:space="preserve"> </w:t>
      </w:r>
      <w:r w:rsidR="00346FA3" w:rsidRPr="00E326F3">
        <w:rPr>
          <w:rFonts w:ascii="Times New Roman" w:hAnsi="Times New Roman" w:cs="Times New Roman"/>
          <w:b/>
          <w:bCs/>
          <w:color w:val="202124"/>
          <w:sz w:val="24"/>
          <w:szCs w:val="24"/>
          <w:shd w:val="clear" w:color="auto" w:fill="FFFFFF"/>
        </w:rPr>
        <w:t>arbitrage</w:t>
      </w:r>
      <w:r w:rsidR="007D16BC" w:rsidRPr="00E326F3">
        <w:rPr>
          <w:rFonts w:ascii="Times New Roman" w:hAnsi="Times New Roman" w:cs="Times New Roman"/>
          <w:color w:val="202124"/>
          <w:sz w:val="24"/>
          <w:szCs w:val="24"/>
          <w:shd w:val="clear" w:color="auto" w:fill="FFFFFF"/>
        </w:rPr>
        <w:t xml:space="preserve"> </w:t>
      </w:r>
      <w:r w:rsidR="00346FA3" w:rsidRPr="00E326F3">
        <w:rPr>
          <w:rFonts w:ascii="Times New Roman" w:hAnsi="Times New Roman" w:cs="Times New Roman"/>
          <w:color w:val="202124"/>
          <w:sz w:val="24"/>
          <w:szCs w:val="24"/>
          <w:shd w:val="clear" w:color="auto" w:fill="FFFFFF"/>
        </w:rPr>
        <w:t>pricing theory ou APT)</w:t>
      </w:r>
      <w:r w:rsidR="007D16BC" w:rsidRPr="00E326F3">
        <w:rPr>
          <w:rFonts w:ascii="Times New Roman" w:hAnsi="Times New Roman" w:cs="Times New Roman"/>
          <w:color w:val="202124"/>
          <w:sz w:val="24"/>
          <w:szCs w:val="24"/>
          <w:shd w:val="clear" w:color="auto" w:fill="FFFFFF"/>
        </w:rPr>
        <w:t xml:space="preserve"> </w:t>
      </w:r>
      <w:r w:rsidRPr="00E326F3">
        <w:rPr>
          <w:rFonts w:ascii="Times New Roman" w:hAnsi="Times New Roman" w:cs="Times New Roman"/>
          <w:sz w:val="24"/>
          <w:szCs w:val="24"/>
        </w:rPr>
        <w:t xml:space="preserve">proposé par </w:t>
      </w:r>
      <w:r w:rsidRPr="00E326F3">
        <w:rPr>
          <w:rFonts w:ascii="Times New Roman" w:hAnsi="Times New Roman" w:cs="Times New Roman"/>
          <w:smallCaps/>
          <w:sz w:val="24"/>
          <w:szCs w:val="24"/>
        </w:rPr>
        <w:t>Ross</w:t>
      </w:r>
      <w:r w:rsidRPr="00E326F3">
        <w:rPr>
          <w:rFonts w:ascii="Times New Roman" w:hAnsi="Times New Roman" w:cs="Times New Roman"/>
          <w:sz w:val="24"/>
          <w:szCs w:val="24"/>
        </w:rPr>
        <w:t xml:space="preserve"> (1976) suggère une relation multifactorielle entre le risque et le rendement</w:t>
      </w:r>
      <w:r w:rsidR="00346FA3" w:rsidRPr="00E326F3">
        <w:rPr>
          <w:rFonts w:ascii="Times New Roman" w:hAnsi="Times New Roman" w:cs="Times New Roman"/>
          <w:sz w:val="24"/>
          <w:szCs w:val="24"/>
        </w:rPr>
        <w:t>.</w:t>
      </w:r>
      <w:r w:rsidR="00442697" w:rsidRPr="00E326F3">
        <w:rPr>
          <w:rFonts w:ascii="Times New Roman" w:hAnsi="Times New Roman" w:cs="Times New Roman"/>
          <w:sz w:val="24"/>
          <w:szCs w:val="24"/>
        </w:rPr>
        <w:t xml:space="preserve"> Autrement dit</w:t>
      </w:r>
      <w:r w:rsidRPr="00E326F3">
        <w:rPr>
          <w:rFonts w:ascii="Times New Roman" w:hAnsi="Times New Roman" w:cs="Times New Roman"/>
          <w:sz w:val="24"/>
          <w:szCs w:val="24"/>
        </w:rPr>
        <w:t>, l'APT ne dépend pas d'un portefeuille de marché et n'impose pas</w:t>
      </w:r>
      <w:r w:rsidRPr="00346FA3">
        <w:rPr>
          <w:rFonts w:ascii="Times New Roman" w:hAnsi="Times New Roman" w:cs="Times New Roman"/>
          <w:sz w:val="24"/>
          <w:szCs w:val="24"/>
        </w:rPr>
        <w:t xml:space="preserve"> un comportement restrictif à l'investisseur. </w:t>
      </w:r>
      <w:r w:rsidR="007D16BC">
        <w:rPr>
          <w:rFonts w:ascii="Times New Roman" w:hAnsi="Times New Roman" w:cs="Times New Roman"/>
          <w:sz w:val="24"/>
          <w:szCs w:val="24"/>
        </w:rPr>
        <w:t>Il</w:t>
      </w:r>
      <w:r w:rsidRPr="00346FA3">
        <w:rPr>
          <w:rFonts w:ascii="Times New Roman" w:hAnsi="Times New Roman" w:cs="Times New Roman"/>
          <w:sz w:val="24"/>
          <w:szCs w:val="24"/>
        </w:rPr>
        <w:t xml:space="preserve"> permet d'expliquer les rendements des actifs financiers en fonction de plusieurs sources de risque et d'évaluer efficacement le rendement des portefeuilles</w:t>
      </w:r>
      <w:r w:rsidRPr="00346FA3">
        <w:rPr>
          <w:rStyle w:val="Appelnotedebasdep"/>
          <w:rFonts w:ascii="Times New Roman" w:hAnsi="Times New Roman"/>
          <w:sz w:val="24"/>
          <w:szCs w:val="24"/>
        </w:rPr>
        <w:footnoteReference w:id="191"/>
      </w:r>
      <w:r w:rsidRPr="00346FA3">
        <w:rPr>
          <w:rFonts w:ascii="Times New Roman" w:hAnsi="Times New Roman" w:cs="Times New Roman"/>
          <w:sz w:val="24"/>
          <w:szCs w:val="24"/>
        </w:rPr>
        <w:t>.</w:t>
      </w:r>
      <w:r w:rsidR="00D05172" w:rsidRPr="00346FA3">
        <w:rPr>
          <w:rFonts w:ascii="Times New Roman" w:hAnsi="Times New Roman" w:cs="Times New Roman"/>
          <w:sz w:val="24"/>
          <w:szCs w:val="24"/>
        </w:rPr>
        <w:t xml:space="preserve"> </w:t>
      </w:r>
      <w:r w:rsidRPr="00346FA3">
        <w:rPr>
          <w:rFonts w:ascii="Times New Roman" w:hAnsi="Times New Roman" w:cs="Times New Roman"/>
          <w:sz w:val="24"/>
          <w:szCs w:val="24"/>
        </w:rPr>
        <w:t>Le modèle APT est donné par la relation linéaire suivante</w:t>
      </w:r>
      <w:r w:rsidR="00346FA3" w:rsidRPr="00346FA3">
        <w:rPr>
          <w:rFonts w:ascii="Times New Roman" w:hAnsi="Times New Roman" w:cs="Times New Roman"/>
          <w:sz w:val="24"/>
          <w:szCs w:val="24"/>
        </w:rPr>
        <w:t> :</w:t>
      </w:r>
    </w:p>
    <w:p w14:paraId="64F6ED45" w14:textId="77777777" w:rsidR="002760B2" w:rsidRPr="002B005F" w:rsidRDefault="002760B2" w:rsidP="00D05172">
      <w:pPr>
        <w:pStyle w:val="Paragraphedeliste"/>
        <w:widowControl w:val="0"/>
        <w:tabs>
          <w:tab w:val="left" w:pos="0"/>
        </w:tabs>
        <w:autoSpaceDE w:val="0"/>
        <w:autoSpaceDN w:val="0"/>
        <w:adjustRightInd w:val="0"/>
        <w:spacing w:before="120" w:after="120" w:line="300" w:lineRule="auto"/>
        <w:ind w:left="0"/>
        <w:contextualSpacing w:val="0"/>
        <w:jc w:val="center"/>
        <w:rPr>
          <w:rFonts w:ascii="Times New Roman" w:hAnsi="Times New Roman" w:cs="Times New Roman"/>
          <w:b/>
          <w:bCs/>
          <w:color w:val="000000" w:themeColor="text1"/>
          <w:spacing w:val="20"/>
          <w:sz w:val="28"/>
          <w:szCs w:val="28"/>
          <w:vertAlign w:val="subscript"/>
        </w:rPr>
      </w:pPr>
      <w:r w:rsidRPr="002B005F">
        <w:rPr>
          <w:rFonts w:ascii="Times New Roman" w:hAnsi="Times New Roman" w:cs="Times New Roman"/>
          <w:b/>
          <w:bCs/>
          <w:spacing w:val="20"/>
          <w:sz w:val="28"/>
          <w:szCs w:val="28"/>
        </w:rPr>
        <w:t>R</w:t>
      </w:r>
      <w:r w:rsidRPr="002B005F">
        <w:rPr>
          <w:rFonts w:ascii="Times New Roman" w:hAnsi="Times New Roman" w:cs="Times New Roman"/>
          <w:b/>
          <w:bCs/>
          <w:spacing w:val="20"/>
          <w:sz w:val="28"/>
          <w:szCs w:val="28"/>
          <w:vertAlign w:val="subscript"/>
        </w:rPr>
        <w:t xml:space="preserve">i </w:t>
      </w:r>
      <w:r w:rsidRPr="002B005F">
        <w:rPr>
          <w:rFonts w:ascii="Times New Roman" w:hAnsi="Times New Roman" w:cs="Times New Roman"/>
          <w:b/>
          <w:bCs/>
          <w:spacing w:val="20"/>
          <w:sz w:val="28"/>
          <w:szCs w:val="28"/>
        </w:rPr>
        <w:t>= a</w:t>
      </w:r>
      <w:r w:rsidRPr="002B005F">
        <w:rPr>
          <w:rFonts w:ascii="Times New Roman" w:hAnsi="Times New Roman" w:cs="Times New Roman"/>
          <w:b/>
          <w:bCs/>
          <w:spacing w:val="20"/>
          <w:sz w:val="28"/>
          <w:szCs w:val="28"/>
          <w:vertAlign w:val="subscript"/>
        </w:rPr>
        <w:t xml:space="preserve">i </w:t>
      </w:r>
      <w:r w:rsidRPr="002B005F">
        <w:rPr>
          <w:rFonts w:ascii="Times New Roman" w:hAnsi="Times New Roman" w:cs="Times New Roman"/>
          <w:b/>
          <w:bCs/>
          <w:spacing w:val="20"/>
          <w:sz w:val="28"/>
          <w:szCs w:val="28"/>
        </w:rPr>
        <w:t>+ b</w:t>
      </w:r>
      <w:r w:rsidRPr="002B005F">
        <w:rPr>
          <w:rFonts w:ascii="Times New Roman" w:hAnsi="Times New Roman" w:cs="Times New Roman"/>
          <w:b/>
          <w:bCs/>
          <w:spacing w:val="20"/>
          <w:sz w:val="28"/>
          <w:szCs w:val="28"/>
          <w:vertAlign w:val="subscript"/>
        </w:rPr>
        <w:t>i1</w:t>
      </w:r>
      <w:r w:rsidRPr="002B005F">
        <w:rPr>
          <w:rFonts w:ascii="Times New Roman" w:hAnsi="Times New Roman" w:cs="Times New Roman"/>
          <w:b/>
          <w:bCs/>
          <w:spacing w:val="20"/>
          <w:sz w:val="28"/>
          <w:szCs w:val="28"/>
        </w:rPr>
        <w:t>F</w:t>
      </w:r>
      <w:r w:rsidRPr="002B005F">
        <w:rPr>
          <w:rFonts w:ascii="Times New Roman" w:hAnsi="Times New Roman" w:cs="Times New Roman"/>
          <w:b/>
          <w:bCs/>
          <w:spacing w:val="20"/>
          <w:sz w:val="28"/>
          <w:szCs w:val="28"/>
          <w:vertAlign w:val="subscript"/>
        </w:rPr>
        <w:t xml:space="preserve">1 </w:t>
      </w:r>
      <w:r w:rsidRPr="002B005F">
        <w:rPr>
          <w:rFonts w:ascii="Times New Roman" w:hAnsi="Times New Roman" w:cs="Times New Roman"/>
          <w:b/>
          <w:bCs/>
          <w:spacing w:val="20"/>
          <w:sz w:val="28"/>
          <w:szCs w:val="28"/>
        </w:rPr>
        <w:t>+ b</w:t>
      </w:r>
      <w:r w:rsidRPr="002B005F">
        <w:rPr>
          <w:rFonts w:ascii="Times New Roman" w:hAnsi="Times New Roman" w:cs="Times New Roman"/>
          <w:b/>
          <w:bCs/>
          <w:spacing w:val="20"/>
          <w:sz w:val="28"/>
          <w:szCs w:val="28"/>
          <w:vertAlign w:val="subscript"/>
        </w:rPr>
        <w:t>i2</w:t>
      </w:r>
      <w:r w:rsidRPr="002B005F">
        <w:rPr>
          <w:rFonts w:ascii="Times New Roman" w:hAnsi="Times New Roman" w:cs="Times New Roman"/>
          <w:b/>
          <w:bCs/>
          <w:spacing w:val="20"/>
          <w:sz w:val="28"/>
          <w:szCs w:val="28"/>
        </w:rPr>
        <w:t>F</w:t>
      </w:r>
      <w:r w:rsidRPr="002B005F">
        <w:rPr>
          <w:rFonts w:ascii="Times New Roman" w:hAnsi="Times New Roman" w:cs="Times New Roman"/>
          <w:b/>
          <w:bCs/>
          <w:spacing w:val="20"/>
          <w:sz w:val="28"/>
          <w:szCs w:val="28"/>
          <w:vertAlign w:val="subscript"/>
        </w:rPr>
        <w:t xml:space="preserve">2 </w:t>
      </w:r>
      <w:r w:rsidRPr="002B005F">
        <w:rPr>
          <w:rFonts w:ascii="Times New Roman" w:hAnsi="Times New Roman" w:cs="Times New Roman"/>
          <w:b/>
          <w:bCs/>
          <w:spacing w:val="20"/>
          <w:sz w:val="28"/>
          <w:szCs w:val="28"/>
        </w:rPr>
        <w:t>+...+ b</w:t>
      </w:r>
      <w:r w:rsidRPr="002B005F">
        <w:rPr>
          <w:rFonts w:ascii="Times New Roman" w:hAnsi="Times New Roman" w:cs="Times New Roman"/>
          <w:b/>
          <w:bCs/>
          <w:spacing w:val="20"/>
          <w:sz w:val="28"/>
          <w:szCs w:val="28"/>
          <w:vertAlign w:val="subscript"/>
        </w:rPr>
        <w:t>im</w:t>
      </w:r>
      <w:r w:rsidRPr="002B005F">
        <w:rPr>
          <w:rFonts w:ascii="Times New Roman" w:hAnsi="Times New Roman" w:cs="Times New Roman"/>
          <w:b/>
          <w:bCs/>
          <w:spacing w:val="20"/>
          <w:sz w:val="28"/>
          <w:szCs w:val="28"/>
        </w:rPr>
        <w:t>F</w:t>
      </w:r>
      <w:r w:rsidRPr="002B005F">
        <w:rPr>
          <w:rFonts w:ascii="Times New Roman" w:hAnsi="Times New Roman" w:cs="Times New Roman"/>
          <w:b/>
          <w:bCs/>
          <w:spacing w:val="20"/>
          <w:sz w:val="28"/>
          <w:szCs w:val="28"/>
          <w:vertAlign w:val="subscript"/>
        </w:rPr>
        <w:t>m</w:t>
      </w:r>
      <w:r w:rsidRPr="002B005F">
        <w:rPr>
          <w:rFonts w:ascii="Times New Roman" w:hAnsi="Times New Roman" w:cs="Times New Roman"/>
          <w:b/>
          <w:bCs/>
          <w:spacing w:val="20"/>
          <w:sz w:val="28"/>
          <w:szCs w:val="28"/>
        </w:rPr>
        <w:t xml:space="preserve"> + </w:t>
      </w:r>
      <w:r w:rsidRPr="002B005F">
        <w:rPr>
          <w:rFonts w:ascii="Times New Roman" w:hAnsi="Times New Roman" w:cs="Times New Roman"/>
          <w:b/>
          <w:bCs/>
          <w:color w:val="000000" w:themeColor="text1"/>
          <w:spacing w:val="20"/>
          <w:sz w:val="28"/>
          <w:szCs w:val="28"/>
        </w:rPr>
        <w:t>e</w:t>
      </w:r>
      <w:r w:rsidRPr="002B005F">
        <w:rPr>
          <w:rFonts w:ascii="Times New Roman" w:hAnsi="Times New Roman" w:cs="Times New Roman"/>
          <w:b/>
          <w:bCs/>
          <w:color w:val="000000" w:themeColor="text1"/>
          <w:spacing w:val="20"/>
          <w:sz w:val="28"/>
          <w:szCs w:val="28"/>
          <w:vertAlign w:val="subscript"/>
        </w:rPr>
        <w:t>i</w:t>
      </w:r>
    </w:p>
    <w:p w14:paraId="6FF95837" w14:textId="77777777" w:rsidR="002760B2" w:rsidRPr="002B005F" w:rsidRDefault="00442697" w:rsidP="00D05172">
      <w:pPr>
        <w:pStyle w:val="Paragraphedeliste"/>
        <w:widowControl w:val="0"/>
        <w:tabs>
          <w:tab w:val="left" w:pos="0"/>
        </w:tabs>
        <w:autoSpaceDE w:val="0"/>
        <w:autoSpaceDN w:val="0"/>
        <w:adjustRightInd w:val="0"/>
        <w:spacing w:before="120" w:line="300" w:lineRule="auto"/>
        <w:ind w:left="0"/>
        <w:contextualSpacing w:val="0"/>
        <w:rPr>
          <w:rFonts w:ascii="Times New Roman" w:hAnsi="Times New Roman" w:cs="Times New Roman"/>
          <w:b/>
          <w:bCs/>
          <w:sz w:val="24"/>
          <w:szCs w:val="24"/>
        </w:rPr>
      </w:pPr>
      <w:r w:rsidRPr="002B005F">
        <w:rPr>
          <w:rFonts w:ascii="Times New Roman" w:hAnsi="Times New Roman" w:cs="Times New Roman"/>
          <w:b/>
          <w:bCs/>
          <w:sz w:val="24"/>
          <w:szCs w:val="24"/>
        </w:rPr>
        <w:t>Avec :</w:t>
      </w:r>
    </w:p>
    <w:p w14:paraId="4BBA2240" w14:textId="77777777" w:rsidR="002760B2" w:rsidRPr="002B005F" w:rsidRDefault="002760B2" w:rsidP="0004035B">
      <w:pPr>
        <w:pStyle w:val="Paragraphedeliste"/>
        <w:widowControl w:val="0"/>
        <w:tabs>
          <w:tab w:val="left" w:pos="284"/>
        </w:tabs>
        <w:autoSpaceDE w:val="0"/>
        <w:autoSpaceDN w:val="0"/>
        <w:adjustRightInd w:val="0"/>
        <w:spacing w:line="300" w:lineRule="auto"/>
        <w:ind w:left="142" w:firstLine="567"/>
        <w:contextualSpacing w:val="0"/>
        <w:rPr>
          <w:rFonts w:ascii="Times New Roman" w:hAnsi="Times New Roman" w:cs="Times New Roman"/>
          <w:sz w:val="24"/>
          <w:szCs w:val="24"/>
        </w:rPr>
      </w:pPr>
      <w:r w:rsidRPr="002B005F">
        <w:rPr>
          <w:rFonts w:ascii="Times New Roman" w:hAnsi="Times New Roman" w:cs="Times New Roman"/>
          <w:b/>
          <w:bCs/>
          <w:sz w:val="24"/>
          <w:szCs w:val="24"/>
        </w:rPr>
        <w:t>R</w:t>
      </w:r>
      <w:r w:rsidRPr="002B005F">
        <w:rPr>
          <w:rFonts w:ascii="Times New Roman" w:hAnsi="Times New Roman" w:cs="Times New Roman"/>
          <w:b/>
          <w:bCs/>
          <w:sz w:val="24"/>
          <w:szCs w:val="24"/>
          <w:vertAlign w:val="subscript"/>
        </w:rPr>
        <w:t>i</w:t>
      </w:r>
      <w:r w:rsidR="00442697" w:rsidRPr="002B005F">
        <w:rPr>
          <w:rFonts w:ascii="Times New Roman" w:hAnsi="Times New Roman" w:cs="Times New Roman"/>
          <w:b/>
          <w:bCs/>
          <w:sz w:val="24"/>
          <w:szCs w:val="24"/>
          <w:vertAlign w:val="subscript"/>
        </w:rPr>
        <w:t> :</w:t>
      </w:r>
      <w:r w:rsidRPr="002B005F">
        <w:rPr>
          <w:rFonts w:ascii="Times New Roman" w:hAnsi="Times New Roman" w:cs="Times New Roman"/>
          <w:sz w:val="24"/>
          <w:szCs w:val="24"/>
        </w:rPr>
        <w:t xml:space="preserve"> Rendement espéré de l'actif i</w:t>
      </w:r>
    </w:p>
    <w:p w14:paraId="3EC0DD39" w14:textId="77777777" w:rsidR="002760B2" w:rsidRPr="002B005F" w:rsidRDefault="002760B2" w:rsidP="0004035B">
      <w:pPr>
        <w:pStyle w:val="Paragraphedeliste"/>
        <w:widowControl w:val="0"/>
        <w:tabs>
          <w:tab w:val="left" w:pos="284"/>
        </w:tabs>
        <w:autoSpaceDE w:val="0"/>
        <w:autoSpaceDN w:val="0"/>
        <w:adjustRightInd w:val="0"/>
        <w:spacing w:line="300" w:lineRule="auto"/>
        <w:ind w:left="142" w:firstLine="567"/>
        <w:contextualSpacing w:val="0"/>
        <w:rPr>
          <w:rFonts w:ascii="Times New Roman" w:hAnsi="Times New Roman" w:cs="Times New Roman"/>
          <w:sz w:val="24"/>
          <w:szCs w:val="24"/>
        </w:rPr>
      </w:pPr>
      <w:r w:rsidRPr="002B005F">
        <w:rPr>
          <w:rFonts w:ascii="Times New Roman" w:hAnsi="Times New Roman" w:cs="Times New Roman"/>
          <w:b/>
          <w:bCs/>
          <w:sz w:val="24"/>
          <w:szCs w:val="24"/>
        </w:rPr>
        <w:t>a</w:t>
      </w:r>
      <w:r w:rsidRPr="002B005F">
        <w:rPr>
          <w:rFonts w:ascii="Times New Roman" w:hAnsi="Times New Roman" w:cs="Times New Roman"/>
          <w:b/>
          <w:bCs/>
          <w:sz w:val="24"/>
          <w:szCs w:val="24"/>
          <w:vertAlign w:val="subscript"/>
        </w:rPr>
        <w:t>i</w:t>
      </w:r>
      <w:r w:rsidR="00497D56" w:rsidRPr="002B005F">
        <w:rPr>
          <w:rFonts w:ascii="Times New Roman" w:hAnsi="Times New Roman" w:cs="Times New Roman"/>
          <w:b/>
          <w:bCs/>
          <w:sz w:val="24"/>
          <w:szCs w:val="24"/>
          <w:vertAlign w:val="subscript"/>
        </w:rPr>
        <w:t> </w:t>
      </w:r>
      <w:r w:rsidR="00497D56" w:rsidRPr="002B005F">
        <w:rPr>
          <w:rFonts w:ascii="Times New Roman" w:hAnsi="Times New Roman" w:cs="Times New Roman"/>
          <w:sz w:val="24"/>
          <w:szCs w:val="24"/>
        </w:rPr>
        <w:t>:</w:t>
      </w:r>
      <w:r w:rsidRPr="002B005F">
        <w:rPr>
          <w:rFonts w:ascii="Times New Roman" w:hAnsi="Times New Roman" w:cs="Times New Roman"/>
          <w:sz w:val="24"/>
          <w:szCs w:val="24"/>
        </w:rPr>
        <w:t xml:space="preserve"> Rendement de l'actif i lorsque tous les indices ont une valeur nulle</w:t>
      </w:r>
    </w:p>
    <w:p w14:paraId="07F3A3BC" w14:textId="77777777" w:rsidR="002760B2" w:rsidRPr="002B005F" w:rsidRDefault="002760B2" w:rsidP="0004035B">
      <w:pPr>
        <w:pStyle w:val="Paragraphedeliste"/>
        <w:widowControl w:val="0"/>
        <w:tabs>
          <w:tab w:val="left" w:pos="284"/>
        </w:tabs>
        <w:autoSpaceDE w:val="0"/>
        <w:autoSpaceDN w:val="0"/>
        <w:adjustRightInd w:val="0"/>
        <w:spacing w:line="300" w:lineRule="auto"/>
        <w:ind w:left="142" w:firstLine="567"/>
        <w:contextualSpacing w:val="0"/>
        <w:rPr>
          <w:rFonts w:ascii="Times New Roman" w:hAnsi="Times New Roman" w:cs="Times New Roman"/>
          <w:sz w:val="24"/>
          <w:szCs w:val="24"/>
        </w:rPr>
      </w:pPr>
      <w:r w:rsidRPr="002B005F">
        <w:rPr>
          <w:rFonts w:ascii="Times New Roman" w:hAnsi="Times New Roman" w:cs="Times New Roman"/>
          <w:b/>
          <w:bCs/>
          <w:sz w:val="24"/>
          <w:szCs w:val="24"/>
        </w:rPr>
        <w:t>b</w:t>
      </w:r>
      <w:r w:rsidRPr="002B005F">
        <w:rPr>
          <w:rFonts w:ascii="Times New Roman" w:hAnsi="Times New Roman" w:cs="Times New Roman"/>
          <w:b/>
          <w:bCs/>
          <w:sz w:val="24"/>
          <w:szCs w:val="24"/>
          <w:vertAlign w:val="subscript"/>
        </w:rPr>
        <w:t>ij</w:t>
      </w:r>
      <w:r w:rsidR="00497D56" w:rsidRPr="002B005F">
        <w:rPr>
          <w:rFonts w:ascii="Times New Roman" w:hAnsi="Times New Roman" w:cs="Times New Roman"/>
          <w:b/>
          <w:bCs/>
          <w:sz w:val="24"/>
          <w:szCs w:val="24"/>
          <w:vertAlign w:val="subscript"/>
        </w:rPr>
        <w:t> </w:t>
      </w:r>
      <w:r w:rsidR="00497D56" w:rsidRPr="002B005F">
        <w:rPr>
          <w:rFonts w:ascii="Times New Roman" w:hAnsi="Times New Roman" w:cs="Times New Roman"/>
          <w:sz w:val="24"/>
          <w:szCs w:val="24"/>
        </w:rPr>
        <w:t>:</w:t>
      </w:r>
      <w:r w:rsidRPr="002B005F">
        <w:rPr>
          <w:rFonts w:ascii="Times New Roman" w:hAnsi="Times New Roman" w:cs="Times New Roman"/>
          <w:sz w:val="24"/>
          <w:szCs w:val="24"/>
        </w:rPr>
        <w:t xml:space="preserve"> Sensibilité du rendement de l'actif i au facteur j</w:t>
      </w:r>
    </w:p>
    <w:p w14:paraId="28DD167A" w14:textId="77777777" w:rsidR="002760B2" w:rsidRPr="002B005F" w:rsidRDefault="002760B2" w:rsidP="0004035B">
      <w:pPr>
        <w:pStyle w:val="Paragraphedeliste"/>
        <w:widowControl w:val="0"/>
        <w:tabs>
          <w:tab w:val="left" w:pos="284"/>
        </w:tabs>
        <w:autoSpaceDE w:val="0"/>
        <w:autoSpaceDN w:val="0"/>
        <w:adjustRightInd w:val="0"/>
        <w:spacing w:line="300" w:lineRule="auto"/>
        <w:ind w:left="142" w:firstLine="567"/>
        <w:contextualSpacing w:val="0"/>
        <w:rPr>
          <w:rFonts w:ascii="Times New Roman" w:hAnsi="Times New Roman" w:cs="Times New Roman"/>
          <w:sz w:val="24"/>
          <w:szCs w:val="24"/>
        </w:rPr>
      </w:pPr>
      <w:r w:rsidRPr="002B005F">
        <w:rPr>
          <w:rFonts w:ascii="Times New Roman" w:hAnsi="Times New Roman" w:cs="Times New Roman"/>
          <w:b/>
          <w:bCs/>
          <w:sz w:val="24"/>
          <w:szCs w:val="24"/>
        </w:rPr>
        <w:t>F</w:t>
      </w:r>
      <w:r w:rsidRPr="002B005F">
        <w:rPr>
          <w:rFonts w:ascii="Times New Roman" w:hAnsi="Times New Roman" w:cs="Times New Roman"/>
          <w:b/>
          <w:bCs/>
          <w:sz w:val="24"/>
          <w:szCs w:val="24"/>
          <w:vertAlign w:val="subscript"/>
        </w:rPr>
        <w:t>j</w:t>
      </w:r>
      <w:r w:rsidRPr="002B005F">
        <w:rPr>
          <w:rFonts w:ascii="Times New Roman" w:hAnsi="Times New Roman" w:cs="Times New Roman"/>
          <w:b/>
          <w:bCs/>
          <w:sz w:val="24"/>
          <w:szCs w:val="24"/>
        </w:rPr>
        <w:t>(</w:t>
      </w:r>
      <w:r w:rsidR="00497D56" w:rsidRPr="002B005F">
        <w:rPr>
          <w:rFonts w:ascii="Times New Roman" w:hAnsi="Times New Roman" w:cs="Times New Roman"/>
          <w:sz w:val="24"/>
          <w:szCs w:val="24"/>
        </w:rPr>
        <w:t>j</w:t>
      </w:r>
      <w:r w:rsidR="00F15E38" w:rsidRPr="002B005F">
        <w:rPr>
          <w:rFonts w:ascii="Times New Roman" w:hAnsi="Times New Roman" w:cs="Times New Roman"/>
          <w:sz w:val="24"/>
          <w:szCs w:val="24"/>
        </w:rPr>
        <w:t xml:space="preserve"> </w:t>
      </w:r>
      <w:r w:rsidR="00497D56" w:rsidRPr="002B005F">
        <w:rPr>
          <w:rFonts w:ascii="Times New Roman" w:hAnsi="Times New Roman" w:cs="Times New Roman"/>
          <w:sz w:val="24"/>
          <w:szCs w:val="24"/>
        </w:rPr>
        <w:t>= 1,2, 3...,m) :</w:t>
      </w:r>
      <w:r w:rsidRPr="002B005F">
        <w:rPr>
          <w:rFonts w:ascii="Times New Roman" w:hAnsi="Times New Roman" w:cs="Times New Roman"/>
          <w:sz w:val="24"/>
          <w:szCs w:val="24"/>
        </w:rPr>
        <w:t xml:space="preserve"> Valeur du facteur risque j qui influence le rendement</w:t>
      </w:r>
    </w:p>
    <w:p w14:paraId="44B3FC1E" w14:textId="77777777" w:rsidR="002760B2" w:rsidRPr="002B005F" w:rsidRDefault="002760B2" w:rsidP="0004035B">
      <w:pPr>
        <w:pStyle w:val="Paragraphedeliste"/>
        <w:widowControl w:val="0"/>
        <w:tabs>
          <w:tab w:val="left" w:pos="284"/>
        </w:tabs>
        <w:autoSpaceDE w:val="0"/>
        <w:autoSpaceDN w:val="0"/>
        <w:adjustRightInd w:val="0"/>
        <w:spacing w:after="240" w:line="300" w:lineRule="auto"/>
        <w:ind w:left="142" w:firstLine="567"/>
        <w:contextualSpacing w:val="0"/>
        <w:rPr>
          <w:rFonts w:ascii="Times New Roman" w:hAnsi="Times New Roman" w:cs="Times New Roman"/>
          <w:sz w:val="24"/>
          <w:szCs w:val="24"/>
        </w:rPr>
      </w:pPr>
      <w:r w:rsidRPr="002B005F">
        <w:rPr>
          <w:rFonts w:ascii="Times New Roman" w:hAnsi="Times New Roman" w:cs="Times New Roman"/>
          <w:b/>
          <w:bCs/>
          <w:sz w:val="24"/>
          <w:szCs w:val="24"/>
        </w:rPr>
        <w:lastRenderedPageBreak/>
        <w:t>e</w:t>
      </w:r>
      <w:r w:rsidRPr="002B005F">
        <w:rPr>
          <w:rFonts w:ascii="Times New Roman" w:hAnsi="Times New Roman" w:cs="Times New Roman"/>
          <w:b/>
          <w:bCs/>
          <w:sz w:val="24"/>
          <w:szCs w:val="24"/>
          <w:vertAlign w:val="subscript"/>
        </w:rPr>
        <w:t>i</w:t>
      </w:r>
      <w:r w:rsidR="00497D56" w:rsidRPr="002B005F">
        <w:rPr>
          <w:rFonts w:ascii="Times New Roman" w:hAnsi="Times New Roman" w:cs="Times New Roman"/>
          <w:b/>
          <w:bCs/>
          <w:sz w:val="24"/>
          <w:szCs w:val="24"/>
          <w:vertAlign w:val="subscript"/>
        </w:rPr>
        <w:t> </w:t>
      </w:r>
      <w:r w:rsidR="00497D56" w:rsidRPr="002B005F">
        <w:rPr>
          <w:rFonts w:ascii="Times New Roman" w:hAnsi="Times New Roman" w:cs="Times New Roman"/>
          <w:sz w:val="24"/>
          <w:szCs w:val="24"/>
        </w:rPr>
        <w:t>:</w:t>
      </w:r>
      <w:r w:rsidRPr="002B005F">
        <w:rPr>
          <w:rFonts w:ascii="Times New Roman" w:hAnsi="Times New Roman" w:cs="Times New Roman"/>
          <w:sz w:val="24"/>
          <w:szCs w:val="24"/>
        </w:rPr>
        <w:t xml:space="preserve"> Une erreur aléatoire avec moyenne nulle</w:t>
      </w:r>
    </w:p>
    <w:p w14:paraId="47DBF4C6" w14:textId="77777777" w:rsidR="002760B2" w:rsidRPr="00CC262F" w:rsidRDefault="007B314B" w:rsidP="00D05172">
      <w:pPr>
        <w:widowControl w:val="0"/>
        <w:tabs>
          <w:tab w:val="left" w:pos="0"/>
        </w:tabs>
        <w:autoSpaceDE w:val="0"/>
        <w:autoSpaceDN w:val="0"/>
        <w:adjustRightInd w:val="0"/>
        <w:spacing w:before="120" w:after="120" w:line="300" w:lineRule="auto"/>
        <w:ind w:firstLine="709"/>
        <w:rPr>
          <w:rFonts w:ascii="Times New Roman" w:hAnsi="Times New Roman" w:cs="Times New Roman"/>
          <w:color w:val="000000" w:themeColor="text1"/>
          <w:spacing w:val="-4"/>
          <w:sz w:val="24"/>
          <w:szCs w:val="24"/>
        </w:rPr>
      </w:pPr>
      <w:r w:rsidRPr="00CC262F">
        <w:rPr>
          <w:rFonts w:ascii="Times New Roman" w:hAnsi="Times New Roman" w:cs="Times New Roman"/>
          <w:spacing w:val="-4"/>
          <w:sz w:val="24"/>
          <w:szCs w:val="24"/>
        </w:rPr>
        <w:t>De cette équation, nous pouvons</w:t>
      </w:r>
      <w:r w:rsidR="002760B2" w:rsidRPr="00CC262F">
        <w:rPr>
          <w:rFonts w:ascii="Times New Roman" w:hAnsi="Times New Roman" w:cs="Times New Roman"/>
          <w:spacing w:val="-4"/>
          <w:sz w:val="24"/>
          <w:szCs w:val="24"/>
        </w:rPr>
        <w:t xml:space="preserve"> comprendre que la rentabilité espérée d'un actif financier est une combinaison linéaire de la rentabilité de l'actif sans risque et de ses coefficients de sensibilité (b) aux facteurs économiques supposés influencer les marchés financiers</w:t>
      </w:r>
      <w:r w:rsidR="002760B2" w:rsidRPr="00CC262F">
        <w:rPr>
          <w:rStyle w:val="Appelnotedebasdep"/>
          <w:rFonts w:ascii="Times New Roman" w:hAnsi="Times New Roman"/>
          <w:spacing w:val="-4"/>
          <w:sz w:val="24"/>
          <w:szCs w:val="24"/>
        </w:rPr>
        <w:footnoteReference w:id="192"/>
      </w:r>
      <w:r w:rsidR="002760B2" w:rsidRPr="00CC262F">
        <w:rPr>
          <w:rFonts w:ascii="Times New Roman" w:hAnsi="Times New Roman" w:cs="Times New Roman"/>
          <w:color w:val="000000" w:themeColor="text1"/>
          <w:spacing w:val="-4"/>
          <w:sz w:val="24"/>
          <w:szCs w:val="24"/>
        </w:rPr>
        <w:t>.</w:t>
      </w:r>
    </w:p>
    <w:p w14:paraId="5C4A1CA8" w14:textId="2C1221A5" w:rsidR="002760B2" w:rsidRPr="002B005F" w:rsidRDefault="002760B2" w:rsidP="00D05172">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E326F3">
        <w:rPr>
          <w:rFonts w:ascii="Times New Roman" w:hAnsi="Times New Roman" w:cs="Times New Roman"/>
          <w:sz w:val="24"/>
          <w:szCs w:val="24"/>
        </w:rPr>
        <w:t xml:space="preserve">Les </w:t>
      </w:r>
      <w:r w:rsidR="007B314B" w:rsidRPr="00E326F3">
        <w:rPr>
          <w:rFonts w:ascii="Times New Roman" w:hAnsi="Times New Roman" w:cs="Times New Roman"/>
          <w:sz w:val="24"/>
          <w:szCs w:val="24"/>
        </w:rPr>
        <w:t>modèles</w:t>
      </w:r>
      <w:r w:rsidRPr="00E326F3">
        <w:rPr>
          <w:rFonts w:ascii="Times New Roman" w:hAnsi="Times New Roman" w:cs="Times New Roman"/>
          <w:sz w:val="24"/>
          <w:szCs w:val="24"/>
        </w:rPr>
        <w:t xml:space="preserve"> mentionnés</w:t>
      </w:r>
      <w:r w:rsidRPr="002B005F">
        <w:rPr>
          <w:rFonts w:ascii="Times New Roman" w:hAnsi="Times New Roman" w:cs="Times New Roman"/>
          <w:sz w:val="24"/>
          <w:szCs w:val="24"/>
        </w:rPr>
        <w:t xml:space="preserve"> ci-dessus ainsi que d’autres complémentaires ont été appliqués pour instaurer les stratégies et les processus modernes de gestion des risques. D'ailleurs, plusieurs instruments importants ont été développés pour analyser et gérer les risques. L'efficience de la gestion des risques repose sur la compréhension du mécanisme d'arbitrage entre les gains et les risques.</w:t>
      </w:r>
    </w:p>
    <w:p w14:paraId="223A32DF" w14:textId="77777777" w:rsidR="002760B2" w:rsidRPr="002B005F" w:rsidRDefault="002760B2" w:rsidP="00D05172">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L'objectif de toute institution financière est de maximiser le revenu net des actionnaires. Pour atteindre cet objectif, elle doit gérer les risques auxquels elle s'expose de manière raisonnable. D'un côté</w:t>
      </w:r>
      <w:r w:rsidR="007D16BC">
        <w:rPr>
          <w:rFonts w:ascii="Times New Roman" w:hAnsi="Times New Roman" w:cs="Times New Roman"/>
          <w:sz w:val="24"/>
          <w:szCs w:val="24"/>
        </w:rPr>
        <w:t>,</w:t>
      </w:r>
      <w:r w:rsidRPr="002B005F">
        <w:rPr>
          <w:rFonts w:ascii="Times New Roman" w:hAnsi="Times New Roman" w:cs="Times New Roman"/>
          <w:sz w:val="24"/>
          <w:szCs w:val="24"/>
        </w:rPr>
        <w:t xml:space="preserve"> elle doit diversifier les risques non systématiques et</w:t>
      </w:r>
      <w:r w:rsidR="007D16BC">
        <w:rPr>
          <w:rFonts w:ascii="Times New Roman" w:hAnsi="Times New Roman" w:cs="Times New Roman"/>
          <w:sz w:val="24"/>
          <w:szCs w:val="24"/>
        </w:rPr>
        <w:t>,</w:t>
      </w:r>
      <w:r w:rsidRPr="002B005F">
        <w:rPr>
          <w:rFonts w:ascii="Times New Roman" w:hAnsi="Times New Roman" w:cs="Times New Roman"/>
          <w:sz w:val="24"/>
          <w:szCs w:val="24"/>
        </w:rPr>
        <w:t xml:space="preserve"> d'un autre c</w:t>
      </w:r>
      <w:r w:rsidR="00AA3F55" w:rsidRPr="00E326F3">
        <w:rPr>
          <w:rFonts w:ascii="Times New Roman" w:hAnsi="Times New Roman" w:cs="Times New Roman"/>
          <w:sz w:val="24"/>
          <w:szCs w:val="24"/>
        </w:rPr>
        <w:t>ô</w:t>
      </w:r>
      <w:r w:rsidRPr="00E326F3">
        <w:rPr>
          <w:rFonts w:ascii="Times New Roman" w:hAnsi="Times New Roman" w:cs="Times New Roman"/>
          <w:sz w:val="24"/>
          <w:szCs w:val="24"/>
        </w:rPr>
        <w:t>t</w:t>
      </w:r>
      <w:r w:rsidRPr="002B005F">
        <w:rPr>
          <w:rFonts w:ascii="Times New Roman" w:hAnsi="Times New Roman" w:cs="Times New Roman"/>
          <w:sz w:val="24"/>
          <w:szCs w:val="24"/>
        </w:rPr>
        <w:t>é</w:t>
      </w:r>
      <w:r w:rsidR="007D16BC">
        <w:rPr>
          <w:rFonts w:ascii="Times New Roman" w:hAnsi="Times New Roman" w:cs="Times New Roman"/>
          <w:sz w:val="24"/>
          <w:szCs w:val="24"/>
        </w:rPr>
        <w:t>,</w:t>
      </w:r>
      <w:r w:rsidRPr="002B005F">
        <w:rPr>
          <w:rFonts w:ascii="Times New Roman" w:hAnsi="Times New Roman" w:cs="Times New Roman"/>
          <w:sz w:val="24"/>
          <w:szCs w:val="24"/>
        </w:rPr>
        <w:t xml:space="preserve"> elle doit réduire ou transférer intelligemment les risques systématiques.</w:t>
      </w:r>
    </w:p>
    <w:p w14:paraId="2DBE66AF" w14:textId="77777777" w:rsidR="002760B2" w:rsidRPr="00D66FFE" w:rsidRDefault="0004035B" w:rsidP="00D66FFE">
      <w:pPr>
        <w:pStyle w:val="Titre2"/>
        <w:keepNext w:val="0"/>
        <w:spacing w:before="100" w:beforeAutospacing="1" w:after="100" w:afterAutospacing="1" w:line="276" w:lineRule="auto"/>
        <w:ind w:firstLine="709"/>
        <w:rPr>
          <w:i w:val="0"/>
          <w:iCs w:val="0"/>
          <w:spacing w:val="-4"/>
          <w:sz w:val="28"/>
        </w:rPr>
      </w:pPr>
      <w:bookmarkStart w:id="719" w:name="_Toc33263288"/>
      <w:bookmarkStart w:id="720" w:name="_Toc33264115"/>
      <w:bookmarkStart w:id="721" w:name="_Toc37664539"/>
      <w:bookmarkStart w:id="722" w:name="_Toc37666384"/>
      <w:bookmarkStart w:id="723" w:name="_Toc37667317"/>
      <w:bookmarkStart w:id="724" w:name="_Toc54361027"/>
      <w:bookmarkStart w:id="725" w:name="_Toc54361675"/>
      <w:bookmarkStart w:id="726" w:name="_Toc54363273"/>
      <w:bookmarkStart w:id="727" w:name="_Toc57901025"/>
      <w:bookmarkStart w:id="728" w:name="_Toc58261926"/>
      <w:bookmarkStart w:id="729" w:name="_Toc58606278"/>
      <w:bookmarkStart w:id="730" w:name="_Toc61263483"/>
      <w:bookmarkStart w:id="731" w:name="_Toc116257063"/>
      <w:bookmarkStart w:id="732" w:name="_Toc182298714"/>
      <w:bookmarkStart w:id="733" w:name="_Toc182309387"/>
      <w:r w:rsidRPr="00D66FFE">
        <w:rPr>
          <w:i w:val="0"/>
          <w:iCs w:val="0"/>
          <w:spacing w:val="-4"/>
          <w:sz w:val="28"/>
        </w:rPr>
        <w:t xml:space="preserve">Section II- </w:t>
      </w:r>
      <w:r w:rsidR="00E457B7" w:rsidRPr="00D66FFE">
        <w:rPr>
          <w:i w:val="0"/>
          <w:iCs w:val="0"/>
          <w:spacing w:val="-4"/>
          <w:sz w:val="28"/>
        </w:rPr>
        <w:t>I</w:t>
      </w:r>
      <w:r w:rsidR="002760B2" w:rsidRPr="00D66FFE">
        <w:rPr>
          <w:i w:val="0"/>
          <w:iCs w:val="0"/>
          <w:spacing w:val="-4"/>
          <w:sz w:val="28"/>
        </w:rPr>
        <w:t>dentification, mesure et techniques d’atténuation</w:t>
      </w:r>
      <w:bookmarkEnd w:id="719"/>
      <w:bookmarkEnd w:id="720"/>
      <w:bookmarkEnd w:id="721"/>
      <w:bookmarkEnd w:id="722"/>
      <w:bookmarkEnd w:id="723"/>
      <w:bookmarkEnd w:id="724"/>
      <w:bookmarkEnd w:id="725"/>
      <w:bookmarkEnd w:id="726"/>
      <w:bookmarkEnd w:id="727"/>
      <w:bookmarkEnd w:id="728"/>
      <w:bookmarkEnd w:id="729"/>
      <w:bookmarkEnd w:id="730"/>
      <w:r w:rsidR="00E457B7" w:rsidRPr="00D66FFE">
        <w:rPr>
          <w:i w:val="0"/>
          <w:iCs w:val="0"/>
          <w:spacing w:val="-4"/>
          <w:sz w:val="28"/>
        </w:rPr>
        <w:t xml:space="preserve"> des risques</w:t>
      </w:r>
      <w:bookmarkEnd w:id="731"/>
      <w:bookmarkEnd w:id="732"/>
      <w:bookmarkEnd w:id="733"/>
    </w:p>
    <w:p w14:paraId="7C7620F6" w14:textId="77777777" w:rsidR="002760B2" w:rsidRPr="002B005F" w:rsidRDefault="002760B2" w:rsidP="0004035B">
      <w:pPr>
        <w:widowControl w:val="0"/>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Il est difficile de gérer les risques au sein d'une institution financière. Nous sommes dans une économie où tout évolue rapidement. Les risques d'aujourd'hui ne seront plus les risques de demain. Donc, de quelle manière l'institution peut-elle anticiper les risques futurs ? Comment peut-elle maitriser ces risques à long terme</w:t>
      </w:r>
      <w:r w:rsidR="00661574">
        <w:rPr>
          <w:rFonts w:ascii="Times New Roman" w:hAnsi="Times New Roman" w:cs="Times New Roman"/>
          <w:sz w:val="24"/>
          <w:szCs w:val="24"/>
        </w:rPr>
        <w:t> ?</w:t>
      </w:r>
    </w:p>
    <w:p w14:paraId="5ADB71F4" w14:textId="77777777" w:rsidR="00C04BD7" w:rsidRPr="002B005F" w:rsidRDefault="002760B2" w:rsidP="00E326F3">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Pour répondre à ces questions, il s'agit tout d'abord pour l'institution financière d'être en capacité d'identifier différents risques</w:t>
      </w:r>
      <w:r w:rsidR="00721488">
        <w:rPr>
          <w:rFonts w:ascii="Times New Roman" w:hAnsi="Times New Roman" w:cs="Times New Roman"/>
          <w:sz w:val="24"/>
          <w:szCs w:val="24"/>
        </w:rPr>
        <w:t> ;</w:t>
      </w:r>
      <w:r w:rsidRPr="002B005F">
        <w:rPr>
          <w:rFonts w:ascii="Times New Roman" w:hAnsi="Times New Roman" w:cs="Times New Roman"/>
          <w:sz w:val="24"/>
          <w:szCs w:val="24"/>
        </w:rPr>
        <w:t xml:space="preserve"> </w:t>
      </w:r>
      <w:r w:rsidR="00721488">
        <w:rPr>
          <w:rFonts w:ascii="Times New Roman" w:hAnsi="Times New Roman" w:cs="Times New Roman"/>
          <w:sz w:val="24"/>
          <w:szCs w:val="24"/>
        </w:rPr>
        <w:t>e</w:t>
      </w:r>
      <w:r w:rsidRPr="002B005F">
        <w:rPr>
          <w:rFonts w:ascii="Times New Roman" w:hAnsi="Times New Roman" w:cs="Times New Roman"/>
          <w:sz w:val="24"/>
          <w:szCs w:val="24"/>
        </w:rPr>
        <w:t xml:space="preserve">nsuite, les mesurer et les analyser afin d'arriver à leur contrôle et atténuation. Dans ce qui suit, </w:t>
      </w:r>
      <w:r w:rsidR="00E326F3">
        <w:rPr>
          <w:rFonts w:ascii="Times New Roman" w:hAnsi="Times New Roman" w:cs="Times New Roman"/>
          <w:sz w:val="24"/>
          <w:szCs w:val="24"/>
        </w:rPr>
        <w:t>nous</w:t>
      </w:r>
      <w:r w:rsidRPr="002B005F">
        <w:rPr>
          <w:rFonts w:ascii="Times New Roman" w:hAnsi="Times New Roman" w:cs="Times New Roman"/>
          <w:sz w:val="24"/>
          <w:szCs w:val="24"/>
        </w:rPr>
        <w:t xml:space="preserve"> présenter</w:t>
      </w:r>
      <w:r w:rsidR="00E326F3">
        <w:rPr>
          <w:rFonts w:ascii="Times New Roman" w:hAnsi="Times New Roman" w:cs="Times New Roman"/>
          <w:sz w:val="24"/>
          <w:szCs w:val="24"/>
        </w:rPr>
        <w:t>ons</w:t>
      </w:r>
      <w:r w:rsidRPr="002B005F">
        <w:rPr>
          <w:rFonts w:ascii="Times New Roman" w:hAnsi="Times New Roman" w:cs="Times New Roman"/>
          <w:sz w:val="24"/>
          <w:szCs w:val="24"/>
        </w:rPr>
        <w:t xml:space="preserve"> chacune de ces étapes de gestion de risques.</w:t>
      </w:r>
      <w:bookmarkStart w:id="734" w:name="_Toc33263289"/>
      <w:bookmarkStart w:id="735" w:name="_Toc37664540"/>
      <w:bookmarkStart w:id="736" w:name="_Toc37666385"/>
      <w:bookmarkStart w:id="737" w:name="_Toc54363274"/>
      <w:bookmarkStart w:id="738" w:name="_Toc57230174"/>
      <w:bookmarkStart w:id="739" w:name="_Toc57881294"/>
      <w:bookmarkStart w:id="740" w:name="_Toc57900764"/>
      <w:bookmarkStart w:id="741" w:name="_Toc33263290"/>
      <w:bookmarkStart w:id="742" w:name="_Toc37664541"/>
      <w:bookmarkStart w:id="743" w:name="_Toc37666386"/>
      <w:bookmarkStart w:id="744" w:name="_Toc54363275"/>
      <w:bookmarkEnd w:id="734"/>
      <w:bookmarkEnd w:id="735"/>
      <w:bookmarkEnd w:id="736"/>
      <w:bookmarkEnd w:id="737"/>
      <w:bookmarkEnd w:id="738"/>
      <w:bookmarkEnd w:id="739"/>
      <w:bookmarkEnd w:id="740"/>
    </w:p>
    <w:p w14:paraId="2FAF8FC2" w14:textId="77777777" w:rsidR="002760B2" w:rsidRPr="009827C7" w:rsidRDefault="00D05172" w:rsidP="00D66FFE">
      <w:pPr>
        <w:pStyle w:val="Titre3"/>
        <w:keepNext w:val="0"/>
        <w:keepLines w:val="0"/>
        <w:spacing w:before="100" w:beforeAutospacing="1" w:after="100" w:afterAutospacing="1"/>
        <w:ind w:firstLine="709"/>
        <w:rPr>
          <w:sz w:val="28"/>
          <w:szCs w:val="28"/>
        </w:rPr>
      </w:pPr>
      <w:bookmarkStart w:id="745" w:name="_Toc58606279"/>
      <w:bookmarkStart w:id="746" w:name="_Toc61263484"/>
      <w:bookmarkStart w:id="747" w:name="_Toc182298715"/>
      <w:r w:rsidRPr="009827C7">
        <w:rPr>
          <w:sz w:val="28"/>
          <w:szCs w:val="28"/>
        </w:rPr>
        <w:t xml:space="preserve">2.1- </w:t>
      </w:r>
      <w:r w:rsidR="00C66C20" w:rsidRPr="009827C7">
        <w:rPr>
          <w:sz w:val="28"/>
          <w:szCs w:val="28"/>
        </w:rPr>
        <w:t>I</w:t>
      </w:r>
      <w:r w:rsidR="002760B2" w:rsidRPr="009827C7">
        <w:rPr>
          <w:sz w:val="28"/>
          <w:szCs w:val="28"/>
        </w:rPr>
        <w:t>dentification des risques</w:t>
      </w:r>
      <w:bookmarkEnd w:id="741"/>
      <w:bookmarkEnd w:id="742"/>
      <w:bookmarkEnd w:id="743"/>
      <w:bookmarkEnd w:id="744"/>
      <w:bookmarkEnd w:id="745"/>
      <w:bookmarkEnd w:id="746"/>
      <w:bookmarkEnd w:id="747"/>
    </w:p>
    <w:p w14:paraId="7D2AD173" w14:textId="77777777" w:rsidR="002760B2" w:rsidRPr="002B005F" w:rsidRDefault="002760B2" w:rsidP="0004035B">
      <w:pPr>
        <w:widowControl w:val="0"/>
        <w:tabs>
          <w:tab w:val="left" w:pos="0"/>
        </w:tabs>
        <w:autoSpaceDE w:val="0"/>
        <w:autoSpaceDN w:val="0"/>
        <w:adjustRightInd w:val="0"/>
        <w:spacing w:line="300" w:lineRule="auto"/>
        <w:ind w:firstLine="709"/>
        <w:rPr>
          <w:rFonts w:ascii="Times New Roman" w:hAnsi="Times New Roman" w:cs="Times New Roman"/>
          <w:spacing w:val="-6"/>
          <w:sz w:val="24"/>
          <w:szCs w:val="24"/>
        </w:rPr>
      </w:pPr>
      <w:r w:rsidRPr="002B005F">
        <w:rPr>
          <w:rFonts w:ascii="Times New Roman" w:hAnsi="Times New Roman" w:cs="Times New Roman"/>
          <w:spacing w:val="-6"/>
          <w:sz w:val="24"/>
          <w:szCs w:val="24"/>
        </w:rPr>
        <w:t xml:space="preserve">L'identification des risques est la </w:t>
      </w:r>
      <w:r w:rsidRPr="00E326F3">
        <w:rPr>
          <w:rFonts w:ascii="Times New Roman" w:hAnsi="Times New Roman" w:cs="Times New Roman"/>
          <w:spacing w:val="-6"/>
          <w:sz w:val="24"/>
          <w:szCs w:val="24"/>
        </w:rPr>
        <w:t>première étape dans le processus de la gestion des risques. Elle représente la base sur laquelle s'appuient les prochaines étapes</w:t>
      </w:r>
      <w:r w:rsidR="00721488" w:rsidRPr="00E326F3">
        <w:rPr>
          <w:rFonts w:ascii="Times New Roman" w:hAnsi="Times New Roman" w:cs="Times New Roman"/>
          <w:spacing w:val="-6"/>
          <w:sz w:val="24"/>
          <w:szCs w:val="24"/>
        </w:rPr>
        <w:t> :</w:t>
      </w:r>
      <w:r w:rsidRPr="00E326F3">
        <w:rPr>
          <w:rFonts w:ascii="Times New Roman" w:hAnsi="Times New Roman" w:cs="Times New Roman"/>
          <w:spacing w:val="-6"/>
          <w:sz w:val="24"/>
          <w:szCs w:val="24"/>
        </w:rPr>
        <w:t xml:space="preserve"> mesure et contrôle des risques.</w:t>
      </w:r>
      <w:r w:rsidRPr="002B005F">
        <w:rPr>
          <w:rFonts w:ascii="Times New Roman" w:hAnsi="Times New Roman" w:cs="Times New Roman"/>
          <w:spacing w:val="-6"/>
          <w:sz w:val="24"/>
          <w:szCs w:val="24"/>
        </w:rPr>
        <w:t xml:space="preserve"> Ainsi, une bonne identification des risques assure une gestion des risques efficace.</w:t>
      </w:r>
    </w:p>
    <w:p w14:paraId="6EB23005" w14:textId="77777777" w:rsidR="002760B2" w:rsidRPr="002B005F" w:rsidRDefault="002760B2" w:rsidP="0004035B">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Pour identifier les risques, on doit tout d'abord poser les questions suivantes</w:t>
      </w:r>
      <w:r w:rsidRPr="002B005F">
        <w:rPr>
          <w:rStyle w:val="Appelnotedebasdep"/>
          <w:rFonts w:ascii="Times New Roman" w:hAnsi="Times New Roman"/>
          <w:sz w:val="24"/>
          <w:szCs w:val="24"/>
        </w:rPr>
        <w:footnoteReference w:id="193"/>
      </w:r>
      <w:r w:rsidR="00442697" w:rsidRPr="002B005F">
        <w:rPr>
          <w:rFonts w:ascii="Times New Roman" w:hAnsi="Times New Roman" w:cs="Times New Roman"/>
          <w:sz w:val="24"/>
          <w:szCs w:val="24"/>
        </w:rPr>
        <w:t> :</w:t>
      </w:r>
    </w:p>
    <w:p w14:paraId="44E92AC6" w14:textId="77777777" w:rsidR="002760B2" w:rsidRPr="00E326F3" w:rsidRDefault="002760B2" w:rsidP="00CB0FF1">
      <w:pPr>
        <w:pStyle w:val="Paragraphedeliste"/>
        <w:widowControl w:val="0"/>
        <w:numPr>
          <w:ilvl w:val="0"/>
          <w:numId w:val="50"/>
        </w:numPr>
        <w:tabs>
          <w:tab w:val="left" w:pos="1134"/>
          <w:tab w:val="left" w:pos="1701"/>
        </w:tabs>
        <w:autoSpaceDE w:val="0"/>
        <w:autoSpaceDN w:val="0"/>
        <w:adjustRightInd w:val="0"/>
        <w:spacing w:line="300" w:lineRule="auto"/>
        <w:ind w:left="851" w:firstLine="0"/>
        <w:contextualSpacing w:val="0"/>
        <w:rPr>
          <w:rFonts w:ascii="Times New Roman" w:hAnsi="Times New Roman" w:cs="Times New Roman"/>
          <w:b/>
          <w:bCs/>
          <w:i/>
          <w:iCs/>
          <w:sz w:val="24"/>
          <w:szCs w:val="24"/>
        </w:rPr>
      </w:pPr>
      <w:r w:rsidRPr="00E326F3">
        <w:rPr>
          <w:rFonts w:ascii="Times New Roman" w:hAnsi="Times New Roman" w:cs="Times New Roman"/>
          <w:sz w:val="24"/>
          <w:szCs w:val="24"/>
        </w:rPr>
        <w:t>Comment peuvent les ressources d'une institution financière être menacées ?</w:t>
      </w:r>
    </w:p>
    <w:p w14:paraId="401ACA9E" w14:textId="77777777" w:rsidR="002760B2" w:rsidRPr="002B005F" w:rsidRDefault="002760B2" w:rsidP="00CB0FF1">
      <w:pPr>
        <w:pStyle w:val="Paragraphedeliste"/>
        <w:widowControl w:val="0"/>
        <w:numPr>
          <w:ilvl w:val="0"/>
          <w:numId w:val="50"/>
        </w:numPr>
        <w:tabs>
          <w:tab w:val="left" w:pos="1134"/>
          <w:tab w:val="left" w:pos="1701"/>
        </w:tabs>
        <w:autoSpaceDE w:val="0"/>
        <w:autoSpaceDN w:val="0"/>
        <w:adjustRightInd w:val="0"/>
        <w:spacing w:line="300" w:lineRule="auto"/>
        <w:ind w:left="851" w:firstLine="0"/>
        <w:contextualSpacing w:val="0"/>
        <w:rPr>
          <w:rFonts w:ascii="Times New Roman" w:hAnsi="Times New Roman" w:cs="Times New Roman"/>
          <w:b/>
          <w:bCs/>
          <w:i/>
          <w:iCs/>
          <w:sz w:val="24"/>
          <w:szCs w:val="24"/>
        </w:rPr>
      </w:pPr>
      <w:r w:rsidRPr="002B005F">
        <w:rPr>
          <w:rFonts w:ascii="Times New Roman" w:hAnsi="Times New Roman" w:cs="Times New Roman"/>
          <w:sz w:val="24"/>
          <w:szCs w:val="24"/>
        </w:rPr>
        <w:t>Quels sont les effets inverses qui peuvent empêcher une institution d'atteindre ses objectifs</w:t>
      </w:r>
      <w:r w:rsidR="00AA3F55">
        <w:rPr>
          <w:rFonts w:ascii="Times New Roman" w:hAnsi="Times New Roman" w:cs="Times New Roman"/>
          <w:sz w:val="24"/>
          <w:szCs w:val="24"/>
        </w:rPr>
        <w:t> ?</w:t>
      </w:r>
    </w:p>
    <w:p w14:paraId="5EDBDD53" w14:textId="77777777" w:rsidR="002760B2" w:rsidRPr="002B005F" w:rsidRDefault="0066654C" w:rsidP="0004035B">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 </w:t>
      </w:r>
      <w:r w:rsidR="002760B2" w:rsidRPr="002B005F">
        <w:rPr>
          <w:rFonts w:ascii="Times New Roman" w:hAnsi="Times New Roman" w:cs="Times New Roman"/>
          <w:sz w:val="24"/>
          <w:szCs w:val="24"/>
        </w:rPr>
        <w:t>« </w:t>
      </w:r>
      <w:r w:rsidR="002760B2" w:rsidRPr="002B005F">
        <w:rPr>
          <w:rFonts w:ascii="Times New Roman" w:hAnsi="Times New Roman" w:cs="Times New Roman"/>
          <w:i/>
          <w:iCs/>
          <w:sz w:val="24"/>
          <w:szCs w:val="24"/>
        </w:rPr>
        <w:t>L’identification des risques est un processus qui détecte et détermine les risques possibles au sein d'une institution</w:t>
      </w:r>
      <w:r w:rsidR="002760B2" w:rsidRPr="0066654C">
        <w:rPr>
          <w:rFonts w:ascii="Times New Roman" w:hAnsi="Times New Roman" w:cs="Times New Roman"/>
          <w:i/>
          <w:iCs/>
          <w:sz w:val="24"/>
          <w:szCs w:val="24"/>
        </w:rPr>
        <w:t xml:space="preserve">. A travers </w:t>
      </w:r>
      <w:r w:rsidRPr="0066654C">
        <w:rPr>
          <w:rFonts w:ascii="Times New Roman" w:hAnsi="Times New Roman" w:cs="Times New Roman"/>
          <w:i/>
          <w:iCs/>
          <w:sz w:val="24"/>
          <w:szCs w:val="24"/>
        </w:rPr>
        <w:t xml:space="preserve">l'identification des risques, </w:t>
      </w:r>
      <w:r w:rsidR="002760B2" w:rsidRPr="0066654C">
        <w:rPr>
          <w:rFonts w:ascii="Times New Roman" w:hAnsi="Times New Roman" w:cs="Times New Roman"/>
          <w:i/>
          <w:iCs/>
          <w:sz w:val="24"/>
          <w:szCs w:val="24"/>
        </w:rPr>
        <w:t xml:space="preserve">une institution peut </w:t>
      </w:r>
      <w:r w:rsidR="002760B2" w:rsidRPr="0066654C">
        <w:rPr>
          <w:rFonts w:ascii="Times New Roman" w:hAnsi="Times New Roman" w:cs="Times New Roman"/>
          <w:i/>
          <w:iCs/>
          <w:sz w:val="24"/>
          <w:szCs w:val="24"/>
        </w:rPr>
        <w:lastRenderedPageBreak/>
        <w:t>analyser les activités et les positions qui lui provoquent des risques</w:t>
      </w:r>
      <w:r w:rsidR="002760B2" w:rsidRPr="0066654C">
        <w:rPr>
          <w:rFonts w:ascii="Times New Roman" w:hAnsi="Times New Roman" w:cs="Times New Roman"/>
          <w:sz w:val="24"/>
          <w:szCs w:val="24"/>
        </w:rPr>
        <w:t> »</w:t>
      </w:r>
      <w:r w:rsidR="002760B2" w:rsidRPr="0066654C">
        <w:rPr>
          <w:rStyle w:val="Appelnotedebasdep"/>
          <w:rFonts w:ascii="Times New Roman" w:hAnsi="Times New Roman"/>
          <w:sz w:val="24"/>
          <w:szCs w:val="24"/>
        </w:rPr>
        <w:footnoteReference w:id="194"/>
      </w:r>
      <w:r w:rsidR="002760B2" w:rsidRPr="0066654C">
        <w:rPr>
          <w:rFonts w:ascii="Times New Roman" w:hAnsi="Times New Roman" w:cs="Times New Roman"/>
          <w:color w:val="000000" w:themeColor="text1"/>
          <w:sz w:val="24"/>
          <w:szCs w:val="24"/>
        </w:rPr>
        <w:t>.</w:t>
      </w:r>
    </w:p>
    <w:p w14:paraId="33C68F65" w14:textId="77777777" w:rsidR="002760B2" w:rsidRPr="0066654C" w:rsidRDefault="002760B2" w:rsidP="0004035B">
      <w:pPr>
        <w:widowControl w:val="0"/>
        <w:tabs>
          <w:tab w:val="left" w:pos="0"/>
        </w:tabs>
        <w:autoSpaceDE w:val="0"/>
        <w:autoSpaceDN w:val="0"/>
        <w:adjustRightInd w:val="0"/>
        <w:spacing w:before="120" w:line="300" w:lineRule="auto"/>
        <w:ind w:firstLine="709"/>
        <w:rPr>
          <w:rFonts w:ascii="Times New Roman" w:hAnsi="Times New Roman" w:cs="Times New Roman"/>
          <w:spacing w:val="6"/>
          <w:sz w:val="24"/>
          <w:szCs w:val="24"/>
        </w:rPr>
      </w:pPr>
      <w:r w:rsidRPr="0066654C">
        <w:rPr>
          <w:rFonts w:ascii="Times New Roman" w:hAnsi="Times New Roman" w:cs="Times New Roman"/>
          <w:spacing w:val="6"/>
          <w:sz w:val="24"/>
          <w:szCs w:val="24"/>
        </w:rPr>
        <w:t>Ainsi, l'étape d'identification des risques est un processus continu. Il est faux de penser que l'identification des risques est une activité ponctuelle qui doit être éliminée lorsque l'institution sera stable financièrement et ses risques bien définis</w:t>
      </w:r>
      <w:r w:rsidR="007B314B" w:rsidRPr="0066654C">
        <w:rPr>
          <w:rFonts w:ascii="Times New Roman" w:hAnsi="Times New Roman" w:cs="Times New Roman"/>
          <w:spacing w:val="6"/>
          <w:sz w:val="24"/>
          <w:szCs w:val="24"/>
        </w:rPr>
        <w:t>,</w:t>
      </w:r>
      <w:r w:rsidRPr="0066654C">
        <w:rPr>
          <w:rFonts w:ascii="Times New Roman" w:hAnsi="Times New Roman" w:cs="Times New Roman"/>
          <w:spacing w:val="6"/>
          <w:sz w:val="24"/>
          <w:szCs w:val="24"/>
        </w:rPr>
        <w:t xml:space="preserve"> </w:t>
      </w:r>
      <w:r w:rsidR="007B314B" w:rsidRPr="0066654C">
        <w:rPr>
          <w:rFonts w:ascii="Times New Roman" w:hAnsi="Times New Roman" w:cs="Times New Roman"/>
          <w:spacing w:val="6"/>
          <w:sz w:val="24"/>
          <w:szCs w:val="24"/>
        </w:rPr>
        <w:t>s</w:t>
      </w:r>
      <w:r w:rsidRPr="0066654C">
        <w:rPr>
          <w:rFonts w:ascii="Times New Roman" w:hAnsi="Times New Roman" w:cs="Times New Roman"/>
          <w:spacing w:val="6"/>
          <w:sz w:val="24"/>
          <w:szCs w:val="24"/>
        </w:rPr>
        <w:t xml:space="preserve">urtout dans l'économie actuelle caractérisée par </w:t>
      </w:r>
      <w:r w:rsidR="007B314B" w:rsidRPr="0066654C">
        <w:rPr>
          <w:rFonts w:ascii="Times New Roman" w:hAnsi="Times New Roman" w:cs="Times New Roman"/>
          <w:spacing w:val="6"/>
          <w:sz w:val="24"/>
          <w:szCs w:val="24"/>
        </w:rPr>
        <w:t>d</w:t>
      </w:r>
      <w:r w:rsidRPr="0066654C">
        <w:rPr>
          <w:rFonts w:ascii="Times New Roman" w:hAnsi="Times New Roman" w:cs="Times New Roman"/>
          <w:spacing w:val="6"/>
          <w:sz w:val="24"/>
          <w:szCs w:val="24"/>
        </w:rPr>
        <w:t>es changements successifs</w:t>
      </w:r>
      <w:r w:rsidR="007B314B" w:rsidRPr="0066654C">
        <w:rPr>
          <w:rFonts w:ascii="Times New Roman" w:hAnsi="Times New Roman" w:cs="Times New Roman"/>
          <w:spacing w:val="6"/>
          <w:sz w:val="24"/>
          <w:szCs w:val="24"/>
        </w:rPr>
        <w:t>.</w:t>
      </w:r>
      <w:r w:rsidRPr="0066654C">
        <w:rPr>
          <w:rFonts w:ascii="Times New Roman" w:hAnsi="Times New Roman" w:cs="Times New Roman"/>
          <w:spacing w:val="6"/>
          <w:sz w:val="24"/>
          <w:szCs w:val="24"/>
        </w:rPr>
        <w:t xml:space="preserve"> </w:t>
      </w:r>
      <w:r w:rsidR="007B314B" w:rsidRPr="0066654C">
        <w:rPr>
          <w:rFonts w:ascii="Times New Roman" w:hAnsi="Times New Roman" w:cs="Times New Roman"/>
          <w:spacing w:val="6"/>
          <w:sz w:val="24"/>
          <w:szCs w:val="24"/>
        </w:rPr>
        <w:t>U</w:t>
      </w:r>
      <w:r w:rsidRPr="0066654C">
        <w:rPr>
          <w:rFonts w:ascii="Times New Roman" w:hAnsi="Times New Roman" w:cs="Times New Roman"/>
          <w:spacing w:val="6"/>
          <w:sz w:val="24"/>
          <w:szCs w:val="24"/>
        </w:rPr>
        <w:t xml:space="preserve">ne attention continue </w:t>
      </w:r>
      <w:r w:rsidR="007B314B" w:rsidRPr="0066654C">
        <w:rPr>
          <w:rFonts w:ascii="Times New Roman" w:hAnsi="Times New Roman" w:cs="Times New Roman"/>
          <w:spacing w:val="6"/>
          <w:sz w:val="24"/>
          <w:szCs w:val="24"/>
        </w:rPr>
        <w:t xml:space="preserve">est nécessaire </w:t>
      </w:r>
      <w:r w:rsidRPr="0066654C">
        <w:rPr>
          <w:rFonts w:ascii="Times New Roman" w:hAnsi="Times New Roman" w:cs="Times New Roman"/>
          <w:spacing w:val="6"/>
          <w:sz w:val="24"/>
          <w:szCs w:val="24"/>
        </w:rPr>
        <w:t>pour identifier de nouveaux risques. Le manager des risques doit être vigilant dans un tel environnement en plein</w:t>
      </w:r>
      <w:r w:rsidR="007B314B" w:rsidRPr="0066654C">
        <w:rPr>
          <w:rFonts w:ascii="Times New Roman" w:hAnsi="Times New Roman" w:cs="Times New Roman"/>
          <w:spacing w:val="6"/>
          <w:sz w:val="24"/>
          <w:szCs w:val="24"/>
        </w:rPr>
        <w:t>e</w:t>
      </w:r>
      <w:r w:rsidRPr="0066654C">
        <w:rPr>
          <w:rFonts w:ascii="Times New Roman" w:hAnsi="Times New Roman" w:cs="Times New Roman"/>
          <w:spacing w:val="6"/>
          <w:sz w:val="24"/>
          <w:szCs w:val="24"/>
        </w:rPr>
        <w:t xml:space="preserve"> mutation, en cherchant l'information afin de l'interpréter de façon bénéfique pour l'institution.</w:t>
      </w:r>
    </w:p>
    <w:p w14:paraId="6377F227" w14:textId="77777777" w:rsidR="002760B2" w:rsidRPr="009827C7" w:rsidRDefault="00D05172" w:rsidP="00D66FFE">
      <w:pPr>
        <w:pStyle w:val="Titre3"/>
        <w:keepNext w:val="0"/>
        <w:keepLines w:val="0"/>
        <w:spacing w:before="100" w:beforeAutospacing="1" w:after="100" w:afterAutospacing="1"/>
        <w:ind w:firstLine="709"/>
        <w:rPr>
          <w:sz w:val="28"/>
          <w:szCs w:val="28"/>
        </w:rPr>
      </w:pPr>
      <w:bookmarkStart w:id="748" w:name="_Toc33263291"/>
      <w:bookmarkStart w:id="749" w:name="_Toc37664542"/>
      <w:bookmarkStart w:id="750" w:name="_Toc37666387"/>
      <w:bookmarkStart w:id="751" w:name="_Toc54363276"/>
      <w:bookmarkStart w:id="752" w:name="_Toc58606280"/>
      <w:bookmarkStart w:id="753" w:name="_Toc61263485"/>
      <w:bookmarkStart w:id="754" w:name="_Toc182298716"/>
      <w:r w:rsidRPr="009827C7">
        <w:rPr>
          <w:sz w:val="28"/>
          <w:szCs w:val="28"/>
        </w:rPr>
        <w:t xml:space="preserve">2.2- </w:t>
      </w:r>
      <w:r w:rsidR="002760B2" w:rsidRPr="009827C7">
        <w:rPr>
          <w:sz w:val="28"/>
          <w:szCs w:val="28"/>
        </w:rPr>
        <w:t>Mesure des risques</w:t>
      </w:r>
      <w:bookmarkEnd w:id="748"/>
      <w:bookmarkEnd w:id="749"/>
      <w:bookmarkEnd w:id="750"/>
      <w:bookmarkEnd w:id="751"/>
      <w:bookmarkEnd w:id="752"/>
      <w:bookmarkEnd w:id="753"/>
      <w:bookmarkEnd w:id="754"/>
    </w:p>
    <w:p w14:paraId="0B91A18E" w14:textId="77777777" w:rsidR="002760B2" w:rsidRPr="0066654C" w:rsidRDefault="002760B2" w:rsidP="00D66FFE">
      <w:pPr>
        <w:tabs>
          <w:tab w:val="left" w:pos="0"/>
        </w:tabs>
        <w:autoSpaceDE w:val="0"/>
        <w:autoSpaceDN w:val="0"/>
        <w:adjustRightInd w:val="0"/>
        <w:spacing w:before="120" w:after="120" w:line="300" w:lineRule="auto"/>
        <w:ind w:firstLine="709"/>
        <w:rPr>
          <w:rFonts w:ascii="Times New Roman" w:hAnsi="Times New Roman" w:cs="Times New Roman"/>
          <w:spacing w:val="6"/>
          <w:sz w:val="24"/>
          <w:szCs w:val="24"/>
        </w:rPr>
      </w:pPr>
      <w:r w:rsidRPr="0066654C">
        <w:rPr>
          <w:rFonts w:ascii="Times New Roman" w:hAnsi="Times New Roman" w:cs="Times New Roman"/>
          <w:spacing w:val="6"/>
          <w:sz w:val="24"/>
          <w:szCs w:val="24"/>
        </w:rPr>
        <w:t xml:space="preserve">La question de la mesure du risque et de son évaluation est primordiale. Ainsi, tous les systèmes de gestion des risques reposent sur des mesures quantifiées du risque. Ces mesures </w:t>
      </w:r>
      <w:r w:rsidR="007B314B" w:rsidRPr="0066654C">
        <w:rPr>
          <w:rFonts w:ascii="Times New Roman" w:hAnsi="Times New Roman" w:cs="Times New Roman"/>
          <w:spacing w:val="6"/>
          <w:sz w:val="24"/>
          <w:szCs w:val="24"/>
        </w:rPr>
        <w:t xml:space="preserve">du risque </w:t>
      </w:r>
      <w:r w:rsidRPr="0066654C">
        <w:rPr>
          <w:rFonts w:ascii="Times New Roman" w:hAnsi="Times New Roman" w:cs="Times New Roman"/>
          <w:spacing w:val="6"/>
          <w:sz w:val="24"/>
          <w:szCs w:val="24"/>
        </w:rPr>
        <w:t>sont effectuées à travers un indicateur commode</w:t>
      </w:r>
      <w:r w:rsidR="007B314B" w:rsidRPr="0066654C">
        <w:rPr>
          <w:rFonts w:ascii="Times New Roman" w:hAnsi="Times New Roman" w:cs="Times New Roman"/>
          <w:spacing w:val="6"/>
          <w:sz w:val="24"/>
          <w:szCs w:val="24"/>
        </w:rPr>
        <w:t>,</w:t>
      </w:r>
      <w:r w:rsidRPr="0066654C">
        <w:rPr>
          <w:rFonts w:ascii="Times New Roman" w:hAnsi="Times New Roman" w:cs="Times New Roman"/>
          <w:spacing w:val="6"/>
          <w:sz w:val="24"/>
          <w:szCs w:val="24"/>
        </w:rPr>
        <w:t xml:space="preserve"> très utilisé</w:t>
      </w:r>
      <w:r w:rsidR="007B314B" w:rsidRPr="0066654C">
        <w:rPr>
          <w:rFonts w:ascii="Times New Roman" w:hAnsi="Times New Roman" w:cs="Times New Roman"/>
          <w:spacing w:val="6"/>
          <w:sz w:val="24"/>
          <w:szCs w:val="24"/>
        </w:rPr>
        <w:t>,</w:t>
      </w:r>
      <w:r w:rsidRPr="0066654C">
        <w:rPr>
          <w:rFonts w:ascii="Times New Roman" w:hAnsi="Times New Roman" w:cs="Times New Roman"/>
          <w:spacing w:val="6"/>
          <w:sz w:val="24"/>
          <w:szCs w:val="24"/>
        </w:rPr>
        <w:t xml:space="preserve"> appelé "volatilité". Il s'agit de mesurer l'instabilité des résultats financiers qui peuvent être positifs ou négatifs.</w:t>
      </w:r>
    </w:p>
    <w:p w14:paraId="6CEF80D3" w14:textId="77777777" w:rsidR="009D366D" w:rsidRPr="0066654C" w:rsidRDefault="002760B2" w:rsidP="00D66FFE">
      <w:pPr>
        <w:tabs>
          <w:tab w:val="left" w:pos="0"/>
        </w:tabs>
        <w:autoSpaceDE w:val="0"/>
        <w:autoSpaceDN w:val="0"/>
        <w:adjustRightInd w:val="0"/>
        <w:spacing w:before="120" w:after="120" w:line="300" w:lineRule="auto"/>
        <w:ind w:firstLine="709"/>
        <w:rPr>
          <w:rFonts w:ascii="Times New Roman" w:hAnsi="Times New Roman" w:cs="Times New Roman"/>
          <w:color w:val="000000" w:themeColor="text1"/>
          <w:spacing w:val="6"/>
          <w:sz w:val="24"/>
          <w:szCs w:val="24"/>
        </w:rPr>
      </w:pPr>
      <w:r w:rsidRPr="0066654C">
        <w:rPr>
          <w:rFonts w:ascii="Times New Roman" w:hAnsi="Times New Roman" w:cs="Times New Roman"/>
          <w:spacing w:val="6"/>
          <w:sz w:val="24"/>
          <w:szCs w:val="24"/>
        </w:rPr>
        <w:t>Il existe deux approches pour mesurer les risques encourus par les institutions financières</w:t>
      </w:r>
      <w:r w:rsidRPr="0066654C">
        <w:rPr>
          <w:rStyle w:val="Appelnotedebasdep"/>
          <w:rFonts w:ascii="Times New Roman" w:hAnsi="Times New Roman"/>
          <w:spacing w:val="6"/>
          <w:sz w:val="24"/>
          <w:szCs w:val="24"/>
        </w:rPr>
        <w:footnoteReference w:id="195"/>
      </w:r>
      <w:r w:rsidRPr="0066654C">
        <w:rPr>
          <w:rFonts w:ascii="Times New Roman" w:hAnsi="Times New Roman" w:cs="Times New Roman"/>
          <w:color w:val="000000" w:themeColor="text1"/>
          <w:spacing w:val="6"/>
          <w:sz w:val="24"/>
          <w:szCs w:val="24"/>
        </w:rPr>
        <w:t>.</w:t>
      </w:r>
    </w:p>
    <w:p w14:paraId="3B2E205B" w14:textId="77777777" w:rsidR="009D366D" w:rsidRPr="0066654C" w:rsidRDefault="002760B2" w:rsidP="00CB0FF1">
      <w:pPr>
        <w:pStyle w:val="Paragraphedeliste"/>
        <w:numPr>
          <w:ilvl w:val="0"/>
          <w:numId w:val="106"/>
        </w:numPr>
        <w:tabs>
          <w:tab w:val="left" w:pos="0"/>
        </w:tabs>
        <w:autoSpaceDE w:val="0"/>
        <w:autoSpaceDN w:val="0"/>
        <w:adjustRightInd w:val="0"/>
        <w:spacing w:line="300" w:lineRule="auto"/>
        <w:ind w:left="1135" w:hanging="284"/>
        <w:contextualSpacing w:val="0"/>
        <w:rPr>
          <w:rFonts w:ascii="Times New Roman" w:hAnsi="Times New Roman" w:cs="Times New Roman"/>
          <w:spacing w:val="6"/>
          <w:sz w:val="24"/>
          <w:szCs w:val="24"/>
        </w:rPr>
      </w:pPr>
      <w:r w:rsidRPr="0066654C">
        <w:rPr>
          <w:rFonts w:ascii="Times New Roman" w:hAnsi="Times New Roman" w:cs="Times New Roman"/>
          <w:spacing w:val="6"/>
          <w:sz w:val="24"/>
          <w:szCs w:val="24"/>
        </w:rPr>
        <w:t>La première consiste à mesurer le</w:t>
      </w:r>
      <w:r w:rsidR="00497D56" w:rsidRPr="0066654C">
        <w:rPr>
          <w:rFonts w:ascii="Times New Roman" w:hAnsi="Times New Roman" w:cs="Times New Roman"/>
          <w:spacing w:val="6"/>
          <w:sz w:val="24"/>
          <w:szCs w:val="24"/>
        </w:rPr>
        <w:t xml:space="preserve">s risques de façon segmentaire </w:t>
      </w:r>
      <w:r w:rsidRPr="0066654C">
        <w:rPr>
          <w:rFonts w:ascii="Times New Roman" w:hAnsi="Times New Roman" w:cs="Times New Roman"/>
          <w:spacing w:val="6"/>
          <w:sz w:val="24"/>
          <w:szCs w:val="24"/>
        </w:rPr>
        <w:t>comme la méthode de l’analyse différentielle pour mesurer le risque de taux d'intérêt et l</w:t>
      </w:r>
      <w:r w:rsidR="00497D56" w:rsidRPr="0066654C">
        <w:rPr>
          <w:rFonts w:ascii="Times New Roman" w:hAnsi="Times New Roman" w:cs="Times New Roman"/>
          <w:spacing w:val="6"/>
          <w:sz w:val="24"/>
          <w:szCs w:val="24"/>
        </w:rPr>
        <w:t>a méthode de valeur en risque (VAR) pour les risques de marché</w:t>
      </w:r>
      <w:r w:rsidRPr="0066654C">
        <w:rPr>
          <w:rFonts w:ascii="Times New Roman" w:hAnsi="Times New Roman" w:cs="Times New Roman"/>
          <w:spacing w:val="6"/>
          <w:sz w:val="24"/>
          <w:szCs w:val="24"/>
        </w:rPr>
        <w:t>.</w:t>
      </w:r>
    </w:p>
    <w:p w14:paraId="739C06B7" w14:textId="77777777" w:rsidR="002760B2" w:rsidRPr="00CC262F" w:rsidRDefault="002760B2" w:rsidP="00CB0FF1">
      <w:pPr>
        <w:pStyle w:val="Paragraphedeliste"/>
        <w:numPr>
          <w:ilvl w:val="0"/>
          <w:numId w:val="106"/>
        </w:numPr>
        <w:tabs>
          <w:tab w:val="left" w:pos="0"/>
        </w:tabs>
        <w:autoSpaceDE w:val="0"/>
        <w:autoSpaceDN w:val="0"/>
        <w:adjustRightInd w:val="0"/>
        <w:spacing w:line="300" w:lineRule="auto"/>
        <w:ind w:left="1135" w:hanging="284"/>
        <w:contextualSpacing w:val="0"/>
        <w:rPr>
          <w:rFonts w:ascii="Times New Roman" w:hAnsi="Times New Roman" w:cs="Times New Roman"/>
          <w:spacing w:val="2"/>
          <w:sz w:val="24"/>
          <w:szCs w:val="24"/>
        </w:rPr>
      </w:pPr>
      <w:r w:rsidRPr="00CC262F">
        <w:rPr>
          <w:rFonts w:ascii="Times New Roman" w:hAnsi="Times New Roman" w:cs="Times New Roman"/>
          <w:spacing w:val="2"/>
          <w:sz w:val="24"/>
          <w:szCs w:val="24"/>
        </w:rPr>
        <w:t>La deuxième approche est d'évaluer les risques d'une manière consolidée, en déterminant le niveau</w:t>
      </w:r>
      <w:r w:rsidR="00497D56" w:rsidRPr="00CC262F">
        <w:rPr>
          <w:rFonts w:ascii="Times New Roman" w:hAnsi="Times New Roman" w:cs="Times New Roman"/>
          <w:spacing w:val="2"/>
          <w:sz w:val="24"/>
          <w:szCs w:val="24"/>
        </w:rPr>
        <w:t xml:space="preserve"> global des différents risques, par exemple, le</w:t>
      </w:r>
      <w:r w:rsidRPr="00CC262F">
        <w:rPr>
          <w:rFonts w:ascii="Times New Roman" w:hAnsi="Times New Roman" w:cs="Times New Roman"/>
          <w:spacing w:val="2"/>
          <w:sz w:val="24"/>
          <w:szCs w:val="24"/>
        </w:rPr>
        <w:t xml:space="preserve"> </w:t>
      </w:r>
      <w:r w:rsidR="00497D56" w:rsidRPr="00CC262F">
        <w:rPr>
          <w:rFonts w:ascii="Times New Roman" w:hAnsi="Times New Roman" w:cs="Times New Roman"/>
          <w:spacing w:val="2"/>
          <w:sz w:val="24"/>
          <w:szCs w:val="24"/>
        </w:rPr>
        <w:t>Risk Adjusted Return On Capital (RAROC)</w:t>
      </w:r>
      <w:r w:rsidRPr="00CC262F">
        <w:rPr>
          <w:rFonts w:ascii="Times New Roman" w:hAnsi="Times New Roman" w:cs="Times New Roman"/>
          <w:spacing w:val="2"/>
          <w:sz w:val="24"/>
          <w:szCs w:val="24"/>
        </w:rPr>
        <w:t xml:space="preserve"> pour estimer </w:t>
      </w:r>
      <w:r w:rsidR="00497D56" w:rsidRPr="00CC262F">
        <w:rPr>
          <w:rFonts w:ascii="Times New Roman" w:hAnsi="Times New Roman" w:cs="Times New Roman"/>
          <w:spacing w:val="2"/>
          <w:sz w:val="24"/>
          <w:szCs w:val="24"/>
        </w:rPr>
        <w:t>le niveau global des risques</w:t>
      </w:r>
      <w:r w:rsidRPr="00CC262F">
        <w:rPr>
          <w:rFonts w:ascii="Times New Roman" w:hAnsi="Times New Roman" w:cs="Times New Roman"/>
          <w:spacing w:val="2"/>
          <w:sz w:val="24"/>
          <w:szCs w:val="24"/>
        </w:rPr>
        <w:t>.</w:t>
      </w:r>
    </w:p>
    <w:p w14:paraId="43BA9B82" w14:textId="77777777" w:rsidR="002760B2" w:rsidRPr="0066654C" w:rsidRDefault="002760B2" w:rsidP="00D66FFE">
      <w:pPr>
        <w:tabs>
          <w:tab w:val="left" w:pos="0"/>
        </w:tabs>
        <w:autoSpaceDE w:val="0"/>
        <w:autoSpaceDN w:val="0"/>
        <w:adjustRightInd w:val="0"/>
        <w:spacing w:before="120" w:after="120" w:line="300" w:lineRule="auto"/>
        <w:ind w:firstLine="709"/>
        <w:rPr>
          <w:rFonts w:ascii="Times New Roman" w:hAnsi="Times New Roman" w:cs="Times New Roman"/>
          <w:spacing w:val="6"/>
          <w:sz w:val="24"/>
          <w:szCs w:val="24"/>
        </w:rPr>
      </w:pPr>
      <w:r w:rsidRPr="0066654C">
        <w:rPr>
          <w:rFonts w:ascii="Times New Roman" w:hAnsi="Times New Roman" w:cs="Times New Roman"/>
          <w:spacing w:val="6"/>
          <w:sz w:val="24"/>
          <w:szCs w:val="24"/>
        </w:rPr>
        <w:t>Dans ce qui suit, nous présentons certaines techniques contemporaines utilisées par la plupart des institutions financières pour mesurer leurs risques financiers.</w:t>
      </w:r>
    </w:p>
    <w:p w14:paraId="68EC9BF9" w14:textId="77777777" w:rsidR="002760B2" w:rsidRPr="0066654C" w:rsidRDefault="00D05172" w:rsidP="00D66FFE">
      <w:pPr>
        <w:pStyle w:val="Titre4"/>
        <w:keepNext w:val="0"/>
        <w:spacing w:before="120" w:after="120" w:line="300" w:lineRule="auto"/>
        <w:ind w:firstLine="709"/>
      </w:pPr>
      <w:bookmarkStart w:id="755" w:name="_Toc33263292"/>
      <w:bookmarkStart w:id="756" w:name="_Toc37664543"/>
      <w:bookmarkStart w:id="757" w:name="_Toc37666388"/>
      <w:bookmarkStart w:id="758" w:name="_Toc54363277"/>
      <w:bookmarkStart w:id="759" w:name="_Toc58606281"/>
      <w:bookmarkStart w:id="760" w:name="_Toc61263486"/>
      <w:bookmarkStart w:id="761" w:name="_Toc182298717"/>
      <w:r w:rsidRPr="0066654C">
        <w:t>2.2.1- A</w:t>
      </w:r>
      <w:r w:rsidR="002760B2" w:rsidRPr="0066654C">
        <w:t>nalyse différentielle (GAP ou Gestion Actif-Passif)</w:t>
      </w:r>
      <w:bookmarkEnd w:id="755"/>
      <w:bookmarkEnd w:id="756"/>
      <w:bookmarkEnd w:id="757"/>
      <w:bookmarkEnd w:id="758"/>
      <w:bookmarkEnd w:id="759"/>
      <w:bookmarkEnd w:id="760"/>
      <w:bookmarkEnd w:id="761"/>
    </w:p>
    <w:p w14:paraId="58287FD0" w14:textId="77777777" w:rsidR="002760B2" w:rsidRPr="0066654C" w:rsidRDefault="002760B2" w:rsidP="0004035B">
      <w:pPr>
        <w:widowControl w:val="0"/>
        <w:tabs>
          <w:tab w:val="left" w:pos="0"/>
        </w:tabs>
        <w:autoSpaceDE w:val="0"/>
        <w:autoSpaceDN w:val="0"/>
        <w:adjustRightInd w:val="0"/>
        <w:spacing w:line="300" w:lineRule="auto"/>
        <w:ind w:firstLine="709"/>
        <w:rPr>
          <w:rFonts w:ascii="Times New Roman" w:hAnsi="Times New Roman" w:cs="Times New Roman"/>
          <w:spacing w:val="6"/>
          <w:sz w:val="24"/>
          <w:szCs w:val="24"/>
        </w:rPr>
      </w:pPr>
      <w:r w:rsidRPr="0066654C">
        <w:rPr>
          <w:rFonts w:ascii="Times New Roman" w:hAnsi="Times New Roman" w:cs="Times New Roman"/>
          <w:spacing w:val="6"/>
          <w:sz w:val="24"/>
          <w:szCs w:val="24"/>
        </w:rPr>
        <w:t xml:space="preserve">Elle représente une mesure classique de l'exposition au risque de taux, basée sur le bilan. Elle étudie la variabilité du revenu net d'intérêt sur un intervalle de temps donné. Appelée également </w:t>
      </w:r>
      <w:r w:rsidR="009D366D" w:rsidRPr="0066654C">
        <w:rPr>
          <w:rFonts w:ascii="Times New Roman" w:hAnsi="Times New Roman" w:cs="Times New Roman"/>
          <w:spacing w:val="6"/>
          <w:sz w:val="24"/>
          <w:szCs w:val="24"/>
        </w:rPr>
        <w:t>"i</w:t>
      </w:r>
      <w:r w:rsidRPr="0066654C">
        <w:rPr>
          <w:rFonts w:ascii="Times New Roman" w:hAnsi="Times New Roman" w:cs="Times New Roman"/>
          <w:spacing w:val="6"/>
          <w:sz w:val="24"/>
          <w:szCs w:val="24"/>
        </w:rPr>
        <w:t>mpasse de taux</w:t>
      </w:r>
      <w:r w:rsidR="009D366D" w:rsidRPr="0066654C">
        <w:rPr>
          <w:rFonts w:ascii="Times New Roman" w:hAnsi="Times New Roman" w:cs="Times New Roman"/>
          <w:spacing w:val="6"/>
          <w:sz w:val="24"/>
          <w:szCs w:val="24"/>
        </w:rPr>
        <w:t>"</w:t>
      </w:r>
      <w:r w:rsidRPr="0066654C">
        <w:rPr>
          <w:rFonts w:ascii="Times New Roman" w:hAnsi="Times New Roman" w:cs="Times New Roman"/>
          <w:spacing w:val="6"/>
          <w:sz w:val="24"/>
          <w:szCs w:val="24"/>
        </w:rPr>
        <w:t xml:space="preserve">, cette analyse procède d'une démarche en plusieurs étapes portant sur </w:t>
      </w:r>
      <w:r w:rsidR="0066654C" w:rsidRPr="0066654C">
        <w:rPr>
          <w:rFonts w:ascii="Times New Roman" w:hAnsi="Times New Roman" w:cs="Times New Roman"/>
          <w:spacing w:val="6"/>
          <w:sz w:val="24"/>
          <w:szCs w:val="24"/>
        </w:rPr>
        <w:t xml:space="preserve">actif </w:t>
      </w:r>
      <w:r w:rsidRPr="0066654C">
        <w:rPr>
          <w:rFonts w:ascii="Times New Roman" w:hAnsi="Times New Roman" w:cs="Times New Roman"/>
          <w:spacing w:val="6"/>
          <w:sz w:val="24"/>
          <w:szCs w:val="24"/>
        </w:rPr>
        <w:t xml:space="preserve">et </w:t>
      </w:r>
      <w:r w:rsidR="0066654C" w:rsidRPr="0066654C">
        <w:rPr>
          <w:rFonts w:ascii="Times New Roman" w:hAnsi="Times New Roman" w:cs="Times New Roman"/>
          <w:spacing w:val="6"/>
          <w:sz w:val="24"/>
          <w:szCs w:val="24"/>
        </w:rPr>
        <w:t>passif</w:t>
      </w:r>
      <w:r w:rsidRPr="0066654C">
        <w:rPr>
          <w:rFonts w:ascii="Times New Roman" w:hAnsi="Times New Roman" w:cs="Times New Roman"/>
          <w:spacing w:val="6"/>
          <w:sz w:val="24"/>
          <w:szCs w:val="24"/>
        </w:rPr>
        <w:t xml:space="preserve"> à taux variable sur une période donnée</w:t>
      </w:r>
      <w:r w:rsidRPr="0066654C">
        <w:rPr>
          <w:rStyle w:val="Appelnotedebasdep"/>
          <w:rFonts w:ascii="Times New Roman" w:hAnsi="Times New Roman"/>
          <w:spacing w:val="6"/>
          <w:sz w:val="24"/>
          <w:szCs w:val="24"/>
        </w:rPr>
        <w:footnoteReference w:id="196"/>
      </w:r>
      <w:r w:rsidR="009D366D" w:rsidRPr="0066654C">
        <w:rPr>
          <w:rFonts w:ascii="Times New Roman" w:hAnsi="Times New Roman" w:cs="Times New Roman"/>
          <w:spacing w:val="6"/>
          <w:sz w:val="24"/>
          <w:szCs w:val="24"/>
        </w:rPr>
        <w:t> :</w:t>
      </w:r>
    </w:p>
    <w:p w14:paraId="24BC3F08" w14:textId="77777777" w:rsidR="002760B2" w:rsidRPr="0066654C" w:rsidRDefault="002760B2" w:rsidP="00CB0FF1">
      <w:pPr>
        <w:pStyle w:val="Paragraphedeliste"/>
        <w:widowControl w:val="0"/>
        <w:numPr>
          <w:ilvl w:val="0"/>
          <w:numId w:val="62"/>
        </w:numPr>
        <w:tabs>
          <w:tab w:val="left" w:pos="851"/>
        </w:tabs>
        <w:autoSpaceDE w:val="0"/>
        <w:autoSpaceDN w:val="0"/>
        <w:adjustRightInd w:val="0"/>
        <w:spacing w:line="300" w:lineRule="auto"/>
        <w:ind w:left="1208" w:hanging="357"/>
        <w:contextualSpacing w:val="0"/>
        <w:rPr>
          <w:rFonts w:ascii="Times New Roman" w:hAnsi="Times New Roman" w:cs="Times New Roman"/>
          <w:spacing w:val="6"/>
          <w:sz w:val="24"/>
          <w:szCs w:val="24"/>
        </w:rPr>
      </w:pPr>
      <w:r w:rsidRPr="0066654C">
        <w:rPr>
          <w:rFonts w:ascii="Times New Roman" w:hAnsi="Times New Roman" w:cs="Times New Roman"/>
          <w:spacing w:val="6"/>
          <w:sz w:val="24"/>
          <w:szCs w:val="24"/>
        </w:rPr>
        <w:t>D'abord, il faut regrouper tous les postes à taux variable à refinancer pour l'actif et le passif, sur la même période de référence sinon la distincti</w:t>
      </w:r>
      <w:r w:rsidR="00A21A17" w:rsidRPr="0066654C">
        <w:rPr>
          <w:rFonts w:ascii="Times New Roman" w:hAnsi="Times New Roman" w:cs="Times New Roman"/>
          <w:spacing w:val="6"/>
          <w:sz w:val="24"/>
          <w:szCs w:val="24"/>
        </w:rPr>
        <w:t>on fixe- variable perd son sens ;</w:t>
      </w:r>
    </w:p>
    <w:p w14:paraId="64CAE208" w14:textId="77777777" w:rsidR="002760B2" w:rsidRPr="0066654C" w:rsidRDefault="002760B2" w:rsidP="00CB0FF1">
      <w:pPr>
        <w:pStyle w:val="Paragraphedeliste"/>
        <w:widowControl w:val="0"/>
        <w:numPr>
          <w:ilvl w:val="0"/>
          <w:numId w:val="62"/>
        </w:numPr>
        <w:tabs>
          <w:tab w:val="left" w:pos="851"/>
        </w:tabs>
        <w:autoSpaceDE w:val="0"/>
        <w:autoSpaceDN w:val="0"/>
        <w:adjustRightInd w:val="0"/>
        <w:spacing w:line="300" w:lineRule="auto"/>
        <w:ind w:left="1208" w:hanging="357"/>
        <w:contextualSpacing w:val="0"/>
        <w:rPr>
          <w:rFonts w:ascii="Times New Roman" w:hAnsi="Times New Roman" w:cs="Times New Roman"/>
          <w:spacing w:val="6"/>
          <w:sz w:val="24"/>
          <w:szCs w:val="24"/>
        </w:rPr>
      </w:pPr>
      <w:r w:rsidRPr="0066654C">
        <w:rPr>
          <w:rFonts w:ascii="Times New Roman" w:hAnsi="Times New Roman" w:cs="Times New Roman"/>
          <w:spacing w:val="6"/>
          <w:sz w:val="24"/>
          <w:szCs w:val="24"/>
        </w:rPr>
        <w:t>Par la suite, le total des encours à refinancer pour l'actif et le passif doit être calculé pour chaque période.</w:t>
      </w:r>
    </w:p>
    <w:p w14:paraId="564E3BB9" w14:textId="77777777" w:rsidR="002760B2" w:rsidRPr="0066654C" w:rsidRDefault="002760B2" w:rsidP="00CB0FF1">
      <w:pPr>
        <w:pStyle w:val="Paragraphedeliste"/>
        <w:widowControl w:val="0"/>
        <w:numPr>
          <w:ilvl w:val="0"/>
          <w:numId w:val="62"/>
        </w:numPr>
        <w:tabs>
          <w:tab w:val="left" w:pos="851"/>
        </w:tabs>
        <w:autoSpaceDE w:val="0"/>
        <w:autoSpaceDN w:val="0"/>
        <w:adjustRightInd w:val="0"/>
        <w:spacing w:line="300" w:lineRule="auto"/>
        <w:ind w:left="1208" w:hanging="357"/>
        <w:contextualSpacing w:val="0"/>
        <w:rPr>
          <w:rFonts w:ascii="Times New Roman" w:hAnsi="Times New Roman" w:cs="Times New Roman"/>
          <w:spacing w:val="6"/>
          <w:sz w:val="24"/>
          <w:szCs w:val="24"/>
        </w:rPr>
      </w:pPr>
      <w:r w:rsidRPr="0066654C">
        <w:rPr>
          <w:rFonts w:ascii="Times New Roman" w:hAnsi="Times New Roman" w:cs="Times New Roman"/>
          <w:spacing w:val="6"/>
          <w:sz w:val="24"/>
          <w:szCs w:val="24"/>
        </w:rPr>
        <w:lastRenderedPageBreak/>
        <w:t>En dernier, on calcule le</w:t>
      </w:r>
      <w:r w:rsidR="0066654C" w:rsidRPr="0066654C">
        <w:rPr>
          <w:rFonts w:ascii="Times New Roman" w:hAnsi="Times New Roman" w:cs="Times New Roman"/>
          <w:spacing w:val="6"/>
          <w:sz w:val="24"/>
          <w:szCs w:val="24"/>
        </w:rPr>
        <w:t>s</w:t>
      </w:r>
      <w:r w:rsidRPr="0066654C">
        <w:rPr>
          <w:rFonts w:ascii="Times New Roman" w:hAnsi="Times New Roman" w:cs="Times New Roman"/>
          <w:spacing w:val="6"/>
          <w:sz w:val="24"/>
          <w:szCs w:val="24"/>
        </w:rPr>
        <w:t xml:space="preserve"> GAP de taux à travers la différence algébrique entre les emplois à taux variable et les ressources à taux variable. Donc, le</w:t>
      </w:r>
      <w:r w:rsidR="0066654C" w:rsidRPr="0066654C">
        <w:rPr>
          <w:rFonts w:ascii="Times New Roman" w:hAnsi="Times New Roman" w:cs="Times New Roman"/>
          <w:spacing w:val="6"/>
          <w:sz w:val="24"/>
          <w:szCs w:val="24"/>
        </w:rPr>
        <w:t>s</w:t>
      </w:r>
      <w:r w:rsidRPr="0066654C">
        <w:rPr>
          <w:rFonts w:ascii="Times New Roman" w:hAnsi="Times New Roman" w:cs="Times New Roman"/>
          <w:spacing w:val="6"/>
          <w:sz w:val="24"/>
          <w:szCs w:val="24"/>
        </w:rPr>
        <w:t xml:space="preserve"> </w:t>
      </w:r>
      <w:r w:rsidRPr="0066654C">
        <w:rPr>
          <w:rFonts w:ascii="Times New Roman" w:hAnsi="Times New Roman" w:cs="Times New Roman"/>
          <w:b/>
          <w:bCs/>
          <w:spacing w:val="6"/>
          <w:sz w:val="24"/>
          <w:szCs w:val="24"/>
        </w:rPr>
        <w:t xml:space="preserve">GAP </w:t>
      </w:r>
      <w:r w:rsidRPr="0066654C">
        <w:rPr>
          <w:rFonts w:ascii="Times New Roman" w:hAnsi="Times New Roman" w:cs="Times New Roman"/>
          <w:spacing w:val="6"/>
          <w:sz w:val="24"/>
          <w:szCs w:val="24"/>
        </w:rPr>
        <w:t xml:space="preserve">se </w:t>
      </w:r>
      <w:r w:rsidR="0066654C" w:rsidRPr="0066654C">
        <w:rPr>
          <w:rFonts w:ascii="Times New Roman" w:hAnsi="Times New Roman" w:cs="Times New Roman"/>
          <w:spacing w:val="6"/>
          <w:sz w:val="24"/>
          <w:szCs w:val="24"/>
        </w:rPr>
        <w:t>calculent</w:t>
      </w:r>
      <w:r w:rsidRPr="0066654C">
        <w:rPr>
          <w:rFonts w:ascii="Times New Roman" w:hAnsi="Times New Roman" w:cs="Times New Roman"/>
          <w:spacing w:val="6"/>
          <w:sz w:val="24"/>
          <w:szCs w:val="24"/>
        </w:rPr>
        <w:t xml:space="preserve"> comme suit :</w:t>
      </w:r>
    </w:p>
    <w:p w14:paraId="12561ADA" w14:textId="77777777" w:rsidR="002760B2" w:rsidRPr="002B005F" w:rsidRDefault="002760B2" w:rsidP="00CC262F">
      <w:pPr>
        <w:keepNext/>
        <w:widowControl w:val="0"/>
        <w:tabs>
          <w:tab w:val="left" w:pos="0"/>
        </w:tabs>
        <w:autoSpaceDE w:val="0"/>
        <w:autoSpaceDN w:val="0"/>
        <w:adjustRightInd w:val="0"/>
        <w:spacing w:before="100" w:beforeAutospacing="1" w:after="120" w:line="300" w:lineRule="auto"/>
        <w:jc w:val="center"/>
        <w:rPr>
          <w:rFonts w:ascii="Times New Roman" w:hAnsi="Times New Roman" w:cs="Times New Roman"/>
          <w:b/>
          <w:bCs/>
          <w:spacing w:val="20"/>
          <w:sz w:val="28"/>
          <w:szCs w:val="28"/>
        </w:rPr>
      </w:pPr>
      <w:r w:rsidRPr="002B005F">
        <w:rPr>
          <w:rFonts w:ascii="Times New Roman" w:hAnsi="Times New Roman" w:cs="Times New Roman"/>
          <w:b/>
          <w:bCs/>
          <w:spacing w:val="20"/>
          <w:sz w:val="28"/>
          <w:szCs w:val="28"/>
        </w:rPr>
        <w:t>GAP = ATV - PTV</w:t>
      </w:r>
    </w:p>
    <w:p w14:paraId="0C50CD3A" w14:textId="77777777" w:rsidR="002760B2" w:rsidRPr="002B005F" w:rsidRDefault="002760B2" w:rsidP="00E457B7">
      <w:pPr>
        <w:widowControl w:val="0"/>
        <w:tabs>
          <w:tab w:val="left" w:pos="0"/>
        </w:tabs>
        <w:autoSpaceDE w:val="0"/>
        <w:autoSpaceDN w:val="0"/>
        <w:adjustRightInd w:val="0"/>
        <w:spacing w:line="300" w:lineRule="auto"/>
        <w:rPr>
          <w:rFonts w:ascii="Times New Roman" w:hAnsi="Times New Roman" w:cs="Times New Roman"/>
          <w:sz w:val="24"/>
          <w:szCs w:val="24"/>
        </w:rPr>
      </w:pPr>
      <w:r w:rsidRPr="002B005F">
        <w:rPr>
          <w:rFonts w:ascii="Times New Roman" w:hAnsi="Times New Roman" w:cs="Times New Roman"/>
          <w:b/>
          <w:bCs/>
          <w:sz w:val="24"/>
          <w:szCs w:val="24"/>
        </w:rPr>
        <w:t>Avec</w:t>
      </w:r>
      <w:r w:rsidR="00442697" w:rsidRPr="002B005F">
        <w:rPr>
          <w:rFonts w:ascii="Times New Roman" w:hAnsi="Times New Roman" w:cs="Times New Roman"/>
          <w:b/>
          <w:bCs/>
          <w:sz w:val="24"/>
          <w:szCs w:val="24"/>
        </w:rPr>
        <w:t> </w:t>
      </w:r>
      <w:r w:rsidR="00442697" w:rsidRPr="002B005F">
        <w:rPr>
          <w:rFonts w:ascii="Times New Roman" w:hAnsi="Times New Roman" w:cs="Times New Roman"/>
          <w:sz w:val="24"/>
          <w:szCs w:val="24"/>
        </w:rPr>
        <w:t>:</w:t>
      </w:r>
    </w:p>
    <w:p w14:paraId="12DDEE1C" w14:textId="77777777" w:rsidR="002760B2" w:rsidRPr="002B005F" w:rsidRDefault="00442697" w:rsidP="00CA6113">
      <w:pPr>
        <w:widowControl w:val="0"/>
        <w:tabs>
          <w:tab w:val="left" w:pos="142"/>
        </w:tabs>
        <w:autoSpaceDE w:val="0"/>
        <w:autoSpaceDN w:val="0"/>
        <w:adjustRightInd w:val="0"/>
        <w:spacing w:line="300" w:lineRule="auto"/>
        <w:ind w:left="851"/>
        <w:rPr>
          <w:rFonts w:ascii="Times New Roman" w:hAnsi="Times New Roman" w:cs="Times New Roman"/>
          <w:sz w:val="24"/>
          <w:szCs w:val="24"/>
        </w:rPr>
      </w:pPr>
      <w:r w:rsidRPr="002B005F">
        <w:rPr>
          <w:rFonts w:ascii="Times New Roman" w:hAnsi="Times New Roman" w:cs="Times New Roman"/>
          <w:b/>
          <w:bCs/>
          <w:sz w:val="24"/>
          <w:szCs w:val="24"/>
        </w:rPr>
        <w:t>ATV :</w:t>
      </w:r>
      <w:r w:rsidR="002760B2" w:rsidRPr="002B005F">
        <w:rPr>
          <w:rFonts w:ascii="Times New Roman" w:hAnsi="Times New Roman" w:cs="Times New Roman"/>
          <w:b/>
          <w:bCs/>
          <w:sz w:val="24"/>
          <w:szCs w:val="24"/>
        </w:rPr>
        <w:t xml:space="preserve"> </w:t>
      </w:r>
      <w:r w:rsidR="002760B2" w:rsidRPr="002B005F">
        <w:rPr>
          <w:rFonts w:ascii="Times New Roman" w:hAnsi="Times New Roman" w:cs="Times New Roman"/>
          <w:sz w:val="24"/>
          <w:szCs w:val="24"/>
        </w:rPr>
        <w:t>Actifs à taux variables</w:t>
      </w:r>
    </w:p>
    <w:p w14:paraId="670458F3" w14:textId="77777777" w:rsidR="002760B2" w:rsidRPr="002B005F" w:rsidRDefault="00497D56" w:rsidP="00CA6113">
      <w:pPr>
        <w:widowControl w:val="0"/>
        <w:tabs>
          <w:tab w:val="left" w:pos="142"/>
        </w:tabs>
        <w:autoSpaceDE w:val="0"/>
        <w:autoSpaceDN w:val="0"/>
        <w:adjustRightInd w:val="0"/>
        <w:spacing w:after="240" w:line="300" w:lineRule="auto"/>
        <w:ind w:left="851"/>
        <w:rPr>
          <w:rFonts w:ascii="Times New Roman" w:hAnsi="Times New Roman" w:cs="Times New Roman"/>
          <w:sz w:val="24"/>
          <w:szCs w:val="24"/>
        </w:rPr>
      </w:pPr>
      <w:r w:rsidRPr="002B005F">
        <w:rPr>
          <w:rFonts w:ascii="Times New Roman" w:hAnsi="Times New Roman" w:cs="Times New Roman"/>
          <w:b/>
          <w:bCs/>
          <w:sz w:val="24"/>
          <w:szCs w:val="24"/>
        </w:rPr>
        <w:t>PTV :</w:t>
      </w:r>
      <w:r w:rsidR="002760B2" w:rsidRPr="002B005F">
        <w:rPr>
          <w:rFonts w:ascii="Times New Roman" w:hAnsi="Times New Roman" w:cs="Times New Roman"/>
          <w:b/>
          <w:bCs/>
          <w:sz w:val="24"/>
          <w:szCs w:val="24"/>
        </w:rPr>
        <w:t xml:space="preserve"> </w:t>
      </w:r>
      <w:r w:rsidR="002760B2" w:rsidRPr="002B005F">
        <w:rPr>
          <w:rFonts w:ascii="Times New Roman" w:hAnsi="Times New Roman" w:cs="Times New Roman"/>
          <w:sz w:val="24"/>
          <w:szCs w:val="24"/>
        </w:rPr>
        <w:t>Passifs à taux variables</w:t>
      </w:r>
    </w:p>
    <w:p w14:paraId="2CD545A2" w14:textId="77777777" w:rsidR="002760B2" w:rsidRPr="002B005F" w:rsidRDefault="002760B2" w:rsidP="0066654C">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Lorsque l'impasse en taux </w:t>
      </w:r>
      <w:r w:rsidRPr="0066654C">
        <w:rPr>
          <w:rFonts w:ascii="Times New Roman" w:hAnsi="Times New Roman" w:cs="Times New Roman"/>
          <w:sz w:val="24"/>
          <w:szCs w:val="24"/>
        </w:rPr>
        <w:t>ou le</w:t>
      </w:r>
      <w:r w:rsidR="0066654C">
        <w:rPr>
          <w:rFonts w:ascii="Times New Roman" w:hAnsi="Times New Roman" w:cs="Times New Roman"/>
          <w:sz w:val="24"/>
          <w:szCs w:val="24"/>
        </w:rPr>
        <w:t>s</w:t>
      </w:r>
      <w:r w:rsidRPr="002B005F">
        <w:rPr>
          <w:rFonts w:ascii="Times New Roman" w:hAnsi="Times New Roman" w:cs="Times New Roman"/>
          <w:sz w:val="24"/>
          <w:szCs w:val="24"/>
        </w:rPr>
        <w:t xml:space="preserve"> GAP </w:t>
      </w:r>
      <w:r w:rsidR="0066654C">
        <w:rPr>
          <w:rFonts w:ascii="Times New Roman" w:hAnsi="Times New Roman" w:cs="Times New Roman"/>
          <w:sz w:val="24"/>
          <w:szCs w:val="24"/>
        </w:rPr>
        <w:t>sont</w:t>
      </w:r>
      <w:r w:rsidRPr="0066654C">
        <w:rPr>
          <w:rFonts w:ascii="Times New Roman" w:hAnsi="Times New Roman" w:cs="Times New Roman"/>
          <w:sz w:val="24"/>
          <w:szCs w:val="24"/>
        </w:rPr>
        <w:t xml:space="preserve"> positi</w:t>
      </w:r>
      <w:r w:rsidR="0066654C" w:rsidRPr="0066654C">
        <w:rPr>
          <w:rFonts w:ascii="Times New Roman" w:hAnsi="Times New Roman" w:cs="Times New Roman"/>
          <w:sz w:val="24"/>
          <w:szCs w:val="24"/>
        </w:rPr>
        <w:t>f</w:t>
      </w:r>
      <w:r w:rsidR="0066654C">
        <w:rPr>
          <w:rFonts w:ascii="Times New Roman" w:hAnsi="Times New Roman" w:cs="Times New Roman"/>
          <w:sz w:val="24"/>
          <w:szCs w:val="24"/>
        </w:rPr>
        <w:t>s</w:t>
      </w:r>
      <w:r w:rsidRPr="002B005F">
        <w:rPr>
          <w:rFonts w:ascii="Times New Roman" w:hAnsi="Times New Roman" w:cs="Times New Roman"/>
          <w:sz w:val="24"/>
          <w:szCs w:val="24"/>
        </w:rPr>
        <w:t xml:space="preserve">, </w:t>
      </w:r>
      <w:r w:rsidRPr="0066654C">
        <w:rPr>
          <w:rFonts w:ascii="Times New Roman" w:hAnsi="Times New Roman" w:cs="Times New Roman"/>
          <w:sz w:val="24"/>
          <w:szCs w:val="24"/>
        </w:rPr>
        <w:t>cela</w:t>
      </w:r>
      <w:r w:rsidRPr="002B005F">
        <w:rPr>
          <w:rFonts w:ascii="Times New Roman" w:hAnsi="Times New Roman" w:cs="Times New Roman"/>
          <w:sz w:val="24"/>
          <w:szCs w:val="24"/>
        </w:rPr>
        <w:t xml:space="preserve"> indique que l'assiette de calcul des revenus à taux variable</w:t>
      </w:r>
      <w:r w:rsidR="0066654C">
        <w:rPr>
          <w:rFonts w:ascii="Times New Roman" w:hAnsi="Times New Roman" w:cs="Times New Roman"/>
          <w:sz w:val="24"/>
          <w:szCs w:val="24"/>
        </w:rPr>
        <w:t xml:space="preserve"> </w:t>
      </w:r>
      <w:r w:rsidRPr="002B005F">
        <w:rPr>
          <w:rFonts w:ascii="Times New Roman" w:hAnsi="Times New Roman" w:cs="Times New Roman"/>
          <w:sz w:val="24"/>
          <w:szCs w:val="24"/>
        </w:rPr>
        <w:t>est plus grande que l'assiette des coûts. Dans ce cas, la banque est dite sous</w:t>
      </w:r>
      <w:r w:rsidR="00E457B7">
        <w:rPr>
          <w:rFonts w:ascii="Times New Roman" w:hAnsi="Times New Roman" w:cs="Times New Roman"/>
          <w:sz w:val="24"/>
          <w:szCs w:val="24"/>
        </w:rPr>
        <w:t>-</w:t>
      </w:r>
      <w:r w:rsidRPr="002B005F">
        <w:rPr>
          <w:rFonts w:ascii="Times New Roman" w:hAnsi="Times New Roman" w:cs="Times New Roman"/>
          <w:sz w:val="24"/>
          <w:szCs w:val="24"/>
        </w:rPr>
        <w:t xml:space="preserve">consolidée, c'est à dire ses emplois excèdent ses ressources. Elle doit se refinancer par conséquent à un taux incertain. Si les taux baissent, sa rentabilité augmente, donc, </w:t>
      </w:r>
      <w:r w:rsidRPr="0066654C">
        <w:rPr>
          <w:rFonts w:ascii="Times New Roman" w:hAnsi="Times New Roman" w:cs="Times New Roman"/>
          <w:sz w:val="24"/>
          <w:szCs w:val="24"/>
        </w:rPr>
        <w:t>le</w:t>
      </w:r>
      <w:r w:rsidR="0066654C">
        <w:rPr>
          <w:rFonts w:ascii="Times New Roman" w:hAnsi="Times New Roman" w:cs="Times New Roman"/>
          <w:sz w:val="24"/>
          <w:szCs w:val="24"/>
        </w:rPr>
        <w:t>s</w:t>
      </w:r>
      <w:r w:rsidRPr="002B005F">
        <w:rPr>
          <w:rFonts w:ascii="Times New Roman" w:hAnsi="Times New Roman" w:cs="Times New Roman"/>
          <w:sz w:val="24"/>
          <w:szCs w:val="24"/>
        </w:rPr>
        <w:t xml:space="preserve"> GAP p</w:t>
      </w:r>
      <w:r w:rsidRPr="0066654C">
        <w:rPr>
          <w:rFonts w:ascii="Times New Roman" w:hAnsi="Times New Roman" w:cs="Times New Roman"/>
          <w:sz w:val="24"/>
          <w:szCs w:val="24"/>
        </w:rPr>
        <w:t>ositi</w:t>
      </w:r>
      <w:r w:rsidR="0066654C" w:rsidRPr="0066654C">
        <w:rPr>
          <w:rFonts w:ascii="Times New Roman" w:hAnsi="Times New Roman" w:cs="Times New Roman"/>
          <w:sz w:val="24"/>
          <w:szCs w:val="24"/>
        </w:rPr>
        <w:t>f</w:t>
      </w:r>
      <w:r w:rsidR="0066654C">
        <w:rPr>
          <w:rFonts w:ascii="Times New Roman" w:hAnsi="Times New Roman" w:cs="Times New Roman"/>
          <w:sz w:val="24"/>
          <w:szCs w:val="24"/>
        </w:rPr>
        <w:t>s</w:t>
      </w:r>
      <w:r w:rsidRPr="002B005F">
        <w:rPr>
          <w:rFonts w:ascii="Times New Roman" w:hAnsi="Times New Roman" w:cs="Times New Roman"/>
          <w:sz w:val="24"/>
          <w:szCs w:val="24"/>
        </w:rPr>
        <w:t xml:space="preserve"> </w:t>
      </w:r>
      <w:r w:rsidR="0066654C">
        <w:rPr>
          <w:rFonts w:ascii="Times New Roman" w:hAnsi="Times New Roman" w:cs="Times New Roman"/>
          <w:sz w:val="24"/>
          <w:szCs w:val="24"/>
        </w:rPr>
        <w:t>sont</w:t>
      </w:r>
      <w:r w:rsidRPr="002B005F">
        <w:rPr>
          <w:rFonts w:ascii="Times New Roman" w:hAnsi="Times New Roman" w:cs="Times New Roman"/>
          <w:sz w:val="24"/>
          <w:szCs w:val="24"/>
        </w:rPr>
        <w:t xml:space="preserve"> favorable</w:t>
      </w:r>
      <w:r w:rsidR="0066654C">
        <w:rPr>
          <w:rFonts w:ascii="Times New Roman" w:hAnsi="Times New Roman" w:cs="Times New Roman"/>
          <w:sz w:val="24"/>
          <w:szCs w:val="24"/>
        </w:rPr>
        <w:t>s</w:t>
      </w:r>
      <w:r w:rsidRPr="002B005F">
        <w:rPr>
          <w:rFonts w:ascii="Times New Roman" w:hAnsi="Times New Roman" w:cs="Times New Roman"/>
          <w:sz w:val="24"/>
          <w:szCs w:val="24"/>
        </w:rPr>
        <w:t xml:space="preserve"> pour une banque en cas d'une baisse des taux, et vice versa en cas de hausse des taux.</w:t>
      </w:r>
    </w:p>
    <w:p w14:paraId="0CDD2C26" w14:textId="77777777" w:rsidR="002760B2" w:rsidRPr="002B005F" w:rsidRDefault="00732369" w:rsidP="00CA6113">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Pr>
          <w:rFonts w:ascii="Times New Roman" w:hAnsi="Times New Roman" w:cs="Times New Roman"/>
          <w:sz w:val="24"/>
          <w:szCs w:val="24"/>
        </w:rPr>
        <w:t xml:space="preserve">Les </w:t>
      </w:r>
      <w:r w:rsidRPr="002B005F">
        <w:rPr>
          <w:rFonts w:ascii="Times New Roman" w:hAnsi="Times New Roman" w:cs="Times New Roman"/>
          <w:sz w:val="24"/>
          <w:szCs w:val="24"/>
        </w:rPr>
        <w:t>GAP</w:t>
      </w:r>
      <w:r w:rsidR="002760B2" w:rsidRPr="0066654C">
        <w:rPr>
          <w:rFonts w:ascii="Times New Roman" w:hAnsi="Times New Roman" w:cs="Times New Roman"/>
          <w:sz w:val="24"/>
          <w:szCs w:val="24"/>
        </w:rPr>
        <w:t xml:space="preserve"> négatif</w:t>
      </w:r>
      <w:r w:rsidR="0066654C" w:rsidRPr="0066654C">
        <w:rPr>
          <w:rFonts w:ascii="Times New Roman" w:hAnsi="Times New Roman" w:cs="Times New Roman"/>
          <w:sz w:val="24"/>
          <w:szCs w:val="24"/>
        </w:rPr>
        <w:t>s</w:t>
      </w:r>
      <w:r w:rsidR="002760B2" w:rsidRPr="0066654C">
        <w:rPr>
          <w:rFonts w:ascii="Times New Roman" w:hAnsi="Times New Roman" w:cs="Times New Roman"/>
          <w:sz w:val="24"/>
          <w:szCs w:val="24"/>
        </w:rPr>
        <w:t xml:space="preserve"> </w:t>
      </w:r>
      <w:r w:rsidR="0066654C" w:rsidRPr="0066654C">
        <w:rPr>
          <w:rFonts w:ascii="Times New Roman" w:hAnsi="Times New Roman" w:cs="Times New Roman"/>
          <w:sz w:val="24"/>
          <w:szCs w:val="24"/>
        </w:rPr>
        <w:t>signifient</w:t>
      </w:r>
      <w:r w:rsidR="002760B2" w:rsidRPr="002B005F">
        <w:rPr>
          <w:rFonts w:ascii="Times New Roman" w:hAnsi="Times New Roman" w:cs="Times New Roman"/>
          <w:sz w:val="24"/>
          <w:szCs w:val="24"/>
        </w:rPr>
        <w:t xml:space="preserve"> que les ressources excèdent les emplois. Dans ce cas, la banque est dite sur-consolidée. Par conséquent, l'excèdent en ressources doit être placé sur un marché à un taux incertain. La baisse </w:t>
      </w:r>
      <w:r w:rsidR="0066654C" w:rsidRPr="0066654C">
        <w:rPr>
          <w:rFonts w:ascii="Times New Roman" w:hAnsi="Times New Roman" w:cs="Times New Roman"/>
          <w:sz w:val="24"/>
          <w:szCs w:val="24"/>
        </w:rPr>
        <w:t>de</w:t>
      </w:r>
      <w:r w:rsidR="002760B2" w:rsidRPr="002B005F">
        <w:rPr>
          <w:rFonts w:ascii="Times New Roman" w:hAnsi="Times New Roman" w:cs="Times New Roman"/>
          <w:sz w:val="24"/>
          <w:szCs w:val="24"/>
        </w:rPr>
        <w:t xml:space="preserve"> taux conduit à la diminution de la rentabilité de la banque car les ressources sont réinvesties à un taux inférieur à leur coût d'acquisition. Alors que cela devient favorable pour la banque en cas de hausse </w:t>
      </w:r>
      <w:r w:rsidR="0066654C" w:rsidRPr="0066654C">
        <w:rPr>
          <w:rFonts w:ascii="Times New Roman" w:hAnsi="Times New Roman" w:cs="Times New Roman"/>
          <w:sz w:val="24"/>
          <w:szCs w:val="24"/>
        </w:rPr>
        <w:t>du</w:t>
      </w:r>
      <w:r w:rsidR="002760B2" w:rsidRPr="002B005F">
        <w:rPr>
          <w:rFonts w:ascii="Times New Roman" w:hAnsi="Times New Roman" w:cs="Times New Roman"/>
          <w:sz w:val="24"/>
          <w:szCs w:val="24"/>
        </w:rPr>
        <w:t xml:space="preserve"> taux d'intérêt.</w:t>
      </w:r>
    </w:p>
    <w:p w14:paraId="1BF36E8C" w14:textId="77777777" w:rsidR="002760B2" w:rsidRPr="002B005F" w:rsidRDefault="002760B2" w:rsidP="00CA6113">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66654C">
        <w:rPr>
          <w:rFonts w:ascii="Times New Roman" w:hAnsi="Times New Roman" w:cs="Times New Roman"/>
          <w:sz w:val="24"/>
          <w:szCs w:val="24"/>
        </w:rPr>
        <w:t>Si le</w:t>
      </w:r>
      <w:r w:rsidR="0066654C" w:rsidRPr="0066654C">
        <w:rPr>
          <w:rFonts w:ascii="Times New Roman" w:hAnsi="Times New Roman" w:cs="Times New Roman"/>
          <w:sz w:val="24"/>
          <w:szCs w:val="24"/>
        </w:rPr>
        <w:t>s GAP sont</w:t>
      </w:r>
      <w:r w:rsidRPr="0066654C">
        <w:rPr>
          <w:rFonts w:ascii="Times New Roman" w:hAnsi="Times New Roman" w:cs="Times New Roman"/>
          <w:sz w:val="24"/>
          <w:szCs w:val="24"/>
        </w:rPr>
        <w:t xml:space="preserve"> nul</w:t>
      </w:r>
      <w:r w:rsidR="0066654C" w:rsidRPr="0066654C">
        <w:rPr>
          <w:rFonts w:ascii="Times New Roman" w:hAnsi="Times New Roman" w:cs="Times New Roman"/>
          <w:sz w:val="24"/>
          <w:szCs w:val="24"/>
        </w:rPr>
        <w:t>s</w:t>
      </w:r>
      <w:r w:rsidRPr="002B005F">
        <w:rPr>
          <w:rFonts w:ascii="Times New Roman" w:hAnsi="Times New Roman" w:cs="Times New Roman"/>
          <w:sz w:val="24"/>
          <w:szCs w:val="24"/>
        </w:rPr>
        <w:t>, la banque est dite consolidée en taux, car les actifs et les passifs sont parfaitement adossés. Par conséquent, la couverture en taux est complète.</w:t>
      </w:r>
    </w:p>
    <w:p w14:paraId="64E4A1EF" w14:textId="77777777" w:rsidR="002760B2" w:rsidRPr="002B005F" w:rsidRDefault="00D05172" w:rsidP="00C86447">
      <w:pPr>
        <w:pStyle w:val="Titre4"/>
        <w:keepNext w:val="0"/>
        <w:spacing w:before="120" w:after="120" w:line="300" w:lineRule="auto"/>
        <w:ind w:firstLine="709"/>
      </w:pPr>
      <w:bookmarkStart w:id="762" w:name="_Toc33263293"/>
      <w:bookmarkStart w:id="763" w:name="_Toc37664544"/>
      <w:bookmarkStart w:id="764" w:name="_Toc37666389"/>
      <w:bookmarkStart w:id="765" w:name="_Toc54363278"/>
      <w:bookmarkStart w:id="766" w:name="_Toc58606282"/>
      <w:bookmarkStart w:id="767" w:name="_Toc61263487"/>
      <w:bookmarkStart w:id="768" w:name="_Toc182298718"/>
      <w:r>
        <w:t xml:space="preserve">2.2.2- </w:t>
      </w:r>
      <w:r w:rsidR="00BC7687">
        <w:t>A</w:t>
      </w:r>
      <w:r w:rsidR="002760B2" w:rsidRPr="002B005F">
        <w:t>nalyse de la duration-GAP</w:t>
      </w:r>
      <w:bookmarkEnd w:id="762"/>
      <w:bookmarkEnd w:id="763"/>
      <w:bookmarkEnd w:id="764"/>
      <w:bookmarkEnd w:id="765"/>
      <w:bookmarkEnd w:id="766"/>
      <w:bookmarkEnd w:id="767"/>
      <w:bookmarkEnd w:id="768"/>
    </w:p>
    <w:p w14:paraId="32254D0E" w14:textId="77777777" w:rsidR="002760B2" w:rsidRPr="002B005F" w:rsidRDefault="002760B2" w:rsidP="00CA6113">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C'est une technique de mesure du risque de taux d'intérêt basée sur les flux </w:t>
      </w:r>
      <w:r w:rsidRPr="00CC43D0">
        <w:rPr>
          <w:rFonts w:ascii="Times New Roman" w:hAnsi="Times New Roman" w:cs="Times New Roman"/>
          <w:sz w:val="24"/>
          <w:szCs w:val="24"/>
        </w:rPr>
        <w:t>d'argent entrant</w:t>
      </w:r>
      <w:r w:rsidR="00CC43D0" w:rsidRPr="00CC43D0">
        <w:rPr>
          <w:rFonts w:ascii="Times New Roman" w:hAnsi="Times New Roman" w:cs="Times New Roman"/>
          <w:sz w:val="24"/>
          <w:szCs w:val="24"/>
        </w:rPr>
        <w:t>s</w:t>
      </w:r>
      <w:r w:rsidRPr="00CC43D0">
        <w:rPr>
          <w:rFonts w:ascii="Times New Roman" w:hAnsi="Times New Roman" w:cs="Times New Roman"/>
          <w:sz w:val="24"/>
          <w:szCs w:val="24"/>
        </w:rPr>
        <w:t xml:space="preserve"> et sortant</w:t>
      </w:r>
      <w:r w:rsidR="00CC43D0" w:rsidRPr="00CC43D0">
        <w:rPr>
          <w:rFonts w:ascii="Times New Roman" w:hAnsi="Times New Roman" w:cs="Times New Roman"/>
          <w:sz w:val="24"/>
          <w:szCs w:val="24"/>
        </w:rPr>
        <w:t>s</w:t>
      </w:r>
      <w:r w:rsidRPr="00CC43D0">
        <w:rPr>
          <w:rFonts w:ascii="Times New Roman" w:hAnsi="Times New Roman" w:cs="Times New Roman"/>
          <w:sz w:val="24"/>
          <w:szCs w:val="24"/>
        </w:rPr>
        <w:t>. Elle mesure les échéances en valeur et en temps de tous les cash-flows et</w:t>
      </w:r>
      <w:r w:rsidRPr="002B005F">
        <w:rPr>
          <w:rFonts w:ascii="Times New Roman" w:hAnsi="Times New Roman" w:cs="Times New Roman"/>
          <w:sz w:val="24"/>
          <w:szCs w:val="24"/>
        </w:rPr>
        <w:t xml:space="preserve"> représente le temps moyen nécessaire pour recouvrir les fonds investis. Donc, la duration GAP reflète les différences en termes d'échéance des cash-flows des éléments d</w:t>
      </w:r>
      <w:r w:rsidR="00CA6113" w:rsidRPr="002B005F">
        <w:rPr>
          <w:rFonts w:ascii="Times New Roman" w:hAnsi="Times New Roman" w:cs="Times New Roman"/>
          <w:sz w:val="24"/>
          <w:szCs w:val="24"/>
        </w:rPr>
        <w:t>'actif et de passif donnée par :</w:t>
      </w:r>
    </w:p>
    <w:p w14:paraId="5C09D5E5" w14:textId="77777777" w:rsidR="002760B2" w:rsidRPr="002B005F" w:rsidRDefault="002760B2" w:rsidP="00CA6113">
      <w:pPr>
        <w:widowControl w:val="0"/>
        <w:tabs>
          <w:tab w:val="left" w:pos="0"/>
        </w:tabs>
        <w:autoSpaceDE w:val="0"/>
        <w:autoSpaceDN w:val="0"/>
        <w:adjustRightInd w:val="0"/>
        <w:spacing w:before="120" w:after="120" w:line="300" w:lineRule="auto"/>
        <w:jc w:val="center"/>
        <w:rPr>
          <w:rFonts w:ascii="Times New Roman" w:hAnsi="Times New Roman" w:cs="Times New Roman"/>
          <w:b/>
          <w:bCs/>
          <w:spacing w:val="20"/>
          <w:sz w:val="28"/>
          <w:szCs w:val="28"/>
        </w:rPr>
      </w:pPr>
      <w:r w:rsidRPr="002B005F">
        <w:rPr>
          <w:rFonts w:ascii="Times New Roman" w:hAnsi="Times New Roman" w:cs="Times New Roman"/>
          <w:b/>
          <w:bCs/>
          <w:spacing w:val="20"/>
          <w:sz w:val="28"/>
          <w:szCs w:val="28"/>
        </w:rPr>
        <w:t>DGAP = DA –</w:t>
      </w:r>
      <w:r w:rsidR="00497D56" w:rsidRPr="002B005F">
        <w:rPr>
          <w:rFonts w:ascii="Times New Roman" w:hAnsi="Times New Roman" w:cs="Times New Roman"/>
          <w:b/>
          <w:bCs/>
          <w:spacing w:val="20"/>
          <w:sz w:val="28"/>
          <w:szCs w:val="28"/>
        </w:rPr>
        <w:t xml:space="preserve"> </w:t>
      </w:r>
      <w:r w:rsidRPr="002B005F">
        <w:rPr>
          <w:rFonts w:ascii="Times New Roman" w:hAnsi="Times New Roman" w:cs="Times New Roman"/>
          <w:b/>
          <w:bCs/>
          <w:spacing w:val="20"/>
          <w:sz w:val="28"/>
          <w:szCs w:val="28"/>
        </w:rPr>
        <w:t>μDL</w:t>
      </w:r>
    </w:p>
    <w:p w14:paraId="005F9ACC" w14:textId="77777777" w:rsidR="002760B2" w:rsidRPr="002B005F" w:rsidRDefault="002760B2" w:rsidP="0004035B">
      <w:pPr>
        <w:widowControl w:val="0"/>
        <w:tabs>
          <w:tab w:val="left" w:pos="0"/>
        </w:tabs>
        <w:autoSpaceDE w:val="0"/>
        <w:autoSpaceDN w:val="0"/>
        <w:adjustRightInd w:val="0"/>
        <w:spacing w:line="300" w:lineRule="auto"/>
        <w:ind w:firstLine="709"/>
        <w:rPr>
          <w:rFonts w:ascii="Times New Roman" w:hAnsi="Times New Roman" w:cs="Times New Roman"/>
          <w:color w:val="000000" w:themeColor="text1"/>
          <w:sz w:val="24"/>
          <w:szCs w:val="24"/>
        </w:rPr>
      </w:pPr>
      <w:r w:rsidRPr="002B005F">
        <w:rPr>
          <w:rFonts w:ascii="Times New Roman" w:hAnsi="Times New Roman" w:cs="Times New Roman"/>
          <w:sz w:val="24"/>
          <w:szCs w:val="24"/>
        </w:rPr>
        <w:t xml:space="preserve">Où DA est la duration moyenne des éléments d'actifs, DL est la duration moyenne des éléments du passif et </w:t>
      </w:r>
      <w:r w:rsidRPr="002B005F">
        <w:rPr>
          <w:rFonts w:ascii="Times New Roman" w:hAnsi="Times New Roman" w:cs="Times New Roman"/>
          <w:b/>
          <w:bCs/>
          <w:sz w:val="24"/>
          <w:szCs w:val="24"/>
        </w:rPr>
        <w:t>μ</w:t>
      </w:r>
      <w:r w:rsidR="00497D56" w:rsidRPr="002B005F">
        <w:rPr>
          <w:rFonts w:ascii="Times New Roman" w:hAnsi="Times New Roman" w:cs="Times New Roman"/>
          <w:b/>
          <w:bCs/>
          <w:sz w:val="24"/>
          <w:szCs w:val="24"/>
        </w:rPr>
        <w:t xml:space="preserve"> </w:t>
      </w:r>
      <w:r w:rsidR="00497D56" w:rsidRPr="002B005F">
        <w:rPr>
          <w:rFonts w:ascii="Times New Roman" w:hAnsi="Times New Roman" w:cs="Times New Roman"/>
          <w:sz w:val="24"/>
          <w:szCs w:val="24"/>
        </w:rPr>
        <w:t>est le ratio :</w:t>
      </w:r>
      <w:r w:rsidRPr="002B005F">
        <w:rPr>
          <w:rFonts w:ascii="Times New Roman" w:hAnsi="Times New Roman" w:cs="Times New Roman"/>
          <w:sz w:val="24"/>
          <w:szCs w:val="24"/>
        </w:rPr>
        <w:t xml:space="preserve"> éléments de passif/éléments de l’actif</w:t>
      </w:r>
      <w:r w:rsidRPr="002B005F">
        <w:rPr>
          <w:rStyle w:val="Appelnotedebasdep"/>
          <w:rFonts w:ascii="Times New Roman" w:hAnsi="Times New Roman"/>
          <w:sz w:val="24"/>
          <w:szCs w:val="24"/>
        </w:rPr>
        <w:footnoteReference w:id="197"/>
      </w:r>
      <w:r w:rsidRPr="002B005F">
        <w:rPr>
          <w:rFonts w:ascii="Times New Roman" w:hAnsi="Times New Roman" w:cs="Times New Roman"/>
          <w:sz w:val="24"/>
          <w:szCs w:val="24"/>
        </w:rPr>
        <w:t>.</w:t>
      </w:r>
    </w:p>
    <w:p w14:paraId="6EC22719" w14:textId="77777777" w:rsidR="002760B2" w:rsidRPr="002B005F" w:rsidRDefault="002760B2" w:rsidP="00E457B7">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Lorsque la duration des éléments d'actif est supérieure à celle des éléments du passif, la DGAP sera positive. Dans cette situation, si </w:t>
      </w:r>
      <w:r w:rsidR="00CC43D0" w:rsidRPr="00CC43D0">
        <w:rPr>
          <w:rFonts w:ascii="Times New Roman" w:hAnsi="Times New Roman" w:cs="Times New Roman"/>
          <w:sz w:val="24"/>
          <w:szCs w:val="24"/>
        </w:rPr>
        <w:t>le</w:t>
      </w:r>
      <w:r w:rsidRPr="00CC43D0">
        <w:rPr>
          <w:rFonts w:ascii="Times New Roman" w:hAnsi="Times New Roman" w:cs="Times New Roman"/>
          <w:sz w:val="24"/>
          <w:szCs w:val="24"/>
        </w:rPr>
        <w:t xml:space="preserve"> t</w:t>
      </w:r>
      <w:r w:rsidRPr="002B005F">
        <w:rPr>
          <w:rFonts w:ascii="Times New Roman" w:hAnsi="Times New Roman" w:cs="Times New Roman"/>
          <w:sz w:val="24"/>
          <w:szCs w:val="24"/>
        </w:rPr>
        <w:t xml:space="preserve">aux d'intérêt </w:t>
      </w:r>
      <w:r w:rsidR="00CC43D0" w:rsidRPr="002B005F">
        <w:rPr>
          <w:rFonts w:ascii="Times New Roman" w:hAnsi="Times New Roman" w:cs="Times New Roman"/>
          <w:sz w:val="24"/>
          <w:szCs w:val="24"/>
        </w:rPr>
        <w:t>augmente</w:t>
      </w:r>
      <w:r w:rsidRPr="002B005F">
        <w:rPr>
          <w:rFonts w:ascii="Times New Roman" w:hAnsi="Times New Roman" w:cs="Times New Roman"/>
          <w:sz w:val="24"/>
          <w:szCs w:val="24"/>
        </w:rPr>
        <w:t xml:space="preserve">, les actifs vont perdre plus de valeur que les passifs, réduisant ainsi la valeur de capitaux propres de l'entreprise. Si </w:t>
      </w:r>
      <w:r w:rsidRPr="00CC43D0">
        <w:rPr>
          <w:rFonts w:ascii="Times New Roman" w:hAnsi="Times New Roman" w:cs="Times New Roman"/>
          <w:sz w:val="24"/>
          <w:szCs w:val="24"/>
        </w:rPr>
        <w:t>le t</w:t>
      </w:r>
      <w:r w:rsidRPr="002B005F">
        <w:rPr>
          <w:rFonts w:ascii="Times New Roman" w:hAnsi="Times New Roman" w:cs="Times New Roman"/>
          <w:sz w:val="24"/>
          <w:szCs w:val="24"/>
        </w:rPr>
        <w:t>aux d'intérêt baisse, les actifs gagneront plus de valeur que les passifs</w:t>
      </w:r>
      <w:r w:rsidR="00FC1AE6">
        <w:rPr>
          <w:rFonts w:ascii="Times New Roman" w:hAnsi="Times New Roman" w:cs="Times New Roman"/>
          <w:sz w:val="24"/>
          <w:szCs w:val="24"/>
        </w:rPr>
        <w:t> ;</w:t>
      </w:r>
      <w:r w:rsidRPr="002B005F">
        <w:rPr>
          <w:rFonts w:ascii="Times New Roman" w:hAnsi="Times New Roman" w:cs="Times New Roman"/>
          <w:sz w:val="24"/>
          <w:szCs w:val="24"/>
        </w:rPr>
        <w:t xml:space="preserve"> ce qui conduit à l'augmentation de la valeur des capitaux propres de l'entreprise.</w:t>
      </w:r>
    </w:p>
    <w:p w14:paraId="2962E39E" w14:textId="77777777" w:rsidR="002760B2" w:rsidRPr="002B005F" w:rsidRDefault="002760B2" w:rsidP="00CC43D0">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Inversement, lorsque la durée de l'actif est inférieure à la durée du passif, la DGAP sera </w:t>
      </w:r>
      <w:r w:rsidRPr="002B005F">
        <w:rPr>
          <w:rFonts w:ascii="Times New Roman" w:hAnsi="Times New Roman" w:cs="Times New Roman"/>
          <w:sz w:val="24"/>
          <w:szCs w:val="24"/>
        </w:rPr>
        <w:lastRenderedPageBreak/>
        <w:t xml:space="preserve">négative. De la même manière, une diminution </w:t>
      </w:r>
      <w:r w:rsidR="00CC43D0">
        <w:rPr>
          <w:rFonts w:ascii="Times New Roman" w:hAnsi="Times New Roman" w:cs="Times New Roman"/>
          <w:sz w:val="24"/>
          <w:szCs w:val="24"/>
        </w:rPr>
        <w:t>de</w:t>
      </w:r>
      <w:r w:rsidRPr="002B005F">
        <w:rPr>
          <w:rFonts w:ascii="Times New Roman" w:hAnsi="Times New Roman" w:cs="Times New Roman"/>
          <w:sz w:val="24"/>
          <w:szCs w:val="24"/>
        </w:rPr>
        <w:t xml:space="preserve"> taux d'intérêt entraîne une diminution de la valeur des actions. Lorsque le DGAP est proche du Zéro, l'institution financière sera immunisée contre les risques de taux d'intérêt.</w:t>
      </w:r>
    </w:p>
    <w:p w14:paraId="51C2FE16" w14:textId="77777777" w:rsidR="002760B2" w:rsidRPr="002B005F" w:rsidRDefault="00D05172" w:rsidP="009827C7">
      <w:pPr>
        <w:pStyle w:val="Titre4"/>
        <w:spacing w:before="120" w:after="120" w:line="300" w:lineRule="auto"/>
        <w:ind w:firstLine="709"/>
      </w:pPr>
      <w:bookmarkStart w:id="769" w:name="_Toc33263294"/>
      <w:bookmarkStart w:id="770" w:name="_Toc37664545"/>
      <w:bookmarkStart w:id="771" w:name="_Toc37666390"/>
      <w:bookmarkStart w:id="772" w:name="_Toc54363279"/>
      <w:bookmarkStart w:id="773" w:name="_Toc58606283"/>
      <w:bookmarkStart w:id="774" w:name="_Toc61263488"/>
      <w:bookmarkStart w:id="775" w:name="_Toc182298719"/>
      <w:r>
        <w:t xml:space="preserve">2.2.3- </w:t>
      </w:r>
      <w:r w:rsidR="000552FF">
        <w:t>M</w:t>
      </w:r>
      <w:r w:rsidR="002760B2" w:rsidRPr="002B005F">
        <w:t>éthode de la valeur à risque (VAR)</w:t>
      </w:r>
      <w:bookmarkEnd w:id="769"/>
      <w:bookmarkEnd w:id="770"/>
      <w:bookmarkEnd w:id="771"/>
      <w:bookmarkEnd w:id="772"/>
      <w:bookmarkEnd w:id="773"/>
      <w:bookmarkEnd w:id="774"/>
      <w:bookmarkEnd w:id="775"/>
    </w:p>
    <w:p w14:paraId="409A7C17" w14:textId="77777777" w:rsidR="002760B2" w:rsidRPr="002B005F" w:rsidRDefault="002760B2" w:rsidP="00FC1AE6">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value at Risk (VAR) est une nouvelle technique de gestion des risques. Elle mesure la perte potentielle qui peut survenir à la suite de mouvements adverses des prix de marché</w:t>
      </w:r>
      <w:r w:rsidRPr="002B005F">
        <w:rPr>
          <w:rStyle w:val="Appelnotedebasdep"/>
          <w:rFonts w:ascii="Times New Roman" w:hAnsi="Times New Roman"/>
          <w:sz w:val="24"/>
          <w:szCs w:val="24"/>
        </w:rPr>
        <w:footnoteReference w:id="198"/>
      </w:r>
      <w:r w:rsidRPr="002B005F">
        <w:rPr>
          <w:rFonts w:ascii="Times New Roman" w:hAnsi="Times New Roman" w:cs="Times New Roman"/>
          <w:sz w:val="24"/>
          <w:szCs w:val="24"/>
        </w:rPr>
        <w:t>.</w:t>
      </w:r>
    </w:p>
    <w:p w14:paraId="01975FFE" w14:textId="77777777" w:rsidR="002760B2" w:rsidRPr="002B005F" w:rsidRDefault="002760B2" w:rsidP="00FC1AE6">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Selon </w:t>
      </w:r>
      <w:r w:rsidRPr="002B005F">
        <w:rPr>
          <w:rFonts w:ascii="Times New Roman" w:hAnsi="Times New Roman" w:cs="Times New Roman"/>
          <w:smallCaps/>
          <w:sz w:val="24"/>
          <w:szCs w:val="24"/>
        </w:rPr>
        <w:t>Jorion</w:t>
      </w:r>
      <w:r w:rsidRPr="002B005F">
        <w:rPr>
          <w:rFonts w:ascii="Times New Roman" w:hAnsi="Times New Roman" w:cs="Times New Roman"/>
          <w:sz w:val="24"/>
          <w:szCs w:val="24"/>
        </w:rPr>
        <w:t xml:space="preserve"> (2001), la VAR est une mesure probabilisée de l’exposition au risque en évaluant la dévalorisation potentielle maximale d’un portefeuille sur un intervalle de temps donné et dans des conditions normales de marché</w:t>
      </w:r>
      <w:r w:rsidRPr="002B005F">
        <w:rPr>
          <w:rStyle w:val="Appelnotedebasdep"/>
          <w:rFonts w:ascii="Times New Roman" w:hAnsi="Times New Roman"/>
          <w:sz w:val="24"/>
          <w:szCs w:val="24"/>
        </w:rPr>
        <w:footnoteReference w:id="199"/>
      </w:r>
      <w:r w:rsidRPr="002B005F">
        <w:rPr>
          <w:rFonts w:ascii="Times New Roman" w:hAnsi="Times New Roman" w:cs="Times New Roman"/>
          <w:sz w:val="24"/>
          <w:szCs w:val="24"/>
        </w:rPr>
        <w:t>.</w:t>
      </w:r>
    </w:p>
    <w:p w14:paraId="274A3A63" w14:textId="77777777" w:rsidR="002760B2" w:rsidRPr="002B005F" w:rsidRDefault="002760B2" w:rsidP="00FC1AE6">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Donc, la valeur à risque est la perte probable liée à un portefeuille, pour une durée de détention et un intervalle de confiance déterminés. La VAR n’est pas une prévision mais une estimation du risque sur une position déjà en portefeuille. La VAR prend en compte la diversification du portefeuille. Elle varie selon le degré de corrélation entre les actifs qui constituent le portefeuille. La perte potentielle sera plus grande lorsque les actifs sont positivement corrélés. A l’inverse, s’ils sont négativement corrélés. La VAR permet de répondre à la question suivante : combien l’établissement financier peut-il perdre avec une probabilité α po</w:t>
      </w:r>
      <w:r w:rsidR="00442697" w:rsidRPr="002B005F">
        <w:rPr>
          <w:rFonts w:ascii="Times New Roman" w:hAnsi="Times New Roman" w:cs="Times New Roman"/>
          <w:sz w:val="24"/>
          <w:szCs w:val="24"/>
        </w:rPr>
        <w:t>ur un horizon de temps T fixé ?</w:t>
      </w:r>
    </w:p>
    <w:p w14:paraId="65AEBAC3" w14:textId="77777777" w:rsidR="002760B2" w:rsidRPr="002B005F" w:rsidRDefault="002760B2" w:rsidP="0004035B">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Donc, la VAR est fonction de plusieurs paramètres :</w:t>
      </w:r>
    </w:p>
    <w:p w14:paraId="7B3FA52A" w14:textId="77777777" w:rsidR="002760B2" w:rsidRPr="002B005F" w:rsidRDefault="002760B2" w:rsidP="00CB0FF1">
      <w:pPr>
        <w:pStyle w:val="Paragraphedeliste"/>
        <w:widowControl w:val="0"/>
        <w:numPr>
          <w:ilvl w:val="0"/>
          <w:numId w:val="1"/>
        </w:numPr>
        <w:tabs>
          <w:tab w:val="left" w:pos="426"/>
          <w:tab w:val="left" w:pos="851"/>
          <w:tab w:val="left" w:pos="1134"/>
        </w:tabs>
        <w:autoSpaceDE w:val="0"/>
        <w:autoSpaceDN w:val="0"/>
        <w:adjustRightInd w:val="0"/>
        <w:spacing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z w:val="24"/>
          <w:szCs w:val="24"/>
        </w:rPr>
        <w:t>La distribution des résultats du portefeuille (pertes et profits) qui peut suivre une loi normale ou qui peut être basée sur l’historique des distributions</w:t>
      </w:r>
      <w:r w:rsidR="00A23883">
        <w:rPr>
          <w:rFonts w:ascii="Times New Roman" w:hAnsi="Times New Roman" w:cs="Times New Roman"/>
          <w:sz w:val="24"/>
          <w:szCs w:val="24"/>
        </w:rPr>
        <w:t>.</w:t>
      </w:r>
    </w:p>
    <w:p w14:paraId="53B02801" w14:textId="77777777" w:rsidR="002760B2" w:rsidRPr="002B005F" w:rsidRDefault="002760B2" w:rsidP="00CB0FF1">
      <w:pPr>
        <w:pStyle w:val="Paragraphedeliste"/>
        <w:widowControl w:val="0"/>
        <w:numPr>
          <w:ilvl w:val="0"/>
          <w:numId w:val="1"/>
        </w:numPr>
        <w:tabs>
          <w:tab w:val="left" w:pos="426"/>
          <w:tab w:val="left" w:pos="851"/>
          <w:tab w:val="left" w:pos="1134"/>
        </w:tabs>
        <w:autoSpaceDE w:val="0"/>
        <w:autoSpaceDN w:val="0"/>
        <w:adjustRightInd w:val="0"/>
        <w:spacing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z w:val="24"/>
          <w:szCs w:val="24"/>
        </w:rPr>
        <w:t>La période de détention T qui correspond à la période sur laquelle la variation de la valeur du portefeuille est mesurée. Plus cette durée est longue, plus la perte potentielle sera importante</w:t>
      </w:r>
      <w:r w:rsidR="00A23883">
        <w:rPr>
          <w:rFonts w:ascii="Times New Roman" w:hAnsi="Times New Roman" w:cs="Times New Roman"/>
          <w:sz w:val="24"/>
          <w:szCs w:val="24"/>
        </w:rPr>
        <w:t>.</w:t>
      </w:r>
    </w:p>
    <w:p w14:paraId="27FB8FFF" w14:textId="77777777" w:rsidR="002760B2" w:rsidRPr="002B005F" w:rsidRDefault="002760B2" w:rsidP="00CB0FF1">
      <w:pPr>
        <w:pStyle w:val="Paragraphedeliste"/>
        <w:widowControl w:val="0"/>
        <w:numPr>
          <w:ilvl w:val="0"/>
          <w:numId w:val="1"/>
        </w:numPr>
        <w:tabs>
          <w:tab w:val="left" w:pos="426"/>
          <w:tab w:val="left" w:pos="851"/>
          <w:tab w:val="left" w:pos="1134"/>
        </w:tabs>
        <w:autoSpaceDE w:val="0"/>
        <w:autoSpaceDN w:val="0"/>
        <w:adjustRightInd w:val="0"/>
        <w:spacing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z w:val="24"/>
          <w:szCs w:val="24"/>
        </w:rPr>
        <w:t>Le seuil de confiance α du chiffre VAR qui se s</w:t>
      </w:r>
      <w:r w:rsidR="00442697" w:rsidRPr="002B005F">
        <w:rPr>
          <w:rFonts w:ascii="Times New Roman" w:hAnsi="Times New Roman" w:cs="Times New Roman"/>
          <w:sz w:val="24"/>
          <w:szCs w:val="24"/>
        </w:rPr>
        <w:t>itue généralement entre 95</w:t>
      </w:r>
      <w:r w:rsidRPr="002B005F">
        <w:rPr>
          <w:rFonts w:ascii="Times New Roman" w:hAnsi="Times New Roman" w:cs="Times New Roman"/>
          <w:sz w:val="24"/>
          <w:szCs w:val="24"/>
        </w:rPr>
        <w:t>% et 99%. C’est la probabilité que la perte maximale ne dépasse pas la VAR.</w:t>
      </w:r>
    </w:p>
    <w:p w14:paraId="78CFF71C" w14:textId="77777777" w:rsidR="002760B2" w:rsidRPr="002B005F" w:rsidRDefault="002760B2" w:rsidP="00FC1AE6">
      <w:pPr>
        <w:pStyle w:val="Paragraphedeliste"/>
        <w:widowControl w:val="0"/>
        <w:tabs>
          <w:tab w:val="left" w:pos="426"/>
          <w:tab w:val="left" w:pos="851"/>
          <w:tab w:val="left" w:pos="1134"/>
        </w:tabs>
        <w:autoSpaceDE w:val="0"/>
        <w:autoSpaceDN w:val="0"/>
        <w:adjustRightInd w:val="0"/>
        <w:spacing w:before="100" w:beforeAutospacing="1"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Il est intéressant de distinguer trois principales méthodes pour calculer la VAR :</w:t>
      </w:r>
    </w:p>
    <w:p w14:paraId="5D47E654" w14:textId="77777777" w:rsidR="002760B2" w:rsidRPr="002B005F" w:rsidRDefault="002760B2" w:rsidP="00CB0FF1">
      <w:pPr>
        <w:pStyle w:val="Paragraphedeliste"/>
        <w:widowControl w:val="0"/>
        <w:numPr>
          <w:ilvl w:val="0"/>
          <w:numId w:val="1"/>
        </w:numPr>
        <w:tabs>
          <w:tab w:val="left" w:pos="426"/>
          <w:tab w:val="left" w:pos="851"/>
          <w:tab w:val="left" w:pos="1134"/>
        </w:tabs>
        <w:autoSpaceDE w:val="0"/>
        <w:autoSpaceDN w:val="0"/>
        <w:adjustRightInd w:val="0"/>
        <w:spacing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z w:val="24"/>
          <w:szCs w:val="24"/>
        </w:rPr>
        <w:t>VAR historique.</w:t>
      </w:r>
    </w:p>
    <w:p w14:paraId="2A5C19C8" w14:textId="77777777" w:rsidR="002760B2" w:rsidRPr="002B005F" w:rsidRDefault="002760B2" w:rsidP="00CB0FF1">
      <w:pPr>
        <w:pStyle w:val="Paragraphedeliste"/>
        <w:widowControl w:val="0"/>
        <w:numPr>
          <w:ilvl w:val="0"/>
          <w:numId w:val="1"/>
        </w:numPr>
        <w:tabs>
          <w:tab w:val="left" w:pos="426"/>
          <w:tab w:val="left" w:pos="851"/>
          <w:tab w:val="left" w:pos="1134"/>
        </w:tabs>
        <w:autoSpaceDE w:val="0"/>
        <w:autoSpaceDN w:val="0"/>
        <w:adjustRightInd w:val="0"/>
        <w:spacing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z w:val="24"/>
          <w:szCs w:val="24"/>
        </w:rPr>
        <w:t>VAR paramétrique</w:t>
      </w:r>
    </w:p>
    <w:p w14:paraId="2A55CB66" w14:textId="77777777" w:rsidR="002760B2" w:rsidRPr="002B005F" w:rsidRDefault="002760B2" w:rsidP="00CB0FF1">
      <w:pPr>
        <w:pStyle w:val="Paragraphedeliste"/>
        <w:widowControl w:val="0"/>
        <w:numPr>
          <w:ilvl w:val="0"/>
          <w:numId w:val="1"/>
        </w:numPr>
        <w:tabs>
          <w:tab w:val="left" w:pos="426"/>
          <w:tab w:val="left" w:pos="851"/>
          <w:tab w:val="left" w:pos="1134"/>
        </w:tabs>
        <w:autoSpaceDE w:val="0"/>
        <w:autoSpaceDN w:val="0"/>
        <w:adjustRightInd w:val="0"/>
        <w:spacing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z w:val="24"/>
          <w:szCs w:val="24"/>
        </w:rPr>
        <w:t>VAR de Monte Carlo</w:t>
      </w:r>
    </w:p>
    <w:p w14:paraId="3868D54E" w14:textId="77777777" w:rsidR="002760B2" w:rsidRPr="00B0420B" w:rsidRDefault="00E7607D" w:rsidP="007B64B9">
      <w:pPr>
        <w:pStyle w:val="Titre5"/>
        <w:keepNext w:val="0"/>
        <w:keepLines w:val="0"/>
        <w:spacing w:before="100" w:beforeAutospacing="1" w:after="120" w:line="300" w:lineRule="auto"/>
        <w:ind w:firstLine="709"/>
        <w:rPr>
          <w:rFonts w:asciiTheme="majorBidi" w:hAnsiTheme="majorBidi"/>
          <w:b/>
          <w:bCs/>
          <w:color w:val="auto"/>
          <w:sz w:val="24"/>
          <w:szCs w:val="24"/>
        </w:rPr>
      </w:pPr>
      <w:bookmarkStart w:id="776" w:name="_Toc182298720"/>
      <w:r w:rsidRPr="00B0420B">
        <w:rPr>
          <w:rFonts w:asciiTheme="majorBidi" w:hAnsiTheme="majorBidi"/>
          <w:b/>
          <w:bCs/>
          <w:color w:val="auto"/>
          <w:sz w:val="24"/>
          <w:szCs w:val="24"/>
        </w:rPr>
        <w:t xml:space="preserve">2.2.3.1- </w:t>
      </w:r>
      <w:r w:rsidR="00A47261" w:rsidRPr="00B0420B">
        <w:rPr>
          <w:rFonts w:asciiTheme="majorBidi" w:hAnsiTheme="majorBidi"/>
          <w:b/>
          <w:bCs/>
          <w:color w:val="auto"/>
          <w:sz w:val="24"/>
          <w:szCs w:val="24"/>
        </w:rPr>
        <w:t>Valeur à risque historique</w:t>
      </w:r>
      <w:bookmarkEnd w:id="776"/>
    </w:p>
    <w:p w14:paraId="28CBF597" w14:textId="77777777" w:rsidR="002760B2" w:rsidRPr="002B005F" w:rsidRDefault="002760B2" w:rsidP="00CC43D0">
      <w:pPr>
        <w:pStyle w:val="Paragraphedeliste"/>
        <w:widowControl w:val="0"/>
        <w:tabs>
          <w:tab w:val="left" w:pos="0"/>
        </w:tabs>
        <w:autoSpaceDE w:val="0"/>
        <w:autoSpaceDN w:val="0"/>
        <w:adjustRightInd w:val="0"/>
        <w:spacing w:line="300" w:lineRule="auto"/>
        <w:ind w:left="0" w:firstLine="709"/>
        <w:contextualSpacing w:val="0"/>
        <w:rPr>
          <w:rFonts w:ascii="Times New Roman" w:hAnsi="Times New Roman" w:cs="Times New Roman"/>
          <w:spacing w:val="-4"/>
          <w:sz w:val="24"/>
          <w:szCs w:val="24"/>
        </w:rPr>
      </w:pPr>
      <w:r w:rsidRPr="002B005F">
        <w:rPr>
          <w:rFonts w:ascii="Times New Roman" w:hAnsi="Times New Roman" w:cs="Times New Roman"/>
          <w:spacing w:val="-4"/>
          <w:sz w:val="24"/>
          <w:szCs w:val="24"/>
        </w:rPr>
        <w:t xml:space="preserve">Elle se fonde comme son nom l’indique sur les gains et les pertes d’un portefeuille d’actifs financiers. Il suffit de </w:t>
      </w:r>
      <w:r w:rsidRPr="00CC43D0">
        <w:rPr>
          <w:rFonts w:ascii="Times New Roman" w:hAnsi="Times New Roman" w:cs="Times New Roman"/>
          <w:spacing w:val="-4"/>
          <w:sz w:val="24"/>
          <w:szCs w:val="24"/>
        </w:rPr>
        <w:t xml:space="preserve">récupérer </w:t>
      </w:r>
      <w:r w:rsidR="00CC43D0" w:rsidRPr="00CC43D0">
        <w:rPr>
          <w:rFonts w:ascii="Times New Roman" w:hAnsi="Times New Roman" w:cs="Times New Roman"/>
          <w:spacing w:val="-4"/>
          <w:sz w:val="24"/>
          <w:szCs w:val="24"/>
        </w:rPr>
        <w:t>les</w:t>
      </w:r>
      <w:r w:rsidRPr="00CC43D0">
        <w:rPr>
          <w:rFonts w:ascii="Times New Roman" w:hAnsi="Times New Roman" w:cs="Times New Roman"/>
          <w:spacing w:val="-4"/>
          <w:sz w:val="24"/>
          <w:szCs w:val="24"/>
        </w:rPr>
        <w:t xml:space="preserve"> historiques</w:t>
      </w:r>
      <w:r w:rsidRPr="002B005F">
        <w:rPr>
          <w:rFonts w:ascii="Times New Roman" w:hAnsi="Times New Roman" w:cs="Times New Roman"/>
          <w:spacing w:val="-4"/>
          <w:sz w:val="24"/>
          <w:szCs w:val="24"/>
        </w:rPr>
        <w:t xml:space="preserve"> des prix de ces actifs et de les appliquer aux positions actuelles pour reconstituer une distribution des résultats possibles du portefeuille. En d’autres termes, une fois les résultats </w:t>
      </w:r>
      <w:r w:rsidRPr="00CC43D0">
        <w:rPr>
          <w:rFonts w:ascii="Times New Roman" w:hAnsi="Times New Roman" w:cs="Times New Roman"/>
          <w:spacing w:val="-4"/>
          <w:sz w:val="24"/>
          <w:szCs w:val="24"/>
        </w:rPr>
        <w:t>passés</w:t>
      </w:r>
      <w:r w:rsidR="00A23883" w:rsidRPr="00CC43D0">
        <w:rPr>
          <w:rFonts w:ascii="Times New Roman" w:hAnsi="Times New Roman" w:cs="Times New Roman"/>
          <w:spacing w:val="-4"/>
          <w:sz w:val="24"/>
          <w:szCs w:val="24"/>
        </w:rPr>
        <w:t xml:space="preserve"> obtenus</w:t>
      </w:r>
      <w:r w:rsidRPr="00CC43D0">
        <w:rPr>
          <w:rFonts w:ascii="Times New Roman" w:hAnsi="Times New Roman" w:cs="Times New Roman"/>
          <w:spacing w:val="-4"/>
          <w:sz w:val="24"/>
          <w:szCs w:val="24"/>
        </w:rPr>
        <w:t xml:space="preserve">, </w:t>
      </w:r>
      <w:r w:rsidR="00A23883" w:rsidRPr="00CC43D0">
        <w:rPr>
          <w:rFonts w:ascii="Times New Roman" w:hAnsi="Times New Roman" w:cs="Times New Roman"/>
          <w:spacing w:val="-4"/>
          <w:sz w:val="24"/>
          <w:szCs w:val="24"/>
        </w:rPr>
        <w:t>ils sont</w:t>
      </w:r>
      <w:r w:rsidRPr="00CC43D0">
        <w:rPr>
          <w:rFonts w:ascii="Times New Roman" w:hAnsi="Times New Roman" w:cs="Times New Roman"/>
          <w:spacing w:val="-4"/>
          <w:sz w:val="24"/>
          <w:szCs w:val="24"/>
        </w:rPr>
        <w:t xml:space="preserve"> pla</w:t>
      </w:r>
      <w:r w:rsidR="00A23883" w:rsidRPr="00CC43D0">
        <w:rPr>
          <w:rFonts w:ascii="Times New Roman" w:hAnsi="Times New Roman" w:cs="Times New Roman"/>
          <w:spacing w:val="-4"/>
          <w:sz w:val="24"/>
          <w:szCs w:val="24"/>
        </w:rPr>
        <w:t>cés</w:t>
      </w:r>
      <w:r w:rsidRPr="00CC43D0">
        <w:rPr>
          <w:rFonts w:ascii="Times New Roman" w:hAnsi="Times New Roman" w:cs="Times New Roman"/>
          <w:spacing w:val="-4"/>
          <w:sz w:val="24"/>
          <w:szCs w:val="24"/>
        </w:rPr>
        <w:t xml:space="preserve"> par ordre</w:t>
      </w:r>
      <w:r w:rsidRPr="002B005F">
        <w:rPr>
          <w:rFonts w:ascii="Times New Roman" w:hAnsi="Times New Roman" w:cs="Times New Roman"/>
          <w:spacing w:val="-4"/>
          <w:sz w:val="24"/>
          <w:szCs w:val="24"/>
        </w:rPr>
        <w:t xml:space="preserve"> croissant</w:t>
      </w:r>
      <w:r w:rsidR="00A23883">
        <w:rPr>
          <w:rFonts w:ascii="Times New Roman" w:hAnsi="Times New Roman" w:cs="Times New Roman"/>
          <w:spacing w:val="-4"/>
          <w:sz w:val="24"/>
          <w:szCs w:val="24"/>
        </w:rPr>
        <w:t> ;</w:t>
      </w:r>
      <w:r w:rsidRPr="002B005F">
        <w:rPr>
          <w:rFonts w:ascii="Times New Roman" w:hAnsi="Times New Roman" w:cs="Times New Roman"/>
          <w:spacing w:val="-4"/>
          <w:sz w:val="24"/>
          <w:szCs w:val="24"/>
        </w:rPr>
        <w:t xml:space="preserve"> puis</w:t>
      </w:r>
      <w:r w:rsidR="00A23883">
        <w:rPr>
          <w:rFonts w:ascii="Times New Roman" w:hAnsi="Times New Roman" w:cs="Times New Roman"/>
          <w:spacing w:val="-4"/>
          <w:sz w:val="24"/>
          <w:szCs w:val="24"/>
        </w:rPr>
        <w:t>,</w:t>
      </w:r>
      <w:r w:rsidRPr="002B005F">
        <w:rPr>
          <w:rFonts w:ascii="Times New Roman" w:hAnsi="Times New Roman" w:cs="Times New Roman"/>
          <w:spacing w:val="-4"/>
          <w:sz w:val="24"/>
          <w:szCs w:val="24"/>
        </w:rPr>
        <w:t xml:space="preserve"> la VAR </w:t>
      </w:r>
      <w:r w:rsidR="00A23883">
        <w:rPr>
          <w:rFonts w:ascii="Times New Roman" w:hAnsi="Times New Roman" w:cs="Times New Roman"/>
          <w:spacing w:val="-4"/>
          <w:sz w:val="24"/>
          <w:szCs w:val="24"/>
        </w:rPr>
        <w:t xml:space="preserve">est </w:t>
      </w:r>
      <w:r w:rsidR="00A23883" w:rsidRPr="002B005F">
        <w:rPr>
          <w:rFonts w:ascii="Times New Roman" w:hAnsi="Times New Roman" w:cs="Times New Roman"/>
          <w:spacing w:val="-4"/>
          <w:sz w:val="24"/>
          <w:szCs w:val="24"/>
        </w:rPr>
        <w:t>identifi</w:t>
      </w:r>
      <w:r w:rsidR="00A23883">
        <w:rPr>
          <w:rFonts w:ascii="Times New Roman" w:hAnsi="Times New Roman" w:cs="Times New Roman"/>
          <w:spacing w:val="-4"/>
          <w:sz w:val="24"/>
          <w:szCs w:val="24"/>
        </w:rPr>
        <w:t>é</w:t>
      </w:r>
      <w:r w:rsidR="00A23883" w:rsidRPr="002B005F">
        <w:rPr>
          <w:rFonts w:ascii="Times New Roman" w:hAnsi="Times New Roman" w:cs="Times New Roman"/>
          <w:spacing w:val="-4"/>
          <w:sz w:val="24"/>
          <w:szCs w:val="24"/>
        </w:rPr>
        <w:t xml:space="preserve">e </w:t>
      </w:r>
      <w:r w:rsidRPr="002B005F">
        <w:rPr>
          <w:rFonts w:ascii="Times New Roman" w:hAnsi="Times New Roman" w:cs="Times New Roman"/>
          <w:spacing w:val="-4"/>
          <w:sz w:val="24"/>
          <w:szCs w:val="24"/>
        </w:rPr>
        <w:t xml:space="preserve">en y déduisant le quantile de notre distribution qui correspond au seuil de confiance. </w:t>
      </w:r>
      <w:r w:rsidRPr="002B005F">
        <w:rPr>
          <w:rFonts w:ascii="Times New Roman" w:hAnsi="Times New Roman" w:cs="Times New Roman"/>
          <w:spacing w:val="-4"/>
          <w:sz w:val="24"/>
          <w:szCs w:val="24"/>
        </w:rPr>
        <w:lastRenderedPageBreak/>
        <w:t>Cependant, cette méthode a été critiquée puisqu’elle repose sur l’hypothèse que le passé est un moyen pour prédire le futur, ce qui n’est pas forcément le cas.</w:t>
      </w:r>
    </w:p>
    <w:p w14:paraId="33997D0B" w14:textId="77777777" w:rsidR="002760B2" w:rsidRPr="00B0420B" w:rsidRDefault="00E7607D" w:rsidP="00B0420B">
      <w:pPr>
        <w:pStyle w:val="Titre5"/>
        <w:spacing w:before="120" w:after="120" w:line="300" w:lineRule="auto"/>
        <w:ind w:firstLine="709"/>
        <w:rPr>
          <w:rFonts w:asciiTheme="majorBidi" w:hAnsiTheme="majorBidi"/>
          <w:b/>
          <w:bCs/>
          <w:color w:val="auto"/>
          <w:sz w:val="24"/>
          <w:szCs w:val="24"/>
        </w:rPr>
      </w:pPr>
      <w:bookmarkStart w:id="777" w:name="_Toc182298721"/>
      <w:r w:rsidRPr="00B0420B">
        <w:rPr>
          <w:rFonts w:asciiTheme="majorBidi" w:hAnsiTheme="majorBidi"/>
          <w:b/>
          <w:bCs/>
          <w:color w:val="auto"/>
          <w:sz w:val="24"/>
          <w:szCs w:val="24"/>
        </w:rPr>
        <w:t xml:space="preserve">2.2.3.2- </w:t>
      </w:r>
      <w:r w:rsidR="00D05172" w:rsidRPr="00B0420B">
        <w:rPr>
          <w:rFonts w:asciiTheme="majorBidi" w:hAnsiTheme="majorBidi"/>
          <w:b/>
          <w:bCs/>
          <w:color w:val="auto"/>
          <w:sz w:val="24"/>
          <w:szCs w:val="24"/>
        </w:rPr>
        <w:t>V</w:t>
      </w:r>
      <w:r w:rsidR="002760B2" w:rsidRPr="00B0420B">
        <w:rPr>
          <w:rFonts w:asciiTheme="majorBidi" w:hAnsiTheme="majorBidi"/>
          <w:b/>
          <w:bCs/>
          <w:color w:val="auto"/>
          <w:sz w:val="24"/>
          <w:szCs w:val="24"/>
        </w:rPr>
        <w:t>aleur à risque paramétrique</w:t>
      </w:r>
      <w:bookmarkEnd w:id="777"/>
    </w:p>
    <w:p w14:paraId="225EEB03" w14:textId="77777777" w:rsidR="002760B2" w:rsidRPr="002B005F" w:rsidRDefault="002760B2" w:rsidP="00CC4B99">
      <w:pPr>
        <w:keepNext/>
        <w:widowControl w:val="0"/>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VAR paramétrique est une évaluation analytique d’un portefeuille d’actifs financiers. Cette méthode provient de la banque JP </w:t>
      </w:r>
      <w:r w:rsidRPr="002B005F">
        <w:rPr>
          <w:rFonts w:ascii="Times New Roman" w:hAnsi="Times New Roman" w:cs="Times New Roman"/>
          <w:smallCaps/>
          <w:sz w:val="24"/>
          <w:szCs w:val="24"/>
        </w:rPr>
        <w:t>Morgan</w:t>
      </w:r>
      <w:r w:rsidRPr="002B005F">
        <w:rPr>
          <w:rFonts w:ascii="Times New Roman" w:hAnsi="Times New Roman" w:cs="Times New Roman"/>
          <w:sz w:val="24"/>
          <w:szCs w:val="24"/>
        </w:rPr>
        <w:t xml:space="preserve"> qui a développé ce modèle en 1994 connu sous le nom </w:t>
      </w:r>
      <w:r w:rsidR="00A23883">
        <w:rPr>
          <w:rFonts w:ascii="Times New Roman" w:hAnsi="Times New Roman" w:cs="Times New Roman"/>
          <w:sz w:val="24"/>
          <w:szCs w:val="24"/>
        </w:rPr>
        <w:t>"</w:t>
      </w:r>
      <w:r w:rsidRPr="002B005F">
        <w:rPr>
          <w:rFonts w:ascii="Times New Roman" w:hAnsi="Times New Roman" w:cs="Times New Roman"/>
          <w:sz w:val="24"/>
          <w:szCs w:val="24"/>
        </w:rPr>
        <w:t>Risk Metrics</w:t>
      </w:r>
      <w:r w:rsidR="00A23883">
        <w:rPr>
          <w:rFonts w:ascii="Times New Roman" w:hAnsi="Times New Roman" w:cs="Times New Roman"/>
          <w:sz w:val="24"/>
          <w:szCs w:val="24"/>
        </w:rPr>
        <w:t>"</w:t>
      </w:r>
      <w:r w:rsidRPr="002B005F">
        <w:rPr>
          <w:rFonts w:ascii="Times New Roman" w:hAnsi="Times New Roman" w:cs="Times New Roman"/>
          <w:sz w:val="24"/>
          <w:szCs w:val="24"/>
        </w:rPr>
        <w:t>. Elle est basée sur les calculs statistiques afin de déterminer la loi de distribution des pertes et des profits. Cette méthode est très utilisée par les institutions financières parce qu’elle est simple à utiliser et donne des résultats plus précis dans certains cas. Ce modèle propose de calculer la VAR en utilisant la formule suivante :</w:t>
      </w:r>
    </w:p>
    <w:p w14:paraId="2E6A87AA" w14:textId="77777777" w:rsidR="002760B2" w:rsidRPr="002B005F" w:rsidRDefault="002760B2" w:rsidP="00F8202D">
      <w:pPr>
        <w:widowControl w:val="0"/>
        <w:tabs>
          <w:tab w:val="left" w:pos="0"/>
        </w:tabs>
        <w:autoSpaceDE w:val="0"/>
        <w:autoSpaceDN w:val="0"/>
        <w:adjustRightInd w:val="0"/>
        <w:spacing w:before="120" w:after="120" w:line="300" w:lineRule="auto"/>
        <w:jc w:val="center"/>
        <w:rPr>
          <w:rFonts w:ascii="Times New Roman" w:eastAsiaTheme="minorEastAsia" w:hAnsi="Times New Roman" w:cs="Times New Roman"/>
          <w:sz w:val="28"/>
          <w:szCs w:val="28"/>
        </w:rPr>
      </w:pPr>
      <w:r w:rsidRPr="00CC262F">
        <w:rPr>
          <w:rFonts w:ascii="Times New Roman" w:hAnsi="Times New Roman" w:cs="Times New Roman"/>
          <w:b/>
          <w:bCs/>
          <w:sz w:val="26"/>
          <w:szCs w:val="26"/>
        </w:rPr>
        <w:t>VAR (zéro)</w:t>
      </w:r>
      <w:r w:rsidRPr="002B005F">
        <w:rPr>
          <w:rFonts w:ascii="Times New Roman" w:hAnsi="Times New Roman" w:cs="Times New Roman"/>
          <w:b/>
          <w:bCs/>
          <w:sz w:val="28"/>
          <w:szCs w:val="28"/>
        </w:rPr>
        <w:t xml:space="preserve"> =</w:t>
      </w:r>
      <w:r w:rsidRPr="002B005F">
        <w:rPr>
          <w:rFonts w:ascii="Times New Roman" w:hAnsi="Times New Roman" w:cs="Times New Roman"/>
          <w:sz w:val="28"/>
          <w:szCs w:val="28"/>
        </w:rPr>
        <w:t xml:space="preserve">Ao (α </w:t>
      </w:r>
      <m:oMath>
        <m:r>
          <w:rPr>
            <w:rFonts w:ascii="Cambria Math" w:hAnsi="Cambria Math" w:cs="Times New Roman"/>
            <w:sz w:val="28"/>
            <w:szCs w:val="28"/>
          </w:rPr>
          <m:t>σ</m:t>
        </m:r>
        <m:rad>
          <m:radPr>
            <m:degHide m:val="1"/>
            <m:ctrlPr>
              <w:rPr>
                <w:rFonts w:ascii="Cambria Math" w:hAnsi="Times New Roman" w:cs="Times New Roman"/>
                <w:i/>
                <w:sz w:val="28"/>
                <w:szCs w:val="28"/>
              </w:rPr>
            </m:ctrlPr>
          </m:radPr>
          <m:deg/>
          <m:e>
            <m:r>
              <w:rPr>
                <w:rFonts w:ascii="Cambria Math" w:hAnsi="Cambria Math" w:cs="Times New Roman"/>
                <w:sz w:val="28"/>
                <w:szCs w:val="28"/>
              </w:rPr>
              <m:t>T</m:t>
            </m:r>
          </m:e>
        </m:rad>
        <m:r>
          <w:rPr>
            <w:rFonts w:ascii="Cambria Math" w:hAnsi="Cambria Math" w:cs="Times New Roman"/>
            <w:sz w:val="28"/>
            <w:szCs w:val="28"/>
          </w:rPr>
          <m:t>-μT</m:t>
        </m:r>
        <m:r>
          <w:rPr>
            <w:rFonts w:ascii="Cambria Math" w:hAnsi="Times New Roman" w:cs="Times New Roman"/>
            <w:sz w:val="28"/>
            <w:szCs w:val="28"/>
          </w:rPr>
          <m:t>)</m:t>
        </m:r>
      </m:oMath>
    </w:p>
    <w:p w14:paraId="47E359BA" w14:textId="77777777" w:rsidR="002760B2" w:rsidRPr="002B005F" w:rsidRDefault="002760B2" w:rsidP="00E9405E">
      <w:pPr>
        <w:widowControl w:val="0"/>
        <w:autoSpaceDE w:val="0"/>
        <w:autoSpaceDN w:val="0"/>
        <w:adjustRightInd w:val="0"/>
        <w:spacing w:after="120" w:line="300" w:lineRule="auto"/>
        <w:ind w:left="2694"/>
        <w:rPr>
          <w:rFonts w:ascii="Times New Roman" w:eastAsiaTheme="minorEastAsia" w:hAnsi="Times New Roman" w:cs="Times New Roman"/>
          <w:sz w:val="28"/>
          <w:szCs w:val="28"/>
        </w:rPr>
      </w:pPr>
      <w:r w:rsidRPr="00CC262F">
        <w:rPr>
          <w:rFonts w:ascii="Times New Roman" w:hAnsi="Times New Roman" w:cs="Times New Roman"/>
          <w:b/>
          <w:bCs/>
          <w:sz w:val="26"/>
          <w:szCs w:val="26"/>
        </w:rPr>
        <w:t>VAR (moyenne)</w:t>
      </w:r>
      <w:r w:rsidRPr="002B005F">
        <w:rPr>
          <w:rFonts w:ascii="Times New Roman" w:hAnsi="Times New Roman" w:cs="Times New Roman"/>
          <w:sz w:val="28"/>
          <w:szCs w:val="28"/>
        </w:rPr>
        <w:t xml:space="preserve"> = Aoα</w:t>
      </w:r>
      <m:oMath>
        <m:r>
          <w:rPr>
            <w:rFonts w:ascii="Cambria Math" w:hAnsi="Times New Roman" w:cs="Times New Roman"/>
            <w:sz w:val="28"/>
            <w:szCs w:val="28"/>
          </w:rPr>
          <m:t xml:space="preserve"> </m:t>
        </m:r>
        <m:r>
          <w:rPr>
            <w:rFonts w:ascii="Cambria Math" w:hAnsi="Cambria Math" w:cs="Times New Roman"/>
            <w:sz w:val="28"/>
            <w:szCs w:val="28"/>
          </w:rPr>
          <m:t>σ</m:t>
        </m:r>
        <m:rad>
          <m:radPr>
            <m:degHide m:val="1"/>
            <m:ctrlPr>
              <w:rPr>
                <w:rFonts w:ascii="Cambria Math" w:hAnsi="Times New Roman" w:cs="Times New Roman"/>
                <w:i/>
                <w:sz w:val="28"/>
                <w:szCs w:val="28"/>
              </w:rPr>
            </m:ctrlPr>
          </m:radPr>
          <m:deg/>
          <m:e>
            <m:r>
              <w:rPr>
                <w:rFonts w:ascii="Cambria Math" w:hAnsi="Cambria Math" w:cs="Times New Roman"/>
                <w:sz w:val="28"/>
                <w:szCs w:val="28"/>
              </w:rPr>
              <m:t>T</m:t>
            </m:r>
          </m:e>
        </m:rad>
      </m:oMath>
    </w:p>
    <w:p w14:paraId="77F60DA8" w14:textId="77777777" w:rsidR="002760B2" w:rsidRPr="002B005F" w:rsidRDefault="002760B2" w:rsidP="0004035B">
      <w:pPr>
        <w:widowControl w:val="0"/>
        <w:tabs>
          <w:tab w:val="left" w:pos="0"/>
        </w:tabs>
        <w:autoSpaceDE w:val="0"/>
        <w:autoSpaceDN w:val="0"/>
        <w:adjustRightInd w:val="0"/>
        <w:spacing w:line="300" w:lineRule="auto"/>
        <w:rPr>
          <w:rFonts w:ascii="Times New Roman" w:hAnsi="Times New Roman" w:cs="Times New Roman"/>
          <w:sz w:val="24"/>
          <w:szCs w:val="24"/>
        </w:rPr>
      </w:pPr>
      <w:r w:rsidRPr="002B005F">
        <w:rPr>
          <w:rFonts w:ascii="Times New Roman" w:hAnsi="Times New Roman" w:cs="Times New Roman"/>
          <w:b/>
          <w:bCs/>
          <w:sz w:val="24"/>
          <w:szCs w:val="24"/>
        </w:rPr>
        <w:t>Avec </w:t>
      </w:r>
      <w:r w:rsidRPr="002B005F">
        <w:rPr>
          <w:rFonts w:ascii="Times New Roman" w:hAnsi="Times New Roman" w:cs="Times New Roman"/>
          <w:sz w:val="24"/>
          <w:szCs w:val="24"/>
        </w:rPr>
        <w:t>:</w:t>
      </w:r>
    </w:p>
    <w:p w14:paraId="3576E51C" w14:textId="77777777" w:rsidR="002760B2" w:rsidRPr="002B005F" w:rsidRDefault="002760B2" w:rsidP="00E9405E">
      <w:pPr>
        <w:widowControl w:val="0"/>
        <w:autoSpaceDE w:val="0"/>
        <w:autoSpaceDN w:val="0"/>
        <w:adjustRightInd w:val="0"/>
        <w:spacing w:line="300" w:lineRule="auto"/>
        <w:ind w:left="851"/>
        <w:rPr>
          <w:rFonts w:ascii="Times New Roman" w:hAnsi="Times New Roman" w:cs="Times New Roman"/>
          <w:sz w:val="24"/>
          <w:szCs w:val="24"/>
        </w:rPr>
      </w:pPr>
      <w:r w:rsidRPr="002B005F">
        <w:rPr>
          <w:rFonts w:ascii="Times New Roman" w:hAnsi="Times New Roman" w:cs="Times New Roman"/>
          <w:b/>
          <w:bCs/>
          <w:i/>
          <w:iCs/>
          <w:sz w:val="24"/>
          <w:szCs w:val="24"/>
        </w:rPr>
        <w:t>VAR (zero) </w:t>
      </w:r>
      <w:r w:rsidRPr="002B005F">
        <w:rPr>
          <w:rFonts w:ascii="Times New Roman" w:hAnsi="Times New Roman" w:cs="Times New Roman"/>
          <w:sz w:val="24"/>
          <w:szCs w:val="24"/>
        </w:rPr>
        <w:t>: valeur à risque absolue.</w:t>
      </w:r>
    </w:p>
    <w:p w14:paraId="2D403F69" w14:textId="77777777" w:rsidR="002760B2" w:rsidRPr="002B005F" w:rsidRDefault="002760B2" w:rsidP="00E9405E">
      <w:pPr>
        <w:widowControl w:val="0"/>
        <w:autoSpaceDE w:val="0"/>
        <w:autoSpaceDN w:val="0"/>
        <w:adjustRightInd w:val="0"/>
        <w:spacing w:line="300" w:lineRule="auto"/>
        <w:ind w:left="851"/>
        <w:rPr>
          <w:rFonts w:ascii="Times New Roman" w:hAnsi="Times New Roman" w:cs="Times New Roman"/>
          <w:sz w:val="24"/>
          <w:szCs w:val="24"/>
        </w:rPr>
      </w:pPr>
      <w:r w:rsidRPr="002B005F">
        <w:rPr>
          <w:rFonts w:ascii="Times New Roman" w:hAnsi="Times New Roman" w:cs="Times New Roman"/>
          <w:b/>
          <w:bCs/>
          <w:i/>
          <w:iCs/>
          <w:sz w:val="24"/>
          <w:szCs w:val="24"/>
        </w:rPr>
        <w:t>VAR (moyenne)</w:t>
      </w:r>
      <w:r w:rsidRPr="002B005F">
        <w:rPr>
          <w:rFonts w:ascii="Times New Roman" w:hAnsi="Times New Roman" w:cs="Times New Roman"/>
          <w:sz w:val="24"/>
          <w:szCs w:val="24"/>
        </w:rPr>
        <w:t> : valeur à risque relative.</w:t>
      </w:r>
    </w:p>
    <w:p w14:paraId="14CD69A0" w14:textId="77777777" w:rsidR="002760B2" w:rsidRPr="002B005F" w:rsidRDefault="002760B2" w:rsidP="00E9405E">
      <w:pPr>
        <w:widowControl w:val="0"/>
        <w:autoSpaceDE w:val="0"/>
        <w:autoSpaceDN w:val="0"/>
        <w:adjustRightInd w:val="0"/>
        <w:spacing w:line="300" w:lineRule="auto"/>
        <w:ind w:left="851"/>
        <w:rPr>
          <w:rFonts w:ascii="Times New Roman" w:hAnsi="Times New Roman" w:cs="Times New Roman"/>
          <w:sz w:val="24"/>
          <w:szCs w:val="24"/>
        </w:rPr>
      </w:pPr>
      <w:r w:rsidRPr="002B005F">
        <w:rPr>
          <w:rFonts w:ascii="Times New Roman" w:hAnsi="Times New Roman" w:cs="Times New Roman"/>
          <w:b/>
          <w:bCs/>
          <w:i/>
          <w:iCs/>
          <w:sz w:val="24"/>
          <w:szCs w:val="24"/>
        </w:rPr>
        <w:t>Ao</w:t>
      </w:r>
      <w:r w:rsidRPr="002B005F">
        <w:rPr>
          <w:rFonts w:ascii="Times New Roman" w:hAnsi="Times New Roman" w:cs="Times New Roman"/>
          <w:sz w:val="24"/>
          <w:szCs w:val="24"/>
        </w:rPr>
        <w:t> : montant investit</w:t>
      </w:r>
    </w:p>
    <w:p w14:paraId="2759E7BB" w14:textId="77777777" w:rsidR="002760B2" w:rsidRPr="002B005F" w:rsidRDefault="002760B2" w:rsidP="00E9405E">
      <w:pPr>
        <w:widowControl w:val="0"/>
        <w:autoSpaceDE w:val="0"/>
        <w:autoSpaceDN w:val="0"/>
        <w:adjustRightInd w:val="0"/>
        <w:spacing w:line="300" w:lineRule="auto"/>
        <w:ind w:left="1208" w:hanging="357"/>
        <w:rPr>
          <w:rFonts w:ascii="Times New Roman" w:hAnsi="Times New Roman" w:cs="Times New Roman"/>
          <w:sz w:val="24"/>
          <w:szCs w:val="24"/>
        </w:rPr>
      </w:pPr>
      <w:r w:rsidRPr="002B005F">
        <w:rPr>
          <w:rFonts w:ascii="Times New Roman" w:hAnsi="Times New Roman" w:cs="Times New Roman"/>
          <w:b/>
          <w:bCs/>
          <w:sz w:val="24"/>
          <w:szCs w:val="24"/>
        </w:rPr>
        <w:t>α</w:t>
      </w:r>
      <w:r w:rsidRPr="002B005F">
        <w:rPr>
          <w:rFonts w:ascii="Times New Roman" w:hAnsi="Times New Roman" w:cs="Times New Roman"/>
          <w:sz w:val="24"/>
          <w:szCs w:val="24"/>
        </w:rPr>
        <w:t> : perte équivalente à la distribution normale (égale à 1,65 pour un niveau de confiance égale à 95% ou 2,33 pour un niveau de confiance égale à 99%)</w:t>
      </w:r>
    </w:p>
    <w:p w14:paraId="3F1BCB26" w14:textId="77777777" w:rsidR="002760B2" w:rsidRPr="002B005F" w:rsidRDefault="002760B2" w:rsidP="00E9405E">
      <w:pPr>
        <w:widowControl w:val="0"/>
        <w:autoSpaceDE w:val="0"/>
        <w:autoSpaceDN w:val="0"/>
        <w:adjustRightInd w:val="0"/>
        <w:spacing w:line="300" w:lineRule="auto"/>
        <w:ind w:left="851"/>
        <w:rPr>
          <w:rFonts w:ascii="Times New Roman" w:eastAsiaTheme="minorEastAsia" w:hAnsi="Times New Roman" w:cs="Times New Roman"/>
          <w:sz w:val="24"/>
          <w:szCs w:val="24"/>
        </w:rPr>
      </w:pPr>
      <m:oMath>
        <m:r>
          <m:rPr>
            <m:sty m:val="bi"/>
          </m:rPr>
          <w:rPr>
            <w:rFonts w:ascii="Cambria Math" w:hAnsi="Cambria Math" w:cs="Times New Roman"/>
            <w:sz w:val="24"/>
            <w:szCs w:val="24"/>
          </w:rPr>
          <m:t>σ </m:t>
        </m:r>
      </m:oMath>
      <w:r w:rsidRPr="002B005F">
        <w:rPr>
          <w:rFonts w:ascii="Times New Roman" w:eastAsiaTheme="minorEastAsia" w:hAnsi="Times New Roman" w:cs="Times New Roman"/>
          <w:b/>
          <w:bCs/>
          <w:sz w:val="24"/>
          <w:szCs w:val="24"/>
        </w:rPr>
        <w:t xml:space="preserve">: </w:t>
      </w:r>
      <w:r w:rsidRPr="002B005F">
        <w:rPr>
          <w:rFonts w:ascii="Times New Roman" w:eastAsiaTheme="minorEastAsia" w:hAnsi="Times New Roman" w:cs="Times New Roman"/>
          <w:sz w:val="24"/>
          <w:szCs w:val="24"/>
        </w:rPr>
        <w:t xml:space="preserve">Écart type de la distribution </w:t>
      </w:r>
    </w:p>
    <w:p w14:paraId="284D3EF5" w14:textId="77777777" w:rsidR="002760B2" w:rsidRPr="002B005F" w:rsidRDefault="002760B2" w:rsidP="00E9405E">
      <w:pPr>
        <w:widowControl w:val="0"/>
        <w:autoSpaceDE w:val="0"/>
        <w:autoSpaceDN w:val="0"/>
        <w:adjustRightInd w:val="0"/>
        <w:spacing w:line="300" w:lineRule="auto"/>
        <w:ind w:left="851"/>
        <w:rPr>
          <w:rFonts w:ascii="Times New Roman" w:eastAsiaTheme="minorEastAsia" w:hAnsi="Times New Roman" w:cs="Times New Roman"/>
          <w:sz w:val="24"/>
          <w:szCs w:val="24"/>
        </w:rPr>
      </w:pPr>
      <m:oMath>
        <m:r>
          <m:rPr>
            <m:sty m:val="bi"/>
          </m:rPr>
          <w:rPr>
            <w:rFonts w:ascii="Cambria Math" w:hAnsi="Cambria Math" w:cs="Times New Roman"/>
            <w:sz w:val="24"/>
            <w:szCs w:val="24"/>
          </w:rPr>
          <m:t>T:</m:t>
        </m:r>
      </m:oMath>
      <w:r w:rsidRPr="002B005F">
        <w:rPr>
          <w:rFonts w:ascii="Times New Roman" w:eastAsiaTheme="minorEastAsia" w:hAnsi="Times New Roman" w:cs="Times New Roman"/>
          <w:sz w:val="24"/>
          <w:szCs w:val="24"/>
        </w:rPr>
        <w:t>L’horizon temporel</w:t>
      </w:r>
    </w:p>
    <w:p w14:paraId="367501CA" w14:textId="77777777" w:rsidR="002760B2" w:rsidRPr="002B005F" w:rsidRDefault="002760B2" w:rsidP="00E9405E">
      <w:pPr>
        <w:widowControl w:val="0"/>
        <w:autoSpaceDE w:val="0"/>
        <w:autoSpaceDN w:val="0"/>
        <w:adjustRightInd w:val="0"/>
        <w:spacing w:line="300" w:lineRule="auto"/>
        <w:ind w:left="851"/>
        <w:rPr>
          <w:rFonts w:ascii="Times New Roman" w:eastAsiaTheme="minorEastAsia" w:hAnsi="Times New Roman" w:cs="Times New Roman"/>
          <w:sz w:val="24"/>
          <w:szCs w:val="24"/>
        </w:rPr>
      </w:pPr>
      <m:oMath>
        <m:r>
          <m:rPr>
            <m:sty m:val="bi"/>
          </m:rPr>
          <w:rPr>
            <w:rFonts w:ascii="Cambria Math" w:hAnsi="Cambria Math" w:cs="Times New Roman"/>
            <w:sz w:val="24"/>
            <w:szCs w:val="24"/>
          </w:rPr>
          <m:t>μ </m:t>
        </m:r>
      </m:oMath>
      <w:r w:rsidRPr="002B005F">
        <w:rPr>
          <w:rFonts w:ascii="Times New Roman" w:eastAsiaTheme="minorEastAsia" w:hAnsi="Times New Roman" w:cs="Times New Roman"/>
          <w:b/>
          <w:bCs/>
          <w:sz w:val="24"/>
          <w:szCs w:val="24"/>
        </w:rPr>
        <w:t xml:space="preserve">: </w:t>
      </w:r>
      <w:r w:rsidRPr="002B005F">
        <w:rPr>
          <w:rFonts w:ascii="Times New Roman" w:eastAsiaTheme="minorEastAsia" w:hAnsi="Times New Roman" w:cs="Times New Roman"/>
          <w:sz w:val="24"/>
          <w:szCs w:val="24"/>
        </w:rPr>
        <w:t>Taux de rendement</w:t>
      </w:r>
    </w:p>
    <w:p w14:paraId="41D2727B" w14:textId="77777777" w:rsidR="002760B2" w:rsidRPr="00B0420B" w:rsidRDefault="00E7607D" w:rsidP="00C86447">
      <w:pPr>
        <w:pStyle w:val="Titre5"/>
        <w:keepNext w:val="0"/>
        <w:keepLines w:val="0"/>
        <w:spacing w:before="120" w:after="120" w:line="300" w:lineRule="auto"/>
        <w:ind w:firstLine="709"/>
        <w:rPr>
          <w:rFonts w:asciiTheme="majorBidi" w:eastAsiaTheme="minorEastAsia" w:hAnsiTheme="majorBidi"/>
          <w:b/>
          <w:bCs/>
          <w:color w:val="auto"/>
          <w:sz w:val="24"/>
          <w:szCs w:val="24"/>
        </w:rPr>
      </w:pPr>
      <w:bookmarkStart w:id="778" w:name="_Toc182298722"/>
      <w:r w:rsidRPr="00B0420B">
        <w:rPr>
          <w:rFonts w:asciiTheme="majorBidi" w:eastAsiaTheme="minorEastAsia" w:hAnsiTheme="majorBidi"/>
          <w:b/>
          <w:bCs/>
          <w:color w:val="auto"/>
          <w:sz w:val="24"/>
          <w:szCs w:val="24"/>
        </w:rPr>
        <w:t xml:space="preserve">2.2.3.3- </w:t>
      </w:r>
      <w:r w:rsidR="002760B2" w:rsidRPr="00B0420B">
        <w:rPr>
          <w:rFonts w:asciiTheme="majorBidi" w:eastAsiaTheme="minorEastAsia" w:hAnsiTheme="majorBidi"/>
          <w:b/>
          <w:bCs/>
          <w:color w:val="auto"/>
          <w:sz w:val="24"/>
          <w:szCs w:val="24"/>
        </w:rPr>
        <w:t>Exemple d’esti</w:t>
      </w:r>
      <w:r w:rsidR="004B5B94" w:rsidRPr="00B0420B">
        <w:rPr>
          <w:rFonts w:asciiTheme="majorBidi" w:eastAsiaTheme="minorEastAsia" w:hAnsiTheme="majorBidi"/>
          <w:b/>
          <w:bCs/>
          <w:color w:val="auto"/>
          <w:sz w:val="24"/>
          <w:szCs w:val="24"/>
        </w:rPr>
        <w:t>mation de la VAR paramétrique</w:t>
      </w:r>
      <w:bookmarkEnd w:id="778"/>
    </w:p>
    <w:p w14:paraId="417EB931" w14:textId="77777777" w:rsidR="002760B2" w:rsidRPr="002B005F" w:rsidRDefault="002760B2" w:rsidP="00FC1AE6">
      <w:pPr>
        <w:widowControl w:val="0"/>
        <w:tabs>
          <w:tab w:val="left" w:pos="0"/>
        </w:tabs>
        <w:autoSpaceDE w:val="0"/>
        <w:autoSpaceDN w:val="0"/>
        <w:adjustRightInd w:val="0"/>
        <w:spacing w:before="120" w:line="300" w:lineRule="auto"/>
        <w:ind w:firstLine="709"/>
        <w:rPr>
          <w:rFonts w:ascii="Times New Roman" w:eastAsiaTheme="minorEastAsia" w:hAnsi="Times New Roman" w:cs="Times New Roman"/>
          <w:sz w:val="24"/>
          <w:szCs w:val="24"/>
        </w:rPr>
      </w:pPr>
      <w:r w:rsidRPr="002B005F">
        <w:rPr>
          <w:rFonts w:ascii="Times New Roman" w:eastAsiaTheme="minorEastAsia" w:hAnsi="Times New Roman" w:cs="Times New Roman"/>
          <w:sz w:val="24"/>
          <w:szCs w:val="24"/>
        </w:rPr>
        <w:t>Supposons qu’un portefeuille d’investissement vaut sur le marché 100 millions $, avec un taux de rendement de 5% et un écart type de 12%. Nous nous intéressons à estimer la VAR sur une période d’un mois avec un intervalle de confiance de 99%.</w:t>
      </w:r>
    </w:p>
    <w:p w14:paraId="359364D8" w14:textId="77777777" w:rsidR="002760B2" w:rsidRPr="002B005F" w:rsidRDefault="002760B2" w:rsidP="00FC1AE6">
      <w:pPr>
        <w:widowControl w:val="0"/>
        <w:tabs>
          <w:tab w:val="left" w:pos="0"/>
        </w:tabs>
        <w:autoSpaceDE w:val="0"/>
        <w:autoSpaceDN w:val="0"/>
        <w:adjustRightInd w:val="0"/>
        <w:spacing w:before="120" w:line="300" w:lineRule="auto"/>
        <w:ind w:left="851"/>
        <w:rPr>
          <w:rFonts w:ascii="Times New Roman" w:hAnsi="Times New Roman" w:cs="Times New Roman"/>
          <w:sz w:val="24"/>
          <w:szCs w:val="24"/>
        </w:rPr>
      </w:pPr>
      <w:r w:rsidRPr="002B005F">
        <w:rPr>
          <w:rFonts w:ascii="Times New Roman" w:eastAsiaTheme="minorEastAsia" w:hAnsi="Times New Roman" w:cs="Times New Roman"/>
          <w:sz w:val="24"/>
          <w:szCs w:val="24"/>
        </w:rPr>
        <w:t>A</w:t>
      </w:r>
      <w:r w:rsidRPr="002B005F">
        <w:rPr>
          <w:rFonts w:ascii="Times New Roman" w:eastAsiaTheme="minorEastAsia" w:hAnsi="Times New Roman" w:cs="Times New Roman"/>
          <w:sz w:val="24"/>
          <w:szCs w:val="24"/>
          <w:vertAlign w:val="subscript"/>
        </w:rPr>
        <w:t>0</w:t>
      </w:r>
      <w:r w:rsidRPr="002B005F">
        <w:rPr>
          <w:rFonts w:ascii="Times New Roman" w:eastAsiaTheme="minorEastAsia" w:hAnsi="Times New Roman" w:cs="Times New Roman"/>
          <w:sz w:val="24"/>
          <w:szCs w:val="24"/>
        </w:rPr>
        <w:t xml:space="preserve">= 100 millions $, </w:t>
      </w:r>
      <w:r w:rsidRPr="002B005F">
        <w:rPr>
          <w:rFonts w:ascii="Times New Roman" w:hAnsi="Times New Roman" w:cs="Times New Roman"/>
          <w:sz w:val="24"/>
          <w:szCs w:val="24"/>
        </w:rPr>
        <w:t xml:space="preserve">μ =5%, </w:t>
      </w:r>
      <m:oMath>
        <m:r>
          <w:rPr>
            <w:rFonts w:ascii="Cambria Math" w:hAnsi="Cambria Math" w:cs="Times New Roman"/>
            <w:sz w:val="24"/>
            <w:szCs w:val="24"/>
          </w:rPr>
          <m:t>σ</m:t>
        </m:r>
      </m:oMath>
      <w:r w:rsidRPr="002B005F">
        <w:rPr>
          <w:rFonts w:ascii="Times New Roman" w:eastAsiaTheme="minorEastAsia" w:hAnsi="Times New Roman" w:cs="Times New Roman"/>
          <w:sz w:val="24"/>
          <w:szCs w:val="24"/>
        </w:rPr>
        <w:t xml:space="preserve">= 12%, C = 99%, </w:t>
      </w:r>
      <w:r w:rsidRPr="002B005F">
        <w:rPr>
          <w:rFonts w:ascii="Times New Roman" w:hAnsi="Times New Roman" w:cs="Times New Roman"/>
          <w:sz w:val="24"/>
          <w:szCs w:val="24"/>
        </w:rPr>
        <w:t>α = 2.33 et T= 1/12.</w:t>
      </w:r>
    </w:p>
    <w:p w14:paraId="7290765A" w14:textId="77777777" w:rsidR="002760B2" w:rsidRPr="002B005F" w:rsidRDefault="002760B2" w:rsidP="00F8202D">
      <w:pPr>
        <w:widowControl w:val="0"/>
        <w:tabs>
          <w:tab w:val="left" w:pos="0"/>
        </w:tabs>
        <w:autoSpaceDE w:val="0"/>
        <w:autoSpaceDN w:val="0"/>
        <w:adjustRightInd w:val="0"/>
        <w:spacing w:before="120" w:line="300" w:lineRule="auto"/>
        <w:ind w:firstLine="709"/>
        <w:rPr>
          <w:rFonts w:ascii="Times New Roman" w:hAnsi="Times New Roman" w:cs="Times New Roman"/>
          <w:spacing w:val="-4"/>
          <w:sz w:val="24"/>
          <w:szCs w:val="24"/>
        </w:rPr>
      </w:pPr>
      <w:r w:rsidRPr="002B005F">
        <w:rPr>
          <w:rFonts w:ascii="Times New Roman" w:eastAsiaTheme="minorEastAsia" w:hAnsi="Times New Roman" w:cs="Times New Roman"/>
          <w:spacing w:val="-4"/>
          <w:sz w:val="24"/>
          <w:szCs w:val="24"/>
        </w:rPr>
        <w:t xml:space="preserve">Il faut noter que 99% d’intervalle de confiance nous donne </w:t>
      </w:r>
      <w:r w:rsidRPr="002B005F">
        <w:rPr>
          <w:rFonts w:ascii="Times New Roman" w:hAnsi="Times New Roman" w:cs="Times New Roman"/>
          <w:spacing w:val="-4"/>
          <w:sz w:val="24"/>
          <w:szCs w:val="24"/>
        </w:rPr>
        <w:t>α = 2.33 dans une distribution normale. En utilisant ces données, on peut estimer les deux variantes de VAR comme suit :</w:t>
      </w:r>
    </w:p>
    <w:p w14:paraId="2B194A44" w14:textId="77777777" w:rsidR="002760B2" w:rsidRPr="002B005F" w:rsidRDefault="002760B2" w:rsidP="00FC1AE6">
      <w:pPr>
        <w:widowControl w:val="0"/>
        <w:autoSpaceDE w:val="0"/>
        <w:autoSpaceDN w:val="0"/>
        <w:adjustRightInd w:val="0"/>
        <w:spacing w:before="120" w:line="300" w:lineRule="auto"/>
        <w:ind w:left="851"/>
        <w:rPr>
          <w:rFonts w:ascii="Times New Roman" w:eastAsiaTheme="minorEastAsia" w:hAnsi="Times New Roman" w:cs="Times New Roman"/>
          <w:sz w:val="24"/>
          <w:szCs w:val="24"/>
        </w:rPr>
      </w:pPr>
      <w:r w:rsidRPr="002B005F">
        <w:rPr>
          <w:rFonts w:ascii="Times New Roman" w:hAnsi="Times New Roman" w:cs="Times New Roman"/>
          <w:sz w:val="24"/>
          <w:szCs w:val="24"/>
        </w:rPr>
        <w:t xml:space="preserve">VAR (zéro) = Ao (α </w:t>
      </w:r>
      <m:oMath>
        <m:r>
          <w:rPr>
            <w:rFonts w:ascii="Cambria Math" w:hAnsi="Cambria Math" w:cs="Times New Roman"/>
            <w:sz w:val="24"/>
            <w:szCs w:val="24"/>
          </w:rPr>
          <m:t>σ</m:t>
        </m:r>
        <m:rad>
          <m:radPr>
            <m:degHide m:val="1"/>
            <m:ctrlPr>
              <w:rPr>
                <w:rFonts w:ascii="Cambria Math" w:hAnsi="Cambria Math" w:cs="Times New Roman"/>
                <w:i/>
                <w:sz w:val="24"/>
                <w:szCs w:val="24"/>
              </w:rPr>
            </m:ctrlPr>
          </m:radPr>
          <m:deg/>
          <m:e>
            <m:r>
              <w:rPr>
                <w:rFonts w:ascii="Cambria Math" w:hAnsi="Cambria Math" w:cs="Times New Roman"/>
                <w:sz w:val="24"/>
                <w:szCs w:val="24"/>
              </w:rPr>
              <m:t>T</m:t>
            </m:r>
          </m:e>
        </m:rad>
        <m:r>
          <w:rPr>
            <w:rFonts w:ascii="Cambria Math" w:hAnsi="Cambria Math" w:cs="Times New Roman"/>
            <w:sz w:val="24"/>
            <w:szCs w:val="24"/>
          </w:rPr>
          <m:t>-μT)</m:t>
        </m:r>
      </m:oMath>
      <w:r w:rsidR="00E9405E" w:rsidRPr="002B005F">
        <w:rPr>
          <w:rFonts w:ascii="Times New Roman" w:eastAsiaTheme="minorEastAsia" w:hAnsi="Times New Roman" w:cs="Times New Roman"/>
          <w:sz w:val="24"/>
          <w:szCs w:val="24"/>
        </w:rPr>
        <w:t xml:space="preserve"> </w:t>
      </w:r>
      <w:r w:rsidRPr="002B005F">
        <w:rPr>
          <w:rFonts w:ascii="Times New Roman" w:eastAsiaTheme="minorEastAsia" w:hAnsi="Times New Roman" w:cs="Times New Roman"/>
          <w:sz w:val="24"/>
          <w:szCs w:val="24"/>
        </w:rPr>
        <w:t>= 100(2.33*0.12*</w:t>
      </w:r>
      <m:oMath>
        <m:rad>
          <m:radPr>
            <m:degHide m:val="1"/>
            <m:ctrlPr>
              <w:rPr>
                <w:rFonts w:ascii="Cambria Math" w:hAnsi="Cambria Math" w:cs="Times New Roman"/>
                <w:i/>
                <w:sz w:val="24"/>
                <w:szCs w:val="24"/>
              </w:rPr>
            </m:ctrlPr>
          </m:radPr>
          <m:deg/>
          <m:e>
            <m:r>
              <w:rPr>
                <w:rFonts w:ascii="Cambria Math" w:hAnsi="Cambria Math" w:cs="Times New Roman"/>
                <w:sz w:val="24"/>
                <w:szCs w:val="24"/>
              </w:rPr>
              <m:t>1/12</m:t>
            </m:r>
          </m:e>
        </m:rad>
      </m:oMath>
      <w:r w:rsidRPr="002B005F">
        <w:rPr>
          <w:rFonts w:ascii="Times New Roman" w:eastAsiaTheme="minorEastAsia" w:hAnsi="Times New Roman" w:cs="Times New Roman"/>
          <w:sz w:val="24"/>
          <w:szCs w:val="24"/>
        </w:rPr>
        <w:t xml:space="preserve"> – 0.05*1/12) = 7.65</w:t>
      </w:r>
    </w:p>
    <w:p w14:paraId="0442D804" w14:textId="77777777" w:rsidR="00DA1BFB" w:rsidRPr="002B005F" w:rsidRDefault="002760B2" w:rsidP="00FC1AE6">
      <w:pPr>
        <w:widowControl w:val="0"/>
        <w:autoSpaceDE w:val="0"/>
        <w:autoSpaceDN w:val="0"/>
        <w:adjustRightInd w:val="0"/>
        <w:spacing w:line="300" w:lineRule="auto"/>
        <w:ind w:left="851"/>
        <w:rPr>
          <w:rFonts w:ascii="Times New Roman" w:eastAsiaTheme="minorEastAsia" w:hAnsi="Times New Roman" w:cs="Times New Roman"/>
          <w:sz w:val="24"/>
          <w:szCs w:val="24"/>
        </w:rPr>
      </w:pPr>
      <w:r w:rsidRPr="002B005F">
        <w:rPr>
          <w:rFonts w:ascii="Times New Roman" w:hAnsi="Times New Roman" w:cs="Times New Roman"/>
          <w:sz w:val="24"/>
          <w:szCs w:val="24"/>
        </w:rPr>
        <w:t>VAR (moyenne) = Aoα</w:t>
      </w:r>
      <m:oMath>
        <m:r>
          <w:rPr>
            <w:rFonts w:ascii="Cambria Math" w:hAnsi="Cambria Math" w:cs="Times New Roman"/>
            <w:sz w:val="24"/>
            <w:szCs w:val="24"/>
          </w:rPr>
          <m:t xml:space="preserve"> σ</m:t>
        </m:r>
        <m:rad>
          <m:radPr>
            <m:degHide m:val="1"/>
            <m:ctrlPr>
              <w:rPr>
                <w:rFonts w:ascii="Cambria Math" w:hAnsi="Cambria Math" w:cs="Times New Roman"/>
                <w:i/>
                <w:sz w:val="24"/>
                <w:szCs w:val="24"/>
              </w:rPr>
            </m:ctrlPr>
          </m:radPr>
          <m:deg/>
          <m:e>
            <m:r>
              <w:rPr>
                <w:rFonts w:ascii="Cambria Math" w:hAnsi="Cambria Math" w:cs="Times New Roman"/>
                <w:sz w:val="24"/>
                <w:szCs w:val="24"/>
              </w:rPr>
              <m:t>T</m:t>
            </m:r>
          </m:e>
        </m:rad>
      </m:oMath>
      <w:r w:rsidR="00E9405E" w:rsidRPr="002B005F">
        <w:rPr>
          <w:rFonts w:ascii="Times New Roman" w:eastAsiaTheme="minorEastAsia" w:hAnsi="Times New Roman" w:cs="Times New Roman"/>
          <w:sz w:val="24"/>
          <w:szCs w:val="24"/>
        </w:rPr>
        <w:t xml:space="preserve"> </w:t>
      </w:r>
      <w:r w:rsidRPr="002B005F">
        <w:rPr>
          <w:rFonts w:ascii="Times New Roman" w:eastAsiaTheme="minorEastAsia" w:hAnsi="Times New Roman" w:cs="Times New Roman"/>
          <w:sz w:val="24"/>
          <w:szCs w:val="24"/>
        </w:rPr>
        <w:t>= 100*2.33*0.12*</w:t>
      </w:r>
      <m:oMath>
        <m:rad>
          <m:radPr>
            <m:degHide m:val="1"/>
            <m:ctrlPr>
              <w:rPr>
                <w:rFonts w:ascii="Cambria Math" w:hAnsi="Cambria Math" w:cs="Times New Roman"/>
                <w:i/>
                <w:sz w:val="24"/>
                <w:szCs w:val="24"/>
              </w:rPr>
            </m:ctrlPr>
          </m:radPr>
          <m:deg/>
          <m:e>
            <m:r>
              <w:rPr>
                <w:rFonts w:ascii="Cambria Math" w:hAnsi="Cambria Math" w:cs="Times New Roman"/>
                <w:sz w:val="24"/>
                <w:szCs w:val="24"/>
              </w:rPr>
              <m:t>1/12</m:t>
            </m:r>
          </m:e>
        </m:rad>
      </m:oMath>
      <w:r w:rsidRPr="002B005F">
        <w:rPr>
          <w:rFonts w:ascii="Times New Roman" w:eastAsiaTheme="minorEastAsia" w:hAnsi="Times New Roman" w:cs="Times New Roman"/>
          <w:sz w:val="24"/>
          <w:szCs w:val="24"/>
        </w:rPr>
        <w:t xml:space="preserve"> = 8.07</w:t>
      </w:r>
    </w:p>
    <w:p w14:paraId="1365C59B" w14:textId="77777777" w:rsidR="002760B2" w:rsidRPr="002B005F" w:rsidRDefault="002760B2" w:rsidP="0004035B">
      <w:pPr>
        <w:widowControl w:val="0"/>
        <w:tabs>
          <w:tab w:val="left" w:pos="0"/>
        </w:tabs>
        <w:autoSpaceDE w:val="0"/>
        <w:autoSpaceDN w:val="0"/>
        <w:adjustRightInd w:val="0"/>
        <w:spacing w:before="240" w:line="300" w:lineRule="auto"/>
        <w:ind w:firstLine="709"/>
        <w:rPr>
          <w:rFonts w:ascii="Times New Roman" w:eastAsiaTheme="minorEastAsia" w:hAnsi="Times New Roman" w:cs="Times New Roman"/>
          <w:sz w:val="24"/>
          <w:szCs w:val="24"/>
        </w:rPr>
      </w:pPr>
      <w:r w:rsidRPr="002B005F">
        <w:rPr>
          <w:rFonts w:ascii="Times New Roman" w:eastAsiaTheme="minorEastAsia" w:hAnsi="Times New Roman" w:cs="Times New Roman"/>
          <w:sz w:val="24"/>
          <w:szCs w:val="24"/>
        </w:rPr>
        <w:t>Le</w:t>
      </w:r>
      <w:r w:rsidR="004B5B94" w:rsidRPr="002B005F">
        <w:rPr>
          <w:rFonts w:ascii="Times New Roman" w:eastAsiaTheme="minorEastAsia" w:hAnsi="Times New Roman" w:cs="Times New Roman"/>
          <w:sz w:val="24"/>
          <w:szCs w:val="24"/>
        </w:rPr>
        <w:t xml:space="preserve"> résultat dans un sens relatif </w:t>
      </w:r>
      <w:r w:rsidRPr="002B005F">
        <w:rPr>
          <w:rFonts w:ascii="Times New Roman" w:eastAsiaTheme="minorEastAsia" w:hAnsi="Times New Roman" w:cs="Times New Roman"/>
          <w:sz w:val="24"/>
          <w:szCs w:val="24"/>
        </w:rPr>
        <w:t>c’</w:t>
      </w:r>
      <w:r w:rsidR="004B5B94" w:rsidRPr="002B005F">
        <w:rPr>
          <w:rFonts w:ascii="Times New Roman" w:eastAsiaTheme="minorEastAsia" w:hAnsi="Times New Roman" w:cs="Times New Roman"/>
          <w:sz w:val="24"/>
          <w:szCs w:val="24"/>
        </w:rPr>
        <w:t>est-à-dire relatif à la moyenne</w:t>
      </w:r>
      <w:r w:rsidRPr="002B005F">
        <w:rPr>
          <w:rFonts w:ascii="Times New Roman" w:eastAsiaTheme="minorEastAsia" w:hAnsi="Times New Roman" w:cs="Times New Roman"/>
          <w:sz w:val="24"/>
          <w:szCs w:val="24"/>
        </w:rPr>
        <w:t xml:space="preserve"> implique que dans les conditions normales de marché, il y a 99% de chance que la perte du portefeuille ne dépassera pas 8.07 millions $</w:t>
      </w:r>
      <w:r w:rsidR="004B5B94" w:rsidRPr="002B005F">
        <w:rPr>
          <w:rFonts w:ascii="Times New Roman" w:eastAsiaTheme="minorEastAsia" w:hAnsi="Times New Roman" w:cs="Times New Roman"/>
          <w:sz w:val="24"/>
          <w:szCs w:val="24"/>
        </w:rPr>
        <w:t xml:space="preserve"> par mois. Dans un sens absolu </w:t>
      </w:r>
      <w:r w:rsidRPr="002B005F">
        <w:rPr>
          <w:rFonts w:ascii="Times New Roman" w:eastAsiaTheme="minorEastAsia" w:hAnsi="Times New Roman" w:cs="Times New Roman"/>
          <w:sz w:val="24"/>
          <w:szCs w:val="24"/>
        </w:rPr>
        <w:t>c’est-à-dire</w:t>
      </w:r>
      <w:r w:rsidR="004B5B94" w:rsidRPr="002B005F">
        <w:rPr>
          <w:rFonts w:ascii="Times New Roman" w:eastAsiaTheme="minorEastAsia" w:hAnsi="Times New Roman" w:cs="Times New Roman"/>
          <w:sz w:val="24"/>
          <w:szCs w:val="24"/>
        </w:rPr>
        <w:t xml:space="preserve"> relatif à zéro</w:t>
      </w:r>
      <w:r w:rsidRPr="002B005F">
        <w:rPr>
          <w:rFonts w:ascii="Times New Roman" w:eastAsiaTheme="minorEastAsia" w:hAnsi="Times New Roman" w:cs="Times New Roman"/>
          <w:sz w:val="24"/>
          <w:szCs w:val="24"/>
        </w:rPr>
        <w:t>, ce montant est de 7.65 millions $.</w:t>
      </w:r>
    </w:p>
    <w:p w14:paraId="425A8EF8" w14:textId="77777777" w:rsidR="002760B2" w:rsidRPr="00B0420B" w:rsidRDefault="00E7607D" w:rsidP="00C86447">
      <w:pPr>
        <w:pStyle w:val="Titre5"/>
        <w:keepNext w:val="0"/>
        <w:keepLines w:val="0"/>
        <w:spacing w:before="120" w:after="120" w:line="300" w:lineRule="auto"/>
        <w:ind w:firstLine="709"/>
        <w:rPr>
          <w:rFonts w:asciiTheme="majorBidi" w:hAnsiTheme="majorBidi"/>
          <w:b/>
          <w:bCs/>
          <w:color w:val="auto"/>
          <w:sz w:val="24"/>
          <w:szCs w:val="24"/>
        </w:rPr>
      </w:pPr>
      <w:bookmarkStart w:id="779" w:name="_Toc182298723"/>
      <w:r w:rsidRPr="00B0420B">
        <w:rPr>
          <w:rFonts w:asciiTheme="majorBidi" w:eastAsiaTheme="minorEastAsia" w:hAnsiTheme="majorBidi"/>
          <w:b/>
          <w:bCs/>
          <w:color w:val="auto"/>
          <w:sz w:val="24"/>
          <w:szCs w:val="24"/>
        </w:rPr>
        <w:t xml:space="preserve">2.2.3.4- </w:t>
      </w:r>
      <w:r w:rsidR="00D05172" w:rsidRPr="00B0420B">
        <w:rPr>
          <w:rFonts w:asciiTheme="majorBidi" w:eastAsiaTheme="minorEastAsia" w:hAnsiTheme="majorBidi"/>
          <w:b/>
          <w:bCs/>
          <w:color w:val="auto"/>
          <w:sz w:val="24"/>
          <w:szCs w:val="24"/>
        </w:rPr>
        <w:t>V</w:t>
      </w:r>
      <w:r w:rsidR="002760B2" w:rsidRPr="00B0420B">
        <w:rPr>
          <w:rFonts w:asciiTheme="majorBidi" w:eastAsiaTheme="minorEastAsia" w:hAnsiTheme="majorBidi"/>
          <w:b/>
          <w:bCs/>
          <w:color w:val="auto"/>
          <w:sz w:val="24"/>
          <w:szCs w:val="24"/>
        </w:rPr>
        <w:t>aleur à risque de Monte Carlo</w:t>
      </w:r>
      <w:bookmarkEnd w:id="779"/>
    </w:p>
    <w:p w14:paraId="272B9AC2" w14:textId="77777777" w:rsidR="002760B2" w:rsidRPr="002B005F" w:rsidRDefault="002760B2" w:rsidP="0004035B">
      <w:pPr>
        <w:widowControl w:val="0"/>
        <w:tabs>
          <w:tab w:val="left" w:pos="0"/>
        </w:tabs>
        <w:autoSpaceDE w:val="0"/>
        <w:autoSpaceDN w:val="0"/>
        <w:adjustRightInd w:val="0"/>
        <w:spacing w:line="300" w:lineRule="auto"/>
        <w:ind w:firstLine="709"/>
        <w:rPr>
          <w:rFonts w:ascii="Times New Roman" w:eastAsiaTheme="minorEastAsia" w:hAnsi="Times New Roman" w:cs="Times New Roman"/>
          <w:spacing w:val="-6"/>
          <w:sz w:val="24"/>
          <w:szCs w:val="24"/>
        </w:rPr>
      </w:pPr>
      <w:r w:rsidRPr="002B005F">
        <w:rPr>
          <w:rFonts w:ascii="Times New Roman" w:eastAsiaTheme="minorEastAsia" w:hAnsi="Times New Roman" w:cs="Times New Roman"/>
          <w:spacing w:val="-6"/>
          <w:sz w:val="24"/>
          <w:szCs w:val="24"/>
        </w:rPr>
        <w:t xml:space="preserve">Elle se base sur un tirage au sort des échantillons de facteurs de risques à partir des variations historiques. D’abord, On doit générer une multitude de scénarios pour chaque facteur de </w:t>
      </w:r>
      <w:r w:rsidRPr="00CC43D0">
        <w:rPr>
          <w:rFonts w:ascii="Times New Roman" w:eastAsiaTheme="minorEastAsia" w:hAnsi="Times New Roman" w:cs="Times New Roman"/>
          <w:spacing w:val="-6"/>
          <w:sz w:val="24"/>
          <w:szCs w:val="24"/>
        </w:rPr>
        <w:t xml:space="preserve">risque (au </w:t>
      </w:r>
      <w:r w:rsidRPr="00CC43D0">
        <w:rPr>
          <w:rFonts w:ascii="Times New Roman" w:eastAsiaTheme="minorEastAsia" w:hAnsi="Times New Roman" w:cs="Times New Roman"/>
          <w:spacing w:val="-6"/>
          <w:sz w:val="24"/>
          <w:szCs w:val="24"/>
        </w:rPr>
        <w:lastRenderedPageBreak/>
        <w:t>moins 1</w:t>
      </w:r>
      <w:r w:rsidR="00A47261" w:rsidRPr="00CC43D0">
        <w:rPr>
          <w:rFonts w:ascii="Times New Roman" w:eastAsiaTheme="minorEastAsia" w:hAnsi="Times New Roman" w:cs="Times New Roman"/>
          <w:spacing w:val="-6"/>
          <w:sz w:val="24"/>
          <w:szCs w:val="24"/>
        </w:rPr>
        <w:t> </w:t>
      </w:r>
      <w:r w:rsidRPr="00CC43D0">
        <w:rPr>
          <w:rFonts w:ascii="Times New Roman" w:eastAsiaTheme="minorEastAsia" w:hAnsi="Times New Roman" w:cs="Times New Roman"/>
          <w:spacing w:val="-6"/>
          <w:sz w:val="24"/>
          <w:szCs w:val="24"/>
        </w:rPr>
        <w:t>000 scénarios). Ensuite, on trie ces possibilités de gains et de pertes d’ordre croi</w:t>
      </w:r>
      <w:r w:rsidR="00F8202D" w:rsidRPr="00CC43D0">
        <w:rPr>
          <w:rFonts w:ascii="Times New Roman" w:eastAsiaTheme="minorEastAsia" w:hAnsi="Times New Roman" w:cs="Times New Roman"/>
          <w:spacing w:val="-6"/>
          <w:sz w:val="24"/>
          <w:szCs w:val="24"/>
        </w:rPr>
        <w:t>s</w:t>
      </w:r>
      <w:r w:rsidRPr="00CC43D0">
        <w:rPr>
          <w:rFonts w:ascii="Times New Roman" w:eastAsiaTheme="minorEastAsia" w:hAnsi="Times New Roman" w:cs="Times New Roman"/>
          <w:spacing w:val="-6"/>
          <w:sz w:val="24"/>
          <w:szCs w:val="24"/>
        </w:rPr>
        <w:t>sant</w:t>
      </w:r>
      <w:r w:rsidR="00F8202D" w:rsidRPr="00CC43D0">
        <w:rPr>
          <w:rFonts w:ascii="Times New Roman" w:eastAsiaTheme="minorEastAsia" w:hAnsi="Times New Roman" w:cs="Times New Roman"/>
          <w:spacing w:val="-6"/>
          <w:sz w:val="24"/>
          <w:szCs w:val="24"/>
        </w:rPr>
        <w:t>.</w:t>
      </w:r>
      <w:r w:rsidR="00F8202D">
        <w:rPr>
          <w:rFonts w:ascii="Times New Roman" w:eastAsiaTheme="minorEastAsia" w:hAnsi="Times New Roman" w:cs="Times New Roman"/>
          <w:spacing w:val="-6"/>
          <w:sz w:val="24"/>
          <w:szCs w:val="24"/>
        </w:rPr>
        <w:t xml:space="preserve"> L</w:t>
      </w:r>
      <w:r w:rsidRPr="002B005F">
        <w:rPr>
          <w:rFonts w:ascii="Times New Roman" w:eastAsiaTheme="minorEastAsia" w:hAnsi="Times New Roman" w:cs="Times New Roman"/>
          <w:spacing w:val="-6"/>
          <w:sz w:val="24"/>
          <w:szCs w:val="24"/>
        </w:rPr>
        <w:t>a VAR représente la perte maximale que l’on retrouve au seuil de confiance (1-C).</w:t>
      </w:r>
    </w:p>
    <w:p w14:paraId="4EDCD613" w14:textId="77777777" w:rsidR="002760B2" w:rsidRPr="002B005F" w:rsidRDefault="00D05172" w:rsidP="00B0420B">
      <w:pPr>
        <w:pStyle w:val="Titre4"/>
        <w:spacing w:before="120" w:after="120" w:line="300" w:lineRule="auto"/>
        <w:ind w:firstLine="709"/>
        <w:rPr>
          <w:rFonts w:eastAsiaTheme="minorEastAsia"/>
          <w:lang w:val="en-GB"/>
        </w:rPr>
      </w:pPr>
      <w:bookmarkStart w:id="780" w:name="_Toc33263295"/>
      <w:bookmarkStart w:id="781" w:name="_Toc37664546"/>
      <w:bookmarkStart w:id="782" w:name="_Toc37666391"/>
      <w:bookmarkStart w:id="783" w:name="_Toc54363280"/>
      <w:bookmarkStart w:id="784" w:name="_Toc58606284"/>
      <w:bookmarkStart w:id="785" w:name="_Toc61263489"/>
      <w:bookmarkStart w:id="786" w:name="_Toc182298724"/>
      <w:r>
        <w:rPr>
          <w:rFonts w:eastAsiaTheme="minorEastAsia"/>
          <w:lang w:val="en-GB"/>
        </w:rPr>
        <w:t xml:space="preserve">2.2.4- </w:t>
      </w:r>
      <w:r w:rsidR="004B5B94" w:rsidRPr="002B005F">
        <w:rPr>
          <w:rFonts w:eastAsiaTheme="minorEastAsia"/>
          <w:lang w:val="en-GB"/>
        </w:rPr>
        <w:t>Risk Adjusted Return on C</w:t>
      </w:r>
      <w:r w:rsidR="002760B2" w:rsidRPr="002B005F">
        <w:rPr>
          <w:rFonts w:eastAsiaTheme="minorEastAsia"/>
          <w:lang w:val="en-GB"/>
        </w:rPr>
        <w:t>apital (RAROC)</w:t>
      </w:r>
      <w:bookmarkEnd w:id="780"/>
      <w:bookmarkEnd w:id="781"/>
      <w:bookmarkEnd w:id="782"/>
      <w:bookmarkEnd w:id="783"/>
      <w:bookmarkEnd w:id="784"/>
      <w:bookmarkEnd w:id="785"/>
      <w:bookmarkEnd w:id="786"/>
    </w:p>
    <w:p w14:paraId="090D6954" w14:textId="77777777" w:rsidR="002760B2" w:rsidRPr="00CC262F" w:rsidRDefault="002760B2" w:rsidP="00FC1AE6">
      <w:pPr>
        <w:widowControl w:val="0"/>
        <w:tabs>
          <w:tab w:val="left" w:pos="0"/>
        </w:tabs>
        <w:autoSpaceDE w:val="0"/>
        <w:autoSpaceDN w:val="0"/>
        <w:adjustRightInd w:val="0"/>
        <w:spacing w:before="120" w:line="300" w:lineRule="auto"/>
        <w:ind w:firstLine="709"/>
        <w:rPr>
          <w:rFonts w:ascii="Times New Roman" w:eastAsiaTheme="minorEastAsia" w:hAnsi="Times New Roman" w:cs="Times New Roman"/>
          <w:spacing w:val="-2"/>
          <w:sz w:val="24"/>
          <w:szCs w:val="24"/>
        </w:rPr>
      </w:pPr>
      <w:r w:rsidRPr="00CC262F">
        <w:rPr>
          <w:rFonts w:ascii="Times New Roman" w:eastAsiaTheme="minorEastAsia" w:hAnsi="Times New Roman" w:cs="Times New Roman"/>
          <w:spacing w:val="-2"/>
          <w:sz w:val="24"/>
          <w:szCs w:val="24"/>
        </w:rPr>
        <w:t>Dons le domaine bancaire, la rentabilité et la gestion des risques sont indissociables. D’un côté, les risques créent l’instabilité des résultats de la banque et</w:t>
      </w:r>
      <w:r w:rsidR="00174DE1" w:rsidRPr="00CC262F">
        <w:rPr>
          <w:rFonts w:ascii="Times New Roman" w:eastAsiaTheme="minorEastAsia" w:hAnsi="Times New Roman" w:cs="Times New Roman"/>
          <w:spacing w:val="-2"/>
          <w:sz w:val="24"/>
          <w:szCs w:val="24"/>
        </w:rPr>
        <w:t>,</w:t>
      </w:r>
      <w:r w:rsidRPr="00CC262F">
        <w:rPr>
          <w:rFonts w:ascii="Times New Roman" w:eastAsiaTheme="minorEastAsia" w:hAnsi="Times New Roman" w:cs="Times New Roman"/>
          <w:spacing w:val="-2"/>
          <w:sz w:val="24"/>
          <w:szCs w:val="24"/>
        </w:rPr>
        <w:t xml:space="preserve"> d’un autre côté, la prise des risques est une condition pour avoir une meilleure rentabilité. Donc gérer le couple </w:t>
      </w:r>
      <w:r w:rsidR="00174DE1" w:rsidRPr="00CC262F">
        <w:rPr>
          <w:rFonts w:ascii="Times New Roman" w:eastAsiaTheme="minorEastAsia" w:hAnsi="Times New Roman" w:cs="Times New Roman"/>
          <w:spacing w:val="-2"/>
          <w:sz w:val="24"/>
          <w:szCs w:val="24"/>
        </w:rPr>
        <w:t>R</w:t>
      </w:r>
      <w:r w:rsidRPr="00CC262F">
        <w:rPr>
          <w:rFonts w:ascii="Times New Roman" w:eastAsiaTheme="minorEastAsia" w:hAnsi="Times New Roman" w:cs="Times New Roman"/>
          <w:spacing w:val="-2"/>
          <w:sz w:val="24"/>
          <w:szCs w:val="24"/>
        </w:rPr>
        <w:t>isque-</w:t>
      </w:r>
      <w:r w:rsidR="00174DE1" w:rsidRPr="00CC262F">
        <w:rPr>
          <w:rFonts w:ascii="Times New Roman" w:eastAsiaTheme="minorEastAsia" w:hAnsi="Times New Roman" w:cs="Times New Roman"/>
          <w:spacing w:val="-2"/>
          <w:sz w:val="24"/>
          <w:szCs w:val="24"/>
        </w:rPr>
        <w:t>R</w:t>
      </w:r>
      <w:r w:rsidRPr="00CC262F">
        <w:rPr>
          <w:rFonts w:ascii="Times New Roman" w:eastAsiaTheme="minorEastAsia" w:hAnsi="Times New Roman" w:cs="Times New Roman"/>
          <w:spacing w:val="-2"/>
          <w:sz w:val="24"/>
          <w:szCs w:val="24"/>
        </w:rPr>
        <w:t>entabilité est un atout indispensable, surtout dans un environnement financier instable.</w:t>
      </w:r>
    </w:p>
    <w:p w14:paraId="628E677F" w14:textId="77777777" w:rsidR="002760B2" w:rsidRPr="002B005F" w:rsidRDefault="002760B2" w:rsidP="00FC1AE6">
      <w:pPr>
        <w:widowControl w:val="0"/>
        <w:tabs>
          <w:tab w:val="left" w:pos="0"/>
        </w:tabs>
        <w:autoSpaceDE w:val="0"/>
        <w:autoSpaceDN w:val="0"/>
        <w:adjustRightInd w:val="0"/>
        <w:spacing w:before="120" w:line="300" w:lineRule="auto"/>
        <w:ind w:firstLine="709"/>
        <w:rPr>
          <w:rFonts w:ascii="Times New Roman" w:eastAsiaTheme="minorEastAsia" w:hAnsi="Times New Roman" w:cs="Times New Roman"/>
          <w:sz w:val="24"/>
          <w:szCs w:val="24"/>
        </w:rPr>
      </w:pPr>
      <w:r w:rsidRPr="002B005F">
        <w:rPr>
          <w:rFonts w:ascii="Times New Roman" w:eastAsiaTheme="minorEastAsia" w:hAnsi="Times New Roman" w:cs="Times New Roman"/>
          <w:sz w:val="24"/>
          <w:szCs w:val="24"/>
        </w:rPr>
        <w:t>Etant conscientes de cette réalité, de nombreuses banques ont développé plusieurs méthodes qui permettent de gérer le couple Risque- Rentabilité. A côté des métho</w:t>
      </w:r>
      <w:r w:rsidR="004B5B94" w:rsidRPr="002B005F">
        <w:rPr>
          <w:rFonts w:ascii="Times New Roman" w:eastAsiaTheme="minorEastAsia" w:hAnsi="Times New Roman" w:cs="Times New Roman"/>
          <w:sz w:val="24"/>
          <w:szCs w:val="24"/>
        </w:rPr>
        <w:t xml:space="preserve">des précitées, le </w:t>
      </w:r>
      <w:r w:rsidR="005443BC">
        <w:rPr>
          <w:rFonts w:ascii="Times New Roman" w:hAnsi="Times New Roman" w:cs="Times New Roman"/>
          <w:sz w:val="24"/>
          <w:szCs w:val="24"/>
        </w:rPr>
        <w:t>"</w:t>
      </w:r>
      <w:r w:rsidR="00D37100" w:rsidRPr="002B005F">
        <w:rPr>
          <w:rFonts w:ascii="Times New Roman" w:eastAsiaTheme="minorEastAsia" w:hAnsi="Times New Roman" w:cs="Times New Roman"/>
          <w:sz w:val="24"/>
          <w:szCs w:val="24"/>
        </w:rPr>
        <w:t>Risk Adjusted Return On Capital</w:t>
      </w:r>
      <w:r w:rsidR="005443BC">
        <w:rPr>
          <w:rFonts w:ascii="Times New Roman" w:hAnsi="Times New Roman" w:cs="Times New Roman"/>
          <w:sz w:val="24"/>
          <w:szCs w:val="24"/>
        </w:rPr>
        <w:t>"</w:t>
      </w:r>
      <w:r w:rsidR="00D37100" w:rsidRPr="002B005F">
        <w:rPr>
          <w:rFonts w:ascii="Times New Roman" w:eastAsiaTheme="minorEastAsia" w:hAnsi="Times New Roman" w:cs="Times New Roman"/>
          <w:sz w:val="24"/>
          <w:szCs w:val="24"/>
        </w:rPr>
        <w:t xml:space="preserve"> </w:t>
      </w:r>
      <w:r w:rsidR="00D37100">
        <w:rPr>
          <w:rFonts w:ascii="Times New Roman" w:eastAsiaTheme="minorEastAsia" w:hAnsi="Times New Roman" w:cs="Times New Roman"/>
          <w:sz w:val="24"/>
          <w:szCs w:val="24"/>
        </w:rPr>
        <w:t xml:space="preserve">ou </w:t>
      </w:r>
      <w:r w:rsidR="005443BC">
        <w:rPr>
          <w:rFonts w:ascii="Times New Roman" w:eastAsiaTheme="minorEastAsia" w:hAnsi="Times New Roman" w:cs="Times New Roman"/>
          <w:sz w:val="24"/>
          <w:szCs w:val="24"/>
        </w:rPr>
        <w:t xml:space="preserve">le </w:t>
      </w:r>
      <w:r w:rsidR="004B5B94" w:rsidRPr="002B005F">
        <w:rPr>
          <w:rFonts w:ascii="Times New Roman" w:eastAsiaTheme="minorEastAsia" w:hAnsi="Times New Roman" w:cs="Times New Roman"/>
          <w:sz w:val="24"/>
          <w:szCs w:val="24"/>
        </w:rPr>
        <w:t xml:space="preserve">RAROC </w:t>
      </w:r>
      <w:r w:rsidRPr="002B005F">
        <w:rPr>
          <w:rFonts w:ascii="Times New Roman" w:eastAsiaTheme="minorEastAsia" w:hAnsi="Times New Roman" w:cs="Times New Roman"/>
          <w:sz w:val="24"/>
          <w:szCs w:val="24"/>
        </w:rPr>
        <w:t xml:space="preserve">représente un excellent outil de gestion de risque. C’est sous l’impulsion de Bankers Trust et, plus précisément, des travaux réalisés par Charles S. </w:t>
      </w:r>
      <w:r w:rsidRPr="00590374">
        <w:rPr>
          <w:rFonts w:ascii="Times New Roman" w:eastAsiaTheme="minorEastAsia" w:hAnsi="Times New Roman" w:cs="Times New Roman"/>
          <w:smallCaps/>
          <w:sz w:val="24"/>
          <w:szCs w:val="24"/>
        </w:rPr>
        <w:t>Sanford</w:t>
      </w:r>
      <w:r w:rsidRPr="002B005F">
        <w:rPr>
          <w:rFonts w:ascii="Times New Roman" w:eastAsiaTheme="minorEastAsia" w:hAnsi="Times New Roman" w:cs="Times New Roman"/>
          <w:sz w:val="24"/>
          <w:szCs w:val="24"/>
        </w:rPr>
        <w:t xml:space="preserve"> que cette méthode a été élaborée.</w:t>
      </w:r>
      <w:r w:rsidR="00FC1AE6">
        <w:rPr>
          <w:rFonts w:ascii="Times New Roman" w:eastAsiaTheme="minorEastAsia" w:hAnsi="Times New Roman" w:cs="Times New Roman"/>
          <w:sz w:val="24"/>
          <w:szCs w:val="24"/>
        </w:rPr>
        <w:t xml:space="preserve"> </w:t>
      </w:r>
      <w:r w:rsidR="00497D56" w:rsidRPr="002B005F">
        <w:rPr>
          <w:rFonts w:ascii="Times New Roman" w:eastAsiaTheme="minorEastAsia" w:hAnsi="Times New Roman" w:cs="Times New Roman"/>
          <w:sz w:val="24"/>
          <w:szCs w:val="24"/>
        </w:rPr>
        <w:t xml:space="preserve">Par la suite, le RAROC est </w:t>
      </w:r>
      <w:r w:rsidRPr="002B005F">
        <w:rPr>
          <w:rFonts w:ascii="Times New Roman" w:eastAsiaTheme="minorEastAsia" w:hAnsi="Times New Roman" w:cs="Times New Roman"/>
          <w:sz w:val="24"/>
          <w:szCs w:val="24"/>
        </w:rPr>
        <w:t>devenu la principale technique de mesure de performance et la meilleure pratique standard au niveau des institutions financières.</w:t>
      </w:r>
    </w:p>
    <w:p w14:paraId="0C2564E2" w14:textId="77777777" w:rsidR="002760B2" w:rsidRPr="002B005F" w:rsidRDefault="00FC1AE6" w:rsidP="00FC1AE6">
      <w:pPr>
        <w:widowControl w:val="0"/>
        <w:tabs>
          <w:tab w:val="left" w:pos="0"/>
        </w:tabs>
        <w:autoSpaceDE w:val="0"/>
        <w:autoSpaceDN w:val="0"/>
        <w:adjustRightInd w:val="0"/>
        <w:spacing w:before="120" w:line="30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Nous pouvons</w:t>
      </w:r>
      <w:r w:rsidR="002760B2" w:rsidRPr="002B005F">
        <w:rPr>
          <w:rFonts w:ascii="Times New Roman" w:eastAsiaTheme="minorEastAsia" w:hAnsi="Times New Roman" w:cs="Times New Roman"/>
          <w:sz w:val="24"/>
          <w:szCs w:val="24"/>
        </w:rPr>
        <w:t xml:space="preserve"> définir le RAROC comme « un indicateur synthétique qui mesure la performance en intégrant un ajustement du risque ; c’est le ratio entre la marge nette prévisionnelle après déduction des pertes moyennes anticipées et la perte inattendue »</w:t>
      </w:r>
      <w:r w:rsidR="002760B2" w:rsidRPr="002B005F">
        <w:rPr>
          <w:rStyle w:val="Appelnotedebasdep"/>
          <w:rFonts w:ascii="Times New Roman" w:eastAsiaTheme="minorEastAsia" w:hAnsi="Times New Roman"/>
          <w:sz w:val="24"/>
          <w:szCs w:val="24"/>
        </w:rPr>
        <w:footnoteReference w:id="200"/>
      </w:r>
      <w:r w:rsidR="002760B2" w:rsidRPr="002B005F">
        <w:rPr>
          <w:rFonts w:ascii="Times New Roman" w:eastAsiaTheme="minorEastAsia" w:hAnsi="Times New Roman" w:cs="Times New Roman"/>
          <w:sz w:val="24"/>
          <w:szCs w:val="24"/>
        </w:rPr>
        <w:t>.</w:t>
      </w:r>
    </w:p>
    <w:p w14:paraId="119BDB3E" w14:textId="77777777" w:rsidR="002760B2" w:rsidRPr="002B005F" w:rsidRDefault="002760B2" w:rsidP="00FC1AE6">
      <w:pPr>
        <w:widowControl w:val="0"/>
        <w:tabs>
          <w:tab w:val="left" w:pos="0"/>
        </w:tabs>
        <w:autoSpaceDE w:val="0"/>
        <w:autoSpaceDN w:val="0"/>
        <w:adjustRightInd w:val="0"/>
        <w:spacing w:before="120" w:after="100" w:afterAutospacing="1" w:line="300" w:lineRule="auto"/>
        <w:ind w:firstLine="709"/>
        <w:rPr>
          <w:rFonts w:ascii="Times New Roman" w:eastAsiaTheme="minorEastAsia" w:hAnsi="Times New Roman" w:cs="Times New Roman"/>
          <w:sz w:val="24"/>
          <w:szCs w:val="24"/>
        </w:rPr>
      </w:pPr>
      <w:r w:rsidRPr="002B005F">
        <w:rPr>
          <w:rFonts w:ascii="Times New Roman" w:eastAsiaTheme="minorEastAsia" w:hAnsi="Times New Roman" w:cs="Times New Roman"/>
          <w:sz w:val="24"/>
          <w:szCs w:val="24"/>
        </w:rPr>
        <w:t>En d’autres termes, le RAROC est le taux de rendement des fonds propres économiques</w:t>
      </w:r>
      <w:r w:rsidR="00174DE1">
        <w:rPr>
          <w:rFonts w:ascii="Times New Roman" w:eastAsiaTheme="minorEastAsia" w:hAnsi="Times New Roman" w:cs="Times New Roman"/>
          <w:sz w:val="24"/>
          <w:szCs w:val="24"/>
        </w:rPr>
        <w:t>. C</w:t>
      </w:r>
      <w:r w:rsidRPr="002B005F">
        <w:rPr>
          <w:rFonts w:ascii="Times New Roman" w:eastAsiaTheme="minorEastAsia" w:hAnsi="Times New Roman" w:cs="Times New Roman"/>
          <w:sz w:val="24"/>
          <w:szCs w:val="24"/>
        </w:rPr>
        <w:t>’est donc le rapport entre le résultat ajusté des provisions qui correspondent aux pertes attendues et les fonds propres destinés à couvrir les pertes inattendues. Ainsi, nous pouvons présenter le RAROC sous la formule suivante :</w:t>
      </w:r>
    </w:p>
    <w:p w14:paraId="23368249" w14:textId="77777777" w:rsidR="002760B2" w:rsidRPr="002B005F" w:rsidRDefault="002760B2" w:rsidP="00E9405E">
      <w:pPr>
        <w:widowControl w:val="0"/>
        <w:tabs>
          <w:tab w:val="left" w:pos="0"/>
        </w:tabs>
        <w:autoSpaceDE w:val="0"/>
        <w:autoSpaceDN w:val="0"/>
        <w:adjustRightInd w:val="0"/>
        <w:spacing w:before="100" w:beforeAutospacing="1" w:after="100" w:afterAutospacing="1" w:line="300" w:lineRule="auto"/>
        <w:jc w:val="center"/>
        <w:rPr>
          <w:rFonts w:ascii="Times New Roman" w:eastAsiaTheme="minorEastAsia" w:hAnsi="Times New Roman" w:cs="Times New Roman"/>
          <w:b/>
          <w:bCs/>
          <w:iCs/>
          <w:sz w:val="28"/>
          <w:szCs w:val="28"/>
        </w:rPr>
      </w:pPr>
      <w:r w:rsidRPr="002B005F">
        <w:rPr>
          <w:rFonts w:ascii="Times New Roman" w:eastAsiaTheme="minorEastAsia" w:hAnsi="Times New Roman" w:cs="Times New Roman"/>
          <w:b/>
          <w:bCs/>
          <w:sz w:val="28"/>
          <w:szCs w:val="28"/>
        </w:rPr>
        <w:t xml:space="preserve">RAROC = </w:t>
      </w:r>
      <m:oMath>
        <m:f>
          <m:fPr>
            <m:ctrlPr>
              <w:rPr>
                <w:rFonts w:ascii="Cambria Math" w:eastAsiaTheme="minorEastAsia" w:hAnsi="Cambria Math" w:cs="Times New Roman"/>
                <w:b/>
                <w:bCs/>
                <w:iCs/>
                <w:sz w:val="28"/>
                <w:szCs w:val="28"/>
              </w:rPr>
            </m:ctrlPr>
          </m:fPr>
          <m:num>
            <m:r>
              <m:rPr>
                <m:sty m:val="b"/>
              </m:rPr>
              <w:rPr>
                <w:rFonts w:ascii="Cambria Math" w:eastAsiaTheme="minorEastAsia" w:hAnsi="Cambria Math" w:cs="Times New Roman"/>
                <w:sz w:val="28"/>
                <w:szCs w:val="28"/>
              </w:rPr>
              <m:t>Revenues-la perte moyenne attendue</m:t>
            </m:r>
          </m:num>
          <m:den>
            <m:r>
              <m:rPr>
                <m:sty m:val="b"/>
              </m:rPr>
              <w:rPr>
                <w:rFonts w:ascii="Cambria Math" w:eastAsiaTheme="minorEastAsia" w:hAnsi="Cambria Math" w:cs="Times New Roman"/>
                <w:sz w:val="28"/>
                <w:szCs w:val="28"/>
              </w:rPr>
              <m:t>Pertes inattendues</m:t>
            </m:r>
          </m:den>
        </m:f>
      </m:oMath>
    </w:p>
    <w:p w14:paraId="7D30FD29" w14:textId="77777777" w:rsidR="002760B2" w:rsidRPr="002B005F" w:rsidRDefault="002760B2" w:rsidP="00FC1AE6">
      <w:pPr>
        <w:widowControl w:val="0"/>
        <w:tabs>
          <w:tab w:val="left" w:pos="0"/>
        </w:tabs>
        <w:autoSpaceDE w:val="0"/>
        <w:autoSpaceDN w:val="0"/>
        <w:adjustRightInd w:val="0"/>
        <w:spacing w:before="100" w:beforeAutospacing="1"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Puisque le capital économique protège les institutions financières contre les pertes inattendues, il est important d’affecter le capital dans les différents risques encourus. L’approche RAROC détermine combien de capital économique ont besoin les différentes opérations financières et</w:t>
      </w:r>
      <w:r w:rsidR="00174DE1">
        <w:rPr>
          <w:rFonts w:ascii="Times New Roman" w:hAnsi="Times New Roman" w:cs="Times New Roman"/>
          <w:sz w:val="24"/>
          <w:szCs w:val="24"/>
        </w:rPr>
        <w:t>,</w:t>
      </w:r>
      <w:r w:rsidRPr="002B005F">
        <w:rPr>
          <w:rFonts w:ascii="Times New Roman" w:hAnsi="Times New Roman" w:cs="Times New Roman"/>
          <w:sz w:val="24"/>
          <w:szCs w:val="24"/>
        </w:rPr>
        <w:t xml:space="preserve"> précise le revenu total des fonds propres de l’institution.</w:t>
      </w:r>
    </w:p>
    <w:p w14:paraId="5B6D1B82" w14:textId="77777777" w:rsidR="002760B2" w:rsidRPr="002B005F" w:rsidRDefault="002760B2" w:rsidP="00FC1AE6">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Une fois calculé, le RAROC est comparé soit à un ratio-seuil comme le ratio de rende</w:t>
      </w:r>
      <w:r w:rsidR="004B5B94" w:rsidRPr="002B005F">
        <w:rPr>
          <w:rFonts w:ascii="Times New Roman" w:hAnsi="Times New Roman" w:cs="Times New Roman"/>
          <w:sz w:val="24"/>
          <w:szCs w:val="24"/>
        </w:rPr>
        <w:t>ment des capitaux propres (ROE)</w:t>
      </w:r>
      <w:r w:rsidRPr="002B005F">
        <w:rPr>
          <w:rFonts w:ascii="Times New Roman" w:hAnsi="Times New Roman" w:cs="Times New Roman"/>
          <w:sz w:val="24"/>
          <w:szCs w:val="24"/>
        </w:rPr>
        <w:t xml:space="preserve"> ou le coût moyen des fonds propres (WACC), soit à un niveau RAROC cible fixé préalablement par l’institution. Ensuite, cette dernière va estimer la possibilité que l’opération apporte de la valeur pour entamer sa réalisation.</w:t>
      </w:r>
    </w:p>
    <w:p w14:paraId="03C52FC2" w14:textId="77777777" w:rsidR="002760B2" w:rsidRPr="002B005F" w:rsidRDefault="002760B2" w:rsidP="00FC1AE6">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Dans </w:t>
      </w:r>
      <w:r w:rsidRPr="00CC43D0">
        <w:rPr>
          <w:rFonts w:ascii="Times New Roman" w:hAnsi="Times New Roman" w:cs="Times New Roman"/>
          <w:sz w:val="24"/>
          <w:szCs w:val="24"/>
        </w:rPr>
        <w:t>la pratique, la technique RAROC, complètement intégrée par une institution, est relativement co</w:t>
      </w:r>
      <w:r w:rsidR="005B3B7D" w:rsidRPr="00CC43D0">
        <w:rPr>
          <w:rFonts w:ascii="Times New Roman" w:hAnsi="Times New Roman" w:cs="Times New Roman"/>
          <w:sz w:val="24"/>
          <w:szCs w:val="24"/>
        </w:rPr>
        <w:t>û</w:t>
      </w:r>
      <w:r w:rsidRPr="00CC43D0">
        <w:rPr>
          <w:rFonts w:ascii="Times New Roman" w:hAnsi="Times New Roman" w:cs="Times New Roman"/>
          <w:sz w:val="24"/>
          <w:szCs w:val="24"/>
        </w:rPr>
        <w:t>teuse et lourde à mettre en œuvre et à maintenir. Elle nécessite des besoins techniques, intellectuels</w:t>
      </w:r>
      <w:r w:rsidRPr="002B005F">
        <w:rPr>
          <w:rFonts w:ascii="Times New Roman" w:hAnsi="Times New Roman" w:cs="Times New Roman"/>
          <w:sz w:val="24"/>
          <w:szCs w:val="24"/>
        </w:rPr>
        <w:t xml:space="preserve"> et humains très importants. Il est </w:t>
      </w:r>
      <w:r w:rsidR="005B3B7D" w:rsidRPr="002B005F">
        <w:rPr>
          <w:rFonts w:ascii="Times New Roman" w:hAnsi="Times New Roman" w:cs="Times New Roman"/>
          <w:sz w:val="24"/>
          <w:szCs w:val="24"/>
        </w:rPr>
        <w:t xml:space="preserve">donc </w:t>
      </w:r>
      <w:r w:rsidRPr="002B005F">
        <w:rPr>
          <w:rFonts w:ascii="Times New Roman" w:hAnsi="Times New Roman" w:cs="Times New Roman"/>
          <w:sz w:val="24"/>
          <w:szCs w:val="24"/>
        </w:rPr>
        <w:t>nécessaire</w:t>
      </w:r>
      <w:r w:rsidR="005B3B7D">
        <w:rPr>
          <w:rFonts w:ascii="Times New Roman" w:hAnsi="Times New Roman" w:cs="Times New Roman"/>
          <w:sz w:val="24"/>
          <w:szCs w:val="24"/>
        </w:rPr>
        <w:t>,</w:t>
      </w:r>
      <w:r w:rsidRPr="002B005F">
        <w:rPr>
          <w:rFonts w:ascii="Times New Roman" w:hAnsi="Times New Roman" w:cs="Times New Roman"/>
          <w:sz w:val="24"/>
          <w:szCs w:val="24"/>
        </w:rPr>
        <w:t xml:space="preserve"> avant d’adopter cet instrument de gestion de risque, de mesurer préalablement l’ampleur des coûts induits par le RAROC.</w:t>
      </w:r>
    </w:p>
    <w:p w14:paraId="3EC5DDAC" w14:textId="77777777" w:rsidR="002760B2" w:rsidRPr="002B005F" w:rsidRDefault="00D05172" w:rsidP="00B0420B">
      <w:pPr>
        <w:pStyle w:val="Titre4"/>
        <w:spacing w:before="120" w:after="120" w:line="300" w:lineRule="auto"/>
        <w:ind w:firstLine="709"/>
      </w:pPr>
      <w:bookmarkStart w:id="787" w:name="_Toc37664547"/>
      <w:bookmarkStart w:id="788" w:name="_Toc37666392"/>
      <w:bookmarkStart w:id="789" w:name="_Toc54363281"/>
      <w:bookmarkStart w:id="790" w:name="_Toc57230181"/>
      <w:bookmarkStart w:id="791" w:name="_Toc57881301"/>
      <w:bookmarkStart w:id="792" w:name="_Toc57900771"/>
      <w:bookmarkStart w:id="793" w:name="_Toc37664555"/>
      <w:bookmarkStart w:id="794" w:name="_Toc37666400"/>
      <w:bookmarkStart w:id="795" w:name="_Toc54363289"/>
      <w:bookmarkStart w:id="796" w:name="_Toc58606285"/>
      <w:bookmarkStart w:id="797" w:name="_Toc61263490"/>
      <w:bookmarkStart w:id="798" w:name="_Toc182298725"/>
      <w:bookmarkEnd w:id="787"/>
      <w:bookmarkEnd w:id="788"/>
      <w:bookmarkEnd w:id="789"/>
      <w:bookmarkEnd w:id="790"/>
      <w:bookmarkEnd w:id="791"/>
      <w:bookmarkEnd w:id="792"/>
      <w:r>
        <w:lastRenderedPageBreak/>
        <w:t xml:space="preserve">2.2.5- </w:t>
      </w:r>
      <w:r w:rsidR="000552FF">
        <w:t>R</w:t>
      </w:r>
      <w:r w:rsidR="002760B2" w:rsidRPr="002B005F">
        <w:t>ating interne</w:t>
      </w:r>
      <w:bookmarkEnd w:id="793"/>
      <w:bookmarkEnd w:id="794"/>
      <w:bookmarkEnd w:id="795"/>
      <w:bookmarkEnd w:id="796"/>
      <w:bookmarkEnd w:id="797"/>
      <w:bookmarkEnd w:id="798"/>
    </w:p>
    <w:p w14:paraId="47D5F22A" w14:textId="77777777" w:rsidR="002760B2" w:rsidRPr="002B005F" w:rsidRDefault="002760B2" w:rsidP="005B3B7D">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Le rating permet de déterminer les provisions pour pertes sur les prêts accordés. Ce système permet d’identifier les risques de crédit encourus par la banque pour chaque poste d’actif d’une manière systématique au lieu de calculer le risque global lié à l’ensemble du portefeuille bancaire.</w:t>
      </w:r>
    </w:p>
    <w:p w14:paraId="75B81790" w14:textId="77777777" w:rsidR="002760B2" w:rsidRPr="002B005F" w:rsidRDefault="002760B2" w:rsidP="005B3B7D">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Pour établir un système de rating interne dans une banque, il faut s’intéresser à deux informations : la solvabilité du client et l’échéance des crédits consentis. La crédibilité des créanciers peut être appréciée de plusieurs manières. L’échéance est généralement connue pour chaque contrat financier. La banque pourrait avoir une expérience avec son client qui pourrait faire l’objet de rating par des agences spécialisées. Aussi, la réputation et les garanties introduites par le client peuvent aider. Après la collecte de ces informations, chaque client bancaire sera assigné d’une probabilité de défaut de paiement anticipé.</w:t>
      </w:r>
    </w:p>
    <w:p w14:paraId="326CD524" w14:textId="77777777" w:rsidR="002760B2" w:rsidRPr="002B005F" w:rsidRDefault="002760B2" w:rsidP="005B3B7D">
      <w:pPr>
        <w:pStyle w:val="Paragraphedeliste"/>
        <w:tabs>
          <w:tab w:val="left" w:pos="0"/>
        </w:tabs>
        <w:spacing w:before="120" w:line="300" w:lineRule="auto"/>
        <w:ind w:left="0" w:firstLine="709"/>
        <w:contextualSpacing w:val="0"/>
        <w:rPr>
          <w:rFonts w:ascii="Times New Roman" w:hAnsi="Times New Roman" w:cs="Times New Roman"/>
          <w:b/>
          <w:bCs/>
          <w:sz w:val="24"/>
          <w:szCs w:val="24"/>
        </w:rPr>
      </w:pPr>
      <w:r w:rsidRPr="002B005F">
        <w:rPr>
          <w:rFonts w:ascii="Times New Roman" w:hAnsi="Times New Roman" w:cs="Times New Roman"/>
          <w:sz w:val="24"/>
          <w:szCs w:val="24"/>
        </w:rPr>
        <w:t>Après</w:t>
      </w:r>
      <w:r w:rsidR="00E91839">
        <w:rPr>
          <w:rFonts w:ascii="Times New Roman" w:hAnsi="Times New Roman" w:cs="Times New Roman"/>
          <w:sz w:val="24"/>
          <w:szCs w:val="24"/>
        </w:rPr>
        <w:t>,</w:t>
      </w:r>
      <w:r w:rsidRPr="002B005F">
        <w:rPr>
          <w:rFonts w:ascii="Times New Roman" w:hAnsi="Times New Roman" w:cs="Times New Roman"/>
          <w:sz w:val="24"/>
          <w:szCs w:val="24"/>
        </w:rPr>
        <w:t xml:space="preserve"> toutes les informations obtenues seront traitées. </w:t>
      </w:r>
      <w:r w:rsidR="00E91839" w:rsidRPr="002B005F">
        <w:rPr>
          <w:rFonts w:ascii="Times New Roman" w:hAnsi="Times New Roman" w:cs="Times New Roman"/>
          <w:sz w:val="24"/>
          <w:szCs w:val="24"/>
        </w:rPr>
        <w:t>Ensuite</w:t>
      </w:r>
      <w:r w:rsidR="00E91839">
        <w:rPr>
          <w:rFonts w:ascii="Times New Roman" w:hAnsi="Times New Roman" w:cs="Times New Roman"/>
          <w:sz w:val="24"/>
          <w:szCs w:val="24"/>
        </w:rPr>
        <w:t xml:space="preserve"> o</w:t>
      </w:r>
      <w:r w:rsidRPr="002B005F">
        <w:rPr>
          <w:rFonts w:ascii="Times New Roman" w:hAnsi="Times New Roman" w:cs="Times New Roman"/>
          <w:sz w:val="24"/>
          <w:szCs w:val="24"/>
        </w:rPr>
        <w:t>n définit un niveau moyen de risque de c</w:t>
      </w:r>
      <w:r w:rsidR="00CD703D">
        <w:rPr>
          <w:rFonts w:ascii="Times New Roman" w:hAnsi="Times New Roman" w:cs="Times New Roman"/>
          <w:sz w:val="24"/>
          <w:szCs w:val="24"/>
        </w:rPr>
        <w:t>rédit qui sert de référence. La BI est</w:t>
      </w:r>
      <w:r w:rsidRPr="002B005F">
        <w:rPr>
          <w:rFonts w:ascii="Times New Roman" w:hAnsi="Times New Roman" w:cs="Times New Roman"/>
          <w:sz w:val="24"/>
          <w:szCs w:val="24"/>
        </w:rPr>
        <w:t xml:space="preserve"> techniquement pr</w:t>
      </w:r>
      <w:r w:rsidR="00CD703D">
        <w:rPr>
          <w:rFonts w:ascii="Times New Roman" w:hAnsi="Times New Roman" w:cs="Times New Roman"/>
          <w:sz w:val="24"/>
          <w:szCs w:val="24"/>
        </w:rPr>
        <w:t>ête</w:t>
      </w:r>
      <w:r w:rsidRPr="002B005F">
        <w:rPr>
          <w:rFonts w:ascii="Times New Roman" w:hAnsi="Times New Roman" w:cs="Times New Roman"/>
          <w:sz w:val="24"/>
          <w:szCs w:val="24"/>
        </w:rPr>
        <w:t xml:space="preserve"> pour procéder à cette forme de mesure interne du risque de crédit pour chaque emploi séparément. Le recours à ce système peut remplir le déficit en matière de gestion des risques de contrepartie.</w:t>
      </w:r>
    </w:p>
    <w:p w14:paraId="14399A3A" w14:textId="77777777" w:rsidR="002760B2" w:rsidRPr="002B005F" w:rsidRDefault="000552FF" w:rsidP="007B64B9">
      <w:pPr>
        <w:pStyle w:val="Titre4"/>
        <w:keepNext w:val="0"/>
        <w:spacing w:before="100" w:beforeAutospacing="1" w:after="120" w:line="300" w:lineRule="auto"/>
        <w:ind w:firstLine="709"/>
        <w:rPr>
          <w:rFonts w:eastAsiaTheme="minorEastAsia"/>
        </w:rPr>
      </w:pPr>
      <w:bookmarkStart w:id="799" w:name="_Toc37664556"/>
      <w:bookmarkStart w:id="800" w:name="_Toc37666401"/>
      <w:bookmarkStart w:id="801" w:name="_Toc54363290"/>
      <w:bookmarkStart w:id="802" w:name="_Toc58606286"/>
      <w:bookmarkStart w:id="803" w:name="_Toc61263491"/>
      <w:bookmarkStart w:id="804" w:name="_Toc182298726"/>
      <w:r>
        <w:t>2.2.6- S</w:t>
      </w:r>
      <w:r w:rsidR="002760B2" w:rsidRPr="002B005F">
        <w:t>coring de crédit</w:t>
      </w:r>
      <w:bookmarkEnd w:id="799"/>
      <w:bookmarkEnd w:id="800"/>
      <w:bookmarkEnd w:id="801"/>
      <w:bookmarkEnd w:id="802"/>
      <w:bookmarkEnd w:id="803"/>
      <w:bookmarkEnd w:id="804"/>
    </w:p>
    <w:p w14:paraId="00DE55E0" w14:textId="77777777" w:rsidR="004B5B94" w:rsidRPr="002B005F" w:rsidRDefault="002760B2" w:rsidP="00E91839">
      <w:pPr>
        <w:tabs>
          <w:tab w:val="left" w:pos="0"/>
        </w:tabs>
        <w:spacing w:line="300" w:lineRule="auto"/>
        <w:ind w:firstLine="709"/>
        <w:rPr>
          <w:rFonts w:ascii="Times New Roman" w:hAnsi="Times New Roman" w:cs="Times New Roman"/>
          <w:color w:val="000000"/>
          <w:sz w:val="24"/>
          <w:szCs w:val="24"/>
          <w:shd w:val="clear" w:color="auto" w:fill="FFFFFF"/>
        </w:rPr>
      </w:pPr>
      <w:r w:rsidRPr="002B005F">
        <w:rPr>
          <w:rFonts w:ascii="Times New Roman" w:hAnsi="Times New Roman" w:cs="Times New Roman"/>
          <w:color w:val="000000"/>
          <w:sz w:val="24"/>
          <w:szCs w:val="24"/>
          <w:shd w:val="clear" w:color="auto" w:fill="FFFFFF"/>
        </w:rPr>
        <w:t xml:space="preserve">Le scoring </w:t>
      </w:r>
      <w:r w:rsidRPr="002B005F">
        <w:rPr>
          <w:rStyle w:val="ff7"/>
          <w:rFonts w:ascii="Times New Roman" w:hAnsi="Times New Roman" w:cs="Times New Roman"/>
          <w:color w:val="000000"/>
          <w:sz w:val="24"/>
          <w:szCs w:val="24"/>
          <w:shd w:val="clear" w:color="auto" w:fill="FFFFFF"/>
        </w:rPr>
        <w:t>correspond à une méthode d’analyse financière qui tent</w:t>
      </w:r>
      <w:r w:rsidR="00B13548" w:rsidRPr="002B005F">
        <w:rPr>
          <w:rFonts w:ascii="Times New Roman" w:hAnsi="Times New Roman" w:cs="Times New Roman"/>
          <w:color w:val="000000"/>
          <w:sz w:val="24"/>
          <w:szCs w:val="24"/>
          <w:shd w:val="clear" w:color="auto" w:fill="FFFFFF"/>
        </w:rPr>
        <w:t xml:space="preserve">e à synthétiser un certain </w:t>
      </w:r>
      <w:r w:rsidRPr="002B005F">
        <w:rPr>
          <w:rFonts w:ascii="Times New Roman" w:hAnsi="Times New Roman" w:cs="Times New Roman"/>
          <w:color w:val="000000"/>
          <w:sz w:val="24"/>
          <w:szCs w:val="24"/>
          <w:shd w:val="clear" w:color="auto" w:fill="FFFFFF"/>
        </w:rPr>
        <w:t>nombre</w:t>
      </w:r>
      <w:r w:rsidRPr="002B005F">
        <w:rPr>
          <w:rStyle w:val="a"/>
          <w:rFonts w:ascii="Times New Roman" w:hAnsi="Times New Roman" w:cs="Times New Roman"/>
          <w:sz w:val="24"/>
          <w:szCs w:val="24"/>
          <w:shd w:val="clear" w:color="auto" w:fill="FFFFFF"/>
        </w:rPr>
        <w:t xml:space="preserve"> </w:t>
      </w:r>
      <w:r w:rsidR="00B13548" w:rsidRPr="002B005F">
        <w:rPr>
          <w:rFonts w:ascii="Times New Roman" w:hAnsi="Times New Roman" w:cs="Times New Roman"/>
          <w:color w:val="000000"/>
          <w:sz w:val="24"/>
          <w:szCs w:val="24"/>
          <w:shd w:val="clear" w:color="auto" w:fill="FFFFFF"/>
        </w:rPr>
        <w:t xml:space="preserve">de </w:t>
      </w:r>
      <w:r w:rsidRPr="002B005F">
        <w:rPr>
          <w:rFonts w:ascii="Times New Roman" w:hAnsi="Times New Roman" w:cs="Times New Roman"/>
          <w:color w:val="000000"/>
          <w:sz w:val="24"/>
          <w:szCs w:val="24"/>
          <w:shd w:val="clear" w:color="auto" w:fill="FFFFFF"/>
        </w:rPr>
        <w:t xml:space="preserve">ratios sous </w:t>
      </w:r>
      <w:r w:rsidR="00B13548" w:rsidRPr="002B005F">
        <w:rPr>
          <w:rFonts w:ascii="Times New Roman" w:hAnsi="Times New Roman" w:cs="Times New Roman"/>
          <w:color w:val="000000"/>
          <w:sz w:val="24"/>
          <w:szCs w:val="24"/>
          <w:shd w:val="clear" w:color="auto" w:fill="FFFFFF"/>
        </w:rPr>
        <w:t xml:space="preserve">forme </w:t>
      </w:r>
      <w:r w:rsidRPr="002B005F">
        <w:rPr>
          <w:rFonts w:ascii="Times New Roman" w:hAnsi="Times New Roman" w:cs="Times New Roman"/>
          <w:color w:val="000000"/>
          <w:sz w:val="24"/>
          <w:szCs w:val="24"/>
          <w:shd w:val="clear" w:color="auto" w:fill="FFFFFF"/>
        </w:rPr>
        <w:t xml:space="preserve">d’un </w:t>
      </w:r>
      <w:r w:rsidR="00B13548" w:rsidRPr="002B005F">
        <w:rPr>
          <w:rFonts w:ascii="Times New Roman" w:hAnsi="Times New Roman" w:cs="Times New Roman"/>
          <w:color w:val="000000"/>
          <w:sz w:val="24"/>
          <w:szCs w:val="24"/>
          <w:shd w:val="clear" w:color="auto" w:fill="FFFFFF"/>
        </w:rPr>
        <w:t>seul</w:t>
      </w:r>
      <w:r w:rsidRPr="002B005F">
        <w:rPr>
          <w:rFonts w:ascii="Times New Roman" w:hAnsi="Times New Roman" w:cs="Times New Roman"/>
          <w:color w:val="000000"/>
          <w:sz w:val="24"/>
          <w:szCs w:val="24"/>
          <w:shd w:val="clear" w:color="auto" w:fill="FFFFFF"/>
        </w:rPr>
        <w:t xml:space="preserve"> indicateur</w:t>
      </w:r>
      <w:r w:rsidRPr="002B005F">
        <w:rPr>
          <w:rStyle w:val="a"/>
          <w:rFonts w:ascii="Times New Roman" w:hAnsi="Times New Roman" w:cs="Times New Roman"/>
          <w:sz w:val="24"/>
          <w:szCs w:val="24"/>
          <w:shd w:val="clear" w:color="auto" w:fill="FFFFFF"/>
        </w:rPr>
        <w:t xml:space="preserve"> </w:t>
      </w:r>
      <w:r w:rsidR="00B13548" w:rsidRPr="002B005F">
        <w:rPr>
          <w:rFonts w:ascii="Times New Roman" w:hAnsi="Times New Roman" w:cs="Times New Roman"/>
          <w:color w:val="000000"/>
          <w:sz w:val="24"/>
          <w:szCs w:val="24"/>
          <w:shd w:val="clear" w:color="auto" w:fill="FFFFFF"/>
        </w:rPr>
        <w:t xml:space="preserve">susceptible </w:t>
      </w:r>
      <w:r w:rsidRPr="002B005F">
        <w:rPr>
          <w:rFonts w:ascii="Times New Roman" w:hAnsi="Times New Roman" w:cs="Times New Roman"/>
          <w:color w:val="000000"/>
          <w:sz w:val="24"/>
          <w:szCs w:val="24"/>
          <w:shd w:val="clear" w:color="auto" w:fill="FFFFFF"/>
        </w:rPr>
        <w:t>de</w:t>
      </w:r>
      <w:r w:rsidRPr="002B005F">
        <w:rPr>
          <w:rStyle w:val="a"/>
          <w:rFonts w:ascii="Times New Roman" w:hAnsi="Times New Roman" w:cs="Times New Roman"/>
          <w:sz w:val="24"/>
          <w:szCs w:val="24"/>
          <w:shd w:val="clear" w:color="auto" w:fill="FFFFFF"/>
        </w:rPr>
        <w:t xml:space="preserve"> </w:t>
      </w:r>
      <w:r w:rsidRPr="002B005F">
        <w:rPr>
          <w:rFonts w:ascii="Times New Roman" w:hAnsi="Times New Roman" w:cs="Times New Roman"/>
          <w:color w:val="000000"/>
          <w:sz w:val="24"/>
          <w:szCs w:val="24"/>
          <w:shd w:val="clear" w:color="auto" w:fill="FFFFFF"/>
        </w:rPr>
        <w:t>distinguer</w:t>
      </w:r>
      <w:r w:rsidRPr="002B005F">
        <w:rPr>
          <w:rStyle w:val="a"/>
          <w:rFonts w:ascii="Times New Roman" w:hAnsi="Times New Roman" w:cs="Times New Roman"/>
          <w:sz w:val="24"/>
          <w:szCs w:val="24"/>
          <w:shd w:val="clear" w:color="auto" w:fill="FFFFFF"/>
        </w:rPr>
        <w:t xml:space="preserve"> </w:t>
      </w:r>
      <w:r w:rsidRPr="002B005F">
        <w:rPr>
          <w:rFonts w:ascii="Times New Roman" w:hAnsi="Times New Roman" w:cs="Times New Roman"/>
          <w:color w:val="000000"/>
          <w:sz w:val="24"/>
          <w:szCs w:val="24"/>
          <w:shd w:val="clear" w:color="auto" w:fill="FFFFFF"/>
        </w:rPr>
        <w:t>les entreprises saines des entreprises défaillantes</w:t>
      </w:r>
      <w:r w:rsidRPr="002B005F">
        <w:rPr>
          <w:rStyle w:val="Appelnotedebasdep"/>
          <w:rFonts w:ascii="Times New Roman" w:hAnsi="Times New Roman"/>
          <w:color w:val="000000"/>
          <w:sz w:val="24"/>
          <w:szCs w:val="24"/>
          <w:shd w:val="clear" w:color="auto" w:fill="FFFFFF"/>
        </w:rPr>
        <w:footnoteReference w:id="201"/>
      </w:r>
      <w:r w:rsidRPr="002B005F">
        <w:rPr>
          <w:rFonts w:ascii="Times New Roman" w:hAnsi="Times New Roman" w:cs="Times New Roman"/>
          <w:color w:val="000000"/>
          <w:sz w:val="24"/>
          <w:szCs w:val="24"/>
          <w:shd w:val="clear" w:color="auto" w:fill="FFFFFF"/>
        </w:rPr>
        <w:t>.</w:t>
      </w:r>
      <w:r w:rsidR="00E91839">
        <w:rPr>
          <w:rFonts w:ascii="Times New Roman" w:hAnsi="Times New Roman" w:cs="Times New Roman"/>
          <w:color w:val="000000"/>
          <w:sz w:val="24"/>
          <w:szCs w:val="24"/>
          <w:shd w:val="clear" w:color="auto" w:fill="FFFFFF"/>
        </w:rPr>
        <w:t xml:space="preserve"> </w:t>
      </w:r>
      <w:r w:rsidR="00B13548" w:rsidRPr="002B005F">
        <w:rPr>
          <w:rFonts w:ascii="Times New Roman" w:eastAsia="Times New Roman" w:hAnsi="Times New Roman" w:cs="Times New Roman"/>
          <w:color w:val="000000"/>
          <w:sz w:val="24"/>
          <w:szCs w:val="24"/>
          <w:lang w:eastAsia="fr-FR"/>
        </w:rPr>
        <w:t xml:space="preserve">La méthode du scoring présente plusieurs atouts pour le secteur bancaire. Ces </w:t>
      </w:r>
      <w:r w:rsidRPr="002B005F">
        <w:rPr>
          <w:rFonts w:ascii="Times New Roman" w:eastAsia="Times New Roman" w:hAnsi="Times New Roman" w:cs="Times New Roman"/>
          <w:color w:val="000000"/>
          <w:sz w:val="24"/>
          <w:szCs w:val="24"/>
          <w:lang w:eastAsia="fr-FR"/>
        </w:rPr>
        <w:t xml:space="preserve">avantages </w:t>
      </w:r>
      <w:r w:rsidRPr="002B005F">
        <w:rPr>
          <w:rFonts w:ascii="Times New Roman" w:hAnsi="Times New Roman" w:cs="Times New Roman"/>
          <w:color w:val="000000"/>
          <w:sz w:val="24"/>
          <w:szCs w:val="24"/>
          <w:shd w:val="clear" w:color="auto" w:fill="FFFFFF"/>
        </w:rPr>
        <w:t>concernent</w:t>
      </w:r>
      <w:r w:rsidRPr="002B005F">
        <w:rPr>
          <w:rStyle w:val="a"/>
          <w:rFonts w:ascii="Times New Roman" w:hAnsi="Times New Roman" w:cs="Times New Roman"/>
          <w:sz w:val="24"/>
          <w:szCs w:val="24"/>
          <w:shd w:val="clear" w:color="auto" w:fill="FFFFFF"/>
        </w:rPr>
        <w:t xml:space="preserve"> </w:t>
      </w:r>
      <w:r w:rsidRPr="002B005F">
        <w:rPr>
          <w:rFonts w:ascii="Times New Roman" w:hAnsi="Times New Roman" w:cs="Times New Roman"/>
          <w:color w:val="000000"/>
          <w:sz w:val="24"/>
          <w:szCs w:val="24"/>
          <w:shd w:val="clear" w:color="auto" w:fill="FFFFFF"/>
        </w:rPr>
        <w:t>l’outil lui</w:t>
      </w:r>
      <w:r w:rsidRPr="002B005F">
        <w:rPr>
          <w:rStyle w:val="ff5"/>
          <w:rFonts w:ascii="Times New Roman" w:hAnsi="Times New Roman" w:cs="Times New Roman"/>
          <w:color w:val="000000"/>
          <w:sz w:val="24"/>
          <w:szCs w:val="24"/>
          <w:shd w:val="clear" w:color="auto" w:fill="FFFFFF"/>
        </w:rPr>
        <w:t>-</w:t>
      </w:r>
      <w:r w:rsidRPr="002B005F">
        <w:rPr>
          <w:rFonts w:ascii="Times New Roman" w:hAnsi="Times New Roman" w:cs="Times New Roman"/>
          <w:color w:val="000000"/>
          <w:sz w:val="24"/>
          <w:szCs w:val="24"/>
          <w:shd w:val="clear" w:color="auto" w:fill="FFFFFF"/>
        </w:rPr>
        <w:t>même</w:t>
      </w:r>
      <w:r w:rsidRPr="002B005F">
        <w:rPr>
          <w:rStyle w:val="a"/>
          <w:rFonts w:ascii="Times New Roman" w:hAnsi="Times New Roman" w:cs="Times New Roman"/>
          <w:sz w:val="24"/>
          <w:szCs w:val="24"/>
          <w:shd w:val="clear" w:color="auto" w:fill="FFFFFF"/>
        </w:rPr>
        <w:t xml:space="preserve"> </w:t>
      </w:r>
      <w:r w:rsidRPr="002B005F">
        <w:rPr>
          <w:rFonts w:ascii="Times New Roman" w:hAnsi="Times New Roman" w:cs="Times New Roman"/>
          <w:color w:val="000000"/>
          <w:sz w:val="24"/>
          <w:szCs w:val="24"/>
          <w:shd w:val="clear" w:color="auto" w:fill="FFFFFF"/>
        </w:rPr>
        <w:t>et</w:t>
      </w:r>
      <w:r w:rsidRPr="002B005F">
        <w:rPr>
          <w:rStyle w:val="a"/>
          <w:rFonts w:ascii="Times New Roman" w:hAnsi="Times New Roman" w:cs="Times New Roman"/>
          <w:sz w:val="24"/>
          <w:szCs w:val="24"/>
          <w:shd w:val="clear" w:color="auto" w:fill="FFFFFF"/>
        </w:rPr>
        <w:t xml:space="preserve"> </w:t>
      </w:r>
      <w:r w:rsidRPr="002B005F">
        <w:rPr>
          <w:rFonts w:ascii="Times New Roman" w:hAnsi="Times New Roman" w:cs="Times New Roman"/>
          <w:color w:val="000000"/>
          <w:sz w:val="24"/>
          <w:szCs w:val="24"/>
          <w:shd w:val="clear" w:color="auto" w:fill="FFFFFF"/>
        </w:rPr>
        <w:t>l’établissement qui l’utilise.</w:t>
      </w:r>
      <w:r w:rsidRPr="002B005F">
        <w:rPr>
          <w:rFonts w:ascii="Times New Roman" w:eastAsia="Times New Roman" w:hAnsi="Times New Roman" w:cs="Times New Roman"/>
          <w:color w:val="000000"/>
          <w:sz w:val="24"/>
          <w:szCs w:val="24"/>
          <w:lang w:eastAsia="fr-FR"/>
        </w:rPr>
        <w:t xml:space="preserve"> </w:t>
      </w:r>
      <w:r w:rsidRPr="002B005F">
        <w:rPr>
          <w:rFonts w:ascii="Times New Roman" w:hAnsi="Times New Roman" w:cs="Times New Roman"/>
          <w:color w:val="000000"/>
          <w:sz w:val="24"/>
          <w:szCs w:val="24"/>
          <w:shd w:val="clear" w:color="auto" w:fill="FFFFFF"/>
        </w:rPr>
        <w:t>Les atouts spécifiques pour l’établissement qui l’utilise sont</w:t>
      </w:r>
      <w:r w:rsidR="004B5B94" w:rsidRPr="002B005F">
        <w:rPr>
          <w:rFonts w:ascii="Times New Roman" w:hAnsi="Times New Roman" w:cs="Times New Roman"/>
          <w:color w:val="000000"/>
          <w:sz w:val="24"/>
          <w:szCs w:val="24"/>
          <w:shd w:val="clear" w:color="auto" w:fill="FFFFFF"/>
        </w:rPr>
        <w:t> :</w:t>
      </w:r>
    </w:p>
    <w:p w14:paraId="6C912BB1" w14:textId="77777777" w:rsidR="004B5B94" w:rsidRPr="002B005F" w:rsidRDefault="004B5B94" w:rsidP="00CB0FF1">
      <w:pPr>
        <w:pStyle w:val="Paragraphedeliste"/>
        <w:numPr>
          <w:ilvl w:val="0"/>
          <w:numId w:val="55"/>
        </w:numPr>
        <w:shd w:val="clear" w:color="auto" w:fill="FFFFFF"/>
        <w:tabs>
          <w:tab w:val="left" w:pos="0"/>
        </w:tabs>
        <w:spacing w:before="60" w:line="300" w:lineRule="auto"/>
        <w:ind w:left="1208" w:hanging="357"/>
        <w:contextualSpacing w:val="0"/>
        <w:rPr>
          <w:rFonts w:ascii="Times New Roman" w:eastAsia="Times New Roman" w:hAnsi="Times New Roman" w:cs="Times New Roman"/>
          <w:color w:val="000000"/>
          <w:sz w:val="24"/>
          <w:szCs w:val="24"/>
          <w:lang w:eastAsia="fr-FR"/>
        </w:rPr>
      </w:pPr>
      <w:r w:rsidRPr="002B005F">
        <w:rPr>
          <w:rFonts w:ascii="Times New Roman" w:hAnsi="Times New Roman" w:cs="Times New Roman"/>
          <w:color w:val="000000"/>
          <w:sz w:val="24"/>
          <w:szCs w:val="24"/>
          <w:shd w:val="clear" w:color="auto" w:fill="FFFFFF"/>
        </w:rPr>
        <w:t>P</w:t>
      </w:r>
      <w:r w:rsidR="002760B2" w:rsidRPr="002B005F">
        <w:rPr>
          <w:rFonts w:ascii="Times New Roman" w:hAnsi="Times New Roman" w:cs="Times New Roman"/>
          <w:color w:val="000000"/>
          <w:sz w:val="24"/>
          <w:szCs w:val="24"/>
          <w:shd w:val="clear" w:color="auto" w:fill="FFFFFF"/>
        </w:rPr>
        <w:t>remièrement, la diminution des impayés</w:t>
      </w:r>
      <w:r w:rsidR="00E91839">
        <w:rPr>
          <w:rFonts w:ascii="Times New Roman" w:hAnsi="Times New Roman" w:cs="Times New Roman"/>
          <w:color w:val="000000"/>
          <w:sz w:val="24"/>
          <w:szCs w:val="24"/>
          <w:shd w:val="clear" w:color="auto" w:fill="FFFFFF"/>
        </w:rPr>
        <w:t> :</w:t>
      </w:r>
      <w:r w:rsidR="002760B2" w:rsidRPr="002B005F">
        <w:rPr>
          <w:rFonts w:ascii="Times New Roman" w:hAnsi="Times New Roman" w:cs="Times New Roman"/>
          <w:color w:val="000000"/>
          <w:sz w:val="24"/>
          <w:szCs w:val="24"/>
          <w:shd w:val="clear" w:color="auto" w:fill="FFFFFF"/>
        </w:rPr>
        <w:t xml:space="preserve"> la méthode du scoring est fondée sur une analyse statistique et objective des critères </w:t>
      </w:r>
      <w:r w:rsidR="002760B2" w:rsidRPr="002B005F">
        <w:rPr>
          <w:rFonts w:ascii="Times New Roman" w:eastAsia="Times New Roman" w:hAnsi="Times New Roman" w:cs="Times New Roman"/>
          <w:color w:val="000000"/>
          <w:sz w:val="24"/>
          <w:szCs w:val="24"/>
          <w:lang w:eastAsia="fr-FR"/>
        </w:rPr>
        <w:t>de risque</w:t>
      </w:r>
      <w:r w:rsidR="00E91839">
        <w:rPr>
          <w:rFonts w:ascii="Times New Roman" w:eastAsia="Times New Roman" w:hAnsi="Times New Roman" w:cs="Times New Roman"/>
          <w:color w:val="000000"/>
          <w:sz w:val="24"/>
          <w:szCs w:val="24"/>
          <w:lang w:eastAsia="fr-FR"/>
        </w:rPr>
        <w:t> ;</w:t>
      </w:r>
      <w:r w:rsidR="002760B2" w:rsidRPr="002B005F">
        <w:rPr>
          <w:rFonts w:ascii="Times New Roman" w:eastAsia="Times New Roman" w:hAnsi="Times New Roman" w:cs="Times New Roman"/>
          <w:color w:val="000000"/>
          <w:sz w:val="24"/>
          <w:szCs w:val="24"/>
          <w:lang w:eastAsia="fr-FR"/>
        </w:rPr>
        <w:t xml:space="preserve"> elle se révèle d’une efficacité supérieure aux méth</w:t>
      </w:r>
      <w:r w:rsidR="00B13548" w:rsidRPr="002B005F">
        <w:rPr>
          <w:rFonts w:ascii="Times New Roman" w:eastAsia="Times New Roman" w:hAnsi="Times New Roman" w:cs="Times New Roman"/>
          <w:color w:val="000000"/>
          <w:sz w:val="24"/>
          <w:szCs w:val="24"/>
          <w:lang w:eastAsia="fr-FR"/>
        </w:rPr>
        <w:t>o</w:t>
      </w:r>
      <w:r w:rsidRPr="002B005F">
        <w:rPr>
          <w:rFonts w:ascii="Times New Roman" w:eastAsia="Times New Roman" w:hAnsi="Times New Roman" w:cs="Times New Roman"/>
          <w:color w:val="000000"/>
          <w:sz w:val="24"/>
          <w:szCs w:val="24"/>
          <w:lang w:eastAsia="fr-FR"/>
        </w:rPr>
        <w:t>des classiques.</w:t>
      </w:r>
    </w:p>
    <w:p w14:paraId="184623C9" w14:textId="77777777" w:rsidR="004B5B94" w:rsidRPr="00CD703D" w:rsidRDefault="00B13548" w:rsidP="00CB0FF1">
      <w:pPr>
        <w:pStyle w:val="Paragraphedeliste"/>
        <w:numPr>
          <w:ilvl w:val="0"/>
          <w:numId w:val="55"/>
        </w:numPr>
        <w:shd w:val="clear" w:color="auto" w:fill="FFFFFF"/>
        <w:tabs>
          <w:tab w:val="left" w:pos="0"/>
        </w:tabs>
        <w:spacing w:before="60" w:line="300" w:lineRule="auto"/>
        <w:ind w:left="1208" w:hanging="357"/>
        <w:contextualSpacing w:val="0"/>
        <w:rPr>
          <w:rFonts w:ascii="Times New Roman" w:hAnsi="Times New Roman" w:cs="Times New Roman"/>
          <w:color w:val="000000"/>
          <w:spacing w:val="-6"/>
          <w:sz w:val="24"/>
          <w:szCs w:val="24"/>
          <w:shd w:val="clear" w:color="auto" w:fill="FFFFFF"/>
        </w:rPr>
      </w:pPr>
      <w:r w:rsidRPr="00CD703D">
        <w:rPr>
          <w:rFonts w:ascii="Times New Roman" w:eastAsia="Times New Roman" w:hAnsi="Times New Roman" w:cs="Times New Roman"/>
          <w:color w:val="000000"/>
          <w:spacing w:val="-6"/>
          <w:sz w:val="24"/>
          <w:szCs w:val="24"/>
          <w:lang w:eastAsia="fr-FR"/>
        </w:rPr>
        <w:t xml:space="preserve">Deuxièmement, </w:t>
      </w:r>
      <w:r w:rsidR="002760B2" w:rsidRPr="00CD703D">
        <w:rPr>
          <w:rFonts w:ascii="Times New Roman" w:eastAsia="Times New Roman" w:hAnsi="Times New Roman" w:cs="Times New Roman"/>
          <w:color w:val="000000"/>
          <w:spacing w:val="-6"/>
          <w:sz w:val="24"/>
          <w:szCs w:val="24"/>
          <w:lang w:eastAsia="fr-FR"/>
        </w:rPr>
        <w:t>la politique de cautionnement</w:t>
      </w:r>
      <w:r w:rsidR="00E91839" w:rsidRPr="00CD703D">
        <w:rPr>
          <w:rFonts w:ascii="Times New Roman" w:eastAsia="Times New Roman" w:hAnsi="Times New Roman" w:cs="Times New Roman"/>
          <w:color w:val="000000"/>
          <w:spacing w:val="-6"/>
          <w:sz w:val="24"/>
          <w:szCs w:val="24"/>
          <w:lang w:eastAsia="fr-FR"/>
        </w:rPr>
        <w:t> :</w:t>
      </w:r>
      <w:r w:rsidR="002760B2" w:rsidRPr="00CD703D">
        <w:rPr>
          <w:rFonts w:ascii="Times New Roman" w:eastAsia="Times New Roman" w:hAnsi="Times New Roman" w:cs="Times New Roman"/>
          <w:color w:val="000000"/>
          <w:spacing w:val="-6"/>
          <w:sz w:val="24"/>
          <w:szCs w:val="24"/>
          <w:lang w:eastAsia="fr-FR"/>
        </w:rPr>
        <w:t xml:space="preserve"> </w:t>
      </w:r>
      <w:r w:rsidR="00E91839" w:rsidRPr="00CD703D">
        <w:rPr>
          <w:rFonts w:ascii="Times New Roman" w:eastAsia="Times New Roman" w:hAnsi="Times New Roman" w:cs="Times New Roman"/>
          <w:color w:val="000000"/>
          <w:spacing w:val="-6"/>
          <w:sz w:val="24"/>
          <w:szCs w:val="24"/>
          <w:lang w:eastAsia="fr-FR"/>
        </w:rPr>
        <w:t xml:space="preserve">pour se couvrir contre un risque de crédit </w:t>
      </w:r>
      <w:r w:rsidR="002760B2" w:rsidRPr="00CD703D">
        <w:rPr>
          <w:rFonts w:ascii="Times New Roman" w:eastAsia="Times New Roman" w:hAnsi="Times New Roman" w:cs="Times New Roman"/>
          <w:color w:val="000000"/>
          <w:spacing w:val="-6"/>
          <w:sz w:val="24"/>
          <w:szCs w:val="24"/>
          <w:lang w:eastAsia="fr-FR"/>
        </w:rPr>
        <w:t>les établissements de crédits recou</w:t>
      </w:r>
      <w:r w:rsidRPr="00CD703D">
        <w:rPr>
          <w:rFonts w:ascii="Times New Roman" w:eastAsia="Times New Roman" w:hAnsi="Times New Roman" w:cs="Times New Roman"/>
          <w:color w:val="000000"/>
          <w:spacing w:val="-6"/>
          <w:sz w:val="24"/>
          <w:szCs w:val="24"/>
          <w:lang w:eastAsia="fr-FR"/>
        </w:rPr>
        <w:t>rent</w:t>
      </w:r>
      <w:r w:rsidR="002760B2" w:rsidRPr="00CD703D">
        <w:rPr>
          <w:rFonts w:ascii="Times New Roman" w:eastAsia="Times New Roman" w:hAnsi="Times New Roman" w:cs="Times New Roman"/>
          <w:color w:val="000000"/>
          <w:spacing w:val="-6"/>
          <w:sz w:val="24"/>
          <w:szCs w:val="24"/>
          <w:lang w:eastAsia="fr-FR"/>
        </w:rPr>
        <w:t xml:space="preserve"> géné</w:t>
      </w:r>
      <w:r w:rsidRPr="00CD703D">
        <w:rPr>
          <w:rFonts w:ascii="Times New Roman" w:eastAsia="Times New Roman" w:hAnsi="Times New Roman" w:cs="Times New Roman"/>
          <w:color w:val="000000"/>
          <w:spacing w:val="-6"/>
          <w:sz w:val="24"/>
          <w:szCs w:val="24"/>
          <w:lang w:eastAsia="fr-FR"/>
        </w:rPr>
        <w:t>ralement à la politiqu</w:t>
      </w:r>
      <w:r w:rsidR="004B5B94" w:rsidRPr="00CD703D">
        <w:rPr>
          <w:rFonts w:ascii="Times New Roman" w:eastAsia="Times New Roman" w:hAnsi="Times New Roman" w:cs="Times New Roman"/>
          <w:color w:val="000000"/>
          <w:spacing w:val="-6"/>
          <w:sz w:val="24"/>
          <w:szCs w:val="24"/>
          <w:lang w:eastAsia="fr-FR"/>
        </w:rPr>
        <w:t xml:space="preserve">e de cautionnement. Toutefois, </w:t>
      </w:r>
      <w:r w:rsidRPr="00CD703D">
        <w:rPr>
          <w:rFonts w:ascii="Times New Roman" w:eastAsia="Times New Roman" w:hAnsi="Times New Roman" w:cs="Times New Roman"/>
          <w:color w:val="000000"/>
          <w:spacing w:val="-6"/>
          <w:sz w:val="24"/>
          <w:szCs w:val="24"/>
          <w:lang w:eastAsia="fr-FR"/>
        </w:rPr>
        <w:t>le</w:t>
      </w:r>
      <w:r w:rsidR="002760B2" w:rsidRPr="00CD703D">
        <w:rPr>
          <w:rFonts w:ascii="Times New Roman" w:eastAsia="Times New Roman" w:hAnsi="Times New Roman" w:cs="Times New Roman"/>
          <w:color w:val="000000"/>
          <w:spacing w:val="-6"/>
          <w:sz w:val="24"/>
          <w:szCs w:val="24"/>
          <w:lang w:eastAsia="fr-FR"/>
        </w:rPr>
        <w:t xml:space="preserve"> cautionnement est un procédé soit coûteux, soit anti-commercial, soit les deux. Devant cette </w:t>
      </w:r>
      <w:r w:rsidR="002760B2" w:rsidRPr="00CD703D">
        <w:rPr>
          <w:rFonts w:ascii="Times New Roman" w:hAnsi="Times New Roman" w:cs="Times New Roman"/>
          <w:color w:val="000000"/>
          <w:spacing w:val="-6"/>
          <w:sz w:val="24"/>
          <w:szCs w:val="24"/>
          <w:shd w:val="clear" w:color="auto" w:fill="FFFFFF"/>
        </w:rPr>
        <w:t>situation, la méthode du scoring permet à</w:t>
      </w:r>
      <w:r w:rsidR="002760B2" w:rsidRPr="00CD703D">
        <w:rPr>
          <w:rStyle w:val="a"/>
          <w:rFonts w:ascii="Times New Roman" w:hAnsi="Times New Roman" w:cs="Times New Roman"/>
          <w:spacing w:val="-6"/>
          <w:sz w:val="24"/>
          <w:szCs w:val="24"/>
          <w:shd w:val="clear" w:color="auto" w:fill="FFFFFF"/>
        </w:rPr>
        <w:t xml:space="preserve"> </w:t>
      </w:r>
      <w:r w:rsidR="002760B2" w:rsidRPr="00CD703D">
        <w:rPr>
          <w:rFonts w:ascii="Times New Roman" w:hAnsi="Times New Roman" w:cs="Times New Roman"/>
          <w:color w:val="000000"/>
          <w:spacing w:val="-6"/>
          <w:sz w:val="24"/>
          <w:szCs w:val="24"/>
          <w:shd w:val="clear" w:color="auto" w:fill="FFFFFF"/>
        </w:rPr>
        <w:t>l’établissement de crédit</w:t>
      </w:r>
      <w:r w:rsidR="002760B2" w:rsidRPr="00CD703D">
        <w:rPr>
          <w:rStyle w:val="a"/>
          <w:rFonts w:ascii="Times New Roman" w:hAnsi="Times New Roman" w:cs="Times New Roman"/>
          <w:spacing w:val="-6"/>
          <w:sz w:val="24"/>
          <w:szCs w:val="24"/>
          <w:shd w:val="clear" w:color="auto" w:fill="FFFFFF"/>
        </w:rPr>
        <w:t xml:space="preserve"> </w:t>
      </w:r>
      <w:r w:rsidR="002760B2" w:rsidRPr="00CD703D">
        <w:rPr>
          <w:rFonts w:ascii="Times New Roman" w:hAnsi="Times New Roman" w:cs="Times New Roman"/>
          <w:color w:val="000000"/>
          <w:spacing w:val="-6"/>
          <w:sz w:val="24"/>
          <w:szCs w:val="24"/>
          <w:shd w:val="clear" w:color="auto" w:fill="FFFFFF"/>
        </w:rPr>
        <w:t>d’accepter</w:t>
      </w:r>
      <w:r w:rsidR="002760B2" w:rsidRPr="00CD703D">
        <w:rPr>
          <w:rStyle w:val="a"/>
          <w:rFonts w:ascii="Times New Roman" w:hAnsi="Times New Roman" w:cs="Times New Roman"/>
          <w:spacing w:val="-6"/>
          <w:sz w:val="24"/>
          <w:szCs w:val="24"/>
          <w:shd w:val="clear" w:color="auto" w:fill="FFFFFF"/>
        </w:rPr>
        <w:t xml:space="preserve"> </w:t>
      </w:r>
      <w:r w:rsidR="004B5B94" w:rsidRPr="00CD703D">
        <w:rPr>
          <w:rFonts w:ascii="Times New Roman" w:hAnsi="Times New Roman" w:cs="Times New Roman"/>
          <w:color w:val="000000"/>
          <w:spacing w:val="-6"/>
          <w:sz w:val="24"/>
          <w:szCs w:val="24"/>
          <w:shd w:val="clear" w:color="auto" w:fill="FFFFFF"/>
        </w:rPr>
        <w:t>sans caution</w:t>
      </w:r>
      <w:r w:rsidR="002760B2" w:rsidRPr="00CD703D">
        <w:rPr>
          <w:rFonts w:ascii="Times New Roman" w:hAnsi="Times New Roman" w:cs="Times New Roman"/>
          <w:color w:val="000000"/>
          <w:spacing w:val="-6"/>
          <w:sz w:val="24"/>
          <w:szCs w:val="24"/>
          <w:shd w:val="clear" w:color="auto" w:fill="FFFFFF"/>
        </w:rPr>
        <w:t xml:space="preserve"> les dossiers jugés comme des </w:t>
      </w:r>
      <w:r w:rsidR="004B5B94" w:rsidRPr="00CD703D">
        <w:rPr>
          <w:rFonts w:ascii="Times New Roman" w:hAnsi="Times New Roman" w:cs="Times New Roman"/>
          <w:color w:val="000000"/>
          <w:spacing w:val="-6"/>
          <w:sz w:val="24"/>
          <w:szCs w:val="24"/>
          <w:shd w:val="clear" w:color="auto" w:fill="FFFFFF"/>
        </w:rPr>
        <w:t>« </w:t>
      </w:r>
      <w:r w:rsidR="002760B2" w:rsidRPr="00CD703D">
        <w:rPr>
          <w:rStyle w:val="ffe"/>
          <w:rFonts w:ascii="Times New Roman" w:hAnsi="Times New Roman" w:cs="Times New Roman"/>
          <w:color w:val="000000"/>
          <w:spacing w:val="-6"/>
          <w:sz w:val="24"/>
          <w:szCs w:val="24"/>
          <w:shd w:val="clear" w:color="auto" w:fill="FFFFFF"/>
        </w:rPr>
        <w:t>dossiers sans problèmes</w:t>
      </w:r>
      <w:r w:rsidR="004B5B94" w:rsidRPr="00CD703D">
        <w:rPr>
          <w:rFonts w:ascii="Times New Roman" w:hAnsi="Times New Roman" w:cs="Times New Roman"/>
          <w:spacing w:val="-6"/>
          <w:sz w:val="24"/>
          <w:szCs w:val="24"/>
        </w:rPr>
        <w:t> »</w:t>
      </w:r>
      <w:r w:rsidR="002760B2" w:rsidRPr="00CD703D">
        <w:rPr>
          <w:rFonts w:ascii="Times New Roman" w:hAnsi="Times New Roman" w:cs="Times New Roman"/>
          <w:color w:val="000000"/>
          <w:spacing w:val="-6"/>
          <w:sz w:val="24"/>
          <w:szCs w:val="24"/>
          <w:shd w:val="clear" w:color="auto" w:fill="FFFFFF"/>
        </w:rPr>
        <w:t xml:space="preserve"> et </w:t>
      </w:r>
      <w:r w:rsidR="002760B2" w:rsidRPr="00CD703D">
        <w:rPr>
          <w:rStyle w:val="ff7"/>
          <w:rFonts w:ascii="Times New Roman" w:hAnsi="Times New Roman" w:cs="Times New Roman"/>
          <w:color w:val="000000"/>
          <w:spacing w:val="-6"/>
          <w:sz w:val="24"/>
          <w:szCs w:val="24"/>
          <w:shd w:val="clear" w:color="auto" w:fill="FFFFFF"/>
        </w:rPr>
        <w:t xml:space="preserve">ne </w:t>
      </w:r>
      <w:r w:rsidR="004B5B94" w:rsidRPr="00CD703D">
        <w:rPr>
          <w:rStyle w:val="ff7"/>
          <w:rFonts w:ascii="Times New Roman" w:hAnsi="Times New Roman" w:cs="Times New Roman"/>
          <w:color w:val="000000"/>
          <w:spacing w:val="-6"/>
          <w:sz w:val="24"/>
          <w:szCs w:val="24"/>
          <w:shd w:val="clear" w:color="auto" w:fill="FFFFFF"/>
        </w:rPr>
        <w:t xml:space="preserve">demande </w:t>
      </w:r>
      <w:r w:rsidR="002760B2" w:rsidRPr="00CD703D">
        <w:rPr>
          <w:rStyle w:val="ff7"/>
          <w:rFonts w:ascii="Times New Roman" w:hAnsi="Times New Roman" w:cs="Times New Roman"/>
          <w:color w:val="000000"/>
          <w:spacing w:val="-6"/>
          <w:sz w:val="24"/>
          <w:szCs w:val="24"/>
          <w:shd w:val="clear" w:color="auto" w:fill="FFFFFF"/>
        </w:rPr>
        <w:t xml:space="preserve">une caution que </w:t>
      </w:r>
      <w:r w:rsidR="004B5B94" w:rsidRPr="00CD703D">
        <w:rPr>
          <w:rFonts w:ascii="Times New Roman" w:hAnsi="Times New Roman" w:cs="Times New Roman"/>
          <w:color w:val="000000"/>
          <w:spacing w:val="-6"/>
          <w:sz w:val="24"/>
          <w:szCs w:val="24"/>
          <w:shd w:val="clear" w:color="auto" w:fill="FFFFFF"/>
        </w:rPr>
        <w:t>pour les dossiers tangents.</w:t>
      </w:r>
    </w:p>
    <w:p w14:paraId="55D7860C" w14:textId="77777777" w:rsidR="004B5B94" w:rsidRPr="002B005F" w:rsidRDefault="00497D56" w:rsidP="00CB0FF1">
      <w:pPr>
        <w:pStyle w:val="Paragraphedeliste"/>
        <w:numPr>
          <w:ilvl w:val="0"/>
          <w:numId w:val="55"/>
        </w:numPr>
        <w:shd w:val="clear" w:color="auto" w:fill="FFFFFF"/>
        <w:tabs>
          <w:tab w:val="left" w:pos="0"/>
        </w:tabs>
        <w:spacing w:before="60" w:line="300" w:lineRule="auto"/>
        <w:ind w:left="1208" w:hanging="357"/>
        <w:contextualSpacing w:val="0"/>
        <w:rPr>
          <w:rStyle w:val="a"/>
          <w:rFonts w:ascii="Times New Roman" w:hAnsi="Times New Roman" w:cs="Times New Roman"/>
          <w:sz w:val="24"/>
          <w:szCs w:val="24"/>
          <w:shd w:val="clear" w:color="auto" w:fill="FFFFFF"/>
        </w:rPr>
      </w:pPr>
      <w:r w:rsidRPr="002B005F">
        <w:rPr>
          <w:rFonts w:ascii="Times New Roman" w:hAnsi="Times New Roman" w:cs="Times New Roman"/>
          <w:color w:val="000000"/>
          <w:sz w:val="24"/>
          <w:szCs w:val="24"/>
          <w:shd w:val="clear" w:color="auto" w:fill="FFFFFF"/>
        </w:rPr>
        <w:t>Troisièmement, la productivité :</w:t>
      </w:r>
      <w:r w:rsidR="002760B2" w:rsidRPr="002B005F">
        <w:rPr>
          <w:rFonts w:ascii="Times New Roman" w:hAnsi="Times New Roman" w:cs="Times New Roman"/>
          <w:color w:val="000000"/>
          <w:sz w:val="24"/>
          <w:szCs w:val="24"/>
          <w:shd w:val="clear" w:color="auto" w:fill="FFFFFF"/>
        </w:rPr>
        <w:t xml:space="preserve"> la méthode du </w:t>
      </w:r>
      <w:r w:rsidR="00B13548" w:rsidRPr="002B005F">
        <w:rPr>
          <w:rFonts w:ascii="Times New Roman" w:hAnsi="Times New Roman" w:cs="Times New Roman"/>
          <w:color w:val="000000"/>
          <w:sz w:val="24"/>
          <w:szCs w:val="24"/>
          <w:shd w:val="clear" w:color="auto" w:fill="FFFFFF"/>
        </w:rPr>
        <w:t>scoring permet une appréciation</w:t>
      </w:r>
      <w:r w:rsidR="002760B2" w:rsidRPr="002B005F">
        <w:rPr>
          <w:rFonts w:ascii="Times New Roman" w:hAnsi="Times New Roman" w:cs="Times New Roman"/>
          <w:color w:val="000000"/>
          <w:sz w:val="24"/>
          <w:szCs w:val="24"/>
          <w:shd w:val="clear" w:color="auto" w:fill="FFFFFF"/>
        </w:rPr>
        <w:t xml:space="preserve"> rapide</w:t>
      </w:r>
      <w:r w:rsidR="002760B2" w:rsidRPr="002B005F">
        <w:rPr>
          <w:rStyle w:val="a"/>
          <w:rFonts w:ascii="Times New Roman" w:hAnsi="Times New Roman" w:cs="Times New Roman"/>
          <w:sz w:val="24"/>
          <w:szCs w:val="24"/>
          <w:shd w:val="clear" w:color="auto" w:fill="FFFFFF"/>
        </w:rPr>
        <w:t xml:space="preserve"> </w:t>
      </w:r>
      <w:r w:rsidR="00B13548" w:rsidRPr="002B005F">
        <w:rPr>
          <w:rFonts w:ascii="Times New Roman" w:hAnsi="Times New Roman" w:cs="Times New Roman"/>
          <w:color w:val="000000"/>
          <w:sz w:val="24"/>
          <w:szCs w:val="24"/>
          <w:shd w:val="clear" w:color="auto" w:fill="FFFFFF"/>
        </w:rPr>
        <w:t>et</w:t>
      </w:r>
      <w:r w:rsidR="002760B2" w:rsidRPr="002B005F">
        <w:rPr>
          <w:rFonts w:ascii="Times New Roman" w:hAnsi="Times New Roman" w:cs="Times New Roman"/>
          <w:color w:val="000000"/>
          <w:sz w:val="24"/>
          <w:szCs w:val="24"/>
          <w:shd w:val="clear" w:color="auto" w:fill="FFFFFF"/>
        </w:rPr>
        <w:t xml:space="preserve"> relativement</w:t>
      </w:r>
      <w:r w:rsidR="002760B2" w:rsidRPr="002B005F">
        <w:rPr>
          <w:rStyle w:val="a"/>
          <w:rFonts w:ascii="Times New Roman" w:hAnsi="Times New Roman" w:cs="Times New Roman"/>
          <w:sz w:val="24"/>
          <w:szCs w:val="24"/>
          <w:shd w:val="clear" w:color="auto" w:fill="FFFFFF"/>
        </w:rPr>
        <w:t xml:space="preserve"> </w:t>
      </w:r>
      <w:r w:rsidR="00B13548" w:rsidRPr="002B005F">
        <w:rPr>
          <w:rFonts w:ascii="Times New Roman" w:hAnsi="Times New Roman" w:cs="Times New Roman"/>
          <w:color w:val="000000"/>
          <w:sz w:val="24"/>
          <w:szCs w:val="24"/>
          <w:shd w:val="clear" w:color="auto" w:fill="FFFFFF"/>
        </w:rPr>
        <w:t>fiable</w:t>
      </w:r>
      <w:r w:rsidR="002760B2" w:rsidRPr="002B005F">
        <w:rPr>
          <w:rFonts w:ascii="Times New Roman" w:hAnsi="Times New Roman" w:cs="Times New Roman"/>
          <w:color w:val="000000"/>
          <w:sz w:val="24"/>
          <w:szCs w:val="24"/>
          <w:shd w:val="clear" w:color="auto" w:fill="FFFFFF"/>
        </w:rPr>
        <w:t xml:space="preserve"> (</w:t>
      </w:r>
      <w:r w:rsidR="002760B2" w:rsidRPr="002B005F">
        <w:rPr>
          <w:rFonts w:ascii="Times New Roman" w:hAnsi="Times New Roman" w:cs="Times New Roman"/>
          <w:smallCaps/>
          <w:color w:val="000000"/>
          <w:sz w:val="24"/>
          <w:szCs w:val="24"/>
          <w:shd w:val="clear" w:color="auto" w:fill="FFFFFF"/>
        </w:rPr>
        <w:t>Ramage</w:t>
      </w:r>
      <w:r w:rsidR="002760B2" w:rsidRPr="002B005F">
        <w:rPr>
          <w:rFonts w:ascii="Times New Roman" w:hAnsi="Times New Roman" w:cs="Times New Roman"/>
          <w:color w:val="000000"/>
          <w:sz w:val="24"/>
          <w:szCs w:val="24"/>
          <w:shd w:val="clear" w:color="auto" w:fill="FFFFFF"/>
        </w:rPr>
        <w:t>,</w:t>
      </w:r>
      <w:r w:rsidR="002760B2" w:rsidRPr="002B005F">
        <w:rPr>
          <w:rStyle w:val="a"/>
          <w:rFonts w:ascii="Times New Roman" w:hAnsi="Times New Roman" w:cs="Times New Roman"/>
          <w:sz w:val="24"/>
          <w:szCs w:val="24"/>
          <w:shd w:val="clear" w:color="auto" w:fill="FFFFFF"/>
        </w:rPr>
        <w:t xml:space="preserve"> </w:t>
      </w:r>
      <w:r w:rsidR="002760B2" w:rsidRPr="002B005F">
        <w:rPr>
          <w:rFonts w:ascii="Times New Roman" w:hAnsi="Times New Roman" w:cs="Times New Roman"/>
          <w:color w:val="000000"/>
          <w:sz w:val="24"/>
          <w:szCs w:val="24"/>
          <w:shd w:val="clear" w:color="auto" w:fill="FFFFFF"/>
        </w:rPr>
        <w:t>2001)</w:t>
      </w:r>
      <w:r w:rsidR="002760B2" w:rsidRPr="002B005F">
        <w:rPr>
          <w:rStyle w:val="Appelnotedebasdep"/>
          <w:rFonts w:ascii="Times New Roman" w:hAnsi="Times New Roman"/>
          <w:color w:val="000000"/>
          <w:sz w:val="24"/>
          <w:szCs w:val="24"/>
          <w:shd w:val="clear" w:color="auto" w:fill="FFFFFF"/>
        </w:rPr>
        <w:footnoteReference w:id="202"/>
      </w:r>
      <w:r w:rsidR="00B13548" w:rsidRPr="002B005F">
        <w:rPr>
          <w:rFonts w:ascii="Times New Roman" w:hAnsi="Times New Roman" w:cs="Times New Roman"/>
          <w:color w:val="000000"/>
          <w:sz w:val="24"/>
          <w:szCs w:val="24"/>
          <w:shd w:val="clear" w:color="auto" w:fill="FFFFFF"/>
        </w:rPr>
        <w:t xml:space="preserve"> </w:t>
      </w:r>
      <w:r w:rsidR="002760B2" w:rsidRPr="002B005F">
        <w:rPr>
          <w:rFonts w:ascii="Times New Roman" w:hAnsi="Times New Roman" w:cs="Times New Roman"/>
          <w:color w:val="000000"/>
          <w:sz w:val="24"/>
          <w:szCs w:val="24"/>
          <w:shd w:val="clear" w:color="auto" w:fill="FFFFFF"/>
        </w:rPr>
        <w:t>et</w:t>
      </w:r>
      <w:r w:rsidR="00E91839">
        <w:rPr>
          <w:rFonts w:ascii="Times New Roman" w:hAnsi="Times New Roman" w:cs="Times New Roman"/>
          <w:color w:val="000000"/>
          <w:sz w:val="24"/>
          <w:szCs w:val="24"/>
          <w:shd w:val="clear" w:color="auto" w:fill="FFFFFF"/>
        </w:rPr>
        <w:t>,</w:t>
      </w:r>
      <w:r w:rsidR="002760B2" w:rsidRPr="002B005F">
        <w:rPr>
          <w:rStyle w:val="a"/>
          <w:rFonts w:ascii="Times New Roman" w:hAnsi="Times New Roman" w:cs="Times New Roman"/>
          <w:sz w:val="24"/>
          <w:szCs w:val="24"/>
          <w:shd w:val="clear" w:color="auto" w:fill="FFFFFF"/>
        </w:rPr>
        <w:t xml:space="preserve"> </w:t>
      </w:r>
      <w:r w:rsidRPr="002B005F">
        <w:rPr>
          <w:rFonts w:ascii="Times New Roman" w:hAnsi="Times New Roman" w:cs="Times New Roman"/>
          <w:color w:val="000000"/>
          <w:sz w:val="24"/>
          <w:szCs w:val="24"/>
          <w:shd w:val="clear" w:color="auto" w:fill="FFFFFF"/>
        </w:rPr>
        <w:t xml:space="preserve">de traiter </w:t>
      </w:r>
      <w:r w:rsidR="002760B2" w:rsidRPr="002B005F">
        <w:rPr>
          <w:rFonts w:ascii="Times New Roman" w:hAnsi="Times New Roman" w:cs="Times New Roman"/>
          <w:color w:val="000000"/>
          <w:sz w:val="24"/>
          <w:szCs w:val="24"/>
          <w:shd w:val="clear" w:color="auto" w:fill="FFFFFF"/>
        </w:rPr>
        <w:t>en</w:t>
      </w:r>
      <w:r w:rsidR="002760B2" w:rsidRPr="002B005F">
        <w:rPr>
          <w:rStyle w:val="a"/>
          <w:rFonts w:ascii="Times New Roman" w:hAnsi="Times New Roman" w:cs="Times New Roman"/>
          <w:sz w:val="24"/>
          <w:szCs w:val="24"/>
          <w:shd w:val="clear" w:color="auto" w:fill="FFFFFF"/>
        </w:rPr>
        <w:t xml:space="preserve"> </w:t>
      </w:r>
      <w:r w:rsidR="00B13548" w:rsidRPr="002B005F">
        <w:rPr>
          <w:rFonts w:ascii="Times New Roman" w:hAnsi="Times New Roman" w:cs="Times New Roman"/>
          <w:color w:val="000000"/>
          <w:sz w:val="24"/>
          <w:szCs w:val="24"/>
          <w:shd w:val="clear" w:color="auto" w:fill="FFFFFF"/>
        </w:rPr>
        <w:t>quelques minutes un grand nombre de cas qui ne présentent aucun</w:t>
      </w:r>
      <w:r w:rsidR="002760B2" w:rsidRPr="002B005F">
        <w:rPr>
          <w:rFonts w:ascii="Times New Roman" w:hAnsi="Times New Roman" w:cs="Times New Roman"/>
          <w:color w:val="000000"/>
          <w:sz w:val="24"/>
          <w:szCs w:val="24"/>
          <w:shd w:val="clear" w:color="auto" w:fill="FFFFFF"/>
        </w:rPr>
        <w:t xml:space="preserve"> problème et</w:t>
      </w:r>
      <w:r w:rsidR="00E91839">
        <w:rPr>
          <w:rFonts w:ascii="Times New Roman" w:hAnsi="Times New Roman" w:cs="Times New Roman"/>
          <w:color w:val="000000"/>
          <w:sz w:val="24"/>
          <w:szCs w:val="24"/>
          <w:shd w:val="clear" w:color="auto" w:fill="FFFFFF"/>
        </w:rPr>
        <w:t>,</w:t>
      </w:r>
      <w:r w:rsidR="002760B2" w:rsidRPr="002B005F">
        <w:rPr>
          <w:rFonts w:ascii="Times New Roman" w:hAnsi="Times New Roman" w:cs="Times New Roman"/>
          <w:color w:val="000000"/>
          <w:sz w:val="24"/>
          <w:szCs w:val="24"/>
          <w:shd w:val="clear" w:color="auto" w:fill="FFFFFF"/>
        </w:rPr>
        <w:t xml:space="preserve"> laisser </w:t>
      </w:r>
      <w:r w:rsidRPr="002B005F">
        <w:rPr>
          <w:rFonts w:ascii="Times New Roman" w:hAnsi="Times New Roman" w:cs="Times New Roman"/>
          <w:color w:val="000000"/>
          <w:sz w:val="24"/>
          <w:szCs w:val="24"/>
          <w:shd w:val="clear" w:color="auto" w:fill="FFFFFF"/>
        </w:rPr>
        <w:t>les techniques</w:t>
      </w:r>
      <w:r w:rsidR="00B13548" w:rsidRPr="002B005F">
        <w:rPr>
          <w:rFonts w:ascii="Times New Roman" w:hAnsi="Times New Roman" w:cs="Times New Roman"/>
          <w:color w:val="000000"/>
          <w:sz w:val="24"/>
          <w:szCs w:val="24"/>
          <w:shd w:val="clear" w:color="auto" w:fill="FFFFFF"/>
        </w:rPr>
        <w:t xml:space="preserve"> traditionnelles opérer les dossiers</w:t>
      </w:r>
      <w:r w:rsidR="002760B2" w:rsidRPr="002B005F">
        <w:rPr>
          <w:rFonts w:ascii="Times New Roman" w:hAnsi="Times New Roman" w:cs="Times New Roman"/>
          <w:color w:val="000000"/>
          <w:sz w:val="24"/>
          <w:szCs w:val="24"/>
          <w:shd w:val="clear" w:color="auto" w:fill="FFFFFF"/>
        </w:rPr>
        <w:t xml:space="preserve"> tangents.</w:t>
      </w:r>
    </w:p>
    <w:p w14:paraId="483E64C2" w14:textId="77777777" w:rsidR="004B5B94" w:rsidRPr="00CD703D" w:rsidRDefault="00497D56" w:rsidP="00CB0FF1">
      <w:pPr>
        <w:pStyle w:val="Paragraphedeliste"/>
        <w:numPr>
          <w:ilvl w:val="0"/>
          <w:numId w:val="55"/>
        </w:numPr>
        <w:shd w:val="clear" w:color="auto" w:fill="FFFFFF"/>
        <w:tabs>
          <w:tab w:val="left" w:pos="0"/>
        </w:tabs>
        <w:spacing w:before="60" w:line="300" w:lineRule="auto"/>
        <w:ind w:left="1208" w:hanging="357"/>
        <w:contextualSpacing w:val="0"/>
        <w:rPr>
          <w:rFonts w:ascii="Times New Roman" w:hAnsi="Times New Roman" w:cs="Times New Roman"/>
          <w:color w:val="000000"/>
          <w:spacing w:val="-4"/>
          <w:sz w:val="24"/>
          <w:szCs w:val="24"/>
          <w:shd w:val="clear" w:color="auto" w:fill="FFFFFF"/>
        </w:rPr>
      </w:pPr>
      <w:r w:rsidRPr="00CD703D">
        <w:rPr>
          <w:rFonts w:ascii="Times New Roman" w:hAnsi="Times New Roman" w:cs="Times New Roman"/>
          <w:color w:val="000000"/>
          <w:spacing w:val="-4"/>
          <w:sz w:val="24"/>
          <w:szCs w:val="24"/>
          <w:shd w:val="clear" w:color="auto" w:fill="FFFFFF"/>
        </w:rPr>
        <w:lastRenderedPageBreak/>
        <w:t>Quatrièmement, l</w:t>
      </w:r>
      <w:r w:rsidR="00B13548" w:rsidRPr="00CD703D">
        <w:rPr>
          <w:rFonts w:ascii="Times New Roman" w:hAnsi="Times New Roman" w:cs="Times New Roman"/>
          <w:color w:val="000000"/>
          <w:spacing w:val="-4"/>
          <w:sz w:val="24"/>
          <w:szCs w:val="24"/>
          <w:shd w:val="clear" w:color="auto" w:fill="FFFFFF"/>
        </w:rPr>
        <w:t>a délégation</w:t>
      </w:r>
      <w:r w:rsidRPr="00CD703D">
        <w:rPr>
          <w:rFonts w:ascii="Times New Roman" w:hAnsi="Times New Roman" w:cs="Times New Roman"/>
          <w:color w:val="000000"/>
          <w:spacing w:val="-4"/>
          <w:sz w:val="24"/>
          <w:szCs w:val="24"/>
          <w:shd w:val="clear" w:color="auto" w:fill="FFFFFF"/>
        </w:rPr>
        <w:t xml:space="preserve"> des décisions :</w:t>
      </w:r>
      <w:r w:rsidR="002760B2" w:rsidRPr="00CD703D">
        <w:rPr>
          <w:rFonts w:ascii="Times New Roman" w:hAnsi="Times New Roman" w:cs="Times New Roman"/>
          <w:color w:val="000000"/>
          <w:spacing w:val="-4"/>
          <w:sz w:val="24"/>
          <w:szCs w:val="24"/>
          <w:shd w:val="clear" w:color="auto" w:fill="FFFFFF"/>
        </w:rPr>
        <w:t xml:space="preserve"> un personnel moins qualifié et moins coûteux que le personnel capable à mener à terme le proce</w:t>
      </w:r>
      <w:r w:rsidR="00B13548" w:rsidRPr="00CD703D">
        <w:rPr>
          <w:rFonts w:ascii="Times New Roman" w:hAnsi="Times New Roman" w:cs="Times New Roman"/>
          <w:color w:val="000000"/>
          <w:spacing w:val="-4"/>
          <w:sz w:val="24"/>
          <w:szCs w:val="24"/>
          <w:shd w:val="clear" w:color="auto" w:fill="FFFFFF"/>
        </w:rPr>
        <w:t xml:space="preserve">ssus traditionnel de décision, peut facilement </w:t>
      </w:r>
      <w:r w:rsidR="002760B2" w:rsidRPr="00CD703D">
        <w:rPr>
          <w:rFonts w:ascii="Times New Roman" w:hAnsi="Times New Roman" w:cs="Times New Roman"/>
          <w:color w:val="000000"/>
          <w:spacing w:val="-4"/>
          <w:sz w:val="24"/>
          <w:szCs w:val="24"/>
          <w:shd w:val="clear" w:color="auto" w:fill="FFFFFF"/>
        </w:rPr>
        <w:t>utiliser la méthode du scorin</w:t>
      </w:r>
      <w:r w:rsidR="004B5B94" w:rsidRPr="00CD703D">
        <w:rPr>
          <w:rFonts w:ascii="Times New Roman" w:hAnsi="Times New Roman" w:cs="Times New Roman"/>
          <w:color w:val="000000"/>
          <w:spacing w:val="-4"/>
          <w:sz w:val="24"/>
          <w:szCs w:val="24"/>
          <w:shd w:val="clear" w:color="auto" w:fill="FFFFFF"/>
        </w:rPr>
        <w:t>g pour la plupart des dossiers.</w:t>
      </w:r>
    </w:p>
    <w:p w14:paraId="1CAC3D9F" w14:textId="77777777" w:rsidR="002760B2" w:rsidRPr="002B005F" w:rsidRDefault="002760B2" w:rsidP="00CC43D0">
      <w:pPr>
        <w:shd w:val="clear" w:color="auto" w:fill="FFFFFF"/>
        <w:tabs>
          <w:tab w:val="left" w:pos="0"/>
        </w:tabs>
        <w:spacing w:before="120" w:line="300" w:lineRule="auto"/>
        <w:ind w:firstLine="709"/>
        <w:rPr>
          <w:rFonts w:ascii="Times New Roman" w:hAnsi="Times New Roman" w:cs="Times New Roman"/>
          <w:color w:val="000000"/>
          <w:sz w:val="24"/>
          <w:szCs w:val="24"/>
          <w:shd w:val="clear" w:color="auto" w:fill="FFFFFF"/>
        </w:rPr>
      </w:pPr>
      <w:r w:rsidRPr="002B005F">
        <w:rPr>
          <w:rFonts w:ascii="Times New Roman" w:hAnsi="Times New Roman" w:cs="Times New Roman"/>
          <w:color w:val="000000"/>
          <w:sz w:val="24"/>
          <w:szCs w:val="24"/>
          <w:shd w:val="clear" w:color="auto" w:fill="FFFFFF"/>
        </w:rPr>
        <w:t>Cette méthode permet donc la délégation des décisions. Nous aborder</w:t>
      </w:r>
      <w:r w:rsidR="00CC43D0">
        <w:rPr>
          <w:rFonts w:ascii="Times New Roman" w:hAnsi="Times New Roman" w:cs="Times New Roman"/>
          <w:color w:val="000000"/>
          <w:sz w:val="24"/>
          <w:szCs w:val="24"/>
          <w:shd w:val="clear" w:color="auto" w:fill="FFFFFF"/>
        </w:rPr>
        <w:t>ons</w:t>
      </w:r>
      <w:r w:rsidRPr="002B005F">
        <w:rPr>
          <w:rFonts w:ascii="Times New Roman" w:hAnsi="Times New Roman" w:cs="Times New Roman"/>
          <w:color w:val="000000"/>
          <w:sz w:val="24"/>
          <w:szCs w:val="24"/>
          <w:shd w:val="clear" w:color="auto" w:fill="FFFFFF"/>
        </w:rPr>
        <w:t xml:space="preserve"> cette technique </w:t>
      </w:r>
      <w:r w:rsidR="00497D56" w:rsidRPr="002B005F">
        <w:rPr>
          <w:rFonts w:ascii="Times New Roman" w:hAnsi="Times New Roman" w:cs="Times New Roman"/>
          <w:color w:val="000000"/>
          <w:sz w:val="24"/>
          <w:szCs w:val="24"/>
          <w:shd w:val="clear" w:color="auto" w:fill="FFFFFF"/>
        </w:rPr>
        <w:t>avec plus de détails.</w:t>
      </w:r>
    </w:p>
    <w:p w14:paraId="16C4B9C2" w14:textId="77777777" w:rsidR="002760B2" w:rsidRPr="002B005F" w:rsidRDefault="000552FF" w:rsidP="00C86447">
      <w:pPr>
        <w:pStyle w:val="Titre4"/>
        <w:keepNext w:val="0"/>
        <w:spacing w:before="120" w:after="120" w:line="300" w:lineRule="auto"/>
        <w:ind w:firstLine="709"/>
        <w:rPr>
          <w:shd w:val="clear" w:color="auto" w:fill="FFFFFF"/>
        </w:rPr>
      </w:pPr>
      <w:bookmarkStart w:id="805" w:name="_Toc37664557"/>
      <w:bookmarkStart w:id="806" w:name="_Toc37666402"/>
      <w:bookmarkStart w:id="807" w:name="_Toc54363291"/>
      <w:bookmarkStart w:id="808" w:name="_Toc58606287"/>
      <w:bookmarkStart w:id="809" w:name="_Toc61263492"/>
      <w:bookmarkStart w:id="810" w:name="_Toc182298727"/>
      <w:r>
        <w:rPr>
          <w:shd w:val="clear" w:color="auto" w:fill="FFFFFF"/>
        </w:rPr>
        <w:t xml:space="preserve">2.2.7- </w:t>
      </w:r>
      <w:r w:rsidR="002760B2" w:rsidRPr="002B005F">
        <w:rPr>
          <w:shd w:val="clear" w:color="auto" w:fill="FFFFFF"/>
        </w:rPr>
        <w:t>Stress test</w:t>
      </w:r>
      <w:bookmarkEnd w:id="805"/>
      <w:bookmarkEnd w:id="806"/>
      <w:bookmarkEnd w:id="807"/>
      <w:bookmarkEnd w:id="808"/>
      <w:bookmarkEnd w:id="809"/>
      <w:bookmarkEnd w:id="810"/>
    </w:p>
    <w:p w14:paraId="1416F569" w14:textId="77777777" w:rsidR="00C2708A" w:rsidRDefault="002760B2" w:rsidP="00C2708A">
      <w:pPr>
        <w:shd w:val="clear" w:color="auto" w:fill="FFFFFF"/>
        <w:tabs>
          <w:tab w:val="left" w:pos="0"/>
        </w:tabs>
        <w:spacing w:line="300" w:lineRule="auto"/>
        <w:ind w:firstLine="709"/>
        <w:rPr>
          <w:rFonts w:ascii="Times New Roman" w:hAnsi="Times New Roman" w:cs="Times New Roman"/>
          <w:spacing w:val="-4"/>
          <w:sz w:val="24"/>
          <w:szCs w:val="24"/>
        </w:rPr>
      </w:pPr>
      <w:r w:rsidRPr="002B005F">
        <w:rPr>
          <w:rFonts w:ascii="Times New Roman" w:hAnsi="Times New Roman" w:cs="Times New Roman"/>
          <w:sz w:val="24"/>
          <w:szCs w:val="24"/>
        </w:rPr>
        <w:t xml:space="preserve">Le </w:t>
      </w:r>
      <w:r w:rsidRPr="005B3B7D">
        <w:rPr>
          <w:rFonts w:ascii="Times New Roman" w:hAnsi="Times New Roman" w:cs="Times New Roman"/>
          <w:i/>
          <w:sz w:val="24"/>
          <w:szCs w:val="24"/>
        </w:rPr>
        <w:t>stress testing</w:t>
      </w:r>
      <w:r w:rsidRPr="002B005F">
        <w:rPr>
          <w:rFonts w:ascii="Times New Roman" w:hAnsi="Times New Roman" w:cs="Times New Roman"/>
          <w:sz w:val="24"/>
          <w:szCs w:val="24"/>
        </w:rPr>
        <w:t xml:space="preserve"> </w:t>
      </w:r>
      <w:r w:rsidR="001D73CC" w:rsidRPr="002B005F">
        <w:rPr>
          <w:rFonts w:ascii="Times New Roman" w:hAnsi="Times New Roman" w:cs="Times New Roman"/>
          <w:sz w:val="24"/>
          <w:szCs w:val="24"/>
        </w:rPr>
        <w:t xml:space="preserve">(test de résistance bancaire) </w:t>
      </w:r>
      <w:r w:rsidRPr="002B005F">
        <w:rPr>
          <w:rFonts w:ascii="Times New Roman" w:hAnsi="Times New Roman" w:cs="Times New Roman"/>
          <w:sz w:val="24"/>
          <w:szCs w:val="24"/>
        </w:rPr>
        <w:t>est un outil très important de gestion des risques utilisé par les institutions financières, les banques centrales et les organismes de régulation</w:t>
      </w:r>
      <w:r w:rsidR="00C2708A">
        <w:rPr>
          <w:rFonts w:ascii="Times New Roman" w:hAnsi="Times New Roman" w:cs="Times New Roman"/>
          <w:sz w:val="24"/>
          <w:szCs w:val="24"/>
        </w:rPr>
        <w:t>.</w:t>
      </w:r>
      <w:r w:rsidRPr="002B005F">
        <w:rPr>
          <w:rFonts w:ascii="Times New Roman" w:hAnsi="Times New Roman" w:cs="Times New Roman"/>
          <w:sz w:val="24"/>
          <w:szCs w:val="24"/>
        </w:rPr>
        <w:t xml:space="preserve"> </w:t>
      </w:r>
      <w:r w:rsidR="00C2708A">
        <w:rPr>
          <w:rFonts w:ascii="Times New Roman" w:hAnsi="Times New Roman" w:cs="Times New Roman"/>
          <w:sz w:val="24"/>
          <w:szCs w:val="24"/>
        </w:rPr>
        <w:t xml:space="preserve">Il </w:t>
      </w:r>
      <w:r w:rsidRPr="002B005F">
        <w:rPr>
          <w:rFonts w:ascii="Times New Roman" w:hAnsi="Times New Roman" w:cs="Times New Roman"/>
          <w:sz w:val="24"/>
          <w:szCs w:val="24"/>
        </w:rPr>
        <w:t>permet de mesurer la vulnérabilité d’une institution financière ou d’un système financier à des chocs macroéconomiques inhabituels mais plausibles.</w:t>
      </w:r>
      <w:r w:rsidR="00C2708A">
        <w:rPr>
          <w:rFonts w:ascii="Times New Roman" w:hAnsi="Times New Roman" w:cs="Times New Roman"/>
          <w:sz w:val="24"/>
          <w:szCs w:val="24"/>
        </w:rPr>
        <w:t xml:space="preserve"> </w:t>
      </w:r>
      <w:r w:rsidR="005B3B7D">
        <w:rPr>
          <w:rFonts w:ascii="Times New Roman" w:hAnsi="Times New Roman" w:cs="Times New Roman"/>
          <w:spacing w:val="-4"/>
          <w:sz w:val="24"/>
          <w:szCs w:val="24"/>
        </w:rPr>
        <w:t>Nous</w:t>
      </w:r>
      <w:r w:rsidRPr="002B005F">
        <w:rPr>
          <w:rFonts w:ascii="Times New Roman" w:hAnsi="Times New Roman" w:cs="Times New Roman"/>
          <w:spacing w:val="-4"/>
          <w:sz w:val="24"/>
          <w:szCs w:val="24"/>
        </w:rPr>
        <w:t xml:space="preserve"> p</w:t>
      </w:r>
      <w:r w:rsidR="005B3B7D">
        <w:rPr>
          <w:rFonts w:ascii="Times New Roman" w:hAnsi="Times New Roman" w:cs="Times New Roman"/>
          <w:spacing w:val="-4"/>
          <w:sz w:val="24"/>
          <w:szCs w:val="24"/>
        </w:rPr>
        <w:t xml:space="preserve">ouvons </w:t>
      </w:r>
      <w:r w:rsidRPr="002B005F">
        <w:rPr>
          <w:rFonts w:ascii="Times New Roman" w:hAnsi="Times New Roman" w:cs="Times New Roman"/>
          <w:spacing w:val="-4"/>
          <w:sz w:val="24"/>
          <w:szCs w:val="24"/>
        </w:rPr>
        <w:t xml:space="preserve">distinguer deux niveaux d’application des </w:t>
      </w:r>
      <w:r w:rsidRPr="005B3B7D">
        <w:rPr>
          <w:rFonts w:ascii="Times New Roman" w:hAnsi="Times New Roman" w:cs="Times New Roman"/>
          <w:i/>
          <w:spacing w:val="-4"/>
          <w:sz w:val="24"/>
          <w:szCs w:val="24"/>
        </w:rPr>
        <w:t>stress tests</w:t>
      </w:r>
      <w:r w:rsidR="00C2708A">
        <w:rPr>
          <w:rFonts w:ascii="Times New Roman" w:hAnsi="Times New Roman" w:cs="Times New Roman"/>
          <w:i/>
          <w:spacing w:val="-4"/>
          <w:sz w:val="24"/>
          <w:szCs w:val="24"/>
        </w:rPr>
        <w:t> </w:t>
      </w:r>
      <w:r w:rsidR="00C2708A">
        <w:rPr>
          <w:rFonts w:ascii="Times New Roman" w:hAnsi="Times New Roman" w:cs="Times New Roman"/>
          <w:spacing w:val="-4"/>
          <w:sz w:val="24"/>
          <w:szCs w:val="24"/>
        </w:rPr>
        <w:t>:</w:t>
      </w:r>
    </w:p>
    <w:p w14:paraId="4FD17DE2" w14:textId="77777777" w:rsidR="00C2708A" w:rsidRPr="00C2708A" w:rsidRDefault="002760B2" w:rsidP="00CB0FF1">
      <w:pPr>
        <w:pStyle w:val="Paragraphedeliste"/>
        <w:numPr>
          <w:ilvl w:val="0"/>
          <w:numId w:val="107"/>
        </w:numPr>
        <w:shd w:val="clear" w:color="auto" w:fill="FFFFFF"/>
        <w:tabs>
          <w:tab w:val="left" w:pos="0"/>
        </w:tabs>
        <w:spacing w:line="300" w:lineRule="auto"/>
        <w:ind w:left="1135" w:hanging="284"/>
        <w:contextualSpacing w:val="0"/>
        <w:rPr>
          <w:rFonts w:ascii="Times New Roman" w:hAnsi="Times New Roman" w:cs="Times New Roman"/>
          <w:spacing w:val="-4"/>
          <w:sz w:val="24"/>
          <w:szCs w:val="24"/>
        </w:rPr>
      </w:pPr>
      <w:r w:rsidRPr="00C2708A">
        <w:rPr>
          <w:rFonts w:ascii="Times New Roman" w:hAnsi="Times New Roman" w:cs="Times New Roman"/>
          <w:spacing w:val="-4"/>
          <w:sz w:val="24"/>
          <w:szCs w:val="24"/>
        </w:rPr>
        <w:t>Une application micro qui se focalise sur les impacts au niveau d’une seule institution financière, généralement conduite par un groupe bancaire sous la supe</w:t>
      </w:r>
      <w:r w:rsidR="00B13548" w:rsidRPr="00C2708A">
        <w:rPr>
          <w:rFonts w:ascii="Times New Roman" w:hAnsi="Times New Roman" w:cs="Times New Roman"/>
          <w:spacing w:val="-4"/>
          <w:sz w:val="24"/>
          <w:szCs w:val="24"/>
        </w:rPr>
        <w:t>rvision de la banque centrale.</w:t>
      </w:r>
    </w:p>
    <w:p w14:paraId="32D71E8B" w14:textId="77777777" w:rsidR="002760B2" w:rsidRPr="00C2708A" w:rsidRDefault="002760B2" w:rsidP="00CB0FF1">
      <w:pPr>
        <w:pStyle w:val="Paragraphedeliste"/>
        <w:numPr>
          <w:ilvl w:val="0"/>
          <w:numId w:val="107"/>
        </w:numPr>
        <w:shd w:val="clear" w:color="auto" w:fill="FFFFFF"/>
        <w:tabs>
          <w:tab w:val="left" w:pos="0"/>
        </w:tabs>
        <w:spacing w:line="300" w:lineRule="auto"/>
        <w:ind w:left="1135" w:hanging="284"/>
        <w:contextualSpacing w:val="0"/>
        <w:rPr>
          <w:rFonts w:ascii="Times New Roman" w:hAnsi="Times New Roman" w:cs="Times New Roman"/>
          <w:spacing w:val="-4"/>
          <w:sz w:val="24"/>
          <w:szCs w:val="24"/>
        </w:rPr>
      </w:pPr>
      <w:r w:rsidRPr="00C2708A">
        <w:rPr>
          <w:rFonts w:ascii="Times New Roman" w:hAnsi="Times New Roman" w:cs="Times New Roman"/>
          <w:spacing w:val="-4"/>
          <w:sz w:val="24"/>
          <w:szCs w:val="24"/>
        </w:rPr>
        <w:t>Une application au niveau macro qui fait référence à l’impact sur l’ensemble d’un système bancaire ou encore sur une région géographique, généralement conduite par les banques centrales ou autres organes de régulation</w:t>
      </w:r>
      <w:r w:rsidRPr="002B005F">
        <w:rPr>
          <w:rStyle w:val="Appelnotedebasdep"/>
          <w:rFonts w:ascii="Times New Roman" w:hAnsi="Times New Roman"/>
          <w:spacing w:val="-4"/>
          <w:sz w:val="24"/>
          <w:szCs w:val="24"/>
        </w:rPr>
        <w:footnoteReference w:id="203"/>
      </w:r>
      <w:r w:rsidRPr="00C2708A">
        <w:rPr>
          <w:rFonts w:ascii="Times New Roman" w:hAnsi="Times New Roman" w:cs="Times New Roman"/>
          <w:spacing w:val="-4"/>
          <w:sz w:val="24"/>
          <w:szCs w:val="24"/>
        </w:rPr>
        <w:t>.</w:t>
      </w:r>
    </w:p>
    <w:p w14:paraId="01BB935D" w14:textId="77777777" w:rsidR="002760B2" w:rsidRPr="002B005F" w:rsidRDefault="002760B2" w:rsidP="005B3B7D">
      <w:pPr>
        <w:shd w:val="clear" w:color="auto" w:fill="FFFFFF"/>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L'outil de </w:t>
      </w:r>
      <w:r w:rsidRPr="005B3B7D">
        <w:rPr>
          <w:rFonts w:ascii="Times New Roman" w:hAnsi="Times New Roman" w:cs="Times New Roman"/>
          <w:i/>
          <w:sz w:val="24"/>
          <w:szCs w:val="24"/>
        </w:rPr>
        <w:t>stress test</w:t>
      </w:r>
      <w:r w:rsidRPr="002B005F">
        <w:rPr>
          <w:rFonts w:ascii="Times New Roman" w:hAnsi="Times New Roman" w:cs="Times New Roman"/>
          <w:sz w:val="24"/>
          <w:szCs w:val="24"/>
        </w:rPr>
        <w:t xml:space="preserve"> présente un avantage majeur</w:t>
      </w:r>
      <w:r w:rsidR="009130FF">
        <w:rPr>
          <w:rFonts w:ascii="Times New Roman" w:hAnsi="Times New Roman" w:cs="Times New Roman"/>
          <w:sz w:val="24"/>
          <w:szCs w:val="24"/>
        </w:rPr>
        <w:t> :</w:t>
      </w:r>
      <w:r w:rsidRPr="002B005F">
        <w:rPr>
          <w:rFonts w:ascii="Times New Roman" w:hAnsi="Times New Roman" w:cs="Times New Roman"/>
          <w:sz w:val="24"/>
          <w:szCs w:val="24"/>
        </w:rPr>
        <w:t xml:space="preserve"> il est simple et facilement compréhensible. Cet outil de mesure du risque est très utile car il permet de lier la performance de la banque et de ses métiers à des scénarios économiques concrets et facilement appropriables par les décideurs et les opérationnels. Ce</w:t>
      </w:r>
      <w:r w:rsidR="005B3B7D">
        <w:rPr>
          <w:rFonts w:ascii="Times New Roman" w:hAnsi="Times New Roman" w:cs="Times New Roman"/>
          <w:sz w:val="24"/>
          <w:szCs w:val="24"/>
        </w:rPr>
        <w:t>la</w:t>
      </w:r>
      <w:r w:rsidRPr="002B005F">
        <w:rPr>
          <w:rFonts w:ascii="Times New Roman" w:hAnsi="Times New Roman" w:cs="Times New Roman"/>
          <w:sz w:val="24"/>
          <w:szCs w:val="24"/>
        </w:rPr>
        <w:t xml:space="preserve"> permet de mettre en place des plans de remédiation ou des actions correctrices si on se rend compte que les impacts d’un scénario </w:t>
      </w:r>
      <w:r w:rsidRPr="00CC43D0">
        <w:rPr>
          <w:rFonts w:ascii="Times New Roman" w:hAnsi="Times New Roman" w:cs="Times New Roman"/>
          <w:sz w:val="24"/>
          <w:szCs w:val="24"/>
        </w:rPr>
        <w:t>plausible affecte</w:t>
      </w:r>
      <w:r w:rsidR="00D37100" w:rsidRPr="00CC43D0">
        <w:rPr>
          <w:rFonts w:ascii="Times New Roman" w:hAnsi="Times New Roman" w:cs="Times New Roman"/>
          <w:sz w:val="24"/>
          <w:szCs w:val="24"/>
        </w:rPr>
        <w:t>nt</w:t>
      </w:r>
      <w:r w:rsidRPr="00CC43D0">
        <w:rPr>
          <w:rFonts w:ascii="Times New Roman" w:hAnsi="Times New Roman" w:cs="Times New Roman"/>
          <w:sz w:val="24"/>
          <w:szCs w:val="24"/>
        </w:rPr>
        <w:t xml:space="preserve"> durablement</w:t>
      </w:r>
      <w:r w:rsidRPr="002B005F">
        <w:rPr>
          <w:rFonts w:ascii="Times New Roman" w:hAnsi="Times New Roman" w:cs="Times New Roman"/>
          <w:sz w:val="24"/>
          <w:szCs w:val="24"/>
        </w:rPr>
        <w:t xml:space="preserve"> ou de manière trop importante la performanc</w:t>
      </w:r>
      <w:r w:rsidR="001D73CC" w:rsidRPr="002B005F">
        <w:rPr>
          <w:rFonts w:ascii="Times New Roman" w:hAnsi="Times New Roman" w:cs="Times New Roman"/>
          <w:sz w:val="24"/>
          <w:szCs w:val="24"/>
        </w:rPr>
        <w:t xml:space="preserve">e de la banque. Le </w:t>
      </w:r>
      <w:r w:rsidR="001D73CC" w:rsidRPr="005B3B7D">
        <w:rPr>
          <w:rFonts w:ascii="Times New Roman" w:hAnsi="Times New Roman" w:cs="Times New Roman"/>
          <w:i/>
          <w:sz w:val="24"/>
          <w:szCs w:val="24"/>
        </w:rPr>
        <w:t xml:space="preserve">stress </w:t>
      </w:r>
      <w:r w:rsidRPr="005B3B7D">
        <w:rPr>
          <w:rFonts w:ascii="Times New Roman" w:hAnsi="Times New Roman" w:cs="Times New Roman"/>
          <w:i/>
          <w:sz w:val="24"/>
          <w:szCs w:val="24"/>
        </w:rPr>
        <w:t>testing</w:t>
      </w:r>
      <w:r w:rsidRPr="002B005F">
        <w:rPr>
          <w:rFonts w:ascii="Times New Roman" w:hAnsi="Times New Roman" w:cs="Times New Roman"/>
          <w:sz w:val="24"/>
          <w:szCs w:val="24"/>
        </w:rPr>
        <w:t xml:space="preserve"> a également des applications dans le domaine du pilotage du risque et de la performance des lignes métiers de la banque.</w:t>
      </w:r>
    </w:p>
    <w:p w14:paraId="14111A99" w14:textId="77777777" w:rsidR="002760B2" w:rsidRPr="002B005F" w:rsidRDefault="001D73CC" w:rsidP="005B3B7D">
      <w:pPr>
        <w:shd w:val="clear" w:color="auto" w:fill="FFFFFF"/>
        <w:tabs>
          <w:tab w:val="left" w:pos="0"/>
        </w:tabs>
        <w:spacing w:before="120" w:line="300" w:lineRule="auto"/>
        <w:ind w:firstLine="709"/>
        <w:rPr>
          <w:rFonts w:ascii="Times New Roman" w:hAnsi="Times New Roman" w:cs="Times New Roman"/>
          <w:spacing w:val="-4"/>
          <w:sz w:val="24"/>
          <w:szCs w:val="24"/>
        </w:rPr>
      </w:pPr>
      <w:r w:rsidRPr="002B005F">
        <w:rPr>
          <w:rFonts w:ascii="Times New Roman" w:hAnsi="Times New Roman" w:cs="Times New Roman"/>
          <w:spacing w:val="-4"/>
          <w:sz w:val="24"/>
          <w:szCs w:val="24"/>
        </w:rPr>
        <w:t>Donc, l</w:t>
      </w:r>
      <w:r w:rsidR="002760B2" w:rsidRPr="002B005F">
        <w:rPr>
          <w:rFonts w:ascii="Times New Roman" w:hAnsi="Times New Roman" w:cs="Times New Roman"/>
          <w:spacing w:val="-4"/>
          <w:sz w:val="24"/>
          <w:szCs w:val="24"/>
        </w:rPr>
        <w:t xml:space="preserve">e </w:t>
      </w:r>
      <w:r w:rsidR="002760B2" w:rsidRPr="005B3B7D">
        <w:rPr>
          <w:rFonts w:ascii="Times New Roman" w:hAnsi="Times New Roman" w:cs="Times New Roman"/>
          <w:i/>
          <w:spacing w:val="-4"/>
          <w:sz w:val="24"/>
          <w:szCs w:val="24"/>
        </w:rPr>
        <w:t>stress testing</w:t>
      </w:r>
      <w:r w:rsidR="002760B2" w:rsidRPr="002B005F">
        <w:rPr>
          <w:rFonts w:ascii="Times New Roman" w:hAnsi="Times New Roman" w:cs="Times New Roman"/>
          <w:spacing w:val="-4"/>
          <w:sz w:val="24"/>
          <w:szCs w:val="24"/>
        </w:rPr>
        <w:t xml:space="preserve"> consiste à mesurer l’impact d’un scenario économique adverse, sévère mais plausible sur les portefeuilles de la banque. Il mesure l’écart entre les effets produits dans un </w:t>
      </w:r>
      <w:r w:rsidR="002760B2" w:rsidRPr="00CC43D0">
        <w:rPr>
          <w:rFonts w:ascii="Times New Roman" w:hAnsi="Times New Roman" w:cs="Times New Roman"/>
          <w:spacing w:val="-4"/>
          <w:sz w:val="24"/>
          <w:szCs w:val="24"/>
        </w:rPr>
        <w:t>scénario baseline et un</w:t>
      </w:r>
      <w:r w:rsidR="002760B2" w:rsidRPr="002B005F">
        <w:rPr>
          <w:rFonts w:ascii="Times New Roman" w:hAnsi="Times New Roman" w:cs="Times New Roman"/>
          <w:spacing w:val="-4"/>
          <w:sz w:val="24"/>
          <w:szCs w:val="24"/>
        </w:rPr>
        <w:t xml:space="preserve"> scénario adverse. Cette approche a été abondamment reprise par les régulateurs et superviseurs pour s’assurer de la robustesse des établissements bancaires.</w:t>
      </w:r>
    </w:p>
    <w:p w14:paraId="6F3621D2" w14:textId="77777777" w:rsidR="002760B2" w:rsidRPr="00B0420B" w:rsidRDefault="000552FF" w:rsidP="00C86447">
      <w:pPr>
        <w:pStyle w:val="Titre3"/>
        <w:keepNext w:val="0"/>
        <w:keepLines w:val="0"/>
        <w:spacing w:before="100" w:beforeAutospacing="1"/>
        <w:ind w:firstLine="709"/>
        <w:rPr>
          <w:sz w:val="28"/>
          <w:szCs w:val="28"/>
          <w:lang w:eastAsia="fr-FR"/>
        </w:rPr>
      </w:pPr>
      <w:bookmarkStart w:id="811" w:name="_Toc37664558"/>
      <w:bookmarkStart w:id="812" w:name="_Toc37666403"/>
      <w:bookmarkStart w:id="813" w:name="_Toc54363292"/>
      <w:bookmarkStart w:id="814" w:name="_Toc58606288"/>
      <w:bookmarkStart w:id="815" w:name="_Toc61263493"/>
      <w:bookmarkStart w:id="816" w:name="_Toc182298728"/>
      <w:r w:rsidRPr="00B0420B">
        <w:rPr>
          <w:sz w:val="28"/>
          <w:szCs w:val="28"/>
          <w:lang w:eastAsia="fr-FR"/>
        </w:rPr>
        <w:t xml:space="preserve">2.3- </w:t>
      </w:r>
      <w:r w:rsidR="002760B2" w:rsidRPr="00B0420B">
        <w:rPr>
          <w:sz w:val="28"/>
          <w:szCs w:val="28"/>
          <w:lang w:eastAsia="fr-FR"/>
        </w:rPr>
        <w:t>Techniques d’atténuation de risques</w:t>
      </w:r>
      <w:bookmarkEnd w:id="811"/>
      <w:bookmarkEnd w:id="812"/>
      <w:bookmarkEnd w:id="813"/>
      <w:bookmarkEnd w:id="814"/>
      <w:bookmarkEnd w:id="815"/>
      <w:bookmarkEnd w:id="816"/>
    </w:p>
    <w:p w14:paraId="0ABC55A7" w14:textId="3F0C7425" w:rsidR="002760B2" w:rsidRPr="002B005F" w:rsidRDefault="000552FF" w:rsidP="00C86447">
      <w:pPr>
        <w:pStyle w:val="Titre4"/>
        <w:keepNext w:val="0"/>
        <w:spacing w:before="120" w:after="120" w:line="300" w:lineRule="auto"/>
        <w:ind w:firstLine="709"/>
      </w:pPr>
      <w:bookmarkStart w:id="817" w:name="_Toc33263296"/>
      <w:bookmarkStart w:id="818" w:name="_Toc37664559"/>
      <w:bookmarkStart w:id="819" w:name="_Toc37666404"/>
      <w:bookmarkStart w:id="820" w:name="_Toc54363293"/>
      <w:bookmarkStart w:id="821" w:name="_Toc58606289"/>
      <w:bookmarkStart w:id="822" w:name="_Toc61263494"/>
      <w:bookmarkStart w:id="823" w:name="_Toc182298729"/>
      <w:r>
        <w:t xml:space="preserve">2.3.1- </w:t>
      </w:r>
      <w:r w:rsidR="00C50393">
        <w:t>T</w:t>
      </w:r>
      <w:r w:rsidR="002760B2" w:rsidRPr="002B005F">
        <w:t>itrisation</w:t>
      </w:r>
      <w:bookmarkEnd w:id="817"/>
      <w:bookmarkEnd w:id="818"/>
      <w:bookmarkEnd w:id="819"/>
      <w:bookmarkEnd w:id="820"/>
      <w:bookmarkEnd w:id="821"/>
      <w:bookmarkEnd w:id="822"/>
      <w:bookmarkEnd w:id="823"/>
    </w:p>
    <w:p w14:paraId="762E8B8E" w14:textId="2BDCB794" w:rsidR="002760B2" w:rsidRPr="003A268A" w:rsidRDefault="00D37100" w:rsidP="00CC43D0">
      <w:pPr>
        <w:widowControl w:val="0"/>
        <w:tabs>
          <w:tab w:val="left" w:pos="0"/>
        </w:tabs>
        <w:autoSpaceDE w:val="0"/>
        <w:autoSpaceDN w:val="0"/>
        <w:adjustRightInd w:val="0"/>
        <w:spacing w:before="120" w:line="300" w:lineRule="auto"/>
        <w:ind w:firstLine="709"/>
        <w:rPr>
          <w:rFonts w:ascii="Times New Roman" w:hAnsi="Times New Roman" w:cs="Times New Roman"/>
          <w:spacing w:val="-6"/>
          <w:sz w:val="24"/>
          <w:szCs w:val="24"/>
        </w:rPr>
      </w:pPr>
      <w:r w:rsidRPr="003A268A">
        <w:rPr>
          <w:rFonts w:ascii="Times New Roman" w:hAnsi="Times New Roman" w:cs="Times New Roman"/>
          <w:spacing w:val="-6"/>
          <w:sz w:val="24"/>
          <w:szCs w:val="24"/>
        </w:rPr>
        <w:t xml:space="preserve">Le mot </w:t>
      </w:r>
      <w:r w:rsidR="005443BC" w:rsidRPr="003A268A">
        <w:rPr>
          <w:rFonts w:ascii="Times New Roman" w:hAnsi="Times New Roman" w:cs="Times New Roman"/>
          <w:spacing w:val="-6"/>
          <w:sz w:val="24"/>
          <w:szCs w:val="24"/>
        </w:rPr>
        <w:t>"</w:t>
      </w:r>
      <w:r w:rsidRPr="003A268A">
        <w:rPr>
          <w:rFonts w:ascii="Times New Roman" w:hAnsi="Times New Roman" w:cs="Times New Roman"/>
          <w:spacing w:val="-6"/>
          <w:sz w:val="24"/>
          <w:szCs w:val="24"/>
        </w:rPr>
        <w:t>titrisation</w:t>
      </w:r>
      <w:r w:rsidR="005443BC" w:rsidRPr="003A268A">
        <w:rPr>
          <w:rFonts w:ascii="Times New Roman" w:hAnsi="Times New Roman" w:cs="Times New Roman"/>
          <w:spacing w:val="-6"/>
          <w:sz w:val="24"/>
          <w:szCs w:val="24"/>
        </w:rPr>
        <w:t>"</w:t>
      </w:r>
      <w:r w:rsidRPr="003A268A">
        <w:rPr>
          <w:rFonts w:ascii="Times New Roman" w:hAnsi="Times New Roman" w:cs="Times New Roman"/>
          <w:spacing w:val="-6"/>
          <w:sz w:val="24"/>
          <w:szCs w:val="24"/>
        </w:rPr>
        <w:t xml:space="preserve"> est originaire du terme anglo-saxon </w:t>
      </w:r>
      <w:r w:rsidRPr="003A268A">
        <w:rPr>
          <w:rFonts w:ascii="Times New Roman" w:hAnsi="Times New Roman" w:cs="Times New Roman"/>
          <w:i/>
          <w:iCs/>
          <w:spacing w:val="-6"/>
          <w:sz w:val="24"/>
          <w:szCs w:val="24"/>
        </w:rPr>
        <w:t>securitization</w:t>
      </w:r>
      <w:r w:rsidRPr="003A268A">
        <w:rPr>
          <w:rFonts w:ascii="Times New Roman" w:hAnsi="Times New Roman" w:cs="Times New Roman"/>
          <w:spacing w:val="-6"/>
          <w:sz w:val="24"/>
          <w:szCs w:val="24"/>
        </w:rPr>
        <w:t xml:space="preserve">. En anglais, </w:t>
      </w:r>
      <w:r w:rsidRPr="003A268A">
        <w:rPr>
          <w:rFonts w:ascii="Times New Roman" w:hAnsi="Times New Roman" w:cs="Times New Roman"/>
          <w:i/>
          <w:iCs/>
          <w:spacing w:val="-6"/>
          <w:sz w:val="24"/>
          <w:szCs w:val="24"/>
        </w:rPr>
        <w:t>securities</w:t>
      </w:r>
      <w:r w:rsidRPr="003A268A">
        <w:rPr>
          <w:rFonts w:ascii="Times New Roman" w:hAnsi="Times New Roman" w:cs="Times New Roman"/>
          <w:spacing w:val="-6"/>
          <w:sz w:val="24"/>
          <w:szCs w:val="24"/>
        </w:rPr>
        <w:t xml:space="preserve"> désigne valeurs mobilières ou titres. </w:t>
      </w:r>
      <w:r w:rsidRPr="003A268A">
        <w:rPr>
          <w:rFonts w:ascii="Times New Roman" w:hAnsi="Times New Roman" w:cs="Times New Roman"/>
          <w:i/>
          <w:iCs/>
          <w:spacing w:val="-6"/>
          <w:sz w:val="24"/>
          <w:szCs w:val="24"/>
        </w:rPr>
        <w:t>Securitization</w:t>
      </w:r>
      <w:r w:rsidRPr="003A268A">
        <w:rPr>
          <w:rFonts w:ascii="Times New Roman" w:hAnsi="Times New Roman" w:cs="Times New Roman"/>
          <w:spacing w:val="-6"/>
          <w:sz w:val="24"/>
          <w:szCs w:val="24"/>
        </w:rPr>
        <w:t xml:space="preserve"> développe l’idée de la transformation d’un ensemble d’éléments d’actifs en titres. </w:t>
      </w:r>
      <w:r w:rsidR="002760B2" w:rsidRPr="003A268A">
        <w:rPr>
          <w:rFonts w:ascii="Times New Roman" w:hAnsi="Times New Roman" w:cs="Times New Roman"/>
          <w:spacing w:val="-6"/>
          <w:sz w:val="24"/>
          <w:szCs w:val="24"/>
        </w:rPr>
        <w:t xml:space="preserve">La titrisation est l’une des composantes de la mutation </w:t>
      </w:r>
      <w:r w:rsidR="002A5BC8" w:rsidRPr="003A268A">
        <w:rPr>
          <w:rFonts w:ascii="Times New Roman" w:hAnsi="Times New Roman" w:cs="Times New Roman"/>
          <w:spacing w:val="-6"/>
          <w:sz w:val="24"/>
          <w:szCs w:val="24"/>
        </w:rPr>
        <w:t>financière</w:t>
      </w:r>
      <w:r w:rsidR="002A5BC8">
        <w:rPr>
          <w:rFonts w:ascii="Times New Roman" w:hAnsi="Times New Roman" w:cs="Times New Roman"/>
          <w:spacing w:val="-6"/>
          <w:sz w:val="24"/>
          <w:szCs w:val="24"/>
        </w:rPr>
        <w:t> ;</w:t>
      </w:r>
      <w:r w:rsidR="002760B2" w:rsidRPr="003A268A">
        <w:rPr>
          <w:rFonts w:ascii="Times New Roman" w:hAnsi="Times New Roman" w:cs="Times New Roman"/>
          <w:spacing w:val="-6"/>
          <w:sz w:val="24"/>
          <w:szCs w:val="24"/>
        </w:rPr>
        <w:t xml:space="preserve"> ce phénomène évoque l’essor des marchés de titres et de la désintermédiation</w:t>
      </w:r>
      <w:r w:rsidR="002760B2" w:rsidRPr="003A268A">
        <w:rPr>
          <w:rStyle w:val="Appelnotedebasdep"/>
          <w:rFonts w:ascii="Times New Roman" w:hAnsi="Times New Roman"/>
          <w:spacing w:val="-6"/>
          <w:sz w:val="24"/>
          <w:szCs w:val="24"/>
        </w:rPr>
        <w:footnoteReference w:id="204"/>
      </w:r>
      <w:r w:rsidR="002760B2" w:rsidRPr="003A268A">
        <w:rPr>
          <w:rFonts w:ascii="Times New Roman" w:hAnsi="Times New Roman" w:cs="Times New Roman"/>
          <w:spacing w:val="-6"/>
          <w:sz w:val="24"/>
          <w:szCs w:val="24"/>
        </w:rPr>
        <w:t>.</w:t>
      </w:r>
      <w:r w:rsidR="009F5DE1" w:rsidRPr="003A268A">
        <w:rPr>
          <w:rFonts w:ascii="Times New Roman" w:hAnsi="Times New Roman" w:cs="Times New Roman"/>
          <w:spacing w:val="-6"/>
          <w:sz w:val="24"/>
          <w:szCs w:val="24"/>
        </w:rPr>
        <w:t xml:space="preserve"> </w:t>
      </w:r>
      <w:r w:rsidR="002760B2" w:rsidRPr="003A268A">
        <w:rPr>
          <w:rFonts w:ascii="Times New Roman" w:hAnsi="Times New Roman" w:cs="Times New Roman"/>
          <w:spacing w:val="-6"/>
          <w:sz w:val="24"/>
          <w:szCs w:val="24"/>
        </w:rPr>
        <w:t xml:space="preserve">Cette </w:t>
      </w:r>
      <w:r w:rsidR="002760B2" w:rsidRPr="003A268A">
        <w:rPr>
          <w:rFonts w:ascii="Times New Roman" w:hAnsi="Times New Roman" w:cs="Times New Roman"/>
          <w:spacing w:val="-6"/>
          <w:sz w:val="24"/>
          <w:szCs w:val="24"/>
        </w:rPr>
        <w:lastRenderedPageBreak/>
        <w:t>opération permet non seulement aux banques d’assurer d’autres sources de financement en rendant liquides les actifs logés dans leurs bilans mais aussi de transférer les risques liés à ces actifs à d’autres investisseurs qui sont prêts</w:t>
      </w:r>
      <w:r w:rsidRPr="003A268A">
        <w:rPr>
          <w:rFonts w:ascii="Times New Roman" w:hAnsi="Times New Roman" w:cs="Times New Roman"/>
          <w:spacing w:val="-6"/>
          <w:sz w:val="24"/>
          <w:szCs w:val="24"/>
        </w:rPr>
        <w:t xml:space="preserve"> à</w:t>
      </w:r>
      <w:r w:rsidR="002760B2" w:rsidRPr="003A268A">
        <w:rPr>
          <w:rFonts w:ascii="Times New Roman" w:hAnsi="Times New Roman" w:cs="Times New Roman"/>
          <w:spacing w:val="-6"/>
          <w:sz w:val="24"/>
          <w:szCs w:val="24"/>
        </w:rPr>
        <w:t xml:space="preserve"> les assumer. De ce fait, elle permet la dispersion du risque sur un plus grand nombre d’investisseurs et de rendre le système financier plus robuste.</w:t>
      </w:r>
      <w:r w:rsidR="005443BC" w:rsidRPr="003A268A">
        <w:rPr>
          <w:rFonts w:ascii="Times New Roman" w:hAnsi="Times New Roman" w:cs="Times New Roman"/>
          <w:spacing w:val="-6"/>
          <w:sz w:val="24"/>
          <w:szCs w:val="24"/>
        </w:rPr>
        <w:t xml:space="preserve"> Il est loisible de </w:t>
      </w:r>
      <w:r w:rsidR="00C63E51" w:rsidRPr="003A268A">
        <w:rPr>
          <w:rFonts w:ascii="Times New Roman" w:hAnsi="Times New Roman" w:cs="Times New Roman"/>
          <w:spacing w:val="-6"/>
          <w:sz w:val="24"/>
          <w:szCs w:val="24"/>
        </w:rPr>
        <w:t>cit</w:t>
      </w:r>
      <w:r w:rsidR="005443BC" w:rsidRPr="003A268A">
        <w:rPr>
          <w:rFonts w:ascii="Times New Roman" w:hAnsi="Times New Roman" w:cs="Times New Roman"/>
          <w:spacing w:val="-6"/>
          <w:sz w:val="24"/>
          <w:szCs w:val="24"/>
        </w:rPr>
        <w:t>er plusieurs opinions dont :</w:t>
      </w:r>
    </w:p>
    <w:p w14:paraId="72ACC703" w14:textId="77777777" w:rsidR="002760B2" w:rsidRPr="003A268A" w:rsidRDefault="002760B2" w:rsidP="00CB0FF1">
      <w:pPr>
        <w:pStyle w:val="Paragraphedeliste"/>
        <w:numPr>
          <w:ilvl w:val="0"/>
          <w:numId w:val="108"/>
        </w:numPr>
        <w:tabs>
          <w:tab w:val="left" w:pos="0"/>
        </w:tabs>
        <w:autoSpaceDE w:val="0"/>
        <w:autoSpaceDN w:val="0"/>
        <w:adjustRightInd w:val="0"/>
        <w:spacing w:before="60" w:line="300" w:lineRule="auto"/>
        <w:ind w:left="1135" w:hanging="284"/>
        <w:contextualSpacing w:val="0"/>
        <w:rPr>
          <w:rFonts w:ascii="Times New Roman" w:hAnsi="Times New Roman" w:cs="Times New Roman"/>
          <w:spacing w:val="-6"/>
          <w:sz w:val="24"/>
          <w:szCs w:val="24"/>
        </w:rPr>
      </w:pPr>
      <w:r w:rsidRPr="003A268A">
        <w:rPr>
          <w:rFonts w:ascii="Times New Roman" w:hAnsi="Times New Roman" w:cs="Times New Roman"/>
          <w:spacing w:val="-6"/>
          <w:sz w:val="24"/>
          <w:szCs w:val="24"/>
        </w:rPr>
        <w:t xml:space="preserve">Selon </w:t>
      </w:r>
      <w:r w:rsidRPr="003A268A">
        <w:rPr>
          <w:rFonts w:ascii="Times New Roman" w:hAnsi="Times New Roman" w:cs="Times New Roman"/>
          <w:smallCaps/>
          <w:spacing w:val="-6"/>
          <w:sz w:val="24"/>
          <w:szCs w:val="24"/>
        </w:rPr>
        <w:t>Rives-Lange</w:t>
      </w:r>
      <w:r w:rsidRPr="003A268A">
        <w:rPr>
          <w:rFonts w:ascii="Times New Roman" w:hAnsi="Times New Roman" w:cs="Times New Roman"/>
          <w:spacing w:val="-6"/>
          <w:sz w:val="24"/>
          <w:szCs w:val="24"/>
        </w:rPr>
        <w:t xml:space="preserve"> et </w:t>
      </w:r>
      <w:r w:rsidRPr="003A268A">
        <w:rPr>
          <w:rFonts w:ascii="Times New Roman" w:hAnsi="Times New Roman" w:cs="Times New Roman"/>
          <w:smallCaps/>
          <w:spacing w:val="-6"/>
          <w:sz w:val="24"/>
          <w:szCs w:val="24"/>
        </w:rPr>
        <w:t>Contamine -Raynaud</w:t>
      </w:r>
      <w:r w:rsidRPr="003A268A">
        <w:rPr>
          <w:rFonts w:ascii="Times New Roman" w:hAnsi="Times New Roman" w:cs="Times New Roman"/>
          <w:spacing w:val="-6"/>
          <w:sz w:val="24"/>
          <w:szCs w:val="24"/>
        </w:rPr>
        <w:t xml:space="preserve"> (1995)</w:t>
      </w:r>
      <w:r w:rsidR="004057FE" w:rsidRPr="003A268A">
        <w:rPr>
          <w:rFonts w:ascii="Times New Roman" w:hAnsi="Times New Roman" w:cs="Times New Roman"/>
          <w:spacing w:val="-6"/>
          <w:sz w:val="24"/>
          <w:szCs w:val="24"/>
        </w:rPr>
        <w:t xml:space="preserve">, </w:t>
      </w:r>
      <w:r w:rsidR="001D73CC" w:rsidRPr="003A268A">
        <w:rPr>
          <w:rFonts w:ascii="Times New Roman" w:hAnsi="Times New Roman" w:cs="Times New Roman"/>
          <w:spacing w:val="-6"/>
          <w:sz w:val="24"/>
          <w:szCs w:val="24"/>
        </w:rPr>
        <w:t>« </w:t>
      </w:r>
      <w:r w:rsidRPr="003A268A">
        <w:rPr>
          <w:rFonts w:ascii="Times New Roman" w:hAnsi="Times New Roman" w:cs="Times New Roman"/>
          <w:i/>
          <w:iCs/>
          <w:spacing w:val="-6"/>
          <w:sz w:val="24"/>
          <w:szCs w:val="24"/>
        </w:rPr>
        <w:t>La titrisation est un procédé qui consiste à permettre aux établissements de crédit de placer sur le ma</w:t>
      </w:r>
      <w:r w:rsidR="00782E8E" w:rsidRPr="003A268A">
        <w:rPr>
          <w:rFonts w:ascii="Times New Roman" w:hAnsi="Times New Roman" w:cs="Times New Roman"/>
          <w:i/>
          <w:iCs/>
          <w:spacing w:val="-6"/>
          <w:sz w:val="24"/>
          <w:szCs w:val="24"/>
        </w:rPr>
        <w:t>rché, par l'intermédiaire d'un f</w:t>
      </w:r>
      <w:r w:rsidRPr="003A268A">
        <w:rPr>
          <w:rFonts w:ascii="Times New Roman" w:hAnsi="Times New Roman" w:cs="Times New Roman"/>
          <w:i/>
          <w:iCs/>
          <w:spacing w:val="-6"/>
          <w:sz w:val="24"/>
          <w:szCs w:val="24"/>
        </w:rPr>
        <w:t>onds spécialisé, les créances qu'ils détiennent sur leurs clients</w:t>
      </w:r>
      <w:r w:rsidR="001D73CC" w:rsidRPr="003A268A">
        <w:rPr>
          <w:rFonts w:ascii="Times New Roman" w:hAnsi="Times New Roman" w:cs="Times New Roman"/>
          <w:spacing w:val="-6"/>
          <w:sz w:val="24"/>
          <w:szCs w:val="24"/>
        </w:rPr>
        <w:t> ».</w:t>
      </w:r>
      <w:r w:rsidRPr="003A268A">
        <w:rPr>
          <w:rStyle w:val="Appelnotedebasdep"/>
          <w:rFonts w:ascii="Times New Roman" w:hAnsi="Times New Roman"/>
          <w:spacing w:val="-6"/>
          <w:sz w:val="24"/>
          <w:szCs w:val="24"/>
        </w:rPr>
        <w:footnoteReference w:id="205"/>
      </w:r>
    </w:p>
    <w:p w14:paraId="695BA4D0" w14:textId="77777777" w:rsidR="002760B2" w:rsidRPr="003A268A" w:rsidRDefault="002760B2" w:rsidP="00CB0FF1">
      <w:pPr>
        <w:pStyle w:val="Paragraphedeliste"/>
        <w:numPr>
          <w:ilvl w:val="0"/>
          <w:numId w:val="108"/>
        </w:numPr>
        <w:tabs>
          <w:tab w:val="left" w:pos="0"/>
        </w:tabs>
        <w:autoSpaceDE w:val="0"/>
        <w:autoSpaceDN w:val="0"/>
        <w:adjustRightInd w:val="0"/>
        <w:spacing w:before="60" w:line="300" w:lineRule="auto"/>
        <w:ind w:left="1135" w:hanging="284"/>
        <w:contextualSpacing w:val="0"/>
        <w:rPr>
          <w:rFonts w:ascii="Times New Roman" w:hAnsi="Times New Roman" w:cs="Times New Roman"/>
          <w:spacing w:val="-6"/>
          <w:sz w:val="24"/>
          <w:szCs w:val="24"/>
        </w:rPr>
      </w:pPr>
      <w:r w:rsidRPr="003A268A">
        <w:rPr>
          <w:rFonts w:ascii="Times New Roman" w:hAnsi="Times New Roman" w:cs="Times New Roman"/>
          <w:spacing w:val="-6"/>
          <w:sz w:val="24"/>
          <w:szCs w:val="24"/>
        </w:rPr>
        <w:t xml:space="preserve">Quant à </w:t>
      </w:r>
      <w:r w:rsidRPr="003A268A">
        <w:rPr>
          <w:rFonts w:ascii="Times New Roman" w:hAnsi="Times New Roman" w:cs="Times New Roman"/>
          <w:smallCaps/>
          <w:spacing w:val="-6"/>
          <w:sz w:val="24"/>
          <w:szCs w:val="24"/>
        </w:rPr>
        <w:t>Beltas</w:t>
      </w:r>
      <w:r w:rsidRPr="003A268A">
        <w:rPr>
          <w:rFonts w:ascii="Times New Roman" w:hAnsi="Times New Roman" w:cs="Times New Roman"/>
          <w:spacing w:val="-6"/>
          <w:sz w:val="24"/>
          <w:szCs w:val="24"/>
        </w:rPr>
        <w:t xml:space="preserve"> (2007)</w:t>
      </w:r>
      <w:r w:rsidR="00782E8E" w:rsidRPr="003A268A">
        <w:rPr>
          <w:rFonts w:ascii="Times New Roman" w:hAnsi="Times New Roman" w:cs="Times New Roman"/>
          <w:spacing w:val="-6"/>
          <w:sz w:val="24"/>
          <w:szCs w:val="24"/>
        </w:rPr>
        <w:t>,</w:t>
      </w:r>
      <w:r w:rsidRPr="003A268A">
        <w:rPr>
          <w:rFonts w:ascii="Times New Roman" w:hAnsi="Times New Roman" w:cs="Times New Roman"/>
          <w:spacing w:val="-6"/>
          <w:sz w:val="24"/>
          <w:szCs w:val="24"/>
        </w:rPr>
        <w:t xml:space="preserve"> la titrisation se définit comme </w:t>
      </w:r>
      <w:r w:rsidR="00782E8E" w:rsidRPr="003A268A">
        <w:rPr>
          <w:rFonts w:ascii="Times New Roman" w:hAnsi="Times New Roman" w:cs="Times New Roman"/>
          <w:spacing w:val="-6"/>
          <w:sz w:val="24"/>
          <w:szCs w:val="24"/>
        </w:rPr>
        <w:t>« </w:t>
      </w:r>
      <w:r w:rsidRPr="003A268A">
        <w:rPr>
          <w:rFonts w:ascii="Times New Roman" w:hAnsi="Times New Roman" w:cs="Times New Roman"/>
          <w:i/>
          <w:iCs/>
          <w:spacing w:val="-6"/>
          <w:sz w:val="24"/>
          <w:szCs w:val="24"/>
        </w:rPr>
        <w:t>un mécanisme qui permet le transfert du risque financier d’un agent économique (banque ou établissement financier), détenteur des créances titrisables vers des investisseurs par le biais de transactions sur le marché financier</w:t>
      </w:r>
      <w:r w:rsidR="00782E8E" w:rsidRPr="003A268A">
        <w:rPr>
          <w:rFonts w:ascii="Times New Roman" w:hAnsi="Times New Roman" w:cs="Times New Roman"/>
          <w:i/>
          <w:iCs/>
          <w:spacing w:val="-6"/>
          <w:sz w:val="24"/>
          <w:szCs w:val="24"/>
        </w:rPr>
        <w:t> »</w:t>
      </w:r>
      <w:r w:rsidRPr="003A268A">
        <w:rPr>
          <w:rStyle w:val="Appelnotedebasdep"/>
          <w:rFonts w:ascii="Times New Roman" w:hAnsi="Times New Roman"/>
          <w:spacing w:val="-6"/>
          <w:sz w:val="24"/>
          <w:szCs w:val="24"/>
        </w:rPr>
        <w:footnoteReference w:id="206"/>
      </w:r>
      <w:r w:rsidRPr="003A268A">
        <w:rPr>
          <w:rFonts w:ascii="Times New Roman" w:hAnsi="Times New Roman" w:cs="Times New Roman"/>
          <w:spacing w:val="-6"/>
          <w:sz w:val="24"/>
          <w:szCs w:val="24"/>
        </w:rPr>
        <w:t>.</w:t>
      </w:r>
    </w:p>
    <w:p w14:paraId="7BCEC0F6" w14:textId="77777777" w:rsidR="005443BC" w:rsidRPr="003A268A" w:rsidRDefault="00D37100" w:rsidP="00CB0FF1">
      <w:pPr>
        <w:pStyle w:val="Paragraphedeliste"/>
        <w:numPr>
          <w:ilvl w:val="0"/>
          <w:numId w:val="108"/>
        </w:numPr>
        <w:tabs>
          <w:tab w:val="left" w:pos="0"/>
        </w:tabs>
        <w:autoSpaceDE w:val="0"/>
        <w:autoSpaceDN w:val="0"/>
        <w:adjustRightInd w:val="0"/>
        <w:spacing w:before="60" w:line="300" w:lineRule="auto"/>
        <w:ind w:left="1135" w:hanging="284"/>
        <w:contextualSpacing w:val="0"/>
        <w:rPr>
          <w:rFonts w:ascii="Times New Roman" w:hAnsi="Times New Roman" w:cs="Times New Roman"/>
          <w:spacing w:val="-6"/>
          <w:sz w:val="24"/>
          <w:szCs w:val="24"/>
        </w:rPr>
      </w:pPr>
      <w:r w:rsidRPr="003A268A">
        <w:rPr>
          <w:rFonts w:ascii="Times New Roman" w:hAnsi="Times New Roman" w:cs="Times New Roman"/>
          <w:spacing w:val="-6"/>
          <w:sz w:val="24"/>
          <w:szCs w:val="24"/>
        </w:rPr>
        <w:t>D’après</w:t>
      </w:r>
      <w:r w:rsidR="002760B2" w:rsidRPr="003A268A">
        <w:rPr>
          <w:rFonts w:ascii="Times New Roman" w:hAnsi="Times New Roman" w:cs="Times New Roman"/>
          <w:spacing w:val="-6"/>
          <w:sz w:val="24"/>
          <w:szCs w:val="24"/>
        </w:rPr>
        <w:t xml:space="preserve"> </w:t>
      </w:r>
      <w:r w:rsidR="002760B2" w:rsidRPr="003A268A">
        <w:rPr>
          <w:rFonts w:ascii="Times New Roman" w:hAnsi="Times New Roman" w:cs="Times New Roman"/>
          <w:smallCaps/>
          <w:spacing w:val="-6"/>
          <w:sz w:val="24"/>
          <w:szCs w:val="24"/>
        </w:rPr>
        <w:t>La-Baume</w:t>
      </w:r>
      <w:r w:rsidR="002760B2" w:rsidRPr="003A268A">
        <w:rPr>
          <w:rFonts w:ascii="Times New Roman" w:hAnsi="Times New Roman" w:cs="Times New Roman"/>
          <w:spacing w:val="-6"/>
          <w:sz w:val="24"/>
          <w:szCs w:val="24"/>
        </w:rPr>
        <w:t xml:space="preserve"> et </w:t>
      </w:r>
      <w:r w:rsidR="002760B2" w:rsidRPr="003A268A">
        <w:rPr>
          <w:rFonts w:ascii="Times New Roman" w:hAnsi="Times New Roman" w:cs="Times New Roman"/>
          <w:smallCaps/>
          <w:spacing w:val="-6"/>
          <w:sz w:val="24"/>
          <w:szCs w:val="24"/>
        </w:rPr>
        <w:t>Stolowy</w:t>
      </w:r>
      <w:r w:rsidR="002760B2" w:rsidRPr="003A268A">
        <w:rPr>
          <w:rFonts w:ascii="Times New Roman" w:hAnsi="Times New Roman" w:cs="Times New Roman"/>
          <w:spacing w:val="-6"/>
          <w:sz w:val="24"/>
          <w:szCs w:val="24"/>
        </w:rPr>
        <w:t xml:space="preserve"> (1993), </w:t>
      </w:r>
      <w:r w:rsidR="00A40C86" w:rsidRPr="003A268A">
        <w:rPr>
          <w:rFonts w:ascii="Times New Roman" w:hAnsi="Times New Roman" w:cs="Times New Roman"/>
          <w:spacing w:val="-6"/>
          <w:sz w:val="24"/>
          <w:szCs w:val="24"/>
        </w:rPr>
        <w:t>« </w:t>
      </w:r>
      <w:r w:rsidR="002760B2" w:rsidRPr="003A268A">
        <w:rPr>
          <w:rFonts w:ascii="Times New Roman" w:hAnsi="Times New Roman" w:cs="Times New Roman"/>
          <w:spacing w:val="-6"/>
          <w:sz w:val="24"/>
          <w:szCs w:val="24"/>
        </w:rPr>
        <w:t>la transformation en titres d’un ensemble de créances constitue un moyen de gérer le risque client qui peut ainsi être transféré</w:t>
      </w:r>
      <w:r w:rsidR="00A40C86" w:rsidRPr="003A268A">
        <w:rPr>
          <w:rFonts w:ascii="Times New Roman" w:hAnsi="Times New Roman" w:cs="Times New Roman"/>
          <w:spacing w:val="-6"/>
          <w:sz w:val="24"/>
          <w:szCs w:val="24"/>
        </w:rPr>
        <w:t> ».</w:t>
      </w:r>
      <w:r w:rsidR="002760B2" w:rsidRPr="003A268A">
        <w:rPr>
          <w:rStyle w:val="Appelnotedebasdep"/>
          <w:rFonts w:ascii="Times New Roman" w:hAnsi="Times New Roman"/>
          <w:spacing w:val="-6"/>
          <w:sz w:val="24"/>
          <w:szCs w:val="24"/>
        </w:rPr>
        <w:footnoteReference w:id="207"/>
      </w:r>
    </w:p>
    <w:p w14:paraId="45CD91CE" w14:textId="77777777" w:rsidR="002760B2" w:rsidRPr="003A268A" w:rsidRDefault="002760B2" w:rsidP="005B3B7D">
      <w:pPr>
        <w:widowControl w:val="0"/>
        <w:tabs>
          <w:tab w:val="left" w:pos="0"/>
        </w:tabs>
        <w:autoSpaceDE w:val="0"/>
        <w:autoSpaceDN w:val="0"/>
        <w:adjustRightInd w:val="0"/>
        <w:spacing w:before="120" w:line="300" w:lineRule="auto"/>
        <w:ind w:firstLine="709"/>
        <w:rPr>
          <w:rFonts w:ascii="Times New Roman" w:hAnsi="Times New Roman" w:cs="Times New Roman"/>
          <w:spacing w:val="-6"/>
          <w:sz w:val="24"/>
          <w:szCs w:val="24"/>
        </w:rPr>
      </w:pPr>
      <w:r w:rsidRPr="003A268A">
        <w:rPr>
          <w:rFonts w:ascii="Times New Roman" w:hAnsi="Times New Roman" w:cs="Times New Roman"/>
          <w:spacing w:val="-6"/>
          <w:sz w:val="24"/>
          <w:szCs w:val="24"/>
        </w:rPr>
        <w:t xml:space="preserve">En effet, comme explicité précédemment, la titrisation change le rôle des intermédiaires financiers qui se spécialisent dans la sélection initiale des créances et, éventuellement, la gestion des risques, mais laissent à d’autres intervenants (rehausseurs, banquiers d’affaires, investisseurs…) le soin de supporter les risques, notamment de crédit. Ce procédé semble être arrivé à un stade de maturité élevé aux États-Unis où certains types de créances ne font que </w:t>
      </w:r>
      <w:r w:rsidR="005443BC" w:rsidRPr="003A268A">
        <w:rPr>
          <w:rFonts w:ascii="Times New Roman" w:hAnsi="Times New Roman" w:cs="Times New Roman"/>
          <w:spacing w:val="-6"/>
          <w:sz w:val="24"/>
          <w:szCs w:val="24"/>
        </w:rPr>
        <w:t>"</w:t>
      </w:r>
      <w:r w:rsidRPr="003A268A">
        <w:rPr>
          <w:rFonts w:ascii="Times New Roman" w:hAnsi="Times New Roman" w:cs="Times New Roman"/>
          <w:spacing w:val="-6"/>
          <w:sz w:val="24"/>
          <w:szCs w:val="24"/>
        </w:rPr>
        <w:t>traverser</w:t>
      </w:r>
      <w:r w:rsidR="005443BC" w:rsidRPr="003A268A">
        <w:rPr>
          <w:rFonts w:ascii="Times New Roman" w:hAnsi="Times New Roman" w:cs="Times New Roman"/>
          <w:spacing w:val="-6"/>
          <w:sz w:val="24"/>
          <w:szCs w:val="24"/>
        </w:rPr>
        <w:t xml:space="preserve">" </w:t>
      </w:r>
      <w:r w:rsidRPr="003A268A">
        <w:rPr>
          <w:rFonts w:ascii="Times New Roman" w:hAnsi="Times New Roman" w:cs="Times New Roman"/>
          <w:spacing w:val="-6"/>
          <w:sz w:val="24"/>
          <w:szCs w:val="24"/>
        </w:rPr>
        <w:t>les bilans bancaires</w:t>
      </w:r>
      <w:r w:rsidR="005443BC" w:rsidRPr="003A268A">
        <w:rPr>
          <w:rFonts w:ascii="Times New Roman" w:hAnsi="Times New Roman" w:cs="Times New Roman"/>
          <w:spacing w:val="-6"/>
          <w:sz w:val="24"/>
          <w:szCs w:val="24"/>
        </w:rPr>
        <w:t>.</w:t>
      </w:r>
      <w:r w:rsidRPr="003A268A">
        <w:rPr>
          <w:rFonts w:ascii="Times New Roman" w:hAnsi="Times New Roman" w:cs="Times New Roman"/>
          <w:spacing w:val="-6"/>
          <w:sz w:val="24"/>
          <w:szCs w:val="24"/>
        </w:rPr>
        <w:t xml:space="preserve"> </w:t>
      </w:r>
      <w:r w:rsidR="005443BC" w:rsidRPr="003A268A">
        <w:rPr>
          <w:rFonts w:ascii="Times New Roman" w:hAnsi="Times New Roman" w:cs="Times New Roman"/>
          <w:spacing w:val="-6"/>
          <w:sz w:val="24"/>
          <w:szCs w:val="24"/>
        </w:rPr>
        <w:t>Elles</w:t>
      </w:r>
      <w:r w:rsidRPr="003A268A">
        <w:rPr>
          <w:rFonts w:ascii="Times New Roman" w:hAnsi="Times New Roman" w:cs="Times New Roman"/>
          <w:spacing w:val="-6"/>
          <w:sz w:val="24"/>
          <w:szCs w:val="24"/>
        </w:rPr>
        <w:t xml:space="preserve"> sont, en effet, dès leur octroi par l’établissement financier, immédiatement cédées à des véhicules qui structurent des émissions ad hoc</w:t>
      </w:r>
      <w:r w:rsidRPr="003A268A">
        <w:rPr>
          <w:rStyle w:val="Appelnotedebasdep"/>
          <w:rFonts w:ascii="Times New Roman" w:hAnsi="Times New Roman"/>
          <w:spacing w:val="-6"/>
          <w:sz w:val="24"/>
          <w:szCs w:val="24"/>
        </w:rPr>
        <w:footnoteReference w:id="208"/>
      </w:r>
      <w:r w:rsidRPr="003A268A">
        <w:rPr>
          <w:rFonts w:ascii="Times New Roman" w:hAnsi="Times New Roman" w:cs="Times New Roman"/>
          <w:spacing w:val="-6"/>
          <w:sz w:val="24"/>
          <w:szCs w:val="24"/>
        </w:rPr>
        <w:t>.</w:t>
      </w:r>
      <w:r w:rsidR="00227D4C" w:rsidRPr="003A268A">
        <w:rPr>
          <w:rFonts w:ascii="Times New Roman" w:hAnsi="Times New Roman" w:cs="Times New Roman"/>
          <w:spacing w:val="-6"/>
          <w:sz w:val="24"/>
          <w:szCs w:val="24"/>
        </w:rPr>
        <w:t xml:space="preserve"> </w:t>
      </w:r>
      <w:r w:rsidRPr="003A268A">
        <w:rPr>
          <w:rFonts w:ascii="Times New Roman" w:hAnsi="Times New Roman" w:cs="Times New Roman"/>
          <w:spacing w:val="-6"/>
          <w:sz w:val="24"/>
          <w:szCs w:val="24"/>
        </w:rPr>
        <w:t xml:space="preserve">La titrisation se caractérise par </w:t>
      </w:r>
      <w:r w:rsidR="005B3B7D" w:rsidRPr="003A268A">
        <w:rPr>
          <w:rFonts w:ascii="Times New Roman" w:hAnsi="Times New Roman" w:cs="Times New Roman"/>
          <w:spacing w:val="-6"/>
          <w:sz w:val="24"/>
          <w:szCs w:val="24"/>
        </w:rPr>
        <w:t>trois</w:t>
      </w:r>
      <w:r w:rsidRPr="003A268A">
        <w:rPr>
          <w:rFonts w:ascii="Times New Roman" w:hAnsi="Times New Roman" w:cs="Times New Roman"/>
          <w:spacing w:val="-6"/>
          <w:sz w:val="24"/>
          <w:szCs w:val="24"/>
        </w:rPr>
        <w:t xml:space="preserve"> mécanismes qui sont</w:t>
      </w:r>
      <w:r w:rsidRPr="003A268A">
        <w:rPr>
          <w:rStyle w:val="Appelnotedebasdep"/>
          <w:rFonts w:ascii="Times New Roman" w:hAnsi="Times New Roman"/>
          <w:spacing w:val="-6"/>
          <w:sz w:val="24"/>
          <w:szCs w:val="24"/>
        </w:rPr>
        <w:footnoteReference w:id="209"/>
      </w:r>
      <w:r w:rsidRPr="003A268A">
        <w:rPr>
          <w:rFonts w:ascii="Times New Roman" w:hAnsi="Times New Roman" w:cs="Times New Roman"/>
          <w:spacing w:val="-6"/>
          <w:sz w:val="24"/>
          <w:szCs w:val="24"/>
        </w:rPr>
        <w:t> :</w:t>
      </w:r>
    </w:p>
    <w:p w14:paraId="7A5F7029" w14:textId="77777777" w:rsidR="002760B2" w:rsidRPr="003A268A" w:rsidRDefault="002760B2" w:rsidP="00CB0FF1">
      <w:pPr>
        <w:pStyle w:val="Paragraphedeliste"/>
        <w:numPr>
          <w:ilvl w:val="0"/>
          <w:numId w:val="63"/>
        </w:numPr>
        <w:tabs>
          <w:tab w:val="left" w:pos="284"/>
          <w:tab w:val="left" w:pos="709"/>
          <w:tab w:val="left" w:pos="993"/>
        </w:tabs>
        <w:spacing w:before="60" w:line="300" w:lineRule="auto"/>
        <w:ind w:left="1135" w:hanging="284"/>
        <w:contextualSpacing w:val="0"/>
        <w:rPr>
          <w:rFonts w:ascii="Times New Roman" w:hAnsi="Times New Roman" w:cs="Times New Roman"/>
          <w:spacing w:val="-6"/>
          <w:sz w:val="24"/>
          <w:szCs w:val="24"/>
        </w:rPr>
      </w:pPr>
      <w:r w:rsidRPr="003A268A">
        <w:rPr>
          <w:rFonts w:ascii="Times New Roman" w:hAnsi="Times New Roman" w:cs="Times New Roman"/>
          <w:b/>
          <w:bCs/>
          <w:i/>
          <w:iCs/>
          <w:spacing w:val="-6"/>
          <w:sz w:val="24"/>
          <w:szCs w:val="24"/>
        </w:rPr>
        <w:t xml:space="preserve"> Le pooling</w:t>
      </w:r>
      <w:r w:rsidRPr="003A268A">
        <w:rPr>
          <w:rFonts w:ascii="Times New Roman" w:hAnsi="Times New Roman" w:cs="Times New Roman"/>
          <w:spacing w:val="-6"/>
          <w:sz w:val="24"/>
          <w:szCs w:val="24"/>
        </w:rPr>
        <w:t> : c’est le regroupement par une institution financière d’un portefeuille mêlé d’instruments financiers négociables (titres de cré</w:t>
      </w:r>
      <w:r w:rsidR="004057FE" w:rsidRPr="003A268A">
        <w:rPr>
          <w:rFonts w:ascii="Times New Roman" w:hAnsi="Times New Roman" w:cs="Times New Roman"/>
          <w:spacing w:val="-6"/>
          <w:sz w:val="24"/>
          <w:szCs w:val="24"/>
        </w:rPr>
        <w:t>ances) et de dérivés de crédits</w:t>
      </w:r>
      <w:r w:rsidR="005443BC" w:rsidRPr="003A268A">
        <w:rPr>
          <w:rFonts w:ascii="Times New Roman" w:hAnsi="Times New Roman" w:cs="Times New Roman"/>
          <w:spacing w:val="-6"/>
          <w:sz w:val="24"/>
          <w:szCs w:val="24"/>
        </w:rPr>
        <w:t>.</w:t>
      </w:r>
    </w:p>
    <w:p w14:paraId="3A5EDD6A" w14:textId="77777777" w:rsidR="002760B2" w:rsidRPr="003A268A" w:rsidRDefault="002760B2" w:rsidP="00CB0FF1">
      <w:pPr>
        <w:pStyle w:val="Paragraphedeliste"/>
        <w:numPr>
          <w:ilvl w:val="0"/>
          <w:numId w:val="63"/>
        </w:numPr>
        <w:tabs>
          <w:tab w:val="left" w:pos="284"/>
          <w:tab w:val="left" w:pos="709"/>
          <w:tab w:val="left" w:pos="993"/>
        </w:tabs>
        <w:spacing w:before="60" w:line="300" w:lineRule="auto"/>
        <w:ind w:left="1135" w:hanging="284"/>
        <w:contextualSpacing w:val="0"/>
        <w:rPr>
          <w:rFonts w:ascii="Times New Roman" w:hAnsi="Times New Roman" w:cs="Times New Roman"/>
          <w:spacing w:val="-6"/>
          <w:sz w:val="24"/>
          <w:szCs w:val="24"/>
        </w:rPr>
      </w:pPr>
      <w:r w:rsidRPr="003A268A">
        <w:rPr>
          <w:rFonts w:ascii="Times New Roman" w:hAnsi="Times New Roman" w:cs="Times New Roman"/>
          <w:b/>
          <w:bCs/>
          <w:i/>
          <w:iCs/>
          <w:spacing w:val="-6"/>
          <w:sz w:val="24"/>
          <w:szCs w:val="24"/>
        </w:rPr>
        <w:t xml:space="preserve"> Le découpage en tranches</w:t>
      </w:r>
      <w:r w:rsidRPr="003A268A">
        <w:rPr>
          <w:rFonts w:ascii="Times New Roman" w:hAnsi="Times New Roman" w:cs="Times New Roman"/>
          <w:spacing w:val="-6"/>
          <w:sz w:val="24"/>
          <w:szCs w:val="24"/>
        </w:rPr>
        <w:t> : des titres émis selon un principe de subordination,</w:t>
      </w:r>
      <w:r w:rsidR="00C92388" w:rsidRPr="003A268A">
        <w:rPr>
          <w:rFonts w:ascii="Times New Roman" w:hAnsi="Times New Roman" w:cs="Times New Roman"/>
          <w:spacing w:val="-6"/>
          <w:sz w:val="24"/>
          <w:szCs w:val="24"/>
        </w:rPr>
        <w:t xml:space="preserve"> </w:t>
      </w:r>
      <w:r w:rsidRPr="003A268A">
        <w:rPr>
          <w:rFonts w:ascii="Times New Roman" w:hAnsi="Times New Roman" w:cs="Times New Roman"/>
          <w:spacing w:val="-6"/>
          <w:sz w:val="24"/>
          <w:szCs w:val="24"/>
        </w:rPr>
        <w:t>en créant trois types de tranches : senior, mezzanine et equity, qui fonctionnent de la façon suivante : la tranche equity est la première à absorber des pertes lorsque les défauts sur les crédits du pool augmentent et</w:t>
      </w:r>
      <w:r w:rsidR="00C92388" w:rsidRPr="003A268A">
        <w:rPr>
          <w:rFonts w:ascii="Times New Roman" w:hAnsi="Times New Roman" w:cs="Times New Roman"/>
          <w:spacing w:val="-6"/>
          <w:sz w:val="24"/>
          <w:szCs w:val="24"/>
        </w:rPr>
        <w:t>,</w:t>
      </w:r>
      <w:r w:rsidRPr="003A268A">
        <w:rPr>
          <w:rFonts w:ascii="Times New Roman" w:hAnsi="Times New Roman" w:cs="Times New Roman"/>
          <w:spacing w:val="-6"/>
          <w:sz w:val="24"/>
          <w:szCs w:val="24"/>
        </w:rPr>
        <w:t xml:space="preserve"> en cas où ces pertes excèdent le montant de cette tranche, la tranche suivante (mezzanine) va être affectée. Enfin, la tranche senior sera touchée suite à plusieurs déf</w:t>
      </w:r>
      <w:r w:rsidR="004057FE" w:rsidRPr="003A268A">
        <w:rPr>
          <w:rFonts w:ascii="Times New Roman" w:hAnsi="Times New Roman" w:cs="Times New Roman"/>
          <w:spacing w:val="-6"/>
          <w:sz w:val="24"/>
          <w:szCs w:val="24"/>
        </w:rPr>
        <w:t>auts d’importance considérable</w:t>
      </w:r>
      <w:r w:rsidR="005443BC" w:rsidRPr="003A268A">
        <w:rPr>
          <w:rFonts w:ascii="Times New Roman" w:hAnsi="Times New Roman" w:cs="Times New Roman"/>
          <w:spacing w:val="-6"/>
          <w:sz w:val="24"/>
          <w:szCs w:val="24"/>
        </w:rPr>
        <w:t>.</w:t>
      </w:r>
    </w:p>
    <w:p w14:paraId="6461038C" w14:textId="77777777" w:rsidR="002760B2" w:rsidRPr="003A268A" w:rsidRDefault="002760B2" w:rsidP="00CB0FF1">
      <w:pPr>
        <w:pStyle w:val="Paragraphedeliste"/>
        <w:numPr>
          <w:ilvl w:val="0"/>
          <w:numId w:val="63"/>
        </w:numPr>
        <w:tabs>
          <w:tab w:val="left" w:pos="284"/>
          <w:tab w:val="left" w:pos="709"/>
          <w:tab w:val="left" w:pos="993"/>
        </w:tabs>
        <w:spacing w:before="60" w:line="300" w:lineRule="auto"/>
        <w:ind w:left="1135" w:hanging="284"/>
        <w:contextualSpacing w:val="0"/>
        <w:rPr>
          <w:rFonts w:ascii="Times New Roman" w:hAnsi="Times New Roman" w:cs="Times New Roman"/>
          <w:spacing w:val="-6"/>
          <w:sz w:val="24"/>
          <w:szCs w:val="24"/>
        </w:rPr>
      </w:pPr>
      <w:r w:rsidRPr="003A268A">
        <w:rPr>
          <w:rFonts w:ascii="Times New Roman" w:hAnsi="Times New Roman" w:cs="Times New Roman"/>
          <w:b/>
          <w:bCs/>
          <w:i/>
          <w:iCs/>
          <w:spacing w:val="-6"/>
          <w:sz w:val="24"/>
          <w:szCs w:val="24"/>
        </w:rPr>
        <w:t xml:space="preserve"> Le recours à des véhicules ad hoc</w:t>
      </w:r>
      <w:r w:rsidRPr="003A268A">
        <w:rPr>
          <w:rFonts w:ascii="Times New Roman" w:hAnsi="Times New Roman" w:cs="Times New Roman"/>
          <w:b/>
          <w:bCs/>
          <w:spacing w:val="-6"/>
          <w:sz w:val="24"/>
          <w:szCs w:val="24"/>
        </w:rPr>
        <w:t> </w:t>
      </w:r>
      <w:r w:rsidR="00782E8E" w:rsidRPr="003A268A">
        <w:rPr>
          <w:rFonts w:ascii="Times New Roman" w:hAnsi="Times New Roman" w:cs="Times New Roman"/>
          <w:spacing w:val="-6"/>
          <w:sz w:val="24"/>
          <w:szCs w:val="24"/>
        </w:rPr>
        <w:t>: baptisés aussi ʺspecial purpose vehicles"</w:t>
      </w:r>
      <w:r w:rsidR="004057FE" w:rsidRPr="003A268A">
        <w:rPr>
          <w:rFonts w:ascii="Times New Roman" w:hAnsi="Times New Roman" w:cs="Times New Roman"/>
          <w:spacing w:val="-6"/>
          <w:sz w:val="24"/>
          <w:szCs w:val="24"/>
        </w:rPr>
        <w:t xml:space="preserve"> </w:t>
      </w:r>
      <w:r w:rsidR="00782E8E" w:rsidRPr="003A268A">
        <w:rPr>
          <w:rFonts w:ascii="Times New Roman" w:hAnsi="Times New Roman" w:cs="Times New Roman"/>
          <w:spacing w:val="-6"/>
          <w:sz w:val="24"/>
          <w:szCs w:val="24"/>
        </w:rPr>
        <w:t>(SPV), ils</w:t>
      </w:r>
      <w:r w:rsidRPr="003A268A">
        <w:rPr>
          <w:rFonts w:ascii="Times New Roman" w:hAnsi="Times New Roman" w:cs="Times New Roman"/>
          <w:spacing w:val="-6"/>
          <w:sz w:val="24"/>
          <w:szCs w:val="24"/>
        </w:rPr>
        <w:t xml:space="preserve"> émettent des titres à court terme nommés </w:t>
      </w:r>
      <w:r w:rsidR="00782E8E" w:rsidRPr="003A268A">
        <w:rPr>
          <w:rFonts w:ascii="Times New Roman" w:hAnsi="Times New Roman" w:cs="Times New Roman"/>
          <w:spacing w:val="-6"/>
          <w:sz w:val="24"/>
          <w:szCs w:val="24"/>
        </w:rPr>
        <w:t>ʺ</w:t>
      </w:r>
      <w:r w:rsidRPr="003A268A">
        <w:rPr>
          <w:rFonts w:ascii="Times New Roman" w:hAnsi="Times New Roman" w:cs="Times New Roman"/>
          <w:spacing w:val="-6"/>
          <w:sz w:val="24"/>
          <w:szCs w:val="24"/>
        </w:rPr>
        <w:t>Residential mor</w:t>
      </w:r>
      <w:r w:rsidR="00782E8E" w:rsidRPr="003A268A">
        <w:rPr>
          <w:rFonts w:ascii="Times New Roman" w:hAnsi="Times New Roman" w:cs="Times New Roman"/>
          <w:spacing w:val="-6"/>
          <w:sz w:val="24"/>
          <w:szCs w:val="24"/>
        </w:rPr>
        <w:t>tgage backed securitiesʺ</w:t>
      </w:r>
      <w:r w:rsidRPr="003A268A">
        <w:rPr>
          <w:rFonts w:ascii="Times New Roman" w:hAnsi="Times New Roman" w:cs="Times New Roman"/>
          <w:spacing w:val="-6"/>
          <w:sz w:val="24"/>
          <w:szCs w:val="24"/>
        </w:rPr>
        <w:t xml:space="preserve"> </w:t>
      </w:r>
      <w:r w:rsidR="001350AC" w:rsidRPr="003A268A">
        <w:rPr>
          <w:rFonts w:ascii="Times New Roman" w:hAnsi="Times New Roman" w:cs="Times New Roman"/>
          <w:spacing w:val="-6"/>
          <w:sz w:val="24"/>
          <w:szCs w:val="24"/>
        </w:rPr>
        <w:t>(RMBS)</w:t>
      </w:r>
      <w:r w:rsidR="00C92388" w:rsidRPr="003A268A">
        <w:rPr>
          <w:rFonts w:ascii="Times New Roman" w:hAnsi="Times New Roman" w:cs="Times New Roman"/>
          <w:spacing w:val="-6"/>
          <w:sz w:val="24"/>
          <w:szCs w:val="24"/>
        </w:rPr>
        <w:t>.</w:t>
      </w:r>
      <w:r w:rsidR="001350AC" w:rsidRPr="003A268A">
        <w:rPr>
          <w:rFonts w:ascii="Times New Roman" w:hAnsi="Times New Roman" w:cs="Times New Roman"/>
          <w:spacing w:val="-6"/>
          <w:sz w:val="24"/>
          <w:szCs w:val="24"/>
        </w:rPr>
        <w:t xml:space="preserve"> </w:t>
      </w:r>
      <w:r w:rsidR="00C92388" w:rsidRPr="003A268A">
        <w:rPr>
          <w:rFonts w:ascii="Times New Roman" w:hAnsi="Times New Roman" w:cs="Times New Roman"/>
          <w:spacing w:val="-6"/>
          <w:sz w:val="24"/>
          <w:szCs w:val="24"/>
        </w:rPr>
        <w:t>Ils</w:t>
      </w:r>
      <w:r w:rsidRPr="003A268A">
        <w:rPr>
          <w:rFonts w:ascii="Times New Roman" w:hAnsi="Times New Roman" w:cs="Times New Roman"/>
          <w:spacing w:val="-6"/>
          <w:sz w:val="24"/>
          <w:szCs w:val="24"/>
        </w:rPr>
        <w:t xml:space="preserve"> sont achetés par des investisseurs qui traquent des actifs à hauts rendements </w:t>
      </w:r>
      <w:r w:rsidRPr="003A268A">
        <w:rPr>
          <w:rFonts w:ascii="Times New Roman" w:hAnsi="Times New Roman" w:cs="Times New Roman"/>
          <w:spacing w:val="-6"/>
          <w:sz w:val="24"/>
          <w:szCs w:val="24"/>
        </w:rPr>
        <w:lastRenderedPageBreak/>
        <w:t xml:space="preserve">espérés. Ces véhicules </w:t>
      </w:r>
      <w:r w:rsidRPr="003A268A">
        <w:rPr>
          <w:rFonts w:ascii="Times New Roman" w:hAnsi="Times New Roman" w:cs="Times New Roman"/>
          <w:i/>
          <w:iCs/>
          <w:spacing w:val="-6"/>
          <w:sz w:val="24"/>
          <w:szCs w:val="24"/>
        </w:rPr>
        <w:t>ad</w:t>
      </w:r>
      <w:r w:rsidR="00C92388" w:rsidRPr="003A268A">
        <w:rPr>
          <w:rFonts w:ascii="Times New Roman" w:hAnsi="Times New Roman" w:cs="Times New Roman"/>
          <w:i/>
          <w:iCs/>
          <w:spacing w:val="-6"/>
          <w:sz w:val="24"/>
          <w:szCs w:val="24"/>
        </w:rPr>
        <w:t xml:space="preserve"> </w:t>
      </w:r>
      <w:r w:rsidRPr="003A268A">
        <w:rPr>
          <w:rFonts w:ascii="Times New Roman" w:hAnsi="Times New Roman" w:cs="Times New Roman"/>
          <w:i/>
          <w:iCs/>
          <w:spacing w:val="-6"/>
          <w:sz w:val="24"/>
          <w:szCs w:val="24"/>
        </w:rPr>
        <w:t>hoc</w:t>
      </w:r>
      <w:r w:rsidRPr="003A268A">
        <w:rPr>
          <w:rFonts w:ascii="Times New Roman" w:hAnsi="Times New Roman" w:cs="Times New Roman"/>
          <w:spacing w:val="-6"/>
          <w:sz w:val="24"/>
          <w:szCs w:val="24"/>
        </w:rPr>
        <w:t xml:space="preserve"> achètent des protections à des monolines qui sont des assureurs spécialisés dans la couverture de crédits dans le cadre d’émission obligataire suite à une titrisation des créances.</w:t>
      </w:r>
    </w:p>
    <w:p w14:paraId="78D1FC1B" w14:textId="77777777" w:rsidR="00E9405E" w:rsidRPr="003A268A" w:rsidRDefault="002760B2" w:rsidP="003A268A">
      <w:pPr>
        <w:pStyle w:val="Paragraphedeliste"/>
        <w:tabs>
          <w:tab w:val="left" w:pos="0"/>
          <w:tab w:val="left" w:pos="284"/>
          <w:tab w:val="left" w:pos="6435"/>
        </w:tabs>
        <w:spacing w:before="120" w:line="300" w:lineRule="auto"/>
        <w:ind w:left="0" w:firstLine="709"/>
        <w:contextualSpacing w:val="0"/>
        <w:rPr>
          <w:rFonts w:ascii="Times New Roman" w:hAnsi="Times New Roman" w:cs="Times New Roman"/>
          <w:spacing w:val="-6"/>
          <w:sz w:val="24"/>
          <w:szCs w:val="24"/>
        </w:rPr>
      </w:pPr>
      <w:r w:rsidRPr="003A268A">
        <w:rPr>
          <w:rFonts w:ascii="Times New Roman" w:hAnsi="Times New Roman" w:cs="Times New Roman"/>
          <w:spacing w:val="-6"/>
          <w:sz w:val="24"/>
          <w:szCs w:val="24"/>
        </w:rPr>
        <w:t>Essentiellement, la titrisation est destinée à</w:t>
      </w:r>
      <w:r w:rsidR="00E9405E" w:rsidRPr="003A268A">
        <w:rPr>
          <w:rFonts w:ascii="Times New Roman" w:hAnsi="Times New Roman" w:cs="Times New Roman"/>
          <w:spacing w:val="-6"/>
          <w:sz w:val="24"/>
          <w:szCs w:val="24"/>
        </w:rPr>
        <w:t> :</w:t>
      </w:r>
      <w:r w:rsidR="003A268A" w:rsidRPr="003A268A">
        <w:rPr>
          <w:rFonts w:ascii="Times New Roman" w:hAnsi="Times New Roman" w:cs="Times New Roman"/>
          <w:spacing w:val="-6"/>
          <w:sz w:val="24"/>
          <w:szCs w:val="24"/>
        </w:rPr>
        <w:tab/>
      </w:r>
    </w:p>
    <w:p w14:paraId="2AC18761" w14:textId="77777777" w:rsidR="00E9405E" w:rsidRPr="003A268A" w:rsidRDefault="00732369" w:rsidP="00CB0FF1">
      <w:pPr>
        <w:pStyle w:val="Paragraphedeliste"/>
        <w:numPr>
          <w:ilvl w:val="0"/>
          <w:numId w:val="95"/>
        </w:numPr>
        <w:tabs>
          <w:tab w:val="left" w:pos="0"/>
          <w:tab w:val="left" w:pos="284"/>
        </w:tabs>
        <w:spacing w:line="300" w:lineRule="auto"/>
        <w:ind w:left="1208" w:hanging="357"/>
        <w:contextualSpacing w:val="0"/>
        <w:rPr>
          <w:rFonts w:ascii="Times New Roman" w:hAnsi="Times New Roman" w:cs="Times New Roman"/>
          <w:spacing w:val="-6"/>
          <w:sz w:val="24"/>
          <w:szCs w:val="24"/>
        </w:rPr>
      </w:pPr>
      <w:r w:rsidRPr="003A268A">
        <w:rPr>
          <w:rFonts w:ascii="Times New Roman" w:hAnsi="Times New Roman" w:cs="Times New Roman"/>
          <w:spacing w:val="-6"/>
          <w:sz w:val="24"/>
          <w:szCs w:val="24"/>
        </w:rPr>
        <w:t>Alléger</w:t>
      </w:r>
      <w:r w:rsidR="002760B2" w:rsidRPr="003A268A">
        <w:rPr>
          <w:rFonts w:ascii="Times New Roman" w:hAnsi="Times New Roman" w:cs="Times New Roman"/>
          <w:spacing w:val="-6"/>
          <w:sz w:val="24"/>
          <w:szCs w:val="24"/>
        </w:rPr>
        <w:t xml:space="preserve"> les bilans bancaires suite aux difficultés structurelles de financement subies par les ba</w:t>
      </w:r>
      <w:r w:rsidR="00E9405E" w:rsidRPr="003A268A">
        <w:rPr>
          <w:rFonts w:ascii="Times New Roman" w:hAnsi="Times New Roman" w:cs="Times New Roman"/>
          <w:spacing w:val="-6"/>
          <w:sz w:val="24"/>
          <w:szCs w:val="24"/>
        </w:rPr>
        <w:t>nques,</w:t>
      </w:r>
    </w:p>
    <w:p w14:paraId="5D73598C" w14:textId="77777777" w:rsidR="003A268A" w:rsidRDefault="00732369" w:rsidP="00CB0FF1">
      <w:pPr>
        <w:pStyle w:val="Paragraphedeliste"/>
        <w:numPr>
          <w:ilvl w:val="0"/>
          <w:numId w:val="95"/>
        </w:numPr>
        <w:tabs>
          <w:tab w:val="left" w:pos="0"/>
          <w:tab w:val="left" w:pos="284"/>
        </w:tabs>
        <w:spacing w:line="300" w:lineRule="auto"/>
        <w:ind w:left="1208" w:hanging="357"/>
        <w:contextualSpacing w:val="0"/>
        <w:rPr>
          <w:rFonts w:ascii="Times New Roman" w:hAnsi="Times New Roman" w:cs="Times New Roman"/>
          <w:spacing w:val="-6"/>
          <w:sz w:val="24"/>
          <w:szCs w:val="24"/>
        </w:rPr>
      </w:pPr>
      <w:r w:rsidRPr="003A268A">
        <w:rPr>
          <w:rFonts w:ascii="Times New Roman" w:hAnsi="Times New Roman" w:cs="Times New Roman"/>
          <w:spacing w:val="-6"/>
          <w:sz w:val="24"/>
          <w:szCs w:val="24"/>
        </w:rPr>
        <w:t>Contourner</w:t>
      </w:r>
      <w:r w:rsidR="002760B2" w:rsidRPr="003A268A">
        <w:rPr>
          <w:rFonts w:ascii="Times New Roman" w:hAnsi="Times New Roman" w:cs="Times New Roman"/>
          <w:spacing w:val="-6"/>
          <w:sz w:val="24"/>
          <w:szCs w:val="24"/>
        </w:rPr>
        <w:t xml:space="preserve"> les réglementations prudentielles de l’activité bancaire. La figure </w:t>
      </w:r>
      <w:r w:rsidR="00CC4B99" w:rsidRPr="003A268A">
        <w:rPr>
          <w:rFonts w:ascii="Times New Roman" w:hAnsi="Times New Roman" w:cs="Times New Roman"/>
          <w:spacing w:val="-6"/>
          <w:sz w:val="24"/>
          <w:szCs w:val="24"/>
        </w:rPr>
        <w:t>20</w:t>
      </w:r>
      <w:r w:rsidR="002760B2" w:rsidRPr="003A268A">
        <w:rPr>
          <w:rFonts w:ascii="Times New Roman" w:hAnsi="Times New Roman" w:cs="Times New Roman"/>
          <w:spacing w:val="-6"/>
          <w:sz w:val="24"/>
          <w:szCs w:val="24"/>
        </w:rPr>
        <w:t xml:space="preserve"> montre de façon simplifiée le montage de cette technique financière.</w:t>
      </w:r>
    </w:p>
    <w:p w14:paraId="2D3F2A60" w14:textId="1A779D5B" w:rsidR="001D3441" w:rsidRPr="00194157" w:rsidRDefault="00194157" w:rsidP="00194157">
      <w:pPr>
        <w:pStyle w:val="Lgende"/>
        <w:spacing w:before="240" w:after="240"/>
        <w:jc w:val="center"/>
        <w:rPr>
          <w:rFonts w:asciiTheme="majorBidi" w:hAnsiTheme="majorBidi" w:cstheme="majorBidi"/>
          <w:color w:val="auto"/>
          <w:sz w:val="24"/>
          <w:szCs w:val="24"/>
        </w:rPr>
      </w:pPr>
      <w:bookmarkStart w:id="824" w:name="_Toc115527431"/>
      <w:r w:rsidRPr="00194157">
        <w:rPr>
          <w:rFonts w:asciiTheme="majorBidi" w:hAnsiTheme="majorBidi" w:cstheme="majorBidi"/>
          <w:color w:val="auto"/>
          <w:sz w:val="24"/>
          <w:szCs w:val="24"/>
        </w:rPr>
        <w:t xml:space="preserve">Figure </w:t>
      </w:r>
      <w:r w:rsidR="00B544E5" w:rsidRPr="00194157">
        <w:rPr>
          <w:rFonts w:asciiTheme="majorBidi" w:hAnsiTheme="majorBidi" w:cstheme="majorBidi"/>
          <w:color w:val="auto"/>
          <w:sz w:val="24"/>
          <w:szCs w:val="24"/>
        </w:rPr>
        <w:fldChar w:fldCharType="begin"/>
      </w:r>
      <w:r w:rsidRPr="00194157">
        <w:rPr>
          <w:rFonts w:asciiTheme="majorBidi" w:hAnsiTheme="majorBidi" w:cstheme="majorBidi"/>
          <w:color w:val="auto"/>
          <w:sz w:val="24"/>
          <w:szCs w:val="24"/>
        </w:rPr>
        <w:instrText xml:space="preserve"> SEQ Figure \* ARABIC </w:instrText>
      </w:r>
      <w:r w:rsidR="00B544E5" w:rsidRPr="00194157">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20</w:t>
      </w:r>
      <w:r w:rsidR="00B544E5" w:rsidRPr="00194157">
        <w:rPr>
          <w:rFonts w:asciiTheme="majorBidi" w:hAnsiTheme="majorBidi" w:cstheme="majorBidi"/>
          <w:color w:val="auto"/>
          <w:sz w:val="24"/>
          <w:szCs w:val="24"/>
        </w:rPr>
        <w:fldChar w:fldCharType="end"/>
      </w:r>
      <w:r w:rsidRPr="00194157">
        <w:rPr>
          <w:rFonts w:asciiTheme="majorBidi" w:hAnsiTheme="majorBidi" w:cstheme="majorBidi"/>
          <w:color w:val="auto"/>
          <w:sz w:val="24"/>
          <w:szCs w:val="24"/>
        </w:rPr>
        <w:t xml:space="preserve">- </w:t>
      </w:r>
      <w:r w:rsidR="002A5BC8">
        <w:rPr>
          <w:rFonts w:asciiTheme="majorBidi" w:hAnsiTheme="majorBidi" w:cstheme="majorBidi"/>
          <w:color w:val="auto"/>
          <w:sz w:val="24"/>
          <w:szCs w:val="24"/>
        </w:rPr>
        <w:t>M</w:t>
      </w:r>
      <w:r w:rsidR="002A5BC8" w:rsidRPr="00194157">
        <w:rPr>
          <w:rFonts w:asciiTheme="majorBidi" w:hAnsiTheme="majorBidi" w:cstheme="majorBidi"/>
          <w:color w:val="auto"/>
          <w:sz w:val="24"/>
          <w:szCs w:val="24"/>
        </w:rPr>
        <w:t>écanisme</w:t>
      </w:r>
      <w:r w:rsidRPr="00194157">
        <w:rPr>
          <w:rFonts w:asciiTheme="majorBidi" w:hAnsiTheme="majorBidi" w:cstheme="majorBidi"/>
          <w:color w:val="auto"/>
          <w:sz w:val="24"/>
          <w:szCs w:val="24"/>
        </w:rPr>
        <w:t xml:space="preserve"> de la titrisation</w:t>
      </w:r>
      <w:bookmarkEnd w:id="824"/>
    </w:p>
    <w:p w14:paraId="6B496888" w14:textId="77777777" w:rsidR="0098573A" w:rsidRPr="0098573A" w:rsidRDefault="0098573A" w:rsidP="00EA0073">
      <w:pPr>
        <w:keepNext/>
        <w:keepLines/>
        <w:spacing w:before="120" w:after="120" w:line="300" w:lineRule="auto"/>
        <w:rPr>
          <w:rFonts w:ascii="Times New Roman" w:hAnsi="Times New Roman" w:cs="Times New Roman"/>
          <w:sz w:val="24"/>
          <w:szCs w:val="24"/>
        </w:rPr>
      </w:pPr>
    </w:p>
    <w:p w14:paraId="7A3C2A6E" w14:textId="77777777" w:rsidR="0098573A" w:rsidRPr="0098573A" w:rsidRDefault="0098573A" w:rsidP="00EA0073">
      <w:pPr>
        <w:keepNext/>
        <w:keepLines/>
        <w:spacing w:before="120" w:after="120" w:line="300" w:lineRule="auto"/>
        <w:rPr>
          <w:rFonts w:ascii="Times New Roman" w:hAnsi="Times New Roman" w:cs="Times New Roman"/>
          <w:sz w:val="24"/>
          <w:szCs w:val="24"/>
        </w:rPr>
      </w:pPr>
    </w:p>
    <w:p w14:paraId="7134B611" w14:textId="77777777" w:rsidR="0098573A" w:rsidRPr="0098573A" w:rsidRDefault="0098573A" w:rsidP="00EA0073">
      <w:pPr>
        <w:keepNext/>
        <w:keepLines/>
        <w:spacing w:before="120" w:after="120" w:line="300" w:lineRule="auto"/>
        <w:rPr>
          <w:rFonts w:ascii="Times New Roman" w:hAnsi="Times New Roman" w:cs="Times New Roman"/>
          <w:sz w:val="24"/>
          <w:szCs w:val="24"/>
        </w:rPr>
      </w:pPr>
    </w:p>
    <w:p w14:paraId="0E39B0FA" w14:textId="77777777" w:rsidR="0098573A" w:rsidRPr="0098573A" w:rsidRDefault="0098573A" w:rsidP="00EA0073">
      <w:pPr>
        <w:keepNext/>
        <w:keepLines/>
        <w:spacing w:before="120" w:after="120" w:line="300" w:lineRule="auto"/>
        <w:rPr>
          <w:rFonts w:ascii="Times New Roman" w:hAnsi="Times New Roman" w:cs="Times New Roman"/>
          <w:sz w:val="24"/>
          <w:szCs w:val="24"/>
        </w:rPr>
      </w:pPr>
    </w:p>
    <w:p w14:paraId="5647119A" w14:textId="77777777" w:rsidR="0098573A" w:rsidRPr="0098573A" w:rsidRDefault="00C7396A" w:rsidP="00EA0073">
      <w:pPr>
        <w:keepNext/>
        <w:keepLines/>
        <w:spacing w:before="120" w:after="120" w:line="300" w:lineRule="auto"/>
        <w:rPr>
          <w:rFonts w:ascii="Times New Roman" w:hAnsi="Times New Roman" w:cs="Times New Roman"/>
          <w:sz w:val="24"/>
          <w:szCs w:val="24"/>
        </w:rPr>
      </w:pPr>
      <w:r>
        <w:rPr>
          <w:noProof/>
          <w:lang w:eastAsia="fr-FR"/>
        </w:rPr>
        <w:drawing>
          <wp:anchor distT="0" distB="0" distL="114300" distR="114300" simplePos="0" relativeHeight="251503616" behindDoc="0" locked="1" layoutInCell="1" allowOverlap="0" wp14:anchorId="1F154897" wp14:editId="098C3CFB">
            <wp:simplePos x="0" y="0"/>
            <wp:positionH relativeFrom="margin">
              <wp:posOffset>653415</wp:posOffset>
            </wp:positionH>
            <wp:positionV relativeFrom="paragraph">
              <wp:posOffset>-1174115</wp:posOffset>
            </wp:positionV>
            <wp:extent cx="4914900" cy="5734050"/>
            <wp:effectExtent l="19050" t="0" r="0" b="0"/>
            <wp:wrapNone/>
            <wp:docPr id="23" name="Image 6" descr="C:\Users\hP\AppData\Local\Microsoft\Windows\INetCache\Content.Word\Nouvell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Nouvelle image.png"/>
                    <pic:cNvPicPr>
                      <a:picLocks noChangeAspect="1" noChangeArrowheads="1"/>
                    </pic:cNvPicPr>
                  </pic:nvPicPr>
                  <pic:blipFill>
                    <a:blip r:embed="rId44" cstate="print"/>
                    <a:srcRect/>
                    <a:stretch>
                      <a:fillRect/>
                    </a:stretch>
                  </pic:blipFill>
                  <pic:spPr bwMode="auto">
                    <a:xfrm>
                      <a:off x="0" y="0"/>
                      <a:ext cx="4914900" cy="5734050"/>
                    </a:xfrm>
                    <a:prstGeom prst="rect">
                      <a:avLst/>
                    </a:prstGeom>
                    <a:noFill/>
                    <a:ln w="9525">
                      <a:noFill/>
                      <a:miter lim="800000"/>
                      <a:headEnd/>
                      <a:tailEnd/>
                    </a:ln>
                  </pic:spPr>
                </pic:pic>
              </a:graphicData>
            </a:graphic>
          </wp:anchor>
        </w:drawing>
      </w:r>
    </w:p>
    <w:p w14:paraId="7F7B3648" w14:textId="77777777" w:rsidR="0098573A" w:rsidRPr="0098573A" w:rsidRDefault="0098573A" w:rsidP="00EA0073">
      <w:pPr>
        <w:keepNext/>
        <w:keepLines/>
        <w:spacing w:before="120" w:after="120" w:line="300" w:lineRule="auto"/>
        <w:rPr>
          <w:rFonts w:ascii="Times New Roman" w:hAnsi="Times New Roman" w:cs="Times New Roman"/>
          <w:sz w:val="24"/>
          <w:szCs w:val="24"/>
        </w:rPr>
      </w:pPr>
    </w:p>
    <w:p w14:paraId="34DE533B" w14:textId="77777777" w:rsidR="0098573A" w:rsidRPr="0098573A" w:rsidRDefault="0098573A" w:rsidP="00EA0073">
      <w:pPr>
        <w:keepNext/>
        <w:keepLines/>
        <w:spacing w:before="120" w:after="120" w:line="300" w:lineRule="auto"/>
        <w:rPr>
          <w:rFonts w:ascii="Times New Roman" w:hAnsi="Times New Roman" w:cs="Times New Roman"/>
          <w:sz w:val="24"/>
          <w:szCs w:val="24"/>
        </w:rPr>
      </w:pPr>
    </w:p>
    <w:p w14:paraId="502BC7A3" w14:textId="77777777" w:rsidR="0098573A" w:rsidRPr="0098573A" w:rsidRDefault="0098573A" w:rsidP="00EA0073">
      <w:pPr>
        <w:keepNext/>
        <w:keepLines/>
        <w:spacing w:before="120" w:after="120" w:line="300" w:lineRule="auto"/>
        <w:rPr>
          <w:rFonts w:ascii="Times New Roman" w:hAnsi="Times New Roman" w:cs="Times New Roman"/>
          <w:sz w:val="24"/>
          <w:szCs w:val="24"/>
        </w:rPr>
      </w:pPr>
    </w:p>
    <w:p w14:paraId="3A96A3D0" w14:textId="77777777" w:rsidR="0098573A" w:rsidRPr="0098573A" w:rsidRDefault="0098573A" w:rsidP="00EA0073">
      <w:pPr>
        <w:keepNext/>
        <w:keepLines/>
        <w:spacing w:before="120" w:after="120" w:line="300" w:lineRule="auto"/>
        <w:rPr>
          <w:rFonts w:ascii="Times New Roman" w:hAnsi="Times New Roman" w:cs="Times New Roman"/>
          <w:sz w:val="24"/>
          <w:szCs w:val="24"/>
        </w:rPr>
      </w:pPr>
    </w:p>
    <w:p w14:paraId="4017361C" w14:textId="77777777" w:rsidR="0098573A" w:rsidRDefault="0098573A" w:rsidP="00EA0073">
      <w:pPr>
        <w:keepNext/>
        <w:keepLines/>
        <w:spacing w:before="120" w:after="120" w:line="300" w:lineRule="auto"/>
        <w:rPr>
          <w:rFonts w:ascii="Times New Roman" w:hAnsi="Times New Roman" w:cs="Times New Roman"/>
          <w:sz w:val="24"/>
          <w:szCs w:val="24"/>
        </w:rPr>
      </w:pPr>
    </w:p>
    <w:p w14:paraId="558397F4" w14:textId="77777777" w:rsidR="00C7396A" w:rsidRDefault="00C7396A" w:rsidP="00EA0073">
      <w:pPr>
        <w:keepNext/>
        <w:keepLines/>
        <w:spacing w:before="120" w:after="120" w:line="300" w:lineRule="auto"/>
        <w:rPr>
          <w:rFonts w:ascii="Times New Roman" w:hAnsi="Times New Roman" w:cs="Times New Roman"/>
          <w:sz w:val="24"/>
          <w:szCs w:val="24"/>
        </w:rPr>
      </w:pPr>
    </w:p>
    <w:p w14:paraId="346945EE" w14:textId="77777777" w:rsidR="00C7396A" w:rsidRDefault="00C7396A" w:rsidP="00EA0073">
      <w:pPr>
        <w:keepNext/>
        <w:keepLines/>
        <w:spacing w:before="120" w:after="120" w:line="300" w:lineRule="auto"/>
        <w:rPr>
          <w:rFonts w:ascii="Times New Roman" w:hAnsi="Times New Roman" w:cs="Times New Roman"/>
          <w:sz w:val="24"/>
          <w:szCs w:val="24"/>
        </w:rPr>
      </w:pPr>
    </w:p>
    <w:p w14:paraId="45AC9094" w14:textId="77777777" w:rsidR="00C7396A" w:rsidRDefault="00C7396A" w:rsidP="00EA0073">
      <w:pPr>
        <w:keepNext/>
        <w:keepLines/>
        <w:spacing w:before="120" w:after="120" w:line="300" w:lineRule="auto"/>
        <w:rPr>
          <w:rFonts w:ascii="Times New Roman" w:hAnsi="Times New Roman" w:cs="Times New Roman"/>
          <w:sz w:val="24"/>
          <w:szCs w:val="24"/>
        </w:rPr>
      </w:pPr>
    </w:p>
    <w:p w14:paraId="083364CC" w14:textId="77777777" w:rsidR="00C7396A" w:rsidRDefault="00C7396A" w:rsidP="00EA0073">
      <w:pPr>
        <w:keepNext/>
        <w:keepLines/>
        <w:spacing w:before="120" w:after="120" w:line="300" w:lineRule="auto"/>
        <w:rPr>
          <w:rFonts w:ascii="Times New Roman" w:hAnsi="Times New Roman" w:cs="Times New Roman"/>
          <w:sz w:val="24"/>
          <w:szCs w:val="24"/>
        </w:rPr>
      </w:pPr>
    </w:p>
    <w:p w14:paraId="36AE9038" w14:textId="77777777" w:rsidR="00C7396A" w:rsidRDefault="00C7396A" w:rsidP="00EA0073">
      <w:pPr>
        <w:keepNext/>
        <w:keepLines/>
        <w:spacing w:before="120" w:after="120" w:line="300" w:lineRule="auto"/>
        <w:rPr>
          <w:rFonts w:ascii="Times New Roman" w:hAnsi="Times New Roman" w:cs="Times New Roman"/>
          <w:sz w:val="24"/>
          <w:szCs w:val="24"/>
        </w:rPr>
      </w:pPr>
    </w:p>
    <w:p w14:paraId="61DF9154" w14:textId="77777777" w:rsidR="00C7396A" w:rsidRDefault="00C7396A" w:rsidP="00EA0073">
      <w:pPr>
        <w:keepNext/>
        <w:keepLines/>
        <w:spacing w:before="120" w:after="120" w:line="300" w:lineRule="auto"/>
        <w:rPr>
          <w:rFonts w:ascii="Times New Roman" w:hAnsi="Times New Roman" w:cs="Times New Roman"/>
          <w:sz w:val="24"/>
          <w:szCs w:val="24"/>
        </w:rPr>
      </w:pPr>
    </w:p>
    <w:p w14:paraId="58D72D50" w14:textId="77777777" w:rsidR="00C7396A" w:rsidRDefault="00C7396A" w:rsidP="00EA0073">
      <w:pPr>
        <w:keepNext/>
        <w:keepLines/>
        <w:spacing w:before="120" w:after="120" w:line="300" w:lineRule="auto"/>
        <w:rPr>
          <w:rFonts w:ascii="Times New Roman" w:hAnsi="Times New Roman" w:cs="Times New Roman"/>
          <w:sz w:val="24"/>
          <w:szCs w:val="24"/>
        </w:rPr>
      </w:pPr>
    </w:p>
    <w:p w14:paraId="51F2422F" w14:textId="77777777" w:rsidR="00C7396A" w:rsidRDefault="00C7396A" w:rsidP="00EA0073">
      <w:pPr>
        <w:keepNext/>
        <w:keepLines/>
        <w:spacing w:before="120" w:after="120" w:line="300" w:lineRule="auto"/>
        <w:rPr>
          <w:rFonts w:ascii="Times New Roman" w:hAnsi="Times New Roman" w:cs="Times New Roman"/>
          <w:sz w:val="24"/>
          <w:szCs w:val="24"/>
        </w:rPr>
      </w:pPr>
    </w:p>
    <w:p w14:paraId="55E1E309" w14:textId="77777777" w:rsidR="00C7396A" w:rsidRDefault="00C7396A" w:rsidP="00EA0073">
      <w:pPr>
        <w:keepNext/>
        <w:keepLines/>
        <w:spacing w:before="120" w:after="120" w:line="300" w:lineRule="auto"/>
        <w:rPr>
          <w:rFonts w:ascii="Times New Roman" w:hAnsi="Times New Roman" w:cs="Times New Roman"/>
          <w:sz w:val="24"/>
          <w:szCs w:val="24"/>
        </w:rPr>
      </w:pPr>
    </w:p>
    <w:p w14:paraId="55CFA191" w14:textId="77777777" w:rsidR="00C7396A" w:rsidRDefault="00C7396A" w:rsidP="00EA0073">
      <w:pPr>
        <w:keepNext/>
        <w:keepLines/>
        <w:spacing w:before="120" w:after="120" w:line="300" w:lineRule="auto"/>
        <w:rPr>
          <w:rFonts w:ascii="Times New Roman" w:hAnsi="Times New Roman" w:cs="Times New Roman"/>
          <w:sz w:val="24"/>
          <w:szCs w:val="24"/>
        </w:rPr>
      </w:pPr>
    </w:p>
    <w:p w14:paraId="19761497" w14:textId="77777777" w:rsidR="003A268A" w:rsidRDefault="00C7396A" w:rsidP="0009159A">
      <w:pPr>
        <w:spacing w:before="360" w:after="120" w:line="240" w:lineRule="auto"/>
        <w:jc w:val="center"/>
        <w:rPr>
          <w:rFonts w:ascii="Times New Roman" w:hAnsi="Times New Roman" w:cs="Times New Roman"/>
          <w:sz w:val="20"/>
          <w:szCs w:val="20"/>
        </w:rPr>
      </w:pPr>
      <w:r w:rsidRPr="00EA0073">
        <w:rPr>
          <w:rFonts w:ascii="Times New Roman" w:hAnsi="Times New Roman" w:cs="Times New Roman"/>
          <w:sz w:val="20"/>
          <w:szCs w:val="20"/>
        </w:rPr>
        <w:t>Source :</w:t>
      </w:r>
      <w:r w:rsidR="00EA0073" w:rsidRPr="00EA0073">
        <w:rPr>
          <w:rFonts w:ascii="Times New Roman" w:hAnsi="Times New Roman" w:cs="Times New Roman"/>
          <w:sz w:val="20"/>
          <w:szCs w:val="20"/>
        </w:rPr>
        <w:t xml:space="preserve"> </w:t>
      </w:r>
      <w:r w:rsidR="00EA0073" w:rsidRPr="00EA0073">
        <w:rPr>
          <w:rFonts w:ascii="Times New Roman" w:hAnsi="Times New Roman" w:cs="Times New Roman"/>
          <w:smallCaps/>
          <w:sz w:val="20"/>
          <w:szCs w:val="20"/>
        </w:rPr>
        <w:t>Leroux</w:t>
      </w:r>
      <w:r w:rsidRPr="00EA0073">
        <w:rPr>
          <w:rFonts w:ascii="Times New Roman" w:hAnsi="Times New Roman" w:cs="Times New Roman"/>
          <w:sz w:val="20"/>
          <w:szCs w:val="20"/>
        </w:rPr>
        <w:t xml:space="preserve"> </w:t>
      </w:r>
      <w:r w:rsidR="00EA0073" w:rsidRPr="00EA0073">
        <w:rPr>
          <w:rFonts w:ascii="Times New Roman" w:hAnsi="Times New Roman" w:cs="Times New Roman"/>
          <w:sz w:val="20"/>
          <w:szCs w:val="20"/>
        </w:rPr>
        <w:t>François</w:t>
      </w:r>
      <w:r w:rsidR="000552FF">
        <w:rPr>
          <w:rFonts w:ascii="Times New Roman" w:hAnsi="Times New Roman" w:cs="Times New Roman"/>
          <w:sz w:val="20"/>
          <w:szCs w:val="20"/>
        </w:rPr>
        <w:t>,</w:t>
      </w:r>
      <w:r w:rsidRPr="00EA0073">
        <w:rPr>
          <w:rFonts w:ascii="Times New Roman" w:hAnsi="Times New Roman" w:cs="Times New Roman"/>
          <w:sz w:val="20"/>
          <w:szCs w:val="20"/>
        </w:rPr>
        <w:t xml:space="preserve"> Note pédagogique, MIC n°16</w:t>
      </w:r>
      <w:r w:rsidR="00EA0073" w:rsidRPr="00EA0073">
        <w:rPr>
          <w:rFonts w:ascii="Times New Roman" w:hAnsi="Times New Roman" w:cs="Times New Roman"/>
          <w:sz w:val="20"/>
          <w:szCs w:val="20"/>
        </w:rPr>
        <w:t>, La titrisation</w:t>
      </w:r>
      <w:r w:rsidR="00EA0073">
        <w:rPr>
          <w:rStyle w:val="Appelnotedebasdep"/>
          <w:rFonts w:ascii="Times New Roman" w:hAnsi="Times New Roman"/>
          <w:sz w:val="20"/>
          <w:szCs w:val="20"/>
        </w:rPr>
        <w:footnoteReference w:id="210"/>
      </w:r>
    </w:p>
    <w:p w14:paraId="6200A152" w14:textId="77777777" w:rsidR="0009159A" w:rsidRDefault="0009159A" w:rsidP="0009159A">
      <w:pPr>
        <w:spacing w:before="360" w:after="120" w:line="240" w:lineRule="auto"/>
        <w:jc w:val="center"/>
        <w:rPr>
          <w:rFonts w:ascii="Times New Roman" w:hAnsi="Times New Roman" w:cs="Times New Roman"/>
          <w:sz w:val="20"/>
          <w:szCs w:val="20"/>
        </w:rPr>
      </w:pPr>
    </w:p>
    <w:p w14:paraId="4D39B708" w14:textId="77777777" w:rsidR="002760B2" w:rsidRPr="002B005F" w:rsidRDefault="00EA0073" w:rsidP="00B0420B">
      <w:pPr>
        <w:pStyle w:val="Titre4"/>
        <w:spacing w:before="120" w:after="120" w:line="300" w:lineRule="auto"/>
        <w:ind w:firstLine="709"/>
      </w:pPr>
      <w:bookmarkStart w:id="825" w:name="_Toc33263297"/>
      <w:bookmarkStart w:id="826" w:name="_Toc37664560"/>
      <w:bookmarkStart w:id="827" w:name="_Toc37666405"/>
      <w:bookmarkStart w:id="828" w:name="_Toc54363294"/>
      <w:bookmarkStart w:id="829" w:name="_Toc58606290"/>
      <w:bookmarkStart w:id="830" w:name="_Toc61263495"/>
      <w:bookmarkStart w:id="831" w:name="_Toc182298730"/>
      <w:r>
        <w:t xml:space="preserve">2.3.2- </w:t>
      </w:r>
      <w:r w:rsidR="000552FF">
        <w:t>P</w:t>
      </w:r>
      <w:r w:rsidR="002760B2" w:rsidRPr="002B005F">
        <w:t>roduits dérivés</w:t>
      </w:r>
      <w:bookmarkEnd w:id="825"/>
      <w:bookmarkEnd w:id="826"/>
      <w:bookmarkEnd w:id="827"/>
      <w:bookmarkEnd w:id="828"/>
      <w:bookmarkEnd w:id="829"/>
      <w:bookmarkEnd w:id="830"/>
      <w:bookmarkEnd w:id="831"/>
    </w:p>
    <w:p w14:paraId="3A2F8B7E" w14:textId="77777777" w:rsidR="002760B2" w:rsidRPr="002B005F" w:rsidRDefault="002760B2" w:rsidP="00FF3EE5">
      <w:pPr>
        <w:widowControl w:val="0"/>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Pour réduire les risques et les transférer entre les agents économiques tels que le risque de crédit et le risque de variation des cours boursiers, des produits dérivés ont été créés. Le marché de ces produits a permis de mettre en place </w:t>
      </w:r>
      <w:r w:rsidR="00C92388">
        <w:rPr>
          <w:rFonts w:ascii="Times New Roman" w:hAnsi="Times New Roman" w:cs="Times New Roman"/>
          <w:sz w:val="24"/>
          <w:szCs w:val="24"/>
        </w:rPr>
        <w:t>"</w:t>
      </w:r>
      <w:r w:rsidRPr="002B005F">
        <w:rPr>
          <w:rFonts w:ascii="Times New Roman" w:hAnsi="Times New Roman" w:cs="Times New Roman"/>
          <w:i/>
          <w:iCs/>
          <w:sz w:val="24"/>
          <w:szCs w:val="24"/>
        </w:rPr>
        <w:t xml:space="preserve">un système bancaire </w:t>
      </w:r>
      <w:r w:rsidRPr="0009159A">
        <w:rPr>
          <w:rFonts w:ascii="Times New Roman" w:hAnsi="Times New Roman" w:cs="Times New Roman"/>
          <w:i/>
          <w:iCs/>
          <w:sz w:val="24"/>
          <w:szCs w:val="24"/>
        </w:rPr>
        <w:t>parallèle</w:t>
      </w:r>
      <w:r w:rsidR="00C92388" w:rsidRPr="0009159A">
        <w:rPr>
          <w:rFonts w:ascii="Times New Roman" w:hAnsi="Times New Roman" w:cs="Times New Roman"/>
          <w:sz w:val="24"/>
          <w:szCs w:val="24"/>
        </w:rPr>
        <w:t>"</w:t>
      </w:r>
      <w:r w:rsidRPr="0009159A">
        <w:rPr>
          <w:rFonts w:ascii="Times New Roman" w:hAnsi="Times New Roman" w:cs="Times New Roman"/>
          <w:sz w:val="24"/>
          <w:szCs w:val="24"/>
        </w:rPr>
        <w:t xml:space="preserve"> qui vise à contourner les règlementations par la transmission des titres de nature très risqué</w:t>
      </w:r>
      <w:r w:rsidR="00C92388" w:rsidRPr="0009159A">
        <w:rPr>
          <w:rFonts w:ascii="Times New Roman" w:hAnsi="Times New Roman" w:cs="Times New Roman"/>
          <w:sz w:val="24"/>
          <w:szCs w:val="24"/>
        </w:rPr>
        <w:t>s</w:t>
      </w:r>
      <w:r w:rsidRPr="0009159A">
        <w:rPr>
          <w:rFonts w:ascii="Times New Roman" w:hAnsi="Times New Roman" w:cs="Times New Roman"/>
          <w:sz w:val="24"/>
          <w:szCs w:val="24"/>
        </w:rPr>
        <w:t>.</w:t>
      </w:r>
    </w:p>
    <w:p w14:paraId="4D073597" w14:textId="77777777" w:rsidR="0009159A" w:rsidRDefault="002760B2" w:rsidP="0009159A">
      <w:pPr>
        <w:tabs>
          <w:tab w:val="left" w:pos="0"/>
        </w:tabs>
        <w:spacing w:before="120" w:line="300" w:lineRule="auto"/>
        <w:ind w:firstLine="709"/>
        <w:rPr>
          <w:rFonts w:ascii="Times New Roman" w:hAnsi="Times New Roman" w:cs="Times New Roman"/>
          <w:sz w:val="24"/>
          <w:szCs w:val="24"/>
        </w:rPr>
      </w:pPr>
      <w:r w:rsidRPr="0009159A">
        <w:rPr>
          <w:rFonts w:ascii="Times New Roman" w:hAnsi="Times New Roman" w:cs="Times New Roman"/>
          <w:sz w:val="24"/>
          <w:szCs w:val="24"/>
        </w:rPr>
        <w:t xml:space="preserve">Selon </w:t>
      </w:r>
      <w:r w:rsidRPr="0009159A">
        <w:rPr>
          <w:rFonts w:ascii="Times New Roman" w:hAnsi="Times New Roman" w:cs="Times New Roman"/>
          <w:smallCaps/>
          <w:sz w:val="24"/>
          <w:szCs w:val="24"/>
        </w:rPr>
        <w:t>Kiff</w:t>
      </w:r>
      <w:r w:rsidRPr="0009159A">
        <w:rPr>
          <w:rFonts w:ascii="Times New Roman" w:hAnsi="Times New Roman" w:cs="Times New Roman"/>
          <w:sz w:val="24"/>
          <w:szCs w:val="24"/>
        </w:rPr>
        <w:t xml:space="preserve"> et </w:t>
      </w:r>
      <w:r w:rsidRPr="0009159A">
        <w:rPr>
          <w:rFonts w:ascii="Times New Roman" w:hAnsi="Times New Roman" w:cs="Times New Roman"/>
          <w:smallCaps/>
          <w:sz w:val="24"/>
          <w:szCs w:val="24"/>
        </w:rPr>
        <w:t>Morrow</w:t>
      </w:r>
      <w:r w:rsidRPr="0009159A">
        <w:rPr>
          <w:rFonts w:ascii="Times New Roman" w:hAnsi="Times New Roman" w:cs="Times New Roman"/>
          <w:sz w:val="24"/>
          <w:szCs w:val="24"/>
        </w:rPr>
        <w:t xml:space="preserve"> (2000), ces produits p</w:t>
      </w:r>
      <w:r w:rsidR="00782E8E" w:rsidRPr="0009159A">
        <w:rPr>
          <w:rFonts w:ascii="Times New Roman" w:hAnsi="Times New Roman" w:cs="Times New Roman"/>
          <w:sz w:val="24"/>
          <w:szCs w:val="24"/>
        </w:rPr>
        <w:t xml:space="preserve">euvent être définis comme étant </w:t>
      </w:r>
      <w:r w:rsidRPr="0009159A">
        <w:rPr>
          <w:rFonts w:ascii="Times New Roman" w:hAnsi="Times New Roman" w:cs="Times New Roman"/>
          <w:sz w:val="24"/>
          <w:szCs w:val="24"/>
        </w:rPr>
        <w:t>« </w:t>
      </w:r>
      <w:r w:rsidRPr="0009159A">
        <w:rPr>
          <w:rFonts w:ascii="Times New Roman" w:hAnsi="Times New Roman" w:cs="Times New Roman"/>
          <w:i/>
          <w:iCs/>
          <w:sz w:val="24"/>
          <w:szCs w:val="24"/>
        </w:rPr>
        <w:t>des contrats qui permettent de transférer le risque et le rendement d’un actif à une contrepartie sans pour autant céder la propriété de l’actif sous-jacent</w:t>
      </w:r>
      <w:r w:rsidRPr="0009159A">
        <w:rPr>
          <w:rFonts w:ascii="Times New Roman" w:hAnsi="Times New Roman" w:cs="Times New Roman"/>
          <w:sz w:val="24"/>
          <w:szCs w:val="24"/>
        </w:rPr>
        <w:t> »</w:t>
      </w:r>
      <w:r w:rsidRPr="0009159A">
        <w:rPr>
          <w:rStyle w:val="Appelnotedebasdep"/>
          <w:rFonts w:ascii="Times New Roman" w:hAnsi="Times New Roman"/>
          <w:sz w:val="24"/>
          <w:szCs w:val="24"/>
        </w:rPr>
        <w:footnoteReference w:id="211"/>
      </w:r>
      <w:r w:rsidRPr="0009159A">
        <w:rPr>
          <w:rFonts w:ascii="Times New Roman" w:hAnsi="Times New Roman" w:cs="Times New Roman"/>
          <w:sz w:val="24"/>
          <w:szCs w:val="24"/>
        </w:rPr>
        <w:t xml:space="preserve">. Donc les dérivés sont utilisés pour s’assurer contre le risque de mouvement de valeur d’un actif appelé </w:t>
      </w:r>
      <w:r w:rsidR="00C92388" w:rsidRPr="0009159A">
        <w:rPr>
          <w:rFonts w:ascii="Times New Roman" w:hAnsi="Times New Roman" w:cs="Times New Roman"/>
          <w:sz w:val="24"/>
          <w:szCs w:val="24"/>
        </w:rPr>
        <w:t>"</w:t>
      </w:r>
      <w:r w:rsidRPr="0009159A">
        <w:rPr>
          <w:rFonts w:ascii="Times New Roman" w:hAnsi="Times New Roman" w:cs="Times New Roman"/>
          <w:i/>
          <w:iCs/>
          <w:sz w:val="24"/>
          <w:szCs w:val="24"/>
        </w:rPr>
        <w:t>sous-jacent</w:t>
      </w:r>
      <w:r w:rsidR="00C92388" w:rsidRPr="0009159A">
        <w:rPr>
          <w:rFonts w:ascii="Times New Roman" w:hAnsi="Times New Roman" w:cs="Times New Roman"/>
          <w:sz w:val="24"/>
          <w:szCs w:val="24"/>
        </w:rPr>
        <w:t>"</w:t>
      </w:r>
      <w:r w:rsidRPr="0009159A">
        <w:rPr>
          <w:rFonts w:ascii="Times New Roman" w:hAnsi="Times New Roman" w:cs="Times New Roman"/>
          <w:sz w:val="24"/>
          <w:szCs w:val="24"/>
        </w:rPr>
        <w:t xml:space="preserve"> (action, obligation, prêt, taux d’intérêt ou de change). </w:t>
      </w:r>
    </w:p>
    <w:p w14:paraId="289FD360" w14:textId="77777777" w:rsidR="002760B2" w:rsidRPr="002B005F" w:rsidRDefault="002760B2" w:rsidP="0009159A">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Il existe différents types de produits dérivés, à savoir les </w:t>
      </w:r>
      <w:r w:rsidR="00C92388" w:rsidRPr="0009159A">
        <w:rPr>
          <w:rFonts w:ascii="Times New Roman" w:hAnsi="Times New Roman" w:cs="Times New Roman"/>
          <w:sz w:val="24"/>
          <w:szCs w:val="24"/>
        </w:rPr>
        <w:t xml:space="preserve">contrats de </w:t>
      </w:r>
      <w:r w:rsidRPr="0009159A">
        <w:rPr>
          <w:rFonts w:ascii="Times New Roman" w:hAnsi="Times New Roman" w:cs="Times New Roman"/>
          <w:sz w:val="24"/>
          <w:szCs w:val="24"/>
        </w:rPr>
        <w:t xml:space="preserve">swaps, les </w:t>
      </w:r>
      <w:r w:rsidR="00C92388" w:rsidRPr="0009159A">
        <w:rPr>
          <w:rFonts w:ascii="Times New Roman" w:hAnsi="Times New Roman" w:cs="Times New Roman"/>
          <w:sz w:val="24"/>
          <w:szCs w:val="24"/>
        </w:rPr>
        <w:t>contrats d’</w:t>
      </w:r>
      <w:r w:rsidRPr="0009159A">
        <w:rPr>
          <w:rFonts w:ascii="Times New Roman" w:hAnsi="Times New Roman" w:cs="Times New Roman"/>
          <w:sz w:val="24"/>
          <w:szCs w:val="24"/>
        </w:rPr>
        <w:t xml:space="preserve">options, les </w:t>
      </w:r>
      <w:r w:rsidR="00C92388" w:rsidRPr="0009159A">
        <w:rPr>
          <w:rFonts w:ascii="Times New Roman" w:hAnsi="Times New Roman" w:cs="Times New Roman"/>
          <w:sz w:val="24"/>
          <w:szCs w:val="24"/>
        </w:rPr>
        <w:t xml:space="preserve">contrats à terme </w:t>
      </w:r>
      <w:r w:rsidR="007B43F6" w:rsidRPr="0009159A">
        <w:rPr>
          <w:rFonts w:ascii="Times New Roman" w:hAnsi="Times New Roman" w:cs="Times New Roman"/>
          <w:sz w:val="24"/>
          <w:szCs w:val="24"/>
        </w:rPr>
        <w:t xml:space="preserve">(contrats </w:t>
      </w:r>
      <w:r w:rsidRPr="0009159A">
        <w:rPr>
          <w:rFonts w:ascii="Times New Roman" w:hAnsi="Times New Roman" w:cs="Times New Roman"/>
          <w:i/>
          <w:iCs/>
          <w:sz w:val="24"/>
          <w:szCs w:val="24"/>
        </w:rPr>
        <w:t>futures</w:t>
      </w:r>
      <w:r w:rsidRPr="0009159A">
        <w:rPr>
          <w:rFonts w:ascii="Times New Roman" w:hAnsi="Times New Roman" w:cs="Times New Roman"/>
          <w:sz w:val="24"/>
          <w:szCs w:val="24"/>
        </w:rPr>
        <w:t xml:space="preserve"> et</w:t>
      </w:r>
      <w:r w:rsidR="007B43F6" w:rsidRPr="0009159A">
        <w:rPr>
          <w:rFonts w:ascii="Times New Roman" w:hAnsi="Times New Roman" w:cs="Times New Roman"/>
          <w:sz w:val="24"/>
          <w:szCs w:val="24"/>
        </w:rPr>
        <w:t xml:space="preserve"> contrats</w:t>
      </w:r>
      <w:r w:rsidRPr="0009159A">
        <w:rPr>
          <w:rFonts w:ascii="Times New Roman" w:hAnsi="Times New Roman" w:cs="Times New Roman"/>
          <w:sz w:val="24"/>
          <w:szCs w:val="24"/>
        </w:rPr>
        <w:t xml:space="preserve"> </w:t>
      </w:r>
      <w:r w:rsidRPr="0009159A">
        <w:rPr>
          <w:rFonts w:ascii="Times New Roman" w:hAnsi="Times New Roman" w:cs="Times New Roman"/>
          <w:i/>
          <w:iCs/>
          <w:sz w:val="24"/>
          <w:szCs w:val="24"/>
        </w:rPr>
        <w:t>forward</w:t>
      </w:r>
      <w:r w:rsidR="007B43F6" w:rsidRPr="0009159A">
        <w:rPr>
          <w:rFonts w:ascii="Times New Roman" w:hAnsi="Times New Roman" w:cs="Times New Roman"/>
          <w:sz w:val="24"/>
          <w:szCs w:val="24"/>
        </w:rPr>
        <w:t>).</w:t>
      </w:r>
      <w:r w:rsidRPr="0009159A">
        <w:rPr>
          <w:rFonts w:ascii="Times New Roman" w:hAnsi="Times New Roman" w:cs="Times New Roman"/>
          <w:sz w:val="24"/>
          <w:szCs w:val="24"/>
        </w:rPr>
        <w:t xml:space="preserve"> </w:t>
      </w:r>
      <w:r w:rsidR="00A40C86" w:rsidRPr="0009159A">
        <w:rPr>
          <w:rFonts w:ascii="Times New Roman" w:hAnsi="Times New Roman" w:cs="Times New Roman"/>
          <w:sz w:val="24"/>
          <w:szCs w:val="24"/>
        </w:rPr>
        <w:t>Dans cette section, n</w:t>
      </w:r>
      <w:r w:rsidRPr="0009159A">
        <w:rPr>
          <w:rFonts w:ascii="Times New Roman" w:hAnsi="Times New Roman" w:cs="Times New Roman"/>
          <w:sz w:val="24"/>
          <w:szCs w:val="24"/>
        </w:rPr>
        <w:t>ous nous limitons à décrire brièvement la structure de quelques produits d</w:t>
      </w:r>
      <w:r w:rsidRPr="002B005F">
        <w:rPr>
          <w:rFonts w:ascii="Times New Roman" w:hAnsi="Times New Roman" w:cs="Times New Roman"/>
          <w:sz w:val="24"/>
          <w:szCs w:val="24"/>
        </w:rPr>
        <w:t>érivés qui ont une relation avec la gestion des risques dans le domaine bancaire.</w:t>
      </w:r>
    </w:p>
    <w:p w14:paraId="167CC479" w14:textId="77777777" w:rsidR="002760B2" w:rsidRPr="00B0420B" w:rsidRDefault="000552FF" w:rsidP="00CB0FF1">
      <w:pPr>
        <w:pStyle w:val="Titre5"/>
        <w:keepNext w:val="0"/>
        <w:keepLines w:val="0"/>
        <w:numPr>
          <w:ilvl w:val="4"/>
          <w:numId w:val="117"/>
        </w:numPr>
        <w:spacing w:before="100" w:beforeAutospacing="1" w:after="120" w:line="300" w:lineRule="auto"/>
        <w:ind w:left="1010" w:hanging="301"/>
        <w:rPr>
          <w:rFonts w:asciiTheme="majorBidi" w:hAnsiTheme="majorBidi"/>
          <w:b/>
          <w:bCs/>
          <w:color w:val="auto"/>
          <w:sz w:val="24"/>
          <w:szCs w:val="24"/>
        </w:rPr>
      </w:pPr>
      <w:bookmarkStart w:id="832" w:name="_Toc182298731"/>
      <w:r w:rsidRPr="00B0420B">
        <w:rPr>
          <w:rFonts w:asciiTheme="majorBidi" w:hAnsiTheme="majorBidi"/>
          <w:b/>
          <w:bCs/>
          <w:color w:val="auto"/>
          <w:sz w:val="24"/>
          <w:szCs w:val="24"/>
        </w:rPr>
        <w:t>D</w:t>
      </w:r>
      <w:r w:rsidR="00C04BD7" w:rsidRPr="00B0420B">
        <w:rPr>
          <w:rFonts w:asciiTheme="majorBidi" w:hAnsiTheme="majorBidi"/>
          <w:b/>
          <w:bCs/>
          <w:color w:val="auto"/>
          <w:sz w:val="24"/>
          <w:szCs w:val="24"/>
        </w:rPr>
        <w:t>érivés de crédit</w:t>
      </w:r>
      <w:bookmarkEnd w:id="832"/>
    </w:p>
    <w:p w14:paraId="4B8A0B15" w14:textId="77777777" w:rsidR="002760B2" w:rsidRPr="00FA50EB" w:rsidRDefault="002760B2" w:rsidP="009130FF">
      <w:pPr>
        <w:pStyle w:val="Paragraphedeliste"/>
        <w:tabs>
          <w:tab w:val="left" w:pos="0"/>
        </w:tabs>
        <w:spacing w:before="120" w:line="300" w:lineRule="auto"/>
        <w:ind w:left="0" w:firstLine="709"/>
        <w:contextualSpacing w:val="0"/>
        <w:rPr>
          <w:rFonts w:ascii="Times New Roman" w:hAnsi="Times New Roman" w:cs="Times New Roman"/>
          <w:spacing w:val="6"/>
          <w:sz w:val="24"/>
          <w:szCs w:val="24"/>
        </w:rPr>
      </w:pPr>
      <w:r w:rsidRPr="00FA50EB">
        <w:rPr>
          <w:rFonts w:ascii="Times New Roman" w:hAnsi="Times New Roman" w:cs="Times New Roman"/>
          <w:spacing w:val="6"/>
          <w:sz w:val="24"/>
          <w:szCs w:val="24"/>
        </w:rPr>
        <w:t>Ce sont des instruments qui permettent de transférer, par contrat, tout ou partie du risque de crédit portant sur un tiers appelé entité de référence. Ce risque peut être la faillite, des problèmes de paiements ou une baisse de la notation</w:t>
      </w:r>
      <w:r w:rsidRPr="00FA50EB">
        <w:rPr>
          <w:rStyle w:val="Appelnotedebasdep"/>
          <w:rFonts w:ascii="Times New Roman" w:hAnsi="Times New Roman"/>
          <w:spacing w:val="6"/>
          <w:sz w:val="24"/>
          <w:szCs w:val="24"/>
        </w:rPr>
        <w:footnoteReference w:id="212"/>
      </w:r>
      <w:r w:rsidRPr="00FA50EB">
        <w:rPr>
          <w:rFonts w:ascii="Times New Roman" w:hAnsi="Times New Roman" w:cs="Times New Roman"/>
          <w:spacing w:val="6"/>
          <w:sz w:val="24"/>
          <w:szCs w:val="24"/>
        </w:rPr>
        <w:t>. Ainsi, un grand acteur est entré sur le marché des dérivés ; l’assureur, qu’il soit banquier, hedge funds</w:t>
      </w:r>
      <w:r w:rsidRPr="00FA50EB">
        <w:rPr>
          <w:rStyle w:val="Appelnotedebasdep"/>
          <w:rFonts w:ascii="Times New Roman" w:hAnsi="Times New Roman"/>
          <w:spacing w:val="6"/>
          <w:sz w:val="24"/>
          <w:szCs w:val="24"/>
        </w:rPr>
        <w:footnoteReference w:id="213"/>
      </w:r>
      <w:r w:rsidRPr="00FA50EB">
        <w:rPr>
          <w:rFonts w:ascii="Times New Roman" w:hAnsi="Times New Roman" w:cs="Times New Roman"/>
          <w:spacing w:val="6"/>
          <w:sz w:val="24"/>
          <w:szCs w:val="24"/>
        </w:rPr>
        <w:t xml:space="preserve"> ou assureur au sens strict. Ces derniers ont offert une protection contre les pertes de l’actif de référence en créant des swaps baptisés les </w:t>
      </w:r>
      <w:r w:rsidR="009130FF" w:rsidRPr="00FA50EB">
        <w:rPr>
          <w:rFonts w:ascii="Times New Roman" w:hAnsi="Times New Roman" w:cs="Times New Roman"/>
          <w:spacing w:val="6"/>
          <w:sz w:val="24"/>
          <w:szCs w:val="24"/>
        </w:rPr>
        <w:t>credit default swaps (</w:t>
      </w:r>
      <w:r w:rsidRPr="00FA50EB">
        <w:rPr>
          <w:rFonts w:ascii="Times New Roman" w:hAnsi="Times New Roman" w:cs="Times New Roman"/>
          <w:spacing w:val="6"/>
          <w:sz w:val="24"/>
          <w:szCs w:val="24"/>
        </w:rPr>
        <w:t>CDS</w:t>
      </w:r>
      <w:r w:rsidR="009130FF" w:rsidRPr="00FA50EB">
        <w:rPr>
          <w:rFonts w:ascii="Times New Roman" w:hAnsi="Times New Roman" w:cs="Times New Roman"/>
          <w:spacing w:val="6"/>
          <w:sz w:val="24"/>
          <w:szCs w:val="24"/>
        </w:rPr>
        <w:t>)</w:t>
      </w:r>
      <w:r w:rsidRPr="00FA50EB">
        <w:rPr>
          <w:rFonts w:ascii="Times New Roman" w:hAnsi="Times New Roman" w:cs="Times New Roman"/>
          <w:spacing w:val="6"/>
          <w:sz w:val="24"/>
          <w:szCs w:val="24"/>
        </w:rPr>
        <w:t>.</w:t>
      </w:r>
    </w:p>
    <w:p w14:paraId="09D7F628" w14:textId="77777777" w:rsidR="002760B2" w:rsidRPr="00FA50EB" w:rsidRDefault="002760B2" w:rsidP="009130FF">
      <w:pPr>
        <w:tabs>
          <w:tab w:val="left" w:pos="0"/>
        </w:tabs>
        <w:spacing w:before="120" w:line="300" w:lineRule="auto"/>
        <w:ind w:firstLine="709"/>
        <w:rPr>
          <w:rFonts w:ascii="Times New Roman" w:hAnsi="Times New Roman" w:cs="Times New Roman"/>
          <w:spacing w:val="6"/>
          <w:sz w:val="24"/>
          <w:szCs w:val="24"/>
        </w:rPr>
      </w:pPr>
      <w:r w:rsidRPr="00FA50EB">
        <w:rPr>
          <w:rFonts w:ascii="Times New Roman" w:hAnsi="Times New Roman" w:cs="Times New Roman"/>
          <w:spacing w:val="6"/>
          <w:sz w:val="24"/>
          <w:szCs w:val="24"/>
        </w:rPr>
        <w:t xml:space="preserve">Selon </w:t>
      </w:r>
      <w:r w:rsidRPr="00FA50EB">
        <w:rPr>
          <w:rFonts w:ascii="Times New Roman" w:hAnsi="Times New Roman" w:cs="Times New Roman"/>
          <w:smallCaps/>
          <w:spacing w:val="6"/>
          <w:sz w:val="24"/>
          <w:szCs w:val="24"/>
        </w:rPr>
        <w:t>Mohadzir</w:t>
      </w:r>
      <w:r w:rsidRPr="00FA50EB">
        <w:rPr>
          <w:rFonts w:ascii="Times New Roman" w:hAnsi="Times New Roman" w:cs="Times New Roman"/>
          <w:spacing w:val="6"/>
          <w:sz w:val="24"/>
          <w:szCs w:val="24"/>
        </w:rPr>
        <w:t xml:space="preserve"> (2008), les CDS sont définis comme étant : « </w:t>
      </w:r>
      <w:r w:rsidRPr="00FA50EB">
        <w:rPr>
          <w:rFonts w:ascii="Times New Roman" w:hAnsi="Times New Roman" w:cs="Times New Roman"/>
          <w:i/>
          <w:iCs/>
          <w:spacing w:val="6"/>
          <w:sz w:val="24"/>
          <w:szCs w:val="24"/>
        </w:rPr>
        <w:t>un contrat de swap dans lequel l’acheteur des CDS verse une prime périodique contre une protection de la part du vendeur qui prend ainsi une exposition au risque de crédit</w:t>
      </w:r>
      <w:r w:rsidRPr="00FA50EB">
        <w:rPr>
          <w:rFonts w:ascii="Times New Roman" w:hAnsi="Times New Roman" w:cs="Times New Roman"/>
          <w:spacing w:val="6"/>
          <w:sz w:val="24"/>
          <w:szCs w:val="24"/>
        </w:rPr>
        <w:t> »</w:t>
      </w:r>
      <w:r w:rsidRPr="00FA50EB">
        <w:rPr>
          <w:rStyle w:val="Appelnotedebasdep"/>
          <w:rFonts w:ascii="Times New Roman" w:hAnsi="Times New Roman"/>
          <w:spacing w:val="6"/>
          <w:sz w:val="24"/>
          <w:szCs w:val="24"/>
        </w:rPr>
        <w:footnoteReference w:id="214"/>
      </w:r>
      <w:r w:rsidRPr="00FA50EB">
        <w:rPr>
          <w:rFonts w:ascii="Times New Roman" w:hAnsi="Times New Roman" w:cs="Times New Roman"/>
          <w:spacing w:val="6"/>
          <w:sz w:val="24"/>
          <w:szCs w:val="24"/>
        </w:rPr>
        <w:t>. Donc, le CDS est une assurance contractée à titre privé, de gré à gré entre deux personnes : l’acheteur de protection qui verse une prime annuelle ou multi</w:t>
      </w:r>
      <w:r w:rsidR="009130FF" w:rsidRPr="00FA50EB">
        <w:rPr>
          <w:rFonts w:ascii="Times New Roman" w:hAnsi="Times New Roman" w:cs="Times New Roman"/>
          <w:spacing w:val="6"/>
          <w:sz w:val="24"/>
          <w:szCs w:val="24"/>
        </w:rPr>
        <w:t>-</w:t>
      </w:r>
      <w:r w:rsidRPr="00FA50EB">
        <w:rPr>
          <w:rFonts w:ascii="Times New Roman" w:hAnsi="Times New Roman" w:cs="Times New Roman"/>
          <w:spacing w:val="6"/>
          <w:sz w:val="24"/>
          <w:szCs w:val="24"/>
        </w:rPr>
        <w:t>annuelle et</w:t>
      </w:r>
      <w:r w:rsidR="009130FF" w:rsidRPr="00FA50EB">
        <w:rPr>
          <w:rFonts w:ascii="Times New Roman" w:hAnsi="Times New Roman" w:cs="Times New Roman"/>
          <w:spacing w:val="6"/>
          <w:sz w:val="24"/>
          <w:szCs w:val="24"/>
        </w:rPr>
        <w:t>,</w:t>
      </w:r>
      <w:r w:rsidRPr="00FA50EB">
        <w:rPr>
          <w:rFonts w:ascii="Times New Roman" w:hAnsi="Times New Roman" w:cs="Times New Roman"/>
          <w:spacing w:val="6"/>
          <w:sz w:val="24"/>
          <w:szCs w:val="24"/>
        </w:rPr>
        <w:t xml:space="preserve"> le vendeur de protection (comme Lehman Brothers ou un véritable assureur comme AIG) qui promet de compenser les pertes de l’actif assuré. (Voir la </w:t>
      </w:r>
      <w:r w:rsidRPr="00C86447">
        <w:rPr>
          <w:rFonts w:ascii="Times New Roman" w:hAnsi="Times New Roman" w:cs="Times New Roman"/>
          <w:spacing w:val="6"/>
          <w:sz w:val="24"/>
          <w:szCs w:val="24"/>
        </w:rPr>
        <w:t xml:space="preserve">figure </w:t>
      </w:r>
      <w:r w:rsidR="00CC4B99" w:rsidRPr="00C86447">
        <w:rPr>
          <w:rFonts w:ascii="Times New Roman" w:hAnsi="Times New Roman" w:cs="Times New Roman"/>
          <w:spacing w:val="6"/>
          <w:sz w:val="24"/>
          <w:szCs w:val="24"/>
        </w:rPr>
        <w:t>21</w:t>
      </w:r>
      <w:r w:rsidRPr="00C86447">
        <w:rPr>
          <w:rFonts w:ascii="Times New Roman" w:hAnsi="Times New Roman" w:cs="Times New Roman"/>
          <w:spacing w:val="6"/>
          <w:sz w:val="24"/>
          <w:szCs w:val="24"/>
        </w:rPr>
        <w:t>).</w:t>
      </w:r>
    </w:p>
    <w:p w14:paraId="3D0B019F" w14:textId="77777777" w:rsidR="00DA1BFB" w:rsidRPr="00FA50EB" w:rsidRDefault="009130FF" w:rsidP="009130FF">
      <w:pPr>
        <w:pStyle w:val="Paragraphedeliste"/>
        <w:tabs>
          <w:tab w:val="left" w:pos="0"/>
        </w:tabs>
        <w:spacing w:before="120" w:line="300" w:lineRule="auto"/>
        <w:ind w:left="0" w:firstLine="709"/>
        <w:contextualSpacing w:val="0"/>
        <w:rPr>
          <w:rFonts w:ascii="Times New Roman" w:hAnsi="Times New Roman" w:cs="Times New Roman"/>
          <w:spacing w:val="6"/>
          <w:sz w:val="24"/>
          <w:szCs w:val="24"/>
        </w:rPr>
      </w:pPr>
      <w:r w:rsidRPr="00FA50EB">
        <w:rPr>
          <w:rFonts w:ascii="Times New Roman" w:hAnsi="Times New Roman" w:cs="Times New Roman"/>
          <w:spacing w:val="6"/>
          <w:sz w:val="24"/>
          <w:szCs w:val="24"/>
        </w:rPr>
        <w:t>Cependant, l</w:t>
      </w:r>
      <w:r w:rsidR="002760B2" w:rsidRPr="00FA50EB">
        <w:rPr>
          <w:rFonts w:ascii="Times New Roman" w:hAnsi="Times New Roman" w:cs="Times New Roman"/>
          <w:spacing w:val="6"/>
          <w:sz w:val="24"/>
          <w:szCs w:val="24"/>
        </w:rPr>
        <w:t xml:space="preserve">e CDS permet de transférer </w:t>
      </w:r>
      <w:r w:rsidR="0031438C" w:rsidRPr="00FA50EB">
        <w:rPr>
          <w:rFonts w:ascii="Times New Roman" w:hAnsi="Times New Roman" w:cs="Times New Roman"/>
          <w:spacing w:val="6"/>
          <w:sz w:val="24"/>
          <w:szCs w:val="24"/>
        </w:rPr>
        <w:t xml:space="preserve">un risque de crédit </w:t>
      </w:r>
      <w:r w:rsidR="002760B2" w:rsidRPr="00FA50EB">
        <w:rPr>
          <w:rFonts w:ascii="Times New Roman" w:hAnsi="Times New Roman" w:cs="Times New Roman"/>
          <w:spacing w:val="6"/>
          <w:sz w:val="24"/>
          <w:szCs w:val="24"/>
        </w:rPr>
        <w:t>entre deux contreparties</w:t>
      </w:r>
      <w:r w:rsidR="0031438C" w:rsidRPr="00FA50EB">
        <w:rPr>
          <w:rFonts w:ascii="Times New Roman" w:hAnsi="Times New Roman" w:cs="Times New Roman"/>
          <w:spacing w:val="6"/>
          <w:sz w:val="24"/>
          <w:szCs w:val="24"/>
        </w:rPr>
        <w:t xml:space="preserve"> : </w:t>
      </w:r>
      <w:r w:rsidR="002760B2" w:rsidRPr="00FA50EB">
        <w:rPr>
          <w:rFonts w:ascii="Times New Roman" w:hAnsi="Times New Roman" w:cs="Times New Roman"/>
          <w:spacing w:val="6"/>
          <w:sz w:val="24"/>
          <w:szCs w:val="24"/>
        </w:rPr>
        <w:t>d’un côté</w:t>
      </w:r>
      <w:r w:rsidR="0031438C" w:rsidRPr="00FA50EB">
        <w:rPr>
          <w:rFonts w:ascii="Times New Roman" w:hAnsi="Times New Roman" w:cs="Times New Roman"/>
          <w:spacing w:val="6"/>
          <w:sz w:val="24"/>
          <w:szCs w:val="24"/>
        </w:rPr>
        <w:t>,</w:t>
      </w:r>
      <w:r w:rsidR="002760B2" w:rsidRPr="00FA50EB">
        <w:rPr>
          <w:rFonts w:ascii="Times New Roman" w:hAnsi="Times New Roman" w:cs="Times New Roman"/>
          <w:spacing w:val="6"/>
          <w:sz w:val="24"/>
          <w:szCs w:val="24"/>
        </w:rPr>
        <w:t xml:space="preserve"> l’acheteur de protection cherche à se débarrasser du risque de crédit sur une entité de référence (l’émetteur obligataire), et, d’un autre c</w:t>
      </w:r>
      <w:r w:rsidR="0031438C" w:rsidRPr="00FA50EB">
        <w:rPr>
          <w:rFonts w:ascii="Times New Roman" w:hAnsi="Times New Roman" w:cs="Times New Roman"/>
          <w:spacing w:val="6"/>
          <w:sz w:val="24"/>
          <w:szCs w:val="24"/>
        </w:rPr>
        <w:t>ô</w:t>
      </w:r>
      <w:r w:rsidR="002760B2" w:rsidRPr="00FA50EB">
        <w:rPr>
          <w:rFonts w:ascii="Times New Roman" w:hAnsi="Times New Roman" w:cs="Times New Roman"/>
          <w:spacing w:val="6"/>
          <w:sz w:val="24"/>
          <w:szCs w:val="24"/>
        </w:rPr>
        <w:t>té</w:t>
      </w:r>
      <w:r w:rsidR="0031438C" w:rsidRPr="00FA50EB">
        <w:rPr>
          <w:rFonts w:ascii="Times New Roman" w:hAnsi="Times New Roman" w:cs="Times New Roman"/>
          <w:spacing w:val="6"/>
          <w:sz w:val="24"/>
          <w:szCs w:val="24"/>
        </w:rPr>
        <w:t>,</w:t>
      </w:r>
      <w:r w:rsidR="002760B2" w:rsidRPr="00FA50EB">
        <w:rPr>
          <w:rFonts w:ascii="Times New Roman" w:hAnsi="Times New Roman" w:cs="Times New Roman"/>
          <w:spacing w:val="6"/>
          <w:sz w:val="24"/>
          <w:szCs w:val="24"/>
        </w:rPr>
        <w:t xml:space="preserve"> le vendeur </w:t>
      </w:r>
      <w:r w:rsidR="002760B2" w:rsidRPr="00FA50EB">
        <w:rPr>
          <w:rFonts w:ascii="Times New Roman" w:hAnsi="Times New Roman" w:cs="Times New Roman"/>
          <w:spacing w:val="6"/>
          <w:sz w:val="24"/>
          <w:szCs w:val="24"/>
        </w:rPr>
        <w:lastRenderedPageBreak/>
        <w:t>de protection assume le risque de crédit sur l’entité de référence à des fins d’investissement ou d’arbitrage.</w:t>
      </w:r>
    </w:p>
    <w:p w14:paraId="6A4A073A" w14:textId="14B081F1" w:rsidR="00194157" w:rsidRPr="00194157" w:rsidRDefault="00194157" w:rsidP="00FA50EB">
      <w:pPr>
        <w:pStyle w:val="Lgende"/>
        <w:keepNext/>
        <w:spacing w:before="240" w:after="240" w:line="300" w:lineRule="auto"/>
        <w:jc w:val="center"/>
        <w:rPr>
          <w:rFonts w:asciiTheme="majorBidi" w:hAnsiTheme="majorBidi" w:cstheme="majorBidi"/>
          <w:color w:val="auto"/>
          <w:sz w:val="24"/>
          <w:szCs w:val="24"/>
        </w:rPr>
      </w:pPr>
      <w:bookmarkStart w:id="833" w:name="_Toc115527432"/>
      <w:r w:rsidRPr="00194157">
        <w:rPr>
          <w:rFonts w:asciiTheme="majorBidi" w:hAnsiTheme="majorBidi" w:cstheme="majorBidi"/>
          <w:color w:val="auto"/>
          <w:sz w:val="24"/>
          <w:szCs w:val="24"/>
        </w:rPr>
        <w:t xml:space="preserve">Figure </w:t>
      </w:r>
      <w:r w:rsidR="00B544E5" w:rsidRPr="00194157">
        <w:rPr>
          <w:rFonts w:asciiTheme="majorBidi" w:hAnsiTheme="majorBidi" w:cstheme="majorBidi"/>
          <w:color w:val="auto"/>
          <w:sz w:val="24"/>
          <w:szCs w:val="24"/>
        </w:rPr>
        <w:fldChar w:fldCharType="begin"/>
      </w:r>
      <w:r w:rsidRPr="00194157">
        <w:rPr>
          <w:rFonts w:asciiTheme="majorBidi" w:hAnsiTheme="majorBidi" w:cstheme="majorBidi"/>
          <w:color w:val="auto"/>
          <w:sz w:val="24"/>
          <w:szCs w:val="24"/>
        </w:rPr>
        <w:instrText xml:space="preserve"> SEQ Figure \* ARABIC </w:instrText>
      </w:r>
      <w:r w:rsidR="00B544E5" w:rsidRPr="00194157">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21</w:t>
      </w:r>
      <w:r w:rsidR="00B544E5" w:rsidRPr="00194157">
        <w:rPr>
          <w:rFonts w:asciiTheme="majorBidi" w:hAnsiTheme="majorBidi" w:cstheme="majorBidi"/>
          <w:color w:val="auto"/>
          <w:sz w:val="24"/>
          <w:szCs w:val="24"/>
        </w:rPr>
        <w:fldChar w:fldCharType="end"/>
      </w:r>
      <w:r w:rsidRPr="00194157">
        <w:rPr>
          <w:rFonts w:asciiTheme="majorBidi" w:hAnsiTheme="majorBidi" w:cstheme="majorBidi"/>
          <w:color w:val="auto"/>
          <w:sz w:val="24"/>
          <w:szCs w:val="24"/>
        </w:rPr>
        <w:t>- Le fonctionnement d'un CDS</w:t>
      </w:r>
      <w:bookmarkEnd w:id="833"/>
    </w:p>
    <w:p w14:paraId="35042D70" w14:textId="382D8116" w:rsidR="002760B2" w:rsidRPr="002B005F" w:rsidRDefault="002C5EFF" w:rsidP="00EA3D48">
      <w:pPr>
        <w:keepNext/>
        <w:keepLines/>
        <w:tabs>
          <w:tab w:val="left" w:pos="0"/>
        </w:tabs>
        <w:spacing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555840" behindDoc="0" locked="0" layoutInCell="1" allowOverlap="1" wp14:anchorId="0D61023E" wp14:editId="3B5EA004">
            <wp:simplePos x="0" y="0"/>
            <wp:positionH relativeFrom="margin">
              <wp:posOffset>-48895</wp:posOffset>
            </wp:positionH>
            <wp:positionV relativeFrom="paragraph">
              <wp:posOffset>0</wp:posOffset>
            </wp:positionV>
            <wp:extent cx="5597525" cy="1224280"/>
            <wp:effectExtent l="0" t="0" r="0" b="0"/>
            <wp:wrapNone/>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7525" cy="12242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FR"/>
        </w:rPr>
        <mc:AlternateContent>
          <mc:Choice Requires="wpc">
            <w:drawing>
              <wp:inline distT="0" distB="0" distL="0" distR="0" wp14:anchorId="5231F761" wp14:editId="361C7922">
                <wp:extent cx="5067300" cy="1104900"/>
                <wp:effectExtent l="3810" t="0" r="0" b="3810"/>
                <wp:docPr id="715" name="Zone de dessin 7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2D00BF3" id="Zone de dessin 715" o:spid="_x0000_s1026" editas="canvas" style="width:399pt;height:87pt;mso-position-horizontal-relative:char;mso-position-vertical-relative:line" coordsize="50673,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">
                <v:shape id="_x0000_s1027" type="#_x0000_t75" style="position:absolute;width:50673;height:11049;visibility:visible;mso-wrap-style:square">
                  <v:fill o:detectmouseclick="t"/>
                  <v:path o:connecttype="none"/>
                </v:shape>
                <w10:anchorlock/>
              </v:group>
            </w:pict>
          </mc:Fallback>
        </mc:AlternateContent>
      </w:r>
    </w:p>
    <w:p w14:paraId="7C4FF4B4" w14:textId="77777777" w:rsidR="002760B2" w:rsidRPr="002B005F" w:rsidRDefault="002760B2" w:rsidP="00CD703D">
      <w:pPr>
        <w:keepNext/>
        <w:keepLines/>
        <w:tabs>
          <w:tab w:val="left" w:pos="0"/>
        </w:tabs>
        <w:spacing w:before="36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w:t>
      </w:r>
      <w:r w:rsidR="004638B9" w:rsidRPr="002B005F">
        <w:rPr>
          <w:rFonts w:ascii="Times New Roman" w:hAnsi="Times New Roman" w:cs="Times New Roman"/>
          <w:sz w:val="20"/>
          <w:szCs w:val="20"/>
        </w:rPr>
        <w:t xml:space="preserve"> </w:t>
      </w:r>
      <w:r w:rsidRPr="002B005F">
        <w:rPr>
          <w:rFonts w:ascii="Times New Roman" w:hAnsi="Times New Roman" w:cs="Times New Roman"/>
          <w:smallCaps/>
          <w:sz w:val="20"/>
          <w:szCs w:val="20"/>
        </w:rPr>
        <w:t>Arrata</w:t>
      </w:r>
      <w:r w:rsidRPr="002B005F">
        <w:rPr>
          <w:rFonts w:ascii="Times New Roman" w:hAnsi="Times New Roman" w:cs="Times New Roman"/>
          <w:sz w:val="20"/>
          <w:szCs w:val="20"/>
        </w:rPr>
        <w:t xml:space="preserve">, </w:t>
      </w:r>
      <w:r w:rsidRPr="002B005F">
        <w:rPr>
          <w:rFonts w:ascii="Times New Roman" w:hAnsi="Times New Roman" w:cs="Times New Roman"/>
          <w:smallCaps/>
          <w:sz w:val="20"/>
          <w:szCs w:val="20"/>
        </w:rPr>
        <w:t>Assouan</w:t>
      </w:r>
      <w:r w:rsidRPr="002B005F">
        <w:rPr>
          <w:rFonts w:ascii="Times New Roman" w:hAnsi="Times New Roman" w:cs="Times New Roman"/>
          <w:sz w:val="20"/>
          <w:szCs w:val="20"/>
        </w:rPr>
        <w:t xml:space="preserve"> et al</w:t>
      </w:r>
      <w:r w:rsidR="004638B9" w:rsidRPr="002B005F">
        <w:rPr>
          <w:rFonts w:ascii="Times New Roman" w:hAnsi="Times New Roman" w:cs="Times New Roman"/>
          <w:sz w:val="20"/>
          <w:szCs w:val="20"/>
        </w:rPr>
        <w:t>., 2009</w:t>
      </w:r>
      <w:r w:rsidRPr="002B005F">
        <w:rPr>
          <w:rFonts w:ascii="Times New Roman" w:hAnsi="Times New Roman" w:cs="Times New Roman"/>
          <w:sz w:val="20"/>
          <w:szCs w:val="20"/>
        </w:rPr>
        <w:t>, p. 33.</w:t>
      </w:r>
    </w:p>
    <w:p w14:paraId="226BA77C" w14:textId="77777777" w:rsidR="002760B2" w:rsidRPr="002B005F" w:rsidRDefault="002760B2" w:rsidP="0031438C">
      <w:pPr>
        <w:tabs>
          <w:tab w:val="left" w:pos="0"/>
        </w:tabs>
        <w:spacing w:before="100" w:beforeAutospacing="1"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En théorie, les dérivés de crédit contribuent à répartir les risques afin de garder la stabilité du système financier. </w:t>
      </w:r>
      <w:r w:rsidR="001350AC" w:rsidRPr="002B005F">
        <w:rPr>
          <w:rFonts w:ascii="Times New Roman" w:hAnsi="Times New Roman" w:cs="Times New Roman"/>
          <w:sz w:val="24"/>
          <w:szCs w:val="24"/>
        </w:rPr>
        <w:t xml:space="preserve">Mais, au lieu de conduire à l’atténuation du risque, les caractéristiques actuelles du marché des CDS, notamment l’opacité d’un marché non réglementé provoquant une concentration des contreparties et un enchainement de faillites, ont largement contribué à l’amplification surprenante de la crise financière des </w:t>
      </w:r>
      <w:r w:rsidR="00782E8E" w:rsidRPr="0031438C">
        <w:rPr>
          <w:rFonts w:ascii="Times New Roman" w:hAnsi="Times New Roman" w:cs="Times New Roman"/>
          <w:i/>
          <w:sz w:val="24"/>
          <w:szCs w:val="24"/>
        </w:rPr>
        <w:t>Subprimes</w:t>
      </w:r>
      <w:r w:rsidR="001350AC" w:rsidRPr="002B005F">
        <w:rPr>
          <w:rFonts w:ascii="Times New Roman" w:hAnsi="Times New Roman" w:cs="Times New Roman"/>
          <w:sz w:val="24"/>
          <w:szCs w:val="24"/>
        </w:rPr>
        <w:t xml:space="preserve"> jusqu’à devenir une crise systémique. </w:t>
      </w:r>
      <w:r w:rsidRPr="002B005F">
        <w:rPr>
          <w:rFonts w:ascii="Times New Roman" w:hAnsi="Times New Roman" w:cs="Times New Roman"/>
          <w:sz w:val="24"/>
          <w:szCs w:val="24"/>
        </w:rPr>
        <w:t>Donc, c’est le développement de ce marché non organisé et malsain qui l’a conduit à jouer un rôle imp</w:t>
      </w:r>
      <w:r w:rsidR="001350AC" w:rsidRPr="002B005F">
        <w:rPr>
          <w:rFonts w:ascii="Times New Roman" w:hAnsi="Times New Roman" w:cs="Times New Roman"/>
          <w:sz w:val="24"/>
          <w:szCs w:val="24"/>
        </w:rPr>
        <w:t>ortant de vecteur de contagion.</w:t>
      </w:r>
    </w:p>
    <w:p w14:paraId="170510E6" w14:textId="77777777" w:rsidR="002760B2" w:rsidRPr="002B005F" w:rsidRDefault="002760B2" w:rsidP="0031438C">
      <w:pPr>
        <w:tabs>
          <w:tab w:val="left" w:pos="0"/>
        </w:tabs>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Selon </w:t>
      </w:r>
      <w:r w:rsidRPr="002B005F">
        <w:rPr>
          <w:rFonts w:ascii="Times New Roman" w:hAnsi="Times New Roman" w:cs="Times New Roman"/>
          <w:smallCaps/>
          <w:sz w:val="24"/>
          <w:szCs w:val="24"/>
        </w:rPr>
        <w:t>Saint-Pasteur</w:t>
      </w:r>
      <w:r w:rsidRPr="002B005F">
        <w:rPr>
          <w:rFonts w:ascii="Times New Roman" w:hAnsi="Times New Roman" w:cs="Times New Roman"/>
          <w:sz w:val="24"/>
          <w:szCs w:val="24"/>
        </w:rPr>
        <w:t xml:space="preserve"> (2007), les principales faiblesses du marché des dérivés de </w:t>
      </w:r>
      <w:r w:rsidRPr="0009159A">
        <w:rPr>
          <w:rFonts w:ascii="Times New Roman" w:hAnsi="Times New Roman" w:cs="Times New Roman"/>
          <w:sz w:val="24"/>
          <w:szCs w:val="24"/>
        </w:rPr>
        <w:t>crédit s</w:t>
      </w:r>
      <w:r w:rsidRPr="002B005F">
        <w:rPr>
          <w:rFonts w:ascii="Times New Roman" w:hAnsi="Times New Roman" w:cs="Times New Roman"/>
          <w:sz w:val="24"/>
          <w:szCs w:val="24"/>
        </w:rPr>
        <w:t>ont dues aux modèles médiocres d’évaluation du risque de crédit qui ne permettaient pas de prendre en compte toutes les variables qui peuvent influencer le risque de crédit</w:t>
      </w:r>
      <w:r w:rsidRPr="002B005F">
        <w:rPr>
          <w:rStyle w:val="Appelnotedebasdep"/>
          <w:rFonts w:ascii="Times New Roman" w:hAnsi="Times New Roman"/>
          <w:sz w:val="24"/>
          <w:szCs w:val="24"/>
        </w:rPr>
        <w:footnoteReference w:id="215"/>
      </w:r>
      <w:r w:rsidRPr="002B005F">
        <w:rPr>
          <w:rFonts w:ascii="Times New Roman" w:hAnsi="Times New Roman" w:cs="Times New Roman"/>
          <w:sz w:val="24"/>
          <w:szCs w:val="24"/>
        </w:rPr>
        <w:t>.</w:t>
      </w:r>
    </w:p>
    <w:p w14:paraId="3865FAA8" w14:textId="77777777" w:rsidR="002760B2" w:rsidRPr="00B0420B" w:rsidRDefault="000552FF" w:rsidP="00CB0FF1">
      <w:pPr>
        <w:pStyle w:val="Titre5"/>
        <w:keepNext w:val="0"/>
        <w:keepLines w:val="0"/>
        <w:numPr>
          <w:ilvl w:val="4"/>
          <w:numId w:val="118"/>
        </w:numPr>
        <w:spacing w:before="120" w:after="120" w:line="300" w:lineRule="auto"/>
        <w:ind w:left="1010" w:hanging="301"/>
        <w:rPr>
          <w:rFonts w:asciiTheme="majorBidi" w:hAnsiTheme="majorBidi"/>
          <w:b/>
          <w:bCs/>
          <w:color w:val="auto"/>
          <w:sz w:val="24"/>
          <w:szCs w:val="24"/>
        </w:rPr>
      </w:pPr>
      <w:bookmarkStart w:id="834" w:name="_Toc182298732"/>
      <w:r w:rsidRPr="00B0420B">
        <w:rPr>
          <w:rFonts w:asciiTheme="majorBidi" w:hAnsiTheme="majorBidi"/>
          <w:b/>
          <w:bCs/>
          <w:color w:val="auto"/>
          <w:sz w:val="24"/>
          <w:szCs w:val="24"/>
        </w:rPr>
        <w:t>Swap</w:t>
      </w:r>
      <w:r w:rsidR="00C04BD7" w:rsidRPr="00B0420B">
        <w:rPr>
          <w:rFonts w:asciiTheme="majorBidi" w:hAnsiTheme="majorBidi"/>
          <w:b/>
          <w:bCs/>
          <w:color w:val="auto"/>
          <w:sz w:val="24"/>
          <w:szCs w:val="24"/>
        </w:rPr>
        <w:t xml:space="preserve"> de taux d’intérêt</w:t>
      </w:r>
      <w:bookmarkEnd w:id="834"/>
    </w:p>
    <w:p w14:paraId="3B4DD43A" w14:textId="4EA18A30" w:rsidR="002760B2" w:rsidRPr="002B005F" w:rsidRDefault="000552FF" w:rsidP="0031438C">
      <w:pPr>
        <w:tabs>
          <w:tab w:val="left" w:pos="0"/>
        </w:tabs>
        <w:spacing w:before="120" w:line="300" w:lineRule="auto"/>
        <w:ind w:firstLine="709"/>
        <w:rPr>
          <w:rFonts w:ascii="Times New Roman" w:hAnsi="Times New Roman" w:cs="Times New Roman"/>
          <w:sz w:val="24"/>
          <w:szCs w:val="24"/>
        </w:rPr>
      </w:pPr>
      <w:r>
        <w:rPr>
          <w:rFonts w:ascii="Times New Roman" w:hAnsi="Times New Roman" w:cs="Times New Roman"/>
          <w:sz w:val="24"/>
          <w:szCs w:val="24"/>
        </w:rPr>
        <w:t>Il est utilisé</w:t>
      </w:r>
      <w:r w:rsidR="002760B2" w:rsidRPr="002B005F">
        <w:rPr>
          <w:rFonts w:ascii="Times New Roman" w:hAnsi="Times New Roman" w:cs="Times New Roman"/>
          <w:sz w:val="24"/>
          <w:szCs w:val="24"/>
        </w:rPr>
        <w:t xml:space="preserve"> pour atténuer le risque lié à la fluctuation du taux d’intérêt. Le swap de taux est un contrat de gré à gré qui permet d’échanger un taux d’intérêt contre un autre pour une durée convenue à l’avance</w:t>
      </w:r>
      <w:r w:rsidR="0031438C">
        <w:rPr>
          <w:rFonts w:ascii="Times New Roman" w:hAnsi="Times New Roman" w:cs="Times New Roman"/>
          <w:sz w:val="24"/>
          <w:szCs w:val="24"/>
        </w:rPr>
        <w:t> :</w:t>
      </w:r>
      <w:r w:rsidR="002760B2" w:rsidRPr="002B005F">
        <w:rPr>
          <w:rFonts w:ascii="Times New Roman" w:hAnsi="Times New Roman" w:cs="Times New Roman"/>
          <w:sz w:val="24"/>
          <w:szCs w:val="24"/>
        </w:rPr>
        <w:t xml:space="preserve"> un taux fixe contre un taux variable, un taux variable con</w:t>
      </w:r>
      <w:r w:rsidR="0009159A">
        <w:rPr>
          <w:rFonts w:ascii="Times New Roman" w:hAnsi="Times New Roman" w:cs="Times New Roman"/>
          <w:sz w:val="24"/>
          <w:szCs w:val="24"/>
        </w:rPr>
        <w:t>tre un taux fixe ou bien un indice</w:t>
      </w:r>
      <w:r w:rsidR="002760B2" w:rsidRPr="002B005F">
        <w:rPr>
          <w:rFonts w:ascii="Times New Roman" w:hAnsi="Times New Roman" w:cs="Times New Roman"/>
          <w:sz w:val="24"/>
          <w:szCs w:val="24"/>
        </w:rPr>
        <w:t xml:space="preserve"> d</w:t>
      </w:r>
      <w:r w:rsidR="0009159A">
        <w:rPr>
          <w:rFonts w:ascii="Times New Roman" w:hAnsi="Times New Roman" w:cs="Times New Roman"/>
          <w:sz w:val="24"/>
          <w:szCs w:val="24"/>
        </w:rPr>
        <w:t>e référence contre un autre indice</w:t>
      </w:r>
      <w:r w:rsidR="00414F3C">
        <w:rPr>
          <w:rFonts w:ascii="Times New Roman" w:hAnsi="Times New Roman" w:cs="Times New Roman"/>
          <w:sz w:val="24"/>
          <w:szCs w:val="24"/>
        </w:rPr>
        <w:t xml:space="preserve"> </w:t>
      </w:r>
      <w:r w:rsidR="002760B2" w:rsidRPr="002B005F">
        <w:rPr>
          <w:rFonts w:ascii="Times New Roman" w:hAnsi="Times New Roman" w:cs="Times New Roman"/>
          <w:sz w:val="24"/>
          <w:szCs w:val="24"/>
        </w:rPr>
        <w:t>de référence.</w:t>
      </w:r>
    </w:p>
    <w:p w14:paraId="33D37CB4" w14:textId="77777777" w:rsidR="002760B2" w:rsidRPr="002B005F" w:rsidRDefault="002760B2" w:rsidP="0031438C">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 swap de taux d’intérêt est défini comme « </w:t>
      </w:r>
      <w:r w:rsidRPr="002B005F">
        <w:rPr>
          <w:rFonts w:ascii="Times New Roman" w:hAnsi="Times New Roman" w:cs="Times New Roman"/>
          <w:i/>
          <w:iCs/>
          <w:sz w:val="24"/>
          <w:szCs w:val="24"/>
        </w:rPr>
        <w:t>un contrat dans lequel deux contreparties A et B s’engagent mutuellement à se verser des flux financiers calculés sur un mo</w:t>
      </w:r>
      <w:r w:rsidR="00911003" w:rsidRPr="002B005F">
        <w:rPr>
          <w:rFonts w:ascii="Times New Roman" w:hAnsi="Times New Roman" w:cs="Times New Roman"/>
          <w:i/>
          <w:iCs/>
          <w:sz w:val="24"/>
          <w:szCs w:val="24"/>
        </w:rPr>
        <w:t>ntant notionnel (K)</w:t>
      </w:r>
      <w:r w:rsidRPr="002B005F">
        <w:rPr>
          <w:rFonts w:ascii="Times New Roman" w:hAnsi="Times New Roman" w:cs="Times New Roman"/>
          <w:i/>
          <w:iCs/>
          <w:sz w:val="24"/>
          <w:szCs w:val="24"/>
        </w:rPr>
        <w:t xml:space="preserve"> pendant une durée déterminé</w:t>
      </w:r>
      <w:r w:rsidR="00911003" w:rsidRPr="002B005F">
        <w:rPr>
          <w:rFonts w:ascii="Times New Roman" w:hAnsi="Times New Roman" w:cs="Times New Roman"/>
          <w:i/>
          <w:iCs/>
          <w:sz w:val="24"/>
          <w:szCs w:val="24"/>
        </w:rPr>
        <w:t>e (N) suivant une fréquence (F)</w:t>
      </w:r>
      <w:r w:rsidRPr="002B005F">
        <w:rPr>
          <w:rFonts w:ascii="Times New Roman" w:hAnsi="Times New Roman" w:cs="Times New Roman"/>
          <w:i/>
          <w:iCs/>
          <w:sz w:val="24"/>
          <w:szCs w:val="24"/>
        </w:rPr>
        <w:t xml:space="preserve"> et une base de calcul calendaire</w:t>
      </w:r>
      <w:r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216"/>
      </w:r>
      <w:r w:rsidRPr="002B005F">
        <w:rPr>
          <w:rFonts w:ascii="Times New Roman" w:hAnsi="Times New Roman" w:cs="Times New Roman"/>
          <w:sz w:val="24"/>
          <w:szCs w:val="24"/>
        </w:rPr>
        <w:t>.</w:t>
      </w:r>
    </w:p>
    <w:p w14:paraId="5363D1BE" w14:textId="77777777" w:rsidR="002760B2" w:rsidRPr="002B005F" w:rsidRDefault="002760B2" w:rsidP="0031438C">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Donc le contrat swap de taux fait intervenir deux parties :</w:t>
      </w:r>
    </w:p>
    <w:p w14:paraId="37724363" w14:textId="77777777" w:rsidR="002760B2" w:rsidRPr="002B005F" w:rsidRDefault="002760B2" w:rsidP="00CB0FF1">
      <w:pPr>
        <w:pStyle w:val="Paragraphedeliste"/>
        <w:numPr>
          <w:ilvl w:val="0"/>
          <w:numId w:val="11"/>
        </w:numPr>
        <w:tabs>
          <w:tab w:val="left" w:pos="1134"/>
        </w:tabs>
        <w:spacing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L’une où A prête à B le montant</w:t>
      </w:r>
      <w:r w:rsidR="00D20181" w:rsidRPr="002B005F">
        <w:rPr>
          <w:rFonts w:ascii="Times New Roman" w:hAnsi="Times New Roman" w:cs="Times New Roman"/>
          <w:sz w:val="24"/>
          <w:szCs w:val="24"/>
        </w:rPr>
        <w:t xml:space="preserve"> nominal du swap à un taux fixe ;</w:t>
      </w:r>
    </w:p>
    <w:p w14:paraId="358FECE1" w14:textId="77777777" w:rsidR="00DA1BFB" w:rsidRPr="002B005F" w:rsidRDefault="002760B2" w:rsidP="00CB0FF1">
      <w:pPr>
        <w:pStyle w:val="Paragraphedeliste"/>
        <w:numPr>
          <w:ilvl w:val="0"/>
          <w:numId w:val="11"/>
        </w:numPr>
        <w:tabs>
          <w:tab w:val="left" w:pos="1134"/>
        </w:tabs>
        <w:spacing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L’autre où B prête à A le montant nominal du swap à un taux variable indexé sur un taux de marché comme le taux LIBOR.</w:t>
      </w:r>
    </w:p>
    <w:p w14:paraId="6D7F4B41" w14:textId="77777777" w:rsidR="002760B2" w:rsidRPr="0009159A" w:rsidRDefault="00A1384D" w:rsidP="0009159A">
      <w:pPr>
        <w:spacing w:before="120" w:after="120"/>
        <w:ind w:firstLine="709"/>
        <w:rPr>
          <w:rFonts w:ascii="Times New Roman" w:eastAsiaTheme="minorEastAsia" w:hAnsi="Times New Roman" w:cs="Times New Roman"/>
          <w:b/>
          <w:bCs/>
          <w:i/>
          <w:iCs/>
          <w:sz w:val="24"/>
          <w:szCs w:val="24"/>
        </w:rPr>
      </w:pPr>
      <w:r w:rsidRPr="0009159A">
        <w:rPr>
          <w:rFonts w:ascii="Times New Roman" w:hAnsi="Times New Roman" w:cs="Times New Roman"/>
          <w:b/>
          <w:bCs/>
          <w:iCs/>
          <w:sz w:val="24"/>
          <w:szCs w:val="24"/>
        </w:rPr>
        <w:t xml:space="preserve">2.3.1.3- </w:t>
      </w:r>
      <w:r w:rsidR="002760B2" w:rsidRPr="0009159A">
        <w:rPr>
          <w:rFonts w:ascii="Times New Roman" w:hAnsi="Times New Roman" w:cs="Times New Roman"/>
          <w:b/>
          <w:bCs/>
          <w:iCs/>
          <w:sz w:val="24"/>
          <w:szCs w:val="24"/>
        </w:rPr>
        <w:t>Exemple</w:t>
      </w:r>
      <w:r w:rsidRPr="0009159A">
        <w:rPr>
          <w:rFonts w:ascii="Times New Roman" w:hAnsi="Times New Roman" w:cs="Times New Roman"/>
          <w:b/>
          <w:bCs/>
          <w:iCs/>
          <w:sz w:val="24"/>
          <w:szCs w:val="24"/>
        </w:rPr>
        <w:t xml:space="preserve"> de swap de taux d’intérêt</w:t>
      </w:r>
    </w:p>
    <w:p w14:paraId="4776DC72" w14:textId="77777777" w:rsidR="002760B2" w:rsidRPr="002B005F" w:rsidRDefault="002760B2" w:rsidP="0031438C">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lastRenderedPageBreak/>
        <w:t>Soit un swap conclu entre deux entreprises A et B, sur une du</w:t>
      </w:r>
      <w:r w:rsidR="002B005F" w:rsidRPr="002B005F">
        <w:rPr>
          <w:rFonts w:ascii="Times New Roman" w:hAnsi="Times New Roman" w:cs="Times New Roman"/>
          <w:sz w:val="24"/>
          <w:szCs w:val="24"/>
        </w:rPr>
        <w:t xml:space="preserve">rée de </w:t>
      </w:r>
      <w:r w:rsidR="00F86390" w:rsidRPr="002B005F">
        <w:rPr>
          <w:rFonts w:ascii="Times New Roman" w:hAnsi="Times New Roman" w:cs="Times New Roman"/>
          <w:sz w:val="24"/>
          <w:szCs w:val="24"/>
        </w:rPr>
        <w:t>2 ans et un nominal de EUR</w:t>
      </w:r>
      <w:r w:rsidR="002B005F" w:rsidRPr="002B005F">
        <w:rPr>
          <w:rFonts w:ascii="Times New Roman" w:hAnsi="Times New Roman" w:cs="Times New Roman"/>
          <w:sz w:val="24"/>
          <w:szCs w:val="24"/>
        </w:rPr>
        <w:t xml:space="preserve"> </w:t>
      </w:r>
      <w:r w:rsidR="0059197B" w:rsidRPr="002B005F">
        <w:rPr>
          <w:rFonts w:ascii="Times New Roman" w:hAnsi="Times New Roman" w:cs="Times New Roman"/>
          <w:sz w:val="24"/>
          <w:szCs w:val="24"/>
        </w:rPr>
        <w:t>2 millions</w:t>
      </w:r>
      <w:r w:rsidRPr="002B005F">
        <w:rPr>
          <w:rFonts w:ascii="Times New Roman" w:hAnsi="Times New Roman" w:cs="Times New Roman"/>
          <w:sz w:val="24"/>
          <w:szCs w:val="24"/>
        </w:rPr>
        <w:t xml:space="preserve">. L’entreprise A s’est engagée à payer </w:t>
      </w:r>
      <w:r w:rsidR="002B005F" w:rsidRPr="002B005F">
        <w:rPr>
          <w:rFonts w:ascii="Times New Roman" w:hAnsi="Times New Roman" w:cs="Times New Roman"/>
          <w:sz w:val="24"/>
          <w:szCs w:val="24"/>
        </w:rPr>
        <w:t xml:space="preserve">trimestriellement un taux swap </w:t>
      </w:r>
      <w:r w:rsidR="0098573A">
        <w:rPr>
          <w:rFonts w:ascii="Times New Roman" w:hAnsi="Times New Roman" w:cs="Times New Roman"/>
          <w:sz w:val="24"/>
          <w:szCs w:val="24"/>
        </w:rPr>
        <w:t xml:space="preserve">fixe </w:t>
      </w:r>
      <w:r w:rsidR="002B005F" w:rsidRPr="002B005F">
        <w:rPr>
          <w:rFonts w:ascii="Times New Roman" w:hAnsi="Times New Roman" w:cs="Times New Roman"/>
          <w:sz w:val="24"/>
          <w:szCs w:val="24"/>
        </w:rPr>
        <w:t>de 2</w:t>
      </w:r>
      <w:r w:rsidRPr="002B005F">
        <w:rPr>
          <w:rFonts w:ascii="Times New Roman" w:hAnsi="Times New Roman" w:cs="Times New Roman"/>
          <w:sz w:val="24"/>
          <w:szCs w:val="24"/>
        </w:rPr>
        <w:t>% à l’entreprise B</w:t>
      </w:r>
      <w:r w:rsidR="002B005F" w:rsidRPr="002B005F">
        <w:rPr>
          <w:rFonts w:ascii="Times New Roman" w:hAnsi="Times New Roman" w:cs="Times New Roman"/>
          <w:sz w:val="24"/>
          <w:szCs w:val="24"/>
        </w:rPr>
        <w:t>. En échange</w:t>
      </w:r>
      <w:r w:rsidRPr="002B005F">
        <w:rPr>
          <w:rFonts w:ascii="Times New Roman" w:hAnsi="Times New Roman" w:cs="Times New Roman"/>
          <w:sz w:val="24"/>
          <w:szCs w:val="24"/>
        </w:rPr>
        <w:t>, elle reçoit de celle-ci</w:t>
      </w:r>
      <w:r w:rsidR="002B005F"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le taux </w:t>
      </w:r>
      <w:r w:rsidR="0098573A">
        <w:rPr>
          <w:rFonts w:ascii="Times New Roman" w:hAnsi="Times New Roman" w:cs="Times New Roman"/>
          <w:sz w:val="24"/>
          <w:szCs w:val="24"/>
        </w:rPr>
        <w:t xml:space="preserve">variable </w:t>
      </w:r>
      <w:r w:rsidRPr="002B005F">
        <w:rPr>
          <w:rFonts w:ascii="Times New Roman" w:hAnsi="Times New Roman" w:cs="Times New Roman"/>
          <w:sz w:val="24"/>
          <w:szCs w:val="24"/>
        </w:rPr>
        <w:t>EURIBOR</w:t>
      </w:r>
      <w:r w:rsidR="002B005F" w:rsidRPr="002B005F">
        <w:rPr>
          <w:rFonts w:ascii="Times New Roman" w:hAnsi="Times New Roman" w:cs="Times New Roman"/>
          <w:sz w:val="24"/>
          <w:szCs w:val="24"/>
        </w:rPr>
        <w:t xml:space="preserve"> 3 mois</w:t>
      </w:r>
      <w:r w:rsidR="006A0AB6">
        <w:rPr>
          <w:rFonts w:ascii="Times New Roman" w:hAnsi="Times New Roman" w:cs="Times New Roman"/>
          <w:sz w:val="24"/>
          <w:szCs w:val="24"/>
        </w:rPr>
        <w:t xml:space="preserve"> </w:t>
      </w:r>
      <w:r w:rsidR="006A0AB6" w:rsidRPr="002B005F">
        <w:rPr>
          <w:rFonts w:ascii="Times New Roman" w:hAnsi="Times New Roman" w:cs="Times New Roman"/>
          <w:sz w:val="24"/>
          <w:szCs w:val="24"/>
        </w:rPr>
        <w:t>tous les trois mois</w:t>
      </w:r>
      <w:r w:rsidR="006A0AB6">
        <w:rPr>
          <w:rFonts w:ascii="Times New Roman" w:hAnsi="Times New Roman" w:cs="Times New Roman"/>
          <w:sz w:val="24"/>
          <w:szCs w:val="24"/>
        </w:rPr>
        <w:t>.</w:t>
      </w:r>
    </w:p>
    <w:p w14:paraId="35F3E78B" w14:textId="77777777" w:rsidR="0059197B" w:rsidRPr="002B005F" w:rsidRDefault="0059197B" w:rsidP="002B005F">
      <w:pPr>
        <w:pStyle w:val="Paragraphedeliste"/>
        <w:keepNext/>
        <w:keepLines/>
        <w:tabs>
          <w:tab w:val="left" w:pos="0"/>
        </w:tabs>
        <w:spacing w:before="120" w:after="120" w:line="300" w:lineRule="auto"/>
        <w:ind w:left="0"/>
        <w:contextualSpacing w:val="0"/>
        <w:rPr>
          <w:rFonts w:ascii="Times New Roman" w:hAnsi="Times New Roman" w:cs="Times New Roman"/>
          <w:sz w:val="24"/>
          <w:szCs w:val="24"/>
        </w:rPr>
      </w:pPr>
      <w:r w:rsidRPr="002B005F">
        <w:rPr>
          <w:rFonts w:ascii="Times New Roman" w:hAnsi="Times New Roman" w:cs="Times New Roman"/>
          <w:noProof/>
          <w:sz w:val="24"/>
          <w:szCs w:val="24"/>
          <w:lang w:eastAsia="fr-FR"/>
        </w:rPr>
        <w:drawing>
          <wp:anchor distT="0" distB="0" distL="114300" distR="114300" simplePos="0" relativeHeight="251502592" behindDoc="0" locked="1" layoutInCell="1" allowOverlap="0" wp14:anchorId="61EC2C76" wp14:editId="38F42716">
            <wp:simplePos x="0" y="0"/>
            <wp:positionH relativeFrom="margin">
              <wp:posOffset>739140</wp:posOffset>
            </wp:positionH>
            <wp:positionV relativeFrom="page">
              <wp:posOffset>1400175</wp:posOffset>
            </wp:positionV>
            <wp:extent cx="3867150" cy="1143000"/>
            <wp:effectExtent l="19050" t="0" r="0" b="0"/>
            <wp:wrapNone/>
            <wp:docPr id="18" name="Image 3" descr="C:\Users\hP\Desktop\DOCTORAT EN COURS\4 KHELIFA HALIMA\Swap de taux d'intérêt _ Définition &amp; exemple _ Finance de marché_files\echange-sw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DOCTORAT EN COURS\4 KHELIFA HALIMA\Swap de taux d'intérêt _ Définition &amp; exemple _ Finance de marché_files\echange-swap.png"/>
                    <pic:cNvPicPr>
                      <a:picLocks noChangeAspect="1" noChangeArrowheads="1"/>
                    </pic:cNvPicPr>
                  </pic:nvPicPr>
                  <pic:blipFill>
                    <a:blip r:embed="rId46" cstate="print"/>
                    <a:srcRect/>
                    <a:stretch>
                      <a:fillRect/>
                    </a:stretch>
                  </pic:blipFill>
                  <pic:spPr bwMode="auto">
                    <a:xfrm>
                      <a:off x="0" y="0"/>
                      <a:ext cx="3867150" cy="1143000"/>
                    </a:xfrm>
                    <a:prstGeom prst="rect">
                      <a:avLst/>
                    </a:prstGeom>
                    <a:noFill/>
                    <a:ln w="9525">
                      <a:noFill/>
                      <a:miter lim="800000"/>
                      <a:headEnd/>
                      <a:tailEnd/>
                    </a:ln>
                  </pic:spPr>
                </pic:pic>
              </a:graphicData>
            </a:graphic>
          </wp:anchor>
        </w:drawing>
      </w:r>
    </w:p>
    <w:p w14:paraId="69068913" w14:textId="77777777" w:rsidR="0059197B" w:rsidRDefault="0059197B" w:rsidP="002B005F">
      <w:pPr>
        <w:pStyle w:val="Paragraphedeliste"/>
        <w:keepNext/>
        <w:keepLines/>
        <w:tabs>
          <w:tab w:val="left" w:pos="0"/>
        </w:tabs>
        <w:spacing w:before="120" w:after="120" w:line="300" w:lineRule="auto"/>
        <w:ind w:left="0"/>
        <w:contextualSpacing w:val="0"/>
        <w:rPr>
          <w:rFonts w:ascii="Times New Roman" w:hAnsi="Times New Roman" w:cs="Times New Roman"/>
          <w:sz w:val="24"/>
          <w:szCs w:val="24"/>
        </w:rPr>
      </w:pPr>
    </w:p>
    <w:p w14:paraId="3AC585FA" w14:textId="77777777" w:rsidR="00EA0073" w:rsidRDefault="00EA0073" w:rsidP="002B005F">
      <w:pPr>
        <w:pStyle w:val="Paragraphedeliste"/>
        <w:keepNext/>
        <w:keepLines/>
        <w:tabs>
          <w:tab w:val="left" w:pos="0"/>
        </w:tabs>
        <w:spacing w:before="120" w:after="120" w:line="300" w:lineRule="auto"/>
        <w:ind w:left="0"/>
        <w:contextualSpacing w:val="0"/>
        <w:rPr>
          <w:rFonts w:ascii="Times New Roman" w:hAnsi="Times New Roman" w:cs="Times New Roman"/>
          <w:sz w:val="24"/>
          <w:szCs w:val="24"/>
        </w:rPr>
      </w:pPr>
    </w:p>
    <w:p w14:paraId="46B1AD20" w14:textId="77777777" w:rsidR="00EA0073" w:rsidRPr="002B005F" w:rsidRDefault="00EA0073" w:rsidP="002B005F">
      <w:pPr>
        <w:pStyle w:val="Paragraphedeliste"/>
        <w:keepNext/>
        <w:keepLines/>
        <w:tabs>
          <w:tab w:val="left" w:pos="0"/>
        </w:tabs>
        <w:spacing w:before="120" w:after="120" w:line="300" w:lineRule="auto"/>
        <w:ind w:left="0"/>
        <w:contextualSpacing w:val="0"/>
        <w:rPr>
          <w:rFonts w:ascii="Times New Roman" w:hAnsi="Times New Roman" w:cs="Times New Roman"/>
          <w:sz w:val="24"/>
          <w:szCs w:val="24"/>
        </w:rPr>
      </w:pPr>
    </w:p>
    <w:p w14:paraId="294B6E48" w14:textId="77777777" w:rsidR="0059197B" w:rsidRDefault="0059197B" w:rsidP="002B005F">
      <w:pPr>
        <w:pStyle w:val="Paragraphedeliste"/>
        <w:keepNext/>
        <w:keepLines/>
        <w:tabs>
          <w:tab w:val="left" w:pos="0"/>
        </w:tabs>
        <w:spacing w:before="120" w:after="120" w:line="300" w:lineRule="auto"/>
        <w:ind w:left="0"/>
        <w:contextualSpacing w:val="0"/>
        <w:rPr>
          <w:rFonts w:ascii="Times New Roman" w:hAnsi="Times New Roman" w:cs="Times New Roman"/>
          <w:sz w:val="24"/>
          <w:szCs w:val="24"/>
        </w:rPr>
      </w:pPr>
    </w:p>
    <w:p w14:paraId="4DD288D6" w14:textId="77777777" w:rsidR="002760B2" w:rsidRPr="002B005F" w:rsidRDefault="002760B2" w:rsidP="002B005F">
      <w:pPr>
        <w:keepNext/>
        <w:keepLines/>
        <w:tabs>
          <w:tab w:val="left" w:pos="0"/>
        </w:tabs>
        <w:spacing w:before="120"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w:t>
      </w:r>
      <w:bookmarkStart w:id="835" w:name="_Hlk530817663"/>
      <w:r w:rsidR="00EA3D48" w:rsidRPr="002B005F">
        <w:rPr>
          <w:rFonts w:ascii="Times New Roman" w:hAnsi="Times New Roman" w:cs="Times New Roman"/>
          <w:sz w:val="20"/>
          <w:szCs w:val="20"/>
        </w:rPr>
        <w:t xml:space="preserve"> </w:t>
      </w:r>
      <w:hyperlink r:id="rId47" w:history="1">
        <w:r w:rsidRPr="002B005F">
          <w:rPr>
            <w:rStyle w:val="Lienhypertexte"/>
            <w:rFonts w:ascii="Times New Roman" w:hAnsi="Times New Roman" w:cs="Times New Roman"/>
            <w:sz w:val="20"/>
            <w:szCs w:val="20"/>
          </w:rPr>
          <w:t>http://financedemarche.fr/finance/swap-de-taux-dinteret-definition-exemple</w:t>
        </w:r>
      </w:hyperlink>
    </w:p>
    <w:bookmarkEnd w:id="835"/>
    <w:p w14:paraId="20D85AED" w14:textId="77777777" w:rsidR="006C2761" w:rsidRDefault="002760B2" w:rsidP="00FF3EE5">
      <w:pPr>
        <w:tabs>
          <w:tab w:val="left" w:pos="0"/>
        </w:tabs>
        <w:spacing w:before="100" w:beforeAutospacing="1"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 tableau suivant récapitule l’ensemble des flux découlant du swap en fonction de la fluctu</w:t>
      </w:r>
      <w:r w:rsidR="002B005F">
        <w:rPr>
          <w:rFonts w:ascii="Times New Roman" w:hAnsi="Times New Roman" w:cs="Times New Roman"/>
          <w:sz w:val="24"/>
          <w:szCs w:val="24"/>
        </w:rPr>
        <w:t>ation du taux</w:t>
      </w:r>
      <w:r w:rsidR="001350AC" w:rsidRPr="002B005F">
        <w:rPr>
          <w:rFonts w:ascii="Times New Roman" w:hAnsi="Times New Roman" w:cs="Times New Roman"/>
          <w:sz w:val="24"/>
          <w:szCs w:val="24"/>
        </w:rPr>
        <w:t xml:space="preserve"> EURIBOR </w:t>
      </w:r>
      <w:r w:rsidRPr="002B005F">
        <w:rPr>
          <w:rFonts w:ascii="Times New Roman" w:hAnsi="Times New Roman" w:cs="Times New Roman"/>
          <w:sz w:val="24"/>
          <w:szCs w:val="24"/>
        </w:rPr>
        <w:t xml:space="preserve">3 mois. Lors de la conclusion du contrat swap, seul le solde du premier échange est connu. Le taux EURIBOR </w:t>
      </w:r>
      <w:r w:rsidR="002B005F">
        <w:rPr>
          <w:rFonts w:ascii="Times New Roman" w:hAnsi="Times New Roman" w:cs="Times New Roman"/>
          <w:sz w:val="24"/>
          <w:szCs w:val="24"/>
        </w:rPr>
        <w:t xml:space="preserve">3 mois </w:t>
      </w:r>
      <w:r w:rsidRPr="002B005F">
        <w:rPr>
          <w:rFonts w:ascii="Times New Roman" w:hAnsi="Times New Roman" w:cs="Times New Roman"/>
          <w:sz w:val="24"/>
          <w:szCs w:val="24"/>
        </w:rPr>
        <w:t xml:space="preserve">est </w:t>
      </w:r>
      <w:r w:rsidR="002B005F">
        <w:rPr>
          <w:rFonts w:ascii="Times New Roman" w:hAnsi="Times New Roman" w:cs="Times New Roman"/>
          <w:sz w:val="24"/>
          <w:szCs w:val="24"/>
        </w:rPr>
        <w:t>en effet d</w:t>
      </w:r>
      <w:r w:rsidR="008D20A1">
        <w:rPr>
          <w:rFonts w:ascii="Times New Roman" w:hAnsi="Times New Roman" w:cs="Times New Roman"/>
          <w:sz w:val="24"/>
          <w:szCs w:val="24"/>
        </w:rPr>
        <w:t>é</w:t>
      </w:r>
      <w:r w:rsidR="002B005F">
        <w:rPr>
          <w:rFonts w:ascii="Times New Roman" w:hAnsi="Times New Roman" w:cs="Times New Roman"/>
          <w:sz w:val="24"/>
          <w:szCs w:val="24"/>
        </w:rPr>
        <w:t xml:space="preserve">jà </w:t>
      </w:r>
      <w:r w:rsidRPr="002B005F">
        <w:rPr>
          <w:rFonts w:ascii="Times New Roman" w:hAnsi="Times New Roman" w:cs="Times New Roman"/>
          <w:sz w:val="24"/>
          <w:szCs w:val="24"/>
        </w:rPr>
        <w:t>con</w:t>
      </w:r>
      <w:r w:rsidR="008D20A1">
        <w:rPr>
          <w:rFonts w:ascii="Times New Roman" w:hAnsi="Times New Roman" w:cs="Times New Roman"/>
          <w:sz w:val="24"/>
          <w:szCs w:val="24"/>
        </w:rPr>
        <w:t>nu</w:t>
      </w:r>
      <w:r w:rsidR="004638B9" w:rsidRPr="002B005F">
        <w:rPr>
          <w:rFonts w:ascii="Times New Roman" w:hAnsi="Times New Roman" w:cs="Times New Roman"/>
          <w:sz w:val="24"/>
          <w:szCs w:val="24"/>
        </w:rPr>
        <w:t xml:space="preserve"> en date initiale (1,</w:t>
      </w:r>
      <w:r w:rsidR="001350AC" w:rsidRPr="002B005F">
        <w:rPr>
          <w:rFonts w:ascii="Times New Roman" w:hAnsi="Times New Roman" w:cs="Times New Roman"/>
          <w:sz w:val="24"/>
          <w:szCs w:val="24"/>
        </w:rPr>
        <w:t>80</w:t>
      </w:r>
      <w:r w:rsidR="00911003" w:rsidRPr="002B005F">
        <w:rPr>
          <w:rFonts w:ascii="Times New Roman" w:hAnsi="Times New Roman" w:cs="Times New Roman"/>
          <w:sz w:val="24"/>
          <w:szCs w:val="24"/>
        </w:rPr>
        <w:t>%) ;</w:t>
      </w:r>
      <w:r w:rsidRPr="002B005F">
        <w:rPr>
          <w:rFonts w:ascii="Times New Roman" w:hAnsi="Times New Roman" w:cs="Times New Roman"/>
          <w:sz w:val="24"/>
          <w:szCs w:val="24"/>
        </w:rPr>
        <w:t xml:space="preserve"> celui-ci s’applique pour le t</w:t>
      </w:r>
      <w:r w:rsidR="008D20A1">
        <w:rPr>
          <w:rFonts w:ascii="Times New Roman" w:hAnsi="Times New Roman" w:cs="Times New Roman"/>
          <w:sz w:val="24"/>
          <w:szCs w:val="24"/>
        </w:rPr>
        <w:t>rimestre à venir. Au bout de trois</w:t>
      </w:r>
      <w:r w:rsidRPr="002B005F">
        <w:rPr>
          <w:rFonts w:ascii="Times New Roman" w:hAnsi="Times New Roman" w:cs="Times New Roman"/>
          <w:sz w:val="24"/>
          <w:szCs w:val="24"/>
        </w:rPr>
        <w:t xml:space="preserve"> mois, le </w:t>
      </w:r>
      <w:r w:rsidR="009C1F3D" w:rsidRPr="002B005F">
        <w:rPr>
          <w:rFonts w:ascii="Times New Roman" w:hAnsi="Times New Roman" w:cs="Times New Roman"/>
          <w:sz w:val="24"/>
          <w:szCs w:val="24"/>
        </w:rPr>
        <w:t>nouvel</w:t>
      </w:r>
      <w:r w:rsidRPr="002B005F">
        <w:rPr>
          <w:rFonts w:ascii="Times New Roman" w:hAnsi="Times New Roman" w:cs="Times New Roman"/>
          <w:sz w:val="24"/>
          <w:szCs w:val="24"/>
        </w:rPr>
        <w:t xml:space="preserve"> </w:t>
      </w:r>
      <w:r w:rsidR="001350AC" w:rsidRPr="002B005F">
        <w:rPr>
          <w:rFonts w:ascii="Times New Roman" w:hAnsi="Times New Roman" w:cs="Times New Roman"/>
          <w:sz w:val="24"/>
          <w:szCs w:val="24"/>
        </w:rPr>
        <w:t>EURIBOR</w:t>
      </w:r>
      <w:r w:rsidRPr="002B005F">
        <w:rPr>
          <w:rFonts w:ascii="Times New Roman" w:hAnsi="Times New Roman" w:cs="Times New Roman"/>
          <w:sz w:val="24"/>
          <w:szCs w:val="24"/>
        </w:rPr>
        <w:t xml:space="preserve"> </w:t>
      </w:r>
      <w:r w:rsidR="008D20A1">
        <w:rPr>
          <w:rFonts w:ascii="Times New Roman" w:hAnsi="Times New Roman" w:cs="Times New Roman"/>
          <w:sz w:val="24"/>
          <w:szCs w:val="24"/>
        </w:rPr>
        <w:t xml:space="preserve">3 mois </w:t>
      </w:r>
      <w:r w:rsidRPr="002B005F">
        <w:rPr>
          <w:rFonts w:ascii="Times New Roman" w:hAnsi="Times New Roman" w:cs="Times New Roman"/>
          <w:sz w:val="24"/>
          <w:szCs w:val="24"/>
        </w:rPr>
        <w:t>sera observé puis</w:t>
      </w:r>
      <w:r w:rsidR="00170BD7">
        <w:rPr>
          <w:rFonts w:ascii="Times New Roman" w:hAnsi="Times New Roman" w:cs="Times New Roman"/>
          <w:sz w:val="24"/>
          <w:szCs w:val="24"/>
        </w:rPr>
        <w:t>,</w:t>
      </w:r>
      <w:r w:rsidRPr="002B005F">
        <w:rPr>
          <w:rFonts w:ascii="Times New Roman" w:hAnsi="Times New Roman" w:cs="Times New Roman"/>
          <w:sz w:val="24"/>
          <w:szCs w:val="24"/>
        </w:rPr>
        <w:t xml:space="preserve"> versé trois mois plus tard</w:t>
      </w:r>
      <w:r w:rsidR="008D20A1">
        <w:rPr>
          <w:rFonts w:ascii="Times New Roman" w:hAnsi="Times New Roman" w:cs="Times New Roman"/>
          <w:sz w:val="24"/>
          <w:szCs w:val="24"/>
        </w:rPr>
        <w:t>. E</w:t>
      </w:r>
      <w:r w:rsidRPr="002B005F">
        <w:rPr>
          <w:rFonts w:ascii="Times New Roman" w:hAnsi="Times New Roman" w:cs="Times New Roman"/>
          <w:sz w:val="24"/>
          <w:szCs w:val="24"/>
        </w:rPr>
        <w:t>t</w:t>
      </w:r>
      <w:r w:rsidR="008D20A1">
        <w:rPr>
          <w:rFonts w:ascii="Times New Roman" w:hAnsi="Times New Roman" w:cs="Times New Roman"/>
          <w:sz w:val="24"/>
          <w:szCs w:val="24"/>
        </w:rPr>
        <w:t>,</w:t>
      </w:r>
      <w:r w:rsidRPr="002B005F">
        <w:rPr>
          <w:rFonts w:ascii="Times New Roman" w:hAnsi="Times New Roman" w:cs="Times New Roman"/>
          <w:sz w:val="24"/>
          <w:szCs w:val="24"/>
        </w:rPr>
        <w:t xml:space="preserve"> ainsi de suite.</w:t>
      </w:r>
    </w:p>
    <w:p w14:paraId="27250021" w14:textId="5ACDE451" w:rsidR="00697CCF" w:rsidRPr="002B005F" w:rsidRDefault="00697CCF" w:rsidP="00EA0073">
      <w:pPr>
        <w:keepNext/>
        <w:keepLines/>
        <w:spacing w:before="100" w:beforeAutospacing="1" w:after="120" w:line="300" w:lineRule="auto"/>
        <w:jc w:val="center"/>
        <w:rPr>
          <w:rFonts w:ascii="Times New Roman" w:hAnsi="Times New Roman" w:cs="Times New Roman"/>
          <w:b/>
          <w:bCs/>
          <w:noProof/>
          <w:sz w:val="24"/>
          <w:szCs w:val="24"/>
        </w:rPr>
      </w:pPr>
      <w:bookmarkStart w:id="836" w:name="_Toc115556071"/>
      <w:r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3</w:t>
      </w:r>
      <w:r w:rsidR="00B544E5" w:rsidRPr="002B005F">
        <w:rPr>
          <w:rFonts w:ascii="Times New Roman" w:hAnsi="Times New Roman" w:cs="Times New Roman"/>
          <w:b/>
          <w:bCs/>
          <w:sz w:val="24"/>
          <w:szCs w:val="24"/>
        </w:rPr>
        <w:fldChar w:fldCharType="end"/>
      </w:r>
      <w:r w:rsidRPr="002B005F">
        <w:rPr>
          <w:rFonts w:ascii="Times New Roman" w:hAnsi="Times New Roman" w:cs="Times New Roman"/>
          <w:b/>
          <w:bCs/>
          <w:noProof/>
          <w:sz w:val="24"/>
          <w:szCs w:val="24"/>
        </w:rPr>
        <w:t>: Exemple sur un swap de taux</w:t>
      </w:r>
      <w:bookmarkEnd w:id="836"/>
    </w:p>
    <w:p w14:paraId="5182B725" w14:textId="77777777" w:rsidR="00FF3EE5" w:rsidRDefault="00FF3EE5" w:rsidP="003633F2">
      <w:pPr>
        <w:keepNext/>
        <w:keepLines/>
        <w:spacing w:before="120" w:after="120" w:line="300" w:lineRule="auto"/>
        <w:jc w:val="center"/>
        <w:rPr>
          <w:rFonts w:ascii="Times New Roman" w:hAnsi="Times New Roman" w:cs="Times New Roman"/>
          <w:b/>
          <w:bCs/>
          <w:noProof/>
          <w:sz w:val="24"/>
          <w:szCs w:val="24"/>
        </w:rPr>
      </w:pPr>
    </w:p>
    <w:p w14:paraId="1EB8F962" w14:textId="77777777" w:rsidR="003633F2" w:rsidRPr="002B005F" w:rsidRDefault="003633F2" w:rsidP="003633F2">
      <w:pPr>
        <w:keepNext/>
        <w:keepLines/>
        <w:spacing w:before="120" w:after="120" w:line="300" w:lineRule="auto"/>
        <w:jc w:val="center"/>
        <w:rPr>
          <w:rFonts w:ascii="Times New Roman" w:hAnsi="Times New Roman" w:cs="Times New Roman"/>
          <w:b/>
          <w:bCs/>
          <w:noProof/>
          <w:sz w:val="24"/>
          <w:szCs w:val="24"/>
        </w:rPr>
      </w:pPr>
    </w:p>
    <w:p w14:paraId="3943F081" w14:textId="77777777" w:rsidR="00FF3EE5" w:rsidRPr="002B005F" w:rsidRDefault="00FF3EE5" w:rsidP="003633F2">
      <w:pPr>
        <w:keepNext/>
        <w:keepLines/>
        <w:spacing w:before="120" w:after="120" w:line="300" w:lineRule="auto"/>
        <w:jc w:val="center"/>
        <w:rPr>
          <w:rFonts w:ascii="Times New Roman" w:hAnsi="Times New Roman" w:cs="Times New Roman"/>
          <w:b/>
          <w:bCs/>
          <w:noProof/>
          <w:sz w:val="24"/>
          <w:szCs w:val="24"/>
        </w:rPr>
      </w:pPr>
    </w:p>
    <w:p w14:paraId="7E6E5EC6" w14:textId="77777777" w:rsidR="00FF3EE5" w:rsidRPr="002B005F" w:rsidRDefault="00FF3EE5" w:rsidP="003633F2">
      <w:pPr>
        <w:keepNext/>
        <w:keepLines/>
        <w:spacing w:before="120" w:after="120" w:line="300" w:lineRule="auto"/>
        <w:jc w:val="center"/>
        <w:rPr>
          <w:rFonts w:ascii="Times New Roman" w:hAnsi="Times New Roman" w:cs="Times New Roman"/>
          <w:b/>
          <w:bCs/>
          <w:noProof/>
          <w:sz w:val="24"/>
          <w:szCs w:val="24"/>
        </w:rPr>
      </w:pPr>
    </w:p>
    <w:p w14:paraId="6B36D0EE" w14:textId="77777777" w:rsidR="00FF3EE5" w:rsidRPr="002B005F" w:rsidRDefault="00FF3EE5" w:rsidP="003633F2">
      <w:pPr>
        <w:keepNext/>
        <w:keepLines/>
        <w:spacing w:before="120" w:after="120" w:line="300" w:lineRule="auto"/>
        <w:jc w:val="center"/>
        <w:rPr>
          <w:rFonts w:ascii="Times New Roman" w:hAnsi="Times New Roman" w:cs="Times New Roman"/>
          <w:b/>
          <w:bCs/>
          <w:noProof/>
          <w:sz w:val="24"/>
          <w:szCs w:val="24"/>
        </w:rPr>
      </w:pPr>
    </w:p>
    <w:p w14:paraId="30FA362B" w14:textId="77777777" w:rsidR="00FF3EE5" w:rsidRPr="002B005F" w:rsidRDefault="00FF3EE5" w:rsidP="003633F2">
      <w:pPr>
        <w:keepNext/>
        <w:keepLines/>
        <w:spacing w:before="120" w:after="120" w:line="300" w:lineRule="auto"/>
        <w:jc w:val="center"/>
        <w:rPr>
          <w:rFonts w:ascii="Times New Roman" w:hAnsi="Times New Roman" w:cs="Times New Roman"/>
          <w:b/>
          <w:bCs/>
          <w:noProof/>
          <w:sz w:val="24"/>
          <w:szCs w:val="24"/>
        </w:rPr>
      </w:pPr>
    </w:p>
    <w:p w14:paraId="09FCE545" w14:textId="77777777" w:rsidR="002760B2" w:rsidRDefault="002760B2" w:rsidP="003633F2">
      <w:pPr>
        <w:keepNext/>
        <w:keepLines/>
        <w:tabs>
          <w:tab w:val="left" w:pos="0"/>
        </w:tabs>
        <w:spacing w:line="360" w:lineRule="auto"/>
        <w:jc w:val="center"/>
        <w:rPr>
          <w:rFonts w:ascii="Times New Roman" w:hAnsi="Times New Roman" w:cs="Times New Roman"/>
          <w:sz w:val="24"/>
          <w:szCs w:val="24"/>
        </w:rPr>
      </w:pPr>
      <w:r w:rsidRPr="002B005F">
        <w:rPr>
          <w:rFonts w:ascii="Times New Roman" w:hAnsi="Times New Roman" w:cs="Times New Roman"/>
          <w:noProof/>
          <w:sz w:val="24"/>
          <w:szCs w:val="24"/>
          <w:lang w:eastAsia="fr-FR"/>
        </w:rPr>
        <w:drawing>
          <wp:anchor distT="0" distB="0" distL="114300" distR="114300" simplePos="0" relativeHeight="251501568" behindDoc="0" locked="1" layoutInCell="1" allowOverlap="0" wp14:anchorId="14285996" wp14:editId="2FDC7EAB">
            <wp:simplePos x="0" y="0"/>
            <wp:positionH relativeFrom="margin">
              <wp:align>center</wp:align>
            </wp:positionH>
            <wp:positionV relativeFrom="paragraph">
              <wp:posOffset>-1718310</wp:posOffset>
            </wp:positionV>
            <wp:extent cx="4862830" cy="2091055"/>
            <wp:effectExtent l="19050" t="0" r="0" b="0"/>
            <wp:wrapNone/>
            <wp:docPr id="137" name="Image 137" descr="tableau-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au-swa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62830" cy="2091055"/>
                    </a:xfrm>
                    <a:prstGeom prst="rect">
                      <a:avLst/>
                    </a:prstGeom>
                    <a:noFill/>
                    <a:ln>
                      <a:noFill/>
                    </a:ln>
                  </pic:spPr>
                </pic:pic>
              </a:graphicData>
            </a:graphic>
          </wp:anchor>
        </w:drawing>
      </w:r>
    </w:p>
    <w:p w14:paraId="45F42CC8" w14:textId="77777777" w:rsidR="003633F2" w:rsidRPr="002B005F" w:rsidRDefault="003633F2" w:rsidP="003633F2">
      <w:pPr>
        <w:keepNext/>
        <w:keepLines/>
        <w:tabs>
          <w:tab w:val="left" w:pos="0"/>
        </w:tabs>
        <w:spacing w:line="360" w:lineRule="auto"/>
        <w:jc w:val="center"/>
        <w:rPr>
          <w:rFonts w:ascii="Times New Roman" w:hAnsi="Times New Roman" w:cs="Times New Roman"/>
          <w:sz w:val="24"/>
          <w:szCs w:val="24"/>
        </w:rPr>
      </w:pPr>
    </w:p>
    <w:p w14:paraId="4366CEA5" w14:textId="77777777" w:rsidR="002760B2" w:rsidRPr="002B005F" w:rsidRDefault="002760B2" w:rsidP="003633F2">
      <w:pPr>
        <w:keepNext/>
        <w:keepLines/>
        <w:tabs>
          <w:tab w:val="left" w:pos="0"/>
        </w:tabs>
        <w:spacing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hyperlink r:id="rId49" w:history="1">
        <w:r w:rsidR="006C2761" w:rsidRPr="002B005F">
          <w:rPr>
            <w:rStyle w:val="Lienhypertexte"/>
            <w:rFonts w:ascii="Times New Roman" w:hAnsi="Times New Roman" w:cs="Times New Roman"/>
            <w:sz w:val="20"/>
            <w:szCs w:val="20"/>
          </w:rPr>
          <w:t>http://financedemarche.fr/finance/swap-de-taux-dinteret-definition-exemple</w:t>
        </w:r>
      </w:hyperlink>
    </w:p>
    <w:p w14:paraId="5A126F8C" w14:textId="77777777" w:rsidR="002760B2" w:rsidRDefault="002760B2" w:rsidP="00FF3EE5">
      <w:pPr>
        <w:widowControl w:val="0"/>
        <w:tabs>
          <w:tab w:val="left" w:pos="0"/>
        </w:tabs>
        <w:autoSpaceDE w:val="0"/>
        <w:autoSpaceDN w:val="0"/>
        <w:adjustRightInd w:val="0"/>
        <w:spacing w:before="100" w:beforeAutospacing="1"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taux EURIBOR </w:t>
      </w:r>
      <w:r w:rsidR="00DC3930">
        <w:rPr>
          <w:rFonts w:ascii="Times New Roman" w:hAnsi="Times New Roman" w:cs="Times New Roman"/>
          <w:sz w:val="24"/>
          <w:szCs w:val="24"/>
        </w:rPr>
        <w:t>3 mois s’élevant</w:t>
      </w:r>
      <w:r w:rsidR="009F5DE1" w:rsidRPr="002B005F">
        <w:rPr>
          <w:rFonts w:ascii="Times New Roman" w:hAnsi="Times New Roman" w:cs="Times New Roman"/>
          <w:sz w:val="24"/>
          <w:szCs w:val="24"/>
        </w:rPr>
        <w:t xml:space="preserve"> à 1,80</w:t>
      </w:r>
      <w:r w:rsidRPr="002B005F">
        <w:rPr>
          <w:rFonts w:ascii="Times New Roman" w:hAnsi="Times New Roman" w:cs="Times New Roman"/>
          <w:sz w:val="24"/>
          <w:szCs w:val="24"/>
        </w:rPr>
        <w:t xml:space="preserve">% en date initiale, </w:t>
      </w:r>
      <w:r w:rsidR="009F5DE1" w:rsidRPr="002B005F">
        <w:rPr>
          <w:rFonts w:ascii="Times New Roman" w:hAnsi="Times New Roman" w:cs="Times New Roman"/>
          <w:sz w:val="24"/>
          <w:szCs w:val="24"/>
        </w:rPr>
        <w:t>alors que le taux fixe est de 2</w:t>
      </w:r>
      <w:r w:rsidR="00DC3930">
        <w:rPr>
          <w:rFonts w:ascii="Times New Roman" w:hAnsi="Times New Roman" w:cs="Times New Roman"/>
          <w:sz w:val="24"/>
          <w:szCs w:val="24"/>
        </w:rPr>
        <w:t>%, l’entreprise A devra</w:t>
      </w:r>
      <w:r w:rsidRPr="002B005F">
        <w:rPr>
          <w:rFonts w:ascii="Times New Roman" w:hAnsi="Times New Roman" w:cs="Times New Roman"/>
          <w:sz w:val="24"/>
          <w:szCs w:val="24"/>
        </w:rPr>
        <w:t xml:space="preserve"> payer (2% - 1.80%) *</w:t>
      </w:r>
      <w:r w:rsidR="00FF3EE5" w:rsidRPr="002B005F">
        <w:rPr>
          <w:rFonts w:ascii="Times New Roman" w:hAnsi="Times New Roman" w:cs="Times New Roman"/>
          <w:sz w:val="24"/>
          <w:szCs w:val="24"/>
        </w:rPr>
        <w:t xml:space="preserve"> </w:t>
      </w:r>
      <w:r w:rsidRPr="002B005F">
        <w:rPr>
          <w:rFonts w:ascii="Times New Roman" w:hAnsi="Times New Roman" w:cs="Times New Roman"/>
          <w:sz w:val="24"/>
          <w:szCs w:val="24"/>
        </w:rPr>
        <w:t>(90/360) *</w:t>
      </w:r>
      <w:r w:rsidR="00FF3EE5" w:rsidRPr="002B005F">
        <w:rPr>
          <w:rFonts w:ascii="Times New Roman" w:hAnsi="Times New Roman" w:cs="Times New Roman"/>
          <w:sz w:val="24"/>
          <w:szCs w:val="24"/>
        </w:rPr>
        <w:t xml:space="preserve"> </w:t>
      </w:r>
      <w:r w:rsidRPr="002B005F">
        <w:rPr>
          <w:rFonts w:ascii="Times New Roman" w:hAnsi="Times New Roman" w:cs="Times New Roman"/>
          <w:sz w:val="24"/>
          <w:szCs w:val="24"/>
        </w:rPr>
        <w:t>2</w:t>
      </w:r>
      <w:r w:rsidR="006C2761" w:rsidRPr="002B005F">
        <w:rPr>
          <w:rFonts w:ascii="Times New Roman" w:hAnsi="Times New Roman" w:cs="Times New Roman"/>
          <w:sz w:val="24"/>
          <w:szCs w:val="24"/>
        </w:rPr>
        <w:t> </w:t>
      </w:r>
      <w:r w:rsidRPr="002B005F">
        <w:rPr>
          <w:rFonts w:ascii="Times New Roman" w:hAnsi="Times New Roman" w:cs="Times New Roman"/>
          <w:sz w:val="24"/>
          <w:szCs w:val="24"/>
        </w:rPr>
        <w:t>000</w:t>
      </w:r>
      <w:r w:rsidR="006C2761" w:rsidRPr="002B005F">
        <w:rPr>
          <w:rFonts w:ascii="Times New Roman" w:hAnsi="Times New Roman" w:cs="Times New Roman"/>
          <w:sz w:val="24"/>
          <w:szCs w:val="24"/>
        </w:rPr>
        <w:t> </w:t>
      </w:r>
      <w:r w:rsidRPr="002B005F">
        <w:rPr>
          <w:rFonts w:ascii="Times New Roman" w:hAnsi="Times New Roman" w:cs="Times New Roman"/>
          <w:sz w:val="24"/>
          <w:szCs w:val="24"/>
        </w:rPr>
        <w:t xml:space="preserve">000 = </w:t>
      </w:r>
      <w:r w:rsidR="00DC3930">
        <w:rPr>
          <w:rFonts w:ascii="Times New Roman" w:hAnsi="Times New Roman" w:cs="Times New Roman"/>
          <w:sz w:val="24"/>
          <w:szCs w:val="24"/>
        </w:rPr>
        <w:t xml:space="preserve">EUR </w:t>
      </w:r>
      <w:r w:rsidRPr="002B005F">
        <w:rPr>
          <w:rFonts w:ascii="Times New Roman" w:hAnsi="Times New Roman" w:cs="Times New Roman"/>
          <w:sz w:val="24"/>
          <w:szCs w:val="24"/>
        </w:rPr>
        <w:t>1</w:t>
      </w:r>
      <w:r w:rsidR="006C2761" w:rsidRPr="002B005F">
        <w:rPr>
          <w:rFonts w:ascii="Times New Roman" w:hAnsi="Times New Roman" w:cs="Times New Roman"/>
          <w:sz w:val="24"/>
          <w:szCs w:val="24"/>
        </w:rPr>
        <w:t> </w:t>
      </w:r>
      <w:r w:rsidR="00DC3930">
        <w:rPr>
          <w:rFonts w:ascii="Times New Roman" w:hAnsi="Times New Roman" w:cs="Times New Roman"/>
          <w:sz w:val="24"/>
          <w:szCs w:val="24"/>
        </w:rPr>
        <w:t>000</w:t>
      </w:r>
      <w:r w:rsidRPr="002B005F">
        <w:rPr>
          <w:rFonts w:ascii="Times New Roman" w:hAnsi="Times New Roman" w:cs="Times New Roman"/>
          <w:sz w:val="24"/>
          <w:szCs w:val="24"/>
        </w:rPr>
        <w:t xml:space="preserve"> à l’entreprise B à la fin du premier trimestre. Dès que les taux variables dépassent le taux swap fixe, le solde du swap </w:t>
      </w:r>
      <w:r w:rsidR="00DC3930" w:rsidRPr="002B005F">
        <w:rPr>
          <w:rFonts w:ascii="Times New Roman" w:hAnsi="Times New Roman" w:cs="Times New Roman"/>
          <w:sz w:val="24"/>
          <w:szCs w:val="24"/>
        </w:rPr>
        <w:t xml:space="preserve">en fin de trimestre </w:t>
      </w:r>
      <w:r w:rsidR="00DC3930">
        <w:rPr>
          <w:rFonts w:ascii="Times New Roman" w:hAnsi="Times New Roman" w:cs="Times New Roman"/>
          <w:sz w:val="24"/>
          <w:szCs w:val="24"/>
        </w:rPr>
        <w:t>devient</w:t>
      </w:r>
      <w:r w:rsidRPr="002B005F">
        <w:rPr>
          <w:rFonts w:ascii="Times New Roman" w:hAnsi="Times New Roman" w:cs="Times New Roman"/>
          <w:sz w:val="24"/>
          <w:szCs w:val="24"/>
        </w:rPr>
        <w:t xml:space="preserve"> positif, c’est-à-di</w:t>
      </w:r>
      <w:r w:rsidR="00EA0073">
        <w:rPr>
          <w:rFonts w:ascii="Times New Roman" w:hAnsi="Times New Roman" w:cs="Times New Roman"/>
          <w:sz w:val="24"/>
          <w:szCs w:val="24"/>
        </w:rPr>
        <w:t>re en faveur de l’entreprise </w:t>
      </w:r>
      <w:r w:rsidR="003633F2">
        <w:rPr>
          <w:rFonts w:ascii="Times New Roman" w:hAnsi="Times New Roman" w:cs="Times New Roman"/>
          <w:sz w:val="24"/>
          <w:szCs w:val="24"/>
        </w:rPr>
        <w:t>A.</w:t>
      </w:r>
    </w:p>
    <w:p w14:paraId="104E4560" w14:textId="77777777" w:rsidR="002760B2" w:rsidRPr="00B0420B" w:rsidRDefault="009F5DE1" w:rsidP="00C86447">
      <w:pPr>
        <w:pStyle w:val="Titre3"/>
        <w:keepNext w:val="0"/>
        <w:keepLines w:val="0"/>
        <w:spacing w:before="100" w:beforeAutospacing="1" w:after="100" w:afterAutospacing="1"/>
        <w:ind w:firstLine="709"/>
        <w:rPr>
          <w:sz w:val="28"/>
          <w:szCs w:val="28"/>
        </w:rPr>
      </w:pPr>
      <w:bookmarkStart w:id="837" w:name="_Toc33263298"/>
      <w:bookmarkStart w:id="838" w:name="_Toc37664561"/>
      <w:bookmarkStart w:id="839" w:name="_Toc37666406"/>
      <w:bookmarkStart w:id="840" w:name="_Toc54363295"/>
      <w:bookmarkStart w:id="841" w:name="_Toc58606291"/>
      <w:bookmarkStart w:id="842" w:name="_Toc61263496"/>
      <w:bookmarkStart w:id="843" w:name="_Toc182298733"/>
      <w:r w:rsidRPr="00B0420B">
        <w:rPr>
          <w:sz w:val="28"/>
          <w:szCs w:val="28"/>
        </w:rPr>
        <w:t xml:space="preserve">2.4- </w:t>
      </w:r>
      <w:r w:rsidR="002760B2" w:rsidRPr="00B0420B">
        <w:rPr>
          <w:sz w:val="28"/>
          <w:szCs w:val="28"/>
        </w:rPr>
        <w:t>Processus de gestion des risques</w:t>
      </w:r>
      <w:bookmarkEnd w:id="837"/>
      <w:bookmarkEnd w:id="838"/>
      <w:bookmarkEnd w:id="839"/>
      <w:bookmarkEnd w:id="840"/>
      <w:bookmarkEnd w:id="841"/>
      <w:bookmarkEnd w:id="842"/>
      <w:bookmarkEnd w:id="843"/>
    </w:p>
    <w:p w14:paraId="25C81C7D" w14:textId="77777777" w:rsidR="002760B2" w:rsidRPr="00FA50EB" w:rsidRDefault="002760B2" w:rsidP="00CD703D">
      <w:pPr>
        <w:widowControl w:val="0"/>
        <w:tabs>
          <w:tab w:val="left" w:pos="0"/>
        </w:tabs>
        <w:autoSpaceDE w:val="0"/>
        <w:autoSpaceDN w:val="0"/>
        <w:adjustRightInd w:val="0"/>
        <w:spacing w:before="120" w:line="300" w:lineRule="auto"/>
        <w:ind w:firstLine="709"/>
        <w:rPr>
          <w:rFonts w:ascii="Times New Roman" w:hAnsi="Times New Roman" w:cs="Times New Roman"/>
          <w:spacing w:val="-4"/>
          <w:sz w:val="24"/>
          <w:szCs w:val="24"/>
        </w:rPr>
      </w:pPr>
      <w:r w:rsidRPr="00FA50EB">
        <w:rPr>
          <w:rFonts w:ascii="Times New Roman" w:hAnsi="Times New Roman" w:cs="Times New Roman"/>
          <w:spacing w:val="-4"/>
          <w:sz w:val="24"/>
          <w:szCs w:val="24"/>
        </w:rPr>
        <w:t>Le bon déroulement de la gestion des risques exige la mise en place d’un système efficace et un ensemble de processus. La gestion des risques n’est pas un processus séquentiel dans lequel un élément affecte uniquement le suivant mais, c’est un processus multidirectionnel par lequel chaque élément a une influence immédiate et directe sur les autres éléments.</w:t>
      </w:r>
    </w:p>
    <w:p w14:paraId="08F9AC20" w14:textId="77777777" w:rsidR="002760B2" w:rsidRPr="002B005F" w:rsidRDefault="002760B2" w:rsidP="009C1F3D">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lastRenderedPageBreak/>
        <w:t>Donc, le processus global de gestion des risques doit être appliqué dans tous les départements de l’institution financière. Il faut signaler que ce processus n’est pas le même pour toutes les institutions. Il diffère selon la nature des activités, la taille et le degré de sophistication des entreprises. Un système efficace de gestion des risques doit comprendre les éléments suivants :</w:t>
      </w:r>
    </w:p>
    <w:p w14:paraId="6D4CEA64" w14:textId="77777777" w:rsidR="002760B2" w:rsidRPr="002B005F" w:rsidRDefault="000552FF" w:rsidP="007B64B9">
      <w:pPr>
        <w:pStyle w:val="Titre4"/>
        <w:keepNext w:val="0"/>
        <w:spacing w:before="100" w:beforeAutospacing="1" w:after="120" w:line="300" w:lineRule="auto"/>
        <w:ind w:firstLine="709"/>
      </w:pPr>
      <w:bookmarkStart w:id="844" w:name="_Toc33263299"/>
      <w:bookmarkStart w:id="845" w:name="_Toc37664562"/>
      <w:bookmarkStart w:id="846" w:name="_Toc37666407"/>
      <w:bookmarkStart w:id="847" w:name="_Toc54363296"/>
      <w:bookmarkStart w:id="848" w:name="_Toc58606292"/>
      <w:bookmarkStart w:id="849" w:name="_Toc61263497"/>
      <w:bookmarkStart w:id="850" w:name="_Toc182298734"/>
      <w:r>
        <w:t xml:space="preserve">2.4.1- </w:t>
      </w:r>
      <w:r w:rsidR="002760B2" w:rsidRPr="002B005F">
        <w:t>Développer une culture de gestion de risque</w:t>
      </w:r>
      <w:bookmarkEnd w:id="844"/>
      <w:bookmarkEnd w:id="845"/>
      <w:bookmarkEnd w:id="846"/>
      <w:bookmarkEnd w:id="847"/>
      <w:bookmarkEnd w:id="848"/>
      <w:bookmarkEnd w:id="849"/>
      <w:bookmarkEnd w:id="850"/>
    </w:p>
    <w:p w14:paraId="3AC8E2F5" w14:textId="77777777" w:rsidR="002760B2" w:rsidRPr="002B005F" w:rsidRDefault="002760B2" w:rsidP="009C1F3D">
      <w:pPr>
        <w:widowControl w:val="0"/>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Toute entreprise doit chercher à favoriser une culture qui a pour objectif la prévention de risque. Ceci peut être manifesté par la modification des croyances, les valeurs et les apprentissages des employés en cherchant à faire comprendre à chacun que</w:t>
      </w:r>
      <w:r w:rsidR="00170BD7">
        <w:rPr>
          <w:rFonts w:ascii="Times New Roman" w:hAnsi="Times New Roman" w:cs="Times New Roman"/>
          <w:sz w:val="24"/>
          <w:szCs w:val="24"/>
        </w:rPr>
        <w:t xml:space="preserve"> </w:t>
      </w:r>
      <w:r w:rsidRPr="002B005F">
        <w:rPr>
          <w:rFonts w:ascii="Times New Roman" w:hAnsi="Times New Roman" w:cs="Times New Roman"/>
          <w:sz w:val="24"/>
          <w:szCs w:val="24"/>
        </w:rPr>
        <w:t>la sécurité est l’affaire de tous. Pour ce faire, il faut définir un projet intégrant la prévention du risque, l’organisation de séminaires, de rencontres et de formations sur cette question. Il ne peut y avoir cette culture sans transmission de l’information et une communication interpersonnelle. Dans cette perspective, la diffusion de journaux, de fiches de signalement ou la création d’un serveur intranet peuvent être des outils intéressants pour faciliter la transmission de l’information</w:t>
      </w:r>
      <w:r w:rsidR="00CB7DEC">
        <w:rPr>
          <w:rFonts w:ascii="Times New Roman" w:hAnsi="Times New Roman" w:cs="Times New Roman"/>
          <w:sz w:val="24"/>
          <w:szCs w:val="24"/>
        </w:rPr>
        <w:t>. C</w:t>
      </w:r>
      <w:r w:rsidRPr="002B005F">
        <w:rPr>
          <w:rFonts w:ascii="Times New Roman" w:hAnsi="Times New Roman" w:cs="Times New Roman"/>
          <w:sz w:val="24"/>
          <w:szCs w:val="24"/>
        </w:rPr>
        <w:t>e qui va créer une cohésion du groupe des travailleurs et donc</w:t>
      </w:r>
      <w:r w:rsidR="00CB7DEC">
        <w:rPr>
          <w:rFonts w:ascii="Times New Roman" w:hAnsi="Times New Roman" w:cs="Times New Roman"/>
          <w:sz w:val="24"/>
          <w:szCs w:val="24"/>
        </w:rPr>
        <w:t>,</w:t>
      </w:r>
      <w:r w:rsidRPr="002B005F">
        <w:rPr>
          <w:rFonts w:ascii="Times New Roman" w:hAnsi="Times New Roman" w:cs="Times New Roman"/>
          <w:sz w:val="24"/>
          <w:szCs w:val="24"/>
        </w:rPr>
        <w:t xml:space="preserve"> le nombre des risques diminuera.</w:t>
      </w:r>
    </w:p>
    <w:p w14:paraId="47B7A8BF" w14:textId="77777777" w:rsidR="002760B2" w:rsidRPr="002B005F" w:rsidRDefault="000552FF" w:rsidP="007B64B9">
      <w:pPr>
        <w:pStyle w:val="Titre4"/>
        <w:keepNext w:val="0"/>
        <w:spacing w:before="100" w:beforeAutospacing="1" w:after="120" w:line="300" w:lineRule="auto"/>
        <w:ind w:firstLine="709"/>
      </w:pPr>
      <w:bookmarkStart w:id="851" w:name="_Toc33263300"/>
      <w:bookmarkStart w:id="852" w:name="_Toc37664563"/>
      <w:bookmarkStart w:id="853" w:name="_Toc37666408"/>
      <w:bookmarkStart w:id="854" w:name="_Toc54363297"/>
      <w:bookmarkStart w:id="855" w:name="_Toc58606293"/>
      <w:bookmarkStart w:id="856" w:name="_Toc61263498"/>
      <w:bookmarkStart w:id="857" w:name="_Toc182298735"/>
      <w:r>
        <w:t>2.4.2</w:t>
      </w:r>
      <w:r w:rsidR="009056FC">
        <w:t xml:space="preserve">- </w:t>
      </w:r>
      <w:r w:rsidR="002760B2" w:rsidRPr="002B005F">
        <w:t>Adopter des politiques et des procédures viables</w:t>
      </w:r>
      <w:bookmarkEnd w:id="851"/>
      <w:bookmarkEnd w:id="852"/>
      <w:bookmarkEnd w:id="853"/>
      <w:bookmarkEnd w:id="854"/>
      <w:bookmarkEnd w:id="855"/>
      <w:bookmarkEnd w:id="856"/>
      <w:bookmarkEnd w:id="857"/>
    </w:p>
    <w:p w14:paraId="6BD175C2" w14:textId="77777777" w:rsidR="002760B2" w:rsidRPr="002B005F" w:rsidRDefault="002760B2" w:rsidP="00C86447">
      <w:pPr>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 conseil d’administration détient la responsabilité de choisir les objectifs globaux, les politiques et les stratégies de gestion des risques au sein des institutions financières. Il doit s’assurer que les managers de risques prennent les mesures nécessaires pour identifier, mesurer, surveiller et contrôler ces risques</w:t>
      </w:r>
      <w:r w:rsidR="00CB7DEC">
        <w:rPr>
          <w:rFonts w:ascii="Times New Roman" w:hAnsi="Times New Roman" w:cs="Times New Roman"/>
          <w:sz w:val="24"/>
          <w:szCs w:val="24"/>
        </w:rPr>
        <w:t>,</w:t>
      </w:r>
      <w:r w:rsidRPr="002B005F">
        <w:rPr>
          <w:rFonts w:ascii="Times New Roman" w:hAnsi="Times New Roman" w:cs="Times New Roman"/>
          <w:sz w:val="24"/>
          <w:szCs w:val="24"/>
        </w:rPr>
        <w:t xml:space="preserve"> à travers la remise des rapports périodiques contenant le développement des risques dans l’institution.</w:t>
      </w:r>
    </w:p>
    <w:p w14:paraId="5D9F9387" w14:textId="77777777" w:rsidR="002760B2" w:rsidRPr="002B005F" w:rsidRDefault="002760B2" w:rsidP="00C8644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Ainsi, les gestionnaires doivent développer des politiques et des procédures pour maitriser les risques encourus. Cela comprend la mise en place d’un processus de révision de la gestion des risques, d’un système approprié de mesure de risques, d’un système performant de suivi et de rédaction des rapports et d’un système de contrôle interne efficace.</w:t>
      </w:r>
      <w:r w:rsidR="00F82F77">
        <w:rPr>
          <w:rFonts w:ascii="Times New Roman" w:hAnsi="Times New Roman" w:cs="Times New Roman"/>
          <w:sz w:val="24"/>
          <w:szCs w:val="24"/>
        </w:rPr>
        <w:t xml:space="preserve"> </w:t>
      </w:r>
      <w:r w:rsidRPr="002B005F">
        <w:rPr>
          <w:rFonts w:ascii="Times New Roman" w:hAnsi="Times New Roman" w:cs="Times New Roman"/>
          <w:sz w:val="24"/>
          <w:szCs w:val="24"/>
        </w:rPr>
        <w:t>L’institution doit bien choisir les responsables de la gestion des risques et définir les relations hiérarchiques et les responsabilités de chacun d’eux.</w:t>
      </w:r>
    </w:p>
    <w:p w14:paraId="4DEB8C37" w14:textId="77777777" w:rsidR="002760B2" w:rsidRPr="002B005F" w:rsidRDefault="000552FF" w:rsidP="007B64B9">
      <w:pPr>
        <w:pStyle w:val="Titre4"/>
        <w:keepNext w:val="0"/>
        <w:spacing w:before="100" w:beforeAutospacing="1" w:after="120" w:line="300" w:lineRule="auto"/>
        <w:ind w:firstLine="709"/>
      </w:pPr>
      <w:bookmarkStart w:id="858" w:name="_Toc33263301"/>
      <w:bookmarkStart w:id="859" w:name="_Toc37664564"/>
      <w:bookmarkStart w:id="860" w:name="_Toc37666409"/>
      <w:bookmarkStart w:id="861" w:name="_Toc54363298"/>
      <w:bookmarkStart w:id="862" w:name="_Toc58606294"/>
      <w:bookmarkStart w:id="863" w:name="_Toc61263499"/>
      <w:bookmarkStart w:id="864" w:name="_Toc182298736"/>
      <w:r>
        <w:t xml:space="preserve">2.4.3- </w:t>
      </w:r>
      <w:r w:rsidR="002760B2" w:rsidRPr="002B005F">
        <w:t>Surveiller les risques</w:t>
      </w:r>
      <w:bookmarkEnd w:id="858"/>
      <w:bookmarkEnd w:id="859"/>
      <w:bookmarkEnd w:id="860"/>
      <w:bookmarkEnd w:id="861"/>
      <w:bookmarkEnd w:id="862"/>
      <w:bookmarkEnd w:id="863"/>
      <w:bookmarkEnd w:id="864"/>
    </w:p>
    <w:p w14:paraId="606F0294" w14:textId="77777777" w:rsidR="002760B2" w:rsidRPr="002B005F" w:rsidRDefault="002760B2" w:rsidP="00222D9F">
      <w:pPr>
        <w:widowControl w:val="0"/>
        <w:tabs>
          <w:tab w:val="left" w:pos="0"/>
        </w:tabs>
        <w:autoSpaceDE w:val="0"/>
        <w:autoSpaceDN w:val="0"/>
        <w:adjustRightInd w:val="0"/>
        <w:spacing w:line="300" w:lineRule="auto"/>
        <w:ind w:firstLine="709"/>
        <w:rPr>
          <w:rFonts w:ascii="Times New Roman" w:hAnsi="Times New Roman" w:cs="Times New Roman"/>
          <w:spacing w:val="-4"/>
          <w:sz w:val="24"/>
          <w:szCs w:val="24"/>
        </w:rPr>
      </w:pPr>
      <w:r w:rsidRPr="002B005F">
        <w:rPr>
          <w:rFonts w:ascii="Times New Roman" w:hAnsi="Times New Roman" w:cs="Times New Roman"/>
          <w:spacing w:val="-4"/>
          <w:sz w:val="24"/>
          <w:szCs w:val="24"/>
        </w:rPr>
        <w:t>Les étapes à franchir à ce niveau sont l’établissement de normes pour revoir et classer par catégorie les risques, l’évaluation et la cotation de ces risques. L’institution doit créer des normes standards et classifier les éléments d’actif par catégorie de risques et rédiger des rapports liés à la gestion des risques et l’audit interne. Elle peut également recourir à des sources externes d’évaluation de risques, comme les crédits Rating (notation de crédits), les critères d’évaluation des risques comme le CAMELS</w:t>
      </w:r>
      <w:r w:rsidRPr="002B005F">
        <w:rPr>
          <w:rStyle w:val="Appelnotedebasdep"/>
          <w:rFonts w:ascii="Times New Roman" w:hAnsi="Times New Roman"/>
          <w:spacing w:val="-4"/>
          <w:sz w:val="24"/>
          <w:szCs w:val="24"/>
        </w:rPr>
        <w:footnoteReference w:id="217"/>
      </w:r>
      <w:r w:rsidRPr="002B005F">
        <w:rPr>
          <w:rFonts w:ascii="Times New Roman" w:hAnsi="Times New Roman" w:cs="Times New Roman"/>
          <w:spacing w:val="-4"/>
          <w:sz w:val="24"/>
          <w:szCs w:val="24"/>
        </w:rPr>
        <w:t>.</w:t>
      </w:r>
    </w:p>
    <w:p w14:paraId="1DC2D77C" w14:textId="704377F7" w:rsidR="002760B2" w:rsidRPr="002B005F" w:rsidRDefault="009F5DE1" w:rsidP="007B64B9">
      <w:pPr>
        <w:keepLines/>
        <w:widowControl w:val="0"/>
        <w:tabs>
          <w:tab w:val="left" w:pos="0"/>
        </w:tabs>
        <w:autoSpaceDE w:val="0"/>
        <w:autoSpaceDN w:val="0"/>
        <w:adjustRightInd w:val="0"/>
        <w:spacing w:before="120" w:line="300" w:lineRule="auto"/>
        <w:ind w:firstLine="709"/>
        <w:rPr>
          <w:rFonts w:ascii="Times New Roman" w:hAnsi="Times New Roman" w:cs="Times New Roman"/>
          <w:spacing w:val="-4"/>
          <w:sz w:val="24"/>
          <w:szCs w:val="24"/>
        </w:rPr>
      </w:pPr>
      <w:r w:rsidRPr="002B005F">
        <w:rPr>
          <w:rFonts w:ascii="Times New Roman" w:hAnsi="Times New Roman" w:cs="Times New Roman"/>
          <w:spacing w:val="-4"/>
          <w:sz w:val="24"/>
          <w:szCs w:val="24"/>
        </w:rPr>
        <w:lastRenderedPageBreak/>
        <w:t xml:space="preserve">D’ailleurs, des </w:t>
      </w:r>
      <w:r w:rsidRPr="00CB7DEC">
        <w:rPr>
          <w:rFonts w:ascii="Times New Roman" w:hAnsi="Times New Roman" w:cs="Times New Roman"/>
          <w:i/>
          <w:iCs/>
          <w:spacing w:val="-4"/>
          <w:sz w:val="24"/>
          <w:szCs w:val="24"/>
        </w:rPr>
        <w:t>s</w:t>
      </w:r>
      <w:r w:rsidR="002760B2" w:rsidRPr="00CB7DEC">
        <w:rPr>
          <w:rFonts w:ascii="Times New Roman" w:hAnsi="Times New Roman" w:cs="Times New Roman"/>
          <w:i/>
          <w:iCs/>
          <w:spacing w:val="-4"/>
          <w:sz w:val="24"/>
          <w:szCs w:val="24"/>
        </w:rPr>
        <w:t>tress testing</w:t>
      </w:r>
      <w:r w:rsidR="002760B2" w:rsidRPr="002B005F">
        <w:rPr>
          <w:rFonts w:ascii="Times New Roman" w:hAnsi="Times New Roman" w:cs="Times New Roman"/>
          <w:spacing w:val="-4"/>
          <w:sz w:val="24"/>
          <w:szCs w:val="24"/>
        </w:rPr>
        <w:t xml:space="preserve"> peuvent contribuer à surveiller les risques financiers</w:t>
      </w:r>
      <w:r w:rsidR="00BE3A03">
        <w:rPr>
          <w:rFonts w:ascii="Times New Roman" w:hAnsi="Times New Roman" w:cs="Times New Roman"/>
          <w:spacing w:val="-4"/>
          <w:sz w:val="24"/>
          <w:szCs w:val="24"/>
        </w:rPr>
        <w:t xml:space="preserve"> c</w:t>
      </w:r>
      <w:r w:rsidR="002760B2" w:rsidRPr="002B005F">
        <w:rPr>
          <w:rFonts w:ascii="Times New Roman" w:hAnsi="Times New Roman" w:cs="Times New Roman"/>
          <w:spacing w:val="-4"/>
          <w:sz w:val="24"/>
          <w:szCs w:val="24"/>
        </w:rPr>
        <w:t xml:space="preserve">’est-à-dire étudier les effets des changements futurs potentiels sur le portefeuille. L’institution doit examiner les effets de retournement dans une industrie ou une économie et les risques de marché. Le </w:t>
      </w:r>
      <w:r w:rsidR="002760B2" w:rsidRPr="00CB7DEC">
        <w:rPr>
          <w:rFonts w:ascii="Times New Roman" w:hAnsi="Times New Roman" w:cs="Times New Roman"/>
          <w:i/>
          <w:iCs/>
          <w:spacing w:val="-4"/>
          <w:sz w:val="24"/>
          <w:szCs w:val="24"/>
        </w:rPr>
        <w:t>stress testing</w:t>
      </w:r>
      <w:r w:rsidR="002760B2" w:rsidRPr="002B005F">
        <w:rPr>
          <w:rFonts w:ascii="Times New Roman" w:hAnsi="Times New Roman" w:cs="Times New Roman"/>
          <w:spacing w:val="-4"/>
          <w:sz w:val="24"/>
          <w:szCs w:val="24"/>
        </w:rPr>
        <w:t xml:space="preserve"> est conçu pour déterminer les conditions dans lesquelles la position de l’institution est vulnérable et identifier les réponses possibles face à ces situations.</w:t>
      </w:r>
    </w:p>
    <w:p w14:paraId="56D18337" w14:textId="77777777" w:rsidR="002760B2" w:rsidRPr="002B005F" w:rsidRDefault="000552FF" w:rsidP="00C86447">
      <w:pPr>
        <w:pStyle w:val="Titre4"/>
        <w:keepNext w:val="0"/>
        <w:suppressAutoHyphens/>
        <w:spacing w:before="120" w:after="120" w:line="300" w:lineRule="auto"/>
        <w:ind w:firstLine="709"/>
      </w:pPr>
      <w:bookmarkStart w:id="865" w:name="_Toc33263302"/>
      <w:bookmarkStart w:id="866" w:name="_Toc37664565"/>
      <w:bookmarkStart w:id="867" w:name="_Toc37666410"/>
      <w:bookmarkStart w:id="868" w:name="_Toc54363299"/>
      <w:bookmarkStart w:id="869" w:name="_Toc58606295"/>
      <w:bookmarkStart w:id="870" w:name="_Toc61263500"/>
      <w:bookmarkStart w:id="871" w:name="_Toc182298737"/>
      <w:r>
        <w:t xml:space="preserve">2.4.4- </w:t>
      </w:r>
      <w:r w:rsidR="002760B2" w:rsidRPr="002B005F">
        <w:t>Optimiser le nombre d’activités</w:t>
      </w:r>
      <w:bookmarkEnd w:id="865"/>
      <w:bookmarkEnd w:id="866"/>
      <w:bookmarkEnd w:id="867"/>
      <w:bookmarkEnd w:id="868"/>
      <w:bookmarkEnd w:id="869"/>
      <w:bookmarkEnd w:id="870"/>
      <w:bookmarkEnd w:id="871"/>
    </w:p>
    <w:p w14:paraId="3EA3C6A6" w14:textId="77777777" w:rsidR="002760B2" w:rsidRPr="002B005F" w:rsidRDefault="002760B2" w:rsidP="00C86447">
      <w:pPr>
        <w:tabs>
          <w:tab w:val="left" w:pos="0"/>
        </w:tabs>
        <w:suppressAutoHyphen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Il est préférable pour une institution de diversifier ses activités plutôt que de se concentrer sur un seul domaine d’activité. En effet, en cas de problème sur un domaine d’activité, la rentabilité des autres domaines d’activité est capable de compenser les pertes.</w:t>
      </w:r>
    </w:p>
    <w:p w14:paraId="2C0896D6" w14:textId="77777777" w:rsidR="002760B2" w:rsidRPr="002B005F" w:rsidRDefault="00CB7DEC" w:rsidP="00C86447">
      <w:pPr>
        <w:tabs>
          <w:tab w:val="left" w:pos="0"/>
        </w:tabs>
        <w:suppressAutoHyphens/>
        <w:autoSpaceDE w:val="0"/>
        <w:autoSpaceDN w:val="0"/>
        <w:adjustRightInd w:val="0"/>
        <w:spacing w:before="120" w:line="300" w:lineRule="auto"/>
        <w:ind w:firstLine="709"/>
        <w:rPr>
          <w:rFonts w:ascii="Times New Roman" w:hAnsi="Times New Roman" w:cs="Times New Roman"/>
          <w:sz w:val="24"/>
          <w:szCs w:val="24"/>
        </w:rPr>
      </w:pPr>
      <w:r w:rsidRPr="0009159A">
        <w:rPr>
          <w:rFonts w:ascii="Times New Roman" w:hAnsi="Times New Roman" w:cs="Times New Roman"/>
          <w:sz w:val="24"/>
          <w:szCs w:val="24"/>
        </w:rPr>
        <w:t>Toutefois</w:t>
      </w:r>
      <w:r w:rsidR="002760B2" w:rsidRPr="0009159A">
        <w:rPr>
          <w:rFonts w:ascii="Times New Roman" w:hAnsi="Times New Roman" w:cs="Times New Roman"/>
          <w:sz w:val="24"/>
          <w:szCs w:val="24"/>
        </w:rPr>
        <w:t>, il est</w:t>
      </w:r>
      <w:r w:rsidR="002760B2" w:rsidRPr="002B005F">
        <w:rPr>
          <w:rFonts w:ascii="Times New Roman" w:hAnsi="Times New Roman" w:cs="Times New Roman"/>
          <w:sz w:val="24"/>
          <w:szCs w:val="24"/>
        </w:rPr>
        <w:t xml:space="preserve"> efficace de ne pas trop diversifier pour ne pas perdre le contrôle des domaines d’activité de l’entreprise. De manière générale, l’entreprise doit rechercher un équilibre en termes de domaines d’activité assurant une minimisation du risque à long terme.</w:t>
      </w:r>
    </w:p>
    <w:p w14:paraId="608F62FC" w14:textId="77777777" w:rsidR="002760B2" w:rsidRPr="00072BEE" w:rsidRDefault="000552FF" w:rsidP="00C86447">
      <w:pPr>
        <w:pStyle w:val="Titre3"/>
        <w:keepNext w:val="0"/>
        <w:keepLines w:val="0"/>
        <w:suppressAutoHyphens/>
        <w:spacing w:before="100" w:beforeAutospacing="1" w:after="100" w:afterAutospacing="1"/>
        <w:ind w:firstLine="709"/>
        <w:rPr>
          <w:sz w:val="28"/>
          <w:szCs w:val="28"/>
        </w:rPr>
      </w:pPr>
      <w:bookmarkStart w:id="872" w:name="_Toc33263303"/>
      <w:bookmarkStart w:id="873" w:name="_Toc37664566"/>
      <w:bookmarkStart w:id="874" w:name="_Toc37666411"/>
      <w:bookmarkStart w:id="875" w:name="_Toc54363300"/>
      <w:bookmarkStart w:id="876" w:name="_Toc58606296"/>
      <w:bookmarkStart w:id="877" w:name="_Toc61263501"/>
      <w:bookmarkStart w:id="878" w:name="_Toc182298738"/>
      <w:r w:rsidRPr="00072BEE">
        <w:rPr>
          <w:sz w:val="28"/>
          <w:szCs w:val="28"/>
        </w:rPr>
        <w:t xml:space="preserve">2.5- </w:t>
      </w:r>
      <w:r w:rsidR="002760B2" w:rsidRPr="00072BEE">
        <w:rPr>
          <w:sz w:val="28"/>
          <w:szCs w:val="28"/>
        </w:rPr>
        <w:t>Procédés de gestion des risques</w:t>
      </w:r>
      <w:bookmarkEnd w:id="872"/>
      <w:bookmarkEnd w:id="873"/>
      <w:bookmarkEnd w:id="874"/>
      <w:bookmarkEnd w:id="875"/>
      <w:bookmarkEnd w:id="876"/>
      <w:bookmarkEnd w:id="877"/>
      <w:bookmarkEnd w:id="878"/>
    </w:p>
    <w:p w14:paraId="77D5562E" w14:textId="77777777" w:rsidR="002760B2" w:rsidRPr="002B005F" w:rsidRDefault="002760B2" w:rsidP="00C86447">
      <w:pPr>
        <w:tabs>
          <w:tab w:val="left" w:pos="0"/>
        </w:tabs>
        <w:suppressAutoHyphen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maitrise des risques est un enjeu important. Les institutions financières se trouvent dans l’obligation de se protéger contre les différents risques en les identifiant mais</w:t>
      </w:r>
      <w:r w:rsidR="00CB7DEC">
        <w:rPr>
          <w:rFonts w:ascii="Times New Roman" w:hAnsi="Times New Roman" w:cs="Times New Roman"/>
          <w:sz w:val="24"/>
          <w:szCs w:val="24"/>
        </w:rPr>
        <w:t>,</w:t>
      </w:r>
      <w:r w:rsidRPr="002B005F">
        <w:rPr>
          <w:rFonts w:ascii="Times New Roman" w:hAnsi="Times New Roman" w:cs="Times New Roman"/>
          <w:sz w:val="24"/>
          <w:szCs w:val="24"/>
        </w:rPr>
        <w:t xml:space="preserve"> en assurant aussi une gestion régulière et rigoureuse. Nous allons aborder dans ce qui suit les procédures adoptées par les banques en termes de gestion des risques.</w:t>
      </w:r>
    </w:p>
    <w:p w14:paraId="4E580D7C" w14:textId="77777777" w:rsidR="002760B2" w:rsidRPr="002B005F" w:rsidRDefault="000552FF" w:rsidP="007B64B9">
      <w:pPr>
        <w:pStyle w:val="Titre4"/>
        <w:keepNext w:val="0"/>
        <w:suppressAutoHyphens/>
        <w:spacing w:before="100" w:beforeAutospacing="1" w:after="120" w:line="300" w:lineRule="auto"/>
        <w:ind w:firstLine="709"/>
      </w:pPr>
      <w:bookmarkStart w:id="879" w:name="_Toc33263304"/>
      <w:bookmarkStart w:id="880" w:name="_Toc37664567"/>
      <w:bookmarkStart w:id="881" w:name="_Toc37666412"/>
      <w:bookmarkStart w:id="882" w:name="_Toc54363301"/>
      <w:bookmarkStart w:id="883" w:name="_Toc58606297"/>
      <w:bookmarkStart w:id="884" w:name="_Toc61263502"/>
      <w:bookmarkStart w:id="885" w:name="_Toc182298739"/>
      <w:r>
        <w:t xml:space="preserve">2.5.1- </w:t>
      </w:r>
      <w:r w:rsidR="002760B2" w:rsidRPr="002B005F">
        <w:t>Gestion du risque de crédit</w:t>
      </w:r>
      <w:bookmarkEnd w:id="879"/>
      <w:bookmarkEnd w:id="880"/>
      <w:bookmarkEnd w:id="881"/>
      <w:bookmarkEnd w:id="882"/>
      <w:bookmarkEnd w:id="883"/>
      <w:bookmarkEnd w:id="884"/>
      <w:bookmarkEnd w:id="885"/>
    </w:p>
    <w:p w14:paraId="230A21BE" w14:textId="77777777" w:rsidR="002760B2" w:rsidRPr="002B005F" w:rsidRDefault="002760B2" w:rsidP="00C86447">
      <w:pPr>
        <w:tabs>
          <w:tab w:val="left" w:pos="0"/>
        </w:tabs>
        <w:suppressAutoHyphen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Comme le note </w:t>
      </w:r>
      <w:r w:rsidRPr="002B005F">
        <w:rPr>
          <w:rFonts w:ascii="Times New Roman" w:hAnsi="Times New Roman" w:cs="Times New Roman"/>
          <w:smallCaps/>
          <w:sz w:val="24"/>
          <w:szCs w:val="24"/>
        </w:rPr>
        <w:t>Dubernet</w:t>
      </w:r>
      <w:r w:rsidRPr="002B005F">
        <w:rPr>
          <w:rFonts w:ascii="Times New Roman" w:hAnsi="Times New Roman" w:cs="Times New Roman"/>
          <w:sz w:val="24"/>
          <w:szCs w:val="24"/>
        </w:rPr>
        <w:t xml:space="preserve"> (1997), le risque de crédit ou de contrepartie est le risque le plus important encouru par les banques</w:t>
      </w:r>
      <w:r w:rsidRPr="002B005F">
        <w:rPr>
          <w:rStyle w:val="Appelnotedebasdep"/>
          <w:rFonts w:ascii="Times New Roman" w:hAnsi="Times New Roman"/>
          <w:sz w:val="24"/>
          <w:szCs w:val="24"/>
        </w:rPr>
        <w:footnoteReference w:id="218"/>
      </w:r>
      <w:r w:rsidR="004638B9" w:rsidRPr="002B005F">
        <w:rPr>
          <w:rFonts w:ascii="Times New Roman" w:hAnsi="Times New Roman" w:cs="Times New Roman"/>
          <w:sz w:val="24"/>
          <w:szCs w:val="24"/>
        </w:rPr>
        <w:t>. Cela</w:t>
      </w:r>
      <w:r w:rsidRPr="002B005F">
        <w:rPr>
          <w:rFonts w:ascii="Times New Roman" w:hAnsi="Times New Roman" w:cs="Times New Roman"/>
          <w:sz w:val="24"/>
          <w:szCs w:val="24"/>
        </w:rPr>
        <w:t xml:space="preserve"> provient du fait qu’il découle de l’activité principale de la banque qui est l’intermédiation bancaire. C'est-à-dire qu’il affecte directement la source principale de profit de l’entité. Donc, il est nécessaire que la défaillance d’une contrepartie n’entraine pas des difficultés trop importantes pour le prêteur. Pour cela, les banques doivent déterminer les seuils à ne pas franchir. Les démarches suivantes sont indispensables pour gérer et réduire le risque de crédit :</w:t>
      </w:r>
    </w:p>
    <w:p w14:paraId="56BD4BBE" w14:textId="77777777" w:rsidR="002760B2" w:rsidRPr="00072BEE" w:rsidRDefault="00C96B98" w:rsidP="007B64B9">
      <w:pPr>
        <w:pStyle w:val="Titre5"/>
        <w:keepNext w:val="0"/>
        <w:keepLines w:val="0"/>
        <w:suppressAutoHyphens/>
        <w:spacing w:before="100" w:beforeAutospacing="1" w:after="120" w:line="300" w:lineRule="auto"/>
        <w:ind w:firstLine="709"/>
        <w:rPr>
          <w:rFonts w:asciiTheme="majorBidi" w:hAnsiTheme="majorBidi"/>
          <w:b/>
          <w:bCs/>
          <w:color w:val="auto"/>
          <w:sz w:val="24"/>
          <w:szCs w:val="24"/>
        </w:rPr>
      </w:pPr>
      <w:bookmarkStart w:id="886" w:name="_Toc182298740"/>
      <w:r w:rsidRPr="00072BEE">
        <w:rPr>
          <w:rFonts w:asciiTheme="majorBidi" w:hAnsiTheme="majorBidi"/>
          <w:b/>
          <w:bCs/>
          <w:color w:val="auto"/>
          <w:sz w:val="24"/>
          <w:szCs w:val="24"/>
        </w:rPr>
        <w:t>2.5.1.1- E</w:t>
      </w:r>
      <w:r w:rsidR="002760B2" w:rsidRPr="00072BEE">
        <w:rPr>
          <w:rFonts w:asciiTheme="majorBidi" w:hAnsiTheme="majorBidi"/>
          <w:b/>
          <w:bCs/>
          <w:color w:val="auto"/>
          <w:sz w:val="24"/>
          <w:szCs w:val="24"/>
        </w:rPr>
        <w:t>valuation exhaustive de la situation de l’emprunteur</w:t>
      </w:r>
      <w:bookmarkEnd w:id="886"/>
    </w:p>
    <w:p w14:paraId="370F8A12" w14:textId="77777777" w:rsidR="002760B2" w:rsidRPr="002B005F" w:rsidRDefault="002760B2" w:rsidP="00C86447">
      <w:pPr>
        <w:pStyle w:val="Paragraphedeliste"/>
        <w:tabs>
          <w:tab w:val="left" w:pos="0"/>
          <w:tab w:val="left" w:pos="426"/>
        </w:tabs>
        <w:suppressAutoHyphens/>
        <w:autoSpaceDE w:val="0"/>
        <w:autoSpaceDN w:val="0"/>
        <w:adjustRightInd w:val="0"/>
        <w:spacing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La banque doit collecter toutes les informations concernant le profil du client emprunteur. Cela comprend le motif de la demande de crédit, les sources de remboursement, le profil de risque de l’emprunteur et sa sensibilité aux changements économiques ou de marché, sa capacité de remboursement passée et présente… La banque doit être capable de faire des évaluations précises comme le recours aux analyses financières en utilisant les ratios financiers ou bien faire appel aux agences de notation pour évaluer la capacité de l’emprunteur à faire face à ses obligations financières.</w:t>
      </w:r>
    </w:p>
    <w:p w14:paraId="6A30AA68" w14:textId="77777777" w:rsidR="002760B2" w:rsidRPr="00072BEE" w:rsidRDefault="00C96B98" w:rsidP="007B64B9">
      <w:pPr>
        <w:pStyle w:val="Titre5"/>
        <w:keepLines w:val="0"/>
        <w:suppressAutoHyphens/>
        <w:spacing w:before="100" w:beforeAutospacing="1" w:after="120" w:line="300" w:lineRule="auto"/>
        <w:ind w:firstLine="709"/>
        <w:rPr>
          <w:rFonts w:asciiTheme="majorBidi" w:hAnsiTheme="majorBidi"/>
          <w:b/>
          <w:bCs/>
          <w:color w:val="auto"/>
          <w:sz w:val="24"/>
          <w:szCs w:val="24"/>
        </w:rPr>
      </w:pPr>
      <w:bookmarkStart w:id="887" w:name="_Toc182298741"/>
      <w:r w:rsidRPr="00072BEE">
        <w:rPr>
          <w:rFonts w:asciiTheme="majorBidi" w:hAnsiTheme="majorBidi"/>
          <w:b/>
          <w:bCs/>
          <w:color w:val="auto"/>
          <w:sz w:val="24"/>
          <w:szCs w:val="24"/>
        </w:rPr>
        <w:lastRenderedPageBreak/>
        <w:t>2.5.1.2- E</w:t>
      </w:r>
      <w:r w:rsidR="002760B2" w:rsidRPr="00072BEE">
        <w:rPr>
          <w:rFonts w:asciiTheme="majorBidi" w:hAnsiTheme="majorBidi"/>
          <w:b/>
          <w:bCs/>
          <w:color w:val="auto"/>
          <w:sz w:val="24"/>
          <w:szCs w:val="24"/>
        </w:rPr>
        <w:t>xigence de garanties bancaires</w:t>
      </w:r>
      <w:bookmarkEnd w:id="887"/>
    </w:p>
    <w:p w14:paraId="680637C3" w14:textId="77777777" w:rsidR="002760B2" w:rsidRPr="002F0A97" w:rsidRDefault="002760B2" w:rsidP="002F0A97">
      <w:pPr>
        <w:pStyle w:val="Paragraphedeliste"/>
        <w:keepNext/>
        <w:tabs>
          <w:tab w:val="left" w:pos="0"/>
          <w:tab w:val="left" w:pos="426"/>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Pour éviter les conséquences d’une éventuelle insolvabilité du débiteur, le banquier peut demander des s</w:t>
      </w:r>
      <w:r w:rsidR="00CB7DEC" w:rsidRPr="002F0A97">
        <w:rPr>
          <w:rFonts w:ascii="Times New Roman" w:hAnsi="Times New Roman" w:cs="Times New Roman"/>
          <w:kern w:val="24"/>
          <w:sz w:val="24"/>
          <w:szCs w:val="24"/>
        </w:rPr>
        <w:t>û</w:t>
      </w:r>
      <w:r w:rsidRPr="002F0A97">
        <w:rPr>
          <w:rFonts w:ascii="Times New Roman" w:hAnsi="Times New Roman" w:cs="Times New Roman"/>
          <w:kern w:val="24"/>
          <w:sz w:val="24"/>
          <w:szCs w:val="24"/>
        </w:rPr>
        <w:t>retés réelles ou personnelles. Les s</w:t>
      </w:r>
      <w:r w:rsidR="00D37A68" w:rsidRPr="002F0A97">
        <w:rPr>
          <w:rFonts w:ascii="Times New Roman" w:hAnsi="Times New Roman" w:cs="Times New Roman"/>
          <w:kern w:val="24"/>
          <w:sz w:val="24"/>
          <w:szCs w:val="24"/>
        </w:rPr>
        <w:t>û</w:t>
      </w:r>
      <w:r w:rsidRPr="002F0A97">
        <w:rPr>
          <w:rFonts w:ascii="Times New Roman" w:hAnsi="Times New Roman" w:cs="Times New Roman"/>
          <w:kern w:val="24"/>
          <w:sz w:val="24"/>
          <w:szCs w:val="24"/>
        </w:rPr>
        <w:t>retés réelles englobent les biens mobiliers ou immobiliers (les gages pour les biens mobiliers et les hypothèques pour les biens immobiliers). Alors que les s</w:t>
      </w:r>
      <w:r w:rsidR="00D37A68" w:rsidRPr="002F0A97">
        <w:rPr>
          <w:rFonts w:ascii="Times New Roman" w:hAnsi="Times New Roman" w:cs="Times New Roman"/>
          <w:kern w:val="24"/>
          <w:sz w:val="24"/>
          <w:szCs w:val="24"/>
        </w:rPr>
        <w:t>û</w:t>
      </w:r>
      <w:r w:rsidRPr="002F0A97">
        <w:rPr>
          <w:rFonts w:ascii="Times New Roman" w:hAnsi="Times New Roman" w:cs="Times New Roman"/>
          <w:kern w:val="24"/>
          <w:sz w:val="24"/>
          <w:szCs w:val="24"/>
        </w:rPr>
        <w:t>retés personnelles sont l’engagement d’une ou plusieurs personnes qui s’engagent de rembourser à la banque en cas de défaut de l’emprunteur (comme les cautions et les avals)</w:t>
      </w:r>
      <w:r w:rsidR="00C96B98" w:rsidRPr="002F0A97">
        <w:rPr>
          <w:rFonts w:ascii="Times New Roman" w:hAnsi="Times New Roman" w:cs="Times New Roman"/>
          <w:kern w:val="24"/>
          <w:sz w:val="24"/>
          <w:szCs w:val="24"/>
        </w:rPr>
        <w:t>.</w:t>
      </w:r>
    </w:p>
    <w:p w14:paraId="519627D4" w14:textId="77777777" w:rsidR="002760B2" w:rsidRPr="002F0A97" w:rsidRDefault="00C96B98" w:rsidP="002F0A97">
      <w:pPr>
        <w:pStyle w:val="Titre5"/>
        <w:keepNext w:val="0"/>
        <w:keepLines w:val="0"/>
        <w:suppressAutoHyphens/>
        <w:spacing w:before="120" w:line="300" w:lineRule="auto"/>
        <w:ind w:firstLine="709"/>
        <w:rPr>
          <w:rFonts w:asciiTheme="majorBidi" w:hAnsiTheme="majorBidi"/>
          <w:b/>
          <w:bCs/>
          <w:color w:val="auto"/>
          <w:kern w:val="24"/>
          <w:sz w:val="24"/>
          <w:szCs w:val="24"/>
        </w:rPr>
      </w:pPr>
      <w:bookmarkStart w:id="888" w:name="_Toc182298742"/>
      <w:r w:rsidRPr="002F0A97">
        <w:rPr>
          <w:rFonts w:asciiTheme="majorBidi" w:hAnsiTheme="majorBidi"/>
          <w:b/>
          <w:bCs/>
          <w:color w:val="auto"/>
          <w:kern w:val="24"/>
          <w:sz w:val="24"/>
          <w:szCs w:val="24"/>
        </w:rPr>
        <w:t>2.5.1.3- E</w:t>
      </w:r>
      <w:r w:rsidR="002760B2" w:rsidRPr="002F0A97">
        <w:rPr>
          <w:rFonts w:asciiTheme="majorBidi" w:hAnsiTheme="majorBidi"/>
          <w:b/>
          <w:bCs/>
          <w:color w:val="auto"/>
          <w:kern w:val="24"/>
          <w:sz w:val="24"/>
          <w:szCs w:val="24"/>
        </w:rPr>
        <w:t xml:space="preserve">laboration de système de </w:t>
      </w:r>
      <w:r w:rsidRPr="002F0A97">
        <w:rPr>
          <w:rFonts w:asciiTheme="majorBidi" w:hAnsiTheme="majorBidi"/>
          <w:b/>
          <w:bCs/>
          <w:color w:val="auto"/>
          <w:kern w:val="24"/>
          <w:sz w:val="24"/>
          <w:szCs w:val="24"/>
        </w:rPr>
        <w:t>r</w:t>
      </w:r>
      <w:r w:rsidR="002760B2" w:rsidRPr="002F0A97">
        <w:rPr>
          <w:rFonts w:asciiTheme="majorBidi" w:hAnsiTheme="majorBidi"/>
          <w:b/>
          <w:bCs/>
          <w:color w:val="auto"/>
          <w:kern w:val="24"/>
          <w:sz w:val="24"/>
          <w:szCs w:val="24"/>
        </w:rPr>
        <w:t>ating interne</w:t>
      </w:r>
      <w:bookmarkEnd w:id="888"/>
    </w:p>
    <w:p w14:paraId="0882D0C0" w14:textId="77777777" w:rsidR="002760B2" w:rsidRPr="002F0A97" w:rsidRDefault="002760B2" w:rsidP="002F0A97">
      <w:pPr>
        <w:pStyle w:val="Paragraphedeliste"/>
        <w:tabs>
          <w:tab w:val="left" w:pos="0"/>
          <w:tab w:val="left" w:pos="426"/>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Pour gérer efficacement le risque de crédit, la banque doit développer un système interne de rating des risques. Ce système peut différencier les degrés de risque de crédit en les classant par catégorie selon une échelle de risques. C’est un instrument adéquat pour surveiller et contrôler le risque de crédit.</w:t>
      </w:r>
    </w:p>
    <w:p w14:paraId="1D8F1C56" w14:textId="77777777" w:rsidR="002760B2" w:rsidRPr="002F0A97" w:rsidRDefault="00C96B98" w:rsidP="002F0A97">
      <w:pPr>
        <w:pStyle w:val="Titre5"/>
        <w:keepNext w:val="0"/>
        <w:keepLines w:val="0"/>
        <w:suppressAutoHyphens/>
        <w:spacing w:before="120" w:line="300" w:lineRule="auto"/>
        <w:ind w:firstLine="709"/>
        <w:rPr>
          <w:rFonts w:asciiTheme="majorBidi" w:hAnsiTheme="majorBidi"/>
          <w:b/>
          <w:bCs/>
          <w:color w:val="auto"/>
          <w:kern w:val="24"/>
          <w:sz w:val="24"/>
          <w:szCs w:val="24"/>
        </w:rPr>
      </w:pPr>
      <w:bookmarkStart w:id="889" w:name="_Toc182298743"/>
      <w:r w:rsidRPr="002F0A97">
        <w:rPr>
          <w:rFonts w:asciiTheme="majorBidi" w:hAnsiTheme="majorBidi"/>
          <w:b/>
          <w:bCs/>
          <w:color w:val="auto"/>
          <w:kern w:val="24"/>
          <w:sz w:val="24"/>
          <w:szCs w:val="24"/>
        </w:rPr>
        <w:t>2.5.1.4- A</w:t>
      </w:r>
      <w:r w:rsidR="002760B2" w:rsidRPr="002F0A97">
        <w:rPr>
          <w:rFonts w:asciiTheme="majorBidi" w:hAnsiTheme="majorBidi"/>
          <w:b/>
          <w:bCs/>
          <w:color w:val="auto"/>
          <w:kern w:val="24"/>
          <w:sz w:val="24"/>
          <w:szCs w:val="24"/>
        </w:rPr>
        <w:t>pplication et respect des règles prudentielles</w:t>
      </w:r>
      <w:bookmarkEnd w:id="889"/>
    </w:p>
    <w:p w14:paraId="163EC6C4" w14:textId="77777777" w:rsidR="00D37A68" w:rsidRPr="002F0A97" w:rsidRDefault="002760B2" w:rsidP="002F0A97">
      <w:pPr>
        <w:pStyle w:val="Paragraphedeliste"/>
        <w:tabs>
          <w:tab w:val="left" w:pos="0"/>
          <w:tab w:val="left" w:pos="426"/>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Chaque banque doit respecter les exigences imposées par la réglementation prudentielle en matière d’évaluation du risque de crédit. Elles consistent en l’obligation d’avoir des fonds propres minimums pour se couvrir contre ce risque. Ces fonds propr</w:t>
      </w:r>
      <w:r w:rsidR="004638B9" w:rsidRPr="002F0A97">
        <w:rPr>
          <w:rFonts w:ascii="Times New Roman" w:hAnsi="Times New Roman" w:cs="Times New Roman"/>
          <w:kern w:val="24"/>
          <w:sz w:val="24"/>
          <w:szCs w:val="24"/>
        </w:rPr>
        <w:t>es doivent présenter au moins 8</w:t>
      </w:r>
      <w:r w:rsidRPr="002F0A97">
        <w:rPr>
          <w:rFonts w:ascii="Times New Roman" w:hAnsi="Times New Roman" w:cs="Times New Roman"/>
          <w:kern w:val="24"/>
          <w:sz w:val="24"/>
          <w:szCs w:val="24"/>
        </w:rPr>
        <w:t>% des actifs pondérés des risques</w:t>
      </w:r>
      <w:r w:rsidR="00D37A68" w:rsidRPr="002F0A97">
        <w:rPr>
          <w:rFonts w:ascii="Times New Roman" w:hAnsi="Times New Roman" w:cs="Times New Roman"/>
          <w:kern w:val="24"/>
          <w:sz w:val="24"/>
          <w:szCs w:val="24"/>
        </w:rPr>
        <w:t>. N</w:t>
      </w:r>
      <w:r w:rsidRPr="002F0A97">
        <w:rPr>
          <w:rFonts w:ascii="Times New Roman" w:hAnsi="Times New Roman" w:cs="Times New Roman"/>
          <w:kern w:val="24"/>
          <w:sz w:val="24"/>
          <w:szCs w:val="24"/>
        </w:rPr>
        <w:t xml:space="preserve">ous aborderons </w:t>
      </w:r>
      <w:r w:rsidR="00D37A68" w:rsidRPr="002F0A97">
        <w:rPr>
          <w:rFonts w:ascii="Times New Roman" w:hAnsi="Times New Roman" w:cs="Times New Roman"/>
          <w:kern w:val="24"/>
          <w:sz w:val="24"/>
          <w:szCs w:val="24"/>
        </w:rPr>
        <w:t>l</w:t>
      </w:r>
      <w:r w:rsidRPr="002F0A97">
        <w:rPr>
          <w:rFonts w:ascii="Times New Roman" w:hAnsi="Times New Roman" w:cs="Times New Roman"/>
          <w:kern w:val="24"/>
          <w:sz w:val="24"/>
          <w:szCs w:val="24"/>
        </w:rPr>
        <w:t xml:space="preserve">es normes prudentielles </w:t>
      </w:r>
      <w:r w:rsidR="00D37A68" w:rsidRPr="002F0A97">
        <w:rPr>
          <w:rFonts w:ascii="Times New Roman" w:hAnsi="Times New Roman" w:cs="Times New Roman"/>
          <w:kern w:val="24"/>
          <w:sz w:val="24"/>
          <w:szCs w:val="24"/>
        </w:rPr>
        <w:t>au prochain paragraphe 2.6.2.</w:t>
      </w:r>
    </w:p>
    <w:p w14:paraId="015C1789" w14:textId="77777777" w:rsidR="002760B2" w:rsidRPr="002F0A97" w:rsidRDefault="00C96B98" w:rsidP="002F0A97">
      <w:pPr>
        <w:pStyle w:val="Titre5"/>
        <w:keepNext w:val="0"/>
        <w:keepLines w:val="0"/>
        <w:suppressAutoHyphens/>
        <w:spacing w:before="120" w:line="300" w:lineRule="auto"/>
        <w:ind w:firstLine="709"/>
        <w:rPr>
          <w:rFonts w:asciiTheme="majorBidi" w:hAnsiTheme="majorBidi"/>
          <w:b/>
          <w:bCs/>
          <w:color w:val="auto"/>
          <w:kern w:val="24"/>
          <w:sz w:val="24"/>
          <w:szCs w:val="24"/>
        </w:rPr>
      </w:pPr>
      <w:bookmarkStart w:id="890" w:name="_Toc182298744"/>
      <w:r w:rsidRPr="002F0A97">
        <w:rPr>
          <w:rFonts w:asciiTheme="majorBidi" w:hAnsiTheme="majorBidi"/>
          <w:b/>
          <w:bCs/>
          <w:color w:val="auto"/>
          <w:kern w:val="24"/>
          <w:sz w:val="24"/>
          <w:szCs w:val="24"/>
        </w:rPr>
        <w:t>2.5.1.5- R</w:t>
      </w:r>
      <w:r w:rsidR="002760B2" w:rsidRPr="002F0A97">
        <w:rPr>
          <w:rFonts w:asciiTheme="majorBidi" w:hAnsiTheme="majorBidi"/>
          <w:b/>
          <w:bCs/>
          <w:color w:val="auto"/>
          <w:kern w:val="24"/>
          <w:sz w:val="24"/>
          <w:szCs w:val="24"/>
        </w:rPr>
        <w:t>ecours aux produits dérivés</w:t>
      </w:r>
      <w:bookmarkEnd w:id="890"/>
    </w:p>
    <w:p w14:paraId="44FF9D70" w14:textId="77777777" w:rsidR="002760B2" w:rsidRPr="002F0A97" w:rsidRDefault="002760B2" w:rsidP="002F0A97">
      <w:pPr>
        <w:pStyle w:val="Paragraphedeliste"/>
        <w:tabs>
          <w:tab w:val="left" w:pos="0"/>
          <w:tab w:val="left" w:pos="426"/>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 xml:space="preserve">Les banques peuvent résoudre les problèmes liés aux risques de crédit en cédant une partie des crédits </w:t>
      </w:r>
      <w:r w:rsidR="00D37A68" w:rsidRPr="002F0A97">
        <w:rPr>
          <w:rFonts w:ascii="Times New Roman" w:hAnsi="Times New Roman" w:cs="Times New Roman"/>
          <w:kern w:val="24"/>
          <w:sz w:val="24"/>
          <w:szCs w:val="24"/>
        </w:rPr>
        <w:t>en recourant aux</w:t>
      </w:r>
      <w:r w:rsidRPr="002F0A97">
        <w:rPr>
          <w:rFonts w:ascii="Times New Roman" w:hAnsi="Times New Roman" w:cs="Times New Roman"/>
          <w:kern w:val="24"/>
          <w:sz w:val="24"/>
          <w:szCs w:val="24"/>
        </w:rPr>
        <w:t xml:space="preserve"> instruments dérivés. </w:t>
      </w:r>
      <w:r w:rsidR="00D37A68" w:rsidRPr="002F0A97">
        <w:rPr>
          <w:rFonts w:ascii="Times New Roman" w:hAnsi="Times New Roman" w:cs="Times New Roman"/>
          <w:kern w:val="24"/>
          <w:sz w:val="24"/>
          <w:szCs w:val="24"/>
        </w:rPr>
        <w:t>Il s’agit de</w:t>
      </w:r>
      <w:r w:rsidRPr="002F0A97">
        <w:rPr>
          <w:rFonts w:ascii="Times New Roman" w:hAnsi="Times New Roman" w:cs="Times New Roman"/>
          <w:kern w:val="24"/>
          <w:sz w:val="24"/>
          <w:szCs w:val="24"/>
        </w:rPr>
        <w:t xml:space="preserve"> procédant à la vente des créances par la technique de titrisation </w:t>
      </w:r>
      <w:r w:rsidR="00D37A68" w:rsidRPr="002F0A97">
        <w:rPr>
          <w:rFonts w:ascii="Times New Roman" w:hAnsi="Times New Roman" w:cs="Times New Roman"/>
          <w:kern w:val="24"/>
          <w:sz w:val="24"/>
          <w:szCs w:val="24"/>
        </w:rPr>
        <w:t>en vue</w:t>
      </w:r>
      <w:r w:rsidRPr="002F0A97">
        <w:rPr>
          <w:rFonts w:ascii="Times New Roman" w:hAnsi="Times New Roman" w:cs="Times New Roman"/>
          <w:kern w:val="24"/>
          <w:sz w:val="24"/>
          <w:szCs w:val="24"/>
        </w:rPr>
        <w:t xml:space="preserve"> transférer le risque de défaut des emprunteurs.</w:t>
      </w:r>
    </w:p>
    <w:p w14:paraId="1D47B426" w14:textId="77777777" w:rsidR="002760B2" w:rsidRPr="002F0A97" w:rsidRDefault="000552FF" w:rsidP="002F0A97">
      <w:pPr>
        <w:pStyle w:val="Titre4"/>
        <w:keepNext w:val="0"/>
        <w:suppressAutoHyphens/>
        <w:spacing w:before="120" w:after="0" w:line="300" w:lineRule="auto"/>
        <w:ind w:firstLine="709"/>
        <w:rPr>
          <w:kern w:val="24"/>
        </w:rPr>
      </w:pPr>
      <w:bookmarkStart w:id="891" w:name="_Toc33263305"/>
      <w:bookmarkStart w:id="892" w:name="_Toc37664568"/>
      <w:bookmarkStart w:id="893" w:name="_Toc37666413"/>
      <w:bookmarkStart w:id="894" w:name="_Toc54363302"/>
      <w:bookmarkStart w:id="895" w:name="_Toc58606298"/>
      <w:bookmarkStart w:id="896" w:name="_Toc61263503"/>
      <w:bookmarkStart w:id="897" w:name="_Toc182298745"/>
      <w:r w:rsidRPr="002F0A97">
        <w:rPr>
          <w:kern w:val="24"/>
        </w:rPr>
        <w:t xml:space="preserve">2.5.2- </w:t>
      </w:r>
      <w:r w:rsidR="002760B2" w:rsidRPr="002F0A97">
        <w:rPr>
          <w:kern w:val="24"/>
        </w:rPr>
        <w:t>Gestion du risque de taux d’intérêt</w:t>
      </w:r>
      <w:bookmarkEnd w:id="891"/>
      <w:bookmarkEnd w:id="892"/>
      <w:bookmarkEnd w:id="893"/>
      <w:bookmarkEnd w:id="894"/>
      <w:bookmarkEnd w:id="895"/>
      <w:bookmarkEnd w:id="896"/>
      <w:bookmarkEnd w:id="897"/>
    </w:p>
    <w:p w14:paraId="62D6C84E" w14:textId="77777777" w:rsidR="002760B2" w:rsidRPr="002F0A97" w:rsidRDefault="002760B2" w:rsidP="002F0A97">
      <w:pPr>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sidRPr="002F0A97">
        <w:rPr>
          <w:rFonts w:ascii="Times New Roman" w:hAnsi="Times New Roman" w:cs="Times New Roman"/>
          <w:kern w:val="24"/>
          <w:sz w:val="24"/>
          <w:szCs w:val="24"/>
        </w:rPr>
        <w:t>Une saine gestion du risque de taux d’intérêt exige l’application de quatre éléments fondamentaux dans la gestion des créances, dettes et instruments du hors bilans</w:t>
      </w:r>
      <w:r w:rsidRPr="002F0A97">
        <w:rPr>
          <w:rStyle w:val="Appelnotedebasdep"/>
          <w:rFonts w:ascii="Times New Roman" w:hAnsi="Times New Roman"/>
          <w:kern w:val="24"/>
          <w:sz w:val="24"/>
          <w:szCs w:val="24"/>
        </w:rPr>
        <w:footnoteReference w:id="219"/>
      </w:r>
      <w:r w:rsidRPr="002F0A97">
        <w:rPr>
          <w:rFonts w:ascii="Times New Roman" w:hAnsi="Times New Roman" w:cs="Times New Roman"/>
          <w:kern w:val="24"/>
          <w:sz w:val="24"/>
          <w:szCs w:val="24"/>
        </w:rPr>
        <w:t> :</w:t>
      </w:r>
    </w:p>
    <w:p w14:paraId="64CF4282" w14:textId="77777777" w:rsidR="002760B2" w:rsidRPr="002F0A97" w:rsidRDefault="00150AAB" w:rsidP="002F0A97">
      <w:pPr>
        <w:pStyle w:val="Titre5"/>
        <w:keepNext w:val="0"/>
        <w:keepLines w:val="0"/>
        <w:suppressAutoHyphens/>
        <w:spacing w:before="120" w:line="300" w:lineRule="auto"/>
        <w:ind w:firstLine="709"/>
        <w:rPr>
          <w:rFonts w:asciiTheme="majorBidi" w:hAnsiTheme="majorBidi"/>
          <w:b/>
          <w:bCs/>
          <w:color w:val="auto"/>
          <w:kern w:val="24"/>
          <w:sz w:val="24"/>
          <w:szCs w:val="24"/>
        </w:rPr>
      </w:pPr>
      <w:bookmarkStart w:id="898" w:name="_Toc182298746"/>
      <w:r w:rsidRPr="002F0A97">
        <w:rPr>
          <w:rFonts w:asciiTheme="majorBidi" w:hAnsiTheme="majorBidi"/>
          <w:b/>
          <w:bCs/>
          <w:color w:val="auto"/>
          <w:kern w:val="24"/>
          <w:sz w:val="24"/>
          <w:szCs w:val="24"/>
        </w:rPr>
        <w:t xml:space="preserve">2.5.2.1- </w:t>
      </w:r>
      <w:r w:rsidR="002760B2" w:rsidRPr="002F0A97">
        <w:rPr>
          <w:rFonts w:asciiTheme="majorBidi" w:hAnsiTheme="majorBidi"/>
          <w:b/>
          <w:bCs/>
          <w:color w:val="auto"/>
          <w:kern w:val="24"/>
          <w:sz w:val="24"/>
          <w:szCs w:val="24"/>
        </w:rPr>
        <w:t>Suivi du risque de taux d’intérêt</w:t>
      </w:r>
      <w:bookmarkEnd w:id="898"/>
    </w:p>
    <w:p w14:paraId="7E375DD3" w14:textId="77777777" w:rsidR="002760B2" w:rsidRPr="002F0A97" w:rsidRDefault="002760B2" w:rsidP="002F0A97">
      <w:pPr>
        <w:pStyle w:val="Paragraphedeliste"/>
        <w:tabs>
          <w:tab w:val="left" w:pos="0"/>
          <w:tab w:val="left" w:pos="284"/>
          <w:tab w:val="left" w:pos="709"/>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 xml:space="preserve">Le conseil d’administration doit apprécier la nature et le niveau du risque de taux d’intérêt encouru. Il doit approuver les </w:t>
      </w:r>
      <w:r w:rsidR="00F3468D" w:rsidRPr="002F0A97">
        <w:rPr>
          <w:rFonts w:ascii="Times New Roman" w:hAnsi="Times New Roman" w:cs="Times New Roman"/>
          <w:kern w:val="24"/>
          <w:sz w:val="24"/>
          <w:szCs w:val="24"/>
        </w:rPr>
        <w:t xml:space="preserve">politiques et les </w:t>
      </w:r>
      <w:r w:rsidRPr="002F0A97">
        <w:rPr>
          <w:rFonts w:ascii="Times New Roman" w:hAnsi="Times New Roman" w:cs="Times New Roman"/>
          <w:kern w:val="24"/>
          <w:sz w:val="24"/>
          <w:szCs w:val="24"/>
        </w:rPr>
        <w:t>stratégies en matière de gestion de ce risque et s’assurer que la direction générale le surveille efficacement.</w:t>
      </w:r>
    </w:p>
    <w:p w14:paraId="2D17575F" w14:textId="77777777" w:rsidR="002760B2" w:rsidRPr="002F0A97" w:rsidRDefault="002760B2" w:rsidP="002F0A97">
      <w:pPr>
        <w:pStyle w:val="Paragraphedeliste"/>
        <w:tabs>
          <w:tab w:val="left" w:pos="0"/>
          <w:tab w:val="left" w:pos="284"/>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 xml:space="preserve">Ainsi, la direction générale doit s’assurer que le niveau du risque de taux d’intérêt qu’elle assume est géré de manière efficace. </w:t>
      </w:r>
      <w:r w:rsidR="00F3468D" w:rsidRPr="002F0A97">
        <w:rPr>
          <w:rFonts w:ascii="Times New Roman" w:hAnsi="Times New Roman" w:cs="Times New Roman"/>
          <w:kern w:val="24"/>
          <w:sz w:val="24"/>
          <w:szCs w:val="24"/>
        </w:rPr>
        <w:t>A travers des rapports sur ce risque, e</w:t>
      </w:r>
      <w:r w:rsidRPr="002F0A97">
        <w:rPr>
          <w:rFonts w:ascii="Times New Roman" w:hAnsi="Times New Roman" w:cs="Times New Roman"/>
          <w:kern w:val="24"/>
          <w:sz w:val="24"/>
          <w:szCs w:val="24"/>
        </w:rPr>
        <w:t>lle doit évaluer la sensibilité de l’établissement financier aux modifications des conditions du marché et autres facteurs de risque. D’ailleurs, elle doit s’assurer que l’activité d’analyse et du traitement du risque de taux d’intérêt est effectuée par un personnel compét</w:t>
      </w:r>
      <w:r w:rsidR="00F3468D" w:rsidRPr="002F0A97">
        <w:rPr>
          <w:rFonts w:ascii="Times New Roman" w:hAnsi="Times New Roman" w:cs="Times New Roman"/>
          <w:kern w:val="24"/>
          <w:sz w:val="24"/>
          <w:szCs w:val="24"/>
        </w:rPr>
        <w:t>e</w:t>
      </w:r>
      <w:r w:rsidRPr="002F0A97">
        <w:rPr>
          <w:rFonts w:ascii="Times New Roman" w:hAnsi="Times New Roman" w:cs="Times New Roman"/>
          <w:kern w:val="24"/>
          <w:sz w:val="24"/>
          <w:szCs w:val="24"/>
        </w:rPr>
        <w:t xml:space="preserve">nt qui possède des </w:t>
      </w:r>
      <w:r w:rsidRPr="002F0A97">
        <w:rPr>
          <w:rFonts w:ascii="Times New Roman" w:hAnsi="Times New Roman" w:cs="Times New Roman"/>
          <w:kern w:val="24"/>
          <w:sz w:val="24"/>
          <w:szCs w:val="24"/>
        </w:rPr>
        <w:lastRenderedPageBreak/>
        <w:t>connaissances et des expériences techniques correspondant à la dimension des activités de la banque.</w:t>
      </w:r>
    </w:p>
    <w:p w14:paraId="737FAAC1" w14:textId="77777777" w:rsidR="002760B2" w:rsidRPr="00072BEE" w:rsidRDefault="00150AAB" w:rsidP="00C86447">
      <w:pPr>
        <w:pStyle w:val="Titre5"/>
        <w:keepNext w:val="0"/>
        <w:keepLines w:val="0"/>
        <w:suppressAutoHyphens/>
        <w:spacing w:before="120" w:after="120" w:line="300" w:lineRule="auto"/>
        <w:ind w:firstLine="709"/>
        <w:rPr>
          <w:rFonts w:asciiTheme="majorBidi" w:hAnsiTheme="majorBidi"/>
          <w:b/>
          <w:bCs/>
          <w:color w:val="auto"/>
          <w:sz w:val="24"/>
          <w:szCs w:val="24"/>
        </w:rPr>
      </w:pPr>
      <w:bookmarkStart w:id="899" w:name="_Toc182298747"/>
      <w:r w:rsidRPr="00072BEE">
        <w:rPr>
          <w:rFonts w:asciiTheme="majorBidi" w:hAnsiTheme="majorBidi"/>
          <w:b/>
          <w:bCs/>
          <w:color w:val="auto"/>
          <w:sz w:val="24"/>
          <w:szCs w:val="24"/>
        </w:rPr>
        <w:t xml:space="preserve">2.5.2.2- </w:t>
      </w:r>
      <w:r w:rsidR="0009159A" w:rsidRPr="00072BEE">
        <w:rPr>
          <w:rFonts w:asciiTheme="majorBidi" w:hAnsiTheme="majorBidi"/>
          <w:b/>
          <w:bCs/>
          <w:color w:val="auto"/>
          <w:sz w:val="24"/>
          <w:szCs w:val="24"/>
        </w:rPr>
        <w:t>Politiques</w:t>
      </w:r>
      <w:r w:rsidR="002760B2" w:rsidRPr="00072BEE">
        <w:rPr>
          <w:rFonts w:asciiTheme="majorBidi" w:hAnsiTheme="majorBidi"/>
          <w:b/>
          <w:bCs/>
          <w:color w:val="auto"/>
          <w:sz w:val="24"/>
          <w:szCs w:val="24"/>
        </w:rPr>
        <w:t xml:space="preserve"> adéquates de gesti</w:t>
      </w:r>
      <w:r w:rsidR="004638B9" w:rsidRPr="00072BEE">
        <w:rPr>
          <w:rFonts w:asciiTheme="majorBidi" w:hAnsiTheme="majorBidi"/>
          <w:b/>
          <w:bCs/>
          <w:color w:val="auto"/>
          <w:sz w:val="24"/>
          <w:szCs w:val="24"/>
        </w:rPr>
        <w:t>on du risque de taux d’intérêt</w:t>
      </w:r>
      <w:bookmarkEnd w:id="899"/>
    </w:p>
    <w:p w14:paraId="03C6A6C0" w14:textId="77777777" w:rsidR="002760B2" w:rsidRPr="00F1476E" w:rsidRDefault="002760B2" w:rsidP="00C86447">
      <w:pPr>
        <w:pStyle w:val="Paragraphedeliste"/>
        <w:tabs>
          <w:tab w:val="left" w:pos="0"/>
          <w:tab w:val="left" w:pos="284"/>
        </w:tabs>
        <w:suppressAutoHyphens/>
        <w:autoSpaceDE w:val="0"/>
        <w:autoSpaceDN w:val="0"/>
        <w:adjustRightInd w:val="0"/>
        <w:spacing w:before="120" w:line="300" w:lineRule="auto"/>
        <w:ind w:left="0" w:firstLine="709"/>
        <w:contextualSpacing w:val="0"/>
        <w:rPr>
          <w:rFonts w:ascii="Times New Roman" w:hAnsi="Times New Roman" w:cs="Times New Roman"/>
          <w:spacing w:val="6"/>
          <w:sz w:val="24"/>
          <w:szCs w:val="24"/>
        </w:rPr>
      </w:pPr>
      <w:r w:rsidRPr="00F1476E">
        <w:rPr>
          <w:rFonts w:ascii="Times New Roman" w:hAnsi="Times New Roman" w:cs="Times New Roman"/>
          <w:spacing w:val="6"/>
          <w:sz w:val="24"/>
          <w:szCs w:val="24"/>
        </w:rPr>
        <w:t>Les politiques définies par la banque devraient déterminer des paramètres quantitatifs fixant le niveau de risque acceptable pour la banque et</w:t>
      </w:r>
      <w:r w:rsidR="00F3468D" w:rsidRPr="00F1476E">
        <w:rPr>
          <w:rFonts w:ascii="Times New Roman" w:hAnsi="Times New Roman" w:cs="Times New Roman"/>
          <w:spacing w:val="6"/>
          <w:sz w:val="24"/>
          <w:szCs w:val="24"/>
        </w:rPr>
        <w:t>, au besoin,</w:t>
      </w:r>
      <w:r w:rsidRPr="00F1476E">
        <w:rPr>
          <w:rFonts w:ascii="Times New Roman" w:hAnsi="Times New Roman" w:cs="Times New Roman"/>
          <w:spacing w:val="6"/>
          <w:sz w:val="24"/>
          <w:szCs w:val="24"/>
        </w:rPr>
        <w:t xml:space="preserve"> assigner des limites analogues à certains types d’instrument, de portefeuille et d’activité. Aussi, les nouveaux produits et activités devraient</w:t>
      </w:r>
      <w:r w:rsidR="00F3468D" w:rsidRPr="00F1476E">
        <w:rPr>
          <w:rFonts w:ascii="Times New Roman" w:hAnsi="Times New Roman" w:cs="Times New Roman"/>
          <w:spacing w:val="6"/>
          <w:sz w:val="24"/>
          <w:szCs w:val="24"/>
        </w:rPr>
        <w:t>-ils</w:t>
      </w:r>
      <w:r w:rsidRPr="00F1476E">
        <w:rPr>
          <w:rFonts w:ascii="Times New Roman" w:hAnsi="Times New Roman" w:cs="Times New Roman"/>
          <w:spacing w:val="6"/>
          <w:sz w:val="24"/>
          <w:szCs w:val="24"/>
        </w:rPr>
        <w:t xml:space="preserve"> faire l’objet d’un contrôle minutieux avant leur introduction dans la banque. Cette dernière doit être attentive au fait que les modifications des conditions d’échéance, de révision de taux ou de remboursement anticipé d’un instrument peuvent affecter ses caractéristiques de risque.</w:t>
      </w:r>
    </w:p>
    <w:p w14:paraId="76F7D84E" w14:textId="7A6B87FD" w:rsidR="002760B2" w:rsidRPr="00072BEE" w:rsidRDefault="00150AAB" w:rsidP="00C86447">
      <w:pPr>
        <w:pStyle w:val="Titre5"/>
        <w:keepNext w:val="0"/>
        <w:keepLines w:val="0"/>
        <w:suppressAutoHyphens/>
        <w:spacing w:before="120" w:after="120" w:line="300" w:lineRule="auto"/>
        <w:ind w:left="1560" w:hanging="851"/>
        <w:rPr>
          <w:rFonts w:asciiTheme="majorBidi" w:hAnsiTheme="majorBidi"/>
          <w:b/>
          <w:bCs/>
          <w:color w:val="auto"/>
          <w:sz w:val="24"/>
          <w:szCs w:val="24"/>
        </w:rPr>
      </w:pPr>
      <w:bookmarkStart w:id="900" w:name="_Toc182298748"/>
      <w:r w:rsidRPr="00072BEE">
        <w:rPr>
          <w:rFonts w:asciiTheme="majorBidi" w:hAnsiTheme="majorBidi"/>
          <w:b/>
          <w:bCs/>
          <w:color w:val="auto"/>
          <w:sz w:val="24"/>
          <w:szCs w:val="24"/>
        </w:rPr>
        <w:t xml:space="preserve">2.5.2.3- </w:t>
      </w:r>
      <w:r w:rsidR="00F1476E" w:rsidRPr="00072BEE">
        <w:rPr>
          <w:rFonts w:asciiTheme="majorBidi" w:hAnsiTheme="majorBidi"/>
          <w:b/>
          <w:bCs/>
          <w:color w:val="auto"/>
          <w:sz w:val="24"/>
          <w:szCs w:val="24"/>
        </w:rPr>
        <w:t>Fonctions de mesure, de surveillance et du contrôle du risque de taux d’intérêt</w:t>
      </w:r>
      <w:bookmarkEnd w:id="900"/>
    </w:p>
    <w:p w14:paraId="1D323042" w14:textId="77777777" w:rsidR="002760B2" w:rsidRPr="002B005F" w:rsidRDefault="002760B2" w:rsidP="00C86447">
      <w:pPr>
        <w:pStyle w:val="Paragraphedeliste"/>
        <w:tabs>
          <w:tab w:val="left" w:pos="0"/>
          <w:tab w:val="left" w:pos="284"/>
        </w:tabs>
        <w:suppressAutoHyphen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Il est essentiel que les banques soient dotées d’un système de mesure du risque de taux d’intérêt pour couvrir les sources de ce risque et évaluer les effets des modifications de taux d’intérêt selon les formes compatibles avec l’importance de leurs activités.</w:t>
      </w:r>
    </w:p>
    <w:p w14:paraId="29721AA3" w14:textId="77777777" w:rsidR="002760B2" w:rsidRPr="00F1476E" w:rsidRDefault="002760B2" w:rsidP="00C86447">
      <w:pPr>
        <w:pStyle w:val="Paragraphedeliste"/>
        <w:tabs>
          <w:tab w:val="left" w:pos="0"/>
          <w:tab w:val="left" w:pos="284"/>
        </w:tabs>
        <w:suppressAutoHyphen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banques doivent considérer des </w:t>
      </w:r>
      <w:r w:rsidR="001B5EEF">
        <w:rPr>
          <w:rFonts w:ascii="Times New Roman" w:hAnsi="Times New Roman" w:cs="Times New Roman"/>
          <w:sz w:val="24"/>
          <w:szCs w:val="24"/>
        </w:rPr>
        <w:t>"</w:t>
      </w:r>
      <w:r w:rsidRPr="002B005F">
        <w:rPr>
          <w:rFonts w:ascii="Times New Roman" w:hAnsi="Times New Roman" w:cs="Times New Roman"/>
          <w:sz w:val="24"/>
          <w:szCs w:val="24"/>
        </w:rPr>
        <w:t>scénari</w:t>
      </w:r>
      <w:r w:rsidR="00755531">
        <w:rPr>
          <w:rFonts w:ascii="Times New Roman" w:hAnsi="Times New Roman" w:cs="Times New Roman"/>
          <w:sz w:val="24"/>
          <w:szCs w:val="24"/>
        </w:rPr>
        <w:t>o</w:t>
      </w:r>
      <w:r w:rsidRPr="002B005F">
        <w:rPr>
          <w:rFonts w:ascii="Times New Roman" w:hAnsi="Times New Roman" w:cs="Times New Roman"/>
          <w:sz w:val="24"/>
          <w:szCs w:val="24"/>
        </w:rPr>
        <w:t>s</w:t>
      </w:r>
      <w:r w:rsidR="00755531">
        <w:rPr>
          <w:rFonts w:ascii="Times New Roman" w:hAnsi="Times New Roman" w:cs="Times New Roman"/>
          <w:sz w:val="24"/>
          <w:szCs w:val="24"/>
        </w:rPr>
        <w:t xml:space="preserve"> </w:t>
      </w:r>
      <w:r w:rsidRPr="002B005F">
        <w:rPr>
          <w:rFonts w:ascii="Times New Roman" w:hAnsi="Times New Roman" w:cs="Times New Roman"/>
          <w:sz w:val="24"/>
          <w:szCs w:val="24"/>
        </w:rPr>
        <w:t>catastrophes</w:t>
      </w:r>
      <w:r w:rsidR="001B5EEF">
        <w:rPr>
          <w:rFonts w:ascii="Times New Roman" w:hAnsi="Times New Roman" w:cs="Times New Roman"/>
          <w:sz w:val="24"/>
          <w:szCs w:val="24"/>
        </w:rPr>
        <w:t>"</w:t>
      </w:r>
      <w:r w:rsidRPr="002B005F">
        <w:rPr>
          <w:rFonts w:ascii="Times New Roman" w:hAnsi="Times New Roman" w:cs="Times New Roman"/>
          <w:sz w:val="24"/>
          <w:szCs w:val="24"/>
        </w:rPr>
        <w:t xml:space="preserve"> (au pire des cas quelle </w:t>
      </w:r>
      <w:r w:rsidRPr="00F1476E">
        <w:rPr>
          <w:rFonts w:ascii="Times New Roman" w:hAnsi="Times New Roman" w:cs="Times New Roman"/>
          <w:sz w:val="24"/>
          <w:szCs w:val="24"/>
        </w:rPr>
        <w:t>sera</w:t>
      </w:r>
      <w:r w:rsidR="00755531" w:rsidRPr="00F1476E">
        <w:rPr>
          <w:rFonts w:ascii="Times New Roman" w:hAnsi="Times New Roman" w:cs="Times New Roman"/>
          <w:sz w:val="24"/>
          <w:szCs w:val="24"/>
        </w:rPr>
        <w:t>it</w:t>
      </w:r>
      <w:r w:rsidRPr="00F1476E">
        <w:rPr>
          <w:rFonts w:ascii="Times New Roman" w:hAnsi="Times New Roman" w:cs="Times New Roman"/>
          <w:sz w:val="24"/>
          <w:szCs w:val="24"/>
        </w:rPr>
        <w:t xml:space="preserve"> la perte de la banque pour un risque de taux d’intérêt éventuel) et s’assurer que les plans de contingence appropriés sont disponibles pour faire face à de telles situations.</w:t>
      </w:r>
    </w:p>
    <w:p w14:paraId="19749DB5" w14:textId="77777777" w:rsidR="002760B2" w:rsidRPr="00072BEE" w:rsidRDefault="00150AAB" w:rsidP="00C86447">
      <w:pPr>
        <w:pStyle w:val="Titre5"/>
        <w:keepNext w:val="0"/>
        <w:keepLines w:val="0"/>
        <w:suppressAutoHyphens/>
        <w:spacing w:before="120" w:after="120" w:line="300" w:lineRule="auto"/>
        <w:ind w:firstLine="709"/>
        <w:rPr>
          <w:rFonts w:asciiTheme="majorBidi" w:hAnsiTheme="majorBidi"/>
          <w:b/>
          <w:bCs/>
          <w:color w:val="auto"/>
          <w:sz w:val="24"/>
          <w:szCs w:val="24"/>
        </w:rPr>
      </w:pPr>
      <w:bookmarkStart w:id="901" w:name="_Toc182298749"/>
      <w:r w:rsidRPr="00072BEE">
        <w:rPr>
          <w:rFonts w:asciiTheme="majorBidi" w:hAnsiTheme="majorBidi"/>
          <w:b/>
          <w:bCs/>
          <w:color w:val="auto"/>
          <w:sz w:val="24"/>
          <w:szCs w:val="24"/>
        </w:rPr>
        <w:t xml:space="preserve">2.5.2.4- </w:t>
      </w:r>
      <w:r w:rsidR="002760B2" w:rsidRPr="00072BEE">
        <w:rPr>
          <w:rFonts w:asciiTheme="majorBidi" w:hAnsiTheme="majorBidi"/>
          <w:b/>
          <w:bCs/>
          <w:color w:val="auto"/>
          <w:sz w:val="24"/>
          <w:szCs w:val="24"/>
        </w:rPr>
        <w:t>Contrôle inter</w:t>
      </w:r>
      <w:r w:rsidR="004638B9" w:rsidRPr="00072BEE">
        <w:rPr>
          <w:rFonts w:asciiTheme="majorBidi" w:hAnsiTheme="majorBidi"/>
          <w:b/>
          <w:bCs/>
          <w:color w:val="auto"/>
          <w:sz w:val="24"/>
          <w:szCs w:val="24"/>
        </w:rPr>
        <w:t>ne du risque de taux d’intérêt</w:t>
      </w:r>
      <w:bookmarkEnd w:id="901"/>
    </w:p>
    <w:p w14:paraId="29D2EEF7" w14:textId="77777777" w:rsidR="002760B2" w:rsidRPr="00F1476E" w:rsidRDefault="002760B2" w:rsidP="00C86447">
      <w:pPr>
        <w:pStyle w:val="Paragraphedeliste"/>
        <w:tabs>
          <w:tab w:val="left" w:pos="0"/>
          <w:tab w:val="left" w:pos="284"/>
        </w:tabs>
        <w:suppressAutoHyphens/>
        <w:autoSpaceDE w:val="0"/>
        <w:autoSpaceDN w:val="0"/>
        <w:adjustRightInd w:val="0"/>
        <w:spacing w:before="120" w:line="300" w:lineRule="auto"/>
        <w:ind w:left="0" w:firstLine="709"/>
        <w:contextualSpacing w:val="0"/>
        <w:rPr>
          <w:rFonts w:ascii="Times New Roman" w:hAnsi="Times New Roman" w:cs="Times New Roman"/>
          <w:sz w:val="24"/>
          <w:szCs w:val="24"/>
        </w:rPr>
      </w:pPr>
      <w:r w:rsidRPr="00F1476E">
        <w:rPr>
          <w:rFonts w:ascii="Times New Roman" w:hAnsi="Times New Roman" w:cs="Times New Roman"/>
          <w:sz w:val="24"/>
          <w:szCs w:val="24"/>
        </w:rPr>
        <w:t>Ce contrôle doit favoriser l’efficacité des opérations, la fiabilité de la communication financière et des déclarations prudentielles ainsi que le respect des lois et réglementations appropriées. Une attention devrait être accordée aux processus d’approbation, limites de risque, réconciliations, vérifications et autres mécanismes appropriés destinés à fournir une assurance que les objectifs de gestion du risque de taux d’intérêt sont atteints.</w:t>
      </w:r>
    </w:p>
    <w:p w14:paraId="1C2634C7" w14:textId="77777777" w:rsidR="002760B2" w:rsidRPr="00F1476E" w:rsidRDefault="00265E19" w:rsidP="00C86447">
      <w:pPr>
        <w:pStyle w:val="Titre4"/>
        <w:keepNext w:val="0"/>
        <w:suppressAutoHyphens/>
        <w:spacing w:before="120" w:after="120" w:line="300" w:lineRule="auto"/>
        <w:ind w:firstLine="709"/>
      </w:pPr>
      <w:bookmarkStart w:id="902" w:name="_Toc33263306"/>
      <w:bookmarkStart w:id="903" w:name="_Toc37664569"/>
      <w:bookmarkStart w:id="904" w:name="_Toc37666414"/>
      <w:bookmarkStart w:id="905" w:name="_Toc54363303"/>
      <w:bookmarkStart w:id="906" w:name="_Toc58606299"/>
      <w:bookmarkStart w:id="907" w:name="_Toc61263504"/>
      <w:bookmarkStart w:id="908" w:name="_Toc182298750"/>
      <w:r w:rsidRPr="00F1476E">
        <w:t xml:space="preserve">2.5.3- </w:t>
      </w:r>
      <w:r w:rsidR="002760B2" w:rsidRPr="00F1476E">
        <w:t>Gestion du risque de liquidité</w:t>
      </w:r>
      <w:bookmarkEnd w:id="902"/>
      <w:bookmarkEnd w:id="903"/>
      <w:bookmarkEnd w:id="904"/>
      <w:bookmarkEnd w:id="905"/>
      <w:bookmarkEnd w:id="906"/>
      <w:bookmarkEnd w:id="907"/>
      <w:bookmarkEnd w:id="908"/>
    </w:p>
    <w:p w14:paraId="00C36EDE" w14:textId="77777777" w:rsidR="002760B2" w:rsidRPr="00F1476E" w:rsidRDefault="002760B2" w:rsidP="00C86447">
      <w:pPr>
        <w:tabs>
          <w:tab w:val="left" w:pos="0"/>
        </w:tabs>
        <w:suppressAutoHyphens/>
        <w:autoSpaceDE w:val="0"/>
        <w:autoSpaceDN w:val="0"/>
        <w:adjustRightInd w:val="0"/>
        <w:spacing w:before="120" w:line="300" w:lineRule="auto"/>
        <w:ind w:firstLine="709"/>
        <w:rPr>
          <w:rFonts w:ascii="Times New Roman" w:hAnsi="Times New Roman" w:cs="Times New Roman"/>
          <w:spacing w:val="-4"/>
          <w:sz w:val="24"/>
          <w:szCs w:val="24"/>
        </w:rPr>
      </w:pPr>
      <w:r w:rsidRPr="00F1476E">
        <w:rPr>
          <w:rFonts w:ascii="Times New Roman" w:hAnsi="Times New Roman" w:cs="Times New Roman"/>
          <w:spacing w:val="-4"/>
          <w:sz w:val="24"/>
          <w:szCs w:val="24"/>
        </w:rPr>
        <w:t>Puisque la banque utilise les dépôts des clients qui peuvent les retirer à tout moment, la gestion de la liquidité bancaire est l’une des principales fonctions de la banque. La gestion du risque de liquidité passe par une ma</w:t>
      </w:r>
      <w:r w:rsidR="001B5EEF" w:rsidRPr="00F1476E">
        <w:rPr>
          <w:rFonts w:ascii="Times New Roman" w:hAnsi="Times New Roman" w:cs="Times New Roman"/>
          <w:spacing w:val="-4"/>
          <w:sz w:val="24"/>
          <w:szCs w:val="24"/>
        </w:rPr>
        <w:t>î</w:t>
      </w:r>
      <w:r w:rsidRPr="00F1476E">
        <w:rPr>
          <w:rFonts w:ascii="Times New Roman" w:hAnsi="Times New Roman" w:cs="Times New Roman"/>
          <w:spacing w:val="-4"/>
          <w:sz w:val="24"/>
          <w:szCs w:val="24"/>
        </w:rPr>
        <w:t>trise des sources et de l’utilisation des fonds. Le rôle de la banque est d’opérer une allocation optimale des ressources puisque la provenance des fonds échappe à son contrôle. Les placements doivent générer le maximum de profits pour la banque.</w:t>
      </w:r>
    </w:p>
    <w:p w14:paraId="6480F371" w14:textId="77777777" w:rsidR="002760B2" w:rsidRPr="00F1476E" w:rsidRDefault="002760B2" w:rsidP="00C86447">
      <w:pPr>
        <w:tabs>
          <w:tab w:val="left" w:pos="0"/>
        </w:tabs>
        <w:suppressAutoHyphens/>
        <w:autoSpaceDE w:val="0"/>
        <w:autoSpaceDN w:val="0"/>
        <w:adjustRightInd w:val="0"/>
        <w:spacing w:before="120" w:line="300" w:lineRule="auto"/>
        <w:ind w:firstLine="709"/>
        <w:rPr>
          <w:rFonts w:ascii="Times New Roman" w:hAnsi="Times New Roman" w:cs="Times New Roman"/>
          <w:sz w:val="24"/>
          <w:szCs w:val="24"/>
        </w:rPr>
      </w:pPr>
      <w:r w:rsidRPr="00F1476E">
        <w:rPr>
          <w:rFonts w:ascii="Times New Roman" w:hAnsi="Times New Roman" w:cs="Times New Roman"/>
          <w:sz w:val="24"/>
          <w:szCs w:val="24"/>
        </w:rPr>
        <w:t xml:space="preserve">En même temps, il est opportun de constituer des réserves (autres que celles prévues par la réglementation) qui vont varier selon l’attitude des gestionnaires envers le risque. Les besoins en liquidité sont déterminés </w:t>
      </w:r>
      <w:r w:rsidR="001B5EEF" w:rsidRPr="00F1476E">
        <w:rPr>
          <w:rFonts w:ascii="Times New Roman" w:hAnsi="Times New Roman" w:cs="Times New Roman"/>
          <w:sz w:val="24"/>
          <w:szCs w:val="24"/>
        </w:rPr>
        <w:t>par</w:t>
      </w:r>
      <w:r w:rsidRPr="00F1476E">
        <w:rPr>
          <w:rFonts w:ascii="Times New Roman" w:hAnsi="Times New Roman" w:cs="Times New Roman"/>
          <w:sz w:val="24"/>
          <w:szCs w:val="24"/>
        </w:rPr>
        <w:t xml:space="preserve"> une évaluation</w:t>
      </w:r>
      <w:r w:rsidRPr="002B005F">
        <w:rPr>
          <w:rFonts w:ascii="Times New Roman" w:hAnsi="Times New Roman" w:cs="Times New Roman"/>
          <w:sz w:val="24"/>
          <w:szCs w:val="24"/>
        </w:rPr>
        <w:t xml:space="preserve"> continue des flux d’argent entrants et sortants de la banque. La classification des actifs selon leur degré de liquidité est d’une importance capitale pour une évaluation fiable des besoins en liquidité. Une fois ces derniers sont identifiés, la banque procède à des anticipations de </w:t>
      </w:r>
      <w:r w:rsidR="001B5EEF">
        <w:rPr>
          <w:rFonts w:ascii="Times New Roman" w:hAnsi="Times New Roman" w:cs="Times New Roman"/>
          <w:sz w:val="24"/>
          <w:szCs w:val="24"/>
        </w:rPr>
        <w:t>"</w:t>
      </w:r>
      <w:r w:rsidRPr="002B005F">
        <w:rPr>
          <w:rFonts w:ascii="Times New Roman" w:hAnsi="Times New Roman" w:cs="Times New Roman"/>
          <w:sz w:val="24"/>
          <w:szCs w:val="24"/>
        </w:rPr>
        <w:t>scénarios catastrophes</w:t>
      </w:r>
      <w:r w:rsidR="001B5EEF">
        <w:rPr>
          <w:rFonts w:ascii="Times New Roman" w:hAnsi="Times New Roman" w:cs="Times New Roman"/>
          <w:sz w:val="24"/>
          <w:szCs w:val="24"/>
        </w:rPr>
        <w:t>"</w:t>
      </w:r>
      <w:r w:rsidRPr="002B005F">
        <w:rPr>
          <w:rFonts w:ascii="Times New Roman" w:hAnsi="Times New Roman" w:cs="Times New Roman"/>
          <w:sz w:val="24"/>
          <w:szCs w:val="24"/>
        </w:rPr>
        <w:t xml:space="preserve"> (au pire des cas quelle </w:t>
      </w:r>
      <w:r w:rsidRPr="00F1476E">
        <w:rPr>
          <w:rFonts w:ascii="Times New Roman" w:hAnsi="Times New Roman" w:cs="Times New Roman"/>
          <w:sz w:val="24"/>
          <w:szCs w:val="24"/>
        </w:rPr>
        <w:t>sera</w:t>
      </w:r>
      <w:r w:rsidR="001B5EEF" w:rsidRPr="00F1476E">
        <w:rPr>
          <w:rFonts w:ascii="Times New Roman" w:hAnsi="Times New Roman" w:cs="Times New Roman"/>
          <w:sz w:val="24"/>
          <w:szCs w:val="24"/>
        </w:rPr>
        <w:t>it</w:t>
      </w:r>
      <w:r w:rsidRPr="00F1476E">
        <w:rPr>
          <w:rFonts w:ascii="Times New Roman" w:hAnsi="Times New Roman" w:cs="Times New Roman"/>
          <w:sz w:val="24"/>
          <w:szCs w:val="24"/>
        </w:rPr>
        <w:t xml:space="preserve"> la perte de la banque pour un risque de liquidité éventuel). Ces prévisions sont de nature à amortir les effets d’une crise de liquidité probable.</w:t>
      </w:r>
    </w:p>
    <w:p w14:paraId="42082A1E" w14:textId="77777777" w:rsidR="002760B2" w:rsidRPr="00F1476E" w:rsidRDefault="002760B2" w:rsidP="00C86447">
      <w:pPr>
        <w:tabs>
          <w:tab w:val="left" w:pos="0"/>
        </w:tabs>
        <w:suppressAutoHyphens/>
        <w:autoSpaceDE w:val="0"/>
        <w:autoSpaceDN w:val="0"/>
        <w:adjustRightInd w:val="0"/>
        <w:spacing w:before="120" w:line="300" w:lineRule="auto"/>
        <w:ind w:firstLine="709"/>
        <w:rPr>
          <w:rFonts w:ascii="Times New Roman" w:hAnsi="Times New Roman" w:cs="Times New Roman"/>
          <w:spacing w:val="-4"/>
          <w:sz w:val="24"/>
          <w:szCs w:val="24"/>
        </w:rPr>
      </w:pPr>
      <w:r w:rsidRPr="00F1476E">
        <w:rPr>
          <w:rFonts w:ascii="Times New Roman" w:hAnsi="Times New Roman" w:cs="Times New Roman"/>
          <w:spacing w:val="-4"/>
          <w:sz w:val="24"/>
          <w:szCs w:val="24"/>
        </w:rPr>
        <w:lastRenderedPageBreak/>
        <w:t>La gestion du risque de liquidité doit prendre en considération l’ensemble des services et départements de la banque. Les managers des risques doivent suivre de près et coordonner les opérations liées à tous les départements impliqués dans la mobilisation et l’utilisation des fonds. Ainsi, ils doivent savoir à l’avance le moment où les grosses transactions tiennent lieu pour arriver à gérer d’une manière rationnelle les surplus ou les déficits en liquidité.</w:t>
      </w:r>
    </w:p>
    <w:p w14:paraId="4E448DB3" w14:textId="77777777" w:rsidR="002760B2" w:rsidRPr="00F1476E" w:rsidRDefault="00265E19" w:rsidP="00C86447">
      <w:pPr>
        <w:pStyle w:val="Titre4"/>
        <w:keepNext w:val="0"/>
        <w:suppressAutoHyphens/>
        <w:spacing w:before="120" w:after="120" w:line="300" w:lineRule="auto"/>
        <w:ind w:firstLine="709"/>
      </w:pPr>
      <w:bookmarkStart w:id="909" w:name="_Toc33263307"/>
      <w:bookmarkStart w:id="910" w:name="_Toc37664570"/>
      <w:bookmarkStart w:id="911" w:name="_Toc37666415"/>
      <w:bookmarkStart w:id="912" w:name="_Toc54363304"/>
      <w:bookmarkStart w:id="913" w:name="_Toc58606300"/>
      <w:bookmarkStart w:id="914" w:name="_Toc61263505"/>
      <w:bookmarkStart w:id="915" w:name="_Toc182298751"/>
      <w:r w:rsidRPr="00F1476E">
        <w:t xml:space="preserve">2.5.4- </w:t>
      </w:r>
      <w:r w:rsidR="002760B2" w:rsidRPr="00F1476E">
        <w:t>Gestion du risque opérationnel</w:t>
      </w:r>
      <w:bookmarkEnd w:id="909"/>
      <w:bookmarkEnd w:id="910"/>
      <w:bookmarkEnd w:id="911"/>
      <w:bookmarkEnd w:id="912"/>
      <w:bookmarkEnd w:id="913"/>
      <w:bookmarkEnd w:id="914"/>
      <w:bookmarkEnd w:id="915"/>
    </w:p>
    <w:p w14:paraId="36FCECD6" w14:textId="77777777" w:rsidR="002760B2" w:rsidRPr="002B005F" w:rsidRDefault="001B5EEF" w:rsidP="00C86447">
      <w:pPr>
        <w:tabs>
          <w:tab w:val="left" w:pos="0"/>
        </w:tabs>
        <w:suppressAutoHyphens/>
        <w:autoSpaceDE w:val="0"/>
        <w:autoSpaceDN w:val="0"/>
        <w:adjustRightInd w:val="0"/>
        <w:spacing w:before="120" w:line="300" w:lineRule="auto"/>
        <w:ind w:firstLine="709"/>
        <w:rPr>
          <w:rFonts w:ascii="Times New Roman" w:hAnsi="Times New Roman" w:cs="Times New Roman"/>
          <w:sz w:val="24"/>
          <w:szCs w:val="24"/>
        </w:rPr>
      </w:pPr>
      <w:r w:rsidRPr="00F1476E">
        <w:rPr>
          <w:rFonts w:ascii="Times New Roman" w:hAnsi="Times New Roman" w:cs="Times New Roman"/>
          <w:sz w:val="24"/>
          <w:szCs w:val="24"/>
        </w:rPr>
        <w:t>Désormais plus complexe</w:t>
      </w:r>
      <w:r w:rsidR="006F52A0" w:rsidRPr="00F1476E">
        <w:rPr>
          <w:rFonts w:ascii="Times New Roman" w:hAnsi="Times New Roman" w:cs="Times New Roman"/>
          <w:sz w:val="24"/>
          <w:szCs w:val="24"/>
        </w:rPr>
        <w:t>,</w:t>
      </w:r>
      <w:r w:rsidRPr="00F1476E">
        <w:rPr>
          <w:rFonts w:ascii="Times New Roman" w:hAnsi="Times New Roman" w:cs="Times New Roman"/>
          <w:sz w:val="24"/>
          <w:szCs w:val="24"/>
        </w:rPr>
        <w:t xml:space="preserve"> </w:t>
      </w:r>
      <w:r w:rsidR="006F52A0" w:rsidRPr="00F1476E">
        <w:rPr>
          <w:rFonts w:ascii="Times New Roman" w:hAnsi="Times New Roman" w:cs="Times New Roman"/>
          <w:sz w:val="24"/>
          <w:szCs w:val="24"/>
        </w:rPr>
        <w:t>le</w:t>
      </w:r>
      <w:r w:rsidR="002760B2" w:rsidRPr="00F1476E">
        <w:rPr>
          <w:rFonts w:ascii="Times New Roman" w:hAnsi="Times New Roman" w:cs="Times New Roman"/>
          <w:sz w:val="24"/>
          <w:szCs w:val="24"/>
        </w:rPr>
        <w:t xml:space="preserve"> risque opérationnel provient de l’incompétence du personnel, de la défaillance des processus ou de la technologie. A cause de la complexité de ce risque, il est difficile de le quantifier. La plupart des techniques de mesure</w:t>
      </w:r>
      <w:r w:rsidR="002760B2" w:rsidRPr="002B005F">
        <w:rPr>
          <w:rFonts w:ascii="Times New Roman" w:hAnsi="Times New Roman" w:cs="Times New Roman"/>
          <w:sz w:val="24"/>
          <w:szCs w:val="24"/>
        </w:rPr>
        <w:t xml:space="preserve"> de ce risque sont simples. Cependant, les banques peuvent rassembler des informations sur les différents risques dans des rapports et plans publiés au sein de l’institution. Une réunion minutieuse de ces rapports peut dégager les insuffisances qui peuvent créer des risques dans l’avenir. Des instruments pour l’évaluation, la surveillance et la gestion de ce type de risque comprennent </w:t>
      </w:r>
      <w:r w:rsidR="009F5DE1" w:rsidRPr="002B005F">
        <w:rPr>
          <w:rFonts w:ascii="Times New Roman" w:hAnsi="Times New Roman" w:cs="Times New Roman"/>
          <w:sz w:val="24"/>
          <w:szCs w:val="24"/>
        </w:rPr>
        <w:t xml:space="preserve">des révisions périodiques, des </w:t>
      </w:r>
      <w:r w:rsidR="009F5DE1" w:rsidRPr="006F52A0">
        <w:rPr>
          <w:rFonts w:ascii="Times New Roman" w:hAnsi="Times New Roman" w:cs="Times New Roman"/>
          <w:i/>
          <w:iCs/>
          <w:sz w:val="24"/>
          <w:szCs w:val="24"/>
        </w:rPr>
        <w:t>s</w:t>
      </w:r>
      <w:r w:rsidR="002760B2" w:rsidRPr="006F52A0">
        <w:rPr>
          <w:rFonts w:ascii="Times New Roman" w:hAnsi="Times New Roman" w:cs="Times New Roman"/>
          <w:i/>
          <w:iCs/>
          <w:sz w:val="24"/>
          <w:szCs w:val="24"/>
        </w:rPr>
        <w:t>tress</w:t>
      </w:r>
      <w:r w:rsidR="009F30C9">
        <w:rPr>
          <w:rFonts w:ascii="Times New Roman" w:hAnsi="Times New Roman" w:cs="Times New Roman"/>
          <w:i/>
          <w:iCs/>
          <w:sz w:val="24"/>
          <w:szCs w:val="24"/>
        </w:rPr>
        <w:t xml:space="preserve"> </w:t>
      </w:r>
      <w:r w:rsidR="002760B2" w:rsidRPr="006F52A0">
        <w:rPr>
          <w:rFonts w:ascii="Times New Roman" w:hAnsi="Times New Roman" w:cs="Times New Roman"/>
          <w:i/>
          <w:iCs/>
          <w:sz w:val="24"/>
          <w:szCs w:val="24"/>
        </w:rPr>
        <w:t>testing</w:t>
      </w:r>
      <w:r w:rsidR="002760B2" w:rsidRPr="002B005F">
        <w:rPr>
          <w:rFonts w:ascii="Times New Roman" w:hAnsi="Times New Roman" w:cs="Times New Roman"/>
          <w:sz w:val="24"/>
          <w:szCs w:val="24"/>
        </w:rPr>
        <w:t xml:space="preserve"> et l’allocation d’une somme d’argent appropriée pour contenir la situation.</w:t>
      </w:r>
    </w:p>
    <w:p w14:paraId="20169B4C" w14:textId="77777777" w:rsidR="002760B2" w:rsidRPr="002B005F" w:rsidRDefault="00F1476E" w:rsidP="00C86447">
      <w:pPr>
        <w:tabs>
          <w:tab w:val="left" w:pos="0"/>
        </w:tabs>
        <w:suppressAutoHyphens/>
        <w:autoSpaceDE w:val="0"/>
        <w:autoSpaceDN w:val="0"/>
        <w:adjustRightInd w:val="0"/>
        <w:spacing w:before="120" w:line="300" w:lineRule="auto"/>
        <w:ind w:firstLine="709"/>
        <w:rPr>
          <w:rFonts w:ascii="Times New Roman" w:hAnsi="Times New Roman" w:cs="Times New Roman"/>
          <w:sz w:val="24"/>
          <w:szCs w:val="24"/>
        </w:rPr>
      </w:pPr>
      <w:r>
        <w:rPr>
          <w:rFonts w:ascii="Times New Roman" w:hAnsi="Times New Roman" w:cs="Times New Roman"/>
          <w:sz w:val="24"/>
          <w:szCs w:val="24"/>
        </w:rPr>
        <w:t>Dans le cadre de la gestion du</w:t>
      </w:r>
      <w:r w:rsidR="002760B2" w:rsidRPr="002B005F">
        <w:rPr>
          <w:rFonts w:ascii="Times New Roman" w:hAnsi="Times New Roman" w:cs="Times New Roman"/>
          <w:sz w:val="24"/>
          <w:szCs w:val="24"/>
        </w:rPr>
        <w:t xml:space="preserve"> risque opérationnel, les banques doivent renforcer l’environnement global du contrôle interne et intégrer la nouvelle technologie pour exécuter les différentes opérations</w:t>
      </w:r>
      <w:r w:rsidR="009F30C9" w:rsidRPr="00F1476E">
        <w:rPr>
          <w:rFonts w:ascii="Times New Roman" w:hAnsi="Times New Roman" w:cs="Times New Roman"/>
          <w:sz w:val="24"/>
          <w:szCs w:val="24"/>
        </w:rPr>
        <w:t>. Il s’agit notamment de</w:t>
      </w:r>
      <w:r w:rsidR="002760B2" w:rsidRPr="00F1476E">
        <w:rPr>
          <w:rFonts w:ascii="Times New Roman" w:hAnsi="Times New Roman" w:cs="Times New Roman"/>
          <w:sz w:val="24"/>
          <w:szCs w:val="24"/>
        </w:rPr>
        <w:t xml:space="preserve"> la</w:t>
      </w:r>
      <w:r w:rsidR="002760B2" w:rsidRPr="002B005F">
        <w:rPr>
          <w:rFonts w:ascii="Times New Roman" w:hAnsi="Times New Roman" w:cs="Times New Roman"/>
          <w:sz w:val="24"/>
          <w:szCs w:val="24"/>
        </w:rPr>
        <w:t xml:space="preserve"> consolidation de l’ensemble des activités de traitement des transactions dans un logiciel unique pour la banque, </w:t>
      </w:r>
      <w:r w:rsidR="009F30C9">
        <w:rPr>
          <w:rFonts w:ascii="Times New Roman" w:hAnsi="Times New Roman" w:cs="Times New Roman"/>
          <w:sz w:val="24"/>
          <w:szCs w:val="24"/>
        </w:rPr>
        <w:t xml:space="preserve">de </w:t>
      </w:r>
      <w:r w:rsidR="002760B2" w:rsidRPr="002B005F">
        <w:rPr>
          <w:rFonts w:ascii="Times New Roman" w:hAnsi="Times New Roman" w:cs="Times New Roman"/>
          <w:sz w:val="24"/>
          <w:szCs w:val="24"/>
        </w:rPr>
        <w:t>la mise en œuvre d’un important système d’archivage et de recherche de documents qui permet de récupérer les informations à n’importe quel moment.</w:t>
      </w:r>
    </w:p>
    <w:p w14:paraId="1E506603" w14:textId="77777777" w:rsidR="002760B2" w:rsidRPr="00072BEE" w:rsidRDefault="00265E19" w:rsidP="00C86447">
      <w:pPr>
        <w:pStyle w:val="Titre3"/>
        <w:keepNext w:val="0"/>
        <w:keepLines w:val="0"/>
        <w:suppressAutoHyphens/>
        <w:spacing w:before="100" w:beforeAutospacing="1" w:after="100" w:afterAutospacing="1"/>
        <w:ind w:firstLine="709"/>
        <w:rPr>
          <w:sz w:val="28"/>
          <w:szCs w:val="28"/>
        </w:rPr>
      </w:pPr>
      <w:bookmarkStart w:id="916" w:name="_Toc33263308"/>
      <w:bookmarkStart w:id="917" w:name="_Toc37664571"/>
      <w:bookmarkStart w:id="918" w:name="_Toc37666416"/>
      <w:bookmarkStart w:id="919" w:name="_Toc54363305"/>
      <w:bookmarkStart w:id="920" w:name="_Toc58606301"/>
      <w:bookmarkStart w:id="921" w:name="_Toc61263506"/>
      <w:bookmarkStart w:id="922" w:name="_Toc182298752"/>
      <w:r w:rsidRPr="00072BEE">
        <w:rPr>
          <w:sz w:val="28"/>
          <w:szCs w:val="28"/>
        </w:rPr>
        <w:t xml:space="preserve">2.6- </w:t>
      </w:r>
      <w:r w:rsidR="002760B2" w:rsidRPr="00072BEE">
        <w:rPr>
          <w:sz w:val="28"/>
          <w:szCs w:val="28"/>
        </w:rPr>
        <w:t>Contrôle des banques et réglementation prudentielle</w:t>
      </w:r>
      <w:bookmarkEnd w:id="916"/>
      <w:bookmarkEnd w:id="917"/>
      <w:bookmarkEnd w:id="918"/>
      <w:bookmarkEnd w:id="919"/>
      <w:bookmarkEnd w:id="920"/>
      <w:bookmarkEnd w:id="921"/>
      <w:bookmarkEnd w:id="922"/>
    </w:p>
    <w:p w14:paraId="0D664BCC" w14:textId="77777777" w:rsidR="002760B2" w:rsidRPr="002B005F" w:rsidRDefault="002760B2" w:rsidP="00C86447">
      <w:pPr>
        <w:tabs>
          <w:tab w:val="left" w:pos="0"/>
        </w:tabs>
        <w:suppressAutoHyphens/>
        <w:autoSpaceDE w:val="0"/>
        <w:autoSpaceDN w:val="0"/>
        <w:adjustRightInd w:val="0"/>
        <w:spacing w:before="120" w:line="300" w:lineRule="auto"/>
        <w:ind w:firstLine="709"/>
        <w:rPr>
          <w:rFonts w:ascii="Times New Roman" w:hAnsi="Times New Roman" w:cs="Times New Roman"/>
          <w:spacing w:val="-4"/>
          <w:sz w:val="24"/>
          <w:szCs w:val="24"/>
        </w:rPr>
      </w:pPr>
      <w:r w:rsidRPr="002B005F">
        <w:rPr>
          <w:rFonts w:ascii="Times New Roman" w:hAnsi="Times New Roman" w:cs="Times New Roman"/>
          <w:spacing w:val="-4"/>
          <w:sz w:val="24"/>
          <w:szCs w:val="24"/>
        </w:rPr>
        <w:t>L’évolution des pratiques bancaires a poussé les autorités de tutelle à créer de nouvelles normes et réglementations qui visent à surveiller le travail des banques et assur</w:t>
      </w:r>
      <w:r w:rsidRPr="00F1476E">
        <w:rPr>
          <w:rFonts w:ascii="Times New Roman" w:hAnsi="Times New Roman" w:cs="Times New Roman"/>
          <w:spacing w:val="-4"/>
          <w:sz w:val="24"/>
          <w:szCs w:val="24"/>
        </w:rPr>
        <w:t>e</w:t>
      </w:r>
      <w:r w:rsidR="009F30C9" w:rsidRPr="00F1476E">
        <w:rPr>
          <w:rFonts w:ascii="Times New Roman" w:hAnsi="Times New Roman" w:cs="Times New Roman"/>
          <w:spacing w:val="-4"/>
          <w:sz w:val="24"/>
          <w:szCs w:val="24"/>
        </w:rPr>
        <w:t>r</w:t>
      </w:r>
      <w:r w:rsidRPr="002B005F">
        <w:rPr>
          <w:rFonts w:ascii="Times New Roman" w:hAnsi="Times New Roman" w:cs="Times New Roman"/>
          <w:spacing w:val="-4"/>
          <w:sz w:val="24"/>
          <w:szCs w:val="24"/>
        </w:rPr>
        <w:t xml:space="preserve"> la stabilité du système</w:t>
      </w:r>
      <w:r w:rsidR="00F1476E">
        <w:rPr>
          <w:rFonts w:ascii="Times New Roman" w:hAnsi="Times New Roman" w:cs="Times New Roman"/>
          <w:spacing w:val="-4"/>
          <w:sz w:val="24"/>
          <w:szCs w:val="24"/>
        </w:rPr>
        <w:t xml:space="preserve"> financier. Nous allons traiter, par la suite, </w:t>
      </w:r>
      <w:r w:rsidRPr="002B005F">
        <w:rPr>
          <w:rFonts w:ascii="Times New Roman" w:hAnsi="Times New Roman" w:cs="Times New Roman"/>
          <w:spacing w:val="-4"/>
          <w:sz w:val="24"/>
          <w:szCs w:val="24"/>
        </w:rPr>
        <w:t>les moyens de contrôle et de réglementation des banques afin de réduire les risques encourus par ces dernières.</w:t>
      </w:r>
    </w:p>
    <w:p w14:paraId="28768842" w14:textId="77777777" w:rsidR="002760B2" w:rsidRPr="002B005F" w:rsidRDefault="00265E19" w:rsidP="00C86447">
      <w:pPr>
        <w:pStyle w:val="Titre4"/>
        <w:keepNext w:val="0"/>
        <w:suppressAutoHyphens/>
        <w:spacing w:before="120" w:after="120" w:line="300" w:lineRule="auto"/>
        <w:ind w:firstLine="709"/>
      </w:pPr>
      <w:bookmarkStart w:id="923" w:name="_Toc33263309"/>
      <w:bookmarkStart w:id="924" w:name="_Toc37664572"/>
      <w:bookmarkStart w:id="925" w:name="_Toc37666417"/>
      <w:bookmarkStart w:id="926" w:name="_Toc54363306"/>
      <w:bookmarkStart w:id="927" w:name="_Toc58606302"/>
      <w:bookmarkStart w:id="928" w:name="_Toc61263507"/>
      <w:bookmarkStart w:id="929" w:name="_Toc182298753"/>
      <w:r>
        <w:t xml:space="preserve">2.6.1- </w:t>
      </w:r>
      <w:r w:rsidR="002760B2" w:rsidRPr="002B005F">
        <w:t>Contrôle des banques</w:t>
      </w:r>
      <w:bookmarkEnd w:id="923"/>
      <w:bookmarkEnd w:id="924"/>
      <w:bookmarkEnd w:id="925"/>
      <w:bookmarkEnd w:id="926"/>
      <w:bookmarkEnd w:id="927"/>
      <w:bookmarkEnd w:id="928"/>
      <w:bookmarkEnd w:id="929"/>
    </w:p>
    <w:p w14:paraId="665619D3" w14:textId="77777777" w:rsidR="002760B2" w:rsidRPr="00F1476E" w:rsidRDefault="002760B2" w:rsidP="00C86447">
      <w:pPr>
        <w:tabs>
          <w:tab w:val="left" w:pos="0"/>
        </w:tabs>
        <w:suppressAutoHyphen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Pour garantir une gestion saine et prudente </w:t>
      </w:r>
      <w:r w:rsidRPr="00F1476E">
        <w:rPr>
          <w:rFonts w:ascii="Times New Roman" w:hAnsi="Times New Roman" w:cs="Times New Roman"/>
          <w:sz w:val="24"/>
          <w:szCs w:val="24"/>
        </w:rPr>
        <w:t>de</w:t>
      </w:r>
      <w:r w:rsidR="00AC520D" w:rsidRPr="00F1476E">
        <w:rPr>
          <w:rFonts w:ascii="Times New Roman" w:hAnsi="Times New Roman" w:cs="Times New Roman"/>
          <w:sz w:val="24"/>
          <w:szCs w:val="24"/>
        </w:rPr>
        <w:t xml:space="preserve"> leurs</w:t>
      </w:r>
      <w:r w:rsidRPr="00F1476E">
        <w:rPr>
          <w:rFonts w:ascii="Times New Roman" w:hAnsi="Times New Roman" w:cs="Times New Roman"/>
          <w:sz w:val="24"/>
          <w:szCs w:val="24"/>
        </w:rPr>
        <w:t xml:space="preserve"> activités, les banques doivent mettre en place un système de contrôle qui veille sur toutes les entités de l’établissement. Ce système comprend deux volets : </w:t>
      </w:r>
      <w:r w:rsidR="00AC520D" w:rsidRPr="00F1476E">
        <w:rPr>
          <w:rFonts w:ascii="Times New Roman" w:hAnsi="Times New Roman" w:cs="Times New Roman"/>
          <w:sz w:val="24"/>
          <w:szCs w:val="24"/>
        </w:rPr>
        <w:t xml:space="preserve">un </w:t>
      </w:r>
      <w:r w:rsidRPr="00F1476E">
        <w:rPr>
          <w:rFonts w:ascii="Times New Roman" w:hAnsi="Times New Roman" w:cs="Times New Roman"/>
          <w:sz w:val="24"/>
          <w:szCs w:val="24"/>
        </w:rPr>
        <w:t xml:space="preserve">contrôle interne et </w:t>
      </w:r>
      <w:r w:rsidR="00AC520D" w:rsidRPr="00F1476E">
        <w:rPr>
          <w:rFonts w:ascii="Times New Roman" w:hAnsi="Times New Roman" w:cs="Times New Roman"/>
          <w:sz w:val="24"/>
          <w:szCs w:val="24"/>
        </w:rPr>
        <w:t xml:space="preserve">un </w:t>
      </w:r>
      <w:r w:rsidRPr="00F1476E">
        <w:rPr>
          <w:rFonts w:ascii="Times New Roman" w:hAnsi="Times New Roman" w:cs="Times New Roman"/>
          <w:sz w:val="24"/>
          <w:szCs w:val="24"/>
        </w:rPr>
        <w:t>contrôle externe.</w:t>
      </w:r>
    </w:p>
    <w:p w14:paraId="1029A94B" w14:textId="77777777" w:rsidR="002760B2" w:rsidRPr="00072BEE" w:rsidRDefault="00150AAB" w:rsidP="00C86447">
      <w:pPr>
        <w:pStyle w:val="Titre5"/>
        <w:keepNext w:val="0"/>
        <w:keepLines w:val="0"/>
        <w:suppressAutoHyphens/>
        <w:spacing w:before="120" w:after="120" w:line="300" w:lineRule="auto"/>
        <w:ind w:firstLine="709"/>
        <w:rPr>
          <w:rFonts w:asciiTheme="majorBidi" w:hAnsiTheme="majorBidi"/>
          <w:b/>
          <w:bCs/>
          <w:color w:val="auto"/>
          <w:sz w:val="24"/>
          <w:szCs w:val="24"/>
        </w:rPr>
      </w:pPr>
      <w:bookmarkStart w:id="930" w:name="_Toc182298754"/>
      <w:r w:rsidRPr="00072BEE">
        <w:rPr>
          <w:rFonts w:asciiTheme="majorBidi" w:hAnsiTheme="majorBidi"/>
          <w:b/>
          <w:bCs/>
          <w:color w:val="auto"/>
          <w:sz w:val="24"/>
          <w:szCs w:val="24"/>
        </w:rPr>
        <w:t xml:space="preserve">2.6.1.1- </w:t>
      </w:r>
      <w:r w:rsidR="002760B2" w:rsidRPr="00072BEE">
        <w:rPr>
          <w:rFonts w:asciiTheme="majorBidi" w:hAnsiTheme="majorBidi"/>
          <w:b/>
          <w:bCs/>
          <w:color w:val="auto"/>
          <w:sz w:val="24"/>
          <w:szCs w:val="24"/>
        </w:rPr>
        <w:t>Contrôle interne</w:t>
      </w:r>
      <w:bookmarkEnd w:id="930"/>
    </w:p>
    <w:p w14:paraId="29505C78" w14:textId="77777777" w:rsidR="002760B2" w:rsidRPr="002B005F" w:rsidRDefault="002760B2" w:rsidP="00C86447">
      <w:pPr>
        <w:pStyle w:val="Paragraphedeliste"/>
        <w:tabs>
          <w:tab w:val="left" w:pos="0"/>
        </w:tabs>
        <w:suppressAutoHyphens/>
        <w:autoSpaceDE w:val="0"/>
        <w:autoSpaceDN w:val="0"/>
        <w:adjustRightInd w:val="0"/>
        <w:spacing w:before="120" w:line="300" w:lineRule="auto"/>
        <w:ind w:left="0" w:firstLine="709"/>
        <w:contextualSpacing w:val="0"/>
        <w:rPr>
          <w:rFonts w:ascii="Times New Roman" w:hAnsi="Times New Roman" w:cs="Times New Roman"/>
          <w:sz w:val="24"/>
          <w:szCs w:val="24"/>
        </w:rPr>
      </w:pPr>
      <w:r w:rsidRPr="00F1476E">
        <w:rPr>
          <w:rFonts w:ascii="Times New Roman" w:hAnsi="Times New Roman" w:cs="Times New Roman"/>
          <w:sz w:val="24"/>
          <w:szCs w:val="24"/>
        </w:rPr>
        <w:t xml:space="preserve">Dans le but de réduire les risques et optimiser la rentabilité, les autorités de contrôle bancaire </w:t>
      </w:r>
      <w:r w:rsidR="00AC520D" w:rsidRPr="00F1476E">
        <w:rPr>
          <w:rFonts w:ascii="Times New Roman" w:hAnsi="Times New Roman" w:cs="Times New Roman"/>
          <w:sz w:val="24"/>
          <w:szCs w:val="24"/>
        </w:rPr>
        <w:t xml:space="preserve">de plusieurs pays du monde </w:t>
      </w:r>
      <w:r w:rsidRPr="00F1476E">
        <w:rPr>
          <w:rFonts w:ascii="Times New Roman" w:hAnsi="Times New Roman" w:cs="Times New Roman"/>
          <w:sz w:val="24"/>
          <w:szCs w:val="24"/>
        </w:rPr>
        <w:t>ont généralisé pour tous les établissements bancaires l’obligation de se doter d’un système de contrôle interne don</w:t>
      </w:r>
      <w:r w:rsidRPr="002B005F">
        <w:rPr>
          <w:rFonts w:ascii="Times New Roman" w:hAnsi="Times New Roman" w:cs="Times New Roman"/>
          <w:sz w:val="24"/>
          <w:szCs w:val="24"/>
        </w:rPr>
        <w:t>t les objectifs essentiels sont</w:t>
      </w:r>
      <w:r w:rsidRPr="002B005F">
        <w:rPr>
          <w:rStyle w:val="Appelnotedebasdep"/>
          <w:rFonts w:ascii="Times New Roman" w:hAnsi="Times New Roman"/>
          <w:sz w:val="24"/>
          <w:szCs w:val="24"/>
        </w:rPr>
        <w:footnoteReference w:id="220"/>
      </w:r>
      <w:r w:rsidR="00782E8E" w:rsidRPr="002B005F">
        <w:rPr>
          <w:rFonts w:ascii="Times New Roman" w:hAnsi="Times New Roman" w:cs="Times New Roman"/>
          <w:sz w:val="24"/>
          <w:szCs w:val="24"/>
        </w:rPr>
        <w:t> :</w:t>
      </w:r>
    </w:p>
    <w:p w14:paraId="0AF8203E" w14:textId="77777777" w:rsidR="002760B2" w:rsidRPr="002B005F" w:rsidRDefault="002760B2" w:rsidP="00CB0FF1">
      <w:pPr>
        <w:pStyle w:val="Paragraphedeliste"/>
        <w:numPr>
          <w:ilvl w:val="0"/>
          <w:numId w:val="11"/>
        </w:numPr>
        <w:tabs>
          <w:tab w:val="left" w:pos="851"/>
          <w:tab w:val="left" w:pos="1134"/>
        </w:tabs>
        <w:suppressAutoHyphens/>
        <w:autoSpaceDE w:val="0"/>
        <w:autoSpaceDN w:val="0"/>
        <w:adjustRightInd w:val="0"/>
        <w:spacing w:line="300" w:lineRule="auto"/>
        <w:ind w:left="851" w:firstLine="0"/>
        <w:contextualSpacing w:val="0"/>
        <w:rPr>
          <w:rFonts w:ascii="Times New Roman" w:hAnsi="Times New Roman" w:cs="Times New Roman"/>
          <w:spacing w:val="-6"/>
          <w:sz w:val="24"/>
          <w:szCs w:val="24"/>
        </w:rPr>
      </w:pPr>
      <w:r w:rsidRPr="002B005F">
        <w:rPr>
          <w:rFonts w:ascii="Times New Roman" w:hAnsi="Times New Roman" w:cs="Times New Roman"/>
          <w:spacing w:val="-6"/>
          <w:sz w:val="24"/>
          <w:szCs w:val="24"/>
        </w:rPr>
        <w:t>La vérification de la conformité des opérations de l’organisation et des procédures ;</w:t>
      </w:r>
    </w:p>
    <w:p w14:paraId="6BF9AA49" w14:textId="77777777" w:rsidR="002760B2" w:rsidRPr="002B005F" w:rsidRDefault="002760B2" w:rsidP="00CB0FF1">
      <w:pPr>
        <w:pStyle w:val="Paragraphedeliste"/>
        <w:numPr>
          <w:ilvl w:val="0"/>
          <w:numId w:val="11"/>
        </w:numPr>
        <w:tabs>
          <w:tab w:val="left" w:pos="851"/>
          <w:tab w:val="left" w:pos="1134"/>
        </w:tabs>
        <w:suppressAutoHyphens/>
        <w:autoSpaceDE w:val="0"/>
        <w:autoSpaceDN w:val="0"/>
        <w:adjustRightInd w:val="0"/>
        <w:spacing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Le contrôle du respect des procédures et prises de risque ;</w:t>
      </w:r>
    </w:p>
    <w:p w14:paraId="6406A276" w14:textId="77777777" w:rsidR="002760B2" w:rsidRPr="002B005F" w:rsidRDefault="002760B2" w:rsidP="00CB0FF1">
      <w:pPr>
        <w:pStyle w:val="Paragraphedeliste"/>
        <w:numPr>
          <w:ilvl w:val="0"/>
          <w:numId w:val="11"/>
        </w:numPr>
        <w:tabs>
          <w:tab w:val="left" w:pos="851"/>
          <w:tab w:val="left" w:pos="1134"/>
        </w:tabs>
        <w:suppressAutoHyphens/>
        <w:autoSpaceDE w:val="0"/>
        <w:autoSpaceDN w:val="0"/>
        <w:adjustRightInd w:val="0"/>
        <w:spacing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lastRenderedPageBreak/>
        <w:t>La vérification de la qualité de l’information comptable et financière ;</w:t>
      </w:r>
    </w:p>
    <w:p w14:paraId="6D937117" w14:textId="77777777" w:rsidR="002760B2" w:rsidRPr="002B005F" w:rsidRDefault="002760B2" w:rsidP="00CB0FF1">
      <w:pPr>
        <w:pStyle w:val="Paragraphedeliste"/>
        <w:numPr>
          <w:ilvl w:val="0"/>
          <w:numId w:val="11"/>
        </w:numPr>
        <w:tabs>
          <w:tab w:val="left" w:pos="851"/>
          <w:tab w:val="left" w:pos="1134"/>
        </w:tabs>
        <w:suppressAutoHyphens/>
        <w:autoSpaceDE w:val="0"/>
        <w:autoSpaceDN w:val="0"/>
        <w:adjustRightInd w:val="0"/>
        <w:spacing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La vérification du respect des normes et usages professionnels et déontologiques</w:t>
      </w:r>
    </w:p>
    <w:p w14:paraId="4C667298" w14:textId="77777777" w:rsidR="0001535E" w:rsidRPr="002B005F" w:rsidRDefault="002760B2" w:rsidP="00C86447">
      <w:pPr>
        <w:pStyle w:val="Paragraphedeliste"/>
        <w:tabs>
          <w:tab w:val="left" w:pos="0"/>
        </w:tabs>
        <w:suppressAutoHyphens/>
        <w:autoSpaceDE w:val="0"/>
        <w:autoSpaceDN w:val="0"/>
        <w:adjustRightInd w:val="0"/>
        <w:spacing w:before="100" w:beforeAutospacing="1" w:after="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Le contrôle interne est l’affaire de tous les organes et collaborateurs de la banque</w:t>
      </w:r>
      <w:r w:rsidR="00AC520D">
        <w:rPr>
          <w:rFonts w:ascii="Times New Roman" w:hAnsi="Times New Roman" w:cs="Times New Roman"/>
          <w:sz w:val="24"/>
          <w:szCs w:val="24"/>
        </w:rPr>
        <w:t>.</w:t>
      </w:r>
      <w:r w:rsidRPr="002B005F">
        <w:rPr>
          <w:rFonts w:ascii="Times New Roman" w:hAnsi="Times New Roman" w:cs="Times New Roman"/>
          <w:sz w:val="24"/>
          <w:szCs w:val="24"/>
        </w:rPr>
        <w:t xml:space="preserve"> </w:t>
      </w:r>
      <w:r w:rsidR="00AC520D" w:rsidRPr="002B005F">
        <w:rPr>
          <w:rFonts w:ascii="Times New Roman" w:hAnsi="Times New Roman" w:cs="Times New Roman"/>
          <w:sz w:val="24"/>
          <w:szCs w:val="24"/>
        </w:rPr>
        <w:t>C’est</w:t>
      </w:r>
      <w:r w:rsidRPr="002B005F">
        <w:rPr>
          <w:rFonts w:ascii="Times New Roman" w:hAnsi="Times New Roman" w:cs="Times New Roman"/>
          <w:sz w:val="24"/>
          <w:szCs w:val="24"/>
        </w:rPr>
        <w:t xml:space="preserve"> un système à trois niveaux</w:t>
      </w:r>
      <w:r w:rsidRPr="002B005F">
        <w:rPr>
          <w:rStyle w:val="Appelnotedebasdep"/>
          <w:rFonts w:ascii="Times New Roman" w:hAnsi="Times New Roman"/>
          <w:sz w:val="24"/>
          <w:szCs w:val="24"/>
        </w:rPr>
        <w:footnoteReference w:id="221"/>
      </w:r>
      <w:r w:rsidR="00782E8E"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(voir la </w:t>
      </w:r>
      <w:r w:rsidRPr="00F1476E">
        <w:rPr>
          <w:rFonts w:ascii="Times New Roman" w:hAnsi="Times New Roman" w:cs="Times New Roman"/>
          <w:sz w:val="24"/>
          <w:szCs w:val="24"/>
        </w:rPr>
        <w:t xml:space="preserve">figure </w:t>
      </w:r>
      <w:r w:rsidR="00CC4B99" w:rsidRPr="00F1476E">
        <w:rPr>
          <w:rFonts w:ascii="Times New Roman" w:hAnsi="Times New Roman" w:cs="Times New Roman"/>
          <w:b/>
          <w:bCs/>
          <w:sz w:val="24"/>
          <w:szCs w:val="24"/>
        </w:rPr>
        <w:t>22</w:t>
      </w:r>
      <w:r w:rsidR="00782E8E" w:rsidRPr="00F1476E">
        <w:rPr>
          <w:rFonts w:ascii="Times New Roman" w:hAnsi="Times New Roman" w:cs="Times New Roman"/>
          <w:sz w:val="24"/>
          <w:szCs w:val="24"/>
        </w:rPr>
        <w:t>) :</w:t>
      </w:r>
    </w:p>
    <w:p w14:paraId="11471926" w14:textId="77777777" w:rsidR="002760B2" w:rsidRPr="002B005F" w:rsidRDefault="002760B2" w:rsidP="00CB0FF1">
      <w:pPr>
        <w:pStyle w:val="Paragraphedeliste"/>
        <w:numPr>
          <w:ilvl w:val="0"/>
          <w:numId w:val="56"/>
        </w:numPr>
        <w:tabs>
          <w:tab w:val="left" w:pos="851"/>
        </w:tabs>
        <w:suppressAutoHyphens/>
        <w:autoSpaceDE w:val="0"/>
        <w:autoSpaceDN w:val="0"/>
        <w:adjustRightInd w:val="0"/>
        <w:spacing w:before="120" w:line="300" w:lineRule="auto"/>
        <w:ind w:left="1349" w:hanging="357"/>
        <w:contextualSpacing w:val="0"/>
        <w:rPr>
          <w:rFonts w:ascii="Times New Roman" w:hAnsi="Times New Roman" w:cs="Times New Roman"/>
          <w:spacing w:val="-4"/>
          <w:sz w:val="24"/>
          <w:szCs w:val="24"/>
        </w:rPr>
      </w:pPr>
      <w:r w:rsidRPr="002B005F">
        <w:rPr>
          <w:rFonts w:ascii="Times New Roman" w:hAnsi="Times New Roman" w:cs="Times New Roman"/>
          <w:b/>
          <w:bCs/>
          <w:spacing w:val="-4"/>
          <w:sz w:val="24"/>
          <w:szCs w:val="24"/>
        </w:rPr>
        <w:t>Le contrôle du 1</w:t>
      </w:r>
      <w:r w:rsidRPr="002B005F">
        <w:rPr>
          <w:rFonts w:ascii="Times New Roman" w:hAnsi="Times New Roman" w:cs="Times New Roman"/>
          <w:b/>
          <w:bCs/>
          <w:spacing w:val="-4"/>
          <w:sz w:val="24"/>
          <w:szCs w:val="24"/>
          <w:vertAlign w:val="superscript"/>
        </w:rPr>
        <w:t>er</w:t>
      </w:r>
      <w:r w:rsidRPr="002B005F">
        <w:rPr>
          <w:rFonts w:ascii="Times New Roman" w:hAnsi="Times New Roman" w:cs="Times New Roman"/>
          <w:b/>
          <w:bCs/>
          <w:spacing w:val="-4"/>
          <w:sz w:val="24"/>
          <w:szCs w:val="24"/>
        </w:rPr>
        <w:t xml:space="preserve"> niveau :</w:t>
      </w:r>
      <w:r w:rsidRPr="002B005F">
        <w:rPr>
          <w:rFonts w:ascii="Times New Roman" w:hAnsi="Times New Roman" w:cs="Times New Roman"/>
          <w:spacing w:val="-4"/>
          <w:sz w:val="24"/>
          <w:szCs w:val="24"/>
        </w:rPr>
        <w:t xml:space="preserve"> </w:t>
      </w:r>
      <w:r w:rsidR="00AC520D">
        <w:rPr>
          <w:rFonts w:ascii="Times New Roman" w:hAnsi="Times New Roman" w:cs="Times New Roman"/>
          <w:spacing w:val="-4"/>
          <w:sz w:val="24"/>
          <w:szCs w:val="24"/>
        </w:rPr>
        <w:t>i</w:t>
      </w:r>
      <w:r w:rsidRPr="002B005F">
        <w:rPr>
          <w:rFonts w:ascii="Times New Roman" w:hAnsi="Times New Roman" w:cs="Times New Roman"/>
          <w:spacing w:val="-4"/>
          <w:sz w:val="24"/>
          <w:szCs w:val="24"/>
        </w:rPr>
        <w:t>l vérifie la bonne application des règles définies par la fonction Risques ou la fonction Conformité. Il corresp</w:t>
      </w:r>
      <w:r w:rsidR="00782E8E" w:rsidRPr="002B005F">
        <w:rPr>
          <w:rFonts w:ascii="Times New Roman" w:hAnsi="Times New Roman" w:cs="Times New Roman"/>
          <w:spacing w:val="-4"/>
          <w:sz w:val="24"/>
          <w:szCs w:val="24"/>
        </w:rPr>
        <w:t>ond aux contrôles opérationnels</w:t>
      </w:r>
      <w:r w:rsidRPr="002B005F">
        <w:rPr>
          <w:rFonts w:ascii="Times New Roman" w:hAnsi="Times New Roman" w:cs="Times New Roman"/>
          <w:spacing w:val="-4"/>
          <w:sz w:val="24"/>
          <w:szCs w:val="24"/>
        </w:rPr>
        <w:t xml:space="preserve"> c’est-à-dire l’application des règles telles que définies par les fonctions en charge de l’application de la politique de ma</w:t>
      </w:r>
      <w:r w:rsidR="00AC520D">
        <w:rPr>
          <w:rFonts w:ascii="Times New Roman" w:hAnsi="Times New Roman" w:cs="Times New Roman"/>
          <w:spacing w:val="-4"/>
          <w:sz w:val="24"/>
          <w:szCs w:val="24"/>
        </w:rPr>
        <w:t>î</w:t>
      </w:r>
      <w:r w:rsidRPr="002B005F">
        <w:rPr>
          <w:rFonts w:ascii="Times New Roman" w:hAnsi="Times New Roman" w:cs="Times New Roman"/>
          <w:spacing w:val="-4"/>
          <w:sz w:val="24"/>
          <w:szCs w:val="24"/>
        </w:rPr>
        <w:t>trise et de surveillance des risques.</w:t>
      </w:r>
    </w:p>
    <w:p w14:paraId="6F9C77CE" w14:textId="77777777" w:rsidR="002760B2" w:rsidRPr="002B005F" w:rsidRDefault="002760B2" w:rsidP="00CB0FF1">
      <w:pPr>
        <w:pStyle w:val="Paragraphedeliste"/>
        <w:numPr>
          <w:ilvl w:val="0"/>
          <w:numId w:val="56"/>
        </w:numPr>
        <w:tabs>
          <w:tab w:val="left" w:pos="851"/>
        </w:tabs>
        <w:suppressAutoHyphens/>
        <w:autoSpaceDE w:val="0"/>
        <w:autoSpaceDN w:val="0"/>
        <w:adjustRightInd w:val="0"/>
        <w:spacing w:before="120" w:line="300" w:lineRule="auto"/>
        <w:ind w:left="1349" w:hanging="357"/>
        <w:contextualSpacing w:val="0"/>
        <w:rPr>
          <w:rFonts w:ascii="Times New Roman" w:hAnsi="Times New Roman" w:cs="Times New Roman"/>
          <w:sz w:val="24"/>
          <w:szCs w:val="24"/>
        </w:rPr>
      </w:pPr>
      <w:r w:rsidRPr="002B005F">
        <w:rPr>
          <w:rFonts w:ascii="Times New Roman" w:hAnsi="Times New Roman" w:cs="Times New Roman"/>
          <w:b/>
          <w:bCs/>
          <w:sz w:val="24"/>
          <w:szCs w:val="24"/>
        </w:rPr>
        <w:t>Le contrôle de 2</w:t>
      </w:r>
      <w:r w:rsidRPr="002B005F">
        <w:rPr>
          <w:rFonts w:ascii="Times New Roman" w:hAnsi="Times New Roman" w:cs="Times New Roman"/>
          <w:b/>
          <w:bCs/>
          <w:sz w:val="24"/>
          <w:szCs w:val="24"/>
          <w:vertAlign w:val="superscript"/>
        </w:rPr>
        <w:t>ème</w:t>
      </w:r>
      <w:r w:rsidRPr="002B005F">
        <w:rPr>
          <w:rFonts w:ascii="Times New Roman" w:hAnsi="Times New Roman" w:cs="Times New Roman"/>
          <w:b/>
          <w:bCs/>
          <w:sz w:val="24"/>
          <w:szCs w:val="24"/>
        </w:rPr>
        <w:t xml:space="preserve"> niveau :</w:t>
      </w:r>
      <w:r w:rsidRPr="002B005F">
        <w:rPr>
          <w:rFonts w:ascii="Times New Roman" w:hAnsi="Times New Roman" w:cs="Times New Roman"/>
          <w:sz w:val="24"/>
          <w:szCs w:val="24"/>
        </w:rPr>
        <w:t xml:space="preserve"> </w:t>
      </w:r>
      <w:r w:rsidR="00AC520D">
        <w:rPr>
          <w:rFonts w:ascii="Times New Roman" w:hAnsi="Times New Roman" w:cs="Times New Roman"/>
          <w:sz w:val="24"/>
          <w:szCs w:val="24"/>
        </w:rPr>
        <w:t>l</w:t>
      </w:r>
      <w:r w:rsidRPr="002B005F">
        <w:rPr>
          <w:rFonts w:ascii="Times New Roman" w:hAnsi="Times New Roman" w:cs="Times New Roman"/>
          <w:sz w:val="24"/>
          <w:szCs w:val="24"/>
        </w:rPr>
        <w:t>es contrôleurs internes mettent en œuvre le plan de contrôle défini par le responsable du contrôle interne notamment à partir des zones de risque identifiées par les fonctions Risques.</w:t>
      </w:r>
    </w:p>
    <w:p w14:paraId="60AD1218" w14:textId="77777777" w:rsidR="002760B2" w:rsidRPr="002B005F" w:rsidRDefault="002760B2" w:rsidP="00CB0FF1">
      <w:pPr>
        <w:pStyle w:val="Paragraphedeliste"/>
        <w:numPr>
          <w:ilvl w:val="0"/>
          <w:numId w:val="56"/>
        </w:numPr>
        <w:tabs>
          <w:tab w:val="left" w:pos="851"/>
        </w:tabs>
        <w:suppressAutoHyphens/>
        <w:autoSpaceDE w:val="0"/>
        <w:autoSpaceDN w:val="0"/>
        <w:adjustRightInd w:val="0"/>
        <w:spacing w:before="120" w:line="300" w:lineRule="auto"/>
        <w:ind w:left="1349" w:hanging="357"/>
        <w:contextualSpacing w:val="0"/>
        <w:rPr>
          <w:rFonts w:ascii="Times New Roman" w:hAnsi="Times New Roman" w:cs="Times New Roman"/>
          <w:sz w:val="24"/>
          <w:szCs w:val="24"/>
          <w:u w:val="single"/>
        </w:rPr>
      </w:pPr>
      <w:r w:rsidRPr="002B005F">
        <w:rPr>
          <w:rFonts w:ascii="Times New Roman" w:hAnsi="Times New Roman" w:cs="Times New Roman"/>
          <w:b/>
          <w:bCs/>
          <w:sz w:val="24"/>
          <w:szCs w:val="24"/>
        </w:rPr>
        <w:t>Le contrôle de 3</w:t>
      </w:r>
      <w:r w:rsidRPr="002B005F">
        <w:rPr>
          <w:rFonts w:ascii="Times New Roman" w:hAnsi="Times New Roman" w:cs="Times New Roman"/>
          <w:b/>
          <w:bCs/>
          <w:sz w:val="24"/>
          <w:szCs w:val="24"/>
          <w:vertAlign w:val="superscript"/>
        </w:rPr>
        <w:t>ème</w:t>
      </w:r>
      <w:r w:rsidRPr="002B005F">
        <w:rPr>
          <w:rFonts w:ascii="Times New Roman" w:hAnsi="Times New Roman" w:cs="Times New Roman"/>
          <w:b/>
          <w:bCs/>
          <w:sz w:val="24"/>
          <w:szCs w:val="24"/>
        </w:rPr>
        <w:t xml:space="preserve"> niveau :</w:t>
      </w:r>
      <w:r w:rsidRPr="002B005F">
        <w:rPr>
          <w:rFonts w:ascii="Times New Roman" w:hAnsi="Times New Roman" w:cs="Times New Roman"/>
          <w:sz w:val="24"/>
          <w:szCs w:val="24"/>
        </w:rPr>
        <w:t xml:space="preserve"> </w:t>
      </w:r>
      <w:r w:rsidR="00AC520D" w:rsidRPr="00F1476E">
        <w:rPr>
          <w:rFonts w:ascii="Times New Roman" w:hAnsi="Times New Roman" w:cs="Times New Roman"/>
          <w:sz w:val="24"/>
          <w:szCs w:val="24"/>
        </w:rPr>
        <w:t>dans le cadre de ses missions</w:t>
      </w:r>
      <w:r w:rsidR="00AC520D">
        <w:rPr>
          <w:rFonts w:ascii="Times New Roman" w:hAnsi="Times New Roman" w:cs="Times New Roman"/>
          <w:sz w:val="24"/>
          <w:szCs w:val="24"/>
        </w:rPr>
        <w:t>, i</w:t>
      </w:r>
      <w:r w:rsidRPr="002B005F">
        <w:rPr>
          <w:rFonts w:ascii="Times New Roman" w:hAnsi="Times New Roman" w:cs="Times New Roman"/>
          <w:sz w:val="24"/>
          <w:szCs w:val="24"/>
        </w:rPr>
        <w:t>l est représenté par l’audit interne qui s’assure de la conformité et de l’efficacité de l’ensemble du dispositif de contrôle interne</w:t>
      </w:r>
      <w:r w:rsidR="00AC520D">
        <w:rPr>
          <w:rFonts w:ascii="Times New Roman" w:hAnsi="Times New Roman" w:cs="Times New Roman"/>
          <w:sz w:val="24"/>
          <w:szCs w:val="24"/>
        </w:rPr>
        <w:t>.</w:t>
      </w:r>
    </w:p>
    <w:p w14:paraId="6A9C1116" w14:textId="23A776D5" w:rsidR="00194157" w:rsidRPr="00194157" w:rsidRDefault="00194157" w:rsidP="00194157">
      <w:pPr>
        <w:pStyle w:val="Lgende"/>
        <w:spacing w:before="240" w:after="240"/>
        <w:jc w:val="center"/>
        <w:rPr>
          <w:rFonts w:asciiTheme="majorBidi" w:hAnsiTheme="majorBidi" w:cstheme="majorBidi"/>
          <w:color w:val="auto"/>
          <w:sz w:val="24"/>
          <w:szCs w:val="24"/>
        </w:rPr>
      </w:pPr>
      <w:bookmarkStart w:id="932" w:name="_Toc115527433"/>
      <w:r w:rsidRPr="00194157">
        <w:rPr>
          <w:rFonts w:asciiTheme="majorBidi" w:hAnsiTheme="majorBidi" w:cstheme="majorBidi"/>
          <w:color w:val="auto"/>
          <w:sz w:val="24"/>
          <w:szCs w:val="24"/>
        </w:rPr>
        <w:t xml:space="preserve">Figure </w:t>
      </w:r>
      <w:r w:rsidR="00B544E5" w:rsidRPr="00194157">
        <w:rPr>
          <w:rFonts w:asciiTheme="majorBidi" w:hAnsiTheme="majorBidi" w:cstheme="majorBidi"/>
          <w:color w:val="auto"/>
          <w:sz w:val="24"/>
          <w:szCs w:val="24"/>
        </w:rPr>
        <w:fldChar w:fldCharType="begin"/>
      </w:r>
      <w:r w:rsidRPr="00194157">
        <w:rPr>
          <w:rFonts w:asciiTheme="majorBidi" w:hAnsiTheme="majorBidi" w:cstheme="majorBidi"/>
          <w:color w:val="auto"/>
          <w:sz w:val="24"/>
          <w:szCs w:val="24"/>
        </w:rPr>
        <w:instrText xml:space="preserve"> SEQ Figure \* ARABIC </w:instrText>
      </w:r>
      <w:r w:rsidR="00B544E5" w:rsidRPr="00194157">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22</w:t>
      </w:r>
      <w:r w:rsidR="00B544E5" w:rsidRPr="00194157">
        <w:rPr>
          <w:rFonts w:asciiTheme="majorBidi" w:hAnsiTheme="majorBidi" w:cstheme="majorBidi"/>
          <w:color w:val="auto"/>
          <w:sz w:val="24"/>
          <w:szCs w:val="24"/>
        </w:rPr>
        <w:fldChar w:fldCharType="end"/>
      </w:r>
      <w:r w:rsidRPr="00194157">
        <w:rPr>
          <w:rFonts w:asciiTheme="majorBidi" w:hAnsiTheme="majorBidi" w:cstheme="majorBidi"/>
          <w:color w:val="auto"/>
          <w:sz w:val="24"/>
          <w:szCs w:val="24"/>
        </w:rPr>
        <w:t>- Répartition pyramide des rôles des acteurs du contrôle interne</w:t>
      </w:r>
      <w:bookmarkEnd w:id="932"/>
    </w:p>
    <w:p w14:paraId="00486831" w14:textId="77777777" w:rsidR="00E3400F" w:rsidRPr="002B005F" w:rsidRDefault="00E3400F" w:rsidP="00266F48">
      <w:pPr>
        <w:keepNext/>
        <w:widowControl w:val="0"/>
        <w:tabs>
          <w:tab w:val="left" w:pos="0"/>
          <w:tab w:val="left" w:pos="8505"/>
        </w:tabs>
        <w:autoSpaceDE w:val="0"/>
        <w:autoSpaceDN w:val="0"/>
        <w:adjustRightInd w:val="0"/>
        <w:spacing w:before="100" w:beforeAutospacing="1" w:after="120" w:line="300" w:lineRule="auto"/>
        <w:jc w:val="center"/>
        <w:rPr>
          <w:rFonts w:ascii="Times New Roman" w:hAnsi="Times New Roman" w:cs="Times New Roman"/>
          <w:b/>
          <w:bCs/>
          <w:sz w:val="24"/>
          <w:szCs w:val="24"/>
        </w:rPr>
      </w:pPr>
      <w:r w:rsidRPr="002B005F">
        <w:rPr>
          <w:rFonts w:ascii="Times New Roman" w:hAnsi="Times New Roman" w:cs="Times New Roman"/>
          <w:b/>
          <w:bCs/>
          <w:noProof/>
          <w:sz w:val="24"/>
          <w:szCs w:val="24"/>
          <w:lang w:eastAsia="fr-FR"/>
        </w:rPr>
        <w:drawing>
          <wp:anchor distT="0" distB="0" distL="114300" distR="114300" simplePos="0" relativeHeight="251495424" behindDoc="0" locked="1" layoutInCell="1" allowOverlap="0" wp14:anchorId="37546FE0" wp14:editId="5F1645D8">
            <wp:simplePos x="0" y="0"/>
            <wp:positionH relativeFrom="margin">
              <wp:posOffset>-3810</wp:posOffset>
            </wp:positionH>
            <wp:positionV relativeFrom="paragraph">
              <wp:posOffset>-114300</wp:posOffset>
            </wp:positionV>
            <wp:extent cx="5572125" cy="3667125"/>
            <wp:effectExtent l="19050" t="0" r="9525"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lum bright="-10000" contrast="30000"/>
                    </a:blip>
                    <a:srcRect/>
                    <a:stretch>
                      <a:fillRect/>
                    </a:stretch>
                  </pic:blipFill>
                  <pic:spPr bwMode="auto">
                    <a:xfrm>
                      <a:off x="0" y="0"/>
                      <a:ext cx="5572125" cy="3667125"/>
                    </a:xfrm>
                    <a:prstGeom prst="rect">
                      <a:avLst/>
                    </a:prstGeom>
                    <a:noFill/>
                    <a:ln w="9525">
                      <a:noFill/>
                      <a:miter lim="800000"/>
                      <a:headEnd/>
                      <a:tailEnd/>
                    </a:ln>
                  </pic:spPr>
                </pic:pic>
              </a:graphicData>
            </a:graphic>
          </wp:anchor>
        </w:drawing>
      </w:r>
    </w:p>
    <w:p w14:paraId="74D1C231" w14:textId="77777777" w:rsidR="00E3400F" w:rsidRPr="002B005F" w:rsidRDefault="00E3400F" w:rsidP="000A44AF">
      <w:pPr>
        <w:keepNext/>
        <w:widowControl w:val="0"/>
        <w:tabs>
          <w:tab w:val="left" w:pos="0"/>
          <w:tab w:val="left" w:pos="8505"/>
        </w:tabs>
        <w:autoSpaceDE w:val="0"/>
        <w:autoSpaceDN w:val="0"/>
        <w:adjustRightInd w:val="0"/>
        <w:spacing w:before="100" w:beforeAutospacing="1" w:after="120" w:line="300" w:lineRule="auto"/>
        <w:jc w:val="center"/>
        <w:rPr>
          <w:rFonts w:ascii="Times New Roman" w:hAnsi="Times New Roman" w:cs="Times New Roman"/>
          <w:b/>
          <w:bCs/>
          <w:sz w:val="24"/>
          <w:szCs w:val="24"/>
        </w:rPr>
      </w:pPr>
    </w:p>
    <w:p w14:paraId="2E13B9F4" w14:textId="77777777" w:rsidR="00E3400F" w:rsidRPr="002B005F" w:rsidRDefault="00E3400F" w:rsidP="000A44AF">
      <w:pPr>
        <w:keepNext/>
        <w:widowControl w:val="0"/>
        <w:tabs>
          <w:tab w:val="left" w:pos="0"/>
          <w:tab w:val="left" w:pos="8505"/>
        </w:tabs>
        <w:autoSpaceDE w:val="0"/>
        <w:autoSpaceDN w:val="0"/>
        <w:adjustRightInd w:val="0"/>
        <w:spacing w:before="100" w:beforeAutospacing="1" w:after="120" w:line="300" w:lineRule="auto"/>
        <w:jc w:val="center"/>
        <w:rPr>
          <w:rFonts w:ascii="Times New Roman" w:hAnsi="Times New Roman" w:cs="Times New Roman"/>
          <w:b/>
          <w:bCs/>
          <w:sz w:val="24"/>
          <w:szCs w:val="24"/>
        </w:rPr>
      </w:pPr>
    </w:p>
    <w:p w14:paraId="45D199EF" w14:textId="77777777" w:rsidR="00E3400F" w:rsidRPr="002B005F" w:rsidRDefault="00E3400F" w:rsidP="000A44AF">
      <w:pPr>
        <w:keepNext/>
        <w:widowControl w:val="0"/>
        <w:tabs>
          <w:tab w:val="left" w:pos="0"/>
          <w:tab w:val="left" w:pos="8505"/>
        </w:tabs>
        <w:autoSpaceDE w:val="0"/>
        <w:autoSpaceDN w:val="0"/>
        <w:adjustRightInd w:val="0"/>
        <w:spacing w:before="100" w:beforeAutospacing="1" w:after="120" w:line="300" w:lineRule="auto"/>
        <w:jc w:val="center"/>
        <w:rPr>
          <w:rFonts w:ascii="Times New Roman" w:hAnsi="Times New Roman" w:cs="Times New Roman"/>
          <w:b/>
          <w:bCs/>
          <w:sz w:val="24"/>
          <w:szCs w:val="24"/>
        </w:rPr>
      </w:pPr>
    </w:p>
    <w:p w14:paraId="150B4CEE" w14:textId="77777777" w:rsidR="00E3400F" w:rsidRPr="002B005F" w:rsidRDefault="00E3400F" w:rsidP="000A44AF">
      <w:pPr>
        <w:keepNext/>
        <w:widowControl w:val="0"/>
        <w:tabs>
          <w:tab w:val="left" w:pos="0"/>
          <w:tab w:val="left" w:pos="8505"/>
        </w:tabs>
        <w:autoSpaceDE w:val="0"/>
        <w:autoSpaceDN w:val="0"/>
        <w:adjustRightInd w:val="0"/>
        <w:spacing w:before="100" w:beforeAutospacing="1" w:after="120" w:line="300" w:lineRule="auto"/>
        <w:jc w:val="center"/>
        <w:rPr>
          <w:rFonts w:ascii="Times New Roman" w:hAnsi="Times New Roman" w:cs="Times New Roman"/>
          <w:b/>
          <w:bCs/>
          <w:sz w:val="24"/>
          <w:szCs w:val="24"/>
        </w:rPr>
      </w:pPr>
    </w:p>
    <w:p w14:paraId="6D92F789" w14:textId="77777777" w:rsidR="00E3400F" w:rsidRPr="002B005F" w:rsidRDefault="00E3400F" w:rsidP="000A44AF">
      <w:pPr>
        <w:keepNext/>
        <w:widowControl w:val="0"/>
        <w:tabs>
          <w:tab w:val="left" w:pos="0"/>
          <w:tab w:val="left" w:pos="8505"/>
        </w:tabs>
        <w:autoSpaceDE w:val="0"/>
        <w:autoSpaceDN w:val="0"/>
        <w:adjustRightInd w:val="0"/>
        <w:spacing w:before="100" w:beforeAutospacing="1" w:after="120" w:line="300" w:lineRule="auto"/>
        <w:jc w:val="center"/>
        <w:rPr>
          <w:rFonts w:ascii="Times New Roman" w:hAnsi="Times New Roman" w:cs="Times New Roman"/>
          <w:b/>
          <w:bCs/>
          <w:sz w:val="24"/>
          <w:szCs w:val="24"/>
        </w:rPr>
      </w:pPr>
    </w:p>
    <w:p w14:paraId="3A2F4200" w14:textId="77777777" w:rsidR="00E3400F" w:rsidRPr="002B005F" w:rsidRDefault="00E3400F" w:rsidP="000A44AF">
      <w:pPr>
        <w:keepNext/>
        <w:widowControl w:val="0"/>
        <w:tabs>
          <w:tab w:val="left" w:pos="0"/>
          <w:tab w:val="left" w:pos="8505"/>
        </w:tabs>
        <w:autoSpaceDE w:val="0"/>
        <w:autoSpaceDN w:val="0"/>
        <w:adjustRightInd w:val="0"/>
        <w:spacing w:before="100" w:beforeAutospacing="1" w:after="120" w:line="300" w:lineRule="auto"/>
        <w:jc w:val="center"/>
        <w:rPr>
          <w:rFonts w:ascii="Times New Roman" w:hAnsi="Times New Roman" w:cs="Times New Roman"/>
          <w:b/>
          <w:bCs/>
          <w:sz w:val="24"/>
          <w:szCs w:val="24"/>
        </w:rPr>
      </w:pPr>
    </w:p>
    <w:p w14:paraId="4203BDF6" w14:textId="77777777" w:rsidR="00E3400F" w:rsidRPr="002B005F" w:rsidRDefault="00E3400F" w:rsidP="000A44AF">
      <w:pPr>
        <w:keepNext/>
        <w:widowControl w:val="0"/>
        <w:tabs>
          <w:tab w:val="left" w:pos="0"/>
          <w:tab w:val="left" w:pos="8505"/>
        </w:tabs>
        <w:autoSpaceDE w:val="0"/>
        <w:autoSpaceDN w:val="0"/>
        <w:adjustRightInd w:val="0"/>
        <w:spacing w:before="100" w:beforeAutospacing="1" w:after="120" w:line="300" w:lineRule="auto"/>
        <w:jc w:val="center"/>
        <w:rPr>
          <w:rFonts w:ascii="Times New Roman" w:hAnsi="Times New Roman" w:cs="Times New Roman"/>
          <w:b/>
          <w:bCs/>
          <w:sz w:val="24"/>
          <w:szCs w:val="24"/>
        </w:rPr>
      </w:pPr>
    </w:p>
    <w:p w14:paraId="249B568B" w14:textId="77777777" w:rsidR="00E3400F" w:rsidRPr="002B005F" w:rsidRDefault="00E3400F" w:rsidP="000A44AF">
      <w:pPr>
        <w:keepNext/>
        <w:widowControl w:val="0"/>
        <w:tabs>
          <w:tab w:val="left" w:pos="0"/>
          <w:tab w:val="left" w:pos="8505"/>
        </w:tabs>
        <w:autoSpaceDE w:val="0"/>
        <w:autoSpaceDN w:val="0"/>
        <w:adjustRightInd w:val="0"/>
        <w:spacing w:before="100" w:beforeAutospacing="1" w:after="120" w:line="300" w:lineRule="auto"/>
        <w:jc w:val="center"/>
        <w:rPr>
          <w:rFonts w:ascii="Times New Roman" w:hAnsi="Times New Roman" w:cs="Times New Roman"/>
          <w:b/>
          <w:bCs/>
          <w:sz w:val="24"/>
          <w:szCs w:val="24"/>
        </w:rPr>
      </w:pPr>
    </w:p>
    <w:p w14:paraId="7653D39B" w14:textId="77777777" w:rsidR="00183829" w:rsidRPr="00440944" w:rsidRDefault="00F03D1C" w:rsidP="00266F48">
      <w:pPr>
        <w:keepNext/>
        <w:widowControl w:val="0"/>
        <w:autoSpaceDE w:val="0"/>
        <w:autoSpaceDN w:val="0"/>
        <w:adjustRightInd w:val="0"/>
        <w:spacing w:before="360" w:after="240" w:line="30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Pr="002B005F">
        <w:rPr>
          <w:rFonts w:ascii="Times New Roman" w:hAnsi="Times New Roman" w:cs="Times New Roman"/>
          <w:smallCaps/>
          <w:sz w:val="20"/>
          <w:szCs w:val="20"/>
        </w:rPr>
        <w:t>Chelly</w:t>
      </w:r>
      <w:r w:rsidRPr="002B005F">
        <w:rPr>
          <w:rFonts w:ascii="Times New Roman" w:hAnsi="Times New Roman" w:cs="Times New Roman"/>
          <w:sz w:val="20"/>
          <w:szCs w:val="20"/>
        </w:rPr>
        <w:t xml:space="preserve"> </w:t>
      </w:r>
      <w:r w:rsidR="00E3400F" w:rsidRPr="002B005F">
        <w:rPr>
          <w:rFonts w:ascii="Times New Roman" w:hAnsi="Times New Roman" w:cs="Times New Roman"/>
          <w:sz w:val="20"/>
          <w:szCs w:val="20"/>
        </w:rPr>
        <w:t xml:space="preserve">Dan </w:t>
      </w:r>
      <w:r w:rsidRPr="002B005F">
        <w:rPr>
          <w:rFonts w:ascii="Times New Roman" w:hAnsi="Times New Roman" w:cs="Times New Roman"/>
          <w:sz w:val="20"/>
          <w:szCs w:val="20"/>
        </w:rPr>
        <w:t xml:space="preserve">et </w:t>
      </w:r>
      <w:r w:rsidRPr="002B005F">
        <w:rPr>
          <w:rFonts w:ascii="Times New Roman" w:hAnsi="Times New Roman" w:cs="Times New Roman"/>
          <w:smallCaps/>
          <w:sz w:val="20"/>
          <w:szCs w:val="20"/>
        </w:rPr>
        <w:t>Sébéloné</w:t>
      </w:r>
      <w:r w:rsidR="00667DB6" w:rsidRPr="002B005F">
        <w:rPr>
          <w:rFonts w:ascii="Times New Roman" w:hAnsi="Times New Roman" w:cs="Times New Roman"/>
          <w:smallCaps/>
          <w:sz w:val="20"/>
          <w:szCs w:val="20"/>
        </w:rPr>
        <w:t xml:space="preserve"> </w:t>
      </w:r>
      <w:r w:rsidR="00667DB6" w:rsidRPr="002B005F">
        <w:rPr>
          <w:rFonts w:ascii="Times New Roman" w:hAnsi="Times New Roman" w:cs="Times New Roman"/>
          <w:sz w:val="20"/>
          <w:szCs w:val="20"/>
        </w:rPr>
        <w:t>Stéphane</w:t>
      </w:r>
      <w:r w:rsidR="009F5DE1" w:rsidRPr="002B005F">
        <w:rPr>
          <w:rFonts w:ascii="Times New Roman" w:hAnsi="Times New Roman" w:cs="Times New Roman"/>
          <w:sz w:val="20"/>
          <w:szCs w:val="20"/>
        </w:rPr>
        <w:t xml:space="preserve">, </w:t>
      </w:r>
      <w:r w:rsidR="00E3400F" w:rsidRPr="002B005F">
        <w:rPr>
          <w:rFonts w:ascii="Times New Roman" w:hAnsi="Times New Roman" w:cs="Times New Roman"/>
          <w:sz w:val="20"/>
          <w:szCs w:val="20"/>
        </w:rPr>
        <w:t xml:space="preserve">Mars </w:t>
      </w:r>
      <w:r w:rsidR="009F5DE1" w:rsidRPr="002B005F">
        <w:rPr>
          <w:rFonts w:ascii="Times New Roman" w:hAnsi="Times New Roman" w:cs="Times New Roman"/>
          <w:sz w:val="20"/>
          <w:szCs w:val="20"/>
        </w:rPr>
        <w:t>2014</w:t>
      </w:r>
      <w:r w:rsidRPr="002B005F">
        <w:rPr>
          <w:rFonts w:ascii="Times New Roman" w:hAnsi="Times New Roman" w:cs="Times New Roman"/>
          <w:sz w:val="20"/>
          <w:szCs w:val="20"/>
        </w:rPr>
        <w:t xml:space="preserve">, </w:t>
      </w:r>
      <w:r w:rsidR="00667DB6" w:rsidRPr="002B005F">
        <w:rPr>
          <w:rFonts w:ascii="Times New Roman" w:hAnsi="Times New Roman" w:cs="Times New Roman"/>
          <w:sz w:val="20"/>
          <w:szCs w:val="20"/>
        </w:rPr>
        <w:t>O</w:t>
      </w:r>
      <w:r w:rsidR="006F4F8B" w:rsidRPr="002B005F">
        <w:rPr>
          <w:rFonts w:ascii="Times New Roman" w:hAnsi="Times New Roman" w:cs="Times New Roman"/>
          <w:sz w:val="20"/>
          <w:szCs w:val="20"/>
        </w:rPr>
        <w:t>p</w:t>
      </w:r>
      <w:r w:rsidR="00667DB6" w:rsidRPr="002B005F">
        <w:rPr>
          <w:rFonts w:ascii="Times New Roman" w:hAnsi="Times New Roman" w:cs="Times New Roman"/>
          <w:sz w:val="20"/>
          <w:szCs w:val="20"/>
        </w:rPr>
        <w:t>timin</w:t>
      </w:r>
      <w:r w:rsidR="006F4F8B" w:rsidRPr="002B005F">
        <w:rPr>
          <w:rFonts w:ascii="Times New Roman" w:hAnsi="Times New Roman" w:cs="Times New Roman"/>
          <w:sz w:val="20"/>
          <w:szCs w:val="20"/>
        </w:rPr>
        <w:t>d</w:t>
      </w:r>
      <w:r w:rsidR="00667DB6" w:rsidRPr="002B005F">
        <w:rPr>
          <w:rFonts w:ascii="Times New Roman" w:hAnsi="Times New Roman" w:cs="Times New Roman"/>
          <w:sz w:val="20"/>
          <w:szCs w:val="20"/>
        </w:rPr>
        <w:t xml:space="preserve">Winter, </w:t>
      </w:r>
      <w:r w:rsidRPr="002B005F">
        <w:rPr>
          <w:rFonts w:ascii="Times New Roman" w:hAnsi="Times New Roman" w:cs="Times New Roman"/>
          <w:sz w:val="20"/>
          <w:szCs w:val="20"/>
        </w:rPr>
        <w:t>p. 32.</w:t>
      </w:r>
    </w:p>
    <w:p w14:paraId="6DCEA2C9" w14:textId="77777777" w:rsidR="007B64B9" w:rsidRDefault="007B64B9" w:rsidP="007B64B9">
      <w:pPr>
        <w:pStyle w:val="Titre5"/>
        <w:keepNext w:val="0"/>
        <w:keepLines w:val="0"/>
        <w:spacing w:before="120" w:after="120" w:line="300" w:lineRule="auto"/>
        <w:ind w:firstLine="709"/>
        <w:rPr>
          <w:rFonts w:asciiTheme="majorBidi" w:hAnsiTheme="majorBidi"/>
          <w:b/>
          <w:bCs/>
          <w:color w:val="auto"/>
          <w:sz w:val="24"/>
          <w:szCs w:val="24"/>
        </w:rPr>
      </w:pPr>
    </w:p>
    <w:p w14:paraId="08E9DB98" w14:textId="415826A0" w:rsidR="002760B2" w:rsidRPr="00072BEE" w:rsidRDefault="00150AAB" w:rsidP="007B64B9">
      <w:pPr>
        <w:pStyle w:val="Titre5"/>
        <w:spacing w:before="120" w:after="120" w:line="300" w:lineRule="auto"/>
        <w:ind w:firstLine="709"/>
        <w:rPr>
          <w:rFonts w:asciiTheme="majorBidi" w:hAnsiTheme="majorBidi"/>
          <w:b/>
          <w:bCs/>
          <w:color w:val="auto"/>
          <w:sz w:val="24"/>
          <w:szCs w:val="24"/>
        </w:rPr>
      </w:pPr>
      <w:bookmarkStart w:id="933" w:name="_Toc182298755"/>
      <w:r w:rsidRPr="00072BEE">
        <w:rPr>
          <w:rFonts w:asciiTheme="majorBidi" w:hAnsiTheme="majorBidi"/>
          <w:b/>
          <w:bCs/>
          <w:color w:val="auto"/>
          <w:sz w:val="24"/>
          <w:szCs w:val="24"/>
        </w:rPr>
        <w:lastRenderedPageBreak/>
        <w:t xml:space="preserve">2.6.1.2- </w:t>
      </w:r>
      <w:r w:rsidR="002760B2" w:rsidRPr="00072BEE">
        <w:rPr>
          <w:rFonts w:asciiTheme="majorBidi" w:hAnsiTheme="majorBidi"/>
          <w:b/>
          <w:bCs/>
          <w:color w:val="auto"/>
          <w:sz w:val="24"/>
          <w:szCs w:val="24"/>
        </w:rPr>
        <w:t>Contrôle externe</w:t>
      </w:r>
      <w:bookmarkEnd w:id="933"/>
    </w:p>
    <w:p w14:paraId="0E9A1A7B" w14:textId="77777777" w:rsidR="002760B2" w:rsidRPr="00265E19" w:rsidRDefault="002760B2" w:rsidP="007B64B9">
      <w:pPr>
        <w:pStyle w:val="Paragraphedeliste"/>
        <w:keepNext/>
        <w:keepLines/>
        <w:widowControl w:val="0"/>
        <w:tabs>
          <w:tab w:val="left" w:pos="0"/>
        </w:tabs>
        <w:autoSpaceDE w:val="0"/>
        <w:autoSpaceDN w:val="0"/>
        <w:adjustRightInd w:val="0"/>
        <w:spacing w:before="120" w:after="120" w:line="300" w:lineRule="auto"/>
        <w:ind w:left="0" w:firstLine="709"/>
        <w:contextualSpacing w:val="0"/>
        <w:rPr>
          <w:rFonts w:ascii="Times New Roman" w:hAnsi="Times New Roman" w:cs="Times New Roman"/>
          <w:sz w:val="24"/>
          <w:szCs w:val="24"/>
        </w:rPr>
      </w:pPr>
      <w:r w:rsidRPr="00265E19">
        <w:rPr>
          <w:rFonts w:ascii="Times New Roman" w:hAnsi="Times New Roman" w:cs="Times New Roman"/>
          <w:sz w:val="24"/>
          <w:szCs w:val="24"/>
        </w:rPr>
        <w:t>Il faut entendre par contrôle externe celui mené par des agents des services ou institutions extérieurs à l’entreprise. L’audit externe a pour objectif de valider et fiabiliser les informations concernant les ressources et activités des institutions financières. Avant l’intervention d’un auditeur externe, le rapport des contrôleurs internes qui comporte les procédures comptables, les états financiers, la nature et les résultats des activités, est pris avec beaucoup de réserve. L’intervention d’un organe autonome vient pour crédibiliser ce rapport. Donc, le contrôle externe est un examen indépendant des états financiers d’une institution pour vérifier la crédibilité de ses opérations et activités financières.</w:t>
      </w:r>
    </w:p>
    <w:p w14:paraId="48F6A65E" w14:textId="77777777" w:rsidR="00183829" w:rsidRDefault="002760B2" w:rsidP="00525428">
      <w:pPr>
        <w:pStyle w:val="Paragraphedeliste"/>
        <w:widowControl w:val="0"/>
        <w:tabs>
          <w:tab w:val="left" w:pos="0"/>
        </w:tabs>
        <w:autoSpaceDE w:val="0"/>
        <w:autoSpaceDN w:val="0"/>
        <w:adjustRightInd w:val="0"/>
        <w:spacing w:line="300" w:lineRule="auto"/>
        <w:ind w:left="0" w:firstLine="709"/>
        <w:contextualSpacing w:val="0"/>
        <w:rPr>
          <w:rFonts w:ascii="Times New Roman" w:hAnsi="Times New Roman" w:cs="Times New Roman"/>
          <w:sz w:val="24"/>
          <w:szCs w:val="24"/>
        </w:rPr>
      </w:pPr>
      <w:r w:rsidRPr="00265E19">
        <w:rPr>
          <w:rFonts w:ascii="Times New Roman" w:hAnsi="Times New Roman" w:cs="Times New Roman"/>
          <w:sz w:val="24"/>
          <w:szCs w:val="24"/>
        </w:rPr>
        <w:t>L’auditeur externe a pour mission de certifier l’exactitude des comptes des résultats et états financiers.</w:t>
      </w:r>
    </w:p>
    <w:p w14:paraId="39593B24" w14:textId="77777777" w:rsidR="00183829" w:rsidRDefault="002760B2" w:rsidP="00CB0FF1">
      <w:pPr>
        <w:pStyle w:val="Paragraphedeliste"/>
        <w:widowControl w:val="0"/>
        <w:numPr>
          <w:ilvl w:val="0"/>
          <w:numId w:val="109"/>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65E19">
        <w:rPr>
          <w:rFonts w:ascii="Times New Roman" w:hAnsi="Times New Roman" w:cs="Times New Roman"/>
          <w:sz w:val="24"/>
          <w:szCs w:val="24"/>
        </w:rPr>
        <w:t>Premièrement, il évalue le système de comptabilité interne et/ou les contrôles administratifs</w:t>
      </w:r>
      <w:r w:rsidR="00183829">
        <w:rPr>
          <w:rFonts w:ascii="Times New Roman" w:hAnsi="Times New Roman" w:cs="Times New Roman"/>
          <w:sz w:val="24"/>
          <w:szCs w:val="24"/>
        </w:rPr>
        <w:t>.</w:t>
      </w:r>
      <w:r w:rsidRPr="00265E19">
        <w:rPr>
          <w:rFonts w:ascii="Times New Roman" w:hAnsi="Times New Roman" w:cs="Times New Roman"/>
          <w:sz w:val="24"/>
          <w:szCs w:val="24"/>
        </w:rPr>
        <w:t xml:space="preserve"> </w:t>
      </w:r>
    </w:p>
    <w:p w14:paraId="2F3EA97F" w14:textId="77777777" w:rsidR="00183829" w:rsidRPr="00F1476E" w:rsidRDefault="00183829" w:rsidP="00CB0FF1">
      <w:pPr>
        <w:pStyle w:val="Paragraphedeliste"/>
        <w:widowControl w:val="0"/>
        <w:numPr>
          <w:ilvl w:val="0"/>
          <w:numId w:val="109"/>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F1476E">
        <w:rPr>
          <w:rFonts w:ascii="Times New Roman" w:hAnsi="Times New Roman" w:cs="Times New Roman"/>
          <w:sz w:val="24"/>
          <w:szCs w:val="24"/>
        </w:rPr>
        <w:t>Deuxièmement</w:t>
      </w:r>
      <w:r w:rsidR="002760B2" w:rsidRPr="00F1476E">
        <w:rPr>
          <w:rFonts w:ascii="Times New Roman" w:hAnsi="Times New Roman" w:cs="Times New Roman"/>
          <w:sz w:val="24"/>
          <w:szCs w:val="24"/>
        </w:rPr>
        <w:t xml:space="preserve">, il se trouve confronté à deux résultats. En cas de trouver ces informations adéquates, il va les utiliser pour préparer son rapport </w:t>
      </w:r>
      <w:r w:rsidRPr="00F1476E">
        <w:rPr>
          <w:rFonts w:ascii="Times New Roman" w:hAnsi="Times New Roman" w:cs="Times New Roman"/>
          <w:sz w:val="24"/>
          <w:szCs w:val="24"/>
        </w:rPr>
        <w:t>à</w:t>
      </w:r>
      <w:r w:rsidR="002760B2" w:rsidRPr="00F1476E">
        <w:rPr>
          <w:rFonts w:ascii="Times New Roman" w:hAnsi="Times New Roman" w:cs="Times New Roman"/>
          <w:sz w:val="24"/>
          <w:szCs w:val="24"/>
        </w:rPr>
        <w:t xml:space="preserve"> publier par la suite. </w:t>
      </w:r>
      <w:r w:rsidRPr="00F1476E">
        <w:rPr>
          <w:rFonts w:ascii="Times New Roman" w:hAnsi="Times New Roman" w:cs="Times New Roman"/>
          <w:sz w:val="24"/>
          <w:szCs w:val="24"/>
        </w:rPr>
        <w:t>E</w:t>
      </w:r>
      <w:r w:rsidR="002760B2" w:rsidRPr="00F1476E">
        <w:rPr>
          <w:rFonts w:ascii="Times New Roman" w:hAnsi="Times New Roman" w:cs="Times New Roman"/>
          <w:sz w:val="24"/>
          <w:szCs w:val="24"/>
        </w:rPr>
        <w:t>n cas d’informations non adéquates, l’auditeur externe va recommander des modifications</w:t>
      </w:r>
      <w:r w:rsidRPr="00F1476E">
        <w:rPr>
          <w:rFonts w:ascii="Times New Roman" w:hAnsi="Times New Roman" w:cs="Times New Roman"/>
          <w:sz w:val="24"/>
          <w:szCs w:val="24"/>
        </w:rPr>
        <w:t>.</w:t>
      </w:r>
      <w:r w:rsidR="002760B2" w:rsidRPr="00F1476E">
        <w:rPr>
          <w:rFonts w:ascii="Times New Roman" w:hAnsi="Times New Roman" w:cs="Times New Roman"/>
          <w:sz w:val="24"/>
          <w:szCs w:val="24"/>
        </w:rPr>
        <w:t xml:space="preserve"> </w:t>
      </w:r>
    </w:p>
    <w:p w14:paraId="11F949AD" w14:textId="2B0DBDAA" w:rsidR="002760B2" w:rsidRPr="00F1476E" w:rsidRDefault="00414F3C" w:rsidP="00CB0FF1">
      <w:pPr>
        <w:pStyle w:val="Paragraphedeliste"/>
        <w:widowControl w:val="0"/>
        <w:numPr>
          <w:ilvl w:val="0"/>
          <w:numId w:val="109"/>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F1476E">
        <w:rPr>
          <w:rFonts w:ascii="Times New Roman" w:hAnsi="Times New Roman" w:cs="Times New Roman"/>
          <w:sz w:val="24"/>
          <w:szCs w:val="24"/>
        </w:rPr>
        <w:t>Troisièmement</w:t>
      </w:r>
      <w:r w:rsidR="002760B2" w:rsidRPr="00F1476E">
        <w:rPr>
          <w:rFonts w:ascii="Times New Roman" w:hAnsi="Times New Roman" w:cs="Times New Roman"/>
          <w:sz w:val="24"/>
          <w:szCs w:val="24"/>
        </w:rPr>
        <w:t xml:space="preserve">, il va utiliser le système de mesure </w:t>
      </w:r>
      <w:r w:rsidR="002760B2" w:rsidRPr="00F1476E">
        <w:rPr>
          <w:rFonts w:ascii="Times New Roman" w:hAnsi="Times New Roman" w:cs="Times New Roman"/>
          <w:i/>
          <w:iCs/>
          <w:sz w:val="24"/>
          <w:szCs w:val="24"/>
        </w:rPr>
        <w:t>ad</w:t>
      </w:r>
      <w:r w:rsidR="00183829" w:rsidRPr="00F1476E">
        <w:rPr>
          <w:rFonts w:ascii="Times New Roman" w:hAnsi="Times New Roman" w:cs="Times New Roman"/>
          <w:i/>
          <w:iCs/>
          <w:sz w:val="24"/>
          <w:szCs w:val="24"/>
        </w:rPr>
        <w:t xml:space="preserve"> </w:t>
      </w:r>
      <w:r w:rsidR="002760B2" w:rsidRPr="00F1476E">
        <w:rPr>
          <w:rFonts w:ascii="Times New Roman" w:hAnsi="Times New Roman" w:cs="Times New Roman"/>
          <w:i/>
          <w:iCs/>
          <w:sz w:val="24"/>
          <w:szCs w:val="24"/>
        </w:rPr>
        <w:t>hoc</w:t>
      </w:r>
      <w:r w:rsidR="002760B2" w:rsidRPr="00F1476E">
        <w:rPr>
          <w:rFonts w:ascii="Times New Roman" w:hAnsi="Times New Roman" w:cs="Times New Roman"/>
          <w:sz w:val="24"/>
          <w:szCs w:val="24"/>
        </w:rPr>
        <w:t xml:space="preserve"> pour arriver à l’établissement du rapport à publier.</w:t>
      </w:r>
    </w:p>
    <w:p w14:paraId="238C31D7" w14:textId="77777777" w:rsidR="002760B2" w:rsidRPr="00F1476E" w:rsidRDefault="00265E19" w:rsidP="002F0A97">
      <w:pPr>
        <w:pStyle w:val="Titre4"/>
        <w:keepNext w:val="0"/>
        <w:spacing w:before="100" w:beforeAutospacing="1" w:after="0"/>
        <w:ind w:firstLine="709"/>
      </w:pPr>
      <w:bookmarkStart w:id="934" w:name="_Toc33263310"/>
      <w:bookmarkStart w:id="935" w:name="_Toc37664573"/>
      <w:bookmarkStart w:id="936" w:name="_Toc37666418"/>
      <w:bookmarkStart w:id="937" w:name="_Toc54363307"/>
      <w:bookmarkStart w:id="938" w:name="_Toc58606303"/>
      <w:bookmarkStart w:id="939" w:name="_Toc61263508"/>
      <w:bookmarkStart w:id="940" w:name="_Toc182298756"/>
      <w:r w:rsidRPr="00F1476E">
        <w:t xml:space="preserve">2.6.2- </w:t>
      </w:r>
      <w:r w:rsidR="002760B2" w:rsidRPr="00F1476E">
        <w:t>Réglementation prudentielle</w:t>
      </w:r>
      <w:bookmarkEnd w:id="934"/>
      <w:bookmarkEnd w:id="935"/>
      <w:bookmarkEnd w:id="936"/>
      <w:bookmarkEnd w:id="937"/>
      <w:bookmarkEnd w:id="938"/>
      <w:bookmarkEnd w:id="939"/>
      <w:bookmarkEnd w:id="940"/>
    </w:p>
    <w:p w14:paraId="5460BD3A" w14:textId="77777777" w:rsidR="002760B2" w:rsidRPr="00265E19" w:rsidRDefault="002760B2" w:rsidP="00265E19">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F1476E">
        <w:rPr>
          <w:rFonts w:ascii="Times New Roman" w:hAnsi="Times New Roman" w:cs="Times New Roman"/>
          <w:sz w:val="24"/>
          <w:szCs w:val="24"/>
        </w:rPr>
        <w:t>Dans un environnement concurrentiel, de nombreux facteurs peuve</w:t>
      </w:r>
      <w:r w:rsidRPr="00265E19">
        <w:rPr>
          <w:rFonts w:ascii="Times New Roman" w:hAnsi="Times New Roman" w:cs="Times New Roman"/>
          <w:sz w:val="24"/>
          <w:szCs w:val="24"/>
        </w:rPr>
        <w:t>nt inciter une banque à prendre des risques élevés</w:t>
      </w:r>
      <w:r w:rsidR="00166B60">
        <w:rPr>
          <w:rFonts w:ascii="Times New Roman" w:hAnsi="Times New Roman" w:cs="Times New Roman"/>
          <w:sz w:val="24"/>
          <w:szCs w:val="24"/>
        </w:rPr>
        <w:t>.</w:t>
      </w:r>
      <w:r w:rsidRPr="00265E19">
        <w:rPr>
          <w:rFonts w:ascii="Times New Roman" w:hAnsi="Times New Roman" w:cs="Times New Roman"/>
          <w:sz w:val="24"/>
          <w:szCs w:val="24"/>
        </w:rPr>
        <w:t xml:space="preserve"> </w:t>
      </w:r>
      <w:r w:rsidR="00166B60" w:rsidRPr="00265E19">
        <w:rPr>
          <w:rFonts w:ascii="Times New Roman" w:hAnsi="Times New Roman" w:cs="Times New Roman"/>
          <w:sz w:val="24"/>
          <w:szCs w:val="24"/>
        </w:rPr>
        <w:t>Ce</w:t>
      </w:r>
      <w:r w:rsidRPr="00265E19">
        <w:rPr>
          <w:rFonts w:ascii="Times New Roman" w:hAnsi="Times New Roman" w:cs="Times New Roman"/>
          <w:sz w:val="24"/>
          <w:szCs w:val="24"/>
        </w:rPr>
        <w:t xml:space="preserve"> qui pourrait mettre en péril et même menacer la stabilité de tout le système financier à cause des effets de contagion.</w:t>
      </w:r>
    </w:p>
    <w:p w14:paraId="1E4835C9" w14:textId="77777777" w:rsidR="002760B2" w:rsidRPr="00265E19" w:rsidRDefault="002760B2" w:rsidP="00265E19">
      <w:pPr>
        <w:widowControl w:val="0"/>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65E19">
        <w:rPr>
          <w:rFonts w:ascii="Times New Roman" w:hAnsi="Times New Roman" w:cs="Times New Roman"/>
          <w:sz w:val="24"/>
          <w:szCs w:val="24"/>
        </w:rPr>
        <w:t>C’est dans le but de limiter les effets néfastes de la prise de risque et de promouvoir la stabilité et la sécurité du système financier que fut l’avènement de la réglementation prudentielle. L’accord prudentiel de Bâle vise à créer un cercle vertueux d’amélioration de la gestion des risques financiers en incitant les banques à adopter les meilleures pratiques. Cette réglementation a pour but de :</w:t>
      </w:r>
    </w:p>
    <w:p w14:paraId="53442015" w14:textId="77777777" w:rsidR="002760B2" w:rsidRPr="00265E19" w:rsidRDefault="002760B2" w:rsidP="00CB0FF1">
      <w:pPr>
        <w:pStyle w:val="Paragraphedeliste"/>
        <w:widowControl w:val="0"/>
        <w:numPr>
          <w:ilvl w:val="0"/>
          <w:numId w:val="12"/>
        </w:numPr>
        <w:tabs>
          <w:tab w:val="left" w:pos="0"/>
          <w:tab w:val="left" w:pos="426"/>
          <w:tab w:val="left" w:pos="993"/>
        </w:tabs>
        <w:autoSpaceDE w:val="0"/>
        <w:autoSpaceDN w:val="0"/>
        <w:adjustRightInd w:val="0"/>
        <w:spacing w:before="60" w:line="300" w:lineRule="auto"/>
        <w:ind w:left="0" w:firstLine="851"/>
        <w:contextualSpacing w:val="0"/>
        <w:rPr>
          <w:rFonts w:ascii="Times New Roman" w:hAnsi="Times New Roman" w:cs="Times New Roman"/>
          <w:sz w:val="24"/>
          <w:szCs w:val="24"/>
        </w:rPr>
      </w:pPr>
      <w:r w:rsidRPr="00265E19">
        <w:rPr>
          <w:rFonts w:ascii="Times New Roman" w:hAnsi="Times New Roman" w:cs="Times New Roman"/>
          <w:sz w:val="24"/>
          <w:szCs w:val="24"/>
        </w:rPr>
        <w:t>Renforcer la sécurité et la fiabilité du système financier ;</w:t>
      </w:r>
    </w:p>
    <w:p w14:paraId="778FAB14" w14:textId="68029E2F" w:rsidR="002760B2" w:rsidRPr="00265E19" w:rsidRDefault="002760B2" w:rsidP="00CB0FF1">
      <w:pPr>
        <w:pStyle w:val="Paragraphedeliste"/>
        <w:widowControl w:val="0"/>
        <w:numPr>
          <w:ilvl w:val="0"/>
          <w:numId w:val="12"/>
        </w:numPr>
        <w:tabs>
          <w:tab w:val="left" w:pos="0"/>
          <w:tab w:val="left" w:pos="426"/>
          <w:tab w:val="left" w:pos="993"/>
        </w:tabs>
        <w:autoSpaceDE w:val="0"/>
        <w:autoSpaceDN w:val="0"/>
        <w:adjustRightInd w:val="0"/>
        <w:spacing w:before="60" w:line="300" w:lineRule="auto"/>
        <w:ind w:left="0" w:firstLine="851"/>
        <w:contextualSpacing w:val="0"/>
        <w:rPr>
          <w:rFonts w:ascii="Times New Roman" w:hAnsi="Times New Roman" w:cs="Times New Roman"/>
          <w:sz w:val="24"/>
          <w:szCs w:val="24"/>
        </w:rPr>
      </w:pPr>
      <w:r w:rsidRPr="00265E19">
        <w:rPr>
          <w:rFonts w:ascii="Times New Roman" w:hAnsi="Times New Roman" w:cs="Times New Roman"/>
          <w:sz w:val="24"/>
          <w:szCs w:val="24"/>
        </w:rPr>
        <w:t xml:space="preserve">Etablir des standards </w:t>
      </w:r>
      <w:r w:rsidR="00414F3C" w:rsidRPr="00265E19">
        <w:rPr>
          <w:rFonts w:ascii="Times New Roman" w:hAnsi="Times New Roman" w:cs="Times New Roman"/>
          <w:sz w:val="24"/>
          <w:szCs w:val="24"/>
        </w:rPr>
        <w:t>minim</w:t>
      </w:r>
      <w:r w:rsidR="00414F3C">
        <w:rPr>
          <w:rFonts w:ascii="Times New Roman" w:hAnsi="Times New Roman" w:cs="Times New Roman"/>
          <w:sz w:val="24"/>
          <w:szCs w:val="24"/>
        </w:rPr>
        <w:t>aux</w:t>
      </w:r>
      <w:r w:rsidR="00F1476E">
        <w:rPr>
          <w:rFonts w:ascii="Times New Roman" w:hAnsi="Times New Roman" w:cs="Times New Roman"/>
          <w:sz w:val="24"/>
          <w:szCs w:val="24"/>
        </w:rPr>
        <w:t xml:space="preserve"> </w:t>
      </w:r>
      <w:r w:rsidRPr="00265E19">
        <w:rPr>
          <w:rFonts w:ascii="Times New Roman" w:hAnsi="Times New Roman" w:cs="Times New Roman"/>
          <w:sz w:val="24"/>
          <w:szCs w:val="24"/>
        </w:rPr>
        <w:t>en matière de contrôle prudentiel ;</w:t>
      </w:r>
    </w:p>
    <w:p w14:paraId="5DA31C38" w14:textId="77777777" w:rsidR="002760B2" w:rsidRPr="00265E19" w:rsidRDefault="002760B2" w:rsidP="00CB0FF1">
      <w:pPr>
        <w:pStyle w:val="Paragraphedeliste"/>
        <w:widowControl w:val="0"/>
        <w:numPr>
          <w:ilvl w:val="0"/>
          <w:numId w:val="12"/>
        </w:numPr>
        <w:tabs>
          <w:tab w:val="left" w:pos="0"/>
          <w:tab w:val="left" w:pos="426"/>
          <w:tab w:val="left" w:pos="993"/>
        </w:tabs>
        <w:autoSpaceDE w:val="0"/>
        <w:autoSpaceDN w:val="0"/>
        <w:adjustRightInd w:val="0"/>
        <w:spacing w:before="60" w:line="300" w:lineRule="auto"/>
        <w:ind w:left="0" w:firstLine="851"/>
        <w:contextualSpacing w:val="0"/>
        <w:rPr>
          <w:rFonts w:ascii="Times New Roman" w:hAnsi="Times New Roman" w:cs="Times New Roman"/>
          <w:sz w:val="24"/>
          <w:szCs w:val="24"/>
        </w:rPr>
      </w:pPr>
      <w:r w:rsidRPr="00265E19">
        <w:rPr>
          <w:rFonts w:ascii="Times New Roman" w:hAnsi="Times New Roman" w:cs="Times New Roman"/>
          <w:sz w:val="24"/>
          <w:szCs w:val="24"/>
        </w:rPr>
        <w:t xml:space="preserve">Diffuser et </w:t>
      </w:r>
      <w:r w:rsidR="00F1476E" w:rsidRPr="00F1476E">
        <w:rPr>
          <w:rFonts w:ascii="Times New Roman" w:hAnsi="Times New Roman" w:cs="Times New Roman"/>
          <w:sz w:val="24"/>
          <w:szCs w:val="24"/>
        </w:rPr>
        <w:t>promouvoir les</w:t>
      </w:r>
      <w:r w:rsidRPr="00F1476E">
        <w:rPr>
          <w:rFonts w:ascii="Times New Roman" w:hAnsi="Times New Roman" w:cs="Times New Roman"/>
          <w:sz w:val="24"/>
          <w:szCs w:val="24"/>
        </w:rPr>
        <w:t xml:space="preserve"> pratiques </w:t>
      </w:r>
      <w:r w:rsidR="00F1476E" w:rsidRPr="00F1476E">
        <w:rPr>
          <w:rFonts w:ascii="Times New Roman" w:hAnsi="Times New Roman" w:cs="Times New Roman"/>
          <w:sz w:val="24"/>
          <w:szCs w:val="24"/>
        </w:rPr>
        <w:t>de</w:t>
      </w:r>
      <w:r w:rsidR="00F1476E">
        <w:rPr>
          <w:rFonts w:ascii="Times New Roman" w:hAnsi="Times New Roman" w:cs="Times New Roman"/>
          <w:sz w:val="24"/>
          <w:szCs w:val="24"/>
        </w:rPr>
        <w:t xml:space="preserve"> surveillance bancaire</w:t>
      </w:r>
      <w:r w:rsidRPr="00265E19">
        <w:rPr>
          <w:rFonts w:ascii="Times New Roman" w:hAnsi="Times New Roman" w:cs="Times New Roman"/>
          <w:sz w:val="24"/>
          <w:szCs w:val="24"/>
        </w:rPr>
        <w:t> ;</w:t>
      </w:r>
    </w:p>
    <w:p w14:paraId="557E7738" w14:textId="77777777" w:rsidR="002760B2" w:rsidRPr="00265E19" w:rsidRDefault="002760B2" w:rsidP="00CB0FF1">
      <w:pPr>
        <w:pStyle w:val="Paragraphedeliste"/>
        <w:widowControl w:val="0"/>
        <w:numPr>
          <w:ilvl w:val="0"/>
          <w:numId w:val="12"/>
        </w:numPr>
        <w:tabs>
          <w:tab w:val="left" w:pos="0"/>
          <w:tab w:val="left" w:pos="426"/>
          <w:tab w:val="left" w:pos="993"/>
        </w:tabs>
        <w:autoSpaceDE w:val="0"/>
        <w:autoSpaceDN w:val="0"/>
        <w:adjustRightInd w:val="0"/>
        <w:spacing w:before="60" w:line="300" w:lineRule="auto"/>
        <w:ind w:left="0" w:firstLine="851"/>
        <w:contextualSpacing w:val="0"/>
        <w:rPr>
          <w:rFonts w:ascii="Times New Roman" w:hAnsi="Times New Roman" w:cs="Times New Roman"/>
          <w:sz w:val="24"/>
          <w:szCs w:val="24"/>
        </w:rPr>
      </w:pPr>
      <w:r w:rsidRPr="00265E19">
        <w:rPr>
          <w:rFonts w:ascii="Times New Roman" w:hAnsi="Times New Roman" w:cs="Times New Roman"/>
          <w:sz w:val="24"/>
          <w:szCs w:val="24"/>
        </w:rPr>
        <w:t>Promouvoir la coopération internationale en matière de contrôle prudentiel.</w:t>
      </w:r>
    </w:p>
    <w:p w14:paraId="6FB0883E" w14:textId="77777777" w:rsidR="002760B2" w:rsidRPr="00265E19" w:rsidRDefault="00166B60" w:rsidP="00265E19">
      <w:pPr>
        <w:pStyle w:val="Paragraphedeliste"/>
        <w:widowControl w:val="0"/>
        <w:tabs>
          <w:tab w:val="left" w:pos="0"/>
        </w:tabs>
        <w:autoSpaceDE w:val="0"/>
        <w:autoSpaceDN w:val="0"/>
        <w:adjustRightInd w:val="0"/>
        <w:spacing w:before="120" w:after="120" w:line="300" w:lineRule="auto"/>
        <w:ind w:left="0" w:firstLine="709"/>
        <w:contextualSpacing w:val="0"/>
        <w:rPr>
          <w:rFonts w:ascii="Times New Roman" w:hAnsi="Times New Roman" w:cs="Times New Roman"/>
          <w:sz w:val="24"/>
          <w:szCs w:val="24"/>
        </w:rPr>
      </w:pPr>
      <w:r w:rsidRPr="00F1476E">
        <w:rPr>
          <w:rFonts w:ascii="Times New Roman" w:hAnsi="Times New Roman" w:cs="Times New Roman"/>
          <w:sz w:val="24"/>
          <w:szCs w:val="24"/>
        </w:rPr>
        <w:t>I</w:t>
      </w:r>
      <w:r w:rsidR="002760B2" w:rsidRPr="00F1476E">
        <w:rPr>
          <w:rFonts w:ascii="Times New Roman" w:hAnsi="Times New Roman" w:cs="Times New Roman"/>
          <w:sz w:val="24"/>
          <w:szCs w:val="24"/>
        </w:rPr>
        <w:t>nstitué en 1974 par les gouverneurs de banques centrales des pays du groupe des G10</w:t>
      </w:r>
      <w:r w:rsidRPr="00F1476E">
        <w:rPr>
          <w:rFonts w:ascii="Times New Roman" w:hAnsi="Times New Roman" w:cs="Times New Roman"/>
          <w:sz w:val="24"/>
          <w:szCs w:val="24"/>
        </w:rPr>
        <w:t>,</w:t>
      </w:r>
      <w:r w:rsidR="002760B2" w:rsidRPr="00F1476E">
        <w:rPr>
          <w:rFonts w:ascii="Times New Roman" w:hAnsi="Times New Roman" w:cs="Times New Roman"/>
          <w:sz w:val="24"/>
          <w:szCs w:val="24"/>
        </w:rPr>
        <w:t xml:space="preserve"> </w:t>
      </w:r>
      <w:r w:rsidRPr="00F1476E">
        <w:rPr>
          <w:rFonts w:ascii="Times New Roman" w:hAnsi="Times New Roman" w:cs="Times New Roman"/>
          <w:sz w:val="24"/>
          <w:szCs w:val="24"/>
        </w:rPr>
        <w:t xml:space="preserve">le </w:t>
      </w:r>
      <w:r w:rsidR="00851EFB" w:rsidRPr="00F1476E">
        <w:rPr>
          <w:rFonts w:ascii="Times New Roman" w:eastAsia="TimesNewRoman" w:hAnsi="Times New Roman" w:cs="Times New Roman"/>
          <w:sz w:val="24"/>
          <w:szCs w:val="24"/>
        </w:rPr>
        <w:t>C</w:t>
      </w:r>
      <w:r w:rsidRPr="00F1476E">
        <w:rPr>
          <w:rFonts w:ascii="Times New Roman" w:hAnsi="Times New Roman" w:cs="Times New Roman"/>
          <w:sz w:val="24"/>
          <w:szCs w:val="24"/>
        </w:rPr>
        <w:t>omité de Bâle</w:t>
      </w:r>
      <w:r w:rsidR="002760B2" w:rsidRPr="00F1476E">
        <w:rPr>
          <w:rFonts w:ascii="Times New Roman" w:hAnsi="Times New Roman" w:cs="Times New Roman"/>
          <w:sz w:val="24"/>
          <w:szCs w:val="24"/>
        </w:rPr>
        <w:t xml:space="preserve"> regroupe</w:t>
      </w:r>
      <w:r w:rsidR="002760B2" w:rsidRPr="00265E19">
        <w:rPr>
          <w:rFonts w:ascii="Times New Roman" w:hAnsi="Times New Roman" w:cs="Times New Roman"/>
          <w:sz w:val="24"/>
          <w:szCs w:val="24"/>
        </w:rPr>
        <w:t xml:space="preserve"> aujourd’hui 13 pays. Les représentants des banques centrales de G10 se rencontrent régulièrement à la Banque des Règlements Internationaux (BRI) pour discuter les enjeux liés à la réglementation prudentielle des activités bancaires. </w:t>
      </w:r>
      <w:r>
        <w:rPr>
          <w:rFonts w:ascii="Times New Roman" w:hAnsi="Times New Roman" w:cs="Times New Roman"/>
          <w:sz w:val="24"/>
          <w:szCs w:val="24"/>
        </w:rPr>
        <w:t xml:space="preserve">Il </w:t>
      </w:r>
      <w:r w:rsidR="002760B2" w:rsidRPr="00265E19">
        <w:rPr>
          <w:rFonts w:ascii="Times New Roman" w:hAnsi="Times New Roman" w:cs="Times New Roman"/>
          <w:sz w:val="24"/>
          <w:szCs w:val="24"/>
        </w:rPr>
        <w:t>se réunit quatre fois par an.</w:t>
      </w:r>
    </w:p>
    <w:p w14:paraId="626797C0" w14:textId="77777777" w:rsidR="002760B2" w:rsidRPr="00072BEE" w:rsidRDefault="005E0628" w:rsidP="00C86447">
      <w:pPr>
        <w:pStyle w:val="Titre5"/>
        <w:keepNext w:val="0"/>
        <w:keepLines w:val="0"/>
        <w:spacing w:before="120" w:after="120" w:line="300" w:lineRule="auto"/>
        <w:ind w:firstLine="709"/>
        <w:rPr>
          <w:rFonts w:asciiTheme="majorBidi" w:hAnsiTheme="majorBidi"/>
          <w:b/>
          <w:bCs/>
          <w:color w:val="auto"/>
          <w:sz w:val="24"/>
          <w:szCs w:val="24"/>
        </w:rPr>
      </w:pPr>
      <w:bookmarkStart w:id="941" w:name="_Toc182298757"/>
      <w:r w:rsidRPr="00072BEE">
        <w:rPr>
          <w:rFonts w:asciiTheme="majorBidi" w:hAnsiTheme="majorBidi"/>
          <w:b/>
          <w:bCs/>
          <w:color w:val="auto"/>
          <w:sz w:val="24"/>
          <w:szCs w:val="24"/>
        </w:rPr>
        <w:lastRenderedPageBreak/>
        <w:t xml:space="preserve">2.6.2.1- </w:t>
      </w:r>
      <w:r w:rsidR="00002215" w:rsidRPr="00072BEE">
        <w:rPr>
          <w:rFonts w:asciiTheme="majorBidi" w:hAnsiTheme="majorBidi"/>
          <w:b/>
          <w:bCs/>
          <w:color w:val="auto"/>
          <w:sz w:val="24"/>
          <w:szCs w:val="24"/>
        </w:rPr>
        <w:t>Bâle I</w:t>
      </w:r>
      <w:bookmarkEnd w:id="941"/>
    </w:p>
    <w:p w14:paraId="3B3589E0" w14:textId="77777777" w:rsidR="0001535E" w:rsidRPr="00FA3F6B" w:rsidRDefault="002760B2" w:rsidP="00265E19">
      <w:pPr>
        <w:pStyle w:val="Paragraphedeliste"/>
        <w:widowControl w:val="0"/>
        <w:tabs>
          <w:tab w:val="left" w:pos="0"/>
        </w:tabs>
        <w:autoSpaceDE w:val="0"/>
        <w:autoSpaceDN w:val="0"/>
        <w:adjustRightInd w:val="0"/>
        <w:spacing w:before="120" w:after="120" w:line="300" w:lineRule="auto"/>
        <w:ind w:left="0" w:firstLine="709"/>
        <w:contextualSpacing w:val="0"/>
        <w:rPr>
          <w:rFonts w:ascii="Times New Roman" w:hAnsi="Times New Roman" w:cs="Times New Roman"/>
          <w:spacing w:val="-6"/>
          <w:sz w:val="24"/>
          <w:szCs w:val="24"/>
        </w:rPr>
      </w:pPr>
      <w:r w:rsidRPr="00FA3F6B">
        <w:rPr>
          <w:rFonts w:ascii="Times New Roman" w:hAnsi="Times New Roman" w:cs="Times New Roman"/>
          <w:spacing w:val="-6"/>
          <w:sz w:val="24"/>
          <w:szCs w:val="24"/>
        </w:rPr>
        <w:t>En 1988</w:t>
      </w:r>
      <w:r w:rsidR="00990044" w:rsidRPr="00FA3F6B">
        <w:rPr>
          <w:rFonts w:ascii="Times New Roman" w:hAnsi="Times New Roman" w:cs="Times New Roman"/>
          <w:spacing w:val="-6"/>
          <w:sz w:val="24"/>
          <w:szCs w:val="24"/>
        </w:rPr>
        <w:t>,</w:t>
      </w:r>
      <w:r w:rsidRPr="00FA3F6B">
        <w:rPr>
          <w:rFonts w:ascii="Times New Roman" w:hAnsi="Times New Roman" w:cs="Times New Roman"/>
          <w:spacing w:val="-6"/>
          <w:sz w:val="24"/>
          <w:szCs w:val="24"/>
        </w:rPr>
        <w:t xml:space="preserve"> arrive l’</w:t>
      </w:r>
      <w:r w:rsidR="000D2344" w:rsidRPr="00FA3F6B">
        <w:rPr>
          <w:rFonts w:ascii="Times New Roman" w:hAnsi="Times New Roman" w:cs="Times New Roman"/>
          <w:spacing w:val="-6"/>
          <w:sz w:val="24"/>
          <w:szCs w:val="24"/>
        </w:rPr>
        <w:t>"</w:t>
      </w:r>
      <w:r w:rsidRPr="00FA3F6B">
        <w:rPr>
          <w:rFonts w:ascii="Times New Roman" w:hAnsi="Times New Roman" w:cs="Times New Roman"/>
          <w:spacing w:val="-6"/>
          <w:sz w:val="24"/>
          <w:szCs w:val="24"/>
        </w:rPr>
        <w:t>accord de Bâle I</w:t>
      </w:r>
      <w:r w:rsidR="00E7488E" w:rsidRPr="00FA3F6B">
        <w:rPr>
          <w:rFonts w:ascii="Times New Roman" w:hAnsi="Times New Roman" w:cs="Times New Roman"/>
          <w:spacing w:val="-6"/>
          <w:sz w:val="24"/>
          <w:szCs w:val="24"/>
        </w:rPr>
        <w:t>"</w:t>
      </w:r>
      <w:r w:rsidRPr="00FA3F6B">
        <w:rPr>
          <w:rFonts w:ascii="Times New Roman" w:hAnsi="Times New Roman" w:cs="Times New Roman"/>
          <w:spacing w:val="-6"/>
          <w:sz w:val="24"/>
          <w:szCs w:val="24"/>
        </w:rPr>
        <w:t xml:space="preserve"> définissant le ratio internatio</w:t>
      </w:r>
      <w:r w:rsidR="00002215" w:rsidRPr="00FA3F6B">
        <w:rPr>
          <w:rFonts w:ascii="Times New Roman" w:hAnsi="Times New Roman" w:cs="Times New Roman"/>
          <w:spacing w:val="-6"/>
          <w:sz w:val="24"/>
          <w:szCs w:val="24"/>
        </w:rPr>
        <w:t xml:space="preserve">nal de solvabilité : le ratio </w:t>
      </w:r>
      <w:r w:rsidRPr="00FA3F6B">
        <w:rPr>
          <w:rFonts w:ascii="Times New Roman" w:hAnsi="Times New Roman" w:cs="Times New Roman"/>
          <w:i/>
          <w:iCs/>
          <w:spacing w:val="-6"/>
          <w:sz w:val="24"/>
          <w:szCs w:val="24"/>
        </w:rPr>
        <w:t>Cooke</w:t>
      </w:r>
      <w:r w:rsidRPr="00FA3F6B">
        <w:rPr>
          <w:rFonts w:ascii="Times New Roman" w:hAnsi="Times New Roman" w:cs="Times New Roman"/>
          <w:spacing w:val="-6"/>
          <w:sz w:val="24"/>
          <w:szCs w:val="24"/>
        </w:rPr>
        <w:t xml:space="preserve">. </w:t>
      </w:r>
      <w:r w:rsidR="00121985" w:rsidRPr="00FA3F6B">
        <w:rPr>
          <w:rFonts w:ascii="Times New Roman" w:hAnsi="Times New Roman" w:cs="Times New Roman"/>
          <w:spacing w:val="-6"/>
          <w:sz w:val="24"/>
          <w:szCs w:val="24"/>
        </w:rPr>
        <w:t>Il</w:t>
      </w:r>
      <w:r w:rsidRPr="00FA3F6B">
        <w:rPr>
          <w:rFonts w:ascii="Times New Roman" w:hAnsi="Times New Roman" w:cs="Times New Roman"/>
          <w:spacing w:val="-6"/>
          <w:sz w:val="24"/>
          <w:szCs w:val="24"/>
        </w:rPr>
        <w:t xml:space="preserve"> tient ce nom de Peter </w:t>
      </w:r>
      <w:r w:rsidRPr="00FA3F6B">
        <w:rPr>
          <w:rFonts w:ascii="Times New Roman" w:hAnsi="Times New Roman" w:cs="Times New Roman"/>
          <w:smallCaps/>
          <w:spacing w:val="-6"/>
          <w:sz w:val="24"/>
          <w:szCs w:val="24"/>
        </w:rPr>
        <w:t>Cooke</w:t>
      </w:r>
      <w:r w:rsidRPr="00FA3F6B">
        <w:rPr>
          <w:rFonts w:ascii="Times New Roman" w:hAnsi="Times New Roman" w:cs="Times New Roman"/>
          <w:spacing w:val="-6"/>
          <w:sz w:val="24"/>
          <w:szCs w:val="24"/>
        </w:rPr>
        <w:t>, un directeur de la Banque d’Angleterre qui avait été un des premiers à proposer la création d</w:t>
      </w:r>
      <w:r w:rsidR="009C36BC" w:rsidRPr="00FA3F6B">
        <w:rPr>
          <w:rFonts w:ascii="Times New Roman" w:hAnsi="Times New Roman" w:cs="Times New Roman"/>
          <w:spacing w:val="-6"/>
          <w:sz w:val="24"/>
          <w:szCs w:val="24"/>
        </w:rPr>
        <w:t xml:space="preserve">u </w:t>
      </w:r>
      <w:r w:rsidR="00851EFB" w:rsidRPr="00FA3F6B">
        <w:rPr>
          <w:rFonts w:ascii="Times New Roman" w:eastAsia="TimesNewRoman" w:hAnsi="Times New Roman" w:cs="Times New Roman"/>
          <w:spacing w:val="-6"/>
          <w:sz w:val="24"/>
          <w:szCs w:val="24"/>
        </w:rPr>
        <w:t>C</w:t>
      </w:r>
      <w:r w:rsidR="009C36BC" w:rsidRPr="00FA3F6B">
        <w:rPr>
          <w:rFonts w:ascii="Times New Roman" w:hAnsi="Times New Roman" w:cs="Times New Roman"/>
          <w:spacing w:val="-6"/>
          <w:sz w:val="24"/>
          <w:szCs w:val="24"/>
        </w:rPr>
        <w:t>omité de</w:t>
      </w:r>
      <w:r w:rsidRPr="00FA3F6B">
        <w:rPr>
          <w:rFonts w:ascii="Times New Roman" w:hAnsi="Times New Roman" w:cs="Times New Roman"/>
          <w:spacing w:val="-6"/>
          <w:sz w:val="24"/>
          <w:szCs w:val="24"/>
        </w:rPr>
        <w:t xml:space="preserve"> Bâle et fut son premier président. Ce ratio définit les exigences en fonds propres que les banques doivent respecter en fonction des risques pris. Ce premier accord est limité au risque de crédit. Chaque banque est tenue de conserver une réserve de capital de 8% de la valeur des titres représentant le risque de crédit dans son portefeuille. Ce ratio qui sert à </w:t>
      </w:r>
      <w:r w:rsidR="009C36BC" w:rsidRPr="00FA3F6B">
        <w:rPr>
          <w:rFonts w:ascii="Times New Roman" w:hAnsi="Times New Roman" w:cs="Times New Roman"/>
          <w:spacing w:val="-6"/>
          <w:sz w:val="24"/>
          <w:szCs w:val="24"/>
        </w:rPr>
        <w:t>p</w:t>
      </w:r>
      <w:r w:rsidRPr="00FA3F6B">
        <w:rPr>
          <w:rFonts w:ascii="Times New Roman" w:hAnsi="Times New Roman" w:cs="Times New Roman"/>
          <w:spacing w:val="-6"/>
          <w:sz w:val="24"/>
          <w:szCs w:val="24"/>
        </w:rPr>
        <w:t>réserver la solvabilité de la banque est calculé de la façon suivante :</w:t>
      </w:r>
    </w:p>
    <w:p w14:paraId="0FF72A26" w14:textId="77777777" w:rsidR="002760B2" w:rsidRPr="00104E60" w:rsidRDefault="002760B2" w:rsidP="00711548">
      <w:pPr>
        <w:pStyle w:val="Paragraphedeliste"/>
        <w:widowControl w:val="0"/>
        <w:tabs>
          <w:tab w:val="left" w:pos="0"/>
        </w:tabs>
        <w:autoSpaceDE w:val="0"/>
        <w:autoSpaceDN w:val="0"/>
        <w:adjustRightInd w:val="0"/>
        <w:spacing w:before="100" w:beforeAutospacing="1" w:after="120" w:line="300" w:lineRule="auto"/>
        <w:ind w:left="0"/>
        <w:contextualSpacing w:val="0"/>
        <w:jc w:val="center"/>
        <w:rPr>
          <w:rFonts w:ascii="Times New Roman" w:hAnsi="Times New Roman" w:cs="Times New Roman"/>
          <w:b/>
          <w:bCs/>
          <w:sz w:val="24"/>
          <w:szCs w:val="24"/>
          <w:lang w:val="en-GB"/>
        </w:rPr>
      </w:pPr>
      <w:r w:rsidRPr="00104E60">
        <w:rPr>
          <w:rFonts w:ascii="Times New Roman" w:hAnsi="Times New Roman" w:cs="Times New Roman"/>
          <w:b/>
          <w:bCs/>
          <w:sz w:val="24"/>
          <w:szCs w:val="24"/>
          <w:lang w:val="en-GB"/>
        </w:rPr>
        <w:t>R</w:t>
      </w:r>
      <w:r w:rsidR="00002215" w:rsidRPr="00104E60">
        <w:rPr>
          <w:rFonts w:ascii="Times New Roman" w:hAnsi="Times New Roman" w:cs="Times New Roman"/>
          <w:b/>
          <w:bCs/>
          <w:sz w:val="24"/>
          <w:szCs w:val="24"/>
          <w:lang w:val="en-GB"/>
        </w:rPr>
        <w:t xml:space="preserve">atio </w:t>
      </w:r>
      <w:r w:rsidR="005A1001" w:rsidRPr="00104E60">
        <w:rPr>
          <w:rFonts w:ascii="Times New Roman" w:hAnsi="Times New Roman" w:cs="Times New Roman"/>
          <w:b/>
          <w:bCs/>
          <w:i/>
          <w:iCs/>
          <w:sz w:val="24"/>
          <w:szCs w:val="24"/>
          <w:lang w:val="en-GB"/>
        </w:rPr>
        <w:t>Cooke</w:t>
      </w:r>
      <w:r w:rsidR="005A1001" w:rsidRPr="00104E60">
        <w:rPr>
          <w:rFonts w:ascii="Times New Roman" w:hAnsi="Times New Roman" w:cs="Times New Roman"/>
          <w:b/>
          <w:bCs/>
          <w:sz w:val="24"/>
          <w:szCs w:val="24"/>
          <w:lang w:val="en-GB"/>
        </w:rPr>
        <w:t>:</w:t>
      </w:r>
      <w:r w:rsidR="00002215" w:rsidRPr="00104E60">
        <w:rPr>
          <w:rFonts w:ascii="Times New Roman" w:hAnsi="Times New Roman" w:cs="Times New Roman"/>
          <w:b/>
          <w:bCs/>
          <w:sz w:val="24"/>
          <w:szCs w:val="24"/>
          <w:lang w:val="en-GB"/>
        </w:rPr>
        <w:t xml:space="preserve"> (FP1+FP2) / EPC ≥ 8</w:t>
      </w:r>
      <w:r w:rsidRPr="00104E60">
        <w:rPr>
          <w:rFonts w:ascii="Times New Roman" w:hAnsi="Times New Roman" w:cs="Times New Roman"/>
          <w:b/>
          <w:bCs/>
          <w:sz w:val="24"/>
          <w:szCs w:val="24"/>
          <w:lang w:val="en-GB"/>
        </w:rPr>
        <w:t>%</w:t>
      </w:r>
    </w:p>
    <w:p w14:paraId="1818AA21" w14:textId="77777777" w:rsidR="002760B2" w:rsidRPr="00265E19" w:rsidRDefault="00782E8E" w:rsidP="007B64B9">
      <w:pPr>
        <w:widowControl w:val="0"/>
        <w:tabs>
          <w:tab w:val="left" w:pos="0"/>
        </w:tabs>
        <w:autoSpaceDE w:val="0"/>
        <w:autoSpaceDN w:val="0"/>
        <w:adjustRightInd w:val="0"/>
        <w:spacing w:line="300" w:lineRule="auto"/>
        <w:rPr>
          <w:rFonts w:ascii="Times New Roman" w:hAnsi="Times New Roman" w:cs="Times New Roman"/>
          <w:b/>
          <w:bCs/>
          <w:sz w:val="24"/>
          <w:szCs w:val="24"/>
        </w:rPr>
      </w:pPr>
      <w:r w:rsidRPr="00265E19">
        <w:rPr>
          <w:rFonts w:ascii="Times New Roman" w:hAnsi="Times New Roman" w:cs="Times New Roman"/>
          <w:b/>
          <w:bCs/>
          <w:sz w:val="24"/>
          <w:szCs w:val="24"/>
        </w:rPr>
        <w:t>Avec :</w:t>
      </w:r>
    </w:p>
    <w:p w14:paraId="054381EB" w14:textId="77777777" w:rsidR="002760B2" w:rsidRPr="00265E19" w:rsidRDefault="002760B2" w:rsidP="007B64B9">
      <w:pPr>
        <w:pStyle w:val="Paragraphedeliste"/>
        <w:widowControl w:val="0"/>
        <w:autoSpaceDE w:val="0"/>
        <w:autoSpaceDN w:val="0"/>
        <w:adjustRightInd w:val="0"/>
        <w:spacing w:line="300" w:lineRule="auto"/>
        <w:ind w:left="709"/>
        <w:contextualSpacing w:val="0"/>
        <w:rPr>
          <w:rFonts w:ascii="Times New Roman" w:hAnsi="Times New Roman" w:cs="Times New Roman"/>
          <w:sz w:val="24"/>
          <w:szCs w:val="24"/>
        </w:rPr>
      </w:pPr>
      <w:r w:rsidRPr="00265E19">
        <w:rPr>
          <w:rFonts w:ascii="Times New Roman" w:hAnsi="Times New Roman" w:cs="Times New Roman"/>
          <w:b/>
          <w:bCs/>
          <w:sz w:val="24"/>
          <w:szCs w:val="24"/>
        </w:rPr>
        <w:t>FP1</w:t>
      </w:r>
      <w:r w:rsidR="00782E8E" w:rsidRPr="00265E19">
        <w:rPr>
          <w:rFonts w:ascii="Times New Roman" w:hAnsi="Times New Roman" w:cs="Times New Roman"/>
          <w:b/>
          <w:bCs/>
          <w:sz w:val="24"/>
          <w:szCs w:val="24"/>
        </w:rPr>
        <w:t> </w:t>
      </w:r>
      <w:r w:rsidR="00782E8E" w:rsidRPr="00265E19">
        <w:rPr>
          <w:rFonts w:ascii="Times New Roman" w:hAnsi="Times New Roman" w:cs="Times New Roman"/>
          <w:sz w:val="24"/>
          <w:szCs w:val="24"/>
        </w:rPr>
        <w:t>:</w:t>
      </w:r>
      <w:r w:rsidRPr="00265E19">
        <w:rPr>
          <w:rFonts w:ascii="Times New Roman" w:hAnsi="Times New Roman" w:cs="Times New Roman"/>
          <w:sz w:val="24"/>
          <w:szCs w:val="24"/>
        </w:rPr>
        <w:t xml:space="preserve"> les fonds propres de base ou noyau dur</w:t>
      </w:r>
      <w:r w:rsidR="00782E8E" w:rsidRPr="00265E19">
        <w:rPr>
          <w:rFonts w:ascii="Times New Roman" w:hAnsi="Times New Roman" w:cs="Times New Roman"/>
          <w:sz w:val="24"/>
          <w:szCs w:val="24"/>
        </w:rPr>
        <w:t>.</w:t>
      </w:r>
    </w:p>
    <w:p w14:paraId="09DBC441" w14:textId="77777777" w:rsidR="002760B2" w:rsidRPr="00265E19" w:rsidRDefault="002760B2" w:rsidP="007B64B9">
      <w:pPr>
        <w:pStyle w:val="Paragraphedeliste"/>
        <w:widowControl w:val="0"/>
        <w:autoSpaceDE w:val="0"/>
        <w:autoSpaceDN w:val="0"/>
        <w:adjustRightInd w:val="0"/>
        <w:spacing w:line="300" w:lineRule="auto"/>
        <w:ind w:left="709"/>
        <w:contextualSpacing w:val="0"/>
        <w:rPr>
          <w:rFonts w:ascii="Times New Roman" w:hAnsi="Times New Roman" w:cs="Times New Roman"/>
          <w:sz w:val="24"/>
          <w:szCs w:val="24"/>
        </w:rPr>
      </w:pPr>
      <w:r w:rsidRPr="00265E19">
        <w:rPr>
          <w:rFonts w:ascii="Times New Roman" w:hAnsi="Times New Roman" w:cs="Times New Roman"/>
          <w:b/>
          <w:bCs/>
          <w:sz w:val="24"/>
          <w:szCs w:val="24"/>
        </w:rPr>
        <w:t>FP2</w:t>
      </w:r>
      <w:r w:rsidRPr="00265E19">
        <w:rPr>
          <w:rFonts w:ascii="Times New Roman" w:hAnsi="Times New Roman" w:cs="Times New Roman"/>
          <w:sz w:val="24"/>
          <w:szCs w:val="24"/>
        </w:rPr>
        <w:t> : les fonds propres complémentaires</w:t>
      </w:r>
      <w:r w:rsidR="00782E8E" w:rsidRPr="00265E19">
        <w:rPr>
          <w:rFonts w:ascii="Times New Roman" w:hAnsi="Times New Roman" w:cs="Times New Roman"/>
          <w:sz w:val="24"/>
          <w:szCs w:val="24"/>
        </w:rPr>
        <w:t>.</w:t>
      </w:r>
    </w:p>
    <w:p w14:paraId="4F04A7B6" w14:textId="77777777" w:rsidR="002760B2" w:rsidRPr="00265E19" w:rsidRDefault="002760B2" w:rsidP="007B64B9">
      <w:pPr>
        <w:pStyle w:val="Paragraphedeliste"/>
        <w:widowControl w:val="0"/>
        <w:autoSpaceDE w:val="0"/>
        <w:autoSpaceDN w:val="0"/>
        <w:adjustRightInd w:val="0"/>
        <w:spacing w:line="300" w:lineRule="auto"/>
        <w:ind w:left="709"/>
        <w:contextualSpacing w:val="0"/>
        <w:rPr>
          <w:rFonts w:ascii="Times New Roman" w:hAnsi="Times New Roman" w:cs="Times New Roman"/>
          <w:sz w:val="24"/>
          <w:szCs w:val="24"/>
        </w:rPr>
      </w:pPr>
      <w:r w:rsidRPr="00265E19">
        <w:rPr>
          <w:rFonts w:ascii="Times New Roman" w:hAnsi="Times New Roman" w:cs="Times New Roman"/>
          <w:b/>
          <w:bCs/>
          <w:sz w:val="24"/>
          <w:szCs w:val="24"/>
        </w:rPr>
        <w:t>EPC</w:t>
      </w:r>
      <w:r w:rsidRPr="00265E19">
        <w:rPr>
          <w:rFonts w:ascii="Times New Roman" w:hAnsi="Times New Roman" w:cs="Times New Roman"/>
          <w:sz w:val="24"/>
          <w:szCs w:val="24"/>
        </w:rPr>
        <w:t> : les encours pondérés de crédit qui concernent le bilan et le hors bilan</w:t>
      </w:r>
      <w:r w:rsidR="00782E8E" w:rsidRPr="00265E19">
        <w:rPr>
          <w:rFonts w:ascii="Times New Roman" w:hAnsi="Times New Roman" w:cs="Times New Roman"/>
          <w:sz w:val="24"/>
          <w:szCs w:val="24"/>
        </w:rPr>
        <w:t>.</w:t>
      </w:r>
    </w:p>
    <w:p w14:paraId="00A2D081" w14:textId="77777777" w:rsidR="002E7049" w:rsidRPr="002E7049" w:rsidRDefault="00782E8E" w:rsidP="002E7049">
      <w:pPr>
        <w:pStyle w:val="Paragraphedeliste"/>
        <w:widowControl w:val="0"/>
        <w:tabs>
          <w:tab w:val="left" w:pos="0"/>
        </w:tabs>
        <w:autoSpaceDE w:val="0"/>
        <w:autoSpaceDN w:val="0"/>
        <w:adjustRightInd w:val="0"/>
        <w:spacing w:before="120" w:after="120" w:line="300" w:lineRule="auto"/>
        <w:ind w:left="0" w:firstLine="709"/>
        <w:contextualSpacing w:val="0"/>
        <w:rPr>
          <w:rFonts w:asciiTheme="majorBidi" w:hAnsiTheme="majorBidi" w:cstheme="majorBidi"/>
          <w:b/>
          <w:bCs/>
          <w:color w:val="000000" w:themeColor="text1"/>
          <w:sz w:val="24"/>
          <w:szCs w:val="24"/>
          <w:shd w:val="clear" w:color="auto" w:fill="FFFFFF"/>
        </w:rPr>
      </w:pPr>
      <w:r w:rsidRPr="00265E19">
        <w:rPr>
          <w:rFonts w:ascii="Times New Roman" w:hAnsi="Times New Roman" w:cs="Times New Roman"/>
          <w:sz w:val="24"/>
          <w:szCs w:val="24"/>
        </w:rPr>
        <w:t xml:space="preserve">Le ratio </w:t>
      </w:r>
      <w:r w:rsidRPr="00715F16">
        <w:rPr>
          <w:rFonts w:ascii="Times New Roman" w:hAnsi="Times New Roman" w:cs="Times New Roman"/>
          <w:i/>
          <w:iCs/>
          <w:sz w:val="24"/>
          <w:szCs w:val="24"/>
        </w:rPr>
        <w:t>Cooke</w:t>
      </w:r>
      <w:r w:rsidRPr="00265E19">
        <w:rPr>
          <w:rFonts w:ascii="Times New Roman" w:hAnsi="Times New Roman" w:cs="Times New Roman"/>
          <w:sz w:val="24"/>
          <w:szCs w:val="24"/>
        </w:rPr>
        <w:t xml:space="preserve"> </w:t>
      </w:r>
      <w:r w:rsidR="002E7049" w:rsidRPr="002E7049">
        <w:rPr>
          <w:rFonts w:asciiTheme="majorBidi" w:hAnsiTheme="majorBidi" w:cstheme="majorBidi"/>
          <w:color w:val="000000" w:themeColor="text1"/>
          <w:sz w:val="24"/>
          <w:szCs w:val="24"/>
        </w:rPr>
        <w:t>définissait les exigences minimales des fonds propres par rapport à l’ensemble des encours de crédit accordés par une institution financière. Ainsi, le niveau du </w:t>
      </w:r>
      <w:r w:rsidR="002E7049" w:rsidRPr="002E7049">
        <w:rPr>
          <w:rStyle w:val="lev"/>
          <w:rFonts w:asciiTheme="majorBidi" w:hAnsiTheme="majorBidi" w:cstheme="majorBidi"/>
          <w:b w:val="0"/>
          <w:bCs w:val="0"/>
          <w:color w:val="000000" w:themeColor="text1"/>
          <w:sz w:val="24"/>
          <w:szCs w:val="24"/>
        </w:rPr>
        <w:t>ratio Cooke était fixé à 8% des emplois pondérés.</w:t>
      </w:r>
    </w:p>
    <w:p w14:paraId="0125A11C" w14:textId="77777777" w:rsidR="002760B2" w:rsidRPr="00265E19" w:rsidRDefault="002760B2" w:rsidP="00265E19">
      <w:pPr>
        <w:pStyle w:val="Paragraphedeliste"/>
        <w:widowControl w:val="0"/>
        <w:tabs>
          <w:tab w:val="left" w:pos="0"/>
        </w:tabs>
        <w:autoSpaceDE w:val="0"/>
        <w:autoSpaceDN w:val="0"/>
        <w:adjustRightInd w:val="0"/>
        <w:spacing w:before="120" w:after="120" w:line="300" w:lineRule="auto"/>
        <w:ind w:left="0" w:firstLine="709"/>
        <w:contextualSpacing w:val="0"/>
        <w:rPr>
          <w:rFonts w:ascii="Times New Roman" w:hAnsi="Times New Roman" w:cs="Times New Roman"/>
          <w:sz w:val="24"/>
          <w:szCs w:val="24"/>
        </w:rPr>
      </w:pPr>
      <w:r w:rsidRPr="00F1476E">
        <w:rPr>
          <w:rFonts w:ascii="Times New Roman" w:hAnsi="Times New Roman" w:cs="Times New Roman"/>
          <w:sz w:val="24"/>
          <w:szCs w:val="24"/>
        </w:rPr>
        <w:t xml:space="preserve">En janvier 1996, le </w:t>
      </w:r>
      <w:r w:rsidR="00851EFB" w:rsidRPr="00F1476E">
        <w:rPr>
          <w:rFonts w:ascii="Times New Roman" w:hAnsi="Times New Roman" w:cs="Times New Roman"/>
          <w:sz w:val="24"/>
          <w:szCs w:val="24"/>
        </w:rPr>
        <w:t>Comité</w:t>
      </w:r>
      <w:r w:rsidRPr="00F1476E">
        <w:rPr>
          <w:rFonts w:ascii="Times New Roman" w:hAnsi="Times New Roman" w:cs="Times New Roman"/>
          <w:sz w:val="24"/>
          <w:szCs w:val="24"/>
        </w:rPr>
        <w:t xml:space="preserve"> de Bâle a publié un amendement visant à incorporer dans l’accord de 1988 les risques de</w:t>
      </w:r>
      <w:r w:rsidRPr="00265E19">
        <w:rPr>
          <w:rFonts w:ascii="Times New Roman" w:hAnsi="Times New Roman" w:cs="Times New Roman"/>
          <w:sz w:val="24"/>
          <w:szCs w:val="24"/>
        </w:rPr>
        <w:t xml:space="preserve"> marché et à leur appliquer des exigenc</w:t>
      </w:r>
      <w:r w:rsidR="00B076D5" w:rsidRPr="00265E19">
        <w:rPr>
          <w:rFonts w:ascii="Times New Roman" w:hAnsi="Times New Roman" w:cs="Times New Roman"/>
          <w:sz w:val="24"/>
          <w:szCs w:val="24"/>
        </w:rPr>
        <w:t xml:space="preserve">es de fonds propres. Le nouveau </w:t>
      </w:r>
      <w:r w:rsidRPr="00265E19">
        <w:rPr>
          <w:rFonts w:ascii="Times New Roman" w:hAnsi="Times New Roman" w:cs="Times New Roman"/>
          <w:sz w:val="24"/>
          <w:szCs w:val="24"/>
        </w:rPr>
        <w:t>ratio devient donc à compter de 1996 :</w:t>
      </w:r>
    </w:p>
    <w:p w14:paraId="1BA26426" w14:textId="77777777" w:rsidR="002760B2" w:rsidRPr="00265E19" w:rsidRDefault="00C40DAA" w:rsidP="002F0A97">
      <w:pPr>
        <w:pStyle w:val="Paragraphedeliste"/>
        <w:widowControl w:val="0"/>
        <w:tabs>
          <w:tab w:val="left" w:pos="0"/>
        </w:tabs>
        <w:autoSpaceDE w:val="0"/>
        <w:autoSpaceDN w:val="0"/>
        <w:adjustRightInd w:val="0"/>
        <w:spacing w:before="100" w:beforeAutospacing="1" w:after="120" w:line="300" w:lineRule="auto"/>
        <w:ind w:left="0"/>
        <w:contextualSpacing w:val="0"/>
        <w:jc w:val="center"/>
        <w:rPr>
          <w:rFonts w:ascii="Times New Roman" w:hAnsi="Times New Roman" w:cs="Times New Roman"/>
          <w:b/>
          <w:bCs/>
          <w:sz w:val="24"/>
          <w:szCs w:val="24"/>
        </w:rPr>
      </w:pPr>
      <m:oMath>
        <m:f>
          <m:fPr>
            <m:ctrlPr>
              <w:rPr>
                <w:rFonts w:ascii="Cambria Math" w:hAnsi="Times New Roman" w:cs="Times New Roman"/>
                <w:b/>
                <w:bCs/>
                <w:sz w:val="24"/>
                <w:szCs w:val="24"/>
              </w:rPr>
            </m:ctrlPr>
          </m:fPr>
          <m:num>
            <m:r>
              <m:rPr>
                <m:sty m:val="b"/>
              </m:rPr>
              <w:rPr>
                <w:rFonts w:ascii="Cambria Math" w:hAnsi="Times New Roman" w:cs="Times New Roman"/>
                <w:sz w:val="24"/>
                <w:szCs w:val="24"/>
              </w:rPr>
              <m:t>∑</m:t>
            </m:r>
            <m:r>
              <m:rPr>
                <m:sty m:val="b"/>
              </m:rPr>
              <w:rPr>
                <w:rFonts w:ascii="Cambria Math" w:hAnsi="Cambria Math" w:cs="Times New Roman"/>
                <w:sz w:val="24"/>
                <w:szCs w:val="24"/>
              </w:rPr>
              <m:t>Capitaux</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propres</m:t>
            </m:r>
          </m:num>
          <m:den>
            <m:r>
              <m:rPr>
                <m:sty m:val="b"/>
              </m:rPr>
              <w:rPr>
                <w:rFonts w:ascii="Cambria Math" w:hAnsi="Cambria Math" w:cs="Times New Roman"/>
                <w:sz w:val="24"/>
                <w:szCs w:val="24"/>
              </w:rPr>
              <m:t>Risques</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de</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cr</m:t>
            </m:r>
            <m:r>
              <m:rPr>
                <m:sty m:val="b"/>
              </m:rPr>
              <w:rPr>
                <w:rFonts w:ascii="Cambria Math" w:hAnsi="Times New Roman" w:cs="Times New Roman"/>
                <w:sz w:val="24"/>
                <w:szCs w:val="24"/>
              </w:rPr>
              <m:t>é</m:t>
            </m:r>
            <m:r>
              <m:rPr>
                <m:sty m:val="b"/>
              </m:rPr>
              <w:rPr>
                <w:rFonts w:ascii="Cambria Math" w:hAnsi="Cambria Math" w:cs="Times New Roman"/>
                <w:sz w:val="24"/>
                <w:szCs w:val="24"/>
              </w:rPr>
              <m:t>dit</m:t>
            </m:r>
            <m:r>
              <m:rPr>
                <m:sty m:val="b"/>
              </m:rPr>
              <w:rPr>
                <w:rFonts w:ascii="Cambria Math" w:hAnsi="Times New Roman" w:cs="Times New Roman"/>
                <w:sz w:val="24"/>
                <w:szCs w:val="24"/>
              </w:rPr>
              <m:t>+</m:t>
            </m:r>
            <m:r>
              <m:rPr>
                <m:sty m:val="b"/>
              </m:rPr>
              <w:rPr>
                <w:rFonts w:ascii="Cambria Math" w:hAnsi="Cambria Math" w:cs="Times New Roman"/>
                <w:sz w:val="24"/>
                <w:szCs w:val="24"/>
              </w:rPr>
              <m:t>risques</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de</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march</m:t>
            </m:r>
            <m:r>
              <m:rPr>
                <m:sty m:val="b"/>
              </m:rPr>
              <w:rPr>
                <w:rFonts w:ascii="Cambria Math" w:hAnsi="Times New Roman" w:cs="Times New Roman"/>
                <w:sz w:val="24"/>
                <w:szCs w:val="24"/>
              </w:rPr>
              <m:t>é</m:t>
            </m:r>
          </m:den>
        </m:f>
      </m:oMath>
      <w:r w:rsidR="002760B2" w:rsidRPr="00265E19">
        <w:rPr>
          <w:rFonts w:ascii="Times New Roman" w:hAnsi="Times New Roman" w:cs="Times New Roman"/>
          <w:b/>
          <w:bCs/>
          <w:sz w:val="24"/>
          <w:szCs w:val="24"/>
        </w:rPr>
        <w:t>≥ 8%</w:t>
      </w:r>
    </w:p>
    <w:p w14:paraId="3FE8D4E4" w14:textId="77777777" w:rsidR="002760B2" w:rsidRPr="002F0A97" w:rsidRDefault="002760B2" w:rsidP="002F0A97">
      <w:pPr>
        <w:pStyle w:val="Paragraphedeliste"/>
        <w:widowControl w:val="0"/>
        <w:tabs>
          <w:tab w:val="left" w:pos="0"/>
        </w:tabs>
        <w:autoSpaceDE w:val="0"/>
        <w:autoSpaceDN w:val="0"/>
        <w:adjustRightInd w:val="0"/>
        <w:spacing w:before="100" w:beforeAutospacing="1" w:line="300" w:lineRule="auto"/>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Un élément important de cet amendement est l’autorisation cédée aux banques d’utiliser leurs modèles internes pour déterminer les exigences réglementaires en fonds propres au titre des risques de marché mais</w:t>
      </w:r>
      <w:r w:rsidR="009C36BC" w:rsidRPr="002F0A97">
        <w:rPr>
          <w:rFonts w:ascii="Times New Roman" w:hAnsi="Times New Roman" w:cs="Times New Roman"/>
          <w:kern w:val="24"/>
          <w:sz w:val="24"/>
          <w:szCs w:val="24"/>
        </w:rPr>
        <w:t>,</w:t>
      </w:r>
      <w:r w:rsidRPr="002F0A97">
        <w:rPr>
          <w:rFonts w:ascii="Times New Roman" w:hAnsi="Times New Roman" w:cs="Times New Roman"/>
          <w:kern w:val="24"/>
          <w:sz w:val="24"/>
          <w:szCs w:val="24"/>
        </w:rPr>
        <w:t xml:space="preserve"> en respectant les critères quantitatifs et qualitatifs fixés par le </w:t>
      </w:r>
      <w:r w:rsidR="00851EFB" w:rsidRPr="002F0A97">
        <w:rPr>
          <w:rFonts w:ascii="Times New Roman" w:hAnsi="Times New Roman" w:cs="Times New Roman"/>
          <w:kern w:val="24"/>
          <w:sz w:val="24"/>
          <w:szCs w:val="24"/>
        </w:rPr>
        <w:t>Comité</w:t>
      </w:r>
      <w:r w:rsidRPr="002F0A97">
        <w:rPr>
          <w:rFonts w:ascii="Times New Roman" w:hAnsi="Times New Roman" w:cs="Times New Roman"/>
          <w:kern w:val="24"/>
          <w:sz w:val="24"/>
          <w:szCs w:val="24"/>
        </w:rPr>
        <w:t xml:space="preserve"> et de l’approbation des autorités prudentielles de la banque.</w:t>
      </w:r>
    </w:p>
    <w:p w14:paraId="623BFA2B" w14:textId="77777777" w:rsidR="002760B2" w:rsidRPr="002F0A97" w:rsidRDefault="002760B2" w:rsidP="002F0A97">
      <w:pPr>
        <w:pStyle w:val="Paragraphedeliste"/>
        <w:widowControl w:val="0"/>
        <w:tabs>
          <w:tab w:val="left" w:pos="0"/>
        </w:tabs>
        <w:autoSpaceDE w:val="0"/>
        <w:autoSpaceDN w:val="0"/>
        <w:adjustRightInd w:val="0"/>
        <w:spacing w:before="120"/>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 xml:space="preserve">A la montée des années 1990, un nouveau phénomène s’est apparu qui est la croissance explosive des dérivés et donc des risques « hors bilan ». C’est ainsi que plusieurs critiques ont été apportées envers le ratio </w:t>
      </w:r>
      <w:r w:rsidRPr="002F0A97">
        <w:rPr>
          <w:rFonts w:ascii="Times New Roman" w:hAnsi="Times New Roman" w:cs="Times New Roman"/>
          <w:i/>
          <w:iCs/>
          <w:kern w:val="24"/>
          <w:sz w:val="24"/>
          <w:szCs w:val="24"/>
        </w:rPr>
        <w:t>Cooke</w:t>
      </w:r>
      <w:r w:rsidRPr="002F0A97">
        <w:rPr>
          <w:rFonts w:ascii="Times New Roman" w:hAnsi="Times New Roman" w:cs="Times New Roman"/>
          <w:kern w:val="24"/>
          <w:sz w:val="24"/>
          <w:szCs w:val="24"/>
        </w:rPr>
        <w:t> :</w:t>
      </w:r>
    </w:p>
    <w:p w14:paraId="31F922C8" w14:textId="77777777" w:rsidR="002760B2" w:rsidRPr="002F0A97" w:rsidRDefault="002760B2" w:rsidP="00CB0FF1">
      <w:pPr>
        <w:pStyle w:val="Paragraphedeliste"/>
        <w:widowControl w:val="0"/>
        <w:numPr>
          <w:ilvl w:val="0"/>
          <w:numId w:val="64"/>
        </w:numPr>
        <w:tabs>
          <w:tab w:val="left" w:pos="284"/>
          <w:tab w:val="left" w:pos="851"/>
          <w:tab w:val="left" w:pos="1134"/>
        </w:tabs>
        <w:autoSpaceDE w:val="0"/>
        <w:autoSpaceDN w:val="0"/>
        <w:adjustRightInd w:val="0"/>
        <w:spacing w:before="60"/>
        <w:ind w:left="1135" w:hanging="284"/>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Il concerne uniquement le risque de crédit et le risque de marché en négligeant le risque opérationnel.</w:t>
      </w:r>
    </w:p>
    <w:p w14:paraId="3DB8205B" w14:textId="77777777" w:rsidR="002760B2" w:rsidRPr="002F0A97" w:rsidRDefault="00104E60" w:rsidP="00CB0FF1">
      <w:pPr>
        <w:pStyle w:val="Paragraphedeliste"/>
        <w:widowControl w:val="0"/>
        <w:numPr>
          <w:ilvl w:val="0"/>
          <w:numId w:val="64"/>
        </w:numPr>
        <w:tabs>
          <w:tab w:val="left" w:pos="284"/>
          <w:tab w:val="left" w:pos="851"/>
          <w:tab w:val="left" w:pos="1134"/>
        </w:tabs>
        <w:autoSpaceDE w:val="0"/>
        <w:autoSpaceDN w:val="0"/>
        <w:adjustRightInd w:val="0"/>
        <w:spacing w:before="60"/>
        <w:ind w:left="1135" w:hanging="284"/>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On remarque une m</w:t>
      </w:r>
      <w:r w:rsidR="002760B2" w:rsidRPr="002F0A97">
        <w:rPr>
          <w:rFonts w:ascii="Times New Roman" w:hAnsi="Times New Roman" w:cs="Times New Roman"/>
          <w:kern w:val="24"/>
          <w:sz w:val="24"/>
          <w:szCs w:val="24"/>
        </w:rPr>
        <w:t>auvaise implication des s</w:t>
      </w:r>
      <w:r w:rsidRPr="002F0A97">
        <w:rPr>
          <w:rFonts w:ascii="Times New Roman" w:hAnsi="Times New Roman" w:cs="Times New Roman"/>
          <w:kern w:val="24"/>
          <w:sz w:val="24"/>
          <w:szCs w:val="24"/>
        </w:rPr>
        <w:t>û</w:t>
      </w:r>
      <w:r w:rsidR="002760B2" w:rsidRPr="002F0A97">
        <w:rPr>
          <w:rFonts w:ascii="Times New Roman" w:hAnsi="Times New Roman" w:cs="Times New Roman"/>
          <w:kern w:val="24"/>
          <w:sz w:val="24"/>
          <w:szCs w:val="24"/>
        </w:rPr>
        <w:t>retés, garanties et dérivés de crédit.</w:t>
      </w:r>
    </w:p>
    <w:p w14:paraId="5BBE2AC2" w14:textId="77777777" w:rsidR="002760B2" w:rsidRPr="002F0A97" w:rsidRDefault="002760B2" w:rsidP="00CB0FF1">
      <w:pPr>
        <w:pStyle w:val="Paragraphedeliste"/>
        <w:widowControl w:val="0"/>
        <w:numPr>
          <w:ilvl w:val="0"/>
          <w:numId w:val="64"/>
        </w:numPr>
        <w:tabs>
          <w:tab w:val="left" w:pos="284"/>
          <w:tab w:val="left" w:pos="851"/>
          <w:tab w:val="left" w:pos="1134"/>
        </w:tabs>
        <w:autoSpaceDE w:val="0"/>
        <w:autoSpaceDN w:val="0"/>
        <w:adjustRightInd w:val="0"/>
        <w:spacing w:before="60"/>
        <w:ind w:left="1135" w:hanging="284"/>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La gestion des risques selon l’accord de Bâle I est concentrée sur une surveillance bancaire quantitative et</w:t>
      </w:r>
      <w:r w:rsidR="00104E60" w:rsidRPr="002F0A97">
        <w:rPr>
          <w:rFonts w:ascii="Times New Roman" w:hAnsi="Times New Roman" w:cs="Times New Roman"/>
          <w:kern w:val="24"/>
          <w:sz w:val="24"/>
          <w:szCs w:val="24"/>
        </w:rPr>
        <w:t>, de ce fait,</w:t>
      </w:r>
      <w:r w:rsidRPr="002F0A97">
        <w:rPr>
          <w:rFonts w:ascii="Times New Roman" w:hAnsi="Times New Roman" w:cs="Times New Roman"/>
          <w:kern w:val="24"/>
          <w:sz w:val="24"/>
          <w:szCs w:val="24"/>
        </w:rPr>
        <w:t xml:space="preserve"> néglige la surveillance qualitative et individuelle des établissements désormais plus répandue.</w:t>
      </w:r>
    </w:p>
    <w:p w14:paraId="297B3D4E" w14:textId="54AFD5FB" w:rsidR="002760B2" w:rsidRPr="002F0A97" w:rsidRDefault="002760B2" w:rsidP="00CB0FF1">
      <w:pPr>
        <w:pStyle w:val="Paragraphedeliste"/>
        <w:widowControl w:val="0"/>
        <w:numPr>
          <w:ilvl w:val="0"/>
          <w:numId w:val="64"/>
        </w:numPr>
        <w:tabs>
          <w:tab w:val="left" w:pos="284"/>
          <w:tab w:val="left" w:pos="851"/>
          <w:tab w:val="left" w:pos="1134"/>
        </w:tabs>
        <w:autoSpaceDE w:val="0"/>
        <w:autoSpaceDN w:val="0"/>
        <w:adjustRightInd w:val="0"/>
        <w:spacing w:before="60"/>
        <w:ind w:left="1135" w:hanging="284"/>
        <w:contextualSpacing w:val="0"/>
        <w:rPr>
          <w:rFonts w:ascii="Times New Roman" w:hAnsi="Times New Roman" w:cs="Times New Roman"/>
          <w:spacing w:val="-6"/>
          <w:kern w:val="24"/>
          <w:sz w:val="24"/>
          <w:szCs w:val="24"/>
        </w:rPr>
      </w:pPr>
      <w:r w:rsidRPr="002F0A97">
        <w:rPr>
          <w:rFonts w:ascii="Times New Roman" w:hAnsi="Times New Roman" w:cs="Times New Roman"/>
          <w:spacing w:val="-6"/>
          <w:kern w:val="24"/>
          <w:sz w:val="24"/>
          <w:szCs w:val="24"/>
        </w:rPr>
        <w:t xml:space="preserve">Ce ratio ne </w:t>
      </w:r>
      <w:r w:rsidR="00131837" w:rsidRPr="002F0A97">
        <w:rPr>
          <w:rFonts w:ascii="Times New Roman" w:hAnsi="Times New Roman" w:cs="Times New Roman"/>
          <w:spacing w:val="-6"/>
          <w:kern w:val="24"/>
          <w:sz w:val="24"/>
          <w:szCs w:val="24"/>
        </w:rPr>
        <w:t>tient pas compte de</w:t>
      </w:r>
      <w:r w:rsidRPr="002F0A97">
        <w:rPr>
          <w:rFonts w:ascii="Times New Roman" w:hAnsi="Times New Roman" w:cs="Times New Roman"/>
          <w:spacing w:val="-6"/>
          <w:kern w:val="24"/>
          <w:sz w:val="24"/>
          <w:szCs w:val="24"/>
        </w:rPr>
        <w:t xml:space="preserve"> la probabilité de défaut de la contrepartie, </w:t>
      </w:r>
      <w:r w:rsidR="00131837" w:rsidRPr="002F0A97">
        <w:rPr>
          <w:rFonts w:ascii="Times New Roman" w:hAnsi="Times New Roman" w:cs="Times New Roman"/>
          <w:spacing w:val="-6"/>
          <w:kern w:val="24"/>
          <w:sz w:val="24"/>
          <w:szCs w:val="24"/>
        </w:rPr>
        <w:t xml:space="preserve">de </w:t>
      </w:r>
      <w:r w:rsidRPr="002F0A97">
        <w:rPr>
          <w:rFonts w:ascii="Times New Roman" w:hAnsi="Times New Roman" w:cs="Times New Roman"/>
          <w:spacing w:val="-6"/>
          <w:kern w:val="24"/>
          <w:sz w:val="24"/>
          <w:szCs w:val="24"/>
        </w:rPr>
        <w:t>l’évolution dans le temps et ne semble être adapté aux nouveaux instruments financiers.</w:t>
      </w:r>
    </w:p>
    <w:p w14:paraId="77EB913B" w14:textId="77777777" w:rsidR="002760B2" w:rsidRPr="002F0A97" w:rsidRDefault="002760B2" w:rsidP="00CB0FF1">
      <w:pPr>
        <w:pStyle w:val="Paragraphedeliste"/>
        <w:widowControl w:val="0"/>
        <w:numPr>
          <w:ilvl w:val="0"/>
          <w:numId w:val="64"/>
        </w:numPr>
        <w:tabs>
          <w:tab w:val="left" w:pos="284"/>
          <w:tab w:val="left" w:pos="851"/>
          <w:tab w:val="left" w:pos="1134"/>
        </w:tabs>
        <w:autoSpaceDE w:val="0"/>
        <w:autoSpaceDN w:val="0"/>
        <w:adjustRightInd w:val="0"/>
        <w:spacing w:before="60"/>
        <w:ind w:left="1135" w:hanging="284"/>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Le capital réglementaire ne reflète pas le capital économique calculé par les banques pour mesurer les risques réels.</w:t>
      </w:r>
    </w:p>
    <w:p w14:paraId="232F719B" w14:textId="77777777" w:rsidR="002760B2" w:rsidRPr="00072BEE" w:rsidRDefault="005E0628" w:rsidP="002F0A97">
      <w:pPr>
        <w:pStyle w:val="Titre5"/>
        <w:keepNext w:val="0"/>
        <w:keepLines w:val="0"/>
        <w:spacing w:before="100" w:beforeAutospacing="1" w:after="120" w:line="300" w:lineRule="auto"/>
        <w:ind w:firstLine="709"/>
        <w:rPr>
          <w:rFonts w:asciiTheme="majorBidi" w:hAnsiTheme="majorBidi"/>
          <w:b/>
          <w:bCs/>
          <w:color w:val="auto"/>
          <w:sz w:val="24"/>
          <w:szCs w:val="24"/>
        </w:rPr>
      </w:pPr>
      <w:bookmarkStart w:id="942" w:name="_Toc182298758"/>
      <w:r w:rsidRPr="00072BEE">
        <w:rPr>
          <w:rFonts w:asciiTheme="majorBidi" w:hAnsiTheme="majorBidi"/>
          <w:b/>
          <w:bCs/>
          <w:color w:val="auto"/>
          <w:sz w:val="24"/>
          <w:szCs w:val="24"/>
        </w:rPr>
        <w:lastRenderedPageBreak/>
        <w:t xml:space="preserve">2.6.2.2- </w:t>
      </w:r>
      <w:r w:rsidR="00B076D5" w:rsidRPr="00072BEE">
        <w:rPr>
          <w:rFonts w:asciiTheme="majorBidi" w:hAnsiTheme="majorBidi"/>
          <w:b/>
          <w:bCs/>
          <w:color w:val="auto"/>
          <w:sz w:val="24"/>
          <w:szCs w:val="24"/>
        </w:rPr>
        <w:t>Bâle II</w:t>
      </w:r>
      <w:bookmarkEnd w:id="942"/>
      <w:r w:rsidR="00104E60" w:rsidRPr="00072BEE">
        <w:rPr>
          <w:rFonts w:asciiTheme="majorBidi" w:hAnsiTheme="majorBidi"/>
          <w:b/>
          <w:bCs/>
          <w:color w:val="auto"/>
          <w:sz w:val="24"/>
          <w:szCs w:val="24"/>
        </w:rPr>
        <w:t xml:space="preserve"> </w:t>
      </w:r>
    </w:p>
    <w:p w14:paraId="6E2613CF" w14:textId="77777777" w:rsidR="002760B2" w:rsidRPr="00265E19" w:rsidRDefault="002760B2" w:rsidP="00B22BB4">
      <w:pPr>
        <w:pStyle w:val="Paragraphedeliste"/>
        <w:widowControl w:val="0"/>
        <w:tabs>
          <w:tab w:val="left" w:pos="0"/>
        </w:tabs>
        <w:autoSpaceDE w:val="0"/>
        <w:autoSpaceDN w:val="0"/>
        <w:adjustRightInd w:val="0"/>
        <w:spacing w:before="120" w:after="120" w:line="300" w:lineRule="auto"/>
        <w:ind w:left="0" w:firstLine="709"/>
        <w:contextualSpacing w:val="0"/>
        <w:rPr>
          <w:rFonts w:ascii="Times New Roman" w:hAnsi="Times New Roman" w:cs="Times New Roman"/>
          <w:sz w:val="24"/>
          <w:szCs w:val="24"/>
        </w:rPr>
      </w:pPr>
      <w:r w:rsidRPr="00265E19">
        <w:rPr>
          <w:rFonts w:ascii="Times New Roman" w:hAnsi="Times New Roman" w:cs="Times New Roman"/>
          <w:sz w:val="24"/>
          <w:szCs w:val="24"/>
        </w:rPr>
        <w:t xml:space="preserve">En réponse aux insuffisances de Bâle I, le </w:t>
      </w:r>
      <w:r w:rsidR="00851EFB">
        <w:rPr>
          <w:rFonts w:ascii="Times New Roman" w:hAnsi="Times New Roman" w:cs="Times New Roman"/>
          <w:sz w:val="24"/>
          <w:szCs w:val="24"/>
        </w:rPr>
        <w:t>Comité</w:t>
      </w:r>
      <w:r w:rsidRPr="00265E19">
        <w:rPr>
          <w:rFonts w:ascii="Times New Roman" w:hAnsi="Times New Roman" w:cs="Times New Roman"/>
          <w:sz w:val="24"/>
          <w:szCs w:val="24"/>
        </w:rPr>
        <w:t xml:space="preserve"> a élaboré et a approuvé formellement une nouvelle réglementation relative aux exigences en fonds propres des banq</w:t>
      </w:r>
      <w:r w:rsidR="00B22BB4">
        <w:rPr>
          <w:rFonts w:ascii="Times New Roman" w:hAnsi="Times New Roman" w:cs="Times New Roman"/>
          <w:sz w:val="24"/>
          <w:szCs w:val="24"/>
        </w:rPr>
        <w:t xml:space="preserve">ues ; c’est l’accord de Bâle II. </w:t>
      </w:r>
      <w:r w:rsidR="00B22BB4" w:rsidRPr="00B22BB4">
        <w:rPr>
          <w:rFonts w:asciiTheme="majorBidi" w:hAnsiTheme="majorBidi" w:cstheme="majorBidi"/>
          <w:color w:val="202124"/>
          <w:sz w:val="24"/>
          <w:szCs w:val="24"/>
          <w:shd w:val="clear" w:color="auto" w:fill="FFFFFF"/>
        </w:rPr>
        <w:t>Il est adopté par les banques centrales en 2004 et introduit fin 2006 dans les différents pays concernés</w:t>
      </w:r>
      <w:r w:rsidR="00B22BB4">
        <w:rPr>
          <w:rFonts w:ascii="Arial" w:hAnsi="Arial" w:cs="Arial"/>
          <w:color w:val="202124"/>
          <w:shd w:val="clear" w:color="auto" w:fill="FFFFFF"/>
        </w:rPr>
        <w:t>.</w:t>
      </w:r>
    </w:p>
    <w:p w14:paraId="45D2D77F" w14:textId="134F4BED" w:rsidR="002760B2" w:rsidRPr="00265E19" w:rsidRDefault="002760B2" w:rsidP="00B22BB4">
      <w:pPr>
        <w:tabs>
          <w:tab w:val="left" w:pos="0"/>
        </w:tabs>
        <w:spacing w:before="120" w:after="120" w:line="300" w:lineRule="auto"/>
        <w:ind w:firstLine="709"/>
        <w:rPr>
          <w:rFonts w:ascii="Times New Roman" w:hAnsi="Times New Roman" w:cs="Times New Roman"/>
          <w:sz w:val="24"/>
          <w:szCs w:val="24"/>
        </w:rPr>
      </w:pPr>
      <w:r w:rsidRPr="00265E19">
        <w:rPr>
          <w:rFonts w:ascii="Times New Roman" w:hAnsi="Times New Roman" w:cs="Times New Roman"/>
          <w:sz w:val="24"/>
          <w:szCs w:val="24"/>
        </w:rPr>
        <w:t xml:space="preserve">Les recommandations de ce nouvel accord définissent une mesure plus pertinente du risque de crédit avec la prise en compte de la qualité de l’emprunteur ainsi que la prise en compte du risque de marché et du risque opérationnel. De plus, selon </w:t>
      </w:r>
      <w:r w:rsidRPr="00265E19">
        <w:rPr>
          <w:rFonts w:ascii="Times New Roman" w:hAnsi="Times New Roman" w:cs="Times New Roman"/>
          <w:smallCaps/>
          <w:sz w:val="24"/>
          <w:szCs w:val="24"/>
        </w:rPr>
        <w:t>V</w:t>
      </w:r>
      <w:r w:rsidR="00104E60">
        <w:rPr>
          <w:rFonts w:ascii="Times New Roman" w:hAnsi="Times New Roman" w:cs="Times New Roman"/>
          <w:smallCaps/>
          <w:sz w:val="24"/>
          <w:szCs w:val="24"/>
        </w:rPr>
        <w:t>o</w:t>
      </w:r>
      <w:r w:rsidRPr="00265E19">
        <w:rPr>
          <w:rFonts w:ascii="Times New Roman" w:hAnsi="Times New Roman" w:cs="Times New Roman"/>
          <w:smallCaps/>
          <w:sz w:val="24"/>
          <w:szCs w:val="24"/>
        </w:rPr>
        <w:t xml:space="preserve"> </w:t>
      </w:r>
      <w:r w:rsidR="00104E60">
        <w:rPr>
          <w:rFonts w:ascii="Times New Roman" w:hAnsi="Times New Roman" w:cs="Times New Roman"/>
          <w:smallCaps/>
          <w:sz w:val="24"/>
          <w:szCs w:val="24"/>
        </w:rPr>
        <w:t>Thi</w:t>
      </w:r>
      <w:r w:rsidRPr="00265E19">
        <w:rPr>
          <w:rFonts w:ascii="Times New Roman" w:hAnsi="Times New Roman" w:cs="Times New Roman"/>
          <w:smallCaps/>
          <w:sz w:val="24"/>
          <w:szCs w:val="24"/>
        </w:rPr>
        <w:t xml:space="preserve"> </w:t>
      </w:r>
      <w:r w:rsidRPr="00265E19">
        <w:rPr>
          <w:rFonts w:ascii="Times New Roman" w:hAnsi="Times New Roman" w:cs="Times New Roman"/>
          <w:sz w:val="24"/>
          <w:szCs w:val="24"/>
        </w:rPr>
        <w:t xml:space="preserve">(2004), cette nouvelle réglementation </w:t>
      </w:r>
      <w:r w:rsidR="00B22BB4">
        <w:rPr>
          <w:rFonts w:ascii="Times New Roman" w:hAnsi="Times New Roman" w:cs="Times New Roman"/>
          <w:sz w:val="24"/>
          <w:szCs w:val="24"/>
        </w:rPr>
        <w:t>a</w:t>
      </w:r>
      <w:r w:rsidRPr="00265E19">
        <w:rPr>
          <w:rFonts w:ascii="Times New Roman" w:hAnsi="Times New Roman" w:cs="Times New Roman"/>
          <w:sz w:val="24"/>
          <w:szCs w:val="24"/>
        </w:rPr>
        <w:t xml:space="preserve"> un effet sur l’offre et la demande de crédit. Avant cette réforme, quel</w:t>
      </w:r>
      <w:r w:rsidR="002F0A97">
        <w:rPr>
          <w:rFonts w:ascii="Times New Roman" w:hAnsi="Times New Roman" w:cs="Times New Roman"/>
          <w:sz w:val="24"/>
          <w:szCs w:val="24"/>
        </w:rPr>
        <w:t xml:space="preserve"> </w:t>
      </w:r>
      <w:r w:rsidRPr="00265E19">
        <w:rPr>
          <w:rFonts w:ascii="Times New Roman" w:hAnsi="Times New Roman" w:cs="Times New Roman"/>
          <w:sz w:val="24"/>
          <w:szCs w:val="24"/>
        </w:rPr>
        <w:t xml:space="preserve">que soit le niveau du risque de l’emprunteur, l’offre de </w:t>
      </w:r>
      <w:r w:rsidRPr="00B22BB4">
        <w:rPr>
          <w:rFonts w:ascii="Times New Roman" w:hAnsi="Times New Roman" w:cs="Times New Roman"/>
          <w:sz w:val="24"/>
          <w:szCs w:val="24"/>
        </w:rPr>
        <w:t xml:space="preserve">crédit </w:t>
      </w:r>
      <w:r w:rsidR="00B22BB4" w:rsidRPr="00B22BB4">
        <w:rPr>
          <w:rFonts w:ascii="Times New Roman" w:hAnsi="Times New Roman" w:cs="Times New Roman"/>
          <w:sz w:val="24"/>
          <w:szCs w:val="24"/>
        </w:rPr>
        <w:t>restait</w:t>
      </w:r>
      <w:r w:rsidRPr="00265E19">
        <w:rPr>
          <w:rFonts w:ascii="Times New Roman" w:hAnsi="Times New Roman" w:cs="Times New Roman"/>
          <w:sz w:val="24"/>
          <w:szCs w:val="24"/>
        </w:rPr>
        <w:t xml:space="preserve"> la même et le degré de risque encouru est compensé par un taux d’intérêt plus élevé</w:t>
      </w:r>
      <w:r w:rsidRPr="00265E19">
        <w:rPr>
          <w:rStyle w:val="Appelnotedebasdep"/>
          <w:rFonts w:ascii="Times New Roman" w:hAnsi="Times New Roman"/>
          <w:sz w:val="24"/>
          <w:szCs w:val="24"/>
        </w:rPr>
        <w:footnoteReference w:id="222"/>
      </w:r>
      <w:r w:rsidR="00667D44" w:rsidRPr="00265E19">
        <w:rPr>
          <w:rFonts w:ascii="Times New Roman" w:hAnsi="Times New Roman" w:cs="Times New Roman"/>
          <w:sz w:val="24"/>
          <w:szCs w:val="24"/>
        </w:rPr>
        <w:t>.</w:t>
      </w:r>
    </w:p>
    <w:p w14:paraId="44A2012C" w14:textId="77777777" w:rsidR="002760B2" w:rsidRPr="00265E19" w:rsidRDefault="002760B2" w:rsidP="00265E19">
      <w:pPr>
        <w:tabs>
          <w:tab w:val="left" w:pos="0"/>
        </w:tabs>
        <w:spacing w:before="120" w:after="120" w:line="300" w:lineRule="auto"/>
        <w:ind w:firstLine="709"/>
        <w:rPr>
          <w:rFonts w:ascii="Times New Roman" w:hAnsi="Times New Roman" w:cs="Times New Roman"/>
          <w:sz w:val="24"/>
          <w:szCs w:val="24"/>
        </w:rPr>
      </w:pPr>
      <w:r w:rsidRPr="00265E19">
        <w:rPr>
          <w:rFonts w:ascii="Times New Roman" w:hAnsi="Times New Roman" w:cs="Times New Roman"/>
          <w:sz w:val="24"/>
          <w:szCs w:val="24"/>
        </w:rPr>
        <w:t>Avec Bâle II, le capital règlementaire exigé cr</w:t>
      </w:r>
      <w:r w:rsidRPr="006A100F">
        <w:rPr>
          <w:rFonts w:ascii="Times New Roman" w:hAnsi="Times New Roman" w:cs="Times New Roman"/>
          <w:sz w:val="24"/>
          <w:szCs w:val="24"/>
        </w:rPr>
        <w:t>o</w:t>
      </w:r>
      <w:r w:rsidR="00104E60" w:rsidRPr="006A100F">
        <w:rPr>
          <w:rFonts w:ascii="Times New Roman" w:hAnsi="Times New Roman" w:cs="Times New Roman"/>
          <w:sz w:val="24"/>
          <w:szCs w:val="24"/>
        </w:rPr>
        <w:t>î</w:t>
      </w:r>
      <w:r w:rsidRPr="006A100F">
        <w:rPr>
          <w:rFonts w:ascii="Times New Roman" w:hAnsi="Times New Roman" w:cs="Times New Roman"/>
          <w:sz w:val="24"/>
          <w:szCs w:val="24"/>
        </w:rPr>
        <w:t>t</w:t>
      </w:r>
      <w:r w:rsidRPr="00265E19">
        <w:rPr>
          <w:rFonts w:ascii="Times New Roman" w:hAnsi="Times New Roman" w:cs="Times New Roman"/>
          <w:sz w:val="24"/>
          <w:szCs w:val="24"/>
        </w:rPr>
        <w:t xml:space="preserve"> avec la probabilité de défaut de l’emprunteur. Donc</w:t>
      </w:r>
      <w:r w:rsidR="00104E60">
        <w:rPr>
          <w:rFonts w:ascii="Times New Roman" w:hAnsi="Times New Roman" w:cs="Times New Roman"/>
          <w:sz w:val="24"/>
          <w:szCs w:val="24"/>
        </w:rPr>
        <w:t>,</w:t>
      </w:r>
      <w:r w:rsidRPr="00265E19">
        <w:rPr>
          <w:rFonts w:ascii="Times New Roman" w:hAnsi="Times New Roman" w:cs="Times New Roman"/>
          <w:sz w:val="24"/>
          <w:szCs w:val="24"/>
        </w:rPr>
        <w:t xml:space="preserve"> plus l’emprunteur est risqué plus sera la diminution de l’offre de crédit. Ceci s’explique par le fait que, pour un emprunteur risqué, la banque doit disposer d’un capital élevé</w:t>
      </w:r>
      <w:r w:rsidR="00104E60">
        <w:rPr>
          <w:rFonts w:ascii="Times New Roman" w:hAnsi="Times New Roman" w:cs="Times New Roman"/>
          <w:sz w:val="24"/>
          <w:szCs w:val="24"/>
        </w:rPr>
        <w:t> ;</w:t>
      </w:r>
      <w:r w:rsidRPr="00265E19">
        <w:rPr>
          <w:rFonts w:ascii="Times New Roman" w:hAnsi="Times New Roman" w:cs="Times New Roman"/>
          <w:sz w:val="24"/>
          <w:szCs w:val="24"/>
        </w:rPr>
        <w:t xml:space="preserve"> le rendement du capital de la banque se trouve réduit</w:t>
      </w:r>
      <w:r w:rsidRPr="00265E19">
        <w:rPr>
          <w:rStyle w:val="Appelnotedebasdep"/>
          <w:rFonts w:ascii="Times New Roman" w:hAnsi="Times New Roman"/>
          <w:sz w:val="24"/>
          <w:szCs w:val="24"/>
        </w:rPr>
        <w:footnoteReference w:id="223"/>
      </w:r>
      <w:r w:rsidRPr="00265E19">
        <w:rPr>
          <w:rFonts w:ascii="Times New Roman" w:hAnsi="Times New Roman" w:cs="Times New Roman"/>
          <w:sz w:val="24"/>
          <w:szCs w:val="24"/>
        </w:rPr>
        <w:t>. Par conséquent, la tarification du crédit varie selon le capital</w:t>
      </w:r>
      <w:r w:rsidR="00002215" w:rsidRPr="00265E19">
        <w:rPr>
          <w:rFonts w:ascii="Times New Roman" w:hAnsi="Times New Roman" w:cs="Times New Roman"/>
          <w:sz w:val="24"/>
          <w:szCs w:val="24"/>
        </w:rPr>
        <w:t xml:space="preserve"> exigé sur le crédit octroyé.</w:t>
      </w:r>
    </w:p>
    <w:p w14:paraId="1613CD41" w14:textId="77777777" w:rsidR="002760B2" w:rsidRPr="00265E19" w:rsidRDefault="002760B2" w:rsidP="00A644BC">
      <w:pPr>
        <w:pStyle w:val="Paragraphedeliste"/>
        <w:widowControl w:val="0"/>
        <w:tabs>
          <w:tab w:val="left" w:pos="0"/>
        </w:tabs>
        <w:autoSpaceDE w:val="0"/>
        <w:autoSpaceDN w:val="0"/>
        <w:adjustRightInd w:val="0"/>
        <w:spacing w:before="120" w:after="120" w:line="300" w:lineRule="auto"/>
        <w:ind w:left="0" w:firstLine="709"/>
        <w:contextualSpacing w:val="0"/>
        <w:rPr>
          <w:rFonts w:ascii="Times New Roman" w:hAnsi="Times New Roman" w:cs="Times New Roman"/>
          <w:sz w:val="24"/>
          <w:szCs w:val="24"/>
        </w:rPr>
      </w:pPr>
      <w:r w:rsidRPr="00265E19">
        <w:rPr>
          <w:rFonts w:ascii="Times New Roman" w:hAnsi="Times New Roman" w:cs="Times New Roman"/>
          <w:sz w:val="24"/>
          <w:szCs w:val="24"/>
        </w:rPr>
        <w:t xml:space="preserve">Dans le cadre des travaux menés par le </w:t>
      </w:r>
      <w:r w:rsidR="00851EFB">
        <w:rPr>
          <w:rFonts w:ascii="Times New Roman" w:hAnsi="Times New Roman" w:cs="Times New Roman"/>
          <w:sz w:val="24"/>
          <w:szCs w:val="24"/>
        </w:rPr>
        <w:t>Comité</w:t>
      </w:r>
      <w:r w:rsidRPr="00265E19">
        <w:rPr>
          <w:rFonts w:ascii="Times New Roman" w:hAnsi="Times New Roman" w:cs="Times New Roman"/>
          <w:sz w:val="24"/>
          <w:szCs w:val="24"/>
        </w:rPr>
        <w:t xml:space="preserve"> de Bâle, le ratio de solvabilité des établissements bancaires a fait l’objet d’une réforme importante à l’échéance de fin 2006. En fait, un nouveau ratio appelé </w:t>
      </w:r>
      <w:r w:rsidRPr="00265E19">
        <w:rPr>
          <w:rFonts w:ascii="Times New Roman" w:hAnsi="Times New Roman" w:cs="Times New Roman"/>
          <w:i/>
          <w:iCs/>
          <w:sz w:val="24"/>
          <w:szCs w:val="24"/>
        </w:rPr>
        <w:t>McDonough</w:t>
      </w:r>
      <w:r w:rsidRPr="00265E19">
        <w:rPr>
          <w:rFonts w:ascii="Times New Roman" w:hAnsi="Times New Roman" w:cs="Times New Roman"/>
          <w:sz w:val="24"/>
          <w:szCs w:val="24"/>
        </w:rPr>
        <w:t xml:space="preserve"> a remplacé le ratio </w:t>
      </w:r>
      <w:r w:rsidRPr="00265E19">
        <w:rPr>
          <w:rFonts w:ascii="Times New Roman" w:hAnsi="Times New Roman" w:cs="Times New Roman"/>
          <w:i/>
          <w:iCs/>
          <w:sz w:val="24"/>
          <w:szCs w:val="24"/>
        </w:rPr>
        <w:t>Cooke</w:t>
      </w:r>
      <w:r w:rsidRPr="00265E19">
        <w:rPr>
          <w:rFonts w:ascii="Times New Roman" w:hAnsi="Times New Roman" w:cs="Times New Roman"/>
          <w:sz w:val="24"/>
          <w:szCs w:val="24"/>
        </w:rPr>
        <w:t> :</w:t>
      </w:r>
    </w:p>
    <w:p w14:paraId="10B5E90B" w14:textId="77777777" w:rsidR="002760B2" w:rsidRPr="00265E19" w:rsidRDefault="002760B2" w:rsidP="007B64B9">
      <w:pPr>
        <w:pStyle w:val="Paragraphedeliste"/>
        <w:widowControl w:val="0"/>
        <w:tabs>
          <w:tab w:val="left" w:pos="0"/>
        </w:tabs>
        <w:autoSpaceDE w:val="0"/>
        <w:autoSpaceDN w:val="0"/>
        <w:adjustRightInd w:val="0"/>
        <w:spacing w:before="100" w:beforeAutospacing="1" w:after="100" w:afterAutospacing="1" w:line="360" w:lineRule="auto"/>
        <w:ind w:left="0"/>
        <w:contextualSpacing w:val="0"/>
        <w:jc w:val="center"/>
        <w:rPr>
          <w:rFonts w:ascii="Times New Roman" w:hAnsi="Times New Roman" w:cs="Times New Roman"/>
          <w:sz w:val="24"/>
          <w:szCs w:val="24"/>
          <w:lang w:val="en-GB"/>
        </w:rPr>
      </w:pPr>
      <w:r w:rsidRPr="00265E19">
        <w:rPr>
          <w:rFonts w:ascii="Times New Roman" w:hAnsi="Times New Roman" w:cs="Times New Roman"/>
          <w:b/>
          <w:bCs/>
          <w:sz w:val="24"/>
          <w:szCs w:val="24"/>
          <w:lang w:val="en-GB"/>
        </w:rPr>
        <w:t xml:space="preserve">Ratio </w:t>
      </w:r>
      <w:r w:rsidRPr="00085405">
        <w:rPr>
          <w:rFonts w:ascii="Times New Roman" w:hAnsi="Times New Roman" w:cs="Times New Roman"/>
          <w:b/>
          <w:bCs/>
          <w:i/>
          <w:iCs/>
          <w:sz w:val="24"/>
          <w:szCs w:val="24"/>
          <w:lang w:val="en-GB"/>
        </w:rPr>
        <w:t>McDonough</w:t>
      </w:r>
      <w:r w:rsidRPr="00265E19">
        <w:rPr>
          <w:rFonts w:ascii="Times New Roman" w:hAnsi="Times New Roman" w:cs="Times New Roman"/>
          <w:sz w:val="24"/>
          <w:szCs w:val="24"/>
          <w:lang w:val="en-GB"/>
        </w:rPr>
        <w:t xml:space="preserve"> = </w:t>
      </w:r>
      <m:oMath>
        <m:f>
          <m:fPr>
            <m:ctrlPr>
              <w:rPr>
                <w:rFonts w:ascii="Cambria Math" w:hAnsi="Times New Roman" w:cs="Times New Roman"/>
                <w:b/>
                <w:bCs/>
                <w:iCs/>
                <w:sz w:val="24"/>
                <w:szCs w:val="24"/>
              </w:rPr>
            </m:ctrlPr>
          </m:fPr>
          <m:num>
            <m:r>
              <m:rPr>
                <m:sty m:val="b"/>
              </m:rPr>
              <w:rPr>
                <w:rFonts w:ascii="Times New Roman" w:hAnsi="Times New Roman" w:cs="Times New Roman"/>
                <w:sz w:val="24"/>
                <w:szCs w:val="24"/>
                <w:lang w:val="en-GB"/>
              </w:rPr>
              <m:t>∑</m:t>
            </m:r>
            <m:r>
              <m:rPr>
                <m:sty m:val="b"/>
              </m:rPr>
              <w:rPr>
                <w:rFonts w:ascii="Cambria Math" w:hAnsi="Cambria Math" w:cs="Times New Roman"/>
                <w:sz w:val="24"/>
                <w:szCs w:val="24"/>
              </w:rPr>
              <m:t>fonds</m:t>
            </m:r>
            <m:r>
              <m:rPr>
                <m:sty m:val="b"/>
              </m:rPr>
              <w:rPr>
                <w:rFonts w:ascii="Cambria Math" w:hAnsi="Times New Roman" w:cs="Times New Roman"/>
                <w:sz w:val="24"/>
                <w:szCs w:val="24"/>
                <w:lang w:val="en-GB"/>
              </w:rPr>
              <m:t xml:space="preserve"> </m:t>
            </m:r>
            <m:r>
              <m:rPr>
                <m:sty m:val="b"/>
              </m:rPr>
              <w:rPr>
                <w:rFonts w:ascii="Cambria Math" w:hAnsi="Cambria Math" w:cs="Times New Roman"/>
                <w:sz w:val="24"/>
                <w:szCs w:val="24"/>
              </w:rPr>
              <m:t>propres</m:t>
            </m:r>
          </m:num>
          <m:den>
            <m:r>
              <m:rPr>
                <m:sty m:val="b"/>
              </m:rPr>
              <w:rPr>
                <w:rFonts w:ascii="Cambria Math" w:hAnsi="Cambria Math" w:cs="Times New Roman"/>
                <w:sz w:val="24"/>
                <w:szCs w:val="24"/>
              </w:rPr>
              <m:t>Risques</m:t>
            </m:r>
            <m:r>
              <m:rPr>
                <m:sty m:val="b"/>
              </m:rPr>
              <w:rPr>
                <w:rFonts w:ascii="Cambria Math" w:hAnsi="Times New Roman" w:cs="Times New Roman"/>
                <w:sz w:val="24"/>
                <w:szCs w:val="24"/>
                <w:lang w:val="en-GB"/>
              </w:rPr>
              <m:t xml:space="preserve"> </m:t>
            </m:r>
            <m:r>
              <m:rPr>
                <m:sty m:val="b"/>
              </m:rPr>
              <w:rPr>
                <w:rFonts w:ascii="Cambria Math" w:hAnsi="Cambria Math" w:cs="Times New Roman"/>
                <w:sz w:val="24"/>
                <w:szCs w:val="24"/>
              </w:rPr>
              <m:t>de</m:t>
            </m:r>
            <m:r>
              <m:rPr>
                <m:sty m:val="b"/>
              </m:rPr>
              <w:rPr>
                <w:rFonts w:ascii="Cambria Math" w:hAnsi="Times New Roman" w:cs="Times New Roman"/>
                <w:sz w:val="24"/>
                <w:szCs w:val="24"/>
                <w:lang w:val="en-GB"/>
              </w:rPr>
              <m:t xml:space="preserve"> </m:t>
            </m:r>
            <m:r>
              <m:rPr>
                <m:sty m:val="b"/>
              </m:rPr>
              <w:rPr>
                <w:rFonts w:ascii="Cambria Math" w:hAnsi="Cambria Math" w:cs="Times New Roman"/>
                <w:sz w:val="24"/>
                <w:szCs w:val="24"/>
              </w:rPr>
              <m:t>cr</m:t>
            </m:r>
            <m:r>
              <m:rPr>
                <m:sty m:val="b"/>
              </m:rPr>
              <w:rPr>
                <w:rFonts w:ascii="Times New Roman" w:hAnsi="Times New Roman" w:cs="Times New Roman"/>
                <w:sz w:val="24"/>
                <w:szCs w:val="24"/>
                <w:lang w:val="en-GB"/>
              </w:rPr>
              <m:t>é</m:t>
            </m:r>
            <m:r>
              <m:rPr>
                <m:sty m:val="b"/>
              </m:rPr>
              <w:rPr>
                <w:rFonts w:ascii="Cambria Math" w:hAnsi="Cambria Math" w:cs="Times New Roman"/>
                <w:sz w:val="24"/>
                <w:szCs w:val="24"/>
              </w:rPr>
              <m:t>dit</m:t>
            </m:r>
            <m:r>
              <m:rPr>
                <m:sty m:val="b"/>
              </m:rPr>
              <w:rPr>
                <w:rFonts w:ascii="Cambria Math" w:hAnsi="Times New Roman" w:cs="Times New Roman"/>
                <w:sz w:val="24"/>
                <w:szCs w:val="24"/>
                <w:lang w:val="en-GB"/>
              </w:rPr>
              <m:t>+</m:t>
            </m:r>
            <m:r>
              <m:rPr>
                <m:sty m:val="b"/>
              </m:rPr>
              <w:rPr>
                <w:rFonts w:ascii="Cambria Math" w:hAnsi="Cambria Math" w:cs="Times New Roman"/>
                <w:sz w:val="24"/>
                <w:szCs w:val="24"/>
              </w:rPr>
              <m:t>risquesdemarc</m:t>
            </m:r>
            <m:r>
              <m:rPr>
                <m:sty m:val="b"/>
              </m:rPr>
              <w:rPr>
                <w:rFonts w:ascii="Cambria Math" w:hAnsi="Cambria Math" w:cs="Times New Roman"/>
                <w:sz w:val="24"/>
                <w:szCs w:val="24"/>
                <w:lang w:val="en-GB"/>
              </w:rPr>
              <m:t>h</m:t>
            </m:r>
            <m:r>
              <m:rPr>
                <m:sty m:val="b"/>
              </m:rPr>
              <w:rPr>
                <w:rFonts w:ascii="Times New Roman" w:hAnsi="Times New Roman" w:cs="Times New Roman"/>
                <w:sz w:val="24"/>
                <w:szCs w:val="24"/>
                <w:lang w:val="en-GB"/>
              </w:rPr>
              <m:t>é</m:t>
            </m:r>
            <m:r>
              <m:rPr>
                <m:sty m:val="b"/>
              </m:rPr>
              <w:rPr>
                <w:rFonts w:ascii="Cambria Math" w:hAnsi="Times New Roman" w:cs="Times New Roman"/>
                <w:sz w:val="24"/>
                <w:szCs w:val="24"/>
                <w:lang w:val="en-GB"/>
              </w:rPr>
              <m:t xml:space="preserve"> + </m:t>
            </m:r>
            <m:r>
              <m:rPr>
                <m:sty m:val="b"/>
              </m:rPr>
              <w:rPr>
                <w:rFonts w:ascii="Cambria Math" w:hAnsi="Cambria Math" w:cs="Times New Roman"/>
                <w:sz w:val="24"/>
                <w:szCs w:val="24"/>
              </w:rPr>
              <m:t>risques</m:t>
            </m:r>
            <m:r>
              <m:rPr>
                <m:sty m:val="b"/>
              </m:rPr>
              <w:rPr>
                <w:rFonts w:ascii="Cambria Math" w:hAnsi="Times New Roman" w:cs="Times New Roman"/>
                <w:sz w:val="24"/>
                <w:szCs w:val="24"/>
                <w:lang w:val="en-GB"/>
              </w:rPr>
              <m:t xml:space="preserve"> </m:t>
            </m:r>
            <m:r>
              <m:rPr>
                <m:sty m:val="b"/>
              </m:rPr>
              <w:rPr>
                <w:rFonts w:ascii="Cambria Math" w:hAnsi="Cambria Math" w:cs="Times New Roman"/>
                <w:sz w:val="24"/>
                <w:szCs w:val="24"/>
              </w:rPr>
              <m:t>op</m:t>
            </m:r>
            <m:r>
              <m:rPr>
                <m:sty m:val="b"/>
              </m:rPr>
              <w:rPr>
                <w:rFonts w:ascii="Times New Roman" w:hAnsi="Times New Roman" w:cs="Times New Roman"/>
                <w:sz w:val="24"/>
                <w:szCs w:val="24"/>
                <w:lang w:val="en-GB"/>
              </w:rPr>
              <m:t>é</m:t>
            </m:r>
            <m:r>
              <m:rPr>
                <m:sty m:val="b"/>
              </m:rPr>
              <w:rPr>
                <w:rFonts w:ascii="Cambria Math" w:hAnsi="Cambria Math" w:cs="Times New Roman"/>
                <w:sz w:val="24"/>
                <w:szCs w:val="24"/>
              </w:rPr>
              <m:t>rationnels</m:t>
            </m:r>
          </m:den>
        </m:f>
      </m:oMath>
      <w:r w:rsidR="00667D44" w:rsidRPr="00265E19">
        <w:rPr>
          <w:rFonts w:ascii="Times New Roman" w:hAnsi="Times New Roman" w:cs="Times New Roman"/>
          <w:sz w:val="24"/>
          <w:szCs w:val="24"/>
          <w:lang w:val="en-GB"/>
        </w:rPr>
        <w:t>≥ 8</w:t>
      </w:r>
      <w:r w:rsidRPr="00265E19">
        <w:rPr>
          <w:rFonts w:ascii="Times New Roman" w:hAnsi="Times New Roman" w:cs="Times New Roman"/>
          <w:sz w:val="24"/>
          <w:szCs w:val="24"/>
          <w:lang w:val="en-GB"/>
        </w:rPr>
        <w:t>%</w:t>
      </w:r>
    </w:p>
    <w:p w14:paraId="2DBA07D7" w14:textId="77777777" w:rsidR="002760B2" w:rsidRPr="00265E19" w:rsidRDefault="002760B2" w:rsidP="002F0A97">
      <w:pPr>
        <w:pStyle w:val="NormalWeb"/>
        <w:tabs>
          <w:tab w:val="left" w:pos="0"/>
        </w:tabs>
        <w:spacing w:before="120" w:beforeAutospacing="0" w:after="120" w:afterAutospacing="0" w:line="300" w:lineRule="auto"/>
        <w:ind w:firstLine="709"/>
      </w:pPr>
      <w:r w:rsidRPr="00265E19">
        <w:t xml:space="preserve">De façon générale, la refonte du ratio </w:t>
      </w:r>
      <w:r w:rsidRPr="005E0628">
        <w:rPr>
          <w:i/>
          <w:iCs/>
        </w:rPr>
        <w:t>Cooke</w:t>
      </w:r>
      <w:r w:rsidRPr="00265E19">
        <w:t xml:space="preserve"> </w:t>
      </w:r>
      <w:r w:rsidR="00782E8E" w:rsidRPr="00265E19">
        <w:t>s'articule autour de trois axes :</w:t>
      </w:r>
    </w:p>
    <w:p w14:paraId="54CB8976" w14:textId="77777777" w:rsidR="002760B2" w:rsidRPr="00265E19" w:rsidRDefault="002760B2" w:rsidP="00CB0FF1">
      <w:pPr>
        <w:pStyle w:val="NormalWeb"/>
        <w:numPr>
          <w:ilvl w:val="0"/>
          <w:numId w:val="13"/>
        </w:numPr>
        <w:tabs>
          <w:tab w:val="left" w:pos="284"/>
          <w:tab w:val="left" w:pos="1134"/>
        </w:tabs>
        <w:spacing w:before="60" w:beforeAutospacing="0" w:after="0" w:afterAutospacing="0" w:line="300" w:lineRule="auto"/>
        <w:ind w:left="1135" w:hanging="284"/>
      </w:pPr>
      <w:r w:rsidRPr="00265E19">
        <w:t>Affiner le traitement des risques de crédit par le renforcement de l'outil d'évaluation pour mieux ada</w:t>
      </w:r>
      <w:r w:rsidR="00B076D5" w:rsidRPr="00265E19">
        <w:t>pter le niveau des pondérations ;</w:t>
      </w:r>
    </w:p>
    <w:p w14:paraId="1F656337" w14:textId="77777777" w:rsidR="002760B2" w:rsidRPr="00265E19" w:rsidRDefault="002760B2" w:rsidP="00CB0FF1">
      <w:pPr>
        <w:pStyle w:val="NormalWeb"/>
        <w:numPr>
          <w:ilvl w:val="0"/>
          <w:numId w:val="13"/>
        </w:numPr>
        <w:tabs>
          <w:tab w:val="left" w:pos="284"/>
          <w:tab w:val="left" w:pos="1134"/>
        </w:tabs>
        <w:spacing w:before="60" w:beforeAutospacing="0" w:after="0" w:afterAutospacing="0" w:line="300" w:lineRule="auto"/>
        <w:ind w:left="1135" w:hanging="284"/>
      </w:pPr>
      <w:r w:rsidRPr="00265E19">
        <w:t>Créer une meilleure transparence dans la politique de communication des banques et des établissements de crédit vis-à-vis des marchés. Cela se fera par la publication des recommandations sur les informations que les banques doivent dévoiler</w:t>
      </w:r>
      <w:r w:rsidR="00E7488E">
        <w:t> ;</w:t>
      </w:r>
    </w:p>
    <w:p w14:paraId="0F9BE550" w14:textId="77777777" w:rsidR="002760B2" w:rsidRPr="00265E19" w:rsidRDefault="002760B2" w:rsidP="00CB0FF1">
      <w:pPr>
        <w:pStyle w:val="NormalWeb"/>
        <w:numPr>
          <w:ilvl w:val="0"/>
          <w:numId w:val="13"/>
        </w:numPr>
        <w:tabs>
          <w:tab w:val="left" w:pos="284"/>
          <w:tab w:val="left" w:pos="1134"/>
        </w:tabs>
        <w:spacing w:before="60" w:beforeAutospacing="0" w:after="0" w:afterAutospacing="0" w:line="300" w:lineRule="auto"/>
        <w:ind w:left="1135" w:hanging="284"/>
        <w:rPr>
          <w:b/>
          <w:bCs/>
          <w:i/>
          <w:iCs/>
        </w:rPr>
      </w:pPr>
      <w:r w:rsidRPr="00265E19">
        <w:t>Mettre en place un dispositif de surveillance pour vérifier la concordance entre la stratégie des banques en matière de gestion des fonds propres et leur profil global de risque.</w:t>
      </w:r>
    </w:p>
    <w:p w14:paraId="6AB8E79B" w14:textId="77777777" w:rsidR="0001535E" w:rsidRPr="00265E19" w:rsidRDefault="002760B2" w:rsidP="002F0A97">
      <w:pPr>
        <w:pStyle w:val="Paragraphedeliste"/>
        <w:keepNext/>
        <w:widowControl w:val="0"/>
        <w:tabs>
          <w:tab w:val="left" w:pos="284"/>
          <w:tab w:val="left" w:pos="1134"/>
        </w:tabs>
        <w:autoSpaceDE w:val="0"/>
        <w:autoSpaceDN w:val="0"/>
        <w:adjustRightInd w:val="0"/>
        <w:spacing w:before="100" w:beforeAutospacing="1" w:after="120" w:line="300" w:lineRule="auto"/>
        <w:ind w:left="0" w:firstLine="851"/>
        <w:contextualSpacing w:val="0"/>
        <w:rPr>
          <w:rFonts w:ascii="Times New Roman" w:hAnsi="Times New Roman" w:cs="Times New Roman"/>
          <w:sz w:val="24"/>
          <w:szCs w:val="24"/>
        </w:rPr>
      </w:pPr>
      <w:r w:rsidRPr="00265E19">
        <w:rPr>
          <w:rFonts w:ascii="Times New Roman" w:hAnsi="Times New Roman" w:cs="Times New Roman"/>
          <w:sz w:val="24"/>
          <w:szCs w:val="24"/>
        </w:rPr>
        <w:t xml:space="preserve">Le tableau ci-après résume les dates importantes liées à l’évolution de la </w:t>
      </w:r>
      <w:r w:rsidRPr="00265E19">
        <w:rPr>
          <w:rFonts w:ascii="Times New Roman" w:hAnsi="Times New Roman" w:cs="Times New Roman"/>
          <w:sz w:val="24"/>
          <w:szCs w:val="24"/>
        </w:rPr>
        <w:lastRenderedPageBreak/>
        <w:t>réglementation prudentielle</w:t>
      </w:r>
      <w:r w:rsidR="00C03EAA" w:rsidRPr="00265E19">
        <w:rPr>
          <w:rFonts w:ascii="Times New Roman" w:hAnsi="Times New Roman" w:cs="Times New Roman"/>
          <w:sz w:val="24"/>
          <w:szCs w:val="24"/>
        </w:rPr>
        <w:t>.</w:t>
      </w:r>
    </w:p>
    <w:p w14:paraId="529A1254" w14:textId="442643FD" w:rsidR="00697CCF" w:rsidRPr="00265E19" w:rsidRDefault="00697CCF" w:rsidP="002F0A97">
      <w:pPr>
        <w:pStyle w:val="Lgende"/>
        <w:keepNext/>
        <w:keepLines/>
        <w:tabs>
          <w:tab w:val="left" w:pos="0"/>
        </w:tabs>
        <w:spacing w:before="120" w:after="360" w:line="300" w:lineRule="auto"/>
        <w:jc w:val="center"/>
        <w:rPr>
          <w:rFonts w:ascii="Times New Roman" w:hAnsi="Times New Roman" w:cs="Times New Roman"/>
          <w:color w:val="auto"/>
          <w:sz w:val="24"/>
          <w:szCs w:val="24"/>
        </w:rPr>
      </w:pPr>
      <w:bookmarkStart w:id="943" w:name="_Toc115556072"/>
      <w:r w:rsidRPr="00265E19">
        <w:rPr>
          <w:rFonts w:ascii="Times New Roman" w:hAnsi="Times New Roman" w:cs="Times New Roman"/>
          <w:color w:val="auto"/>
          <w:sz w:val="24"/>
          <w:szCs w:val="24"/>
        </w:rPr>
        <w:t xml:space="preserve">Tableau </w:t>
      </w:r>
      <w:r w:rsidR="00B544E5" w:rsidRPr="00265E19">
        <w:rPr>
          <w:rFonts w:ascii="Times New Roman" w:hAnsi="Times New Roman" w:cs="Times New Roman"/>
          <w:color w:val="auto"/>
          <w:sz w:val="24"/>
          <w:szCs w:val="24"/>
        </w:rPr>
        <w:fldChar w:fldCharType="begin"/>
      </w:r>
      <w:r w:rsidRPr="00265E19">
        <w:rPr>
          <w:rFonts w:ascii="Times New Roman" w:hAnsi="Times New Roman" w:cs="Times New Roman"/>
          <w:color w:val="auto"/>
          <w:sz w:val="24"/>
          <w:szCs w:val="24"/>
        </w:rPr>
        <w:instrText xml:space="preserve"> SEQ Tableau \* ARABIC </w:instrText>
      </w:r>
      <w:r w:rsidR="00B544E5" w:rsidRPr="00265E19">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4</w:t>
      </w:r>
      <w:r w:rsidR="00B544E5" w:rsidRPr="00265E19">
        <w:rPr>
          <w:rFonts w:ascii="Times New Roman" w:hAnsi="Times New Roman" w:cs="Times New Roman"/>
          <w:color w:val="auto"/>
          <w:sz w:val="24"/>
          <w:szCs w:val="24"/>
        </w:rPr>
        <w:fldChar w:fldCharType="end"/>
      </w:r>
      <w:r w:rsidR="00002215" w:rsidRPr="00265E19">
        <w:rPr>
          <w:rFonts w:ascii="Times New Roman" w:hAnsi="Times New Roman" w:cs="Times New Roman"/>
          <w:color w:val="auto"/>
          <w:sz w:val="24"/>
          <w:szCs w:val="24"/>
        </w:rPr>
        <w:t>-</w:t>
      </w:r>
      <w:r w:rsidRPr="00265E19">
        <w:rPr>
          <w:rFonts w:ascii="Times New Roman" w:hAnsi="Times New Roman" w:cs="Times New Roman"/>
          <w:color w:val="auto"/>
          <w:sz w:val="24"/>
          <w:szCs w:val="24"/>
        </w:rPr>
        <w:t xml:space="preserve"> Calendrier de la règlementation prudentielle (Bâle II)</w:t>
      </w:r>
      <w:bookmarkEnd w:id="943"/>
    </w:p>
    <w:tbl>
      <w:tblPr>
        <w:tblW w:w="9071" w:type="dxa"/>
        <w:jc w:val="center"/>
        <w:tblBorders>
          <w:top w:val="outset" w:sz="12" w:space="0" w:color="auto"/>
          <w:left w:val="outset" w:sz="12" w:space="0" w:color="auto"/>
          <w:bottom w:val="outset" w:sz="12" w:space="0" w:color="auto"/>
          <w:right w:val="outset" w:sz="12" w:space="0" w:color="auto"/>
        </w:tblBorders>
        <w:tblLayout w:type="fixed"/>
        <w:tblCellMar>
          <w:top w:w="30" w:type="dxa"/>
          <w:left w:w="57" w:type="dxa"/>
          <w:bottom w:w="30" w:type="dxa"/>
          <w:right w:w="57" w:type="dxa"/>
        </w:tblCellMar>
        <w:tblLook w:val="04A0" w:firstRow="1" w:lastRow="0" w:firstColumn="1" w:lastColumn="0" w:noHBand="0" w:noVBand="1"/>
      </w:tblPr>
      <w:tblGrid>
        <w:gridCol w:w="1984"/>
        <w:gridCol w:w="7087"/>
      </w:tblGrid>
      <w:tr w:rsidR="002760B2" w:rsidRPr="002B005F" w14:paraId="23271B54"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7BBE055E" w14:textId="77777777" w:rsidR="002760B2" w:rsidRPr="002B005F" w:rsidRDefault="002760B2" w:rsidP="00265E19">
            <w:pPr>
              <w:pStyle w:val="NormalWeb"/>
              <w:keepNext/>
              <w:keepLines/>
              <w:tabs>
                <w:tab w:val="left" w:pos="0"/>
              </w:tabs>
              <w:spacing w:before="0" w:beforeAutospacing="0" w:after="0" w:afterAutospacing="0"/>
              <w:ind w:left="113"/>
              <w:jc w:val="left"/>
            </w:pPr>
            <w:r w:rsidRPr="002B005F">
              <w:rPr>
                <w:rStyle w:val="lev"/>
              </w:rPr>
              <w:t>Année</w:t>
            </w:r>
          </w:p>
        </w:tc>
        <w:tc>
          <w:tcPr>
            <w:tcW w:w="7087" w:type="dxa"/>
            <w:tcBorders>
              <w:top w:val="outset" w:sz="6" w:space="0" w:color="auto"/>
              <w:left w:val="outset" w:sz="6" w:space="0" w:color="auto"/>
              <w:bottom w:val="outset" w:sz="6" w:space="0" w:color="auto"/>
              <w:right w:val="outset" w:sz="6" w:space="0" w:color="auto"/>
            </w:tcBorders>
            <w:vAlign w:val="center"/>
            <w:hideMark/>
          </w:tcPr>
          <w:p w14:paraId="43E0D3B8" w14:textId="77777777" w:rsidR="002760B2" w:rsidRPr="002B005F" w:rsidRDefault="002760B2" w:rsidP="00265E19">
            <w:pPr>
              <w:pStyle w:val="NormalWeb"/>
              <w:keepNext/>
              <w:keepLines/>
              <w:tabs>
                <w:tab w:val="left" w:pos="0"/>
              </w:tabs>
              <w:spacing w:before="0" w:beforeAutospacing="0" w:after="0" w:afterAutospacing="0"/>
              <w:jc w:val="center"/>
            </w:pPr>
            <w:r w:rsidRPr="002B005F">
              <w:rPr>
                <w:rStyle w:val="lev"/>
              </w:rPr>
              <w:t>Travaux effectués</w:t>
            </w:r>
          </w:p>
        </w:tc>
      </w:tr>
      <w:tr w:rsidR="002760B2" w:rsidRPr="002B005F" w14:paraId="4AF64AB3"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2E50250E"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1988</w:t>
            </w:r>
          </w:p>
        </w:tc>
        <w:tc>
          <w:tcPr>
            <w:tcW w:w="7087" w:type="dxa"/>
            <w:tcBorders>
              <w:top w:val="outset" w:sz="6" w:space="0" w:color="auto"/>
              <w:left w:val="outset" w:sz="6" w:space="0" w:color="auto"/>
              <w:bottom w:val="outset" w:sz="6" w:space="0" w:color="auto"/>
              <w:right w:val="outset" w:sz="6" w:space="0" w:color="auto"/>
            </w:tcBorders>
            <w:vAlign w:val="center"/>
            <w:hideMark/>
          </w:tcPr>
          <w:p w14:paraId="53AA651F" w14:textId="77777777" w:rsidR="002760B2" w:rsidRPr="002B005F" w:rsidRDefault="002760B2" w:rsidP="00265E19">
            <w:pPr>
              <w:pStyle w:val="NormalWeb"/>
              <w:keepNext/>
              <w:keepLines/>
              <w:tabs>
                <w:tab w:val="left" w:pos="0"/>
              </w:tabs>
              <w:spacing w:before="0" w:beforeAutospacing="0" w:after="0" w:afterAutospacing="0"/>
            </w:pPr>
            <w:r w:rsidRPr="002B005F">
              <w:t xml:space="preserve">Publication des 1ères directives de </w:t>
            </w:r>
            <w:r w:rsidR="00667D44" w:rsidRPr="002B005F">
              <w:t xml:space="preserve">Bâle </w:t>
            </w:r>
            <w:r w:rsidRPr="002B005F">
              <w:t>I relatives aux risques de crédit</w:t>
            </w:r>
          </w:p>
        </w:tc>
      </w:tr>
      <w:tr w:rsidR="002760B2" w:rsidRPr="002B005F" w14:paraId="12D1B418"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659C9934"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1992</w:t>
            </w:r>
          </w:p>
        </w:tc>
        <w:tc>
          <w:tcPr>
            <w:tcW w:w="7087" w:type="dxa"/>
            <w:tcBorders>
              <w:top w:val="outset" w:sz="6" w:space="0" w:color="auto"/>
              <w:left w:val="outset" w:sz="6" w:space="0" w:color="auto"/>
              <w:bottom w:val="outset" w:sz="6" w:space="0" w:color="auto"/>
              <w:right w:val="outset" w:sz="6" w:space="0" w:color="auto"/>
            </w:tcBorders>
            <w:vAlign w:val="center"/>
            <w:hideMark/>
          </w:tcPr>
          <w:p w14:paraId="43AE5A79" w14:textId="77777777" w:rsidR="002760B2" w:rsidRPr="002B005F" w:rsidRDefault="002760B2" w:rsidP="00265E19">
            <w:pPr>
              <w:pStyle w:val="NormalWeb"/>
              <w:keepNext/>
              <w:keepLines/>
              <w:tabs>
                <w:tab w:val="left" w:pos="0"/>
              </w:tabs>
              <w:spacing w:before="0" w:beforeAutospacing="0" w:after="0" w:afterAutospacing="0"/>
            </w:pPr>
            <w:r w:rsidRPr="002B005F">
              <w:t xml:space="preserve">Date limite de mise en œuvre du ratio </w:t>
            </w:r>
            <w:r w:rsidRPr="00085405">
              <w:rPr>
                <w:i/>
                <w:iCs/>
              </w:rPr>
              <w:t>Cooke</w:t>
            </w:r>
          </w:p>
        </w:tc>
      </w:tr>
      <w:tr w:rsidR="002760B2" w:rsidRPr="002B005F" w14:paraId="683B519D"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11F6B1EC"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1996</w:t>
            </w:r>
          </w:p>
        </w:tc>
        <w:tc>
          <w:tcPr>
            <w:tcW w:w="7087" w:type="dxa"/>
            <w:tcBorders>
              <w:top w:val="outset" w:sz="6" w:space="0" w:color="auto"/>
              <w:left w:val="outset" w:sz="6" w:space="0" w:color="auto"/>
              <w:bottom w:val="outset" w:sz="6" w:space="0" w:color="auto"/>
              <w:right w:val="outset" w:sz="6" w:space="0" w:color="auto"/>
            </w:tcBorders>
            <w:vAlign w:val="center"/>
            <w:hideMark/>
          </w:tcPr>
          <w:p w14:paraId="40145CDD" w14:textId="77777777" w:rsidR="002760B2" w:rsidRPr="002B005F" w:rsidRDefault="002760B2" w:rsidP="00265E19">
            <w:pPr>
              <w:pStyle w:val="NormalWeb"/>
              <w:keepNext/>
              <w:keepLines/>
              <w:tabs>
                <w:tab w:val="left" w:pos="0"/>
              </w:tabs>
              <w:spacing w:before="0" w:beforeAutospacing="0" w:after="0" w:afterAutospacing="0"/>
            </w:pPr>
            <w:r w:rsidRPr="002B005F">
              <w:t>Prise en compte du risque de marché</w:t>
            </w:r>
            <w:r w:rsidR="00667D44" w:rsidRPr="002B005F">
              <w:t xml:space="preserve"> pour compléter le dispositif Bâ</w:t>
            </w:r>
            <w:r w:rsidRPr="002B005F">
              <w:t>le I</w:t>
            </w:r>
          </w:p>
        </w:tc>
      </w:tr>
      <w:tr w:rsidR="002760B2" w:rsidRPr="002B005F" w14:paraId="1D4DCE25"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46B6F13E"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Juillet 1998</w:t>
            </w:r>
          </w:p>
        </w:tc>
        <w:tc>
          <w:tcPr>
            <w:tcW w:w="7087" w:type="dxa"/>
            <w:tcBorders>
              <w:top w:val="outset" w:sz="6" w:space="0" w:color="auto"/>
              <w:left w:val="outset" w:sz="6" w:space="0" w:color="auto"/>
              <w:bottom w:val="outset" w:sz="6" w:space="0" w:color="auto"/>
              <w:right w:val="outset" w:sz="6" w:space="0" w:color="auto"/>
            </w:tcBorders>
            <w:vAlign w:val="center"/>
            <w:hideMark/>
          </w:tcPr>
          <w:p w14:paraId="73519F01" w14:textId="77777777" w:rsidR="002760B2" w:rsidRPr="002B005F" w:rsidRDefault="002760B2" w:rsidP="00265E19">
            <w:pPr>
              <w:pStyle w:val="NormalWeb"/>
              <w:keepNext/>
              <w:keepLines/>
              <w:tabs>
                <w:tab w:val="left" w:pos="0"/>
              </w:tabs>
              <w:spacing w:before="0" w:beforeAutospacing="0" w:after="0" w:afterAutospacing="0"/>
            </w:pPr>
            <w:r w:rsidRPr="002B005F">
              <w:t xml:space="preserve">Début des travaux sur la mise en œuvre de </w:t>
            </w:r>
            <w:r w:rsidR="00667D44" w:rsidRPr="002B005F">
              <w:t xml:space="preserve">Bâle </w:t>
            </w:r>
            <w:r w:rsidRPr="002B005F">
              <w:t>II</w:t>
            </w:r>
            <w:r w:rsidR="00667D44" w:rsidRPr="002B005F">
              <w:t>.</w:t>
            </w:r>
          </w:p>
        </w:tc>
      </w:tr>
      <w:tr w:rsidR="002760B2" w:rsidRPr="002B005F" w14:paraId="4CDAD31C"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4CEA20C1"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1999</w:t>
            </w:r>
          </w:p>
        </w:tc>
        <w:tc>
          <w:tcPr>
            <w:tcW w:w="7087" w:type="dxa"/>
            <w:tcBorders>
              <w:top w:val="outset" w:sz="6" w:space="0" w:color="auto"/>
              <w:left w:val="outset" w:sz="6" w:space="0" w:color="auto"/>
              <w:bottom w:val="outset" w:sz="6" w:space="0" w:color="auto"/>
              <w:right w:val="outset" w:sz="6" w:space="0" w:color="auto"/>
            </w:tcBorders>
            <w:vAlign w:val="center"/>
            <w:hideMark/>
          </w:tcPr>
          <w:p w14:paraId="4CF7789C" w14:textId="77777777" w:rsidR="002760B2" w:rsidRPr="002B005F" w:rsidRDefault="002760B2" w:rsidP="00265E19">
            <w:pPr>
              <w:pStyle w:val="NormalWeb"/>
              <w:keepNext/>
              <w:keepLines/>
              <w:tabs>
                <w:tab w:val="left" w:pos="0"/>
              </w:tabs>
              <w:spacing w:before="0" w:beforeAutospacing="0" w:after="0" w:afterAutospacing="0"/>
            </w:pPr>
            <w:r w:rsidRPr="002B005F">
              <w:t xml:space="preserve">Première consultation sur le nouvel accord dit de </w:t>
            </w:r>
            <w:r w:rsidR="00667D44" w:rsidRPr="002B005F">
              <w:t xml:space="preserve">Bâle </w:t>
            </w:r>
            <w:r w:rsidRPr="002B005F">
              <w:t>II sur les fonds propres Document consultatif.</w:t>
            </w:r>
          </w:p>
        </w:tc>
      </w:tr>
      <w:tr w:rsidR="002760B2" w:rsidRPr="002B005F" w14:paraId="0B4531C9"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01E1BC3B"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2001</w:t>
            </w:r>
          </w:p>
        </w:tc>
        <w:tc>
          <w:tcPr>
            <w:tcW w:w="7087" w:type="dxa"/>
            <w:tcBorders>
              <w:top w:val="outset" w:sz="6" w:space="0" w:color="auto"/>
              <w:left w:val="outset" w:sz="6" w:space="0" w:color="auto"/>
              <w:bottom w:val="outset" w:sz="6" w:space="0" w:color="auto"/>
              <w:right w:val="outset" w:sz="6" w:space="0" w:color="auto"/>
            </w:tcBorders>
            <w:vAlign w:val="center"/>
            <w:hideMark/>
          </w:tcPr>
          <w:p w14:paraId="4BFEDBDB" w14:textId="77777777" w:rsidR="002760B2" w:rsidRPr="002B005F" w:rsidRDefault="002760B2" w:rsidP="00265E19">
            <w:pPr>
              <w:pStyle w:val="NormalWeb"/>
              <w:keepNext/>
              <w:keepLines/>
              <w:tabs>
                <w:tab w:val="left" w:pos="0"/>
              </w:tabs>
              <w:spacing w:before="0" w:beforeAutospacing="0" w:after="0" w:afterAutospacing="0"/>
            </w:pPr>
            <w:r w:rsidRPr="002B005F">
              <w:rPr>
                <w:spacing w:val="-4"/>
              </w:rPr>
              <w:t>Deuxième consultation et plusieurs études d'analyse d'impact de l'application des préconisations sur le système bancaire Document consultatif</w:t>
            </w:r>
            <w:r w:rsidRPr="002B005F">
              <w:t>.</w:t>
            </w:r>
          </w:p>
        </w:tc>
      </w:tr>
      <w:tr w:rsidR="002760B2" w:rsidRPr="002B005F" w14:paraId="516204C8"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7893B299"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Avril 2003</w:t>
            </w:r>
          </w:p>
        </w:tc>
        <w:tc>
          <w:tcPr>
            <w:tcW w:w="7087" w:type="dxa"/>
            <w:tcBorders>
              <w:top w:val="outset" w:sz="6" w:space="0" w:color="auto"/>
              <w:left w:val="outset" w:sz="6" w:space="0" w:color="auto"/>
              <w:bottom w:val="outset" w:sz="6" w:space="0" w:color="auto"/>
              <w:right w:val="outset" w:sz="6" w:space="0" w:color="auto"/>
            </w:tcBorders>
            <w:vAlign w:val="center"/>
            <w:hideMark/>
          </w:tcPr>
          <w:p w14:paraId="55379BD4" w14:textId="77777777" w:rsidR="002760B2" w:rsidRPr="002B005F" w:rsidRDefault="002760B2" w:rsidP="00265E19">
            <w:pPr>
              <w:pStyle w:val="NormalWeb"/>
              <w:keepNext/>
              <w:keepLines/>
              <w:tabs>
                <w:tab w:val="left" w:pos="0"/>
              </w:tabs>
              <w:spacing w:before="0" w:beforeAutospacing="0" w:after="0" w:afterAutospacing="0"/>
            </w:pPr>
            <w:r w:rsidRPr="002B005F">
              <w:t>Troisième consultation sur le nouvel accord Document consultatif.</w:t>
            </w:r>
          </w:p>
        </w:tc>
      </w:tr>
      <w:tr w:rsidR="002760B2" w:rsidRPr="002B005F" w14:paraId="2FA2D6ED"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385E54A8"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Novembre 2003</w:t>
            </w:r>
          </w:p>
        </w:tc>
        <w:tc>
          <w:tcPr>
            <w:tcW w:w="7087" w:type="dxa"/>
            <w:tcBorders>
              <w:top w:val="outset" w:sz="6" w:space="0" w:color="auto"/>
              <w:left w:val="outset" w:sz="6" w:space="0" w:color="auto"/>
              <w:bottom w:val="outset" w:sz="6" w:space="0" w:color="auto"/>
              <w:right w:val="outset" w:sz="6" w:space="0" w:color="auto"/>
            </w:tcBorders>
            <w:vAlign w:val="center"/>
            <w:hideMark/>
          </w:tcPr>
          <w:p w14:paraId="15E28F5E" w14:textId="77777777" w:rsidR="002760B2" w:rsidRPr="002B005F" w:rsidRDefault="002760B2" w:rsidP="00265E19">
            <w:pPr>
              <w:pStyle w:val="NormalWeb"/>
              <w:keepNext/>
              <w:keepLines/>
              <w:tabs>
                <w:tab w:val="left" w:pos="0"/>
              </w:tabs>
              <w:spacing w:before="0" w:beforeAutospacing="0" w:after="0" w:afterAutospacing="0"/>
            </w:pPr>
            <w:r w:rsidRPr="002B005F">
              <w:t xml:space="preserve">Début de l'élaboration du nouvel accord </w:t>
            </w:r>
            <w:r w:rsidR="00667D44" w:rsidRPr="002B005F">
              <w:t xml:space="preserve">Bâle </w:t>
            </w:r>
            <w:r w:rsidRPr="002B005F">
              <w:t>II</w:t>
            </w:r>
            <w:r w:rsidR="00667D44" w:rsidRPr="002B005F">
              <w:t>.</w:t>
            </w:r>
          </w:p>
        </w:tc>
      </w:tr>
      <w:tr w:rsidR="002760B2" w:rsidRPr="002B005F" w14:paraId="6539E1E5"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151C0A68"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Juin 2004</w:t>
            </w:r>
          </w:p>
        </w:tc>
        <w:tc>
          <w:tcPr>
            <w:tcW w:w="7087" w:type="dxa"/>
            <w:tcBorders>
              <w:top w:val="outset" w:sz="6" w:space="0" w:color="auto"/>
              <w:left w:val="outset" w:sz="6" w:space="0" w:color="auto"/>
              <w:bottom w:val="outset" w:sz="6" w:space="0" w:color="auto"/>
              <w:right w:val="outset" w:sz="6" w:space="0" w:color="auto"/>
            </w:tcBorders>
            <w:vAlign w:val="center"/>
            <w:hideMark/>
          </w:tcPr>
          <w:p w14:paraId="6FC7F61E" w14:textId="77777777" w:rsidR="002760B2" w:rsidRPr="002B005F" w:rsidRDefault="002760B2" w:rsidP="00265E19">
            <w:pPr>
              <w:pStyle w:val="NormalWeb"/>
              <w:keepNext/>
              <w:keepLines/>
              <w:tabs>
                <w:tab w:val="left" w:pos="0"/>
              </w:tabs>
              <w:spacing w:before="0" w:beforeAutospacing="0" w:after="0" w:afterAutospacing="0"/>
            </w:pPr>
            <w:r w:rsidRPr="002B005F">
              <w:t xml:space="preserve">Approbation des dispositions définitives de </w:t>
            </w:r>
            <w:r w:rsidR="00667D44" w:rsidRPr="002B005F">
              <w:t xml:space="preserve">Bâle </w:t>
            </w:r>
            <w:r w:rsidRPr="002B005F">
              <w:t xml:space="preserve">II par le </w:t>
            </w:r>
            <w:r w:rsidR="00851EFB">
              <w:t>Comité</w:t>
            </w:r>
            <w:r w:rsidRPr="002B005F">
              <w:t xml:space="preserve"> de </w:t>
            </w:r>
            <w:r w:rsidR="00667D44" w:rsidRPr="002B005F">
              <w:t>Bâle</w:t>
            </w:r>
            <w:r w:rsidRPr="002B005F">
              <w:t>.</w:t>
            </w:r>
          </w:p>
        </w:tc>
      </w:tr>
      <w:tr w:rsidR="002760B2" w:rsidRPr="002B005F" w14:paraId="3AD35420"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789BF7E9"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Juillet 2004</w:t>
            </w:r>
          </w:p>
        </w:tc>
        <w:tc>
          <w:tcPr>
            <w:tcW w:w="7087" w:type="dxa"/>
            <w:tcBorders>
              <w:top w:val="outset" w:sz="6" w:space="0" w:color="auto"/>
              <w:left w:val="outset" w:sz="6" w:space="0" w:color="auto"/>
              <w:bottom w:val="outset" w:sz="6" w:space="0" w:color="auto"/>
              <w:right w:val="outset" w:sz="6" w:space="0" w:color="auto"/>
            </w:tcBorders>
            <w:vAlign w:val="center"/>
            <w:hideMark/>
          </w:tcPr>
          <w:p w14:paraId="1282B12A" w14:textId="77777777" w:rsidR="002760B2" w:rsidRPr="002B005F" w:rsidRDefault="002760B2" w:rsidP="00265E19">
            <w:pPr>
              <w:pStyle w:val="NormalWeb"/>
              <w:keepNext/>
              <w:keepLines/>
              <w:tabs>
                <w:tab w:val="left" w:pos="0"/>
              </w:tabs>
              <w:spacing w:before="0" w:beforeAutospacing="0" w:after="0" w:afterAutospacing="0"/>
            </w:pPr>
            <w:r w:rsidRPr="002B005F">
              <w:t xml:space="preserve">Proposition de directive européenne sur </w:t>
            </w:r>
            <w:r w:rsidR="00667D44" w:rsidRPr="002B005F">
              <w:t xml:space="preserve">Bâle </w:t>
            </w:r>
            <w:r w:rsidRPr="002B005F">
              <w:t>II</w:t>
            </w:r>
            <w:r w:rsidR="00667D44" w:rsidRPr="002B005F">
              <w:t>.</w:t>
            </w:r>
          </w:p>
        </w:tc>
      </w:tr>
      <w:tr w:rsidR="002760B2" w:rsidRPr="002B005F" w14:paraId="3CCFACFB"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584F2E7C"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2005</w:t>
            </w:r>
          </w:p>
        </w:tc>
        <w:tc>
          <w:tcPr>
            <w:tcW w:w="7087" w:type="dxa"/>
            <w:tcBorders>
              <w:top w:val="outset" w:sz="6" w:space="0" w:color="auto"/>
              <w:left w:val="outset" w:sz="6" w:space="0" w:color="auto"/>
              <w:bottom w:val="outset" w:sz="6" w:space="0" w:color="auto"/>
              <w:right w:val="outset" w:sz="6" w:space="0" w:color="auto"/>
            </w:tcBorders>
            <w:vAlign w:val="center"/>
            <w:hideMark/>
          </w:tcPr>
          <w:p w14:paraId="70B7233C" w14:textId="77777777" w:rsidR="002760B2" w:rsidRPr="002B005F" w:rsidRDefault="002760B2" w:rsidP="00265E19">
            <w:pPr>
              <w:pStyle w:val="NormalWeb"/>
              <w:keepNext/>
              <w:keepLines/>
              <w:tabs>
                <w:tab w:val="left" w:pos="0"/>
              </w:tabs>
              <w:spacing w:before="0" w:beforeAutospacing="0" w:after="0" w:afterAutospacing="0"/>
            </w:pPr>
            <w:r w:rsidRPr="002B005F">
              <w:t>Début du délai transitoire d'une année.</w:t>
            </w:r>
          </w:p>
        </w:tc>
      </w:tr>
      <w:tr w:rsidR="002760B2" w:rsidRPr="002B005F" w14:paraId="19BE3EE8"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062C0083"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Fin 2005</w:t>
            </w:r>
          </w:p>
        </w:tc>
        <w:tc>
          <w:tcPr>
            <w:tcW w:w="7087" w:type="dxa"/>
            <w:tcBorders>
              <w:top w:val="outset" w:sz="6" w:space="0" w:color="auto"/>
              <w:left w:val="outset" w:sz="6" w:space="0" w:color="auto"/>
              <w:bottom w:val="outset" w:sz="6" w:space="0" w:color="auto"/>
              <w:right w:val="outset" w:sz="6" w:space="0" w:color="auto"/>
            </w:tcBorders>
            <w:vAlign w:val="center"/>
            <w:hideMark/>
          </w:tcPr>
          <w:p w14:paraId="611C6792" w14:textId="77777777" w:rsidR="002760B2" w:rsidRPr="002B005F" w:rsidRDefault="002760B2" w:rsidP="00265E19">
            <w:pPr>
              <w:pStyle w:val="NormalWeb"/>
              <w:keepNext/>
              <w:keepLines/>
              <w:tabs>
                <w:tab w:val="left" w:pos="0"/>
              </w:tabs>
              <w:spacing w:before="0" w:beforeAutospacing="0" w:after="0" w:afterAutospacing="0"/>
            </w:pPr>
            <w:r w:rsidRPr="002B005F">
              <w:t>Transposition de la directive en droit national.</w:t>
            </w:r>
          </w:p>
        </w:tc>
      </w:tr>
      <w:tr w:rsidR="002760B2" w:rsidRPr="002B005F" w14:paraId="767F64B7"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32800F37"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2006</w:t>
            </w:r>
          </w:p>
        </w:tc>
        <w:tc>
          <w:tcPr>
            <w:tcW w:w="7087" w:type="dxa"/>
            <w:tcBorders>
              <w:top w:val="outset" w:sz="6" w:space="0" w:color="auto"/>
              <w:left w:val="outset" w:sz="6" w:space="0" w:color="auto"/>
              <w:bottom w:val="outset" w:sz="6" w:space="0" w:color="auto"/>
              <w:right w:val="outset" w:sz="6" w:space="0" w:color="auto"/>
            </w:tcBorders>
            <w:vAlign w:val="center"/>
            <w:hideMark/>
          </w:tcPr>
          <w:p w14:paraId="75D48F03" w14:textId="77777777" w:rsidR="002760B2" w:rsidRPr="002B005F" w:rsidRDefault="002760B2" w:rsidP="00FA3F6B">
            <w:pPr>
              <w:pStyle w:val="NormalWeb"/>
              <w:keepNext/>
              <w:keepLines/>
              <w:tabs>
                <w:tab w:val="left" w:pos="0"/>
              </w:tabs>
              <w:spacing w:before="0" w:beforeAutospacing="0" w:after="0" w:afterAutospacing="0" w:line="300" w:lineRule="auto"/>
            </w:pPr>
            <w:r w:rsidRPr="002B005F">
              <w:t xml:space="preserve">Introduction de l'accord de </w:t>
            </w:r>
            <w:r w:rsidR="00667D44" w:rsidRPr="002B005F">
              <w:t xml:space="preserve">Bâle </w:t>
            </w:r>
            <w:r w:rsidRPr="002B005F">
              <w:t xml:space="preserve">dans les différents pays. Calcul en parallèle des ratios </w:t>
            </w:r>
            <w:r w:rsidRPr="00085405">
              <w:rPr>
                <w:i/>
                <w:iCs/>
              </w:rPr>
              <w:t>Cooke</w:t>
            </w:r>
            <w:r w:rsidRPr="002B005F">
              <w:t xml:space="preserve"> &amp; </w:t>
            </w:r>
            <w:r w:rsidR="00667D44" w:rsidRPr="002B005F">
              <w:t xml:space="preserve">Bâle </w:t>
            </w:r>
            <w:r w:rsidRPr="002B005F">
              <w:t>II dit</w:t>
            </w:r>
            <w:r w:rsidRPr="00085405">
              <w:rPr>
                <w:i/>
                <w:iCs/>
              </w:rPr>
              <w:t xml:space="preserve"> McDonough</w:t>
            </w:r>
            <w:r w:rsidRPr="002B005F">
              <w:t>.</w:t>
            </w:r>
          </w:p>
        </w:tc>
      </w:tr>
      <w:tr w:rsidR="002760B2" w:rsidRPr="002B005F" w14:paraId="19B2F276" w14:textId="77777777" w:rsidTr="00657F14">
        <w:trPr>
          <w:trHeight w:val="680"/>
          <w:jc w:val="center"/>
        </w:trPr>
        <w:tc>
          <w:tcPr>
            <w:tcW w:w="1984" w:type="dxa"/>
            <w:tcBorders>
              <w:top w:val="outset" w:sz="6" w:space="0" w:color="auto"/>
              <w:left w:val="outset" w:sz="6" w:space="0" w:color="auto"/>
              <w:bottom w:val="outset" w:sz="6" w:space="0" w:color="auto"/>
              <w:right w:val="outset" w:sz="6" w:space="0" w:color="auto"/>
            </w:tcBorders>
            <w:vAlign w:val="center"/>
            <w:hideMark/>
          </w:tcPr>
          <w:p w14:paraId="1047BFC9" w14:textId="77777777" w:rsidR="002760B2" w:rsidRPr="002B005F" w:rsidRDefault="002760B2" w:rsidP="00265E19">
            <w:pPr>
              <w:pStyle w:val="NormalWeb"/>
              <w:keepNext/>
              <w:keepLines/>
              <w:tabs>
                <w:tab w:val="left" w:pos="0"/>
              </w:tabs>
              <w:spacing w:before="0" w:beforeAutospacing="0" w:after="0" w:afterAutospacing="0"/>
              <w:ind w:left="113"/>
              <w:jc w:val="left"/>
              <w:rPr>
                <w:b/>
                <w:bCs/>
              </w:rPr>
            </w:pPr>
            <w:r w:rsidRPr="002B005F">
              <w:rPr>
                <w:b/>
                <w:bCs/>
              </w:rPr>
              <w:t>Fin 2007</w:t>
            </w:r>
          </w:p>
        </w:tc>
        <w:tc>
          <w:tcPr>
            <w:tcW w:w="7087" w:type="dxa"/>
            <w:tcBorders>
              <w:top w:val="outset" w:sz="6" w:space="0" w:color="auto"/>
              <w:left w:val="outset" w:sz="6" w:space="0" w:color="auto"/>
              <w:bottom w:val="outset" w:sz="6" w:space="0" w:color="auto"/>
              <w:right w:val="outset" w:sz="6" w:space="0" w:color="auto"/>
            </w:tcBorders>
            <w:vAlign w:val="center"/>
            <w:hideMark/>
          </w:tcPr>
          <w:p w14:paraId="2B954CE0" w14:textId="77777777" w:rsidR="002760B2" w:rsidRPr="002B005F" w:rsidRDefault="002760B2" w:rsidP="00265E19">
            <w:pPr>
              <w:pStyle w:val="NormalWeb"/>
              <w:keepNext/>
              <w:keepLines/>
              <w:tabs>
                <w:tab w:val="left" w:pos="0"/>
              </w:tabs>
              <w:spacing w:before="0" w:beforeAutospacing="0" w:after="0" w:afterAutospacing="0"/>
            </w:pPr>
            <w:r w:rsidRPr="002B005F">
              <w:t>Mise en application de l'accord pour les méthodes les plus avancées.</w:t>
            </w:r>
          </w:p>
        </w:tc>
      </w:tr>
    </w:tbl>
    <w:p w14:paraId="010C5E7B" w14:textId="77777777" w:rsidR="003531D0" w:rsidRPr="002B005F" w:rsidRDefault="009056FC" w:rsidP="00265E19">
      <w:pPr>
        <w:keepNext/>
        <w:keepLines/>
        <w:widowControl w:val="0"/>
        <w:tabs>
          <w:tab w:val="left" w:pos="0"/>
        </w:tabs>
        <w:autoSpaceDE w:val="0"/>
        <w:autoSpaceDN w:val="0"/>
        <w:adjustRightInd w:val="0"/>
        <w:spacing w:before="120" w:after="100" w:afterAutospacing="1" w:line="240" w:lineRule="auto"/>
        <w:jc w:val="center"/>
        <w:rPr>
          <w:rFonts w:ascii="Times New Roman" w:hAnsi="Times New Roman" w:cs="Times New Roman"/>
          <w:sz w:val="20"/>
          <w:szCs w:val="20"/>
        </w:rPr>
      </w:pPr>
      <w:r>
        <w:rPr>
          <w:rFonts w:ascii="Times New Roman" w:hAnsi="Times New Roman" w:cs="Times New Roman"/>
          <w:sz w:val="20"/>
          <w:szCs w:val="20"/>
        </w:rPr>
        <w:t>Source : T</w:t>
      </w:r>
      <w:r w:rsidR="002760B2" w:rsidRPr="002B005F">
        <w:rPr>
          <w:rFonts w:ascii="Times New Roman" w:hAnsi="Times New Roman" w:cs="Times New Roman"/>
          <w:sz w:val="20"/>
          <w:szCs w:val="20"/>
        </w:rPr>
        <w:t xml:space="preserve">ravail du chercheur basé sur </w:t>
      </w:r>
      <w:r w:rsidR="00F81836" w:rsidRPr="002B005F">
        <w:rPr>
          <w:rFonts w:ascii="Times New Roman" w:hAnsi="Times New Roman" w:cs="Times New Roman"/>
          <w:sz w:val="20"/>
          <w:szCs w:val="20"/>
        </w:rPr>
        <w:t>diverses publications</w:t>
      </w:r>
      <w:r w:rsidR="002760B2" w:rsidRPr="002B005F">
        <w:rPr>
          <w:rFonts w:ascii="Times New Roman" w:hAnsi="Times New Roman" w:cs="Times New Roman"/>
          <w:sz w:val="20"/>
          <w:szCs w:val="20"/>
        </w:rPr>
        <w:t>.</w:t>
      </w:r>
    </w:p>
    <w:p w14:paraId="718E5719" w14:textId="77777777" w:rsidR="007B64B9" w:rsidRDefault="007B64B9" w:rsidP="00FA3F6B">
      <w:pPr>
        <w:spacing w:before="240"/>
        <w:rPr>
          <w:rFonts w:ascii="Times New Roman" w:hAnsi="Times New Roman" w:cs="Times New Roman"/>
          <w:sz w:val="24"/>
          <w:szCs w:val="24"/>
        </w:rPr>
      </w:pPr>
    </w:p>
    <w:p w14:paraId="52913E58" w14:textId="2A2F3EF0" w:rsidR="00537842" w:rsidRDefault="002760B2" w:rsidP="007B64B9">
      <w:pPr>
        <w:spacing w:before="100" w:beforeAutospacing="1" w:line="300" w:lineRule="auto"/>
        <w:ind w:firstLine="709"/>
        <w:rPr>
          <w:rFonts w:ascii="Times New Roman" w:hAnsi="Times New Roman" w:cs="Times New Roman"/>
          <w:sz w:val="24"/>
          <w:szCs w:val="24"/>
        </w:rPr>
      </w:pPr>
      <w:r w:rsidRPr="005E0628">
        <w:rPr>
          <w:rFonts w:ascii="Times New Roman" w:hAnsi="Times New Roman" w:cs="Times New Roman"/>
          <w:sz w:val="24"/>
          <w:szCs w:val="24"/>
        </w:rPr>
        <w:t xml:space="preserve">L’architecture du nouveau ratio </w:t>
      </w:r>
      <w:r w:rsidRPr="00B22BB4">
        <w:rPr>
          <w:rFonts w:ascii="Times New Roman" w:hAnsi="Times New Roman" w:cs="Times New Roman"/>
          <w:i/>
          <w:iCs/>
          <w:sz w:val="24"/>
          <w:szCs w:val="24"/>
        </w:rPr>
        <w:t>Mc</w:t>
      </w:r>
      <w:r w:rsidR="00C5790E">
        <w:rPr>
          <w:rFonts w:ascii="Times New Roman" w:hAnsi="Times New Roman" w:cs="Times New Roman"/>
          <w:i/>
          <w:iCs/>
          <w:sz w:val="24"/>
          <w:szCs w:val="24"/>
        </w:rPr>
        <w:t xml:space="preserve"> </w:t>
      </w:r>
      <w:r w:rsidRPr="005E0628">
        <w:rPr>
          <w:rFonts w:ascii="Times New Roman" w:hAnsi="Times New Roman" w:cs="Times New Roman"/>
          <w:i/>
          <w:iCs/>
          <w:sz w:val="24"/>
          <w:szCs w:val="24"/>
        </w:rPr>
        <w:t>Donough</w:t>
      </w:r>
      <w:r w:rsidRPr="005E0628">
        <w:rPr>
          <w:rFonts w:ascii="Times New Roman" w:hAnsi="Times New Roman" w:cs="Times New Roman"/>
          <w:sz w:val="24"/>
          <w:szCs w:val="24"/>
        </w:rPr>
        <w:t xml:space="preserve"> s’appuie sur trois piliers qui sont présentés dans la figure suivante :</w:t>
      </w:r>
    </w:p>
    <w:p w14:paraId="2AD96E0E" w14:textId="13062DED" w:rsidR="00002215" w:rsidRPr="007B64B9" w:rsidRDefault="00002215" w:rsidP="007B64B9">
      <w:pPr>
        <w:pStyle w:val="NormalWeb"/>
        <w:tabs>
          <w:tab w:val="left" w:pos="0"/>
        </w:tabs>
        <w:spacing w:before="120" w:beforeAutospacing="0" w:after="0" w:afterAutospacing="0" w:line="300" w:lineRule="auto"/>
        <w:jc w:val="center"/>
        <w:rPr>
          <w:rFonts w:asciiTheme="majorBidi" w:hAnsiTheme="majorBidi" w:cstheme="majorBidi"/>
          <w:b/>
          <w:bCs/>
        </w:rPr>
      </w:pPr>
      <w:r w:rsidRPr="007B64B9">
        <w:rPr>
          <w:b/>
          <w:bCs/>
          <w:noProof/>
        </w:rPr>
        <w:lastRenderedPageBreak/>
        <w:drawing>
          <wp:anchor distT="0" distB="0" distL="114300" distR="114300" simplePos="0" relativeHeight="251520000" behindDoc="0" locked="1" layoutInCell="1" allowOverlap="0" wp14:anchorId="744935B9" wp14:editId="40B87AC6">
            <wp:simplePos x="0" y="0"/>
            <wp:positionH relativeFrom="margin">
              <wp:posOffset>360045</wp:posOffset>
            </wp:positionH>
            <wp:positionV relativeFrom="paragraph">
              <wp:posOffset>503555</wp:posOffset>
            </wp:positionV>
            <wp:extent cx="5039995" cy="2933700"/>
            <wp:effectExtent l="0" t="0" r="0" b="0"/>
            <wp:wrapNone/>
            <wp:docPr id="4"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039995" cy="2933700"/>
                    </a:xfrm>
                    <a:prstGeom prst="rect">
                      <a:avLst/>
                    </a:prstGeom>
                    <a:noFill/>
                    <a:ln>
                      <a:noFill/>
                    </a:ln>
                  </pic:spPr>
                </pic:pic>
              </a:graphicData>
            </a:graphic>
          </wp:anchor>
        </w:drawing>
      </w:r>
      <w:bookmarkStart w:id="944" w:name="_Toc115527434"/>
      <w:r w:rsidR="00266F48" w:rsidRPr="007B64B9">
        <w:rPr>
          <w:rFonts w:asciiTheme="majorBidi" w:hAnsiTheme="majorBidi" w:cstheme="majorBidi"/>
          <w:b/>
          <w:bCs/>
        </w:rPr>
        <w:t xml:space="preserve">Figure </w:t>
      </w:r>
      <w:r w:rsidR="00B544E5" w:rsidRPr="007B64B9">
        <w:rPr>
          <w:rFonts w:asciiTheme="majorBidi" w:hAnsiTheme="majorBidi" w:cstheme="majorBidi"/>
          <w:b/>
          <w:bCs/>
        </w:rPr>
        <w:fldChar w:fldCharType="begin"/>
      </w:r>
      <w:r w:rsidR="00266F48" w:rsidRPr="007B64B9">
        <w:rPr>
          <w:rFonts w:asciiTheme="majorBidi" w:hAnsiTheme="majorBidi" w:cstheme="majorBidi"/>
          <w:b/>
          <w:bCs/>
        </w:rPr>
        <w:instrText xml:space="preserve"> SEQ Figure \* ARABIC </w:instrText>
      </w:r>
      <w:r w:rsidR="00B544E5" w:rsidRPr="007B64B9">
        <w:rPr>
          <w:rFonts w:asciiTheme="majorBidi" w:hAnsiTheme="majorBidi" w:cstheme="majorBidi"/>
          <w:b/>
          <w:bCs/>
        </w:rPr>
        <w:fldChar w:fldCharType="separate"/>
      </w:r>
      <w:r w:rsidR="00666FC7">
        <w:rPr>
          <w:rFonts w:asciiTheme="majorBidi" w:hAnsiTheme="majorBidi" w:cstheme="majorBidi"/>
          <w:b/>
          <w:bCs/>
          <w:noProof/>
        </w:rPr>
        <w:t>23</w:t>
      </w:r>
      <w:r w:rsidR="00B544E5" w:rsidRPr="007B64B9">
        <w:rPr>
          <w:rFonts w:asciiTheme="majorBidi" w:hAnsiTheme="majorBidi" w:cstheme="majorBidi"/>
          <w:b/>
          <w:bCs/>
        </w:rPr>
        <w:fldChar w:fldCharType="end"/>
      </w:r>
      <w:r w:rsidR="00266F48" w:rsidRPr="007B64B9">
        <w:rPr>
          <w:rFonts w:asciiTheme="majorBidi" w:hAnsiTheme="majorBidi" w:cstheme="majorBidi"/>
          <w:b/>
          <w:bCs/>
        </w:rPr>
        <w:t>- Les trois piliers de l'accord de Bâle II</w:t>
      </w:r>
      <w:bookmarkEnd w:id="944"/>
    </w:p>
    <w:p w14:paraId="5FFF913D" w14:textId="77777777" w:rsidR="00002215" w:rsidRPr="002B005F" w:rsidRDefault="00002215" w:rsidP="007B64B9">
      <w:pPr>
        <w:pStyle w:val="NormalWeb"/>
        <w:tabs>
          <w:tab w:val="left" w:pos="0"/>
        </w:tabs>
        <w:spacing w:before="120" w:beforeAutospacing="0" w:after="0" w:afterAutospacing="0" w:line="276" w:lineRule="auto"/>
        <w:jc w:val="center"/>
      </w:pPr>
    </w:p>
    <w:p w14:paraId="6A73C778" w14:textId="77777777" w:rsidR="00002215" w:rsidRPr="002B005F" w:rsidRDefault="00002215" w:rsidP="007B64B9">
      <w:pPr>
        <w:pStyle w:val="NormalWeb"/>
        <w:tabs>
          <w:tab w:val="left" w:pos="0"/>
        </w:tabs>
        <w:spacing w:before="120" w:beforeAutospacing="0" w:after="0" w:afterAutospacing="0" w:line="276" w:lineRule="auto"/>
        <w:jc w:val="center"/>
      </w:pPr>
    </w:p>
    <w:p w14:paraId="76B83F86" w14:textId="77777777" w:rsidR="00002215" w:rsidRPr="002B005F" w:rsidRDefault="00002215" w:rsidP="007B64B9">
      <w:pPr>
        <w:pStyle w:val="NormalWeb"/>
        <w:tabs>
          <w:tab w:val="left" w:pos="0"/>
        </w:tabs>
        <w:spacing w:before="120" w:beforeAutospacing="0" w:after="0" w:afterAutospacing="0" w:line="276" w:lineRule="auto"/>
        <w:jc w:val="center"/>
      </w:pPr>
    </w:p>
    <w:p w14:paraId="1569FE54" w14:textId="77777777" w:rsidR="00002215" w:rsidRPr="002B005F" w:rsidRDefault="00002215" w:rsidP="007B64B9">
      <w:pPr>
        <w:pStyle w:val="NormalWeb"/>
        <w:tabs>
          <w:tab w:val="left" w:pos="0"/>
        </w:tabs>
        <w:spacing w:before="120" w:beforeAutospacing="0" w:after="0" w:afterAutospacing="0" w:line="276" w:lineRule="auto"/>
        <w:jc w:val="center"/>
      </w:pPr>
    </w:p>
    <w:p w14:paraId="1E4E9FBB" w14:textId="77777777" w:rsidR="00002215" w:rsidRPr="002B005F" w:rsidRDefault="00002215" w:rsidP="007B64B9">
      <w:pPr>
        <w:pStyle w:val="NormalWeb"/>
        <w:tabs>
          <w:tab w:val="left" w:pos="0"/>
        </w:tabs>
        <w:spacing w:before="120" w:beforeAutospacing="0" w:after="0" w:afterAutospacing="0" w:line="276" w:lineRule="auto"/>
        <w:jc w:val="center"/>
      </w:pPr>
    </w:p>
    <w:p w14:paraId="495279C9" w14:textId="77777777" w:rsidR="00002215" w:rsidRDefault="00002215" w:rsidP="007B64B9">
      <w:pPr>
        <w:pStyle w:val="NormalWeb"/>
        <w:tabs>
          <w:tab w:val="left" w:pos="0"/>
        </w:tabs>
        <w:spacing w:before="120" w:beforeAutospacing="0" w:after="0" w:afterAutospacing="0" w:line="276" w:lineRule="auto"/>
        <w:jc w:val="center"/>
      </w:pPr>
    </w:p>
    <w:p w14:paraId="0DA3CB1E" w14:textId="77777777" w:rsidR="007B64B9" w:rsidRDefault="007B64B9" w:rsidP="007B64B9">
      <w:pPr>
        <w:pStyle w:val="NormalWeb"/>
        <w:tabs>
          <w:tab w:val="left" w:pos="0"/>
        </w:tabs>
        <w:spacing w:before="120" w:beforeAutospacing="0" w:after="0" w:afterAutospacing="0" w:line="276" w:lineRule="auto"/>
        <w:jc w:val="center"/>
      </w:pPr>
    </w:p>
    <w:p w14:paraId="16C3D017" w14:textId="77777777" w:rsidR="007B64B9" w:rsidRDefault="007B64B9" w:rsidP="007B64B9">
      <w:pPr>
        <w:pStyle w:val="NormalWeb"/>
        <w:tabs>
          <w:tab w:val="left" w:pos="0"/>
        </w:tabs>
        <w:spacing w:before="120" w:beforeAutospacing="0" w:after="0" w:afterAutospacing="0" w:line="276" w:lineRule="auto"/>
        <w:jc w:val="center"/>
      </w:pPr>
    </w:p>
    <w:p w14:paraId="78A23DD8" w14:textId="77777777" w:rsidR="007B64B9" w:rsidRDefault="007B64B9" w:rsidP="007B64B9">
      <w:pPr>
        <w:pStyle w:val="NormalWeb"/>
        <w:tabs>
          <w:tab w:val="left" w:pos="0"/>
        </w:tabs>
        <w:spacing w:before="120" w:beforeAutospacing="0" w:after="0" w:afterAutospacing="0" w:line="276" w:lineRule="auto"/>
        <w:jc w:val="center"/>
      </w:pPr>
    </w:p>
    <w:p w14:paraId="39651332" w14:textId="77777777" w:rsidR="007B64B9" w:rsidRDefault="007B64B9" w:rsidP="007B64B9">
      <w:pPr>
        <w:pStyle w:val="NormalWeb"/>
        <w:tabs>
          <w:tab w:val="left" w:pos="0"/>
        </w:tabs>
        <w:spacing w:before="120" w:beforeAutospacing="0" w:after="0" w:afterAutospacing="0" w:line="276" w:lineRule="auto"/>
        <w:jc w:val="center"/>
      </w:pPr>
    </w:p>
    <w:p w14:paraId="52069BFF" w14:textId="77777777" w:rsidR="007B64B9" w:rsidRDefault="007B64B9" w:rsidP="007B64B9">
      <w:pPr>
        <w:pStyle w:val="NormalWeb"/>
        <w:tabs>
          <w:tab w:val="left" w:pos="0"/>
        </w:tabs>
        <w:spacing w:before="120" w:beforeAutospacing="0" w:after="0" w:afterAutospacing="0" w:line="276" w:lineRule="auto"/>
        <w:jc w:val="center"/>
      </w:pPr>
    </w:p>
    <w:p w14:paraId="7DCD1B70" w14:textId="77777777" w:rsidR="007B64B9" w:rsidRPr="002B005F" w:rsidRDefault="007B64B9" w:rsidP="007B64B9">
      <w:pPr>
        <w:pStyle w:val="NormalWeb"/>
        <w:tabs>
          <w:tab w:val="left" w:pos="0"/>
        </w:tabs>
        <w:spacing w:before="120" w:beforeAutospacing="0" w:after="0" w:afterAutospacing="0" w:line="276" w:lineRule="auto"/>
        <w:jc w:val="center"/>
      </w:pPr>
    </w:p>
    <w:p w14:paraId="0105EC46" w14:textId="77777777" w:rsidR="002760B2" w:rsidRPr="002B005F" w:rsidRDefault="002760B2" w:rsidP="00266F48">
      <w:pPr>
        <w:widowControl w:val="0"/>
        <w:tabs>
          <w:tab w:val="left" w:pos="0"/>
        </w:tabs>
        <w:autoSpaceDE w:val="0"/>
        <w:autoSpaceDN w:val="0"/>
        <w:adjustRightInd w:val="0"/>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bookmarkStart w:id="945" w:name="_Hlk530830510"/>
      <w:r w:rsidRPr="002B005F">
        <w:rPr>
          <w:rFonts w:ascii="Times New Roman" w:hAnsi="Times New Roman" w:cs="Times New Roman"/>
          <w:smallCaps/>
          <w:sz w:val="20"/>
          <w:szCs w:val="20"/>
        </w:rPr>
        <w:t>Taccola-Lapierre</w:t>
      </w:r>
      <w:r w:rsidR="00002215" w:rsidRPr="002B005F">
        <w:rPr>
          <w:rFonts w:ascii="Times New Roman" w:hAnsi="Times New Roman" w:cs="Times New Roman"/>
          <w:smallCaps/>
          <w:sz w:val="20"/>
          <w:szCs w:val="20"/>
        </w:rPr>
        <w:t>,</w:t>
      </w:r>
      <w:r w:rsidR="00002215" w:rsidRPr="002B005F">
        <w:rPr>
          <w:rFonts w:ascii="Times New Roman" w:hAnsi="Times New Roman" w:cs="Times New Roman"/>
          <w:sz w:val="20"/>
          <w:szCs w:val="20"/>
        </w:rPr>
        <w:t xml:space="preserve"> 2008</w:t>
      </w:r>
      <w:r w:rsidRPr="002B005F">
        <w:rPr>
          <w:rFonts w:ascii="Times New Roman" w:hAnsi="Times New Roman" w:cs="Times New Roman"/>
          <w:sz w:val="20"/>
          <w:szCs w:val="20"/>
        </w:rPr>
        <w:t xml:space="preserve">, </w:t>
      </w:r>
      <w:bookmarkEnd w:id="945"/>
      <w:r w:rsidRPr="002B005F">
        <w:rPr>
          <w:rFonts w:ascii="Times New Roman" w:hAnsi="Times New Roman" w:cs="Times New Roman"/>
          <w:sz w:val="20"/>
          <w:szCs w:val="20"/>
        </w:rPr>
        <w:t>p. 101.</w:t>
      </w:r>
    </w:p>
    <w:p w14:paraId="5B45D97F" w14:textId="77777777" w:rsidR="002760B2" w:rsidRPr="005E0628" w:rsidRDefault="005E0628" w:rsidP="00CB0FF1">
      <w:pPr>
        <w:pStyle w:val="Paragraphedeliste"/>
        <w:numPr>
          <w:ilvl w:val="0"/>
          <w:numId w:val="14"/>
        </w:numPr>
        <w:tabs>
          <w:tab w:val="left" w:pos="0"/>
          <w:tab w:val="left" w:pos="426"/>
          <w:tab w:val="left" w:pos="993"/>
        </w:tabs>
        <w:autoSpaceDE w:val="0"/>
        <w:autoSpaceDN w:val="0"/>
        <w:adjustRightInd w:val="0"/>
        <w:spacing w:before="120" w:after="120" w:line="300" w:lineRule="auto"/>
        <w:ind w:left="0" w:firstLine="709"/>
        <w:contextualSpacing w:val="0"/>
        <w:rPr>
          <w:rFonts w:ascii="Times New Roman" w:hAnsi="Times New Roman" w:cs="Times New Roman"/>
          <w:b/>
          <w:bCs/>
          <w:sz w:val="24"/>
          <w:szCs w:val="24"/>
        </w:rPr>
      </w:pPr>
      <w:r w:rsidRPr="005E0628">
        <w:rPr>
          <w:rFonts w:ascii="Times New Roman" w:hAnsi="Times New Roman" w:cs="Times New Roman"/>
          <w:b/>
          <w:bCs/>
          <w:sz w:val="24"/>
          <w:szCs w:val="24"/>
        </w:rPr>
        <w:t>P</w:t>
      </w:r>
      <w:r w:rsidR="002760B2" w:rsidRPr="005E0628">
        <w:rPr>
          <w:rFonts w:ascii="Times New Roman" w:hAnsi="Times New Roman" w:cs="Times New Roman"/>
          <w:b/>
          <w:bCs/>
          <w:sz w:val="24"/>
          <w:szCs w:val="24"/>
        </w:rPr>
        <w:t>remier pilier : exigence minimale en fonds propres</w:t>
      </w:r>
    </w:p>
    <w:p w14:paraId="21B5D374" w14:textId="77777777" w:rsidR="002760B2" w:rsidRPr="00FA3F6B" w:rsidRDefault="002760B2" w:rsidP="00E04F9A">
      <w:pPr>
        <w:tabs>
          <w:tab w:val="left" w:pos="0"/>
        </w:tabs>
        <w:spacing w:before="120" w:line="300" w:lineRule="auto"/>
        <w:ind w:firstLine="709"/>
        <w:rPr>
          <w:rFonts w:ascii="Times New Roman" w:hAnsi="Times New Roman" w:cs="Times New Roman"/>
          <w:spacing w:val="6"/>
          <w:sz w:val="24"/>
          <w:szCs w:val="24"/>
          <w:lang w:eastAsia="fr-FR"/>
        </w:rPr>
      </w:pPr>
      <w:r w:rsidRPr="00FA3F6B">
        <w:rPr>
          <w:rFonts w:ascii="Times New Roman" w:hAnsi="Times New Roman" w:cs="Times New Roman"/>
          <w:spacing w:val="6"/>
          <w:sz w:val="24"/>
          <w:szCs w:val="24"/>
          <w:lang w:eastAsia="fr-FR"/>
        </w:rPr>
        <w:t xml:space="preserve">C’est une dimension proche de celle de l'accord de Bâle I à laquelle il ajoute les fondements suivants : </w:t>
      </w:r>
    </w:p>
    <w:p w14:paraId="577DC0D0" w14:textId="77777777" w:rsidR="002760B2" w:rsidRPr="008E2909" w:rsidRDefault="002760B2" w:rsidP="00CB0FF1">
      <w:pPr>
        <w:pStyle w:val="Paragraphedeliste"/>
        <w:numPr>
          <w:ilvl w:val="0"/>
          <w:numId w:val="11"/>
        </w:numPr>
        <w:tabs>
          <w:tab w:val="left" w:pos="426"/>
          <w:tab w:val="left" w:pos="851"/>
          <w:tab w:val="left" w:pos="1134"/>
        </w:tabs>
        <w:spacing w:before="60" w:line="300" w:lineRule="auto"/>
        <w:ind w:left="1135" w:hanging="284"/>
        <w:contextualSpacing w:val="0"/>
        <w:rPr>
          <w:rFonts w:ascii="Times New Roman" w:hAnsi="Times New Roman" w:cs="Times New Roman"/>
          <w:sz w:val="24"/>
          <w:szCs w:val="24"/>
          <w:lang w:eastAsia="fr-FR"/>
        </w:rPr>
      </w:pPr>
      <w:r w:rsidRPr="008E2909">
        <w:rPr>
          <w:rFonts w:ascii="Times New Roman" w:hAnsi="Times New Roman" w:cs="Times New Roman"/>
          <w:sz w:val="24"/>
          <w:szCs w:val="24"/>
          <w:lang w:eastAsia="fr-FR"/>
        </w:rPr>
        <w:t xml:space="preserve">Des normes renouvelées pour mieux tenir compte des risques mais sans modification du niveau global des fonds propres </w:t>
      </w:r>
      <w:r w:rsidR="003531D0" w:rsidRPr="008E2909">
        <w:rPr>
          <w:rFonts w:ascii="Times New Roman" w:hAnsi="Times New Roman" w:cs="Times New Roman"/>
          <w:sz w:val="24"/>
          <w:szCs w:val="24"/>
          <w:lang w:eastAsia="fr-FR"/>
        </w:rPr>
        <w:t>qui est égal ou supérieur à 8 % ;</w:t>
      </w:r>
    </w:p>
    <w:p w14:paraId="0E5AC3D5" w14:textId="77777777" w:rsidR="002760B2" w:rsidRPr="00FA3F6B" w:rsidRDefault="002760B2" w:rsidP="00CB0FF1">
      <w:pPr>
        <w:pStyle w:val="Paragraphedeliste"/>
        <w:numPr>
          <w:ilvl w:val="0"/>
          <w:numId w:val="11"/>
        </w:numPr>
        <w:tabs>
          <w:tab w:val="left" w:pos="426"/>
          <w:tab w:val="left" w:pos="851"/>
          <w:tab w:val="left" w:pos="1134"/>
        </w:tabs>
        <w:spacing w:before="60" w:line="300" w:lineRule="auto"/>
        <w:ind w:left="1135" w:hanging="284"/>
        <w:contextualSpacing w:val="0"/>
        <w:rPr>
          <w:rFonts w:ascii="Times New Roman" w:hAnsi="Times New Roman" w:cs="Times New Roman"/>
          <w:spacing w:val="6"/>
          <w:sz w:val="24"/>
          <w:szCs w:val="24"/>
          <w:lang w:eastAsia="fr-FR"/>
        </w:rPr>
      </w:pPr>
      <w:r w:rsidRPr="00FA3F6B">
        <w:rPr>
          <w:rFonts w:ascii="Times New Roman" w:hAnsi="Times New Roman" w:cs="Times New Roman"/>
          <w:spacing w:val="6"/>
          <w:sz w:val="24"/>
          <w:szCs w:val="24"/>
          <w:lang w:eastAsia="fr-FR"/>
        </w:rPr>
        <w:t>Une plus grande reconnaissance et prise en compte des techniques d</w:t>
      </w:r>
      <w:r w:rsidR="003531D0" w:rsidRPr="00FA3F6B">
        <w:rPr>
          <w:rFonts w:ascii="Times New Roman" w:hAnsi="Times New Roman" w:cs="Times New Roman"/>
          <w:spacing w:val="6"/>
          <w:sz w:val="24"/>
          <w:szCs w:val="24"/>
          <w:lang w:eastAsia="fr-FR"/>
        </w:rPr>
        <w:t>e réduction des risques ;</w:t>
      </w:r>
    </w:p>
    <w:p w14:paraId="4B1774CE" w14:textId="77777777" w:rsidR="002760B2" w:rsidRPr="00FA3F6B" w:rsidRDefault="002760B2" w:rsidP="00CB0FF1">
      <w:pPr>
        <w:pStyle w:val="Paragraphedeliste"/>
        <w:numPr>
          <w:ilvl w:val="0"/>
          <w:numId w:val="11"/>
        </w:numPr>
        <w:tabs>
          <w:tab w:val="left" w:pos="426"/>
          <w:tab w:val="left" w:pos="851"/>
          <w:tab w:val="left" w:pos="1134"/>
        </w:tabs>
        <w:spacing w:before="60" w:line="300" w:lineRule="auto"/>
        <w:ind w:left="1135" w:hanging="284"/>
        <w:contextualSpacing w:val="0"/>
        <w:rPr>
          <w:rFonts w:ascii="Times New Roman" w:hAnsi="Times New Roman" w:cs="Times New Roman"/>
          <w:spacing w:val="6"/>
          <w:sz w:val="24"/>
          <w:szCs w:val="24"/>
          <w:lang w:eastAsia="fr-FR"/>
        </w:rPr>
      </w:pPr>
      <w:r w:rsidRPr="00FA3F6B">
        <w:rPr>
          <w:rFonts w:ascii="Times New Roman" w:hAnsi="Times New Roman" w:cs="Times New Roman"/>
          <w:spacing w:val="6"/>
          <w:sz w:val="24"/>
          <w:szCs w:val="24"/>
          <w:lang w:eastAsia="fr-FR"/>
        </w:rPr>
        <w:t>Une prise en compte des risques opérationnels</w:t>
      </w:r>
      <w:r w:rsidR="003531D0" w:rsidRPr="00FA3F6B">
        <w:rPr>
          <w:rFonts w:ascii="Times New Roman" w:hAnsi="Times New Roman" w:cs="Times New Roman"/>
          <w:spacing w:val="6"/>
          <w:sz w:val="24"/>
          <w:szCs w:val="24"/>
          <w:lang w:eastAsia="fr-FR"/>
        </w:rPr>
        <w:t>.</w:t>
      </w:r>
    </w:p>
    <w:p w14:paraId="5DE8E60A" w14:textId="77777777" w:rsidR="002760B2" w:rsidRPr="005E0628" w:rsidRDefault="005E0628" w:rsidP="00CB0FF1">
      <w:pPr>
        <w:pStyle w:val="Paragraphedeliste"/>
        <w:numPr>
          <w:ilvl w:val="0"/>
          <w:numId w:val="14"/>
        </w:numPr>
        <w:tabs>
          <w:tab w:val="left" w:pos="0"/>
          <w:tab w:val="left" w:pos="426"/>
          <w:tab w:val="left" w:pos="993"/>
        </w:tabs>
        <w:spacing w:before="120" w:after="120" w:line="300" w:lineRule="auto"/>
        <w:ind w:left="0" w:firstLine="709"/>
        <w:contextualSpacing w:val="0"/>
        <w:rPr>
          <w:rFonts w:ascii="Times New Roman" w:hAnsi="Times New Roman" w:cs="Times New Roman"/>
          <w:b/>
          <w:bCs/>
          <w:sz w:val="24"/>
          <w:szCs w:val="24"/>
          <w:lang w:eastAsia="fr-FR"/>
        </w:rPr>
      </w:pPr>
      <w:r w:rsidRPr="005E0628">
        <w:rPr>
          <w:rFonts w:ascii="Times New Roman" w:hAnsi="Times New Roman" w:cs="Times New Roman"/>
          <w:b/>
          <w:bCs/>
          <w:sz w:val="24"/>
          <w:szCs w:val="24"/>
          <w:lang w:eastAsia="fr-FR"/>
        </w:rPr>
        <w:t>D</w:t>
      </w:r>
      <w:r w:rsidR="002760B2" w:rsidRPr="005E0628">
        <w:rPr>
          <w:rFonts w:ascii="Times New Roman" w:hAnsi="Times New Roman" w:cs="Times New Roman"/>
          <w:b/>
          <w:bCs/>
          <w:sz w:val="24"/>
          <w:szCs w:val="24"/>
          <w:lang w:eastAsia="fr-FR"/>
        </w:rPr>
        <w:t>euxième pilier : Surveillance prudentielle</w:t>
      </w:r>
    </w:p>
    <w:p w14:paraId="4ACDFA5A" w14:textId="77777777" w:rsidR="002760B2" w:rsidRPr="00265E19" w:rsidRDefault="002760B2" w:rsidP="00DD2E96">
      <w:pPr>
        <w:tabs>
          <w:tab w:val="left" w:pos="0"/>
        </w:tabs>
        <w:spacing w:before="60" w:line="300" w:lineRule="auto"/>
        <w:ind w:firstLine="709"/>
        <w:rPr>
          <w:rFonts w:ascii="Times New Roman" w:hAnsi="Times New Roman" w:cs="Times New Roman"/>
          <w:sz w:val="24"/>
          <w:szCs w:val="24"/>
          <w:lang w:eastAsia="fr-FR"/>
        </w:rPr>
      </w:pPr>
      <w:r w:rsidRPr="00265E19">
        <w:rPr>
          <w:rFonts w:ascii="Times New Roman" w:hAnsi="Times New Roman" w:cs="Times New Roman"/>
          <w:sz w:val="24"/>
          <w:szCs w:val="24"/>
          <w:lang w:eastAsia="fr-FR"/>
        </w:rPr>
        <w:t>Ce pilier traite la manière par laquelle les autorités de surveillance bancaires pratiquent leur contrôle. Il est fondé sur trois principes :</w:t>
      </w:r>
    </w:p>
    <w:p w14:paraId="5B0A3E0A" w14:textId="77777777" w:rsidR="002760B2" w:rsidRPr="00FA3F6B" w:rsidRDefault="002760B2" w:rsidP="00CB0FF1">
      <w:pPr>
        <w:pStyle w:val="Paragraphedeliste"/>
        <w:numPr>
          <w:ilvl w:val="0"/>
          <w:numId w:val="11"/>
        </w:numPr>
        <w:tabs>
          <w:tab w:val="left" w:pos="426"/>
          <w:tab w:val="left" w:pos="851"/>
          <w:tab w:val="left" w:pos="1134"/>
        </w:tabs>
        <w:spacing w:before="60" w:line="300" w:lineRule="auto"/>
        <w:ind w:left="1135" w:hanging="284"/>
        <w:contextualSpacing w:val="0"/>
        <w:rPr>
          <w:rFonts w:ascii="Times New Roman" w:hAnsi="Times New Roman" w:cs="Times New Roman"/>
          <w:spacing w:val="6"/>
          <w:sz w:val="24"/>
          <w:szCs w:val="24"/>
          <w:lang w:eastAsia="fr-FR"/>
        </w:rPr>
      </w:pPr>
      <w:r w:rsidRPr="00FA3F6B">
        <w:rPr>
          <w:rFonts w:ascii="Times New Roman" w:eastAsia="TimesNewRoman" w:hAnsi="Times New Roman" w:cs="Times New Roman"/>
          <w:spacing w:val="6"/>
          <w:sz w:val="24"/>
          <w:szCs w:val="24"/>
        </w:rPr>
        <w:t>Les banques doivent mettre en place un processus d</w:t>
      </w:r>
      <w:r w:rsidR="00002215" w:rsidRPr="00FA3F6B">
        <w:rPr>
          <w:rFonts w:ascii="Times New Roman" w:eastAsia="TimesNewRoman" w:hAnsi="Times New Roman" w:cs="Times New Roman"/>
          <w:spacing w:val="6"/>
          <w:sz w:val="24"/>
          <w:szCs w:val="24"/>
        </w:rPr>
        <w:t xml:space="preserve">’évaluation du capital interne </w:t>
      </w:r>
      <w:r w:rsidRPr="00FA3F6B">
        <w:rPr>
          <w:rFonts w:ascii="Times New Roman" w:eastAsia="TimesNewRoman" w:hAnsi="Times New Roman" w:cs="Times New Roman"/>
          <w:spacing w:val="6"/>
          <w:sz w:val="24"/>
          <w:szCs w:val="24"/>
        </w:rPr>
        <w:t>par un dispositif permettant d’évaluer l’adéquation de leur capital économique à leur profil de risque.</w:t>
      </w:r>
    </w:p>
    <w:p w14:paraId="32FADC53" w14:textId="77777777" w:rsidR="002760B2" w:rsidRPr="00FA3F6B" w:rsidRDefault="00085405" w:rsidP="00CB0FF1">
      <w:pPr>
        <w:pStyle w:val="Paragraphedeliste"/>
        <w:numPr>
          <w:ilvl w:val="0"/>
          <w:numId w:val="11"/>
        </w:numPr>
        <w:tabs>
          <w:tab w:val="left" w:pos="426"/>
          <w:tab w:val="left" w:pos="851"/>
          <w:tab w:val="left" w:pos="1134"/>
        </w:tabs>
        <w:autoSpaceDE w:val="0"/>
        <w:autoSpaceDN w:val="0"/>
        <w:adjustRightInd w:val="0"/>
        <w:spacing w:before="60" w:line="300" w:lineRule="auto"/>
        <w:ind w:left="1135" w:hanging="284"/>
        <w:contextualSpacing w:val="0"/>
        <w:rPr>
          <w:rFonts w:ascii="Times New Roman" w:eastAsia="TimesNewRoman" w:hAnsi="Times New Roman" w:cs="Times New Roman"/>
          <w:spacing w:val="6"/>
          <w:sz w:val="24"/>
          <w:szCs w:val="24"/>
        </w:rPr>
      </w:pPr>
      <w:r w:rsidRPr="00FA3F6B">
        <w:rPr>
          <w:rFonts w:ascii="Times New Roman" w:eastAsia="TimesNewRoman" w:hAnsi="Times New Roman" w:cs="Times New Roman"/>
          <w:spacing w:val="6"/>
          <w:sz w:val="24"/>
          <w:szCs w:val="24"/>
        </w:rPr>
        <w:t>A l’aide de ses propres outils, l</w:t>
      </w:r>
      <w:r w:rsidR="002760B2" w:rsidRPr="00FA3F6B">
        <w:rPr>
          <w:rFonts w:ascii="Times New Roman" w:eastAsia="TimesNewRoman" w:hAnsi="Times New Roman" w:cs="Times New Roman"/>
          <w:spacing w:val="6"/>
          <w:sz w:val="24"/>
          <w:szCs w:val="24"/>
        </w:rPr>
        <w:t>e superviseur mène</w:t>
      </w:r>
      <w:r w:rsidRPr="00FA3F6B">
        <w:rPr>
          <w:rFonts w:ascii="Times New Roman" w:eastAsia="TimesNewRoman" w:hAnsi="Times New Roman" w:cs="Times New Roman"/>
          <w:spacing w:val="6"/>
          <w:sz w:val="24"/>
          <w:szCs w:val="24"/>
        </w:rPr>
        <w:t xml:space="preserve"> </w:t>
      </w:r>
      <w:r w:rsidR="002760B2" w:rsidRPr="00FA3F6B">
        <w:rPr>
          <w:rFonts w:ascii="Times New Roman" w:eastAsia="TimesNewRoman" w:hAnsi="Times New Roman" w:cs="Times New Roman"/>
          <w:spacing w:val="6"/>
          <w:sz w:val="24"/>
          <w:szCs w:val="24"/>
        </w:rPr>
        <w:t xml:space="preserve">une analyse prudentielle des mécanismes d’évaluation de la banque et confronte les résultats de son étude avec celle conduite par l’établissement lui-même. </w:t>
      </w:r>
      <w:r w:rsidRPr="00FA3F6B">
        <w:rPr>
          <w:rFonts w:ascii="Times New Roman" w:eastAsia="TimesNewRoman" w:hAnsi="Times New Roman" w:cs="Times New Roman"/>
          <w:spacing w:val="6"/>
          <w:sz w:val="24"/>
          <w:szCs w:val="24"/>
        </w:rPr>
        <w:t>Le cas échéant, i</w:t>
      </w:r>
      <w:r w:rsidR="002760B2" w:rsidRPr="00FA3F6B">
        <w:rPr>
          <w:rFonts w:ascii="Times New Roman" w:eastAsia="TimesNewRoman" w:hAnsi="Times New Roman" w:cs="Times New Roman"/>
          <w:spacing w:val="6"/>
          <w:sz w:val="24"/>
          <w:szCs w:val="24"/>
        </w:rPr>
        <w:t>l peut exiger que les fonds propres de l’établissement soient supérieurs aux exigences minimales.</w:t>
      </w:r>
    </w:p>
    <w:p w14:paraId="5CE33C0F" w14:textId="77777777" w:rsidR="00C03EAA" w:rsidRPr="00FA3F6B" w:rsidRDefault="002760B2" w:rsidP="00CB0FF1">
      <w:pPr>
        <w:pStyle w:val="Paragraphedeliste"/>
        <w:numPr>
          <w:ilvl w:val="0"/>
          <w:numId w:val="11"/>
        </w:numPr>
        <w:tabs>
          <w:tab w:val="left" w:pos="426"/>
          <w:tab w:val="left" w:pos="851"/>
          <w:tab w:val="left" w:pos="1134"/>
        </w:tabs>
        <w:autoSpaceDE w:val="0"/>
        <w:autoSpaceDN w:val="0"/>
        <w:adjustRightInd w:val="0"/>
        <w:spacing w:before="60" w:line="300" w:lineRule="auto"/>
        <w:ind w:left="1135" w:hanging="284"/>
        <w:contextualSpacing w:val="0"/>
        <w:rPr>
          <w:rFonts w:ascii="Times New Roman" w:eastAsia="TimesNewRoman" w:hAnsi="Times New Roman" w:cs="Times New Roman"/>
          <w:spacing w:val="6"/>
          <w:sz w:val="24"/>
          <w:szCs w:val="24"/>
        </w:rPr>
      </w:pPr>
      <w:r w:rsidRPr="00FA3F6B">
        <w:rPr>
          <w:rFonts w:ascii="Times New Roman" w:eastAsia="TimesNewRoman" w:hAnsi="Times New Roman" w:cs="Times New Roman"/>
          <w:spacing w:val="6"/>
          <w:sz w:val="24"/>
          <w:szCs w:val="24"/>
        </w:rPr>
        <w:t>Le rôle des superviseurs est avant tout préventif</w:t>
      </w:r>
      <w:r w:rsidR="00085405" w:rsidRPr="00FA3F6B">
        <w:rPr>
          <w:rFonts w:ascii="Times New Roman" w:eastAsia="TimesNewRoman" w:hAnsi="Times New Roman" w:cs="Times New Roman"/>
          <w:spacing w:val="6"/>
          <w:sz w:val="24"/>
          <w:szCs w:val="24"/>
        </w:rPr>
        <w:t>.</w:t>
      </w:r>
      <w:r w:rsidRPr="00FA3F6B">
        <w:rPr>
          <w:rFonts w:ascii="Times New Roman" w:eastAsia="TimesNewRoman" w:hAnsi="Times New Roman" w:cs="Times New Roman"/>
          <w:spacing w:val="6"/>
          <w:sz w:val="24"/>
          <w:szCs w:val="24"/>
        </w:rPr>
        <w:t xml:space="preserve"> </w:t>
      </w:r>
      <w:r w:rsidR="00085405" w:rsidRPr="00FA3F6B">
        <w:rPr>
          <w:rFonts w:ascii="Times New Roman" w:eastAsia="TimesNewRoman" w:hAnsi="Times New Roman" w:cs="Times New Roman"/>
          <w:spacing w:val="6"/>
          <w:sz w:val="24"/>
          <w:szCs w:val="24"/>
        </w:rPr>
        <w:t>Son</w:t>
      </w:r>
      <w:r w:rsidRPr="00FA3F6B">
        <w:rPr>
          <w:rFonts w:ascii="Times New Roman" w:eastAsia="TimesNewRoman" w:hAnsi="Times New Roman" w:cs="Times New Roman"/>
          <w:spacing w:val="6"/>
          <w:sz w:val="24"/>
          <w:szCs w:val="24"/>
        </w:rPr>
        <w:t xml:space="preserve"> action se situe en amont afin d’éviter que les fonds propres des établissements deviennent inferieurs aux exigences minimales.</w:t>
      </w:r>
    </w:p>
    <w:p w14:paraId="1483F879" w14:textId="77777777" w:rsidR="002760B2" w:rsidRPr="005E0628" w:rsidRDefault="005E0628" w:rsidP="00CB0FF1">
      <w:pPr>
        <w:pStyle w:val="Paragraphedeliste"/>
        <w:numPr>
          <w:ilvl w:val="0"/>
          <w:numId w:val="14"/>
        </w:numPr>
        <w:tabs>
          <w:tab w:val="left" w:pos="0"/>
          <w:tab w:val="left" w:pos="426"/>
          <w:tab w:val="left" w:pos="993"/>
        </w:tabs>
        <w:autoSpaceDE w:val="0"/>
        <w:autoSpaceDN w:val="0"/>
        <w:adjustRightInd w:val="0"/>
        <w:spacing w:before="120" w:after="120" w:line="300" w:lineRule="auto"/>
        <w:ind w:left="0" w:firstLine="709"/>
        <w:contextualSpacing w:val="0"/>
        <w:rPr>
          <w:rFonts w:ascii="Times New Roman" w:hAnsi="Times New Roman" w:cs="Times New Roman"/>
          <w:b/>
          <w:bCs/>
          <w:sz w:val="24"/>
          <w:szCs w:val="24"/>
        </w:rPr>
      </w:pPr>
      <w:r>
        <w:rPr>
          <w:rFonts w:ascii="Times New Roman" w:hAnsi="Times New Roman" w:cs="Times New Roman"/>
          <w:b/>
          <w:bCs/>
          <w:sz w:val="24"/>
          <w:szCs w:val="24"/>
        </w:rPr>
        <w:lastRenderedPageBreak/>
        <w:t>T</w:t>
      </w:r>
      <w:r w:rsidR="002760B2" w:rsidRPr="005E0628">
        <w:rPr>
          <w:rFonts w:ascii="Times New Roman" w:hAnsi="Times New Roman" w:cs="Times New Roman"/>
          <w:b/>
          <w:bCs/>
          <w:sz w:val="24"/>
          <w:szCs w:val="24"/>
        </w:rPr>
        <w:t>roisième pilier : Discipline de marché</w:t>
      </w:r>
    </w:p>
    <w:p w14:paraId="25DFF873" w14:textId="77777777" w:rsidR="002760B2" w:rsidRPr="00265E19" w:rsidRDefault="002760B2" w:rsidP="00E04F9A">
      <w:pPr>
        <w:tabs>
          <w:tab w:val="left" w:pos="0"/>
        </w:tabs>
        <w:autoSpaceDE w:val="0"/>
        <w:autoSpaceDN w:val="0"/>
        <w:adjustRightInd w:val="0"/>
        <w:spacing w:before="120" w:line="300" w:lineRule="auto"/>
        <w:ind w:firstLine="709"/>
        <w:rPr>
          <w:rFonts w:ascii="Times New Roman" w:eastAsia="TimesNewRoman" w:hAnsi="Times New Roman" w:cs="Times New Roman"/>
          <w:sz w:val="24"/>
          <w:szCs w:val="24"/>
        </w:rPr>
      </w:pPr>
      <w:r w:rsidRPr="00265E19">
        <w:rPr>
          <w:rFonts w:ascii="Times New Roman" w:eastAsia="TimesNewRoman" w:hAnsi="Times New Roman" w:cs="Times New Roman"/>
          <w:sz w:val="24"/>
          <w:szCs w:val="24"/>
        </w:rPr>
        <w:t>Son objectif est d’autodiscipliner les banques et de les mener à communiquer avec transparence des informations pertinentes sur les marchés.</w:t>
      </w:r>
      <w:r w:rsidR="003531D0" w:rsidRPr="00265E19">
        <w:rPr>
          <w:rFonts w:ascii="Times New Roman" w:eastAsia="TimesNewRoman" w:hAnsi="Times New Roman" w:cs="Times New Roman"/>
          <w:sz w:val="24"/>
          <w:szCs w:val="24"/>
        </w:rPr>
        <w:t xml:space="preserve"> </w:t>
      </w:r>
      <w:r w:rsidRPr="00265E19">
        <w:rPr>
          <w:rFonts w:ascii="Times New Roman" w:eastAsia="TimesNewRoman" w:hAnsi="Times New Roman" w:cs="Times New Roman"/>
          <w:sz w:val="24"/>
          <w:szCs w:val="24"/>
        </w:rPr>
        <w:t xml:space="preserve">Le Comité de Bâle vise à travers ce pilier à favoriser la discipline de marché en élaborant un ensemble d’informations à publier destinées aux acteurs du marché. Ces derniers seront donc bien informés afin d’évaluer parfaitement le profil du risque d’une banque et son niveau de capitalisation. </w:t>
      </w:r>
      <w:r w:rsidRPr="00265E19">
        <w:rPr>
          <w:rFonts w:ascii="Times New Roman" w:hAnsi="Times New Roman" w:cs="Times New Roman"/>
          <w:sz w:val="24"/>
          <w:szCs w:val="24"/>
        </w:rPr>
        <w:t>Ainsi, les deux grands principes à respecter pour assurer la discipline du marché sont</w:t>
      </w:r>
      <w:r w:rsidR="00002215" w:rsidRPr="00265E19">
        <w:rPr>
          <w:rFonts w:ascii="Times New Roman" w:hAnsi="Times New Roman" w:cs="Times New Roman"/>
          <w:sz w:val="24"/>
          <w:szCs w:val="24"/>
        </w:rPr>
        <w:t> :</w:t>
      </w:r>
    </w:p>
    <w:p w14:paraId="1C4B19FD" w14:textId="77777777" w:rsidR="002760B2" w:rsidRPr="00265E19" w:rsidRDefault="002760B2" w:rsidP="00CB0FF1">
      <w:pPr>
        <w:pStyle w:val="NormalWeb"/>
        <w:numPr>
          <w:ilvl w:val="0"/>
          <w:numId w:val="11"/>
        </w:numPr>
        <w:tabs>
          <w:tab w:val="left" w:pos="284"/>
          <w:tab w:val="left" w:pos="851"/>
          <w:tab w:val="left" w:pos="1134"/>
        </w:tabs>
        <w:spacing w:before="60" w:beforeAutospacing="0" w:after="0" w:afterAutospacing="0" w:line="300" w:lineRule="auto"/>
        <w:ind w:left="1135" w:hanging="284"/>
      </w:pPr>
      <w:r w:rsidRPr="00265E19">
        <w:t>Le renforcement de la communication financière afin de favoriser la transparence et la crédibilité</w:t>
      </w:r>
      <w:r w:rsidR="003531D0" w:rsidRPr="00265E19">
        <w:t> ;</w:t>
      </w:r>
    </w:p>
    <w:p w14:paraId="0830B9F5" w14:textId="77777777" w:rsidR="002760B2" w:rsidRPr="00265E19" w:rsidRDefault="002760B2" w:rsidP="00CB0FF1">
      <w:pPr>
        <w:pStyle w:val="NormalWeb"/>
        <w:numPr>
          <w:ilvl w:val="0"/>
          <w:numId w:val="11"/>
        </w:numPr>
        <w:tabs>
          <w:tab w:val="left" w:pos="284"/>
          <w:tab w:val="left" w:pos="851"/>
          <w:tab w:val="left" w:pos="1134"/>
        </w:tabs>
        <w:spacing w:before="60" w:beforeAutospacing="0" w:after="0" w:afterAutospacing="0" w:line="300" w:lineRule="auto"/>
        <w:ind w:left="1135" w:hanging="284"/>
      </w:pPr>
      <w:r w:rsidRPr="00265E19">
        <w:t>La réduction de l'incertitude du</w:t>
      </w:r>
      <w:r w:rsidR="003531D0" w:rsidRPr="00265E19">
        <w:t xml:space="preserve"> marché par rapport aux risques ;</w:t>
      </w:r>
    </w:p>
    <w:p w14:paraId="505AA493" w14:textId="77777777" w:rsidR="002760B2" w:rsidRPr="00E04F9A" w:rsidRDefault="002760B2" w:rsidP="00265E19">
      <w:pPr>
        <w:tabs>
          <w:tab w:val="left" w:pos="0"/>
          <w:tab w:val="left" w:pos="284"/>
        </w:tabs>
        <w:autoSpaceDE w:val="0"/>
        <w:autoSpaceDN w:val="0"/>
        <w:adjustRightInd w:val="0"/>
        <w:spacing w:before="120" w:after="120" w:line="300" w:lineRule="auto"/>
        <w:ind w:firstLine="709"/>
        <w:rPr>
          <w:rFonts w:ascii="Times New Roman" w:hAnsi="Times New Roman" w:cs="Times New Roman"/>
          <w:spacing w:val="-2"/>
          <w:sz w:val="24"/>
          <w:szCs w:val="24"/>
        </w:rPr>
      </w:pPr>
      <w:r w:rsidRPr="00E04F9A">
        <w:rPr>
          <w:rFonts w:ascii="Times New Roman" w:hAnsi="Times New Roman" w:cs="Times New Roman"/>
          <w:spacing w:val="-2"/>
          <w:sz w:val="24"/>
          <w:szCs w:val="24"/>
        </w:rPr>
        <w:t>Malgré son caractère innovant à plusieurs niveaux</w:t>
      </w:r>
      <w:r w:rsidR="00E04F9A" w:rsidRPr="00E04F9A">
        <w:rPr>
          <w:rFonts w:ascii="Times New Roman" w:hAnsi="Times New Roman" w:cs="Times New Roman"/>
          <w:spacing w:val="-2"/>
          <w:sz w:val="24"/>
          <w:szCs w:val="24"/>
        </w:rPr>
        <w:t xml:space="preserve"> </w:t>
      </w:r>
      <w:r w:rsidRPr="00E04F9A">
        <w:rPr>
          <w:rFonts w:ascii="Times New Roman" w:hAnsi="Times New Roman" w:cs="Times New Roman"/>
          <w:spacing w:val="-2"/>
          <w:sz w:val="24"/>
          <w:szCs w:val="24"/>
        </w:rPr>
        <w:t>(une définition plus fine des risques, un élargissement de l’assiette des risques au risque opérationnel, une mesure adéquate du capital réglementaire), le dispositif de Bâle II soulève quelques interrogations. D’un côté, l’application des nouvelles dispositions est extrêmement complexe. Or, le coût de gestion des risques est actuellement trop élevé. A l’échelle internationale, des dizaines de milliers de banques devront supporter des charges supplémentaires s’élevant à plusieurs milliards de dollars.</w:t>
      </w:r>
    </w:p>
    <w:p w14:paraId="40687A90" w14:textId="77777777" w:rsidR="002760B2" w:rsidRPr="006A100F" w:rsidRDefault="002760B2" w:rsidP="00265E19">
      <w:pPr>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65E19">
        <w:rPr>
          <w:rFonts w:ascii="Times New Roman" w:hAnsi="Times New Roman" w:cs="Times New Roman"/>
          <w:sz w:val="24"/>
          <w:szCs w:val="24"/>
        </w:rPr>
        <w:t xml:space="preserve">D’un autre côté, </w:t>
      </w:r>
      <w:r w:rsidR="00CC4B99" w:rsidRPr="006A100F">
        <w:rPr>
          <w:rFonts w:ascii="Times New Roman" w:hAnsi="Times New Roman" w:cs="Times New Roman"/>
          <w:sz w:val="24"/>
          <w:szCs w:val="24"/>
        </w:rPr>
        <w:t>l</w:t>
      </w:r>
      <w:r w:rsidRPr="006A100F">
        <w:rPr>
          <w:rFonts w:ascii="Times New Roman" w:hAnsi="Times New Roman" w:cs="Times New Roman"/>
          <w:sz w:val="24"/>
          <w:szCs w:val="24"/>
        </w:rPr>
        <w:t>e nouveau ratio de solvabilité repose sur une plus grande sensibilité des exigences en fonds propres aux risques liés à l’activité bancaire. Ce principe peut engendrer une variabilité excessive du ratio aux fluctuations cycliques de l’activité économique. Par conséquent, ce</w:t>
      </w:r>
      <w:r w:rsidR="00E04F9A" w:rsidRPr="006A100F">
        <w:rPr>
          <w:rFonts w:ascii="Times New Roman" w:hAnsi="Times New Roman" w:cs="Times New Roman"/>
          <w:sz w:val="24"/>
          <w:szCs w:val="24"/>
        </w:rPr>
        <w:t>la</w:t>
      </w:r>
      <w:r w:rsidRPr="006A100F">
        <w:rPr>
          <w:rFonts w:ascii="Times New Roman" w:hAnsi="Times New Roman" w:cs="Times New Roman"/>
          <w:sz w:val="24"/>
          <w:szCs w:val="24"/>
        </w:rPr>
        <w:t xml:space="preserve"> va créer un conflit entre l’objectif d’amélioration de la gestion du risque et l’objectif macroéconomique de maintien de la stabilité financière.</w:t>
      </w:r>
    </w:p>
    <w:p w14:paraId="0332B404" w14:textId="77777777" w:rsidR="002760B2" w:rsidRPr="00265E19" w:rsidRDefault="002760B2" w:rsidP="00265E19">
      <w:pPr>
        <w:tabs>
          <w:tab w:val="left" w:pos="0"/>
        </w:tabs>
        <w:autoSpaceDE w:val="0"/>
        <w:autoSpaceDN w:val="0"/>
        <w:adjustRightInd w:val="0"/>
        <w:spacing w:before="120" w:after="120" w:line="300" w:lineRule="auto"/>
        <w:ind w:firstLine="709"/>
        <w:rPr>
          <w:rFonts w:ascii="Times New Roman" w:hAnsi="Times New Roman" w:cs="Times New Roman"/>
          <w:color w:val="231F20"/>
          <w:sz w:val="24"/>
          <w:szCs w:val="24"/>
        </w:rPr>
      </w:pPr>
      <w:r w:rsidRPr="006A100F">
        <w:rPr>
          <w:rFonts w:ascii="Times New Roman" w:hAnsi="Times New Roman" w:cs="Times New Roman"/>
          <w:sz w:val="24"/>
          <w:szCs w:val="24"/>
        </w:rPr>
        <w:t xml:space="preserve">D’ailleurs, </w:t>
      </w:r>
      <w:r w:rsidR="00CC4B99" w:rsidRPr="006A100F">
        <w:rPr>
          <w:rFonts w:ascii="Times New Roman" w:hAnsi="Times New Roman" w:cs="Times New Roman"/>
          <w:color w:val="231F20"/>
          <w:sz w:val="24"/>
          <w:szCs w:val="24"/>
        </w:rPr>
        <w:t>l</w:t>
      </w:r>
      <w:r w:rsidRPr="006A100F">
        <w:rPr>
          <w:rFonts w:ascii="Times New Roman" w:hAnsi="Times New Roman" w:cs="Times New Roman"/>
          <w:color w:val="231F20"/>
          <w:sz w:val="24"/>
          <w:szCs w:val="24"/>
        </w:rPr>
        <w:t>’introd</w:t>
      </w:r>
      <w:r w:rsidRPr="00265E19">
        <w:rPr>
          <w:rFonts w:ascii="Times New Roman" w:hAnsi="Times New Roman" w:cs="Times New Roman"/>
          <w:color w:val="231F20"/>
          <w:sz w:val="24"/>
          <w:szCs w:val="24"/>
        </w:rPr>
        <w:t xml:space="preserve">uction des </w:t>
      </w:r>
      <w:r w:rsidRPr="00265E19">
        <w:rPr>
          <w:rFonts w:ascii="Times New Roman" w:hAnsi="Times New Roman" w:cs="Times New Roman"/>
          <w:sz w:val="24"/>
          <w:szCs w:val="24"/>
        </w:rPr>
        <w:t xml:space="preserve">risques opérationnels </w:t>
      </w:r>
      <w:r w:rsidRPr="00265E19">
        <w:rPr>
          <w:rFonts w:ascii="Times New Roman" w:hAnsi="Times New Roman" w:cs="Times New Roman"/>
          <w:color w:val="231F20"/>
          <w:sz w:val="24"/>
          <w:szCs w:val="24"/>
        </w:rPr>
        <w:t xml:space="preserve">dans le calcul des fonds propres est un élément controversé dans le cadre des </w:t>
      </w:r>
      <w:r w:rsidRPr="00E04F9A">
        <w:rPr>
          <w:rFonts w:ascii="Times New Roman" w:hAnsi="Times New Roman" w:cs="Times New Roman"/>
          <w:color w:val="231F20"/>
          <w:sz w:val="24"/>
          <w:szCs w:val="24"/>
        </w:rPr>
        <w:t>nouvelles</w:t>
      </w:r>
      <w:r w:rsidRPr="00265E19">
        <w:rPr>
          <w:rFonts w:ascii="Times New Roman" w:hAnsi="Times New Roman" w:cs="Times New Roman"/>
          <w:color w:val="231F20"/>
          <w:sz w:val="24"/>
          <w:szCs w:val="24"/>
        </w:rPr>
        <w:t xml:space="preserve"> dispositions. Car, il est douteux de parvenir à réduire ces risques en augmentant la charge de capital propre. Par exemple, les risques opérationnels tels que l</w:t>
      </w:r>
      <w:r w:rsidR="00667D44" w:rsidRPr="00265E19">
        <w:rPr>
          <w:rFonts w:ascii="Times New Roman" w:hAnsi="Times New Roman" w:cs="Times New Roman"/>
          <w:color w:val="231F20"/>
          <w:sz w:val="24"/>
          <w:szCs w:val="24"/>
        </w:rPr>
        <w:t xml:space="preserve">es pannes d’informatique et des </w:t>
      </w:r>
      <w:r w:rsidRPr="00265E19">
        <w:rPr>
          <w:rFonts w:ascii="Times New Roman" w:hAnsi="Times New Roman" w:cs="Times New Roman"/>
          <w:color w:val="231F20"/>
          <w:sz w:val="24"/>
          <w:szCs w:val="24"/>
        </w:rPr>
        <w:t>systèmes internes de contrôle sont quasiment impossibles à évaluer en termes de fréquence et de volume, contrairement aux risques de crédit et de marché dont la probabilité et le potentiel de perte se calculent sur la base de chiffres tirés de l’expérience.</w:t>
      </w:r>
    </w:p>
    <w:p w14:paraId="4B30BECA" w14:textId="77777777" w:rsidR="002760B2" w:rsidRPr="00B56D39" w:rsidRDefault="005E0628" w:rsidP="00C86447">
      <w:pPr>
        <w:pStyle w:val="Titre5"/>
        <w:keepNext w:val="0"/>
        <w:keepLines w:val="0"/>
        <w:spacing w:before="120" w:after="120" w:line="300" w:lineRule="auto"/>
        <w:ind w:firstLine="709"/>
        <w:rPr>
          <w:rFonts w:asciiTheme="majorBidi" w:hAnsiTheme="majorBidi"/>
          <w:b/>
          <w:bCs/>
          <w:color w:val="auto"/>
          <w:sz w:val="24"/>
          <w:szCs w:val="24"/>
        </w:rPr>
      </w:pPr>
      <w:bookmarkStart w:id="946" w:name="_Toc182298759"/>
      <w:r w:rsidRPr="00B56D39">
        <w:rPr>
          <w:rFonts w:asciiTheme="majorBidi" w:hAnsiTheme="majorBidi"/>
          <w:b/>
          <w:bCs/>
          <w:color w:val="auto"/>
          <w:sz w:val="24"/>
          <w:szCs w:val="24"/>
        </w:rPr>
        <w:t xml:space="preserve">2.6.2.3- </w:t>
      </w:r>
      <w:r w:rsidR="00A0799C" w:rsidRPr="00B56D39">
        <w:rPr>
          <w:rFonts w:asciiTheme="majorBidi" w:hAnsiTheme="majorBidi"/>
          <w:b/>
          <w:bCs/>
          <w:color w:val="auto"/>
          <w:sz w:val="24"/>
          <w:szCs w:val="24"/>
        </w:rPr>
        <w:t>Bâle III</w:t>
      </w:r>
      <w:bookmarkEnd w:id="946"/>
    </w:p>
    <w:p w14:paraId="28143436" w14:textId="0511ABAF" w:rsidR="002760B2" w:rsidRPr="00265E19" w:rsidRDefault="002760B2" w:rsidP="00265E19">
      <w:pPr>
        <w:tabs>
          <w:tab w:val="left" w:pos="0"/>
        </w:tabs>
        <w:spacing w:before="120" w:after="120" w:line="300" w:lineRule="auto"/>
        <w:ind w:firstLine="709"/>
        <w:rPr>
          <w:rFonts w:ascii="Times New Roman" w:hAnsi="Times New Roman" w:cs="Times New Roman"/>
          <w:sz w:val="24"/>
          <w:szCs w:val="24"/>
        </w:rPr>
      </w:pPr>
      <w:r w:rsidRPr="00265E19">
        <w:rPr>
          <w:rFonts w:ascii="Times New Roman" w:hAnsi="Times New Roman" w:cs="Times New Roman"/>
          <w:sz w:val="24"/>
          <w:szCs w:val="24"/>
        </w:rPr>
        <w:t xml:space="preserve">La crise financière </w:t>
      </w:r>
      <w:r w:rsidR="00C4392E">
        <w:rPr>
          <w:rFonts w:ascii="Times New Roman" w:hAnsi="Times New Roman" w:cs="Times New Roman"/>
          <w:sz w:val="24"/>
          <w:szCs w:val="24"/>
        </w:rPr>
        <w:t xml:space="preserve">de </w:t>
      </w:r>
      <w:r w:rsidR="00C4392E" w:rsidRPr="006A100F">
        <w:rPr>
          <w:rFonts w:ascii="Times New Roman" w:hAnsi="Times New Roman" w:cs="Times New Roman"/>
          <w:sz w:val="24"/>
          <w:szCs w:val="24"/>
        </w:rPr>
        <w:t xml:space="preserve">2007 </w:t>
      </w:r>
      <w:r w:rsidRPr="006A100F">
        <w:rPr>
          <w:rFonts w:ascii="Times New Roman" w:hAnsi="Times New Roman" w:cs="Times New Roman"/>
          <w:sz w:val="24"/>
          <w:szCs w:val="24"/>
        </w:rPr>
        <w:t xml:space="preserve">qui a fortement bouleversé l’économie mondiale a mis en évidence les faiblesses du cadre réglementaire appliqué et la nécessité de mettre en place de nouvelles normes et réformes tant </w:t>
      </w:r>
      <w:r w:rsidR="00414F3C" w:rsidRPr="006A100F">
        <w:rPr>
          <w:rFonts w:ascii="Times New Roman" w:hAnsi="Times New Roman" w:cs="Times New Roman"/>
          <w:sz w:val="24"/>
          <w:szCs w:val="24"/>
        </w:rPr>
        <w:t>microprudentielles</w:t>
      </w:r>
      <w:r w:rsidRPr="00265E19">
        <w:rPr>
          <w:rFonts w:ascii="Times New Roman" w:hAnsi="Times New Roman" w:cs="Times New Roman"/>
          <w:sz w:val="24"/>
          <w:szCs w:val="24"/>
        </w:rPr>
        <w:t xml:space="preserve"> que </w:t>
      </w:r>
      <w:r w:rsidR="00414F3C" w:rsidRPr="00265E19">
        <w:rPr>
          <w:rFonts w:ascii="Times New Roman" w:hAnsi="Times New Roman" w:cs="Times New Roman"/>
          <w:sz w:val="24"/>
          <w:szCs w:val="24"/>
        </w:rPr>
        <w:t>macro</w:t>
      </w:r>
      <w:r w:rsidR="00414F3C">
        <w:rPr>
          <w:rFonts w:ascii="Times New Roman" w:hAnsi="Times New Roman" w:cs="Times New Roman"/>
          <w:sz w:val="24"/>
          <w:szCs w:val="24"/>
        </w:rPr>
        <w:t>p</w:t>
      </w:r>
      <w:r w:rsidR="00414F3C" w:rsidRPr="00265E19">
        <w:rPr>
          <w:rFonts w:ascii="Times New Roman" w:hAnsi="Times New Roman" w:cs="Times New Roman"/>
          <w:sz w:val="24"/>
          <w:szCs w:val="24"/>
        </w:rPr>
        <w:t>rudentielles</w:t>
      </w:r>
      <w:r w:rsidRPr="00265E19">
        <w:rPr>
          <w:rFonts w:ascii="Times New Roman" w:hAnsi="Times New Roman" w:cs="Times New Roman"/>
          <w:sz w:val="24"/>
          <w:szCs w:val="24"/>
        </w:rPr>
        <w:t xml:space="preserve">. Afin de stabiliser l’environnement bancaire qui est devenu incertain et volatil, le </w:t>
      </w:r>
      <w:r w:rsidR="00851EFB">
        <w:rPr>
          <w:rFonts w:ascii="Times New Roman" w:hAnsi="Times New Roman" w:cs="Times New Roman"/>
          <w:sz w:val="24"/>
          <w:szCs w:val="24"/>
        </w:rPr>
        <w:t>Comité</w:t>
      </w:r>
      <w:r w:rsidRPr="00265E19">
        <w:rPr>
          <w:rFonts w:ascii="Times New Roman" w:hAnsi="Times New Roman" w:cs="Times New Roman"/>
          <w:sz w:val="24"/>
          <w:szCs w:val="24"/>
        </w:rPr>
        <w:t xml:space="preserve"> de Bâle instaure plusieurs mesures pour réformer en profondeur le dispositif réglementaire international en introduisant l’accord Bâle III.</w:t>
      </w:r>
    </w:p>
    <w:p w14:paraId="2A23CA85" w14:textId="77777777" w:rsidR="002760B2" w:rsidRPr="00DD4011" w:rsidRDefault="002760B2" w:rsidP="00B22BB4">
      <w:pPr>
        <w:tabs>
          <w:tab w:val="left" w:pos="0"/>
        </w:tabs>
        <w:spacing w:before="120" w:after="120" w:line="300" w:lineRule="auto"/>
        <w:ind w:firstLine="709"/>
        <w:rPr>
          <w:rFonts w:ascii="Times New Roman" w:hAnsi="Times New Roman" w:cs="Times New Roman"/>
          <w:spacing w:val="-2"/>
          <w:sz w:val="24"/>
          <w:szCs w:val="24"/>
        </w:rPr>
      </w:pPr>
      <w:r w:rsidRPr="00DD4011">
        <w:rPr>
          <w:rFonts w:ascii="Times New Roman" w:hAnsi="Times New Roman" w:cs="Times New Roman"/>
          <w:spacing w:val="-2"/>
          <w:sz w:val="24"/>
          <w:szCs w:val="24"/>
        </w:rPr>
        <w:t>Les accords de Bâle III étaient publiés le 16</w:t>
      </w:r>
      <w:r w:rsidR="00F551FD">
        <w:rPr>
          <w:rFonts w:ascii="Times New Roman" w:hAnsi="Times New Roman" w:cs="Times New Roman"/>
          <w:spacing w:val="-2"/>
          <w:sz w:val="24"/>
          <w:szCs w:val="24"/>
        </w:rPr>
        <w:t>/</w:t>
      </w:r>
      <w:r w:rsidR="00DD4011" w:rsidRPr="00DD4011">
        <w:rPr>
          <w:rFonts w:ascii="Times New Roman" w:hAnsi="Times New Roman" w:cs="Times New Roman"/>
          <w:spacing w:val="-2"/>
          <w:sz w:val="24"/>
          <w:szCs w:val="24"/>
        </w:rPr>
        <w:t>12/</w:t>
      </w:r>
      <w:r w:rsidRPr="00DD4011">
        <w:rPr>
          <w:rFonts w:ascii="Times New Roman" w:hAnsi="Times New Roman" w:cs="Times New Roman"/>
          <w:spacing w:val="-2"/>
          <w:sz w:val="24"/>
          <w:szCs w:val="24"/>
        </w:rPr>
        <w:t xml:space="preserve">2010 dans le cadre des initiatives prises pour renforcer le système financier après la crise de 2007 des </w:t>
      </w:r>
      <w:r w:rsidR="00002215" w:rsidRPr="00DD4011">
        <w:rPr>
          <w:rFonts w:ascii="Times New Roman" w:hAnsi="Times New Roman" w:cs="Times New Roman"/>
          <w:i/>
          <w:spacing w:val="-2"/>
          <w:sz w:val="24"/>
          <w:szCs w:val="24"/>
        </w:rPr>
        <w:t>Subprimes</w:t>
      </w:r>
      <w:r w:rsidRPr="00DD4011">
        <w:rPr>
          <w:rFonts w:ascii="Times New Roman" w:hAnsi="Times New Roman" w:cs="Times New Roman"/>
          <w:spacing w:val="-2"/>
          <w:sz w:val="24"/>
          <w:szCs w:val="24"/>
        </w:rPr>
        <w:t xml:space="preserve">. Pour </w:t>
      </w:r>
      <w:r w:rsidRPr="00DD4011">
        <w:rPr>
          <w:rFonts w:ascii="Times New Roman" w:hAnsi="Times New Roman" w:cs="Times New Roman"/>
          <w:smallCaps/>
          <w:spacing w:val="-2"/>
          <w:sz w:val="24"/>
          <w:szCs w:val="24"/>
        </w:rPr>
        <w:t>Prot</w:t>
      </w:r>
      <w:r w:rsidRPr="00DD4011">
        <w:rPr>
          <w:rFonts w:ascii="Times New Roman" w:hAnsi="Times New Roman" w:cs="Times New Roman"/>
          <w:spacing w:val="-2"/>
          <w:sz w:val="24"/>
          <w:szCs w:val="24"/>
        </w:rPr>
        <w:t xml:space="preserve"> (2010), la réforme de Bâle III est une décision historique : « </w:t>
      </w:r>
      <w:r w:rsidR="00DD4011" w:rsidRPr="00DD4011">
        <w:rPr>
          <w:rFonts w:ascii="Times New Roman" w:hAnsi="Times New Roman" w:cs="Times New Roman"/>
          <w:i/>
          <w:iCs/>
          <w:spacing w:val="-2"/>
          <w:sz w:val="24"/>
          <w:szCs w:val="24"/>
        </w:rPr>
        <w:t>C</w:t>
      </w:r>
      <w:r w:rsidRPr="00DD4011">
        <w:rPr>
          <w:rFonts w:ascii="Times New Roman" w:hAnsi="Times New Roman" w:cs="Times New Roman"/>
          <w:i/>
          <w:iCs/>
          <w:spacing w:val="-2"/>
          <w:sz w:val="24"/>
          <w:szCs w:val="24"/>
        </w:rPr>
        <w:t xml:space="preserve">’est un changement complet de paradigme, un vrai new deal bancaire comme il n’y en a que tous les cinquante ans, à la mesure de la crise </w:t>
      </w:r>
      <w:r w:rsidRPr="00DD4011">
        <w:rPr>
          <w:rFonts w:ascii="Times New Roman" w:hAnsi="Times New Roman" w:cs="Times New Roman"/>
          <w:i/>
          <w:iCs/>
          <w:spacing w:val="-2"/>
          <w:sz w:val="24"/>
          <w:szCs w:val="24"/>
        </w:rPr>
        <w:lastRenderedPageBreak/>
        <w:t xml:space="preserve">que nous avons </w:t>
      </w:r>
      <w:r w:rsidRPr="006A100F">
        <w:rPr>
          <w:rFonts w:ascii="Times New Roman" w:hAnsi="Times New Roman" w:cs="Times New Roman"/>
          <w:i/>
          <w:iCs/>
          <w:spacing w:val="-2"/>
          <w:sz w:val="24"/>
          <w:szCs w:val="24"/>
        </w:rPr>
        <w:t>connu</w:t>
      </w:r>
      <w:r w:rsidR="00DD4011" w:rsidRPr="006A100F">
        <w:rPr>
          <w:rFonts w:ascii="Times New Roman" w:hAnsi="Times New Roman" w:cs="Times New Roman"/>
          <w:i/>
          <w:iCs/>
          <w:spacing w:val="-2"/>
          <w:sz w:val="24"/>
          <w:szCs w:val="24"/>
        </w:rPr>
        <w:t>e</w:t>
      </w:r>
      <w:r w:rsidR="00B22BB4">
        <w:rPr>
          <w:rFonts w:ascii="Times New Roman" w:hAnsi="Times New Roman" w:cs="Times New Roman"/>
          <w:i/>
          <w:iCs/>
          <w:spacing w:val="-2"/>
          <w:sz w:val="24"/>
          <w:szCs w:val="24"/>
        </w:rPr>
        <w:t>.</w:t>
      </w:r>
      <w:r w:rsidR="00DD4011" w:rsidRPr="006A100F">
        <w:rPr>
          <w:rFonts w:ascii="Times New Roman" w:hAnsi="Times New Roman" w:cs="Times New Roman"/>
          <w:i/>
          <w:iCs/>
          <w:spacing w:val="-2"/>
          <w:sz w:val="24"/>
          <w:szCs w:val="24"/>
        </w:rPr>
        <w:t xml:space="preserve"> </w:t>
      </w:r>
      <w:r w:rsidR="00B22BB4" w:rsidRPr="00B22BB4">
        <w:rPr>
          <w:rFonts w:asciiTheme="majorBidi" w:hAnsiTheme="majorBidi" w:cstheme="majorBidi"/>
          <w:i/>
          <w:iCs/>
          <w:color w:val="212121"/>
          <w:sz w:val="24"/>
          <w:szCs w:val="24"/>
          <w:shd w:val="clear" w:color="auto" w:fill="FFFFFF"/>
        </w:rPr>
        <w:t>Sur le plan de l'organisation de la supervision d'abord, élément aussi essentiel dans la prévention des crises que le niveau d'exigence de capital</w:t>
      </w:r>
      <w:r w:rsidRPr="00B22BB4">
        <w:rPr>
          <w:rFonts w:asciiTheme="majorBidi" w:hAnsiTheme="majorBidi" w:cstheme="majorBidi"/>
          <w:spacing w:val="-2"/>
          <w:sz w:val="24"/>
          <w:szCs w:val="24"/>
        </w:rPr>
        <w:t>»</w:t>
      </w:r>
      <w:r w:rsidRPr="00B22BB4">
        <w:rPr>
          <w:rStyle w:val="Appelnotedebasdep"/>
          <w:rFonts w:asciiTheme="majorBidi" w:hAnsiTheme="majorBidi" w:cstheme="majorBidi"/>
          <w:spacing w:val="-2"/>
          <w:sz w:val="24"/>
          <w:szCs w:val="24"/>
        </w:rPr>
        <w:footnoteReference w:id="224"/>
      </w:r>
      <w:r w:rsidRPr="00B22BB4">
        <w:rPr>
          <w:rFonts w:asciiTheme="majorBidi" w:hAnsiTheme="majorBidi" w:cstheme="majorBidi"/>
          <w:spacing w:val="-2"/>
          <w:sz w:val="24"/>
          <w:szCs w:val="24"/>
        </w:rPr>
        <w:t>.</w:t>
      </w:r>
    </w:p>
    <w:p w14:paraId="3A1D0E0F" w14:textId="77777777" w:rsidR="002760B2" w:rsidRPr="006A100F" w:rsidRDefault="002760B2" w:rsidP="00265E19">
      <w:pPr>
        <w:tabs>
          <w:tab w:val="left" w:pos="0"/>
        </w:tabs>
        <w:spacing w:before="120" w:after="120" w:line="300" w:lineRule="auto"/>
        <w:ind w:firstLine="709"/>
        <w:rPr>
          <w:rFonts w:ascii="Times New Roman" w:hAnsi="Times New Roman" w:cs="Times New Roman"/>
          <w:sz w:val="24"/>
          <w:szCs w:val="24"/>
        </w:rPr>
      </w:pPr>
      <w:r w:rsidRPr="00265E19">
        <w:rPr>
          <w:rFonts w:ascii="Times New Roman" w:hAnsi="Times New Roman" w:cs="Times New Roman"/>
          <w:sz w:val="24"/>
          <w:szCs w:val="24"/>
        </w:rPr>
        <w:t xml:space="preserve">La nouvelle architecture de Bâle III vise à absorber les chocs consécutifs à des tensions économiques ou financières et réduire le risque de propagation à l’économie réelle. </w:t>
      </w:r>
      <w:r w:rsidR="00C4392E" w:rsidRPr="006A100F">
        <w:rPr>
          <w:rFonts w:ascii="Times New Roman" w:hAnsi="Times New Roman" w:cs="Times New Roman"/>
          <w:sz w:val="24"/>
          <w:szCs w:val="24"/>
        </w:rPr>
        <w:t>D</w:t>
      </w:r>
      <w:r w:rsidRPr="006A100F">
        <w:rPr>
          <w:rFonts w:ascii="Times New Roman" w:hAnsi="Times New Roman" w:cs="Times New Roman"/>
          <w:sz w:val="24"/>
          <w:szCs w:val="24"/>
        </w:rPr>
        <w:t xml:space="preserve">es réformes </w:t>
      </w:r>
      <w:r w:rsidR="00C4392E" w:rsidRPr="006A100F">
        <w:rPr>
          <w:rFonts w:ascii="Times New Roman" w:hAnsi="Times New Roman" w:cs="Times New Roman"/>
          <w:sz w:val="24"/>
          <w:szCs w:val="24"/>
        </w:rPr>
        <w:t xml:space="preserve">ont été </w:t>
      </w:r>
      <w:r w:rsidRPr="006A100F">
        <w:rPr>
          <w:rFonts w:ascii="Times New Roman" w:hAnsi="Times New Roman" w:cs="Times New Roman"/>
          <w:sz w:val="24"/>
          <w:szCs w:val="24"/>
        </w:rPr>
        <w:t xml:space="preserve">élaborées </w:t>
      </w:r>
      <w:r w:rsidR="00C4392E" w:rsidRPr="006A100F">
        <w:rPr>
          <w:rFonts w:ascii="Times New Roman" w:hAnsi="Times New Roman" w:cs="Times New Roman"/>
          <w:sz w:val="24"/>
          <w:szCs w:val="24"/>
        </w:rPr>
        <w:t>en conséquence.</w:t>
      </w:r>
    </w:p>
    <w:p w14:paraId="07B122B4" w14:textId="77777777" w:rsidR="002760B2" w:rsidRPr="00B56D39" w:rsidRDefault="00C5790E" w:rsidP="00C86447">
      <w:pPr>
        <w:pStyle w:val="Titre5"/>
        <w:keepNext w:val="0"/>
        <w:keepLines w:val="0"/>
        <w:spacing w:before="120" w:after="120" w:line="300" w:lineRule="auto"/>
        <w:ind w:firstLine="709"/>
        <w:rPr>
          <w:rFonts w:asciiTheme="majorBidi" w:hAnsiTheme="majorBidi"/>
          <w:b/>
          <w:bCs/>
          <w:color w:val="auto"/>
          <w:sz w:val="24"/>
          <w:szCs w:val="24"/>
        </w:rPr>
      </w:pPr>
      <w:bookmarkStart w:id="947" w:name="_Toc182298760"/>
      <w:r w:rsidRPr="00B56D39">
        <w:rPr>
          <w:rFonts w:asciiTheme="majorBidi" w:hAnsiTheme="majorBidi"/>
          <w:b/>
          <w:bCs/>
          <w:color w:val="auto"/>
          <w:sz w:val="24"/>
          <w:szCs w:val="24"/>
        </w:rPr>
        <w:t>2.6.2.4- E</w:t>
      </w:r>
      <w:r w:rsidR="00667D44" w:rsidRPr="00B56D39">
        <w:rPr>
          <w:rFonts w:asciiTheme="majorBidi" w:hAnsiTheme="majorBidi"/>
          <w:b/>
          <w:bCs/>
          <w:color w:val="auto"/>
          <w:sz w:val="24"/>
          <w:szCs w:val="24"/>
        </w:rPr>
        <w:t>volution au niveau du capital</w:t>
      </w:r>
      <w:bookmarkEnd w:id="947"/>
    </w:p>
    <w:p w14:paraId="318D1148" w14:textId="77777777" w:rsidR="002760B2" w:rsidRPr="00115979" w:rsidRDefault="006110C6" w:rsidP="00B22BB4">
      <w:pPr>
        <w:pStyle w:val="Paragraphedeliste"/>
        <w:tabs>
          <w:tab w:val="left" w:pos="0"/>
        </w:tabs>
        <w:spacing w:before="120" w:after="120" w:line="300" w:lineRule="auto"/>
        <w:ind w:left="0" w:firstLine="709"/>
        <w:contextualSpacing w:val="0"/>
        <w:rPr>
          <w:rFonts w:ascii="Times New Roman" w:hAnsi="Times New Roman" w:cs="Times New Roman"/>
          <w:spacing w:val="-2"/>
          <w:sz w:val="24"/>
          <w:szCs w:val="24"/>
        </w:rPr>
      </w:pPr>
      <w:r w:rsidRPr="006A100F">
        <w:rPr>
          <w:rFonts w:ascii="Times New Roman" w:hAnsi="Times New Roman" w:cs="Times New Roman"/>
          <w:spacing w:val="-2"/>
          <w:sz w:val="24"/>
          <w:szCs w:val="24"/>
        </w:rPr>
        <w:t>Cette</w:t>
      </w:r>
      <w:r w:rsidR="002760B2" w:rsidRPr="006A100F">
        <w:rPr>
          <w:rFonts w:ascii="Times New Roman" w:hAnsi="Times New Roman" w:cs="Times New Roman"/>
          <w:spacing w:val="-2"/>
          <w:sz w:val="24"/>
          <w:szCs w:val="24"/>
        </w:rPr>
        <w:t xml:space="preserve"> crise </w:t>
      </w:r>
      <w:r w:rsidR="00115979" w:rsidRPr="006A100F">
        <w:rPr>
          <w:rFonts w:ascii="Times New Roman" w:hAnsi="Times New Roman" w:cs="Times New Roman"/>
          <w:spacing w:val="-2"/>
          <w:sz w:val="24"/>
          <w:szCs w:val="24"/>
        </w:rPr>
        <w:t xml:space="preserve">financière </w:t>
      </w:r>
      <w:r w:rsidRPr="006A100F">
        <w:rPr>
          <w:rFonts w:ascii="Times New Roman" w:hAnsi="Times New Roman" w:cs="Times New Roman"/>
          <w:spacing w:val="-2"/>
          <w:sz w:val="24"/>
          <w:szCs w:val="24"/>
        </w:rPr>
        <w:t>internationale</w:t>
      </w:r>
      <w:r w:rsidRPr="00115979">
        <w:rPr>
          <w:rFonts w:ascii="Times New Roman" w:hAnsi="Times New Roman" w:cs="Times New Roman"/>
          <w:spacing w:val="-2"/>
          <w:sz w:val="24"/>
          <w:szCs w:val="24"/>
        </w:rPr>
        <w:t xml:space="preserve"> </w:t>
      </w:r>
      <w:r w:rsidR="002760B2" w:rsidRPr="00115979">
        <w:rPr>
          <w:rFonts w:ascii="Times New Roman" w:hAnsi="Times New Roman" w:cs="Times New Roman"/>
          <w:spacing w:val="-2"/>
          <w:sz w:val="24"/>
          <w:szCs w:val="24"/>
        </w:rPr>
        <w:t>a montré que les ratios de fonds propres pondérés en fonction des risques donnent parfois une fausse idée sur la performance générale des banques. Afin d’y remédier à ce problème et de soutenir l’exigence de fonds propres en regard du risque, Bâle III élabor</w:t>
      </w:r>
      <w:r w:rsidR="00115979" w:rsidRPr="00115979">
        <w:rPr>
          <w:rFonts w:ascii="Times New Roman" w:hAnsi="Times New Roman" w:cs="Times New Roman"/>
          <w:spacing w:val="-2"/>
          <w:sz w:val="24"/>
          <w:szCs w:val="24"/>
        </w:rPr>
        <w:t>a</w:t>
      </w:r>
      <w:r w:rsidR="002760B2" w:rsidRPr="00115979">
        <w:rPr>
          <w:rFonts w:ascii="Times New Roman" w:hAnsi="Times New Roman" w:cs="Times New Roman"/>
          <w:spacing w:val="-2"/>
          <w:sz w:val="24"/>
          <w:szCs w:val="24"/>
        </w:rPr>
        <w:t xml:space="preserve"> de nouveaux ratios relatifs au fonds propres et un ratio de levier.</w:t>
      </w:r>
    </w:p>
    <w:p w14:paraId="0BDCD259" w14:textId="77777777" w:rsidR="00002215" w:rsidRPr="00265E19" w:rsidRDefault="002760B2" w:rsidP="006110C6">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65E19">
        <w:rPr>
          <w:rFonts w:ascii="Times New Roman" w:hAnsi="Times New Roman" w:cs="Times New Roman"/>
          <w:sz w:val="24"/>
          <w:szCs w:val="24"/>
        </w:rPr>
        <w:t xml:space="preserve">Le ratio de fonds propres détermine la solidité financière des banques. A cet effet, le </w:t>
      </w:r>
      <w:r w:rsidR="00851EFB">
        <w:rPr>
          <w:rFonts w:ascii="Times New Roman" w:hAnsi="Times New Roman" w:cs="Times New Roman"/>
          <w:sz w:val="24"/>
          <w:szCs w:val="24"/>
        </w:rPr>
        <w:t>Comité</w:t>
      </w:r>
      <w:r w:rsidRPr="00265E19">
        <w:rPr>
          <w:rFonts w:ascii="Times New Roman" w:hAnsi="Times New Roman" w:cs="Times New Roman"/>
          <w:sz w:val="24"/>
          <w:szCs w:val="24"/>
        </w:rPr>
        <w:t xml:space="preserve"> de Bâle a renforcé les exigences minimales de fonds propres qui se répartissent en trois composantes</w:t>
      </w:r>
      <w:r w:rsidRPr="00265E19">
        <w:rPr>
          <w:rStyle w:val="Appelnotedebasdep"/>
          <w:rFonts w:ascii="Times New Roman" w:hAnsi="Times New Roman"/>
          <w:sz w:val="24"/>
          <w:szCs w:val="24"/>
        </w:rPr>
        <w:footnoteReference w:id="225"/>
      </w:r>
      <w:r w:rsidR="00002215" w:rsidRPr="00265E19">
        <w:rPr>
          <w:rFonts w:ascii="Times New Roman" w:hAnsi="Times New Roman" w:cs="Times New Roman"/>
          <w:sz w:val="24"/>
          <w:szCs w:val="24"/>
        </w:rPr>
        <w:t> :</w:t>
      </w:r>
    </w:p>
    <w:p w14:paraId="317E55FB" w14:textId="77777777" w:rsidR="00002215" w:rsidRPr="00265E19" w:rsidRDefault="00732369" w:rsidP="00CB0FF1">
      <w:pPr>
        <w:pStyle w:val="Paragraphedeliste"/>
        <w:numPr>
          <w:ilvl w:val="0"/>
          <w:numId w:val="57"/>
        </w:numPr>
        <w:tabs>
          <w:tab w:val="left" w:pos="0"/>
        </w:tabs>
        <w:spacing w:before="60" w:line="300" w:lineRule="auto"/>
        <w:ind w:left="1135" w:hanging="284"/>
        <w:contextualSpacing w:val="0"/>
        <w:rPr>
          <w:rFonts w:ascii="Times New Roman" w:hAnsi="Times New Roman" w:cs="Times New Roman"/>
          <w:sz w:val="24"/>
          <w:szCs w:val="24"/>
        </w:rPr>
      </w:pPr>
      <w:r w:rsidRPr="00265E19">
        <w:rPr>
          <w:rFonts w:ascii="Times New Roman" w:hAnsi="Times New Roman" w:cs="Times New Roman"/>
          <w:sz w:val="24"/>
          <w:szCs w:val="24"/>
        </w:rPr>
        <w:t>Le</w:t>
      </w:r>
      <w:r w:rsidR="002760B2" w:rsidRPr="00265E19">
        <w:rPr>
          <w:rFonts w:ascii="Times New Roman" w:hAnsi="Times New Roman" w:cs="Times New Roman"/>
          <w:sz w:val="24"/>
          <w:szCs w:val="24"/>
        </w:rPr>
        <w:t xml:space="preserve"> numérateur correspond à la mesure des fonds propres</w:t>
      </w:r>
      <w:r w:rsidR="00C4392E">
        <w:rPr>
          <w:rFonts w:ascii="Times New Roman" w:hAnsi="Times New Roman" w:cs="Times New Roman"/>
          <w:sz w:val="24"/>
          <w:szCs w:val="24"/>
        </w:rPr>
        <w:t> ;</w:t>
      </w:r>
    </w:p>
    <w:p w14:paraId="56B55A1F" w14:textId="77777777" w:rsidR="00002215" w:rsidRPr="00265E19" w:rsidRDefault="00732369" w:rsidP="00CB0FF1">
      <w:pPr>
        <w:pStyle w:val="Paragraphedeliste"/>
        <w:numPr>
          <w:ilvl w:val="0"/>
          <w:numId w:val="57"/>
        </w:numPr>
        <w:tabs>
          <w:tab w:val="left" w:pos="0"/>
        </w:tabs>
        <w:spacing w:before="60" w:line="300" w:lineRule="auto"/>
        <w:ind w:left="1135" w:hanging="284"/>
        <w:contextualSpacing w:val="0"/>
        <w:rPr>
          <w:rFonts w:ascii="Times New Roman" w:hAnsi="Times New Roman" w:cs="Times New Roman"/>
          <w:sz w:val="24"/>
          <w:szCs w:val="24"/>
        </w:rPr>
      </w:pPr>
      <w:r w:rsidRPr="00265E19">
        <w:rPr>
          <w:rFonts w:ascii="Times New Roman" w:hAnsi="Times New Roman" w:cs="Times New Roman"/>
          <w:sz w:val="24"/>
          <w:szCs w:val="24"/>
        </w:rPr>
        <w:t>Le</w:t>
      </w:r>
      <w:r w:rsidR="002760B2" w:rsidRPr="00265E19">
        <w:rPr>
          <w:rFonts w:ascii="Times New Roman" w:hAnsi="Times New Roman" w:cs="Times New Roman"/>
          <w:sz w:val="24"/>
          <w:szCs w:val="24"/>
        </w:rPr>
        <w:t xml:space="preserve"> dénominateur mesure les actifs en regard desquels des fonds propres sont constitués pour absorber les pertes</w:t>
      </w:r>
      <w:r w:rsidR="00C4392E">
        <w:rPr>
          <w:rFonts w:ascii="Times New Roman" w:hAnsi="Times New Roman" w:cs="Times New Roman"/>
          <w:sz w:val="24"/>
          <w:szCs w:val="24"/>
        </w:rPr>
        <w:t> ;</w:t>
      </w:r>
    </w:p>
    <w:p w14:paraId="064F2C3C" w14:textId="77777777" w:rsidR="002760B2" w:rsidRPr="00265E19" w:rsidRDefault="00732369" w:rsidP="00CB0FF1">
      <w:pPr>
        <w:pStyle w:val="Paragraphedeliste"/>
        <w:numPr>
          <w:ilvl w:val="0"/>
          <w:numId w:val="57"/>
        </w:numPr>
        <w:tabs>
          <w:tab w:val="left" w:pos="0"/>
        </w:tabs>
        <w:spacing w:before="60" w:line="300" w:lineRule="auto"/>
        <w:ind w:left="1135" w:hanging="284"/>
        <w:contextualSpacing w:val="0"/>
        <w:rPr>
          <w:rFonts w:ascii="Times New Roman" w:hAnsi="Times New Roman" w:cs="Times New Roman"/>
          <w:sz w:val="24"/>
          <w:szCs w:val="24"/>
        </w:rPr>
      </w:pPr>
      <w:r w:rsidRPr="00265E19">
        <w:rPr>
          <w:rFonts w:ascii="Times New Roman" w:hAnsi="Times New Roman" w:cs="Times New Roman"/>
          <w:sz w:val="24"/>
          <w:szCs w:val="24"/>
        </w:rPr>
        <w:t>Et</w:t>
      </w:r>
      <w:r w:rsidR="00002215" w:rsidRPr="00265E19">
        <w:rPr>
          <w:rFonts w:ascii="Times New Roman" w:hAnsi="Times New Roman" w:cs="Times New Roman"/>
          <w:sz w:val="24"/>
          <w:szCs w:val="24"/>
        </w:rPr>
        <w:t>,</w:t>
      </w:r>
      <w:r w:rsidR="002760B2" w:rsidRPr="00265E19">
        <w:rPr>
          <w:rFonts w:ascii="Times New Roman" w:hAnsi="Times New Roman" w:cs="Times New Roman"/>
          <w:sz w:val="24"/>
          <w:szCs w:val="24"/>
        </w:rPr>
        <w:t xml:space="preserve"> </w:t>
      </w:r>
      <w:r w:rsidR="002760B2" w:rsidRPr="009F7FBB">
        <w:rPr>
          <w:rFonts w:ascii="Times New Roman" w:hAnsi="Times New Roman" w:cs="Times New Roman"/>
          <w:sz w:val="24"/>
          <w:szCs w:val="24"/>
        </w:rPr>
        <w:t>le ratio</w:t>
      </w:r>
      <w:r w:rsidR="002760B2" w:rsidRPr="00265E19">
        <w:rPr>
          <w:rFonts w:ascii="Times New Roman" w:hAnsi="Times New Roman" w:cs="Times New Roman"/>
          <w:sz w:val="24"/>
          <w:szCs w:val="24"/>
        </w:rPr>
        <w:t xml:space="preserve"> d’adéquation des fonds propres.</w:t>
      </w:r>
    </w:p>
    <w:p w14:paraId="2660AC86" w14:textId="77777777" w:rsidR="002760B2" w:rsidRPr="00265E19" w:rsidRDefault="002760B2" w:rsidP="00CB0FF1">
      <w:pPr>
        <w:pStyle w:val="Paragraphedeliste"/>
        <w:numPr>
          <w:ilvl w:val="0"/>
          <w:numId w:val="110"/>
        </w:numPr>
        <w:tabs>
          <w:tab w:val="left" w:pos="0"/>
        </w:tabs>
        <w:spacing w:before="120" w:after="120" w:line="300" w:lineRule="auto"/>
        <w:contextualSpacing w:val="0"/>
        <w:rPr>
          <w:rFonts w:ascii="Times New Roman" w:hAnsi="Times New Roman" w:cs="Times New Roman"/>
          <w:spacing w:val="-4"/>
          <w:sz w:val="24"/>
          <w:szCs w:val="24"/>
        </w:rPr>
      </w:pPr>
      <w:r w:rsidRPr="006A100F">
        <w:rPr>
          <w:rFonts w:ascii="Times New Roman" w:hAnsi="Times New Roman" w:cs="Times New Roman"/>
          <w:b/>
          <w:bCs/>
          <w:spacing w:val="-4"/>
          <w:sz w:val="24"/>
          <w:szCs w:val="24"/>
        </w:rPr>
        <w:t>Au niveau du numérateur</w:t>
      </w:r>
      <w:r w:rsidRPr="00265E19">
        <w:rPr>
          <w:rFonts w:ascii="Times New Roman" w:hAnsi="Times New Roman" w:cs="Times New Roman"/>
          <w:spacing w:val="-4"/>
          <w:sz w:val="24"/>
          <w:szCs w:val="24"/>
        </w:rPr>
        <w:t>, la structure des fonds propres a été simplifiée en appliquant des critères d’éligibilité rigoureux pour les éléments de base Tiers 1 et complémentaires Tiers 2.</w:t>
      </w:r>
    </w:p>
    <w:p w14:paraId="65C76965" w14:textId="77777777" w:rsidR="002760B2" w:rsidRPr="00265E19" w:rsidRDefault="00002215" w:rsidP="00CB0FF1">
      <w:pPr>
        <w:pStyle w:val="Paragraphedeliste"/>
        <w:numPr>
          <w:ilvl w:val="0"/>
          <w:numId w:val="58"/>
        </w:numPr>
        <w:tabs>
          <w:tab w:val="left" w:pos="851"/>
        </w:tabs>
        <w:spacing w:before="60" w:line="300" w:lineRule="auto"/>
        <w:ind w:left="1418" w:hanging="284"/>
        <w:contextualSpacing w:val="0"/>
        <w:rPr>
          <w:rFonts w:ascii="Times New Roman" w:hAnsi="Times New Roman" w:cs="Times New Roman"/>
          <w:sz w:val="24"/>
          <w:szCs w:val="24"/>
        </w:rPr>
      </w:pPr>
      <w:r w:rsidRPr="00265E19">
        <w:rPr>
          <w:rFonts w:ascii="Times New Roman" w:hAnsi="Times New Roman" w:cs="Times New Roman"/>
          <w:sz w:val="24"/>
          <w:szCs w:val="24"/>
        </w:rPr>
        <w:t>Tiers 1 : T1</w:t>
      </w:r>
      <w:r w:rsidR="002760B2" w:rsidRPr="00265E19">
        <w:rPr>
          <w:rFonts w:ascii="Times New Roman" w:hAnsi="Times New Roman" w:cs="Times New Roman"/>
          <w:sz w:val="24"/>
          <w:szCs w:val="24"/>
        </w:rPr>
        <w:t xml:space="preserve"> sont constitués d’actions ordinaires et assimilées appelées « composante dure »</w:t>
      </w:r>
      <w:r w:rsidRPr="00265E19">
        <w:rPr>
          <w:rFonts w:ascii="Times New Roman" w:hAnsi="Times New Roman" w:cs="Times New Roman"/>
          <w:sz w:val="24"/>
          <w:szCs w:val="24"/>
        </w:rPr>
        <w:t xml:space="preserve"> et d’autres éléments de T1</w:t>
      </w:r>
      <w:r w:rsidR="002760B2" w:rsidRPr="00265E19">
        <w:rPr>
          <w:rFonts w:ascii="Times New Roman" w:hAnsi="Times New Roman" w:cs="Times New Roman"/>
          <w:sz w:val="24"/>
          <w:szCs w:val="24"/>
        </w:rPr>
        <w:t xml:space="preserve"> visant à assurer la continuité d’exploitation.</w:t>
      </w:r>
    </w:p>
    <w:p w14:paraId="2E2323EE" w14:textId="77777777" w:rsidR="002760B2" w:rsidRPr="00265E19" w:rsidRDefault="00002215" w:rsidP="00CB0FF1">
      <w:pPr>
        <w:pStyle w:val="Paragraphedeliste"/>
        <w:numPr>
          <w:ilvl w:val="0"/>
          <w:numId w:val="58"/>
        </w:numPr>
        <w:tabs>
          <w:tab w:val="left" w:pos="851"/>
        </w:tabs>
        <w:spacing w:before="60" w:line="300" w:lineRule="auto"/>
        <w:ind w:left="1418" w:hanging="284"/>
        <w:contextualSpacing w:val="0"/>
        <w:rPr>
          <w:rFonts w:ascii="Times New Roman" w:hAnsi="Times New Roman" w:cs="Times New Roman"/>
          <w:sz w:val="24"/>
          <w:szCs w:val="24"/>
        </w:rPr>
      </w:pPr>
      <w:r w:rsidRPr="00265E19">
        <w:rPr>
          <w:rFonts w:ascii="Times New Roman" w:hAnsi="Times New Roman" w:cs="Times New Roman"/>
          <w:sz w:val="24"/>
          <w:szCs w:val="24"/>
        </w:rPr>
        <w:t>Tiers 2 : T2</w:t>
      </w:r>
      <w:r w:rsidR="002760B2" w:rsidRPr="00265E19">
        <w:rPr>
          <w:rFonts w:ascii="Times New Roman" w:hAnsi="Times New Roman" w:cs="Times New Roman"/>
          <w:sz w:val="24"/>
          <w:szCs w:val="24"/>
        </w:rPr>
        <w:t xml:space="preserve"> sont constitués de capital destiné à rembourser les créanciers en cas de faillite bancaire (comme obligations perpétuelles, actions préférentielles, obligations convertibles…).</w:t>
      </w:r>
    </w:p>
    <w:p w14:paraId="15262BF1" w14:textId="77777777" w:rsidR="002760B2" w:rsidRPr="00265E19" w:rsidRDefault="002760B2" w:rsidP="00CB0FF1">
      <w:pPr>
        <w:pStyle w:val="Paragraphedeliste"/>
        <w:numPr>
          <w:ilvl w:val="0"/>
          <w:numId w:val="110"/>
        </w:numPr>
        <w:tabs>
          <w:tab w:val="left" w:pos="0"/>
        </w:tabs>
        <w:spacing w:before="120" w:after="120" w:line="300" w:lineRule="auto"/>
        <w:contextualSpacing w:val="0"/>
        <w:rPr>
          <w:rFonts w:ascii="Times New Roman" w:hAnsi="Times New Roman" w:cs="Times New Roman"/>
          <w:sz w:val="24"/>
          <w:szCs w:val="24"/>
        </w:rPr>
      </w:pPr>
      <w:r w:rsidRPr="006110C6">
        <w:rPr>
          <w:rFonts w:ascii="Times New Roman" w:hAnsi="Times New Roman" w:cs="Times New Roman"/>
          <w:b/>
          <w:bCs/>
          <w:sz w:val="24"/>
          <w:szCs w:val="24"/>
        </w:rPr>
        <w:t>Au niveau du dénominateur</w:t>
      </w:r>
      <w:r w:rsidRPr="00265E19">
        <w:rPr>
          <w:rFonts w:ascii="Times New Roman" w:hAnsi="Times New Roman" w:cs="Times New Roman"/>
          <w:sz w:val="24"/>
          <w:szCs w:val="24"/>
        </w:rPr>
        <w:t>, la nouvelle disposition de Bâle a pris en compte toute la gamme des risques significatifs et</w:t>
      </w:r>
      <w:r w:rsidR="006110C6">
        <w:rPr>
          <w:rFonts w:ascii="Times New Roman" w:hAnsi="Times New Roman" w:cs="Times New Roman"/>
          <w:sz w:val="24"/>
          <w:szCs w:val="24"/>
        </w:rPr>
        <w:t>,</w:t>
      </w:r>
      <w:r w:rsidRPr="00265E19">
        <w:rPr>
          <w:rFonts w:ascii="Times New Roman" w:hAnsi="Times New Roman" w:cs="Times New Roman"/>
          <w:sz w:val="24"/>
          <w:szCs w:val="24"/>
        </w:rPr>
        <w:t xml:space="preserve"> a renforcé les exigences en fonds propres pour faire face au risque de crédit.</w:t>
      </w:r>
      <w:r w:rsidR="00E04F9A">
        <w:rPr>
          <w:rFonts w:ascii="Times New Roman" w:hAnsi="Times New Roman" w:cs="Times New Roman"/>
          <w:sz w:val="24"/>
          <w:szCs w:val="24"/>
        </w:rPr>
        <w:t xml:space="preserve"> </w:t>
      </w:r>
      <w:r w:rsidRPr="00265E19">
        <w:rPr>
          <w:rFonts w:ascii="Times New Roman" w:hAnsi="Times New Roman" w:cs="Times New Roman"/>
          <w:sz w:val="24"/>
          <w:szCs w:val="24"/>
        </w:rPr>
        <w:t>Au niveau du ratio d’adéquation des fonds propres, le comité a relevé l’exigenc</w:t>
      </w:r>
      <w:r w:rsidR="00002215" w:rsidRPr="00265E19">
        <w:rPr>
          <w:rFonts w:ascii="Times New Roman" w:hAnsi="Times New Roman" w:cs="Times New Roman"/>
          <w:sz w:val="24"/>
          <w:szCs w:val="24"/>
        </w:rPr>
        <w:t>e minimale à 4,5% au lieu de 2</w:t>
      </w:r>
      <w:r w:rsidRPr="00265E19">
        <w:rPr>
          <w:rFonts w:ascii="Times New Roman" w:hAnsi="Times New Roman" w:cs="Times New Roman"/>
          <w:sz w:val="24"/>
          <w:szCs w:val="24"/>
        </w:rPr>
        <w:t>%.</w:t>
      </w:r>
    </w:p>
    <w:p w14:paraId="74708527" w14:textId="40A28C5A" w:rsidR="002760B2" w:rsidRPr="00657F14" w:rsidRDefault="00002215" w:rsidP="007B64B9">
      <w:pPr>
        <w:pStyle w:val="Paragraphedeliste"/>
        <w:tabs>
          <w:tab w:val="left" w:pos="0"/>
        </w:tabs>
        <w:spacing w:before="120" w:after="120"/>
        <w:ind w:left="0" w:firstLine="709"/>
        <w:contextualSpacing w:val="0"/>
        <w:rPr>
          <w:rFonts w:asciiTheme="majorBidi" w:hAnsiTheme="majorBidi" w:cstheme="majorBidi"/>
          <w:sz w:val="24"/>
          <w:szCs w:val="24"/>
        </w:rPr>
      </w:pPr>
      <w:r w:rsidRPr="00265E19">
        <w:rPr>
          <w:rFonts w:ascii="Times New Roman" w:hAnsi="Times New Roman" w:cs="Times New Roman"/>
          <w:sz w:val="24"/>
          <w:szCs w:val="24"/>
        </w:rPr>
        <w:t>Ainsi, l</w:t>
      </w:r>
      <w:r w:rsidR="002760B2" w:rsidRPr="00265E19">
        <w:rPr>
          <w:rFonts w:ascii="Times New Roman" w:hAnsi="Times New Roman" w:cs="Times New Roman"/>
          <w:sz w:val="24"/>
          <w:szCs w:val="24"/>
        </w:rPr>
        <w:t>e Comité de Bâle a introduit un nouveau ratio de capital qui vise à maî</w:t>
      </w:r>
      <w:r w:rsidRPr="00265E19">
        <w:rPr>
          <w:rFonts w:ascii="Times New Roman" w:hAnsi="Times New Roman" w:cs="Times New Roman"/>
          <w:sz w:val="24"/>
          <w:szCs w:val="24"/>
        </w:rPr>
        <w:t>triser la croissance des bilans ;</w:t>
      </w:r>
      <w:r w:rsidR="002760B2" w:rsidRPr="00265E19">
        <w:rPr>
          <w:rFonts w:ascii="Times New Roman" w:hAnsi="Times New Roman" w:cs="Times New Roman"/>
          <w:sz w:val="24"/>
          <w:szCs w:val="24"/>
        </w:rPr>
        <w:t xml:space="preserve"> il s’agit d’un ratio d’endettement ou de levier (</w:t>
      </w:r>
      <w:r w:rsidR="002760B2" w:rsidRPr="00265E19">
        <w:rPr>
          <w:rFonts w:ascii="Times New Roman" w:hAnsi="Times New Roman" w:cs="Times New Roman"/>
          <w:i/>
          <w:iCs/>
          <w:sz w:val="24"/>
          <w:szCs w:val="24"/>
        </w:rPr>
        <w:t>Leverage Ratio</w:t>
      </w:r>
      <w:r w:rsidR="002760B2" w:rsidRPr="00265E19">
        <w:rPr>
          <w:rFonts w:ascii="Times New Roman" w:hAnsi="Times New Roman" w:cs="Times New Roman"/>
          <w:sz w:val="24"/>
          <w:szCs w:val="24"/>
        </w:rPr>
        <w:t xml:space="preserve">). </w:t>
      </w:r>
      <w:r w:rsidR="007E00C2" w:rsidRPr="00265E19">
        <w:rPr>
          <w:rFonts w:ascii="Times New Roman" w:hAnsi="Times New Roman" w:cs="Times New Roman"/>
          <w:sz w:val="24"/>
          <w:szCs w:val="24"/>
        </w:rPr>
        <w:t xml:space="preserve">Ce ratio n’est pas basé </w:t>
      </w:r>
      <w:r w:rsidR="002760B2" w:rsidRPr="00265E19">
        <w:rPr>
          <w:rFonts w:ascii="Times New Roman" w:hAnsi="Times New Roman" w:cs="Times New Roman"/>
          <w:sz w:val="24"/>
          <w:szCs w:val="24"/>
        </w:rPr>
        <w:t>su</w:t>
      </w:r>
      <w:r w:rsidR="007E00C2" w:rsidRPr="00265E19">
        <w:rPr>
          <w:rFonts w:ascii="Times New Roman" w:hAnsi="Times New Roman" w:cs="Times New Roman"/>
          <w:sz w:val="24"/>
          <w:szCs w:val="24"/>
        </w:rPr>
        <w:t>r la mesure ajustée du risque (</w:t>
      </w:r>
      <w:r w:rsidR="007E00C2" w:rsidRPr="00657F14">
        <w:rPr>
          <w:rFonts w:ascii="Times New Roman" w:hAnsi="Times New Roman" w:cs="Times New Roman"/>
          <w:i/>
          <w:iCs/>
          <w:sz w:val="24"/>
          <w:szCs w:val="24"/>
        </w:rPr>
        <w:t>n</w:t>
      </w:r>
      <w:r w:rsidR="002760B2" w:rsidRPr="00657F14">
        <w:rPr>
          <w:rFonts w:ascii="Times New Roman" w:hAnsi="Times New Roman" w:cs="Times New Roman"/>
          <w:i/>
          <w:iCs/>
          <w:sz w:val="24"/>
          <w:szCs w:val="24"/>
        </w:rPr>
        <w:t>on-risk</w:t>
      </w:r>
      <w:r w:rsidR="007E00C2" w:rsidRPr="00657F14">
        <w:rPr>
          <w:rFonts w:ascii="Times New Roman" w:hAnsi="Times New Roman" w:cs="Times New Roman"/>
          <w:i/>
          <w:iCs/>
          <w:sz w:val="24"/>
          <w:szCs w:val="24"/>
        </w:rPr>
        <w:t xml:space="preserve"> </w:t>
      </w:r>
      <w:r w:rsidR="002760B2" w:rsidRPr="00657F14">
        <w:rPr>
          <w:rFonts w:ascii="Times New Roman" w:hAnsi="Times New Roman" w:cs="Times New Roman"/>
          <w:i/>
          <w:iCs/>
          <w:sz w:val="24"/>
          <w:szCs w:val="24"/>
        </w:rPr>
        <w:t>based</w:t>
      </w:r>
      <w:r w:rsidR="002760B2" w:rsidRPr="00657F14">
        <w:rPr>
          <w:rFonts w:ascii="Times New Roman" w:hAnsi="Times New Roman" w:cs="Times New Roman"/>
          <w:sz w:val="24"/>
          <w:szCs w:val="24"/>
        </w:rPr>
        <w:t xml:space="preserve">) mais sur la taille du bilan des banques. </w:t>
      </w:r>
      <w:r w:rsidR="009F7FBB" w:rsidRPr="00657F14">
        <w:rPr>
          <w:rFonts w:asciiTheme="majorBidi" w:hAnsiTheme="majorBidi" w:cstheme="majorBidi"/>
          <w:sz w:val="24"/>
          <w:szCs w:val="24"/>
        </w:rPr>
        <w:t xml:space="preserve">Il </w:t>
      </w:r>
      <w:r w:rsidR="009F7FBB" w:rsidRPr="00657F14">
        <w:rPr>
          <w:rFonts w:asciiTheme="majorBidi" w:hAnsiTheme="majorBidi" w:cstheme="majorBidi"/>
          <w:sz w:val="24"/>
          <w:szCs w:val="24"/>
          <w:shd w:val="clear" w:color="auto" w:fill="FFFFFF"/>
        </w:rPr>
        <w:t xml:space="preserve">rapporte le montant des fonds propres de base (Tier 1) au total des actifs non </w:t>
      </w:r>
      <w:r w:rsidR="009F7FBB" w:rsidRPr="00657F14">
        <w:rPr>
          <w:rFonts w:asciiTheme="majorBidi" w:hAnsiTheme="majorBidi" w:cstheme="majorBidi"/>
          <w:sz w:val="24"/>
          <w:szCs w:val="24"/>
          <w:shd w:val="clear" w:color="auto" w:fill="FFFFFF"/>
        </w:rPr>
        <w:lastRenderedPageBreak/>
        <w:t>pondérés du risque de la banque</w:t>
      </w:r>
      <w:r w:rsidR="009F7FBB" w:rsidRPr="00657F14">
        <w:rPr>
          <w:rFonts w:ascii="Arial" w:hAnsi="Arial" w:cs="Arial"/>
          <w:sz w:val="30"/>
          <w:szCs w:val="30"/>
          <w:shd w:val="clear" w:color="auto" w:fill="FFFFFF"/>
        </w:rPr>
        <w:t xml:space="preserve">. </w:t>
      </w:r>
      <w:r w:rsidR="009F7FBB" w:rsidRPr="00657F14">
        <w:rPr>
          <w:rStyle w:val="lev"/>
          <w:rFonts w:asciiTheme="majorBidi" w:hAnsiTheme="majorBidi" w:cstheme="majorBidi"/>
          <w:b w:val="0"/>
          <w:bCs w:val="0"/>
          <w:sz w:val="24"/>
          <w:szCs w:val="24"/>
          <w:shd w:val="clear" w:color="auto" w:fill="FFFFFF"/>
        </w:rPr>
        <w:t>L’exigence minimale est fixée à 3% </w:t>
      </w:r>
      <w:r w:rsidR="009F7FBB" w:rsidRPr="00657F14">
        <w:rPr>
          <w:rFonts w:asciiTheme="majorBidi" w:hAnsiTheme="majorBidi" w:cstheme="majorBidi"/>
          <w:sz w:val="24"/>
          <w:szCs w:val="24"/>
          <w:shd w:val="clear" w:color="auto" w:fill="FFFFFF"/>
        </w:rPr>
        <w:t>depuis le 1er janvier 2018 pour les établissements de crédit européens.</w:t>
      </w:r>
    </w:p>
    <w:p w14:paraId="1BB129BF" w14:textId="77777777" w:rsidR="002760B2" w:rsidRPr="00B56D39" w:rsidRDefault="00C5790E" w:rsidP="007B64B9">
      <w:pPr>
        <w:pStyle w:val="Titre5"/>
        <w:keepNext w:val="0"/>
        <w:keepLines w:val="0"/>
        <w:spacing w:before="120" w:after="120"/>
        <w:ind w:firstLine="709"/>
        <w:rPr>
          <w:rFonts w:asciiTheme="majorBidi" w:hAnsiTheme="majorBidi"/>
          <w:b/>
          <w:bCs/>
          <w:color w:val="auto"/>
          <w:sz w:val="24"/>
          <w:szCs w:val="24"/>
        </w:rPr>
      </w:pPr>
      <w:bookmarkStart w:id="948" w:name="_Toc182298761"/>
      <w:r w:rsidRPr="00B56D39">
        <w:rPr>
          <w:rFonts w:asciiTheme="majorBidi" w:hAnsiTheme="majorBidi"/>
          <w:b/>
          <w:bCs/>
          <w:color w:val="auto"/>
          <w:sz w:val="24"/>
          <w:szCs w:val="24"/>
        </w:rPr>
        <w:t>2.6.2.5- E</w:t>
      </w:r>
      <w:r w:rsidR="002760B2" w:rsidRPr="00B56D39">
        <w:rPr>
          <w:rFonts w:asciiTheme="majorBidi" w:hAnsiTheme="majorBidi"/>
          <w:b/>
          <w:bCs/>
          <w:color w:val="auto"/>
          <w:sz w:val="24"/>
          <w:szCs w:val="24"/>
        </w:rPr>
        <w:t>v</w:t>
      </w:r>
      <w:r w:rsidR="00667D44" w:rsidRPr="00B56D39">
        <w:rPr>
          <w:rFonts w:asciiTheme="majorBidi" w:hAnsiTheme="majorBidi"/>
          <w:b/>
          <w:bCs/>
          <w:color w:val="auto"/>
          <w:sz w:val="24"/>
          <w:szCs w:val="24"/>
        </w:rPr>
        <w:t>olution au niveau de</w:t>
      </w:r>
      <w:r w:rsidR="00440944" w:rsidRPr="00B56D39">
        <w:rPr>
          <w:rFonts w:asciiTheme="majorBidi" w:hAnsiTheme="majorBidi"/>
          <w:b/>
          <w:bCs/>
          <w:color w:val="auto"/>
          <w:sz w:val="24"/>
          <w:szCs w:val="24"/>
        </w:rPr>
        <w:t xml:space="preserve"> ratios de</w:t>
      </w:r>
      <w:r w:rsidR="00667D44" w:rsidRPr="00B56D39">
        <w:rPr>
          <w:rFonts w:asciiTheme="majorBidi" w:hAnsiTheme="majorBidi"/>
          <w:b/>
          <w:bCs/>
          <w:color w:val="auto"/>
          <w:sz w:val="24"/>
          <w:szCs w:val="24"/>
        </w:rPr>
        <w:t xml:space="preserve"> liquidité</w:t>
      </w:r>
      <w:bookmarkEnd w:id="948"/>
      <w:r w:rsidR="00657D75" w:rsidRPr="00B56D39">
        <w:rPr>
          <w:rFonts w:asciiTheme="majorBidi" w:hAnsiTheme="majorBidi"/>
          <w:b/>
          <w:bCs/>
          <w:color w:val="auto"/>
          <w:sz w:val="24"/>
          <w:szCs w:val="24"/>
        </w:rPr>
        <w:t xml:space="preserve"> </w:t>
      </w:r>
    </w:p>
    <w:p w14:paraId="769B5289" w14:textId="77777777" w:rsidR="002760B2" w:rsidRPr="00265E19" w:rsidRDefault="002760B2" w:rsidP="007B64B9">
      <w:pPr>
        <w:pStyle w:val="Paragraphedeliste"/>
        <w:tabs>
          <w:tab w:val="left" w:pos="0"/>
        </w:tabs>
        <w:spacing w:before="120"/>
        <w:ind w:left="0" w:firstLine="709"/>
        <w:contextualSpacing w:val="0"/>
        <w:rPr>
          <w:rFonts w:ascii="Times New Roman" w:hAnsi="Times New Roman" w:cs="Times New Roman"/>
          <w:sz w:val="24"/>
          <w:szCs w:val="24"/>
        </w:rPr>
      </w:pPr>
      <w:r w:rsidRPr="00265E19">
        <w:rPr>
          <w:rFonts w:ascii="Times New Roman" w:hAnsi="Times New Roman" w:cs="Times New Roman"/>
          <w:sz w:val="24"/>
          <w:szCs w:val="24"/>
        </w:rPr>
        <w:t xml:space="preserve">Suite aux pressions observées en liquidité durant la dernière crise </w:t>
      </w:r>
      <w:r w:rsidRPr="009F7FBB">
        <w:rPr>
          <w:rFonts w:ascii="Times New Roman" w:hAnsi="Times New Roman" w:cs="Times New Roman"/>
          <w:sz w:val="24"/>
          <w:szCs w:val="24"/>
        </w:rPr>
        <w:t>financière</w:t>
      </w:r>
      <w:r w:rsidR="00657D75" w:rsidRPr="009F7FBB">
        <w:rPr>
          <w:rFonts w:ascii="Times New Roman" w:hAnsi="Times New Roman" w:cs="Times New Roman"/>
          <w:sz w:val="24"/>
          <w:szCs w:val="24"/>
        </w:rPr>
        <w:t xml:space="preserve"> de 2007</w:t>
      </w:r>
      <w:r w:rsidRPr="009F7FBB">
        <w:rPr>
          <w:rFonts w:ascii="Times New Roman" w:hAnsi="Times New Roman" w:cs="Times New Roman"/>
          <w:sz w:val="24"/>
          <w:szCs w:val="24"/>
        </w:rPr>
        <w:t>,</w:t>
      </w:r>
      <w:r w:rsidRPr="00265E19">
        <w:rPr>
          <w:rFonts w:ascii="Times New Roman" w:hAnsi="Times New Roman" w:cs="Times New Roman"/>
          <w:sz w:val="24"/>
          <w:szCs w:val="24"/>
        </w:rPr>
        <w:t xml:space="preserve"> deux nouvelles normes réglementaires ont été élaborées par le </w:t>
      </w:r>
      <w:r w:rsidR="00851EFB">
        <w:rPr>
          <w:rFonts w:ascii="Times New Roman" w:hAnsi="Times New Roman" w:cs="Times New Roman"/>
          <w:sz w:val="24"/>
          <w:szCs w:val="24"/>
        </w:rPr>
        <w:t>Comité</w:t>
      </w:r>
      <w:r w:rsidRPr="00265E19">
        <w:rPr>
          <w:rFonts w:ascii="Times New Roman" w:hAnsi="Times New Roman" w:cs="Times New Roman"/>
          <w:sz w:val="24"/>
          <w:szCs w:val="24"/>
        </w:rPr>
        <w:t xml:space="preserve"> de Bâle :</w:t>
      </w:r>
    </w:p>
    <w:p w14:paraId="3FBA3CEB" w14:textId="0897FB4F" w:rsidR="002760B2" w:rsidRPr="00265E19" w:rsidRDefault="002760B2" w:rsidP="00CB0FF1">
      <w:pPr>
        <w:pStyle w:val="Paragraphedeliste"/>
        <w:numPr>
          <w:ilvl w:val="0"/>
          <w:numId w:val="11"/>
        </w:numPr>
        <w:tabs>
          <w:tab w:val="left" w:pos="426"/>
          <w:tab w:val="left" w:pos="851"/>
          <w:tab w:val="left" w:pos="1134"/>
        </w:tabs>
        <w:spacing w:before="60"/>
        <w:ind w:left="1135" w:hanging="284"/>
        <w:contextualSpacing w:val="0"/>
        <w:rPr>
          <w:rFonts w:ascii="Times New Roman" w:hAnsi="Times New Roman" w:cs="Times New Roman"/>
          <w:sz w:val="24"/>
          <w:szCs w:val="24"/>
        </w:rPr>
      </w:pPr>
      <w:r w:rsidRPr="00265E19">
        <w:rPr>
          <w:rFonts w:ascii="Times New Roman" w:hAnsi="Times New Roman" w:cs="Times New Roman"/>
          <w:sz w:val="24"/>
          <w:szCs w:val="24"/>
        </w:rPr>
        <w:t>Le ratio de liquidité à court terme LCR (</w:t>
      </w:r>
      <w:r w:rsidRPr="00657D75">
        <w:rPr>
          <w:rFonts w:ascii="Times New Roman" w:hAnsi="Times New Roman" w:cs="Times New Roman"/>
          <w:i/>
          <w:iCs/>
          <w:sz w:val="24"/>
          <w:szCs w:val="24"/>
        </w:rPr>
        <w:t>Liquidity Coverage Ratio</w:t>
      </w:r>
      <w:r w:rsidRPr="00265E19">
        <w:rPr>
          <w:rFonts w:ascii="Times New Roman" w:hAnsi="Times New Roman" w:cs="Times New Roman"/>
          <w:sz w:val="24"/>
          <w:szCs w:val="24"/>
        </w:rPr>
        <w:t xml:space="preserve">) concerne les actifs liquides qui peuvent être utilisés pour compenser des sorties nettes de liquidités dans des scénarios de </w:t>
      </w:r>
      <w:r w:rsidR="00414F3C" w:rsidRPr="00265E19">
        <w:rPr>
          <w:rFonts w:ascii="Times New Roman" w:hAnsi="Times New Roman" w:cs="Times New Roman"/>
          <w:sz w:val="24"/>
          <w:szCs w:val="24"/>
        </w:rPr>
        <w:t>tension</w:t>
      </w:r>
      <w:r w:rsidRPr="00265E19">
        <w:rPr>
          <w:rFonts w:ascii="Times New Roman" w:hAnsi="Times New Roman" w:cs="Times New Roman"/>
          <w:sz w:val="24"/>
          <w:szCs w:val="24"/>
        </w:rPr>
        <w:t xml:space="preserve"> brefs définis p</w:t>
      </w:r>
      <w:r w:rsidR="00A0799C" w:rsidRPr="00265E19">
        <w:rPr>
          <w:rFonts w:ascii="Times New Roman" w:hAnsi="Times New Roman" w:cs="Times New Roman"/>
          <w:sz w:val="24"/>
          <w:szCs w:val="24"/>
        </w:rPr>
        <w:t>ar les responsables prudentiels ;</w:t>
      </w:r>
    </w:p>
    <w:p w14:paraId="66BFD39E" w14:textId="2320ECF6" w:rsidR="002760B2" w:rsidRPr="00265E19" w:rsidRDefault="002760B2" w:rsidP="00CB0FF1">
      <w:pPr>
        <w:pStyle w:val="Paragraphedeliste"/>
        <w:numPr>
          <w:ilvl w:val="0"/>
          <w:numId w:val="11"/>
        </w:numPr>
        <w:tabs>
          <w:tab w:val="left" w:pos="426"/>
          <w:tab w:val="left" w:pos="851"/>
          <w:tab w:val="left" w:pos="1134"/>
        </w:tabs>
        <w:spacing w:before="60"/>
        <w:ind w:left="1135" w:hanging="284"/>
        <w:contextualSpacing w:val="0"/>
        <w:rPr>
          <w:rFonts w:ascii="Times New Roman" w:hAnsi="Times New Roman" w:cs="Times New Roman"/>
          <w:sz w:val="24"/>
          <w:szCs w:val="24"/>
        </w:rPr>
      </w:pPr>
      <w:r w:rsidRPr="00265E19">
        <w:rPr>
          <w:rFonts w:ascii="Times New Roman" w:hAnsi="Times New Roman" w:cs="Times New Roman"/>
          <w:sz w:val="24"/>
          <w:szCs w:val="24"/>
        </w:rPr>
        <w:t>Le ratio structurel de liquidité à long terme NSFR (</w:t>
      </w:r>
      <w:r w:rsidRPr="00657D75">
        <w:rPr>
          <w:rFonts w:ascii="Times New Roman" w:hAnsi="Times New Roman" w:cs="Times New Roman"/>
          <w:i/>
          <w:iCs/>
          <w:sz w:val="24"/>
          <w:szCs w:val="24"/>
        </w:rPr>
        <w:t>Net Stable Funding Ratio</w:t>
      </w:r>
      <w:r w:rsidRPr="00265E19">
        <w:rPr>
          <w:rFonts w:ascii="Times New Roman" w:hAnsi="Times New Roman" w:cs="Times New Roman"/>
          <w:sz w:val="24"/>
          <w:szCs w:val="24"/>
        </w:rPr>
        <w:t>) évalue l’ensemble du bilan par l’estimation des sources de financement fiables en présence de tentions plus prolongées et moins sévères.</w:t>
      </w:r>
    </w:p>
    <w:p w14:paraId="682642D7" w14:textId="77777777" w:rsidR="002760B2" w:rsidRPr="00B56D39" w:rsidRDefault="00C5790E" w:rsidP="007B64B9">
      <w:pPr>
        <w:pStyle w:val="Titre5"/>
        <w:keepNext w:val="0"/>
        <w:keepLines w:val="0"/>
        <w:spacing w:before="120" w:after="120"/>
        <w:ind w:firstLine="709"/>
        <w:rPr>
          <w:rFonts w:asciiTheme="majorBidi" w:hAnsiTheme="majorBidi"/>
          <w:b/>
          <w:bCs/>
          <w:color w:val="auto"/>
          <w:sz w:val="24"/>
          <w:szCs w:val="24"/>
        </w:rPr>
      </w:pPr>
      <w:bookmarkStart w:id="949" w:name="_Toc182298762"/>
      <w:r w:rsidRPr="00B56D39">
        <w:rPr>
          <w:rFonts w:asciiTheme="majorBidi" w:hAnsiTheme="majorBidi"/>
          <w:b/>
          <w:bCs/>
          <w:color w:val="auto"/>
          <w:sz w:val="24"/>
          <w:szCs w:val="24"/>
        </w:rPr>
        <w:t>2.6.2.6- S</w:t>
      </w:r>
      <w:r w:rsidR="002760B2" w:rsidRPr="00B56D39">
        <w:rPr>
          <w:rFonts w:asciiTheme="majorBidi" w:hAnsiTheme="majorBidi"/>
          <w:b/>
          <w:bCs/>
          <w:color w:val="auto"/>
          <w:sz w:val="24"/>
          <w:szCs w:val="24"/>
        </w:rPr>
        <w:t>urv</w:t>
      </w:r>
      <w:r w:rsidR="00667D44" w:rsidRPr="00B56D39">
        <w:rPr>
          <w:rFonts w:asciiTheme="majorBidi" w:hAnsiTheme="majorBidi"/>
          <w:b/>
          <w:bCs/>
          <w:color w:val="auto"/>
          <w:sz w:val="24"/>
          <w:szCs w:val="24"/>
        </w:rPr>
        <w:t>eillance renforcée des risques</w:t>
      </w:r>
      <w:bookmarkEnd w:id="949"/>
    </w:p>
    <w:p w14:paraId="1EDF2845" w14:textId="77777777" w:rsidR="00A0799C" w:rsidRPr="00265E19" w:rsidRDefault="002760B2" w:rsidP="007B64B9">
      <w:pPr>
        <w:pStyle w:val="Paragraphedeliste"/>
        <w:tabs>
          <w:tab w:val="left" w:pos="0"/>
        </w:tabs>
        <w:spacing w:before="120" w:after="120"/>
        <w:ind w:left="0" w:firstLine="709"/>
        <w:contextualSpacing w:val="0"/>
        <w:rPr>
          <w:rFonts w:ascii="Times New Roman" w:hAnsi="Times New Roman" w:cs="Times New Roman"/>
          <w:sz w:val="24"/>
          <w:szCs w:val="24"/>
        </w:rPr>
      </w:pPr>
      <w:r w:rsidRPr="00265E19">
        <w:rPr>
          <w:rFonts w:ascii="Times New Roman" w:hAnsi="Times New Roman" w:cs="Times New Roman"/>
          <w:sz w:val="24"/>
          <w:szCs w:val="24"/>
        </w:rPr>
        <w:t xml:space="preserve">Dans un environnement financier caractérisé par de fortes mutations, le Comité de Bâle a réexaminé le processus de surveillance prudentielle (2ème pilier) pour combler les insuffisances qui sont apparues </w:t>
      </w:r>
      <w:r w:rsidRPr="006A100F">
        <w:rPr>
          <w:rFonts w:ascii="Times New Roman" w:hAnsi="Times New Roman" w:cs="Times New Roman"/>
          <w:sz w:val="24"/>
          <w:szCs w:val="24"/>
        </w:rPr>
        <w:t>durant lad</w:t>
      </w:r>
      <w:r w:rsidR="00657D75" w:rsidRPr="006A100F">
        <w:rPr>
          <w:rFonts w:ascii="Times New Roman" w:hAnsi="Times New Roman" w:cs="Times New Roman"/>
          <w:sz w:val="24"/>
          <w:szCs w:val="24"/>
        </w:rPr>
        <w:t>ite</w:t>
      </w:r>
      <w:r w:rsidRPr="006A100F">
        <w:rPr>
          <w:rFonts w:ascii="Times New Roman" w:hAnsi="Times New Roman" w:cs="Times New Roman"/>
          <w:sz w:val="24"/>
          <w:szCs w:val="24"/>
        </w:rPr>
        <w:t xml:space="preserve"> crise en matière des pratiques de gestion des risques, à travers la prise en compte des risques</w:t>
      </w:r>
      <w:r w:rsidRPr="00265E19">
        <w:rPr>
          <w:rFonts w:ascii="Times New Roman" w:hAnsi="Times New Roman" w:cs="Times New Roman"/>
          <w:sz w:val="24"/>
          <w:szCs w:val="24"/>
        </w:rPr>
        <w:t xml:space="preserve"> liés aux expositions du hors bilan et aux opérations de titrisation. Ainsi, cette réforme vise à gérer les concentrations de risque et à inciter les banques à mieux gérer les risques et les rendements sur le long terme.</w:t>
      </w:r>
      <w:r w:rsidR="00552143" w:rsidRPr="00265E19">
        <w:rPr>
          <w:rFonts w:ascii="Times New Roman" w:hAnsi="Times New Roman" w:cs="Times New Roman"/>
          <w:sz w:val="24"/>
          <w:szCs w:val="24"/>
        </w:rPr>
        <w:t xml:space="preserve"> </w:t>
      </w:r>
      <w:r w:rsidRPr="00265E19">
        <w:rPr>
          <w:rFonts w:ascii="Times New Roman" w:hAnsi="Times New Roman" w:cs="Times New Roman"/>
          <w:sz w:val="24"/>
          <w:szCs w:val="24"/>
        </w:rPr>
        <w:t xml:space="preserve">Le tableau ci-dessous décrit les réformes élaborées par le </w:t>
      </w:r>
      <w:r w:rsidR="00851EFB">
        <w:rPr>
          <w:rFonts w:ascii="Times New Roman" w:hAnsi="Times New Roman" w:cs="Times New Roman"/>
          <w:sz w:val="24"/>
          <w:szCs w:val="24"/>
        </w:rPr>
        <w:t>Comité</w:t>
      </w:r>
      <w:r w:rsidRPr="00265E19">
        <w:rPr>
          <w:rFonts w:ascii="Times New Roman" w:hAnsi="Times New Roman" w:cs="Times New Roman"/>
          <w:sz w:val="24"/>
          <w:szCs w:val="24"/>
        </w:rPr>
        <w:t xml:space="preserve"> de Bâle sous forme de calendrier de mise en œuvre du dispositif de Bâle III.</w:t>
      </w:r>
    </w:p>
    <w:p w14:paraId="7218A3B3" w14:textId="7CE68063" w:rsidR="002760B2" w:rsidRPr="00265E19" w:rsidRDefault="00697CCF" w:rsidP="007B64B9">
      <w:pPr>
        <w:pStyle w:val="Lgende"/>
        <w:keepNext/>
        <w:keepLines/>
        <w:tabs>
          <w:tab w:val="left" w:pos="0"/>
        </w:tabs>
        <w:spacing w:before="120" w:after="120" w:line="276" w:lineRule="auto"/>
        <w:jc w:val="center"/>
        <w:rPr>
          <w:rFonts w:ascii="Times New Roman" w:hAnsi="Times New Roman" w:cs="Times New Roman"/>
          <w:color w:val="auto"/>
          <w:sz w:val="24"/>
          <w:szCs w:val="24"/>
          <w:lang w:eastAsia="fr-FR"/>
        </w:rPr>
      </w:pPr>
      <w:bookmarkStart w:id="950" w:name="_Toc115556073"/>
      <w:r w:rsidRPr="00440944">
        <w:rPr>
          <w:rFonts w:ascii="Times New Roman" w:hAnsi="Times New Roman" w:cs="Times New Roman"/>
          <w:color w:val="auto"/>
          <w:sz w:val="24"/>
          <w:szCs w:val="24"/>
        </w:rPr>
        <w:t xml:space="preserve">Tableau </w:t>
      </w:r>
      <w:r w:rsidR="00B544E5" w:rsidRPr="00440944">
        <w:rPr>
          <w:rFonts w:ascii="Times New Roman" w:hAnsi="Times New Roman" w:cs="Times New Roman"/>
          <w:color w:val="auto"/>
          <w:sz w:val="24"/>
          <w:szCs w:val="24"/>
        </w:rPr>
        <w:fldChar w:fldCharType="begin"/>
      </w:r>
      <w:r w:rsidRPr="00440944">
        <w:rPr>
          <w:rFonts w:ascii="Times New Roman" w:hAnsi="Times New Roman" w:cs="Times New Roman"/>
          <w:color w:val="auto"/>
          <w:sz w:val="24"/>
          <w:szCs w:val="24"/>
        </w:rPr>
        <w:instrText xml:space="preserve"> SEQ Tableau \* ARABIC </w:instrText>
      </w:r>
      <w:r w:rsidR="00B544E5" w:rsidRPr="00440944">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5</w:t>
      </w:r>
      <w:r w:rsidR="00B544E5" w:rsidRPr="00440944">
        <w:rPr>
          <w:rFonts w:ascii="Times New Roman" w:hAnsi="Times New Roman" w:cs="Times New Roman"/>
          <w:color w:val="auto"/>
          <w:sz w:val="24"/>
          <w:szCs w:val="24"/>
        </w:rPr>
        <w:fldChar w:fldCharType="end"/>
      </w:r>
      <w:r w:rsidR="00DD4011" w:rsidRPr="00440944">
        <w:rPr>
          <w:rFonts w:ascii="Times New Roman" w:hAnsi="Times New Roman" w:cs="Times New Roman"/>
          <w:color w:val="auto"/>
          <w:sz w:val="24"/>
          <w:szCs w:val="24"/>
        </w:rPr>
        <w:t>-</w:t>
      </w:r>
      <w:r w:rsidRPr="00440944">
        <w:rPr>
          <w:rFonts w:ascii="Times New Roman" w:hAnsi="Times New Roman" w:cs="Times New Roman"/>
          <w:color w:val="auto"/>
          <w:sz w:val="24"/>
          <w:szCs w:val="24"/>
        </w:rPr>
        <w:t xml:space="preserve"> Calendrier de mise en œuvre de Bâle III</w:t>
      </w:r>
      <w:bookmarkEnd w:id="950"/>
    </w:p>
    <w:tbl>
      <w:tblPr>
        <w:tblW w:w="9071" w:type="dxa"/>
        <w:jc w:val="center"/>
        <w:tblBorders>
          <w:top w:val="single" w:sz="6" w:space="0" w:color="A2A9B1"/>
          <w:left w:val="single" w:sz="6" w:space="0" w:color="A2A9B1"/>
          <w:bottom w:val="single" w:sz="6" w:space="0" w:color="A2A9B1"/>
          <w:right w:val="single" w:sz="6" w:space="0" w:color="A2A9B1"/>
        </w:tblBorders>
        <w:shd w:val="clear" w:color="auto" w:fill="F8F9FA"/>
        <w:tblLayout w:type="fixed"/>
        <w:tblCellMar>
          <w:top w:w="28" w:type="dxa"/>
          <w:left w:w="57" w:type="dxa"/>
          <w:bottom w:w="28" w:type="dxa"/>
          <w:right w:w="57" w:type="dxa"/>
        </w:tblCellMar>
        <w:tblLook w:val="04A0" w:firstRow="1" w:lastRow="0" w:firstColumn="1" w:lastColumn="0" w:noHBand="0" w:noVBand="1"/>
      </w:tblPr>
      <w:tblGrid>
        <w:gridCol w:w="2551"/>
        <w:gridCol w:w="1814"/>
        <w:gridCol w:w="4706"/>
      </w:tblGrid>
      <w:tr w:rsidR="002760B2" w:rsidRPr="002B005F" w14:paraId="2460F092" w14:textId="77777777" w:rsidTr="007B64B9">
        <w:trPr>
          <w:trHeight w:val="397"/>
          <w:jc w:val="center"/>
        </w:trPr>
        <w:tc>
          <w:tcPr>
            <w:tcW w:w="255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64CF28E" w14:textId="77777777" w:rsidR="002760B2" w:rsidRPr="002B005F" w:rsidRDefault="002760B2" w:rsidP="007B64B9">
            <w:pPr>
              <w:keepNext/>
              <w:keepLines/>
              <w:tabs>
                <w:tab w:val="left" w:pos="0"/>
              </w:tabs>
              <w:spacing w:line="240" w:lineRule="auto"/>
              <w:ind w:left="113"/>
              <w:jc w:val="center"/>
              <w:rPr>
                <w:rFonts w:ascii="Times New Roman" w:hAnsi="Times New Roman" w:cs="Times New Roman"/>
                <w:b/>
                <w:bCs/>
                <w:color w:val="000000"/>
                <w:sz w:val="24"/>
                <w:szCs w:val="24"/>
              </w:rPr>
            </w:pPr>
            <w:r w:rsidRPr="002B005F">
              <w:rPr>
                <w:rFonts w:ascii="Times New Roman" w:hAnsi="Times New Roman" w:cs="Times New Roman"/>
                <w:b/>
                <w:bCs/>
                <w:color w:val="000000"/>
                <w:sz w:val="24"/>
                <w:szCs w:val="24"/>
              </w:rPr>
              <w:t>Date</w:t>
            </w:r>
          </w:p>
        </w:tc>
        <w:tc>
          <w:tcPr>
            <w:tcW w:w="181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101F40C" w14:textId="77777777" w:rsidR="002760B2" w:rsidRPr="002B005F" w:rsidRDefault="002760B2" w:rsidP="007B64B9">
            <w:pPr>
              <w:keepNext/>
              <w:keepLines/>
              <w:tabs>
                <w:tab w:val="left" w:pos="0"/>
              </w:tabs>
              <w:spacing w:line="240" w:lineRule="auto"/>
              <w:jc w:val="center"/>
              <w:rPr>
                <w:rFonts w:ascii="Times New Roman" w:hAnsi="Times New Roman" w:cs="Times New Roman"/>
                <w:b/>
                <w:bCs/>
                <w:color w:val="000000"/>
                <w:sz w:val="24"/>
                <w:szCs w:val="24"/>
              </w:rPr>
            </w:pPr>
            <w:r w:rsidRPr="002B005F">
              <w:rPr>
                <w:rFonts w:ascii="Times New Roman" w:hAnsi="Times New Roman" w:cs="Times New Roman"/>
                <w:b/>
                <w:bCs/>
                <w:color w:val="000000"/>
                <w:sz w:val="24"/>
                <w:szCs w:val="24"/>
              </w:rPr>
              <w:t>Réalisé/Planifié</w:t>
            </w:r>
          </w:p>
        </w:tc>
        <w:tc>
          <w:tcPr>
            <w:tcW w:w="470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2FC4EA0" w14:textId="77777777" w:rsidR="002760B2" w:rsidRPr="002B005F" w:rsidRDefault="002760B2" w:rsidP="007B64B9">
            <w:pPr>
              <w:keepNext/>
              <w:keepLines/>
              <w:tabs>
                <w:tab w:val="left" w:pos="0"/>
              </w:tabs>
              <w:spacing w:line="240" w:lineRule="auto"/>
              <w:jc w:val="center"/>
              <w:rPr>
                <w:rFonts w:ascii="Times New Roman" w:hAnsi="Times New Roman" w:cs="Times New Roman"/>
                <w:b/>
                <w:bCs/>
                <w:color w:val="000000"/>
                <w:sz w:val="24"/>
                <w:szCs w:val="24"/>
              </w:rPr>
            </w:pPr>
            <w:r w:rsidRPr="002B005F">
              <w:rPr>
                <w:rFonts w:ascii="Times New Roman" w:hAnsi="Times New Roman" w:cs="Times New Roman"/>
                <w:b/>
                <w:bCs/>
                <w:color w:val="000000"/>
                <w:sz w:val="24"/>
                <w:szCs w:val="24"/>
              </w:rPr>
              <w:t>Étapes</w:t>
            </w:r>
          </w:p>
        </w:tc>
      </w:tr>
      <w:tr w:rsidR="002760B2" w:rsidRPr="002B005F" w14:paraId="37168222" w14:textId="77777777" w:rsidTr="007B64B9">
        <w:trPr>
          <w:trHeight w:val="340"/>
          <w:jc w:val="center"/>
        </w:trPr>
        <w:tc>
          <w:tcPr>
            <w:tcW w:w="25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F9DD78" w14:textId="77777777" w:rsidR="002760B2" w:rsidRPr="002B005F" w:rsidRDefault="002760B2" w:rsidP="007B64B9">
            <w:pPr>
              <w:keepNext/>
              <w:keepLines/>
              <w:tabs>
                <w:tab w:val="left" w:pos="0"/>
              </w:tabs>
              <w:spacing w:line="240" w:lineRule="auto"/>
              <w:ind w:left="113"/>
              <w:jc w:val="left"/>
              <w:rPr>
                <w:rFonts w:ascii="Times New Roman" w:hAnsi="Times New Roman" w:cs="Times New Roman"/>
                <w:color w:val="000000"/>
                <w:sz w:val="24"/>
                <w:szCs w:val="24"/>
              </w:rPr>
            </w:pPr>
            <w:r w:rsidRPr="002B005F">
              <w:rPr>
                <w:rFonts w:ascii="Times New Roman" w:hAnsi="Times New Roman" w:cs="Times New Roman"/>
                <w:color w:val="000000"/>
                <w:sz w:val="24"/>
                <w:szCs w:val="24"/>
              </w:rPr>
              <w:t>26-27 juin 2010</w:t>
            </w:r>
          </w:p>
        </w:tc>
        <w:tc>
          <w:tcPr>
            <w:tcW w:w="18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B21990" w14:textId="77777777" w:rsidR="002760B2" w:rsidRPr="002B005F" w:rsidRDefault="002760B2" w:rsidP="007B64B9">
            <w:pPr>
              <w:keepNext/>
              <w:keepLines/>
              <w:tabs>
                <w:tab w:val="left" w:pos="0"/>
              </w:tabs>
              <w:spacing w:line="240" w:lineRule="auto"/>
              <w:jc w:val="center"/>
              <w:rPr>
                <w:rFonts w:ascii="Times New Roman" w:hAnsi="Times New Roman" w:cs="Times New Roman"/>
                <w:color w:val="000000"/>
                <w:sz w:val="24"/>
                <w:szCs w:val="24"/>
              </w:rPr>
            </w:pPr>
            <w:r w:rsidRPr="002B005F">
              <w:rPr>
                <w:rFonts w:ascii="Times New Roman" w:hAnsi="Times New Roman" w:cs="Times New Roman"/>
                <w:color w:val="000000"/>
                <w:sz w:val="24"/>
                <w:szCs w:val="24"/>
              </w:rPr>
              <w:t>Réalisé</w:t>
            </w:r>
          </w:p>
        </w:tc>
        <w:tc>
          <w:tcPr>
            <w:tcW w:w="470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8B8267" w14:textId="77777777" w:rsidR="002760B2" w:rsidRPr="002B005F" w:rsidRDefault="00C40DAA" w:rsidP="007B64B9">
            <w:pPr>
              <w:keepNext/>
              <w:keepLines/>
              <w:tabs>
                <w:tab w:val="left" w:pos="0"/>
              </w:tabs>
              <w:spacing w:line="240" w:lineRule="auto"/>
              <w:rPr>
                <w:rFonts w:ascii="Times New Roman" w:hAnsi="Times New Roman" w:cs="Times New Roman"/>
                <w:color w:val="000000"/>
                <w:sz w:val="24"/>
                <w:szCs w:val="24"/>
              </w:rPr>
            </w:pPr>
            <w:hyperlink r:id="rId52" w:tooltip="G20 de Toronto de 2010" w:history="1">
              <w:r w:rsidR="002760B2" w:rsidRPr="002B005F">
                <w:rPr>
                  <w:rStyle w:val="Lienhypertexte"/>
                  <w:rFonts w:ascii="Times New Roman" w:hAnsi="Times New Roman" w:cs="Times New Roman"/>
                  <w:color w:val="0B0080"/>
                  <w:sz w:val="24"/>
                  <w:szCs w:val="24"/>
                </w:rPr>
                <w:t>Sommet du G-20 à Toronto</w:t>
              </w:r>
            </w:hyperlink>
          </w:p>
        </w:tc>
      </w:tr>
      <w:tr w:rsidR="002760B2" w:rsidRPr="002B005F" w14:paraId="7E5E26DC" w14:textId="77777777" w:rsidTr="007B64B9">
        <w:trPr>
          <w:trHeight w:val="340"/>
          <w:jc w:val="center"/>
        </w:trPr>
        <w:tc>
          <w:tcPr>
            <w:tcW w:w="25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8B2E96" w14:textId="77777777" w:rsidR="002760B2" w:rsidRPr="002B005F" w:rsidRDefault="002760B2" w:rsidP="007B64B9">
            <w:pPr>
              <w:keepNext/>
              <w:keepLines/>
              <w:tabs>
                <w:tab w:val="left" w:pos="0"/>
              </w:tabs>
              <w:spacing w:line="240" w:lineRule="auto"/>
              <w:ind w:left="113"/>
              <w:jc w:val="left"/>
              <w:rPr>
                <w:rFonts w:ascii="Times New Roman" w:hAnsi="Times New Roman" w:cs="Times New Roman"/>
                <w:color w:val="000000"/>
                <w:sz w:val="24"/>
                <w:szCs w:val="24"/>
              </w:rPr>
            </w:pPr>
            <w:r w:rsidRPr="002B005F">
              <w:rPr>
                <w:rFonts w:ascii="Times New Roman" w:hAnsi="Times New Roman" w:cs="Times New Roman"/>
                <w:color w:val="000000"/>
                <w:sz w:val="24"/>
                <w:szCs w:val="24"/>
              </w:rPr>
              <w:t>11-12 novembre 2010</w:t>
            </w:r>
          </w:p>
        </w:tc>
        <w:tc>
          <w:tcPr>
            <w:tcW w:w="18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872155" w14:textId="77777777" w:rsidR="002760B2" w:rsidRPr="002B005F" w:rsidRDefault="002760B2" w:rsidP="007B64B9">
            <w:pPr>
              <w:keepNext/>
              <w:keepLines/>
              <w:tabs>
                <w:tab w:val="left" w:pos="0"/>
              </w:tabs>
              <w:spacing w:line="240" w:lineRule="auto"/>
              <w:jc w:val="center"/>
              <w:rPr>
                <w:rFonts w:ascii="Times New Roman" w:hAnsi="Times New Roman" w:cs="Times New Roman"/>
                <w:color w:val="000000"/>
                <w:sz w:val="24"/>
                <w:szCs w:val="24"/>
              </w:rPr>
            </w:pPr>
            <w:r w:rsidRPr="002B005F">
              <w:rPr>
                <w:rFonts w:ascii="Times New Roman" w:hAnsi="Times New Roman" w:cs="Times New Roman"/>
                <w:color w:val="000000"/>
                <w:sz w:val="24"/>
                <w:szCs w:val="24"/>
              </w:rPr>
              <w:t>Réalisé</w:t>
            </w:r>
          </w:p>
        </w:tc>
        <w:tc>
          <w:tcPr>
            <w:tcW w:w="470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16A900" w14:textId="77777777" w:rsidR="002760B2" w:rsidRPr="002B005F" w:rsidRDefault="00C40DAA" w:rsidP="007B64B9">
            <w:pPr>
              <w:keepNext/>
              <w:keepLines/>
              <w:tabs>
                <w:tab w:val="left" w:pos="0"/>
              </w:tabs>
              <w:spacing w:line="240" w:lineRule="auto"/>
              <w:rPr>
                <w:rFonts w:ascii="Times New Roman" w:hAnsi="Times New Roman" w:cs="Times New Roman"/>
                <w:color w:val="000000"/>
                <w:sz w:val="24"/>
                <w:szCs w:val="24"/>
              </w:rPr>
            </w:pPr>
            <w:hyperlink r:id="rId53" w:tooltip="G20 de Séoul 2010" w:history="1">
              <w:r w:rsidR="002760B2" w:rsidRPr="002B005F">
                <w:rPr>
                  <w:rStyle w:val="Lienhypertexte"/>
                  <w:rFonts w:ascii="Times New Roman" w:hAnsi="Times New Roman" w:cs="Times New Roman"/>
                  <w:color w:val="0B0080"/>
                  <w:sz w:val="24"/>
                  <w:szCs w:val="24"/>
                </w:rPr>
                <w:t>Sommet du G-20 à Séoul</w:t>
              </w:r>
            </w:hyperlink>
          </w:p>
        </w:tc>
      </w:tr>
      <w:tr w:rsidR="002760B2" w:rsidRPr="002B005F" w14:paraId="38709ACD" w14:textId="77777777" w:rsidTr="007B64B9">
        <w:trPr>
          <w:trHeight w:val="340"/>
          <w:jc w:val="center"/>
        </w:trPr>
        <w:tc>
          <w:tcPr>
            <w:tcW w:w="25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05B928" w14:textId="77777777" w:rsidR="002760B2" w:rsidRPr="002B005F" w:rsidRDefault="002760B2" w:rsidP="007B64B9">
            <w:pPr>
              <w:keepNext/>
              <w:keepLines/>
              <w:tabs>
                <w:tab w:val="left" w:pos="0"/>
              </w:tabs>
              <w:spacing w:line="240" w:lineRule="auto"/>
              <w:ind w:left="113"/>
              <w:jc w:val="left"/>
              <w:rPr>
                <w:rFonts w:ascii="Times New Roman" w:hAnsi="Times New Roman" w:cs="Times New Roman"/>
                <w:color w:val="000000"/>
                <w:sz w:val="24"/>
                <w:szCs w:val="24"/>
              </w:rPr>
            </w:pPr>
            <w:r w:rsidRPr="002B005F">
              <w:rPr>
                <w:rFonts w:ascii="Times New Roman" w:hAnsi="Times New Roman" w:cs="Times New Roman"/>
                <w:color w:val="000000"/>
                <w:sz w:val="24"/>
                <w:szCs w:val="24"/>
              </w:rPr>
              <w:t>31 décembre 2010</w:t>
            </w:r>
          </w:p>
        </w:tc>
        <w:tc>
          <w:tcPr>
            <w:tcW w:w="18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9D41D2" w14:textId="77777777" w:rsidR="002760B2" w:rsidRPr="002B005F" w:rsidRDefault="002760B2" w:rsidP="007B64B9">
            <w:pPr>
              <w:keepNext/>
              <w:keepLines/>
              <w:tabs>
                <w:tab w:val="left" w:pos="0"/>
              </w:tabs>
              <w:spacing w:line="240" w:lineRule="auto"/>
              <w:jc w:val="center"/>
              <w:rPr>
                <w:rFonts w:ascii="Times New Roman" w:hAnsi="Times New Roman" w:cs="Times New Roman"/>
                <w:color w:val="000000"/>
                <w:sz w:val="24"/>
                <w:szCs w:val="24"/>
              </w:rPr>
            </w:pPr>
            <w:r w:rsidRPr="002B005F">
              <w:rPr>
                <w:rFonts w:ascii="Times New Roman" w:hAnsi="Times New Roman" w:cs="Times New Roman"/>
                <w:color w:val="000000"/>
                <w:sz w:val="24"/>
                <w:szCs w:val="24"/>
              </w:rPr>
              <w:t>Planifié</w:t>
            </w:r>
          </w:p>
        </w:tc>
        <w:tc>
          <w:tcPr>
            <w:tcW w:w="470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F2ECBB" w14:textId="77777777" w:rsidR="002760B2" w:rsidRPr="002B005F" w:rsidRDefault="002760B2" w:rsidP="007B64B9">
            <w:pPr>
              <w:keepNext/>
              <w:keepLines/>
              <w:tabs>
                <w:tab w:val="left" w:pos="0"/>
              </w:tabs>
              <w:spacing w:line="240" w:lineRule="auto"/>
              <w:rPr>
                <w:rFonts w:ascii="Times New Roman" w:hAnsi="Times New Roman" w:cs="Times New Roman"/>
                <w:color w:val="000000"/>
                <w:sz w:val="24"/>
                <w:szCs w:val="24"/>
              </w:rPr>
            </w:pPr>
            <w:r w:rsidRPr="002B005F">
              <w:rPr>
                <w:rFonts w:ascii="Times New Roman" w:hAnsi="Times New Roman" w:cs="Times New Roman"/>
                <w:color w:val="000000"/>
                <w:sz w:val="24"/>
                <w:szCs w:val="24"/>
              </w:rPr>
              <w:t>Calibrage des standards développés</w:t>
            </w:r>
          </w:p>
        </w:tc>
      </w:tr>
      <w:tr w:rsidR="002760B2" w:rsidRPr="002B005F" w14:paraId="1885358D" w14:textId="77777777" w:rsidTr="007B64B9">
        <w:trPr>
          <w:trHeight w:val="340"/>
          <w:jc w:val="center"/>
        </w:trPr>
        <w:tc>
          <w:tcPr>
            <w:tcW w:w="25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EF6E48" w14:textId="77777777" w:rsidR="002760B2" w:rsidRPr="002B005F" w:rsidRDefault="002760B2" w:rsidP="007B64B9">
            <w:pPr>
              <w:keepNext/>
              <w:keepLines/>
              <w:tabs>
                <w:tab w:val="left" w:pos="0"/>
              </w:tabs>
              <w:spacing w:line="240" w:lineRule="auto"/>
              <w:ind w:left="113"/>
              <w:jc w:val="left"/>
              <w:rPr>
                <w:rFonts w:ascii="Times New Roman" w:hAnsi="Times New Roman" w:cs="Times New Roman"/>
                <w:color w:val="000000"/>
                <w:sz w:val="24"/>
                <w:szCs w:val="24"/>
              </w:rPr>
            </w:pPr>
            <w:r w:rsidRPr="002B005F">
              <w:rPr>
                <w:rFonts w:ascii="Times New Roman" w:hAnsi="Times New Roman" w:cs="Times New Roman"/>
                <w:color w:val="000000"/>
                <w:sz w:val="24"/>
                <w:szCs w:val="24"/>
              </w:rPr>
              <w:t>31 décembre 2011</w:t>
            </w:r>
          </w:p>
        </w:tc>
        <w:tc>
          <w:tcPr>
            <w:tcW w:w="18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66A8C2" w14:textId="77777777" w:rsidR="002760B2" w:rsidRPr="002B005F" w:rsidRDefault="002760B2" w:rsidP="007B64B9">
            <w:pPr>
              <w:keepNext/>
              <w:keepLines/>
              <w:tabs>
                <w:tab w:val="left" w:pos="0"/>
              </w:tabs>
              <w:spacing w:line="240" w:lineRule="auto"/>
              <w:jc w:val="center"/>
              <w:rPr>
                <w:rFonts w:ascii="Times New Roman" w:hAnsi="Times New Roman" w:cs="Times New Roman"/>
                <w:color w:val="000000"/>
                <w:sz w:val="24"/>
                <w:szCs w:val="24"/>
              </w:rPr>
            </w:pPr>
            <w:r w:rsidRPr="002B005F">
              <w:rPr>
                <w:rFonts w:ascii="Times New Roman" w:hAnsi="Times New Roman" w:cs="Times New Roman"/>
                <w:color w:val="000000"/>
                <w:sz w:val="24"/>
                <w:szCs w:val="24"/>
              </w:rPr>
              <w:t>Planifié</w:t>
            </w:r>
          </w:p>
        </w:tc>
        <w:tc>
          <w:tcPr>
            <w:tcW w:w="470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64E3D4" w14:textId="77777777" w:rsidR="002760B2" w:rsidRPr="002B005F" w:rsidRDefault="002760B2" w:rsidP="007B64B9">
            <w:pPr>
              <w:keepNext/>
              <w:keepLines/>
              <w:tabs>
                <w:tab w:val="left" w:pos="0"/>
              </w:tabs>
              <w:spacing w:line="240" w:lineRule="auto"/>
              <w:rPr>
                <w:rFonts w:ascii="Times New Roman" w:hAnsi="Times New Roman" w:cs="Times New Roman"/>
                <w:color w:val="000000"/>
                <w:sz w:val="24"/>
                <w:szCs w:val="24"/>
              </w:rPr>
            </w:pPr>
            <w:r w:rsidRPr="002B005F">
              <w:rPr>
                <w:rFonts w:ascii="Times New Roman" w:hAnsi="Times New Roman" w:cs="Times New Roman"/>
                <w:color w:val="000000"/>
                <w:sz w:val="24"/>
                <w:szCs w:val="24"/>
              </w:rPr>
              <w:t>Tous les centres financiers du G-20 s'engagent à adopter Bâle III en 2011</w:t>
            </w:r>
          </w:p>
        </w:tc>
      </w:tr>
      <w:tr w:rsidR="002760B2" w:rsidRPr="002B005F" w14:paraId="5C02C0FB" w14:textId="77777777" w:rsidTr="007B64B9">
        <w:trPr>
          <w:trHeight w:val="340"/>
          <w:jc w:val="center"/>
        </w:trPr>
        <w:tc>
          <w:tcPr>
            <w:tcW w:w="25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642DAD" w14:textId="77777777" w:rsidR="002760B2" w:rsidRPr="002B005F" w:rsidRDefault="002760B2" w:rsidP="007B64B9">
            <w:pPr>
              <w:keepNext/>
              <w:keepLines/>
              <w:tabs>
                <w:tab w:val="left" w:pos="0"/>
              </w:tabs>
              <w:spacing w:line="240" w:lineRule="auto"/>
              <w:ind w:left="113"/>
              <w:jc w:val="left"/>
              <w:rPr>
                <w:rFonts w:ascii="Times New Roman" w:hAnsi="Times New Roman" w:cs="Times New Roman"/>
                <w:color w:val="000000"/>
                <w:sz w:val="24"/>
                <w:szCs w:val="24"/>
              </w:rPr>
            </w:pPr>
            <w:r w:rsidRPr="002B005F">
              <w:rPr>
                <w:rFonts w:ascii="Times New Roman" w:hAnsi="Times New Roman" w:cs="Times New Roman"/>
                <w:color w:val="000000"/>
                <w:sz w:val="24"/>
                <w:szCs w:val="24"/>
              </w:rPr>
              <w:t>1</w:t>
            </w:r>
            <w:r w:rsidRPr="002B005F">
              <w:rPr>
                <w:rFonts w:ascii="Times New Roman" w:hAnsi="Times New Roman" w:cs="Times New Roman"/>
                <w:color w:val="000000"/>
                <w:sz w:val="24"/>
                <w:szCs w:val="24"/>
                <w:vertAlign w:val="superscript"/>
              </w:rPr>
              <w:t>er</w:t>
            </w:r>
            <w:r w:rsidRPr="002B005F">
              <w:rPr>
                <w:rFonts w:ascii="Times New Roman" w:hAnsi="Times New Roman" w:cs="Times New Roman"/>
                <w:color w:val="000000"/>
                <w:sz w:val="24"/>
                <w:szCs w:val="24"/>
              </w:rPr>
              <w:t> janvier 2012</w:t>
            </w:r>
          </w:p>
        </w:tc>
        <w:tc>
          <w:tcPr>
            <w:tcW w:w="18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391C51" w14:textId="77777777" w:rsidR="002760B2" w:rsidRPr="002B005F" w:rsidRDefault="002760B2" w:rsidP="007B64B9">
            <w:pPr>
              <w:keepNext/>
              <w:keepLines/>
              <w:tabs>
                <w:tab w:val="left" w:pos="0"/>
              </w:tabs>
              <w:spacing w:line="240" w:lineRule="auto"/>
              <w:jc w:val="center"/>
              <w:rPr>
                <w:rFonts w:ascii="Times New Roman" w:hAnsi="Times New Roman" w:cs="Times New Roman"/>
                <w:color w:val="000000"/>
                <w:sz w:val="24"/>
                <w:szCs w:val="24"/>
              </w:rPr>
            </w:pPr>
            <w:r w:rsidRPr="002B005F">
              <w:rPr>
                <w:rFonts w:ascii="Times New Roman" w:hAnsi="Times New Roman" w:cs="Times New Roman"/>
                <w:color w:val="000000"/>
                <w:sz w:val="24"/>
                <w:szCs w:val="24"/>
              </w:rPr>
              <w:t>Planifié</w:t>
            </w:r>
          </w:p>
        </w:tc>
        <w:tc>
          <w:tcPr>
            <w:tcW w:w="470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001A6D" w14:textId="77777777" w:rsidR="002760B2" w:rsidRPr="002B005F" w:rsidRDefault="002760B2" w:rsidP="007B64B9">
            <w:pPr>
              <w:keepNext/>
              <w:keepLines/>
              <w:tabs>
                <w:tab w:val="left" w:pos="0"/>
              </w:tabs>
              <w:spacing w:line="240" w:lineRule="auto"/>
              <w:rPr>
                <w:rFonts w:ascii="Times New Roman" w:hAnsi="Times New Roman" w:cs="Times New Roman"/>
                <w:color w:val="000000"/>
                <w:sz w:val="24"/>
                <w:szCs w:val="24"/>
              </w:rPr>
            </w:pPr>
            <w:r w:rsidRPr="002B005F">
              <w:rPr>
                <w:rFonts w:ascii="Times New Roman" w:hAnsi="Times New Roman" w:cs="Times New Roman"/>
                <w:color w:val="000000"/>
                <w:sz w:val="24"/>
                <w:szCs w:val="24"/>
              </w:rPr>
              <w:t>Début de la période d'observation</w:t>
            </w:r>
          </w:p>
        </w:tc>
      </w:tr>
      <w:tr w:rsidR="002760B2" w:rsidRPr="002B005F" w14:paraId="19F6193A" w14:textId="77777777" w:rsidTr="007B64B9">
        <w:trPr>
          <w:trHeight w:val="340"/>
          <w:jc w:val="center"/>
        </w:trPr>
        <w:tc>
          <w:tcPr>
            <w:tcW w:w="25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B240E9" w14:textId="77777777" w:rsidR="002760B2" w:rsidRPr="002B005F" w:rsidRDefault="002760B2" w:rsidP="007B64B9">
            <w:pPr>
              <w:keepNext/>
              <w:keepLines/>
              <w:tabs>
                <w:tab w:val="left" w:pos="0"/>
              </w:tabs>
              <w:spacing w:line="240" w:lineRule="auto"/>
              <w:ind w:left="113"/>
              <w:jc w:val="left"/>
              <w:rPr>
                <w:rFonts w:ascii="Times New Roman" w:hAnsi="Times New Roman" w:cs="Times New Roman"/>
                <w:color w:val="000000"/>
                <w:sz w:val="24"/>
                <w:szCs w:val="24"/>
              </w:rPr>
            </w:pPr>
            <w:r w:rsidRPr="002B005F">
              <w:rPr>
                <w:rFonts w:ascii="Times New Roman" w:hAnsi="Times New Roman" w:cs="Times New Roman"/>
                <w:color w:val="000000"/>
                <w:sz w:val="24"/>
                <w:szCs w:val="24"/>
              </w:rPr>
              <w:t>31 décembre 2012</w:t>
            </w:r>
          </w:p>
        </w:tc>
        <w:tc>
          <w:tcPr>
            <w:tcW w:w="18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7121C9" w14:textId="77777777" w:rsidR="002760B2" w:rsidRPr="002B005F" w:rsidRDefault="002760B2" w:rsidP="007B64B9">
            <w:pPr>
              <w:keepNext/>
              <w:keepLines/>
              <w:tabs>
                <w:tab w:val="left" w:pos="0"/>
              </w:tabs>
              <w:spacing w:line="240" w:lineRule="auto"/>
              <w:jc w:val="center"/>
              <w:rPr>
                <w:rFonts w:ascii="Times New Roman" w:hAnsi="Times New Roman" w:cs="Times New Roman"/>
                <w:color w:val="000000"/>
                <w:sz w:val="24"/>
                <w:szCs w:val="24"/>
              </w:rPr>
            </w:pPr>
            <w:r w:rsidRPr="002B005F">
              <w:rPr>
                <w:rFonts w:ascii="Times New Roman" w:hAnsi="Times New Roman" w:cs="Times New Roman"/>
                <w:color w:val="000000"/>
                <w:sz w:val="24"/>
                <w:szCs w:val="24"/>
              </w:rPr>
              <w:t>Tentative</w:t>
            </w:r>
          </w:p>
        </w:tc>
        <w:tc>
          <w:tcPr>
            <w:tcW w:w="470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29C84D" w14:textId="77777777" w:rsidR="002760B2" w:rsidRPr="002B005F" w:rsidRDefault="002760B2" w:rsidP="007B64B9">
            <w:pPr>
              <w:keepNext/>
              <w:keepLines/>
              <w:tabs>
                <w:tab w:val="left" w:pos="0"/>
              </w:tabs>
              <w:spacing w:line="240" w:lineRule="auto"/>
              <w:rPr>
                <w:rFonts w:ascii="Times New Roman" w:hAnsi="Times New Roman" w:cs="Times New Roman"/>
                <w:color w:val="000000"/>
                <w:sz w:val="24"/>
                <w:szCs w:val="24"/>
              </w:rPr>
            </w:pPr>
            <w:r w:rsidRPr="002B005F">
              <w:rPr>
                <w:rFonts w:ascii="Times New Roman" w:hAnsi="Times New Roman" w:cs="Times New Roman"/>
                <w:color w:val="000000"/>
                <w:sz w:val="24"/>
                <w:szCs w:val="24"/>
              </w:rPr>
              <w:t>Objectif d'implémentation de Bâle III</w:t>
            </w:r>
          </w:p>
        </w:tc>
      </w:tr>
      <w:tr w:rsidR="002760B2" w:rsidRPr="002B005F" w14:paraId="515379C9" w14:textId="77777777" w:rsidTr="007B64B9">
        <w:trPr>
          <w:trHeight w:val="340"/>
          <w:jc w:val="center"/>
        </w:trPr>
        <w:tc>
          <w:tcPr>
            <w:tcW w:w="25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3290A1" w14:textId="77777777" w:rsidR="002760B2" w:rsidRPr="002B005F" w:rsidRDefault="002760B2" w:rsidP="007B64B9">
            <w:pPr>
              <w:keepNext/>
              <w:keepLines/>
              <w:tabs>
                <w:tab w:val="left" w:pos="0"/>
              </w:tabs>
              <w:spacing w:line="240" w:lineRule="auto"/>
              <w:ind w:left="113"/>
              <w:jc w:val="left"/>
              <w:rPr>
                <w:rFonts w:ascii="Times New Roman" w:hAnsi="Times New Roman" w:cs="Times New Roman"/>
                <w:color w:val="000000"/>
                <w:sz w:val="24"/>
                <w:szCs w:val="24"/>
              </w:rPr>
            </w:pPr>
            <w:r w:rsidRPr="002B005F">
              <w:rPr>
                <w:rFonts w:ascii="Times New Roman" w:hAnsi="Times New Roman" w:cs="Times New Roman"/>
                <w:color w:val="000000"/>
                <w:sz w:val="24"/>
                <w:szCs w:val="24"/>
              </w:rPr>
              <w:t>1</w:t>
            </w:r>
            <w:r w:rsidRPr="002B005F">
              <w:rPr>
                <w:rFonts w:ascii="Times New Roman" w:hAnsi="Times New Roman" w:cs="Times New Roman"/>
                <w:color w:val="000000"/>
                <w:sz w:val="24"/>
                <w:szCs w:val="24"/>
                <w:vertAlign w:val="superscript"/>
              </w:rPr>
              <w:t>er</w:t>
            </w:r>
            <w:r w:rsidRPr="002B005F">
              <w:rPr>
                <w:rFonts w:ascii="Times New Roman" w:hAnsi="Times New Roman" w:cs="Times New Roman"/>
                <w:color w:val="000000"/>
                <w:sz w:val="24"/>
                <w:szCs w:val="24"/>
              </w:rPr>
              <w:t> janvier 2015</w:t>
            </w:r>
          </w:p>
        </w:tc>
        <w:tc>
          <w:tcPr>
            <w:tcW w:w="18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E319B3" w14:textId="77777777" w:rsidR="002760B2" w:rsidRPr="002B005F" w:rsidRDefault="002760B2" w:rsidP="007B64B9">
            <w:pPr>
              <w:keepNext/>
              <w:keepLines/>
              <w:tabs>
                <w:tab w:val="left" w:pos="0"/>
              </w:tabs>
              <w:spacing w:line="240" w:lineRule="auto"/>
              <w:jc w:val="center"/>
              <w:rPr>
                <w:rFonts w:ascii="Times New Roman" w:hAnsi="Times New Roman" w:cs="Times New Roman"/>
                <w:color w:val="000000"/>
                <w:sz w:val="24"/>
                <w:szCs w:val="24"/>
              </w:rPr>
            </w:pPr>
            <w:r w:rsidRPr="002B005F">
              <w:rPr>
                <w:rFonts w:ascii="Times New Roman" w:hAnsi="Times New Roman" w:cs="Times New Roman"/>
                <w:color w:val="000000"/>
                <w:sz w:val="24"/>
                <w:szCs w:val="24"/>
              </w:rPr>
              <w:t>Planifié</w:t>
            </w:r>
          </w:p>
        </w:tc>
        <w:tc>
          <w:tcPr>
            <w:tcW w:w="470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5DBE1F" w14:textId="77777777" w:rsidR="002760B2" w:rsidRPr="002B005F" w:rsidRDefault="002760B2" w:rsidP="007B64B9">
            <w:pPr>
              <w:keepNext/>
              <w:keepLines/>
              <w:tabs>
                <w:tab w:val="left" w:pos="0"/>
              </w:tabs>
              <w:spacing w:line="240" w:lineRule="auto"/>
              <w:rPr>
                <w:rFonts w:ascii="Times New Roman" w:hAnsi="Times New Roman" w:cs="Times New Roman"/>
                <w:color w:val="000000"/>
                <w:sz w:val="24"/>
                <w:szCs w:val="24"/>
              </w:rPr>
            </w:pPr>
            <w:r w:rsidRPr="002B005F">
              <w:rPr>
                <w:rFonts w:ascii="Times New Roman" w:hAnsi="Times New Roman" w:cs="Times New Roman"/>
                <w:color w:val="000000"/>
                <w:sz w:val="24"/>
                <w:szCs w:val="24"/>
              </w:rPr>
              <w:t>Mise en œuvre réglementaire du LCR</w:t>
            </w:r>
          </w:p>
        </w:tc>
      </w:tr>
      <w:tr w:rsidR="002760B2" w:rsidRPr="002B005F" w14:paraId="57726634" w14:textId="77777777" w:rsidTr="007B64B9">
        <w:trPr>
          <w:trHeight w:val="340"/>
          <w:jc w:val="center"/>
        </w:trPr>
        <w:tc>
          <w:tcPr>
            <w:tcW w:w="25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73FBA6" w14:textId="77777777" w:rsidR="002760B2" w:rsidRPr="002B005F" w:rsidRDefault="002760B2" w:rsidP="007B64B9">
            <w:pPr>
              <w:keepNext/>
              <w:keepLines/>
              <w:tabs>
                <w:tab w:val="left" w:pos="0"/>
              </w:tabs>
              <w:spacing w:line="240" w:lineRule="auto"/>
              <w:ind w:left="113"/>
              <w:jc w:val="left"/>
              <w:rPr>
                <w:rFonts w:ascii="Times New Roman" w:hAnsi="Times New Roman" w:cs="Times New Roman"/>
                <w:color w:val="000000"/>
                <w:sz w:val="24"/>
                <w:szCs w:val="24"/>
              </w:rPr>
            </w:pPr>
            <w:r w:rsidRPr="002B005F">
              <w:rPr>
                <w:rFonts w:ascii="Times New Roman" w:hAnsi="Times New Roman" w:cs="Times New Roman"/>
                <w:color w:val="000000"/>
                <w:sz w:val="24"/>
                <w:szCs w:val="24"/>
              </w:rPr>
              <w:t>1</w:t>
            </w:r>
            <w:r w:rsidRPr="002B005F">
              <w:rPr>
                <w:rFonts w:ascii="Times New Roman" w:hAnsi="Times New Roman" w:cs="Times New Roman"/>
                <w:color w:val="000000"/>
                <w:sz w:val="24"/>
                <w:szCs w:val="24"/>
                <w:vertAlign w:val="superscript"/>
              </w:rPr>
              <w:t>er</w:t>
            </w:r>
            <w:r w:rsidRPr="002B005F">
              <w:rPr>
                <w:rFonts w:ascii="Times New Roman" w:hAnsi="Times New Roman" w:cs="Times New Roman"/>
                <w:color w:val="000000"/>
                <w:sz w:val="24"/>
                <w:szCs w:val="24"/>
              </w:rPr>
              <w:t> janvier 2018</w:t>
            </w:r>
          </w:p>
        </w:tc>
        <w:tc>
          <w:tcPr>
            <w:tcW w:w="18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89CACD" w14:textId="77777777" w:rsidR="002760B2" w:rsidRPr="002B005F" w:rsidRDefault="002760B2" w:rsidP="007B64B9">
            <w:pPr>
              <w:keepNext/>
              <w:keepLines/>
              <w:tabs>
                <w:tab w:val="left" w:pos="0"/>
              </w:tabs>
              <w:spacing w:line="240" w:lineRule="auto"/>
              <w:jc w:val="center"/>
              <w:rPr>
                <w:rFonts w:ascii="Times New Roman" w:hAnsi="Times New Roman" w:cs="Times New Roman"/>
                <w:color w:val="000000"/>
                <w:sz w:val="24"/>
                <w:szCs w:val="24"/>
              </w:rPr>
            </w:pPr>
            <w:r w:rsidRPr="002B005F">
              <w:rPr>
                <w:rFonts w:ascii="Times New Roman" w:hAnsi="Times New Roman" w:cs="Times New Roman"/>
                <w:color w:val="000000"/>
                <w:sz w:val="24"/>
                <w:szCs w:val="24"/>
              </w:rPr>
              <w:t>Planifié</w:t>
            </w:r>
          </w:p>
        </w:tc>
        <w:tc>
          <w:tcPr>
            <w:tcW w:w="470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35D67E" w14:textId="77777777" w:rsidR="002760B2" w:rsidRPr="002B005F" w:rsidRDefault="002760B2" w:rsidP="007B64B9">
            <w:pPr>
              <w:keepNext/>
              <w:keepLines/>
              <w:tabs>
                <w:tab w:val="left" w:pos="0"/>
              </w:tabs>
              <w:spacing w:line="240" w:lineRule="auto"/>
              <w:rPr>
                <w:rFonts w:ascii="Times New Roman" w:hAnsi="Times New Roman" w:cs="Times New Roman"/>
                <w:color w:val="000000"/>
                <w:sz w:val="24"/>
                <w:szCs w:val="24"/>
              </w:rPr>
            </w:pPr>
            <w:r w:rsidRPr="002B005F">
              <w:rPr>
                <w:rFonts w:ascii="Times New Roman" w:hAnsi="Times New Roman" w:cs="Times New Roman"/>
                <w:color w:val="000000"/>
                <w:sz w:val="24"/>
                <w:szCs w:val="24"/>
              </w:rPr>
              <w:t>Mise en œuvre réglementaire du NSFR</w:t>
            </w:r>
          </w:p>
        </w:tc>
      </w:tr>
    </w:tbl>
    <w:p w14:paraId="5AC7CF33" w14:textId="77777777" w:rsidR="002760B2" w:rsidRDefault="002760B2" w:rsidP="007B64B9">
      <w:pPr>
        <w:keepNext/>
        <w:keepLines/>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Pr="002B005F">
        <w:rPr>
          <w:rFonts w:ascii="Times New Roman" w:hAnsi="Times New Roman" w:cs="Times New Roman"/>
          <w:smallCaps/>
          <w:sz w:val="20"/>
          <w:szCs w:val="20"/>
        </w:rPr>
        <w:t>Deloitte Conseil</w:t>
      </w:r>
      <w:r w:rsidR="00002215" w:rsidRPr="002B005F">
        <w:rPr>
          <w:rFonts w:ascii="Times New Roman" w:hAnsi="Times New Roman" w:cs="Times New Roman"/>
          <w:sz w:val="20"/>
          <w:szCs w:val="20"/>
        </w:rPr>
        <w:t xml:space="preserve"> 2013, p. </w:t>
      </w:r>
      <w:r w:rsidRPr="002B005F">
        <w:rPr>
          <w:rFonts w:ascii="Times New Roman" w:hAnsi="Times New Roman" w:cs="Times New Roman"/>
          <w:sz w:val="20"/>
          <w:szCs w:val="20"/>
        </w:rPr>
        <w:t>4.</w:t>
      </w:r>
    </w:p>
    <w:p w14:paraId="00C1E15C" w14:textId="77777777" w:rsidR="006C1230" w:rsidRPr="002B005F" w:rsidRDefault="006C1230" w:rsidP="006C1230">
      <w:pPr>
        <w:tabs>
          <w:tab w:val="left" w:pos="0"/>
        </w:tabs>
        <w:spacing w:line="240" w:lineRule="auto"/>
        <w:jc w:val="center"/>
        <w:rPr>
          <w:rFonts w:ascii="Times New Roman" w:hAnsi="Times New Roman" w:cs="Times New Roman"/>
          <w:sz w:val="20"/>
          <w:szCs w:val="20"/>
        </w:rPr>
      </w:pPr>
    </w:p>
    <w:p w14:paraId="3E64D076" w14:textId="07080CB5" w:rsidR="002760B2" w:rsidRPr="002B005F" w:rsidRDefault="00265E19" w:rsidP="007B64B9">
      <w:pPr>
        <w:pStyle w:val="Titre3"/>
        <w:keepNext w:val="0"/>
        <w:keepLines w:val="0"/>
        <w:spacing w:before="0" w:after="100" w:afterAutospacing="1"/>
        <w:ind w:firstLine="709"/>
      </w:pPr>
      <w:bookmarkStart w:id="951" w:name="_Toc33263311"/>
      <w:bookmarkStart w:id="952" w:name="_Toc37664574"/>
      <w:bookmarkStart w:id="953" w:name="_Toc37666419"/>
      <w:bookmarkStart w:id="954" w:name="_Toc54363308"/>
      <w:bookmarkStart w:id="955" w:name="_Toc58606304"/>
      <w:bookmarkStart w:id="956" w:name="_Toc61263509"/>
      <w:bookmarkStart w:id="957" w:name="_Toc182298763"/>
      <w:r w:rsidRPr="00440944">
        <w:t>2.7</w:t>
      </w:r>
      <w:r w:rsidR="007E00C2" w:rsidRPr="00440944">
        <w:t xml:space="preserve">- </w:t>
      </w:r>
      <w:r w:rsidR="00C66C20" w:rsidRPr="00440944">
        <w:t>A</w:t>
      </w:r>
      <w:r w:rsidR="002760B2" w:rsidRPr="00440944">
        <w:t>mbivalences de la finance conventionnell</w:t>
      </w:r>
      <w:r w:rsidR="00DA699C" w:rsidRPr="00440944">
        <w:t xml:space="preserve">e en matière de gestion des </w:t>
      </w:r>
      <w:r w:rsidR="002760B2" w:rsidRPr="00440944">
        <w:t>risques</w:t>
      </w:r>
      <w:bookmarkEnd w:id="951"/>
      <w:bookmarkEnd w:id="952"/>
      <w:bookmarkEnd w:id="953"/>
      <w:bookmarkEnd w:id="954"/>
      <w:bookmarkEnd w:id="955"/>
      <w:bookmarkEnd w:id="956"/>
      <w:bookmarkEnd w:id="957"/>
    </w:p>
    <w:p w14:paraId="3C9E1F27" w14:textId="77777777" w:rsidR="002760B2" w:rsidRPr="002B005F" w:rsidRDefault="002760B2" w:rsidP="007B64B9">
      <w:pPr>
        <w:tabs>
          <w:tab w:val="left" w:pos="0"/>
        </w:tabs>
        <w:spacing w:before="120" w:after="120" w:line="300" w:lineRule="auto"/>
        <w:ind w:firstLine="709"/>
        <w:rPr>
          <w:rFonts w:ascii="Times New Roman" w:hAnsi="Times New Roman" w:cs="Times New Roman"/>
          <w:spacing w:val="-4"/>
          <w:sz w:val="24"/>
          <w:szCs w:val="24"/>
        </w:rPr>
      </w:pPr>
      <w:r w:rsidRPr="002B005F">
        <w:rPr>
          <w:rFonts w:ascii="Times New Roman" w:hAnsi="Times New Roman" w:cs="Times New Roman"/>
          <w:spacing w:val="-4"/>
          <w:sz w:val="24"/>
          <w:szCs w:val="24"/>
        </w:rPr>
        <w:t xml:space="preserve">La crise financière </w:t>
      </w:r>
      <w:r w:rsidR="00440944">
        <w:rPr>
          <w:rFonts w:ascii="Times New Roman" w:hAnsi="Times New Roman" w:cs="Times New Roman"/>
          <w:spacing w:val="-4"/>
          <w:sz w:val="24"/>
          <w:szCs w:val="24"/>
        </w:rPr>
        <w:t xml:space="preserve">de 2007 </w:t>
      </w:r>
      <w:r w:rsidRPr="002B005F">
        <w:rPr>
          <w:rFonts w:ascii="Times New Roman" w:hAnsi="Times New Roman" w:cs="Times New Roman"/>
          <w:spacing w:val="-4"/>
          <w:sz w:val="24"/>
          <w:szCs w:val="24"/>
        </w:rPr>
        <w:t xml:space="preserve">a explosé les faiblesses et les contradictions fondamentales du système économique capitaliste qui a dirigé l’économie depuis longtemps. Ce système est fondé </w:t>
      </w:r>
      <w:r w:rsidRPr="002B005F">
        <w:rPr>
          <w:rFonts w:ascii="Times New Roman" w:hAnsi="Times New Roman" w:cs="Times New Roman"/>
          <w:spacing w:val="-4"/>
          <w:sz w:val="24"/>
          <w:szCs w:val="24"/>
        </w:rPr>
        <w:lastRenderedPageBreak/>
        <w:t>strictement sur un principe crucial qui est la maximisation du profit et</w:t>
      </w:r>
      <w:r w:rsidR="00657D75">
        <w:rPr>
          <w:rFonts w:ascii="Times New Roman" w:hAnsi="Times New Roman" w:cs="Times New Roman"/>
          <w:spacing w:val="-4"/>
          <w:sz w:val="24"/>
          <w:szCs w:val="24"/>
        </w:rPr>
        <w:t>,</w:t>
      </w:r>
      <w:r w:rsidRPr="002B005F">
        <w:rPr>
          <w:rFonts w:ascii="Times New Roman" w:hAnsi="Times New Roman" w:cs="Times New Roman"/>
          <w:spacing w:val="-4"/>
          <w:sz w:val="24"/>
          <w:szCs w:val="24"/>
        </w:rPr>
        <w:t xml:space="preserve"> ce principe est bien évidement constaté dans les expressions utilisées par les célèbres capitalistes libéraux comme, « la fin justifie les moyens », « business is business », « laissez-faire</w:t>
      </w:r>
      <w:r w:rsidR="00D211E0" w:rsidRPr="002B005F">
        <w:rPr>
          <w:rFonts w:ascii="Times New Roman" w:hAnsi="Times New Roman" w:cs="Times New Roman"/>
          <w:spacing w:val="-4"/>
          <w:sz w:val="24"/>
          <w:szCs w:val="24"/>
        </w:rPr>
        <w:t>, laissez-passer ».</w:t>
      </w:r>
    </w:p>
    <w:p w14:paraId="191DDE4E" w14:textId="77777777" w:rsidR="002760B2" w:rsidRPr="002B005F" w:rsidRDefault="002760B2" w:rsidP="00440944">
      <w:pPr>
        <w:pStyle w:val="Paragraphedeliste"/>
        <w:tabs>
          <w:tab w:val="left" w:pos="0"/>
        </w:tabs>
        <w:spacing w:before="120" w:after="120" w:line="300" w:lineRule="auto"/>
        <w:ind w:left="0" w:firstLine="709"/>
        <w:contextualSpacing w:val="0"/>
        <w:rPr>
          <w:rFonts w:ascii="Times New Roman" w:hAnsi="Times New Roman" w:cs="Times New Roman"/>
          <w:sz w:val="24"/>
          <w:szCs w:val="24"/>
        </w:rPr>
      </w:pPr>
      <w:r w:rsidRPr="00440944">
        <w:rPr>
          <w:rFonts w:ascii="Times New Roman" w:hAnsi="Times New Roman" w:cs="Times New Roman"/>
          <w:sz w:val="24"/>
          <w:szCs w:val="24"/>
        </w:rPr>
        <w:t>Plusieurs analystes</w:t>
      </w:r>
      <w:r w:rsidRPr="002B005F">
        <w:rPr>
          <w:rFonts w:ascii="Times New Roman" w:hAnsi="Times New Roman" w:cs="Times New Roman"/>
          <w:sz w:val="24"/>
          <w:szCs w:val="24"/>
        </w:rPr>
        <w:t xml:space="preserve"> se sont précipités à mettre le capitalisme sur le banc des accusés après son échec d’éviter l’aggravation et la propagation de la crise que nous traversons et des crises qui l’ont précédé. Ils considèrent ce système comme la source des dysfonctionnements de la sphère financière et économique.</w:t>
      </w:r>
    </w:p>
    <w:p w14:paraId="29E62696" w14:textId="77777777" w:rsidR="002760B2" w:rsidRPr="002B005F" w:rsidRDefault="00265E19" w:rsidP="00C86447">
      <w:pPr>
        <w:pStyle w:val="Titre4"/>
        <w:keepNext w:val="0"/>
        <w:spacing w:before="120" w:after="120" w:line="300" w:lineRule="auto"/>
        <w:ind w:firstLine="709"/>
      </w:pPr>
      <w:bookmarkStart w:id="958" w:name="_Toc33263312"/>
      <w:bookmarkStart w:id="959" w:name="_Toc37664575"/>
      <w:bookmarkStart w:id="960" w:name="_Toc37666420"/>
      <w:bookmarkStart w:id="961" w:name="_Toc54363309"/>
      <w:bookmarkStart w:id="962" w:name="_Toc58606305"/>
      <w:bookmarkStart w:id="963" w:name="_Toc61263510"/>
      <w:bookmarkStart w:id="964" w:name="_Toc182298764"/>
      <w:r>
        <w:t xml:space="preserve">2.7.1- </w:t>
      </w:r>
      <w:r w:rsidR="002760B2" w:rsidRPr="002B005F">
        <w:t xml:space="preserve">Critiques d’un point de vue </w:t>
      </w:r>
      <w:bookmarkEnd w:id="958"/>
      <w:bookmarkEnd w:id="959"/>
      <w:bookmarkEnd w:id="960"/>
      <w:bookmarkEnd w:id="961"/>
      <w:bookmarkEnd w:id="962"/>
      <w:bookmarkEnd w:id="963"/>
      <w:r w:rsidR="00440944">
        <w:t>non islamique</w:t>
      </w:r>
      <w:bookmarkEnd w:id="964"/>
    </w:p>
    <w:p w14:paraId="7D631092" w14:textId="77777777" w:rsidR="002760B2" w:rsidRPr="002F0A97" w:rsidRDefault="002760B2" w:rsidP="002F0A97">
      <w:pPr>
        <w:pStyle w:val="Paragraphedeliste"/>
        <w:tabs>
          <w:tab w:val="left" w:pos="0"/>
        </w:tabs>
        <w:spacing w:before="120" w:line="300" w:lineRule="auto"/>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Les métamorphoses du système financier se sont manifestées par la création de nouveaux instruments financiers qui ont pour but la couverture contre les différents risques. C’est le cas des produits dérivés dont le rôle premier est de transférer les risques entre les agents économiques. Ces instruments peuvent être des instruments efficaces de couverture contre les risques mais</w:t>
      </w:r>
      <w:r w:rsidR="00657D75" w:rsidRPr="002F0A97">
        <w:rPr>
          <w:rFonts w:ascii="Times New Roman" w:hAnsi="Times New Roman" w:cs="Times New Roman"/>
          <w:kern w:val="24"/>
          <w:sz w:val="24"/>
          <w:szCs w:val="24"/>
        </w:rPr>
        <w:t>,</w:t>
      </w:r>
      <w:r w:rsidRPr="002F0A97">
        <w:rPr>
          <w:rFonts w:ascii="Times New Roman" w:hAnsi="Times New Roman" w:cs="Times New Roman"/>
          <w:kern w:val="24"/>
          <w:sz w:val="24"/>
          <w:szCs w:val="24"/>
        </w:rPr>
        <w:t xml:space="preserve"> ces derniers peuvent être un important facteur d’instabilité</w:t>
      </w:r>
      <w:r w:rsidRPr="002F0A97">
        <w:rPr>
          <w:rStyle w:val="Appelnotedebasdep"/>
          <w:rFonts w:ascii="Times New Roman" w:hAnsi="Times New Roman"/>
          <w:kern w:val="24"/>
          <w:sz w:val="24"/>
          <w:szCs w:val="24"/>
        </w:rPr>
        <w:footnoteReference w:id="226"/>
      </w:r>
      <w:r w:rsidRPr="002F0A97">
        <w:rPr>
          <w:rFonts w:ascii="Times New Roman" w:hAnsi="Times New Roman" w:cs="Times New Roman"/>
          <w:kern w:val="24"/>
          <w:sz w:val="24"/>
          <w:szCs w:val="24"/>
        </w:rPr>
        <w:t>.</w:t>
      </w:r>
    </w:p>
    <w:p w14:paraId="5C7FA733" w14:textId="77777777" w:rsidR="002760B2" w:rsidRPr="002F0A97" w:rsidRDefault="002760B2" w:rsidP="002F0A97">
      <w:pPr>
        <w:pStyle w:val="Paragraphedeliste"/>
        <w:tabs>
          <w:tab w:val="left" w:pos="0"/>
        </w:tabs>
        <w:spacing w:before="120" w:line="300" w:lineRule="auto"/>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 xml:space="preserve">D’un côté, parce qu’ils représentent l’un des principaux leviers à la disposition des spéculateurs, comme l’a bien montré George </w:t>
      </w:r>
      <w:r w:rsidRPr="002F0A97">
        <w:rPr>
          <w:rFonts w:ascii="Times New Roman" w:hAnsi="Times New Roman" w:cs="Times New Roman"/>
          <w:smallCaps/>
          <w:kern w:val="24"/>
          <w:sz w:val="24"/>
          <w:szCs w:val="24"/>
        </w:rPr>
        <w:t>S</w:t>
      </w:r>
      <w:r w:rsidR="00440944" w:rsidRPr="002F0A97">
        <w:rPr>
          <w:rFonts w:ascii="Times New Roman" w:hAnsi="Times New Roman" w:cs="Times New Roman"/>
          <w:smallCaps/>
          <w:kern w:val="24"/>
          <w:sz w:val="24"/>
          <w:szCs w:val="24"/>
        </w:rPr>
        <w:t>o</w:t>
      </w:r>
      <w:r w:rsidRPr="002F0A97">
        <w:rPr>
          <w:rFonts w:ascii="Times New Roman" w:hAnsi="Times New Roman" w:cs="Times New Roman"/>
          <w:smallCaps/>
          <w:kern w:val="24"/>
          <w:sz w:val="24"/>
          <w:szCs w:val="24"/>
        </w:rPr>
        <w:t>ros</w:t>
      </w:r>
      <w:r w:rsidRPr="002F0A97">
        <w:rPr>
          <w:rStyle w:val="Appelnotedebasdep"/>
          <w:rFonts w:ascii="Times New Roman" w:hAnsi="Times New Roman"/>
          <w:kern w:val="24"/>
          <w:sz w:val="24"/>
          <w:szCs w:val="24"/>
        </w:rPr>
        <w:footnoteReference w:id="227"/>
      </w:r>
      <w:r w:rsidRPr="002F0A97">
        <w:rPr>
          <w:rFonts w:ascii="Times New Roman" w:hAnsi="Times New Roman" w:cs="Times New Roman"/>
          <w:kern w:val="24"/>
          <w:sz w:val="24"/>
          <w:szCs w:val="24"/>
        </w:rPr>
        <w:t xml:space="preserve"> qui déclarait : « </w:t>
      </w:r>
      <w:r w:rsidRPr="002F0A97">
        <w:rPr>
          <w:rFonts w:ascii="Times New Roman" w:hAnsi="Times New Roman" w:cs="Times New Roman"/>
          <w:i/>
          <w:iCs/>
          <w:kern w:val="24"/>
          <w:sz w:val="24"/>
          <w:szCs w:val="24"/>
        </w:rPr>
        <w:t>Si j’avais pu recommencer, j’aurais encore mieux spéculé</w:t>
      </w:r>
      <w:r w:rsidRPr="002F0A97">
        <w:rPr>
          <w:rFonts w:ascii="Times New Roman" w:hAnsi="Times New Roman" w:cs="Times New Roman"/>
          <w:kern w:val="24"/>
          <w:sz w:val="24"/>
          <w:szCs w:val="24"/>
        </w:rPr>
        <w:t> »</w:t>
      </w:r>
      <w:r w:rsidRPr="002F0A97">
        <w:rPr>
          <w:rStyle w:val="Appelnotedebasdep"/>
          <w:rFonts w:ascii="Times New Roman" w:hAnsi="Times New Roman"/>
          <w:kern w:val="24"/>
          <w:sz w:val="24"/>
          <w:szCs w:val="24"/>
        </w:rPr>
        <w:footnoteReference w:id="228"/>
      </w:r>
      <w:r w:rsidRPr="002F0A97">
        <w:rPr>
          <w:rFonts w:ascii="Times New Roman" w:hAnsi="Times New Roman" w:cs="Times New Roman"/>
          <w:kern w:val="24"/>
          <w:sz w:val="24"/>
          <w:szCs w:val="24"/>
        </w:rPr>
        <w:t>. D’un autre côté, ces instruments peuvent conduire à de nouvelles formes d’instabilité de nature systémique.</w:t>
      </w:r>
    </w:p>
    <w:p w14:paraId="283E3A9A" w14:textId="77777777" w:rsidR="002760B2" w:rsidRPr="002F0A97" w:rsidRDefault="002760B2" w:rsidP="002F0A97">
      <w:pPr>
        <w:pStyle w:val="Paragraphedeliste"/>
        <w:tabs>
          <w:tab w:val="left" w:pos="0"/>
        </w:tabs>
        <w:spacing w:before="120" w:line="300" w:lineRule="auto"/>
        <w:ind w:left="0" w:firstLine="709"/>
        <w:contextualSpacing w:val="0"/>
        <w:rPr>
          <w:rFonts w:ascii="Times New Roman" w:hAnsi="Times New Roman" w:cs="Times New Roman"/>
          <w:kern w:val="24"/>
          <w:sz w:val="24"/>
          <w:szCs w:val="24"/>
        </w:rPr>
      </w:pPr>
      <w:r w:rsidRPr="002F0A97">
        <w:rPr>
          <w:rFonts w:ascii="Times New Roman" w:hAnsi="Times New Roman" w:cs="Times New Roman"/>
          <w:kern w:val="24"/>
          <w:sz w:val="24"/>
          <w:szCs w:val="24"/>
        </w:rPr>
        <w:t>D’ailleurs, les dispositions réglementaires ont été considérées comme la source d’effets pervers sur le système financier</w:t>
      </w:r>
      <w:r w:rsidRPr="002F0A97">
        <w:rPr>
          <w:rStyle w:val="Appelnotedebasdep"/>
          <w:rFonts w:ascii="Times New Roman" w:hAnsi="Times New Roman"/>
          <w:kern w:val="24"/>
          <w:sz w:val="24"/>
          <w:szCs w:val="24"/>
        </w:rPr>
        <w:footnoteReference w:id="229"/>
      </w:r>
      <w:r w:rsidRPr="002F0A97">
        <w:rPr>
          <w:rFonts w:ascii="Times New Roman" w:hAnsi="Times New Roman" w:cs="Times New Roman"/>
          <w:kern w:val="24"/>
          <w:sz w:val="24"/>
          <w:szCs w:val="24"/>
        </w:rPr>
        <w:t>. Les régulateurs ont cédé la liberté aux banques pour développer hors de leur contrôle une nouvelle gamme de produits financiers qui servent à supprimer le risque en le dispersant et en le morcelant.</w:t>
      </w:r>
    </w:p>
    <w:p w14:paraId="765AEF13" w14:textId="42C9DF6E" w:rsidR="002760B2" w:rsidRPr="002F0A97" w:rsidRDefault="002760B2" w:rsidP="002F0A97">
      <w:pPr>
        <w:tabs>
          <w:tab w:val="left" w:pos="0"/>
        </w:tabs>
        <w:spacing w:before="120" w:line="300" w:lineRule="auto"/>
        <w:ind w:firstLine="709"/>
        <w:rPr>
          <w:rFonts w:ascii="Times New Roman" w:hAnsi="Times New Roman" w:cs="Times New Roman"/>
          <w:kern w:val="24"/>
          <w:sz w:val="24"/>
          <w:szCs w:val="24"/>
        </w:rPr>
      </w:pPr>
      <w:r w:rsidRPr="002F0A97">
        <w:rPr>
          <w:rFonts w:ascii="Times New Roman" w:hAnsi="Times New Roman" w:cs="Times New Roman"/>
          <w:kern w:val="24"/>
          <w:sz w:val="24"/>
          <w:szCs w:val="24"/>
        </w:rPr>
        <w:t xml:space="preserve">Ainsi, les agences de notations ne jouent pas leur rôle de contrôle ces dernières années. Ces </w:t>
      </w:r>
      <w:r w:rsidR="00440944" w:rsidRPr="002F0A97">
        <w:rPr>
          <w:rFonts w:ascii="Times New Roman" w:hAnsi="Times New Roman" w:cs="Times New Roman"/>
          <w:kern w:val="24"/>
          <w:sz w:val="24"/>
          <w:szCs w:val="24"/>
        </w:rPr>
        <w:t>agences</w:t>
      </w:r>
      <w:r w:rsidRPr="002F0A97">
        <w:rPr>
          <w:rFonts w:ascii="Times New Roman" w:hAnsi="Times New Roman" w:cs="Times New Roman"/>
          <w:kern w:val="24"/>
          <w:sz w:val="24"/>
          <w:szCs w:val="24"/>
        </w:rPr>
        <w:t xml:space="preserve"> doivent en principe contribuer à rendre l’information financière transparente entre l’émetteur et l’acheteur d’un actif. De fait, les notations financières se sont souvent avérées défectueuses</w:t>
      </w:r>
      <w:r w:rsidRPr="002F0A97">
        <w:rPr>
          <w:rStyle w:val="Appelnotedebasdep"/>
          <w:rFonts w:ascii="Times New Roman" w:hAnsi="Times New Roman"/>
          <w:kern w:val="24"/>
          <w:sz w:val="24"/>
          <w:szCs w:val="24"/>
        </w:rPr>
        <w:footnoteReference w:id="230"/>
      </w:r>
      <w:r w:rsidRPr="002F0A97">
        <w:rPr>
          <w:rFonts w:ascii="Times New Roman" w:hAnsi="Times New Roman" w:cs="Times New Roman"/>
          <w:kern w:val="24"/>
          <w:sz w:val="24"/>
          <w:szCs w:val="24"/>
        </w:rPr>
        <w:t xml:space="preserve">. Le cas des </w:t>
      </w:r>
      <w:r w:rsidR="00002215" w:rsidRPr="002F0A97">
        <w:rPr>
          <w:rFonts w:ascii="Times New Roman" w:hAnsi="Times New Roman" w:cs="Times New Roman"/>
          <w:i/>
          <w:iCs/>
          <w:kern w:val="24"/>
          <w:sz w:val="24"/>
          <w:szCs w:val="24"/>
        </w:rPr>
        <w:t>Subprimes</w:t>
      </w:r>
      <w:r w:rsidRPr="002F0A97">
        <w:rPr>
          <w:rFonts w:ascii="Times New Roman" w:hAnsi="Times New Roman" w:cs="Times New Roman"/>
          <w:kern w:val="24"/>
          <w:sz w:val="24"/>
          <w:szCs w:val="24"/>
        </w:rPr>
        <w:t xml:space="preserve"> a montré l’inefficacité du rôle des agences de notation. </w:t>
      </w:r>
      <w:r w:rsidR="007E00C2" w:rsidRPr="002F0A97">
        <w:rPr>
          <w:rFonts w:ascii="Times New Roman" w:hAnsi="Times New Roman" w:cs="Times New Roman"/>
          <w:kern w:val="24"/>
          <w:sz w:val="24"/>
          <w:szCs w:val="24"/>
        </w:rPr>
        <w:t>Des notes excellentes (AAA)</w:t>
      </w:r>
      <w:r w:rsidR="007E00C2" w:rsidRPr="002F0A97">
        <w:rPr>
          <w:rStyle w:val="Appelnotedebasdep"/>
          <w:rFonts w:ascii="Times New Roman" w:hAnsi="Times New Roman"/>
          <w:kern w:val="24"/>
          <w:sz w:val="24"/>
          <w:szCs w:val="24"/>
        </w:rPr>
        <w:footnoteReference w:id="231"/>
      </w:r>
      <w:r w:rsidR="007E00C2" w:rsidRPr="002F0A97">
        <w:rPr>
          <w:rFonts w:ascii="Times New Roman" w:hAnsi="Times New Roman" w:cs="Times New Roman"/>
          <w:kern w:val="24"/>
          <w:sz w:val="24"/>
          <w:szCs w:val="24"/>
        </w:rPr>
        <w:t xml:space="preserve"> ont été attribuées à des titres à base de </w:t>
      </w:r>
      <w:r w:rsidR="00002215" w:rsidRPr="002F0A97">
        <w:rPr>
          <w:rFonts w:ascii="Times New Roman" w:hAnsi="Times New Roman" w:cs="Times New Roman"/>
          <w:i/>
          <w:iCs/>
          <w:kern w:val="24"/>
          <w:sz w:val="24"/>
          <w:szCs w:val="24"/>
        </w:rPr>
        <w:t>S</w:t>
      </w:r>
      <w:r w:rsidR="000D7704" w:rsidRPr="002F0A97">
        <w:rPr>
          <w:rFonts w:ascii="Times New Roman" w:hAnsi="Times New Roman" w:cs="Times New Roman"/>
          <w:i/>
          <w:iCs/>
          <w:kern w:val="24"/>
          <w:sz w:val="24"/>
          <w:szCs w:val="24"/>
        </w:rPr>
        <w:t>ubprimes</w:t>
      </w:r>
      <w:r w:rsidR="007E00C2" w:rsidRPr="002F0A97">
        <w:rPr>
          <w:rFonts w:ascii="Times New Roman" w:hAnsi="Times New Roman" w:cs="Times New Roman"/>
          <w:kern w:val="24"/>
          <w:sz w:val="24"/>
          <w:szCs w:val="24"/>
        </w:rPr>
        <w:t xml:space="preserve"> pourtant très risqués. Le fonctionnement des agences de notation doit être amélioré car elles ont perdu de </w:t>
      </w:r>
      <w:r w:rsidR="00CF4DA7">
        <w:rPr>
          <w:rFonts w:ascii="Times New Roman" w:hAnsi="Times New Roman" w:cs="Times New Roman"/>
          <w:kern w:val="24"/>
          <w:sz w:val="24"/>
          <w:szCs w:val="24"/>
        </w:rPr>
        <w:t xml:space="preserve">leur </w:t>
      </w:r>
      <w:r w:rsidR="007E00C2" w:rsidRPr="002F0A97">
        <w:rPr>
          <w:rFonts w:ascii="Times New Roman" w:hAnsi="Times New Roman" w:cs="Times New Roman"/>
          <w:kern w:val="24"/>
          <w:sz w:val="24"/>
          <w:szCs w:val="24"/>
        </w:rPr>
        <w:t>réputation</w:t>
      </w:r>
      <w:r w:rsidR="007C37F5" w:rsidRPr="002F0A97">
        <w:rPr>
          <w:rFonts w:ascii="Times New Roman" w:hAnsi="Times New Roman" w:cs="Times New Roman"/>
          <w:kern w:val="24"/>
          <w:sz w:val="24"/>
          <w:szCs w:val="24"/>
        </w:rPr>
        <w:t>. L</w:t>
      </w:r>
      <w:r w:rsidR="007E00C2" w:rsidRPr="002F0A97">
        <w:rPr>
          <w:rFonts w:ascii="Times New Roman" w:hAnsi="Times New Roman" w:cs="Times New Roman"/>
          <w:kern w:val="24"/>
          <w:sz w:val="24"/>
          <w:szCs w:val="24"/>
        </w:rPr>
        <w:t xml:space="preserve">es réglementations </w:t>
      </w:r>
      <w:r w:rsidR="00CF4DA7">
        <w:rPr>
          <w:rFonts w:ascii="Times New Roman" w:hAnsi="Times New Roman" w:cs="Times New Roman"/>
          <w:kern w:val="24"/>
          <w:sz w:val="24"/>
          <w:szCs w:val="24"/>
        </w:rPr>
        <w:t>tentent</w:t>
      </w:r>
      <w:r w:rsidR="007E00C2" w:rsidRPr="002F0A97">
        <w:rPr>
          <w:rFonts w:ascii="Times New Roman" w:hAnsi="Times New Roman" w:cs="Times New Roman"/>
          <w:kern w:val="24"/>
          <w:sz w:val="24"/>
          <w:szCs w:val="24"/>
        </w:rPr>
        <w:t xml:space="preserve"> de rétablir la confiance entre les agents économiques pour qu’ils connaissent le risque associé à certains actifs financiers.</w:t>
      </w:r>
    </w:p>
    <w:p w14:paraId="19929089" w14:textId="77777777" w:rsidR="002760B2" w:rsidRPr="008E2909" w:rsidRDefault="00265E19" w:rsidP="007B64B9">
      <w:pPr>
        <w:pStyle w:val="Titre4"/>
        <w:keepNext w:val="0"/>
        <w:spacing w:before="100" w:beforeAutospacing="1" w:after="120" w:line="300" w:lineRule="auto"/>
        <w:ind w:firstLine="709"/>
      </w:pPr>
      <w:bookmarkStart w:id="965" w:name="_Toc33263313"/>
      <w:bookmarkStart w:id="966" w:name="_Toc37664576"/>
      <w:bookmarkStart w:id="967" w:name="_Toc37666421"/>
      <w:bookmarkStart w:id="968" w:name="_Toc54363310"/>
      <w:bookmarkStart w:id="969" w:name="_Toc58606306"/>
      <w:bookmarkStart w:id="970" w:name="_Toc61263511"/>
      <w:bookmarkStart w:id="971" w:name="_Toc182298765"/>
      <w:r w:rsidRPr="008E2909">
        <w:t xml:space="preserve">2.7.2- </w:t>
      </w:r>
      <w:r w:rsidR="002760B2" w:rsidRPr="008E2909">
        <w:t xml:space="preserve">Critiques d’un point de vue </w:t>
      </w:r>
      <w:r w:rsidR="00505EDD" w:rsidRPr="008E2909">
        <w:t>i</w:t>
      </w:r>
      <w:r w:rsidR="003773C6" w:rsidRPr="008E2909">
        <w:t>slamique</w:t>
      </w:r>
      <w:bookmarkEnd w:id="965"/>
      <w:bookmarkEnd w:id="966"/>
      <w:bookmarkEnd w:id="967"/>
      <w:bookmarkEnd w:id="968"/>
      <w:bookmarkEnd w:id="969"/>
      <w:bookmarkEnd w:id="970"/>
      <w:bookmarkEnd w:id="971"/>
    </w:p>
    <w:p w14:paraId="26BF8926" w14:textId="77777777" w:rsidR="002760B2" w:rsidRPr="008E2909" w:rsidRDefault="002760B2" w:rsidP="00C86447">
      <w:pPr>
        <w:tabs>
          <w:tab w:val="left" w:pos="0"/>
        </w:tabs>
        <w:spacing w:before="120" w:after="120" w:line="300" w:lineRule="auto"/>
        <w:ind w:firstLine="709"/>
        <w:rPr>
          <w:rFonts w:ascii="Times New Roman" w:hAnsi="Times New Roman" w:cs="Times New Roman"/>
          <w:spacing w:val="6"/>
          <w:sz w:val="24"/>
          <w:szCs w:val="24"/>
        </w:rPr>
      </w:pPr>
      <w:r w:rsidRPr="008E2909">
        <w:rPr>
          <w:rFonts w:ascii="Times New Roman" w:hAnsi="Times New Roman" w:cs="Times New Roman"/>
          <w:spacing w:val="6"/>
          <w:sz w:val="24"/>
          <w:szCs w:val="24"/>
        </w:rPr>
        <w:lastRenderedPageBreak/>
        <w:t xml:space="preserve">D’un point de vue </w:t>
      </w:r>
      <w:r w:rsidR="00505EDD" w:rsidRPr="008E2909">
        <w:rPr>
          <w:rFonts w:ascii="Times New Roman" w:hAnsi="Times New Roman" w:cs="Times New Roman"/>
          <w:spacing w:val="6"/>
          <w:sz w:val="24"/>
          <w:szCs w:val="24"/>
        </w:rPr>
        <w:t>i</w:t>
      </w:r>
      <w:r w:rsidR="003773C6" w:rsidRPr="008E2909">
        <w:rPr>
          <w:rFonts w:ascii="Times New Roman" w:hAnsi="Times New Roman" w:cs="Times New Roman"/>
          <w:spacing w:val="6"/>
          <w:sz w:val="24"/>
          <w:szCs w:val="24"/>
        </w:rPr>
        <w:t>slamique</w:t>
      </w:r>
      <w:r w:rsidRPr="008E2909">
        <w:rPr>
          <w:rFonts w:ascii="Times New Roman" w:hAnsi="Times New Roman" w:cs="Times New Roman"/>
          <w:spacing w:val="6"/>
          <w:sz w:val="24"/>
          <w:szCs w:val="24"/>
        </w:rPr>
        <w:t xml:space="preserve"> basé sur les valeurs éthiques, les principaux facteurs qui ont conduit à la déficience des différentes pratiques de gestion de risque peuvent être les suivants :</w:t>
      </w:r>
    </w:p>
    <w:p w14:paraId="1CFD452F" w14:textId="77777777" w:rsidR="002760B2" w:rsidRPr="00B56D39" w:rsidRDefault="00C5790E" w:rsidP="00CF4DA7">
      <w:pPr>
        <w:pStyle w:val="Titre5"/>
        <w:keepNext w:val="0"/>
        <w:keepLines w:val="0"/>
        <w:spacing w:before="100" w:beforeAutospacing="1" w:after="120" w:line="300" w:lineRule="auto"/>
        <w:ind w:firstLine="709"/>
        <w:rPr>
          <w:rFonts w:asciiTheme="majorBidi" w:hAnsiTheme="majorBidi"/>
          <w:b/>
          <w:bCs/>
          <w:color w:val="auto"/>
          <w:sz w:val="24"/>
          <w:szCs w:val="24"/>
        </w:rPr>
      </w:pPr>
      <w:bookmarkStart w:id="972" w:name="_Toc182298766"/>
      <w:r w:rsidRPr="00B56D39">
        <w:rPr>
          <w:rFonts w:asciiTheme="majorBidi" w:hAnsiTheme="majorBidi"/>
          <w:b/>
          <w:bCs/>
          <w:color w:val="auto"/>
          <w:sz w:val="24"/>
          <w:szCs w:val="24"/>
        </w:rPr>
        <w:t>2.7.2.1- P</w:t>
      </w:r>
      <w:r w:rsidR="002760B2" w:rsidRPr="00B56D39">
        <w:rPr>
          <w:rFonts w:asciiTheme="majorBidi" w:hAnsiTheme="majorBidi"/>
          <w:b/>
          <w:bCs/>
          <w:color w:val="auto"/>
          <w:sz w:val="24"/>
          <w:szCs w:val="24"/>
        </w:rPr>
        <w:t>ratique d</w:t>
      </w:r>
      <w:r w:rsidR="00CB79CC" w:rsidRPr="00B56D39">
        <w:rPr>
          <w:rFonts w:asciiTheme="majorBidi" w:hAnsiTheme="majorBidi"/>
          <w:b/>
          <w:bCs/>
          <w:color w:val="auto"/>
          <w:sz w:val="24"/>
          <w:szCs w:val="24"/>
        </w:rPr>
        <w:t>u taux d’intérêt</w:t>
      </w:r>
      <w:bookmarkEnd w:id="972"/>
    </w:p>
    <w:p w14:paraId="3B53CF67" w14:textId="77777777" w:rsidR="002760B2" w:rsidRPr="008E2909" w:rsidRDefault="002760B2" w:rsidP="00C86447">
      <w:pPr>
        <w:pStyle w:val="Paragraphedeliste"/>
        <w:tabs>
          <w:tab w:val="left" w:pos="0"/>
        </w:tabs>
        <w:spacing w:before="120" w:after="120" w:line="300" w:lineRule="auto"/>
        <w:ind w:left="0" w:firstLine="709"/>
        <w:contextualSpacing w:val="0"/>
        <w:rPr>
          <w:rFonts w:ascii="Times New Roman" w:hAnsi="Times New Roman" w:cs="Times New Roman"/>
          <w:spacing w:val="6"/>
          <w:sz w:val="24"/>
          <w:szCs w:val="24"/>
        </w:rPr>
      </w:pPr>
      <w:r w:rsidRPr="008E2909">
        <w:rPr>
          <w:rFonts w:ascii="Times New Roman" w:hAnsi="Times New Roman" w:cs="Times New Roman"/>
          <w:spacing w:val="6"/>
          <w:sz w:val="24"/>
          <w:szCs w:val="24"/>
        </w:rPr>
        <w:t xml:space="preserve">Selon le docteur </w:t>
      </w:r>
      <w:r w:rsidRPr="008E2909">
        <w:rPr>
          <w:rFonts w:ascii="Times New Roman" w:hAnsi="Times New Roman" w:cs="Times New Roman"/>
          <w:smallCaps/>
          <w:spacing w:val="6"/>
          <w:sz w:val="24"/>
          <w:szCs w:val="24"/>
        </w:rPr>
        <w:t>Khan</w:t>
      </w:r>
      <w:r w:rsidRPr="008E2909">
        <w:rPr>
          <w:rFonts w:ascii="Times New Roman" w:hAnsi="Times New Roman" w:cs="Times New Roman"/>
          <w:spacing w:val="6"/>
          <w:sz w:val="24"/>
          <w:szCs w:val="24"/>
        </w:rPr>
        <w:t xml:space="preserve"> (2008), l’intérêt est sans doute le facteur majeur qui a provoqué les différentes crises financières</w:t>
      </w:r>
      <w:r w:rsidRPr="008E2909">
        <w:rPr>
          <w:rStyle w:val="Appelnotedebasdep"/>
          <w:rFonts w:ascii="Times New Roman" w:hAnsi="Times New Roman"/>
          <w:spacing w:val="6"/>
          <w:sz w:val="24"/>
          <w:szCs w:val="24"/>
        </w:rPr>
        <w:footnoteReference w:id="232"/>
      </w:r>
      <w:r w:rsidRPr="008E2909">
        <w:rPr>
          <w:rFonts w:ascii="Times New Roman" w:hAnsi="Times New Roman" w:cs="Times New Roman"/>
          <w:spacing w:val="6"/>
          <w:sz w:val="24"/>
          <w:szCs w:val="24"/>
        </w:rPr>
        <w:t xml:space="preserve">. La prohibition </w:t>
      </w:r>
      <w:r w:rsidR="007C37F5" w:rsidRPr="008E2909">
        <w:rPr>
          <w:rFonts w:ascii="Times New Roman" w:hAnsi="Times New Roman" w:cs="Times New Roman"/>
          <w:spacing w:val="6"/>
          <w:sz w:val="24"/>
          <w:szCs w:val="24"/>
        </w:rPr>
        <w:t>de</w:t>
      </w:r>
      <w:r w:rsidR="00440944" w:rsidRPr="008E2909">
        <w:rPr>
          <w:rFonts w:ascii="Times New Roman" w:hAnsi="Times New Roman" w:cs="Times New Roman"/>
          <w:spacing w:val="6"/>
          <w:sz w:val="24"/>
          <w:szCs w:val="24"/>
        </w:rPr>
        <w:t>s</w:t>
      </w:r>
      <w:r w:rsidR="007C37F5" w:rsidRPr="008E2909">
        <w:rPr>
          <w:rFonts w:ascii="Times New Roman" w:hAnsi="Times New Roman" w:cs="Times New Roman"/>
          <w:spacing w:val="6"/>
          <w:sz w:val="24"/>
          <w:szCs w:val="24"/>
        </w:rPr>
        <w:t xml:space="preserve"> </w:t>
      </w:r>
      <w:r w:rsidRPr="008E2909">
        <w:rPr>
          <w:rFonts w:ascii="Times New Roman" w:hAnsi="Times New Roman" w:cs="Times New Roman"/>
          <w:spacing w:val="6"/>
          <w:sz w:val="24"/>
          <w:szCs w:val="24"/>
        </w:rPr>
        <w:t>prêt</w:t>
      </w:r>
      <w:r w:rsidR="00440944" w:rsidRPr="008E2909">
        <w:rPr>
          <w:rFonts w:ascii="Times New Roman" w:hAnsi="Times New Roman" w:cs="Times New Roman"/>
          <w:spacing w:val="6"/>
          <w:sz w:val="24"/>
          <w:szCs w:val="24"/>
        </w:rPr>
        <w:t>s</w:t>
      </w:r>
      <w:r w:rsidRPr="008E2909">
        <w:rPr>
          <w:rFonts w:ascii="Times New Roman" w:hAnsi="Times New Roman" w:cs="Times New Roman"/>
          <w:spacing w:val="6"/>
          <w:sz w:val="24"/>
          <w:szCs w:val="24"/>
        </w:rPr>
        <w:t xml:space="preserve"> à intérêt qui est le principe fondamental des financements </w:t>
      </w:r>
      <w:r w:rsidR="00505EDD" w:rsidRPr="008E2909">
        <w:rPr>
          <w:rFonts w:ascii="Times New Roman" w:hAnsi="Times New Roman" w:cs="Times New Roman"/>
          <w:spacing w:val="6"/>
          <w:sz w:val="24"/>
          <w:szCs w:val="24"/>
        </w:rPr>
        <w:t>i</w:t>
      </w:r>
      <w:r w:rsidR="003773C6" w:rsidRPr="008E2909">
        <w:rPr>
          <w:rFonts w:ascii="Times New Roman" w:hAnsi="Times New Roman" w:cs="Times New Roman"/>
          <w:spacing w:val="6"/>
          <w:sz w:val="24"/>
          <w:szCs w:val="24"/>
        </w:rPr>
        <w:t>slamique</w:t>
      </w:r>
      <w:r w:rsidRPr="008E2909">
        <w:rPr>
          <w:rFonts w:ascii="Times New Roman" w:hAnsi="Times New Roman" w:cs="Times New Roman"/>
          <w:spacing w:val="6"/>
          <w:sz w:val="24"/>
          <w:szCs w:val="24"/>
        </w:rPr>
        <w:t xml:space="preserve">s peut éviter les déséquilibres économiques. L’étude empirique réalisée par </w:t>
      </w:r>
      <w:r w:rsidRPr="008E2909">
        <w:rPr>
          <w:rFonts w:ascii="Times New Roman" w:hAnsi="Times New Roman" w:cs="Times New Roman"/>
          <w:smallCaps/>
          <w:spacing w:val="6"/>
          <w:sz w:val="24"/>
          <w:szCs w:val="24"/>
        </w:rPr>
        <w:t>Mirakhor</w:t>
      </w:r>
      <w:r w:rsidRPr="008E2909">
        <w:rPr>
          <w:rFonts w:ascii="Times New Roman" w:hAnsi="Times New Roman" w:cs="Times New Roman"/>
          <w:spacing w:val="6"/>
          <w:sz w:val="24"/>
          <w:szCs w:val="24"/>
        </w:rPr>
        <w:t xml:space="preserve"> (1988)</w:t>
      </w:r>
      <w:r w:rsidRPr="008E2909">
        <w:rPr>
          <w:rStyle w:val="Appelnotedebasdep"/>
          <w:rFonts w:ascii="Times New Roman" w:hAnsi="Times New Roman"/>
          <w:spacing w:val="6"/>
          <w:sz w:val="24"/>
          <w:szCs w:val="24"/>
        </w:rPr>
        <w:footnoteReference w:id="233"/>
      </w:r>
      <w:r w:rsidRPr="008E2909">
        <w:rPr>
          <w:rFonts w:ascii="Times New Roman" w:hAnsi="Times New Roman" w:cs="Times New Roman"/>
          <w:spacing w:val="6"/>
          <w:sz w:val="24"/>
          <w:szCs w:val="24"/>
        </w:rPr>
        <w:t xml:space="preserve"> a confirmé qu’une économie non basée sur l’intérêt peut atteindre son équilibre. Il suggère que le taux de bénéfice sur les actifs financiers doit être déterminé sur la base des rendements réalisés en investissant dans un secteur réel.</w:t>
      </w:r>
    </w:p>
    <w:p w14:paraId="19486628" w14:textId="77777777" w:rsidR="002760B2" w:rsidRPr="00B56D39" w:rsidRDefault="00C5790E" w:rsidP="00CF4DA7">
      <w:pPr>
        <w:pStyle w:val="Titre5"/>
        <w:keepNext w:val="0"/>
        <w:keepLines w:val="0"/>
        <w:spacing w:before="100" w:beforeAutospacing="1" w:after="120" w:line="300" w:lineRule="auto"/>
        <w:ind w:firstLine="709"/>
        <w:rPr>
          <w:rFonts w:asciiTheme="majorBidi" w:hAnsiTheme="majorBidi"/>
          <w:b/>
          <w:bCs/>
          <w:color w:val="auto"/>
          <w:sz w:val="24"/>
          <w:szCs w:val="24"/>
        </w:rPr>
      </w:pPr>
      <w:bookmarkStart w:id="973" w:name="_Toc182298767"/>
      <w:r w:rsidRPr="00B56D39">
        <w:rPr>
          <w:rFonts w:asciiTheme="majorBidi" w:hAnsiTheme="majorBidi"/>
          <w:b/>
          <w:bCs/>
          <w:color w:val="auto"/>
          <w:sz w:val="24"/>
          <w:szCs w:val="24"/>
        </w:rPr>
        <w:t>2.7.2.2- A</w:t>
      </w:r>
      <w:r w:rsidR="002760B2" w:rsidRPr="00B56D39">
        <w:rPr>
          <w:rFonts w:asciiTheme="majorBidi" w:hAnsiTheme="majorBidi"/>
          <w:b/>
          <w:bCs/>
          <w:color w:val="auto"/>
          <w:sz w:val="24"/>
          <w:szCs w:val="24"/>
        </w:rPr>
        <w:t>ct</w:t>
      </w:r>
      <w:r w:rsidR="00CB79CC" w:rsidRPr="00B56D39">
        <w:rPr>
          <w:rFonts w:asciiTheme="majorBidi" w:hAnsiTheme="majorBidi"/>
          <w:b/>
          <w:bCs/>
          <w:color w:val="auto"/>
          <w:sz w:val="24"/>
          <w:szCs w:val="24"/>
        </w:rPr>
        <w:t>ivités financières incertaines</w:t>
      </w:r>
      <w:bookmarkEnd w:id="973"/>
    </w:p>
    <w:p w14:paraId="0983C7CE" w14:textId="77777777" w:rsidR="002760B2" w:rsidRPr="008E2909" w:rsidRDefault="002760B2" w:rsidP="00C86447">
      <w:pPr>
        <w:tabs>
          <w:tab w:val="left" w:pos="0"/>
        </w:tabs>
        <w:spacing w:before="120" w:after="120" w:line="300" w:lineRule="auto"/>
        <w:ind w:firstLine="709"/>
        <w:rPr>
          <w:rFonts w:ascii="Times New Roman" w:hAnsi="Times New Roman" w:cs="Times New Roman"/>
          <w:spacing w:val="6"/>
          <w:sz w:val="24"/>
          <w:szCs w:val="24"/>
        </w:rPr>
      </w:pPr>
      <w:r w:rsidRPr="008E2909">
        <w:rPr>
          <w:rFonts w:ascii="Times New Roman" w:hAnsi="Times New Roman" w:cs="Times New Roman"/>
          <w:spacing w:val="6"/>
          <w:sz w:val="24"/>
          <w:szCs w:val="24"/>
        </w:rPr>
        <w:t>Les marchés financiers sembleraient être un casino où s’effectuent des opérations financières incertaines qui ne contribuent pas à créer une richesse additionnelle. La spéculation est une opération financière basée sur les anticipations des investisseurs comptant sur le facteur de la chance. Cette opération peut créer une sous</w:t>
      </w:r>
      <w:r w:rsidR="007C37F5" w:rsidRPr="008E2909">
        <w:rPr>
          <w:rFonts w:ascii="Times New Roman" w:hAnsi="Times New Roman" w:cs="Times New Roman"/>
          <w:spacing w:val="6"/>
          <w:sz w:val="24"/>
          <w:szCs w:val="24"/>
        </w:rPr>
        <w:t>-</w:t>
      </w:r>
      <w:r w:rsidRPr="008E2909">
        <w:rPr>
          <w:rFonts w:ascii="Times New Roman" w:hAnsi="Times New Roman" w:cs="Times New Roman"/>
          <w:spacing w:val="6"/>
          <w:sz w:val="24"/>
          <w:szCs w:val="24"/>
        </w:rPr>
        <w:t xml:space="preserve">(sur)évaluation des risques. Selon </w:t>
      </w:r>
      <w:r w:rsidRPr="008E2909">
        <w:rPr>
          <w:rFonts w:ascii="Times New Roman" w:hAnsi="Times New Roman" w:cs="Times New Roman"/>
          <w:smallCaps/>
          <w:spacing w:val="6"/>
          <w:sz w:val="24"/>
          <w:szCs w:val="24"/>
        </w:rPr>
        <w:t>Siddiqi</w:t>
      </w:r>
      <w:r w:rsidRPr="008E2909">
        <w:rPr>
          <w:rFonts w:ascii="Times New Roman" w:hAnsi="Times New Roman" w:cs="Times New Roman"/>
          <w:spacing w:val="6"/>
          <w:sz w:val="24"/>
          <w:szCs w:val="24"/>
        </w:rPr>
        <w:t xml:space="preserve"> (2008), les produits dérivés sont un jeu à somme nulle, c’est-à-dire une partie gagne ce que perd la contrepartie</w:t>
      </w:r>
      <w:r w:rsidRPr="008E2909">
        <w:rPr>
          <w:rStyle w:val="Appelnotedebasdep"/>
          <w:rFonts w:ascii="Times New Roman" w:hAnsi="Times New Roman"/>
          <w:spacing w:val="6"/>
          <w:sz w:val="24"/>
          <w:szCs w:val="24"/>
        </w:rPr>
        <w:footnoteReference w:id="234"/>
      </w:r>
      <w:r w:rsidRPr="008E2909">
        <w:rPr>
          <w:rFonts w:ascii="Times New Roman" w:hAnsi="Times New Roman" w:cs="Times New Roman"/>
          <w:spacing w:val="6"/>
          <w:sz w:val="24"/>
          <w:szCs w:val="24"/>
        </w:rPr>
        <w:t>. En recourant à ces pratiques, les investisseurs évaluent les risques et les rendements sur la base des anticipations et non pas à travers des analyses financières fiables.</w:t>
      </w:r>
    </w:p>
    <w:p w14:paraId="1F94D0F3" w14:textId="77777777" w:rsidR="002760B2" w:rsidRPr="00B56D39" w:rsidRDefault="00C5790E" w:rsidP="00CF4DA7">
      <w:pPr>
        <w:pStyle w:val="Titre5"/>
        <w:keepNext w:val="0"/>
        <w:keepLines w:val="0"/>
        <w:spacing w:before="100" w:beforeAutospacing="1" w:after="120" w:line="300" w:lineRule="auto"/>
        <w:ind w:firstLine="709"/>
        <w:rPr>
          <w:rFonts w:asciiTheme="majorBidi" w:hAnsiTheme="majorBidi"/>
          <w:b/>
          <w:bCs/>
          <w:color w:val="auto"/>
          <w:sz w:val="24"/>
          <w:szCs w:val="24"/>
        </w:rPr>
      </w:pPr>
      <w:bookmarkStart w:id="974" w:name="_Toc182298768"/>
      <w:r w:rsidRPr="00B56D39">
        <w:rPr>
          <w:rFonts w:asciiTheme="majorBidi" w:hAnsiTheme="majorBidi"/>
          <w:b/>
          <w:bCs/>
          <w:color w:val="auto"/>
          <w:sz w:val="24"/>
          <w:szCs w:val="24"/>
        </w:rPr>
        <w:t>2.7.2.3- V</w:t>
      </w:r>
      <w:r w:rsidR="002760B2" w:rsidRPr="00B56D39">
        <w:rPr>
          <w:rFonts w:asciiTheme="majorBidi" w:hAnsiTheme="majorBidi"/>
          <w:b/>
          <w:bCs/>
          <w:color w:val="auto"/>
          <w:sz w:val="24"/>
          <w:szCs w:val="24"/>
        </w:rPr>
        <w:t>ent</w:t>
      </w:r>
      <w:r w:rsidR="00CB79CC" w:rsidRPr="00B56D39">
        <w:rPr>
          <w:rFonts w:asciiTheme="majorBidi" w:hAnsiTheme="majorBidi"/>
          <w:b/>
          <w:bCs/>
          <w:color w:val="auto"/>
          <w:sz w:val="24"/>
          <w:szCs w:val="24"/>
        </w:rPr>
        <w:t>e de la dette contre une dette</w:t>
      </w:r>
      <w:bookmarkEnd w:id="974"/>
    </w:p>
    <w:p w14:paraId="2B20CD13" w14:textId="77777777" w:rsidR="002760B2" w:rsidRPr="008E2909" w:rsidRDefault="002760B2" w:rsidP="00C86447">
      <w:pPr>
        <w:tabs>
          <w:tab w:val="left" w:pos="0"/>
        </w:tabs>
        <w:spacing w:before="120" w:after="120" w:line="300" w:lineRule="auto"/>
        <w:ind w:firstLine="709"/>
        <w:rPr>
          <w:rFonts w:ascii="Times New Roman" w:hAnsi="Times New Roman" w:cs="Times New Roman"/>
          <w:spacing w:val="6"/>
          <w:sz w:val="24"/>
          <w:szCs w:val="24"/>
        </w:rPr>
      </w:pPr>
      <w:r w:rsidRPr="008E2909">
        <w:rPr>
          <w:rFonts w:ascii="Times New Roman" w:hAnsi="Times New Roman" w:cs="Times New Roman"/>
          <w:spacing w:val="6"/>
          <w:sz w:val="24"/>
          <w:szCs w:val="24"/>
        </w:rPr>
        <w:t>Le secteur bancaire et financier actuel repose sur une gigantesque pyramide de dette. Le problème a commencé lorsque ces dettes (créances) ont commencé à être transférées en créant des titres de créances qui peuvent être négociés sur le marché financier.</w:t>
      </w:r>
    </w:p>
    <w:p w14:paraId="246820BB" w14:textId="6A7A6B8E" w:rsidR="002760B2" w:rsidRDefault="002760B2" w:rsidP="00C86447">
      <w:pPr>
        <w:pStyle w:val="Paragraphedeliste"/>
        <w:tabs>
          <w:tab w:val="left" w:pos="0"/>
        </w:tabs>
        <w:spacing w:before="120" w:after="120" w:line="300" w:lineRule="auto"/>
        <w:ind w:left="0" w:firstLine="709"/>
        <w:contextualSpacing w:val="0"/>
        <w:rPr>
          <w:rFonts w:ascii="Times New Roman" w:hAnsi="Times New Roman" w:cs="Times New Roman"/>
          <w:spacing w:val="6"/>
          <w:sz w:val="24"/>
          <w:szCs w:val="24"/>
        </w:rPr>
      </w:pPr>
      <w:r w:rsidRPr="008E2909">
        <w:rPr>
          <w:rFonts w:ascii="Times New Roman" w:hAnsi="Times New Roman" w:cs="Times New Roman"/>
          <w:spacing w:val="6"/>
          <w:sz w:val="24"/>
          <w:szCs w:val="24"/>
        </w:rPr>
        <w:t xml:space="preserve">Les fondements </w:t>
      </w:r>
      <w:r w:rsidR="00505EDD" w:rsidRPr="008E2909">
        <w:rPr>
          <w:rFonts w:ascii="Times New Roman" w:hAnsi="Times New Roman" w:cs="Times New Roman"/>
          <w:spacing w:val="6"/>
          <w:sz w:val="24"/>
          <w:szCs w:val="24"/>
        </w:rPr>
        <w:t>i</w:t>
      </w:r>
      <w:r w:rsidR="003773C6" w:rsidRPr="008E2909">
        <w:rPr>
          <w:rFonts w:ascii="Times New Roman" w:hAnsi="Times New Roman" w:cs="Times New Roman"/>
          <w:spacing w:val="6"/>
          <w:sz w:val="24"/>
          <w:szCs w:val="24"/>
        </w:rPr>
        <w:t>slamique</w:t>
      </w:r>
      <w:r w:rsidRPr="008E2909">
        <w:rPr>
          <w:rFonts w:ascii="Times New Roman" w:hAnsi="Times New Roman" w:cs="Times New Roman"/>
          <w:spacing w:val="6"/>
          <w:sz w:val="24"/>
          <w:szCs w:val="24"/>
        </w:rPr>
        <w:t>s ne sont pas contre le financement par dette</w:t>
      </w:r>
      <w:r w:rsidR="00440944" w:rsidRPr="008E2909">
        <w:rPr>
          <w:rFonts w:ascii="Times New Roman" w:hAnsi="Times New Roman" w:cs="Times New Roman"/>
          <w:spacing w:val="6"/>
          <w:sz w:val="24"/>
          <w:szCs w:val="24"/>
        </w:rPr>
        <w:t>s</w:t>
      </w:r>
      <w:r w:rsidRPr="008E2909">
        <w:rPr>
          <w:rFonts w:ascii="Times New Roman" w:hAnsi="Times New Roman" w:cs="Times New Roman"/>
          <w:spacing w:val="6"/>
          <w:sz w:val="24"/>
          <w:szCs w:val="24"/>
        </w:rPr>
        <w:t xml:space="preserve"> tant que ceci est effectué dans un cadre de prohibition de l’intérêt. Mais, la vente d’une dette implique la vente (transfert) du risque</w:t>
      </w:r>
      <w:r w:rsidR="007C37F5" w:rsidRPr="008E2909">
        <w:rPr>
          <w:rFonts w:ascii="Times New Roman" w:hAnsi="Times New Roman" w:cs="Times New Roman"/>
          <w:spacing w:val="6"/>
          <w:sz w:val="24"/>
          <w:szCs w:val="24"/>
        </w:rPr>
        <w:t> ;</w:t>
      </w:r>
      <w:r w:rsidRPr="008E2909">
        <w:rPr>
          <w:rFonts w:ascii="Times New Roman" w:hAnsi="Times New Roman" w:cs="Times New Roman"/>
          <w:spacing w:val="6"/>
          <w:sz w:val="24"/>
          <w:szCs w:val="24"/>
        </w:rPr>
        <w:t xml:space="preserve"> ce qui est contraire au principe du partage du risque imposé par</w:t>
      </w:r>
      <w:r w:rsidR="00440944" w:rsidRPr="008E2909">
        <w:rPr>
          <w:rFonts w:ascii="Times New Roman" w:hAnsi="Times New Roman" w:cs="Times New Roman"/>
          <w:spacing w:val="6"/>
          <w:sz w:val="24"/>
          <w:szCs w:val="24"/>
        </w:rPr>
        <w:t xml:space="preserv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8E2909">
        <w:rPr>
          <w:rFonts w:ascii="Times New Roman" w:hAnsi="Times New Roman" w:cs="Times New Roman"/>
          <w:spacing w:val="6"/>
          <w:sz w:val="24"/>
          <w:szCs w:val="24"/>
        </w:rPr>
        <w:t>.</w:t>
      </w:r>
    </w:p>
    <w:p w14:paraId="5D5BE0FB" w14:textId="77777777" w:rsidR="00C86447" w:rsidRPr="008E2909" w:rsidRDefault="00C86447" w:rsidP="00C86447">
      <w:pPr>
        <w:pStyle w:val="Paragraphedeliste"/>
        <w:tabs>
          <w:tab w:val="left" w:pos="0"/>
        </w:tabs>
        <w:spacing w:before="120" w:after="120" w:line="300" w:lineRule="auto"/>
        <w:ind w:left="0" w:firstLine="709"/>
        <w:contextualSpacing w:val="0"/>
        <w:rPr>
          <w:rFonts w:ascii="Times New Roman" w:hAnsi="Times New Roman" w:cs="Times New Roman"/>
          <w:spacing w:val="6"/>
          <w:sz w:val="24"/>
          <w:szCs w:val="24"/>
        </w:rPr>
      </w:pPr>
    </w:p>
    <w:p w14:paraId="49BC5CB5" w14:textId="77777777" w:rsidR="002760B2" w:rsidRPr="00414F3C" w:rsidRDefault="00D211E0" w:rsidP="00CF4DA7">
      <w:pPr>
        <w:pStyle w:val="Titre2"/>
        <w:suppressAutoHyphens/>
        <w:spacing w:before="100" w:beforeAutospacing="1" w:after="100" w:afterAutospacing="1" w:line="300" w:lineRule="auto"/>
        <w:ind w:firstLine="709"/>
        <w:rPr>
          <w:rFonts w:cstheme="majorBidi"/>
          <w:i w:val="0"/>
          <w:iCs w:val="0"/>
          <w:kern w:val="24"/>
          <w:sz w:val="28"/>
        </w:rPr>
      </w:pPr>
      <w:bookmarkStart w:id="975" w:name="_Toc33263314"/>
      <w:bookmarkStart w:id="976" w:name="_Toc33264116"/>
      <w:bookmarkStart w:id="977" w:name="_Toc37664577"/>
      <w:bookmarkStart w:id="978" w:name="_Toc37666422"/>
      <w:bookmarkStart w:id="979" w:name="_Toc37667318"/>
      <w:bookmarkStart w:id="980" w:name="_Toc54361028"/>
      <w:bookmarkStart w:id="981" w:name="_Toc54361676"/>
      <w:bookmarkStart w:id="982" w:name="_Toc54363311"/>
      <w:bookmarkStart w:id="983" w:name="_Toc57901026"/>
      <w:bookmarkStart w:id="984" w:name="_Toc58261927"/>
      <w:bookmarkStart w:id="985" w:name="_Toc58606307"/>
      <w:bookmarkStart w:id="986" w:name="_Toc61263512"/>
      <w:bookmarkStart w:id="987" w:name="_Toc116257064"/>
      <w:bookmarkStart w:id="988" w:name="_Toc182298769"/>
      <w:bookmarkStart w:id="989" w:name="_Toc182309388"/>
      <w:r w:rsidRPr="00414F3C">
        <w:rPr>
          <w:rFonts w:cstheme="majorBidi"/>
          <w:i w:val="0"/>
          <w:iCs w:val="0"/>
          <w:kern w:val="24"/>
          <w:sz w:val="28"/>
        </w:rPr>
        <w:lastRenderedPageBreak/>
        <w:t>Section III-</w:t>
      </w:r>
      <w:r w:rsidR="00C66C20" w:rsidRPr="00414F3C">
        <w:rPr>
          <w:rFonts w:cstheme="majorBidi"/>
          <w:i w:val="0"/>
          <w:iCs w:val="0"/>
          <w:kern w:val="24"/>
          <w:sz w:val="28"/>
        </w:rPr>
        <w:t xml:space="preserve"> G</w:t>
      </w:r>
      <w:r w:rsidR="002760B2" w:rsidRPr="00414F3C">
        <w:rPr>
          <w:rFonts w:cstheme="majorBidi"/>
          <w:i w:val="0"/>
          <w:iCs w:val="0"/>
          <w:kern w:val="24"/>
          <w:sz w:val="28"/>
        </w:rPr>
        <w:t xml:space="preserve">estion des risques dans les banques </w:t>
      </w:r>
      <w:r w:rsidR="00AA2221" w:rsidRPr="00414F3C">
        <w:rPr>
          <w:rFonts w:cstheme="majorBidi"/>
          <w:i w:val="0"/>
          <w:iCs w:val="0"/>
          <w:kern w:val="24"/>
          <w:sz w:val="28"/>
        </w:rPr>
        <w:t>i</w:t>
      </w:r>
      <w:r w:rsidR="003773C6" w:rsidRPr="00414F3C">
        <w:rPr>
          <w:rFonts w:cstheme="majorBidi"/>
          <w:i w:val="0"/>
          <w:iCs w:val="0"/>
          <w:kern w:val="24"/>
          <w:sz w:val="28"/>
        </w:rPr>
        <w:t>slamique</w:t>
      </w:r>
      <w:r w:rsidR="002760B2" w:rsidRPr="00414F3C">
        <w:rPr>
          <w:rFonts w:cstheme="majorBidi"/>
          <w:i w:val="0"/>
          <w:iCs w:val="0"/>
          <w:kern w:val="24"/>
          <w:sz w:val="28"/>
        </w:rPr>
        <w:t>s</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5A3D5D20" w14:textId="559EBDD4" w:rsidR="002760B2" w:rsidRPr="00414F3C" w:rsidRDefault="002760B2" w:rsidP="00CF4DA7">
      <w:pPr>
        <w:pStyle w:val="Paragraphedeliste"/>
        <w:keepNext/>
        <w:tabs>
          <w:tab w:val="left" w:pos="0"/>
          <w:tab w:val="left" w:pos="6521"/>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Les </w:t>
      </w:r>
      <w:r w:rsidR="00CF4DA7">
        <w:rPr>
          <w:rFonts w:asciiTheme="majorBidi" w:hAnsiTheme="majorBidi" w:cstheme="majorBidi"/>
          <w:kern w:val="24"/>
          <w:sz w:val="24"/>
          <w:szCs w:val="24"/>
        </w:rPr>
        <w:t>BI</w:t>
      </w:r>
      <w:r w:rsidRPr="00414F3C">
        <w:rPr>
          <w:rFonts w:asciiTheme="majorBidi" w:hAnsiTheme="majorBidi" w:cstheme="majorBidi"/>
          <w:kern w:val="24"/>
          <w:sz w:val="24"/>
          <w:szCs w:val="24"/>
        </w:rPr>
        <w:t xml:space="preserve"> doivent faire face aux risques traditionnels des banques conventionnelles</w:t>
      </w:r>
      <w:r w:rsidR="007C67FD"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w:t>
      </w:r>
      <w:r w:rsidR="007C67FD" w:rsidRPr="00414F3C">
        <w:rPr>
          <w:rFonts w:asciiTheme="majorBidi" w:hAnsiTheme="majorBidi" w:cstheme="majorBidi"/>
          <w:kern w:val="24"/>
          <w:sz w:val="24"/>
          <w:szCs w:val="24"/>
        </w:rPr>
        <w:t>Cependant</w:t>
      </w:r>
      <w:r w:rsidRPr="00414F3C">
        <w:rPr>
          <w:rFonts w:asciiTheme="majorBidi" w:hAnsiTheme="majorBidi" w:cstheme="majorBidi"/>
          <w:kern w:val="24"/>
          <w:sz w:val="24"/>
          <w:szCs w:val="24"/>
        </w:rPr>
        <w:t xml:space="preserve">, leur recours aux principes de la </w:t>
      </w:r>
      <w:r w:rsidR="00A5400B" w:rsidRPr="00414F3C">
        <w:rPr>
          <w:rFonts w:asciiTheme="majorBidi" w:hAnsiTheme="majorBidi" w:cstheme="majorBidi"/>
          <w:i/>
          <w:kern w:val="24"/>
          <w:sz w:val="24"/>
          <w:szCs w:val="24"/>
        </w:rPr>
        <w:t>Shariah</w:t>
      </w:r>
      <w:r w:rsidRPr="00414F3C">
        <w:rPr>
          <w:rFonts w:asciiTheme="majorBidi" w:hAnsiTheme="majorBidi" w:cstheme="majorBidi"/>
          <w:kern w:val="24"/>
          <w:sz w:val="24"/>
          <w:szCs w:val="24"/>
        </w:rPr>
        <w:t xml:space="preserve"> les oblige à créer des modalités de couverture différentes. </w:t>
      </w:r>
      <w:r w:rsidR="00263365" w:rsidRPr="00414F3C">
        <w:rPr>
          <w:rFonts w:asciiTheme="majorBidi" w:hAnsiTheme="majorBidi" w:cstheme="majorBidi"/>
          <w:kern w:val="24"/>
          <w:sz w:val="24"/>
          <w:szCs w:val="24"/>
        </w:rPr>
        <w:t>Elles</w:t>
      </w:r>
      <w:r w:rsidR="00CF4DA7">
        <w:rPr>
          <w:rFonts w:asciiTheme="majorBidi" w:hAnsiTheme="majorBidi" w:cstheme="majorBidi"/>
          <w:kern w:val="24"/>
          <w:sz w:val="24"/>
          <w:szCs w:val="24"/>
        </w:rPr>
        <w:t xml:space="preserve"> font</w:t>
      </w:r>
      <w:r w:rsidRPr="00414F3C">
        <w:rPr>
          <w:rFonts w:asciiTheme="majorBidi" w:hAnsiTheme="majorBidi" w:cstheme="majorBidi"/>
          <w:kern w:val="24"/>
          <w:sz w:val="24"/>
          <w:szCs w:val="24"/>
        </w:rPr>
        <w:t xml:space="preserve"> également face à une catégorie de risques spécifiques à cause de la particularité des contrats utilisés du système dual de gouvernance et du système de rémunération employé.</w:t>
      </w:r>
      <w:r w:rsidR="00263365"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 xml:space="preserve">Selon </w:t>
      </w:r>
      <w:r w:rsidRPr="00414F3C">
        <w:rPr>
          <w:rFonts w:asciiTheme="majorBidi" w:hAnsiTheme="majorBidi" w:cstheme="majorBidi"/>
          <w:smallCaps/>
          <w:kern w:val="24"/>
          <w:sz w:val="24"/>
          <w:szCs w:val="24"/>
        </w:rPr>
        <w:t>Sundarajan</w:t>
      </w:r>
      <w:r w:rsidR="000D7704"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 </w:t>
      </w:r>
      <w:r w:rsidRPr="00414F3C">
        <w:rPr>
          <w:rFonts w:asciiTheme="majorBidi" w:hAnsiTheme="majorBidi" w:cstheme="majorBidi"/>
          <w:i/>
          <w:iCs/>
          <w:kern w:val="24"/>
          <w:sz w:val="24"/>
          <w:szCs w:val="24"/>
        </w:rPr>
        <w:t>la gestion des risques doit être renforcée au niveau de ces institutions… C’est parce que les IFI font face à un mélange unique de risques qui se pose à la fois de la conception contractuelle de base sur le partage</w:t>
      </w:r>
      <w:r w:rsidRPr="00414F3C">
        <w:rPr>
          <w:rFonts w:asciiTheme="majorBidi" w:hAnsiTheme="majorBidi" w:cstheme="majorBidi"/>
          <w:kern w:val="24"/>
          <w:sz w:val="24"/>
          <w:szCs w:val="24"/>
        </w:rPr>
        <w:t> »</w:t>
      </w:r>
      <w:r w:rsidRPr="00414F3C">
        <w:rPr>
          <w:rStyle w:val="Appelnotedebasdep"/>
          <w:rFonts w:asciiTheme="majorBidi" w:hAnsiTheme="majorBidi" w:cstheme="majorBidi"/>
          <w:kern w:val="24"/>
          <w:sz w:val="24"/>
          <w:szCs w:val="24"/>
        </w:rPr>
        <w:footnoteReference w:id="235"/>
      </w:r>
      <w:r w:rsidRPr="00414F3C">
        <w:rPr>
          <w:rFonts w:asciiTheme="majorBidi" w:hAnsiTheme="majorBidi" w:cstheme="majorBidi"/>
          <w:kern w:val="24"/>
          <w:sz w:val="24"/>
          <w:szCs w:val="24"/>
        </w:rPr>
        <w:t>.</w:t>
      </w:r>
    </w:p>
    <w:p w14:paraId="7F2A7880" w14:textId="77777777" w:rsidR="002760B2" w:rsidRPr="00414F3C" w:rsidRDefault="00611EA9" w:rsidP="00414F3C">
      <w:pPr>
        <w:pStyle w:val="Paragraphedeliste"/>
        <w:tabs>
          <w:tab w:val="left" w:pos="0"/>
          <w:tab w:val="left" w:pos="993"/>
          <w:tab w:val="left" w:pos="1276"/>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Par rapport à la</w:t>
      </w:r>
      <w:r w:rsidR="002760B2" w:rsidRPr="00414F3C">
        <w:rPr>
          <w:rFonts w:asciiTheme="majorBidi" w:hAnsiTheme="majorBidi" w:cstheme="majorBidi"/>
          <w:kern w:val="24"/>
          <w:sz w:val="24"/>
          <w:szCs w:val="24"/>
        </w:rPr>
        <w:t xml:space="preserve"> banqu</w:t>
      </w:r>
      <w:r w:rsidR="00263365" w:rsidRPr="00414F3C">
        <w:rPr>
          <w:rFonts w:asciiTheme="majorBidi" w:hAnsiTheme="majorBidi" w:cstheme="majorBidi"/>
          <w:kern w:val="24"/>
          <w:sz w:val="24"/>
          <w:szCs w:val="24"/>
        </w:rPr>
        <w:t>e</w:t>
      </w:r>
      <w:r w:rsidR="002760B2" w:rsidRPr="00414F3C">
        <w:rPr>
          <w:rFonts w:asciiTheme="majorBidi" w:hAnsiTheme="majorBidi" w:cstheme="majorBidi"/>
          <w:kern w:val="24"/>
          <w:sz w:val="24"/>
          <w:szCs w:val="24"/>
        </w:rPr>
        <w:t xml:space="preserve"> conventionnel</w:t>
      </w:r>
      <w:r w:rsidR="00263365" w:rsidRPr="00414F3C">
        <w:rPr>
          <w:rFonts w:asciiTheme="majorBidi" w:hAnsiTheme="majorBidi" w:cstheme="majorBidi"/>
          <w:kern w:val="24"/>
          <w:sz w:val="24"/>
          <w:szCs w:val="24"/>
        </w:rPr>
        <w:t>le</w:t>
      </w:r>
      <w:r w:rsidRPr="00414F3C">
        <w:rPr>
          <w:rFonts w:asciiTheme="majorBidi" w:hAnsiTheme="majorBidi" w:cstheme="majorBidi"/>
          <w:kern w:val="24"/>
          <w:sz w:val="24"/>
          <w:szCs w:val="24"/>
        </w:rPr>
        <w:t>, la</w:t>
      </w:r>
      <w:r w:rsidR="002760B2" w:rsidRPr="00414F3C">
        <w:rPr>
          <w:rFonts w:asciiTheme="majorBidi" w:hAnsiTheme="majorBidi" w:cstheme="majorBidi"/>
          <w:kern w:val="24"/>
          <w:sz w:val="24"/>
          <w:szCs w:val="24"/>
        </w:rPr>
        <w:t xml:space="preserve"> banqu</w:t>
      </w:r>
      <w:r w:rsidR="00263365" w:rsidRPr="00414F3C">
        <w:rPr>
          <w:rFonts w:asciiTheme="majorBidi" w:hAnsiTheme="majorBidi" w:cstheme="majorBidi"/>
          <w:kern w:val="24"/>
          <w:sz w:val="24"/>
          <w:szCs w:val="24"/>
        </w:rPr>
        <w:t>e</w:t>
      </w:r>
      <w:r w:rsidR="002760B2" w:rsidRPr="00414F3C">
        <w:rPr>
          <w:rFonts w:asciiTheme="majorBidi" w:hAnsiTheme="majorBidi" w:cstheme="majorBidi"/>
          <w:kern w:val="24"/>
          <w:sz w:val="24"/>
          <w:szCs w:val="24"/>
        </w:rPr>
        <w:t xml:space="preserve"> </w:t>
      </w:r>
      <w:r w:rsidR="00AA2221"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doi</w:t>
      </w:r>
      <w:r w:rsidR="002760B2" w:rsidRPr="00414F3C">
        <w:rPr>
          <w:rFonts w:asciiTheme="majorBidi" w:hAnsiTheme="majorBidi" w:cstheme="majorBidi"/>
          <w:kern w:val="24"/>
          <w:sz w:val="24"/>
          <w:szCs w:val="24"/>
        </w:rPr>
        <w:t>t instaurer un processus de structuration apte à concilier des exigences multiples, respecter des interdictions, introduire la coparticipation, être compétitif… D’où la nécessité de créer des entités spécifiques chargées de remplir les activités différentes et de s’assurer de la conformité des</w:t>
      </w:r>
      <w:r w:rsidRPr="00414F3C">
        <w:rPr>
          <w:rFonts w:asciiTheme="majorBidi" w:hAnsiTheme="majorBidi" w:cstheme="majorBidi"/>
          <w:kern w:val="24"/>
          <w:sz w:val="24"/>
          <w:szCs w:val="24"/>
        </w:rPr>
        <w:t xml:space="preserve"> activités financières de la banque</w:t>
      </w:r>
      <w:r w:rsidR="002760B2"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2760B2" w:rsidRPr="00414F3C">
        <w:rPr>
          <w:rFonts w:asciiTheme="majorBidi" w:hAnsiTheme="majorBidi" w:cstheme="majorBidi"/>
          <w:kern w:val="24"/>
          <w:sz w:val="24"/>
          <w:szCs w:val="24"/>
        </w:rPr>
        <w:t>.</w:t>
      </w:r>
    </w:p>
    <w:p w14:paraId="1B5DCB93" w14:textId="77777777" w:rsidR="002760B2" w:rsidRPr="00414F3C" w:rsidRDefault="00A644BC" w:rsidP="00CF4DA7">
      <w:pPr>
        <w:pStyle w:val="Titre3"/>
        <w:keepNext w:val="0"/>
        <w:keepLines w:val="0"/>
        <w:suppressAutoHyphens/>
        <w:spacing w:before="100" w:beforeAutospacing="1" w:after="120" w:line="300" w:lineRule="auto"/>
        <w:ind w:firstLine="709"/>
        <w:rPr>
          <w:kern w:val="24"/>
          <w:sz w:val="28"/>
          <w:szCs w:val="28"/>
        </w:rPr>
      </w:pPr>
      <w:bookmarkStart w:id="990" w:name="_Toc33263315"/>
      <w:bookmarkStart w:id="991" w:name="_Toc37664578"/>
      <w:bookmarkStart w:id="992" w:name="_Toc37666423"/>
      <w:bookmarkStart w:id="993" w:name="_Toc54363312"/>
      <w:bookmarkStart w:id="994" w:name="_Toc57230212"/>
      <w:bookmarkStart w:id="995" w:name="_Toc57881332"/>
      <w:bookmarkStart w:id="996" w:name="_Toc57900802"/>
      <w:bookmarkStart w:id="997" w:name="_Toc33263316"/>
      <w:bookmarkStart w:id="998" w:name="_Toc37664579"/>
      <w:bookmarkStart w:id="999" w:name="_Toc37666424"/>
      <w:bookmarkStart w:id="1000" w:name="_Toc54363313"/>
      <w:bookmarkStart w:id="1001" w:name="_Toc57230213"/>
      <w:bookmarkStart w:id="1002" w:name="_Toc57881333"/>
      <w:bookmarkStart w:id="1003" w:name="_Toc57900803"/>
      <w:bookmarkStart w:id="1004" w:name="_Toc33263318"/>
      <w:bookmarkStart w:id="1005" w:name="_Toc37664581"/>
      <w:bookmarkStart w:id="1006" w:name="_Toc37666426"/>
      <w:bookmarkStart w:id="1007" w:name="_Toc54363315"/>
      <w:bookmarkStart w:id="1008" w:name="_Toc58606308"/>
      <w:bookmarkStart w:id="1009" w:name="_Toc61263513"/>
      <w:bookmarkStart w:id="1010" w:name="_Toc182298770"/>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Pr="00414F3C">
        <w:rPr>
          <w:kern w:val="24"/>
          <w:sz w:val="28"/>
          <w:szCs w:val="28"/>
        </w:rPr>
        <w:t xml:space="preserve">3.1- </w:t>
      </w:r>
      <w:r w:rsidR="00C66C20" w:rsidRPr="00414F3C">
        <w:rPr>
          <w:kern w:val="24"/>
          <w:sz w:val="28"/>
          <w:szCs w:val="28"/>
        </w:rPr>
        <w:t>R</w:t>
      </w:r>
      <w:r w:rsidR="002760B2" w:rsidRPr="00414F3C">
        <w:rPr>
          <w:kern w:val="24"/>
          <w:sz w:val="28"/>
          <w:szCs w:val="28"/>
        </w:rPr>
        <w:t xml:space="preserve">isques encourus par les banques </w:t>
      </w:r>
      <w:r w:rsidR="00505EDD" w:rsidRPr="00414F3C">
        <w:rPr>
          <w:kern w:val="24"/>
          <w:sz w:val="28"/>
          <w:szCs w:val="28"/>
        </w:rPr>
        <w:t>i</w:t>
      </w:r>
      <w:r w:rsidR="003773C6" w:rsidRPr="00414F3C">
        <w:rPr>
          <w:kern w:val="24"/>
          <w:sz w:val="28"/>
          <w:szCs w:val="28"/>
        </w:rPr>
        <w:t>slamique</w:t>
      </w:r>
      <w:r w:rsidR="002760B2" w:rsidRPr="00414F3C">
        <w:rPr>
          <w:kern w:val="24"/>
          <w:sz w:val="28"/>
          <w:szCs w:val="28"/>
        </w:rPr>
        <w:t>s</w:t>
      </w:r>
      <w:bookmarkEnd w:id="1004"/>
      <w:bookmarkEnd w:id="1005"/>
      <w:bookmarkEnd w:id="1006"/>
      <w:bookmarkEnd w:id="1007"/>
      <w:bookmarkEnd w:id="1008"/>
      <w:bookmarkEnd w:id="1009"/>
      <w:bookmarkEnd w:id="1010"/>
    </w:p>
    <w:p w14:paraId="785790A7" w14:textId="43663C41"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Parmi les risques communs avec les banques conventionnelles, il y</w:t>
      </w:r>
      <w:r w:rsidR="00703BF0"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 xml:space="preserve">a le risque de crédit, le risque de marché, le risque d’illiquidité et le risque opérationnel. Cependant, le degré d’importance de certains de ces risques diffère pour les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s à cause de leur conformité à la </w:t>
      </w:r>
      <w:r w:rsidR="00A5400B" w:rsidRPr="00414F3C">
        <w:rPr>
          <w:rFonts w:asciiTheme="majorBidi" w:hAnsiTheme="majorBidi" w:cstheme="majorBidi"/>
          <w:i/>
          <w:kern w:val="24"/>
          <w:sz w:val="24"/>
          <w:szCs w:val="24"/>
        </w:rPr>
        <w:t>Shariah</w:t>
      </w:r>
      <w:r w:rsidRPr="00414F3C">
        <w:rPr>
          <w:rFonts w:asciiTheme="majorBidi" w:hAnsiTheme="majorBidi" w:cstheme="majorBidi"/>
          <w:kern w:val="24"/>
          <w:sz w:val="24"/>
          <w:szCs w:val="24"/>
        </w:rPr>
        <w:t>. En plus de ces risques, les BI ont leurs propres risques qui émanent des caractéristiques propres de la structure actif-passif des BI.</w:t>
      </w:r>
    </w:p>
    <w:p w14:paraId="52555718" w14:textId="77777777" w:rsidR="002760B2" w:rsidRPr="00414F3C" w:rsidRDefault="00A644BC" w:rsidP="00414F3C">
      <w:pPr>
        <w:pStyle w:val="Titre4"/>
        <w:keepNext w:val="0"/>
        <w:suppressAutoHyphens/>
        <w:spacing w:before="100" w:beforeAutospacing="1" w:after="120" w:line="300" w:lineRule="auto"/>
        <w:ind w:firstLine="709"/>
        <w:rPr>
          <w:rFonts w:asciiTheme="majorBidi" w:hAnsiTheme="majorBidi" w:cstheme="majorBidi"/>
          <w:kern w:val="24"/>
        </w:rPr>
      </w:pPr>
      <w:bookmarkStart w:id="1011" w:name="_Toc33263319"/>
      <w:bookmarkStart w:id="1012" w:name="_Toc37664582"/>
      <w:bookmarkStart w:id="1013" w:name="_Toc37666427"/>
      <w:bookmarkStart w:id="1014" w:name="_Toc54363316"/>
      <w:bookmarkStart w:id="1015" w:name="_Toc58606309"/>
      <w:bookmarkStart w:id="1016" w:name="_Toc61263514"/>
      <w:bookmarkStart w:id="1017" w:name="_Toc182298771"/>
      <w:r w:rsidRPr="00414F3C">
        <w:rPr>
          <w:rFonts w:asciiTheme="majorBidi" w:hAnsiTheme="majorBidi" w:cstheme="majorBidi"/>
          <w:kern w:val="24"/>
        </w:rPr>
        <w:t xml:space="preserve">3.1.1- </w:t>
      </w:r>
      <w:r w:rsidR="00C66C20" w:rsidRPr="00414F3C">
        <w:rPr>
          <w:rFonts w:asciiTheme="majorBidi" w:hAnsiTheme="majorBidi" w:cstheme="majorBidi"/>
          <w:kern w:val="24"/>
        </w:rPr>
        <w:t>R</w:t>
      </w:r>
      <w:r w:rsidR="002760B2" w:rsidRPr="00414F3C">
        <w:rPr>
          <w:rFonts w:asciiTheme="majorBidi" w:hAnsiTheme="majorBidi" w:cstheme="majorBidi"/>
          <w:kern w:val="24"/>
        </w:rPr>
        <w:t xml:space="preserve">isque de </w:t>
      </w:r>
      <w:bookmarkEnd w:id="1011"/>
      <w:bookmarkEnd w:id="1012"/>
      <w:bookmarkEnd w:id="1013"/>
      <w:bookmarkEnd w:id="1014"/>
      <w:bookmarkEnd w:id="1015"/>
      <w:bookmarkEnd w:id="1016"/>
      <w:r w:rsidR="0001534A" w:rsidRPr="00414F3C">
        <w:rPr>
          <w:rFonts w:asciiTheme="majorBidi" w:hAnsiTheme="majorBidi" w:cstheme="majorBidi"/>
          <w:kern w:val="24"/>
        </w:rPr>
        <w:t>contrepartie</w:t>
      </w:r>
      <w:bookmarkEnd w:id="1017"/>
    </w:p>
    <w:p w14:paraId="2EFB1A72"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Comme dans les banques conventionnelles, ce risque est dû à la volatilité des flux de trésorerie causée par un défaut de paiement ou par retard de paiement d’une contrepartie. Dans les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s, ce risque se manifeste lorsqu’une partie du contrat avance des fonds (contrat </w:t>
      </w:r>
      <w:r w:rsidR="00D211E0" w:rsidRPr="00414F3C">
        <w:rPr>
          <w:rFonts w:asciiTheme="majorBidi" w:hAnsiTheme="majorBidi" w:cstheme="majorBidi"/>
          <w:i/>
          <w:kern w:val="24"/>
          <w:sz w:val="24"/>
          <w:szCs w:val="24"/>
        </w:rPr>
        <w:t>s</w:t>
      </w:r>
      <w:r w:rsidRPr="00414F3C">
        <w:rPr>
          <w:rFonts w:asciiTheme="majorBidi" w:hAnsiTheme="majorBidi" w:cstheme="majorBidi"/>
          <w:i/>
          <w:kern w:val="24"/>
          <w:sz w:val="24"/>
          <w:szCs w:val="24"/>
        </w:rPr>
        <w:t>alam</w:t>
      </w:r>
      <w:r w:rsidRPr="00414F3C">
        <w:rPr>
          <w:rFonts w:asciiTheme="majorBidi" w:hAnsiTheme="majorBidi" w:cstheme="majorBidi"/>
          <w:kern w:val="24"/>
          <w:sz w:val="24"/>
          <w:szCs w:val="24"/>
        </w:rPr>
        <w:t xml:space="preserve"> ou </w:t>
      </w:r>
      <w:r w:rsidR="002C67F4" w:rsidRPr="00414F3C">
        <w:rPr>
          <w:rFonts w:asciiTheme="majorBidi" w:hAnsiTheme="majorBidi" w:cstheme="majorBidi"/>
          <w:i/>
          <w:iCs/>
          <w:kern w:val="24"/>
          <w:sz w:val="24"/>
          <w:szCs w:val="24"/>
        </w:rPr>
        <w:t>istisna’</w:t>
      </w:r>
      <w:r w:rsidRPr="00414F3C">
        <w:rPr>
          <w:rFonts w:asciiTheme="majorBidi" w:hAnsiTheme="majorBidi" w:cstheme="majorBidi"/>
          <w:kern w:val="24"/>
          <w:sz w:val="24"/>
          <w:szCs w:val="24"/>
        </w:rPr>
        <w:t xml:space="preserve">) ou délivre une marchandise (contrat </w:t>
      </w:r>
      <w:r w:rsidRPr="00414F3C">
        <w:rPr>
          <w:rFonts w:asciiTheme="majorBidi" w:hAnsiTheme="majorBidi" w:cstheme="majorBidi"/>
          <w:i/>
          <w:iCs/>
          <w:kern w:val="24"/>
          <w:sz w:val="24"/>
          <w:szCs w:val="24"/>
        </w:rPr>
        <w:t>mourabaha</w:t>
      </w:r>
      <w:r w:rsidRPr="00414F3C">
        <w:rPr>
          <w:rFonts w:asciiTheme="majorBidi" w:hAnsiTheme="majorBidi" w:cstheme="majorBidi"/>
          <w:kern w:val="24"/>
          <w:sz w:val="24"/>
          <w:szCs w:val="24"/>
        </w:rPr>
        <w:t>) avant de recevoir la contrepartie de son financement.</w:t>
      </w:r>
      <w:r w:rsidR="0001534A"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 xml:space="preserve">Selon </w:t>
      </w:r>
      <w:r w:rsidRPr="00414F3C">
        <w:rPr>
          <w:rFonts w:asciiTheme="majorBidi" w:hAnsiTheme="majorBidi" w:cstheme="majorBidi"/>
          <w:smallCaps/>
          <w:kern w:val="24"/>
          <w:sz w:val="24"/>
          <w:szCs w:val="24"/>
        </w:rPr>
        <w:t>Chapra</w:t>
      </w:r>
      <w:r w:rsidRPr="00414F3C">
        <w:rPr>
          <w:rFonts w:asciiTheme="majorBidi" w:hAnsiTheme="majorBidi" w:cstheme="majorBidi"/>
          <w:kern w:val="24"/>
          <w:sz w:val="24"/>
          <w:szCs w:val="24"/>
        </w:rPr>
        <w:t xml:space="preserve"> et </w:t>
      </w:r>
      <w:r w:rsidRPr="00414F3C">
        <w:rPr>
          <w:rFonts w:asciiTheme="majorBidi" w:hAnsiTheme="majorBidi" w:cstheme="majorBidi"/>
          <w:smallCaps/>
          <w:kern w:val="24"/>
          <w:sz w:val="24"/>
          <w:szCs w:val="24"/>
        </w:rPr>
        <w:t>Khan</w:t>
      </w:r>
      <w:r w:rsidRPr="00414F3C">
        <w:rPr>
          <w:rFonts w:asciiTheme="majorBidi" w:hAnsiTheme="majorBidi" w:cstheme="majorBidi"/>
          <w:kern w:val="24"/>
          <w:sz w:val="24"/>
          <w:szCs w:val="24"/>
        </w:rPr>
        <w:t xml:space="preserve">, le risque de </w:t>
      </w:r>
      <w:r w:rsidR="0001534A" w:rsidRPr="00414F3C">
        <w:rPr>
          <w:rFonts w:asciiTheme="majorBidi" w:hAnsiTheme="majorBidi" w:cstheme="majorBidi"/>
          <w:kern w:val="24"/>
        </w:rPr>
        <w:t>contrepartie</w:t>
      </w:r>
      <w:r w:rsidRPr="00414F3C">
        <w:rPr>
          <w:rFonts w:asciiTheme="majorBidi" w:hAnsiTheme="majorBidi" w:cstheme="majorBidi"/>
          <w:kern w:val="24"/>
          <w:sz w:val="24"/>
          <w:szCs w:val="24"/>
        </w:rPr>
        <w:t xml:space="preserve"> peut s’accroitre au sein des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 à cause des facteurs suivants</w:t>
      </w:r>
      <w:r w:rsidRPr="00414F3C">
        <w:rPr>
          <w:rStyle w:val="Appelnotedebasdep"/>
          <w:rFonts w:asciiTheme="majorBidi" w:hAnsiTheme="majorBidi" w:cstheme="majorBidi"/>
          <w:kern w:val="24"/>
          <w:sz w:val="24"/>
          <w:szCs w:val="24"/>
        </w:rPr>
        <w:footnoteReference w:id="236"/>
      </w:r>
      <w:r w:rsidRPr="00414F3C">
        <w:rPr>
          <w:rFonts w:asciiTheme="majorBidi" w:hAnsiTheme="majorBidi" w:cstheme="majorBidi"/>
          <w:kern w:val="24"/>
          <w:sz w:val="24"/>
          <w:szCs w:val="24"/>
        </w:rPr>
        <w:t> :</w:t>
      </w:r>
    </w:p>
    <w:p w14:paraId="72326260" w14:textId="77777777"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Les modes de financement basés sur le PLS et ceux basés sur les opérations achat/vente peuvent engendrer certains problèmes puisque les contreparties de la banque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ne disposent pas de systèmes d’information élaborés, sta</w:t>
      </w:r>
      <w:r w:rsidR="009F56A9" w:rsidRPr="00414F3C">
        <w:rPr>
          <w:rFonts w:asciiTheme="majorBidi" w:hAnsiTheme="majorBidi" w:cstheme="majorBidi"/>
          <w:kern w:val="24"/>
          <w:sz w:val="24"/>
          <w:szCs w:val="24"/>
        </w:rPr>
        <w:t>ndardisés et d’expérience</w:t>
      </w:r>
      <w:r w:rsidR="0001534A" w:rsidRPr="00414F3C">
        <w:rPr>
          <w:rFonts w:asciiTheme="majorBidi" w:hAnsiTheme="majorBidi" w:cstheme="majorBidi"/>
          <w:kern w:val="24"/>
          <w:sz w:val="24"/>
          <w:szCs w:val="24"/>
        </w:rPr>
        <w:t xml:space="preserve"> suffisante</w:t>
      </w:r>
      <w:r w:rsidR="009F56A9" w:rsidRPr="00414F3C">
        <w:rPr>
          <w:rFonts w:asciiTheme="majorBidi" w:hAnsiTheme="majorBidi" w:cstheme="majorBidi"/>
          <w:kern w:val="24"/>
          <w:sz w:val="24"/>
          <w:szCs w:val="24"/>
        </w:rPr>
        <w:t> ;</w:t>
      </w:r>
    </w:p>
    <w:p w14:paraId="11F4EA59" w14:textId="3F29DA88"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L’interdiction de l’intérêt ne permet pas aux </w:t>
      </w:r>
      <w:r w:rsidR="00CF4DA7">
        <w:rPr>
          <w:rFonts w:asciiTheme="majorBidi" w:hAnsiTheme="majorBidi" w:cstheme="majorBidi"/>
          <w:kern w:val="24"/>
          <w:sz w:val="24"/>
          <w:szCs w:val="24"/>
        </w:rPr>
        <w:t>BI</w:t>
      </w:r>
      <w:r w:rsidRPr="00414F3C">
        <w:rPr>
          <w:rFonts w:asciiTheme="majorBidi" w:hAnsiTheme="majorBidi" w:cstheme="majorBidi"/>
          <w:kern w:val="24"/>
          <w:sz w:val="24"/>
          <w:szCs w:val="24"/>
        </w:rPr>
        <w:t xml:space="preserve"> de rééchelonner les dettes sur</w:t>
      </w:r>
      <w:r w:rsidR="00A271FD" w:rsidRPr="00414F3C">
        <w:rPr>
          <w:rFonts w:asciiTheme="majorBidi" w:hAnsiTheme="majorBidi" w:cstheme="majorBidi"/>
          <w:kern w:val="24"/>
          <w:sz w:val="24"/>
          <w:szCs w:val="24"/>
        </w:rPr>
        <w:t xml:space="preserve"> la base d’une marge renégociée ;</w:t>
      </w:r>
      <w:r w:rsidRPr="00414F3C">
        <w:rPr>
          <w:rFonts w:asciiTheme="majorBidi" w:hAnsiTheme="majorBidi" w:cstheme="majorBidi"/>
          <w:kern w:val="24"/>
          <w:sz w:val="24"/>
          <w:szCs w:val="24"/>
        </w:rPr>
        <w:t xml:space="preserve"> ce qui encourage l</w:t>
      </w:r>
      <w:r w:rsidR="009F56A9" w:rsidRPr="00414F3C">
        <w:rPr>
          <w:rFonts w:asciiTheme="majorBidi" w:hAnsiTheme="majorBidi" w:cstheme="majorBidi"/>
          <w:kern w:val="24"/>
          <w:sz w:val="24"/>
          <w:szCs w:val="24"/>
        </w:rPr>
        <w:t>eurs clients à être défaillants ;</w:t>
      </w:r>
    </w:p>
    <w:p w14:paraId="7BCF1A57" w14:textId="77777777" w:rsidR="002760B2" w:rsidRPr="00414F3C" w:rsidRDefault="00A271FD"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La non-</w:t>
      </w:r>
      <w:r w:rsidR="002760B2" w:rsidRPr="00414F3C">
        <w:rPr>
          <w:rFonts w:asciiTheme="majorBidi" w:hAnsiTheme="majorBidi" w:cstheme="majorBidi"/>
          <w:kern w:val="24"/>
          <w:sz w:val="24"/>
          <w:szCs w:val="24"/>
        </w:rPr>
        <w:t>disponibilité des instru</w:t>
      </w:r>
      <w:r w:rsidRPr="00414F3C">
        <w:rPr>
          <w:rFonts w:asciiTheme="majorBidi" w:hAnsiTheme="majorBidi" w:cstheme="majorBidi"/>
          <w:kern w:val="24"/>
          <w:sz w:val="24"/>
          <w:szCs w:val="24"/>
        </w:rPr>
        <w:t>ments de couverture des risques basés sur l’intérêt ;</w:t>
      </w:r>
      <w:r w:rsidR="002760B2" w:rsidRPr="00414F3C">
        <w:rPr>
          <w:rFonts w:asciiTheme="majorBidi" w:hAnsiTheme="majorBidi" w:cstheme="majorBidi"/>
          <w:kern w:val="24"/>
          <w:sz w:val="24"/>
          <w:szCs w:val="24"/>
        </w:rPr>
        <w:t xml:space="preserve"> ce qui est inter</w:t>
      </w:r>
      <w:r w:rsidR="00002215" w:rsidRPr="00414F3C">
        <w:rPr>
          <w:rFonts w:asciiTheme="majorBidi" w:hAnsiTheme="majorBidi" w:cstheme="majorBidi"/>
          <w:kern w:val="24"/>
          <w:sz w:val="24"/>
          <w:szCs w:val="24"/>
        </w:rPr>
        <w:t>dit par les conseils religieux.</w:t>
      </w:r>
    </w:p>
    <w:p w14:paraId="53327CC8" w14:textId="77777777" w:rsidR="002760B2" w:rsidRPr="00414F3C" w:rsidRDefault="002760B2" w:rsidP="00414F3C">
      <w:pPr>
        <w:tabs>
          <w:tab w:val="left" w:pos="0"/>
          <w:tab w:val="left" w:pos="284"/>
        </w:tabs>
        <w:suppressAutoHyphens/>
        <w:spacing w:before="120"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lastRenderedPageBreak/>
        <w:t xml:space="preserve">En revanche, le fait que les BI octroient principalement des </w:t>
      </w:r>
      <w:r w:rsidR="001E353C" w:rsidRPr="00414F3C">
        <w:rPr>
          <w:rFonts w:asciiTheme="majorBidi" w:hAnsiTheme="majorBidi" w:cstheme="majorBidi"/>
          <w:kern w:val="24"/>
          <w:sz w:val="24"/>
          <w:szCs w:val="24"/>
        </w:rPr>
        <w:t>financements</w:t>
      </w:r>
      <w:r w:rsidRPr="00414F3C">
        <w:rPr>
          <w:rFonts w:asciiTheme="majorBidi" w:hAnsiTheme="majorBidi" w:cstheme="majorBidi"/>
          <w:kern w:val="24"/>
          <w:sz w:val="24"/>
          <w:szCs w:val="24"/>
        </w:rPr>
        <w:t xml:space="preserve"> à court terme joue en leur faveur. En effet, les actifs à long terme sont beaucoup plus risqués que ceux à court terme</w:t>
      </w:r>
      <w:r w:rsidRPr="00414F3C">
        <w:rPr>
          <w:rStyle w:val="Appelnotedebasdep"/>
          <w:rFonts w:asciiTheme="majorBidi" w:hAnsiTheme="majorBidi" w:cstheme="majorBidi"/>
          <w:kern w:val="24"/>
          <w:sz w:val="24"/>
          <w:szCs w:val="24"/>
        </w:rPr>
        <w:footnoteReference w:id="237"/>
      </w:r>
      <w:r w:rsidRPr="00414F3C">
        <w:rPr>
          <w:rFonts w:asciiTheme="majorBidi" w:hAnsiTheme="majorBidi" w:cstheme="majorBidi"/>
          <w:kern w:val="24"/>
          <w:sz w:val="24"/>
          <w:szCs w:val="24"/>
        </w:rPr>
        <w:t>.</w:t>
      </w:r>
      <w:r w:rsidR="00D211E0" w:rsidRPr="00414F3C">
        <w:rPr>
          <w:rFonts w:asciiTheme="majorBidi" w:hAnsiTheme="majorBidi" w:cstheme="majorBidi"/>
          <w:kern w:val="24"/>
          <w:sz w:val="24"/>
          <w:szCs w:val="24"/>
        </w:rPr>
        <w:t xml:space="preserve"> </w:t>
      </w:r>
    </w:p>
    <w:p w14:paraId="52E9E430" w14:textId="77777777" w:rsidR="002760B2" w:rsidRPr="00414F3C" w:rsidRDefault="0032462F" w:rsidP="00414F3C">
      <w:pPr>
        <w:pStyle w:val="Titre5"/>
        <w:keepNext w:val="0"/>
        <w:keepLines w:val="0"/>
        <w:suppressAutoHyphens/>
        <w:spacing w:before="100" w:beforeAutospacing="1" w:after="120" w:line="300" w:lineRule="auto"/>
        <w:ind w:firstLine="709"/>
        <w:rPr>
          <w:rFonts w:asciiTheme="majorBidi" w:hAnsiTheme="majorBidi"/>
          <w:b/>
          <w:bCs/>
          <w:color w:val="auto"/>
          <w:kern w:val="24"/>
          <w:sz w:val="24"/>
          <w:szCs w:val="24"/>
        </w:rPr>
      </w:pPr>
      <w:bookmarkStart w:id="1018" w:name="_Toc182298772"/>
      <w:r w:rsidRPr="00414F3C">
        <w:rPr>
          <w:rFonts w:asciiTheme="majorBidi" w:hAnsiTheme="majorBidi"/>
          <w:b/>
          <w:bCs/>
          <w:color w:val="auto"/>
          <w:kern w:val="24"/>
          <w:sz w:val="24"/>
          <w:szCs w:val="24"/>
        </w:rPr>
        <w:t>3.1.1.1</w:t>
      </w:r>
      <w:r w:rsidR="00D263F9" w:rsidRPr="00414F3C">
        <w:rPr>
          <w:rFonts w:asciiTheme="majorBidi" w:hAnsiTheme="majorBidi"/>
          <w:b/>
          <w:bCs/>
          <w:color w:val="auto"/>
          <w:kern w:val="24"/>
          <w:sz w:val="24"/>
          <w:szCs w:val="24"/>
        </w:rPr>
        <w:t>-</w:t>
      </w:r>
      <w:r w:rsidRPr="00414F3C">
        <w:rPr>
          <w:rFonts w:asciiTheme="majorBidi" w:hAnsiTheme="majorBidi"/>
          <w:b/>
          <w:bCs/>
          <w:color w:val="auto"/>
          <w:kern w:val="24"/>
          <w:sz w:val="24"/>
          <w:szCs w:val="24"/>
        </w:rPr>
        <w:t xml:space="preserve"> F</w:t>
      </w:r>
      <w:r w:rsidR="002760B2" w:rsidRPr="00414F3C">
        <w:rPr>
          <w:rFonts w:asciiTheme="majorBidi" w:hAnsiTheme="majorBidi"/>
          <w:b/>
          <w:bCs/>
          <w:color w:val="auto"/>
          <w:kern w:val="24"/>
          <w:sz w:val="24"/>
          <w:szCs w:val="24"/>
        </w:rPr>
        <w:t>ina</w:t>
      </w:r>
      <w:r w:rsidR="009F56A9" w:rsidRPr="00414F3C">
        <w:rPr>
          <w:rFonts w:asciiTheme="majorBidi" w:hAnsiTheme="majorBidi"/>
          <w:b/>
          <w:bCs/>
          <w:color w:val="auto"/>
          <w:kern w:val="24"/>
          <w:sz w:val="24"/>
          <w:szCs w:val="24"/>
        </w:rPr>
        <w:t xml:space="preserve">ncement </w:t>
      </w:r>
      <w:r w:rsidRPr="00414F3C">
        <w:rPr>
          <w:rFonts w:asciiTheme="majorBidi" w:hAnsiTheme="majorBidi"/>
          <w:b/>
          <w:bCs/>
          <w:i/>
          <w:iCs/>
          <w:color w:val="auto"/>
          <w:kern w:val="24"/>
          <w:sz w:val="24"/>
          <w:szCs w:val="24"/>
        </w:rPr>
        <w:t>m</w:t>
      </w:r>
      <w:r w:rsidR="009F56A9" w:rsidRPr="00414F3C">
        <w:rPr>
          <w:rFonts w:asciiTheme="majorBidi" w:hAnsiTheme="majorBidi"/>
          <w:b/>
          <w:bCs/>
          <w:i/>
          <w:iCs/>
          <w:color w:val="auto"/>
          <w:kern w:val="24"/>
          <w:sz w:val="24"/>
          <w:szCs w:val="24"/>
        </w:rPr>
        <w:t>oucharaka</w:t>
      </w:r>
      <w:r w:rsidR="009F56A9" w:rsidRPr="00414F3C">
        <w:rPr>
          <w:rFonts w:asciiTheme="majorBidi" w:hAnsiTheme="majorBidi"/>
          <w:b/>
          <w:bCs/>
          <w:color w:val="auto"/>
          <w:kern w:val="24"/>
          <w:sz w:val="24"/>
          <w:szCs w:val="24"/>
        </w:rPr>
        <w:t>-</w:t>
      </w:r>
      <w:r w:rsidRPr="00414F3C">
        <w:rPr>
          <w:rFonts w:asciiTheme="majorBidi" w:hAnsiTheme="majorBidi"/>
          <w:b/>
          <w:bCs/>
          <w:i/>
          <w:iCs/>
          <w:color w:val="auto"/>
          <w:kern w:val="24"/>
          <w:sz w:val="24"/>
          <w:szCs w:val="24"/>
        </w:rPr>
        <w:t>m</w:t>
      </w:r>
      <w:r w:rsidR="004A4E16" w:rsidRPr="00414F3C">
        <w:rPr>
          <w:rFonts w:asciiTheme="majorBidi" w:hAnsiTheme="majorBidi"/>
          <w:b/>
          <w:bCs/>
          <w:i/>
          <w:iCs/>
          <w:color w:val="auto"/>
          <w:kern w:val="24"/>
          <w:sz w:val="24"/>
          <w:szCs w:val="24"/>
        </w:rPr>
        <w:t>oudaraba</w:t>
      </w:r>
      <w:bookmarkEnd w:id="1018"/>
    </w:p>
    <w:p w14:paraId="71E3F5FA" w14:textId="1CB2DE5C"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Les spécialistes en matière de politiques de financement préfèrent que les BI affectent leurs ressources sur la base de </w:t>
      </w:r>
      <w:r w:rsidRPr="00414F3C">
        <w:rPr>
          <w:rFonts w:asciiTheme="majorBidi" w:hAnsiTheme="majorBidi" w:cstheme="majorBidi"/>
          <w:i/>
          <w:iCs/>
          <w:kern w:val="24"/>
          <w:sz w:val="24"/>
          <w:szCs w:val="24"/>
        </w:rPr>
        <w:t>moucharaka</w:t>
      </w:r>
      <w:r w:rsidRPr="00414F3C">
        <w:rPr>
          <w:rFonts w:asciiTheme="majorBidi" w:hAnsiTheme="majorBidi" w:cstheme="majorBidi"/>
          <w:kern w:val="24"/>
          <w:sz w:val="24"/>
          <w:szCs w:val="24"/>
        </w:rPr>
        <w:t xml:space="preserve"> et </w:t>
      </w:r>
      <w:r w:rsidR="004A4E16" w:rsidRPr="00414F3C">
        <w:rPr>
          <w:rFonts w:asciiTheme="majorBidi" w:hAnsiTheme="majorBidi" w:cstheme="majorBidi"/>
          <w:i/>
          <w:kern w:val="24"/>
          <w:sz w:val="24"/>
          <w:szCs w:val="24"/>
        </w:rPr>
        <w:t>moudaraba</w:t>
      </w:r>
      <w:r w:rsidRPr="00414F3C">
        <w:rPr>
          <w:rFonts w:asciiTheme="majorBidi" w:hAnsiTheme="majorBidi" w:cstheme="majorBidi"/>
          <w:kern w:val="24"/>
          <w:sz w:val="24"/>
          <w:szCs w:val="24"/>
        </w:rPr>
        <w:t xml:space="preserve"> au lieu de recourir aux modes de financement à rémunération fixe comme la </w:t>
      </w:r>
      <w:r w:rsidRPr="00414F3C">
        <w:rPr>
          <w:rFonts w:asciiTheme="majorBidi" w:hAnsiTheme="majorBidi" w:cstheme="majorBidi"/>
          <w:i/>
          <w:iCs/>
          <w:kern w:val="24"/>
          <w:sz w:val="24"/>
          <w:szCs w:val="24"/>
        </w:rPr>
        <w:t>mourabaha</w:t>
      </w:r>
      <w:r w:rsidRPr="00414F3C">
        <w:rPr>
          <w:rFonts w:asciiTheme="majorBidi" w:hAnsiTheme="majorBidi" w:cstheme="majorBidi"/>
          <w:kern w:val="24"/>
          <w:sz w:val="24"/>
          <w:szCs w:val="24"/>
        </w:rPr>
        <w:t>, le leasing ou l’</w:t>
      </w:r>
      <w:r w:rsidR="002C67F4" w:rsidRPr="00414F3C">
        <w:rPr>
          <w:rFonts w:asciiTheme="majorBidi" w:hAnsiTheme="majorBidi" w:cstheme="majorBidi"/>
          <w:i/>
          <w:kern w:val="24"/>
          <w:sz w:val="24"/>
          <w:szCs w:val="24"/>
        </w:rPr>
        <w:t>istisna’</w:t>
      </w:r>
      <w:r w:rsidRPr="00414F3C">
        <w:rPr>
          <w:rFonts w:asciiTheme="majorBidi" w:hAnsiTheme="majorBidi" w:cstheme="majorBidi"/>
          <w:kern w:val="24"/>
          <w:sz w:val="24"/>
          <w:szCs w:val="24"/>
        </w:rPr>
        <w:t>. Mais</w:t>
      </w:r>
      <w:r w:rsidR="00475C1C" w:rsidRPr="00414F3C">
        <w:rPr>
          <w:rFonts w:asciiTheme="majorBidi" w:hAnsiTheme="majorBidi" w:cstheme="majorBidi"/>
          <w:kern w:val="24"/>
          <w:sz w:val="24"/>
          <w:szCs w:val="24"/>
        </w:rPr>
        <w:t xml:space="preserve">, dans la pratique, l’usage de la </w:t>
      </w:r>
      <w:r w:rsidR="00475C1C" w:rsidRPr="00247C1C">
        <w:rPr>
          <w:rFonts w:asciiTheme="majorBidi" w:hAnsiTheme="majorBidi" w:cstheme="majorBidi"/>
          <w:i/>
          <w:iCs/>
          <w:kern w:val="24"/>
          <w:sz w:val="24"/>
          <w:szCs w:val="24"/>
        </w:rPr>
        <w:t>moucharaka</w:t>
      </w:r>
      <w:r w:rsidR="00475C1C" w:rsidRPr="00414F3C">
        <w:rPr>
          <w:rFonts w:asciiTheme="majorBidi" w:hAnsiTheme="majorBidi" w:cstheme="majorBidi"/>
          <w:kern w:val="24"/>
          <w:sz w:val="24"/>
          <w:szCs w:val="24"/>
        </w:rPr>
        <w:t>-</w:t>
      </w:r>
      <w:r w:rsidR="00475C1C" w:rsidRPr="00247C1C">
        <w:rPr>
          <w:rFonts w:asciiTheme="majorBidi" w:hAnsiTheme="majorBidi" w:cstheme="majorBidi"/>
          <w:i/>
          <w:iCs/>
          <w:kern w:val="24"/>
          <w:sz w:val="24"/>
          <w:szCs w:val="24"/>
        </w:rPr>
        <w:t>moudaraba</w:t>
      </w:r>
      <w:r w:rsidRPr="00414F3C">
        <w:rPr>
          <w:rFonts w:asciiTheme="majorBidi" w:hAnsiTheme="majorBidi" w:cstheme="majorBidi"/>
          <w:kern w:val="24"/>
          <w:sz w:val="24"/>
          <w:szCs w:val="24"/>
        </w:rPr>
        <w:t xml:space="preserve"> est trop faible dans les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475C1C" w:rsidRPr="00414F3C">
        <w:rPr>
          <w:rFonts w:asciiTheme="majorBidi" w:hAnsiTheme="majorBidi" w:cstheme="majorBidi"/>
          <w:kern w:val="24"/>
          <w:sz w:val="24"/>
          <w:szCs w:val="24"/>
        </w:rPr>
        <w:t xml:space="preserve">s à cause du </w:t>
      </w:r>
      <w:r w:rsidRPr="00414F3C">
        <w:rPr>
          <w:rFonts w:asciiTheme="majorBidi" w:hAnsiTheme="majorBidi" w:cstheme="majorBidi"/>
          <w:kern w:val="24"/>
          <w:sz w:val="24"/>
          <w:szCs w:val="24"/>
        </w:rPr>
        <w:t xml:space="preserve">risque de </w:t>
      </w:r>
      <w:r w:rsidR="00475C1C" w:rsidRPr="00414F3C">
        <w:rPr>
          <w:rFonts w:asciiTheme="majorBidi" w:hAnsiTheme="majorBidi" w:cstheme="majorBidi"/>
          <w:kern w:val="24"/>
          <w:sz w:val="24"/>
          <w:szCs w:val="24"/>
        </w:rPr>
        <w:t xml:space="preserve">contrepartie </w:t>
      </w:r>
      <w:r w:rsidRPr="00414F3C">
        <w:rPr>
          <w:rFonts w:asciiTheme="majorBidi" w:hAnsiTheme="majorBidi" w:cstheme="majorBidi"/>
          <w:kern w:val="24"/>
          <w:sz w:val="24"/>
          <w:szCs w:val="24"/>
        </w:rPr>
        <w:t>élevé lié à ces modes de financement.</w:t>
      </w:r>
    </w:p>
    <w:p w14:paraId="51607147"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 risque de </w:t>
      </w:r>
      <w:r w:rsidR="00475C1C" w:rsidRPr="00414F3C">
        <w:rPr>
          <w:rFonts w:asciiTheme="majorBidi" w:hAnsiTheme="majorBidi" w:cstheme="majorBidi"/>
          <w:kern w:val="24"/>
          <w:sz w:val="24"/>
          <w:szCs w:val="24"/>
        </w:rPr>
        <w:t>contrepartie</w:t>
      </w:r>
      <w:r w:rsidRPr="00414F3C">
        <w:rPr>
          <w:rFonts w:asciiTheme="majorBidi" w:hAnsiTheme="majorBidi" w:cstheme="majorBidi"/>
          <w:kern w:val="24"/>
          <w:sz w:val="24"/>
          <w:szCs w:val="24"/>
        </w:rPr>
        <w:t xml:space="preserve"> </w:t>
      </w:r>
      <w:r w:rsidR="002D119F" w:rsidRPr="00414F3C">
        <w:rPr>
          <w:rFonts w:asciiTheme="majorBidi" w:hAnsiTheme="majorBidi" w:cstheme="majorBidi"/>
          <w:kern w:val="24"/>
          <w:sz w:val="24"/>
          <w:szCs w:val="24"/>
        </w:rPr>
        <w:t>de ces modes de financement</w:t>
      </w:r>
      <w:r w:rsidRPr="00414F3C">
        <w:rPr>
          <w:rFonts w:asciiTheme="majorBidi" w:hAnsiTheme="majorBidi" w:cstheme="majorBidi"/>
          <w:kern w:val="24"/>
          <w:sz w:val="24"/>
          <w:szCs w:val="24"/>
        </w:rPr>
        <w:t xml:space="preserve"> est élevé en raison d’absence de garanties, d’un fort taux d’aléa moral et de sélection adverse et du manque de personnel qualifié en matière d’évaluation technique des projets</w:t>
      </w:r>
      <w:r w:rsidRPr="00414F3C">
        <w:rPr>
          <w:rStyle w:val="Appelnotedebasdep"/>
          <w:rFonts w:asciiTheme="majorBidi" w:hAnsiTheme="majorBidi" w:cstheme="majorBidi"/>
          <w:kern w:val="24"/>
          <w:sz w:val="24"/>
          <w:szCs w:val="24"/>
        </w:rPr>
        <w:footnoteReference w:id="238"/>
      </w:r>
      <w:r w:rsidRPr="00414F3C">
        <w:rPr>
          <w:rFonts w:asciiTheme="majorBidi" w:hAnsiTheme="majorBidi" w:cstheme="majorBidi"/>
          <w:kern w:val="24"/>
          <w:sz w:val="24"/>
          <w:szCs w:val="24"/>
        </w:rPr>
        <w:t>.</w:t>
      </w:r>
    </w:p>
    <w:p w14:paraId="7BE69B90" w14:textId="77777777" w:rsidR="002760B2" w:rsidRPr="00414F3C" w:rsidRDefault="0032462F" w:rsidP="00414F3C">
      <w:pPr>
        <w:pStyle w:val="Titre5"/>
        <w:keepNext w:val="0"/>
        <w:keepLines w:val="0"/>
        <w:suppressAutoHyphens/>
        <w:spacing w:before="100" w:beforeAutospacing="1" w:after="120" w:line="300" w:lineRule="auto"/>
        <w:ind w:firstLine="709"/>
        <w:rPr>
          <w:rFonts w:asciiTheme="majorBidi" w:hAnsiTheme="majorBidi"/>
          <w:b/>
          <w:bCs/>
          <w:color w:val="auto"/>
          <w:kern w:val="24"/>
          <w:sz w:val="24"/>
          <w:szCs w:val="24"/>
        </w:rPr>
      </w:pPr>
      <w:bookmarkStart w:id="1019" w:name="_Toc182298773"/>
      <w:r w:rsidRPr="00414F3C">
        <w:rPr>
          <w:rFonts w:asciiTheme="majorBidi" w:hAnsiTheme="majorBidi"/>
          <w:b/>
          <w:bCs/>
          <w:color w:val="auto"/>
          <w:kern w:val="24"/>
          <w:sz w:val="24"/>
          <w:szCs w:val="24"/>
        </w:rPr>
        <w:t>3.1.1.2-</w:t>
      </w:r>
      <w:r w:rsidR="00D263F9" w:rsidRPr="00414F3C">
        <w:rPr>
          <w:rFonts w:asciiTheme="majorBidi" w:hAnsiTheme="majorBidi"/>
          <w:b/>
          <w:bCs/>
          <w:color w:val="auto"/>
          <w:kern w:val="24"/>
          <w:sz w:val="24"/>
          <w:szCs w:val="24"/>
        </w:rPr>
        <w:t xml:space="preserve"> </w:t>
      </w:r>
      <w:r w:rsidRPr="00414F3C">
        <w:rPr>
          <w:rFonts w:asciiTheme="majorBidi" w:hAnsiTheme="majorBidi"/>
          <w:b/>
          <w:bCs/>
          <w:color w:val="auto"/>
          <w:kern w:val="24"/>
          <w:sz w:val="24"/>
          <w:szCs w:val="24"/>
        </w:rPr>
        <w:t>F</w:t>
      </w:r>
      <w:r w:rsidR="002760B2" w:rsidRPr="00414F3C">
        <w:rPr>
          <w:rFonts w:asciiTheme="majorBidi" w:hAnsiTheme="majorBidi"/>
          <w:b/>
          <w:bCs/>
          <w:color w:val="auto"/>
          <w:kern w:val="24"/>
          <w:sz w:val="24"/>
          <w:szCs w:val="24"/>
        </w:rPr>
        <w:t>inancemen</w:t>
      </w:r>
      <w:r w:rsidR="009F56A9" w:rsidRPr="00414F3C">
        <w:rPr>
          <w:rFonts w:asciiTheme="majorBidi" w:hAnsiTheme="majorBidi"/>
          <w:b/>
          <w:bCs/>
          <w:color w:val="auto"/>
          <w:kern w:val="24"/>
          <w:sz w:val="24"/>
          <w:szCs w:val="24"/>
        </w:rPr>
        <w:t xml:space="preserve">t </w:t>
      </w:r>
      <w:r w:rsidR="009F56A9" w:rsidRPr="00414F3C">
        <w:rPr>
          <w:rFonts w:asciiTheme="majorBidi" w:hAnsiTheme="majorBidi"/>
          <w:b/>
          <w:bCs/>
          <w:i/>
          <w:iCs/>
          <w:color w:val="auto"/>
          <w:kern w:val="24"/>
          <w:sz w:val="24"/>
          <w:szCs w:val="24"/>
        </w:rPr>
        <w:t>mourabaha</w:t>
      </w:r>
      <w:bookmarkEnd w:id="1019"/>
    </w:p>
    <w:p w14:paraId="58EADD4B"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La similarité des risques de </w:t>
      </w:r>
      <w:r w:rsidR="00AA1D4D" w:rsidRPr="00414F3C">
        <w:rPr>
          <w:rFonts w:asciiTheme="majorBidi" w:hAnsiTheme="majorBidi" w:cstheme="majorBidi"/>
          <w:kern w:val="24"/>
          <w:sz w:val="24"/>
          <w:szCs w:val="24"/>
        </w:rPr>
        <w:t>défaut</w:t>
      </w:r>
      <w:r w:rsidRPr="00414F3C">
        <w:rPr>
          <w:rFonts w:asciiTheme="majorBidi" w:hAnsiTheme="majorBidi" w:cstheme="majorBidi"/>
          <w:kern w:val="24"/>
          <w:sz w:val="24"/>
          <w:szCs w:val="24"/>
        </w:rPr>
        <w:t xml:space="preserve"> entre le financement </w:t>
      </w:r>
      <w:r w:rsidRPr="00414F3C">
        <w:rPr>
          <w:rFonts w:asciiTheme="majorBidi" w:hAnsiTheme="majorBidi" w:cstheme="majorBidi"/>
          <w:i/>
          <w:iCs/>
          <w:kern w:val="24"/>
          <w:sz w:val="24"/>
          <w:szCs w:val="24"/>
        </w:rPr>
        <w:t>mourabaha</w:t>
      </w:r>
      <w:r w:rsidRPr="00414F3C">
        <w:rPr>
          <w:rFonts w:asciiTheme="majorBidi" w:hAnsiTheme="majorBidi" w:cstheme="majorBidi"/>
          <w:kern w:val="24"/>
          <w:sz w:val="24"/>
          <w:szCs w:val="24"/>
        </w:rPr>
        <w:t xml:space="preserve"> </w:t>
      </w:r>
      <w:r w:rsidR="00AA1D4D" w:rsidRPr="00414F3C">
        <w:rPr>
          <w:rFonts w:asciiTheme="majorBidi" w:hAnsiTheme="majorBidi" w:cstheme="majorBidi"/>
          <w:kern w:val="24"/>
          <w:sz w:val="24"/>
          <w:szCs w:val="24"/>
        </w:rPr>
        <w:t xml:space="preserve">à marge bénéficiaire </w:t>
      </w:r>
      <w:r w:rsidRPr="00414F3C">
        <w:rPr>
          <w:rFonts w:asciiTheme="majorBidi" w:hAnsiTheme="majorBidi" w:cstheme="majorBidi"/>
          <w:kern w:val="24"/>
          <w:sz w:val="24"/>
          <w:szCs w:val="24"/>
        </w:rPr>
        <w:t xml:space="preserve">et le financement à intérêt a poussé plusieurs législations monétaires à accepter la </w:t>
      </w:r>
      <w:r w:rsidRPr="00414F3C">
        <w:rPr>
          <w:rFonts w:asciiTheme="majorBidi" w:hAnsiTheme="majorBidi" w:cstheme="majorBidi"/>
          <w:i/>
          <w:iCs/>
          <w:kern w:val="24"/>
          <w:sz w:val="24"/>
          <w:szCs w:val="24"/>
        </w:rPr>
        <w:t>mourabaha</w:t>
      </w:r>
      <w:r w:rsidRPr="00414F3C">
        <w:rPr>
          <w:rFonts w:asciiTheme="majorBidi" w:hAnsiTheme="majorBidi" w:cstheme="majorBidi"/>
          <w:kern w:val="24"/>
          <w:sz w:val="24"/>
          <w:szCs w:val="24"/>
        </w:rPr>
        <w:t>. Cependant, un tel contrat uniformisé peut ne pas être accepté par l’ensemble des jurisconsultes musulmans. La divergence de points de vue peut être une source de risque de contrepartie en l’absence d’un cadre juridique rigoureux.</w:t>
      </w:r>
    </w:p>
    <w:p w14:paraId="45387B5C"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La condition de validité de ce contrat est l’obligation d’acheter le bien financé par la BI (devenant donc propriétaire du bien) afin de transférer ensuite le droit de propriété à son client. L’ordre du client ne constitue pas un contrat de vente mais une simple promesse d’achat. Selon l’Académie du Fiqh </w:t>
      </w:r>
      <w:r w:rsidR="00AA1D4D" w:rsidRPr="00414F3C">
        <w:rPr>
          <w:rFonts w:asciiTheme="majorBidi" w:hAnsiTheme="majorBidi" w:cstheme="majorBidi"/>
          <w:kern w:val="24"/>
          <w:sz w:val="24"/>
          <w:szCs w:val="24"/>
        </w:rPr>
        <w:t xml:space="preserve">de </w:t>
      </w:r>
      <w:r w:rsidRPr="00414F3C">
        <w:rPr>
          <w:rFonts w:asciiTheme="majorBidi" w:hAnsiTheme="majorBidi" w:cstheme="majorBidi"/>
          <w:kern w:val="24"/>
          <w:sz w:val="24"/>
          <w:szCs w:val="24"/>
        </w:rPr>
        <w:t>OCI, une promesse n’est obligatoire que pour une partie seulement. Cette académie</w:t>
      </w:r>
      <w:r w:rsidR="00AA1D4D" w:rsidRPr="00414F3C">
        <w:rPr>
          <w:rFonts w:asciiTheme="majorBidi" w:hAnsiTheme="majorBidi" w:cstheme="majorBidi"/>
          <w:kern w:val="24"/>
          <w:sz w:val="24"/>
          <w:szCs w:val="24"/>
        </w:rPr>
        <w:t xml:space="preserve"> et</w:t>
      </w:r>
      <w:r w:rsidRPr="00414F3C">
        <w:rPr>
          <w:rFonts w:asciiTheme="majorBidi" w:hAnsiTheme="majorBidi" w:cstheme="majorBidi"/>
          <w:kern w:val="24"/>
          <w:sz w:val="24"/>
          <w:szCs w:val="24"/>
        </w:rPr>
        <w:t xml:space="preserve"> l’</w:t>
      </w:r>
      <w:r w:rsidR="000D7704" w:rsidRPr="00414F3C">
        <w:rPr>
          <w:rFonts w:asciiTheme="majorBidi" w:hAnsiTheme="majorBidi" w:cstheme="majorBidi"/>
          <w:kern w:val="24"/>
          <w:sz w:val="24"/>
          <w:szCs w:val="24"/>
        </w:rPr>
        <w:t>AAOIFI</w:t>
      </w:r>
      <w:r w:rsidRPr="00414F3C">
        <w:rPr>
          <w:rFonts w:asciiTheme="majorBidi" w:hAnsiTheme="majorBidi" w:cstheme="majorBidi"/>
          <w:kern w:val="24"/>
          <w:sz w:val="24"/>
          <w:szCs w:val="24"/>
        </w:rPr>
        <w:t xml:space="preserve"> ainsi que la plupart des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 considèrent la promesse d’achat comme une obligation vis-à-vis du client</w:t>
      </w:r>
      <w:r w:rsidRPr="00414F3C">
        <w:rPr>
          <w:rStyle w:val="Appelnotedebasdep"/>
          <w:rFonts w:asciiTheme="majorBidi" w:hAnsiTheme="majorBidi" w:cstheme="majorBidi"/>
          <w:kern w:val="24"/>
          <w:sz w:val="24"/>
          <w:szCs w:val="24"/>
        </w:rPr>
        <w:footnoteReference w:id="239"/>
      </w:r>
      <w:r w:rsidRPr="00414F3C">
        <w:rPr>
          <w:rFonts w:asciiTheme="majorBidi" w:hAnsiTheme="majorBidi" w:cstheme="majorBidi"/>
          <w:kern w:val="24"/>
          <w:sz w:val="24"/>
          <w:szCs w:val="24"/>
        </w:rPr>
        <w:t>.</w:t>
      </w:r>
    </w:p>
    <w:p w14:paraId="22E14E97"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Cependant, un autre groupe de </w:t>
      </w:r>
      <w:r w:rsidRPr="00414F3C">
        <w:rPr>
          <w:rFonts w:asciiTheme="majorBidi" w:hAnsiTheme="majorBidi" w:cstheme="majorBidi"/>
          <w:i/>
          <w:iCs/>
          <w:kern w:val="24"/>
          <w:sz w:val="24"/>
          <w:szCs w:val="24"/>
        </w:rPr>
        <w:t>scholars</w:t>
      </w:r>
      <w:r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 néglige cette obligation du client envers la BI. C’est-à-dire que le client</w:t>
      </w:r>
      <w:r w:rsidR="00AA1D4D"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même après avoir donné l’ordre d’achat, peut annuler le contrat. Donc, le risque de </w:t>
      </w:r>
      <w:r w:rsidR="00AA1D4D" w:rsidRPr="00414F3C">
        <w:rPr>
          <w:rFonts w:asciiTheme="majorBidi" w:hAnsiTheme="majorBidi" w:cstheme="majorBidi"/>
          <w:kern w:val="24"/>
          <w:sz w:val="24"/>
          <w:szCs w:val="24"/>
        </w:rPr>
        <w:t>défaut</w:t>
      </w:r>
      <w:r w:rsidRPr="00414F3C">
        <w:rPr>
          <w:rFonts w:asciiTheme="majorBidi" w:hAnsiTheme="majorBidi" w:cstheme="majorBidi"/>
          <w:kern w:val="24"/>
          <w:sz w:val="24"/>
          <w:szCs w:val="24"/>
        </w:rPr>
        <w:t xml:space="preserve"> le plus sévère lié à la technique </w:t>
      </w:r>
      <w:r w:rsidRPr="00414F3C">
        <w:rPr>
          <w:rFonts w:asciiTheme="majorBidi" w:hAnsiTheme="majorBidi" w:cstheme="majorBidi"/>
          <w:i/>
          <w:iCs/>
          <w:kern w:val="24"/>
          <w:sz w:val="24"/>
          <w:szCs w:val="24"/>
        </w:rPr>
        <w:t>mourabaha</w:t>
      </w:r>
      <w:r w:rsidRPr="00414F3C">
        <w:rPr>
          <w:rFonts w:asciiTheme="majorBidi" w:hAnsiTheme="majorBidi" w:cstheme="majorBidi"/>
          <w:kern w:val="24"/>
          <w:sz w:val="24"/>
          <w:szCs w:val="24"/>
        </w:rPr>
        <w:t xml:space="preserve"> émane de cette diversité d’opinions </w:t>
      </w:r>
      <w:r w:rsidRPr="00414F3C">
        <w:rPr>
          <w:rFonts w:asciiTheme="majorBidi" w:hAnsiTheme="majorBidi" w:cstheme="majorBidi"/>
          <w:i/>
          <w:iCs/>
          <w:kern w:val="24"/>
          <w:sz w:val="24"/>
          <w:szCs w:val="24"/>
        </w:rPr>
        <w:t>fiqhiques</w:t>
      </w:r>
      <w:r w:rsidRPr="00414F3C">
        <w:rPr>
          <w:rFonts w:asciiTheme="majorBidi" w:hAnsiTheme="majorBidi" w:cstheme="majorBidi"/>
          <w:kern w:val="24"/>
          <w:sz w:val="24"/>
          <w:szCs w:val="24"/>
        </w:rPr>
        <w:t xml:space="preserve"> sur ce contrat</w:t>
      </w:r>
      <w:r w:rsidRPr="00414F3C">
        <w:rPr>
          <w:rStyle w:val="Appelnotedebasdep"/>
          <w:rFonts w:asciiTheme="majorBidi" w:hAnsiTheme="majorBidi" w:cstheme="majorBidi"/>
          <w:kern w:val="24"/>
          <w:sz w:val="24"/>
          <w:szCs w:val="24"/>
        </w:rPr>
        <w:footnoteReference w:id="240"/>
      </w:r>
      <w:r w:rsidRPr="00414F3C">
        <w:rPr>
          <w:rFonts w:asciiTheme="majorBidi" w:hAnsiTheme="majorBidi" w:cstheme="majorBidi"/>
          <w:kern w:val="24"/>
          <w:sz w:val="24"/>
          <w:szCs w:val="24"/>
        </w:rPr>
        <w:t>.</w:t>
      </w:r>
    </w:p>
    <w:p w14:paraId="3890CC59"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Un autre risque potentiel peut se manifester en recourant à la </w:t>
      </w:r>
      <w:r w:rsidRPr="00414F3C">
        <w:rPr>
          <w:rFonts w:asciiTheme="majorBidi" w:hAnsiTheme="majorBidi" w:cstheme="majorBidi"/>
          <w:i/>
          <w:iCs/>
          <w:kern w:val="24"/>
          <w:sz w:val="24"/>
          <w:szCs w:val="24"/>
        </w:rPr>
        <w:t>mourabaha</w:t>
      </w:r>
      <w:r w:rsidRPr="00414F3C">
        <w:rPr>
          <w:rFonts w:asciiTheme="majorBidi" w:hAnsiTheme="majorBidi" w:cstheme="majorBidi"/>
          <w:kern w:val="24"/>
          <w:sz w:val="24"/>
          <w:szCs w:val="24"/>
        </w:rPr>
        <w:t xml:space="preserve"> lorsque la contrepartie ne respecte pas les échéances de paiement. Surtout, </w:t>
      </w:r>
      <w:r w:rsidR="000F4546" w:rsidRPr="00414F3C">
        <w:rPr>
          <w:rFonts w:asciiTheme="majorBidi" w:hAnsiTheme="majorBidi" w:cstheme="majorBidi"/>
          <w:kern w:val="24"/>
          <w:sz w:val="24"/>
          <w:szCs w:val="24"/>
        </w:rPr>
        <w:t>puisque la BI ne peu</w:t>
      </w:r>
      <w:r w:rsidRPr="00414F3C">
        <w:rPr>
          <w:rFonts w:asciiTheme="majorBidi" w:hAnsiTheme="majorBidi" w:cstheme="majorBidi"/>
          <w:kern w:val="24"/>
          <w:sz w:val="24"/>
          <w:szCs w:val="24"/>
        </w:rPr>
        <w:t>t pas augmenter le prix du bien financé, ce qui peut causer des</w:t>
      </w:r>
      <w:r w:rsidR="000F4546" w:rsidRPr="00414F3C">
        <w:rPr>
          <w:rFonts w:asciiTheme="majorBidi" w:hAnsiTheme="majorBidi" w:cstheme="majorBidi"/>
          <w:kern w:val="24"/>
          <w:sz w:val="24"/>
          <w:szCs w:val="24"/>
        </w:rPr>
        <w:t xml:space="preserve"> pertes injustifiées</w:t>
      </w:r>
      <w:r w:rsidRPr="00414F3C">
        <w:rPr>
          <w:rFonts w:asciiTheme="majorBidi" w:hAnsiTheme="majorBidi" w:cstheme="majorBidi"/>
          <w:kern w:val="24"/>
          <w:sz w:val="24"/>
          <w:szCs w:val="24"/>
        </w:rPr>
        <w:t>.</w:t>
      </w:r>
    </w:p>
    <w:p w14:paraId="2889E81C" w14:textId="77777777" w:rsidR="00C86447" w:rsidRDefault="00C86447"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p>
    <w:p w14:paraId="092EB643" w14:textId="77777777" w:rsidR="00CF4DA7" w:rsidRPr="00414F3C" w:rsidRDefault="00CF4DA7"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p>
    <w:p w14:paraId="25FC55D7" w14:textId="77777777" w:rsidR="002760B2" w:rsidRPr="00414F3C" w:rsidRDefault="0032462F" w:rsidP="00414F3C">
      <w:pPr>
        <w:pStyle w:val="Titre5"/>
        <w:keepNext w:val="0"/>
        <w:keepLines w:val="0"/>
        <w:suppressAutoHyphens/>
        <w:spacing w:before="100" w:beforeAutospacing="1" w:after="120" w:line="300" w:lineRule="auto"/>
        <w:ind w:firstLine="709"/>
        <w:rPr>
          <w:rFonts w:asciiTheme="majorBidi" w:hAnsiTheme="majorBidi"/>
          <w:b/>
          <w:bCs/>
          <w:color w:val="auto"/>
          <w:kern w:val="24"/>
          <w:sz w:val="24"/>
          <w:szCs w:val="24"/>
        </w:rPr>
      </w:pPr>
      <w:bookmarkStart w:id="1020" w:name="_Toc182298774"/>
      <w:r w:rsidRPr="00414F3C">
        <w:rPr>
          <w:rFonts w:asciiTheme="majorBidi" w:hAnsiTheme="majorBidi"/>
          <w:b/>
          <w:bCs/>
          <w:color w:val="auto"/>
          <w:kern w:val="24"/>
          <w:sz w:val="24"/>
          <w:szCs w:val="24"/>
        </w:rPr>
        <w:lastRenderedPageBreak/>
        <w:t>3.1.1.3- F</w:t>
      </w:r>
      <w:r w:rsidR="00D211E0" w:rsidRPr="00414F3C">
        <w:rPr>
          <w:rFonts w:asciiTheme="majorBidi" w:hAnsiTheme="majorBidi"/>
          <w:b/>
          <w:bCs/>
          <w:color w:val="auto"/>
          <w:kern w:val="24"/>
          <w:sz w:val="24"/>
          <w:szCs w:val="24"/>
        </w:rPr>
        <w:t xml:space="preserve">inancement </w:t>
      </w:r>
      <w:r w:rsidR="00D211E0" w:rsidRPr="00414F3C">
        <w:rPr>
          <w:rFonts w:asciiTheme="majorBidi" w:hAnsiTheme="majorBidi"/>
          <w:b/>
          <w:bCs/>
          <w:i/>
          <w:iCs/>
          <w:color w:val="auto"/>
          <w:kern w:val="24"/>
          <w:sz w:val="24"/>
          <w:szCs w:val="24"/>
        </w:rPr>
        <w:t>salam</w:t>
      </w:r>
      <w:bookmarkEnd w:id="1020"/>
    </w:p>
    <w:p w14:paraId="5C75D4F9"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Pour le contrat </w:t>
      </w:r>
      <w:r w:rsidRPr="00414F3C">
        <w:rPr>
          <w:rFonts w:asciiTheme="majorBidi" w:hAnsiTheme="majorBidi" w:cstheme="majorBidi"/>
          <w:i/>
          <w:kern w:val="24"/>
          <w:sz w:val="24"/>
          <w:szCs w:val="24"/>
        </w:rPr>
        <w:t>salam</w:t>
      </w:r>
      <w:r w:rsidRPr="00414F3C">
        <w:rPr>
          <w:rFonts w:asciiTheme="majorBidi" w:hAnsiTheme="majorBidi" w:cstheme="majorBidi"/>
          <w:kern w:val="24"/>
          <w:sz w:val="24"/>
          <w:szCs w:val="24"/>
        </w:rPr>
        <w:t xml:space="preserve">, le risque de </w:t>
      </w:r>
      <w:r w:rsidR="00AA1D4D" w:rsidRPr="00414F3C">
        <w:rPr>
          <w:rFonts w:asciiTheme="majorBidi" w:hAnsiTheme="majorBidi" w:cstheme="majorBidi"/>
          <w:kern w:val="24"/>
          <w:sz w:val="24"/>
          <w:szCs w:val="24"/>
        </w:rPr>
        <w:t>défaut</w:t>
      </w:r>
      <w:r w:rsidRPr="00414F3C">
        <w:rPr>
          <w:rFonts w:asciiTheme="majorBidi" w:hAnsiTheme="majorBidi" w:cstheme="majorBidi"/>
          <w:kern w:val="24"/>
          <w:sz w:val="24"/>
          <w:szCs w:val="24"/>
        </w:rPr>
        <w:t xml:space="preserve"> provient en cas de la non-livraison, </w:t>
      </w:r>
      <w:r w:rsidR="00AA1D4D" w:rsidRPr="00414F3C">
        <w:rPr>
          <w:rFonts w:asciiTheme="majorBidi" w:hAnsiTheme="majorBidi" w:cstheme="majorBidi"/>
          <w:kern w:val="24"/>
          <w:sz w:val="24"/>
          <w:szCs w:val="24"/>
        </w:rPr>
        <w:t xml:space="preserve">de </w:t>
      </w:r>
      <w:r w:rsidRPr="00414F3C">
        <w:rPr>
          <w:rFonts w:asciiTheme="majorBidi" w:hAnsiTheme="majorBidi" w:cstheme="majorBidi"/>
          <w:kern w:val="24"/>
          <w:sz w:val="24"/>
          <w:szCs w:val="24"/>
        </w:rPr>
        <w:t xml:space="preserve">livraison non conforme ou </w:t>
      </w:r>
      <w:r w:rsidR="00AA1D4D" w:rsidRPr="00414F3C">
        <w:rPr>
          <w:rFonts w:asciiTheme="majorBidi" w:hAnsiTheme="majorBidi" w:cstheme="majorBidi"/>
          <w:kern w:val="24"/>
          <w:sz w:val="24"/>
          <w:szCs w:val="24"/>
        </w:rPr>
        <w:t xml:space="preserve">de </w:t>
      </w:r>
      <w:r w:rsidRPr="00414F3C">
        <w:rPr>
          <w:rFonts w:asciiTheme="majorBidi" w:hAnsiTheme="majorBidi" w:cstheme="majorBidi"/>
          <w:kern w:val="24"/>
          <w:sz w:val="24"/>
          <w:szCs w:val="24"/>
        </w:rPr>
        <w:t xml:space="preserve">non-respect du temps de la livraison. Lorsque le </w:t>
      </w:r>
      <w:r w:rsidRPr="00414F3C">
        <w:rPr>
          <w:rFonts w:asciiTheme="majorBidi" w:hAnsiTheme="majorBidi" w:cstheme="majorBidi"/>
          <w:i/>
          <w:kern w:val="24"/>
          <w:sz w:val="24"/>
          <w:szCs w:val="24"/>
        </w:rPr>
        <w:t>salam</w:t>
      </w:r>
      <w:r w:rsidRPr="00414F3C">
        <w:rPr>
          <w:rFonts w:asciiTheme="majorBidi" w:hAnsiTheme="majorBidi" w:cstheme="majorBidi"/>
          <w:kern w:val="24"/>
          <w:sz w:val="24"/>
          <w:szCs w:val="24"/>
        </w:rPr>
        <w:t xml:space="preserve"> est utilisé pour financer une activité agricole, le risque de contrepartie peut être dû à des facteurs qui dépassent la volonté du client : comme les conditions climatiques. Dans ce cas, le risque de contrepartie s’accentue et peut engendrer des pertes lourdes pour la BI.</w:t>
      </w:r>
    </w:p>
    <w:p w14:paraId="2F783351" w14:textId="77777777" w:rsidR="002760B2" w:rsidRPr="00414F3C" w:rsidRDefault="0032462F" w:rsidP="00414F3C">
      <w:pPr>
        <w:pStyle w:val="Titre5"/>
        <w:keepNext w:val="0"/>
        <w:keepLines w:val="0"/>
        <w:suppressAutoHyphens/>
        <w:spacing w:before="120" w:after="120" w:line="300" w:lineRule="auto"/>
        <w:ind w:firstLine="709"/>
        <w:rPr>
          <w:rFonts w:asciiTheme="majorBidi" w:hAnsiTheme="majorBidi"/>
          <w:b/>
          <w:bCs/>
          <w:color w:val="auto"/>
          <w:kern w:val="24"/>
          <w:sz w:val="24"/>
          <w:szCs w:val="24"/>
        </w:rPr>
      </w:pPr>
      <w:bookmarkStart w:id="1021" w:name="_Toc182298775"/>
      <w:r w:rsidRPr="00414F3C">
        <w:rPr>
          <w:rFonts w:asciiTheme="majorBidi" w:hAnsiTheme="majorBidi"/>
          <w:b/>
          <w:bCs/>
          <w:color w:val="auto"/>
          <w:kern w:val="24"/>
          <w:sz w:val="24"/>
          <w:szCs w:val="24"/>
        </w:rPr>
        <w:t>3.1.1.4-</w:t>
      </w:r>
      <w:r w:rsidR="00D263F9" w:rsidRPr="00414F3C">
        <w:rPr>
          <w:rFonts w:asciiTheme="majorBidi" w:hAnsiTheme="majorBidi"/>
          <w:b/>
          <w:bCs/>
          <w:color w:val="auto"/>
          <w:kern w:val="24"/>
          <w:sz w:val="24"/>
          <w:szCs w:val="24"/>
        </w:rPr>
        <w:t xml:space="preserve"> </w:t>
      </w:r>
      <w:r w:rsidRPr="00414F3C">
        <w:rPr>
          <w:rFonts w:asciiTheme="majorBidi" w:hAnsiTheme="majorBidi"/>
          <w:b/>
          <w:bCs/>
          <w:color w:val="auto"/>
          <w:kern w:val="24"/>
          <w:sz w:val="24"/>
          <w:szCs w:val="24"/>
        </w:rPr>
        <w:t>F</w:t>
      </w:r>
      <w:r w:rsidR="002760B2" w:rsidRPr="00414F3C">
        <w:rPr>
          <w:rFonts w:asciiTheme="majorBidi" w:hAnsiTheme="majorBidi"/>
          <w:b/>
          <w:bCs/>
          <w:color w:val="auto"/>
          <w:kern w:val="24"/>
          <w:sz w:val="24"/>
          <w:szCs w:val="24"/>
        </w:rPr>
        <w:t xml:space="preserve">inancement </w:t>
      </w:r>
      <w:r w:rsidR="00D211E0" w:rsidRPr="00414F3C">
        <w:rPr>
          <w:rFonts w:asciiTheme="majorBidi" w:hAnsiTheme="majorBidi"/>
          <w:b/>
          <w:bCs/>
          <w:i/>
          <w:iCs/>
          <w:color w:val="auto"/>
          <w:kern w:val="24"/>
          <w:sz w:val="24"/>
          <w:szCs w:val="24"/>
        </w:rPr>
        <w:t>i</w:t>
      </w:r>
      <w:r w:rsidR="002C67F4" w:rsidRPr="00414F3C">
        <w:rPr>
          <w:rFonts w:asciiTheme="majorBidi" w:hAnsiTheme="majorBidi"/>
          <w:b/>
          <w:bCs/>
          <w:i/>
          <w:iCs/>
          <w:color w:val="auto"/>
          <w:kern w:val="24"/>
          <w:sz w:val="24"/>
          <w:szCs w:val="24"/>
        </w:rPr>
        <w:t>stisna’</w:t>
      </w:r>
      <w:bookmarkEnd w:id="1021"/>
    </w:p>
    <w:p w14:paraId="3155829E"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Dans le cadre d’un contrat </w:t>
      </w:r>
      <w:r w:rsidR="00D211E0" w:rsidRPr="00414F3C">
        <w:rPr>
          <w:rFonts w:asciiTheme="majorBidi" w:hAnsiTheme="majorBidi" w:cstheme="majorBidi"/>
          <w:i/>
          <w:kern w:val="24"/>
          <w:sz w:val="24"/>
          <w:szCs w:val="24"/>
        </w:rPr>
        <w:t>i</w:t>
      </w:r>
      <w:r w:rsidR="002C67F4" w:rsidRPr="00414F3C">
        <w:rPr>
          <w:rFonts w:asciiTheme="majorBidi" w:hAnsiTheme="majorBidi" w:cstheme="majorBidi"/>
          <w:i/>
          <w:kern w:val="24"/>
          <w:sz w:val="24"/>
          <w:szCs w:val="24"/>
        </w:rPr>
        <w:t>stisna’</w:t>
      </w:r>
      <w:r w:rsidRPr="00414F3C">
        <w:rPr>
          <w:rFonts w:asciiTheme="majorBidi" w:hAnsiTheme="majorBidi" w:cstheme="majorBidi"/>
          <w:kern w:val="24"/>
          <w:sz w:val="24"/>
          <w:szCs w:val="24"/>
        </w:rPr>
        <w:t xml:space="preserve">, la BI assume le rôle d’un constructeur, d’un entrepreneur en bâtiments ou d’un fournisseur. </w:t>
      </w:r>
      <w:r w:rsidR="002C3C30" w:rsidRPr="00414F3C">
        <w:rPr>
          <w:rFonts w:asciiTheme="majorBidi" w:hAnsiTheme="majorBidi" w:cstheme="majorBidi"/>
          <w:kern w:val="24"/>
          <w:sz w:val="24"/>
          <w:szCs w:val="24"/>
        </w:rPr>
        <w:t>P</w:t>
      </w:r>
      <w:r w:rsidRPr="00414F3C">
        <w:rPr>
          <w:rFonts w:asciiTheme="majorBidi" w:hAnsiTheme="majorBidi" w:cstheme="majorBidi"/>
          <w:kern w:val="24"/>
          <w:sz w:val="24"/>
          <w:szCs w:val="24"/>
        </w:rPr>
        <w:t>uisque la banque n’est pas spécialisée dans tous ces domaines, elle doit recourir à des sous-traitants. Ce</w:t>
      </w:r>
      <w:r w:rsidR="002C3C30" w:rsidRPr="00414F3C">
        <w:rPr>
          <w:rFonts w:asciiTheme="majorBidi" w:hAnsiTheme="majorBidi" w:cstheme="majorBidi"/>
          <w:kern w:val="24"/>
          <w:sz w:val="24"/>
          <w:szCs w:val="24"/>
        </w:rPr>
        <w:t xml:space="preserve"> qui</w:t>
      </w:r>
      <w:r w:rsidRPr="00414F3C">
        <w:rPr>
          <w:rFonts w:asciiTheme="majorBidi" w:hAnsiTheme="majorBidi" w:cstheme="majorBidi"/>
          <w:kern w:val="24"/>
          <w:sz w:val="24"/>
          <w:szCs w:val="24"/>
        </w:rPr>
        <w:t xml:space="preserve"> l’expose à un double risque. Le premier est lié à la défaillance de la part du client (en cas du non-paiement ou non-respect des échéances), alors que le deuxième concerne la défaillance du sous-traitant à accomplir ses tâches de manière efficace et dans les délais</w:t>
      </w:r>
      <w:r w:rsidRPr="00414F3C">
        <w:rPr>
          <w:rStyle w:val="Appelnotedebasdep"/>
          <w:rFonts w:asciiTheme="majorBidi" w:hAnsiTheme="majorBidi" w:cstheme="majorBidi"/>
          <w:kern w:val="24"/>
          <w:sz w:val="24"/>
          <w:szCs w:val="24"/>
        </w:rPr>
        <w:footnoteReference w:id="241"/>
      </w:r>
      <w:r w:rsidRPr="00414F3C">
        <w:rPr>
          <w:rFonts w:asciiTheme="majorBidi" w:hAnsiTheme="majorBidi" w:cstheme="majorBidi"/>
          <w:kern w:val="24"/>
          <w:sz w:val="24"/>
          <w:szCs w:val="24"/>
        </w:rPr>
        <w:t>.</w:t>
      </w:r>
    </w:p>
    <w:p w14:paraId="3880B939"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La gestion du risque de </w:t>
      </w:r>
      <w:r w:rsidR="002C3C30" w:rsidRPr="00414F3C">
        <w:rPr>
          <w:rFonts w:asciiTheme="majorBidi" w:hAnsiTheme="majorBidi" w:cstheme="majorBidi"/>
          <w:kern w:val="24"/>
          <w:sz w:val="24"/>
          <w:szCs w:val="24"/>
        </w:rPr>
        <w:t xml:space="preserve">défaut </w:t>
      </w:r>
      <w:r w:rsidR="00611EA9" w:rsidRPr="00414F3C">
        <w:rPr>
          <w:rFonts w:asciiTheme="majorBidi" w:hAnsiTheme="majorBidi" w:cstheme="majorBidi"/>
          <w:kern w:val="24"/>
          <w:sz w:val="24"/>
          <w:szCs w:val="24"/>
        </w:rPr>
        <w:t>dans la banque</w:t>
      </w:r>
      <w:r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est très compliquée à cause des externalités. Par exemple, en cas d</w:t>
      </w:r>
      <w:r w:rsidR="00611EA9" w:rsidRPr="00414F3C">
        <w:rPr>
          <w:rFonts w:asciiTheme="majorBidi" w:hAnsiTheme="majorBidi" w:cstheme="majorBidi"/>
          <w:kern w:val="24"/>
          <w:sz w:val="24"/>
          <w:szCs w:val="24"/>
        </w:rPr>
        <w:t>e défaut de la contrepartie, la banque</w:t>
      </w:r>
      <w:r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611EA9" w:rsidRPr="00414F3C">
        <w:rPr>
          <w:rFonts w:asciiTheme="majorBidi" w:hAnsiTheme="majorBidi" w:cstheme="majorBidi"/>
          <w:kern w:val="24"/>
          <w:sz w:val="24"/>
          <w:szCs w:val="24"/>
        </w:rPr>
        <w:t xml:space="preserve"> ne peu</w:t>
      </w:r>
      <w:r w:rsidRPr="00414F3C">
        <w:rPr>
          <w:rFonts w:asciiTheme="majorBidi" w:hAnsiTheme="majorBidi" w:cstheme="majorBidi"/>
          <w:kern w:val="24"/>
          <w:sz w:val="24"/>
          <w:szCs w:val="24"/>
        </w:rPr>
        <w:t>t pas facturer des intérêts supplémentaires ou imposer une pénalité</w:t>
      </w:r>
      <w:r w:rsidRPr="00414F3C">
        <w:rPr>
          <w:rStyle w:val="Appelnotedebasdep"/>
          <w:rFonts w:asciiTheme="majorBidi" w:hAnsiTheme="majorBidi" w:cstheme="majorBidi"/>
          <w:kern w:val="24"/>
          <w:sz w:val="24"/>
          <w:szCs w:val="24"/>
        </w:rPr>
        <w:footnoteReference w:id="242"/>
      </w:r>
      <w:r w:rsidRPr="00414F3C">
        <w:rPr>
          <w:rFonts w:asciiTheme="majorBidi" w:hAnsiTheme="majorBidi" w:cstheme="majorBidi"/>
          <w:kern w:val="24"/>
          <w:sz w:val="24"/>
          <w:szCs w:val="24"/>
        </w:rPr>
        <w:t xml:space="preserve">. </w:t>
      </w:r>
      <w:r w:rsidR="00591A5F" w:rsidRPr="00414F3C">
        <w:rPr>
          <w:rFonts w:asciiTheme="majorBidi" w:hAnsiTheme="majorBidi" w:cstheme="majorBidi"/>
          <w:kern w:val="24"/>
          <w:sz w:val="24"/>
          <w:szCs w:val="24"/>
        </w:rPr>
        <w:t>En retardant le paiement, l</w:t>
      </w:r>
      <w:r w:rsidRPr="00414F3C">
        <w:rPr>
          <w:rFonts w:asciiTheme="majorBidi" w:hAnsiTheme="majorBidi" w:cstheme="majorBidi"/>
          <w:kern w:val="24"/>
          <w:sz w:val="24"/>
          <w:szCs w:val="24"/>
        </w:rPr>
        <w:t>es clients peuvent profiter sachant que la</w:t>
      </w:r>
      <w:r w:rsidR="00591A5F"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 xml:space="preserve">banque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ne perçoit ni de pénalité ni de paiement supplémentaire. Pendant ce retard, le capital de la banque est bloqué dans une activité non productive. Pour atténuer ce risque, </w:t>
      </w:r>
      <w:r w:rsidR="002D119F" w:rsidRPr="00414F3C">
        <w:rPr>
          <w:rFonts w:asciiTheme="majorBidi" w:hAnsiTheme="majorBidi" w:cstheme="majorBidi"/>
          <w:kern w:val="24"/>
          <w:sz w:val="24"/>
          <w:szCs w:val="24"/>
        </w:rPr>
        <w:t>la banque</w:t>
      </w:r>
      <w:r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2D119F" w:rsidRPr="00414F3C">
        <w:rPr>
          <w:rFonts w:asciiTheme="majorBidi" w:hAnsiTheme="majorBidi" w:cstheme="majorBidi"/>
          <w:kern w:val="24"/>
          <w:sz w:val="24"/>
          <w:szCs w:val="24"/>
        </w:rPr>
        <w:t xml:space="preserve"> doi</w:t>
      </w:r>
      <w:r w:rsidRPr="00414F3C">
        <w:rPr>
          <w:rFonts w:asciiTheme="majorBidi" w:hAnsiTheme="majorBidi" w:cstheme="majorBidi"/>
          <w:kern w:val="24"/>
          <w:sz w:val="24"/>
          <w:szCs w:val="24"/>
        </w:rPr>
        <w:t>t facturer une pénalité pour les paiements en retard d</w:t>
      </w:r>
      <w:r w:rsidR="002D119F" w:rsidRPr="00414F3C">
        <w:rPr>
          <w:rFonts w:asciiTheme="majorBidi" w:hAnsiTheme="majorBidi" w:cstheme="majorBidi"/>
          <w:kern w:val="24"/>
          <w:sz w:val="24"/>
          <w:szCs w:val="24"/>
        </w:rPr>
        <w:t xml:space="preserve">e la part des clients en défaut. </w:t>
      </w:r>
      <w:r w:rsidRPr="00414F3C">
        <w:rPr>
          <w:rFonts w:asciiTheme="majorBidi" w:hAnsiTheme="majorBidi" w:cstheme="majorBidi"/>
          <w:kern w:val="24"/>
          <w:sz w:val="24"/>
          <w:szCs w:val="24"/>
        </w:rPr>
        <w:t>Cela contribue à prévenir d'éventuelles situations similaires.</w:t>
      </w:r>
    </w:p>
    <w:p w14:paraId="3D4E80AC" w14:textId="77777777" w:rsidR="002760B2" w:rsidRPr="00414F3C" w:rsidRDefault="003F0D59" w:rsidP="00414F3C">
      <w:pPr>
        <w:pStyle w:val="Titre4"/>
        <w:keepNext w:val="0"/>
        <w:suppressAutoHyphens/>
        <w:spacing w:before="120" w:after="120" w:line="300" w:lineRule="auto"/>
        <w:ind w:firstLine="709"/>
        <w:rPr>
          <w:rFonts w:asciiTheme="majorBidi" w:hAnsiTheme="majorBidi" w:cstheme="majorBidi"/>
          <w:kern w:val="24"/>
        </w:rPr>
      </w:pPr>
      <w:bookmarkStart w:id="1023" w:name="_Toc33263320"/>
      <w:bookmarkStart w:id="1024" w:name="_Toc37664583"/>
      <w:bookmarkStart w:id="1025" w:name="_Toc37666428"/>
      <w:bookmarkStart w:id="1026" w:name="_Toc54363317"/>
      <w:bookmarkStart w:id="1027" w:name="_Toc58606310"/>
      <w:bookmarkStart w:id="1028" w:name="_Toc61263515"/>
      <w:bookmarkStart w:id="1029" w:name="_Toc182298776"/>
      <w:r w:rsidRPr="00414F3C">
        <w:rPr>
          <w:rFonts w:asciiTheme="majorBidi" w:hAnsiTheme="majorBidi" w:cstheme="majorBidi"/>
          <w:kern w:val="24"/>
        </w:rPr>
        <w:t xml:space="preserve">3.1.2- </w:t>
      </w:r>
      <w:r w:rsidR="00C66C20" w:rsidRPr="00414F3C">
        <w:rPr>
          <w:rFonts w:asciiTheme="majorBidi" w:hAnsiTheme="majorBidi" w:cstheme="majorBidi"/>
          <w:kern w:val="24"/>
        </w:rPr>
        <w:t>R</w:t>
      </w:r>
      <w:r w:rsidR="002760B2" w:rsidRPr="00414F3C">
        <w:rPr>
          <w:rFonts w:asciiTheme="majorBidi" w:hAnsiTheme="majorBidi" w:cstheme="majorBidi"/>
          <w:kern w:val="24"/>
        </w:rPr>
        <w:t>isque de marché</w:t>
      </w:r>
      <w:bookmarkEnd w:id="1023"/>
      <w:bookmarkEnd w:id="1024"/>
      <w:bookmarkEnd w:id="1025"/>
      <w:bookmarkEnd w:id="1026"/>
      <w:bookmarkEnd w:id="1027"/>
      <w:bookmarkEnd w:id="1028"/>
      <w:bookmarkEnd w:id="1029"/>
    </w:p>
    <w:p w14:paraId="07AB0C79" w14:textId="77777777" w:rsidR="002760B2" w:rsidRPr="00414F3C" w:rsidRDefault="00337FAC"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color w:val="1E1A1A"/>
          <w:kern w:val="24"/>
          <w:sz w:val="24"/>
          <w:szCs w:val="24"/>
          <w:shd w:val="clear" w:color="auto" w:fill="FFFFFF"/>
        </w:rPr>
        <w:t>Le risque de marché est le risque associé aux pertes dues à des mouvements de prix défavorables qui impactent le marché dans son ensemble</w:t>
      </w:r>
      <w:r w:rsidR="002760B2"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w:t>
      </w:r>
      <w:r w:rsidRPr="00414F3C">
        <w:rPr>
          <w:rFonts w:asciiTheme="majorBidi" w:hAnsiTheme="majorBidi" w:cstheme="majorBidi"/>
          <w:color w:val="000000" w:themeColor="text1"/>
          <w:kern w:val="24"/>
          <w:sz w:val="24"/>
          <w:szCs w:val="24"/>
          <w:shd w:val="clear" w:color="auto" w:fill="FFFFFF"/>
        </w:rPr>
        <w:t>Les principaux risques de marché sont: </w:t>
      </w:r>
      <w:hyperlink r:id="rId54" w:history="1">
        <w:r w:rsidRPr="00414F3C">
          <w:rPr>
            <w:rStyle w:val="Lienhypertexte"/>
            <w:rFonts w:asciiTheme="majorBidi" w:hAnsiTheme="majorBidi" w:cstheme="majorBidi"/>
            <w:color w:val="000000" w:themeColor="text1"/>
            <w:kern w:val="24"/>
            <w:sz w:val="24"/>
            <w:szCs w:val="24"/>
            <w:u w:val="none"/>
            <w:shd w:val="clear" w:color="auto" w:fill="FFFFFF"/>
          </w:rPr>
          <w:t>risque de taux</w:t>
        </w:r>
      </w:hyperlink>
      <w:r w:rsidRPr="00414F3C">
        <w:rPr>
          <w:rFonts w:asciiTheme="majorBidi" w:hAnsiTheme="majorBidi" w:cstheme="majorBidi"/>
          <w:color w:val="000000" w:themeColor="text1"/>
          <w:kern w:val="24"/>
          <w:sz w:val="24"/>
          <w:szCs w:val="24"/>
          <w:shd w:val="clear" w:color="auto" w:fill="FFFFFF"/>
        </w:rPr>
        <w:t>, </w:t>
      </w:r>
      <w:hyperlink r:id="rId55" w:history="1">
        <w:r w:rsidRPr="00414F3C">
          <w:rPr>
            <w:rStyle w:val="Lienhypertexte"/>
            <w:rFonts w:asciiTheme="majorBidi" w:hAnsiTheme="majorBidi" w:cstheme="majorBidi"/>
            <w:color w:val="000000" w:themeColor="text1"/>
            <w:kern w:val="24"/>
            <w:sz w:val="24"/>
            <w:szCs w:val="24"/>
            <w:u w:val="none"/>
            <w:shd w:val="clear" w:color="auto" w:fill="FFFFFF"/>
          </w:rPr>
          <w:t>risque de change</w:t>
        </w:r>
      </w:hyperlink>
      <w:r w:rsidRPr="00414F3C">
        <w:rPr>
          <w:rFonts w:asciiTheme="majorBidi" w:hAnsiTheme="majorBidi" w:cstheme="majorBidi"/>
          <w:color w:val="000000" w:themeColor="text1"/>
          <w:kern w:val="24"/>
          <w:sz w:val="24"/>
          <w:szCs w:val="24"/>
          <w:shd w:val="clear" w:color="auto" w:fill="FFFFFF"/>
        </w:rPr>
        <w:t xml:space="preserve"> et risque relatif aux cours des actions et matières premières.</w:t>
      </w:r>
      <w:r w:rsidR="002760B2" w:rsidRPr="00414F3C">
        <w:rPr>
          <w:rFonts w:asciiTheme="majorBidi" w:hAnsiTheme="majorBidi" w:cstheme="majorBidi"/>
          <w:kern w:val="24"/>
          <w:sz w:val="24"/>
          <w:szCs w:val="24"/>
        </w:rPr>
        <w:t xml:space="preserve"> Comme les banques conventionnelles, les BI sont également exposées à ces risques.</w:t>
      </w:r>
    </w:p>
    <w:p w14:paraId="480A2418" w14:textId="77777777" w:rsidR="002760B2" w:rsidRPr="00414F3C" w:rsidRDefault="0032462F" w:rsidP="00414F3C">
      <w:pPr>
        <w:pStyle w:val="Titre5"/>
        <w:keepNext w:val="0"/>
        <w:keepLines w:val="0"/>
        <w:suppressAutoHyphens/>
        <w:spacing w:before="120" w:after="120" w:line="300" w:lineRule="auto"/>
        <w:ind w:firstLine="709"/>
        <w:rPr>
          <w:rFonts w:asciiTheme="majorBidi" w:hAnsiTheme="majorBidi"/>
          <w:b/>
          <w:bCs/>
          <w:color w:val="auto"/>
          <w:kern w:val="24"/>
          <w:sz w:val="24"/>
          <w:szCs w:val="24"/>
        </w:rPr>
      </w:pPr>
      <w:bookmarkStart w:id="1030" w:name="_Toc182298777"/>
      <w:r w:rsidRPr="00414F3C">
        <w:rPr>
          <w:rFonts w:asciiTheme="majorBidi" w:hAnsiTheme="majorBidi"/>
          <w:b/>
          <w:bCs/>
          <w:color w:val="auto"/>
          <w:kern w:val="24"/>
          <w:sz w:val="24"/>
          <w:szCs w:val="24"/>
        </w:rPr>
        <w:t>3.1.2.1-</w:t>
      </w:r>
      <w:r w:rsidR="00D263F9" w:rsidRPr="00414F3C">
        <w:rPr>
          <w:rFonts w:asciiTheme="majorBidi" w:hAnsiTheme="majorBidi"/>
          <w:b/>
          <w:bCs/>
          <w:color w:val="auto"/>
          <w:kern w:val="24"/>
          <w:sz w:val="24"/>
          <w:szCs w:val="24"/>
        </w:rPr>
        <w:t xml:space="preserve"> R</w:t>
      </w:r>
      <w:r w:rsidR="002760B2" w:rsidRPr="00414F3C">
        <w:rPr>
          <w:rFonts w:asciiTheme="majorBidi" w:hAnsiTheme="majorBidi"/>
          <w:b/>
          <w:bCs/>
          <w:color w:val="auto"/>
          <w:kern w:val="24"/>
          <w:sz w:val="24"/>
          <w:szCs w:val="24"/>
        </w:rPr>
        <w:t>isque de taux d’intér</w:t>
      </w:r>
      <w:r w:rsidR="00CB79CC" w:rsidRPr="00414F3C">
        <w:rPr>
          <w:rFonts w:asciiTheme="majorBidi" w:hAnsiTheme="majorBidi"/>
          <w:b/>
          <w:bCs/>
          <w:color w:val="auto"/>
          <w:kern w:val="24"/>
          <w:sz w:val="24"/>
          <w:szCs w:val="24"/>
        </w:rPr>
        <w:t>êt (de référence)</w:t>
      </w:r>
      <w:bookmarkEnd w:id="1030"/>
    </w:p>
    <w:p w14:paraId="48179804" w14:textId="77777777" w:rsidR="002760B2" w:rsidRPr="00414F3C" w:rsidRDefault="002760B2" w:rsidP="00414F3C">
      <w:pPr>
        <w:tabs>
          <w:tab w:val="left" w:pos="0"/>
        </w:tabs>
        <w:suppressAutoHyphens/>
        <w:spacing w:before="120"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 xml:space="preserve">Tant que la pratique de l’intérêt est interdite dans les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s, ceci donne l’impression que ces dernières sont à l’abri des risques de marché liés à la variation des taux d’intérêt. Mais, ces variations de taux de marché peuvent poser certains risques pour les gains des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w:t>
      </w:r>
      <w:r w:rsidR="00FD19FF" w:rsidRPr="00414F3C">
        <w:rPr>
          <w:rFonts w:asciiTheme="majorBidi" w:hAnsiTheme="majorBidi" w:cstheme="majorBidi"/>
          <w:kern w:val="24"/>
          <w:sz w:val="24"/>
          <w:szCs w:val="24"/>
        </w:rPr>
        <w:t>. C</w:t>
      </w:r>
      <w:r w:rsidRPr="00414F3C">
        <w:rPr>
          <w:rFonts w:asciiTheme="majorBidi" w:hAnsiTheme="majorBidi" w:cstheme="majorBidi"/>
          <w:kern w:val="24"/>
          <w:sz w:val="24"/>
          <w:szCs w:val="24"/>
        </w:rPr>
        <w:t>ar</w:t>
      </w:r>
      <w:r w:rsidR="00FD19FF" w:rsidRPr="00414F3C">
        <w:rPr>
          <w:rFonts w:asciiTheme="majorBidi" w:hAnsiTheme="majorBidi" w:cstheme="majorBidi"/>
          <w:kern w:val="24"/>
          <w:sz w:val="24"/>
          <w:szCs w:val="24"/>
        </w:rPr>
        <w:t xml:space="preserve"> pour déterminer le prix des instruments financiers islamiques</w:t>
      </w:r>
      <w:r w:rsidRPr="00414F3C">
        <w:rPr>
          <w:rFonts w:asciiTheme="majorBidi" w:hAnsiTheme="majorBidi" w:cstheme="majorBidi"/>
          <w:kern w:val="24"/>
          <w:sz w:val="24"/>
          <w:szCs w:val="24"/>
        </w:rPr>
        <w:t xml:space="preserve">, ces dernières utilisent un taux de référence. Citons par exemple que dans le contrat </w:t>
      </w:r>
      <w:r w:rsidRPr="00414F3C">
        <w:rPr>
          <w:rFonts w:asciiTheme="majorBidi" w:hAnsiTheme="majorBidi" w:cstheme="majorBidi"/>
          <w:i/>
          <w:iCs/>
          <w:kern w:val="24"/>
          <w:sz w:val="24"/>
          <w:szCs w:val="24"/>
        </w:rPr>
        <w:t>mourabaha</w:t>
      </w:r>
      <w:r w:rsidRPr="00414F3C">
        <w:rPr>
          <w:rFonts w:asciiTheme="majorBidi" w:hAnsiTheme="majorBidi" w:cstheme="majorBidi"/>
          <w:kern w:val="24"/>
          <w:sz w:val="24"/>
          <w:szCs w:val="24"/>
        </w:rPr>
        <w:t>, la marge de profit est déterminée par le rajout d’une prime de risque au taux de référence</w:t>
      </w:r>
      <w:r w:rsidRPr="00414F3C">
        <w:rPr>
          <w:rStyle w:val="Appelnotedebasdep"/>
          <w:rFonts w:asciiTheme="majorBidi" w:hAnsiTheme="majorBidi" w:cstheme="majorBidi"/>
          <w:kern w:val="24"/>
          <w:sz w:val="24"/>
          <w:szCs w:val="24"/>
        </w:rPr>
        <w:footnoteReference w:id="243"/>
      </w:r>
      <w:r w:rsidRPr="00414F3C">
        <w:rPr>
          <w:rFonts w:asciiTheme="majorBidi" w:hAnsiTheme="majorBidi" w:cstheme="majorBidi"/>
          <w:kern w:val="24"/>
          <w:sz w:val="24"/>
          <w:szCs w:val="24"/>
        </w:rPr>
        <w:t xml:space="preserve"> (généralement le LIBOR). Cette marge ne peut être ajustée.</w:t>
      </w:r>
    </w:p>
    <w:p w14:paraId="4C2FAF7D" w14:textId="77777777" w:rsidR="002760B2" w:rsidRPr="00414F3C" w:rsidRDefault="002760B2" w:rsidP="00414F3C">
      <w:pPr>
        <w:tabs>
          <w:tab w:val="left" w:pos="0"/>
        </w:tabs>
        <w:suppressAutoHyphens/>
        <w:spacing w:before="120"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lastRenderedPageBreak/>
        <w:t xml:space="preserve">Par conséquent, les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 sont confrontées à des risques provenant des fluctuations des taux d’intérêt</w:t>
      </w:r>
      <w:r w:rsidR="00FD19FF" w:rsidRPr="00414F3C">
        <w:rPr>
          <w:rFonts w:asciiTheme="majorBidi" w:hAnsiTheme="majorBidi" w:cstheme="majorBidi"/>
          <w:kern w:val="24"/>
          <w:sz w:val="24"/>
          <w:szCs w:val="24"/>
        </w:rPr>
        <w:t> ;</w:t>
      </w:r>
      <w:r w:rsidRPr="00414F3C">
        <w:rPr>
          <w:rFonts w:asciiTheme="majorBidi" w:hAnsiTheme="majorBidi" w:cstheme="majorBidi"/>
          <w:kern w:val="24"/>
          <w:sz w:val="24"/>
          <w:szCs w:val="24"/>
        </w:rPr>
        <w:t xml:space="preserve"> ces risques s’accentuent pour ce qui concerne les instruments à long terme à taux fixe. </w:t>
      </w:r>
    </w:p>
    <w:p w14:paraId="5C6C26AD" w14:textId="77777777" w:rsidR="002760B2" w:rsidRPr="00414F3C" w:rsidRDefault="002760B2" w:rsidP="00414F3C">
      <w:pPr>
        <w:tabs>
          <w:tab w:val="left" w:pos="0"/>
        </w:tabs>
        <w:suppressAutoHyphens/>
        <w:spacing w:before="120"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 xml:space="preserve">Concernant les contrats </w:t>
      </w:r>
      <w:r w:rsidR="004A4E16" w:rsidRPr="00414F3C">
        <w:rPr>
          <w:rFonts w:asciiTheme="majorBidi" w:hAnsiTheme="majorBidi" w:cstheme="majorBidi"/>
          <w:i/>
          <w:kern w:val="24"/>
          <w:sz w:val="24"/>
          <w:szCs w:val="24"/>
        </w:rPr>
        <w:t>moudaraba</w:t>
      </w:r>
      <w:r w:rsidRPr="00414F3C">
        <w:rPr>
          <w:rFonts w:asciiTheme="majorBidi" w:hAnsiTheme="majorBidi" w:cstheme="majorBidi"/>
          <w:kern w:val="24"/>
          <w:sz w:val="24"/>
          <w:szCs w:val="24"/>
        </w:rPr>
        <w:t xml:space="preserve"> conclus avec les déposants, la BI est </w:t>
      </w:r>
      <w:r w:rsidR="002D4416" w:rsidRPr="00414F3C">
        <w:rPr>
          <w:rFonts w:asciiTheme="majorBidi" w:hAnsiTheme="majorBidi" w:cstheme="majorBidi"/>
          <w:kern w:val="24"/>
          <w:sz w:val="24"/>
          <w:szCs w:val="24"/>
        </w:rPr>
        <w:t>aussi soumise</w:t>
      </w:r>
      <w:r w:rsidRPr="00414F3C">
        <w:rPr>
          <w:rFonts w:asciiTheme="majorBidi" w:hAnsiTheme="majorBidi" w:cstheme="majorBidi"/>
          <w:kern w:val="24"/>
          <w:sz w:val="24"/>
          <w:szCs w:val="24"/>
        </w:rPr>
        <w:t xml:space="preserve"> à ce risque. Car, elle doit offrir à ses déposants une rémunération intéressante qui suit l’évolution du taux du marché. Elle fait alors face au risque de taux par la constitution de réserves permettant d’adapter le niveau de rémunération aux fluctuations du marché, indépendamment du résultat de la période</w:t>
      </w:r>
      <w:r w:rsidRPr="00414F3C">
        <w:rPr>
          <w:rStyle w:val="Appelnotedebasdep"/>
          <w:rFonts w:asciiTheme="majorBidi" w:hAnsiTheme="majorBidi" w:cstheme="majorBidi"/>
          <w:kern w:val="24"/>
          <w:sz w:val="24"/>
          <w:szCs w:val="24"/>
        </w:rPr>
        <w:footnoteReference w:id="244"/>
      </w:r>
      <w:r w:rsidRPr="00414F3C">
        <w:rPr>
          <w:rFonts w:asciiTheme="majorBidi" w:hAnsiTheme="majorBidi" w:cstheme="majorBidi"/>
          <w:kern w:val="24"/>
          <w:sz w:val="24"/>
          <w:szCs w:val="24"/>
        </w:rPr>
        <w:t>.</w:t>
      </w:r>
    </w:p>
    <w:p w14:paraId="3C1493A3" w14:textId="77777777" w:rsidR="002760B2" w:rsidRPr="00414F3C" w:rsidRDefault="0032462F" w:rsidP="00414F3C">
      <w:pPr>
        <w:pStyle w:val="Titre5"/>
        <w:keepNext w:val="0"/>
        <w:keepLines w:val="0"/>
        <w:suppressAutoHyphens/>
        <w:spacing w:before="120" w:after="120" w:line="300" w:lineRule="auto"/>
        <w:ind w:firstLine="709"/>
        <w:rPr>
          <w:rFonts w:asciiTheme="majorBidi" w:hAnsiTheme="majorBidi"/>
          <w:b/>
          <w:bCs/>
          <w:color w:val="auto"/>
          <w:kern w:val="24"/>
          <w:sz w:val="24"/>
          <w:szCs w:val="24"/>
        </w:rPr>
      </w:pPr>
      <w:bookmarkStart w:id="1031" w:name="_Toc182298778"/>
      <w:r w:rsidRPr="00414F3C">
        <w:rPr>
          <w:rFonts w:asciiTheme="majorBidi" w:hAnsiTheme="majorBidi"/>
          <w:b/>
          <w:bCs/>
          <w:color w:val="auto"/>
          <w:kern w:val="24"/>
          <w:sz w:val="24"/>
          <w:szCs w:val="24"/>
        </w:rPr>
        <w:t>3.1.2.2- R</w:t>
      </w:r>
      <w:r w:rsidR="00CB79CC" w:rsidRPr="00414F3C">
        <w:rPr>
          <w:rFonts w:asciiTheme="majorBidi" w:hAnsiTheme="majorBidi"/>
          <w:b/>
          <w:bCs/>
          <w:color w:val="auto"/>
          <w:kern w:val="24"/>
          <w:sz w:val="24"/>
          <w:szCs w:val="24"/>
        </w:rPr>
        <w:t>isque de change</w:t>
      </w:r>
      <w:bookmarkEnd w:id="1031"/>
    </w:p>
    <w:p w14:paraId="7C70B76B" w14:textId="77777777" w:rsidR="00C03EAA" w:rsidRPr="00414F3C" w:rsidRDefault="00337FAC"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Comme pour la banque conventionnelle</w:t>
      </w:r>
      <w:r w:rsidR="002760B2" w:rsidRPr="00414F3C">
        <w:rPr>
          <w:rFonts w:asciiTheme="majorBidi" w:hAnsiTheme="majorBidi" w:cstheme="majorBidi"/>
          <w:kern w:val="24"/>
          <w:sz w:val="24"/>
          <w:szCs w:val="24"/>
        </w:rPr>
        <w:t xml:space="preserve">, l’exposition </w:t>
      </w:r>
      <w:r w:rsidRPr="00414F3C">
        <w:rPr>
          <w:rFonts w:asciiTheme="majorBidi" w:hAnsiTheme="majorBidi" w:cstheme="majorBidi"/>
          <w:kern w:val="24"/>
          <w:sz w:val="24"/>
          <w:szCs w:val="24"/>
        </w:rPr>
        <w:t>de la</w:t>
      </w:r>
      <w:r w:rsidR="002760B2" w:rsidRPr="00414F3C">
        <w:rPr>
          <w:rFonts w:asciiTheme="majorBidi" w:hAnsiTheme="majorBidi" w:cstheme="majorBidi"/>
          <w:kern w:val="24"/>
          <w:sz w:val="24"/>
          <w:szCs w:val="24"/>
        </w:rPr>
        <w:t xml:space="preserve"> BI au risque de change est assez nuisible. Ce risque est causé par la fluctuation de la valeur des créances et des dettes en devises détenues par la BI. Tandis que les banques conventionnelles peuvent facilement se couvrir contre ce risque par des swaps ou d'autres instruments de couverture, il est généralement interdit pour </w:t>
      </w:r>
      <w:r w:rsidRPr="00414F3C">
        <w:rPr>
          <w:rFonts w:asciiTheme="majorBidi" w:hAnsiTheme="majorBidi" w:cstheme="majorBidi"/>
          <w:kern w:val="24"/>
          <w:sz w:val="24"/>
          <w:szCs w:val="24"/>
        </w:rPr>
        <w:t>la banque</w:t>
      </w:r>
      <w:r w:rsidR="002760B2"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2760B2" w:rsidRPr="00414F3C">
        <w:rPr>
          <w:rFonts w:asciiTheme="majorBidi" w:hAnsiTheme="majorBidi" w:cstheme="majorBidi"/>
          <w:kern w:val="24"/>
          <w:sz w:val="24"/>
          <w:szCs w:val="24"/>
        </w:rPr>
        <w:t xml:space="preserve"> de les utiliser</w:t>
      </w:r>
      <w:r w:rsidR="00FD19FF" w:rsidRPr="00414F3C">
        <w:rPr>
          <w:rFonts w:asciiTheme="majorBidi" w:hAnsiTheme="majorBidi" w:cstheme="majorBidi"/>
          <w:kern w:val="24"/>
          <w:sz w:val="24"/>
          <w:szCs w:val="24"/>
        </w:rPr>
        <w:t>.</w:t>
      </w:r>
      <w:r w:rsidR="002760B2" w:rsidRPr="00414F3C">
        <w:rPr>
          <w:rFonts w:asciiTheme="majorBidi" w:hAnsiTheme="majorBidi" w:cstheme="majorBidi"/>
          <w:kern w:val="24"/>
          <w:sz w:val="24"/>
          <w:szCs w:val="24"/>
        </w:rPr>
        <w:t xml:space="preserve"> </w:t>
      </w:r>
      <w:r w:rsidR="00FD19FF" w:rsidRPr="00414F3C">
        <w:rPr>
          <w:rFonts w:asciiTheme="majorBidi" w:hAnsiTheme="majorBidi" w:cstheme="majorBidi"/>
          <w:kern w:val="24"/>
          <w:sz w:val="24"/>
          <w:szCs w:val="24"/>
        </w:rPr>
        <w:t>Ce</w:t>
      </w:r>
      <w:r w:rsidR="002760B2" w:rsidRPr="00414F3C">
        <w:rPr>
          <w:rFonts w:asciiTheme="majorBidi" w:hAnsiTheme="majorBidi" w:cstheme="majorBidi"/>
          <w:kern w:val="24"/>
          <w:sz w:val="24"/>
          <w:szCs w:val="24"/>
        </w:rPr>
        <w:t xml:space="preserve"> qui ajoute un défi pour </w:t>
      </w:r>
      <w:r w:rsidRPr="00414F3C">
        <w:rPr>
          <w:rFonts w:asciiTheme="majorBidi" w:hAnsiTheme="majorBidi" w:cstheme="majorBidi"/>
          <w:kern w:val="24"/>
          <w:sz w:val="24"/>
          <w:szCs w:val="24"/>
        </w:rPr>
        <w:t>cette dernière</w:t>
      </w:r>
      <w:r w:rsidR="002760B2" w:rsidRPr="00414F3C">
        <w:rPr>
          <w:rFonts w:asciiTheme="majorBidi" w:hAnsiTheme="majorBidi" w:cstheme="majorBidi"/>
          <w:kern w:val="24"/>
          <w:sz w:val="24"/>
          <w:szCs w:val="24"/>
        </w:rPr>
        <w:t xml:space="preserve">. Toutefois, la plupart des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2760B2" w:rsidRPr="00414F3C">
        <w:rPr>
          <w:rFonts w:asciiTheme="majorBidi" w:hAnsiTheme="majorBidi" w:cstheme="majorBidi"/>
          <w:kern w:val="24"/>
          <w:sz w:val="24"/>
          <w:szCs w:val="24"/>
        </w:rPr>
        <w:t xml:space="preserve">s et surtout celles des pays de Golfe sont actives dans ce domaine en </w:t>
      </w:r>
      <w:r w:rsidR="00FD19FF" w:rsidRPr="00414F3C">
        <w:rPr>
          <w:rFonts w:asciiTheme="majorBidi" w:hAnsiTheme="majorBidi" w:cstheme="majorBidi"/>
          <w:kern w:val="24"/>
          <w:sz w:val="24"/>
          <w:szCs w:val="24"/>
        </w:rPr>
        <w:t>rattachant</w:t>
      </w:r>
      <w:r w:rsidR="002760B2" w:rsidRPr="00414F3C">
        <w:rPr>
          <w:rFonts w:asciiTheme="majorBidi" w:hAnsiTheme="majorBidi" w:cstheme="majorBidi"/>
          <w:kern w:val="24"/>
          <w:sz w:val="24"/>
          <w:szCs w:val="24"/>
        </w:rPr>
        <w:t xml:space="preserve"> leurs devises soit au dollar américain, soit à un panier de monnaies internationales, réduisant </w:t>
      </w:r>
      <w:r w:rsidR="00FD19FF" w:rsidRPr="00414F3C">
        <w:rPr>
          <w:rFonts w:asciiTheme="majorBidi" w:hAnsiTheme="majorBidi" w:cstheme="majorBidi"/>
          <w:kern w:val="24"/>
          <w:sz w:val="24"/>
          <w:szCs w:val="24"/>
        </w:rPr>
        <w:t>alors</w:t>
      </w:r>
      <w:r w:rsidR="002760B2" w:rsidRPr="00414F3C">
        <w:rPr>
          <w:rFonts w:asciiTheme="majorBidi" w:hAnsiTheme="majorBidi" w:cstheme="majorBidi"/>
          <w:kern w:val="24"/>
          <w:sz w:val="24"/>
          <w:szCs w:val="24"/>
        </w:rPr>
        <w:t xml:space="preserve"> énormément leur volatilité.</w:t>
      </w:r>
    </w:p>
    <w:p w14:paraId="0B397098" w14:textId="77777777" w:rsidR="002760B2" w:rsidRPr="00414F3C" w:rsidRDefault="00661339" w:rsidP="00414F3C">
      <w:pPr>
        <w:pStyle w:val="Titre5"/>
        <w:keepNext w:val="0"/>
        <w:keepLines w:val="0"/>
        <w:suppressAutoHyphens/>
        <w:spacing w:before="120" w:after="120" w:line="300" w:lineRule="auto"/>
        <w:ind w:firstLine="709"/>
        <w:rPr>
          <w:rFonts w:asciiTheme="majorBidi" w:hAnsiTheme="majorBidi"/>
          <w:b/>
          <w:bCs/>
          <w:color w:val="auto"/>
          <w:kern w:val="24"/>
          <w:sz w:val="24"/>
          <w:szCs w:val="24"/>
        </w:rPr>
      </w:pPr>
      <w:bookmarkStart w:id="1032" w:name="_Toc182298779"/>
      <w:r w:rsidRPr="00414F3C">
        <w:rPr>
          <w:rFonts w:asciiTheme="majorBidi" w:hAnsiTheme="majorBidi"/>
          <w:b/>
          <w:bCs/>
          <w:color w:val="auto"/>
          <w:kern w:val="24"/>
          <w:sz w:val="24"/>
          <w:szCs w:val="24"/>
        </w:rPr>
        <w:t xml:space="preserve">3.1.2.3- </w:t>
      </w:r>
      <w:r w:rsidR="0032462F" w:rsidRPr="00414F3C">
        <w:rPr>
          <w:rFonts w:asciiTheme="majorBidi" w:hAnsiTheme="majorBidi"/>
          <w:b/>
          <w:bCs/>
          <w:color w:val="auto"/>
          <w:kern w:val="24"/>
          <w:sz w:val="24"/>
          <w:szCs w:val="24"/>
        </w:rPr>
        <w:t>R</w:t>
      </w:r>
      <w:r w:rsidR="002760B2" w:rsidRPr="00414F3C">
        <w:rPr>
          <w:rFonts w:asciiTheme="majorBidi" w:hAnsiTheme="majorBidi"/>
          <w:b/>
          <w:bCs/>
          <w:color w:val="auto"/>
          <w:kern w:val="24"/>
          <w:sz w:val="24"/>
          <w:szCs w:val="24"/>
        </w:rPr>
        <w:t xml:space="preserve">isque relatif aux </w:t>
      </w:r>
      <w:r w:rsidR="00FD19FF" w:rsidRPr="00414F3C">
        <w:rPr>
          <w:rFonts w:asciiTheme="majorBidi" w:hAnsiTheme="majorBidi"/>
          <w:b/>
          <w:bCs/>
          <w:color w:val="auto"/>
          <w:kern w:val="24"/>
          <w:sz w:val="24"/>
          <w:szCs w:val="24"/>
        </w:rPr>
        <w:t>cours</w:t>
      </w:r>
      <w:r w:rsidR="002760B2" w:rsidRPr="00414F3C">
        <w:rPr>
          <w:rFonts w:asciiTheme="majorBidi" w:hAnsiTheme="majorBidi"/>
          <w:b/>
          <w:bCs/>
          <w:color w:val="auto"/>
          <w:kern w:val="24"/>
          <w:sz w:val="24"/>
          <w:szCs w:val="24"/>
        </w:rPr>
        <w:t xml:space="preserve"> de</w:t>
      </w:r>
      <w:r w:rsidR="00FD19FF" w:rsidRPr="00414F3C">
        <w:rPr>
          <w:rFonts w:asciiTheme="majorBidi" w:hAnsiTheme="majorBidi"/>
          <w:b/>
          <w:bCs/>
          <w:color w:val="auto"/>
          <w:kern w:val="24"/>
          <w:sz w:val="24"/>
          <w:szCs w:val="24"/>
        </w:rPr>
        <w:t>s</w:t>
      </w:r>
      <w:r w:rsidR="002760B2" w:rsidRPr="00414F3C">
        <w:rPr>
          <w:rFonts w:asciiTheme="majorBidi" w:hAnsiTheme="majorBidi"/>
          <w:b/>
          <w:bCs/>
          <w:color w:val="auto"/>
          <w:kern w:val="24"/>
          <w:sz w:val="24"/>
          <w:szCs w:val="24"/>
        </w:rPr>
        <w:t xml:space="preserve"> matières premières et de</w:t>
      </w:r>
      <w:r w:rsidR="00CB79CC" w:rsidRPr="00414F3C">
        <w:rPr>
          <w:rFonts w:asciiTheme="majorBidi" w:hAnsiTheme="majorBidi"/>
          <w:b/>
          <w:bCs/>
          <w:color w:val="auto"/>
          <w:kern w:val="24"/>
          <w:sz w:val="24"/>
          <w:szCs w:val="24"/>
        </w:rPr>
        <w:t>s actions</w:t>
      </w:r>
      <w:bookmarkEnd w:id="1032"/>
    </w:p>
    <w:p w14:paraId="35A14046"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s peuvent être exposées au risque de variation </w:t>
      </w:r>
      <w:r w:rsidR="00FD19FF" w:rsidRPr="00414F3C">
        <w:rPr>
          <w:rFonts w:asciiTheme="majorBidi" w:hAnsiTheme="majorBidi" w:cstheme="majorBidi"/>
          <w:kern w:val="24"/>
          <w:sz w:val="24"/>
          <w:szCs w:val="24"/>
        </w:rPr>
        <w:t xml:space="preserve">des cours </w:t>
      </w:r>
      <w:r w:rsidRPr="00414F3C">
        <w:rPr>
          <w:rFonts w:asciiTheme="majorBidi" w:hAnsiTheme="majorBidi" w:cstheme="majorBidi"/>
          <w:kern w:val="24"/>
          <w:sz w:val="24"/>
          <w:szCs w:val="24"/>
        </w:rPr>
        <w:t>des matières premières</w:t>
      </w:r>
      <w:r w:rsidR="00FD19FF"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w:t>
      </w:r>
      <w:r w:rsidR="00FD19FF" w:rsidRPr="00414F3C">
        <w:rPr>
          <w:rFonts w:asciiTheme="majorBidi" w:hAnsiTheme="majorBidi" w:cstheme="majorBidi"/>
          <w:kern w:val="24"/>
          <w:sz w:val="24"/>
          <w:szCs w:val="24"/>
        </w:rPr>
        <w:t>Ce</w:t>
      </w:r>
      <w:r w:rsidRPr="00414F3C">
        <w:rPr>
          <w:rFonts w:asciiTheme="majorBidi" w:hAnsiTheme="majorBidi" w:cstheme="majorBidi"/>
          <w:kern w:val="24"/>
          <w:sz w:val="24"/>
          <w:szCs w:val="24"/>
        </w:rPr>
        <w:t xml:space="preserve"> qui affecte directement la valeur du contrat ainsi que son résultat financier</w:t>
      </w:r>
      <w:r w:rsidRPr="00414F3C">
        <w:rPr>
          <w:rStyle w:val="Appelnotedebasdep"/>
          <w:rFonts w:asciiTheme="majorBidi" w:hAnsiTheme="majorBidi" w:cstheme="majorBidi"/>
          <w:kern w:val="24"/>
          <w:sz w:val="24"/>
          <w:szCs w:val="24"/>
        </w:rPr>
        <w:footnoteReference w:id="245"/>
      </w:r>
      <w:r w:rsidRPr="00414F3C">
        <w:rPr>
          <w:rFonts w:asciiTheme="majorBidi" w:hAnsiTheme="majorBidi" w:cstheme="majorBidi"/>
          <w:kern w:val="24"/>
          <w:sz w:val="24"/>
          <w:szCs w:val="24"/>
        </w:rPr>
        <w:t xml:space="preserve">. Généralement, c’est le risque le plus élevé affectant les contrats basés sur les matières premières comme le </w:t>
      </w:r>
      <w:r w:rsidRPr="00414F3C">
        <w:rPr>
          <w:rFonts w:asciiTheme="majorBidi" w:hAnsiTheme="majorBidi" w:cstheme="majorBidi"/>
          <w:i/>
          <w:kern w:val="24"/>
          <w:sz w:val="24"/>
          <w:szCs w:val="24"/>
        </w:rPr>
        <w:t>salam</w:t>
      </w:r>
      <w:r w:rsidRPr="00414F3C">
        <w:rPr>
          <w:rFonts w:asciiTheme="majorBidi" w:hAnsiTheme="majorBidi" w:cstheme="majorBidi"/>
          <w:kern w:val="24"/>
          <w:sz w:val="24"/>
          <w:szCs w:val="24"/>
        </w:rPr>
        <w:t xml:space="preserve"> et l’</w:t>
      </w:r>
      <w:r w:rsidR="002C67F4" w:rsidRPr="00414F3C">
        <w:rPr>
          <w:rFonts w:asciiTheme="majorBidi" w:hAnsiTheme="majorBidi" w:cstheme="majorBidi"/>
          <w:i/>
          <w:iCs/>
          <w:kern w:val="24"/>
          <w:sz w:val="24"/>
          <w:szCs w:val="24"/>
        </w:rPr>
        <w:t>istisna’</w:t>
      </w:r>
      <w:r w:rsidRPr="00414F3C">
        <w:rPr>
          <w:rFonts w:asciiTheme="majorBidi" w:hAnsiTheme="majorBidi" w:cstheme="majorBidi"/>
          <w:kern w:val="24"/>
          <w:sz w:val="24"/>
          <w:szCs w:val="24"/>
        </w:rPr>
        <w:t>.</w:t>
      </w:r>
    </w:p>
    <w:p w14:paraId="062B9B18" w14:textId="6012CBDB" w:rsidR="002760B2" w:rsidRPr="00414F3C" w:rsidRDefault="00337FAC"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w:t>
      </w:r>
      <w:r w:rsidR="002760B2" w:rsidRPr="00414F3C">
        <w:rPr>
          <w:rFonts w:asciiTheme="majorBidi" w:hAnsiTheme="majorBidi" w:cstheme="majorBidi"/>
          <w:kern w:val="24"/>
          <w:sz w:val="24"/>
          <w:szCs w:val="24"/>
        </w:rPr>
        <w:t xml:space="preserve">e risque de fluctuation des </w:t>
      </w:r>
      <w:r w:rsidR="00FD19FF" w:rsidRPr="00414F3C">
        <w:rPr>
          <w:rFonts w:asciiTheme="majorBidi" w:hAnsiTheme="majorBidi" w:cstheme="majorBidi"/>
          <w:kern w:val="24"/>
          <w:sz w:val="24"/>
          <w:szCs w:val="24"/>
        </w:rPr>
        <w:t>cours</w:t>
      </w:r>
      <w:r w:rsidRPr="00414F3C">
        <w:rPr>
          <w:rFonts w:asciiTheme="majorBidi" w:hAnsiTheme="majorBidi" w:cstheme="majorBidi"/>
          <w:kern w:val="24"/>
          <w:sz w:val="24"/>
          <w:szCs w:val="24"/>
        </w:rPr>
        <w:t xml:space="preserve"> des actions touche la banque</w:t>
      </w:r>
      <w:r w:rsidR="002760B2"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2760B2"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 xml:space="preserve">lorsqu’elle fait recours aux </w:t>
      </w:r>
      <w:r w:rsidR="002760B2" w:rsidRPr="00414F3C">
        <w:rPr>
          <w:rFonts w:asciiTheme="majorBidi" w:hAnsiTheme="majorBidi" w:cstheme="majorBidi"/>
          <w:kern w:val="24"/>
          <w:sz w:val="24"/>
          <w:szCs w:val="24"/>
        </w:rPr>
        <w:t xml:space="preserve">contrats </w:t>
      </w:r>
      <w:r w:rsidR="004A4E16" w:rsidRPr="00414F3C">
        <w:rPr>
          <w:rFonts w:asciiTheme="majorBidi" w:hAnsiTheme="majorBidi" w:cstheme="majorBidi"/>
          <w:i/>
          <w:kern w:val="24"/>
          <w:sz w:val="24"/>
          <w:szCs w:val="24"/>
        </w:rPr>
        <w:t>moudaraba</w:t>
      </w:r>
      <w:r w:rsidR="002760B2" w:rsidRPr="00414F3C">
        <w:rPr>
          <w:rFonts w:asciiTheme="majorBidi" w:hAnsiTheme="majorBidi" w:cstheme="majorBidi"/>
          <w:kern w:val="24"/>
          <w:sz w:val="24"/>
          <w:szCs w:val="24"/>
        </w:rPr>
        <w:t xml:space="preserve"> et </w:t>
      </w:r>
      <w:r w:rsidR="002760B2" w:rsidRPr="00414F3C">
        <w:rPr>
          <w:rFonts w:asciiTheme="majorBidi" w:hAnsiTheme="majorBidi" w:cstheme="majorBidi"/>
          <w:i/>
          <w:iCs/>
          <w:kern w:val="24"/>
          <w:sz w:val="24"/>
          <w:szCs w:val="24"/>
        </w:rPr>
        <w:t>moucharaka</w:t>
      </w:r>
      <w:r w:rsidR="002760B2" w:rsidRPr="00414F3C">
        <w:rPr>
          <w:rFonts w:asciiTheme="majorBidi" w:hAnsiTheme="majorBidi" w:cstheme="majorBidi"/>
          <w:kern w:val="24"/>
          <w:sz w:val="24"/>
          <w:szCs w:val="24"/>
        </w:rPr>
        <w:t xml:space="preserve"> dégressive. Pour le contrat </w:t>
      </w:r>
      <w:r w:rsidR="004A4E16" w:rsidRPr="00414F3C">
        <w:rPr>
          <w:rFonts w:asciiTheme="majorBidi" w:hAnsiTheme="majorBidi" w:cstheme="majorBidi"/>
          <w:i/>
          <w:kern w:val="24"/>
          <w:sz w:val="24"/>
          <w:szCs w:val="24"/>
        </w:rPr>
        <w:t>moudaraba</w:t>
      </w:r>
      <w:r w:rsidR="002760B2" w:rsidRPr="00414F3C">
        <w:rPr>
          <w:rFonts w:asciiTheme="majorBidi" w:hAnsiTheme="majorBidi" w:cstheme="majorBidi"/>
          <w:kern w:val="24"/>
          <w:sz w:val="24"/>
          <w:szCs w:val="24"/>
        </w:rPr>
        <w:t xml:space="preserve">, seul l’investisseur participe au capital et non l’entrepreneur. Donc, l’investisseur risque des pertes en capital en cas de baisse des </w:t>
      </w:r>
      <w:r w:rsidR="00741AE1" w:rsidRPr="00414F3C">
        <w:rPr>
          <w:rFonts w:asciiTheme="majorBidi" w:hAnsiTheme="majorBidi" w:cstheme="majorBidi"/>
          <w:kern w:val="24"/>
          <w:sz w:val="24"/>
          <w:szCs w:val="24"/>
        </w:rPr>
        <w:t>cours</w:t>
      </w:r>
      <w:r w:rsidR="002760B2" w:rsidRPr="00414F3C">
        <w:rPr>
          <w:rFonts w:asciiTheme="majorBidi" w:hAnsiTheme="majorBidi" w:cstheme="majorBidi"/>
          <w:kern w:val="24"/>
          <w:sz w:val="24"/>
          <w:szCs w:val="24"/>
        </w:rPr>
        <w:t xml:space="preserve"> des actions. En cas d’un contrat </w:t>
      </w:r>
      <w:r w:rsidR="002760B2" w:rsidRPr="00414F3C">
        <w:rPr>
          <w:rFonts w:asciiTheme="majorBidi" w:hAnsiTheme="majorBidi" w:cstheme="majorBidi"/>
          <w:i/>
          <w:iCs/>
          <w:kern w:val="24"/>
          <w:sz w:val="24"/>
          <w:szCs w:val="24"/>
        </w:rPr>
        <w:t>moucharaka</w:t>
      </w:r>
      <w:r w:rsidR="002760B2" w:rsidRPr="00414F3C">
        <w:rPr>
          <w:rFonts w:asciiTheme="majorBidi" w:hAnsiTheme="majorBidi" w:cstheme="majorBidi"/>
          <w:kern w:val="24"/>
          <w:sz w:val="24"/>
          <w:szCs w:val="24"/>
        </w:rPr>
        <w:t>, toutes les parties peuvent participer au capital et</w:t>
      </w:r>
      <w:r w:rsidR="00741AE1" w:rsidRPr="00414F3C">
        <w:rPr>
          <w:rFonts w:asciiTheme="majorBidi" w:hAnsiTheme="majorBidi" w:cstheme="majorBidi"/>
          <w:kern w:val="24"/>
          <w:sz w:val="24"/>
          <w:szCs w:val="24"/>
        </w:rPr>
        <w:t>,</w:t>
      </w:r>
      <w:r w:rsidR="002760B2" w:rsidRPr="00414F3C">
        <w:rPr>
          <w:rFonts w:asciiTheme="majorBidi" w:hAnsiTheme="majorBidi" w:cstheme="majorBidi"/>
          <w:kern w:val="24"/>
          <w:sz w:val="24"/>
          <w:szCs w:val="24"/>
        </w:rPr>
        <w:t xml:space="preserve"> donc</w:t>
      </w:r>
      <w:r w:rsidR="00741AE1" w:rsidRPr="00414F3C">
        <w:rPr>
          <w:rFonts w:asciiTheme="majorBidi" w:hAnsiTheme="majorBidi" w:cstheme="majorBidi"/>
          <w:kern w:val="24"/>
          <w:sz w:val="24"/>
          <w:szCs w:val="24"/>
        </w:rPr>
        <w:t>,</w:t>
      </w:r>
      <w:r w:rsidR="002760B2" w:rsidRPr="00414F3C">
        <w:rPr>
          <w:rFonts w:asciiTheme="majorBidi" w:hAnsiTheme="majorBidi" w:cstheme="majorBidi"/>
          <w:kern w:val="24"/>
          <w:sz w:val="24"/>
          <w:szCs w:val="24"/>
        </w:rPr>
        <w:t xml:space="preserve"> aux pertes éventuelles. D’ailleurs, lorsque la </w:t>
      </w:r>
      <w:r w:rsidR="002760B2" w:rsidRPr="00414F3C">
        <w:rPr>
          <w:rFonts w:asciiTheme="majorBidi" w:hAnsiTheme="majorBidi" w:cstheme="majorBidi"/>
          <w:i/>
          <w:iCs/>
          <w:kern w:val="24"/>
          <w:sz w:val="24"/>
          <w:szCs w:val="24"/>
        </w:rPr>
        <w:t>moucharaka</w:t>
      </w:r>
      <w:r w:rsidR="002760B2" w:rsidRPr="00414F3C">
        <w:rPr>
          <w:rFonts w:asciiTheme="majorBidi" w:hAnsiTheme="majorBidi" w:cstheme="majorBidi"/>
          <w:kern w:val="24"/>
          <w:sz w:val="24"/>
          <w:szCs w:val="24"/>
        </w:rPr>
        <w:t xml:space="preserve"> est de type dégressif, l’une des parties s’engage à racheter tout le capital en actions à un </w:t>
      </w:r>
      <w:r w:rsidR="00B06B8A" w:rsidRPr="00414F3C">
        <w:rPr>
          <w:rFonts w:asciiTheme="majorBidi" w:hAnsiTheme="majorBidi" w:cstheme="majorBidi"/>
          <w:kern w:val="24"/>
          <w:sz w:val="24"/>
          <w:szCs w:val="24"/>
        </w:rPr>
        <w:t>cours</w:t>
      </w:r>
      <w:r w:rsidR="002760B2" w:rsidRPr="00414F3C">
        <w:rPr>
          <w:rFonts w:asciiTheme="majorBidi" w:hAnsiTheme="majorBidi" w:cstheme="majorBidi"/>
          <w:kern w:val="24"/>
          <w:sz w:val="24"/>
          <w:szCs w:val="24"/>
        </w:rPr>
        <w:t xml:space="preserve"> prédéterminé. Par conséquent, cette partie s’expose</w:t>
      </w:r>
      <w:r w:rsidR="00330B00" w:rsidRPr="00414F3C">
        <w:rPr>
          <w:rFonts w:asciiTheme="majorBidi" w:hAnsiTheme="majorBidi" w:cstheme="majorBidi"/>
          <w:kern w:val="24"/>
          <w:sz w:val="24"/>
          <w:szCs w:val="24"/>
        </w:rPr>
        <w:t>rait</w:t>
      </w:r>
      <w:r w:rsidR="002760B2" w:rsidRPr="00414F3C">
        <w:rPr>
          <w:rFonts w:asciiTheme="majorBidi" w:hAnsiTheme="majorBidi" w:cstheme="majorBidi"/>
          <w:kern w:val="24"/>
          <w:sz w:val="24"/>
          <w:szCs w:val="24"/>
        </w:rPr>
        <w:t xml:space="preserve"> à un risque maximum alors que les autres parties ne subissent pas de perte.</w:t>
      </w:r>
    </w:p>
    <w:p w14:paraId="51E99D24" w14:textId="77777777" w:rsidR="002760B2" w:rsidRPr="00414F3C" w:rsidRDefault="003F0D59" w:rsidP="00414F3C">
      <w:pPr>
        <w:pStyle w:val="Titre4"/>
        <w:keepNext w:val="0"/>
        <w:suppressAutoHyphens/>
        <w:spacing w:before="120" w:after="120" w:line="300" w:lineRule="auto"/>
        <w:ind w:firstLine="709"/>
        <w:rPr>
          <w:rFonts w:asciiTheme="majorBidi" w:hAnsiTheme="majorBidi" w:cstheme="majorBidi"/>
          <w:kern w:val="24"/>
        </w:rPr>
      </w:pPr>
      <w:bookmarkStart w:id="1033" w:name="_Toc33263321"/>
      <w:bookmarkStart w:id="1034" w:name="_Toc37664584"/>
      <w:bookmarkStart w:id="1035" w:name="_Toc37666429"/>
      <w:bookmarkStart w:id="1036" w:name="_Toc54363318"/>
      <w:bookmarkStart w:id="1037" w:name="_Toc58606311"/>
      <w:bookmarkStart w:id="1038" w:name="_Toc61263516"/>
      <w:bookmarkStart w:id="1039" w:name="_Toc182298780"/>
      <w:r w:rsidRPr="00414F3C">
        <w:rPr>
          <w:rFonts w:asciiTheme="majorBidi" w:hAnsiTheme="majorBidi" w:cstheme="majorBidi"/>
          <w:kern w:val="24"/>
        </w:rPr>
        <w:t xml:space="preserve">3.1.3- </w:t>
      </w:r>
      <w:r w:rsidR="00C66C20" w:rsidRPr="00414F3C">
        <w:rPr>
          <w:rFonts w:asciiTheme="majorBidi" w:hAnsiTheme="majorBidi" w:cstheme="majorBidi"/>
          <w:kern w:val="24"/>
        </w:rPr>
        <w:t>R</w:t>
      </w:r>
      <w:r w:rsidR="002760B2" w:rsidRPr="00414F3C">
        <w:rPr>
          <w:rFonts w:asciiTheme="majorBidi" w:hAnsiTheme="majorBidi" w:cstheme="majorBidi"/>
          <w:kern w:val="24"/>
        </w:rPr>
        <w:t>isque de liquidité (d’illiquidité)</w:t>
      </w:r>
      <w:bookmarkEnd w:id="1033"/>
      <w:bookmarkEnd w:id="1034"/>
      <w:bookmarkEnd w:id="1035"/>
      <w:bookmarkEnd w:id="1036"/>
      <w:bookmarkEnd w:id="1037"/>
      <w:bookmarkEnd w:id="1038"/>
      <w:bookmarkEnd w:id="1039"/>
    </w:p>
    <w:p w14:paraId="0A3E5B7A"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La liquidité est une question cruciale pour </w:t>
      </w:r>
      <w:r w:rsidR="00B06B8A" w:rsidRPr="00414F3C">
        <w:rPr>
          <w:rFonts w:asciiTheme="majorBidi" w:hAnsiTheme="majorBidi" w:cstheme="majorBidi"/>
          <w:kern w:val="24"/>
          <w:sz w:val="24"/>
          <w:szCs w:val="24"/>
        </w:rPr>
        <w:t>la banque</w:t>
      </w:r>
      <w:r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Les risques de liquidité naissent quand il y a une baisse inattendue du flux de trésorerie net d’une banque et qu</w:t>
      </w:r>
      <w:r w:rsidR="00741AE1" w:rsidRPr="00414F3C">
        <w:rPr>
          <w:rFonts w:asciiTheme="majorBidi" w:hAnsiTheme="majorBidi" w:cstheme="majorBidi"/>
          <w:kern w:val="24"/>
          <w:sz w:val="24"/>
          <w:szCs w:val="24"/>
        </w:rPr>
        <w:t>’elle</w:t>
      </w:r>
      <w:r w:rsidRPr="00414F3C">
        <w:rPr>
          <w:rFonts w:asciiTheme="majorBidi" w:hAnsiTheme="majorBidi" w:cstheme="majorBidi"/>
          <w:kern w:val="24"/>
          <w:sz w:val="24"/>
          <w:szCs w:val="24"/>
        </w:rPr>
        <w:t xml:space="preserve"> soit incapable de lever des fonds à un prix raisonnable ou bien en vendant ses actifs ou en empruntant à travers l’émission de nouveaux instruments financiers</w:t>
      </w:r>
      <w:r w:rsidRPr="00414F3C">
        <w:rPr>
          <w:rStyle w:val="Appelnotedebasdep"/>
          <w:rFonts w:asciiTheme="majorBidi" w:hAnsiTheme="majorBidi" w:cstheme="majorBidi"/>
          <w:kern w:val="24"/>
          <w:sz w:val="24"/>
          <w:szCs w:val="24"/>
        </w:rPr>
        <w:footnoteReference w:id="246"/>
      </w:r>
      <w:r w:rsidRPr="00414F3C">
        <w:rPr>
          <w:rFonts w:asciiTheme="majorBidi" w:hAnsiTheme="majorBidi" w:cstheme="majorBidi"/>
          <w:kern w:val="24"/>
          <w:sz w:val="24"/>
          <w:szCs w:val="24"/>
        </w:rPr>
        <w:t xml:space="preserve">. Par conséquent, la banque </w:t>
      </w:r>
      <w:r w:rsidR="00505EDD" w:rsidRPr="00414F3C">
        <w:rPr>
          <w:rFonts w:asciiTheme="majorBidi" w:hAnsiTheme="majorBidi" w:cstheme="majorBidi"/>
          <w:kern w:val="24"/>
          <w:sz w:val="24"/>
          <w:szCs w:val="24"/>
        </w:rPr>
        <w:lastRenderedPageBreak/>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peut devenir incapable de remplir ses engagements quand ils sont échus ou de financer des affaires profitables.</w:t>
      </w:r>
    </w:p>
    <w:p w14:paraId="1548124B" w14:textId="770BE246"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La plupart des BI opèrent dans un environnement où les marchés interbancaires et monétaires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 sont inexistants ou sous-développés</w:t>
      </w:r>
      <w:r w:rsidRPr="00414F3C">
        <w:rPr>
          <w:rStyle w:val="Appelnotedebasdep"/>
          <w:rFonts w:asciiTheme="majorBidi" w:hAnsiTheme="majorBidi" w:cstheme="majorBidi"/>
          <w:kern w:val="24"/>
          <w:sz w:val="24"/>
          <w:szCs w:val="24"/>
        </w:rPr>
        <w:footnoteReference w:id="247"/>
      </w:r>
      <w:r w:rsidRPr="00414F3C">
        <w:rPr>
          <w:rFonts w:asciiTheme="majorBidi" w:hAnsiTheme="majorBidi" w:cstheme="majorBidi"/>
          <w:kern w:val="24"/>
          <w:sz w:val="24"/>
          <w:szCs w:val="24"/>
        </w:rPr>
        <w:t xml:space="preserve">. La majorité des emprunts et des facilités de la banque centrale ne s’accommodent pas avec la </w:t>
      </w:r>
      <w:r w:rsidR="00A5400B" w:rsidRPr="00414F3C">
        <w:rPr>
          <w:rFonts w:asciiTheme="majorBidi" w:hAnsiTheme="majorBidi" w:cstheme="majorBidi"/>
          <w:i/>
          <w:kern w:val="24"/>
          <w:sz w:val="24"/>
          <w:szCs w:val="24"/>
        </w:rPr>
        <w:t>Shariah</w:t>
      </w:r>
      <w:r w:rsidR="00741AE1"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w:t>
      </w:r>
      <w:r w:rsidR="00741AE1" w:rsidRPr="00414F3C">
        <w:rPr>
          <w:rFonts w:asciiTheme="majorBidi" w:hAnsiTheme="majorBidi" w:cstheme="majorBidi"/>
          <w:kern w:val="24"/>
          <w:sz w:val="24"/>
          <w:szCs w:val="24"/>
        </w:rPr>
        <w:t>Ce</w:t>
      </w:r>
      <w:r w:rsidRPr="00414F3C">
        <w:rPr>
          <w:rFonts w:asciiTheme="majorBidi" w:hAnsiTheme="majorBidi" w:cstheme="majorBidi"/>
          <w:kern w:val="24"/>
          <w:sz w:val="24"/>
          <w:szCs w:val="24"/>
        </w:rPr>
        <w:t xml:space="preserve"> qui pose des restrictions pour la gestion du risque de liquidité.</w:t>
      </w:r>
    </w:p>
    <w:p w14:paraId="08F278DA" w14:textId="42B6752A"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Le ris</w:t>
      </w:r>
      <w:r w:rsidR="000F4546" w:rsidRPr="00414F3C">
        <w:rPr>
          <w:rFonts w:asciiTheme="majorBidi" w:hAnsiTheme="majorBidi" w:cstheme="majorBidi"/>
          <w:kern w:val="24"/>
          <w:sz w:val="24"/>
          <w:szCs w:val="24"/>
        </w:rPr>
        <w:t>que de liquidité encouru par la</w:t>
      </w:r>
      <w:r w:rsidRPr="00414F3C">
        <w:rPr>
          <w:rFonts w:asciiTheme="majorBidi" w:hAnsiTheme="majorBidi" w:cstheme="majorBidi"/>
          <w:kern w:val="24"/>
          <w:sz w:val="24"/>
          <w:szCs w:val="24"/>
        </w:rPr>
        <w:t xml:space="preserve"> BI sembl</w:t>
      </w:r>
      <w:r w:rsidR="00A271FD" w:rsidRPr="00414F3C">
        <w:rPr>
          <w:rFonts w:asciiTheme="majorBidi" w:hAnsiTheme="majorBidi" w:cstheme="majorBidi"/>
          <w:kern w:val="24"/>
          <w:sz w:val="24"/>
          <w:szCs w:val="24"/>
        </w:rPr>
        <w:t>e être actuellement bas à cause</w:t>
      </w:r>
      <w:r w:rsidRPr="00414F3C">
        <w:rPr>
          <w:rFonts w:asciiTheme="majorBidi" w:hAnsiTheme="majorBidi" w:cstheme="majorBidi"/>
          <w:kern w:val="24"/>
          <w:sz w:val="24"/>
          <w:szCs w:val="24"/>
        </w:rPr>
        <w:t xml:space="preserve"> du syndrome d’excès de liquidité que ces banques connaissent en raison de la non-disponibilité d’opportunités d’investissement compatibles avec la </w:t>
      </w:r>
      <w:r w:rsidR="00A5400B" w:rsidRPr="00414F3C">
        <w:rPr>
          <w:rFonts w:asciiTheme="majorBidi" w:hAnsiTheme="majorBidi" w:cstheme="majorBidi"/>
          <w:i/>
          <w:kern w:val="24"/>
          <w:sz w:val="24"/>
          <w:szCs w:val="24"/>
        </w:rPr>
        <w:t>Shariah</w:t>
      </w:r>
      <w:r w:rsidR="00A5400B" w:rsidRPr="00414F3C">
        <w:rPr>
          <w:rStyle w:val="Appelnotedebasdep"/>
          <w:rFonts w:asciiTheme="majorBidi" w:hAnsiTheme="majorBidi" w:cstheme="majorBidi"/>
          <w:kern w:val="24"/>
          <w:sz w:val="24"/>
          <w:szCs w:val="24"/>
        </w:rPr>
        <w:t xml:space="preserve"> </w:t>
      </w:r>
      <w:r w:rsidRPr="00414F3C">
        <w:rPr>
          <w:rStyle w:val="Appelnotedebasdep"/>
          <w:rFonts w:asciiTheme="majorBidi" w:hAnsiTheme="majorBidi" w:cstheme="majorBidi"/>
          <w:kern w:val="24"/>
          <w:sz w:val="24"/>
          <w:szCs w:val="24"/>
        </w:rPr>
        <w:footnoteReference w:id="248"/>
      </w:r>
      <w:r w:rsidRPr="00414F3C">
        <w:rPr>
          <w:rFonts w:asciiTheme="majorBidi" w:hAnsiTheme="majorBidi" w:cstheme="majorBidi"/>
          <w:kern w:val="24"/>
          <w:sz w:val="24"/>
          <w:szCs w:val="24"/>
        </w:rPr>
        <w:t>. Comparées aux banques conv</w:t>
      </w:r>
      <w:r w:rsidR="00A271FD" w:rsidRPr="00414F3C">
        <w:rPr>
          <w:rFonts w:asciiTheme="majorBidi" w:hAnsiTheme="majorBidi" w:cstheme="majorBidi"/>
          <w:kern w:val="24"/>
          <w:sz w:val="24"/>
          <w:szCs w:val="24"/>
        </w:rPr>
        <w:t>entionnelles, les BI gardent 40</w:t>
      </w:r>
      <w:r w:rsidRPr="00414F3C">
        <w:rPr>
          <w:rFonts w:asciiTheme="majorBidi" w:hAnsiTheme="majorBidi" w:cstheme="majorBidi"/>
          <w:kern w:val="24"/>
          <w:sz w:val="24"/>
          <w:szCs w:val="24"/>
        </w:rPr>
        <w:t xml:space="preserve">% </w:t>
      </w:r>
      <w:r w:rsidR="00B06B8A" w:rsidRPr="00414F3C">
        <w:rPr>
          <w:rFonts w:asciiTheme="majorBidi" w:hAnsiTheme="majorBidi" w:cstheme="majorBidi"/>
          <w:kern w:val="24"/>
          <w:sz w:val="24"/>
          <w:szCs w:val="24"/>
        </w:rPr>
        <w:t>davantage</w:t>
      </w:r>
      <w:r w:rsidRPr="00414F3C">
        <w:rPr>
          <w:rFonts w:asciiTheme="majorBidi" w:hAnsiTheme="majorBidi" w:cstheme="majorBidi"/>
          <w:kern w:val="24"/>
          <w:sz w:val="24"/>
          <w:szCs w:val="24"/>
        </w:rPr>
        <w:t xml:space="preserve"> de liquidités</w:t>
      </w:r>
      <w:r w:rsidRPr="00414F3C">
        <w:rPr>
          <w:rStyle w:val="Appelnotedebasdep"/>
          <w:rFonts w:asciiTheme="majorBidi" w:hAnsiTheme="majorBidi" w:cstheme="majorBidi"/>
          <w:kern w:val="24"/>
          <w:sz w:val="24"/>
          <w:szCs w:val="24"/>
        </w:rPr>
        <w:footnoteReference w:id="249"/>
      </w:r>
      <w:r w:rsidR="00B06B8A" w:rsidRPr="00414F3C">
        <w:rPr>
          <w:rFonts w:asciiTheme="majorBidi" w:hAnsiTheme="majorBidi" w:cstheme="majorBidi"/>
          <w:kern w:val="24"/>
          <w:sz w:val="24"/>
          <w:szCs w:val="24"/>
        </w:rPr>
        <w:t>, ce qui</w:t>
      </w:r>
      <w:r w:rsidRPr="00414F3C">
        <w:rPr>
          <w:rFonts w:asciiTheme="majorBidi" w:hAnsiTheme="majorBidi" w:cstheme="majorBidi"/>
          <w:kern w:val="24"/>
          <w:sz w:val="24"/>
          <w:szCs w:val="24"/>
        </w:rPr>
        <w:t xml:space="preserve"> heurte leur objectif de rentabilité et affecte leur compétitivité. </w:t>
      </w:r>
      <w:r w:rsidR="00B06B8A" w:rsidRPr="00414F3C">
        <w:rPr>
          <w:rFonts w:asciiTheme="majorBidi" w:hAnsiTheme="majorBidi" w:cstheme="majorBidi"/>
          <w:kern w:val="24"/>
          <w:sz w:val="24"/>
          <w:szCs w:val="24"/>
        </w:rPr>
        <w:t>C’</w:t>
      </w:r>
      <w:r w:rsidRPr="00414F3C">
        <w:rPr>
          <w:rFonts w:asciiTheme="majorBidi" w:hAnsiTheme="majorBidi" w:cstheme="majorBidi"/>
          <w:kern w:val="24"/>
          <w:sz w:val="24"/>
          <w:szCs w:val="24"/>
        </w:rPr>
        <w:t xml:space="preserve">est un témoin d’une </w:t>
      </w:r>
      <w:r w:rsidR="00BA7E42" w:rsidRPr="00414F3C">
        <w:rPr>
          <w:rFonts w:asciiTheme="majorBidi" w:hAnsiTheme="majorBidi" w:cstheme="majorBidi"/>
          <w:kern w:val="24"/>
          <w:sz w:val="24"/>
          <w:szCs w:val="24"/>
        </w:rPr>
        <w:t>"</w:t>
      </w:r>
      <w:r w:rsidRPr="00414F3C">
        <w:rPr>
          <w:rFonts w:asciiTheme="majorBidi" w:hAnsiTheme="majorBidi" w:cstheme="majorBidi"/>
          <w:kern w:val="24"/>
          <w:sz w:val="24"/>
          <w:szCs w:val="24"/>
        </w:rPr>
        <w:t>maladie prolongée</w:t>
      </w:r>
      <w:r w:rsidR="00BA7E42"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qui pourrait réduire leur potentiel de gains</w:t>
      </w:r>
      <w:r w:rsidRPr="00414F3C">
        <w:rPr>
          <w:rStyle w:val="Appelnotedebasdep"/>
          <w:rFonts w:asciiTheme="majorBidi" w:hAnsiTheme="majorBidi" w:cstheme="majorBidi"/>
          <w:kern w:val="24"/>
          <w:sz w:val="24"/>
          <w:szCs w:val="24"/>
        </w:rPr>
        <w:footnoteReference w:id="250"/>
      </w:r>
      <w:r w:rsidRPr="00414F3C">
        <w:rPr>
          <w:rFonts w:asciiTheme="majorBidi" w:hAnsiTheme="majorBidi" w:cstheme="majorBidi"/>
          <w:kern w:val="24"/>
          <w:sz w:val="24"/>
          <w:szCs w:val="24"/>
        </w:rPr>
        <w:t xml:space="preserve">. </w:t>
      </w:r>
    </w:p>
    <w:p w14:paraId="5913001C" w14:textId="77777777" w:rsidR="002760B2" w:rsidRPr="00414F3C" w:rsidRDefault="003F0D59" w:rsidP="00414F3C">
      <w:pPr>
        <w:pStyle w:val="Titre4"/>
        <w:keepNext w:val="0"/>
        <w:suppressAutoHyphens/>
        <w:spacing w:before="120" w:after="120" w:line="300" w:lineRule="auto"/>
        <w:ind w:firstLine="709"/>
        <w:rPr>
          <w:rFonts w:asciiTheme="majorBidi" w:hAnsiTheme="majorBidi" w:cstheme="majorBidi"/>
          <w:kern w:val="24"/>
        </w:rPr>
      </w:pPr>
      <w:bookmarkStart w:id="1040" w:name="_Toc33263322"/>
      <w:bookmarkStart w:id="1041" w:name="_Toc37664585"/>
      <w:bookmarkStart w:id="1042" w:name="_Toc37666430"/>
      <w:bookmarkStart w:id="1043" w:name="_Toc54363319"/>
      <w:bookmarkStart w:id="1044" w:name="_Toc58606312"/>
      <w:bookmarkStart w:id="1045" w:name="_Toc61263517"/>
      <w:bookmarkStart w:id="1046" w:name="_Toc182298781"/>
      <w:r w:rsidRPr="00414F3C">
        <w:rPr>
          <w:rFonts w:asciiTheme="majorBidi" w:hAnsiTheme="majorBidi" w:cstheme="majorBidi"/>
          <w:kern w:val="24"/>
        </w:rPr>
        <w:t xml:space="preserve">3.1.4- </w:t>
      </w:r>
      <w:r w:rsidR="00B06B8A" w:rsidRPr="00414F3C">
        <w:rPr>
          <w:rFonts w:asciiTheme="majorBidi" w:hAnsiTheme="majorBidi" w:cstheme="majorBidi"/>
          <w:kern w:val="24"/>
        </w:rPr>
        <w:t>Risque</w:t>
      </w:r>
      <w:r w:rsidR="002760B2" w:rsidRPr="00414F3C">
        <w:rPr>
          <w:rFonts w:asciiTheme="majorBidi" w:hAnsiTheme="majorBidi" w:cstheme="majorBidi"/>
          <w:kern w:val="24"/>
        </w:rPr>
        <w:t xml:space="preserve"> opérationnel</w:t>
      </w:r>
      <w:bookmarkEnd w:id="1040"/>
      <w:bookmarkEnd w:id="1041"/>
      <w:bookmarkEnd w:id="1042"/>
      <w:bookmarkEnd w:id="1043"/>
      <w:bookmarkEnd w:id="1044"/>
      <w:bookmarkEnd w:id="1045"/>
      <w:bookmarkEnd w:id="1046"/>
    </w:p>
    <w:p w14:paraId="48F825DC" w14:textId="77777777" w:rsidR="002760B2" w:rsidRPr="00414F3C" w:rsidRDefault="002760B2" w:rsidP="00414F3C">
      <w:pPr>
        <w:pStyle w:val="Retraitcorpsdetexte"/>
        <w:suppressAutoHyphens/>
        <w:spacing w:before="120" w:line="300" w:lineRule="auto"/>
        <w:rPr>
          <w:rFonts w:asciiTheme="majorBidi" w:hAnsiTheme="majorBidi" w:cstheme="majorBidi"/>
          <w:kern w:val="24"/>
        </w:rPr>
      </w:pPr>
      <w:r w:rsidRPr="00414F3C">
        <w:rPr>
          <w:rFonts w:asciiTheme="majorBidi" w:hAnsiTheme="majorBidi" w:cstheme="majorBidi"/>
          <w:kern w:val="24"/>
        </w:rPr>
        <w:t>Suite à la nouvelle apparition des BI, ces dernières sont beaucoup plus confrontées au risque opérationnel que leurs consœurs classiques. Le risque opérationnel est lié à un manque de personnel qualifié, apte à gérer efficacement le système de contrôle interne</w:t>
      </w:r>
      <w:r w:rsidR="00BA7E42" w:rsidRPr="00414F3C">
        <w:rPr>
          <w:rFonts w:asciiTheme="majorBidi" w:hAnsiTheme="majorBidi" w:cstheme="majorBidi"/>
          <w:kern w:val="24"/>
        </w:rPr>
        <w:t>.</w:t>
      </w:r>
      <w:r w:rsidRPr="00414F3C">
        <w:rPr>
          <w:rFonts w:asciiTheme="majorBidi" w:hAnsiTheme="majorBidi" w:cstheme="majorBidi"/>
          <w:kern w:val="24"/>
        </w:rPr>
        <w:t xml:space="preserve"> </w:t>
      </w:r>
      <w:r w:rsidR="00BA7E42" w:rsidRPr="00414F3C">
        <w:rPr>
          <w:rFonts w:asciiTheme="majorBidi" w:hAnsiTheme="majorBidi" w:cstheme="majorBidi"/>
          <w:kern w:val="24"/>
        </w:rPr>
        <w:t>Ce</w:t>
      </w:r>
      <w:r w:rsidRPr="00414F3C">
        <w:rPr>
          <w:rFonts w:asciiTheme="majorBidi" w:hAnsiTheme="majorBidi" w:cstheme="majorBidi"/>
          <w:kern w:val="24"/>
        </w:rPr>
        <w:t xml:space="preserve"> qui est spécifique au secteur bancaire </w:t>
      </w:r>
      <w:r w:rsidR="00505EDD" w:rsidRPr="00414F3C">
        <w:rPr>
          <w:rFonts w:asciiTheme="majorBidi" w:hAnsiTheme="majorBidi" w:cstheme="majorBidi"/>
          <w:kern w:val="24"/>
        </w:rPr>
        <w:t>i</w:t>
      </w:r>
      <w:r w:rsidR="003773C6" w:rsidRPr="00414F3C">
        <w:rPr>
          <w:rFonts w:asciiTheme="majorBidi" w:hAnsiTheme="majorBidi" w:cstheme="majorBidi"/>
          <w:kern w:val="24"/>
        </w:rPr>
        <w:t>slamique</w:t>
      </w:r>
      <w:r w:rsidRPr="00414F3C">
        <w:rPr>
          <w:rFonts w:asciiTheme="majorBidi" w:hAnsiTheme="majorBidi" w:cstheme="majorBidi"/>
          <w:kern w:val="24"/>
        </w:rPr>
        <w:t xml:space="preserve"> est que l’activité financière </w:t>
      </w:r>
      <w:r w:rsidR="00F2675E" w:rsidRPr="00414F3C">
        <w:rPr>
          <w:rFonts w:asciiTheme="majorBidi" w:hAnsiTheme="majorBidi" w:cstheme="majorBidi"/>
          <w:kern w:val="24"/>
        </w:rPr>
        <w:t>i</w:t>
      </w:r>
      <w:r w:rsidR="003773C6" w:rsidRPr="00414F3C">
        <w:rPr>
          <w:rFonts w:asciiTheme="majorBidi" w:hAnsiTheme="majorBidi" w:cstheme="majorBidi"/>
          <w:kern w:val="24"/>
        </w:rPr>
        <w:t>slamique</w:t>
      </w:r>
      <w:r w:rsidRPr="00414F3C">
        <w:rPr>
          <w:rFonts w:asciiTheme="majorBidi" w:hAnsiTheme="majorBidi" w:cstheme="majorBidi"/>
          <w:kern w:val="24"/>
        </w:rPr>
        <w:t xml:space="preserve"> est mal comprise par le personnel. Aussi les logiciels informatiques qui traitent les données et opérations bancaires sont</w:t>
      </w:r>
      <w:r w:rsidR="00BA7E42" w:rsidRPr="00414F3C">
        <w:rPr>
          <w:rFonts w:asciiTheme="majorBidi" w:hAnsiTheme="majorBidi" w:cstheme="majorBidi"/>
          <w:kern w:val="24"/>
        </w:rPr>
        <w:t>-elles</w:t>
      </w:r>
      <w:r w:rsidRPr="00414F3C">
        <w:rPr>
          <w:rFonts w:asciiTheme="majorBidi" w:hAnsiTheme="majorBidi" w:cstheme="majorBidi"/>
          <w:kern w:val="24"/>
        </w:rPr>
        <w:t xml:space="preserve"> </w:t>
      </w:r>
      <w:r w:rsidR="00BA7E42" w:rsidRPr="00414F3C">
        <w:rPr>
          <w:rFonts w:asciiTheme="majorBidi" w:hAnsiTheme="majorBidi" w:cstheme="majorBidi"/>
          <w:kern w:val="24"/>
        </w:rPr>
        <w:t>programmées</w:t>
      </w:r>
      <w:r w:rsidRPr="00414F3C">
        <w:rPr>
          <w:rFonts w:asciiTheme="majorBidi" w:hAnsiTheme="majorBidi" w:cstheme="majorBidi"/>
          <w:kern w:val="24"/>
        </w:rPr>
        <w:t xml:space="preserve"> pour les banques classiques </w:t>
      </w:r>
      <w:r w:rsidR="00BA7E42" w:rsidRPr="00414F3C">
        <w:rPr>
          <w:rFonts w:asciiTheme="majorBidi" w:hAnsiTheme="majorBidi" w:cstheme="majorBidi"/>
          <w:kern w:val="24"/>
        </w:rPr>
        <w:t>donc</w:t>
      </w:r>
      <w:r w:rsidRPr="00414F3C">
        <w:rPr>
          <w:rFonts w:asciiTheme="majorBidi" w:hAnsiTheme="majorBidi" w:cstheme="majorBidi"/>
          <w:kern w:val="24"/>
        </w:rPr>
        <w:t xml:space="preserve">, </w:t>
      </w:r>
      <w:r w:rsidR="00BA7E42" w:rsidRPr="00414F3C">
        <w:rPr>
          <w:rFonts w:asciiTheme="majorBidi" w:hAnsiTheme="majorBidi" w:cstheme="majorBidi"/>
          <w:kern w:val="24"/>
        </w:rPr>
        <w:t>ne pouvant</w:t>
      </w:r>
      <w:r w:rsidRPr="00414F3C">
        <w:rPr>
          <w:rFonts w:asciiTheme="majorBidi" w:hAnsiTheme="majorBidi" w:cstheme="majorBidi"/>
          <w:kern w:val="24"/>
        </w:rPr>
        <w:t xml:space="preserve"> </w:t>
      </w:r>
      <w:r w:rsidR="00BA7E42" w:rsidRPr="00414F3C">
        <w:rPr>
          <w:rFonts w:asciiTheme="majorBidi" w:hAnsiTheme="majorBidi" w:cstheme="majorBidi"/>
          <w:kern w:val="24"/>
        </w:rPr>
        <w:t>leur</w:t>
      </w:r>
      <w:r w:rsidRPr="00414F3C">
        <w:rPr>
          <w:rFonts w:asciiTheme="majorBidi" w:hAnsiTheme="majorBidi" w:cstheme="majorBidi"/>
          <w:kern w:val="24"/>
        </w:rPr>
        <w:t xml:space="preserve"> être utiles.</w:t>
      </w:r>
    </w:p>
    <w:p w14:paraId="72D15424" w14:textId="77777777" w:rsidR="002760B2" w:rsidRPr="00414F3C" w:rsidRDefault="002760B2" w:rsidP="00414F3C">
      <w:pPr>
        <w:tabs>
          <w:tab w:val="left" w:pos="0"/>
        </w:tabs>
        <w:suppressAutoHyphens/>
        <w:spacing w:before="120"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 xml:space="preserve">Selon </w:t>
      </w:r>
      <w:r w:rsidRPr="00414F3C">
        <w:rPr>
          <w:rFonts w:asciiTheme="majorBidi" w:hAnsiTheme="majorBidi" w:cstheme="majorBidi"/>
          <w:smallCaps/>
          <w:kern w:val="24"/>
          <w:sz w:val="24"/>
          <w:szCs w:val="24"/>
        </w:rPr>
        <w:t>Causse-Broquet</w:t>
      </w:r>
      <w:r w:rsidRPr="00414F3C">
        <w:rPr>
          <w:rFonts w:asciiTheme="majorBidi" w:hAnsiTheme="majorBidi" w:cstheme="majorBidi"/>
          <w:kern w:val="24"/>
          <w:sz w:val="24"/>
          <w:szCs w:val="24"/>
        </w:rPr>
        <w:t xml:space="preserve"> (2009),</w:t>
      </w:r>
      <w:r w:rsidR="00BA7E42" w:rsidRPr="00414F3C">
        <w:rPr>
          <w:rFonts w:asciiTheme="majorBidi" w:hAnsiTheme="majorBidi" w:cstheme="majorBidi"/>
          <w:kern w:val="24"/>
          <w:sz w:val="24"/>
          <w:szCs w:val="24"/>
        </w:rPr>
        <w:t xml:space="preserve"> l</w:t>
      </w:r>
      <w:r w:rsidRPr="00414F3C">
        <w:rPr>
          <w:rFonts w:asciiTheme="majorBidi" w:hAnsiTheme="majorBidi" w:cstheme="majorBidi"/>
          <w:kern w:val="24"/>
          <w:sz w:val="24"/>
          <w:szCs w:val="24"/>
        </w:rPr>
        <w:t xml:space="preserve">a banque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est particulièrement exposée aux risques opérationnels pour les raisons suivantes</w:t>
      </w:r>
      <w:r w:rsidRPr="00414F3C">
        <w:rPr>
          <w:rStyle w:val="Appelnotedebasdep"/>
          <w:rFonts w:asciiTheme="majorBidi" w:hAnsiTheme="majorBidi" w:cstheme="majorBidi"/>
          <w:kern w:val="24"/>
          <w:sz w:val="24"/>
          <w:szCs w:val="24"/>
        </w:rPr>
        <w:footnoteReference w:id="251"/>
      </w:r>
      <w:r w:rsidRPr="00414F3C">
        <w:rPr>
          <w:rFonts w:asciiTheme="majorBidi" w:hAnsiTheme="majorBidi" w:cstheme="majorBidi"/>
          <w:kern w:val="24"/>
          <w:sz w:val="24"/>
          <w:szCs w:val="24"/>
        </w:rPr>
        <w:t> :</w:t>
      </w:r>
    </w:p>
    <w:p w14:paraId="6395E682" w14:textId="7D11C40D" w:rsidR="002760B2" w:rsidRPr="00414F3C" w:rsidRDefault="002760B2" w:rsidP="00CB0FF1">
      <w:pPr>
        <w:pStyle w:val="Paragraphedeliste"/>
        <w:numPr>
          <w:ilvl w:val="0"/>
          <w:numId w:val="16"/>
        </w:numPr>
        <w:tabs>
          <w:tab w:val="left" w:pos="284"/>
          <w:tab w:val="left" w:pos="851"/>
          <w:tab w:val="left" w:pos="1134"/>
        </w:tabs>
        <w:suppressAutoHyphens/>
        <w:spacing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La non-standardisation de la plupart des produits bancaires qui peuvent présenter des différences selon les pays, selon les banques et selon les exigences des membres du comité de la </w:t>
      </w:r>
      <w:bookmarkStart w:id="1047" w:name="_Hlk167398650"/>
      <w:r w:rsidR="00675057" w:rsidRPr="00414F3C">
        <w:rPr>
          <w:rFonts w:asciiTheme="majorBidi" w:hAnsiTheme="majorBidi" w:cstheme="majorBidi"/>
          <w:i/>
          <w:kern w:val="24"/>
          <w:sz w:val="24"/>
          <w:szCs w:val="24"/>
        </w:rPr>
        <w:t>S</w:t>
      </w:r>
      <w:r w:rsidRPr="00414F3C">
        <w:rPr>
          <w:rFonts w:asciiTheme="majorBidi" w:hAnsiTheme="majorBidi" w:cstheme="majorBidi"/>
          <w:i/>
          <w:kern w:val="24"/>
          <w:sz w:val="24"/>
          <w:szCs w:val="24"/>
        </w:rPr>
        <w:t>haria</w:t>
      </w:r>
      <w:r w:rsidR="00675057" w:rsidRPr="00414F3C">
        <w:rPr>
          <w:rFonts w:asciiTheme="majorBidi" w:hAnsiTheme="majorBidi" w:cstheme="majorBidi"/>
          <w:i/>
          <w:kern w:val="24"/>
          <w:sz w:val="24"/>
          <w:szCs w:val="24"/>
        </w:rPr>
        <w:t>h</w:t>
      </w:r>
      <w:bookmarkEnd w:id="1047"/>
      <w:r w:rsidRPr="00414F3C">
        <w:rPr>
          <w:rFonts w:asciiTheme="majorBidi" w:hAnsiTheme="majorBidi" w:cstheme="majorBidi"/>
          <w:kern w:val="24"/>
          <w:sz w:val="24"/>
          <w:szCs w:val="24"/>
        </w:rPr>
        <w:t>. Par conséquent, il n’existe pas de référence pour rédiger les contrats et pour régler les conflits éventuels ;</w:t>
      </w:r>
    </w:p>
    <w:p w14:paraId="08B8E5C4" w14:textId="77777777" w:rsidR="002760B2" w:rsidRPr="00414F3C" w:rsidRDefault="002760B2" w:rsidP="00CB0FF1">
      <w:pPr>
        <w:pStyle w:val="Paragraphedeliste"/>
        <w:numPr>
          <w:ilvl w:val="0"/>
          <w:numId w:val="16"/>
        </w:numPr>
        <w:tabs>
          <w:tab w:val="left" w:pos="284"/>
          <w:tab w:val="left" w:pos="851"/>
          <w:tab w:val="left" w:pos="1134"/>
        </w:tabs>
        <w:suppressAutoHyphens/>
        <w:spacing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La complexité de la gestion des produits basés sur le principe 3P, à laquelle s’ajoute la diversité des placements possibles ;</w:t>
      </w:r>
    </w:p>
    <w:p w14:paraId="38535031" w14:textId="77777777" w:rsidR="002760B2" w:rsidRPr="00414F3C" w:rsidRDefault="002760B2" w:rsidP="00CB0FF1">
      <w:pPr>
        <w:pStyle w:val="Paragraphedeliste"/>
        <w:numPr>
          <w:ilvl w:val="0"/>
          <w:numId w:val="16"/>
        </w:numPr>
        <w:tabs>
          <w:tab w:val="left" w:pos="284"/>
          <w:tab w:val="left" w:pos="851"/>
          <w:tab w:val="left" w:pos="1134"/>
        </w:tabs>
        <w:suppressAutoHyphens/>
        <w:spacing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L’inexpérience du personnel des BI due à la création relativement récente de ces banques ;</w:t>
      </w:r>
    </w:p>
    <w:p w14:paraId="6F384648" w14:textId="77777777" w:rsidR="002760B2" w:rsidRPr="00414F3C" w:rsidRDefault="002760B2" w:rsidP="00CB0FF1">
      <w:pPr>
        <w:pStyle w:val="Paragraphedeliste"/>
        <w:numPr>
          <w:ilvl w:val="0"/>
          <w:numId w:val="16"/>
        </w:numPr>
        <w:tabs>
          <w:tab w:val="left" w:pos="284"/>
          <w:tab w:val="left" w:pos="851"/>
          <w:tab w:val="left" w:pos="1134"/>
        </w:tabs>
        <w:suppressAutoHyphens/>
        <w:spacing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L’inexistence de systèmes d’informations de gestion et de logici</w:t>
      </w:r>
      <w:r w:rsidR="007B10C9" w:rsidRPr="00414F3C">
        <w:rPr>
          <w:rFonts w:asciiTheme="majorBidi" w:hAnsiTheme="majorBidi" w:cstheme="majorBidi"/>
          <w:kern w:val="24"/>
          <w:sz w:val="24"/>
          <w:szCs w:val="24"/>
        </w:rPr>
        <w:t>els adaptés à l’activité des BI ;</w:t>
      </w:r>
    </w:p>
    <w:p w14:paraId="5CED3A3B" w14:textId="7946D542" w:rsidR="002760B2" w:rsidRPr="00414F3C" w:rsidRDefault="002760B2" w:rsidP="00CB0FF1">
      <w:pPr>
        <w:pStyle w:val="Paragraphedeliste"/>
        <w:numPr>
          <w:ilvl w:val="0"/>
          <w:numId w:val="16"/>
        </w:numPr>
        <w:tabs>
          <w:tab w:val="left" w:pos="284"/>
          <w:tab w:val="left" w:pos="851"/>
          <w:tab w:val="left" w:pos="1134"/>
        </w:tabs>
        <w:suppressAutoHyphens/>
        <w:spacing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 risque de réputation provenant de rumeurs (financement du terrorisme, laxisme de la conformité de la </w:t>
      </w:r>
      <w:r w:rsidR="00675057" w:rsidRPr="00414F3C">
        <w:rPr>
          <w:rFonts w:asciiTheme="majorBidi" w:hAnsiTheme="majorBidi" w:cstheme="majorBidi"/>
          <w:i/>
          <w:kern w:val="24"/>
          <w:sz w:val="24"/>
          <w:szCs w:val="24"/>
        </w:rPr>
        <w:t>Shariah</w:t>
      </w:r>
      <w:r w:rsidR="00675057"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w:t>
      </w:r>
    </w:p>
    <w:p w14:paraId="13DFCFDD" w14:textId="77777777" w:rsidR="002760B2" w:rsidRPr="00414F3C" w:rsidRDefault="003F0D59" w:rsidP="00CF4DA7">
      <w:pPr>
        <w:pStyle w:val="Titre4"/>
        <w:suppressAutoHyphens/>
        <w:spacing w:before="120" w:after="120" w:line="300" w:lineRule="auto"/>
        <w:ind w:firstLine="709"/>
        <w:rPr>
          <w:rFonts w:asciiTheme="majorBidi" w:hAnsiTheme="majorBidi" w:cstheme="majorBidi"/>
          <w:kern w:val="24"/>
        </w:rPr>
      </w:pPr>
      <w:bookmarkStart w:id="1048" w:name="_Toc33263323"/>
      <w:bookmarkStart w:id="1049" w:name="_Toc37664586"/>
      <w:bookmarkStart w:id="1050" w:name="_Toc37666431"/>
      <w:bookmarkStart w:id="1051" w:name="_Toc54363320"/>
      <w:bookmarkStart w:id="1052" w:name="_Toc58606313"/>
      <w:bookmarkStart w:id="1053" w:name="_Toc61263518"/>
      <w:bookmarkStart w:id="1054" w:name="_Toc182298782"/>
      <w:r w:rsidRPr="00414F3C">
        <w:rPr>
          <w:rFonts w:asciiTheme="majorBidi" w:hAnsiTheme="majorBidi" w:cstheme="majorBidi"/>
          <w:kern w:val="24"/>
        </w:rPr>
        <w:lastRenderedPageBreak/>
        <w:t xml:space="preserve">3.1.5- </w:t>
      </w:r>
      <w:r w:rsidR="002760B2" w:rsidRPr="00414F3C">
        <w:rPr>
          <w:rFonts w:asciiTheme="majorBidi" w:hAnsiTheme="majorBidi" w:cstheme="majorBidi"/>
          <w:kern w:val="24"/>
        </w:rPr>
        <w:t xml:space="preserve">Autres risques spécifiques aux banques </w:t>
      </w:r>
      <w:r w:rsidR="00505EDD" w:rsidRPr="00414F3C">
        <w:rPr>
          <w:rFonts w:asciiTheme="majorBidi" w:hAnsiTheme="majorBidi" w:cstheme="majorBidi"/>
          <w:kern w:val="24"/>
        </w:rPr>
        <w:t>i</w:t>
      </w:r>
      <w:r w:rsidR="003773C6" w:rsidRPr="00414F3C">
        <w:rPr>
          <w:rFonts w:asciiTheme="majorBidi" w:hAnsiTheme="majorBidi" w:cstheme="majorBidi"/>
          <w:kern w:val="24"/>
        </w:rPr>
        <w:t>slamique</w:t>
      </w:r>
      <w:r w:rsidR="002760B2" w:rsidRPr="00414F3C">
        <w:rPr>
          <w:rFonts w:asciiTheme="majorBidi" w:hAnsiTheme="majorBidi" w:cstheme="majorBidi"/>
          <w:kern w:val="24"/>
        </w:rPr>
        <w:t>s</w:t>
      </w:r>
      <w:bookmarkEnd w:id="1048"/>
      <w:bookmarkEnd w:id="1049"/>
      <w:bookmarkEnd w:id="1050"/>
      <w:bookmarkEnd w:id="1051"/>
      <w:bookmarkEnd w:id="1052"/>
      <w:bookmarkEnd w:id="1053"/>
      <w:bookmarkEnd w:id="1054"/>
    </w:p>
    <w:p w14:paraId="0C361061" w14:textId="77777777" w:rsidR="002760B2" w:rsidRPr="00414F3C" w:rsidRDefault="002760B2" w:rsidP="00CF4DA7">
      <w:pPr>
        <w:pStyle w:val="Paragraphedeliste"/>
        <w:keepNext/>
        <w:tabs>
          <w:tab w:val="left" w:pos="0"/>
        </w:tabs>
        <w:suppressAutoHyphens/>
        <w:spacing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A côté des risques cités ci-dessus, il existe d’autres risques liés au financement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Parmi ces risques</w:t>
      </w:r>
      <w:r w:rsidR="0063037D"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w:t>
      </w:r>
      <w:r w:rsidR="0063037D" w:rsidRPr="00414F3C">
        <w:rPr>
          <w:rFonts w:asciiTheme="majorBidi" w:hAnsiTheme="majorBidi" w:cstheme="majorBidi"/>
          <w:kern w:val="24"/>
          <w:sz w:val="24"/>
          <w:szCs w:val="24"/>
        </w:rPr>
        <w:t>nous</w:t>
      </w:r>
      <w:r w:rsidRPr="00414F3C">
        <w:rPr>
          <w:rFonts w:asciiTheme="majorBidi" w:hAnsiTheme="majorBidi" w:cstheme="majorBidi"/>
          <w:kern w:val="24"/>
          <w:sz w:val="24"/>
          <w:szCs w:val="24"/>
        </w:rPr>
        <w:t xml:space="preserve"> </w:t>
      </w:r>
      <w:r w:rsidR="0063037D" w:rsidRPr="00414F3C">
        <w:rPr>
          <w:rFonts w:asciiTheme="majorBidi" w:hAnsiTheme="majorBidi" w:cstheme="majorBidi"/>
          <w:kern w:val="24"/>
          <w:sz w:val="24"/>
          <w:szCs w:val="24"/>
        </w:rPr>
        <w:t>citons</w:t>
      </w:r>
      <w:r w:rsidRPr="00414F3C">
        <w:rPr>
          <w:rFonts w:asciiTheme="majorBidi" w:hAnsiTheme="majorBidi" w:cstheme="majorBidi"/>
          <w:kern w:val="24"/>
          <w:sz w:val="24"/>
          <w:szCs w:val="24"/>
        </w:rPr>
        <w:t> :</w:t>
      </w:r>
    </w:p>
    <w:p w14:paraId="111F0A78" w14:textId="77777777" w:rsidR="002760B2" w:rsidRPr="00414F3C" w:rsidRDefault="00D263F9" w:rsidP="00CF4DA7">
      <w:pPr>
        <w:pStyle w:val="Titre5"/>
        <w:keepNext w:val="0"/>
        <w:keepLines w:val="0"/>
        <w:suppressAutoHyphens/>
        <w:spacing w:before="120" w:line="300" w:lineRule="auto"/>
        <w:ind w:firstLine="709"/>
        <w:rPr>
          <w:rFonts w:asciiTheme="majorBidi" w:hAnsiTheme="majorBidi"/>
          <w:b/>
          <w:bCs/>
          <w:color w:val="auto"/>
          <w:kern w:val="24"/>
          <w:sz w:val="24"/>
          <w:szCs w:val="24"/>
        </w:rPr>
      </w:pPr>
      <w:bookmarkStart w:id="1055" w:name="_Toc182298783"/>
      <w:r w:rsidRPr="00414F3C">
        <w:rPr>
          <w:rFonts w:asciiTheme="majorBidi" w:hAnsiTheme="majorBidi"/>
          <w:b/>
          <w:bCs/>
          <w:color w:val="auto"/>
          <w:kern w:val="24"/>
          <w:sz w:val="24"/>
          <w:szCs w:val="24"/>
        </w:rPr>
        <w:t>3.1.5.1- R</w:t>
      </w:r>
      <w:r w:rsidR="00CB79CC" w:rsidRPr="00414F3C">
        <w:rPr>
          <w:rFonts w:asciiTheme="majorBidi" w:hAnsiTheme="majorBidi"/>
          <w:b/>
          <w:bCs/>
          <w:color w:val="auto"/>
          <w:kern w:val="24"/>
          <w:sz w:val="24"/>
          <w:szCs w:val="24"/>
        </w:rPr>
        <w:t>isque juridique</w:t>
      </w:r>
      <w:bookmarkEnd w:id="1055"/>
    </w:p>
    <w:p w14:paraId="6EE15E08" w14:textId="2C61DFE1" w:rsidR="002760B2" w:rsidRPr="00414F3C" w:rsidRDefault="002760B2" w:rsidP="00CF4DA7">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eastAsiaTheme="minorHAnsi" w:hAnsiTheme="majorBidi" w:cstheme="majorBidi"/>
          <w:kern w:val="24"/>
          <w:sz w:val="24"/>
          <w:szCs w:val="24"/>
        </w:rPr>
        <w:t>Les pr</w:t>
      </w:r>
      <w:r w:rsidR="002E6080" w:rsidRPr="00414F3C">
        <w:rPr>
          <w:rFonts w:asciiTheme="majorBidi" w:eastAsiaTheme="minorHAnsi" w:hAnsiTheme="majorBidi" w:cstheme="majorBidi"/>
          <w:kern w:val="24"/>
          <w:sz w:val="24"/>
          <w:szCs w:val="24"/>
        </w:rPr>
        <w:t>oblèmes juridiques empêchent les banques</w:t>
      </w:r>
      <w:r w:rsidRPr="00414F3C">
        <w:rPr>
          <w:rFonts w:asciiTheme="majorBidi" w:eastAsiaTheme="minorHAnsi" w:hAnsiTheme="majorBidi" w:cstheme="majorBidi"/>
          <w:kern w:val="24"/>
          <w:sz w:val="24"/>
          <w:szCs w:val="24"/>
        </w:rPr>
        <w:t xml:space="preserve"> </w:t>
      </w:r>
      <w:r w:rsidR="00505EDD" w:rsidRPr="00414F3C">
        <w:rPr>
          <w:rFonts w:asciiTheme="majorBidi" w:eastAsiaTheme="minorHAnsi" w:hAnsiTheme="majorBidi" w:cstheme="majorBidi"/>
          <w:kern w:val="24"/>
          <w:sz w:val="24"/>
          <w:szCs w:val="24"/>
        </w:rPr>
        <w:t>i</w:t>
      </w:r>
      <w:r w:rsidR="003773C6" w:rsidRPr="00414F3C">
        <w:rPr>
          <w:rFonts w:asciiTheme="majorBidi" w:eastAsiaTheme="minorHAnsi" w:hAnsiTheme="majorBidi" w:cstheme="majorBidi"/>
          <w:kern w:val="24"/>
          <w:sz w:val="24"/>
          <w:szCs w:val="24"/>
        </w:rPr>
        <w:t>slamique</w:t>
      </w:r>
      <w:r w:rsidR="002E6080" w:rsidRPr="00414F3C">
        <w:rPr>
          <w:rFonts w:asciiTheme="majorBidi" w:eastAsiaTheme="minorHAnsi" w:hAnsiTheme="majorBidi" w:cstheme="majorBidi"/>
          <w:kern w:val="24"/>
          <w:sz w:val="24"/>
          <w:szCs w:val="24"/>
        </w:rPr>
        <w:t>s</w:t>
      </w:r>
      <w:r w:rsidRPr="00414F3C">
        <w:rPr>
          <w:rFonts w:asciiTheme="majorBidi" w:eastAsiaTheme="minorHAnsi" w:hAnsiTheme="majorBidi" w:cstheme="majorBidi"/>
          <w:kern w:val="24"/>
          <w:sz w:val="24"/>
          <w:szCs w:val="24"/>
        </w:rPr>
        <w:t xml:space="preserve"> de se développer dans des</w:t>
      </w:r>
      <w:r w:rsidRPr="00414F3C">
        <w:rPr>
          <w:rFonts w:asciiTheme="majorBidi" w:hAnsiTheme="majorBidi" w:cstheme="majorBidi"/>
          <w:kern w:val="24"/>
          <w:sz w:val="24"/>
          <w:szCs w:val="24"/>
        </w:rPr>
        <w:t xml:space="preserve"> pays où la législation ne s’adapte pas aux préceptes de la </w:t>
      </w:r>
      <w:r w:rsidR="001124FF" w:rsidRPr="00414F3C">
        <w:rPr>
          <w:rFonts w:asciiTheme="majorBidi" w:eastAsia="Times New Roman" w:hAnsiTheme="majorBidi" w:cstheme="majorBidi"/>
          <w:i/>
          <w:iCs/>
          <w:color w:val="000000" w:themeColor="text1"/>
          <w:kern w:val="24"/>
          <w:sz w:val="24"/>
          <w:szCs w:val="24"/>
          <w:lang w:eastAsia="fr-FR"/>
        </w:rPr>
        <w:t>Shariah</w:t>
      </w:r>
      <w:r w:rsidRPr="00414F3C">
        <w:rPr>
          <w:rFonts w:asciiTheme="majorBidi" w:hAnsiTheme="majorBidi" w:cstheme="majorBidi"/>
          <w:kern w:val="24"/>
          <w:sz w:val="24"/>
          <w:szCs w:val="24"/>
        </w:rPr>
        <w:t xml:space="preserve">. L’absence d’un cadre juridique destiné à résoudre les problèmes liés à l’exécution des contrats financiers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s peut créer des insuffisances en termes de gestion. Selon </w:t>
      </w:r>
      <w:r w:rsidRPr="00414F3C">
        <w:rPr>
          <w:rFonts w:asciiTheme="majorBidi" w:hAnsiTheme="majorBidi" w:cstheme="majorBidi"/>
          <w:smallCaps/>
          <w:kern w:val="24"/>
          <w:sz w:val="24"/>
          <w:szCs w:val="24"/>
        </w:rPr>
        <w:t>Haideur</w:t>
      </w:r>
      <w:r w:rsidRPr="00414F3C">
        <w:rPr>
          <w:rFonts w:asciiTheme="majorBidi" w:hAnsiTheme="majorBidi" w:cstheme="majorBidi"/>
          <w:kern w:val="24"/>
          <w:sz w:val="24"/>
          <w:szCs w:val="24"/>
        </w:rPr>
        <w:t xml:space="preserve"> (2009)</w:t>
      </w:r>
      <w:r w:rsidRPr="00414F3C">
        <w:rPr>
          <w:rStyle w:val="Appelnotedebasdep"/>
          <w:rFonts w:asciiTheme="majorBidi" w:hAnsiTheme="majorBidi" w:cstheme="majorBidi"/>
          <w:kern w:val="24"/>
          <w:sz w:val="24"/>
          <w:szCs w:val="24"/>
        </w:rPr>
        <w:footnoteReference w:id="252"/>
      </w:r>
      <w:r w:rsidRPr="00414F3C">
        <w:rPr>
          <w:rFonts w:asciiTheme="majorBidi" w:hAnsiTheme="majorBidi" w:cstheme="majorBidi"/>
          <w:kern w:val="24"/>
          <w:sz w:val="24"/>
          <w:szCs w:val="24"/>
        </w:rPr>
        <w:t>, ce risque est dû à :</w:t>
      </w:r>
    </w:p>
    <w:p w14:paraId="56E13AD6" w14:textId="77777777" w:rsidR="002760B2" w:rsidRPr="00414F3C" w:rsidRDefault="002760B2" w:rsidP="00CB0FF1">
      <w:pPr>
        <w:pStyle w:val="Paragraphedeliste"/>
        <w:numPr>
          <w:ilvl w:val="0"/>
          <w:numId w:val="14"/>
        </w:numPr>
        <w:tabs>
          <w:tab w:val="left" w:pos="426"/>
          <w:tab w:val="left" w:pos="851"/>
          <w:tab w:val="left" w:pos="993"/>
          <w:tab w:val="left" w:pos="1134"/>
        </w:tabs>
        <w:suppressAutoHyphens/>
        <w:autoSpaceDE w:val="0"/>
        <w:autoSpaceDN w:val="0"/>
        <w:adjustRightInd w:val="0"/>
        <w:spacing w:before="60" w:line="300" w:lineRule="auto"/>
        <w:ind w:left="1135" w:hanging="284"/>
        <w:contextualSpacing w:val="0"/>
        <w:rPr>
          <w:rFonts w:asciiTheme="majorBidi" w:hAnsiTheme="majorBidi" w:cstheme="majorBidi"/>
          <w:color w:val="000000"/>
          <w:kern w:val="24"/>
          <w:sz w:val="24"/>
          <w:szCs w:val="24"/>
        </w:rPr>
      </w:pPr>
      <w:r w:rsidRPr="00414F3C">
        <w:rPr>
          <w:rFonts w:asciiTheme="majorBidi" w:hAnsiTheme="majorBidi" w:cstheme="majorBidi"/>
          <w:color w:val="000000"/>
          <w:kern w:val="24"/>
          <w:sz w:val="24"/>
          <w:szCs w:val="24"/>
        </w:rPr>
        <w:t>Des vides juridiques, ambigüités ou inadaptations des textes législatifs et réglementaires</w:t>
      </w:r>
      <w:r w:rsidR="0063037D" w:rsidRPr="00414F3C">
        <w:rPr>
          <w:rFonts w:asciiTheme="majorBidi" w:hAnsiTheme="majorBidi" w:cstheme="majorBidi"/>
          <w:color w:val="000000"/>
          <w:kern w:val="24"/>
          <w:sz w:val="24"/>
          <w:szCs w:val="24"/>
        </w:rPr>
        <w:t>,</w:t>
      </w:r>
    </w:p>
    <w:p w14:paraId="199B0D2B" w14:textId="77777777" w:rsidR="002760B2" w:rsidRPr="00414F3C" w:rsidRDefault="002760B2" w:rsidP="00CB0FF1">
      <w:pPr>
        <w:pStyle w:val="Paragraphedeliste"/>
        <w:numPr>
          <w:ilvl w:val="0"/>
          <w:numId w:val="14"/>
        </w:numPr>
        <w:tabs>
          <w:tab w:val="left" w:pos="426"/>
          <w:tab w:val="left" w:pos="851"/>
          <w:tab w:val="left" w:pos="993"/>
          <w:tab w:val="left" w:pos="1134"/>
        </w:tabs>
        <w:suppressAutoHyphens/>
        <w:autoSpaceDE w:val="0"/>
        <w:autoSpaceDN w:val="0"/>
        <w:adjustRightInd w:val="0"/>
        <w:spacing w:before="60" w:line="300" w:lineRule="auto"/>
        <w:ind w:left="1135" w:hanging="284"/>
        <w:contextualSpacing w:val="0"/>
        <w:rPr>
          <w:rFonts w:asciiTheme="majorBidi" w:hAnsiTheme="majorBidi" w:cstheme="majorBidi"/>
          <w:color w:val="000000"/>
          <w:kern w:val="24"/>
          <w:sz w:val="24"/>
          <w:szCs w:val="24"/>
        </w:rPr>
      </w:pPr>
      <w:r w:rsidRPr="00414F3C">
        <w:rPr>
          <w:rFonts w:asciiTheme="majorBidi" w:hAnsiTheme="majorBidi" w:cstheme="majorBidi"/>
          <w:color w:val="000000"/>
          <w:kern w:val="24"/>
          <w:sz w:val="24"/>
          <w:szCs w:val="24"/>
        </w:rPr>
        <w:t>Une déficience du système judiciaire</w:t>
      </w:r>
      <w:r w:rsidR="0063037D" w:rsidRPr="00414F3C">
        <w:rPr>
          <w:rFonts w:asciiTheme="majorBidi" w:hAnsiTheme="majorBidi" w:cstheme="majorBidi"/>
          <w:color w:val="000000"/>
          <w:kern w:val="24"/>
          <w:sz w:val="24"/>
          <w:szCs w:val="24"/>
        </w:rPr>
        <w:t>,</w:t>
      </w:r>
    </w:p>
    <w:p w14:paraId="6C54F3E6" w14:textId="77777777" w:rsidR="002760B2" w:rsidRPr="00414F3C" w:rsidRDefault="002760B2" w:rsidP="00CB0FF1">
      <w:pPr>
        <w:pStyle w:val="Paragraphedeliste"/>
        <w:numPr>
          <w:ilvl w:val="0"/>
          <w:numId w:val="14"/>
        </w:numPr>
        <w:tabs>
          <w:tab w:val="left" w:pos="426"/>
          <w:tab w:val="left" w:pos="851"/>
          <w:tab w:val="left" w:pos="993"/>
          <w:tab w:val="left" w:pos="1134"/>
        </w:tabs>
        <w:suppressAutoHyphens/>
        <w:autoSpaceDE w:val="0"/>
        <w:autoSpaceDN w:val="0"/>
        <w:adjustRightInd w:val="0"/>
        <w:spacing w:before="60" w:line="300" w:lineRule="auto"/>
        <w:ind w:left="1135" w:hanging="284"/>
        <w:contextualSpacing w:val="0"/>
        <w:rPr>
          <w:rFonts w:asciiTheme="majorBidi" w:hAnsiTheme="majorBidi" w:cstheme="majorBidi"/>
          <w:color w:val="000000"/>
          <w:kern w:val="24"/>
          <w:sz w:val="24"/>
          <w:szCs w:val="24"/>
        </w:rPr>
      </w:pPr>
      <w:r w:rsidRPr="00414F3C">
        <w:rPr>
          <w:rFonts w:asciiTheme="majorBidi" w:hAnsiTheme="majorBidi" w:cstheme="majorBidi"/>
          <w:color w:val="000000"/>
          <w:kern w:val="24"/>
          <w:sz w:val="24"/>
          <w:szCs w:val="24"/>
        </w:rPr>
        <w:t>Un abus ou un excès d’interprétation des instances judiciaires ou des superviseurs</w:t>
      </w:r>
      <w:r w:rsidR="0063037D" w:rsidRPr="00414F3C">
        <w:rPr>
          <w:rFonts w:asciiTheme="majorBidi" w:hAnsiTheme="majorBidi" w:cstheme="majorBidi"/>
          <w:color w:val="000000"/>
          <w:kern w:val="24"/>
          <w:sz w:val="24"/>
          <w:szCs w:val="24"/>
        </w:rPr>
        <w:t>,</w:t>
      </w:r>
    </w:p>
    <w:p w14:paraId="121DB120" w14:textId="77777777" w:rsidR="002760B2" w:rsidRPr="00414F3C" w:rsidRDefault="002760B2" w:rsidP="00CB0FF1">
      <w:pPr>
        <w:pStyle w:val="Paragraphedeliste"/>
        <w:numPr>
          <w:ilvl w:val="0"/>
          <w:numId w:val="14"/>
        </w:numPr>
        <w:tabs>
          <w:tab w:val="left" w:pos="426"/>
          <w:tab w:val="left" w:pos="851"/>
          <w:tab w:val="left" w:pos="993"/>
          <w:tab w:val="left" w:pos="1134"/>
        </w:tabs>
        <w:suppressAutoHyphens/>
        <w:autoSpaceDE w:val="0"/>
        <w:autoSpaceDN w:val="0"/>
        <w:adjustRightInd w:val="0"/>
        <w:spacing w:before="60" w:line="300" w:lineRule="auto"/>
        <w:ind w:left="1135" w:hanging="284"/>
        <w:contextualSpacing w:val="0"/>
        <w:rPr>
          <w:rFonts w:asciiTheme="majorBidi" w:hAnsiTheme="majorBidi" w:cstheme="majorBidi"/>
          <w:color w:val="000000"/>
          <w:kern w:val="24"/>
          <w:sz w:val="24"/>
          <w:szCs w:val="24"/>
        </w:rPr>
      </w:pPr>
      <w:r w:rsidRPr="00414F3C">
        <w:rPr>
          <w:rFonts w:asciiTheme="majorBidi" w:hAnsiTheme="majorBidi" w:cstheme="majorBidi"/>
          <w:color w:val="000000"/>
          <w:kern w:val="24"/>
          <w:sz w:val="24"/>
          <w:szCs w:val="24"/>
        </w:rPr>
        <w:t>Une défaillance des auxiliaires de justice (huissiers notaires avocat, commissaires-priseurs…).</w:t>
      </w:r>
    </w:p>
    <w:p w14:paraId="1820C1C3" w14:textId="77777777" w:rsidR="002760B2" w:rsidRPr="00414F3C" w:rsidRDefault="002760B2" w:rsidP="00CF4DA7">
      <w:pPr>
        <w:tabs>
          <w:tab w:val="left" w:pos="0"/>
        </w:tabs>
        <w:suppressAutoHyphens/>
        <w:spacing w:before="100" w:beforeAutospacing="1"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 xml:space="preserve">D’ailleurs, la plupart des lois bancaires, commerciales et fiscales ainsi que la réglementation y inhérentes ne prévoient pas de dispositions spécifiques aux instruments de la finance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505EDD" w:rsidRPr="00414F3C">
        <w:rPr>
          <w:rFonts w:asciiTheme="majorBidi" w:hAnsiTheme="majorBidi" w:cstheme="majorBidi"/>
          <w:kern w:val="24"/>
          <w:sz w:val="24"/>
          <w:szCs w:val="24"/>
        </w:rPr>
        <w:t>. Les b</w:t>
      </w:r>
      <w:r w:rsidRPr="00414F3C">
        <w:rPr>
          <w:rFonts w:asciiTheme="majorBidi" w:hAnsiTheme="majorBidi" w:cstheme="majorBidi"/>
          <w:kern w:val="24"/>
          <w:sz w:val="24"/>
          <w:szCs w:val="24"/>
        </w:rPr>
        <w:t xml:space="preserve">anques </w:t>
      </w:r>
      <w:r w:rsidR="0063037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s sont soumises au même régime que les banques conventionnelles. Leurs opérations sont qualifiées juridiquement, comptablement et fiscalement de la même manière que leurs corollaires conventionnels. Les pratiques bancaires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 sont tolérées mais leurs spécificités ne sont pas juridiquement reconnues en tant que telles.</w:t>
      </w:r>
    </w:p>
    <w:p w14:paraId="3BB624F7" w14:textId="77777777" w:rsidR="002760B2" w:rsidRPr="00414F3C" w:rsidRDefault="002760B2" w:rsidP="00CF4DA7">
      <w:pPr>
        <w:tabs>
          <w:tab w:val="left" w:pos="0"/>
          <w:tab w:val="left" w:pos="7797"/>
        </w:tabs>
        <w:suppressAutoHyphens/>
        <w:spacing w:before="120"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 xml:space="preserve">Ainsi, les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 sont confrontées à des obstacles d’ordre fiscal, puisqu’elles supportent des charges fiscales supplémentaires par rapport aux banques conventionnelles. Ceci s’explique par le fait que les opérations d’achat/vente (</w:t>
      </w:r>
      <w:r w:rsidRPr="00414F3C">
        <w:rPr>
          <w:rFonts w:asciiTheme="majorBidi" w:hAnsiTheme="majorBidi" w:cstheme="majorBidi"/>
          <w:i/>
          <w:iCs/>
          <w:kern w:val="24"/>
          <w:sz w:val="24"/>
          <w:szCs w:val="24"/>
        </w:rPr>
        <w:t>mourabaha</w:t>
      </w:r>
      <w:r w:rsidRPr="00414F3C">
        <w:rPr>
          <w:rFonts w:asciiTheme="majorBidi" w:hAnsiTheme="majorBidi" w:cstheme="majorBidi"/>
          <w:kern w:val="24"/>
          <w:sz w:val="24"/>
          <w:szCs w:val="24"/>
        </w:rPr>
        <w:t xml:space="preserve">) </w:t>
      </w:r>
      <w:r w:rsidR="002D4416" w:rsidRPr="00414F3C">
        <w:rPr>
          <w:rFonts w:asciiTheme="majorBidi" w:hAnsiTheme="majorBidi" w:cstheme="majorBidi"/>
          <w:kern w:val="24"/>
          <w:sz w:val="24"/>
          <w:szCs w:val="24"/>
        </w:rPr>
        <w:t>et de location-vente (</w:t>
      </w:r>
      <w:r w:rsidR="002D4416" w:rsidRPr="00414F3C">
        <w:rPr>
          <w:rFonts w:asciiTheme="majorBidi" w:hAnsiTheme="majorBidi" w:cstheme="majorBidi"/>
          <w:i/>
          <w:iCs/>
          <w:kern w:val="24"/>
          <w:sz w:val="24"/>
          <w:szCs w:val="24"/>
        </w:rPr>
        <w:t>wa iktina</w:t>
      </w:r>
      <w:r w:rsidRPr="00414F3C">
        <w:rPr>
          <w:rFonts w:asciiTheme="majorBidi" w:hAnsiTheme="majorBidi" w:cstheme="majorBidi"/>
          <w:kern w:val="24"/>
          <w:sz w:val="24"/>
          <w:szCs w:val="24"/>
        </w:rPr>
        <w:t>) impliquent un transfert de propriété</w:t>
      </w:r>
      <w:r w:rsidR="0063037D"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w:t>
      </w:r>
      <w:r w:rsidR="0063037D" w:rsidRPr="00414F3C">
        <w:rPr>
          <w:rFonts w:asciiTheme="majorBidi" w:hAnsiTheme="majorBidi" w:cstheme="majorBidi"/>
          <w:color w:val="000000" w:themeColor="text1"/>
          <w:kern w:val="24"/>
          <w:sz w:val="24"/>
          <w:szCs w:val="24"/>
        </w:rPr>
        <w:t>C</w:t>
      </w:r>
      <w:r w:rsidRPr="00414F3C">
        <w:rPr>
          <w:rFonts w:asciiTheme="majorBidi" w:hAnsiTheme="majorBidi" w:cstheme="majorBidi"/>
          <w:color w:val="000000" w:themeColor="text1"/>
          <w:kern w:val="24"/>
          <w:sz w:val="24"/>
          <w:szCs w:val="24"/>
        </w:rPr>
        <w:t>e</w:t>
      </w:r>
      <w:r w:rsidR="002E6080" w:rsidRPr="00414F3C">
        <w:rPr>
          <w:rFonts w:asciiTheme="majorBidi" w:hAnsiTheme="majorBidi" w:cstheme="majorBidi"/>
          <w:kern w:val="24"/>
          <w:sz w:val="24"/>
          <w:szCs w:val="24"/>
        </w:rPr>
        <w:t xml:space="preserve"> qui veut dire que la banque assume </w:t>
      </w:r>
      <w:r w:rsidRPr="00414F3C">
        <w:rPr>
          <w:rFonts w:asciiTheme="majorBidi" w:hAnsiTheme="majorBidi" w:cstheme="majorBidi"/>
          <w:kern w:val="24"/>
          <w:sz w:val="24"/>
          <w:szCs w:val="24"/>
        </w:rPr>
        <w:t xml:space="preserve">les risques de </w:t>
      </w:r>
      <w:r w:rsidR="003F0D59" w:rsidRPr="00414F3C">
        <w:rPr>
          <w:rFonts w:asciiTheme="majorBidi" w:hAnsiTheme="majorBidi" w:cstheme="majorBidi"/>
          <w:kern w:val="24"/>
          <w:sz w:val="24"/>
          <w:szCs w:val="24"/>
        </w:rPr>
        <w:t>propriétaire et</w:t>
      </w:r>
      <w:r w:rsidRPr="00414F3C">
        <w:rPr>
          <w:rFonts w:asciiTheme="majorBidi" w:hAnsiTheme="majorBidi" w:cstheme="majorBidi"/>
          <w:kern w:val="24"/>
          <w:sz w:val="24"/>
          <w:szCs w:val="24"/>
        </w:rPr>
        <w:t xml:space="preserve"> elle </w:t>
      </w:r>
      <w:r w:rsidR="002E6080" w:rsidRPr="00414F3C">
        <w:rPr>
          <w:rFonts w:asciiTheme="majorBidi" w:hAnsiTheme="majorBidi" w:cstheme="majorBidi"/>
          <w:kern w:val="24"/>
          <w:sz w:val="24"/>
          <w:szCs w:val="24"/>
        </w:rPr>
        <w:t>est</w:t>
      </w:r>
      <w:r w:rsidRPr="00414F3C">
        <w:rPr>
          <w:rFonts w:asciiTheme="majorBidi" w:hAnsiTheme="majorBidi" w:cstheme="majorBidi"/>
          <w:kern w:val="24"/>
          <w:sz w:val="24"/>
          <w:szCs w:val="24"/>
        </w:rPr>
        <w:t xml:space="preserve"> totalement responsable du bien jusqu’à sa livraison au client. Le même cas s’applique pour les contrats </w:t>
      </w:r>
      <w:r w:rsidRPr="00414F3C">
        <w:rPr>
          <w:rFonts w:asciiTheme="majorBidi" w:hAnsiTheme="majorBidi" w:cstheme="majorBidi"/>
          <w:i/>
          <w:kern w:val="24"/>
          <w:sz w:val="24"/>
          <w:szCs w:val="24"/>
        </w:rPr>
        <w:t>ijara</w:t>
      </w:r>
      <w:r w:rsidRPr="00414F3C">
        <w:rPr>
          <w:rFonts w:asciiTheme="majorBidi" w:hAnsiTheme="majorBidi" w:cstheme="majorBidi"/>
          <w:kern w:val="24"/>
          <w:sz w:val="24"/>
          <w:szCs w:val="24"/>
        </w:rPr>
        <w:t>. Donc</w:t>
      </w:r>
      <w:r w:rsidR="0063037D"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du fait du double transfert de propriété, ces opérations vont créer des charges fiscales lors de chaque transfert ainsi que des impôts sur plus-value.</w:t>
      </w:r>
    </w:p>
    <w:p w14:paraId="55B4EA60" w14:textId="77777777" w:rsidR="002760B2" w:rsidRPr="00414F3C" w:rsidRDefault="00D263F9" w:rsidP="00CF4DA7">
      <w:pPr>
        <w:pStyle w:val="Titre5"/>
        <w:keepNext w:val="0"/>
        <w:keepLines w:val="0"/>
        <w:suppressAutoHyphens/>
        <w:spacing w:before="120" w:line="300" w:lineRule="auto"/>
        <w:ind w:firstLine="709"/>
        <w:rPr>
          <w:rFonts w:asciiTheme="majorBidi" w:hAnsiTheme="majorBidi"/>
          <w:b/>
          <w:bCs/>
          <w:color w:val="auto"/>
          <w:kern w:val="24"/>
          <w:sz w:val="24"/>
          <w:szCs w:val="24"/>
        </w:rPr>
      </w:pPr>
      <w:bookmarkStart w:id="1056" w:name="_Toc182298784"/>
      <w:r w:rsidRPr="00414F3C">
        <w:rPr>
          <w:rFonts w:asciiTheme="majorBidi" w:hAnsiTheme="majorBidi"/>
          <w:b/>
          <w:bCs/>
          <w:color w:val="auto"/>
          <w:kern w:val="24"/>
          <w:sz w:val="24"/>
          <w:szCs w:val="24"/>
        </w:rPr>
        <w:t>3.1.5.2- R</w:t>
      </w:r>
      <w:r w:rsidR="00CB79CC" w:rsidRPr="00414F3C">
        <w:rPr>
          <w:rFonts w:asciiTheme="majorBidi" w:hAnsiTheme="majorBidi"/>
          <w:b/>
          <w:bCs/>
          <w:color w:val="auto"/>
          <w:kern w:val="24"/>
          <w:sz w:val="24"/>
          <w:szCs w:val="24"/>
        </w:rPr>
        <w:t>isque de réputation</w:t>
      </w:r>
      <w:bookmarkEnd w:id="1056"/>
    </w:p>
    <w:p w14:paraId="18904C21" w14:textId="77777777" w:rsidR="00A271FD" w:rsidRPr="00414F3C" w:rsidRDefault="002760B2" w:rsidP="00CF4DA7">
      <w:pPr>
        <w:tabs>
          <w:tab w:val="left" w:pos="0"/>
        </w:tabs>
        <w:suppressAutoHyphens/>
        <w:spacing w:before="120"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 xml:space="preserve">En matière de la finance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la méconnaissance du sujet a cré</w:t>
      </w:r>
      <w:r w:rsidR="00A271FD" w:rsidRPr="00414F3C">
        <w:rPr>
          <w:rFonts w:asciiTheme="majorBidi" w:hAnsiTheme="majorBidi" w:cstheme="majorBidi"/>
          <w:kern w:val="24"/>
          <w:sz w:val="24"/>
          <w:szCs w:val="24"/>
        </w:rPr>
        <w:t>é</w:t>
      </w:r>
      <w:r w:rsidRPr="00414F3C">
        <w:rPr>
          <w:rFonts w:asciiTheme="majorBidi" w:hAnsiTheme="majorBidi" w:cstheme="majorBidi"/>
          <w:kern w:val="24"/>
          <w:sz w:val="24"/>
          <w:szCs w:val="24"/>
        </w:rPr>
        <w:t xml:space="preserve"> diverses réactions, surtout de </w:t>
      </w:r>
      <w:r w:rsidR="00A271FD" w:rsidRPr="00414F3C">
        <w:rPr>
          <w:rFonts w:asciiTheme="majorBidi" w:hAnsiTheme="majorBidi" w:cstheme="majorBidi"/>
          <w:kern w:val="24"/>
          <w:sz w:val="24"/>
          <w:szCs w:val="24"/>
        </w:rPr>
        <w:t>la part des pays non musulmans.</w:t>
      </w:r>
    </w:p>
    <w:p w14:paraId="72C54D00" w14:textId="77777777" w:rsidR="00A271FD" w:rsidRPr="00414F3C" w:rsidRDefault="002760B2" w:rsidP="00CB0FF1">
      <w:pPr>
        <w:pStyle w:val="Paragraphedeliste"/>
        <w:numPr>
          <w:ilvl w:val="0"/>
          <w:numId w:val="59"/>
        </w:numPr>
        <w:tabs>
          <w:tab w:val="left" w:pos="0"/>
        </w:tabs>
        <w:suppressAutoHyphens/>
        <w:spacing w:before="12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En premier lieu, ces pays trouvent que la FI participe au financement du terrorisme. Depuis le 11 septembre 2001, la FI a connu des obstacles à cause de la confusion entre </w:t>
      </w:r>
      <w:r w:rsidR="00F34669" w:rsidRPr="00414F3C">
        <w:rPr>
          <w:rFonts w:asciiTheme="majorBidi" w:hAnsiTheme="majorBidi" w:cstheme="majorBidi"/>
          <w:kern w:val="24"/>
          <w:sz w:val="24"/>
          <w:szCs w:val="24"/>
        </w:rPr>
        <w:t>Islam</w:t>
      </w:r>
      <w:r w:rsidRPr="00414F3C">
        <w:rPr>
          <w:rFonts w:asciiTheme="majorBidi" w:hAnsiTheme="majorBidi" w:cstheme="majorBidi"/>
          <w:kern w:val="24"/>
          <w:sz w:val="24"/>
          <w:szCs w:val="24"/>
        </w:rPr>
        <w:t xml:space="preserve"> et </w:t>
      </w:r>
      <w:r w:rsidR="00D263F9" w:rsidRPr="00414F3C">
        <w:rPr>
          <w:rFonts w:asciiTheme="majorBidi" w:hAnsiTheme="majorBidi" w:cstheme="majorBidi"/>
          <w:kern w:val="24"/>
          <w:sz w:val="24"/>
          <w:szCs w:val="24"/>
        </w:rPr>
        <w:t>t</w:t>
      </w:r>
      <w:r w:rsidRPr="00414F3C">
        <w:rPr>
          <w:rFonts w:asciiTheme="majorBidi" w:hAnsiTheme="majorBidi" w:cstheme="majorBidi"/>
          <w:kern w:val="24"/>
          <w:sz w:val="24"/>
          <w:szCs w:val="24"/>
        </w:rPr>
        <w:t>errorisme après cette date mais</w:t>
      </w:r>
      <w:r w:rsidR="0063037D"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quelques années plus tard, </w:t>
      </w:r>
      <w:r w:rsidR="002E6080" w:rsidRPr="00414F3C">
        <w:rPr>
          <w:rFonts w:asciiTheme="majorBidi" w:hAnsiTheme="majorBidi" w:cstheme="majorBidi"/>
          <w:kern w:val="24"/>
          <w:sz w:val="24"/>
          <w:szCs w:val="24"/>
        </w:rPr>
        <w:t xml:space="preserve">nous </w:t>
      </w:r>
      <w:r w:rsidR="002E6080" w:rsidRPr="00414F3C">
        <w:rPr>
          <w:rFonts w:asciiTheme="majorBidi" w:hAnsiTheme="majorBidi" w:cstheme="majorBidi"/>
          <w:kern w:val="24"/>
          <w:sz w:val="24"/>
          <w:szCs w:val="24"/>
        </w:rPr>
        <w:lastRenderedPageBreak/>
        <w:t>constatons</w:t>
      </w:r>
      <w:r w:rsidRPr="00414F3C">
        <w:rPr>
          <w:rFonts w:asciiTheme="majorBidi" w:hAnsiTheme="majorBidi" w:cstheme="majorBidi"/>
          <w:kern w:val="24"/>
          <w:sz w:val="24"/>
          <w:szCs w:val="24"/>
        </w:rPr>
        <w:t xml:space="preserve"> que les pays développés n’hésitent pas de faire appel aux fonds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s suite à l’essor du secteur financier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Style w:val="Appelnotedebasdep"/>
          <w:rFonts w:asciiTheme="majorBidi" w:hAnsiTheme="majorBidi" w:cstheme="majorBidi"/>
          <w:kern w:val="24"/>
          <w:sz w:val="24"/>
          <w:szCs w:val="24"/>
        </w:rPr>
        <w:footnoteReference w:id="253"/>
      </w:r>
      <w:r w:rsidR="00A271FD" w:rsidRPr="00414F3C">
        <w:rPr>
          <w:rFonts w:asciiTheme="majorBidi" w:hAnsiTheme="majorBidi" w:cstheme="majorBidi"/>
          <w:kern w:val="24"/>
          <w:sz w:val="24"/>
          <w:szCs w:val="24"/>
        </w:rPr>
        <w:t>.</w:t>
      </w:r>
    </w:p>
    <w:p w14:paraId="1627EFFD" w14:textId="7AB099B5" w:rsidR="00B87FA0" w:rsidRPr="00414F3C" w:rsidRDefault="00A271FD" w:rsidP="00CB0FF1">
      <w:pPr>
        <w:pStyle w:val="Paragraphedeliste"/>
        <w:numPr>
          <w:ilvl w:val="0"/>
          <w:numId w:val="59"/>
        </w:numPr>
        <w:tabs>
          <w:tab w:val="left" w:pos="0"/>
        </w:tabs>
        <w:suppressAutoHyphens/>
        <w:spacing w:before="12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En </w:t>
      </w:r>
      <w:r w:rsidR="00414F3C" w:rsidRPr="00414F3C">
        <w:rPr>
          <w:rFonts w:asciiTheme="majorBidi" w:hAnsiTheme="majorBidi" w:cstheme="majorBidi"/>
          <w:kern w:val="24"/>
          <w:sz w:val="24"/>
          <w:szCs w:val="24"/>
        </w:rPr>
        <w:t>second</w:t>
      </w:r>
      <w:r w:rsidRPr="00414F3C">
        <w:rPr>
          <w:rFonts w:asciiTheme="majorBidi" w:hAnsiTheme="majorBidi" w:cstheme="majorBidi"/>
          <w:kern w:val="24"/>
          <w:sz w:val="24"/>
          <w:szCs w:val="24"/>
        </w:rPr>
        <w:t xml:space="preserve"> lieu</w:t>
      </w:r>
      <w:r w:rsidR="002D4416" w:rsidRPr="00414F3C">
        <w:rPr>
          <w:rFonts w:asciiTheme="majorBidi" w:hAnsiTheme="majorBidi" w:cstheme="majorBidi"/>
          <w:kern w:val="24"/>
          <w:sz w:val="24"/>
          <w:szCs w:val="24"/>
        </w:rPr>
        <w:t>, certains</w:t>
      </w:r>
      <w:r w:rsidR="002E6080" w:rsidRPr="00414F3C">
        <w:rPr>
          <w:rFonts w:asciiTheme="majorBidi" w:hAnsiTheme="majorBidi" w:cstheme="majorBidi"/>
          <w:kern w:val="24"/>
          <w:sz w:val="24"/>
          <w:szCs w:val="24"/>
        </w:rPr>
        <w:t xml:space="preserve"> analystes</w:t>
      </w:r>
      <w:r w:rsidR="002D4416" w:rsidRPr="00414F3C">
        <w:rPr>
          <w:rFonts w:asciiTheme="majorBidi" w:hAnsiTheme="majorBidi" w:cstheme="majorBidi"/>
          <w:kern w:val="24"/>
          <w:sz w:val="24"/>
          <w:szCs w:val="24"/>
        </w:rPr>
        <w:t xml:space="preserve"> trouvent </w:t>
      </w:r>
      <w:r w:rsidR="002760B2" w:rsidRPr="00414F3C">
        <w:rPr>
          <w:rFonts w:asciiTheme="majorBidi" w:hAnsiTheme="majorBidi" w:cstheme="majorBidi"/>
          <w:kern w:val="24"/>
          <w:sz w:val="24"/>
          <w:szCs w:val="24"/>
        </w:rPr>
        <w:t>que les opérations bancaires</w:t>
      </w:r>
      <w:r w:rsidR="002D4416"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2D4416" w:rsidRPr="00414F3C">
        <w:rPr>
          <w:rFonts w:asciiTheme="majorBidi" w:hAnsiTheme="majorBidi" w:cstheme="majorBidi"/>
          <w:kern w:val="24"/>
          <w:sz w:val="24"/>
          <w:szCs w:val="24"/>
        </w:rPr>
        <w:t xml:space="preserve">s sont des opérations </w:t>
      </w:r>
      <w:r w:rsidR="002760B2" w:rsidRPr="00414F3C">
        <w:rPr>
          <w:rFonts w:asciiTheme="majorBidi" w:hAnsiTheme="majorBidi" w:cstheme="majorBidi"/>
          <w:kern w:val="24"/>
          <w:sz w:val="24"/>
          <w:szCs w:val="24"/>
        </w:rPr>
        <w:t xml:space="preserve">« marketing » destinées à faire vendre des produits financiers classiques, légèrement modifiés pour pouvoir les présenter comme étant conformes à la </w:t>
      </w:r>
      <w:r w:rsidR="00675057" w:rsidRPr="00414F3C">
        <w:rPr>
          <w:rFonts w:asciiTheme="majorBidi" w:hAnsiTheme="majorBidi" w:cstheme="majorBidi"/>
          <w:i/>
          <w:kern w:val="24"/>
          <w:sz w:val="24"/>
          <w:szCs w:val="24"/>
        </w:rPr>
        <w:t>Shariah</w:t>
      </w:r>
      <w:r w:rsidR="00675057" w:rsidRPr="00414F3C">
        <w:rPr>
          <w:rStyle w:val="Appelnotedebasdep"/>
          <w:rFonts w:asciiTheme="majorBidi" w:hAnsiTheme="majorBidi" w:cstheme="majorBidi"/>
          <w:kern w:val="24"/>
          <w:sz w:val="24"/>
          <w:szCs w:val="24"/>
        </w:rPr>
        <w:t xml:space="preserve"> </w:t>
      </w:r>
      <w:r w:rsidR="002760B2" w:rsidRPr="00414F3C">
        <w:rPr>
          <w:rStyle w:val="Appelnotedebasdep"/>
          <w:rFonts w:asciiTheme="majorBidi" w:hAnsiTheme="majorBidi" w:cstheme="majorBidi"/>
          <w:kern w:val="24"/>
          <w:sz w:val="24"/>
          <w:szCs w:val="24"/>
        </w:rPr>
        <w:footnoteReference w:id="254"/>
      </w:r>
      <w:r w:rsidR="002760B2" w:rsidRPr="00414F3C">
        <w:rPr>
          <w:rFonts w:asciiTheme="majorBidi" w:hAnsiTheme="majorBidi" w:cstheme="majorBidi"/>
          <w:kern w:val="24"/>
          <w:sz w:val="24"/>
          <w:szCs w:val="24"/>
        </w:rPr>
        <w:t>.</w:t>
      </w:r>
      <w:r w:rsidR="00B87FA0" w:rsidRPr="00414F3C">
        <w:rPr>
          <w:rFonts w:asciiTheme="majorBidi" w:hAnsiTheme="majorBidi" w:cstheme="majorBidi"/>
          <w:kern w:val="24"/>
          <w:sz w:val="24"/>
          <w:szCs w:val="24"/>
        </w:rPr>
        <w:t xml:space="preserve"> </w:t>
      </w:r>
      <w:r w:rsidR="002760B2" w:rsidRPr="00414F3C">
        <w:rPr>
          <w:rFonts w:asciiTheme="majorBidi" w:hAnsiTheme="majorBidi" w:cstheme="majorBidi"/>
          <w:kern w:val="24"/>
          <w:sz w:val="24"/>
          <w:szCs w:val="24"/>
        </w:rPr>
        <w:t xml:space="preserve">Selon le rapport de </w:t>
      </w:r>
      <w:r w:rsidR="002760B2" w:rsidRPr="00414F3C">
        <w:rPr>
          <w:rFonts w:asciiTheme="majorBidi" w:hAnsiTheme="majorBidi" w:cstheme="majorBidi"/>
          <w:smallCaps/>
          <w:kern w:val="24"/>
          <w:sz w:val="24"/>
          <w:szCs w:val="24"/>
        </w:rPr>
        <w:t>Jouini</w:t>
      </w:r>
      <w:r w:rsidR="002760B2" w:rsidRPr="00414F3C">
        <w:rPr>
          <w:rFonts w:asciiTheme="majorBidi" w:hAnsiTheme="majorBidi" w:cstheme="majorBidi"/>
          <w:kern w:val="24"/>
          <w:sz w:val="24"/>
          <w:szCs w:val="24"/>
        </w:rPr>
        <w:t xml:space="preserve"> et </w:t>
      </w:r>
      <w:r w:rsidR="002760B2" w:rsidRPr="00414F3C">
        <w:rPr>
          <w:rFonts w:asciiTheme="majorBidi" w:hAnsiTheme="majorBidi" w:cstheme="majorBidi"/>
          <w:smallCaps/>
          <w:kern w:val="24"/>
          <w:sz w:val="24"/>
          <w:szCs w:val="24"/>
        </w:rPr>
        <w:t>Pastré</w:t>
      </w:r>
      <w:r w:rsidR="002D4416" w:rsidRPr="00414F3C">
        <w:rPr>
          <w:rFonts w:asciiTheme="majorBidi" w:hAnsiTheme="majorBidi" w:cstheme="majorBidi"/>
          <w:kern w:val="24"/>
          <w:sz w:val="24"/>
          <w:szCs w:val="24"/>
        </w:rPr>
        <w:t xml:space="preserve"> (2008), </w:t>
      </w:r>
      <w:r w:rsidR="002760B2" w:rsidRPr="00414F3C">
        <w:rPr>
          <w:rFonts w:asciiTheme="majorBidi" w:hAnsiTheme="majorBidi" w:cstheme="majorBidi"/>
          <w:kern w:val="24"/>
          <w:sz w:val="24"/>
          <w:szCs w:val="24"/>
        </w:rPr>
        <w:t>« </w:t>
      </w:r>
      <w:r w:rsidR="002760B2" w:rsidRPr="00414F3C">
        <w:rPr>
          <w:rFonts w:asciiTheme="majorBidi" w:hAnsiTheme="majorBidi" w:cstheme="majorBidi"/>
          <w:i/>
          <w:iCs/>
          <w:kern w:val="24"/>
          <w:sz w:val="24"/>
          <w:szCs w:val="24"/>
        </w:rPr>
        <w:t xml:space="preserve">certains observateurs considèrent qu’il n’y a pas une différence fondamentale entre la finance </w:t>
      </w:r>
      <w:r w:rsidR="00505EDD" w:rsidRPr="00414F3C">
        <w:rPr>
          <w:rFonts w:asciiTheme="majorBidi" w:hAnsiTheme="majorBidi" w:cstheme="majorBidi"/>
          <w:i/>
          <w:kern w:val="24"/>
          <w:sz w:val="24"/>
          <w:szCs w:val="24"/>
        </w:rPr>
        <w:t>i</w:t>
      </w:r>
      <w:r w:rsidR="003773C6" w:rsidRPr="00414F3C">
        <w:rPr>
          <w:rFonts w:asciiTheme="majorBidi" w:hAnsiTheme="majorBidi" w:cstheme="majorBidi"/>
          <w:i/>
          <w:kern w:val="24"/>
          <w:sz w:val="24"/>
          <w:szCs w:val="24"/>
        </w:rPr>
        <w:t>slamique</w:t>
      </w:r>
      <w:r w:rsidR="002760B2" w:rsidRPr="00414F3C">
        <w:rPr>
          <w:rFonts w:asciiTheme="majorBidi" w:hAnsiTheme="majorBidi" w:cstheme="majorBidi"/>
          <w:i/>
          <w:iCs/>
          <w:kern w:val="24"/>
          <w:sz w:val="24"/>
          <w:szCs w:val="24"/>
        </w:rPr>
        <w:t xml:space="preserve"> et la finance conventionnelle et que l’argument religieux n’est qu’un argument « marketing » utilisé pour attirer et fidéliser les clients musulmans</w:t>
      </w:r>
      <w:r w:rsidR="002760B2" w:rsidRPr="00414F3C">
        <w:rPr>
          <w:rFonts w:asciiTheme="majorBidi" w:hAnsiTheme="majorBidi" w:cstheme="majorBidi"/>
          <w:kern w:val="24"/>
          <w:sz w:val="24"/>
          <w:szCs w:val="24"/>
        </w:rPr>
        <w:t> »</w:t>
      </w:r>
      <w:r w:rsidR="002760B2" w:rsidRPr="00414F3C">
        <w:rPr>
          <w:rStyle w:val="Appelnotedebasdep"/>
          <w:rFonts w:asciiTheme="majorBidi" w:hAnsiTheme="majorBidi" w:cstheme="majorBidi"/>
          <w:kern w:val="24"/>
          <w:sz w:val="24"/>
          <w:szCs w:val="24"/>
        </w:rPr>
        <w:footnoteReference w:id="255"/>
      </w:r>
      <w:r w:rsidR="002760B2" w:rsidRPr="00414F3C">
        <w:rPr>
          <w:rFonts w:asciiTheme="majorBidi" w:hAnsiTheme="majorBidi" w:cstheme="majorBidi"/>
          <w:kern w:val="24"/>
          <w:sz w:val="24"/>
          <w:szCs w:val="24"/>
        </w:rPr>
        <w:t>.</w:t>
      </w:r>
    </w:p>
    <w:p w14:paraId="152E8179" w14:textId="77777777" w:rsidR="002760B2" w:rsidRPr="00414F3C" w:rsidRDefault="00B87FA0" w:rsidP="00CB0FF1">
      <w:pPr>
        <w:pStyle w:val="Paragraphedeliste"/>
        <w:numPr>
          <w:ilvl w:val="0"/>
          <w:numId w:val="59"/>
        </w:numPr>
        <w:tabs>
          <w:tab w:val="left" w:pos="0"/>
        </w:tabs>
        <w:suppressAutoHyphens/>
        <w:spacing w:before="12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En troisième lieu, </w:t>
      </w:r>
      <w:r w:rsidR="002760B2" w:rsidRPr="00414F3C">
        <w:rPr>
          <w:rFonts w:asciiTheme="majorBidi" w:hAnsiTheme="majorBidi" w:cstheme="majorBidi"/>
          <w:kern w:val="24"/>
          <w:sz w:val="24"/>
          <w:szCs w:val="24"/>
        </w:rPr>
        <w:t>certes</w:t>
      </w:r>
      <w:r w:rsidRPr="00414F3C">
        <w:rPr>
          <w:rFonts w:asciiTheme="majorBidi" w:hAnsiTheme="majorBidi" w:cstheme="majorBidi"/>
          <w:kern w:val="24"/>
          <w:sz w:val="24"/>
          <w:szCs w:val="24"/>
        </w:rPr>
        <w:t>,</w:t>
      </w:r>
      <w:r w:rsidR="002760B2" w:rsidRPr="00414F3C">
        <w:rPr>
          <w:rFonts w:asciiTheme="majorBidi" w:hAnsiTheme="majorBidi" w:cstheme="majorBidi"/>
          <w:kern w:val="24"/>
          <w:sz w:val="24"/>
          <w:szCs w:val="24"/>
        </w:rPr>
        <w:t xml:space="preserve"> la finance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2760B2" w:rsidRPr="00414F3C">
        <w:rPr>
          <w:rFonts w:asciiTheme="majorBidi" w:hAnsiTheme="majorBidi" w:cstheme="majorBidi"/>
          <w:kern w:val="24"/>
          <w:sz w:val="24"/>
          <w:szCs w:val="24"/>
        </w:rPr>
        <w:t xml:space="preserve"> s’est développée mais elle n’a pas encore dominé le paysage financier par </w:t>
      </w:r>
      <w:r w:rsidR="002E6080" w:rsidRPr="00414F3C">
        <w:rPr>
          <w:rFonts w:asciiTheme="majorBidi" w:hAnsiTheme="majorBidi" w:cstheme="majorBidi"/>
          <w:kern w:val="24"/>
          <w:sz w:val="24"/>
          <w:szCs w:val="24"/>
        </w:rPr>
        <w:t>s</w:t>
      </w:r>
      <w:r w:rsidR="002760B2" w:rsidRPr="00414F3C">
        <w:rPr>
          <w:rFonts w:asciiTheme="majorBidi" w:hAnsiTheme="majorBidi" w:cstheme="majorBidi"/>
          <w:kern w:val="24"/>
          <w:sz w:val="24"/>
          <w:szCs w:val="24"/>
        </w:rPr>
        <w:t>es propres pratiques</w:t>
      </w:r>
      <w:r w:rsidRPr="00414F3C">
        <w:rPr>
          <w:rFonts w:asciiTheme="majorBidi" w:hAnsiTheme="majorBidi" w:cstheme="majorBidi"/>
          <w:kern w:val="24"/>
          <w:sz w:val="24"/>
          <w:szCs w:val="24"/>
        </w:rPr>
        <w:t>.</w:t>
      </w:r>
      <w:r w:rsidR="002760B2"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En réalité, elle</w:t>
      </w:r>
      <w:r w:rsidR="002760B2" w:rsidRPr="00414F3C">
        <w:rPr>
          <w:rFonts w:asciiTheme="majorBidi" w:hAnsiTheme="majorBidi" w:cstheme="majorBidi"/>
          <w:kern w:val="24"/>
          <w:sz w:val="24"/>
          <w:szCs w:val="24"/>
        </w:rPr>
        <w:t xml:space="preserve"> ne repose pas sur d’autres fondements que ceux de la finance conventionnelle.</w:t>
      </w:r>
    </w:p>
    <w:p w14:paraId="3429BA27" w14:textId="0630D137" w:rsidR="002760B2" w:rsidRPr="00414F3C" w:rsidRDefault="002760B2" w:rsidP="00CF4DA7">
      <w:pPr>
        <w:tabs>
          <w:tab w:val="left" w:pos="0"/>
        </w:tabs>
        <w:suppressAutoHyphens/>
        <w:spacing w:before="120"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 xml:space="preserve">Le risque fiduciaire se manifeste lorsque la banque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se trouve incapable de répondre aux exigences de la </w:t>
      </w:r>
      <w:r w:rsidR="00675057" w:rsidRPr="00414F3C">
        <w:rPr>
          <w:rFonts w:asciiTheme="majorBidi" w:hAnsiTheme="majorBidi" w:cstheme="majorBidi"/>
          <w:i/>
          <w:kern w:val="24"/>
          <w:sz w:val="24"/>
          <w:szCs w:val="24"/>
        </w:rPr>
        <w:t>Shariah</w:t>
      </w:r>
      <w:r w:rsidR="00675057"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 xml:space="preserve">concernant les divers contrats. En effet, le propre d’une banque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est de se conformer aux injonctions de la jurisprudence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9F4658" w:rsidRPr="00414F3C">
        <w:rPr>
          <w:rFonts w:asciiTheme="majorBidi" w:hAnsiTheme="majorBidi" w:cstheme="majorBidi"/>
          <w:kern w:val="24"/>
          <w:sz w:val="24"/>
          <w:szCs w:val="24"/>
        </w:rPr>
        <w:t> ;</w:t>
      </w:r>
      <w:r w:rsidRPr="00414F3C">
        <w:rPr>
          <w:rFonts w:asciiTheme="majorBidi" w:hAnsiTheme="majorBidi" w:cstheme="majorBidi"/>
          <w:kern w:val="24"/>
          <w:sz w:val="24"/>
          <w:szCs w:val="24"/>
        </w:rPr>
        <w:t xml:space="preserve"> le non-respect de ces dispositions peut créer un problème de confiance provocant des retraits massifs des dépôts. Ainsi, pour </w:t>
      </w:r>
      <w:r w:rsidR="002E6080" w:rsidRPr="00414F3C">
        <w:rPr>
          <w:rFonts w:asciiTheme="majorBidi" w:hAnsiTheme="majorBidi" w:cstheme="majorBidi"/>
          <w:kern w:val="24"/>
          <w:sz w:val="24"/>
          <w:szCs w:val="24"/>
        </w:rPr>
        <w:t>la banque</w:t>
      </w:r>
      <w:r w:rsidRPr="00414F3C">
        <w:rPr>
          <w:rFonts w:asciiTheme="majorBidi" w:hAnsiTheme="majorBidi" w:cstheme="majorBidi"/>
          <w:kern w:val="24"/>
          <w:sz w:val="24"/>
          <w:szCs w:val="24"/>
        </w:rPr>
        <w:t xml:space="preserve"> </w:t>
      </w:r>
      <w:r w:rsidR="009056FC"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il existe une forme de concurrence dans l’application des principes religieux. Une banque peut se prévaloir d’être plus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qu’une autre.</w:t>
      </w:r>
    </w:p>
    <w:p w14:paraId="3FD730AD" w14:textId="77777777" w:rsidR="002760B2" w:rsidRPr="00414F3C" w:rsidRDefault="00D263F9" w:rsidP="00CF4DA7">
      <w:pPr>
        <w:pStyle w:val="Titre5"/>
        <w:keepNext w:val="0"/>
        <w:keepLines w:val="0"/>
        <w:suppressAutoHyphens/>
        <w:spacing w:before="100" w:beforeAutospacing="1" w:after="120" w:line="300" w:lineRule="auto"/>
        <w:ind w:firstLine="709"/>
        <w:rPr>
          <w:rFonts w:asciiTheme="majorBidi" w:hAnsiTheme="majorBidi"/>
          <w:b/>
          <w:bCs/>
          <w:color w:val="auto"/>
          <w:kern w:val="24"/>
          <w:sz w:val="24"/>
          <w:szCs w:val="24"/>
        </w:rPr>
      </w:pPr>
      <w:bookmarkStart w:id="1057" w:name="_Toc182298785"/>
      <w:r w:rsidRPr="00414F3C">
        <w:rPr>
          <w:rFonts w:asciiTheme="majorBidi" w:hAnsiTheme="majorBidi"/>
          <w:b/>
          <w:bCs/>
          <w:color w:val="auto"/>
          <w:kern w:val="24"/>
          <w:sz w:val="24"/>
          <w:szCs w:val="24"/>
        </w:rPr>
        <w:t xml:space="preserve">3.1.5.3- </w:t>
      </w:r>
      <w:r w:rsidR="00CB79CC" w:rsidRPr="00414F3C">
        <w:rPr>
          <w:rFonts w:asciiTheme="majorBidi" w:hAnsiTheme="majorBidi"/>
          <w:b/>
          <w:bCs/>
          <w:color w:val="auto"/>
          <w:kern w:val="24"/>
          <w:sz w:val="24"/>
          <w:szCs w:val="24"/>
        </w:rPr>
        <w:t>Risque commercial déplacé</w:t>
      </w:r>
      <w:bookmarkEnd w:id="1057"/>
    </w:p>
    <w:p w14:paraId="3D7333C4" w14:textId="77777777" w:rsidR="002760B2" w:rsidRPr="00414F3C" w:rsidRDefault="002760B2" w:rsidP="00CF4DA7">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C’est le principal risque propre </w:t>
      </w:r>
      <w:r w:rsidR="002E6080" w:rsidRPr="00414F3C">
        <w:rPr>
          <w:rFonts w:asciiTheme="majorBidi" w:hAnsiTheme="majorBidi" w:cstheme="majorBidi"/>
          <w:kern w:val="24"/>
          <w:sz w:val="24"/>
          <w:szCs w:val="24"/>
        </w:rPr>
        <w:t>à la banque</w:t>
      </w:r>
      <w:r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Il émane des comptes d’investissement </w:t>
      </w:r>
      <w:r w:rsidR="002D4416" w:rsidRPr="00414F3C">
        <w:rPr>
          <w:rFonts w:asciiTheme="majorBidi" w:hAnsiTheme="majorBidi" w:cstheme="majorBidi"/>
          <w:kern w:val="24"/>
          <w:sz w:val="24"/>
          <w:szCs w:val="24"/>
        </w:rPr>
        <w:t xml:space="preserve">ou </w:t>
      </w:r>
      <w:r w:rsidRPr="00414F3C">
        <w:rPr>
          <w:rFonts w:asciiTheme="majorBidi" w:hAnsiTheme="majorBidi" w:cstheme="majorBidi"/>
          <w:i/>
          <w:iCs/>
          <w:kern w:val="24"/>
          <w:sz w:val="24"/>
          <w:szCs w:val="24"/>
        </w:rPr>
        <w:t>Pr</w:t>
      </w:r>
      <w:r w:rsidR="002D4416" w:rsidRPr="00414F3C">
        <w:rPr>
          <w:rFonts w:asciiTheme="majorBidi" w:hAnsiTheme="majorBidi" w:cstheme="majorBidi"/>
          <w:i/>
          <w:iCs/>
          <w:kern w:val="24"/>
          <w:sz w:val="24"/>
          <w:szCs w:val="24"/>
        </w:rPr>
        <w:t>ofit Sharing Investment Account</w:t>
      </w:r>
      <w:r w:rsidRPr="00414F3C">
        <w:rPr>
          <w:rFonts w:asciiTheme="majorBidi" w:hAnsiTheme="majorBidi" w:cstheme="majorBidi"/>
          <w:kern w:val="24"/>
          <w:sz w:val="24"/>
          <w:szCs w:val="24"/>
        </w:rPr>
        <w:t xml:space="preserve"> </w:t>
      </w:r>
      <w:r w:rsidR="002D4416"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PSIA) qui nécessitent le partage des profits entre la banque et les titulaires de ces comptes. Ce risque est dû à la mobilisation des fonds par la banque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sous forme de comptes d’investissement participatifs. Les titulaires de ces comptes (les déposants) sont les apporteurs des fonds, alors que la BI joue le rôle de gestionnaire de ces fonds pour le compte des déposants. </w:t>
      </w:r>
    </w:p>
    <w:p w14:paraId="0795B4A8" w14:textId="77777777" w:rsidR="002760B2" w:rsidRPr="00414F3C" w:rsidRDefault="002760B2" w:rsidP="00CF4DA7">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Un taux de rendement trop faible sur les comptes d’investissement participatifs pourrait provoquer l’insatisfaction des déposants. Les titulaires de ces comptes risquent donc de retirer leurs fonds pour les placer dans une banque concurrente cherchant, ainsi, une rémunération plus élevée</w:t>
      </w:r>
      <w:r w:rsidRPr="00414F3C">
        <w:rPr>
          <w:rStyle w:val="Appelnotedebasdep"/>
          <w:rFonts w:asciiTheme="majorBidi" w:hAnsiTheme="majorBidi" w:cstheme="majorBidi"/>
          <w:kern w:val="24"/>
          <w:sz w:val="24"/>
          <w:szCs w:val="24"/>
        </w:rPr>
        <w:footnoteReference w:id="256"/>
      </w:r>
      <w:r w:rsidRPr="00414F3C">
        <w:rPr>
          <w:rFonts w:asciiTheme="majorBidi" w:hAnsiTheme="majorBidi" w:cstheme="majorBidi"/>
          <w:kern w:val="24"/>
          <w:sz w:val="24"/>
          <w:szCs w:val="24"/>
        </w:rPr>
        <w:t>. Dans ce cas, la BI est soumise à un risque de retrait massif des fonds et doit faire face à un problème de liquidité.</w:t>
      </w:r>
    </w:p>
    <w:p w14:paraId="15404B54"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lastRenderedPageBreak/>
        <w:t>L</w:t>
      </w:r>
      <w:r w:rsidR="00FB0A15" w:rsidRPr="00414F3C">
        <w:rPr>
          <w:rFonts w:asciiTheme="majorBidi" w:hAnsiTheme="majorBidi" w:cstheme="majorBidi"/>
          <w:kern w:val="24"/>
          <w:sz w:val="24"/>
          <w:szCs w:val="24"/>
        </w:rPr>
        <w:t>a</w:t>
      </w:r>
      <w:r w:rsidRPr="00414F3C">
        <w:rPr>
          <w:rFonts w:asciiTheme="majorBidi" w:hAnsiTheme="majorBidi" w:cstheme="majorBidi"/>
          <w:kern w:val="24"/>
          <w:sz w:val="24"/>
          <w:szCs w:val="24"/>
        </w:rPr>
        <w:t xml:space="preserve"> BI</w:t>
      </w:r>
      <w:r w:rsidR="00FB0A15" w:rsidRPr="00414F3C">
        <w:rPr>
          <w:rFonts w:asciiTheme="majorBidi" w:hAnsiTheme="majorBidi" w:cstheme="majorBidi"/>
          <w:kern w:val="24"/>
          <w:sz w:val="24"/>
          <w:szCs w:val="24"/>
        </w:rPr>
        <w:t xml:space="preserve"> est confrontée</w:t>
      </w:r>
      <w:r w:rsidRPr="00414F3C">
        <w:rPr>
          <w:rFonts w:asciiTheme="majorBidi" w:hAnsiTheme="majorBidi" w:cstheme="majorBidi"/>
          <w:kern w:val="24"/>
          <w:sz w:val="24"/>
          <w:szCs w:val="24"/>
        </w:rPr>
        <w:t xml:space="preserve"> à d’autres risques spécifiques. Au niveau de la banque centrale, il y a des problèmes liés à la réglementation imposée par les autorités monétaires ne </w:t>
      </w:r>
      <w:r w:rsidR="009F4658" w:rsidRPr="00414F3C">
        <w:rPr>
          <w:rFonts w:asciiTheme="majorBidi" w:hAnsiTheme="majorBidi" w:cstheme="majorBidi"/>
          <w:kern w:val="24"/>
          <w:sz w:val="24"/>
          <w:szCs w:val="24"/>
        </w:rPr>
        <w:t xml:space="preserve">leur </w:t>
      </w:r>
      <w:r w:rsidRPr="00414F3C">
        <w:rPr>
          <w:rFonts w:asciiTheme="majorBidi" w:hAnsiTheme="majorBidi" w:cstheme="majorBidi"/>
          <w:kern w:val="24"/>
          <w:sz w:val="24"/>
          <w:szCs w:val="24"/>
        </w:rPr>
        <w:t>permett</w:t>
      </w:r>
      <w:r w:rsidR="009F4658" w:rsidRPr="00414F3C">
        <w:rPr>
          <w:rFonts w:asciiTheme="majorBidi" w:hAnsiTheme="majorBidi" w:cstheme="majorBidi"/>
          <w:kern w:val="24"/>
          <w:sz w:val="24"/>
          <w:szCs w:val="24"/>
        </w:rPr>
        <w:t>a</w:t>
      </w:r>
      <w:r w:rsidRPr="00414F3C">
        <w:rPr>
          <w:rFonts w:asciiTheme="majorBidi" w:hAnsiTheme="majorBidi" w:cstheme="majorBidi"/>
          <w:kern w:val="24"/>
          <w:sz w:val="24"/>
          <w:szCs w:val="24"/>
        </w:rPr>
        <w:t xml:space="preserve">nt pas de solliciter des refinancements en cas de besoin. </w:t>
      </w:r>
    </w:p>
    <w:p w14:paraId="5E969521" w14:textId="77777777" w:rsidR="002760B2" w:rsidRPr="00414F3C" w:rsidRDefault="00D263F9" w:rsidP="00414F3C">
      <w:pPr>
        <w:pStyle w:val="Titre3"/>
        <w:keepNext w:val="0"/>
        <w:keepLines w:val="0"/>
        <w:suppressAutoHyphens/>
        <w:spacing w:before="100" w:beforeAutospacing="1" w:after="100" w:afterAutospacing="1" w:line="300" w:lineRule="auto"/>
        <w:ind w:firstLine="709"/>
        <w:rPr>
          <w:kern w:val="24"/>
          <w:sz w:val="28"/>
          <w:szCs w:val="28"/>
        </w:rPr>
      </w:pPr>
      <w:bookmarkStart w:id="1058" w:name="_Toc33263324"/>
      <w:bookmarkStart w:id="1059" w:name="_Toc37664587"/>
      <w:bookmarkStart w:id="1060" w:name="_Toc37666432"/>
      <w:bookmarkStart w:id="1061" w:name="_Toc54363321"/>
      <w:bookmarkStart w:id="1062" w:name="_Toc58606314"/>
      <w:bookmarkStart w:id="1063" w:name="_Toc61263519"/>
      <w:bookmarkStart w:id="1064" w:name="_Toc182298786"/>
      <w:r w:rsidRPr="00414F3C">
        <w:rPr>
          <w:kern w:val="24"/>
          <w:sz w:val="28"/>
          <w:szCs w:val="28"/>
        </w:rPr>
        <w:t xml:space="preserve">3.2- </w:t>
      </w:r>
      <w:r w:rsidR="00C66C20" w:rsidRPr="00414F3C">
        <w:rPr>
          <w:kern w:val="24"/>
          <w:sz w:val="28"/>
          <w:szCs w:val="28"/>
        </w:rPr>
        <w:t>M</w:t>
      </w:r>
      <w:r w:rsidR="002760B2" w:rsidRPr="00414F3C">
        <w:rPr>
          <w:kern w:val="24"/>
          <w:sz w:val="28"/>
          <w:szCs w:val="28"/>
        </w:rPr>
        <w:t>odes de</w:t>
      </w:r>
      <w:r w:rsidR="00FB0A15" w:rsidRPr="00414F3C">
        <w:rPr>
          <w:kern w:val="24"/>
          <w:sz w:val="28"/>
          <w:szCs w:val="28"/>
        </w:rPr>
        <w:t xml:space="preserve"> couverture des risques dans la banque</w:t>
      </w:r>
      <w:r w:rsidR="002760B2" w:rsidRPr="00414F3C">
        <w:rPr>
          <w:kern w:val="24"/>
          <w:sz w:val="28"/>
          <w:szCs w:val="28"/>
        </w:rPr>
        <w:t xml:space="preserve"> </w:t>
      </w:r>
      <w:r w:rsidR="00505EDD" w:rsidRPr="00414F3C">
        <w:rPr>
          <w:kern w:val="24"/>
          <w:sz w:val="28"/>
          <w:szCs w:val="28"/>
        </w:rPr>
        <w:t>i</w:t>
      </w:r>
      <w:r w:rsidR="003773C6" w:rsidRPr="00414F3C">
        <w:rPr>
          <w:kern w:val="24"/>
          <w:sz w:val="28"/>
          <w:szCs w:val="28"/>
        </w:rPr>
        <w:t>slamique</w:t>
      </w:r>
      <w:bookmarkEnd w:id="1058"/>
      <w:bookmarkEnd w:id="1059"/>
      <w:bookmarkEnd w:id="1060"/>
      <w:bookmarkEnd w:id="1061"/>
      <w:bookmarkEnd w:id="1062"/>
      <w:bookmarkEnd w:id="1063"/>
      <w:bookmarkEnd w:id="1064"/>
    </w:p>
    <w:p w14:paraId="51E3F4FE" w14:textId="77777777" w:rsidR="002760B2" w:rsidRPr="00414F3C" w:rsidRDefault="002760B2" w:rsidP="00414F3C">
      <w:pPr>
        <w:tabs>
          <w:tab w:val="left" w:pos="0"/>
        </w:tabs>
        <w:suppressAutoHyphens/>
        <w:spacing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 xml:space="preserve">Pour se prémunir contre les risques bancaires ou les atténuer, les banques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 ont besoin d’un processus d’identification de ces risques et d’une multitude d’approches de gestion des risques, tout en renforçant le système de supervision. Nous avons déjà abordé dans la section précédente les différentes étapes de gestion des risques et les techniques d’atténuation d</w:t>
      </w:r>
      <w:r w:rsidR="00FB0A15" w:rsidRPr="00414F3C">
        <w:rPr>
          <w:rFonts w:asciiTheme="majorBidi" w:hAnsiTheme="majorBidi" w:cstheme="majorBidi"/>
          <w:kern w:val="24"/>
          <w:sz w:val="24"/>
          <w:szCs w:val="24"/>
        </w:rPr>
        <w:t>e ces derniers. La BI dispose</w:t>
      </w:r>
      <w:r w:rsidRPr="00414F3C">
        <w:rPr>
          <w:rFonts w:asciiTheme="majorBidi" w:hAnsiTheme="majorBidi" w:cstheme="majorBidi"/>
          <w:kern w:val="24"/>
          <w:sz w:val="24"/>
          <w:szCs w:val="24"/>
        </w:rPr>
        <w:t xml:space="preserve"> </w:t>
      </w:r>
      <w:r w:rsidR="005B50D9" w:rsidRPr="00414F3C">
        <w:rPr>
          <w:rFonts w:asciiTheme="majorBidi" w:hAnsiTheme="majorBidi" w:cstheme="majorBidi"/>
          <w:kern w:val="24"/>
          <w:sz w:val="24"/>
          <w:szCs w:val="24"/>
        </w:rPr>
        <w:t xml:space="preserve">de </w:t>
      </w:r>
      <w:r w:rsidRPr="00414F3C">
        <w:rPr>
          <w:rFonts w:asciiTheme="majorBidi" w:hAnsiTheme="majorBidi" w:cstheme="majorBidi"/>
          <w:kern w:val="24"/>
          <w:sz w:val="24"/>
          <w:szCs w:val="24"/>
        </w:rPr>
        <w:t xml:space="preserve">deux types de techniques d’identification et de gestion de risques : les techniques standards qui ne sont pas en contradiction avec les préceptes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s et des techniques nouvelles ou adaptées aux exigences </w:t>
      </w:r>
      <w:r w:rsidR="00B0093C" w:rsidRPr="00414F3C">
        <w:rPr>
          <w:rFonts w:asciiTheme="majorBidi" w:hAnsiTheme="majorBidi" w:cstheme="majorBidi"/>
          <w:kern w:val="24"/>
          <w:sz w:val="24"/>
          <w:szCs w:val="24"/>
        </w:rPr>
        <w:t>des BI.</w:t>
      </w:r>
    </w:p>
    <w:p w14:paraId="313AA498" w14:textId="77777777" w:rsidR="002760B2" w:rsidRPr="00414F3C" w:rsidRDefault="00EC7C41" w:rsidP="00414F3C">
      <w:pPr>
        <w:pStyle w:val="Titre4"/>
        <w:keepNext w:val="0"/>
        <w:suppressAutoHyphens/>
        <w:spacing w:before="100" w:beforeAutospacing="1" w:after="120" w:line="300" w:lineRule="auto"/>
        <w:ind w:firstLine="709"/>
        <w:rPr>
          <w:rFonts w:asciiTheme="majorBidi" w:hAnsiTheme="majorBidi" w:cstheme="majorBidi"/>
          <w:kern w:val="24"/>
        </w:rPr>
      </w:pPr>
      <w:bookmarkStart w:id="1065" w:name="_Toc33263325"/>
      <w:bookmarkStart w:id="1066" w:name="_Toc37664588"/>
      <w:bookmarkStart w:id="1067" w:name="_Toc37666433"/>
      <w:bookmarkStart w:id="1068" w:name="_Toc54363322"/>
      <w:bookmarkStart w:id="1069" w:name="_Toc58606315"/>
      <w:bookmarkStart w:id="1070" w:name="_Toc61263520"/>
      <w:bookmarkStart w:id="1071" w:name="_Toc182298787"/>
      <w:r w:rsidRPr="00414F3C">
        <w:rPr>
          <w:rFonts w:asciiTheme="majorBidi" w:hAnsiTheme="majorBidi" w:cstheme="majorBidi"/>
          <w:kern w:val="24"/>
        </w:rPr>
        <w:t xml:space="preserve">3.2.1- </w:t>
      </w:r>
      <w:r w:rsidR="002760B2" w:rsidRPr="00414F3C">
        <w:rPr>
          <w:rFonts w:asciiTheme="majorBidi" w:hAnsiTheme="majorBidi" w:cstheme="majorBidi"/>
          <w:kern w:val="24"/>
        </w:rPr>
        <w:t>Systèm</w:t>
      </w:r>
      <w:r w:rsidR="00FB0A15" w:rsidRPr="00414F3C">
        <w:rPr>
          <w:rFonts w:asciiTheme="majorBidi" w:hAnsiTheme="majorBidi" w:cstheme="majorBidi"/>
          <w:kern w:val="24"/>
        </w:rPr>
        <w:t>e de gestion de risques dans la banque</w:t>
      </w:r>
      <w:r w:rsidR="002760B2" w:rsidRPr="00414F3C">
        <w:rPr>
          <w:rFonts w:asciiTheme="majorBidi" w:hAnsiTheme="majorBidi" w:cstheme="majorBidi"/>
          <w:kern w:val="24"/>
        </w:rPr>
        <w:t xml:space="preserve"> </w:t>
      </w:r>
      <w:r w:rsidR="00505EDD" w:rsidRPr="00414F3C">
        <w:rPr>
          <w:rFonts w:asciiTheme="majorBidi" w:hAnsiTheme="majorBidi" w:cstheme="majorBidi"/>
          <w:kern w:val="24"/>
        </w:rPr>
        <w:t>i</w:t>
      </w:r>
      <w:r w:rsidR="003773C6" w:rsidRPr="00414F3C">
        <w:rPr>
          <w:rFonts w:asciiTheme="majorBidi" w:hAnsiTheme="majorBidi" w:cstheme="majorBidi"/>
          <w:kern w:val="24"/>
        </w:rPr>
        <w:t>slamique</w:t>
      </w:r>
      <w:bookmarkEnd w:id="1065"/>
      <w:bookmarkEnd w:id="1066"/>
      <w:bookmarkEnd w:id="1067"/>
      <w:bookmarkEnd w:id="1068"/>
      <w:bookmarkEnd w:id="1069"/>
      <w:bookmarkEnd w:id="1070"/>
      <w:bookmarkEnd w:id="1071"/>
    </w:p>
    <w:p w14:paraId="31C91969" w14:textId="77777777" w:rsidR="002760B2" w:rsidRPr="00414F3C" w:rsidRDefault="002760B2" w:rsidP="00414F3C">
      <w:pPr>
        <w:tabs>
          <w:tab w:val="left" w:pos="0"/>
        </w:tabs>
        <w:suppressAutoHyphens/>
        <w:spacing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A cause de leur nature unique, les BI sont appelées à développer des systèmes plus rigoureux en matière d’identification et de gestion des risques. Pour se doter d’un système performant de gestion de risques, les BI doivent appliquer les procédures suivantes :</w:t>
      </w:r>
    </w:p>
    <w:p w14:paraId="0AE0A1D9" w14:textId="77777777" w:rsidR="002760B2" w:rsidRPr="00414F3C" w:rsidRDefault="00EC7C41" w:rsidP="00414F3C">
      <w:pPr>
        <w:pStyle w:val="Titre5"/>
        <w:keepNext w:val="0"/>
        <w:keepLines w:val="0"/>
        <w:suppressAutoHyphens/>
        <w:spacing w:before="100" w:beforeAutospacing="1" w:after="120" w:line="300" w:lineRule="auto"/>
        <w:ind w:firstLine="709"/>
        <w:rPr>
          <w:rFonts w:asciiTheme="majorBidi" w:hAnsiTheme="majorBidi"/>
          <w:b/>
          <w:bCs/>
          <w:color w:val="auto"/>
          <w:kern w:val="24"/>
          <w:sz w:val="24"/>
          <w:szCs w:val="24"/>
        </w:rPr>
      </w:pPr>
      <w:bookmarkStart w:id="1072" w:name="_Toc182298788"/>
      <w:r w:rsidRPr="00414F3C">
        <w:rPr>
          <w:rFonts w:asciiTheme="majorBidi" w:hAnsiTheme="majorBidi"/>
          <w:b/>
          <w:bCs/>
          <w:color w:val="auto"/>
          <w:kern w:val="24"/>
          <w:sz w:val="24"/>
          <w:szCs w:val="24"/>
        </w:rPr>
        <w:t>3.2.1.1- D</w:t>
      </w:r>
      <w:r w:rsidR="002760B2" w:rsidRPr="00414F3C">
        <w:rPr>
          <w:rFonts w:asciiTheme="majorBidi" w:hAnsiTheme="majorBidi"/>
          <w:b/>
          <w:bCs/>
          <w:color w:val="auto"/>
          <w:kern w:val="24"/>
          <w:sz w:val="24"/>
          <w:szCs w:val="24"/>
        </w:rPr>
        <w:t xml:space="preserve">iffusion d’une culture de gestion des risques </w:t>
      </w:r>
      <w:r w:rsidRPr="00414F3C">
        <w:rPr>
          <w:rFonts w:asciiTheme="majorBidi" w:hAnsiTheme="majorBidi"/>
          <w:b/>
          <w:bCs/>
          <w:color w:val="auto"/>
          <w:kern w:val="24"/>
          <w:sz w:val="24"/>
          <w:szCs w:val="24"/>
        </w:rPr>
        <w:t>au sein</w:t>
      </w:r>
      <w:r w:rsidR="002760B2" w:rsidRPr="00414F3C">
        <w:rPr>
          <w:rFonts w:asciiTheme="majorBidi" w:hAnsiTheme="majorBidi"/>
          <w:b/>
          <w:bCs/>
          <w:color w:val="auto"/>
          <w:kern w:val="24"/>
          <w:sz w:val="24"/>
          <w:szCs w:val="24"/>
        </w:rPr>
        <w:t xml:space="preserve"> </w:t>
      </w:r>
      <w:r w:rsidRPr="00414F3C">
        <w:rPr>
          <w:rFonts w:asciiTheme="majorBidi" w:hAnsiTheme="majorBidi"/>
          <w:b/>
          <w:bCs/>
          <w:color w:val="auto"/>
          <w:kern w:val="24"/>
          <w:sz w:val="24"/>
          <w:szCs w:val="24"/>
        </w:rPr>
        <w:t>d</w:t>
      </w:r>
      <w:r w:rsidR="00FB0A15" w:rsidRPr="00414F3C">
        <w:rPr>
          <w:rFonts w:asciiTheme="majorBidi" w:hAnsiTheme="majorBidi"/>
          <w:b/>
          <w:bCs/>
          <w:color w:val="auto"/>
          <w:kern w:val="24"/>
          <w:sz w:val="24"/>
          <w:szCs w:val="24"/>
        </w:rPr>
        <w:t>e la</w:t>
      </w:r>
      <w:r w:rsidR="002760B2" w:rsidRPr="00414F3C">
        <w:rPr>
          <w:rFonts w:asciiTheme="majorBidi" w:hAnsiTheme="majorBidi"/>
          <w:b/>
          <w:bCs/>
          <w:color w:val="auto"/>
          <w:kern w:val="24"/>
          <w:sz w:val="24"/>
          <w:szCs w:val="24"/>
        </w:rPr>
        <w:t xml:space="preserve"> </w:t>
      </w:r>
      <w:r w:rsidRPr="00414F3C">
        <w:rPr>
          <w:rFonts w:asciiTheme="majorBidi" w:hAnsiTheme="majorBidi"/>
          <w:b/>
          <w:bCs/>
          <w:color w:val="auto"/>
          <w:kern w:val="24"/>
          <w:sz w:val="24"/>
          <w:szCs w:val="24"/>
        </w:rPr>
        <w:t>BI</w:t>
      </w:r>
      <w:bookmarkEnd w:id="1072"/>
    </w:p>
    <w:p w14:paraId="66ADA6FF" w14:textId="14696ABD" w:rsidR="00552143"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Il est très important de développer une culture efficace de gestion des risques pour garantir la survie et la compét</w:t>
      </w:r>
      <w:r w:rsidR="00FB0A15" w:rsidRPr="00414F3C">
        <w:rPr>
          <w:rFonts w:asciiTheme="majorBidi" w:hAnsiTheme="majorBidi" w:cstheme="majorBidi"/>
          <w:kern w:val="24"/>
          <w:sz w:val="24"/>
          <w:szCs w:val="24"/>
        </w:rPr>
        <w:t>itivité de la</w:t>
      </w:r>
      <w:r w:rsidRPr="00414F3C">
        <w:rPr>
          <w:rFonts w:asciiTheme="majorBidi" w:hAnsiTheme="majorBidi" w:cstheme="majorBidi"/>
          <w:kern w:val="24"/>
          <w:sz w:val="24"/>
          <w:szCs w:val="24"/>
        </w:rPr>
        <w:t xml:space="preserve"> BI. C</w:t>
      </w:r>
      <w:r w:rsidR="00675057" w:rsidRPr="00414F3C">
        <w:rPr>
          <w:rFonts w:asciiTheme="majorBidi" w:hAnsiTheme="majorBidi" w:cstheme="majorBidi"/>
          <w:kern w:val="24"/>
          <w:sz w:val="24"/>
          <w:szCs w:val="24"/>
        </w:rPr>
        <w:t>et effort</w:t>
      </w:r>
      <w:r w:rsidRPr="00414F3C">
        <w:rPr>
          <w:rFonts w:asciiTheme="majorBidi" w:hAnsiTheme="majorBidi" w:cstheme="majorBidi"/>
          <w:kern w:val="24"/>
          <w:sz w:val="24"/>
          <w:szCs w:val="24"/>
        </w:rPr>
        <w:t xml:space="preserve"> passe par la collaboration active des différents acteurs (organe de contrôle, dirigeants, </w:t>
      </w:r>
      <w:r w:rsidR="00414F3C">
        <w:rPr>
          <w:rFonts w:asciiTheme="majorBidi" w:hAnsiTheme="majorBidi" w:cstheme="majorBidi"/>
          <w:i/>
          <w:kern w:val="24"/>
          <w:sz w:val="24"/>
          <w:szCs w:val="24"/>
        </w:rPr>
        <w:t>S</w:t>
      </w:r>
      <w:r w:rsidRPr="00414F3C">
        <w:rPr>
          <w:rFonts w:asciiTheme="majorBidi" w:hAnsiTheme="majorBidi" w:cstheme="majorBidi"/>
          <w:i/>
          <w:kern w:val="24"/>
          <w:sz w:val="24"/>
          <w:szCs w:val="24"/>
        </w:rPr>
        <w:t>haria</w:t>
      </w:r>
      <w:r w:rsidR="00414F3C">
        <w:rPr>
          <w:rFonts w:asciiTheme="majorBidi" w:hAnsiTheme="majorBidi" w:cstheme="majorBidi"/>
          <w:i/>
          <w:kern w:val="24"/>
          <w:sz w:val="24"/>
          <w:szCs w:val="24"/>
        </w:rPr>
        <w:t>h</w:t>
      </w:r>
      <w:r w:rsidR="00853917">
        <w:rPr>
          <w:rFonts w:asciiTheme="majorBidi" w:hAnsiTheme="majorBidi" w:cstheme="majorBidi"/>
          <w:kern w:val="24"/>
          <w:sz w:val="24"/>
          <w:szCs w:val="24"/>
        </w:rPr>
        <w:t>-</w:t>
      </w:r>
      <w:r w:rsidRPr="00414F3C">
        <w:rPr>
          <w:rFonts w:asciiTheme="majorBidi" w:hAnsiTheme="majorBidi" w:cstheme="majorBidi"/>
          <w:i/>
          <w:iCs/>
          <w:kern w:val="24"/>
          <w:sz w:val="24"/>
          <w:szCs w:val="24"/>
        </w:rPr>
        <w:t>board</w:t>
      </w:r>
      <w:r w:rsidRPr="00414F3C">
        <w:rPr>
          <w:rFonts w:asciiTheme="majorBidi" w:hAnsiTheme="majorBidi" w:cstheme="majorBidi"/>
          <w:kern w:val="24"/>
          <w:sz w:val="24"/>
          <w:szCs w:val="24"/>
        </w:rPr>
        <w:t>…), la mise en place d’un système interne d’évaluation et de contrôle, la publication des rapports d’évaluation, les audits externes...</w:t>
      </w:r>
    </w:p>
    <w:p w14:paraId="2EEC6213" w14:textId="77777777" w:rsidR="002760B2" w:rsidRPr="00414F3C" w:rsidRDefault="00EC7C41" w:rsidP="00414F3C">
      <w:pPr>
        <w:pStyle w:val="Titre5"/>
        <w:keepNext w:val="0"/>
        <w:keepLines w:val="0"/>
        <w:suppressAutoHyphens/>
        <w:spacing w:before="100" w:beforeAutospacing="1" w:after="120" w:line="300" w:lineRule="auto"/>
        <w:ind w:firstLine="709"/>
        <w:rPr>
          <w:rFonts w:asciiTheme="majorBidi" w:hAnsiTheme="majorBidi"/>
          <w:b/>
          <w:bCs/>
          <w:color w:val="auto"/>
          <w:kern w:val="24"/>
          <w:sz w:val="24"/>
          <w:szCs w:val="24"/>
        </w:rPr>
      </w:pPr>
      <w:bookmarkStart w:id="1073" w:name="_Toc182298789"/>
      <w:r w:rsidRPr="00414F3C">
        <w:rPr>
          <w:rFonts w:asciiTheme="majorBidi" w:hAnsiTheme="majorBidi"/>
          <w:b/>
          <w:bCs/>
          <w:color w:val="auto"/>
          <w:kern w:val="24"/>
          <w:sz w:val="24"/>
          <w:szCs w:val="24"/>
        </w:rPr>
        <w:t>3.2.1.2- C</w:t>
      </w:r>
      <w:r w:rsidR="002760B2" w:rsidRPr="00414F3C">
        <w:rPr>
          <w:rFonts w:asciiTheme="majorBidi" w:hAnsiTheme="majorBidi"/>
          <w:b/>
          <w:bCs/>
          <w:color w:val="auto"/>
          <w:kern w:val="24"/>
          <w:sz w:val="24"/>
          <w:szCs w:val="24"/>
        </w:rPr>
        <w:t>réation d’un environnement appr</w:t>
      </w:r>
      <w:r w:rsidR="00CB79CC" w:rsidRPr="00414F3C">
        <w:rPr>
          <w:rFonts w:asciiTheme="majorBidi" w:hAnsiTheme="majorBidi"/>
          <w:b/>
          <w:bCs/>
          <w:color w:val="auto"/>
          <w:kern w:val="24"/>
          <w:sz w:val="24"/>
          <w:szCs w:val="24"/>
        </w:rPr>
        <w:t>oprié à la gestion des risques</w:t>
      </w:r>
      <w:bookmarkEnd w:id="1073"/>
    </w:p>
    <w:p w14:paraId="3D7B39C9" w14:textId="77777777" w:rsidR="002760B2" w:rsidRPr="00414F3C" w:rsidRDefault="00FB0A15"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La BI doit</w:t>
      </w:r>
      <w:r w:rsidR="002760B2"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créer des</w:t>
      </w:r>
      <w:r w:rsidR="002760B2"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 xml:space="preserve">politiques </w:t>
      </w:r>
      <w:r w:rsidR="002760B2" w:rsidRPr="00414F3C">
        <w:rPr>
          <w:rFonts w:asciiTheme="majorBidi" w:hAnsiTheme="majorBidi" w:cstheme="majorBidi"/>
          <w:kern w:val="24"/>
          <w:sz w:val="24"/>
          <w:szCs w:val="24"/>
        </w:rPr>
        <w:t>judicieuses en termes de gestion des risques</w:t>
      </w:r>
      <w:r w:rsidR="00A41D53" w:rsidRPr="00414F3C">
        <w:rPr>
          <w:rFonts w:asciiTheme="majorBidi" w:hAnsiTheme="majorBidi" w:cstheme="majorBidi"/>
          <w:kern w:val="24"/>
          <w:sz w:val="24"/>
          <w:szCs w:val="24"/>
        </w:rPr>
        <w:t xml:space="preserve"> qui</w:t>
      </w:r>
      <w:r w:rsidR="002760B2" w:rsidRPr="00414F3C">
        <w:rPr>
          <w:rFonts w:asciiTheme="majorBidi" w:hAnsiTheme="majorBidi" w:cstheme="majorBidi"/>
          <w:kern w:val="24"/>
          <w:sz w:val="24"/>
          <w:szCs w:val="24"/>
        </w:rPr>
        <w:t xml:space="preserve"> se manifeste par</w:t>
      </w:r>
      <w:r w:rsidR="002760B2" w:rsidRPr="00414F3C">
        <w:rPr>
          <w:rStyle w:val="Appelnotedebasdep"/>
          <w:rFonts w:asciiTheme="majorBidi" w:hAnsiTheme="majorBidi" w:cstheme="majorBidi"/>
          <w:kern w:val="24"/>
          <w:sz w:val="24"/>
          <w:szCs w:val="24"/>
        </w:rPr>
        <w:footnoteReference w:id="257"/>
      </w:r>
      <w:r w:rsidR="002760B2" w:rsidRPr="00414F3C">
        <w:rPr>
          <w:rFonts w:asciiTheme="majorBidi" w:hAnsiTheme="majorBidi" w:cstheme="majorBidi"/>
          <w:kern w:val="24"/>
          <w:sz w:val="24"/>
          <w:szCs w:val="24"/>
        </w:rPr>
        <w:t> :</w:t>
      </w:r>
    </w:p>
    <w:p w14:paraId="3B64A76A" w14:textId="77777777" w:rsidR="002760B2" w:rsidRPr="00414F3C" w:rsidRDefault="002760B2" w:rsidP="00CB0FF1">
      <w:pPr>
        <w:pStyle w:val="Paragraphedeliste"/>
        <w:numPr>
          <w:ilvl w:val="0"/>
          <w:numId w:val="16"/>
        </w:numPr>
        <w:tabs>
          <w:tab w:val="left" w:pos="426"/>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La diffusion d’informations relatives aux risques encourus et aux politiques et procédures retenus pour mesurer et gérer ces risques ;</w:t>
      </w:r>
    </w:p>
    <w:p w14:paraId="1F776DB8" w14:textId="77777777" w:rsidR="002760B2" w:rsidRPr="00414F3C" w:rsidRDefault="002760B2" w:rsidP="00CB0FF1">
      <w:pPr>
        <w:pStyle w:val="Paragraphedeliste"/>
        <w:numPr>
          <w:ilvl w:val="0"/>
          <w:numId w:val="16"/>
        </w:numPr>
        <w:tabs>
          <w:tab w:val="left" w:pos="426"/>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L’élaboration d’une politique claire visant à promouvoir la qualité des actifs ;</w:t>
      </w:r>
    </w:p>
    <w:p w14:paraId="43B8E803" w14:textId="77777777" w:rsidR="002760B2" w:rsidRPr="00414F3C" w:rsidRDefault="002760B2" w:rsidP="00CB0FF1">
      <w:pPr>
        <w:pStyle w:val="Paragraphedeliste"/>
        <w:numPr>
          <w:ilvl w:val="0"/>
          <w:numId w:val="16"/>
        </w:numPr>
        <w:tabs>
          <w:tab w:val="left" w:pos="426"/>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La création d’entités organisationnelles chargées d’élaborer des politiques de gestion de risque et de surveiller l’application des mesures préconisées : comité de </w:t>
      </w:r>
      <w:r w:rsidR="0000518C" w:rsidRPr="00414F3C">
        <w:rPr>
          <w:rFonts w:asciiTheme="majorBidi" w:hAnsiTheme="majorBidi" w:cstheme="majorBidi"/>
          <w:kern w:val="24"/>
          <w:sz w:val="24"/>
          <w:szCs w:val="24"/>
        </w:rPr>
        <w:t>défaut</w:t>
      </w:r>
      <w:r w:rsidRPr="00414F3C">
        <w:rPr>
          <w:rFonts w:asciiTheme="majorBidi" w:hAnsiTheme="majorBidi" w:cstheme="majorBidi"/>
          <w:kern w:val="24"/>
          <w:sz w:val="24"/>
          <w:szCs w:val="24"/>
        </w:rPr>
        <w:t>, comité de risque, comité d’audit… ;</w:t>
      </w:r>
    </w:p>
    <w:p w14:paraId="27A98F76" w14:textId="77777777" w:rsidR="002760B2" w:rsidRPr="00414F3C" w:rsidRDefault="002760B2" w:rsidP="00CB0FF1">
      <w:pPr>
        <w:pStyle w:val="Paragraphedeliste"/>
        <w:numPr>
          <w:ilvl w:val="0"/>
          <w:numId w:val="16"/>
        </w:numPr>
        <w:tabs>
          <w:tab w:val="left" w:pos="426"/>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L’amélioration des systèmes de contrôle interne existants.</w:t>
      </w:r>
    </w:p>
    <w:p w14:paraId="0B832FAD" w14:textId="77777777" w:rsidR="007B64B9" w:rsidRPr="00414F3C" w:rsidRDefault="007B64B9" w:rsidP="00414F3C">
      <w:pPr>
        <w:pStyle w:val="Paragraphedeliste"/>
        <w:tabs>
          <w:tab w:val="left" w:pos="426"/>
          <w:tab w:val="left" w:pos="851"/>
          <w:tab w:val="left" w:pos="1134"/>
        </w:tabs>
        <w:suppressAutoHyphens/>
        <w:spacing w:before="60" w:line="300" w:lineRule="auto"/>
        <w:ind w:left="1135"/>
        <w:contextualSpacing w:val="0"/>
        <w:rPr>
          <w:rFonts w:asciiTheme="majorBidi" w:hAnsiTheme="majorBidi" w:cstheme="majorBidi"/>
          <w:kern w:val="24"/>
          <w:sz w:val="24"/>
          <w:szCs w:val="24"/>
        </w:rPr>
      </w:pPr>
    </w:p>
    <w:p w14:paraId="2A26B6B8" w14:textId="77777777" w:rsidR="007B64B9" w:rsidRPr="00414F3C" w:rsidRDefault="007B64B9" w:rsidP="00414F3C">
      <w:pPr>
        <w:pStyle w:val="Paragraphedeliste"/>
        <w:tabs>
          <w:tab w:val="left" w:pos="426"/>
          <w:tab w:val="left" w:pos="851"/>
          <w:tab w:val="left" w:pos="1134"/>
        </w:tabs>
        <w:suppressAutoHyphens/>
        <w:spacing w:before="60" w:line="300" w:lineRule="auto"/>
        <w:ind w:left="1135"/>
        <w:contextualSpacing w:val="0"/>
        <w:rPr>
          <w:rFonts w:asciiTheme="majorBidi" w:hAnsiTheme="majorBidi" w:cstheme="majorBidi"/>
          <w:kern w:val="24"/>
          <w:sz w:val="24"/>
          <w:szCs w:val="24"/>
        </w:rPr>
      </w:pPr>
    </w:p>
    <w:p w14:paraId="2EF16993" w14:textId="4D7655F8" w:rsidR="002760B2" w:rsidRPr="00414F3C" w:rsidRDefault="00EC7C41" w:rsidP="00414F3C">
      <w:pPr>
        <w:pStyle w:val="Titre5"/>
        <w:keepNext w:val="0"/>
        <w:keepLines w:val="0"/>
        <w:suppressAutoHyphens/>
        <w:spacing w:before="100" w:beforeAutospacing="1" w:after="120" w:line="300" w:lineRule="auto"/>
        <w:ind w:firstLine="709"/>
        <w:rPr>
          <w:rFonts w:asciiTheme="majorBidi" w:hAnsiTheme="majorBidi"/>
          <w:b/>
          <w:bCs/>
          <w:color w:val="auto"/>
          <w:kern w:val="24"/>
          <w:sz w:val="23"/>
          <w:szCs w:val="23"/>
        </w:rPr>
      </w:pPr>
      <w:bookmarkStart w:id="1074" w:name="_Toc182298790"/>
      <w:r w:rsidRPr="00414F3C">
        <w:rPr>
          <w:rFonts w:asciiTheme="majorBidi" w:hAnsiTheme="majorBidi"/>
          <w:b/>
          <w:bCs/>
          <w:color w:val="auto"/>
          <w:kern w:val="24"/>
          <w:sz w:val="23"/>
          <w:szCs w:val="23"/>
        </w:rPr>
        <w:lastRenderedPageBreak/>
        <w:t>3.2.1.3- E</w:t>
      </w:r>
      <w:r w:rsidR="002760B2" w:rsidRPr="00414F3C">
        <w:rPr>
          <w:rFonts w:asciiTheme="majorBidi" w:hAnsiTheme="majorBidi"/>
          <w:b/>
          <w:bCs/>
          <w:color w:val="auto"/>
          <w:kern w:val="24"/>
          <w:sz w:val="23"/>
          <w:szCs w:val="23"/>
        </w:rPr>
        <w:t>laboration d’un processus de mesure et d’atténu</w:t>
      </w:r>
      <w:r w:rsidR="00CB79CC" w:rsidRPr="00414F3C">
        <w:rPr>
          <w:rFonts w:asciiTheme="majorBidi" w:hAnsiTheme="majorBidi"/>
          <w:b/>
          <w:bCs/>
          <w:color w:val="auto"/>
          <w:kern w:val="24"/>
          <w:sz w:val="23"/>
          <w:szCs w:val="23"/>
        </w:rPr>
        <w:t>ation des risques</w:t>
      </w:r>
      <w:bookmarkEnd w:id="1074"/>
    </w:p>
    <w:p w14:paraId="7E6BFFB8" w14:textId="77777777" w:rsidR="002760B2" w:rsidRPr="00414F3C" w:rsidRDefault="002760B2" w:rsidP="00414F3C">
      <w:pPr>
        <w:pStyle w:val="Paragraphedeliste"/>
        <w:tabs>
          <w:tab w:val="left" w:pos="0"/>
        </w:tabs>
        <w:suppressAutoHyphens/>
        <w:spacing w:before="120" w:after="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C’est à travers la mise en place d’un système informatisé d’estimation de la variabilité des profits et de la gestion des risques et la détermination d’un plafond de crédits destinés aux individus. Ainsi, </w:t>
      </w:r>
      <w:r w:rsidR="0081641F" w:rsidRPr="00414F3C">
        <w:rPr>
          <w:rFonts w:asciiTheme="majorBidi" w:hAnsiTheme="majorBidi" w:cstheme="majorBidi"/>
          <w:kern w:val="24"/>
          <w:sz w:val="24"/>
          <w:szCs w:val="24"/>
        </w:rPr>
        <w:t>la BI doi</w:t>
      </w:r>
      <w:r w:rsidRPr="00414F3C">
        <w:rPr>
          <w:rFonts w:asciiTheme="majorBidi" w:hAnsiTheme="majorBidi" w:cstheme="majorBidi"/>
          <w:kern w:val="24"/>
          <w:sz w:val="24"/>
          <w:szCs w:val="24"/>
        </w:rPr>
        <w:t xml:space="preserve">t pratiquer une politique de diversification des investissements dans plusieurs secteurs d’activité et dans plusieurs pays. </w:t>
      </w:r>
    </w:p>
    <w:p w14:paraId="103E3573" w14:textId="77777777" w:rsidR="002760B2" w:rsidRPr="00414F3C" w:rsidRDefault="00F673C5" w:rsidP="00414F3C">
      <w:pPr>
        <w:pStyle w:val="Paragraphedeliste"/>
        <w:tabs>
          <w:tab w:val="left" w:pos="0"/>
        </w:tabs>
        <w:suppressAutoHyphens/>
        <w:spacing w:before="120" w:after="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En fait</w:t>
      </w:r>
      <w:r w:rsidR="002760B2" w:rsidRPr="00414F3C">
        <w:rPr>
          <w:rFonts w:asciiTheme="majorBidi" w:hAnsiTheme="majorBidi" w:cstheme="majorBidi"/>
          <w:kern w:val="24"/>
          <w:sz w:val="24"/>
          <w:szCs w:val="24"/>
        </w:rPr>
        <w:t xml:space="preserve">, </w:t>
      </w:r>
      <w:r w:rsidR="0081641F" w:rsidRPr="00414F3C">
        <w:rPr>
          <w:rFonts w:asciiTheme="majorBidi" w:hAnsiTheme="majorBidi" w:cstheme="majorBidi"/>
          <w:kern w:val="24"/>
          <w:sz w:val="24"/>
          <w:szCs w:val="24"/>
        </w:rPr>
        <w:t xml:space="preserve">la </w:t>
      </w:r>
      <w:r w:rsidR="002760B2" w:rsidRPr="00414F3C">
        <w:rPr>
          <w:rFonts w:asciiTheme="majorBidi" w:hAnsiTheme="majorBidi" w:cstheme="majorBidi"/>
          <w:kern w:val="24"/>
          <w:sz w:val="24"/>
          <w:szCs w:val="24"/>
        </w:rPr>
        <w:t>BI doit procéder à des analyses de simulation et à des mesures de sensibilité au risque par rapport au taux de rendement. Elle doit également préparer des comptes rendus concernant la gestion des risques destinés à la direction générale (</w:t>
      </w:r>
      <w:r w:rsidRPr="00414F3C">
        <w:rPr>
          <w:rFonts w:asciiTheme="majorBidi" w:hAnsiTheme="majorBidi" w:cstheme="majorBidi"/>
          <w:kern w:val="24"/>
          <w:sz w:val="24"/>
          <w:szCs w:val="24"/>
        </w:rPr>
        <w:t>élabo</w:t>
      </w:r>
      <w:r w:rsidR="002760B2" w:rsidRPr="00414F3C">
        <w:rPr>
          <w:rFonts w:asciiTheme="majorBidi" w:hAnsiTheme="majorBidi" w:cstheme="majorBidi"/>
          <w:kern w:val="24"/>
          <w:sz w:val="24"/>
          <w:szCs w:val="24"/>
        </w:rPr>
        <w:t>rer un échéancier chaque semaine fai</w:t>
      </w:r>
      <w:r w:rsidR="00A41D53" w:rsidRPr="00414F3C">
        <w:rPr>
          <w:rFonts w:asciiTheme="majorBidi" w:hAnsiTheme="majorBidi" w:cstheme="majorBidi"/>
          <w:kern w:val="24"/>
          <w:sz w:val="24"/>
          <w:szCs w:val="24"/>
        </w:rPr>
        <w:t>sant</w:t>
      </w:r>
      <w:r w:rsidR="002760B2" w:rsidRPr="00414F3C">
        <w:rPr>
          <w:rFonts w:asciiTheme="majorBidi" w:hAnsiTheme="majorBidi" w:cstheme="majorBidi"/>
          <w:kern w:val="24"/>
          <w:sz w:val="24"/>
          <w:szCs w:val="24"/>
        </w:rPr>
        <w:t xml:space="preserve"> appara</w:t>
      </w:r>
      <w:r w:rsidRPr="00414F3C">
        <w:rPr>
          <w:rFonts w:asciiTheme="majorBidi" w:hAnsiTheme="majorBidi" w:cstheme="majorBidi"/>
          <w:kern w:val="24"/>
          <w:sz w:val="24"/>
          <w:szCs w:val="24"/>
        </w:rPr>
        <w:t>î</w:t>
      </w:r>
      <w:r w:rsidR="002760B2" w:rsidRPr="00414F3C">
        <w:rPr>
          <w:rFonts w:asciiTheme="majorBidi" w:hAnsiTheme="majorBidi" w:cstheme="majorBidi"/>
          <w:kern w:val="24"/>
          <w:sz w:val="24"/>
          <w:szCs w:val="24"/>
        </w:rPr>
        <w:t>tre des dates de règlement et la situation de la trésorerie).</w:t>
      </w:r>
    </w:p>
    <w:p w14:paraId="3D953D24" w14:textId="77777777" w:rsidR="002760B2" w:rsidRPr="00414F3C" w:rsidRDefault="00EC7C41" w:rsidP="00414F3C">
      <w:pPr>
        <w:pStyle w:val="Titre5"/>
        <w:keepNext w:val="0"/>
        <w:keepLines w:val="0"/>
        <w:suppressAutoHyphens/>
        <w:spacing w:before="120" w:after="120" w:line="300" w:lineRule="auto"/>
        <w:ind w:firstLine="709"/>
        <w:rPr>
          <w:rFonts w:asciiTheme="majorBidi" w:hAnsiTheme="majorBidi"/>
          <w:b/>
          <w:bCs/>
          <w:color w:val="auto"/>
          <w:kern w:val="24"/>
          <w:sz w:val="24"/>
          <w:szCs w:val="24"/>
        </w:rPr>
      </w:pPr>
      <w:bookmarkStart w:id="1075" w:name="_Toc182298791"/>
      <w:r w:rsidRPr="00414F3C">
        <w:rPr>
          <w:rFonts w:asciiTheme="majorBidi" w:hAnsiTheme="majorBidi"/>
          <w:b/>
          <w:bCs/>
          <w:color w:val="auto"/>
          <w:kern w:val="24"/>
          <w:sz w:val="24"/>
          <w:szCs w:val="24"/>
        </w:rPr>
        <w:t>3.2.1.4- A</w:t>
      </w:r>
      <w:r w:rsidR="002760B2" w:rsidRPr="00414F3C">
        <w:rPr>
          <w:rFonts w:asciiTheme="majorBidi" w:hAnsiTheme="majorBidi"/>
          <w:b/>
          <w:bCs/>
          <w:color w:val="auto"/>
          <w:kern w:val="24"/>
          <w:sz w:val="24"/>
          <w:szCs w:val="24"/>
        </w:rPr>
        <w:t>doption de système de</w:t>
      </w:r>
      <w:r w:rsidR="00CB79CC" w:rsidRPr="00414F3C">
        <w:rPr>
          <w:rFonts w:asciiTheme="majorBidi" w:hAnsiTheme="majorBidi"/>
          <w:b/>
          <w:bCs/>
          <w:color w:val="auto"/>
          <w:kern w:val="24"/>
          <w:sz w:val="24"/>
          <w:szCs w:val="24"/>
        </w:rPr>
        <w:t xml:space="preserve"> contrôle interne et de </w:t>
      </w:r>
      <w:r w:rsidR="00A41D53" w:rsidRPr="00414F3C">
        <w:rPr>
          <w:rFonts w:asciiTheme="majorBidi" w:hAnsiTheme="majorBidi"/>
          <w:b/>
          <w:bCs/>
          <w:i/>
          <w:iCs/>
          <w:color w:val="auto"/>
          <w:kern w:val="24"/>
          <w:sz w:val="24"/>
          <w:szCs w:val="24"/>
        </w:rPr>
        <w:t>r</w:t>
      </w:r>
      <w:r w:rsidR="00CB79CC" w:rsidRPr="00414F3C">
        <w:rPr>
          <w:rFonts w:asciiTheme="majorBidi" w:hAnsiTheme="majorBidi"/>
          <w:b/>
          <w:bCs/>
          <w:i/>
          <w:iCs/>
          <w:color w:val="auto"/>
          <w:kern w:val="24"/>
          <w:sz w:val="24"/>
          <w:szCs w:val="24"/>
        </w:rPr>
        <w:t>ating</w:t>
      </w:r>
      <w:bookmarkEnd w:id="1075"/>
    </w:p>
    <w:p w14:paraId="2157690B" w14:textId="77777777" w:rsidR="00A271FD" w:rsidRPr="00414F3C" w:rsidRDefault="00A271FD"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L’importance du système</w:t>
      </w:r>
      <w:r w:rsidR="002760B2" w:rsidRPr="00414F3C">
        <w:rPr>
          <w:rFonts w:asciiTheme="majorBidi" w:hAnsiTheme="majorBidi" w:cstheme="majorBidi"/>
          <w:kern w:val="24"/>
          <w:sz w:val="24"/>
          <w:szCs w:val="24"/>
        </w:rPr>
        <w:t xml:space="preserve"> de contrôle interne (SCI) est plus grande </w:t>
      </w:r>
      <w:r w:rsidRPr="00414F3C">
        <w:rPr>
          <w:rFonts w:asciiTheme="majorBidi" w:hAnsiTheme="majorBidi" w:cstheme="majorBidi"/>
          <w:kern w:val="24"/>
          <w:sz w:val="24"/>
          <w:szCs w:val="24"/>
        </w:rPr>
        <w:t xml:space="preserve">dans </w:t>
      </w:r>
      <w:r w:rsidR="0081641F" w:rsidRPr="00414F3C">
        <w:rPr>
          <w:rFonts w:asciiTheme="majorBidi" w:hAnsiTheme="majorBidi" w:cstheme="majorBidi"/>
          <w:kern w:val="24"/>
          <w:sz w:val="24"/>
          <w:szCs w:val="24"/>
        </w:rPr>
        <w:t>la banque</w:t>
      </w:r>
      <w:r w:rsidRPr="00414F3C">
        <w:rPr>
          <w:rFonts w:asciiTheme="majorBidi" w:hAnsiTheme="majorBidi" w:cstheme="majorBidi"/>
          <w:kern w:val="24"/>
          <w:sz w:val="24"/>
          <w:szCs w:val="24"/>
        </w:rPr>
        <w:t xml:space="preserv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002760B2" w:rsidRPr="00414F3C">
        <w:rPr>
          <w:rFonts w:asciiTheme="majorBidi" w:hAnsiTheme="majorBidi" w:cstheme="majorBidi"/>
          <w:kern w:val="24"/>
          <w:sz w:val="24"/>
          <w:szCs w:val="24"/>
        </w:rPr>
        <w:t>. Le SCI doit réaliser trois objectifs</w:t>
      </w:r>
      <w:r w:rsidR="002760B2" w:rsidRPr="00414F3C">
        <w:rPr>
          <w:rStyle w:val="Appelnotedebasdep"/>
          <w:rFonts w:asciiTheme="majorBidi" w:hAnsiTheme="majorBidi" w:cstheme="majorBidi"/>
          <w:kern w:val="24"/>
          <w:sz w:val="24"/>
          <w:szCs w:val="24"/>
        </w:rPr>
        <w:footnoteReference w:id="258"/>
      </w:r>
      <w:r w:rsidRPr="00414F3C">
        <w:rPr>
          <w:rFonts w:asciiTheme="majorBidi" w:hAnsiTheme="majorBidi" w:cstheme="majorBidi"/>
          <w:kern w:val="24"/>
          <w:sz w:val="24"/>
          <w:szCs w:val="24"/>
        </w:rPr>
        <w:t> :</w:t>
      </w:r>
    </w:p>
    <w:p w14:paraId="3165921B" w14:textId="4F798AC1" w:rsidR="00A271FD" w:rsidRPr="00414F3C" w:rsidRDefault="00414F3C" w:rsidP="00CB0FF1">
      <w:pPr>
        <w:pStyle w:val="Paragraphedeliste"/>
        <w:numPr>
          <w:ilvl w:val="0"/>
          <w:numId w:val="60"/>
        </w:numPr>
        <w:tabs>
          <w:tab w:val="left" w:pos="0"/>
        </w:tabs>
        <w:suppressAutoHyphens/>
        <w:spacing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Le p</w:t>
      </w:r>
      <w:r w:rsidR="002760B2" w:rsidRPr="00414F3C">
        <w:rPr>
          <w:rFonts w:asciiTheme="majorBidi" w:hAnsiTheme="majorBidi" w:cstheme="majorBidi"/>
          <w:kern w:val="24"/>
          <w:sz w:val="24"/>
          <w:szCs w:val="24"/>
        </w:rPr>
        <w:t>remi</w:t>
      </w:r>
      <w:r w:rsidRPr="00414F3C">
        <w:rPr>
          <w:rFonts w:asciiTheme="majorBidi" w:hAnsiTheme="majorBidi" w:cstheme="majorBidi"/>
          <w:kern w:val="24"/>
          <w:sz w:val="24"/>
          <w:szCs w:val="24"/>
        </w:rPr>
        <w:t>er</w:t>
      </w:r>
      <w:r w:rsidR="002760B2" w:rsidRPr="00414F3C">
        <w:rPr>
          <w:rFonts w:asciiTheme="majorBidi" w:hAnsiTheme="majorBidi" w:cstheme="majorBidi"/>
          <w:kern w:val="24"/>
          <w:sz w:val="24"/>
          <w:szCs w:val="24"/>
        </w:rPr>
        <w:t>, il doit améliorer la performance de la BI en utilisant ses actifs et son potentiel de croissance d’une manière optimum, tout en garantissant la participation de tout le personnel avec int</w:t>
      </w:r>
      <w:r w:rsidR="00A271FD" w:rsidRPr="00414F3C">
        <w:rPr>
          <w:rFonts w:asciiTheme="majorBidi" w:hAnsiTheme="majorBidi" w:cstheme="majorBidi"/>
          <w:kern w:val="24"/>
          <w:sz w:val="24"/>
          <w:szCs w:val="24"/>
        </w:rPr>
        <w:t>égrité, sincérité et honnêteté.</w:t>
      </w:r>
    </w:p>
    <w:p w14:paraId="20A2D7BF" w14:textId="7E319D05" w:rsidR="00A271FD" w:rsidRPr="00414F3C" w:rsidRDefault="00414F3C" w:rsidP="00CB0FF1">
      <w:pPr>
        <w:pStyle w:val="Paragraphedeliste"/>
        <w:numPr>
          <w:ilvl w:val="0"/>
          <w:numId w:val="60"/>
        </w:numPr>
        <w:tabs>
          <w:tab w:val="left" w:pos="0"/>
        </w:tabs>
        <w:suppressAutoHyphens/>
        <w:spacing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Le second</w:t>
      </w:r>
      <w:r w:rsidR="002760B2" w:rsidRPr="00414F3C">
        <w:rPr>
          <w:rFonts w:asciiTheme="majorBidi" w:hAnsiTheme="majorBidi" w:cstheme="majorBidi"/>
          <w:kern w:val="24"/>
          <w:sz w:val="24"/>
          <w:szCs w:val="24"/>
        </w:rPr>
        <w:t>, il doit assurer la préparation, la mise à jour et la disponibilité d’informations sûres pour augme</w:t>
      </w:r>
      <w:r w:rsidR="00A271FD" w:rsidRPr="00414F3C">
        <w:rPr>
          <w:rFonts w:asciiTheme="majorBidi" w:hAnsiTheme="majorBidi" w:cstheme="majorBidi"/>
          <w:kern w:val="24"/>
          <w:sz w:val="24"/>
          <w:szCs w:val="24"/>
        </w:rPr>
        <w:t>nter la compétitivité de la BI.</w:t>
      </w:r>
    </w:p>
    <w:p w14:paraId="223B8E3C" w14:textId="654242FA" w:rsidR="00A271FD" w:rsidRPr="00414F3C" w:rsidRDefault="002760B2" w:rsidP="00CB0FF1">
      <w:pPr>
        <w:pStyle w:val="Paragraphedeliste"/>
        <w:numPr>
          <w:ilvl w:val="0"/>
          <w:numId w:val="60"/>
        </w:numPr>
        <w:tabs>
          <w:tab w:val="left" w:pos="0"/>
        </w:tabs>
        <w:suppressAutoHyphens/>
        <w:spacing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Et</w:t>
      </w:r>
      <w:r w:rsidR="002D4416"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w:t>
      </w:r>
      <w:r w:rsidR="00414F3C" w:rsidRPr="00414F3C">
        <w:rPr>
          <w:rFonts w:asciiTheme="majorBidi" w:hAnsiTheme="majorBidi" w:cstheme="majorBidi"/>
          <w:kern w:val="24"/>
          <w:sz w:val="24"/>
          <w:szCs w:val="24"/>
        </w:rPr>
        <w:t>le troisième</w:t>
      </w:r>
      <w:r w:rsidRPr="00414F3C">
        <w:rPr>
          <w:rFonts w:asciiTheme="majorBidi" w:hAnsiTheme="majorBidi" w:cstheme="majorBidi"/>
          <w:kern w:val="24"/>
          <w:sz w:val="24"/>
          <w:szCs w:val="24"/>
        </w:rPr>
        <w:t>, il doit garantir l’entière conformité des pratiques de la BI avec les lois, les normes d’éthique et les valeurs sociales.</w:t>
      </w:r>
    </w:p>
    <w:p w14:paraId="61CC5116"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Il est de la responsabilité de l’auditeur interne de veiller sur la bonne exécution de toutes ces tâches. Ainsi, le SCI doit veiller à la reconnaissance et à l’évaluation des risques qui menacent la banque et s’assurer que cette dernière prépare des rapports périodiques de risques suivis par des tests de vérification.</w:t>
      </w:r>
    </w:p>
    <w:p w14:paraId="764FA928"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 système de </w:t>
      </w:r>
      <w:r w:rsidR="00A41D53" w:rsidRPr="00414F3C">
        <w:rPr>
          <w:rFonts w:asciiTheme="majorBidi" w:hAnsiTheme="majorBidi" w:cstheme="majorBidi"/>
          <w:i/>
          <w:iCs/>
          <w:kern w:val="24"/>
          <w:sz w:val="24"/>
          <w:szCs w:val="24"/>
        </w:rPr>
        <w:t>r</w:t>
      </w:r>
      <w:r w:rsidRPr="00414F3C">
        <w:rPr>
          <w:rFonts w:asciiTheme="majorBidi" w:hAnsiTheme="majorBidi" w:cstheme="majorBidi"/>
          <w:i/>
          <w:iCs/>
          <w:kern w:val="24"/>
          <w:sz w:val="24"/>
          <w:szCs w:val="24"/>
        </w:rPr>
        <w:t>ating</w:t>
      </w:r>
      <w:r w:rsidRPr="00414F3C">
        <w:rPr>
          <w:rFonts w:asciiTheme="majorBidi" w:hAnsiTheme="majorBidi" w:cstheme="majorBidi"/>
          <w:kern w:val="24"/>
          <w:sz w:val="24"/>
          <w:szCs w:val="24"/>
        </w:rPr>
        <w:t xml:space="preserve"> est un modèle de surveillance mis en place par les banques centrales pour évaluer la situation financière des institutions de crédit. Les modèles CAMELS sont les plus connus</w:t>
      </w:r>
      <w:r w:rsidR="00F673C5" w:rsidRPr="00414F3C">
        <w:rPr>
          <w:rFonts w:asciiTheme="majorBidi" w:hAnsiTheme="majorBidi" w:cstheme="majorBidi"/>
          <w:kern w:val="24"/>
          <w:sz w:val="24"/>
          <w:szCs w:val="24"/>
        </w:rPr>
        <w:t>. L</w:t>
      </w:r>
      <w:r w:rsidR="0081641F" w:rsidRPr="00414F3C">
        <w:rPr>
          <w:rFonts w:asciiTheme="majorBidi" w:hAnsiTheme="majorBidi" w:cstheme="majorBidi"/>
          <w:kern w:val="24"/>
          <w:sz w:val="24"/>
          <w:szCs w:val="24"/>
        </w:rPr>
        <w:t>a BI gère ses</w:t>
      </w:r>
      <w:r w:rsidRPr="00414F3C">
        <w:rPr>
          <w:rFonts w:asciiTheme="majorBidi" w:hAnsiTheme="majorBidi" w:cstheme="majorBidi"/>
          <w:kern w:val="24"/>
          <w:sz w:val="24"/>
          <w:szCs w:val="24"/>
        </w:rPr>
        <w:t xml:space="preserve"> risques par référence à ces modèles</w:t>
      </w:r>
      <w:r w:rsidRPr="00414F3C">
        <w:rPr>
          <w:rStyle w:val="Appelnotedebasdep"/>
          <w:rFonts w:asciiTheme="majorBidi" w:hAnsiTheme="majorBidi" w:cstheme="majorBidi"/>
          <w:kern w:val="24"/>
          <w:sz w:val="24"/>
          <w:szCs w:val="24"/>
        </w:rPr>
        <w:footnoteReference w:id="259"/>
      </w:r>
      <w:r w:rsidRPr="00414F3C">
        <w:rPr>
          <w:rFonts w:asciiTheme="majorBidi" w:hAnsiTheme="majorBidi" w:cstheme="majorBidi"/>
          <w:kern w:val="24"/>
          <w:sz w:val="24"/>
          <w:szCs w:val="24"/>
        </w:rPr>
        <w:t>. Cette méthode repose sur l’examen de cinq domaines :</w:t>
      </w:r>
    </w:p>
    <w:p w14:paraId="69196082" w14:textId="77777777"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 </w:t>
      </w:r>
      <w:r w:rsidR="00A271FD" w:rsidRPr="00414F3C">
        <w:rPr>
          <w:rFonts w:asciiTheme="majorBidi" w:hAnsiTheme="majorBidi" w:cstheme="majorBidi"/>
          <w:i/>
          <w:iCs/>
          <w:kern w:val="24"/>
          <w:sz w:val="24"/>
          <w:szCs w:val="24"/>
        </w:rPr>
        <w:t>capital a</w:t>
      </w:r>
      <w:r w:rsidRPr="00414F3C">
        <w:rPr>
          <w:rFonts w:asciiTheme="majorBidi" w:hAnsiTheme="majorBidi" w:cstheme="majorBidi"/>
          <w:i/>
          <w:iCs/>
          <w:kern w:val="24"/>
          <w:sz w:val="24"/>
          <w:szCs w:val="24"/>
        </w:rPr>
        <w:t>dequacy</w:t>
      </w:r>
      <w:r w:rsidRPr="00414F3C">
        <w:rPr>
          <w:rFonts w:asciiTheme="majorBidi" w:hAnsiTheme="majorBidi" w:cstheme="majorBidi"/>
          <w:kern w:val="24"/>
          <w:sz w:val="24"/>
          <w:szCs w:val="24"/>
        </w:rPr>
        <w:t xml:space="preserve"> (adéquation du capital) examiné par le respect du ratio de suffisance du capital (ratio </w:t>
      </w:r>
      <w:r w:rsidRPr="00414F3C">
        <w:rPr>
          <w:rFonts w:asciiTheme="majorBidi" w:hAnsiTheme="majorBidi" w:cstheme="majorBidi"/>
          <w:i/>
          <w:iCs/>
          <w:kern w:val="24"/>
          <w:sz w:val="24"/>
          <w:szCs w:val="24"/>
        </w:rPr>
        <w:t>MacDonough</w:t>
      </w:r>
      <w:r w:rsidRPr="00414F3C">
        <w:rPr>
          <w:rFonts w:asciiTheme="majorBidi" w:hAnsiTheme="majorBidi" w:cstheme="majorBidi"/>
          <w:kern w:val="24"/>
          <w:sz w:val="24"/>
          <w:szCs w:val="24"/>
        </w:rPr>
        <w:t>) ;</w:t>
      </w:r>
    </w:p>
    <w:p w14:paraId="0D985A88" w14:textId="77777777"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w:t>
      </w:r>
      <w:r w:rsidR="00A271FD" w:rsidRPr="00414F3C">
        <w:rPr>
          <w:rFonts w:asciiTheme="majorBidi" w:hAnsiTheme="majorBidi" w:cstheme="majorBidi"/>
          <w:i/>
          <w:iCs/>
          <w:kern w:val="24"/>
          <w:sz w:val="24"/>
          <w:szCs w:val="24"/>
        </w:rPr>
        <w:t>asset q</w:t>
      </w:r>
      <w:r w:rsidRPr="00414F3C">
        <w:rPr>
          <w:rFonts w:asciiTheme="majorBidi" w:hAnsiTheme="majorBidi" w:cstheme="majorBidi"/>
          <w:i/>
          <w:iCs/>
          <w:kern w:val="24"/>
          <w:sz w:val="24"/>
          <w:szCs w:val="24"/>
        </w:rPr>
        <w:t>uality</w:t>
      </w:r>
      <w:r w:rsidRPr="00414F3C">
        <w:rPr>
          <w:rFonts w:asciiTheme="majorBidi" w:hAnsiTheme="majorBidi" w:cstheme="majorBidi"/>
          <w:kern w:val="24"/>
          <w:sz w:val="24"/>
          <w:szCs w:val="24"/>
        </w:rPr>
        <w:t xml:space="preserve"> assuré soit par la constitution de provisions ou de réserves, soit par l’enregistrement de pertes selon l’état des actifs ;  </w:t>
      </w:r>
    </w:p>
    <w:p w14:paraId="28D5DE30" w14:textId="77777777"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Les </w:t>
      </w:r>
      <w:r w:rsidR="00A271FD" w:rsidRPr="00414F3C">
        <w:rPr>
          <w:rFonts w:asciiTheme="majorBidi" w:hAnsiTheme="majorBidi" w:cstheme="majorBidi"/>
          <w:i/>
          <w:iCs/>
          <w:kern w:val="24"/>
          <w:sz w:val="24"/>
          <w:szCs w:val="24"/>
        </w:rPr>
        <w:t>e</w:t>
      </w:r>
      <w:r w:rsidRPr="00414F3C">
        <w:rPr>
          <w:rFonts w:asciiTheme="majorBidi" w:hAnsiTheme="majorBidi" w:cstheme="majorBidi"/>
          <w:i/>
          <w:iCs/>
          <w:kern w:val="24"/>
          <w:sz w:val="24"/>
          <w:szCs w:val="24"/>
        </w:rPr>
        <w:t>arnings</w:t>
      </w:r>
      <w:r w:rsidRPr="00414F3C">
        <w:rPr>
          <w:rFonts w:asciiTheme="majorBidi" w:hAnsiTheme="majorBidi" w:cstheme="majorBidi"/>
          <w:kern w:val="24"/>
          <w:sz w:val="24"/>
          <w:szCs w:val="24"/>
        </w:rPr>
        <w:t xml:space="preserve"> considérés de qualité lorsqu’ils proviennent de l’activité (c’est</w:t>
      </w:r>
      <w:r w:rsidR="00F673C5" w:rsidRPr="00414F3C">
        <w:rPr>
          <w:rFonts w:asciiTheme="majorBidi" w:hAnsiTheme="majorBidi" w:cstheme="majorBidi"/>
          <w:kern w:val="24"/>
          <w:sz w:val="24"/>
          <w:szCs w:val="24"/>
        </w:rPr>
        <w:t>-</w:t>
      </w:r>
      <w:r w:rsidRPr="00414F3C">
        <w:rPr>
          <w:rFonts w:asciiTheme="majorBidi" w:hAnsiTheme="majorBidi" w:cstheme="majorBidi"/>
          <w:kern w:val="24"/>
          <w:sz w:val="24"/>
          <w:szCs w:val="24"/>
        </w:rPr>
        <w:t>à</w:t>
      </w:r>
      <w:r w:rsidR="00F673C5"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dire par une augmentation des produits et une diminution des charges d’exploitation) ; </w:t>
      </w:r>
    </w:p>
    <w:p w14:paraId="2FB9958E" w14:textId="77777777"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La </w:t>
      </w:r>
      <w:r w:rsidRPr="00414F3C">
        <w:rPr>
          <w:rFonts w:asciiTheme="majorBidi" w:hAnsiTheme="majorBidi" w:cstheme="majorBidi"/>
          <w:i/>
          <w:iCs/>
          <w:kern w:val="24"/>
          <w:sz w:val="24"/>
          <w:szCs w:val="24"/>
        </w:rPr>
        <w:t>liquidity</w:t>
      </w:r>
      <w:r w:rsidR="00F673C5"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capacité des actifs à devenir liquides</w:t>
      </w:r>
      <w:r w:rsidR="00F673C5"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mesurée par le ratio de liquidité ;</w:t>
      </w:r>
    </w:p>
    <w:p w14:paraId="7DAB3250" w14:textId="77777777"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 La </w:t>
      </w:r>
      <w:r w:rsidRPr="00414F3C">
        <w:rPr>
          <w:rFonts w:asciiTheme="majorBidi" w:hAnsiTheme="majorBidi" w:cstheme="majorBidi"/>
          <w:i/>
          <w:iCs/>
          <w:kern w:val="24"/>
          <w:sz w:val="24"/>
          <w:szCs w:val="24"/>
        </w:rPr>
        <w:t>sensivity to market risk</w:t>
      </w:r>
      <w:r w:rsidRPr="00414F3C">
        <w:rPr>
          <w:rFonts w:asciiTheme="majorBidi" w:hAnsiTheme="majorBidi" w:cstheme="majorBidi"/>
          <w:kern w:val="24"/>
          <w:sz w:val="24"/>
          <w:szCs w:val="24"/>
        </w:rPr>
        <w:t xml:space="preserve"> examinée à partir des différentes parades utilisées.</w:t>
      </w:r>
    </w:p>
    <w:p w14:paraId="2BB61D13" w14:textId="77777777" w:rsidR="002760B2" w:rsidRPr="00414F3C" w:rsidRDefault="002760B2" w:rsidP="00414F3C">
      <w:pPr>
        <w:pStyle w:val="Paragraphedeliste"/>
        <w:tabs>
          <w:tab w:val="left" w:pos="851"/>
          <w:tab w:val="left" w:pos="1134"/>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lastRenderedPageBreak/>
        <w:t>La banque centrale établit pour chaque banque un score de 1 (excellent) à 5 (mauvais) pour chaque facteur respectivement. Lorsque le score moyen de la banque est inférieur à 2, la gestion de la banque est considérée de bonne qualité, alors que si ce score dépasse 3, la gestion n’est pas satisfaisante. Ce système permet d’identifier les banques qui méritent une attention particulière.</w:t>
      </w:r>
    </w:p>
    <w:p w14:paraId="04863F0B" w14:textId="77777777" w:rsidR="002760B2" w:rsidRPr="00414F3C" w:rsidRDefault="00EC7C41" w:rsidP="00414F3C">
      <w:pPr>
        <w:pStyle w:val="Titre4"/>
        <w:keepNext w:val="0"/>
        <w:suppressAutoHyphens/>
        <w:spacing w:before="100" w:beforeAutospacing="1" w:after="120" w:line="300" w:lineRule="auto"/>
        <w:ind w:firstLine="709"/>
        <w:rPr>
          <w:rFonts w:asciiTheme="majorBidi" w:hAnsiTheme="majorBidi" w:cstheme="majorBidi"/>
          <w:kern w:val="24"/>
        </w:rPr>
      </w:pPr>
      <w:bookmarkStart w:id="1076" w:name="_Toc33263326"/>
      <w:bookmarkStart w:id="1077" w:name="_Toc37664589"/>
      <w:bookmarkStart w:id="1078" w:name="_Toc37666434"/>
      <w:bookmarkStart w:id="1079" w:name="_Toc54363323"/>
      <w:bookmarkStart w:id="1080" w:name="_Toc58606316"/>
      <w:bookmarkStart w:id="1081" w:name="_Toc61263521"/>
      <w:bookmarkStart w:id="1082" w:name="_Toc182298792"/>
      <w:r w:rsidRPr="00414F3C">
        <w:rPr>
          <w:rFonts w:asciiTheme="majorBidi" w:hAnsiTheme="majorBidi" w:cstheme="majorBidi"/>
          <w:kern w:val="24"/>
        </w:rPr>
        <w:t xml:space="preserve">3.2.2- </w:t>
      </w:r>
      <w:r w:rsidR="002760B2" w:rsidRPr="00414F3C">
        <w:rPr>
          <w:rFonts w:asciiTheme="majorBidi" w:hAnsiTheme="majorBidi" w:cstheme="majorBidi"/>
          <w:kern w:val="24"/>
        </w:rPr>
        <w:t xml:space="preserve">Techniques d’atténuation des risques dans </w:t>
      </w:r>
      <w:r w:rsidR="001262C2" w:rsidRPr="00414F3C">
        <w:rPr>
          <w:rFonts w:asciiTheme="majorBidi" w:hAnsiTheme="majorBidi" w:cstheme="majorBidi"/>
          <w:kern w:val="24"/>
        </w:rPr>
        <w:t>la banque</w:t>
      </w:r>
      <w:r w:rsidR="002760B2" w:rsidRPr="00414F3C">
        <w:rPr>
          <w:rFonts w:asciiTheme="majorBidi" w:hAnsiTheme="majorBidi" w:cstheme="majorBidi"/>
          <w:kern w:val="24"/>
        </w:rPr>
        <w:t xml:space="preserve"> </w:t>
      </w:r>
      <w:r w:rsidR="00505EDD" w:rsidRPr="00414F3C">
        <w:rPr>
          <w:rFonts w:asciiTheme="majorBidi" w:hAnsiTheme="majorBidi" w:cstheme="majorBidi"/>
          <w:kern w:val="24"/>
        </w:rPr>
        <w:t>i</w:t>
      </w:r>
      <w:r w:rsidR="003773C6" w:rsidRPr="00414F3C">
        <w:rPr>
          <w:rFonts w:asciiTheme="majorBidi" w:hAnsiTheme="majorBidi" w:cstheme="majorBidi"/>
          <w:kern w:val="24"/>
        </w:rPr>
        <w:t>slamique</w:t>
      </w:r>
      <w:bookmarkEnd w:id="1076"/>
      <w:bookmarkEnd w:id="1077"/>
      <w:bookmarkEnd w:id="1078"/>
      <w:bookmarkEnd w:id="1079"/>
      <w:bookmarkEnd w:id="1080"/>
      <w:bookmarkEnd w:id="1081"/>
      <w:bookmarkEnd w:id="1082"/>
    </w:p>
    <w:p w14:paraId="2D2D3402" w14:textId="77777777" w:rsidR="002760B2" w:rsidRPr="00414F3C" w:rsidRDefault="002760B2" w:rsidP="00414F3C">
      <w:pPr>
        <w:pStyle w:val="Paragraphedeliste"/>
        <w:tabs>
          <w:tab w:val="left" w:pos="0"/>
        </w:tabs>
        <w:suppressAutoHyphens/>
        <w:spacing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Pour se prémunir contre les risques</w:t>
      </w:r>
      <w:r w:rsidR="001262C2" w:rsidRPr="00414F3C">
        <w:rPr>
          <w:rFonts w:asciiTheme="majorBidi" w:hAnsiTheme="majorBidi" w:cstheme="majorBidi"/>
          <w:kern w:val="24"/>
          <w:sz w:val="24"/>
          <w:szCs w:val="24"/>
        </w:rPr>
        <w:t xml:space="preserve"> bancaires ou les atténuer, la BI a</w:t>
      </w:r>
      <w:r w:rsidRPr="00414F3C">
        <w:rPr>
          <w:rFonts w:asciiTheme="majorBidi" w:hAnsiTheme="majorBidi" w:cstheme="majorBidi"/>
          <w:kern w:val="24"/>
          <w:sz w:val="24"/>
          <w:szCs w:val="24"/>
        </w:rPr>
        <w:t xml:space="preserve"> besoin d’une multitude d’approches de gestion des risques tout en renforçant le système de supervision. Dans ce qui suit, nous présent</w:t>
      </w:r>
      <w:r w:rsidR="001262C2" w:rsidRPr="00414F3C">
        <w:rPr>
          <w:rFonts w:asciiTheme="majorBidi" w:hAnsiTheme="majorBidi" w:cstheme="majorBidi"/>
          <w:kern w:val="24"/>
          <w:sz w:val="24"/>
          <w:szCs w:val="24"/>
        </w:rPr>
        <w:t>o</w:t>
      </w:r>
      <w:r w:rsidRPr="00414F3C">
        <w:rPr>
          <w:rFonts w:asciiTheme="majorBidi" w:hAnsiTheme="majorBidi" w:cstheme="majorBidi"/>
          <w:kern w:val="24"/>
          <w:sz w:val="24"/>
          <w:szCs w:val="24"/>
        </w:rPr>
        <w:t>ns les différentes te</w:t>
      </w:r>
      <w:r w:rsidR="001262C2" w:rsidRPr="00414F3C">
        <w:rPr>
          <w:rFonts w:asciiTheme="majorBidi" w:hAnsiTheme="majorBidi" w:cstheme="majorBidi"/>
          <w:kern w:val="24"/>
          <w:sz w:val="24"/>
          <w:szCs w:val="24"/>
        </w:rPr>
        <w:t xml:space="preserve">chniques de couverture des </w:t>
      </w:r>
      <w:r w:rsidR="00F81836" w:rsidRPr="00414F3C">
        <w:rPr>
          <w:rFonts w:asciiTheme="majorBidi" w:hAnsiTheme="majorBidi" w:cstheme="majorBidi"/>
          <w:kern w:val="24"/>
          <w:sz w:val="24"/>
          <w:szCs w:val="24"/>
        </w:rPr>
        <w:t>risques utilisée</w:t>
      </w:r>
      <w:r w:rsidR="001262C2" w:rsidRPr="00414F3C">
        <w:rPr>
          <w:rFonts w:asciiTheme="majorBidi" w:hAnsiTheme="majorBidi" w:cstheme="majorBidi"/>
          <w:kern w:val="24"/>
          <w:sz w:val="24"/>
          <w:szCs w:val="24"/>
        </w:rPr>
        <w:t xml:space="preserve"> par la BI.</w:t>
      </w:r>
    </w:p>
    <w:p w14:paraId="3A30EE3E" w14:textId="77777777" w:rsidR="002760B2" w:rsidRPr="00414F3C" w:rsidRDefault="00EC7C41" w:rsidP="00414F3C">
      <w:pPr>
        <w:pStyle w:val="Titre5"/>
        <w:keepNext w:val="0"/>
        <w:keepLines w:val="0"/>
        <w:suppressAutoHyphens/>
        <w:spacing w:before="120" w:after="120" w:line="300" w:lineRule="auto"/>
        <w:ind w:firstLine="709"/>
        <w:rPr>
          <w:rFonts w:asciiTheme="majorBidi" w:hAnsiTheme="majorBidi"/>
          <w:b/>
          <w:bCs/>
          <w:color w:val="auto"/>
          <w:kern w:val="24"/>
          <w:sz w:val="24"/>
          <w:szCs w:val="24"/>
        </w:rPr>
      </w:pPr>
      <w:bookmarkStart w:id="1083" w:name="_Toc182298793"/>
      <w:r w:rsidRPr="00414F3C">
        <w:rPr>
          <w:rFonts w:asciiTheme="majorBidi" w:hAnsiTheme="majorBidi"/>
          <w:b/>
          <w:bCs/>
          <w:color w:val="auto"/>
          <w:kern w:val="24"/>
          <w:sz w:val="24"/>
          <w:szCs w:val="24"/>
        </w:rPr>
        <w:t xml:space="preserve">3.2.2.1- </w:t>
      </w:r>
      <w:r w:rsidR="00CB79CC" w:rsidRPr="00414F3C">
        <w:rPr>
          <w:rFonts w:asciiTheme="majorBidi" w:hAnsiTheme="majorBidi"/>
          <w:b/>
          <w:bCs/>
          <w:color w:val="auto"/>
          <w:kern w:val="24"/>
          <w:sz w:val="24"/>
          <w:szCs w:val="24"/>
        </w:rPr>
        <w:t xml:space="preserve">Gestion du risque de </w:t>
      </w:r>
      <w:r w:rsidR="001262C2" w:rsidRPr="00414F3C">
        <w:rPr>
          <w:rFonts w:asciiTheme="majorBidi" w:hAnsiTheme="majorBidi"/>
          <w:b/>
          <w:bCs/>
          <w:color w:val="auto"/>
          <w:kern w:val="24"/>
          <w:sz w:val="24"/>
          <w:szCs w:val="24"/>
        </w:rPr>
        <w:t>contrepartie</w:t>
      </w:r>
      <w:bookmarkEnd w:id="1083"/>
    </w:p>
    <w:p w14:paraId="02309F3D"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Un certain nombre de méthodes d’atténuation du risque de </w:t>
      </w:r>
      <w:r w:rsidR="001262C2" w:rsidRPr="00414F3C">
        <w:rPr>
          <w:rFonts w:asciiTheme="majorBidi" w:hAnsiTheme="majorBidi" w:cstheme="majorBidi"/>
          <w:kern w:val="24"/>
          <w:sz w:val="24"/>
          <w:szCs w:val="24"/>
        </w:rPr>
        <w:t>contrepartie</w:t>
      </w:r>
      <w:r w:rsidRPr="00414F3C">
        <w:rPr>
          <w:rFonts w:asciiTheme="majorBidi" w:hAnsiTheme="majorBidi" w:cstheme="majorBidi"/>
          <w:kern w:val="24"/>
          <w:sz w:val="24"/>
          <w:szCs w:val="24"/>
        </w:rPr>
        <w:t xml:space="preserve"> emprunté</w:t>
      </w:r>
      <w:r w:rsidR="001262C2" w:rsidRPr="00414F3C">
        <w:rPr>
          <w:rFonts w:asciiTheme="majorBidi" w:hAnsiTheme="majorBidi" w:cstheme="majorBidi"/>
          <w:kern w:val="24"/>
          <w:sz w:val="24"/>
          <w:szCs w:val="24"/>
        </w:rPr>
        <w:t>e</w:t>
      </w:r>
      <w:r w:rsidRPr="00414F3C">
        <w:rPr>
          <w:rFonts w:asciiTheme="majorBidi" w:hAnsiTheme="majorBidi" w:cstheme="majorBidi"/>
          <w:kern w:val="24"/>
          <w:sz w:val="24"/>
          <w:szCs w:val="24"/>
        </w:rPr>
        <w:t>s</w:t>
      </w:r>
      <w:r w:rsidR="001262C2" w:rsidRPr="00414F3C">
        <w:rPr>
          <w:rFonts w:asciiTheme="majorBidi" w:hAnsiTheme="majorBidi" w:cstheme="majorBidi"/>
          <w:kern w:val="24"/>
          <w:sz w:val="24"/>
          <w:szCs w:val="24"/>
        </w:rPr>
        <w:t xml:space="preserve"> de la banque </w:t>
      </w:r>
      <w:r w:rsidRPr="00414F3C">
        <w:rPr>
          <w:rFonts w:asciiTheme="majorBidi" w:hAnsiTheme="majorBidi" w:cstheme="majorBidi"/>
          <w:kern w:val="24"/>
          <w:sz w:val="24"/>
          <w:szCs w:val="24"/>
        </w:rPr>
        <w:t>conv</w:t>
      </w:r>
      <w:r w:rsidR="001262C2" w:rsidRPr="00414F3C">
        <w:rPr>
          <w:rFonts w:asciiTheme="majorBidi" w:hAnsiTheme="majorBidi" w:cstheme="majorBidi"/>
          <w:kern w:val="24"/>
          <w:sz w:val="24"/>
          <w:szCs w:val="24"/>
        </w:rPr>
        <w:t>entionnelle sont applicables à la BI</w:t>
      </w:r>
      <w:r w:rsidRPr="00414F3C">
        <w:rPr>
          <w:rStyle w:val="Appelnotedebasdep"/>
          <w:rFonts w:asciiTheme="majorBidi" w:hAnsiTheme="majorBidi" w:cstheme="majorBidi"/>
          <w:kern w:val="24"/>
          <w:sz w:val="24"/>
          <w:szCs w:val="24"/>
        </w:rPr>
        <w:footnoteReference w:id="260"/>
      </w:r>
      <w:r w:rsidRPr="00414F3C">
        <w:rPr>
          <w:rFonts w:asciiTheme="majorBidi" w:hAnsiTheme="majorBidi" w:cstheme="majorBidi"/>
          <w:kern w:val="24"/>
          <w:sz w:val="24"/>
          <w:szCs w:val="24"/>
        </w:rPr>
        <w:t> :</w:t>
      </w:r>
    </w:p>
    <w:p w14:paraId="1E598B0E" w14:textId="77777777" w:rsidR="002760B2" w:rsidRPr="00414F3C" w:rsidRDefault="003F674B" w:rsidP="00414F3C">
      <w:pPr>
        <w:pStyle w:val="Titre6"/>
        <w:keepNext w:val="0"/>
        <w:keepLines w:val="0"/>
        <w:suppressAutoHyphens/>
        <w:spacing w:before="120" w:after="120" w:line="300" w:lineRule="auto"/>
        <w:ind w:firstLine="709"/>
        <w:rPr>
          <w:rFonts w:asciiTheme="majorBidi" w:hAnsiTheme="majorBidi"/>
          <w:b/>
          <w:bCs/>
          <w:i w:val="0"/>
          <w:iCs w:val="0"/>
          <w:color w:val="auto"/>
          <w:kern w:val="24"/>
          <w:sz w:val="24"/>
          <w:szCs w:val="24"/>
        </w:rPr>
      </w:pPr>
      <w:bookmarkStart w:id="1084" w:name="_Toc182298794"/>
      <w:r w:rsidRPr="00414F3C">
        <w:rPr>
          <w:rFonts w:asciiTheme="majorBidi" w:hAnsiTheme="majorBidi"/>
          <w:b/>
          <w:bCs/>
          <w:i w:val="0"/>
          <w:iCs w:val="0"/>
          <w:color w:val="auto"/>
          <w:kern w:val="24"/>
          <w:sz w:val="24"/>
          <w:szCs w:val="24"/>
        </w:rPr>
        <w:t xml:space="preserve">3.2.2.1.1- </w:t>
      </w:r>
      <w:r w:rsidR="00C535E2" w:rsidRPr="00414F3C">
        <w:rPr>
          <w:rFonts w:asciiTheme="majorBidi" w:hAnsiTheme="majorBidi"/>
          <w:b/>
          <w:bCs/>
          <w:i w:val="0"/>
          <w:iCs w:val="0"/>
          <w:color w:val="auto"/>
          <w:kern w:val="24"/>
          <w:sz w:val="24"/>
          <w:szCs w:val="24"/>
        </w:rPr>
        <w:t>R</w:t>
      </w:r>
      <w:r w:rsidR="002760B2" w:rsidRPr="00414F3C">
        <w:rPr>
          <w:rFonts w:asciiTheme="majorBidi" w:hAnsiTheme="majorBidi"/>
          <w:b/>
          <w:bCs/>
          <w:i w:val="0"/>
          <w:iCs w:val="0"/>
          <w:color w:val="auto"/>
          <w:kern w:val="24"/>
          <w:sz w:val="24"/>
          <w:szCs w:val="24"/>
        </w:rPr>
        <w:t>éser</w:t>
      </w:r>
      <w:r w:rsidR="00CB79CC" w:rsidRPr="00414F3C">
        <w:rPr>
          <w:rFonts w:asciiTheme="majorBidi" w:hAnsiTheme="majorBidi"/>
          <w:b/>
          <w:bCs/>
          <w:i w:val="0"/>
          <w:iCs w:val="0"/>
          <w:color w:val="auto"/>
          <w:kern w:val="24"/>
          <w:sz w:val="24"/>
          <w:szCs w:val="24"/>
        </w:rPr>
        <w:t>ve</w:t>
      </w:r>
      <w:r w:rsidR="001262C2" w:rsidRPr="00414F3C">
        <w:rPr>
          <w:rFonts w:asciiTheme="majorBidi" w:hAnsiTheme="majorBidi"/>
          <w:b/>
          <w:bCs/>
          <w:i w:val="0"/>
          <w:iCs w:val="0"/>
          <w:color w:val="auto"/>
          <w:kern w:val="24"/>
          <w:sz w:val="24"/>
          <w:szCs w:val="24"/>
        </w:rPr>
        <w:t xml:space="preserve"> </w:t>
      </w:r>
      <w:r w:rsidR="00CB79CC" w:rsidRPr="00414F3C">
        <w:rPr>
          <w:rFonts w:asciiTheme="majorBidi" w:hAnsiTheme="majorBidi"/>
          <w:b/>
          <w:bCs/>
          <w:i w:val="0"/>
          <w:iCs w:val="0"/>
          <w:color w:val="auto"/>
          <w:kern w:val="24"/>
          <w:sz w:val="24"/>
          <w:szCs w:val="24"/>
        </w:rPr>
        <w:t>pour pertes</w:t>
      </w:r>
      <w:bookmarkEnd w:id="1084"/>
    </w:p>
    <w:p w14:paraId="6C384BC9" w14:textId="77777777" w:rsidR="002760B2" w:rsidRPr="00414F3C" w:rsidRDefault="002760B2" w:rsidP="00414F3C">
      <w:pPr>
        <w:pStyle w:val="Paragraphedeliste"/>
        <w:tabs>
          <w:tab w:val="left" w:pos="0"/>
        </w:tabs>
        <w:suppressAutoHyphens/>
        <w:spacing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Les réserves de pertes de prêts présentent une protection contre les pertes de crédits anticipés. </w:t>
      </w:r>
      <w:r w:rsidR="000F4546" w:rsidRPr="00414F3C">
        <w:rPr>
          <w:rFonts w:asciiTheme="majorBidi" w:hAnsiTheme="majorBidi" w:cstheme="majorBidi"/>
          <w:kern w:val="24"/>
          <w:sz w:val="24"/>
          <w:szCs w:val="24"/>
        </w:rPr>
        <w:t>A côté des réserves légales, la BI maintien</w:t>
      </w:r>
      <w:r w:rsidRPr="00414F3C">
        <w:rPr>
          <w:rFonts w:asciiTheme="majorBidi" w:hAnsiTheme="majorBidi" w:cstheme="majorBidi"/>
          <w:kern w:val="24"/>
          <w:sz w:val="24"/>
          <w:szCs w:val="24"/>
        </w:rPr>
        <w:t>t des contributions des actionnaires de la banque et des titulaires des dépôts d’investissement. Le but de ces réserves est de protéger le capital et les dépôts d’investissement contre les risques de perte ou de défaut de remboursement.</w:t>
      </w:r>
      <w:r w:rsidR="00F559A5" w:rsidRPr="00414F3C">
        <w:rPr>
          <w:rFonts w:asciiTheme="majorBidi" w:hAnsiTheme="majorBidi" w:cstheme="majorBidi"/>
          <w:kern w:val="24"/>
          <w:sz w:val="24"/>
          <w:szCs w:val="24"/>
        </w:rPr>
        <w:t xml:space="preserve"> </w:t>
      </w:r>
      <w:r w:rsidR="00A271FD" w:rsidRPr="00414F3C">
        <w:rPr>
          <w:rFonts w:asciiTheme="majorBidi" w:hAnsiTheme="majorBidi" w:cstheme="majorBidi"/>
          <w:kern w:val="24"/>
          <w:sz w:val="24"/>
          <w:szCs w:val="24"/>
        </w:rPr>
        <w:t>Les normes de l’AAOI</w:t>
      </w:r>
      <w:r w:rsidRPr="00414F3C">
        <w:rPr>
          <w:rFonts w:asciiTheme="majorBidi" w:hAnsiTheme="majorBidi" w:cstheme="majorBidi"/>
          <w:kern w:val="24"/>
          <w:sz w:val="24"/>
          <w:szCs w:val="24"/>
        </w:rPr>
        <w:t xml:space="preserve">FI définissent la base de reconnaissance du revenu et </w:t>
      </w:r>
      <w:r w:rsidR="00F81836" w:rsidRPr="00414F3C">
        <w:rPr>
          <w:rFonts w:asciiTheme="majorBidi" w:hAnsiTheme="majorBidi" w:cstheme="majorBidi"/>
          <w:kern w:val="24"/>
          <w:sz w:val="24"/>
          <w:szCs w:val="24"/>
        </w:rPr>
        <w:t>des pertes liées</w:t>
      </w:r>
      <w:r w:rsidRPr="00414F3C">
        <w:rPr>
          <w:rFonts w:asciiTheme="majorBidi" w:hAnsiTheme="majorBidi" w:cstheme="majorBidi"/>
          <w:kern w:val="24"/>
          <w:sz w:val="24"/>
          <w:szCs w:val="24"/>
        </w:rPr>
        <w:t xml:space="preserve"> aux modes de financement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Cependant, ces normes sont rarement appliquées par les BI.</w:t>
      </w:r>
    </w:p>
    <w:p w14:paraId="46C05B99" w14:textId="77777777" w:rsidR="002760B2" w:rsidRPr="00414F3C" w:rsidRDefault="003F674B" w:rsidP="00414F3C">
      <w:pPr>
        <w:pStyle w:val="Titre6"/>
        <w:keepNext w:val="0"/>
        <w:keepLines w:val="0"/>
        <w:suppressAutoHyphens/>
        <w:spacing w:before="120" w:after="120" w:line="300" w:lineRule="auto"/>
        <w:ind w:firstLine="709"/>
        <w:rPr>
          <w:rFonts w:asciiTheme="majorBidi" w:hAnsiTheme="majorBidi"/>
          <w:b/>
          <w:bCs/>
          <w:i w:val="0"/>
          <w:iCs w:val="0"/>
          <w:color w:val="auto"/>
          <w:kern w:val="24"/>
          <w:sz w:val="24"/>
          <w:szCs w:val="24"/>
        </w:rPr>
      </w:pPr>
      <w:bookmarkStart w:id="1085" w:name="_Toc182298795"/>
      <w:r w:rsidRPr="00414F3C">
        <w:rPr>
          <w:rFonts w:asciiTheme="majorBidi" w:hAnsiTheme="majorBidi"/>
          <w:b/>
          <w:bCs/>
          <w:i w:val="0"/>
          <w:iCs w:val="0"/>
          <w:color w:val="auto"/>
          <w:kern w:val="24"/>
          <w:sz w:val="24"/>
          <w:szCs w:val="24"/>
        </w:rPr>
        <w:t xml:space="preserve">3.2.2.1.2- </w:t>
      </w:r>
      <w:r w:rsidR="00C535E2" w:rsidRPr="00414F3C">
        <w:rPr>
          <w:rFonts w:asciiTheme="majorBidi" w:hAnsiTheme="majorBidi"/>
          <w:b/>
          <w:bCs/>
          <w:i w:val="0"/>
          <w:iCs w:val="0"/>
          <w:color w:val="auto"/>
          <w:kern w:val="24"/>
          <w:sz w:val="24"/>
          <w:szCs w:val="24"/>
        </w:rPr>
        <w:t>N</w:t>
      </w:r>
      <w:r w:rsidR="00CB79CC" w:rsidRPr="00414F3C">
        <w:rPr>
          <w:rFonts w:asciiTheme="majorBidi" w:hAnsiTheme="majorBidi"/>
          <w:b/>
          <w:bCs/>
          <w:i w:val="0"/>
          <w:iCs w:val="0"/>
          <w:color w:val="auto"/>
          <w:kern w:val="24"/>
          <w:sz w:val="24"/>
          <w:szCs w:val="24"/>
        </w:rPr>
        <w:t>antissement</w:t>
      </w:r>
      <w:bookmarkEnd w:id="1085"/>
    </w:p>
    <w:p w14:paraId="5C86E6E7" w14:textId="77777777" w:rsidR="002760B2" w:rsidRPr="00414F3C" w:rsidRDefault="002760B2" w:rsidP="00414F3C">
      <w:pPr>
        <w:pStyle w:val="Paragraphedeliste"/>
        <w:tabs>
          <w:tab w:val="left" w:pos="0"/>
        </w:tabs>
        <w:suppressAutoHyphens/>
        <w:spacing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Les BI utilisent ce mécanisme pour mettre en sécurité l’argent en leur possession. Puisque </w:t>
      </w:r>
      <w:r w:rsidRPr="00414F3C">
        <w:rPr>
          <w:rFonts w:asciiTheme="majorBidi" w:hAnsiTheme="majorBidi" w:cstheme="majorBidi"/>
          <w:i/>
          <w:iCs/>
          <w:kern w:val="24"/>
          <w:sz w:val="24"/>
          <w:szCs w:val="24"/>
        </w:rPr>
        <w:t>a</w:t>
      </w:r>
      <w:r w:rsidR="002D4416" w:rsidRPr="00414F3C">
        <w:rPr>
          <w:rFonts w:asciiTheme="majorBidi" w:hAnsiTheme="majorBidi" w:cstheme="majorBidi"/>
          <w:i/>
          <w:iCs/>
          <w:kern w:val="24"/>
          <w:sz w:val="24"/>
          <w:szCs w:val="24"/>
        </w:rPr>
        <w:t>l</w:t>
      </w:r>
      <w:r w:rsidR="00A271FD" w:rsidRPr="00414F3C">
        <w:rPr>
          <w:rFonts w:asciiTheme="majorBidi" w:hAnsiTheme="majorBidi" w:cstheme="majorBidi"/>
          <w:i/>
          <w:iCs/>
          <w:kern w:val="24"/>
          <w:sz w:val="24"/>
          <w:szCs w:val="24"/>
        </w:rPr>
        <w:t>-r</w:t>
      </w:r>
      <w:r w:rsidRPr="00414F3C">
        <w:rPr>
          <w:rFonts w:asciiTheme="majorBidi" w:hAnsiTheme="majorBidi" w:cstheme="majorBidi"/>
          <w:i/>
          <w:iCs/>
          <w:kern w:val="24"/>
          <w:sz w:val="24"/>
          <w:szCs w:val="24"/>
        </w:rPr>
        <w:t>ahn</w:t>
      </w:r>
      <w:r w:rsidRPr="00414F3C">
        <w:rPr>
          <w:rFonts w:asciiTheme="majorBidi" w:hAnsiTheme="majorBidi" w:cstheme="majorBidi"/>
          <w:kern w:val="24"/>
          <w:sz w:val="24"/>
          <w:szCs w:val="24"/>
        </w:rPr>
        <w:t xml:space="preserve"> (le gage) est permis en </w:t>
      </w:r>
      <w:r w:rsidR="00F34669" w:rsidRPr="00414F3C">
        <w:rPr>
          <w:rFonts w:asciiTheme="majorBidi" w:hAnsiTheme="majorBidi" w:cstheme="majorBidi"/>
          <w:kern w:val="24"/>
          <w:sz w:val="24"/>
          <w:szCs w:val="24"/>
        </w:rPr>
        <w:t>Islam</w:t>
      </w:r>
      <w:r w:rsidRPr="00414F3C">
        <w:rPr>
          <w:rFonts w:asciiTheme="majorBidi" w:hAnsiTheme="majorBidi" w:cstheme="majorBidi"/>
          <w:kern w:val="24"/>
          <w:sz w:val="24"/>
          <w:szCs w:val="24"/>
        </w:rPr>
        <w:t xml:space="preserve">, tous les instruments financiers non basés sur l’intérêt peuvent être acceptés comme garanties </w:t>
      </w:r>
      <w:r w:rsidR="0096317F" w:rsidRPr="00414F3C">
        <w:rPr>
          <w:rFonts w:asciiTheme="majorBidi" w:hAnsiTheme="majorBidi" w:cstheme="majorBidi"/>
          <w:kern w:val="24"/>
          <w:sz w:val="24"/>
          <w:szCs w:val="24"/>
        </w:rPr>
        <w:t>t</w:t>
      </w:r>
      <w:r w:rsidRPr="00414F3C">
        <w:rPr>
          <w:rFonts w:asciiTheme="majorBidi" w:hAnsiTheme="majorBidi" w:cstheme="majorBidi"/>
          <w:kern w:val="24"/>
          <w:sz w:val="24"/>
          <w:szCs w:val="24"/>
        </w:rPr>
        <w:t xml:space="preserve">els que les biens tangibles, les espèces, l’argent, l’or, les actions et les autres objets précieux. Cependant, au sein des BI, les actifs qui peuvent faire l’objet de garanties sont moins nombreux par rapport aux banques conventionnelles. Selon </w:t>
      </w:r>
      <w:r w:rsidRPr="00414F3C">
        <w:rPr>
          <w:rFonts w:asciiTheme="majorBidi" w:hAnsiTheme="majorBidi" w:cstheme="majorBidi"/>
          <w:smallCaps/>
          <w:kern w:val="24"/>
          <w:sz w:val="24"/>
          <w:szCs w:val="24"/>
        </w:rPr>
        <w:t>Khan</w:t>
      </w:r>
      <w:r w:rsidRPr="00414F3C">
        <w:rPr>
          <w:rFonts w:asciiTheme="majorBidi" w:hAnsiTheme="majorBidi" w:cstheme="majorBidi"/>
          <w:kern w:val="24"/>
          <w:sz w:val="24"/>
          <w:szCs w:val="24"/>
        </w:rPr>
        <w:t xml:space="preserve"> et </w:t>
      </w:r>
      <w:r w:rsidRPr="00414F3C">
        <w:rPr>
          <w:rFonts w:asciiTheme="majorBidi" w:hAnsiTheme="majorBidi" w:cstheme="majorBidi"/>
          <w:smallCaps/>
          <w:kern w:val="24"/>
          <w:sz w:val="24"/>
          <w:szCs w:val="24"/>
        </w:rPr>
        <w:t>Ahmad</w:t>
      </w:r>
      <w:r w:rsidRPr="00414F3C">
        <w:rPr>
          <w:rFonts w:asciiTheme="majorBidi" w:hAnsiTheme="majorBidi" w:cstheme="majorBidi"/>
          <w:kern w:val="24"/>
          <w:sz w:val="24"/>
          <w:szCs w:val="24"/>
        </w:rPr>
        <w:t xml:space="preserve"> (2002), « </w:t>
      </w:r>
      <w:r w:rsidRPr="00414F3C">
        <w:rPr>
          <w:rFonts w:asciiTheme="majorBidi" w:hAnsiTheme="majorBidi" w:cstheme="majorBidi"/>
          <w:i/>
          <w:iCs/>
          <w:kern w:val="24"/>
          <w:sz w:val="24"/>
          <w:szCs w:val="24"/>
        </w:rPr>
        <w:t xml:space="preserve">les garanties offertes à l’industrie de la finance </w:t>
      </w:r>
      <w:r w:rsidR="00505EDD" w:rsidRPr="00414F3C">
        <w:rPr>
          <w:rFonts w:asciiTheme="majorBidi" w:hAnsiTheme="majorBidi" w:cstheme="majorBidi"/>
          <w:i/>
          <w:kern w:val="24"/>
          <w:sz w:val="24"/>
          <w:szCs w:val="24"/>
        </w:rPr>
        <w:t>i</w:t>
      </w:r>
      <w:r w:rsidR="003773C6" w:rsidRPr="00414F3C">
        <w:rPr>
          <w:rFonts w:asciiTheme="majorBidi" w:hAnsiTheme="majorBidi" w:cstheme="majorBidi"/>
          <w:i/>
          <w:kern w:val="24"/>
          <w:sz w:val="24"/>
          <w:szCs w:val="24"/>
        </w:rPr>
        <w:t>slamique</w:t>
      </w:r>
      <w:r w:rsidRPr="00414F3C">
        <w:rPr>
          <w:rFonts w:asciiTheme="majorBidi" w:hAnsiTheme="majorBidi" w:cstheme="majorBidi"/>
          <w:i/>
          <w:iCs/>
          <w:kern w:val="24"/>
          <w:sz w:val="24"/>
          <w:szCs w:val="24"/>
        </w:rPr>
        <w:t xml:space="preserve"> en général ne sont pas éligibles au vu des normes internationales actuellement proposées. Cela est peut-être dû au fait que les BI ne sont pas représentées dans les organismes de détermination des normes</w:t>
      </w:r>
      <w:r w:rsidRPr="00414F3C">
        <w:rPr>
          <w:rFonts w:asciiTheme="majorBidi" w:hAnsiTheme="majorBidi" w:cstheme="majorBidi"/>
          <w:kern w:val="24"/>
          <w:sz w:val="24"/>
          <w:szCs w:val="24"/>
        </w:rPr>
        <w:t> »</w:t>
      </w:r>
      <w:r w:rsidRPr="00414F3C">
        <w:rPr>
          <w:rStyle w:val="Appelnotedebasdep"/>
          <w:rFonts w:asciiTheme="majorBidi" w:hAnsiTheme="majorBidi" w:cstheme="majorBidi"/>
          <w:kern w:val="24"/>
          <w:sz w:val="24"/>
          <w:szCs w:val="24"/>
        </w:rPr>
        <w:footnoteReference w:id="261"/>
      </w:r>
      <w:r w:rsidRPr="00414F3C">
        <w:rPr>
          <w:rFonts w:asciiTheme="majorBidi" w:hAnsiTheme="majorBidi" w:cstheme="majorBidi"/>
          <w:kern w:val="24"/>
          <w:sz w:val="24"/>
          <w:szCs w:val="24"/>
        </w:rPr>
        <w:t>.</w:t>
      </w:r>
    </w:p>
    <w:p w14:paraId="3E552274"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Un raffinement des instruments bancaires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 et l’amélioration des infrastructures institutionnelles sont deux facteurs essentiels pour renforcer la qualité des garanties afin de réduire le risque de crédit.</w:t>
      </w:r>
    </w:p>
    <w:p w14:paraId="6317A39D" w14:textId="77777777" w:rsidR="002760B2" w:rsidRPr="00414F3C" w:rsidRDefault="003F5483" w:rsidP="00414F3C">
      <w:pPr>
        <w:pStyle w:val="Titre6"/>
        <w:keepLines w:val="0"/>
        <w:suppressAutoHyphens/>
        <w:spacing w:before="120" w:after="120" w:line="300" w:lineRule="auto"/>
        <w:ind w:firstLine="709"/>
        <w:rPr>
          <w:rFonts w:asciiTheme="majorBidi" w:hAnsiTheme="majorBidi"/>
          <w:b/>
          <w:bCs/>
          <w:i w:val="0"/>
          <w:iCs w:val="0"/>
          <w:color w:val="auto"/>
          <w:kern w:val="24"/>
          <w:sz w:val="24"/>
          <w:szCs w:val="24"/>
        </w:rPr>
      </w:pPr>
      <w:bookmarkStart w:id="1086" w:name="_Toc182298796"/>
      <w:r w:rsidRPr="00414F3C">
        <w:rPr>
          <w:rFonts w:asciiTheme="majorBidi" w:hAnsiTheme="majorBidi"/>
          <w:b/>
          <w:bCs/>
          <w:i w:val="0"/>
          <w:iCs w:val="0"/>
          <w:color w:val="auto"/>
          <w:kern w:val="24"/>
          <w:sz w:val="24"/>
          <w:szCs w:val="24"/>
        </w:rPr>
        <w:lastRenderedPageBreak/>
        <w:t xml:space="preserve">3.2.2.1.3- </w:t>
      </w:r>
      <w:r w:rsidR="00C535E2" w:rsidRPr="00CF4DA7">
        <w:rPr>
          <w:rFonts w:asciiTheme="majorBidi" w:hAnsiTheme="majorBidi"/>
          <w:b/>
          <w:bCs/>
          <w:color w:val="auto"/>
          <w:kern w:val="24"/>
          <w:sz w:val="24"/>
          <w:szCs w:val="24"/>
        </w:rPr>
        <w:t>N</w:t>
      </w:r>
      <w:r w:rsidR="00CB79CC" w:rsidRPr="00CF4DA7">
        <w:rPr>
          <w:rFonts w:asciiTheme="majorBidi" w:hAnsiTheme="majorBidi"/>
          <w:b/>
          <w:bCs/>
          <w:color w:val="auto"/>
          <w:kern w:val="24"/>
          <w:sz w:val="24"/>
          <w:szCs w:val="24"/>
        </w:rPr>
        <w:t>etting</w:t>
      </w:r>
      <w:r w:rsidR="00CB79CC" w:rsidRPr="00414F3C">
        <w:rPr>
          <w:rFonts w:asciiTheme="majorBidi" w:hAnsiTheme="majorBidi"/>
          <w:b/>
          <w:bCs/>
          <w:i w:val="0"/>
          <w:iCs w:val="0"/>
          <w:color w:val="auto"/>
          <w:kern w:val="24"/>
          <w:sz w:val="24"/>
          <w:szCs w:val="24"/>
        </w:rPr>
        <w:t xml:space="preserve"> sur bilan</w:t>
      </w:r>
      <w:bookmarkEnd w:id="1086"/>
    </w:p>
    <w:p w14:paraId="1CECB852" w14:textId="77777777" w:rsidR="001262C2" w:rsidRPr="00414F3C" w:rsidRDefault="00FE768C" w:rsidP="00414F3C">
      <w:pPr>
        <w:keepNext/>
        <w:tabs>
          <w:tab w:val="left" w:pos="0"/>
        </w:tabs>
        <w:suppressAutoHyphens/>
        <w:spacing w:before="120"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 xml:space="preserve">Le principe du </w:t>
      </w:r>
      <w:r w:rsidRPr="00414F3C">
        <w:rPr>
          <w:rFonts w:asciiTheme="majorBidi" w:hAnsiTheme="majorBidi" w:cstheme="majorBidi"/>
          <w:i/>
          <w:iCs/>
          <w:kern w:val="24"/>
          <w:sz w:val="24"/>
          <w:szCs w:val="24"/>
        </w:rPr>
        <w:t>n</w:t>
      </w:r>
      <w:r w:rsidR="002760B2" w:rsidRPr="00414F3C">
        <w:rPr>
          <w:rFonts w:asciiTheme="majorBidi" w:hAnsiTheme="majorBidi" w:cstheme="majorBidi"/>
          <w:i/>
          <w:iCs/>
          <w:kern w:val="24"/>
          <w:sz w:val="24"/>
          <w:szCs w:val="24"/>
        </w:rPr>
        <w:t>etting</w:t>
      </w:r>
      <w:r w:rsidR="002760B2" w:rsidRPr="00414F3C">
        <w:rPr>
          <w:rFonts w:asciiTheme="majorBidi" w:hAnsiTheme="majorBidi" w:cstheme="majorBidi"/>
          <w:kern w:val="24"/>
          <w:sz w:val="24"/>
          <w:szCs w:val="24"/>
        </w:rPr>
        <w:t xml:space="preserve"> consiste à compenser des positions débitrices ou créditrices réciproques entre les différents organismes financiers. Exemple : une banque A doit à la banque B </w:t>
      </w:r>
      <w:r w:rsidR="009D6891" w:rsidRPr="00414F3C">
        <w:rPr>
          <w:rFonts w:asciiTheme="majorBidi" w:hAnsiTheme="majorBidi" w:cstheme="majorBidi"/>
          <w:kern w:val="24"/>
          <w:sz w:val="24"/>
          <w:szCs w:val="24"/>
        </w:rPr>
        <w:t xml:space="preserve">une somme de </w:t>
      </w:r>
      <w:r w:rsidR="002760B2" w:rsidRPr="00414F3C">
        <w:rPr>
          <w:rFonts w:asciiTheme="majorBidi" w:hAnsiTheme="majorBidi" w:cstheme="majorBidi"/>
          <w:kern w:val="24"/>
          <w:sz w:val="24"/>
          <w:szCs w:val="24"/>
        </w:rPr>
        <w:t>2 millions d’euros résultant d’une transaction passée. En dehors de cette transaction, la banque B doit à la banque A</w:t>
      </w:r>
      <w:r w:rsidR="009D6891" w:rsidRPr="00414F3C">
        <w:rPr>
          <w:rFonts w:asciiTheme="majorBidi" w:hAnsiTheme="majorBidi" w:cstheme="majorBidi"/>
          <w:kern w:val="24"/>
          <w:sz w:val="24"/>
          <w:szCs w:val="24"/>
        </w:rPr>
        <w:t xml:space="preserve"> un montant de</w:t>
      </w:r>
      <w:r w:rsidR="002760B2" w:rsidRPr="00414F3C">
        <w:rPr>
          <w:rFonts w:asciiTheme="majorBidi" w:hAnsiTheme="majorBidi" w:cstheme="majorBidi"/>
          <w:kern w:val="24"/>
          <w:sz w:val="24"/>
          <w:szCs w:val="24"/>
        </w:rPr>
        <w:t xml:space="preserve"> 2,2 mil</w:t>
      </w:r>
      <w:r w:rsidRPr="00414F3C">
        <w:rPr>
          <w:rFonts w:asciiTheme="majorBidi" w:hAnsiTheme="majorBidi" w:cstheme="majorBidi"/>
          <w:kern w:val="24"/>
          <w:sz w:val="24"/>
          <w:szCs w:val="24"/>
        </w:rPr>
        <w:t xml:space="preserve">lions d’euros. Dans ce cas, le </w:t>
      </w:r>
      <w:r w:rsidRPr="00414F3C">
        <w:rPr>
          <w:rFonts w:asciiTheme="majorBidi" w:hAnsiTheme="majorBidi" w:cstheme="majorBidi"/>
          <w:i/>
          <w:iCs/>
          <w:kern w:val="24"/>
          <w:sz w:val="24"/>
          <w:szCs w:val="24"/>
        </w:rPr>
        <w:t>n</w:t>
      </w:r>
      <w:r w:rsidR="002760B2" w:rsidRPr="00414F3C">
        <w:rPr>
          <w:rFonts w:asciiTheme="majorBidi" w:hAnsiTheme="majorBidi" w:cstheme="majorBidi"/>
          <w:i/>
          <w:iCs/>
          <w:kern w:val="24"/>
          <w:sz w:val="24"/>
          <w:szCs w:val="24"/>
        </w:rPr>
        <w:t>etting</w:t>
      </w:r>
      <w:r w:rsidR="002760B2" w:rsidRPr="00414F3C">
        <w:rPr>
          <w:rFonts w:asciiTheme="majorBidi" w:hAnsiTheme="majorBidi" w:cstheme="majorBidi"/>
          <w:kern w:val="24"/>
          <w:sz w:val="24"/>
          <w:szCs w:val="24"/>
        </w:rPr>
        <w:t xml:space="preserve"> permet de compenser les 2 millions d’euros et</w:t>
      </w:r>
      <w:r w:rsidR="009D6891" w:rsidRPr="00414F3C">
        <w:rPr>
          <w:rFonts w:asciiTheme="majorBidi" w:hAnsiTheme="majorBidi" w:cstheme="majorBidi"/>
          <w:kern w:val="24"/>
          <w:sz w:val="24"/>
          <w:szCs w:val="24"/>
        </w:rPr>
        <w:t>,</w:t>
      </w:r>
      <w:r w:rsidR="002760B2" w:rsidRPr="00414F3C">
        <w:rPr>
          <w:rFonts w:asciiTheme="majorBidi" w:hAnsiTheme="majorBidi" w:cstheme="majorBidi"/>
          <w:kern w:val="24"/>
          <w:sz w:val="24"/>
          <w:szCs w:val="24"/>
        </w:rPr>
        <w:t xml:space="preserve"> par conséquent, il reste à la banque B</w:t>
      </w:r>
      <w:r w:rsidRPr="00414F3C">
        <w:rPr>
          <w:rFonts w:asciiTheme="majorBidi" w:hAnsiTheme="majorBidi" w:cstheme="majorBidi"/>
          <w:kern w:val="24"/>
          <w:sz w:val="24"/>
          <w:szCs w:val="24"/>
        </w:rPr>
        <w:t xml:space="preserve"> </w:t>
      </w:r>
      <w:r w:rsidR="002760B2" w:rsidRPr="00414F3C">
        <w:rPr>
          <w:rFonts w:asciiTheme="majorBidi" w:hAnsiTheme="majorBidi" w:cstheme="majorBidi"/>
          <w:kern w:val="24"/>
          <w:sz w:val="24"/>
          <w:szCs w:val="24"/>
        </w:rPr>
        <w:t xml:space="preserve">de payer le net seulement qui est égale à </w:t>
      </w:r>
      <w:r w:rsidR="009D6891" w:rsidRPr="00414F3C">
        <w:rPr>
          <w:rFonts w:asciiTheme="majorBidi" w:hAnsiTheme="majorBidi" w:cstheme="majorBidi"/>
          <w:kern w:val="24"/>
          <w:sz w:val="24"/>
          <w:szCs w:val="24"/>
        </w:rPr>
        <w:t xml:space="preserve">un reliquat de </w:t>
      </w:r>
      <w:r w:rsidR="002760B2" w:rsidRPr="00414F3C">
        <w:rPr>
          <w:rFonts w:asciiTheme="majorBidi" w:hAnsiTheme="majorBidi" w:cstheme="majorBidi"/>
          <w:kern w:val="24"/>
          <w:sz w:val="24"/>
          <w:szCs w:val="24"/>
        </w:rPr>
        <w:t xml:space="preserve">0,2 million d’euros. </w:t>
      </w:r>
    </w:p>
    <w:p w14:paraId="4067E60D" w14:textId="77777777" w:rsidR="002760B2" w:rsidRPr="00414F3C" w:rsidRDefault="002760B2" w:rsidP="00414F3C">
      <w:pPr>
        <w:tabs>
          <w:tab w:val="left" w:pos="0"/>
        </w:tabs>
        <w:suppressAutoHyphens/>
        <w:spacing w:before="120" w:line="300" w:lineRule="auto"/>
        <w:ind w:firstLine="709"/>
        <w:rPr>
          <w:rFonts w:asciiTheme="majorBidi" w:hAnsiTheme="majorBidi" w:cstheme="majorBidi"/>
          <w:kern w:val="24"/>
          <w:sz w:val="24"/>
          <w:szCs w:val="24"/>
        </w:rPr>
      </w:pPr>
      <w:r w:rsidRPr="00414F3C">
        <w:rPr>
          <w:rFonts w:asciiTheme="majorBidi" w:hAnsiTheme="majorBidi" w:cstheme="majorBidi"/>
          <w:kern w:val="24"/>
          <w:sz w:val="24"/>
          <w:szCs w:val="24"/>
        </w:rPr>
        <w:t xml:space="preserve">Plusieurs considérations sont prises en compte pour une telle opération comme la monnaie utilisée et les échéances des </w:t>
      </w:r>
      <w:r w:rsidR="00FE768C" w:rsidRPr="00414F3C">
        <w:rPr>
          <w:rFonts w:asciiTheme="majorBidi" w:hAnsiTheme="majorBidi" w:cstheme="majorBidi"/>
          <w:kern w:val="24"/>
          <w:sz w:val="24"/>
          <w:szCs w:val="24"/>
        </w:rPr>
        <w:t xml:space="preserve">deux créances. En recourant au </w:t>
      </w:r>
      <w:r w:rsidR="00FE768C" w:rsidRPr="00414F3C">
        <w:rPr>
          <w:rFonts w:asciiTheme="majorBidi" w:hAnsiTheme="majorBidi" w:cstheme="majorBidi"/>
          <w:i/>
          <w:iCs/>
          <w:kern w:val="24"/>
          <w:sz w:val="24"/>
          <w:szCs w:val="24"/>
        </w:rPr>
        <w:t>n</w:t>
      </w:r>
      <w:r w:rsidRPr="00414F3C">
        <w:rPr>
          <w:rFonts w:asciiTheme="majorBidi" w:hAnsiTheme="majorBidi" w:cstheme="majorBidi"/>
          <w:i/>
          <w:iCs/>
          <w:kern w:val="24"/>
          <w:sz w:val="24"/>
          <w:szCs w:val="24"/>
        </w:rPr>
        <w:t>etting</w:t>
      </w:r>
      <w:r w:rsidRPr="00414F3C">
        <w:rPr>
          <w:rFonts w:asciiTheme="majorBidi" w:hAnsiTheme="majorBidi" w:cstheme="majorBidi"/>
          <w:kern w:val="24"/>
          <w:sz w:val="24"/>
          <w:szCs w:val="24"/>
        </w:rPr>
        <w:t>, on peut éviter les doubles achats et ventes des devises.</w:t>
      </w:r>
      <w:r w:rsidR="001262C2" w:rsidRPr="00414F3C">
        <w:rPr>
          <w:rFonts w:asciiTheme="majorBidi" w:hAnsiTheme="majorBidi" w:cstheme="majorBidi"/>
          <w:kern w:val="24"/>
          <w:sz w:val="24"/>
          <w:szCs w:val="24"/>
        </w:rPr>
        <w:t xml:space="preserve"> </w:t>
      </w:r>
      <w:r w:rsidR="00FE768C" w:rsidRPr="00414F3C">
        <w:rPr>
          <w:rFonts w:asciiTheme="majorBidi" w:hAnsiTheme="majorBidi" w:cstheme="majorBidi"/>
          <w:kern w:val="24"/>
          <w:sz w:val="24"/>
          <w:szCs w:val="24"/>
        </w:rPr>
        <w:t xml:space="preserve">Donc, la technique de </w:t>
      </w:r>
      <w:r w:rsidR="00FE768C" w:rsidRPr="00414F3C">
        <w:rPr>
          <w:rFonts w:asciiTheme="majorBidi" w:hAnsiTheme="majorBidi" w:cstheme="majorBidi"/>
          <w:i/>
          <w:iCs/>
          <w:kern w:val="24"/>
          <w:sz w:val="24"/>
          <w:szCs w:val="24"/>
        </w:rPr>
        <w:t>n</w:t>
      </w:r>
      <w:r w:rsidRPr="00414F3C">
        <w:rPr>
          <w:rFonts w:asciiTheme="majorBidi" w:hAnsiTheme="majorBidi" w:cstheme="majorBidi"/>
          <w:i/>
          <w:iCs/>
          <w:kern w:val="24"/>
          <w:sz w:val="24"/>
          <w:szCs w:val="24"/>
        </w:rPr>
        <w:t>etting</w:t>
      </w:r>
      <w:r w:rsidRPr="00414F3C">
        <w:rPr>
          <w:rFonts w:asciiTheme="majorBidi" w:hAnsiTheme="majorBidi" w:cstheme="majorBidi"/>
          <w:kern w:val="24"/>
          <w:sz w:val="24"/>
          <w:szCs w:val="24"/>
        </w:rPr>
        <w:t xml:space="preserve"> permet de réduire le risque de crédit entre les deux parties. </w:t>
      </w:r>
    </w:p>
    <w:p w14:paraId="6CF14667" w14:textId="77777777" w:rsidR="00574FB4" w:rsidRPr="00414F3C" w:rsidRDefault="00574FB4" w:rsidP="00414F3C">
      <w:pPr>
        <w:pStyle w:val="Titre6"/>
        <w:keepNext w:val="0"/>
        <w:keepLines w:val="0"/>
        <w:suppressAutoHyphens/>
        <w:spacing w:before="120" w:after="120" w:line="300" w:lineRule="auto"/>
        <w:ind w:firstLine="709"/>
        <w:rPr>
          <w:rFonts w:asciiTheme="majorBidi" w:hAnsiTheme="majorBidi"/>
          <w:b/>
          <w:bCs/>
          <w:i w:val="0"/>
          <w:iCs w:val="0"/>
          <w:color w:val="auto"/>
          <w:kern w:val="24"/>
          <w:sz w:val="24"/>
          <w:szCs w:val="24"/>
        </w:rPr>
      </w:pPr>
      <w:bookmarkStart w:id="1087" w:name="_Toc182298797"/>
      <w:r w:rsidRPr="00414F3C">
        <w:rPr>
          <w:rFonts w:asciiTheme="majorBidi" w:hAnsiTheme="majorBidi"/>
          <w:b/>
          <w:bCs/>
          <w:i w:val="0"/>
          <w:iCs w:val="0"/>
          <w:color w:val="auto"/>
          <w:kern w:val="24"/>
          <w:sz w:val="24"/>
          <w:szCs w:val="24"/>
        </w:rPr>
        <w:t>3.2.2.1.</w:t>
      </w:r>
      <w:r w:rsidR="0000518C" w:rsidRPr="00414F3C">
        <w:rPr>
          <w:rFonts w:asciiTheme="majorBidi" w:hAnsiTheme="majorBidi"/>
          <w:b/>
          <w:bCs/>
          <w:i w:val="0"/>
          <w:iCs w:val="0"/>
          <w:color w:val="auto"/>
          <w:kern w:val="24"/>
          <w:sz w:val="24"/>
          <w:szCs w:val="24"/>
        </w:rPr>
        <w:t>4</w:t>
      </w:r>
      <w:r w:rsidRPr="00414F3C">
        <w:rPr>
          <w:rFonts w:asciiTheme="majorBidi" w:hAnsiTheme="majorBidi"/>
          <w:b/>
          <w:bCs/>
          <w:i w:val="0"/>
          <w:iCs w:val="0"/>
          <w:color w:val="auto"/>
          <w:kern w:val="24"/>
          <w:sz w:val="24"/>
          <w:szCs w:val="24"/>
        </w:rPr>
        <w:t>- Nantissement</w:t>
      </w:r>
      <w:bookmarkEnd w:id="1087"/>
    </w:p>
    <w:p w14:paraId="7F26DAC5" w14:textId="77777777" w:rsidR="001262C2" w:rsidRPr="00414F3C" w:rsidRDefault="00E413B1"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Il est connu que</w:t>
      </w:r>
      <w:r w:rsidR="002760B2" w:rsidRPr="00414F3C">
        <w:rPr>
          <w:rFonts w:asciiTheme="majorBidi" w:hAnsiTheme="majorBidi" w:cstheme="majorBidi"/>
          <w:kern w:val="24"/>
          <w:sz w:val="24"/>
          <w:szCs w:val="24"/>
        </w:rPr>
        <w:t xml:space="preserve"> les produits dérivés sont des formes contractuelles serv</w:t>
      </w:r>
      <w:r w:rsidRPr="00414F3C">
        <w:rPr>
          <w:rFonts w:asciiTheme="majorBidi" w:hAnsiTheme="majorBidi" w:cstheme="majorBidi"/>
          <w:kern w:val="24"/>
          <w:sz w:val="24"/>
          <w:szCs w:val="24"/>
        </w:rPr>
        <w:t>a</w:t>
      </w:r>
      <w:r w:rsidR="002760B2" w:rsidRPr="00414F3C">
        <w:rPr>
          <w:rFonts w:asciiTheme="majorBidi" w:hAnsiTheme="majorBidi" w:cstheme="majorBidi"/>
          <w:kern w:val="24"/>
          <w:sz w:val="24"/>
          <w:szCs w:val="24"/>
        </w:rPr>
        <w:t xml:space="preserve">nt de support à des mécanismes de transfert de risque. Selon </w:t>
      </w:r>
      <w:r w:rsidR="002760B2" w:rsidRPr="00414F3C">
        <w:rPr>
          <w:rFonts w:asciiTheme="majorBidi" w:hAnsiTheme="majorBidi" w:cstheme="majorBidi"/>
          <w:smallCaps/>
          <w:kern w:val="24"/>
          <w:sz w:val="24"/>
          <w:szCs w:val="24"/>
        </w:rPr>
        <w:t>Al-Suwailem</w:t>
      </w:r>
      <w:r w:rsidR="002760B2" w:rsidRPr="00414F3C">
        <w:rPr>
          <w:rFonts w:asciiTheme="majorBidi" w:hAnsiTheme="majorBidi" w:cstheme="majorBidi"/>
          <w:kern w:val="24"/>
          <w:sz w:val="24"/>
          <w:szCs w:val="24"/>
        </w:rPr>
        <w:t>, les dérivés sont tout simplement « </w:t>
      </w:r>
      <w:r w:rsidR="002760B2" w:rsidRPr="00414F3C">
        <w:rPr>
          <w:rFonts w:asciiTheme="majorBidi" w:hAnsiTheme="majorBidi" w:cstheme="majorBidi"/>
          <w:i/>
          <w:iCs/>
          <w:kern w:val="24"/>
          <w:sz w:val="24"/>
          <w:szCs w:val="24"/>
        </w:rPr>
        <w:t>des instruments de commerce du risque</w:t>
      </w:r>
      <w:r w:rsidR="002760B2" w:rsidRPr="00414F3C">
        <w:rPr>
          <w:rFonts w:asciiTheme="majorBidi" w:hAnsiTheme="majorBidi" w:cstheme="majorBidi"/>
          <w:kern w:val="24"/>
          <w:sz w:val="24"/>
          <w:szCs w:val="24"/>
        </w:rPr>
        <w:t> »</w:t>
      </w:r>
      <w:r w:rsidR="002760B2" w:rsidRPr="00414F3C">
        <w:rPr>
          <w:rStyle w:val="Appelnotedebasdep"/>
          <w:rFonts w:asciiTheme="majorBidi" w:hAnsiTheme="majorBidi" w:cstheme="majorBidi"/>
          <w:kern w:val="24"/>
          <w:sz w:val="24"/>
          <w:szCs w:val="24"/>
        </w:rPr>
        <w:footnoteReference w:id="262"/>
      </w:r>
      <w:r w:rsidR="002760B2" w:rsidRPr="00414F3C">
        <w:rPr>
          <w:rFonts w:asciiTheme="majorBidi" w:hAnsiTheme="majorBidi" w:cstheme="majorBidi"/>
          <w:kern w:val="24"/>
          <w:sz w:val="24"/>
          <w:szCs w:val="24"/>
        </w:rPr>
        <w:t xml:space="preserve">. En finance conventionnelle, ces instruments sont efficaces pour les banques, sous certaines conditions, pour se protéger complètement contre les risques de crédit. </w:t>
      </w:r>
    </w:p>
    <w:p w14:paraId="10A3B36D" w14:textId="6CAD1CE5" w:rsidR="00DB6887"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color w:val="000000" w:themeColor="text1"/>
          <w:kern w:val="24"/>
          <w:sz w:val="24"/>
          <w:szCs w:val="24"/>
        </w:rPr>
      </w:pPr>
      <w:r w:rsidRPr="00414F3C">
        <w:rPr>
          <w:rFonts w:asciiTheme="majorBidi" w:hAnsiTheme="majorBidi" w:cstheme="majorBidi"/>
          <w:kern w:val="24"/>
          <w:sz w:val="24"/>
          <w:szCs w:val="24"/>
        </w:rPr>
        <w:t>Cependant</w:t>
      </w:r>
      <w:r w:rsidRPr="00414F3C">
        <w:rPr>
          <w:rFonts w:asciiTheme="majorBidi" w:hAnsiTheme="majorBidi" w:cstheme="majorBidi"/>
          <w:color w:val="000000" w:themeColor="text1"/>
          <w:kern w:val="24"/>
          <w:sz w:val="24"/>
          <w:szCs w:val="24"/>
        </w:rPr>
        <w:t>,</w:t>
      </w:r>
      <w:r w:rsidR="00AB563D" w:rsidRPr="00414F3C">
        <w:rPr>
          <w:rFonts w:asciiTheme="majorBidi" w:hAnsiTheme="majorBidi" w:cstheme="majorBidi"/>
          <w:color w:val="000000" w:themeColor="text1"/>
          <w:kern w:val="24"/>
          <w:sz w:val="24"/>
          <w:szCs w:val="24"/>
        </w:rPr>
        <w:t xml:space="preserve"> </w:t>
      </w:r>
      <w:r w:rsidR="00AB563D" w:rsidRPr="00414F3C">
        <w:rPr>
          <w:rFonts w:asciiTheme="majorBidi" w:hAnsiTheme="majorBidi" w:cstheme="majorBidi"/>
          <w:color w:val="000000" w:themeColor="text1"/>
          <w:kern w:val="24"/>
          <w:sz w:val="24"/>
          <w:szCs w:val="24"/>
          <w:shd w:val="clear" w:color="auto" w:fill="FFFFFF"/>
        </w:rPr>
        <w:t>l</w:t>
      </w:r>
      <w:r w:rsidR="00DB6887" w:rsidRPr="00414F3C">
        <w:rPr>
          <w:rFonts w:asciiTheme="majorBidi" w:hAnsiTheme="majorBidi" w:cstheme="majorBidi"/>
          <w:color w:val="000000" w:themeColor="text1"/>
          <w:kern w:val="24"/>
          <w:sz w:val="24"/>
          <w:szCs w:val="24"/>
          <w:shd w:val="clear" w:color="auto" w:fill="FFFFFF"/>
        </w:rPr>
        <w:t xml:space="preserve">a position actuellement dominante parmi juristes et théoriciens de la finance </w:t>
      </w:r>
      <w:r w:rsidR="00CF4DA7">
        <w:rPr>
          <w:rFonts w:asciiTheme="majorBidi" w:hAnsiTheme="majorBidi" w:cstheme="majorBidi"/>
          <w:color w:val="000000" w:themeColor="text1"/>
          <w:kern w:val="24"/>
          <w:sz w:val="24"/>
          <w:szCs w:val="24"/>
          <w:shd w:val="clear" w:color="auto" w:fill="FFFFFF"/>
        </w:rPr>
        <w:t>i</w:t>
      </w:r>
      <w:r w:rsidR="00DB6887" w:rsidRPr="00414F3C">
        <w:rPr>
          <w:rFonts w:asciiTheme="majorBidi" w:hAnsiTheme="majorBidi" w:cstheme="majorBidi"/>
          <w:color w:val="000000" w:themeColor="text1"/>
          <w:kern w:val="24"/>
          <w:sz w:val="24"/>
          <w:szCs w:val="24"/>
          <w:shd w:val="clear" w:color="auto" w:fill="FFFFFF"/>
        </w:rPr>
        <w:t>slamique penchant vers l’interdiction des produits dérivés dans les institutions financières islamiques, la recherche d’une alternative à ces produits, en particulier pour la gestion des risques de marché, constitue l’un des axes de recherche fondamentaux concernant l’avenir de ce type d’institutions</w:t>
      </w:r>
      <w:r w:rsidR="00DB6887" w:rsidRPr="00414F3C">
        <w:rPr>
          <w:rStyle w:val="Appelnotedebasdep"/>
          <w:rFonts w:asciiTheme="majorBidi" w:hAnsiTheme="majorBidi" w:cstheme="majorBidi"/>
          <w:color w:val="000000" w:themeColor="text1"/>
          <w:kern w:val="24"/>
          <w:sz w:val="24"/>
          <w:szCs w:val="24"/>
          <w:shd w:val="clear" w:color="auto" w:fill="FFFFFF"/>
        </w:rPr>
        <w:footnoteReference w:id="263"/>
      </w:r>
      <w:r w:rsidR="00DB6887" w:rsidRPr="00414F3C">
        <w:rPr>
          <w:rFonts w:asciiTheme="majorBidi" w:hAnsiTheme="majorBidi" w:cstheme="majorBidi"/>
          <w:color w:val="000000" w:themeColor="text1"/>
          <w:kern w:val="24"/>
          <w:sz w:val="24"/>
          <w:szCs w:val="24"/>
          <w:shd w:val="clear" w:color="auto" w:fill="FFFFFF"/>
        </w:rPr>
        <w:t>.</w:t>
      </w:r>
    </w:p>
    <w:p w14:paraId="732719D0"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Plusieurs propositions ont été avancées pour surmonter ce problème.</w:t>
      </w:r>
      <w:r w:rsidR="00261F0E"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 xml:space="preserve"> Selon </w:t>
      </w:r>
      <w:r w:rsidRPr="00414F3C">
        <w:rPr>
          <w:rFonts w:asciiTheme="majorBidi" w:hAnsiTheme="majorBidi" w:cstheme="majorBidi"/>
          <w:smallCaps/>
          <w:kern w:val="24"/>
          <w:sz w:val="24"/>
          <w:szCs w:val="24"/>
        </w:rPr>
        <w:t>Khan</w:t>
      </w:r>
      <w:r w:rsidRPr="00414F3C">
        <w:rPr>
          <w:rFonts w:asciiTheme="majorBidi" w:hAnsiTheme="majorBidi" w:cstheme="majorBidi"/>
          <w:kern w:val="24"/>
          <w:sz w:val="24"/>
          <w:szCs w:val="24"/>
        </w:rPr>
        <w:t xml:space="preserve"> et </w:t>
      </w:r>
      <w:r w:rsidRPr="00414F3C">
        <w:rPr>
          <w:rFonts w:asciiTheme="majorBidi" w:hAnsiTheme="majorBidi" w:cstheme="majorBidi"/>
          <w:smallCaps/>
          <w:kern w:val="24"/>
          <w:sz w:val="24"/>
          <w:szCs w:val="24"/>
        </w:rPr>
        <w:t>Ahmad</w:t>
      </w:r>
      <w:r w:rsidRPr="00414F3C">
        <w:rPr>
          <w:rFonts w:asciiTheme="majorBidi" w:hAnsiTheme="majorBidi" w:cstheme="majorBidi"/>
          <w:kern w:val="24"/>
          <w:sz w:val="24"/>
          <w:szCs w:val="24"/>
        </w:rPr>
        <w:t xml:space="preserve">, il faut faire la différence entre les dettes garanties et les dettes non garanties. </w:t>
      </w:r>
      <w:r w:rsidR="00261F0E" w:rsidRPr="00414F3C">
        <w:rPr>
          <w:rFonts w:asciiTheme="majorBidi" w:hAnsiTheme="majorBidi" w:cstheme="majorBidi"/>
          <w:kern w:val="24"/>
          <w:sz w:val="24"/>
          <w:szCs w:val="24"/>
        </w:rPr>
        <w:t xml:space="preserve">Nous savons que </w:t>
      </w:r>
      <w:r w:rsidRPr="00414F3C">
        <w:rPr>
          <w:rFonts w:asciiTheme="majorBidi" w:hAnsiTheme="majorBidi" w:cstheme="majorBidi"/>
          <w:kern w:val="24"/>
          <w:sz w:val="24"/>
          <w:szCs w:val="24"/>
        </w:rPr>
        <w:t xml:space="preserve">les dettes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s sont garanties par les actifs qu’elles financent. Dans ce cas, les restrictions faites en termes de vente des dettes peuvent être révisées</w:t>
      </w:r>
      <w:r w:rsidRPr="00414F3C">
        <w:rPr>
          <w:rStyle w:val="Appelnotedebasdep"/>
          <w:rFonts w:asciiTheme="majorBidi" w:hAnsiTheme="majorBidi" w:cstheme="majorBidi"/>
          <w:kern w:val="24"/>
          <w:sz w:val="24"/>
          <w:szCs w:val="24"/>
        </w:rPr>
        <w:footnoteReference w:id="264"/>
      </w:r>
      <w:r w:rsidRPr="00414F3C">
        <w:rPr>
          <w:rFonts w:asciiTheme="majorBidi" w:hAnsiTheme="majorBidi" w:cstheme="majorBidi"/>
          <w:kern w:val="24"/>
          <w:sz w:val="24"/>
          <w:szCs w:val="24"/>
        </w:rPr>
        <w:t>.</w:t>
      </w:r>
      <w:r w:rsidR="00AB563D" w:rsidRPr="00414F3C">
        <w:rPr>
          <w:rFonts w:asciiTheme="majorBidi" w:hAnsiTheme="majorBidi" w:cstheme="majorBidi"/>
          <w:kern w:val="24"/>
          <w:sz w:val="24"/>
          <w:szCs w:val="24"/>
        </w:rPr>
        <w:t xml:space="preserve"> Les deux chercheurs</w:t>
      </w:r>
      <w:r w:rsidRPr="00414F3C">
        <w:rPr>
          <w:rFonts w:asciiTheme="majorBidi" w:hAnsiTheme="majorBidi" w:cstheme="majorBidi"/>
          <w:kern w:val="24"/>
          <w:sz w:val="24"/>
          <w:szCs w:val="24"/>
        </w:rPr>
        <w:t xml:space="preserve"> trouvent que la dette peut servir de prix pour l’achat des actifs réels. Supposons qu’une banque A doit à la banque B </w:t>
      </w:r>
      <w:r w:rsidR="00261F0E" w:rsidRPr="00414F3C">
        <w:rPr>
          <w:rFonts w:asciiTheme="majorBidi" w:hAnsiTheme="majorBidi" w:cstheme="majorBidi"/>
          <w:kern w:val="24"/>
          <w:sz w:val="24"/>
          <w:szCs w:val="24"/>
        </w:rPr>
        <w:t xml:space="preserve">une somme de </w:t>
      </w:r>
      <w:r w:rsidRPr="00414F3C">
        <w:rPr>
          <w:rFonts w:asciiTheme="majorBidi" w:hAnsiTheme="majorBidi" w:cstheme="majorBidi"/>
          <w:kern w:val="24"/>
          <w:sz w:val="24"/>
          <w:szCs w:val="24"/>
        </w:rPr>
        <w:t xml:space="preserve">1 million d’euros remboursable dans </w:t>
      </w:r>
      <w:r w:rsidR="00261F0E" w:rsidRPr="00414F3C">
        <w:rPr>
          <w:rFonts w:asciiTheme="majorBidi" w:hAnsiTheme="majorBidi" w:cstheme="majorBidi"/>
          <w:kern w:val="24"/>
          <w:sz w:val="24"/>
          <w:szCs w:val="24"/>
        </w:rPr>
        <w:t>deux</w:t>
      </w:r>
      <w:r w:rsidRPr="00414F3C">
        <w:rPr>
          <w:rFonts w:asciiTheme="majorBidi" w:hAnsiTheme="majorBidi" w:cstheme="majorBidi"/>
          <w:kern w:val="24"/>
          <w:sz w:val="24"/>
          <w:szCs w:val="24"/>
        </w:rPr>
        <w:t xml:space="preserve"> ans. Parallèlement, la banque B a besoin de liquidité pour acquérir auprès du fournisseur C des actifs d’une valeur d</w:t>
      </w:r>
      <w:r w:rsidR="00261F0E" w:rsidRPr="00414F3C">
        <w:rPr>
          <w:rFonts w:asciiTheme="majorBidi" w:hAnsiTheme="majorBidi" w:cstheme="majorBidi"/>
          <w:kern w:val="24"/>
          <w:sz w:val="24"/>
          <w:szCs w:val="24"/>
        </w:rPr>
        <w:t xml:space="preserve">e </w:t>
      </w:r>
      <w:r w:rsidRPr="00414F3C">
        <w:rPr>
          <w:rFonts w:asciiTheme="majorBidi" w:hAnsiTheme="majorBidi" w:cstheme="majorBidi"/>
          <w:kern w:val="24"/>
          <w:sz w:val="24"/>
          <w:szCs w:val="24"/>
        </w:rPr>
        <w:t>1 million d’euros, avec paiement à terme sur deux ans. Dans ce cas, si le fournisseur C accepte le paiement échelonné</w:t>
      </w:r>
      <w:r w:rsidR="00261F0E" w:rsidRPr="00414F3C">
        <w:rPr>
          <w:rFonts w:asciiTheme="majorBidi" w:hAnsiTheme="majorBidi" w:cstheme="majorBidi"/>
          <w:kern w:val="24"/>
          <w:sz w:val="24"/>
          <w:szCs w:val="24"/>
        </w:rPr>
        <w:t>, il</w:t>
      </w:r>
      <w:r w:rsidRPr="00414F3C">
        <w:rPr>
          <w:rFonts w:asciiTheme="majorBidi" w:hAnsiTheme="majorBidi" w:cstheme="majorBidi"/>
          <w:kern w:val="24"/>
          <w:sz w:val="24"/>
          <w:szCs w:val="24"/>
        </w:rPr>
        <w:t xml:space="preserve"> pourrait se faire directement entre A et C. Et</w:t>
      </w:r>
      <w:r w:rsidR="006E608A"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pour la partie B, elle reçoit les biens de la part du fournisseur au lieu d’attendre </w:t>
      </w:r>
      <w:r w:rsidR="00AB563D" w:rsidRPr="00414F3C">
        <w:rPr>
          <w:rFonts w:asciiTheme="majorBidi" w:hAnsiTheme="majorBidi" w:cstheme="majorBidi"/>
          <w:kern w:val="24"/>
          <w:sz w:val="24"/>
          <w:szCs w:val="24"/>
        </w:rPr>
        <w:t>deux</w:t>
      </w:r>
      <w:r w:rsidRPr="00414F3C">
        <w:rPr>
          <w:rFonts w:asciiTheme="majorBidi" w:hAnsiTheme="majorBidi" w:cstheme="majorBidi"/>
          <w:kern w:val="24"/>
          <w:sz w:val="24"/>
          <w:szCs w:val="24"/>
        </w:rPr>
        <w:t xml:space="preserve"> ans pour recevoir </w:t>
      </w:r>
      <w:r w:rsidR="006E608A" w:rsidRPr="00414F3C">
        <w:rPr>
          <w:rFonts w:asciiTheme="majorBidi" w:hAnsiTheme="majorBidi" w:cstheme="majorBidi"/>
          <w:kern w:val="24"/>
          <w:sz w:val="24"/>
          <w:szCs w:val="24"/>
        </w:rPr>
        <w:t xml:space="preserve">le montant de </w:t>
      </w:r>
      <w:r w:rsidRPr="00414F3C">
        <w:rPr>
          <w:rFonts w:asciiTheme="majorBidi" w:hAnsiTheme="majorBidi" w:cstheme="majorBidi"/>
          <w:kern w:val="24"/>
          <w:sz w:val="24"/>
          <w:szCs w:val="24"/>
        </w:rPr>
        <w:t>1 million de la banque A</w:t>
      </w:r>
      <w:r w:rsidRPr="00414F3C">
        <w:rPr>
          <w:rStyle w:val="Appelnotedebasdep"/>
          <w:rFonts w:asciiTheme="majorBidi" w:hAnsiTheme="majorBidi" w:cstheme="majorBidi"/>
          <w:kern w:val="24"/>
          <w:sz w:val="24"/>
          <w:szCs w:val="24"/>
        </w:rPr>
        <w:footnoteReference w:id="265"/>
      </w:r>
      <w:r w:rsidRPr="00414F3C">
        <w:rPr>
          <w:rFonts w:asciiTheme="majorBidi" w:hAnsiTheme="majorBidi" w:cstheme="majorBidi"/>
          <w:kern w:val="24"/>
          <w:sz w:val="24"/>
          <w:szCs w:val="24"/>
        </w:rPr>
        <w:t>.</w:t>
      </w:r>
    </w:p>
    <w:p w14:paraId="3E1629C3" w14:textId="77777777" w:rsidR="00B0093C"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Cette permission d’utilisation des dettes peut être une base pour créer des instruments financiers représentant des quasi-dettes avec option de convertibilité. Par exemple, </w:t>
      </w:r>
      <w:r w:rsidR="006E608A" w:rsidRPr="00414F3C">
        <w:rPr>
          <w:rFonts w:asciiTheme="majorBidi" w:hAnsiTheme="majorBidi" w:cstheme="majorBidi"/>
          <w:kern w:val="24"/>
          <w:sz w:val="24"/>
          <w:szCs w:val="24"/>
        </w:rPr>
        <w:t xml:space="preserve">il faudrait </w:t>
      </w:r>
      <w:r w:rsidR="006E608A" w:rsidRPr="00414F3C">
        <w:rPr>
          <w:rFonts w:asciiTheme="majorBidi" w:hAnsiTheme="majorBidi" w:cstheme="majorBidi"/>
          <w:kern w:val="24"/>
          <w:sz w:val="24"/>
          <w:szCs w:val="24"/>
        </w:rPr>
        <w:lastRenderedPageBreak/>
        <w:t>envisager d’</w:t>
      </w:r>
      <w:r w:rsidRPr="00414F3C">
        <w:rPr>
          <w:rFonts w:asciiTheme="majorBidi" w:hAnsiTheme="majorBidi" w:cstheme="majorBidi"/>
          <w:kern w:val="24"/>
          <w:sz w:val="24"/>
          <w:szCs w:val="24"/>
        </w:rPr>
        <w:t>inscrire dans le contrat de dette que l’utilisateur de fonds p</w:t>
      </w:r>
      <w:r w:rsidR="006E608A" w:rsidRPr="00414F3C">
        <w:rPr>
          <w:rFonts w:asciiTheme="majorBidi" w:hAnsiTheme="majorBidi" w:cstheme="majorBidi"/>
          <w:kern w:val="24"/>
          <w:sz w:val="24"/>
          <w:szCs w:val="24"/>
        </w:rPr>
        <w:t>ourrait</w:t>
      </w:r>
      <w:r w:rsidRPr="00414F3C">
        <w:rPr>
          <w:rFonts w:asciiTheme="majorBidi" w:hAnsiTheme="majorBidi" w:cstheme="majorBidi"/>
          <w:kern w:val="24"/>
          <w:sz w:val="24"/>
          <w:szCs w:val="24"/>
        </w:rPr>
        <w:t xml:space="preserve"> exiger une option</w:t>
      </w:r>
      <w:r w:rsidR="001576EE" w:rsidRPr="00414F3C">
        <w:rPr>
          <w:rFonts w:asciiTheme="majorBidi" w:hAnsiTheme="majorBidi" w:cstheme="majorBidi"/>
          <w:kern w:val="24"/>
          <w:sz w:val="24"/>
          <w:szCs w:val="24"/>
        </w:rPr>
        <w:t> ;</w:t>
      </w:r>
      <w:r w:rsidRPr="00414F3C">
        <w:rPr>
          <w:rFonts w:asciiTheme="majorBidi" w:hAnsiTheme="majorBidi" w:cstheme="majorBidi"/>
          <w:kern w:val="24"/>
          <w:sz w:val="24"/>
          <w:szCs w:val="24"/>
        </w:rPr>
        <w:t xml:space="preserve"> selon la volonté du financier, l</w:t>
      </w:r>
      <w:r w:rsidR="006E608A" w:rsidRPr="00414F3C">
        <w:rPr>
          <w:rFonts w:asciiTheme="majorBidi" w:hAnsiTheme="majorBidi" w:cstheme="majorBidi"/>
          <w:kern w:val="24"/>
          <w:sz w:val="24"/>
          <w:szCs w:val="24"/>
        </w:rPr>
        <w:t>a somme</w:t>
      </w:r>
      <w:r w:rsidRPr="00414F3C">
        <w:rPr>
          <w:rFonts w:asciiTheme="majorBidi" w:hAnsiTheme="majorBidi" w:cstheme="majorBidi"/>
          <w:kern w:val="24"/>
          <w:sz w:val="24"/>
          <w:szCs w:val="24"/>
        </w:rPr>
        <w:t xml:space="preserve"> reçu</w:t>
      </w:r>
      <w:r w:rsidR="006E608A" w:rsidRPr="00414F3C">
        <w:rPr>
          <w:rFonts w:asciiTheme="majorBidi" w:hAnsiTheme="majorBidi" w:cstheme="majorBidi"/>
          <w:kern w:val="24"/>
          <w:sz w:val="24"/>
          <w:szCs w:val="24"/>
        </w:rPr>
        <w:t>e</w:t>
      </w:r>
      <w:r w:rsidRPr="00414F3C">
        <w:rPr>
          <w:rFonts w:asciiTheme="majorBidi" w:hAnsiTheme="majorBidi" w:cstheme="majorBidi"/>
          <w:kern w:val="24"/>
          <w:sz w:val="24"/>
          <w:szCs w:val="24"/>
        </w:rPr>
        <w:t xml:space="preserve"> en paiement </w:t>
      </w:r>
      <w:r w:rsidR="006E608A" w:rsidRPr="00414F3C">
        <w:rPr>
          <w:rFonts w:asciiTheme="majorBidi" w:hAnsiTheme="majorBidi" w:cstheme="majorBidi"/>
          <w:kern w:val="24"/>
          <w:sz w:val="24"/>
          <w:szCs w:val="24"/>
        </w:rPr>
        <w:t>servirait</w:t>
      </w:r>
      <w:r w:rsidRPr="00414F3C">
        <w:rPr>
          <w:rFonts w:asciiTheme="majorBidi" w:hAnsiTheme="majorBidi" w:cstheme="majorBidi"/>
          <w:kern w:val="24"/>
          <w:sz w:val="24"/>
          <w:szCs w:val="24"/>
        </w:rPr>
        <w:t xml:space="preserve"> </w:t>
      </w:r>
      <w:r w:rsidR="006E608A" w:rsidRPr="00414F3C">
        <w:rPr>
          <w:rFonts w:asciiTheme="majorBidi" w:hAnsiTheme="majorBidi" w:cstheme="majorBidi"/>
          <w:kern w:val="24"/>
          <w:sz w:val="24"/>
          <w:szCs w:val="24"/>
        </w:rPr>
        <w:t>à</w:t>
      </w:r>
      <w:r w:rsidRPr="00414F3C">
        <w:rPr>
          <w:rFonts w:asciiTheme="majorBidi" w:hAnsiTheme="majorBidi" w:cstheme="majorBidi"/>
          <w:kern w:val="24"/>
          <w:sz w:val="24"/>
          <w:szCs w:val="24"/>
        </w:rPr>
        <w:t xml:space="preserve"> </w:t>
      </w:r>
      <w:r w:rsidR="006E608A" w:rsidRPr="00414F3C">
        <w:rPr>
          <w:rFonts w:asciiTheme="majorBidi" w:hAnsiTheme="majorBidi" w:cstheme="majorBidi"/>
          <w:kern w:val="24"/>
          <w:sz w:val="24"/>
          <w:szCs w:val="24"/>
        </w:rPr>
        <w:t>l’</w:t>
      </w:r>
      <w:r w:rsidRPr="00414F3C">
        <w:rPr>
          <w:rFonts w:asciiTheme="majorBidi" w:hAnsiTheme="majorBidi" w:cstheme="majorBidi"/>
          <w:kern w:val="24"/>
          <w:sz w:val="24"/>
          <w:szCs w:val="24"/>
        </w:rPr>
        <w:t>ach</w:t>
      </w:r>
      <w:r w:rsidR="006E608A" w:rsidRPr="00414F3C">
        <w:rPr>
          <w:rFonts w:asciiTheme="majorBidi" w:hAnsiTheme="majorBidi" w:cstheme="majorBidi"/>
          <w:kern w:val="24"/>
          <w:sz w:val="24"/>
          <w:szCs w:val="24"/>
        </w:rPr>
        <w:t>a</w:t>
      </w:r>
      <w:r w:rsidRPr="00414F3C">
        <w:rPr>
          <w:rFonts w:asciiTheme="majorBidi" w:hAnsiTheme="majorBidi" w:cstheme="majorBidi"/>
          <w:kern w:val="24"/>
          <w:sz w:val="24"/>
          <w:szCs w:val="24"/>
        </w:rPr>
        <w:t>t de bie</w:t>
      </w:r>
      <w:r w:rsidR="00AB563D" w:rsidRPr="00414F3C">
        <w:rPr>
          <w:rFonts w:asciiTheme="majorBidi" w:hAnsiTheme="majorBidi" w:cstheme="majorBidi"/>
          <w:kern w:val="24"/>
          <w:sz w:val="24"/>
          <w:szCs w:val="24"/>
        </w:rPr>
        <w:t xml:space="preserve">ns tangibles. De cette manière, </w:t>
      </w:r>
      <w:r w:rsidR="00B0093C" w:rsidRPr="00414F3C">
        <w:rPr>
          <w:rFonts w:asciiTheme="majorBidi" w:hAnsiTheme="majorBidi" w:cstheme="majorBidi"/>
          <w:kern w:val="24"/>
          <w:sz w:val="24"/>
          <w:szCs w:val="24"/>
        </w:rPr>
        <w:t>le risque réduit.</w:t>
      </w:r>
    </w:p>
    <w:p w14:paraId="734CF893" w14:textId="77777777" w:rsidR="002760B2" w:rsidRPr="00414F3C" w:rsidRDefault="00574FB4" w:rsidP="00414F3C">
      <w:pPr>
        <w:pStyle w:val="Titre6"/>
        <w:keepNext w:val="0"/>
        <w:keepLines w:val="0"/>
        <w:suppressAutoHyphens/>
        <w:spacing w:before="120" w:after="120" w:line="300" w:lineRule="auto"/>
        <w:ind w:firstLine="709"/>
        <w:rPr>
          <w:rFonts w:asciiTheme="majorBidi" w:hAnsiTheme="majorBidi"/>
          <w:b/>
          <w:bCs/>
          <w:i w:val="0"/>
          <w:iCs w:val="0"/>
          <w:color w:val="auto"/>
          <w:kern w:val="24"/>
          <w:sz w:val="24"/>
          <w:szCs w:val="24"/>
        </w:rPr>
      </w:pPr>
      <w:bookmarkStart w:id="1088" w:name="_Toc182298798"/>
      <w:r w:rsidRPr="00414F3C">
        <w:rPr>
          <w:rFonts w:asciiTheme="majorBidi" w:hAnsiTheme="majorBidi"/>
          <w:b/>
          <w:bCs/>
          <w:i w:val="0"/>
          <w:iCs w:val="0"/>
          <w:color w:val="auto"/>
          <w:kern w:val="24"/>
          <w:sz w:val="24"/>
          <w:szCs w:val="24"/>
        </w:rPr>
        <w:t>3.2.2.1</w:t>
      </w:r>
      <w:r w:rsidR="009D6891" w:rsidRPr="00414F3C">
        <w:rPr>
          <w:rFonts w:asciiTheme="majorBidi" w:hAnsiTheme="majorBidi"/>
          <w:b/>
          <w:bCs/>
          <w:i w:val="0"/>
          <w:iCs w:val="0"/>
          <w:color w:val="auto"/>
          <w:kern w:val="24"/>
          <w:sz w:val="24"/>
          <w:szCs w:val="24"/>
        </w:rPr>
        <w:t>.5</w:t>
      </w:r>
      <w:r w:rsidRPr="00414F3C">
        <w:rPr>
          <w:rFonts w:asciiTheme="majorBidi" w:hAnsiTheme="majorBidi"/>
          <w:b/>
          <w:bCs/>
          <w:i w:val="0"/>
          <w:iCs w:val="0"/>
          <w:color w:val="auto"/>
          <w:kern w:val="24"/>
          <w:sz w:val="24"/>
          <w:szCs w:val="24"/>
        </w:rPr>
        <w:t xml:space="preserve">- </w:t>
      </w:r>
      <w:r w:rsidR="002760B2" w:rsidRPr="00414F3C">
        <w:rPr>
          <w:rFonts w:asciiTheme="majorBidi" w:hAnsiTheme="majorBidi"/>
          <w:b/>
          <w:bCs/>
          <w:i w:val="0"/>
          <w:iCs w:val="0"/>
          <w:color w:val="auto"/>
          <w:kern w:val="24"/>
          <w:sz w:val="24"/>
          <w:szCs w:val="24"/>
        </w:rPr>
        <w:t>Atténua</w:t>
      </w:r>
      <w:r w:rsidR="00CB79CC" w:rsidRPr="00414F3C">
        <w:rPr>
          <w:rFonts w:asciiTheme="majorBidi" w:hAnsiTheme="majorBidi"/>
          <w:b/>
          <w:bCs/>
          <w:i w:val="0"/>
          <w:iCs w:val="0"/>
          <w:color w:val="auto"/>
          <w:kern w:val="24"/>
          <w:sz w:val="24"/>
          <w:szCs w:val="24"/>
        </w:rPr>
        <w:t>tion contractuelle des risques</w:t>
      </w:r>
      <w:bookmarkEnd w:id="1088"/>
    </w:p>
    <w:p w14:paraId="6AE91E54"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Les arrangements contractuels entre les parties jouent un rôle similaire à celui des techniques de contrôle des risques. Par exemple, pour un contrat </w:t>
      </w:r>
      <w:r w:rsidRPr="00414F3C">
        <w:rPr>
          <w:rFonts w:asciiTheme="majorBidi" w:hAnsiTheme="majorBidi" w:cstheme="majorBidi"/>
          <w:i/>
          <w:kern w:val="24"/>
          <w:sz w:val="24"/>
          <w:szCs w:val="24"/>
        </w:rPr>
        <w:t>salam</w:t>
      </w:r>
      <w:r w:rsidRPr="00414F3C">
        <w:rPr>
          <w:rFonts w:asciiTheme="majorBidi" w:hAnsiTheme="majorBidi" w:cstheme="majorBidi"/>
          <w:kern w:val="24"/>
          <w:sz w:val="24"/>
          <w:szCs w:val="24"/>
        </w:rPr>
        <w:t>, si les prix postérieurs à ce contrat varient, des manquements aux obligations contractuelles</w:t>
      </w:r>
      <w:r w:rsidR="003630B0" w:rsidRPr="00414F3C">
        <w:rPr>
          <w:rFonts w:asciiTheme="majorBidi" w:hAnsiTheme="majorBidi" w:cstheme="majorBidi"/>
          <w:kern w:val="24"/>
          <w:sz w:val="24"/>
          <w:szCs w:val="24"/>
        </w:rPr>
        <w:t xml:space="preserve"> pourraient se produire</w:t>
      </w:r>
      <w:r w:rsidRPr="00414F3C">
        <w:rPr>
          <w:rFonts w:asciiTheme="majorBidi" w:hAnsiTheme="majorBidi" w:cstheme="majorBidi"/>
          <w:kern w:val="24"/>
          <w:sz w:val="24"/>
          <w:szCs w:val="24"/>
        </w:rPr>
        <w:t xml:space="preserve">. </w:t>
      </w:r>
      <w:r w:rsidR="003630B0" w:rsidRPr="00414F3C">
        <w:rPr>
          <w:rFonts w:asciiTheme="majorBidi" w:hAnsiTheme="majorBidi" w:cstheme="majorBidi"/>
          <w:kern w:val="24"/>
          <w:sz w:val="24"/>
          <w:szCs w:val="24"/>
        </w:rPr>
        <w:t>Par exemple aussi, d</w:t>
      </w:r>
      <w:r w:rsidRPr="00414F3C">
        <w:rPr>
          <w:rFonts w:asciiTheme="majorBidi" w:hAnsiTheme="majorBidi" w:cstheme="majorBidi"/>
          <w:kern w:val="24"/>
          <w:sz w:val="24"/>
          <w:szCs w:val="24"/>
        </w:rPr>
        <w:t xml:space="preserve">ans </w:t>
      </w:r>
      <w:r w:rsidR="003630B0" w:rsidRPr="00414F3C">
        <w:rPr>
          <w:rFonts w:asciiTheme="majorBidi" w:hAnsiTheme="majorBidi" w:cstheme="majorBidi"/>
          <w:kern w:val="24"/>
          <w:sz w:val="24"/>
          <w:szCs w:val="24"/>
        </w:rPr>
        <w:t>le</w:t>
      </w:r>
      <w:r w:rsidRPr="00414F3C">
        <w:rPr>
          <w:rFonts w:asciiTheme="majorBidi" w:hAnsiTheme="majorBidi" w:cstheme="majorBidi"/>
          <w:kern w:val="24"/>
          <w:sz w:val="24"/>
          <w:szCs w:val="24"/>
        </w:rPr>
        <w:t xml:space="preserve"> cas où les prix du blé augmentent substantiellement après signature du contrat et réception d</w:t>
      </w:r>
      <w:r w:rsidR="003630B0" w:rsidRPr="00414F3C">
        <w:rPr>
          <w:rFonts w:asciiTheme="majorBidi" w:hAnsiTheme="majorBidi" w:cstheme="majorBidi"/>
          <w:kern w:val="24"/>
          <w:sz w:val="24"/>
          <w:szCs w:val="24"/>
        </w:rPr>
        <w:t>u règlement</w:t>
      </w:r>
      <w:r w:rsidRPr="00414F3C">
        <w:rPr>
          <w:rFonts w:asciiTheme="majorBidi" w:hAnsiTheme="majorBidi" w:cstheme="majorBidi"/>
          <w:kern w:val="24"/>
          <w:sz w:val="24"/>
          <w:szCs w:val="24"/>
        </w:rPr>
        <w:t xml:space="preserve">, le producteur du blé pourrait violer le contrat. Ce </w:t>
      </w:r>
      <w:r w:rsidR="00EE61A1" w:rsidRPr="00414F3C">
        <w:rPr>
          <w:rFonts w:asciiTheme="majorBidi" w:hAnsiTheme="majorBidi" w:cstheme="majorBidi"/>
          <w:kern w:val="24"/>
          <w:sz w:val="24"/>
          <w:szCs w:val="24"/>
        </w:rPr>
        <w:t xml:space="preserve">problème </w:t>
      </w:r>
      <w:r w:rsidRPr="00414F3C">
        <w:rPr>
          <w:rFonts w:asciiTheme="majorBidi" w:hAnsiTheme="majorBidi" w:cstheme="majorBidi"/>
          <w:kern w:val="24"/>
          <w:sz w:val="24"/>
          <w:szCs w:val="24"/>
        </w:rPr>
        <w:t>peut être réduit par une clause qui indique un accord commun pour accepter un certain niveau de fluctuation des prix. Si les prix excèdent ce niveau, la partie gagnante doit compenser l’autre partie affectée par les changements défavorables des prix.</w:t>
      </w:r>
    </w:p>
    <w:p w14:paraId="0C3D7155"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Un autre arrangement</w:t>
      </w:r>
      <w:r w:rsidR="00EE61A1" w:rsidRPr="00414F3C">
        <w:rPr>
          <w:rFonts w:asciiTheme="majorBidi" w:hAnsiTheme="majorBidi" w:cstheme="majorBidi"/>
          <w:kern w:val="24"/>
          <w:sz w:val="24"/>
          <w:szCs w:val="24"/>
        </w:rPr>
        <w:t xml:space="preserve"> contractuel </w:t>
      </w:r>
      <w:r w:rsidRPr="00414F3C">
        <w:rPr>
          <w:rFonts w:asciiTheme="majorBidi" w:hAnsiTheme="majorBidi" w:cstheme="majorBidi"/>
          <w:kern w:val="24"/>
          <w:sz w:val="24"/>
          <w:szCs w:val="24"/>
        </w:rPr>
        <w:t xml:space="preserve">peut être effectué pour réduire le risque de </w:t>
      </w:r>
      <w:r w:rsidR="00EE61A1" w:rsidRPr="00414F3C">
        <w:rPr>
          <w:rFonts w:asciiTheme="majorBidi" w:hAnsiTheme="majorBidi" w:cstheme="majorBidi"/>
          <w:kern w:val="24"/>
          <w:sz w:val="24"/>
          <w:szCs w:val="24"/>
        </w:rPr>
        <w:t>contrepartie</w:t>
      </w:r>
      <w:r w:rsidRPr="00414F3C">
        <w:rPr>
          <w:rFonts w:asciiTheme="majorBidi" w:hAnsiTheme="majorBidi" w:cstheme="majorBidi"/>
          <w:kern w:val="24"/>
          <w:sz w:val="24"/>
          <w:szCs w:val="24"/>
        </w:rPr>
        <w:t xml:space="preserve"> dans un contrat </w:t>
      </w:r>
      <w:r w:rsidR="009D6891" w:rsidRPr="00414F3C">
        <w:rPr>
          <w:rFonts w:asciiTheme="majorBidi" w:hAnsiTheme="majorBidi" w:cstheme="majorBidi"/>
          <w:i/>
          <w:kern w:val="24"/>
          <w:sz w:val="24"/>
          <w:szCs w:val="24"/>
        </w:rPr>
        <w:t>i</w:t>
      </w:r>
      <w:r w:rsidR="002C67F4" w:rsidRPr="00414F3C">
        <w:rPr>
          <w:rFonts w:asciiTheme="majorBidi" w:hAnsiTheme="majorBidi" w:cstheme="majorBidi"/>
          <w:i/>
          <w:kern w:val="24"/>
          <w:sz w:val="24"/>
          <w:szCs w:val="24"/>
        </w:rPr>
        <w:t>stisna’</w:t>
      </w:r>
      <w:r w:rsidRPr="00414F3C">
        <w:rPr>
          <w:rFonts w:asciiTheme="majorBidi" w:hAnsiTheme="majorBidi" w:cstheme="majorBidi"/>
          <w:kern w:val="24"/>
          <w:sz w:val="24"/>
          <w:szCs w:val="24"/>
        </w:rPr>
        <w:t xml:space="preserve">. Au lieu de verser à la fin du contrat les coûts de fabrication du bien </w:t>
      </w:r>
      <w:r w:rsidR="003630B0" w:rsidRPr="00414F3C">
        <w:rPr>
          <w:rFonts w:asciiTheme="majorBidi" w:hAnsiTheme="majorBidi" w:cstheme="majorBidi"/>
          <w:kern w:val="24"/>
          <w:sz w:val="24"/>
          <w:szCs w:val="24"/>
        </w:rPr>
        <w:t>com</w:t>
      </w:r>
      <w:r w:rsidRPr="00414F3C">
        <w:rPr>
          <w:rFonts w:asciiTheme="majorBidi" w:hAnsiTheme="majorBidi" w:cstheme="majorBidi"/>
          <w:kern w:val="24"/>
          <w:sz w:val="24"/>
          <w:szCs w:val="24"/>
        </w:rPr>
        <w:t>mandé, ce versement peut être échelonné tout au long du processus de fabrication.</w:t>
      </w:r>
    </w:p>
    <w:p w14:paraId="2C318440"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Aussi, pour éviter le risque de refus de marchandises commandées par le client, </w:t>
      </w:r>
      <w:r w:rsidR="00FB768F" w:rsidRPr="00414F3C">
        <w:rPr>
          <w:rFonts w:asciiTheme="majorBidi" w:hAnsiTheme="majorBidi" w:cstheme="majorBidi"/>
          <w:kern w:val="24"/>
          <w:sz w:val="24"/>
          <w:szCs w:val="24"/>
        </w:rPr>
        <w:t>il</w:t>
      </w:r>
      <w:r w:rsidRPr="00414F3C">
        <w:rPr>
          <w:rFonts w:asciiTheme="majorBidi" w:hAnsiTheme="majorBidi" w:cstheme="majorBidi"/>
          <w:kern w:val="24"/>
          <w:sz w:val="24"/>
          <w:szCs w:val="24"/>
        </w:rPr>
        <w:t xml:space="preserve"> peut </w:t>
      </w:r>
      <w:r w:rsidR="00FB768F" w:rsidRPr="00414F3C">
        <w:rPr>
          <w:rFonts w:asciiTheme="majorBidi" w:hAnsiTheme="majorBidi" w:cstheme="majorBidi"/>
          <w:kern w:val="24"/>
          <w:sz w:val="24"/>
          <w:szCs w:val="24"/>
        </w:rPr>
        <w:t xml:space="preserve">être </w:t>
      </w:r>
      <w:r w:rsidRPr="00414F3C">
        <w:rPr>
          <w:rFonts w:asciiTheme="majorBidi" w:hAnsiTheme="majorBidi" w:cstheme="majorBidi"/>
          <w:kern w:val="24"/>
          <w:sz w:val="24"/>
          <w:szCs w:val="24"/>
        </w:rPr>
        <w:t>propos</w:t>
      </w:r>
      <w:r w:rsidR="00FB768F" w:rsidRPr="00414F3C">
        <w:rPr>
          <w:rFonts w:asciiTheme="majorBidi" w:hAnsiTheme="majorBidi" w:cstheme="majorBidi"/>
          <w:kern w:val="24"/>
          <w:sz w:val="24"/>
          <w:szCs w:val="24"/>
        </w:rPr>
        <w:t>é</w:t>
      </w:r>
      <w:r w:rsidRPr="00414F3C">
        <w:rPr>
          <w:rFonts w:asciiTheme="majorBidi" w:hAnsiTheme="majorBidi" w:cstheme="majorBidi"/>
          <w:kern w:val="24"/>
          <w:sz w:val="24"/>
          <w:szCs w:val="24"/>
        </w:rPr>
        <w:t xml:space="preserve"> que l’exécution du contrat soit obligatoire pour le client et </w:t>
      </w:r>
      <w:r w:rsidR="00FB768F" w:rsidRPr="00414F3C">
        <w:rPr>
          <w:rFonts w:asciiTheme="majorBidi" w:hAnsiTheme="majorBidi" w:cstheme="majorBidi"/>
          <w:kern w:val="24"/>
          <w:sz w:val="24"/>
          <w:szCs w:val="24"/>
        </w:rPr>
        <w:t xml:space="preserve">non </w:t>
      </w:r>
      <w:r w:rsidRPr="00414F3C">
        <w:rPr>
          <w:rFonts w:asciiTheme="majorBidi" w:hAnsiTheme="majorBidi" w:cstheme="majorBidi"/>
          <w:kern w:val="24"/>
          <w:sz w:val="24"/>
          <w:szCs w:val="24"/>
        </w:rPr>
        <w:t>pas pour la banque. Car</w:t>
      </w:r>
      <w:r w:rsidR="00FB768F"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w:t>
      </w:r>
      <w:r w:rsidR="00FB768F" w:rsidRPr="00414F3C">
        <w:rPr>
          <w:rFonts w:asciiTheme="majorBidi" w:hAnsiTheme="majorBidi" w:cstheme="majorBidi"/>
          <w:kern w:val="24"/>
          <w:sz w:val="24"/>
          <w:szCs w:val="24"/>
        </w:rPr>
        <w:t xml:space="preserve">en tant qu’institution, </w:t>
      </w:r>
      <w:r w:rsidRPr="00414F3C">
        <w:rPr>
          <w:rFonts w:asciiTheme="majorBidi" w:hAnsiTheme="majorBidi" w:cstheme="majorBidi"/>
          <w:kern w:val="24"/>
          <w:sz w:val="24"/>
          <w:szCs w:val="24"/>
        </w:rPr>
        <w:t>cette dernière honore ses engagements même si le contrat n’est pas obligatoire envers elle.</w:t>
      </w:r>
    </w:p>
    <w:p w14:paraId="02AB51D6" w14:textId="77777777" w:rsidR="00370DED"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Tous ces contrats peuvent réduire le risque de </w:t>
      </w:r>
      <w:r w:rsidR="00EE61A1" w:rsidRPr="00414F3C">
        <w:rPr>
          <w:rFonts w:asciiTheme="majorBidi" w:hAnsiTheme="majorBidi" w:cstheme="majorBidi"/>
          <w:kern w:val="24"/>
          <w:sz w:val="24"/>
          <w:szCs w:val="24"/>
        </w:rPr>
        <w:t>contrepartie</w:t>
      </w:r>
      <w:r w:rsidRPr="00414F3C">
        <w:rPr>
          <w:rFonts w:asciiTheme="majorBidi" w:hAnsiTheme="majorBidi" w:cstheme="majorBidi"/>
          <w:kern w:val="24"/>
          <w:sz w:val="24"/>
          <w:szCs w:val="24"/>
        </w:rPr>
        <w:t>. Il est souhaitable de savoir en bénéficier de tels arrangements lors de la rédaction de nouveaux contrats.</w:t>
      </w:r>
    </w:p>
    <w:p w14:paraId="016F3645" w14:textId="77777777" w:rsidR="002760B2" w:rsidRPr="00414F3C" w:rsidRDefault="009D6891" w:rsidP="00414F3C">
      <w:pPr>
        <w:pStyle w:val="Titre6"/>
        <w:keepNext w:val="0"/>
        <w:keepLines w:val="0"/>
        <w:suppressAutoHyphens/>
        <w:spacing w:before="120" w:after="120" w:line="300" w:lineRule="auto"/>
        <w:ind w:firstLine="709"/>
        <w:rPr>
          <w:rFonts w:asciiTheme="majorBidi" w:hAnsiTheme="majorBidi"/>
          <w:b/>
          <w:bCs/>
          <w:i w:val="0"/>
          <w:iCs w:val="0"/>
          <w:color w:val="auto"/>
          <w:kern w:val="24"/>
          <w:sz w:val="24"/>
          <w:szCs w:val="24"/>
        </w:rPr>
      </w:pPr>
      <w:bookmarkStart w:id="1089" w:name="_Toc182298799"/>
      <w:r w:rsidRPr="00414F3C">
        <w:rPr>
          <w:rFonts w:asciiTheme="majorBidi" w:hAnsiTheme="majorBidi"/>
          <w:b/>
          <w:bCs/>
          <w:i w:val="0"/>
          <w:iCs w:val="0"/>
          <w:color w:val="auto"/>
          <w:kern w:val="24"/>
          <w:sz w:val="24"/>
          <w:szCs w:val="24"/>
        </w:rPr>
        <w:t xml:space="preserve">3.2.2.1.6- </w:t>
      </w:r>
      <w:r w:rsidR="00C535E2" w:rsidRPr="00414F3C">
        <w:rPr>
          <w:rFonts w:asciiTheme="majorBidi" w:hAnsiTheme="majorBidi"/>
          <w:b/>
          <w:bCs/>
          <w:i w:val="0"/>
          <w:iCs w:val="0"/>
          <w:color w:val="auto"/>
          <w:kern w:val="24"/>
          <w:sz w:val="24"/>
          <w:szCs w:val="24"/>
        </w:rPr>
        <w:t>R</w:t>
      </w:r>
      <w:r w:rsidR="00CB79CC" w:rsidRPr="00414F3C">
        <w:rPr>
          <w:rFonts w:asciiTheme="majorBidi" w:hAnsiTheme="majorBidi"/>
          <w:b/>
          <w:bCs/>
          <w:i w:val="0"/>
          <w:iCs w:val="0"/>
          <w:color w:val="auto"/>
          <w:kern w:val="24"/>
          <w:sz w:val="24"/>
          <w:szCs w:val="24"/>
        </w:rPr>
        <w:t>ating interne</w:t>
      </w:r>
      <w:bookmarkEnd w:id="1089"/>
    </w:p>
    <w:p w14:paraId="22819909"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 rating permet de déterminer les provisions pour pertes sur les prêts accordés. Ce système permet d’identifier les risques de </w:t>
      </w:r>
      <w:r w:rsidR="00EE61A1" w:rsidRPr="00414F3C">
        <w:rPr>
          <w:rFonts w:asciiTheme="majorBidi" w:hAnsiTheme="majorBidi" w:cstheme="majorBidi"/>
          <w:kern w:val="24"/>
          <w:sz w:val="24"/>
          <w:szCs w:val="24"/>
        </w:rPr>
        <w:t>contrepartie</w:t>
      </w:r>
      <w:r w:rsidRPr="00414F3C">
        <w:rPr>
          <w:rFonts w:asciiTheme="majorBidi" w:hAnsiTheme="majorBidi" w:cstheme="majorBidi"/>
          <w:kern w:val="24"/>
          <w:sz w:val="24"/>
          <w:szCs w:val="24"/>
        </w:rPr>
        <w:t xml:space="preserve"> encourus par la banque pour chaque poste d’actif d’une manière systématique au lieu de calculer le risque global lié à l’ensemble du portefeuille bancaire.</w:t>
      </w:r>
    </w:p>
    <w:p w14:paraId="60D8BFEF"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Pour établir un système de rating interne dans une banque, il faut s’intéresser à deux informations : la solvabilité du client et l’échéance des crédits consentis. La crédibilité des </w:t>
      </w:r>
      <w:r w:rsidR="00FB768F" w:rsidRPr="00414F3C">
        <w:rPr>
          <w:rFonts w:asciiTheme="majorBidi" w:hAnsiTheme="majorBidi" w:cstheme="majorBidi"/>
          <w:kern w:val="24"/>
          <w:sz w:val="24"/>
          <w:szCs w:val="24"/>
        </w:rPr>
        <w:t>clients</w:t>
      </w:r>
      <w:r w:rsidRPr="00414F3C">
        <w:rPr>
          <w:rFonts w:asciiTheme="majorBidi" w:hAnsiTheme="majorBidi" w:cstheme="majorBidi"/>
          <w:kern w:val="24"/>
          <w:sz w:val="24"/>
          <w:szCs w:val="24"/>
        </w:rPr>
        <w:t xml:space="preserve"> peut être appréciée de plusieurs manières.</w:t>
      </w:r>
      <w:r w:rsidR="00EE61A1" w:rsidRPr="00414F3C">
        <w:rPr>
          <w:rFonts w:asciiTheme="majorBidi" w:hAnsiTheme="majorBidi" w:cstheme="majorBidi"/>
          <w:kern w:val="24"/>
          <w:sz w:val="24"/>
          <w:szCs w:val="24"/>
        </w:rPr>
        <w:t xml:space="preserve"> La banque pourrait avoir une expérience avec son client qui pourrait faire l’objet de rating par des agences spécialisées. Aussi la réputation et les garanties introduites par le client peuvent rassurer la banque. Après la collecte de ces informations, chaque client bancaire sera assigné d’une probabilité de défaut de paiement anticipé</w:t>
      </w:r>
      <w:r w:rsidRPr="00414F3C">
        <w:rPr>
          <w:rFonts w:asciiTheme="majorBidi" w:hAnsiTheme="majorBidi" w:cstheme="majorBidi"/>
          <w:kern w:val="24"/>
          <w:sz w:val="24"/>
          <w:szCs w:val="24"/>
        </w:rPr>
        <w:t xml:space="preserve"> L’échéance est généralement connu</w:t>
      </w:r>
      <w:r w:rsidR="000F58F6" w:rsidRPr="00414F3C">
        <w:rPr>
          <w:rFonts w:asciiTheme="majorBidi" w:hAnsiTheme="majorBidi" w:cstheme="majorBidi"/>
          <w:kern w:val="24"/>
          <w:sz w:val="24"/>
          <w:szCs w:val="24"/>
        </w:rPr>
        <w:t>e pour chaque contrat financier</w:t>
      </w:r>
      <w:r w:rsidRPr="00414F3C">
        <w:rPr>
          <w:rFonts w:asciiTheme="majorBidi" w:hAnsiTheme="majorBidi" w:cstheme="majorBidi"/>
          <w:kern w:val="24"/>
          <w:sz w:val="24"/>
          <w:szCs w:val="24"/>
        </w:rPr>
        <w:t>.</w:t>
      </w:r>
    </w:p>
    <w:p w14:paraId="7648206E"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Après</w:t>
      </w:r>
      <w:r w:rsidR="00E41575" w:rsidRPr="00414F3C">
        <w:rPr>
          <w:rFonts w:asciiTheme="majorBidi" w:hAnsiTheme="majorBidi" w:cstheme="majorBidi"/>
          <w:kern w:val="24"/>
          <w:sz w:val="24"/>
          <w:szCs w:val="24"/>
        </w:rPr>
        <w:t xml:space="preserve"> traitement de</w:t>
      </w:r>
      <w:r w:rsidRPr="00414F3C">
        <w:rPr>
          <w:rFonts w:asciiTheme="majorBidi" w:hAnsiTheme="majorBidi" w:cstheme="majorBidi"/>
          <w:kern w:val="24"/>
          <w:sz w:val="24"/>
          <w:szCs w:val="24"/>
        </w:rPr>
        <w:t xml:space="preserve"> toutes les informations obtenues</w:t>
      </w:r>
      <w:r w:rsidR="00E41575" w:rsidRPr="00414F3C">
        <w:rPr>
          <w:rFonts w:asciiTheme="majorBidi" w:hAnsiTheme="majorBidi" w:cstheme="majorBidi"/>
          <w:kern w:val="24"/>
          <w:sz w:val="24"/>
          <w:szCs w:val="24"/>
        </w:rPr>
        <w:t>,</w:t>
      </w:r>
      <w:r w:rsidRPr="00414F3C">
        <w:rPr>
          <w:rFonts w:asciiTheme="majorBidi" w:hAnsiTheme="majorBidi" w:cstheme="majorBidi"/>
          <w:kern w:val="24"/>
          <w:sz w:val="24"/>
          <w:szCs w:val="24"/>
        </w:rPr>
        <w:t xml:space="preserve"> un niveau moyen de risque de crédit </w:t>
      </w:r>
      <w:r w:rsidR="00E41575" w:rsidRPr="00414F3C">
        <w:rPr>
          <w:rFonts w:asciiTheme="majorBidi" w:hAnsiTheme="majorBidi" w:cstheme="majorBidi"/>
          <w:kern w:val="24"/>
          <w:sz w:val="24"/>
          <w:szCs w:val="24"/>
        </w:rPr>
        <w:t>est défini afin de</w:t>
      </w:r>
      <w:r w:rsidRPr="00414F3C">
        <w:rPr>
          <w:rFonts w:asciiTheme="majorBidi" w:hAnsiTheme="majorBidi" w:cstheme="majorBidi"/>
          <w:kern w:val="24"/>
          <w:sz w:val="24"/>
          <w:szCs w:val="24"/>
        </w:rPr>
        <w:t xml:space="preserve"> ser</w:t>
      </w:r>
      <w:r w:rsidR="00E41575" w:rsidRPr="00414F3C">
        <w:rPr>
          <w:rFonts w:asciiTheme="majorBidi" w:hAnsiTheme="majorBidi" w:cstheme="majorBidi"/>
          <w:kern w:val="24"/>
          <w:sz w:val="24"/>
          <w:szCs w:val="24"/>
        </w:rPr>
        <w:t>vir</w:t>
      </w:r>
      <w:r w:rsidR="000F4546" w:rsidRPr="00414F3C">
        <w:rPr>
          <w:rFonts w:asciiTheme="majorBidi" w:hAnsiTheme="majorBidi" w:cstheme="majorBidi"/>
          <w:kern w:val="24"/>
          <w:sz w:val="24"/>
          <w:szCs w:val="24"/>
        </w:rPr>
        <w:t xml:space="preserve"> de référence. La BI est techniquement prête</w:t>
      </w:r>
      <w:r w:rsidRPr="00414F3C">
        <w:rPr>
          <w:rFonts w:asciiTheme="majorBidi" w:hAnsiTheme="majorBidi" w:cstheme="majorBidi"/>
          <w:kern w:val="24"/>
          <w:sz w:val="24"/>
          <w:szCs w:val="24"/>
        </w:rPr>
        <w:t xml:space="preserve"> pour procéder à cette forme de mesure interne du risque </w:t>
      </w:r>
      <w:r w:rsidR="000F4546" w:rsidRPr="00414F3C">
        <w:rPr>
          <w:rFonts w:asciiTheme="majorBidi" w:hAnsiTheme="majorBidi" w:cstheme="majorBidi"/>
          <w:kern w:val="24"/>
          <w:sz w:val="24"/>
          <w:szCs w:val="24"/>
        </w:rPr>
        <w:t xml:space="preserve">de </w:t>
      </w:r>
      <w:r w:rsidR="00EE61A1" w:rsidRPr="00414F3C">
        <w:rPr>
          <w:rFonts w:asciiTheme="majorBidi" w:hAnsiTheme="majorBidi" w:cstheme="majorBidi"/>
          <w:kern w:val="24"/>
          <w:sz w:val="24"/>
          <w:szCs w:val="24"/>
        </w:rPr>
        <w:t>contrepartie</w:t>
      </w:r>
      <w:r w:rsidRPr="00414F3C">
        <w:rPr>
          <w:rFonts w:asciiTheme="majorBidi" w:hAnsiTheme="majorBidi" w:cstheme="majorBidi"/>
          <w:kern w:val="24"/>
          <w:sz w:val="24"/>
          <w:szCs w:val="24"/>
        </w:rPr>
        <w:t xml:space="preserve"> pour chaque emploi séparément. Le recours à ce système peut remplir le déficit en matière de gestion des risques de contrepartie.</w:t>
      </w:r>
    </w:p>
    <w:p w14:paraId="481113FF" w14:textId="77777777" w:rsidR="002760B2" w:rsidRPr="00414F3C" w:rsidRDefault="00136362" w:rsidP="00414F3C">
      <w:pPr>
        <w:pStyle w:val="Titre5"/>
        <w:keepNext w:val="0"/>
        <w:keepLines w:val="0"/>
        <w:suppressAutoHyphens/>
        <w:spacing w:before="120" w:after="120" w:line="300" w:lineRule="auto"/>
        <w:ind w:firstLine="709"/>
        <w:rPr>
          <w:rFonts w:asciiTheme="majorBidi" w:hAnsiTheme="majorBidi"/>
          <w:b/>
          <w:bCs/>
          <w:color w:val="auto"/>
          <w:kern w:val="24"/>
          <w:sz w:val="24"/>
          <w:szCs w:val="24"/>
        </w:rPr>
      </w:pPr>
      <w:bookmarkStart w:id="1090" w:name="_Toc182298800"/>
      <w:r w:rsidRPr="00414F3C">
        <w:rPr>
          <w:rFonts w:asciiTheme="majorBidi" w:hAnsiTheme="majorBidi"/>
          <w:b/>
          <w:bCs/>
          <w:color w:val="auto"/>
          <w:kern w:val="24"/>
          <w:sz w:val="24"/>
          <w:szCs w:val="24"/>
        </w:rPr>
        <w:t xml:space="preserve">3.2.2.2- </w:t>
      </w:r>
      <w:r w:rsidR="002760B2" w:rsidRPr="00414F3C">
        <w:rPr>
          <w:rFonts w:asciiTheme="majorBidi" w:hAnsiTheme="majorBidi"/>
          <w:b/>
          <w:bCs/>
          <w:color w:val="auto"/>
          <w:kern w:val="24"/>
          <w:sz w:val="24"/>
          <w:szCs w:val="24"/>
        </w:rPr>
        <w:t>G</w:t>
      </w:r>
      <w:r w:rsidR="00CB79CC" w:rsidRPr="00414F3C">
        <w:rPr>
          <w:rFonts w:asciiTheme="majorBidi" w:hAnsiTheme="majorBidi"/>
          <w:b/>
          <w:bCs/>
          <w:color w:val="auto"/>
          <w:kern w:val="24"/>
          <w:sz w:val="24"/>
          <w:szCs w:val="24"/>
        </w:rPr>
        <w:t>estion du risque de liquidité</w:t>
      </w:r>
      <w:bookmarkEnd w:id="1090"/>
    </w:p>
    <w:p w14:paraId="5238F72D" w14:textId="77777777" w:rsidR="002760B2" w:rsidRPr="00414F3C" w:rsidRDefault="00BF10BC"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lastRenderedPageBreak/>
        <w:t>Rappelons que</w:t>
      </w:r>
      <w:r w:rsidR="002760B2" w:rsidRPr="00414F3C">
        <w:rPr>
          <w:rFonts w:asciiTheme="majorBidi" w:hAnsiTheme="majorBidi" w:cstheme="majorBidi"/>
          <w:kern w:val="24"/>
          <w:sz w:val="24"/>
          <w:szCs w:val="24"/>
        </w:rPr>
        <w:t xml:space="preserve"> le risque de liquidité ou d’illiquidité surv</w:t>
      </w:r>
      <w:r w:rsidRPr="00414F3C">
        <w:rPr>
          <w:rFonts w:asciiTheme="majorBidi" w:hAnsiTheme="majorBidi" w:cstheme="majorBidi"/>
          <w:kern w:val="24"/>
          <w:sz w:val="24"/>
          <w:szCs w:val="24"/>
        </w:rPr>
        <w:t>ient</w:t>
      </w:r>
      <w:r w:rsidR="002760B2" w:rsidRPr="00414F3C">
        <w:rPr>
          <w:rFonts w:asciiTheme="majorBidi" w:hAnsiTheme="majorBidi" w:cstheme="majorBidi"/>
          <w:kern w:val="24"/>
          <w:sz w:val="24"/>
          <w:szCs w:val="24"/>
        </w:rPr>
        <w:t xml:space="preserve"> dans une banque lorsque ses entrées en flux monétaires issus du recouvrement des </w:t>
      </w:r>
      <w:r w:rsidR="00E02D18" w:rsidRPr="00414F3C">
        <w:rPr>
          <w:rFonts w:asciiTheme="majorBidi" w:hAnsiTheme="majorBidi" w:cstheme="majorBidi"/>
          <w:kern w:val="24"/>
          <w:sz w:val="24"/>
          <w:szCs w:val="24"/>
        </w:rPr>
        <w:t>créances</w:t>
      </w:r>
      <w:r w:rsidR="002760B2" w:rsidRPr="00414F3C">
        <w:rPr>
          <w:rFonts w:asciiTheme="majorBidi" w:hAnsiTheme="majorBidi" w:cstheme="majorBidi"/>
          <w:kern w:val="24"/>
          <w:sz w:val="24"/>
          <w:szCs w:val="24"/>
        </w:rPr>
        <w:t>, de la vente de certains éléments d’actifs ou de mobilisation de fonds supplémentaires ne permettent pas de couvrir les sorties d</w:t>
      </w:r>
      <w:r w:rsidRPr="00414F3C">
        <w:rPr>
          <w:rFonts w:asciiTheme="majorBidi" w:hAnsiTheme="majorBidi" w:cstheme="majorBidi"/>
          <w:kern w:val="24"/>
          <w:sz w:val="24"/>
          <w:szCs w:val="24"/>
        </w:rPr>
        <w:t>e fonds</w:t>
      </w:r>
      <w:r w:rsidR="002760B2" w:rsidRPr="00414F3C">
        <w:rPr>
          <w:rFonts w:asciiTheme="majorBidi" w:hAnsiTheme="majorBidi" w:cstheme="majorBidi"/>
          <w:kern w:val="24"/>
          <w:sz w:val="24"/>
          <w:szCs w:val="24"/>
        </w:rPr>
        <w:t xml:space="preserve"> sous forme de retraits de déposants. </w:t>
      </w:r>
      <w:r w:rsidR="00E41575" w:rsidRPr="00414F3C">
        <w:rPr>
          <w:rFonts w:asciiTheme="majorBidi" w:hAnsiTheme="majorBidi" w:cstheme="majorBidi"/>
          <w:kern w:val="24"/>
          <w:sz w:val="24"/>
          <w:szCs w:val="24"/>
        </w:rPr>
        <w:t xml:space="preserve">Nous pouvons recenser un </w:t>
      </w:r>
      <w:r w:rsidR="002760B2" w:rsidRPr="00414F3C">
        <w:rPr>
          <w:rFonts w:asciiTheme="majorBidi" w:hAnsiTheme="majorBidi" w:cstheme="majorBidi"/>
          <w:kern w:val="24"/>
          <w:sz w:val="24"/>
          <w:szCs w:val="24"/>
        </w:rPr>
        <w:t>certain nombre de raisons</w:t>
      </w:r>
      <w:r w:rsidR="00E41575" w:rsidRPr="00414F3C">
        <w:rPr>
          <w:rFonts w:asciiTheme="majorBidi" w:hAnsiTheme="majorBidi" w:cstheme="majorBidi"/>
          <w:kern w:val="24"/>
          <w:sz w:val="24"/>
          <w:szCs w:val="24"/>
        </w:rPr>
        <w:t xml:space="preserve"> dans lesquelles</w:t>
      </w:r>
      <w:r w:rsidR="00E02D18" w:rsidRPr="00414F3C">
        <w:rPr>
          <w:rFonts w:asciiTheme="majorBidi" w:hAnsiTheme="majorBidi" w:cstheme="majorBidi"/>
          <w:kern w:val="24"/>
          <w:sz w:val="24"/>
          <w:szCs w:val="24"/>
        </w:rPr>
        <w:t xml:space="preserve"> la BI encoure</w:t>
      </w:r>
      <w:r w:rsidR="002760B2" w:rsidRPr="00414F3C">
        <w:rPr>
          <w:rFonts w:asciiTheme="majorBidi" w:hAnsiTheme="majorBidi" w:cstheme="majorBidi"/>
          <w:kern w:val="24"/>
          <w:sz w:val="24"/>
          <w:szCs w:val="24"/>
        </w:rPr>
        <w:t xml:space="preserve"> de sérieux risques li</w:t>
      </w:r>
      <w:r w:rsidR="00F12060" w:rsidRPr="00414F3C">
        <w:rPr>
          <w:rFonts w:asciiTheme="majorBidi" w:hAnsiTheme="majorBidi" w:cstheme="majorBidi"/>
          <w:kern w:val="24"/>
          <w:sz w:val="24"/>
          <w:szCs w:val="24"/>
        </w:rPr>
        <w:t>és à des problèmes de liquidité :</w:t>
      </w:r>
    </w:p>
    <w:p w14:paraId="6E6F5582" w14:textId="77777777"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La prohibition de la p</w:t>
      </w:r>
      <w:r w:rsidR="00E02D18" w:rsidRPr="00414F3C">
        <w:rPr>
          <w:rFonts w:asciiTheme="majorBidi" w:hAnsiTheme="majorBidi" w:cstheme="majorBidi"/>
          <w:kern w:val="24"/>
          <w:sz w:val="24"/>
          <w:szCs w:val="24"/>
        </w:rPr>
        <w:t>ratique de l’intérêt empêche la</w:t>
      </w:r>
      <w:r w:rsidRPr="00414F3C">
        <w:rPr>
          <w:rFonts w:asciiTheme="majorBidi" w:hAnsiTheme="majorBidi" w:cstheme="majorBidi"/>
          <w:kern w:val="24"/>
          <w:sz w:val="24"/>
          <w:szCs w:val="24"/>
        </w:rPr>
        <w:t xml:space="preserve"> BI d’utiliser les techniques classiques d’atténuation </w:t>
      </w:r>
      <w:r w:rsidR="00E02D18" w:rsidRPr="00414F3C">
        <w:rPr>
          <w:rFonts w:asciiTheme="majorBidi" w:hAnsiTheme="majorBidi" w:cstheme="majorBidi"/>
          <w:kern w:val="24"/>
          <w:sz w:val="24"/>
          <w:szCs w:val="24"/>
        </w:rPr>
        <w:t xml:space="preserve">de risque basées sur l’intérêt, ce qui </w:t>
      </w:r>
      <w:r w:rsidRPr="00414F3C">
        <w:rPr>
          <w:rFonts w:asciiTheme="majorBidi" w:hAnsiTheme="majorBidi" w:cstheme="majorBidi"/>
          <w:kern w:val="24"/>
          <w:sz w:val="24"/>
          <w:szCs w:val="24"/>
        </w:rPr>
        <w:t>rend la gestion Actif-Passif</w:t>
      </w:r>
      <w:r w:rsidRPr="00414F3C">
        <w:rPr>
          <w:rStyle w:val="Appelnotedebasdep"/>
          <w:rFonts w:asciiTheme="majorBidi" w:hAnsiTheme="majorBidi" w:cstheme="majorBidi"/>
          <w:kern w:val="24"/>
          <w:sz w:val="24"/>
          <w:szCs w:val="24"/>
        </w:rPr>
        <w:footnoteReference w:id="266"/>
      </w:r>
      <w:r w:rsidRPr="00414F3C">
        <w:rPr>
          <w:rFonts w:asciiTheme="majorBidi" w:hAnsiTheme="majorBidi" w:cstheme="majorBidi"/>
          <w:kern w:val="24"/>
          <w:sz w:val="24"/>
          <w:szCs w:val="24"/>
        </w:rPr>
        <w:t>plus difficile à cause du non accès aux instruments de taux d’intérêt</w:t>
      </w:r>
      <w:r w:rsidRPr="00414F3C">
        <w:rPr>
          <w:rStyle w:val="Appelnotedebasdep"/>
          <w:rFonts w:asciiTheme="majorBidi" w:hAnsiTheme="majorBidi" w:cstheme="majorBidi"/>
          <w:kern w:val="24"/>
          <w:sz w:val="24"/>
          <w:szCs w:val="24"/>
        </w:rPr>
        <w:footnoteReference w:id="267"/>
      </w:r>
      <w:r w:rsidR="00F12060" w:rsidRPr="00414F3C">
        <w:rPr>
          <w:rFonts w:asciiTheme="majorBidi" w:hAnsiTheme="majorBidi" w:cstheme="majorBidi"/>
          <w:kern w:val="24"/>
          <w:sz w:val="24"/>
          <w:szCs w:val="24"/>
        </w:rPr>
        <w:t> ;</w:t>
      </w:r>
    </w:p>
    <w:p w14:paraId="4030461A" w14:textId="56DCBCFC"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Les restrictions de la vente des dettes par la </w:t>
      </w:r>
      <w:r w:rsidR="00675057" w:rsidRPr="00414F3C">
        <w:rPr>
          <w:rFonts w:asciiTheme="majorBidi" w:hAnsiTheme="majorBidi" w:cstheme="majorBidi"/>
          <w:i/>
          <w:kern w:val="24"/>
          <w:sz w:val="24"/>
          <w:szCs w:val="24"/>
        </w:rPr>
        <w:t>Shariah</w:t>
      </w:r>
      <w:r w:rsidR="00675057"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posent le problème de la conversion des</w:t>
      </w:r>
      <w:r w:rsidR="00F12060" w:rsidRPr="00414F3C">
        <w:rPr>
          <w:rFonts w:asciiTheme="majorBidi" w:hAnsiTheme="majorBidi" w:cstheme="majorBidi"/>
          <w:kern w:val="24"/>
          <w:sz w:val="24"/>
          <w:szCs w:val="24"/>
        </w:rPr>
        <w:t xml:space="preserve"> actifs bancaires en liquidités ;</w:t>
      </w:r>
    </w:p>
    <w:p w14:paraId="16FE2040" w14:textId="77777777"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L’interdiction du </w:t>
      </w:r>
      <w:r w:rsidR="00E41575" w:rsidRPr="00414F3C">
        <w:rPr>
          <w:rFonts w:asciiTheme="majorBidi" w:hAnsiTheme="majorBidi" w:cstheme="majorBidi"/>
          <w:i/>
          <w:iCs/>
          <w:kern w:val="24"/>
          <w:sz w:val="24"/>
          <w:szCs w:val="24"/>
        </w:rPr>
        <w:t>g</w:t>
      </w:r>
      <w:r w:rsidRPr="00414F3C">
        <w:rPr>
          <w:rFonts w:asciiTheme="majorBidi" w:hAnsiTheme="majorBidi" w:cstheme="majorBidi"/>
          <w:i/>
          <w:iCs/>
          <w:kern w:val="24"/>
          <w:sz w:val="24"/>
          <w:szCs w:val="24"/>
        </w:rPr>
        <w:t>harar</w:t>
      </w:r>
      <w:r w:rsidRPr="00414F3C">
        <w:rPr>
          <w:rFonts w:asciiTheme="majorBidi" w:hAnsiTheme="majorBidi" w:cstheme="majorBidi"/>
          <w:kern w:val="24"/>
          <w:sz w:val="24"/>
          <w:szCs w:val="24"/>
        </w:rPr>
        <w:t xml:space="preserve"> et de la spéculation ne permettent pas aux </w:t>
      </w:r>
      <w:r w:rsidR="00E41575" w:rsidRPr="00414F3C">
        <w:rPr>
          <w:rFonts w:asciiTheme="majorBidi" w:hAnsiTheme="majorBidi" w:cstheme="majorBidi"/>
          <w:kern w:val="24"/>
          <w:sz w:val="24"/>
          <w:szCs w:val="24"/>
        </w:rPr>
        <w:t>BI</w:t>
      </w:r>
      <w:r w:rsidRPr="00414F3C">
        <w:rPr>
          <w:rFonts w:asciiTheme="majorBidi" w:hAnsiTheme="majorBidi" w:cstheme="majorBidi"/>
          <w:kern w:val="24"/>
          <w:sz w:val="24"/>
          <w:szCs w:val="24"/>
        </w:rPr>
        <w:t xml:space="preserve"> d’utiliser les produits dérivés. Donc, elles ont peu d’instruments et de techniques pour</w:t>
      </w:r>
      <w:r w:rsidR="00F12060" w:rsidRPr="00414F3C">
        <w:rPr>
          <w:rFonts w:asciiTheme="majorBidi" w:hAnsiTheme="majorBidi" w:cstheme="majorBidi"/>
          <w:kern w:val="24"/>
          <w:sz w:val="24"/>
          <w:szCs w:val="24"/>
        </w:rPr>
        <w:t xml:space="preserve"> couvrir le risque de liquidité ;</w:t>
      </w:r>
    </w:p>
    <w:p w14:paraId="2E27F1B2" w14:textId="77777777" w:rsidR="002760B2" w:rsidRPr="00414F3C" w:rsidRDefault="002760B2"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L’intermédiation bancaire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fait recours au secteur réel pour se procurer la liquidité, à cause du principe d’adossement des transactions bancaires aux actifs tangibles. Dans ce cas, un extra</w:t>
      </w:r>
      <w:r w:rsidR="00370DED"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risque de liquidité appara</w:t>
      </w:r>
      <w:r w:rsidR="00E41575" w:rsidRPr="00414F3C">
        <w:rPr>
          <w:rFonts w:asciiTheme="majorBidi" w:hAnsiTheme="majorBidi" w:cstheme="majorBidi"/>
          <w:kern w:val="24"/>
          <w:sz w:val="24"/>
          <w:szCs w:val="24"/>
        </w:rPr>
        <w:t>î</w:t>
      </w:r>
      <w:r w:rsidR="00E02D18" w:rsidRPr="00414F3C">
        <w:rPr>
          <w:rFonts w:asciiTheme="majorBidi" w:hAnsiTheme="majorBidi" w:cstheme="majorBidi"/>
          <w:kern w:val="24"/>
          <w:sz w:val="24"/>
          <w:szCs w:val="24"/>
        </w:rPr>
        <w:t>t, car, l</w:t>
      </w:r>
      <w:r w:rsidRPr="00414F3C">
        <w:rPr>
          <w:rFonts w:asciiTheme="majorBidi" w:hAnsiTheme="majorBidi" w:cstheme="majorBidi"/>
          <w:kern w:val="24"/>
          <w:sz w:val="24"/>
          <w:szCs w:val="24"/>
        </w:rPr>
        <w:t>a domination de financement basé sur des actifs réels allonge les écarts de liquidité</w:t>
      </w:r>
      <w:r w:rsidRPr="00414F3C">
        <w:rPr>
          <w:rStyle w:val="Appelnotedebasdep"/>
          <w:rFonts w:asciiTheme="majorBidi" w:hAnsiTheme="majorBidi" w:cstheme="majorBidi"/>
          <w:kern w:val="24"/>
          <w:sz w:val="24"/>
          <w:szCs w:val="24"/>
        </w:rPr>
        <w:footnoteReference w:id="268"/>
      </w:r>
      <w:r w:rsidR="00F12060" w:rsidRPr="00414F3C">
        <w:rPr>
          <w:rFonts w:asciiTheme="majorBidi" w:hAnsiTheme="majorBidi" w:cstheme="majorBidi"/>
          <w:kern w:val="24"/>
          <w:sz w:val="24"/>
          <w:szCs w:val="24"/>
        </w:rPr>
        <w:t> ;</w:t>
      </w:r>
    </w:p>
    <w:p w14:paraId="4D700737" w14:textId="77777777" w:rsidR="002760B2" w:rsidRPr="00414F3C" w:rsidRDefault="00E02D18" w:rsidP="00CB0FF1">
      <w:pPr>
        <w:pStyle w:val="Paragraphedeliste"/>
        <w:numPr>
          <w:ilvl w:val="0"/>
          <w:numId w:val="16"/>
        </w:numPr>
        <w:tabs>
          <w:tab w:val="left" w:pos="284"/>
          <w:tab w:val="left" w:pos="851"/>
          <w:tab w:val="left" w:pos="1134"/>
        </w:tabs>
        <w:suppressAutoHyphens/>
        <w:spacing w:before="60" w:line="300" w:lineRule="auto"/>
        <w:ind w:left="1135" w:hanging="284"/>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La BI tend </w:t>
      </w:r>
      <w:r w:rsidR="002760B2" w:rsidRPr="00414F3C">
        <w:rPr>
          <w:rFonts w:asciiTheme="majorBidi" w:hAnsiTheme="majorBidi" w:cstheme="majorBidi"/>
          <w:kern w:val="24"/>
          <w:sz w:val="24"/>
          <w:szCs w:val="24"/>
        </w:rPr>
        <w:t>à avoir une base concentrée de dépôts et d’actifs</w:t>
      </w:r>
      <w:r w:rsidR="002760B2" w:rsidRPr="00414F3C">
        <w:rPr>
          <w:rStyle w:val="Appelnotedebasdep"/>
          <w:rFonts w:asciiTheme="majorBidi" w:hAnsiTheme="majorBidi" w:cstheme="majorBidi"/>
          <w:kern w:val="24"/>
          <w:sz w:val="24"/>
          <w:szCs w:val="24"/>
        </w:rPr>
        <w:footnoteReference w:id="269"/>
      </w:r>
      <w:r w:rsidRPr="00414F3C">
        <w:rPr>
          <w:rFonts w:asciiTheme="majorBidi" w:hAnsiTheme="majorBidi" w:cstheme="majorBidi"/>
          <w:kern w:val="24"/>
          <w:sz w:val="24"/>
          <w:szCs w:val="24"/>
        </w:rPr>
        <w:t>, ce qui</w:t>
      </w:r>
      <w:r w:rsidR="002760B2" w:rsidRPr="00414F3C">
        <w:rPr>
          <w:rFonts w:asciiTheme="majorBidi" w:hAnsiTheme="majorBidi" w:cstheme="majorBidi"/>
          <w:kern w:val="24"/>
          <w:sz w:val="24"/>
          <w:szCs w:val="24"/>
        </w:rPr>
        <w:t xml:space="preserve"> engendre un risque de liquidité exigeant une grande position de liquidité. Une faute d’exploitation des atouts de la diversification géographique et des produits entraîne une vulnérabilité aux chocs cycliques, ce qui augmente le risque de liquidité.</w:t>
      </w:r>
    </w:p>
    <w:p w14:paraId="5DD1A2BE" w14:textId="77777777" w:rsidR="002760B2" w:rsidRPr="00414F3C" w:rsidRDefault="00615EBA"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Selon </w:t>
      </w:r>
      <w:r w:rsidR="002760B2" w:rsidRPr="00414F3C">
        <w:rPr>
          <w:rFonts w:asciiTheme="majorBidi" w:hAnsiTheme="majorBidi" w:cstheme="majorBidi"/>
          <w:smallCaps/>
          <w:kern w:val="24"/>
          <w:sz w:val="24"/>
          <w:szCs w:val="24"/>
        </w:rPr>
        <w:t>Aziz</w:t>
      </w:r>
      <w:r w:rsidR="002760B2" w:rsidRPr="00414F3C">
        <w:rPr>
          <w:rFonts w:asciiTheme="majorBidi" w:hAnsiTheme="majorBidi" w:cstheme="majorBidi"/>
          <w:kern w:val="24"/>
          <w:sz w:val="24"/>
          <w:szCs w:val="24"/>
        </w:rPr>
        <w:t xml:space="preserve"> (2010</w:t>
      </w:r>
      <w:r w:rsidRPr="00414F3C">
        <w:rPr>
          <w:rFonts w:asciiTheme="majorBidi" w:hAnsiTheme="majorBidi" w:cstheme="majorBidi"/>
          <w:kern w:val="24"/>
          <w:sz w:val="24"/>
          <w:szCs w:val="24"/>
        </w:rPr>
        <w:t xml:space="preserve">) : </w:t>
      </w:r>
      <w:r w:rsidR="002760B2" w:rsidRPr="00414F3C">
        <w:rPr>
          <w:rFonts w:asciiTheme="majorBidi" w:hAnsiTheme="majorBidi" w:cstheme="majorBidi"/>
          <w:kern w:val="24"/>
          <w:sz w:val="24"/>
          <w:szCs w:val="24"/>
        </w:rPr>
        <w:t>« </w:t>
      </w:r>
      <w:r w:rsidR="002760B2" w:rsidRPr="00414F3C">
        <w:rPr>
          <w:rFonts w:asciiTheme="majorBidi" w:hAnsiTheme="majorBidi" w:cstheme="majorBidi"/>
          <w:i/>
          <w:iCs/>
          <w:kern w:val="24"/>
          <w:sz w:val="24"/>
          <w:szCs w:val="24"/>
        </w:rPr>
        <w:t xml:space="preserve">les outils de gestion du risque de liquidité dans les institutions financières </w:t>
      </w:r>
      <w:r w:rsidR="00505EDD" w:rsidRPr="00414F3C">
        <w:rPr>
          <w:rFonts w:asciiTheme="majorBidi" w:hAnsiTheme="majorBidi" w:cstheme="majorBidi"/>
          <w:i/>
          <w:kern w:val="24"/>
          <w:sz w:val="24"/>
          <w:szCs w:val="24"/>
        </w:rPr>
        <w:t>i</w:t>
      </w:r>
      <w:r w:rsidR="003773C6" w:rsidRPr="00414F3C">
        <w:rPr>
          <w:rFonts w:asciiTheme="majorBidi" w:hAnsiTheme="majorBidi" w:cstheme="majorBidi"/>
          <w:i/>
          <w:kern w:val="24"/>
          <w:sz w:val="24"/>
          <w:szCs w:val="24"/>
        </w:rPr>
        <w:t>slamique</w:t>
      </w:r>
      <w:r w:rsidR="002760B2" w:rsidRPr="00414F3C">
        <w:rPr>
          <w:rFonts w:asciiTheme="majorBidi" w:hAnsiTheme="majorBidi" w:cstheme="majorBidi"/>
          <w:i/>
          <w:kern w:val="24"/>
          <w:sz w:val="24"/>
          <w:szCs w:val="24"/>
        </w:rPr>
        <w:t>s</w:t>
      </w:r>
      <w:r w:rsidR="002760B2" w:rsidRPr="00414F3C">
        <w:rPr>
          <w:rFonts w:asciiTheme="majorBidi" w:hAnsiTheme="majorBidi" w:cstheme="majorBidi"/>
          <w:i/>
          <w:iCs/>
          <w:kern w:val="24"/>
          <w:sz w:val="24"/>
          <w:szCs w:val="24"/>
        </w:rPr>
        <w:t xml:space="preserve"> sont encore dans leur « petite enfance</w:t>
      </w:r>
      <w:r w:rsidR="002760B2" w:rsidRPr="00414F3C">
        <w:rPr>
          <w:rFonts w:asciiTheme="majorBidi" w:hAnsiTheme="majorBidi" w:cstheme="majorBidi"/>
          <w:kern w:val="24"/>
          <w:sz w:val="24"/>
          <w:szCs w:val="24"/>
        </w:rPr>
        <w:t> »</w:t>
      </w:r>
      <w:r w:rsidR="002760B2" w:rsidRPr="00414F3C">
        <w:rPr>
          <w:rStyle w:val="Appelnotedebasdep"/>
          <w:rFonts w:asciiTheme="majorBidi" w:hAnsiTheme="majorBidi" w:cstheme="majorBidi"/>
          <w:kern w:val="24"/>
          <w:sz w:val="24"/>
          <w:szCs w:val="24"/>
        </w:rPr>
        <w:footnoteReference w:id="270"/>
      </w:r>
      <w:r w:rsidR="002760B2" w:rsidRPr="00414F3C">
        <w:rPr>
          <w:rFonts w:asciiTheme="majorBidi" w:hAnsiTheme="majorBidi" w:cstheme="majorBidi"/>
          <w:kern w:val="24"/>
          <w:sz w:val="24"/>
          <w:szCs w:val="24"/>
        </w:rPr>
        <w:t>.</w:t>
      </w:r>
      <w:r w:rsidR="00BF10BC" w:rsidRPr="00414F3C">
        <w:rPr>
          <w:rFonts w:asciiTheme="majorBidi" w:hAnsiTheme="majorBidi" w:cstheme="majorBidi"/>
          <w:kern w:val="24"/>
          <w:sz w:val="24"/>
          <w:szCs w:val="24"/>
        </w:rPr>
        <w:t xml:space="preserve"> </w:t>
      </w:r>
      <w:r w:rsidR="002760B2" w:rsidRPr="00414F3C">
        <w:rPr>
          <w:rFonts w:asciiTheme="majorBidi" w:hAnsiTheme="majorBidi" w:cstheme="majorBidi"/>
          <w:kern w:val="24"/>
          <w:sz w:val="24"/>
          <w:szCs w:val="24"/>
        </w:rPr>
        <w:t xml:space="preserve">Ces différents obstacles nous mènent à conclure que </w:t>
      </w:r>
      <w:r w:rsidR="00E02D18" w:rsidRPr="00414F3C">
        <w:rPr>
          <w:rFonts w:asciiTheme="majorBidi" w:hAnsiTheme="majorBidi" w:cstheme="majorBidi"/>
          <w:kern w:val="24"/>
          <w:sz w:val="24"/>
          <w:szCs w:val="24"/>
        </w:rPr>
        <w:t>la BI doi</w:t>
      </w:r>
      <w:r w:rsidR="002760B2" w:rsidRPr="00414F3C">
        <w:rPr>
          <w:rFonts w:asciiTheme="majorBidi" w:hAnsiTheme="majorBidi" w:cstheme="majorBidi"/>
          <w:kern w:val="24"/>
          <w:sz w:val="24"/>
          <w:szCs w:val="24"/>
        </w:rPr>
        <w:t>t détenir un stock o</w:t>
      </w:r>
      <w:r w:rsidR="00E02D18" w:rsidRPr="00414F3C">
        <w:rPr>
          <w:rFonts w:asciiTheme="majorBidi" w:hAnsiTheme="majorBidi" w:cstheme="majorBidi"/>
          <w:kern w:val="24"/>
          <w:sz w:val="24"/>
          <w:szCs w:val="24"/>
        </w:rPr>
        <w:t xml:space="preserve">ptimal de liquidité </w:t>
      </w:r>
      <w:r w:rsidR="00732369" w:rsidRPr="00414F3C">
        <w:rPr>
          <w:rFonts w:asciiTheme="majorBidi" w:hAnsiTheme="majorBidi" w:cstheme="majorBidi"/>
          <w:kern w:val="24"/>
          <w:sz w:val="24"/>
          <w:szCs w:val="24"/>
        </w:rPr>
        <w:t>puisqu’elle ne</w:t>
      </w:r>
      <w:r w:rsidR="002760B2" w:rsidRPr="00414F3C">
        <w:rPr>
          <w:rFonts w:asciiTheme="majorBidi" w:hAnsiTheme="majorBidi" w:cstheme="majorBidi"/>
          <w:kern w:val="24"/>
          <w:sz w:val="24"/>
          <w:szCs w:val="24"/>
        </w:rPr>
        <w:t xml:space="preserve"> </w:t>
      </w:r>
      <w:r w:rsidR="00E02D18" w:rsidRPr="00414F3C">
        <w:rPr>
          <w:rFonts w:asciiTheme="majorBidi" w:hAnsiTheme="majorBidi" w:cstheme="majorBidi"/>
          <w:kern w:val="24"/>
          <w:sz w:val="24"/>
          <w:szCs w:val="24"/>
        </w:rPr>
        <w:t>peu</w:t>
      </w:r>
      <w:r w:rsidR="002760B2" w:rsidRPr="00414F3C">
        <w:rPr>
          <w:rFonts w:asciiTheme="majorBidi" w:hAnsiTheme="majorBidi" w:cstheme="majorBidi"/>
          <w:kern w:val="24"/>
          <w:sz w:val="24"/>
          <w:szCs w:val="24"/>
        </w:rPr>
        <w:t xml:space="preserve">t pas recourir au refinancement de la banque </w:t>
      </w:r>
      <w:r w:rsidR="00E02D18" w:rsidRPr="00414F3C">
        <w:rPr>
          <w:rFonts w:asciiTheme="majorBidi" w:hAnsiTheme="majorBidi" w:cstheme="majorBidi"/>
          <w:kern w:val="24"/>
          <w:sz w:val="24"/>
          <w:szCs w:val="24"/>
        </w:rPr>
        <w:t>centrale ou du marché monétaire</w:t>
      </w:r>
      <w:r w:rsidR="002760B2" w:rsidRPr="00414F3C">
        <w:rPr>
          <w:rFonts w:asciiTheme="majorBidi" w:hAnsiTheme="majorBidi" w:cstheme="majorBidi"/>
          <w:kern w:val="24"/>
          <w:sz w:val="24"/>
          <w:szCs w:val="24"/>
        </w:rPr>
        <w:t>. Pour cette raison, l’IFSB (principe 9, 2012) exige que les BI maintiennent une réserve importante de liquidité pour faire face à une longue période de pénurie de liquidité.</w:t>
      </w:r>
    </w:p>
    <w:p w14:paraId="4E5D4417" w14:textId="77777777" w:rsidR="002760B2"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t xml:space="preserve">Une étude menée par </w:t>
      </w:r>
      <w:r w:rsidRPr="00414F3C">
        <w:rPr>
          <w:rFonts w:asciiTheme="majorBidi" w:hAnsiTheme="majorBidi" w:cstheme="majorBidi"/>
          <w:smallCaps/>
          <w:kern w:val="24"/>
          <w:sz w:val="24"/>
          <w:szCs w:val="24"/>
        </w:rPr>
        <w:t>Ben Jedidia</w:t>
      </w:r>
      <w:r w:rsidRPr="00414F3C">
        <w:rPr>
          <w:rFonts w:asciiTheme="majorBidi" w:hAnsiTheme="majorBidi" w:cstheme="majorBidi"/>
          <w:kern w:val="24"/>
          <w:sz w:val="24"/>
          <w:szCs w:val="24"/>
        </w:rPr>
        <w:t xml:space="preserve"> </w:t>
      </w:r>
      <w:r w:rsidR="00560BDB" w:rsidRPr="00414F3C">
        <w:rPr>
          <w:rFonts w:asciiTheme="majorBidi" w:hAnsiTheme="majorBidi" w:cstheme="majorBidi"/>
          <w:kern w:val="24"/>
          <w:sz w:val="24"/>
          <w:szCs w:val="24"/>
        </w:rPr>
        <w:t xml:space="preserve">et </w:t>
      </w:r>
      <w:r w:rsidR="00560BDB" w:rsidRPr="00414F3C">
        <w:rPr>
          <w:rFonts w:asciiTheme="majorBidi" w:hAnsiTheme="majorBidi" w:cstheme="majorBidi"/>
          <w:smallCaps/>
          <w:kern w:val="24"/>
          <w:sz w:val="24"/>
          <w:szCs w:val="24"/>
        </w:rPr>
        <w:t>Jlassi</w:t>
      </w:r>
      <w:r w:rsidR="00560BDB" w:rsidRPr="00414F3C">
        <w:rPr>
          <w:rFonts w:asciiTheme="majorBidi" w:hAnsiTheme="majorBidi" w:cstheme="majorBidi"/>
          <w:kern w:val="24"/>
          <w:sz w:val="24"/>
          <w:szCs w:val="24"/>
        </w:rPr>
        <w:t xml:space="preserve"> </w:t>
      </w:r>
      <w:r w:rsidRPr="00414F3C">
        <w:rPr>
          <w:rFonts w:asciiTheme="majorBidi" w:hAnsiTheme="majorBidi" w:cstheme="majorBidi"/>
          <w:kern w:val="24"/>
          <w:sz w:val="24"/>
          <w:szCs w:val="24"/>
        </w:rPr>
        <w:t>(2013) a pu montrer que le montant optimal de réserves dépend du taux de partage, du taux de refinancement et du taux de rémunération de l’actif</w:t>
      </w:r>
      <w:r w:rsidRPr="00414F3C">
        <w:rPr>
          <w:rStyle w:val="Appelnotedebasdep"/>
          <w:rFonts w:asciiTheme="majorBidi" w:hAnsiTheme="majorBidi" w:cstheme="majorBidi"/>
          <w:kern w:val="24"/>
          <w:sz w:val="24"/>
          <w:szCs w:val="24"/>
        </w:rPr>
        <w:footnoteReference w:id="271"/>
      </w:r>
      <w:r w:rsidRPr="00414F3C">
        <w:rPr>
          <w:rFonts w:asciiTheme="majorBidi" w:hAnsiTheme="majorBidi" w:cstheme="majorBidi"/>
          <w:kern w:val="24"/>
          <w:sz w:val="24"/>
          <w:szCs w:val="24"/>
        </w:rPr>
        <w:t>. L’accroissement du taux de rémunération des dépôts stimule les ressources bancaires, augmente les réserves et réduit la prob</w:t>
      </w:r>
      <w:r w:rsidR="000F4546" w:rsidRPr="00414F3C">
        <w:rPr>
          <w:rFonts w:asciiTheme="majorBidi" w:hAnsiTheme="majorBidi" w:cstheme="majorBidi"/>
          <w:kern w:val="24"/>
          <w:sz w:val="24"/>
          <w:szCs w:val="24"/>
        </w:rPr>
        <w:t>abilité d’illiquidité. Donc, la BI peu</w:t>
      </w:r>
      <w:r w:rsidRPr="00414F3C">
        <w:rPr>
          <w:rFonts w:asciiTheme="majorBidi" w:hAnsiTheme="majorBidi" w:cstheme="majorBidi"/>
          <w:kern w:val="24"/>
          <w:sz w:val="24"/>
          <w:szCs w:val="24"/>
        </w:rPr>
        <w:t>t utiliser les conditions de rémunération de l’actif comme instrument de gestion du risque de liquidité.</w:t>
      </w:r>
    </w:p>
    <w:p w14:paraId="6B0A03DD" w14:textId="77777777" w:rsidR="006E5214" w:rsidRPr="00414F3C" w:rsidRDefault="002760B2" w:rsidP="00414F3C">
      <w:pPr>
        <w:pStyle w:val="Paragraphedeliste"/>
        <w:tabs>
          <w:tab w:val="left" w:pos="0"/>
        </w:tabs>
        <w:suppressAutoHyphens/>
        <w:spacing w:before="120" w:line="300" w:lineRule="auto"/>
        <w:ind w:left="0" w:firstLine="709"/>
        <w:contextualSpacing w:val="0"/>
        <w:rPr>
          <w:rFonts w:asciiTheme="majorBidi" w:hAnsiTheme="majorBidi" w:cstheme="majorBidi"/>
          <w:kern w:val="24"/>
          <w:sz w:val="24"/>
          <w:szCs w:val="24"/>
        </w:rPr>
      </w:pPr>
      <w:r w:rsidRPr="00414F3C">
        <w:rPr>
          <w:rFonts w:asciiTheme="majorBidi" w:hAnsiTheme="majorBidi" w:cstheme="majorBidi"/>
          <w:kern w:val="24"/>
          <w:sz w:val="24"/>
          <w:szCs w:val="24"/>
        </w:rPr>
        <w:lastRenderedPageBreak/>
        <w:t xml:space="preserve">D’autres mesures sont possibles pour atténuer le risque de liquidité. Il est recommandé de créer un marché monétaire </w:t>
      </w:r>
      <w:r w:rsidR="00505EDD" w:rsidRPr="00414F3C">
        <w:rPr>
          <w:rFonts w:asciiTheme="majorBidi" w:hAnsiTheme="majorBidi" w:cstheme="majorBidi"/>
          <w:kern w:val="24"/>
          <w:sz w:val="24"/>
          <w:szCs w:val="24"/>
        </w:rPr>
        <w:t>i</w:t>
      </w:r>
      <w:r w:rsidR="003773C6" w:rsidRPr="00414F3C">
        <w:rPr>
          <w:rFonts w:asciiTheme="majorBidi" w:hAnsiTheme="majorBidi" w:cstheme="majorBidi"/>
          <w:kern w:val="24"/>
          <w:sz w:val="24"/>
          <w:szCs w:val="24"/>
        </w:rPr>
        <w:t>slamique</w:t>
      </w:r>
      <w:r w:rsidRPr="00414F3C">
        <w:rPr>
          <w:rFonts w:asciiTheme="majorBidi" w:hAnsiTheme="majorBidi" w:cstheme="majorBidi"/>
          <w:kern w:val="24"/>
          <w:sz w:val="24"/>
          <w:szCs w:val="24"/>
        </w:rPr>
        <w:t xml:space="preserve"> capable de fournir des instruments interbancaires adaptés. Aussi, comme il est suggéré par </w:t>
      </w:r>
      <w:r w:rsidRPr="00414F3C">
        <w:rPr>
          <w:rFonts w:asciiTheme="majorBidi" w:hAnsiTheme="majorBidi" w:cstheme="majorBidi"/>
          <w:smallCaps/>
          <w:kern w:val="24"/>
          <w:sz w:val="24"/>
          <w:szCs w:val="24"/>
        </w:rPr>
        <w:t>Ahmed</w:t>
      </w:r>
      <w:r w:rsidRPr="00414F3C">
        <w:rPr>
          <w:rFonts w:asciiTheme="majorBidi" w:hAnsiTheme="majorBidi" w:cstheme="majorBidi"/>
          <w:kern w:val="24"/>
          <w:sz w:val="24"/>
          <w:szCs w:val="24"/>
        </w:rPr>
        <w:t xml:space="preserve"> (2008), l’adoption de nouveaux produits de gestion du risque de liquidité comme « </w:t>
      </w:r>
      <w:r w:rsidRPr="00414F3C">
        <w:rPr>
          <w:rFonts w:asciiTheme="majorBidi" w:hAnsiTheme="majorBidi" w:cstheme="majorBidi"/>
          <w:i/>
          <w:iCs/>
          <w:kern w:val="24"/>
          <w:sz w:val="24"/>
          <w:szCs w:val="24"/>
        </w:rPr>
        <w:t>les fonds takaful</w:t>
      </w:r>
      <w:r w:rsidR="004E40F6" w:rsidRPr="00414F3C">
        <w:rPr>
          <w:rFonts w:asciiTheme="majorBidi" w:hAnsiTheme="majorBidi" w:cstheme="majorBidi"/>
          <w:kern w:val="24"/>
        </w:rPr>
        <w:t xml:space="preserve"> </w:t>
      </w:r>
      <w:r w:rsidRPr="00414F3C">
        <w:rPr>
          <w:rFonts w:asciiTheme="majorBidi" w:hAnsiTheme="majorBidi" w:cstheme="majorBidi"/>
          <w:i/>
          <w:iCs/>
          <w:kern w:val="24"/>
          <w:sz w:val="24"/>
          <w:szCs w:val="24"/>
        </w:rPr>
        <w:t>du risque de liquidité</w:t>
      </w:r>
      <w:r w:rsidRPr="00414F3C">
        <w:rPr>
          <w:rFonts w:asciiTheme="majorBidi" w:hAnsiTheme="majorBidi" w:cstheme="majorBidi"/>
          <w:kern w:val="24"/>
          <w:sz w:val="24"/>
          <w:szCs w:val="24"/>
        </w:rPr>
        <w:t> » peut contribuer à une meilleure gestion de ce risque</w:t>
      </w:r>
      <w:r w:rsidRPr="00414F3C">
        <w:rPr>
          <w:rStyle w:val="Appelnotedebasdep"/>
          <w:rFonts w:asciiTheme="majorBidi" w:hAnsiTheme="majorBidi" w:cstheme="majorBidi"/>
          <w:kern w:val="24"/>
          <w:sz w:val="24"/>
          <w:szCs w:val="24"/>
        </w:rPr>
        <w:footnoteReference w:id="272"/>
      </w:r>
      <w:r w:rsidRPr="00414F3C">
        <w:rPr>
          <w:rFonts w:asciiTheme="majorBidi" w:hAnsiTheme="majorBidi" w:cstheme="majorBidi"/>
          <w:kern w:val="24"/>
          <w:sz w:val="24"/>
          <w:szCs w:val="24"/>
        </w:rPr>
        <w:t xml:space="preserve">. Selon </w:t>
      </w:r>
      <w:r w:rsidRPr="00414F3C">
        <w:rPr>
          <w:rFonts w:asciiTheme="majorBidi" w:hAnsiTheme="majorBidi" w:cstheme="majorBidi"/>
          <w:smallCaps/>
          <w:kern w:val="24"/>
          <w:sz w:val="24"/>
          <w:szCs w:val="24"/>
        </w:rPr>
        <w:t>Khan</w:t>
      </w:r>
      <w:r w:rsidRPr="00414F3C">
        <w:rPr>
          <w:rFonts w:asciiTheme="majorBidi" w:hAnsiTheme="majorBidi" w:cstheme="majorBidi"/>
          <w:kern w:val="24"/>
          <w:sz w:val="24"/>
          <w:szCs w:val="24"/>
        </w:rPr>
        <w:t xml:space="preserve"> et </w:t>
      </w:r>
      <w:r w:rsidRPr="00414F3C">
        <w:rPr>
          <w:rFonts w:asciiTheme="majorBidi" w:hAnsiTheme="majorBidi" w:cstheme="majorBidi"/>
          <w:smallCaps/>
          <w:kern w:val="24"/>
          <w:sz w:val="24"/>
          <w:szCs w:val="24"/>
        </w:rPr>
        <w:t>Ahmad</w:t>
      </w:r>
      <w:r w:rsidRPr="00414F3C">
        <w:rPr>
          <w:rFonts w:asciiTheme="majorBidi" w:hAnsiTheme="majorBidi" w:cstheme="majorBidi"/>
          <w:kern w:val="24"/>
          <w:sz w:val="24"/>
          <w:szCs w:val="24"/>
        </w:rPr>
        <w:t xml:space="preserve"> (2002) « </w:t>
      </w:r>
      <w:r w:rsidRPr="00414F3C">
        <w:rPr>
          <w:rFonts w:asciiTheme="majorBidi" w:hAnsiTheme="majorBidi" w:cstheme="majorBidi"/>
          <w:i/>
          <w:iCs/>
          <w:kern w:val="24"/>
          <w:sz w:val="24"/>
          <w:szCs w:val="24"/>
        </w:rPr>
        <w:t xml:space="preserve">en raison de la non-existence du problème de liquidité pour le moment, les banques </w:t>
      </w:r>
      <w:r w:rsidR="00505EDD" w:rsidRPr="00414F3C">
        <w:rPr>
          <w:rFonts w:asciiTheme="majorBidi" w:hAnsiTheme="majorBidi" w:cstheme="majorBidi"/>
          <w:i/>
          <w:kern w:val="24"/>
          <w:sz w:val="24"/>
          <w:szCs w:val="24"/>
        </w:rPr>
        <w:t>i</w:t>
      </w:r>
      <w:r w:rsidR="003773C6" w:rsidRPr="00414F3C">
        <w:rPr>
          <w:rFonts w:asciiTheme="majorBidi" w:hAnsiTheme="majorBidi" w:cstheme="majorBidi"/>
          <w:i/>
          <w:kern w:val="24"/>
          <w:sz w:val="24"/>
          <w:szCs w:val="24"/>
        </w:rPr>
        <w:t>slamique</w:t>
      </w:r>
      <w:r w:rsidRPr="00414F3C">
        <w:rPr>
          <w:rFonts w:asciiTheme="majorBidi" w:hAnsiTheme="majorBidi" w:cstheme="majorBidi"/>
          <w:i/>
          <w:kern w:val="24"/>
          <w:sz w:val="24"/>
          <w:szCs w:val="24"/>
        </w:rPr>
        <w:t>s</w:t>
      </w:r>
      <w:r w:rsidRPr="00414F3C">
        <w:rPr>
          <w:rFonts w:asciiTheme="majorBidi" w:hAnsiTheme="majorBidi" w:cstheme="majorBidi"/>
          <w:i/>
          <w:iCs/>
          <w:kern w:val="24"/>
          <w:sz w:val="24"/>
          <w:szCs w:val="24"/>
        </w:rPr>
        <w:t xml:space="preserve"> ne disposent pas d’un système formel de</w:t>
      </w:r>
      <w:r w:rsidRPr="00414F3C">
        <w:rPr>
          <w:rFonts w:asciiTheme="majorBidi" w:hAnsiTheme="majorBidi" w:cstheme="majorBidi"/>
          <w:kern w:val="24"/>
          <w:sz w:val="24"/>
          <w:szCs w:val="24"/>
        </w:rPr>
        <w:t xml:space="preserve"> </w:t>
      </w:r>
      <w:r w:rsidRPr="00414F3C">
        <w:rPr>
          <w:rFonts w:asciiTheme="majorBidi" w:hAnsiTheme="majorBidi" w:cstheme="majorBidi"/>
          <w:i/>
          <w:iCs/>
          <w:kern w:val="24"/>
          <w:sz w:val="24"/>
          <w:szCs w:val="24"/>
        </w:rPr>
        <w:t>gestion de liquidités. Il existe donc un large potentiel pour développer des instruments financiers</w:t>
      </w:r>
      <w:r w:rsidRPr="00414F3C">
        <w:rPr>
          <w:rFonts w:asciiTheme="majorBidi" w:hAnsiTheme="majorBidi" w:cstheme="majorBidi"/>
          <w:kern w:val="24"/>
          <w:sz w:val="24"/>
          <w:szCs w:val="24"/>
        </w:rPr>
        <w:t xml:space="preserve"> (voir </w:t>
      </w:r>
      <w:r w:rsidR="00560BDB" w:rsidRPr="00414F3C">
        <w:rPr>
          <w:rFonts w:asciiTheme="majorBidi" w:hAnsiTheme="majorBidi" w:cstheme="majorBidi"/>
          <w:kern w:val="24"/>
          <w:sz w:val="24"/>
          <w:szCs w:val="24"/>
        </w:rPr>
        <w:t>t</w:t>
      </w:r>
      <w:r w:rsidRPr="00414F3C">
        <w:rPr>
          <w:rFonts w:asciiTheme="majorBidi" w:hAnsiTheme="majorBidi" w:cstheme="majorBidi"/>
          <w:kern w:val="24"/>
          <w:sz w:val="24"/>
          <w:szCs w:val="24"/>
        </w:rPr>
        <w:t xml:space="preserve">ableau 06 de la liste potentielle de ces instruments) </w:t>
      </w:r>
      <w:r w:rsidRPr="00414F3C">
        <w:rPr>
          <w:rFonts w:asciiTheme="majorBidi" w:hAnsiTheme="majorBidi" w:cstheme="majorBidi"/>
          <w:i/>
          <w:iCs/>
          <w:kern w:val="24"/>
          <w:sz w:val="24"/>
          <w:szCs w:val="24"/>
        </w:rPr>
        <w:t xml:space="preserve">et des marchés qui peuvent absorber cette pléthore de liquidités et générer des bénéfices au profit des banques </w:t>
      </w:r>
      <w:r w:rsidR="00505EDD" w:rsidRPr="00414F3C">
        <w:rPr>
          <w:rFonts w:asciiTheme="majorBidi" w:hAnsiTheme="majorBidi" w:cstheme="majorBidi"/>
          <w:i/>
          <w:kern w:val="24"/>
          <w:sz w:val="24"/>
          <w:szCs w:val="24"/>
        </w:rPr>
        <w:t>i</w:t>
      </w:r>
      <w:r w:rsidR="003773C6" w:rsidRPr="00414F3C">
        <w:rPr>
          <w:rFonts w:asciiTheme="majorBidi" w:hAnsiTheme="majorBidi" w:cstheme="majorBidi"/>
          <w:i/>
          <w:kern w:val="24"/>
          <w:sz w:val="24"/>
          <w:szCs w:val="24"/>
        </w:rPr>
        <w:t>slamique</w:t>
      </w:r>
      <w:r w:rsidRPr="00414F3C">
        <w:rPr>
          <w:rFonts w:asciiTheme="majorBidi" w:hAnsiTheme="majorBidi" w:cstheme="majorBidi"/>
          <w:i/>
          <w:kern w:val="24"/>
          <w:sz w:val="24"/>
          <w:szCs w:val="24"/>
        </w:rPr>
        <w:t>s</w:t>
      </w:r>
      <w:r w:rsidRPr="00414F3C">
        <w:rPr>
          <w:rFonts w:asciiTheme="majorBidi" w:hAnsiTheme="majorBidi" w:cstheme="majorBidi"/>
          <w:kern w:val="24"/>
          <w:sz w:val="24"/>
          <w:szCs w:val="24"/>
        </w:rPr>
        <w:t> »</w:t>
      </w:r>
      <w:r w:rsidRPr="00414F3C">
        <w:rPr>
          <w:rStyle w:val="Appelnotedebasdep"/>
          <w:rFonts w:asciiTheme="majorBidi" w:hAnsiTheme="majorBidi" w:cstheme="majorBidi"/>
          <w:kern w:val="24"/>
          <w:sz w:val="24"/>
          <w:szCs w:val="24"/>
        </w:rPr>
        <w:footnoteReference w:id="273"/>
      </w:r>
      <w:r w:rsidRPr="00414F3C">
        <w:rPr>
          <w:rFonts w:asciiTheme="majorBidi" w:hAnsiTheme="majorBidi" w:cstheme="majorBidi"/>
          <w:kern w:val="24"/>
          <w:sz w:val="24"/>
          <w:szCs w:val="24"/>
        </w:rPr>
        <w:t>.</w:t>
      </w:r>
    </w:p>
    <w:p w14:paraId="7A43297F" w14:textId="456E2D11" w:rsidR="002760B2" w:rsidRPr="002B005F" w:rsidRDefault="00697CCF" w:rsidP="00FE768C">
      <w:pPr>
        <w:keepNext/>
        <w:keepLines/>
        <w:tabs>
          <w:tab w:val="left" w:pos="0"/>
        </w:tabs>
        <w:autoSpaceDE w:val="0"/>
        <w:autoSpaceDN w:val="0"/>
        <w:adjustRightInd w:val="0"/>
        <w:spacing w:before="100" w:beforeAutospacing="1" w:after="120" w:line="300" w:lineRule="auto"/>
        <w:jc w:val="center"/>
        <w:rPr>
          <w:rFonts w:ascii="Times New Roman" w:hAnsi="Times New Roman" w:cs="Times New Roman"/>
          <w:b/>
          <w:bCs/>
          <w:sz w:val="24"/>
          <w:szCs w:val="24"/>
        </w:rPr>
      </w:pPr>
      <w:bookmarkStart w:id="1091" w:name="_Toc115556074"/>
      <w:r w:rsidRPr="002B005F">
        <w:rPr>
          <w:rFonts w:ascii="Times New Roman" w:hAnsi="Times New Roman" w:cs="Times New Roman"/>
          <w:b/>
          <w:bCs/>
          <w:sz w:val="24"/>
          <w:szCs w:val="24"/>
        </w:rPr>
        <w:lastRenderedPageBreak/>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6</w:t>
      </w:r>
      <w:r w:rsidR="00B544E5" w:rsidRPr="002B005F">
        <w:rPr>
          <w:rFonts w:ascii="Times New Roman" w:hAnsi="Times New Roman" w:cs="Times New Roman"/>
          <w:b/>
          <w:bCs/>
          <w:sz w:val="24"/>
          <w:szCs w:val="24"/>
        </w:rPr>
        <w:fldChar w:fldCharType="end"/>
      </w:r>
      <w:r w:rsidR="00FE768C" w:rsidRPr="002B005F">
        <w:rPr>
          <w:rFonts w:ascii="Times New Roman" w:hAnsi="Times New Roman" w:cs="Times New Roman"/>
          <w:b/>
          <w:bCs/>
          <w:sz w:val="24"/>
          <w:szCs w:val="24"/>
        </w:rPr>
        <w:t>-</w:t>
      </w:r>
      <w:r w:rsidRPr="002B005F">
        <w:rPr>
          <w:rFonts w:ascii="Times New Roman" w:hAnsi="Times New Roman" w:cs="Times New Roman"/>
          <w:b/>
          <w:bCs/>
          <w:sz w:val="24"/>
          <w:szCs w:val="24"/>
        </w:rPr>
        <w:t xml:space="preserve"> Instruments financiers </w:t>
      </w:r>
      <w:r w:rsidR="009056FC">
        <w:rPr>
          <w:rFonts w:ascii="Times New Roman" w:hAnsi="Times New Roman" w:cs="Times New Roman"/>
          <w:b/>
          <w:bCs/>
          <w:sz w:val="24"/>
          <w:szCs w:val="24"/>
        </w:rPr>
        <w:t>i</w:t>
      </w:r>
      <w:r w:rsidR="003773C6" w:rsidRPr="002B005F">
        <w:rPr>
          <w:rFonts w:ascii="Times New Roman" w:hAnsi="Times New Roman" w:cs="Times New Roman"/>
          <w:b/>
          <w:bCs/>
          <w:sz w:val="24"/>
          <w:szCs w:val="24"/>
        </w:rPr>
        <w:t>slamique</w:t>
      </w:r>
      <w:r w:rsidRPr="002B005F">
        <w:rPr>
          <w:rFonts w:ascii="Times New Roman" w:hAnsi="Times New Roman" w:cs="Times New Roman"/>
          <w:b/>
          <w:bCs/>
          <w:sz w:val="24"/>
          <w:szCs w:val="24"/>
        </w:rPr>
        <w:t>s de gestion du risque de liquidité</w:t>
      </w:r>
      <w:bookmarkEnd w:id="1091"/>
    </w:p>
    <w:tbl>
      <w:tblPr>
        <w:tblStyle w:val="Grilledutableau"/>
        <w:tblW w:w="9639" w:type="dxa"/>
        <w:tblLook w:val="04A0" w:firstRow="1" w:lastRow="0" w:firstColumn="1" w:lastColumn="0" w:noHBand="0" w:noVBand="1"/>
      </w:tblPr>
      <w:tblGrid>
        <w:gridCol w:w="2470"/>
        <w:gridCol w:w="7169"/>
      </w:tblGrid>
      <w:tr w:rsidR="002760B2" w:rsidRPr="002B005F" w14:paraId="0BE51870" w14:textId="77777777" w:rsidTr="004E40F6">
        <w:trPr>
          <w:trHeight w:val="567"/>
        </w:trPr>
        <w:tc>
          <w:tcPr>
            <w:tcW w:w="2518" w:type="dxa"/>
            <w:vAlign w:val="center"/>
          </w:tcPr>
          <w:p w14:paraId="7D9BE2D8" w14:textId="77777777" w:rsidR="002760B2" w:rsidRPr="002B005F" w:rsidRDefault="002760B2" w:rsidP="00615EBA">
            <w:pPr>
              <w:keepNext/>
              <w:keepLines/>
              <w:tabs>
                <w:tab w:val="left" w:pos="0"/>
              </w:tabs>
              <w:jc w:val="center"/>
              <w:rPr>
                <w:rFonts w:ascii="Times New Roman" w:hAnsi="Times New Roman" w:cs="Times New Roman"/>
                <w:b/>
                <w:bCs/>
              </w:rPr>
            </w:pPr>
            <w:r w:rsidRPr="002B005F">
              <w:rPr>
                <w:rFonts w:ascii="Times New Roman" w:hAnsi="Times New Roman" w:cs="Times New Roman"/>
                <w:b/>
                <w:bCs/>
              </w:rPr>
              <w:t>Certificat</w:t>
            </w:r>
          </w:p>
        </w:tc>
        <w:tc>
          <w:tcPr>
            <w:tcW w:w="7513" w:type="dxa"/>
            <w:vAlign w:val="center"/>
          </w:tcPr>
          <w:p w14:paraId="605A8675" w14:textId="77777777" w:rsidR="002760B2" w:rsidRPr="002B005F" w:rsidRDefault="002760B2" w:rsidP="00FE768C">
            <w:pPr>
              <w:keepNext/>
              <w:keepLines/>
              <w:tabs>
                <w:tab w:val="left" w:pos="0"/>
              </w:tabs>
              <w:jc w:val="center"/>
              <w:rPr>
                <w:rFonts w:ascii="Times New Roman" w:hAnsi="Times New Roman" w:cs="Times New Roman"/>
                <w:b/>
                <w:bCs/>
              </w:rPr>
            </w:pPr>
            <w:r w:rsidRPr="002B005F">
              <w:rPr>
                <w:rFonts w:ascii="Times New Roman" w:hAnsi="Times New Roman" w:cs="Times New Roman"/>
                <w:b/>
                <w:bCs/>
              </w:rPr>
              <w:t>Description brève</w:t>
            </w:r>
          </w:p>
        </w:tc>
      </w:tr>
      <w:tr w:rsidR="002760B2" w:rsidRPr="002B005F" w14:paraId="0325234C" w14:textId="77777777" w:rsidTr="004E40F6">
        <w:trPr>
          <w:trHeight w:val="567"/>
        </w:trPr>
        <w:tc>
          <w:tcPr>
            <w:tcW w:w="2518" w:type="dxa"/>
            <w:vAlign w:val="center"/>
          </w:tcPr>
          <w:p w14:paraId="6EE743AC"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Certificats de participation dégressive</w:t>
            </w:r>
          </w:p>
        </w:tc>
        <w:tc>
          <w:tcPr>
            <w:tcW w:w="7513" w:type="dxa"/>
            <w:vAlign w:val="center"/>
          </w:tcPr>
          <w:p w14:paraId="391C0629" w14:textId="77777777" w:rsidR="002760B2" w:rsidRPr="002B005F" w:rsidRDefault="009056FC" w:rsidP="00FE768C">
            <w:pPr>
              <w:keepNext/>
              <w:keepLines/>
              <w:tabs>
                <w:tab w:val="left" w:pos="0"/>
              </w:tabs>
              <w:rPr>
                <w:rFonts w:ascii="Times New Roman" w:hAnsi="Times New Roman" w:cs="Times New Roman"/>
              </w:rPr>
            </w:pPr>
            <w:r>
              <w:rPr>
                <w:rFonts w:ascii="Times New Roman" w:hAnsi="Times New Roman" w:cs="Times New Roman"/>
              </w:rPr>
              <w:t xml:space="preserve">Certificats </w:t>
            </w:r>
            <w:r w:rsidRPr="009056FC">
              <w:rPr>
                <w:rFonts w:ascii="Times New Roman" w:hAnsi="Times New Roman" w:cs="Times New Roman"/>
                <w:i/>
                <w:iCs/>
              </w:rPr>
              <w:t>m</w:t>
            </w:r>
            <w:r w:rsidR="002760B2" w:rsidRPr="009056FC">
              <w:rPr>
                <w:rFonts w:ascii="Times New Roman" w:hAnsi="Times New Roman" w:cs="Times New Roman"/>
                <w:i/>
                <w:iCs/>
              </w:rPr>
              <w:t>oucharaka</w:t>
            </w:r>
            <w:r w:rsidR="002760B2" w:rsidRPr="002B005F">
              <w:rPr>
                <w:rFonts w:ascii="Times New Roman" w:hAnsi="Times New Roman" w:cs="Times New Roman"/>
              </w:rPr>
              <w:t xml:space="preserve"> remboursables conçus pour procurer des fonds aux sociétés </w:t>
            </w:r>
            <w:r w:rsidRPr="009056FC">
              <w:rPr>
                <w:rFonts w:ascii="Times New Roman" w:hAnsi="Times New Roman" w:cs="Times New Roman"/>
                <w:i/>
                <w:iCs/>
              </w:rPr>
              <w:t>m</w:t>
            </w:r>
            <w:r w:rsidR="004A4E16" w:rsidRPr="009056FC">
              <w:rPr>
                <w:rFonts w:ascii="Times New Roman" w:hAnsi="Times New Roman" w:cs="Times New Roman"/>
                <w:i/>
                <w:iCs/>
              </w:rPr>
              <w:t>oudaraba</w:t>
            </w:r>
            <w:r w:rsidR="002760B2" w:rsidRPr="002B005F">
              <w:rPr>
                <w:rFonts w:ascii="Times New Roman" w:hAnsi="Times New Roman" w:cs="Times New Roman"/>
              </w:rPr>
              <w:t xml:space="preserve"> au Pakistan.</w:t>
            </w:r>
          </w:p>
        </w:tc>
      </w:tr>
      <w:tr w:rsidR="002760B2" w:rsidRPr="002B005F" w14:paraId="003E98BB" w14:textId="77777777" w:rsidTr="004E40F6">
        <w:trPr>
          <w:trHeight w:val="567"/>
        </w:trPr>
        <w:tc>
          <w:tcPr>
            <w:tcW w:w="2518" w:type="dxa"/>
            <w:vAlign w:val="center"/>
          </w:tcPr>
          <w:p w14:paraId="42C7CA44"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 xml:space="preserve">Certificats de dépôts </w:t>
            </w:r>
            <w:r w:rsidR="009056FC">
              <w:rPr>
                <w:rFonts w:ascii="Times New Roman" w:hAnsi="Times New Roman" w:cs="Times New Roman"/>
              </w:rPr>
              <w:t>i</w:t>
            </w:r>
            <w:r w:rsidR="003773C6" w:rsidRPr="002B005F">
              <w:rPr>
                <w:rFonts w:ascii="Times New Roman" w:hAnsi="Times New Roman" w:cs="Times New Roman"/>
              </w:rPr>
              <w:t>slamique</w:t>
            </w:r>
            <w:r w:rsidRPr="002B005F">
              <w:rPr>
                <w:rFonts w:ascii="Times New Roman" w:hAnsi="Times New Roman" w:cs="Times New Roman"/>
              </w:rPr>
              <w:t>s</w:t>
            </w:r>
          </w:p>
        </w:tc>
        <w:tc>
          <w:tcPr>
            <w:tcW w:w="7513" w:type="dxa"/>
            <w:vAlign w:val="center"/>
          </w:tcPr>
          <w:p w14:paraId="05A75A44"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Basés sur le principe d</w:t>
            </w:r>
            <w:r w:rsidR="009056FC">
              <w:rPr>
                <w:rFonts w:ascii="Times New Roman" w:hAnsi="Times New Roman" w:cs="Times New Roman"/>
              </w:rPr>
              <w:t>e</w:t>
            </w:r>
            <w:r w:rsidRPr="002B005F">
              <w:rPr>
                <w:rFonts w:ascii="Times New Roman" w:hAnsi="Times New Roman" w:cs="Times New Roman"/>
              </w:rPr>
              <w:t xml:space="preserve"> la </w:t>
            </w:r>
            <w:r w:rsidR="009056FC" w:rsidRPr="009056FC">
              <w:rPr>
                <w:rFonts w:ascii="Times New Roman" w:hAnsi="Times New Roman" w:cs="Times New Roman"/>
                <w:i/>
                <w:iCs/>
              </w:rPr>
              <w:t>m</w:t>
            </w:r>
            <w:r w:rsidR="004A4E16" w:rsidRPr="009056FC">
              <w:rPr>
                <w:rFonts w:ascii="Times New Roman" w:hAnsi="Times New Roman" w:cs="Times New Roman"/>
                <w:i/>
                <w:iCs/>
              </w:rPr>
              <w:t>oudaraba</w:t>
            </w:r>
            <w:r w:rsidRPr="002B005F">
              <w:rPr>
                <w:rFonts w:ascii="Times New Roman" w:hAnsi="Times New Roman" w:cs="Times New Roman"/>
              </w:rPr>
              <w:t>, les fonds générés par ces certificats sont investis par l’institution émettrice dans différents projets.</w:t>
            </w:r>
          </w:p>
        </w:tc>
      </w:tr>
      <w:tr w:rsidR="002760B2" w:rsidRPr="002B005F" w14:paraId="1CC6CFDB" w14:textId="77777777" w:rsidTr="004E40F6">
        <w:trPr>
          <w:trHeight w:val="567"/>
        </w:trPr>
        <w:tc>
          <w:tcPr>
            <w:tcW w:w="2518" w:type="dxa"/>
            <w:vAlign w:val="center"/>
          </w:tcPr>
          <w:p w14:paraId="7C75EFFB"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Certificats de vente à versements échelonnés</w:t>
            </w:r>
          </w:p>
        </w:tc>
        <w:tc>
          <w:tcPr>
            <w:tcW w:w="7513" w:type="dxa"/>
            <w:vAlign w:val="center"/>
          </w:tcPr>
          <w:p w14:paraId="53847D46"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Ces certificats sont proposés pour financer de gros achats par un pool de petits épargnants. Le certificat représente le montant pr</w:t>
            </w:r>
            <w:r w:rsidR="009056FC">
              <w:rPr>
                <w:rFonts w:ascii="Times New Roman" w:hAnsi="Times New Roman" w:cs="Times New Roman"/>
              </w:rPr>
              <w:t xml:space="preserve">incipal investi plus une marge </w:t>
            </w:r>
            <w:r w:rsidR="009056FC" w:rsidRPr="009056FC">
              <w:rPr>
                <w:rFonts w:ascii="Times New Roman" w:hAnsi="Times New Roman" w:cs="Times New Roman"/>
                <w:i/>
                <w:iCs/>
              </w:rPr>
              <w:t>m</w:t>
            </w:r>
            <w:r w:rsidRPr="009056FC">
              <w:rPr>
                <w:rFonts w:ascii="Times New Roman" w:hAnsi="Times New Roman" w:cs="Times New Roman"/>
                <w:i/>
                <w:iCs/>
              </w:rPr>
              <w:t>ourabaha</w:t>
            </w:r>
            <w:r w:rsidRPr="002B005F">
              <w:rPr>
                <w:rFonts w:ascii="Times New Roman" w:hAnsi="Times New Roman" w:cs="Times New Roman"/>
              </w:rPr>
              <w:t>. Ils sont beaucoup plus utilisés en Malaisie comme certificats de dettes.</w:t>
            </w:r>
          </w:p>
        </w:tc>
      </w:tr>
      <w:tr w:rsidR="002760B2" w:rsidRPr="002B005F" w14:paraId="0F250F20" w14:textId="77777777" w:rsidTr="004E40F6">
        <w:trPr>
          <w:trHeight w:val="567"/>
        </w:trPr>
        <w:tc>
          <w:tcPr>
            <w:tcW w:w="2518" w:type="dxa"/>
            <w:vAlign w:val="center"/>
          </w:tcPr>
          <w:p w14:paraId="1220CDD7"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 xml:space="preserve">Certificats d’investissement </w:t>
            </w:r>
            <w:r w:rsidR="009056FC">
              <w:rPr>
                <w:rFonts w:ascii="Times New Roman" w:hAnsi="Times New Roman" w:cs="Times New Roman"/>
              </w:rPr>
              <w:t>i</w:t>
            </w:r>
            <w:r w:rsidR="003773C6" w:rsidRPr="002B005F">
              <w:rPr>
                <w:rFonts w:ascii="Times New Roman" w:hAnsi="Times New Roman" w:cs="Times New Roman"/>
              </w:rPr>
              <w:t>slamique</w:t>
            </w:r>
            <w:r w:rsidRPr="002B005F">
              <w:rPr>
                <w:rFonts w:ascii="Times New Roman" w:hAnsi="Times New Roman" w:cs="Times New Roman"/>
              </w:rPr>
              <w:t>s</w:t>
            </w:r>
          </w:p>
        </w:tc>
        <w:tc>
          <w:tcPr>
            <w:tcW w:w="7513" w:type="dxa"/>
            <w:vAlign w:val="center"/>
          </w:tcPr>
          <w:p w14:paraId="0F857D50"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 xml:space="preserve">Analogues aux certificats de dépôts </w:t>
            </w:r>
            <w:r w:rsidR="00B27371">
              <w:rPr>
                <w:rFonts w:ascii="Times New Roman" w:hAnsi="Times New Roman" w:cs="Times New Roman"/>
              </w:rPr>
              <w:t>i</w:t>
            </w:r>
            <w:r w:rsidR="003773C6" w:rsidRPr="002B005F">
              <w:rPr>
                <w:rFonts w:ascii="Times New Roman" w:hAnsi="Times New Roman" w:cs="Times New Roman"/>
              </w:rPr>
              <w:t>slamique</w:t>
            </w:r>
            <w:r w:rsidRPr="002B005F">
              <w:rPr>
                <w:rFonts w:ascii="Times New Roman" w:hAnsi="Times New Roman" w:cs="Times New Roman"/>
              </w:rPr>
              <w:t>s, mais les fonds générés sont destinés à financer un projet bien spécifique.</w:t>
            </w:r>
          </w:p>
        </w:tc>
      </w:tr>
      <w:tr w:rsidR="002760B2" w:rsidRPr="002B005F" w14:paraId="5828FF1C" w14:textId="77777777" w:rsidTr="004E40F6">
        <w:trPr>
          <w:trHeight w:val="567"/>
        </w:trPr>
        <w:tc>
          <w:tcPr>
            <w:tcW w:w="2518" w:type="dxa"/>
            <w:vAlign w:val="center"/>
          </w:tcPr>
          <w:p w14:paraId="1BC206C9"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Certificats de dettes istisna</w:t>
            </w:r>
            <w:r w:rsidR="00A271FD" w:rsidRPr="002B005F">
              <w:rPr>
                <w:rFonts w:ascii="Times New Roman" w:hAnsi="Times New Roman" w:cs="Times New Roman"/>
              </w:rPr>
              <w:t>’</w:t>
            </w:r>
          </w:p>
        </w:tc>
        <w:tc>
          <w:tcPr>
            <w:tcW w:w="7513" w:type="dxa"/>
            <w:vAlign w:val="center"/>
          </w:tcPr>
          <w:p w14:paraId="7D8AFD6B"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 xml:space="preserve">Comme pour les certificats de vente à versements échelonnés, ces certificats représentent le montant principal des investisseurs engagé dans un </w:t>
            </w:r>
            <w:r w:rsidR="00A271FD" w:rsidRPr="002B005F">
              <w:rPr>
                <w:rFonts w:ascii="Times New Roman" w:hAnsi="Times New Roman" w:cs="Times New Roman"/>
              </w:rPr>
              <w:t xml:space="preserve">projet </w:t>
            </w:r>
            <w:r w:rsidR="00A271FD" w:rsidRPr="006317AD">
              <w:rPr>
                <w:rFonts w:ascii="Times New Roman" w:hAnsi="Times New Roman" w:cs="Times New Roman"/>
                <w:i/>
                <w:iCs/>
              </w:rPr>
              <w:t>istisna’</w:t>
            </w:r>
            <w:r w:rsidR="00A271FD" w:rsidRPr="002B005F">
              <w:rPr>
                <w:rFonts w:ascii="Times New Roman" w:hAnsi="Times New Roman" w:cs="Times New Roman"/>
              </w:rPr>
              <w:t xml:space="preserve"> plus le revenu </w:t>
            </w:r>
            <w:r w:rsidR="00A271FD" w:rsidRPr="00B27371">
              <w:rPr>
                <w:rFonts w:ascii="Times New Roman" w:hAnsi="Times New Roman" w:cs="Times New Roman"/>
                <w:i/>
                <w:iCs/>
              </w:rPr>
              <w:t>m</w:t>
            </w:r>
            <w:r w:rsidRPr="00B27371">
              <w:rPr>
                <w:rFonts w:ascii="Times New Roman" w:hAnsi="Times New Roman" w:cs="Times New Roman"/>
                <w:i/>
                <w:iCs/>
              </w:rPr>
              <w:t>ourabaha</w:t>
            </w:r>
            <w:r w:rsidRPr="002B005F">
              <w:rPr>
                <w:rFonts w:ascii="Times New Roman" w:hAnsi="Times New Roman" w:cs="Times New Roman"/>
              </w:rPr>
              <w:t>. Il est proposé pour le financement de projets d’infrastructure.</w:t>
            </w:r>
          </w:p>
        </w:tc>
      </w:tr>
      <w:tr w:rsidR="002760B2" w:rsidRPr="002B005F" w14:paraId="21E6BB25" w14:textId="77777777" w:rsidTr="004E40F6">
        <w:trPr>
          <w:trHeight w:val="567"/>
        </w:trPr>
        <w:tc>
          <w:tcPr>
            <w:tcW w:w="2518" w:type="dxa"/>
            <w:vAlign w:val="center"/>
          </w:tcPr>
          <w:p w14:paraId="37CFBE26"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Certificats de crédit-bail (leasing)</w:t>
            </w:r>
          </w:p>
        </w:tc>
        <w:tc>
          <w:tcPr>
            <w:tcW w:w="7513" w:type="dxa"/>
            <w:vAlign w:val="center"/>
          </w:tcPr>
          <w:p w14:paraId="37BE7DA4"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Le certificat de leasing représente la jouissance de l’usufruit de l’objet loué contre paiement d’une rente fixe. Puisque l’usufruit est négociable, ce certificat peut être acheté et vendu.</w:t>
            </w:r>
          </w:p>
        </w:tc>
      </w:tr>
      <w:tr w:rsidR="002760B2" w:rsidRPr="002B005F" w14:paraId="64E1F9E2" w14:textId="77777777" w:rsidTr="004E40F6">
        <w:trPr>
          <w:trHeight w:val="567"/>
        </w:trPr>
        <w:tc>
          <w:tcPr>
            <w:tcW w:w="2518" w:type="dxa"/>
            <w:vAlign w:val="center"/>
          </w:tcPr>
          <w:p w14:paraId="2BA6479E"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 xml:space="preserve">Certificats </w:t>
            </w:r>
            <w:r w:rsidR="00A271FD" w:rsidRPr="009056FC">
              <w:rPr>
                <w:rFonts w:ascii="Times New Roman" w:hAnsi="Times New Roman" w:cs="Times New Roman"/>
                <w:i/>
                <w:iCs/>
              </w:rPr>
              <w:t>m</w:t>
            </w:r>
            <w:r w:rsidR="004A4E16" w:rsidRPr="009056FC">
              <w:rPr>
                <w:rFonts w:ascii="Times New Roman" w:hAnsi="Times New Roman" w:cs="Times New Roman"/>
                <w:i/>
                <w:iCs/>
              </w:rPr>
              <w:t>oudaraba</w:t>
            </w:r>
          </w:p>
        </w:tc>
        <w:tc>
          <w:tcPr>
            <w:tcW w:w="7513" w:type="dxa"/>
            <w:vAlign w:val="center"/>
          </w:tcPr>
          <w:p w14:paraId="251655B0"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 xml:space="preserve">Le certificat </w:t>
            </w:r>
            <w:r w:rsidR="00A271FD" w:rsidRPr="00B27371">
              <w:rPr>
                <w:rFonts w:ascii="Times New Roman" w:hAnsi="Times New Roman" w:cs="Times New Roman"/>
                <w:i/>
                <w:iCs/>
              </w:rPr>
              <w:t>m</w:t>
            </w:r>
            <w:r w:rsidR="004A4E16" w:rsidRPr="00B27371">
              <w:rPr>
                <w:rFonts w:ascii="Times New Roman" w:hAnsi="Times New Roman" w:cs="Times New Roman"/>
                <w:i/>
                <w:iCs/>
              </w:rPr>
              <w:t>oudaraba</w:t>
            </w:r>
            <w:r w:rsidRPr="002B005F">
              <w:rPr>
                <w:rFonts w:ascii="Times New Roman" w:hAnsi="Times New Roman" w:cs="Times New Roman"/>
              </w:rPr>
              <w:t xml:space="preserve"> représente la participation dans les bénéfices d’une société sans avoir le droit de vote.</w:t>
            </w:r>
          </w:p>
        </w:tc>
      </w:tr>
      <w:tr w:rsidR="002760B2" w:rsidRPr="002B005F" w14:paraId="31AAB079" w14:textId="77777777" w:rsidTr="004E40F6">
        <w:trPr>
          <w:trHeight w:val="567"/>
        </w:trPr>
        <w:tc>
          <w:tcPr>
            <w:tcW w:w="2518" w:type="dxa"/>
            <w:vAlign w:val="center"/>
          </w:tcPr>
          <w:p w14:paraId="4C3C2EBD"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 xml:space="preserve">Certificats </w:t>
            </w:r>
            <w:r w:rsidR="00FE768C" w:rsidRPr="009056FC">
              <w:rPr>
                <w:rFonts w:ascii="Times New Roman" w:hAnsi="Times New Roman" w:cs="Times New Roman"/>
                <w:i/>
                <w:iCs/>
              </w:rPr>
              <w:t>mouqarada</w:t>
            </w:r>
          </w:p>
        </w:tc>
        <w:tc>
          <w:tcPr>
            <w:tcW w:w="7513" w:type="dxa"/>
            <w:vAlign w:val="center"/>
          </w:tcPr>
          <w:p w14:paraId="3BD9E81F"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 xml:space="preserve">C’est un certificat hybride entre certificat </w:t>
            </w:r>
            <w:r w:rsidR="00A271FD" w:rsidRPr="002B005F">
              <w:rPr>
                <w:rFonts w:ascii="Times New Roman" w:hAnsi="Times New Roman" w:cs="Times New Roman"/>
              </w:rPr>
              <w:t>m</w:t>
            </w:r>
            <w:r w:rsidR="004A4E16" w:rsidRPr="002B005F">
              <w:rPr>
                <w:rFonts w:ascii="Times New Roman" w:hAnsi="Times New Roman" w:cs="Times New Roman"/>
              </w:rPr>
              <w:t>oudaraba</w:t>
            </w:r>
            <w:r w:rsidRPr="002B005F">
              <w:rPr>
                <w:rFonts w:ascii="Times New Roman" w:hAnsi="Times New Roman" w:cs="Times New Roman"/>
              </w:rPr>
              <w:t xml:space="preserve"> et certificat à participation dégressive émis par le gouvernement pour financer des projets d’utilité publique. Une loi sur les certificats </w:t>
            </w:r>
            <w:r w:rsidR="00FE768C" w:rsidRPr="006317AD">
              <w:rPr>
                <w:rFonts w:ascii="Times New Roman" w:hAnsi="Times New Roman" w:cs="Times New Roman"/>
                <w:i/>
                <w:iCs/>
              </w:rPr>
              <w:t>mouqarada</w:t>
            </w:r>
            <w:r w:rsidRPr="002B005F">
              <w:rPr>
                <w:rFonts w:ascii="Times New Roman" w:hAnsi="Times New Roman" w:cs="Times New Roman"/>
              </w:rPr>
              <w:t xml:space="preserve"> a été promulguée en Jordanie au début des années 80, mais ces certificats n’ont jamais vu le jour</w:t>
            </w:r>
            <w:r w:rsidR="006317AD">
              <w:rPr>
                <w:rFonts w:ascii="Times New Roman" w:hAnsi="Times New Roman" w:cs="Times New Roman"/>
              </w:rPr>
              <w:t>.</w:t>
            </w:r>
          </w:p>
        </w:tc>
      </w:tr>
      <w:tr w:rsidR="002760B2" w:rsidRPr="002B005F" w14:paraId="2876D1F3" w14:textId="77777777" w:rsidTr="004E40F6">
        <w:trPr>
          <w:trHeight w:val="567"/>
        </w:trPr>
        <w:tc>
          <w:tcPr>
            <w:tcW w:w="2518" w:type="dxa"/>
            <w:vAlign w:val="center"/>
          </w:tcPr>
          <w:p w14:paraId="7C40E92C" w14:textId="77777777" w:rsidR="002760B2" w:rsidRPr="002B005F" w:rsidRDefault="00A271FD" w:rsidP="00FE768C">
            <w:pPr>
              <w:keepNext/>
              <w:keepLines/>
              <w:tabs>
                <w:tab w:val="left" w:pos="0"/>
              </w:tabs>
              <w:jc w:val="center"/>
              <w:rPr>
                <w:rFonts w:ascii="Times New Roman" w:hAnsi="Times New Roman" w:cs="Times New Roman"/>
              </w:rPr>
            </w:pPr>
            <w:r w:rsidRPr="002B005F">
              <w:rPr>
                <w:rFonts w:ascii="Times New Roman" w:hAnsi="Times New Roman" w:cs="Times New Roman"/>
              </w:rPr>
              <w:t xml:space="preserve">Certificats </w:t>
            </w:r>
            <w:r w:rsidRPr="009056FC">
              <w:rPr>
                <w:rFonts w:ascii="Times New Roman" w:hAnsi="Times New Roman" w:cs="Times New Roman"/>
                <w:i/>
                <w:iCs/>
              </w:rPr>
              <w:t>m</w:t>
            </w:r>
            <w:r w:rsidR="002760B2" w:rsidRPr="009056FC">
              <w:rPr>
                <w:rFonts w:ascii="Times New Roman" w:hAnsi="Times New Roman" w:cs="Times New Roman"/>
                <w:i/>
                <w:iCs/>
              </w:rPr>
              <w:t>oucharaka</w:t>
            </w:r>
          </w:p>
        </w:tc>
        <w:tc>
          <w:tcPr>
            <w:tcW w:w="7513" w:type="dxa"/>
            <w:vAlign w:val="center"/>
          </w:tcPr>
          <w:p w14:paraId="613E274E" w14:textId="77777777" w:rsidR="002760B2" w:rsidRPr="002B005F" w:rsidRDefault="00B27371" w:rsidP="00615EBA">
            <w:pPr>
              <w:keepNext/>
              <w:keepLines/>
              <w:tabs>
                <w:tab w:val="left" w:pos="0"/>
              </w:tabs>
              <w:rPr>
                <w:rFonts w:ascii="Times New Roman" w:hAnsi="Times New Roman" w:cs="Times New Roman"/>
              </w:rPr>
            </w:pPr>
            <w:r>
              <w:rPr>
                <w:rFonts w:ascii="Times New Roman" w:hAnsi="Times New Roman" w:cs="Times New Roman"/>
              </w:rPr>
              <w:t xml:space="preserve">Les certificats </w:t>
            </w:r>
            <w:r w:rsidRPr="00B27371">
              <w:rPr>
                <w:rFonts w:ascii="Times New Roman" w:hAnsi="Times New Roman" w:cs="Times New Roman"/>
                <w:i/>
                <w:iCs/>
              </w:rPr>
              <w:t>m</w:t>
            </w:r>
            <w:r w:rsidR="002760B2" w:rsidRPr="00B27371">
              <w:rPr>
                <w:rFonts w:ascii="Times New Roman" w:hAnsi="Times New Roman" w:cs="Times New Roman"/>
                <w:i/>
                <w:iCs/>
              </w:rPr>
              <w:t>oucharaka</w:t>
            </w:r>
            <w:r w:rsidR="002760B2" w:rsidRPr="002B005F">
              <w:rPr>
                <w:rFonts w:ascii="Times New Roman" w:hAnsi="Times New Roman" w:cs="Times New Roman"/>
              </w:rPr>
              <w:t xml:space="preserve"> sont des actions ordinaires de sociétés opérant selon les règles de la </w:t>
            </w:r>
            <w:r w:rsidR="00615EBA">
              <w:rPr>
                <w:rFonts w:ascii="Times New Roman" w:hAnsi="Times New Roman" w:cs="Times New Roman"/>
                <w:i/>
                <w:iCs/>
              </w:rPr>
              <w:t>c</w:t>
            </w:r>
            <w:r w:rsidR="002760B2" w:rsidRPr="00B27371">
              <w:rPr>
                <w:rFonts w:ascii="Times New Roman" w:hAnsi="Times New Roman" w:cs="Times New Roman"/>
                <w:i/>
                <w:iCs/>
              </w:rPr>
              <w:t>hari’a</w:t>
            </w:r>
            <w:r w:rsidR="002760B2" w:rsidRPr="002B005F">
              <w:rPr>
                <w:rFonts w:ascii="Times New Roman" w:hAnsi="Times New Roman" w:cs="Times New Roman"/>
              </w:rPr>
              <w:t>. Ces certificats ont été émis par le gouvernement iranien pour le financement de projets d’infrastructure. Au Soudan, en revanche, ils sont utilisés comme instruments de la politique monétaire.</w:t>
            </w:r>
          </w:p>
        </w:tc>
      </w:tr>
      <w:tr w:rsidR="002760B2" w:rsidRPr="002B005F" w14:paraId="40993B6B" w14:textId="77777777" w:rsidTr="004E40F6">
        <w:trPr>
          <w:trHeight w:val="567"/>
        </w:trPr>
        <w:tc>
          <w:tcPr>
            <w:tcW w:w="2518" w:type="dxa"/>
            <w:vAlign w:val="center"/>
          </w:tcPr>
          <w:p w14:paraId="71611F5B"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Certificats de participation nationale (CPN)</w:t>
            </w:r>
          </w:p>
        </w:tc>
        <w:tc>
          <w:tcPr>
            <w:tcW w:w="7513" w:type="dxa"/>
            <w:vAlign w:val="center"/>
          </w:tcPr>
          <w:p w14:paraId="35FCDC39"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Les CPN ont été proposés par les experts du FMI comme instruments de mobilisation des ressources pour le secteur public. Ils sont basés sur le concept des certific</w:t>
            </w:r>
            <w:r w:rsidR="00A271FD" w:rsidRPr="002B005F">
              <w:rPr>
                <w:rFonts w:ascii="Times New Roman" w:hAnsi="Times New Roman" w:cs="Times New Roman"/>
              </w:rPr>
              <w:t xml:space="preserve">ats </w:t>
            </w:r>
            <w:r w:rsidR="00A271FD" w:rsidRPr="00B27371">
              <w:rPr>
                <w:rFonts w:ascii="Times New Roman" w:hAnsi="Times New Roman" w:cs="Times New Roman"/>
                <w:i/>
                <w:iCs/>
              </w:rPr>
              <w:t>m</w:t>
            </w:r>
            <w:r w:rsidRPr="00B27371">
              <w:rPr>
                <w:rFonts w:ascii="Times New Roman" w:hAnsi="Times New Roman" w:cs="Times New Roman"/>
                <w:i/>
                <w:iCs/>
              </w:rPr>
              <w:t>oucharaka</w:t>
            </w:r>
            <w:r w:rsidRPr="002B005F">
              <w:rPr>
                <w:rFonts w:ascii="Times New Roman" w:hAnsi="Times New Roman" w:cs="Times New Roman"/>
              </w:rPr>
              <w:t xml:space="preserve"> et sont utilisés en Iran. Ils sont supposés représenter un titre de propriété dans le secteur public d’un pays donné.</w:t>
            </w:r>
          </w:p>
        </w:tc>
      </w:tr>
      <w:tr w:rsidR="002760B2" w:rsidRPr="002B005F" w14:paraId="316CD528" w14:textId="77777777" w:rsidTr="004E40F6">
        <w:trPr>
          <w:trHeight w:val="567"/>
        </w:trPr>
        <w:tc>
          <w:tcPr>
            <w:tcW w:w="2518" w:type="dxa"/>
            <w:vAlign w:val="center"/>
          </w:tcPr>
          <w:p w14:paraId="51894100"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Certificats de participation au revenu</w:t>
            </w:r>
          </w:p>
        </w:tc>
        <w:tc>
          <w:tcPr>
            <w:tcW w:w="7513" w:type="dxa"/>
            <w:vAlign w:val="center"/>
          </w:tcPr>
          <w:p w14:paraId="198F81A2"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 xml:space="preserve">C’est un titre </w:t>
            </w:r>
            <w:r w:rsidR="00B27371" w:rsidRPr="00B27371">
              <w:rPr>
                <w:rFonts w:ascii="Times New Roman" w:hAnsi="Times New Roman" w:cs="Times New Roman"/>
                <w:i/>
                <w:iCs/>
              </w:rPr>
              <w:t>m</w:t>
            </w:r>
            <w:r w:rsidR="004A4E16" w:rsidRPr="00B27371">
              <w:rPr>
                <w:rFonts w:ascii="Times New Roman" w:hAnsi="Times New Roman" w:cs="Times New Roman"/>
                <w:i/>
                <w:iCs/>
              </w:rPr>
              <w:t>oudaraba</w:t>
            </w:r>
            <w:r w:rsidRPr="002B005F">
              <w:rPr>
                <w:rFonts w:ascii="Times New Roman" w:hAnsi="Times New Roman" w:cs="Times New Roman"/>
              </w:rPr>
              <w:t xml:space="preserve"> à revenu garanti par le droit de propriété sans droit de vote.</w:t>
            </w:r>
          </w:p>
        </w:tc>
      </w:tr>
      <w:tr w:rsidR="002760B2" w:rsidRPr="002B005F" w14:paraId="601DFA5C" w14:textId="77777777" w:rsidTr="004E40F6">
        <w:trPr>
          <w:trHeight w:val="567"/>
        </w:trPr>
        <w:tc>
          <w:tcPr>
            <w:tcW w:w="2518" w:type="dxa"/>
            <w:vAlign w:val="center"/>
          </w:tcPr>
          <w:p w14:paraId="373A26F0"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Certificats de participation à terme (CPT)</w:t>
            </w:r>
          </w:p>
        </w:tc>
        <w:tc>
          <w:tcPr>
            <w:tcW w:w="7513" w:type="dxa"/>
            <w:vAlign w:val="center"/>
          </w:tcPr>
          <w:p w14:paraId="4CF4A2FF" w14:textId="77777777" w:rsidR="002760B2" w:rsidRPr="002B005F" w:rsidRDefault="008703E7" w:rsidP="00FE768C">
            <w:pPr>
              <w:keepNext/>
              <w:keepLines/>
              <w:tabs>
                <w:tab w:val="left" w:pos="0"/>
              </w:tabs>
              <w:rPr>
                <w:rFonts w:ascii="Times New Roman" w:hAnsi="Times New Roman" w:cs="Times New Roman"/>
              </w:rPr>
            </w:pPr>
            <w:r w:rsidRPr="00615EBA">
              <w:rPr>
                <w:rFonts w:ascii="Times New Roman" w:hAnsi="Times New Roman" w:cs="Times New Roman"/>
              </w:rPr>
              <w:t>E</w:t>
            </w:r>
            <w:r w:rsidR="002760B2" w:rsidRPr="00615EBA">
              <w:rPr>
                <w:rFonts w:ascii="Times New Roman" w:hAnsi="Times New Roman" w:cs="Times New Roman"/>
              </w:rPr>
              <w:t>mis au Pakistan durant les années 80</w:t>
            </w:r>
            <w:r>
              <w:rPr>
                <w:rFonts w:ascii="Times New Roman" w:hAnsi="Times New Roman" w:cs="Times New Roman"/>
              </w:rPr>
              <w:t>,</w:t>
            </w:r>
            <w:r w:rsidR="002760B2" w:rsidRPr="002B005F">
              <w:rPr>
                <w:rFonts w:ascii="Times New Roman" w:hAnsi="Times New Roman" w:cs="Times New Roman"/>
              </w:rPr>
              <w:t xml:space="preserve"> </w:t>
            </w:r>
            <w:r>
              <w:rPr>
                <w:rFonts w:ascii="Times New Roman" w:hAnsi="Times New Roman" w:cs="Times New Roman"/>
              </w:rPr>
              <w:t xml:space="preserve">les </w:t>
            </w:r>
            <w:r w:rsidRPr="002B005F">
              <w:rPr>
                <w:rFonts w:ascii="Times New Roman" w:hAnsi="Times New Roman" w:cs="Times New Roman"/>
              </w:rPr>
              <w:t xml:space="preserve">CPT </w:t>
            </w:r>
            <w:r w:rsidR="002760B2" w:rsidRPr="002B005F">
              <w:rPr>
                <w:rFonts w:ascii="Times New Roman" w:hAnsi="Times New Roman" w:cs="Times New Roman"/>
              </w:rPr>
              <w:t xml:space="preserve">ont des caractéristiques communes avec les certificats de participation dégressive et les certificats </w:t>
            </w:r>
            <w:r w:rsidR="00FE768C" w:rsidRPr="00B27371">
              <w:rPr>
                <w:rFonts w:ascii="Times New Roman" w:hAnsi="Times New Roman" w:cs="Times New Roman"/>
                <w:i/>
                <w:iCs/>
              </w:rPr>
              <w:t>mouqarada</w:t>
            </w:r>
            <w:r w:rsidR="002760B2" w:rsidRPr="002B005F">
              <w:rPr>
                <w:rFonts w:ascii="Times New Roman" w:hAnsi="Times New Roman" w:cs="Times New Roman"/>
              </w:rPr>
              <w:t>.</w:t>
            </w:r>
          </w:p>
        </w:tc>
      </w:tr>
      <w:tr w:rsidR="002760B2" w:rsidRPr="002B005F" w14:paraId="4BB28B0B" w14:textId="77777777" w:rsidTr="004E40F6">
        <w:trPr>
          <w:trHeight w:val="567"/>
        </w:trPr>
        <w:tc>
          <w:tcPr>
            <w:tcW w:w="2518" w:type="dxa"/>
            <w:vAlign w:val="center"/>
          </w:tcPr>
          <w:p w14:paraId="791A8092"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Certificats de participation à la rente</w:t>
            </w:r>
          </w:p>
        </w:tc>
        <w:tc>
          <w:tcPr>
            <w:tcW w:w="7513" w:type="dxa"/>
            <w:vAlign w:val="center"/>
          </w:tcPr>
          <w:p w14:paraId="08C3697D"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Le titulaire de ce certificat a droit à une part de la rente générée par l’objet mis en location.</w:t>
            </w:r>
          </w:p>
        </w:tc>
      </w:tr>
      <w:tr w:rsidR="002760B2" w:rsidRPr="002B005F" w14:paraId="571F7F1B" w14:textId="77777777" w:rsidTr="004E40F6">
        <w:trPr>
          <w:trHeight w:val="567"/>
        </w:trPr>
        <w:tc>
          <w:tcPr>
            <w:tcW w:w="2518" w:type="dxa"/>
            <w:vAlign w:val="center"/>
          </w:tcPr>
          <w:p w14:paraId="1B8D0C66"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Certificats de participation aux revenus</w:t>
            </w:r>
          </w:p>
        </w:tc>
        <w:tc>
          <w:tcPr>
            <w:tcW w:w="7513" w:type="dxa"/>
            <w:vAlign w:val="center"/>
          </w:tcPr>
          <w:p w14:paraId="0D217202"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Ces certificats ont été émis en Turquie pour le refinancement des projets d’infrastructure privatisés.</w:t>
            </w:r>
          </w:p>
        </w:tc>
      </w:tr>
      <w:tr w:rsidR="002760B2" w:rsidRPr="002B005F" w14:paraId="25CA5731" w14:textId="77777777" w:rsidTr="004E40F6">
        <w:trPr>
          <w:trHeight w:val="567"/>
        </w:trPr>
        <w:tc>
          <w:tcPr>
            <w:tcW w:w="2518" w:type="dxa"/>
            <w:vAlign w:val="center"/>
          </w:tcPr>
          <w:p w14:paraId="6E5C1A7A"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 xml:space="preserve">Certificats </w:t>
            </w:r>
            <w:r w:rsidRPr="009056FC">
              <w:rPr>
                <w:rFonts w:ascii="Times New Roman" w:hAnsi="Times New Roman" w:cs="Times New Roman"/>
                <w:i/>
                <w:iCs/>
              </w:rPr>
              <w:t>salam</w:t>
            </w:r>
          </w:p>
        </w:tc>
        <w:tc>
          <w:tcPr>
            <w:tcW w:w="7513" w:type="dxa"/>
            <w:vAlign w:val="center"/>
          </w:tcPr>
          <w:p w14:paraId="5E70BB32"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 xml:space="preserve">Le titulaire d’un certificat </w:t>
            </w:r>
            <w:r w:rsidRPr="00B27371">
              <w:rPr>
                <w:rFonts w:ascii="Times New Roman" w:hAnsi="Times New Roman" w:cs="Times New Roman"/>
                <w:i/>
                <w:iCs/>
              </w:rPr>
              <w:t>salam</w:t>
            </w:r>
            <w:r w:rsidRPr="002B005F">
              <w:rPr>
                <w:rFonts w:ascii="Times New Roman" w:hAnsi="Times New Roman" w:cs="Times New Roman"/>
              </w:rPr>
              <w:t xml:space="preserve"> détient </w:t>
            </w:r>
            <w:r w:rsidRPr="00615EBA">
              <w:rPr>
                <w:rFonts w:ascii="Times New Roman" w:hAnsi="Times New Roman" w:cs="Times New Roman"/>
              </w:rPr>
              <w:t>une créance</w:t>
            </w:r>
            <w:r w:rsidRPr="002B005F">
              <w:rPr>
                <w:rFonts w:ascii="Times New Roman" w:hAnsi="Times New Roman" w:cs="Times New Roman"/>
              </w:rPr>
              <w:t xml:space="preserve"> en nature (biens et services) à une date future contre l</w:t>
            </w:r>
            <w:r w:rsidR="008703E7">
              <w:rPr>
                <w:rFonts w:ascii="Times New Roman" w:hAnsi="Times New Roman" w:cs="Times New Roman"/>
              </w:rPr>
              <w:t>e montant</w:t>
            </w:r>
            <w:r w:rsidRPr="002B005F">
              <w:rPr>
                <w:rFonts w:ascii="Times New Roman" w:hAnsi="Times New Roman" w:cs="Times New Roman"/>
              </w:rPr>
              <w:t xml:space="preserve"> qu’il a déjà avancé.</w:t>
            </w:r>
          </w:p>
        </w:tc>
      </w:tr>
      <w:tr w:rsidR="002760B2" w:rsidRPr="002B005F" w14:paraId="74D0126A" w14:textId="77777777" w:rsidTr="004E40F6">
        <w:trPr>
          <w:trHeight w:val="567"/>
        </w:trPr>
        <w:tc>
          <w:tcPr>
            <w:tcW w:w="2518" w:type="dxa"/>
            <w:vAlign w:val="center"/>
          </w:tcPr>
          <w:p w14:paraId="5E7FA719"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w:t>
            </w:r>
            <w:r w:rsidR="009056FC">
              <w:rPr>
                <w:rFonts w:ascii="Times New Roman" w:hAnsi="Times New Roman" w:cs="Times New Roman"/>
              </w:rPr>
              <w:t>ontrat</w:t>
            </w:r>
            <w:r w:rsidR="008703E7" w:rsidRPr="00615EBA">
              <w:rPr>
                <w:rFonts w:ascii="Times New Roman" w:hAnsi="Times New Roman" w:cs="Times New Roman"/>
              </w:rPr>
              <w:t>s</w:t>
            </w:r>
            <w:r w:rsidR="009056FC">
              <w:rPr>
                <w:rFonts w:ascii="Times New Roman" w:hAnsi="Times New Roman" w:cs="Times New Roman"/>
              </w:rPr>
              <w:t xml:space="preserve"> à deux étapes -leasing, </w:t>
            </w:r>
            <w:r w:rsidR="009056FC" w:rsidRPr="009056FC">
              <w:rPr>
                <w:rFonts w:ascii="Times New Roman" w:hAnsi="Times New Roman" w:cs="Times New Roman"/>
                <w:i/>
                <w:iCs/>
              </w:rPr>
              <w:t>m</w:t>
            </w:r>
            <w:r w:rsidRPr="009056FC">
              <w:rPr>
                <w:rFonts w:ascii="Times New Roman" w:hAnsi="Times New Roman" w:cs="Times New Roman"/>
                <w:i/>
                <w:iCs/>
              </w:rPr>
              <w:t>ourabaha</w:t>
            </w:r>
            <w:r w:rsidRPr="002B005F">
              <w:rPr>
                <w:rFonts w:ascii="Times New Roman" w:hAnsi="Times New Roman" w:cs="Times New Roman"/>
              </w:rPr>
              <w:t xml:space="preserve"> </w:t>
            </w:r>
            <w:r w:rsidRPr="009056FC">
              <w:rPr>
                <w:rFonts w:ascii="Times New Roman" w:hAnsi="Times New Roman" w:cs="Times New Roman"/>
                <w:i/>
                <w:iCs/>
              </w:rPr>
              <w:t>istisna</w:t>
            </w:r>
            <w:r w:rsidR="009056FC" w:rsidRPr="009056FC">
              <w:rPr>
                <w:rFonts w:ascii="Times New Roman" w:hAnsi="Times New Roman" w:cs="Times New Roman"/>
                <w:i/>
                <w:iCs/>
              </w:rPr>
              <w:t>’a</w:t>
            </w:r>
            <w:r w:rsidRPr="002B005F">
              <w:rPr>
                <w:rFonts w:ascii="Times New Roman" w:hAnsi="Times New Roman" w:cs="Times New Roman"/>
              </w:rPr>
              <w:t xml:space="preserve">, </w:t>
            </w:r>
            <w:r w:rsidRPr="009056FC">
              <w:rPr>
                <w:rFonts w:ascii="Times New Roman" w:hAnsi="Times New Roman" w:cs="Times New Roman"/>
                <w:i/>
                <w:iCs/>
              </w:rPr>
              <w:t>salam</w:t>
            </w:r>
          </w:p>
        </w:tc>
        <w:tc>
          <w:tcPr>
            <w:tcW w:w="7513" w:type="dxa"/>
            <w:vAlign w:val="center"/>
          </w:tcPr>
          <w:p w14:paraId="623A620A"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Dans le cadre de ces contrats, la banque paie le fournisseur par versements échelonnés et crée ainsi une dette fixe au niveau de son passif au lieu de payer immédiatement la somme due.</w:t>
            </w:r>
          </w:p>
        </w:tc>
      </w:tr>
      <w:tr w:rsidR="002760B2" w:rsidRPr="002B005F" w14:paraId="3F4EC8A7" w14:textId="77777777" w:rsidTr="004E40F6">
        <w:trPr>
          <w:trHeight w:val="567"/>
        </w:trPr>
        <w:tc>
          <w:tcPr>
            <w:tcW w:w="2518" w:type="dxa"/>
            <w:vAlign w:val="center"/>
          </w:tcPr>
          <w:p w14:paraId="6D5F6537" w14:textId="77777777" w:rsidR="002760B2" w:rsidRPr="002B005F" w:rsidRDefault="002760B2" w:rsidP="00FE768C">
            <w:pPr>
              <w:keepNext/>
              <w:keepLines/>
              <w:tabs>
                <w:tab w:val="left" w:pos="0"/>
              </w:tabs>
              <w:jc w:val="center"/>
              <w:rPr>
                <w:rFonts w:ascii="Times New Roman" w:hAnsi="Times New Roman" w:cs="Times New Roman"/>
              </w:rPr>
            </w:pPr>
            <w:r w:rsidRPr="002B005F">
              <w:rPr>
                <w:rFonts w:ascii="Times New Roman" w:hAnsi="Times New Roman" w:cs="Times New Roman"/>
              </w:rPr>
              <w:t>Certificats hybrides</w:t>
            </w:r>
          </w:p>
        </w:tc>
        <w:tc>
          <w:tcPr>
            <w:tcW w:w="7513" w:type="dxa"/>
            <w:vAlign w:val="center"/>
          </w:tcPr>
          <w:p w14:paraId="7FBAE0CB" w14:textId="77777777" w:rsidR="002760B2" w:rsidRPr="002B005F" w:rsidRDefault="002760B2" w:rsidP="00FE768C">
            <w:pPr>
              <w:keepNext/>
              <w:keepLines/>
              <w:tabs>
                <w:tab w:val="left" w:pos="0"/>
              </w:tabs>
              <w:rPr>
                <w:rFonts w:ascii="Times New Roman" w:hAnsi="Times New Roman" w:cs="Times New Roman"/>
              </w:rPr>
            </w:pPr>
            <w:r w:rsidRPr="002B005F">
              <w:rPr>
                <w:rFonts w:ascii="Times New Roman" w:hAnsi="Times New Roman" w:cs="Times New Roman"/>
              </w:rPr>
              <w:t xml:space="preserve">Les instruments hybrides permettent au détenteur d’un certificat de dette quelconque de l’échanger avec d’autres actifs de l’entreprise émettrice conformément à l’offre prescrite </w:t>
            </w:r>
            <w:r w:rsidRPr="00615EBA">
              <w:rPr>
                <w:rFonts w:ascii="Times New Roman" w:hAnsi="Times New Roman" w:cs="Times New Roman"/>
              </w:rPr>
              <w:t>sur ledit</w:t>
            </w:r>
            <w:r w:rsidRPr="002B005F">
              <w:rPr>
                <w:rFonts w:ascii="Times New Roman" w:hAnsi="Times New Roman" w:cs="Times New Roman"/>
              </w:rPr>
              <w:t xml:space="preserve"> certificat.</w:t>
            </w:r>
          </w:p>
        </w:tc>
      </w:tr>
    </w:tbl>
    <w:p w14:paraId="4C7480B7" w14:textId="77777777" w:rsidR="002760B2" w:rsidRPr="002B005F" w:rsidRDefault="002760B2" w:rsidP="00A271FD">
      <w:pPr>
        <w:keepNext/>
        <w:keepLines/>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Pr="002B005F">
        <w:rPr>
          <w:rFonts w:ascii="Times New Roman" w:hAnsi="Times New Roman" w:cs="Times New Roman"/>
          <w:smallCaps/>
          <w:sz w:val="20"/>
          <w:szCs w:val="20"/>
        </w:rPr>
        <w:t>Khan</w:t>
      </w:r>
      <w:r w:rsidRPr="002B005F">
        <w:rPr>
          <w:rFonts w:ascii="Times New Roman" w:hAnsi="Times New Roman" w:cs="Times New Roman"/>
          <w:sz w:val="20"/>
          <w:szCs w:val="20"/>
        </w:rPr>
        <w:t xml:space="preserve"> et </w:t>
      </w:r>
      <w:r w:rsidRPr="002B005F">
        <w:rPr>
          <w:rFonts w:ascii="Times New Roman" w:hAnsi="Times New Roman" w:cs="Times New Roman"/>
          <w:smallCaps/>
          <w:sz w:val="20"/>
          <w:szCs w:val="20"/>
        </w:rPr>
        <w:t>Ahmad,</w:t>
      </w:r>
      <w:r w:rsidR="00FE768C" w:rsidRPr="002B005F">
        <w:rPr>
          <w:rFonts w:ascii="Times New Roman" w:hAnsi="Times New Roman" w:cs="Times New Roman"/>
          <w:sz w:val="20"/>
          <w:szCs w:val="20"/>
        </w:rPr>
        <w:t xml:space="preserve"> 2001</w:t>
      </w:r>
      <w:r w:rsidRPr="002B005F">
        <w:rPr>
          <w:rFonts w:ascii="Times New Roman" w:hAnsi="Times New Roman" w:cs="Times New Roman"/>
          <w:sz w:val="20"/>
          <w:szCs w:val="20"/>
        </w:rPr>
        <w:t>, p. 164.</w:t>
      </w:r>
    </w:p>
    <w:p w14:paraId="2C7AC25A" w14:textId="77777777" w:rsidR="002760B2" w:rsidRPr="00666D2A" w:rsidRDefault="00136362" w:rsidP="00666D2A">
      <w:pPr>
        <w:pStyle w:val="Titre5"/>
        <w:spacing w:before="120" w:after="120" w:line="300" w:lineRule="auto"/>
        <w:ind w:firstLine="709"/>
        <w:rPr>
          <w:rFonts w:asciiTheme="majorBidi" w:hAnsiTheme="majorBidi"/>
          <w:b/>
          <w:bCs/>
          <w:color w:val="auto"/>
          <w:sz w:val="24"/>
          <w:szCs w:val="24"/>
        </w:rPr>
      </w:pPr>
      <w:bookmarkStart w:id="1092" w:name="_Toc182298801"/>
      <w:r w:rsidRPr="00666D2A">
        <w:rPr>
          <w:rFonts w:asciiTheme="majorBidi" w:hAnsiTheme="majorBidi"/>
          <w:b/>
          <w:bCs/>
          <w:color w:val="auto"/>
          <w:sz w:val="24"/>
          <w:szCs w:val="24"/>
        </w:rPr>
        <w:lastRenderedPageBreak/>
        <w:t>3.2.2.</w:t>
      </w:r>
      <w:r w:rsidR="0000518C" w:rsidRPr="00666D2A">
        <w:rPr>
          <w:rFonts w:asciiTheme="majorBidi" w:hAnsiTheme="majorBidi"/>
          <w:b/>
          <w:bCs/>
          <w:color w:val="auto"/>
          <w:sz w:val="24"/>
          <w:szCs w:val="24"/>
        </w:rPr>
        <w:t>3</w:t>
      </w:r>
      <w:r w:rsidRPr="00666D2A">
        <w:rPr>
          <w:rFonts w:asciiTheme="majorBidi" w:hAnsiTheme="majorBidi"/>
          <w:b/>
          <w:bCs/>
          <w:color w:val="auto"/>
          <w:sz w:val="24"/>
          <w:szCs w:val="24"/>
        </w:rPr>
        <w:t xml:space="preserve">- </w:t>
      </w:r>
      <w:r w:rsidR="002760B2" w:rsidRPr="00666D2A">
        <w:rPr>
          <w:rFonts w:asciiTheme="majorBidi" w:hAnsiTheme="majorBidi"/>
          <w:b/>
          <w:bCs/>
          <w:color w:val="auto"/>
          <w:sz w:val="24"/>
          <w:szCs w:val="24"/>
        </w:rPr>
        <w:t>Gest</w:t>
      </w:r>
      <w:r w:rsidR="00CB79CC" w:rsidRPr="00666D2A">
        <w:rPr>
          <w:rFonts w:asciiTheme="majorBidi" w:hAnsiTheme="majorBidi"/>
          <w:b/>
          <w:bCs/>
          <w:color w:val="auto"/>
          <w:sz w:val="24"/>
          <w:szCs w:val="24"/>
        </w:rPr>
        <w:t>ion des risques opérationnels</w:t>
      </w:r>
      <w:bookmarkEnd w:id="1092"/>
    </w:p>
    <w:p w14:paraId="7C7EB050" w14:textId="77777777" w:rsidR="002760B2" w:rsidRPr="002B005F" w:rsidRDefault="002760B2" w:rsidP="00313D15">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Les risques opérationnels ne ma</w:t>
      </w:r>
      <w:r w:rsidR="000F4546">
        <w:rPr>
          <w:rFonts w:ascii="Times New Roman" w:hAnsi="Times New Roman" w:cs="Times New Roman"/>
          <w:sz w:val="24"/>
          <w:szCs w:val="24"/>
        </w:rPr>
        <w:t>nquent pas d’importance pour la</w:t>
      </w:r>
      <w:r w:rsidRPr="002B005F">
        <w:rPr>
          <w:rFonts w:ascii="Times New Roman" w:hAnsi="Times New Roman" w:cs="Times New Roman"/>
          <w:sz w:val="24"/>
          <w:szCs w:val="24"/>
        </w:rPr>
        <w:t xml:space="preserve"> BI.</w:t>
      </w:r>
      <w:r w:rsidR="00FE768C" w:rsidRPr="002B005F">
        <w:rPr>
          <w:rFonts w:ascii="Times New Roman" w:hAnsi="Times New Roman" w:cs="Times New Roman"/>
          <w:sz w:val="24"/>
          <w:szCs w:val="24"/>
        </w:rPr>
        <w:t xml:space="preserve"> Certains de ces risques sont du</w:t>
      </w:r>
      <w:r w:rsidRPr="002B005F">
        <w:rPr>
          <w:rFonts w:ascii="Times New Roman" w:hAnsi="Times New Roman" w:cs="Times New Roman"/>
          <w:sz w:val="24"/>
          <w:szCs w:val="24"/>
        </w:rPr>
        <w:t>s à la jeunesse de ces établissements fina</w:t>
      </w:r>
      <w:r w:rsidR="00FE768C" w:rsidRPr="002B005F">
        <w:rPr>
          <w:rFonts w:ascii="Times New Roman" w:hAnsi="Times New Roman" w:cs="Times New Roman"/>
          <w:sz w:val="24"/>
          <w:szCs w:val="24"/>
        </w:rPr>
        <w:t xml:space="preserve">nciers. </w:t>
      </w:r>
      <w:r w:rsidR="00FE768C" w:rsidRPr="00615EBA">
        <w:rPr>
          <w:rFonts w:ascii="Times New Roman" w:hAnsi="Times New Roman" w:cs="Times New Roman"/>
          <w:sz w:val="24"/>
          <w:szCs w:val="24"/>
        </w:rPr>
        <w:t xml:space="preserve">D’autres </w:t>
      </w:r>
      <w:r w:rsidR="0080159B" w:rsidRPr="00615EBA">
        <w:rPr>
          <w:rFonts w:ascii="Times New Roman" w:hAnsi="Times New Roman" w:cs="Times New Roman"/>
          <w:sz w:val="24"/>
          <w:szCs w:val="24"/>
        </w:rPr>
        <w:t>trouvent leur origine</w:t>
      </w:r>
      <w:r w:rsidRPr="00615EBA">
        <w:rPr>
          <w:rFonts w:ascii="Times New Roman" w:hAnsi="Times New Roman" w:cs="Times New Roman"/>
          <w:sz w:val="24"/>
          <w:szCs w:val="24"/>
        </w:rPr>
        <w:t xml:space="preserve"> </w:t>
      </w:r>
      <w:r w:rsidR="0080159B" w:rsidRPr="00615EBA">
        <w:rPr>
          <w:rFonts w:ascii="Times New Roman" w:hAnsi="Times New Roman" w:cs="Times New Roman"/>
          <w:sz w:val="24"/>
          <w:szCs w:val="24"/>
        </w:rPr>
        <w:t xml:space="preserve">dans </w:t>
      </w:r>
      <w:r w:rsidRPr="00615EBA">
        <w:rPr>
          <w:rFonts w:ascii="Times New Roman" w:hAnsi="Times New Roman" w:cs="Times New Roman"/>
          <w:sz w:val="24"/>
          <w:szCs w:val="24"/>
        </w:rPr>
        <w:t xml:space="preserve">la spécificité des opérations financières </w:t>
      </w:r>
      <w:r w:rsidR="00D617A2" w:rsidRPr="00615EBA">
        <w:rPr>
          <w:rFonts w:ascii="Times New Roman" w:hAnsi="Times New Roman" w:cs="Times New Roman"/>
          <w:sz w:val="24"/>
          <w:szCs w:val="24"/>
        </w:rPr>
        <w:t>i</w:t>
      </w:r>
      <w:r w:rsidR="003773C6" w:rsidRPr="00615EBA">
        <w:rPr>
          <w:rFonts w:ascii="Times New Roman" w:hAnsi="Times New Roman" w:cs="Times New Roman"/>
          <w:sz w:val="24"/>
          <w:szCs w:val="24"/>
        </w:rPr>
        <w:t>slamique</w:t>
      </w:r>
      <w:r w:rsidRPr="00615EBA">
        <w:rPr>
          <w:rFonts w:ascii="Times New Roman" w:hAnsi="Times New Roman" w:cs="Times New Roman"/>
          <w:sz w:val="24"/>
          <w:szCs w:val="24"/>
        </w:rPr>
        <w:t>s. Pour identifier et gérer ces risques,</w:t>
      </w:r>
      <w:r w:rsidRPr="002B005F">
        <w:rPr>
          <w:rFonts w:ascii="Times New Roman" w:hAnsi="Times New Roman" w:cs="Times New Roman"/>
          <w:sz w:val="24"/>
          <w:szCs w:val="24"/>
        </w:rPr>
        <w:t xml:space="preserve"> une norme commune sta</w:t>
      </w:r>
      <w:r w:rsidR="000F4546">
        <w:rPr>
          <w:rFonts w:ascii="Times New Roman" w:hAnsi="Times New Roman" w:cs="Times New Roman"/>
          <w:sz w:val="24"/>
          <w:szCs w:val="24"/>
        </w:rPr>
        <w:t>ndard doit être établie pour la</w:t>
      </w:r>
      <w:r w:rsidRPr="002B005F">
        <w:rPr>
          <w:rFonts w:ascii="Times New Roman" w:hAnsi="Times New Roman" w:cs="Times New Roman"/>
          <w:sz w:val="24"/>
          <w:szCs w:val="24"/>
        </w:rPr>
        <w:t xml:space="preserve"> BI.</w:t>
      </w:r>
    </w:p>
    <w:p w14:paraId="233EE10E" w14:textId="77777777" w:rsidR="002760B2" w:rsidRPr="002B005F" w:rsidRDefault="00FE768C" w:rsidP="00615EBA">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En général, ces risques sont</w:t>
      </w:r>
      <w:r w:rsidR="002760B2" w:rsidRPr="002B005F">
        <w:rPr>
          <w:rFonts w:ascii="Times New Roman" w:hAnsi="Times New Roman" w:cs="Times New Roman"/>
          <w:sz w:val="24"/>
          <w:szCs w:val="24"/>
        </w:rPr>
        <w:t xml:space="preserve"> atténués par la constitution de réserves ou de provisions. La banque peut également décider de réduire sa marge afin d’assurer une rémunération compétitive à ses clients. </w:t>
      </w:r>
      <w:r w:rsidR="00615EBA">
        <w:rPr>
          <w:rFonts w:ascii="Times New Roman" w:hAnsi="Times New Roman" w:cs="Times New Roman"/>
          <w:sz w:val="24"/>
          <w:szCs w:val="24"/>
        </w:rPr>
        <w:t>Nous assistons</w:t>
      </w:r>
      <w:r w:rsidR="002760B2" w:rsidRPr="002B005F">
        <w:rPr>
          <w:rFonts w:ascii="Times New Roman" w:hAnsi="Times New Roman" w:cs="Times New Roman"/>
          <w:sz w:val="24"/>
          <w:szCs w:val="24"/>
        </w:rPr>
        <w:t xml:space="preserve"> alors à une translation de la rémunération des actionnaires vers celle des clients</w:t>
      </w:r>
      <w:r w:rsidRPr="002B005F">
        <w:rPr>
          <w:rFonts w:ascii="Times New Roman" w:hAnsi="Times New Roman" w:cs="Times New Roman"/>
          <w:sz w:val="24"/>
          <w:szCs w:val="24"/>
        </w:rPr>
        <w:t>.</w:t>
      </w:r>
      <w:r w:rsidR="002760B2" w:rsidRPr="002B005F">
        <w:rPr>
          <w:rStyle w:val="Appelnotedebasdep"/>
          <w:rFonts w:ascii="Times New Roman" w:hAnsi="Times New Roman"/>
          <w:sz w:val="24"/>
          <w:szCs w:val="24"/>
        </w:rPr>
        <w:footnoteReference w:id="274"/>
      </w:r>
      <w:r w:rsidR="002760B2" w:rsidRPr="002B005F">
        <w:rPr>
          <w:rFonts w:ascii="Times New Roman" w:hAnsi="Times New Roman" w:cs="Times New Roman"/>
          <w:sz w:val="24"/>
          <w:szCs w:val="24"/>
        </w:rPr>
        <w:t xml:space="preserve"> </w:t>
      </w:r>
      <w:r w:rsidR="00615EBA">
        <w:rPr>
          <w:rFonts w:ascii="Times New Roman" w:hAnsi="Times New Roman" w:cs="Times New Roman"/>
          <w:sz w:val="24"/>
          <w:szCs w:val="24"/>
        </w:rPr>
        <w:t>Nous abordons</w:t>
      </w:r>
      <w:r w:rsidR="002760B2" w:rsidRPr="002B005F">
        <w:rPr>
          <w:rFonts w:ascii="Times New Roman" w:hAnsi="Times New Roman" w:cs="Times New Roman"/>
          <w:sz w:val="24"/>
          <w:szCs w:val="24"/>
        </w:rPr>
        <w:t xml:space="preserve"> avec plus de détails</w:t>
      </w:r>
      <w:r w:rsidR="000F4546">
        <w:rPr>
          <w:rFonts w:ascii="Times New Roman" w:hAnsi="Times New Roman" w:cs="Times New Roman"/>
          <w:sz w:val="24"/>
          <w:szCs w:val="24"/>
        </w:rPr>
        <w:t xml:space="preserve"> les dispositions prises par la</w:t>
      </w:r>
      <w:r w:rsidR="002760B2" w:rsidRPr="002B005F">
        <w:rPr>
          <w:rFonts w:ascii="Times New Roman" w:hAnsi="Times New Roman" w:cs="Times New Roman"/>
          <w:sz w:val="24"/>
          <w:szCs w:val="24"/>
        </w:rPr>
        <w:t xml:space="preserve"> BI pour gérer les risques opérationnels dans le cadre des accords de Bâle.</w:t>
      </w:r>
    </w:p>
    <w:p w14:paraId="3E4C9075" w14:textId="77777777" w:rsidR="002760B2" w:rsidRPr="000847B9" w:rsidRDefault="00136362" w:rsidP="000847B9">
      <w:pPr>
        <w:pStyle w:val="Titre5"/>
        <w:spacing w:before="120" w:after="120" w:line="300" w:lineRule="auto"/>
        <w:ind w:firstLine="709"/>
        <w:rPr>
          <w:rFonts w:asciiTheme="majorBidi" w:hAnsiTheme="majorBidi"/>
          <w:b/>
          <w:bCs/>
          <w:color w:val="auto"/>
          <w:sz w:val="24"/>
          <w:szCs w:val="24"/>
        </w:rPr>
      </w:pPr>
      <w:bookmarkStart w:id="1093" w:name="_Toc182298802"/>
      <w:r w:rsidRPr="000847B9">
        <w:rPr>
          <w:rFonts w:asciiTheme="majorBidi" w:hAnsiTheme="majorBidi"/>
          <w:b/>
          <w:bCs/>
          <w:color w:val="auto"/>
          <w:sz w:val="24"/>
          <w:szCs w:val="24"/>
        </w:rPr>
        <w:t>3.2.2.</w:t>
      </w:r>
      <w:r w:rsidR="0000518C" w:rsidRPr="000847B9">
        <w:rPr>
          <w:rFonts w:asciiTheme="majorBidi" w:hAnsiTheme="majorBidi"/>
          <w:b/>
          <w:bCs/>
          <w:color w:val="auto"/>
          <w:sz w:val="24"/>
          <w:szCs w:val="24"/>
        </w:rPr>
        <w:t>4</w:t>
      </w:r>
      <w:r w:rsidRPr="000847B9">
        <w:rPr>
          <w:rFonts w:asciiTheme="majorBidi" w:hAnsiTheme="majorBidi"/>
          <w:b/>
          <w:bCs/>
          <w:color w:val="auto"/>
          <w:sz w:val="24"/>
          <w:szCs w:val="24"/>
        </w:rPr>
        <w:t xml:space="preserve">- </w:t>
      </w:r>
      <w:r w:rsidR="002760B2" w:rsidRPr="000847B9">
        <w:rPr>
          <w:rFonts w:asciiTheme="majorBidi" w:hAnsiTheme="majorBidi"/>
          <w:b/>
          <w:bCs/>
          <w:color w:val="auto"/>
          <w:sz w:val="24"/>
          <w:szCs w:val="24"/>
        </w:rPr>
        <w:t>Gestion du risque commercia</w:t>
      </w:r>
      <w:r w:rsidR="00CB79CC" w:rsidRPr="000847B9">
        <w:rPr>
          <w:rFonts w:asciiTheme="majorBidi" w:hAnsiTheme="majorBidi"/>
          <w:b/>
          <w:bCs/>
          <w:color w:val="auto"/>
          <w:sz w:val="24"/>
          <w:szCs w:val="24"/>
        </w:rPr>
        <w:t>l déplacé</w:t>
      </w:r>
      <w:bookmarkEnd w:id="1093"/>
    </w:p>
    <w:p w14:paraId="1A4E9F17" w14:textId="77777777" w:rsidR="002760B2" w:rsidRPr="002B005F" w:rsidRDefault="00615EBA" w:rsidP="00313D15">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615EBA">
        <w:rPr>
          <w:rFonts w:ascii="Times New Roman" w:hAnsi="Times New Roman" w:cs="Times New Roman"/>
          <w:sz w:val="24"/>
          <w:szCs w:val="24"/>
        </w:rPr>
        <w:t>L</w:t>
      </w:r>
      <w:r>
        <w:rPr>
          <w:rFonts w:ascii="Times New Roman" w:hAnsi="Times New Roman" w:cs="Times New Roman"/>
          <w:sz w:val="24"/>
          <w:szCs w:val="24"/>
        </w:rPr>
        <w:t>a BI peu</w:t>
      </w:r>
      <w:r w:rsidR="002760B2" w:rsidRPr="002B005F">
        <w:rPr>
          <w:rFonts w:ascii="Times New Roman" w:hAnsi="Times New Roman" w:cs="Times New Roman"/>
          <w:sz w:val="24"/>
          <w:szCs w:val="24"/>
        </w:rPr>
        <w:t>t s’engager dans certaines pratiques qui visent à lisser les taux de rendement sur les comptes d’investissement afin d’offrir à leurs titulaires un taux de rendement compétitif au taux d’intérêt sur les dépôts conventionnels et au taux de rendement des dépôts d’investissement des autres BI. Les méthodes de lissage des taux de rendement consistent à transférer les revenus en faveur des titulaires de comptes d’investissement et le maintien des réserves.</w:t>
      </w:r>
    </w:p>
    <w:p w14:paraId="5539ECE0" w14:textId="77777777" w:rsidR="002760B2" w:rsidRPr="002B005F" w:rsidRDefault="002760B2" w:rsidP="00615EBA">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Ainsi, </w:t>
      </w:r>
      <w:r w:rsidRPr="00615EBA">
        <w:rPr>
          <w:rFonts w:ascii="Times New Roman" w:hAnsi="Times New Roman" w:cs="Times New Roman"/>
          <w:sz w:val="24"/>
          <w:szCs w:val="24"/>
        </w:rPr>
        <w:t>la</w:t>
      </w:r>
      <w:r w:rsidRPr="002B005F">
        <w:rPr>
          <w:rFonts w:ascii="Times New Roman" w:hAnsi="Times New Roman" w:cs="Times New Roman"/>
          <w:sz w:val="24"/>
          <w:szCs w:val="24"/>
        </w:rPr>
        <w:t xml:space="preserve"> BI peut varier le ratio de partage de profit en réduisant sa rémunération en tant que </w:t>
      </w:r>
      <w:r w:rsidR="004A4E16" w:rsidRPr="002B005F">
        <w:rPr>
          <w:rFonts w:ascii="Times New Roman" w:hAnsi="Times New Roman" w:cs="Times New Roman"/>
          <w:i/>
          <w:iCs/>
          <w:sz w:val="24"/>
          <w:szCs w:val="24"/>
        </w:rPr>
        <w:t>moudarib</w:t>
      </w:r>
      <w:r w:rsidRPr="002B005F">
        <w:rPr>
          <w:rStyle w:val="Appelnotedebasdep"/>
          <w:rFonts w:ascii="Times New Roman" w:hAnsi="Times New Roman"/>
          <w:sz w:val="24"/>
          <w:szCs w:val="24"/>
        </w:rPr>
        <w:footnoteReference w:id="275"/>
      </w:r>
      <w:r w:rsidRPr="002B005F">
        <w:rPr>
          <w:rFonts w:ascii="Times New Roman" w:hAnsi="Times New Roman" w:cs="Times New Roman"/>
          <w:sz w:val="24"/>
          <w:szCs w:val="24"/>
        </w:rPr>
        <w:t xml:space="preserve">. Elle peut </w:t>
      </w:r>
      <w:r w:rsidRPr="00615EBA">
        <w:rPr>
          <w:rFonts w:ascii="Times New Roman" w:hAnsi="Times New Roman" w:cs="Times New Roman"/>
          <w:sz w:val="24"/>
          <w:szCs w:val="24"/>
        </w:rPr>
        <w:t>réduire</w:t>
      </w:r>
      <w:r w:rsidRPr="002B005F">
        <w:rPr>
          <w:rFonts w:ascii="Times New Roman" w:hAnsi="Times New Roman" w:cs="Times New Roman"/>
          <w:sz w:val="24"/>
          <w:szCs w:val="24"/>
        </w:rPr>
        <w:t xml:space="preserve"> sa commission de </w:t>
      </w:r>
      <w:r w:rsidR="004A4E16" w:rsidRPr="002B005F">
        <w:rPr>
          <w:rFonts w:ascii="Times New Roman" w:hAnsi="Times New Roman" w:cs="Times New Roman"/>
          <w:i/>
          <w:iCs/>
          <w:sz w:val="24"/>
          <w:szCs w:val="24"/>
        </w:rPr>
        <w:t>moudarib</w:t>
      </w:r>
      <w:r w:rsidRPr="002B005F">
        <w:rPr>
          <w:rFonts w:ascii="Times New Roman" w:hAnsi="Times New Roman" w:cs="Times New Roman"/>
          <w:sz w:val="24"/>
          <w:szCs w:val="24"/>
        </w:rPr>
        <w:t xml:space="preserve"> </w:t>
      </w:r>
      <w:r w:rsidR="00615EBA">
        <w:rPr>
          <w:rFonts w:ascii="Times New Roman" w:hAnsi="Times New Roman" w:cs="Times New Roman"/>
          <w:sz w:val="24"/>
          <w:szCs w:val="24"/>
        </w:rPr>
        <w:t>en</w:t>
      </w:r>
      <w:r w:rsidRPr="002B005F">
        <w:rPr>
          <w:rFonts w:ascii="Times New Roman" w:hAnsi="Times New Roman" w:cs="Times New Roman"/>
          <w:sz w:val="24"/>
          <w:szCs w:val="24"/>
        </w:rPr>
        <w:t>-dessous de la part contractée et attribu</w:t>
      </w:r>
      <w:r w:rsidRPr="00615EBA">
        <w:rPr>
          <w:rFonts w:ascii="Times New Roman" w:hAnsi="Times New Roman" w:cs="Times New Roman"/>
          <w:sz w:val="24"/>
          <w:szCs w:val="24"/>
        </w:rPr>
        <w:t>e</w:t>
      </w:r>
      <w:r w:rsidR="00615EBA" w:rsidRPr="00615EBA">
        <w:rPr>
          <w:rFonts w:ascii="Times New Roman" w:hAnsi="Times New Roman" w:cs="Times New Roman"/>
          <w:sz w:val="24"/>
          <w:szCs w:val="24"/>
        </w:rPr>
        <w:t>r</w:t>
      </w:r>
      <w:r w:rsidRPr="002B005F">
        <w:rPr>
          <w:rFonts w:ascii="Times New Roman" w:hAnsi="Times New Roman" w:cs="Times New Roman"/>
          <w:sz w:val="24"/>
          <w:szCs w:val="24"/>
        </w:rPr>
        <w:t xml:space="preserve"> temporairement de faibles bénéfices aux actionnaires. De cette façon, elle atténue l’impact d’un faible rendement sur les dépôts d’investissement et évite les retraits massifs des fonds.</w:t>
      </w:r>
    </w:p>
    <w:p w14:paraId="2A413E12" w14:textId="77777777" w:rsidR="00064771" w:rsidRPr="002B005F" w:rsidRDefault="002760B2" w:rsidP="00313D15">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Selon </w:t>
      </w:r>
      <w:r w:rsidRPr="002B005F">
        <w:rPr>
          <w:rFonts w:ascii="Times New Roman" w:hAnsi="Times New Roman" w:cs="Times New Roman"/>
          <w:smallCaps/>
          <w:sz w:val="24"/>
          <w:szCs w:val="24"/>
        </w:rPr>
        <w:t>Archer</w:t>
      </w:r>
      <w:r w:rsidRPr="002B005F">
        <w:rPr>
          <w:rFonts w:ascii="Times New Roman" w:hAnsi="Times New Roman" w:cs="Times New Roman"/>
          <w:sz w:val="24"/>
          <w:szCs w:val="24"/>
        </w:rPr>
        <w:t xml:space="preserve"> et </w:t>
      </w:r>
      <w:r w:rsidR="00FC6789" w:rsidRPr="002B005F">
        <w:rPr>
          <w:rFonts w:ascii="Times New Roman" w:hAnsi="Times New Roman" w:cs="Times New Roman"/>
          <w:smallCaps/>
          <w:sz w:val="24"/>
          <w:szCs w:val="24"/>
          <w:lang w:eastAsia="fr-FR"/>
        </w:rPr>
        <w:t>Abdel</w:t>
      </w:r>
      <w:r w:rsidR="00FC6789" w:rsidRPr="002B005F">
        <w:rPr>
          <w:rFonts w:ascii="Times New Roman" w:hAnsi="Times New Roman" w:cs="Times New Roman"/>
          <w:smallCaps/>
          <w:sz w:val="20"/>
          <w:szCs w:val="20"/>
          <w:lang w:eastAsia="fr-FR"/>
        </w:rPr>
        <w:t xml:space="preserve"> </w:t>
      </w:r>
      <w:r w:rsidRPr="002B005F">
        <w:rPr>
          <w:rFonts w:ascii="Times New Roman" w:hAnsi="Times New Roman" w:cs="Times New Roman"/>
          <w:smallCaps/>
          <w:sz w:val="24"/>
          <w:szCs w:val="24"/>
        </w:rPr>
        <w:t>Karim</w:t>
      </w:r>
      <w:r w:rsidRPr="002B005F">
        <w:rPr>
          <w:rFonts w:ascii="Times New Roman" w:hAnsi="Times New Roman" w:cs="Times New Roman"/>
          <w:sz w:val="24"/>
          <w:szCs w:val="24"/>
        </w:rPr>
        <w:t>, la BI peut prélever des réserves à partir des profits attribuables aux titulaires des comptes d’investissement et aux actionnaires</w:t>
      </w:r>
      <w:r w:rsidRPr="002B005F">
        <w:rPr>
          <w:rStyle w:val="Appelnotedebasdep"/>
          <w:rFonts w:ascii="Times New Roman" w:hAnsi="Times New Roman"/>
          <w:sz w:val="24"/>
          <w:szCs w:val="24"/>
        </w:rPr>
        <w:footnoteReference w:id="276"/>
      </w:r>
      <w:r w:rsidRPr="002B005F">
        <w:rPr>
          <w:rFonts w:ascii="Times New Roman" w:hAnsi="Times New Roman" w:cs="Times New Roman"/>
          <w:sz w:val="24"/>
          <w:szCs w:val="24"/>
        </w:rPr>
        <w:t>. Généralement, le montant de réserves prélevées est corrélé positivement avec le taux de rendement réel</w:t>
      </w:r>
      <w:r w:rsidRPr="002B005F">
        <w:rPr>
          <w:rStyle w:val="Appelnotedebasdep"/>
          <w:rFonts w:ascii="Times New Roman" w:hAnsi="Times New Roman"/>
          <w:sz w:val="24"/>
          <w:szCs w:val="24"/>
        </w:rPr>
        <w:footnoteReference w:id="277"/>
      </w:r>
      <w:r w:rsidRPr="002B005F">
        <w:rPr>
          <w:rFonts w:ascii="Times New Roman" w:hAnsi="Times New Roman" w:cs="Times New Roman"/>
          <w:sz w:val="24"/>
          <w:szCs w:val="24"/>
        </w:rPr>
        <w:t>. La BI peut recourir à deux pratiques standards de rétention de réserves pour atténuer le risque commercial déplacé</w:t>
      </w:r>
      <w:r w:rsidRPr="002B005F">
        <w:rPr>
          <w:rStyle w:val="Appelnotedebasdep"/>
          <w:rFonts w:ascii="Times New Roman" w:hAnsi="Times New Roman"/>
          <w:sz w:val="24"/>
          <w:szCs w:val="24"/>
        </w:rPr>
        <w:footnoteReference w:id="278"/>
      </w:r>
      <w:r w:rsidR="00064771" w:rsidRPr="002B005F">
        <w:rPr>
          <w:rFonts w:ascii="Times New Roman" w:hAnsi="Times New Roman" w:cs="Times New Roman"/>
          <w:sz w:val="24"/>
          <w:szCs w:val="24"/>
        </w:rPr>
        <w:t>, réserves recommandées par l’IFSB ET l’AAOIFI :</w:t>
      </w:r>
    </w:p>
    <w:p w14:paraId="23F6F336" w14:textId="77777777" w:rsidR="00064771" w:rsidRPr="002B005F" w:rsidRDefault="00064771" w:rsidP="00CB0FF1">
      <w:pPr>
        <w:pStyle w:val="Paragraphedeliste"/>
        <w:numPr>
          <w:ilvl w:val="0"/>
          <w:numId w:val="61"/>
        </w:numPr>
        <w:tabs>
          <w:tab w:val="left" w:pos="0"/>
        </w:tabs>
        <w:spacing w:before="60" w:line="300" w:lineRule="auto"/>
        <w:ind w:left="1208" w:hanging="357"/>
        <w:contextualSpacing w:val="0"/>
        <w:rPr>
          <w:rFonts w:ascii="Times New Roman" w:hAnsi="Times New Roman" w:cs="Times New Roman"/>
          <w:sz w:val="24"/>
          <w:szCs w:val="24"/>
          <w:lang w:val="en-GB"/>
        </w:rPr>
      </w:pPr>
      <w:r w:rsidRPr="002B005F">
        <w:rPr>
          <w:rFonts w:ascii="Times New Roman" w:hAnsi="Times New Roman" w:cs="Times New Roman"/>
          <w:sz w:val="24"/>
          <w:szCs w:val="24"/>
          <w:lang w:val="en-GB"/>
        </w:rPr>
        <w:t>Profit Equalization Reserve (PER),</w:t>
      </w:r>
    </w:p>
    <w:p w14:paraId="53DD1AB5" w14:textId="77777777" w:rsidR="002760B2" w:rsidRPr="002B005F" w:rsidRDefault="00064771" w:rsidP="00CB0FF1">
      <w:pPr>
        <w:pStyle w:val="Paragraphedeliste"/>
        <w:numPr>
          <w:ilvl w:val="0"/>
          <w:numId w:val="61"/>
        </w:numPr>
        <w:tabs>
          <w:tab w:val="left" w:pos="0"/>
        </w:tabs>
        <w:spacing w:before="60" w:line="300" w:lineRule="auto"/>
        <w:ind w:left="1208" w:hanging="357"/>
        <w:contextualSpacing w:val="0"/>
        <w:rPr>
          <w:rFonts w:ascii="Times New Roman" w:hAnsi="Times New Roman" w:cs="Times New Roman"/>
          <w:sz w:val="24"/>
          <w:szCs w:val="24"/>
          <w:lang w:val="en-GB"/>
        </w:rPr>
      </w:pPr>
      <w:r w:rsidRPr="002B005F">
        <w:rPr>
          <w:rFonts w:ascii="Times New Roman" w:hAnsi="Times New Roman" w:cs="Times New Roman"/>
          <w:sz w:val="24"/>
          <w:szCs w:val="24"/>
          <w:lang w:val="en-GB"/>
        </w:rPr>
        <w:t>Investment Risk Reserve (IRP).</w:t>
      </w:r>
    </w:p>
    <w:p w14:paraId="64568584" w14:textId="77777777" w:rsidR="002760B2" w:rsidRPr="002B005F" w:rsidRDefault="002760B2" w:rsidP="00313D15">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2B005F">
        <w:rPr>
          <w:rFonts w:ascii="Times New Roman" w:hAnsi="Times New Roman" w:cs="Times New Roman"/>
          <w:spacing w:val="-4"/>
          <w:sz w:val="24"/>
          <w:szCs w:val="24"/>
        </w:rPr>
        <w:t xml:space="preserve">La PER est retenue du résultat brut de la BI avant l’allocation des profits entre actionnaires et titulaires des comptes d’investissement. Alors que l’IRP est retenue à partir du revenu de la </w:t>
      </w:r>
      <w:r w:rsidR="004A4E16" w:rsidRPr="002B005F">
        <w:rPr>
          <w:rFonts w:ascii="Times New Roman" w:hAnsi="Times New Roman" w:cs="Times New Roman"/>
          <w:i/>
          <w:spacing w:val="-4"/>
          <w:sz w:val="24"/>
          <w:szCs w:val="24"/>
        </w:rPr>
        <w:t>moudaraba</w:t>
      </w:r>
      <w:r w:rsidRPr="002B005F">
        <w:rPr>
          <w:rFonts w:ascii="Times New Roman" w:hAnsi="Times New Roman" w:cs="Times New Roman"/>
          <w:spacing w:val="-4"/>
          <w:sz w:val="24"/>
          <w:szCs w:val="24"/>
        </w:rPr>
        <w:t xml:space="preserve"> qui représente la part attribuée aux titulaires des comptes d’investissement. Elle est prélevée après le calcul de la rémunération de la banque en tant que </w:t>
      </w:r>
      <w:r w:rsidRPr="002B005F">
        <w:rPr>
          <w:rFonts w:ascii="Times New Roman" w:hAnsi="Times New Roman" w:cs="Times New Roman"/>
          <w:i/>
          <w:iCs/>
          <w:spacing w:val="-4"/>
          <w:sz w:val="24"/>
          <w:szCs w:val="24"/>
        </w:rPr>
        <w:t>moudarib</w:t>
      </w:r>
      <w:r w:rsidRPr="002B005F">
        <w:rPr>
          <w:rFonts w:ascii="Times New Roman" w:hAnsi="Times New Roman" w:cs="Times New Roman"/>
          <w:spacing w:val="-4"/>
          <w:sz w:val="24"/>
          <w:szCs w:val="24"/>
        </w:rPr>
        <w:t>.</w:t>
      </w:r>
    </w:p>
    <w:p w14:paraId="664D0B24" w14:textId="77777777" w:rsidR="003F5483" w:rsidRPr="000847B9" w:rsidRDefault="003F5483" w:rsidP="000847B9">
      <w:pPr>
        <w:pStyle w:val="Titre5"/>
        <w:spacing w:before="120" w:after="120" w:line="300" w:lineRule="auto"/>
        <w:ind w:firstLine="709"/>
        <w:rPr>
          <w:rFonts w:asciiTheme="majorBidi" w:hAnsiTheme="majorBidi"/>
          <w:b/>
          <w:bCs/>
          <w:color w:val="auto"/>
          <w:sz w:val="24"/>
          <w:szCs w:val="24"/>
        </w:rPr>
      </w:pPr>
      <w:bookmarkStart w:id="1094" w:name="_Toc182298803"/>
      <w:r w:rsidRPr="000847B9">
        <w:rPr>
          <w:rFonts w:asciiTheme="majorBidi" w:hAnsiTheme="majorBidi"/>
          <w:b/>
          <w:bCs/>
          <w:color w:val="auto"/>
          <w:sz w:val="24"/>
          <w:szCs w:val="24"/>
        </w:rPr>
        <w:lastRenderedPageBreak/>
        <w:t>3.2.2.</w:t>
      </w:r>
      <w:r w:rsidR="0000518C" w:rsidRPr="000847B9">
        <w:rPr>
          <w:rFonts w:asciiTheme="majorBidi" w:hAnsiTheme="majorBidi"/>
          <w:b/>
          <w:bCs/>
          <w:color w:val="auto"/>
          <w:sz w:val="24"/>
          <w:szCs w:val="24"/>
        </w:rPr>
        <w:t>5</w:t>
      </w:r>
      <w:r w:rsidR="0038112E" w:rsidRPr="000847B9">
        <w:rPr>
          <w:rFonts w:asciiTheme="majorBidi" w:hAnsiTheme="majorBidi"/>
          <w:b/>
          <w:bCs/>
          <w:color w:val="auto"/>
          <w:sz w:val="24"/>
          <w:szCs w:val="24"/>
        </w:rPr>
        <w:t>- Gestion de risque</w:t>
      </w:r>
      <w:r w:rsidRPr="000847B9">
        <w:rPr>
          <w:rFonts w:asciiTheme="majorBidi" w:hAnsiTheme="majorBidi"/>
          <w:b/>
          <w:bCs/>
          <w:color w:val="auto"/>
          <w:sz w:val="24"/>
          <w:szCs w:val="24"/>
        </w:rPr>
        <w:t xml:space="preserve"> de marché</w:t>
      </w:r>
      <w:bookmarkEnd w:id="1094"/>
    </w:p>
    <w:p w14:paraId="34B15D63" w14:textId="77777777" w:rsidR="0038112E" w:rsidRPr="0070192A" w:rsidRDefault="003F5483" w:rsidP="0038112E">
      <w:pPr>
        <w:pStyle w:val="Paragraphedeliste"/>
        <w:tabs>
          <w:tab w:val="left" w:pos="0"/>
        </w:tabs>
        <w:spacing w:before="120" w:line="300" w:lineRule="auto"/>
        <w:ind w:left="0" w:firstLine="709"/>
        <w:contextualSpacing w:val="0"/>
        <w:rPr>
          <w:rFonts w:asciiTheme="majorBidi" w:hAnsiTheme="majorBidi" w:cstheme="majorBidi"/>
          <w:sz w:val="24"/>
          <w:szCs w:val="24"/>
        </w:rPr>
      </w:pPr>
      <w:r w:rsidRPr="002B005F">
        <w:rPr>
          <w:rFonts w:ascii="Times New Roman" w:hAnsi="Times New Roman" w:cs="Times New Roman"/>
          <w:sz w:val="24"/>
          <w:szCs w:val="24"/>
        </w:rPr>
        <w:t>Ce risque est dû aux changements de nature économique. Il englobe les risques suivants : le risque de taux d’intérêt, le risque de change, risque lié aux fluctuations des prix des marchandises et des actions</w:t>
      </w:r>
      <w:r w:rsidRPr="0070192A">
        <w:rPr>
          <w:rFonts w:asciiTheme="majorBidi" w:hAnsiTheme="majorBidi" w:cstheme="majorBidi"/>
          <w:sz w:val="24"/>
          <w:szCs w:val="24"/>
        </w:rPr>
        <w:t xml:space="preserve">. Pour </w:t>
      </w:r>
      <w:r w:rsidR="00615EBA" w:rsidRPr="0070192A">
        <w:rPr>
          <w:rFonts w:asciiTheme="majorBidi" w:hAnsiTheme="majorBidi" w:cstheme="majorBidi"/>
          <w:sz w:val="24"/>
          <w:szCs w:val="24"/>
        </w:rPr>
        <w:t>la</w:t>
      </w:r>
      <w:r w:rsidRPr="0070192A">
        <w:rPr>
          <w:rFonts w:asciiTheme="majorBidi" w:hAnsiTheme="majorBidi" w:cstheme="majorBidi"/>
          <w:sz w:val="24"/>
          <w:szCs w:val="24"/>
        </w:rPr>
        <w:t xml:space="preserve"> BI, </w:t>
      </w:r>
      <w:r w:rsidR="0038112E" w:rsidRPr="0070192A">
        <w:rPr>
          <w:rFonts w:asciiTheme="majorBidi" w:hAnsiTheme="majorBidi" w:cstheme="majorBidi"/>
          <w:sz w:val="24"/>
          <w:szCs w:val="24"/>
        </w:rPr>
        <w:t>puisqu’elle ne pratique pas l’intérêt, il semble qu’elle est à l’abri des risques de marché liés à la fluctuation des taux d’intérêt.</w:t>
      </w:r>
      <w:r w:rsidR="0070192A" w:rsidRPr="0070192A">
        <w:rPr>
          <w:rFonts w:asciiTheme="majorBidi" w:hAnsiTheme="majorBidi" w:cstheme="majorBidi"/>
          <w:sz w:val="24"/>
          <w:szCs w:val="24"/>
        </w:rPr>
        <w:t xml:space="preserve"> Par contre, elle est exposé</w:t>
      </w:r>
      <w:r w:rsidR="0070192A">
        <w:rPr>
          <w:rFonts w:asciiTheme="majorBidi" w:hAnsiTheme="majorBidi" w:cstheme="majorBidi"/>
          <w:sz w:val="24"/>
          <w:szCs w:val="24"/>
        </w:rPr>
        <w:t>e</w:t>
      </w:r>
      <w:r w:rsidR="0070192A" w:rsidRPr="0070192A">
        <w:rPr>
          <w:rFonts w:asciiTheme="majorBidi" w:hAnsiTheme="majorBidi" w:cstheme="majorBidi"/>
          <w:sz w:val="24"/>
          <w:szCs w:val="24"/>
        </w:rPr>
        <w:t xml:space="preserve"> au risque de taux de référence.</w:t>
      </w:r>
    </w:p>
    <w:p w14:paraId="13587BBB" w14:textId="77777777" w:rsidR="003F5483" w:rsidRPr="000847B9" w:rsidRDefault="00CA13DD" w:rsidP="00774B74">
      <w:pPr>
        <w:pStyle w:val="Titre6"/>
        <w:keepNext w:val="0"/>
        <w:keepLines w:val="0"/>
        <w:spacing w:before="120" w:after="120" w:line="300" w:lineRule="auto"/>
        <w:ind w:firstLine="709"/>
        <w:rPr>
          <w:rFonts w:asciiTheme="majorBidi" w:hAnsiTheme="majorBidi"/>
          <w:b/>
          <w:bCs/>
          <w:i w:val="0"/>
          <w:iCs w:val="0"/>
          <w:color w:val="auto"/>
          <w:sz w:val="24"/>
          <w:szCs w:val="24"/>
        </w:rPr>
      </w:pPr>
      <w:bookmarkStart w:id="1095" w:name="_Toc182298804"/>
      <w:r w:rsidRPr="000847B9">
        <w:rPr>
          <w:rFonts w:asciiTheme="majorBidi" w:hAnsiTheme="majorBidi"/>
          <w:b/>
          <w:bCs/>
          <w:i w:val="0"/>
          <w:iCs w:val="0"/>
          <w:color w:val="auto"/>
          <w:sz w:val="24"/>
          <w:szCs w:val="24"/>
        </w:rPr>
        <w:t>3.2.2.</w:t>
      </w:r>
      <w:r w:rsidR="0000518C" w:rsidRPr="000847B9">
        <w:rPr>
          <w:rFonts w:asciiTheme="majorBidi" w:hAnsiTheme="majorBidi"/>
          <w:b/>
          <w:bCs/>
          <w:i w:val="0"/>
          <w:iCs w:val="0"/>
          <w:color w:val="auto"/>
          <w:sz w:val="24"/>
          <w:szCs w:val="24"/>
        </w:rPr>
        <w:t>5</w:t>
      </w:r>
      <w:r w:rsidRPr="000847B9">
        <w:rPr>
          <w:rFonts w:asciiTheme="majorBidi" w:hAnsiTheme="majorBidi"/>
          <w:b/>
          <w:bCs/>
          <w:i w:val="0"/>
          <w:iCs w:val="0"/>
          <w:color w:val="auto"/>
          <w:sz w:val="24"/>
          <w:szCs w:val="24"/>
        </w:rPr>
        <w:t xml:space="preserve">.1- </w:t>
      </w:r>
      <w:r w:rsidR="003F5483" w:rsidRPr="000847B9">
        <w:rPr>
          <w:rFonts w:asciiTheme="majorBidi" w:hAnsiTheme="majorBidi"/>
          <w:b/>
          <w:bCs/>
          <w:i w:val="0"/>
          <w:iCs w:val="0"/>
          <w:color w:val="auto"/>
          <w:sz w:val="24"/>
          <w:szCs w:val="24"/>
        </w:rPr>
        <w:t>Gestion de risque de taux de référence</w:t>
      </w:r>
      <w:bookmarkEnd w:id="1095"/>
    </w:p>
    <w:p w14:paraId="448F6377" w14:textId="77777777" w:rsidR="003F5483" w:rsidRPr="002B005F" w:rsidRDefault="0070192A" w:rsidP="00774B74">
      <w:pPr>
        <w:pStyle w:val="Paragraphedeliste"/>
        <w:tabs>
          <w:tab w:val="left" w:pos="0"/>
        </w:tabs>
        <w:spacing w:before="120" w:line="300" w:lineRule="auto"/>
        <w:ind w:left="0" w:firstLine="709"/>
        <w:contextualSpacing w:val="0"/>
        <w:rPr>
          <w:rFonts w:ascii="Times New Roman" w:hAnsi="Times New Roman" w:cs="Times New Roman"/>
          <w:spacing w:val="-2"/>
          <w:sz w:val="24"/>
          <w:szCs w:val="24"/>
        </w:rPr>
      </w:pPr>
      <w:r>
        <w:rPr>
          <w:rFonts w:ascii="Times New Roman" w:hAnsi="Times New Roman" w:cs="Times New Roman"/>
          <w:spacing w:val="-2"/>
          <w:sz w:val="24"/>
          <w:szCs w:val="24"/>
        </w:rPr>
        <w:t>L</w:t>
      </w:r>
      <w:r w:rsidR="003F5483" w:rsidRPr="002B005F">
        <w:rPr>
          <w:rFonts w:ascii="Times New Roman" w:hAnsi="Times New Roman" w:cs="Times New Roman"/>
          <w:spacing w:val="-2"/>
          <w:sz w:val="24"/>
          <w:szCs w:val="24"/>
        </w:rPr>
        <w:t xml:space="preserve">a technique de l’analyse différentielle est très fiable pour gérer les risques de </w:t>
      </w:r>
      <w:r w:rsidRPr="0070192A">
        <w:rPr>
          <w:rFonts w:ascii="Times New Roman" w:hAnsi="Times New Roman" w:cs="Times New Roman"/>
          <w:spacing w:val="-2"/>
          <w:sz w:val="24"/>
          <w:szCs w:val="24"/>
        </w:rPr>
        <w:t>taux de référence</w:t>
      </w:r>
      <w:r w:rsidR="003F5483" w:rsidRPr="0070192A">
        <w:rPr>
          <w:rFonts w:ascii="Times New Roman" w:hAnsi="Times New Roman" w:cs="Times New Roman"/>
          <w:spacing w:val="-2"/>
          <w:sz w:val="24"/>
          <w:szCs w:val="24"/>
        </w:rPr>
        <w:t>. Elle mesure le revenu net et sa sensibilité par rapport à un point de référence donné. Donc, elle vise à immuniser le revenu net contre les fluctuations du taux de référence.</w:t>
      </w:r>
      <w:r w:rsidR="003F5483" w:rsidRPr="002B005F">
        <w:rPr>
          <w:rFonts w:ascii="Times New Roman" w:hAnsi="Times New Roman" w:cs="Times New Roman"/>
          <w:spacing w:val="-2"/>
          <w:sz w:val="24"/>
          <w:szCs w:val="24"/>
        </w:rPr>
        <w:t xml:space="preserve"> L’efficacité de cette méthode dépend de la capacité de réévaluation de l’actif et du pa</w:t>
      </w:r>
      <w:r w:rsidR="000F4546">
        <w:rPr>
          <w:rFonts w:ascii="Times New Roman" w:hAnsi="Times New Roman" w:cs="Times New Roman"/>
          <w:spacing w:val="-2"/>
          <w:sz w:val="24"/>
          <w:szCs w:val="24"/>
        </w:rPr>
        <w:t>ssif des banques. Concernant la</w:t>
      </w:r>
      <w:r w:rsidR="003F5483" w:rsidRPr="002B005F">
        <w:rPr>
          <w:rFonts w:ascii="Times New Roman" w:hAnsi="Times New Roman" w:cs="Times New Roman"/>
          <w:spacing w:val="-2"/>
          <w:sz w:val="24"/>
          <w:szCs w:val="24"/>
        </w:rPr>
        <w:t xml:space="preserve"> BI, les dépôts d’investissement sont parfaitement réévaluables puisque le taux de rendement anticipé varie selon le taux de profit du marché. </w:t>
      </w:r>
      <w:r w:rsidR="000F4546">
        <w:rPr>
          <w:rFonts w:ascii="Times New Roman" w:hAnsi="Times New Roman" w:cs="Times New Roman"/>
          <w:spacing w:val="-2"/>
          <w:sz w:val="24"/>
          <w:szCs w:val="24"/>
        </w:rPr>
        <w:t>Mais, la plupart des emplois de la</w:t>
      </w:r>
      <w:r w:rsidR="003F5483" w:rsidRPr="002B005F">
        <w:rPr>
          <w:rFonts w:ascii="Times New Roman" w:hAnsi="Times New Roman" w:cs="Times New Roman"/>
          <w:spacing w:val="-2"/>
          <w:sz w:val="24"/>
          <w:szCs w:val="24"/>
        </w:rPr>
        <w:t xml:space="preserve"> BI ne sont pas réévaluables à cause des restrictions liées à la vente des dettes. Donc, les managers des BI doivent disposer d’un maximum d’emplois réévaluables. Les instruments financiers qui figurent dans le </w:t>
      </w:r>
      <w:r w:rsidR="003F5483" w:rsidRPr="002B005F">
        <w:rPr>
          <w:rFonts w:ascii="Times New Roman" w:hAnsi="Times New Roman" w:cs="Times New Roman"/>
          <w:b/>
          <w:bCs/>
          <w:spacing w:val="-2"/>
          <w:sz w:val="24"/>
          <w:szCs w:val="24"/>
        </w:rPr>
        <w:t>tableau 06</w:t>
      </w:r>
      <w:r w:rsidR="003F5483" w:rsidRPr="002B005F">
        <w:rPr>
          <w:rFonts w:ascii="Times New Roman" w:hAnsi="Times New Roman" w:cs="Times New Roman"/>
          <w:spacing w:val="-2"/>
          <w:sz w:val="24"/>
          <w:szCs w:val="24"/>
        </w:rPr>
        <w:t xml:space="preserve"> pourraient rendre une partie des emplois bancaires </w:t>
      </w:r>
      <w:r w:rsidR="003F5483">
        <w:rPr>
          <w:rFonts w:ascii="Times New Roman" w:hAnsi="Times New Roman" w:cs="Times New Roman"/>
          <w:spacing w:val="-2"/>
          <w:sz w:val="24"/>
          <w:szCs w:val="24"/>
        </w:rPr>
        <w:t>i</w:t>
      </w:r>
      <w:r w:rsidR="003F5483" w:rsidRPr="002B005F">
        <w:rPr>
          <w:rFonts w:ascii="Times New Roman" w:hAnsi="Times New Roman" w:cs="Times New Roman"/>
          <w:spacing w:val="-2"/>
          <w:sz w:val="24"/>
          <w:szCs w:val="24"/>
        </w:rPr>
        <w:t>slamiques plus liquides</w:t>
      </w:r>
      <w:r w:rsidR="00F66F48" w:rsidRPr="00F66F48">
        <w:rPr>
          <w:rFonts w:ascii="Times New Roman" w:hAnsi="Times New Roman" w:cs="Times New Roman"/>
          <w:spacing w:val="-2"/>
          <w:sz w:val="24"/>
          <w:szCs w:val="24"/>
        </w:rPr>
        <w:t xml:space="preserve"> </w:t>
      </w:r>
      <w:r w:rsidR="00F66F48" w:rsidRPr="002B005F">
        <w:rPr>
          <w:rFonts w:ascii="Times New Roman" w:hAnsi="Times New Roman" w:cs="Times New Roman"/>
          <w:spacing w:val="-2"/>
          <w:sz w:val="24"/>
          <w:szCs w:val="24"/>
        </w:rPr>
        <w:t xml:space="preserve">dans le </w:t>
      </w:r>
      <w:r w:rsidR="00F66F48" w:rsidRPr="0070192A">
        <w:rPr>
          <w:rFonts w:ascii="Times New Roman" w:hAnsi="Times New Roman" w:cs="Times New Roman"/>
          <w:spacing w:val="-2"/>
          <w:sz w:val="24"/>
          <w:szCs w:val="24"/>
        </w:rPr>
        <w:t>futu</w:t>
      </w:r>
      <w:r w:rsidRPr="0070192A">
        <w:rPr>
          <w:rFonts w:ascii="Times New Roman" w:hAnsi="Times New Roman" w:cs="Times New Roman"/>
          <w:spacing w:val="-2"/>
          <w:sz w:val="24"/>
          <w:szCs w:val="24"/>
        </w:rPr>
        <w:t>r</w:t>
      </w:r>
      <w:r w:rsidR="003F5483" w:rsidRPr="0070192A">
        <w:rPr>
          <w:rFonts w:ascii="Times New Roman" w:hAnsi="Times New Roman" w:cs="Times New Roman"/>
          <w:spacing w:val="-2"/>
          <w:sz w:val="24"/>
          <w:szCs w:val="24"/>
        </w:rPr>
        <w:t>.</w:t>
      </w:r>
    </w:p>
    <w:p w14:paraId="4BE79E5A" w14:textId="77777777" w:rsidR="003F5483" w:rsidRPr="002B005F" w:rsidRDefault="003F5483" w:rsidP="00774B74">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pacing w:val="-4"/>
          <w:sz w:val="24"/>
          <w:szCs w:val="24"/>
        </w:rPr>
        <w:t>D’ailleurs, les contrats liés</w:t>
      </w:r>
      <w:r w:rsidR="000F4546">
        <w:rPr>
          <w:rFonts w:ascii="Times New Roman" w:hAnsi="Times New Roman" w:cs="Times New Roman"/>
          <w:spacing w:val="-4"/>
          <w:sz w:val="24"/>
          <w:szCs w:val="24"/>
        </w:rPr>
        <w:t xml:space="preserve"> à deux étapes utilisées par la</w:t>
      </w:r>
      <w:r w:rsidRPr="002B005F">
        <w:rPr>
          <w:rFonts w:ascii="Times New Roman" w:hAnsi="Times New Roman" w:cs="Times New Roman"/>
          <w:spacing w:val="-4"/>
          <w:sz w:val="24"/>
          <w:szCs w:val="24"/>
        </w:rPr>
        <w:t xml:space="preserve"> BI contribuent à la gestion du risque de taux de référence. Par exemple, dans les contrats </w:t>
      </w:r>
      <w:r w:rsidRPr="002B005F">
        <w:rPr>
          <w:rFonts w:ascii="Times New Roman" w:hAnsi="Times New Roman" w:cs="Times New Roman"/>
          <w:i/>
          <w:iCs/>
          <w:spacing w:val="-4"/>
          <w:sz w:val="24"/>
          <w:szCs w:val="24"/>
        </w:rPr>
        <w:t>mourabaha</w:t>
      </w:r>
      <w:r w:rsidRPr="002B005F">
        <w:rPr>
          <w:rFonts w:ascii="Times New Roman" w:hAnsi="Times New Roman" w:cs="Times New Roman"/>
          <w:spacing w:val="-4"/>
          <w:sz w:val="24"/>
          <w:szCs w:val="24"/>
        </w:rPr>
        <w:t xml:space="preserve">, la banque paie le fournisseur à la place du client et reçoit le paiement échelonné de la part de ce dernier. Donc, en signant deux contrats (l’un en tant que fournisseur vis-à-vis du client et l’autre en tant qu’acheteur vis-à-vis du fournisseur), </w:t>
      </w:r>
      <w:r w:rsidRPr="0070192A">
        <w:rPr>
          <w:rFonts w:ascii="Times New Roman" w:hAnsi="Times New Roman" w:cs="Times New Roman"/>
          <w:spacing w:val="-4"/>
          <w:sz w:val="24"/>
          <w:szCs w:val="24"/>
        </w:rPr>
        <w:t>la banque bénéficie des avantages suivants</w:t>
      </w:r>
      <w:r w:rsidRPr="0070192A">
        <w:rPr>
          <w:rStyle w:val="Appelnotedebasdep"/>
          <w:rFonts w:ascii="Times New Roman" w:hAnsi="Times New Roman"/>
          <w:spacing w:val="-4"/>
          <w:sz w:val="24"/>
          <w:szCs w:val="24"/>
        </w:rPr>
        <w:footnoteReference w:id="279"/>
      </w:r>
      <w:r w:rsidRPr="0070192A">
        <w:rPr>
          <w:rFonts w:ascii="Times New Roman" w:hAnsi="Times New Roman" w:cs="Times New Roman"/>
          <w:spacing w:val="-4"/>
          <w:sz w:val="24"/>
          <w:szCs w:val="24"/>
        </w:rPr>
        <w:t xml:space="preserve"> (</w:t>
      </w:r>
      <w:r w:rsidRPr="0070192A">
        <w:rPr>
          <w:rFonts w:ascii="Times New Roman" w:hAnsi="Times New Roman" w:cs="Times New Roman"/>
          <w:smallCaps/>
          <w:spacing w:val="-4"/>
          <w:sz w:val="24"/>
          <w:szCs w:val="24"/>
        </w:rPr>
        <w:t>Khan</w:t>
      </w:r>
      <w:r w:rsidRPr="002B005F">
        <w:rPr>
          <w:rFonts w:ascii="Times New Roman" w:hAnsi="Times New Roman" w:cs="Times New Roman"/>
          <w:spacing w:val="-4"/>
          <w:sz w:val="24"/>
          <w:szCs w:val="24"/>
        </w:rPr>
        <w:t xml:space="preserve"> et </w:t>
      </w:r>
      <w:r w:rsidRPr="002B005F">
        <w:rPr>
          <w:rFonts w:ascii="Times New Roman" w:hAnsi="Times New Roman" w:cs="Times New Roman"/>
          <w:smallCaps/>
          <w:spacing w:val="-4"/>
          <w:sz w:val="24"/>
          <w:szCs w:val="24"/>
        </w:rPr>
        <w:t>Ahmad</w:t>
      </w:r>
      <w:r w:rsidRPr="002B005F">
        <w:rPr>
          <w:rFonts w:ascii="Times New Roman" w:hAnsi="Times New Roman" w:cs="Times New Roman"/>
          <w:spacing w:val="-4"/>
          <w:sz w:val="24"/>
          <w:szCs w:val="24"/>
        </w:rPr>
        <w:t>, 2002)</w:t>
      </w:r>
      <w:r w:rsidRPr="002B005F">
        <w:rPr>
          <w:rFonts w:ascii="Times New Roman" w:hAnsi="Times New Roman" w:cs="Times New Roman"/>
          <w:sz w:val="24"/>
          <w:szCs w:val="24"/>
        </w:rPr>
        <w:t> :</w:t>
      </w:r>
    </w:p>
    <w:p w14:paraId="0FB2BF89" w14:textId="77777777" w:rsidR="003F5483" w:rsidRPr="002B005F" w:rsidRDefault="003F5483" w:rsidP="00CB0FF1">
      <w:pPr>
        <w:pStyle w:val="Paragraphedeliste"/>
        <w:numPr>
          <w:ilvl w:val="0"/>
          <w:numId w:val="16"/>
        </w:numPr>
        <w:tabs>
          <w:tab w:val="left" w:pos="284"/>
          <w:tab w:val="left" w:pos="851"/>
          <w:tab w:val="left" w:pos="1134"/>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Cela peut servir comme une source de fonds surtout dans le cas d’une longue échéance ;</w:t>
      </w:r>
    </w:p>
    <w:p w14:paraId="576AA044" w14:textId="77777777" w:rsidR="003F5483" w:rsidRPr="002B005F" w:rsidRDefault="003F5483" w:rsidP="00CB0FF1">
      <w:pPr>
        <w:pStyle w:val="Paragraphedeliste"/>
        <w:numPr>
          <w:ilvl w:val="0"/>
          <w:numId w:val="16"/>
        </w:numPr>
        <w:tabs>
          <w:tab w:val="left" w:pos="284"/>
          <w:tab w:val="left" w:pos="851"/>
          <w:tab w:val="left" w:pos="1134"/>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Ces contrats </w:t>
      </w:r>
      <w:r w:rsidRPr="0070192A">
        <w:rPr>
          <w:rFonts w:ascii="Times New Roman" w:hAnsi="Times New Roman" w:cs="Times New Roman"/>
          <w:sz w:val="24"/>
          <w:szCs w:val="24"/>
        </w:rPr>
        <w:t>renforcent les</w:t>
      </w:r>
      <w:r w:rsidR="0070192A">
        <w:rPr>
          <w:rFonts w:ascii="Times New Roman" w:hAnsi="Times New Roman" w:cs="Times New Roman"/>
          <w:sz w:val="24"/>
          <w:szCs w:val="24"/>
        </w:rPr>
        <w:t xml:space="preserve"> ressources gérées par la</w:t>
      </w:r>
      <w:r w:rsidRPr="002B005F">
        <w:rPr>
          <w:rFonts w:ascii="Times New Roman" w:hAnsi="Times New Roman" w:cs="Times New Roman"/>
          <w:sz w:val="24"/>
          <w:szCs w:val="24"/>
        </w:rPr>
        <w:t xml:space="preserve"> BI et </w:t>
      </w:r>
      <w:r w:rsidRPr="0070192A">
        <w:rPr>
          <w:rFonts w:ascii="Times New Roman" w:hAnsi="Times New Roman" w:cs="Times New Roman"/>
          <w:sz w:val="24"/>
          <w:szCs w:val="24"/>
        </w:rPr>
        <w:t>contribu</w:t>
      </w:r>
      <w:r w:rsidR="0070192A" w:rsidRPr="0070192A">
        <w:rPr>
          <w:rFonts w:ascii="Times New Roman" w:hAnsi="Times New Roman" w:cs="Times New Roman"/>
          <w:sz w:val="24"/>
          <w:szCs w:val="24"/>
        </w:rPr>
        <w:t>en</w:t>
      </w:r>
      <w:r w:rsidRPr="0070192A">
        <w:rPr>
          <w:rFonts w:ascii="Times New Roman" w:hAnsi="Times New Roman" w:cs="Times New Roman"/>
          <w:sz w:val="24"/>
          <w:szCs w:val="24"/>
        </w:rPr>
        <w:t>t à</w:t>
      </w:r>
      <w:r w:rsidRPr="002B005F">
        <w:rPr>
          <w:rFonts w:ascii="Times New Roman" w:hAnsi="Times New Roman" w:cs="Times New Roman"/>
          <w:sz w:val="24"/>
          <w:szCs w:val="24"/>
        </w:rPr>
        <w:t xml:space="preserve"> renforcer le revenu net et par conséquent la compétitivité des BI ;</w:t>
      </w:r>
    </w:p>
    <w:p w14:paraId="30934511" w14:textId="77777777" w:rsidR="003F5483" w:rsidRPr="002B005F" w:rsidRDefault="003F5483" w:rsidP="00CB0FF1">
      <w:pPr>
        <w:pStyle w:val="Paragraphedeliste"/>
        <w:numPr>
          <w:ilvl w:val="0"/>
          <w:numId w:val="16"/>
        </w:numPr>
        <w:tabs>
          <w:tab w:val="left" w:pos="284"/>
          <w:tab w:val="left" w:pos="851"/>
          <w:tab w:val="left" w:pos="1134"/>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Cela renfo</w:t>
      </w:r>
      <w:r w:rsidR="0070192A">
        <w:rPr>
          <w:rFonts w:ascii="Times New Roman" w:hAnsi="Times New Roman" w:cs="Times New Roman"/>
          <w:sz w:val="24"/>
          <w:szCs w:val="24"/>
        </w:rPr>
        <w:t>rce la solvabilité immédiate de la</w:t>
      </w:r>
      <w:r w:rsidRPr="002B005F">
        <w:rPr>
          <w:rFonts w:ascii="Times New Roman" w:hAnsi="Times New Roman" w:cs="Times New Roman"/>
          <w:sz w:val="24"/>
          <w:szCs w:val="24"/>
        </w:rPr>
        <w:t xml:space="preserve"> BI car les liquidités favorisent souvent la stabilité ;</w:t>
      </w:r>
    </w:p>
    <w:p w14:paraId="1CCD7A64" w14:textId="77777777" w:rsidR="003F5483" w:rsidRPr="002B005F" w:rsidRDefault="003F5483" w:rsidP="00CB0FF1">
      <w:pPr>
        <w:pStyle w:val="Paragraphedeliste"/>
        <w:numPr>
          <w:ilvl w:val="0"/>
          <w:numId w:val="16"/>
        </w:numPr>
        <w:tabs>
          <w:tab w:val="left" w:pos="284"/>
          <w:tab w:val="left" w:pos="851"/>
          <w:tab w:val="left" w:pos="1134"/>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Ces contrats offrent une flexibilité dans la gestion des ressources en proposant des fin</w:t>
      </w:r>
      <w:r w:rsidR="000F4546">
        <w:rPr>
          <w:rFonts w:ascii="Times New Roman" w:hAnsi="Times New Roman" w:cs="Times New Roman"/>
          <w:sz w:val="24"/>
          <w:szCs w:val="24"/>
        </w:rPr>
        <w:t>ancements à échéance variée. La BI peu</w:t>
      </w:r>
      <w:r w:rsidRPr="002B005F">
        <w:rPr>
          <w:rFonts w:ascii="Times New Roman" w:hAnsi="Times New Roman" w:cs="Times New Roman"/>
          <w:sz w:val="24"/>
          <w:szCs w:val="24"/>
        </w:rPr>
        <w:t>t rapprocher les échéances actif-passif d’une manière plus efficace ;</w:t>
      </w:r>
    </w:p>
    <w:p w14:paraId="11DD004F" w14:textId="77777777" w:rsidR="003F5483" w:rsidRPr="002B005F" w:rsidRDefault="0070192A" w:rsidP="00CB0FF1">
      <w:pPr>
        <w:pStyle w:val="Paragraphedeliste"/>
        <w:numPr>
          <w:ilvl w:val="0"/>
          <w:numId w:val="16"/>
        </w:numPr>
        <w:tabs>
          <w:tab w:val="left" w:pos="284"/>
          <w:tab w:val="left" w:pos="851"/>
          <w:tab w:val="left" w:pos="1134"/>
        </w:tabs>
        <w:spacing w:before="60" w:line="300" w:lineRule="auto"/>
        <w:ind w:left="1135" w:hanging="284"/>
        <w:contextualSpacing w:val="0"/>
        <w:rPr>
          <w:rFonts w:ascii="Times New Roman" w:hAnsi="Times New Roman" w:cs="Times New Roman"/>
          <w:sz w:val="24"/>
          <w:szCs w:val="24"/>
        </w:rPr>
      </w:pPr>
      <w:r>
        <w:rPr>
          <w:rFonts w:ascii="Times New Roman" w:hAnsi="Times New Roman" w:cs="Times New Roman"/>
          <w:sz w:val="24"/>
          <w:szCs w:val="24"/>
        </w:rPr>
        <w:t>La BI peut garantir</w:t>
      </w:r>
      <w:r w:rsidR="003F5483" w:rsidRPr="002B005F">
        <w:rPr>
          <w:rFonts w:ascii="Times New Roman" w:hAnsi="Times New Roman" w:cs="Times New Roman"/>
          <w:sz w:val="24"/>
          <w:szCs w:val="24"/>
        </w:rPr>
        <w:t xml:space="preserve"> le remboursement des fonds par les clients. Par conséquent, la garantie est offerte d’une manière plus acceptable et plus transparente.</w:t>
      </w:r>
    </w:p>
    <w:p w14:paraId="66619018" w14:textId="77777777" w:rsidR="003F5483" w:rsidRPr="002B005F" w:rsidRDefault="003F5483" w:rsidP="00774B74">
      <w:pPr>
        <w:pStyle w:val="Paragraphedeliste"/>
        <w:tabs>
          <w:tab w:val="left" w:pos="284"/>
          <w:tab w:val="left" w:pos="851"/>
          <w:tab w:val="left" w:pos="1134"/>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 concept de contrat à deux étapes n’est pas limité à la </w:t>
      </w:r>
      <w:r w:rsidRPr="002B005F">
        <w:rPr>
          <w:rFonts w:ascii="Times New Roman" w:hAnsi="Times New Roman" w:cs="Times New Roman"/>
          <w:i/>
          <w:iCs/>
          <w:sz w:val="24"/>
          <w:szCs w:val="24"/>
        </w:rPr>
        <w:t>mourabaha</w:t>
      </w:r>
      <w:r w:rsidRPr="002B005F">
        <w:rPr>
          <w:rFonts w:ascii="Times New Roman" w:hAnsi="Times New Roman" w:cs="Times New Roman"/>
          <w:sz w:val="24"/>
          <w:szCs w:val="24"/>
        </w:rPr>
        <w:t>. Il peut être étendu à l’</w:t>
      </w:r>
      <w:r w:rsidRPr="002B005F">
        <w:rPr>
          <w:rFonts w:ascii="Times New Roman" w:hAnsi="Times New Roman" w:cs="Times New Roman"/>
          <w:i/>
          <w:iCs/>
          <w:sz w:val="24"/>
          <w:szCs w:val="24"/>
        </w:rPr>
        <w:t>istisna’</w:t>
      </w:r>
      <w:r w:rsidRPr="002B005F">
        <w:rPr>
          <w:rFonts w:ascii="Times New Roman" w:hAnsi="Times New Roman" w:cs="Times New Roman"/>
          <w:sz w:val="24"/>
          <w:szCs w:val="24"/>
        </w:rPr>
        <w:t xml:space="preserve">, au leasing et au </w:t>
      </w:r>
      <w:r w:rsidRPr="002B005F">
        <w:rPr>
          <w:rFonts w:ascii="Times New Roman" w:hAnsi="Times New Roman" w:cs="Times New Roman"/>
          <w:i/>
          <w:sz w:val="24"/>
          <w:szCs w:val="24"/>
        </w:rPr>
        <w:t>salam</w:t>
      </w:r>
      <w:r w:rsidRPr="002B005F">
        <w:rPr>
          <w:rFonts w:ascii="Times New Roman" w:hAnsi="Times New Roman" w:cs="Times New Roman"/>
          <w:sz w:val="24"/>
          <w:szCs w:val="24"/>
        </w:rPr>
        <w:t>.</w:t>
      </w:r>
    </w:p>
    <w:p w14:paraId="47E1C7CD" w14:textId="6F389D81" w:rsidR="003F5483" w:rsidRPr="002B005F" w:rsidRDefault="003F5483" w:rsidP="00774B74">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 contrat </w:t>
      </w:r>
      <w:r w:rsidR="00DC7D4F" w:rsidRPr="00DC7D4F">
        <w:rPr>
          <w:rFonts w:ascii="Times New Roman" w:hAnsi="Times New Roman" w:cs="Times New Roman"/>
          <w:i/>
          <w:iCs/>
          <w:sz w:val="24"/>
          <w:szCs w:val="24"/>
        </w:rPr>
        <w:t>s</w:t>
      </w:r>
      <w:r w:rsidRPr="00DC7D4F">
        <w:rPr>
          <w:rFonts w:ascii="Times New Roman" w:hAnsi="Times New Roman" w:cs="Times New Roman"/>
          <w:i/>
          <w:iCs/>
          <w:sz w:val="24"/>
          <w:szCs w:val="24"/>
        </w:rPr>
        <w:t>wap</w:t>
      </w:r>
      <w:r w:rsidRPr="002B005F">
        <w:rPr>
          <w:rFonts w:ascii="Times New Roman" w:hAnsi="Times New Roman" w:cs="Times New Roman"/>
          <w:sz w:val="24"/>
          <w:szCs w:val="24"/>
        </w:rPr>
        <w:t xml:space="preserve"> peut être utilisé pour réduire le risque de taux de référence mais</w:t>
      </w:r>
      <w:r w:rsidR="00DC7D4F">
        <w:rPr>
          <w:rFonts w:ascii="Times New Roman" w:hAnsi="Times New Roman" w:cs="Times New Roman"/>
          <w:sz w:val="24"/>
          <w:szCs w:val="24"/>
        </w:rPr>
        <w:t>,</w:t>
      </w:r>
      <w:r w:rsidRPr="002B005F">
        <w:rPr>
          <w:rFonts w:ascii="Times New Roman" w:hAnsi="Times New Roman" w:cs="Times New Roman"/>
          <w:sz w:val="24"/>
          <w:szCs w:val="24"/>
        </w:rPr>
        <w:t xml:space="preserve"> à condition d’avoir des instruments compatibles avec la </w:t>
      </w:r>
      <w:r w:rsidR="00675057">
        <w:rPr>
          <w:rFonts w:ascii="Times New Roman" w:hAnsi="Times New Roman" w:cs="Times New Roman"/>
          <w:i/>
          <w:spacing w:val="4"/>
          <w:sz w:val="24"/>
          <w:szCs w:val="24"/>
        </w:rPr>
        <w:t>S</w:t>
      </w:r>
      <w:r w:rsidR="00675057" w:rsidRPr="008E2909">
        <w:rPr>
          <w:rFonts w:ascii="Times New Roman" w:hAnsi="Times New Roman" w:cs="Times New Roman"/>
          <w:i/>
          <w:spacing w:val="4"/>
          <w:sz w:val="24"/>
          <w:szCs w:val="24"/>
        </w:rPr>
        <w:t>haria</w:t>
      </w:r>
      <w:r w:rsidR="00675057">
        <w:rPr>
          <w:rFonts w:ascii="Times New Roman" w:hAnsi="Times New Roman" w:cs="Times New Roman"/>
          <w:i/>
          <w:spacing w:val="4"/>
          <w:sz w:val="24"/>
          <w:szCs w:val="24"/>
        </w:rPr>
        <w:t>h</w:t>
      </w:r>
      <w:r w:rsidRPr="002B005F">
        <w:rPr>
          <w:rFonts w:ascii="Times New Roman" w:hAnsi="Times New Roman" w:cs="Times New Roman"/>
          <w:sz w:val="24"/>
          <w:szCs w:val="24"/>
        </w:rPr>
        <w:t xml:space="preserve">. Il n’existe pas une objection </w:t>
      </w:r>
      <w:r w:rsidRPr="00414F3C">
        <w:rPr>
          <w:rFonts w:ascii="Times New Roman" w:hAnsi="Times New Roman" w:cs="Times New Roman"/>
          <w:i/>
          <w:iCs/>
          <w:sz w:val="24"/>
          <w:szCs w:val="24"/>
        </w:rPr>
        <w:lastRenderedPageBreak/>
        <w:t>fiqhique</w:t>
      </w:r>
      <w:r w:rsidRPr="002B005F">
        <w:rPr>
          <w:rFonts w:ascii="Times New Roman" w:hAnsi="Times New Roman" w:cs="Times New Roman"/>
          <w:sz w:val="24"/>
          <w:szCs w:val="24"/>
        </w:rPr>
        <w:t xml:space="preserve"> vis-à-vis d’une telle stratégie de coopération mutuelle</w:t>
      </w:r>
      <w:r w:rsidR="007B64B9">
        <w:rPr>
          <w:rFonts w:ascii="Times New Roman" w:hAnsi="Times New Roman" w:cs="Times New Roman"/>
          <w:sz w:val="24"/>
          <w:szCs w:val="24"/>
        </w:rPr>
        <w:t>.</w:t>
      </w:r>
      <w:r w:rsidRPr="002B005F">
        <w:rPr>
          <w:rFonts w:ascii="Times New Roman" w:hAnsi="Times New Roman" w:cs="Times New Roman"/>
          <w:sz w:val="24"/>
          <w:szCs w:val="24"/>
        </w:rPr>
        <w:t xml:space="preserve"> Pour le moment, il n’existe pas d’instruments financiers à revenu fixe ou flottant négociables sur les marchés secondaires. Des efforts sont en cours sur le plan théorique pour développer des arrangements qui permettent de créer de tels instruments. Le fait de créer ces instruments proc</w:t>
      </w:r>
      <w:r w:rsidR="0070192A">
        <w:rPr>
          <w:rFonts w:ascii="Times New Roman" w:hAnsi="Times New Roman" w:cs="Times New Roman"/>
          <w:sz w:val="24"/>
          <w:szCs w:val="24"/>
        </w:rPr>
        <w:t>ure pour la</w:t>
      </w:r>
      <w:r w:rsidRPr="002B005F">
        <w:rPr>
          <w:rFonts w:ascii="Times New Roman" w:hAnsi="Times New Roman" w:cs="Times New Roman"/>
          <w:sz w:val="24"/>
          <w:szCs w:val="24"/>
        </w:rPr>
        <w:t xml:space="preserve"> BI des outils de gestion du risque de </w:t>
      </w:r>
      <w:r w:rsidR="0070192A">
        <w:rPr>
          <w:rFonts w:ascii="Times New Roman" w:hAnsi="Times New Roman" w:cs="Times New Roman"/>
          <w:sz w:val="24"/>
          <w:szCs w:val="24"/>
        </w:rPr>
        <w:t>taux de référence</w:t>
      </w:r>
      <w:r w:rsidRPr="002B005F">
        <w:rPr>
          <w:rFonts w:ascii="Times New Roman" w:hAnsi="Times New Roman" w:cs="Times New Roman"/>
          <w:sz w:val="24"/>
          <w:szCs w:val="24"/>
        </w:rPr>
        <w:t>.</w:t>
      </w:r>
    </w:p>
    <w:p w14:paraId="3BBAF092" w14:textId="77777777" w:rsidR="003F5483" w:rsidRPr="00D7723E" w:rsidRDefault="00CA13DD" w:rsidP="00774B74">
      <w:pPr>
        <w:pStyle w:val="Titre6"/>
        <w:keepNext w:val="0"/>
        <w:keepLines w:val="0"/>
        <w:spacing w:before="120" w:after="120" w:line="300" w:lineRule="auto"/>
        <w:ind w:firstLine="709"/>
        <w:rPr>
          <w:rFonts w:asciiTheme="majorBidi" w:hAnsiTheme="majorBidi"/>
          <w:b/>
          <w:bCs/>
          <w:i w:val="0"/>
          <w:iCs w:val="0"/>
          <w:color w:val="auto"/>
          <w:sz w:val="24"/>
          <w:szCs w:val="24"/>
        </w:rPr>
      </w:pPr>
      <w:bookmarkStart w:id="1096" w:name="_Toc182298805"/>
      <w:r w:rsidRPr="00D7723E">
        <w:rPr>
          <w:rFonts w:asciiTheme="majorBidi" w:hAnsiTheme="majorBidi"/>
          <w:b/>
          <w:bCs/>
          <w:i w:val="0"/>
          <w:iCs w:val="0"/>
          <w:color w:val="auto"/>
          <w:sz w:val="24"/>
          <w:szCs w:val="24"/>
        </w:rPr>
        <w:t>3.2.2.</w:t>
      </w:r>
      <w:r w:rsidR="0000518C" w:rsidRPr="00D7723E">
        <w:rPr>
          <w:rFonts w:asciiTheme="majorBidi" w:hAnsiTheme="majorBidi"/>
          <w:b/>
          <w:bCs/>
          <w:i w:val="0"/>
          <w:iCs w:val="0"/>
          <w:color w:val="auto"/>
          <w:sz w:val="24"/>
          <w:szCs w:val="24"/>
        </w:rPr>
        <w:t>5</w:t>
      </w:r>
      <w:r w:rsidRPr="00D7723E">
        <w:rPr>
          <w:rFonts w:asciiTheme="majorBidi" w:hAnsiTheme="majorBidi"/>
          <w:b/>
          <w:bCs/>
          <w:i w:val="0"/>
          <w:iCs w:val="0"/>
          <w:color w:val="auto"/>
          <w:sz w:val="24"/>
          <w:szCs w:val="24"/>
        </w:rPr>
        <w:t xml:space="preserve">.2- </w:t>
      </w:r>
      <w:r w:rsidR="003F5483" w:rsidRPr="00D7723E">
        <w:rPr>
          <w:rFonts w:asciiTheme="majorBidi" w:hAnsiTheme="majorBidi"/>
          <w:b/>
          <w:bCs/>
          <w:i w:val="0"/>
          <w:iCs w:val="0"/>
          <w:color w:val="auto"/>
          <w:sz w:val="24"/>
          <w:szCs w:val="24"/>
        </w:rPr>
        <w:t>Gestion du risque de change</w:t>
      </w:r>
      <w:bookmarkEnd w:id="1096"/>
    </w:p>
    <w:p w14:paraId="0DABD680" w14:textId="77777777" w:rsidR="003F5483" w:rsidRPr="00D74339" w:rsidRDefault="003F5483" w:rsidP="00774B74">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D74339">
        <w:rPr>
          <w:rFonts w:ascii="Times New Roman" w:hAnsi="Times New Roman" w:cs="Times New Roman"/>
          <w:spacing w:val="-4"/>
          <w:sz w:val="24"/>
          <w:szCs w:val="24"/>
        </w:rPr>
        <w:t xml:space="preserve">Pour éviter ou atténuer le risque de change, </w:t>
      </w:r>
      <w:r w:rsidR="0070192A" w:rsidRPr="00D74339">
        <w:rPr>
          <w:rFonts w:ascii="Times New Roman" w:hAnsi="Times New Roman" w:cs="Times New Roman"/>
          <w:spacing w:val="-4"/>
          <w:sz w:val="24"/>
          <w:szCs w:val="24"/>
        </w:rPr>
        <w:t>la BI peu</w:t>
      </w:r>
      <w:r w:rsidRPr="00D74339">
        <w:rPr>
          <w:rFonts w:ascii="Times New Roman" w:hAnsi="Times New Roman" w:cs="Times New Roman"/>
          <w:spacing w:val="-4"/>
          <w:sz w:val="24"/>
          <w:szCs w:val="24"/>
        </w:rPr>
        <w:t>t recourir à différentes méthodes :</w:t>
      </w:r>
    </w:p>
    <w:p w14:paraId="1450AE97" w14:textId="77777777" w:rsidR="003F5483" w:rsidRPr="00D74339" w:rsidRDefault="003F5483" w:rsidP="00CB0FF1">
      <w:pPr>
        <w:pStyle w:val="Paragraphedeliste"/>
        <w:numPr>
          <w:ilvl w:val="0"/>
          <w:numId w:val="16"/>
        </w:numPr>
        <w:tabs>
          <w:tab w:val="left" w:pos="284"/>
          <w:tab w:val="left" w:pos="1134"/>
        </w:tabs>
        <w:spacing w:before="120" w:line="300" w:lineRule="auto"/>
        <w:ind w:left="1135" w:hanging="284"/>
        <w:contextualSpacing w:val="0"/>
        <w:rPr>
          <w:rFonts w:ascii="Times New Roman" w:hAnsi="Times New Roman" w:cs="Times New Roman"/>
          <w:spacing w:val="-4"/>
          <w:sz w:val="24"/>
          <w:szCs w:val="24"/>
        </w:rPr>
      </w:pPr>
      <w:r w:rsidRPr="00D74339">
        <w:rPr>
          <w:rFonts w:ascii="Times New Roman" w:hAnsi="Times New Roman" w:cs="Times New Roman"/>
          <w:spacing w:val="-4"/>
          <w:sz w:val="24"/>
          <w:szCs w:val="24"/>
        </w:rPr>
        <w:t>Eviter les transactions libellées en devises le plutôt possible. Cela n’est pas évident et peut coûter la perte d’une part de marché. Donc, la BI doit décider avec prudence le choix d’une stratégie optimale entre les risques possibles des transactions effectuées et la préservation des parts de marché ;</w:t>
      </w:r>
    </w:p>
    <w:p w14:paraId="76469245" w14:textId="77777777" w:rsidR="003F5483" w:rsidRPr="00D74339" w:rsidRDefault="003F5483" w:rsidP="00CB0FF1">
      <w:pPr>
        <w:pStyle w:val="Paragraphedeliste"/>
        <w:numPr>
          <w:ilvl w:val="0"/>
          <w:numId w:val="16"/>
        </w:numPr>
        <w:tabs>
          <w:tab w:val="left" w:pos="284"/>
          <w:tab w:val="left" w:pos="1134"/>
        </w:tabs>
        <w:spacing w:before="120" w:line="300" w:lineRule="auto"/>
        <w:ind w:left="1135" w:hanging="284"/>
        <w:contextualSpacing w:val="0"/>
        <w:rPr>
          <w:rFonts w:ascii="Times New Roman" w:hAnsi="Times New Roman" w:cs="Times New Roman"/>
          <w:spacing w:val="-4"/>
          <w:sz w:val="24"/>
          <w:szCs w:val="24"/>
        </w:rPr>
      </w:pPr>
      <w:r w:rsidRPr="00D74339">
        <w:rPr>
          <w:rFonts w:ascii="Times New Roman" w:hAnsi="Times New Roman" w:cs="Times New Roman"/>
          <w:spacing w:val="-4"/>
          <w:sz w:val="24"/>
          <w:szCs w:val="24"/>
        </w:rPr>
        <w:t xml:space="preserve">Recourir à la technique de </w:t>
      </w:r>
      <w:r w:rsidRPr="00D74339">
        <w:rPr>
          <w:rFonts w:ascii="Times New Roman" w:hAnsi="Times New Roman" w:cs="Times New Roman"/>
          <w:i/>
          <w:iCs/>
          <w:spacing w:val="-4"/>
          <w:sz w:val="24"/>
          <w:szCs w:val="24"/>
        </w:rPr>
        <w:t>netting</w:t>
      </w:r>
      <w:r w:rsidRPr="00D74339">
        <w:rPr>
          <w:rFonts w:ascii="Times New Roman" w:hAnsi="Times New Roman" w:cs="Times New Roman"/>
          <w:spacing w:val="-4"/>
          <w:sz w:val="24"/>
          <w:szCs w:val="24"/>
        </w:rPr>
        <w:t xml:space="preserve"> pour atténuer les risques liés aux dettes à payer libellées en monnaies qui se diffèrent. De même, on peut procéder à une compensation multilatérale des positions débitrices et créditrices générées par les opérations effectuées avec d’autres institutions ;</w:t>
      </w:r>
    </w:p>
    <w:p w14:paraId="0C6662D8" w14:textId="77777777" w:rsidR="003F5483" w:rsidRPr="006B4665" w:rsidRDefault="003F5483" w:rsidP="00CB0FF1">
      <w:pPr>
        <w:pStyle w:val="Paragraphedeliste"/>
        <w:numPr>
          <w:ilvl w:val="0"/>
          <w:numId w:val="16"/>
        </w:numPr>
        <w:tabs>
          <w:tab w:val="left" w:pos="284"/>
          <w:tab w:val="left" w:pos="1134"/>
        </w:tabs>
        <w:spacing w:before="120" w:line="300" w:lineRule="auto"/>
        <w:ind w:left="1135" w:hanging="284"/>
        <w:contextualSpacing w:val="0"/>
        <w:rPr>
          <w:rFonts w:ascii="Times New Roman" w:hAnsi="Times New Roman" w:cs="Times New Roman"/>
          <w:sz w:val="24"/>
          <w:szCs w:val="24"/>
        </w:rPr>
      </w:pPr>
      <w:r w:rsidRPr="006B4665">
        <w:rPr>
          <w:rFonts w:ascii="Times New Roman" w:hAnsi="Times New Roman" w:cs="Times New Roman"/>
          <w:sz w:val="24"/>
          <w:szCs w:val="24"/>
        </w:rPr>
        <w:t xml:space="preserve">Utiliser les </w:t>
      </w:r>
      <w:r w:rsidRPr="006B4665">
        <w:rPr>
          <w:rFonts w:ascii="Times New Roman" w:hAnsi="Times New Roman" w:cs="Times New Roman"/>
          <w:i/>
          <w:iCs/>
          <w:sz w:val="24"/>
          <w:szCs w:val="24"/>
        </w:rPr>
        <w:t>swaps</w:t>
      </w:r>
      <w:r w:rsidRPr="006B4665">
        <w:rPr>
          <w:rFonts w:ascii="Times New Roman" w:hAnsi="Times New Roman" w:cs="Times New Roman"/>
          <w:sz w:val="24"/>
          <w:szCs w:val="24"/>
        </w:rPr>
        <w:t xml:space="preserve"> de dettes pour réduire le risque de change. Prenant exemple d’une </w:t>
      </w:r>
      <w:r w:rsidR="005D5C81" w:rsidRPr="006B4665">
        <w:rPr>
          <w:rFonts w:ascii="Times New Roman" w:hAnsi="Times New Roman" w:cs="Times New Roman"/>
          <w:sz w:val="24"/>
          <w:szCs w:val="24"/>
        </w:rPr>
        <w:t>banque</w:t>
      </w:r>
      <w:r w:rsidRPr="006B4665">
        <w:rPr>
          <w:rFonts w:ascii="Times New Roman" w:hAnsi="Times New Roman" w:cs="Times New Roman"/>
          <w:sz w:val="24"/>
          <w:szCs w:val="24"/>
        </w:rPr>
        <w:t xml:space="preserve"> turque qui désire importer du riz de l’Inde et une </w:t>
      </w:r>
      <w:r w:rsidR="005D5C81" w:rsidRPr="006B4665">
        <w:rPr>
          <w:rFonts w:ascii="Times New Roman" w:hAnsi="Times New Roman" w:cs="Times New Roman"/>
          <w:sz w:val="24"/>
          <w:szCs w:val="24"/>
        </w:rPr>
        <w:t xml:space="preserve">banque </w:t>
      </w:r>
      <w:r w:rsidRPr="006B4665">
        <w:rPr>
          <w:rFonts w:ascii="Times New Roman" w:hAnsi="Times New Roman" w:cs="Times New Roman"/>
          <w:sz w:val="24"/>
          <w:szCs w:val="24"/>
        </w:rPr>
        <w:t xml:space="preserve">indienne qui cherche à importer des lames d’acier de la Turquie. Les deux </w:t>
      </w:r>
      <w:r w:rsidR="005D5C81" w:rsidRPr="006B4665">
        <w:rPr>
          <w:rFonts w:ascii="Times New Roman" w:hAnsi="Times New Roman" w:cs="Times New Roman"/>
          <w:sz w:val="24"/>
          <w:szCs w:val="24"/>
        </w:rPr>
        <w:t>banques</w:t>
      </w:r>
      <w:r w:rsidRPr="006B4665">
        <w:rPr>
          <w:rFonts w:ascii="Times New Roman" w:hAnsi="Times New Roman" w:cs="Times New Roman"/>
          <w:sz w:val="24"/>
          <w:szCs w:val="24"/>
        </w:rPr>
        <w:t xml:space="preserve"> peuvent régler leurs transactions en monnaie locale en évitant l’usage des devises étrangères. Si la valeur en dollar des deux marchandises est la même, cet accord peut éliminer le risque de change ;</w:t>
      </w:r>
    </w:p>
    <w:p w14:paraId="4EEAC306" w14:textId="77777777" w:rsidR="003F5483" w:rsidRPr="00D74339" w:rsidRDefault="000F4546" w:rsidP="00CB0FF1">
      <w:pPr>
        <w:pStyle w:val="Paragraphedeliste"/>
        <w:numPr>
          <w:ilvl w:val="0"/>
          <w:numId w:val="16"/>
        </w:numPr>
        <w:tabs>
          <w:tab w:val="left" w:pos="284"/>
          <w:tab w:val="left" w:pos="1134"/>
        </w:tabs>
        <w:spacing w:before="120" w:line="300" w:lineRule="auto"/>
        <w:ind w:left="1135" w:hanging="284"/>
        <w:contextualSpacing w:val="0"/>
        <w:rPr>
          <w:rFonts w:ascii="Times New Roman" w:hAnsi="Times New Roman" w:cs="Times New Roman"/>
          <w:spacing w:val="-4"/>
          <w:sz w:val="24"/>
          <w:szCs w:val="24"/>
        </w:rPr>
      </w:pPr>
      <w:r w:rsidRPr="00D74339">
        <w:rPr>
          <w:rFonts w:ascii="Times New Roman" w:hAnsi="Times New Roman" w:cs="Times New Roman"/>
          <w:spacing w:val="-4"/>
          <w:sz w:val="24"/>
          <w:szCs w:val="24"/>
        </w:rPr>
        <w:t>La BI peu</w:t>
      </w:r>
      <w:r w:rsidR="003F5483" w:rsidRPr="00D74339">
        <w:rPr>
          <w:rFonts w:ascii="Times New Roman" w:hAnsi="Times New Roman" w:cs="Times New Roman"/>
          <w:spacing w:val="-4"/>
          <w:sz w:val="24"/>
          <w:szCs w:val="24"/>
        </w:rPr>
        <w:t xml:space="preserve">t utiliser également les </w:t>
      </w:r>
      <w:r w:rsidR="003F5483" w:rsidRPr="00D74339">
        <w:rPr>
          <w:rFonts w:ascii="Times New Roman" w:hAnsi="Times New Roman" w:cs="Times New Roman"/>
          <w:i/>
          <w:iCs/>
          <w:spacing w:val="-4"/>
          <w:sz w:val="24"/>
          <w:szCs w:val="24"/>
        </w:rPr>
        <w:t>swaps</w:t>
      </w:r>
      <w:r w:rsidR="003F5483" w:rsidRPr="00D74339">
        <w:rPr>
          <w:rFonts w:ascii="Times New Roman" w:hAnsi="Times New Roman" w:cs="Times New Roman"/>
          <w:spacing w:val="-4"/>
          <w:sz w:val="24"/>
          <w:szCs w:val="24"/>
        </w:rPr>
        <w:t xml:space="preserve"> de dépôts pour réduire le risque de change. Cette méthode permet à deux banques de détenir des dépôts en deux monnaies différentes à un taux de change convenu pour une période donnée. Par exemple, une banque tunisienne qui ouvre un compte au niveau d’une banque algérienne d’un contrat de 100 millions de dinars tunisiens pour une durée de 09 mois. La banque algérienne ouvre aussi le montant en dinars algériens au niveau de la banque tunisienne sur la même période. Les deux banques s’entendent sur un taux de change DT/DA qui s’appliquera pour la durée de dépôt. Après 09 mois, les deux banques retireront leurs dépôts. De cette façon, le risque de change lié à ces dépôts en monnaie étrangère est réduit au minimum grâce au consentement entre les deux banques.</w:t>
      </w:r>
    </w:p>
    <w:p w14:paraId="1F488CC1" w14:textId="77777777" w:rsidR="003F5483" w:rsidRPr="00D7723E" w:rsidRDefault="00CA13DD" w:rsidP="00774B74">
      <w:pPr>
        <w:pStyle w:val="Titre6"/>
        <w:keepNext w:val="0"/>
        <w:keepLines w:val="0"/>
        <w:spacing w:before="120" w:after="120" w:line="300" w:lineRule="auto"/>
        <w:ind w:firstLine="709"/>
        <w:rPr>
          <w:rFonts w:asciiTheme="majorBidi" w:hAnsiTheme="majorBidi"/>
          <w:b/>
          <w:bCs/>
          <w:i w:val="0"/>
          <w:iCs w:val="0"/>
          <w:color w:val="auto"/>
          <w:sz w:val="24"/>
          <w:szCs w:val="24"/>
        </w:rPr>
      </w:pPr>
      <w:bookmarkStart w:id="1097" w:name="_Toc182298806"/>
      <w:r w:rsidRPr="00D7723E">
        <w:rPr>
          <w:rFonts w:asciiTheme="majorBidi" w:hAnsiTheme="majorBidi"/>
          <w:b/>
          <w:bCs/>
          <w:i w:val="0"/>
          <w:iCs w:val="0"/>
          <w:color w:val="auto"/>
          <w:sz w:val="24"/>
          <w:szCs w:val="24"/>
        </w:rPr>
        <w:t>3.2.2.</w:t>
      </w:r>
      <w:r w:rsidR="0000518C" w:rsidRPr="00D7723E">
        <w:rPr>
          <w:rFonts w:asciiTheme="majorBidi" w:hAnsiTheme="majorBidi"/>
          <w:b/>
          <w:bCs/>
          <w:i w:val="0"/>
          <w:iCs w:val="0"/>
          <w:color w:val="auto"/>
          <w:sz w:val="24"/>
          <w:szCs w:val="24"/>
        </w:rPr>
        <w:t>5</w:t>
      </w:r>
      <w:r w:rsidRPr="00D7723E">
        <w:rPr>
          <w:rFonts w:asciiTheme="majorBidi" w:hAnsiTheme="majorBidi"/>
          <w:b/>
          <w:bCs/>
          <w:i w:val="0"/>
          <w:iCs w:val="0"/>
          <w:color w:val="auto"/>
          <w:sz w:val="24"/>
          <w:szCs w:val="24"/>
        </w:rPr>
        <w:t xml:space="preserve">.3- </w:t>
      </w:r>
      <w:r w:rsidR="003F5483" w:rsidRPr="00D7723E">
        <w:rPr>
          <w:rFonts w:asciiTheme="majorBidi" w:hAnsiTheme="majorBidi"/>
          <w:b/>
          <w:bCs/>
          <w:i w:val="0"/>
          <w:iCs w:val="0"/>
          <w:color w:val="auto"/>
          <w:sz w:val="24"/>
          <w:szCs w:val="24"/>
        </w:rPr>
        <w:t>Gestion du risque de fluctuation des prix des actions</w:t>
      </w:r>
      <w:bookmarkEnd w:id="1097"/>
    </w:p>
    <w:p w14:paraId="3D4C9E35" w14:textId="4B53B1C2" w:rsidR="003F5483" w:rsidRPr="00D74339" w:rsidRDefault="003F5483" w:rsidP="00774B74">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D74339">
        <w:rPr>
          <w:rFonts w:ascii="Times New Roman" w:hAnsi="Times New Roman" w:cs="Times New Roman"/>
          <w:spacing w:val="-4"/>
          <w:sz w:val="24"/>
          <w:szCs w:val="24"/>
        </w:rPr>
        <w:t xml:space="preserve">Certains fonds islamiques sont utilisés avec succès par les BI pour gérer le risque lié aux variations des prix des actions. C’est </w:t>
      </w:r>
      <w:r w:rsidRPr="00D74339">
        <w:rPr>
          <w:rFonts w:ascii="Times New Roman" w:hAnsi="Times New Roman" w:cs="Times New Roman"/>
          <w:i/>
          <w:iCs/>
          <w:spacing w:val="-4"/>
          <w:sz w:val="24"/>
          <w:szCs w:val="24"/>
        </w:rPr>
        <w:t>al-</w:t>
      </w:r>
      <w:r w:rsidR="00A83413">
        <w:rPr>
          <w:rFonts w:ascii="Times New Roman" w:hAnsi="Times New Roman" w:cs="Times New Roman"/>
          <w:i/>
          <w:iCs/>
          <w:spacing w:val="-4"/>
          <w:sz w:val="24"/>
          <w:szCs w:val="24"/>
        </w:rPr>
        <w:t>a</w:t>
      </w:r>
      <w:r w:rsidRPr="00D74339">
        <w:rPr>
          <w:rFonts w:ascii="Times New Roman" w:hAnsi="Times New Roman" w:cs="Times New Roman"/>
          <w:i/>
          <w:iCs/>
          <w:spacing w:val="-4"/>
          <w:sz w:val="24"/>
          <w:szCs w:val="24"/>
        </w:rPr>
        <w:t>’rboun</w:t>
      </w:r>
      <w:r w:rsidRPr="00D74339">
        <w:rPr>
          <w:rFonts w:ascii="Times New Roman" w:hAnsi="Times New Roman" w:cs="Times New Roman"/>
          <w:spacing w:val="-4"/>
          <w:sz w:val="24"/>
          <w:szCs w:val="24"/>
        </w:rPr>
        <w:t>. C’est un paiement anticipé avec option de résiliation du contrat, en perdant le montant avancé à titre de sanction. Ces fonds sont connus sous le nom de « Principaux Fonds Protégés » (PFP).</w:t>
      </w:r>
    </w:p>
    <w:p w14:paraId="3F5E25C7" w14:textId="658D136E" w:rsidR="003F5483" w:rsidRPr="00D74339" w:rsidRDefault="003F5483" w:rsidP="00774B74">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D74339">
        <w:rPr>
          <w:rFonts w:ascii="Times New Roman" w:hAnsi="Times New Roman" w:cs="Times New Roman"/>
          <w:spacing w:val="-4"/>
          <w:sz w:val="24"/>
          <w:szCs w:val="24"/>
        </w:rPr>
        <w:t xml:space="preserve">Les PFP fonctionnent de la façon suivante : 97% des fonds mobilisés sont investis dans des contrats </w:t>
      </w:r>
      <w:r w:rsidRPr="00D74339">
        <w:rPr>
          <w:rFonts w:ascii="Times New Roman" w:hAnsi="Times New Roman" w:cs="Times New Roman"/>
          <w:i/>
          <w:iCs/>
          <w:spacing w:val="-4"/>
          <w:sz w:val="24"/>
          <w:szCs w:val="24"/>
        </w:rPr>
        <w:t>mourabaha</w:t>
      </w:r>
      <w:r w:rsidRPr="00D74339">
        <w:rPr>
          <w:rFonts w:ascii="Times New Roman" w:hAnsi="Times New Roman" w:cs="Times New Roman"/>
          <w:spacing w:val="-4"/>
          <w:sz w:val="24"/>
          <w:szCs w:val="24"/>
        </w:rPr>
        <w:t xml:space="preserve"> à faible risque et fort degré de liquidité. Les 3% des fonds qui restent sont utilisés comme </w:t>
      </w:r>
      <w:r w:rsidR="00A83413">
        <w:rPr>
          <w:rFonts w:ascii="Times New Roman" w:hAnsi="Times New Roman" w:cs="Times New Roman"/>
          <w:i/>
          <w:iCs/>
          <w:spacing w:val="-4"/>
          <w:sz w:val="24"/>
          <w:szCs w:val="24"/>
        </w:rPr>
        <w:t>a</w:t>
      </w:r>
      <w:r w:rsidRPr="00D74339">
        <w:rPr>
          <w:rFonts w:ascii="Times New Roman" w:hAnsi="Times New Roman" w:cs="Times New Roman"/>
          <w:i/>
          <w:iCs/>
          <w:spacing w:val="-4"/>
          <w:sz w:val="24"/>
          <w:szCs w:val="24"/>
        </w:rPr>
        <w:t>’rboun</w:t>
      </w:r>
      <w:r w:rsidRPr="00D74339">
        <w:rPr>
          <w:rFonts w:ascii="Times New Roman" w:hAnsi="Times New Roman" w:cs="Times New Roman"/>
          <w:spacing w:val="-4"/>
          <w:sz w:val="24"/>
          <w:szCs w:val="24"/>
        </w:rPr>
        <w:t xml:space="preserve"> pour acheter des actions ordinaires à une date ultérieure. En cas </w:t>
      </w:r>
      <w:r w:rsidRPr="00D74339">
        <w:rPr>
          <w:rFonts w:ascii="Times New Roman" w:hAnsi="Times New Roman" w:cs="Times New Roman"/>
          <w:spacing w:val="-4"/>
          <w:sz w:val="24"/>
          <w:szCs w:val="24"/>
        </w:rPr>
        <w:lastRenderedPageBreak/>
        <w:t xml:space="preserve">d’augmentation des prix des actions tel que prévu, </w:t>
      </w:r>
      <w:r w:rsidRPr="00D74339">
        <w:rPr>
          <w:rFonts w:ascii="Times New Roman" w:hAnsi="Times New Roman" w:cs="Times New Roman"/>
          <w:i/>
          <w:spacing w:val="-4"/>
          <w:sz w:val="24"/>
          <w:szCs w:val="24"/>
        </w:rPr>
        <w:t>al-</w:t>
      </w:r>
      <w:r w:rsidR="00A83413">
        <w:rPr>
          <w:rFonts w:ascii="Times New Roman" w:hAnsi="Times New Roman" w:cs="Times New Roman"/>
          <w:i/>
          <w:iCs/>
          <w:spacing w:val="-4"/>
          <w:sz w:val="24"/>
          <w:szCs w:val="24"/>
        </w:rPr>
        <w:t>a</w:t>
      </w:r>
      <w:r w:rsidRPr="00D74339">
        <w:rPr>
          <w:rFonts w:ascii="Times New Roman" w:hAnsi="Times New Roman" w:cs="Times New Roman"/>
          <w:i/>
          <w:iCs/>
          <w:spacing w:val="-4"/>
          <w:sz w:val="24"/>
          <w:szCs w:val="24"/>
        </w:rPr>
        <w:t>’rboun</w:t>
      </w:r>
      <w:r w:rsidRPr="00D74339">
        <w:rPr>
          <w:rFonts w:ascii="Times New Roman" w:hAnsi="Times New Roman" w:cs="Times New Roman"/>
          <w:spacing w:val="-4"/>
          <w:sz w:val="24"/>
          <w:szCs w:val="24"/>
        </w:rPr>
        <w:t xml:space="preserve"> sera utilisé en liquidant les transactions </w:t>
      </w:r>
      <w:r w:rsidRPr="00D74339">
        <w:rPr>
          <w:rFonts w:ascii="Times New Roman" w:hAnsi="Times New Roman" w:cs="Times New Roman"/>
          <w:i/>
          <w:iCs/>
          <w:spacing w:val="-4"/>
          <w:sz w:val="24"/>
          <w:szCs w:val="24"/>
        </w:rPr>
        <w:t>mourabaha</w:t>
      </w:r>
      <w:r w:rsidRPr="00D74339">
        <w:rPr>
          <w:rFonts w:ascii="Times New Roman" w:hAnsi="Times New Roman" w:cs="Times New Roman"/>
          <w:spacing w:val="-4"/>
          <w:sz w:val="24"/>
          <w:szCs w:val="24"/>
        </w:rPr>
        <w:t>. Donc</w:t>
      </w:r>
      <w:r w:rsidRPr="00D74339">
        <w:rPr>
          <w:rFonts w:ascii="Times New Roman" w:hAnsi="Times New Roman" w:cs="Times New Roman"/>
          <w:i/>
          <w:spacing w:val="-4"/>
          <w:sz w:val="24"/>
          <w:szCs w:val="24"/>
        </w:rPr>
        <w:t xml:space="preserve"> al-</w:t>
      </w:r>
      <w:r w:rsidR="00A83413">
        <w:rPr>
          <w:rFonts w:ascii="Times New Roman" w:hAnsi="Times New Roman" w:cs="Times New Roman"/>
          <w:i/>
          <w:iCs/>
          <w:spacing w:val="-4"/>
          <w:sz w:val="24"/>
          <w:szCs w:val="24"/>
        </w:rPr>
        <w:t>a</w:t>
      </w:r>
      <w:r w:rsidRPr="00D74339">
        <w:rPr>
          <w:rFonts w:ascii="Times New Roman" w:hAnsi="Times New Roman" w:cs="Times New Roman"/>
          <w:i/>
          <w:iCs/>
          <w:spacing w:val="-4"/>
          <w:sz w:val="24"/>
          <w:szCs w:val="24"/>
        </w:rPr>
        <w:t>’rboun</w:t>
      </w:r>
      <w:r w:rsidRPr="00D74339">
        <w:rPr>
          <w:rFonts w:ascii="Times New Roman" w:hAnsi="Times New Roman" w:cs="Times New Roman"/>
          <w:spacing w:val="-4"/>
          <w:sz w:val="24"/>
          <w:szCs w:val="24"/>
        </w:rPr>
        <w:t xml:space="preserve"> sera échu provoquant un surcoût de 3% des fonds investis. Ce coût est couvert par les profits tirés des transactions </w:t>
      </w:r>
      <w:r w:rsidRPr="00D74339">
        <w:rPr>
          <w:rFonts w:ascii="Times New Roman" w:hAnsi="Times New Roman" w:cs="Times New Roman"/>
          <w:i/>
          <w:iCs/>
          <w:spacing w:val="-4"/>
          <w:sz w:val="24"/>
          <w:szCs w:val="24"/>
        </w:rPr>
        <w:t>mourabaha</w:t>
      </w:r>
      <w:r w:rsidRPr="00D74339">
        <w:rPr>
          <w:rFonts w:ascii="Times New Roman" w:hAnsi="Times New Roman" w:cs="Times New Roman"/>
          <w:spacing w:val="-4"/>
          <w:sz w:val="24"/>
          <w:szCs w:val="24"/>
        </w:rPr>
        <w:t>. De cette façon, les investisseurs sont protégés contre les risques liés à l’investissement en actions ordinaires.</w:t>
      </w:r>
    </w:p>
    <w:p w14:paraId="19DC2AEC" w14:textId="77777777" w:rsidR="003F5483" w:rsidRPr="00D7723E" w:rsidRDefault="00CA13DD" w:rsidP="00774B74">
      <w:pPr>
        <w:pStyle w:val="Titre6"/>
        <w:keepNext w:val="0"/>
        <w:keepLines w:val="0"/>
        <w:spacing w:before="120" w:after="120" w:line="300" w:lineRule="auto"/>
        <w:ind w:firstLine="709"/>
        <w:rPr>
          <w:rFonts w:asciiTheme="majorBidi" w:hAnsiTheme="majorBidi"/>
          <w:b/>
          <w:bCs/>
          <w:i w:val="0"/>
          <w:iCs w:val="0"/>
          <w:color w:val="auto"/>
          <w:sz w:val="24"/>
          <w:szCs w:val="24"/>
        </w:rPr>
      </w:pPr>
      <w:bookmarkStart w:id="1098" w:name="_Toc182298807"/>
      <w:r w:rsidRPr="00D7723E">
        <w:rPr>
          <w:rFonts w:asciiTheme="majorBidi" w:hAnsiTheme="majorBidi"/>
          <w:b/>
          <w:bCs/>
          <w:i w:val="0"/>
          <w:iCs w:val="0"/>
          <w:color w:val="auto"/>
          <w:sz w:val="24"/>
          <w:szCs w:val="24"/>
        </w:rPr>
        <w:t>3.2.2.</w:t>
      </w:r>
      <w:r w:rsidR="00F35F70" w:rsidRPr="00D7723E">
        <w:rPr>
          <w:rFonts w:asciiTheme="majorBidi" w:hAnsiTheme="majorBidi"/>
          <w:b/>
          <w:bCs/>
          <w:i w:val="0"/>
          <w:iCs w:val="0"/>
          <w:color w:val="auto"/>
          <w:sz w:val="24"/>
          <w:szCs w:val="24"/>
        </w:rPr>
        <w:t>5</w:t>
      </w:r>
      <w:r w:rsidRPr="00D7723E">
        <w:rPr>
          <w:rFonts w:asciiTheme="majorBidi" w:hAnsiTheme="majorBidi"/>
          <w:b/>
          <w:bCs/>
          <w:i w:val="0"/>
          <w:iCs w:val="0"/>
          <w:color w:val="auto"/>
          <w:sz w:val="24"/>
          <w:szCs w:val="24"/>
        </w:rPr>
        <w:t xml:space="preserve">.4- </w:t>
      </w:r>
      <w:r w:rsidR="003F5483" w:rsidRPr="00D7723E">
        <w:rPr>
          <w:rFonts w:asciiTheme="majorBidi" w:hAnsiTheme="majorBidi"/>
          <w:b/>
          <w:bCs/>
          <w:i w:val="0"/>
          <w:iCs w:val="0"/>
          <w:color w:val="auto"/>
          <w:sz w:val="24"/>
          <w:szCs w:val="24"/>
        </w:rPr>
        <w:t>Gestion des risques de fluctuation des prix de marchandises</w:t>
      </w:r>
      <w:bookmarkEnd w:id="1098"/>
    </w:p>
    <w:p w14:paraId="2E675B3B" w14:textId="77777777" w:rsidR="003F5483" w:rsidRPr="00D74339" w:rsidRDefault="000F4546" w:rsidP="00774B74">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D74339">
        <w:rPr>
          <w:rFonts w:ascii="Times New Roman" w:hAnsi="Times New Roman" w:cs="Times New Roman"/>
          <w:spacing w:val="-4"/>
          <w:sz w:val="24"/>
          <w:szCs w:val="24"/>
        </w:rPr>
        <w:t>L</w:t>
      </w:r>
      <w:r w:rsidR="003F5483" w:rsidRPr="00D74339">
        <w:rPr>
          <w:rFonts w:ascii="Times New Roman" w:hAnsi="Times New Roman" w:cs="Times New Roman"/>
          <w:spacing w:val="-4"/>
          <w:sz w:val="24"/>
          <w:szCs w:val="24"/>
        </w:rPr>
        <w:t xml:space="preserve"> BI subissent le risque de prix des marchandises, du fait des contrats </w:t>
      </w:r>
      <w:r w:rsidR="003F5483" w:rsidRPr="00D74339">
        <w:rPr>
          <w:rFonts w:ascii="Times New Roman" w:hAnsi="Times New Roman" w:cs="Times New Roman"/>
          <w:i/>
          <w:iCs/>
          <w:spacing w:val="-4"/>
          <w:sz w:val="24"/>
          <w:szCs w:val="24"/>
        </w:rPr>
        <w:t>mourabaha</w:t>
      </w:r>
      <w:r w:rsidR="003F5483" w:rsidRPr="00D74339">
        <w:rPr>
          <w:rFonts w:ascii="Times New Roman" w:hAnsi="Times New Roman" w:cs="Times New Roman"/>
          <w:spacing w:val="-4"/>
          <w:sz w:val="24"/>
          <w:szCs w:val="24"/>
        </w:rPr>
        <w:t xml:space="preserve">, </w:t>
      </w:r>
      <w:r w:rsidR="003F5483" w:rsidRPr="00D74339">
        <w:rPr>
          <w:rFonts w:ascii="Times New Roman" w:hAnsi="Times New Roman" w:cs="Times New Roman"/>
          <w:i/>
          <w:spacing w:val="-4"/>
          <w:sz w:val="24"/>
          <w:szCs w:val="24"/>
        </w:rPr>
        <w:t>salam</w:t>
      </w:r>
      <w:r w:rsidR="003F5483" w:rsidRPr="00D74339">
        <w:rPr>
          <w:rFonts w:ascii="Times New Roman" w:hAnsi="Times New Roman" w:cs="Times New Roman"/>
          <w:spacing w:val="-4"/>
          <w:sz w:val="24"/>
          <w:szCs w:val="24"/>
        </w:rPr>
        <w:t xml:space="preserve"> et </w:t>
      </w:r>
      <w:r w:rsidR="003F5483" w:rsidRPr="00D74339">
        <w:rPr>
          <w:rFonts w:ascii="Times New Roman" w:hAnsi="Times New Roman" w:cs="Times New Roman"/>
          <w:i/>
          <w:spacing w:val="-4"/>
          <w:sz w:val="24"/>
          <w:szCs w:val="24"/>
        </w:rPr>
        <w:t>ijara</w:t>
      </w:r>
      <w:r w:rsidR="003F5483" w:rsidRPr="00D74339">
        <w:rPr>
          <w:rFonts w:ascii="Times New Roman" w:hAnsi="Times New Roman" w:cs="Times New Roman"/>
          <w:spacing w:val="-4"/>
          <w:sz w:val="24"/>
          <w:szCs w:val="24"/>
        </w:rPr>
        <w:t>. Elles sont victimes des variations du prix des marchandises entre la date d’achat de ces biens et la date de revente au client. Nous présentons dans ce qui suit les méthodes qui peuvent être utilisées pour gérer ce risque.</w:t>
      </w:r>
    </w:p>
    <w:p w14:paraId="4E23A273" w14:textId="77777777" w:rsidR="003F5483" w:rsidRPr="00D7723E" w:rsidRDefault="00CA13DD" w:rsidP="00774B74">
      <w:pPr>
        <w:pStyle w:val="Titre6"/>
        <w:keepNext w:val="0"/>
        <w:keepLines w:val="0"/>
        <w:spacing w:before="120" w:after="120" w:line="300" w:lineRule="auto"/>
        <w:ind w:firstLine="709"/>
        <w:rPr>
          <w:rFonts w:asciiTheme="majorBidi" w:hAnsiTheme="majorBidi"/>
          <w:b/>
          <w:bCs/>
          <w:i w:val="0"/>
          <w:iCs w:val="0"/>
          <w:color w:val="auto"/>
          <w:sz w:val="24"/>
          <w:szCs w:val="24"/>
        </w:rPr>
      </w:pPr>
      <w:bookmarkStart w:id="1099" w:name="_Toc182298808"/>
      <w:r w:rsidRPr="00D7723E">
        <w:rPr>
          <w:rFonts w:asciiTheme="majorBidi" w:hAnsiTheme="majorBidi"/>
          <w:b/>
          <w:bCs/>
          <w:i w:val="0"/>
          <w:iCs w:val="0"/>
          <w:color w:val="auto"/>
          <w:sz w:val="24"/>
          <w:szCs w:val="24"/>
        </w:rPr>
        <w:t>3.2.2.</w:t>
      </w:r>
      <w:r w:rsidR="00F35F70" w:rsidRPr="00D7723E">
        <w:rPr>
          <w:rFonts w:asciiTheme="majorBidi" w:hAnsiTheme="majorBidi"/>
          <w:b/>
          <w:bCs/>
          <w:i w:val="0"/>
          <w:iCs w:val="0"/>
          <w:color w:val="auto"/>
          <w:sz w:val="24"/>
          <w:szCs w:val="24"/>
        </w:rPr>
        <w:t>5</w:t>
      </w:r>
      <w:r w:rsidRPr="00D7723E">
        <w:rPr>
          <w:rFonts w:asciiTheme="majorBidi" w:hAnsiTheme="majorBidi"/>
          <w:b/>
          <w:bCs/>
          <w:i w:val="0"/>
          <w:iCs w:val="0"/>
          <w:color w:val="auto"/>
          <w:sz w:val="24"/>
          <w:szCs w:val="24"/>
        </w:rPr>
        <w:t xml:space="preserve">.5- </w:t>
      </w:r>
      <w:r w:rsidR="003F5483" w:rsidRPr="00AC7E51">
        <w:rPr>
          <w:rFonts w:asciiTheme="majorBidi" w:hAnsiTheme="majorBidi"/>
          <w:b/>
          <w:bCs/>
          <w:color w:val="auto"/>
          <w:sz w:val="24"/>
          <w:szCs w:val="24"/>
        </w:rPr>
        <w:t>Salam</w:t>
      </w:r>
      <w:r w:rsidR="003F5483" w:rsidRPr="00D7723E">
        <w:rPr>
          <w:rFonts w:asciiTheme="majorBidi" w:hAnsiTheme="majorBidi"/>
          <w:b/>
          <w:bCs/>
          <w:i w:val="0"/>
          <w:iCs w:val="0"/>
          <w:color w:val="auto"/>
          <w:sz w:val="24"/>
          <w:szCs w:val="24"/>
        </w:rPr>
        <w:t xml:space="preserve"> et marchandises livrées à terme</w:t>
      </w:r>
      <w:bookmarkEnd w:id="1099"/>
    </w:p>
    <w:p w14:paraId="481C0293" w14:textId="77777777" w:rsidR="003F5483" w:rsidRPr="00D74339" w:rsidRDefault="003F5483" w:rsidP="00774B74">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D74339">
        <w:rPr>
          <w:rFonts w:ascii="Times New Roman" w:hAnsi="Times New Roman" w:cs="Times New Roman"/>
          <w:spacing w:val="-4"/>
          <w:sz w:val="24"/>
          <w:szCs w:val="24"/>
        </w:rPr>
        <w:t xml:space="preserve">Le contrat </w:t>
      </w:r>
      <w:r w:rsidRPr="00D74339">
        <w:rPr>
          <w:rFonts w:ascii="Times New Roman" w:hAnsi="Times New Roman" w:cs="Times New Roman"/>
          <w:i/>
          <w:spacing w:val="-4"/>
          <w:sz w:val="24"/>
          <w:szCs w:val="24"/>
        </w:rPr>
        <w:t>salam</w:t>
      </w:r>
      <w:r w:rsidRPr="00D74339">
        <w:rPr>
          <w:rFonts w:ascii="Times New Roman" w:hAnsi="Times New Roman" w:cs="Times New Roman"/>
          <w:spacing w:val="-4"/>
          <w:sz w:val="24"/>
          <w:szCs w:val="24"/>
        </w:rPr>
        <w:t xml:space="preserve"> permet de fixer le prix de la marchandise (payé au comptant) livrée à terme. Par exemple, pour une moisson qui aura lieu dans 06 mois, le </w:t>
      </w:r>
      <w:r w:rsidR="004A5E65" w:rsidRPr="00D74339">
        <w:rPr>
          <w:rFonts w:ascii="Times New Roman" w:hAnsi="Times New Roman" w:cs="Times New Roman"/>
          <w:spacing w:val="-4"/>
          <w:sz w:val="24"/>
          <w:szCs w:val="24"/>
        </w:rPr>
        <w:t>cultivateur</w:t>
      </w:r>
      <w:r w:rsidRPr="00D74339">
        <w:rPr>
          <w:rFonts w:ascii="Times New Roman" w:hAnsi="Times New Roman" w:cs="Times New Roman"/>
          <w:spacing w:val="-4"/>
          <w:sz w:val="24"/>
          <w:szCs w:val="24"/>
        </w:rPr>
        <w:t xml:space="preserve"> anticipe un certain prix pour son blé qui pourrait être inférieur ou supérieur au prix réel le jour de sa récolte. Pour éviter le risque de fluctuation du prix du blé, </w:t>
      </w:r>
      <w:r w:rsidR="004A5E65" w:rsidRPr="00D74339">
        <w:rPr>
          <w:rFonts w:ascii="Times New Roman" w:hAnsi="Times New Roman" w:cs="Times New Roman"/>
          <w:spacing w:val="-4"/>
          <w:sz w:val="24"/>
          <w:szCs w:val="24"/>
        </w:rPr>
        <w:t>il</w:t>
      </w:r>
      <w:r w:rsidRPr="00D74339">
        <w:rPr>
          <w:rFonts w:ascii="Times New Roman" w:hAnsi="Times New Roman" w:cs="Times New Roman"/>
          <w:spacing w:val="-4"/>
          <w:sz w:val="24"/>
          <w:szCs w:val="24"/>
        </w:rPr>
        <w:t xml:space="preserve"> peut trouver un acheteur en contractant un </w:t>
      </w:r>
      <w:r w:rsidRPr="00D74339">
        <w:rPr>
          <w:rFonts w:ascii="Times New Roman" w:hAnsi="Times New Roman" w:cs="Times New Roman"/>
          <w:i/>
          <w:spacing w:val="-4"/>
          <w:sz w:val="24"/>
          <w:szCs w:val="24"/>
        </w:rPr>
        <w:t>salam</w:t>
      </w:r>
      <w:r w:rsidRPr="00D74339">
        <w:rPr>
          <w:rFonts w:ascii="Times New Roman" w:hAnsi="Times New Roman" w:cs="Times New Roman"/>
          <w:spacing w:val="-4"/>
          <w:sz w:val="24"/>
          <w:szCs w:val="24"/>
        </w:rPr>
        <w:t>, qui paye le prix au comptant d’une récolte après 06 mois.</w:t>
      </w:r>
    </w:p>
    <w:p w14:paraId="759B9159" w14:textId="77777777" w:rsidR="003F5483" w:rsidRPr="00D7723E" w:rsidRDefault="00CA13DD" w:rsidP="00774B74">
      <w:pPr>
        <w:pStyle w:val="Titre6"/>
        <w:keepNext w:val="0"/>
        <w:keepLines w:val="0"/>
        <w:spacing w:before="120" w:after="120" w:line="300" w:lineRule="auto"/>
        <w:ind w:firstLine="709"/>
        <w:rPr>
          <w:rFonts w:asciiTheme="majorBidi" w:hAnsiTheme="majorBidi"/>
          <w:b/>
          <w:bCs/>
          <w:color w:val="auto"/>
          <w:sz w:val="24"/>
          <w:szCs w:val="24"/>
        </w:rPr>
      </w:pPr>
      <w:bookmarkStart w:id="1100" w:name="_Toc182298809"/>
      <w:r w:rsidRPr="007B64B9">
        <w:rPr>
          <w:rFonts w:asciiTheme="majorBidi" w:hAnsiTheme="majorBidi"/>
          <w:b/>
          <w:bCs/>
          <w:i w:val="0"/>
          <w:iCs w:val="0"/>
          <w:color w:val="auto"/>
          <w:sz w:val="24"/>
          <w:szCs w:val="24"/>
        </w:rPr>
        <w:t>3.2.2.</w:t>
      </w:r>
      <w:r w:rsidR="00F35F70" w:rsidRPr="007B64B9">
        <w:rPr>
          <w:rFonts w:asciiTheme="majorBidi" w:hAnsiTheme="majorBidi"/>
          <w:b/>
          <w:bCs/>
          <w:i w:val="0"/>
          <w:iCs w:val="0"/>
          <w:color w:val="auto"/>
          <w:sz w:val="24"/>
          <w:szCs w:val="24"/>
        </w:rPr>
        <w:t>5</w:t>
      </w:r>
      <w:r w:rsidRPr="007B64B9">
        <w:rPr>
          <w:rFonts w:asciiTheme="majorBidi" w:hAnsiTheme="majorBidi"/>
          <w:b/>
          <w:bCs/>
          <w:i w:val="0"/>
          <w:iCs w:val="0"/>
          <w:color w:val="auto"/>
          <w:sz w:val="24"/>
          <w:szCs w:val="24"/>
        </w:rPr>
        <w:t>.6</w:t>
      </w:r>
      <w:r w:rsidRPr="00D7723E">
        <w:rPr>
          <w:rFonts w:asciiTheme="majorBidi" w:hAnsiTheme="majorBidi"/>
          <w:b/>
          <w:bCs/>
          <w:color w:val="auto"/>
          <w:sz w:val="24"/>
          <w:szCs w:val="24"/>
        </w:rPr>
        <w:t xml:space="preserve">- </w:t>
      </w:r>
      <w:r w:rsidR="003F5483" w:rsidRPr="00D7723E">
        <w:rPr>
          <w:rFonts w:asciiTheme="majorBidi" w:hAnsiTheme="majorBidi"/>
          <w:b/>
          <w:bCs/>
          <w:color w:val="auto"/>
          <w:sz w:val="24"/>
          <w:szCs w:val="24"/>
        </w:rPr>
        <w:t xml:space="preserve">Khiyar al-shart </w:t>
      </w:r>
      <w:r w:rsidR="003F5483" w:rsidRPr="00D7723E">
        <w:rPr>
          <w:rFonts w:asciiTheme="majorBidi" w:hAnsiTheme="majorBidi"/>
          <w:b/>
          <w:bCs/>
          <w:i w:val="0"/>
          <w:iCs w:val="0"/>
          <w:color w:val="auto"/>
          <w:sz w:val="24"/>
          <w:szCs w:val="24"/>
        </w:rPr>
        <w:t>(option conditionnelle)</w:t>
      </w:r>
      <w:bookmarkEnd w:id="1100"/>
    </w:p>
    <w:p w14:paraId="6C23FC44" w14:textId="77777777" w:rsidR="00256E51" w:rsidRPr="006B4665" w:rsidRDefault="003F5483" w:rsidP="00774B74">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D74339">
        <w:rPr>
          <w:rFonts w:ascii="Times New Roman" w:hAnsi="Times New Roman" w:cs="Times New Roman"/>
          <w:spacing w:val="-4"/>
          <w:sz w:val="24"/>
          <w:szCs w:val="24"/>
        </w:rPr>
        <w:t>Tout contrat islamique caractérisé par un prix prédéterminé, une quantité de marchandise, une durée longue et où le prix et la livraison sont ultérieurs provoque le risque de fluctuation des prix de marchandise. Si le prix de la marchandise baisse, l’acheteur encourt des pertes et</w:t>
      </w:r>
      <w:r w:rsidR="00447057" w:rsidRPr="00D74339">
        <w:rPr>
          <w:rFonts w:ascii="Times New Roman" w:hAnsi="Times New Roman" w:cs="Times New Roman"/>
          <w:spacing w:val="-4"/>
          <w:sz w:val="24"/>
          <w:szCs w:val="24"/>
        </w:rPr>
        <w:t>,</w:t>
      </w:r>
      <w:r w:rsidRPr="00D74339">
        <w:rPr>
          <w:rFonts w:ascii="Times New Roman" w:hAnsi="Times New Roman" w:cs="Times New Roman"/>
          <w:spacing w:val="-4"/>
          <w:sz w:val="24"/>
          <w:szCs w:val="24"/>
        </w:rPr>
        <w:t xml:space="preserve"> si le prix augmente, c’est le vendeur qui perd. Dans ce cas, les deux parties peuvent utiliser </w:t>
      </w:r>
      <w:r w:rsidRPr="00D74339">
        <w:rPr>
          <w:rFonts w:ascii="Times New Roman" w:hAnsi="Times New Roman" w:cs="Times New Roman"/>
          <w:i/>
          <w:iCs/>
          <w:spacing w:val="-4"/>
          <w:sz w:val="24"/>
          <w:szCs w:val="24"/>
        </w:rPr>
        <w:t>khiyar al-shart</w:t>
      </w:r>
      <w:r w:rsidRPr="00D74339">
        <w:rPr>
          <w:rFonts w:ascii="Times New Roman" w:hAnsi="Times New Roman" w:cs="Times New Roman"/>
          <w:spacing w:val="-4"/>
          <w:sz w:val="24"/>
          <w:szCs w:val="24"/>
        </w:rPr>
        <w:t xml:space="preserve"> pour résilier le contrat. Plus précisément, si les deux parties ne connaissent pas la tendance des prix dans le futur, elles peuvent déterminer par consentement mutuel les limites extrêmes vers le haut ou vers le bas des variations des prix. Au-delà de ces limites, elles peuvent s’engager à résilier le contrat</w:t>
      </w:r>
      <w:r w:rsidRPr="00D74339">
        <w:rPr>
          <w:rStyle w:val="Appelnotedebasdep"/>
          <w:rFonts w:ascii="Times New Roman" w:hAnsi="Times New Roman"/>
          <w:spacing w:val="-4"/>
          <w:sz w:val="24"/>
          <w:szCs w:val="24"/>
        </w:rPr>
        <w:footnoteReference w:id="280"/>
      </w:r>
      <w:r w:rsidRPr="00D74339">
        <w:rPr>
          <w:rFonts w:ascii="Times New Roman" w:hAnsi="Times New Roman" w:cs="Times New Roman"/>
          <w:spacing w:val="-4"/>
          <w:sz w:val="24"/>
          <w:szCs w:val="24"/>
        </w:rPr>
        <w:t xml:space="preserve">. La figure suivante montre le principe de </w:t>
      </w:r>
      <w:r w:rsidRPr="00D74339">
        <w:rPr>
          <w:rFonts w:ascii="Times New Roman" w:hAnsi="Times New Roman" w:cs="Times New Roman"/>
          <w:i/>
          <w:iCs/>
          <w:spacing w:val="-4"/>
          <w:sz w:val="24"/>
          <w:szCs w:val="24"/>
        </w:rPr>
        <w:t>khiyar al-shart</w:t>
      </w:r>
      <w:r w:rsidRPr="00D74339">
        <w:rPr>
          <w:rFonts w:ascii="Times New Roman" w:hAnsi="Times New Roman" w:cs="Times New Roman"/>
          <w:spacing w:val="-4"/>
          <w:sz w:val="24"/>
          <w:szCs w:val="24"/>
        </w:rPr>
        <w:t>.</w:t>
      </w:r>
    </w:p>
    <w:p w14:paraId="3B919D23" w14:textId="2F0CD449" w:rsidR="00256E51" w:rsidRPr="006B4665" w:rsidRDefault="006B4665" w:rsidP="006B4665">
      <w:pPr>
        <w:pStyle w:val="Lgende"/>
        <w:spacing w:before="240" w:after="240" w:line="300" w:lineRule="auto"/>
        <w:jc w:val="center"/>
        <w:rPr>
          <w:rFonts w:asciiTheme="majorBidi" w:hAnsiTheme="majorBidi" w:cstheme="majorBidi"/>
          <w:color w:val="auto"/>
          <w:spacing w:val="-4"/>
          <w:sz w:val="24"/>
          <w:szCs w:val="24"/>
        </w:rPr>
      </w:pPr>
      <w:bookmarkStart w:id="1101" w:name="_Toc115527435"/>
      <w:r w:rsidRPr="006B4665">
        <w:rPr>
          <w:rFonts w:asciiTheme="majorBidi" w:hAnsiTheme="majorBidi" w:cstheme="majorBidi"/>
          <w:color w:val="auto"/>
          <w:sz w:val="24"/>
          <w:szCs w:val="24"/>
        </w:rPr>
        <w:t xml:space="preserve">Figure </w:t>
      </w:r>
      <w:r w:rsidR="00B544E5" w:rsidRPr="006B4665">
        <w:rPr>
          <w:rFonts w:asciiTheme="majorBidi" w:hAnsiTheme="majorBidi" w:cstheme="majorBidi"/>
          <w:color w:val="auto"/>
          <w:sz w:val="24"/>
          <w:szCs w:val="24"/>
        </w:rPr>
        <w:fldChar w:fldCharType="begin"/>
      </w:r>
      <w:r w:rsidRPr="006B4665">
        <w:rPr>
          <w:rFonts w:asciiTheme="majorBidi" w:hAnsiTheme="majorBidi" w:cstheme="majorBidi"/>
          <w:color w:val="auto"/>
          <w:sz w:val="24"/>
          <w:szCs w:val="24"/>
        </w:rPr>
        <w:instrText xml:space="preserve"> SEQ Figure \* ARABIC </w:instrText>
      </w:r>
      <w:r w:rsidR="00B544E5" w:rsidRPr="006B4665">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24</w:t>
      </w:r>
      <w:r w:rsidR="00B544E5" w:rsidRPr="006B4665">
        <w:rPr>
          <w:rFonts w:asciiTheme="majorBidi" w:hAnsiTheme="majorBidi" w:cstheme="majorBidi"/>
          <w:color w:val="auto"/>
          <w:sz w:val="24"/>
          <w:szCs w:val="24"/>
        </w:rPr>
        <w:fldChar w:fldCharType="end"/>
      </w:r>
      <w:r w:rsidRPr="006B4665">
        <w:rPr>
          <w:rFonts w:asciiTheme="majorBidi" w:hAnsiTheme="majorBidi" w:cstheme="majorBidi"/>
          <w:color w:val="auto"/>
          <w:sz w:val="24"/>
          <w:szCs w:val="24"/>
        </w:rPr>
        <w:t xml:space="preserve">- </w:t>
      </w:r>
      <w:r w:rsidRPr="00D7723E">
        <w:rPr>
          <w:rFonts w:asciiTheme="majorBidi" w:hAnsiTheme="majorBidi" w:cstheme="majorBidi"/>
          <w:i/>
          <w:iCs/>
          <w:color w:val="auto"/>
          <w:sz w:val="24"/>
          <w:szCs w:val="24"/>
        </w:rPr>
        <w:t>Khiyar al-shart</w:t>
      </w:r>
      <w:r w:rsidRPr="006B4665">
        <w:rPr>
          <w:rFonts w:asciiTheme="majorBidi" w:hAnsiTheme="majorBidi" w:cstheme="majorBidi"/>
          <w:color w:val="auto"/>
          <w:sz w:val="24"/>
          <w:szCs w:val="24"/>
        </w:rPr>
        <w:t xml:space="preserve"> relatif aux prix futurs</w:t>
      </w:r>
      <w:bookmarkEnd w:id="1101"/>
    </w:p>
    <w:p w14:paraId="5C4618DC" w14:textId="7FE5F848" w:rsidR="003F5483" w:rsidRPr="002B005F" w:rsidRDefault="002C5EFF" w:rsidP="00D74339">
      <w:pPr>
        <w:pStyle w:val="Paragraphedeliste"/>
        <w:tabs>
          <w:tab w:val="left" w:pos="0"/>
        </w:tabs>
        <w:spacing w:line="360" w:lineRule="auto"/>
        <w:ind w:left="0" w:firstLine="709"/>
        <w:contextualSpacing w:val="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c">
            <w:drawing>
              <wp:inline distT="0" distB="0" distL="0" distR="0" wp14:anchorId="716B7583" wp14:editId="3F3F712F">
                <wp:extent cx="5029200" cy="2009775"/>
                <wp:effectExtent l="0" t="0" r="12700" b="4445"/>
                <wp:docPr id="959054033" name="Zone de dessin 1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59054032" name="Picture 15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5550" cy="20142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8C8DD84" id="Zone de dessin 1577" o:spid="_x0000_s1026" editas="canvas" style="width:396pt;height:158.25pt;mso-position-horizontal-relative:char;mso-position-vertical-relative:line" coordsize="50292,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">
                <v:shape id="_x0000_s1027" type="#_x0000_t75" style="position:absolute;width:50292;height:20097;visibility:visible;mso-wrap-style:square">
                  <v:fill o:detectmouseclick="t"/>
                  <v:path o:connecttype="none"/>
                </v:shape>
                <v:shape id="Picture 1578" o:spid="_x0000_s1028" type="#_x0000_t75" style="position:absolute;width:50355;height:2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">
                  <v:imagedata r:id="rId57" o:title=""/>
                </v:shape>
                <w10:anchorlock/>
              </v:group>
            </w:pict>
          </mc:Fallback>
        </mc:AlternateContent>
      </w:r>
    </w:p>
    <w:p w14:paraId="0834A543" w14:textId="77777777" w:rsidR="003F5483" w:rsidRPr="002B005F" w:rsidRDefault="003F5483" w:rsidP="000F58F6">
      <w:pPr>
        <w:pStyle w:val="Paragraphedeliste"/>
        <w:tabs>
          <w:tab w:val="left" w:pos="0"/>
        </w:tabs>
        <w:spacing w:before="240" w:after="240" w:line="240" w:lineRule="auto"/>
        <w:ind w:left="0"/>
        <w:contextualSpacing w:val="0"/>
        <w:jc w:val="center"/>
        <w:rPr>
          <w:rFonts w:ascii="Times New Roman" w:hAnsi="Times New Roman" w:cs="Times New Roman"/>
          <w:sz w:val="20"/>
          <w:szCs w:val="20"/>
        </w:rPr>
      </w:pPr>
      <w:r w:rsidRPr="002B005F">
        <w:rPr>
          <w:rFonts w:ascii="Times New Roman" w:hAnsi="Times New Roman" w:cs="Times New Roman"/>
          <w:sz w:val="20"/>
          <w:szCs w:val="20"/>
        </w:rPr>
        <w:lastRenderedPageBreak/>
        <w:t xml:space="preserve">Source : </w:t>
      </w:r>
      <w:r w:rsidRPr="002B005F">
        <w:rPr>
          <w:rFonts w:ascii="Times New Roman" w:hAnsi="Times New Roman" w:cs="Times New Roman"/>
          <w:smallCaps/>
          <w:sz w:val="20"/>
          <w:szCs w:val="20"/>
        </w:rPr>
        <w:t>Khan</w:t>
      </w:r>
      <w:r w:rsidRPr="002B005F">
        <w:rPr>
          <w:rFonts w:ascii="Times New Roman" w:hAnsi="Times New Roman" w:cs="Times New Roman"/>
          <w:sz w:val="20"/>
          <w:szCs w:val="20"/>
        </w:rPr>
        <w:t xml:space="preserve"> et </w:t>
      </w:r>
      <w:r w:rsidRPr="002B005F">
        <w:rPr>
          <w:rFonts w:ascii="Times New Roman" w:hAnsi="Times New Roman" w:cs="Times New Roman"/>
          <w:smallCaps/>
          <w:sz w:val="20"/>
          <w:szCs w:val="20"/>
        </w:rPr>
        <w:t>Ahmad</w:t>
      </w:r>
      <w:r w:rsidRPr="002B005F">
        <w:rPr>
          <w:rFonts w:ascii="Times New Roman" w:hAnsi="Times New Roman" w:cs="Times New Roman"/>
          <w:sz w:val="20"/>
          <w:szCs w:val="20"/>
        </w:rPr>
        <w:t>, (2002), p. 155.</w:t>
      </w:r>
    </w:p>
    <w:p w14:paraId="66B4C00C" w14:textId="77777777" w:rsidR="003F5483" w:rsidRPr="00D7723E" w:rsidRDefault="00CA13DD" w:rsidP="00D7723E">
      <w:pPr>
        <w:pStyle w:val="Titre6"/>
        <w:spacing w:before="120" w:after="120" w:line="300" w:lineRule="auto"/>
        <w:ind w:firstLine="709"/>
        <w:rPr>
          <w:rFonts w:asciiTheme="majorBidi" w:hAnsiTheme="majorBidi"/>
          <w:b/>
          <w:bCs/>
          <w:i w:val="0"/>
          <w:iCs w:val="0"/>
          <w:color w:val="auto"/>
          <w:sz w:val="24"/>
          <w:szCs w:val="24"/>
        </w:rPr>
      </w:pPr>
      <w:bookmarkStart w:id="1102" w:name="_Toc182298810"/>
      <w:r w:rsidRPr="00D7723E">
        <w:rPr>
          <w:rFonts w:asciiTheme="majorBidi" w:hAnsiTheme="majorBidi"/>
          <w:b/>
          <w:bCs/>
          <w:i w:val="0"/>
          <w:iCs w:val="0"/>
          <w:color w:val="auto"/>
          <w:sz w:val="24"/>
          <w:szCs w:val="24"/>
        </w:rPr>
        <w:t>3.2.2.</w:t>
      </w:r>
      <w:r w:rsidR="00F35F70" w:rsidRPr="00D7723E">
        <w:rPr>
          <w:rFonts w:asciiTheme="majorBidi" w:hAnsiTheme="majorBidi"/>
          <w:b/>
          <w:bCs/>
          <w:i w:val="0"/>
          <w:iCs w:val="0"/>
          <w:color w:val="auto"/>
          <w:sz w:val="24"/>
          <w:szCs w:val="24"/>
        </w:rPr>
        <w:t>5</w:t>
      </w:r>
      <w:r w:rsidRPr="00D7723E">
        <w:rPr>
          <w:rFonts w:asciiTheme="majorBidi" w:hAnsiTheme="majorBidi"/>
          <w:b/>
          <w:bCs/>
          <w:i w:val="0"/>
          <w:iCs w:val="0"/>
          <w:color w:val="auto"/>
          <w:sz w:val="24"/>
          <w:szCs w:val="24"/>
        </w:rPr>
        <w:t xml:space="preserve">.7- </w:t>
      </w:r>
      <w:r w:rsidR="003F5483" w:rsidRPr="00D7723E">
        <w:rPr>
          <w:rFonts w:asciiTheme="majorBidi" w:hAnsiTheme="majorBidi"/>
          <w:b/>
          <w:bCs/>
          <w:i w:val="0"/>
          <w:iCs w:val="0"/>
          <w:color w:val="auto"/>
          <w:sz w:val="24"/>
          <w:szCs w:val="24"/>
        </w:rPr>
        <w:t>Contrats parallèles</w:t>
      </w:r>
      <w:bookmarkEnd w:id="1102"/>
    </w:p>
    <w:p w14:paraId="3F387BDA" w14:textId="77777777" w:rsidR="003F5483" w:rsidRPr="002B005F" w:rsidRDefault="003F5483" w:rsidP="004112D1">
      <w:pPr>
        <w:pStyle w:val="Paragraphedeliste"/>
        <w:tabs>
          <w:tab w:val="left" w:pos="0"/>
          <w:tab w:val="left" w:pos="5954"/>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 risque des prix de marchandise provient de deux sources. La première est liée aux changements transitoires des prix de marchandise. La deuxième concerne l’augmentation du niveau global des prix causée par l’inflation. </w:t>
      </w:r>
      <w:r w:rsidRPr="004112D1">
        <w:rPr>
          <w:rFonts w:ascii="Times New Roman" w:hAnsi="Times New Roman" w:cs="Times New Roman"/>
          <w:sz w:val="24"/>
          <w:szCs w:val="24"/>
        </w:rPr>
        <w:t xml:space="preserve">En </w:t>
      </w:r>
      <w:r w:rsidR="004112D1" w:rsidRPr="004112D1">
        <w:rPr>
          <w:rFonts w:ascii="Times New Roman" w:hAnsi="Times New Roman" w:cs="Times New Roman"/>
          <w:sz w:val="24"/>
          <w:szCs w:val="24"/>
        </w:rPr>
        <w:t>c</w:t>
      </w:r>
      <w:r w:rsidRPr="004112D1">
        <w:rPr>
          <w:rFonts w:ascii="Times New Roman" w:hAnsi="Times New Roman" w:cs="Times New Roman"/>
          <w:sz w:val="24"/>
          <w:szCs w:val="24"/>
        </w:rPr>
        <w:t>as</w:t>
      </w:r>
      <w:r w:rsidRPr="002B005F">
        <w:rPr>
          <w:rFonts w:ascii="Times New Roman" w:hAnsi="Times New Roman" w:cs="Times New Roman"/>
          <w:sz w:val="24"/>
          <w:szCs w:val="24"/>
        </w:rPr>
        <w:t xml:space="preserve"> de </w:t>
      </w:r>
      <w:r w:rsidRPr="002B005F">
        <w:rPr>
          <w:rFonts w:ascii="Times New Roman" w:hAnsi="Times New Roman" w:cs="Times New Roman"/>
          <w:i/>
          <w:iCs/>
          <w:sz w:val="24"/>
          <w:szCs w:val="24"/>
        </w:rPr>
        <w:t>mourabaha</w:t>
      </w:r>
      <w:r w:rsidRPr="002B005F">
        <w:rPr>
          <w:rFonts w:ascii="Times New Roman" w:hAnsi="Times New Roman" w:cs="Times New Roman"/>
          <w:sz w:val="24"/>
          <w:szCs w:val="24"/>
        </w:rPr>
        <w:t xml:space="preserve">, l’inflation cause des risques liés à la valeur nominale des créances. Pour un contrat </w:t>
      </w:r>
      <w:r w:rsidRPr="002B005F">
        <w:rPr>
          <w:rFonts w:ascii="Times New Roman" w:hAnsi="Times New Roman" w:cs="Times New Roman"/>
          <w:i/>
          <w:sz w:val="24"/>
          <w:szCs w:val="24"/>
        </w:rPr>
        <w:t>salam</w:t>
      </w:r>
      <w:r w:rsidR="00CA13DD">
        <w:rPr>
          <w:rFonts w:ascii="Times New Roman" w:hAnsi="Times New Roman" w:cs="Times New Roman"/>
          <w:sz w:val="24"/>
          <w:szCs w:val="24"/>
        </w:rPr>
        <w:t>,</w:t>
      </w:r>
      <w:r w:rsidRPr="002B005F">
        <w:rPr>
          <w:rFonts w:ascii="Times New Roman" w:hAnsi="Times New Roman" w:cs="Times New Roman"/>
          <w:sz w:val="24"/>
          <w:szCs w:val="24"/>
        </w:rPr>
        <w:t xml:space="preserve"> en cas d’inflation, les prix de marchandise acheté</w:t>
      </w:r>
      <w:r w:rsidR="004112D1">
        <w:rPr>
          <w:rFonts w:ascii="Times New Roman" w:hAnsi="Times New Roman" w:cs="Times New Roman"/>
          <w:sz w:val="24"/>
          <w:szCs w:val="24"/>
        </w:rPr>
        <w:t xml:space="preserve">e par la </w:t>
      </w:r>
      <w:r w:rsidRPr="002B005F">
        <w:rPr>
          <w:rFonts w:ascii="Times New Roman" w:hAnsi="Times New Roman" w:cs="Times New Roman"/>
          <w:sz w:val="24"/>
          <w:szCs w:val="24"/>
        </w:rPr>
        <w:t>BI seront appréciés.</w:t>
      </w:r>
    </w:p>
    <w:p w14:paraId="74F43ED2" w14:textId="77777777" w:rsidR="003F5483" w:rsidRPr="002B005F" w:rsidRDefault="004112D1" w:rsidP="003F5483">
      <w:pPr>
        <w:pStyle w:val="Paragraphedeliste"/>
        <w:tabs>
          <w:tab w:val="left" w:pos="0"/>
        </w:tabs>
        <w:spacing w:before="120" w:line="300" w:lineRule="auto"/>
        <w:ind w:left="0" w:firstLine="709"/>
        <w:contextualSpacing w:val="0"/>
        <w:rPr>
          <w:rFonts w:ascii="Times New Roman" w:hAnsi="Times New Roman" w:cs="Times New Roman"/>
          <w:sz w:val="24"/>
          <w:szCs w:val="24"/>
        </w:rPr>
      </w:pPr>
      <w:r>
        <w:rPr>
          <w:rFonts w:ascii="Times New Roman" w:hAnsi="Times New Roman" w:cs="Times New Roman"/>
          <w:sz w:val="24"/>
          <w:szCs w:val="24"/>
        </w:rPr>
        <w:t>Supposant</w:t>
      </w:r>
      <w:r w:rsidR="003F5483" w:rsidRPr="002B005F">
        <w:rPr>
          <w:rFonts w:ascii="Times New Roman" w:hAnsi="Times New Roman" w:cs="Times New Roman"/>
          <w:sz w:val="24"/>
          <w:szCs w:val="24"/>
        </w:rPr>
        <w:t xml:space="preserve"> qu’une BI a vendu des actifs qui ont une valeur de 100 $ chacun selon la technique </w:t>
      </w:r>
      <w:r w:rsidR="003F5483" w:rsidRPr="002B005F">
        <w:rPr>
          <w:rFonts w:ascii="Times New Roman" w:hAnsi="Times New Roman" w:cs="Times New Roman"/>
          <w:i/>
          <w:iCs/>
          <w:sz w:val="24"/>
          <w:szCs w:val="24"/>
        </w:rPr>
        <w:t>mourabaha</w:t>
      </w:r>
      <w:r w:rsidR="003F5483" w:rsidRPr="002B005F">
        <w:rPr>
          <w:rFonts w:ascii="Times New Roman" w:hAnsi="Times New Roman" w:cs="Times New Roman"/>
          <w:sz w:val="24"/>
          <w:szCs w:val="24"/>
        </w:rPr>
        <w:t xml:space="preserve"> sur une </w:t>
      </w:r>
      <w:r w:rsidR="003F5483" w:rsidRPr="004112D1">
        <w:rPr>
          <w:rFonts w:ascii="Times New Roman" w:hAnsi="Times New Roman" w:cs="Times New Roman"/>
          <w:sz w:val="24"/>
          <w:szCs w:val="24"/>
        </w:rPr>
        <w:t xml:space="preserve">durée de </w:t>
      </w:r>
      <w:r w:rsidRPr="004112D1">
        <w:rPr>
          <w:rFonts w:ascii="Times New Roman" w:hAnsi="Times New Roman" w:cs="Times New Roman"/>
          <w:sz w:val="24"/>
          <w:szCs w:val="24"/>
        </w:rPr>
        <w:t xml:space="preserve">6 </w:t>
      </w:r>
      <w:r w:rsidR="003F5483" w:rsidRPr="004112D1">
        <w:rPr>
          <w:rFonts w:ascii="Times New Roman" w:hAnsi="Times New Roman" w:cs="Times New Roman"/>
          <w:sz w:val="24"/>
          <w:szCs w:val="24"/>
        </w:rPr>
        <w:t>mois</w:t>
      </w:r>
      <w:r w:rsidR="003F5483" w:rsidRPr="002B005F">
        <w:rPr>
          <w:rFonts w:ascii="Times New Roman" w:hAnsi="Times New Roman" w:cs="Times New Roman"/>
          <w:sz w:val="24"/>
          <w:szCs w:val="24"/>
        </w:rPr>
        <w:t xml:space="preserve">. Elle peut s’immuniser contre l’inflation en achetant selon la technique </w:t>
      </w:r>
      <w:r w:rsidR="003F5483" w:rsidRPr="002B005F">
        <w:rPr>
          <w:rFonts w:ascii="Times New Roman" w:hAnsi="Times New Roman" w:cs="Times New Roman"/>
          <w:i/>
          <w:sz w:val="24"/>
          <w:szCs w:val="24"/>
        </w:rPr>
        <w:t>salam</w:t>
      </w:r>
      <w:r w:rsidR="003F5483" w:rsidRPr="002B005F">
        <w:rPr>
          <w:rFonts w:ascii="Times New Roman" w:hAnsi="Times New Roman" w:cs="Times New Roman"/>
          <w:sz w:val="24"/>
          <w:szCs w:val="24"/>
        </w:rPr>
        <w:t xml:space="preserve"> pour une valeur de 100 $. On suppose que l’inflation a conduit à une dépréciation de 10% des prix des actifs vendus. Dans ce cas, les biens achetés dans le contrat </w:t>
      </w:r>
      <w:r w:rsidR="003F5483" w:rsidRPr="002B005F">
        <w:rPr>
          <w:rFonts w:ascii="Times New Roman" w:hAnsi="Times New Roman" w:cs="Times New Roman"/>
          <w:i/>
          <w:sz w:val="24"/>
          <w:szCs w:val="24"/>
        </w:rPr>
        <w:t>salam</w:t>
      </w:r>
      <w:r w:rsidR="003F5483" w:rsidRPr="002B005F">
        <w:rPr>
          <w:rFonts w:ascii="Times New Roman" w:hAnsi="Times New Roman" w:cs="Times New Roman"/>
          <w:sz w:val="24"/>
          <w:szCs w:val="24"/>
        </w:rPr>
        <w:t xml:space="preserve"> sont revalorisés de la même proportion. Par ailleurs, on peut recourir à un contrat </w:t>
      </w:r>
      <w:r w:rsidR="003F5483" w:rsidRPr="002B005F">
        <w:rPr>
          <w:rFonts w:ascii="Times New Roman" w:hAnsi="Times New Roman" w:cs="Times New Roman"/>
          <w:i/>
          <w:sz w:val="24"/>
          <w:szCs w:val="24"/>
        </w:rPr>
        <w:t>salam</w:t>
      </w:r>
      <w:r w:rsidR="003F5483" w:rsidRPr="002B005F">
        <w:rPr>
          <w:rFonts w:ascii="Times New Roman" w:hAnsi="Times New Roman" w:cs="Times New Roman"/>
          <w:sz w:val="24"/>
          <w:szCs w:val="24"/>
        </w:rPr>
        <w:t xml:space="preserve"> parallèle en tant que fournisseur pour se couvrir contre les risques de dépréciation des prix.</w:t>
      </w:r>
    </w:p>
    <w:p w14:paraId="591AFC51" w14:textId="77777777" w:rsidR="002760B2" w:rsidRPr="00D7723E" w:rsidRDefault="00136362" w:rsidP="00774B74">
      <w:pPr>
        <w:pStyle w:val="Titre5"/>
        <w:keepNext w:val="0"/>
        <w:keepLines w:val="0"/>
        <w:spacing w:before="120" w:after="120" w:line="300" w:lineRule="auto"/>
        <w:ind w:firstLine="709"/>
        <w:rPr>
          <w:rFonts w:asciiTheme="majorBidi" w:hAnsiTheme="majorBidi"/>
          <w:b/>
          <w:bCs/>
          <w:color w:val="auto"/>
          <w:sz w:val="24"/>
          <w:szCs w:val="24"/>
        </w:rPr>
      </w:pPr>
      <w:bookmarkStart w:id="1103" w:name="_Toc182298811"/>
      <w:r w:rsidRPr="00D7723E">
        <w:rPr>
          <w:rFonts w:asciiTheme="majorBidi" w:hAnsiTheme="majorBidi"/>
          <w:b/>
          <w:bCs/>
          <w:color w:val="auto"/>
          <w:sz w:val="24"/>
          <w:szCs w:val="24"/>
        </w:rPr>
        <w:t xml:space="preserve">3.2.2.6- </w:t>
      </w:r>
      <w:r w:rsidR="002760B2" w:rsidRPr="00D7723E">
        <w:rPr>
          <w:rFonts w:asciiTheme="majorBidi" w:hAnsiTheme="majorBidi"/>
          <w:b/>
          <w:bCs/>
          <w:color w:val="auto"/>
          <w:sz w:val="24"/>
          <w:szCs w:val="24"/>
        </w:rPr>
        <w:t>Gestion du risque juri</w:t>
      </w:r>
      <w:r w:rsidR="00FB41B0" w:rsidRPr="00D7723E">
        <w:rPr>
          <w:rFonts w:asciiTheme="majorBidi" w:hAnsiTheme="majorBidi"/>
          <w:b/>
          <w:bCs/>
          <w:color w:val="auto"/>
          <w:sz w:val="24"/>
          <w:szCs w:val="24"/>
        </w:rPr>
        <w:t>dique et du risque fiduciaire</w:t>
      </w:r>
      <w:bookmarkEnd w:id="1103"/>
    </w:p>
    <w:p w14:paraId="7B4E9D58" w14:textId="2E7809FC" w:rsidR="002760B2" w:rsidRPr="002B005F" w:rsidRDefault="002760B2" w:rsidP="00774B74">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Pour garantir la sécurité juridique des parties, assurer l’effectivité des contrats internationaux de financement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et limiter le </w:t>
      </w:r>
      <w:r w:rsidR="00675057">
        <w:rPr>
          <w:rFonts w:ascii="Times New Roman" w:hAnsi="Times New Roman" w:cs="Times New Roman"/>
          <w:i/>
          <w:spacing w:val="4"/>
          <w:sz w:val="24"/>
          <w:szCs w:val="24"/>
        </w:rPr>
        <w:t>S</w:t>
      </w:r>
      <w:r w:rsidR="00675057" w:rsidRPr="008E2909">
        <w:rPr>
          <w:rFonts w:ascii="Times New Roman" w:hAnsi="Times New Roman" w:cs="Times New Roman"/>
          <w:i/>
          <w:spacing w:val="4"/>
          <w:sz w:val="24"/>
          <w:szCs w:val="24"/>
        </w:rPr>
        <w:t>haria</w:t>
      </w:r>
      <w:r w:rsidR="00675057">
        <w:rPr>
          <w:rFonts w:ascii="Times New Roman" w:hAnsi="Times New Roman" w:cs="Times New Roman"/>
          <w:i/>
          <w:spacing w:val="4"/>
          <w:sz w:val="24"/>
          <w:szCs w:val="24"/>
        </w:rPr>
        <w:t>h</w:t>
      </w:r>
      <w:r w:rsidRPr="002B005F">
        <w:rPr>
          <w:rFonts w:ascii="Times New Roman" w:hAnsi="Times New Roman" w:cs="Times New Roman"/>
          <w:sz w:val="24"/>
          <w:szCs w:val="24"/>
        </w:rPr>
        <w:t>-</w:t>
      </w:r>
      <w:r w:rsidRPr="00CA13DD">
        <w:rPr>
          <w:rFonts w:ascii="Times New Roman" w:hAnsi="Times New Roman" w:cs="Times New Roman"/>
          <w:i/>
          <w:iCs/>
          <w:sz w:val="24"/>
          <w:szCs w:val="24"/>
        </w:rPr>
        <w:t>risk</w:t>
      </w:r>
      <w:r w:rsidRPr="002B005F">
        <w:rPr>
          <w:rFonts w:ascii="Times New Roman" w:hAnsi="Times New Roman" w:cs="Times New Roman"/>
          <w:sz w:val="24"/>
          <w:szCs w:val="24"/>
        </w:rPr>
        <w:t xml:space="preserve">, il s’avère nécessaire d’adopter de nouvelles pratiques contractuelles et améliorer la gouvernance des banques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w:t>
      </w:r>
      <w:r w:rsidRPr="002B005F">
        <w:rPr>
          <w:rStyle w:val="Appelnotedebasdep"/>
          <w:rFonts w:ascii="Times New Roman" w:hAnsi="Times New Roman"/>
          <w:sz w:val="24"/>
          <w:szCs w:val="24"/>
        </w:rPr>
        <w:footnoteReference w:id="281"/>
      </w:r>
      <w:r w:rsidRPr="002B005F">
        <w:rPr>
          <w:rFonts w:ascii="Times New Roman" w:hAnsi="Times New Roman" w:cs="Times New Roman"/>
          <w:sz w:val="24"/>
          <w:szCs w:val="24"/>
        </w:rPr>
        <w:t xml:space="preserve">. Le rôle des </w:t>
      </w:r>
      <w:r w:rsidR="00675057">
        <w:rPr>
          <w:rFonts w:ascii="Times New Roman" w:hAnsi="Times New Roman" w:cs="Times New Roman"/>
          <w:i/>
          <w:spacing w:val="4"/>
          <w:sz w:val="24"/>
          <w:szCs w:val="24"/>
        </w:rPr>
        <w:t>S</w:t>
      </w:r>
      <w:r w:rsidR="00675057" w:rsidRPr="008E2909">
        <w:rPr>
          <w:rFonts w:ascii="Times New Roman" w:hAnsi="Times New Roman" w:cs="Times New Roman"/>
          <w:i/>
          <w:spacing w:val="4"/>
          <w:sz w:val="24"/>
          <w:szCs w:val="24"/>
        </w:rPr>
        <w:t>haria</w:t>
      </w:r>
      <w:r w:rsidR="00675057">
        <w:rPr>
          <w:rFonts w:ascii="Times New Roman" w:hAnsi="Times New Roman" w:cs="Times New Roman"/>
          <w:i/>
          <w:spacing w:val="4"/>
          <w:sz w:val="24"/>
          <w:szCs w:val="24"/>
        </w:rPr>
        <w:t>h</w:t>
      </w:r>
      <w:r w:rsidR="00853917">
        <w:rPr>
          <w:rFonts w:ascii="Times New Roman" w:hAnsi="Times New Roman" w:cs="Times New Roman"/>
          <w:sz w:val="24"/>
          <w:szCs w:val="24"/>
        </w:rPr>
        <w:t>-</w:t>
      </w:r>
      <w:r w:rsidR="00FC6789" w:rsidRPr="00667D30">
        <w:rPr>
          <w:rFonts w:ascii="Times New Roman" w:hAnsi="Times New Roman" w:cs="Times New Roman"/>
          <w:i/>
          <w:sz w:val="24"/>
          <w:szCs w:val="24"/>
        </w:rPr>
        <w:t>b</w:t>
      </w:r>
      <w:r w:rsidRPr="00667D30">
        <w:rPr>
          <w:rFonts w:ascii="Times New Roman" w:hAnsi="Times New Roman" w:cs="Times New Roman"/>
          <w:i/>
          <w:sz w:val="24"/>
          <w:szCs w:val="24"/>
        </w:rPr>
        <w:t>oards</w:t>
      </w:r>
      <w:r w:rsidRPr="002B005F">
        <w:rPr>
          <w:rFonts w:ascii="Times New Roman" w:hAnsi="Times New Roman" w:cs="Times New Roman"/>
          <w:sz w:val="24"/>
          <w:szCs w:val="24"/>
        </w:rPr>
        <w:t xml:space="preserve"> doit être renforcé</w:t>
      </w:r>
      <w:r w:rsidR="0073205C">
        <w:rPr>
          <w:rFonts w:ascii="Times New Roman" w:hAnsi="Times New Roman" w:cs="Times New Roman"/>
          <w:sz w:val="24"/>
          <w:szCs w:val="24"/>
        </w:rPr>
        <w:t> ;</w:t>
      </w:r>
      <w:r w:rsidRPr="002B005F">
        <w:rPr>
          <w:rFonts w:ascii="Times New Roman" w:hAnsi="Times New Roman" w:cs="Times New Roman"/>
          <w:sz w:val="24"/>
          <w:szCs w:val="24"/>
        </w:rPr>
        <w:t xml:space="preserve"> leur consultation doit être périodique et ne pas se limiter au contrôle du contrat initial. D’ailleurs, les membres du </w:t>
      </w:r>
      <w:r w:rsidR="001124FF" w:rsidRPr="00567A13">
        <w:rPr>
          <w:rFonts w:asciiTheme="majorBidi" w:eastAsia="Times New Roman" w:hAnsiTheme="majorBidi" w:cstheme="majorBidi"/>
          <w:i/>
          <w:iCs/>
          <w:color w:val="000000" w:themeColor="text1"/>
          <w:sz w:val="24"/>
          <w:szCs w:val="24"/>
          <w:lang w:eastAsia="fr-FR"/>
        </w:rPr>
        <w:t>Shariah</w:t>
      </w:r>
      <w:r w:rsidR="00853917">
        <w:rPr>
          <w:rFonts w:ascii="Times New Roman" w:hAnsi="Times New Roman" w:cs="Times New Roman"/>
          <w:sz w:val="24"/>
          <w:szCs w:val="24"/>
        </w:rPr>
        <w:t>-</w:t>
      </w:r>
      <w:r w:rsidRPr="00CA13DD">
        <w:rPr>
          <w:rFonts w:ascii="Times New Roman" w:hAnsi="Times New Roman" w:cs="Times New Roman"/>
          <w:i/>
          <w:iCs/>
          <w:sz w:val="24"/>
          <w:szCs w:val="24"/>
        </w:rPr>
        <w:t>board</w:t>
      </w:r>
      <w:r w:rsidRPr="002B005F">
        <w:rPr>
          <w:rFonts w:ascii="Times New Roman" w:hAnsi="Times New Roman" w:cs="Times New Roman"/>
          <w:sz w:val="24"/>
          <w:szCs w:val="24"/>
        </w:rPr>
        <w:t xml:space="preserve"> doivent être en communication permanente avec les avocats de la BI.</w:t>
      </w:r>
    </w:p>
    <w:p w14:paraId="11F724B8" w14:textId="526FF1D6" w:rsidR="002760B2" w:rsidRPr="002B005F" w:rsidRDefault="002760B2" w:rsidP="00774B74">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En outre, des clauses de renonciation d’invocation de la non-conformité du contrat aux préceptes de la </w:t>
      </w:r>
      <w:r w:rsidR="001124FF" w:rsidRPr="00567A13">
        <w:rPr>
          <w:rFonts w:asciiTheme="majorBidi" w:eastAsia="Times New Roman" w:hAnsiTheme="majorBidi" w:cstheme="majorBidi"/>
          <w:i/>
          <w:iCs/>
          <w:color w:val="000000" w:themeColor="text1"/>
          <w:sz w:val="24"/>
          <w:szCs w:val="24"/>
          <w:lang w:eastAsia="fr-FR"/>
        </w:rPr>
        <w:t>Shariah</w:t>
      </w:r>
      <w:r w:rsidR="001124FF"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peuvent être incorporées dans les contrats de financement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Ces clauses permett</w:t>
      </w:r>
      <w:r w:rsidR="00FE768C" w:rsidRPr="002B005F">
        <w:rPr>
          <w:rFonts w:ascii="Times New Roman" w:hAnsi="Times New Roman" w:cs="Times New Roman"/>
          <w:sz w:val="24"/>
          <w:szCs w:val="24"/>
        </w:rPr>
        <w:t>ent aux contractants d’exprimer explicitement</w:t>
      </w:r>
      <w:r w:rsidRPr="002B005F">
        <w:rPr>
          <w:rFonts w:ascii="Times New Roman" w:hAnsi="Times New Roman" w:cs="Times New Roman"/>
          <w:sz w:val="24"/>
          <w:szCs w:val="24"/>
        </w:rPr>
        <w:t xml:space="preserve"> leur satisfaction concernant l’appréciation du </w:t>
      </w:r>
      <w:r w:rsidR="00675057">
        <w:rPr>
          <w:rFonts w:ascii="Times New Roman" w:hAnsi="Times New Roman" w:cs="Times New Roman"/>
          <w:i/>
          <w:spacing w:val="4"/>
          <w:sz w:val="24"/>
          <w:szCs w:val="24"/>
        </w:rPr>
        <w:t>S</w:t>
      </w:r>
      <w:r w:rsidR="00675057" w:rsidRPr="008E2909">
        <w:rPr>
          <w:rFonts w:ascii="Times New Roman" w:hAnsi="Times New Roman" w:cs="Times New Roman"/>
          <w:i/>
          <w:spacing w:val="4"/>
          <w:sz w:val="24"/>
          <w:szCs w:val="24"/>
        </w:rPr>
        <w:t>haria</w:t>
      </w:r>
      <w:r w:rsidR="00675057">
        <w:rPr>
          <w:rFonts w:ascii="Times New Roman" w:hAnsi="Times New Roman" w:cs="Times New Roman"/>
          <w:i/>
          <w:spacing w:val="4"/>
          <w:sz w:val="24"/>
          <w:szCs w:val="24"/>
        </w:rPr>
        <w:t>h</w:t>
      </w:r>
      <w:r w:rsidR="00853917">
        <w:rPr>
          <w:rFonts w:ascii="Times New Roman" w:hAnsi="Times New Roman" w:cs="Times New Roman"/>
          <w:sz w:val="24"/>
          <w:szCs w:val="24"/>
        </w:rPr>
        <w:t>-</w:t>
      </w:r>
      <w:r w:rsidRPr="00313D15">
        <w:rPr>
          <w:rFonts w:ascii="Times New Roman" w:hAnsi="Times New Roman" w:cs="Times New Roman"/>
          <w:i/>
          <w:sz w:val="24"/>
          <w:szCs w:val="24"/>
        </w:rPr>
        <w:t>board</w:t>
      </w:r>
      <w:r w:rsidRPr="002B005F">
        <w:rPr>
          <w:rFonts w:ascii="Times New Roman" w:hAnsi="Times New Roman" w:cs="Times New Roman"/>
          <w:sz w:val="24"/>
          <w:szCs w:val="24"/>
        </w:rPr>
        <w:t xml:space="preserve"> quant à la compatibilité du contrat avec les règles </w:t>
      </w:r>
      <w:r w:rsidR="00A83413" w:rsidRPr="00A83413">
        <w:rPr>
          <w:rFonts w:ascii="Times New Roman" w:hAnsi="Times New Roman" w:cs="Times New Roman"/>
          <w:sz w:val="24"/>
          <w:szCs w:val="24"/>
        </w:rPr>
        <w:t>charia</w:t>
      </w:r>
      <w:r w:rsidRPr="00A83413">
        <w:rPr>
          <w:rFonts w:ascii="Times New Roman" w:hAnsi="Times New Roman" w:cs="Times New Roman"/>
          <w:sz w:val="24"/>
          <w:szCs w:val="24"/>
        </w:rPr>
        <w:t>tiques</w:t>
      </w:r>
      <w:r w:rsidRPr="002B005F">
        <w:rPr>
          <w:rFonts w:ascii="Times New Roman" w:hAnsi="Times New Roman" w:cs="Times New Roman"/>
          <w:sz w:val="24"/>
          <w:szCs w:val="24"/>
        </w:rPr>
        <w:t xml:space="preserve">. </w:t>
      </w:r>
      <w:r w:rsidRPr="004112D1">
        <w:rPr>
          <w:rFonts w:ascii="Times New Roman" w:hAnsi="Times New Roman" w:cs="Times New Roman"/>
          <w:sz w:val="24"/>
          <w:szCs w:val="24"/>
        </w:rPr>
        <w:t>Cela p</w:t>
      </w:r>
      <w:r w:rsidRPr="002B005F">
        <w:rPr>
          <w:rFonts w:ascii="Times New Roman" w:hAnsi="Times New Roman" w:cs="Times New Roman"/>
          <w:sz w:val="24"/>
          <w:szCs w:val="24"/>
        </w:rPr>
        <w:t xml:space="preserve">ermet de rassurer les investisseurs et les clients potentiels face aux risques liés à la soumission du contrat de financement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à la </w:t>
      </w:r>
      <w:r w:rsidR="00675057">
        <w:rPr>
          <w:rFonts w:ascii="Times New Roman" w:hAnsi="Times New Roman" w:cs="Times New Roman"/>
          <w:i/>
          <w:spacing w:val="4"/>
          <w:sz w:val="24"/>
          <w:szCs w:val="24"/>
        </w:rPr>
        <w:t>S</w:t>
      </w:r>
      <w:r w:rsidR="00675057" w:rsidRPr="008E2909">
        <w:rPr>
          <w:rFonts w:ascii="Times New Roman" w:hAnsi="Times New Roman" w:cs="Times New Roman"/>
          <w:i/>
          <w:spacing w:val="4"/>
          <w:sz w:val="24"/>
          <w:szCs w:val="24"/>
        </w:rPr>
        <w:t>haria</w:t>
      </w:r>
      <w:r w:rsidR="00675057">
        <w:rPr>
          <w:rFonts w:ascii="Times New Roman" w:hAnsi="Times New Roman" w:cs="Times New Roman"/>
          <w:i/>
          <w:spacing w:val="4"/>
          <w:sz w:val="24"/>
          <w:szCs w:val="24"/>
        </w:rPr>
        <w:t>h</w:t>
      </w:r>
      <w:r w:rsidR="00675057" w:rsidRPr="002B005F">
        <w:rPr>
          <w:rFonts w:ascii="Times New Roman" w:hAnsi="Times New Roman" w:cs="Times New Roman"/>
          <w:sz w:val="24"/>
          <w:szCs w:val="24"/>
        </w:rPr>
        <w:t xml:space="preserve"> </w:t>
      </w:r>
      <w:r w:rsidRPr="002B005F">
        <w:rPr>
          <w:rFonts w:ascii="Times New Roman" w:hAnsi="Times New Roman" w:cs="Times New Roman"/>
          <w:sz w:val="24"/>
          <w:szCs w:val="24"/>
        </w:rPr>
        <w:t>et de maintenir une bonne image des BI.</w:t>
      </w:r>
    </w:p>
    <w:p w14:paraId="5148621C" w14:textId="77777777" w:rsidR="002760B2" w:rsidRPr="00D7723E" w:rsidRDefault="00136362" w:rsidP="00774B74">
      <w:pPr>
        <w:pStyle w:val="Titre3"/>
        <w:keepNext w:val="0"/>
        <w:keepLines w:val="0"/>
        <w:spacing w:before="100" w:beforeAutospacing="1" w:after="100" w:afterAutospacing="1"/>
        <w:ind w:firstLine="709"/>
        <w:rPr>
          <w:sz w:val="28"/>
          <w:szCs w:val="28"/>
        </w:rPr>
      </w:pPr>
      <w:bookmarkStart w:id="1104" w:name="_Toc33263327"/>
      <w:bookmarkStart w:id="1105" w:name="_Toc37664590"/>
      <w:bookmarkStart w:id="1106" w:name="_Toc37666435"/>
      <w:bookmarkStart w:id="1107" w:name="_Toc54363324"/>
      <w:bookmarkStart w:id="1108" w:name="_Toc58606317"/>
      <w:bookmarkStart w:id="1109" w:name="_Toc61263522"/>
      <w:bookmarkStart w:id="1110" w:name="_Toc182298812"/>
      <w:r w:rsidRPr="00D7723E">
        <w:rPr>
          <w:sz w:val="28"/>
          <w:szCs w:val="28"/>
        </w:rPr>
        <w:t xml:space="preserve">3.3- </w:t>
      </w:r>
      <w:r w:rsidR="002760B2" w:rsidRPr="00D7723E">
        <w:rPr>
          <w:sz w:val="28"/>
          <w:szCs w:val="28"/>
        </w:rPr>
        <w:t xml:space="preserve">Réglementation prudentielle </w:t>
      </w:r>
      <w:bookmarkEnd w:id="1104"/>
      <w:bookmarkEnd w:id="1105"/>
      <w:bookmarkEnd w:id="1106"/>
      <w:bookmarkEnd w:id="1107"/>
      <w:bookmarkEnd w:id="1108"/>
      <w:bookmarkEnd w:id="1109"/>
      <w:r w:rsidR="00F81836" w:rsidRPr="00D7723E">
        <w:rPr>
          <w:sz w:val="28"/>
          <w:szCs w:val="28"/>
        </w:rPr>
        <w:t>de la banque islamique</w:t>
      </w:r>
      <w:bookmarkEnd w:id="1110"/>
    </w:p>
    <w:p w14:paraId="60E8C002" w14:textId="77777777" w:rsidR="002760B2" w:rsidRPr="002B005F" w:rsidRDefault="002760B2" w:rsidP="00774B74">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09209B">
        <w:rPr>
          <w:rFonts w:ascii="Times New Roman" w:hAnsi="Times New Roman" w:cs="Times New Roman"/>
          <w:sz w:val="24"/>
          <w:szCs w:val="24"/>
        </w:rPr>
        <w:t xml:space="preserve">La finance </w:t>
      </w:r>
      <w:r w:rsidR="00505EDD" w:rsidRPr="0009209B">
        <w:rPr>
          <w:rFonts w:ascii="Times New Roman" w:hAnsi="Times New Roman" w:cs="Times New Roman"/>
          <w:sz w:val="24"/>
          <w:szCs w:val="24"/>
        </w:rPr>
        <w:t>i</w:t>
      </w:r>
      <w:r w:rsidR="003773C6" w:rsidRPr="0009209B">
        <w:rPr>
          <w:rFonts w:ascii="Times New Roman" w:hAnsi="Times New Roman" w:cs="Times New Roman"/>
          <w:sz w:val="24"/>
          <w:szCs w:val="24"/>
        </w:rPr>
        <w:t>slamique</w:t>
      </w:r>
      <w:r w:rsidRPr="0009209B">
        <w:rPr>
          <w:rFonts w:ascii="Times New Roman" w:hAnsi="Times New Roman" w:cs="Times New Roman"/>
          <w:sz w:val="24"/>
          <w:szCs w:val="24"/>
        </w:rPr>
        <w:t xml:space="preserve"> qui était considérée comme une niche est devenue une véritable industrie financière. Ce</w:t>
      </w:r>
      <w:r w:rsidR="00313D15" w:rsidRPr="0009209B">
        <w:rPr>
          <w:rFonts w:ascii="Times New Roman" w:hAnsi="Times New Roman" w:cs="Times New Roman"/>
          <w:sz w:val="24"/>
          <w:szCs w:val="24"/>
        </w:rPr>
        <w:t xml:space="preserve"> qui</w:t>
      </w:r>
      <w:r w:rsidRPr="0009209B">
        <w:rPr>
          <w:rFonts w:ascii="Times New Roman" w:hAnsi="Times New Roman" w:cs="Times New Roman"/>
          <w:sz w:val="24"/>
          <w:szCs w:val="24"/>
        </w:rPr>
        <w:t xml:space="preserve"> pose le problème de son intégration dans l’environnement financier international et de sa soumission au système de régulation qui prévaut dans le secteur.</w:t>
      </w:r>
      <w:r w:rsidR="00313D15" w:rsidRPr="0009209B">
        <w:rPr>
          <w:rFonts w:ascii="Times New Roman" w:hAnsi="Times New Roman" w:cs="Times New Roman"/>
          <w:sz w:val="24"/>
          <w:szCs w:val="24"/>
        </w:rPr>
        <w:t xml:space="preserve"> </w:t>
      </w:r>
      <w:r w:rsidRPr="0009209B">
        <w:rPr>
          <w:rFonts w:ascii="Times New Roman" w:hAnsi="Times New Roman" w:cs="Times New Roman"/>
          <w:sz w:val="24"/>
          <w:szCs w:val="24"/>
        </w:rPr>
        <w:t>L’impératif visé est d’assurer la viabilité et la solidité des BI. Etant donné que les activités exercées par ces dernières et les risques qu’elles encourent sont</w:t>
      </w:r>
      <w:r w:rsidRPr="002B005F">
        <w:rPr>
          <w:rFonts w:ascii="Times New Roman" w:hAnsi="Times New Roman" w:cs="Times New Roman"/>
          <w:sz w:val="24"/>
          <w:szCs w:val="24"/>
        </w:rPr>
        <w:t xml:space="preserve"> différents de ceux des banques conventionnelles, les questions qui se posent sont alors</w:t>
      </w:r>
      <w:r w:rsidRPr="002B005F">
        <w:rPr>
          <w:rStyle w:val="Appelnotedebasdep"/>
          <w:rFonts w:ascii="Times New Roman" w:hAnsi="Times New Roman"/>
          <w:sz w:val="24"/>
          <w:szCs w:val="24"/>
        </w:rPr>
        <w:footnoteReference w:id="282"/>
      </w:r>
      <w:r w:rsidRPr="002B005F">
        <w:rPr>
          <w:rFonts w:ascii="Times New Roman" w:hAnsi="Times New Roman" w:cs="Times New Roman"/>
          <w:sz w:val="24"/>
          <w:szCs w:val="24"/>
        </w:rPr>
        <w:t xml:space="preserve"> :</w:t>
      </w:r>
    </w:p>
    <w:p w14:paraId="5C1B05E2" w14:textId="77777777" w:rsidR="002760B2" w:rsidRPr="004112D1" w:rsidRDefault="002760B2" w:rsidP="00CB0FF1">
      <w:pPr>
        <w:pStyle w:val="Paragraphedeliste"/>
        <w:numPr>
          <w:ilvl w:val="0"/>
          <w:numId w:val="103"/>
        </w:numPr>
        <w:tabs>
          <w:tab w:val="left" w:pos="426"/>
          <w:tab w:val="left" w:pos="851"/>
          <w:tab w:val="left" w:pos="1134"/>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lastRenderedPageBreak/>
        <w:t xml:space="preserve">Les normes internationales applicables dans </w:t>
      </w:r>
      <w:r w:rsidR="00370A95" w:rsidRPr="002B005F">
        <w:rPr>
          <w:rFonts w:ascii="Times New Roman" w:hAnsi="Times New Roman" w:cs="Times New Roman"/>
          <w:sz w:val="24"/>
          <w:szCs w:val="24"/>
        </w:rPr>
        <w:t>l</w:t>
      </w:r>
      <w:r w:rsidR="00370A95">
        <w:rPr>
          <w:rFonts w:ascii="Times New Roman" w:hAnsi="Times New Roman" w:cs="Times New Roman"/>
          <w:sz w:val="24"/>
          <w:szCs w:val="24"/>
        </w:rPr>
        <w:t>a</w:t>
      </w:r>
      <w:r w:rsidR="00370A95" w:rsidRPr="002B005F">
        <w:rPr>
          <w:rFonts w:ascii="Times New Roman" w:hAnsi="Times New Roman" w:cs="Times New Roman"/>
          <w:sz w:val="24"/>
          <w:szCs w:val="24"/>
        </w:rPr>
        <w:t xml:space="preserve"> banque conventionnelle</w:t>
      </w:r>
      <w:r w:rsidRPr="004112D1">
        <w:rPr>
          <w:rFonts w:ascii="Times New Roman" w:hAnsi="Times New Roman" w:cs="Times New Roman"/>
          <w:sz w:val="24"/>
          <w:szCs w:val="24"/>
        </w:rPr>
        <w:t xml:space="preserve"> </w:t>
      </w:r>
      <w:r w:rsidR="0073205C" w:rsidRPr="004112D1">
        <w:rPr>
          <w:rFonts w:ascii="Times New Roman" w:hAnsi="Times New Roman" w:cs="Times New Roman"/>
          <w:sz w:val="24"/>
          <w:szCs w:val="24"/>
        </w:rPr>
        <w:t xml:space="preserve">le </w:t>
      </w:r>
      <w:r w:rsidRPr="004112D1">
        <w:rPr>
          <w:rFonts w:ascii="Times New Roman" w:hAnsi="Times New Roman" w:cs="Times New Roman"/>
          <w:sz w:val="24"/>
          <w:szCs w:val="24"/>
        </w:rPr>
        <w:t xml:space="preserve">sont-elles </w:t>
      </w:r>
      <w:r w:rsidR="0073205C" w:rsidRPr="004112D1">
        <w:rPr>
          <w:rFonts w:ascii="Times New Roman" w:hAnsi="Times New Roman" w:cs="Times New Roman"/>
          <w:sz w:val="24"/>
          <w:szCs w:val="24"/>
        </w:rPr>
        <w:t xml:space="preserve">aussi </w:t>
      </w:r>
      <w:r w:rsidRPr="004112D1">
        <w:rPr>
          <w:rFonts w:ascii="Times New Roman" w:hAnsi="Times New Roman" w:cs="Times New Roman"/>
          <w:sz w:val="24"/>
          <w:szCs w:val="24"/>
        </w:rPr>
        <w:t xml:space="preserve">toutes aux banques </w:t>
      </w:r>
      <w:r w:rsidR="00505EDD" w:rsidRPr="004112D1">
        <w:rPr>
          <w:rFonts w:ascii="Times New Roman" w:hAnsi="Times New Roman" w:cs="Times New Roman"/>
          <w:sz w:val="24"/>
          <w:szCs w:val="24"/>
        </w:rPr>
        <w:t>i</w:t>
      </w:r>
      <w:r w:rsidR="003773C6" w:rsidRPr="004112D1">
        <w:rPr>
          <w:rFonts w:ascii="Times New Roman" w:hAnsi="Times New Roman" w:cs="Times New Roman"/>
          <w:sz w:val="24"/>
          <w:szCs w:val="24"/>
        </w:rPr>
        <w:t>slamique</w:t>
      </w:r>
      <w:r w:rsidRPr="004112D1">
        <w:rPr>
          <w:rFonts w:ascii="Times New Roman" w:hAnsi="Times New Roman" w:cs="Times New Roman"/>
          <w:sz w:val="24"/>
          <w:szCs w:val="24"/>
        </w:rPr>
        <w:t>s ?</w:t>
      </w:r>
    </w:p>
    <w:p w14:paraId="13BDA44B" w14:textId="77777777" w:rsidR="002760B2" w:rsidRPr="002B005F" w:rsidRDefault="002760B2" w:rsidP="00CB0FF1">
      <w:pPr>
        <w:pStyle w:val="Paragraphedeliste"/>
        <w:numPr>
          <w:ilvl w:val="0"/>
          <w:numId w:val="103"/>
        </w:numPr>
        <w:tabs>
          <w:tab w:val="left" w:pos="426"/>
          <w:tab w:val="left" w:pos="851"/>
          <w:tab w:val="left" w:pos="1134"/>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normes internationales applicables sont–elles suffisantes pour les BI ? </w:t>
      </w:r>
      <w:r w:rsidR="007340FB">
        <w:rPr>
          <w:rFonts w:ascii="Times New Roman" w:hAnsi="Times New Roman" w:cs="Times New Roman"/>
          <w:sz w:val="24"/>
          <w:szCs w:val="24"/>
        </w:rPr>
        <w:t>N</w:t>
      </w:r>
      <w:r w:rsidRPr="002B005F">
        <w:rPr>
          <w:rFonts w:ascii="Times New Roman" w:hAnsi="Times New Roman" w:cs="Times New Roman"/>
          <w:sz w:val="24"/>
          <w:szCs w:val="24"/>
        </w:rPr>
        <w:t>e sont-elles pas trop sévères ?</w:t>
      </w:r>
    </w:p>
    <w:p w14:paraId="6D548804" w14:textId="77777777" w:rsidR="002760B2" w:rsidRPr="002B005F" w:rsidRDefault="002760B2" w:rsidP="00CB0FF1">
      <w:pPr>
        <w:pStyle w:val="Paragraphedeliste"/>
        <w:numPr>
          <w:ilvl w:val="0"/>
          <w:numId w:val="103"/>
        </w:numPr>
        <w:tabs>
          <w:tab w:val="left" w:pos="426"/>
          <w:tab w:val="left" w:pos="851"/>
          <w:tab w:val="left" w:pos="1134"/>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Y a-t-il lieu d’élaborer des règles complémentaires relatives aux produits financiers </w:t>
      </w:r>
      <w:r w:rsidR="00D617A2">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w:t>
      </w:r>
    </w:p>
    <w:p w14:paraId="5EF2F930" w14:textId="746A9638" w:rsidR="002760B2" w:rsidRPr="002B005F" w:rsidRDefault="002760B2" w:rsidP="00CB0FF1">
      <w:pPr>
        <w:pStyle w:val="Paragraphedeliste"/>
        <w:numPr>
          <w:ilvl w:val="0"/>
          <w:numId w:val="103"/>
        </w:numPr>
        <w:tabs>
          <w:tab w:val="left" w:pos="426"/>
          <w:tab w:val="left" w:pos="851"/>
          <w:tab w:val="left" w:pos="1134"/>
        </w:tabs>
        <w:spacing w:before="60" w:line="300" w:lineRule="auto"/>
        <w:ind w:left="1135" w:hanging="284"/>
        <w:contextualSpacing w:val="0"/>
        <w:rPr>
          <w:rFonts w:ascii="Times New Roman" w:hAnsi="Times New Roman" w:cs="Times New Roman"/>
          <w:sz w:val="24"/>
          <w:szCs w:val="24"/>
        </w:rPr>
      </w:pPr>
      <w:r w:rsidRPr="004112D1">
        <w:rPr>
          <w:rFonts w:ascii="Times New Roman" w:hAnsi="Times New Roman" w:cs="Times New Roman"/>
          <w:sz w:val="24"/>
          <w:szCs w:val="24"/>
        </w:rPr>
        <w:t>Y a-t-il lieu</w:t>
      </w:r>
      <w:r w:rsidRPr="002B005F">
        <w:rPr>
          <w:rFonts w:ascii="Times New Roman" w:hAnsi="Times New Roman" w:cs="Times New Roman"/>
          <w:sz w:val="24"/>
          <w:szCs w:val="24"/>
        </w:rPr>
        <w:t xml:space="preserve"> de mettre en place un système de régulation pour contrôler la compatibilité des activités exercées par l</w:t>
      </w:r>
      <w:r w:rsidR="00317AC4">
        <w:rPr>
          <w:rFonts w:ascii="Times New Roman" w:hAnsi="Times New Roman" w:cs="Times New Roman"/>
          <w:sz w:val="24"/>
          <w:szCs w:val="24"/>
        </w:rPr>
        <w:t>a</w:t>
      </w:r>
      <w:r w:rsidRPr="002B005F">
        <w:rPr>
          <w:rFonts w:ascii="Times New Roman" w:hAnsi="Times New Roman" w:cs="Times New Roman"/>
          <w:sz w:val="24"/>
          <w:szCs w:val="24"/>
        </w:rPr>
        <w:t xml:space="preserve"> BI avec la </w:t>
      </w:r>
      <w:r w:rsidR="00675057">
        <w:rPr>
          <w:rFonts w:ascii="Times New Roman" w:hAnsi="Times New Roman" w:cs="Times New Roman"/>
          <w:i/>
          <w:spacing w:val="4"/>
          <w:sz w:val="24"/>
          <w:szCs w:val="24"/>
        </w:rPr>
        <w:t>S</w:t>
      </w:r>
      <w:r w:rsidR="00675057" w:rsidRPr="008E2909">
        <w:rPr>
          <w:rFonts w:ascii="Times New Roman" w:hAnsi="Times New Roman" w:cs="Times New Roman"/>
          <w:i/>
          <w:spacing w:val="4"/>
          <w:sz w:val="24"/>
          <w:szCs w:val="24"/>
        </w:rPr>
        <w:t>haria</w:t>
      </w:r>
      <w:r w:rsidR="00675057">
        <w:rPr>
          <w:rFonts w:ascii="Times New Roman" w:hAnsi="Times New Roman" w:cs="Times New Roman"/>
          <w:i/>
          <w:spacing w:val="4"/>
          <w:sz w:val="24"/>
          <w:szCs w:val="24"/>
        </w:rPr>
        <w:t>h </w:t>
      </w:r>
      <w:r w:rsidRPr="002B005F">
        <w:rPr>
          <w:rFonts w:ascii="Times New Roman" w:hAnsi="Times New Roman" w:cs="Times New Roman"/>
          <w:sz w:val="24"/>
          <w:szCs w:val="24"/>
        </w:rPr>
        <w:t>?</w:t>
      </w:r>
    </w:p>
    <w:p w14:paraId="2222E3E1" w14:textId="56E41D32" w:rsidR="002760B2" w:rsidRPr="002B005F" w:rsidRDefault="002760B2" w:rsidP="00774B74">
      <w:pPr>
        <w:pStyle w:val="Paragraphedeliste"/>
        <w:tabs>
          <w:tab w:val="left" w:pos="0"/>
          <w:tab w:val="left" w:pos="426"/>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pacing w:val="-6"/>
          <w:sz w:val="24"/>
          <w:szCs w:val="24"/>
        </w:rPr>
        <w:t xml:space="preserve">Pour protéger les intérêts </w:t>
      </w:r>
      <w:r w:rsidR="0009209B">
        <w:rPr>
          <w:rFonts w:ascii="Times New Roman" w:hAnsi="Times New Roman" w:cs="Times New Roman"/>
          <w:spacing w:val="-6"/>
          <w:sz w:val="24"/>
          <w:szCs w:val="24"/>
        </w:rPr>
        <w:t>des déposants au sein de la</w:t>
      </w:r>
      <w:r w:rsidRPr="002B005F">
        <w:rPr>
          <w:rFonts w:ascii="Times New Roman" w:hAnsi="Times New Roman" w:cs="Times New Roman"/>
          <w:spacing w:val="-6"/>
          <w:sz w:val="24"/>
          <w:szCs w:val="24"/>
        </w:rPr>
        <w:t xml:space="preserve"> BI, il est nécessaire de mettre en place des filets de sécurité pour garantir une stabilité systémique. </w:t>
      </w:r>
      <w:r w:rsidRPr="004112D1">
        <w:rPr>
          <w:rFonts w:ascii="Times New Roman" w:hAnsi="Times New Roman" w:cs="Times New Roman"/>
          <w:spacing w:val="-6"/>
          <w:sz w:val="24"/>
          <w:szCs w:val="24"/>
        </w:rPr>
        <w:t>Ce</w:t>
      </w:r>
      <w:r w:rsidR="00A5400B">
        <w:rPr>
          <w:rFonts w:ascii="Times New Roman" w:hAnsi="Times New Roman" w:cs="Times New Roman"/>
          <w:spacing w:val="-6"/>
          <w:sz w:val="24"/>
          <w:szCs w:val="24"/>
        </w:rPr>
        <w:t>tte mesure</w:t>
      </w:r>
      <w:r w:rsidRPr="002B005F">
        <w:rPr>
          <w:rFonts w:ascii="Times New Roman" w:hAnsi="Times New Roman" w:cs="Times New Roman"/>
          <w:spacing w:val="-6"/>
          <w:sz w:val="24"/>
          <w:szCs w:val="24"/>
        </w:rPr>
        <w:t xml:space="preserve"> ne peut </w:t>
      </w:r>
      <w:r w:rsidR="00A5400B">
        <w:rPr>
          <w:rFonts w:ascii="Times New Roman" w:hAnsi="Times New Roman" w:cs="Times New Roman"/>
          <w:spacing w:val="-6"/>
          <w:sz w:val="24"/>
          <w:szCs w:val="24"/>
        </w:rPr>
        <w:t>se concrétiser</w:t>
      </w:r>
      <w:r w:rsidRPr="002B005F">
        <w:rPr>
          <w:rFonts w:ascii="Times New Roman" w:hAnsi="Times New Roman" w:cs="Times New Roman"/>
          <w:spacing w:val="-6"/>
          <w:sz w:val="24"/>
          <w:szCs w:val="24"/>
        </w:rPr>
        <w:t xml:space="preserve"> de manière satisfaisante qu’à travers des normes de réglementation adéquates et un contrôle efficace.</w:t>
      </w:r>
      <w:r w:rsidR="00774B74">
        <w:rPr>
          <w:rFonts w:ascii="Times New Roman" w:hAnsi="Times New Roman" w:cs="Times New Roman"/>
          <w:spacing w:val="-6"/>
          <w:sz w:val="24"/>
          <w:szCs w:val="24"/>
        </w:rPr>
        <w:t xml:space="preserve"> </w:t>
      </w:r>
      <w:r w:rsidRPr="002B005F">
        <w:rPr>
          <w:rFonts w:ascii="Times New Roman" w:hAnsi="Times New Roman" w:cs="Times New Roman"/>
          <w:spacing w:val="-6"/>
          <w:sz w:val="24"/>
          <w:szCs w:val="24"/>
        </w:rPr>
        <w:t>M</w:t>
      </w:r>
      <w:r w:rsidR="0009209B">
        <w:rPr>
          <w:rFonts w:ascii="Times New Roman" w:hAnsi="Times New Roman" w:cs="Times New Roman"/>
          <w:spacing w:val="-6"/>
          <w:sz w:val="24"/>
          <w:szCs w:val="24"/>
        </w:rPr>
        <w:t>ême si la BI fourni</w:t>
      </w:r>
      <w:r w:rsidRPr="002B005F">
        <w:rPr>
          <w:rFonts w:ascii="Times New Roman" w:hAnsi="Times New Roman" w:cs="Times New Roman"/>
          <w:spacing w:val="-6"/>
          <w:sz w:val="24"/>
          <w:szCs w:val="24"/>
        </w:rPr>
        <w:t>t des pre</w:t>
      </w:r>
      <w:r w:rsidR="0009209B">
        <w:rPr>
          <w:rFonts w:ascii="Times New Roman" w:hAnsi="Times New Roman" w:cs="Times New Roman"/>
          <w:spacing w:val="-6"/>
          <w:sz w:val="24"/>
          <w:szCs w:val="24"/>
        </w:rPr>
        <w:t>stations similaires à celles de la banque conventionnelle</w:t>
      </w:r>
      <w:r w:rsidRPr="002B005F">
        <w:rPr>
          <w:rFonts w:ascii="Times New Roman" w:hAnsi="Times New Roman" w:cs="Times New Roman"/>
          <w:spacing w:val="-6"/>
          <w:sz w:val="24"/>
          <w:szCs w:val="24"/>
        </w:rPr>
        <w:t xml:space="preserve"> (dépôts à </w:t>
      </w:r>
      <w:r w:rsidR="0009209B">
        <w:rPr>
          <w:rFonts w:ascii="Times New Roman" w:hAnsi="Times New Roman" w:cs="Times New Roman"/>
          <w:spacing w:val="-6"/>
          <w:sz w:val="24"/>
          <w:szCs w:val="24"/>
        </w:rPr>
        <w:t>vue, services bancaires…), ses</w:t>
      </w:r>
      <w:r w:rsidRPr="002B005F">
        <w:rPr>
          <w:rFonts w:ascii="Times New Roman" w:hAnsi="Times New Roman" w:cs="Times New Roman"/>
          <w:spacing w:val="-6"/>
          <w:sz w:val="24"/>
          <w:szCs w:val="24"/>
        </w:rPr>
        <w:t xml:space="preserve"> activités divergent sur de nombreux points</w:t>
      </w:r>
      <w:r w:rsidRPr="002B005F">
        <w:rPr>
          <w:rFonts w:ascii="Times New Roman" w:hAnsi="Times New Roman" w:cs="Times New Roman"/>
          <w:sz w:val="24"/>
          <w:szCs w:val="24"/>
        </w:rPr>
        <w:t> :</w:t>
      </w:r>
    </w:p>
    <w:p w14:paraId="2F8CF0C0" w14:textId="77777777" w:rsidR="002760B2" w:rsidRPr="002B005F" w:rsidRDefault="002760B2" w:rsidP="00CB0FF1">
      <w:pPr>
        <w:pStyle w:val="Paragraphedeliste"/>
        <w:numPr>
          <w:ilvl w:val="0"/>
          <w:numId w:val="16"/>
        </w:numPr>
        <w:tabs>
          <w:tab w:val="left" w:pos="426"/>
          <w:tab w:val="left" w:pos="851"/>
          <w:tab w:val="left" w:pos="1134"/>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Les opérations participatives sont trop risquées ;</w:t>
      </w:r>
    </w:p>
    <w:p w14:paraId="4CFCD090" w14:textId="77777777" w:rsidR="002760B2" w:rsidRPr="002B005F" w:rsidRDefault="002760B2" w:rsidP="00CB0FF1">
      <w:pPr>
        <w:pStyle w:val="Paragraphedeliste"/>
        <w:numPr>
          <w:ilvl w:val="0"/>
          <w:numId w:val="16"/>
        </w:numPr>
        <w:tabs>
          <w:tab w:val="left" w:pos="426"/>
          <w:tab w:val="left" w:pos="851"/>
          <w:tab w:val="left" w:pos="1134"/>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Les dépôts d’investissement (basés sur le principe 3P) ne présentent pas les mêmes risques que les co</w:t>
      </w:r>
      <w:r w:rsidR="0009209B">
        <w:rPr>
          <w:rFonts w:ascii="Times New Roman" w:hAnsi="Times New Roman" w:cs="Times New Roman"/>
          <w:sz w:val="24"/>
          <w:szCs w:val="24"/>
        </w:rPr>
        <w:t>mptes courants. Pour les premiers,</w:t>
      </w:r>
      <w:r w:rsidRPr="002B005F">
        <w:rPr>
          <w:rFonts w:ascii="Times New Roman" w:hAnsi="Times New Roman" w:cs="Times New Roman"/>
          <w:sz w:val="24"/>
          <w:szCs w:val="24"/>
        </w:rPr>
        <w:t xml:space="preserve"> les déposants qui assument un risque élevé ;</w:t>
      </w:r>
    </w:p>
    <w:p w14:paraId="19DA03D9" w14:textId="77777777" w:rsidR="002760B2" w:rsidRPr="002B005F" w:rsidRDefault="002760B2" w:rsidP="00CB0FF1">
      <w:pPr>
        <w:pStyle w:val="Paragraphedeliste"/>
        <w:numPr>
          <w:ilvl w:val="0"/>
          <w:numId w:val="16"/>
        </w:numPr>
        <w:tabs>
          <w:tab w:val="left" w:pos="426"/>
          <w:tab w:val="left" w:pos="851"/>
          <w:tab w:val="left" w:pos="1134"/>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produits financiers </w:t>
      </w:r>
      <w:r w:rsidR="000F6C86">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basés sur des opérations d’achat/vente sont en général risqués.</w:t>
      </w:r>
    </w:p>
    <w:p w14:paraId="5BD26602" w14:textId="77777777" w:rsidR="002760B2" w:rsidRPr="002B005F" w:rsidRDefault="0009209B" w:rsidP="00313D15">
      <w:pPr>
        <w:tabs>
          <w:tab w:val="left" w:pos="0"/>
        </w:tabs>
        <w:spacing w:before="100" w:beforeAutospacing="1" w:line="300" w:lineRule="auto"/>
        <w:ind w:firstLine="709"/>
        <w:rPr>
          <w:rFonts w:ascii="Times New Roman" w:hAnsi="Times New Roman" w:cs="Times New Roman"/>
          <w:sz w:val="24"/>
          <w:szCs w:val="24"/>
        </w:rPr>
      </w:pPr>
      <w:r>
        <w:rPr>
          <w:rFonts w:ascii="Times New Roman" w:hAnsi="Times New Roman" w:cs="Times New Roman"/>
          <w:sz w:val="24"/>
          <w:szCs w:val="24"/>
        </w:rPr>
        <w:t>D’ailleurs la banque</w:t>
      </w:r>
      <w:r w:rsidR="002760B2" w:rsidRPr="002B005F">
        <w:rPr>
          <w:rFonts w:ascii="Times New Roman" w:hAnsi="Times New Roman" w:cs="Times New Roman"/>
          <w:sz w:val="24"/>
          <w:szCs w:val="24"/>
        </w:rPr>
        <w:t xml:space="preserve"> </w:t>
      </w:r>
      <w:r w:rsidR="00D617A2">
        <w:rPr>
          <w:rFonts w:ascii="Times New Roman" w:hAnsi="Times New Roman" w:cs="Times New Roman"/>
          <w:sz w:val="24"/>
          <w:szCs w:val="24"/>
        </w:rPr>
        <w:t>i</w:t>
      </w:r>
      <w:r w:rsidR="003773C6" w:rsidRPr="002B005F">
        <w:rPr>
          <w:rFonts w:ascii="Times New Roman" w:hAnsi="Times New Roman" w:cs="Times New Roman"/>
          <w:sz w:val="24"/>
          <w:szCs w:val="24"/>
        </w:rPr>
        <w:t>slamique</w:t>
      </w:r>
      <w:r>
        <w:rPr>
          <w:rFonts w:ascii="Times New Roman" w:hAnsi="Times New Roman" w:cs="Times New Roman"/>
          <w:sz w:val="24"/>
          <w:szCs w:val="24"/>
        </w:rPr>
        <w:t xml:space="preserve"> ne peu</w:t>
      </w:r>
      <w:r w:rsidR="002760B2" w:rsidRPr="002B005F">
        <w:rPr>
          <w:rFonts w:ascii="Times New Roman" w:hAnsi="Times New Roman" w:cs="Times New Roman"/>
          <w:sz w:val="24"/>
          <w:szCs w:val="24"/>
        </w:rPr>
        <w:t>t pas :</w:t>
      </w:r>
    </w:p>
    <w:p w14:paraId="31A05430" w14:textId="77777777" w:rsidR="002760B2" w:rsidRPr="002B005F" w:rsidRDefault="00F81836" w:rsidP="00CB0FF1">
      <w:pPr>
        <w:pStyle w:val="Paragraphedeliste"/>
        <w:numPr>
          <w:ilvl w:val="0"/>
          <w:numId w:val="16"/>
        </w:numPr>
        <w:tabs>
          <w:tab w:val="left" w:pos="284"/>
          <w:tab w:val="left" w:pos="851"/>
          <w:tab w:val="left" w:pos="1134"/>
        </w:tabs>
        <w:spacing w:before="40" w:line="300" w:lineRule="auto"/>
        <w:ind w:left="851" w:firstLine="0"/>
        <w:contextualSpacing w:val="0"/>
        <w:rPr>
          <w:rFonts w:ascii="Times New Roman" w:hAnsi="Times New Roman" w:cs="Times New Roman"/>
          <w:sz w:val="24"/>
          <w:szCs w:val="24"/>
        </w:rPr>
      </w:pPr>
      <w:r>
        <w:rPr>
          <w:rFonts w:ascii="Times New Roman" w:hAnsi="Times New Roman" w:cs="Times New Roman"/>
          <w:sz w:val="24"/>
          <w:szCs w:val="24"/>
        </w:rPr>
        <w:t>Utiliser</w:t>
      </w:r>
      <w:r w:rsidR="002760B2" w:rsidRPr="002B005F">
        <w:rPr>
          <w:rFonts w:ascii="Times New Roman" w:hAnsi="Times New Roman" w:cs="Times New Roman"/>
          <w:sz w:val="24"/>
          <w:szCs w:val="24"/>
        </w:rPr>
        <w:t xml:space="preserve"> des instruments de couverture contre les risques basés sur l’intérêt ;</w:t>
      </w:r>
    </w:p>
    <w:p w14:paraId="6ECA79C5" w14:textId="77777777" w:rsidR="002760B2" w:rsidRPr="002B005F" w:rsidRDefault="00F81836" w:rsidP="00CB0FF1">
      <w:pPr>
        <w:pStyle w:val="Paragraphedeliste"/>
        <w:numPr>
          <w:ilvl w:val="0"/>
          <w:numId w:val="16"/>
        </w:numPr>
        <w:tabs>
          <w:tab w:val="left" w:pos="284"/>
          <w:tab w:val="left" w:pos="851"/>
          <w:tab w:val="left" w:pos="1134"/>
        </w:tabs>
        <w:spacing w:before="40" w:line="300" w:lineRule="auto"/>
        <w:ind w:left="851" w:firstLine="0"/>
        <w:contextualSpacing w:val="0"/>
        <w:rPr>
          <w:rFonts w:ascii="Times New Roman" w:hAnsi="Times New Roman" w:cs="Times New Roman"/>
          <w:sz w:val="24"/>
          <w:szCs w:val="24"/>
        </w:rPr>
      </w:pPr>
      <w:r>
        <w:rPr>
          <w:rFonts w:ascii="Times New Roman" w:hAnsi="Times New Roman" w:cs="Times New Roman"/>
          <w:sz w:val="24"/>
          <w:szCs w:val="24"/>
        </w:rPr>
        <w:t>Commercer</w:t>
      </w:r>
      <w:r w:rsidR="002760B2" w:rsidRPr="002B005F">
        <w:rPr>
          <w:rFonts w:ascii="Times New Roman" w:hAnsi="Times New Roman" w:cs="Times New Roman"/>
          <w:sz w:val="24"/>
          <w:szCs w:val="24"/>
        </w:rPr>
        <w:t xml:space="preserve"> leurs dettes ;</w:t>
      </w:r>
    </w:p>
    <w:p w14:paraId="68AE6D94" w14:textId="77777777" w:rsidR="002760B2" w:rsidRPr="002B005F" w:rsidRDefault="00F81836" w:rsidP="00CB0FF1">
      <w:pPr>
        <w:pStyle w:val="Paragraphedeliste"/>
        <w:numPr>
          <w:ilvl w:val="0"/>
          <w:numId w:val="16"/>
        </w:numPr>
        <w:tabs>
          <w:tab w:val="left" w:pos="284"/>
          <w:tab w:val="left" w:pos="851"/>
          <w:tab w:val="left" w:pos="1134"/>
        </w:tabs>
        <w:spacing w:before="40" w:line="300" w:lineRule="auto"/>
        <w:ind w:left="851" w:firstLine="0"/>
        <w:contextualSpacing w:val="0"/>
        <w:rPr>
          <w:rFonts w:ascii="Times New Roman" w:hAnsi="Times New Roman" w:cs="Times New Roman"/>
          <w:sz w:val="24"/>
          <w:szCs w:val="24"/>
        </w:rPr>
      </w:pPr>
      <w:r>
        <w:rPr>
          <w:rFonts w:ascii="Times New Roman" w:hAnsi="Times New Roman" w:cs="Times New Roman"/>
          <w:sz w:val="24"/>
          <w:szCs w:val="24"/>
        </w:rPr>
        <w:t>Imposer</w:t>
      </w:r>
      <w:r w:rsidR="002760B2" w:rsidRPr="002B005F">
        <w:rPr>
          <w:rFonts w:ascii="Times New Roman" w:hAnsi="Times New Roman" w:cs="Times New Roman"/>
          <w:sz w:val="24"/>
          <w:szCs w:val="24"/>
        </w:rPr>
        <w:t xml:space="preserve"> des pénalités en cas de retard de remboursement.</w:t>
      </w:r>
    </w:p>
    <w:p w14:paraId="06AEC014" w14:textId="77777777" w:rsidR="002760B2" w:rsidRPr="002B005F" w:rsidRDefault="002760B2" w:rsidP="00313D15">
      <w:pPr>
        <w:pStyle w:val="Paragraphedeliste"/>
        <w:tabs>
          <w:tab w:val="left" w:pos="0"/>
          <w:tab w:val="left" w:pos="284"/>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Donc, on peut dire que les BI ont des activités plus risquées que les activités bancaires conventionnelles et</w:t>
      </w:r>
      <w:r w:rsidR="00C23C37">
        <w:rPr>
          <w:rFonts w:ascii="Times New Roman" w:hAnsi="Times New Roman" w:cs="Times New Roman"/>
          <w:sz w:val="24"/>
          <w:szCs w:val="24"/>
        </w:rPr>
        <w:t>,</w:t>
      </w:r>
      <w:r w:rsidRPr="002B005F">
        <w:rPr>
          <w:rFonts w:ascii="Times New Roman" w:hAnsi="Times New Roman" w:cs="Times New Roman"/>
          <w:sz w:val="24"/>
          <w:szCs w:val="24"/>
        </w:rPr>
        <w:t xml:space="preserve"> d’autres moins risquées. Selon l’étude de l’</w:t>
      </w:r>
      <w:r w:rsidR="007009F1" w:rsidRPr="002B005F">
        <w:rPr>
          <w:rFonts w:ascii="Times New Roman" w:hAnsi="Times New Roman" w:cs="Times New Roman"/>
          <w:sz w:val="24"/>
          <w:szCs w:val="24"/>
        </w:rPr>
        <w:t>Institut Islamique de Recherche et de Formation</w:t>
      </w:r>
      <w:r w:rsidR="007009F1">
        <w:rPr>
          <w:rFonts w:ascii="Times New Roman" w:hAnsi="Times New Roman" w:cs="Times New Roman"/>
          <w:sz w:val="24"/>
          <w:szCs w:val="24"/>
        </w:rPr>
        <w:t xml:space="preserve"> </w:t>
      </w:r>
      <w:r w:rsidR="007009F1" w:rsidRPr="002B005F">
        <w:rPr>
          <w:rFonts w:ascii="Times New Roman" w:hAnsi="Times New Roman" w:cs="Times New Roman"/>
          <w:sz w:val="24"/>
          <w:szCs w:val="24"/>
        </w:rPr>
        <w:t>(IIRF</w:t>
      </w:r>
      <w:r w:rsidR="000F4546" w:rsidRPr="002B005F">
        <w:rPr>
          <w:rFonts w:ascii="Times New Roman" w:hAnsi="Times New Roman" w:cs="Times New Roman"/>
          <w:sz w:val="24"/>
          <w:szCs w:val="24"/>
        </w:rPr>
        <w:t>)</w:t>
      </w:r>
      <w:r w:rsidR="000F4546">
        <w:rPr>
          <w:rFonts w:ascii="Times New Roman" w:hAnsi="Times New Roman" w:cs="Times New Roman"/>
          <w:sz w:val="24"/>
          <w:szCs w:val="24"/>
        </w:rPr>
        <w:t xml:space="preserve"> ²</w:t>
      </w:r>
      <w:r w:rsidR="007009F1">
        <w:rPr>
          <w:rFonts w:ascii="Times New Roman" w:hAnsi="Times New Roman" w:cs="Times New Roman"/>
          <w:sz w:val="24"/>
          <w:szCs w:val="24"/>
        </w:rPr>
        <w:t>,</w:t>
      </w:r>
      <w:r w:rsidRPr="002B005F">
        <w:rPr>
          <w:rFonts w:ascii="Times New Roman" w:hAnsi="Times New Roman" w:cs="Times New Roman"/>
          <w:sz w:val="24"/>
          <w:szCs w:val="24"/>
        </w:rPr>
        <w:t xml:space="preserve"> la réglementation prudentielle prévue pour les banques conventionnelles doit être appliquée pour les BI pour plusieurs raisons</w:t>
      </w:r>
      <w:r w:rsidRPr="002B005F">
        <w:rPr>
          <w:rStyle w:val="Appelnotedebasdep"/>
          <w:rFonts w:ascii="Times New Roman" w:hAnsi="Times New Roman"/>
          <w:sz w:val="24"/>
          <w:szCs w:val="24"/>
        </w:rPr>
        <w:footnoteReference w:id="283"/>
      </w:r>
      <w:r w:rsidRPr="002B005F">
        <w:rPr>
          <w:rFonts w:ascii="Times New Roman" w:hAnsi="Times New Roman" w:cs="Times New Roman"/>
          <w:sz w:val="24"/>
          <w:szCs w:val="24"/>
        </w:rPr>
        <w:t> :</w:t>
      </w:r>
    </w:p>
    <w:p w14:paraId="790B75A9" w14:textId="77777777" w:rsidR="002760B2" w:rsidRPr="002B005F" w:rsidRDefault="002760B2" w:rsidP="00CB0FF1">
      <w:pPr>
        <w:pStyle w:val="Paragraphedeliste"/>
        <w:numPr>
          <w:ilvl w:val="0"/>
          <w:numId w:val="16"/>
        </w:numPr>
        <w:tabs>
          <w:tab w:val="left" w:pos="284"/>
          <w:tab w:val="left" w:pos="851"/>
          <w:tab w:val="left" w:pos="1134"/>
        </w:tabs>
        <w:spacing w:before="60"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L’acceptation des BI sur le marché interbancaire international ;</w:t>
      </w:r>
    </w:p>
    <w:p w14:paraId="47ADCFA7" w14:textId="77777777" w:rsidR="002760B2" w:rsidRPr="002B005F" w:rsidRDefault="002760B2" w:rsidP="00CB0FF1">
      <w:pPr>
        <w:pStyle w:val="Paragraphedeliste"/>
        <w:numPr>
          <w:ilvl w:val="0"/>
          <w:numId w:val="16"/>
        </w:numPr>
        <w:tabs>
          <w:tab w:val="left" w:pos="284"/>
          <w:tab w:val="left" w:pos="851"/>
          <w:tab w:val="left" w:pos="1134"/>
        </w:tabs>
        <w:spacing w:before="60"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La stabilité du système financier ;</w:t>
      </w:r>
    </w:p>
    <w:p w14:paraId="72040BDD" w14:textId="77777777" w:rsidR="002760B2" w:rsidRPr="002B005F" w:rsidRDefault="002760B2" w:rsidP="00CB0FF1">
      <w:pPr>
        <w:pStyle w:val="Paragraphedeliste"/>
        <w:numPr>
          <w:ilvl w:val="0"/>
          <w:numId w:val="16"/>
        </w:numPr>
        <w:tabs>
          <w:tab w:val="left" w:pos="284"/>
          <w:tab w:val="left" w:pos="851"/>
          <w:tab w:val="left" w:pos="1134"/>
        </w:tabs>
        <w:spacing w:before="60"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pacing w:val="-4"/>
          <w:sz w:val="24"/>
          <w:szCs w:val="24"/>
        </w:rPr>
        <w:t>La sauvegarde des intérêts des titulaires de dépôts et des comptes d’investissement</w:t>
      </w:r>
      <w:r w:rsidRPr="002B005F">
        <w:rPr>
          <w:rFonts w:ascii="Times New Roman" w:hAnsi="Times New Roman" w:cs="Times New Roman"/>
          <w:sz w:val="24"/>
          <w:szCs w:val="24"/>
        </w:rPr>
        <w:t xml:space="preserve">. </w:t>
      </w:r>
    </w:p>
    <w:p w14:paraId="20480118" w14:textId="77777777" w:rsidR="002760B2" w:rsidRPr="002B005F" w:rsidRDefault="002760B2" w:rsidP="00313D15">
      <w:pPr>
        <w:pStyle w:val="Paragraphedeliste"/>
        <w:tabs>
          <w:tab w:val="left" w:pos="0"/>
          <w:tab w:val="left" w:pos="284"/>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Cependant, il faut éviter de soumettre les BI à une double réglementation qui les pénaliserait et conduirait à une baisse de leur compétitivité.</w:t>
      </w:r>
    </w:p>
    <w:p w14:paraId="055EA71A" w14:textId="77777777" w:rsidR="002760B2" w:rsidRPr="002B005F" w:rsidRDefault="00113EB5" w:rsidP="007B64B9">
      <w:pPr>
        <w:pStyle w:val="Titre4"/>
        <w:keepNext w:val="0"/>
        <w:spacing w:before="100" w:beforeAutospacing="1" w:after="120" w:line="300" w:lineRule="auto"/>
        <w:ind w:firstLine="709"/>
        <w:rPr>
          <w:szCs w:val="24"/>
        </w:rPr>
      </w:pPr>
      <w:bookmarkStart w:id="1111" w:name="_Toc33263328"/>
      <w:bookmarkStart w:id="1112" w:name="_Toc37664591"/>
      <w:bookmarkStart w:id="1113" w:name="_Toc37666436"/>
      <w:bookmarkStart w:id="1114" w:name="_Toc54363325"/>
      <w:bookmarkStart w:id="1115" w:name="_Toc58606318"/>
      <w:bookmarkStart w:id="1116" w:name="_Toc61263523"/>
      <w:bookmarkStart w:id="1117" w:name="_Toc182298813"/>
      <w:r>
        <w:t xml:space="preserve">3.3.1- </w:t>
      </w:r>
      <w:r w:rsidRPr="0009209B">
        <w:t>A</w:t>
      </w:r>
      <w:r w:rsidR="002760B2" w:rsidRPr="0009209B">
        <w:t xml:space="preserve">pplication de la réglementation internationale </w:t>
      </w:r>
      <w:r w:rsidRPr="0009209B">
        <w:t>au niveau des BI</w:t>
      </w:r>
      <w:bookmarkEnd w:id="1111"/>
      <w:bookmarkEnd w:id="1112"/>
      <w:bookmarkEnd w:id="1113"/>
      <w:bookmarkEnd w:id="1114"/>
      <w:bookmarkEnd w:id="1115"/>
      <w:bookmarkEnd w:id="1116"/>
      <w:bookmarkEnd w:id="1117"/>
    </w:p>
    <w:p w14:paraId="1B3D3876" w14:textId="1D4A9D83" w:rsidR="002760B2" w:rsidRPr="002B005F" w:rsidRDefault="002760B2" w:rsidP="0009209B">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L’application des normes prudentielles dans les BI s’avère difficile. La réglementation internationale favorise l’expansion des modes de financement les moins risqués qui sont basés </w:t>
      </w:r>
      <w:r w:rsidRPr="002B005F">
        <w:rPr>
          <w:rFonts w:ascii="Times New Roman" w:hAnsi="Times New Roman" w:cs="Times New Roman"/>
          <w:sz w:val="24"/>
          <w:szCs w:val="24"/>
        </w:rPr>
        <w:lastRenderedPageBreak/>
        <w:t xml:space="preserve">sur les opérations d’achat/vente au détriment des opérations participatives. </w:t>
      </w:r>
      <w:r w:rsidR="0009209B">
        <w:rPr>
          <w:rFonts w:ascii="Times New Roman" w:hAnsi="Times New Roman" w:cs="Times New Roman"/>
          <w:sz w:val="24"/>
          <w:szCs w:val="24"/>
        </w:rPr>
        <w:t>Nous</w:t>
      </w:r>
      <w:r w:rsidRPr="002B005F">
        <w:rPr>
          <w:rFonts w:ascii="Times New Roman" w:hAnsi="Times New Roman" w:cs="Times New Roman"/>
          <w:sz w:val="24"/>
          <w:szCs w:val="24"/>
        </w:rPr>
        <w:t xml:space="preserve"> rem</w:t>
      </w:r>
      <w:r w:rsidR="0009209B">
        <w:rPr>
          <w:rFonts w:ascii="Times New Roman" w:hAnsi="Times New Roman" w:cs="Times New Roman"/>
          <w:sz w:val="24"/>
          <w:szCs w:val="24"/>
        </w:rPr>
        <w:t>arquons</w:t>
      </w:r>
      <w:r w:rsidRPr="002B005F">
        <w:rPr>
          <w:rFonts w:ascii="Times New Roman" w:hAnsi="Times New Roman" w:cs="Times New Roman"/>
          <w:sz w:val="24"/>
          <w:szCs w:val="24"/>
        </w:rPr>
        <w:t xml:space="preserve"> que les activités basées sur le princi</w:t>
      </w:r>
      <w:r w:rsidR="0009209B">
        <w:rPr>
          <w:rFonts w:ascii="Times New Roman" w:hAnsi="Times New Roman" w:cs="Times New Roman"/>
          <w:sz w:val="24"/>
          <w:szCs w:val="24"/>
        </w:rPr>
        <w:t>pe 3P sont faibles en volume, ce qui</w:t>
      </w:r>
      <w:r w:rsidRPr="002B005F">
        <w:rPr>
          <w:rFonts w:ascii="Times New Roman" w:hAnsi="Times New Roman" w:cs="Times New Roman"/>
          <w:sz w:val="24"/>
          <w:szCs w:val="24"/>
        </w:rPr>
        <w:t xml:space="preserve"> présente une dérive par rapport aux objectifs de la </w:t>
      </w:r>
      <w:r w:rsidR="0009209B">
        <w:rPr>
          <w:rFonts w:ascii="Times New Roman" w:hAnsi="Times New Roman" w:cs="Times New Roman"/>
          <w:sz w:val="24"/>
          <w:szCs w:val="24"/>
        </w:rPr>
        <w:t>BI</w:t>
      </w:r>
      <w:r w:rsidRPr="002B005F">
        <w:rPr>
          <w:rFonts w:ascii="Times New Roman" w:hAnsi="Times New Roman" w:cs="Times New Roman"/>
          <w:sz w:val="24"/>
          <w:szCs w:val="24"/>
        </w:rPr>
        <w:t xml:space="preserve">. Ainsi, en évaluant les risques liés aux dépôts à vue et les dépôts d’investissement, la </w:t>
      </w:r>
      <w:r w:rsidR="0009209B">
        <w:rPr>
          <w:rFonts w:ascii="Times New Roman" w:hAnsi="Times New Roman" w:cs="Times New Roman"/>
          <w:sz w:val="24"/>
          <w:szCs w:val="24"/>
        </w:rPr>
        <w:t>banque</w:t>
      </w:r>
      <w:r w:rsidRPr="002B005F">
        <w:rPr>
          <w:rFonts w:ascii="Times New Roman" w:hAnsi="Times New Roman" w:cs="Times New Roman"/>
          <w:sz w:val="24"/>
          <w:szCs w:val="24"/>
        </w:rPr>
        <w:t xml:space="preserve"> </w:t>
      </w:r>
      <w:r w:rsidR="00D617A2">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applique les mêmes règles. Or, les dépôts d’investissement partagent les risques de la </w:t>
      </w:r>
      <w:r w:rsidRPr="0009209B">
        <w:rPr>
          <w:rFonts w:ascii="Times New Roman" w:hAnsi="Times New Roman" w:cs="Times New Roman"/>
          <w:sz w:val="24"/>
          <w:szCs w:val="24"/>
        </w:rPr>
        <w:t>banque</w:t>
      </w:r>
      <w:r w:rsidR="00C23C37">
        <w:rPr>
          <w:rFonts w:ascii="Times New Roman" w:hAnsi="Times New Roman" w:cs="Times New Roman"/>
          <w:sz w:val="24"/>
          <w:szCs w:val="24"/>
        </w:rPr>
        <w:t>,</w:t>
      </w:r>
      <w:r w:rsidRPr="002B005F">
        <w:rPr>
          <w:rFonts w:ascii="Times New Roman" w:hAnsi="Times New Roman" w:cs="Times New Roman"/>
          <w:sz w:val="24"/>
          <w:szCs w:val="24"/>
        </w:rPr>
        <w:t xml:space="preserve"> </w:t>
      </w:r>
      <w:r w:rsidR="00C23C37">
        <w:rPr>
          <w:rFonts w:ascii="Times New Roman" w:hAnsi="Times New Roman" w:cs="Times New Roman"/>
          <w:sz w:val="24"/>
          <w:szCs w:val="24"/>
        </w:rPr>
        <w:t>s</w:t>
      </w:r>
      <w:r w:rsidRPr="002B005F">
        <w:rPr>
          <w:rFonts w:ascii="Times New Roman" w:hAnsi="Times New Roman" w:cs="Times New Roman"/>
          <w:sz w:val="24"/>
          <w:szCs w:val="24"/>
        </w:rPr>
        <w:t xml:space="preserve">ans oublier le défi de conformité à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2B005F">
        <w:rPr>
          <w:rFonts w:ascii="Times New Roman" w:hAnsi="Times New Roman" w:cs="Times New Roman"/>
          <w:sz w:val="24"/>
          <w:szCs w:val="24"/>
        </w:rPr>
        <w:t xml:space="preserve"> </w:t>
      </w:r>
      <w:r w:rsidRPr="002B005F">
        <w:rPr>
          <w:rFonts w:ascii="Times New Roman" w:hAnsi="Times New Roman" w:cs="Times New Roman"/>
          <w:sz w:val="24"/>
          <w:szCs w:val="24"/>
        </w:rPr>
        <w:t>qui doit être soulevé.</w:t>
      </w:r>
    </w:p>
    <w:p w14:paraId="16ABBA32" w14:textId="77777777" w:rsidR="002760B2" w:rsidRPr="00D7723E" w:rsidRDefault="00E70DD5" w:rsidP="00774B74">
      <w:pPr>
        <w:pStyle w:val="Titre5"/>
        <w:keepNext w:val="0"/>
        <w:keepLines w:val="0"/>
        <w:spacing w:before="120" w:after="120" w:line="300" w:lineRule="auto"/>
        <w:ind w:firstLine="709"/>
        <w:rPr>
          <w:rFonts w:asciiTheme="majorBidi" w:hAnsiTheme="majorBidi"/>
          <w:b/>
          <w:bCs/>
          <w:color w:val="auto"/>
          <w:sz w:val="24"/>
          <w:szCs w:val="24"/>
        </w:rPr>
      </w:pPr>
      <w:bookmarkStart w:id="1118" w:name="_Toc182298814"/>
      <w:r w:rsidRPr="00D7723E">
        <w:rPr>
          <w:rFonts w:asciiTheme="majorBidi" w:hAnsiTheme="majorBidi"/>
          <w:b/>
          <w:bCs/>
          <w:color w:val="auto"/>
          <w:sz w:val="24"/>
          <w:szCs w:val="24"/>
        </w:rPr>
        <w:t xml:space="preserve">3.3.1.1- </w:t>
      </w:r>
      <w:r w:rsidR="006349A3" w:rsidRPr="00D7723E">
        <w:rPr>
          <w:rFonts w:asciiTheme="majorBidi" w:hAnsiTheme="majorBidi"/>
          <w:b/>
          <w:bCs/>
          <w:color w:val="auto"/>
          <w:sz w:val="24"/>
          <w:szCs w:val="24"/>
        </w:rPr>
        <w:t>T</w:t>
      </w:r>
      <w:r w:rsidR="002760B2" w:rsidRPr="00D7723E">
        <w:rPr>
          <w:rFonts w:asciiTheme="majorBidi" w:hAnsiTheme="majorBidi"/>
          <w:b/>
          <w:bCs/>
          <w:color w:val="auto"/>
          <w:sz w:val="24"/>
          <w:szCs w:val="24"/>
        </w:rPr>
        <w:t>raitemen</w:t>
      </w:r>
      <w:r w:rsidR="00FB41B0" w:rsidRPr="00D7723E">
        <w:rPr>
          <w:rFonts w:asciiTheme="majorBidi" w:hAnsiTheme="majorBidi"/>
          <w:b/>
          <w:bCs/>
          <w:color w:val="auto"/>
          <w:sz w:val="24"/>
          <w:szCs w:val="24"/>
        </w:rPr>
        <w:t>t des comptes d’investissement</w:t>
      </w:r>
      <w:bookmarkEnd w:id="1118"/>
    </w:p>
    <w:p w14:paraId="5512D3E6" w14:textId="77777777" w:rsidR="002760B2" w:rsidRPr="002B005F" w:rsidRDefault="002760B2" w:rsidP="00313D15">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La réglementation met sur le même plan les comptes de dépôts et les comptes d’investissement. Donc, ces derniers ne peuvent pas être considérés comme des participations au capital de la banque et les déposants n’ont pas les droits attachés aux actions (ils ne peuvent pas participer aux réunions et être représentés au conseil d’administration). D’où se pose la question : faut-il les intégrer dans le capital de la BI ? Faut-il les considérer comme des actifs hors-bilan ?</w:t>
      </w:r>
    </w:p>
    <w:p w14:paraId="4E580030" w14:textId="77777777" w:rsidR="002760B2" w:rsidRPr="002B005F" w:rsidRDefault="002760B2" w:rsidP="00313D15">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Selon l’étude de </w:t>
      </w:r>
      <w:r w:rsidRPr="002B005F">
        <w:rPr>
          <w:rFonts w:ascii="Times New Roman" w:hAnsi="Times New Roman" w:cs="Times New Roman"/>
          <w:smallCaps/>
          <w:sz w:val="24"/>
          <w:szCs w:val="24"/>
        </w:rPr>
        <w:t>Chapra</w:t>
      </w:r>
      <w:r w:rsidRPr="002B005F">
        <w:rPr>
          <w:rFonts w:ascii="Times New Roman" w:hAnsi="Times New Roman" w:cs="Times New Roman"/>
          <w:sz w:val="24"/>
          <w:szCs w:val="24"/>
        </w:rPr>
        <w:t xml:space="preserve"> et </w:t>
      </w:r>
      <w:r w:rsidRPr="002B005F">
        <w:rPr>
          <w:rFonts w:ascii="Times New Roman" w:hAnsi="Times New Roman" w:cs="Times New Roman"/>
          <w:smallCaps/>
          <w:sz w:val="24"/>
          <w:szCs w:val="24"/>
        </w:rPr>
        <w:t>Khan</w:t>
      </w:r>
      <w:r w:rsidRPr="002B005F">
        <w:rPr>
          <w:rFonts w:ascii="Times New Roman" w:hAnsi="Times New Roman" w:cs="Times New Roman"/>
          <w:sz w:val="24"/>
          <w:szCs w:val="24"/>
        </w:rPr>
        <w:t xml:space="preserve"> (2001)</w:t>
      </w:r>
      <w:r w:rsidR="00C23C37">
        <w:rPr>
          <w:rFonts w:ascii="Times New Roman" w:hAnsi="Times New Roman" w:cs="Times New Roman"/>
          <w:sz w:val="24"/>
          <w:szCs w:val="24"/>
        </w:rPr>
        <w:t>,</w:t>
      </w:r>
      <w:r w:rsidRPr="002B005F">
        <w:rPr>
          <w:rFonts w:ascii="Times New Roman" w:hAnsi="Times New Roman" w:cs="Times New Roman"/>
          <w:sz w:val="24"/>
          <w:szCs w:val="24"/>
        </w:rPr>
        <w:t xml:space="preserve"> « </w:t>
      </w:r>
      <w:r w:rsidRPr="002B005F">
        <w:rPr>
          <w:rFonts w:ascii="Times New Roman" w:hAnsi="Times New Roman" w:cs="Times New Roman"/>
          <w:i/>
          <w:iCs/>
          <w:sz w:val="24"/>
          <w:szCs w:val="24"/>
        </w:rPr>
        <w:t>en prenant en compte la nature spéciale des dépôts d’investissement et les risques encourus par les actifs des BI, l’application des normes prudentielles internationales de suffisance de capital est devenue une tâche difficile</w:t>
      </w:r>
      <w:r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284"/>
      </w:r>
      <w:r w:rsidRPr="002B005F">
        <w:rPr>
          <w:rFonts w:ascii="Times New Roman" w:hAnsi="Times New Roman" w:cs="Times New Roman"/>
          <w:sz w:val="24"/>
          <w:szCs w:val="24"/>
        </w:rPr>
        <w:t>. Ces deux chercheurs ont remarqué que certaines BI placent les dépôts d’investissement en hors-bilan, à cause de leur nature spécifique</w:t>
      </w:r>
      <w:r w:rsidR="00C23C37">
        <w:rPr>
          <w:rFonts w:ascii="Times New Roman" w:hAnsi="Times New Roman" w:cs="Times New Roman"/>
          <w:sz w:val="24"/>
          <w:szCs w:val="24"/>
        </w:rPr>
        <w:t> ;</w:t>
      </w:r>
      <w:r w:rsidRPr="002B005F">
        <w:rPr>
          <w:rFonts w:ascii="Times New Roman" w:hAnsi="Times New Roman" w:cs="Times New Roman"/>
          <w:sz w:val="24"/>
          <w:szCs w:val="24"/>
        </w:rPr>
        <w:t xml:space="preserve"> ce qui est contraire aux normes préconisées par l’AAOIFI.</w:t>
      </w:r>
    </w:p>
    <w:p w14:paraId="210BFEEA" w14:textId="77777777" w:rsidR="002760B2" w:rsidRPr="002B005F" w:rsidRDefault="002760B2" w:rsidP="00313D15">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Dans la gestion des comptes d’investissement, la BI assume deux types de risque : le risque fiduciaire et le risque commercial déplacé. Pour faire face à ces risques, les profits attribuables aux actionnaires doivent être dirigés vers les dépôts. Les normes de l’AAOIFI proposent un schéma pour le partage des risques entre les </w:t>
      </w:r>
      <w:r w:rsidRPr="00AB1CAD">
        <w:rPr>
          <w:rFonts w:ascii="Times New Roman" w:hAnsi="Times New Roman" w:cs="Times New Roman"/>
          <w:sz w:val="24"/>
          <w:szCs w:val="24"/>
        </w:rPr>
        <w:t>titulaires de dépôts d’investissements et les actionnaire</w:t>
      </w:r>
      <w:r w:rsidR="00FE768C" w:rsidRPr="00AB1CAD">
        <w:rPr>
          <w:rFonts w:ascii="Times New Roman" w:hAnsi="Times New Roman" w:cs="Times New Roman"/>
          <w:sz w:val="24"/>
          <w:szCs w:val="24"/>
        </w:rPr>
        <w:t>s de la BI. En l’occurrence, 50</w:t>
      </w:r>
      <w:r w:rsidRPr="00AB1CAD">
        <w:rPr>
          <w:rFonts w:ascii="Times New Roman" w:hAnsi="Times New Roman" w:cs="Times New Roman"/>
          <w:sz w:val="24"/>
          <w:szCs w:val="24"/>
        </w:rPr>
        <w:t>% des risques des actifs</w:t>
      </w:r>
      <w:r w:rsidRPr="002B005F">
        <w:rPr>
          <w:rFonts w:ascii="Times New Roman" w:hAnsi="Times New Roman" w:cs="Times New Roman"/>
          <w:sz w:val="24"/>
          <w:szCs w:val="24"/>
        </w:rPr>
        <w:t xml:space="preserve"> financés par les </w:t>
      </w:r>
      <w:r w:rsidRPr="00262971">
        <w:rPr>
          <w:rFonts w:ascii="Times New Roman" w:hAnsi="Times New Roman" w:cs="Times New Roman"/>
          <w:sz w:val="24"/>
          <w:szCs w:val="24"/>
        </w:rPr>
        <w:t>dépôts d’investissement</w:t>
      </w:r>
      <w:r w:rsidRPr="002B005F">
        <w:rPr>
          <w:rFonts w:ascii="Times New Roman" w:hAnsi="Times New Roman" w:cs="Times New Roman"/>
          <w:sz w:val="24"/>
          <w:szCs w:val="24"/>
        </w:rPr>
        <w:t xml:space="preserve"> doivent être assignés aux déposants de placement dans le but de déterminer l</w:t>
      </w:r>
      <w:r w:rsidR="00FE768C" w:rsidRPr="002B005F">
        <w:rPr>
          <w:rFonts w:ascii="Times New Roman" w:hAnsi="Times New Roman" w:cs="Times New Roman"/>
          <w:sz w:val="24"/>
          <w:szCs w:val="24"/>
        </w:rPr>
        <w:t>e capital et</w:t>
      </w:r>
      <w:r w:rsidR="00C23C37">
        <w:rPr>
          <w:rFonts w:ascii="Times New Roman" w:hAnsi="Times New Roman" w:cs="Times New Roman"/>
          <w:sz w:val="24"/>
          <w:szCs w:val="24"/>
        </w:rPr>
        <w:t>,</w:t>
      </w:r>
      <w:r w:rsidR="00FE768C" w:rsidRPr="002B005F">
        <w:rPr>
          <w:rFonts w:ascii="Times New Roman" w:hAnsi="Times New Roman" w:cs="Times New Roman"/>
          <w:sz w:val="24"/>
          <w:szCs w:val="24"/>
        </w:rPr>
        <w:t xml:space="preserve"> les 50</w:t>
      </w:r>
      <w:r w:rsidRPr="002B005F">
        <w:rPr>
          <w:rFonts w:ascii="Times New Roman" w:hAnsi="Times New Roman" w:cs="Times New Roman"/>
          <w:sz w:val="24"/>
          <w:szCs w:val="24"/>
        </w:rPr>
        <w:t xml:space="preserve">% restants aux actionnaires. </w:t>
      </w:r>
      <w:r w:rsidRPr="00AB1CAD">
        <w:rPr>
          <w:rFonts w:ascii="Times New Roman" w:hAnsi="Times New Roman" w:cs="Times New Roman"/>
          <w:sz w:val="24"/>
          <w:szCs w:val="24"/>
        </w:rPr>
        <w:t>Ceci signifie</w:t>
      </w:r>
      <w:r w:rsidRPr="002B005F">
        <w:rPr>
          <w:rFonts w:ascii="Times New Roman" w:hAnsi="Times New Roman" w:cs="Times New Roman"/>
          <w:sz w:val="24"/>
          <w:szCs w:val="24"/>
        </w:rPr>
        <w:t xml:space="preserve"> que le risque des actifs financés par les </w:t>
      </w:r>
      <w:r w:rsidRPr="00262971">
        <w:rPr>
          <w:rFonts w:ascii="Times New Roman" w:hAnsi="Times New Roman" w:cs="Times New Roman"/>
          <w:sz w:val="24"/>
          <w:szCs w:val="24"/>
        </w:rPr>
        <w:t>dépôts d’investissement</w:t>
      </w:r>
      <w:r w:rsidRPr="002B005F">
        <w:rPr>
          <w:rFonts w:ascii="Times New Roman" w:hAnsi="Times New Roman" w:cs="Times New Roman"/>
          <w:sz w:val="24"/>
          <w:szCs w:val="24"/>
        </w:rPr>
        <w:t xml:space="preserve"> va être assigné d’une pondération de 50% dans le but de déterminer les exigences en capital</w:t>
      </w:r>
      <w:r w:rsidR="00C23C37">
        <w:rPr>
          <w:rFonts w:ascii="Times New Roman" w:hAnsi="Times New Roman" w:cs="Times New Roman"/>
          <w:sz w:val="24"/>
          <w:szCs w:val="24"/>
        </w:rPr>
        <w:t>.</w:t>
      </w:r>
      <w:r w:rsidRPr="002B005F">
        <w:rPr>
          <w:rStyle w:val="Appelnotedebasdep"/>
          <w:rFonts w:ascii="Times New Roman" w:hAnsi="Times New Roman"/>
          <w:sz w:val="24"/>
          <w:szCs w:val="24"/>
        </w:rPr>
        <w:footnoteReference w:id="285"/>
      </w:r>
    </w:p>
    <w:p w14:paraId="643F29CD" w14:textId="77777777" w:rsidR="002760B2" w:rsidRPr="002B005F" w:rsidRDefault="002760B2" w:rsidP="000F4546">
      <w:pPr>
        <w:pStyle w:val="Paragraphedeliste"/>
        <w:tabs>
          <w:tab w:val="left" w:pos="0"/>
        </w:tabs>
        <w:spacing w:before="120" w:line="300" w:lineRule="auto"/>
        <w:ind w:left="0" w:firstLine="709"/>
        <w:contextualSpacing w:val="0"/>
        <w:rPr>
          <w:rFonts w:ascii="Times New Roman" w:hAnsi="Times New Roman" w:cs="Times New Roman"/>
          <w:spacing w:val="-6"/>
          <w:sz w:val="24"/>
          <w:szCs w:val="24"/>
        </w:rPr>
      </w:pPr>
      <w:r w:rsidRPr="002B005F">
        <w:rPr>
          <w:rFonts w:ascii="Times New Roman" w:hAnsi="Times New Roman" w:cs="Times New Roman"/>
          <w:spacing w:val="-6"/>
          <w:sz w:val="24"/>
          <w:szCs w:val="24"/>
        </w:rPr>
        <w:t>De cette manière de détermination des normes de suffisance, l</w:t>
      </w:r>
      <w:r w:rsidR="000F4546">
        <w:rPr>
          <w:rFonts w:ascii="Times New Roman" w:hAnsi="Times New Roman" w:cs="Times New Roman"/>
          <w:spacing w:val="-6"/>
          <w:sz w:val="24"/>
          <w:szCs w:val="24"/>
        </w:rPr>
        <w:t>a BI peu</w:t>
      </w:r>
      <w:r w:rsidRPr="002B005F">
        <w:rPr>
          <w:rFonts w:ascii="Times New Roman" w:hAnsi="Times New Roman" w:cs="Times New Roman"/>
          <w:spacing w:val="-6"/>
          <w:sz w:val="24"/>
          <w:szCs w:val="24"/>
        </w:rPr>
        <w:t>t placer les comptes</w:t>
      </w:r>
      <w:r w:rsidR="000F4546">
        <w:rPr>
          <w:rFonts w:ascii="Times New Roman" w:hAnsi="Times New Roman" w:cs="Times New Roman"/>
          <w:spacing w:val="-6"/>
          <w:sz w:val="24"/>
          <w:szCs w:val="24"/>
        </w:rPr>
        <w:t xml:space="preserve"> d’investissements dans son</w:t>
      </w:r>
      <w:r w:rsidRPr="002B005F">
        <w:rPr>
          <w:rFonts w:ascii="Times New Roman" w:hAnsi="Times New Roman" w:cs="Times New Roman"/>
          <w:spacing w:val="-6"/>
          <w:sz w:val="24"/>
          <w:szCs w:val="24"/>
        </w:rPr>
        <w:t xml:space="preserve"> bilan ce qui contribue à accro</w:t>
      </w:r>
      <w:r w:rsidR="000F4546">
        <w:rPr>
          <w:rFonts w:ascii="Times New Roman" w:hAnsi="Times New Roman" w:cs="Times New Roman"/>
          <w:spacing w:val="-6"/>
          <w:sz w:val="24"/>
          <w:szCs w:val="24"/>
        </w:rPr>
        <w:t>î</w:t>
      </w:r>
      <w:r w:rsidRPr="002B005F">
        <w:rPr>
          <w:rFonts w:ascii="Times New Roman" w:hAnsi="Times New Roman" w:cs="Times New Roman"/>
          <w:spacing w:val="-6"/>
          <w:sz w:val="24"/>
          <w:szCs w:val="24"/>
        </w:rPr>
        <w:t>tre la transparence des comptes.</w:t>
      </w:r>
    </w:p>
    <w:p w14:paraId="663392A9" w14:textId="7CBF0EC4" w:rsidR="002760B2" w:rsidRPr="00D7723E" w:rsidRDefault="00E70DD5" w:rsidP="00774B74">
      <w:pPr>
        <w:pStyle w:val="Titre5"/>
        <w:keepNext w:val="0"/>
        <w:keepLines w:val="0"/>
        <w:spacing w:before="120" w:after="120" w:line="300" w:lineRule="auto"/>
        <w:ind w:firstLine="709"/>
        <w:rPr>
          <w:rFonts w:asciiTheme="majorBidi" w:hAnsiTheme="majorBidi"/>
          <w:b/>
          <w:bCs/>
          <w:color w:val="auto"/>
          <w:sz w:val="24"/>
          <w:szCs w:val="24"/>
        </w:rPr>
      </w:pPr>
      <w:bookmarkStart w:id="1119" w:name="_Toc182298815"/>
      <w:r w:rsidRPr="00D7723E">
        <w:rPr>
          <w:rFonts w:asciiTheme="majorBidi" w:hAnsiTheme="majorBidi"/>
          <w:b/>
          <w:bCs/>
          <w:color w:val="auto"/>
          <w:sz w:val="24"/>
          <w:szCs w:val="24"/>
        </w:rPr>
        <w:t xml:space="preserve">3.3.1.2- </w:t>
      </w:r>
      <w:r w:rsidR="006349A3" w:rsidRPr="00D7723E">
        <w:rPr>
          <w:rFonts w:asciiTheme="majorBidi" w:hAnsiTheme="majorBidi"/>
          <w:b/>
          <w:bCs/>
          <w:color w:val="auto"/>
          <w:sz w:val="24"/>
          <w:szCs w:val="24"/>
        </w:rPr>
        <w:t>C</w:t>
      </w:r>
      <w:r w:rsidR="00FB41B0" w:rsidRPr="00D7723E">
        <w:rPr>
          <w:rFonts w:asciiTheme="majorBidi" w:hAnsiTheme="majorBidi"/>
          <w:b/>
          <w:bCs/>
          <w:color w:val="auto"/>
          <w:sz w:val="24"/>
          <w:szCs w:val="24"/>
        </w:rPr>
        <w:t>ontrôle de la</w:t>
      </w:r>
      <w:r w:rsidR="00FB41B0" w:rsidRPr="00A5400B">
        <w:rPr>
          <w:rFonts w:asciiTheme="majorBidi" w:hAnsiTheme="majorBidi"/>
          <w:b/>
          <w:bCs/>
          <w:color w:val="auto"/>
          <w:sz w:val="24"/>
          <w:szCs w:val="24"/>
        </w:rPr>
        <w:t xml:space="preserve"> </w:t>
      </w:r>
      <w:r w:rsidR="00A5400B" w:rsidRPr="00A5400B">
        <w:rPr>
          <w:rFonts w:ascii="Times New Roman" w:hAnsi="Times New Roman" w:cs="Times New Roman"/>
          <w:i/>
          <w:color w:val="auto"/>
          <w:spacing w:val="4"/>
          <w:sz w:val="24"/>
          <w:szCs w:val="24"/>
        </w:rPr>
        <w:t>Shariah</w:t>
      </w:r>
      <w:bookmarkEnd w:id="1119"/>
    </w:p>
    <w:p w14:paraId="638E3A87" w14:textId="3A83379C" w:rsidR="002760B2" w:rsidRPr="002B005F" w:rsidRDefault="002760B2" w:rsidP="00313D15">
      <w:pPr>
        <w:pStyle w:val="Paragraphedeliste"/>
        <w:tabs>
          <w:tab w:val="left" w:pos="0"/>
        </w:tabs>
        <w:spacing w:before="120" w:line="300" w:lineRule="auto"/>
        <w:ind w:left="0" w:firstLine="709"/>
        <w:contextualSpacing w:val="0"/>
        <w:rPr>
          <w:rFonts w:ascii="Times New Roman" w:hAnsi="Times New Roman" w:cs="Times New Roman"/>
          <w:spacing w:val="-6"/>
          <w:sz w:val="24"/>
          <w:szCs w:val="24"/>
        </w:rPr>
      </w:pPr>
      <w:r w:rsidRPr="002B005F">
        <w:rPr>
          <w:rFonts w:ascii="Times New Roman" w:hAnsi="Times New Roman" w:cs="Times New Roman"/>
          <w:spacing w:val="-6"/>
          <w:sz w:val="24"/>
          <w:szCs w:val="24"/>
        </w:rPr>
        <w:t xml:space="preserve">Les clients de la BI sont attirés par les préceptes </w:t>
      </w:r>
      <w:r w:rsidR="00D617A2">
        <w:rPr>
          <w:rFonts w:ascii="Times New Roman" w:hAnsi="Times New Roman" w:cs="Times New Roman"/>
          <w:spacing w:val="-6"/>
          <w:sz w:val="24"/>
          <w:szCs w:val="24"/>
        </w:rPr>
        <w:t>i</w:t>
      </w:r>
      <w:r w:rsidR="003773C6" w:rsidRPr="002B005F">
        <w:rPr>
          <w:rFonts w:ascii="Times New Roman" w:hAnsi="Times New Roman" w:cs="Times New Roman"/>
          <w:spacing w:val="-6"/>
          <w:sz w:val="24"/>
          <w:szCs w:val="24"/>
        </w:rPr>
        <w:t>slamique</w:t>
      </w:r>
      <w:r w:rsidRPr="002B005F">
        <w:rPr>
          <w:rFonts w:ascii="Times New Roman" w:hAnsi="Times New Roman" w:cs="Times New Roman"/>
          <w:spacing w:val="-6"/>
          <w:sz w:val="24"/>
          <w:szCs w:val="24"/>
        </w:rPr>
        <w:t>s appliqués par ces dernièr</w:t>
      </w:r>
      <w:r w:rsidR="000F4546">
        <w:rPr>
          <w:rFonts w:ascii="Times New Roman" w:hAnsi="Times New Roman" w:cs="Times New Roman"/>
          <w:spacing w:val="-6"/>
          <w:sz w:val="24"/>
          <w:szCs w:val="24"/>
        </w:rPr>
        <w:t>es. Il est indispensable que la BI puisse</w:t>
      </w:r>
      <w:r w:rsidRPr="002B005F">
        <w:rPr>
          <w:rFonts w:ascii="Times New Roman" w:hAnsi="Times New Roman" w:cs="Times New Roman"/>
          <w:spacing w:val="-6"/>
          <w:sz w:val="24"/>
          <w:szCs w:val="24"/>
        </w:rPr>
        <w:t xml:space="preserve"> prouver la conformité avec les règles </w:t>
      </w:r>
      <w:r w:rsidR="00DB4926">
        <w:rPr>
          <w:rFonts w:ascii="Times New Roman" w:hAnsi="Times New Roman" w:cs="Times New Roman"/>
          <w:i/>
          <w:spacing w:val="6"/>
          <w:sz w:val="24"/>
          <w:szCs w:val="24"/>
        </w:rPr>
        <w:t>c</w:t>
      </w:r>
      <w:r w:rsidR="00A42632" w:rsidRPr="00A42632">
        <w:rPr>
          <w:rFonts w:ascii="Times New Roman" w:hAnsi="Times New Roman" w:cs="Times New Roman"/>
          <w:i/>
          <w:spacing w:val="6"/>
          <w:sz w:val="24"/>
          <w:szCs w:val="24"/>
        </w:rPr>
        <w:t>hariatique</w:t>
      </w:r>
      <w:r w:rsidRPr="00A42632">
        <w:rPr>
          <w:rFonts w:ascii="Times New Roman" w:hAnsi="Times New Roman" w:cs="Times New Roman"/>
          <w:i/>
          <w:spacing w:val="-6"/>
          <w:sz w:val="24"/>
          <w:szCs w:val="24"/>
        </w:rPr>
        <w:t>s</w:t>
      </w:r>
      <w:r w:rsidRPr="002B005F">
        <w:rPr>
          <w:rFonts w:ascii="Times New Roman" w:hAnsi="Times New Roman" w:cs="Times New Roman"/>
          <w:spacing w:val="-6"/>
          <w:sz w:val="24"/>
          <w:szCs w:val="24"/>
        </w:rPr>
        <w:t>.</w:t>
      </w:r>
    </w:p>
    <w:p w14:paraId="626844C7" w14:textId="31AC1295" w:rsidR="002760B2" w:rsidRPr="002B005F" w:rsidRDefault="002760B2" w:rsidP="00AB1CAD">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La plupart des banques centrales des pays pratiquant la finance </w:t>
      </w:r>
      <w:r w:rsidR="00D617A2">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sont dotées d’un </w:t>
      </w:r>
      <w:r w:rsidR="007009F1" w:rsidRPr="00AB1CAD">
        <w:rPr>
          <w:rFonts w:ascii="Times New Roman" w:hAnsi="Times New Roman" w:cs="Times New Roman"/>
          <w:sz w:val="24"/>
          <w:szCs w:val="24"/>
        </w:rPr>
        <w:t>organe</w:t>
      </w:r>
      <w:r w:rsidRPr="002B005F">
        <w:rPr>
          <w:rFonts w:ascii="Times New Roman" w:hAnsi="Times New Roman" w:cs="Times New Roman"/>
          <w:sz w:val="24"/>
          <w:szCs w:val="24"/>
        </w:rPr>
        <w:t xml:space="preserve"> </w:t>
      </w:r>
      <w:r w:rsidR="00DB4926" w:rsidRPr="00DB4926">
        <w:rPr>
          <w:rFonts w:ascii="Times New Roman" w:hAnsi="Times New Roman" w:cs="Times New Roman"/>
          <w:iCs/>
          <w:spacing w:val="6"/>
          <w:sz w:val="24"/>
          <w:szCs w:val="24"/>
        </w:rPr>
        <w:t>c</w:t>
      </w:r>
      <w:r w:rsidR="00A42632" w:rsidRPr="00DB4926">
        <w:rPr>
          <w:rFonts w:ascii="Times New Roman" w:hAnsi="Times New Roman" w:cs="Times New Roman"/>
          <w:iCs/>
          <w:spacing w:val="6"/>
          <w:sz w:val="24"/>
          <w:szCs w:val="24"/>
        </w:rPr>
        <w:t>hariatique</w:t>
      </w:r>
      <w:r w:rsidR="00A42632">
        <w:rPr>
          <w:rFonts w:ascii="Times New Roman" w:hAnsi="Times New Roman" w:cs="Times New Roman"/>
          <w:spacing w:val="6"/>
          <w:sz w:val="24"/>
          <w:szCs w:val="24"/>
        </w:rPr>
        <w:t xml:space="preserve"> </w:t>
      </w:r>
      <w:r w:rsidR="00AB1CAD">
        <w:rPr>
          <w:rFonts w:ascii="Times New Roman" w:hAnsi="Times New Roman" w:cs="Times New Roman"/>
          <w:sz w:val="24"/>
          <w:szCs w:val="24"/>
        </w:rPr>
        <w:t>de supervision</w:t>
      </w:r>
      <w:r w:rsidRPr="002B005F">
        <w:rPr>
          <w:rFonts w:ascii="Times New Roman" w:hAnsi="Times New Roman" w:cs="Times New Roman"/>
          <w:sz w:val="24"/>
          <w:szCs w:val="24"/>
        </w:rPr>
        <w:t xml:space="preserve">. Encore, </w:t>
      </w:r>
      <w:r w:rsidRPr="00AB1CAD">
        <w:rPr>
          <w:rFonts w:ascii="Times New Roman" w:hAnsi="Times New Roman" w:cs="Times New Roman"/>
          <w:sz w:val="24"/>
          <w:szCs w:val="24"/>
        </w:rPr>
        <w:t>faut</w:t>
      </w:r>
      <w:r w:rsidR="007009F1" w:rsidRPr="00AB1CAD">
        <w:rPr>
          <w:rFonts w:ascii="Times New Roman" w:hAnsi="Times New Roman" w:cs="Times New Roman"/>
          <w:sz w:val="24"/>
          <w:szCs w:val="24"/>
        </w:rPr>
        <w:t>-il</w:t>
      </w:r>
      <w:r w:rsidRPr="00AB1CAD">
        <w:rPr>
          <w:rFonts w:ascii="Times New Roman" w:hAnsi="Times New Roman" w:cs="Times New Roman"/>
          <w:sz w:val="24"/>
          <w:szCs w:val="24"/>
        </w:rPr>
        <w:t xml:space="preserve"> qu’elles</w:t>
      </w:r>
      <w:r w:rsidR="00AB1CAD">
        <w:rPr>
          <w:rFonts w:ascii="Times New Roman" w:hAnsi="Times New Roman" w:cs="Times New Roman"/>
          <w:sz w:val="24"/>
          <w:szCs w:val="24"/>
        </w:rPr>
        <w:t xml:space="preserve"> rassurent les clients que cet</w:t>
      </w:r>
      <w:r w:rsidRPr="002B005F">
        <w:rPr>
          <w:rFonts w:ascii="Times New Roman" w:hAnsi="Times New Roman" w:cs="Times New Roman"/>
          <w:sz w:val="24"/>
          <w:szCs w:val="24"/>
        </w:rPr>
        <w:t xml:space="preserve"> </w:t>
      </w:r>
      <w:r w:rsidR="00AB1CAD">
        <w:rPr>
          <w:rFonts w:ascii="Times New Roman" w:hAnsi="Times New Roman" w:cs="Times New Roman"/>
          <w:sz w:val="24"/>
          <w:szCs w:val="24"/>
        </w:rPr>
        <w:t>organe est qualifié et que leur</w:t>
      </w:r>
      <w:r w:rsidR="00FE768C" w:rsidRPr="002B005F">
        <w:rPr>
          <w:rFonts w:ascii="Times New Roman" w:hAnsi="Times New Roman" w:cs="Times New Roman"/>
          <w:sz w:val="24"/>
          <w:szCs w:val="24"/>
        </w:rPr>
        <w:t xml:space="preserve"> </w:t>
      </w:r>
      <w:r w:rsidR="00FE768C" w:rsidRPr="002B005F">
        <w:rPr>
          <w:rFonts w:ascii="Times New Roman" w:hAnsi="Times New Roman" w:cs="Times New Roman"/>
          <w:i/>
          <w:iCs/>
          <w:sz w:val="24"/>
          <w:szCs w:val="24"/>
        </w:rPr>
        <w:t>fatwa</w:t>
      </w:r>
      <w:r w:rsidRPr="002B005F">
        <w:rPr>
          <w:rFonts w:ascii="Times New Roman" w:hAnsi="Times New Roman" w:cs="Times New Roman"/>
          <w:sz w:val="24"/>
          <w:szCs w:val="24"/>
        </w:rPr>
        <w:t xml:space="preserve"> sont correct</w:t>
      </w:r>
      <w:r w:rsidR="00AB1CAD">
        <w:rPr>
          <w:rFonts w:ascii="Times New Roman" w:hAnsi="Times New Roman" w:cs="Times New Roman"/>
          <w:sz w:val="24"/>
          <w:szCs w:val="24"/>
        </w:rPr>
        <w:t>ement appliquées. A côté de cet organe de supervision</w:t>
      </w:r>
      <w:r w:rsidRPr="002B005F">
        <w:rPr>
          <w:rFonts w:ascii="Times New Roman" w:hAnsi="Times New Roman" w:cs="Times New Roman"/>
          <w:sz w:val="24"/>
          <w:szCs w:val="24"/>
        </w:rPr>
        <w:t xml:space="preserve">, y a-t-il un organe externe chargé de cette tâche, c’est-à-dire des auditeurs externes </w:t>
      </w:r>
      <w:r w:rsidRPr="002B005F">
        <w:rPr>
          <w:rFonts w:ascii="Times New Roman" w:hAnsi="Times New Roman" w:cs="Times New Roman"/>
          <w:sz w:val="24"/>
          <w:szCs w:val="24"/>
        </w:rPr>
        <w:lastRenderedPageBreak/>
        <w:t xml:space="preserve">qui assurent cette mission ? Cette question a été soulevée lors de la conférence sur le contrôle du système bancaire </w:t>
      </w:r>
      <w:r w:rsidR="001141D1"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EF4F70">
        <w:rPr>
          <w:rFonts w:ascii="Times New Roman" w:hAnsi="Times New Roman" w:cs="Times New Roman"/>
          <w:sz w:val="24"/>
          <w:szCs w:val="24"/>
        </w:rPr>
        <w:t>,</w:t>
      </w:r>
      <w:r w:rsidRPr="002B005F">
        <w:rPr>
          <w:rFonts w:ascii="Times New Roman" w:hAnsi="Times New Roman" w:cs="Times New Roman"/>
          <w:sz w:val="24"/>
          <w:szCs w:val="24"/>
        </w:rPr>
        <w:t xml:space="preserve"> tenue à Bahreïn en 2000</w:t>
      </w:r>
      <w:r w:rsidR="007009F1">
        <w:rPr>
          <w:rFonts w:ascii="Times New Roman" w:hAnsi="Times New Roman" w:cs="Times New Roman"/>
          <w:sz w:val="24"/>
          <w:szCs w:val="24"/>
        </w:rPr>
        <w:t>. Elle</w:t>
      </w:r>
      <w:r w:rsidRPr="002B005F">
        <w:rPr>
          <w:rFonts w:ascii="Times New Roman" w:hAnsi="Times New Roman" w:cs="Times New Roman"/>
          <w:sz w:val="24"/>
          <w:szCs w:val="24"/>
        </w:rPr>
        <w:t xml:space="preserve"> a abouti à la création du </w:t>
      </w:r>
      <w:r w:rsidR="007009F1">
        <w:rPr>
          <w:rFonts w:ascii="Times New Roman" w:hAnsi="Times New Roman" w:cs="Times New Roman"/>
          <w:sz w:val="24"/>
          <w:szCs w:val="24"/>
        </w:rPr>
        <w:t>C</w:t>
      </w:r>
      <w:r w:rsidRPr="002B005F">
        <w:rPr>
          <w:rFonts w:ascii="Times New Roman" w:hAnsi="Times New Roman" w:cs="Times New Roman"/>
          <w:sz w:val="24"/>
          <w:szCs w:val="24"/>
        </w:rPr>
        <w:t xml:space="preserve">onseil des </w:t>
      </w:r>
      <w:r w:rsidR="007009F1">
        <w:rPr>
          <w:rFonts w:ascii="Times New Roman" w:hAnsi="Times New Roman" w:cs="Times New Roman"/>
          <w:sz w:val="24"/>
          <w:szCs w:val="24"/>
        </w:rPr>
        <w:t>S</w:t>
      </w:r>
      <w:r w:rsidRPr="002B005F">
        <w:rPr>
          <w:rFonts w:ascii="Times New Roman" w:hAnsi="Times New Roman" w:cs="Times New Roman"/>
          <w:sz w:val="24"/>
          <w:szCs w:val="24"/>
        </w:rPr>
        <w:t xml:space="preserve">ervices </w:t>
      </w:r>
      <w:r w:rsidR="007009F1">
        <w:rPr>
          <w:rFonts w:ascii="Times New Roman" w:hAnsi="Times New Roman" w:cs="Times New Roman"/>
          <w:sz w:val="24"/>
          <w:szCs w:val="24"/>
        </w:rPr>
        <w:t>F</w:t>
      </w:r>
      <w:r w:rsidRPr="002B005F">
        <w:rPr>
          <w:rFonts w:ascii="Times New Roman" w:hAnsi="Times New Roman" w:cs="Times New Roman"/>
          <w:sz w:val="24"/>
          <w:szCs w:val="24"/>
        </w:rPr>
        <w:t xml:space="preserve">inanciers </w:t>
      </w:r>
      <w:r w:rsidR="007009F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w:t>
      </w:r>
      <w:r w:rsidR="007009F1">
        <w:rPr>
          <w:rFonts w:ascii="Times New Roman" w:hAnsi="Times New Roman" w:cs="Times New Roman"/>
          <w:sz w:val="24"/>
          <w:szCs w:val="24"/>
        </w:rPr>
        <w:t xml:space="preserve"> (Islamic Financial Services</w:t>
      </w:r>
      <w:r w:rsidR="00EB7282">
        <w:rPr>
          <w:rFonts w:ascii="Times New Roman" w:hAnsi="Times New Roman" w:cs="Times New Roman"/>
          <w:sz w:val="24"/>
          <w:szCs w:val="24"/>
        </w:rPr>
        <w:t xml:space="preserve"> Board</w:t>
      </w:r>
      <w:r w:rsidR="007009F1">
        <w:rPr>
          <w:rFonts w:ascii="Times New Roman" w:hAnsi="Times New Roman" w:cs="Times New Roman"/>
          <w:sz w:val="24"/>
          <w:szCs w:val="24"/>
        </w:rPr>
        <w:t>).</w:t>
      </w:r>
    </w:p>
    <w:p w14:paraId="55236A2C" w14:textId="77777777" w:rsidR="002760B2" w:rsidRPr="00D7723E" w:rsidRDefault="00E70DD5" w:rsidP="00774B74">
      <w:pPr>
        <w:pStyle w:val="Titre5"/>
        <w:keepNext w:val="0"/>
        <w:keepLines w:val="0"/>
        <w:spacing w:before="120" w:after="120" w:line="300" w:lineRule="auto"/>
        <w:ind w:firstLine="709"/>
        <w:rPr>
          <w:rFonts w:asciiTheme="majorBidi" w:hAnsiTheme="majorBidi"/>
          <w:b/>
          <w:bCs/>
          <w:color w:val="auto"/>
          <w:sz w:val="24"/>
          <w:szCs w:val="24"/>
        </w:rPr>
      </w:pPr>
      <w:bookmarkStart w:id="1120" w:name="_Toc182298816"/>
      <w:r w:rsidRPr="00D7723E">
        <w:rPr>
          <w:rFonts w:asciiTheme="majorBidi" w:hAnsiTheme="majorBidi"/>
          <w:b/>
          <w:bCs/>
          <w:color w:val="auto"/>
          <w:sz w:val="24"/>
          <w:szCs w:val="24"/>
        </w:rPr>
        <w:t xml:space="preserve">3.3.1.3- </w:t>
      </w:r>
      <w:r w:rsidR="002760B2" w:rsidRPr="00D7723E">
        <w:rPr>
          <w:rFonts w:asciiTheme="majorBidi" w:hAnsiTheme="majorBidi"/>
          <w:b/>
          <w:bCs/>
          <w:color w:val="auto"/>
          <w:sz w:val="24"/>
          <w:szCs w:val="24"/>
        </w:rPr>
        <w:t>Conformité a</w:t>
      </w:r>
      <w:r w:rsidR="00FB41B0" w:rsidRPr="00D7723E">
        <w:rPr>
          <w:rFonts w:asciiTheme="majorBidi" w:hAnsiTheme="majorBidi"/>
          <w:b/>
          <w:bCs/>
          <w:color w:val="auto"/>
          <w:sz w:val="24"/>
          <w:szCs w:val="24"/>
        </w:rPr>
        <w:t>vec les normes internationales</w:t>
      </w:r>
      <w:bookmarkEnd w:id="1120"/>
    </w:p>
    <w:p w14:paraId="4AACF8B2" w14:textId="77777777" w:rsidR="002760B2" w:rsidRPr="002920D5" w:rsidRDefault="002760B2" w:rsidP="00774B74">
      <w:pPr>
        <w:pStyle w:val="Paragraphedeliste"/>
        <w:tabs>
          <w:tab w:val="left" w:pos="0"/>
        </w:tabs>
        <w:spacing w:before="120" w:line="300" w:lineRule="auto"/>
        <w:ind w:left="0" w:firstLine="709"/>
        <w:contextualSpacing w:val="0"/>
        <w:rPr>
          <w:rFonts w:ascii="Times New Roman" w:hAnsi="Times New Roman" w:cs="Times New Roman"/>
          <w:spacing w:val="6"/>
          <w:sz w:val="24"/>
          <w:szCs w:val="24"/>
        </w:rPr>
      </w:pPr>
      <w:r w:rsidRPr="002B005F">
        <w:rPr>
          <w:rFonts w:ascii="Times New Roman" w:hAnsi="Times New Roman" w:cs="Times New Roman"/>
          <w:sz w:val="24"/>
          <w:szCs w:val="24"/>
        </w:rPr>
        <w:t xml:space="preserve">À </w:t>
      </w:r>
      <w:r w:rsidRPr="002920D5">
        <w:rPr>
          <w:rFonts w:ascii="Times New Roman" w:hAnsi="Times New Roman" w:cs="Times New Roman"/>
          <w:spacing w:val="6"/>
          <w:sz w:val="24"/>
          <w:szCs w:val="24"/>
        </w:rPr>
        <w:t>titre d’exemple, considérons le cadre de la réglementation et du contrôle existant dans quelques pays membres de la BID. La situation est généralement la suivante :</w:t>
      </w:r>
    </w:p>
    <w:p w14:paraId="68CD8EEA" w14:textId="77777777" w:rsidR="002760B2" w:rsidRPr="002920D5" w:rsidRDefault="002760B2" w:rsidP="00CB0FF1">
      <w:pPr>
        <w:pStyle w:val="Paragraphedeliste"/>
        <w:numPr>
          <w:ilvl w:val="0"/>
          <w:numId w:val="16"/>
        </w:numPr>
        <w:tabs>
          <w:tab w:val="left" w:pos="284"/>
          <w:tab w:val="left" w:pos="851"/>
          <w:tab w:val="left" w:pos="1134"/>
        </w:tabs>
        <w:spacing w:before="60" w:line="300" w:lineRule="auto"/>
        <w:ind w:left="1135" w:hanging="284"/>
        <w:contextualSpacing w:val="0"/>
        <w:rPr>
          <w:rFonts w:ascii="Times New Roman" w:hAnsi="Times New Roman" w:cs="Times New Roman"/>
          <w:spacing w:val="6"/>
          <w:sz w:val="24"/>
          <w:szCs w:val="24"/>
        </w:rPr>
      </w:pPr>
      <w:r w:rsidRPr="002920D5">
        <w:rPr>
          <w:rFonts w:ascii="Times New Roman" w:hAnsi="Times New Roman" w:cs="Times New Roman"/>
          <w:spacing w:val="6"/>
          <w:sz w:val="24"/>
          <w:szCs w:val="24"/>
        </w:rPr>
        <w:t xml:space="preserve">La plupart des pays membres ont adopté des normes internationales (y compris les principes de base du </w:t>
      </w:r>
      <w:r w:rsidR="00851EFB" w:rsidRPr="002920D5">
        <w:rPr>
          <w:rFonts w:ascii="Times New Roman" w:hAnsi="Times New Roman" w:cs="Times New Roman"/>
          <w:spacing w:val="6"/>
          <w:sz w:val="24"/>
          <w:szCs w:val="24"/>
        </w:rPr>
        <w:t>Comité</w:t>
      </w:r>
      <w:r w:rsidRPr="002920D5">
        <w:rPr>
          <w:rFonts w:ascii="Times New Roman" w:hAnsi="Times New Roman" w:cs="Times New Roman"/>
          <w:spacing w:val="6"/>
          <w:sz w:val="24"/>
          <w:szCs w:val="24"/>
        </w:rPr>
        <w:t xml:space="preserve"> de Bâle), malgré les difficultés relatives au calcul des risques des actifs des modes de financement spécifiques ;</w:t>
      </w:r>
    </w:p>
    <w:p w14:paraId="30F0A770" w14:textId="77777777" w:rsidR="002760B2" w:rsidRPr="002920D5" w:rsidRDefault="002760B2" w:rsidP="00CB0FF1">
      <w:pPr>
        <w:pStyle w:val="Paragraphedeliste"/>
        <w:numPr>
          <w:ilvl w:val="0"/>
          <w:numId w:val="16"/>
        </w:numPr>
        <w:tabs>
          <w:tab w:val="left" w:pos="284"/>
          <w:tab w:val="left" w:pos="851"/>
          <w:tab w:val="left" w:pos="1134"/>
        </w:tabs>
        <w:spacing w:before="60" w:line="300" w:lineRule="auto"/>
        <w:ind w:left="1135" w:hanging="284"/>
        <w:contextualSpacing w:val="0"/>
        <w:rPr>
          <w:rFonts w:ascii="Times New Roman" w:hAnsi="Times New Roman" w:cs="Times New Roman"/>
          <w:spacing w:val="6"/>
          <w:sz w:val="24"/>
          <w:szCs w:val="24"/>
        </w:rPr>
      </w:pPr>
      <w:r w:rsidRPr="002920D5">
        <w:rPr>
          <w:rFonts w:ascii="Times New Roman" w:hAnsi="Times New Roman" w:cs="Times New Roman"/>
          <w:spacing w:val="6"/>
          <w:sz w:val="24"/>
          <w:szCs w:val="24"/>
        </w:rPr>
        <w:t>La conformité avec les normes établies par l’AAOIFI n’est, en général, pas entièrement réalisée ;</w:t>
      </w:r>
    </w:p>
    <w:p w14:paraId="1B5433E7" w14:textId="0978201C" w:rsidR="002760B2" w:rsidRPr="002920D5" w:rsidRDefault="002760B2" w:rsidP="00CB0FF1">
      <w:pPr>
        <w:pStyle w:val="Paragraphedeliste"/>
        <w:numPr>
          <w:ilvl w:val="0"/>
          <w:numId w:val="16"/>
        </w:numPr>
        <w:tabs>
          <w:tab w:val="left" w:pos="284"/>
          <w:tab w:val="left" w:pos="851"/>
          <w:tab w:val="left" w:pos="1134"/>
        </w:tabs>
        <w:spacing w:before="60" w:line="300" w:lineRule="auto"/>
        <w:ind w:left="1135" w:hanging="284"/>
        <w:contextualSpacing w:val="0"/>
        <w:rPr>
          <w:rFonts w:ascii="Times New Roman" w:hAnsi="Times New Roman" w:cs="Times New Roman"/>
          <w:spacing w:val="6"/>
          <w:sz w:val="24"/>
          <w:szCs w:val="24"/>
        </w:rPr>
      </w:pPr>
      <w:r w:rsidRPr="002920D5">
        <w:rPr>
          <w:rFonts w:ascii="Times New Roman" w:hAnsi="Times New Roman" w:cs="Times New Roman"/>
          <w:spacing w:val="6"/>
          <w:sz w:val="24"/>
          <w:szCs w:val="24"/>
        </w:rPr>
        <w:t xml:space="preserve">La petite taille de la plupart des banques </w:t>
      </w:r>
      <w:r w:rsidR="00505EDD" w:rsidRPr="002920D5">
        <w:rPr>
          <w:rFonts w:ascii="Times New Roman" w:hAnsi="Times New Roman" w:cs="Times New Roman"/>
          <w:spacing w:val="6"/>
          <w:sz w:val="24"/>
          <w:szCs w:val="24"/>
        </w:rPr>
        <w:t>i</w:t>
      </w:r>
      <w:r w:rsidR="003773C6" w:rsidRPr="002920D5">
        <w:rPr>
          <w:rFonts w:ascii="Times New Roman" w:hAnsi="Times New Roman" w:cs="Times New Roman"/>
          <w:spacing w:val="6"/>
          <w:sz w:val="24"/>
          <w:szCs w:val="24"/>
        </w:rPr>
        <w:t>slamique</w:t>
      </w:r>
      <w:r w:rsidRPr="002920D5">
        <w:rPr>
          <w:rFonts w:ascii="Times New Roman" w:hAnsi="Times New Roman" w:cs="Times New Roman"/>
          <w:spacing w:val="6"/>
          <w:sz w:val="24"/>
          <w:szCs w:val="24"/>
        </w:rPr>
        <w:t xml:space="preserve">s les a </w:t>
      </w:r>
      <w:r w:rsidR="00F96539" w:rsidRPr="002920D5">
        <w:rPr>
          <w:rFonts w:ascii="Times New Roman" w:hAnsi="Times New Roman" w:cs="Times New Roman"/>
          <w:spacing w:val="6"/>
          <w:sz w:val="24"/>
          <w:szCs w:val="24"/>
        </w:rPr>
        <w:t>poussée</w:t>
      </w:r>
      <w:r w:rsidR="006F6800">
        <w:rPr>
          <w:rFonts w:ascii="Times New Roman" w:hAnsi="Times New Roman" w:cs="Times New Roman"/>
          <w:spacing w:val="6"/>
          <w:sz w:val="24"/>
          <w:szCs w:val="24"/>
        </w:rPr>
        <w:t>s</w:t>
      </w:r>
      <w:r w:rsidRPr="002920D5">
        <w:rPr>
          <w:rFonts w:ascii="Times New Roman" w:hAnsi="Times New Roman" w:cs="Times New Roman"/>
          <w:spacing w:val="6"/>
          <w:sz w:val="24"/>
          <w:szCs w:val="24"/>
        </w:rPr>
        <w:t xml:space="preserve"> à annoncer des programmes de fusion obligatoire et à renforcer leur capital</w:t>
      </w:r>
      <w:r w:rsidR="00AB1CAD" w:rsidRPr="002920D5">
        <w:rPr>
          <w:rFonts w:ascii="Times New Roman" w:hAnsi="Times New Roman" w:cs="Times New Roman"/>
          <w:spacing w:val="6"/>
          <w:sz w:val="24"/>
          <w:szCs w:val="24"/>
        </w:rPr>
        <w:t xml:space="preserve"> pour </w:t>
      </w:r>
      <w:r w:rsidR="0094175C" w:rsidRPr="002920D5">
        <w:rPr>
          <w:rFonts w:ascii="Times New Roman" w:hAnsi="Times New Roman" w:cs="Times New Roman"/>
          <w:spacing w:val="6"/>
          <w:sz w:val="24"/>
          <w:szCs w:val="24"/>
        </w:rPr>
        <w:t>devenir plus</w:t>
      </w:r>
      <w:r w:rsidRPr="002920D5">
        <w:rPr>
          <w:rFonts w:ascii="Times New Roman" w:hAnsi="Times New Roman" w:cs="Times New Roman"/>
          <w:spacing w:val="6"/>
          <w:sz w:val="24"/>
          <w:szCs w:val="24"/>
        </w:rPr>
        <w:t xml:space="preserve"> robustes dan</w:t>
      </w:r>
      <w:r w:rsidR="00AB1CAD" w:rsidRPr="002920D5">
        <w:rPr>
          <w:rFonts w:ascii="Times New Roman" w:hAnsi="Times New Roman" w:cs="Times New Roman"/>
          <w:spacing w:val="6"/>
          <w:sz w:val="24"/>
          <w:szCs w:val="24"/>
        </w:rPr>
        <w:t xml:space="preserve">s un environnement </w:t>
      </w:r>
      <w:r w:rsidR="0094175C" w:rsidRPr="002920D5">
        <w:rPr>
          <w:rFonts w:ascii="Times New Roman" w:hAnsi="Times New Roman" w:cs="Times New Roman"/>
          <w:spacing w:val="6"/>
          <w:sz w:val="24"/>
          <w:szCs w:val="24"/>
        </w:rPr>
        <w:t>compétitif</w:t>
      </w:r>
      <w:r w:rsidR="006F6800">
        <w:rPr>
          <w:rFonts w:ascii="Times New Roman" w:hAnsi="Times New Roman" w:cs="Times New Roman"/>
          <w:spacing w:val="6"/>
          <w:sz w:val="24"/>
          <w:szCs w:val="24"/>
        </w:rPr>
        <w:t> ;</w:t>
      </w:r>
    </w:p>
    <w:p w14:paraId="0857F1F3" w14:textId="77777777" w:rsidR="002760B2" w:rsidRPr="002920D5" w:rsidRDefault="002760B2" w:rsidP="00CB0FF1">
      <w:pPr>
        <w:pStyle w:val="Paragraphedeliste"/>
        <w:numPr>
          <w:ilvl w:val="0"/>
          <w:numId w:val="16"/>
        </w:numPr>
        <w:tabs>
          <w:tab w:val="left" w:pos="284"/>
          <w:tab w:val="left" w:pos="851"/>
          <w:tab w:val="left" w:pos="1134"/>
        </w:tabs>
        <w:spacing w:before="60" w:line="300" w:lineRule="auto"/>
        <w:ind w:left="1135" w:hanging="284"/>
        <w:contextualSpacing w:val="0"/>
        <w:rPr>
          <w:rFonts w:ascii="Times New Roman" w:hAnsi="Times New Roman" w:cs="Times New Roman"/>
          <w:spacing w:val="6"/>
          <w:sz w:val="24"/>
          <w:szCs w:val="24"/>
        </w:rPr>
      </w:pPr>
      <w:r w:rsidRPr="002920D5">
        <w:rPr>
          <w:rFonts w:ascii="Times New Roman" w:hAnsi="Times New Roman" w:cs="Times New Roman"/>
          <w:spacing w:val="6"/>
          <w:sz w:val="24"/>
          <w:szCs w:val="24"/>
        </w:rPr>
        <w:t xml:space="preserve">Le Soudan, le Pakistan et l’Iran ont presque transformé leurs économies en accord avec les préceptes </w:t>
      </w:r>
      <w:r w:rsidR="00505EDD" w:rsidRPr="002920D5">
        <w:rPr>
          <w:rFonts w:ascii="Times New Roman" w:hAnsi="Times New Roman" w:cs="Times New Roman"/>
          <w:spacing w:val="6"/>
          <w:sz w:val="24"/>
          <w:szCs w:val="24"/>
        </w:rPr>
        <w:t>i</w:t>
      </w:r>
      <w:r w:rsidR="003773C6" w:rsidRPr="002920D5">
        <w:rPr>
          <w:rFonts w:ascii="Times New Roman" w:hAnsi="Times New Roman" w:cs="Times New Roman"/>
          <w:spacing w:val="6"/>
          <w:sz w:val="24"/>
          <w:szCs w:val="24"/>
        </w:rPr>
        <w:t>slamique</w:t>
      </w:r>
      <w:r w:rsidRPr="002920D5">
        <w:rPr>
          <w:rFonts w:ascii="Times New Roman" w:hAnsi="Times New Roman" w:cs="Times New Roman"/>
          <w:spacing w:val="6"/>
          <w:sz w:val="24"/>
          <w:szCs w:val="24"/>
        </w:rPr>
        <w:t>s. Ainsi, ces trois pays ont annoncé des programmes de restructuration de leur secteur bancaire ;</w:t>
      </w:r>
    </w:p>
    <w:p w14:paraId="30E9A044" w14:textId="6074778F" w:rsidR="002760B2" w:rsidRPr="002920D5" w:rsidRDefault="002760B2" w:rsidP="00CB0FF1">
      <w:pPr>
        <w:pStyle w:val="Paragraphedeliste"/>
        <w:numPr>
          <w:ilvl w:val="0"/>
          <w:numId w:val="16"/>
        </w:numPr>
        <w:tabs>
          <w:tab w:val="left" w:pos="284"/>
          <w:tab w:val="left" w:pos="851"/>
          <w:tab w:val="left" w:pos="1134"/>
        </w:tabs>
        <w:spacing w:before="60" w:line="300" w:lineRule="auto"/>
        <w:ind w:left="1135" w:hanging="284"/>
        <w:contextualSpacing w:val="0"/>
        <w:rPr>
          <w:rFonts w:ascii="Times New Roman" w:hAnsi="Times New Roman" w:cs="Times New Roman"/>
          <w:spacing w:val="6"/>
          <w:sz w:val="24"/>
          <w:szCs w:val="24"/>
        </w:rPr>
      </w:pPr>
      <w:r w:rsidRPr="002920D5">
        <w:rPr>
          <w:rFonts w:ascii="Times New Roman" w:hAnsi="Times New Roman" w:cs="Times New Roman"/>
          <w:spacing w:val="6"/>
          <w:sz w:val="24"/>
          <w:szCs w:val="24"/>
        </w:rPr>
        <w:t>La Malaisie suit le système de Rating CAMEL</w:t>
      </w:r>
    </w:p>
    <w:p w14:paraId="0DB611E5" w14:textId="77777777" w:rsidR="00A37A08" w:rsidRPr="002920D5" w:rsidRDefault="00113EB5" w:rsidP="00774B74">
      <w:pPr>
        <w:pStyle w:val="Titre4"/>
        <w:keepNext w:val="0"/>
        <w:spacing w:before="120" w:after="120" w:line="300" w:lineRule="auto"/>
        <w:ind w:firstLine="709"/>
      </w:pPr>
      <w:bookmarkStart w:id="1121" w:name="_Toc33263329"/>
      <w:bookmarkStart w:id="1122" w:name="_Toc37664592"/>
      <w:bookmarkStart w:id="1123" w:name="_Toc37666437"/>
      <w:bookmarkStart w:id="1124" w:name="_Toc54363326"/>
      <w:bookmarkStart w:id="1125" w:name="_Toc58606319"/>
      <w:bookmarkStart w:id="1126" w:name="_Toc61263524"/>
      <w:bookmarkStart w:id="1127" w:name="_Toc182298817"/>
      <w:r w:rsidRPr="002920D5">
        <w:t>3.3.2-</w:t>
      </w:r>
      <w:r w:rsidR="00E70DD5" w:rsidRPr="002920D5">
        <w:t xml:space="preserve"> </w:t>
      </w:r>
      <w:r w:rsidR="006349A3" w:rsidRPr="002920D5">
        <w:t>A</w:t>
      </w:r>
      <w:r w:rsidR="002760B2" w:rsidRPr="002920D5">
        <w:t xml:space="preserve">lternatives réglementaires disponibles aux banques </w:t>
      </w:r>
      <w:r w:rsidR="00505EDD" w:rsidRPr="002920D5">
        <w:t>i</w:t>
      </w:r>
      <w:r w:rsidR="003773C6" w:rsidRPr="002920D5">
        <w:t>slamique</w:t>
      </w:r>
      <w:r w:rsidR="002760B2" w:rsidRPr="002920D5">
        <w:t>s</w:t>
      </w:r>
      <w:bookmarkEnd w:id="1121"/>
      <w:bookmarkEnd w:id="1122"/>
      <w:bookmarkEnd w:id="1123"/>
      <w:bookmarkEnd w:id="1124"/>
      <w:bookmarkEnd w:id="1125"/>
      <w:bookmarkEnd w:id="1126"/>
      <w:bookmarkEnd w:id="1127"/>
    </w:p>
    <w:p w14:paraId="1CD932B8" w14:textId="24B2B1CC" w:rsidR="002760B2" w:rsidRPr="00A42632" w:rsidRDefault="002760B2" w:rsidP="00774B74">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A42632">
        <w:rPr>
          <w:rFonts w:ascii="Times New Roman" w:hAnsi="Times New Roman" w:cs="Times New Roman"/>
          <w:sz w:val="24"/>
          <w:szCs w:val="24"/>
        </w:rPr>
        <w:t>Parmi les préoccupations majeures des organismes de réglementation et de contrôle des BI, comment appliquer les normes prudentielles reconnues à l’échelle internationale à ces institutions</w:t>
      </w:r>
      <w:r w:rsidR="002751BF" w:rsidRPr="00A42632">
        <w:rPr>
          <w:rFonts w:ascii="Times New Roman" w:hAnsi="Times New Roman" w:cs="Times New Roman"/>
          <w:sz w:val="24"/>
          <w:szCs w:val="24"/>
        </w:rPr>
        <w:t xml:space="preserve"> </w:t>
      </w:r>
      <w:r w:rsidRPr="00A42632">
        <w:rPr>
          <w:rFonts w:ascii="Times New Roman" w:hAnsi="Times New Roman" w:cs="Times New Roman"/>
          <w:sz w:val="24"/>
          <w:szCs w:val="24"/>
        </w:rPr>
        <w:t xml:space="preserve">tout en leur permettant de travailler dans un cadre </w:t>
      </w:r>
      <w:r w:rsidR="00DB4926" w:rsidRPr="00DB4926">
        <w:rPr>
          <w:rFonts w:ascii="Times New Roman" w:hAnsi="Times New Roman" w:cs="Times New Roman"/>
          <w:iCs/>
          <w:sz w:val="24"/>
          <w:szCs w:val="24"/>
        </w:rPr>
        <w:t>c</w:t>
      </w:r>
      <w:r w:rsidR="00A42632" w:rsidRPr="00DB4926">
        <w:rPr>
          <w:rFonts w:ascii="Times New Roman" w:hAnsi="Times New Roman" w:cs="Times New Roman"/>
          <w:iCs/>
          <w:sz w:val="24"/>
          <w:szCs w:val="24"/>
        </w:rPr>
        <w:t>hariatique</w:t>
      </w:r>
      <w:r w:rsidR="00A42632" w:rsidRPr="00A42632">
        <w:rPr>
          <w:rFonts w:ascii="Times New Roman" w:hAnsi="Times New Roman" w:cs="Times New Roman"/>
          <w:sz w:val="24"/>
          <w:szCs w:val="24"/>
        </w:rPr>
        <w:t> </w:t>
      </w:r>
      <w:r w:rsidR="00FE768C" w:rsidRPr="00A42632">
        <w:rPr>
          <w:rFonts w:ascii="Times New Roman" w:hAnsi="Times New Roman" w:cs="Times New Roman"/>
          <w:sz w:val="24"/>
          <w:szCs w:val="24"/>
        </w:rPr>
        <w:t>?</w:t>
      </w:r>
      <w:r w:rsidRPr="00A42632">
        <w:rPr>
          <w:rFonts w:ascii="Times New Roman" w:hAnsi="Times New Roman" w:cs="Times New Roman"/>
          <w:sz w:val="24"/>
          <w:szCs w:val="24"/>
        </w:rPr>
        <w:t xml:space="preserve"> L’adéquation du capital assure la sécurité systémique et renforce la crédibilité et la croissance du système bancaire </w:t>
      </w:r>
      <w:r w:rsidR="00505EDD" w:rsidRPr="00A42632">
        <w:rPr>
          <w:rFonts w:ascii="Times New Roman" w:hAnsi="Times New Roman" w:cs="Times New Roman"/>
          <w:sz w:val="24"/>
          <w:szCs w:val="24"/>
        </w:rPr>
        <w:t>i</w:t>
      </w:r>
      <w:r w:rsidR="003773C6" w:rsidRPr="00A42632">
        <w:rPr>
          <w:rFonts w:ascii="Times New Roman" w:hAnsi="Times New Roman" w:cs="Times New Roman"/>
          <w:sz w:val="24"/>
          <w:szCs w:val="24"/>
        </w:rPr>
        <w:t>slamique</w:t>
      </w:r>
      <w:r w:rsidRPr="00A42632">
        <w:rPr>
          <w:rFonts w:ascii="Times New Roman" w:hAnsi="Times New Roman" w:cs="Times New Roman"/>
          <w:sz w:val="24"/>
          <w:szCs w:val="24"/>
        </w:rPr>
        <w:t xml:space="preserve"> à travers le monde.</w:t>
      </w:r>
    </w:p>
    <w:p w14:paraId="537B7CFB" w14:textId="6A1B60EF" w:rsidR="002760B2" w:rsidRPr="00D7723E" w:rsidRDefault="00E70DD5" w:rsidP="00774B74">
      <w:pPr>
        <w:pStyle w:val="Titre5"/>
        <w:keepNext w:val="0"/>
        <w:keepLines w:val="0"/>
        <w:spacing w:before="120" w:after="120" w:line="300" w:lineRule="auto"/>
        <w:ind w:firstLine="709"/>
        <w:rPr>
          <w:rFonts w:asciiTheme="majorBidi" w:hAnsiTheme="majorBidi"/>
          <w:b/>
          <w:bCs/>
          <w:color w:val="auto"/>
          <w:sz w:val="24"/>
          <w:szCs w:val="24"/>
        </w:rPr>
      </w:pPr>
      <w:bookmarkStart w:id="1128" w:name="_Toc182298818"/>
      <w:r w:rsidRPr="00D7723E">
        <w:rPr>
          <w:rFonts w:asciiTheme="majorBidi" w:hAnsiTheme="majorBidi"/>
          <w:b/>
          <w:bCs/>
          <w:color w:val="auto"/>
          <w:sz w:val="24"/>
          <w:szCs w:val="24"/>
        </w:rPr>
        <w:t xml:space="preserve">3.3.2.1- </w:t>
      </w:r>
      <w:r w:rsidR="00587045" w:rsidRPr="00D7723E">
        <w:rPr>
          <w:rFonts w:asciiTheme="majorBidi" w:hAnsiTheme="majorBidi"/>
          <w:b/>
          <w:bCs/>
          <w:color w:val="auto"/>
          <w:sz w:val="24"/>
          <w:szCs w:val="24"/>
        </w:rPr>
        <w:t>A</w:t>
      </w:r>
      <w:r w:rsidR="002760B2" w:rsidRPr="00D7723E">
        <w:rPr>
          <w:rFonts w:asciiTheme="majorBidi" w:hAnsiTheme="majorBidi"/>
          <w:b/>
          <w:bCs/>
          <w:color w:val="auto"/>
          <w:sz w:val="24"/>
          <w:szCs w:val="24"/>
        </w:rPr>
        <w:t>lternatives de suffisance de capital</w:t>
      </w:r>
      <w:bookmarkEnd w:id="1128"/>
    </w:p>
    <w:p w14:paraId="4376959B" w14:textId="77777777" w:rsidR="002760B2" w:rsidRPr="00A42632" w:rsidRDefault="002760B2" w:rsidP="00A42632">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A42632">
        <w:rPr>
          <w:rFonts w:ascii="Times New Roman" w:hAnsi="Times New Roman" w:cs="Times New Roman"/>
          <w:sz w:val="24"/>
          <w:szCs w:val="24"/>
        </w:rPr>
        <w:t xml:space="preserve">Le capital des BI est composé de façon simple puisqu’il ne contient pas d’actifs hybrides, des dettes subordonnées et autres nouvelles formes de fonds. Cependant, la nature des dépôts d’investissement est différente à celle des banques conventionnelles. </w:t>
      </w:r>
    </w:p>
    <w:p w14:paraId="37562EC8" w14:textId="6C81653E" w:rsidR="00916A86" w:rsidRPr="00A42632" w:rsidRDefault="00916A86" w:rsidP="00A42632">
      <w:pPr>
        <w:pStyle w:val="Paragraphedeliste"/>
        <w:tabs>
          <w:tab w:val="left" w:pos="0"/>
        </w:tabs>
        <w:spacing w:before="120" w:line="300" w:lineRule="auto"/>
        <w:ind w:left="0" w:firstLine="709"/>
        <w:contextualSpacing w:val="0"/>
        <w:rPr>
          <w:rFonts w:ascii="Times New Roman" w:hAnsi="Times New Roman" w:cstheme="majorBidi"/>
          <w:sz w:val="24"/>
          <w:szCs w:val="24"/>
        </w:rPr>
      </w:pPr>
      <w:r w:rsidRPr="00A42632">
        <w:rPr>
          <w:rFonts w:ascii="Times New Roman" w:hAnsi="Times New Roman" w:cstheme="majorBidi"/>
          <w:sz w:val="24"/>
          <w:szCs w:val="24"/>
        </w:rPr>
        <w:t xml:space="preserve">Suite à l’efficacité des normes de Bâle pour l'analyse de la solvabilité des banques conventionnelles, et par conséquent son renforcement, et la non compatibilité de ces normes avec les principes qui guident les activités bancaires islamiques, de nombreuses tentatives ont été prises pour la conception d’un tel cadre réglementaire approprié aux banques islamiques. La première tentative a été faite par AAOIFI, qui a publié en 1999 son rapport sur l'objet et le calcul du ratio d'adéquation des fonds propres pour les banques islamiques </w:t>
      </w:r>
      <w:r w:rsidR="00A42632" w:rsidRPr="00A42632">
        <w:rPr>
          <w:rFonts w:ascii="Times New Roman" w:hAnsi="Times New Roman" w:cstheme="majorBidi"/>
          <w:sz w:val="24"/>
          <w:szCs w:val="24"/>
        </w:rPr>
        <w:t>« </w:t>
      </w:r>
      <w:r w:rsidRPr="00A42632">
        <w:rPr>
          <w:rFonts w:ascii="Times New Roman" w:hAnsi="Times New Roman" w:cstheme="majorBidi"/>
          <w:sz w:val="24"/>
          <w:szCs w:val="24"/>
        </w:rPr>
        <w:t>Statement on the Purpose and Calculation of the Capital Adequacy Ratio for Islamic Banks</w:t>
      </w:r>
      <w:r w:rsidR="00A42632" w:rsidRPr="00A42632">
        <w:rPr>
          <w:rFonts w:ascii="Times New Roman" w:hAnsi="Times New Roman" w:cstheme="majorBidi"/>
          <w:sz w:val="24"/>
          <w:szCs w:val="24"/>
        </w:rPr>
        <w:t> »</w:t>
      </w:r>
      <w:r w:rsidRPr="00A42632">
        <w:rPr>
          <w:rFonts w:ascii="Times New Roman" w:hAnsi="Times New Roman" w:cstheme="majorBidi"/>
          <w:sz w:val="24"/>
          <w:szCs w:val="24"/>
        </w:rPr>
        <w:t>.</w:t>
      </w:r>
    </w:p>
    <w:p w14:paraId="6CBA9C67" w14:textId="77777777" w:rsidR="00774B74" w:rsidRPr="00A42632" w:rsidRDefault="00774B74" w:rsidP="00A42632">
      <w:pPr>
        <w:pStyle w:val="Paragraphedeliste"/>
        <w:tabs>
          <w:tab w:val="left" w:pos="0"/>
        </w:tabs>
        <w:spacing w:before="120" w:line="300" w:lineRule="auto"/>
        <w:ind w:left="0" w:firstLine="709"/>
        <w:contextualSpacing w:val="0"/>
        <w:rPr>
          <w:rFonts w:ascii="Times New Roman" w:hAnsi="Times New Roman" w:cstheme="majorBidi"/>
          <w:sz w:val="24"/>
          <w:szCs w:val="24"/>
        </w:rPr>
      </w:pPr>
    </w:p>
    <w:p w14:paraId="004D6F79" w14:textId="77777777" w:rsidR="00916A86" w:rsidRDefault="00916A86" w:rsidP="00774B74">
      <w:pPr>
        <w:pStyle w:val="Paragraphedeliste"/>
        <w:tabs>
          <w:tab w:val="left" w:pos="0"/>
        </w:tabs>
        <w:spacing w:before="120" w:line="300" w:lineRule="auto"/>
        <w:ind w:left="0" w:firstLine="709"/>
        <w:contextualSpacing w:val="0"/>
        <w:rPr>
          <w:rFonts w:asciiTheme="majorBidi" w:hAnsiTheme="majorBidi" w:cstheme="majorBidi"/>
          <w:sz w:val="24"/>
          <w:szCs w:val="24"/>
        </w:rPr>
      </w:pPr>
      <w:r w:rsidRPr="00916A86">
        <w:rPr>
          <w:rFonts w:asciiTheme="majorBidi" w:hAnsiTheme="majorBidi" w:cstheme="majorBidi"/>
          <w:sz w:val="24"/>
          <w:szCs w:val="24"/>
        </w:rPr>
        <w:t xml:space="preserve">Selon cette norme, les </w:t>
      </w:r>
      <w:r w:rsidRPr="00611EA9">
        <w:rPr>
          <w:rFonts w:asciiTheme="majorBidi" w:hAnsiTheme="majorBidi" w:cstheme="majorBidi"/>
          <w:sz w:val="24"/>
          <w:szCs w:val="24"/>
        </w:rPr>
        <w:t>banques islamiques</w:t>
      </w:r>
      <w:r w:rsidRPr="00916A86">
        <w:rPr>
          <w:rFonts w:asciiTheme="majorBidi" w:hAnsiTheme="majorBidi" w:cstheme="majorBidi"/>
          <w:sz w:val="24"/>
          <w:szCs w:val="24"/>
        </w:rPr>
        <w:t xml:space="preserve"> sont exposées au risque fiduciaire et au risque commercial déplacé, contrairement aux banques conventionnelles, ce qui implique que ces </w:t>
      </w:r>
      <w:r w:rsidRPr="00916A86">
        <w:rPr>
          <w:rFonts w:asciiTheme="majorBidi" w:hAnsiTheme="majorBidi" w:cstheme="majorBidi"/>
          <w:sz w:val="24"/>
          <w:szCs w:val="24"/>
        </w:rPr>
        <w:lastRenderedPageBreak/>
        <w:t>risques devraient sous-tendre la conception de la réglementation du capital des banques islamiques</w:t>
      </w:r>
      <w:r>
        <w:rPr>
          <w:rStyle w:val="Appelnotedebasdep"/>
          <w:rFonts w:asciiTheme="majorBidi" w:hAnsiTheme="majorBidi"/>
          <w:sz w:val="24"/>
          <w:szCs w:val="24"/>
        </w:rPr>
        <w:footnoteReference w:id="286"/>
      </w:r>
      <w:r w:rsidRPr="00916A86">
        <w:rPr>
          <w:rFonts w:asciiTheme="majorBidi" w:hAnsiTheme="majorBidi" w:cstheme="majorBidi"/>
          <w:sz w:val="24"/>
          <w:szCs w:val="24"/>
        </w:rPr>
        <w:t>.</w:t>
      </w:r>
    </w:p>
    <w:p w14:paraId="35BA2D01" w14:textId="43DAF2B3" w:rsidR="00F7566A" w:rsidRPr="00F7566A" w:rsidRDefault="00916A86" w:rsidP="00774B74">
      <w:pPr>
        <w:pStyle w:val="Paragraphedeliste"/>
        <w:tabs>
          <w:tab w:val="left" w:pos="0"/>
        </w:tabs>
        <w:spacing w:before="120" w:after="120" w:line="300" w:lineRule="auto"/>
        <w:ind w:left="0" w:firstLine="709"/>
        <w:contextualSpacing w:val="0"/>
        <w:rPr>
          <w:rFonts w:asciiTheme="majorBidi" w:hAnsiTheme="majorBidi" w:cstheme="majorBidi"/>
          <w:sz w:val="24"/>
          <w:szCs w:val="24"/>
        </w:rPr>
      </w:pPr>
      <w:r w:rsidRPr="00F7566A">
        <w:rPr>
          <w:rFonts w:asciiTheme="majorBidi" w:hAnsiTheme="majorBidi" w:cstheme="majorBidi"/>
          <w:sz w:val="24"/>
          <w:szCs w:val="24"/>
        </w:rPr>
        <w:t>AAOIFI a suivi presque les mêmes principes que ceux du Bale, en termes de</w:t>
      </w:r>
      <w:r w:rsidR="00774B74">
        <w:rPr>
          <w:rFonts w:asciiTheme="majorBidi" w:hAnsiTheme="majorBidi" w:cstheme="majorBidi"/>
          <w:sz w:val="24"/>
          <w:szCs w:val="24"/>
        </w:rPr>
        <w:t> :</w:t>
      </w:r>
    </w:p>
    <w:p w14:paraId="425D541C" w14:textId="77777777" w:rsidR="00F7566A" w:rsidRPr="00F7566A" w:rsidRDefault="00916A86" w:rsidP="00774B74">
      <w:pPr>
        <w:pStyle w:val="Paragraphedeliste"/>
        <w:tabs>
          <w:tab w:val="left" w:pos="851"/>
        </w:tabs>
        <w:spacing w:after="120" w:line="300" w:lineRule="auto"/>
        <w:ind w:left="879" w:hanging="170"/>
        <w:contextualSpacing w:val="0"/>
        <w:rPr>
          <w:rFonts w:asciiTheme="majorBidi" w:hAnsiTheme="majorBidi" w:cstheme="majorBidi"/>
          <w:sz w:val="24"/>
          <w:szCs w:val="24"/>
        </w:rPr>
      </w:pPr>
      <w:r w:rsidRPr="00F7566A">
        <w:rPr>
          <w:rFonts w:asciiTheme="majorBidi" w:hAnsiTheme="majorBidi" w:cstheme="majorBidi"/>
          <w:sz w:val="24"/>
          <w:szCs w:val="24"/>
        </w:rPr>
        <w:t>- Subdivision du capital des banques islamiques en deux tranches (noyau de fonds propres et</w:t>
      </w:r>
      <w:r w:rsidR="00F7566A">
        <w:rPr>
          <w:rFonts w:asciiTheme="majorBidi" w:hAnsiTheme="majorBidi" w:cstheme="majorBidi"/>
          <w:sz w:val="24"/>
          <w:szCs w:val="24"/>
        </w:rPr>
        <w:t xml:space="preserve"> fonds propres complémentaires) ;</w:t>
      </w:r>
      <w:r w:rsidRPr="00F7566A">
        <w:rPr>
          <w:rFonts w:asciiTheme="majorBidi" w:hAnsiTheme="majorBidi" w:cstheme="majorBidi"/>
          <w:sz w:val="24"/>
          <w:szCs w:val="24"/>
        </w:rPr>
        <w:t xml:space="preserve"> </w:t>
      </w:r>
    </w:p>
    <w:p w14:paraId="117088BF" w14:textId="77777777" w:rsidR="00F7566A" w:rsidRPr="00F7566A" w:rsidRDefault="00916A86" w:rsidP="00774B74">
      <w:pPr>
        <w:pStyle w:val="Paragraphedeliste"/>
        <w:tabs>
          <w:tab w:val="left" w:pos="0"/>
          <w:tab w:val="left" w:pos="851"/>
        </w:tabs>
        <w:spacing w:after="120" w:line="300" w:lineRule="auto"/>
        <w:ind w:left="879" w:hanging="170"/>
        <w:contextualSpacing w:val="0"/>
        <w:rPr>
          <w:rFonts w:asciiTheme="majorBidi" w:hAnsiTheme="majorBidi" w:cstheme="majorBidi"/>
          <w:sz w:val="24"/>
          <w:szCs w:val="24"/>
        </w:rPr>
      </w:pPr>
      <w:r w:rsidRPr="00F7566A">
        <w:rPr>
          <w:rFonts w:asciiTheme="majorBidi" w:hAnsiTheme="majorBidi" w:cstheme="majorBidi"/>
          <w:sz w:val="24"/>
          <w:szCs w:val="24"/>
        </w:rPr>
        <w:t xml:space="preserve">- Pondération des actifs en fonction des poids de </w:t>
      </w:r>
      <w:r w:rsidR="00F7566A">
        <w:rPr>
          <w:rFonts w:asciiTheme="majorBidi" w:hAnsiTheme="majorBidi" w:cstheme="majorBidi"/>
          <w:sz w:val="24"/>
          <w:szCs w:val="24"/>
        </w:rPr>
        <w:t>leurs risques (Crédit, Marché) ;</w:t>
      </w:r>
    </w:p>
    <w:p w14:paraId="253AC14F" w14:textId="77777777" w:rsidR="00916A86" w:rsidRPr="00F7566A" w:rsidRDefault="00916A86" w:rsidP="00774B74">
      <w:pPr>
        <w:pStyle w:val="Paragraphedeliste"/>
        <w:tabs>
          <w:tab w:val="left" w:pos="0"/>
          <w:tab w:val="left" w:pos="851"/>
        </w:tabs>
        <w:spacing w:after="120" w:line="300" w:lineRule="auto"/>
        <w:ind w:left="879" w:hanging="170"/>
        <w:contextualSpacing w:val="0"/>
        <w:rPr>
          <w:rFonts w:asciiTheme="majorBidi" w:hAnsiTheme="majorBidi" w:cstheme="majorBidi"/>
          <w:sz w:val="24"/>
          <w:szCs w:val="24"/>
        </w:rPr>
      </w:pPr>
      <w:r w:rsidRPr="00F7566A">
        <w:rPr>
          <w:rFonts w:asciiTheme="majorBidi" w:hAnsiTheme="majorBidi" w:cstheme="majorBidi"/>
          <w:sz w:val="24"/>
          <w:szCs w:val="24"/>
        </w:rPr>
        <w:t>- L’établissement d'un ratio d’exigences minimales de fonds propre</w:t>
      </w:r>
      <w:r w:rsidR="00F7566A">
        <w:rPr>
          <w:rFonts w:asciiTheme="majorBidi" w:hAnsiTheme="majorBidi" w:cstheme="majorBidi"/>
          <w:sz w:val="24"/>
          <w:szCs w:val="24"/>
        </w:rPr>
        <w:t>.</w:t>
      </w:r>
    </w:p>
    <w:p w14:paraId="5A16B6D5" w14:textId="77777777" w:rsidR="00F7566A" w:rsidRPr="000B7F2A" w:rsidRDefault="00916A86" w:rsidP="00774B74">
      <w:pPr>
        <w:pStyle w:val="Paragraphedeliste"/>
        <w:tabs>
          <w:tab w:val="left" w:pos="0"/>
        </w:tabs>
        <w:spacing w:before="120" w:line="300" w:lineRule="auto"/>
        <w:ind w:left="0" w:firstLine="709"/>
        <w:contextualSpacing w:val="0"/>
        <w:rPr>
          <w:rFonts w:asciiTheme="majorBidi" w:hAnsiTheme="majorBidi" w:cstheme="majorBidi"/>
          <w:sz w:val="24"/>
          <w:szCs w:val="24"/>
        </w:rPr>
      </w:pPr>
      <w:r w:rsidRPr="000B7F2A">
        <w:rPr>
          <w:rFonts w:asciiTheme="majorBidi" w:hAnsiTheme="majorBidi" w:cstheme="majorBidi"/>
          <w:sz w:val="24"/>
          <w:szCs w:val="24"/>
        </w:rPr>
        <w:t xml:space="preserve">Toutefois, la norme de l’AAOIFI a pris en compte les particularités des banques islamiques en termes de : </w:t>
      </w:r>
      <w:r w:rsidR="00F7566A" w:rsidRPr="000B7F2A">
        <w:rPr>
          <w:rFonts w:asciiTheme="majorBidi" w:hAnsiTheme="majorBidi" w:cstheme="majorBidi"/>
          <w:sz w:val="24"/>
          <w:szCs w:val="24"/>
        </w:rPr>
        <w:t>(</w:t>
      </w:r>
      <w:r w:rsidR="000B7F2A" w:rsidRPr="000B7F2A">
        <w:rPr>
          <w:rFonts w:asciiTheme="majorBidi" w:hAnsiTheme="majorBidi" w:cstheme="majorBidi"/>
          <w:smallCaps/>
          <w:sz w:val="24"/>
          <w:szCs w:val="24"/>
        </w:rPr>
        <w:t xml:space="preserve">Muljawan, Dar </w:t>
      </w:r>
      <w:r w:rsidR="000B7F2A" w:rsidRPr="000B7F2A">
        <w:rPr>
          <w:rFonts w:asciiTheme="majorBidi" w:hAnsiTheme="majorBidi" w:cstheme="majorBidi"/>
          <w:sz w:val="24"/>
          <w:szCs w:val="24"/>
        </w:rPr>
        <w:t>et</w:t>
      </w:r>
      <w:r w:rsidR="000B7F2A" w:rsidRPr="000B7F2A">
        <w:rPr>
          <w:rFonts w:asciiTheme="majorBidi" w:hAnsiTheme="majorBidi" w:cstheme="majorBidi"/>
          <w:smallCaps/>
          <w:sz w:val="24"/>
          <w:szCs w:val="24"/>
        </w:rPr>
        <w:t xml:space="preserve"> Hall</w:t>
      </w:r>
      <w:r w:rsidR="00F7566A" w:rsidRPr="000B7F2A">
        <w:rPr>
          <w:rFonts w:asciiTheme="majorBidi" w:hAnsiTheme="majorBidi" w:cstheme="majorBidi"/>
          <w:sz w:val="24"/>
          <w:szCs w:val="24"/>
        </w:rPr>
        <w:t>, 2007)</w:t>
      </w:r>
      <w:r w:rsidR="00F7566A" w:rsidRPr="000B7F2A">
        <w:rPr>
          <w:rStyle w:val="Appelnotedebasdep"/>
          <w:rFonts w:asciiTheme="majorBidi" w:hAnsiTheme="majorBidi" w:cstheme="majorBidi"/>
          <w:sz w:val="24"/>
          <w:szCs w:val="24"/>
        </w:rPr>
        <w:footnoteReference w:id="287"/>
      </w:r>
    </w:p>
    <w:p w14:paraId="3470FFFE" w14:textId="48B2900A" w:rsidR="00F7566A" w:rsidRPr="00EC5434" w:rsidRDefault="00EC5434" w:rsidP="00774B74">
      <w:pPr>
        <w:pStyle w:val="Paragraphedeliste"/>
        <w:tabs>
          <w:tab w:val="left" w:pos="709"/>
        </w:tabs>
        <w:spacing w:after="120" w:line="300" w:lineRule="auto"/>
        <w:ind w:left="879" w:hanging="170"/>
        <w:contextualSpacing w:val="0"/>
        <w:rPr>
          <w:rFonts w:asciiTheme="majorBidi" w:hAnsiTheme="majorBidi" w:cstheme="majorBidi"/>
          <w:sz w:val="24"/>
          <w:szCs w:val="24"/>
        </w:rPr>
      </w:pPr>
      <w:r>
        <w:t xml:space="preserve">- </w:t>
      </w:r>
      <w:r w:rsidR="00916A86" w:rsidRPr="00EC5434">
        <w:rPr>
          <w:rFonts w:asciiTheme="majorBidi" w:hAnsiTheme="majorBidi" w:cstheme="majorBidi"/>
          <w:sz w:val="24"/>
          <w:szCs w:val="24"/>
        </w:rPr>
        <w:t>Séparation des actifs financés par les fonds propres de la banque et les actifs financés par les comptes d'investissement</w:t>
      </w:r>
      <w:r w:rsidR="00774B74">
        <w:rPr>
          <w:rFonts w:asciiTheme="majorBidi" w:hAnsiTheme="majorBidi" w:cstheme="majorBidi"/>
          <w:sz w:val="24"/>
          <w:szCs w:val="24"/>
        </w:rPr>
        <w:t> ;</w:t>
      </w:r>
    </w:p>
    <w:p w14:paraId="6E197B5A" w14:textId="112146C5" w:rsidR="00916A86" w:rsidRPr="00236A71" w:rsidRDefault="00EC5434" w:rsidP="00774B74">
      <w:pPr>
        <w:tabs>
          <w:tab w:val="left" w:pos="709"/>
        </w:tabs>
        <w:spacing w:after="120" w:line="300" w:lineRule="auto"/>
        <w:ind w:left="879" w:hanging="170"/>
        <w:rPr>
          <w:rFonts w:ascii="Times New Roman" w:hAnsi="Times New Roman" w:cs="Times New Roman"/>
          <w:sz w:val="24"/>
          <w:szCs w:val="24"/>
        </w:rPr>
      </w:pPr>
      <w:r w:rsidRPr="00EC5434">
        <w:rPr>
          <w:rFonts w:asciiTheme="majorBidi" w:hAnsiTheme="majorBidi" w:cstheme="majorBidi"/>
          <w:sz w:val="24"/>
          <w:szCs w:val="24"/>
        </w:rPr>
        <w:t xml:space="preserve">- Instauration de deux types de </w:t>
      </w:r>
      <w:r w:rsidR="006F6800" w:rsidRPr="00EC5434">
        <w:rPr>
          <w:rFonts w:asciiTheme="majorBidi" w:hAnsiTheme="majorBidi" w:cstheme="majorBidi"/>
          <w:sz w:val="24"/>
          <w:szCs w:val="24"/>
        </w:rPr>
        <w:t>réserves</w:t>
      </w:r>
      <w:r w:rsidRPr="00EC5434">
        <w:rPr>
          <w:rFonts w:asciiTheme="majorBidi" w:hAnsiTheme="majorBidi" w:cstheme="majorBidi"/>
          <w:sz w:val="24"/>
          <w:szCs w:val="24"/>
        </w:rPr>
        <w:t xml:space="preserve"> : </w:t>
      </w:r>
      <w:r w:rsidRPr="00236A71">
        <w:rPr>
          <w:rFonts w:ascii="Times New Roman" w:hAnsi="Times New Roman" w:cs="Times New Roman"/>
          <w:sz w:val="24"/>
          <w:szCs w:val="24"/>
        </w:rPr>
        <w:t>Profit Equalization Reserve (PER) et Investment Risk Reserve (IRP).</w:t>
      </w:r>
    </w:p>
    <w:p w14:paraId="629E21DB" w14:textId="054CA1AF" w:rsidR="00F7566A" w:rsidRPr="00EC5434" w:rsidRDefault="00EC5434" w:rsidP="00774B74">
      <w:pPr>
        <w:pStyle w:val="Paragraphedeliste"/>
        <w:tabs>
          <w:tab w:val="left" w:pos="709"/>
        </w:tabs>
        <w:spacing w:after="120" w:line="300" w:lineRule="auto"/>
        <w:ind w:left="879" w:hanging="170"/>
        <w:contextualSpacing w:val="0"/>
        <w:rPr>
          <w:rFonts w:asciiTheme="majorBidi" w:hAnsiTheme="majorBidi" w:cstheme="majorBidi"/>
          <w:sz w:val="24"/>
          <w:szCs w:val="24"/>
        </w:rPr>
      </w:pPr>
      <w:r>
        <w:rPr>
          <w:rFonts w:asciiTheme="majorBidi" w:hAnsiTheme="majorBidi" w:cstheme="majorBidi"/>
          <w:sz w:val="24"/>
          <w:szCs w:val="24"/>
        </w:rPr>
        <w:t>-</w:t>
      </w:r>
      <w:r w:rsidR="00F7566A" w:rsidRPr="00EC5434">
        <w:rPr>
          <w:rFonts w:asciiTheme="majorBidi" w:hAnsiTheme="majorBidi" w:cstheme="majorBidi"/>
          <w:sz w:val="24"/>
          <w:szCs w:val="24"/>
        </w:rPr>
        <w:t xml:space="preserve"> </w:t>
      </w:r>
      <w:r w:rsidR="00916A86" w:rsidRPr="00EC5434">
        <w:rPr>
          <w:rFonts w:asciiTheme="majorBidi" w:hAnsiTheme="majorBidi" w:cstheme="majorBidi"/>
          <w:sz w:val="24"/>
          <w:szCs w:val="24"/>
        </w:rPr>
        <w:t xml:space="preserve">Les actifs financés par le passif et les fonds propres doivent être inclus dans le dénominateur du ratio </w:t>
      </w:r>
      <w:r>
        <w:rPr>
          <w:rFonts w:asciiTheme="majorBidi" w:hAnsiTheme="majorBidi" w:cstheme="majorBidi"/>
          <w:sz w:val="24"/>
          <w:szCs w:val="24"/>
        </w:rPr>
        <w:t xml:space="preserve">d’adéquation des fonds propres </w:t>
      </w:r>
      <w:r w:rsidR="00916A86" w:rsidRPr="00EC5434">
        <w:rPr>
          <w:rFonts w:asciiTheme="majorBidi" w:hAnsiTheme="majorBidi" w:cstheme="majorBidi"/>
          <w:sz w:val="24"/>
          <w:szCs w:val="24"/>
        </w:rPr>
        <w:t>pour couvrir les pertes éventuelles découlant d'une faute ou d'une négligence dans les activités d'investissement de la part de la banque.</w:t>
      </w:r>
    </w:p>
    <w:p w14:paraId="6785B9A1" w14:textId="77777777" w:rsidR="00916A86" w:rsidRPr="00EC5434" w:rsidRDefault="00EC5434" w:rsidP="00774B74">
      <w:pPr>
        <w:pStyle w:val="Paragraphedeliste"/>
        <w:tabs>
          <w:tab w:val="left" w:pos="709"/>
        </w:tabs>
        <w:spacing w:after="120" w:line="300" w:lineRule="auto"/>
        <w:ind w:left="879" w:hanging="170"/>
        <w:contextualSpacing w:val="0"/>
        <w:rPr>
          <w:rFonts w:asciiTheme="majorBidi" w:hAnsiTheme="majorBidi" w:cstheme="majorBidi"/>
          <w:sz w:val="24"/>
          <w:szCs w:val="24"/>
        </w:rPr>
      </w:pPr>
      <w:r>
        <w:rPr>
          <w:rFonts w:asciiTheme="majorBidi" w:hAnsiTheme="majorBidi" w:cstheme="majorBidi"/>
          <w:sz w:val="24"/>
          <w:szCs w:val="24"/>
        </w:rPr>
        <w:t>-</w:t>
      </w:r>
      <w:r w:rsidR="00916A86" w:rsidRPr="00EC5434">
        <w:rPr>
          <w:rFonts w:asciiTheme="majorBidi" w:hAnsiTheme="majorBidi" w:cstheme="majorBidi"/>
          <w:sz w:val="24"/>
          <w:szCs w:val="24"/>
        </w:rPr>
        <w:t xml:space="preserve"> L'exclusion de 50% des actifs pondérés financés par les comptes d'investissement du dénominateur du ratio d'adéquation des fonds propres, ce qui est une étape importante dans le traitement des comptes d'investissement et de connaître leur vie privée comme une partie d'ours du risque éta</w:t>
      </w:r>
      <w:r>
        <w:rPr>
          <w:rFonts w:asciiTheme="majorBidi" w:hAnsiTheme="majorBidi" w:cstheme="majorBidi"/>
          <w:sz w:val="24"/>
          <w:szCs w:val="24"/>
        </w:rPr>
        <w:t>nt la participation au résultat.</w:t>
      </w:r>
    </w:p>
    <w:p w14:paraId="102F44FC" w14:textId="463DA37C" w:rsidR="00173C6C" w:rsidRDefault="00916A86" w:rsidP="00774B74">
      <w:pPr>
        <w:pStyle w:val="Paragraphedeliste"/>
        <w:tabs>
          <w:tab w:val="left" w:pos="0"/>
        </w:tabs>
        <w:spacing w:before="120" w:line="300" w:lineRule="auto"/>
        <w:ind w:left="0" w:firstLine="709"/>
        <w:contextualSpacing w:val="0"/>
        <w:rPr>
          <w:rFonts w:asciiTheme="majorBidi" w:hAnsiTheme="majorBidi" w:cstheme="majorBidi"/>
          <w:sz w:val="24"/>
          <w:szCs w:val="24"/>
        </w:rPr>
      </w:pPr>
      <w:r w:rsidRPr="00173C6C">
        <w:rPr>
          <w:rFonts w:asciiTheme="majorBidi" w:hAnsiTheme="majorBidi" w:cstheme="majorBidi"/>
          <w:sz w:val="24"/>
          <w:szCs w:val="24"/>
        </w:rPr>
        <w:t>Ci-après la formule du ratio d’adéquation des fonds propres selon AAOIFI</w:t>
      </w:r>
      <w:r w:rsidR="00774B74">
        <w:rPr>
          <w:rFonts w:asciiTheme="majorBidi" w:hAnsiTheme="majorBidi" w:cstheme="majorBidi"/>
          <w:sz w:val="24"/>
          <w:szCs w:val="24"/>
        </w:rPr>
        <w:t> :</w:t>
      </w:r>
    </w:p>
    <w:p w14:paraId="007635D1" w14:textId="77777777" w:rsidR="006E21E5" w:rsidRDefault="006E21E5" w:rsidP="00774B74">
      <w:pPr>
        <w:pStyle w:val="Paragraphedeliste"/>
        <w:tabs>
          <w:tab w:val="left" w:pos="0"/>
        </w:tabs>
        <w:spacing w:before="120" w:line="300" w:lineRule="auto"/>
        <w:ind w:left="0" w:firstLine="709"/>
        <w:contextualSpacing w:val="0"/>
        <w:jc w:val="center"/>
        <w:rPr>
          <w:rFonts w:asciiTheme="majorBidi" w:hAnsiTheme="majorBidi" w:cstheme="majorBidi"/>
          <w:sz w:val="24"/>
          <w:szCs w:val="24"/>
        </w:rPr>
      </w:pPr>
      <w:r w:rsidRPr="006E21E5">
        <w:rPr>
          <w:rFonts w:asciiTheme="majorBidi" w:hAnsiTheme="majorBidi" w:cstheme="majorBidi"/>
          <w:b/>
          <w:bCs/>
          <w:sz w:val="24"/>
          <w:szCs w:val="24"/>
        </w:rPr>
        <w:t>AFP</w:t>
      </w:r>
      <w:r>
        <w:rPr>
          <w:rFonts w:asciiTheme="majorBidi" w:hAnsiTheme="majorBidi" w:cstheme="majorBidi"/>
          <w:sz w:val="24"/>
          <w:szCs w:val="24"/>
        </w:rPr>
        <w:t xml:space="preserve"> =  </w:t>
      </w:r>
      <m:oMath>
        <m:f>
          <m:fPr>
            <m:ctrlPr>
              <w:rPr>
                <w:rFonts w:ascii="Cambria Math" w:hAnsiTheme="majorBidi" w:cstheme="majorBidi"/>
                <w:b/>
                <w:bCs/>
                <w:iCs/>
                <w:sz w:val="32"/>
                <w:szCs w:val="32"/>
              </w:rPr>
            </m:ctrlPr>
          </m:fPr>
          <m:num>
            <m:r>
              <m:rPr>
                <m:sty m:val="b"/>
              </m:rPr>
              <w:rPr>
                <w:rFonts w:ascii="Cambria Math" w:hAnsi="Cambria Math" w:cstheme="majorBidi"/>
                <w:sz w:val="32"/>
                <w:szCs w:val="32"/>
              </w:rPr>
              <m:t>CP</m:t>
            </m:r>
          </m:num>
          <m:den>
            <m:r>
              <m:rPr>
                <m:sty m:val="b"/>
              </m:rPr>
              <w:rPr>
                <w:rFonts w:ascii="Cambria Math" w:hAnsi="Cambria Math" w:cstheme="majorBidi"/>
                <w:sz w:val="32"/>
                <w:szCs w:val="32"/>
              </w:rPr>
              <m:t>APFP</m:t>
            </m:r>
            <m:r>
              <m:rPr>
                <m:sty m:val="b"/>
              </m:rPr>
              <w:rPr>
                <w:rFonts w:ascii="Cambria Math" w:hAnsiTheme="majorBidi" w:cstheme="majorBidi"/>
                <w:sz w:val="32"/>
                <w:szCs w:val="32"/>
              </w:rPr>
              <m:t>+</m:t>
            </m:r>
            <m:r>
              <m:rPr>
                <m:sty m:val="b"/>
              </m:rPr>
              <w:rPr>
                <w:rFonts w:ascii="Cambria Math" w:hAnsi="Cambria Math" w:cstheme="majorBidi"/>
                <w:sz w:val="32"/>
                <w:szCs w:val="32"/>
              </w:rPr>
              <m:t>50</m:t>
            </m:r>
            <m:r>
              <m:rPr>
                <m:sty m:val="b"/>
              </m:rPr>
              <w:rPr>
                <w:rFonts w:ascii="Cambria Math" w:hAnsiTheme="majorBidi" w:cstheme="majorBidi"/>
                <w:sz w:val="32"/>
                <w:szCs w:val="32"/>
              </w:rPr>
              <m:t>%</m:t>
            </m:r>
            <m:r>
              <m:rPr>
                <m:sty m:val="b"/>
              </m:rPr>
              <w:rPr>
                <w:rFonts w:asciiTheme="majorBidi" w:hAnsi="Cambria Math" w:cstheme="majorBidi"/>
                <w:sz w:val="32"/>
                <w:szCs w:val="32"/>
              </w:rPr>
              <m:t>*</m:t>
            </m:r>
            <m:r>
              <m:rPr>
                <m:sty m:val="b"/>
              </m:rPr>
              <w:rPr>
                <w:rFonts w:ascii="Cambria Math" w:hAnsi="Cambria Math" w:cstheme="majorBidi"/>
                <w:sz w:val="32"/>
                <w:szCs w:val="32"/>
              </w:rPr>
              <m:t>APCI</m:t>
            </m:r>
          </m:den>
        </m:f>
      </m:oMath>
    </w:p>
    <w:p w14:paraId="51FB443A" w14:textId="77777777" w:rsidR="006E21E5" w:rsidRDefault="006E21E5" w:rsidP="007B64B9">
      <w:pPr>
        <w:pStyle w:val="Paragraphedeliste"/>
        <w:tabs>
          <w:tab w:val="left" w:pos="0"/>
        </w:tabs>
        <w:spacing w:before="100" w:beforeAutospacing="1" w:line="300" w:lineRule="auto"/>
        <w:ind w:left="0" w:firstLine="709"/>
        <w:contextualSpacing w:val="0"/>
        <w:rPr>
          <w:rFonts w:asciiTheme="majorBidi" w:hAnsiTheme="majorBidi" w:cstheme="majorBidi"/>
          <w:sz w:val="24"/>
          <w:szCs w:val="24"/>
        </w:rPr>
      </w:pPr>
      <w:r w:rsidRPr="006E21E5">
        <w:rPr>
          <w:rFonts w:asciiTheme="majorBidi" w:hAnsiTheme="majorBidi" w:cstheme="majorBidi"/>
          <w:b/>
          <w:bCs/>
          <w:sz w:val="24"/>
          <w:szCs w:val="24"/>
        </w:rPr>
        <w:t>Avec</w:t>
      </w:r>
      <w:r>
        <w:rPr>
          <w:rFonts w:asciiTheme="majorBidi" w:hAnsiTheme="majorBidi" w:cstheme="majorBidi"/>
          <w:sz w:val="24"/>
          <w:szCs w:val="24"/>
        </w:rPr>
        <w:t xml:space="preserve"> : </w:t>
      </w:r>
    </w:p>
    <w:p w14:paraId="2F7552D8" w14:textId="01600E4A" w:rsidR="006E21E5" w:rsidRPr="006E21E5" w:rsidRDefault="00916A86" w:rsidP="007B64B9">
      <w:pPr>
        <w:pStyle w:val="Paragraphedeliste"/>
        <w:tabs>
          <w:tab w:val="left" w:pos="0"/>
        </w:tabs>
        <w:spacing w:line="300" w:lineRule="auto"/>
        <w:ind w:left="227" w:firstLine="709"/>
        <w:contextualSpacing w:val="0"/>
        <w:rPr>
          <w:rFonts w:asciiTheme="majorBidi" w:hAnsiTheme="majorBidi" w:cstheme="majorBidi"/>
          <w:sz w:val="24"/>
          <w:szCs w:val="24"/>
        </w:rPr>
      </w:pPr>
      <w:r w:rsidRPr="006E21E5">
        <w:rPr>
          <w:rFonts w:asciiTheme="majorBidi" w:hAnsiTheme="majorBidi" w:cstheme="majorBidi"/>
          <w:b/>
          <w:bCs/>
          <w:sz w:val="24"/>
          <w:szCs w:val="24"/>
        </w:rPr>
        <w:t>CP</w:t>
      </w:r>
      <w:r w:rsidR="007B64B9">
        <w:rPr>
          <w:rFonts w:asciiTheme="majorBidi" w:hAnsiTheme="majorBidi" w:cstheme="majorBidi"/>
          <w:b/>
          <w:bCs/>
          <w:sz w:val="24"/>
          <w:szCs w:val="24"/>
        </w:rPr>
        <w:t> :</w:t>
      </w:r>
      <w:r w:rsidR="006E21E5">
        <w:rPr>
          <w:rFonts w:asciiTheme="majorBidi" w:hAnsiTheme="majorBidi" w:cstheme="majorBidi"/>
          <w:sz w:val="24"/>
          <w:szCs w:val="24"/>
        </w:rPr>
        <w:t xml:space="preserve"> Capitaux propres de la banque.</w:t>
      </w:r>
    </w:p>
    <w:p w14:paraId="42F7EB61" w14:textId="5A6CBFC6" w:rsidR="006E21E5" w:rsidRPr="006E21E5" w:rsidRDefault="00916A86" w:rsidP="007B64B9">
      <w:pPr>
        <w:pStyle w:val="Paragraphedeliste"/>
        <w:tabs>
          <w:tab w:val="left" w:pos="0"/>
        </w:tabs>
        <w:spacing w:line="300" w:lineRule="auto"/>
        <w:ind w:left="227" w:firstLine="709"/>
        <w:contextualSpacing w:val="0"/>
        <w:rPr>
          <w:rFonts w:asciiTheme="majorBidi" w:hAnsiTheme="majorBidi" w:cstheme="majorBidi"/>
          <w:sz w:val="24"/>
          <w:szCs w:val="24"/>
        </w:rPr>
      </w:pPr>
      <w:r w:rsidRPr="006E21E5">
        <w:rPr>
          <w:rFonts w:asciiTheme="majorBidi" w:hAnsiTheme="majorBidi" w:cstheme="majorBidi"/>
          <w:b/>
          <w:bCs/>
          <w:sz w:val="24"/>
          <w:szCs w:val="24"/>
        </w:rPr>
        <w:t>APFP</w:t>
      </w:r>
      <w:r w:rsidR="007B64B9">
        <w:rPr>
          <w:rFonts w:asciiTheme="majorBidi" w:hAnsiTheme="majorBidi" w:cstheme="majorBidi"/>
          <w:b/>
          <w:bCs/>
          <w:sz w:val="24"/>
          <w:szCs w:val="24"/>
        </w:rPr>
        <w:t> :</w:t>
      </w:r>
      <w:r w:rsidRPr="006E21E5">
        <w:rPr>
          <w:rFonts w:asciiTheme="majorBidi" w:hAnsiTheme="majorBidi" w:cstheme="majorBidi"/>
          <w:sz w:val="24"/>
          <w:szCs w:val="24"/>
        </w:rPr>
        <w:t xml:space="preserve"> Les </w:t>
      </w:r>
      <w:r w:rsidR="006E21E5">
        <w:rPr>
          <w:rFonts w:asciiTheme="majorBidi" w:hAnsiTheme="majorBidi" w:cstheme="majorBidi"/>
          <w:sz w:val="24"/>
          <w:szCs w:val="24"/>
        </w:rPr>
        <w:t>a</w:t>
      </w:r>
      <w:r w:rsidRPr="006E21E5">
        <w:rPr>
          <w:rFonts w:asciiTheme="majorBidi" w:hAnsiTheme="majorBidi" w:cstheme="majorBidi"/>
          <w:sz w:val="24"/>
          <w:szCs w:val="24"/>
        </w:rPr>
        <w:t>ctifs pondérés financés par des fonds pro</w:t>
      </w:r>
      <w:r w:rsidR="006E21E5">
        <w:rPr>
          <w:rFonts w:asciiTheme="majorBidi" w:hAnsiTheme="majorBidi" w:cstheme="majorBidi"/>
          <w:sz w:val="24"/>
          <w:szCs w:val="24"/>
        </w:rPr>
        <w:t>pres et du passif de la banque.</w:t>
      </w:r>
    </w:p>
    <w:p w14:paraId="3C0DC9F2" w14:textId="669DE617" w:rsidR="00916A86" w:rsidRPr="006E21E5" w:rsidRDefault="00916A86" w:rsidP="007B64B9">
      <w:pPr>
        <w:pStyle w:val="Paragraphedeliste"/>
        <w:tabs>
          <w:tab w:val="left" w:pos="0"/>
        </w:tabs>
        <w:spacing w:line="300" w:lineRule="auto"/>
        <w:ind w:left="227" w:firstLine="709"/>
        <w:contextualSpacing w:val="0"/>
        <w:rPr>
          <w:rFonts w:asciiTheme="majorBidi" w:hAnsiTheme="majorBidi" w:cstheme="majorBidi"/>
          <w:spacing w:val="-6"/>
          <w:sz w:val="24"/>
          <w:szCs w:val="24"/>
        </w:rPr>
      </w:pPr>
      <w:r w:rsidRPr="006E21E5">
        <w:rPr>
          <w:rFonts w:asciiTheme="majorBidi" w:hAnsiTheme="majorBidi" w:cstheme="majorBidi"/>
          <w:b/>
          <w:bCs/>
          <w:sz w:val="24"/>
          <w:szCs w:val="24"/>
        </w:rPr>
        <w:t>APCI</w:t>
      </w:r>
      <w:r w:rsidR="007B64B9">
        <w:rPr>
          <w:rFonts w:asciiTheme="majorBidi" w:hAnsiTheme="majorBidi" w:cstheme="majorBidi"/>
          <w:b/>
          <w:bCs/>
          <w:sz w:val="24"/>
          <w:szCs w:val="24"/>
        </w:rPr>
        <w:t> </w:t>
      </w:r>
      <w:r w:rsidR="007B64B9">
        <w:rPr>
          <w:rFonts w:asciiTheme="majorBidi" w:hAnsiTheme="majorBidi" w:cstheme="majorBidi"/>
          <w:sz w:val="24"/>
          <w:szCs w:val="24"/>
        </w:rPr>
        <w:t>:</w:t>
      </w:r>
      <w:r w:rsidRPr="006E21E5">
        <w:rPr>
          <w:rFonts w:asciiTheme="majorBidi" w:hAnsiTheme="majorBidi" w:cstheme="majorBidi"/>
          <w:sz w:val="24"/>
          <w:szCs w:val="24"/>
        </w:rPr>
        <w:t xml:space="preserve"> Les </w:t>
      </w:r>
      <w:r w:rsidR="006E21E5">
        <w:rPr>
          <w:rFonts w:asciiTheme="majorBidi" w:hAnsiTheme="majorBidi" w:cstheme="majorBidi"/>
          <w:sz w:val="24"/>
          <w:szCs w:val="24"/>
        </w:rPr>
        <w:t>a</w:t>
      </w:r>
      <w:r w:rsidRPr="006E21E5">
        <w:rPr>
          <w:rFonts w:asciiTheme="majorBidi" w:hAnsiTheme="majorBidi" w:cstheme="majorBidi"/>
          <w:sz w:val="24"/>
          <w:szCs w:val="24"/>
        </w:rPr>
        <w:t>ctifs pondérés financés par des comptes d'investissement.</w:t>
      </w:r>
    </w:p>
    <w:p w14:paraId="78091D5B" w14:textId="1B1828B3" w:rsidR="002760B2" w:rsidRPr="002B005F" w:rsidRDefault="006F6800" w:rsidP="00A83413">
      <w:pPr>
        <w:pStyle w:val="Paragraphedeliste"/>
        <w:keepNext/>
        <w:keepLines/>
        <w:tabs>
          <w:tab w:val="left" w:pos="0"/>
        </w:tabs>
        <w:spacing w:before="240" w:line="300" w:lineRule="auto"/>
        <w:ind w:left="0" w:firstLine="709"/>
        <w:contextualSpacing w:val="0"/>
        <w:rPr>
          <w:rFonts w:ascii="Times New Roman" w:hAnsi="Times New Roman" w:cs="Times New Roman"/>
          <w:spacing w:val="-2"/>
          <w:sz w:val="24"/>
          <w:szCs w:val="24"/>
        </w:rPr>
      </w:pPr>
      <w:r>
        <w:rPr>
          <w:rFonts w:ascii="Times New Roman" w:hAnsi="Times New Roman" w:cs="Times New Roman"/>
          <w:spacing w:val="-2"/>
          <w:sz w:val="24"/>
          <w:szCs w:val="24"/>
        </w:rPr>
        <w:lastRenderedPageBreak/>
        <w:t>P</w:t>
      </w:r>
      <w:r w:rsidRPr="002B005F">
        <w:rPr>
          <w:rFonts w:ascii="Times New Roman" w:hAnsi="Times New Roman" w:cs="Times New Roman"/>
          <w:spacing w:val="-2"/>
          <w:sz w:val="24"/>
          <w:szCs w:val="24"/>
        </w:rPr>
        <w:t>lusieurs</w:t>
      </w:r>
      <w:r w:rsidR="002760B2" w:rsidRPr="002B005F">
        <w:rPr>
          <w:rFonts w:ascii="Times New Roman" w:hAnsi="Times New Roman" w:cs="Times New Roman"/>
          <w:spacing w:val="-2"/>
          <w:sz w:val="24"/>
          <w:szCs w:val="24"/>
        </w:rPr>
        <w:t xml:space="preserve"> pays comme la Turquie, l’Indonésie, le Pakistan et le Soudan exigent que les banques renforcent leur capital ou bien fusionnent pour garantir une plus grande solidité financière. Une autre suggestion para</w:t>
      </w:r>
      <w:r w:rsidR="002751BF">
        <w:rPr>
          <w:rFonts w:ascii="Times New Roman" w:hAnsi="Times New Roman" w:cs="Times New Roman"/>
          <w:spacing w:val="-2"/>
          <w:sz w:val="24"/>
          <w:szCs w:val="24"/>
        </w:rPr>
        <w:t>î</w:t>
      </w:r>
      <w:r w:rsidR="002760B2" w:rsidRPr="002B005F">
        <w:rPr>
          <w:rFonts w:ascii="Times New Roman" w:hAnsi="Times New Roman" w:cs="Times New Roman"/>
          <w:spacing w:val="-2"/>
          <w:sz w:val="24"/>
          <w:szCs w:val="24"/>
        </w:rPr>
        <w:t xml:space="preserve">t intéressante à envisager est celle d’adopter des normes de suffisance de capital séparées pour les dépôts à vue et les dépôts d’investissement </w:t>
      </w:r>
      <w:r w:rsidR="003F185F">
        <w:rPr>
          <w:rFonts w:ascii="Times New Roman" w:hAnsi="Times New Roman" w:cs="Times New Roman"/>
          <w:spacing w:val="-2"/>
          <w:sz w:val="24"/>
          <w:szCs w:val="24"/>
        </w:rPr>
        <w:t>pour</w:t>
      </w:r>
      <w:r w:rsidR="002760B2" w:rsidRPr="002B005F">
        <w:rPr>
          <w:rFonts w:ascii="Times New Roman" w:hAnsi="Times New Roman" w:cs="Times New Roman"/>
          <w:spacing w:val="-2"/>
          <w:sz w:val="24"/>
          <w:szCs w:val="24"/>
        </w:rPr>
        <w:t xml:space="preserve"> d’éviter le transfert des risques des dépôts d’investissement aux dépôts à vue. </w:t>
      </w:r>
      <w:r w:rsidR="002751BF" w:rsidRPr="003F185F">
        <w:rPr>
          <w:rFonts w:ascii="Times New Roman" w:hAnsi="Times New Roman" w:cs="Times New Roman"/>
          <w:spacing w:val="-2"/>
          <w:sz w:val="24"/>
          <w:szCs w:val="24"/>
        </w:rPr>
        <w:t>L</w:t>
      </w:r>
      <w:r w:rsidR="002760B2" w:rsidRPr="003F185F">
        <w:rPr>
          <w:rFonts w:ascii="Times New Roman" w:hAnsi="Times New Roman" w:cs="Times New Roman"/>
          <w:spacing w:val="-2"/>
          <w:sz w:val="24"/>
          <w:szCs w:val="24"/>
        </w:rPr>
        <w:t>es titulaires des dépôts à vue ont besoin de plus de protection. Par conséquent, il faut maintenir une grande part de capital et de réserves statutaire</w:t>
      </w:r>
      <w:r w:rsidR="002751BF" w:rsidRPr="003F185F">
        <w:rPr>
          <w:rFonts w:ascii="Times New Roman" w:hAnsi="Times New Roman" w:cs="Times New Roman"/>
          <w:spacing w:val="-2"/>
          <w:sz w:val="24"/>
          <w:szCs w:val="24"/>
        </w:rPr>
        <w:t>s</w:t>
      </w:r>
      <w:r w:rsidR="002760B2" w:rsidRPr="003F185F">
        <w:rPr>
          <w:rFonts w:ascii="Times New Roman" w:hAnsi="Times New Roman" w:cs="Times New Roman"/>
          <w:spacing w:val="-2"/>
          <w:sz w:val="24"/>
          <w:szCs w:val="24"/>
        </w:rPr>
        <w:t xml:space="preserve"> pour cette catégorie.</w:t>
      </w:r>
    </w:p>
    <w:p w14:paraId="10B8211A" w14:textId="77777777" w:rsidR="002760B2" w:rsidRPr="00D7723E" w:rsidRDefault="00E70DD5" w:rsidP="00774B74">
      <w:pPr>
        <w:pStyle w:val="Titre5"/>
        <w:keepNext w:val="0"/>
        <w:keepLines w:val="0"/>
        <w:spacing w:before="120" w:after="120" w:line="300" w:lineRule="auto"/>
        <w:ind w:firstLine="709"/>
        <w:rPr>
          <w:rFonts w:asciiTheme="majorBidi" w:hAnsiTheme="majorBidi"/>
          <w:b/>
          <w:bCs/>
          <w:color w:val="auto"/>
          <w:sz w:val="24"/>
          <w:szCs w:val="24"/>
        </w:rPr>
      </w:pPr>
      <w:bookmarkStart w:id="1129" w:name="_Toc182298819"/>
      <w:r w:rsidRPr="00D7723E">
        <w:rPr>
          <w:rFonts w:asciiTheme="majorBidi" w:hAnsiTheme="majorBidi"/>
          <w:b/>
          <w:bCs/>
          <w:color w:val="auto"/>
          <w:sz w:val="24"/>
          <w:szCs w:val="24"/>
        </w:rPr>
        <w:t xml:space="preserve">3.3.2.2- </w:t>
      </w:r>
      <w:r w:rsidR="002760B2" w:rsidRPr="00D7723E">
        <w:rPr>
          <w:rFonts w:asciiTheme="majorBidi" w:hAnsiTheme="majorBidi"/>
          <w:b/>
          <w:bCs/>
          <w:color w:val="auto"/>
          <w:sz w:val="24"/>
          <w:szCs w:val="24"/>
        </w:rPr>
        <w:t>Alternatives de pondération du risque</w:t>
      </w:r>
      <w:bookmarkEnd w:id="1129"/>
    </w:p>
    <w:p w14:paraId="02DA8B6F" w14:textId="77777777" w:rsidR="002760B2" w:rsidRPr="007A167A" w:rsidRDefault="007A167A" w:rsidP="007A167A">
      <w:pPr>
        <w:pStyle w:val="Paragraphedeliste"/>
        <w:tabs>
          <w:tab w:val="left" w:pos="0"/>
        </w:tabs>
        <w:spacing w:before="120" w:line="300" w:lineRule="auto"/>
        <w:ind w:left="0" w:firstLine="709"/>
        <w:contextualSpacing w:val="0"/>
        <w:rPr>
          <w:rFonts w:asciiTheme="majorBidi" w:hAnsiTheme="majorBidi" w:cstheme="majorBidi"/>
          <w:sz w:val="24"/>
          <w:szCs w:val="24"/>
        </w:rPr>
      </w:pPr>
      <w:r w:rsidRPr="007A167A">
        <w:rPr>
          <w:rFonts w:asciiTheme="majorBidi" w:hAnsiTheme="majorBidi" w:cstheme="majorBidi"/>
          <w:sz w:val="24"/>
          <w:szCs w:val="24"/>
        </w:rPr>
        <w:t>L’accord de Bâle a proposé</w:t>
      </w:r>
      <w:r>
        <w:rPr>
          <w:rFonts w:asciiTheme="majorBidi" w:hAnsiTheme="majorBidi" w:cstheme="majorBidi"/>
          <w:sz w:val="24"/>
          <w:szCs w:val="24"/>
        </w:rPr>
        <w:t xml:space="preserve"> </w:t>
      </w:r>
      <w:r w:rsidRPr="007A167A">
        <w:rPr>
          <w:rFonts w:asciiTheme="majorBidi" w:hAnsiTheme="majorBidi" w:cstheme="majorBidi"/>
          <w:sz w:val="24"/>
          <w:szCs w:val="24"/>
        </w:rPr>
        <w:t xml:space="preserve">trois </w:t>
      </w:r>
      <w:r>
        <w:rPr>
          <w:rFonts w:asciiTheme="majorBidi" w:hAnsiTheme="majorBidi" w:cstheme="majorBidi"/>
          <w:sz w:val="24"/>
          <w:szCs w:val="24"/>
        </w:rPr>
        <w:t xml:space="preserve">approches </w:t>
      </w:r>
      <w:r w:rsidRPr="007A167A">
        <w:rPr>
          <w:rFonts w:asciiTheme="majorBidi" w:hAnsiTheme="majorBidi" w:cstheme="majorBidi"/>
          <w:sz w:val="24"/>
          <w:szCs w:val="24"/>
        </w:rPr>
        <w:t xml:space="preserve">pour déterminer le capital à risque pondéré concernant le risque de crédit. Ces approches sont : </w:t>
      </w:r>
      <w:r w:rsidR="002760B2" w:rsidRPr="007A167A">
        <w:rPr>
          <w:rFonts w:asciiTheme="majorBidi" w:hAnsiTheme="majorBidi" w:cstheme="majorBidi"/>
          <w:sz w:val="24"/>
          <w:szCs w:val="24"/>
        </w:rPr>
        <w:t>l’approche standardisée basée sur l’évaluation externe des crédits</w:t>
      </w:r>
      <w:r w:rsidR="002751BF" w:rsidRPr="007A167A">
        <w:rPr>
          <w:rFonts w:asciiTheme="majorBidi" w:hAnsiTheme="majorBidi" w:cstheme="majorBidi"/>
          <w:sz w:val="24"/>
          <w:szCs w:val="24"/>
        </w:rPr>
        <w:t>,</w:t>
      </w:r>
      <w:r w:rsidR="002760B2" w:rsidRPr="007A167A">
        <w:rPr>
          <w:rFonts w:asciiTheme="majorBidi" w:hAnsiTheme="majorBidi" w:cstheme="majorBidi"/>
          <w:sz w:val="24"/>
          <w:szCs w:val="24"/>
        </w:rPr>
        <w:t xml:space="preserve"> l’approche basée sur le rating interne</w:t>
      </w:r>
      <w:r w:rsidRPr="007A167A">
        <w:rPr>
          <w:rFonts w:asciiTheme="majorBidi" w:hAnsiTheme="majorBidi" w:cstheme="majorBidi"/>
          <w:sz w:val="24"/>
          <w:szCs w:val="24"/>
        </w:rPr>
        <w:t>, et</w:t>
      </w:r>
      <w:r w:rsidR="002760B2" w:rsidRPr="007A167A">
        <w:rPr>
          <w:rFonts w:asciiTheme="majorBidi" w:hAnsiTheme="majorBidi" w:cstheme="majorBidi"/>
          <w:sz w:val="24"/>
          <w:szCs w:val="24"/>
        </w:rPr>
        <w:t xml:space="preserve"> l’approche basée sur les modèles</w:t>
      </w:r>
      <w:r>
        <w:rPr>
          <w:rStyle w:val="Appelnotedebasdep"/>
          <w:rFonts w:asciiTheme="majorBidi" w:hAnsiTheme="majorBidi"/>
          <w:sz w:val="24"/>
          <w:szCs w:val="24"/>
        </w:rPr>
        <w:footnoteReference w:id="288"/>
      </w:r>
      <w:r w:rsidR="002760B2" w:rsidRPr="007A167A">
        <w:rPr>
          <w:rFonts w:asciiTheme="majorBidi" w:hAnsiTheme="majorBidi" w:cstheme="majorBidi"/>
          <w:sz w:val="24"/>
          <w:szCs w:val="24"/>
        </w:rPr>
        <w:t>.</w:t>
      </w:r>
    </w:p>
    <w:p w14:paraId="1523E284" w14:textId="77777777" w:rsidR="002760B2" w:rsidRPr="002B005F" w:rsidRDefault="002760B2" w:rsidP="00E36F9C">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2B005F">
        <w:rPr>
          <w:rFonts w:ascii="Times New Roman" w:hAnsi="Times New Roman" w:cs="Times New Roman"/>
          <w:sz w:val="24"/>
          <w:szCs w:val="24"/>
        </w:rPr>
        <w:t>Concernant la première approche, les contrôleurs externes évaluent et déterminent les exigences en capital pour les banques. Alors que</w:t>
      </w:r>
      <w:r w:rsidR="002751BF">
        <w:rPr>
          <w:rFonts w:ascii="Times New Roman" w:hAnsi="Times New Roman" w:cs="Times New Roman"/>
          <w:sz w:val="24"/>
          <w:szCs w:val="24"/>
        </w:rPr>
        <w:t>,</w:t>
      </w:r>
      <w:r w:rsidRPr="002B005F">
        <w:rPr>
          <w:rFonts w:ascii="Times New Roman" w:hAnsi="Times New Roman" w:cs="Times New Roman"/>
          <w:sz w:val="24"/>
          <w:szCs w:val="24"/>
        </w:rPr>
        <w:t xml:space="preserve"> dans les deux </w:t>
      </w:r>
      <w:r w:rsidR="00FD6370">
        <w:rPr>
          <w:rFonts w:ascii="Times New Roman" w:hAnsi="Times New Roman" w:cs="Times New Roman"/>
          <w:sz w:val="24"/>
          <w:szCs w:val="24"/>
        </w:rPr>
        <w:t>autres</w:t>
      </w:r>
      <w:r w:rsidRPr="002B005F">
        <w:rPr>
          <w:rFonts w:ascii="Times New Roman" w:hAnsi="Times New Roman" w:cs="Times New Roman"/>
          <w:sz w:val="24"/>
          <w:szCs w:val="24"/>
        </w:rPr>
        <w:t xml:space="preserve"> approches, les banques qualifiées sont autorisées à évaluer leurs propres besoins en capital qui restent assujettis à une révision par les autorités de contrôle.</w:t>
      </w:r>
      <w:r w:rsidR="002751BF">
        <w:rPr>
          <w:rFonts w:ascii="Times New Roman" w:hAnsi="Times New Roman" w:cs="Times New Roman"/>
          <w:sz w:val="24"/>
          <w:szCs w:val="24"/>
        </w:rPr>
        <w:t xml:space="preserve"> </w:t>
      </w:r>
      <w:r w:rsidRPr="002B005F">
        <w:rPr>
          <w:rFonts w:ascii="Times New Roman" w:hAnsi="Times New Roman" w:cs="Times New Roman"/>
          <w:spacing w:val="-4"/>
          <w:sz w:val="24"/>
          <w:szCs w:val="24"/>
        </w:rPr>
        <w:t>Pour les BI, si elles visent d’être compétitives à l’échelle internationale et</w:t>
      </w:r>
      <w:r w:rsidR="002751BF">
        <w:rPr>
          <w:rFonts w:ascii="Times New Roman" w:hAnsi="Times New Roman" w:cs="Times New Roman"/>
          <w:spacing w:val="-4"/>
          <w:sz w:val="24"/>
          <w:szCs w:val="24"/>
        </w:rPr>
        <w:t>,</w:t>
      </w:r>
      <w:r w:rsidRPr="002B005F">
        <w:rPr>
          <w:rFonts w:ascii="Times New Roman" w:hAnsi="Times New Roman" w:cs="Times New Roman"/>
          <w:spacing w:val="-4"/>
          <w:sz w:val="24"/>
          <w:szCs w:val="24"/>
        </w:rPr>
        <w:t xml:space="preserve"> être acceptées par les décideurs des normes internationales, elles doivent choisir l’une des trois approches.</w:t>
      </w:r>
    </w:p>
    <w:p w14:paraId="1CB5967C" w14:textId="77777777" w:rsidR="002760B2" w:rsidRPr="00E36F9C" w:rsidRDefault="002760B2" w:rsidP="00E36F9C">
      <w:pPr>
        <w:pStyle w:val="Paragraphedeliste"/>
        <w:tabs>
          <w:tab w:val="left" w:pos="0"/>
        </w:tabs>
        <w:spacing w:before="120" w:line="300" w:lineRule="auto"/>
        <w:ind w:left="0" w:firstLine="709"/>
        <w:contextualSpacing w:val="0"/>
        <w:rPr>
          <w:rFonts w:ascii="Times New Roman" w:hAnsi="Times New Roman" w:cs="Times New Roman"/>
          <w:kern w:val="28"/>
          <w:sz w:val="24"/>
          <w:szCs w:val="24"/>
        </w:rPr>
      </w:pPr>
      <w:r w:rsidRPr="00E36F9C">
        <w:rPr>
          <w:rFonts w:ascii="Times New Roman" w:hAnsi="Times New Roman" w:cs="Times New Roman"/>
          <w:kern w:val="28"/>
          <w:sz w:val="24"/>
          <w:szCs w:val="24"/>
        </w:rPr>
        <w:t>L’application de l’approche de l’évaluation interne (appro</w:t>
      </w:r>
      <w:r w:rsidR="000F4546">
        <w:rPr>
          <w:rFonts w:ascii="Times New Roman" w:hAnsi="Times New Roman" w:cs="Times New Roman"/>
          <w:kern w:val="28"/>
          <w:sz w:val="24"/>
          <w:szCs w:val="24"/>
        </w:rPr>
        <w:t>che IRB) est préférable pour la</w:t>
      </w:r>
      <w:r w:rsidRPr="00E36F9C">
        <w:rPr>
          <w:rFonts w:ascii="Times New Roman" w:hAnsi="Times New Roman" w:cs="Times New Roman"/>
          <w:kern w:val="28"/>
          <w:sz w:val="24"/>
          <w:szCs w:val="24"/>
        </w:rPr>
        <w:t xml:space="preserve"> BI pour les raisons suivantes :</w:t>
      </w:r>
    </w:p>
    <w:p w14:paraId="7D5AC3D2" w14:textId="77777777" w:rsidR="002760B2" w:rsidRPr="0015642F" w:rsidRDefault="002760B2" w:rsidP="00CB0FF1">
      <w:pPr>
        <w:pStyle w:val="Paragraphedeliste"/>
        <w:numPr>
          <w:ilvl w:val="0"/>
          <w:numId w:val="102"/>
        </w:numPr>
        <w:tabs>
          <w:tab w:val="left" w:pos="284"/>
          <w:tab w:val="left" w:pos="851"/>
          <w:tab w:val="left" w:pos="1134"/>
        </w:tabs>
        <w:spacing w:before="120"/>
        <w:ind w:left="1491" w:hanging="357"/>
        <w:contextualSpacing w:val="0"/>
        <w:rPr>
          <w:rFonts w:ascii="Times New Roman" w:hAnsi="Times New Roman" w:cs="Times New Roman"/>
          <w:spacing w:val="6"/>
          <w:kern w:val="28"/>
          <w:sz w:val="24"/>
          <w:szCs w:val="24"/>
        </w:rPr>
      </w:pPr>
      <w:r w:rsidRPr="00E36F9C">
        <w:rPr>
          <w:rFonts w:ascii="Times New Roman" w:hAnsi="Times New Roman" w:cs="Times New Roman"/>
          <w:kern w:val="28"/>
          <w:sz w:val="24"/>
          <w:szCs w:val="24"/>
        </w:rPr>
        <w:t xml:space="preserve">La nature des modes de financement </w:t>
      </w:r>
      <w:r w:rsidR="00D617A2" w:rsidRPr="00E36F9C">
        <w:rPr>
          <w:rFonts w:ascii="Times New Roman" w:hAnsi="Times New Roman" w:cs="Times New Roman"/>
          <w:kern w:val="28"/>
          <w:sz w:val="24"/>
          <w:szCs w:val="24"/>
        </w:rPr>
        <w:t>i</w:t>
      </w:r>
      <w:r w:rsidR="003773C6" w:rsidRPr="00E36F9C">
        <w:rPr>
          <w:rFonts w:ascii="Times New Roman" w:hAnsi="Times New Roman" w:cs="Times New Roman"/>
          <w:kern w:val="28"/>
          <w:sz w:val="24"/>
          <w:szCs w:val="24"/>
        </w:rPr>
        <w:t>slamique</w:t>
      </w:r>
      <w:r w:rsidRPr="00E36F9C">
        <w:rPr>
          <w:rFonts w:ascii="Times New Roman" w:hAnsi="Times New Roman" w:cs="Times New Roman"/>
          <w:kern w:val="28"/>
          <w:sz w:val="24"/>
          <w:szCs w:val="24"/>
        </w:rPr>
        <w:t xml:space="preserve"> rend le système de pondération des risques plus complexe pour l’évaluation de la qualité des actifs. Ainsi, </w:t>
      </w:r>
      <w:r w:rsidR="00FE768C" w:rsidRPr="00E36F9C">
        <w:rPr>
          <w:rFonts w:ascii="Times New Roman" w:hAnsi="Times New Roman" w:cs="Times New Roman"/>
          <w:kern w:val="28"/>
          <w:sz w:val="24"/>
          <w:szCs w:val="24"/>
        </w:rPr>
        <w:t xml:space="preserve">dans le cadre des accords de Bâle, </w:t>
      </w:r>
      <w:r w:rsidRPr="00E36F9C">
        <w:rPr>
          <w:rFonts w:ascii="Times New Roman" w:hAnsi="Times New Roman" w:cs="Times New Roman"/>
          <w:kern w:val="28"/>
          <w:sz w:val="24"/>
          <w:szCs w:val="24"/>
        </w:rPr>
        <w:t>l’é</w:t>
      </w:r>
      <w:r w:rsidR="00FE768C" w:rsidRPr="00E36F9C">
        <w:rPr>
          <w:rFonts w:ascii="Times New Roman" w:hAnsi="Times New Roman" w:cs="Times New Roman"/>
          <w:kern w:val="28"/>
          <w:sz w:val="24"/>
          <w:szCs w:val="24"/>
        </w:rPr>
        <w:t>valuation du risque des actifs</w:t>
      </w:r>
      <w:r w:rsidRPr="00E36F9C">
        <w:rPr>
          <w:rFonts w:ascii="Times New Roman" w:hAnsi="Times New Roman" w:cs="Times New Roman"/>
          <w:kern w:val="28"/>
          <w:sz w:val="24"/>
          <w:szCs w:val="24"/>
        </w:rPr>
        <w:t xml:space="preserve"> n’est pas effectu</w:t>
      </w:r>
      <w:r w:rsidR="00FE768C" w:rsidRPr="00E36F9C">
        <w:rPr>
          <w:rFonts w:ascii="Times New Roman" w:hAnsi="Times New Roman" w:cs="Times New Roman"/>
          <w:kern w:val="28"/>
          <w:sz w:val="24"/>
          <w:szCs w:val="24"/>
        </w:rPr>
        <w:t>ée de manière individuelle ;</w:t>
      </w:r>
      <w:r w:rsidRPr="00E36F9C">
        <w:rPr>
          <w:rFonts w:ascii="Times New Roman" w:hAnsi="Times New Roman" w:cs="Times New Roman"/>
          <w:kern w:val="28"/>
          <w:sz w:val="24"/>
          <w:szCs w:val="24"/>
        </w:rPr>
        <w:t xml:space="preserve"> ils sont regroupés et distribués en fonction des différentes catégories du risque. L’approche basée sur le rating interne peut éliminer ce problème en exigeant que la probabilité de défaut de paiement (qualité) de chaque actif soit déterminée de manière individuelle. De </w:t>
      </w:r>
      <w:r w:rsidRPr="0015642F">
        <w:rPr>
          <w:rFonts w:ascii="Times New Roman" w:hAnsi="Times New Roman" w:cs="Times New Roman"/>
          <w:spacing w:val="6"/>
          <w:kern w:val="28"/>
          <w:sz w:val="24"/>
          <w:szCs w:val="24"/>
        </w:rPr>
        <w:t xml:space="preserve">cette façon, la qualité des actifs liés aux contrats </w:t>
      </w:r>
      <w:r w:rsidRPr="0015642F">
        <w:rPr>
          <w:rFonts w:ascii="Times New Roman" w:hAnsi="Times New Roman" w:cs="Times New Roman"/>
          <w:i/>
          <w:iCs/>
          <w:spacing w:val="6"/>
          <w:kern w:val="28"/>
          <w:sz w:val="24"/>
          <w:szCs w:val="24"/>
        </w:rPr>
        <w:t>mourabaha</w:t>
      </w:r>
      <w:r w:rsidRPr="0015642F">
        <w:rPr>
          <w:rFonts w:ascii="Times New Roman" w:hAnsi="Times New Roman" w:cs="Times New Roman"/>
          <w:spacing w:val="6"/>
          <w:kern w:val="28"/>
          <w:sz w:val="24"/>
          <w:szCs w:val="24"/>
        </w:rPr>
        <w:t xml:space="preserve">, </w:t>
      </w:r>
      <w:r w:rsidR="002C67F4" w:rsidRPr="0015642F">
        <w:rPr>
          <w:rFonts w:ascii="Times New Roman" w:hAnsi="Times New Roman" w:cs="Times New Roman"/>
          <w:i/>
          <w:iCs/>
          <w:spacing w:val="6"/>
          <w:kern w:val="28"/>
          <w:sz w:val="24"/>
          <w:szCs w:val="24"/>
        </w:rPr>
        <w:t>istisna’</w:t>
      </w:r>
      <w:r w:rsidRPr="0015642F">
        <w:rPr>
          <w:rFonts w:ascii="Times New Roman" w:hAnsi="Times New Roman" w:cs="Times New Roman"/>
          <w:spacing w:val="6"/>
          <w:kern w:val="28"/>
          <w:sz w:val="24"/>
          <w:szCs w:val="24"/>
        </w:rPr>
        <w:t xml:space="preserve">, </w:t>
      </w:r>
      <w:r w:rsidRPr="0015642F">
        <w:rPr>
          <w:rFonts w:ascii="Times New Roman" w:hAnsi="Times New Roman" w:cs="Times New Roman"/>
          <w:i/>
          <w:spacing w:val="6"/>
          <w:kern w:val="28"/>
          <w:sz w:val="24"/>
          <w:szCs w:val="24"/>
        </w:rPr>
        <w:t>salam</w:t>
      </w:r>
      <w:r w:rsidRPr="0015642F">
        <w:rPr>
          <w:rFonts w:ascii="Times New Roman" w:hAnsi="Times New Roman" w:cs="Times New Roman"/>
          <w:spacing w:val="6"/>
          <w:kern w:val="28"/>
          <w:sz w:val="24"/>
          <w:szCs w:val="24"/>
        </w:rPr>
        <w:t xml:space="preserve"> et </w:t>
      </w:r>
      <w:r w:rsidRPr="0015642F">
        <w:rPr>
          <w:rFonts w:ascii="Times New Roman" w:hAnsi="Times New Roman" w:cs="Times New Roman"/>
          <w:i/>
          <w:spacing w:val="6"/>
          <w:kern w:val="28"/>
          <w:sz w:val="24"/>
          <w:szCs w:val="24"/>
        </w:rPr>
        <w:t>ijara</w:t>
      </w:r>
      <w:r w:rsidRPr="0015642F">
        <w:rPr>
          <w:rFonts w:ascii="Times New Roman" w:hAnsi="Times New Roman" w:cs="Times New Roman"/>
          <w:spacing w:val="6"/>
          <w:kern w:val="28"/>
          <w:sz w:val="24"/>
          <w:szCs w:val="24"/>
        </w:rPr>
        <w:t>, doit être enregistrée cas par cas au lieu d’être assemblée en groupe des caté</w:t>
      </w:r>
      <w:r w:rsidR="005316D4" w:rsidRPr="0015642F">
        <w:rPr>
          <w:rFonts w:ascii="Times New Roman" w:hAnsi="Times New Roman" w:cs="Times New Roman"/>
          <w:spacing w:val="6"/>
          <w:kern w:val="28"/>
          <w:sz w:val="24"/>
          <w:szCs w:val="24"/>
        </w:rPr>
        <w:t>gories de risques standardisées ;</w:t>
      </w:r>
    </w:p>
    <w:p w14:paraId="1E175902" w14:textId="77777777" w:rsidR="002760B2" w:rsidRPr="0015642F" w:rsidRDefault="002760B2" w:rsidP="00CB0FF1">
      <w:pPr>
        <w:pStyle w:val="Paragraphedeliste"/>
        <w:numPr>
          <w:ilvl w:val="0"/>
          <w:numId w:val="102"/>
        </w:numPr>
        <w:tabs>
          <w:tab w:val="left" w:pos="284"/>
          <w:tab w:val="left" w:pos="851"/>
          <w:tab w:val="left" w:pos="993"/>
          <w:tab w:val="left" w:pos="1134"/>
        </w:tabs>
        <w:spacing w:before="120"/>
        <w:ind w:left="1491" w:hanging="357"/>
        <w:contextualSpacing w:val="0"/>
        <w:rPr>
          <w:rFonts w:ascii="Times New Roman" w:hAnsi="Times New Roman" w:cs="Times New Roman"/>
          <w:spacing w:val="6"/>
          <w:kern w:val="28"/>
          <w:sz w:val="24"/>
          <w:szCs w:val="24"/>
        </w:rPr>
      </w:pPr>
      <w:r w:rsidRPr="0015642F">
        <w:rPr>
          <w:rFonts w:ascii="Times New Roman" w:hAnsi="Times New Roman" w:cs="Times New Roman"/>
          <w:spacing w:val="6"/>
          <w:kern w:val="28"/>
          <w:sz w:val="24"/>
          <w:szCs w:val="24"/>
        </w:rPr>
        <w:t>Le rating interne permet à chaque BI de développer son propre système et sa propre culture de gestion des risques afin de répondre aux exigences particulières des</w:t>
      </w:r>
      <w:r w:rsidR="005316D4" w:rsidRPr="0015642F">
        <w:rPr>
          <w:rFonts w:ascii="Times New Roman" w:hAnsi="Times New Roman" w:cs="Times New Roman"/>
          <w:spacing w:val="6"/>
          <w:kern w:val="28"/>
          <w:sz w:val="24"/>
          <w:szCs w:val="24"/>
        </w:rPr>
        <w:t xml:space="preserve"> modes de financement </w:t>
      </w:r>
      <w:r w:rsidR="00505EDD" w:rsidRPr="0015642F">
        <w:rPr>
          <w:rFonts w:ascii="Times New Roman" w:hAnsi="Times New Roman" w:cs="Times New Roman"/>
          <w:spacing w:val="6"/>
          <w:kern w:val="28"/>
          <w:sz w:val="24"/>
          <w:szCs w:val="24"/>
        </w:rPr>
        <w:t>i</w:t>
      </w:r>
      <w:r w:rsidR="003773C6" w:rsidRPr="0015642F">
        <w:rPr>
          <w:rFonts w:ascii="Times New Roman" w:hAnsi="Times New Roman" w:cs="Times New Roman"/>
          <w:spacing w:val="6"/>
          <w:kern w:val="28"/>
          <w:sz w:val="24"/>
          <w:szCs w:val="24"/>
        </w:rPr>
        <w:t>slamique</w:t>
      </w:r>
      <w:r w:rsidR="005316D4" w:rsidRPr="0015642F">
        <w:rPr>
          <w:rFonts w:ascii="Times New Roman" w:hAnsi="Times New Roman" w:cs="Times New Roman"/>
          <w:spacing w:val="6"/>
          <w:kern w:val="28"/>
          <w:sz w:val="24"/>
          <w:szCs w:val="24"/>
        </w:rPr>
        <w:t> ;</w:t>
      </w:r>
    </w:p>
    <w:p w14:paraId="00BE762D" w14:textId="77777777" w:rsidR="002760B2" w:rsidRPr="0015642F" w:rsidRDefault="002760B2" w:rsidP="00CB0FF1">
      <w:pPr>
        <w:pStyle w:val="Paragraphedeliste"/>
        <w:numPr>
          <w:ilvl w:val="0"/>
          <w:numId w:val="102"/>
        </w:numPr>
        <w:tabs>
          <w:tab w:val="left" w:pos="284"/>
          <w:tab w:val="left" w:pos="851"/>
          <w:tab w:val="left" w:pos="1134"/>
        </w:tabs>
        <w:spacing w:before="120"/>
        <w:ind w:left="1491" w:hanging="357"/>
        <w:contextualSpacing w:val="0"/>
        <w:rPr>
          <w:rFonts w:ascii="Times New Roman" w:hAnsi="Times New Roman" w:cs="Times New Roman"/>
          <w:spacing w:val="6"/>
          <w:kern w:val="28"/>
          <w:sz w:val="24"/>
          <w:szCs w:val="24"/>
          <w:rtl/>
        </w:rPr>
      </w:pPr>
      <w:r w:rsidRPr="0015642F">
        <w:rPr>
          <w:rFonts w:ascii="Times New Roman" w:hAnsi="Times New Roman" w:cs="Times New Roman"/>
          <w:spacing w:val="6"/>
          <w:kern w:val="28"/>
          <w:sz w:val="24"/>
          <w:szCs w:val="24"/>
        </w:rPr>
        <w:t xml:space="preserve">La nature variée des modes de finance </w:t>
      </w:r>
      <w:r w:rsidR="00D617A2" w:rsidRPr="0015642F">
        <w:rPr>
          <w:rFonts w:ascii="Times New Roman" w:hAnsi="Times New Roman" w:cs="Times New Roman"/>
          <w:spacing w:val="6"/>
          <w:kern w:val="28"/>
          <w:sz w:val="24"/>
          <w:szCs w:val="24"/>
        </w:rPr>
        <w:t>i</w:t>
      </w:r>
      <w:r w:rsidR="003773C6" w:rsidRPr="0015642F">
        <w:rPr>
          <w:rFonts w:ascii="Times New Roman" w:hAnsi="Times New Roman" w:cs="Times New Roman"/>
          <w:spacing w:val="6"/>
          <w:kern w:val="28"/>
          <w:sz w:val="24"/>
          <w:szCs w:val="24"/>
        </w:rPr>
        <w:t>slamique</w:t>
      </w:r>
      <w:r w:rsidRPr="0015642F">
        <w:rPr>
          <w:rFonts w:ascii="Times New Roman" w:hAnsi="Times New Roman" w:cs="Times New Roman"/>
          <w:spacing w:val="6"/>
          <w:kern w:val="28"/>
          <w:sz w:val="24"/>
          <w:szCs w:val="24"/>
        </w:rPr>
        <w:t xml:space="preserve"> et l’obligation de partage de risque poussent les BI à allouer plus de ressources à la gestion des risques que leurs homologues conventionnels. Donc, l’approche du rating interne paraît être la plus viable, permettant de créer une culture efficace de gestion des risques.</w:t>
      </w:r>
    </w:p>
    <w:p w14:paraId="25C844A9" w14:textId="77777777" w:rsidR="002760B2" w:rsidRPr="0015642F" w:rsidRDefault="00113EB5" w:rsidP="00D7723E">
      <w:pPr>
        <w:pStyle w:val="Titre4"/>
        <w:spacing w:before="120" w:after="120" w:line="300" w:lineRule="auto"/>
        <w:ind w:firstLine="709"/>
        <w:rPr>
          <w:rtl/>
        </w:rPr>
      </w:pPr>
      <w:bookmarkStart w:id="1130" w:name="_Toc33263330"/>
      <w:bookmarkStart w:id="1131" w:name="_Toc37664593"/>
      <w:bookmarkStart w:id="1132" w:name="_Toc37666438"/>
      <w:bookmarkStart w:id="1133" w:name="_Toc54363327"/>
      <w:bookmarkStart w:id="1134" w:name="_Toc58606320"/>
      <w:bookmarkStart w:id="1135" w:name="_Toc61263525"/>
      <w:bookmarkStart w:id="1136" w:name="_Toc182298820"/>
      <w:r w:rsidRPr="0015642F">
        <w:lastRenderedPageBreak/>
        <w:t xml:space="preserve">3.3.3- </w:t>
      </w:r>
      <w:r w:rsidR="002760B2" w:rsidRPr="0015642F">
        <w:t xml:space="preserve">Implications de l’accord Bâle III sur les banques </w:t>
      </w:r>
      <w:r w:rsidR="00D617A2" w:rsidRPr="0015642F">
        <w:t>i</w:t>
      </w:r>
      <w:r w:rsidR="003773C6" w:rsidRPr="0015642F">
        <w:t>slamique</w:t>
      </w:r>
      <w:r w:rsidR="002760B2" w:rsidRPr="0015642F">
        <w:t>s</w:t>
      </w:r>
      <w:bookmarkEnd w:id="1130"/>
      <w:bookmarkEnd w:id="1131"/>
      <w:bookmarkEnd w:id="1132"/>
      <w:bookmarkEnd w:id="1133"/>
      <w:bookmarkEnd w:id="1134"/>
      <w:bookmarkEnd w:id="1135"/>
      <w:bookmarkEnd w:id="1136"/>
    </w:p>
    <w:p w14:paraId="0EFED699" w14:textId="77777777" w:rsidR="002760B2" w:rsidRPr="0015642F" w:rsidRDefault="002760B2" w:rsidP="00E36F9C">
      <w:pPr>
        <w:pStyle w:val="Paragraphedeliste"/>
        <w:tabs>
          <w:tab w:val="left" w:pos="0"/>
        </w:tabs>
        <w:spacing w:before="120" w:line="300" w:lineRule="auto"/>
        <w:ind w:left="0" w:firstLine="709"/>
        <w:contextualSpacing w:val="0"/>
        <w:rPr>
          <w:rFonts w:ascii="Times New Roman" w:hAnsi="Times New Roman" w:cs="Times New Roman"/>
          <w:spacing w:val="6"/>
          <w:sz w:val="24"/>
          <w:szCs w:val="24"/>
        </w:rPr>
      </w:pPr>
      <w:r w:rsidRPr="0015642F">
        <w:rPr>
          <w:rFonts w:ascii="Times New Roman" w:hAnsi="Times New Roman" w:cs="Times New Roman"/>
          <w:spacing w:val="6"/>
          <w:sz w:val="24"/>
          <w:szCs w:val="24"/>
        </w:rPr>
        <w:t xml:space="preserve">Les accords de Bâle III conclus en 2010 étaient élaborés pour instaurer des normes de liquidité, créer un ratio de levier et modifier les exigences concernant le ratio d’adéquation des fonds propres. Dans ce qui suit, </w:t>
      </w:r>
      <w:r w:rsidR="00E36F9C" w:rsidRPr="0015642F">
        <w:rPr>
          <w:rFonts w:ascii="Times New Roman" w:hAnsi="Times New Roman" w:cs="Times New Roman"/>
          <w:spacing w:val="6"/>
          <w:sz w:val="24"/>
          <w:szCs w:val="24"/>
        </w:rPr>
        <w:t>nous</w:t>
      </w:r>
      <w:r w:rsidRPr="0015642F">
        <w:rPr>
          <w:rFonts w:ascii="Times New Roman" w:hAnsi="Times New Roman" w:cs="Times New Roman"/>
          <w:spacing w:val="6"/>
          <w:sz w:val="24"/>
          <w:szCs w:val="24"/>
        </w:rPr>
        <w:t xml:space="preserve"> </w:t>
      </w:r>
      <w:r w:rsidR="00E36F9C" w:rsidRPr="0015642F">
        <w:rPr>
          <w:rFonts w:ascii="Times New Roman" w:hAnsi="Times New Roman" w:cs="Times New Roman"/>
          <w:spacing w:val="6"/>
          <w:sz w:val="24"/>
          <w:szCs w:val="24"/>
        </w:rPr>
        <w:t>exposons</w:t>
      </w:r>
      <w:r w:rsidRPr="0015642F">
        <w:rPr>
          <w:rFonts w:ascii="Times New Roman" w:hAnsi="Times New Roman" w:cs="Times New Roman"/>
          <w:spacing w:val="6"/>
          <w:sz w:val="24"/>
          <w:szCs w:val="24"/>
        </w:rPr>
        <w:t xml:space="preserve"> quelques implications de l’accord de Bâle III sur les banques </w:t>
      </w:r>
      <w:r w:rsidR="00505EDD" w:rsidRPr="0015642F">
        <w:rPr>
          <w:rFonts w:ascii="Times New Roman" w:hAnsi="Times New Roman" w:cs="Times New Roman"/>
          <w:spacing w:val="6"/>
          <w:sz w:val="24"/>
          <w:szCs w:val="24"/>
        </w:rPr>
        <w:t>i</w:t>
      </w:r>
      <w:r w:rsidR="003773C6" w:rsidRPr="0015642F">
        <w:rPr>
          <w:rFonts w:ascii="Times New Roman" w:hAnsi="Times New Roman" w:cs="Times New Roman"/>
          <w:spacing w:val="6"/>
          <w:sz w:val="24"/>
          <w:szCs w:val="24"/>
        </w:rPr>
        <w:t>slamique</w:t>
      </w:r>
      <w:r w:rsidRPr="0015642F">
        <w:rPr>
          <w:rFonts w:ascii="Times New Roman" w:hAnsi="Times New Roman" w:cs="Times New Roman"/>
          <w:spacing w:val="6"/>
          <w:sz w:val="24"/>
          <w:szCs w:val="24"/>
        </w:rPr>
        <w:t>s</w:t>
      </w:r>
      <w:r w:rsidR="00FD6370" w:rsidRPr="0015642F">
        <w:rPr>
          <w:rFonts w:ascii="Times New Roman" w:hAnsi="Times New Roman" w:cs="Times New Roman"/>
          <w:spacing w:val="6"/>
          <w:sz w:val="24"/>
          <w:szCs w:val="24"/>
        </w:rPr>
        <w:t>.</w:t>
      </w:r>
    </w:p>
    <w:p w14:paraId="617B6A55" w14:textId="77777777" w:rsidR="00306D5A" w:rsidRPr="00C22DC2" w:rsidRDefault="00E70DD5" w:rsidP="00774B74">
      <w:pPr>
        <w:pStyle w:val="Titre5"/>
        <w:keepNext w:val="0"/>
        <w:keepLines w:val="0"/>
        <w:spacing w:before="120" w:after="120" w:line="300" w:lineRule="auto"/>
        <w:ind w:firstLine="709"/>
        <w:rPr>
          <w:rFonts w:asciiTheme="majorBidi" w:hAnsiTheme="majorBidi"/>
          <w:b/>
          <w:bCs/>
          <w:color w:val="auto"/>
          <w:sz w:val="24"/>
          <w:szCs w:val="24"/>
        </w:rPr>
      </w:pPr>
      <w:bookmarkStart w:id="1137" w:name="_Toc182298821"/>
      <w:r w:rsidRPr="00C22DC2">
        <w:rPr>
          <w:rFonts w:asciiTheme="majorBidi" w:hAnsiTheme="majorBidi"/>
          <w:b/>
          <w:bCs/>
          <w:color w:val="auto"/>
          <w:sz w:val="24"/>
          <w:szCs w:val="24"/>
        </w:rPr>
        <w:t xml:space="preserve">3.3.3.1- </w:t>
      </w:r>
      <w:r w:rsidR="00306D5A" w:rsidRPr="00C22DC2">
        <w:rPr>
          <w:rFonts w:asciiTheme="majorBidi" w:hAnsiTheme="majorBidi"/>
          <w:b/>
          <w:bCs/>
          <w:color w:val="auto"/>
          <w:sz w:val="24"/>
          <w:szCs w:val="24"/>
        </w:rPr>
        <w:t>Exigence en fonds propres</w:t>
      </w:r>
      <w:bookmarkEnd w:id="1137"/>
    </w:p>
    <w:p w14:paraId="56AB30A8" w14:textId="38CE49A7" w:rsidR="009C79AD" w:rsidRPr="003403B0" w:rsidRDefault="002760B2" w:rsidP="00CE6682">
      <w:pPr>
        <w:pStyle w:val="Paragraphedeliste"/>
        <w:tabs>
          <w:tab w:val="left" w:pos="426"/>
          <w:tab w:val="left" w:pos="851"/>
          <w:tab w:val="left" w:pos="1276"/>
        </w:tabs>
        <w:spacing w:before="120" w:line="300" w:lineRule="auto"/>
        <w:ind w:left="0" w:firstLine="709"/>
        <w:contextualSpacing w:val="0"/>
        <w:rPr>
          <w:rFonts w:ascii="Times New Roman" w:hAnsi="Times New Roman" w:cs="Times New Roman"/>
          <w:spacing w:val="-6"/>
          <w:sz w:val="24"/>
          <w:szCs w:val="24"/>
        </w:rPr>
      </w:pPr>
      <w:r w:rsidRPr="003403B0">
        <w:rPr>
          <w:rFonts w:ascii="Times New Roman" w:hAnsi="Times New Roman" w:cs="Times New Roman"/>
          <w:spacing w:val="-6"/>
          <w:sz w:val="24"/>
          <w:szCs w:val="24"/>
        </w:rPr>
        <w:t xml:space="preserve">Les fonds des banques </w:t>
      </w:r>
      <w:r w:rsidR="00505EDD" w:rsidRPr="003403B0">
        <w:rPr>
          <w:rFonts w:ascii="Times New Roman" w:hAnsi="Times New Roman" w:cs="Times New Roman"/>
          <w:spacing w:val="-6"/>
          <w:sz w:val="24"/>
          <w:szCs w:val="24"/>
        </w:rPr>
        <w:t>i</w:t>
      </w:r>
      <w:r w:rsidR="003773C6" w:rsidRPr="003403B0">
        <w:rPr>
          <w:rFonts w:ascii="Times New Roman" w:hAnsi="Times New Roman" w:cs="Times New Roman"/>
          <w:spacing w:val="-6"/>
          <w:sz w:val="24"/>
          <w:szCs w:val="24"/>
        </w:rPr>
        <w:t>slamique</w:t>
      </w:r>
      <w:r w:rsidRPr="003403B0">
        <w:rPr>
          <w:rFonts w:ascii="Times New Roman" w:hAnsi="Times New Roman" w:cs="Times New Roman"/>
          <w:spacing w:val="-6"/>
          <w:sz w:val="24"/>
          <w:szCs w:val="24"/>
        </w:rPr>
        <w:t>s sont composés essentiellement de fond</w:t>
      </w:r>
      <w:r w:rsidR="0015642F" w:rsidRPr="003403B0">
        <w:rPr>
          <w:rFonts w:ascii="Times New Roman" w:hAnsi="Times New Roman" w:cs="Times New Roman"/>
          <w:spacing w:val="-6"/>
          <w:sz w:val="24"/>
          <w:szCs w:val="24"/>
        </w:rPr>
        <w:t xml:space="preserve">s de type Tiers 1 (noyau dure), </w:t>
      </w:r>
      <w:r w:rsidRPr="003403B0">
        <w:rPr>
          <w:rFonts w:ascii="Times New Roman" w:hAnsi="Times New Roman" w:cs="Times New Roman"/>
          <w:spacing w:val="-6"/>
          <w:sz w:val="24"/>
          <w:szCs w:val="24"/>
        </w:rPr>
        <w:t xml:space="preserve">grâce à la structure simplifiée du capital de ces banques et l’absence des capitaux spéculatifs ou toxiques car ils sont interdits en </w:t>
      </w:r>
      <w:r w:rsidR="00F34669" w:rsidRPr="003403B0">
        <w:rPr>
          <w:rFonts w:ascii="Times New Roman" w:hAnsi="Times New Roman" w:cs="Times New Roman"/>
          <w:spacing w:val="-6"/>
          <w:sz w:val="24"/>
          <w:szCs w:val="24"/>
        </w:rPr>
        <w:t>Islam</w:t>
      </w:r>
      <w:r w:rsidRPr="003403B0">
        <w:rPr>
          <w:rFonts w:ascii="Times New Roman" w:hAnsi="Times New Roman" w:cs="Times New Roman"/>
          <w:spacing w:val="-6"/>
          <w:sz w:val="24"/>
          <w:szCs w:val="24"/>
        </w:rPr>
        <w:t xml:space="preserve">. Ce qui va augmenter la qualité des fonds propres des banques </w:t>
      </w:r>
      <w:r w:rsidR="00505EDD" w:rsidRPr="003403B0">
        <w:rPr>
          <w:rFonts w:ascii="Times New Roman" w:hAnsi="Times New Roman" w:cs="Times New Roman"/>
          <w:spacing w:val="-6"/>
          <w:sz w:val="24"/>
          <w:szCs w:val="24"/>
        </w:rPr>
        <w:t>i</w:t>
      </w:r>
      <w:r w:rsidR="003773C6" w:rsidRPr="003403B0">
        <w:rPr>
          <w:rFonts w:ascii="Times New Roman" w:hAnsi="Times New Roman" w:cs="Times New Roman"/>
          <w:spacing w:val="-6"/>
          <w:sz w:val="24"/>
          <w:szCs w:val="24"/>
        </w:rPr>
        <w:t>slamique</w:t>
      </w:r>
      <w:r w:rsidRPr="003403B0">
        <w:rPr>
          <w:rFonts w:ascii="Times New Roman" w:hAnsi="Times New Roman" w:cs="Times New Roman"/>
          <w:spacing w:val="-6"/>
          <w:sz w:val="24"/>
          <w:szCs w:val="24"/>
        </w:rPr>
        <w:t>s par rapport aux banques conventionnelles.</w:t>
      </w:r>
    </w:p>
    <w:p w14:paraId="0076833D" w14:textId="77777777" w:rsidR="002760B2" w:rsidRPr="003403B0" w:rsidRDefault="009C79AD" w:rsidP="00306D5A">
      <w:pPr>
        <w:pStyle w:val="Paragraphedeliste"/>
        <w:tabs>
          <w:tab w:val="left" w:pos="426"/>
          <w:tab w:val="left" w:pos="851"/>
          <w:tab w:val="left" w:pos="1276"/>
        </w:tabs>
        <w:spacing w:before="120" w:line="300" w:lineRule="auto"/>
        <w:ind w:left="0" w:firstLine="709"/>
        <w:contextualSpacing w:val="0"/>
        <w:rPr>
          <w:rFonts w:ascii="Times New Roman" w:hAnsi="Times New Roman" w:cs="Times New Roman"/>
          <w:spacing w:val="-6"/>
          <w:sz w:val="24"/>
          <w:szCs w:val="24"/>
        </w:rPr>
      </w:pPr>
      <w:r w:rsidRPr="003403B0">
        <w:rPr>
          <w:rFonts w:ascii="Times New Roman" w:hAnsi="Times New Roman" w:cs="Times New Roman"/>
          <w:spacing w:val="-6"/>
          <w:sz w:val="24"/>
          <w:szCs w:val="24"/>
        </w:rPr>
        <w:t>A ce propos</w:t>
      </w:r>
      <w:r w:rsidR="002760B2" w:rsidRPr="003403B0">
        <w:rPr>
          <w:rFonts w:ascii="Times New Roman" w:hAnsi="Times New Roman" w:cs="Times New Roman"/>
          <w:spacing w:val="-6"/>
          <w:sz w:val="24"/>
          <w:szCs w:val="24"/>
        </w:rPr>
        <w:t xml:space="preserve">, </w:t>
      </w:r>
      <w:r w:rsidRPr="003403B0">
        <w:rPr>
          <w:rFonts w:ascii="Times New Roman" w:hAnsi="Times New Roman" w:cs="Times New Roman"/>
          <w:spacing w:val="-6"/>
          <w:sz w:val="24"/>
          <w:szCs w:val="24"/>
        </w:rPr>
        <w:t>nous citons l’</w:t>
      </w:r>
      <w:r w:rsidR="002760B2" w:rsidRPr="003403B0">
        <w:rPr>
          <w:rFonts w:ascii="Times New Roman" w:hAnsi="Times New Roman" w:cs="Times New Roman"/>
          <w:spacing w:val="-6"/>
          <w:sz w:val="24"/>
          <w:szCs w:val="24"/>
        </w:rPr>
        <w:t xml:space="preserve">étude menée par </w:t>
      </w:r>
      <w:r w:rsidR="002760B2" w:rsidRPr="003403B0">
        <w:rPr>
          <w:rFonts w:ascii="Times New Roman" w:hAnsi="Times New Roman" w:cs="Times New Roman"/>
          <w:smallCaps/>
          <w:spacing w:val="-6"/>
          <w:sz w:val="24"/>
          <w:szCs w:val="24"/>
        </w:rPr>
        <w:t xml:space="preserve">Bitar </w:t>
      </w:r>
      <w:r w:rsidR="002760B2" w:rsidRPr="003403B0">
        <w:rPr>
          <w:rFonts w:ascii="Times New Roman" w:hAnsi="Times New Roman" w:cs="Times New Roman"/>
          <w:spacing w:val="-6"/>
          <w:sz w:val="24"/>
          <w:szCs w:val="24"/>
        </w:rPr>
        <w:t xml:space="preserve">et </w:t>
      </w:r>
      <w:r w:rsidR="002760B2" w:rsidRPr="003403B0">
        <w:rPr>
          <w:rFonts w:ascii="Times New Roman" w:hAnsi="Times New Roman" w:cs="Times New Roman"/>
          <w:smallCaps/>
          <w:spacing w:val="-6"/>
          <w:sz w:val="24"/>
          <w:szCs w:val="24"/>
        </w:rPr>
        <w:t>Madies</w:t>
      </w:r>
      <w:r w:rsidR="002760B2" w:rsidRPr="003403B0">
        <w:rPr>
          <w:rFonts w:ascii="Times New Roman" w:hAnsi="Times New Roman" w:cs="Times New Roman"/>
          <w:spacing w:val="-6"/>
          <w:sz w:val="24"/>
          <w:szCs w:val="24"/>
        </w:rPr>
        <w:t xml:space="preserve"> (2013)</w:t>
      </w:r>
      <w:r w:rsidR="002760B2" w:rsidRPr="003403B0">
        <w:rPr>
          <w:rStyle w:val="Appelnotedebasdep"/>
          <w:rFonts w:ascii="Times New Roman" w:hAnsi="Times New Roman"/>
          <w:spacing w:val="-6"/>
          <w:sz w:val="24"/>
          <w:szCs w:val="24"/>
        </w:rPr>
        <w:footnoteReference w:id="289"/>
      </w:r>
      <w:r w:rsidR="002760B2" w:rsidRPr="003403B0">
        <w:rPr>
          <w:rFonts w:ascii="Times New Roman" w:hAnsi="Times New Roman" w:cs="Times New Roman"/>
          <w:spacing w:val="-6"/>
          <w:sz w:val="24"/>
          <w:szCs w:val="24"/>
        </w:rPr>
        <w:t xml:space="preserve"> pour tester la capacité des BI de respecter les exigences en fonds propres. Ils ont calculé deux ratios de capital ajustés aux risques : le ratio d’adéquation des fonds propres (CAR) et le </w:t>
      </w:r>
      <w:r w:rsidR="00FD6370" w:rsidRPr="003403B0">
        <w:rPr>
          <w:rFonts w:ascii="Times New Roman" w:hAnsi="Times New Roman" w:cs="Times New Roman"/>
          <w:spacing w:val="-6"/>
          <w:sz w:val="24"/>
          <w:szCs w:val="24"/>
        </w:rPr>
        <w:t>T</w:t>
      </w:r>
      <w:r w:rsidR="002760B2" w:rsidRPr="003403B0">
        <w:rPr>
          <w:rFonts w:ascii="Times New Roman" w:hAnsi="Times New Roman" w:cs="Times New Roman"/>
          <w:spacing w:val="-6"/>
          <w:sz w:val="24"/>
          <w:szCs w:val="24"/>
        </w:rPr>
        <w:t xml:space="preserve">iers 1. Ils ont trouvé que les banques </w:t>
      </w:r>
      <w:r w:rsidR="00D617A2" w:rsidRPr="003403B0">
        <w:rPr>
          <w:rFonts w:ascii="Times New Roman" w:hAnsi="Times New Roman" w:cs="Times New Roman"/>
          <w:spacing w:val="-6"/>
          <w:sz w:val="24"/>
          <w:szCs w:val="24"/>
        </w:rPr>
        <w:t>i</w:t>
      </w:r>
      <w:r w:rsidR="003773C6" w:rsidRPr="003403B0">
        <w:rPr>
          <w:rFonts w:ascii="Times New Roman" w:hAnsi="Times New Roman" w:cs="Times New Roman"/>
          <w:spacing w:val="-6"/>
          <w:sz w:val="24"/>
          <w:szCs w:val="24"/>
        </w:rPr>
        <w:t>slamique</w:t>
      </w:r>
      <w:r w:rsidR="002760B2" w:rsidRPr="003403B0">
        <w:rPr>
          <w:rFonts w:ascii="Times New Roman" w:hAnsi="Times New Roman" w:cs="Times New Roman"/>
          <w:spacing w:val="-6"/>
          <w:sz w:val="24"/>
          <w:szCs w:val="24"/>
        </w:rPr>
        <w:t xml:space="preserve">s sont mieux capitalisées que les banques conventionnelles que ce soit en étudiant le CAR ou le </w:t>
      </w:r>
      <w:r w:rsidR="00FD6370" w:rsidRPr="003403B0">
        <w:rPr>
          <w:rFonts w:ascii="Times New Roman" w:hAnsi="Times New Roman" w:cs="Times New Roman"/>
          <w:spacing w:val="-6"/>
          <w:sz w:val="24"/>
          <w:szCs w:val="24"/>
        </w:rPr>
        <w:t>T</w:t>
      </w:r>
      <w:r w:rsidR="002760B2" w:rsidRPr="003403B0">
        <w:rPr>
          <w:rFonts w:ascii="Times New Roman" w:hAnsi="Times New Roman" w:cs="Times New Roman"/>
          <w:spacing w:val="-6"/>
          <w:sz w:val="24"/>
          <w:szCs w:val="24"/>
        </w:rPr>
        <w:t>iers 1.</w:t>
      </w:r>
    </w:p>
    <w:p w14:paraId="5D956558" w14:textId="77777777" w:rsidR="002760B2" w:rsidRPr="003403B0" w:rsidRDefault="002760B2" w:rsidP="00E36F9C">
      <w:pPr>
        <w:pStyle w:val="Paragraphedeliste"/>
        <w:tabs>
          <w:tab w:val="left" w:pos="851"/>
        </w:tabs>
        <w:spacing w:before="120" w:line="300" w:lineRule="auto"/>
        <w:ind w:left="0" w:firstLine="851"/>
        <w:contextualSpacing w:val="0"/>
        <w:rPr>
          <w:rFonts w:ascii="Times New Roman" w:hAnsi="Times New Roman" w:cs="Times New Roman"/>
          <w:spacing w:val="-6"/>
          <w:sz w:val="24"/>
          <w:szCs w:val="24"/>
        </w:rPr>
      </w:pPr>
      <w:r w:rsidRPr="003403B0">
        <w:rPr>
          <w:rFonts w:ascii="Times New Roman" w:hAnsi="Times New Roman" w:cs="Times New Roman"/>
          <w:spacing w:val="-6"/>
          <w:sz w:val="24"/>
          <w:szCs w:val="24"/>
        </w:rPr>
        <w:t>Par ailleurs, les modifications apportées par Bâle III incluent l’augmentation des ratios des capitaux propres par rapport aux accords de Bâle I et II. Pour apprécier l’impact de cet</w:t>
      </w:r>
      <w:r w:rsidR="00505EDD" w:rsidRPr="003403B0">
        <w:rPr>
          <w:rFonts w:ascii="Times New Roman" w:hAnsi="Times New Roman" w:cs="Times New Roman"/>
          <w:spacing w:val="-6"/>
          <w:sz w:val="24"/>
          <w:szCs w:val="24"/>
        </w:rPr>
        <w:t>te augmentation sur les banques i</w:t>
      </w:r>
      <w:r w:rsidR="003773C6" w:rsidRPr="003403B0">
        <w:rPr>
          <w:rFonts w:ascii="Times New Roman" w:hAnsi="Times New Roman" w:cs="Times New Roman"/>
          <w:spacing w:val="-6"/>
          <w:sz w:val="24"/>
          <w:szCs w:val="24"/>
        </w:rPr>
        <w:t>slamique</w:t>
      </w:r>
      <w:r w:rsidR="00505EDD" w:rsidRPr="003403B0">
        <w:rPr>
          <w:rFonts w:ascii="Times New Roman" w:hAnsi="Times New Roman" w:cs="Times New Roman"/>
          <w:spacing w:val="-6"/>
          <w:sz w:val="24"/>
          <w:szCs w:val="24"/>
        </w:rPr>
        <w:t>s</w:t>
      </w:r>
      <w:r w:rsidRPr="003403B0">
        <w:rPr>
          <w:rFonts w:ascii="Times New Roman" w:hAnsi="Times New Roman" w:cs="Times New Roman"/>
          <w:spacing w:val="-6"/>
          <w:sz w:val="24"/>
          <w:szCs w:val="24"/>
        </w:rPr>
        <w:t xml:space="preserve">, Rizwan, Noira </w:t>
      </w:r>
      <w:r w:rsidRPr="003403B0">
        <w:rPr>
          <w:rFonts w:ascii="Times New Roman" w:hAnsi="Times New Roman" w:cs="Times New Roman"/>
          <w:smallCaps/>
          <w:spacing w:val="-6"/>
          <w:sz w:val="24"/>
          <w:szCs w:val="24"/>
        </w:rPr>
        <w:t>Khan</w:t>
      </w:r>
      <w:r w:rsidRPr="003403B0">
        <w:rPr>
          <w:rFonts w:ascii="Times New Roman" w:hAnsi="Times New Roman" w:cs="Times New Roman"/>
          <w:spacing w:val="-6"/>
          <w:sz w:val="24"/>
          <w:szCs w:val="24"/>
        </w:rPr>
        <w:t xml:space="preserve"> et Hafizullah </w:t>
      </w:r>
      <w:r w:rsidRPr="003403B0">
        <w:rPr>
          <w:rFonts w:ascii="Times New Roman" w:hAnsi="Times New Roman" w:cs="Times New Roman"/>
          <w:smallCaps/>
          <w:spacing w:val="-6"/>
          <w:sz w:val="24"/>
          <w:szCs w:val="24"/>
        </w:rPr>
        <w:t>Khan</w:t>
      </w:r>
      <w:r w:rsidRPr="003403B0">
        <w:rPr>
          <w:rFonts w:ascii="Times New Roman" w:hAnsi="Times New Roman" w:cs="Times New Roman"/>
          <w:spacing w:val="-6"/>
          <w:sz w:val="24"/>
          <w:szCs w:val="24"/>
        </w:rPr>
        <w:t xml:space="preserve"> (2012)</w:t>
      </w:r>
      <w:r w:rsidRPr="003403B0">
        <w:rPr>
          <w:rStyle w:val="Appelnotedebasdep"/>
          <w:rFonts w:ascii="Times New Roman" w:hAnsi="Times New Roman"/>
          <w:spacing w:val="-6"/>
          <w:sz w:val="24"/>
          <w:szCs w:val="24"/>
        </w:rPr>
        <w:footnoteReference w:id="290"/>
      </w:r>
      <w:r w:rsidRPr="003403B0">
        <w:rPr>
          <w:rFonts w:ascii="Times New Roman" w:hAnsi="Times New Roman" w:cs="Times New Roman"/>
          <w:spacing w:val="-6"/>
          <w:sz w:val="24"/>
          <w:szCs w:val="24"/>
        </w:rPr>
        <w:t xml:space="preserve"> ont calculé le ratio de solvabilité bancaire de ces banques </w:t>
      </w:r>
      <w:r w:rsidR="0015642F" w:rsidRPr="003403B0">
        <w:rPr>
          <w:rFonts w:ascii="Times New Roman" w:hAnsi="Times New Roman" w:cs="Times New Roman"/>
          <w:spacing w:val="-6"/>
          <w:sz w:val="24"/>
          <w:szCs w:val="24"/>
        </w:rPr>
        <w:t xml:space="preserve">selon les réformes </w:t>
      </w:r>
      <w:r w:rsidRPr="003403B0">
        <w:rPr>
          <w:rFonts w:ascii="Times New Roman" w:hAnsi="Times New Roman" w:cs="Times New Roman"/>
          <w:spacing w:val="-6"/>
          <w:sz w:val="24"/>
          <w:szCs w:val="24"/>
        </w:rPr>
        <w:t xml:space="preserve">de Bâle III. Les résultats de cette étude qui a concerné 30 banques </w:t>
      </w:r>
      <w:r w:rsidR="00505EDD" w:rsidRPr="003403B0">
        <w:rPr>
          <w:rFonts w:ascii="Times New Roman" w:hAnsi="Times New Roman" w:cs="Times New Roman"/>
          <w:spacing w:val="-6"/>
          <w:sz w:val="24"/>
          <w:szCs w:val="24"/>
        </w:rPr>
        <w:t>i</w:t>
      </w:r>
      <w:r w:rsidR="003773C6" w:rsidRPr="003403B0">
        <w:rPr>
          <w:rFonts w:ascii="Times New Roman" w:hAnsi="Times New Roman" w:cs="Times New Roman"/>
          <w:spacing w:val="-6"/>
          <w:sz w:val="24"/>
          <w:szCs w:val="24"/>
        </w:rPr>
        <w:t>slamique</w:t>
      </w:r>
      <w:r w:rsidRPr="003403B0">
        <w:rPr>
          <w:rFonts w:ascii="Times New Roman" w:hAnsi="Times New Roman" w:cs="Times New Roman"/>
          <w:spacing w:val="-6"/>
          <w:sz w:val="24"/>
          <w:szCs w:val="24"/>
        </w:rPr>
        <w:t xml:space="preserve">s réparties sur 15 pays, ont montré que toutes les banques </w:t>
      </w:r>
      <w:r w:rsidR="00505EDD" w:rsidRPr="003403B0">
        <w:rPr>
          <w:rFonts w:ascii="Times New Roman" w:hAnsi="Times New Roman" w:cs="Times New Roman"/>
          <w:spacing w:val="-6"/>
          <w:sz w:val="24"/>
          <w:szCs w:val="24"/>
        </w:rPr>
        <w:t>i</w:t>
      </w:r>
      <w:r w:rsidR="003773C6" w:rsidRPr="003403B0">
        <w:rPr>
          <w:rFonts w:ascii="Times New Roman" w:hAnsi="Times New Roman" w:cs="Times New Roman"/>
          <w:spacing w:val="-6"/>
          <w:sz w:val="24"/>
          <w:szCs w:val="24"/>
        </w:rPr>
        <w:t>slamique</w:t>
      </w:r>
      <w:r w:rsidRPr="003403B0">
        <w:rPr>
          <w:rFonts w:ascii="Times New Roman" w:hAnsi="Times New Roman" w:cs="Times New Roman"/>
          <w:spacing w:val="-6"/>
          <w:sz w:val="24"/>
          <w:szCs w:val="24"/>
        </w:rPr>
        <w:t>s (de l’échantillon) disposent d’un ratio de solvabilité bancaire qui satisfait largement les exigences de Bâle III.</w:t>
      </w:r>
    </w:p>
    <w:p w14:paraId="475DC4ED" w14:textId="77777777" w:rsidR="00306D5A" w:rsidRPr="00A6355B" w:rsidRDefault="00BC33FF" w:rsidP="00774B74">
      <w:pPr>
        <w:pStyle w:val="Titre5"/>
        <w:keepNext w:val="0"/>
        <w:keepLines w:val="0"/>
        <w:spacing w:before="120" w:after="120" w:line="300" w:lineRule="auto"/>
        <w:ind w:firstLine="709"/>
        <w:rPr>
          <w:rFonts w:asciiTheme="majorBidi" w:hAnsiTheme="majorBidi"/>
          <w:b/>
          <w:bCs/>
          <w:color w:val="auto"/>
          <w:sz w:val="24"/>
          <w:szCs w:val="24"/>
        </w:rPr>
      </w:pPr>
      <w:bookmarkStart w:id="1138" w:name="_Toc182298822"/>
      <w:r w:rsidRPr="00A6355B">
        <w:rPr>
          <w:rFonts w:asciiTheme="majorBidi" w:hAnsiTheme="majorBidi"/>
          <w:b/>
          <w:bCs/>
          <w:color w:val="auto"/>
          <w:sz w:val="24"/>
          <w:szCs w:val="24"/>
        </w:rPr>
        <w:t xml:space="preserve">3.3.3.2- </w:t>
      </w:r>
      <w:r w:rsidR="00306D5A" w:rsidRPr="00A6355B">
        <w:rPr>
          <w:rFonts w:asciiTheme="majorBidi" w:hAnsiTheme="majorBidi"/>
          <w:b/>
          <w:bCs/>
          <w:color w:val="auto"/>
          <w:sz w:val="24"/>
          <w:szCs w:val="24"/>
        </w:rPr>
        <w:t>Ratio de levie</w:t>
      </w:r>
      <w:r w:rsidR="00CE6682" w:rsidRPr="00A6355B">
        <w:rPr>
          <w:rFonts w:asciiTheme="majorBidi" w:hAnsiTheme="majorBidi"/>
          <w:b/>
          <w:bCs/>
          <w:color w:val="auto"/>
          <w:sz w:val="24"/>
          <w:szCs w:val="24"/>
        </w:rPr>
        <w:t>r</w:t>
      </w:r>
      <w:bookmarkEnd w:id="1138"/>
    </w:p>
    <w:p w14:paraId="735882E0" w14:textId="77777777" w:rsidR="002760B2" w:rsidRPr="003403B0" w:rsidRDefault="002760B2" w:rsidP="00306D5A">
      <w:pPr>
        <w:pStyle w:val="Paragraphedeliste"/>
        <w:tabs>
          <w:tab w:val="left" w:pos="426"/>
          <w:tab w:val="left" w:pos="851"/>
          <w:tab w:val="left" w:pos="1276"/>
        </w:tabs>
        <w:spacing w:before="120" w:line="300" w:lineRule="auto"/>
        <w:ind w:left="0" w:firstLine="709"/>
        <w:contextualSpacing w:val="0"/>
        <w:rPr>
          <w:rFonts w:ascii="Times New Roman" w:hAnsi="Times New Roman" w:cs="Times New Roman"/>
          <w:spacing w:val="-6"/>
          <w:sz w:val="24"/>
          <w:szCs w:val="24"/>
        </w:rPr>
      </w:pPr>
      <w:r w:rsidRPr="003403B0">
        <w:rPr>
          <w:rFonts w:ascii="Times New Roman" w:hAnsi="Times New Roman" w:cs="Times New Roman"/>
          <w:spacing w:val="-6"/>
          <w:sz w:val="24"/>
          <w:szCs w:val="24"/>
        </w:rPr>
        <w:t>Concernant le ratio de levier imposé par la réglementation de Bâle III, il représente le rapport entre les fonds propres et le total bilan (total actif ou passif). Un levier élevé peut augmenter la rentabilité d’une banque mais</w:t>
      </w:r>
      <w:r w:rsidR="006D6788" w:rsidRPr="003403B0">
        <w:rPr>
          <w:rFonts w:ascii="Times New Roman" w:hAnsi="Times New Roman" w:cs="Times New Roman"/>
          <w:spacing w:val="-6"/>
          <w:sz w:val="24"/>
          <w:szCs w:val="24"/>
        </w:rPr>
        <w:t>,</w:t>
      </w:r>
      <w:r w:rsidRPr="003403B0">
        <w:rPr>
          <w:rFonts w:ascii="Times New Roman" w:hAnsi="Times New Roman" w:cs="Times New Roman"/>
          <w:spacing w:val="-6"/>
          <w:sz w:val="24"/>
          <w:szCs w:val="24"/>
        </w:rPr>
        <w:t xml:space="preserve"> il peut provoquer plusieurs risques et</w:t>
      </w:r>
      <w:r w:rsidR="006D6788" w:rsidRPr="003403B0">
        <w:rPr>
          <w:rFonts w:ascii="Times New Roman" w:hAnsi="Times New Roman" w:cs="Times New Roman"/>
          <w:spacing w:val="-6"/>
          <w:sz w:val="24"/>
          <w:szCs w:val="24"/>
        </w:rPr>
        <w:t>,</w:t>
      </w:r>
      <w:r w:rsidRPr="003403B0">
        <w:rPr>
          <w:rFonts w:ascii="Times New Roman" w:hAnsi="Times New Roman" w:cs="Times New Roman"/>
          <w:spacing w:val="-6"/>
          <w:sz w:val="24"/>
          <w:szCs w:val="24"/>
        </w:rPr>
        <w:t xml:space="preserve"> par conséquent, des pertes potentielles. Pour réduire la prise de risque excessive, Bâle III a instauré un ratio de levier avec un seuil maximum de 3%.</w:t>
      </w:r>
    </w:p>
    <w:p w14:paraId="25A1AFDB" w14:textId="77777777" w:rsidR="002760B2" w:rsidRPr="003403B0" w:rsidRDefault="002760B2" w:rsidP="00E36F9C">
      <w:pPr>
        <w:pStyle w:val="Paragraphedeliste"/>
        <w:tabs>
          <w:tab w:val="left" w:pos="851"/>
        </w:tabs>
        <w:spacing w:before="120" w:line="300" w:lineRule="auto"/>
        <w:ind w:left="0" w:firstLine="851"/>
        <w:contextualSpacing w:val="0"/>
        <w:rPr>
          <w:rFonts w:ascii="Times New Roman" w:hAnsi="Times New Roman" w:cs="Times New Roman"/>
          <w:spacing w:val="-6"/>
          <w:sz w:val="24"/>
          <w:szCs w:val="24"/>
        </w:rPr>
      </w:pPr>
      <w:r w:rsidRPr="003403B0">
        <w:rPr>
          <w:rFonts w:ascii="Times New Roman" w:hAnsi="Times New Roman" w:cs="Times New Roman"/>
          <w:spacing w:val="-6"/>
          <w:sz w:val="24"/>
          <w:szCs w:val="24"/>
        </w:rPr>
        <w:t xml:space="preserve">Pour les banques </w:t>
      </w:r>
      <w:r w:rsidR="00D617A2" w:rsidRPr="003403B0">
        <w:rPr>
          <w:rFonts w:ascii="Times New Roman" w:hAnsi="Times New Roman" w:cs="Times New Roman"/>
          <w:spacing w:val="-6"/>
          <w:sz w:val="24"/>
          <w:szCs w:val="24"/>
        </w:rPr>
        <w:t>i</w:t>
      </w:r>
      <w:r w:rsidR="003773C6" w:rsidRPr="003403B0">
        <w:rPr>
          <w:rFonts w:ascii="Times New Roman" w:hAnsi="Times New Roman" w:cs="Times New Roman"/>
          <w:spacing w:val="-6"/>
          <w:sz w:val="24"/>
          <w:szCs w:val="24"/>
        </w:rPr>
        <w:t>slamique</w:t>
      </w:r>
      <w:r w:rsidRPr="003403B0">
        <w:rPr>
          <w:rFonts w:ascii="Times New Roman" w:hAnsi="Times New Roman" w:cs="Times New Roman"/>
          <w:spacing w:val="-6"/>
          <w:sz w:val="24"/>
          <w:szCs w:val="24"/>
        </w:rPr>
        <w:t>s, l’impact de ce ratio est loin d’être aussi critique du fait de la composition des capitaux propres de ces banques constitués en grande partie de fonds de type « </w:t>
      </w:r>
      <w:r w:rsidR="006D6788" w:rsidRPr="003403B0">
        <w:rPr>
          <w:rFonts w:ascii="Times New Roman" w:hAnsi="Times New Roman" w:cs="Times New Roman"/>
          <w:spacing w:val="-6"/>
          <w:sz w:val="24"/>
          <w:szCs w:val="24"/>
        </w:rPr>
        <w:t>T</w:t>
      </w:r>
      <w:r w:rsidRPr="003403B0">
        <w:rPr>
          <w:rFonts w:ascii="Times New Roman" w:hAnsi="Times New Roman" w:cs="Times New Roman"/>
          <w:spacing w:val="-6"/>
          <w:sz w:val="24"/>
          <w:szCs w:val="24"/>
        </w:rPr>
        <w:t>iers 1 »</w:t>
      </w:r>
      <w:r w:rsidRPr="003403B0">
        <w:rPr>
          <w:rStyle w:val="Appelnotedebasdep"/>
          <w:rFonts w:ascii="Times New Roman" w:hAnsi="Times New Roman"/>
          <w:spacing w:val="-6"/>
          <w:sz w:val="24"/>
          <w:szCs w:val="24"/>
        </w:rPr>
        <w:footnoteReference w:id="291"/>
      </w:r>
      <w:r w:rsidR="006D6788" w:rsidRPr="003403B0">
        <w:rPr>
          <w:rFonts w:ascii="Times New Roman" w:hAnsi="Times New Roman" w:cs="Times New Roman"/>
          <w:spacing w:val="-6"/>
          <w:sz w:val="24"/>
          <w:szCs w:val="24"/>
        </w:rPr>
        <w:t>.</w:t>
      </w:r>
    </w:p>
    <w:p w14:paraId="46E42E5D" w14:textId="3747A64F" w:rsidR="002760B2" w:rsidRPr="003403B0" w:rsidRDefault="006D6788" w:rsidP="0015642F">
      <w:pPr>
        <w:pStyle w:val="Paragraphedeliste"/>
        <w:tabs>
          <w:tab w:val="left" w:pos="0"/>
        </w:tabs>
        <w:spacing w:before="120" w:line="300" w:lineRule="auto"/>
        <w:ind w:left="0" w:firstLine="709"/>
        <w:contextualSpacing w:val="0"/>
        <w:rPr>
          <w:rFonts w:ascii="Times New Roman" w:hAnsi="Times New Roman" w:cs="Times New Roman"/>
          <w:spacing w:val="-6"/>
          <w:sz w:val="24"/>
          <w:szCs w:val="24"/>
        </w:rPr>
      </w:pPr>
      <w:r w:rsidRPr="003403B0">
        <w:rPr>
          <w:rFonts w:ascii="Times New Roman" w:hAnsi="Times New Roman" w:cs="Times New Roman"/>
          <w:spacing w:val="-6"/>
          <w:sz w:val="24"/>
          <w:szCs w:val="24"/>
        </w:rPr>
        <w:t>En calculant le ratio de levier des banques conventionnelles et des banques islamiques, l</w:t>
      </w:r>
      <w:r w:rsidR="002760B2" w:rsidRPr="003403B0">
        <w:rPr>
          <w:rFonts w:ascii="Times New Roman" w:hAnsi="Times New Roman" w:cs="Times New Roman"/>
          <w:spacing w:val="-6"/>
          <w:sz w:val="24"/>
          <w:szCs w:val="24"/>
        </w:rPr>
        <w:t xml:space="preserve">’étude de </w:t>
      </w:r>
      <w:r w:rsidR="002760B2" w:rsidRPr="003403B0">
        <w:rPr>
          <w:rFonts w:ascii="Times New Roman" w:hAnsi="Times New Roman" w:cs="Times New Roman"/>
          <w:smallCaps/>
          <w:spacing w:val="-6"/>
          <w:sz w:val="24"/>
          <w:szCs w:val="24"/>
        </w:rPr>
        <w:t>Bittar</w:t>
      </w:r>
      <w:r w:rsidR="002760B2" w:rsidRPr="003403B0">
        <w:rPr>
          <w:rFonts w:ascii="Times New Roman" w:hAnsi="Times New Roman" w:cs="Times New Roman"/>
          <w:spacing w:val="-6"/>
          <w:sz w:val="24"/>
          <w:szCs w:val="24"/>
        </w:rPr>
        <w:t xml:space="preserve"> et </w:t>
      </w:r>
      <w:r w:rsidR="002760B2" w:rsidRPr="003403B0">
        <w:rPr>
          <w:rFonts w:ascii="Times New Roman" w:hAnsi="Times New Roman" w:cs="Times New Roman"/>
          <w:smallCaps/>
          <w:spacing w:val="-6"/>
          <w:sz w:val="24"/>
          <w:szCs w:val="24"/>
        </w:rPr>
        <w:t>Madiès</w:t>
      </w:r>
      <w:r w:rsidR="002760B2" w:rsidRPr="003403B0">
        <w:rPr>
          <w:rFonts w:ascii="Times New Roman" w:hAnsi="Times New Roman" w:cs="Times New Roman"/>
          <w:spacing w:val="-6"/>
          <w:sz w:val="24"/>
          <w:szCs w:val="24"/>
        </w:rPr>
        <w:t xml:space="preserve"> (2013) a montré que ces dernières confirment nettement une meilleure capitalisation.</w:t>
      </w:r>
    </w:p>
    <w:p w14:paraId="3AD37C67" w14:textId="77777777" w:rsidR="002760B2" w:rsidRPr="00D7723E" w:rsidRDefault="003F674B" w:rsidP="00D7723E">
      <w:pPr>
        <w:pStyle w:val="Titre5"/>
        <w:spacing w:before="120" w:after="120" w:line="300" w:lineRule="auto"/>
        <w:ind w:firstLine="709"/>
        <w:rPr>
          <w:rFonts w:asciiTheme="majorBidi" w:hAnsiTheme="majorBidi"/>
          <w:b/>
          <w:bCs/>
          <w:color w:val="auto"/>
          <w:sz w:val="24"/>
          <w:szCs w:val="24"/>
        </w:rPr>
      </w:pPr>
      <w:bookmarkStart w:id="1139" w:name="_Toc182298823"/>
      <w:r w:rsidRPr="00D7723E">
        <w:rPr>
          <w:rFonts w:asciiTheme="majorBidi" w:hAnsiTheme="majorBidi"/>
          <w:b/>
          <w:bCs/>
          <w:color w:val="auto"/>
          <w:sz w:val="24"/>
          <w:szCs w:val="24"/>
        </w:rPr>
        <w:lastRenderedPageBreak/>
        <w:t xml:space="preserve">3.3.3.3- </w:t>
      </w:r>
      <w:r w:rsidR="00306D5A" w:rsidRPr="00D7723E">
        <w:rPr>
          <w:rFonts w:asciiTheme="majorBidi" w:hAnsiTheme="majorBidi"/>
          <w:b/>
          <w:bCs/>
          <w:color w:val="auto"/>
          <w:sz w:val="24"/>
          <w:szCs w:val="24"/>
        </w:rPr>
        <w:t>Ratio de liquidité</w:t>
      </w:r>
      <w:bookmarkEnd w:id="1139"/>
    </w:p>
    <w:p w14:paraId="5E58545B" w14:textId="77777777" w:rsidR="002760B2" w:rsidRDefault="002760B2" w:rsidP="00E36F9C">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BE2F78">
        <w:rPr>
          <w:rFonts w:ascii="Times New Roman" w:hAnsi="Times New Roman" w:cs="Times New Roman"/>
          <w:sz w:val="24"/>
          <w:szCs w:val="24"/>
        </w:rPr>
        <w:t xml:space="preserve">L’application des ratios de liquidité (LCR et NSFR) serait un défi pour les banques </w:t>
      </w:r>
      <w:r w:rsidR="00505EDD" w:rsidRPr="00BE2F78">
        <w:rPr>
          <w:rFonts w:ascii="Times New Roman" w:hAnsi="Times New Roman" w:cs="Times New Roman"/>
          <w:sz w:val="24"/>
          <w:szCs w:val="24"/>
        </w:rPr>
        <w:t>i</w:t>
      </w:r>
      <w:r w:rsidR="003773C6" w:rsidRPr="00BE2F78">
        <w:rPr>
          <w:rFonts w:ascii="Times New Roman" w:hAnsi="Times New Roman" w:cs="Times New Roman"/>
          <w:sz w:val="24"/>
          <w:szCs w:val="24"/>
        </w:rPr>
        <w:t>slamique</w:t>
      </w:r>
      <w:r w:rsidRPr="00BE2F78">
        <w:rPr>
          <w:rFonts w:ascii="Times New Roman" w:hAnsi="Times New Roman" w:cs="Times New Roman"/>
          <w:sz w:val="24"/>
          <w:szCs w:val="24"/>
        </w:rPr>
        <w:t>s. Ceci</w:t>
      </w:r>
      <w:r w:rsidRPr="002B005F">
        <w:rPr>
          <w:rFonts w:ascii="Times New Roman" w:hAnsi="Times New Roman" w:cs="Times New Roman"/>
          <w:sz w:val="24"/>
          <w:szCs w:val="24"/>
        </w:rPr>
        <w:t xml:space="preserve"> peut être dû au fait que les accords de Bâle restent des accords destinés spécialement pour les banques conventionnelles. Par conséquent, l’application de ces normes prudentielles par les banques </w:t>
      </w:r>
      <w:r w:rsidR="00D617A2">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ne doit pas être aveugle mais adaptée aux besoins réels de ces banques.</w:t>
      </w:r>
    </w:p>
    <w:p w14:paraId="7DA91832" w14:textId="31F36AFC" w:rsidR="00BE2F78" w:rsidRPr="003403B0" w:rsidRDefault="00BE2F78" w:rsidP="00BE2F78">
      <w:pPr>
        <w:pStyle w:val="Paragraphedeliste"/>
        <w:tabs>
          <w:tab w:val="left" w:pos="0"/>
        </w:tabs>
        <w:spacing w:before="120" w:line="300" w:lineRule="auto"/>
        <w:ind w:left="0" w:firstLine="709"/>
        <w:contextualSpacing w:val="0"/>
        <w:rPr>
          <w:rFonts w:asciiTheme="majorBidi" w:hAnsiTheme="majorBidi" w:cstheme="majorBidi"/>
          <w:spacing w:val="4"/>
          <w:sz w:val="24"/>
          <w:szCs w:val="24"/>
        </w:rPr>
      </w:pPr>
      <w:r w:rsidRPr="003403B0">
        <w:rPr>
          <w:rFonts w:asciiTheme="majorBidi" w:hAnsiTheme="majorBidi" w:cstheme="majorBidi"/>
          <w:spacing w:val="4"/>
          <w:sz w:val="24"/>
          <w:szCs w:val="24"/>
        </w:rPr>
        <w:t>Harzi (2011)</w:t>
      </w:r>
      <w:r w:rsidRPr="003403B0">
        <w:rPr>
          <w:rStyle w:val="Appelnotedebasdep"/>
          <w:rFonts w:asciiTheme="majorBidi" w:hAnsiTheme="majorBidi" w:cstheme="majorBidi"/>
          <w:spacing w:val="4"/>
          <w:sz w:val="24"/>
          <w:szCs w:val="24"/>
        </w:rPr>
        <w:footnoteReference w:id="292"/>
      </w:r>
      <w:r w:rsidRPr="003403B0">
        <w:rPr>
          <w:rFonts w:asciiTheme="majorBidi" w:hAnsiTheme="majorBidi" w:cstheme="majorBidi"/>
          <w:spacing w:val="4"/>
          <w:sz w:val="24"/>
          <w:szCs w:val="24"/>
        </w:rPr>
        <w:t xml:space="preserve"> ajoute : « Etant donné les spécificités des banques islamiques, les deux ratios de liquidité de Bâle III ne sont pas adaptés aux banques islamiques ». Concernant le LCR, Bâle III ne prend pas en considération le fait que les banques islamiques ne disposent pas suffisamment d’instruments de court terme conformes à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3403B0">
        <w:rPr>
          <w:rFonts w:asciiTheme="majorBidi" w:hAnsiTheme="majorBidi" w:cstheme="majorBidi"/>
          <w:spacing w:val="4"/>
          <w:sz w:val="24"/>
          <w:szCs w:val="24"/>
        </w:rPr>
        <w:t>, a contrario des banques conventionnelles. Pour le NSFR, le calcul est théoriquement possible pour les banques islamiques. Il faudrait se fonder sur les pondérations proposées par Vasquez et Federico (2012) et recourir à la base de données Bankscope. Mais cela est techniquement très complexe</w:t>
      </w:r>
      <w:r w:rsidRPr="003403B0">
        <w:rPr>
          <w:rStyle w:val="Appelnotedebasdep"/>
          <w:rFonts w:asciiTheme="majorBidi" w:hAnsiTheme="majorBidi" w:cstheme="majorBidi"/>
          <w:spacing w:val="4"/>
          <w:sz w:val="24"/>
          <w:szCs w:val="24"/>
        </w:rPr>
        <w:footnoteReference w:id="293"/>
      </w:r>
      <w:r w:rsidRPr="003403B0">
        <w:rPr>
          <w:rFonts w:asciiTheme="majorBidi" w:hAnsiTheme="majorBidi" w:cstheme="majorBidi"/>
          <w:spacing w:val="4"/>
          <w:sz w:val="24"/>
          <w:szCs w:val="24"/>
        </w:rPr>
        <w:t>.</w:t>
      </w:r>
    </w:p>
    <w:p w14:paraId="5B124101" w14:textId="77777777" w:rsidR="00F76005" w:rsidRPr="00D7723E" w:rsidRDefault="003F674B" w:rsidP="00774B74">
      <w:pPr>
        <w:pStyle w:val="Titre5"/>
        <w:keepNext w:val="0"/>
        <w:keepLines w:val="0"/>
        <w:spacing w:before="120" w:after="120" w:line="300" w:lineRule="auto"/>
        <w:ind w:firstLine="709"/>
        <w:rPr>
          <w:rFonts w:asciiTheme="majorBidi" w:hAnsiTheme="majorBidi"/>
          <w:b/>
          <w:bCs/>
          <w:color w:val="auto"/>
          <w:sz w:val="24"/>
          <w:szCs w:val="24"/>
        </w:rPr>
      </w:pPr>
      <w:bookmarkStart w:id="1140" w:name="_Toc182298824"/>
      <w:r w:rsidRPr="00D7723E">
        <w:rPr>
          <w:rFonts w:asciiTheme="majorBidi" w:hAnsiTheme="majorBidi"/>
          <w:b/>
          <w:bCs/>
          <w:color w:val="auto"/>
          <w:sz w:val="24"/>
          <w:szCs w:val="24"/>
        </w:rPr>
        <w:t xml:space="preserve">3.3.3.4- </w:t>
      </w:r>
      <w:r w:rsidR="00F76005" w:rsidRPr="00D7723E">
        <w:rPr>
          <w:rFonts w:asciiTheme="majorBidi" w:hAnsiTheme="majorBidi"/>
          <w:b/>
          <w:bCs/>
          <w:color w:val="auto"/>
          <w:sz w:val="24"/>
          <w:szCs w:val="24"/>
        </w:rPr>
        <w:t>Ratio de solvabilité bancaire proposé par l’IFSB</w:t>
      </w:r>
      <w:bookmarkEnd w:id="1140"/>
    </w:p>
    <w:p w14:paraId="6654B387" w14:textId="77777777" w:rsidR="002760B2" w:rsidRPr="003403B0" w:rsidRDefault="00F76005" w:rsidP="00F76005">
      <w:pPr>
        <w:pStyle w:val="Paragraphedeliste"/>
        <w:tabs>
          <w:tab w:val="left" w:pos="0"/>
          <w:tab w:val="left" w:pos="426"/>
          <w:tab w:val="left" w:pos="1134"/>
        </w:tabs>
        <w:spacing w:before="120" w:line="300" w:lineRule="auto"/>
        <w:ind w:left="0" w:firstLine="709"/>
        <w:contextualSpacing w:val="0"/>
        <w:rPr>
          <w:rFonts w:ascii="Times New Roman" w:hAnsi="Times New Roman" w:cs="Times New Roman"/>
          <w:spacing w:val="4"/>
          <w:sz w:val="24"/>
          <w:szCs w:val="24"/>
        </w:rPr>
      </w:pPr>
      <w:r w:rsidRPr="003403B0">
        <w:rPr>
          <w:rFonts w:ascii="Times New Roman" w:hAnsi="Times New Roman" w:cs="Times New Roman"/>
          <w:spacing w:val="4"/>
          <w:sz w:val="24"/>
          <w:szCs w:val="24"/>
        </w:rPr>
        <w:t>L</w:t>
      </w:r>
      <w:r w:rsidR="002760B2" w:rsidRPr="003403B0">
        <w:rPr>
          <w:rFonts w:ascii="Times New Roman" w:hAnsi="Times New Roman" w:cs="Times New Roman"/>
          <w:spacing w:val="4"/>
          <w:sz w:val="24"/>
          <w:szCs w:val="24"/>
        </w:rPr>
        <w:t>’IFSB est un organisme international basé en Malaisi</w:t>
      </w:r>
      <w:r w:rsidRPr="003403B0">
        <w:rPr>
          <w:rFonts w:ascii="Times New Roman" w:hAnsi="Times New Roman" w:cs="Times New Roman"/>
          <w:spacing w:val="4"/>
          <w:sz w:val="24"/>
          <w:szCs w:val="24"/>
        </w:rPr>
        <w:t>e ; il</w:t>
      </w:r>
      <w:r w:rsidR="002760B2" w:rsidRPr="003403B0">
        <w:rPr>
          <w:rFonts w:ascii="Times New Roman" w:hAnsi="Times New Roman" w:cs="Times New Roman"/>
          <w:spacing w:val="4"/>
          <w:sz w:val="24"/>
          <w:szCs w:val="24"/>
        </w:rPr>
        <w:t xml:space="preserve"> a pour rôle l’élaboration des normes pour réguler et superviser la finance </w:t>
      </w:r>
      <w:r w:rsidR="00D617A2" w:rsidRPr="003403B0">
        <w:rPr>
          <w:rFonts w:ascii="Times New Roman" w:hAnsi="Times New Roman" w:cs="Times New Roman"/>
          <w:spacing w:val="4"/>
          <w:sz w:val="24"/>
          <w:szCs w:val="24"/>
        </w:rPr>
        <w:t>i</w:t>
      </w:r>
      <w:r w:rsidR="003773C6" w:rsidRPr="003403B0">
        <w:rPr>
          <w:rFonts w:ascii="Times New Roman" w:hAnsi="Times New Roman" w:cs="Times New Roman"/>
          <w:spacing w:val="4"/>
          <w:sz w:val="24"/>
          <w:szCs w:val="24"/>
        </w:rPr>
        <w:t>slamique</w:t>
      </w:r>
      <w:r w:rsidR="00A00C8B" w:rsidRPr="003403B0">
        <w:rPr>
          <w:rFonts w:ascii="Times New Roman" w:hAnsi="Times New Roman" w:cs="Times New Roman"/>
          <w:spacing w:val="4"/>
          <w:sz w:val="24"/>
          <w:szCs w:val="24"/>
        </w:rPr>
        <w:t> ; il</w:t>
      </w:r>
      <w:r w:rsidR="002760B2" w:rsidRPr="003403B0">
        <w:rPr>
          <w:rFonts w:ascii="Times New Roman" w:hAnsi="Times New Roman" w:cs="Times New Roman"/>
          <w:spacing w:val="4"/>
          <w:sz w:val="24"/>
          <w:szCs w:val="24"/>
        </w:rPr>
        <w:t xml:space="preserve"> a proposé un standard qui tient compte des différences entre les banques conventionnelles et les banques </w:t>
      </w:r>
      <w:r w:rsidR="00505EDD" w:rsidRPr="003403B0">
        <w:rPr>
          <w:rFonts w:ascii="Times New Roman" w:hAnsi="Times New Roman" w:cs="Times New Roman"/>
          <w:spacing w:val="4"/>
          <w:sz w:val="24"/>
          <w:szCs w:val="24"/>
        </w:rPr>
        <w:t>i</w:t>
      </w:r>
      <w:r w:rsidR="003773C6" w:rsidRPr="003403B0">
        <w:rPr>
          <w:rFonts w:ascii="Times New Roman" w:hAnsi="Times New Roman" w:cs="Times New Roman"/>
          <w:spacing w:val="4"/>
          <w:sz w:val="24"/>
          <w:szCs w:val="24"/>
        </w:rPr>
        <w:t>slamique</w:t>
      </w:r>
      <w:r w:rsidR="002760B2" w:rsidRPr="003403B0">
        <w:rPr>
          <w:rFonts w:ascii="Times New Roman" w:hAnsi="Times New Roman" w:cs="Times New Roman"/>
          <w:spacing w:val="4"/>
          <w:sz w:val="24"/>
          <w:szCs w:val="24"/>
        </w:rPr>
        <w:t>s. Ce standard utilise les mêmes techniques de calcul des actifs pondérés des risques adoptées par les banques conventionnelles.</w:t>
      </w:r>
    </w:p>
    <w:p w14:paraId="5A783F06" w14:textId="77777777" w:rsidR="002760B2" w:rsidRPr="003403B0" w:rsidRDefault="002760B2" w:rsidP="00E44D7D">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3403B0">
        <w:rPr>
          <w:rFonts w:ascii="Times New Roman" w:hAnsi="Times New Roman" w:cs="Times New Roman"/>
          <w:spacing w:val="4"/>
          <w:sz w:val="24"/>
          <w:szCs w:val="24"/>
        </w:rPr>
        <w:t>Dans le ratio de solvabilité bancaire proposé par l’IFSB, le numérateur reste le même, mais</w:t>
      </w:r>
      <w:r w:rsidR="00A00C8B" w:rsidRPr="003403B0">
        <w:rPr>
          <w:rFonts w:ascii="Times New Roman" w:hAnsi="Times New Roman" w:cs="Times New Roman"/>
          <w:spacing w:val="4"/>
          <w:sz w:val="24"/>
          <w:szCs w:val="24"/>
        </w:rPr>
        <w:t>,</w:t>
      </w:r>
      <w:r w:rsidRPr="003403B0">
        <w:rPr>
          <w:rFonts w:ascii="Times New Roman" w:hAnsi="Times New Roman" w:cs="Times New Roman"/>
          <w:spacing w:val="4"/>
          <w:sz w:val="24"/>
          <w:szCs w:val="24"/>
        </w:rPr>
        <w:t xml:space="preserve"> dans le dénominateur, on retranche les risques liés aux comptes d’investissement participatif (CIP)</w:t>
      </w:r>
      <w:r w:rsidR="00A00C8B" w:rsidRPr="003403B0">
        <w:rPr>
          <w:rFonts w:ascii="Times New Roman" w:hAnsi="Times New Roman" w:cs="Times New Roman"/>
          <w:spacing w:val="4"/>
          <w:sz w:val="24"/>
          <w:szCs w:val="24"/>
        </w:rPr>
        <w:t> ;</w:t>
      </w:r>
      <w:r w:rsidRPr="003403B0">
        <w:rPr>
          <w:rFonts w:ascii="Times New Roman" w:hAnsi="Times New Roman" w:cs="Times New Roman"/>
          <w:spacing w:val="4"/>
          <w:sz w:val="24"/>
          <w:szCs w:val="24"/>
        </w:rPr>
        <w:t xml:space="preserve"> car les risques de </w:t>
      </w:r>
      <w:r w:rsidR="0009055E" w:rsidRPr="003403B0">
        <w:rPr>
          <w:rFonts w:ascii="Times New Roman" w:hAnsi="Times New Roman" w:cs="Times New Roman"/>
          <w:spacing w:val="4"/>
          <w:sz w:val="24"/>
          <w:szCs w:val="24"/>
        </w:rPr>
        <w:t>contrepartie</w:t>
      </w:r>
      <w:r w:rsidRPr="003403B0">
        <w:rPr>
          <w:rFonts w:ascii="Times New Roman" w:hAnsi="Times New Roman" w:cs="Times New Roman"/>
          <w:spacing w:val="4"/>
          <w:sz w:val="24"/>
          <w:szCs w:val="24"/>
        </w:rPr>
        <w:t xml:space="preserve"> et de marché liés à ces comptes sont supportés totalement par les titulaires de comptes, alors que les risques op</w:t>
      </w:r>
      <w:r w:rsidR="000F4546" w:rsidRPr="003403B0">
        <w:rPr>
          <w:rFonts w:ascii="Times New Roman" w:hAnsi="Times New Roman" w:cs="Times New Roman"/>
          <w:spacing w:val="4"/>
          <w:sz w:val="24"/>
          <w:szCs w:val="24"/>
        </w:rPr>
        <w:t>érationnels sont assumés par la</w:t>
      </w:r>
      <w:r w:rsidRPr="003403B0">
        <w:rPr>
          <w:rFonts w:ascii="Times New Roman" w:hAnsi="Times New Roman" w:cs="Times New Roman"/>
          <w:spacing w:val="4"/>
          <w:sz w:val="24"/>
          <w:szCs w:val="24"/>
        </w:rPr>
        <w:t xml:space="preserve"> BI. </w:t>
      </w:r>
      <w:r w:rsidR="00E44D7D" w:rsidRPr="003403B0">
        <w:rPr>
          <w:rFonts w:ascii="Times New Roman" w:hAnsi="Times New Roman" w:cs="Times New Roman"/>
          <w:spacing w:val="4"/>
          <w:sz w:val="24"/>
          <w:szCs w:val="24"/>
        </w:rPr>
        <w:t>Bien que</w:t>
      </w:r>
      <w:r w:rsidRPr="003403B0">
        <w:rPr>
          <w:rFonts w:ascii="Times New Roman" w:hAnsi="Times New Roman" w:cs="Times New Roman"/>
          <w:spacing w:val="4"/>
          <w:sz w:val="24"/>
          <w:szCs w:val="24"/>
        </w:rPr>
        <w:t xml:space="preserve"> l’application de ce ratio corrigé par l’IFSB soit bénéfique pour les BI, la majorité de ces banques font recours au ratio classique de Bâle III</w:t>
      </w:r>
      <w:r w:rsidRPr="003403B0">
        <w:rPr>
          <w:rStyle w:val="Appelnotedebasdep"/>
          <w:rFonts w:ascii="Times New Roman" w:hAnsi="Times New Roman"/>
          <w:spacing w:val="4"/>
          <w:sz w:val="24"/>
          <w:szCs w:val="24"/>
        </w:rPr>
        <w:footnoteReference w:id="294"/>
      </w:r>
      <w:r w:rsidR="00A00C8B" w:rsidRPr="003403B0">
        <w:rPr>
          <w:rFonts w:ascii="Times New Roman" w:hAnsi="Times New Roman" w:cs="Times New Roman"/>
          <w:spacing w:val="4"/>
          <w:sz w:val="24"/>
          <w:szCs w:val="24"/>
        </w:rPr>
        <w:t>.</w:t>
      </w:r>
    </w:p>
    <w:p w14:paraId="5216A21E" w14:textId="77777777" w:rsidR="00F76005" w:rsidRPr="00D7723E" w:rsidRDefault="003F674B" w:rsidP="00774B74">
      <w:pPr>
        <w:pStyle w:val="Titre5"/>
        <w:keepNext w:val="0"/>
        <w:keepLines w:val="0"/>
        <w:spacing w:before="120" w:after="120" w:line="300" w:lineRule="auto"/>
        <w:ind w:firstLine="709"/>
        <w:rPr>
          <w:rFonts w:asciiTheme="majorBidi" w:hAnsiTheme="majorBidi"/>
          <w:b/>
          <w:bCs/>
          <w:color w:val="auto"/>
          <w:sz w:val="24"/>
          <w:szCs w:val="24"/>
        </w:rPr>
      </w:pPr>
      <w:bookmarkStart w:id="1141" w:name="_Toc182298825"/>
      <w:r w:rsidRPr="00D7723E">
        <w:rPr>
          <w:rFonts w:asciiTheme="majorBidi" w:hAnsiTheme="majorBidi"/>
          <w:b/>
          <w:bCs/>
          <w:color w:val="auto"/>
          <w:sz w:val="24"/>
          <w:szCs w:val="24"/>
        </w:rPr>
        <w:t xml:space="preserve">3.3.3.5- </w:t>
      </w:r>
      <w:r w:rsidR="00F76005" w:rsidRPr="006F6800">
        <w:rPr>
          <w:rFonts w:asciiTheme="majorBidi" w:hAnsiTheme="majorBidi"/>
          <w:b/>
          <w:bCs/>
          <w:i/>
          <w:iCs/>
          <w:color w:val="auto"/>
          <w:sz w:val="24"/>
          <w:szCs w:val="24"/>
        </w:rPr>
        <w:t>Profit Equalisation Reserve</w:t>
      </w:r>
      <w:r w:rsidR="00F76005" w:rsidRPr="00D7723E">
        <w:rPr>
          <w:rFonts w:asciiTheme="majorBidi" w:hAnsiTheme="majorBidi"/>
          <w:b/>
          <w:bCs/>
          <w:color w:val="auto"/>
          <w:sz w:val="24"/>
          <w:szCs w:val="24"/>
        </w:rPr>
        <w:t xml:space="preserve"> (PER) et </w:t>
      </w:r>
      <w:r w:rsidR="00F76005" w:rsidRPr="006F6800">
        <w:rPr>
          <w:rFonts w:asciiTheme="majorBidi" w:hAnsiTheme="majorBidi"/>
          <w:b/>
          <w:bCs/>
          <w:i/>
          <w:iCs/>
          <w:color w:val="auto"/>
          <w:sz w:val="24"/>
          <w:szCs w:val="24"/>
        </w:rPr>
        <w:t>Investment Risk Reserve</w:t>
      </w:r>
      <w:r w:rsidR="00F76005" w:rsidRPr="00D7723E">
        <w:rPr>
          <w:rFonts w:asciiTheme="majorBidi" w:hAnsiTheme="majorBidi"/>
          <w:b/>
          <w:bCs/>
          <w:color w:val="auto"/>
          <w:sz w:val="24"/>
          <w:szCs w:val="24"/>
        </w:rPr>
        <w:t xml:space="preserve"> (IRR)</w:t>
      </w:r>
      <w:bookmarkEnd w:id="1141"/>
    </w:p>
    <w:p w14:paraId="49564A0A" w14:textId="2589DC48" w:rsidR="002760B2" w:rsidRPr="003403B0" w:rsidRDefault="002760B2" w:rsidP="002855F4">
      <w:pPr>
        <w:pStyle w:val="Paragraphedeliste"/>
        <w:tabs>
          <w:tab w:val="left" w:pos="0"/>
          <w:tab w:val="left" w:pos="426"/>
          <w:tab w:val="left" w:pos="1134"/>
        </w:tabs>
        <w:spacing w:before="120" w:line="300" w:lineRule="auto"/>
        <w:ind w:left="0" w:firstLine="709"/>
        <w:contextualSpacing w:val="0"/>
        <w:rPr>
          <w:rFonts w:ascii="Times New Roman" w:hAnsi="Times New Roman" w:cs="Times New Roman"/>
          <w:spacing w:val="4"/>
          <w:sz w:val="24"/>
          <w:szCs w:val="24"/>
        </w:rPr>
      </w:pPr>
      <w:r w:rsidRPr="003403B0">
        <w:rPr>
          <w:rFonts w:ascii="Times New Roman" w:hAnsi="Times New Roman" w:cs="Times New Roman"/>
          <w:spacing w:val="4"/>
          <w:sz w:val="24"/>
          <w:szCs w:val="24"/>
        </w:rPr>
        <w:t xml:space="preserve">L’AAOIFI et l’IFSB considèrent la </w:t>
      </w:r>
      <w:r w:rsidRPr="006F6800">
        <w:rPr>
          <w:rFonts w:ascii="Times New Roman" w:hAnsi="Times New Roman" w:cs="Times New Roman"/>
          <w:i/>
          <w:iCs/>
          <w:spacing w:val="4"/>
          <w:sz w:val="24"/>
          <w:szCs w:val="24"/>
        </w:rPr>
        <w:t>Profit Equalisation Reserve</w:t>
      </w:r>
      <w:r w:rsidR="006F6800">
        <w:rPr>
          <w:rFonts w:ascii="Times New Roman" w:hAnsi="Times New Roman" w:cs="Times New Roman"/>
          <w:i/>
          <w:iCs/>
          <w:spacing w:val="4"/>
          <w:sz w:val="24"/>
          <w:szCs w:val="24"/>
        </w:rPr>
        <w:t xml:space="preserve"> </w:t>
      </w:r>
      <w:r w:rsidR="006F6800" w:rsidRPr="006F6800">
        <w:rPr>
          <w:rFonts w:ascii="Times New Roman" w:hAnsi="Times New Roman" w:cs="Times New Roman"/>
          <w:spacing w:val="4"/>
          <w:sz w:val="24"/>
          <w:szCs w:val="24"/>
        </w:rPr>
        <w:t>(</w:t>
      </w:r>
      <w:r w:rsidR="006F6800" w:rsidRPr="003403B0">
        <w:rPr>
          <w:rFonts w:ascii="Times New Roman" w:hAnsi="Times New Roman" w:cs="Times New Roman"/>
          <w:spacing w:val="4"/>
          <w:sz w:val="24"/>
          <w:szCs w:val="24"/>
        </w:rPr>
        <w:t>PER</w:t>
      </w:r>
      <w:r w:rsidRPr="006F6800">
        <w:rPr>
          <w:rFonts w:ascii="Times New Roman" w:hAnsi="Times New Roman" w:cs="Times New Roman"/>
          <w:spacing w:val="4"/>
          <w:sz w:val="24"/>
          <w:szCs w:val="24"/>
        </w:rPr>
        <w:t>)</w:t>
      </w:r>
      <w:r w:rsidRPr="003403B0">
        <w:rPr>
          <w:rFonts w:ascii="Times New Roman" w:hAnsi="Times New Roman" w:cs="Times New Roman"/>
          <w:spacing w:val="4"/>
          <w:sz w:val="24"/>
          <w:szCs w:val="24"/>
        </w:rPr>
        <w:t xml:space="preserve"> et l</w:t>
      </w:r>
      <w:r w:rsidR="006F6800">
        <w:rPr>
          <w:rFonts w:ascii="Times New Roman" w:hAnsi="Times New Roman" w:cs="Times New Roman"/>
          <w:i/>
          <w:iCs/>
          <w:spacing w:val="4"/>
          <w:sz w:val="24"/>
          <w:szCs w:val="24"/>
        </w:rPr>
        <w:t>’</w:t>
      </w:r>
      <w:r w:rsidR="006F6800" w:rsidRPr="006F6800">
        <w:rPr>
          <w:rFonts w:ascii="Times New Roman" w:hAnsi="Times New Roman" w:cs="Times New Roman"/>
          <w:i/>
          <w:iCs/>
          <w:spacing w:val="4"/>
          <w:sz w:val="24"/>
          <w:szCs w:val="24"/>
        </w:rPr>
        <w:t>Investment Risk Reserve</w:t>
      </w:r>
      <w:r w:rsidR="006F6800">
        <w:rPr>
          <w:rFonts w:ascii="Times New Roman" w:hAnsi="Times New Roman" w:cs="Times New Roman"/>
          <w:i/>
          <w:iCs/>
          <w:spacing w:val="4"/>
          <w:sz w:val="24"/>
          <w:szCs w:val="24"/>
        </w:rPr>
        <w:t xml:space="preserve"> </w:t>
      </w:r>
      <w:r w:rsidR="006F6800" w:rsidRPr="006F6800">
        <w:rPr>
          <w:rFonts w:ascii="Times New Roman" w:hAnsi="Times New Roman" w:cs="Times New Roman"/>
          <w:spacing w:val="4"/>
          <w:sz w:val="24"/>
          <w:szCs w:val="24"/>
        </w:rPr>
        <w:t>(</w:t>
      </w:r>
      <w:r w:rsidR="006F6800">
        <w:rPr>
          <w:rFonts w:ascii="Times New Roman" w:hAnsi="Times New Roman" w:cs="Times New Roman"/>
          <w:spacing w:val="4"/>
          <w:sz w:val="24"/>
          <w:szCs w:val="24"/>
        </w:rPr>
        <w:t>IRR</w:t>
      </w:r>
      <w:r w:rsidRPr="006F6800">
        <w:rPr>
          <w:rFonts w:ascii="Times New Roman" w:hAnsi="Times New Roman" w:cs="Times New Roman"/>
          <w:spacing w:val="4"/>
          <w:sz w:val="24"/>
          <w:szCs w:val="24"/>
        </w:rPr>
        <w:t>)</w:t>
      </w:r>
      <w:r w:rsidRPr="003403B0">
        <w:rPr>
          <w:rFonts w:ascii="Times New Roman" w:hAnsi="Times New Roman" w:cs="Times New Roman"/>
          <w:spacing w:val="4"/>
          <w:sz w:val="24"/>
          <w:szCs w:val="24"/>
        </w:rPr>
        <w:t xml:space="preserve"> comme des réserves prudentielles. Les deux organisations recommandent de présenter la part de PER réservée aux actionnaires comme composante de réserves totales et de l’intégrer aux capitaux propres. Et pour l’IRR, elles recommandent de l’inscrire comme composante des capitaux des titulaires des comptes d’investissement</w:t>
      </w:r>
      <w:r w:rsidRPr="003403B0">
        <w:rPr>
          <w:rStyle w:val="Appelnotedebasdep"/>
          <w:rFonts w:ascii="Times New Roman" w:hAnsi="Times New Roman"/>
          <w:spacing w:val="4"/>
          <w:sz w:val="24"/>
          <w:szCs w:val="24"/>
        </w:rPr>
        <w:footnoteReference w:id="295"/>
      </w:r>
      <w:r w:rsidRPr="003403B0">
        <w:rPr>
          <w:rFonts w:ascii="Times New Roman" w:hAnsi="Times New Roman" w:cs="Times New Roman"/>
          <w:spacing w:val="4"/>
          <w:sz w:val="24"/>
          <w:szCs w:val="24"/>
        </w:rPr>
        <w:t>.</w:t>
      </w:r>
    </w:p>
    <w:p w14:paraId="0E63461D" w14:textId="77777777" w:rsidR="002760B2" w:rsidRPr="003403B0" w:rsidRDefault="002760B2" w:rsidP="00F76005">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3403B0">
        <w:rPr>
          <w:rFonts w:ascii="Times New Roman" w:hAnsi="Times New Roman" w:cs="Times New Roman"/>
          <w:spacing w:val="4"/>
          <w:sz w:val="24"/>
          <w:szCs w:val="24"/>
        </w:rPr>
        <w:lastRenderedPageBreak/>
        <w:t>En 1999, l’AAOIFI a fait la première tentative pour présenter un ratio d’adéquation en capital qui prend en compte les spécificité</w:t>
      </w:r>
      <w:r w:rsidR="00FE768C" w:rsidRPr="003403B0">
        <w:rPr>
          <w:rFonts w:ascii="Times New Roman" w:hAnsi="Times New Roman" w:cs="Times New Roman"/>
          <w:spacing w:val="4"/>
          <w:sz w:val="24"/>
          <w:szCs w:val="24"/>
        </w:rPr>
        <w:t>s des BI</w:t>
      </w:r>
      <w:r w:rsidR="00A00C8B" w:rsidRPr="003403B0">
        <w:rPr>
          <w:rFonts w:ascii="Times New Roman" w:hAnsi="Times New Roman" w:cs="Times New Roman"/>
          <w:spacing w:val="4"/>
          <w:sz w:val="24"/>
          <w:szCs w:val="24"/>
        </w:rPr>
        <w:t>. L</w:t>
      </w:r>
      <w:r w:rsidR="00FE768C" w:rsidRPr="003403B0">
        <w:rPr>
          <w:rFonts w:ascii="Times New Roman" w:hAnsi="Times New Roman" w:cs="Times New Roman"/>
          <w:spacing w:val="4"/>
          <w:sz w:val="24"/>
          <w:szCs w:val="24"/>
        </w:rPr>
        <w:t>e ratio proposé est :</w:t>
      </w:r>
    </w:p>
    <w:p w14:paraId="11859045" w14:textId="77777777" w:rsidR="00730BD4" w:rsidRPr="00D617A2" w:rsidRDefault="00730BD4" w:rsidP="0032367F">
      <w:pPr>
        <w:pStyle w:val="Paragraphedeliste"/>
        <w:spacing w:before="100" w:beforeAutospacing="1" w:after="100" w:afterAutospacing="1" w:line="300" w:lineRule="auto"/>
        <w:ind w:left="0"/>
        <w:contextualSpacing w:val="0"/>
        <w:jc w:val="center"/>
        <w:rPr>
          <w:rFonts w:ascii="Times New Roman" w:hAnsi="Times New Roman" w:cs="Times New Roman"/>
          <w:b/>
          <w:bCs/>
          <w:i/>
          <w:iCs/>
          <w:color w:val="000000" w:themeColor="text1"/>
          <w:sz w:val="24"/>
          <w:szCs w:val="24"/>
        </w:rPr>
      </w:pPr>
      <w:r w:rsidRPr="0009055E">
        <w:rPr>
          <w:rFonts w:ascii="Times New Roman" w:hAnsi="Times New Roman" w:cs="Times New Roman"/>
          <w:b/>
          <w:bCs/>
          <w:i/>
          <w:iCs/>
          <w:color w:val="000000" w:themeColor="text1"/>
          <w:sz w:val="24"/>
          <w:szCs w:val="24"/>
        </w:rPr>
        <w:t xml:space="preserve">Ratio de capital = </w:t>
      </w:r>
      <m:oMath>
        <m:f>
          <m:fPr>
            <m:ctrlPr>
              <w:rPr>
                <w:rFonts w:ascii="Cambria Math" w:hAnsi="Times New Roman" w:cs="Times New Roman"/>
                <w:b/>
                <w:bCs/>
                <w:i/>
                <w:iCs/>
                <w:color w:val="000000" w:themeColor="text1"/>
                <w:sz w:val="24"/>
                <w:szCs w:val="24"/>
              </w:rPr>
            </m:ctrlPr>
          </m:fPr>
          <m:num>
            <m:r>
              <m:rPr>
                <m:sty m:val="bi"/>
              </m:rPr>
              <w:rPr>
                <w:rFonts w:ascii="Cambria Math" w:hAnsi="Cambria Math" w:cs="Times New Roman"/>
                <w:color w:val="000000" w:themeColor="text1"/>
                <w:sz w:val="24"/>
                <w:szCs w:val="24"/>
              </w:rPr>
              <m:t>Capital</m:t>
            </m:r>
          </m:num>
          <m:den>
            <m:eqArr>
              <m:eqArrPr>
                <m:ctrlPr>
                  <w:rPr>
                    <w:rFonts w:ascii="Cambria Math" w:hAnsi="Times New Roman" w:cs="Times New Roman"/>
                    <w:b/>
                    <w:bCs/>
                    <w:i/>
                    <w:iCs/>
                    <w:color w:val="000000" w:themeColor="text1"/>
                    <w:sz w:val="24"/>
                    <w:szCs w:val="24"/>
                  </w:rPr>
                </m:ctrlPr>
              </m:eqArrPr>
              <m:e>
                <m:r>
                  <m:rPr>
                    <m:sty m:val="bi"/>
                  </m:rPr>
                  <w:rPr>
                    <w:rFonts w:ascii="Cambria Math" w:hAnsi="Cambria Math" w:cs="Times New Roman"/>
                    <w:color w:val="000000" w:themeColor="text1"/>
                    <w:sz w:val="24"/>
                    <w:szCs w:val="24"/>
                  </w:rPr>
                  <m:t>Risques</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pond</m:t>
                </m:r>
                <m:r>
                  <m:rPr>
                    <m:sty m:val="bi"/>
                  </m:rPr>
                  <w:rPr>
                    <w:rFonts w:ascii="Cambria Math" w:hAnsi="Times New Roman" w:cs="Times New Roman"/>
                    <w:color w:val="000000" w:themeColor="text1"/>
                    <w:sz w:val="24"/>
                    <w:szCs w:val="24"/>
                  </w:rPr>
                  <m:t>é</m:t>
                </m:r>
                <m:r>
                  <m:rPr>
                    <m:sty m:val="bi"/>
                  </m:rPr>
                  <w:rPr>
                    <w:rFonts w:ascii="Cambria Math" w:hAnsi="Cambria Math" w:cs="Times New Roman"/>
                    <w:color w:val="000000" w:themeColor="text1"/>
                    <w:sz w:val="24"/>
                    <w:szCs w:val="24"/>
                  </w:rPr>
                  <m:t>r</m:t>
                </m:r>
                <m:r>
                  <m:rPr>
                    <m:sty m:val="bi"/>
                  </m:rPr>
                  <w:rPr>
                    <w:rFonts w:ascii="Cambria Math" w:hAnsi="Times New Roman" w:cs="Times New Roman"/>
                    <w:color w:val="000000" w:themeColor="text1"/>
                    <w:sz w:val="24"/>
                    <w:szCs w:val="24"/>
                  </w:rPr>
                  <m:t>é</m:t>
                </m:r>
                <m:r>
                  <m:rPr>
                    <m:sty m:val="bi"/>
                  </m:rPr>
                  <w:rPr>
                    <w:rFonts w:ascii="Cambria Math" w:hAnsi="Cambria Math" w:cs="Times New Roman"/>
                    <w:color w:val="000000" w:themeColor="text1"/>
                    <w:sz w:val="24"/>
                    <w:szCs w:val="24"/>
                  </w:rPr>
                  <m:t>s</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des</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actifs</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financ</m:t>
                </m:r>
                <m:r>
                  <m:rPr>
                    <m:sty m:val="bi"/>
                  </m:rPr>
                  <w:rPr>
                    <w:rFonts w:ascii="Cambria Math" w:hAnsi="Times New Roman" w:cs="Times New Roman"/>
                    <w:color w:val="000000" w:themeColor="text1"/>
                    <w:sz w:val="24"/>
                    <w:szCs w:val="24"/>
                  </w:rPr>
                  <m:t>é</m:t>
                </m:r>
                <m:r>
                  <m:rPr>
                    <m:sty m:val="bi"/>
                  </m:rPr>
                  <w:rPr>
                    <w:rFonts w:ascii="Cambria Math" w:hAnsi="Cambria Math" w:cs="Times New Roman"/>
                    <w:color w:val="000000" w:themeColor="text1"/>
                    <w:sz w:val="24"/>
                    <w:szCs w:val="24"/>
                  </w:rPr>
                  <m:t>s</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par</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CC</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et</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CP</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Cr</m:t>
                </m:r>
                <m:r>
                  <m:rPr>
                    <m:sty m:val="bi"/>
                  </m:rPr>
                  <w:rPr>
                    <w:rFonts w:ascii="Cambria Math" w:hAnsi="Times New Roman" w:cs="Times New Roman"/>
                    <w:color w:val="000000" w:themeColor="text1"/>
                    <w:sz w:val="24"/>
                    <w:szCs w:val="24"/>
                  </w:rPr>
                  <m:t>é</m:t>
                </m:r>
                <m:r>
                  <m:rPr>
                    <m:sty m:val="bi"/>
                  </m:rPr>
                  <w:rPr>
                    <w:rFonts w:ascii="Cambria Math" w:hAnsi="Cambria Math" w:cs="Times New Roman"/>
                    <w:color w:val="000000" w:themeColor="text1"/>
                    <w:sz w:val="24"/>
                    <w:szCs w:val="24"/>
                  </w:rPr>
                  <m:t>dit</m:t>
                </m:r>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march</m:t>
                </m:r>
                <m:r>
                  <m:rPr>
                    <m:sty m:val="bi"/>
                  </m:rPr>
                  <w:rPr>
                    <w:rFonts w:ascii="Cambria Math" w:hAnsi="Times New Roman" w:cs="Times New Roman"/>
                    <w:color w:val="000000" w:themeColor="text1"/>
                    <w:sz w:val="24"/>
                    <w:szCs w:val="24"/>
                  </w:rPr>
                  <m:t>é</m:t>
                </m:r>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op</m:t>
                </m:r>
                <m:r>
                  <m:rPr>
                    <m:sty m:val="bi"/>
                  </m:rPr>
                  <w:rPr>
                    <w:rFonts w:ascii="Cambria Math" w:hAnsi="Times New Roman" w:cs="Times New Roman"/>
                    <w:color w:val="000000" w:themeColor="text1"/>
                    <w:sz w:val="24"/>
                    <w:szCs w:val="24"/>
                  </w:rPr>
                  <m:t>é</m:t>
                </m:r>
                <m:r>
                  <m:rPr>
                    <m:sty m:val="bi"/>
                  </m:rPr>
                  <w:rPr>
                    <w:rFonts w:ascii="Cambria Math" w:hAnsi="Cambria Math" w:cs="Times New Roman"/>
                    <w:color w:val="000000" w:themeColor="text1"/>
                    <w:sz w:val="24"/>
                    <w:szCs w:val="24"/>
                  </w:rPr>
                  <m:t>rationnel</m:t>
                </m:r>
                <m:r>
                  <m:rPr>
                    <m:sty m:val="bi"/>
                  </m:rPr>
                  <w:rPr>
                    <w:rFonts w:ascii="Cambria Math" w:hAnsi="Times New Roman" w:cs="Times New Roman"/>
                    <w:color w:val="000000" w:themeColor="text1"/>
                    <w:sz w:val="24"/>
                    <w:szCs w:val="24"/>
                  </w:rPr>
                  <m:t>)+</m:t>
                </m:r>
              </m:e>
              <m:e>
                <m:r>
                  <m:rPr>
                    <m:sty m:val="bi"/>
                  </m:rPr>
                  <w:rPr>
                    <w:rFonts w:ascii="Cambria Math" w:hAnsi="Cambria Math" w:cs="Times New Roman"/>
                    <w:color w:val="000000" w:themeColor="text1"/>
                    <w:sz w:val="24"/>
                    <w:szCs w:val="24"/>
                  </w:rPr>
                  <m:t>50</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risques</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pond</m:t>
                </m:r>
                <m:r>
                  <m:rPr>
                    <m:sty m:val="bi"/>
                  </m:rPr>
                  <w:rPr>
                    <w:rFonts w:ascii="Cambria Math" w:hAnsi="Times New Roman" w:cs="Times New Roman"/>
                    <w:color w:val="000000" w:themeColor="text1"/>
                    <w:sz w:val="24"/>
                    <w:szCs w:val="24"/>
                  </w:rPr>
                  <m:t>é</m:t>
                </m:r>
                <m:r>
                  <m:rPr>
                    <m:sty m:val="bi"/>
                  </m:rPr>
                  <w:rPr>
                    <w:rFonts w:ascii="Cambria Math" w:hAnsi="Cambria Math" w:cs="Times New Roman"/>
                    <w:color w:val="000000" w:themeColor="text1"/>
                    <w:sz w:val="24"/>
                    <w:szCs w:val="24"/>
                  </w:rPr>
                  <m:t>r</m:t>
                </m:r>
                <m:r>
                  <m:rPr>
                    <m:sty m:val="bi"/>
                  </m:rPr>
                  <w:rPr>
                    <w:rFonts w:ascii="Cambria Math" w:hAnsi="Times New Roman" w:cs="Times New Roman"/>
                    <w:color w:val="000000" w:themeColor="text1"/>
                    <w:sz w:val="24"/>
                    <w:szCs w:val="24"/>
                  </w:rPr>
                  <m:t>é</m:t>
                </m:r>
                <m:r>
                  <m:rPr>
                    <m:sty m:val="bi"/>
                  </m:rPr>
                  <w:rPr>
                    <w:rFonts w:ascii="Cambria Math" w:hAnsi="Cambria Math" w:cs="Times New Roman"/>
                    <w:color w:val="000000" w:themeColor="text1"/>
                    <w:sz w:val="24"/>
                    <w:szCs w:val="24"/>
                  </w:rPr>
                  <m:t>s</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des</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actifs</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financ</m:t>
                </m:r>
                <m:r>
                  <m:rPr>
                    <m:sty m:val="bi"/>
                  </m:rPr>
                  <w:rPr>
                    <w:rFonts w:ascii="Cambria Math" w:hAnsi="Times New Roman" w:cs="Times New Roman"/>
                    <w:color w:val="000000" w:themeColor="text1"/>
                    <w:sz w:val="24"/>
                    <w:szCs w:val="24"/>
                  </w:rPr>
                  <m:t>é</m:t>
                </m:r>
                <m:r>
                  <m:rPr>
                    <m:sty m:val="bi"/>
                  </m:rPr>
                  <w:rPr>
                    <w:rFonts w:ascii="Cambria Math" w:hAnsi="Cambria Math" w:cs="Times New Roman"/>
                    <w:color w:val="000000" w:themeColor="text1"/>
                    <w:sz w:val="24"/>
                    <w:szCs w:val="24"/>
                  </w:rPr>
                  <m:t>s</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par</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CI</m:t>
                </m:r>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cr</m:t>
                </m:r>
                <m:r>
                  <m:rPr>
                    <m:sty m:val="bi"/>
                  </m:rPr>
                  <w:rPr>
                    <w:rFonts w:ascii="Cambria Math" w:hAnsi="Times New Roman" w:cs="Times New Roman"/>
                    <w:color w:val="000000" w:themeColor="text1"/>
                    <w:sz w:val="24"/>
                    <w:szCs w:val="24"/>
                  </w:rPr>
                  <m:t>é</m:t>
                </m:r>
                <m:r>
                  <m:rPr>
                    <m:sty m:val="bi"/>
                  </m:rPr>
                  <w:rPr>
                    <w:rFonts w:ascii="Cambria Math" w:hAnsi="Cambria Math" w:cs="Times New Roman"/>
                    <w:color w:val="000000" w:themeColor="text1"/>
                    <w:sz w:val="24"/>
                    <w:szCs w:val="24"/>
                  </w:rPr>
                  <m:t>dit</m:t>
                </m:r>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march</m:t>
                </m:r>
                <m:r>
                  <m:rPr>
                    <m:sty m:val="bi"/>
                  </m:rPr>
                  <w:rPr>
                    <w:rFonts w:ascii="Cambria Math" w:hAnsi="Times New Roman" w:cs="Times New Roman"/>
                    <w:color w:val="000000" w:themeColor="text1"/>
                    <w:sz w:val="24"/>
                    <w:szCs w:val="24"/>
                  </w:rPr>
                  <m:t>é</m:t>
                </m:r>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op</m:t>
                </m:r>
                <m:r>
                  <m:rPr>
                    <m:sty m:val="bi"/>
                  </m:rPr>
                  <w:rPr>
                    <w:rFonts w:ascii="Cambria Math" w:hAnsi="Times New Roman" w:cs="Times New Roman"/>
                    <w:color w:val="000000" w:themeColor="text1"/>
                    <w:sz w:val="24"/>
                    <w:szCs w:val="24"/>
                  </w:rPr>
                  <m:t>é</m:t>
                </m:r>
                <m:r>
                  <m:rPr>
                    <m:sty m:val="bi"/>
                  </m:rPr>
                  <w:rPr>
                    <w:rFonts w:ascii="Cambria Math" w:hAnsi="Cambria Math" w:cs="Times New Roman"/>
                    <w:color w:val="000000" w:themeColor="text1"/>
                    <w:sz w:val="24"/>
                    <w:szCs w:val="24"/>
                  </w:rPr>
                  <m:t>rationnel</m:t>
                </m:r>
                <m:r>
                  <m:rPr>
                    <m:sty m:val="bi"/>
                  </m:rPr>
                  <w:rPr>
                    <w:rFonts w:ascii="Cambria Math" w:hAnsi="Times New Roman" w:cs="Times New Roman"/>
                    <w:color w:val="000000" w:themeColor="text1"/>
                    <w:sz w:val="24"/>
                    <w:szCs w:val="24"/>
                  </w:rPr>
                  <m:t xml:space="preserve">)  </m:t>
                </m:r>
              </m:e>
            </m:eqArr>
          </m:den>
        </m:f>
      </m:oMath>
    </w:p>
    <w:p w14:paraId="4BFC505A" w14:textId="77777777" w:rsidR="002760B2" w:rsidRPr="002B005F" w:rsidRDefault="002760B2" w:rsidP="007B64B9">
      <w:pPr>
        <w:tabs>
          <w:tab w:val="left" w:pos="0"/>
        </w:tabs>
        <w:spacing w:before="100" w:beforeAutospacing="1" w:line="300" w:lineRule="auto"/>
        <w:ind w:firstLine="709"/>
        <w:rPr>
          <w:rFonts w:ascii="Times New Roman" w:hAnsi="Times New Roman" w:cs="Times New Roman"/>
          <w:sz w:val="24"/>
          <w:szCs w:val="24"/>
        </w:rPr>
      </w:pPr>
      <w:r w:rsidRPr="002B005F">
        <w:rPr>
          <w:rFonts w:ascii="Times New Roman" w:hAnsi="Times New Roman" w:cs="Times New Roman"/>
          <w:b/>
          <w:bCs/>
          <w:sz w:val="24"/>
          <w:szCs w:val="24"/>
        </w:rPr>
        <w:t>Avec</w:t>
      </w:r>
      <w:r w:rsidRPr="002B005F">
        <w:rPr>
          <w:rFonts w:ascii="Times New Roman" w:hAnsi="Times New Roman" w:cs="Times New Roman"/>
          <w:sz w:val="24"/>
          <w:szCs w:val="24"/>
        </w:rPr>
        <w:t> :</w:t>
      </w:r>
    </w:p>
    <w:p w14:paraId="29A369C2" w14:textId="77777777" w:rsidR="00E36F9C" w:rsidRDefault="002760B2" w:rsidP="00E36F9C">
      <w:pPr>
        <w:tabs>
          <w:tab w:val="left" w:pos="0"/>
        </w:tabs>
        <w:spacing w:line="300" w:lineRule="auto"/>
        <w:ind w:left="851"/>
        <w:rPr>
          <w:rFonts w:ascii="Times New Roman" w:hAnsi="Times New Roman" w:cs="Times New Roman"/>
          <w:sz w:val="24"/>
          <w:szCs w:val="24"/>
        </w:rPr>
      </w:pPr>
      <w:r w:rsidRPr="002B005F">
        <w:rPr>
          <w:rFonts w:ascii="Times New Roman" w:hAnsi="Times New Roman" w:cs="Times New Roman"/>
          <w:b/>
          <w:bCs/>
          <w:sz w:val="24"/>
          <w:szCs w:val="24"/>
        </w:rPr>
        <w:t>CC</w:t>
      </w:r>
      <w:r w:rsidRPr="002B005F">
        <w:rPr>
          <w:rFonts w:ascii="Times New Roman" w:hAnsi="Times New Roman" w:cs="Times New Roman"/>
          <w:sz w:val="24"/>
          <w:szCs w:val="24"/>
        </w:rPr>
        <w:t> : comptes courants,</w:t>
      </w:r>
    </w:p>
    <w:p w14:paraId="7D1D01E1" w14:textId="77777777" w:rsidR="00E36F9C" w:rsidRDefault="002760B2" w:rsidP="00E36F9C">
      <w:pPr>
        <w:tabs>
          <w:tab w:val="left" w:pos="0"/>
        </w:tabs>
        <w:spacing w:line="300" w:lineRule="auto"/>
        <w:ind w:left="851"/>
        <w:rPr>
          <w:rFonts w:ascii="Times New Roman" w:hAnsi="Times New Roman" w:cs="Times New Roman"/>
          <w:sz w:val="24"/>
          <w:szCs w:val="24"/>
        </w:rPr>
      </w:pPr>
      <w:r w:rsidRPr="002B005F">
        <w:rPr>
          <w:rFonts w:ascii="Times New Roman" w:hAnsi="Times New Roman" w:cs="Times New Roman"/>
          <w:b/>
          <w:bCs/>
          <w:sz w:val="24"/>
          <w:szCs w:val="24"/>
        </w:rPr>
        <w:t>CP</w:t>
      </w:r>
      <w:r w:rsidRPr="002B005F">
        <w:rPr>
          <w:rFonts w:ascii="Times New Roman" w:hAnsi="Times New Roman" w:cs="Times New Roman"/>
          <w:sz w:val="24"/>
          <w:szCs w:val="24"/>
        </w:rPr>
        <w:t> : capitaux propres,</w:t>
      </w:r>
    </w:p>
    <w:p w14:paraId="5CDDFCBD" w14:textId="77777777" w:rsidR="002760B2" w:rsidRPr="002B005F" w:rsidRDefault="002760B2" w:rsidP="00E36F9C">
      <w:pPr>
        <w:tabs>
          <w:tab w:val="left" w:pos="0"/>
        </w:tabs>
        <w:spacing w:line="300" w:lineRule="auto"/>
        <w:ind w:left="851"/>
        <w:rPr>
          <w:rFonts w:ascii="Times New Roman" w:hAnsi="Times New Roman" w:cs="Times New Roman"/>
          <w:sz w:val="24"/>
          <w:szCs w:val="24"/>
        </w:rPr>
      </w:pPr>
      <w:r w:rsidRPr="002B005F">
        <w:rPr>
          <w:rFonts w:ascii="Times New Roman" w:hAnsi="Times New Roman" w:cs="Times New Roman"/>
          <w:b/>
          <w:bCs/>
          <w:sz w:val="24"/>
          <w:szCs w:val="24"/>
        </w:rPr>
        <w:t>CI</w:t>
      </w:r>
      <w:r w:rsidRPr="002B005F">
        <w:rPr>
          <w:rFonts w:ascii="Times New Roman" w:hAnsi="Times New Roman" w:cs="Times New Roman"/>
          <w:sz w:val="24"/>
          <w:szCs w:val="24"/>
        </w:rPr>
        <w:t> : comptes d’investissement participatifs.</w:t>
      </w:r>
    </w:p>
    <w:p w14:paraId="4B35BCFF" w14:textId="0CC07F4E" w:rsidR="001646D8" w:rsidRPr="005B400E" w:rsidRDefault="00E44D7D" w:rsidP="005B400E">
      <w:pPr>
        <w:spacing w:before="240" w:after="120"/>
        <w:ind w:firstLine="709"/>
        <w:rPr>
          <w:rFonts w:asciiTheme="majorBidi" w:hAnsiTheme="majorBidi" w:cstheme="majorBidi"/>
          <w:sz w:val="24"/>
          <w:szCs w:val="24"/>
        </w:rPr>
      </w:pPr>
      <w:bookmarkStart w:id="1142" w:name="_Toc33263331"/>
      <w:bookmarkStart w:id="1143" w:name="_Toc37664594"/>
      <w:bookmarkStart w:id="1144" w:name="_Toc37666439"/>
      <w:bookmarkStart w:id="1145" w:name="_Toc54363328"/>
      <w:bookmarkStart w:id="1146" w:name="_Toc58606321"/>
      <w:bookmarkStart w:id="1147" w:name="_Toc61263526"/>
      <w:r w:rsidRPr="005B400E">
        <w:rPr>
          <w:rFonts w:asciiTheme="majorBidi" w:hAnsiTheme="majorBidi" w:cstheme="majorBidi"/>
          <w:sz w:val="24"/>
          <w:szCs w:val="24"/>
        </w:rPr>
        <w:t>Ce ratio a le mérite de constituer un premier pas dans l’analyse réglementaire du risque commercial déplacé mais il ne propose aucune justification concernant le pourcentage de 50% choisi.</w:t>
      </w:r>
    </w:p>
    <w:p w14:paraId="67A05069" w14:textId="77777777" w:rsidR="002760B2" w:rsidRPr="002B005F" w:rsidRDefault="002760B2" w:rsidP="00774B74">
      <w:pPr>
        <w:pStyle w:val="Titre4"/>
        <w:keepNext w:val="0"/>
        <w:spacing w:before="120" w:after="120" w:line="300" w:lineRule="auto"/>
        <w:ind w:firstLine="709"/>
      </w:pPr>
      <w:bookmarkStart w:id="1148" w:name="_Toc182298826"/>
      <w:r w:rsidRPr="002B005F">
        <w:t>3.3.4</w:t>
      </w:r>
      <w:bookmarkEnd w:id="1142"/>
      <w:bookmarkEnd w:id="1143"/>
      <w:r w:rsidR="00C535E2">
        <w:t>-</w:t>
      </w:r>
      <w:r w:rsidR="005316D4" w:rsidRPr="002B005F">
        <w:t xml:space="preserve"> </w:t>
      </w:r>
      <w:r w:rsidR="00587045">
        <w:t>N</w:t>
      </w:r>
      <w:r w:rsidRPr="002B005F">
        <w:t xml:space="preserve">ormalisation du système comptable </w:t>
      </w:r>
      <w:r w:rsidR="00505EDD">
        <w:t>i</w:t>
      </w:r>
      <w:r w:rsidR="003773C6" w:rsidRPr="002B005F">
        <w:t>slamique</w:t>
      </w:r>
      <w:bookmarkEnd w:id="1144"/>
      <w:bookmarkEnd w:id="1145"/>
      <w:bookmarkEnd w:id="1146"/>
      <w:bookmarkEnd w:id="1147"/>
      <w:bookmarkEnd w:id="1148"/>
    </w:p>
    <w:p w14:paraId="0C39BAD1" w14:textId="77777777" w:rsidR="00D617A2" w:rsidRDefault="002760B2" w:rsidP="00774B74">
      <w:pPr>
        <w:tabs>
          <w:tab w:val="left" w:pos="0"/>
        </w:tabs>
        <w:spacing w:before="120" w:line="300" w:lineRule="auto"/>
        <w:ind w:firstLine="709"/>
        <w:rPr>
          <w:rFonts w:ascii="Times New Roman" w:hAnsi="Times New Roman" w:cs="Times New Roman"/>
          <w:spacing w:val="-6"/>
          <w:sz w:val="24"/>
          <w:szCs w:val="24"/>
        </w:rPr>
      </w:pPr>
      <w:r w:rsidRPr="002B005F">
        <w:rPr>
          <w:rFonts w:ascii="Times New Roman" w:hAnsi="Times New Roman" w:cs="Times New Roman"/>
          <w:spacing w:val="-6"/>
          <w:sz w:val="24"/>
          <w:szCs w:val="24"/>
        </w:rPr>
        <w:t>Le système comptable des BI appar</w:t>
      </w:r>
      <w:r w:rsidRPr="006A100F">
        <w:rPr>
          <w:rFonts w:ascii="Times New Roman" w:hAnsi="Times New Roman" w:cs="Times New Roman"/>
          <w:spacing w:val="-6"/>
          <w:sz w:val="24"/>
          <w:szCs w:val="24"/>
        </w:rPr>
        <w:t>a</w:t>
      </w:r>
      <w:r w:rsidR="00314D33" w:rsidRPr="006A100F">
        <w:rPr>
          <w:rFonts w:ascii="Times New Roman" w:hAnsi="Times New Roman" w:cs="Times New Roman"/>
          <w:spacing w:val="-6"/>
          <w:sz w:val="24"/>
          <w:szCs w:val="24"/>
        </w:rPr>
        <w:t>î</w:t>
      </w:r>
      <w:r w:rsidRPr="006A100F">
        <w:rPr>
          <w:rFonts w:ascii="Times New Roman" w:hAnsi="Times New Roman" w:cs="Times New Roman"/>
          <w:spacing w:val="-6"/>
          <w:sz w:val="24"/>
          <w:szCs w:val="24"/>
        </w:rPr>
        <w:t>t</w:t>
      </w:r>
      <w:r w:rsidRPr="002B005F">
        <w:rPr>
          <w:rFonts w:ascii="Times New Roman" w:hAnsi="Times New Roman" w:cs="Times New Roman"/>
          <w:spacing w:val="-6"/>
          <w:sz w:val="24"/>
          <w:szCs w:val="24"/>
        </w:rPr>
        <w:t xml:space="preserve"> comme peu transparent</w:t>
      </w:r>
      <w:r w:rsidRPr="00E44D7D">
        <w:rPr>
          <w:rFonts w:ascii="Times New Roman" w:hAnsi="Times New Roman" w:cs="Times New Roman"/>
          <w:spacing w:val="-6"/>
          <w:sz w:val="24"/>
          <w:szCs w:val="24"/>
        </w:rPr>
        <w:t>. Ce</w:t>
      </w:r>
      <w:r w:rsidR="00D617A2" w:rsidRPr="00E44D7D">
        <w:rPr>
          <w:rFonts w:ascii="Times New Roman" w:hAnsi="Times New Roman" w:cs="Times New Roman"/>
          <w:spacing w:val="-6"/>
          <w:sz w:val="24"/>
          <w:szCs w:val="24"/>
        </w:rPr>
        <w:t>ci peut</w:t>
      </w:r>
      <w:r w:rsidR="00D617A2">
        <w:rPr>
          <w:rFonts w:ascii="Times New Roman" w:hAnsi="Times New Roman" w:cs="Times New Roman"/>
          <w:spacing w:val="-6"/>
          <w:sz w:val="24"/>
          <w:szCs w:val="24"/>
        </w:rPr>
        <w:t xml:space="preserve"> être dû à deux raisons :</w:t>
      </w:r>
    </w:p>
    <w:p w14:paraId="1DC0A245" w14:textId="77777777" w:rsidR="00D617A2" w:rsidRPr="00D617A2" w:rsidRDefault="002760B2" w:rsidP="00CB0FF1">
      <w:pPr>
        <w:pStyle w:val="Paragraphedeliste"/>
        <w:numPr>
          <w:ilvl w:val="0"/>
          <w:numId w:val="96"/>
        </w:numPr>
        <w:tabs>
          <w:tab w:val="left" w:pos="0"/>
        </w:tabs>
        <w:spacing w:line="300" w:lineRule="auto"/>
        <w:ind w:left="1208" w:hanging="357"/>
        <w:contextualSpacing w:val="0"/>
        <w:rPr>
          <w:rFonts w:ascii="Times New Roman" w:hAnsi="Times New Roman" w:cs="Times New Roman"/>
          <w:spacing w:val="-6"/>
          <w:sz w:val="24"/>
          <w:szCs w:val="24"/>
        </w:rPr>
      </w:pPr>
      <w:r w:rsidRPr="00D617A2">
        <w:rPr>
          <w:rFonts w:ascii="Times New Roman" w:hAnsi="Times New Roman" w:cs="Times New Roman"/>
          <w:spacing w:val="-6"/>
          <w:sz w:val="24"/>
          <w:szCs w:val="24"/>
        </w:rPr>
        <w:t>La première concerne la jeunesse de ces institutions qui ont été créées et se sont développées rapidement dans différents pays soumis à d</w:t>
      </w:r>
      <w:r w:rsidR="00D617A2" w:rsidRPr="00D617A2">
        <w:rPr>
          <w:rFonts w:ascii="Times New Roman" w:hAnsi="Times New Roman" w:cs="Times New Roman"/>
          <w:spacing w:val="-6"/>
          <w:sz w:val="24"/>
          <w:szCs w:val="24"/>
        </w:rPr>
        <w:t>es réglementations différentes.</w:t>
      </w:r>
    </w:p>
    <w:p w14:paraId="021DE957" w14:textId="77777777" w:rsidR="002760B2" w:rsidRPr="00D617A2" w:rsidRDefault="002760B2" w:rsidP="00CB0FF1">
      <w:pPr>
        <w:pStyle w:val="Paragraphedeliste"/>
        <w:numPr>
          <w:ilvl w:val="0"/>
          <w:numId w:val="96"/>
        </w:numPr>
        <w:tabs>
          <w:tab w:val="left" w:pos="0"/>
        </w:tabs>
        <w:spacing w:line="300" w:lineRule="auto"/>
        <w:ind w:left="1208" w:hanging="357"/>
        <w:contextualSpacing w:val="0"/>
        <w:rPr>
          <w:rFonts w:ascii="Times New Roman" w:hAnsi="Times New Roman" w:cs="Times New Roman"/>
          <w:spacing w:val="-6"/>
          <w:sz w:val="24"/>
          <w:szCs w:val="24"/>
        </w:rPr>
      </w:pPr>
      <w:r w:rsidRPr="00D617A2">
        <w:rPr>
          <w:rFonts w:ascii="Times New Roman" w:hAnsi="Times New Roman" w:cs="Times New Roman"/>
          <w:spacing w:val="-6"/>
          <w:sz w:val="24"/>
          <w:szCs w:val="24"/>
        </w:rPr>
        <w:t xml:space="preserve">La deuxième est liée à la nouveauté des modes de financement </w:t>
      </w:r>
      <w:r w:rsidR="00D617A2" w:rsidRPr="00D617A2">
        <w:rPr>
          <w:rFonts w:ascii="Times New Roman" w:hAnsi="Times New Roman" w:cs="Times New Roman"/>
          <w:spacing w:val="-6"/>
          <w:sz w:val="24"/>
          <w:szCs w:val="24"/>
        </w:rPr>
        <w:t>i</w:t>
      </w:r>
      <w:r w:rsidR="003773C6" w:rsidRPr="00D617A2">
        <w:rPr>
          <w:rFonts w:ascii="Times New Roman" w:hAnsi="Times New Roman" w:cs="Times New Roman"/>
          <w:spacing w:val="-6"/>
          <w:sz w:val="24"/>
          <w:szCs w:val="24"/>
        </w:rPr>
        <w:t>slamique</w:t>
      </w:r>
      <w:r w:rsidRPr="00D617A2">
        <w:rPr>
          <w:rFonts w:ascii="Times New Roman" w:hAnsi="Times New Roman" w:cs="Times New Roman"/>
          <w:spacing w:val="-6"/>
          <w:sz w:val="24"/>
          <w:szCs w:val="24"/>
        </w:rPr>
        <w:t xml:space="preserve"> qui exigent des règles spécifiques.</w:t>
      </w:r>
    </w:p>
    <w:p w14:paraId="508D71E4" w14:textId="20B66116" w:rsidR="002760B2" w:rsidRPr="002B005F" w:rsidRDefault="002760B2" w:rsidP="0032367F">
      <w:pPr>
        <w:tabs>
          <w:tab w:val="left" w:pos="0"/>
        </w:tabs>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A ce niveau, se pose le problème d’adéquation entre les normes comptables internationales et les standards comptables spécifiques aux activités bancaires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Pour soulever ce problème l’organisme de normalisation AAOIFI a été créé en 1991 pour promulguer des standards basés sur les principes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au sein des banques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505EDD">
        <w:rPr>
          <w:rFonts w:ascii="Times New Roman" w:hAnsi="Times New Roman" w:cs="Times New Roman"/>
          <w:sz w:val="24"/>
          <w:szCs w:val="24"/>
        </w:rPr>
        <w:t>s.</w:t>
      </w:r>
    </w:p>
    <w:p w14:paraId="5D571604" w14:textId="77777777" w:rsidR="002760B2" w:rsidRPr="002B005F" w:rsidRDefault="002760B2" w:rsidP="0032367F">
      <w:pPr>
        <w:tabs>
          <w:tab w:val="left" w:pos="0"/>
        </w:tabs>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Cette organisation a effectué un gros travail pour faire adapter les normes comptables internationales aux particularités des BI. </w:t>
      </w:r>
      <w:r w:rsidRPr="002B005F">
        <w:rPr>
          <w:rFonts w:ascii="Times New Roman" w:hAnsi="Times New Roman" w:cs="Times New Roman"/>
          <w:smallCaps/>
          <w:sz w:val="24"/>
          <w:szCs w:val="24"/>
        </w:rPr>
        <w:t>Chapra</w:t>
      </w:r>
      <w:r w:rsidRPr="002B005F">
        <w:rPr>
          <w:rFonts w:ascii="Times New Roman" w:hAnsi="Times New Roman" w:cs="Times New Roman"/>
          <w:sz w:val="24"/>
          <w:szCs w:val="24"/>
        </w:rPr>
        <w:t xml:space="preserve"> et </w:t>
      </w:r>
      <w:r w:rsidRPr="002B005F">
        <w:rPr>
          <w:rFonts w:ascii="Times New Roman" w:hAnsi="Times New Roman" w:cs="Times New Roman"/>
          <w:smallCaps/>
          <w:sz w:val="24"/>
          <w:szCs w:val="24"/>
        </w:rPr>
        <w:t>Khan</w:t>
      </w:r>
      <w:r w:rsidRPr="002B005F">
        <w:rPr>
          <w:rFonts w:ascii="Times New Roman" w:hAnsi="Times New Roman" w:cs="Times New Roman"/>
          <w:sz w:val="24"/>
          <w:szCs w:val="24"/>
        </w:rPr>
        <w:t xml:space="preserve"> (2001) ont indiqué qu’une telle adaptation est nécessaire pour les raisons suivantes</w:t>
      </w:r>
      <w:r w:rsidRPr="002B005F">
        <w:rPr>
          <w:rStyle w:val="Appelnotedebasdep"/>
          <w:rFonts w:ascii="Times New Roman" w:hAnsi="Times New Roman"/>
          <w:sz w:val="24"/>
          <w:szCs w:val="24"/>
        </w:rPr>
        <w:footnoteReference w:id="296"/>
      </w:r>
      <w:r w:rsidRPr="002B005F">
        <w:rPr>
          <w:rFonts w:ascii="Times New Roman" w:hAnsi="Times New Roman" w:cs="Times New Roman"/>
          <w:sz w:val="24"/>
          <w:szCs w:val="24"/>
        </w:rPr>
        <w:t> :</w:t>
      </w:r>
    </w:p>
    <w:p w14:paraId="70F46E4B" w14:textId="03DCA1AB" w:rsidR="002760B2" w:rsidRPr="002B005F" w:rsidRDefault="002760B2" w:rsidP="00CB0FF1">
      <w:pPr>
        <w:pStyle w:val="Paragraphedeliste"/>
        <w:numPr>
          <w:ilvl w:val="0"/>
          <w:numId w:val="24"/>
        </w:numPr>
        <w:tabs>
          <w:tab w:val="left" w:pos="284"/>
          <w:tab w:val="left" w:pos="851"/>
          <w:tab w:val="left" w:pos="1134"/>
        </w:tabs>
        <w:spacing w:before="120" w:after="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Ces normes doivent faciliter le travail des contrôleurs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 ;</w:t>
      </w:r>
    </w:p>
    <w:p w14:paraId="6C382117" w14:textId="77777777" w:rsidR="002760B2" w:rsidRPr="002B005F" w:rsidRDefault="002760B2" w:rsidP="00CB0FF1">
      <w:pPr>
        <w:pStyle w:val="Paragraphedeliste"/>
        <w:numPr>
          <w:ilvl w:val="0"/>
          <w:numId w:val="24"/>
        </w:numPr>
        <w:tabs>
          <w:tab w:val="left" w:pos="284"/>
          <w:tab w:val="left" w:pos="851"/>
          <w:tab w:val="left" w:pos="1134"/>
        </w:tabs>
        <w:spacing w:before="120" w:after="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La transparence est nécessaire en ce qui concerne la responsabilité des BI ;</w:t>
      </w:r>
    </w:p>
    <w:p w14:paraId="405A5449" w14:textId="77777777" w:rsidR="002760B2" w:rsidRPr="002B005F" w:rsidRDefault="002760B2" w:rsidP="00CB0FF1">
      <w:pPr>
        <w:pStyle w:val="Paragraphedeliste"/>
        <w:numPr>
          <w:ilvl w:val="0"/>
          <w:numId w:val="24"/>
        </w:numPr>
        <w:tabs>
          <w:tab w:val="left" w:pos="284"/>
          <w:tab w:val="left" w:pos="851"/>
          <w:tab w:val="left" w:pos="1134"/>
        </w:tabs>
        <w:spacing w:before="120" w:after="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Ces normes doivent être uniformisées dans le temps et dans l’espace (dans différents pays et différentes institutions) ;</w:t>
      </w:r>
    </w:p>
    <w:p w14:paraId="646041C5" w14:textId="77777777" w:rsidR="002760B2" w:rsidRDefault="002760B2" w:rsidP="00CB0FF1">
      <w:pPr>
        <w:pStyle w:val="Paragraphedeliste"/>
        <w:numPr>
          <w:ilvl w:val="0"/>
          <w:numId w:val="24"/>
        </w:numPr>
        <w:tabs>
          <w:tab w:val="left" w:pos="284"/>
          <w:tab w:val="left" w:pos="851"/>
          <w:tab w:val="left" w:pos="1134"/>
        </w:tabs>
        <w:spacing w:before="120" w:after="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produits financiers </w:t>
      </w:r>
      <w:r w:rsidR="00505ED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sont spécifiques</w:t>
      </w:r>
      <w:r w:rsidR="00570CC5">
        <w:rPr>
          <w:rFonts w:ascii="Times New Roman" w:hAnsi="Times New Roman" w:cs="Times New Roman"/>
          <w:sz w:val="24"/>
          <w:szCs w:val="24"/>
        </w:rPr>
        <w:t> ;</w:t>
      </w:r>
      <w:r w:rsidRPr="002B005F">
        <w:rPr>
          <w:rFonts w:ascii="Times New Roman" w:hAnsi="Times New Roman" w:cs="Times New Roman"/>
          <w:sz w:val="24"/>
          <w:szCs w:val="24"/>
        </w:rPr>
        <w:t xml:space="preserve"> donc, chacun exige des dispositions comptables particulières.</w:t>
      </w:r>
    </w:p>
    <w:p w14:paraId="23BA817B" w14:textId="77777777" w:rsidR="002760B2" w:rsidRPr="00CC5A78" w:rsidRDefault="002760B2" w:rsidP="006F6800">
      <w:pPr>
        <w:pStyle w:val="Titre2"/>
        <w:spacing w:before="0" w:after="100" w:afterAutospacing="1" w:line="276" w:lineRule="auto"/>
        <w:ind w:firstLine="709"/>
        <w:rPr>
          <w:i w:val="0"/>
          <w:iCs w:val="0"/>
          <w:sz w:val="28"/>
        </w:rPr>
      </w:pPr>
      <w:bookmarkStart w:id="1149" w:name="_Toc33263332"/>
      <w:bookmarkStart w:id="1150" w:name="_Toc33264117"/>
      <w:bookmarkStart w:id="1151" w:name="_Toc37664595"/>
      <w:bookmarkStart w:id="1152" w:name="_Toc37666440"/>
      <w:bookmarkStart w:id="1153" w:name="_Toc37667319"/>
      <w:bookmarkStart w:id="1154" w:name="_Toc54361029"/>
      <w:bookmarkStart w:id="1155" w:name="_Toc54361677"/>
      <w:bookmarkStart w:id="1156" w:name="_Toc54363329"/>
      <w:bookmarkStart w:id="1157" w:name="_Toc57901027"/>
      <w:bookmarkStart w:id="1158" w:name="_Toc58261928"/>
      <w:bookmarkStart w:id="1159" w:name="_Toc58606322"/>
      <w:bookmarkStart w:id="1160" w:name="_Toc61263527"/>
      <w:bookmarkStart w:id="1161" w:name="_Toc116257065"/>
      <w:bookmarkStart w:id="1162" w:name="_Toc182298827"/>
      <w:bookmarkStart w:id="1163" w:name="_Toc182309389"/>
      <w:r w:rsidRPr="00CC5A78">
        <w:rPr>
          <w:i w:val="0"/>
          <w:iCs w:val="0"/>
          <w:sz w:val="28"/>
        </w:rPr>
        <w:t>Conclusion</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45060155" w14:textId="35971670" w:rsidR="002760B2" w:rsidRPr="002B005F" w:rsidRDefault="004C7415" w:rsidP="006F6800">
      <w:pPr>
        <w:pStyle w:val="Paragraphedeliste"/>
        <w:keepNext/>
        <w:tabs>
          <w:tab w:val="left" w:pos="0"/>
        </w:tabs>
        <w:spacing w:before="120" w:after="120" w:line="300" w:lineRule="auto"/>
        <w:ind w:left="0" w:firstLine="709"/>
        <w:contextualSpacing w:val="0"/>
        <w:rPr>
          <w:rFonts w:ascii="Times New Roman" w:hAnsi="Times New Roman" w:cs="Times New Roman"/>
          <w:sz w:val="24"/>
          <w:szCs w:val="24"/>
        </w:rPr>
      </w:pPr>
      <w:r w:rsidRPr="006A100F">
        <w:rPr>
          <w:rFonts w:ascii="Times New Roman" w:hAnsi="Times New Roman" w:cs="Times New Roman"/>
          <w:sz w:val="24"/>
          <w:szCs w:val="24"/>
        </w:rPr>
        <w:t>Au cours de ce chapitre, n</w:t>
      </w:r>
      <w:r w:rsidR="002760B2" w:rsidRPr="006A100F">
        <w:rPr>
          <w:rFonts w:ascii="Times New Roman" w:hAnsi="Times New Roman" w:cs="Times New Roman"/>
          <w:sz w:val="24"/>
          <w:szCs w:val="24"/>
        </w:rPr>
        <w:t xml:space="preserve">ous avons étudié les concepts fondamentaux liés à la gestion des risques financiers au sein des banques </w:t>
      </w:r>
      <w:r w:rsidR="00D617A2" w:rsidRPr="006A100F">
        <w:rPr>
          <w:rFonts w:ascii="Times New Roman" w:hAnsi="Times New Roman" w:cs="Times New Roman"/>
          <w:sz w:val="24"/>
          <w:szCs w:val="24"/>
        </w:rPr>
        <w:t>i</w:t>
      </w:r>
      <w:r w:rsidR="003773C6" w:rsidRPr="006A100F">
        <w:rPr>
          <w:rFonts w:ascii="Times New Roman" w:hAnsi="Times New Roman" w:cs="Times New Roman"/>
          <w:sz w:val="24"/>
          <w:szCs w:val="24"/>
        </w:rPr>
        <w:t>slamique</w:t>
      </w:r>
      <w:r w:rsidR="002760B2" w:rsidRPr="006A100F">
        <w:rPr>
          <w:rFonts w:ascii="Times New Roman" w:hAnsi="Times New Roman" w:cs="Times New Roman"/>
          <w:sz w:val="24"/>
          <w:szCs w:val="24"/>
        </w:rPr>
        <w:t xml:space="preserve">s. Nous avons analysé dans un premier </w:t>
      </w:r>
      <w:r w:rsidR="002760B2" w:rsidRPr="006A100F">
        <w:rPr>
          <w:rFonts w:ascii="Times New Roman" w:hAnsi="Times New Roman" w:cs="Times New Roman"/>
          <w:sz w:val="24"/>
          <w:szCs w:val="24"/>
        </w:rPr>
        <w:lastRenderedPageBreak/>
        <w:t xml:space="preserve">temps, les différents risques rencontrés par les banques conventionnelles et leurs techniques de couverture. Ensuite, nous avons passé à l’étude de l’univers des risques des banques </w:t>
      </w:r>
      <w:r w:rsidR="00D617A2" w:rsidRPr="006A100F">
        <w:rPr>
          <w:rFonts w:ascii="Times New Roman" w:hAnsi="Times New Roman" w:cs="Times New Roman"/>
          <w:sz w:val="24"/>
          <w:szCs w:val="24"/>
        </w:rPr>
        <w:t>i</w:t>
      </w:r>
      <w:r w:rsidR="003773C6" w:rsidRPr="006A100F">
        <w:rPr>
          <w:rFonts w:ascii="Times New Roman" w:hAnsi="Times New Roman" w:cs="Times New Roman"/>
          <w:sz w:val="24"/>
          <w:szCs w:val="24"/>
        </w:rPr>
        <w:t>slamique</w:t>
      </w:r>
      <w:r w:rsidR="002760B2" w:rsidRPr="006A100F">
        <w:rPr>
          <w:rFonts w:ascii="Times New Roman" w:hAnsi="Times New Roman" w:cs="Times New Roman"/>
          <w:sz w:val="24"/>
          <w:szCs w:val="24"/>
        </w:rPr>
        <w:t>s e</w:t>
      </w:r>
      <w:r w:rsidR="00570CC5" w:rsidRPr="006A100F">
        <w:rPr>
          <w:rFonts w:ascii="Times New Roman" w:hAnsi="Times New Roman" w:cs="Times New Roman"/>
          <w:sz w:val="24"/>
          <w:szCs w:val="24"/>
        </w:rPr>
        <w:t>n montrant</w:t>
      </w:r>
      <w:r w:rsidR="002760B2" w:rsidRPr="006A100F">
        <w:rPr>
          <w:rFonts w:ascii="Times New Roman" w:hAnsi="Times New Roman" w:cs="Times New Roman"/>
          <w:sz w:val="24"/>
          <w:szCs w:val="24"/>
        </w:rPr>
        <w:t xml:space="preserve"> que les produits bancaires </w:t>
      </w:r>
      <w:r w:rsidR="00912123" w:rsidRPr="006A100F">
        <w:rPr>
          <w:rFonts w:ascii="Times New Roman" w:hAnsi="Times New Roman" w:cs="Times New Roman"/>
          <w:iCs/>
          <w:sz w:val="24"/>
          <w:szCs w:val="24"/>
        </w:rPr>
        <w:t xml:space="preserve">islamiques </w:t>
      </w:r>
      <w:r w:rsidR="002760B2" w:rsidRPr="006A100F">
        <w:rPr>
          <w:rFonts w:ascii="Times New Roman" w:hAnsi="Times New Roman" w:cs="Times New Roman"/>
          <w:sz w:val="24"/>
          <w:szCs w:val="24"/>
        </w:rPr>
        <w:t xml:space="preserve">exposent ces banques à des risques similaires à leurs contreparties conventionnelles et à des risques spécifiques. Certains risques sont </w:t>
      </w:r>
      <w:r w:rsidR="00FE768C" w:rsidRPr="006A100F">
        <w:rPr>
          <w:rFonts w:ascii="Times New Roman" w:hAnsi="Times New Roman" w:cs="Times New Roman"/>
          <w:sz w:val="24"/>
          <w:szCs w:val="24"/>
        </w:rPr>
        <w:t>dus</w:t>
      </w:r>
      <w:r w:rsidR="002760B2" w:rsidRPr="006A100F">
        <w:rPr>
          <w:rFonts w:ascii="Times New Roman" w:hAnsi="Times New Roman" w:cs="Times New Roman"/>
          <w:sz w:val="24"/>
          <w:szCs w:val="24"/>
        </w:rPr>
        <w:t xml:space="preserve"> à la jeunesse de ces établissements et la nouveauté</w:t>
      </w:r>
      <w:r w:rsidR="002760B2" w:rsidRPr="002B005F">
        <w:rPr>
          <w:rFonts w:ascii="Times New Roman" w:hAnsi="Times New Roman" w:cs="Times New Roman"/>
          <w:sz w:val="24"/>
          <w:szCs w:val="24"/>
        </w:rPr>
        <w:t xml:space="preserve"> des produits bancaires</w:t>
      </w:r>
      <w:r w:rsidR="00570CC5">
        <w:rPr>
          <w:rFonts w:ascii="Times New Roman" w:hAnsi="Times New Roman" w:cs="Times New Roman"/>
          <w:sz w:val="24"/>
          <w:szCs w:val="24"/>
        </w:rPr>
        <w:t> ;</w:t>
      </w:r>
      <w:r w:rsidR="002760B2" w:rsidRPr="002B005F">
        <w:rPr>
          <w:rFonts w:ascii="Times New Roman" w:hAnsi="Times New Roman" w:cs="Times New Roman"/>
          <w:sz w:val="24"/>
          <w:szCs w:val="24"/>
        </w:rPr>
        <w:t xml:space="preserve"> d’autres sont </w:t>
      </w:r>
      <w:r w:rsidR="00A83413" w:rsidRPr="002B005F">
        <w:rPr>
          <w:rFonts w:ascii="Times New Roman" w:hAnsi="Times New Roman" w:cs="Times New Roman"/>
          <w:sz w:val="24"/>
          <w:szCs w:val="24"/>
        </w:rPr>
        <w:t>d</w:t>
      </w:r>
      <w:r w:rsidR="00A83413">
        <w:rPr>
          <w:rFonts w:ascii="Times New Roman" w:hAnsi="Times New Roman" w:cs="Times New Roman"/>
          <w:sz w:val="24"/>
          <w:szCs w:val="24"/>
        </w:rPr>
        <w:t>u</w:t>
      </w:r>
      <w:r w:rsidR="00A83413" w:rsidRPr="002B005F">
        <w:rPr>
          <w:rFonts w:ascii="Times New Roman" w:hAnsi="Times New Roman" w:cs="Times New Roman"/>
          <w:sz w:val="24"/>
          <w:szCs w:val="24"/>
        </w:rPr>
        <w:t>s</w:t>
      </w:r>
      <w:r w:rsidR="002760B2" w:rsidRPr="002B005F">
        <w:rPr>
          <w:rFonts w:ascii="Times New Roman" w:hAnsi="Times New Roman" w:cs="Times New Roman"/>
          <w:sz w:val="24"/>
          <w:szCs w:val="24"/>
        </w:rPr>
        <w:t xml:space="preserve"> aux spécificités des opérations bancaires.</w:t>
      </w:r>
    </w:p>
    <w:p w14:paraId="126DF5D2" w14:textId="77777777" w:rsidR="002760B2" w:rsidRPr="002B005F" w:rsidRDefault="002760B2" w:rsidP="0032367F">
      <w:pPr>
        <w:pStyle w:val="Paragraphedeliste"/>
        <w:tabs>
          <w:tab w:val="left" w:pos="0"/>
        </w:tabs>
        <w:spacing w:before="120" w:after="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En conséquence, les processus et les techniques d’identification et de gestion des risques dont disposent les banques </w:t>
      </w:r>
      <w:r w:rsidR="00D617A2">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D617A2">
        <w:rPr>
          <w:rFonts w:ascii="Times New Roman" w:hAnsi="Times New Roman" w:cs="Times New Roman"/>
          <w:sz w:val="24"/>
          <w:szCs w:val="24"/>
        </w:rPr>
        <w:t>s sont de deux types :</w:t>
      </w:r>
      <w:r w:rsidRPr="002B005F">
        <w:rPr>
          <w:rFonts w:ascii="Times New Roman" w:hAnsi="Times New Roman" w:cs="Times New Roman"/>
          <w:sz w:val="24"/>
          <w:szCs w:val="24"/>
        </w:rPr>
        <w:t xml:space="preserve"> des techniques standards communes avec les banques conventionnelles et des techniques nouvelles ou adaptées aux exigences particulières de ces institutions financières. Le défi qui se présente aux banques </w:t>
      </w:r>
      <w:r w:rsidR="00D617A2">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est de savoir gérer et </w:t>
      </w:r>
      <w:r w:rsidRPr="006A100F">
        <w:rPr>
          <w:rFonts w:ascii="Times New Roman" w:hAnsi="Times New Roman" w:cs="Times New Roman"/>
          <w:sz w:val="24"/>
          <w:szCs w:val="24"/>
        </w:rPr>
        <w:t>ma</w:t>
      </w:r>
      <w:r w:rsidR="00AB72B0" w:rsidRPr="006A100F">
        <w:rPr>
          <w:rFonts w:ascii="Times New Roman" w:hAnsi="Times New Roman" w:cs="Times New Roman"/>
          <w:sz w:val="24"/>
          <w:szCs w:val="24"/>
        </w:rPr>
        <w:t>î</w:t>
      </w:r>
      <w:r w:rsidRPr="006A100F">
        <w:rPr>
          <w:rFonts w:ascii="Times New Roman" w:hAnsi="Times New Roman" w:cs="Times New Roman"/>
          <w:sz w:val="24"/>
          <w:szCs w:val="24"/>
        </w:rPr>
        <w:t xml:space="preserve">triser ces risques dans un contexte juridique et réglementaire </w:t>
      </w:r>
      <w:r w:rsidR="004C7415" w:rsidRPr="006A100F">
        <w:rPr>
          <w:rFonts w:ascii="Times New Roman" w:hAnsi="Times New Roman" w:cs="Times New Roman"/>
          <w:sz w:val="24"/>
          <w:szCs w:val="24"/>
        </w:rPr>
        <w:t xml:space="preserve">qui leur est </w:t>
      </w:r>
      <w:r w:rsidRPr="006A100F">
        <w:rPr>
          <w:rFonts w:ascii="Times New Roman" w:hAnsi="Times New Roman" w:cs="Times New Roman"/>
          <w:sz w:val="24"/>
          <w:szCs w:val="24"/>
        </w:rPr>
        <w:t xml:space="preserve">souvent inadapté </w:t>
      </w:r>
      <w:r w:rsidR="00BD6E17" w:rsidRPr="006A100F">
        <w:rPr>
          <w:rFonts w:ascii="Times New Roman" w:hAnsi="Times New Roman" w:cs="Times New Roman"/>
          <w:sz w:val="24"/>
          <w:szCs w:val="24"/>
        </w:rPr>
        <w:t>voire hostile.</w:t>
      </w:r>
    </w:p>
    <w:p w14:paraId="1F7C27E6" w14:textId="77777777" w:rsidR="005B3EA3" w:rsidRPr="002B005F" w:rsidRDefault="00AB1CAD" w:rsidP="0009055E">
      <w:pPr>
        <w:pStyle w:val="Paragraphedeliste"/>
        <w:tabs>
          <w:tab w:val="left" w:pos="0"/>
        </w:tabs>
        <w:spacing w:before="120" w:after="120" w:line="300" w:lineRule="auto"/>
        <w:ind w:left="0" w:firstLine="709"/>
        <w:contextualSpacing w:val="0"/>
        <w:rPr>
          <w:rFonts w:ascii="Times New Roman" w:hAnsi="Times New Roman" w:cs="Times New Roman"/>
          <w:sz w:val="24"/>
          <w:szCs w:val="24"/>
        </w:rPr>
      </w:pPr>
      <w:r w:rsidRPr="0009055E">
        <w:rPr>
          <w:rFonts w:ascii="Times New Roman" w:hAnsi="Times New Roman" w:cs="Times New Roman"/>
          <w:sz w:val="24"/>
          <w:szCs w:val="24"/>
        </w:rPr>
        <w:t>L</w:t>
      </w:r>
      <w:r w:rsidR="002760B2" w:rsidRPr="0009055E">
        <w:rPr>
          <w:rFonts w:ascii="Times New Roman" w:hAnsi="Times New Roman" w:cs="Times New Roman"/>
          <w:sz w:val="24"/>
          <w:szCs w:val="24"/>
        </w:rPr>
        <w:t xml:space="preserve">e manque du financement </w:t>
      </w:r>
      <w:r w:rsidR="00505EDD" w:rsidRPr="0009055E">
        <w:rPr>
          <w:rFonts w:ascii="Times New Roman" w:hAnsi="Times New Roman" w:cs="Times New Roman"/>
          <w:sz w:val="24"/>
          <w:szCs w:val="24"/>
        </w:rPr>
        <w:t>i</w:t>
      </w:r>
      <w:r w:rsidR="003773C6" w:rsidRPr="0009055E">
        <w:rPr>
          <w:rFonts w:ascii="Times New Roman" w:hAnsi="Times New Roman" w:cs="Times New Roman"/>
          <w:sz w:val="24"/>
          <w:szCs w:val="24"/>
        </w:rPr>
        <w:t>slamique</w:t>
      </w:r>
      <w:r w:rsidR="002760B2" w:rsidRPr="0009055E">
        <w:rPr>
          <w:rFonts w:ascii="Times New Roman" w:hAnsi="Times New Roman" w:cs="Times New Roman"/>
          <w:sz w:val="24"/>
          <w:szCs w:val="24"/>
        </w:rPr>
        <w:t xml:space="preserve"> participatif et la domination des modes à revenu fixe, en particulier la </w:t>
      </w:r>
      <w:r w:rsidR="002760B2" w:rsidRPr="0009055E">
        <w:rPr>
          <w:rFonts w:ascii="Times New Roman" w:hAnsi="Times New Roman" w:cs="Times New Roman"/>
          <w:i/>
          <w:iCs/>
          <w:sz w:val="24"/>
          <w:szCs w:val="24"/>
        </w:rPr>
        <w:t>mourabaha</w:t>
      </w:r>
      <w:r w:rsidR="0009055E" w:rsidRPr="0009055E">
        <w:rPr>
          <w:rFonts w:ascii="Times New Roman" w:hAnsi="Times New Roman" w:cs="Times New Roman"/>
          <w:sz w:val="24"/>
          <w:szCs w:val="24"/>
        </w:rPr>
        <w:t xml:space="preserve"> </w:t>
      </w:r>
      <w:r w:rsidR="002760B2" w:rsidRPr="0009055E">
        <w:rPr>
          <w:rFonts w:ascii="Times New Roman" w:hAnsi="Times New Roman" w:cs="Times New Roman"/>
          <w:sz w:val="24"/>
          <w:szCs w:val="24"/>
        </w:rPr>
        <w:t>est dû aux risques élevés engendrés par les contrats financiers participatifs. Dans le</w:t>
      </w:r>
      <w:r w:rsidR="002760B2" w:rsidRPr="006A100F">
        <w:rPr>
          <w:rFonts w:ascii="Times New Roman" w:hAnsi="Times New Roman" w:cs="Times New Roman"/>
          <w:sz w:val="24"/>
          <w:szCs w:val="24"/>
        </w:rPr>
        <w:t xml:space="preserve"> chapitre suivant, nous nous intéressons à l’analyse des causes de réticence des </w:t>
      </w:r>
      <w:r w:rsidR="00A7476F" w:rsidRPr="006A100F">
        <w:rPr>
          <w:rFonts w:ascii="Times New Roman" w:hAnsi="Times New Roman" w:cs="Times New Roman"/>
          <w:sz w:val="24"/>
          <w:szCs w:val="24"/>
        </w:rPr>
        <w:t>BI</w:t>
      </w:r>
      <w:r w:rsidR="002760B2" w:rsidRPr="006A100F">
        <w:rPr>
          <w:rFonts w:ascii="Times New Roman" w:hAnsi="Times New Roman" w:cs="Times New Roman"/>
          <w:sz w:val="24"/>
          <w:szCs w:val="24"/>
        </w:rPr>
        <w:t xml:space="preserve"> </w:t>
      </w:r>
      <w:r w:rsidR="004C7415" w:rsidRPr="006A100F">
        <w:rPr>
          <w:rFonts w:ascii="Times New Roman" w:hAnsi="Times New Roman" w:cs="Times New Roman"/>
          <w:sz w:val="24"/>
          <w:szCs w:val="24"/>
        </w:rPr>
        <w:t>aux</w:t>
      </w:r>
      <w:r w:rsidR="002760B2" w:rsidRPr="006A100F">
        <w:rPr>
          <w:rFonts w:ascii="Times New Roman" w:hAnsi="Times New Roman" w:cs="Times New Roman"/>
          <w:sz w:val="24"/>
          <w:szCs w:val="24"/>
        </w:rPr>
        <w:t xml:space="preserve"> produits financiers participatifs et à l’</w:t>
      </w:r>
      <w:r w:rsidR="00A7476F" w:rsidRPr="006A100F">
        <w:rPr>
          <w:rFonts w:ascii="Times New Roman" w:hAnsi="Times New Roman" w:cs="Times New Roman"/>
          <w:sz w:val="24"/>
          <w:szCs w:val="24"/>
        </w:rPr>
        <w:t>étude de la gestion de</w:t>
      </w:r>
      <w:r w:rsidR="004C7415" w:rsidRPr="006A100F">
        <w:rPr>
          <w:rFonts w:ascii="Times New Roman" w:hAnsi="Times New Roman" w:cs="Times New Roman"/>
          <w:sz w:val="24"/>
          <w:szCs w:val="24"/>
        </w:rPr>
        <w:t xml:space="preserve"> leurs</w:t>
      </w:r>
      <w:r w:rsidR="00A7476F" w:rsidRPr="006A100F">
        <w:rPr>
          <w:rFonts w:ascii="Times New Roman" w:hAnsi="Times New Roman" w:cs="Times New Roman"/>
          <w:sz w:val="24"/>
          <w:szCs w:val="24"/>
        </w:rPr>
        <w:t xml:space="preserve"> risques</w:t>
      </w:r>
      <w:r w:rsidR="002760B2" w:rsidRPr="006A100F">
        <w:rPr>
          <w:rFonts w:ascii="Times New Roman" w:hAnsi="Times New Roman" w:cs="Times New Roman"/>
          <w:sz w:val="24"/>
          <w:szCs w:val="24"/>
        </w:rPr>
        <w:t>.</w:t>
      </w:r>
    </w:p>
    <w:p w14:paraId="648164B2" w14:textId="77777777" w:rsidR="000567B2" w:rsidRDefault="000567B2" w:rsidP="00A83413">
      <w:pPr>
        <w:spacing w:before="120" w:after="120" w:line="360" w:lineRule="auto"/>
        <w:rPr>
          <w:rFonts w:ascii="Times New Roman" w:hAnsi="Times New Roman" w:cs="Times New Roman"/>
          <w:b/>
          <w:bCs/>
          <w:smallCaps/>
          <w:sz w:val="48"/>
          <w:szCs w:val="48"/>
        </w:rPr>
      </w:pPr>
      <w:bookmarkStart w:id="1164" w:name="_Toc57901028"/>
      <w:bookmarkStart w:id="1165" w:name="_Toc58261929"/>
      <w:bookmarkStart w:id="1166" w:name="_Toc58606323"/>
      <w:bookmarkStart w:id="1167" w:name="_Toc61263528"/>
    </w:p>
    <w:p w14:paraId="75BB83DE" w14:textId="77777777" w:rsidR="00A83413" w:rsidRDefault="00A83413" w:rsidP="00D83E25">
      <w:pPr>
        <w:spacing w:before="120" w:after="120" w:line="360" w:lineRule="auto"/>
        <w:jc w:val="center"/>
        <w:rPr>
          <w:rFonts w:ascii="Times New Roman" w:hAnsi="Times New Roman" w:cs="Times New Roman"/>
          <w:b/>
          <w:bCs/>
          <w:smallCaps/>
          <w:sz w:val="48"/>
          <w:szCs w:val="48"/>
        </w:rPr>
        <w:sectPr w:rsidR="00A83413" w:rsidSect="003010C3">
          <w:footerReference w:type="first" r:id="rId58"/>
          <w:footnotePr>
            <w:numRestart w:val="eachPage"/>
          </w:footnotePr>
          <w:pgSz w:w="11906" w:h="16838" w:code="9"/>
          <w:pgMar w:top="1134" w:right="1134" w:bottom="1134" w:left="1134" w:header="709" w:footer="709" w:gutter="567"/>
          <w:pgNumType w:start="77"/>
          <w:cols w:space="708"/>
          <w:titlePg/>
          <w:docGrid w:linePitch="360"/>
        </w:sectPr>
      </w:pPr>
    </w:p>
    <w:p w14:paraId="35BEDE40" w14:textId="77777777" w:rsidR="00D83E25" w:rsidRPr="002B005F" w:rsidRDefault="00D83E25" w:rsidP="00D83E25">
      <w:pPr>
        <w:spacing w:before="120" w:after="120" w:line="360" w:lineRule="auto"/>
        <w:jc w:val="center"/>
        <w:rPr>
          <w:rFonts w:ascii="Times New Roman" w:hAnsi="Times New Roman" w:cs="Times New Roman"/>
          <w:b/>
          <w:bCs/>
          <w:smallCaps/>
          <w:sz w:val="48"/>
          <w:szCs w:val="48"/>
        </w:rPr>
      </w:pPr>
    </w:p>
    <w:p w14:paraId="766107CD" w14:textId="77777777" w:rsidR="00D83E25" w:rsidRPr="002B005F" w:rsidRDefault="00D83E25" w:rsidP="00D83E25">
      <w:pPr>
        <w:spacing w:before="120" w:after="120" w:line="360" w:lineRule="auto"/>
        <w:jc w:val="center"/>
        <w:rPr>
          <w:rFonts w:ascii="Times New Roman" w:hAnsi="Times New Roman" w:cs="Times New Roman"/>
          <w:b/>
          <w:bCs/>
          <w:smallCaps/>
          <w:sz w:val="48"/>
          <w:szCs w:val="48"/>
        </w:rPr>
      </w:pPr>
    </w:p>
    <w:p w14:paraId="0375396A" w14:textId="77777777" w:rsidR="00D83E25" w:rsidRPr="002B005F" w:rsidRDefault="00D83E25" w:rsidP="00D83E25">
      <w:pPr>
        <w:spacing w:before="120" w:after="120" w:line="360" w:lineRule="auto"/>
        <w:jc w:val="center"/>
        <w:rPr>
          <w:rFonts w:ascii="Times New Roman" w:hAnsi="Times New Roman" w:cs="Times New Roman"/>
          <w:b/>
          <w:bCs/>
          <w:smallCaps/>
          <w:sz w:val="48"/>
          <w:szCs w:val="48"/>
        </w:rPr>
      </w:pPr>
    </w:p>
    <w:p w14:paraId="43284763" w14:textId="77777777" w:rsidR="00D83E25" w:rsidRDefault="00D83E25" w:rsidP="00D83E25">
      <w:pPr>
        <w:spacing w:before="120" w:after="120" w:line="360" w:lineRule="auto"/>
        <w:jc w:val="center"/>
        <w:rPr>
          <w:rFonts w:ascii="Times New Roman" w:hAnsi="Times New Roman" w:cs="Times New Roman"/>
          <w:b/>
          <w:bCs/>
          <w:smallCaps/>
          <w:sz w:val="48"/>
          <w:szCs w:val="48"/>
        </w:rPr>
      </w:pPr>
    </w:p>
    <w:p w14:paraId="7B477D6C" w14:textId="77777777" w:rsidR="000F58F6" w:rsidRPr="002B005F" w:rsidRDefault="000F58F6" w:rsidP="00D83E25">
      <w:pPr>
        <w:spacing w:before="120" w:after="120" w:line="360" w:lineRule="auto"/>
        <w:jc w:val="center"/>
        <w:rPr>
          <w:rFonts w:ascii="Times New Roman" w:hAnsi="Times New Roman" w:cs="Times New Roman"/>
          <w:b/>
          <w:bCs/>
          <w:smallCaps/>
          <w:sz w:val="48"/>
          <w:szCs w:val="48"/>
        </w:rPr>
      </w:pPr>
    </w:p>
    <w:p w14:paraId="00A39DFC" w14:textId="77777777" w:rsidR="00D83E25" w:rsidRPr="002B005F" w:rsidRDefault="00D83E25" w:rsidP="00D83E25">
      <w:pPr>
        <w:spacing w:before="120" w:after="120" w:line="360" w:lineRule="auto"/>
        <w:jc w:val="center"/>
        <w:rPr>
          <w:rFonts w:ascii="Times New Roman" w:hAnsi="Times New Roman" w:cs="Times New Roman"/>
          <w:b/>
          <w:bCs/>
          <w:smallCaps/>
          <w:sz w:val="48"/>
          <w:szCs w:val="48"/>
        </w:rPr>
      </w:pPr>
    </w:p>
    <w:p w14:paraId="1EBFA5A7" w14:textId="77777777" w:rsidR="00774B74" w:rsidRDefault="00FC4C19" w:rsidP="0069735E">
      <w:pPr>
        <w:spacing w:after="120" w:line="360" w:lineRule="auto"/>
        <w:jc w:val="center"/>
        <w:rPr>
          <w:rFonts w:asciiTheme="majorBidi" w:hAnsiTheme="majorBidi" w:cstheme="majorBidi"/>
          <w:b/>
          <w:bCs/>
          <w:smallCaps/>
          <w:spacing w:val="40"/>
          <w:sz w:val="56"/>
          <w:szCs w:val="56"/>
        </w:rPr>
      </w:pPr>
      <w:r w:rsidRPr="000567B2">
        <w:rPr>
          <w:rFonts w:asciiTheme="majorBidi" w:hAnsiTheme="majorBidi" w:cstheme="majorBidi"/>
          <w:b/>
          <w:bCs/>
          <w:smallCaps/>
          <w:spacing w:val="40"/>
          <w:sz w:val="56"/>
          <w:szCs w:val="56"/>
        </w:rPr>
        <w:t>Chapitre III</w:t>
      </w:r>
      <w:r w:rsidR="00C239A1" w:rsidRPr="000567B2">
        <w:rPr>
          <w:rFonts w:asciiTheme="majorBidi" w:hAnsiTheme="majorBidi" w:cstheme="majorBidi"/>
          <w:b/>
          <w:bCs/>
          <w:smallCaps/>
          <w:spacing w:val="40"/>
          <w:sz w:val="56"/>
          <w:szCs w:val="56"/>
        </w:rPr>
        <w:t>-</w:t>
      </w:r>
    </w:p>
    <w:p w14:paraId="1FF088DE" w14:textId="462D1816" w:rsidR="005B3EA3" w:rsidRPr="000567B2" w:rsidRDefault="005732D6" w:rsidP="0069735E">
      <w:pPr>
        <w:spacing w:after="120" w:line="360" w:lineRule="auto"/>
        <w:jc w:val="center"/>
        <w:rPr>
          <w:rFonts w:asciiTheme="majorBidi" w:hAnsiTheme="majorBidi" w:cstheme="majorBidi"/>
          <w:b/>
          <w:bCs/>
          <w:smallCaps/>
          <w:spacing w:val="40"/>
          <w:sz w:val="56"/>
          <w:szCs w:val="56"/>
        </w:rPr>
      </w:pPr>
      <w:r w:rsidRPr="000567B2">
        <w:rPr>
          <w:rFonts w:asciiTheme="majorBidi" w:hAnsiTheme="majorBidi" w:cstheme="majorBidi"/>
          <w:b/>
          <w:bCs/>
          <w:smallCaps/>
          <w:spacing w:val="40"/>
          <w:sz w:val="56"/>
          <w:szCs w:val="56"/>
        </w:rPr>
        <w:t>R</w:t>
      </w:r>
      <w:r w:rsidR="00B2501A" w:rsidRPr="000567B2">
        <w:rPr>
          <w:rFonts w:asciiTheme="majorBidi" w:hAnsiTheme="majorBidi" w:cstheme="majorBidi"/>
          <w:b/>
          <w:bCs/>
          <w:smallCaps/>
          <w:spacing w:val="40"/>
          <w:sz w:val="56"/>
          <w:szCs w:val="56"/>
        </w:rPr>
        <w:t xml:space="preserve">isques </w:t>
      </w:r>
      <w:bookmarkStart w:id="1168" w:name="_Toc57901029"/>
      <w:bookmarkStart w:id="1169" w:name="_Toc58261930"/>
      <w:bookmarkEnd w:id="1164"/>
      <w:bookmarkEnd w:id="1165"/>
      <w:r w:rsidR="0069735E">
        <w:rPr>
          <w:rFonts w:asciiTheme="majorBidi" w:hAnsiTheme="majorBidi" w:cstheme="majorBidi"/>
          <w:b/>
          <w:bCs/>
          <w:smallCaps/>
          <w:spacing w:val="40"/>
          <w:sz w:val="56"/>
          <w:szCs w:val="56"/>
        </w:rPr>
        <w:t>des</w:t>
      </w:r>
      <w:r w:rsidR="005B3EA3" w:rsidRPr="000567B2">
        <w:rPr>
          <w:rFonts w:asciiTheme="majorBidi" w:hAnsiTheme="majorBidi" w:cstheme="majorBidi"/>
          <w:b/>
          <w:bCs/>
          <w:smallCaps/>
          <w:spacing w:val="40"/>
          <w:sz w:val="56"/>
          <w:szCs w:val="56"/>
        </w:rPr>
        <w:t xml:space="preserve"> </w:t>
      </w:r>
      <w:r w:rsidR="00B2501A" w:rsidRPr="000567B2">
        <w:rPr>
          <w:rFonts w:asciiTheme="majorBidi" w:hAnsiTheme="majorBidi" w:cstheme="majorBidi"/>
          <w:b/>
          <w:bCs/>
          <w:smallCaps/>
          <w:spacing w:val="40"/>
          <w:sz w:val="56"/>
          <w:szCs w:val="56"/>
        </w:rPr>
        <w:t>modes de financement participatif</w:t>
      </w:r>
      <w:bookmarkEnd w:id="1166"/>
      <w:bookmarkEnd w:id="1167"/>
      <w:bookmarkEnd w:id="1168"/>
      <w:bookmarkEnd w:id="1169"/>
    </w:p>
    <w:p w14:paraId="078C038B" w14:textId="77777777" w:rsidR="0069735E" w:rsidRDefault="0069735E" w:rsidP="00092E51">
      <w:pPr>
        <w:spacing w:before="120" w:line="300" w:lineRule="auto"/>
        <w:ind w:firstLine="709"/>
        <w:rPr>
          <w:rFonts w:ascii="Times New Roman" w:hAnsi="Times New Roman" w:cs="Times New Roman"/>
          <w:smallCaps/>
          <w:spacing w:val="10"/>
          <w:sz w:val="56"/>
          <w:szCs w:val="56"/>
        </w:rPr>
      </w:pPr>
    </w:p>
    <w:p w14:paraId="69BF6897" w14:textId="77777777" w:rsidR="0069735E" w:rsidRDefault="0069735E" w:rsidP="00092E51">
      <w:pPr>
        <w:spacing w:before="120" w:line="300" w:lineRule="auto"/>
        <w:ind w:firstLine="709"/>
        <w:rPr>
          <w:rFonts w:ascii="Times New Roman" w:hAnsi="Times New Roman" w:cs="Times New Roman"/>
          <w:smallCaps/>
          <w:spacing w:val="10"/>
          <w:sz w:val="56"/>
          <w:szCs w:val="56"/>
        </w:rPr>
        <w:sectPr w:rsidR="0069735E" w:rsidSect="00D61093">
          <w:footerReference w:type="default" r:id="rId59"/>
          <w:footerReference w:type="first" r:id="rId60"/>
          <w:footnotePr>
            <w:numRestart w:val="eachPage"/>
          </w:footnotePr>
          <w:pgSz w:w="11906" w:h="16838" w:code="9"/>
          <w:pgMar w:top="1134" w:right="1134" w:bottom="1134" w:left="1134" w:header="709" w:footer="709" w:gutter="567"/>
          <w:pgNumType w:start="140"/>
          <w:cols w:space="708"/>
          <w:docGrid w:linePitch="360"/>
        </w:sectPr>
      </w:pPr>
    </w:p>
    <w:p w14:paraId="6F1C5A2F" w14:textId="6E532A7E" w:rsidR="000567B2" w:rsidRPr="000567B2" w:rsidRDefault="000567B2" w:rsidP="0069735E">
      <w:pPr>
        <w:pStyle w:val="Titre1"/>
        <w:spacing w:line="360" w:lineRule="auto"/>
        <w:jc w:val="center"/>
      </w:pPr>
      <w:bookmarkStart w:id="1170" w:name="_Toc116257066"/>
      <w:bookmarkStart w:id="1171" w:name="_Toc182298828"/>
      <w:bookmarkStart w:id="1172" w:name="_Toc182309390"/>
      <w:r w:rsidRPr="000567B2">
        <w:lastRenderedPageBreak/>
        <w:t xml:space="preserve">Chapitre III- </w:t>
      </w:r>
      <w:r w:rsidRPr="0069735E">
        <w:rPr>
          <w:rFonts w:ascii="Times New Roman Gras" w:hAnsi="Times New Roman Gras"/>
          <w:smallCaps/>
        </w:rPr>
        <w:t xml:space="preserve">Risques </w:t>
      </w:r>
      <w:r w:rsidR="0069735E" w:rsidRPr="0069735E">
        <w:rPr>
          <w:rFonts w:ascii="Times New Roman Gras" w:hAnsi="Times New Roman Gras"/>
          <w:smallCaps/>
        </w:rPr>
        <w:t>des</w:t>
      </w:r>
      <w:r w:rsidRPr="0069735E">
        <w:rPr>
          <w:rFonts w:ascii="Times New Roman Gras" w:hAnsi="Times New Roman Gras"/>
          <w:smallCaps/>
        </w:rPr>
        <w:t xml:space="preserve"> modes de financement participatif</w:t>
      </w:r>
      <w:bookmarkEnd w:id="1170"/>
      <w:bookmarkEnd w:id="1171"/>
      <w:bookmarkEnd w:id="1172"/>
    </w:p>
    <w:p w14:paraId="2DBC9FD5" w14:textId="77777777" w:rsidR="002760B2" w:rsidRPr="00000B62" w:rsidRDefault="002760B2" w:rsidP="00092E51">
      <w:pPr>
        <w:spacing w:before="120" w:line="300" w:lineRule="auto"/>
        <w:ind w:firstLine="709"/>
        <w:rPr>
          <w:rFonts w:ascii="Times New Roman" w:hAnsi="Times New Roman" w:cs="Times New Roman"/>
          <w:spacing w:val="6"/>
          <w:sz w:val="24"/>
          <w:szCs w:val="24"/>
        </w:rPr>
      </w:pPr>
      <w:r w:rsidRPr="00000B62">
        <w:rPr>
          <w:rFonts w:ascii="Times New Roman" w:hAnsi="Times New Roman" w:cs="Times New Roman"/>
          <w:spacing w:val="6"/>
          <w:sz w:val="24"/>
          <w:szCs w:val="24"/>
        </w:rPr>
        <w:t>Le manque d’utilisation des produits financier</w:t>
      </w:r>
      <w:r w:rsidR="0032661C" w:rsidRPr="00000B62">
        <w:rPr>
          <w:rFonts w:ascii="Times New Roman" w:hAnsi="Times New Roman" w:cs="Times New Roman"/>
          <w:spacing w:val="6"/>
          <w:sz w:val="24"/>
          <w:szCs w:val="24"/>
        </w:rPr>
        <w:t>s participatifs, principalement</w:t>
      </w:r>
      <w:r w:rsidRPr="00000B62">
        <w:rPr>
          <w:rFonts w:ascii="Times New Roman" w:hAnsi="Times New Roman" w:cs="Times New Roman"/>
          <w:spacing w:val="6"/>
          <w:sz w:val="24"/>
          <w:szCs w:val="24"/>
        </w:rPr>
        <w:t xml:space="preserve"> la </w:t>
      </w:r>
      <w:r w:rsidRPr="00000B62">
        <w:rPr>
          <w:rFonts w:ascii="Times New Roman" w:hAnsi="Times New Roman" w:cs="Times New Roman"/>
          <w:i/>
          <w:iCs/>
          <w:spacing w:val="6"/>
          <w:sz w:val="24"/>
          <w:szCs w:val="24"/>
        </w:rPr>
        <w:t>moucharaka</w:t>
      </w:r>
      <w:r w:rsidRPr="00000B62">
        <w:rPr>
          <w:rFonts w:ascii="Times New Roman" w:hAnsi="Times New Roman" w:cs="Times New Roman"/>
          <w:spacing w:val="6"/>
          <w:sz w:val="24"/>
          <w:szCs w:val="24"/>
        </w:rPr>
        <w:t xml:space="preserve"> et la </w:t>
      </w:r>
      <w:r w:rsidR="004A4E16" w:rsidRPr="00000B62">
        <w:rPr>
          <w:rFonts w:ascii="Times New Roman" w:hAnsi="Times New Roman" w:cs="Times New Roman"/>
          <w:i/>
          <w:spacing w:val="6"/>
          <w:sz w:val="24"/>
          <w:szCs w:val="24"/>
        </w:rPr>
        <w:t>moudaraba</w:t>
      </w:r>
      <w:r w:rsidRPr="00000B62">
        <w:rPr>
          <w:rFonts w:ascii="Times New Roman" w:hAnsi="Times New Roman" w:cs="Times New Roman"/>
          <w:spacing w:val="6"/>
          <w:sz w:val="24"/>
          <w:szCs w:val="24"/>
        </w:rPr>
        <w:t xml:space="preserve"> par les banques </w:t>
      </w:r>
      <w:r w:rsidR="00B90C08" w:rsidRPr="00000B62">
        <w:rPr>
          <w:rFonts w:ascii="Times New Roman" w:hAnsi="Times New Roman" w:cs="Times New Roman"/>
          <w:spacing w:val="6"/>
          <w:sz w:val="24"/>
          <w:szCs w:val="24"/>
        </w:rPr>
        <w:t>i</w:t>
      </w:r>
      <w:r w:rsidR="003773C6" w:rsidRPr="00000B62">
        <w:rPr>
          <w:rFonts w:ascii="Times New Roman" w:hAnsi="Times New Roman" w:cs="Times New Roman"/>
          <w:spacing w:val="6"/>
          <w:sz w:val="24"/>
          <w:szCs w:val="24"/>
        </w:rPr>
        <w:t>slamique</w:t>
      </w:r>
      <w:r w:rsidRPr="00000B62">
        <w:rPr>
          <w:rFonts w:ascii="Times New Roman" w:hAnsi="Times New Roman" w:cs="Times New Roman"/>
          <w:spacing w:val="6"/>
          <w:sz w:val="24"/>
          <w:szCs w:val="24"/>
        </w:rPr>
        <w:t>s</w:t>
      </w:r>
      <w:r w:rsidR="0032661C" w:rsidRPr="00000B62">
        <w:rPr>
          <w:rFonts w:ascii="Times New Roman" w:hAnsi="Times New Roman" w:cs="Times New Roman"/>
          <w:spacing w:val="6"/>
          <w:sz w:val="24"/>
          <w:szCs w:val="24"/>
        </w:rPr>
        <w:t>,</w:t>
      </w:r>
      <w:r w:rsidRPr="00000B62">
        <w:rPr>
          <w:rFonts w:ascii="Times New Roman" w:hAnsi="Times New Roman" w:cs="Times New Roman"/>
          <w:spacing w:val="6"/>
          <w:sz w:val="24"/>
          <w:szCs w:val="24"/>
        </w:rPr>
        <w:t xml:space="preserve"> est devenu l'un des problèmes du développement de l'industrie bancaire </w:t>
      </w:r>
      <w:r w:rsidR="00B90C08" w:rsidRPr="00000B62">
        <w:rPr>
          <w:rFonts w:ascii="Times New Roman" w:hAnsi="Times New Roman" w:cs="Times New Roman"/>
          <w:spacing w:val="6"/>
          <w:sz w:val="24"/>
          <w:szCs w:val="24"/>
        </w:rPr>
        <w:t>i</w:t>
      </w:r>
      <w:r w:rsidR="003773C6" w:rsidRPr="00000B62">
        <w:rPr>
          <w:rFonts w:ascii="Times New Roman" w:hAnsi="Times New Roman" w:cs="Times New Roman"/>
          <w:spacing w:val="6"/>
          <w:sz w:val="24"/>
          <w:szCs w:val="24"/>
        </w:rPr>
        <w:t>slamique</w:t>
      </w:r>
      <w:r w:rsidRPr="00000B62">
        <w:rPr>
          <w:rFonts w:ascii="Times New Roman" w:hAnsi="Times New Roman" w:cs="Times New Roman"/>
          <w:spacing w:val="6"/>
          <w:sz w:val="24"/>
          <w:szCs w:val="24"/>
        </w:rPr>
        <w:t xml:space="preserve">. </w:t>
      </w:r>
      <w:r w:rsidR="00665008" w:rsidRPr="00000B62">
        <w:rPr>
          <w:rFonts w:ascii="Times New Roman" w:hAnsi="Times New Roman" w:cs="Times New Roman"/>
          <w:spacing w:val="6"/>
          <w:sz w:val="24"/>
          <w:szCs w:val="24"/>
        </w:rPr>
        <w:t xml:space="preserve">Ce problème est </w:t>
      </w:r>
      <w:r w:rsidR="002927E4" w:rsidRPr="00000B62">
        <w:rPr>
          <w:rFonts w:ascii="Times New Roman" w:hAnsi="Times New Roman" w:cs="Times New Roman"/>
          <w:spacing w:val="6"/>
          <w:sz w:val="24"/>
          <w:szCs w:val="24"/>
        </w:rPr>
        <w:t>dû</w:t>
      </w:r>
      <w:r w:rsidR="00665008" w:rsidRPr="00000B62">
        <w:rPr>
          <w:rFonts w:asciiTheme="majorBidi" w:hAnsiTheme="majorBidi" w:cstheme="majorBidi"/>
          <w:spacing w:val="6"/>
          <w:sz w:val="24"/>
          <w:szCs w:val="24"/>
        </w:rPr>
        <w:t xml:space="preserve"> à la vulnérabilité des BI aux risques importants en recourant à ces modes de financement.</w:t>
      </w:r>
      <w:r w:rsidR="00092E51" w:rsidRPr="00000B62">
        <w:rPr>
          <w:rFonts w:asciiTheme="majorBidi" w:hAnsiTheme="majorBidi" w:cstheme="majorBidi"/>
          <w:spacing w:val="6"/>
          <w:sz w:val="24"/>
          <w:szCs w:val="24"/>
        </w:rPr>
        <w:t xml:space="preserve"> </w:t>
      </w:r>
      <w:r w:rsidR="00092E51" w:rsidRPr="00000B62">
        <w:rPr>
          <w:rFonts w:ascii="Times New Roman" w:hAnsi="Times New Roman" w:cs="Times New Roman"/>
          <w:spacing w:val="6"/>
          <w:sz w:val="24"/>
          <w:szCs w:val="24"/>
        </w:rPr>
        <w:t>Cependant</w:t>
      </w:r>
      <w:r w:rsidR="00857DC2" w:rsidRPr="00000B62">
        <w:rPr>
          <w:rFonts w:ascii="Times New Roman" w:hAnsi="Times New Roman" w:cs="Times New Roman"/>
          <w:spacing w:val="6"/>
          <w:sz w:val="24"/>
          <w:szCs w:val="24"/>
        </w:rPr>
        <w:t>,</w:t>
      </w:r>
      <w:r w:rsidRPr="00000B62">
        <w:rPr>
          <w:rFonts w:ascii="Times New Roman" w:hAnsi="Times New Roman" w:cs="Times New Roman"/>
          <w:spacing w:val="6"/>
          <w:sz w:val="24"/>
          <w:szCs w:val="24"/>
        </w:rPr>
        <w:t xml:space="preserve"> la majorité des opérations bancaires </w:t>
      </w:r>
      <w:r w:rsidR="007F69A4" w:rsidRPr="00000B62">
        <w:rPr>
          <w:rFonts w:ascii="Times New Roman" w:hAnsi="Times New Roman" w:cs="Times New Roman"/>
          <w:spacing w:val="6"/>
          <w:sz w:val="24"/>
          <w:szCs w:val="24"/>
        </w:rPr>
        <w:t>i</w:t>
      </w:r>
      <w:r w:rsidR="003773C6" w:rsidRPr="00000B62">
        <w:rPr>
          <w:rFonts w:ascii="Times New Roman" w:hAnsi="Times New Roman" w:cs="Times New Roman"/>
          <w:spacing w:val="6"/>
          <w:sz w:val="24"/>
          <w:szCs w:val="24"/>
        </w:rPr>
        <w:t>slamique</w:t>
      </w:r>
      <w:r w:rsidRPr="00000B62">
        <w:rPr>
          <w:rFonts w:ascii="Times New Roman" w:hAnsi="Times New Roman" w:cs="Times New Roman"/>
          <w:spacing w:val="6"/>
          <w:sz w:val="24"/>
          <w:szCs w:val="24"/>
        </w:rPr>
        <w:t>s se sont</w:t>
      </w:r>
      <w:r w:rsidR="0032661C" w:rsidRPr="00000B62">
        <w:rPr>
          <w:rFonts w:ascii="Times New Roman" w:hAnsi="Times New Roman" w:cs="Times New Roman"/>
          <w:spacing w:val="6"/>
          <w:sz w:val="24"/>
          <w:szCs w:val="24"/>
        </w:rPr>
        <w:t xml:space="preserve"> limitées à des actifs à revenu fixe qui sont moins risqués</w:t>
      </w:r>
      <w:r w:rsidRPr="00000B62">
        <w:rPr>
          <w:rFonts w:ascii="Times New Roman" w:hAnsi="Times New Roman" w:cs="Times New Roman"/>
          <w:spacing w:val="6"/>
          <w:sz w:val="24"/>
          <w:szCs w:val="24"/>
        </w:rPr>
        <w:t xml:space="preserve"> et qui tendent à </w:t>
      </w:r>
      <w:r w:rsidR="0032661C" w:rsidRPr="00000B62">
        <w:rPr>
          <w:rFonts w:ascii="Times New Roman" w:hAnsi="Times New Roman" w:cs="Times New Roman"/>
          <w:spacing w:val="6"/>
          <w:sz w:val="24"/>
          <w:szCs w:val="24"/>
        </w:rPr>
        <w:t>avoir une maturité plus courte.</w:t>
      </w:r>
    </w:p>
    <w:p w14:paraId="384C7171" w14:textId="77777777" w:rsidR="0032661C" w:rsidRPr="00000B62" w:rsidRDefault="002760B2" w:rsidP="00092E51">
      <w:pPr>
        <w:tabs>
          <w:tab w:val="left" w:pos="0"/>
        </w:tabs>
        <w:spacing w:before="120" w:line="300" w:lineRule="auto"/>
        <w:ind w:firstLine="709"/>
        <w:rPr>
          <w:rFonts w:ascii="Times New Roman" w:hAnsi="Times New Roman" w:cs="Times New Roman"/>
          <w:spacing w:val="6"/>
          <w:sz w:val="24"/>
          <w:szCs w:val="24"/>
        </w:rPr>
      </w:pPr>
      <w:r w:rsidRPr="00000B62">
        <w:rPr>
          <w:rFonts w:ascii="Times New Roman" w:hAnsi="Times New Roman" w:cs="Times New Roman"/>
          <w:spacing w:val="6"/>
          <w:sz w:val="24"/>
          <w:szCs w:val="24"/>
        </w:rPr>
        <w:t xml:space="preserve">Alors que le deuxième chapitre </w:t>
      </w:r>
      <w:r w:rsidR="00092E51" w:rsidRPr="00000B62">
        <w:rPr>
          <w:rFonts w:ascii="Times New Roman" w:hAnsi="Times New Roman" w:cs="Times New Roman"/>
          <w:spacing w:val="6"/>
          <w:sz w:val="24"/>
          <w:szCs w:val="24"/>
        </w:rPr>
        <w:t>a été</w:t>
      </w:r>
      <w:r w:rsidRPr="00000B62">
        <w:rPr>
          <w:rFonts w:ascii="Times New Roman" w:hAnsi="Times New Roman" w:cs="Times New Roman"/>
          <w:spacing w:val="6"/>
          <w:sz w:val="24"/>
          <w:szCs w:val="24"/>
        </w:rPr>
        <w:t xml:space="preserve"> destiné à l’étude des techniques de gestion des risques utilisées dans les </w:t>
      </w:r>
      <w:r w:rsidR="00857DC2" w:rsidRPr="00000B62">
        <w:rPr>
          <w:rFonts w:ascii="Times New Roman" w:hAnsi="Times New Roman" w:cs="Times New Roman"/>
          <w:spacing w:val="6"/>
          <w:sz w:val="24"/>
          <w:szCs w:val="24"/>
        </w:rPr>
        <w:t xml:space="preserve">banques </w:t>
      </w:r>
      <w:r w:rsidR="007F69A4" w:rsidRPr="00000B62">
        <w:rPr>
          <w:rFonts w:ascii="Times New Roman" w:hAnsi="Times New Roman" w:cs="Times New Roman"/>
          <w:spacing w:val="6"/>
          <w:sz w:val="24"/>
          <w:szCs w:val="24"/>
        </w:rPr>
        <w:t>i</w:t>
      </w:r>
      <w:r w:rsidR="003773C6" w:rsidRPr="00000B62">
        <w:rPr>
          <w:rFonts w:ascii="Times New Roman" w:hAnsi="Times New Roman" w:cs="Times New Roman"/>
          <w:spacing w:val="6"/>
          <w:sz w:val="24"/>
          <w:szCs w:val="24"/>
        </w:rPr>
        <w:t>slamique</w:t>
      </w:r>
      <w:r w:rsidR="00857DC2" w:rsidRPr="00000B62">
        <w:rPr>
          <w:rFonts w:ascii="Times New Roman" w:hAnsi="Times New Roman" w:cs="Times New Roman"/>
          <w:spacing w:val="6"/>
          <w:sz w:val="24"/>
          <w:szCs w:val="24"/>
        </w:rPr>
        <w:t>s, ce chapitre</w:t>
      </w:r>
      <w:r w:rsidR="0032661C" w:rsidRPr="00000B62">
        <w:rPr>
          <w:rFonts w:ascii="Times New Roman" w:hAnsi="Times New Roman" w:cs="Times New Roman"/>
          <w:spacing w:val="6"/>
          <w:sz w:val="24"/>
          <w:szCs w:val="24"/>
        </w:rPr>
        <w:t xml:space="preserve"> tente :</w:t>
      </w:r>
    </w:p>
    <w:p w14:paraId="67A8C554" w14:textId="77777777" w:rsidR="0032661C" w:rsidRPr="00000B62" w:rsidRDefault="002927E4" w:rsidP="00CB0FF1">
      <w:pPr>
        <w:pStyle w:val="Paragraphedeliste"/>
        <w:numPr>
          <w:ilvl w:val="0"/>
          <w:numId w:val="87"/>
        </w:numPr>
        <w:tabs>
          <w:tab w:val="left" w:pos="0"/>
        </w:tabs>
        <w:spacing w:line="300" w:lineRule="auto"/>
        <w:ind w:left="1135" w:hanging="284"/>
        <w:contextualSpacing w:val="0"/>
        <w:rPr>
          <w:rFonts w:ascii="Times New Roman" w:hAnsi="Times New Roman" w:cs="Times New Roman"/>
          <w:spacing w:val="6"/>
          <w:sz w:val="24"/>
          <w:szCs w:val="24"/>
        </w:rPr>
      </w:pPr>
      <w:r w:rsidRPr="00000B62">
        <w:rPr>
          <w:rFonts w:ascii="Times New Roman" w:hAnsi="Times New Roman" w:cs="Times New Roman"/>
          <w:spacing w:val="6"/>
          <w:sz w:val="24"/>
          <w:szCs w:val="24"/>
        </w:rPr>
        <w:t>D’analyser</w:t>
      </w:r>
      <w:r w:rsidR="002760B2" w:rsidRPr="00000B62">
        <w:rPr>
          <w:rFonts w:ascii="Times New Roman" w:hAnsi="Times New Roman" w:cs="Times New Roman"/>
          <w:spacing w:val="6"/>
          <w:sz w:val="24"/>
          <w:szCs w:val="24"/>
        </w:rPr>
        <w:t xml:space="preserve"> les causes de réticence des banques </w:t>
      </w:r>
      <w:r w:rsidR="007F69A4" w:rsidRPr="00000B62">
        <w:rPr>
          <w:rFonts w:ascii="Times New Roman" w:hAnsi="Times New Roman" w:cs="Times New Roman"/>
          <w:spacing w:val="6"/>
          <w:sz w:val="24"/>
          <w:szCs w:val="24"/>
        </w:rPr>
        <w:t>i</w:t>
      </w:r>
      <w:r w:rsidR="003773C6" w:rsidRPr="00000B62">
        <w:rPr>
          <w:rFonts w:ascii="Times New Roman" w:hAnsi="Times New Roman" w:cs="Times New Roman"/>
          <w:spacing w:val="6"/>
          <w:sz w:val="24"/>
          <w:szCs w:val="24"/>
        </w:rPr>
        <w:t>slamique</w:t>
      </w:r>
      <w:r w:rsidR="002760B2" w:rsidRPr="00000B62">
        <w:rPr>
          <w:rFonts w:ascii="Times New Roman" w:hAnsi="Times New Roman" w:cs="Times New Roman"/>
          <w:spacing w:val="6"/>
          <w:sz w:val="24"/>
          <w:szCs w:val="24"/>
        </w:rPr>
        <w:t xml:space="preserve">s </w:t>
      </w:r>
      <w:r w:rsidR="0032661C" w:rsidRPr="00000B62">
        <w:rPr>
          <w:rFonts w:ascii="Times New Roman" w:hAnsi="Times New Roman" w:cs="Times New Roman"/>
          <w:spacing w:val="6"/>
          <w:sz w:val="24"/>
          <w:szCs w:val="24"/>
        </w:rPr>
        <w:t>par rapport aux</w:t>
      </w:r>
      <w:r w:rsidR="002760B2" w:rsidRPr="00000B62">
        <w:rPr>
          <w:rFonts w:ascii="Times New Roman" w:hAnsi="Times New Roman" w:cs="Times New Roman"/>
          <w:spacing w:val="6"/>
          <w:sz w:val="24"/>
          <w:szCs w:val="24"/>
        </w:rPr>
        <w:t xml:space="preserve"> modes de financement </w:t>
      </w:r>
      <w:r w:rsidR="004A4E16" w:rsidRPr="00000B62">
        <w:rPr>
          <w:rFonts w:ascii="Times New Roman" w:hAnsi="Times New Roman" w:cs="Times New Roman"/>
          <w:i/>
          <w:spacing w:val="6"/>
          <w:sz w:val="24"/>
          <w:szCs w:val="24"/>
        </w:rPr>
        <w:t>moudaraba</w:t>
      </w:r>
      <w:r w:rsidR="002760B2" w:rsidRPr="00000B62">
        <w:rPr>
          <w:rFonts w:ascii="Times New Roman" w:hAnsi="Times New Roman" w:cs="Times New Roman"/>
          <w:spacing w:val="6"/>
          <w:sz w:val="24"/>
          <w:szCs w:val="24"/>
        </w:rPr>
        <w:t xml:space="preserve"> et </w:t>
      </w:r>
      <w:r w:rsidR="002760B2" w:rsidRPr="00000B62">
        <w:rPr>
          <w:rFonts w:ascii="Times New Roman" w:hAnsi="Times New Roman" w:cs="Times New Roman"/>
          <w:i/>
          <w:iCs/>
          <w:spacing w:val="6"/>
          <w:sz w:val="24"/>
          <w:szCs w:val="24"/>
        </w:rPr>
        <w:t>moucharaka</w:t>
      </w:r>
      <w:r w:rsidR="0032661C" w:rsidRPr="00000B62">
        <w:rPr>
          <w:rFonts w:ascii="Times New Roman" w:hAnsi="Times New Roman" w:cs="Times New Roman"/>
          <w:spacing w:val="6"/>
          <w:sz w:val="24"/>
          <w:szCs w:val="24"/>
        </w:rPr>
        <w:t xml:space="preserve"> et, donc,</w:t>
      </w:r>
      <w:r w:rsidR="002760B2" w:rsidRPr="00000B62">
        <w:rPr>
          <w:rFonts w:ascii="Times New Roman" w:hAnsi="Times New Roman" w:cs="Times New Roman"/>
          <w:spacing w:val="6"/>
          <w:sz w:val="24"/>
          <w:szCs w:val="24"/>
        </w:rPr>
        <w:t xml:space="preserve"> les raisons qui poussent les BI à recourir aux modes non participatifs. </w:t>
      </w:r>
    </w:p>
    <w:p w14:paraId="50A71A15" w14:textId="77777777" w:rsidR="002760B2" w:rsidRPr="00000B62" w:rsidRDefault="002927E4" w:rsidP="00CB0FF1">
      <w:pPr>
        <w:pStyle w:val="Paragraphedeliste"/>
        <w:numPr>
          <w:ilvl w:val="0"/>
          <w:numId w:val="87"/>
        </w:numPr>
        <w:tabs>
          <w:tab w:val="left" w:pos="0"/>
        </w:tabs>
        <w:spacing w:line="300" w:lineRule="auto"/>
        <w:ind w:left="1135" w:hanging="284"/>
        <w:contextualSpacing w:val="0"/>
        <w:rPr>
          <w:rFonts w:ascii="Times New Roman" w:hAnsi="Times New Roman" w:cs="Times New Roman"/>
          <w:spacing w:val="6"/>
          <w:sz w:val="24"/>
          <w:szCs w:val="24"/>
        </w:rPr>
      </w:pPr>
      <w:r w:rsidRPr="00000B62">
        <w:rPr>
          <w:rFonts w:ascii="Times New Roman" w:hAnsi="Times New Roman" w:cs="Times New Roman"/>
          <w:spacing w:val="6"/>
          <w:sz w:val="24"/>
          <w:szCs w:val="24"/>
        </w:rPr>
        <w:t>D’explorer</w:t>
      </w:r>
      <w:r w:rsidR="002760B2" w:rsidRPr="00000B62">
        <w:rPr>
          <w:rFonts w:ascii="Times New Roman" w:hAnsi="Times New Roman" w:cs="Times New Roman"/>
          <w:spacing w:val="6"/>
          <w:sz w:val="24"/>
          <w:szCs w:val="24"/>
        </w:rPr>
        <w:t xml:space="preserve"> </w:t>
      </w:r>
      <w:r w:rsidR="0032661C" w:rsidRPr="00000B62">
        <w:rPr>
          <w:rFonts w:ascii="Times New Roman" w:hAnsi="Times New Roman" w:cs="Times New Roman"/>
          <w:spacing w:val="6"/>
          <w:sz w:val="24"/>
          <w:szCs w:val="24"/>
        </w:rPr>
        <w:t>l</w:t>
      </w:r>
      <w:r w:rsidR="002760B2" w:rsidRPr="00000B62">
        <w:rPr>
          <w:rFonts w:ascii="Times New Roman" w:hAnsi="Times New Roman" w:cs="Times New Roman"/>
          <w:spacing w:val="6"/>
          <w:sz w:val="24"/>
          <w:szCs w:val="24"/>
        </w:rPr>
        <w:t xml:space="preserve">es techniques de gestion et d’atténuation des risques liés à la </w:t>
      </w:r>
      <w:r w:rsidR="002760B2" w:rsidRPr="00000B62">
        <w:rPr>
          <w:rFonts w:ascii="Times New Roman" w:hAnsi="Times New Roman" w:cs="Times New Roman"/>
          <w:i/>
          <w:iCs/>
          <w:spacing w:val="6"/>
          <w:sz w:val="24"/>
          <w:szCs w:val="24"/>
        </w:rPr>
        <w:t>moucharaka</w:t>
      </w:r>
      <w:r w:rsidR="002760B2" w:rsidRPr="00000B62">
        <w:rPr>
          <w:rFonts w:ascii="Times New Roman" w:hAnsi="Times New Roman" w:cs="Times New Roman"/>
          <w:spacing w:val="6"/>
          <w:sz w:val="24"/>
          <w:szCs w:val="24"/>
        </w:rPr>
        <w:t xml:space="preserve"> et la </w:t>
      </w:r>
      <w:r w:rsidR="004A4E16" w:rsidRPr="00000B62">
        <w:rPr>
          <w:rFonts w:ascii="Times New Roman" w:hAnsi="Times New Roman" w:cs="Times New Roman"/>
          <w:i/>
          <w:spacing w:val="6"/>
          <w:sz w:val="24"/>
          <w:szCs w:val="24"/>
        </w:rPr>
        <w:t>moudaraba</w:t>
      </w:r>
      <w:r w:rsidR="002760B2" w:rsidRPr="00000B62">
        <w:rPr>
          <w:rFonts w:ascii="Times New Roman" w:hAnsi="Times New Roman" w:cs="Times New Roman"/>
          <w:spacing w:val="6"/>
          <w:sz w:val="24"/>
          <w:szCs w:val="24"/>
        </w:rPr>
        <w:t>.</w:t>
      </w:r>
    </w:p>
    <w:p w14:paraId="35B344ED" w14:textId="60F76FF5" w:rsidR="003400A6" w:rsidRPr="003400A6" w:rsidRDefault="003400A6" w:rsidP="003400A6">
      <w:pPr>
        <w:tabs>
          <w:tab w:val="left" w:pos="0"/>
        </w:tabs>
        <w:spacing w:before="100" w:beforeAutospacing="1" w:line="300" w:lineRule="auto"/>
        <w:ind w:firstLine="709"/>
        <w:mirrorIndents/>
        <w:rPr>
          <w:rFonts w:asciiTheme="majorBidi" w:hAnsiTheme="majorBidi" w:cstheme="majorBidi"/>
          <w:b/>
          <w:bCs/>
          <w:spacing w:val="6"/>
          <w:sz w:val="24"/>
          <w:szCs w:val="24"/>
        </w:rPr>
      </w:pPr>
      <w:r w:rsidRPr="003400A6">
        <w:rPr>
          <w:rFonts w:asciiTheme="majorBidi" w:hAnsiTheme="majorBidi" w:cstheme="majorBidi"/>
          <w:b/>
          <w:bCs/>
          <w:kern w:val="24"/>
          <w:sz w:val="28"/>
        </w:rPr>
        <w:t xml:space="preserve">Section I- Contexte </w:t>
      </w:r>
      <w:r w:rsidRPr="003400A6">
        <w:rPr>
          <w:rFonts w:asciiTheme="majorBidi" w:hAnsiTheme="majorBidi" w:cstheme="majorBidi"/>
          <w:b/>
          <w:bCs/>
          <w:i/>
          <w:spacing w:val="4"/>
          <w:sz w:val="28"/>
        </w:rPr>
        <w:t>c</w:t>
      </w:r>
      <w:r w:rsidRPr="003400A6">
        <w:rPr>
          <w:rFonts w:asciiTheme="majorBidi" w:hAnsiTheme="majorBidi" w:cstheme="majorBidi"/>
          <w:b/>
          <w:bCs/>
          <w:spacing w:val="4"/>
          <w:sz w:val="28"/>
        </w:rPr>
        <w:t>haria</w:t>
      </w:r>
      <w:r w:rsidRPr="003400A6">
        <w:rPr>
          <w:rFonts w:asciiTheme="majorBidi" w:hAnsiTheme="majorBidi" w:cstheme="majorBidi"/>
          <w:b/>
          <w:bCs/>
          <w:kern w:val="24"/>
          <w:sz w:val="28"/>
        </w:rPr>
        <w:t>tique des modes de financement participatif</w:t>
      </w:r>
    </w:p>
    <w:p w14:paraId="659E4C3D" w14:textId="4FEF9851" w:rsidR="002760B2" w:rsidRPr="00000B62" w:rsidRDefault="002760B2" w:rsidP="009E5427">
      <w:pPr>
        <w:tabs>
          <w:tab w:val="left" w:pos="0"/>
        </w:tabs>
        <w:spacing w:before="120" w:line="300" w:lineRule="auto"/>
        <w:ind w:firstLine="709"/>
        <w:rPr>
          <w:rFonts w:ascii="Times New Roman" w:hAnsi="Times New Roman" w:cs="Times New Roman"/>
          <w:spacing w:val="6"/>
          <w:sz w:val="24"/>
          <w:szCs w:val="24"/>
        </w:rPr>
      </w:pPr>
      <w:r w:rsidRPr="00000B62">
        <w:rPr>
          <w:rFonts w:ascii="Times New Roman" w:hAnsi="Times New Roman" w:cs="Times New Roman"/>
          <w:spacing w:val="6"/>
          <w:sz w:val="24"/>
          <w:szCs w:val="24"/>
        </w:rPr>
        <w:t xml:space="preserve">Dans cette section, nous allons aborder les aspects juridiques et historiques liés aux techniques de financement </w:t>
      </w:r>
      <w:r w:rsidR="009E5427" w:rsidRPr="00000B62">
        <w:rPr>
          <w:rFonts w:ascii="Times New Roman" w:hAnsi="Times New Roman" w:cs="Times New Roman"/>
          <w:spacing w:val="6"/>
          <w:sz w:val="24"/>
          <w:szCs w:val="24"/>
        </w:rPr>
        <w:t>i</w:t>
      </w:r>
      <w:r w:rsidR="003773C6" w:rsidRPr="00000B62">
        <w:rPr>
          <w:rFonts w:ascii="Times New Roman" w:hAnsi="Times New Roman" w:cs="Times New Roman"/>
          <w:spacing w:val="6"/>
          <w:sz w:val="24"/>
          <w:szCs w:val="24"/>
        </w:rPr>
        <w:t>slamique</w:t>
      </w:r>
      <w:r w:rsidR="009E5427" w:rsidRPr="00000B62">
        <w:rPr>
          <w:rFonts w:ascii="Times New Roman" w:hAnsi="Times New Roman" w:cs="Times New Roman"/>
          <w:spacing w:val="6"/>
          <w:sz w:val="24"/>
          <w:szCs w:val="24"/>
        </w:rPr>
        <w:t xml:space="preserve"> participatif</w:t>
      </w:r>
      <w:r w:rsidRPr="00000B62">
        <w:rPr>
          <w:rFonts w:ascii="Times New Roman" w:hAnsi="Times New Roman" w:cs="Times New Roman"/>
          <w:spacing w:val="6"/>
          <w:sz w:val="24"/>
          <w:szCs w:val="24"/>
        </w:rPr>
        <w:t xml:space="preserve"> notamment la </w:t>
      </w:r>
      <w:r w:rsidRPr="00000B62">
        <w:rPr>
          <w:rFonts w:ascii="Times New Roman" w:hAnsi="Times New Roman" w:cs="Times New Roman"/>
          <w:i/>
          <w:iCs/>
          <w:spacing w:val="6"/>
          <w:sz w:val="24"/>
          <w:szCs w:val="24"/>
        </w:rPr>
        <w:t>moucharaka</w:t>
      </w:r>
      <w:r w:rsidRPr="00000B62">
        <w:rPr>
          <w:rFonts w:ascii="Times New Roman" w:hAnsi="Times New Roman" w:cs="Times New Roman"/>
          <w:spacing w:val="6"/>
          <w:sz w:val="24"/>
          <w:szCs w:val="24"/>
        </w:rPr>
        <w:t xml:space="preserve"> et la </w:t>
      </w:r>
      <w:r w:rsidR="004A4E16" w:rsidRPr="00000B62">
        <w:rPr>
          <w:rFonts w:ascii="Times New Roman" w:hAnsi="Times New Roman" w:cs="Times New Roman"/>
          <w:i/>
          <w:spacing w:val="6"/>
          <w:sz w:val="24"/>
          <w:szCs w:val="24"/>
        </w:rPr>
        <w:t>moudaraba</w:t>
      </w:r>
      <w:r w:rsidRPr="00000B62">
        <w:rPr>
          <w:rFonts w:ascii="Times New Roman" w:hAnsi="Times New Roman" w:cs="Times New Roman"/>
          <w:spacing w:val="6"/>
          <w:sz w:val="24"/>
          <w:szCs w:val="24"/>
        </w:rPr>
        <w:t xml:space="preserve"> avant de passer aux pratiques bancaires en matière de ces deux modes de financement.</w:t>
      </w:r>
      <w:r w:rsidR="009E5427" w:rsidRPr="00000B62">
        <w:rPr>
          <w:rFonts w:ascii="Times New Roman" w:hAnsi="Times New Roman" w:cs="Times New Roman"/>
          <w:spacing w:val="6"/>
          <w:sz w:val="24"/>
          <w:szCs w:val="24"/>
        </w:rPr>
        <w:t xml:space="preserve"> Ils</w:t>
      </w:r>
      <w:r w:rsidRPr="00000B62">
        <w:rPr>
          <w:rFonts w:ascii="Times New Roman" w:hAnsi="Times New Roman" w:cs="Times New Roman"/>
          <w:spacing w:val="6"/>
          <w:sz w:val="24"/>
          <w:szCs w:val="24"/>
        </w:rPr>
        <w:t xml:space="preserve"> font partie d'une grande famille appelée la </w:t>
      </w:r>
      <w:r w:rsidRPr="00000B62">
        <w:rPr>
          <w:rFonts w:ascii="Times New Roman" w:hAnsi="Times New Roman" w:cs="Times New Roman"/>
          <w:i/>
          <w:iCs/>
          <w:spacing w:val="6"/>
          <w:sz w:val="24"/>
          <w:szCs w:val="24"/>
        </w:rPr>
        <w:t>shirkah</w:t>
      </w:r>
      <w:r w:rsidRPr="00000B62">
        <w:rPr>
          <w:rFonts w:ascii="Times New Roman" w:hAnsi="Times New Roman" w:cs="Times New Roman"/>
          <w:spacing w:val="6"/>
          <w:sz w:val="24"/>
          <w:szCs w:val="24"/>
        </w:rPr>
        <w:t xml:space="preserve"> (association) dans la jurisprudence </w:t>
      </w:r>
      <w:r w:rsidR="009E5427" w:rsidRPr="00000B62">
        <w:rPr>
          <w:rFonts w:ascii="Times New Roman" w:hAnsi="Times New Roman" w:cs="Times New Roman"/>
          <w:spacing w:val="6"/>
          <w:sz w:val="24"/>
          <w:szCs w:val="24"/>
        </w:rPr>
        <w:t>i</w:t>
      </w:r>
      <w:r w:rsidR="003773C6" w:rsidRPr="00000B62">
        <w:rPr>
          <w:rFonts w:ascii="Times New Roman" w:hAnsi="Times New Roman" w:cs="Times New Roman"/>
          <w:spacing w:val="6"/>
          <w:sz w:val="24"/>
          <w:szCs w:val="24"/>
        </w:rPr>
        <w:t>slamique</w:t>
      </w:r>
      <w:r w:rsidRPr="00000B62">
        <w:rPr>
          <w:rFonts w:ascii="Times New Roman" w:hAnsi="Times New Roman" w:cs="Times New Roman"/>
          <w:spacing w:val="6"/>
          <w:sz w:val="24"/>
          <w:szCs w:val="24"/>
        </w:rPr>
        <w:t xml:space="preserve">. Par conséquent, avant toute autre chose, nous fournirons des explications sur la </w:t>
      </w:r>
      <w:r w:rsidRPr="00000B62">
        <w:rPr>
          <w:rFonts w:ascii="Times New Roman" w:hAnsi="Times New Roman" w:cs="Times New Roman"/>
          <w:i/>
          <w:iCs/>
          <w:spacing w:val="6"/>
          <w:sz w:val="24"/>
          <w:szCs w:val="24"/>
        </w:rPr>
        <w:t>shirkah</w:t>
      </w:r>
      <w:r w:rsidR="00FE768C" w:rsidRPr="00000B62">
        <w:rPr>
          <w:rFonts w:ascii="Times New Roman" w:hAnsi="Times New Roman" w:cs="Times New Roman"/>
          <w:spacing w:val="6"/>
          <w:sz w:val="24"/>
          <w:szCs w:val="24"/>
        </w:rPr>
        <w:t>.</w:t>
      </w:r>
    </w:p>
    <w:p w14:paraId="04DFBD4B" w14:textId="36F54D8D" w:rsidR="002760B2" w:rsidRPr="00050B79" w:rsidRDefault="009B3B75" w:rsidP="00774B74">
      <w:pPr>
        <w:pStyle w:val="Titre3"/>
        <w:keepNext w:val="0"/>
        <w:keepLines w:val="0"/>
        <w:spacing w:before="100" w:beforeAutospacing="1"/>
        <w:ind w:firstLine="709"/>
        <w:rPr>
          <w:sz w:val="28"/>
          <w:szCs w:val="28"/>
        </w:rPr>
      </w:pPr>
      <w:bookmarkStart w:id="1173" w:name="_Toc33263335"/>
      <w:bookmarkStart w:id="1174" w:name="_Toc37664598"/>
      <w:bookmarkStart w:id="1175" w:name="_Toc37666443"/>
      <w:bookmarkStart w:id="1176" w:name="_Toc54363332"/>
      <w:bookmarkStart w:id="1177" w:name="_Toc58606325"/>
      <w:bookmarkStart w:id="1178" w:name="_Toc61263530"/>
      <w:bookmarkStart w:id="1179" w:name="_Toc182298829"/>
      <w:r w:rsidRPr="00050B79">
        <w:rPr>
          <w:sz w:val="28"/>
          <w:szCs w:val="28"/>
        </w:rPr>
        <w:t xml:space="preserve">1.1- </w:t>
      </w:r>
      <w:r w:rsidR="00D1374E" w:rsidRPr="00050B79">
        <w:rPr>
          <w:sz w:val="28"/>
          <w:szCs w:val="28"/>
        </w:rPr>
        <w:t xml:space="preserve">Formes de </w:t>
      </w:r>
      <w:r w:rsidR="00A5400B">
        <w:rPr>
          <w:i/>
          <w:iCs/>
          <w:sz w:val="28"/>
          <w:szCs w:val="28"/>
        </w:rPr>
        <w:t>s</w:t>
      </w:r>
      <w:r w:rsidR="002760B2" w:rsidRPr="00A5400B">
        <w:rPr>
          <w:i/>
          <w:iCs/>
          <w:sz w:val="28"/>
          <w:szCs w:val="28"/>
        </w:rPr>
        <w:t>hirkah</w:t>
      </w:r>
      <w:bookmarkEnd w:id="1173"/>
      <w:bookmarkEnd w:id="1174"/>
      <w:bookmarkEnd w:id="1175"/>
      <w:bookmarkEnd w:id="1176"/>
      <w:bookmarkEnd w:id="1177"/>
      <w:bookmarkEnd w:id="1178"/>
      <w:bookmarkEnd w:id="1179"/>
    </w:p>
    <w:p w14:paraId="166DA6C3" w14:textId="150287B6" w:rsidR="002760B2" w:rsidRPr="00000B62" w:rsidRDefault="002760B2" w:rsidP="00092E51">
      <w:pPr>
        <w:tabs>
          <w:tab w:val="left" w:pos="0"/>
        </w:tabs>
        <w:spacing w:before="120" w:line="300" w:lineRule="auto"/>
        <w:ind w:firstLine="709"/>
        <w:rPr>
          <w:rFonts w:ascii="Times New Roman" w:hAnsi="Times New Roman" w:cs="Times New Roman"/>
          <w:spacing w:val="6"/>
          <w:sz w:val="24"/>
          <w:szCs w:val="24"/>
        </w:rPr>
      </w:pPr>
      <w:r w:rsidRPr="00000B62">
        <w:rPr>
          <w:rFonts w:ascii="Times New Roman" w:hAnsi="Times New Roman" w:cs="Times New Roman"/>
          <w:spacing w:val="6"/>
          <w:sz w:val="24"/>
          <w:szCs w:val="24"/>
        </w:rPr>
        <w:t xml:space="preserve">Comme terme jurisprudentiel, la </w:t>
      </w:r>
      <w:r w:rsidRPr="00000B62">
        <w:rPr>
          <w:rFonts w:ascii="Times New Roman" w:hAnsi="Times New Roman" w:cs="Times New Roman"/>
          <w:i/>
          <w:iCs/>
          <w:spacing w:val="6"/>
          <w:sz w:val="24"/>
          <w:szCs w:val="24"/>
        </w:rPr>
        <w:t>shirkah</w:t>
      </w:r>
      <w:r w:rsidRPr="00000B62">
        <w:rPr>
          <w:rFonts w:ascii="Times New Roman" w:hAnsi="Times New Roman" w:cs="Times New Roman"/>
          <w:spacing w:val="6"/>
          <w:sz w:val="24"/>
          <w:szCs w:val="24"/>
        </w:rPr>
        <w:t xml:space="preserve"> signifie « </w:t>
      </w:r>
      <w:r w:rsidRPr="00000B62">
        <w:rPr>
          <w:rFonts w:ascii="Times New Roman" w:hAnsi="Times New Roman" w:cs="Times New Roman"/>
          <w:i/>
          <w:iCs/>
          <w:spacing w:val="6"/>
          <w:sz w:val="24"/>
          <w:szCs w:val="24"/>
        </w:rPr>
        <w:t>un contrat entre deux personnes ou plus</w:t>
      </w:r>
      <w:r w:rsidR="00132C24" w:rsidRPr="00000B62">
        <w:rPr>
          <w:rFonts w:ascii="Times New Roman" w:hAnsi="Times New Roman" w:cs="Times New Roman"/>
          <w:i/>
          <w:iCs/>
          <w:spacing w:val="6"/>
          <w:sz w:val="24"/>
          <w:szCs w:val="24"/>
        </w:rPr>
        <w:t xml:space="preserve"> </w:t>
      </w:r>
      <w:r w:rsidRPr="00000B62">
        <w:rPr>
          <w:rFonts w:ascii="Times New Roman" w:hAnsi="Times New Roman" w:cs="Times New Roman"/>
          <w:i/>
          <w:iCs/>
          <w:spacing w:val="6"/>
          <w:sz w:val="24"/>
          <w:szCs w:val="24"/>
        </w:rPr>
        <w:t>qui lancent des affaires ou une entreprise financière en vue de réaliser un bénéfice</w:t>
      </w:r>
      <w:r w:rsidRPr="00000B62">
        <w:rPr>
          <w:rFonts w:ascii="Times New Roman" w:hAnsi="Times New Roman" w:cs="Times New Roman"/>
          <w:spacing w:val="6"/>
          <w:sz w:val="24"/>
          <w:szCs w:val="24"/>
        </w:rPr>
        <w:t> »</w:t>
      </w:r>
      <w:r w:rsidRPr="00000B62">
        <w:rPr>
          <w:rStyle w:val="Appelnotedebasdep"/>
          <w:rFonts w:ascii="Times New Roman" w:hAnsi="Times New Roman"/>
          <w:spacing w:val="6"/>
          <w:sz w:val="24"/>
          <w:szCs w:val="24"/>
        </w:rPr>
        <w:footnoteReference w:id="297"/>
      </w:r>
      <w:r w:rsidRPr="00000B62">
        <w:rPr>
          <w:rFonts w:ascii="Times New Roman" w:hAnsi="Times New Roman" w:cs="Times New Roman"/>
          <w:spacing w:val="6"/>
          <w:sz w:val="24"/>
          <w:szCs w:val="24"/>
        </w:rPr>
        <w:t>.</w:t>
      </w:r>
      <w:r w:rsidR="00FE768C" w:rsidRPr="00000B62">
        <w:rPr>
          <w:rFonts w:ascii="Times New Roman" w:hAnsi="Times New Roman" w:cs="Times New Roman"/>
          <w:spacing w:val="6"/>
          <w:sz w:val="24"/>
          <w:szCs w:val="24"/>
        </w:rPr>
        <w:t xml:space="preserve"> </w:t>
      </w:r>
      <w:r w:rsidRPr="00000B62">
        <w:rPr>
          <w:rFonts w:ascii="Times New Roman" w:hAnsi="Times New Roman" w:cs="Times New Roman"/>
          <w:spacing w:val="6"/>
          <w:sz w:val="24"/>
          <w:szCs w:val="24"/>
        </w:rPr>
        <w:t>(</w:t>
      </w:r>
      <w:r w:rsidRPr="00000B62">
        <w:rPr>
          <w:rFonts w:ascii="Times New Roman" w:hAnsi="Times New Roman" w:cs="Times New Roman"/>
          <w:smallCaps/>
          <w:spacing w:val="6"/>
          <w:sz w:val="24"/>
          <w:szCs w:val="24"/>
        </w:rPr>
        <w:t>Khan</w:t>
      </w:r>
      <w:r w:rsidRPr="00000B62">
        <w:rPr>
          <w:rFonts w:ascii="Times New Roman" w:hAnsi="Times New Roman" w:cs="Times New Roman"/>
          <w:spacing w:val="6"/>
          <w:sz w:val="24"/>
          <w:szCs w:val="24"/>
        </w:rPr>
        <w:t>,</w:t>
      </w:r>
      <w:r w:rsidR="005B3EA3" w:rsidRPr="00000B62">
        <w:rPr>
          <w:rFonts w:ascii="Times New Roman" w:hAnsi="Times New Roman" w:cs="Times New Roman"/>
          <w:spacing w:val="6"/>
          <w:sz w:val="24"/>
          <w:szCs w:val="24"/>
        </w:rPr>
        <w:t xml:space="preserve"> </w:t>
      </w:r>
      <w:r w:rsidRPr="00000B62">
        <w:rPr>
          <w:rFonts w:ascii="Times New Roman" w:hAnsi="Times New Roman" w:cs="Times New Roman"/>
          <w:spacing w:val="6"/>
          <w:sz w:val="24"/>
          <w:szCs w:val="24"/>
        </w:rPr>
        <w:t xml:space="preserve">2003). La légitimité du </w:t>
      </w:r>
      <w:r w:rsidRPr="00000B62">
        <w:rPr>
          <w:rFonts w:ascii="Times New Roman" w:hAnsi="Times New Roman" w:cs="Times New Roman"/>
          <w:i/>
          <w:iCs/>
          <w:spacing w:val="6"/>
          <w:sz w:val="24"/>
          <w:szCs w:val="24"/>
        </w:rPr>
        <w:t>shirkah</w:t>
      </w:r>
      <w:r w:rsidRPr="00000B62">
        <w:rPr>
          <w:rFonts w:ascii="Times New Roman" w:hAnsi="Times New Roman" w:cs="Times New Roman"/>
          <w:spacing w:val="6"/>
          <w:sz w:val="24"/>
          <w:szCs w:val="24"/>
        </w:rPr>
        <w:t xml:space="preserve"> est démontrée dans le Coran</w:t>
      </w:r>
      <w:r w:rsidR="00132C24" w:rsidRPr="00000B62">
        <w:rPr>
          <w:rFonts w:ascii="Times New Roman" w:hAnsi="Times New Roman" w:cs="Times New Roman"/>
          <w:spacing w:val="6"/>
          <w:sz w:val="24"/>
          <w:szCs w:val="24"/>
        </w:rPr>
        <w:t xml:space="preserve">, </w:t>
      </w:r>
      <w:r w:rsidR="00732369" w:rsidRPr="00000B62">
        <w:rPr>
          <w:rFonts w:ascii="Times New Roman" w:hAnsi="Times New Roman" w:cs="Times New Roman"/>
          <w:spacing w:val="6"/>
          <w:sz w:val="24"/>
          <w:szCs w:val="24"/>
        </w:rPr>
        <w:t>l</w:t>
      </w:r>
      <w:r w:rsidR="006F6800">
        <w:rPr>
          <w:rFonts w:ascii="Times New Roman" w:hAnsi="Times New Roman" w:cs="Times New Roman"/>
          <w:spacing w:val="6"/>
          <w:sz w:val="24"/>
          <w:szCs w:val="24"/>
        </w:rPr>
        <w:t xml:space="preserve">e </w:t>
      </w:r>
      <w:r w:rsidR="00732369" w:rsidRPr="00000B62">
        <w:rPr>
          <w:rFonts w:ascii="Times New Roman" w:hAnsi="Times New Roman" w:cs="Times New Roman"/>
          <w:spacing w:val="6"/>
          <w:sz w:val="24"/>
          <w:szCs w:val="24"/>
        </w:rPr>
        <w:t>hadith</w:t>
      </w:r>
      <w:r w:rsidRPr="00000B62">
        <w:rPr>
          <w:rFonts w:ascii="Times New Roman" w:hAnsi="Times New Roman" w:cs="Times New Roman"/>
          <w:spacing w:val="6"/>
          <w:sz w:val="24"/>
          <w:szCs w:val="24"/>
        </w:rPr>
        <w:t xml:space="preserve"> et l’</w:t>
      </w:r>
      <w:r w:rsidRPr="00000B62">
        <w:rPr>
          <w:rFonts w:ascii="Times New Roman" w:hAnsi="Times New Roman" w:cs="Times New Roman"/>
          <w:i/>
          <w:iCs/>
          <w:spacing w:val="6"/>
          <w:sz w:val="24"/>
          <w:szCs w:val="24"/>
        </w:rPr>
        <w:t>ijma</w:t>
      </w:r>
      <w:r w:rsidR="005375A2" w:rsidRPr="00000B62">
        <w:rPr>
          <w:rFonts w:ascii="Times New Roman" w:hAnsi="Times New Roman" w:cs="Times New Roman"/>
          <w:i/>
          <w:iCs/>
          <w:spacing w:val="6"/>
          <w:sz w:val="24"/>
          <w:szCs w:val="24"/>
        </w:rPr>
        <w:t>’</w:t>
      </w:r>
      <w:r w:rsidR="001F6066" w:rsidRPr="00000B62">
        <w:rPr>
          <w:rFonts w:ascii="Times New Roman" w:hAnsi="Times New Roman" w:cs="Times New Roman"/>
          <w:spacing w:val="6"/>
          <w:sz w:val="24"/>
          <w:szCs w:val="24"/>
        </w:rPr>
        <w:t>. Le verset</w:t>
      </w:r>
      <w:r w:rsidRPr="00000B62">
        <w:rPr>
          <w:rFonts w:ascii="Times New Roman" w:hAnsi="Times New Roman" w:cs="Times New Roman"/>
          <w:spacing w:val="6"/>
          <w:sz w:val="24"/>
          <w:szCs w:val="24"/>
        </w:rPr>
        <w:t xml:space="preserve"> </w:t>
      </w:r>
      <w:r w:rsidR="00886A40" w:rsidRPr="00000B62">
        <w:rPr>
          <w:rFonts w:ascii="Times New Roman" w:hAnsi="Times New Roman" w:cs="Times New Roman"/>
          <w:iCs/>
          <w:spacing w:val="6"/>
          <w:sz w:val="24"/>
          <w:szCs w:val="24"/>
        </w:rPr>
        <w:t>c</w:t>
      </w:r>
      <w:r w:rsidRPr="00000B62">
        <w:rPr>
          <w:rFonts w:ascii="Times New Roman" w:hAnsi="Times New Roman" w:cs="Times New Roman"/>
          <w:iCs/>
          <w:spacing w:val="6"/>
          <w:sz w:val="24"/>
          <w:szCs w:val="24"/>
        </w:rPr>
        <w:t>oranique</w:t>
      </w:r>
      <w:r w:rsidR="001F6066" w:rsidRPr="00000B62">
        <w:rPr>
          <w:rFonts w:ascii="Times New Roman" w:hAnsi="Times New Roman" w:cs="Times New Roman"/>
          <w:spacing w:val="6"/>
          <w:sz w:val="24"/>
          <w:szCs w:val="24"/>
        </w:rPr>
        <w:t xml:space="preserve"> le</w:t>
      </w:r>
      <w:r w:rsidRPr="00000B62">
        <w:rPr>
          <w:rFonts w:ascii="Times New Roman" w:hAnsi="Times New Roman" w:cs="Times New Roman"/>
          <w:spacing w:val="6"/>
          <w:sz w:val="24"/>
          <w:szCs w:val="24"/>
        </w:rPr>
        <w:t xml:space="preserve"> </w:t>
      </w:r>
      <w:r w:rsidR="001F6066" w:rsidRPr="00000B62">
        <w:rPr>
          <w:rFonts w:ascii="Times New Roman" w:hAnsi="Times New Roman" w:cs="Times New Roman"/>
          <w:spacing w:val="6"/>
          <w:sz w:val="24"/>
          <w:szCs w:val="24"/>
        </w:rPr>
        <w:t>plus référé</w:t>
      </w:r>
      <w:r w:rsidRPr="00000B62">
        <w:rPr>
          <w:rFonts w:ascii="Times New Roman" w:hAnsi="Times New Roman" w:cs="Times New Roman"/>
          <w:spacing w:val="6"/>
          <w:sz w:val="24"/>
          <w:szCs w:val="24"/>
        </w:rPr>
        <w:t xml:space="preserve"> pour démontrer la </w:t>
      </w:r>
      <w:r w:rsidRPr="00000B62">
        <w:rPr>
          <w:rFonts w:ascii="Times New Roman" w:hAnsi="Times New Roman" w:cs="Times New Roman"/>
          <w:i/>
          <w:iCs/>
          <w:spacing w:val="6"/>
          <w:sz w:val="24"/>
          <w:szCs w:val="24"/>
        </w:rPr>
        <w:t>shirkah</w:t>
      </w:r>
      <w:r w:rsidR="001F6066" w:rsidRPr="00000B62">
        <w:rPr>
          <w:rFonts w:ascii="Times New Roman" w:hAnsi="Times New Roman" w:cs="Times New Roman"/>
          <w:spacing w:val="6"/>
          <w:sz w:val="24"/>
          <w:szCs w:val="24"/>
        </w:rPr>
        <w:t xml:space="preserve"> est le suivant</w:t>
      </w:r>
      <w:r w:rsidRPr="00000B62">
        <w:rPr>
          <w:rFonts w:ascii="Times New Roman" w:hAnsi="Times New Roman" w:cs="Times New Roman"/>
          <w:spacing w:val="6"/>
          <w:sz w:val="24"/>
          <w:szCs w:val="24"/>
        </w:rPr>
        <w:t> :</w:t>
      </w:r>
    </w:p>
    <w:p w14:paraId="07A34961" w14:textId="0E330FA9" w:rsidR="00092E51" w:rsidRPr="00774B74" w:rsidRDefault="00092E51" w:rsidP="00774B74">
      <w:pPr>
        <w:tabs>
          <w:tab w:val="left" w:pos="0"/>
        </w:tabs>
        <w:autoSpaceDE w:val="0"/>
        <w:autoSpaceDN w:val="0"/>
        <w:bidi/>
        <w:adjustRightInd w:val="0"/>
        <w:spacing w:before="120" w:line="300" w:lineRule="auto"/>
        <w:ind w:right="284"/>
        <w:rPr>
          <w:rFonts w:asciiTheme="minorBidi" w:hAnsiTheme="minorBidi"/>
          <w:spacing w:val="6"/>
          <w:sz w:val="26"/>
          <w:szCs w:val="26"/>
        </w:rPr>
      </w:pPr>
      <w:r w:rsidRPr="00774B74">
        <w:rPr>
          <w:rFonts w:asciiTheme="majorBidi" w:hAnsiTheme="majorBidi" w:cstheme="majorBidi"/>
          <w:color w:val="000000"/>
          <w:spacing w:val="6"/>
          <w:sz w:val="26"/>
          <w:szCs w:val="26"/>
          <w:shd w:val="clear" w:color="auto" w:fill="FFFFFF"/>
          <w:rtl/>
        </w:rPr>
        <w:t>"</w:t>
      </w:r>
      <w:r w:rsidR="00000B62" w:rsidRPr="00774B74">
        <w:rPr>
          <w:rFonts w:asciiTheme="majorBidi" w:hAnsiTheme="majorBidi" w:cstheme="majorBidi"/>
          <w:color w:val="000000"/>
          <w:spacing w:val="6"/>
          <w:sz w:val="26"/>
          <w:szCs w:val="26"/>
          <w:shd w:val="clear" w:color="auto" w:fill="FFFFFF"/>
          <w:rtl/>
        </w:rPr>
        <w:t>...</w:t>
      </w:r>
      <w:r w:rsidRPr="00774B74">
        <w:rPr>
          <w:rFonts w:asciiTheme="majorBidi" w:hAnsiTheme="majorBidi" w:cstheme="majorBidi"/>
          <w:color w:val="000000"/>
          <w:spacing w:val="6"/>
          <w:sz w:val="26"/>
          <w:szCs w:val="26"/>
          <w:shd w:val="clear" w:color="auto" w:fill="FFFFFF"/>
          <w:rtl/>
        </w:rPr>
        <w:t>فَإِن كَانُوَاْ أَكْثَرَ مِن ذَلِكَ فَهُمْ شُرَكَاء فِي الثُّلُثِ مِن بَعْدِ وَصِيَّةٍ يُوصَى بِهَآ أَوْ دَيْنٍ غَيْرَ مُضَآرٍّ وَصِيَّةً مِّنَ اللّهِ وَاللّهُ عَلِيمٌ حَلِيمٌ</w:t>
      </w:r>
      <w:r w:rsidRPr="00774B74">
        <w:rPr>
          <w:rFonts w:asciiTheme="minorBidi" w:hAnsiTheme="minorBidi"/>
          <w:color w:val="000000"/>
          <w:spacing w:val="6"/>
          <w:sz w:val="26"/>
          <w:szCs w:val="26"/>
          <w:shd w:val="clear" w:color="auto" w:fill="FFFFFF"/>
          <w:rtl/>
        </w:rPr>
        <w:t xml:space="preserve">" </w:t>
      </w:r>
      <w:r w:rsidRPr="00774B74">
        <w:rPr>
          <w:rFonts w:asciiTheme="majorBidi" w:hAnsiTheme="majorBidi" w:cstheme="majorBidi"/>
          <w:b/>
          <w:bCs/>
          <w:color w:val="000000"/>
          <w:spacing w:val="6"/>
          <w:sz w:val="24"/>
          <w:szCs w:val="24"/>
          <w:shd w:val="clear" w:color="auto" w:fill="FFFFFF"/>
          <w:rtl/>
          <w:lang w:bidi="ar-DZ"/>
        </w:rPr>
        <w:t>(سورة النساء، الآية 12)</w:t>
      </w:r>
    </w:p>
    <w:p w14:paraId="1E42CD1B" w14:textId="7F1D77AD" w:rsidR="002760B2" w:rsidRPr="00000B62" w:rsidRDefault="00092E51" w:rsidP="00FE4FAD">
      <w:pPr>
        <w:tabs>
          <w:tab w:val="left" w:pos="0"/>
        </w:tabs>
        <w:suppressAutoHyphens/>
        <w:spacing w:before="120" w:line="300" w:lineRule="auto"/>
        <w:ind w:right="-1"/>
        <w:rPr>
          <w:rFonts w:ascii="Times New Roman" w:eastAsiaTheme="minorEastAsia" w:hAnsi="Times New Roman" w:cs="Times New Roman"/>
          <w:i/>
          <w:iCs/>
          <w:spacing w:val="6"/>
          <w:sz w:val="24"/>
          <w:szCs w:val="24"/>
        </w:rPr>
      </w:pPr>
      <w:r w:rsidRPr="00000B62">
        <w:rPr>
          <w:rFonts w:ascii="Times New Roman" w:eastAsiaTheme="minorEastAsia" w:hAnsi="Times New Roman" w:cs="Times New Roman"/>
          <w:i/>
          <w:iCs/>
          <w:spacing w:val="6"/>
          <w:sz w:val="24"/>
          <w:szCs w:val="24"/>
        </w:rPr>
        <w:t xml:space="preserve">« …S'ils sont plus de deux, tous alors participeront au tiers, après exécution du testament ou paiement d'une dette, sans préjudice à quiconque. (Telle est l') Injonction </w:t>
      </w:r>
      <w:r w:rsidR="002927E4" w:rsidRPr="00000B62">
        <w:rPr>
          <w:rFonts w:ascii="Times New Roman" w:eastAsiaTheme="minorEastAsia" w:hAnsi="Times New Roman" w:cs="Times New Roman"/>
          <w:i/>
          <w:iCs/>
          <w:spacing w:val="6"/>
          <w:sz w:val="24"/>
          <w:szCs w:val="24"/>
        </w:rPr>
        <w:t>d’Allah !</w:t>
      </w:r>
      <w:r w:rsidRPr="00000B62">
        <w:rPr>
          <w:rFonts w:ascii="Times New Roman" w:eastAsiaTheme="minorEastAsia" w:hAnsi="Times New Roman" w:cs="Times New Roman"/>
          <w:i/>
          <w:iCs/>
          <w:spacing w:val="6"/>
          <w:sz w:val="24"/>
          <w:szCs w:val="24"/>
        </w:rPr>
        <w:t xml:space="preserve"> Et Allah est Omniscient et Indulgent ».</w:t>
      </w:r>
      <w:r w:rsidRPr="00FE4FAD">
        <w:rPr>
          <w:rFonts w:ascii="Times New Roman" w:eastAsiaTheme="minorEastAsia" w:hAnsi="Times New Roman"/>
          <w:spacing w:val="6"/>
          <w:sz w:val="24"/>
          <w:szCs w:val="24"/>
          <w:vertAlign w:val="superscript"/>
        </w:rPr>
        <w:footnoteReference w:id="298"/>
      </w:r>
    </w:p>
    <w:p w14:paraId="03C34780" w14:textId="227F4C29" w:rsidR="002760B2" w:rsidRPr="00000B62" w:rsidRDefault="003229FE" w:rsidP="007B64B9">
      <w:pPr>
        <w:pStyle w:val="Paragraphedeliste"/>
        <w:keepNext/>
        <w:tabs>
          <w:tab w:val="left" w:pos="0"/>
        </w:tabs>
        <w:autoSpaceDE w:val="0"/>
        <w:autoSpaceDN w:val="0"/>
        <w:adjustRightInd w:val="0"/>
        <w:spacing w:before="120"/>
        <w:ind w:left="0" w:firstLine="709"/>
        <w:contextualSpacing w:val="0"/>
        <w:rPr>
          <w:rFonts w:ascii="Times New Roman" w:hAnsi="Times New Roman" w:cs="Times New Roman"/>
          <w:spacing w:val="6"/>
          <w:sz w:val="24"/>
          <w:szCs w:val="24"/>
        </w:rPr>
      </w:pPr>
      <w:r w:rsidRPr="00000B62">
        <w:rPr>
          <w:rFonts w:ascii="Times New Roman" w:hAnsi="Times New Roman" w:cs="Times New Roman"/>
          <w:spacing w:val="6"/>
          <w:sz w:val="24"/>
          <w:szCs w:val="24"/>
        </w:rPr>
        <w:lastRenderedPageBreak/>
        <w:t xml:space="preserve">La </w:t>
      </w:r>
      <w:r w:rsidRPr="00000B62">
        <w:rPr>
          <w:rFonts w:ascii="Times New Roman" w:hAnsi="Times New Roman" w:cs="Times New Roman"/>
          <w:i/>
          <w:iCs/>
          <w:spacing w:val="6"/>
          <w:sz w:val="24"/>
          <w:szCs w:val="24"/>
        </w:rPr>
        <w:t>moucharaka</w:t>
      </w:r>
      <w:r w:rsidRPr="00000B62">
        <w:rPr>
          <w:rFonts w:ascii="Times New Roman" w:hAnsi="Times New Roman" w:cs="Times New Roman"/>
          <w:spacing w:val="6"/>
          <w:sz w:val="24"/>
          <w:szCs w:val="24"/>
        </w:rPr>
        <w:t xml:space="preserve"> trouve également son fondement dans la </w:t>
      </w:r>
      <w:r w:rsidRPr="00000B62">
        <w:rPr>
          <w:rFonts w:ascii="Times New Roman" w:hAnsi="Times New Roman" w:cs="Times New Roman"/>
          <w:i/>
          <w:iCs/>
          <w:spacing w:val="6"/>
          <w:sz w:val="24"/>
          <w:szCs w:val="24"/>
        </w:rPr>
        <w:t>Sunna</w:t>
      </w:r>
      <w:r w:rsidR="00210F47">
        <w:rPr>
          <w:rFonts w:ascii="Times New Roman" w:hAnsi="Times New Roman" w:cs="Times New Roman"/>
          <w:i/>
          <w:iCs/>
          <w:spacing w:val="6"/>
          <w:sz w:val="24"/>
          <w:szCs w:val="24"/>
        </w:rPr>
        <w:t>h</w:t>
      </w:r>
      <w:r w:rsidR="000567B2">
        <w:rPr>
          <w:rFonts w:ascii="Times New Roman" w:hAnsi="Times New Roman" w:cs="Times New Roman"/>
          <w:spacing w:val="6"/>
          <w:sz w:val="24"/>
          <w:szCs w:val="24"/>
        </w:rPr>
        <w:t xml:space="preserve"> en se référant aux hadiths s</w:t>
      </w:r>
      <w:r w:rsidRPr="00000B62">
        <w:rPr>
          <w:rFonts w:ascii="Times New Roman" w:hAnsi="Times New Roman" w:cs="Times New Roman"/>
          <w:spacing w:val="6"/>
          <w:sz w:val="24"/>
          <w:szCs w:val="24"/>
        </w:rPr>
        <w:t>uivants :</w:t>
      </w:r>
    </w:p>
    <w:p w14:paraId="759A9FEF" w14:textId="77777777" w:rsidR="00723486" w:rsidRPr="002B005F" w:rsidRDefault="003229FE" w:rsidP="00CB0FF1">
      <w:pPr>
        <w:pStyle w:val="Paragraphedeliste"/>
        <w:keepNext/>
        <w:numPr>
          <w:ilvl w:val="0"/>
          <w:numId w:val="88"/>
        </w:numPr>
        <w:tabs>
          <w:tab w:val="left" w:pos="0"/>
        </w:tabs>
        <w:autoSpaceDE w:val="0"/>
        <w:autoSpaceDN w:val="0"/>
        <w:adjustRightInd w:val="0"/>
        <w:spacing w:before="120"/>
        <w:ind w:left="1135" w:hanging="284"/>
        <w:contextualSpacing w:val="0"/>
        <w:rPr>
          <w:rFonts w:ascii="Times New Roman" w:hAnsi="Times New Roman" w:cs="Times New Roman"/>
          <w:sz w:val="24"/>
          <w:szCs w:val="24"/>
        </w:rPr>
      </w:pPr>
      <w:r w:rsidRPr="001F6066">
        <w:rPr>
          <w:rFonts w:ascii="Times New Roman" w:hAnsi="Times New Roman" w:cs="Times New Roman"/>
          <w:smallCaps/>
          <w:sz w:val="24"/>
          <w:szCs w:val="24"/>
        </w:rPr>
        <w:t>Abu Da</w:t>
      </w:r>
      <w:r w:rsidR="0029790E" w:rsidRPr="001F6066">
        <w:rPr>
          <w:rFonts w:ascii="Times New Roman" w:hAnsi="Times New Roman" w:cs="Times New Roman"/>
          <w:smallCaps/>
          <w:sz w:val="24"/>
          <w:szCs w:val="24"/>
        </w:rPr>
        <w:t>ou</w:t>
      </w:r>
      <w:r w:rsidRPr="001F6066">
        <w:rPr>
          <w:rFonts w:ascii="Times New Roman" w:hAnsi="Times New Roman" w:cs="Times New Roman"/>
          <w:smallCaps/>
          <w:sz w:val="24"/>
          <w:szCs w:val="24"/>
        </w:rPr>
        <w:t>d</w:t>
      </w:r>
      <w:r w:rsidRPr="001F6066">
        <w:rPr>
          <w:rFonts w:ascii="Times New Roman" w:hAnsi="Times New Roman" w:cs="Times New Roman"/>
          <w:sz w:val="24"/>
          <w:szCs w:val="24"/>
        </w:rPr>
        <w:t xml:space="preserve"> a</w:t>
      </w:r>
      <w:r>
        <w:rPr>
          <w:rFonts w:ascii="Times New Roman" w:hAnsi="Times New Roman" w:cs="Times New Roman"/>
          <w:sz w:val="24"/>
          <w:szCs w:val="24"/>
        </w:rPr>
        <w:t xml:space="preserve"> rapporté </w:t>
      </w:r>
      <w:r w:rsidRPr="003229FE">
        <w:rPr>
          <w:rFonts w:ascii="Times New Roman" w:hAnsi="Times New Roman" w:cs="Times New Roman"/>
          <w:smallCaps/>
          <w:sz w:val="24"/>
          <w:szCs w:val="24"/>
        </w:rPr>
        <w:t>d’</w:t>
      </w:r>
      <w:r w:rsidR="002760B2" w:rsidRPr="003229FE">
        <w:rPr>
          <w:rFonts w:ascii="Times New Roman" w:hAnsi="Times New Roman" w:cs="Times New Roman"/>
          <w:smallCaps/>
          <w:sz w:val="24"/>
          <w:szCs w:val="24"/>
        </w:rPr>
        <w:t>Ab</w:t>
      </w:r>
      <w:r w:rsidR="007D112A" w:rsidRPr="003229FE">
        <w:rPr>
          <w:rFonts w:ascii="Times New Roman" w:hAnsi="Times New Roman" w:cs="Times New Roman"/>
          <w:smallCaps/>
          <w:sz w:val="24"/>
          <w:szCs w:val="24"/>
        </w:rPr>
        <w:t>o</w:t>
      </w:r>
      <w:r w:rsidR="002760B2" w:rsidRPr="003229FE">
        <w:rPr>
          <w:rFonts w:ascii="Times New Roman" w:hAnsi="Times New Roman" w:cs="Times New Roman"/>
          <w:smallCaps/>
          <w:sz w:val="24"/>
          <w:szCs w:val="24"/>
        </w:rPr>
        <w:t>u</w:t>
      </w:r>
      <w:r w:rsidR="002760B2" w:rsidRPr="002B005F">
        <w:rPr>
          <w:rFonts w:ascii="Times New Roman" w:hAnsi="Times New Roman" w:cs="Times New Roman"/>
          <w:sz w:val="24"/>
          <w:szCs w:val="24"/>
        </w:rPr>
        <w:t xml:space="preserve"> </w:t>
      </w:r>
      <w:r w:rsidR="00E25152" w:rsidRPr="002B005F">
        <w:rPr>
          <w:rFonts w:ascii="Times New Roman" w:hAnsi="Times New Roman" w:cs="Times New Roman"/>
          <w:smallCaps/>
          <w:sz w:val="24"/>
          <w:szCs w:val="24"/>
        </w:rPr>
        <w:t>Hurayra</w:t>
      </w:r>
      <w:r w:rsidR="00AF3392">
        <w:rPr>
          <w:rFonts w:ascii="Times New Roman" w:hAnsi="Times New Roman" w:cs="Times New Roman"/>
          <w:smallCaps/>
          <w:sz w:val="24"/>
          <w:szCs w:val="24"/>
        </w:rPr>
        <w:t xml:space="preserve"> </w:t>
      </w:r>
      <w:r w:rsidR="00723486" w:rsidRPr="002B005F">
        <w:rPr>
          <w:rFonts w:ascii="Times New Roman" w:hAnsi="Times New Roman" w:cs="Times New Roman"/>
          <w:sz w:val="24"/>
          <w:szCs w:val="24"/>
        </w:rPr>
        <w:t xml:space="preserve"> </w:t>
      </w:r>
      <w:r w:rsidR="007D112A" w:rsidRPr="002B005F">
        <w:rPr>
          <w:rFonts w:ascii="Times New Roman" w:hAnsi="Times New Roman" w:cs="Times New Roman"/>
          <w:sz w:val="24"/>
          <w:szCs w:val="24"/>
        </w:rPr>
        <w:t xml:space="preserve">  </w:t>
      </w:r>
      <w:r w:rsidR="007D112A" w:rsidRPr="002B005F">
        <w:rPr>
          <w:rFonts w:ascii="Times New Roman" w:hAnsi="Times New Roman" w:cs="Times New Roman"/>
          <w:noProof/>
          <w:sz w:val="24"/>
          <w:szCs w:val="24"/>
          <w:lang w:eastAsia="fr-FR"/>
        </w:rPr>
        <w:drawing>
          <wp:anchor distT="0" distB="0" distL="114300" distR="114300" simplePos="0" relativeHeight="251530240" behindDoc="0" locked="1" layoutInCell="1" allowOverlap="0" wp14:anchorId="42881382" wp14:editId="5DF7EEE6">
            <wp:simplePos x="0" y="0"/>
            <wp:positionH relativeFrom="column">
              <wp:posOffset>3375660</wp:posOffset>
            </wp:positionH>
            <wp:positionV relativeFrom="paragraph">
              <wp:posOffset>3810</wp:posOffset>
            </wp:positionV>
            <wp:extent cx="180975" cy="161925"/>
            <wp:effectExtent l="19050" t="0" r="0" b="0"/>
            <wp:wrapNone/>
            <wp:docPr id="16" name="Image 1" descr="ملف:رضي الله عنه.png - ويكيبيد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ملف:رضي الله عنه.png - ويكيبيديا"/>
                    <pic:cNvPicPr preferRelativeResize="0">
                      <a:picLocks noChangeAspect="1" noChangeArrowheads="1"/>
                    </pic:cNvPicPr>
                  </pic:nvPicPr>
                  <pic:blipFill>
                    <a:blip r:embed="rId18" cstate="print"/>
                    <a:srcRect/>
                    <a:stretch>
                      <a:fillRect/>
                    </a:stretch>
                  </pic:blipFill>
                  <pic:spPr bwMode="auto">
                    <a:xfrm>
                      <a:off x="0" y="0"/>
                      <a:ext cx="180975" cy="161925"/>
                    </a:xfrm>
                    <a:prstGeom prst="rect">
                      <a:avLst/>
                    </a:prstGeom>
                    <a:noFill/>
                    <a:ln w="9525">
                      <a:noFill/>
                      <a:miter lim="800000"/>
                      <a:headEnd/>
                      <a:tailEnd/>
                    </a:ln>
                  </pic:spPr>
                </pic:pic>
              </a:graphicData>
            </a:graphic>
          </wp:anchor>
        </w:drawing>
      </w:r>
      <w:r w:rsidR="007D112A" w:rsidRPr="002B005F">
        <w:rPr>
          <w:rFonts w:ascii="Times New Roman" w:hAnsi="Times New Roman" w:cs="Times New Roman"/>
          <w:sz w:val="24"/>
          <w:szCs w:val="24"/>
        </w:rPr>
        <w:t xml:space="preserve"> </w:t>
      </w:r>
      <w:r w:rsidR="00723486" w:rsidRPr="002B005F">
        <w:rPr>
          <w:rFonts w:ascii="Times New Roman" w:hAnsi="Times New Roman" w:cs="Times New Roman"/>
          <w:sz w:val="24"/>
          <w:szCs w:val="24"/>
        </w:rPr>
        <w:t> :</w:t>
      </w:r>
    </w:p>
    <w:p w14:paraId="47F69AFF" w14:textId="4BF513E7" w:rsidR="001F6066" w:rsidRPr="008865CB" w:rsidRDefault="001F6066" w:rsidP="007B64B9">
      <w:pPr>
        <w:pStyle w:val="Paragraphedeliste"/>
        <w:tabs>
          <w:tab w:val="left" w:pos="0"/>
        </w:tabs>
        <w:autoSpaceDE w:val="0"/>
        <w:autoSpaceDN w:val="0"/>
        <w:adjustRightInd w:val="0"/>
        <w:spacing w:before="60"/>
        <w:ind w:left="1134" w:right="567"/>
        <w:contextualSpacing w:val="0"/>
        <w:rPr>
          <w:rFonts w:ascii="Times New Roman" w:hAnsi="Times New Roman" w:cs="Times New Roman"/>
        </w:rPr>
      </w:pPr>
      <w:r w:rsidRPr="002B005F">
        <w:rPr>
          <w:rFonts w:ascii="Times New Roman" w:hAnsi="Times New Roman" w:cs="Times New Roman"/>
        </w:rPr>
        <w:t>« </w:t>
      </w:r>
      <w:r w:rsidRPr="002B005F">
        <w:rPr>
          <w:rFonts w:ascii="Times New Roman" w:hAnsi="Times New Roman" w:cs="Times New Roman"/>
          <w:i/>
          <w:iCs/>
        </w:rPr>
        <w:t>Je (Allah</w:t>
      </w:r>
      <w:r w:rsidRPr="008865CB">
        <w:rPr>
          <w:rFonts w:ascii="Times New Roman" w:hAnsi="Times New Roman" w:cs="Times New Roman"/>
          <w:i/>
          <w:iCs/>
        </w:rPr>
        <w:t xml:space="preserve">) </w:t>
      </w:r>
      <w:r w:rsidRPr="008865CB">
        <w:rPr>
          <w:rFonts w:ascii="Times New Roman" w:hAnsi="Times New Roman" w:cs="Times New Roman"/>
          <w:i/>
          <w:iCs/>
          <w:sz w:val="24"/>
          <w:szCs w:val="24"/>
        </w:rPr>
        <w:t>suis le troisième associé tant que l’un des deux autres ne fait preuve de traîtrise. Je me dissocie d’eux dès que l’un d’entre eux aura trompé l’autre</w:t>
      </w:r>
      <w:r w:rsidRPr="008865CB">
        <w:rPr>
          <w:rFonts w:ascii="Times New Roman" w:hAnsi="Times New Roman" w:cs="Times New Roman"/>
          <w:sz w:val="24"/>
          <w:szCs w:val="24"/>
        </w:rPr>
        <w:t> </w:t>
      </w:r>
      <w:r w:rsidRPr="008865CB">
        <w:rPr>
          <w:rFonts w:ascii="Times New Roman" w:hAnsi="Times New Roman" w:cs="Times New Roman"/>
        </w:rPr>
        <w:t>»</w:t>
      </w:r>
      <w:r w:rsidRPr="008865CB">
        <w:rPr>
          <w:rStyle w:val="Appelnotedebasdep"/>
          <w:rFonts w:ascii="Times New Roman" w:hAnsi="Times New Roman"/>
        </w:rPr>
        <w:footnoteReference w:id="299"/>
      </w:r>
      <w:r w:rsidRPr="008865CB">
        <w:rPr>
          <w:rFonts w:ascii="Times New Roman" w:hAnsi="Times New Roman" w:cs="Times New Roman"/>
        </w:rPr>
        <w:t>.</w:t>
      </w:r>
    </w:p>
    <w:p w14:paraId="5AA4F630" w14:textId="77777777" w:rsidR="001F6066" w:rsidRPr="002B005F" w:rsidRDefault="001F6066" w:rsidP="00CB0FF1">
      <w:pPr>
        <w:pStyle w:val="Paragraphedeliste"/>
        <w:numPr>
          <w:ilvl w:val="0"/>
          <w:numId w:val="88"/>
        </w:numPr>
        <w:tabs>
          <w:tab w:val="left" w:pos="0"/>
        </w:tabs>
        <w:autoSpaceDE w:val="0"/>
        <w:autoSpaceDN w:val="0"/>
        <w:adjustRightInd w:val="0"/>
        <w:spacing w:before="120"/>
        <w:ind w:left="1135" w:hanging="284"/>
        <w:contextualSpacing w:val="0"/>
        <w:rPr>
          <w:rFonts w:ascii="Times New Roman" w:hAnsi="Times New Roman" w:cs="Times New Roman"/>
          <w:i/>
          <w:iCs/>
          <w:sz w:val="24"/>
          <w:szCs w:val="24"/>
        </w:rPr>
      </w:pPr>
      <w:r w:rsidRPr="008865CB">
        <w:rPr>
          <w:rFonts w:ascii="Times New Roman" w:hAnsi="Times New Roman" w:cs="Times New Roman"/>
          <w:sz w:val="24"/>
          <w:szCs w:val="24"/>
        </w:rPr>
        <w:t xml:space="preserve">Rapporté par </w:t>
      </w:r>
      <w:r w:rsidRPr="008865CB">
        <w:rPr>
          <w:rFonts w:ascii="Times New Roman" w:hAnsi="Times New Roman" w:cs="Times New Roman"/>
          <w:smallCaps/>
          <w:sz w:val="24"/>
          <w:szCs w:val="24"/>
        </w:rPr>
        <w:t>As-Sa'ib</w:t>
      </w:r>
      <w:r w:rsidRPr="008865CB">
        <w:rPr>
          <w:rFonts w:ascii="Times New Roman" w:hAnsi="Times New Roman" w:cs="Times New Roman"/>
          <w:sz w:val="24"/>
          <w:szCs w:val="24"/>
        </w:rPr>
        <w:t>,</w:t>
      </w:r>
      <w:r w:rsidRPr="002B005F">
        <w:rPr>
          <w:rFonts w:ascii="Times New Roman" w:hAnsi="Times New Roman" w:cs="Times New Roman"/>
          <w:sz w:val="24"/>
          <w:szCs w:val="24"/>
        </w:rPr>
        <w:t xml:space="preserve"> le Messager d’Allah </w:t>
      </w:r>
      <w:r w:rsidRPr="002B005F">
        <w:rPr>
          <w:rFonts w:ascii="Times New Roman" w:hAnsi="Times New Roman" w:cs="Times New Roman"/>
          <w:noProof/>
          <w:sz w:val="24"/>
          <w:szCs w:val="24"/>
          <w:lang w:eastAsia="fr-FR"/>
        </w:rPr>
        <w:drawing>
          <wp:anchor distT="0" distB="0" distL="114300" distR="114300" simplePos="0" relativeHeight="251537408" behindDoc="0" locked="1" layoutInCell="1" allowOverlap="0" wp14:anchorId="20C33B70" wp14:editId="4E64510E">
            <wp:simplePos x="0" y="0"/>
            <wp:positionH relativeFrom="column">
              <wp:posOffset>3430905</wp:posOffset>
            </wp:positionH>
            <wp:positionV relativeFrom="paragraph">
              <wp:posOffset>76200</wp:posOffset>
            </wp:positionV>
            <wp:extent cx="179705" cy="166370"/>
            <wp:effectExtent l="19050" t="0" r="0" b="0"/>
            <wp:wrapNone/>
            <wp:docPr id="1536"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79705" cy="166370"/>
                    </a:xfrm>
                    <a:prstGeom prst="rect">
                      <a:avLst/>
                    </a:prstGeom>
                    <a:noFill/>
                    <a:ln w="9525">
                      <a:noFill/>
                      <a:miter lim="800000"/>
                      <a:headEnd/>
                      <a:tailEnd/>
                    </a:ln>
                  </pic:spPr>
                </pic:pic>
              </a:graphicData>
            </a:graphic>
          </wp:anchor>
        </w:drawing>
      </w:r>
      <w:r w:rsidRPr="002B005F">
        <w:rPr>
          <w:rFonts w:ascii="Times New Roman" w:hAnsi="Times New Roman" w:cs="Times New Roman"/>
          <w:sz w:val="24"/>
          <w:szCs w:val="24"/>
        </w:rPr>
        <w:t xml:space="preserve">     a dit :</w:t>
      </w:r>
    </w:p>
    <w:p w14:paraId="05856935" w14:textId="77777777" w:rsidR="001F6066" w:rsidRPr="002B005F" w:rsidRDefault="001F6066" w:rsidP="007B64B9">
      <w:pPr>
        <w:pStyle w:val="Paragraphedeliste"/>
        <w:tabs>
          <w:tab w:val="left" w:pos="0"/>
        </w:tabs>
        <w:autoSpaceDE w:val="0"/>
        <w:autoSpaceDN w:val="0"/>
        <w:adjustRightInd w:val="0"/>
        <w:spacing w:before="60"/>
        <w:ind w:left="1134" w:right="567"/>
        <w:contextualSpacing w:val="0"/>
        <w:rPr>
          <w:rFonts w:ascii="Times New Roman" w:hAnsi="Times New Roman" w:cs="Times New Roman"/>
        </w:rPr>
      </w:pPr>
      <w:r w:rsidRPr="002B005F">
        <w:rPr>
          <w:rFonts w:ascii="Times New Roman" w:hAnsi="Times New Roman" w:cs="Times New Roman"/>
          <w:i/>
          <w:iCs/>
        </w:rPr>
        <w:t>« Vous (Sa’ib) étiez mon partenaire et quel bon partenaire ! Vous n'êtes ni contesté ni querellé</w:t>
      </w:r>
      <w:r w:rsidRPr="002B005F">
        <w:rPr>
          <w:rFonts w:ascii="Times New Roman" w:hAnsi="Times New Roman" w:cs="Times New Roman"/>
        </w:rPr>
        <w:t> »</w:t>
      </w:r>
      <w:r w:rsidRPr="002B005F">
        <w:rPr>
          <w:rStyle w:val="Appelnotedebasdep"/>
          <w:rFonts w:ascii="Times New Roman" w:hAnsi="Times New Roman"/>
        </w:rPr>
        <w:footnoteReference w:id="300"/>
      </w:r>
      <w:r w:rsidRPr="002B005F">
        <w:rPr>
          <w:rFonts w:ascii="Times New Roman" w:hAnsi="Times New Roman" w:cs="Times New Roman"/>
        </w:rPr>
        <w:t>.</w:t>
      </w:r>
    </w:p>
    <w:p w14:paraId="6A21BA98" w14:textId="77777777" w:rsidR="001F6066" w:rsidRPr="002B005F" w:rsidRDefault="001F6066" w:rsidP="00CB0FF1">
      <w:pPr>
        <w:pStyle w:val="Paragraphedeliste"/>
        <w:numPr>
          <w:ilvl w:val="0"/>
          <w:numId w:val="88"/>
        </w:numPr>
        <w:tabs>
          <w:tab w:val="left" w:pos="0"/>
        </w:tabs>
        <w:autoSpaceDE w:val="0"/>
        <w:autoSpaceDN w:val="0"/>
        <w:adjustRightInd w:val="0"/>
        <w:spacing w:before="120"/>
        <w:ind w:left="1135" w:hanging="284"/>
        <w:contextualSpacing w:val="0"/>
        <w:rPr>
          <w:rFonts w:ascii="Times New Roman" w:hAnsi="Times New Roman" w:cs="Times New Roman"/>
          <w:sz w:val="24"/>
          <w:szCs w:val="24"/>
        </w:rPr>
      </w:pPr>
      <w:r w:rsidRPr="008865CB">
        <w:rPr>
          <w:rFonts w:ascii="Times New Roman" w:hAnsi="Times New Roman" w:cs="Times New Roman"/>
          <w:smallCaps/>
          <w:sz w:val="24"/>
          <w:szCs w:val="24"/>
        </w:rPr>
        <w:t>As-Sa’ib</w:t>
      </w:r>
      <w:r w:rsidRPr="002B005F">
        <w:rPr>
          <w:rFonts w:ascii="Times New Roman" w:hAnsi="Times New Roman" w:cs="Times New Roman"/>
          <w:smallCaps/>
          <w:sz w:val="24"/>
          <w:szCs w:val="24"/>
        </w:rPr>
        <w:t xml:space="preserve"> </w:t>
      </w:r>
      <w:r w:rsidRPr="002B005F">
        <w:rPr>
          <w:rFonts w:ascii="Times New Roman" w:hAnsi="Times New Roman" w:cs="Times New Roman"/>
          <w:sz w:val="24"/>
          <w:szCs w:val="24"/>
        </w:rPr>
        <w:t xml:space="preserve">a raconté qu'il était le partenaire du Prophète  </w:t>
      </w:r>
      <w:r w:rsidRPr="002B005F">
        <w:rPr>
          <w:rFonts w:ascii="Times New Roman" w:hAnsi="Times New Roman" w:cs="Times New Roman"/>
          <w:noProof/>
          <w:sz w:val="24"/>
          <w:szCs w:val="24"/>
          <w:lang w:eastAsia="fr-FR"/>
        </w:rPr>
        <w:drawing>
          <wp:anchor distT="0" distB="0" distL="114300" distR="114300" simplePos="0" relativeHeight="251535360" behindDoc="0" locked="1" layoutInCell="1" allowOverlap="0" wp14:anchorId="397ED419" wp14:editId="404105EB">
            <wp:simplePos x="0" y="0"/>
            <wp:positionH relativeFrom="column">
              <wp:posOffset>4161790</wp:posOffset>
            </wp:positionH>
            <wp:positionV relativeFrom="paragraph">
              <wp:posOffset>88265</wp:posOffset>
            </wp:positionV>
            <wp:extent cx="180975" cy="161925"/>
            <wp:effectExtent l="0" t="0" r="0" b="0"/>
            <wp:wrapNone/>
            <wp:docPr id="1537"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Pr="002B005F">
        <w:rPr>
          <w:rFonts w:ascii="Times New Roman" w:hAnsi="Times New Roman" w:cs="Times New Roman"/>
          <w:sz w:val="24"/>
          <w:szCs w:val="24"/>
        </w:rPr>
        <w:t xml:space="preserve">  avant la révélation. Le jour de la conquête de </w:t>
      </w:r>
      <w:r w:rsidRPr="002B005F">
        <w:rPr>
          <w:rFonts w:ascii="Times New Roman" w:hAnsi="Times New Roman" w:cs="Times New Roman"/>
          <w:i/>
          <w:iCs/>
          <w:sz w:val="24"/>
          <w:szCs w:val="24"/>
        </w:rPr>
        <w:t>Makkah</w:t>
      </w:r>
      <w:r w:rsidRPr="002B005F">
        <w:rPr>
          <w:rFonts w:ascii="Times New Roman" w:hAnsi="Times New Roman" w:cs="Times New Roman"/>
          <w:sz w:val="24"/>
          <w:szCs w:val="24"/>
        </w:rPr>
        <w:t>, le Prophète     lui a dit</w:t>
      </w:r>
      <w:r w:rsidRPr="002B005F">
        <w:rPr>
          <w:rFonts w:ascii="Times New Roman" w:hAnsi="Times New Roman" w:cs="Times New Roman"/>
          <w:noProof/>
          <w:sz w:val="24"/>
          <w:szCs w:val="24"/>
          <w:lang w:eastAsia="fr-FR"/>
        </w:rPr>
        <w:drawing>
          <wp:anchor distT="0" distB="0" distL="114300" distR="114300" simplePos="0" relativeHeight="251536384" behindDoc="0" locked="1" layoutInCell="1" allowOverlap="0" wp14:anchorId="5955E19D" wp14:editId="198CECC7">
            <wp:simplePos x="0" y="0"/>
            <wp:positionH relativeFrom="column">
              <wp:posOffset>3377565</wp:posOffset>
            </wp:positionH>
            <wp:positionV relativeFrom="paragraph">
              <wp:posOffset>307340</wp:posOffset>
            </wp:positionV>
            <wp:extent cx="180975" cy="161925"/>
            <wp:effectExtent l="19050" t="0" r="9525" b="0"/>
            <wp:wrapNone/>
            <wp:docPr id="1538"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Pr="002B005F">
        <w:rPr>
          <w:rFonts w:ascii="Times New Roman" w:hAnsi="Times New Roman" w:cs="Times New Roman"/>
          <w:sz w:val="24"/>
          <w:szCs w:val="24"/>
        </w:rPr>
        <w:t> :</w:t>
      </w:r>
    </w:p>
    <w:p w14:paraId="2B0036BB" w14:textId="77777777" w:rsidR="001F6066" w:rsidRPr="002B005F" w:rsidRDefault="001F6066" w:rsidP="007B64B9">
      <w:pPr>
        <w:pStyle w:val="Paragraphedeliste"/>
        <w:tabs>
          <w:tab w:val="left" w:pos="0"/>
        </w:tabs>
        <w:autoSpaceDE w:val="0"/>
        <w:autoSpaceDN w:val="0"/>
        <w:adjustRightInd w:val="0"/>
        <w:spacing w:before="60"/>
        <w:ind w:left="1134" w:right="567"/>
        <w:contextualSpacing w:val="0"/>
        <w:rPr>
          <w:rFonts w:ascii="Times New Roman" w:hAnsi="Times New Roman" w:cs="Times New Roman"/>
        </w:rPr>
      </w:pPr>
      <w:r w:rsidRPr="002B005F">
        <w:rPr>
          <w:rFonts w:ascii="Times New Roman" w:hAnsi="Times New Roman" w:cs="Times New Roman"/>
        </w:rPr>
        <w:t>« </w:t>
      </w:r>
      <w:r w:rsidRPr="002B005F">
        <w:rPr>
          <w:rFonts w:ascii="Times New Roman" w:hAnsi="Times New Roman" w:cs="Times New Roman"/>
          <w:i/>
          <w:iCs/>
        </w:rPr>
        <w:t>Bienvenue mon frère et mon partenaire </w:t>
      </w:r>
      <w:r w:rsidRPr="002B005F">
        <w:rPr>
          <w:rFonts w:ascii="Times New Roman" w:hAnsi="Times New Roman" w:cs="Times New Roman"/>
        </w:rPr>
        <w:t>»</w:t>
      </w:r>
      <w:r w:rsidRPr="002B005F">
        <w:rPr>
          <w:rStyle w:val="Appelnotedebasdep"/>
          <w:rFonts w:ascii="Times New Roman" w:hAnsi="Times New Roman"/>
        </w:rPr>
        <w:footnoteReference w:id="301"/>
      </w:r>
      <w:r w:rsidRPr="002B005F">
        <w:rPr>
          <w:rFonts w:ascii="Times New Roman" w:hAnsi="Times New Roman" w:cs="Times New Roman"/>
        </w:rPr>
        <w:t>.</w:t>
      </w:r>
    </w:p>
    <w:p w14:paraId="3D59FB4B" w14:textId="7E9BD18D" w:rsidR="00A379C3" w:rsidRPr="002B005F" w:rsidRDefault="002760B2" w:rsidP="007B64B9">
      <w:pPr>
        <w:tabs>
          <w:tab w:val="left" w:pos="0"/>
        </w:tabs>
        <w:autoSpaceDE w:val="0"/>
        <w:autoSpaceDN w:val="0"/>
        <w:adjustRightInd w:val="0"/>
        <w:spacing w:before="120"/>
        <w:ind w:firstLine="709"/>
        <w:rPr>
          <w:rFonts w:ascii="Times New Roman" w:hAnsi="Times New Roman" w:cs="Times New Roman"/>
          <w:sz w:val="24"/>
          <w:szCs w:val="24"/>
        </w:rPr>
      </w:pPr>
      <w:r w:rsidRPr="002B005F">
        <w:rPr>
          <w:rFonts w:ascii="Times New Roman" w:hAnsi="Times New Roman" w:cs="Times New Roman"/>
          <w:sz w:val="24"/>
          <w:szCs w:val="24"/>
        </w:rPr>
        <w:t>Les exemples de hadith</w:t>
      </w:r>
      <w:r w:rsidR="001C7ADF" w:rsidRPr="002B005F">
        <w:rPr>
          <w:rFonts w:ascii="Times New Roman" w:hAnsi="Times New Roman" w:cs="Times New Roman"/>
          <w:sz w:val="24"/>
          <w:szCs w:val="24"/>
        </w:rPr>
        <w:t>s</w:t>
      </w:r>
      <w:r w:rsidRPr="002B005F">
        <w:rPr>
          <w:rFonts w:ascii="Times New Roman" w:hAnsi="Times New Roman" w:cs="Times New Roman"/>
          <w:sz w:val="24"/>
          <w:szCs w:val="24"/>
        </w:rPr>
        <w:t xml:space="preserve"> cités ci-dessus montrent la permissibilité et l'utilisation de </w:t>
      </w:r>
      <w:r w:rsidRPr="002B005F">
        <w:rPr>
          <w:rFonts w:ascii="Times New Roman" w:hAnsi="Times New Roman" w:cs="Times New Roman"/>
          <w:i/>
          <w:iCs/>
          <w:sz w:val="24"/>
          <w:szCs w:val="24"/>
        </w:rPr>
        <w:t>shirkah</w:t>
      </w:r>
      <w:r w:rsidR="00E5190E" w:rsidRPr="002B005F">
        <w:rPr>
          <w:rFonts w:ascii="Times New Roman" w:hAnsi="Times New Roman" w:cs="Times New Roman"/>
          <w:sz w:val="24"/>
          <w:szCs w:val="24"/>
        </w:rPr>
        <w:t>. En raison de c</w:t>
      </w:r>
      <w:r w:rsidRPr="002B005F">
        <w:rPr>
          <w:rFonts w:ascii="Times New Roman" w:hAnsi="Times New Roman" w:cs="Times New Roman"/>
          <w:sz w:val="24"/>
          <w:szCs w:val="24"/>
        </w:rPr>
        <w:t xml:space="preserve">es versets et des exemples </w:t>
      </w:r>
      <w:r w:rsidR="00732369" w:rsidRPr="002B005F">
        <w:rPr>
          <w:rFonts w:ascii="Times New Roman" w:hAnsi="Times New Roman" w:cs="Times New Roman"/>
          <w:sz w:val="24"/>
          <w:szCs w:val="24"/>
        </w:rPr>
        <w:t>d’hadith</w:t>
      </w:r>
      <w:r w:rsidRPr="002B005F">
        <w:rPr>
          <w:rFonts w:ascii="Times New Roman" w:hAnsi="Times New Roman" w:cs="Times New Roman"/>
          <w:sz w:val="24"/>
          <w:szCs w:val="24"/>
        </w:rPr>
        <w:t>, il y a l’</w:t>
      </w:r>
      <w:r w:rsidRPr="002B005F">
        <w:rPr>
          <w:rFonts w:ascii="Times New Roman" w:hAnsi="Times New Roman" w:cs="Times New Roman"/>
          <w:i/>
          <w:iCs/>
          <w:sz w:val="24"/>
          <w:szCs w:val="24"/>
        </w:rPr>
        <w:t>ijma</w:t>
      </w:r>
      <w:r w:rsidR="001C7ADF" w:rsidRPr="002B005F">
        <w:rPr>
          <w:rFonts w:ascii="Times New Roman" w:hAnsi="Times New Roman" w:cs="Times New Roman"/>
          <w:i/>
          <w:iCs/>
          <w:sz w:val="24"/>
          <w:szCs w:val="24"/>
        </w:rPr>
        <w:t>’</w:t>
      </w:r>
      <w:r w:rsidRPr="002B005F">
        <w:rPr>
          <w:rFonts w:ascii="Times New Roman" w:hAnsi="Times New Roman" w:cs="Times New Roman"/>
          <w:sz w:val="24"/>
          <w:szCs w:val="24"/>
        </w:rPr>
        <w:t xml:space="preserve"> entre les savants que </w:t>
      </w:r>
      <w:r w:rsidR="001C7ADF" w:rsidRPr="002B005F">
        <w:rPr>
          <w:rFonts w:ascii="Times New Roman" w:hAnsi="Times New Roman" w:cs="Times New Roman"/>
          <w:sz w:val="24"/>
          <w:szCs w:val="24"/>
        </w:rPr>
        <w:t xml:space="preserve">la </w:t>
      </w:r>
      <w:r w:rsidRPr="002B005F">
        <w:rPr>
          <w:rFonts w:ascii="Times New Roman" w:hAnsi="Times New Roman" w:cs="Times New Roman"/>
          <w:i/>
          <w:iCs/>
          <w:sz w:val="24"/>
          <w:szCs w:val="24"/>
        </w:rPr>
        <w:t>shirkah</w:t>
      </w:r>
      <w:r w:rsidRPr="002B005F">
        <w:rPr>
          <w:rFonts w:ascii="Times New Roman" w:hAnsi="Times New Roman" w:cs="Times New Roman"/>
          <w:sz w:val="24"/>
          <w:szCs w:val="24"/>
        </w:rPr>
        <w:t xml:space="preserve"> est légitime en </w:t>
      </w:r>
      <w:r w:rsidR="00F34669" w:rsidRPr="002B005F">
        <w:rPr>
          <w:rFonts w:ascii="Times New Roman" w:hAnsi="Times New Roman" w:cs="Times New Roman"/>
          <w:sz w:val="24"/>
          <w:szCs w:val="24"/>
        </w:rPr>
        <w:t>Islam</w:t>
      </w:r>
      <w:r w:rsidRPr="002B005F">
        <w:rPr>
          <w:rFonts w:ascii="Times New Roman" w:hAnsi="Times New Roman" w:cs="Times New Roman"/>
          <w:sz w:val="24"/>
          <w:szCs w:val="24"/>
        </w:rPr>
        <w:t>.</w:t>
      </w:r>
      <w:r w:rsidR="007B64B9">
        <w:rPr>
          <w:rFonts w:ascii="Times New Roman" w:hAnsi="Times New Roman" w:cs="Times New Roman" w:hint="cs"/>
          <w:sz w:val="24"/>
          <w:szCs w:val="24"/>
          <w:rtl/>
        </w:rPr>
        <w:t xml:space="preserve"> </w:t>
      </w:r>
      <w:r w:rsidR="00A379C3" w:rsidRPr="002B005F">
        <w:rPr>
          <w:rFonts w:ascii="Times New Roman" w:hAnsi="Times New Roman" w:cs="Times New Roman"/>
          <w:smallCaps/>
          <w:sz w:val="24"/>
          <w:szCs w:val="24"/>
        </w:rPr>
        <w:t>Imam Malik</w:t>
      </w:r>
      <w:r w:rsidR="00A379C3" w:rsidRPr="002B005F">
        <w:rPr>
          <w:rFonts w:ascii="Times New Roman" w:hAnsi="Times New Roman" w:cs="Times New Roman"/>
          <w:sz w:val="24"/>
          <w:szCs w:val="24"/>
        </w:rPr>
        <w:t xml:space="preserve"> a déclaré : « </w:t>
      </w:r>
      <w:r w:rsidR="00A379C3" w:rsidRPr="002B005F">
        <w:rPr>
          <w:rFonts w:ascii="Times New Roman" w:hAnsi="Times New Roman" w:cs="Times New Roman"/>
          <w:i/>
          <w:iCs/>
          <w:sz w:val="24"/>
          <w:szCs w:val="24"/>
        </w:rPr>
        <w:t xml:space="preserve">La façon de faire les choses entre nous est qu'il n'y a pas de mal en partenariat, transférer la responsabilité à un agent et la révocation lorsqu'il s'agit de la nourriture et d'autres choses </w:t>
      </w:r>
      <w:r w:rsidR="00A379C3" w:rsidRPr="002B005F">
        <w:rPr>
          <w:rFonts w:ascii="Times New Roman" w:hAnsi="Times New Roman" w:cs="Times New Roman"/>
          <w:sz w:val="24"/>
          <w:szCs w:val="24"/>
        </w:rPr>
        <w:t>... »</w:t>
      </w:r>
      <w:r w:rsidR="00A379C3" w:rsidRPr="002B005F">
        <w:rPr>
          <w:rStyle w:val="Appelnotedebasdep"/>
          <w:rFonts w:ascii="Times New Roman" w:hAnsi="Times New Roman"/>
          <w:sz w:val="24"/>
          <w:szCs w:val="24"/>
        </w:rPr>
        <w:footnoteReference w:id="302"/>
      </w:r>
      <w:r w:rsidR="00A379C3" w:rsidRPr="002B005F">
        <w:rPr>
          <w:rFonts w:ascii="Times New Roman" w:hAnsi="Times New Roman" w:cs="Times New Roman"/>
          <w:sz w:val="24"/>
          <w:szCs w:val="24"/>
        </w:rPr>
        <w:t>.</w:t>
      </w:r>
    </w:p>
    <w:p w14:paraId="400A4CD4" w14:textId="77777777" w:rsidR="002760B2" w:rsidRPr="002B005F" w:rsidRDefault="002760B2" w:rsidP="007B64B9">
      <w:pPr>
        <w:tabs>
          <w:tab w:val="left" w:pos="0"/>
        </w:tabs>
        <w:autoSpaceDE w:val="0"/>
        <w:autoSpaceDN w:val="0"/>
        <w:adjustRightInd w:val="0"/>
        <w:spacing w:before="120"/>
        <w:ind w:firstLine="709"/>
        <w:rPr>
          <w:rFonts w:ascii="Times New Roman" w:hAnsi="Times New Roman" w:cs="Times New Roman"/>
          <w:sz w:val="24"/>
          <w:szCs w:val="24"/>
        </w:rPr>
      </w:pPr>
      <w:r w:rsidRPr="002B005F">
        <w:rPr>
          <w:rFonts w:ascii="Times New Roman" w:hAnsi="Times New Roman" w:cs="Times New Roman"/>
          <w:sz w:val="24"/>
          <w:szCs w:val="24"/>
        </w:rPr>
        <w:t xml:space="preserve">Bien qu'il y ait </w:t>
      </w:r>
      <w:r w:rsidRPr="002B005F">
        <w:rPr>
          <w:rFonts w:ascii="Times New Roman" w:hAnsi="Times New Roman" w:cs="Times New Roman"/>
          <w:i/>
          <w:iCs/>
          <w:sz w:val="24"/>
          <w:szCs w:val="24"/>
        </w:rPr>
        <w:t>ijma</w:t>
      </w:r>
      <w:r w:rsidR="00F008A5" w:rsidRPr="002B005F">
        <w:rPr>
          <w:rFonts w:ascii="Times New Roman" w:hAnsi="Times New Roman" w:cs="Times New Roman"/>
          <w:i/>
          <w:iCs/>
          <w:sz w:val="24"/>
          <w:szCs w:val="24"/>
        </w:rPr>
        <w:t>’</w:t>
      </w:r>
      <w:r w:rsidRPr="002B005F">
        <w:rPr>
          <w:rFonts w:ascii="Times New Roman" w:hAnsi="Times New Roman" w:cs="Times New Roman"/>
          <w:sz w:val="24"/>
          <w:szCs w:val="24"/>
        </w:rPr>
        <w:t xml:space="preserve"> parmi les savants sur la légitimité de la </w:t>
      </w:r>
      <w:r w:rsidRPr="002B005F">
        <w:rPr>
          <w:rFonts w:ascii="Times New Roman" w:hAnsi="Times New Roman" w:cs="Times New Roman"/>
          <w:i/>
          <w:iCs/>
          <w:sz w:val="24"/>
          <w:szCs w:val="24"/>
        </w:rPr>
        <w:t>shirkah</w:t>
      </w:r>
      <w:r w:rsidRPr="002B005F">
        <w:rPr>
          <w:rFonts w:ascii="Times New Roman" w:hAnsi="Times New Roman" w:cs="Times New Roman"/>
          <w:sz w:val="24"/>
          <w:szCs w:val="24"/>
        </w:rPr>
        <w:t>, il n</w:t>
      </w:r>
      <w:r w:rsidR="004E13C9">
        <w:rPr>
          <w:rFonts w:ascii="Times New Roman" w:hAnsi="Times New Roman" w:cs="Times New Roman"/>
          <w:sz w:val="24"/>
          <w:szCs w:val="24"/>
        </w:rPr>
        <w:t>’</w:t>
      </w:r>
      <w:r w:rsidRPr="002B005F">
        <w:rPr>
          <w:rFonts w:ascii="Times New Roman" w:hAnsi="Times New Roman" w:cs="Times New Roman"/>
          <w:sz w:val="24"/>
          <w:szCs w:val="24"/>
        </w:rPr>
        <w:t>y a pas d'unanimité en termes de classement. Toutes les écoles de l</w:t>
      </w:r>
      <w:r w:rsidR="00FE768C" w:rsidRPr="002B005F">
        <w:rPr>
          <w:rFonts w:ascii="Times New Roman" w:hAnsi="Times New Roman" w:cs="Times New Roman"/>
          <w:sz w:val="24"/>
          <w:szCs w:val="24"/>
        </w:rPr>
        <w:t xml:space="preserve">a pensée </w:t>
      </w:r>
      <w:r w:rsidR="009E5427"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FE768C" w:rsidRPr="002B005F">
        <w:rPr>
          <w:rFonts w:ascii="Times New Roman" w:hAnsi="Times New Roman" w:cs="Times New Roman"/>
          <w:sz w:val="24"/>
          <w:szCs w:val="24"/>
        </w:rPr>
        <w:t xml:space="preserve"> classent la </w:t>
      </w:r>
      <w:r w:rsidR="00FE768C" w:rsidRPr="002B005F">
        <w:rPr>
          <w:rFonts w:ascii="Times New Roman" w:hAnsi="Times New Roman" w:cs="Times New Roman"/>
          <w:i/>
          <w:iCs/>
          <w:sz w:val="24"/>
          <w:szCs w:val="24"/>
        </w:rPr>
        <w:t>shirkah</w:t>
      </w:r>
      <w:r w:rsidR="00FE768C" w:rsidRPr="002B005F">
        <w:rPr>
          <w:rFonts w:ascii="Times New Roman" w:hAnsi="Times New Roman" w:cs="Times New Roman"/>
          <w:sz w:val="24"/>
          <w:szCs w:val="24"/>
        </w:rPr>
        <w:t xml:space="preserve"> en deux groupes :</w:t>
      </w:r>
      <w:r w:rsidRPr="002B005F">
        <w:rPr>
          <w:rFonts w:ascii="Times New Roman" w:hAnsi="Times New Roman" w:cs="Times New Roman"/>
          <w:sz w:val="24"/>
          <w:szCs w:val="24"/>
        </w:rPr>
        <w:t xml:space="preserve"> </w:t>
      </w:r>
      <w:r w:rsidR="008029BD" w:rsidRPr="002B005F">
        <w:rPr>
          <w:rFonts w:ascii="Times New Roman" w:hAnsi="Times New Roman" w:cs="Times New Roman"/>
          <w:b/>
          <w:bCs/>
          <w:i/>
          <w:iCs/>
          <w:sz w:val="24"/>
          <w:szCs w:val="24"/>
        </w:rPr>
        <w:t>shirkah al-mi</w:t>
      </w:r>
      <w:r w:rsidRPr="002B005F">
        <w:rPr>
          <w:rFonts w:ascii="Times New Roman" w:hAnsi="Times New Roman" w:cs="Times New Roman"/>
          <w:b/>
          <w:bCs/>
          <w:i/>
          <w:iCs/>
          <w:sz w:val="24"/>
          <w:szCs w:val="24"/>
        </w:rPr>
        <w:t>lk et shirkah al- akd</w:t>
      </w:r>
      <w:r w:rsidRPr="002B005F">
        <w:rPr>
          <w:rStyle w:val="Appelnotedebasdep"/>
          <w:rFonts w:ascii="Times New Roman" w:hAnsi="Times New Roman"/>
          <w:b/>
          <w:bCs/>
          <w:i/>
          <w:iCs/>
          <w:sz w:val="24"/>
          <w:szCs w:val="24"/>
        </w:rPr>
        <w:footnoteReference w:id="303"/>
      </w:r>
      <w:r w:rsidR="00576ABB" w:rsidRPr="002B005F">
        <w:rPr>
          <w:rFonts w:ascii="Times New Roman" w:hAnsi="Times New Roman" w:cs="Times New Roman"/>
          <w:sz w:val="24"/>
          <w:szCs w:val="24"/>
        </w:rPr>
        <w:t xml:space="preserve"> (</w:t>
      </w:r>
      <w:r w:rsidR="00576ABB" w:rsidRPr="006B651B">
        <w:rPr>
          <w:rFonts w:ascii="Times New Roman" w:hAnsi="Times New Roman" w:cs="Times New Roman"/>
          <w:sz w:val="24"/>
          <w:szCs w:val="24"/>
        </w:rPr>
        <w:t xml:space="preserve">voir </w:t>
      </w:r>
      <w:r w:rsidR="00576ABB" w:rsidRPr="006B651B">
        <w:rPr>
          <w:rFonts w:ascii="Times New Roman" w:hAnsi="Times New Roman" w:cs="Times New Roman"/>
          <w:b/>
          <w:bCs/>
          <w:sz w:val="24"/>
          <w:szCs w:val="24"/>
        </w:rPr>
        <w:t xml:space="preserve">figure </w:t>
      </w:r>
      <w:r w:rsidR="00FE4FAD">
        <w:rPr>
          <w:rFonts w:ascii="Times New Roman" w:hAnsi="Times New Roman" w:cs="Times New Roman" w:hint="cs"/>
          <w:b/>
          <w:bCs/>
          <w:sz w:val="24"/>
          <w:szCs w:val="24"/>
          <w:rtl/>
        </w:rPr>
        <w:t>25</w:t>
      </w:r>
      <w:r w:rsidR="00D32B4A" w:rsidRPr="006B651B">
        <w:rPr>
          <w:rFonts w:ascii="Times New Roman" w:hAnsi="Times New Roman" w:cs="Times New Roman"/>
          <w:sz w:val="24"/>
          <w:szCs w:val="24"/>
        </w:rPr>
        <w:t>).</w:t>
      </w:r>
    </w:p>
    <w:p w14:paraId="66324006" w14:textId="77777777" w:rsidR="002760B2" w:rsidRPr="002B005F" w:rsidRDefault="002768B8" w:rsidP="007B64B9">
      <w:pPr>
        <w:pStyle w:val="Titre4"/>
        <w:keepNext w:val="0"/>
        <w:spacing w:before="120" w:after="120"/>
        <w:ind w:firstLine="709"/>
      </w:pPr>
      <w:bookmarkStart w:id="1180" w:name="_Toc33263336"/>
      <w:bookmarkStart w:id="1181" w:name="_Toc37664599"/>
      <w:bookmarkStart w:id="1182" w:name="_Toc37666444"/>
      <w:bookmarkStart w:id="1183" w:name="_Toc54363333"/>
      <w:bookmarkStart w:id="1184" w:name="_Toc58606326"/>
      <w:bookmarkStart w:id="1185" w:name="_Toc61263531"/>
      <w:bookmarkStart w:id="1186" w:name="_Toc182298830"/>
      <w:r w:rsidRPr="002B005F">
        <w:t>1.1.1-</w:t>
      </w:r>
      <w:r w:rsidRPr="002B005F">
        <w:rPr>
          <w:i/>
          <w:iCs/>
        </w:rPr>
        <w:t xml:space="preserve"> </w:t>
      </w:r>
      <w:r w:rsidR="0009660C" w:rsidRPr="002B005F">
        <w:rPr>
          <w:i/>
          <w:iCs/>
        </w:rPr>
        <w:t>Shirkah al-</w:t>
      </w:r>
      <w:r w:rsidR="00FE768C" w:rsidRPr="002B005F">
        <w:rPr>
          <w:i/>
          <w:iCs/>
        </w:rPr>
        <w:t>m</w:t>
      </w:r>
      <w:r w:rsidR="008029BD" w:rsidRPr="002B005F">
        <w:rPr>
          <w:i/>
          <w:iCs/>
        </w:rPr>
        <w:t>i</w:t>
      </w:r>
      <w:r w:rsidR="002760B2" w:rsidRPr="002B005F">
        <w:rPr>
          <w:i/>
          <w:iCs/>
        </w:rPr>
        <w:t>lk</w:t>
      </w:r>
      <w:bookmarkEnd w:id="1180"/>
      <w:bookmarkEnd w:id="1181"/>
      <w:bookmarkEnd w:id="1182"/>
      <w:bookmarkEnd w:id="1183"/>
      <w:r w:rsidR="002760B2" w:rsidRPr="002B005F">
        <w:t xml:space="preserve"> </w:t>
      </w:r>
      <w:r w:rsidR="00FE768C" w:rsidRPr="002B005F">
        <w:t>(a</w:t>
      </w:r>
      <w:r w:rsidR="00576ABB" w:rsidRPr="002B005F">
        <w:t>ssociation</w:t>
      </w:r>
      <w:r w:rsidR="00CD5181" w:rsidRPr="002B005F">
        <w:t xml:space="preserve"> copropriétéaire)</w:t>
      </w:r>
      <w:bookmarkEnd w:id="1184"/>
      <w:bookmarkEnd w:id="1185"/>
      <w:bookmarkEnd w:id="1186"/>
    </w:p>
    <w:p w14:paraId="30CF0C4F" w14:textId="77777777" w:rsidR="002760B2" w:rsidRPr="002B005F" w:rsidRDefault="002760B2" w:rsidP="007B64B9">
      <w:pPr>
        <w:pStyle w:val="Paragraphedeliste"/>
        <w:tabs>
          <w:tab w:val="left" w:pos="0"/>
        </w:tabs>
        <w:autoSpaceDE w:val="0"/>
        <w:autoSpaceDN w:val="0"/>
        <w:adjustRightInd w:val="0"/>
        <w:spacing w:before="120"/>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C’est un type de partenariat qui implique essentiellement la copropriété par deux personnes ou plus dans un bien particulier uniquement pour des raisons de propriété plutôt qu’un accord contractuel. Ce type de partenariat est généralement créé par des moyens d'héritage, de testaments ou d'autres situations où deux personnes ou plus viennent de détenir un actif en commun</w:t>
      </w:r>
      <w:r w:rsidR="00CA07C5" w:rsidRPr="002B005F">
        <w:rPr>
          <w:rStyle w:val="Appelnotedebasdep"/>
          <w:rFonts w:ascii="Times New Roman" w:hAnsi="Times New Roman"/>
          <w:sz w:val="24"/>
          <w:szCs w:val="24"/>
        </w:rPr>
        <w:footnoteReference w:id="304"/>
      </w:r>
      <w:r w:rsidRPr="002B005F">
        <w:rPr>
          <w:rFonts w:ascii="Times New Roman" w:hAnsi="Times New Roman" w:cs="Times New Roman"/>
          <w:sz w:val="24"/>
          <w:szCs w:val="24"/>
        </w:rPr>
        <w:t xml:space="preserve">. La propriété donne à chaque </w:t>
      </w:r>
      <w:r w:rsidR="00D02553">
        <w:rPr>
          <w:rFonts w:ascii="Times New Roman" w:hAnsi="Times New Roman" w:cs="Times New Roman"/>
          <w:sz w:val="24"/>
          <w:szCs w:val="24"/>
        </w:rPr>
        <w:t>« </w:t>
      </w:r>
      <w:r w:rsidRPr="002B005F">
        <w:rPr>
          <w:rFonts w:ascii="Times New Roman" w:hAnsi="Times New Roman" w:cs="Times New Roman"/>
          <w:sz w:val="24"/>
          <w:szCs w:val="24"/>
        </w:rPr>
        <w:t>partenaire</w:t>
      </w:r>
      <w:r w:rsidR="00D02553">
        <w:rPr>
          <w:rFonts w:ascii="Times New Roman" w:hAnsi="Times New Roman" w:cs="Times New Roman"/>
          <w:sz w:val="24"/>
          <w:szCs w:val="24"/>
        </w:rPr>
        <w:t> »</w:t>
      </w:r>
      <w:r w:rsidRPr="002B005F">
        <w:rPr>
          <w:rFonts w:ascii="Times New Roman" w:hAnsi="Times New Roman" w:cs="Times New Roman"/>
          <w:sz w:val="24"/>
          <w:szCs w:val="24"/>
        </w:rPr>
        <w:t xml:space="preserve"> le droit de partager les rendements de la propriété sous-jacente ou de l'actif.</w:t>
      </w:r>
    </w:p>
    <w:p w14:paraId="1217FC48" w14:textId="77777777" w:rsidR="00CA07C5" w:rsidRPr="002B005F" w:rsidRDefault="008029BD" w:rsidP="007B64B9">
      <w:pPr>
        <w:pStyle w:val="Paragraphedeliste"/>
        <w:tabs>
          <w:tab w:val="left" w:pos="0"/>
        </w:tabs>
        <w:autoSpaceDE w:val="0"/>
        <w:autoSpaceDN w:val="0"/>
        <w:adjustRightInd w:val="0"/>
        <w:spacing w:before="100"/>
        <w:ind w:left="0" w:firstLine="709"/>
        <w:contextualSpacing w:val="0"/>
        <w:rPr>
          <w:rFonts w:ascii="Times New Roman" w:hAnsi="Times New Roman" w:cs="Times New Roman"/>
          <w:spacing w:val="-4"/>
          <w:sz w:val="24"/>
          <w:szCs w:val="24"/>
        </w:rPr>
      </w:pPr>
      <w:r w:rsidRPr="002B005F">
        <w:rPr>
          <w:rFonts w:ascii="Times New Roman" w:hAnsi="Times New Roman" w:cs="Times New Roman"/>
          <w:i/>
          <w:iCs/>
          <w:spacing w:val="-4"/>
          <w:sz w:val="24"/>
          <w:szCs w:val="24"/>
        </w:rPr>
        <w:t>Shirkah al</w:t>
      </w:r>
      <w:r w:rsidR="00F008A5" w:rsidRPr="002B005F">
        <w:rPr>
          <w:rFonts w:ascii="Times New Roman" w:hAnsi="Times New Roman" w:cs="Times New Roman"/>
          <w:i/>
          <w:iCs/>
          <w:spacing w:val="-4"/>
          <w:sz w:val="24"/>
          <w:szCs w:val="24"/>
        </w:rPr>
        <w:t>-</w:t>
      </w:r>
      <w:r w:rsidRPr="002B005F">
        <w:rPr>
          <w:rFonts w:ascii="Times New Roman" w:hAnsi="Times New Roman" w:cs="Times New Roman"/>
          <w:i/>
          <w:iCs/>
          <w:spacing w:val="-4"/>
          <w:sz w:val="24"/>
          <w:szCs w:val="24"/>
        </w:rPr>
        <w:t>mi</w:t>
      </w:r>
      <w:r w:rsidR="002760B2" w:rsidRPr="002B005F">
        <w:rPr>
          <w:rFonts w:ascii="Times New Roman" w:hAnsi="Times New Roman" w:cs="Times New Roman"/>
          <w:i/>
          <w:iCs/>
          <w:spacing w:val="-4"/>
          <w:sz w:val="24"/>
          <w:szCs w:val="24"/>
        </w:rPr>
        <w:t>lk</w:t>
      </w:r>
      <w:r w:rsidR="002760B2" w:rsidRPr="002B005F">
        <w:rPr>
          <w:rFonts w:ascii="Times New Roman" w:hAnsi="Times New Roman" w:cs="Times New Roman"/>
          <w:spacing w:val="-4"/>
          <w:sz w:val="24"/>
          <w:szCs w:val="24"/>
        </w:rPr>
        <w:t xml:space="preserve"> n'est donc pas une société au sens généralement réservé à ce terme. Son objet n'est pas en</w:t>
      </w:r>
      <w:r w:rsidR="00CA07C5" w:rsidRPr="002B005F">
        <w:rPr>
          <w:rFonts w:ascii="Times New Roman" w:hAnsi="Times New Roman" w:cs="Times New Roman"/>
          <w:spacing w:val="-4"/>
          <w:sz w:val="24"/>
          <w:szCs w:val="24"/>
        </w:rPr>
        <w:t xml:space="preserve"> </w:t>
      </w:r>
      <w:r w:rsidR="002760B2" w:rsidRPr="002B005F">
        <w:rPr>
          <w:rFonts w:ascii="Times New Roman" w:hAnsi="Times New Roman" w:cs="Times New Roman"/>
          <w:spacing w:val="-4"/>
          <w:sz w:val="24"/>
          <w:szCs w:val="24"/>
        </w:rPr>
        <w:t xml:space="preserve">général lié à une activité commerciale déterminée. La condition essentielle de cette forme de </w:t>
      </w:r>
      <w:r w:rsidR="002760B2" w:rsidRPr="002B005F">
        <w:rPr>
          <w:rFonts w:ascii="Times New Roman" w:hAnsi="Times New Roman" w:cs="Times New Roman"/>
          <w:i/>
          <w:iCs/>
          <w:spacing w:val="-4"/>
          <w:sz w:val="24"/>
          <w:szCs w:val="24"/>
        </w:rPr>
        <w:t>shirkah</w:t>
      </w:r>
      <w:r w:rsidR="002760B2" w:rsidRPr="002B005F">
        <w:rPr>
          <w:rFonts w:ascii="Times New Roman" w:hAnsi="Times New Roman" w:cs="Times New Roman"/>
          <w:spacing w:val="-4"/>
          <w:sz w:val="24"/>
          <w:szCs w:val="24"/>
        </w:rPr>
        <w:t xml:space="preserve"> est l'indissociabilité des parts des associés. Un associé ne peut disposer de la part de ses associés que s'il a qualité pour le faire (mandataire ou tuteur par exemple)</w:t>
      </w:r>
      <w:r w:rsidR="00CA07C5" w:rsidRPr="002B005F">
        <w:rPr>
          <w:rStyle w:val="Appelnotedebasdep"/>
          <w:rFonts w:ascii="Times New Roman" w:hAnsi="Times New Roman"/>
          <w:spacing w:val="-4"/>
          <w:sz w:val="24"/>
          <w:szCs w:val="24"/>
        </w:rPr>
        <w:footnoteReference w:id="305"/>
      </w:r>
      <w:r w:rsidR="002760B2" w:rsidRPr="002B005F">
        <w:rPr>
          <w:rFonts w:ascii="Times New Roman" w:hAnsi="Times New Roman" w:cs="Times New Roman"/>
          <w:spacing w:val="-4"/>
          <w:sz w:val="24"/>
          <w:szCs w:val="24"/>
        </w:rPr>
        <w:t>.</w:t>
      </w:r>
    </w:p>
    <w:p w14:paraId="3D3617DE" w14:textId="0DFE0CCC" w:rsidR="002760B2" w:rsidRPr="002B005F" w:rsidRDefault="002760B2" w:rsidP="0032661C">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En ce qui concerne le type de biens appartenant aux partenaires, </w:t>
      </w:r>
      <w:r w:rsidR="008029BD" w:rsidRPr="002B005F">
        <w:rPr>
          <w:rFonts w:ascii="Times New Roman" w:hAnsi="Times New Roman" w:cs="Times New Roman"/>
          <w:i/>
          <w:iCs/>
          <w:sz w:val="24"/>
          <w:szCs w:val="24"/>
        </w:rPr>
        <w:t>Shirkah al-mi</w:t>
      </w:r>
      <w:r w:rsidRPr="002B005F">
        <w:rPr>
          <w:rFonts w:ascii="Times New Roman" w:hAnsi="Times New Roman" w:cs="Times New Roman"/>
          <w:i/>
          <w:iCs/>
          <w:sz w:val="24"/>
          <w:szCs w:val="24"/>
        </w:rPr>
        <w:t>lk</w:t>
      </w:r>
      <w:r w:rsidRPr="002B005F">
        <w:rPr>
          <w:rFonts w:ascii="Times New Roman" w:hAnsi="Times New Roman" w:cs="Times New Roman"/>
          <w:sz w:val="24"/>
          <w:szCs w:val="24"/>
        </w:rPr>
        <w:t xml:space="preserve"> peut être </w:t>
      </w:r>
      <w:r w:rsidRPr="002B005F">
        <w:rPr>
          <w:rFonts w:ascii="Times New Roman" w:hAnsi="Times New Roman" w:cs="Times New Roman"/>
          <w:i/>
          <w:iCs/>
          <w:sz w:val="24"/>
          <w:szCs w:val="24"/>
        </w:rPr>
        <w:t>Ayn</w:t>
      </w:r>
      <w:r w:rsidRPr="002B005F">
        <w:rPr>
          <w:rFonts w:ascii="Times New Roman" w:hAnsi="Times New Roman" w:cs="Times New Roman"/>
          <w:sz w:val="24"/>
          <w:szCs w:val="24"/>
        </w:rPr>
        <w:t xml:space="preserve"> ou </w:t>
      </w:r>
      <w:r w:rsidRPr="002B005F">
        <w:rPr>
          <w:rFonts w:ascii="Times New Roman" w:hAnsi="Times New Roman" w:cs="Times New Roman"/>
          <w:i/>
          <w:iCs/>
          <w:sz w:val="24"/>
          <w:szCs w:val="24"/>
        </w:rPr>
        <w:t>d</w:t>
      </w:r>
      <w:r w:rsidR="00A83413">
        <w:rPr>
          <w:rFonts w:ascii="Times New Roman" w:hAnsi="Times New Roman" w:cs="Times New Roman"/>
          <w:i/>
          <w:iCs/>
          <w:sz w:val="24"/>
          <w:szCs w:val="24"/>
        </w:rPr>
        <w:t>a</w:t>
      </w:r>
      <w:r w:rsidRPr="002B005F">
        <w:rPr>
          <w:rFonts w:ascii="Times New Roman" w:hAnsi="Times New Roman" w:cs="Times New Roman"/>
          <w:i/>
          <w:iCs/>
          <w:sz w:val="24"/>
          <w:szCs w:val="24"/>
        </w:rPr>
        <w:t>yn</w:t>
      </w:r>
      <w:r w:rsidRPr="002B005F">
        <w:rPr>
          <w:rFonts w:ascii="Times New Roman" w:hAnsi="Times New Roman" w:cs="Times New Roman"/>
          <w:sz w:val="24"/>
          <w:szCs w:val="24"/>
        </w:rPr>
        <w:t xml:space="preserve">. </w:t>
      </w:r>
      <w:r w:rsidRPr="002B005F">
        <w:rPr>
          <w:rFonts w:ascii="Times New Roman" w:hAnsi="Times New Roman" w:cs="Times New Roman"/>
          <w:i/>
          <w:iCs/>
          <w:sz w:val="24"/>
          <w:szCs w:val="24"/>
        </w:rPr>
        <w:t>Shirkah al-ayn</w:t>
      </w:r>
      <w:r w:rsidRPr="002B005F">
        <w:rPr>
          <w:rFonts w:ascii="Times New Roman" w:hAnsi="Times New Roman" w:cs="Times New Roman"/>
          <w:sz w:val="24"/>
          <w:szCs w:val="24"/>
        </w:rPr>
        <w:t xml:space="preserve"> doit être un partenariat pour les biens qui sont présents et certains tandis que </w:t>
      </w:r>
      <w:r w:rsidR="006F6800" w:rsidRPr="006F6800">
        <w:rPr>
          <w:rFonts w:ascii="Times New Roman" w:hAnsi="Times New Roman" w:cs="Times New Roman"/>
          <w:i/>
          <w:iCs/>
          <w:sz w:val="24"/>
          <w:szCs w:val="24"/>
        </w:rPr>
        <w:t>S</w:t>
      </w:r>
      <w:r w:rsidRPr="002B005F">
        <w:rPr>
          <w:rFonts w:ascii="Times New Roman" w:hAnsi="Times New Roman" w:cs="Times New Roman"/>
          <w:i/>
          <w:iCs/>
          <w:sz w:val="24"/>
          <w:szCs w:val="24"/>
        </w:rPr>
        <w:t>hirkah a</w:t>
      </w:r>
      <w:r w:rsidR="009E5427" w:rsidRPr="002B005F">
        <w:rPr>
          <w:rFonts w:ascii="Times New Roman" w:hAnsi="Times New Roman" w:cs="Times New Roman"/>
          <w:i/>
          <w:iCs/>
          <w:sz w:val="24"/>
          <w:szCs w:val="24"/>
        </w:rPr>
        <w:t>l-da</w:t>
      </w:r>
      <w:r w:rsidRPr="002B005F">
        <w:rPr>
          <w:rFonts w:ascii="Times New Roman" w:hAnsi="Times New Roman" w:cs="Times New Roman"/>
          <w:i/>
          <w:iCs/>
          <w:sz w:val="24"/>
          <w:szCs w:val="24"/>
        </w:rPr>
        <w:t>yn</w:t>
      </w:r>
      <w:r w:rsidRPr="002B005F">
        <w:rPr>
          <w:rFonts w:ascii="Times New Roman" w:hAnsi="Times New Roman" w:cs="Times New Roman"/>
          <w:sz w:val="24"/>
          <w:szCs w:val="24"/>
        </w:rPr>
        <w:t xml:space="preserve"> est un partenariat pour les créances.</w:t>
      </w:r>
    </w:p>
    <w:p w14:paraId="5F3E84F3" w14:textId="77777777" w:rsidR="002760B2" w:rsidRPr="002B005F" w:rsidRDefault="002768B8" w:rsidP="00774B74">
      <w:pPr>
        <w:pStyle w:val="Titre4"/>
        <w:keepNext w:val="0"/>
        <w:widowControl w:val="0"/>
        <w:spacing w:before="120" w:after="120" w:line="300" w:lineRule="auto"/>
        <w:ind w:firstLine="709"/>
      </w:pPr>
      <w:bookmarkStart w:id="1187" w:name="_Toc33263337"/>
      <w:bookmarkStart w:id="1188" w:name="_Toc37664600"/>
      <w:bookmarkStart w:id="1189" w:name="_Toc37666445"/>
      <w:bookmarkStart w:id="1190" w:name="_Toc54363334"/>
      <w:bookmarkStart w:id="1191" w:name="_Toc58606327"/>
      <w:bookmarkStart w:id="1192" w:name="_Toc61263532"/>
      <w:bookmarkStart w:id="1193" w:name="_Toc182298831"/>
      <w:r w:rsidRPr="002B005F">
        <w:lastRenderedPageBreak/>
        <w:t>1.1.2-</w:t>
      </w:r>
      <w:r w:rsidRPr="002B005F">
        <w:rPr>
          <w:i/>
          <w:iCs/>
        </w:rPr>
        <w:t xml:space="preserve"> </w:t>
      </w:r>
      <w:r w:rsidR="00FE768C" w:rsidRPr="002B005F">
        <w:rPr>
          <w:i/>
          <w:iCs/>
        </w:rPr>
        <w:t>Shirkah al-a’</w:t>
      </w:r>
      <w:r w:rsidR="002760B2" w:rsidRPr="002B005F">
        <w:rPr>
          <w:i/>
          <w:iCs/>
        </w:rPr>
        <w:t>kd</w:t>
      </w:r>
      <w:r w:rsidR="00FE768C" w:rsidRPr="002B005F">
        <w:t xml:space="preserve"> (a</w:t>
      </w:r>
      <w:r w:rsidR="002760B2" w:rsidRPr="002B005F">
        <w:t>ssociation contractuelle)</w:t>
      </w:r>
      <w:bookmarkEnd w:id="1187"/>
      <w:bookmarkEnd w:id="1188"/>
      <w:bookmarkEnd w:id="1189"/>
      <w:bookmarkEnd w:id="1190"/>
      <w:bookmarkEnd w:id="1191"/>
      <w:bookmarkEnd w:id="1192"/>
      <w:bookmarkEnd w:id="1193"/>
    </w:p>
    <w:p w14:paraId="7C7F4E4B" w14:textId="77777777" w:rsidR="002760B2" w:rsidRPr="002B005F" w:rsidRDefault="002760B2" w:rsidP="0032661C">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Ce type de </w:t>
      </w:r>
      <w:r w:rsidRPr="002B005F">
        <w:rPr>
          <w:rFonts w:ascii="Times New Roman" w:hAnsi="Times New Roman" w:cs="Times New Roman"/>
          <w:i/>
          <w:iCs/>
          <w:sz w:val="24"/>
          <w:szCs w:val="24"/>
        </w:rPr>
        <w:t>shirkah</w:t>
      </w:r>
      <w:r w:rsidRPr="002B005F">
        <w:rPr>
          <w:rFonts w:ascii="Times New Roman" w:hAnsi="Times New Roman" w:cs="Times New Roman"/>
          <w:sz w:val="24"/>
          <w:szCs w:val="24"/>
        </w:rPr>
        <w:t xml:space="preserve"> représente un contrat conclu entre deux personnes ou plus qui s’accordent mutuellement de contribuer au capital de l'entreprise ce qui leur donne droit à une part correspondante de ses résultats financiers (bénéfices ou pertes). Les parties contractantes acceptent de combiner leurs actifs, leurs efforts et / ou leurs dettes dans le but de réaliser des bénéfices</w:t>
      </w:r>
      <w:r w:rsidR="00D50B20" w:rsidRPr="002B005F">
        <w:rPr>
          <w:rStyle w:val="Appelnotedebasdep"/>
          <w:rFonts w:ascii="Times New Roman" w:hAnsi="Times New Roman"/>
          <w:sz w:val="24"/>
          <w:szCs w:val="24"/>
        </w:rPr>
        <w:footnoteReference w:id="306"/>
      </w:r>
      <w:r w:rsidRPr="002B005F">
        <w:rPr>
          <w:rFonts w:ascii="Times New Roman" w:hAnsi="Times New Roman" w:cs="Times New Roman"/>
          <w:sz w:val="24"/>
          <w:szCs w:val="24"/>
        </w:rPr>
        <w:t>.</w:t>
      </w:r>
    </w:p>
    <w:p w14:paraId="3AEB824A" w14:textId="77777777" w:rsidR="002760B2" w:rsidRPr="002B005F" w:rsidRDefault="002760B2" w:rsidP="0032661C">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Elle peut être considérée comme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car les parties contractantes ont accepté de leur plein gré de s'associer dans un projet d'investissement et de partager les profits et les pertes qui en découlent. Donc, les partenaires supportent ensemble les risques liés au projet. Le contrat peut être informel ou formel, mais il est préférable à ce que les termes du contrat soient écrits en présence de témoins</w:t>
      </w:r>
      <w:r w:rsidRPr="002B005F">
        <w:rPr>
          <w:rStyle w:val="Appelnotedebasdep"/>
          <w:rFonts w:ascii="Times New Roman" w:hAnsi="Times New Roman"/>
          <w:sz w:val="24"/>
          <w:szCs w:val="24"/>
        </w:rPr>
        <w:footnoteReference w:id="307"/>
      </w:r>
      <w:r w:rsidRPr="002B005F">
        <w:rPr>
          <w:rFonts w:ascii="Times New Roman" w:hAnsi="Times New Roman" w:cs="Times New Roman"/>
          <w:sz w:val="24"/>
          <w:szCs w:val="24"/>
        </w:rPr>
        <w:t>.</w:t>
      </w:r>
    </w:p>
    <w:p w14:paraId="77F23236" w14:textId="31472D07" w:rsidR="002760B2" w:rsidRPr="00B4400C" w:rsidRDefault="002760B2" w:rsidP="009E5427">
      <w:pPr>
        <w:tabs>
          <w:tab w:val="left" w:pos="0"/>
        </w:tabs>
        <w:autoSpaceDE w:val="0"/>
        <w:autoSpaceDN w:val="0"/>
        <w:adjustRightInd w:val="0"/>
        <w:spacing w:before="120" w:line="300" w:lineRule="auto"/>
        <w:ind w:firstLine="709"/>
        <w:rPr>
          <w:rFonts w:ascii="Times New Roman" w:hAnsi="Times New Roman" w:cs="Times New Roman"/>
          <w:spacing w:val="-4"/>
          <w:sz w:val="24"/>
          <w:szCs w:val="24"/>
        </w:rPr>
      </w:pPr>
      <w:r w:rsidRPr="00B4400C">
        <w:rPr>
          <w:rFonts w:ascii="Times New Roman" w:hAnsi="Times New Roman" w:cs="Times New Roman"/>
          <w:spacing w:val="-4"/>
          <w:sz w:val="24"/>
          <w:szCs w:val="24"/>
        </w:rPr>
        <w:t xml:space="preserve">Les termes du contrat doivent être conformes avec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B4400C">
        <w:rPr>
          <w:rFonts w:ascii="Times New Roman" w:hAnsi="Times New Roman" w:cs="Times New Roman"/>
          <w:spacing w:val="-4"/>
          <w:sz w:val="24"/>
          <w:szCs w:val="24"/>
        </w:rPr>
        <w:t xml:space="preserve">, c'est-à-dire en conformité avec les lois </w:t>
      </w:r>
      <w:r w:rsidR="009E5427" w:rsidRPr="00B4400C">
        <w:rPr>
          <w:rFonts w:ascii="Times New Roman" w:hAnsi="Times New Roman" w:cs="Times New Roman"/>
          <w:spacing w:val="-4"/>
          <w:sz w:val="24"/>
          <w:szCs w:val="24"/>
        </w:rPr>
        <w:t>i</w:t>
      </w:r>
      <w:r w:rsidR="003773C6" w:rsidRPr="00B4400C">
        <w:rPr>
          <w:rFonts w:ascii="Times New Roman" w:hAnsi="Times New Roman" w:cs="Times New Roman"/>
          <w:spacing w:val="-4"/>
          <w:sz w:val="24"/>
          <w:szCs w:val="24"/>
        </w:rPr>
        <w:t>slamique</w:t>
      </w:r>
      <w:r w:rsidRPr="00B4400C">
        <w:rPr>
          <w:rFonts w:ascii="Times New Roman" w:hAnsi="Times New Roman" w:cs="Times New Roman"/>
          <w:spacing w:val="-4"/>
          <w:sz w:val="24"/>
          <w:szCs w:val="24"/>
        </w:rPr>
        <w:t xml:space="preserve">s régissant les dettes et les transactions commerciales comme cela est décrit par les versets </w:t>
      </w:r>
      <w:r w:rsidR="009E5427" w:rsidRPr="00B4400C">
        <w:rPr>
          <w:rFonts w:ascii="Times New Roman" w:hAnsi="Times New Roman" w:cs="Times New Roman"/>
          <w:iCs/>
          <w:spacing w:val="-4"/>
          <w:sz w:val="24"/>
          <w:szCs w:val="24"/>
        </w:rPr>
        <w:t>c</w:t>
      </w:r>
      <w:r w:rsidRPr="00B4400C">
        <w:rPr>
          <w:rFonts w:ascii="Times New Roman" w:hAnsi="Times New Roman" w:cs="Times New Roman"/>
          <w:iCs/>
          <w:spacing w:val="-4"/>
          <w:sz w:val="24"/>
          <w:szCs w:val="24"/>
        </w:rPr>
        <w:t>oraniques</w:t>
      </w:r>
      <w:r w:rsidRPr="00B4400C">
        <w:rPr>
          <w:rFonts w:ascii="Times New Roman" w:hAnsi="Times New Roman" w:cs="Times New Roman"/>
          <w:spacing w:val="-4"/>
          <w:sz w:val="24"/>
          <w:szCs w:val="24"/>
        </w:rPr>
        <w:t xml:space="preserve"> 282-283 de la </w:t>
      </w:r>
      <w:r w:rsidR="0021172B" w:rsidRPr="00B4400C">
        <w:rPr>
          <w:rFonts w:ascii="Times New Roman" w:hAnsi="Times New Roman" w:cs="Times New Roman"/>
          <w:i/>
          <w:iCs/>
          <w:spacing w:val="-4"/>
          <w:sz w:val="24"/>
          <w:szCs w:val="24"/>
        </w:rPr>
        <w:t>s</w:t>
      </w:r>
      <w:r w:rsidRPr="00B4400C">
        <w:rPr>
          <w:rFonts w:ascii="Times New Roman" w:hAnsi="Times New Roman" w:cs="Times New Roman"/>
          <w:i/>
          <w:iCs/>
          <w:spacing w:val="-4"/>
          <w:sz w:val="24"/>
          <w:szCs w:val="24"/>
        </w:rPr>
        <w:t>ourate</w:t>
      </w:r>
      <w:r w:rsidRPr="00B4400C">
        <w:rPr>
          <w:rFonts w:ascii="Times New Roman" w:hAnsi="Times New Roman" w:cs="Times New Roman"/>
          <w:spacing w:val="-4"/>
          <w:sz w:val="24"/>
          <w:szCs w:val="24"/>
        </w:rPr>
        <w:t xml:space="preserve"> </w:t>
      </w:r>
      <w:r w:rsidR="00FE768C" w:rsidRPr="00B4400C">
        <w:rPr>
          <w:rFonts w:ascii="Times New Roman" w:hAnsi="Times New Roman" w:cs="Times New Roman"/>
          <w:i/>
          <w:iCs/>
          <w:spacing w:val="-4"/>
          <w:sz w:val="24"/>
          <w:szCs w:val="24"/>
        </w:rPr>
        <w:t>Al-</w:t>
      </w:r>
      <w:r w:rsidRPr="00B4400C">
        <w:rPr>
          <w:rFonts w:ascii="Times New Roman" w:hAnsi="Times New Roman" w:cs="Times New Roman"/>
          <w:i/>
          <w:iCs/>
          <w:spacing w:val="-4"/>
          <w:sz w:val="24"/>
          <w:szCs w:val="24"/>
        </w:rPr>
        <w:t>Baqarah</w:t>
      </w:r>
      <w:r w:rsidR="009E5427" w:rsidRPr="00B4400C">
        <w:rPr>
          <w:rFonts w:ascii="Times New Roman" w:hAnsi="Times New Roman" w:cs="Times New Roman"/>
          <w:i/>
          <w:iCs/>
          <w:spacing w:val="-4"/>
          <w:sz w:val="24"/>
          <w:szCs w:val="24"/>
        </w:rPr>
        <w:t> </w:t>
      </w:r>
      <w:r w:rsidR="009E5427" w:rsidRPr="00B4400C">
        <w:rPr>
          <w:rFonts w:ascii="Times New Roman" w:hAnsi="Times New Roman" w:cs="Times New Roman"/>
          <w:spacing w:val="-4"/>
          <w:sz w:val="24"/>
          <w:szCs w:val="24"/>
        </w:rPr>
        <w:t>:</w:t>
      </w:r>
    </w:p>
    <w:p w14:paraId="217D3FF3" w14:textId="33417E0F" w:rsidR="006B651B" w:rsidRPr="00FE4FAD" w:rsidRDefault="006B651B" w:rsidP="007B64B9">
      <w:pPr>
        <w:autoSpaceDE w:val="0"/>
        <w:autoSpaceDN w:val="0"/>
        <w:bidi/>
        <w:adjustRightInd w:val="0"/>
        <w:spacing w:before="120"/>
        <w:ind w:left="340" w:right="340"/>
        <w:rPr>
          <w:rFonts w:asciiTheme="minorBidi" w:hAnsiTheme="minorBidi"/>
          <w:spacing w:val="-4"/>
          <w:sz w:val="26"/>
          <w:szCs w:val="26"/>
        </w:rPr>
      </w:pPr>
      <w:r w:rsidRPr="0000609B">
        <w:rPr>
          <w:rFonts w:asciiTheme="majorBidi" w:hAnsiTheme="majorBidi" w:cstheme="majorBidi"/>
          <w:color w:val="000000"/>
          <w:sz w:val="26"/>
          <w:szCs w:val="26"/>
          <w:shd w:val="clear" w:color="auto" w:fill="FFFFFF"/>
          <w:rtl/>
        </w:rPr>
        <w:t>"يَا أَيُّهَا الَّذِينَ آمَنُواْ إِذَا تَدَايَنتُم بِدَيْنٍ إِلَى أَجَلٍ مُّسَمًّى فَاكْتُبُوهُ وَلْيَكْتُب بَّيْنَكُمْ كَاتِبٌ بِالْعَدْلِ وَلاَ يَأْبَ كَاتِبٌ أَنْ يَكْتُبَ كَمَا عَلَّمَهُ اللّهُ فَلْيَكْتُبْ وَلْيُمْلِلِ الَّذِي عَلَيْهِ الْحَقُّ وَلْيَتَّقِ اللّهَ رَبَّهُ وَلاَ يَبْخَسْ مِنْهُ شَيْئًا فَإن كَانَ الَّذِي عَلَيْهِ الْحَقُّ سَفِيهًا أَوْ ضَعِيفًا أَوْ لاَ يَسْتَطِيعُ أَن يُمِلَّ هُوَ فَلْيُمْلِلْ وَلِيُّهُ بِالْعَدْلِ وَاسْتَشْهِدُواْ شَهِيدَيْنِ من رِّجَالِكُمْ فَإِن لَّمْ يَكُونَا رَجُلَيْنِ فَرَجُلٌ وَامْرَأَتَانِ مِمَّن تَرْضَوْنَ مِنَ الشُّهَدَاء أَن تَضِلَّ إْحْدَاهُمَا فَتُذَكِّرَ إِحْدَاهُمَا الأُخْرَى وَلاَ يَأْبَ الشُّهَدَاء إِذَا مَا دُعُواْ وَلاَ تَسْأَمُوْاْ أَن تَكْتُبُوْهُ صَغِيرًا أَو كَبِيرًا إِلَى أَجَلِهِ ذَلِكُمْ أَقْسَطُ عِندَ اللّهِ وَأَقْومُ لِلشَّهَادَةِ وَأَدْنَى أَلاَّ تَرْتَابُواْ إِلاَّ أَن تَكُونَ تِجَارَةً حَاضِرَةً تُدِيرُونَهَا بَيْنَكُمْ فَلَيْسَ عَلَيْكُمْ جُنَاحٌ أَلاَّ تَكْتُبُوهَا وَأَشْهِدُوْاْ إِذَا تَبَايَعْتُمْ وَلاَ يُضَآرَّ كَاتِبٌ وَلاَ شَهِيدٌ وَإِن تَفْعَلُواْ فَإِنَّهُ فُسُوقٌ بِكُمْ وَاتَّقُواْ اللّهَ وَيُعَلِّمُكُمُ اللّهُ وَاللّهُ بِكُلِّ شَيْءٍ عَلِيم</w:t>
      </w:r>
      <w:r w:rsidRPr="0000609B">
        <w:rPr>
          <w:rFonts w:asciiTheme="majorBidi" w:hAnsiTheme="majorBidi" w:cstheme="majorBidi"/>
          <w:color w:val="000000"/>
          <w:sz w:val="24"/>
          <w:szCs w:val="24"/>
          <w:shd w:val="clear" w:color="auto" w:fill="FFFFFF"/>
          <w:rtl/>
        </w:rPr>
        <w:t>"</w:t>
      </w:r>
      <w:r w:rsidR="007B64B9">
        <w:rPr>
          <w:rFonts w:asciiTheme="majorBidi" w:hAnsiTheme="majorBidi" w:cstheme="majorBidi" w:hint="cs"/>
          <w:color w:val="000000"/>
          <w:sz w:val="24"/>
          <w:szCs w:val="24"/>
          <w:shd w:val="clear" w:color="auto" w:fill="FFFFFF"/>
          <w:rtl/>
        </w:rPr>
        <w:t xml:space="preserve"> </w:t>
      </w:r>
      <w:r w:rsidRPr="0000609B">
        <w:rPr>
          <w:rFonts w:asciiTheme="majorBidi" w:hAnsiTheme="majorBidi" w:cstheme="majorBidi"/>
          <w:b/>
          <w:bCs/>
          <w:color w:val="000000"/>
          <w:sz w:val="24"/>
          <w:szCs w:val="24"/>
          <w:shd w:val="clear" w:color="auto" w:fill="FFFFFF"/>
          <w:rtl/>
        </w:rPr>
        <w:t>(سورة البقرة، الآية 282)</w:t>
      </w:r>
      <w:r w:rsidRPr="0000609B">
        <w:rPr>
          <w:rFonts w:asciiTheme="majorBidi" w:hAnsiTheme="majorBidi" w:cstheme="majorBidi"/>
          <w:color w:val="000000"/>
          <w:sz w:val="24"/>
          <w:szCs w:val="24"/>
          <w:shd w:val="clear" w:color="auto" w:fill="FFFFFF"/>
          <w:rtl/>
        </w:rPr>
        <w:t xml:space="preserve"> </w:t>
      </w:r>
    </w:p>
    <w:p w14:paraId="5D0B0A58" w14:textId="77777777" w:rsidR="006B651B" w:rsidRPr="00FE4FAD" w:rsidRDefault="006B651B" w:rsidP="007B64B9">
      <w:pPr>
        <w:tabs>
          <w:tab w:val="left" w:pos="0"/>
        </w:tabs>
        <w:autoSpaceDE w:val="0"/>
        <w:autoSpaceDN w:val="0"/>
        <w:adjustRightInd w:val="0"/>
        <w:spacing w:before="120"/>
        <w:ind w:left="340" w:right="340"/>
        <w:rPr>
          <w:rFonts w:ascii="Times New Roman" w:hAnsi="Times New Roman" w:cs="Times New Roman"/>
          <w:b/>
          <w:bCs/>
          <w:color w:val="000000" w:themeColor="text1"/>
          <w:sz w:val="24"/>
          <w:szCs w:val="24"/>
          <w:shd w:val="clear" w:color="auto" w:fill="FFFFFF"/>
        </w:rPr>
      </w:pPr>
      <w:r w:rsidRPr="00FE4FAD">
        <w:rPr>
          <w:rFonts w:ascii="Times New Roman" w:hAnsi="Times New Roman" w:cs="Times New Roman"/>
          <w:color w:val="000000" w:themeColor="text1"/>
          <w:sz w:val="24"/>
          <w:szCs w:val="24"/>
          <w:shd w:val="clear" w:color="auto" w:fill="FFFFFF"/>
        </w:rPr>
        <w:t>« </w:t>
      </w:r>
      <w:r w:rsidRPr="00FE4FAD">
        <w:rPr>
          <w:rFonts w:ascii="Times New Roman" w:hAnsi="Times New Roman" w:cs="Times New Roman"/>
          <w:i/>
          <w:iCs/>
          <w:color w:val="000000" w:themeColor="text1"/>
          <w:sz w:val="24"/>
          <w:szCs w:val="24"/>
          <w:shd w:val="clear" w:color="auto" w:fill="FFFFFF"/>
        </w:rPr>
        <w:t>Ô les croyants ! Quand vous contractez une dette à échéance déterminée, mettez-la en écrit ; et qu'un scribe l'écrive, entre vous, en toute justice ; un scribe n'a pas à refuser d'écrire selon ce qu'Allah lui a enseigné ; qu'il écrive donc, et que dicte le débiteur : qu'il craigne Allah son Seigneur, et se garde d'en rien diminuer. Si le débiteur est gaspilleur ou faible, ou incapable de dicter lui-même, que son représentant dicte alors en toute justice. Faites-en témoigner par deux témoins d'entre vos hommes ; et à défaut de deux hommes, un homme et deux femmes d'entre ceux que vous agréez comme témoins, en sorte que si l'une d'elles s'égare, l'autre puisse lui rappeler. Et que les témoins ne refusent pas quand ils sont appelés. Ne vous lassez pas d'écrire la dette, ainsi que son terme, qu'elle soit petite ou grande ; c'est plus équitable auprès d'Allah, et plus droit pour le témoignage, et plus susceptible d'écarter les doutes. Mais s'il s'agit d'une marchandise présente que vous négociez entre vous dans ce cas, il n'y a pas de péché à ne pas l'écrire. Mais prenez des témoins lorsque vous faites une transaction entre vous ; et qu'on ne fasse aucun tort à aucun scribe ni à aucun témoin. Si vous le faisiez, cela serait une perversité en vous. Et craignez Allah. Alors Allah vous enseigne et Allah est Omniscient</w:t>
      </w:r>
      <w:r w:rsidRPr="00FE4FAD">
        <w:rPr>
          <w:rFonts w:ascii="Times New Roman" w:hAnsi="Times New Roman" w:cs="Times New Roman"/>
          <w:color w:val="000000" w:themeColor="text1"/>
          <w:sz w:val="24"/>
          <w:szCs w:val="24"/>
          <w:shd w:val="clear" w:color="auto" w:fill="FFFFFF"/>
        </w:rPr>
        <w:t> »</w:t>
      </w:r>
      <w:r w:rsidRPr="00FE4FAD">
        <w:rPr>
          <w:rStyle w:val="Appelnotedebasdep"/>
          <w:rFonts w:ascii="Times New Roman" w:hAnsi="Times New Roman"/>
          <w:color w:val="000000" w:themeColor="text1"/>
          <w:sz w:val="24"/>
          <w:szCs w:val="24"/>
          <w:shd w:val="clear" w:color="auto" w:fill="FFFFFF"/>
        </w:rPr>
        <w:footnoteReference w:id="308"/>
      </w:r>
      <w:r w:rsidRPr="00FE4FAD">
        <w:rPr>
          <w:rFonts w:ascii="Times New Roman" w:hAnsi="Times New Roman" w:cs="Times New Roman"/>
          <w:color w:val="000000" w:themeColor="text1"/>
          <w:sz w:val="24"/>
          <w:szCs w:val="24"/>
          <w:shd w:val="clear" w:color="auto" w:fill="FFFFFF"/>
        </w:rPr>
        <w:t>.</w:t>
      </w:r>
      <w:r w:rsidR="00FE4FAD">
        <w:rPr>
          <w:rFonts w:ascii="Times New Roman" w:hAnsi="Times New Roman" w:cs="Times New Roman" w:hint="cs"/>
          <w:color w:val="000000" w:themeColor="text1"/>
          <w:sz w:val="24"/>
          <w:szCs w:val="24"/>
          <w:shd w:val="clear" w:color="auto" w:fill="FFFFFF"/>
          <w:rtl/>
        </w:rPr>
        <w:t xml:space="preserve"> </w:t>
      </w:r>
      <w:r w:rsidR="00FE4FAD" w:rsidRPr="00FE4FAD">
        <w:rPr>
          <w:rFonts w:ascii="Times New Roman" w:hAnsi="Times New Roman" w:cs="Times New Roman"/>
          <w:b/>
          <w:bCs/>
          <w:color w:val="000000" w:themeColor="text1"/>
          <w:sz w:val="24"/>
          <w:szCs w:val="24"/>
          <w:shd w:val="clear" w:color="auto" w:fill="FFFFFF"/>
        </w:rPr>
        <w:t>(Sourate 2, Verset 282)</w:t>
      </w:r>
    </w:p>
    <w:p w14:paraId="0B98AD3C" w14:textId="102906E4" w:rsidR="006B651B" w:rsidRPr="00FE4FAD" w:rsidRDefault="006B651B" w:rsidP="007B64B9">
      <w:pPr>
        <w:tabs>
          <w:tab w:val="left" w:pos="0"/>
          <w:tab w:val="right" w:pos="7937"/>
        </w:tabs>
        <w:suppressAutoHyphens/>
        <w:autoSpaceDE w:val="0"/>
        <w:autoSpaceDN w:val="0"/>
        <w:bidi/>
        <w:adjustRightInd w:val="0"/>
        <w:spacing w:before="100" w:beforeAutospacing="1" w:line="300" w:lineRule="auto"/>
        <w:ind w:left="567" w:right="1134"/>
        <w:rPr>
          <w:rFonts w:asciiTheme="minorBidi" w:hAnsiTheme="minorBidi"/>
          <w:color w:val="000000" w:themeColor="text1"/>
          <w:sz w:val="26"/>
          <w:szCs w:val="26"/>
          <w:shd w:val="clear" w:color="auto" w:fill="FFFFFF"/>
        </w:rPr>
      </w:pPr>
      <w:r w:rsidRPr="0000609B">
        <w:rPr>
          <w:rFonts w:asciiTheme="majorBidi" w:hAnsiTheme="majorBidi" w:cstheme="majorBidi"/>
          <w:color w:val="000000"/>
          <w:sz w:val="26"/>
          <w:szCs w:val="26"/>
          <w:shd w:val="clear" w:color="auto" w:fill="FFFFFF"/>
          <w:rtl/>
          <w:lang w:bidi="ar-DZ"/>
        </w:rPr>
        <w:lastRenderedPageBreak/>
        <w:t>"</w:t>
      </w:r>
      <w:r w:rsidRPr="0000609B">
        <w:rPr>
          <w:rFonts w:asciiTheme="majorBidi" w:hAnsiTheme="majorBidi" w:cstheme="majorBidi"/>
          <w:color w:val="000000"/>
          <w:sz w:val="26"/>
          <w:szCs w:val="26"/>
          <w:shd w:val="clear" w:color="auto" w:fill="FFFFFF"/>
          <w:rtl/>
        </w:rPr>
        <w:t>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w:t>
      </w:r>
      <w:r w:rsidRPr="0000609B">
        <w:rPr>
          <w:rFonts w:asciiTheme="majorBidi" w:hAnsiTheme="majorBidi" w:cstheme="majorBidi"/>
          <w:color w:val="000000"/>
          <w:sz w:val="24"/>
          <w:szCs w:val="24"/>
          <w:shd w:val="clear" w:color="auto" w:fill="FFFFFF"/>
          <w:rtl/>
        </w:rPr>
        <w:t>"</w:t>
      </w:r>
      <w:r w:rsidR="00774B74">
        <w:rPr>
          <w:rFonts w:asciiTheme="majorBidi" w:hAnsiTheme="majorBidi" w:cstheme="majorBidi"/>
          <w:color w:val="000000"/>
          <w:sz w:val="24"/>
          <w:szCs w:val="24"/>
          <w:shd w:val="clear" w:color="auto" w:fill="FFFFFF"/>
        </w:rPr>
        <w:t xml:space="preserve"> </w:t>
      </w:r>
      <w:r w:rsidRPr="0000609B">
        <w:rPr>
          <w:rFonts w:asciiTheme="majorBidi" w:hAnsiTheme="majorBidi" w:cstheme="majorBidi"/>
          <w:b/>
          <w:bCs/>
          <w:color w:val="000000"/>
          <w:sz w:val="24"/>
          <w:szCs w:val="24"/>
          <w:shd w:val="clear" w:color="auto" w:fill="FFFFFF"/>
          <w:rtl/>
        </w:rPr>
        <w:t xml:space="preserve">(سورة </w:t>
      </w:r>
      <w:r w:rsidR="00732369" w:rsidRPr="0000609B">
        <w:rPr>
          <w:rFonts w:asciiTheme="majorBidi" w:hAnsiTheme="majorBidi" w:cstheme="majorBidi" w:hint="cs"/>
          <w:b/>
          <w:bCs/>
          <w:color w:val="000000"/>
          <w:sz w:val="24"/>
          <w:szCs w:val="24"/>
          <w:shd w:val="clear" w:color="auto" w:fill="FFFFFF"/>
          <w:rtl/>
        </w:rPr>
        <w:t>البقرة، الآي</w:t>
      </w:r>
      <w:r w:rsidR="00732369" w:rsidRPr="0000609B">
        <w:rPr>
          <w:rFonts w:asciiTheme="majorBidi" w:hAnsiTheme="majorBidi" w:cstheme="majorBidi" w:hint="eastAsia"/>
          <w:b/>
          <w:bCs/>
          <w:color w:val="000000"/>
          <w:sz w:val="24"/>
          <w:szCs w:val="24"/>
          <w:shd w:val="clear" w:color="auto" w:fill="FFFFFF"/>
          <w:rtl/>
        </w:rPr>
        <w:t>ة</w:t>
      </w:r>
      <w:r w:rsidRPr="0000609B">
        <w:rPr>
          <w:rFonts w:asciiTheme="majorBidi" w:hAnsiTheme="majorBidi" w:cstheme="majorBidi"/>
          <w:b/>
          <w:bCs/>
          <w:color w:val="000000"/>
          <w:sz w:val="24"/>
          <w:szCs w:val="24"/>
          <w:shd w:val="clear" w:color="auto" w:fill="FFFFFF"/>
          <w:rtl/>
        </w:rPr>
        <w:t xml:space="preserve"> 283)</w:t>
      </w:r>
      <w:r w:rsidRPr="00FE4FAD">
        <w:rPr>
          <w:rFonts w:asciiTheme="minorBidi" w:hAnsiTheme="minorBidi"/>
          <w:color w:val="000000"/>
          <w:sz w:val="26"/>
          <w:szCs w:val="26"/>
          <w:shd w:val="clear" w:color="auto" w:fill="FFFFFF"/>
          <w:rtl/>
        </w:rPr>
        <w:t>.</w:t>
      </w:r>
    </w:p>
    <w:p w14:paraId="7B3A9369" w14:textId="77777777" w:rsidR="006B651B" w:rsidRPr="00FF0889" w:rsidRDefault="006B651B" w:rsidP="006B651B">
      <w:pPr>
        <w:tabs>
          <w:tab w:val="left" w:pos="0"/>
        </w:tabs>
        <w:autoSpaceDE w:val="0"/>
        <w:autoSpaceDN w:val="0"/>
        <w:adjustRightInd w:val="0"/>
        <w:spacing w:before="120" w:line="300" w:lineRule="auto"/>
        <w:ind w:left="1134" w:right="567"/>
        <w:rPr>
          <w:rFonts w:ascii="Times New Roman" w:hAnsi="Times New Roman" w:cs="Times New Roman"/>
          <w:color w:val="000000" w:themeColor="text1"/>
          <w:spacing w:val="-4"/>
          <w:sz w:val="24"/>
          <w:szCs w:val="24"/>
        </w:rPr>
      </w:pPr>
      <w:r w:rsidRPr="00FF0889">
        <w:rPr>
          <w:rFonts w:ascii="Times New Roman" w:hAnsi="Times New Roman" w:cs="Times New Roman"/>
          <w:color w:val="000000" w:themeColor="text1"/>
          <w:spacing w:val="-4"/>
          <w:sz w:val="24"/>
          <w:szCs w:val="24"/>
          <w:shd w:val="clear" w:color="auto" w:fill="FFFFFF"/>
        </w:rPr>
        <w:t>« </w:t>
      </w:r>
      <w:r w:rsidRPr="00FF0889">
        <w:rPr>
          <w:rFonts w:ascii="Times New Roman" w:hAnsi="Times New Roman" w:cs="Times New Roman"/>
          <w:i/>
          <w:iCs/>
          <w:color w:val="000000" w:themeColor="text1"/>
          <w:spacing w:val="-4"/>
          <w:sz w:val="24"/>
          <w:szCs w:val="24"/>
        </w:rPr>
        <w:t>Mais si vous êtes en voyage et ne trouvez pas de scribe, un gage reçu suffit. S'il y a entre vous une confiance réciproque, que celui à qui on a confié quelque chose la restitue ; et qu'il craigne Allah son Seigneur. Et ne cachez pas le témoignage : quiconque le cache a, certes, un coeur pécheur. Allah, de ce que vous faites, est Omniscient</w:t>
      </w:r>
      <w:r w:rsidRPr="00FF0889">
        <w:rPr>
          <w:rFonts w:ascii="Times New Roman" w:hAnsi="Times New Roman" w:cs="Times New Roman"/>
          <w:color w:val="000000" w:themeColor="text1"/>
          <w:spacing w:val="-4"/>
          <w:sz w:val="24"/>
          <w:szCs w:val="24"/>
        </w:rPr>
        <w:t> »</w:t>
      </w:r>
      <w:r w:rsidRPr="00FF0889">
        <w:rPr>
          <w:rStyle w:val="Appelnotedebasdep"/>
          <w:rFonts w:ascii="Times New Roman" w:hAnsi="Times New Roman"/>
          <w:color w:val="000000" w:themeColor="text1"/>
          <w:spacing w:val="-4"/>
          <w:sz w:val="24"/>
          <w:szCs w:val="24"/>
        </w:rPr>
        <w:footnoteReference w:id="309"/>
      </w:r>
      <w:r w:rsidR="00FF0889" w:rsidRPr="00FF0889">
        <w:rPr>
          <w:rFonts w:ascii="Times New Roman" w:hAnsi="Times New Roman" w:cs="Times New Roman"/>
          <w:color w:val="000000" w:themeColor="text1"/>
          <w:spacing w:val="-4"/>
          <w:sz w:val="24"/>
          <w:szCs w:val="24"/>
        </w:rPr>
        <w:t>.</w:t>
      </w:r>
      <w:r w:rsidR="00FF0889" w:rsidRPr="00FF0889">
        <w:rPr>
          <w:rFonts w:ascii="Times New Roman" w:hAnsi="Times New Roman" w:cs="Times New Roman"/>
          <w:b/>
          <w:bCs/>
          <w:color w:val="000000" w:themeColor="text1"/>
          <w:spacing w:val="-4"/>
          <w:sz w:val="24"/>
          <w:szCs w:val="24"/>
        </w:rPr>
        <w:t xml:space="preserve"> (Sourate 2, Verset 283)</w:t>
      </w:r>
    </w:p>
    <w:p w14:paraId="11362154" w14:textId="77777777" w:rsidR="002760B2" w:rsidRPr="00B4400C" w:rsidRDefault="002760B2" w:rsidP="0097022C">
      <w:pPr>
        <w:tabs>
          <w:tab w:val="left" w:pos="0"/>
        </w:tabs>
        <w:autoSpaceDE w:val="0"/>
        <w:autoSpaceDN w:val="0"/>
        <w:adjustRightInd w:val="0"/>
        <w:spacing w:before="120" w:line="300" w:lineRule="auto"/>
        <w:ind w:firstLine="709"/>
        <w:rPr>
          <w:rFonts w:ascii="Times New Roman" w:hAnsi="Times New Roman" w:cs="Times New Roman"/>
          <w:sz w:val="24"/>
          <w:szCs w:val="24"/>
          <w:shd w:val="clear" w:color="auto" w:fill="FFFFFF"/>
        </w:rPr>
      </w:pPr>
      <w:r w:rsidRPr="00B4400C">
        <w:rPr>
          <w:rFonts w:ascii="Times New Roman" w:hAnsi="Times New Roman" w:cs="Times New Roman"/>
          <w:sz w:val="24"/>
          <w:szCs w:val="24"/>
        </w:rPr>
        <w:t xml:space="preserve">Dans le verset 282, </w:t>
      </w:r>
      <w:r w:rsidRPr="00B4400C">
        <w:rPr>
          <w:rFonts w:ascii="Times New Roman" w:hAnsi="Times New Roman" w:cs="Times New Roman"/>
          <w:smallCaps/>
          <w:sz w:val="24"/>
          <w:szCs w:val="24"/>
          <w:shd w:val="clear" w:color="auto" w:fill="FFFFFF"/>
        </w:rPr>
        <w:t>Allah</w:t>
      </w:r>
      <w:r w:rsidRPr="00B4400C">
        <w:rPr>
          <w:rFonts w:ascii="Times New Roman" w:hAnsi="Times New Roman" w:cs="Times New Roman"/>
          <w:sz w:val="24"/>
          <w:szCs w:val="24"/>
          <w:shd w:val="clear" w:color="auto" w:fill="FFFFFF"/>
        </w:rPr>
        <w:t xml:space="preserve"> recommande à Ses serviteurs croyants de mettre par écrit toutes leurs transactions à échéan</w:t>
      </w:r>
      <w:r w:rsidR="002768B8" w:rsidRPr="00B4400C">
        <w:rPr>
          <w:rFonts w:ascii="Times New Roman" w:hAnsi="Times New Roman" w:cs="Times New Roman"/>
          <w:sz w:val="24"/>
          <w:szCs w:val="24"/>
          <w:shd w:val="clear" w:color="auto" w:fill="FFFFFF"/>
        </w:rPr>
        <w:t>ce déterminée (comme les prêts)</w:t>
      </w:r>
      <w:r w:rsidRPr="00B4400C">
        <w:rPr>
          <w:rFonts w:ascii="Times New Roman" w:hAnsi="Times New Roman" w:cs="Times New Roman"/>
          <w:sz w:val="24"/>
          <w:szCs w:val="24"/>
          <w:shd w:val="clear" w:color="auto" w:fill="FFFFFF"/>
        </w:rPr>
        <w:t xml:space="preserve"> et ce, afin de garder en mémoire les conditions et le</w:t>
      </w:r>
      <w:r w:rsidR="002768B8" w:rsidRPr="00B4400C">
        <w:rPr>
          <w:rFonts w:ascii="Times New Roman" w:hAnsi="Times New Roman" w:cs="Times New Roman"/>
          <w:sz w:val="24"/>
          <w:szCs w:val="24"/>
          <w:shd w:val="clear" w:color="auto" w:fill="FFFFFF"/>
        </w:rPr>
        <w:t>s échéances de ces transactions</w:t>
      </w:r>
      <w:r w:rsidRPr="00B4400C">
        <w:rPr>
          <w:rFonts w:ascii="Times New Roman" w:hAnsi="Times New Roman" w:cs="Times New Roman"/>
          <w:sz w:val="24"/>
          <w:szCs w:val="24"/>
          <w:shd w:val="clear" w:color="auto" w:fill="FFFFFF"/>
        </w:rPr>
        <w:t xml:space="preserve"> et</w:t>
      </w:r>
      <w:r w:rsidR="002768B8" w:rsidRPr="00B4400C">
        <w:rPr>
          <w:rFonts w:ascii="Times New Roman" w:hAnsi="Times New Roman" w:cs="Times New Roman"/>
          <w:sz w:val="24"/>
          <w:szCs w:val="24"/>
          <w:shd w:val="clear" w:color="auto" w:fill="FFFFFF"/>
        </w:rPr>
        <w:t>,</w:t>
      </w:r>
      <w:r w:rsidRPr="00B4400C">
        <w:rPr>
          <w:rFonts w:ascii="Times New Roman" w:hAnsi="Times New Roman" w:cs="Times New Roman"/>
          <w:sz w:val="24"/>
          <w:szCs w:val="24"/>
          <w:shd w:val="clear" w:color="auto" w:fill="FFFFFF"/>
        </w:rPr>
        <w:t xml:space="preserve"> afin que les témoins se basent sur ce document écrit pour un témoignage plus précis et plus sûr.</w:t>
      </w:r>
    </w:p>
    <w:p w14:paraId="64A9427E" w14:textId="77777777" w:rsidR="002760B2" w:rsidRPr="00B4400C" w:rsidRDefault="002760B2" w:rsidP="0032661C">
      <w:pPr>
        <w:shd w:val="clear" w:color="auto" w:fill="FFFFFF"/>
        <w:tabs>
          <w:tab w:val="left" w:pos="0"/>
        </w:tabs>
        <w:spacing w:before="120" w:line="300" w:lineRule="auto"/>
        <w:ind w:firstLine="709"/>
        <w:rPr>
          <w:rFonts w:ascii="Times New Roman" w:eastAsia="Times New Roman" w:hAnsi="Times New Roman" w:cs="Times New Roman"/>
          <w:spacing w:val="-4"/>
          <w:sz w:val="24"/>
          <w:szCs w:val="24"/>
          <w:lang w:eastAsia="fr-FR"/>
        </w:rPr>
      </w:pPr>
      <w:r w:rsidRPr="00B4400C">
        <w:rPr>
          <w:rFonts w:ascii="Times New Roman" w:eastAsia="Times New Roman" w:hAnsi="Times New Roman" w:cs="Times New Roman"/>
          <w:spacing w:val="-4"/>
          <w:sz w:val="24"/>
          <w:szCs w:val="24"/>
          <w:lang w:eastAsia="fr-FR"/>
        </w:rPr>
        <w:t xml:space="preserve">Alors que dans le verset 283, le noble </w:t>
      </w:r>
      <w:r w:rsidRPr="00B4400C">
        <w:rPr>
          <w:rFonts w:ascii="Times New Roman" w:eastAsia="Times New Roman" w:hAnsi="Times New Roman" w:cs="Times New Roman"/>
          <w:iCs/>
          <w:spacing w:val="-4"/>
          <w:sz w:val="24"/>
          <w:szCs w:val="24"/>
          <w:lang w:eastAsia="fr-FR"/>
        </w:rPr>
        <w:t>Coran</w:t>
      </w:r>
      <w:r w:rsidRPr="00B4400C">
        <w:rPr>
          <w:rFonts w:ascii="Times New Roman" w:eastAsia="Times New Roman" w:hAnsi="Times New Roman" w:cs="Times New Roman"/>
          <w:spacing w:val="-4"/>
          <w:sz w:val="24"/>
          <w:szCs w:val="24"/>
          <w:lang w:eastAsia="fr-FR"/>
        </w:rPr>
        <w:t xml:space="preserve"> examine le cas de celui qui veut négocier en voyage où il ne connaît pas un scribe. En absence d'un acte notifié écrit, le noble </w:t>
      </w:r>
      <w:r w:rsidRPr="00B4400C">
        <w:rPr>
          <w:rFonts w:ascii="Times New Roman" w:eastAsia="Times New Roman" w:hAnsi="Times New Roman" w:cs="Times New Roman"/>
          <w:iCs/>
          <w:spacing w:val="-4"/>
          <w:sz w:val="24"/>
          <w:szCs w:val="24"/>
          <w:lang w:eastAsia="fr-FR"/>
        </w:rPr>
        <w:t>Coran</w:t>
      </w:r>
      <w:r w:rsidRPr="00B4400C">
        <w:rPr>
          <w:rFonts w:ascii="Times New Roman" w:eastAsia="Times New Roman" w:hAnsi="Times New Roman" w:cs="Times New Roman"/>
          <w:spacing w:val="-4"/>
          <w:sz w:val="24"/>
          <w:szCs w:val="24"/>
          <w:lang w:eastAsia="fr-FR"/>
        </w:rPr>
        <w:t xml:space="preserve"> propos</w:t>
      </w:r>
      <w:r w:rsidR="002768B8" w:rsidRPr="00B4400C">
        <w:rPr>
          <w:rFonts w:ascii="Times New Roman" w:eastAsia="Times New Roman" w:hAnsi="Times New Roman" w:cs="Times New Roman"/>
          <w:spacing w:val="-4"/>
          <w:sz w:val="24"/>
          <w:szCs w:val="24"/>
          <w:lang w:eastAsia="fr-FR"/>
        </w:rPr>
        <w:t>e que le débiteur donne un gage en signe de garantie</w:t>
      </w:r>
      <w:r w:rsidRPr="00B4400C">
        <w:rPr>
          <w:rFonts w:ascii="Times New Roman" w:eastAsia="Times New Roman" w:hAnsi="Times New Roman" w:cs="Times New Roman"/>
          <w:spacing w:val="-4"/>
          <w:sz w:val="24"/>
          <w:szCs w:val="24"/>
          <w:lang w:eastAsia="fr-FR"/>
        </w:rPr>
        <w:t xml:space="preserve"> au créancier. Ce dernier devra le rendre plus tard au débiteur, lorsqu'il a assumé ses engagements. Ce verset met de nouveau l'accent sur l'importance des témoins au moment de la conclusion d'un accord entre les deux parties.</w:t>
      </w:r>
      <w:r w:rsidR="00CE22A5" w:rsidRPr="00B4400C">
        <w:rPr>
          <w:rFonts w:ascii="Times New Roman" w:eastAsia="Times New Roman" w:hAnsi="Times New Roman" w:cs="Times New Roman"/>
          <w:spacing w:val="-4"/>
          <w:sz w:val="24"/>
          <w:szCs w:val="24"/>
          <w:lang w:eastAsia="fr-FR"/>
        </w:rPr>
        <w:t xml:space="preserve"> </w:t>
      </w:r>
      <w:r w:rsidRPr="00B4400C">
        <w:rPr>
          <w:rFonts w:ascii="Times New Roman" w:hAnsi="Times New Roman" w:cs="Times New Roman"/>
          <w:sz w:val="24"/>
          <w:szCs w:val="24"/>
        </w:rPr>
        <w:t xml:space="preserve">Les </w:t>
      </w:r>
      <w:r w:rsidR="00FE768C" w:rsidRPr="00B4400C">
        <w:rPr>
          <w:rFonts w:ascii="Times New Roman" w:hAnsi="Times New Roman" w:cs="Times New Roman"/>
          <w:i/>
          <w:iCs/>
          <w:sz w:val="24"/>
          <w:szCs w:val="24"/>
        </w:rPr>
        <w:t>f</w:t>
      </w:r>
      <w:r w:rsidRPr="00B4400C">
        <w:rPr>
          <w:rFonts w:ascii="Times New Roman" w:hAnsi="Times New Roman" w:cs="Times New Roman"/>
          <w:i/>
          <w:iCs/>
          <w:sz w:val="24"/>
          <w:szCs w:val="24"/>
        </w:rPr>
        <w:t>ouqaha</w:t>
      </w:r>
      <w:r w:rsidRPr="00B4400C">
        <w:rPr>
          <w:rFonts w:ascii="Times New Roman" w:hAnsi="Times New Roman" w:cs="Times New Roman"/>
          <w:sz w:val="24"/>
          <w:szCs w:val="24"/>
        </w:rPr>
        <w:t xml:space="preserve"> distinguent les formes suivantes de </w:t>
      </w:r>
      <w:r w:rsidRPr="00B4400C">
        <w:rPr>
          <w:rFonts w:ascii="Times New Roman" w:hAnsi="Times New Roman" w:cs="Times New Roman"/>
          <w:b/>
          <w:bCs/>
          <w:i/>
          <w:iCs/>
          <w:sz w:val="24"/>
          <w:szCs w:val="24"/>
        </w:rPr>
        <w:t>shirkah al-a</w:t>
      </w:r>
      <w:r w:rsidR="00FE768C" w:rsidRPr="00B4400C">
        <w:rPr>
          <w:rFonts w:ascii="Times New Roman" w:hAnsi="Times New Roman" w:cs="Times New Roman"/>
          <w:b/>
          <w:bCs/>
          <w:i/>
          <w:iCs/>
          <w:sz w:val="24"/>
          <w:szCs w:val="24"/>
        </w:rPr>
        <w:t>’</w:t>
      </w:r>
      <w:r w:rsidRPr="00B4400C">
        <w:rPr>
          <w:rFonts w:ascii="Times New Roman" w:hAnsi="Times New Roman" w:cs="Times New Roman"/>
          <w:b/>
          <w:bCs/>
          <w:i/>
          <w:iCs/>
          <w:sz w:val="24"/>
          <w:szCs w:val="24"/>
        </w:rPr>
        <w:t>qd</w:t>
      </w:r>
      <w:r w:rsidRPr="00B4400C">
        <w:rPr>
          <w:rFonts w:ascii="Times New Roman" w:hAnsi="Times New Roman" w:cs="Times New Roman"/>
          <w:sz w:val="24"/>
          <w:szCs w:val="24"/>
        </w:rPr>
        <w:t> :</w:t>
      </w:r>
    </w:p>
    <w:p w14:paraId="4C68D7B4" w14:textId="77777777" w:rsidR="002760B2" w:rsidRPr="00050B79" w:rsidRDefault="002768B8" w:rsidP="00774B74">
      <w:pPr>
        <w:pStyle w:val="Titre5"/>
        <w:keepNext w:val="0"/>
        <w:keepLines w:val="0"/>
        <w:spacing w:before="120" w:after="120" w:line="300" w:lineRule="auto"/>
        <w:ind w:firstLine="709"/>
        <w:rPr>
          <w:rFonts w:asciiTheme="majorBidi" w:hAnsiTheme="majorBidi"/>
          <w:b/>
          <w:bCs/>
          <w:i/>
          <w:iCs/>
          <w:color w:val="auto"/>
          <w:sz w:val="24"/>
          <w:szCs w:val="24"/>
        </w:rPr>
      </w:pPr>
      <w:bookmarkStart w:id="1194" w:name="_Toc182298832"/>
      <w:r w:rsidRPr="00050B79">
        <w:rPr>
          <w:rFonts w:asciiTheme="majorBidi" w:hAnsiTheme="majorBidi"/>
          <w:b/>
          <w:bCs/>
          <w:color w:val="auto"/>
          <w:sz w:val="24"/>
          <w:szCs w:val="24"/>
        </w:rPr>
        <w:t>1.1.2.1-</w:t>
      </w:r>
      <w:r w:rsidRPr="00050B79">
        <w:rPr>
          <w:rFonts w:asciiTheme="majorBidi" w:hAnsiTheme="majorBidi"/>
          <w:b/>
          <w:bCs/>
          <w:i/>
          <w:iCs/>
          <w:color w:val="auto"/>
          <w:sz w:val="24"/>
          <w:szCs w:val="24"/>
        </w:rPr>
        <w:t xml:space="preserve"> </w:t>
      </w:r>
      <w:r w:rsidR="002760B2" w:rsidRPr="00050B79">
        <w:rPr>
          <w:rFonts w:asciiTheme="majorBidi" w:hAnsiTheme="majorBidi"/>
          <w:b/>
          <w:bCs/>
          <w:i/>
          <w:iCs/>
          <w:color w:val="auto"/>
          <w:sz w:val="24"/>
          <w:szCs w:val="24"/>
        </w:rPr>
        <w:t xml:space="preserve">Shirkah al-wojooh </w:t>
      </w:r>
      <w:r w:rsidR="002760B2" w:rsidRPr="00050B79">
        <w:rPr>
          <w:rFonts w:asciiTheme="majorBidi" w:hAnsiTheme="majorBidi"/>
          <w:b/>
          <w:bCs/>
          <w:color w:val="auto"/>
          <w:sz w:val="24"/>
          <w:szCs w:val="24"/>
        </w:rPr>
        <w:t xml:space="preserve">(association par </w:t>
      </w:r>
      <w:r w:rsidR="001E185F" w:rsidRPr="00050B79">
        <w:rPr>
          <w:rFonts w:asciiTheme="majorBidi" w:hAnsiTheme="majorBidi"/>
          <w:b/>
          <w:bCs/>
          <w:color w:val="auto"/>
          <w:sz w:val="24"/>
          <w:szCs w:val="24"/>
        </w:rPr>
        <w:t>réputation des associés</w:t>
      </w:r>
      <w:r w:rsidR="00132C24" w:rsidRPr="00050B79">
        <w:rPr>
          <w:rFonts w:asciiTheme="majorBidi" w:hAnsiTheme="majorBidi"/>
          <w:b/>
          <w:bCs/>
          <w:color w:val="auto"/>
          <w:sz w:val="24"/>
          <w:szCs w:val="24"/>
        </w:rPr>
        <w:t>)</w:t>
      </w:r>
      <w:bookmarkEnd w:id="1194"/>
    </w:p>
    <w:p w14:paraId="6D27FEDC" w14:textId="77777777" w:rsidR="002760B2" w:rsidRPr="00B4400C" w:rsidRDefault="002760B2" w:rsidP="00774B74">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B4400C">
        <w:rPr>
          <w:rFonts w:ascii="Times New Roman" w:hAnsi="Times New Roman" w:cs="Times New Roman"/>
          <w:sz w:val="24"/>
          <w:szCs w:val="24"/>
        </w:rPr>
        <w:t>Ce type de partenariat ne peut être fait que par des personnes de très bonne réputation et honorabilité. Ces derniers (les partenaires) n'ont aucun capital. Tout ce qu'ils font, c'est qu'ils achètent les produits à paiement différé (par crédit) et les vendent</w:t>
      </w:r>
      <w:r w:rsidRPr="00B4400C">
        <w:rPr>
          <w:rStyle w:val="Appelnotedebasdep"/>
          <w:rFonts w:ascii="Times New Roman" w:hAnsi="Times New Roman"/>
          <w:sz w:val="24"/>
          <w:szCs w:val="24"/>
        </w:rPr>
        <w:footnoteReference w:id="310"/>
      </w:r>
      <w:r w:rsidRPr="00B4400C">
        <w:rPr>
          <w:rFonts w:ascii="Times New Roman" w:hAnsi="Times New Roman" w:cs="Times New Roman"/>
          <w:sz w:val="24"/>
          <w:szCs w:val="24"/>
        </w:rPr>
        <w:t>. Après avoir payé le prix de la marchandise aux fournisseurs, le profit ainsi gagné est réparti entre eux à un taux convenu. Toutes les pertes seront partagées dans la proportion de la part des partenaires par les partenaires.</w:t>
      </w:r>
    </w:p>
    <w:p w14:paraId="32694265" w14:textId="77777777" w:rsidR="002760B2" w:rsidRPr="00050B79" w:rsidRDefault="002768B8" w:rsidP="00774B74">
      <w:pPr>
        <w:pStyle w:val="Titre5"/>
        <w:keepNext w:val="0"/>
        <w:keepLines w:val="0"/>
        <w:spacing w:before="120" w:after="120" w:line="300" w:lineRule="auto"/>
        <w:ind w:firstLine="709"/>
        <w:rPr>
          <w:rFonts w:asciiTheme="majorBidi" w:hAnsiTheme="majorBidi"/>
          <w:b/>
          <w:bCs/>
          <w:i/>
          <w:iCs/>
          <w:color w:val="auto"/>
          <w:sz w:val="24"/>
          <w:szCs w:val="24"/>
        </w:rPr>
      </w:pPr>
      <w:bookmarkStart w:id="1195" w:name="_Toc182298833"/>
      <w:r w:rsidRPr="00050B79">
        <w:rPr>
          <w:rFonts w:asciiTheme="majorBidi" w:hAnsiTheme="majorBidi"/>
          <w:b/>
          <w:bCs/>
          <w:color w:val="auto"/>
          <w:sz w:val="24"/>
          <w:szCs w:val="24"/>
        </w:rPr>
        <w:t>1.1.2.2-</w:t>
      </w:r>
      <w:r w:rsidRPr="00050B79">
        <w:rPr>
          <w:rFonts w:asciiTheme="majorBidi" w:hAnsiTheme="majorBidi"/>
          <w:b/>
          <w:bCs/>
          <w:i/>
          <w:iCs/>
          <w:color w:val="auto"/>
          <w:sz w:val="24"/>
          <w:szCs w:val="24"/>
        </w:rPr>
        <w:t xml:space="preserve"> </w:t>
      </w:r>
      <w:r w:rsidR="002760B2" w:rsidRPr="00050B79">
        <w:rPr>
          <w:rFonts w:asciiTheme="majorBidi" w:hAnsiTheme="majorBidi"/>
          <w:b/>
          <w:bCs/>
          <w:i/>
          <w:iCs/>
          <w:color w:val="auto"/>
          <w:sz w:val="24"/>
          <w:szCs w:val="24"/>
        </w:rPr>
        <w:t>Shirkah al-a</w:t>
      </w:r>
      <w:r w:rsidR="00132C24" w:rsidRPr="00050B79">
        <w:rPr>
          <w:rFonts w:asciiTheme="majorBidi" w:hAnsiTheme="majorBidi"/>
          <w:b/>
          <w:bCs/>
          <w:i/>
          <w:iCs/>
          <w:color w:val="auto"/>
          <w:sz w:val="24"/>
          <w:szCs w:val="24"/>
        </w:rPr>
        <w:t xml:space="preserve">bdan </w:t>
      </w:r>
      <w:r w:rsidR="00132C24" w:rsidRPr="00050B79">
        <w:rPr>
          <w:rFonts w:asciiTheme="majorBidi" w:hAnsiTheme="majorBidi"/>
          <w:b/>
          <w:bCs/>
          <w:color w:val="auto"/>
          <w:sz w:val="24"/>
          <w:szCs w:val="24"/>
        </w:rPr>
        <w:t>(association par travail)</w:t>
      </w:r>
      <w:bookmarkEnd w:id="1195"/>
    </w:p>
    <w:p w14:paraId="0B24FBEE" w14:textId="77777777" w:rsidR="000D5520" w:rsidRPr="00B4400C" w:rsidRDefault="002B7AF5" w:rsidP="002768B8">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B4400C">
        <w:rPr>
          <w:rFonts w:ascii="Times New Roman" w:hAnsi="Times New Roman" w:cs="Times New Roman"/>
          <w:sz w:val="24"/>
          <w:szCs w:val="24"/>
        </w:rPr>
        <w:t xml:space="preserve">C’est une association entre deux ou plusieurs parties qui contribuent à l’entreprise </w:t>
      </w:r>
      <w:r w:rsidR="002760B2" w:rsidRPr="00B4400C">
        <w:rPr>
          <w:rFonts w:ascii="Times New Roman" w:hAnsi="Times New Roman" w:cs="Times New Roman"/>
          <w:sz w:val="24"/>
          <w:szCs w:val="24"/>
        </w:rPr>
        <w:t xml:space="preserve">par leur </w:t>
      </w:r>
      <w:r w:rsidRPr="00B4400C">
        <w:rPr>
          <w:rFonts w:ascii="Times New Roman" w:hAnsi="Times New Roman" w:cs="Times New Roman"/>
          <w:sz w:val="24"/>
          <w:szCs w:val="24"/>
        </w:rPr>
        <w:t xml:space="preserve">connaissance, leur </w:t>
      </w:r>
      <w:r w:rsidR="002760B2" w:rsidRPr="00B4400C">
        <w:rPr>
          <w:rFonts w:ascii="Times New Roman" w:hAnsi="Times New Roman" w:cs="Times New Roman"/>
          <w:sz w:val="24"/>
          <w:szCs w:val="24"/>
        </w:rPr>
        <w:t xml:space="preserve">expertise et leur </w:t>
      </w:r>
      <w:r w:rsidR="002768B8" w:rsidRPr="00B4400C">
        <w:rPr>
          <w:rFonts w:ascii="Times New Roman" w:hAnsi="Times New Roman" w:cs="Times New Roman"/>
          <w:sz w:val="24"/>
          <w:szCs w:val="24"/>
        </w:rPr>
        <w:t>savoir-</w:t>
      </w:r>
      <w:r w:rsidRPr="00B4400C">
        <w:rPr>
          <w:rFonts w:ascii="Times New Roman" w:hAnsi="Times New Roman" w:cs="Times New Roman"/>
          <w:sz w:val="24"/>
          <w:szCs w:val="24"/>
        </w:rPr>
        <w:t>faire</w:t>
      </w:r>
      <w:r w:rsidR="002760B2" w:rsidRPr="00B4400C">
        <w:rPr>
          <w:rFonts w:ascii="Times New Roman" w:hAnsi="Times New Roman" w:cs="Times New Roman"/>
          <w:sz w:val="24"/>
          <w:szCs w:val="24"/>
        </w:rPr>
        <w:t xml:space="preserve"> </w:t>
      </w:r>
      <w:r w:rsidR="002768B8" w:rsidRPr="00B4400C">
        <w:rPr>
          <w:rFonts w:ascii="Times New Roman" w:hAnsi="Times New Roman" w:cs="Times New Roman"/>
          <w:sz w:val="24"/>
          <w:szCs w:val="24"/>
        </w:rPr>
        <w:t>dans</w:t>
      </w:r>
      <w:r w:rsidR="002760B2" w:rsidRPr="00B4400C">
        <w:rPr>
          <w:rFonts w:ascii="Times New Roman" w:hAnsi="Times New Roman" w:cs="Times New Roman"/>
          <w:sz w:val="24"/>
          <w:szCs w:val="24"/>
        </w:rPr>
        <w:t xml:space="preserve"> la gestion de l'activité économique, sans aucune contribution au capital (</w:t>
      </w:r>
      <w:r w:rsidR="002760B2" w:rsidRPr="00B4400C">
        <w:rPr>
          <w:rFonts w:ascii="Times New Roman" w:hAnsi="Times New Roman" w:cs="Times New Roman"/>
          <w:smallCaps/>
          <w:sz w:val="24"/>
          <w:szCs w:val="24"/>
        </w:rPr>
        <w:t>Bendjilali</w:t>
      </w:r>
      <w:r w:rsidR="002760B2" w:rsidRPr="00B4400C">
        <w:rPr>
          <w:rFonts w:ascii="Times New Roman" w:hAnsi="Times New Roman" w:cs="Times New Roman"/>
          <w:sz w:val="24"/>
          <w:szCs w:val="24"/>
        </w:rPr>
        <w:t>, 1992)</w:t>
      </w:r>
      <w:r w:rsidR="002760B2" w:rsidRPr="00B4400C">
        <w:rPr>
          <w:rStyle w:val="Appelnotedebasdep"/>
          <w:rFonts w:ascii="Times New Roman" w:hAnsi="Times New Roman"/>
          <w:sz w:val="24"/>
          <w:szCs w:val="24"/>
        </w:rPr>
        <w:footnoteReference w:id="311"/>
      </w:r>
      <w:r w:rsidR="002760B2" w:rsidRPr="00B4400C">
        <w:rPr>
          <w:rFonts w:ascii="Times New Roman" w:hAnsi="Times New Roman" w:cs="Times New Roman"/>
          <w:sz w:val="24"/>
          <w:szCs w:val="24"/>
        </w:rPr>
        <w:t xml:space="preserve">. Ils acceptent le travail en commun, l'exécutent selon leur accord et partagent le profit. </w:t>
      </w:r>
      <w:r w:rsidRPr="00B4400C">
        <w:rPr>
          <w:rFonts w:ascii="Times New Roman" w:hAnsi="Times New Roman" w:cs="Times New Roman"/>
          <w:sz w:val="24"/>
          <w:szCs w:val="24"/>
        </w:rPr>
        <w:t>Le domaine d’expertise des associés ne doit pas être forcément identique. Autrement dit, en cas de divergence des domaines d’expertise, le contrat est valide. Par exemple, une association entre un menuisier et un mécanicien est valide, même si les deux travaillent ensemble, séparément ou sans l’autre</w:t>
      </w:r>
      <w:r w:rsidRPr="00B4400C">
        <w:rPr>
          <w:rStyle w:val="Appelnotedebasdep"/>
          <w:rFonts w:ascii="Times New Roman" w:hAnsi="Times New Roman"/>
          <w:sz w:val="24"/>
          <w:szCs w:val="24"/>
        </w:rPr>
        <w:footnoteReference w:id="312"/>
      </w:r>
      <w:r w:rsidRPr="00B4400C">
        <w:rPr>
          <w:rFonts w:ascii="Times New Roman" w:hAnsi="Times New Roman" w:cs="Times New Roman"/>
          <w:sz w:val="24"/>
          <w:szCs w:val="24"/>
        </w:rPr>
        <w:t xml:space="preserve">. </w:t>
      </w:r>
      <w:r w:rsidR="002760B2" w:rsidRPr="00B4400C">
        <w:rPr>
          <w:rFonts w:ascii="Times New Roman" w:hAnsi="Times New Roman" w:cs="Times New Roman"/>
          <w:sz w:val="24"/>
          <w:szCs w:val="24"/>
        </w:rPr>
        <w:t xml:space="preserve">C'est aussi connu sous le nom de </w:t>
      </w:r>
      <w:r w:rsidR="002760B2" w:rsidRPr="006B651B">
        <w:rPr>
          <w:rFonts w:ascii="Times New Roman" w:hAnsi="Times New Roman" w:cs="Times New Roman"/>
          <w:i/>
          <w:iCs/>
          <w:sz w:val="24"/>
          <w:szCs w:val="24"/>
        </w:rPr>
        <w:t>shirkah al-san</w:t>
      </w:r>
      <w:r w:rsidR="00B4400C" w:rsidRPr="006B651B">
        <w:rPr>
          <w:rFonts w:ascii="Times New Roman" w:hAnsi="Times New Roman" w:cs="Times New Roman"/>
          <w:i/>
          <w:iCs/>
          <w:sz w:val="24"/>
          <w:szCs w:val="24"/>
        </w:rPr>
        <w:t>ai</w:t>
      </w:r>
      <w:r w:rsidR="002760B2" w:rsidRPr="006B651B">
        <w:rPr>
          <w:rFonts w:ascii="Times New Roman" w:hAnsi="Times New Roman" w:cs="Times New Roman"/>
          <w:i/>
          <w:iCs/>
          <w:sz w:val="24"/>
          <w:szCs w:val="24"/>
        </w:rPr>
        <w:t>'</w:t>
      </w:r>
      <w:r w:rsidR="00B4400C" w:rsidRPr="006B651B">
        <w:rPr>
          <w:rFonts w:ascii="Times New Roman" w:hAnsi="Times New Roman" w:cs="Times New Roman"/>
          <w:i/>
          <w:iCs/>
          <w:sz w:val="24"/>
          <w:szCs w:val="24"/>
        </w:rPr>
        <w:t>e</w:t>
      </w:r>
      <w:r w:rsidR="002760B2" w:rsidRPr="006B651B">
        <w:rPr>
          <w:rFonts w:ascii="Times New Roman" w:hAnsi="Times New Roman" w:cs="Times New Roman"/>
          <w:sz w:val="24"/>
          <w:szCs w:val="24"/>
        </w:rPr>
        <w:t>.</w:t>
      </w:r>
    </w:p>
    <w:p w14:paraId="24E187C5" w14:textId="77777777" w:rsidR="002760B2" w:rsidRPr="00050B79" w:rsidRDefault="002768B8" w:rsidP="00774B74">
      <w:pPr>
        <w:pStyle w:val="Titre5"/>
        <w:keepNext w:val="0"/>
        <w:keepLines w:val="0"/>
        <w:spacing w:before="120" w:after="120" w:line="300" w:lineRule="auto"/>
        <w:ind w:firstLine="709"/>
        <w:rPr>
          <w:rFonts w:asciiTheme="majorBidi" w:hAnsiTheme="majorBidi"/>
          <w:b/>
          <w:bCs/>
          <w:i/>
          <w:iCs/>
          <w:color w:val="auto"/>
          <w:sz w:val="24"/>
          <w:szCs w:val="24"/>
        </w:rPr>
      </w:pPr>
      <w:bookmarkStart w:id="1196" w:name="_Toc182298834"/>
      <w:r w:rsidRPr="00050B79">
        <w:rPr>
          <w:rFonts w:asciiTheme="majorBidi" w:hAnsiTheme="majorBidi"/>
          <w:b/>
          <w:bCs/>
          <w:color w:val="auto"/>
          <w:sz w:val="24"/>
          <w:szCs w:val="24"/>
        </w:rPr>
        <w:lastRenderedPageBreak/>
        <w:t>1.1.2.3-</w:t>
      </w:r>
      <w:r w:rsidRPr="00050B79">
        <w:rPr>
          <w:rFonts w:asciiTheme="majorBidi" w:hAnsiTheme="majorBidi"/>
          <w:b/>
          <w:bCs/>
          <w:i/>
          <w:iCs/>
          <w:color w:val="auto"/>
          <w:sz w:val="24"/>
          <w:szCs w:val="24"/>
        </w:rPr>
        <w:t xml:space="preserve"> </w:t>
      </w:r>
      <w:r w:rsidR="002760B2" w:rsidRPr="00050B79">
        <w:rPr>
          <w:rFonts w:asciiTheme="majorBidi" w:hAnsiTheme="majorBidi"/>
          <w:b/>
          <w:bCs/>
          <w:i/>
          <w:iCs/>
          <w:color w:val="auto"/>
          <w:sz w:val="24"/>
          <w:szCs w:val="24"/>
        </w:rPr>
        <w:t>Shirkah al-a</w:t>
      </w:r>
      <w:r w:rsidR="00132C24" w:rsidRPr="00050B79">
        <w:rPr>
          <w:rFonts w:asciiTheme="majorBidi" w:hAnsiTheme="majorBidi"/>
          <w:b/>
          <w:bCs/>
          <w:i/>
          <w:iCs/>
          <w:color w:val="auto"/>
          <w:sz w:val="24"/>
          <w:szCs w:val="24"/>
        </w:rPr>
        <w:t xml:space="preserve">mwal </w:t>
      </w:r>
      <w:r w:rsidR="00132C24" w:rsidRPr="00050B79">
        <w:rPr>
          <w:rFonts w:asciiTheme="majorBidi" w:hAnsiTheme="majorBidi"/>
          <w:b/>
          <w:bCs/>
          <w:color w:val="auto"/>
          <w:sz w:val="24"/>
          <w:szCs w:val="24"/>
        </w:rPr>
        <w:t>(association par capital)</w:t>
      </w:r>
      <w:bookmarkEnd w:id="1196"/>
    </w:p>
    <w:p w14:paraId="7B224DC8" w14:textId="77777777" w:rsidR="002760B2" w:rsidRPr="00B4400C" w:rsidRDefault="002760B2" w:rsidP="00774B74">
      <w:pPr>
        <w:pStyle w:val="Paragraphedeliste"/>
        <w:tabs>
          <w:tab w:val="left" w:pos="0"/>
          <w:tab w:val="left" w:pos="284"/>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B4400C">
        <w:rPr>
          <w:rFonts w:ascii="Times New Roman" w:hAnsi="Times New Roman" w:cs="Times New Roman"/>
          <w:sz w:val="24"/>
          <w:szCs w:val="24"/>
        </w:rPr>
        <w:t xml:space="preserve">Dans ce cas, la mise de fonds par les associés repose sur une participation monétaire personnelle. C’est presque une forme d’association analogue à la technique de financement </w:t>
      </w:r>
      <w:r w:rsidRPr="00B4400C">
        <w:rPr>
          <w:rFonts w:ascii="Times New Roman" w:hAnsi="Times New Roman" w:cs="Times New Roman"/>
          <w:i/>
          <w:iCs/>
          <w:sz w:val="24"/>
          <w:szCs w:val="24"/>
        </w:rPr>
        <w:t>moucharaka</w:t>
      </w:r>
      <w:r w:rsidRPr="00B4400C">
        <w:rPr>
          <w:rStyle w:val="Appelnotedebasdep"/>
          <w:rFonts w:ascii="Times New Roman" w:hAnsi="Times New Roman"/>
          <w:sz w:val="24"/>
          <w:szCs w:val="24"/>
        </w:rPr>
        <w:footnoteReference w:id="313"/>
      </w:r>
      <w:r w:rsidRPr="00B4400C">
        <w:rPr>
          <w:rFonts w:ascii="Times New Roman" w:hAnsi="Times New Roman" w:cs="Times New Roman"/>
          <w:sz w:val="24"/>
          <w:szCs w:val="24"/>
        </w:rPr>
        <w:t>.</w:t>
      </w:r>
    </w:p>
    <w:p w14:paraId="6E0EDADA" w14:textId="77777777" w:rsidR="002760B2" w:rsidRPr="00050B79" w:rsidRDefault="002768B8" w:rsidP="00774B74">
      <w:pPr>
        <w:pStyle w:val="Titre5"/>
        <w:keepNext w:val="0"/>
        <w:keepLines w:val="0"/>
        <w:spacing w:before="120" w:after="120" w:line="300" w:lineRule="auto"/>
        <w:ind w:firstLine="709"/>
        <w:rPr>
          <w:rFonts w:asciiTheme="majorBidi" w:hAnsiTheme="majorBidi"/>
          <w:b/>
          <w:bCs/>
          <w:i/>
          <w:iCs/>
          <w:color w:val="auto"/>
          <w:sz w:val="24"/>
          <w:szCs w:val="24"/>
        </w:rPr>
      </w:pPr>
      <w:bookmarkStart w:id="1197" w:name="_Toc182298835"/>
      <w:r w:rsidRPr="00050B79">
        <w:rPr>
          <w:rFonts w:asciiTheme="majorBidi" w:hAnsiTheme="majorBidi"/>
          <w:b/>
          <w:bCs/>
          <w:color w:val="auto"/>
          <w:sz w:val="24"/>
          <w:szCs w:val="24"/>
        </w:rPr>
        <w:t>1.1.2.4-</w:t>
      </w:r>
      <w:r w:rsidRPr="00050B79">
        <w:rPr>
          <w:rFonts w:asciiTheme="majorBidi" w:hAnsiTheme="majorBidi"/>
          <w:b/>
          <w:bCs/>
          <w:i/>
          <w:iCs/>
          <w:color w:val="auto"/>
          <w:sz w:val="24"/>
          <w:szCs w:val="24"/>
        </w:rPr>
        <w:t xml:space="preserve"> Sharikat al-mufawadah </w:t>
      </w:r>
      <w:r w:rsidRPr="00050B79">
        <w:rPr>
          <w:rFonts w:asciiTheme="majorBidi" w:hAnsiTheme="majorBidi"/>
          <w:b/>
          <w:bCs/>
          <w:color w:val="auto"/>
          <w:sz w:val="24"/>
          <w:szCs w:val="24"/>
        </w:rPr>
        <w:t>(a</w:t>
      </w:r>
      <w:r w:rsidR="002760B2" w:rsidRPr="00050B79">
        <w:rPr>
          <w:rFonts w:asciiTheme="majorBidi" w:hAnsiTheme="majorBidi"/>
          <w:b/>
          <w:bCs/>
          <w:color w:val="auto"/>
          <w:sz w:val="24"/>
          <w:szCs w:val="24"/>
        </w:rPr>
        <w:t>ssociation commerciale illimitée)</w:t>
      </w:r>
      <w:bookmarkEnd w:id="1197"/>
    </w:p>
    <w:p w14:paraId="4AEEDE4C" w14:textId="77777777" w:rsidR="002760B2" w:rsidRPr="00B4400C" w:rsidRDefault="002760B2" w:rsidP="00774B74">
      <w:pPr>
        <w:tabs>
          <w:tab w:val="left" w:pos="0"/>
          <w:tab w:val="left" w:pos="284"/>
        </w:tabs>
        <w:spacing w:before="120" w:line="300" w:lineRule="auto"/>
        <w:ind w:firstLine="709"/>
        <w:rPr>
          <w:rFonts w:ascii="Times New Roman" w:hAnsi="Times New Roman" w:cs="Times New Roman"/>
          <w:sz w:val="24"/>
          <w:szCs w:val="24"/>
        </w:rPr>
      </w:pPr>
      <w:r w:rsidRPr="00B4400C">
        <w:rPr>
          <w:rFonts w:ascii="Times New Roman" w:hAnsi="Times New Roman" w:cs="Times New Roman"/>
          <w:i/>
          <w:iCs/>
          <w:sz w:val="24"/>
          <w:szCs w:val="24"/>
        </w:rPr>
        <w:t>Mufawada</w:t>
      </w:r>
      <w:r w:rsidRPr="00B4400C">
        <w:rPr>
          <w:rFonts w:ascii="Times New Roman" w:hAnsi="Times New Roman" w:cs="Times New Roman"/>
          <w:sz w:val="24"/>
          <w:szCs w:val="24"/>
        </w:rPr>
        <w:t xml:space="preserve"> signifie littéralement </w:t>
      </w:r>
      <w:r w:rsidRPr="00B4400C">
        <w:rPr>
          <w:rFonts w:ascii="Times New Roman" w:hAnsi="Times New Roman" w:cs="Times New Roman"/>
          <w:i/>
          <w:iCs/>
          <w:sz w:val="24"/>
          <w:szCs w:val="24"/>
        </w:rPr>
        <w:t>al-mu</w:t>
      </w:r>
      <w:r w:rsidR="004A4E16" w:rsidRPr="00B4400C">
        <w:rPr>
          <w:rFonts w:ascii="Times New Roman" w:hAnsi="Times New Roman" w:cs="Times New Roman"/>
          <w:i/>
          <w:iCs/>
          <w:sz w:val="24"/>
          <w:szCs w:val="24"/>
        </w:rPr>
        <w:t>s</w:t>
      </w:r>
      <w:r w:rsidRPr="00B4400C">
        <w:rPr>
          <w:rFonts w:ascii="Times New Roman" w:hAnsi="Times New Roman" w:cs="Times New Roman"/>
          <w:i/>
          <w:iCs/>
          <w:sz w:val="24"/>
          <w:szCs w:val="24"/>
        </w:rPr>
        <w:t>sawat</w:t>
      </w:r>
      <w:r w:rsidRPr="00B4400C">
        <w:rPr>
          <w:rFonts w:ascii="Times New Roman" w:hAnsi="Times New Roman" w:cs="Times New Roman"/>
          <w:sz w:val="24"/>
          <w:szCs w:val="24"/>
        </w:rPr>
        <w:t xml:space="preserve"> (égalité). Le terme juridique de </w:t>
      </w:r>
      <w:r w:rsidRPr="00B4400C">
        <w:rPr>
          <w:rFonts w:ascii="Times New Roman" w:hAnsi="Times New Roman" w:cs="Times New Roman"/>
          <w:i/>
          <w:iCs/>
          <w:sz w:val="24"/>
          <w:szCs w:val="24"/>
        </w:rPr>
        <w:t>mufawada</w:t>
      </w:r>
      <w:r w:rsidRPr="00B4400C">
        <w:rPr>
          <w:rFonts w:ascii="Times New Roman" w:hAnsi="Times New Roman" w:cs="Times New Roman"/>
          <w:sz w:val="24"/>
          <w:szCs w:val="24"/>
        </w:rPr>
        <w:t xml:space="preserve"> est dérivé </w:t>
      </w:r>
      <w:r w:rsidRPr="00B4400C">
        <w:rPr>
          <w:rFonts w:ascii="Times New Roman" w:hAnsi="Times New Roman" w:cs="Times New Roman"/>
          <w:i/>
          <w:iCs/>
          <w:sz w:val="24"/>
          <w:szCs w:val="24"/>
        </w:rPr>
        <w:t>d'al-tafwid</w:t>
      </w:r>
      <w:r w:rsidRPr="00B4400C">
        <w:rPr>
          <w:rFonts w:ascii="Times New Roman" w:hAnsi="Times New Roman" w:cs="Times New Roman"/>
          <w:sz w:val="24"/>
          <w:szCs w:val="24"/>
        </w:rPr>
        <w:t xml:space="preserve"> (délégation de pouvoir). C’est le cas où chaque partenaire habilite son collègue à agir librement avec le capital de l'ensemble du partenariat.</w:t>
      </w:r>
    </w:p>
    <w:p w14:paraId="48D2E240" w14:textId="77777777" w:rsidR="00D17AED" w:rsidRPr="00B4400C" w:rsidRDefault="00D17AED" w:rsidP="00774B74">
      <w:pPr>
        <w:pStyle w:val="Corpsdetexte"/>
        <w:tabs>
          <w:tab w:val="left" w:pos="9923"/>
        </w:tabs>
        <w:spacing w:before="120" w:line="300" w:lineRule="auto"/>
        <w:ind w:right="-2" w:firstLine="709"/>
      </w:pPr>
      <w:r w:rsidRPr="00B4400C">
        <w:rPr>
          <w:spacing w:val="-3"/>
        </w:rPr>
        <w:t xml:space="preserve">Dans </w:t>
      </w:r>
      <w:r w:rsidRPr="00B4400C">
        <w:t xml:space="preserve">ce </w:t>
      </w:r>
      <w:r w:rsidRPr="00B4400C">
        <w:rPr>
          <w:spacing w:val="-3"/>
        </w:rPr>
        <w:t xml:space="preserve">cas, les </w:t>
      </w:r>
      <w:r w:rsidRPr="00B4400C">
        <w:rPr>
          <w:spacing w:val="-4"/>
        </w:rPr>
        <w:t xml:space="preserve">partenaires doivent </w:t>
      </w:r>
      <w:r w:rsidRPr="00B4400C">
        <w:rPr>
          <w:spacing w:val="-3"/>
        </w:rPr>
        <w:t xml:space="preserve">être </w:t>
      </w:r>
      <w:r w:rsidRPr="00B4400C">
        <w:rPr>
          <w:spacing w:val="-4"/>
        </w:rPr>
        <w:t xml:space="preserve">adultes, participer </w:t>
      </w:r>
      <w:r w:rsidRPr="00B4400C">
        <w:t xml:space="preserve">à </w:t>
      </w:r>
      <w:r w:rsidRPr="00B4400C">
        <w:rPr>
          <w:spacing w:val="-4"/>
        </w:rPr>
        <w:t xml:space="preserve">part égale </w:t>
      </w:r>
      <w:r w:rsidRPr="00B4400C">
        <w:t xml:space="preserve">au </w:t>
      </w:r>
      <w:r w:rsidRPr="00B4400C">
        <w:rPr>
          <w:spacing w:val="-4"/>
        </w:rPr>
        <w:t xml:space="preserve">capital requis </w:t>
      </w:r>
      <w:r w:rsidRPr="00B4400C">
        <w:t xml:space="preserve">et </w:t>
      </w:r>
      <w:r w:rsidRPr="00B4400C">
        <w:rPr>
          <w:spacing w:val="-4"/>
        </w:rPr>
        <w:t xml:space="preserve">engager </w:t>
      </w:r>
      <w:r w:rsidRPr="00B4400C">
        <w:rPr>
          <w:spacing w:val="-3"/>
        </w:rPr>
        <w:t xml:space="preserve">leur </w:t>
      </w:r>
      <w:r w:rsidRPr="00B4400C">
        <w:rPr>
          <w:spacing w:val="-4"/>
        </w:rPr>
        <w:t xml:space="preserve">responsabilité </w:t>
      </w:r>
      <w:r w:rsidRPr="00B4400C">
        <w:rPr>
          <w:spacing w:val="-3"/>
        </w:rPr>
        <w:t xml:space="preserve">tout </w:t>
      </w:r>
      <w:r w:rsidRPr="00B4400C">
        <w:t xml:space="preserve">en ce </w:t>
      </w:r>
      <w:r w:rsidRPr="00B4400C">
        <w:rPr>
          <w:spacing w:val="-3"/>
        </w:rPr>
        <w:t xml:space="preserve">qui </w:t>
      </w:r>
      <w:r w:rsidRPr="00B4400C">
        <w:rPr>
          <w:spacing w:val="-4"/>
        </w:rPr>
        <w:t xml:space="preserve">concerne </w:t>
      </w:r>
      <w:r w:rsidRPr="00B4400C">
        <w:rPr>
          <w:spacing w:val="-3"/>
        </w:rPr>
        <w:t xml:space="preserve">leur part que </w:t>
      </w:r>
      <w:r w:rsidRPr="00B4400C">
        <w:rPr>
          <w:spacing w:val="-4"/>
        </w:rPr>
        <w:t xml:space="preserve">celle </w:t>
      </w:r>
      <w:r w:rsidRPr="00B4400C">
        <w:t xml:space="preserve">de </w:t>
      </w:r>
      <w:r w:rsidRPr="00B4400C">
        <w:rPr>
          <w:spacing w:val="-4"/>
        </w:rPr>
        <w:t xml:space="preserve">leurs partenaires </w:t>
      </w:r>
      <w:r w:rsidRPr="00B4400C">
        <w:t xml:space="preserve">au </w:t>
      </w:r>
      <w:r w:rsidRPr="00B4400C">
        <w:rPr>
          <w:spacing w:val="-4"/>
        </w:rPr>
        <w:t xml:space="preserve">regard </w:t>
      </w:r>
      <w:r w:rsidRPr="00B4400C">
        <w:rPr>
          <w:spacing w:val="-3"/>
        </w:rPr>
        <w:t xml:space="preserve">des </w:t>
      </w:r>
      <w:r w:rsidRPr="00B4400C">
        <w:rPr>
          <w:spacing w:val="-4"/>
        </w:rPr>
        <w:t xml:space="preserve">pertes </w:t>
      </w:r>
      <w:r w:rsidRPr="00B4400C">
        <w:t xml:space="preserve">et </w:t>
      </w:r>
      <w:r w:rsidRPr="00B4400C">
        <w:rPr>
          <w:spacing w:val="-4"/>
        </w:rPr>
        <w:t xml:space="preserve">profits </w:t>
      </w:r>
      <w:r w:rsidRPr="00B4400C">
        <w:t xml:space="preserve">et </w:t>
      </w:r>
      <w:r w:rsidRPr="00B4400C">
        <w:rPr>
          <w:spacing w:val="-4"/>
        </w:rPr>
        <w:t>être</w:t>
      </w:r>
      <w:r w:rsidRPr="00B4400C">
        <w:rPr>
          <w:spacing w:val="52"/>
        </w:rPr>
        <w:t xml:space="preserve"> </w:t>
      </w:r>
      <w:r w:rsidRPr="00B4400C">
        <w:rPr>
          <w:spacing w:val="-4"/>
        </w:rPr>
        <w:t xml:space="preserve">capable d'entreprendre </w:t>
      </w:r>
      <w:r w:rsidRPr="00B4400C">
        <w:t xml:space="preserve">la </w:t>
      </w:r>
      <w:r w:rsidRPr="00B4400C">
        <w:rPr>
          <w:spacing w:val="-4"/>
        </w:rPr>
        <w:t xml:space="preserve">totale responsabilité vis-à-vis </w:t>
      </w:r>
      <w:r w:rsidRPr="00B4400C">
        <w:t xml:space="preserve">de </w:t>
      </w:r>
      <w:r w:rsidRPr="00B4400C">
        <w:rPr>
          <w:spacing w:val="-3"/>
        </w:rPr>
        <w:t xml:space="preserve">leur part sur </w:t>
      </w:r>
      <w:r w:rsidRPr="00B4400C">
        <w:rPr>
          <w:spacing w:val="-4"/>
        </w:rPr>
        <w:t xml:space="preserve">le profit </w:t>
      </w:r>
      <w:r w:rsidRPr="00B4400C">
        <w:t xml:space="preserve">et </w:t>
      </w:r>
      <w:r w:rsidRPr="00B4400C">
        <w:rPr>
          <w:spacing w:val="-4"/>
        </w:rPr>
        <w:t xml:space="preserve">perte </w:t>
      </w:r>
      <w:r w:rsidRPr="00B4400C">
        <w:t xml:space="preserve">et </w:t>
      </w:r>
      <w:r w:rsidRPr="00B4400C">
        <w:rPr>
          <w:spacing w:val="-4"/>
        </w:rPr>
        <w:t xml:space="preserve">avoir </w:t>
      </w:r>
      <w:r w:rsidRPr="00B4400C">
        <w:t xml:space="preserve">la </w:t>
      </w:r>
      <w:r w:rsidRPr="00B4400C">
        <w:rPr>
          <w:spacing w:val="-4"/>
        </w:rPr>
        <w:t xml:space="preserve">pleine autorité d'agir </w:t>
      </w:r>
      <w:r w:rsidRPr="00B4400C">
        <w:t xml:space="preserve">en </w:t>
      </w:r>
      <w:r w:rsidRPr="00B4400C">
        <w:rPr>
          <w:spacing w:val="-3"/>
        </w:rPr>
        <w:t xml:space="preserve">tant que </w:t>
      </w:r>
      <w:r w:rsidRPr="00B4400C">
        <w:rPr>
          <w:spacing w:val="-4"/>
        </w:rPr>
        <w:t>représentant des autres</w:t>
      </w:r>
      <w:r w:rsidRPr="00B4400C">
        <w:rPr>
          <w:rStyle w:val="Appelnotedebasdep"/>
          <w:spacing w:val="-4"/>
        </w:rPr>
        <w:footnoteReference w:id="314"/>
      </w:r>
      <w:r w:rsidRPr="00B4400C">
        <w:rPr>
          <w:spacing w:val="-4"/>
        </w:rPr>
        <w:t>.</w:t>
      </w:r>
    </w:p>
    <w:p w14:paraId="5D3E8684" w14:textId="77777777" w:rsidR="002760B2" w:rsidRPr="00B4400C" w:rsidRDefault="002760B2" w:rsidP="00774B74">
      <w:pPr>
        <w:tabs>
          <w:tab w:val="left" w:pos="0"/>
          <w:tab w:val="left" w:pos="284"/>
        </w:tabs>
        <w:spacing w:before="120" w:line="300" w:lineRule="auto"/>
        <w:ind w:firstLine="709"/>
        <w:rPr>
          <w:rFonts w:ascii="Times New Roman" w:hAnsi="Times New Roman" w:cs="Times New Roman"/>
          <w:sz w:val="24"/>
          <w:szCs w:val="24"/>
        </w:rPr>
      </w:pPr>
      <w:r w:rsidRPr="00B4400C">
        <w:rPr>
          <w:rFonts w:ascii="Times New Roman" w:hAnsi="Times New Roman" w:cs="Times New Roman"/>
          <w:sz w:val="24"/>
          <w:szCs w:val="24"/>
        </w:rPr>
        <w:t xml:space="preserve">Techniquement, la </w:t>
      </w:r>
      <w:r w:rsidRPr="00B4400C">
        <w:rPr>
          <w:rFonts w:ascii="Times New Roman" w:hAnsi="Times New Roman" w:cs="Times New Roman"/>
          <w:i/>
          <w:iCs/>
          <w:sz w:val="24"/>
          <w:szCs w:val="24"/>
        </w:rPr>
        <w:t>mufawada</w:t>
      </w:r>
      <w:r w:rsidRPr="00B4400C">
        <w:rPr>
          <w:rFonts w:ascii="Times New Roman" w:hAnsi="Times New Roman" w:cs="Times New Roman"/>
          <w:sz w:val="24"/>
          <w:szCs w:val="24"/>
        </w:rPr>
        <w:t xml:space="preserve"> est un partenariat qui repose essentiellement sur trois </w:t>
      </w:r>
      <w:r w:rsidR="005375A2" w:rsidRPr="00B4400C">
        <w:rPr>
          <w:rFonts w:ascii="Times New Roman" w:hAnsi="Times New Roman" w:cs="Times New Roman"/>
          <w:sz w:val="24"/>
          <w:szCs w:val="24"/>
        </w:rPr>
        <w:t>caractéristiques :</w:t>
      </w:r>
    </w:p>
    <w:p w14:paraId="42BB6AEB" w14:textId="77777777" w:rsidR="002760B2" w:rsidRPr="00B4400C" w:rsidRDefault="002760B2" w:rsidP="00CB0FF1">
      <w:pPr>
        <w:pStyle w:val="Paragraphedeliste"/>
        <w:numPr>
          <w:ilvl w:val="0"/>
          <w:numId w:val="16"/>
        </w:numPr>
        <w:tabs>
          <w:tab w:val="left" w:pos="284"/>
          <w:tab w:val="left" w:pos="1134"/>
        </w:tabs>
        <w:spacing w:before="120" w:line="300" w:lineRule="auto"/>
        <w:ind w:left="1135" w:hanging="284"/>
        <w:contextualSpacing w:val="0"/>
        <w:rPr>
          <w:rFonts w:ascii="Times New Roman" w:hAnsi="Times New Roman" w:cs="Times New Roman"/>
          <w:sz w:val="24"/>
          <w:szCs w:val="24"/>
        </w:rPr>
      </w:pPr>
      <w:r w:rsidRPr="00B4400C">
        <w:rPr>
          <w:rFonts w:ascii="Times New Roman" w:hAnsi="Times New Roman" w:cs="Times New Roman"/>
          <w:sz w:val="24"/>
          <w:szCs w:val="24"/>
        </w:rPr>
        <w:t>Les partenaires doivent participer à part égale au capital requis ;</w:t>
      </w:r>
    </w:p>
    <w:p w14:paraId="2B01819B" w14:textId="77777777" w:rsidR="002760B2" w:rsidRPr="00B4400C" w:rsidRDefault="002760B2" w:rsidP="00CB0FF1">
      <w:pPr>
        <w:pStyle w:val="Paragraphedeliste"/>
        <w:numPr>
          <w:ilvl w:val="0"/>
          <w:numId w:val="16"/>
        </w:numPr>
        <w:tabs>
          <w:tab w:val="left" w:pos="284"/>
          <w:tab w:val="left" w:pos="1134"/>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B4400C">
        <w:rPr>
          <w:rFonts w:ascii="Times New Roman" w:hAnsi="Times New Roman" w:cs="Times New Roman"/>
          <w:sz w:val="24"/>
          <w:szCs w:val="24"/>
        </w:rPr>
        <w:t>Ils doivent engager leur responsabilité en ce qui concerne leur part que celle de leurs partenaires au regard des pertes et profits ;</w:t>
      </w:r>
    </w:p>
    <w:p w14:paraId="73D5CEAE" w14:textId="77777777" w:rsidR="002760B2" w:rsidRPr="00B4400C" w:rsidRDefault="005375A2" w:rsidP="00CB0FF1">
      <w:pPr>
        <w:pStyle w:val="Paragraphedeliste"/>
        <w:numPr>
          <w:ilvl w:val="0"/>
          <w:numId w:val="16"/>
        </w:numPr>
        <w:tabs>
          <w:tab w:val="left" w:pos="284"/>
          <w:tab w:val="left" w:pos="1134"/>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B4400C">
        <w:rPr>
          <w:rFonts w:ascii="Times New Roman" w:hAnsi="Times New Roman" w:cs="Times New Roman"/>
          <w:sz w:val="24"/>
          <w:szCs w:val="24"/>
        </w:rPr>
        <w:t xml:space="preserve">Ils ont </w:t>
      </w:r>
      <w:r w:rsidR="002760B2" w:rsidRPr="00B4400C">
        <w:rPr>
          <w:rFonts w:ascii="Times New Roman" w:hAnsi="Times New Roman" w:cs="Times New Roman"/>
          <w:sz w:val="24"/>
          <w:szCs w:val="24"/>
        </w:rPr>
        <w:t>la pleine autorité d'agir en tant que représentant des autres associés.</w:t>
      </w:r>
    </w:p>
    <w:p w14:paraId="6C66CBF7" w14:textId="77777777" w:rsidR="002760B2" w:rsidRPr="00B4400C" w:rsidRDefault="002760B2" w:rsidP="00774B74">
      <w:pPr>
        <w:tabs>
          <w:tab w:val="left" w:pos="0"/>
          <w:tab w:val="left" w:pos="284"/>
        </w:tabs>
        <w:autoSpaceDE w:val="0"/>
        <w:autoSpaceDN w:val="0"/>
        <w:adjustRightInd w:val="0"/>
        <w:spacing w:before="120" w:line="300" w:lineRule="auto"/>
        <w:ind w:firstLine="709"/>
        <w:rPr>
          <w:rFonts w:ascii="Times New Roman" w:hAnsi="Times New Roman" w:cs="Times New Roman"/>
          <w:sz w:val="24"/>
          <w:szCs w:val="24"/>
        </w:rPr>
      </w:pPr>
      <w:r w:rsidRPr="00B4400C">
        <w:rPr>
          <w:rFonts w:ascii="Times New Roman" w:hAnsi="Times New Roman" w:cs="Times New Roman"/>
          <w:sz w:val="24"/>
          <w:szCs w:val="24"/>
        </w:rPr>
        <w:t xml:space="preserve">Donc, chaque associé est considéré comme responsable des dettes de ses co-partenaires à condition que ces dettes fussent contractées durant l'activité (considérée). Ainsi, chaque partenaire peut agir en tant que </w:t>
      </w:r>
      <w:r w:rsidRPr="00B4400C">
        <w:rPr>
          <w:rFonts w:ascii="Times New Roman" w:hAnsi="Times New Roman" w:cs="Times New Roman"/>
          <w:i/>
          <w:iCs/>
          <w:sz w:val="24"/>
          <w:szCs w:val="24"/>
        </w:rPr>
        <w:t xml:space="preserve">wakil </w:t>
      </w:r>
      <w:r w:rsidRPr="00B4400C">
        <w:rPr>
          <w:rFonts w:ascii="Times New Roman" w:hAnsi="Times New Roman" w:cs="Times New Roman"/>
          <w:sz w:val="24"/>
          <w:szCs w:val="24"/>
        </w:rPr>
        <w:t>(agent) pour l'entreprise et joue le rôle de garant (</w:t>
      </w:r>
      <w:r w:rsidRPr="00B4400C">
        <w:rPr>
          <w:rFonts w:ascii="Times New Roman" w:hAnsi="Times New Roman" w:cs="Times New Roman"/>
          <w:i/>
          <w:iCs/>
          <w:sz w:val="24"/>
          <w:szCs w:val="24"/>
        </w:rPr>
        <w:t>qafil</w:t>
      </w:r>
      <w:r w:rsidRPr="00B4400C">
        <w:rPr>
          <w:rFonts w:ascii="Times New Roman" w:hAnsi="Times New Roman" w:cs="Times New Roman"/>
          <w:sz w:val="24"/>
          <w:szCs w:val="24"/>
        </w:rPr>
        <w:t>) pour les autres associés.</w:t>
      </w:r>
    </w:p>
    <w:p w14:paraId="3EABAC28" w14:textId="77777777" w:rsidR="002760B2" w:rsidRPr="00A6355B" w:rsidRDefault="008E58BF" w:rsidP="00774B74">
      <w:pPr>
        <w:pStyle w:val="Titre5"/>
        <w:keepNext w:val="0"/>
        <w:keepLines w:val="0"/>
        <w:spacing w:before="120" w:after="120" w:line="300" w:lineRule="auto"/>
        <w:ind w:firstLine="709"/>
        <w:rPr>
          <w:rFonts w:asciiTheme="majorBidi" w:hAnsiTheme="majorBidi"/>
          <w:b/>
          <w:bCs/>
          <w:color w:val="auto"/>
          <w:sz w:val="24"/>
          <w:szCs w:val="24"/>
        </w:rPr>
      </w:pPr>
      <w:bookmarkStart w:id="1198" w:name="_Toc182298836"/>
      <w:r w:rsidRPr="00A6355B">
        <w:rPr>
          <w:rFonts w:asciiTheme="majorBidi" w:hAnsiTheme="majorBidi"/>
          <w:b/>
          <w:bCs/>
          <w:color w:val="auto"/>
          <w:sz w:val="24"/>
          <w:szCs w:val="24"/>
        </w:rPr>
        <w:t>1.1.2.5-</w:t>
      </w:r>
      <w:r w:rsidRPr="00A6355B">
        <w:rPr>
          <w:rFonts w:asciiTheme="majorBidi" w:hAnsiTheme="majorBidi"/>
          <w:b/>
          <w:bCs/>
          <w:i/>
          <w:iCs/>
          <w:color w:val="auto"/>
          <w:sz w:val="24"/>
          <w:szCs w:val="24"/>
        </w:rPr>
        <w:t xml:space="preserve"> </w:t>
      </w:r>
      <w:r w:rsidR="002760B2" w:rsidRPr="00A6355B">
        <w:rPr>
          <w:rFonts w:asciiTheme="majorBidi" w:hAnsiTheme="majorBidi"/>
          <w:b/>
          <w:bCs/>
          <w:i/>
          <w:iCs/>
          <w:color w:val="auto"/>
          <w:sz w:val="24"/>
          <w:szCs w:val="24"/>
        </w:rPr>
        <w:t>Sharikat al-i</w:t>
      </w:r>
      <w:r w:rsidR="00B4400C" w:rsidRPr="00A6355B">
        <w:rPr>
          <w:rFonts w:asciiTheme="majorBidi" w:hAnsiTheme="majorBidi"/>
          <w:b/>
          <w:bCs/>
          <w:i/>
          <w:iCs/>
          <w:color w:val="auto"/>
          <w:sz w:val="24"/>
          <w:szCs w:val="24"/>
        </w:rPr>
        <w:t>’</w:t>
      </w:r>
      <w:r w:rsidR="002760B2" w:rsidRPr="00A6355B">
        <w:rPr>
          <w:rFonts w:asciiTheme="majorBidi" w:hAnsiTheme="majorBidi"/>
          <w:b/>
          <w:bCs/>
          <w:i/>
          <w:iCs/>
          <w:color w:val="auto"/>
          <w:sz w:val="24"/>
          <w:szCs w:val="24"/>
        </w:rPr>
        <w:t>n</w:t>
      </w:r>
      <w:r w:rsidR="00B4400C" w:rsidRPr="00A6355B">
        <w:rPr>
          <w:rFonts w:asciiTheme="majorBidi" w:hAnsiTheme="majorBidi"/>
          <w:b/>
          <w:bCs/>
          <w:i/>
          <w:iCs/>
          <w:color w:val="auto"/>
          <w:sz w:val="24"/>
          <w:szCs w:val="24"/>
        </w:rPr>
        <w:t>â</w:t>
      </w:r>
      <w:r w:rsidR="002760B2" w:rsidRPr="00A6355B">
        <w:rPr>
          <w:rFonts w:asciiTheme="majorBidi" w:hAnsiTheme="majorBidi"/>
          <w:b/>
          <w:bCs/>
          <w:i/>
          <w:iCs/>
          <w:color w:val="auto"/>
          <w:sz w:val="24"/>
          <w:szCs w:val="24"/>
        </w:rPr>
        <w:t xml:space="preserve">n </w:t>
      </w:r>
      <w:r w:rsidR="002760B2" w:rsidRPr="00A6355B">
        <w:rPr>
          <w:rFonts w:asciiTheme="majorBidi" w:hAnsiTheme="majorBidi"/>
          <w:b/>
          <w:bCs/>
          <w:color w:val="auto"/>
          <w:sz w:val="24"/>
          <w:szCs w:val="24"/>
        </w:rPr>
        <w:t>(Société à mandat limité)</w:t>
      </w:r>
      <w:bookmarkEnd w:id="1198"/>
    </w:p>
    <w:p w14:paraId="5AF843E2" w14:textId="77777777" w:rsidR="002760B2" w:rsidRPr="00B4400C" w:rsidRDefault="002760B2" w:rsidP="00774B74">
      <w:pPr>
        <w:pStyle w:val="Paragraphedeliste"/>
        <w:tabs>
          <w:tab w:val="left" w:pos="0"/>
          <w:tab w:val="left" w:pos="284"/>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B4400C">
        <w:rPr>
          <w:rFonts w:ascii="Times New Roman" w:hAnsi="Times New Roman" w:cs="Times New Roman"/>
          <w:sz w:val="24"/>
          <w:szCs w:val="24"/>
        </w:rPr>
        <w:t>Dans ce modèle de financement, les associés ne doivent pas nécessairement avoir la même part au capital. Leur participation à la gestion de l'activité peut être différenciée. En conséquence, la répartition des profits ne se fait pas nécessairement sur la base de leur contribution financière respective. Par contre, les pertes sont réparties entre tous les partenaire</w:t>
      </w:r>
      <w:r w:rsidR="004A4E16" w:rsidRPr="00B4400C">
        <w:rPr>
          <w:rFonts w:ascii="Times New Roman" w:hAnsi="Times New Roman" w:cs="Times New Roman"/>
          <w:sz w:val="24"/>
          <w:szCs w:val="24"/>
        </w:rPr>
        <w:t>s</w:t>
      </w:r>
      <w:r w:rsidRPr="00B4400C">
        <w:rPr>
          <w:rFonts w:ascii="Times New Roman" w:hAnsi="Times New Roman" w:cs="Times New Roman"/>
          <w:sz w:val="24"/>
          <w:szCs w:val="24"/>
        </w:rPr>
        <w:t xml:space="preserve"> au prorata de leur participation au capital</w:t>
      </w:r>
      <w:r w:rsidR="00D17AED" w:rsidRPr="00B4400C">
        <w:rPr>
          <w:rStyle w:val="Appelnotedebasdep"/>
          <w:rFonts w:ascii="Times New Roman" w:hAnsi="Times New Roman"/>
          <w:sz w:val="24"/>
          <w:szCs w:val="24"/>
        </w:rPr>
        <w:footnoteReference w:id="315"/>
      </w:r>
      <w:r w:rsidRPr="00B4400C">
        <w:rPr>
          <w:rFonts w:ascii="Times New Roman" w:hAnsi="Times New Roman" w:cs="Times New Roman"/>
          <w:sz w:val="24"/>
          <w:szCs w:val="24"/>
        </w:rPr>
        <w:t>.</w:t>
      </w:r>
    </w:p>
    <w:p w14:paraId="01512EA4" w14:textId="77777777" w:rsidR="002760B2" w:rsidRPr="00050DC4" w:rsidRDefault="002760B2" w:rsidP="00774B74">
      <w:pPr>
        <w:pStyle w:val="Paragraphedeliste"/>
        <w:tabs>
          <w:tab w:val="left" w:pos="0"/>
          <w:tab w:val="left" w:pos="284"/>
        </w:tabs>
        <w:autoSpaceDE w:val="0"/>
        <w:autoSpaceDN w:val="0"/>
        <w:adjustRightInd w:val="0"/>
        <w:spacing w:before="120" w:line="300" w:lineRule="auto"/>
        <w:ind w:left="0" w:firstLine="709"/>
        <w:contextualSpacing w:val="0"/>
        <w:rPr>
          <w:rFonts w:ascii="Times New Roman" w:hAnsi="Times New Roman" w:cs="Times New Roman"/>
          <w:spacing w:val="6"/>
          <w:sz w:val="24"/>
          <w:szCs w:val="24"/>
        </w:rPr>
      </w:pPr>
      <w:r w:rsidRPr="00050DC4">
        <w:rPr>
          <w:rFonts w:ascii="Times New Roman" w:hAnsi="Times New Roman" w:cs="Times New Roman"/>
          <w:spacing w:val="6"/>
          <w:sz w:val="24"/>
          <w:szCs w:val="24"/>
        </w:rPr>
        <w:t xml:space="preserve">Dans ce type de </w:t>
      </w:r>
      <w:r w:rsidRPr="00050DC4">
        <w:rPr>
          <w:rFonts w:ascii="Times New Roman" w:hAnsi="Times New Roman" w:cs="Times New Roman"/>
          <w:i/>
          <w:iCs/>
          <w:spacing w:val="6"/>
          <w:sz w:val="24"/>
          <w:szCs w:val="24"/>
        </w:rPr>
        <w:t>shirkah</w:t>
      </w:r>
      <w:r w:rsidRPr="00050DC4">
        <w:rPr>
          <w:rFonts w:ascii="Times New Roman" w:hAnsi="Times New Roman" w:cs="Times New Roman"/>
          <w:spacing w:val="6"/>
          <w:sz w:val="24"/>
          <w:szCs w:val="24"/>
        </w:rPr>
        <w:t>, les partenaires agissent donc comme agents (</w:t>
      </w:r>
      <w:r w:rsidRPr="00050DC4">
        <w:rPr>
          <w:rFonts w:ascii="Times New Roman" w:hAnsi="Times New Roman" w:cs="Times New Roman"/>
          <w:i/>
          <w:iCs/>
          <w:spacing w:val="6"/>
          <w:sz w:val="24"/>
          <w:szCs w:val="24"/>
        </w:rPr>
        <w:t>wakil</w:t>
      </w:r>
      <w:r w:rsidRPr="00050DC4">
        <w:rPr>
          <w:rFonts w:ascii="Times New Roman" w:hAnsi="Times New Roman" w:cs="Times New Roman"/>
          <w:spacing w:val="6"/>
          <w:sz w:val="24"/>
          <w:szCs w:val="24"/>
        </w:rPr>
        <w:t>)</w:t>
      </w:r>
      <w:r w:rsidR="004A4E16" w:rsidRPr="00050DC4">
        <w:rPr>
          <w:rFonts w:ascii="Times New Roman" w:hAnsi="Times New Roman" w:cs="Times New Roman"/>
          <w:spacing w:val="6"/>
          <w:sz w:val="24"/>
          <w:szCs w:val="24"/>
        </w:rPr>
        <w:t>,</w:t>
      </w:r>
      <w:r w:rsidRPr="00050DC4">
        <w:rPr>
          <w:rFonts w:ascii="Times New Roman" w:hAnsi="Times New Roman" w:cs="Times New Roman"/>
          <w:spacing w:val="6"/>
          <w:sz w:val="24"/>
          <w:szCs w:val="24"/>
        </w:rPr>
        <w:t xml:space="preserve"> pas comme garants (</w:t>
      </w:r>
      <w:r w:rsidRPr="00050DC4">
        <w:rPr>
          <w:rFonts w:ascii="Times New Roman" w:hAnsi="Times New Roman" w:cs="Times New Roman"/>
          <w:i/>
          <w:iCs/>
          <w:spacing w:val="6"/>
          <w:sz w:val="24"/>
          <w:szCs w:val="24"/>
        </w:rPr>
        <w:t>qafil</w:t>
      </w:r>
      <w:r w:rsidRPr="00050DC4">
        <w:rPr>
          <w:rFonts w:ascii="Times New Roman" w:hAnsi="Times New Roman" w:cs="Times New Roman"/>
          <w:spacing w:val="6"/>
          <w:sz w:val="24"/>
          <w:szCs w:val="24"/>
        </w:rPr>
        <w:t xml:space="preserve">). </w:t>
      </w:r>
      <w:r w:rsidRPr="00050DC4">
        <w:rPr>
          <w:rFonts w:ascii="Times New Roman" w:hAnsi="Times New Roman" w:cs="Times New Roman"/>
          <w:i/>
          <w:iCs/>
          <w:spacing w:val="6"/>
          <w:sz w:val="24"/>
          <w:szCs w:val="24"/>
        </w:rPr>
        <w:t>Sharikat al-inan</w:t>
      </w:r>
      <w:r w:rsidRPr="00050DC4">
        <w:rPr>
          <w:rFonts w:ascii="Times New Roman" w:hAnsi="Times New Roman" w:cs="Times New Roman"/>
          <w:spacing w:val="6"/>
          <w:sz w:val="24"/>
          <w:szCs w:val="24"/>
        </w:rPr>
        <w:t xml:space="preserve"> occupe une place particulière dans l'investissement contemporain au sens </w:t>
      </w:r>
      <w:r w:rsidR="00C96CF7" w:rsidRPr="00050DC4">
        <w:rPr>
          <w:rFonts w:ascii="Times New Roman" w:hAnsi="Times New Roman" w:cs="Times New Roman"/>
          <w:spacing w:val="6"/>
          <w:sz w:val="24"/>
          <w:szCs w:val="24"/>
        </w:rPr>
        <w:t>i</w:t>
      </w:r>
      <w:r w:rsidR="003773C6" w:rsidRPr="00050DC4">
        <w:rPr>
          <w:rFonts w:ascii="Times New Roman" w:hAnsi="Times New Roman" w:cs="Times New Roman"/>
          <w:spacing w:val="6"/>
          <w:sz w:val="24"/>
          <w:szCs w:val="24"/>
        </w:rPr>
        <w:t>slamique</w:t>
      </w:r>
      <w:r w:rsidRPr="00050DC4">
        <w:rPr>
          <w:rStyle w:val="Appelnotedebasdep"/>
          <w:rFonts w:ascii="Times New Roman" w:hAnsi="Times New Roman"/>
          <w:spacing w:val="6"/>
          <w:sz w:val="24"/>
          <w:szCs w:val="24"/>
        </w:rPr>
        <w:footnoteReference w:id="316"/>
      </w:r>
      <w:r w:rsidRPr="00050DC4">
        <w:rPr>
          <w:rFonts w:ascii="Times New Roman" w:hAnsi="Times New Roman" w:cs="Times New Roman"/>
          <w:spacing w:val="6"/>
          <w:sz w:val="24"/>
          <w:szCs w:val="24"/>
        </w:rPr>
        <w:t xml:space="preserve">, car elle représente l'un des plus importants modes de financement sur lequel seront fondées les institutions financières, en particulier les banques </w:t>
      </w:r>
      <w:r w:rsidR="00AB0C0A" w:rsidRPr="00050DC4">
        <w:rPr>
          <w:rFonts w:ascii="Times New Roman" w:hAnsi="Times New Roman" w:cs="Times New Roman"/>
          <w:spacing w:val="6"/>
          <w:sz w:val="24"/>
          <w:szCs w:val="24"/>
        </w:rPr>
        <w:t>i</w:t>
      </w:r>
      <w:r w:rsidR="003773C6" w:rsidRPr="00050DC4">
        <w:rPr>
          <w:rFonts w:ascii="Times New Roman" w:hAnsi="Times New Roman" w:cs="Times New Roman"/>
          <w:spacing w:val="6"/>
          <w:sz w:val="24"/>
          <w:szCs w:val="24"/>
        </w:rPr>
        <w:t>slamique</w:t>
      </w:r>
      <w:r w:rsidRPr="00050DC4">
        <w:rPr>
          <w:rFonts w:ascii="Times New Roman" w:hAnsi="Times New Roman" w:cs="Times New Roman"/>
          <w:spacing w:val="6"/>
          <w:sz w:val="24"/>
          <w:szCs w:val="24"/>
        </w:rPr>
        <w:t>s pour développer les mo</w:t>
      </w:r>
      <w:r w:rsidR="0021172B" w:rsidRPr="00050DC4">
        <w:rPr>
          <w:rFonts w:ascii="Times New Roman" w:hAnsi="Times New Roman" w:cs="Times New Roman"/>
          <w:spacing w:val="6"/>
          <w:sz w:val="24"/>
          <w:szCs w:val="24"/>
        </w:rPr>
        <w:t>des de financement participatif</w:t>
      </w:r>
      <w:r w:rsidRPr="00050DC4">
        <w:rPr>
          <w:rFonts w:ascii="Times New Roman" w:hAnsi="Times New Roman" w:cs="Times New Roman"/>
          <w:spacing w:val="6"/>
          <w:sz w:val="24"/>
          <w:szCs w:val="24"/>
        </w:rPr>
        <w:t>.</w:t>
      </w:r>
    </w:p>
    <w:p w14:paraId="2276EE85" w14:textId="0CE1B383" w:rsidR="00576ABB" w:rsidRPr="002B005F" w:rsidRDefault="002C5EFF" w:rsidP="000567B2">
      <w:pPr>
        <w:pStyle w:val="Lgende"/>
        <w:spacing w:before="100" w:beforeAutospacing="1" w:after="120" w:line="300" w:lineRule="auto"/>
        <w:jc w:val="center"/>
        <w:rPr>
          <w:rFonts w:ascii="Times New Roman" w:hAnsi="Times New Roman" w:cs="Times New Roman"/>
          <w:color w:val="auto"/>
          <w:sz w:val="24"/>
          <w:szCs w:val="24"/>
        </w:rPr>
      </w:pPr>
      <w:r>
        <w:rPr>
          <w:rFonts w:ascii="Times New Roman" w:hAnsi="Times New Roman" w:cs="Times New Roman"/>
          <w:noProof/>
          <w:sz w:val="20"/>
          <w:szCs w:val="20"/>
          <w:lang w:eastAsia="fr-FR"/>
        </w:rPr>
        <w:lastRenderedPageBreak/>
        <mc:AlternateContent>
          <mc:Choice Requires="wpg">
            <w:drawing>
              <wp:anchor distT="0" distB="0" distL="114300" distR="114300" simplePos="0" relativeHeight="251632640" behindDoc="0" locked="0" layoutInCell="1" allowOverlap="1" wp14:anchorId="4904A27A" wp14:editId="06E896A3">
                <wp:simplePos x="0" y="0"/>
                <wp:positionH relativeFrom="margin">
                  <wp:align>center</wp:align>
                </wp:positionH>
                <wp:positionV relativeFrom="paragraph">
                  <wp:posOffset>577850</wp:posOffset>
                </wp:positionV>
                <wp:extent cx="5760085" cy="4349750"/>
                <wp:effectExtent l="13335" t="10160" r="8255" b="12065"/>
                <wp:wrapNone/>
                <wp:docPr id="209"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4349750"/>
                          <a:chOff x="1680" y="8759"/>
                          <a:chExt cx="9097" cy="6850"/>
                        </a:xfrm>
                      </wpg:grpSpPr>
                      <wps:wsp>
                        <wps:cNvPr id="210" name="AutoShape 1273"/>
                        <wps:cNvCnPr>
                          <a:cxnSpLocks noChangeShapeType="1"/>
                        </wps:cNvCnPr>
                        <wps:spPr bwMode="auto">
                          <a:xfrm>
                            <a:off x="10494" y="10959"/>
                            <a:ext cx="283" cy="0"/>
                          </a:xfrm>
                          <a:prstGeom prst="straightConnector1">
                            <a:avLst/>
                          </a:prstGeom>
                          <a:noFill/>
                          <a:ln w="12700">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g:grpSp>
                        <wpg:cNvPr id="239" name="Group 1274"/>
                        <wpg:cNvGrpSpPr>
                          <a:grpSpLocks/>
                        </wpg:cNvGrpSpPr>
                        <wpg:grpSpPr bwMode="auto">
                          <a:xfrm>
                            <a:off x="1680" y="8759"/>
                            <a:ext cx="9082" cy="6850"/>
                            <a:chOff x="1680" y="8759"/>
                            <a:chExt cx="9082" cy="6850"/>
                          </a:xfrm>
                        </wpg:grpSpPr>
                        <wpg:grpSp>
                          <wpg:cNvPr id="240" name="Group 1275"/>
                          <wpg:cNvGrpSpPr>
                            <a:grpSpLocks/>
                          </wpg:cNvGrpSpPr>
                          <wpg:grpSpPr bwMode="auto">
                            <a:xfrm>
                              <a:off x="1680" y="8759"/>
                              <a:ext cx="8814" cy="6850"/>
                              <a:chOff x="1680" y="8759"/>
                              <a:chExt cx="8814" cy="6850"/>
                            </a:xfrm>
                          </wpg:grpSpPr>
                          <wpg:grpSp>
                            <wpg:cNvPr id="241" name="Group 1276"/>
                            <wpg:cNvGrpSpPr>
                              <a:grpSpLocks/>
                            </wpg:cNvGrpSpPr>
                            <wpg:grpSpPr bwMode="auto">
                              <a:xfrm>
                                <a:off x="1965" y="8759"/>
                                <a:ext cx="8529" cy="2636"/>
                                <a:chOff x="1965" y="9190"/>
                                <a:chExt cx="8529" cy="2636"/>
                              </a:xfrm>
                            </wpg:grpSpPr>
                            <wps:wsp>
                              <wps:cNvPr id="242" name="AutoShape 1277"/>
                              <wps:cNvSpPr>
                                <a:spLocks noChangeArrowheads="1"/>
                              </wps:cNvSpPr>
                              <wps:spPr bwMode="auto">
                                <a:xfrm>
                                  <a:off x="1965" y="10976"/>
                                  <a:ext cx="3118" cy="850"/>
                                </a:xfrm>
                                <a:prstGeom prst="roundRect">
                                  <a:avLst>
                                    <a:gd name="adj" fmla="val 16667"/>
                                  </a:avLst>
                                </a:prstGeom>
                                <a:solidFill>
                                  <a:schemeClr val="accent2">
                                    <a:lumMod val="40000"/>
                                    <a:lumOff val="60000"/>
                                  </a:schemeClr>
                                </a:solidFill>
                                <a:ln w="3175">
                                  <a:solidFill>
                                    <a:schemeClr val="accent2">
                                      <a:lumMod val="40000"/>
                                      <a:lumOff val="60000"/>
                                    </a:schemeClr>
                                  </a:solidFill>
                                  <a:round/>
                                  <a:headEnd/>
                                  <a:tailEnd/>
                                </a:ln>
                              </wps:spPr>
                              <wps:txbx>
                                <w:txbxContent>
                                  <w:p w14:paraId="27D35398" w14:textId="77777777" w:rsidR="009C2D83" w:rsidRPr="0092144E" w:rsidRDefault="009C2D83" w:rsidP="00D6118C">
                                    <w:pPr>
                                      <w:jc w:val="center"/>
                                      <w:rPr>
                                        <w:rFonts w:ascii="Times New Roman" w:hAnsi="Times New Roman" w:cs="Times New Roman"/>
                                        <w:b/>
                                        <w:bCs/>
                                        <w:i/>
                                        <w:iCs/>
                                        <w:sz w:val="24"/>
                                        <w:szCs w:val="24"/>
                                      </w:rPr>
                                    </w:pPr>
                                    <w:r>
                                      <w:rPr>
                                        <w:rFonts w:ascii="Times New Roman" w:hAnsi="Times New Roman" w:cs="Times New Roman"/>
                                        <w:b/>
                                        <w:bCs/>
                                        <w:i/>
                                        <w:iCs/>
                                        <w:sz w:val="24"/>
                                        <w:szCs w:val="24"/>
                                      </w:rPr>
                                      <w:t>Shirkat</w:t>
                                    </w:r>
                                    <w:r w:rsidRPr="0092144E">
                                      <w:rPr>
                                        <w:rFonts w:ascii="Times New Roman" w:hAnsi="Times New Roman" w:cs="Times New Roman"/>
                                        <w:b/>
                                        <w:bCs/>
                                        <w:i/>
                                        <w:iCs/>
                                        <w:sz w:val="24"/>
                                        <w:szCs w:val="24"/>
                                      </w:rPr>
                                      <w:t xml:space="preserve"> al-akd</w:t>
                                    </w:r>
                                  </w:p>
                                  <w:p w14:paraId="713ABA1E" w14:textId="77777777" w:rsidR="009C2D83" w:rsidRPr="001C4848" w:rsidRDefault="009C2D83" w:rsidP="00D6118C">
                                    <w:pPr>
                                      <w:jc w:val="center"/>
                                      <w:rPr>
                                        <w:rFonts w:ascii="Times New Roman" w:hAnsi="Times New Roman" w:cs="Times New Roman"/>
                                      </w:rPr>
                                    </w:pPr>
                                    <w:r w:rsidRPr="0092144E">
                                      <w:rPr>
                                        <w:rFonts w:ascii="Times New Roman" w:hAnsi="Times New Roman" w:cs="Times New Roman"/>
                                      </w:rPr>
                                      <w:t>Association contractuelle</w:t>
                                    </w:r>
                                  </w:p>
                                </w:txbxContent>
                              </wps:txbx>
                              <wps:bodyPr rot="0" vert="horz" wrap="square" lIns="54000" tIns="45720" rIns="54000" bIns="45720" anchor="ctr" anchorCtr="0" upright="1">
                                <a:noAutofit/>
                              </wps:bodyPr>
                            </wps:wsp>
                            <wps:wsp>
                              <wps:cNvPr id="243" name="AutoShape 1278"/>
                              <wps:cNvSpPr>
                                <a:spLocks noChangeArrowheads="1"/>
                              </wps:cNvSpPr>
                              <wps:spPr bwMode="auto">
                                <a:xfrm>
                                  <a:off x="7376" y="10959"/>
                                  <a:ext cx="3118" cy="850"/>
                                </a:xfrm>
                                <a:prstGeom prst="roundRect">
                                  <a:avLst>
                                    <a:gd name="adj" fmla="val 16667"/>
                                  </a:avLst>
                                </a:prstGeom>
                                <a:solidFill>
                                  <a:schemeClr val="accent3">
                                    <a:lumMod val="40000"/>
                                    <a:lumOff val="60000"/>
                                  </a:schemeClr>
                                </a:solidFill>
                                <a:ln w="9525">
                                  <a:solidFill>
                                    <a:schemeClr val="accent3">
                                      <a:lumMod val="75000"/>
                                      <a:lumOff val="0"/>
                                    </a:schemeClr>
                                  </a:solidFill>
                                  <a:round/>
                                  <a:headEnd/>
                                  <a:tailEnd/>
                                </a:ln>
                              </wps:spPr>
                              <wps:txbx>
                                <w:txbxContent>
                                  <w:p w14:paraId="11B6C3FE" w14:textId="77777777" w:rsidR="009C2D83" w:rsidRPr="0092144E" w:rsidRDefault="009C2D83" w:rsidP="00D6118C">
                                    <w:pPr>
                                      <w:jc w:val="center"/>
                                      <w:rPr>
                                        <w:rFonts w:ascii="Times New Roman" w:hAnsi="Times New Roman" w:cs="Times New Roman"/>
                                        <w:b/>
                                        <w:bCs/>
                                        <w:i/>
                                        <w:iCs/>
                                        <w:sz w:val="24"/>
                                        <w:szCs w:val="24"/>
                                      </w:rPr>
                                    </w:pPr>
                                    <w:r>
                                      <w:rPr>
                                        <w:rFonts w:ascii="Times New Roman" w:hAnsi="Times New Roman" w:cs="Times New Roman"/>
                                        <w:b/>
                                        <w:bCs/>
                                        <w:i/>
                                        <w:iCs/>
                                        <w:sz w:val="24"/>
                                        <w:szCs w:val="24"/>
                                      </w:rPr>
                                      <w:t>Shirkat al-</w:t>
                                    </w:r>
                                    <w:r w:rsidRPr="0092144E">
                                      <w:rPr>
                                        <w:rFonts w:ascii="Times New Roman" w:hAnsi="Times New Roman" w:cs="Times New Roman"/>
                                        <w:b/>
                                        <w:bCs/>
                                        <w:i/>
                                        <w:iCs/>
                                        <w:sz w:val="24"/>
                                        <w:szCs w:val="24"/>
                                      </w:rPr>
                                      <w:t>m</w:t>
                                    </w:r>
                                    <w:r>
                                      <w:rPr>
                                        <w:rFonts w:ascii="Times New Roman" w:hAnsi="Times New Roman" w:cs="Times New Roman"/>
                                        <w:b/>
                                        <w:bCs/>
                                        <w:i/>
                                        <w:iCs/>
                                        <w:sz w:val="24"/>
                                        <w:szCs w:val="24"/>
                                      </w:rPr>
                                      <w:t>o</w:t>
                                    </w:r>
                                    <w:r w:rsidRPr="0092144E">
                                      <w:rPr>
                                        <w:rFonts w:ascii="Times New Roman" w:hAnsi="Times New Roman" w:cs="Times New Roman"/>
                                        <w:b/>
                                        <w:bCs/>
                                        <w:i/>
                                        <w:iCs/>
                                        <w:sz w:val="24"/>
                                        <w:szCs w:val="24"/>
                                      </w:rPr>
                                      <w:t>ulk</w:t>
                                    </w:r>
                                  </w:p>
                                  <w:p w14:paraId="2B899641" w14:textId="77777777" w:rsidR="009C2D83" w:rsidRPr="00C76494" w:rsidRDefault="009C2D83" w:rsidP="00D6118C">
                                    <w:pPr>
                                      <w:jc w:val="center"/>
                                      <w:rPr>
                                        <w:rFonts w:ascii="Times New Roman" w:hAnsi="Times New Roman" w:cs="Times New Roman"/>
                                      </w:rPr>
                                    </w:pPr>
                                    <w:r w:rsidRPr="0092144E">
                                      <w:rPr>
                                        <w:rFonts w:ascii="Times New Roman" w:hAnsi="Times New Roman" w:cs="Times New Roman"/>
                                      </w:rPr>
                                      <w:t>Association copropriétaire</w:t>
                                    </w:r>
                                  </w:p>
                                </w:txbxContent>
                              </wps:txbx>
                              <wps:bodyPr rot="0" vert="horz" wrap="square" lIns="54000" tIns="45720" rIns="54000" bIns="45720" anchor="ctr" anchorCtr="0" upright="1">
                                <a:noAutofit/>
                              </wps:bodyPr>
                            </wps:wsp>
                            <wpg:grpSp>
                              <wpg:cNvPr id="244" name="Group 1279"/>
                              <wpg:cNvGrpSpPr>
                                <a:grpSpLocks/>
                              </wpg:cNvGrpSpPr>
                              <wpg:grpSpPr bwMode="auto">
                                <a:xfrm>
                                  <a:off x="3535" y="9190"/>
                                  <a:ext cx="5417" cy="1751"/>
                                  <a:chOff x="3535" y="9190"/>
                                  <a:chExt cx="5417" cy="1751"/>
                                </a:xfrm>
                              </wpg:grpSpPr>
                              <wps:wsp>
                                <wps:cNvPr id="245" name="AutoShape 1280"/>
                                <wps:cNvCnPr>
                                  <a:cxnSpLocks noChangeShapeType="1"/>
                                </wps:cNvCnPr>
                                <wps:spPr bwMode="auto">
                                  <a:xfrm>
                                    <a:off x="6237" y="10310"/>
                                    <a:ext cx="0" cy="283"/>
                                  </a:xfrm>
                                  <a:prstGeom prst="straightConnector1">
                                    <a:avLst/>
                                  </a:prstGeom>
                                  <a:noFill/>
                                  <a:ln w="12700">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246" name="AutoShape 1281"/>
                                <wps:cNvSpPr>
                                  <a:spLocks noChangeArrowheads="1"/>
                                </wps:cNvSpPr>
                                <wps:spPr bwMode="auto">
                                  <a:xfrm>
                                    <a:off x="3969" y="9190"/>
                                    <a:ext cx="4535" cy="1134"/>
                                  </a:xfrm>
                                  <a:prstGeom prst="roundRect">
                                    <a:avLst>
                                      <a:gd name="adj" fmla="val 16667"/>
                                    </a:avLst>
                                  </a:prstGeom>
                                  <a:solidFill>
                                    <a:schemeClr val="accent1">
                                      <a:lumMod val="20000"/>
                                      <a:lumOff val="80000"/>
                                    </a:schemeClr>
                                  </a:solidFill>
                                  <a:ln w="3175">
                                    <a:solidFill>
                                      <a:schemeClr val="tx2">
                                        <a:lumMod val="60000"/>
                                        <a:lumOff val="40000"/>
                                      </a:schemeClr>
                                    </a:solidFill>
                                    <a:round/>
                                    <a:headEnd/>
                                    <a:tailEnd/>
                                  </a:ln>
                                </wps:spPr>
                                <wps:txbx>
                                  <w:txbxContent>
                                    <w:p w14:paraId="78DDFC2E" w14:textId="77777777" w:rsidR="009C2D83" w:rsidRPr="0078601D" w:rsidRDefault="009C2D83" w:rsidP="00D6118C">
                                      <w:pPr>
                                        <w:spacing w:line="300" w:lineRule="auto"/>
                                        <w:jc w:val="center"/>
                                        <w:rPr>
                                          <w:rFonts w:ascii="Times New Roman" w:hAnsi="Times New Roman" w:cs="Times New Roman"/>
                                          <w:b/>
                                          <w:bCs/>
                                          <w:sz w:val="28"/>
                                          <w:szCs w:val="28"/>
                                        </w:rPr>
                                      </w:pPr>
                                      <w:r w:rsidRPr="0078601D">
                                        <w:rPr>
                                          <w:rFonts w:ascii="Times New Roman" w:hAnsi="Times New Roman" w:cs="Times New Roman"/>
                                          <w:b/>
                                          <w:bCs/>
                                          <w:i/>
                                          <w:iCs/>
                                          <w:sz w:val="28"/>
                                          <w:szCs w:val="28"/>
                                        </w:rPr>
                                        <w:t>Ou’qoud</w:t>
                                      </w:r>
                                      <w:r w:rsidRPr="0078601D">
                                        <w:rPr>
                                          <w:rFonts w:ascii="Times New Roman" w:hAnsi="Times New Roman" w:cs="Times New Roman"/>
                                          <w:b/>
                                          <w:bCs/>
                                          <w:sz w:val="28"/>
                                          <w:szCs w:val="28"/>
                                        </w:rPr>
                                        <w:t xml:space="preserve"> </w:t>
                                      </w:r>
                                      <w:r w:rsidRPr="0078601D">
                                        <w:rPr>
                                          <w:rFonts w:ascii="Times New Roman" w:hAnsi="Times New Roman" w:cs="Times New Roman"/>
                                          <w:b/>
                                          <w:bCs/>
                                          <w:i/>
                                          <w:iCs/>
                                          <w:sz w:val="28"/>
                                          <w:szCs w:val="28"/>
                                        </w:rPr>
                                        <w:t>Shirka</w:t>
                                      </w:r>
                                    </w:p>
                                    <w:p w14:paraId="7720752E" w14:textId="77777777" w:rsidR="009C2D83" w:rsidRPr="0078601D" w:rsidRDefault="009C2D83" w:rsidP="00D6118C">
                                      <w:pPr>
                                        <w:spacing w:line="300" w:lineRule="auto"/>
                                        <w:jc w:val="center"/>
                                        <w:rPr>
                                          <w:rFonts w:ascii="Times New Roman" w:hAnsi="Times New Roman" w:cs="Times New Roman"/>
                                          <w:sz w:val="24"/>
                                          <w:szCs w:val="24"/>
                                        </w:rPr>
                                      </w:pPr>
                                      <w:r w:rsidRPr="0078601D">
                                        <w:rPr>
                                          <w:rFonts w:ascii="Times New Roman" w:hAnsi="Times New Roman" w:cs="Times New Roman"/>
                                          <w:sz w:val="24"/>
                                          <w:szCs w:val="24"/>
                                        </w:rPr>
                                        <w:t>Contrats basés sur le principe du partage</w:t>
                                      </w:r>
                                    </w:p>
                                  </w:txbxContent>
                                </wps:txbx>
                                <wps:bodyPr rot="0" vert="horz" wrap="square" lIns="54000" tIns="45720" rIns="54000" bIns="45720" anchor="ctr" anchorCtr="0" upright="1">
                                  <a:noAutofit/>
                                </wps:bodyPr>
                              </wps:wsp>
                              <wps:wsp>
                                <wps:cNvPr id="247" name="AutoShape 1282"/>
                                <wps:cNvCnPr>
                                  <a:cxnSpLocks noChangeShapeType="1"/>
                                </wps:cNvCnPr>
                                <wps:spPr bwMode="auto">
                                  <a:xfrm>
                                    <a:off x="3544" y="10651"/>
                                    <a:ext cx="5386" cy="0"/>
                                  </a:xfrm>
                                  <a:prstGeom prst="straightConnector1">
                                    <a:avLst/>
                                  </a:prstGeom>
                                  <a:noFill/>
                                  <a:ln w="12700">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248" name="AutoShape 1283"/>
                                <wps:cNvCnPr>
                                  <a:cxnSpLocks noChangeShapeType="1"/>
                                </wps:cNvCnPr>
                                <wps:spPr bwMode="auto">
                                  <a:xfrm>
                                    <a:off x="3535" y="10658"/>
                                    <a:ext cx="0" cy="283"/>
                                  </a:xfrm>
                                  <a:prstGeom prst="straightConnector1">
                                    <a:avLst/>
                                  </a:prstGeom>
                                  <a:noFill/>
                                  <a:ln w="12700">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249" name="AutoShape 1284"/>
                                <wps:cNvCnPr>
                                  <a:cxnSpLocks noChangeShapeType="1"/>
                                </wps:cNvCnPr>
                                <wps:spPr bwMode="auto">
                                  <a:xfrm>
                                    <a:off x="8952" y="10648"/>
                                    <a:ext cx="0" cy="283"/>
                                  </a:xfrm>
                                  <a:prstGeom prst="straightConnector1">
                                    <a:avLst/>
                                  </a:prstGeom>
                                  <a:noFill/>
                                  <a:ln w="12700">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g:grpSp>
                          </wpg:grpSp>
                          <wpg:grpSp>
                            <wpg:cNvPr id="250" name="Group 1285"/>
                            <wpg:cNvGrpSpPr>
                              <a:grpSpLocks/>
                            </wpg:cNvGrpSpPr>
                            <wpg:grpSpPr bwMode="auto">
                              <a:xfrm>
                                <a:off x="1680" y="10974"/>
                                <a:ext cx="5178" cy="4635"/>
                                <a:chOff x="1680" y="10974"/>
                                <a:chExt cx="5178" cy="4635"/>
                              </a:xfrm>
                            </wpg:grpSpPr>
                            <wps:wsp>
                              <wps:cNvPr id="251" name="AutoShape 1286"/>
                              <wps:cNvCnPr>
                                <a:cxnSpLocks noChangeShapeType="1"/>
                              </wps:cNvCnPr>
                              <wps:spPr bwMode="auto">
                                <a:xfrm>
                                  <a:off x="1680" y="10980"/>
                                  <a:ext cx="283" cy="0"/>
                                </a:xfrm>
                                <a:prstGeom prst="straightConnector1">
                                  <a:avLst/>
                                </a:prstGeom>
                                <a:noFill/>
                                <a:ln w="12700">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wps:wsp>
                              <wps:cNvPr id="252" name="AutoShape 1287"/>
                              <wps:cNvCnPr>
                                <a:cxnSpLocks noChangeShapeType="1"/>
                              </wps:cNvCnPr>
                              <wps:spPr bwMode="auto">
                                <a:xfrm flipV="1">
                                  <a:off x="1710" y="13644"/>
                                  <a:ext cx="283" cy="0"/>
                                </a:xfrm>
                                <a:prstGeom prst="straightConnector1">
                                  <a:avLst/>
                                </a:prstGeom>
                                <a:noFill/>
                                <a:ln w="12700">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wps:wsp>
                              <wps:cNvPr id="253" name="AutoShape 1288"/>
                              <wps:cNvCnPr>
                                <a:cxnSpLocks noChangeShapeType="1"/>
                              </wps:cNvCnPr>
                              <wps:spPr bwMode="auto">
                                <a:xfrm flipV="1">
                                  <a:off x="1710" y="15412"/>
                                  <a:ext cx="283" cy="0"/>
                                </a:xfrm>
                                <a:prstGeom prst="straightConnector1">
                                  <a:avLst/>
                                </a:prstGeom>
                                <a:noFill/>
                                <a:ln w="12700">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wps:wsp>
                              <wps:cNvPr id="254" name="AutoShape 1289"/>
                              <wps:cNvCnPr>
                                <a:cxnSpLocks noChangeShapeType="1"/>
                              </wps:cNvCnPr>
                              <wps:spPr bwMode="auto">
                                <a:xfrm flipV="1">
                                  <a:off x="1710" y="14490"/>
                                  <a:ext cx="283" cy="0"/>
                                </a:xfrm>
                                <a:prstGeom prst="straightConnector1">
                                  <a:avLst/>
                                </a:prstGeom>
                                <a:noFill/>
                                <a:ln w="12700">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wps:wsp>
                              <wps:cNvPr id="255" name="AutoShape 1290"/>
                              <wps:cNvCnPr>
                                <a:cxnSpLocks noChangeShapeType="1"/>
                              </wps:cNvCnPr>
                              <wps:spPr bwMode="auto">
                                <a:xfrm flipH="1">
                                  <a:off x="1695" y="10974"/>
                                  <a:ext cx="1" cy="4422"/>
                                </a:xfrm>
                                <a:prstGeom prst="straightConnector1">
                                  <a:avLst/>
                                </a:prstGeom>
                                <a:noFill/>
                                <a:ln w="12700">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wpg:grpSp>
                              <wpg:cNvPr id="959054016" name="Group 1291"/>
                              <wpg:cNvGrpSpPr>
                                <a:grpSpLocks/>
                              </wpg:cNvGrpSpPr>
                              <wpg:grpSpPr bwMode="auto">
                                <a:xfrm>
                                  <a:off x="1710" y="11673"/>
                                  <a:ext cx="5148" cy="3936"/>
                                  <a:chOff x="1710" y="11673"/>
                                  <a:chExt cx="4999" cy="3936"/>
                                </a:xfrm>
                              </wpg:grpSpPr>
                              <wpg:grpSp>
                                <wpg:cNvPr id="959054018" name="Group 1292"/>
                                <wpg:cNvGrpSpPr>
                                  <a:grpSpLocks/>
                                </wpg:cNvGrpSpPr>
                                <wpg:grpSpPr bwMode="auto">
                                  <a:xfrm>
                                    <a:off x="1710" y="12522"/>
                                    <a:ext cx="4984" cy="567"/>
                                    <a:chOff x="2475" y="12909"/>
                                    <a:chExt cx="4984" cy="567"/>
                                  </a:xfrm>
                                </wpg:grpSpPr>
                                <wps:wsp>
                                  <wps:cNvPr id="959054019" name="AutoShape 1293"/>
                                  <wps:cNvSpPr>
                                    <a:spLocks noChangeArrowheads="1"/>
                                  </wps:cNvSpPr>
                                  <wps:spPr bwMode="auto">
                                    <a:xfrm>
                                      <a:off x="2766" y="12909"/>
                                      <a:ext cx="4693" cy="567"/>
                                    </a:xfrm>
                                    <a:prstGeom prst="roundRect">
                                      <a:avLst>
                                        <a:gd name="adj" fmla="val 16667"/>
                                      </a:avLst>
                                    </a:prstGeom>
                                    <a:solidFill>
                                      <a:schemeClr val="accent2">
                                        <a:lumMod val="20000"/>
                                        <a:lumOff val="80000"/>
                                      </a:schemeClr>
                                    </a:solidFill>
                                    <a:ln w="9525">
                                      <a:solidFill>
                                        <a:schemeClr val="accent2">
                                          <a:lumMod val="40000"/>
                                          <a:lumOff val="60000"/>
                                        </a:schemeClr>
                                      </a:solidFill>
                                      <a:round/>
                                      <a:headEnd/>
                                      <a:tailEnd/>
                                    </a:ln>
                                  </wps:spPr>
                                  <wps:txbx>
                                    <w:txbxContent>
                                      <w:p w14:paraId="2FED8A72" w14:textId="77777777" w:rsidR="009C2D83" w:rsidRPr="002F5D01"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 xml:space="preserve">Shirkat al-abdân </w:t>
                                        </w:r>
                                        <w:r w:rsidRPr="0092144E">
                                          <w:rPr>
                                            <w:rFonts w:ascii="Times New Roman" w:hAnsi="Times New Roman" w:cs="Times New Roman"/>
                                          </w:rPr>
                                          <w:t xml:space="preserve">Association </w:t>
                                        </w:r>
                                        <w:r>
                                          <w:rPr>
                                            <w:rFonts w:ascii="Times New Roman" w:hAnsi="Times New Roman" w:cs="Times New Roman"/>
                                          </w:rPr>
                                          <w:t>par le travail</w:t>
                                        </w:r>
                                      </w:p>
                                    </w:txbxContent>
                                  </wps:txbx>
                                  <wps:bodyPr rot="0" vert="horz" wrap="square" lIns="18000" tIns="10800" rIns="18000" bIns="10800" anchor="ctr" anchorCtr="0" upright="1">
                                    <a:noAutofit/>
                                  </wps:bodyPr>
                                </wps:wsp>
                                <wps:wsp>
                                  <wps:cNvPr id="959054020" name="AutoShape 1294"/>
                                  <wps:cNvCnPr>
                                    <a:cxnSpLocks noChangeShapeType="1"/>
                                  </wps:cNvCnPr>
                                  <wps:spPr bwMode="auto">
                                    <a:xfrm flipV="1">
                                      <a:off x="2475" y="13194"/>
                                      <a:ext cx="283" cy="0"/>
                                    </a:xfrm>
                                    <a:prstGeom prst="straightConnector1">
                                      <a:avLst/>
                                    </a:prstGeom>
                                    <a:noFill/>
                                    <a:ln w="12700">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wpg:grpSp>
                              <wps:wsp>
                                <wps:cNvPr id="959054021" name="AutoShape 1295"/>
                                <wps:cNvSpPr>
                                  <a:spLocks noChangeArrowheads="1"/>
                                </wps:cNvSpPr>
                                <wps:spPr bwMode="auto">
                                  <a:xfrm>
                                    <a:off x="2001" y="13359"/>
                                    <a:ext cx="4693" cy="567"/>
                                  </a:xfrm>
                                  <a:prstGeom prst="roundRect">
                                    <a:avLst>
                                      <a:gd name="adj" fmla="val 16667"/>
                                    </a:avLst>
                                  </a:prstGeom>
                                  <a:solidFill>
                                    <a:schemeClr val="accent2">
                                      <a:lumMod val="20000"/>
                                      <a:lumOff val="80000"/>
                                    </a:schemeClr>
                                  </a:solidFill>
                                  <a:ln w="9525">
                                    <a:solidFill>
                                      <a:schemeClr val="accent2">
                                        <a:lumMod val="40000"/>
                                        <a:lumOff val="60000"/>
                                      </a:schemeClr>
                                    </a:solidFill>
                                    <a:round/>
                                    <a:headEnd/>
                                    <a:tailEnd/>
                                  </a:ln>
                                </wps:spPr>
                                <wps:txbx>
                                  <w:txbxContent>
                                    <w:p w14:paraId="599501A9" w14:textId="77777777" w:rsidR="009C2D83" w:rsidRPr="002F5D01"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 xml:space="preserve">Shirkat al-amwâl </w:t>
                                      </w:r>
                                      <w:r w:rsidRPr="0092144E">
                                        <w:rPr>
                                          <w:rFonts w:ascii="Times New Roman" w:hAnsi="Times New Roman" w:cs="Times New Roman"/>
                                        </w:rPr>
                                        <w:t xml:space="preserve">Association </w:t>
                                      </w:r>
                                      <w:r>
                                        <w:rPr>
                                          <w:rFonts w:ascii="Times New Roman" w:hAnsi="Times New Roman" w:cs="Times New Roman"/>
                                        </w:rPr>
                                        <w:t>par capital</w:t>
                                      </w:r>
                                    </w:p>
                                  </w:txbxContent>
                                </wps:txbx>
                                <wps:bodyPr rot="0" vert="horz" wrap="square" lIns="18000" tIns="10800" rIns="18000" bIns="10800" anchor="ctr" anchorCtr="0" upright="1">
                                  <a:noAutofit/>
                                </wps:bodyPr>
                              </wps:wsp>
                              <wps:wsp>
                                <wps:cNvPr id="959054022" name="AutoShape 1296"/>
                                <wps:cNvSpPr>
                                  <a:spLocks noChangeArrowheads="1"/>
                                </wps:cNvSpPr>
                                <wps:spPr bwMode="auto">
                                  <a:xfrm>
                                    <a:off x="2001" y="15042"/>
                                    <a:ext cx="4693" cy="567"/>
                                  </a:xfrm>
                                  <a:prstGeom prst="roundRect">
                                    <a:avLst>
                                      <a:gd name="adj" fmla="val 16667"/>
                                    </a:avLst>
                                  </a:prstGeom>
                                  <a:solidFill>
                                    <a:schemeClr val="accent2">
                                      <a:lumMod val="20000"/>
                                      <a:lumOff val="80000"/>
                                    </a:schemeClr>
                                  </a:solidFill>
                                  <a:ln w="9525">
                                    <a:solidFill>
                                      <a:schemeClr val="accent2">
                                        <a:lumMod val="40000"/>
                                        <a:lumOff val="60000"/>
                                      </a:schemeClr>
                                    </a:solidFill>
                                    <a:round/>
                                    <a:headEnd/>
                                    <a:tailEnd/>
                                  </a:ln>
                                </wps:spPr>
                                <wps:txbx>
                                  <w:txbxContent>
                                    <w:p w14:paraId="398DCF45" w14:textId="77777777" w:rsidR="009C2D83" w:rsidRPr="00EE719D" w:rsidRDefault="009C2D83" w:rsidP="00EE719D">
                                      <w:pPr>
                                        <w:spacing w:line="240" w:lineRule="auto"/>
                                        <w:ind w:left="2410" w:hanging="2410"/>
                                        <w:rPr>
                                          <w:rFonts w:ascii="Times New Roman" w:hAnsi="Times New Roman" w:cs="Times New Roman"/>
                                          <w:spacing w:val="-8"/>
                                        </w:rPr>
                                      </w:pPr>
                                      <w:r w:rsidRPr="00EE719D">
                                        <w:rPr>
                                          <w:rFonts w:ascii="Times New Roman" w:hAnsi="Times New Roman" w:cs="Times New Roman"/>
                                          <w:b/>
                                          <w:bCs/>
                                          <w:i/>
                                          <w:iCs/>
                                          <w:spacing w:val="-8"/>
                                          <w:sz w:val="24"/>
                                          <w:szCs w:val="24"/>
                                        </w:rPr>
                                        <w:t xml:space="preserve">Shirkat al-moufawada </w:t>
                                      </w:r>
                                      <w:r w:rsidRPr="00EE719D">
                                        <w:rPr>
                                          <w:rFonts w:ascii="Times New Roman" w:hAnsi="Times New Roman" w:cs="Times New Roman"/>
                                          <w:spacing w:val="-8"/>
                                          <w:sz w:val="20"/>
                                          <w:szCs w:val="20"/>
                                        </w:rPr>
                                        <w:t>Association commerciale illimitée</w:t>
                                      </w:r>
                                    </w:p>
                                  </w:txbxContent>
                                </wps:txbx>
                                <wps:bodyPr rot="0" vert="horz" wrap="square" lIns="18000" tIns="10800" rIns="18000" bIns="10800" anchor="ctr" anchorCtr="0" upright="1">
                                  <a:noAutofit/>
                                </wps:bodyPr>
                              </wps:wsp>
                              <wps:wsp>
                                <wps:cNvPr id="959054023" name="AutoShape 1297"/>
                                <wps:cNvSpPr>
                                  <a:spLocks noChangeArrowheads="1"/>
                                </wps:cNvSpPr>
                                <wps:spPr bwMode="auto">
                                  <a:xfrm>
                                    <a:off x="2001" y="14205"/>
                                    <a:ext cx="4693" cy="567"/>
                                  </a:xfrm>
                                  <a:prstGeom prst="roundRect">
                                    <a:avLst>
                                      <a:gd name="adj" fmla="val 16667"/>
                                    </a:avLst>
                                  </a:prstGeom>
                                  <a:solidFill>
                                    <a:schemeClr val="accent2">
                                      <a:lumMod val="20000"/>
                                      <a:lumOff val="80000"/>
                                    </a:schemeClr>
                                  </a:solidFill>
                                  <a:ln w="9525">
                                    <a:solidFill>
                                      <a:schemeClr val="accent2">
                                        <a:lumMod val="40000"/>
                                        <a:lumOff val="60000"/>
                                      </a:schemeClr>
                                    </a:solidFill>
                                    <a:round/>
                                    <a:headEnd/>
                                    <a:tailEnd/>
                                  </a:ln>
                                </wps:spPr>
                                <wps:txbx>
                                  <w:txbxContent>
                                    <w:p w14:paraId="37D52238" w14:textId="77777777" w:rsidR="009C2D83" w:rsidRPr="002F5D01"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 xml:space="preserve">Shirkat al-i’nân </w:t>
                                      </w:r>
                                      <w:r w:rsidRPr="0092144E">
                                        <w:rPr>
                                          <w:rFonts w:ascii="Times New Roman" w:hAnsi="Times New Roman" w:cs="Times New Roman"/>
                                        </w:rPr>
                                        <w:t xml:space="preserve">Association </w:t>
                                      </w:r>
                                      <w:r>
                                        <w:rPr>
                                          <w:rFonts w:ascii="Times New Roman" w:hAnsi="Times New Roman" w:cs="Times New Roman"/>
                                        </w:rPr>
                                        <w:t>à mandat illimité</w:t>
                                      </w:r>
                                    </w:p>
                                  </w:txbxContent>
                                </wps:txbx>
                                <wps:bodyPr rot="0" vert="horz" wrap="square" lIns="18000" tIns="10800" rIns="18000" bIns="10800" anchor="ctr" anchorCtr="0" upright="1">
                                  <a:noAutofit/>
                                </wps:bodyPr>
                              </wps:wsp>
                              <wps:wsp>
                                <wps:cNvPr id="959054024" name="AutoShape 1298"/>
                                <wps:cNvSpPr>
                                  <a:spLocks noChangeArrowheads="1"/>
                                </wps:cNvSpPr>
                                <wps:spPr bwMode="auto">
                                  <a:xfrm>
                                    <a:off x="2016" y="11673"/>
                                    <a:ext cx="4693" cy="567"/>
                                  </a:xfrm>
                                  <a:prstGeom prst="roundRect">
                                    <a:avLst>
                                      <a:gd name="adj" fmla="val 16667"/>
                                    </a:avLst>
                                  </a:prstGeom>
                                  <a:solidFill>
                                    <a:schemeClr val="accent2">
                                      <a:lumMod val="20000"/>
                                      <a:lumOff val="80000"/>
                                    </a:schemeClr>
                                  </a:solidFill>
                                  <a:ln w="3175">
                                    <a:solidFill>
                                      <a:schemeClr val="accent2">
                                        <a:lumMod val="40000"/>
                                        <a:lumOff val="60000"/>
                                      </a:schemeClr>
                                    </a:solidFill>
                                    <a:round/>
                                    <a:headEnd/>
                                    <a:tailEnd/>
                                  </a:ln>
                                </wps:spPr>
                                <wps:txbx>
                                  <w:txbxContent>
                                    <w:p w14:paraId="27DB6FF6" w14:textId="77777777" w:rsidR="009C2D83" w:rsidRPr="002F5D01"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 xml:space="preserve">Shirkat al-woujouh </w:t>
                                      </w:r>
                                      <w:r w:rsidRPr="0092144E">
                                        <w:rPr>
                                          <w:rFonts w:ascii="Times New Roman" w:hAnsi="Times New Roman" w:cs="Times New Roman"/>
                                        </w:rPr>
                                        <w:t xml:space="preserve">Association </w:t>
                                      </w:r>
                                      <w:r>
                                        <w:rPr>
                                          <w:rFonts w:ascii="Times New Roman" w:hAnsi="Times New Roman" w:cs="Times New Roman"/>
                                        </w:rPr>
                                        <w:t>par réputation</w:t>
                                      </w:r>
                                    </w:p>
                                  </w:txbxContent>
                                </wps:txbx>
                                <wps:bodyPr rot="0" vert="horz" wrap="square" lIns="18000" tIns="10800" rIns="18000" bIns="10800" anchor="ctr" anchorCtr="0" upright="1">
                                  <a:noAutofit/>
                                </wps:bodyPr>
                              </wps:wsp>
                            </wpg:grpSp>
                            <wps:wsp>
                              <wps:cNvPr id="959054025" name="AutoShape 1299"/>
                              <wps:cNvCnPr>
                                <a:cxnSpLocks noChangeShapeType="1"/>
                              </wps:cNvCnPr>
                              <wps:spPr bwMode="auto">
                                <a:xfrm flipV="1">
                                  <a:off x="1725" y="11958"/>
                                  <a:ext cx="283" cy="0"/>
                                </a:xfrm>
                                <a:prstGeom prst="straightConnector1">
                                  <a:avLst/>
                                </a:prstGeom>
                                <a:noFill/>
                                <a:ln w="12700">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959054026" name="Group 1300"/>
                          <wpg:cNvGrpSpPr>
                            <a:grpSpLocks/>
                          </wpg:cNvGrpSpPr>
                          <wpg:grpSpPr bwMode="auto">
                            <a:xfrm>
                              <a:off x="7915" y="10960"/>
                              <a:ext cx="2847" cy="2146"/>
                              <a:chOff x="7915" y="10960"/>
                              <a:chExt cx="2847" cy="2146"/>
                            </a:xfrm>
                          </wpg:grpSpPr>
                          <wps:wsp>
                            <wps:cNvPr id="959054027" name="AutoShape 1301"/>
                            <wps:cNvCnPr>
                              <a:cxnSpLocks noChangeShapeType="1"/>
                            </wps:cNvCnPr>
                            <wps:spPr bwMode="auto">
                              <a:xfrm flipH="1">
                                <a:off x="10761" y="10960"/>
                                <a:ext cx="1" cy="1871"/>
                              </a:xfrm>
                              <a:prstGeom prst="straightConnector1">
                                <a:avLst/>
                              </a:prstGeom>
                              <a:noFill/>
                              <a:ln w="12700">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959054028" name="AutoShape 1302"/>
                            <wps:cNvCnPr>
                              <a:cxnSpLocks noChangeShapeType="1"/>
                            </wps:cNvCnPr>
                            <wps:spPr bwMode="auto">
                              <a:xfrm>
                                <a:off x="10466" y="11958"/>
                                <a:ext cx="283" cy="0"/>
                              </a:xfrm>
                              <a:prstGeom prst="straightConnector1">
                                <a:avLst/>
                              </a:prstGeom>
                              <a:noFill/>
                              <a:ln w="12700">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959054029" name="AutoShape 1303"/>
                            <wps:cNvCnPr>
                              <a:cxnSpLocks noChangeShapeType="1"/>
                            </wps:cNvCnPr>
                            <wps:spPr bwMode="auto">
                              <a:xfrm>
                                <a:off x="10466" y="12833"/>
                                <a:ext cx="283" cy="0"/>
                              </a:xfrm>
                              <a:prstGeom prst="straightConnector1">
                                <a:avLst/>
                              </a:prstGeom>
                              <a:noFill/>
                              <a:ln w="12700">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959054030" name="AutoShape 1304"/>
                            <wps:cNvSpPr>
                              <a:spLocks noChangeArrowheads="1"/>
                            </wps:cNvSpPr>
                            <wps:spPr bwMode="auto">
                              <a:xfrm>
                                <a:off x="7915" y="11674"/>
                                <a:ext cx="2518" cy="567"/>
                              </a:xfrm>
                              <a:prstGeom prst="roundRect">
                                <a:avLst>
                                  <a:gd name="adj" fmla="val 16667"/>
                                </a:avLst>
                              </a:prstGeom>
                              <a:solidFill>
                                <a:schemeClr val="accent3">
                                  <a:lumMod val="20000"/>
                                  <a:lumOff val="80000"/>
                                </a:schemeClr>
                              </a:solidFill>
                              <a:ln w="9525">
                                <a:solidFill>
                                  <a:schemeClr val="accent3">
                                    <a:lumMod val="75000"/>
                                    <a:lumOff val="0"/>
                                  </a:schemeClr>
                                </a:solidFill>
                                <a:round/>
                                <a:headEnd/>
                                <a:tailEnd/>
                              </a:ln>
                            </wps:spPr>
                            <wps:txbx>
                              <w:txbxContent>
                                <w:p w14:paraId="7A9F8404" w14:textId="77777777" w:rsidR="009C2D83" w:rsidRPr="00C76494"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Shirkat al-dayn</w:t>
                                  </w:r>
                                </w:p>
                              </w:txbxContent>
                            </wps:txbx>
                            <wps:bodyPr rot="0" vert="horz" wrap="square" lIns="54000" tIns="45720" rIns="54000" bIns="45720" anchor="ctr" anchorCtr="0" upright="1">
                              <a:noAutofit/>
                            </wps:bodyPr>
                          </wps:wsp>
                          <wps:wsp>
                            <wps:cNvPr id="959054031" name="AutoShape 1305"/>
                            <wps:cNvSpPr>
                              <a:spLocks noChangeArrowheads="1"/>
                            </wps:cNvSpPr>
                            <wps:spPr bwMode="auto">
                              <a:xfrm>
                                <a:off x="7918" y="12539"/>
                                <a:ext cx="2518" cy="567"/>
                              </a:xfrm>
                              <a:prstGeom prst="roundRect">
                                <a:avLst>
                                  <a:gd name="adj" fmla="val 16667"/>
                                </a:avLst>
                              </a:prstGeom>
                              <a:solidFill>
                                <a:schemeClr val="accent3">
                                  <a:lumMod val="20000"/>
                                  <a:lumOff val="80000"/>
                                </a:schemeClr>
                              </a:solidFill>
                              <a:ln w="9525">
                                <a:solidFill>
                                  <a:schemeClr val="accent3">
                                    <a:lumMod val="75000"/>
                                    <a:lumOff val="0"/>
                                  </a:schemeClr>
                                </a:solidFill>
                                <a:round/>
                                <a:headEnd/>
                                <a:tailEnd/>
                              </a:ln>
                            </wps:spPr>
                            <wps:txbx>
                              <w:txbxContent>
                                <w:p w14:paraId="7CDB080D" w14:textId="77777777" w:rsidR="009C2D83" w:rsidRPr="001C4848"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Shirkat al-a’yn</w:t>
                                  </w:r>
                                </w:p>
                              </w:txbxContent>
                            </wps:txbx>
                            <wps:bodyPr rot="0" vert="horz" wrap="square" lIns="54000" tIns="45720" rIns="5400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904A27A" id="Group 1272" o:spid="_x0000_s1179" style="position:absolute;left:0;text-align:left;margin-left:0;margin-top:45.5pt;width:453.55pt;height:342.5pt;z-index:251632640;mso-position-horizontal:center;mso-position-horizontal-relative:margin" coordorigin="1680,8759" coordsize="9097,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">
                <v:shape id="AutoShape 1273" o:spid="_x0000_s1180" type="#_x0000_t32" style="position:absolute;left:10494;top:1095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" strokecolor="#7b7b7b [2406]" strokeweight="1pt"/>
                <v:group id="Group 1274" o:spid="_x0000_s1181" style="position:absolute;left:1680;top:8759;width:9082;height:6850" coordorigin="1680,8759" coordsize="9082,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1275" o:spid="_x0000_s1182" style="position:absolute;left:1680;top:8759;width:8814;height:6850" coordorigin="1680,8759" coordsize="8814,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1276" o:spid="_x0000_s1183" style="position:absolute;left:1965;top:8759;width:8529;height:2636" coordorigin="1965,9190" coordsize="8529,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oundrect id="AutoShape 1277" o:spid="_x0000_s1184" style="position:absolute;left:1965;top:10976;width:3118;height: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" fillcolor="#f7caac [1301]" strokecolor="#f7caac [1301]" strokeweight=".25pt">
                        <v:textbox inset="1.5mm,,1.5mm">
                          <w:txbxContent>
                            <w:p w14:paraId="27D35398" w14:textId="77777777" w:rsidR="009C2D83" w:rsidRPr="0092144E" w:rsidRDefault="009C2D83" w:rsidP="00D6118C">
                              <w:pPr>
                                <w:jc w:val="center"/>
                                <w:rPr>
                                  <w:rFonts w:ascii="Times New Roman" w:hAnsi="Times New Roman" w:cs="Times New Roman"/>
                                  <w:b/>
                                  <w:bCs/>
                                  <w:i/>
                                  <w:iCs/>
                                  <w:sz w:val="24"/>
                                  <w:szCs w:val="24"/>
                                </w:rPr>
                              </w:pPr>
                              <w:r>
                                <w:rPr>
                                  <w:rFonts w:ascii="Times New Roman" w:hAnsi="Times New Roman" w:cs="Times New Roman"/>
                                  <w:b/>
                                  <w:bCs/>
                                  <w:i/>
                                  <w:iCs/>
                                  <w:sz w:val="24"/>
                                  <w:szCs w:val="24"/>
                                </w:rPr>
                                <w:t>Shirkat</w:t>
                              </w:r>
                              <w:r w:rsidRPr="0092144E">
                                <w:rPr>
                                  <w:rFonts w:ascii="Times New Roman" w:hAnsi="Times New Roman" w:cs="Times New Roman"/>
                                  <w:b/>
                                  <w:bCs/>
                                  <w:i/>
                                  <w:iCs/>
                                  <w:sz w:val="24"/>
                                  <w:szCs w:val="24"/>
                                </w:rPr>
                                <w:t xml:space="preserve"> al-akd</w:t>
                              </w:r>
                            </w:p>
                            <w:p w14:paraId="713ABA1E" w14:textId="77777777" w:rsidR="009C2D83" w:rsidRPr="001C4848" w:rsidRDefault="009C2D83" w:rsidP="00D6118C">
                              <w:pPr>
                                <w:jc w:val="center"/>
                                <w:rPr>
                                  <w:rFonts w:ascii="Times New Roman" w:hAnsi="Times New Roman" w:cs="Times New Roman"/>
                                </w:rPr>
                              </w:pPr>
                              <w:r w:rsidRPr="0092144E">
                                <w:rPr>
                                  <w:rFonts w:ascii="Times New Roman" w:hAnsi="Times New Roman" w:cs="Times New Roman"/>
                                </w:rPr>
                                <w:t>Association contractuelle</w:t>
                              </w:r>
                            </w:p>
                          </w:txbxContent>
                        </v:textbox>
                      </v:roundrect>
                      <v:roundrect id="AutoShape 1278" o:spid="_x0000_s1185" style="position:absolute;left:7376;top:10959;width:3118;height: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" fillcolor="#dbdbdb [1302]" strokecolor="#7b7b7b [2406]">
                        <v:textbox inset="1.5mm,,1.5mm">
                          <w:txbxContent>
                            <w:p w14:paraId="11B6C3FE" w14:textId="77777777" w:rsidR="009C2D83" w:rsidRPr="0092144E" w:rsidRDefault="009C2D83" w:rsidP="00D6118C">
                              <w:pPr>
                                <w:jc w:val="center"/>
                                <w:rPr>
                                  <w:rFonts w:ascii="Times New Roman" w:hAnsi="Times New Roman" w:cs="Times New Roman"/>
                                  <w:b/>
                                  <w:bCs/>
                                  <w:i/>
                                  <w:iCs/>
                                  <w:sz w:val="24"/>
                                  <w:szCs w:val="24"/>
                                </w:rPr>
                              </w:pPr>
                              <w:r>
                                <w:rPr>
                                  <w:rFonts w:ascii="Times New Roman" w:hAnsi="Times New Roman" w:cs="Times New Roman"/>
                                  <w:b/>
                                  <w:bCs/>
                                  <w:i/>
                                  <w:iCs/>
                                  <w:sz w:val="24"/>
                                  <w:szCs w:val="24"/>
                                </w:rPr>
                                <w:t>Shirkat al-</w:t>
                              </w:r>
                              <w:r w:rsidRPr="0092144E">
                                <w:rPr>
                                  <w:rFonts w:ascii="Times New Roman" w:hAnsi="Times New Roman" w:cs="Times New Roman"/>
                                  <w:b/>
                                  <w:bCs/>
                                  <w:i/>
                                  <w:iCs/>
                                  <w:sz w:val="24"/>
                                  <w:szCs w:val="24"/>
                                </w:rPr>
                                <w:t>m</w:t>
                              </w:r>
                              <w:r>
                                <w:rPr>
                                  <w:rFonts w:ascii="Times New Roman" w:hAnsi="Times New Roman" w:cs="Times New Roman"/>
                                  <w:b/>
                                  <w:bCs/>
                                  <w:i/>
                                  <w:iCs/>
                                  <w:sz w:val="24"/>
                                  <w:szCs w:val="24"/>
                                </w:rPr>
                                <w:t>o</w:t>
                              </w:r>
                              <w:r w:rsidRPr="0092144E">
                                <w:rPr>
                                  <w:rFonts w:ascii="Times New Roman" w:hAnsi="Times New Roman" w:cs="Times New Roman"/>
                                  <w:b/>
                                  <w:bCs/>
                                  <w:i/>
                                  <w:iCs/>
                                  <w:sz w:val="24"/>
                                  <w:szCs w:val="24"/>
                                </w:rPr>
                                <w:t>ulk</w:t>
                              </w:r>
                            </w:p>
                            <w:p w14:paraId="2B899641" w14:textId="77777777" w:rsidR="009C2D83" w:rsidRPr="00C76494" w:rsidRDefault="009C2D83" w:rsidP="00D6118C">
                              <w:pPr>
                                <w:jc w:val="center"/>
                                <w:rPr>
                                  <w:rFonts w:ascii="Times New Roman" w:hAnsi="Times New Roman" w:cs="Times New Roman"/>
                                </w:rPr>
                              </w:pPr>
                              <w:r w:rsidRPr="0092144E">
                                <w:rPr>
                                  <w:rFonts w:ascii="Times New Roman" w:hAnsi="Times New Roman" w:cs="Times New Roman"/>
                                </w:rPr>
                                <w:t>Association copropriétaire</w:t>
                              </w:r>
                            </w:p>
                          </w:txbxContent>
                        </v:textbox>
                      </v:roundrect>
                      <v:group id="Group 1279" o:spid="_x0000_s1186" style="position:absolute;left:3535;top:9190;width:5417;height:1751" coordorigin="3535,9190" coordsize="5417,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AutoShape 1280" o:spid="_x0000_s1187" type="#_x0000_t32" style="position:absolute;left:6237;top:10310;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" strokecolor="#8496b0 [1951]" strokeweight="1pt"/>
                        <v:roundrect id="AutoShape 1281" o:spid="_x0000_s1188" style="position:absolute;left:3969;top:9190;width:4535;height:1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" fillcolor="#deeaf6 [660]" strokecolor="#8496b0 [1951]" strokeweight=".25pt">
                          <v:textbox inset="1.5mm,,1.5mm">
                            <w:txbxContent>
                              <w:p w14:paraId="78DDFC2E" w14:textId="77777777" w:rsidR="009C2D83" w:rsidRPr="0078601D" w:rsidRDefault="009C2D83" w:rsidP="00D6118C">
                                <w:pPr>
                                  <w:spacing w:line="300" w:lineRule="auto"/>
                                  <w:jc w:val="center"/>
                                  <w:rPr>
                                    <w:rFonts w:ascii="Times New Roman" w:hAnsi="Times New Roman" w:cs="Times New Roman"/>
                                    <w:b/>
                                    <w:bCs/>
                                    <w:sz w:val="28"/>
                                    <w:szCs w:val="28"/>
                                  </w:rPr>
                                </w:pPr>
                                <w:r w:rsidRPr="0078601D">
                                  <w:rPr>
                                    <w:rFonts w:ascii="Times New Roman" w:hAnsi="Times New Roman" w:cs="Times New Roman"/>
                                    <w:b/>
                                    <w:bCs/>
                                    <w:i/>
                                    <w:iCs/>
                                    <w:sz w:val="28"/>
                                    <w:szCs w:val="28"/>
                                  </w:rPr>
                                  <w:t>Ou’qoud</w:t>
                                </w:r>
                                <w:r w:rsidRPr="0078601D">
                                  <w:rPr>
                                    <w:rFonts w:ascii="Times New Roman" w:hAnsi="Times New Roman" w:cs="Times New Roman"/>
                                    <w:b/>
                                    <w:bCs/>
                                    <w:sz w:val="28"/>
                                    <w:szCs w:val="28"/>
                                  </w:rPr>
                                  <w:t xml:space="preserve"> </w:t>
                                </w:r>
                                <w:r w:rsidRPr="0078601D">
                                  <w:rPr>
                                    <w:rFonts w:ascii="Times New Roman" w:hAnsi="Times New Roman" w:cs="Times New Roman"/>
                                    <w:b/>
                                    <w:bCs/>
                                    <w:i/>
                                    <w:iCs/>
                                    <w:sz w:val="28"/>
                                    <w:szCs w:val="28"/>
                                  </w:rPr>
                                  <w:t>Shirka</w:t>
                                </w:r>
                              </w:p>
                              <w:p w14:paraId="7720752E" w14:textId="77777777" w:rsidR="009C2D83" w:rsidRPr="0078601D" w:rsidRDefault="009C2D83" w:rsidP="00D6118C">
                                <w:pPr>
                                  <w:spacing w:line="300" w:lineRule="auto"/>
                                  <w:jc w:val="center"/>
                                  <w:rPr>
                                    <w:rFonts w:ascii="Times New Roman" w:hAnsi="Times New Roman" w:cs="Times New Roman"/>
                                    <w:sz w:val="24"/>
                                    <w:szCs w:val="24"/>
                                  </w:rPr>
                                </w:pPr>
                                <w:r w:rsidRPr="0078601D">
                                  <w:rPr>
                                    <w:rFonts w:ascii="Times New Roman" w:hAnsi="Times New Roman" w:cs="Times New Roman"/>
                                    <w:sz w:val="24"/>
                                    <w:szCs w:val="24"/>
                                  </w:rPr>
                                  <w:t>Contrats basés sur le principe du partage</w:t>
                                </w:r>
                              </w:p>
                            </w:txbxContent>
                          </v:textbox>
                        </v:roundrect>
                        <v:shape id="AutoShape 1282" o:spid="_x0000_s1189" type="#_x0000_t32" style="position:absolute;left:3544;top:10651;width:5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" strokecolor="#8496b0 [1951]" strokeweight="1pt"/>
                        <v:shape id="AutoShape 1283" o:spid="_x0000_s1190" type="#_x0000_t32" style="position:absolute;left:3535;top:10658;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" strokecolor="#8496b0 [1951]" strokeweight="1pt"/>
                        <v:shape id="AutoShape 1284" o:spid="_x0000_s1191" type="#_x0000_t32" style="position:absolute;left:8952;top:10648;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" strokecolor="#8496b0 [1951]" strokeweight="1pt"/>
                      </v:group>
                    </v:group>
                    <v:group id="Group 1285" o:spid="_x0000_s1192" style="position:absolute;left:1680;top:10974;width:5178;height:4635" coordorigin="1680,10974" coordsize="517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AutoShape 1286" o:spid="_x0000_s1193" type="#_x0000_t32" style="position:absolute;left:1680;top:10980;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" strokecolor="#c45911 [2405]" strokeweight="1pt"/>
                      <v:shape id="AutoShape 1287" o:spid="_x0000_s1194" type="#_x0000_t32" style="position:absolute;left:1710;top:13644;width:28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" strokecolor="#c45911 [2405]" strokeweight="1pt"/>
                      <v:shape id="AutoShape 1288" o:spid="_x0000_s1195" type="#_x0000_t32" style="position:absolute;left:1710;top:15412;width:28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" strokecolor="#c45911 [2405]" strokeweight="1pt"/>
                      <v:shape id="AutoShape 1289" o:spid="_x0000_s1196" type="#_x0000_t32" style="position:absolute;left:1710;top:14490;width:28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" strokecolor="#c45911 [2405]" strokeweight="1pt"/>
                      <v:shape id="AutoShape 1290" o:spid="_x0000_s1197" type="#_x0000_t32" style="position:absolute;left:1695;top:10974;width:1;height:4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" strokecolor="#c45911 [2405]" strokeweight="1pt"/>
                      <v:group id="Group 1291" o:spid="_x0000_s1198" style="position:absolute;left:1710;top:11673;width:5148;height:3936" coordorigin="1710,11673" coordsize="4999,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">
                        <v:group id="Group 1292" o:spid="_x0000_s1199" style="position:absolute;left:1710;top:12522;width:4984;height:567" coordorigin="2475,12909" coordsize="498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">
                          <v:roundrect id="AutoShape 1293" o:spid="_x0000_s1200" style="position:absolute;left:2766;top:12909;width:4693;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" fillcolor="#fbe4d5 [661]" strokecolor="#f7caac [1301]">
                            <v:textbox inset=".5mm,.3mm,.5mm,.3mm">
                              <w:txbxContent>
                                <w:p w14:paraId="2FED8A72" w14:textId="77777777" w:rsidR="009C2D83" w:rsidRPr="002F5D01"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 xml:space="preserve">Shirkat al-abdân </w:t>
                                  </w:r>
                                  <w:r w:rsidRPr="0092144E">
                                    <w:rPr>
                                      <w:rFonts w:ascii="Times New Roman" w:hAnsi="Times New Roman" w:cs="Times New Roman"/>
                                    </w:rPr>
                                    <w:t xml:space="preserve">Association </w:t>
                                  </w:r>
                                  <w:r>
                                    <w:rPr>
                                      <w:rFonts w:ascii="Times New Roman" w:hAnsi="Times New Roman" w:cs="Times New Roman"/>
                                    </w:rPr>
                                    <w:t>par le travail</w:t>
                                  </w:r>
                                </w:p>
                              </w:txbxContent>
                            </v:textbox>
                          </v:roundrect>
                          <v:shape id="AutoShape 1294" o:spid="_x0000_s1201" type="#_x0000_t32" style="position:absolute;left:2475;top:13194;width:28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" strokecolor="#c45911 [2405]" strokeweight="1pt"/>
                        </v:group>
                        <v:roundrect id="AutoShape 1295" o:spid="_x0000_s1202" style="position:absolute;left:2001;top:13359;width:4693;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" fillcolor="#fbe4d5 [661]" strokecolor="#f7caac [1301]">
                          <v:textbox inset=".5mm,.3mm,.5mm,.3mm">
                            <w:txbxContent>
                              <w:p w14:paraId="599501A9" w14:textId="77777777" w:rsidR="009C2D83" w:rsidRPr="002F5D01"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 xml:space="preserve">Shirkat al-amwâl </w:t>
                                </w:r>
                                <w:r w:rsidRPr="0092144E">
                                  <w:rPr>
                                    <w:rFonts w:ascii="Times New Roman" w:hAnsi="Times New Roman" w:cs="Times New Roman"/>
                                  </w:rPr>
                                  <w:t xml:space="preserve">Association </w:t>
                                </w:r>
                                <w:r>
                                  <w:rPr>
                                    <w:rFonts w:ascii="Times New Roman" w:hAnsi="Times New Roman" w:cs="Times New Roman"/>
                                  </w:rPr>
                                  <w:t>par capital</w:t>
                                </w:r>
                              </w:p>
                            </w:txbxContent>
                          </v:textbox>
                        </v:roundrect>
                        <v:roundrect id="AutoShape 1296" o:spid="_x0000_s1203" style="position:absolute;left:2001;top:15042;width:4693;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" fillcolor="#fbe4d5 [661]" strokecolor="#f7caac [1301]">
                          <v:textbox inset=".5mm,.3mm,.5mm,.3mm">
                            <w:txbxContent>
                              <w:p w14:paraId="398DCF45" w14:textId="77777777" w:rsidR="009C2D83" w:rsidRPr="00EE719D" w:rsidRDefault="009C2D83" w:rsidP="00EE719D">
                                <w:pPr>
                                  <w:spacing w:line="240" w:lineRule="auto"/>
                                  <w:ind w:left="2410" w:hanging="2410"/>
                                  <w:rPr>
                                    <w:rFonts w:ascii="Times New Roman" w:hAnsi="Times New Roman" w:cs="Times New Roman"/>
                                    <w:spacing w:val="-8"/>
                                  </w:rPr>
                                </w:pPr>
                                <w:r w:rsidRPr="00EE719D">
                                  <w:rPr>
                                    <w:rFonts w:ascii="Times New Roman" w:hAnsi="Times New Roman" w:cs="Times New Roman"/>
                                    <w:b/>
                                    <w:bCs/>
                                    <w:i/>
                                    <w:iCs/>
                                    <w:spacing w:val="-8"/>
                                    <w:sz w:val="24"/>
                                    <w:szCs w:val="24"/>
                                  </w:rPr>
                                  <w:t xml:space="preserve">Shirkat al-moufawada </w:t>
                                </w:r>
                                <w:r w:rsidRPr="00EE719D">
                                  <w:rPr>
                                    <w:rFonts w:ascii="Times New Roman" w:hAnsi="Times New Roman" w:cs="Times New Roman"/>
                                    <w:spacing w:val="-8"/>
                                    <w:sz w:val="20"/>
                                    <w:szCs w:val="20"/>
                                  </w:rPr>
                                  <w:t>Association commerciale illimitée</w:t>
                                </w:r>
                              </w:p>
                            </w:txbxContent>
                          </v:textbox>
                        </v:roundrect>
                        <v:roundrect id="AutoShape 1297" o:spid="_x0000_s1204" style="position:absolute;left:2001;top:14205;width:4693;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" fillcolor="#fbe4d5 [661]" strokecolor="#f7caac [1301]">
                          <v:textbox inset=".5mm,.3mm,.5mm,.3mm">
                            <w:txbxContent>
                              <w:p w14:paraId="37D52238" w14:textId="77777777" w:rsidR="009C2D83" w:rsidRPr="002F5D01"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 xml:space="preserve">Shirkat al-i’nân </w:t>
                                </w:r>
                                <w:r w:rsidRPr="0092144E">
                                  <w:rPr>
                                    <w:rFonts w:ascii="Times New Roman" w:hAnsi="Times New Roman" w:cs="Times New Roman"/>
                                  </w:rPr>
                                  <w:t xml:space="preserve">Association </w:t>
                                </w:r>
                                <w:r>
                                  <w:rPr>
                                    <w:rFonts w:ascii="Times New Roman" w:hAnsi="Times New Roman" w:cs="Times New Roman"/>
                                  </w:rPr>
                                  <w:t>à mandat illimité</w:t>
                                </w:r>
                              </w:p>
                            </w:txbxContent>
                          </v:textbox>
                        </v:roundrect>
                        <v:roundrect id="AutoShape 1298" o:spid="_x0000_s1205" style="position:absolute;left:2016;top:11673;width:4693;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" fillcolor="#fbe4d5 [661]" strokecolor="#f7caac [1301]" strokeweight=".25pt">
                          <v:textbox inset=".5mm,.3mm,.5mm,.3mm">
                            <w:txbxContent>
                              <w:p w14:paraId="27DB6FF6" w14:textId="77777777" w:rsidR="009C2D83" w:rsidRPr="002F5D01"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 xml:space="preserve">Shirkat al-woujouh </w:t>
                                </w:r>
                                <w:r w:rsidRPr="0092144E">
                                  <w:rPr>
                                    <w:rFonts w:ascii="Times New Roman" w:hAnsi="Times New Roman" w:cs="Times New Roman"/>
                                  </w:rPr>
                                  <w:t xml:space="preserve">Association </w:t>
                                </w:r>
                                <w:r>
                                  <w:rPr>
                                    <w:rFonts w:ascii="Times New Roman" w:hAnsi="Times New Roman" w:cs="Times New Roman"/>
                                  </w:rPr>
                                  <w:t>par réputation</w:t>
                                </w:r>
                              </w:p>
                            </w:txbxContent>
                          </v:textbox>
                        </v:roundrect>
                      </v:group>
                      <v:shape id="AutoShape 1299" o:spid="_x0000_s1206" type="#_x0000_t32" style="position:absolute;left:1725;top:11958;width:28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" strokecolor="#c45911 [2405]" strokeweight="1pt"/>
                    </v:group>
                  </v:group>
                  <v:group id="Group 1300" o:spid="_x0000_s1207" style="position:absolute;left:7915;top:10960;width:2847;height:2146" coordorigin="7915,10960" coordsize="284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">
                    <v:shape id="AutoShape 1301" o:spid="_x0000_s1208" type="#_x0000_t32" style="position:absolute;left:10761;top:10960;width:1;height:18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" strokecolor="#7b7b7b [2406]" strokeweight="1pt"/>
                    <v:shape id="AutoShape 1302" o:spid="_x0000_s1209" type="#_x0000_t32" style="position:absolute;left:10466;top:11958;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" strokecolor="#7b7b7b [2406]" strokeweight="1pt"/>
                    <v:shape id="AutoShape 1303" o:spid="_x0000_s1210" type="#_x0000_t32" style="position:absolute;left:10466;top:12833;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" strokecolor="#7b7b7b [2406]" strokeweight="1pt"/>
                    <v:roundrect id="AutoShape 1304" o:spid="_x0000_s1211" style="position:absolute;left:7915;top:11674;width:2518;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" fillcolor="#ededed [662]" strokecolor="#7b7b7b [2406]">
                      <v:textbox inset="1.5mm,,1.5mm">
                        <w:txbxContent>
                          <w:p w14:paraId="7A9F8404" w14:textId="77777777" w:rsidR="009C2D83" w:rsidRPr="00C76494"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Shirkat al-dayn</w:t>
                            </w:r>
                          </w:p>
                        </w:txbxContent>
                      </v:textbox>
                    </v:roundrect>
                    <v:roundrect id="AutoShape 1305" o:spid="_x0000_s1212" style="position:absolute;left:7918;top:12539;width:2518;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" fillcolor="#ededed [662]" strokecolor="#7b7b7b [2406]">
                      <v:textbox inset="1.5mm,,1.5mm">
                        <w:txbxContent>
                          <w:p w14:paraId="7CDB080D" w14:textId="77777777" w:rsidR="009C2D83" w:rsidRPr="001C4848" w:rsidRDefault="009C2D83" w:rsidP="00D6118C">
                            <w:pPr>
                              <w:spacing w:line="240" w:lineRule="auto"/>
                              <w:rPr>
                                <w:rFonts w:ascii="Times New Roman" w:hAnsi="Times New Roman" w:cs="Times New Roman"/>
                              </w:rPr>
                            </w:pPr>
                            <w:r>
                              <w:rPr>
                                <w:rFonts w:ascii="Times New Roman" w:hAnsi="Times New Roman" w:cs="Times New Roman"/>
                                <w:b/>
                                <w:bCs/>
                                <w:i/>
                                <w:iCs/>
                                <w:sz w:val="24"/>
                                <w:szCs w:val="24"/>
                              </w:rPr>
                              <w:t>Shirkat al-a’yn</w:t>
                            </w:r>
                          </w:p>
                        </w:txbxContent>
                      </v:textbox>
                    </v:roundrect>
                  </v:group>
                </v:group>
                <w10:wrap anchorx="margin"/>
              </v:group>
            </w:pict>
          </mc:Fallback>
        </mc:AlternateContent>
      </w:r>
      <w:bookmarkStart w:id="1199" w:name="_Toc115527436"/>
      <w:r w:rsidR="00576ABB" w:rsidRPr="002B005F">
        <w:rPr>
          <w:rFonts w:ascii="Times New Roman" w:hAnsi="Times New Roman" w:cs="Times New Roman"/>
          <w:color w:val="auto"/>
          <w:sz w:val="24"/>
          <w:szCs w:val="24"/>
        </w:rPr>
        <w:t xml:space="preserve">Figure </w:t>
      </w:r>
      <w:r w:rsidR="00B544E5">
        <w:rPr>
          <w:rFonts w:ascii="Times New Roman" w:hAnsi="Times New Roman" w:cs="Times New Roman"/>
          <w:color w:val="auto"/>
          <w:sz w:val="24"/>
          <w:szCs w:val="24"/>
        </w:rPr>
        <w:fldChar w:fldCharType="begin"/>
      </w:r>
      <w:r w:rsidR="00BF1EB6">
        <w:rPr>
          <w:rFonts w:ascii="Times New Roman" w:hAnsi="Times New Roman" w:cs="Times New Roman"/>
          <w:color w:val="auto"/>
          <w:sz w:val="24"/>
          <w:szCs w:val="24"/>
        </w:rPr>
        <w:instrText xml:space="preserve"> SEQ Figure \* ARABIC </w:instrText>
      </w:r>
      <w:r w:rsidR="00B544E5">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25</w:t>
      </w:r>
      <w:r w:rsidR="00B544E5">
        <w:rPr>
          <w:rFonts w:ascii="Times New Roman" w:hAnsi="Times New Roman" w:cs="Times New Roman"/>
          <w:color w:val="auto"/>
          <w:sz w:val="24"/>
          <w:szCs w:val="24"/>
        </w:rPr>
        <w:fldChar w:fldCharType="end"/>
      </w:r>
      <w:r w:rsidR="00576ABB" w:rsidRPr="008865CB">
        <w:rPr>
          <w:rFonts w:ascii="Times New Roman" w:hAnsi="Times New Roman" w:cs="Times New Roman"/>
          <w:color w:val="auto"/>
          <w:sz w:val="24"/>
          <w:szCs w:val="24"/>
        </w:rPr>
        <w:t>:</w:t>
      </w:r>
      <w:r w:rsidR="00576ABB" w:rsidRPr="002B005F">
        <w:rPr>
          <w:rFonts w:ascii="Times New Roman" w:hAnsi="Times New Roman" w:cs="Times New Roman"/>
          <w:color w:val="auto"/>
          <w:sz w:val="24"/>
          <w:szCs w:val="24"/>
        </w:rPr>
        <w:t xml:space="preserve"> Contrats b</w:t>
      </w:r>
      <w:r w:rsidR="00EE719D" w:rsidRPr="002B005F">
        <w:rPr>
          <w:rFonts w:ascii="Times New Roman" w:hAnsi="Times New Roman" w:cs="Times New Roman"/>
          <w:color w:val="auto"/>
          <w:sz w:val="24"/>
          <w:szCs w:val="24"/>
        </w:rPr>
        <w:t>asés sur la logique de partage "</w:t>
      </w:r>
      <w:r w:rsidR="00EE719D" w:rsidRPr="002B005F">
        <w:rPr>
          <w:rFonts w:ascii="Times New Roman" w:hAnsi="Times New Roman" w:cs="Times New Roman"/>
          <w:i/>
          <w:iCs/>
          <w:color w:val="auto"/>
          <w:sz w:val="24"/>
          <w:szCs w:val="24"/>
        </w:rPr>
        <w:t>Ou’q</w:t>
      </w:r>
      <w:r w:rsidR="00576ABB" w:rsidRPr="002B005F">
        <w:rPr>
          <w:rFonts w:ascii="Times New Roman" w:hAnsi="Times New Roman" w:cs="Times New Roman"/>
          <w:i/>
          <w:iCs/>
          <w:color w:val="auto"/>
          <w:sz w:val="24"/>
          <w:szCs w:val="24"/>
        </w:rPr>
        <w:t>oud Shirka</w:t>
      </w:r>
      <w:r w:rsidR="00EE719D" w:rsidRPr="002B005F">
        <w:rPr>
          <w:rFonts w:ascii="Times New Roman" w:hAnsi="Times New Roman" w:cs="Times New Roman"/>
          <w:color w:val="auto"/>
          <w:sz w:val="24"/>
          <w:szCs w:val="24"/>
        </w:rPr>
        <w:t>"</w:t>
      </w:r>
      <w:bookmarkEnd w:id="1199"/>
    </w:p>
    <w:p w14:paraId="47A92CD9" w14:textId="77777777" w:rsidR="00D6118C" w:rsidRPr="002B005F" w:rsidRDefault="00D6118C" w:rsidP="00D6118C">
      <w:pPr>
        <w:spacing w:before="120" w:line="300" w:lineRule="auto"/>
        <w:jc w:val="center"/>
        <w:rPr>
          <w:rFonts w:ascii="Times New Roman" w:hAnsi="Times New Roman" w:cs="Times New Roman"/>
          <w:sz w:val="24"/>
          <w:szCs w:val="24"/>
        </w:rPr>
      </w:pPr>
    </w:p>
    <w:p w14:paraId="402A5F94" w14:textId="77777777" w:rsidR="00D6118C" w:rsidRPr="002B005F" w:rsidRDefault="00D6118C" w:rsidP="00D6118C">
      <w:pPr>
        <w:spacing w:before="120" w:line="300" w:lineRule="auto"/>
        <w:jc w:val="center"/>
        <w:rPr>
          <w:rFonts w:ascii="Times New Roman" w:hAnsi="Times New Roman" w:cs="Times New Roman"/>
          <w:sz w:val="20"/>
          <w:szCs w:val="20"/>
        </w:rPr>
      </w:pPr>
    </w:p>
    <w:p w14:paraId="34A191B9" w14:textId="77777777" w:rsidR="00D6118C" w:rsidRPr="002B005F" w:rsidRDefault="00D6118C" w:rsidP="00D6118C">
      <w:pPr>
        <w:spacing w:before="120" w:line="300" w:lineRule="auto"/>
        <w:jc w:val="center"/>
        <w:rPr>
          <w:rFonts w:ascii="Times New Roman" w:hAnsi="Times New Roman" w:cs="Times New Roman"/>
          <w:sz w:val="20"/>
          <w:szCs w:val="20"/>
        </w:rPr>
      </w:pPr>
    </w:p>
    <w:p w14:paraId="356041B2" w14:textId="77777777" w:rsidR="00D6118C" w:rsidRPr="002B005F" w:rsidRDefault="00D6118C" w:rsidP="00D6118C">
      <w:pPr>
        <w:spacing w:before="120" w:line="300" w:lineRule="auto"/>
        <w:jc w:val="center"/>
        <w:rPr>
          <w:rFonts w:ascii="Times New Roman" w:hAnsi="Times New Roman" w:cs="Times New Roman"/>
          <w:sz w:val="20"/>
          <w:szCs w:val="20"/>
        </w:rPr>
      </w:pPr>
    </w:p>
    <w:p w14:paraId="48C51B30" w14:textId="77777777" w:rsidR="00D6118C" w:rsidRPr="002B005F" w:rsidRDefault="00D6118C" w:rsidP="00D6118C">
      <w:pPr>
        <w:spacing w:before="120" w:line="300" w:lineRule="auto"/>
        <w:jc w:val="center"/>
        <w:rPr>
          <w:rFonts w:ascii="Times New Roman" w:hAnsi="Times New Roman" w:cs="Times New Roman"/>
          <w:sz w:val="20"/>
          <w:szCs w:val="20"/>
        </w:rPr>
      </w:pPr>
    </w:p>
    <w:p w14:paraId="4CB0CBE4" w14:textId="77777777" w:rsidR="00D6118C" w:rsidRPr="002B005F" w:rsidRDefault="00D6118C" w:rsidP="00D6118C">
      <w:pPr>
        <w:spacing w:before="120" w:line="300" w:lineRule="auto"/>
        <w:jc w:val="center"/>
        <w:rPr>
          <w:rFonts w:ascii="Times New Roman" w:hAnsi="Times New Roman" w:cs="Times New Roman"/>
          <w:sz w:val="20"/>
          <w:szCs w:val="20"/>
        </w:rPr>
      </w:pPr>
    </w:p>
    <w:p w14:paraId="358AC04C" w14:textId="77777777" w:rsidR="00D6118C" w:rsidRPr="002B005F" w:rsidRDefault="00D6118C" w:rsidP="00D6118C">
      <w:pPr>
        <w:spacing w:before="120" w:line="300" w:lineRule="auto"/>
        <w:jc w:val="center"/>
        <w:rPr>
          <w:rFonts w:ascii="Times New Roman" w:hAnsi="Times New Roman" w:cs="Times New Roman"/>
          <w:sz w:val="20"/>
          <w:szCs w:val="20"/>
        </w:rPr>
      </w:pPr>
    </w:p>
    <w:p w14:paraId="26FFEE9D" w14:textId="77777777" w:rsidR="00D6118C" w:rsidRPr="002B005F" w:rsidRDefault="00D6118C" w:rsidP="00D6118C">
      <w:pPr>
        <w:spacing w:before="120" w:line="300" w:lineRule="auto"/>
        <w:jc w:val="center"/>
        <w:rPr>
          <w:rFonts w:ascii="Times New Roman" w:hAnsi="Times New Roman" w:cs="Times New Roman"/>
          <w:sz w:val="20"/>
          <w:szCs w:val="20"/>
        </w:rPr>
      </w:pPr>
    </w:p>
    <w:p w14:paraId="4371D00E" w14:textId="77777777" w:rsidR="00D6118C" w:rsidRPr="002B005F" w:rsidRDefault="00D6118C" w:rsidP="00D6118C">
      <w:pPr>
        <w:spacing w:before="120" w:line="300" w:lineRule="auto"/>
        <w:jc w:val="center"/>
        <w:rPr>
          <w:rFonts w:ascii="Times New Roman" w:hAnsi="Times New Roman" w:cs="Times New Roman"/>
          <w:sz w:val="20"/>
          <w:szCs w:val="20"/>
        </w:rPr>
      </w:pPr>
    </w:p>
    <w:p w14:paraId="00478CD2" w14:textId="77777777" w:rsidR="00D6118C" w:rsidRPr="002B005F" w:rsidRDefault="00D6118C" w:rsidP="00D6118C">
      <w:pPr>
        <w:spacing w:before="120" w:line="300" w:lineRule="auto"/>
        <w:jc w:val="center"/>
        <w:rPr>
          <w:rFonts w:ascii="Times New Roman" w:hAnsi="Times New Roman" w:cs="Times New Roman"/>
          <w:sz w:val="20"/>
          <w:szCs w:val="20"/>
        </w:rPr>
      </w:pPr>
    </w:p>
    <w:p w14:paraId="53F1FEB3" w14:textId="77777777" w:rsidR="00D6118C" w:rsidRPr="002B005F" w:rsidRDefault="00D6118C" w:rsidP="00D6118C">
      <w:pPr>
        <w:spacing w:before="120" w:line="300" w:lineRule="auto"/>
        <w:jc w:val="center"/>
        <w:rPr>
          <w:rFonts w:ascii="Times New Roman" w:hAnsi="Times New Roman" w:cs="Times New Roman"/>
          <w:sz w:val="20"/>
          <w:szCs w:val="20"/>
        </w:rPr>
      </w:pPr>
    </w:p>
    <w:p w14:paraId="05C4EB87" w14:textId="77777777" w:rsidR="00D6118C" w:rsidRPr="002B005F" w:rsidRDefault="00D6118C" w:rsidP="00D6118C">
      <w:pPr>
        <w:spacing w:before="120" w:line="300" w:lineRule="auto"/>
        <w:jc w:val="center"/>
        <w:rPr>
          <w:rFonts w:ascii="Times New Roman" w:hAnsi="Times New Roman" w:cs="Times New Roman"/>
          <w:sz w:val="20"/>
          <w:szCs w:val="20"/>
        </w:rPr>
      </w:pPr>
    </w:p>
    <w:p w14:paraId="6E8C5B61" w14:textId="77777777" w:rsidR="00D6118C" w:rsidRPr="002B005F" w:rsidRDefault="00D6118C" w:rsidP="00D6118C">
      <w:pPr>
        <w:spacing w:before="120" w:line="300" w:lineRule="auto"/>
        <w:jc w:val="center"/>
        <w:rPr>
          <w:rFonts w:ascii="Times New Roman" w:hAnsi="Times New Roman" w:cs="Times New Roman"/>
          <w:sz w:val="20"/>
          <w:szCs w:val="20"/>
        </w:rPr>
      </w:pPr>
    </w:p>
    <w:p w14:paraId="199A8111" w14:textId="77777777" w:rsidR="00D6118C" w:rsidRPr="002B005F" w:rsidRDefault="00D6118C" w:rsidP="00D6118C">
      <w:pPr>
        <w:spacing w:before="120" w:line="300" w:lineRule="auto"/>
        <w:jc w:val="center"/>
        <w:rPr>
          <w:rFonts w:ascii="Times New Roman" w:hAnsi="Times New Roman" w:cs="Times New Roman"/>
          <w:sz w:val="20"/>
          <w:szCs w:val="20"/>
        </w:rPr>
      </w:pPr>
    </w:p>
    <w:p w14:paraId="57562125" w14:textId="77777777" w:rsidR="00D6118C" w:rsidRDefault="00D6118C" w:rsidP="00D6118C">
      <w:pPr>
        <w:spacing w:before="120" w:line="300" w:lineRule="auto"/>
        <w:jc w:val="center"/>
        <w:rPr>
          <w:rFonts w:ascii="Times New Roman" w:hAnsi="Times New Roman" w:cs="Times New Roman"/>
          <w:sz w:val="20"/>
          <w:szCs w:val="20"/>
        </w:rPr>
      </w:pPr>
    </w:p>
    <w:p w14:paraId="0EAB54F5" w14:textId="77777777" w:rsidR="009F43B6" w:rsidRPr="002B005F" w:rsidRDefault="009F43B6" w:rsidP="00D6118C">
      <w:pPr>
        <w:spacing w:before="120" w:line="300" w:lineRule="auto"/>
        <w:jc w:val="center"/>
        <w:rPr>
          <w:rFonts w:ascii="Times New Roman" w:hAnsi="Times New Roman" w:cs="Times New Roman"/>
          <w:sz w:val="20"/>
          <w:szCs w:val="20"/>
        </w:rPr>
      </w:pPr>
    </w:p>
    <w:p w14:paraId="1E427C95" w14:textId="77777777" w:rsidR="00D6118C" w:rsidRPr="002B005F" w:rsidRDefault="00D6118C" w:rsidP="00D6118C">
      <w:pPr>
        <w:spacing w:before="120" w:line="300" w:lineRule="auto"/>
        <w:jc w:val="center"/>
        <w:rPr>
          <w:rFonts w:ascii="Times New Roman" w:hAnsi="Times New Roman" w:cs="Times New Roman"/>
          <w:sz w:val="20"/>
          <w:szCs w:val="20"/>
        </w:rPr>
      </w:pPr>
    </w:p>
    <w:p w14:paraId="77B2286E" w14:textId="77777777" w:rsidR="00EE719D" w:rsidRPr="002B005F" w:rsidRDefault="00EE719D" w:rsidP="00D6118C">
      <w:pPr>
        <w:spacing w:before="120" w:line="300" w:lineRule="auto"/>
        <w:jc w:val="center"/>
        <w:rPr>
          <w:rFonts w:ascii="Times New Roman" w:hAnsi="Times New Roman" w:cs="Times New Roman"/>
          <w:sz w:val="20"/>
          <w:szCs w:val="20"/>
        </w:rPr>
      </w:pPr>
    </w:p>
    <w:p w14:paraId="08C60F08" w14:textId="77777777" w:rsidR="00EE719D" w:rsidRPr="002B005F" w:rsidRDefault="00EE719D" w:rsidP="009F43B6">
      <w:pPr>
        <w:spacing w:line="300" w:lineRule="auto"/>
        <w:jc w:val="center"/>
        <w:rPr>
          <w:rFonts w:ascii="Times New Roman" w:hAnsi="Times New Roman" w:cs="Times New Roman"/>
          <w:sz w:val="20"/>
          <w:szCs w:val="20"/>
        </w:rPr>
      </w:pPr>
    </w:p>
    <w:p w14:paraId="313B5E2E" w14:textId="77777777" w:rsidR="00576ABB" w:rsidRPr="002B005F" w:rsidRDefault="00576ABB" w:rsidP="00263B07">
      <w:pPr>
        <w:spacing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 Travail du chercheur.</w:t>
      </w:r>
    </w:p>
    <w:p w14:paraId="4D98CDFF" w14:textId="77777777" w:rsidR="002760B2" w:rsidRPr="00050B79" w:rsidRDefault="00030160" w:rsidP="005A30A6">
      <w:pPr>
        <w:pStyle w:val="Titre3"/>
        <w:keepNext w:val="0"/>
        <w:keepLines w:val="0"/>
        <w:spacing w:before="100" w:beforeAutospacing="1" w:after="100" w:afterAutospacing="1"/>
        <w:ind w:firstLine="709"/>
        <w:rPr>
          <w:sz w:val="28"/>
          <w:szCs w:val="28"/>
          <w:rtl/>
        </w:rPr>
      </w:pPr>
      <w:bookmarkStart w:id="1200" w:name="_Toc33263338"/>
      <w:bookmarkStart w:id="1201" w:name="_Toc37664601"/>
      <w:bookmarkStart w:id="1202" w:name="_Toc37666446"/>
      <w:bookmarkStart w:id="1203" w:name="_Toc54363335"/>
      <w:bookmarkStart w:id="1204" w:name="_Toc58606328"/>
      <w:bookmarkStart w:id="1205" w:name="_Toc61263533"/>
      <w:bookmarkStart w:id="1206" w:name="_Toc182298837"/>
      <w:r w:rsidRPr="00050B79">
        <w:rPr>
          <w:sz w:val="28"/>
          <w:szCs w:val="28"/>
        </w:rPr>
        <w:t>1.</w:t>
      </w:r>
      <w:r w:rsidR="0021172B" w:rsidRPr="00050B79">
        <w:rPr>
          <w:sz w:val="28"/>
          <w:szCs w:val="28"/>
        </w:rPr>
        <w:t>2</w:t>
      </w:r>
      <w:r w:rsidRPr="00050B79">
        <w:rPr>
          <w:sz w:val="28"/>
          <w:szCs w:val="28"/>
        </w:rPr>
        <w:t xml:space="preserve">- </w:t>
      </w:r>
      <w:r w:rsidR="002760B2" w:rsidRPr="00774B74">
        <w:rPr>
          <w:i/>
          <w:iCs/>
          <w:sz w:val="28"/>
          <w:szCs w:val="28"/>
        </w:rPr>
        <w:t>Moucharaka /Amwal-I</w:t>
      </w:r>
      <w:r w:rsidR="00985CB7" w:rsidRPr="00774B74">
        <w:rPr>
          <w:i/>
          <w:iCs/>
          <w:sz w:val="28"/>
          <w:szCs w:val="28"/>
        </w:rPr>
        <w:t>’</w:t>
      </w:r>
      <w:r w:rsidR="002760B2" w:rsidRPr="00774B74">
        <w:rPr>
          <w:i/>
          <w:iCs/>
          <w:sz w:val="28"/>
          <w:szCs w:val="28"/>
        </w:rPr>
        <w:t>n</w:t>
      </w:r>
      <w:r w:rsidR="00985CB7" w:rsidRPr="00774B74">
        <w:rPr>
          <w:i/>
          <w:iCs/>
          <w:sz w:val="28"/>
          <w:szCs w:val="28"/>
        </w:rPr>
        <w:t>â</w:t>
      </w:r>
      <w:r w:rsidR="002760B2" w:rsidRPr="00774B74">
        <w:rPr>
          <w:i/>
          <w:iCs/>
          <w:sz w:val="28"/>
          <w:szCs w:val="28"/>
        </w:rPr>
        <w:t>n</w:t>
      </w:r>
      <w:bookmarkEnd w:id="1200"/>
      <w:bookmarkEnd w:id="1201"/>
      <w:bookmarkEnd w:id="1202"/>
      <w:bookmarkEnd w:id="1203"/>
      <w:bookmarkEnd w:id="1204"/>
      <w:bookmarkEnd w:id="1205"/>
      <w:bookmarkEnd w:id="1206"/>
    </w:p>
    <w:p w14:paraId="7A238DD1" w14:textId="77777777" w:rsidR="00D43F45" w:rsidRPr="00050DC4" w:rsidRDefault="00F15F2A" w:rsidP="009178F2">
      <w:pPr>
        <w:tabs>
          <w:tab w:val="left" w:pos="0"/>
        </w:tabs>
        <w:spacing w:before="120" w:line="300" w:lineRule="auto"/>
        <w:ind w:firstLine="709"/>
        <w:rPr>
          <w:rFonts w:ascii="Times New Roman" w:hAnsi="Times New Roman" w:cs="Times New Roman"/>
          <w:color w:val="231F20"/>
          <w:spacing w:val="6"/>
          <w:sz w:val="24"/>
          <w:szCs w:val="24"/>
        </w:rPr>
      </w:pPr>
      <w:r w:rsidRPr="00050DC4">
        <w:rPr>
          <w:rFonts w:ascii="Times New Roman" w:hAnsi="Times New Roman" w:cs="Times New Roman"/>
          <w:color w:val="231F20"/>
          <w:spacing w:val="6"/>
          <w:sz w:val="24"/>
          <w:szCs w:val="24"/>
        </w:rPr>
        <w:t xml:space="preserve">La </w:t>
      </w:r>
      <w:r w:rsidRPr="00050DC4">
        <w:rPr>
          <w:rFonts w:ascii="Times New Roman" w:hAnsi="Times New Roman" w:cs="Times New Roman"/>
          <w:i/>
          <w:iCs/>
          <w:color w:val="231F20"/>
          <w:spacing w:val="6"/>
          <w:sz w:val="24"/>
          <w:szCs w:val="24"/>
        </w:rPr>
        <w:t>mo</w:t>
      </w:r>
      <w:r w:rsidR="00D43F45" w:rsidRPr="00050DC4">
        <w:rPr>
          <w:rFonts w:ascii="Times New Roman" w:hAnsi="Times New Roman" w:cs="Times New Roman"/>
          <w:i/>
          <w:iCs/>
          <w:color w:val="231F20"/>
          <w:spacing w:val="6"/>
          <w:sz w:val="24"/>
          <w:szCs w:val="24"/>
        </w:rPr>
        <w:t>ucharaka</w:t>
      </w:r>
      <w:r w:rsidR="00D43F45" w:rsidRPr="00050DC4">
        <w:rPr>
          <w:rFonts w:ascii="Times New Roman" w:hAnsi="Times New Roman" w:cs="Times New Roman"/>
          <w:color w:val="231F20"/>
          <w:spacing w:val="6"/>
          <w:sz w:val="24"/>
          <w:szCs w:val="24"/>
        </w:rPr>
        <w:t xml:space="preserve"> est l’une des formes d’emploi des fonds de la banque </w:t>
      </w:r>
      <w:r w:rsidR="009178F2">
        <w:rPr>
          <w:rFonts w:ascii="Times New Roman" w:hAnsi="Times New Roman" w:cs="Times New Roman"/>
          <w:color w:val="231F20"/>
          <w:spacing w:val="6"/>
          <w:sz w:val="24"/>
          <w:szCs w:val="24"/>
        </w:rPr>
        <w:t>i</w:t>
      </w:r>
      <w:r w:rsidR="003773C6" w:rsidRPr="00050DC4">
        <w:rPr>
          <w:rFonts w:ascii="Times New Roman" w:hAnsi="Times New Roman" w:cs="Times New Roman"/>
          <w:color w:val="231F20"/>
          <w:spacing w:val="6"/>
          <w:sz w:val="24"/>
          <w:szCs w:val="24"/>
        </w:rPr>
        <w:t>slamique</w:t>
      </w:r>
      <w:r w:rsidR="00D43F45" w:rsidRPr="00050DC4">
        <w:rPr>
          <w:rFonts w:ascii="Times New Roman" w:hAnsi="Times New Roman" w:cs="Times New Roman"/>
          <w:color w:val="231F20"/>
          <w:spacing w:val="6"/>
          <w:sz w:val="24"/>
          <w:szCs w:val="24"/>
        </w:rPr>
        <w:t xml:space="preserve"> et qui inclut l’association de la banque </w:t>
      </w:r>
      <w:r w:rsidR="00C96CF7" w:rsidRPr="00050DC4">
        <w:rPr>
          <w:rFonts w:ascii="Times New Roman" w:hAnsi="Times New Roman" w:cs="Times New Roman"/>
          <w:color w:val="231F20"/>
          <w:spacing w:val="6"/>
          <w:sz w:val="24"/>
          <w:szCs w:val="24"/>
        </w:rPr>
        <w:t>i</w:t>
      </w:r>
      <w:r w:rsidR="003773C6" w:rsidRPr="00050DC4">
        <w:rPr>
          <w:rFonts w:ascii="Times New Roman" w:hAnsi="Times New Roman" w:cs="Times New Roman"/>
          <w:color w:val="231F20"/>
          <w:spacing w:val="6"/>
          <w:sz w:val="24"/>
          <w:szCs w:val="24"/>
        </w:rPr>
        <w:t>slamique</w:t>
      </w:r>
      <w:r w:rsidR="00D43F45" w:rsidRPr="00050DC4">
        <w:rPr>
          <w:rFonts w:ascii="Times New Roman" w:hAnsi="Times New Roman" w:cs="Times New Roman"/>
          <w:color w:val="231F20"/>
          <w:spacing w:val="6"/>
          <w:sz w:val="24"/>
          <w:szCs w:val="24"/>
        </w:rPr>
        <w:t xml:space="preserve"> à d’autres partenaires dans des projets et des activités différentes afin de réaliser des bénéfices. C’est un outil d’i</w:t>
      </w:r>
      <w:r w:rsidR="00F41B20" w:rsidRPr="00050DC4">
        <w:rPr>
          <w:rFonts w:ascii="Times New Roman" w:hAnsi="Times New Roman" w:cs="Times New Roman"/>
          <w:color w:val="231F20"/>
          <w:spacing w:val="6"/>
          <w:sz w:val="24"/>
          <w:szCs w:val="24"/>
        </w:rPr>
        <w:t>nvestissement de fonds autorisé</w:t>
      </w:r>
      <w:r w:rsidR="00D43F45" w:rsidRPr="00050DC4">
        <w:rPr>
          <w:rFonts w:ascii="Times New Roman" w:hAnsi="Times New Roman" w:cs="Times New Roman"/>
          <w:color w:val="231F20"/>
          <w:spacing w:val="6"/>
          <w:sz w:val="24"/>
          <w:szCs w:val="24"/>
        </w:rPr>
        <w:t xml:space="preserve"> pour les banques </w:t>
      </w:r>
      <w:r w:rsidR="00AB0C0A" w:rsidRPr="00050DC4">
        <w:rPr>
          <w:rFonts w:ascii="Times New Roman" w:hAnsi="Times New Roman" w:cs="Times New Roman"/>
          <w:color w:val="231F20"/>
          <w:spacing w:val="6"/>
          <w:sz w:val="24"/>
          <w:szCs w:val="24"/>
        </w:rPr>
        <w:t>i</w:t>
      </w:r>
      <w:r w:rsidR="003773C6" w:rsidRPr="00050DC4">
        <w:rPr>
          <w:rFonts w:ascii="Times New Roman" w:hAnsi="Times New Roman" w:cs="Times New Roman"/>
          <w:color w:val="231F20"/>
          <w:spacing w:val="6"/>
          <w:sz w:val="24"/>
          <w:szCs w:val="24"/>
        </w:rPr>
        <w:t>slamique</w:t>
      </w:r>
      <w:r w:rsidR="00D43F45" w:rsidRPr="00050DC4">
        <w:rPr>
          <w:rFonts w:ascii="Times New Roman" w:hAnsi="Times New Roman" w:cs="Times New Roman"/>
          <w:color w:val="231F20"/>
          <w:spacing w:val="6"/>
          <w:sz w:val="24"/>
          <w:szCs w:val="24"/>
        </w:rPr>
        <w:t>s et qui permet d’employer les fonds de la banque afin de réaliser des gains. Elle contribue également au développement économique et au recrutement de la main d’œuvre</w:t>
      </w:r>
      <w:r w:rsidR="00D43F45" w:rsidRPr="00050DC4">
        <w:rPr>
          <w:rStyle w:val="Appelnotedebasdep"/>
          <w:rFonts w:ascii="Times New Roman" w:hAnsi="Times New Roman"/>
          <w:color w:val="231F20"/>
          <w:spacing w:val="6"/>
          <w:sz w:val="24"/>
          <w:szCs w:val="24"/>
        </w:rPr>
        <w:footnoteReference w:id="317"/>
      </w:r>
      <w:r w:rsidR="00F41B20" w:rsidRPr="00050DC4">
        <w:rPr>
          <w:rFonts w:ascii="Times New Roman" w:hAnsi="Times New Roman" w:cs="Times New Roman"/>
          <w:color w:val="231F20"/>
          <w:spacing w:val="6"/>
          <w:sz w:val="24"/>
          <w:szCs w:val="24"/>
        </w:rPr>
        <w:t>.</w:t>
      </w:r>
    </w:p>
    <w:p w14:paraId="4104977E" w14:textId="77777777" w:rsidR="00F41B20" w:rsidRPr="002B005F" w:rsidRDefault="00030160" w:rsidP="00A42632">
      <w:pPr>
        <w:pStyle w:val="Titre4"/>
        <w:keepNext w:val="0"/>
        <w:spacing w:before="120" w:after="120" w:line="300" w:lineRule="auto"/>
        <w:ind w:firstLine="709"/>
        <w:rPr>
          <w:lang w:bidi="ar-DZ"/>
        </w:rPr>
      </w:pPr>
      <w:bookmarkStart w:id="1207" w:name="_Toc54363336"/>
      <w:bookmarkStart w:id="1208" w:name="_Toc58606329"/>
      <w:bookmarkStart w:id="1209" w:name="_Toc61263534"/>
      <w:bookmarkStart w:id="1210" w:name="_Toc182298838"/>
      <w:r w:rsidRPr="002B005F">
        <w:rPr>
          <w:lang w:bidi="ar-DZ"/>
        </w:rPr>
        <w:t>1.</w:t>
      </w:r>
      <w:r w:rsidR="0021172B" w:rsidRPr="002B005F">
        <w:rPr>
          <w:lang w:bidi="ar-DZ"/>
        </w:rPr>
        <w:t>2</w:t>
      </w:r>
      <w:r w:rsidRPr="002B005F">
        <w:rPr>
          <w:lang w:bidi="ar-DZ"/>
        </w:rPr>
        <w:t>.1-</w:t>
      </w:r>
      <w:r w:rsidR="0021172B" w:rsidRPr="002B005F">
        <w:rPr>
          <w:lang w:bidi="ar-DZ"/>
        </w:rPr>
        <w:t xml:space="preserve"> </w:t>
      </w:r>
      <w:r w:rsidR="00F41B20" w:rsidRPr="002B005F">
        <w:rPr>
          <w:lang w:bidi="ar-DZ"/>
        </w:rPr>
        <w:t xml:space="preserve">Définition littéraire et technique de la </w:t>
      </w:r>
      <w:r w:rsidR="00F41B20" w:rsidRPr="002B005F">
        <w:rPr>
          <w:i/>
          <w:iCs/>
          <w:lang w:bidi="ar-DZ"/>
        </w:rPr>
        <w:t>moucharaka</w:t>
      </w:r>
      <w:bookmarkEnd w:id="1207"/>
      <w:bookmarkEnd w:id="1208"/>
      <w:bookmarkEnd w:id="1209"/>
      <w:bookmarkEnd w:id="1210"/>
    </w:p>
    <w:p w14:paraId="68348D52" w14:textId="3254CED6" w:rsidR="002760B2" w:rsidRPr="00050DC4" w:rsidRDefault="005A30A6" w:rsidP="00686659">
      <w:pPr>
        <w:tabs>
          <w:tab w:val="left" w:pos="0"/>
        </w:tabs>
        <w:autoSpaceDE w:val="0"/>
        <w:autoSpaceDN w:val="0"/>
        <w:adjustRightInd w:val="0"/>
        <w:spacing w:before="120" w:line="30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L</w:t>
      </w:r>
      <w:r w:rsidR="002760B2" w:rsidRPr="00745BCF">
        <w:rPr>
          <w:rFonts w:ascii="Times New Roman" w:hAnsi="Times New Roman" w:cs="Times New Roman"/>
          <w:spacing w:val="2"/>
          <w:sz w:val="24"/>
          <w:szCs w:val="24"/>
        </w:rPr>
        <w:t xml:space="preserve">e mot utilisé pour le type de </w:t>
      </w:r>
      <w:r w:rsidR="002760B2" w:rsidRPr="00745BCF">
        <w:rPr>
          <w:rFonts w:ascii="Times New Roman" w:hAnsi="Times New Roman" w:cs="Times New Roman"/>
          <w:i/>
          <w:iCs/>
          <w:spacing w:val="2"/>
          <w:sz w:val="24"/>
          <w:szCs w:val="24"/>
        </w:rPr>
        <w:t>shirkah amwal-inan</w:t>
      </w:r>
      <w:r w:rsidR="002760B2" w:rsidRPr="00745BCF">
        <w:rPr>
          <w:rFonts w:ascii="Times New Roman" w:hAnsi="Times New Roman" w:cs="Times New Roman"/>
          <w:spacing w:val="2"/>
          <w:sz w:val="24"/>
          <w:szCs w:val="24"/>
        </w:rPr>
        <w:t xml:space="preserve"> est </w:t>
      </w:r>
      <w:r w:rsidR="002760B2" w:rsidRPr="00745BCF">
        <w:rPr>
          <w:rFonts w:ascii="Times New Roman" w:hAnsi="Times New Roman" w:cs="Times New Roman"/>
          <w:i/>
          <w:iCs/>
          <w:spacing w:val="2"/>
          <w:sz w:val="24"/>
          <w:szCs w:val="24"/>
        </w:rPr>
        <w:t>moucharaka</w:t>
      </w:r>
      <w:r w:rsidR="002760B2" w:rsidRPr="00745BCF">
        <w:rPr>
          <w:rFonts w:ascii="Times New Roman" w:hAnsi="Times New Roman" w:cs="Times New Roman"/>
          <w:spacing w:val="2"/>
          <w:sz w:val="24"/>
          <w:szCs w:val="24"/>
        </w:rPr>
        <w:t xml:space="preserve">. La </w:t>
      </w:r>
      <w:r w:rsidR="002760B2" w:rsidRPr="00745BCF">
        <w:rPr>
          <w:rFonts w:ascii="Times New Roman" w:hAnsi="Times New Roman" w:cs="Times New Roman"/>
          <w:i/>
          <w:iCs/>
          <w:spacing w:val="2"/>
          <w:sz w:val="24"/>
          <w:szCs w:val="24"/>
        </w:rPr>
        <w:t>moucharaka</w:t>
      </w:r>
      <w:r w:rsidR="004A4E16" w:rsidRPr="00745BCF">
        <w:rPr>
          <w:rFonts w:ascii="Times New Roman" w:hAnsi="Times New Roman" w:cs="Times New Roman"/>
          <w:spacing w:val="2"/>
          <w:sz w:val="24"/>
          <w:szCs w:val="24"/>
        </w:rPr>
        <w:t xml:space="preserve"> signifie partage</w:t>
      </w:r>
      <w:r w:rsidR="002760B2" w:rsidRPr="00745BCF">
        <w:rPr>
          <w:rFonts w:ascii="Times New Roman" w:hAnsi="Times New Roman" w:cs="Times New Roman"/>
          <w:spacing w:val="2"/>
          <w:sz w:val="24"/>
          <w:szCs w:val="24"/>
        </w:rPr>
        <w:t xml:space="preserve">. Le mot racine de </w:t>
      </w:r>
      <w:r w:rsidR="002760B2" w:rsidRPr="00745BCF">
        <w:rPr>
          <w:rFonts w:ascii="Times New Roman" w:hAnsi="Times New Roman" w:cs="Times New Roman"/>
          <w:i/>
          <w:iCs/>
          <w:spacing w:val="2"/>
          <w:sz w:val="24"/>
          <w:szCs w:val="24"/>
        </w:rPr>
        <w:t>moucharaka</w:t>
      </w:r>
      <w:r w:rsidR="002760B2" w:rsidRPr="00745BCF">
        <w:rPr>
          <w:rFonts w:ascii="Times New Roman" w:hAnsi="Times New Roman" w:cs="Times New Roman"/>
          <w:spacing w:val="2"/>
          <w:sz w:val="24"/>
          <w:szCs w:val="24"/>
        </w:rPr>
        <w:t xml:space="preserve"> est </w:t>
      </w:r>
      <w:r w:rsidR="002760B2" w:rsidRPr="00745BCF">
        <w:rPr>
          <w:rFonts w:ascii="Times New Roman" w:hAnsi="Times New Roman" w:cs="Times New Roman"/>
          <w:i/>
          <w:iCs/>
          <w:spacing w:val="2"/>
          <w:sz w:val="24"/>
          <w:szCs w:val="24"/>
        </w:rPr>
        <w:t>shirkah</w:t>
      </w:r>
      <w:r w:rsidR="004A4E16" w:rsidRPr="00745BCF">
        <w:rPr>
          <w:rFonts w:ascii="Times New Roman" w:hAnsi="Times New Roman" w:cs="Times New Roman"/>
          <w:spacing w:val="2"/>
          <w:sz w:val="24"/>
          <w:szCs w:val="24"/>
        </w:rPr>
        <w:t>. C</w:t>
      </w:r>
      <w:r w:rsidR="002760B2" w:rsidRPr="00745BCF">
        <w:rPr>
          <w:rFonts w:ascii="Times New Roman" w:hAnsi="Times New Roman" w:cs="Times New Roman"/>
          <w:spacing w:val="2"/>
          <w:sz w:val="24"/>
          <w:szCs w:val="24"/>
        </w:rPr>
        <w:t xml:space="preserve">'est pourquoi ces deux termes sont utilisés comme synonymes. Dans le langage technique actuel, la </w:t>
      </w:r>
      <w:r w:rsidR="002760B2" w:rsidRPr="00745BCF">
        <w:rPr>
          <w:rFonts w:ascii="Times New Roman" w:hAnsi="Times New Roman" w:cs="Times New Roman"/>
          <w:i/>
          <w:iCs/>
          <w:spacing w:val="2"/>
          <w:sz w:val="24"/>
          <w:szCs w:val="24"/>
        </w:rPr>
        <w:t>moucharaka</w:t>
      </w:r>
      <w:r w:rsidR="002760B2" w:rsidRPr="00745BCF">
        <w:rPr>
          <w:rFonts w:ascii="Times New Roman" w:hAnsi="Times New Roman" w:cs="Times New Roman"/>
          <w:spacing w:val="2"/>
          <w:sz w:val="24"/>
          <w:szCs w:val="24"/>
        </w:rPr>
        <w:t xml:space="preserve"> est</w:t>
      </w:r>
      <w:r w:rsidR="00780A63" w:rsidRPr="00745BCF">
        <w:rPr>
          <w:rFonts w:ascii="Times New Roman" w:hAnsi="Times New Roman" w:cs="Times New Roman"/>
          <w:spacing w:val="2"/>
          <w:sz w:val="24"/>
          <w:szCs w:val="24"/>
        </w:rPr>
        <w:t xml:space="preserve"> « u</w:t>
      </w:r>
      <w:r w:rsidR="004A4E16" w:rsidRPr="00745BCF">
        <w:rPr>
          <w:rFonts w:ascii="Times New Roman" w:hAnsi="Times New Roman" w:cs="Times New Roman"/>
          <w:spacing w:val="2"/>
          <w:sz w:val="24"/>
          <w:szCs w:val="24"/>
        </w:rPr>
        <w:t>ne technique de financement</w:t>
      </w:r>
      <w:r w:rsidR="002760B2" w:rsidRPr="00745BCF">
        <w:rPr>
          <w:rFonts w:ascii="Times New Roman" w:hAnsi="Times New Roman" w:cs="Times New Roman"/>
          <w:spacing w:val="2"/>
          <w:sz w:val="24"/>
          <w:szCs w:val="24"/>
        </w:rPr>
        <w:t xml:space="preserve"> adoptée par les banques </w:t>
      </w:r>
      <w:r w:rsidR="0021172B" w:rsidRPr="00745BCF">
        <w:rPr>
          <w:rFonts w:ascii="Times New Roman" w:hAnsi="Times New Roman" w:cs="Times New Roman"/>
          <w:spacing w:val="2"/>
          <w:sz w:val="24"/>
          <w:szCs w:val="24"/>
        </w:rPr>
        <w:t>i</w:t>
      </w:r>
      <w:r w:rsidR="003773C6" w:rsidRPr="00745BCF">
        <w:rPr>
          <w:rFonts w:ascii="Times New Roman" w:hAnsi="Times New Roman" w:cs="Times New Roman"/>
          <w:spacing w:val="2"/>
          <w:sz w:val="24"/>
          <w:szCs w:val="24"/>
        </w:rPr>
        <w:t>slamique</w:t>
      </w:r>
      <w:r w:rsidR="002760B2" w:rsidRPr="00745BCF">
        <w:rPr>
          <w:rFonts w:ascii="Times New Roman" w:hAnsi="Times New Roman" w:cs="Times New Roman"/>
          <w:spacing w:val="2"/>
          <w:sz w:val="24"/>
          <w:szCs w:val="24"/>
        </w:rPr>
        <w:t>s ».</w:t>
      </w:r>
    </w:p>
    <w:p w14:paraId="431E66BE" w14:textId="3A0532CF" w:rsidR="002760B2" w:rsidRPr="00050DC4" w:rsidRDefault="00024B63" w:rsidP="00686659">
      <w:pPr>
        <w:tabs>
          <w:tab w:val="left" w:pos="0"/>
        </w:tabs>
        <w:autoSpaceDE w:val="0"/>
        <w:autoSpaceDN w:val="0"/>
        <w:adjustRightInd w:val="0"/>
        <w:spacing w:before="120" w:line="300" w:lineRule="auto"/>
        <w:ind w:firstLine="709"/>
        <w:rPr>
          <w:rFonts w:ascii="Times New Roman" w:hAnsi="Times New Roman" w:cs="Times New Roman"/>
          <w:spacing w:val="2"/>
          <w:sz w:val="24"/>
          <w:szCs w:val="24"/>
        </w:rPr>
      </w:pPr>
      <w:r w:rsidRPr="00050DC4">
        <w:rPr>
          <w:rFonts w:ascii="Times New Roman" w:hAnsi="Times New Roman" w:cs="Times New Roman"/>
          <w:spacing w:val="2"/>
          <w:sz w:val="24"/>
          <w:szCs w:val="24"/>
        </w:rPr>
        <w:lastRenderedPageBreak/>
        <w:t>Techniquement, c</w:t>
      </w:r>
      <w:r w:rsidR="002760B2" w:rsidRPr="00050DC4">
        <w:rPr>
          <w:rFonts w:ascii="Times New Roman" w:hAnsi="Times New Roman" w:cs="Times New Roman"/>
          <w:spacing w:val="2"/>
          <w:sz w:val="24"/>
          <w:szCs w:val="24"/>
        </w:rPr>
        <w:t>'est un accord par lequel la banque</w:t>
      </w:r>
      <w:r w:rsidR="005A30A6" w:rsidRPr="005A30A6">
        <w:rPr>
          <w:rFonts w:ascii="Times New Roman" w:hAnsi="Times New Roman" w:cs="Times New Roman"/>
          <w:spacing w:val="2"/>
          <w:sz w:val="24"/>
          <w:szCs w:val="24"/>
        </w:rPr>
        <w:t xml:space="preserve"> </w:t>
      </w:r>
      <w:r w:rsidR="005A30A6" w:rsidRPr="00050DC4">
        <w:rPr>
          <w:rFonts w:ascii="Times New Roman" w:hAnsi="Times New Roman" w:cs="Times New Roman"/>
          <w:spacing w:val="2"/>
          <w:sz w:val="24"/>
          <w:szCs w:val="24"/>
        </w:rPr>
        <w:t>procure</w:t>
      </w:r>
      <w:r w:rsidR="002760B2" w:rsidRPr="00050DC4">
        <w:rPr>
          <w:rFonts w:ascii="Times New Roman" w:hAnsi="Times New Roman" w:cs="Times New Roman"/>
          <w:spacing w:val="2"/>
          <w:sz w:val="24"/>
          <w:szCs w:val="24"/>
        </w:rPr>
        <w:t xml:space="preserve"> avec le concours des autres partenaires le financement total qu'exige le projet. Tous les associés, y compris la banque, ont droit de regard sur la gestion du projet. Le bénéfice est réparti entre les partenaires selon des ratios préétablis, alors que la perte est supportée par chaque partenaire strictement proportionnellement aux apports en capital respectifs</w:t>
      </w:r>
      <w:r w:rsidR="002760B2" w:rsidRPr="00050DC4">
        <w:rPr>
          <w:rStyle w:val="Appelnotedebasdep"/>
          <w:rFonts w:ascii="Times New Roman" w:hAnsi="Times New Roman"/>
          <w:spacing w:val="2"/>
          <w:sz w:val="24"/>
          <w:szCs w:val="24"/>
        </w:rPr>
        <w:footnoteReference w:id="318"/>
      </w:r>
      <w:r w:rsidR="00640FAC" w:rsidRPr="00050DC4">
        <w:rPr>
          <w:rFonts w:ascii="Times New Roman" w:hAnsi="Times New Roman" w:cs="Times New Roman"/>
          <w:spacing w:val="2"/>
          <w:sz w:val="24"/>
          <w:szCs w:val="24"/>
        </w:rPr>
        <w:t>.</w:t>
      </w:r>
    </w:p>
    <w:p w14:paraId="00586CB5" w14:textId="03AF6DA0" w:rsidR="00024B63" w:rsidRPr="00050DC4" w:rsidRDefault="00024B63" w:rsidP="00686659">
      <w:pPr>
        <w:tabs>
          <w:tab w:val="left" w:pos="0"/>
        </w:tabs>
        <w:autoSpaceDE w:val="0"/>
        <w:autoSpaceDN w:val="0"/>
        <w:adjustRightInd w:val="0"/>
        <w:spacing w:before="120" w:line="300" w:lineRule="auto"/>
        <w:ind w:firstLine="709"/>
        <w:rPr>
          <w:rFonts w:ascii="Times New Roman" w:hAnsi="Times New Roman" w:cs="Times New Roman"/>
          <w:spacing w:val="2"/>
          <w:sz w:val="24"/>
          <w:szCs w:val="24"/>
        </w:rPr>
      </w:pPr>
      <w:r w:rsidRPr="00050DC4">
        <w:rPr>
          <w:rFonts w:ascii="Times New Roman" w:hAnsi="Times New Roman" w:cs="Times New Roman"/>
          <w:spacing w:val="2"/>
          <w:sz w:val="24"/>
          <w:szCs w:val="24"/>
        </w:rPr>
        <w:t xml:space="preserve">La </w:t>
      </w:r>
      <w:r w:rsidR="00CE22A5" w:rsidRPr="00050DC4">
        <w:rPr>
          <w:rFonts w:ascii="Times New Roman" w:hAnsi="Times New Roman" w:cs="Times New Roman"/>
          <w:i/>
          <w:spacing w:val="2"/>
          <w:sz w:val="24"/>
          <w:szCs w:val="24"/>
        </w:rPr>
        <w:t>m</w:t>
      </w:r>
      <w:r w:rsidRPr="00050DC4">
        <w:rPr>
          <w:rFonts w:ascii="Times New Roman" w:hAnsi="Times New Roman" w:cs="Times New Roman"/>
          <w:i/>
          <w:spacing w:val="2"/>
          <w:sz w:val="24"/>
          <w:szCs w:val="24"/>
        </w:rPr>
        <w:t xml:space="preserve">oucharaka </w:t>
      </w:r>
      <w:r w:rsidRPr="00050DC4">
        <w:rPr>
          <w:rFonts w:ascii="Times New Roman" w:hAnsi="Times New Roman" w:cs="Times New Roman"/>
          <w:spacing w:val="2"/>
          <w:sz w:val="24"/>
          <w:szCs w:val="24"/>
        </w:rPr>
        <w:t xml:space="preserve">n’exige pas l’égalité </w:t>
      </w:r>
      <w:r w:rsidR="005A30A6">
        <w:rPr>
          <w:rFonts w:ascii="Times New Roman" w:hAnsi="Times New Roman" w:cs="Times New Roman"/>
          <w:spacing w:val="2"/>
          <w:sz w:val="24"/>
          <w:szCs w:val="24"/>
        </w:rPr>
        <w:t xml:space="preserve">ni </w:t>
      </w:r>
      <w:r w:rsidRPr="00050DC4">
        <w:rPr>
          <w:rFonts w:ascii="Times New Roman" w:hAnsi="Times New Roman" w:cs="Times New Roman"/>
          <w:spacing w:val="2"/>
          <w:sz w:val="24"/>
          <w:szCs w:val="24"/>
        </w:rPr>
        <w:t xml:space="preserve">dans </w:t>
      </w:r>
      <w:r w:rsidR="005A30A6">
        <w:rPr>
          <w:rFonts w:ascii="Times New Roman" w:hAnsi="Times New Roman" w:cs="Times New Roman"/>
          <w:spacing w:val="2"/>
          <w:sz w:val="24"/>
          <w:szCs w:val="24"/>
        </w:rPr>
        <w:t>l’apport</w:t>
      </w:r>
      <w:r w:rsidRPr="00050DC4">
        <w:rPr>
          <w:rFonts w:ascii="Times New Roman" w:hAnsi="Times New Roman" w:cs="Times New Roman"/>
          <w:spacing w:val="2"/>
          <w:sz w:val="24"/>
          <w:szCs w:val="24"/>
        </w:rPr>
        <w:t xml:space="preserve"> du capital entre les partenaires </w:t>
      </w:r>
      <w:r w:rsidR="005A30A6">
        <w:rPr>
          <w:rFonts w:ascii="Times New Roman" w:hAnsi="Times New Roman" w:cs="Times New Roman"/>
          <w:spacing w:val="2"/>
          <w:sz w:val="24"/>
          <w:szCs w:val="24"/>
        </w:rPr>
        <w:t>ni</w:t>
      </w:r>
      <w:r w:rsidRPr="00050DC4">
        <w:rPr>
          <w:rFonts w:ascii="Times New Roman" w:hAnsi="Times New Roman" w:cs="Times New Roman"/>
          <w:spacing w:val="2"/>
          <w:sz w:val="24"/>
          <w:szCs w:val="24"/>
        </w:rPr>
        <w:t xml:space="preserve"> dans le travail ou dans les responsabilités envers la société. Par conséquent, elle n’exige pas non plus l’égalité dans le ratio des gains entre les sociétés. Cependant, en cas de perte, le contrat de la </w:t>
      </w:r>
      <w:r w:rsidR="00640FAC" w:rsidRPr="00050DC4">
        <w:rPr>
          <w:rFonts w:ascii="Times New Roman" w:hAnsi="Times New Roman" w:cs="Times New Roman"/>
          <w:i/>
          <w:spacing w:val="2"/>
          <w:sz w:val="24"/>
          <w:szCs w:val="24"/>
        </w:rPr>
        <w:t>m</w:t>
      </w:r>
      <w:r w:rsidRPr="00050DC4">
        <w:rPr>
          <w:rFonts w:ascii="Times New Roman" w:hAnsi="Times New Roman" w:cs="Times New Roman"/>
          <w:i/>
          <w:spacing w:val="2"/>
          <w:sz w:val="24"/>
          <w:szCs w:val="24"/>
        </w:rPr>
        <w:t xml:space="preserve">oucharaka </w:t>
      </w:r>
      <w:r w:rsidRPr="00050DC4">
        <w:rPr>
          <w:rFonts w:ascii="Times New Roman" w:hAnsi="Times New Roman" w:cs="Times New Roman"/>
          <w:spacing w:val="2"/>
          <w:sz w:val="24"/>
          <w:szCs w:val="24"/>
        </w:rPr>
        <w:t>exige que la perte soit supportée selon la part de participation de chaque partenaire dans le capital.</w:t>
      </w:r>
    </w:p>
    <w:p w14:paraId="5B4EFB86" w14:textId="77777777" w:rsidR="008E4519" w:rsidRDefault="00640FAC" w:rsidP="00686659">
      <w:pPr>
        <w:pStyle w:val="Corpsdetexte"/>
        <w:tabs>
          <w:tab w:val="left" w:pos="0"/>
          <w:tab w:val="left" w:pos="9921"/>
        </w:tabs>
        <w:spacing w:before="120" w:line="300" w:lineRule="auto"/>
        <w:ind w:right="-2" w:firstLine="709"/>
        <w:rPr>
          <w:spacing w:val="2"/>
        </w:rPr>
      </w:pPr>
      <w:r w:rsidRPr="00050DC4">
        <w:rPr>
          <w:spacing w:val="2"/>
        </w:rPr>
        <w:t>Elle est</w:t>
      </w:r>
      <w:r w:rsidR="008E4519" w:rsidRPr="00050DC4">
        <w:rPr>
          <w:spacing w:val="2"/>
        </w:rPr>
        <w:t xml:space="preserve"> l’un des plus importants modes de financement </w:t>
      </w:r>
      <w:r w:rsidRPr="00050DC4">
        <w:rPr>
          <w:spacing w:val="2"/>
        </w:rPr>
        <w:t>i</w:t>
      </w:r>
      <w:r w:rsidR="003773C6" w:rsidRPr="00050DC4">
        <w:rPr>
          <w:spacing w:val="2"/>
        </w:rPr>
        <w:t>slamique</w:t>
      </w:r>
      <w:r w:rsidR="008E4519" w:rsidRPr="00050DC4">
        <w:rPr>
          <w:spacing w:val="2"/>
        </w:rPr>
        <w:t xml:space="preserve"> puisqu’</w:t>
      </w:r>
      <w:r w:rsidR="00B4400C" w:rsidRPr="00050DC4">
        <w:rPr>
          <w:spacing w:val="2"/>
        </w:rPr>
        <w:t>e</w:t>
      </w:r>
      <w:r w:rsidR="008E4519" w:rsidRPr="00050DC4">
        <w:rPr>
          <w:spacing w:val="2"/>
        </w:rPr>
        <w:t>l</w:t>
      </w:r>
      <w:r w:rsidR="00B4400C" w:rsidRPr="00050DC4">
        <w:rPr>
          <w:spacing w:val="2"/>
        </w:rPr>
        <w:t>le</w:t>
      </w:r>
      <w:r w:rsidR="008E4519" w:rsidRPr="00050DC4">
        <w:rPr>
          <w:spacing w:val="2"/>
        </w:rPr>
        <w:t xml:space="preserve"> assure le lien entre les rentes du capital et les risques. C’est-à-dire le risque sera assumé par les participants déposant leur argent, la banque et les investisseurs en associant leurs capitaux dans le projet tout en partageant les bénéfices effectués entre eux </w:t>
      </w:r>
      <w:r w:rsidR="00CE22A5" w:rsidRPr="00050DC4">
        <w:rPr>
          <w:spacing w:val="2"/>
        </w:rPr>
        <w:t>dans des proportions convenues.</w:t>
      </w:r>
    </w:p>
    <w:p w14:paraId="5D35F395" w14:textId="46CFFE01" w:rsidR="00AE3ACC" w:rsidRPr="00AE3ACC" w:rsidRDefault="00AE3ACC" w:rsidP="0094742A">
      <w:pPr>
        <w:pStyle w:val="Corpsdetexte"/>
        <w:tabs>
          <w:tab w:val="left" w:pos="0"/>
          <w:tab w:val="left" w:pos="9921"/>
        </w:tabs>
        <w:spacing w:before="100" w:beforeAutospacing="1" w:line="300" w:lineRule="auto"/>
        <w:ind w:firstLine="709"/>
        <w:outlineLvl w:val="3"/>
        <w:rPr>
          <w:b/>
          <w:bCs/>
          <w:spacing w:val="2"/>
        </w:rPr>
      </w:pPr>
      <w:bookmarkStart w:id="1211" w:name="_Toc182298839"/>
      <w:r w:rsidRPr="00AE3ACC">
        <w:rPr>
          <w:b/>
          <w:bCs/>
          <w:spacing w:val="2"/>
        </w:rPr>
        <w:t xml:space="preserve">1.2.2- </w:t>
      </w:r>
      <w:r w:rsidRPr="00AE3ACC">
        <w:rPr>
          <w:rFonts w:asciiTheme="majorBidi" w:hAnsiTheme="majorBidi"/>
          <w:b/>
          <w:bCs/>
        </w:rPr>
        <w:t>Conditions de validité du contrat</w:t>
      </w:r>
      <w:r w:rsidRPr="00AE3ACC">
        <w:rPr>
          <w:rFonts w:asciiTheme="majorBidi" w:hAnsiTheme="majorBidi"/>
          <w:b/>
          <w:bCs/>
          <w:i/>
          <w:iCs/>
        </w:rPr>
        <w:t xml:space="preserve"> moucharak</w:t>
      </w:r>
      <w:r>
        <w:rPr>
          <w:rFonts w:asciiTheme="majorBidi" w:hAnsiTheme="majorBidi"/>
          <w:b/>
          <w:bCs/>
          <w:i/>
          <w:iCs/>
        </w:rPr>
        <w:t>a</w:t>
      </w:r>
      <w:bookmarkEnd w:id="1211"/>
    </w:p>
    <w:p w14:paraId="1ED45658" w14:textId="77777777" w:rsidR="002760B2" w:rsidRDefault="002760B2" w:rsidP="007B64B9">
      <w:pPr>
        <w:tabs>
          <w:tab w:val="left" w:pos="0"/>
        </w:tabs>
        <w:autoSpaceDE w:val="0"/>
        <w:autoSpaceDN w:val="0"/>
        <w:adjustRightInd w:val="0"/>
        <w:spacing w:before="120" w:line="300" w:lineRule="auto"/>
        <w:ind w:firstLine="709"/>
        <w:rPr>
          <w:rFonts w:ascii="Times New Roman" w:hAnsi="Times New Roman" w:cs="Times New Roman"/>
          <w:spacing w:val="2"/>
          <w:sz w:val="24"/>
          <w:szCs w:val="24"/>
        </w:rPr>
      </w:pPr>
      <w:r w:rsidRPr="00050DC4">
        <w:rPr>
          <w:rFonts w:ascii="Times New Roman" w:hAnsi="Times New Roman" w:cs="Times New Roman"/>
          <w:spacing w:val="2"/>
          <w:sz w:val="24"/>
          <w:szCs w:val="24"/>
        </w:rPr>
        <w:t xml:space="preserve">Les conditions de financement basées sur la </w:t>
      </w:r>
      <w:r w:rsidRPr="00050DC4">
        <w:rPr>
          <w:rFonts w:ascii="Times New Roman" w:hAnsi="Times New Roman" w:cs="Times New Roman"/>
          <w:i/>
          <w:iCs/>
          <w:spacing w:val="2"/>
          <w:sz w:val="24"/>
          <w:szCs w:val="24"/>
        </w:rPr>
        <w:t>moucharaka</w:t>
      </w:r>
      <w:r w:rsidRPr="00050DC4">
        <w:rPr>
          <w:rFonts w:ascii="Times New Roman" w:hAnsi="Times New Roman" w:cs="Times New Roman"/>
          <w:spacing w:val="2"/>
          <w:sz w:val="24"/>
          <w:szCs w:val="24"/>
        </w:rPr>
        <w:t xml:space="preserve"> se rapportent aux partenaires, au capital, à la répartition des profits et pertes</w:t>
      </w:r>
      <w:r w:rsidRPr="00050DC4">
        <w:rPr>
          <w:rStyle w:val="Appelnotedebasdep"/>
          <w:rFonts w:ascii="Times New Roman" w:hAnsi="Times New Roman"/>
          <w:spacing w:val="2"/>
          <w:sz w:val="24"/>
          <w:szCs w:val="24"/>
        </w:rPr>
        <w:footnoteReference w:id="319"/>
      </w:r>
      <w:r w:rsidRPr="00050DC4">
        <w:rPr>
          <w:rFonts w:ascii="Times New Roman" w:hAnsi="Times New Roman" w:cs="Times New Roman"/>
          <w:spacing w:val="2"/>
          <w:sz w:val="24"/>
          <w:szCs w:val="24"/>
        </w:rPr>
        <w:t>.</w:t>
      </w:r>
    </w:p>
    <w:p w14:paraId="444FDCA2" w14:textId="5B369BD5" w:rsidR="00AE3ACC" w:rsidRPr="00050DC4" w:rsidRDefault="00AE3ACC" w:rsidP="0094742A">
      <w:pPr>
        <w:tabs>
          <w:tab w:val="left" w:pos="0"/>
        </w:tabs>
        <w:autoSpaceDE w:val="0"/>
        <w:autoSpaceDN w:val="0"/>
        <w:adjustRightInd w:val="0"/>
        <w:spacing w:before="100" w:beforeAutospacing="1" w:line="300" w:lineRule="auto"/>
        <w:ind w:firstLine="709"/>
        <w:outlineLvl w:val="4"/>
        <w:rPr>
          <w:rFonts w:ascii="Times New Roman" w:hAnsi="Times New Roman" w:cs="Times New Roman"/>
          <w:spacing w:val="2"/>
          <w:sz w:val="24"/>
          <w:szCs w:val="24"/>
        </w:rPr>
      </w:pPr>
      <w:bookmarkStart w:id="1212" w:name="_Toc182298840"/>
      <w:r>
        <w:rPr>
          <w:rFonts w:asciiTheme="majorBidi" w:hAnsiTheme="majorBidi"/>
          <w:b/>
          <w:bCs/>
          <w:sz w:val="24"/>
          <w:szCs w:val="24"/>
        </w:rPr>
        <w:t xml:space="preserve">1.2.2.1- </w:t>
      </w:r>
      <w:r w:rsidRPr="00A6355B">
        <w:rPr>
          <w:rFonts w:asciiTheme="majorBidi" w:hAnsiTheme="majorBidi"/>
          <w:b/>
          <w:bCs/>
          <w:sz w:val="24"/>
          <w:szCs w:val="24"/>
        </w:rPr>
        <w:t>Conditions relatives aux associés</w:t>
      </w:r>
      <w:bookmarkEnd w:id="1212"/>
    </w:p>
    <w:p w14:paraId="6D72B176" w14:textId="77777777" w:rsidR="002760B2" w:rsidRPr="00050DC4" w:rsidRDefault="002760B2" w:rsidP="00E56A8E">
      <w:pPr>
        <w:pStyle w:val="Paragraphedeliste"/>
        <w:tabs>
          <w:tab w:val="left" w:pos="0"/>
          <w:tab w:val="left" w:pos="284"/>
          <w:tab w:val="left" w:pos="1134"/>
        </w:tabs>
        <w:autoSpaceDE w:val="0"/>
        <w:autoSpaceDN w:val="0"/>
        <w:adjustRightInd w:val="0"/>
        <w:spacing w:before="100" w:line="300" w:lineRule="auto"/>
        <w:ind w:left="0" w:firstLine="709"/>
        <w:contextualSpacing w:val="0"/>
        <w:rPr>
          <w:rFonts w:ascii="Times New Roman" w:hAnsi="Times New Roman" w:cs="Times New Roman"/>
          <w:spacing w:val="2"/>
          <w:sz w:val="24"/>
          <w:szCs w:val="24"/>
        </w:rPr>
      </w:pPr>
      <w:r w:rsidRPr="00050DC4">
        <w:rPr>
          <w:rFonts w:ascii="Times New Roman" w:hAnsi="Times New Roman" w:cs="Times New Roman"/>
          <w:spacing w:val="2"/>
          <w:sz w:val="24"/>
          <w:szCs w:val="24"/>
        </w:rPr>
        <w:t>Les associés doivent jouir de la capacité de conclure un mandat (</w:t>
      </w:r>
      <w:r w:rsidRPr="00050DC4">
        <w:rPr>
          <w:rFonts w:ascii="Times New Roman" w:hAnsi="Times New Roman" w:cs="Times New Roman"/>
          <w:i/>
          <w:iCs/>
          <w:spacing w:val="2"/>
          <w:sz w:val="24"/>
          <w:szCs w:val="24"/>
        </w:rPr>
        <w:t>waqala</w:t>
      </w:r>
      <w:r w:rsidRPr="00050DC4">
        <w:rPr>
          <w:rFonts w:ascii="Times New Roman" w:hAnsi="Times New Roman" w:cs="Times New Roman"/>
          <w:spacing w:val="2"/>
          <w:sz w:val="24"/>
          <w:szCs w:val="24"/>
        </w:rPr>
        <w:t xml:space="preserve">) en tant que mandaté ou mandataire. Seuls ceux qui ont la capacité de mandater ou d'être mandatés peuvent être partie d’un contrat </w:t>
      </w:r>
      <w:r w:rsidRPr="00050DC4">
        <w:rPr>
          <w:rFonts w:ascii="Times New Roman" w:hAnsi="Times New Roman" w:cs="Times New Roman"/>
          <w:i/>
          <w:iCs/>
          <w:spacing w:val="2"/>
          <w:sz w:val="24"/>
          <w:szCs w:val="24"/>
        </w:rPr>
        <w:t>moucharaka</w:t>
      </w:r>
      <w:r w:rsidRPr="00050DC4">
        <w:rPr>
          <w:rFonts w:ascii="Times New Roman" w:hAnsi="Times New Roman" w:cs="Times New Roman"/>
          <w:spacing w:val="2"/>
          <w:sz w:val="24"/>
          <w:szCs w:val="24"/>
        </w:rPr>
        <w:t>.</w:t>
      </w:r>
    </w:p>
    <w:p w14:paraId="640EF5A0" w14:textId="77777777" w:rsidR="002760B2" w:rsidRPr="00050DC4" w:rsidRDefault="002760B2" w:rsidP="00E56A8E">
      <w:pPr>
        <w:pStyle w:val="Paragraphedeliste"/>
        <w:tabs>
          <w:tab w:val="left" w:pos="0"/>
          <w:tab w:val="left" w:pos="284"/>
          <w:tab w:val="left" w:pos="1134"/>
        </w:tabs>
        <w:autoSpaceDE w:val="0"/>
        <w:autoSpaceDN w:val="0"/>
        <w:adjustRightInd w:val="0"/>
        <w:spacing w:before="100" w:line="300" w:lineRule="auto"/>
        <w:ind w:left="0" w:firstLine="709"/>
        <w:contextualSpacing w:val="0"/>
        <w:rPr>
          <w:rFonts w:ascii="Times New Roman" w:hAnsi="Times New Roman" w:cs="Times New Roman"/>
          <w:spacing w:val="2"/>
          <w:sz w:val="24"/>
          <w:szCs w:val="24"/>
        </w:rPr>
      </w:pPr>
      <w:r w:rsidRPr="00050DC4">
        <w:rPr>
          <w:rFonts w:ascii="Times New Roman" w:hAnsi="Times New Roman" w:cs="Times New Roman"/>
          <w:spacing w:val="2"/>
          <w:sz w:val="24"/>
          <w:szCs w:val="24"/>
        </w:rPr>
        <w:t xml:space="preserve">Le contrat de la </w:t>
      </w:r>
      <w:r w:rsidRPr="00050DC4">
        <w:rPr>
          <w:rFonts w:ascii="Times New Roman" w:hAnsi="Times New Roman" w:cs="Times New Roman"/>
          <w:i/>
          <w:iCs/>
          <w:spacing w:val="2"/>
          <w:sz w:val="24"/>
          <w:szCs w:val="24"/>
        </w:rPr>
        <w:t>moucharaka</w:t>
      </w:r>
      <w:r w:rsidRPr="00050DC4">
        <w:rPr>
          <w:rFonts w:ascii="Times New Roman" w:hAnsi="Times New Roman" w:cs="Times New Roman"/>
          <w:spacing w:val="2"/>
          <w:sz w:val="24"/>
          <w:szCs w:val="24"/>
        </w:rPr>
        <w:t xml:space="preserve"> repose sur la confiance réciproque entre les associés e</w:t>
      </w:r>
      <w:r w:rsidR="00EE719D" w:rsidRPr="00050DC4">
        <w:rPr>
          <w:rFonts w:ascii="Times New Roman" w:hAnsi="Times New Roman" w:cs="Times New Roman"/>
          <w:spacing w:val="2"/>
          <w:sz w:val="24"/>
          <w:szCs w:val="24"/>
        </w:rPr>
        <w:t xml:space="preserve">t sur la procuration mutuelle. </w:t>
      </w:r>
      <w:r w:rsidRPr="00050DC4">
        <w:rPr>
          <w:rFonts w:ascii="Times New Roman" w:hAnsi="Times New Roman" w:cs="Times New Roman"/>
          <w:spacing w:val="2"/>
          <w:sz w:val="24"/>
          <w:szCs w:val="24"/>
        </w:rPr>
        <w:t>Chaque associé est donc autorisé à gérer sa part du capital et celle de ses associés.</w:t>
      </w:r>
    </w:p>
    <w:p w14:paraId="2CF1DB69" w14:textId="77777777" w:rsidR="000D5520" w:rsidRDefault="002760B2" w:rsidP="00E56A8E">
      <w:pPr>
        <w:pStyle w:val="Paragraphedeliste"/>
        <w:tabs>
          <w:tab w:val="left" w:pos="0"/>
          <w:tab w:val="left" w:pos="284"/>
          <w:tab w:val="left" w:pos="1134"/>
        </w:tabs>
        <w:autoSpaceDE w:val="0"/>
        <w:autoSpaceDN w:val="0"/>
        <w:adjustRightInd w:val="0"/>
        <w:spacing w:before="100" w:line="300" w:lineRule="auto"/>
        <w:ind w:left="0" w:firstLine="709"/>
        <w:contextualSpacing w:val="0"/>
        <w:rPr>
          <w:rFonts w:ascii="Times New Roman" w:hAnsi="Times New Roman" w:cs="Times New Roman"/>
          <w:spacing w:val="2"/>
          <w:sz w:val="24"/>
          <w:szCs w:val="24"/>
        </w:rPr>
      </w:pPr>
      <w:r w:rsidRPr="00050DC4">
        <w:rPr>
          <w:rFonts w:ascii="Times New Roman" w:hAnsi="Times New Roman" w:cs="Times New Roman"/>
          <w:spacing w:val="2"/>
          <w:sz w:val="24"/>
          <w:szCs w:val="24"/>
        </w:rPr>
        <w:t xml:space="preserve">Il est permis aux associés de vendre ou d'acheter au comptant ou à crédit au nom de la société tant que cela engendre un bénéfice aux partenaires ou permet la continuité de la bonne marche de l'activité considérée. Un associé ne peut cependant aliéner le capital de la société au profit d'une personne au titre de la </w:t>
      </w:r>
      <w:r w:rsidR="004A4E16" w:rsidRPr="00050DC4">
        <w:rPr>
          <w:rFonts w:ascii="Times New Roman" w:hAnsi="Times New Roman" w:cs="Times New Roman"/>
          <w:i/>
          <w:spacing w:val="2"/>
          <w:sz w:val="24"/>
          <w:szCs w:val="24"/>
        </w:rPr>
        <w:t>moudaraba</w:t>
      </w:r>
      <w:r w:rsidRPr="00050DC4">
        <w:rPr>
          <w:rFonts w:ascii="Times New Roman" w:hAnsi="Times New Roman" w:cs="Times New Roman"/>
          <w:spacing w:val="2"/>
          <w:sz w:val="24"/>
          <w:szCs w:val="24"/>
        </w:rPr>
        <w:t xml:space="preserve"> ni la mandater à fructifier ce capital sans l'autorisation des autres associés.</w:t>
      </w:r>
    </w:p>
    <w:p w14:paraId="460709E8" w14:textId="4E5526A8" w:rsidR="0094742A" w:rsidRPr="00050DC4" w:rsidRDefault="0094742A" w:rsidP="0094742A">
      <w:pPr>
        <w:pStyle w:val="Paragraphedeliste"/>
        <w:tabs>
          <w:tab w:val="left" w:pos="0"/>
          <w:tab w:val="left" w:pos="284"/>
          <w:tab w:val="left" w:pos="1134"/>
        </w:tabs>
        <w:autoSpaceDE w:val="0"/>
        <w:autoSpaceDN w:val="0"/>
        <w:adjustRightInd w:val="0"/>
        <w:spacing w:before="100" w:beforeAutospacing="1" w:line="300" w:lineRule="auto"/>
        <w:ind w:left="0" w:firstLine="709"/>
        <w:contextualSpacing w:val="0"/>
        <w:outlineLvl w:val="4"/>
        <w:rPr>
          <w:rFonts w:ascii="Times New Roman" w:hAnsi="Times New Roman" w:cs="Times New Roman"/>
          <w:spacing w:val="2"/>
          <w:sz w:val="24"/>
          <w:szCs w:val="24"/>
        </w:rPr>
      </w:pPr>
      <w:bookmarkStart w:id="1213" w:name="_Toc182298841"/>
      <w:r>
        <w:rPr>
          <w:rFonts w:asciiTheme="majorBidi" w:hAnsiTheme="majorBidi"/>
          <w:b/>
          <w:bCs/>
          <w:sz w:val="24"/>
          <w:szCs w:val="24"/>
        </w:rPr>
        <w:t xml:space="preserve">1.2.2.2- </w:t>
      </w:r>
      <w:r w:rsidRPr="00050B79">
        <w:rPr>
          <w:rFonts w:asciiTheme="majorBidi" w:hAnsiTheme="majorBidi"/>
          <w:b/>
          <w:bCs/>
          <w:sz w:val="24"/>
          <w:szCs w:val="24"/>
        </w:rPr>
        <w:t>Conditions relatives au capital</w:t>
      </w:r>
      <w:bookmarkEnd w:id="1213"/>
    </w:p>
    <w:p w14:paraId="6CDFB067" w14:textId="77777777" w:rsidR="002760B2" w:rsidRPr="002B005F" w:rsidRDefault="002760B2" w:rsidP="00BA6DD8">
      <w:pPr>
        <w:pStyle w:val="Paragraphedeliste"/>
        <w:tabs>
          <w:tab w:val="left" w:pos="0"/>
          <w:tab w:val="left" w:pos="284"/>
          <w:tab w:val="left" w:pos="1134"/>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La nature, le genre et le montant du capital doivent être connus et déterminés d'une manière très précise lors de la signature du contrat afin d'éviter les risques de conflit entre les partenaires lors du partage du résultat.</w:t>
      </w:r>
    </w:p>
    <w:p w14:paraId="5C7F4DDC" w14:textId="478CB9A4" w:rsidR="002760B2" w:rsidRPr="002B005F" w:rsidRDefault="002760B2" w:rsidP="00E56A8E">
      <w:pPr>
        <w:pStyle w:val="Paragraphedeliste"/>
        <w:tabs>
          <w:tab w:val="left" w:pos="0"/>
          <w:tab w:val="left" w:pos="284"/>
          <w:tab w:val="left" w:pos="1134"/>
        </w:tabs>
        <w:autoSpaceDE w:val="0"/>
        <w:autoSpaceDN w:val="0"/>
        <w:adjustRightInd w:val="0"/>
        <w:spacing w:before="120" w:line="300" w:lineRule="auto"/>
        <w:ind w:left="0" w:firstLine="709"/>
        <w:contextualSpacing w:val="0"/>
        <w:rPr>
          <w:rFonts w:ascii="Times New Roman" w:hAnsi="Times New Roman" w:cs="Times New Roman"/>
          <w:spacing w:val="-4"/>
          <w:sz w:val="24"/>
          <w:szCs w:val="24"/>
        </w:rPr>
      </w:pPr>
      <w:r w:rsidRPr="002B005F">
        <w:rPr>
          <w:rFonts w:ascii="Times New Roman" w:hAnsi="Times New Roman" w:cs="Times New Roman"/>
          <w:spacing w:val="-4"/>
          <w:sz w:val="24"/>
          <w:szCs w:val="24"/>
        </w:rPr>
        <w:lastRenderedPageBreak/>
        <w:t xml:space="preserve">La part de capital avancée par chaque associé doit s'effectuer en monnaie. Cependant, </w:t>
      </w:r>
      <w:r w:rsidR="007A6562" w:rsidRPr="007A6562">
        <w:rPr>
          <w:rFonts w:ascii="Times New Roman" w:hAnsi="Times New Roman" w:cs="Times New Roman"/>
          <w:spacing w:val="-4"/>
          <w:sz w:val="24"/>
          <w:szCs w:val="24"/>
        </w:rPr>
        <w:t xml:space="preserve">certains </w:t>
      </w:r>
      <w:r w:rsidR="00A734F9" w:rsidRPr="007A6562">
        <w:rPr>
          <w:rFonts w:ascii="Times New Roman" w:hAnsi="Times New Roman" w:cs="Times New Roman"/>
          <w:spacing w:val="-4"/>
          <w:sz w:val="24"/>
          <w:szCs w:val="24"/>
        </w:rPr>
        <w:t>jurisconsultes</w:t>
      </w:r>
      <w:r w:rsidRPr="002B005F">
        <w:rPr>
          <w:rFonts w:ascii="Times New Roman" w:hAnsi="Times New Roman" w:cs="Times New Roman"/>
          <w:spacing w:val="-4"/>
          <w:sz w:val="24"/>
          <w:szCs w:val="24"/>
        </w:rPr>
        <w:t xml:space="preserve"> acceptent que le capital engagé par les associés soit en nature à condition qu'il fasse l'objet d'une évaluation monétaire au moment de la signature du contrat.</w:t>
      </w:r>
    </w:p>
    <w:p w14:paraId="1ADAE73C" w14:textId="77777777" w:rsidR="002760B2" w:rsidRPr="002B005F" w:rsidRDefault="002760B2" w:rsidP="00BA6DD8">
      <w:pPr>
        <w:pStyle w:val="Paragraphedeliste"/>
        <w:tabs>
          <w:tab w:val="left" w:pos="0"/>
          <w:tab w:val="left" w:pos="284"/>
          <w:tab w:val="left" w:pos="1134"/>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apports des associés doivent se confondre de sorte que chaque associé puisse gérer l'ensemble du capital et non uniquement sa seule contribution maintenue entre ses mains. Cette condition est exigée par les </w:t>
      </w:r>
      <w:r w:rsidR="004A4E16" w:rsidRPr="002B005F">
        <w:rPr>
          <w:rFonts w:ascii="Times New Roman" w:hAnsi="Times New Roman" w:cs="Times New Roman"/>
          <w:i/>
          <w:iCs/>
          <w:sz w:val="24"/>
          <w:szCs w:val="24"/>
        </w:rPr>
        <w:t>fouqaha</w:t>
      </w:r>
      <w:r w:rsidRPr="002B005F">
        <w:rPr>
          <w:rFonts w:ascii="Times New Roman" w:hAnsi="Times New Roman" w:cs="Times New Roman"/>
          <w:i/>
          <w:iCs/>
          <w:sz w:val="24"/>
          <w:szCs w:val="24"/>
        </w:rPr>
        <w:t xml:space="preserve"> </w:t>
      </w:r>
      <w:r w:rsidRPr="002B005F">
        <w:rPr>
          <w:rFonts w:ascii="Times New Roman" w:hAnsi="Times New Roman" w:cs="Times New Roman"/>
          <w:sz w:val="24"/>
          <w:szCs w:val="24"/>
        </w:rPr>
        <w:t xml:space="preserve">malékites et chafiites. Cependant les </w:t>
      </w:r>
      <w:r w:rsidRPr="002B005F">
        <w:rPr>
          <w:rFonts w:ascii="Times New Roman" w:hAnsi="Times New Roman" w:cs="Times New Roman"/>
          <w:i/>
          <w:iCs/>
          <w:sz w:val="24"/>
          <w:szCs w:val="24"/>
        </w:rPr>
        <w:t>fouqaha</w:t>
      </w:r>
      <w:r w:rsidRPr="002B005F">
        <w:rPr>
          <w:rFonts w:ascii="Times New Roman" w:hAnsi="Times New Roman" w:cs="Times New Roman"/>
          <w:sz w:val="24"/>
          <w:szCs w:val="24"/>
        </w:rPr>
        <w:t xml:space="preserve"> hanafites et les hanbalites admettant que le mélange des apports des associés n'est pas une condition de validité du contrat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w:t>
      </w:r>
    </w:p>
    <w:p w14:paraId="5AE5BB5E" w14:textId="77777777" w:rsidR="002760B2" w:rsidRDefault="002760B2" w:rsidP="00BA6DD8">
      <w:pPr>
        <w:pStyle w:val="Paragraphedeliste"/>
        <w:tabs>
          <w:tab w:val="left" w:pos="0"/>
          <w:tab w:val="left" w:pos="284"/>
          <w:tab w:val="left" w:pos="1134"/>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Aucun associé n'a le droit d'affecter d'autres fonds au capital de la </w:t>
      </w:r>
      <w:r w:rsidRPr="002B005F">
        <w:rPr>
          <w:rFonts w:ascii="Times New Roman" w:hAnsi="Times New Roman" w:cs="Times New Roman"/>
          <w:i/>
          <w:iCs/>
          <w:sz w:val="24"/>
          <w:szCs w:val="24"/>
        </w:rPr>
        <w:t>shirkah</w:t>
      </w:r>
      <w:r w:rsidRPr="002B005F">
        <w:rPr>
          <w:rFonts w:ascii="Times New Roman" w:hAnsi="Times New Roman" w:cs="Times New Roman"/>
          <w:sz w:val="24"/>
          <w:szCs w:val="24"/>
        </w:rPr>
        <w:t xml:space="preserve"> sans la permission de tous les autres associés.</w:t>
      </w:r>
    </w:p>
    <w:p w14:paraId="01E9670E" w14:textId="7E8A928C" w:rsidR="0094742A" w:rsidRPr="002B005F" w:rsidRDefault="0094742A" w:rsidP="0094742A">
      <w:pPr>
        <w:pStyle w:val="Paragraphedeliste"/>
        <w:tabs>
          <w:tab w:val="left" w:pos="0"/>
          <w:tab w:val="left" w:pos="284"/>
          <w:tab w:val="left" w:pos="1134"/>
        </w:tabs>
        <w:autoSpaceDE w:val="0"/>
        <w:autoSpaceDN w:val="0"/>
        <w:adjustRightInd w:val="0"/>
        <w:spacing w:before="100" w:beforeAutospacing="1" w:line="300" w:lineRule="auto"/>
        <w:ind w:left="0" w:firstLine="709"/>
        <w:contextualSpacing w:val="0"/>
        <w:outlineLvl w:val="4"/>
        <w:rPr>
          <w:rFonts w:ascii="Times New Roman" w:hAnsi="Times New Roman" w:cs="Times New Roman"/>
          <w:sz w:val="24"/>
          <w:szCs w:val="24"/>
        </w:rPr>
      </w:pPr>
      <w:bookmarkStart w:id="1214" w:name="_Toc182298842"/>
      <w:r>
        <w:rPr>
          <w:rFonts w:asciiTheme="majorBidi" w:hAnsiTheme="majorBidi"/>
          <w:b/>
          <w:bCs/>
          <w:sz w:val="24"/>
          <w:szCs w:val="24"/>
        </w:rPr>
        <w:t xml:space="preserve">1.2.2.3- </w:t>
      </w:r>
      <w:r w:rsidRPr="00050B79">
        <w:rPr>
          <w:rFonts w:asciiTheme="majorBidi" w:hAnsiTheme="majorBidi"/>
          <w:b/>
          <w:bCs/>
          <w:sz w:val="24"/>
          <w:szCs w:val="24"/>
        </w:rPr>
        <w:t>Conditions relatives à la répartition des pertes et profits</w:t>
      </w:r>
      <w:bookmarkEnd w:id="1214"/>
    </w:p>
    <w:p w14:paraId="72DB9675" w14:textId="77777777" w:rsidR="002760B2" w:rsidRPr="002B005F" w:rsidRDefault="002760B2" w:rsidP="00640FAC">
      <w:pPr>
        <w:pStyle w:val="Paragraphedeliste"/>
        <w:tabs>
          <w:tab w:val="left" w:pos="0"/>
          <w:tab w:val="left" w:pos="284"/>
          <w:tab w:val="left" w:pos="1134"/>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Il n'est pas permis de stipuler une somme fixe pour rémunérer la part d'un des associés. Cette part doit au contraire être un pourcentage ou une fraction du profit.</w:t>
      </w:r>
    </w:p>
    <w:p w14:paraId="6D27FD1D" w14:textId="77777777" w:rsidR="002760B2" w:rsidRPr="002B005F" w:rsidRDefault="002760B2" w:rsidP="00640FAC">
      <w:pPr>
        <w:pStyle w:val="Paragraphedeliste"/>
        <w:tabs>
          <w:tab w:val="left" w:pos="0"/>
          <w:tab w:val="left" w:pos="284"/>
          <w:tab w:val="left" w:pos="1134"/>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 contrat de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doit stipuler très clairement les principes de partage des profits et pertes. En effet</w:t>
      </w:r>
      <w:r w:rsidR="00966026" w:rsidRPr="002B005F">
        <w:rPr>
          <w:rFonts w:ascii="Times New Roman" w:hAnsi="Times New Roman" w:cs="Times New Roman"/>
          <w:sz w:val="24"/>
          <w:szCs w:val="24"/>
        </w:rPr>
        <w:t>,</w:t>
      </w:r>
      <w:r w:rsidRPr="002B005F">
        <w:rPr>
          <w:rFonts w:ascii="Times New Roman" w:hAnsi="Times New Roman" w:cs="Times New Roman"/>
          <w:sz w:val="24"/>
          <w:szCs w:val="24"/>
        </w:rPr>
        <w:t xml:space="preserve"> le profit est l'objet même du contrat </w:t>
      </w:r>
      <w:r w:rsidRPr="002B005F">
        <w:rPr>
          <w:rFonts w:ascii="Times New Roman" w:hAnsi="Times New Roman" w:cs="Times New Roman"/>
          <w:i/>
          <w:iCs/>
          <w:sz w:val="24"/>
          <w:szCs w:val="24"/>
        </w:rPr>
        <w:t>moucharaka</w:t>
      </w:r>
      <w:r w:rsidR="00F15F2A" w:rsidRPr="002B005F">
        <w:rPr>
          <w:rFonts w:ascii="Times New Roman" w:hAnsi="Times New Roman" w:cs="Times New Roman"/>
          <w:sz w:val="24"/>
          <w:szCs w:val="24"/>
        </w:rPr>
        <w:t>. T</w:t>
      </w:r>
      <w:r w:rsidRPr="002B005F">
        <w:rPr>
          <w:rFonts w:ascii="Times New Roman" w:hAnsi="Times New Roman" w:cs="Times New Roman"/>
          <w:sz w:val="24"/>
          <w:szCs w:val="24"/>
        </w:rPr>
        <w:t>oute ambiguïté de nature à rendre l'objet du contrat indéterminé annule le contrat.</w:t>
      </w:r>
    </w:p>
    <w:p w14:paraId="3226300E" w14:textId="77777777" w:rsidR="002760B2" w:rsidRPr="002B005F" w:rsidRDefault="002760B2" w:rsidP="00640FAC">
      <w:pPr>
        <w:pStyle w:val="Paragraphedeliste"/>
        <w:tabs>
          <w:tab w:val="left" w:pos="0"/>
          <w:tab w:val="left" w:pos="284"/>
          <w:tab w:val="left" w:pos="1134"/>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Les profits sont partagés entre les associés selon les termes et conditions du contrat. De plus il est permis que les parts du profit soient différenciées, même quand les apports de capital soient égaux, et cela d'après les hanafites et hanbalites.</w:t>
      </w:r>
    </w:p>
    <w:p w14:paraId="7E0E5FED" w14:textId="77777777" w:rsidR="002760B2" w:rsidRPr="002B005F" w:rsidRDefault="002760B2" w:rsidP="00640FAC">
      <w:pPr>
        <w:pStyle w:val="Paragraphedeliste"/>
        <w:tabs>
          <w:tab w:val="left" w:pos="0"/>
          <w:tab w:val="left" w:pos="284"/>
          <w:tab w:val="left" w:pos="1134"/>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En cas de perte, celle-ci est en principe répartie entre les associés au prorata des apports. Par contre, si la perte est </w:t>
      </w:r>
      <w:r w:rsidR="004A4E16" w:rsidRPr="002B005F">
        <w:rPr>
          <w:rFonts w:ascii="Times New Roman" w:hAnsi="Times New Roman" w:cs="Times New Roman"/>
          <w:sz w:val="24"/>
          <w:szCs w:val="24"/>
        </w:rPr>
        <w:t>due</w:t>
      </w:r>
      <w:r w:rsidRPr="002B005F">
        <w:rPr>
          <w:rFonts w:ascii="Times New Roman" w:hAnsi="Times New Roman" w:cs="Times New Roman"/>
          <w:sz w:val="24"/>
          <w:szCs w:val="24"/>
        </w:rPr>
        <w:t xml:space="preserve"> à la négligence ou bien à la violation de l'une des clauses du contrat de la part de l'un des associés, celui-ci est tenu pour responsable des dommages causés à ses partenaires.</w:t>
      </w:r>
    </w:p>
    <w:p w14:paraId="0882F4F2" w14:textId="77777777" w:rsidR="002760B2" w:rsidRPr="002B005F" w:rsidRDefault="002760B2" w:rsidP="00BA6DD8">
      <w:pPr>
        <w:pStyle w:val="Paragraphedeliste"/>
        <w:tabs>
          <w:tab w:val="left" w:pos="0"/>
          <w:tab w:val="left" w:pos="284"/>
          <w:tab w:val="left" w:pos="1134"/>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 contrat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ne peut stipuler qu'un associé a droit au profit d'une partie déterminée des opérations de la société. Le droit de chaque associé doit porter au contraire sur le profit net de l'ensemble des opérations de la société.</w:t>
      </w:r>
    </w:p>
    <w:p w14:paraId="22FBA67B" w14:textId="51F7695C" w:rsidR="000D5520" w:rsidRPr="002B005F" w:rsidRDefault="00BA6DD8" w:rsidP="00A42632">
      <w:pPr>
        <w:pStyle w:val="Titre4"/>
        <w:keepNext w:val="0"/>
        <w:spacing w:before="100" w:beforeAutospacing="1" w:after="120" w:line="300" w:lineRule="auto"/>
        <w:ind w:firstLine="709"/>
      </w:pPr>
      <w:bookmarkStart w:id="1215" w:name="_Toc54363338"/>
      <w:bookmarkStart w:id="1216" w:name="_Toc58606331"/>
      <w:bookmarkStart w:id="1217" w:name="_Toc61263536"/>
      <w:bookmarkStart w:id="1218" w:name="_Toc182298843"/>
      <w:r w:rsidRPr="002B005F">
        <w:t>1.2.</w:t>
      </w:r>
      <w:r w:rsidR="00AE3ACC">
        <w:t>3</w:t>
      </w:r>
      <w:r w:rsidRPr="002B005F">
        <w:t xml:space="preserve">- </w:t>
      </w:r>
      <w:r w:rsidR="00112C2C" w:rsidRPr="002B005F">
        <w:t>L</w:t>
      </w:r>
      <w:r w:rsidR="000D5520" w:rsidRPr="002B005F">
        <w:t xml:space="preserve">icéité du contrat </w:t>
      </w:r>
      <w:r w:rsidR="000D5520" w:rsidRPr="002B005F">
        <w:rPr>
          <w:i/>
          <w:iCs/>
        </w:rPr>
        <w:t>moucharaka</w:t>
      </w:r>
      <w:bookmarkEnd w:id="1215"/>
      <w:bookmarkEnd w:id="1216"/>
      <w:bookmarkEnd w:id="1217"/>
      <w:bookmarkEnd w:id="1218"/>
    </w:p>
    <w:p w14:paraId="2B2E89DD" w14:textId="08997A25" w:rsidR="007A6562" w:rsidRPr="007A6562" w:rsidRDefault="007A6562" w:rsidP="007A6562">
      <w:pPr>
        <w:pStyle w:val="Corpsdetexte"/>
        <w:tabs>
          <w:tab w:val="left" w:pos="0"/>
        </w:tabs>
        <w:spacing w:before="120" w:line="300" w:lineRule="auto"/>
        <w:ind w:right="-2" w:firstLine="709"/>
      </w:pPr>
      <w:bookmarkStart w:id="1219" w:name="_Toc61263537"/>
      <w:r w:rsidRPr="007A6562">
        <w:t xml:space="preserve">La licéité de la </w:t>
      </w:r>
      <w:r w:rsidRPr="007A6562">
        <w:rPr>
          <w:i/>
          <w:iCs/>
        </w:rPr>
        <w:t>moucharaka</w:t>
      </w:r>
      <w:r w:rsidRPr="007A6562">
        <w:t xml:space="preserve"> trouve son fondement dans la </w:t>
      </w:r>
      <w:r w:rsidRPr="007A6562">
        <w:rPr>
          <w:i/>
          <w:iCs/>
        </w:rPr>
        <w:t>moucharaka el-inan</w:t>
      </w:r>
      <w:r w:rsidRPr="007A6562">
        <w:t xml:space="preserve"> qui trouve elle-même son fondement dans le Coran et la </w:t>
      </w:r>
      <w:r w:rsidRPr="00210F47">
        <w:rPr>
          <w:i/>
          <w:iCs/>
        </w:rPr>
        <w:t>Sunna</w:t>
      </w:r>
      <w:r w:rsidR="00210F47" w:rsidRPr="00210F47">
        <w:rPr>
          <w:i/>
          <w:iCs/>
        </w:rPr>
        <w:t>h</w:t>
      </w:r>
      <w:r w:rsidRPr="007A6562">
        <w:t xml:space="preserve">. Les versets et les hadiths qui abordent ce type de contrat sont précités dans la sous-section </w:t>
      </w:r>
      <w:r w:rsidRPr="00210F47">
        <w:rPr>
          <w:i/>
          <w:iCs/>
        </w:rPr>
        <w:t>Shirkah</w:t>
      </w:r>
      <w:r w:rsidRPr="007A6562">
        <w:t>.</w:t>
      </w:r>
    </w:p>
    <w:p w14:paraId="336B9A35" w14:textId="77777777" w:rsidR="007A6562" w:rsidRPr="00050DC4" w:rsidRDefault="007A6562" w:rsidP="007A6562">
      <w:pPr>
        <w:pStyle w:val="Corpsdetexte"/>
        <w:tabs>
          <w:tab w:val="left" w:pos="0"/>
        </w:tabs>
        <w:spacing w:before="120" w:line="300" w:lineRule="auto"/>
        <w:ind w:right="-2" w:firstLine="709"/>
        <w:rPr>
          <w:spacing w:val="-8"/>
        </w:rPr>
      </w:pPr>
      <w:r w:rsidRPr="00050DC4">
        <w:rPr>
          <w:spacing w:val="-8"/>
        </w:rPr>
        <w:t xml:space="preserve">Dans </w:t>
      </w:r>
      <w:r w:rsidRPr="00050DC4">
        <w:rPr>
          <w:i/>
          <w:spacing w:val="-8"/>
        </w:rPr>
        <w:t>al-ijma’</w:t>
      </w:r>
      <w:r w:rsidRPr="00050DC4">
        <w:rPr>
          <w:spacing w:val="-8"/>
        </w:rPr>
        <w:t xml:space="preserve">, il a été prouvé que les gens avaient réalisé des projets sous forme d’association depuis le temps du Prophète    </w:t>
      </w:r>
      <w:r w:rsidRPr="00050DC4">
        <w:rPr>
          <w:noProof/>
          <w:spacing w:val="-8"/>
          <w:lang w:bidi="ar-SA"/>
        </w:rPr>
        <w:drawing>
          <wp:anchor distT="0" distB="0" distL="114300" distR="114300" simplePos="0" relativeHeight="251538432" behindDoc="0" locked="1" layoutInCell="1" allowOverlap="0" wp14:anchorId="51D9FDA8" wp14:editId="798659DA">
            <wp:simplePos x="0" y="0"/>
            <wp:positionH relativeFrom="column">
              <wp:posOffset>1548765</wp:posOffset>
            </wp:positionH>
            <wp:positionV relativeFrom="paragraph">
              <wp:posOffset>318770</wp:posOffset>
            </wp:positionV>
            <wp:extent cx="180975" cy="161925"/>
            <wp:effectExtent l="19050" t="0" r="9525" b="0"/>
            <wp:wrapNone/>
            <wp:docPr id="1539"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Pr="00050DC4">
        <w:rPr>
          <w:spacing w:val="-8"/>
        </w:rPr>
        <w:t xml:space="preserve">  jusqu’à aujourd’hui sans qu’il y ait dénégation ou désaveu</w:t>
      </w:r>
      <w:r w:rsidRPr="00050DC4">
        <w:rPr>
          <w:rStyle w:val="Appelnotedebasdep"/>
          <w:spacing w:val="-8"/>
        </w:rPr>
        <w:footnoteReference w:id="320"/>
      </w:r>
      <w:r w:rsidRPr="00050DC4">
        <w:rPr>
          <w:spacing w:val="-8"/>
        </w:rPr>
        <w:t>.</w:t>
      </w:r>
    </w:p>
    <w:p w14:paraId="4207C290" w14:textId="77777777" w:rsidR="002760B2" w:rsidRPr="001B4F9C" w:rsidRDefault="00BA6DD8" w:rsidP="001B4F9C">
      <w:pPr>
        <w:pStyle w:val="Titre3"/>
        <w:spacing w:before="100" w:beforeAutospacing="1" w:after="100" w:afterAutospacing="1"/>
        <w:ind w:firstLine="709"/>
        <w:rPr>
          <w:sz w:val="28"/>
          <w:szCs w:val="28"/>
        </w:rPr>
      </w:pPr>
      <w:bookmarkStart w:id="1220" w:name="_Toc182298844"/>
      <w:r w:rsidRPr="00A734F9">
        <w:rPr>
          <w:sz w:val="28"/>
          <w:szCs w:val="28"/>
        </w:rPr>
        <w:lastRenderedPageBreak/>
        <w:t>1.3</w:t>
      </w:r>
      <w:r w:rsidRPr="001B4F9C">
        <w:rPr>
          <w:i/>
          <w:iCs/>
          <w:sz w:val="28"/>
          <w:szCs w:val="28"/>
        </w:rPr>
        <w:t>-</w:t>
      </w:r>
      <w:r w:rsidRPr="001B4F9C">
        <w:rPr>
          <w:sz w:val="28"/>
          <w:szCs w:val="28"/>
        </w:rPr>
        <w:t xml:space="preserve"> </w:t>
      </w:r>
      <w:r w:rsidR="004A4E16" w:rsidRPr="006C1230">
        <w:rPr>
          <w:i/>
          <w:iCs/>
          <w:sz w:val="28"/>
          <w:szCs w:val="28"/>
        </w:rPr>
        <w:t>Moudaraba</w:t>
      </w:r>
      <w:bookmarkEnd w:id="1219"/>
      <w:bookmarkEnd w:id="1220"/>
    </w:p>
    <w:p w14:paraId="3EBFE9F3" w14:textId="77777777" w:rsidR="002C60C2" w:rsidRPr="002B005F" w:rsidRDefault="002C60C2" w:rsidP="002806F0">
      <w:pPr>
        <w:tabs>
          <w:tab w:val="left" w:pos="0"/>
        </w:tabs>
        <w:spacing w:before="120" w:line="300" w:lineRule="auto"/>
        <w:ind w:firstLine="709"/>
        <w:rPr>
          <w:rFonts w:ascii="Times New Roman" w:hAnsi="Times New Roman" w:cs="Times New Roman"/>
          <w:color w:val="231F20"/>
          <w:sz w:val="24"/>
          <w:szCs w:val="24"/>
        </w:rPr>
      </w:pPr>
      <w:r w:rsidRPr="002B005F">
        <w:rPr>
          <w:rFonts w:ascii="Times New Roman" w:hAnsi="Times New Roman" w:cs="Times New Roman"/>
          <w:i/>
          <w:color w:val="231F20"/>
          <w:sz w:val="24"/>
          <w:szCs w:val="24"/>
        </w:rPr>
        <w:t xml:space="preserve">La </w:t>
      </w:r>
      <w:r w:rsidR="004A4E16" w:rsidRPr="002B005F">
        <w:rPr>
          <w:rFonts w:ascii="Times New Roman" w:hAnsi="Times New Roman" w:cs="Times New Roman"/>
          <w:i/>
          <w:color w:val="231F20"/>
          <w:sz w:val="24"/>
          <w:szCs w:val="24"/>
        </w:rPr>
        <w:t>moudaraba</w:t>
      </w:r>
      <w:r w:rsidRPr="002B005F">
        <w:rPr>
          <w:rFonts w:ascii="Times New Roman" w:hAnsi="Times New Roman" w:cs="Times New Roman"/>
          <w:i/>
          <w:color w:val="231F20"/>
          <w:sz w:val="24"/>
          <w:szCs w:val="24"/>
        </w:rPr>
        <w:t xml:space="preserve"> </w:t>
      </w:r>
      <w:r w:rsidRPr="002B005F">
        <w:rPr>
          <w:rFonts w:ascii="Times New Roman" w:hAnsi="Times New Roman" w:cs="Times New Roman"/>
          <w:color w:val="231F20"/>
          <w:sz w:val="24"/>
          <w:szCs w:val="24"/>
        </w:rPr>
        <w:t>est une technique de financement participatif que l’on pourrait résumer comme une forme d’association entre</w:t>
      </w:r>
      <w:r w:rsidR="00780A63" w:rsidRPr="002B005F">
        <w:rPr>
          <w:rFonts w:ascii="Times New Roman" w:hAnsi="Times New Roman" w:cs="Times New Roman"/>
          <w:color w:val="231F20"/>
          <w:sz w:val="24"/>
          <w:szCs w:val="24"/>
        </w:rPr>
        <w:t xml:space="preserve">, d’une part, </w:t>
      </w:r>
      <w:r w:rsidRPr="002B005F">
        <w:rPr>
          <w:rFonts w:ascii="Times New Roman" w:hAnsi="Times New Roman" w:cs="Times New Roman"/>
          <w:color w:val="231F20"/>
          <w:sz w:val="24"/>
          <w:szCs w:val="24"/>
        </w:rPr>
        <w:t>le capital financier et</w:t>
      </w:r>
      <w:r w:rsidR="00780A63" w:rsidRPr="002B005F">
        <w:rPr>
          <w:rFonts w:ascii="Times New Roman" w:hAnsi="Times New Roman" w:cs="Times New Roman"/>
          <w:color w:val="231F20"/>
          <w:sz w:val="24"/>
          <w:szCs w:val="24"/>
        </w:rPr>
        <w:t>,</w:t>
      </w:r>
      <w:r w:rsidRPr="002B005F">
        <w:rPr>
          <w:rFonts w:ascii="Times New Roman" w:hAnsi="Times New Roman" w:cs="Times New Roman"/>
          <w:color w:val="231F20"/>
          <w:sz w:val="24"/>
          <w:szCs w:val="24"/>
        </w:rPr>
        <w:t xml:space="preserve"> </w:t>
      </w:r>
      <w:r w:rsidR="00780A63" w:rsidRPr="002B005F">
        <w:rPr>
          <w:rFonts w:ascii="Times New Roman" w:hAnsi="Times New Roman" w:cs="Times New Roman"/>
          <w:color w:val="231F20"/>
          <w:sz w:val="24"/>
          <w:szCs w:val="24"/>
        </w:rPr>
        <w:t xml:space="preserve">d’autre part, </w:t>
      </w:r>
      <w:r w:rsidRPr="002B005F">
        <w:rPr>
          <w:rFonts w:ascii="Times New Roman" w:hAnsi="Times New Roman" w:cs="Times New Roman"/>
          <w:color w:val="231F20"/>
          <w:sz w:val="24"/>
          <w:szCs w:val="24"/>
        </w:rPr>
        <w:t>le travail en vue de partage</w:t>
      </w:r>
      <w:r w:rsidR="00780A63" w:rsidRPr="002B005F">
        <w:rPr>
          <w:rFonts w:ascii="Times New Roman" w:hAnsi="Times New Roman" w:cs="Times New Roman"/>
          <w:color w:val="231F20"/>
          <w:sz w:val="24"/>
          <w:szCs w:val="24"/>
        </w:rPr>
        <w:t>r les bénéfices réalisés. Ainsi</w:t>
      </w:r>
      <w:r w:rsidRPr="002B005F">
        <w:rPr>
          <w:rFonts w:ascii="Times New Roman" w:hAnsi="Times New Roman" w:cs="Times New Roman"/>
          <w:color w:val="231F20"/>
          <w:sz w:val="24"/>
          <w:szCs w:val="24"/>
        </w:rPr>
        <w:t xml:space="preserve"> elle associe celui qui possède de l’arge</w:t>
      </w:r>
      <w:r w:rsidR="00780A63" w:rsidRPr="002B005F">
        <w:rPr>
          <w:rFonts w:ascii="Times New Roman" w:hAnsi="Times New Roman" w:cs="Times New Roman"/>
          <w:color w:val="231F20"/>
          <w:sz w:val="24"/>
          <w:szCs w:val="24"/>
        </w:rPr>
        <w:t>nt et celui qui ne l’a pas. Cependant, il</w:t>
      </w:r>
      <w:r w:rsidRPr="002B005F">
        <w:rPr>
          <w:rFonts w:ascii="Times New Roman" w:hAnsi="Times New Roman" w:cs="Times New Roman"/>
          <w:color w:val="231F20"/>
          <w:sz w:val="24"/>
          <w:szCs w:val="24"/>
        </w:rPr>
        <w:t xml:space="preserve"> peut </w:t>
      </w:r>
      <w:r w:rsidR="00780A63" w:rsidRPr="002B005F">
        <w:rPr>
          <w:rFonts w:ascii="Times New Roman" w:hAnsi="Times New Roman" w:cs="Times New Roman"/>
          <w:color w:val="231F20"/>
          <w:sz w:val="24"/>
          <w:szCs w:val="24"/>
        </w:rPr>
        <w:t>travailler ;</w:t>
      </w:r>
      <w:r w:rsidRPr="002B005F">
        <w:rPr>
          <w:rFonts w:ascii="Times New Roman" w:hAnsi="Times New Roman" w:cs="Times New Roman"/>
          <w:color w:val="231F20"/>
          <w:sz w:val="24"/>
          <w:szCs w:val="24"/>
        </w:rPr>
        <w:t xml:space="preserve"> ce qui apporte un équilibre social et la solidarité entre les personnes et réduit les effets de la classification sociale.</w:t>
      </w:r>
    </w:p>
    <w:p w14:paraId="637EEEBC" w14:textId="77777777" w:rsidR="002C60C2" w:rsidRPr="002B005F" w:rsidRDefault="00BA6DD8" w:rsidP="007B64B9">
      <w:pPr>
        <w:pStyle w:val="Titre4"/>
        <w:keepNext w:val="0"/>
        <w:spacing w:before="100" w:beforeAutospacing="1" w:after="120" w:line="300" w:lineRule="auto"/>
        <w:ind w:firstLine="709"/>
      </w:pPr>
      <w:bookmarkStart w:id="1221" w:name="_Toc54363340"/>
      <w:bookmarkStart w:id="1222" w:name="_Toc57230240"/>
      <w:bookmarkStart w:id="1223" w:name="_Toc57881361"/>
      <w:bookmarkStart w:id="1224" w:name="_Toc57900831"/>
      <w:bookmarkStart w:id="1225" w:name="_Toc54363341"/>
      <w:bookmarkStart w:id="1226" w:name="_Toc57230241"/>
      <w:bookmarkStart w:id="1227" w:name="_Toc57881362"/>
      <w:bookmarkStart w:id="1228" w:name="_Toc57900832"/>
      <w:bookmarkStart w:id="1229" w:name="_Toc54363343"/>
      <w:bookmarkStart w:id="1230" w:name="_Toc58606333"/>
      <w:bookmarkStart w:id="1231" w:name="_Toc61263538"/>
      <w:bookmarkStart w:id="1232" w:name="_Toc182298845"/>
      <w:bookmarkEnd w:id="1221"/>
      <w:bookmarkEnd w:id="1222"/>
      <w:bookmarkEnd w:id="1223"/>
      <w:bookmarkEnd w:id="1224"/>
      <w:bookmarkEnd w:id="1225"/>
      <w:bookmarkEnd w:id="1226"/>
      <w:bookmarkEnd w:id="1227"/>
      <w:bookmarkEnd w:id="1228"/>
      <w:r w:rsidRPr="002B005F">
        <w:t xml:space="preserve">1.3.1- </w:t>
      </w:r>
      <w:r w:rsidR="005616EC" w:rsidRPr="002B005F">
        <w:t xml:space="preserve">Définition littéraire et technique de la </w:t>
      </w:r>
      <w:r w:rsidR="004A4E16" w:rsidRPr="002B005F">
        <w:rPr>
          <w:i/>
          <w:iCs/>
        </w:rPr>
        <w:t>moudaraba</w:t>
      </w:r>
      <w:bookmarkEnd w:id="1229"/>
      <w:bookmarkEnd w:id="1230"/>
      <w:bookmarkEnd w:id="1231"/>
      <w:bookmarkEnd w:id="1232"/>
    </w:p>
    <w:p w14:paraId="17998BE0" w14:textId="77777777" w:rsidR="002760B2" w:rsidRPr="002B005F" w:rsidRDefault="002760B2" w:rsidP="00686659">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Il a été mentionné ci-dessus que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est un type de partenariat </w:t>
      </w:r>
      <w:r w:rsidR="004A4E16" w:rsidRPr="002B005F">
        <w:rPr>
          <w:rFonts w:ascii="Times New Roman" w:hAnsi="Times New Roman" w:cs="Times New Roman"/>
          <w:i/>
          <w:iCs/>
          <w:sz w:val="24"/>
          <w:szCs w:val="24"/>
        </w:rPr>
        <w:t>ouqou</w:t>
      </w:r>
      <w:r w:rsidRPr="002B005F">
        <w:rPr>
          <w:rFonts w:ascii="Times New Roman" w:hAnsi="Times New Roman" w:cs="Times New Roman"/>
          <w:i/>
          <w:iCs/>
          <w:sz w:val="24"/>
          <w:szCs w:val="24"/>
        </w:rPr>
        <w:t>d</w:t>
      </w:r>
      <w:r w:rsidR="00780A63" w:rsidRPr="002B005F">
        <w:rPr>
          <w:rFonts w:ascii="Times New Roman" w:hAnsi="Times New Roman" w:cs="Times New Roman"/>
          <w:sz w:val="24"/>
          <w:szCs w:val="24"/>
        </w:rPr>
        <w:t xml:space="preserve"> où les partenaires ont</w:t>
      </w:r>
      <w:r w:rsidRPr="002B005F">
        <w:rPr>
          <w:rFonts w:ascii="Times New Roman" w:hAnsi="Times New Roman" w:cs="Times New Roman"/>
          <w:sz w:val="24"/>
          <w:szCs w:val="24"/>
        </w:rPr>
        <w:t xml:space="preserve"> différents types de capitaux. Ce type de partenariat est aussi appelé </w:t>
      </w:r>
      <w:r w:rsidRPr="002B005F">
        <w:rPr>
          <w:rFonts w:ascii="Times New Roman" w:hAnsi="Times New Roman" w:cs="Times New Roman"/>
          <w:i/>
          <w:iCs/>
          <w:sz w:val="24"/>
          <w:szCs w:val="24"/>
        </w:rPr>
        <w:t>qirad</w:t>
      </w:r>
      <w:r w:rsidRPr="002B005F">
        <w:rPr>
          <w:rFonts w:ascii="Times New Roman" w:hAnsi="Times New Roman" w:cs="Times New Roman"/>
          <w:sz w:val="24"/>
          <w:szCs w:val="24"/>
        </w:rPr>
        <w:t xml:space="preserve">, </w:t>
      </w:r>
      <w:r w:rsidRPr="002B005F">
        <w:rPr>
          <w:rFonts w:ascii="Times New Roman" w:hAnsi="Times New Roman" w:cs="Times New Roman"/>
          <w:i/>
          <w:iCs/>
          <w:sz w:val="24"/>
          <w:szCs w:val="24"/>
        </w:rPr>
        <w:t>muqaradah</w:t>
      </w:r>
      <w:r w:rsidRPr="002B005F">
        <w:rPr>
          <w:rFonts w:ascii="Times New Roman" w:hAnsi="Times New Roman" w:cs="Times New Roman"/>
          <w:sz w:val="24"/>
          <w:szCs w:val="24"/>
        </w:rPr>
        <w:t xml:space="preserve"> et </w:t>
      </w:r>
      <w:r w:rsidRPr="002B005F">
        <w:rPr>
          <w:rFonts w:ascii="Times New Roman" w:hAnsi="Times New Roman" w:cs="Times New Roman"/>
          <w:i/>
          <w:iCs/>
          <w:sz w:val="24"/>
          <w:szCs w:val="24"/>
        </w:rPr>
        <w:t>muamalah</w:t>
      </w:r>
      <w:r w:rsidRPr="002B005F">
        <w:rPr>
          <w:rFonts w:ascii="Times New Roman" w:hAnsi="Times New Roman" w:cs="Times New Roman"/>
          <w:sz w:val="24"/>
          <w:szCs w:val="24"/>
        </w:rPr>
        <w:t xml:space="preserve">. Aujourd'hui, le mot couramment utilisé est </w:t>
      </w:r>
      <w:r w:rsidR="004A4E16" w:rsidRPr="002B005F">
        <w:rPr>
          <w:rFonts w:ascii="Times New Roman" w:hAnsi="Times New Roman" w:cs="Times New Roman"/>
          <w:i/>
          <w:sz w:val="24"/>
          <w:szCs w:val="24"/>
        </w:rPr>
        <w:t>moud</w:t>
      </w:r>
      <w:r w:rsidR="00F250F1" w:rsidRPr="002B005F">
        <w:rPr>
          <w:rFonts w:ascii="Times New Roman" w:hAnsi="Times New Roman" w:cs="Times New Roman"/>
          <w:i/>
          <w:sz w:val="24"/>
          <w:szCs w:val="24"/>
        </w:rPr>
        <w:t>araba</w:t>
      </w:r>
      <w:r w:rsidR="00780A63" w:rsidRPr="002B005F">
        <w:rPr>
          <w:rFonts w:ascii="Times New Roman" w:hAnsi="Times New Roman" w:cs="Times New Roman"/>
          <w:sz w:val="24"/>
          <w:szCs w:val="24"/>
        </w:rPr>
        <w:t>.</w:t>
      </w:r>
      <w:r w:rsidRPr="002B005F">
        <w:rPr>
          <w:rFonts w:ascii="Times New Roman" w:hAnsi="Times New Roman" w:cs="Times New Roman"/>
          <w:sz w:val="24"/>
          <w:szCs w:val="24"/>
        </w:rPr>
        <w:t xml:space="preserve"> </w:t>
      </w:r>
      <w:r w:rsidR="00780A63" w:rsidRPr="002B005F">
        <w:rPr>
          <w:rFonts w:ascii="Times New Roman" w:hAnsi="Times New Roman" w:cs="Times New Roman"/>
          <w:sz w:val="24"/>
          <w:szCs w:val="24"/>
        </w:rPr>
        <w:t>Par</w:t>
      </w:r>
      <w:r w:rsidRPr="002B005F">
        <w:rPr>
          <w:rFonts w:ascii="Times New Roman" w:hAnsi="Times New Roman" w:cs="Times New Roman"/>
          <w:sz w:val="24"/>
          <w:szCs w:val="24"/>
        </w:rPr>
        <w:t xml:space="preserve"> conséquent, nous préférons utiliser celui-là.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vient de l'expression </w:t>
      </w:r>
      <w:r w:rsidR="005375A2" w:rsidRPr="002B005F">
        <w:rPr>
          <w:rFonts w:ascii="Times New Roman" w:hAnsi="Times New Roman" w:cs="Times New Roman"/>
          <w:sz w:val="24"/>
          <w:szCs w:val="24"/>
        </w:rPr>
        <w:t>« </w:t>
      </w:r>
      <w:r w:rsidR="004A4E16" w:rsidRPr="002B005F">
        <w:rPr>
          <w:rFonts w:ascii="Times New Roman" w:hAnsi="Times New Roman" w:cs="Times New Roman"/>
          <w:i/>
          <w:iCs/>
          <w:sz w:val="24"/>
          <w:szCs w:val="24"/>
        </w:rPr>
        <w:t>daraba</w:t>
      </w:r>
      <w:r w:rsidRPr="002B005F">
        <w:rPr>
          <w:rFonts w:ascii="Times New Roman" w:hAnsi="Times New Roman" w:cs="Times New Roman"/>
          <w:i/>
          <w:iCs/>
          <w:sz w:val="24"/>
          <w:szCs w:val="24"/>
        </w:rPr>
        <w:t xml:space="preserve"> fil ard</w:t>
      </w:r>
      <w:r w:rsidR="005375A2" w:rsidRPr="002B005F">
        <w:rPr>
          <w:rFonts w:ascii="Times New Roman" w:hAnsi="Times New Roman" w:cs="Times New Roman"/>
          <w:sz w:val="24"/>
          <w:szCs w:val="24"/>
        </w:rPr>
        <w:t> »</w:t>
      </w:r>
      <w:r w:rsidRPr="002B005F">
        <w:rPr>
          <w:rFonts w:ascii="Times New Roman" w:hAnsi="Times New Roman" w:cs="Times New Roman"/>
          <w:sz w:val="24"/>
          <w:szCs w:val="24"/>
        </w:rPr>
        <w:t xml:space="preserve"> qui signifie voyage ou faire un voyage pour le commerce.</w:t>
      </w:r>
    </w:p>
    <w:p w14:paraId="7897C13A" w14:textId="77777777" w:rsidR="002760B2" w:rsidRPr="002B005F" w:rsidRDefault="002760B2" w:rsidP="00780A63">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En termes juridiques,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est un partenariat où une partie </w:t>
      </w:r>
      <w:r w:rsidR="00780A63" w:rsidRPr="002B005F">
        <w:rPr>
          <w:rFonts w:ascii="Times New Roman" w:hAnsi="Times New Roman" w:cs="Times New Roman"/>
          <w:sz w:val="24"/>
          <w:szCs w:val="24"/>
        </w:rPr>
        <w:t xml:space="preserve">appelée </w:t>
      </w:r>
      <w:r w:rsidRPr="002B005F">
        <w:rPr>
          <w:rFonts w:ascii="Times New Roman" w:hAnsi="Times New Roman" w:cs="Times New Roman"/>
          <w:i/>
          <w:iCs/>
          <w:sz w:val="24"/>
          <w:szCs w:val="24"/>
        </w:rPr>
        <w:t>rab al</w:t>
      </w:r>
      <w:r w:rsidR="00780A63" w:rsidRPr="002B005F">
        <w:rPr>
          <w:rFonts w:ascii="Times New Roman" w:hAnsi="Times New Roman" w:cs="Times New Roman"/>
          <w:i/>
          <w:iCs/>
          <w:sz w:val="24"/>
          <w:szCs w:val="24"/>
        </w:rPr>
        <w:t>-</w:t>
      </w:r>
      <w:r w:rsidRPr="002B005F">
        <w:rPr>
          <w:rFonts w:ascii="Times New Roman" w:hAnsi="Times New Roman" w:cs="Times New Roman"/>
          <w:i/>
          <w:iCs/>
          <w:sz w:val="24"/>
          <w:szCs w:val="24"/>
        </w:rPr>
        <w:t>mal</w:t>
      </w:r>
      <w:r w:rsidRPr="002B005F">
        <w:rPr>
          <w:rFonts w:ascii="Times New Roman" w:hAnsi="Times New Roman" w:cs="Times New Roman"/>
          <w:sz w:val="24"/>
          <w:szCs w:val="24"/>
        </w:rPr>
        <w:t xml:space="preserve"> fournit son capital et l'autre partie </w:t>
      </w:r>
      <w:r w:rsidR="00F076DE" w:rsidRPr="002B005F">
        <w:rPr>
          <w:rFonts w:ascii="Times New Roman" w:hAnsi="Times New Roman" w:cs="Times New Roman"/>
          <w:sz w:val="24"/>
          <w:szCs w:val="24"/>
        </w:rPr>
        <w:t xml:space="preserve">désignée </w:t>
      </w:r>
      <w:r w:rsidR="004A4E16" w:rsidRPr="002B005F">
        <w:rPr>
          <w:rFonts w:ascii="Times New Roman" w:hAnsi="Times New Roman" w:cs="Times New Roman"/>
          <w:i/>
          <w:iCs/>
          <w:sz w:val="24"/>
          <w:szCs w:val="24"/>
        </w:rPr>
        <w:t>moudarib</w:t>
      </w:r>
      <w:r w:rsidRPr="002B005F">
        <w:rPr>
          <w:rFonts w:ascii="Times New Roman" w:hAnsi="Times New Roman" w:cs="Times New Roman"/>
          <w:sz w:val="24"/>
          <w:szCs w:val="24"/>
        </w:rPr>
        <w:t xml:space="preserve"> fournit son travail</w:t>
      </w:r>
      <w:r w:rsidRPr="002B005F">
        <w:rPr>
          <w:rStyle w:val="Appelnotedebasdep"/>
          <w:rFonts w:ascii="Times New Roman" w:hAnsi="Times New Roman"/>
          <w:sz w:val="24"/>
          <w:szCs w:val="24"/>
        </w:rPr>
        <w:footnoteReference w:id="321"/>
      </w:r>
      <w:r w:rsidRPr="002B005F">
        <w:rPr>
          <w:rFonts w:ascii="Times New Roman" w:hAnsi="Times New Roman" w:cs="Times New Roman"/>
          <w:sz w:val="24"/>
          <w:szCs w:val="24"/>
        </w:rPr>
        <w:t>.</w:t>
      </w:r>
    </w:p>
    <w:p w14:paraId="70DCB864" w14:textId="77777777" w:rsidR="005616EC" w:rsidRPr="002B005F" w:rsidRDefault="002760B2" w:rsidP="00686659">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mallCaps/>
          <w:sz w:val="24"/>
          <w:szCs w:val="24"/>
        </w:rPr>
        <w:t>Ibn Rushd</w:t>
      </w:r>
      <w:r w:rsidRPr="002B005F">
        <w:rPr>
          <w:rStyle w:val="Appelnotedebasdep"/>
          <w:rFonts w:ascii="Times New Roman" w:hAnsi="Times New Roman"/>
          <w:sz w:val="24"/>
          <w:szCs w:val="24"/>
        </w:rPr>
        <w:footnoteReference w:id="322"/>
      </w:r>
      <w:r w:rsidRPr="002B005F">
        <w:rPr>
          <w:rFonts w:ascii="Times New Roman" w:hAnsi="Times New Roman" w:cs="Times New Roman"/>
          <w:sz w:val="24"/>
          <w:szCs w:val="24"/>
        </w:rPr>
        <w:t xml:space="preserve"> qui était un membre de l'école </w:t>
      </w:r>
      <w:r w:rsidR="00F076DE" w:rsidRPr="006C1230">
        <w:rPr>
          <w:rFonts w:ascii="Times New Roman" w:hAnsi="Times New Roman" w:cs="Times New Roman"/>
          <w:sz w:val="24"/>
          <w:szCs w:val="24"/>
        </w:rPr>
        <w:t>m</w:t>
      </w:r>
      <w:r w:rsidRPr="006C1230">
        <w:rPr>
          <w:rFonts w:ascii="Times New Roman" w:hAnsi="Times New Roman" w:cs="Times New Roman"/>
          <w:sz w:val="24"/>
          <w:szCs w:val="24"/>
        </w:rPr>
        <w:t>alikite</w:t>
      </w:r>
      <w:r w:rsidRPr="002B005F">
        <w:rPr>
          <w:rFonts w:ascii="Times New Roman" w:hAnsi="Times New Roman" w:cs="Times New Roman"/>
          <w:sz w:val="24"/>
          <w:szCs w:val="24"/>
        </w:rPr>
        <w:t xml:space="preserve"> décrit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 </w:t>
      </w:r>
      <w:r w:rsidRPr="002B005F">
        <w:rPr>
          <w:rFonts w:ascii="Times New Roman" w:hAnsi="Times New Roman" w:cs="Times New Roman"/>
          <w:i/>
          <w:iCs/>
          <w:sz w:val="24"/>
          <w:szCs w:val="24"/>
        </w:rPr>
        <w:t>qirad</w:t>
      </w:r>
      <w:r w:rsidRPr="002B005F">
        <w:rPr>
          <w:rFonts w:ascii="Times New Roman" w:hAnsi="Times New Roman" w:cs="Times New Roman"/>
          <w:sz w:val="24"/>
          <w:szCs w:val="24"/>
        </w:rPr>
        <w:t xml:space="preserve"> comme suit</w:t>
      </w:r>
      <w:r w:rsidR="00BA6DD8" w:rsidRPr="002B005F">
        <w:rPr>
          <w:rFonts w:ascii="Times New Roman" w:hAnsi="Times New Roman" w:cs="Times New Roman"/>
          <w:sz w:val="24"/>
          <w:szCs w:val="24"/>
        </w:rPr>
        <w:t> :</w:t>
      </w:r>
      <w:r w:rsidRPr="002B005F">
        <w:rPr>
          <w:rFonts w:ascii="Times New Roman" w:hAnsi="Times New Roman" w:cs="Times New Roman"/>
          <w:sz w:val="24"/>
          <w:szCs w:val="24"/>
        </w:rPr>
        <w:t xml:space="preserve"> « ... </w:t>
      </w:r>
      <w:r w:rsidRPr="002B005F">
        <w:rPr>
          <w:rFonts w:ascii="Times New Roman" w:hAnsi="Times New Roman" w:cs="Times New Roman"/>
          <w:i/>
          <w:iCs/>
          <w:sz w:val="24"/>
          <w:szCs w:val="24"/>
        </w:rPr>
        <w:t>c'est l’apport de capitaux par une personne à un autre pour effectuer un commerce avec lui (en retour) pour un ratio défini du bénéfice que le travailleur gagne, c'est-à-dire, une partie qui est acceptée par les deux comme troisième, quatrième ou moitié</w:t>
      </w:r>
      <w:r w:rsidRPr="002B005F">
        <w:rPr>
          <w:rFonts w:ascii="Times New Roman" w:hAnsi="Times New Roman" w:cs="Times New Roman"/>
          <w:sz w:val="24"/>
          <w:szCs w:val="24"/>
        </w:rPr>
        <w:t xml:space="preserve"> ». Brièvement,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est un partenariat capital-travail.</w:t>
      </w:r>
    </w:p>
    <w:p w14:paraId="5E9ACAF0" w14:textId="77777777" w:rsidR="005616EC" w:rsidRPr="002B005F" w:rsidRDefault="00BA6DD8" w:rsidP="00A42632">
      <w:pPr>
        <w:pStyle w:val="Titre4"/>
        <w:keepNext w:val="0"/>
        <w:spacing w:before="100" w:beforeAutospacing="1" w:after="120" w:line="300" w:lineRule="auto"/>
        <w:ind w:firstLine="709"/>
      </w:pPr>
      <w:bookmarkStart w:id="1233" w:name="_Toc54363344"/>
      <w:bookmarkStart w:id="1234" w:name="_Toc58606334"/>
      <w:bookmarkStart w:id="1235" w:name="_Toc61263539"/>
      <w:bookmarkStart w:id="1236" w:name="_Toc182298846"/>
      <w:r w:rsidRPr="002B005F">
        <w:t xml:space="preserve">1.3.2- </w:t>
      </w:r>
      <w:r w:rsidR="00233D15" w:rsidRPr="002B005F">
        <w:t>L</w:t>
      </w:r>
      <w:r w:rsidR="005616EC" w:rsidRPr="002B005F">
        <w:t xml:space="preserve">égitimité de la </w:t>
      </w:r>
      <w:r w:rsidR="004A4E16" w:rsidRPr="002B005F">
        <w:rPr>
          <w:i/>
          <w:iCs/>
        </w:rPr>
        <w:t>moudaraba</w:t>
      </w:r>
      <w:bookmarkEnd w:id="1233"/>
      <w:bookmarkEnd w:id="1234"/>
      <w:bookmarkEnd w:id="1235"/>
      <w:bookmarkEnd w:id="1236"/>
    </w:p>
    <w:p w14:paraId="736847B4" w14:textId="77777777" w:rsidR="002760B2" w:rsidRDefault="002760B2" w:rsidP="00686659">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La légitimité de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peut être tirée à travers les sources fondamentales de l'</w:t>
      </w:r>
      <w:r w:rsidR="00F34669" w:rsidRPr="002B005F">
        <w:rPr>
          <w:rFonts w:ascii="Times New Roman" w:hAnsi="Times New Roman" w:cs="Times New Roman"/>
          <w:iCs/>
          <w:sz w:val="24"/>
          <w:szCs w:val="24"/>
        </w:rPr>
        <w:t>Islam</w:t>
      </w:r>
      <w:r w:rsidRPr="002B005F">
        <w:rPr>
          <w:rFonts w:ascii="Times New Roman" w:hAnsi="Times New Roman" w:cs="Times New Roman"/>
          <w:sz w:val="24"/>
          <w:szCs w:val="24"/>
        </w:rPr>
        <w:t xml:space="preserve">. Les versets ci-dessous décrivent la </w:t>
      </w:r>
      <w:r w:rsidR="005375A2" w:rsidRPr="002B005F">
        <w:rPr>
          <w:rFonts w:ascii="Times New Roman" w:hAnsi="Times New Roman" w:cs="Times New Roman"/>
          <w:i/>
          <w:sz w:val="24"/>
          <w:szCs w:val="24"/>
        </w:rPr>
        <w:t>moudaraba</w:t>
      </w:r>
      <w:r w:rsidR="005375A2" w:rsidRPr="002B005F">
        <w:rPr>
          <w:rFonts w:ascii="Times New Roman" w:hAnsi="Times New Roman" w:cs="Times New Roman"/>
          <w:sz w:val="24"/>
          <w:szCs w:val="24"/>
        </w:rPr>
        <w:t> :</w:t>
      </w:r>
    </w:p>
    <w:p w14:paraId="0293C186" w14:textId="5618AF77" w:rsidR="002B2DBE" w:rsidRPr="002B2DBE" w:rsidRDefault="002B2DBE" w:rsidP="007B64B9">
      <w:pPr>
        <w:pStyle w:val="Paragraphedeliste"/>
        <w:tabs>
          <w:tab w:val="left" w:pos="0"/>
        </w:tabs>
        <w:autoSpaceDE w:val="0"/>
        <w:autoSpaceDN w:val="0"/>
        <w:bidi/>
        <w:adjustRightInd w:val="0"/>
        <w:spacing w:before="120" w:line="300" w:lineRule="auto"/>
        <w:ind w:left="0" w:right="709"/>
        <w:contextualSpacing w:val="0"/>
        <w:rPr>
          <w:rFonts w:ascii="Times New Roman" w:hAnsi="Times New Roman" w:cs="Times New Roman"/>
          <w:sz w:val="26"/>
          <w:szCs w:val="26"/>
          <w:lang w:bidi="ar-DZ"/>
        </w:rPr>
      </w:pPr>
      <w:r w:rsidRPr="002B2DBE">
        <w:rPr>
          <w:rFonts w:hint="cs"/>
          <w:color w:val="000000"/>
          <w:sz w:val="26"/>
          <w:szCs w:val="26"/>
          <w:shd w:val="clear" w:color="auto" w:fill="FFFFFF"/>
          <w:rtl/>
        </w:rPr>
        <w:t>"...</w:t>
      </w:r>
      <w:r w:rsidRPr="0000609B">
        <w:rPr>
          <w:rFonts w:asciiTheme="majorBidi" w:hAnsiTheme="majorBidi" w:cstheme="majorBidi"/>
          <w:color w:val="000000"/>
          <w:sz w:val="26"/>
          <w:szCs w:val="26"/>
          <w:shd w:val="clear" w:color="auto" w:fill="FFFFFF"/>
          <w:rtl/>
        </w:rPr>
        <w:t>عَلِمَ أَن سَيَكُونُ مِنكُم مَّرْضَىٰ و</w:t>
      </w:r>
      <w:r w:rsidR="00A734F9">
        <w:rPr>
          <w:rFonts w:asciiTheme="majorBidi" w:hAnsiTheme="majorBidi" w:cstheme="majorBidi" w:hint="cs"/>
          <w:color w:val="000000"/>
          <w:sz w:val="26"/>
          <w:szCs w:val="26"/>
          <w:shd w:val="clear" w:color="auto" w:fill="FFFFFF"/>
          <w:rtl/>
        </w:rPr>
        <w:t>آ</w:t>
      </w:r>
      <w:r w:rsidRPr="0000609B">
        <w:rPr>
          <w:rFonts w:asciiTheme="majorBidi" w:hAnsiTheme="majorBidi" w:cstheme="majorBidi"/>
          <w:color w:val="000000"/>
          <w:sz w:val="26"/>
          <w:szCs w:val="26"/>
          <w:shd w:val="clear" w:color="auto" w:fill="FFFFFF"/>
          <w:rtl/>
        </w:rPr>
        <w:t>خَرُونَ يَضْرِبُونَ فِ</w:t>
      </w:r>
      <w:r w:rsidR="00A734F9">
        <w:rPr>
          <w:rFonts w:asciiTheme="majorBidi" w:hAnsiTheme="majorBidi" w:cstheme="majorBidi" w:hint="cs"/>
          <w:color w:val="000000"/>
          <w:sz w:val="26"/>
          <w:szCs w:val="26"/>
          <w:shd w:val="clear" w:color="auto" w:fill="FFFFFF"/>
          <w:rtl/>
        </w:rPr>
        <w:t>ي</w:t>
      </w:r>
      <w:r w:rsidRPr="0000609B">
        <w:rPr>
          <w:rFonts w:asciiTheme="majorBidi" w:hAnsiTheme="majorBidi" w:cstheme="majorBidi"/>
          <w:color w:val="000000"/>
          <w:sz w:val="26"/>
          <w:szCs w:val="26"/>
          <w:shd w:val="clear" w:color="auto" w:fill="FFFFFF"/>
          <w:rtl/>
        </w:rPr>
        <w:t xml:space="preserve"> </w:t>
      </w:r>
      <w:r w:rsidR="00A734F9">
        <w:rPr>
          <w:rFonts w:asciiTheme="majorBidi" w:hAnsiTheme="majorBidi" w:cstheme="majorBidi" w:hint="cs"/>
          <w:color w:val="000000"/>
          <w:sz w:val="26"/>
          <w:szCs w:val="26"/>
          <w:shd w:val="clear" w:color="auto" w:fill="FFFFFF"/>
          <w:rtl/>
        </w:rPr>
        <w:t>ا</w:t>
      </w:r>
      <w:r w:rsidRPr="0000609B">
        <w:rPr>
          <w:rFonts w:asciiTheme="majorBidi" w:hAnsiTheme="majorBidi" w:cstheme="majorBidi"/>
          <w:color w:val="000000"/>
          <w:sz w:val="26"/>
          <w:szCs w:val="26"/>
          <w:shd w:val="clear" w:color="auto" w:fill="FFFFFF"/>
          <w:rtl/>
        </w:rPr>
        <w:t xml:space="preserve">لْأَرْضِ يَبْتَغُونَ مِن فَضْلِ </w:t>
      </w:r>
      <w:r w:rsidR="00A734F9">
        <w:rPr>
          <w:rFonts w:asciiTheme="majorBidi" w:hAnsiTheme="majorBidi" w:cstheme="majorBidi" w:hint="cs"/>
          <w:color w:val="000000"/>
          <w:sz w:val="26"/>
          <w:szCs w:val="26"/>
          <w:shd w:val="clear" w:color="auto" w:fill="FFFFFF"/>
          <w:rtl/>
        </w:rPr>
        <w:t>ا</w:t>
      </w:r>
      <w:r w:rsidRPr="0000609B">
        <w:rPr>
          <w:rFonts w:asciiTheme="majorBidi" w:hAnsiTheme="majorBidi" w:cstheme="majorBidi"/>
          <w:color w:val="000000"/>
          <w:sz w:val="26"/>
          <w:szCs w:val="26"/>
          <w:shd w:val="clear" w:color="auto" w:fill="FFFFFF"/>
          <w:rtl/>
        </w:rPr>
        <w:t xml:space="preserve">للَّهِ </w:t>
      </w:r>
      <w:r w:rsidR="00A734F9" w:rsidRPr="0000609B">
        <w:rPr>
          <w:rFonts w:asciiTheme="majorBidi" w:hAnsiTheme="majorBidi" w:cstheme="majorBidi"/>
          <w:color w:val="000000"/>
          <w:sz w:val="26"/>
          <w:szCs w:val="26"/>
          <w:shd w:val="clear" w:color="auto" w:fill="FFFFFF"/>
          <w:rtl/>
        </w:rPr>
        <w:t>و</w:t>
      </w:r>
      <w:r w:rsidR="00A734F9">
        <w:rPr>
          <w:rFonts w:asciiTheme="majorBidi" w:hAnsiTheme="majorBidi" w:cstheme="majorBidi" w:hint="cs"/>
          <w:color w:val="000000"/>
          <w:sz w:val="26"/>
          <w:szCs w:val="26"/>
          <w:shd w:val="clear" w:color="auto" w:fill="FFFFFF"/>
          <w:rtl/>
        </w:rPr>
        <w:t>آ</w:t>
      </w:r>
      <w:r w:rsidR="00A734F9" w:rsidRPr="0000609B">
        <w:rPr>
          <w:rFonts w:asciiTheme="majorBidi" w:hAnsiTheme="majorBidi" w:cstheme="majorBidi"/>
          <w:color w:val="000000"/>
          <w:sz w:val="26"/>
          <w:szCs w:val="26"/>
          <w:shd w:val="clear" w:color="auto" w:fill="FFFFFF"/>
          <w:rtl/>
        </w:rPr>
        <w:t xml:space="preserve">خَرُونَ </w:t>
      </w:r>
      <w:r w:rsidRPr="0000609B">
        <w:rPr>
          <w:rFonts w:asciiTheme="majorBidi" w:hAnsiTheme="majorBidi" w:cstheme="majorBidi"/>
          <w:color w:val="000000"/>
          <w:sz w:val="26"/>
          <w:szCs w:val="26"/>
          <w:shd w:val="clear" w:color="auto" w:fill="FFFFFF"/>
          <w:rtl/>
        </w:rPr>
        <w:t>يُقَٰتِلُونَ فِ</w:t>
      </w:r>
      <w:r w:rsidR="00A734F9">
        <w:rPr>
          <w:rFonts w:asciiTheme="majorBidi" w:hAnsiTheme="majorBidi" w:cstheme="majorBidi" w:hint="cs"/>
          <w:color w:val="000000"/>
          <w:sz w:val="26"/>
          <w:szCs w:val="26"/>
          <w:shd w:val="clear" w:color="auto" w:fill="FFFFFF"/>
          <w:rtl/>
        </w:rPr>
        <w:t>ي</w:t>
      </w:r>
      <w:r w:rsidRPr="0000609B">
        <w:rPr>
          <w:rFonts w:asciiTheme="majorBidi" w:hAnsiTheme="majorBidi" w:cstheme="majorBidi"/>
          <w:color w:val="000000"/>
          <w:sz w:val="26"/>
          <w:szCs w:val="26"/>
          <w:shd w:val="clear" w:color="auto" w:fill="FFFFFF"/>
          <w:rtl/>
        </w:rPr>
        <w:t xml:space="preserve"> سَبِيلِ </w:t>
      </w:r>
      <w:r w:rsidR="00A734F9">
        <w:rPr>
          <w:rFonts w:asciiTheme="majorBidi" w:hAnsiTheme="majorBidi" w:cstheme="majorBidi" w:hint="cs"/>
          <w:color w:val="000000"/>
          <w:sz w:val="26"/>
          <w:szCs w:val="26"/>
          <w:shd w:val="clear" w:color="auto" w:fill="FFFFFF"/>
          <w:rtl/>
        </w:rPr>
        <w:t>ا</w:t>
      </w:r>
      <w:r w:rsidRPr="0000609B">
        <w:rPr>
          <w:rFonts w:asciiTheme="majorBidi" w:hAnsiTheme="majorBidi" w:cstheme="majorBidi"/>
          <w:color w:val="000000"/>
          <w:sz w:val="26"/>
          <w:szCs w:val="26"/>
          <w:shd w:val="clear" w:color="auto" w:fill="FFFFFF"/>
          <w:rtl/>
        </w:rPr>
        <w:t>للَّهِ.</w:t>
      </w:r>
      <w:r w:rsidRPr="002B2DBE">
        <w:rPr>
          <w:rFonts w:hint="cs"/>
          <w:color w:val="000000"/>
          <w:sz w:val="26"/>
          <w:szCs w:val="26"/>
          <w:shd w:val="clear" w:color="auto" w:fill="FFFFFF"/>
          <w:rtl/>
        </w:rPr>
        <w:t>..</w:t>
      </w:r>
      <w:r w:rsidRPr="0000609B">
        <w:rPr>
          <w:rFonts w:hint="cs"/>
          <w:color w:val="000000"/>
          <w:sz w:val="26"/>
          <w:szCs w:val="26"/>
          <w:shd w:val="clear" w:color="auto" w:fill="FFFFFF"/>
          <w:rtl/>
        </w:rPr>
        <w:t>"</w:t>
      </w:r>
      <w:r w:rsidR="00CA0D8A">
        <w:rPr>
          <w:rFonts w:hint="cs"/>
          <w:color w:val="000000"/>
          <w:sz w:val="26"/>
          <w:szCs w:val="26"/>
          <w:shd w:val="clear" w:color="auto" w:fill="FFFFFF"/>
          <w:rtl/>
        </w:rPr>
        <w:t xml:space="preserve"> </w:t>
      </w:r>
      <w:r w:rsidR="00CA0D8A" w:rsidRPr="00A734F9">
        <w:rPr>
          <w:rFonts w:asciiTheme="majorBidi" w:hAnsiTheme="majorBidi" w:cstheme="majorBidi"/>
          <w:color w:val="000000"/>
          <w:sz w:val="24"/>
          <w:szCs w:val="24"/>
          <w:shd w:val="clear" w:color="auto" w:fill="FFFFFF"/>
          <w:rtl/>
        </w:rPr>
        <w:t>(سورة المزمل</w:t>
      </w:r>
      <w:r w:rsidR="00CA0D8A" w:rsidRPr="00A734F9">
        <w:rPr>
          <w:rFonts w:asciiTheme="majorBidi" w:hAnsiTheme="majorBidi" w:cstheme="majorBidi"/>
          <w:color w:val="000000"/>
          <w:sz w:val="24"/>
          <w:szCs w:val="24"/>
          <w:shd w:val="clear" w:color="auto" w:fill="FFFFFF"/>
          <w:rtl/>
          <w:lang w:bidi="ar-DZ"/>
        </w:rPr>
        <w:t>، الآية 20</w:t>
      </w:r>
      <w:r w:rsidR="00CA0D8A" w:rsidRPr="00A734F9">
        <w:rPr>
          <w:rFonts w:asciiTheme="majorBidi" w:hAnsiTheme="majorBidi" w:cstheme="majorBidi"/>
          <w:color w:val="000000"/>
          <w:sz w:val="24"/>
          <w:szCs w:val="24"/>
          <w:shd w:val="clear" w:color="auto" w:fill="FFFFFF"/>
          <w:rtl/>
        </w:rPr>
        <w:t>)</w:t>
      </w:r>
    </w:p>
    <w:p w14:paraId="7973F257" w14:textId="007C7872" w:rsidR="002760B2" w:rsidRPr="00CA0D8A" w:rsidRDefault="002760B2" w:rsidP="0029442E">
      <w:pPr>
        <w:pStyle w:val="Paragraphedeliste"/>
        <w:tabs>
          <w:tab w:val="left" w:pos="0"/>
        </w:tabs>
        <w:autoSpaceDE w:val="0"/>
        <w:autoSpaceDN w:val="0"/>
        <w:adjustRightInd w:val="0"/>
        <w:spacing w:before="120" w:line="300" w:lineRule="auto"/>
        <w:ind w:left="709" w:right="-1"/>
        <w:contextualSpacing w:val="0"/>
        <w:rPr>
          <w:rFonts w:ascii="Times New Roman" w:hAnsi="Times New Roman" w:cs="Times New Roman"/>
          <w:color w:val="000000"/>
          <w:sz w:val="24"/>
          <w:szCs w:val="24"/>
        </w:rPr>
      </w:pPr>
      <w:r w:rsidRPr="00CA0D8A">
        <w:rPr>
          <w:rFonts w:ascii="Times New Roman" w:hAnsi="Times New Roman" w:cs="Times New Roman"/>
          <w:color w:val="000000"/>
          <w:sz w:val="24"/>
          <w:szCs w:val="24"/>
        </w:rPr>
        <w:t>« …</w:t>
      </w:r>
      <w:r w:rsidRPr="00CA0D8A">
        <w:rPr>
          <w:rFonts w:ascii="Times New Roman" w:hAnsi="Times New Roman" w:cs="Times New Roman"/>
          <w:i/>
          <w:iCs/>
          <w:color w:val="000000"/>
          <w:sz w:val="24"/>
          <w:szCs w:val="24"/>
        </w:rPr>
        <w:t>Il sait qu’il y aura parmi vous des malades, et d’autres qui voyageront sur la terre, en quête de la grâce d’Allah, et d’autres encore qui combattront dans le chemin d’Allah</w:t>
      </w:r>
      <w:r w:rsidRPr="00CA0D8A">
        <w:rPr>
          <w:rFonts w:ascii="Times New Roman" w:hAnsi="Times New Roman" w:cs="Times New Roman"/>
          <w:color w:val="000000"/>
          <w:sz w:val="24"/>
          <w:szCs w:val="24"/>
        </w:rPr>
        <w:t>… »</w:t>
      </w:r>
      <w:r w:rsidR="00F47926" w:rsidRPr="00CA0D8A">
        <w:rPr>
          <w:rFonts w:ascii="Times New Roman" w:hAnsi="Times New Roman" w:cs="Times New Roman"/>
          <w:color w:val="000000"/>
          <w:sz w:val="24"/>
          <w:szCs w:val="24"/>
        </w:rPr>
        <w:t>.</w:t>
      </w:r>
      <w:r w:rsidR="00F47926" w:rsidRPr="00CA0D8A">
        <w:rPr>
          <w:rStyle w:val="Appelnotedebasdep"/>
          <w:rFonts w:ascii="Times New Roman" w:hAnsi="Times New Roman"/>
          <w:color w:val="000000"/>
          <w:sz w:val="24"/>
          <w:szCs w:val="24"/>
        </w:rPr>
        <w:footnoteReference w:id="323"/>
      </w:r>
      <w:r w:rsidR="007B64B9">
        <w:rPr>
          <w:rFonts w:ascii="Times New Roman" w:hAnsi="Times New Roman" w:cs="Times New Roman" w:hint="cs"/>
          <w:color w:val="000000"/>
          <w:sz w:val="24"/>
          <w:szCs w:val="24"/>
          <w:rtl/>
        </w:rPr>
        <w:t xml:space="preserve"> </w:t>
      </w:r>
      <w:r w:rsidR="00CA0D8A" w:rsidRPr="00CA0D8A">
        <w:rPr>
          <w:rFonts w:ascii="Times New Roman" w:hAnsi="Times New Roman" w:cs="Times New Roman"/>
          <w:b/>
          <w:bCs/>
          <w:color w:val="000000"/>
          <w:sz w:val="24"/>
          <w:szCs w:val="24"/>
        </w:rPr>
        <w:t>(</w:t>
      </w:r>
      <w:r w:rsidR="00CA0D8A" w:rsidRPr="00A734F9">
        <w:rPr>
          <w:rFonts w:ascii="Times New Roman" w:hAnsi="Times New Roman" w:cs="Times New Roman"/>
          <w:color w:val="000000"/>
          <w:sz w:val="24"/>
          <w:szCs w:val="24"/>
        </w:rPr>
        <w:t>Sourate 73, Verset 20)</w:t>
      </w:r>
    </w:p>
    <w:p w14:paraId="7024EA71" w14:textId="77777777" w:rsidR="002760B2" w:rsidRPr="002B005F" w:rsidRDefault="002760B2" w:rsidP="00686659">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Même s'il n'y a pas de mention directe de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dans le Coran, l'expression de </w:t>
      </w:r>
      <w:r w:rsidR="004A4E16" w:rsidRPr="002B005F">
        <w:rPr>
          <w:rFonts w:ascii="Times New Roman" w:hAnsi="Times New Roman" w:cs="Times New Roman"/>
          <w:i/>
          <w:iCs/>
          <w:sz w:val="24"/>
          <w:szCs w:val="24"/>
        </w:rPr>
        <w:t>daraba</w:t>
      </w:r>
      <w:r w:rsidRPr="002B005F">
        <w:rPr>
          <w:rFonts w:ascii="Times New Roman" w:hAnsi="Times New Roman" w:cs="Times New Roman"/>
          <w:i/>
          <w:iCs/>
          <w:sz w:val="24"/>
          <w:szCs w:val="24"/>
        </w:rPr>
        <w:t xml:space="preserve"> fil ard</w:t>
      </w:r>
      <w:r w:rsidRPr="002B005F">
        <w:rPr>
          <w:rFonts w:ascii="Times New Roman" w:hAnsi="Times New Roman" w:cs="Times New Roman"/>
          <w:sz w:val="24"/>
          <w:szCs w:val="24"/>
        </w:rPr>
        <w:t xml:space="preserve"> c'est-à-dire faire un voyage pour le commerce est utilisé dans les versets ci-dessus. Des références plus significatives sur la </w:t>
      </w:r>
      <w:r w:rsidR="004A4E16" w:rsidRPr="002B005F">
        <w:rPr>
          <w:rFonts w:ascii="Times New Roman" w:hAnsi="Times New Roman" w:cs="Times New Roman"/>
          <w:i/>
          <w:iCs/>
          <w:sz w:val="24"/>
          <w:szCs w:val="24"/>
        </w:rPr>
        <w:t>moudaraba</w:t>
      </w:r>
      <w:r w:rsidRPr="002B005F">
        <w:rPr>
          <w:rFonts w:ascii="Times New Roman" w:hAnsi="Times New Roman" w:cs="Times New Roman"/>
          <w:sz w:val="24"/>
          <w:szCs w:val="24"/>
        </w:rPr>
        <w:t xml:space="preserve"> peuvent être trouvées dans la littérature </w:t>
      </w:r>
      <w:r w:rsidRPr="002B005F">
        <w:rPr>
          <w:rFonts w:ascii="Times New Roman" w:hAnsi="Times New Roman" w:cs="Times New Roman"/>
          <w:i/>
          <w:iCs/>
          <w:sz w:val="24"/>
          <w:szCs w:val="24"/>
        </w:rPr>
        <w:t>hadithique</w:t>
      </w:r>
      <w:r w:rsidRPr="002B005F">
        <w:rPr>
          <w:rFonts w:ascii="Times New Roman" w:hAnsi="Times New Roman" w:cs="Times New Roman"/>
          <w:sz w:val="24"/>
          <w:szCs w:val="24"/>
        </w:rPr>
        <w:t xml:space="preserve">. À cet égard, certains </w:t>
      </w:r>
      <w:r w:rsidRPr="002B005F">
        <w:rPr>
          <w:rFonts w:ascii="Times New Roman" w:hAnsi="Times New Roman" w:cs="Times New Roman"/>
          <w:i/>
          <w:iCs/>
          <w:sz w:val="24"/>
          <w:szCs w:val="24"/>
        </w:rPr>
        <w:t>hadiths</w:t>
      </w:r>
      <w:r w:rsidRPr="002B005F">
        <w:rPr>
          <w:rFonts w:ascii="Times New Roman" w:hAnsi="Times New Roman" w:cs="Times New Roman"/>
          <w:sz w:val="24"/>
          <w:szCs w:val="24"/>
        </w:rPr>
        <w:t xml:space="preserve"> sur la légitimité de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peuvent être cités ci-</w:t>
      </w:r>
      <w:r w:rsidR="005375A2" w:rsidRPr="002B005F">
        <w:rPr>
          <w:rFonts w:ascii="Times New Roman" w:hAnsi="Times New Roman" w:cs="Times New Roman"/>
          <w:sz w:val="24"/>
          <w:szCs w:val="24"/>
        </w:rPr>
        <w:t>dessous :</w:t>
      </w:r>
    </w:p>
    <w:p w14:paraId="5342E51D" w14:textId="77777777" w:rsidR="00F47926" w:rsidRPr="002B005F" w:rsidRDefault="002760B2" w:rsidP="00CB0FF1">
      <w:pPr>
        <w:pStyle w:val="Paragraphedeliste"/>
        <w:keepNext/>
        <w:numPr>
          <w:ilvl w:val="0"/>
          <w:numId w:val="16"/>
        </w:numPr>
        <w:tabs>
          <w:tab w:val="left" w:pos="0"/>
          <w:tab w:val="left" w:pos="426"/>
        </w:tabs>
        <w:autoSpaceDE w:val="0"/>
        <w:autoSpaceDN w:val="0"/>
        <w:adjustRightInd w:val="0"/>
        <w:spacing w:before="120"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mallCaps/>
          <w:sz w:val="24"/>
          <w:szCs w:val="24"/>
        </w:rPr>
        <w:lastRenderedPageBreak/>
        <w:t>Suhaib</w:t>
      </w:r>
      <w:r w:rsidRPr="002B005F">
        <w:rPr>
          <w:rFonts w:ascii="Times New Roman" w:hAnsi="Times New Roman" w:cs="Times New Roman"/>
          <w:sz w:val="24"/>
          <w:szCs w:val="24"/>
        </w:rPr>
        <w:t xml:space="preserve"> a rapporté que le </w:t>
      </w:r>
      <w:r w:rsidR="000F7C95" w:rsidRPr="002B005F">
        <w:rPr>
          <w:rFonts w:ascii="Times New Roman" w:hAnsi="Times New Roman" w:cs="Times New Roman"/>
          <w:sz w:val="24"/>
          <w:szCs w:val="24"/>
        </w:rPr>
        <w:t>M</w:t>
      </w:r>
      <w:r w:rsidRPr="002B005F">
        <w:rPr>
          <w:rFonts w:ascii="Times New Roman" w:hAnsi="Times New Roman" w:cs="Times New Roman"/>
          <w:sz w:val="24"/>
          <w:szCs w:val="24"/>
        </w:rPr>
        <w:t>essager d'</w:t>
      </w:r>
      <w:r w:rsidRPr="002B005F">
        <w:rPr>
          <w:rFonts w:ascii="Times New Roman" w:hAnsi="Times New Roman" w:cs="Times New Roman"/>
          <w:i/>
          <w:iCs/>
          <w:sz w:val="24"/>
          <w:szCs w:val="24"/>
        </w:rPr>
        <w:t>Allah</w:t>
      </w:r>
      <w:r w:rsidRPr="002B005F">
        <w:rPr>
          <w:rFonts w:ascii="Times New Roman" w:hAnsi="Times New Roman" w:cs="Times New Roman"/>
          <w:sz w:val="24"/>
          <w:szCs w:val="24"/>
        </w:rPr>
        <w:t xml:space="preserve"> a dit</w:t>
      </w:r>
      <w:r w:rsidR="00F47926" w:rsidRPr="002B005F">
        <w:rPr>
          <w:rFonts w:ascii="Times New Roman" w:hAnsi="Times New Roman" w:cs="Times New Roman"/>
          <w:sz w:val="24"/>
          <w:szCs w:val="24"/>
        </w:rPr>
        <w:t> :</w:t>
      </w:r>
    </w:p>
    <w:p w14:paraId="485C7150" w14:textId="77777777" w:rsidR="002760B2" w:rsidRPr="002B005F" w:rsidRDefault="002760B2" w:rsidP="00F47926">
      <w:pPr>
        <w:pStyle w:val="Paragraphedeliste"/>
        <w:tabs>
          <w:tab w:val="left" w:pos="0"/>
          <w:tab w:val="left" w:pos="426"/>
        </w:tabs>
        <w:autoSpaceDE w:val="0"/>
        <w:autoSpaceDN w:val="0"/>
        <w:adjustRightInd w:val="0"/>
        <w:spacing w:before="120" w:line="300" w:lineRule="auto"/>
        <w:ind w:left="1134" w:right="567"/>
        <w:contextualSpacing w:val="0"/>
        <w:rPr>
          <w:rFonts w:ascii="Times New Roman" w:hAnsi="Times New Roman" w:cs="Times New Roman"/>
          <w:sz w:val="24"/>
          <w:szCs w:val="24"/>
        </w:rPr>
      </w:pPr>
      <w:r w:rsidRPr="002B005F">
        <w:rPr>
          <w:rFonts w:ascii="Times New Roman" w:hAnsi="Times New Roman" w:cs="Times New Roman"/>
        </w:rPr>
        <w:t>« </w:t>
      </w:r>
      <w:r w:rsidRPr="002B005F">
        <w:rPr>
          <w:rFonts w:ascii="Times New Roman" w:hAnsi="Times New Roman" w:cs="Times New Roman"/>
          <w:i/>
          <w:iCs/>
        </w:rPr>
        <w:t>Il y a trois choses qui sont bénis, la vente avec un crédit reporté, muqaradah et le mélange de blé et d'orge pour son ménage et pas pour la vente</w:t>
      </w:r>
      <w:r w:rsidRPr="002B005F">
        <w:rPr>
          <w:rFonts w:ascii="Times New Roman" w:hAnsi="Times New Roman" w:cs="Times New Roman"/>
        </w:rPr>
        <w:t> »</w:t>
      </w:r>
      <w:r w:rsidRPr="002B005F">
        <w:rPr>
          <w:rStyle w:val="Appelnotedebasdep"/>
          <w:rFonts w:ascii="Times New Roman" w:hAnsi="Times New Roman"/>
          <w:sz w:val="24"/>
          <w:szCs w:val="24"/>
        </w:rPr>
        <w:footnoteReference w:id="324"/>
      </w:r>
      <w:r w:rsidRPr="002B005F">
        <w:rPr>
          <w:rFonts w:ascii="Times New Roman" w:hAnsi="Times New Roman" w:cs="Times New Roman"/>
          <w:sz w:val="24"/>
          <w:szCs w:val="24"/>
        </w:rPr>
        <w:t>.</w:t>
      </w:r>
    </w:p>
    <w:p w14:paraId="1D73D37F" w14:textId="77777777" w:rsidR="002760B2" w:rsidRPr="002B005F" w:rsidRDefault="002760B2" w:rsidP="00CB0FF1">
      <w:pPr>
        <w:pStyle w:val="Paragraphedeliste"/>
        <w:numPr>
          <w:ilvl w:val="0"/>
          <w:numId w:val="16"/>
        </w:numPr>
        <w:tabs>
          <w:tab w:val="left" w:pos="0"/>
          <w:tab w:val="left" w:pos="426"/>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mallCaps/>
          <w:sz w:val="24"/>
          <w:szCs w:val="24"/>
        </w:rPr>
        <w:t>Malik</w:t>
      </w:r>
      <w:r w:rsidRPr="002B005F">
        <w:rPr>
          <w:rFonts w:ascii="Times New Roman" w:hAnsi="Times New Roman" w:cs="Times New Roman"/>
          <w:sz w:val="24"/>
          <w:szCs w:val="24"/>
        </w:rPr>
        <w:t xml:space="preserve"> a </w:t>
      </w:r>
      <w:r w:rsidR="005375A2" w:rsidRPr="002B005F">
        <w:rPr>
          <w:rFonts w:ascii="Times New Roman" w:hAnsi="Times New Roman" w:cs="Times New Roman"/>
          <w:sz w:val="24"/>
          <w:szCs w:val="24"/>
        </w:rPr>
        <w:t>dit :</w:t>
      </w:r>
      <w:r w:rsidRPr="002B005F">
        <w:rPr>
          <w:rFonts w:ascii="Times New Roman" w:hAnsi="Times New Roman" w:cs="Times New Roman"/>
          <w:sz w:val="24"/>
          <w:szCs w:val="24"/>
        </w:rPr>
        <w:t xml:space="preserve"> « La </w:t>
      </w:r>
      <w:r w:rsidRPr="002B005F">
        <w:rPr>
          <w:rFonts w:ascii="Times New Roman" w:hAnsi="Times New Roman" w:cs="Times New Roman"/>
          <w:i/>
          <w:iCs/>
          <w:sz w:val="24"/>
          <w:szCs w:val="24"/>
        </w:rPr>
        <w:t>forme reconnue et permise de qirad est qu'un homme prend le capital d'un associé à utiliser. Il ne le garantit pas et</w:t>
      </w:r>
      <w:r w:rsidR="00030160" w:rsidRPr="002B005F">
        <w:rPr>
          <w:rFonts w:ascii="Times New Roman" w:hAnsi="Times New Roman" w:cs="Times New Roman"/>
          <w:i/>
          <w:iCs/>
          <w:sz w:val="24"/>
          <w:szCs w:val="24"/>
        </w:rPr>
        <w:t>,</w:t>
      </w:r>
      <w:r w:rsidRPr="002B005F">
        <w:rPr>
          <w:rFonts w:ascii="Times New Roman" w:hAnsi="Times New Roman" w:cs="Times New Roman"/>
          <w:i/>
          <w:iCs/>
          <w:sz w:val="24"/>
          <w:szCs w:val="24"/>
        </w:rPr>
        <w:t xml:space="preserve"> en voyageant</w:t>
      </w:r>
      <w:r w:rsidR="00030160" w:rsidRPr="002B005F">
        <w:rPr>
          <w:rFonts w:ascii="Times New Roman" w:hAnsi="Times New Roman" w:cs="Times New Roman"/>
          <w:i/>
          <w:iCs/>
          <w:sz w:val="24"/>
          <w:szCs w:val="24"/>
        </w:rPr>
        <w:t>,</w:t>
      </w:r>
      <w:r w:rsidRPr="002B005F">
        <w:rPr>
          <w:rFonts w:ascii="Times New Roman" w:hAnsi="Times New Roman" w:cs="Times New Roman"/>
          <w:i/>
          <w:iCs/>
          <w:sz w:val="24"/>
          <w:szCs w:val="24"/>
        </w:rPr>
        <w:t xml:space="preserve"> paie du capital pour la nourriture et les vêtements et ce qu'il fait bon usage, selon le montant du capital</w:t>
      </w:r>
      <w:r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325"/>
      </w:r>
      <w:r w:rsidRPr="002B005F">
        <w:rPr>
          <w:rFonts w:ascii="Times New Roman" w:hAnsi="Times New Roman" w:cs="Times New Roman"/>
          <w:sz w:val="24"/>
          <w:szCs w:val="24"/>
        </w:rPr>
        <w:t>.</w:t>
      </w:r>
    </w:p>
    <w:p w14:paraId="7F8562E9" w14:textId="77777777" w:rsidR="002760B2" w:rsidRPr="002B005F" w:rsidRDefault="002760B2" w:rsidP="00CB0FF1">
      <w:pPr>
        <w:pStyle w:val="Paragraphedeliste"/>
        <w:numPr>
          <w:ilvl w:val="0"/>
          <w:numId w:val="16"/>
        </w:numPr>
        <w:tabs>
          <w:tab w:val="left" w:pos="0"/>
          <w:tab w:val="left" w:pos="426"/>
        </w:tabs>
        <w:autoSpaceDE w:val="0"/>
        <w:autoSpaceDN w:val="0"/>
        <w:adjustRightInd w:val="0"/>
        <w:spacing w:before="120" w:line="300" w:lineRule="auto"/>
        <w:ind w:left="1191" w:hanging="340"/>
        <w:contextualSpacing w:val="0"/>
        <w:rPr>
          <w:rFonts w:ascii="Times New Roman" w:hAnsi="Times New Roman" w:cs="Times New Roman"/>
          <w:sz w:val="24"/>
          <w:szCs w:val="24"/>
        </w:rPr>
      </w:pPr>
      <w:r w:rsidRPr="002B005F">
        <w:rPr>
          <w:rFonts w:ascii="Times New Roman" w:hAnsi="Times New Roman" w:cs="Times New Roman"/>
          <w:smallCaps/>
          <w:sz w:val="24"/>
          <w:szCs w:val="24"/>
        </w:rPr>
        <w:t>Yahya</w:t>
      </w:r>
      <w:r w:rsidRPr="002B005F">
        <w:rPr>
          <w:rFonts w:ascii="Times New Roman" w:hAnsi="Times New Roman" w:cs="Times New Roman"/>
          <w:sz w:val="24"/>
          <w:szCs w:val="24"/>
        </w:rPr>
        <w:t xml:space="preserve"> a dit que </w:t>
      </w:r>
      <w:r w:rsidRPr="002B005F">
        <w:rPr>
          <w:rFonts w:ascii="Times New Roman" w:hAnsi="Times New Roman" w:cs="Times New Roman"/>
          <w:smallCaps/>
          <w:sz w:val="24"/>
          <w:szCs w:val="24"/>
        </w:rPr>
        <w:t>Malik</w:t>
      </w:r>
      <w:r w:rsidRPr="002B005F">
        <w:rPr>
          <w:rFonts w:ascii="Times New Roman" w:hAnsi="Times New Roman" w:cs="Times New Roman"/>
          <w:sz w:val="24"/>
          <w:szCs w:val="24"/>
        </w:rPr>
        <w:t xml:space="preserve"> a parlé d'un investisseur qui a fourni de l'argent sous la forme </w:t>
      </w:r>
      <w:r w:rsidRPr="002B005F">
        <w:rPr>
          <w:rFonts w:ascii="Times New Roman" w:hAnsi="Times New Roman" w:cs="Times New Roman"/>
          <w:i/>
          <w:iCs/>
          <w:sz w:val="24"/>
          <w:szCs w:val="24"/>
        </w:rPr>
        <w:t>qirad</w:t>
      </w:r>
      <w:r w:rsidRPr="002B005F">
        <w:rPr>
          <w:rFonts w:ascii="Times New Roman" w:hAnsi="Times New Roman" w:cs="Times New Roman"/>
          <w:sz w:val="24"/>
          <w:szCs w:val="24"/>
        </w:rPr>
        <w:t xml:space="preserve"> à un agent. Ce dernie</w:t>
      </w:r>
      <w:r w:rsidR="005375A2" w:rsidRPr="002B005F">
        <w:rPr>
          <w:rFonts w:ascii="Times New Roman" w:hAnsi="Times New Roman" w:cs="Times New Roman"/>
          <w:sz w:val="24"/>
          <w:szCs w:val="24"/>
        </w:rPr>
        <w:t xml:space="preserve">r a réalisé un profit, puis il </w:t>
      </w:r>
      <w:r w:rsidRPr="002B005F">
        <w:rPr>
          <w:rFonts w:ascii="Times New Roman" w:hAnsi="Times New Roman" w:cs="Times New Roman"/>
          <w:sz w:val="24"/>
          <w:szCs w:val="24"/>
        </w:rPr>
        <w:t xml:space="preserve">voulait prendre sa part du bénéfice et l'investisseur n’était pas présent. Il a </w:t>
      </w:r>
      <w:r w:rsidR="00CE22A5" w:rsidRPr="002B005F">
        <w:rPr>
          <w:rFonts w:ascii="Times New Roman" w:hAnsi="Times New Roman" w:cs="Times New Roman"/>
          <w:sz w:val="24"/>
          <w:szCs w:val="24"/>
        </w:rPr>
        <w:t>dit :</w:t>
      </w:r>
      <w:r w:rsidR="000F7C95" w:rsidRPr="002B005F">
        <w:rPr>
          <w:rFonts w:ascii="Times New Roman" w:hAnsi="Times New Roman" w:cs="Times New Roman"/>
          <w:sz w:val="24"/>
          <w:szCs w:val="24"/>
        </w:rPr>
        <w:t xml:space="preserve"> </w:t>
      </w:r>
      <w:r w:rsidRPr="002B005F">
        <w:rPr>
          <w:rFonts w:ascii="Times New Roman" w:hAnsi="Times New Roman" w:cs="Times New Roman"/>
          <w:sz w:val="24"/>
          <w:szCs w:val="24"/>
        </w:rPr>
        <w:t>« </w:t>
      </w:r>
      <w:r w:rsidRPr="002B005F">
        <w:rPr>
          <w:rFonts w:ascii="Times New Roman" w:hAnsi="Times New Roman" w:cs="Times New Roman"/>
          <w:i/>
          <w:iCs/>
          <w:sz w:val="24"/>
          <w:szCs w:val="24"/>
        </w:rPr>
        <w:t>Il ne devrait pas en prendre à moins que l'investisseur soit présent. S'il en prend quelque chose, il en est responsable jusqu'à ce qu'il soit pris en compte dans la répartition du capital</w:t>
      </w:r>
      <w:r w:rsidRPr="002B005F">
        <w:rPr>
          <w:rFonts w:ascii="Times New Roman" w:hAnsi="Times New Roman" w:cs="Times New Roman"/>
          <w:sz w:val="24"/>
          <w:szCs w:val="24"/>
        </w:rPr>
        <w:t> »</w:t>
      </w:r>
      <w:r w:rsidRPr="002B005F">
        <w:rPr>
          <w:rStyle w:val="Appelnotedebasdep"/>
          <w:rFonts w:ascii="Times New Roman" w:hAnsi="Times New Roman"/>
          <w:sz w:val="24"/>
          <w:szCs w:val="24"/>
        </w:rPr>
        <w:footnoteReference w:id="326"/>
      </w:r>
      <w:r w:rsidRPr="002B005F">
        <w:rPr>
          <w:rFonts w:ascii="Times New Roman" w:hAnsi="Times New Roman" w:cs="Times New Roman"/>
          <w:sz w:val="24"/>
          <w:szCs w:val="24"/>
        </w:rPr>
        <w:t>.</w:t>
      </w:r>
    </w:p>
    <w:p w14:paraId="3B307231" w14:textId="61AB1D42" w:rsidR="005616EC" w:rsidRPr="002B005F" w:rsidRDefault="002760B2" w:rsidP="00686659">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En raison des preuves ci-dessus du </w:t>
      </w:r>
      <w:r w:rsidRPr="002B005F">
        <w:rPr>
          <w:rFonts w:ascii="Times New Roman" w:hAnsi="Times New Roman" w:cs="Times New Roman"/>
          <w:iCs/>
          <w:sz w:val="24"/>
          <w:szCs w:val="24"/>
        </w:rPr>
        <w:t>Coran</w:t>
      </w:r>
      <w:r w:rsidRPr="002B005F">
        <w:rPr>
          <w:rFonts w:ascii="Times New Roman" w:hAnsi="Times New Roman" w:cs="Times New Roman"/>
          <w:sz w:val="24"/>
          <w:szCs w:val="24"/>
        </w:rPr>
        <w:t xml:space="preserve"> et </w:t>
      </w:r>
      <w:r w:rsidR="002927E4" w:rsidRPr="002B005F">
        <w:rPr>
          <w:rFonts w:ascii="Times New Roman" w:hAnsi="Times New Roman" w:cs="Times New Roman"/>
          <w:sz w:val="24"/>
          <w:szCs w:val="24"/>
        </w:rPr>
        <w:t>d</w:t>
      </w:r>
      <w:r w:rsidR="00A734F9">
        <w:rPr>
          <w:rFonts w:ascii="Times New Roman" w:hAnsi="Times New Roman" w:cs="Times New Roman"/>
          <w:sz w:val="24"/>
          <w:szCs w:val="24"/>
        </w:rPr>
        <w:t xml:space="preserve">u </w:t>
      </w:r>
      <w:r w:rsidR="002927E4" w:rsidRPr="002B005F">
        <w:rPr>
          <w:rFonts w:ascii="Times New Roman" w:hAnsi="Times New Roman" w:cs="Times New Roman"/>
          <w:sz w:val="24"/>
          <w:szCs w:val="24"/>
        </w:rPr>
        <w:t>hadith</w:t>
      </w:r>
      <w:r w:rsidRPr="002B005F">
        <w:rPr>
          <w:rFonts w:ascii="Times New Roman" w:hAnsi="Times New Roman" w:cs="Times New Roman"/>
          <w:sz w:val="24"/>
          <w:szCs w:val="24"/>
        </w:rPr>
        <w:t xml:space="preserve">, il y a une unanimité parmi les savants musulmans que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est légitime. Imam</w:t>
      </w:r>
      <w:r w:rsidRPr="002B005F">
        <w:rPr>
          <w:rFonts w:ascii="Times New Roman" w:hAnsi="Times New Roman" w:cs="Times New Roman"/>
          <w:i/>
          <w:iCs/>
          <w:sz w:val="24"/>
          <w:szCs w:val="24"/>
        </w:rPr>
        <w:t xml:space="preserve"> </w:t>
      </w:r>
      <w:r w:rsidRPr="002B005F">
        <w:rPr>
          <w:rFonts w:ascii="Times New Roman" w:hAnsi="Times New Roman" w:cs="Times New Roman"/>
          <w:smallCaps/>
          <w:sz w:val="24"/>
          <w:szCs w:val="24"/>
        </w:rPr>
        <w:t>Abu Yusuf</w:t>
      </w:r>
      <w:r w:rsidRPr="002B005F">
        <w:rPr>
          <w:rFonts w:ascii="Times New Roman" w:hAnsi="Times New Roman" w:cs="Times New Roman"/>
          <w:sz w:val="24"/>
          <w:szCs w:val="24"/>
        </w:rPr>
        <w:t xml:space="preserve"> qui était l'étudiant d'</w:t>
      </w:r>
      <w:r w:rsidRPr="002B005F">
        <w:rPr>
          <w:rFonts w:ascii="Times New Roman" w:hAnsi="Times New Roman" w:cs="Times New Roman"/>
          <w:smallCaps/>
          <w:sz w:val="24"/>
          <w:szCs w:val="24"/>
        </w:rPr>
        <w:t>Abu Hanifa</w:t>
      </w:r>
      <w:r w:rsidRPr="002B005F">
        <w:rPr>
          <w:rFonts w:ascii="Times New Roman" w:hAnsi="Times New Roman" w:cs="Times New Roman"/>
          <w:sz w:val="24"/>
          <w:szCs w:val="24"/>
        </w:rPr>
        <w:t xml:space="preserve">, mentionne dans son travail appelé </w:t>
      </w:r>
      <w:r w:rsidRPr="002B005F">
        <w:rPr>
          <w:rFonts w:ascii="Times New Roman" w:hAnsi="Times New Roman" w:cs="Times New Roman"/>
          <w:i/>
          <w:iCs/>
          <w:sz w:val="24"/>
          <w:szCs w:val="24"/>
        </w:rPr>
        <w:t>Kitab'ul Haracque</w:t>
      </w:r>
      <w:r w:rsidRPr="002B005F">
        <w:rPr>
          <w:rStyle w:val="Appelnotedebasdep"/>
          <w:rFonts w:ascii="Times New Roman" w:hAnsi="Times New Roman"/>
          <w:i/>
          <w:iCs/>
          <w:sz w:val="24"/>
          <w:szCs w:val="24"/>
        </w:rPr>
        <w:footnoteReference w:id="327"/>
      </w:r>
      <w:r w:rsidRPr="002B005F">
        <w:rPr>
          <w:rFonts w:ascii="Times New Roman" w:hAnsi="Times New Roman" w:cs="Times New Roman"/>
          <w:sz w:val="24"/>
          <w:szCs w:val="24"/>
        </w:rPr>
        <w:t xml:space="preserve">, dans la mesure où il est concerné, il n'y a pas de contestation sur l'acceptation du partenariat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entre les savants.</w:t>
      </w:r>
    </w:p>
    <w:p w14:paraId="4C998ADB" w14:textId="77777777" w:rsidR="005616EC" w:rsidRPr="002B005F" w:rsidRDefault="00030160" w:rsidP="00A42632">
      <w:pPr>
        <w:pStyle w:val="Titre4"/>
        <w:keepNext w:val="0"/>
        <w:spacing w:before="100" w:beforeAutospacing="1" w:after="120" w:line="300" w:lineRule="auto"/>
        <w:ind w:firstLine="709"/>
      </w:pPr>
      <w:bookmarkStart w:id="1237" w:name="_Toc54363345"/>
      <w:bookmarkStart w:id="1238" w:name="_Toc58606335"/>
      <w:bookmarkStart w:id="1239" w:name="_Toc61263540"/>
      <w:bookmarkStart w:id="1240" w:name="_Toc182298847"/>
      <w:r w:rsidRPr="002B005F">
        <w:t>1.</w:t>
      </w:r>
      <w:r w:rsidR="00BA6DD8" w:rsidRPr="002B005F">
        <w:t>3</w:t>
      </w:r>
      <w:r w:rsidRPr="002B005F">
        <w:t xml:space="preserve">.3- </w:t>
      </w:r>
      <w:r w:rsidR="00BA6DD8" w:rsidRPr="002B005F">
        <w:t>C</w:t>
      </w:r>
      <w:r w:rsidR="005616EC" w:rsidRPr="002B005F">
        <w:t xml:space="preserve">aractéristiques d’un contrat </w:t>
      </w:r>
      <w:r w:rsidR="004A4E16" w:rsidRPr="002B005F">
        <w:rPr>
          <w:i/>
          <w:iCs/>
        </w:rPr>
        <w:t>moudaraba</w:t>
      </w:r>
      <w:bookmarkEnd w:id="1237"/>
      <w:bookmarkEnd w:id="1238"/>
      <w:bookmarkEnd w:id="1239"/>
      <w:bookmarkEnd w:id="1240"/>
    </w:p>
    <w:p w14:paraId="3970D138" w14:textId="77777777" w:rsidR="002760B2" w:rsidRPr="002B005F" w:rsidRDefault="002760B2" w:rsidP="00686659">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caractéristiques de base d'un contrat </w:t>
      </w:r>
      <w:r w:rsidR="004A4E16" w:rsidRPr="002B005F">
        <w:rPr>
          <w:rFonts w:ascii="Times New Roman" w:hAnsi="Times New Roman" w:cs="Times New Roman"/>
          <w:i/>
          <w:sz w:val="24"/>
          <w:szCs w:val="24"/>
        </w:rPr>
        <w:t>moudaraba</w:t>
      </w:r>
      <w:r w:rsidR="00E56A8E" w:rsidRPr="002B005F">
        <w:rPr>
          <w:rFonts w:ascii="Times New Roman" w:hAnsi="Times New Roman" w:cs="Times New Roman"/>
          <w:sz w:val="24"/>
          <w:szCs w:val="24"/>
        </w:rPr>
        <w:t xml:space="preserve"> sont :</w:t>
      </w:r>
      <w:r w:rsidRPr="002B005F">
        <w:rPr>
          <w:rFonts w:ascii="Times New Roman" w:hAnsi="Times New Roman" w:cs="Times New Roman"/>
          <w:sz w:val="24"/>
          <w:szCs w:val="24"/>
        </w:rPr>
        <w:t xml:space="preserve"> la fondation du contrat, le capital, la gestion, les types de </w:t>
      </w:r>
      <w:r w:rsidR="004A4E16" w:rsidRPr="002B005F">
        <w:rPr>
          <w:rFonts w:ascii="Times New Roman" w:hAnsi="Times New Roman" w:cs="Times New Roman"/>
          <w:i/>
          <w:iCs/>
          <w:sz w:val="24"/>
          <w:szCs w:val="24"/>
        </w:rPr>
        <w:t>moudaraba</w:t>
      </w:r>
      <w:r w:rsidR="00181A71" w:rsidRPr="002B005F">
        <w:rPr>
          <w:rFonts w:ascii="Times New Roman" w:hAnsi="Times New Roman" w:cs="Times New Roman"/>
          <w:sz w:val="24"/>
          <w:szCs w:val="24"/>
        </w:rPr>
        <w:t>, les droits et</w:t>
      </w:r>
      <w:r w:rsidRPr="002B005F">
        <w:rPr>
          <w:rFonts w:ascii="Times New Roman" w:hAnsi="Times New Roman" w:cs="Times New Roman"/>
          <w:sz w:val="24"/>
          <w:szCs w:val="24"/>
        </w:rPr>
        <w:t xml:space="preserve"> responsabilités, le partage des profits et des pertes et la résiliation du contrat.</w:t>
      </w:r>
    </w:p>
    <w:p w14:paraId="38172D22" w14:textId="77777777" w:rsidR="002760B2" w:rsidRPr="007A6562" w:rsidRDefault="00181A71" w:rsidP="00CB0FF1">
      <w:pPr>
        <w:pStyle w:val="Paragraphedeliste"/>
        <w:numPr>
          <w:ilvl w:val="0"/>
          <w:numId w:val="93"/>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Premièrement,</w:t>
      </w:r>
      <w:r w:rsidR="002760B2" w:rsidRPr="002B005F">
        <w:rPr>
          <w:rFonts w:ascii="Times New Roman" w:hAnsi="Times New Roman" w:cs="Times New Roman"/>
          <w:sz w:val="24"/>
          <w:szCs w:val="24"/>
        </w:rPr>
        <w:t xml:space="preserve"> puisque la </w:t>
      </w:r>
      <w:r w:rsidR="004A4E16" w:rsidRPr="002B005F">
        <w:rPr>
          <w:rFonts w:ascii="Times New Roman" w:hAnsi="Times New Roman" w:cs="Times New Roman"/>
          <w:i/>
          <w:sz w:val="24"/>
          <w:szCs w:val="24"/>
        </w:rPr>
        <w:t>moudaraba</w:t>
      </w:r>
      <w:r w:rsidR="002760B2" w:rsidRPr="002B005F">
        <w:rPr>
          <w:rFonts w:ascii="Times New Roman" w:hAnsi="Times New Roman" w:cs="Times New Roman"/>
          <w:sz w:val="24"/>
          <w:szCs w:val="24"/>
        </w:rPr>
        <w:t xml:space="preserve"> est l'un des types de </w:t>
      </w:r>
      <w:r w:rsidR="002760B2" w:rsidRPr="002B005F">
        <w:rPr>
          <w:rFonts w:ascii="Times New Roman" w:hAnsi="Times New Roman" w:cs="Times New Roman"/>
          <w:i/>
          <w:iCs/>
          <w:sz w:val="24"/>
          <w:szCs w:val="24"/>
        </w:rPr>
        <w:t>shirkah al-</w:t>
      </w:r>
      <w:r w:rsidR="004A4E16" w:rsidRPr="002B005F">
        <w:rPr>
          <w:rFonts w:ascii="Times New Roman" w:hAnsi="Times New Roman" w:cs="Times New Roman"/>
          <w:i/>
          <w:iCs/>
          <w:sz w:val="24"/>
          <w:szCs w:val="24"/>
        </w:rPr>
        <w:t>ouqou</w:t>
      </w:r>
      <w:r w:rsidR="002760B2" w:rsidRPr="002B005F">
        <w:rPr>
          <w:rFonts w:ascii="Times New Roman" w:hAnsi="Times New Roman" w:cs="Times New Roman"/>
          <w:i/>
          <w:iCs/>
          <w:sz w:val="24"/>
          <w:szCs w:val="24"/>
        </w:rPr>
        <w:t>d</w:t>
      </w:r>
      <w:r w:rsidR="002760B2" w:rsidRPr="002B005F">
        <w:rPr>
          <w:rFonts w:ascii="Times New Roman" w:hAnsi="Times New Roman" w:cs="Times New Roman"/>
          <w:sz w:val="24"/>
          <w:szCs w:val="24"/>
        </w:rPr>
        <w:t>, sa fondation dépend sur l'offre et l'acceptation. Par exemple : « </w:t>
      </w:r>
      <w:r w:rsidR="002760B2" w:rsidRPr="002B005F">
        <w:rPr>
          <w:rFonts w:ascii="Times New Roman" w:hAnsi="Times New Roman" w:cs="Times New Roman"/>
          <w:i/>
          <w:iCs/>
          <w:sz w:val="24"/>
          <w:szCs w:val="24"/>
        </w:rPr>
        <w:t xml:space="preserve">Je vous donne ce bien à faire </w:t>
      </w:r>
      <w:r w:rsidR="004A4E16" w:rsidRPr="002B005F">
        <w:rPr>
          <w:rFonts w:ascii="Times New Roman" w:hAnsi="Times New Roman" w:cs="Times New Roman"/>
          <w:i/>
          <w:iCs/>
          <w:sz w:val="24"/>
          <w:szCs w:val="24"/>
        </w:rPr>
        <w:t>moudaraba</w:t>
      </w:r>
      <w:r w:rsidR="002760B2" w:rsidRPr="002B005F">
        <w:rPr>
          <w:rFonts w:ascii="Times New Roman" w:hAnsi="Times New Roman" w:cs="Times New Roman"/>
          <w:sz w:val="24"/>
          <w:szCs w:val="24"/>
        </w:rPr>
        <w:t> </w:t>
      </w:r>
      <w:r w:rsidR="002760B2" w:rsidRPr="007A6562">
        <w:rPr>
          <w:rFonts w:ascii="Times New Roman" w:hAnsi="Times New Roman" w:cs="Times New Roman"/>
          <w:sz w:val="24"/>
          <w:szCs w:val="24"/>
        </w:rPr>
        <w:t xml:space="preserve">» </w:t>
      </w:r>
      <w:r w:rsidR="007A6562" w:rsidRPr="007A6562">
        <w:rPr>
          <w:rFonts w:ascii="Times New Roman" w:hAnsi="Times New Roman" w:cs="Times New Roman"/>
          <w:sz w:val="24"/>
          <w:szCs w:val="24"/>
        </w:rPr>
        <w:t xml:space="preserve">pourra </w:t>
      </w:r>
      <w:r w:rsidR="00A31749" w:rsidRPr="007A6562">
        <w:rPr>
          <w:rFonts w:ascii="Times New Roman" w:hAnsi="Times New Roman" w:cs="Times New Roman"/>
          <w:sz w:val="24"/>
          <w:szCs w:val="24"/>
        </w:rPr>
        <w:t xml:space="preserve">être une expression d'offre et </w:t>
      </w:r>
      <w:r w:rsidR="002760B2" w:rsidRPr="007A6562">
        <w:rPr>
          <w:rFonts w:ascii="Times New Roman" w:hAnsi="Times New Roman" w:cs="Times New Roman"/>
          <w:sz w:val="24"/>
          <w:szCs w:val="24"/>
        </w:rPr>
        <w:t>« </w:t>
      </w:r>
      <w:r w:rsidR="002760B2" w:rsidRPr="007A6562">
        <w:rPr>
          <w:rFonts w:ascii="Times New Roman" w:hAnsi="Times New Roman" w:cs="Times New Roman"/>
          <w:i/>
          <w:iCs/>
          <w:sz w:val="24"/>
          <w:szCs w:val="24"/>
        </w:rPr>
        <w:t xml:space="preserve">j'ai </w:t>
      </w:r>
      <w:r w:rsidR="00201B23" w:rsidRPr="007A6562">
        <w:rPr>
          <w:rFonts w:ascii="Times New Roman" w:hAnsi="Times New Roman" w:cs="Times New Roman"/>
          <w:i/>
          <w:iCs/>
          <w:sz w:val="24"/>
          <w:szCs w:val="24"/>
        </w:rPr>
        <w:t>accepté</w:t>
      </w:r>
      <w:r w:rsidR="00201B23" w:rsidRPr="007A6562">
        <w:rPr>
          <w:rFonts w:ascii="Times New Roman" w:hAnsi="Times New Roman" w:cs="Times New Roman"/>
          <w:sz w:val="24"/>
          <w:szCs w:val="24"/>
        </w:rPr>
        <w:t> !</w:t>
      </w:r>
      <w:r w:rsidR="002760B2" w:rsidRPr="007A6562">
        <w:rPr>
          <w:rFonts w:ascii="Times New Roman" w:hAnsi="Times New Roman" w:cs="Times New Roman"/>
          <w:sz w:val="24"/>
          <w:szCs w:val="24"/>
        </w:rPr>
        <w:t xml:space="preserve"> » </w:t>
      </w:r>
      <w:r w:rsidR="007A6562" w:rsidRPr="007A6562">
        <w:rPr>
          <w:rFonts w:ascii="Times New Roman" w:hAnsi="Times New Roman" w:cs="Times New Roman"/>
          <w:sz w:val="24"/>
          <w:szCs w:val="24"/>
        </w:rPr>
        <w:t xml:space="preserve">pourra </w:t>
      </w:r>
      <w:r w:rsidR="002760B2" w:rsidRPr="007A6562">
        <w:rPr>
          <w:rFonts w:ascii="Times New Roman" w:hAnsi="Times New Roman" w:cs="Times New Roman"/>
          <w:sz w:val="24"/>
          <w:szCs w:val="24"/>
        </w:rPr>
        <w:t>être une acceptation</w:t>
      </w:r>
      <w:r w:rsidR="002760B2" w:rsidRPr="007A6562">
        <w:rPr>
          <w:rStyle w:val="Appelnotedebasdep"/>
          <w:rFonts w:ascii="Times New Roman" w:hAnsi="Times New Roman"/>
          <w:sz w:val="24"/>
          <w:szCs w:val="24"/>
        </w:rPr>
        <w:footnoteReference w:id="328"/>
      </w:r>
      <w:r w:rsidR="002760B2" w:rsidRPr="007A6562">
        <w:rPr>
          <w:rFonts w:ascii="Times New Roman" w:hAnsi="Times New Roman" w:cs="Times New Roman"/>
          <w:sz w:val="24"/>
          <w:szCs w:val="24"/>
        </w:rPr>
        <w:t>.</w:t>
      </w:r>
    </w:p>
    <w:p w14:paraId="6C2B3862" w14:textId="77777777" w:rsidR="002760B2" w:rsidRPr="002B005F" w:rsidRDefault="002760B2" w:rsidP="00CB0FF1">
      <w:pPr>
        <w:pStyle w:val="Paragraphedeliste"/>
        <w:numPr>
          <w:ilvl w:val="0"/>
          <w:numId w:val="93"/>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pacing w:val="-4"/>
          <w:sz w:val="24"/>
          <w:szCs w:val="24"/>
        </w:rPr>
        <w:t xml:space="preserve">Deuxièmement, il existe un accord entre les chercheurs que le sujet étant </w:t>
      </w:r>
      <w:r w:rsidRPr="00B614BA">
        <w:rPr>
          <w:rFonts w:ascii="Times New Roman" w:hAnsi="Times New Roman" w:cs="Times New Roman"/>
          <w:i/>
          <w:iCs/>
          <w:spacing w:val="-4"/>
          <w:sz w:val="24"/>
          <w:szCs w:val="24"/>
        </w:rPr>
        <w:t>dinars</w:t>
      </w:r>
      <w:r w:rsidRPr="002B005F">
        <w:rPr>
          <w:rFonts w:ascii="Times New Roman" w:hAnsi="Times New Roman" w:cs="Times New Roman"/>
          <w:spacing w:val="-4"/>
          <w:sz w:val="24"/>
          <w:szCs w:val="24"/>
        </w:rPr>
        <w:t xml:space="preserve"> et </w:t>
      </w:r>
      <w:r w:rsidRPr="002B005F">
        <w:rPr>
          <w:rFonts w:ascii="Times New Roman" w:hAnsi="Times New Roman" w:cs="Times New Roman"/>
          <w:i/>
          <w:iCs/>
          <w:spacing w:val="-4"/>
          <w:sz w:val="24"/>
          <w:szCs w:val="24"/>
        </w:rPr>
        <w:t>dirhams</w:t>
      </w:r>
      <w:r w:rsidR="00181A71" w:rsidRPr="002B005F">
        <w:rPr>
          <w:rFonts w:ascii="Times New Roman" w:hAnsi="Times New Roman" w:cs="Times New Roman"/>
          <w:spacing w:val="-4"/>
          <w:sz w:val="24"/>
          <w:szCs w:val="24"/>
        </w:rPr>
        <w:t>. L</w:t>
      </w:r>
      <w:r w:rsidRPr="002B005F">
        <w:rPr>
          <w:rFonts w:ascii="Times New Roman" w:hAnsi="Times New Roman" w:cs="Times New Roman"/>
          <w:spacing w:val="-4"/>
          <w:sz w:val="24"/>
          <w:szCs w:val="24"/>
        </w:rPr>
        <w:t xml:space="preserve">a majorité d'entre eux ne permet pas de </w:t>
      </w:r>
      <w:r w:rsidR="004A4E16" w:rsidRPr="002B005F">
        <w:rPr>
          <w:rFonts w:ascii="Times New Roman" w:hAnsi="Times New Roman" w:cs="Times New Roman"/>
          <w:i/>
          <w:spacing w:val="-4"/>
          <w:sz w:val="24"/>
          <w:szCs w:val="24"/>
        </w:rPr>
        <w:t>moudaraba</w:t>
      </w:r>
      <w:r w:rsidR="00181A71" w:rsidRPr="002B005F">
        <w:rPr>
          <w:rFonts w:ascii="Times New Roman" w:hAnsi="Times New Roman" w:cs="Times New Roman"/>
          <w:spacing w:val="-4"/>
          <w:sz w:val="24"/>
          <w:szCs w:val="24"/>
        </w:rPr>
        <w:t xml:space="preserve"> avec des biens.</w:t>
      </w:r>
      <w:r w:rsidRPr="002B005F">
        <w:rPr>
          <w:rFonts w:ascii="Times New Roman" w:hAnsi="Times New Roman" w:cs="Times New Roman"/>
          <w:spacing w:val="-4"/>
          <w:sz w:val="24"/>
          <w:szCs w:val="24"/>
        </w:rPr>
        <w:t xml:space="preserve"> </w:t>
      </w:r>
      <w:r w:rsidR="00181A71" w:rsidRPr="002B005F">
        <w:rPr>
          <w:rFonts w:ascii="Times New Roman" w:hAnsi="Times New Roman" w:cs="Times New Roman"/>
          <w:spacing w:val="-4"/>
          <w:sz w:val="24"/>
          <w:szCs w:val="24"/>
        </w:rPr>
        <w:t>Cependant</w:t>
      </w:r>
      <w:r w:rsidRPr="002B005F">
        <w:rPr>
          <w:rFonts w:ascii="Times New Roman" w:hAnsi="Times New Roman" w:cs="Times New Roman"/>
          <w:spacing w:val="-4"/>
          <w:sz w:val="24"/>
          <w:szCs w:val="24"/>
        </w:rPr>
        <w:t xml:space="preserve">, si le capital est composé de biens à condition qu’ils soient vendus, l'école </w:t>
      </w:r>
      <w:r w:rsidR="004A4E16" w:rsidRPr="002B005F">
        <w:rPr>
          <w:rFonts w:ascii="Times New Roman" w:hAnsi="Times New Roman" w:cs="Times New Roman"/>
          <w:spacing w:val="-4"/>
          <w:sz w:val="24"/>
          <w:szCs w:val="24"/>
        </w:rPr>
        <w:t>h</w:t>
      </w:r>
      <w:r w:rsidRPr="002B005F">
        <w:rPr>
          <w:rFonts w:ascii="Times New Roman" w:hAnsi="Times New Roman" w:cs="Times New Roman"/>
          <w:spacing w:val="-4"/>
          <w:sz w:val="24"/>
          <w:szCs w:val="24"/>
        </w:rPr>
        <w:t>anafite accepte cette transaction</w:t>
      </w:r>
      <w:r w:rsidRPr="002B005F">
        <w:rPr>
          <w:rStyle w:val="Appelnotedebasdep"/>
          <w:rFonts w:ascii="Times New Roman" w:hAnsi="Times New Roman"/>
          <w:spacing w:val="-4"/>
          <w:sz w:val="24"/>
          <w:szCs w:val="24"/>
        </w:rPr>
        <w:footnoteReference w:id="329"/>
      </w:r>
      <w:r w:rsidR="00181A71" w:rsidRPr="002B005F">
        <w:rPr>
          <w:rFonts w:ascii="Times New Roman" w:hAnsi="Times New Roman" w:cs="Times New Roman"/>
          <w:spacing w:val="-4"/>
          <w:sz w:val="24"/>
          <w:szCs w:val="24"/>
        </w:rPr>
        <w:t xml:space="preserve">. </w:t>
      </w:r>
      <w:r w:rsidRPr="002B005F">
        <w:rPr>
          <w:rFonts w:ascii="Times New Roman" w:hAnsi="Times New Roman" w:cs="Times New Roman"/>
          <w:sz w:val="24"/>
          <w:szCs w:val="24"/>
        </w:rPr>
        <w:t>Le capital devrait être connu en termes de quantité, qualité et genre lorsque le contrat est scellé</w:t>
      </w:r>
      <w:r w:rsidRPr="002B005F">
        <w:rPr>
          <w:rStyle w:val="Appelnotedebasdep"/>
          <w:rFonts w:ascii="Times New Roman" w:hAnsi="Times New Roman"/>
          <w:sz w:val="24"/>
          <w:szCs w:val="24"/>
        </w:rPr>
        <w:footnoteReference w:id="330"/>
      </w:r>
      <w:r w:rsidRPr="002B005F">
        <w:rPr>
          <w:rFonts w:ascii="Times New Roman" w:hAnsi="Times New Roman" w:cs="Times New Roman"/>
          <w:sz w:val="24"/>
          <w:szCs w:val="24"/>
        </w:rPr>
        <w:t>. De plus, le capital ne devrait pas être sous forme de créances.</w:t>
      </w:r>
    </w:p>
    <w:p w14:paraId="511EE8EF" w14:textId="77777777" w:rsidR="002760B2" w:rsidRPr="002B005F" w:rsidRDefault="002760B2" w:rsidP="00CB0FF1">
      <w:pPr>
        <w:pStyle w:val="Paragraphedeliste"/>
        <w:numPr>
          <w:ilvl w:val="0"/>
          <w:numId w:val="93"/>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lastRenderedPageBreak/>
        <w:t xml:space="preserve">Troisièmement, puisque le </w:t>
      </w:r>
      <w:r w:rsidR="004A4E16" w:rsidRPr="002B005F">
        <w:rPr>
          <w:rFonts w:ascii="Times New Roman" w:hAnsi="Times New Roman" w:cs="Times New Roman"/>
          <w:i/>
          <w:iCs/>
          <w:sz w:val="24"/>
          <w:szCs w:val="24"/>
        </w:rPr>
        <w:t>moudarib</w:t>
      </w:r>
      <w:r w:rsidRPr="002B005F">
        <w:rPr>
          <w:rFonts w:ascii="Times New Roman" w:hAnsi="Times New Roman" w:cs="Times New Roman"/>
          <w:sz w:val="24"/>
          <w:szCs w:val="24"/>
        </w:rPr>
        <w:t xml:space="preserve"> ne fournit que son travail dans le partenariat, il est le seul gérant. Selon les </w:t>
      </w:r>
      <w:r w:rsidRPr="002B005F">
        <w:rPr>
          <w:rFonts w:ascii="Times New Roman" w:hAnsi="Times New Roman" w:cs="Times New Roman"/>
          <w:i/>
          <w:iCs/>
          <w:sz w:val="24"/>
          <w:szCs w:val="24"/>
        </w:rPr>
        <w:t>scholars</w:t>
      </w:r>
      <w:r w:rsidRPr="002B005F">
        <w:rPr>
          <w:rFonts w:ascii="Times New Roman" w:hAnsi="Times New Roman" w:cs="Times New Roman"/>
          <w:sz w:val="24"/>
          <w:szCs w:val="24"/>
        </w:rPr>
        <w:t xml:space="preserve"> </w:t>
      </w:r>
      <w:r w:rsidR="00181A71"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si </w:t>
      </w:r>
      <w:r w:rsidRPr="002B005F">
        <w:rPr>
          <w:rFonts w:ascii="Times New Roman" w:hAnsi="Times New Roman" w:cs="Times New Roman"/>
          <w:i/>
          <w:iCs/>
          <w:sz w:val="24"/>
          <w:szCs w:val="24"/>
        </w:rPr>
        <w:t>rab al-mal</w:t>
      </w:r>
      <w:r w:rsidRPr="002B005F">
        <w:rPr>
          <w:rFonts w:ascii="Times New Roman" w:hAnsi="Times New Roman" w:cs="Times New Roman"/>
          <w:sz w:val="24"/>
          <w:szCs w:val="24"/>
        </w:rPr>
        <w:t xml:space="preserve"> suggère aussi son travail, alors l'affaire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serait inacceptable</w:t>
      </w:r>
      <w:r w:rsidRPr="002B005F">
        <w:rPr>
          <w:rStyle w:val="Appelnotedebasdep"/>
          <w:rFonts w:ascii="Times New Roman" w:hAnsi="Times New Roman"/>
          <w:sz w:val="24"/>
          <w:szCs w:val="24"/>
        </w:rPr>
        <w:footnoteReference w:id="331"/>
      </w:r>
      <w:r w:rsidR="00201B23" w:rsidRPr="002B005F">
        <w:rPr>
          <w:rFonts w:ascii="Times New Roman" w:hAnsi="Times New Roman" w:cs="Times New Roman"/>
          <w:sz w:val="24"/>
          <w:szCs w:val="24"/>
        </w:rPr>
        <w:t>.</w:t>
      </w:r>
    </w:p>
    <w:p w14:paraId="29DAF0DE" w14:textId="77777777" w:rsidR="002760B2" w:rsidRPr="002B005F" w:rsidRDefault="002760B2" w:rsidP="00CB0FF1">
      <w:pPr>
        <w:pStyle w:val="Paragraphedeliste"/>
        <w:numPr>
          <w:ilvl w:val="0"/>
          <w:numId w:val="93"/>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Quatrièmement, un accord de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peut être </w:t>
      </w:r>
      <w:r w:rsidR="00A309A4" w:rsidRPr="002B005F">
        <w:rPr>
          <w:rFonts w:ascii="Times New Roman" w:hAnsi="Times New Roman" w:cs="Times New Roman"/>
          <w:sz w:val="24"/>
          <w:szCs w:val="24"/>
        </w:rPr>
        <w:t>limité ou</w:t>
      </w:r>
      <w:r w:rsidRPr="002B005F">
        <w:rPr>
          <w:rFonts w:ascii="Times New Roman" w:hAnsi="Times New Roman" w:cs="Times New Roman"/>
          <w:sz w:val="24"/>
          <w:szCs w:val="24"/>
        </w:rPr>
        <w:t xml:space="preserve"> </w:t>
      </w:r>
      <w:r w:rsidRPr="00D441BF">
        <w:rPr>
          <w:rFonts w:ascii="Times New Roman" w:hAnsi="Times New Roman" w:cs="Times New Roman"/>
          <w:sz w:val="24"/>
          <w:szCs w:val="24"/>
        </w:rPr>
        <w:t>non limité.</w:t>
      </w:r>
      <w:r w:rsidRPr="002B005F">
        <w:rPr>
          <w:rFonts w:ascii="Times New Roman" w:hAnsi="Times New Roman" w:cs="Times New Roman"/>
          <w:sz w:val="24"/>
          <w:szCs w:val="24"/>
        </w:rPr>
        <w:t xml:space="preserve"> Ce dernier n'inclut pas </w:t>
      </w:r>
      <w:r w:rsidR="00A309A4" w:rsidRPr="002B005F">
        <w:rPr>
          <w:rFonts w:ascii="Times New Roman" w:hAnsi="Times New Roman" w:cs="Times New Roman"/>
          <w:sz w:val="24"/>
          <w:szCs w:val="24"/>
        </w:rPr>
        <w:t>de limitations</w:t>
      </w:r>
      <w:r w:rsidRPr="002B005F">
        <w:rPr>
          <w:rFonts w:ascii="Times New Roman" w:hAnsi="Times New Roman" w:cs="Times New Roman"/>
          <w:sz w:val="24"/>
          <w:szCs w:val="24"/>
        </w:rPr>
        <w:t xml:space="preserve"> telles que le lieu et la période du commerce. Selon les écoles </w:t>
      </w:r>
      <w:r w:rsidR="00181A71" w:rsidRPr="002B005F">
        <w:rPr>
          <w:rFonts w:ascii="Times New Roman" w:hAnsi="Times New Roman" w:cs="Times New Roman"/>
          <w:sz w:val="24"/>
          <w:szCs w:val="24"/>
        </w:rPr>
        <w:t>h</w:t>
      </w:r>
      <w:r w:rsidRPr="002B005F">
        <w:rPr>
          <w:rFonts w:ascii="Times New Roman" w:hAnsi="Times New Roman" w:cs="Times New Roman"/>
          <w:sz w:val="24"/>
          <w:szCs w:val="24"/>
        </w:rPr>
        <w:t xml:space="preserve">anafites et </w:t>
      </w:r>
      <w:r w:rsidR="00181A71" w:rsidRPr="002B005F">
        <w:rPr>
          <w:rFonts w:ascii="Times New Roman" w:hAnsi="Times New Roman" w:cs="Times New Roman"/>
          <w:sz w:val="24"/>
          <w:szCs w:val="24"/>
        </w:rPr>
        <w:t>h</w:t>
      </w:r>
      <w:r w:rsidRPr="002B005F">
        <w:rPr>
          <w:rFonts w:ascii="Times New Roman" w:hAnsi="Times New Roman" w:cs="Times New Roman"/>
          <w:sz w:val="24"/>
          <w:szCs w:val="24"/>
        </w:rPr>
        <w:t xml:space="preserve">anbalites, les limitations peuvent être sur les questions </w:t>
      </w:r>
      <w:r w:rsidR="00181A71" w:rsidRPr="002B005F">
        <w:rPr>
          <w:rFonts w:ascii="Times New Roman" w:hAnsi="Times New Roman" w:cs="Times New Roman"/>
          <w:sz w:val="24"/>
          <w:szCs w:val="24"/>
        </w:rPr>
        <w:t>suivantes :</w:t>
      </w:r>
      <w:r w:rsidRPr="002B005F">
        <w:rPr>
          <w:rFonts w:ascii="Times New Roman" w:hAnsi="Times New Roman" w:cs="Times New Roman"/>
          <w:sz w:val="24"/>
          <w:szCs w:val="24"/>
        </w:rPr>
        <w:t xml:space="preserve"> lieu de l'activité, spécification des marchandises négociées, durée du partenariat et avec qui échanger</w:t>
      </w:r>
      <w:r w:rsidRPr="002B005F">
        <w:rPr>
          <w:rStyle w:val="Appelnotedebasdep"/>
          <w:rFonts w:ascii="Times New Roman" w:hAnsi="Times New Roman"/>
          <w:sz w:val="24"/>
          <w:szCs w:val="24"/>
        </w:rPr>
        <w:footnoteReference w:id="332"/>
      </w:r>
      <w:r w:rsidR="00030160" w:rsidRPr="002B005F">
        <w:rPr>
          <w:rFonts w:ascii="Times New Roman" w:hAnsi="Times New Roman" w:cs="Times New Roman"/>
          <w:sz w:val="24"/>
          <w:szCs w:val="24"/>
        </w:rPr>
        <w:t>. D'autre part, les m</w:t>
      </w:r>
      <w:r w:rsidRPr="002B005F">
        <w:rPr>
          <w:rFonts w:ascii="Times New Roman" w:hAnsi="Times New Roman" w:cs="Times New Roman"/>
          <w:sz w:val="24"/>
          <w:szCs w:val="24"/>
        </w:rPr>
        <w:t xml:space="preserve">alikites et les </w:t>
      </w:r>
      <w:r w:rsidR="00030160" w:rsidRPr="007D0994">
        <w:rPr>
          <w:rFonts w:ascii="Times New Roman" w:hAnsi="Times New Roman" w:cs="Times New Roman"/>
          <w:sz w:val="24"/>
          <w:szCs w:val="24"/>
        </w:rPr>
        <w:t>s</w:t>
      </w:r>
      <w:r w:rsidRPr="007D0994">
        <w:rPr>
          <w:rFonts w:ascii="Times New Roman" w:hAnsi="Times New Roman" w:cs="Times New Roman"/>
          <w:sz w:val="24"/>
          <w:szCs w:val="24"/>
        </w:rPr>
        <w:t>hafi'ites</w:t>
      </w:r>
      <w:r w:rsidRPr="002B005F">
        <w:rPr>
          <w:rFonts w:ascii="Times New Roman" w:hAnsi="Times New Roman" w:cs="Times New Roman"/>
          <w:sz w:val="24"/>
          <w:szCs w:val="24"/>
        </w:rPr>
        <w:t xml:space="preserve"> soutiennent que la spécification d'un type de biens n'est pas </w:t>
      </w:r>
      <w:r w:rsidR="002806F0" w:rsidRPr="002B005F">
        <w:rPr>
          <w:rFonts w:ascii="Times New Roman" w:hAnsi="Times New Roman" w:cs="Times New Roman"/>
          <w:sz w:val="24"/>
          <w:szCs w:val="24"/>
        </w:rPr>
        <w:t>autor</w:t>
      </w:r>
      <w:r w:rsidR="002806F0" w:rsidRPr="002806F0">
        <w:rPr>
          <w:rFonts w:ascii="Times New Roman" w:hAnsi="Times New Roman" w:cs="Times New Roman"/>
          <w:sz w:val="24"/>
          <w:szCs w:val="24"/>
        </w:rPr>
        <w:t>isée</w:t>
      </w:r>
      <w:r w:rsidRPr="002B005F">
        <w:rPr>
          <w:rFonts w:ascii="Times New Roman" w:hAnsi="Times New Roman" w:cs="Times New Roman"/>
          <w:sz w:val="24"/>
          <w:szCs w:val="24"/>
        </w:rPr>
        <w:t xml:space="preserve"> à moins qu</w:t>
      </w:r>
      <w:r w:rsidRPr="00D441BF">
        <w:rPr>
          <w:rFonts w:ascii="Times New Roman" w:hAnsi="Times New Roman" w:cs="Times New Roman"/>
          <w:sz w:val="24"/>
          <w:szCs w:val="24"/>
        </w:rPr>
        <w:t>'il</w:t>
      </w:r>
      <w:r w:rsidRPr="002B005F">
        <w:rPr>
          <w:rFonts w:ascii="Times New Roman" w:hAnsi="Times New Roman" w:cs="Times New Roman"/>
          <w:sz w:val="24"/>
          <w:szCs w:val="24"/>
        </w:rPr>
        <w:t xml:space="preserve"> ne varie pas tout au long de l’année</w:t>
      </w:r>
      <w:r w:rsidRPr="002B005F">
        <w:rPr>
          <w:rStyle w:val="Appelnotedebasdep"/>
          <w:rFonts w:ascii="Times New Roman" w:hAnsi="Times New Roman"/>
          <w:sz w:val="24"/>
          <w:szCs w:val="24"/>
        </w:rPr>
        <w:footnoteReference w:id="333"/>
      </w:r>
      <w:r w:rsidRPr="002B005F">
        <w:rPr>
          <w:rFonts w:ascii="Times New Roman" w:hAnsi="Times New Roman" w:cs="Times New Roman"/>
          <w:sz w:val="24"/>
          <w:szCs w:val="24"/>
        </w:rPr>
        <w:t>.</w:t>
      </w:r>
    </w:p>
    <w:p w14:paraId="4F573888" w14:textId="77777777" w:rsidR="002760B2" w:rsidRPr="002B005F" w:rsidRDefault="002760B2" w:rsidP="00CB0FF1">
      <w:pPr>
        <w:pStyle w:val="Paragraphedeliste"/>
        <w:numPr>
          <w:ilvl w:val="0"/>
          <w:numId w:val="93"/>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Cinquièmement, le </w:t>
      </w:r>
      <w:r w:rsidR="004A4E16" w:rsidRPr="002B005F">
        <w:rPr>
          <w:rFonts w:ascii="Times New Roman" w:hAnsi="Times New Roman" w:cs="Times New Roman"/>
          <w:i/>
          <w:iCs/>
          <w:sz w:val="24"/>
          <w:szCs w:val="24"/>
        </w:rPr>
        <w:t>moud</w:t>
      </w:r>
      <w:r w:rsidRPr="002B005F">
        <w:rPr>
          <w:rFonts w:ascii="Times New Roman" w:hAnsi="Times New Roman" w:cs="Times New Roman"/>
          <w:i/>
          <w:iCs/>
          <w:sz w:val="24"/>
          <w:szCs w:val="24"/>
        </w:rPr>
        <w:t>arib</w:t>
      </w:r>
      <w:r w:rsidRPr="002B005F">
        <w:rPr>
          <w:rFonts w:ascii="Times New Roman" w:hAnsi="Times New Roman" w:cs="Times New Roman"/>
          <w:sz w:val="24"/>
          <w:szCs w:val="24"/>
        </w:rPr>
        <w:t xml:space="preserve"> a</w:t>
      </w:r>
      <w:r w:rsidR="00181A71" w:rsidRPr="002B005F">
        <w:rPr>
          <w:rFonts w:ascii="Times New Roman" w:hAnsi="Times New Roman" w:cs="Times New Roman"/>
          <w:sz w:val="24"/>
          <w:szCs w:val="24"/>
        </w:rPr>
        <w:t>,</w:t>
      </w:r>
      <w:r w:rsidRPr="002B005F">
        <w:rPr>
          <w:rFonts w:ascii="Times New Roman" w:hAnsi="Times New Roman" w:cs="Times New Roman"/>
          <w:sz w:val="24"/>
          <w:szCs w:val="24"/>
        </w:rPr>
        <w:t xml:space="preserve"> à travers un contrat de </w:t>
      </w:r>
      <w:r w:rsidR="004A4E16" w:rsidRPr="002B005F">
        <w:rPr>
          <w:rFonts w:ascii="Times New Roman" w:hAnsi="Times New Roman" w:cs="Times New Roman"/>
          <w:i/>
          <w:sz w:val="24"/>
          <w:szCs w:val="24"/>
        </w:rPr>
        <w:t>moud</w:t>
      </w:r>
      <w:r w:rsidRPr="002B005F">
        <w:rPr>
          <w:rFonts w:ascii="Times New Roman" w:hAnsi="Times New Roman" w:cs="Times New Roman"/>
          <w:i/>
          <w:sz w:val="24"/>
          <w:szCs w:val="24"/>
        </w:rPr>
        <w:t>araba</w:t>
      </w:r>
      <w:r w:rsidR="004A4E16" w:rsidRPr="002B005F">
        <w:rPr>
          <w:rFonts w:ascii="Times New Roman" w:hAnsi="Times New Roman" w:cs="Times New Roman"/>
          <w:sz w:val="24"/>
          <w:szCs w:val="24"/>
        </w:rPr>
        <w:t xml:space="preserve"> non limité</w:t>
      </w:r>
      <w:r w:rsidR="00181A71" w:rsidRPr="002B005F">
        <w:rPr>
          <w:rFonts w:ascii="Times New Roman" w:hAnsi="Times New Roman" w:cs="Times New Roman"/>
          <w:sz w:val="24"/>
          <w:szCs w:val="24"/>
        </w:rPr>
        <w:t>, les droits suivants :</w:t>
      </w:r>
      <w:r w:rsidRPr="002B005F">
        <w:rPr>
          <w:rFonts w:ascii="Times New Roman" w:hAnsi="Times New Roman" w:cs="Times New Roman"/>
          <w:sz w:val="24"/>
          <w:szCs w:val="24"/>
        </w:rPr>
        <w:t xml:space="preserve"> vendre au comptant ou à crédit, déterminer qu</w:t>
      </w:r>
      <w:r w:rsidR="00AF7C67">
        <w:rPr>
          <w:rFonts w:ascii="Times New Roman" w:hAnsi="Times New Roman" w:cs="Times New Roman"/>
          <w:sz w:val="24"/>
          <w:szCs w:val="24"/>
        </w:rPr>
        <w:t xml:space="preserve">elqu'un pour acheter et vendre, </w:t>
      </w:r>
      <w:r w:rsidR="00181A71" w:rsidRPr="002B005F">
        <w:rPr>
          <w:rFonts w:ascii="Times New Roman" w:hAnsi="Times New Roman" w:cs="Times New Roman"/>
          <w:sz w:val="24"/>
          <w:szCs w:val="24"/>
        </w:rPr>
        <w:t>voyager</w:t>
      </w:r>
      <w:r w:rsidR="00AF7C67">
        <w:rPr>
          <w:rFonts w:ascii="Times New Roman" w:hAnsi="Times New Roman" w:cs="Times New Roman"/>
          <w:sz w:val="24"/>
          <w:szCs w:val="24"/>
        </w:rPr>
        <w:t xml:space="preserve">, </w:t>
      </w:r>
      <w:r w:rsidRPr="002B005F">
        <w:rPr>
          <w:rFonts w:ascii="Times New Roman" w:hAnsi="Times New Roman" w:cs="Times New Roman"/>
          <w:sz w:val="24"/>
          <w:szCs w:val="24"/>
        </w:rPr>
        <w:t>transférer l'argent</w:t>
      </w:r>
      <w:r w:rsidRPr="002B005F">
        <w:rPr>
          <w:rStyle w:val="Appelnotedebasdep"/>
          <w:rFonts w:ascii="Times New Roman" w:hAnsi="Times New Roman"/>
          <w:sz w:val="24"/>
          <w:szCs w:val="24"/>
        </w:rPr>
        <w:footnoteReference w:id="334"/>
      </w:r>
      <w:r w:rsidRPr="002B005F">
        <w:rPr>
          <w:rFonts w:ascii="Times New Roman" w:hAnsi="Times New Roman" w:cs="Times New Roman"/>
          <w:sz w:val="24"/>
          <w:szCs w:val="24"/>
        </w:rPr>
        <w:t xml:space="preserve">. </w:t>
      </w:r>
    </w:p>
    <w:p w14:paraId="6020A8F9" w14:textId="77777777" w:rsidR="002760B2" w:rsidRPr="00AF7C67" w:rsidRDefault="002760B2" w:rsidP="00CB0FF1">
      <w:pPr>
        <w:pStyle w:val="Paragraphedeliste"/>
        <w:numPr>
          <w:ilvl w:val="0"/>
          <w:numId w:val="93"/>
        </w:numPr>
        <w:tabs>
          <w:tab w:val="left" w:pos="0"/>
        </w:tabs>
        <w:autoSpaceDE w:val="0"/>
        <w:autoSpaceDN w:val="0"/>
        <w:adjustRightInd w:val="0"/>
        <w:spacing w:before="120" w:line="300" w:lineRule="auto"/>
        <w:ind w:left="1135" w:hanging="284"/>
        <w:contextualSpacing w:val="0"/>
        <w:rPr>
          <w:rFonts w:ascii="Times New Roman" w:hAnsi="Times New Roman" w:cs="Times New Roman"/>
          <w:spacing w:val="-4"/>
          <w:sz w:val="24"/>
          <w:szCs w:val="24"/>
        </w:rPr>
      </w:pPr>
      <w:r w:rsidRPr="002B005F">
        <w:rPr>
          <w:rFonts w:ascii="Times New Roman" w:hAnsi="Times New Roman" w:cs="Times New Roman"/>
          <w:sz w:val="24"/>
          <w:szCs w:val="24"/>
        </w:rPr>
        <w:t>Sixièmement, les parts de bénéf</w:t>
      </w:r>
      <w:r w:rsidR="00181A71" w:rsidRPr="002B005F">
        <w:rPr>
          <w:rFonts w:ascii="Times New Roman" w:hAnsi="Times New Roman" w:cs="Times New Roman"/>
          <w:sz w:val="24"/>
          <w:szCs w:val="24"/>
        </w:rPr>
        <w:t>ice</w:t>
      </w:r>
      <w:r w:rsidRPr="002B005F">
        <w:rPr>
          <w:rFonts w:ascii="Times New Roman" w:hAnsi="Times New Roman" w:cs="Times New Roman"/>
          <w:sz w:val="24"/>
          <w:szCs w:val="24"/>
        </w:rPr>
        <w:t xml:space="preserve"> des parties devraient être connues lorsque le contrat est scell</w:t>
      </w:r>
      <w:r w:rsidR="00181A71" w:rsidRPr="002B005F">
        <w:rPr>
          <w:rFonts w:ascii="Times New Roman" w:hAnsi="Times New Roman" w:cs="Times New Roman"/>
          <w:sz w:val="24"/>
          <w:szCs w:val="24"/>
        </w:rPr>
        <w:t>é. De plus, les parts de profit</w:t>
      </w:r>
      <w:r w:rsidRPr="002B005F">
        <w:rPr>
          <w:rFonts w:ascii="Times New Roman" w:hAnsi="Times New Roman" w:cs="Times New Roman"/>
          <w:sz w:val="24"/>
          <w:szCs w:val="24"/>
        </w:rPr>
        <w:t xml:space="preserve"> ne devraient pas être en nombre mais plutôt une proportion du profit, par exemple la moitié du montant des bénéfices, sinon,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serait inacceptable.</w:t>
      </w:r>
      <w:r w:rsidR="00A35595">
        <w:rPr>
          <w:rFonts w:ascii="Times New Roman" w:hAnsi="Times New Roman" w:cs="Times New Roman"/>
          <w:sz w:val="24"/>
          <w:szCs w:val="24"/>
        </w:rPr>
        <w:t xml:space="preserve"> </w:t>
      </w:r>
      <w:r w:rsidR="00A35595" w:rsidRPr="00AF7C67">
        <w:rPr>
          <w:rFonts w:ascii="Times New Roman" w:hAnsi="Times New Roman" w:cs="Times New Roman"/>
          <w:spacing w:val="-4"/>
          <w:sz w:val="24"/>
          <w:szCs w:val="24"/>
        </w:rPr>
        <w:t xml:space="preserve">L’instruction </w:t>
      </w:r>
      <w:r w:rsidR="00A35595" w:rsidRPr="00AF7C67">
        <w:rPr>
          <w:rFonts w:ascii="Times New Roman" w:hAnsi="Times New Roman" w:cs="Times New Roman"/>
          <w:b/>
          <w:bCs/>
          <w:spacing w:val="-4"/>
          <w:sz w:val="24"/>
          <w:szCs w:val="24"/>
        </w:rPr>
        <w:t>N° 03-2020</w:t>
      </w:r>
      <w:r w:rsidR="00A35595" w:rsidRPr="00AF7C67">
        <w:rPr>
          <w:rFonts w:ascii="Times New Roman" w:hAnsi="Times New Roman" w:cs="Times New Roman"/>
          <w:spacing w:val="-4"/>
          <w:sz w:val="24"/>
          <w:szCs w:val="24"/>
        </w:rPr>
        <w:t xml:space="preserve"> du 02 avril 2020 définissant les produits relevant à la finance islamique et fixant les modalités et caractéristiques techniques de leur mise en œuvre par les banques algériennes a inclut dans l’</w:t>
      </w:r>
      <w:r w:rsidR="00A35595" w:rsidRPr="00AF7C67">
        <w:rPr>
          <w:rFonts w:ascii="Times New Roman" w:hAnsi="Times New Roman" w:cs="Times New Roman"/>
          <w:b/>
          <w:bCs/>
          <w:spacing w:val="-4"/>
          <w:sz w:val="24"/>
          <w:szCs w:val="24"/>
        </w:rPr>
        <w:t>article N° 22 </w:t>
      </w:r>
      <w:r w:rsidR="00A35595" w:rsidRPr="00AF7C67">
        <w:rPr>
          <w:rFonts w:ascii="Times New Roman" w:hAnsi="Times New Roman" w:cs="Times New Roman"/>
          <w:spacing w:val="-4"/>
          <w:sz w:val="24"/>
          <w:szCs w:val="24"/>
        </w:rPr>
        <w:t xml:space="preserve">: </w:t>
      </w:r>
      <w:r w:rsidR="00A35595" w:rsidRPr="00AF7C67">
        <w:rPr>
          <w:rFonts w:asciiTheme="majorBidi" w:hAnsiTheme="majorBidi" w:cstheme="majorBidi"/>
          <w:spacing w:val="-4"/>
          <w:sz w:val="24"/>
          <w:szCs w:val="24"/>
        </w:rPr>
        <w:t>«</w:t>
      </w:r>
      <w:r w:rsidR="00A35595" w:rsidRPr="00AF7C67">
        <w:rPr>
          <w:rFonts w:asciiTheme="majorBidi" w:hAnsiTheme="majorBidi" w:cstheme="majorBidi"/>
          <w:b/>
          <w:bCs/>
          <w:spacing w:val="-4"/>
          <w:sz w:val="24"/>
          <w:szCs w:val="24"/>
        </w:rPr>
        <w:t> </w:t>
      </w:r>
      <w:r w:rsidR="00A35595" w:rsidRPr="00AF7C67">
        <w:rPr>
          <w:rFonts w:asciiTheme="majorBidi" w:hAnsiTheme="majorBidi" w:cstheme="majorBidi"/>
          <w:i/>
          <w:iCs/>
          <w:spacing w:val="-4"/>
          <w:sz w:val="24"/>
          <w:szCs w:val="24"/>
        </w:rPr>
        <w:t xml:space="preserve">Les profits réalisés lors d’un contrat </w:t>
      </w:r>
      <w:r w:rsidR="00365EDA" w:rsidRPr="00AF7C67">
        <w:rPr>
          <w:rFonts w:asciiTheme="majorBidi" w:hAnsiTheme="majorBidi" w:cstheme="majorBidi"/>
          <w:i/>
          <w:iCs/>
          <w:spacing w:val="-4"/>
          <w:sz w:val="24"/>
          <w:szCs w:val="24"/>
        </w:rPr>
        <w:t>m</w:t>
      </w:r>
      <w:r w:rsidR="00A35595" w:rsidRPr="00AF7C67">
        <w:rPr>
          <w:rFonts w:asciiTheme="majorBidi" w:hAnsiTheme="majorBidi" w:cstheme="majorBidi"/>
          <w:i/>
          <w:iCs/>
          <w:spacing w:val="-4"/>
          <w:sz w:val="24"/>
          <w:szCs w:val="24"/>
        </w:rPr>
        <w:t>oudaraba sont partagés, selon une clé de répartition convenue entres les parties et fixée à la signature du contrat. Cette clé de répartition peut être modifiée à tout moment d’un commun accord entre les parties. La répartition doit être basée sur une part du profit dégagé et non sur un montant forfaitaire ou un pourcentage du capital</w:t>
      </w:r>
      <w:r w:rsidR="00A35595" w:rsidRPr="00AF7C67">
        <w:rPr>
          <w:rFonts w:asciiTheme="majorBidi" w:hAnsiTheme="majorBidi" w:cstheme="majorBidi"/>
          <w:spacing w:val="-4"/>
          <w:sz w:val="24"/>
          <w:szCs w:val="24"/>
        </w:rPr>
        <w:t> »</w:t>
      </w:r>
      <w:r w:rsidR="00A35595" w:rsidRPr="00AF7C67">
        <w:rPr>
          <w:rStyle w:val="Appelnotedebasdep"/>
          <w:rFonts w:asciiTheme="majorBidi" w:hAnsiTheme="majorBidi"/>
          <w:spacing w:val="-4"/>
          <w:sz w:val="24"/>
          <w:szCs w:val="24"/>
        </w:rPr>
        <w:footnoteReference w:id="335"/>
      </w:r>
      <w:r w:rsidR="00A35595" w:rsidRPr="00AF7C67">
        <w:rPr>
          <w:rFonts w:asciiTheme="majorBidi" w:hAnsiTheme="majorBidi" w:cstheme="majorBidi"/>
          <w:spacing w:val="-4"/>
          <w:sz w:val="24"/>
          <w:szCs w:val="24"/>
        </w:rPr>
        <w:t>.</w:t>
      </w:r>
    </w:p>
    <w:p w14:paraId="5FFF440D" w14:textId="77777777" w:rsidR="002760B2" w:rsidRPr="002B005F" w:rsidRDefault="002760B2" w:rsidP="00CB0FF1">
      <w:pPr>
        <w:pStyle w:val="Paragraphedeliste"/>
        <w:numPr>
          <w:ilvl w:val="0"/>
          <w:numId w:val="93"/>
        </w:numPr>
        <w:tabs>
          <w:tab w:val="left" w:pos="0"/>
        </w:tabs>
        <w:autoSpaceDE w:val="0"/>
        <w:autoSpaceDN w:val="0"/>
        <w:adjustRightInd w:val="0"/>
        <w:spacing w:before="120" w:line="300" w:lineRule="auto"/>
        <w:ind w:left="1135" w:hanging="284"/>
        <w:contextualSpacing w:val="0"/>
        <w:rPr>
          <w:rFonts w:ascii="Times New Roman" w:hAnsi="Times New Roman" w:cs="Times New Roman"/>
          <w:spacing w:val="-4"/>
          <w:sz w:val="24"/>
          <w:szCs w:val="24"/>
        </w:rPr>
      </w:pPr>
      <w:r w:rsidRPr="002B005F">
        <w:rPr>
          <w:rFonts w:ascii="Times New Roman" w:hAnsi="Times New Roman" w:cs="Times New Roman"/>
          <w:spacing w:val="-4"/>
          <w:sz w:val="24"/>
          <w:szCs w:val="24"/>
        </w:rPr>
        <w:t xml:space="preserve">Enfin, un contrat de </w:t>
      </w:r>
      <w:r w:rsidR="004A4E16" w:rsidRPr="002B005F">
        <w:rPr>
          <w:rFonts w:ascii="Times New Roman" w:hAnsi="Times New Roman" w:cs="Times New Roman"/>
          <w:i/>
          <w:spacing w:val="-4"/>
          <w:sz w:val="24"/>
          <w:szCs w:val="24"/>
        </w:rPr>
        <w:t>moudaraba</w:t>
      </w:r>
      <w:r w:rsidRPr="002B005F">
        <w:rPr>
          <w:rFonts w:ascii="Times New Roman" w:hAnsi="Times New Roman" w:cs="Times New Roman"/>
          <w:i/>
          <w:spacing w:val="-4"/>
          <w:sz w:val="24"/>
          <w:szCs w:val="24"/>
        </w:rPr>
        <w:t xml:space="preserve"> </w:t>
      </w:r>
      <w:r w:rsidRPr="002B005F">
        <w:rPr>
          <w:rFonts w:ascii="Times New Roman" w:hAnsi="Times New Roman" w:cs="Times New Roman"/>
          <w:spacing w:val="-4"/>
          <w:sz w:val="24"/>
          <w:szCs w:val="24"/>
        </w:rPr>
        <w:t xml:space="preserve">sera résilié dans les conditions </w:t>
      </w:r>
      <w:r w:rsidR="00201B23" w:rsidRPr="002B005F">
        <w:rPr>
          <w:rFonts w:ascii="Times New Roman" w:hAnsi="Times New Roman" w:cs="Times New Roman"/>
          <w:spacing w:val="-4"/>
          <w:sz w:val="24"/>
          <w:szCs w:val="24"/>
        </w:rPr>
        <w:t>suivantes :</w:t>
      </w:r>
      <w:r w:rsidRPr="002B005F">
        <w:rPr>
          <w:rFonts w:ascii="Times New Roman" w:hAnsi="Times New Roman" w:cs="Times New Roman"/>
          <w:spacing w:val="-4"/>
          <w:sz w:val="24"/>
          <w:szCs w:val="24"/>
        </w:rPr>
        <w:t xml:space="preserve"> le décès de l'une des parties, la perte de l'esprit de l'une des parties, la fin de période du contrat, le licenciement de </w:t>
      </w:r>
      <w:r w:rsidR="004A4E16" w:rsidRPr="002B005F">
        <w:rPr>
          <w:rFonts w:ascii="Times New Roman" w:hAnsi="Times New Roman" w:cs="Times New Roman"/>
          <w:i/>
          <w:iCs/>
          <w:spacing w:val="-4"/>
          <w:sz w:val="24"/>
          <w:szCs w:val="24"/>
        </w:rPr>
        <w:t>moudarib</w:t>
      </w:r>
      <w:r w:rsidRPr="002B005F">
        <w:rPr>
          <w:rFonts w:ascii="Times New Roman" w:hAnsi="Times New Roman" w:cs="Times New Roman"/>
          <w:spacing w:val="-4"/>
          <w:sz w:val="24"/>
          <w:szCs w:val="24"/>
        </w:rPr>
        <w:t xml:space="preserve">, la volonté de </w:t>
      </w:r>
      <w:r w:rsidR="004A4E16" w:rsidRPr="002B005F">
        <w:rPr>
          <w:rFonts w:ascii="Times New Roman" w:hAnsi="Times New Roman" w:cs="Times New Roman"/>
          <w:i/>
          <w:iCs/>
          <w:spacing w:val="-4"/>
          <w:sz w:val="24"/>
          <w:szCs w:val="24"/>
        </w:rPr>
        <w:t>moudarib</w:t>
      </w:r>
      <w:r w:rsidRPr="002B005F">
        <w:rPr>
          <w:rFonts w:ascii="Times New Roman" w:hAnsi="Times New Roman" w:cs="Times New Roman"/>
          <w:spacing w:val="-4"/>
          <w:sz w:val="24"/>
          <w:szCs w:val="24"/>
        </w:rPr>
        <w:t xml:space="preserve"> de mettre fin au contrat, la perte du capital.</w:t>
      </w:r>
    </w:p>
    <w:p w14:paraId="5EE2A0A1" w14:textId="3DE07C15" w:rsidR="002760B2" w:rsidRPr="002B005F" w:rsidRDefault="002760B2" w:rsidP="00112C2C">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On peut remarquer d'après ce qui précède que l'aspect </w:t>
      </w:r>
      <w:r w:rsidR="00DB4926" w:rsidRPr="00DB4926">
        <w:rPr>
          <w:rFonts w:ascii="Times New Roman" w:hAnsi="Times New Roman" w:cs="Times New Roman"/>
          <w:sz w:val="24"/>
          <w:szCs w:val="24"/>
        </w:rPr>
        <w:t>c</w:t>
      </w:r>
      <w:r w:rsidRPr="00DB4926">
        <w:rPr>
          <w:rFonts w:ascii="Times New Roman" w:hAnsi="Times New Roman" w:cs="Times New Roman"/>
          <w:sz w:val="24"/>
          <w:szCs w:val="24"/>
        </w:rPr>
        <w:t>hariatique</w:t>
      </w:r>
      <w:r w:rsidRPr="002B005F">
        <w:rPr>
          <w:rFonts w:ascii="Times New Roman" w:hAnsi="Times New Roman" w:cs="Times New Roman"/>
          <w:sz w:val="24"/>
          <w:szCs w:val="24"/>
        </w:rPr>
        <w:t xml:space="preserve"> de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et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est très riche tout au long de l’h</w:t>
      </w:r>
      <w:r w:rsidR="00181A71" w:rsidRPr="002B005F">
        <w:rPr>
          <w:rFonts w:ascii="Times New Roman" w:hAnsi="Times New Roman" w:cs="Times New Roman"/>
          <w:sz w:val="24"/>
          <w:szCs w:val="24"/>
        </w:rPr>
        <w:t>istoire. Nous pouvons tirer</w:t>
      </w:r>
      <w:r w:rsidRPr="002B005F">
        <w:rPr>
          <w:rFonts w:ascii="Times New Roman" w:hAnsi="Times New Roman" w:cs="Times New Roman"/>
          <w:sz w:val="24"/>
          <w:szCs w:val="24"/>
        </w:rPr>
        <w:t xml:space="preserve"> les aspects suivants liés à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et à la </w:t>
      </w:r>
      <w:r w:rsidRPr="002B005F">
        <w:rPr>
          <w:rFonts w:ascii="Times New Roman" w:hAnsi="Times New Roman" w:cs="Times New Roman"/>
          <w:i/>
          <w:iCs/>
          <w:sz w:val="24"/>
          <w:szCs w:val="24"/>
        </w:rPr>
        <w:t>moucharaka</w:t>
      </w:r>
      <w:r w:rsidR="004A4E16" w:rsidRPr="002B005F">
        <w:rPr>
          <w:rFonts w:ascii="Times New Roman" w:hAnsi="Times New Roman" w:cs="Times New Roman"/>
          <w:i/>
          <w:iCs/>
          <w:sz w:val="24"/>
          <w:szCs w:val="24"/>
        </w:rPr>
        <w:t> </w:t>
      </w:r>
      <w:r w:rsidR="004A4E16" w:rsidRPr="002B005F">
        <w:rPr>
          <w:rFonts w:ascii="Times New Roman" w:hAnsi="Times New Roman" w:cs="Times New Roman"/>
          <w:sz w:val="24"/>
          <w:szCs w:val="24"/>
        </w:rPr>
        <w:t>:</w:t>
      </w:r>
    </w:p>
    <w:p w14:paraId="37392EA2" w14:textId="77777777" w:rsidR="002760B2" w:rsidRPr="002B005F" w:rsidRDefault="002760B2" w:rsidP="00CB0FF1">
      <w:pPr>
        <w:pStyle w:val="Paragraphedeliste"/>
        <w:numPr>
          <w:ilvl w:val="0"/>
          <w:numId w:val="15"/>
        </w:numPr>
        <w:tabs>
          <w:tab w:val="left" w:pos="284"/>
          <w:tab w:val="left" w:pos="851"/>
          <w:tab w:val="left" w:pos="1134"/>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La </w:t>
      </w:r>
      <w:r w:rsidR="004A4E16" w:rsidRPr="002B005F">
        <w:rPr>
          <w:rFonts w:ascii="Times New Roman" w:hAnsi="Times New Roman" w:cs="Times New Roman"/>
          <w:i/>
          <w:sz w:val="24"/>
          <w:szCs w:val="24"/>
        </w:rPr>
        <w:t>moudaraba</w:t>
      </w:r>
      <w:r w:rsidR="00112C2C" w:rsidRPr="002B005F">
        <w:rPr>
          <w:rFonts w:ascii="Times New Roman" w:hAnsi="Times New Roman" w:cs="Times New Roman"/>
          <w:sz w:val="24"/>
          <w:szCs w:val="24"/>
        </w:rPr>
        <w:t xml:space="preserve"> est un partenariat </w:t>
      </w:r>
      <w:r w:rsidRPr="002B005F">
        <w:rPr>
          <w:rFonts w:ascii="Times New Roman" w:hAnsi="Times New Roman" w:cs="Times New Roman"/>
          <w:sz w:val="24"/>
          <w:szCs w:val="24"/>
        </w:rPr>
        <w:t xml:space="preserve">passif dans lequel un partenaire fournit le capital et l'autre son travail.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est un partenariat en capital dans lequel tous les partenaires apportent le capital et</w:t>
      </w:r>
      <w:r w:rsidR="00112C2C" w:rsidRPr="002B005F">
        <w:rPr>
          <w:rFonts w:ascii="Times New Roman" w:hAnsi="Times New Roman" w:cs="Times New Roman"/>
          <w:sz w:val="24"/>
          <w:szCs w:val="24"/>
        </w:rPr>
        <w:t>,</w:t>
      </w:r>
      <w:r w:rsidRPr="002B005F">
        <w:rPr>
          <w:rFonts w:ascii="Times New Roman" w:hAnsi="Times New Roman" w:cs="Times New Roman"/>
          <w:sz w:val="24"/>
          <w:szCs w:val="24"/>
        </w:rPr>
        <w:t xml:space="preserve"> au moins l'un d'eux fournit aussi le travail.</w:t>
      </w:r>
    </w:p>
    <w:p w14:paraId="27BED724" w14:textId="77777777" w:rsidR="002760B2" w:rsidRPr="002B005F" w:rsidRDefault="002760B2" w:rsidP="00CB0FF1">
      <w:pPr>
        <w:pStyle w:val="Paragraphedeliste"/>
        <w:numPr>
          <w:ilvl w:val="0"/>
          <w:numId w:val="15"/>
        </w:numPr>
        <w:tabs>
          <w:tab w:val="left" w:pos="284"/>
          <w:tab w:val="left" w:pos="851"/>
          <w:tab w:val="left" w:pos="1134"/>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lastRenderedPageBreak/>
        <w:t xml:space="preserve">Dans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le profit e</w:t>
      </w:r>
      <w:r w:rsidR="00112C2C" w:rsidRPr="002B005F">
        <w:rPr>
          <w:rFonts w:ascii="Times New Roman" w:hAnsi="Times New Roman" w:cs="Times New Roman"/>
          <w:sz w:val="24"/>
          <w:szCs w:val="24"/>
        </w:rPr>
        <w:t>st partagé selon des ratios pré</w:t>
      </w:r>
      <w:r w:rsidRPr="002B005F">
        <w:rPr>
          <w:rFonts w:ascii="Times New Roman" w:hAnsi="Times New Roman" w:cs="Times New Roman"/>
          <w:sz w:val="24"/>
          <w:szCs w:val="24"/>
        </w:rPr>
        <w:t xml:space="preserve">convenus et la perte est totalement subie par le propriétaire du capital. Dans le cas de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l</w:t>
      </w:r>
      <w:r w:rsidR="00112C2C" w:rsidRPr="002B005F">
        <w:rPr>
          <w:rFonts w:ascii="Times New Roman" w:hAnsi="Times New Roman" w:cs="Times New Roman"/>
          <w:sz w:val="24"/>
          <w:szCs w:val="24"/>
        </w:rPr>
        <w:t>e ratio de partage de bénéfice</w:t>
      </w:r>
      <w:r w:rsidRPr="002B005F">
        <w:rPr>
          <w:rFonts w:ascii="Times New Roman" w:hAnsi="Times New Roman" w:cs="Times New Roman"/>
          <w:sz w:val="24"/>
          <w:szCs w:val="24"/>
        </w:rPr>
        <w:t xml:space="preserve"> devrait être soit proportionnel aux contributions du capital ou être fixé librement, tandis que le partage des pertes doit être proportionné aux contributions du capital.</w:t>
      </w:r>
    </w:p>
    <w:p w14:paraId="5F505532" w14:textId="77777777" w:rsidR="002760B2" w:rsidRPr="002B005F" w:rsidRDefault="002760B2" w:rsidP="00CB0FF1">
      <w:pPr>
        <w:pStyle w:val="Paragraphedeliste"/>
        <w:numPr>
          <w:ilvl w:val="0"/>
          <w:numId w:val="15"/>
        </w:numPr>
        <w:tabs>
          <w:tab w:val="left" w:pos="284"/>
          <w:tab w:val="left" w:pos="851"/>
          <w:tab w:val="left" w:pos="1134"/>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 capital ne doit être garanti ni pour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ni pour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De plus, </w:t>
      </w:r>
      <w:r w:rsidRPr="00B614BA">
        <w:rPr>
          <w:rFonts w:ascii="Times New Roman" w:hAnsi="Times New Roman" w:cs="Times New Roman"/>
          <w:sz w:val="24"/>
          <w:szCs w:val="24"/>
        </w:rPr>
        <w:t>le rendement ne doit pas être fix</w:t>
      </w:r>
      <w:r w:rsidR="00A93D22" w:rsidRPr="00B614BA">
        <w:rPr>
          <w:rFonts w:ascii="Times New Roman" w:hAnsi="Times New Roman" w:cs="Times New Roman"/>
          <w:sz w:val="24"/>
          <w:szCs w:val="24"/>
        </w:rPr>
        <w:t>e</w:t>
      </w:r>
      <w:r w:rsidRPr="00B614BA">
        <w:rPr>
          <w:rFonts w:ascii="Times New Roman" w:hAnsi="Times New Roman" w:cs="Times New Roman"/>
          <w:sz w:val="24"/>
          <w:szCs w:val="24"/>
        </w:rPr>
        <w:t xml:space="preserve"> pour les deux types de contrat.</w:t>
      </w:r>
    </w:p>
    <w:p w14:paraId="27E14631" w14:textId="77777777" w:rsidR="002760B2" w:rsidRPr="002B005F" w:rsidRDefault="002760B2" w:rsidP="00CB0FF1">
      <w:pPr>
        <w:pStyle w:val="Paragraphedeliste"/>
        <w:numPr>
          <w:ilvl w:val="0"/>
          <w:numId w:val="15"/>
        </w:numPr>
        <w:tabs>
          <w:tab w:val="left" w:pos="284"/>
          <w:tab w:val="left" w:pos="851"/>
          <w:tab w:val="left" w:pos="1134"/>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Dans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le </w:t>
      </w:r>
      <w:r w:rsidR="004A4E16" w:rsidRPr="002B005F">
        <w:rPr>
          <w:rFonts w:ascii="Times New Roman" w:hAnsi="Times New Roman" w:cs="Times New Roman"/>
          <w:i/>
          <w:iCs/>
          <w:sz w:val="24"/>
          <w:szCs w:val="24"/>
        </w:rPr>
        <w:t>moudarib</w:t>
      </w:r>
      <w:r w:rsidRPr="002B005F">
        <w:rPr>
          <w:rFonts w:ascii="Times New Roman" w:hAnsi="Times New Roman" w:cs="Times New Roman"/>
          <w:sz w:val="24"/>
          <w:szCs w:val="24"/>
        </w:rPr>
        <w:t xml:space="preserve"> est </w:t>
      </w:r>
      <w:r w:rsidRPr="002B005F">
        <w:rPr>
          <w:rFonts w:ascii="Times New Roman" w:hAnsi="Times New Roman" w:cs="Times New Roman"/>
          <w:i/>
          <w:iCs/>
          <w:sz w:val="24"/>
          <w:szCs w:val="24"/>
        </w:rPr>
        <w:t>wakil</w:t>
      </w:r>
      <w:r w:rsidRPr="002B005F">
        <w:rPr>
          <w:rFonts w:ascii="Times New Roman" w:hAnsi="Times New Roman" w:cs="Times New Roman"/>
          <w:sz w:val="24"/>
          <w:szCs w:val="24"/>
        </w:rPr>
        <w:t xml:space="preserve"> (mandataire) du principal, ce qui signifie qu'il détient le capital avec la permission du principal. Par conséquent, il est responsable de la perte</w:t>
      </w:r>
      <w:r w:rsidR="00112C2C" w:rsidRPr="002B005F">
        <w:rPr>
          <w:rFonts w:ascii="Times New Roman" w:hAnsi="Times New Roman" w:cs="Times New Roman"/>
          <w:sz w:val="24"/>
          <w:szCs w:val="24"/>
        </w:rPr>
        <w:t>,</w:t>
      </w:r>
      <w:r w:rsidRPr="002B005F">
        <w:rPr>
          <w:rFonts w:ascii="Times New Roman" w:hAnsi="Times New Roman" w:cs="Times New Roman"/>
          <w:sz w:val="24"/>
          <w:szCs w:val="24"/>
        </w:rPr>
        <w:t xml:space="preserve"> si et seulement s'il y a</w:t>
      </w:r>
      <w:r w:rsidR="004A4E16" w:rsidRPr="002B005F">
        <w:rPr>
          <w:rFonts w:ascii="Times New Roman" w:hAnsi="Times New Roman" w:cs="Times New Roman"/>
          <w:sz w:val="24"/>
          <w:szCs w:val="24"/>
        </w:rPr>
        <w:t xml:space="preserve"> une négligence de gestion. Cela</w:t>
      </w:r>
      <w:r w:rsidRPr="002B005F">
        <w:rPr>
          <w:rFonts w:ascii="Times New Roman" w:hAnsi="Times New Roman" w:cs="Times New Roman"/>
          <w:sz w:val="24"/>
          <w:szCs w:val="24"/>
        </w:rPr>
        <w:t xml:space="preserve"> est compatible avec la règle de </w:t>
      </w:r>
      <w:r w:rsidRPr="002B005F">
        <w:rPr>
          <w:rFonts w:ascii="Times New Roman" w:hAnsi="Times New Roman" w:cs="Times New Roman"/>
          <w:i/>
          <w:iCs/>
          <w:sz w:val="24"/>
          <w:szCs w:val="24"/>
        </w:rPr>
        <w:t>daman</w:t>
      </w:r>
      <w:r w:rsidRPr="002B005F">
        <w:rPr>
          <w:rFonts w:ascii="Times New Roman" w:hAnsi="Times New Roman" w:cs="Times New Roman"/>
          <w:sz w:val="24"/>
          <w:szCs w:val="24"/>
        </w:rPr>
        <w:t xml:space="preserve"> (responsabilité)</w:t>
      </w:r>
      <w:r w:rsidRPr="002B005F">
        <w:rPr>
          <w:rStyle w:val="Appelnotedebasdep"/>
          <w:rFonts w:ascii="Times New Roman" w:hAnsi="Times New Roman"/>
          <w:sz w:val="24"/>
          <w:szCs w:val="24"/>
        </w:rPr>
        <w:footnoteReference w:id="336"/>
      </w:r>
      <w:r w:rsidR="004A4E16"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dans la jurisprudence </w:t>
      </w:r>
      <w:r w:rsidR="00112C2C"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w:t>
      </w:r>
    </w:p>
    <w:p w14:paraId="084E9647" w14:textId="77777777" w:rsidR="002760B2" w:rsidRPr="001B4F9C" w:rsidRDefault="002760B2" w:rsidP="007B64B9">
      <w:pPr>
        <w:pStyle w:val="Titre2"/>
        <w:keepNext w:val="0"/>
        <w:spacing w:before="100" w:beforeAutospacing="1" w:after="100" w:afterAutospacing="1" w:line="276" w:lineRule="auto"/>
        <w:ind w:firstLine="709"/>
        <w:rPr>
          <w:i w:val="0"/>
          <w:iCs w:val="0"/>
          <w:kern w:val="28"/>
          <w:sz w:val="28"/>
        </w:rPr>
      </w:pPr>
      <w:bookmarkStart w:id="1241" w:name="_Toc33263341"/>
      <w:bookmarkStart w:id="1242" w:name="_Toc33264120"/>
      <w:bookmarkStart w:id="1243" w:name="_Toc37664604"/>
      <w:bookmarkStart w:id="1244" w:name="_Toc37666449"/>
      <w:bookmarkStart w:id="1245" w:name="_Toc37667322"/>
      <w:bookmarkStart w:id="1246" w:name="_Toc54361032"/>
      <w:bookmarkStart w:id="1247" w:name="_Toc54361680"/>
      <w:bookmarkStart w:id="1248" w:name="_Toc54363346"/>
      <w:bookmarkStart w:id="1249" w:name="_Toc57901031"/>
      <w:bookmarkStart w:id="1250" w:name="_Toc58261932"/>
      <w:bookmarkStart w:id="1251" w:name="_Toc58606336"/>
      <w:bookmarkStart w:id="1252" w:name="_Toc61263541"/>
      <w:bookmarkStart w:id="1253" w:name="_Toc116257068"/>
      <w:bookmarkStart w:id="1254" w:name="_Toc182298848"/>
      <w:bookmarkStart w:id="1255" w:name="_Toc182309391"/>
      <w:r w:rsidRPr="001B4F9C">
        <w:rPr>
          <w:i w:val="0"/>
          <w:iCs w:val="0"/>
          <w:kern w:val="28"/>
          <w:sz w:val="28"/>
        </w:rPr>
        <w:t>Secti</w:t>
      </w:r>
      <w:r w:rsidR="009D433B" w:rsidRPr="001B4F9C">
        <w:rPr>
          <w:i w:val="0"/>
          <w:iCs w:val="0"/>
          <w:kern w:val="28"/>
          <w:sz w:val="28"/>
        </w:rPr>
        <w:t>on II-</w:t>
      </w:r>
      <w:r w:rsidR="0042745D" w:rsidRPr="001B4F9C">
        <w:rPr>
          <w:i w:val="0"/>
          <w:iCs w:val="0"/>
          <w:kern w:val="28"/>
          <w:sz w:val="28"/>
        </w:rPr>
        <w:t xml:space="preserve"> A</w:t>
      </w:r>
      <w:r w:rsidRPr="001B4F9C">
        <w:rPr>
          <w:i w:val="0"/>
          <w:iCs w:val="0"/>
          <w:kern w:val="28"/>
          <w:sz w:val="28"/>
        </w:rPr>
        <w:t>ppl</w:t>
      </w:r>
      <w:r w:rsidR="00EF2A4F" w:rsidRPr="001B4F9C">
        <w:rPr>
          <w:i w:val="0"/>
          <w:iCs w:val="0"/>
          <w:kern w:val="28"/>
          <w:sz w:val="28"/>
        </w:rPr>
        <w:t>ication des instruments</w:t>
      </w:r>
      <w:r w:rsidRPr="001B4F9C">
        <w:rPr>
          <w:i w:val="0"/>
          <w:iCs w:val="0"/>
          <w:kern w:val="28"/>
          <w:sz w:val="28"/>
        </w:rPr>
        <w:t xml:space="preserve"> participatifs </w:t>
      </w:r>
      <w:r w:rsidR="00EF2A4F" w:rsidRPr="001B4F9C">
        <w:rPr>
          <w:i w:val="0"/>
          <w:iCs w:val="0"/>
          <w:kern w:val="28"/>
          <w:sz w:val="28"/>
        </w:rPr>
        <w:t>dans la</w:t>
      </w:r>
      <w:r w:rsidRPr="001B4F9C">
        <w:rPr>
          <w:i w:val="0"/>
          <w:iCs w:val="0"/>
          <w:kern w:val="28"/>
          <w:sz w:val="28"/>
        </w:rPr>
        <w:t xml:space="preserve"> BI</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49E7D86A" w14:textId="77777777" w:rsidR="002760B2" w:rsidRPr="002B005F" w:rsidRDefault="002760B2" w:rsidP="007B64B9">
      <w:pPr>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Les spécialistes en matière de financement considèrent que l’utilisation des mo</w:t>
      </w:r>
      <w:r w:rsidR="00112C2C" w:rsidRPr="002B005F">
        <w:rPr>
          <w:rFonts w:ascii="Times New Roman" w:hAnsi="Times New Roman" w:cs="Times New Roman"/>
          <w:sz w:val="24"/>
          <w:szCs w:val="24"/>
        </w:rPr>
        <w:t>des de financement participatif</w:t>
      </w:r>
      <w:r w:rsidRPr="002B005F">
        <w:rPr>
          <w:rFonts w:ascii="Times New Roman" w:hAnsi="Times New Roman" w:cs="Times New Roman"/>
          <w:sz w:val="24"/>
          <w:szCs w:val="24"/>
        </w:rPr>
        <w:t xml:space="preserve">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par les banques est préférable aux autres financements à rémunération fixe comme la </w:t>
      </w:r>
      <w:r w:rsidRPr="002B005F">
        <w:rPr>
          <w:rFonts w:ascii="Times New Roman" w:hAnsi="Times New Roman" w:cs="Times New Roman"/>
          <w:i/>
          <w:iCs/>
          <w:sz w:val="24"/>
          <w:szCs w:val="24"/>
        </w:rPr>
        <w:t>mourabaha</w:t>
      </w:r>
      <w:r w:rsidRPr="002B005F">
        <w:rPr>
          <w:rFonts w:ascii="Times New Roman" w:hAnsi="Times New Roman" w:cs="Times New Roman"/>
          <w:sz w:val="24"/>
          <w:szCs w:val="24"/>
        </w:rPr>
        <w:t>, l’</w:t>
      </w:r>
      <w:r w:rsidRPr="002B005F">
        <w:rPr>
          <w:rFonts w:ascii="Times New Roman" w:hAnsi="Times New Roman" w:cs="Times New Roman"/>
          <w:i/>
          <w:sz w:val="24"/>
          <w:szCs w:val="24"/>
        </w:rPr>
        <w:t>ijara</w:t>
      </w:r>
      <w:r w:rsidRPr="002B005F">
        <w:rPr>
          <w:rFonts w:ascii="Times New Roman" w:hAnsi="Times New Roman" w:cs="Times New Roman"/>
          <w:sz w:val="24"/>
          <w:szCs w:val="24"/>
        </w:rPr>
        <w:t xml:space="preserve"> ou l’</w:t>
      </w:r>
      <w:r w:rsidR="002C67F4" w:rsidRPr="002B005F">
        <w:rPr>
          <w:rFonts w:ascii="Times New Roman" w:hAnsi="Times New Roman" w:cs="Times New Roman"/>
          <w:i/>
          <w:iCs/>
          <w:sz w:val="24"/>
          <w:szCs w:val="24"/>
        </w:rPr>
        <w:t>istisna’</w:t>
      </w:r>
      <w:r w:rsidRPr="002B005F">
        <w:rPr>
          <w:rFonts w:ascii="Times New Roman" w:hAnsi="Times New Roman" w:cs="Times New Roman"/>
          <w:sz w:val="24"/>
          <w:szCs w:val="24"/>
        </w:rPr>
        <w:t xml:space="preserve"> … Cependant, dans la pratique, l’usage de ces modes de financement reste minime. Cela est essentiellement dû au fort degré de risque lié</w:t>
      </w:r>
      <w:r w:rsidR="003055D4" w:rsidRPr="002B005F">
        <w:rPr>
          <w:rFonts w:ascii="Times New Roman" w:hAnsi="Times New Roman" w:cs="Times New Roman"/>
          <w:sz w:val="24"/>
          <w:szCs w:val="24"/>
        </w:rPr>
        <w:t xml:space="preserve"> aux modes de financement M-M. </w:t>
      </w:r>
      <w:r w:rsidRPr="002B005F">
        <w:rPr>
          <w:rFonts w:ascii="Times New Roman" w:hAnsi="Times New Roman" w:cs="Times New Roman"/>
          <w:sz w:val="24"/>
          <w:szCs w:val="24"/>
        </w:rPr>
        <w:t>Avan</w:t>
      </w:r>
      <w:r w:rsidR="00112C2C" w:rsidRPr="002B005F">
        <w:rPr>
          <w:rFonts w:ascii="Times New Roman" w:hAnsi="Times New Roman" w:cs="Times New Roman"/>
          <w:sz w:val="24"/>
          <w:szCs w:val="24"/>
        </w:rPr>
        <w:t>t d’aborder le phénomène de sur</w:t>
      </w:r>
      <w:r w:rsidRPr="002B005F">
        <w:rPr>
          <w:rFonts w:ascii="Times New Roman" w:hAnsi="Times New Roman" w:cs="Times New Roman"/>
          <w:sz w:val="24"/>
          <w:szCs w:val="24"/>
        </w:rPr>
        <w:t xml:space="preserve">utilisation de la </w:t>
      </w:r>
      <w:r w:rsidRPr="002B005F">
        <w:rPr>
          <w:rFonts w:ascii="Times New Roman" w:hAnsi="Times New Roman" w:cs="Times New Roman"/>
          <w:i/>
          <w:iCs/>
          <w:sz w:val="24"/>
          <w:szCs w:val="24"/>
        </w:rPr>
        <w:t>mourabaha</w:t>
      </w:r>
      <w:r w:rsidRPr="002B005F">
        <w:rPr>
          <w:rFonts w:ascii="Times New Roman" w:hAnsi="Times New Roman" w:cs="Times New Roman"/>
          <w:sz w:val="24"/>
          <w:szCs w:val="24"/>
        </w:rPr>
        <w:t xml:space="preserve">, </w:t>
      </w:r>
      <w:r w:rsidR="00AF7C67" w:rsidRPr="00AF7C67">
        <w:rPr>
          <w:rFonts w:ascii="Times New Roman" w:hAnsi="Times New Roman" w:cs="Times New Roman"/>
          <w:sz w:val="24"/>
          <w:szCs w:val="24"/>
        </w:rPr>
        <w:t>dans ce qui suit nous aborderons les specificités de l’intermédiation financière participative dans les BI.</w:t>
      </w:r>
    </w:p>
    <w:p w14:paraId="5E66444E" w14:textId="77777777" w:rsidR="002760B2" w:rsidRPr="001B4F9C" w:rsidRDefault="00EF2A4F" w:rsidP="007B64B9">
      <w:pPr>
        <w:pStyle w:val="Titre3"/>
        <w:keepNext w:val="0"/>
        <w:keepLines w:val="0"/>
        <w:spacing w:before="100" w:beforeAutospacing="1" w:after="100" w:afterAutospacing="1"/>
        <w:ind w:firstLine="709"/>
        <w:rPr>
          <w:sz w:val="28"/>
          <w:szCs w:val="28"/>
        </w:rPr>
      </w:pPr>
      <w:bookmarkStart w:id="1256" w:name="_Toc33263342"/>
      <w:bookmarkStart w:id="1257" w:name="_Toc37664605"/>
      <w:bookmarkStart w:id="1258" w:name="_Toc37666450"/>
      <w:bookmarkStart w:id="1259" w:name="_Toc54363347"/>
      <w:bookmarkStart w:id="1260" w:name="_Toc57230247"/>
      <w:bookmarkStart w:id="1261" w:name="_Toc57881368"/>
      <w:bookmarkStart w:id="1262" w:name="_Toc57900838"/>
      <w:bookmarkStart w:id="1263" w:name="_Toc33263343"/>
      <w:bookmarkStart w:id="1264" w:name="_Toc37664606"/>
      <w:bookmarkStart w:id="1265" w:name="_Toc37666451"/>
      <w:bookmarkStart w:id="1266" w:name="_Toc54363348"/>
      <w:bookmarkStart w:id="1267" w:name="_Toc57230248"/>
      <w:bookmarkStart w:id="1268" w:name="_Toc57881369"/>
      <w:bookmarkStart w:id="1269" w:name="_Toc57900839"/>
      <w:bookmarkStart w:id="1270" w:name="_Toc33263344"/>
      <w:bookmarkStart w:id="1271" w:name="_Toc37664607"/>
      <w:bookmarkStart w:id="1272" w:name="_Toc37666452"/>
      <w:bookmarkStart w:id="1273" w:name="_Toc54363349"/>
      <w:bookmarkStart w:id="1274" w:name="_Toc58606337"/>
      <w:bookmarkStart w:id="1275" w:name="_Toc61263542"/>
      <w:bookmarkStart w:id="1276" w:name="_Toc182298849"/>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1B4F9C">
        <w:rPr>
          <w:sz w:val="28"/>
          <w:szCs w:val="28"/>
        </w:rPr>
        <w:t xml:space="preserve">2.1- </w:t>
      </w:r>
      <w:r w:rsidR="00233D15" w:rsidRPr="001B4F9C">
        <w:rPr>
          <w:sz w:val="28"/>
          <w:szCs w:val="28"/>
        </w:rPr>
        <w:t>I</w:t>
      </w:r>
      <w:r w:rsidR="002760B2" w:rsidRPr="001B4F9C">
        <w:rPr>
          <w:sz w:val="28"/>
          <w:szCs w:val="28"/>
        </w:rPr>
        <w:t>ntermédiation f</w:t>
      </w:r>
      <w:r w:rsidR="000F4546" w:rsidRPr="001B4F9C">
        <w:rPr>
          <w:sz w:val="28"/>
          <w:szCs w:val="28"/>
        </w:rPr>
        <w:t>inancière participative dans la</w:t>
      </w:r>
      <w:r w:rsidR="002760B2" w:rsidRPr="001B4F9C">
        <w:rPr>
          <w:sz w:val="28"/>
          <w:szCs w:val="28"/>
        </w:rPr>
        <w:t xml:space="preserve"> BI</w:t>
      </w:r>
      <w:bookmarkEnd w:id="1270"/>
      <w:bookmarkEnd w:id="1271"/>
      <w:bookmarkEnd w:id="1272"/>
      <w:bookmarkEnd w:id="1273"/>
      <w:bookmarkEnd w:id="1274"/>
      <w:bookmarkEnd w:id="1275"/>
      <w:bookmarkEnd w:id="1276"/>
    </w:p>
    <w:p w14:paraId="14575076" w14:textId="77777777" w:rsidR="002760B2" w:rsidRPr="002B005F" w:rsidRDefault="009E5543" w:rsidP="00EF2A4F">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Etant donné l</w:t>
      </w:r>
      <w:r w:rsidR="002760B2" w:rsidRPr="002B005F">
        <w:rPr>
          <w:rFonts w:ascii="Times New Roman" w:hAnsi="Times New Roman" w:cs="Times New Roman"/>
          <w:sz w:val="24"/>
          <w:szCs w:val="24"/>
        </w:rPr>
        <w:t xml:space="preserve">es spécificités de la mobilisation des fonds et des financements offerts par la banque </w:t>
      </w:r>
      <w:r w:rsidR="00112C2C"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l’intermédiation financière islamique présente des caractéristiques distinctes</w:t>
      </w:r>
      <w:r w:rsidR="002760B2" w:rsidRPr="002B005F">
        <w:rPr>
          <w:rFonts w:ascii="Times New Roman" w:hAnsi="Times New Roman" w:cs="Times New Roman"/>
          <w:sz w:val="24"/>
          <w:szCs w:val="24"/>
        </w:rPr>
        <w:t>. Chaque type de dépôts est affecté à une catégorie donnée de financements</w:t>
      </w:r>
      <w:r w:rsidR="002760B2" w:rsidRPr="002B005F">
        <w:rPr>
          <w:rStyle w:val="Appelnotedebasdep"/>
          <w:rFonts w:ascii="Times New Roman" w:hAnsi="Times New Roman"/>
          <w:sz w:val="24"/>
          <w:szCs w:val="24"/>
        </w:rPr>
        <w:footnoteReference w:id="337"/>
      </w:r>
      <w:r w:rsidR="002760B2" w:rsidRPr="002B005F">
        <w:rPr>
          <w:rFonts w:ascii="Times New Roman" w:hAnsi="Times New Roman" w:cs="Times New Roman"/>
          <w:sz w:val="24"/>
          <w:szCs w:val="24"/>
        </w:rPr>
        <w:t>.</w:t>
      </w:r>
    </w:p>
    <w:p w14:paraId="74B67676" w14:textId="46C4F2E6" w:rsidR="002760B2" w:rsidRPr="002B005F" w:rsidRDefault="002760B2" w:rsidP="00EF2A4F">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D’abord, les comptes d’épargne servent à des financements de nature commerciale tels que la </w:t>
      </w:r>
      <w:r w:rsidRPr="002B005F">
        <w:rPr>
          <w:rFonts w:ascii="Times New Roman" w:hAnsi="Times New Roman" w:cs="Times New Roman"/>
          <w:i/>
          <w:iCs/>
          <w:sz w:val="24"/>
          <w:szCs w:val="24"/>
        </w:rPr>
        <w:t>mourabaha</w:t>
      </w:r>
      <w:r w:rsidRPr="002B005F">
        <w:rPr>
          <w:rFonts w:ascii="Times New Roman" w:hAnsi="Times New Roman" w:cs="Times New Roman"/>
          <w:sz w:val="24"/>
          <w:szCs w:val="24"/>
        </w:rPr>
        <w:t>, l’</w:t>
      </w:r>
      <w:r w:rsidRPr="002B005F">
        <w:rPr>
          <w:rFonts w:ascii="Times New Roman" w:hAnsi="Times New Roman" w:cs="Times New Roman"/>
          <w:i/>
          <w:sz w:val="24"/>
          <w:szCs w:val="24"/>
        </w:rPr>
        <w:t>ijara</w:t>
      </w:r>
      <w:r w:rsidRPr="002B005F">
        <w:rPr>
          <w:rFonts w:ascii="Times New Roman" w:hAnsi="Times New Roman" w:cs="Times New Roman"/>
          <w:sz w:val="24"/>
          <w:szCs w:val="24"/>
        </w:rPr>
        <w:t xml:space="preserve"> et le </w:t>
      </w:r>
      <w:r w:rsidRPr="002B005F">
        <w:rPr>
          <w:rFonts w:ascii="Times New Roman" w:hAnsi="Times New Roman" w:cs="Times New Roman"/>
          <w:i/>
          <w:sz w:val="24"/>
          <w:szCs w:val="24"/>
        </w:rPr>
        <w:t>salam</w:t>
      </w:r>
      <w:r w:rsidRPr="002B005F">
        <w:rPr>
          <w:rFonts w:ascii="Times New Roman" w:hAnsi="Times New Roman" w:cs="Times New Roman"/>
          <w:sz w:val="24"/>
          <w:szCs w:val="24"/>
        </w:rPr>
        <w:t>. C’est une intermédiation non basée sur le principe de partage des profits et des pertes. Elle englobe des formes de financements exempts du taux d’intérêt mais qui remplissent des fonctions similaires à celles des banques conventionnelles.</w:t>
      </w:r>
    </w:p>
    <w:p w14:paraId="16EB8488" w14:textId="77777777" w:rsidR="002760B2" w:rsidRPr="002B005F" w:rsidRDefault="002760B2" w:rsidP="00EF2A4F">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Ensuite, les comptes de </w:t>
      </w:r>
      <w:r w:rsidRPr="002B005F">
        <w:rPr>
          <w:rFonts w:ascii="Times New Roman" w:hAnsi="Times New Roman" w:cs="Times New Roman"/>
          <w:i/>
          <w:sz w:val="24"/>
          <w:szCs w:val="24"/>
        </w:rPr>
        <w:t>zakat</w:t>
      </w:r>
      <w:r w:rsidRPr="002B005F">
        <w:rPr>
          <w:rFonts w:ascii="Times New Roman" w:hAnsi="Times New Roman" w:cs="Times New Roman"/>
          <w:sz w:val="24"/>
          <w:szCs w:val="24"/>
        </w:rPr>
        <w:t xml:space="preserve"> et les comptes du service social permettent de financer des activités de soutien aux agents en nécessité, aux associations au but non lucratif, etc. Il s’agit d’une intermédiation sociale et caritative qui n’adhère pas aux principes purement économiques. Enfin, les comptes d’investissement gérés selon le principe de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servent à des financements de projets productifs à long terme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et </w:t>
      </w:r>
      <w:r w:rsidRPr="002B005F">
        <w:rPr>
          <w:rFonts w:ascii="Times New Roman" w:hAnsi="Times New Roman" w:cs="Times New Roman"/>
          <w:i/>
          <w:iCs/>
          <w:sz w:val="24"/>
          <w:szCs w:val="24"/>
        </w:rPr>
        <w:t>moucharaka</w:t>
      </w:r>
      <w:r w:rsidR="003A6B65" w:rsidRPr="002B005F">
        <w:rPr>
          <w:rFonts w:ascii="Times New Roman" w:hAnsi="Times New Roman" w:cs="Times New Roman"/>
          <w:sz w:val="24"/>
          <w:szCs w:val="24"/>
        </w:rPr>
        <w:t>).</w:t>
      </w:r>
    </w:p>
    <w:p w14:paraId="64480C07" w14:textId="2DB12590" w:rsidR="002760B2" w:rsidRPr="002B005F" w:rsidRDefault="002760B2" w:rsidP="00EF2A4F">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lastRenderedPageBreak/>
        <w:t xml:space="preserve">Une telle intermédiation est basée sur le principe de partage de profits et des pertes du côté des dépôts et du côté des financements. Cette intermédiation participative paraît </w:t>
      </w:r>
      <w:r w:rsidR="00AB0C0A">
        <w:rPr>
          <w:rFonts w:ascii="Times New Roman" w:hAnsi="Times New Roman" w:cs="Times New Roman"/>
          <w:sz w:val="24"/>
          <w:szCs w:val="24"/>
        </w:rPr>
        <w:t>constituer la spécificité de la banque</w:t>
      </w:r>
      <w:r w:rsidRPr="002B005F">
        <w:rPr>
          <w:rFonts w:ascii="Times New Roman" w:hAnsi="Times New Roman" w:cs="Times New Roman"/>
          <w:sz w:val="24"/>
          <w:szCs w:val="24"/>
        </w:rPr>
        <w:t xml:space="preserve"> </w:t>
      </w:r>
      <w:r w:rsidR="003D1D7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en matière d’intermédiation. En fait, elle ne se limite pas à de simples relations prêteurs-emprunteurs, mais elle développe une double relation d’agence entre la banque et le déposant d’une part et la banque et l’entrepreneur d’autre part. Dans cet esprit, la banque </w:t>
      </w:r>
      <w:r w:rsidR="00C57344">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joue un rôle essentiel de débouchés d’épargne et de concepteur d’investissement</w:t>
      </w:r>
      <w:r w:rsidRPr="002B005F">
        <w:rPr>
          <w:rStyle w:val="Appelnotedebasdep"/>
          <w:rFonts w:ascii="Times New Roman" w:hAnsi="Times New Roman"/>
          <w:sz w:val="24"/>
          <w:szCs w:val="24"/>
        </w:rPr>
        <w:footnoteReference w:id="338"/>
      </w:r>
      <w:r w:rsidRPr="002B005F">
        <w:rPr>
          <w:rFonts w:ascii="Times New Roman" w:hAnsi="Times New Roman" w:cs="Times New Roman"/>
          <w:sz w:val="24"/>
          <w:szCs w:val="24"/>
        </w:rPr>
        <w:t>tout en étant un partenaire.</w:t>
      </w:r>
    </w:p>
    <w:p w14:paraId="3B025258" w14:textId="77777777" w:rsidR="002760B2" w:rsidRPr="002B005F" w:rsidRDefault="002760B2" w:rsidP="00EF2A4F">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plupart des auteurs de l’économie </w:t>
      </w:r>
      <w:r w:rsidR="003D1D7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considèrent que les banques </w:t>
      </w:r>
      <w:r w:rsidR="003D1D7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doivent se livrer principalement à des activités basées sur le principe de partage des profits et des pertes (PLS). En fait, entreprendre un financement à rendement garanti est considéré comme illogique, irrationnel et injuste</w:t>
      </w:r>
      <w:r w:rsidRPr="002B005F">
        <w:rPr>
          <w:rStyle w:val="Appelnotedebasdep"/>
          <w:rFonts w:ascii="Times New Roman" w:hAnsi="Times New Roman"/>
          <w:sz w:val="24"/>
          <w:szCs w:val="24"/>
        </w:rPr>
        <w:footnoteReference w:id="339"/>
      </w:r>
      <w:r w:rsidRPr="002B005F">
        <w:rPr>
          <w:rFonts w:ascii="Times New Roman" w:hAnsi="Times New Roman" w:cs="Times New Roman"/>
          <w:sz w:val="24"/>
          <w:szCs w:val="24"/>
        </w:rPr>
        <w:t>.</w:t>
      </w:r>
    </w:p>
    <w:p w14:paraId="631DBFBA" w14:textId="77777777" w:rsidR="002760B2" w:rsidRPr="002B005F" w:rsidRDefault="004A4E16" w:rsidP="003D1D78">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 </w:t>
      </w:r>
      <w:r w:rsidR="002760B2" w:rsidRPr="002B005F">
        <w:rPr>
          <w:rFonts w:ascii="Times New Roman" w:hAnsi="Times New Roman" w:cs="Times New Roman"/>
          <w:sz w:val="24"/>
          <w:szCs w:val="24"/>
        </w:rPr>
        <w:t>two tier-</w:t>
      </w:r>
      <w:r w:rsidRPr="002B005F">
        <w:rPr>
          <w:rFonts w:ascii="Times New Roman" w:hAnsi="Times New Roman" w:cs="Times New Roman"/>
          <w:i/>
          <w:iCs/>
          <w:sz w:val="24"/>
          <w:szCs w:val="24"/>
        </w:rPr>
        <w:t>moudaraba</w:t>
      </w:r>
      <w:r w:rsidRPr="002B005F">
        <w:rPr>
          <w:rFonts w:ascii="Times New Roman" w:hAnsi="Times New Roman" w:cs="Times New Roman"/>
          <w:sz w:val="24"/>
          <w:szCs w:val="24"/>
        </w:rPr>
        <w:t> »</w:t>
      </w:r>
      <w:r w:rsidR="002760B2" w:rsidRPr="002B005F">
        <w:rPr>
          <w:rFonts w:ascii="Times New Roman" w:hAnsi="Times New Roman" w:cs="Times New Roman"/>
          <w:sz w:val="24"/>
          <w:szCs w:val="24"/>
        </w:rPr>
        <w:t xml:space="preserve"> est une base convenable et appropriée de l’intermédiation financière </w:t>
      </w:r>
      <w:r w:rsidR="003D1D7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760B2" w:rsidRPr="002B005F">
        <w:rPr>
          <w:rFonts w:ascii="Times New Roman" w:hAnsi="Times New Roman" w:cs="Times New Roman"/>
          <w:sz w:val="24"/>
          <w:szCs w:val="24"/>
        </w:rPr>
        <w:t xml:space="preserve">. </w:t>
      </w:r>
      <w:r w:rsidR="002760B2" w:rsidRPr="002B005F">
        <w:rPr>
          <w:rFonts w:ascii="Times New Roman" w:hAnsi="Times New Roman" w:cs="Times New Roman"/>
          <w:smallCaps/>
          <w:sz w:val="24"/>
          <w:szCs w:val="24"/>
        </w:rPr>
        <w:t>Siddiqui</w:t>
      </w:r>
      <w:r w:rsidR="002760B2" w:rsidRPr="002B005F">
        <w:rPr>
          <w:rFonts w:ascii="Times New Roman" w:hAnsi="Times New Roman" w:cs="Times New Roman"/>
          <w:sz w:val="24"/>
          <w:szCs w:val="24"/>
        </w:rPr>
        <w:t xml:space="preserve"> qualifie l’intermédiation de la double </w:t>
      </w:r>
      <w:r w:rsidRPr="002B005F">
        <w:rPr>
          <w:rFonts w:ascii="Times New Roman" w:hAnsi="Times New Roman" w:cs="Times New Roman"/>
          <w:i/>
          <w:iCs/>
          <w:sz w:val="24"/>
          <w:szCs w:val="24"/>
        </w:rPr>
        <w:t>moudaraba</w:t>
      </w:r>
      <w:r w:rsidR="003D1D78" w:rsidRPr="002B005F">
        <w:rPr>
          <w:rFonts w:ascii="Times New Roman" w:hAnsi="Times New Roman" w:cs="Times New Roman"/>
          <w:sz w:val="24"/>
          <w:szCs w:val="24"/>
        </w:rPr>
        <w:t xml:space="preserve"> de la « pure intermédiation »</w:t>
      </w:r>
      <w:r w:rsidR="00AC46D5" w:rsidRPr="002B005F">
        <w:rPr>
          <w:rFonts w:ascii="Times New Roman" w:hAnsi="Times New Roman" w:cs="Times New Roman"/>
          <w:sz w:val="24"/>
          <w:szCs w:val="24"/>
        </w:rPr>
        <w:t xml:space="preserve"> à l’opposé de celle « non pure »</w:t>
      </w:r>
      <w:r w:rsidR="002760B2" w:rsidRPr="002B005F">
        <w:rPr>
          <w:rFonts w:ascii="Times New Roman" w:hAnsi="Times New Roman" w:cs="Times New Roman"/>
          <w:sz w:val="24"/>
          <w:szCs w:val="24"/>
        </w:rPr>
        <w:t xml:space="preserve"> véhiculée par la </w:t>
      </w:r>
      <w:r w:rsidR="002760B2" w:rsidRPr="002B005F">
        <w:rPr>
          <w:rFonts w:ascii="Times New Roman" w:hAnsi="Times New Roman" w:cs="Times New Roman"/>
          <w:i/>
          <w:iCs/>
          <w:sz w:val="24"/>
          <w:szCs w:val="24"/>
        </w:rPr>
        <w:t>mourabaha</w:t>
      </w:r>
      <w:r w:rsidR="002760B2" w:rsidRPr="002B005F">
        <w:rPr>
          <w:rFonts w:ascii="Times New Roman" w:hAnsi="Times New Roman" w:cs="Times New Roman"/>
          <w:sz w:val="24"/>
          <w:szCs w:val="24"/>
        </w:rPr>
        <w:t>, l’</w:t>
      </w:r>
      <w:r w:rsidR="002760B2" w:rsidRPr="002B005F">
        <w:rPr>
          <w:rFonts w:ascii="Times New Roman" w:hAnsi="Times New Roman" w:cs="Times New Roman"/>
          <w:i/>
          <w:sz w:val="24"/>
          <w:szCs w:val="24"/>
        </w:rPr>
        <w:t>ijara</w:t>
      </w:r>
      <w:r w:rsidR="002760B2" w:rsidRPr="002B005F">
        <w:rPr>
          <w:rFonts w:ascii="Times New Roman" w:hAnsi="Times New Roman" w:cs="Times New Roman"/>
          <w:sz w:val="24"/>
          <w:szCs w:val="24"/>
        </w:rPr>
        <w:t xml:space="preserve">, le </w:t>
      </w:r>
      <w:r w:rsidR="002760B2" w:rsidRPr="002B005F">
        <w:rPr>
          <w:rFonts w:ascii="Times New Roman" w:hAnsi="Times New Roman" w:cs="Times New Roman"/>
          <w:i/>
          <w:sz w:val="24"/>
          <w:szCs w:val="24"/>
        </w:rPr>
        <w:t>salam</w:t>
      </w:r>
      <w:r w:rsidR="002760B2" w:rsidRPr="002B005F">
        <w:rPr>
          <w:rFonts w:ascii="Times New Roman" w:hAnsi="Times New Roman" w:cs="Times New Roman"/>
          <w:sz w:val="24"/>
          <w:szCs w:val="24"/>
        </w:rPr>
        <w:t xml:space="preserve"> et l’</w:t>
      </w:r>
      <w:r w:rsidR="002C67F4" w:rsidRPr="002B005F">
        <w:rPr>
          <w:rFonts w:ascii="Times New Roman" w:hAnsi="Times New Roman" w:cs="Times New Roman"/>
          <w:i/>
          <w:iCs/>
          <w:sz w:val="24"/>
          <w:szCs w:val="24"/>
        </w:rPr>
        <w:t>istisna</w:t>
      </w:r>
      <w:r w:rsidR="002760B2" w:rsidRPr="002B005F">
        <w:rPr>
          <w:rStyle w:val="Appelnotedebasdep"/>
          <w:rFonts w:ascii="Times New Roman" w:hAnsi="Times New Roman"/>
          <w:sz w:val="24"/>
          <w:szCs w:val="24"/>
        </w:rPr>
        <w:t xml:space="preserve"> </w:t>
      </w:r>
      <w:r w:rsidR="002760B2" w:rsidRPr="002B005F">
        <w:rPr>
          <w:rStyle w:val="Appelnotedebasdep"/>
          <w:rFonts w:ascii="Times New Roman" w:hAnsi="Times New Roman"/>
          <w:sz w:val="24"/>
          <w:szCs w:val="24"/>
        </w:rPr>
        <w:footnoteReference w:id="340"/>
      </w:r>
      <w:r w:rsidR="002760B2" w:rsidRPr="002B005F">
        <w:rPr>
          <w:rFonts w:ascii="Times New Roman" w:hAnsi="Times New Roman" w:cs="Times New Roman"/>
          <w:sz w:val="24"/>
          <w:szCs w:val="24"/>
        </w:rPr>
        <w:t xml:space="preserve">. Par ailleurs, </w:t>
      </w:r>
      <w:r w:rsidR="002760B2" w:rsidRPr="002B005F">
        <w:rPr>
          <w:rFonts w:ascii="Times New Roman" w:hAnsi="Times New Roman" w:cs="Times New Roman"/>
          <w:smallCaps/>
          <w:sz w:val="24"/>
          <w:szCs w:val="24"/>
        </w:rPr>
        <w:t>Al-Suwailem</w:t>
      </w:r>
      <w:r w:rsidR="002760B2" w:rsidRPr="002B005F">
        <w:rPr>
          <w:rFonts w:ascii="Times New Roman" w:hAnsi="Times New Roman" w:cs="Times New Roman"/>
          <w:sz w:val="24"/>
          <w:szCs w:val="24"/>
        </w:rPr>
        <w:t xml:space="preserve"> </w:t>
      </w:r>
      <w:r w:rsidR="002760B2" w:rsidRPr="002B005F">
        <w:rPr>
          <w:rStyle w:val="Appelnotedebasdep"/>
          <w:rFonts w:ascii="Times New Roman" w:hAnsi="Times New Roman"/>
          <w:sz w:val="24"/>
          <w:szCs w:val="24"/>
        </w:rPr>
        <w:footnoteReference w:id="341"/>
      </w:r>
      <w:r w:rsidR="002760B2" w:rsidRPr="002B005F">
        <w:rPr>
          <w:rFonts w:ascii="Times New Roman" w:hAnsi="Times New Roman" w:cs="Times New Roman"/>
          <w:sz w:val="24"/>
          <w:szCs w:val="24"/>
        </w:rPr>
        <w:t xml:space="preserve"> précise que l’intermédiation idéale du point de vue </w:t>
      </w:r>
      <w:r w:rsidR="003D1D78"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760B2" w:rsidRPr="002B005F">
        <w:rPr>
          <w:rFonts w:ascii="Times New Roman" w:hAnsi="Times New Roman" w:cs="Times New Roman"/>
          <w:sz w:val="24"/>
          <w:szCs w:val="24"/>
        </w:rPr>
        <w:t xml:space="preserve"> doit se baser, au passif, en premier lieu sur la </w:t>
      </w:r>
      <w:r w:rsidRPr="002B005F">
        <w:rPr>
          <w:rFonts w:ascii="Times New Roman" w:hAnsi="Times New Roman" w:cs="Times New Roman"/>
          <w:i/>
          <w:sz w:val="24"/>
          <w:szCs w:val="24"/>
        </w:rPr>
        <w:t>moudaraba</w:t>
      </w:r>
      <w:r w:rsidR="002760B2" w:rsidRPr="002B005F">
        <w:rPr>
          <w:rFonts w:ascii="Times New Roman" w:hAnsi="Times New Roman" w:cs="Times New Roman"/>
          <w:sz w:val="24"/>
          <w:szCs w:val="24"/>
        </w:rPr>
        <w:t xml:space="preserve"> et en deuxième lieu sur la </w:t>
      </w:r>
      <w:r w:rsidR="002760B2" w:rsidRPr="002B005F">
        <w:rPr>
          <w:rFonts w:ascii="Times New Roman" w:hAnsi="Times New Roman" w:cs="Times New Roman"/>
          <w:i/>
          <w:iCs/>
          <w:sz w:val="24"/>
          <w:szCs w:val="24"/>
        </w:rPr>
        <w:t>wakala</w:t>
      </w:r>
      <w:r w:rsidR="002760B2" w:rsidRPr="002B005F">
        <w:rPr>
          <w:rFonts w:ascii="Times New Roman" w:hAnsi="Times New Roman" w:cs="Times New Roman"/>
          <w:sz w:val="24"/>
          <w:szCs w:val="24"/>
        </w:rPr>
        <w:t>.</w:t>
      </w:r>
    </w:p>
    <w:p w14:paraId="07512089" w14:textId="6A91E7B6" w:rsidR="002760B2" w:rsidRPr="002B005F" w:rsidRDefault="002760B2" w:rsidP="003D1D78">
      <w:pPr>
        <w:pStyle w:val="Default"/>
        <w:tabs>
          <w:tab w:val="left" w:pos="0"/>
        </w:tabs>
        <w:spacing w:before="120" w:line="300" w:lineRule="auto"/>
        <w:ind w:firstLine="709"/>
      </w:pPr>
      <w:r w:rsidRPr="002B005F">
        <w:t xml:space="preserve">Or, à l’actif, la priorité doit être accordée à la </w:t>
      </w:r>
      <w:r w:rsidRPr="002B005F">
        <w:rPr>
          <w:i/>
          <w:iCs/>
        </w:rPr>
        <w:t>moucharaka</w:t>
      </w:r>
      <w:r w:rsidRPr="002B005F">
        <w:t xml:space="preserve"> effective et ensuite à la </w:t>
      </w:r>
      <w:r w:rsidR="004A4E16" w:rsidRPr="002B005F">
        <w:rPr>
          <w:i/>
        </w:rPr>
        <w:t>moudaraba</w:t>
      </w:r>
      <w:r w:rsidRPr="002B005F">
        <w:t xml:space="preserve">. Toutefois, d’autres auteurs de l’économie </w:t>
      </w:r>
      <w:r w:rsidR="00947C06">
        <w:t>i</w:t>
      </w:r>
      <w:r w:rsidR="003773C6" w:rsidRPr="002B005F">
        <w:t>slamique</w:t>
      </w:r>
      <w:r w:rsidRPr="002B005F">
        <w:t xml:space="preserve"> ne sont pas partisans du développement de l’intermédiation participative et préfère que l’intermédiation financière </w:t>
      </w:r>
      <w:r w:rsidR="003D1D78" w:rsidRPr="002B005F">
        <w:t>i</w:t>
      </w:r>
      <w:r w:rsidR="003773C6" w:rsidRPr="002B005F">
        <w:t>slamique</w:t>
      </w:r>
      <w:r w:rsidRPr="002B005F">
        <w:t xml:space="preserve"> soit basée sur les principes de </w:t>
      </w:r>
      <w:r w:rsidRPr="002B005F">
        <w:rPr>
          <w:i/>
          <w:iCs/>
        </w:rPr>
        <w:t>jua’la</w:t>
      </w:r>
      <w:r w:rsidRPr="002B005F">
        <w:t xml:space="preserve"> et </w:t>
      </w:r>
      <w:r w:rsidRPr="002B005F">
        <w:rPr>
          <w:i/>
        </w:rPr>
        <w:t>ijara</w:t>
      </w:r>
      <w:r w:rsidRPr="002B005F">
        <w:t xml:space="preserve">. </w:t>
      </w:r>
      <w:r w:rsidRPr="002B005F">
        <w:rPr>
          <w:smallCaps/>
        </w:rPr>
        <w:t>Kahf</w:t>
      </w:r>
      <w:r w:rsidRPr="002B005F">
        <w:rPr>
          <w:rStyle w:val="Appelnotedebasdep"/>
        </w:rPr>
        <w:footnoteReference w:id="342"/>
      </w:r>
      <w:r w:rsidRPr="002B005F">
        <w:t xml:space="preserve"> note que l’intermédiation financière </w:t>
      </w:r>
      <w:r w:rsidR="003D1D78" w:rsidRPr="002B005F">
        <w:t>i</w:t>
      </w:r>
      <w:r w:rsidR="003773C6" w:rsidRPr="002B005F">
        <w:t>slamique</w:t>
      </w:r>
      <w:r w:rsidRPr="002B005F">
        <w:t xml:space="preserve"> se réalise pleinement lorsque la banque collecte les fonds selon la base de la </w:t>
      </w:r>
      <w:r w:rsidR="004A4E16" w:rsidRPr="002B005F">
        <w:rPr>
          <w:i/>
        </w:rPr>
        <w:t>moudaraba</w:t>
      </w:r>
      <w:r w:rsidRPr="002B005F">
        <w:t xml:space="preserve"> et finance les projets à travers la vente ou l’</w:t>
      </w:r>
      <w:r w:rsidRPr="002B005F">
        <w:rPr>
          <w:i/>
        </w:rPr>
        <w:t>ijara</w:t>
      </w:r>
      <w:r w:rsidRPr="002B005F">
        <w:t>. L’auteur défend ce choix par la meilleure préservation des fonds des déposants.</w:t>
      </w:r>
    </w:p>
    <w:p w14:paraId="4E59D2B4" w14:textId="5A2F7B16" w:rsidR="002760B2" w:rsidRPr="002B005F" w:rsidRDefault="002760B2" w:rsidP="00AC46D5">
      <w:pPr>
        <w:pStyle w:val="Default"/>
        <w:tabs>
          <w:tab w:val="left" w:pos="0"/>
        </w:tabs>
        <w:spacing w:before="120" w:line="300" w:lineRule="auto"/>
        <w:ind w:firstLine="709"/>
      </w:pPr>
      <w:r w:rsidRPr="002B005F">
        <w:t xml:space="preserve">Dans le même esprit, selon </w:t>
      </w:r>
      <w:r w:rsidRPr="002B005F">
        <w:rPr>
          <w:smallCaps/>
        </w:rPr>
        <w:t>Homoud</w:t>
      </w:r>
      <w:r w:rsidRPr="002B005F">
        <w:rPr>
          <w:rStyle w:val="Appelnotedebasdep"/>
        </w:rPr>
        <w:footnoteReference w:id="343"/>
      </w:r>
      <w:r w:rsidRPr="002B005F">
        <w:t xml:space="preserve">, le principe de la </w:t>
      </w:r>
      <w:r w:rsidR="004A4E16" w:rsidRPr="002B005F">
        <w:rPr>
          <w:i/>
        </w:rPr>
        <w:t>moudaraba</w:t>
      </w:r>
      <w:r w:rsidRPr="002B005F">
        <w:t xml:space="preserve"> n’est pas compatible avec les besoins modernes de financement. Parmi les arguments qu’il avance, la </w:t>
      </w:r>
      <w:r w:rsidR="004A4E16" w:rsidRPr="002B005F">
        <w:rPr>
          <w:i/>
        </w:rPr>
        <w:t>moudaraba</w:t>
      </w:r>
      <w:r w:rsidRPr="002B005F">
        <w:t xml:space="preserve"> est incapable d’offrir des financements pour l’acquisition des biens (durables ou non) que ce soit pour le consommateur ou encore pour le gouvernement. En outre, lors de l’intermédiation actuelle, la distribution du profit est effectuée sur la base d’une évaluation de la valeur présente de l’ensemble des investissements au lieu qu’elle intervienne suite à la liquidation de l’opération comme le suppose le contrat d’une </w:t>
      </w:r>
      <w:r w:rsidR="004A4E16" w:rsidRPr="002B005F">
        <w:rPr>
          <w:i/>
        </w:rPr>
        <w:t>moudaraba</w:t>
      </w:r>
      <w:r w:rsidRPr="002B005F">
        <w:t xml:space="preserve"> bilatérale.</w:t>
      </w:r>
    </w:p>
    <w:p w14:paraId="66F5204D" w14:textId="1C079E34" w:rsidR="002760B2" w:rsidRPr="002B005F" w:rsidRDefault="002760B2" w:rsidP="00C57344">
      <w:pPr>
        <w:pStyle w:val="Default"/>
        <w:keepLines/>
        <w:tabs>
          <w:tab w:val="left" w:pos="0"/>
        </w:tabs>
        <w:spacing w:before="120" w:line="300" w:lineRule="auto"/>
        <w:ind w:firstLine="709"/>
        <w:rPr>
          <w:spacing w:val="-4"/>
        </w:rPr>
      </w:pPr>
      <w:r w:rsidRPr="002B005F">
        <w:rPr>
          <w:spacing w:val="-4"/>
        </w:rPr>
        <w:lastRenderedPageBreak/>
        <w:t xml:space="preserve">Selon </w:t>
      </w:r>
      <w:r w:rsidRPr="002B005F">
        <w:rPr>
          <w:smallCaps/>
          <w:spacing w:val="-4"/>
        </w:rPr>
        <w:t>Ben Jedidia</w:t>
      </w:r>
      <w:r w:rsidRPr="002B005F">
        <w:rPr>
          <w:spacing w:val="-4"/>
        </w:rPr>
        <w:t xml:space="preserve">, la spécificité d’une intermédiation financière </w:t>
      </w:r>
      <w:r w:rsidR="003D1D78" w:rsidRPr="002B005F">
        <w:rPr>
          <w:spacing w:val="-4"/>
        </w:rPr>
        <w:t>i</w:t>
      </w:r>
      <w:r w:rsidR="003773C6" w:rsidRPr="002B005F">
        <w:rPr>
          <w:spacing w:val="-4"/>
        </w:rPr>
        <w:t>slamique</w:t>
      </w:r>
      <w:r w:rsidRPr="002B005F">
        <w:rPr>
          <w:spacing w:val="-4"/>
        </w:rPr>
        <w:t xml:space="preserve"> doit combiner les particularités aussi bien au niveau de la collecte de fonds qu’au niveau de leur affectation. Ainsi, l’expérience d’intermédiation des premières banques </w:t>
      </w:r>
      <w:r w:rsidR="00AC46D5" w:rsidRPr="002B005F">
        <w:rPr>
          <w:spacing w:val="-4"/>
        </w:rPr>
        <w:t>i</w:t>
      </w:r>
      <w:r w:rsidR="003773C6" w:rsidRPr="002B005F">
        <w:rPr>
          <w:spacing w:val="-4"/>
        </w:rPr>
        <w:t>slamique</w:t>
      </w:r>
      <w:r w:rsidRPr="002B005F">
        <w:rPr>
          <w:spacing w:val="-4"/>
        </w:rPr>
        <w:t xml:space="preserve">s de </w:t>
      </w:r>
      <w:r w:rsidRPr="002B005F">
        <w:rPr>
          <w:i/>
          <w:iCs/>
          <w:spacing w:val="-4"/>
        </w:rPr>
        <w:t>Mit Ghamr</w:t>
      </w:r>
      <w:r w:rsidRPr="002B005F">
        <w:rPr>
          <w:spacing w:val="-4"/>
        </w:rPr>
        <w:t xml:space="preserve"> fondées en 1963 à l’initiative de Ahmed Al Najjar qui proposait des comptes d’épargne basés sur le partage des bénéfices générés par les activités économiques financées par cette épargne, et non des produits, ne constitue pas réellement une intermédiation participative distinctive</w:t>
      </w:r>
      <w:r w:rsidRPr="002B005F">
        <w:rPr>
          <w:rStyle w:val="Appelnotedebasdep"/>
          <w:spacing w:val="-4"/>
        </w:rPr>
        <w:footnoteReference w:id="344"/>
      </w:r>
      <w:r w:rsidRPr="002B005F">
        <w:rPr>
          <w:spacing w:val="-4"/>
        </w:rPr>
        <w:t>.</w:t>
      </w:r>
    </w:p>
    <w:p w14:paraId="64E50CCD" w14:textId="2638DEA0" w:rsidR="002760B2" w:rsidRPr="002B005F" w:rsidRDefault="003D1D78" w:rsidP="003D1D78">
      <w:pPr>
        <w:pStyle w:val="Default"/>
        <w:tabs>
          <w:tab w:val="left" w:pos="0"/>
        </w:tabs>
        <w:spacing w:before="120" w:line="300" w:lineRule="auto"/>
        <w:ind w:firstLine="709"/>
      </w:pPr>
      <w:r w:rsidRPr="002B005F">
        <w:t>Certes, l’intermédiation « </w:t>
      </w:r>
      <w:r w:rsidR="002760B2" w:rsidRPr="002B005F">
        <w:rPr>
          <w:i/>
          <w:iCs/>
        </w:rPr>
        <w:t>semi-participative</w:t>
      </w:r>
      <w:r w:rsidRPr="002B005F">
        <w:t> »</w:t>
      </w:r>
      <w:r w:rsidR="002760B2" w:rsidRPr="002B005F">
        <w:t xml:space="preserve">, où les dépôts gérés selon le principe de </w:t>
      </w:r>
      <w:r w:rsidR="004A4E16" w:rsidRPr="002B005F">
        <w:rPr>
          <w:i/>
        </w:rPr>
        <w:t>moudaraba</w:t>
      </w:r>
      <w:r w:rsidR="002760B2" w:rsidRPr="002B005F">
        <w:t xml:space="preserve"> financent des projets par le biais de la </w:t>
      </w:r>
      <w:r w:rsidR="002760B2" w:rsidRPr="002B005F">
        <w:rPr>
          <w:i/>
          <w:iCs/>
        </w:rPr>
        <w:t>mourabaha</w:t>
      </w:r>
      <w:r w:rsidR="002760B2" w:rsidRPr="002B005F">
        <w:t xml:space="preserve"> ou l’</w:t>
      </w:r>
      <w:r w:rsidR="002760B2" w:rsidRPr="002B005F">
        <w:rPr>
          <w:i/>
        </w:rPr>
        <w:t>ijara</w:t>
      </w:r>
      <w:r w:rsidR="002760B2" w:rsidRPr="002B005F">
        <w:t xml:space="preserve">, présente des avantages pour la banque. Elle lui permet de mieux garantir les dépôts, de concurrencer plus facilement les banques conventionnelles dans un système financier mixte et de courir moins de risques. Mais cette intermédiation réduit l’engagement de la banque dans le monde réel et l’incite à offrir des financements de court terme. Comme le souligne </w:t>
      </w:r>
      <w:r w:rsidR="007D0994">
        <w:t xml:space="preserve">Ibrahim </w:t>
      </w:r>
      <w:r w:rsidR="002760B2" w:rsidRPr="007D0994">
        <w:t>Warde</w:t>
      </w:r>
      <w:r w:rsidR="002760B2" w:rsidRPr="002B005F">
        <w:rPr>
          <w:rStyle w:val="Appelnotedebasdep"/>
        </w:rPr>
        <w:footnoteReference w:id="345"/>
      </w:r>
      <w:r w:rsidR="002760B2" w:rsidRPr="002B005F">
        <w:t xml:space="preserve">, la </w:t>
      </w:r>
      <w:r w:rsidR="002760B2" w:rsidRPr="002B005F">
        <w:rPr>
          <w:i/>
          <w:iCs/>
        </w:rPr>
        <w:t>mourabaha</w:t>
      </w:r>
      <w:r w:rsidR="002760B2" w:rsidRPr="002B005F">
        <w:t xml:space="preserve"> peut jouer un rôle transitoire pour permettre aux banques de générer des revenus et généraliser après le recours à la finance participative.</w:t>
      </w:r>
    </w:p>
    <w:p w14:paraId="422904B7" w14:textId="77777777" w:rsidR="002760B2" w:rsidRPr="002B005F" w:rsidRDefault="002760B2" w:rsidP="00EF2A4F">
      <w:pPr>
        <w:pStyle w:val="Default"/>
        <w:tabs>
          <w:tab w:val="left" w:pos="0"/>
        </w:tabs>
        <w:spacing w:before="120" w:line="300" w:lineRule="auto"/>
        <w:ind w:firstLine="709"/>
      </w:pPr>
      <w:r w:rsidRPr="002B005F">
        <w:t>Dans ce qui suit, nous cherchons à d’étudier les fondements de l’intermédiation participative, ses particularités et son optimalité.</w:t>
      </w:r>
    </w:p>
    <w:p w14:paraId="3AA6BE11" w14:textId="77777777" w:rsidR="002760B2" w:rsidRPr="002B005F" w:rsidRDefault="00AC46D5" w:rsidP="007B64B9">
      <w:pPr>
        <w:pStyle w:val="Titre4"/>
        <w:keepNext w:val="0"/>
        <w:spacing w:before="100" w:beforeAutospacing="1" w:after="120" w:line="300" w:lineRule="auto"/>
        <w:ind w:firstLine="709"/>
      </w:pPr>
      <w:bookmarkStart w:id="1277" w:name="_Toc33263345"/>
      <w:bookmarkStart w:id="1278" w:name="_Toc37664608"/>
      <w:bookmarkStart w:id="1279" w:name="_Toc37666453"/>
      <w:bookmarkStart w:id="1280" w:name="_Toc54363350"/>
      <w:bookmarkStart w:id="1281" w:name="_Toc58606338"/>
      <w:bookmarkStart w:id="1282" w:name="_Toc61263543"/>
      <w:bookmarkStart w:id="1283" w:name="_Toc182298850"/>
      <w:r w:rsidRPr="002B005F">
        <w:rPr>
          <w:szCs w:val="24"/>
        </w:rPr>
        <w:t>2.1.1- I</w:t>
      </w:r>
      <w:r w:rsidR="002760B2" w:rsidRPr="002B005F">
        <w:rPr>
          <w:szCs w:val="24"/>
        </w:rPr>
        <w:t>ntermédiation</w:t>
      </w:r>
      <w:r w:rsidR="002760B2" w:rsidRPr="002B005F">
        <w:t xml:space="preserve"> participative et l’asymétrie d’information</w:t>
      </w:r>
      <w:bookmarkEnd w:id="1277"/>
      <w:bookmarkEnd w:id="1278"/>
      <w:bookmarkEnd w:id="1279"/>
      <w:bookmarkEnd w:id="1280"/>
      <w:bookmarkEnd w:id="1281"/>
      <w:bookmarkEnd w:id="1282"/>
      <w:bookmarkEnd w:id="1283"/>
    </w:p>
    <w:p w14:paraId="29D666FF" w14:textId="77777777" w:rsidR="002760B2" w:rsidRPr="002B005F" w:rsidRDefault="002760B2" w:rsidP="00EF2A4F">
      <w:pPr>
        <w:pStyle w:val="Default"/>
        <w:tabs>
          <w:tab w:val="left" w:pos="0"/>
        </w:tabs>
        <w:spacing w:before="120" w:line="300" w:lineRule="auto"/>
        <w:ind w:firstLine="709"/>
      </w:pPr>
      <w:r w:rsidRPr="002B005F">
        <w:t xml:space="preserve">Au début, précisons que les deux théories de l’intermédiation conventionnelle et de l’intermédiation participative </w:t>
      </w:r>
      <w:r w:rsidR="003D1D78" w:rsidRPr="002B005F">
        <w:t>i</w:t>
      </w:r>
      <w:r w:rsidR="003773C6" w:rsidRPr="002B005F">
        <w:t>slamique</w:t>
      </w:r>
      <w:r w:rsidRPr="002B005F">
        <w:t xml:space="preserve"> se recoupent au niveau du principe de l’interposition entre les agents à capacité de financement et les agents à besoin en vue d’un acheminement optimal de fonds face aux problèmes de la finance directe.</w:t>
      </w:r>
    </w:p>
    <w:p w14:paraId="213A0FCB" w14:textId="77777777" w:rsidR="002760B2" w:rsidRPr="002B005F" w:rsidRDefault="002760B2" w:rsidP="003D1D78">
      <w:pPr>
        <w:pStyle w:val="Default"/>
        <w:tabs>
          <w:tab w:val="left" w:pos="0"/>
        </w:tabs>
        <w:spacing w:before="120" w:line="300" w:lineRule="auto"/>
        <w:ind w:firstLine="709"/>
      </w:pPr>
      <w:r w:rsidRPr="002B005F">
        <w:t>Néanmoins, elles se différencient quant aux procédés adoptés c’est -à-dire la manière dont les fonds sont collectés et acheminés. De même, leur impact sur le processus d’épargne-investissement et leur impact sur la création monétaire sont différents. Il faut voir que les systèmes économiques respectifs où interviennent ces intermédiations ne sont pas les mêmes.</w:t>
      </w:r>
    </w:p>
    <w:p w14:paraId="4B7C9957" w14:textId="77777777" w:rsidR="002760B2" w:rsidRPr="002B005F" w:rsidRDefault="002760B2" w:rsidP="00EF2A4F">
      <w:pPr>
        <w:pStyle w:val="Default"/>
        <w:tabs>
          <w:tab w:val="left" w:pos="0"/>
        </w:tabs>
        <w:spacing w:before="120" w:line="300" w:lineRule="auto"/>
        <w:ind w:firstLine="709"/>
      </w:pPr>
      <w:r w:rsidRPr="002B005F">
        <w:t xml:space="preserve">Ensuite, notons que l’intermédiation participative n’est pas, jusqu’ici, une intermédiation en titres (les marchés </w:t>
      </w:r>
      <w:r w:rsidR="003D1D78" w:rsidRPr="002B005F">
        <w:t>i</w:t>
      </w:r>
      <w:r w:rsidR="003773C6" w:rsidRPr="002B005F">
        <w:t>slamique</w:t>
      </w:r>
      <w:r w:rsidRPr="002B005F">
        <w:t>s sont émergents et sous-développés) ni non plus une intermédiation en gestion de risque liée aux marchés dérivés (les produits dérivés conventionnels sont prohibés).</w:t>
      </w:r>
    </w:p>
    <w:p w14:paraId="06137A19" w14:textId="77777777" w:rsidR="002760B2" w:rsidRPr="002B005F" w:rsidRDefault="002760B2" w:rsidP="00EF2A4F">
      <w:pPr>
        <w:pStyle w:val="Default"/>
        <w:tabs>
          <w:tab w:val="left" w:pos="0"/>
        </w:tabs>
        <w:spacing w:before="120" w:line="300" w:lineRule="auto"/>
        <w:ind w:firstLine="709"/>
      </w:pPr>
      <w:r w:rsidRPr="002B005F">
        <w:t xml:space="preserve">Par conséquent, les arguments légitimant l’intermédiation en évoquant la gestion des risques et les coûts de participation perdent leurs pertinences pour les banques </w:t>
      </w:r>
      <w:r w:rsidR="002806F0">
        <w:t>i</w:t>
      </w:r>
      <w:r w:rsidR="003773C6" w:rsidRPr="002B005F">
        <w:t>slamique</w:t>
      </w:r>
      <w:r w:rsidRPr="002B005F">
        <w:t xml:space="preserve">s. Et comme les banques </w:t>
      </w:r>
      <w:r w:rsidR="003D1D78" w:rsidRPr="002B005F">
        <w:t>i</w:t>
      </w:r>
      <w:r w:rsidR="003773C6" w:rsidRPr="002B005F">
        <w:t>slamique</w:t>
      </w:r>
      <w:r w:rsidRPr="002B005F">
        <w:t xml:space="preserve">s sont mandatées et incitées à évaluer la qualité des projets d’investissement et à être des partenaires actifs ou passifs des financements, alors, leurs rôles en matière d’asymétrie d’information, de supervision et de contrôle délégué doivent être mis </w:t>
      </w:r>
      <w:r w:rsidR="00A309A4" w:rsidRPr="002B005F">
        <w:t>en avant. Une question se pose :</w:t>
      </w:r>
      <w:r w:rsidRPr="002B005F">
        <w:t xml:space="preserve"> cette intermédiation serait-elle une solution aux problèmes d’asymétrie d’i</w:t>
      </w:r>
      <w:r w:rsidR="00A309A4" w:rsidRPr="002B005F">
        <w:t>nformation ?</w:t>
      </w:r>
    </w:p>
    <w:p w14:paraId="343FBC3E" w14:textId="77777777" w:rsidR="002760B2" w:rsidRPr="001B4F9C" w:rsidRDefault="00D639F3" w:rsidP="001B4F9C">
      <w:pPr>
        <w:pStyle w:val="Titre5"/>
        <w:spacing w:before="120" w:after="120" w:line="300" w:lineRule="auto"/>
        <w:ind w:firstLine="709"/>
        <w:rPr>
          <w:rFonts w:asciiTheme="majorBidi" w:hAnsiTheme="majorBidi"/>
          <w:b/>
          <w:bCs/>
          <w:color w:val="auto"/>
          <w:sz w:val="24"/>
          <w:szCs w:val="24"/>
        </w:rPr>
      </w:pPr>
      <w:bookmarkStart w:id="1284" w:name="_Toc182298851"/>
      <w:r w:rsidRPr="001B4F9C">
        <w:rPr>
          <w:rFonts w:asciiTheme="majorBidi" w:hAnsiTheme="majorBidi"/>
          <w:b/>
          <w:bCs/>
          <w:color w:val="auto"/>
          <w:sz w:val="24"/>
          <w:szCs w:val="24"/>
        </w:rPr>
        <w:lastRenderedPageBreak/>
        <w:t>2.1.1.1- I</w:t>
      </w:r>
      <w:r w:rsidR="002760B2" w:rsidRPr="001B4F9C">
        <w:rPr>
          <w:rFonts w:asciiTheme="majorBidi" w:hAnsiTheme="majorBidi"/>
          <w:b/>
          <w:bCs/>
          <w:color w:val="auto"/>
          <w:sz w:val="24"/>
          <w:szCs w:val="24"/>
        </w:rPr>
        <w:t>ntermédiation participative et l’a</w:t>
      </w:r>
      <w:r w:rsidR="00FB41B0" w:rsidRPr="001B4F9C">
        <w:rPr>
          <w:rFonts w:asciiTheme="majorBidi" w:hAnsiTheme="majorBidi"/>
          <w:b/>
          <w:bCs/>
          <w:color w:val="auto"/>
          <w:sz w:val="24"/>
          <w:szCs w:val="24"/>
        </w:rPr>
        <w:t xml:space="preserve">symétrie d’information </w:t>
      </w:r>
      <w:r w:rsidR="00FB41B0" w:rsidRPr="006C1230">
        <w:rPr>
          <w:rFonts w:asciiTheme="majorBidi" w:hAnsiTheme="majorBidi"/>
          <w:b/>
          <w:bCs/>
          <w:i/>
          <w:iCs/>
          <w:color w:val="auto"/>
          <w:sz w:val="24"/>
          <w:szCs w:val="24"/>
        </w:rPr>
        <w:t>ex-ante</w:t>
      </w:r>
      <w:bookmarkEnd w:id="1284"/>
    </w:p>
    <w:p w14:paraId="0C2561FB" w14:textId="77777777" w:rsidR="002760B2" w:rsidRPr="002B005F" w:rsidRDefault="002760B2" w:rsidP="00CB5139">
      <w:pPr>
        <w:pStyle w:val="Default"/>
        <w:keepNext/>
        <w:keepLines/>
        <w:tabs>
          <w:tab w:val="left" w:pos="0"/>
        </w:tabs>
        <w:spacing w:before="120" w:line="300" w:lineRule="auto"/>
        <w:ind w:firstLine="709"/>
      </w:pPr>
      <w:r w:rsidRPr="002B005F">
        <w:t xml:space="preserve">L’asymétrie d’information </w:t>
      </w:r>
      <w:r w:rsidRPr="002B005F">
        <w:rPr>
          <w:i/>
          <w:iCs/>
        </w:rPr>
        <w:t xml:space="preserve">ex-ante </w:t>
      </w:r>
      <w:r w:rsidRPr="002B005F">
        <w:t>cause des problèmes de sélection adverse. Selon la théorie conventionnelle, elle conduit l’intermédiaire à intervenir pour signaler l’information et ce, à des coûts plus bas que les propriétaires des projets</w:t>
      </w:r>
      <w:r w:rsidRPr="002B005F">
        <w:rPr>
          <w:rStyle w:val="Appelnotedebasdep"/>
        </w:rPr>
        <w:footnoteReference w:id="346"/>
      </w:r>
      <w:r w:rsidRPr="002B005F">
        <w:t>. Par ailleurs, l’intermédiaire intervient pour produire l’information en réalisant des économies des coûts de production et aussi pour garantir sa crédibilité.</w:t>
      </w:r>
    </w:p>
    <w:p w14:paraId="112C8A4A" w14:textId="77777777" w:rsidR="002760B2" w:rsidRPr="002B005F" w:rsidRDefault="002760B2" w:rsidP="00EF2A4F">
      <w:pPr>
        <w:pStyle w:val="Default"/>
        <w:tabs>
          <w:tab w:val="left" w:pos="0"/>
        </w:tabs>
        <w:spacing w:before="120" w:line="300" w:lineRule="auto"/>
        <w:ind w:firstLine="709"/>
      </w:pPr>
      <w:r w:rsidRPr="002B005F">
        <w:t xml:space="preserve">En finance </w:t>
      </w:r>
      <w:r w:rsidR="002806F0">
        <w:t>i</w:t>
      </w:r>
      <w:r w:rsidR="003773C6" w:rsidRPr="002B005F">
        <w:t>slamique</w:t>
      </w:r>
      <w:r w:rsidRPr="002B005F">
        <w:t xml:space="preserve">, l’intermédiation participative est une solution aux problèmes des inégalités informationnelles entre les détenteurs des projets et les investisseurs. En effet, les engagements de la banque </w:t>
      </w:r>
      <w:r w:rsidR="00947C06">
        <w:t>i</w:t>
      </w:r>
      <w:r w:rsidR="003773C6" w:rsidRPr="002B005F">
        <w:t>slamique</w:t>
      </w:r>
      <w:r w:rsidRPr="002B005F">
        <w:t xml:space="preserve"> lors d’un partenariat actif ou passif, en l’occurrence la </w:t>
      </w:r>
      <w:r w:rsidRPr="002B005F">
        <w:rPr>
          <w:i/>
          <w:iCs/>
        </w:rPr>
        <w:t>moucharaka</w:t>
      </w:r>
      <w:r w:rsidRPr="002B005F">
        <w:t xml:space="preserve"> et la </w:t>
      </w:r>
      <w:r w:rsidR="004A4E16" w:rsidRPr="002B005F">
        <w:rPr>
          <w:i/>
        </w:rPr>
        <w:t>moudaraba</w:t>
      </w:r>
      <w:r w:rsidRPr="002B005F">
        <w:t>, constituent d’importants signaux et indicateurs informationnels de la réalité de l’entreprise. De plus, le partenariat offre des signaux plus forts et plus crédibles que les financements de court terme ou ceux de dette (crédits) ou encore ceux marchéisés (achat de titres des entreprises sur les marchés).</w:t>
      </w:r>
    </w:p>
    <w:p w14:paraId="74C203E2" w14:textId="77777777" w:rsidR="002760B2" w:rsidRPr="002B005F" w:rsidRDefault="002760B2" w:rsidP="00EF2A4F">
      <w:pPr>
        <w:pStyle w:val="Default"/>
        <w:tabs>
          <w:tab w:val="left" w:pos="0"/>
        </w:tabs>
        <w:spacing w:before="120" w:line="300" w:lineRule="auto"/>
        <w:ind w:firstLine="709"/>
      </w:pPr>
      <w:r w:rsidRPr="002B005F">
        <w:t xml:space="preserve">Les financements de long terme basés sur le principe PLS conduisent la banque à produire l’information étant donné les impératifs d’une bonne évaluation et de sélection des projets. En réalité, le rendement d’une opération de financement de la banque est directement lié à la qualité du projet financé. Dès lors, le choix des projets affecte non seulement la rentabilité de la banque mais aussi les rémunérations de ses déposants-investisseurs. Ces déposants risquent de quitter la banque pour une autre banque concurrente en cas de faibles rendements de leurs dépôts d’investissement. De plus, contrairement aux techniques </w:t>
      </w:r>
      <w:r w:rsidR="004A4E16" w:rsidRPr="002B005F">
        <w:t>d’évaluation du « credit scoring »</w:t>
      </w:r>
      <w:r w:rsidRPr="002B005F">
        <w:t xml:space="preserve"> qui ont connu une grande standardisation, les financements de PLS exigent toujours des évaluations compliquées et spécifiques pour chaque cas.</w:t>
      </w:r>
    </w:p>
    <w:p w14:paraId="521BEE7C" w14:textId="77777777" w:rsidR="007D045E" w:rsidRPr="002B005F" w:rsidRDefault="002760B2" w:rsidP="00EF2A4F">
      <w:pPr>
        <w:pStyle w:val="Default"/>
        <w:tabs>
          <w:tab w:val="left" w:pos="0"/>
        </w:tabs>
        <w:spacing w:before="120" w:line="300" w:lineRule="auto"/>
        <w:ind w:firstLine="709"/>
      </w:pPr>
      <w:r w:rsidRPr="00C6116A">
        <w:t>Par ailleurs, les</w:t>
      </w:r>
      <w:r w:rsidRPr="002B005F">
        <w:t xml:space="preserve"> financements PLS qui s’inscrivent dans la durée renforcent l’avantage informationnel des banques </w:t>
      </w:r>
      <w:r w:rsidR="007D045E" w:rsidRPr="002B005F">
        <w:t>i</w:t>
      </w:r>
      <w:r w:rsidR="003773C6" w:rsidRPr="002B005F">
        <w:t>slamique</w:t>
      </w:r>
      <w:r w:rsidRPr="002B005F">
        <w:t>s. Non seulement, les agents seront fortement incit</w:t>
      </w:r>
      <w:r w:rsidR="007D045E" w:rsidRPr="002B005F">
        <w:t>és à révéler leurs informations</w:t>
      </w:r>
      <w:r w:rsidRPr="002B005F">
        <w:t xml:space="preserve"> mais aussi, l’expérience des banques et leur forte implication dans le monde réel (étant donné le principe du lien direct entre les transactions f</w:t>
      </w:r>
      <w:r w:rsidR="007D045E" w:rsidRPr="002B005F">
        <w:t>inancières et les actifs réels)</w:t>
      </w:r>
      <w:r w:rsidRPr="002B005F">
        <w:t xml:space="preserve"> leur confèrent un savoir sp</w:t>
      </w:r>
      <w:r w:rsidR="007D045E" w:rsidRPr="002B005F">
        <w:t>écifique du monde des affaires.</w:t>
      </w:r>
    </w:p>
    <w:p w14:paraId="1498EEC8" w14:textId="77777777" w:rsidR="002760B2" w:rsidRPr="002B005F" w:rsidRDefault="00C6116A" w:rsidP="00EF2A4F">
      <w:pPr>
        <w:pStyle w:val="Default"/>
        <w:tabs>
          <w:tab w:val="left" w:pos="0"/>
        </w:tabs>
        <w:spacing w:before="120" w:line="300" w:lineRule="auto"/>
        <w:ind w:firstLine="709"/>
      </w:pPr>
      <w:r w:rsidRPr="00C6116A">
        <w:t>En outre</w:t>
      </w:r>
      <w:r w:rsidR="002760B2" w:rsidRPr="00C6116A">
        <w:t>, les</w:t>
      </w:r>
      <w:r w:rsidR="002760B2" w:rsidRPr="002B005F">
        <w:t xml:space="preserve"> financements PLS offrent un lot d’informations plus important que le financement par dette. Exploitant leur capacité de mise en œuvre des économies d’échelle, les banques peuvent repérer les indices susceptibles de rendre compte de la situation financière des emprunteurs en observant les comptes de leurs clients. Cette relation est à l’origine d’un monopole informationnel de la banque grâce aux informations privées collectées tout au long de la relation bancaire. Ce </w:t>
      </w:r>
      <w:r w:rsidR="007D045E" w:rsidRPr="002B005F">
        <w:t>monopole informationnel forge « le savoir-faire »</w:t>
      </w:r>
      <w:r w:rsidR="002760B2" w:rsidRPr="002B005F">
        <w:t xml:space="preserve"> de la banque</w:t>
      </w:r>
      <w:r w:rsidR="002760B2" w:rsidRPr="002B005F">
        <w:rPr>
          <w:rStyle w:val="Appelnotedebasdep"/>
        </w:rPr>
        <w:footnoteReference w:id="347"/>
      </w:r>
      <w:r w:rsidR="002760B2" w:rsidRPr="002B005F">
        <w:t xml:space="preserve">. En outre, les relations de partenariat favorisent une bonne évaluation des projets par la banque, (leur rentabilité, les phases de prospérité et de récession, les zones croissantes, etc.). En retour, la banque </w:t>
      </w:r>
      <w:r w:rsidR="00947C06">
        <w:t>i</w:t>
      </w:r>
      <w:r w:rsidR="003773C6" w:rsidRPr="002B005F">
        <w:t>slamique</w:t>
      </w:r>
      <w:r w:rsidR="002760B2" w:rsidRPr="002B005F">
        <w:t xml:space="preserve"> jouit de compétences spécifiques pour produire mieux et davantage l’information par rapport à un investisseur individuel.</w:t>
      </w:r>
    </w:p>
    <w:p w14:paraId="4A0D1911" w14:textId="77777777" w:rsidR="002760B2" w:rsidRPr="001B4F9C" w:rsidRDefault="00D639F3" w:rsidP="001B4F9C">
      <w:pPr>
        <w:pStyle w:val="Titre5"/>
        <w:spacing w:before="120" w:after="120" w:line="300" w:lineRule="auto"/>
        <w:ind w:firstLine="709"/>
        <w:rPr>
          <w:rFonts w:asciiTheme="majorBidi" w:hAnsiTheme="majorBidi"/>
          <w:b/>
          <w:bCs/>
          <w:i/>
          <w:iCs/>
          <w:color w:val="auto"/>
          <w:sz w:val="24"/>
          <w:szCs w:val="24"/>
        </w:rPr>
      </w:pPr>
      <w:bookmarkStart w:id="1285" w:name="_Toc182298852"/>
      <w:r w:rsidRPr="001B4F9C">
        <w:rPr>
          <w:rFonts w:asciiTheme="majorBidi" w:hAnsiTheme="majorBidi"/>
          <w:b/>
          <w:bCs/>
          <w:color w:val="auto"/>
          <w:sz w:val="24"/>
          <w:szCs w:val="24"/>
        </w:rPr>
        <w:lastRenderedPageBreak/>
        <w:t>2.1.1.2- I</w:t>
      </w:r>
      <w:r w:rsidR="002760B2" w:rsidRPr="001B4F9C">
        <w:rPr>
          <w:rFonts w:asciiTheme="majorBidi" w:hAnsiTheme="majorBidi"/>
          <w:b/>
          <w:bCs/>
          <w:color w:val="auto"/>
          <w:sz w:val="24"/>
          <w:szCs w:val="24"/>
        </w:rPr>
        <w:t>ntermédiation participative et a</w:t>
      </w:r>
      <w:r w:rsidR="00FB41B0" w:rsidRPr="001B4F9C">
        <w:rPr>
          <w:rFonts w:asciiTheme="majorBidi" w:hAnsiTheme="majorBidi"/>
          <w:b/>
          <w:bCs/>
          <w:color w:val="auto"/>
          <w:sz w:val="24"/>
          <w:szCs w:val="24"/>
        </w:rPr>
        <w:t xml:space="preserve">symétrie d’information </w:t>
      </w:r>
      <w:r w:rsidR="00FB41B0" w:rsidRPr="001B4F9C">
        <w:rPr>
          <w:rFonts w:asciiTheme="majorBidi" w:hAnsiTheme="majorBidi"/>
          <w:b/>
          <w:bCs/>
          <w:i/>
          <w:iCs/>
          <w:color w:val="auto"/>
          <w:sz w:val="24"/>
          <w:szCs w:val="24"/>
        </w:rPr>
        <w:t>ex-post</w:t>
      </w:r>
      <w:bookmarkEnd w:id="1285"/>
    </w:p>
    <w:p w14:paraId="738773AB" w14:textId="152CF8D7" w:rsidR="002760B2" w:rsidRPr="002B005F" w:rsidRDefault="002760B2" w:rsidP="00EF2A4F">
      <w:pPr>
        <w:pStyle w:val="Default"/>
        <w:tabs>
          <w:tab w:val="left" w:pos="0"/>
        </w:tabs>
        <w:spacing w:before="120" w:line="300" w:lineRule="auto"/>
        <w:ind w:firstLine="709"/>
      </w:pPr>
      <w:r w:rsidRPr="002B005F">
        <w:t>Les actions cachées caus</w:t>
      </w:r>
      <w:r w:rsidR="00201B23" w:rsidRPr="002B005F">
        <w:t>ent des problèmes d’aléa moral :</w:t>
      </w:r>
      <w:r w:rsidRPr="002B005F">
        <w:t xml:space="preserve"> les emprunteurs sont en position de reporter leurs pertes et leurs coûts sur d’autres agents en limitant leurs autoprotections ou en augmentant leur exposition aux risques. Par ailleurs, les demandeurs de fonds peuvent dissimuler des informations concernant leur situation réelle. Ainsi, le refus du financement sur les marchés est attribué aux coûts excessifs de la surveillance (monitoring) nécessaire pour contrôler les contrats et réduire l’incertitude dans un contexte d’asymétrie d’information ex post. De ce fait, la délégation de la surveillance à un intermédiaire réduit le coût moyen de la surveillance, permet de bénéficier des économies d’échelles et évite les duplications si chacun se lançait dans le monitoring. Alors l’hypothèse du coût de vérification des résultats permet d’expliquer l’optimalité du contrat de dette standard.</w:t>
      </w:r>
    </w:p>
    <w:p w14:paraId="2E6D66CD" w14:textId="77777777" w:rsidR="002760B2" w:rsidRPr="002B005F" w:rsidRDefault="002760B2" w:rsidP="00EF2A4F">
      <w:pPr>
        <w:pStyle w:val="Default"/>
        <w:tabs>
          <w:tab w:val="left" w:pos="0"/>
        </w:tabs>
        <w:spacing w:before="120" w:line="300" w:lineRule="auto"/>
        <w:ind w:firstLine="709"/>
      </w:pPr>
      <w:r w:rsidRPr="002B005F">
        <w:t xml:space="preserve">La surveillance constitue une partie intégrante de l’intermédiation participative. Elle permet de surmonter les problèmes d’asymétrie d’information ex-post. La banque </w:t>
      </w:r>
      <w:r w:rsidR="00947C06">
        <w:t>i</w:t>
      </w:r>
      <w:r w:rsidR="003773C6" w:rsidRPr="002B005F">
        <w:t>slamique</w:t>
      </w:r>
      <w:r w:rsidRPr="002B005F">
        <w:t xml:space="preserve"> exploite des rendements d'échelle croissants dans la mesure où le coût de surveillance des emprunteurs croît moins vite proportionnellement aux sommes prêtées. Pour la </w:t>
      </w:r>
      <w:r w:rsidRPr="002B005F">
        <w:rPr>
          <w:i/>
          <w:iCs/>
        </w:rPr>
        <w:t>moucharaka</w:t>
      </w:r>
      <w:r w:rsidRPr="002B005F">
        <w:t>, le monitoring peut intervenir dans toutes les étapes du contrat afin d’assurer la conformité aux termes du contrat et transmettre des signaux informationnels concernant le comportement de l’entrepreneur. Dans ce cas, le monitoring est continu et moins coûteux que celui que peut entreprendre un investisseur-partenaire individuel. Lorsque la banque siège au conseil d’administration des entreprises, elle peut influencer la gouvernance de l’entreprise et contrôler sa performance à un coût moindre.</w:t>
      </w:r>
    </w:p>
    <w:p w14:paraId="360D8DBB" w14:textId="77777777" w:rsidR="002760B2" w:rsidRPr="002B005F" w:rsidRDefault="002760B2" w:rsidP="00EF2A4F">
      <w:pPr>
        <w:pStyle w:val="Default"/>
        <w:tabs>
          <w:tab w:val="left" w:pos="0"/>
        </w:tabs>
        <w:spacing w:before="120" w:line="300" w:lineRule="auto"/>
        <w:ind w:firstLine="709"/>
      </w:pPr>
      <w:r w:rsidRPr="002B005F">
        <w:t xml:space="preserve">Toutefois, le problème d’aléa moral se pose avec plus d’acuité lors de la </w:t>
      </w:r>
      <w:r w:rsidR="004A4E16" w:rsidRPr="002B005F">
        <w:rPr>
          <w:i/>
        </w:rPr>
        <w:t>moudaraba</w:t>
      </w:r>
      <w:r w:rsidRPr="002B005F">
        <w:t>. La banque serait alors conduite à imposer des contraintes supplémentaires et à engager plus de coûts de contrôle. L’agent n’est pas complètement supervisé et le niveau de son effort ne peut pas faire l’objet du contrat. En effet, les motivations de l’entrepreneur à des agissements frauduleux sont plus fortes dans la mesure où il ne subit pas de pertes financières (pertes supportées par le financier, en l’occurrence la banque). En plus, la banque ne peut pas contrôler de près la bonne marche des affaires.</w:t>
      </w:r>
    </w:p>
    <w:p w14:paraId="41030ECF" w14:textId="79E44C41" w:rsidR="002760B2" w:rsidRPr="002B005F" w:rsidRDefault="002760B2" w:rsidP="005337F7">
      <w:pPr>
        <w:pStyle w:val="Default"/>
        <w:tabs>
          <w:tab w:val="left" w:pos="0"/>
        </w:tabs>
        <w:spacing w:before="120" w:line="300" w:lineRule="auto"/>
        <w:ind w:firstLine="709"/>
      </w:pPr>
      <w:r w:rsidRPr="002B005F">
        <w:t xml:space="preserve">Dans ce contexte, partant de l’idée de l’existence des problèmes d’aléa moral inhérents aux contrats PLS, </w:t>
      </w:r>
      <w:r w:rsidRPr="002B005F">
        <w:rPr>
          <w:smallCaps/>
        </w:rPr>
        <w:t>Ahmed</w:t>
      </w:r>
      <w:r w:rsidRPr="002B005F">
        <w:rPr>
          <w:rStyle w:val="Appelnotedebasdep"/>
        </w:rPr>
        <w:footnoteReference w:id="348"/>
      </w:r>
      <w:r w:rsidRPr="002B005F">
        <w:t xml:space="preserve"> expose théoriquement le contrat PLS qui réduit les tentatives de tricherie à travers un mécanisme de récompense/punition (</w:t>
      </w:r>
      <w:r w:rsidRPr="002B005F">
        <w:rPr>
          <w:i/>
          <w:iCs/>
        </w:rPr>
        <w:t>reward</w:t>
      </w:r>
      <w:r w:rsidRPr="002B005F">
        <w:t>/</w:t>
      </w:r>
      <w:r w:rsidRPr="002B005F">
        <w:rPr>
          <w:i/>
          <w:iCs/>
        </w:rPr>
        <w:t>punishment</w:t>
      </w:r>
      <w:r w:rsidR="005337F7">
        <w:t xml:space="preserve">), </w:t>
      </w:r>
      <w:r w:rsidR="005337F7" w:rsidRPr="00124CDB">
        <w:t>baptisé « incentive compatible profit-s</w:t>
      </w:r>
      <w:r w:rsidR="00A4654E">
        <w:t>ha</w:t>
      </w:r>
      <w:r w:rsidR="005337F7" w:rsidRPr="00124CDB">
        <w:t xml:space="preserve">ring contract ». Ce contrat est ainsi conçu pour inciter le moudarib de se comporter de la manière souhaitée. Le chercheur a tenté de résoudre le problème d'agence en proposant un taux de participation variable, c’est-à-dire que le partage du rendement varie selon l’effort fourni par le </w:t>
      </w:r>
      <w:r w:rsidR="002927E4" w:rsidRPr="006C1230">
        <w:rPr>
          <w:i/>
          <w:iCs/>
        </w:rPr>
        <w:t>moudarib</w:t>
      </w:r>
      <w:r w:rsidR="002927E4" w:rsidRPr="00124CDB">
        <w:t>. Il</w:t>
      </w:r>
      <w:r w:rsidR="005337F7" w:rsidRPr="00124CDB">
        <w:t xml:space="preserve"> conclut que les solutions aux problèmes d’asymétrie d’information du contrat moudaraba sont des contrats à fortes incitations qui imposent des pénalités en cas de mauvais comportement.</w:t>
      </w:r>
    </w:p>
    <w:p w14:paraId="2D5BE6CE" w14:textId="28DE53D2" w:rsidR="002760B2" w:rsidRPr="002B005F" w:rsidRDefault="002760B2" w:rsidP="005337F7">
      <w:pPr>
        <w:pStyle w:val="Default"/>
        <w:tabs>
          <w:tab w:val="left" w:pos="0"/>
        </w:tabs>
        <w:spacing w:before="120" w:line="300" w:lineRule="auto"/>
        <w:ind w:firstLine="709"/>
      </w:pPr>
      <w:r w:rsidRPr="002B005F">
        <w:lastRenderedPageBreak/>
        <w:t>De même</w:t>
      </w:r>
      <w:r w:rsidRPr="002B005F">
        <w:rPr>
          <w:smallCaps/>
        </w:rPr>
        <w:t>, Karim</w:t>
      </w:r>
      <w:r w:rsidRPr="002B005F">
        <w:rPr>
          <w:rStyle w:val="Appelnotedebasdep"/>
        </w:rPr>
        <w:footnoteReference w:id="349"/>
      </w:r>
      <w:r w:rsidR="004A4E16" w:rsidRPr="002B005F">
        <w:t xml:space="preserve"> insiste sur la nécessite </w:t>
      </w:r>
      <w:r w:rsidR="004A4E16" w:rsidRPr="005337F7">
        <w:t xml:space="preserve">des </w:t>
      </w:r>
      <w:r w:rsidR="005337F7" w:rsidRPr="005337F7">
        <w:t>« incentive compatible profit-sh</w:t>
      </w:r>
      <w:r w:rsidR="006C1230">
        <w:t>a</w:t>
      </w:r>
      <w:r w:rsidR="005337F7" w:rsidRPr="005337F7">
        <w:t>ring contracts »</w:t>
      </w:r>
      <w:r w:rsidRPr="005337F7">
        <w:t xml:space="preserve"> dans un contexte d’asymétrie d’information pour les banques </w:t>
      </w:r>
      <w:r w:rsidR="003D1D78" w:rsidRPr="005337F7">
        <w:t>i</w:t>
      </w:r>
      <w:r w:rsidR="003773C6" w:rsidRPr="005337F7">
        <w:t>slamique</w:t>
      </w:r>
      <w:r w:rsidRPr="005337F7">
        <w:t>s</w:t>
      </w:r>
      <w:r w:rsidRPr="002B005F">
        <w:t>. L’auteur indique que la proportion</w:t>
      </w:r>
      <w:r w:rsidR="004A4E16" w:rsidRPr="002B005F">
        <w:t xml:space="preserve"> des financements PLS dans la </w:t>
      </w:r>
      <w:r w:rsidR="00A4654E">
        <w:t>« </w:t>
      </w:r>
      <w:r w:rsidRPr="002B005F">
        <w:rPr>
          <w:i/>
          <w:iCs/>
        </w:rPr>
        <w:t>Bank</w:t>
      </w:r>
      <w:r w:rsidRPr="002B005F">
        <w:t xml:space="preserve"> </w:t>
      </w:r>
      <w:r w:rsidRPr="002B005F">
        <w:rPr>
          <w:i/>
          <w:iCs/>
        </w:rPr>
        <w:t>Muamalat</w:t>
      </w:r>
      <w:r w:rsidR="00A4654E">
        <w:t> »</w:t>
      </w:r>
      <w:r w:rsidRPr="002B005F">
        <w:t xml:space="preserve"> a significativement augmenté après 1998, date à laquelle la banque a introduit des </w:t>
      </w:r>
      <w:r w:rsidR="003D1D78" w:rsidRPr="002B005F">
        <w:t xml:space="preserve">projets pilotes basés sur </w:t>
      </w:r>
      <w:r w:rsidR="003D1D78" w:rsidRPr="005337F7">
        <w:t xml:space="preserve">des </w:t>
      </w:r>
      <w:r w:rsidR="005337F7" w:rsidRPr="005337F7">
        <w:t>« incentive compatible profit-sh</w:t>
      </w:r>
      <w:r w:rsidR="006C1230">
        <w:t>a</w:t>
      </w:r>
      <w:r w:rsidR="005337F7" w:rsidRPr="005337F7">
        <w:t>ring contracts ».</w:t>
      </w:r>
    </w:p>
    <w:p w14:paraId="39B22AE1" w14:textId="77777777" w:rsidR="002760B2" w:rsidRPr="002B005F" w:rsidRDefault="002760B2" w:rsidP="00EF2A4F">
      <w:pPr>
        <w:pStyle w:val="Default"/>
        <w:tabs>
          <w:tab w:val="left" w:pos="0"/>
        </w:tabs>
        <w:spacing w:before="120" w:line="300" w:lineRule="auto"/>
        <w:ind w:firstLine="709"/>
        <w:rPr>
          <w:spacing w:val="-4"/>
        </w:rPr>
      </w:pPr>
      <w:r w:rsidRPr="002B005F">
        <w:rPr>
          <w:spacing w:val="-4"/>
        </w:rPr>
        <w:t>Or, les financements de PLS qui s’inscrivent dans la durée peuv</w:t>
      </w:r>
      <w:r w:rsidR="00233D15" w:rsidRPr="002B005F">
        <w:rPr>
          <w:spacing w:val="-4"/>
        </w:rPr>
        <w:t>ent bénéficier de la réputation</w:t>
      </w:r>
      <w:r w:rsidRPr="002B005F">
        <w:rPr>
          <w:spacing w:val="-4"/>
        </w:rPr>
        <w:t xml:space="preserve"> et</w:t>
      </w:r>
      <w:r w:rsidR="00233D15" w:rsidRPr="002B005F">
        <w:rPr>
          <w:spacing w:val="-4"/>
        </w:rPr>
        <w:t>,</w:t>
      </w:r>
      <w:r w:rsidRPr="002B005F">
        <w:rPr>
          <w:spacing w:val="-4"/>
        </w:rPr>
        <w:t xml:space="preserve"> par conséquent</w:t>
      </w:r>
      <w:r w:rsidR="00233D15" w:rsidRPr="002B005F">
        <w:rPr>
          <w:spacing w:val="-4"/>
        </w:rPr>
        <w:t>,</w:t>
      </w:r>
      <w:r w:rsidRPr="002B005F">
        <w:rPr>
          <w:spacing w:val="-4"/>
        </w:rPr>
        <w:t xml:space="preserve"> la survei</w:t>
      </w:r>
      <w:r w:rsidR="00233D15" w:rsidRPr="002B005F">
        <w:rPr>
          <w:spacing w:val="-4"/>
        </w:rPr>
        <w:t>llance peut devenir auto</w:t>
      </w:r>
      <w:r w:rsidRPr="002B005F">
        <w:rPr>
          <w:spacing w:val="-4"/>
        </w:rPr>
        <w:t>réalisée. Ainsi, ces financements peuvent pallier aux problèmes d’opportunisme grâce à la confiance, à la fidélité, à la réputation et à l’association socioéconomique mutuellement profitables. Les i</w:t>
      </w:r>
      <w:r w:rsidR="004A4E16" w:rsidRPr="002B005F">
        <w:rPr>
          <w:spacing w:val="-4"/>
        </w:rPr>
        <w:t>ntermédiaires constituent des « régularités comportementales »</w:t>
      </w:r>
      <w:r w:rsidRPr="002B005F">
        <w:rPr>
          <w:spacing w:val="-4"/>
        </w:rPr>
        <w:t xml:space="preserve"> permettant d’apporter une stabilité aux agents économiques, stabilité que n’offre pas le caractère dynamique des marchés</w:t>
      </w:r>
      <w:r w:rsidRPr="002B005F">
        <w:rPr>
          <w:rStyle w:val="Appelnotedebasdep"/>
          <w:spacing w:val="-4"/>
        </w:rPr>
        <w:footnoteReference w:id="350"/>
      </w:r>
      <w:r w:rsidRPr="002B005F">
        <w:rPr>
          <w:spacing w:val="-4"/>
        </w:rPr>
        <w:t>.</w:t>
      </w:r>
    </w:p>
    <w:p w14:paraId="0323BC81" w14:textId="77777777" w:rsidR="002760B2" w:rsidRPr="002B005F" w:rsidRDefault="002760B2" w:rsidP="00EF2A4F">
      <w:pPr>
        <w:pStyle w:val="Default"/>
        <w:tabs>
          <w:tab w:val="left" w:pos="0"/>
        </w:tabs>
        <w:spacing w:before="120" w:line="300" w:lineRule="auto"/>
        <w:ind w:firstLine="709"/>
      </w:pPr>
      <w:r w:rsidRPr="002B005F">
        <w:t xml:space="preserve">En outre, grâce aux valeurs éthiques partagées notamment l’honnêteté, il existe un niveau plus élevé de confiance entre les banques </w:t>
      </w:r>
      <w:r w:rsidR="00233D15" w:rsidRPr="002B005F">
        <w:t>i</w:t>
      </w:r>
      <w:r w:rsidR="003773C6" w:rsidRPr="002B005F">
        <w:t>slamique</w:t>
      </w:r>
      <w:r w:rsidRPr="002B005F">
        <w:t>s et leurs clients que celui dans le cas des banques conventionnelles</w:t>
      </w:r>
      <w:r w:rsidRPr="002B005F">
        <w:rPr>
          <w:rStyle w:val="Appelnotedebasdep"/>
        </w:rPr>
        <w:footnoteReference w:id="351"/>
      </w:r>
      <w:r w:rsidR="00233D15" w:rsidRPr="002B005F">
        <w:t>. C</w:t>
      </w:r>
      <w:r w:rsidRPr="002B005F">
        <w:t>e qui est susceptible de réduire les coûts de surveillance. Les contrats PLS supposent un niveau élevé de confiance et de transparence entre les investisseurs, le</w:t>
      </w:r>
      <w:r w:rsidR="00233D15" w:rsidRPr="002B005F">
        <w:t>s banques et les entrepreneurs.</w:t>
      </w:r>
    </w:p>
    <w:p w14:paraId="0D034E46" w14:textId="77777777" w:rsidR="002760B2" w:rsidRPr="002B005F" w:rsidRDefault="002760B2" w:rsidP="00EF2A4F">
      <w:pPr>
        <w:pStyle w:val="Default"/>
        <w:tabs>
          <w:tab w:val="left" w:pos="0"/>
        </w:tabs>
        <w:spacing w:before="120" w:line="300" w:lineRule="auto"/>
        <w:ind w:firstLine="709"/>
      </w:pPr>
      <w:r w:rsidRPr="002B005F">
        <w:t xml:space="preserve">Il ressort que le financement participatif constitue une solution aux problèmes d’asymétrie d’information ex ante et ex post. Il permet des contrats à caractère informationnel intensif et à forte exigence de surveillance. Nous soutenons la supériorité de la </w:t>
      </w:r>
      <w:r w:rsidRPr="002B005F">
        <w:rPr>
          <w:i/>
          <w:iCs/>
        </w:rPr>
        <w:t>moucharaka</w:t>
      </w:r>
      <w:r w:rsidRPr="002B005F">
        <w:t xml:space="preserve"> par rapport à la </w:t>
      </w:r>
      <w:r w:rsidR="004A4E16" w:rsidRPr="002B005F">
        <w:rPr>
          <w:i/>
        </w:rPr>
        <w:t>moudaraba</w:t>
      </w:r>
      <w:r w:rsidRPr="002B005F">
        <w:t>.</w:t>
      </w:r>
    </w:p>
    <w:p w14:paraId="52DE89C1" w14:textId="77777777" w:rsidR="002760B2" w:rsidRPr="002B005F" w:rsidRDefault="002760B2" w:rsidP="00EF2A4F">
      <w:pPr>
        <w:pStyle w:val="Default"/>
        <w:tabs>
          <w:tab w:val="left" w:pos="0"/>
        </w:tabs>
        <w:spacing w:before="120" w:line="300" w:lineRule="auto"/>
        <w:ind w:firstLine="709"/>
      </w:pPr>
      <w:r w:rsidRPr="002B005F">
        <w:t xml:space="preserve">Toutefois, selon </w:t>
      </w:r>
      <w:r w:rsidRPr="002B005F">
        <w:rPr>
          <w:smallCaps/>
        </w:rPr>
        <w:t>Iqbal</w:t>
      </w:r>
      <w:r w:rsidRPr="002B005F">
        <w:t xml:space="preserve"> et </w:t>
      </w:r>
      <w:r w:rsidRPr="002B005F">
        <w:rPr>
          <w:smallCaps/>
        </w:rPr>
        <w:t>Llewellyn</w:t>
      </w:r>
      <w:r w:rsidRPr="002B005F">
        <w:t>, les contrats PLS qui induisent une grande exigence informationnelle peuvent entraîner des coûts élevés de transactions</w:t>
      </w:r>
      <w:r w:rsidRPr="002B005F">
        <w:rPr>
          <w:rStyle w:val="Appelnotedebasdep"/>
        </w:rPr>
        <w:footnoteReference w:id="352"/>
      </w:r>
      <w:r w:rsidRPr="002B005F">
        <w:t>. Dans la théorie conventionnelle, les contrats de partage ont fait l’objet de certaines critiques. En outre, l’intermédiation participative se trouve à l’origine d’une asymétrie d’information vis-à-vis des détenteurs des comptes d’investissement. En effet, le déposant ignore le projet financé et le</w:t>
      </w:r>
      <w:r w:rsidR="00233D15" w:rsidRPr="002B005F">
        <w:t>s rendements effectifs réalisés</w:t>
      </w:r>
      <w:r w:rsidRPr="002B005F">
        <w:t xml:space="preserve"> d’où les problèmes d’agence. Dans ce contexte, les déposants des banques </w:t>
      </w:r>
      <w:r w:rsidR="00233D15" w:rsidRPr="002B005F">
        <w:t>i</w:t>
      </w:r>
      <w:r w:rsidR="003773C6" w:rsidRPr="002B005F">
        <w:t>slamique</w:t>
      </w:r>
      <w:r w:rsidRPr="002B005F">
        <w:t>s seraient plus motivés à surveiller leurs banques que les déposants des banques conventionnelles.</w:t>
      </w:r>
    </w:p>
    <w:p w14:paraId="3E579608" w14:textId="77777777" w:rsidR="002760B2" w:rsidRPr="002B005F" w:rsidRDefault="009E2B12" w:rsidP="007B64B9">
      <w:pPr>
        <w:pStyle w:val="Titre4"/>
        <w:keepNext w:val="0"/>
        <w:spacing w:before="120" w:after="120" w:line="300" w:lineRule="auto"/>
        <w:ind w:firstLine="709"/>
      </w:pPr>
      <w:bookmarkStart w:id="1286" w:name="_Toc33263346"/>
      <w:bookmarkStart w:id="1287" w:name="_Toc37664609"/>
      <w:bookmarkStart w:id="1288" w:name="_Toc37666454"/>
      <w:bookmarkStart w:id="1289" w:name="_Toc54363351"/>
      <w:bookmarkStart w:id="1290" w:name="_Toc58606339"/>
      <w:bookmarkStart w:id="1291" w:name="_Toc61263544"/>
      <w:bookmarkStart w:id="1292" w:name="_Toc182298853"/>
      <w:r w:rsidRPr="002B005F">
        <w:t>2.1.2- I</w:t>
      </w:r>
      <w:r w:rsidR="0042745D" w:rsidRPr="002B005F">
        <w:t>ntermédiation participative :</w:t>
      </w:r>
      <w:r w:rsidR="002760B2" w:rsidRPr="002B005F">
        <w:t xml:space="preserve"> une intermédiation de partage des risques</w:t>
      </w:r>
      <w:bookmarkEnd w:id="1286"/>
      <w:bookmarkEnd w:id="1287"/>
      <w:bookmarkEnd w:id="1288"/>
      <w:bookmarkEnd w:id="1289"/>
      <w:bookmarkEnd w:id="1290"/>
      <w:bookmarkEnd w:id="1291"/>
      <w:bookmarkEnd w:id="1292"/>
    </w:p>
    <w:p w14:paraId="41239529" w14:textId="77777777" w:rsidR="002760B2" w:rsidRPr="002B005F" w:rsidRDefault="002760B2" w:rsidP="00EF2A4F">
      <w:pPr>
        <w:pStyle w:val="Default"/>
        <w:tabs>
          <w:tab w:val="left" w:pos="0"/>
        </w:tabs>
        <w:spacing w:before="120" w:line="300" w:lineRule="auto"/>
        <w:ind w:firstLine="709"/>
      </w:pPr>
      <w:r w:rsidRPr="002B005F">
        <w:t xml:space="preserve">Les financements participatifs sont les plus risqués. Ils reposent sur la confiance accordée à l’entrepreneur. Ainsi, les financements PLS rendent la banque </w:t>
      </w:r>
      <w:r w:rsidR="009E2B12" w:rsidRPr="002B005F">
        <w:t>i</w:t>
      </w:r>
      <w:r w:rsidR="003773C6" w:rsidRPr="002B005F">
        <w:t>slamique</w:t>
      </w:r>
      <w:r w:rsidRPr="002B005F">
        <w:t xml:space="preserve"> plus vulnérable. A cet effet, l’IFSB (</w:t>
      </w:r>
      <w:r w:rsidR="00F34669" w:rsidRPr="002B005F">
        <w:t>Islam</w:t>
      </w:r>
      <w:r w:rsidRPr="002B005F">
        <w:t xml:space="preserve">ic Financial Services Board) suggère que l’adéquation du </w:t>
      </w:r>
      <w:r w:rsidRPr="002B005F">
        <w:lastRenderedPageBreak/>
        <w:t xml:space="preserve">capital soit plus importante pour la </w:t>
      </w:r>
      <w:r w:rsidR="004A4E16" w:rsidRPr="002B005F">
        <w:rPr>
          <w:i/>
          <w:iCs/>
        </w:rPr>
        <w:t>moudaraba</w:t>
      </w:r>
      <w:r w:rsidRPr="002B005F">
        <w:t xml:space="preserve"> et la </w:t>
      </w:r>
      <w:r w:rsidRPr="002B005F">
        <w:rPr>
          <w:i/>
          <w:iCs/>
        </w:rPr>
        <w:t>moucharaka</w:t>
      </w:r>
      <w:r w:rsidRPr="002B005F">
        <w:t xml:space="preserve"> que pour les autres produits bancaires.</w:t>
      </w:r>
    </w:p>
    <w:p w14:paraId="0D1E2116" w14:textId="77777777" w:rsidR="002760B2" w:rsidRPr="002B005F" w:rsidRDefault="002760B2" w:rsidP="00EF2A4F">
      <w:pPr>
        <w:pStyle w:val="Default"/>
        <w:tabs>
          <w:tab w:val="left" w:pos="0"/>
        </w:tabs>
        <w:spacing w:before="120" w:line="300" w:lineRule="auto"/>
        <w:ind w:firstLine="709"/>
      </w:pPr>
      <w:r w:rsidRPr="002B005F">
        <w:t xml:space="preserve">Nous avons souligné que les banques </w:t>
      </w:r>
      <w:r w:rsidR="009E2B12" w:rsidRPr="002B005F">
        <w:t>i</w:t>
      </w:r>
      <w:r w:rsidR="003773C6" w:rsidRPr="002B005F">
        <w:t>slamique</w:t>
      </w:r>
      <w:r w:rsidRPr="002B005F">
        <w:t>s doivent respecter les exigences de matériabilité des transactions financières, la prohibition des intérêts fixes et des garanties. Elles subissent des coûts importants d’évaluation et d’investissement, des revenus irréguliers, des pert</w:t>
      </w:r>
      <w:r w:rsidR="004A4E16" w:rsidRPr="002B005F">
        <w:t>es de la valeur de ses actifs…</w:t>
      </w:r>
    </w:p>
    <w:p w14:paraId="57E7FEA4" w14:textId="77777777" w:rsidR="00A309A4" w:rsidRPr="002B005F" w:rsidRDefault="002760B2" w:rsidP="00EF2A4F">
      <w:pPr>
        <w:pStyle w:val="Default"/>
        <w:tabs>
          <w:tab w:val="left" w:pos="0"/>
        </w:tabs>
        <w:spacing w:before="120" w:line="300" w:lineRule="auto"/>
        <w:ind w:firstLine="709"/>
      </w:pPr>
      <w:r w:rsidRPr="002B005F">
        <w:t>Les financements PLS supposent le partage des risques entre d’une part la banque et le déposant-investisseur et, d’autre part, la banque et le demandeur de financement. D’abord, les détenteurs des dépôts à risques (dépôts d’investissement) sont solidaires avec la banque, ce qui permet une socialisation des prises de risques. Mais quels sont les avantages du placement de fonds à un compte de dépôts d’investissement comparé à un investisseme</w:t>
      </w:r>
      <w:r w:rsidR="00A309A4" w:rsidRPr="002B005F">
        <w:t>nt direct dans les entreprises ?</w:t>
      </w:r>
    </w:p>
    <w:p w14:paraId="7A20B583" w14:textId="77777777" w:rsidR="002760B2" w:rsidRPr="002B005F" w:rsidRDefault="002760B2" w:rsidP="00EF2A4F">
      <w:pPr>
        <w:pStyle w:val="Default"/>
        <w:tabs>
          <w:tab w:val="left" w:pos="0"/>
        </w:tabs>
        <w:spacing w:before="120" w:line="300" w:lineRule="auto"/>
        <w:ind w:firstLine="709"/>
      </w:pPr>
      <w:r w:rsidRPr="002B005F">
        <w:t xml:space="preserve">Les risques encourus par les déposants de la banque sont réduits grâce à la meilleure évaluation et la sélection des projets, la surveillance et la fidélisation des clients demandeurs de financement. Les banques </w:t>
      </w:r>
      <w:r w:rsidR="009E2B12" w:rsidRPr="002B005F">
        <w:t>i</w:t>
      </w:r>
      <w:r w:rsidR="003773C6" w:rsidRPr="002B005F">
        <w:t>slamique</w:t>
      </w:r>
      <w:r w:rsidRPr="002B005F">
        <w:t>s jouissent d’une meilleure capacité à évaluer le risque par rapport aux agents non financiers. Elles sont en mesure de choisir les projets les plus rentables et les moins risqués. Grâce à leurs avantages comparatifs en matière de collecte d’information, les banques sont aptes à manag</w:t>
      </w:r>
      <w:r w:rsidR="009E2B12" w:rsidRPr="002B005F">
        <w:t>er le risque plus efficacement.</w:t>
      </w:r>
    </w:p>
    <w:p w14:paraId="53E05DEC" w14:textId="77777777" w:rsidR="002760B2" w:rsidRPr="002B005F" w:rsidRDefault="002760B2" w:rsidP="00D639F3">
      <w:pPr>
        <w:pStyle w:val="Default"/>
        <w:tabs>
          <w:tab w:val="left" w:pos="0"/>
        </w:tabs>
        <w:spacing w:before="120" w:line="300" w:lineRule="auto"/>
        <w:ind w:firstLine="709"/>
      </w:pPr>
      <w:r w:rsidRPr="002B005F">
        <w:t xml:space="preserve">Par ailleurs, la diversification permet de réduire les risques. Comme le soulignent, à juste titre, </w:t>
      </w:r>
      <w:r w:rsidRPr="002B005F">
        <w:rPr>
          <w:smallCaps/>
        </w:rPr>
        <w:t>Matthews, Tlemsani</w:t>
      </w:r>
      <w:r w:rsidRPr="002B005F">
        <w:t xml:space="preserve"> et </w:t>
      </w:r>
      <w:r w:rsidRPr="002B005F">
        <w:rPr>
          <w:smallCaps/>
        </w:rPr>
        <w:t>Siddiqui</w:t>
      </w:r>
      <w:r w:rsidRPr="002B005F">
        <w:rPr>
          <w:rStyle w:val="Appelnotedebasdep"/>
        </w:rPr>
        <w:footnoteReference w:id="353"/>
      </w:r>
      <w:r w:rsidRPr="002B005F">
        <w:t xml:space="preserve">, les banques </w:t>
      </w:r>
      <w:r w:rsidR="00D639F3" w:rsidRPr="002B005F">
        <w:t>i</w:t>
      </w:r>
      <w:r w:rsidR="003773C6" w:rsidRPr="002B005F">
        <w:t>slamique</w:t>
      </w:r>
      <w:r w:rsidRPr="002B005F">
        <w:t>s peuvent minimiser les risques auxquels elles font face en constituant un portefeuille diversifié de partici</w:t>
      </w:r>
      <w:r w:rsidR="004A4E16" w:rsidRPr="002B005F">
        <w:t>pations d’une façon judicieuse.</w:t>
      </w:r>
    </w:p>
    <w:p w14:paraId="617FFFF9" w14:textId="77777777" w:rsidR="002760B2" w:rsidRPr="002B005F" w:rsidRDefault="002760B2" w:rsidP="00EF2A4F">
      <w:pPr>
        <w:pStyle w:val="Default"/>
        <w:tabs>
          <w:tab w:val="left" w:pos="0"/>
        </w:tabs>
        <w:spacing w:before="120" w:line="300" w:lineRule="auto"/>
        <w:ind w:firstLine="709"/>
      </w:pPr>
      <w:r w:rsidRPr="002B005F">
        <w:t>Ensuite, les financements de partenariat conçoivent une banque solidaire avec les demandeurs de fonds. La banque n’exige pas de garanties et encourt les risques des projets financés. Toutefois, dans le cas d’un financement par dette, tous les risques sont supportés par l’entrepreneur alors que le détenteur du capital obtient un revenu prédéterminé à l’avance.</w:t>
      </w:r>
    </w:p>
    <w:p w14:paraId="068BDA1D" w14:textId="77777777" w:rsidR="002760B2" w:rsidRPr="002B005F" w:rsidRDefault="002760B2" w:rsidP="009E2B12">
      <w:pPr>
        <w:pStyle w:val="Default"/>
        <w:tabs>
          <w:tab w:val="left" w:pos="0"/>
        </w:tabs>
        <w:spacing w:before="120" w:line="300" w:lineRule="auto"/>
        <w:ind w:firstLine="709"/>
        <w:rPr>
          <w:spacing w:val="-4"/>
        </w:rPr>
      </w:pPr>
      <w:r w:rsidRPr="002B005F">
        <w:rPr>
          <w:spacing w:val="-4"/>
        </w:rPr>
        <w:t xml:space="preserve">Selon </w:t>
      </w:r>
      <w:r w:rsidRPr="002B005F">
        <w:rPr>
          <w:smallCaps/>
          <w:spacing w:val="-4"/>
        </w:rPr>
        <w:t>Warde</w:t>
      </w:r>
      <w:r w:rsidRPr="002B005F">
        <w:rPr>
          <w:rStyle w:val="Appelnotedebasdep"/>
          <w:spacing w:val="-4"/>
        </w:rPr>
        <w:footnoteReference w:id="354"/>
      </w:r>
      <w:r w:rsidRPr="002B005F">
        <w:rPr>
          <w:spacing w:val="-4"/>
        </w:rPr>
        <w:t xml:space="preserve">, la finance associative donne plus de chance à des entrepreneurs dynamiques mais peu fortunés alors que la finance conventionnelle privilégie les détenteurs de capitaux ou encore susceptibles d’être hypothéqués. Selon </w:t>
      </w:r>
      <w:r w:rsidRPr="002B005F">
        <w:rPr>
          <w:smallCaps/>
          <w:spacing w:val="-4"/>
        </w:rPr>
        <w:t>Ben Jedidia</w:t>
      </w:r>
      <w:r w:rsidRPr="002B005F">
        <w:rPr>
          <w:rStyle w:val="Appelnotedebasdep"/>
          <w:spacing w:val="-4"/>
        </w:rPr>
        <w:footnoteReference w:id="355"/>
      </w:r>
      <w:r w:rsidRPr="002B005F">
        <w:rPr>
          <w:spacing w:val="-4"/>
        </w:rPr>
        <w:t>, les prêts protégés par les garanties éloignent les banques des risques des clients et causent des conflits d’intérêts.</w:t>
      </w:r>
    </w:p>
    <w:p w14:paraId="3E3B382B" w14:textId="77777777" w:rsidR="002760B2" w:rsidRPr="002B005F" w:rsidRDefault="002760B2" w:rsidP="009E2B12">
      <w:pPr>
        <w:pStyle w:val="Default"/>
        <w:tabs>
          <w:tab w:val="left" w:pos="0"/>
        </w:tabs>
        <w:spacing w:before="120" w:line="300" w:lineRule="auto"/>
        <w:ind w:firstLine="709"/>
      </w:pPr>
      <w:r w:rsidRPr="002B005F">
        <w:t xml:space="preserve">Toutefois, le partage des risques conforte la prise de risques par des banques. En effet, ces dernières ne sont pas tenues d’offrir des rémunérations fixes aux déposants et donc d’assumer seules le risque total en cas d’échec. Des auteurs tels que </w:t>
      </w:r>
      <w:r w:rsidRPr="002B005F">
        <w:rPr>
          <w:smallCaps/>
        </w:rPr>
        <w:t>Cihak</w:t>
      </w:r>
      <w:r w:rsidRPr="002B005F">
        <w:t xml:space="preserve"> and </w:t>
      </w:r>
      <w:r w:rsidRPr="002B005F">
        <w:rPr>
          <w:smallCaps/>
        </w:rPr>
        <w:t>Hesse</w:t>
      </w:r>
      <w:r w:rsidRPr="002B005F">
        <w:rPr>
          <w:rStyle w:val="Appelnotedebasdep"/>
        </w:rPr>
        <w:footnoteReference w:id="356"/>
      </w:r>
      <w:r w:rsidRPr="002B005F">
        <w:t xml:space="preserve"> </w:t>
      </w:r>
      <w:r w:rsidRPr="002B005F">
        <w:lastRenderedPageBreak/>
        <w:t xml:space="preserve">considèrent que les modes PLS évitent la détérioration du bilan de la banque </w:t>
      </w:r>
      <w:r w:rsidR="00947C06">
        <w:t>i</w:t>
      </w:r>
      <w:r w:rsidR="003773C6" w:rsidRPr="002B005F">
        <w:t>slamique</w:t>
      </w:r>
      <w:r w:rsidRPr="002B005F">
        <w:t xml:space="preserve"> en cas de difficultés économiques.</w:t>
      </w:r>
    </w:p>
    <w:p w14:paraId="00E694DA" w14:textId="1118A9C5" w:rsidR="002760B2" w:rsidRPr="002B005F" w:rsidRDefault="002760B2" w:rsidP="00EF2A4F">
      <w:pPr>
        <w:pStyle w:val="Default"/>
        <w:tabs>
          <w:tab w:val="left" w:pos="0"/>
        </w:tabs>
        <w:spacing w:before="120" w:line="300" w:lineRule="auto"/>
        <w:ind w:firstLine="709"/>
        <w:rPr>
          <w:spacing w:val="-6"/>
        </w:rPr>
      </w:pPr>
      <w:r w:rsidRPr="002B005F">
        <w:rPr>
          <w:spacing w:val="-6"/>
        </w:rPr>
        <w:t xml:space="preserve">L’intermédiation participative permet une gestion de risques semblable à celle de la gestion d’un portefeuille de titres financiers puisque les risques de l'emprunteur et du prêteur sont liés, mais il s’agit d’une gestion institutionnelle loin de la gestion </w:t>
      </w:r>
      <w:r w:rsidR="006C1230" w:rsidRPr="002B005F">
        <w:rPr>
          <w:spacing w:val="-6"/>
        </w:rPr>
        <w:t>intertemporelle</w:t>
      </w:r>
      <w:r w:rsidRPr="002B005F">
        <w:rPr>
          <w:spacing w:val="-6"/>
        </w:rPr>
        <w:t xml:space="preserve"> des risques. C’est une gestion de risque très compartimentée qui ne peut pas recourir aux produits dérivés habituels.</w:t>
      </w:r>
    </w:p>
    <w:p w14:paraId="28E930C2" w14:textId="77777777" w:rsidR="002760B2" w:rsidRPr="002B005F" w:rsidRDefault="002760B2" w:rsidP="00EF2A4F">
      <w:pPr>
        <w:pStyle w:val="Default"/>
        <w:tabs>
          <w:tab w:val="left" w:pos="0"/>
        </w:tabs>
        <w:spacing w:before="120" w:line="300" w:lineRule="auto"/>
        <w:ind w:firstLine="709"/>
      </w:pPr>
      <w:r w:rsidRPr="002B005F">
        <w:t xml:space="preserve">L’intermédiation participative présente des avantages par rapport à l’intermédiation conventionnelle actuelle. Les banques </w:t>
      </w:r>
      <w:r w:rsidR="00947C06">
        <w:t>i</w:t>
      </w:r>
      <w:r w:rsidR="003773C6" w:rsidRPr="002B005F">
        <w:t>slamique</w:t>
      </w:r>
      <w:r w:rsidRPr="002B005F">
        <w:t>s ont toujours de fortes motivations pour une meilleure sélection des emprunteurs et un suivi continu. A l’encontre, l’engagement des banques commerciales conve</w:t>
      </w:r>
      <w:r w:rsidR="004A4E16" w:rsidRPr="002B005F">
        <w:t>ntionnelles dans le processus « originate-to-securitize »</w:t>
      </w:r>
      <w:r w:rsidRPr="002B005F">
        <w:t xml:space="preserve"> limite leurs rôles à des initiateurs et des distributeurs et réduit, en conséquence, leurs motivations pour une meilleure sélection des emprunteurs.</w:t>
      </w:r>
    </w:p>
    <w:p w14:paraId="150059D9" w14:textId="77777777" w:rsidR="002760B2" w:rsidRPr="002B005F" w:rsidRDefault="002760B2" w:rsidP="00EF2A4F">
      <w:pPr>
        <w:pStyle w:val="Default"/>
        <w:tabs>
          <w:tab w:val="left" w:pos="0"/>
        </w:tabs>
        <w:spacing w:before="120" w:line="300" w:lineRule="auto"/>
        <w:ind w:firstLine="709"/>
      </w:pPr>
      <w:r w:rsidRPr="002B005F">
        <w:t xml:space="preserve">Par ailleurs, le partage des risques incite toujours la banque </w:t>
      </w:r>
      <w:r w:rsidR="009E2B12" w:rsidRPr="002B005F">
        <w:t>i</w:t>
      </w:r>
      <w:r w:rsidR="003773C6" w:rsidRPr="002B005F">
        <w:t>slamique</w:t>
      </w:r>
      <w:r w:rsidRPr="002B005F">
        <w:t xml:space="preserve"> à s’assurer que les projets financés sont rentables. Ce partage de risque rend les banques plus attentives à l’octroi des financements et assure une stabilité économique</w:t>
      </w:r>
      <w:r w:rsidRPr="002B005F">
        <w:rPr>
          <w:rStyle w:val="Appelnotedebasdep"/>
        </w:rPr>
        <w:footnoteReference w:id="357"/>
      </w:r>
      <w:r w:rsidRPr="002B005F">
        <w:t>.</w:t>
      </w:r>
    </w:p>
    <w:p w14:paraId="498390DE" w14:textId="77777777" w:rsidR="002760B2" w:rsidRPr="001B4F9C" w:rsidRDefault="004A4E16" w:rsidP="007B64B9">
      <w:pPr>
        <w:pStyle w:val="Titre3"/>
        <w:keepNext w:val="0"/>
        <w:keepLines w:val="0"/>
        <w:spacing w:before="100" w:beforeAutospacing="1" w:after="100" w:afterAutospacing="1"/>
        <w:ind w:firstLine="709"/>
        <w:rPr>
          <w:sz w:val="26"/>
          <w:szCs w:val="26"/>
        </w:rPr>
      </w:pPr>
      <w:bookmarkStart w:id="1293" w:name="_Toc58606340"/>
      <w:bookmarkStart w:id="1294" w:name="_Toc61263545"/>
      <w:bookmarkStart w:id="1295" w:name="_Toc182298854"/>
      <w:r w:rsidRPr="001B4F9C">
        <w:rPr>
          <w:sz w:val="26"/>
          <w:szCs w:val="26"/>
        </w:rPr>
        <w:t xml:space="preserve">2.2- </w:t>
      </w:r>
      <w:r w:rsidR="009E2B12" w:rsidRPr="001B4F9C">
        <w:rPr>
          <w:sz w:val="26"/>
          <w:szCs w:val="26"/>
        </w:rPr>
        <w:t>M</w:t>
      </w:r>
      <w:r w:rsidR="002760B2" w:rsidRPr="001B4F9C">
        <w:rPr>
          <w:sz w:val="26"/>
          <w:szCs w:val="26"/>
        </w:rPr>
        <w:t>anque</w:t>
      </w:r>
      <w:r w:rsidR="009E2B12" w:rsidRPr="001B4F9C">
        <w:rPr>
          <w:sz w:val="26"/>
          <w:szCs w:val="26"/>
        </w:rPr>
        <w:t xml:space="preserve"> des produits basés sur 3P et</w:t>
      </w:r>
      <w:r w:rsidR="002760B2" w:rsidRPr="001B4F9C">
        <w:rPr>
          <w:sz w:val="26"/>
          <w:szCs w:val="26"/>
        </w:rPr>
        <w:t xml:space="preserve"> sur</w:t>
      </w:r>
      <w:bookmarkStart w:id="1296" w:name="_Toc33263347"/>
      <w:bookmarkStart w:id="1297" w:name="_Toc37664610"/>
      <w:bookmarkStart w:id="1298" w:name="_Toc37666455"/>
      <w:bookmarkStart w:id="1299" w:name="_Toc54363352"/>
      <w:r w:rsidR="002760B2" w:rsidRPr="001B4F9C">
        <w:rPr>
          <w:sz w:val="26"/>
          <w:szCs w:val="26"/>
        </w:rPr>
        <w:t xml:space="preserve">utilisation de la </w:t>
      </w:r>
      <w:r w:rsidR="002760B2" w:rsidRPr="0076236D">
        <w:rPr>
          <w:i/>
          <w:iCs/>
          <w:sz w:val="26"/>
          <w:szCs w:val="26"/>
        </w:rPr>
        <w:t>mourabaha</w:t>
      </w:r>
      <w:bookmarkEnd w:id="1293"/>
      <w:bookmarkEnd w:id="1294"/>
      <w:bookmarkEnd w:id="1295"/>
      <w:bookmarkEnd w:id="1296"/>
      <w:bookmarkEnd w:id="1297"/>
      <w:bookmarkEnd w:id="1298"/>
      <w:bookmarkEnd w:id="1299"/>
    </w:p>
    <w:p w14:paraId="57596B3A" w14:textId="77777777" w:rsidR="002760B2" w:rsidRPr="002B005F" w:rsidRDefault="002760B2" w:rsidP="009E2B12">
      <w:pPr>
        <w:pStyle w:val="Default"/>
        <w:tabs>
          <w:tab w:val="left" w:pos="0"/>
        </w:tabs>
        <w:spacing w:before="120" w:line="300" w:lineRule="auto"/>
        <w:ind w:firstLine="709"/>
        <w:rPr>
          <w:spacing w:val="-4"/>
        </w:rPr>
      </w:pPr>
      <w:r w:rsidRPr="002B005F">
        <w:t xml:space="preserve">Afin de répondre aux différents besoins de leurs clients, les banques </w:t>
      </w:r>
      <w:r w:rsidR="009E2B12" w:rsidRPr="002B005F">
        <w:t>i</w:t>
      </w:r>
      <w:r w:rsidR="003773C6" w:rsidRPr="002B005F">
        <w:t>slamique</w:t>
      </w:r>
      <w:r w:rsidRPr="002B005F">
        <w:t xml:space="preserve">s recourent donc à ces deux sortes de financement, c'est-à-dire nécessairement diversifient leur utilisation. Cependant, plusieurs chercheurs en finance </w:t>
      </w:r>
      <w:r w:rsidR="009E2B12" w:rsidRPr="002B005F">
        <w:t>i</w:t>
      </w:r>
      <w:r w:rsidR="003773C6" w:rsidRPr="002B005F">
        <w:t>slamique</w:t>
      </w:r>
      <w:r w:rsidRPr="002B005F">
        <w:t xml:space="preserve"> estiment que la combinaison des modes de financement, telle qu’elle est pratiquée aujourd’hui par l’industrie bancaire </w:t>
      </w:r>
      <w:r w:rsidR="00947C06">
        <w:t>i</w:t>
      </w:r>
      <w:r w:rsidR="003773C6" w:rsidRPr="002B005F">
        <w:t>slamique</w:t>
      </w:r>
      <w:r w:rsidRPr="002B005F">
        <w:t>, laisse à désirer</w:t>
      </w:r>
      <w:r w:rsidRPr="002B005F">
        <w:rPr>
          <w:rStyle w:val="Appelnotedebasdep"/>
        </w:rPr>
        <w:footnoteReference w:id="358"/>
      </w:r>
      <w:r w:rsidRPr="002B005F">
        <w:t xml:space="preserve">. En pratique, le manque du financement participatif et la domination des modes à revenu fixe, en particulier la </w:t>
      </w:r>
      <w:r w:rsidRPr="002B005F">
        <w:rPr>
          <w:i/>
          <w:iCs/>
        </w:rPr>
        <w:t>mourabaha,</w:t>
      </w:r>
      <w:r w:rsidRPr="002B005F">
        <w:t xml:space="preserve"> dans les portefeuilles des banques </w:t>
      </w:r>
      <w:r w:rsidR="009E2B12" w:rsidRPr="002B005F">
        <w:t>i</w:t>
      </w:r>
      <w:r w:rsidR="003773C6" w:rsidRPr="002B005F">
        <w:t>slamique</w:t>
      </w:r>
      <w:r w:rsidRPr="002B005F">
        <w:t xml:space="preserve">s sont des phénomènes très répandus. En effet, les banques </w:t>
      </w:r>
      <w:r w:rsidR="009E2B12" w:rsidRPr="002B005F">
        <w:t>i</w:t>
      </w:r>
      <w:r w:rsidR="003773C6" w:rsidRPr="002B005F">
        <w:t>slamique</w:t>
      </w:r>
      <w:r w:rsidRPr="002B005F">
        <w:t xml:space="preserve">s utilisent en grande partie la technique de la </w:t>
      </w:r>
      <w:r w:rsidRPr="002B005F">
        <w:rPr>
          <w:i/>
          <w:iCs/>
        </w:rPr>
        <w:t>mourabaha</w:t>
      </w:r>
      <w:r w:rsidR="00A31749" w:rsidRPr="002B005F">
        <w:t> : 70% en moyenne</w:t>
      </w:r>
      <w:r w:rsidRPr="002B005F">
        <w:t xml:space="preserve"> pour leurs financements</w:t>
      </w:r>
      <w:r w:rsidRPr="002B005F">
        <w:rPr>
          <w:rStyle w:val="Appelnotedebasdep"/>
        </w:rPr>
        <w:footnoteReference w:id="359"/>
      </w:r>
      <w:r w:rsidRPr="002B005F">
        <w:t xml:space="preserve">. Elles concentrent leurs financements autour de cette technique. Plusieurs raisons peuvent expliquer la situation actuelle des banques </w:t>
      </w:r>
      <w:r w:rsidR="009E2B12" w:rsidRPr="002B005F">
        <w:t>i</w:t>
      </w:r>
      <w:r w:rsidR="003773C6" w:rsidRPr="002B005F">
        <w:t>slamique</w:t>
      </w:r>
      <w:r w:rsidRPr="002B005F">
        <w:t>s</w:t>
      </w:r>
      <w:r w:rsidRPr="002B005F">
        <w:rPr>
          <w:rStyle w:val="Appelnotedebasdep"/>
        </w:rPr>
        <w:footnoteReference w:id="360"/>
      </w:r>
      <w:r w:rsidR="009E2B12" w:rsidRPr="002B005F">
        <w:t xml:space="preserve">. </w:t>
      </w:r>
      <w:r w:rsidRPr="002B005F">
        <w:rPr>
          <w:spacing w:val="-4"/>
        </w:rPr>
        <w:t xml:space="preserve">Ces modes de financement présentent plusieurs avantages pour les banques </w:t>
      </w:r>
      <w:r w:rsidR="009E2B12" w:rsidRPr="002B005F">
        <w:rPr>
          <w:spacing w:val="-4"/>
        </w:rPr>
        <w:t>i</w:t>
      </w:r>
      <w:r w:rsidR="003773C6" w:rsidRPr="002B005F">
        <w:rPr>
          <w:spacing w:val="-4"/>
        </w:rPr>
        <w:t>slamique</w:t>
      </w:r>
      <w:r w:rsidRPr="002B005F">
        <w:rPr>
          <w:spacing w:val="-4"/>
        </w:rPr>
        <w:t>s :</w:t>
      </w:r>
    </w:p>
    <w:p w14:paraId="1C7378AC" w14:textId="77777777" w:rsidR="002760B2" w:rsidRPr="002B005F" w:rsidRDefault="002760B2" w:rsidP="00CB0FF1">
      <w:pPr>
        <w:pStyle w:val="Paragraphedeliste"/>
        <w:numPr>
          <w:ilvl w:val="0"/>
          <w:numId w:val="17"/>
        </w:numPr>
        <w:tabs>
          <w:tab w:val="left" w:pos="284"/>
          <w:tab w:val="left" w:pos="851"/>
          <w:tab w:val="left" w:pos="993"/>
          <w:tab w:val="left" w:pos="1134"/>
        </w:tabs>
        <w:autoSpaceDE w:val="0"/>
        <w:autoSpaceDN w:val="0"/>
        <w:adjustRightInd w:val="0"/>
        <w:spacing w:before="6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La simplicité d</w:t>
      </w:r>
      <w:r w:rsidR="009E2B12" w:rsidRPr="002B005F">
        <w:rPr>
          <w:rFonts w:ascii="Times New Roman" w:hAnsi="Times New Roman" w:cs="Times New Roman"/>
          <w:color w:val="000000"/>
          <w:sz w:val="24"/>
          <w:szCs w:val="24"/>
        </w:rPr>
        <w:t>es procédures et des démarches.</w:t>
      </w:r>
    </w:p>
    <w:p w14:paraId="14E927D8" w14:textId="77777777" w:rsidR="002760B2" w:rsidRPr="002B005F" w:rsidRDefault="002760B2" w:rsidP="00CB0FF1">
      <w:pPr>
        <w:pStyle w:val="Paragraphedeliste"/>
        <w:numPr>
          <w:ilvl w:val="0"/>
          <w:numId w:val="17"/>
        </w:numPr>
        <w:tabs>
          <w:tab w:val="left" w:pos="284"/>
          <w:tab w:val="left" w:pos="851"/>
          <w:tab w:val="left" w:pos="993"/>
          <w:tab w:val="left" w:pos="1134"/>
        </w:tabs>
        <w:autoSpaceDE w:val="0"/>
        <w:autoSpaceDN w:val="0"/>
        <w:adjustRightInd w:val="0"/>
        <w:spacing w:before="6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Une importante manne de liquidité à un </w:t>
      </w:r>
      <w:r w:rsidR="009E2B12" w:rsidRPr="002B005F">
        <w:rPr>
          <w:rFonts w:ascii="Times New Roman" w:hAnsi="Times New Roman" w:cs="Times New Roman"/>
          <w:color w:val="000000"/>
          <w:sz w:val="24"/>
          <w:szCs w:val="24"/>
        </w:rPr>
        <w:t>risque faible et à revenu fixe.</w:t>
      </w:r>
    </w:p>
    <w:p w14:paraId="4FAA3646" w14:textId="77777777" w:rsidR="002760B2" w:rsidRPr="002B005F" w:rsidRDefault="002760B2" w:rsidP="00CB0FF1">
      <w:pPr>
        <w:pStyle w:val="Paragraphedeliste"/>
        <w:numPr>
          <w:ilvl w:val="0"/>
          <w:numId w:val="17"/>
        </w:numPr>
        <w:tabs>
          <w:tab w:val="left" w:pos="284"/>
          <w:tab w:val="left" w:pos="851"/>
          <w:tab w:val="left" w:pos="993"/>
          <w:tab w:val="left" w:pos="1134"/>
        </w:tabs>
        <w:autoSpaceDE w:val="0"/>
        <w:autoSpaceDN w:val="0"/>
        <w:adjustRightInd w:val="0"/>
        <w:spacing w:before="6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Des produits à court terme (notamment pour le cas de la </w:t>
      </w:r>
      <w:r w:rsidRPr="002B005F">
        <w:rPr>
          <w:rFonts w:ascii="Times New Roman" w:hAnsi="Times New Roman" w:cs="Times New Roman"/>
          <w:i/>
          <w:iCs/>
          <w:color w:val="000000"/>
          <w:sz w:val="24"/>
          <w:szCs w:val="24"/>
        </w:rPr>
        <w:t>mourabaha)</w:t>
      </w:r>
      <w:r w:rsidRPr="002B005F">
        <w:rPr>
          <w:rFonts w:ascii="Times New Roman" w:hAnsi="Times New Roman" w:cs="Times New Roman"/>
          <w:color w:val="000000"/>
          <w:sz w:val="24"/>
          <w:szCs w:val="24"/>
        </w:rPr>
        <w:t xml:space="preserve"> dont l</w:t>
      </w:r>
      <w:r w:rsidR="009E2B12" w:rsidRPr="002B005F">
        <w:rPr>
          <w:rFonts w:ascii="Times New Roman" w:hAnsi="Times New Roman" w:cs="Times New Roman"/>
          <w:color w:val="000000"/>
          <w:sz w:val="24"/>
          <w:szCs w:val="24"/>
        </w:rPr>
        <w:t>e rendement est fixé en avance.</w:t>
      </w:r>
    </w:p>
    <w:p w14:paraId="4FF10D18" w14:textId="77777777" w:rsidR="002760B2" w:rsidRPr="002B005F" w:rsidRDefault="002760B2" w:rsidP="00CB0FF1">
      <w:pPr>
        <w:pStyle w:val="Paragraphedeliste"/>
        <w:numPr>
          <w:ilvl w:val="0"/>
          <w:numId w:val="17"/>
        </w:numPr>
        <w:tabs>
          <w:tab w:val="left" w:pos="284"/>
          <w:tab w:val="left" w:pos="851"/>
          <w:tab w:val="left" w:pos="993"/>
          <w:tab w:val="left" w:pos="1134"/>
        </w:tabs>
        <w:autoSpaceDE w:val="0"/>
        <w:autoSpaceDN w:val="0"/>
        <w:adjustRightInd w:val="0"/>
        <w:spacing w:before="6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lastRenderedPageBreak/>
        <w:t>Des produits très similaires aux produits conventionnels. Par conséquent, il y a une certaine facilité à apprendre leur fonctionnement. En outre, les praticiens de la banque, souvent formés par des banques conventionnelles, sont familiers avec ces produits qui se rapprochent d</w:t>
      </w:r>
      <w:r w:rsidR="009E2B12" w:rsidRPr="002B005F">
        <w:rPr>
          <w:rFonts w:ascii="Times New Roman" w:hAnsi="Times New Roman" w:cs="Times New Roman"/>
          <w:color w:val="000000"/>
          <w:sz w:val="24"/>
          <w:szCs w:val="24"/>
        </w:rPr>
        <w:t>es techniques conventionnelles.</w:t>
      </w:r>
    </w:p>
    <w:p w14:paraId="6D90409C" w14:textId="77777777" w:rsidR="002760B2" w:rsidRPr="002B005F" w:rsidRDefault="002760B2" w:rsidP="00CB0FF1">
      <w:pPr>
        <w:pStyle w:val="Paragraphedeliste"/>
        <w:numPr>
          <w:ilvl w:val="0"/>
          <w:numId w:val="17"/>
        </w:numPr>
        <w:tabs>
          <w:tab w:val="left" w:pos="284"/>
          <w:tab w:val="left" w:pos="851"/>
          <w:tab w:val="left" w:pos="993"/>
          <w:tab w:val="left" w:pos="1134"/>
        </w:tabs>
        <w:autoSpaceDE w:val="0"/>
        <w:autoSpaceDN w:val="0"/>
        <w:adjustRightInd w:val="0"/>
        <w:spacing w:before="6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Les modes de financement à revenu fixe sont devenus actuellement indispensables pour les banques </w:t>
      </w:r>
      <w:r w:rsidR="009E2B12" w:rsidRPr="002B005F">
        <w:rPr>
          <w:rFonts w:ascii="Times New Roman" w:hAnsi="Times New Roman" w:cs="Times New Roman"/>
          <w:color w:val="000000"/>
          <w:sz w:val="24"/>
          <w:szCs w:val="24"/>
        </w:rPr>
        <w:t>i</w:t>
      </w:r>
      <w:r w:rsidR="003773C6" w:rsidRPr="002B005F">
        <w:rPr>
          <w:rFonts w:ascii="Times New Roman" w:hAnsi="Times New Roman" w:cs="Times New Roman"/>
          <w:color w:val="000000"/>
          <w:sz w:val="24"/>
          <w:szCs w:val="24"/>
        </w:rPr>
        <w:t>slamique</w:t>
      </w:r>
      <w:r w:rsidRPr="002B005F">
        <w:rPr>
          <w:rFonts w:ascii="Times New Roman" w:hAnsi="Times New Roman" w:cs="Times New Roman"/>
          <w:color w:val="000000"/>
          <w:sz w:val="24"/>
          <w:szCs w:val="24"/>
        </w:rPr>
        <w:t>s. Ils servent des objectifs utiles, à savoir offrir aux investisseurs une liquidité à un risque faible ou fournir aux clients des marchandises et des machines dont ils ont besoin p</w:t>
      </w:r>
      <w:r w:rsidR="00201B23" w:rsidRPr="002B005F">
        <w:rPr>
          <w:rFonts w:ascii="Times New Roman" w:hAnsi="Times New Roman" w:cs="Times New Roman"/>
          <w:color w:val="000000"/>
          <w:sz w:val="24"/>
          <w:szCs w:val="24"/>
        </w:rPr>
        <w:t>our leurs projets et affaires.</w:t>
      </w:r>
    </w:p>
    <w:p w14:paraId="520B9A48" w14:textId="77777777" w:rsidR="002760B2" w:rsidRPr="007B64B9" w:rsidRDefault="007D045E" w:rsidP="007B64B9">
      <w:pPr>
        <w:pStyle w:val="Titre4"/>
        <w:keepNext w:val="0"/>
        <w:tabs>
          <w:tab w:val="center" w:pos="1276"/>
        </w:tabs>
        <w:spacing w:before="100" w:beforeAutospacing="1" w:after="120" w:line="300" w:lineRule="auto"/>
        <w:ind w:left="709"/>
        <w:rPr>
          <w:rFonts w:cs="Times New Roman"/>
          <w:spacing w:val="-6"/>
        </w:rPr>
      </w:pPr>
      <w:bookmarkStart w:id="1300" w:name="_Toc33263348"/>
      <w:bookmarkStart w:id="1301" w:name="_Toc37664611"/>
      <w:bookmarkStart w:id="1302" w:name="_Toc37666456"/>
      <w:bookmarkStart w:id="1303" w:name="_Toc54363353"/>
      <w:bookmarkStart w:id="1304" w:name="_Toc58606341"/>
      <w:bookmarkStart w:id="1305" w:name="_Toc61263546"/>
      <w:bookmarkStart w:id="1306" w:name="_Toc182298855"/>
      <w:r w:rsidRPr="007B64B9">
        <w:rPr>
          <w:rFonts w:cs="Times New Roman"/>
          <w:spacing w:val="-6"/>
        </w:rPr>
        <w:t xml:space="preserve">2.2.1- </w:t>
      </w:r>
      <w:r w:rsidR="002760B2" w:rsidRPr="007B64B9">
        <w:rPr>
          <w:rFonts w:cs="Times New Roman"/>
          <w:spacing w:val="-6"/>
        </w:rPr>
        <w:t>Raisons du manque d’utilisation des produits de partage des pertes et des profits</w:t>
      </w:r>
      <w:bookmarkEnd w:id="1300"/>
      <w:bookmarkEnd w:id="1301"/>
      <w:bookmarkEnd w:id="1302"/>
      <w:bookmarkEnd w:id="1303"/>
      <w:bookmarkEnd w:id="1304"/>
      <w:bookmarkEnd w:id="1305"/>
      <w:bookmarkEnd w:id="1306"/>
    </w:p>
    <w:p w14:paraId="222A8E81" w14:textId="77777777" w:rsidR="002760B2" w:rsidRPr="001B4F9C" w:rsidRDefault="002760B2" w:rsidP="007B64B9">
      <w:pPr>
        <w:pStyle w:val="Default"/>
        <w:tabs>
          <w:tab w:val="left" w:pos="0"/>
        </w:tabs>
        <w:spacing w:before="120" w:line="276" w:lineRule="auto"/>
        <w:ind w:firstLine="709"/>
        <w:rPr>
          <w:spacing w:val="-2"/>
        </w:rPr>
      </w:pPr>
      <w:r w:rsidRPr="001B4F9C">
        <w:rPr>
          <w:spacing w:val="-2"/>
        </w:rPr>
        <w:t>Dans la pratique, l’utilisation des modes de partage des pertes et des pro</w:t>
      </w:r>
      <w:r w:rsidR="00201B23" w:rsidRPr="001B4F9C">
        <w:rPr>
          <w:spacing w:val="-2"/>
        </w:rPr>
        <w:t>fits (3P) est très limitée. Cela</w:t>
      </w:r>
      <w:r w:rsidRPr="001B4F9C">
        <w:rPr>
          <w:spacing w:val="-2"/>
        </w:rPr>
        <w:t xml:space="preserve"> est dû à plusieurs raisons dont certaines concernent les banques </w:t>
      </w:r>
      <w:r w:rsidR="007D045E" w:rsidRPr="001B4F9C">
        <w:rPr>
          <w:spacing w:val="-2"/>
        </w:rPr>
        <w:t>i</w:t>
      </w:r>
      <w:r w:rsidR="003773C6" w:rsidRPr="001B4F9C">
        <w:rPr>
          <w:spacing w:val="-2"/>
        </w:rPr>
        <w:t>slamique</w:t>
      </w:r>
      <w:r w:rsidRPr="001B4F9C">
        <w:rPr>
          <w:spacing w:val="-2"/>
        </w:rPr>
        <w:t xml:space="preserve">s elles-mêmes, et d’autres qui sont inhérentes à la personne de l’associé de la banque (entrepreneur). Les raisons pour lesquelles les entrepreneurs ne préfèrent pas s’associer avec les banques </w:t>
      </w:r>
      <w:r w:rsidR="007D045E" w:rsidRPr="001B4F9C">
        <w:rPr>
          <w:spacing w:val="-2"/>
        </w:rPr>
        <w:t>i</w:t>
      </w:r>
      <w:r w:rsidR="003773C6" w:rsidRPr="001B4F9C">
        <w:rPr>
          <w:spacing w:val="-2"/>
        </w:rPr>
        <w:t>slamique</w:t>
      </w:r>
      <w:r w:rsidRPr="001B4F9C">
        <w:rPr>
          <w:spacing w:val="-2"/>
        </w:rPr>
        <w:t>s dans le cadre des contrats 3P sont multiples. Celles-ci incluent entre autres</w:t>
      </w:r>
      <w:r w:rsidRPr="001B4F9C">
        <w:rPr>
          <w:rStyle w:val="Appelnotedebasdep"/>
          <w:spacing w:val="-2"/>
        </w:rPr>
        <w:footnoteReference w:id="361"/>
      </w:r>
      <w:r w:rsidR="00335967" w:rsidRPr="001B4F9C">
        <w:rPr>
          <w:spacing w:val="-2"/>
        </w:rPr>
        <w:t> :</w:t>
      </w:r>
    </w:p>
    <w:p w14:paraId="55A9B63D" w14:textId="77777777" w:rsidR="002760B2" w:rsidRPr="002B005F" w:rsidRDefault="002760B2" w:rsidP="00CB0FF1">
      <w:pPr>
        <w:pStyle w:val="Paragraphedeliste"/>
        <w:numPr>
          <w:ilvl w:val="0"/>
          <w:numId w:val="19"/>
        </w:numPr>
        <w:tabs>
          <w:tab w:val="left" w:pos="284"/>
          <w:tab w:val="left" w:pos="851"/>
          <w:tab w:val="left" w:pos="993"/>
          <w:tab w:val="left" w:pos="1134"/>
        </w:tabs>
        <w:autoSpaceDE w:val="0"/>
        <w:autoSpaceDN w:val="0"/>
        <w:adjustRightInd w:val="0"/>
        <w:spacing w:before="60"/>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Nécessité de garder et de publier des comptes dé</w:t>
      </w:r>
      <w:r w:rsidR="00201B23" w:rsidRPr="002B005F">
        <w:rPr>
          <w:rFonts w:ascii="Times New Roman" w:hAnsi="Times New Roman" w:cs="Times New Roman"/>
          <w:color w:val="000000"/>
          <w:sz w:val="24"/>
          <w:szCs w:val="24"/>
        </w:rPr>
        <w:t>taillés au profit de la banque.</w:t>
      </w:r>
    </w:p>
    <w:p w14:paraId="6AC13805" w14:textId="77777777" w:rsidR="002760B2" w:rsidRPr="002B005F" w:rsidRDefault="002760B2" w:rsidP="00CB0FF1">
      <w:pPr>
        <w:pStyle w:val="Paragraphedeliste"/>
        <w:numPr>
          <w:ilvl w:val="0"/>
          <w:numId w:val="19"/>
        </w:numPr>
        <w:tabs>
          <w:tab w:val="left" w:pos="284"/>
          <w:tab w:val="left" w:pos="851"/>
          <w:tab w:val="left" w:pos="993"/>
          <w:tab w:val="left" w:pos="1134"/>
        </w:tabs>
        <w:autoSpaceDE w:val="0"/>
        <w:autoSpaceDN w:val="0"/>
        <w:adjustRightInd w:val="0"/>
        <w:spacing w:before="60"/>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Difficulté de prolonger l’investissement dans une entreprise financée par la </w:t>
      </w:r>
      <w:r w:rsidR="004A4E16" w:rsidRPr="002B005F">
        <w:rPr>
          <w:rFonts w:ascii="Times New Roman" w:hAnsi="Times New Roman" w:cs="Times New Roman"/>
          <w:i/>
          <w:color w:val="000000"/>
          <w:sz w:val="24"/>
          <w:szCs w:val="24"/>
        </w:rPr>
        <w:t>moudaraba</w:t>
      </w:r>
      <w:r w:rsidRPr="002B005F">
        <w:rPr>
          <w:rFonts w:ascii="Times New Roman" w:hAnsi="Times New Roman" w:cs="Times New Roman"/>
          <w:color w:val="000000"/>
          <w:sz w:val="24"/>
          <w:szCs w:val="24"/>
        </w:rPr>
        <w:t xml:space="preserve"> du fait des opportunités limitées pour réinvestir les revenus retenus et/ou mo</w:t>
      </w:r>
      <w:r w:rsidR="007D045E" w:rsidRPr="002B005F">
        <w:rPr>
          <w:rFonts w:ascii="Times New Roman" w:hAnsi="Times New Roman" w:cs="Times New Roman"/>
          <w:color w:val="000000"/>
          <w:sz w:val="24"/>
          <w:szCs w:val="24"/>
        </w:rPr>
        <w:t>biliser des fonds additionnels.</w:t>
      </w:r>
    </w:p>
    <w:p w14:paraId="118F0D4F" w14:textId="77777777" w:rsidR="002760B2" w:rsidRPr="002B005F" w:rsidRDefault="002760B2" w:rsidP="00CB0FF1">
      <w:pPr>
        <w:pStyle w:val="Paragraphedeliste"/>
        <w:numPr>
          <w:ilvl w:val="0"/>
          <w:numId w:val="19"/>
        </w:numPr>
        <w:tabs>
          <w:tab w:val="left" w:pos="284"/>
          <w:tab w:val="left" w:pos="851"/>
          <w:tab w:val="left" w:pos="993"/>
          <w:tab w:val="left" w:pos="1134"/>
        </w:tabs>
        <w:autoSpaceDE w:val="0"/>
        <w:autoSpaceDN w:val="0"/>
        <w:adjustRightInd w:val="0"/>
        <w:spacing w:before="60"/>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L’entrepreneur ne pourrait pas devenir le propriétai</w:t>
      </w:r>
      <w:r w:rsidR="00335967" w:rsidRPr="002B005F">
        <w:rPr>
          <w:rFonts w:ascii="Times New Roman" w:hAnsi="Times New Roman" w:cs="Times New Roman"/>
          <w:color w:val="000000"/>
          <w:sz w:val="24"/>
          <w:szCs w:val="24"/>
        </w:rPr>
        <w:t>re unique du projet rapidement :</w:t>
      </w:r>
      <w:r w:rsidRPr="002B005F">
        <w:rPr>
          <w:rFonts w:ascii="Times New Roman" w:hAnsi="Times New Roman" w:cs="Times New Roman"/>
          <w:color w:val="000000"/>
          <w:sz w:val="24"/>
          <w:szCs w:val="24"/>
        </w:rPr>
        <w:t xml:space="preserve"> il faut beaucoup de temps pour que l’entrepreneur devienne le propriétaire du projet e</w:t>
      </w:r>
      <w:r w:rsidR="007D045E" w:rsidRPr="002B005F">
        <w:rPr>
          <w:rFonts w:ascii="Times New Roman" w:hAnsi="Times New Roman" w:cs="Times New Roman"/>
          <w:color w:val="000000"/>
          <w:sz w:val="24"/>
          <w:szCs w:val="24"/>
        </w:rPr>
        <w:t>t que la banque cède ses parts.</w:t>
      </w:r>
    </w:p>
    <w:p w14:paraId="37FE3BFC" w14:textId="77777777" w:rsidR="002760B2" w:rsidRPr="002B005F" w:rsidRDefault="002760B2" w:rsidP="007B64B9">
      <w:pPr>
        <w:pStyle w:val="Default"/>
        <w:tabs>
          <w:tab w:val="left" w:pos="0"/>
          <w:tab w:val="left" w:pos="284"/>
          <w:tab w:val="left" w:pos="851"/>
        </w:tabs>
        <w:spacing w:before="100" w:beforeAutospacing="1" w:line="276" w:lineRule="auto"/>
        <w:ind w:firstLine="709"/>
      </w:pPr>
      <w:r w:rsidRPr="002B005F">
        <w:t xml:space="preserve">De même, il y a certaines raisons pratiques expliquant pourquoi les banques préfèrent les modes à revenu fixe aux financements participatifs. Celles-ci incluent </w:t>
      </w:r>
      <w:r w:rsidR="00335967" w:rsidRPr="002B005F">
        <w:t>notamment :</w:t>
      </w:r>
    </w:p>
    <w:p w14:paraId="2F4FF370" w14:textId="77777777" w:rsidR="002760B2" w:rsidRPr="002B005F" w:rsidRDefault="002760B2" w:rsidP="00CB0FF1">
      <w:pPr>
        <w:pStyle w:val="Paragraphedeliste"/>
        <w:numPr>
          <w:ilvl w:val="0"/>
          <w:numId w:val="20"/>
        </w:numPr>
        <w:tabs>
          <w:tab w:val="left" w:pos="284"/>
          <w:tab w:val="left" w:pos="851"/>
          <w:tab w:val="left" w:pos="993"/>
          <w:tab w:val="left" w:pos="1134"/>
        </w:tabs>
        <w:autoSpaceDE w:val="0"/>
        <w:autoSpaceDN w:val="0"/>
        <w:adjustRightInd w:val="0"/>
        <w:spacing w:before="60"/>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Le risque moral et les problèmes de sélection adverse dans ces contrats. </w:t>
      </w:r>
    </w:p>
    <w:p w14:paraId="293ACEB4" w14:textId="77777777" w:rsidR="002760B2" w:rsidRPr="002B005F" w:rsidRDefault="002760B2" w:rsidP="00CB0FF1">
      <w:pPr>
        <w:pStyle w:val="Default"/>
        <w:numPr>
          <w:ilvl w:val="0"/>
          <w:numId w:val="20"/>
        </w:numPr>
        <w:tabs>
          <w:tab w:val="left" w:pos="284"/>
          <w:tab w:val="left" w:pos="851"/>
          <w:tab w:val="left" w:pos="993"/>
          <w:tab w:val="left" w:pos="1134"/>
        </w:tabs>
        <w:spacing w:before="60" w:line="276" w:lineRule="auto"/>
        <w:ind w:left="1135" w:hanging="284"/>
      </w:pPr>
      <w:r w:rsidRPr="002B005F">
        <w:t>Les coûts sont significativement plus élevés. Le choix du bon projet à financer exige des études de faisabilité et une évaluation technique et financière. Le coût de tels efforts excède souvent ceux des placements à rendement fixe. En outre, les arrangements de partage de pro</w:t>
      </w:r>
      <w:r w:rsidR="00F10EB7" w:rsidRPr="002B005F">
        <w:t>fit exigent l’octroi d’un appui</w:t>
      </w:r>
      <w:r w:rsidRPr="002B005F">
        <w:t xml:space="preserve"> technique et parfois d’un appui financier additionnel aux entrepreneurs</w:t>
      </w:r>
      <w:r w:rsidRPr="002B005F">
        <w:rPr>
          <w:rStyle w:val="Appelnotedebasdep"/>
        </w:rPr>
        <w:footnoteReference w:id="362"/>
      </w:r>
      <w:r w:rsidR="00F10EB7" w:rsidRPr="002B005F">
        <w:t>.</w:t>
      </w:r>
    </w:p>
    <w:p w14:paraId="5018A003" w14:textId="77777777" w:rsidR="002760B2" w:rsidRPr="002B005F" w:rsidRDefault="002760B2" w:rsidP="00CB0FF1">
      <w:pPr>
        <w:pStyle w:val="Paragraphedeliste"/>
        <w:numPr>
          <w:ilvl w:val="0"/>
          <w:numId w:val="20"/>
        </w:numPr>
        <w:tabs>
          <w:tab w:val="left" w:pos="284"/>
          <w:tab w:val="left" w:pos="851"/>
          <w:tab w:val="left" w:pos="993"/>
          <w:tab w:val="left" w:pos="1134"/>
        </w:tabs>
        <w:autoSpaceDE w:val="0"/>
        <w:autoSpaceDN w:val="0"/>
        <w:adjustRightInd w:val="0"/>
        <w:spacing w:before="60"/>
        <w:ind w:left="1135" w:hanging="284"/>
        <w:contextualSpacing w:val="0"/>
        <w:rPr>
          <w:rFonts w:ascii="Times New Roman" w:hAnsi="Times New Roman" w:cs="Times New Roman"/>
          <w:color w:val="000000"/>
          <w:spacing w:val="-2"/>
          <w:sz w:val="24"/>
          <w:szCs w:val="24"/>
        </w:rPr>
      </w:pPr>
      <w:r w:rsidRPr="002B005F">
        <w:rPr>
          <w:rFonts w:ascii="Times New Roman" w:hAnsi="Times New Roman" w:cs="Times New Roman"/>
          <w:color w:val="000000"/>
          <w:spacing w:val="-2"/>
          <w:sz w:val="24"/>
          <w:szCs w:val="24"/>
        </w:rPr>
        <w:t>Du côté du pas</w:t>
      </w:r>
      <w:r w:rsidR="00AB0C0A">
        <w:rPr>
          <w:rFonts w:ascii="Times New Roman" w:hAnsi="Times New Roman" w:cs="Times New Roman"/>
          <w:color w:val="000000"/>
          <w:spacing w:val="-2"/>
          <w:sz w:val="24"/>
          <w:szCs w:val="24"/>
        </w:rPr>
        <w:t>sif, la structure des dépôts de la banque</w:t>
      </w:r>
      <w:r w:rsidRPr="002B005F">
        <w:rPr>
          <w:rFonts w:ascii="Times New Roman" w:hAnsi="Times New Roman" w:cs="Times New Roman"/>
          <w:color w:val="000000"/>
          <w:spacing w:val="-2"/>
          <w:sz w:val="24"/>
          <w:szCs w:val="24"/>
        </w:rPr>
        <w:t xml:space="preserve"> </w:t>
      </w:r>
      <w:r w:rsidR="007D045E" w:rsidRPr="002B005F">
        <w:rPr>
          <w:rFonts w:ascii="Times New Roman" w:hAnsi="Times New Roman" w:cs="Times New Roman"/>
          <w:color w:val="000000"/>
          <w:spacing w:val="-2"/>
          <w:sz w:val="24"/>
          <w:szCs w:val="24"/>
        </w:rPr>
        <w:t>i</w:t>
      </w:r>
      <w:r w:rsidR="003773C6" w:rsidRPr="002B005F">
        <w:rPr>
          <w:rFonts w:ascii="Times New Roman" w:hAnsi="Times New Roman" w:cs="Times New Roman"/>
          <w:color w:val="000000"/>
          <w:spacing w:val="-2"/>
          <w:sz w:val="24"/>
          <w:szCs w:val="24"/>
        </w:rPr>
        <w:t>slamique</w:t>
      </w:r>
      <w:r w:rsidRPr="002B005F">
        <w:rPr>
          <w:rFonts w:ascii="Times New Roman" w:hAnsi="Times New Roman" w:cs="Times New Roman"/>
          <w:color w:val="000000"/>
          <w:spacing w:val="-2"/>
          <w:sz w:val="24"/>
          <w:szCs w:val="24"/>
        </w:rPr>
        <w:t xml:space="preserve"> n’est pas suffisamment à long terme (les comptes d’investissement sont généralement ouverts sur de courtes périodes allant jusqu’à 18 mois). Par conséquent, il serait difficile d’entrer dans des projets qui nécessitent la mobilisation de fonds sur le long terme. Certes</w:t>
      </w:r>
      <w:r w:rsidR="007D045E" w:rsidRPr="002B005F">
        <w:rPr>
          <w:rFonts w:ascii="Times New Roman" w:hAnsi="Times New Roman" w:cs="Times New Roman"/>
          <w:color w:val="000000"/>
          <w:spacing w:val="-2"/>
          <w:sz w:val="24"/>
          <w:szCs w:val="24"/>
        </w:rPr>
        <w:t>, il y a le capital de la banque</w:t>
      </w:r>
      <w:r w:rsidRPr="002B005F">
        <w:rPr>
          <w:rFonts w:ascii="Times New Roman" w:hAnsi="Times New Roman" w:cs="Times New Roman"/>
          <w:color w:val="000000"/>
          <w:spacing w:val="-2"/>
          <w:sz w:val="24"/>
          <w:szCs w:val="24"/>
        </w:rPr>
        <w:t xml:space="preserve"> mais</w:t>
      </w:r>
      <w:r w:rsidR="007D045E" w:rsidRPr="002B005F">
        <w:rPr>
          <w:rFonts w:ascii="Times New Roman" w:hAnsi="Times New Roman" w:cs="Times New Roman"/>
          <w:color w:val="000000"/>
          <w:spacing w:val="-2"/>
          <w:sz w:val="24"/>
          <w:szCs w:val="24"/>
        </w:rPr>
        <w:t>,</w:t>
      </w:r>
      <w:r w:rsidRPr="002B005F">
        <w:rPr>
          <w:rFonts w:ascii="Times New Roman" w:hAnsi="Times New Roman" w:cs="Times New Roman"/>
          <w:color w:val="000000"/>
          <w:spacing w:val="-2"/>
          <w:sz w:val="24"/>
          <w:szCs w:val="24"/>
        </w:rPr>
        <w:t xml:space="preserve"> généralement</w:t>
      </w:r>
      <w:r w:rsidR="007D045E" w:rsidRPr="002B005F">
        <w:rPr>
          <w:rFonts w:ascii="Times New Roman" w:hAnsi="Times New Roman" w:cs="Times New Roman"/>
          <w:color w:val="000000"/>
          <w:spacing w:val="-2"/>
          <w:sz w:val="24"/>
          <w:szCs w:val="24"/>
        </w:rPr>
        <w:t>,</w:t>
      </w:r>
      <w:r w:rsidRPr="002B005F">
        <w:rPr>
          <w:rFonts w:ascii="Times New Roman" w:hAnsi="Times New Roman" w:cs="Times New Roman"/>
          <w:color w:val="000000"/>
          <w:spacing w:val="-2"/>
          <w:sz w:val="24"/>
          <w:szCs w:val="24"/>
        </w:rPr>
        <w:t xml:space="preserve"> ce dernier n’est pas très important pour assurer le financement de p</w:t>
      </w:r>
      <w:r w:rsidR="00F10EB7" w:rsidRPr="002B005F">
        <w:rPr>
          <w:rFonts w:ascii="Times New Roman" w:hAnsi="Times New Roman" w:cs="Times New Roman"/>
          <w:color w:val="000000"/>
          <w:spacing w:val="-2"/>
          <w:sz w:val="24"/>
          <w:szCs w:val="24"/>
        </w:rPr>
        <w:t>lusieurs projets de long terme.</w:t>
      </w:r>
    </w:p>
    <w:p w14:paraId="5BBF7E03" w14:textId="77777777" w:rsidR="002760B2" w:rsidRPr="002B005F" w:rsidRDefault="002760B2" w:rsidP="00CB0FF1">
      <w:pPr>
        <w:pStyle w:val="Paragraphedeliste"/>
        <w:numPr>
          <w:ilvl w:val="0"/>
          <w:numId w:val="20"/>
        </w:numPr>
        <w:tabs>
          <w:tab w:val="left" w:pos="284"/>
          <w:tab w:val="left" w:pos="851"/>
          <w:tab w:val="left" w:pos="993"/>
          <w:tab w:val="left" w:pos="1134"/>
        </w:tabs>
        <w:autoSpaceDE w:val="0"/>
        <w:autoSpaceDN w:val="0"/>
        <w:adjustRightInd w:val="0"/>
        <w:spacing w:before="60"/>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Les contrats 3P exigent beaucoup d’informations sur les capacités managériales du client. Ceci pourrait ne pas être fac</w:t>
      </w:r>
      <w:r w:rsidR="00F10EB7" w:rsidRPr="002B005F">
        <w:rPr>
          <w:rFonts w:ascii="Times New Roman" w:hAnsi="Times New Roman" w:cs="Times New Roman"/>
          <w:color w:val="000000"/>
          <w:sz w:val="24"/>
          <w:szCs w:val="24"/>
        </w:rPr>
        <w:t>ilement disponible à la banque.</w:t>
      </w:r>
    </w:p>
    <w:p w14:paraId="5C521AA5" w14:textId="77777777" w:rsidR="002760B2" w:rsidRPr="002B005F" w:rsidRDefault="002760B2" w:rsidP="00EF2A4F">
      <w:pPr>
        <w:pStyle w:val="Paragraphedeliste"/>
        <w:tabs>
          <w:tab w:val="left" w:pos="0"/>
          <w:tab w:val="left" w:pos="284"/>
          <w:tab w:val="left" w:pos="709"/>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color w:val="000000"/>
          <w:sz w:val="24"/>
          <w:szCs w:val="24"/>
        </w:rPr>
        <w:lastRenderedPageBreak/>
        <w:t xml:space="preserve">Dans le même contexte, </w:t>
      </w:r>
      <w:r w:rsidRPr="002B005F">
        <w:rPr>
          <w:rFonts w:ascii="Times New Roman" w:hAnsi="Times New Roman" w:cs="Times New Roman"/>
          <w:smallCaps/>
          <w:color w:val="000000"/>
          <w:sz w:val="24"/>
          <w:szCs w:val="24"/>
        </w:rPr>
        <w:t>Ben Jedidia</w:t>
      </w:r>
      <w:r w:rsidRPr="002B005F">
        <w:rPr>
          <w:rFonts w:ascii="Times New Roman" w:hAnsi="Times New Roman" w:cs="Times New Roman"/>
          <w:color w:val="000000"/>
          <w:sz w:val="24"/>
          <w:szCs w:val="24"/>
        </w:rPr>
        <w:t xml:space="preserve"> suggère que </w:t>
      </w:r>
      <w:r w:rsidR="007D045E" w:rsidRPr="002B005F">
        <w:rPr>
          <w:rFonts w:ascii="Times New Roman" w:hAnsi="Times New Roman" w:cs="Times New Roman"/>
          <w:sz w:val="24"/>
          <w:szCs w:val="24"/>
        </w:rPr>
        <w:t>les modes</w:t>
      </w:r>
      <w:r w:rsidRPr="002B005F">
        <w:rPr>
          <w:rFonts w:ascii="Times New Roman" w:hAnsi="Times New Roman" w:cs="Times New Roman"/>
          <w:sz w:val="24"/>
          <w:szCs w:val="24"/>
        </w:rPr>
        <w:t xml:space="preserve"> financiers participatifs se trouvent face à plusieurs problèmes dont</w:t>
      </w:r>
      <w:r w:rsidRPr="002B005F">
        <w:rPr>
          <w:rStyle w:val="Appelnotedebasdep"/>
          <w:rFonts w:ascii="Times New Roman" w:hAnsi="Times New Roman"/>
          <w:sz w:val="24"/>
          <w:szCs w:val="24"/>
        </w:rPr>
        <w:footnoteReference w:id="363"/>
      </w:r>
      <w:r w:rsidR="004A4E16" w:rsidRPr="002B005F">
        <w:rPr>
          <w:rFonts w:ascii="Times New Roman" w:hAnsi="Times New Roman" w:cs="Times New Roman"/>
          <w:sz w:val="24"/>
          <w:szCs w:val="24"/>
        </w:rPr>
        <w:t> :</w:t>
      </w:r>
    </w:p>
    <w:p w14:paraId="54D518D0" w14:textId="77777777" w:rsidR="002760B2" w:rsidRPr="002B005F" w:rsidRDefault="002760B2" w:rsidP="00CB0FF1">
      <w:pPr>
        <w:pStyle w:val="Paragraphedeliste"/>
        <w:numPr>
          <w:ilvl w:val="0"/>
          <w:numId w:val="65"/>
        </w:numPr>
        <w:tabs>
          <w:tab w:val="left" w:pos="0"/>
          <w:tab w:val="left" w:pos="709"/>
        </w:tabs>
        <w:autoSpaceDE w:val="0"/>
        <w:autoSpaceDN w:val="0"/>
        <w:adjustRightInd w:val="0"/>
        <w:spacing w:before="60" w:line="300" w:lineRule="auto"/>
        <w:ind w:left="1135" w:hanging="284"/>
        <w:contextualSpacing w:val="0"/>
        <w:rPr>
          <w:rFonts w:ascii="Times New Roman" w:hAnsi="Times New Roman" w:cs="Times New Roman"/>
          <w:i/>
          <w:iCs/>
          <w:color w:val="000000"/>
          <w:sz w:val="24"/>
          <w:szCs w:val="24"/>
        </w:rPr>
      </w:pPr>
      <w:r w:rsidRPr="006E2CCF">
        <w:rPr>
          <w:rFonts w:ascii="Times New Roman" w:hAnsi="Times New Roman" w:cs="Times New Roman"/>
          <w:color w:val="000000"/>
          <w:sz w:val="24"/>
          <w:szCs w:val="24"/>
        </w:rPr>
        <w:t xml:space="preserve">Le déséquilibre entre le management et les droits de contrôle, entre les banques </w:t>
      </w:r>
      <w:r w:rsidR="007D045E" w:rsidRPr="006E2CCF">
        <w:rPr>
          <w:rFonts w:ascii="Times New Roman" w:hAnsi="Times New Roman" w:cs="Times New Roman"/>
          <w:color w:val="000000"/>
          <w:sz w:val="24"/>
          <w:szCs w:val="24"/>
        </w:rPr>
        <w:t>i</w:t>
      </w:r>
      <w:r w:rsidR="003773C6" w:rsidRPr="006E2CCF">
        <w:rPr>
          <w:rFonts w:ascii="Times New Roman" w:hAnsi="Times New Roman" w:cs="Times New Roman"/>
          <w:color w:val="000000"/>
          <w:sz w:val="24"/>
          <w:szCs w:val="24"/>
        </w:rPr>
        <w:t>slamique</w:t>
      </w:r>
      <w:r w:rsidRPr="006E2CCF">
        <w:rPr>
          <w:rFonts w:ascii="Times New Roman" w:hAnsi="Times New Roman" w:cs="Times New Roman"/>
          <w:color w:val="000000"/>
          <w:sz w:val="24"/>
          <w:szCs w:val="24"/>
        </w:rPr>
        <w:t>s et les managers des firmes, ce qui accentue le problème d’agence</w:t>
      </w:r>
      <w:r w:rsidRPr="002B005F">
        <w:rPr>
          <w:rStyle w:val="Appelnotedebasdep"/>
          <w:rFonts w:ascii="Times New Roman" w:hAnsi="Times New Roman"/>
          <w:i/>
          <w:iCs/>
          <w:color w:val="000000"/>
          <w:sz w:val="24"/>
          <w:szCs w:val="24"/>
        </w:rPr>
        <w:footnoteReference w:id="364"/>
      </w:r>
      <w:r w:rsidR="00F10EB7" w:rsidRPr="002B005F">
        <w:rPr>
          <w:rFonts w:ascii="Times New Roman" w:hAnsi="Times New Roman" w:cs="Times New Roman"/>
          <w:i/>
          <w:iCs/>
          <w:color w:val="000000"/>
          <w:sz w:val="24"/>
          <w:szCs w:val="24"/>
        </w:rPr>
        <w:t>.</w:t>
      </w:r>
    </w:p>
    <w:p w14:paraId="0E25BA7C" w14:textId="77777777" w:rsidR="002760B2" w:rsidRPr="002B005F" w:rsidRDefault="002760B2" w:rsidP="00CB0FF1">
      <w:pPr>
        <w:pStyle w:val="Paragraphedeliste"/>
        <w:numPr>
          <w:ilvl w:val="0"/>
          <w:numId w:val="65"/>
        </w:numPr>
        <w:tabs>
          <w:tab w:val="left" w:pos="0"/>
        </w:tabs>
        <w:autoSpaceDE w:val="0"/>
        <w:autoSpaceDN w:val="0"/>
        <w:adjustRightInd w:val="0"/>
        <w:spacing w:before="6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Les systèmes de droits de propriétés sont mal définis et insuffisamment protégés dans les pays musulmans, ceci rend impossible le partage des profits et des pertes</w:t>
      </w:r>
      <w:r w:rsidRPr="002B005F">
        <w:rPr>
          <w:rStyle w:val="Appelnotedebasdep"/>
          <w:rFonts w:ascii="Times New Roman" w:hAnsi="Times New Roman"/>
          <w:color w:val="000000"/>
          <w:sz w:val="24"/>
          <w:szCs w:val="24"/>
        </w:rPr>
        <w:footnoteReference w:id="365"/>
      </w:r>
      <w:r w:rsidR="00F10EB7" w:rsidRPr="002B005F">
        <w:rPr>
          <w:rFonts w:ascii="Times New Roman" w:hAnsi="Times New Roman" w:cs="Times New Roman"/>
          <w:color w:val="000000"/>
          <w:sz w:val="24"/>
          <w:szCs w:val="24"/>
        </w:rPr>
        <w:t>.</w:t>
      </w:r>
    </w:p>
    <w:p w14:paraId="586FCF22" w14:textId="77777777" w:rsidR="002760B2" w:rsidRPr="002B005F" w:rsidRDefault="002760B2" w:rsidP="00CB0FF1">
      <w:pPr>
        <w:pStyle w:val="Paragraphedeliste"/>
        <w:numPr>
          <w:ilvl w:val="0"/>
          <w:numId w:val="65"/>
        </w:numPr>
        <w:tabs>
          <w:tab w:val="left" w:pos="0"/>
        </w:tabs>
        <w:autoSpaceDE w:val="0"/>
        <w:autoSpaceDN w:val="0"/>
        <w:adjustRightInd w:val="0"/>
        <w:spacing w:before="6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La cohabitation du système bancaire </w:t>
      </w:r>
      <w:r w:rsidR="007D045E" w:rsidRPr="002B005F">
        <w:rPr>
          <w:rFonts w:ascii="Times New Roman" w:hAnsi="Times New Roman" w:cs="Times New Roman"/>
          <w:color w:val="000000"/>
          <w:sz w:val="24"/>
          <w:szCs w:val="24"/>
        </w:rPr>
        <w:t>i</w:t>
      </w:r>
      <w:r w:rsidR="003773C6" w:rsidRPr="002B005F">
        <w:rPr>
          <w:rFonts w:ascii="Times New Roman" w:hAnsi="Times New Roman" w:cs="Times New Roman"/>
          <w:color w:val="000000"/>
          <w:sz w:val="24"/>
          <w:szCs w:val="24"/>
        </w:rPr>
        <w:t>slamique</w:t>
      </w:r>
      <w:r w:rsidRPr="002B005F">
        <w:rPr>
          <w:rFonts w:ascii="Times New Roman" w:hAnsi="Times New Roman" w:cs="Times New Roman"/>
          <w:color w:val="000000"/>
          <w:sz w:val="24"/>
          <w:szCs w:val="24"/>
        </w:rPr>
        <w:t xml:space="preserve"> et du système bancaire conventionnel n’est pas efficace</w:t>
      </w:r>
      <w:r w:rsidRPr="002B005F">
        <w:rPr>
          <w:rStyle w:val="Appelnotedebasdep"/>
          <w:rFonts w:ascii="Times New Roman" w:hAnsi="Times New Roman"/>
          <w:color w:val="000000"/>
          <w:sz w:val="24"/>
          <w:szCs w:val="24"/>
        </w:rPr>
        <w:footnoteReference w:id="366"/>
      </w:r>
      <w:r w:rsidRPr="002B005F">
        <w:rPr>
          <w:rFonts w:ascii="Times New Roman" w:hAnsi="Times New Roman" w:cs="Times New Roman"/>
          <w:color w:val="000000"/>
          <w:sz w:val="24"/>
          <w:szCs w:val="24"/>
        </w:rPr>
        <w:t xml:space="preserve">. La concurrence conduit les banques </w:t>
      </w:r>
      <w:r w:rsidR="007D045E" w:rsidRPr="002B005F">
        <w:rPr>
          <w:rFonts w:ascii="Times New Roman" w:hAnsi="Times New Roman" w:cs="Times New Roman"/>
          <w:color w:val="000000"/>
          <w:sz w:val="24"/>
          <w:szCs w:val="24"/>
        </w:rPr>
        <w:t>i</w:t>
      </w:r>
      <w:r w:rsidR="003773C6" w:rsidRPr="002B005F">
        <w:rPr>
          <w:rFonts w:ascii="Times New Roman" w:hAnsi="Times New Roman" w:cs="Times New Roman"/>
          <w:color w:val="000000"/>
          <w:sz w:val="24"/>
          <w:szCs w:val="24"/>
        </w:rPr>
        <w:t>slamique</w:t>
      </w:r>
      <w:r w:rsidRPr="002B005F">
        <w:rPr>
          <w:rFonts w:ascii="Times New Roman" w:hAnsi="Times New Roman" w:cs="Times New Roman"/>
          <w:color w:val="000000"/>
          <w:sz w:val="24"/>
          <w:szCs w:val="24"/>
        </w:rPr>
        <w:t>s à privilégier des financements moins risqués à court te</w:t>
      </w:r>
      <w:r w:rsidR="00F10EB7" w:rsidRPr="002B005F">
        <w:rPr>
          <w:rFonts w:ascii="Times New Roman" w:hAnsi="Times New Roman" w:cs="Times New Roman"/>
          <w:color w:val="000000"/>
          <w:sz w:val="24"/>
          <w:szCs w:val="24"/>
        </w:rPr>
        <w:t>rme plutôt que ceux de partage.</w:t>
      </w:r>
    </w:p>
    <w:p w14:paraId="546A2C02" w14:textId="77777777" w:rsidR="002760B2" w:rsidRPr="002B005F" w:rsidRDefault="002760B2" w:rsidP="00CB0FF1">
      <w:pPr>
        <w:pStyle w:val="Paragraphedeliste"/>
        <w:numPr>
          <w:ilvl w:val="0"/>
          <w:numId w:val="65"/>
        </w:numPr>
        <w:tabs>
          <w:tab w:val="left" w:pos="0"/>
        </w:tabs>
        <w:autoSpaceDE w:val="0"/>
        <w:autoSpaceDN w:val="0"/>
        <w:adjustRightInd w:val="0"/>
        <w:spacing w:before="6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La discrimination fisca</w:t>
      </w:r>
      <w:r w:rsidR="00F10EB7" w:rsidRPr="002B005F">
        <w:rPr>
          <w:rFonts w:ascii="Times New Roman" w:hAnsi="Times New Roman" w:cs="Times New Roman"/>
          <w:color w:val="000000"/>
          <w:sz w:val="24"/>
          <w:szCs w:val="24"/>
        </w:rPr>
        <w:t>le heurte les financements PLS :</w:t>
      </w:r>
      <w:r w:rsidRPr="002B005F">
        <w:rPr>
          <w:rFonts w:ascii="Times New Roman" w:hAnsi="Times New Roman" w:cs="Times New Roman"/>
          <w:color w:val="000000"/>
          <w:sz w:val="24"/>
          <w:szCs w:val="24"/>
        </w:rPr>
        <w:t xml:space="preserve"> le profit de l’entreprise est taxé alors que les intérêts payés sont considérés</w:t>
      </w:r>
      <w:r w:rsidR="00F10EB7" w:rsidRPr="002B005F">
        <w:rPr>
          <w:rFonts w:ascii="Times New Roman" w:hAnsi="Times New Roman" w:cs="Times New Roman"/>
          <w:color w:val="000000"/>
          <w:sz w:val="24"/>
          <w:szCs w:val="24"/>
        </w:rPr>
        <w:t xml:space="preserve"> comme des coûts de production.</w:t>
      </w:r>
    </w:p>
    <w:p w14:paraId="08272EB5" w14:textId="77777777" w:rsidR="002760B2" w:rsidRPr="002B005F" w:rsidRDefault="002760B2" w:rsidP="00CB0FF1">
      <w:pPr>
        <w:pStyle w:val="Default"/>
        <w:numPr>
          <w:ilvl w:val="0"/>
          <w:numId w:val="65"/>
        </w:numPr>
        <w:tabs>
          <w:tab w:val="left" w:pos="0"/>
        </w:tabs>
        <w:spacing w:before="60" w:line="300" w:lineRule="auto"/>
        <w:ind w:left="1135" w:hanging="284"/>
        <w:rPr>
          <w:spacing w:val="-4"/>
        </w:rPr>
      </w:pPr>
      <w:r w:rsidRPr="002B005F">
        <w:rPr>
          <w:spacing w:val="-4"/>
        </w:rPr>
        <w:t xml:space="preserve">Le manque des instruments de liquidité de court terme (surtout les titres publics) respectant la religion et des garanties de refinancement sans taux d’intérêt conduit les banques </w:t>
      </w:r>
      <w:r w:rsidR="007D045E" w:rsidRPr="002B005F">
        <w:rPr>
          <w:spacing w:val="-4"/>
        </w:rPr>
        <w:t>i</w:t>
      </w:r>
      <w:r w:rsidR="003773C6" w:rsidRPr="002B005F">
        <w:rPr>
          <w:spacing w:val="-4"/>
        </w:rPr>
        <w:t>slamique</w:t>
      </w:r>
      <w:r w:rsidRPr="002B005F">
        <w:rPr>
          <w:spacing w:val="-4"/>
        </w:rPr>
        <w:t xml:space="preserve">s à assurer leur propre assurance et à garder plus de liquidité afin de garantir les déposants et préserver la confiance. Les banques </w:t>
      </w:r>
      <w:r w:rsidR="007D045E" w:rsidRPr="002B005F">
        <w:rPr>
          <w:spacing w:val="-4"/>
        </w:rPr>
        <w:t>i</w:t>
      </w:r>
      <w:r w:rsidR="003773C6" w:rsidRPr="002B005F">
        <w:rPr>
          <w:spacing w:val="-4"/>
        </w:rPr>
        <w:t>slamique</w:t>
      </w:r>
      <w:r w:rsidRPr="002B005F">
        <w:rPr>
          <w:spacing w:val="-4"/>
        </w:rPr>
        <w:t>s détiennent 40% plus de liquidité que les banques conventionnelles</w:t>
      </w:r>
      <w:r w:rsidRPr="002B005F">
        <w:rPr>
          <w:rStyle w:val="Appelnotedebasdep"/>
          <w:spacing w:val="-4"/>
        </w:rPr>
        <w:footnoteReference w:id="367"/>
      </w:r>
      <w:r w:rsidRPr="002B005F">
        <w:rPr>
          <w:spacing w:val="-4"/>
        </w:rPr>
        <w:t xml:space="preserve">. Or, ceci constitue un coût d’opportunité pour les banques au détriment de </w:t>
      </w:r>
      <w:r w:rsidR="00F10EB7" w:rsidRPr="002B005F">
        <w:rPr>
          <w:spacing w:val="-4"/>
        </w:rPr>
        <w:t>l’intermédiation participative.</w:t>
      </w:r>
    </w:p>
    <w:p w14:paraId="62379165" w14:textId="77777777" w:rsidR="002760B2" w:rsidRPr="002B005F" w:rsidRDefault="002760B2" w:rsidP="00CB0FF1">
      <w:pPr>
        <w:pStyle w:val="Paragraphedeliste"/>
        <w:numPr>
          <w:ilvl w:val="0"/>
          <w:numId w:val="65"/>
        </w:numPr>
        <w:tabs>
          <w:tab w:val="left" w:pos="0"/>
        </w:tabs>
        <w:autoSpaceDE w:val="0"/>
        <w:autoSpaceDN w:val="0"/>
        <w:adjustRightInd w:val="0"/>
        <w:spacing w:before="6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Au niveau de la banque, la structure organisationnelle de la plupart des banques </w:t>
      </w:r>
      <w:r w:rsidR="005653E9">
        <w:rPr>
          <w:rFonts w:ascii="Times New Roman" w:hAnsi="Times New Roman" w:cs="Times New Roman"/>
          <w:color w:val="000000"/>
          <w:sz w:val="24"/>
          <w:szCs w:val="24"/>
        </w:rPr>
        <w:t>i</w:t>
      </w:r>
      <w:r w:rsidR="003773C6" w:rsidRPr="002B005F">
        <w:rPr>
          <w:rFonts w:ascii="Times New Roman" w:hAnsi="Times New Roman" w:cs="Times New Roman"/>
          <w:color w:val="000000"/>
          <w:sz w:val="24"/>
          <w:szCs w:val="24"/>
        </w:rPr>
        <w:t>slamique</w:t>
      </w:r>
      <w:r w:rsidRPr="002B005F">
        <w:rPr>
          <w:rFonts w:ascii="Times New Roman" w:hAnsi="Times New Roman" w:cs="Times New Roman"/>
          <w:color w:val="000000"/>
          <w:sz w:val="24"/>
          <w:szCs w:val="24"/>
        </w:rPr>
        <w:t xml:space="preserve">s n’est pas favorable à l’intermédiation participative. Aussi, l’intermédiation de partage est affectée par la petite taille des banques </w:t>
      </w:r>
      <w:r w:rsidR="007D045E" w:rsidRPr="002B005F">
        <w:rPr>
          <w:rFonts w:ascii="Times New Roman" w:hAnsi="Times New Roman" w:cs="Times New Roman"/>
          <w:color w:val="000000"/>
          <w:sz w:val="24"/>
          <w:szCs w:val="24"/>
        </w:rPr>
        <w:t>i</w:t>
      </w:r>
      <w:r w:rsidR="003773C6" w:rsidRPr="002B005F">
        <w:rPr>
          <w:rFonts w:ascii="Times New Roman" w:hAnsi="Times New Roman" w:cs="Times New Roman"/>
          <w:color w:val="000000"/>
          <w:sz w:val="24"/>
          <w:szCs w:val="24"/>
        </w:rPr>
        <w:t>slamique</w:t>
      </w:r>
      <w:r w:rsidRPr="002B005F">
        <w:rPr>
          <w:rFonts w:ascii="Times New Roman" w:hAnsi="Times New Roman" w:cs="Times New Roman"/>
          <w:color w:val="000000"/>
          <w:sz w:val="24"/>
          <w:szCs w:val="24"/>
        </w:rPr>
        <w:t>s.</w:t>
      </w:r>
    </w:p>
    <w:p w14:paraId="08D1C003" w14:textId="77777777" w:rsidR="002760B2" w:rsidRPr="002B005F" w:rsidRDefault="007D045E" w:rsidP="007B64B9">
      <w:pPr>
        <w:pStyle w:val="Titre4"/>
        <w:keepNext w:val="0"/>
        <w:spacing w:before="100" w:beforeAutospacing="1" w:after="120" w:line="300" w:lineRule="auto"/>
        <w:ind w:firstLine="709"/>
      </w:pPr>
      <w:bookmarkStart w:id="1307" w:name="_Toc33263349"/>
      <w:bookmarkStart w:id="1308" w:name="_Toc37664612"/>
      <w:bookmarkStart w:id="1309" w:name="_Toc37666457"/>
      <w:bookmarkStart w:id="1310" w:name="_Toc54363354"/>
      <w:bookmarkStart w:id="1311" w:name="_Toc58606342"/>
      <w:bookmarkStart w:id="1312" w:name="_Toc61263547"/>
      <w:bookmarkStart w:id="1313" w:name="_Toc182298856"/>
      <w:r w:rsidRPr="002B005F">
        <w:t xml:space="preserve">2.2.2- </w:t>
      </w:r>
      <w:r w:rsidR="002760B2" w:rsidRPr="002B005F">
        <w:t>Arguments sur la pratique actuelle des BI</w:t>
      </w:r>
      <w:bookmarkEnd w:id="1307"/>
      <w:bookmarkEnd w:id="1308"/>
      <w:bookmarkEnd w:id="1309"/>
      <w:bookmarkEnd w:id="1310"/>
      <w:bookmarkEnd w:id="1311"/>
      <w:bookmarkEnd w:id="1312"/>
      <w:bookmarkEnd w:id="1313"/>
    </w:p>
    <w:p w14:paraId="71BFF147" w14:textId="77777777" w:rsidR="002760B2" w:rsidRPr="002B005F" w:rsidRDefault="002760B2" w:rsidP="00EF2A4F">
      <w:pPr>
        <w:pStyle w:val="Default"/>
        <w:tabs>
          <w:tab w:val="left" w:pos="0"/>
        </w:tabs>
        <w:spacing w:before="120" w:line="300" w:lineRule="auto"/>
        <w:ind w:firstLine="709"/>
      </w:pPr>
      <w:r w:rsidRPr="002B005F">
        <w:t xml:space="preserve">Les jurisconsultes ont bâti leurs espoirs sur les banques </w:t>
      </w:r>
      <w:r w:rsidR="00947C06">
        <w:t>i</w:t>
      </w:r>
      <w:r w:rsidR="003773C6" w:rsidRPr="002B005F">
        <w:t>slamique</w:t>
      </w:r>
      <w:r w:rsidRPr="002B005F">
        <w:t>s pour qu’elles fournissent un volume significatif de financement basé sur le principe de partage des pertes et des profits, car ceci pourrait avoir des effets économiques similaires à l’investissement direct et avoir un grand impact sur le développement économique de la société</w:t>
      </w:r>
      <w:r w:rsidRPr="002B005F">
        <w:rPr>
          <w:rStyle w:val="Appelnotedebasdep"/>
        </w:rPr>
        <w:footnoteReference w:id="368"/>
      </w:r>
      <w:r w:rsidRPr="002B005F">
        <w:t>.</w:t>
      </w:r>
      <w:r w:rsidR="00F10EB7" w:rsidRPr="002B005F">
        <w:t xml:space="preserve"> </w:t>
      </w:r>
      <w:r w:rsidRPr="002B005F">
        <w:t xml:space="preserve">Cependant, en recourant massivement aux modes de financement à revenu fixe, les banques </w:t>
      </w:r>
      <w:r w:rsidR="00474BF5" w:rsidRPr="002B005F">
        <w:t>i</w:t>
      </w:r>
      <w:r w:rsidR="003773C6" w:rsidRPr="002B005F">
        <w:t>slamique</w:t>
      </w:r>
      <w:r w:rsidRPr="002B005F">
        <w:t>s n’ont pas assuré ce rôle. Pire, l’investissement basé sur le principe des 3P est demeuré négligeable dans les opé</w:t>
      </w:r>
      <w:r w:rsidR="00201B23" w:rsidRPr="002B005F">
        <w:t xml:space="preserve">rations des banques </w:t>
      </w:r>
      <w:r w:rsidR="007D045E" w:rsidRPr="002B005F">
        <w:t>i</w:t>
      </w:r>
      <w:r w:rsidR="003773C6" w:rsidRPr="002B005F">
        <w:t>slamique</w:t>
      </w:r>
      <w:r w:rsidR="00201B23" w:rsidRPr="002B005F">
        <w:t>s.</w:t>
      </w:r>
    </w:p>
    <w:p w14:paraId="6B9827DA" w14:textId="26AD6B31" w:rsidR="002760B2" w:rsidRPr="002B005F" w:rsidRDefault="002760B2" w:rsidP="005337F7">
      <w:pPr>
        <w:pStyle w:val="Default"/>
        <w:tabs>
          <w:tab w:val="left" w:pos="0"/>
        </w:tabs>
        <w:spacing w:before="120" w:line="300" w:lineRule="auto"/>
        <w:ind w:firstLine="709"/>
      </w:pPr>
      <w:r w:rsidRPr="002B005F">
        <w:t xml:space="preserve">Ces spécialistes avancent même que, si jamais les banques </w:t>
      </w:r>
      <w:r w:rsidR="007D045E" w:rsidRPr="002B005F">
        <w:t>i</w:t>
      </w:r>
      <w:r w:rsidR="003773C6" w:rsidRPr="002B005F">
        <w:t>slamique</w:t>
      </w:r>
      <w:r w:rsidRPr="002B005F">
        <w:t xml:space="preserve">s devaient concentrer leurs financements autour d’une technique ou d’un contrat en particulier, ce n’est </w:t>
      </w:r>
      <w:r w:rsidRPr="002B005F">
        <w:lastRenderedPageBreak/>
        <w:t xml:space="preserve">évidemment pas le contrat de </w:t>
      </w:r>
      <w:r w:rsidRPr="002B005F">
        <w:rPr>
          <w:i/>
          <w:iCs/>
        </w:rPr>
        <w:t>mourabaha</w:t>
      </w:r>
      <w:r w:rsidRPr="002B005F">
        <w:t xml:space="preserve"> (et les techniques à revenu fixe d’une maniè</w:t>
      </w:r>
      <w:r w:rsidR="007D045E" w:rsidRPr="002B005F">
        <w:t>re générale) qui doit être visé</w:t>
      </w:r>
      <w:r w:rsidRPr="002B005F">
        <w:t xml:space="preserve"> mais</w:t>
      </w:r>
      <w:r w:rsidR="007D045E" w:rsidRPr="002B005F">
        <w:t>,</w:t>
      </w:r>
      <w:r w:rsidRPr="002B005F">
        <w:t xml:space="preserve"> plutôt les contrats participatifs.</w:t>
      </w:r>
    </w:p>
    <w:p w14:paraId="473DC829" w14:textId="765BA371" w:rsidR="002760B2" w:rsidRPr="002B005F" w:rsidRDefault="00474BF5" w:rsidP="00EF2A4F">
      <w:pPr>
        <w:tabs>
          <w:tab w:val="left" w:pos="0"/>
          <w:tab w:val="left" w:pos="2127"/>
        </w:tabs>
        <w:autoSpaceDE w:val="0"/>
        <w:autoSpaceDN w:val="0"/>
        <w:adjustRightInd w:val="0"/>
        <w:spacing w:before="120" w:line="300" w:lineRule="auto"/>
        <w:ind w:firstLine="709"/>
        <w:rPr>
          <w:rFonts w:ascii="Times New Roman" w:hAnsi="Times New Roman" w:cs="Times New Roman"/>
          <w:color w:val="000000"/>
          <w:sz w:val="24"/>
          <w:szCs w:val="24"/>
          <w:lang w:val="en-GB"/>
        </w:rPr>
      </w:pPr>
      <w:r w:rsidRPr="002B005F">
        <w:rPr>
          <w:rFonts w:ascii="Times New Roman" w:hAnsi="Times New Roman" w:cs="Times New Roman"/>
          <w:smallCaps/>
          <w:sz w:val="24"/>
          <w:szCs w:val="24"/>
          <w:lang w:val="en-GB"/>
        </w:rPr>
        <w:t>Khurshid</w:t>
      </w:r>
      <w:r w:rsidR="00264203">
        <w:rPr>
          <w:rFonts w:ascii="Times New Roman" w:hAnsi="Times New Roman" w:cs="Times New Roman"/>
          <w:color w:val="000000"/>
          <w:sz w:val="24"/>
          <w:szCs w:val="24"/>
          <w:lang w:val="en-GB"/>
        </w:rPr>
        <w:t xml:space="preserve"> dé</w:t>
      </w:r>
      <w:r w:rsidR="002760B2" w:rsidRPr="002B005F">
        <w:rPr>
          <w:rFonts w:ascii="Times New Roman" w:hAnsi="Times New Roman" w:cs="Times New Roman"/>
          <w:color w:val="000000"/>
          <w:sz w:val="24"/>
          <w:szCs w:val="24"/>
          <w:lang w:val="en-GB"/>
        </w:rPr>
        <w:t>nonce ces</w:t>
      </w:r>
      <w:r w:rsidR="00264203">
        <w:rPr>
          <w:rFonts w:ascii="Times New Roman" w:hAnsi="Times New Roman" w:cs="Times New Roman"/>
          <w:color w:val="000000"/>
          <w:sz w:val="24"/>
          <w:szCs w:val="24"/>
          <w:lang w:val="en-GB"/>
        </w:rPr>
        <w:t xml:space="preserve"> </w:t>
      </w:r>
      <w:r w:rsidR="00F10EB7" w:rsidRPr="002B005F">
        <w:rPr>
          <w:rFonts w:ascii="Times New Roman" w:hAnsi="Times New Roman" w:cs="Times New Roman"/>
          <w:color w:val="000000"/>
          <w:sz w:val="24"/>
          <w:szCs w:val="24"/>
          <w:lang w:val="en-GB"/>
        </w:rPr>
        <w:t>modes de financement</w:t>
      </w:r>
      <w:r w:rsidR="00264203" w:rsidRPr="00264203">
        <w:rPr>
          <w:rFonts w:ascii="Times New Roman" w:hAnsi="Times New Roman" w:cs="Times New Roman"/>
          <w:color w:val="000000"/>
          <w:sz w:val="24"/>
          <w:szCs w:val="24"/>
          <w:lang w:val="en-GB"/>
        </w:rPr>
        <w:t> </w:t>
      </w:r>
      <w:r w:rsidR="00264203">
        <w:rPr>
          <w:rFonts w:ascii="Times New Roman" w:hAnsi="Times New Roman" w:cs="Times New Roman"/>
          <w:color w:val="000000"/>
          <w:sz w:val="24"/>
          <w:szCs w:val="24"/>
          <w:lang w:val="en-GB"/>
        </w:rPr>
        <w:t>:</w:t>
      </w:r>
      <w:r w:rsidR="002760B2" w:rsidRPr="002B005F">
        <w:rPr>
          <w:rFonts w:ascii="Times New Roman" w:hAnsi="Times New Roman" w:cs="Times New Roman"/>
          <w:color w:val="000000"/>
          <w:sz w:val="24"/>
          <w:szCs w:val="24"/>
          <w:lang w:val="en-GB"/>
        </w:rPr>
        <w:t xml:space="preserve"> </w:t>
      </w:r>
      <w:r w:rsidR="004A4E16" w:rsidRPr="002B005F">
        <w:rPr>
          <w:rFonts w:ascii="Times New Roman" w:hAnsi="Times New Roman" w:cs="Times New Roman"/>
          <w:color w:val="000000"/>
          <w:sz w:val="24"/>
          <w:szCs w:val="24"/>
          <w:lang w:val="en-GB"/>
        </w:rPr>
        <w:t>“</w:t>
      </w:r>
      <w:r w:rsidR="002760B2" w:rsidRPr="002B005F">
        <w:rPr>
          <w:rFonts w:ascii="Times New Roman" w:hAnsi="Times New Roman" w:cs="Times New Roman"/>
          <w:i/>
          <w:iCs/>
          <w:color w:val="000000"/>
          <w:sz w:val="24"/>
          <w:szCs w:val="24"/>
          <w:lang w:val="en-GB"/>
        </w:rPr>
        <w:t>It emerges that it is practically impossible for large banks or the banking system to practice the modes like mark-up, Bai‘salam, buy back, mourabaha, etc, in a way that fulfils the Sharia</w:t>
      </w:r>
      <w:r w:rsidR="00DB4926">
        <w:rPr>
          <w:rFonts w:ascii="Times New Roman" w:hAnsi="Times New Roman" w:cs="Times New Roman"/>
          <w:i/>
          <w:iCs/>
          <w:color w:val="000000"/>
          <w:sz w:val="24"/>
          <w:szCs w:val="24"/>
          <w:lang w:val="en-GB"/>
        </w:rPr>
        <w:t>h</w:t>
      </w:r>
      <w:r w:rsidR="002760B2" w:rsidRPr="002B005F">
        <w:rPr>
          <w:rFonts w:ascii="Times New Roman" w:hAnsi="Times New Roman" w:cs="Times New Roman"/>
          <w:i/>
          <w:iCs/>
          <w:color w:val="000000"/>
          <w:sz w:val="24"/>
          <w:szCs w:val="24"/>
          <w:lang w:val="en-GB"/>
        </w:rPr>
        <w:t xml:space="preserve"> conditions. But, in order to make themselves eligible to a return on their operations, the banks are compelled to play tricks with the letters of the law. They actually do not buy, do not possess; nor actually sell and deliver the goods; but the transaction is assumed to have taken place. By signing a number of documents of purchase, sale and transfer they might fulfill a legal requirement but it is by violating the spirit of prohibition. Unfortunately, the current practice of buy-back on mark-up is not in keeping with the conditions on which Murabaha or </w:t>
      </w:r>
      <w:r w:rsidR="00732369" w:rsidRPr="002B005F">
        <w:rPr>
          <w:rFonts w:ascii="Times New Roman" w:hAnsi="Times New Roman" w:cs="Times New Roman"/>
          <w:i/>
          <w:iCs/>
          <w:color w:val="000000"/>
          <w:sz w:val="24"/>
          <w:szCs w:val="24"/>
          <w:lang w:val="en-GB"/>
        </w:rPr>
        <w:t>Bai ‘Mu’ajjal</w:t>
      </w:r>
      <w:r w:rsidR="002760B2" w:rsidRPr="002B005F">
        <w:rPr>
          <w:rFonts w:ascii="Times New Roman" w:hAnsi="Times New Roman" w:cs="Times New Roman"/>
          <w:i/>
          <w:iCs/>
          <w:color w:val="000000"/>
          <w:sz w:val="24"/>
          <w:szCs w:val="24"/>
          <w:lang w:val="en-GB"/>
        </w:rPr>
        <w:t xml:space="preserve"> are permitted. What is being done is a fictitious deal, which ensures a predetermined profit to the bank without actually dealing in goods or sharing any real risk. This is against the letter and spirit of Shariah injunctions</w:t>
      </w:r>
      <w:r w:rsidR="004A4E16" w:rsidRPr="002B005F">
        <w:rPr>
          <w:rFonts w:ascii="Times New Roman" w:hAnsi="Times New Roman" w:cs="Times New Roman"/>
          <w:i/>
          <w:iCs/>
          <w:color w:val="000000"/>
          <w:sz w:val="24"/>
          <w:szCs w:val="24"/>
          <w:lang w:val="en-GB"/>
        </w:rPr>
        <w:t>”.</w:t>
      </w:r>
      <w:r w:rsidR="002760B2" w:rsidRPr="002B005F">
        <w:rPr>
          <w:rStyle w:val="Appelnotedebasdep"/>
          <w:rFonts w:ascii="Times New Roman" w:hAnsi="Times New Roman"/>
          <w:color w:val="000000"/>
          <w:sz w:val="24"/>
          <w:szCs w:val="24"/>
          <w:lang w:val="en-GB"/>
        </w:rPr>
        <w:footnoteReference w:id="369"/>
      </w:r>
    </w:p>
    <w:p w14:paraId="2834B160" w14:textId="29B47C0F" w:rsidR="002760B2" w:rsidRPr="002B005F" w:rsidRDefault="002760B2" w:rsidP="00EF2A4F">
      <w:pPr>
        <w:pStyle w:val="Default"/>
        <w:tabs>
          <w:tab w:val="left" w:pos="0"/>
        </w:tabs>
        <w:spacing w:before="120" w:line="300" w:lineRule="auto"/>
        <w:ind w:firstLine="709"/>
        <w:rPr>
          <w:b/>
          <w:bCs/>
          <w:lang w:val="en-GB"/>
        </w:rPr>
      </w:pPr>
      <w:r w:rsidRPr="002B005F">
        <w:rPr>
          <w:lang w:val="en-GB"/>
        </w:rPr>
        <w:t xml:space="preserve">D’autres auteurs </w:t>
      </w:r>
      <w:r w:rsidR="00264203">
        <w:rPr>
          <w:lang w:val="en-GB"/>
        </w:rPr>
        <w:t>contestent</w:t>
      </w:r>
      <w:r w:rsidRPr="002B005F">
        <w:rPr>
          <w:lang w:val="en-GB"/>
        </w:rPr>
        <w:t xml:space="preserve"> également les pratiques actuelles des banques </w:t>
      </w:r>
      <w:r w:rsidR="00AB0C0A" w:rsidRPr="002B005F">
        <w:rPr>
          <w:lang w:val="en-GB"/>
        </w:rPr>
        <w:t>islamiques</w:t>
      </w:r>
      <w:r w:rsidR="00264203" w:rsidRPr="00264203">
        <w:rPr>
          <w:lang w:val="en-GB"/>
        </w:rPr>
        <w:t> </w:t>
      </w:r>
      <w:r w:rsidR="006C1230">
        <w:rPr>
          <w:lang w:val="en-GB"/>
        </w:rPr>
        <w:t>:</w:t>
      </w:r>
      <w:r w:rsidR="004A4E16" w:rsidRPr="002B005F">
        <w:rPr>
          <w:lang w:val="en-GB"/>
        </w:rPr>
        <w:t xml:space="preserve"> “</w:t>
      </w:r>
      <w:r w:rsidRPr="002B005F">
        <w:rPr>
          <w:i/>
          <w:iCs/>
          <w:smallCaps/>
          <w:lang w:val="en-GB"/>
        </w:rPr>
        <w:t>Siddiqi</w:t>
      </w:r>
      <w:r w:rsidRPr="002B005F">
        <w:rPr>
          <w:i/>
          <w:iCs/>
          <w:lang w:val="en-GB"/>
        </w:rPr>
        <w:t xml:space="preserve"> (2004) and </w:t>
      </w:r>
      <w:r w:rsidRPr="002B005F">
        <w:rPr>
          <w:i/>
          <w:iCs/>
          <w:smallCaps/>
          <w:lang w:val="en-GB"/>
        </w:rPr>
        <w:t>Mehmet</w:t>
      </w:r>
      <w:r w:rsidRPr="002B005F">
        <w:rPr>
          <w:i/>
          <w:iCs/>
          <w:lang w:val="en-GB"/>
        </w:rPr>
        <w:t xml:space="preserve"> (2007) share the same view that banks should play their role by serving a social objective and not only an individual objective. </w:t>
      </w:r>
      <w:r w:rsidRPr="002B005F">
        <w:rPr>
          <w:i/>
          <w:iCs/>
          <w:smallCaps/>
          <w:lang w:val="en-GB"/>
        </w:rPr>
        <w:t>Wajdi</w:t>
      </w:r>
      <w:r w:rsidRPr="002B005F">
        <w:rPr>
          <w:i/>
          <w:iCs/>
          <w:lang w:val="en-GB"/>
        </w:rPr>
        <w:t xml:space="preserve"> and </w:t>
      </w:r>
      <w:r w:rsidRPr="002B005F">
        <w:rPr>
          <w:i/>
          <w:iCs/>
          <w:smallCaps/>
          <w:lang w:val="en-GB"/>
        </w:rPr>
        <w:t>Irwani</w:t>
      </w:r>
      <w:r w:rsidRPr="002B005F">
        <w:rPr>
          <w:i/>
          <w:iCs/>
          <w:lang w:val="en-GB"/>
        </w:rPr>
        <w:t xml:space="preserve"> (2006) also think that </w:t>
      </w:r>
      <w:r w:rsidR="00F34669" w:rsidRPr="002B005F">
        <w:rPr>
          <w:i/>
          <w:iCs/>
          <w:lang w:val="en-GB"/>
        </w:rPr>
        <w:t>Islam</w:t>
      </w:r>
      <w:r w:rsidRPr="002B005F">
        <w:rPr>
          <w:i/>
          <w:iCs/>
          <w:lang w:val="en-GB"/>
        </w:rPr>
        <w:t xml:space="preserve">ic banks are equally expected to play a leading role in promoting social-welfare. Their opinion are supported by the majority of the Muslim economists who posit that </w:t>
      </w:r>
      <w:r w:rsidR="00F34669" w:rsidRPr="002B005F">
        <w:rPr>
          <w:i/>
          <w:iCs/>
          <w:lang w:val="en-GB"/>
        </w:rPr>
        <w:t>Islam</w:t>
      </w:r>
      <w:r w:rsidRPr="002B005F">
        <w:rPr>
          <w:i/>
          <w:iCs/>
          <w:lang w:val="en-GB"/>
        </w:rPr>
        <w:t>ic banking is much more than offering Shariah compliant products. It is a system which aims at making a positive contribution to the fulfillment of the socio-economic objectives of the community at large</w:t>
      </w:r>
      <w:r w:rsidR="004A4E16" w:rsidRPr="002B005F">
        <w:rPr>
          <w:lang w:val="en-GB"/>
        </w:rPr>
        <w:t>”.</w:t>
      </w:r>
      <w:r w:rsidRPr="002B005F">
        <w:rPr>
          <w:rStyle w:val="Appelnotedebasdep"/>
          <w:lang w:val="en-GB"/>
        </w:rPr>
        <w:footnoteReference w:id="370"/>
      </w:r>
    </w:p>
    <w:p w14:paraId="0885799C" w14:textId="77777777" w:rsidR="002760B2" w:rsidRPr="002B005F" w:rsidRDefault="00474BF5" w:rsidP="007B64B9">
      <w:pPr>
        <w:pStyle w:val="Titre4"/>
        <w:keepNext w:val="0"/>
        <w:spacing w:before="100" w:beforeAutospacing="1" w:after="120" w:line="300" w:lineRule="auto"/>
        <w:ind w:firstLine="709"/>
      </w:pPr>
      <w:bookmarkStart w:id="1314" w:name="_Toc33263350"/>
      <w:bookmarkStart w:id="1315" w:name="_Toc37664613"/>
      <w:bookmarkStart w:id="1316" w:name="_Toc37666458"/>
      <w:bookmarkStart w:id="1317" w:name="_Toc54363355"/>
      <w:bookmarkStart w:id="1318" w:name="_Toc58606343"/>
      <w:bookmarkStart w:id="1319" w:name="_Toc61263548"/>
      <w:bookmarkStart w:id="1320" w:name="_Toc182298857"/>
      <w:r w:rsidRPr="002B005F">
        <w:t xml:space="preserve">2.2.3- </w:t>
      </w:r>
      <w:r w:rsidR="002760B2" w:rsidRPr="002B005F">
        <w:t>Avantages des produits participatifs</w:t>
      </w:r>
      <w:bookmarkEnd w:id="1314"/>
      <w:bookmarkEnd w:id="1315"/>
      <w:bookmarkEnd w:id="1316"/>
      <w:bookmarkEnd w:id="1317"/>
      <w:bookmarkEnd w:id="1318"/>
      <w:bookmarkEnd w:id="1319"/>
      <w:bookmarkEnd w:id="1320"/>
    </w:p>
    <w:p w14:paraId="0396FEF6" w14:textId="77777777" w:rsidR="002760B2" w:rsidRPr="002B005F" w:rsidRDefault="002760B2" w:rsidP="00EF2A4F">
      <w:pPr>
        <w:tabs>
          <w:tab w:val="left" w:pos="0"/>
        </w:tabs>
        <w:autoSpaceDE w:val="0"/>
        <w:autoSpaceDN w:val="0"/>
        <w:adjustRightInd w:val="0"/>
        <w:spacing w:before="120" w:line="300" w:lineRule="auto"/>
        <w:ind w:firstLine="709"/>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Selon </w:t>
      </w:r>
      <w:r w:rsidRPr="002B005F">
        <w:rPr>
          <w:rFonts w:ascii="Times New Roman" w:hAnsi="Times New Roman" w:cs="Times New Roman"/>
          <w:smallCaps/>
          <w:color w:val="000000"/>
          <w:sz w:val="24"/>
          <w:szCs w:val="24"/>
        </w:rPr>
        <w:t>Al-Jarhi</w:t>
      </w:r>
      <w:r w:rsidRPr="002B005F">
        <w:rPr>
          <w:rFonts w:ascii="Times New Roman" w:hAnsi="Times New Roman" w:cs="Times New Roman"/>
          <w:color w:val="000000"/>
          <w:sz w:val="24"/>
          <w:szCs w:val="24"/>
        </w:rPr>
        <w:t xml:space="preserve"> et </w:t>
      </w:r>
      <w:r w:rsidRPr="002B005F">
        <w:rPr>
          <w:rFonts w:ascii="Times New Roman" w:hAnsi="Times New Roman" w:cs="Times New Roman"/>
          <w:smallCaps/>
          <w:color w:val="000000"/>
          <w:sz w:val="24"/>
          <w:szCs w:val="24"/>
        </w:rPr>
        <w:t>Iqbal</w:t>
      </w:r>
      <w:r w:rsidRPr="002B005F">
        <w:rPr>
          <w:rFonts w:ascii="Times New Roman" w:hAnsi="Times New Roman" w:cs="Times New Roman"/>
          <w:color w:val="000000"/>
          <w:sz w:val="24"/>
          <w:szCs w:val="24"/>
        </w:rPr>
        <w:t>, l’utilisation des contrats de partage des pertes et des profits apporte plusieurs avantages</w:t>
      </w:r>
      <w:r w:rsidRPr="002B005F">
        <w:rPr>
          <w:rStyle w:val="Appelnotedebasdep"/>
          <w:rFonts w:ascii="Times New Roman" w:hAnsi="Times New Roman"/>
          <w:color w:val="000000"/>
          <w:sz w:val="24"/>
          <w:szCs w:val="24"/>
        </w:rPr>
        <w:footnoteReference w:id="371"/>
      </w:r>
      <w:r w:rsidRPr="002B005F">
        <w:rPr>
          <w:rFonts w:ascii="Times New Roman" w:hAnsi="Times New Roman" w:cs="Times New Roman"/>
          <w:color w:val="000000"/>
          <w:sz w:val="24"/>
          <w:szCs w:val="24"/>
        </w:rPr>
        <w:t> :</w:t>
      </w:r>
    </w:p>
    <w:p w14:paraId="52BFDA10" w14:textId="77777777" w:rsidR="002760B2" w:rsidRPr="002B005F" w:rsidRDefault="002760B2" w:rsidP="00CB0FF1">
      <w:pPr>
        <w:pStyle w:val="Paragraphedeliste"/>
        <w:numPr>
          <w:ilvl w:val="0"/>
          <w:numId w:val="35"/>
        </w:numPr>
        <w:tabs>
          <w:tab w:val="left" w:pos="284"/>
          <w:tab w:val="left" w:pos="851"/>
          <w:tab w:val="left" w:pos="1134"/>
        </w:tabs>
        <w:autoSpaceDE w:val="0"/>
        <w:autoSpaceDN w:val="0"/>
        <w:adjustRightInd w:val="0"/>
        <w:spacing w:before="12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L’affectation des ressources financières sur la base du principe de partage des pertes et des profits donne plus d’importance à la rentabilité des projets, alors que celle basée sur l’intérêt ne s’intéresse qu’à la solvabilité des débiteurs. On peut s’attendre donc à ce qu’une affectation faite sur la base de la rentabilité soit beaucoup plus efficace que celle qui se fait sur la base de l’intérêt. </w:t>
      </w:r>
    </w:p>
    <w:p w14:paraId="251D8895" w14:textId="4915BE09" w:rsidR="002760B2" w:rsidRPr="002B005F" w:rsidRDefault="002760B2" w:rsidP="00CB0FF1">
      <w:pPr>
        <w:pStyle w:val="Paragraphedeliste"/>
        <w:numPr>
          <w:ilvl w:val="0"/>
          <w:numId w:val="25"/>
        </w:numPr>
        <w:tabs>
          <w:tab w:val="left" w:pos="284"/>
          <w:tab w:val="left" w:pos="851"/>
          <w:tab w:val="left" w:pos="1134"/>
        </w:tabs>
        <w:autoSpaceDE w:val="0"/>
        <w:autoSpaceDN w:val="0"/>
        <w:adjustRightInd w:val="0"/>
        <w:spacing w:before="12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Un système basé sur la participation aux bénéfices est beaucoup plus stable qu’un système basé sur le calcul d’un intérêt fixe sur le capital. Dans ce dernier système, la banque est obligée de payer un montant fixe sur les comptes de dépôts, indépendamment de leur destinée, même si les conditions économiques se détériorent. Dans l’autre système en revanche, less payés sur les obligations de la </w:t>
      </w:r>
      <w:r w:rsidRPr="002B005F">
        <w:rPr>
          <w:rFonts w:ascii="Times New Roman" w:hAnsi="Times New Roman" w:cs="Times New Roman"/>
          <w:color w:val="000000"/>
          <w:sz w:val="24"/>
          <w:szCs w:val="24"/>
        </w:rPr>
        <w:lastRenderedPageBreak/>
        <w:t xml:space="preserve">banque dépendent directement du résultat global de son portefeuille d’investissement. Par conséquent, le coût du capital s’ajustera automatiquement en s’adaptant aux changements des conditions de production. </w:t>
      </w:r>
    </w:p>
    <w:p w14:paraId="790D7DC3" w14:textId="365614EE" w:rsidR="002760B2" w:rsidRPr="002B005F" w:rsidRDefault="002760B2" w:rsidP="00CB0FF1">
      <w:pPr>
        <w:pStyle w:val="Paragraphedeliste"/>
        <w:numPr>
          <w:ilvl w:val="0"/>
          <w:numId w:val="25"/>
        </w:numPr>
        <w:tabs>
          <w:tab w:val="left" w:pos="284"/>
          <w:tab w:val="left" w:pos="851"/>
          <w:tab w:val="left" w:pos="1134"/>
        </w:tabs>
        <w:autoSpaceDE w:val="0"/>
        <w:autoSpaceDN w:val="0"/>
        <w:adjustRightInd w:val="0"/>
        <w:spacing w:before="12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La richesse est créée en fonction des opportunités d’investissement au niveau</w:t>
      </w:r>
      <w:r w:rsidR="00857DC2" w:rsidRPr="002B005F">
        <w:rPr>
          <w:rFonts w:ascii="Times New Roman" w:hAnsi="Times New Roman" w:cs="Times New Roman"/>
          <w:color w:val="000000"/>
          <w:sz w:val="24"/>
          <w:szCs w:val="24"/>
        </w:rPr>
        <w:t xml:space="preserve"> du secteur réel de l’économie ;</w:t>
      </w:r>
      <w:r w:rsidRPr="002B005F">
        <w:rPr>
          <w:rFonts w:ascii="Times New Roman" w:hAnsi="Times New Roman" w:cs="Times New Roman"/>
          <w:color w:val="000000"/>
          <w:sz w:val="24"/>
          <w:szCs w:val="24"/>
        </w:rPr>
        <w:t xml:space="preserve"> les facteurs réels liés à la production des biens et des services (en contraste avec les facteurs financiers) deviennent les principaux éléments de formation des taux de rendement du secteur financier.</w:t>
      </w:r>
    </w:p>
    <w:p w14:paraId="159EA68A" w14:textId="4F722363" w:rsidR="002760B2" w:rsidRPr="002B005F" w:rsidRDefault="002760B2" w:rsidP="00CB0FF1">
      <w:pPr>
        <w:pStyle w:val="Paragraphedeliste"/>
        <w:numPr>
          <w:ilvl w:val="0"/>
          <w:numId w:val="25"/>
        </w:numPr>
        <w:tabs>
          <w:tab w:val="left" w:pos="284"/>
          <w:tab w:val="left" w:pos="851"/>
          <w:tab w:val="left" w:pos="1134"/>
        </w:tabs>
        <w:autoSpaceDE w:val="0"/>
        <w:autoSpaceDN w:val="0"/>
        <w:adjustRightInd w:val="0"/>
        <w:spacing w:before="120"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La transformation du système de l’intérêt en un système basé sur l’assomption solidaire des pertes et des profits aide à la réalisation des objectifs de la croissance économique, car il aboutit à une augmentation </w:t>
      </w:r>
      <w:r w:rsidR="00857DC2" w:rsidRPr="002B005F">
        <w:rPr>
          <w:rFonts w:ascii="Times New Roman" w:hAnsi="Times New Roman" w:cs="Times New Roman"/>
          <w:color w:val="000000"/>
          <w:sz w:val="24"/>
          <w:szCs w:val="24"/>
        </w:rPr>
        <w:t>de l’offre de capitaux à risque ;</w:t>
      </w:r>
      <w:r w:rsidRPr="002B005F">
        <w:rPr>
          <w:rFonts w:ascii="Times New Roman" w:hAnsi="Times New Roman" w:cs="Times New Roman"/>
          <w:color w:val="000000"/>
          <w:sz w:val="24"/>
          <w:szCs w:val="24"/>
        </w:rPr>
        <w:t xml:space="preserve"> cela encourage donc les entrepreneurs à investir dans le domaine de la production du fait que les bailleurs de fonds prennent leur part de risque.</w:t>
      </w:r>
    </w:p>
    <w:p w14:paraId="0267C9FD" w14:textId="77777777" w:rsidR="002760B2" w:rsidRPr="002B005F" w:rsidRDefault="00474BF5" w:rsidP="007B64B9">
      <w:pPr>
        <w:pStyle w:val="Titre4"/>
        <w:keepNext w:val="0"/>
        <w:spacing w:before="100" w:beforeAutospacing="1" w:after="120" w:line="300" w:lineRule="auto"/>
        <w:ind w:firstLine="709"/>
      </w:pPr>
      <w:bookmarkStart w:id="1321" w:name="_Toc33263351"/>
      <w:bookmarkStart w:id="1322" w:name="_Toc37664614"/>
      <w:bookmarkStart w:id="1323" w:name="_Toc37666459"/>
      <w:bookmarkStart w:id="1324" w:name="_Toc54363356"/>
      <w:bookmarkStart w:id="1325" w:name="_Toc58606344"/>
      <w:bookmarkStart w:id="1326" w:name="_Toc61263549"/>
      <w:bookmarkStart w:id="1327" w:name="_Toc182298858"/>
      <w:r w:rsidRPr="002B005F">
        <w:t xml:space="preserve">2.2.4- </w:t>
      </w:r>
      <w:r w:rsidR="002760B2" w:rsidRPr="002B005F">
        <w:t>Inconvénients des produits financiers à revenu fixe</w:t>
      </w:r>
      <w:bookmarkEnd w:id="1321"/>
      <w:bookmarkEnd w:id="1322"/>
      <w:bookmarkEnd w:id="1323"/>
      <w:bookmarkEnd w:id="1324"/>
      <w:bookmarkEnd w:id="1325"/>
      <w:bookmarkEnd w:id="1326"/>
      <w:bookmarkEnd w:id="1327"/>
    </w:p>
    <w:p w14:paraId="62BC97D2" w14:textId="77777777" w:rsidR="002760B2" w:rsidRPr="002B005F" w:rsidRDefault="002760B2" w:rsidP="007B64B9">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Les chercheurs en économie </w:t>
      </w:r>
      <w:r w:rsidR="00E94AE9"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relèvent plusieurs problèmes quant au recours exagéré aux modes de financement à revenu fixe. Ces économistes affirment qu’une utilisation excessive de ces contrats peut conduire à certains résultats indésirables</w:t>
      </w:r>
      <w:r w:rsidRPr="002B005F">
        <w:rPr>
          <w:rStyle w:val="Appelnotedebasdep"/>
          <w:rFonts w:ascii="Times New Roman" w:hAnsi="Times New Roman"/>
          <w:sz w:val="24"/>
          <w:szCs w:val="24"/>
        </w:rPr>
        <w:footnoteReference w:id="372"/>
      </w:r>
      <w:r w:rsidR="00E94AE9" w:rsidRPr="002B005F">
        <w:rPr>
          <w:rFonts w:ascii="Times New Roman" w:hAnsi="Times New Roman" w:cs="Times New Roman"/>
          <w:sz w:val="24"/>
          <w:szCs w:val="24"/>
        </w:rPr>
        <w:t> :</w:t>
      </w:r>
    </w:p>
    <w:p w14:paraId="781933DF" w14:textId="77777777" w:rsidR="002760B2" w:rsidRPr="001B4F9C" w:rsidRDefault="00E94AE9" w:rsidP="007B64B9">
      <w:pPr>
        <w:pStyle w:val="Titre5"/>
        <w:keepNext w:val="0"/>
        <w:keepLines w:val="0"/>
        <w:spacing w:before="120" w:after="120" w:line="300" w:lineRule="auto"/>
        <w:ind w:firstLine="709"/>
        <w:rPr>
          <w:rFonts w:asciiTheme="majorBidi" w:hAnsiTheme="majorBidi"/>
          <w:b/>
          <w:bCs/>
          <w:color w:val="auto"/>
          <w:sz w:val="24"/>
          <w:szCs w:val="24"/>
        </w:rPr>
      </w:pPr>
      <w:bookmarkStart w:id="1328" w:name="_Toc182298859"/>
      <w:r w:rsidRPr="001B4F9C">
        <w:rPr>
          <w:rFonts w:asciiTheme="majorBidi" w:hAnsiTheme="majorBidi"/>
          <w:b/>
          <w:bCs/>
          <w:color w:val="auto"/>
          <w:sz w:val="24"/>
          <w:szCs w:val="24"/>
        </w:rPr>
        <w:t>2.2.4.1- D</w:t>
      </w:r>
      <w:r w:rsidR="002760B2" w:rsidRPr="001B4F9C">
        <w:rPr>
          <w:rFonts w:asciiTheme="majorBidi" w:hAnsiTheme="majorBidi"/>
          <w:b/>
          <w:bCs/>
          <w:color w:val="auto"/>
          <w:sz w:val="24"/>
          <w:szCs w:val="24"/>
        </w:rPr>
        <w:t>éfaillance du débiteur et la qu</w:t>
      </w:r>
      <w:r w:rsidR="00FB41B0" w:rsidRPr="001B4F9C">
        <w:rPr>
          <w:rFonts w:asciiTheme="majorBidi" w:hAnsiTheme="majorBidi"/>
          <w:b/>
          <w:bCs/>
          <w:color w:val="auto"/>
          <w:sz w:val="24"/>
          <w:szCs w:val="24"/>
        </w:rPr>
        <w:t>estion des pénalités de retard</w:t>
      </w:r>
      <w:bookmarkEnd w:id="1328"/>
    </w:p>
    <w:p w14:paraId="79E7E805" w14:textId="77777777" w:rsidR="002760B2" w:rsidRPr="002B005F" w:rsidRDefault="002760B2" w:rsidP="007B64B9">
      <w:pPr>
        <w:pStyle w:val="Default"/>
        <w:tabs>
          <w:tab w:val="left" w:pos="0"/>
          <w:tab w:val="left" w:pos="284"/>
        </w:tabs>
        <w:spacing w:before="120" w:line="300" w:lineRule="auto"/>
        <w:ind w:firstLine="709"/>
      </w:pPr>
      <w:r w:rsidRPr="002B005F">
        <w:t xml:space="preserve">Les opérations de </w:t>
      </w:r>
      <w:r w:rsidRPr="002B005F">
        <w:rPr>
          <w:i/>
          <w:iCs/>
        </w:rPr>
        <w:t>mourabaha</w:t>
      </w:r>
      <w:r w:rsidRPr="002B005F">
        <w:t xml:space="preserve"> engendrent des obligations d’endettement contre les acheteurs. Si l’acheteur faillit à son remboursement, les banques ne pourraient pas charger un supplément (pénalité de retard) car cela reviendrait à prendre du </w:t>
      </w:r>
      <w:r w:rsidRPr="002B005F">
        <w:rPr>
          <w:i/>
        </w:rPr>
        <w:t>riba</w:t>
      </w:r>
      <w:r w:rsidRPr="002B005F">
        <w:t>. Ainsi, se trouve être incorporée une incitation à faillir pour les acheteurs immoraux. Les jurisconsultes ont débattu ce problème et ont admis que des pénalités peuvent être imposées aux défaillants, mais la banque ne doit tirer</w:t>
      </w:r>
      <w:r w:rsidR="00201B23" w:rsidRPr="002B005F">
        <w:t xml:space="preserve"> aucun profit de ces pénalités.</w:t>
      </w:r>
    </w:p>
    <w:p w14:paraId="50BD0B51" w14:textId="77777777" w:rsidR="002760B2" w:rsidRPr="00F32892" w:rsidRDefault="00E94AE9" w:rsidP="007B64B9">
      <w:pPr>
        <w:pStyle w:val="Titre5"/>
        <w:keepNext w:val="0"/>
        <w:keepLines w:val="0"/>
        <w:spacing w:before="120" w:after="120" w:line="300" w:lineRule="auto"/>
        <w:ind w:firstLine="709"/>
        <w:rPr>
          <w:rFonts w:asciiTheme="majorBidi" w:hAnsiTheme="majorBidi"/>
          <w:b/>
          <w:bCs/>
          <w:color w:val="auto"/>
          <w:sz w:val="24"/>
          <w:szCs w:val="24"/>
        </w:rPr>
      </w:pPr>
      <w:bookmarkStart w:id="1329" w:name="_Toc182298860"/>
      <w:r w:rsidRPr="00F32892">
        <w:rPr>
          <w:rFonts w:asciiTheme="majorBidi" w:hAnsiTheme="majorBidi"/>
          <w:b/>
          <w:bCs/>
          <w:color w:val="auto"/>
          <w:sz w:val="24"/>
          <w:szCs w:val="24"/>
        </w:rPr>
        <w:t xml:space="preserve">2.2.4.2- </w:t>
      </w:r>
      <w:r w:rsidR="002760B2" w:rsidRPr="00F32892">
        <w:rPr>
          <w:rFonts w:asciiTheme="majorBidi" w:hAnsiTheme="majorBidi"/>
          <w:b/>
          <w:bCs/>
          <w:color w:val="auto"/>
          <w:sz w:val="24"/>
          <w:szCs w:val="24"/>
        </w:rPr>
        <w:t>Non liquidité des actifs</w:t>
      </w:r>
      <w:bookmarkEnd w:id="1329"/>
    </w:p>
    <w:p w14:paraId="7F67F3DF" w14:textId="77777777" w:rsidR="002760B2" w:rsidRPr="004D2314" w:rsidRDefault="002760B2" w:rsidP="007B64B9">
      <w:pPr>
        <w:tabs>
          <w:tab w:val="left" w:pos="0"/>
          <w:tab w:val="left" w:pos="284"/>
        </w:tabs>
        <w:autoSpaceDE w:val="0"/>
        <w:autoSpaceDN w:val="0"/>
        <w:adjustRightInd w:val="0"/>
        <w:spacing w:before="120" w:line="300" w:lineRule="auto"/>
        <w:ind w:firstLine="709"/>
        <w:rPr>
          <w:rFonts w:ascii="Times New Roman" w:hAnsi="Times New Roman" w:cs="Times New Roman"/>
          <w:color w:val="000000"/>
          <w:sz w:val="24"/>
          <w:szCs w:val="24"/>
        </w:rPr>
      </w:pPr>
      <w:r w:rsidRPr="004D2314">
        <w:rPr>
          <w:rFonts w:ascii="Times New Roman" w:hAnsi="Times New Roman" w:cs="Times New Roman"/>
          <w:color w:val="000000"/>
          <w:sz w:val="24"/>
          <w:szCs w:val="24"/>
        </w:rPr>
        <w:t xml:space="preserve">Un autre problème soulevé par la prédominance des modes de financement basés sur la dette est qu’il est difficile de les transformer en instruments financiers négociables. Une fois qu’une dette est créée, elle ne peut pas être transférée à une autre personne, à moins qu’elle le soit à sa valeur nominale, du point </w:t>
      </w:r>
      <w:r w:rsidR="00201B23" w:rsidRPr="004D2314">
        <w:rPr>
          <w:rFonts w:ascii="Times New Roman" w:hAnsi="Times New Roman" w:cs="Times New Roman"/>
          <w:color w:val="000000"/>
          <w:sz w:val="24"/>
          <w:szCs w:val="24"/>
        </w:rPr>
        <w:t xml:space="preserve">de vue de la finance </w:t>
      </w:r>
      <w:r w:rsidR="00947C06" w:rsidRPr="004D2314">
        <w:rPr>
          <w:rFonts w:ascii="Times New Roman" w:hAnsi="Times New Roman" w:cs="Times New Roman"/>
          <w:color w:val="000000"/>
          <w:sz w:val="24"/>
          <w:szCs w:val="24"/>
        </w:rPr>
        <w:t>i</w:t>
      </w:r>
      <w:r w:rsidR="003773C6" w:rsidRPr="004D2314">
        <w:rPr>
          <w:rFonts w:ascii="Times New Roman" w:hAnsi="Times New Roman" w:cs="Times New Roman"/>
          <w:color w:val="000000"/>
          <w:sz w:val="24"/>
          <w:szCs w:val="24"/>
        </w:rPr>
        <w:t>slamique</w:t>
      </w:r>
      <w:r w:rsidR="00201B23" w:rsidRPr="004D2314">
        <w:rPr>
          <w:rFonts w:ascii="Times New Roman" w:hAnsi="Times New Roman" w:cs="Times New Roman"/>
          <w:color w:val="000000"/>
          <w:sz w:val="24"/>
          <w:szCs w:val="24"/>
        </w:rPr>
        <w:t>.</w:t>
      </w:r>
    </w:p>
    <w:p w14:paraId="52039CDC" w14:textId="77777777" w:rsidR="002760B2" w:rsidRPr="00F32892" w:rsidRDefault="00E94AE9" w:rsidP="007B64B9">
      <w:pPr>
        <w:pStyle w:val="Titre5"/>
        <w:keepNext w:val="0"/>
        <w:keepLines w:val="0"/>
        <w:spacing w:before="120" w:after="120" w:line="300" w:lineRule="auto"/>
        <w:ind w:firstLine="709"/>
        <w:rPr>
          <w:rFonts w:asciiTheme="majorBidi" w:hAnsiTheme="majorBidi"/>
          <w:b/>
          <w:bCs/>
          <w:color w:val="auto"/>
          <w:sz w:val="24"/>
          <w:szCs w:val="24"/>
        </w:rPr>
      </w:pPr>
      <w:bookmarkStart w:id="1330" w:name="_Toc182298861"/>
      <w:r w:rsidRPr="00F32892">
        <w:rPr>
          <w:rFonts w:asciiTheme="majorBidi" w:hAnsiTheme="majorBidi"/>
          <w:b/>
          <w:bCs/>
          <w:color w:val="auto"/>
          <w:sz w:val="24"/>
          <w:szCs w:val="24"/>
        </w:rPr>
        <w:t xml:space="preserve">2.2.4.3- </w:t>
      </w:r>
      <w:r w:rsidR="002760B2" w:rsidRPr="00F32892">
        <w:rPr>
          <w:rFonts w:asciiTheme="majorBidi" w:hAnsiTheme="majorBidi"/>
          <w:b/>
          <w:bCs/>
          <w:color w:val="auto"/>
          <w:sz w:val="24"/>
          <w:szCs w:val="24"/>
        </w:rPr>
        <w:t>Structure des actifs à court terme</w:t>
      </w:r>
      <w:bookmarkEnd w:id="1330"/>
    </w:p>
    <w:p w14:paraId="6FA57EA8" w14:textId="77777777" w:rsidR="002760B2" w:rsidRPr="004D2314" w:rsidRDefault="002760B2" w:rsidP="007B64B9">
      <w:pPr>
        <w:pStyle w:val="Paragraphedeliste"/>
        <w:tabs>
          <w:tab w:val="left" w:pos="0"/>
          <w:tab w:val="left" w:pos="284"/>
        </w:tabs>
        <w:autoSpaceDE w:val="0"/>
        <w:autoSpaceDN w:val="0"/>
        <w:adjustRightInd w:val="0"/>
        <w:spacing w:before="120" w:line="300" w:lineRule="auto"/>
        <w:ind w:left="0" w:firstLine="709"/>
        <w:contextualSpacing w:val="0"/>
        <w:rPr>
          <w:rFonts w:ascii="Times New Roman" w:hAnsi="Times New Roman" w:cs="Times New Roman"/>
          <w:color w:val="000000"/>
          <w:sz w:val="24"/>
          <w:szCs w:val="24"/>
        </w:rPr>
      </w:pPr>
      <w:r w:rsidRPr="004D2314">
        <w:rPr>
          <w:rFonts w:ascii="Times New Roman" w:hAnsi="Times New Roman" w:cs="Times New Roman"/>
          <w:color w:val="000000"/>
          <w:sz w:val="24"/>
          <w:szCs w:val="24"/>
        </w:rPr>
        <w:t xml:space="preserve">Les banques préfèrent les investissements à court terme car elles opèrent sur la base de réserves faibles. Elles ont besoin d’être en mesure de liquider, en cas de besoin, leurs actifs assez rapidement. Pour les banques </w:t>
      </w:r>
      <w:r w:rsidR="00947C06" w:rsidRPr="004D2314">
        <w:rPr>
          <w:rFonts w:ascii="Times New Roman" w:hAnsi="Times New Roman" w:cs="Times New Roman"/>
          <w:color w:val="000000"/>
          <w:sz w:val="24"/>
          <w:szCs w:val="24"/>
        </w:rPr>
        <w:t>i</w:t>
      </w:r>
      <w:r w:rsidR="003773C6" w:rsidRPr="004D2314">
        <w:rPr>
          <w:rFonts w:ascii="Times New Roman" w:hAnsi="Times New Roman" w:cs="Times New Roman"/>
          <w:color w:val="000000"/>
          <w:sz w:val="24"/>
          <w:szCs w:val="24"/>
        </w:rPr>
        <w:t>slamique</w:t>
      </w:r>
      <w:r w:rsidRPr="004D2314">
        <w:rPr>
          <w:rFonts w:ascii="Times New Roman" w:hAnsi="Times New Roman" w:cs="Times New Roman"/>
          <w:color w:val="000000"/>
          <w:sz w:val="24"/>
          <w:szCs w:val="24"/>
        </w:rPr>
        <w:t xml:space="preserve">s, la structure de leurs actifs à court terme est très prononcée. Ceci est dû à la prédominance de la </w:t>
      </w:r>
      <w:r w:rsidRPr="004D2314">
        <w:rPr>
          <w:rFonts w:ascii="Times New Roman" w:hAnsi="Times New Roman" w:cs="Times New Roman"/>
          <w:i/>
          <w:iCs/>
          <w:color w:val="000000"/>
          <w:sz w:val="24"/>
          <w:szCs w:val="24"/>
        </w:rPr>
        <w:t>mourabaha</w:t>
      </w:r>
      <w:r w:rsidRPr="004D2314">
        <w:rPr>
          <w:rFonts w:ascii="Times New Roman" w:hAnsi="Times New Roman" w:cs="Times New Roman"/>
          <w:color w:val="000000"/>
          <w:sz w:val="24"/>
          <w:szCs w:val="24"/>
        </w:rPr>
        <w:t xml:space="preserve">. Cette dernière, en tant que pratique commerciale, est de par sa nature, un contrat à court terme bien qu’il soit possible de concevoir une </w:t>
      </w:r>
      <w:r w:rsidRPr="004D2314">
        <w:rPr>
          <w:rFonts w:ascii="Times New Roman" w:hAnsi="Times New Roman" w:cs="Times New Roman"/>
          <w:i/>
          <w:iCs/>
          <w:color w:val="000000"/>
          <w:sz w:val="24"/>
          <w:szCs w:val="24"/>
        </w:rPr>
        <w:t>mourabaha</w:t>
      </w:r>
      <w:r w:rsidRPr="004D2314">
        <w:rPr>
          <w:rFonts w:ascii="Times New Roman" w:hAnsi="Times New Roman" w:cs="Times New Roman"/>
          <w:color w:val="000000"/>
          <w:sz w:val="24"/>
          <w:szCs w:val="24"/>
        </w:rPr>
        <w:t xml:space="preserve"> à moyen et long terme. La </w:t>
      </w:r>
      <w:r w:rsidRPr="004D2314">
        <w:rPr>
          <w:rFonts w:ascii="Times New Roman" w:hAnsi="Times New Roman" w:cs="Times New Roman"/>
          <w:i/>
          <w:iCs/>
          <w:color w:val="000000"/>
          <w:sz w:val="24"/>
          <w:szCs w:val="24"/>
        </w:rPr>
        <w:t>mourabaha</w:t>
      </w:r>
      <w:r w:rsidRPr="004D2314">
        <w:rPr>
          <w:rFonts w:ascii="Times New Roman" w:hAnsi="Times New Roman" w:cs="Times New Roman"/>
          <w:color w:val="000000"/>
          <w:sz w:val="24"/>
          <w:szCs w:val="24"/>
        </w:rPr>
        <w:t xml:space="preserve"> représentant un pourcentage élevé des investissements des banques, la structure de leurs actifs est donc devenue de court terme. Le </w:t>
      </w:r>
      <w:r w:rsidRPr="004D2314">
        <w:rPr>
          <w:rFonts w:ascii="Times New Roman" w:hAnsi="Times New Roman" w:cs="Times New Roman"/>
          <w:color w:val="000000"/>
          <w:sz w:val="24"/>
          <w:szCs w:val="24"/>
        </w:rPr>
        <w:lastRenderedPageBreak/>
        <w:t xml:space="preserve">problème réside dans le fait que, pour toute économie, il y a besoin de ressources financières à long terme pour financer l’économie et les grands projets de la société, ce que ce type de pratiques ne favorise pas. </w:t>
      </w:r>
    </w:p>
    <w:p w14:paraId="3AF8F1F6" w14:textId="77777777" w:rsidR="002760B2" w:rsidRPr="004D2314" w:rsidRDefault="002760B2" w:rsidP="007B64B9">
      <w:pPr>
        <w:tabs>
          <w:tab w:val="left" w:pos="0"/>
          <w:tab w:val="left" w:pos="284"/>
        </w:tabs>
        <w:autoSpaceDE w:val="0"/>
        <w:autoSpaceDN w:val="0"/>
        <w:adjustRightInd w:val="0"/>
        <w:spacing w:before="120" w:line="300" w:lineRule="auto"/>
        <w:ind w:firstLine="709"/>
        <w:rPr>
          <w:rFonts w:ascii="Times New Roman" w:hAnsi="Times New Roman" w:cs="Times New Roman"/>
          <w:sz w:val="24"/>
          <w:szCs w:val="24"/>
        </w:rPr>
      </w:pPr>
      <w:r w:rsidRPr="004D2314">
        <w:rPr>
          <w:rFonts w:ascii="Times New Roman" w:hAnsi="Times New Roman" w:cs="Times New Roman"/>
          <w:sz w:val="24"/>
          <w:szCs w:val="24"/>
        </w:rPr>
        <w:t xml:space="preserve">Pour résumer, la situation actuelle des banques </w:t>
      </w:r>
      <w:r w:rsidR="00947C06" w:rsidRPr="004D2314">
        <w:rPr>
          <w:rFonts w:ascii="Times New Roman" w:hAnsi="Times New Roman" w:cs="Times New Roman"/>
          <w:sz w:val="24"/>
          <w:szCs w:val="24"/>
        </w:rPr>
        <w:t>i</w:t>
      </w:r>
      <w:r w:rsidR="003773C6" w:rsidRPr="004D2314">
        <w:rPr>
          <w:rFonts w:ascii="Times New Roman" w:hAnsi="Times New Roman" w:cs="Times New Roman"/>
          <w:sz w:val="24"/>
          <w:szCs w:val="24"/>
        </w:rPr>
        <w:t>slamique</w:t>
      </w:r>
      <w:r w:rsidRPr="004D2314">
        <w:rPr>
          <w:rFonts w:ascii="Times New Roman" w:hAnsi="Times New Roman" w:cs="Times New Roman"/>
          <w:sz w:val="24"/>
          <w:szCs w:val="24"/>
        </w:rPr>
        <w:t xml:space="preserve">s est problématique. D’un côté, elles sont concentrées et utilisent massivement une technique en particulier, la </w:t>
      </w:r>
      <w:r w:rsidRPr="004D2314">
        <w:rPr>
          <w:rFonts w:ascii="Times New Roman" w:hAnsi="Times New Roman" w:cs="Times New Roman"/>
          <w:i/>
          <w:iCs/>
          <w:sz w:val="24"/>
          <w:szCs w:val="24"/>
        </w:rPr>
        <w:t>mourabaha</w:t>
      </w:r>
      <w:r w:rsidRPr="004D2314">
        <w:rPr>
          <w:rFonts w:ascii="Times New Roman" w:hAnsi="Times New Roman" w:cs="Times New Roman"/>
          <w:sz w:val="24"/>
          <w:szCs w:val="24"/>
        </w:rPr>
        <w:t xml:space="preserve">. Cette technique leur permet d’avoir une rentabilité très intéressante, comparable à celle des banques conventionnelles. Cependant, d’un autre côté, un débat très animé autour de ces modes à revenu fixe est tenu par les chercheurs. </w:t>
      </w:r>
    </w:p>
    <w:p w14:paraId="7B6738D0" w14:textId="4038A2C6" w:rsidR="002760B2" w:rsidRPr="004D2314" w:rsidRDefault="002760B2" w:rsidP="007B64B9">
      <w:pPr>
        <w:tabs>
          <w:tab w:val="left" w:pos="0"/>
          <w:tab w:val="left" w:pos="284"/>
        </w:tabs>
        <w:autoSpaceDE w:val="0"/>
        <w:autoSpaceDN w:val="0"/>
        <w:adjustRightInd w:val="0"/>
        <w:spacing w:before="120" w:line="300" w:lineRule="auto"/>
        <w:ind w:firstLine="709"/>
        <w:rPr>
          <w:rFonts w:ascii="Times New Roman" w:hAnsi="Times New Roman" w:cs="Times New Roman"/>
          <w:sz w:val="24"/>
          <w:szCs w:val="24"/>
        </w:rPr>
      </w:pPr>
      <w:r w:rsidRPr="004D2314">
        <w:rPr>
          <w:rFonts w:ascii="Times New Roman" w:hAnsi="Times New Roman" w:cs="Times New Roman"/>
          <w:sz w:val="24"/>
          <w:szCs w:val="24"/>
        </w:rPr>
        <w:t xml:space="preserve">De nombreuses voix s’élèvent contre l’utilisation excessive de ces modes de financement et pour l’encouragement du financement participatif car, d’après eux, il est plus en ligne avec les objectifs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4D2314">
        <w:rPr>
          <w:rFonts w:ascii="Times New Roman" w:hAnsi="Times New Roman" w:cs="Times New Roman"/>
          <w:sz w:val="24"/>
          <w:szCs w:val="24"/>
        </w:rPr>
        <w:t xml:space="preserve">, de la justice et de l'égalité. Dans un premier temps, ces chercheurs encouragent les banques </w:t>
      </w:r>
      <w:r w:rsidR="00947C06" w:rsidRPr="004D2314">
        <w:rPr>
          <w:rFonts w:ascii="Times New Roman" w:hAnsi="Times New Roman" w:cs="Times New Roman"/>
          <w:sz w:val="24"/>
          <w:szCs w:val="24"/>
        </w:rPr>
        <w:t>i</w:t>
      </w:r>
      <w:r w:rsidR="003773C6" w:rsidRPr="004D2314">
        <w:rPr>
          <w:rFonts w:ascii="Times New Roman" w:hAnsi="Times New Roman" w:cs="Times New Roman"/>
          <w:sz w:val="24"/>
          <w:szCs w:val="24"/>
        </w:rPr>
        <w:t>slamique</w:t>
      </w:r>
      <w:r w:rsidRPr="004D2314">
        <w:rPr>
          <w:rFonts w:ascii="Times New Roman" w:hAnsi="Times New Roman" w:cs="Times New Roman"/>
          <w:sz w:val="24"/>
          <w:szCs w:val="24"/>
        </w:rPr>
        <w:t xml:space="preserve">s à diversifier davantage leurs portefeuilles pour augmenter la part des contrats participatifs. Ensuite, dans un deuxième temps, ils les incitent à inverser le modèle actuel pour devenir plus concentrés sur les modes participatifs et accorder une part plus faible aux modes à revenu fixe. Certains économistes recommandent même de fixer une limite pour les opérations de </w:t>
      </w:r>
      <w:r w:rsidRPr="004D2314">
        <w:rPr>
          <w:rFonts w:ascii="Times New Roman" w:hAnsi="Times New Roman" w:cs="Times New Roman"/>
          <w:i/>
          <w:iCs/>
          <w:sz w:val="24"/>
          <w:szCs w:val="24"/>
        </w:rPr>
        <w:t>mourabaha :</w:t>
      </w:r>
      <w:r w:rsidRPr="004D2314">
        <w:rPr>
          <w:rFonts w:ascii="Times New Roman" w:hAnsi="Times New Roman" w:cs="Times New Roman"/>
          <w:sz w:val="24"/>
          <w:szCs w:val="24"/>
        </w:rPr>
        <w:t xml:space="preserve"> ces opérations ne devraient pas dépasser les 30% par exemple</w:t>
      </w:r>
      <w:r w:rsidRPr="004D2314">
        <w:rPr>
          <w:rStyle w:val="Appelnotedebasdep"/>
          <w:rFonts w:ascii="Times New Roman" w:hAnsi="Times New Roman"/>
          <w:sz w:val="24"/>
          <w:szCs w:val="24"/>
        </w:rPr>
        <w:footnoteReference w:id="373"/>
      </w:r>
      <w:r w:rsidRPr="004D2314">
        <w:rPr>
          <w:rFonts w:ascii="Times New Roman" w:hAnsi="Times New Roman" w:cs="Times New Roman"/>
          <w:sz w:val="24"/>
          <w:szCs w:val="24"/>
        </w:rPr>
        <w:t>.</w:t>
      </w:r>
    </w:p>
    <w:p w14:paraId="41FB8A95" w14:textId="77777777" w:rsidR="002760B2" w:rsidRPr="004D2314" w:rsidRDefault="002760B2" w:rsidP="007B64B9">
      <w:pPr>
        <w:tabs>
          <w:tab w:val="left" w:pos="0"/>
          <w:tab w:val="left" w:pos="284"/>
          <w:tab w:val="left" w:pos="709"/>
        </w:tabs>
        <w:autoSpaceDE w:val="0"/>
        <w:autoSpaceDN w:val="0"/>
        <w:adjustRightInd w:val="0"/>
        <w:spacing w:before="120" w:line="300" w:lineRule="auto"/>
        <w:ind w:firstLine="709"/>
        <w:rPr>
          <w:rFonts w:ascii="Times New Roman" w:hAnsi="Times New Roman" w:cs="Times New Roman"/>
          <w:sz w:val="24"/>
          <w:szCs w:val="24"/>
        </w:rPr>
      </w:pPr>
      <w:r w:rsidRPr="004D2314">
        <w:rPr>
          <w:rFonts w:ascii="Times New Roman" w:hAnsi="Times New Roman" w:cs="Times New Roman"/>
          <w:sz w:val="24"/>
          <w:szCs w:val="24"/>
        </w:rPr>
        <w:t xml:space="preserve">Pour conclure, il apparaît que cette concentration des opérations de financement </w:t>
      </w:r>
      <w:r w:rsidR="00947C06" w:rsidRPr="004D2314">
        <w:rPr>
          <w:rFonts w:ascii="Times New Roman" w:hAnsi="Times New Roman" w:cs="Times New Roman"/>
          <w:sz w:val="24"/>
          <w:szCs w:val="24"/>
        </w:rPr>
        <w:t>i</w:t>
      </w:r>
      <w:r w:rsidR="003773C6" w:rsidRPr="004D2314">
        <w:rPr>
          <w:rFonts w:ascii="Times New Roman" w:hAnsi="Times New Roman" w:cs="Times New Roman"/>
          <w:sz w:val="24"/>
          <w:szCs w:val="24"/>
        </w:rPr>
        <w:t>slamique</w:t>
      </w:r>
      <w:r w:rsidRPr="004D2314">
        <w:rPr>
          <w:rFonts w:ascii="Times New Roman" w:hAnsi="Times New Roman" w:cs="Times New Roman"/>
          <w:sz w:val="24"/>
          <w:szCs w:val="24"/>
        </w:rPr>
        <w:t xml:space="preserve"> autour des modes à revenu fixe est considérée comme inacceptable par la majori</w:t>
      </w:r>
      <w:r w:rsidR="00F10EB7" w:rsidRPr="004D2314">
        <w:rPr>
          <w:rFonts w:ascii="Times New Roman" w:hAnsi="Times New Roman" w:cs="Times New Roman"/>
          <w:sz w:val="24"/>
          <w:szCs w:val="24"/>
        </w:rPr>
        <w:t xml:space="preserve">té des chercheurs </w:t>
      </w:r>
      <w:r w:rsidR="00947C06" w:rsidRPr="004D2314">
        <w:rPr>
          <w:rFonts w:ascii="Times New Roman" w:hAnsi="Times New Roman" w:cs="Times New Roman"/>
          <w:sz w:val="24"/>
          <w:szCs w:val="24"/>
        </w:rPr>
        <w:t>i</w:t>
      </w:r>
      <w:r w:rsidR="003773C6" w:rsidRPr="004D2314">
        <w:rPr>
          <w:rFonts w:ascii="Times New Roman" w:hAnsi="Times New Roman" w:cs="Times New Roman"/>
          <w:sz w:val="24"/>
          <w:szCs w:val="24"/>
        </w:rPr>
        <w:t>slamique</w:t>
      </w:r>
      <w:r w:rsidR="00F10EB7" w:rsidRPr="004D2314">
        <w:rPr>
          <w:rFonts w:ascii="Times New Roman" w:hAnsi="Times New Roman" w:cs="Times New Roman"/>
          <w:sz w:val="24"/>
          <w:szCs w:val="24"/>
        </w:rPr>
        <w:t>s. L</w:t>
      </w:r>
      <w:r w:rsidRPr="004D2314">
        <w:rPr>
          <w:rFonts w:ascii="Times New Roman" w:hAnsi="Times New Roman" w:cs="Times New Roman"/>
          <w:sz w:val="24"/>
          <w:szCs w:val="24"/>
        </w:rPr>
        <w:t xml:space="preserve">e plus urgent à mettre en place par les banques </w:t>
      </w:r>
      <w:r w:rsidR="00947C06" w:rsidRPr="004D2314">
        <w:rPr>
          <w:rFonts w:ascii="Times New Roman" w:hAnsi="Times New Roman" w:cs="Times New Roman"/>
          <w:sz w:val="24"/>
          <w:szCs w:val="24"/>
        </w:rPr>
        <w:t>i</w:t>
      </w:r>
      <w:r w:rsidR="003773C6" w:rsidRPr="004D2314">
        <w:rPr>
          <w:rFonts w:ascii="Times New Roman" w:hAnsi="Times New Roman" w:cs="Times New Roman"/>
          <w:sz w:val="24"/>
          <w:szCs w:val="24"/>
        </w:rPr>
        <w:t>slamique</w:t>
      </w:r>
      <w:r w:rsidRPr="004D2314">
        <w:rPr>
          <w:rFonts w:ascii="Times New Roman" w:hAnsi="Times New Roman" w:cs="Times New Roman"/>
          <w:sz w:val="24"/>
          <w:szCs w:val="24"/>
        </w:rPr>
        <w:t>s est de remédier à ce problème et de changer la situation actuelle et les dérives de ces banques.</w:t>
      </w:r>
    </w:p>
    <w:p w14:paraId="6A005C41" w14:textId="77777777" w:rsidR="002760B2" w:rsidRPr="00F32892" w:rsidRDefault="009C3125" w:rsidP="007B64B9">
      <w:pPr>
        <w:pStyle w:val="Titre2"/>
        <w:keepNext w:val="0"/>
        <w:spacing w:before="100" w:beforeAutospacing="1" w:after="100" w:afterAutospacing="1" w:line="276" w:lineRule="auto"/>
        <w:ind w:firstLine="709"/>
        <w:rPr>
          <w:i w:val="0"/>
          <w:iCs w:val="0"/>
          <w:kern w:val="28"/>
          <w:sz w:val="26"/>
          <w:szCs w:val="26"/>
        </w:rPr>
      </w:pPr>
      <w:bookmarkStart w:id="1331" w:name="_Toc33263352"/>
      <w:bookmarkStart w:id="1332" w:name="_Toc33264121"/>
      <w:bookmarkStart w:id="1333" w:name="_Toc37664615"/>
      <w:bookmarkStart w:id="1334" w:name="_Toc37666460"/>
      <w:bookmarkStart w:id="1335" w:name="_Toc37667323"/>
      <w:bookmarkStart w:id="1336" w:name="_Toc54361033"/>
      <w:bookmarkStart w:id="1337" w:name="_Toc54361681"/>
      <w:bookmarkStart w:id="1338" w:name="_Toc54363357"/>
      <w:bookmarkStart w:id="1339" w:name="_Toc57901032"/>
      <w:bookmarkStart w:id="1340" w:name="_Toc58261933"/>
      <w:bookmarkStart w:id="1341" w:name="_Toc58606345"/>
      <w:bookmarkStart w:id="1342" w:name="_Toc61263550"/>
      <w:bookmarkStart w:id="1343" w:name="_Toc116257069"/>
      <w:bookmarkStart w:id="1344" w:name="_Toc182298862"/>
      <w:bookmarkStart w:id="1345" w:name="_Toc182309392"/>
      <w:r w:rsidRPr="00F32892">
        <w:rPr>
          <w:i w:val="0"/>
          <w:iCs w:val="0"/>
          <w:kern w:val="28"/>
          <w:sz w:val="26"/>
          <w:szCs w:val="26"/>
        </w:rPr>
        <w:t>Section III-</w:t>
      </w:r>
      <w:r w:rsidR="00C66C20" w:rsidRPr="00F32892">
        <w:rPr>
          <w:i w:val="0"/>
          <w:iCs w:val="0"/>
          <w:kern w:val="28"/>
          <w:sz w:val="26"/>
          <w:szCs w:val="26"/>
        </w:rPr>
        <w:t xml:space="preserve"> A</w:t>
      </w:r>
      <w:r w:rsidR="002760B2" w:rsidRPr="00F32892">
        <w:rPr>
          <w:i w:val="0"/>
          <w:iCs w:val="0"/>
          <w:kern w:val="28"/>
          <w:sz w:val="26"/>
          <w:szCs w:val="26"/>
        </w:rPr>
        <w:t xml:space="preserve">nalyse </w:t>
      </w:r>
      <w:r w:rsidR="00F10EB7" w:rsidRPr="00F32892">
        <w:rPr>
          <w:i w:val="0"/>
          <w:iCs w:val="0"/>
          <w:kern w:val="28"/>
          <w:sz w:val="26"/>
          <w:szCs w:val="26"/>
        </w:rPr>
        <w:t>et gestion des</w:t>
      </w:r>
      <w:r w:rsidR="002760B2" w:rsidRPr="00F32892">
        <w:rPr>
          <w:i w:val="0"/>
          <w:iCs w:val="0"/>
          <w:kern w:val="28"/>
          <w:sz w:val="26"/>
          <w:szCs w:val="26"/>
        </w:rPr>
        <w:t xml:space="preserve"> risq</w:t>
      </w:r>
      <w:r w:rsidRPr="00F32892">
        <w:rPr>
          <w:i w:val="0"/>
          <w:iCs w:val="0"/>
          <w:kern w:val="28"/>
          <w:sz w:val="26"/>
          <w:szCs w:val="26"/>
        </w:rPr>
        <w:t>ues liés aux instrume</w:t>
      </w:r>
      <w:r w:rsidR="00B8766F" w:rsidRPr="00F32892">
        <w:rPr>
          <w:i w:val="0"/>
          <w:iCs w:val="0"/>
          <w:kern w:val="28"/>
          <w:sz w:val="26"/>
          <w:szCs w:val="26"/>
        </w:rPr>
        <w:t>nts</w:t>
      </w:r>
      <w:r w:rsidR="002760B2" w:rsidRPr="00F32892">
        <w:rPr>
          <w:i w:val="0"/>
          <w:iCs w:val="0"/>
          <w:kern w:val="28"/>
          <w:sz w:val="26"/>
          <w:szCs w:val="26"/>
        </w:rPr>
        <w:t xml:space="preserve"> participatifs</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2AE0198F" w14:textId="77777777" w:rsidR="002760B2" w:rsidRPr="004D2314" w:rsidRDefault="002760B2" w:rsidP="007B64B9">
      <w:pPr>
        <w:tabs>
          <w:tab w:val="left" w:pos="0"/>
        </w:tabs>
        <w:autoSpaceDE w:val="0"/>
        <w:autoSpaceDN w:val="0"/>
        <w:adjustRightInd w:val="0"/>
        <w:spacing w:line="300" w:lineRule="auto"/>
        <w:ind w:firstLine="709"/>
        <w:rPr>
          <w:rFonts w:ascii="Times New Roman" w:hAnsi="Times New Roman" w:cs="Times New Roman"/>
          <w:sz w:val="24"/>
          <w:szCs w:val="24"/>
        </w:rPr>
      </w:pPr>
      <w:r w:rsidRPr="004D2314">
        <w:rPr>
          <w:rFonts w:ascii="Times New Roman" w:hAnsi="Times New Roman" w:cs="Times New Roman"/>
          <w:sz w:val="24"/>
          <w:szCs w:val="24"/>
        </w:rPr>
        <w:t xml:space="preserve">Dans le chapitre précédent, nous avons étudié les différents types de risques encourus par les banques </w:t>
      </w:r>
      <w:r w:rsidR="00D371EA" w:rsidRPr="004D2314">
        <w:rPr>
          <w:rFonts w:ascii="Times New Roman" w:hAnsi="Times New Roman" w:cs="Times New Roman"/>
          <w:sz w:val="24"/>
          <w:szCs w:val="24"/>
        </w:rPr>
        <w:t>i</w:t>
      </w:r>
      <w:r w:rsidR="003773C6" w:rsidRPr="004D2314">
        <w:rPr>
          <w:rFonts w:ascii="Times New Roman" w:hAnsi="Times New Roman" w:cs="Times New Roman"/>
          <w:sz w:val="24"/>
          <w:szCs w:val="24"/>
        </w:rPr>
        <w:t>slamique</w:t>
      </w:r>
      <w:r w:rsidRPr="004D2314">
        <w:rPr>
          <w:rFonts w:ascii="Times New Roman" w:hAnsi="Times New Roman" w:cs="Times New Roman"/>
          <w:sz w:val="24"/>
          <w:szCs w:val="24"/>
        </w:rPr>
        <w:t xml:space="preserve">s, ainsi que les techniques d’évaluation et de gestion de ces risques. Nous avons vu que les BI font face à des risques communs avec leurs homologues conventionnelles, et d’autres risques spécifiques à l’industrie bancaire </w:t>
      </w:r>
      <w:r w:rsidR="00D371EA" w:rsidRPr="004D2314">
        <w:rPr>
          <w:rFonts w:ascii="Times New Roman" w:hAnsi="Times New Roman" w:cs="Times New Roman"/>
          <w:sz w:val="24"/>
          <w:szCs w:val="24"/>
        </w:rPr>
        <w:t>i</w:t>
      </w:r>
      <w:r w:rsidR="003773C6" w:rsidRPr="004D2314">
        <w:rPr>
          <w:rFonts w:ascii="Times New Roman" w:hAnsi="Times New Roman" w:cs="Times New Roman"/>
          <w:sz w:val="24"/>
          <w:szCs w:val="24"/>
        </w:rPr>
        <w:t>slamique</w:t>
      </w:r>
      <w:r w:rsidRPr="004D2314">
        <w:rPr>
          <w:rFonts w:ascii="Times New Roman" w:hAnsi="Times New Roman" w:cs="Times New Roman"/>
          <w:sz w:val="24"/>
          <w:szCs w:val="24"/>
        </w:rPr>
        <w:t>. Dans cette section nous allons aborder les risques liés aux techniques de financement participatif.</w:t>
      </w:r>
    </w:p>
    <w:p w14:paraId="724144A9" w14:textId="77777777" w:rsidR="002760B2" w:rsidRPr="00F32892" w:rsidRDefault="009C3125" w:rsidP="007B64B9">
      <w:pPr>
        <w:pStyle w:val="Titre3"/>
        <w:keepNext w:val="0"/>
        <w:keepLines w:val="0"/>
        <w:spacing w:before="100" w:beforeAutospacing="1" w:after="100" w:afterAutospacing="1"/>
        <w:ind w:firstLine="709"/>
        <w:rPr>
          <w:sz w:val="26"/>
          <w:szCs w:val="26"/>
        </w:rPr>
      </w:pPr>
      <w:bookmarkStart w:id="1346" w:name="_Toc33263353"/>
      <w:bookmarkStart w:id="1347" w:name="_Toc37664616"/>
      <w:bookmarkStart w:id="1348" w:name="_Toc37666461"/>
      <w:bookmarkStart w:id="1349" w:name="_Toc54363358"/>
      <w:bookmarkStart w:id="1350" w:name="_Toc57230258"/>
      <w:bookmarkStart w:id="1351" w:name="_Toc57881379"/>
      <w:bookmarkStart w:id="1352" w:name="_Toc57900849"/>
      <w:bookmarkStart w:id="1353" w:name="_Toc33263354"/>
      <w:bookmarkStart w:id="1354" w:name="_Toc37664617"/>
      <w:bookmarkStart w:id="1355" w:name="_Toc37666462"/>
      <w:bookmarkStart w:id="1356" w:name="_Toc54363359"/>
      <w:bookmarkStart w:id="1357" w:name="_Toc58606346"/>
      <w:bookmarkStart w:id="1358" w:name="_Toc61263551"/>
      <w:bookmarkStart w:id="1359" w:name="_Toc182298863"/>
      <w:bookmarkEnd w:id="1346"/>
      <w:bookmarkEnd w:id="1347"/>
      <w:bookmarkEnd w:id="1348"/>
      <w:bookmarkEnd w:id="1349"/>
      <w:bookmarkEnd w:id="1350"/>
      <w:bookmarkEnd w:id="1351"/>
      <w:bookmarkEnd w:id="1352"/>
      <w:r w:rsidRPr="00F32892">
        <w:rPr>
          <w:sz w:val="26"/>
          <w:szCs w:val="26"/>
        </w:rPr>
        <w:t xml:space="preserve">3.1- </w:t>
      </w:r>
      <w:r w:rsidR="00C66C20" w:rsidRPr="00F32892">
        <w:rPr>
          <w:sz w:val="26"/>
          <w:szCs w:val="26"/>
        </w:rPr>
        <w:t>R</w:t>
      </w:r>
      <w:r w:rsidR="002760B2" w:rsidRPr="00F32892">
        <w:rPr>
          <w:sz w:val="26"/>
          <w:szCs w:val="26"/>
        </w:rPr>
        <w:t>isque</w:t>
      </w:r>
      <w:r w:rsidRPr="00F32892">
        <w:rPr>
          <w:sz w:val="26"/>
          <w:szCs w:val="26"/>
        </w:rPr>
        <w:t>s liés aux modes de financement</w:t>
      </w:r>
      <w:r w:rsidR="002760B2" w:rsidRPr="00F32892">
        <w:rPr>
          <w:sz w:val="26"/>
          <w:szCs w:val="26"/>
        </w:rPr>
        <w:t xml:space="preserve"> participatif</w:t>
      </w:r>
      <w:bookmarkEnd w:id="1353"/>
      <w:bookmarkEnd w:id="1354"/>
      <w:bookmarkEnd w:id="1355"/>
      <w:bookmarkEnd w:id="1356"/>
      <w:bookmarkEnd w:id="1357"/>
      <w:bookmarkEnd w:id="1358"/>
      <w:bookmarkEnd w:id="1359"/>
    </w:p>
    <w:p w14:paraId="4CF3ECB2" w14:textId="77777777" w:rsidR="002760B2" w:rsidRPr="004D2314" w:rsidRDefault="002760B2" w:rsidP="005653E9">
      <w:pPr>
        <w:tabs>
          <w:tab w:val="left" w:pos="0"/>
        </w:tabs>
        <w:autoSpaceDE w:val="0"/>
        <w:autoSpaceDN w:val="0"/>
        <w:adjustRightInd w:val="0"/>
        <w:spacing w:line="300" w:lineRule="auto"/>
        <w:ind w:firstLine="709"/>
        <w:rPr>
          <w:rFonts w:ascii="Times New Roman" w:hAnsi="Times New Roman" w:cs="Times New Roman"/>
          <w:b/>
          <w:bCs/>
          <w:sz w:val="24"/>
          <w:szCs w:val="24"/>
        </w:rPr>
      </w:pPr>
      <w:r w:rsidRPr="004D2314">
        <w:rPr>
          <w:rFonts w:ascii="Times New Roman" w:hAnsi="Times New Roman" w:cs="Times New Roman"/>
          <w:sz w:val="24"/>
          <w:szCs w:val="24"/>
        </w:rPr>
        <w:t xml:space="preserve">La finance participative implique une prise spécifique de risques, différente de celle pratiquée en finance conventionnelle. En plus, elle se caractérise par un enchevêtrement des risques vu les transactions tripartites liant le déposant, la banque et l’entreprise. Par ailleurs, la comptabilité des banques </w:t>
      </w:r>
      <w:r w:rsidR="00947C06" w:rsidRPr="004D2314">
        <w:rPr>
          <w:rFonts w:ascii="Times New Roman" w:hAnsi="Times New Roman" w:cs="Times New Roman"/>
          <w:sz w:val="24"/>
          <w:szCs w:val="24"/>
        </w:rPr>
        <w:t>i</w:t>
      </w:r>
      <w:r w:rsidR="003773C6" w:rsidRPr="004D2314">
        <w:rPr>
          <w:rFonts w:ascii="Times New Roman" w:hAnsi="Times New Roman" w:cs="Times New Roman"/>
          <w:sz w:val="24"/>
          <w:szCs w:val="24"/>
        </w:rPr>
        <w:t>slamique</w:t>
      </w:r>
      <w:r w:rsidRPr="004D2314">
        <w:rPr>
          <w:rFonts w:ascii="Times New Roman" w:hAnsi="Times New Roman" w:cs="Times New Roman"/>
          <w:sz w:val="24"/>
          <w:szCs w:val="24"/>
        </w:rPr>
        <w:t>s ne permet pas d’identifier et de séparer facilement les classes des risques</w:t>
      </w:r>
      <w:r w:rsidRPr="004D2314">
        <w:rPr>
          <w:rStyle w:val="Appelnotedebasdep"/>
          <w:rFonts w:ascii="Times New Roman" w:hAnsi="Times New Roman"/>
          <w:sz w:val="24"/>
          <w:szCs w:val="24"/>
        </w:rPr>
        <w:footnoteReference w:id="374"/>
      </w:r>
      <w:r w:rsidRPr="004D2314">
        <w:rPr>
          <w:rFonts w:ascii="Times New Roman" w:hAnsi="Times New Roman" w:cs="Times New Roman"/>
          <w:sz w:val="24"/>
          <w:szCs w:val="24"/>
        </w:rPr>
        <w:t xml:space="preserve">. Les contrats </w:t>
      </w:r>
      <w:r w:rsidRPr="004D2314">
        <w:rPr>
          <w:rFonts w:ascii="Times New Roman" w:hAnsi="Times New Roman" w:cs="Times New Roman"/>
          <w:i/>
          <w:iCs/>
          <w:sz w:val="24"/>
          <w:szCs w:val="24"/>
        </w:rPr>
        <w:t>moucharaka</w:t>
      </w:r>
      <w:r w:rsidRPr="004D2314">
        <w:rPr>
          <w:rFonts w:ascii="Times New Roman" w:hAnsi="Times New Roman" w:cs="Times New Roman"/>
          <w:sz w:val="24"/>
          <w:szCs w:val="24"/>
        </w:rPr>
        <w:t xml:space="preserve"> et </w:t>
      </w:r>
      <w:r w:rsidR="004A4E16" w:rsidRPr="004D2314">
        <w:rPr>
          <w:rFonts w:ascii="Times New Roman" w:hAnsi="Times New Roman" w:cs="Times New Roman"/>
          <w:i/>
          <w:sz w:val="24"/>
          <w:szCs w:val="24"/>
        </w:rPr>
        <w:t>moudaraba</w:t>
      </w:r>
      <w:r w:rsidRPr="004D2314">
        <w:rPr>
          <w:rFonts w:ascii="Times New Roman" w:hAnsi="Times New Roman" w:cs="Times New Roman"/>
          <w:sz w:val="24"/>
          <w:szCs w:val="24"/>
        </w:rPr>
        <w:t xml:space="preserve"> peuvent entrainer plusieurs risques. Parmi les plus importants, nous abordons comme suit :</w:t>
      </w:r>
    </w:p>
    <w:p w14:paraId="44CC58AF" w14:textId="77777777" w:rsidR="002760B2" w:rsidRPr="004D2314" w:rsidRDefault="004F69D7" w:rsidP="00F32892">
      <w:pPr>
        <w:pStyle w:val="Titre4"/>
        <w:spacing w:before="120" w:after="120" w:line="300" w:lineRule="auto"/>
        <w:ind w:firstLine="709"/>
      </w:pPr>
      <w:bookmarkStart w:id="1360" w:name="_Toc33263355"/>
      <w:bookmarkStart w:id="1361" w:name="_Toc37664618"/>
      <w:bookmarkStart w:id="1362" w:name="_Toc37666463"/>
      <w:bookmarkStart w:id="1363" w:name="_Toc54363360"/>
      <w:bookmarkStart w:id="1364" w:name="_Toc58606347"/>
      <w:bookmarkStart w:id="1365" w:name="_Toc61263552"/>
      <w:bookmarkStart w:id="1366" w:name="_Toc182298864"/>
      <w:r w:rsidRPr="004D2314">
        <w:lastRenderedPageBreak/>
        <w:t xml:space="preserve">3.1.1- </w:t>
      </w:r>
      <w:r w:rsidR="002760B2" w:rsidRPr="004D2314">
        <w:t>Risque de crédit (de contrepartie)</w:t>
      </w:r>
      <w:bookmarkEnd w:id="1360"/>
      <w:bookmarkEnd w:id="1361"/>
      <w:bookmarkEnd w:id="1362"/>
      <w:bookmarkEnd w:id="1363"/>
      <w:bookmarkEnd w:id="1364"/>
      <w:bookmarkEnd w:id="1365"/>
      <w:bookmarkEnd w:id="1366"/>
    </w:p>
    <w:p w14:paraId="6E72FA41" w14:textId="77777777" w:rsidR="002760B2" w:rsidRPr="004D2314" w:rsidRDefault="002760B2" w:rsidP="00263B07">
      <w:pPr>
        <w:tabs>
          <w:tab w:val="left" w:pos="0"/>
        </w:tabs>
        <w:autoSpaceDE w:val="0"/>
        <w:autoSpaceDN w:val="0"/>
        <w:adjustRightInd w:val="0"/>
        <w:spacing w:line="300" w:lineRule="auto"/>
        <w:ind w:firstLine="709"/>
        <w:rPr>
          <w:rFonts w:ascii="Times New Roman" w:hAnsi="Times New Roman" w:cs="Times New Roman"/>
          <w:sz w:val="24"/>
          <w:szCs w:val="24"/>
        </w:rPr>
      </w:pPr>
      <w:r w:rsidRPr="004D2314">
        <w:rPr>
          <w:rFonts w:ascii="Times New Roman" w:hAnsi="Times New Roman" w:cs="Times New Roman"/>
          <w:sz w:val="24"/>
          <w:szCs w:val="24"/>
        </w:rPr>
        <w:t>Le risque de crédit lié au financement participatif s’apparente à la notion de non récupération des fonds avancés en volume et en temps opportuns. Le risque de crédit relatif aux instruments M-M est le risque que l'entrepreneur ne peut remplir ses obligations contractuelles en raison d'une faute et d'une négligence</w:t>
      </w:r>
      <w:r w:rsidRPr="004D2314">
        <w:rPr>
          <w:rStyle w:val="Appelnotedebasdep"/>
          <w:rFonts w:ascii="Times New Roman" w:hAnsi="Times New Roman"/>
          <w:sz w:val="24"/>
          <w:szCs w:val="24"/>
        </w:rPr>
        <w:footnoteReference w:id="375"/>
      </w:r>
      <w:r w:rsidRPr="004D2314">
        <w:rPr>
          <w:rFonts w:ascii="Times New Roman" w:hAnsi="Times New Roman" w:cs="Times New Roman"/>
          <w:sz w:val="24"/>
          <w:szCs w:val="24"/>
        </w:rPr>
        <w:t>.</w:t>
      </w:r>
    </w:p>
    <w:p w14:paraId="4BF770CB" w14:textId="77777777" w:rsidR="00E51383" w:rsidRPr="00F32892" w:rsidRDefault="00E51383" w:rsidP="007B64B9">
      <w:pPr>
        <w:pStyle w:val="Titre5"/>
        <w:keepNext w:val="0"/>
        <w:keepLines w:val="0"/>
        <w:spacing w:before="100" w:beforeAutospacing="1" w:after="120" w:line="300" w:lineRule="auto"/>
        <w:ind w:firstLine="709"/>
        <w:rPr>
          <w:rFonts w:asciiTheme="majorBidi" w:hAnsiTheme="majorBidi"/>
          <w:b/>
          <w:bCs/>
          <w:color w:val="auto"/>
          <w:sz w:val="24"/>
          <w:szCs w:val="24"/>
        </w:rPr>
      </w:pPr>
      <w:bookmarkStart w:id="1367" w:name="_Toc182298865"/>
      <w:r w:rsidRPr="00F32892">
        <w:rPr>
          <w:rFonts w:asciiTheme="majorBidi" w:hAnsiTheme="majorBidi"/>
          <w:b/>
          <w:bCs/>
          <w:color w:val="auto"/>
          <w:sz w:val="24"/>
          <w:szCs w:val="24"/>
        </w:rPr>
        <w:t xml:space="preserve">3.1.1.1- Risque de crédit liés à un contrat </w:t>
      </w:r>
      <w:r w:rsidRPr="00F32892">
        <w:rPr>
          <w:rFonts w:asciiTheme="majorBidi" w:hAnsiTheme="majorBidi"/>
          <w:b/>
          <w:bCs/>
          <w:i/>
          <w:iCs/>
          <w:color w:val="auto"/>
          <w:sz w:val="24"/>
          <w:szCs w:val="24"/>
        </w:rPr>
        <w:t>moucharaka</w:t>
      </w:r>
      <w:bookmarkEnd w:id="1367"/>
    </w:p>
    <w:p w14:paraId="6EAF0C36" w14:textId="77777777" w:rsidR="002760B2" w:rsidRPr="004D2314" w:rsidRDefault="002760B2" w:rsidP="00E51383">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4D2314">
        <w:rPr>
          <w:rFonts w:ascii="Times New Roman" w:hAnsi="Times New Roman" w:cs="Times New Roman"/>
          <w:sz w:val="24"/>
          <w:szCs w:val="24"/>
        </w:rPr>
        <w:t xml:space="preserve">Dans le cas de la </w:t>
      </w:r>
      <w:r w:rsidRPr="004D2314">
        <w:rPr>
          <w:rFonts w:ascii="Times New Roman" w:hAnsi="Times New Roman" w:cs="Times New Roman"/>
          <w:i/>
          <w:iCs/>
          <w:sz w:val="24"/>
          <w:szCs w:val="24"/>
        </w:rPr>
        <w:t>moucharaka</w:t>
      </w:r>
      <w:r w:rsidRPr="004D2314">
        <w:rPr>
          <w:rFonts w:ascii="Times New Roman" w:hAnsi="Times New Roman" w:cs="Times New Roman"/>
          <w:sz w:val="24"/>
          <w:szCs w:val="24"/>
        </w:rPr>
        <w:t>, le risque de crédit peut être élevé pour plusieu</w:t>
      </w:r>
      <w:r w:rsidR="00F10EB7" w:rsidRPr="004D2314">
        <w:rPr>
          <w:rFonts w:ascii="Times New Roman" w:hAnsi="Times New Roman" w:cs="Times New Roman"/>
          <w:sz w:val="24"/>
          <w:szCs w:val="24"/>
        </w:rPr>
        <w:t>rs raisons. Nous pouvons en citer :</w:t>
      </w:r>
    </w:p>
    <w:p w14:paraId="4C74661B" w14:textId="77777777" w:rsidR="002760B2" w:rsidRPr="004D2314" w:rsidRDefault="00F10EB7" w:rsidP="00CB0FF1">
      <w:pPr>
        <w:pStyle w:val="Paragraphedeliste"/>
        <w:numPr>
          <w:ilvl w:val="0"/>
          <w:numId w:val="26"/>
        </w:numPr>
        <w:tabs>
          <w:tab w:val="left" w:pos="284"/>
          <w:tab w:val="left" w:pos="851"/>
          <w:tab w:val="left" w:pos="1134"/>
        </w:tabs>
        <w:autoSpaceDE w:val="0"/>
        <w:autoSpaceDN w:val="0"/>
        <w:adjustRightInd w:val="0"/>
        <w:spacing w:before="60" w:line="300" w:lineRule="auto"/>
        <w:ind w:left="1135" w:hanging="284"/>
        <w:contextualSpacing w:val="0"/>
        <w:rPr>
          <w:rFonts w:ascii="Times New Roman" w:hAnsi="Times New Roman" w:cs="Times New Roman"/>
          <w:sz w:val="24"/>
          <w:szCs w:val="24"/>
        </w:rPr>
      </w:pPr>
      <w:r w:rsidRPr="004D2314">
        <w:rPr>
          <w:rFonts w:ascii="Times New Roman" w:hAnsi="Times New Roman" w:cs="Times New Roman"/>
          <w:sz w:val="24"/>
          <w:szCs w:val="24"/>
        </w:rPr>
        <w:t>L’absence de garanties ;</w:t>
      </w:r>
    </w:p>
    <w:p w14:paraId="287E08A1" w14:textId="77777777" w:rsidR="002760B2" w:rsidRPr="004D2314" w:rsidRDefault="002760B2" w:rsidP="00CB0FF1">
      <w:pPr>
        <w:pStyle w:val="Paragraphedeliste"/>
        <w:numPr>
          <w:ilvl w:val="0"/>
          <w:numId w:val="26"/>
        </w:numPr>
        <w:tabs>
          <w:tab w:val="left" w:pos="284"/>
          <w:tab w:val="left" w:pos="851"/>
          <w:tab w:val="left" w:pos="1134"/>
        </w:tabs>
        <w:autoSpaceDE w:val="0"/>
        <w:autoSpaceDN w:val="0"/>
        <w:adjustRightInd w:val="0"/>
        <w:spacing w:before="60" w:line="300" w:lineRule="auto"/>
        <w:ind w:left="1135" w:hanging="284"/>
        <w:contextualSpacing w:val="0"/>
        <w:rPr>
          <w:rFonts w:ascii="Times New Roman" w:hAnsi="Times New Roman" w:cs="Times New Roman"/>
          <w:sz w:val="24"/>
          <w:szCs w:val="24"/>
        </w:rPr>
      </w:pPr>
      <w:r w:rsidRPr="004D2314">
        <w:rPr>
          <w:rFonts w:ascii="Times New Roman" w:hAnsi="Times New Roman" w:cs="Times New Roman"/>
          <w:sz w:val="24"/>
          <w:szCs w:val="24"/>
        </w:rPr>
        <w:t>Un fort taux d’aléa</w:t>
      </w:r>
      <w:r w:rsidR="00F10EB7" w:rsidRPr="004D2314">
        <w:rPr>
          <w:rFonts w:ascii="Times New Roman" w:hAnsi="Times New Roman" w:cs="Times New Roman"/>
          <w:sz w:val="24"/>
          <w:szCs w:val="24"/>
        </w:rPr>
        <w:t xml:space="preserve"> moral et de sélection adverse ;</w:t>
      </w:r>
    </w:p>
    <w:p w14:paraId="061DD4C5" w14:textId="77777777" w:rsidR="002760B2" w:rsidRPr="004D2314" w:rsidRDefault="002760B2" w:rsidP="00CB0FF1">
      <w:pPr>
        <w:pStyle w:val="Paragraphedeliste"/>
        <w:numPr>
          <w:ilvl w:val="0"/>
          <w:numId w:val="26"/>
        </w:numPr>
        <w:tabs>
          <w:tab w:val="left" w:pos="284"/>
          <w:tab w:val="left" w:pos="851"/>
          <w:tab w:val="left" w:pos="993"/>
          <w:tab w:val="left" w:pos="1134"/>
        </w:tabs>
        <w:autoSpaceDE w:val="0"/>
        <w:autoSpaceDN w:val="0"/>
        <w:adjustRightInd w:val="0"/>
        <w:spacing w:before="60" w:line="300" w:lineRule="auto"/>
        <w:ind w:left="1135" w:hanging="284"/>
        <w:contextualSpacing w:val="0"/>
        <w:rPr>
          <w:rFonts w:ascii="Times New Roman" w:hAnsi="Times New Roman" w:cs="Times New Roman"/>
          <w:sz w:val="24"/>
          <w:szCs w:val="24"/>
        </w:rPr>
      </w:pPr>
      <w:r w:rsidRPr="004D2314">
        <w:rPr>
          <w:rFonts w:ascii="Times New Roman" w:hAnsi="Times New Roman" w:cs="Times New Roman"/>
          <w:sz w:val="24"/>
          <w:szCs w:val="24"/>
        </w:rPr>
        <w:t>Un manque de personnel qualifié au niveau des banques en matière d’évaluation technique des projets.</w:t>
      </w:r>
    </w:p>
    <w:p w14:paraId="41783998" w14:textId="77777777" w:rsidR="002760B2" w:rsidRPr="004D2314" w:rsidRDefault="002760B2" w:rsidP="00CB0FF1">
      <w:pPr>
        <w:pStyle w:val="Paragraphedeliste"/>
        <w:numPr>
          <w:ilvl w:val="0"/>
          <w:numId w:val="26"/>
        </w:numPr>
        <w:tabs>
          <w:tab w:val="left" w:pos="284"/>
          <w:tab w:val="left" w:pos="851"/>
          <w:tab w:val="left" w:pos="993"/>
          <w:tab w:val="left" w:pos="1134"/>
        </w:tabs>
        <w:autoSpaceDE w:val="0"/>
        <w:autoSpaceDN w:val="0"/>
        <w:adjustRightInd w:val="0"/>
        <w:spacing w:before="60" w:line="300" w:lineRule="auto"/>
        <w:ind w:left="1135" w:hanging="284"/>
        <w:contextualSpacing w:val="0"/>
        <w:rPr>
          <w:rFonts w:ascii="Times New Roman" w:hAnsi="Times New Roman" w:cs="Times New Roman"/>
          <w:sz w:val="24"/>
          <w:szCs w:val="24"/>
        </w:rPr>
      </w:pPr>
      <w:r w:rsidRPr="004D2314">
        <w:rPr>
          <w:rFonts w:ascii="Times New Roman" w:hAnsi="Times New Roman" w:cs="Times New Roman"/>
          <w:sz w:val="24"/>
          <w:szCs w:val="24"/>
        </w:rPr>
        <w:t xml:space="preserve">Un cadre institutionnel (traitement fiscal, les systèmes de comptabilité et d’audit et les textes règlementaires) qui n’est pas approprié et qui pose d’énormes problèmes à l’application du contrat de </w:t>
      </w:r>
      <w:r w:rsidRPr="004D2314">
        <w:rPr>
          <w:rFonts w:ascii="Times New Roman" w:hAnsi="Times New Roman" w:cs="Times New Roman"/>
          <w:i/>
          <w:iCs/>
          <w:sz w:val="24"/>
          <w:szCs w:val="24"/>
        </w:rPr>
        <w:t>moucharaka</w:t>
      </w:r>
      <w:r w:rsidRPr="004D2314">
        <w:rPr>
          <w:rFonts w:ascii="Times New Roman" w:hAnsi="Times New Roman" w:cs="Times New Roman"/>
          <w:sz w:val="24"/>
          <w:szCs w:val="24"/>
        </w:rPr>
        <w:t xml:space="preserve">. </w:t>
      </w:r>
    </w:p>
    <w:p w14:paraId="3C46669E" w14:textId="77777777" w:rsidR="00D371EA" w:rsidRPr="004D2314" w:rsidRDefault="002760B2" w:rsidP="003D11FE">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4D2314">
        <w:rPr>
          <w:rFonts w:ascii="Times New Roman" w:hAnsi="Times New Roman" w:cs="Times New Roman"/>
          <w:sz w:val="24"/>
          <w:szCs w:val="24"/>
        </w:rPr>
        <w:t xml:space="preserve">Comme c’est montré dans </w:t>
      </w:r>
      <w:r w:rsidRPr="004D2314">
        <w:rPr>
          <w:rFonts w:ascii="Times New Roman" w:hAnsi="Times New Roman" w:cs="Times New Roman"/>
          <w:b/>
          <w:bCs/>
          <w:sz w:val="24"/>
          <w:szCs w:val="24"/>
        </w:rPr>
        <w:t xml:space="preserve">la figure </w:t>
      </w:r>
      <w:r w:rsidR="005337F7" w:rsidRPr="004D2314">
        <w:rPr>
          <w:rFonts w:ascii="Times New Roman" w:hAnsi="Times New Roman" w:cs="Times New Roman"/>
          <w:b/>
          <w:bCs/>
          <w:sz w:val="24"/>
          <w:szCs w:val="24"/>
        </w:rPr>
        <w:t>26</w:t>
      </w:r>
      <w:r w:rsidRPr="004D2314">
        <w:rPr>
          <w:rFonts w:ascii="Times New Roman" w:hAnsi="Times New Roman" w:cs="Times New Roman"/>
          <w:sz w:val="24"/>
          <w:szCs w:val="24"/>
        </w:rPr>
        <w:t xml:space="preserve">, les raisons qui peuvent provoquer un risque de crédit lié à la </w:t>
      </w:r>
      <w:r w:rsidRPr="004D2314">
        <w:rPr>
          <w:rFonts w:ascii="Times New Roman" w:hAnsi="Times New Roman" w:cs="Times New Roman"/>
          <w:i/>
          <w:iCs/>
          <w:sz w:val="24"/>
          <w:szCs w:val="24"/>
        </w:rPr>
        <w:t>moucharaka</w:t>
      </w:r>
      <w:r w:rsidRPr="004D2314">
        <w:rPr>
          <w:rFonts w:ascii="Times New Roman" w:hAnsi="Times New Roman" w:cs="Times New Roman"/>
          <w:sz w:val="24"/>
          <w:szCs w:val="24"/>
        </w:rPr>
        <w:t xml:space="preserve"> sont principalement ; la négligence de gestion du projet de la part des partenaires et l’asymétrie d’informations e</w:t>
      </w:r>
      <w:r w:rsidR="00D371EA" w:rsidRPr="004D2314">
        <w:rPr>
          <w:rFonts w:ascii="Times New Roman" w:hAnsi="Times New Roman" w:cs="Times New Roman"/>
          <w:sz w:val="24"/>
          <w:szCs w:val="24"/>
        </w:rPr>
        <w:t>ntre les parties contractantes.</w:t>
      </w:r>
    </w:p>
    <w:p w14:paraId="73DB928A" w14:textId="6C275B3F" w:rsidR="002760B2" w:rsidRPr="002B005F" w:rsidRDefault="00613861" w:rsidP="00F32892">
      <w:pPr>
        <w:pStyle w:val="Lgende"/>
        <w:keepNext/>
        <w:tabs>
          <w:tab w:val="left" w:pos="0"/>
        </w:tabs>
        <w:spacing w:before="100" w:beforeAutospacing="1" w:line="300" w:lineRule="auto"/>
        <w:jc w:val="center"/>
        <w:rPr>
          <w:rFonts w:ascii="Times New Roman" w:hAnsi="Times New Roman" w:cs="Times New Roman"/>
          <w:i/>
          <w:iCs/>
          <w:color w:val="auto"/>
          <w:sz w:val="24"/>
          <w:szCs w:val="24"/>
        </w:rPr>
      </w:pPr>
      <w:bookmarkStart w:id="1368" w:name="_Toc115527437"/>
      <w:r w:rsidRPr="002B005F">
        <w:rPr>
          <w:rFonts w:ascii="Times New Roman" w:hAnsi="Times New Roman" w:cs="Times New Roman"/>
          <w:color w:val="auto"/>
          <w:sz w:val="24"/>
          <w:szCs w:val="24"/>
        </w:rPr>
        <w:t xml:space="preserve">Figure </w:t>
      </w:r>
      <w:r w:rsidR="00B544E5">
        <w:rPr>
          <w:rFonts w:ascii="Times New Roman" w:hAnsi="Times New Roman" w:cs="Times New Roman"/>
          <w:color w:val="auto"/>
          <w:sz w:val="24"/>
          <w:szCs w:val="24"/>
        </w:rPr>
        <w:fldChar w:fldCharType="begin"/>
      </w:r>
      <w:r w:rsidR="00BF1EB6">
        <w:rPr>
          <w:rFonts w:ascii="Times New Roman" w:hAnsi="Times New Roman" w:cs="Times New Roman"/>
          <w:color w:val="auto"/>
          <w:sz w:val="24"/>
          <w:szCs w:val="24"/>
        </w:rPr>
        <w:instrText xml:space="preserve"> SEQ Figure \* ARABIC </w:instrText>
      </w:r>
      <w:r w:rsidR="00B544E5">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26</w:t>
      </w:r>
      <w:r w:rsidR="00B544E5">
        <w:rPr>
          <w:rFonts w:ascii="Times New Roman" w:hAnsi="Times New Roman" w:cs="Times New Roman"/>
          <w:color w:val="auto"/>
          <w:sz w:val="24"/>
          <w:szCs w:val="24"/>
        </w:rPr>
        <w:fldChar w:fldCharType="end"/>
      </w:r>
      <w:r w:rsidR="00C93558" w:rsidRPr="002B005F">
        <w:rPr>
          <w:rFonts w:ascii="Times New Roman" w:hAnsi="Times New Roman" w:cs="Times New Roman"/>
          <w:color w:val="auto"/>
          <w:sz w:val="24"/>
          <w:szCs w:val="24"/>
        </w:rPr>
        <w:t>- Facteurs du risque de crédit liés à</w:t>
      </w:r>
      <w:r w:rsidRPr="002B005F">
        <w:rPr>
          <w:rFonts w:ascii="Times New Roman" w:hAnsi="Times New Roman" w:cs="Times New Roman"/>
          <w:color w:val="auto"/>
          <w:sz w:val="24"/>
          <w:szCs w:val="24"/>
        </w:rPr>
        <w:t xml:space="preserve"> un contrat </w:t>
      </w:r>
      <w:r w:rsidRPr="002B005F">
        <w:rPr>
          <w:rFonts w:ascii="Times New Roman" w:hAnsi="Times New Roman" w:cs="Times New Roman"/>
          <w:i/>
          <w:iCs/>
          <w:color w:val="auto"/>
          <w:sz w:val="24"/>
          <w:szCs w:val="24"/>
        </w:rPr>
        <w:t>moucharaka</w:t>
      </w:r>
      <w:bookmarkEnd w:id="1368"/>
    </w:p>
    <w:p w14:paraId="49919B7D" w14:textId="07914C3D" w:rsidR="000B40EC" w:rsidRPr="002B005F" w:rsidRDefault="002C5EFF" w:rsidP="00D371EA">
      <w:pPr>
        <w:keepNext/>
        <w:spacing w:before="120" w:line="300" w:lineRule="auto"/>
        <w:jc w:val="cente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31616" behindDoc="0" locked="0" layoutInCell="1" allowOverlap="1" wp14:anchorId="163D13E2" wp14:editId="34ADB8A4">
                <wp:simplePos x="0" y="0"/>
                <wp:positionH relativeFrom="margin">
                  <wp:posOffset>420370</wp:posOffset>
                </wp:positionH>
                <wp:positionV relativeFrom="paragraph">
                  <wp:posOffset>133985</wp:posOffset>
                </wp:positionV>
                <wp:extent cx="4919980" cy="2755900"/>
                <wp:effectExtent l="5080" t="8890" r="8890" b="6985"/>
                <wp:wrapNone/>
                <wp:docPr id="191"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980" cy="2755900"/>
                          <a:chOff x="2362" y="1668"/>
                          <a:chExt cx="7748" cy="4340"/>
                        </a:xfrm>
                      </wpg:grpSpPr>
                      <wps:wsp>
                        <wps:cNvPr id="194" name="AutoShape 1265"/>
                        <wps:cNvSpPr>
                          <a:spLocks noChangeArrowheads="1"/>
                        </wps:cNvSpPr>
                        <wps:spPr bwMode="auto">
                          <a:xfrm>
                            <a:off x="4819" y="1668"/>
                            <a:ext cx="2835" cy="85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5C5D2891" w14:textId="77777777" w:rsidR="009C2D83" w:rsidRPr="00897005" w:rsidRDefault="009C2D83" w:rsidP="00897005">
                              <w:pPr>
                                <w:jc w:val="center"/>
                                <w:rPr>
                                  <w:rFonts w:ascii="Times New Roman" w:hAnsi="Times New Roman" w:cs="Times New Roman"/>
                                  <w:b/>
                                  <w:bCs/>
                                  <w:spacing w:val="20"/>
                                  <w:sz w:val="28"/>
                                  <w:szCs w:val="24"/>
                                </w:rPr>
                              </w:pPr>
                              <w:r w:rsidRPr="00897005">
                                <w:rPr>
                                  <w:rFonts w:ascii="Times New Roman" w:hAnsi="Times New Roman" w:cs="Times New Roman"/>
                                  <w:b/>
                                  <w:bCs/>
                                  <w:spacing w:val="20"/>
                                  <w:sz w:val="28"/>
                                  <w:szCs w:val="24"/>
                                </w:rPr>
                                <w:t xml:space="preserve">La </w:t>
                              </w:r>
                              <w:r w:rsidRPr="00897005">
                                <w:rPr>
                                  <w:rFonts w:ascii="Times New Roman" w:hAnsi="Times New Roman" w:cs="Times New Roman"/>
                                  <w:b/>
                                  <w:bCs/>
                                  <w:i/>
                                  <w:iCs/>
                                  <w:spacing w:val="20"/>
                                  <w:sz w:val="28"/>
                                  <w:szCs w:val="24"/>
                                </w:rPr>
                                <w:t>moucharaka</w:t>
                              </w:r>
                            </w:p>
                          </w:txbxContent>
                        </wps:txbx>
                        <wps:bodyPr rot="0" vert="horz" wrap="square" lIns="91440" tIns="45720" rIns="91440" bIns="45720" anchor="ctr" anchorCtr="0" upright="1">
                          <a:noAutofit/>
                        </wps:bodyPr>
                      </wps:wsp>
                      <wps:wsp>
                        <wps:cNvPr id="195" name="AutoShape 1266"/>
                        <wps:cNvSpPr>
                          <a:spLocks noChangeArrowheads="1"/>
                        </wps:cNvSpPr>
                        <wps:spPr bwMode="auto">
                          <a:xfrm>
                            <a:off x="4543" y="3133"/>
                            <a:ext cx="3402" cy="102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5333144C" w14:textId="77777777" w:rsidR="009C2D83" w:rsidRDefault="009C2D83" w:rsidP="00A42632">
                              <w:pPr>
                                <w:jc w:val="center"/>
                                <w:rPr>
                                  <w:rFonts w:ascii="Times New Roman" w:hAnsi="Times New Roman" w:cs="Times New Roman"/>
                                  <w:b/>
                                  <w:bCs/>
                                  <w:sz w:val="24"/>
                                  <w:szCs w:val="24"/>
                                </w:rPr>
                              </w:pPr>
                              <w:r w:rsidRPr="00A42632">
                                <w:rPr>
                                  <w:rFonts w:ascii="Times New Roman" w:hAnsi="Times New Roman" w:cs="Times New Roman"/>
                                  <w:b/>
                                  <w:bCs/>
                                  <w:sz w:val="24"/>
                                  <w:szCs w:val="24"/>
                                </w:rPr>
                                <w:t>Partenariat entre</w:t>
                              </w:r>
                            </w:p>
                            <w:p w14:paraId="7BC73AC9" w14:textId="7EC7D493" w:rsidR="009C2D83" w:rsidRPr="00A42632" w:rsidRDefault="009C2D83" w:rsidP="00A42632">
                              <w:pPr>
                                <w:jc w:val="center"/>
                                <w:rPr>
                                  <w:rFonts w:ascii="Times New Roman" w:hAnsi="Times New Roman" w:cs="Times New Roman"/>
                                  <w:b/>
                                  <w:bCs/>
                                  <w:sz w:val="24"/>
                                  <w:szCs w:val="24"/>
                                </w:rPr>
                              </w:pPr>
                              <w:r w:rsidRPr="00A42632">
                                <w:rPr>
                                  <w:rFonts w:ascii="Times New Roman" w:hAnsi="Times New Roman" w:cs="Times New Roman"/>
                                  <w:b/>
                                  <w:bCs/>
                                  <w:sz w:val="24"/>
                                  <w:szCs w:val="24"/>
                                </w:rPr>
                                <w:t>BI et entrepreneur</w:t>
                              </w:r>
                            </w:p>
                          </w:txbxContent>
                        </wps:txbx>
                        <wps:bodyPr rot="0" vert="horz" wrap="square" lIns="91440" tIns="45720" rIns="91440" bIns="45720" anchor="ctr" anchorCtr="0" upright="1">
                          <a:noAutofit/>
                        </wps:bodyPr>
                      </wps:wsp>
                      <wps:wsp>
                        <wps:cNvPr id="197" name="AutoShape 1267"/>
                        <wps:cNvSpPr>
                          <a:spLocks noChangeArrowheads="1"/>
                        </wps:cNvSpPr>
                        <wps:spPr bwMode="auto">
                          <a:xfrm>
                            <a:off x="2362" y="4761"/>
                            <a:ext cx="3572" cy="1247"/>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68CC69BB" w14:textId="77777777" w:rsidR="009C2D83" w:rsidRPr="00897005" w:rsidRDefault="009C2D83" w:rsidP="00897005">
                              <w:pPr>
                                <w:jc w:val="center"/>
                                <w:rPr>
                                  <w:rFonts w:ascii="Times New Roman" w:hAnsi="Times New Roman" w:cs="Times New Roman"/>
                                  <w:b/>
                                  <w:bCs/>
                                </w:rPr>
                              </w:pPr>
                              <w:r w:rsidRPr="00897005">
                                <w:rPr>
                                  <w:rFonts w:ascii="Times New Roman" w:hAnsi="Times New Roman" w:cs="Times New Roman"/>
                                  <w:b/>
                                  <w:bCs/>
                                </w:rPr>
                                <w:t>Il peut y avoir une asymétrie informationnelle entre les deux partenaires.</w:t>
                              </w:r>
                            </w:p>
                          </w:txbxContent>
                        </wps:txbx>
                        <wps:bodyPr rot="0" vert="horz" wrap="square" lIns="91440" tIns="45720" rIns="91440" bIns="45720" anchor="ctr" anchorCtr="0" upright="1">
                          <a:noAutofit/>
                        </wps:bodyPr>
                      </wps:wsp>
                      <wps:wsp>
                        <wps:cNvPr id="205" name="AutoShape 1268"/>
                        <wps:cNvSpPr>
                          <a:spLocks noChangeArrowheads="1"/>
                        </wps:cNvSpPr>
                        <wps:spPr bwMode="auto">
                          <a:xfrm>
                            <a:off x="6538" y="4761"/>
                            <a:ext cx="3572" cy="1247"/>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13B38B02" w14:textId="77777777" w:rsidR="009C2D83" w:rsidRPr="00897005" w:rsidRDefault="009C2D83" w:rsidP="00897005">
                              <w:pPr>
                                <w:jc w:val="center"/>
                                <w:rPr>
                                  <w:rFonts w:ascii="Times New Roman" w:hAnsi="Times New Roman" w:cs="Times New Roman"/>
                                  <w:b/>
                                  <w:bCs/>
                                </w:rPr>
                              </w:pPr>
                              <w:r w:rsidRPr="00897005">
                                <w:rPr>
                                  <w:rFonts w:ascii="Times New Roman" w:hAnsi="Times New Roman" w:cs="Times New Roman"/>
                                  <w:b/>
                                  <w:bCs/>
                                </w:rPr>
                                <w:t>Il peut y avoir une négligence au niveau du management du projet au niveau comptable.</w:t>
                              </w:r>
                            </w:p>
                          </w:txbxContent>
                        </wps:txbx>
                        <wps:bodyPr rot="0" vert="horz" wrap="square" lIns="91440" tIns="45720" rIns="91440" bIns="45720" anchor="ctr" anchorCtr="0" upright="1">
                          <a:noAutofit/>
                        </wps:bodyPr>
                      </wps:wsp>
                      <wps:wsp>
                        <wps:cNvPr id="206" name="AutoShape 1269"/>
                        <wps:cNvSpPr>
                          <a:spLocks noChangeArrowheads="1"/>
                        </wps:cNvSpPr>
                        <wps:spPr bwMode="auto">
                          <a:xfrm>
                            <a:off x="6101" y="2542"/>
                            <a:ext cx="283" cy="567"/>
                          </a:xfrm>
                          <a:prstGeom prst="downArrow">
                            <a:avLst>
                              <a:gd name="adj1" fmla="val 50000"/>
                              <a:gd name="adj2" fmla="val 50088"/>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wps:wsp>
                        <wps:cNvPr id="207" name="AutoShape 1270"/>
                        <wps:cNvSpPr>
                          <a:spLocks noChangeArrowheads="1"/>
                        </wps:cNvSpPr>
                        <wps:spPr bwMode="auto">
                          <a:xfrm rot="16200000" flipH="1">
                            <a:off x="3664" y="3826"/>
                            <a:ext cx="1191" cy="567"/>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208" name="AutoShape 1271"/>
                        <wps:cNvSpPr>
                          <a:spLocks noChangeArrowheads="1"/>
                        </wps:cNvSpPr>
                        <wps:spPr bwMode="auto">
                          <a:xfrm rot="5400000">
                            <a:off x="7633" y="3827"/>
                            <a:ext cx="1191" cy="567"/>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D13E2" id="Group 1264" o:spid="_x0000_s1213" style="position:absolute;left:0;text-align:left;margin-left:33.1pt;margin-top:10.55pt;width:387.4pt;height:217pt;z-index:251631616;mso-position-horizontal-relative:margin" coordorigin="2362,1668" coordsize="7748,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">
                <v:roundrect id="AutoShape 1265" o:spid="_x0000_s1214" style="position:absolute;left:4819;top:1668;width:2835;height: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" fillcolor="#bdd6ee [1300]">
                  <v:textbox>
                    <w:txbxContent>
                      <w:p w14:paraId="5C5D2891" w14:textId="77777777" w:rsidR="009C2D83" w:rsidRPr="00897005" w:rsidRDefault="009C2D83" w:rsidP="00897005">
                        <w:pPr>
                          <w:jc w:val="center"/>
                          <w:rPr>
                            <w:rFonts w:ascii="Times New Roman" w:hAnsi="Times New Roman" w:cs="Times New Roman"/>
                            <w:b/>
                            <w:bCs/>
                            <w:spacing w:val="20"/>
                            <w:sz w:val="28"/>
                            <w:szCs w:val="24"/>
                          </w:rPr>
                        </w:pPr>
                        <w:r w:rsidRPr="00897005">
                          <w:rPr>
                            <w:rFonts w:ascii="Times New Roman" w:hAnsi="Times New Roman" w:cs="Times New Roman"/>
                            <w:b/>
                            <w:bCs/>
                            <w:spacing w:val="20"/>
                            <w:sz w:val="28"/>
                            <w:szCs w:val="24"/>
                          </w:rPr>
                          <w:t xml:space="preserve">La </w:t>
                        </w:r>
                        <w:r w:rsidRPr="00897005">
                          <w:rPr>
                            <w:rFonts w:ascii="Times New Roman" w:hAnsi="Times New Roman" w:cs="Times New Roman"/>
                            <w:b/>
                            <w:bCs/>
                            <w:i/>
                            <w:iCs/>
                            <w:spacing w:val="20"/>
                            <w:sz w:val="28"/>
                            <w:szCs w:val="24"/>
                          </w:rPr>
                          <w:t>moucharaka</w:t>
                        </w:r>
                      </w:p>
                    </w:txbxContent>
                  </v:textbox>
                </v:roundrect>
                <v:roundrect id="AutoShape 1266" o:spid="_x0000_s1215" style="position:absolute;left:4543;top:3133;width:3402;height:1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" fillcolor="#bdd6ee [1300]">
                  <v:textbox>
                    <w:txbxContent>
                      <w:p w14:paraId="5333144C" w14:textId="77777777" w:rsidR="009C2D83" w:rsidRDefault="009C2D83" w:rsidP="00A42632">
                        <w:pPr>
                          <w:jc w:val="center"/>
                          <w:rPr>
                            <w:rFonts w:ascii="Times New Roman" w:hAnsi="Times New Roman" w:cs="Times New Roman"/>
                            <w:b/>
                            <w:bCs/>
                            <w:sz w:val="24"/>
                            <w:szCs w:val="24"/>
                          </w:rPr>
                        </w:pPr>
                        <w:r w:rsidRPr="00A42632">
                          <w:rPr>
                            <w:rFonts w:ascii="Times New Roman" w:hAnsi="Times New Roman" w:cs="Times New Roman"/>
                            <w:b/>
                            <w:bCs/>
                            <w:sz w:val="24"/>
                            <w:szCs w:val="24"/>
                          </w:rPr>
                          <w:t>Partenariat entre</w:t>
                        </w:r>
                      </w:p>
                      <w:p w14:paraId="7BC73AC9" w14:textId="7EC7D493" w:rsidR="009C2D83" w:rsidRPr="00A42632" w:rsidRDefault="009C2D83" w:rsidP="00A42632">
                        <w:pPr>
                          <w:jc w:val="center"/>
                          <w:rPr>
                            <w:rFonts w:ascii="Times New Roman" w:hAnsi="Times New Roman" w:cs="Times New Roman"/>
                            <w:b/>
                            <w:bCs/>
                            <w:sz w:val="24"/>
                            <w:szCs w:val="24"/>
                          </w:rPr>
                        </w:pPr>
                        <w:r w:rsidRPr="00A42632">
                          <w:rPr>
                            <w:rFonts w:ascii="Times New Roman" w:hAnsi="Times New Roman" w:cs="Times New Roman"/>
                            <w:b/>
                            <w:bCs/>
                            <w:sz w:val="24"/>
                            <w:szCs w:val="24"/>
                          </w:rPr>
                          <w:t>BI et entrepreneur</w:t>
                        </w:r>
                      </w:p>
                    </w:txbxContent>
                  </v:textbox>
                </v:roundrect>
                <v:roundrect id="AutoShape 1267" o:spid="_x0000_s1216" style="position:absolute;left:2362;top:4761;width:3572;height:1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" fillcolor="#bdd6ee [1300]">
                  <v:textbox>
                    <w:txbxContent>
                      <w:p w14:paraId="68CC69BB" w14:textId="77777777" w:rsidR="009C2D83" w:rsidRPr="00897005" w:rsidRDefault="009C2D83" w:rsidP="00897005">
                        <w:pPr>
                          <w:jc w:val="center"/>
                          <w:rPr>
                            <w:rFonts w:ascii="Times New Roman" w:hAnsi="Times New Roman" w:cs="Times New Roman"/>
                            <w:b/>
                            <w:bCs/>
                          </w:rPr>
                        </w:pPr>
                        <w:r w:rsidRPr="00897005">
                          <w:rPr>
                            <w:rFonts w:ascii="Times New Roman" w:hAnsi="Times New Roman" w:cs="Times New Roman"/>
                            <w:b/>
                            <w:bCs/>
                          </w:rPr>
                          <w:t>Il peut y avoir une asymétrie informationnelle entre les deux partenaires.</w:t>
                        </w:r>
                      </w:p>
                    </w:txbxContent>
                  </v:textbox>
                </v:roundrect>
                <v:roundrect id="AutoShape 1268" o:spid="_x0000_s1217" style="position:absolute;left:6538;top:4761;width:3572;height:1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" fillcolor="#bdd6ee [1300]">
                  <v:textbox>
                    <w:txbxContent>
                      <w:p w14:paraId="13B38B02" w14:textId="77777777" w:rsidR="009C2D83" w:rsidRPr="00897005" w:rsidRDefault="009C2D83" w:rsidP="00897005">
                        <w:pPr>
                          <w:jc w:val="center"/>
                          <w:rPr>
                            <w:rFonts w:ascii="Times New Roman" w:hAnsi="Times New Roman" w:cs="Times New Roman"/>
                            <w:b/>
                            <w:bCs/>
                          </w:rPr>
                        </w:pPr>
                        <w:r w:rsidRPr="00897005">
                          <w:rPr>
                            <w:rFonts w:ascii="Times New Roman" w:hAnsi="Times New Roman" w:cs="Times New Roman"/>
                            <w:b/>
                            <w:bCs/>
                          </w:rPr>
                          <w:t>Il peut y avoir une négligence au niveau du management du projet au niveau comptable.</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69" o:spid="_x0000_s1218" type="#_x0000_t67" style="position:absolute;left:6101;top:2542;width:28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" fillcolor="#8496b0 [1951]">
                  <v:textbox style="layout-flow:vertical-ideographic"/>
                </v:shape>
                <v:shape id="AutoShape 1270" o:spid="_x0000_s1219" style="position:absolute;left:3664;top:3826;width:1191;height:567;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" path="m21600,6079l15126,r,2912l12427,2912c5564,2912,,7052,,12158r,9442l6474,21600r,-9442c6474,10550,9139,9246,12427,9246r2699,l15126,12158,21600,6079xe" fillcolor="#0070c0">
                  <v:stroke joinstyle="miter"/>
                  <v:path o:connecttype="custom" o:connectlocs="834,0;834,319;178,567;1191,160" o:connectangles="270,90,90,0" textboxrect="12423,2895,18227,9257"/>
                </v:shape>
                <v:shape id="AutoShape 1271" o:spid="_x0000_s1220" style="position:absolute;left:7633;top:3827;width:1191;height:5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" path="m21600,6079l15126,r,2912l12427,2912c5564,2912,,7052,,12158r,9442l6474,21600r,-9442c6474,10550,9139,9246,12427,9246r2699,l15126,12158,21600,6079xe" fillcolor="#0070c0">
                  <v:stroke joinstyle="miter"/>
                  <v:path o:connecttype="custom" o:connectlocs="834,0;834,319;178,567;1191,160" o:connectangles="270,90,90,0" textboxrect="12423,2895,18227,9257"/>
                </v:shape>
                <w10:wrap anchorx="margin"/>
              </v:group>
            </w:pict>
          </mc:Fallback>
        </mc:AlternateContent>
      </w:r>
    </w:p>
    <w:p w14:paraId="7206DEDA" w14:textId="77777777" w:rsidR="000B40EC" w:rsidRPr="002B005F" w:rsidRDefault="000B40EC" w:rsidP="00D371EA">
      <w:pPr>
        <w:keepNext/>
        <w:spacing w:before="120" w:line="300" w:lineRule="auto"/>
        <w:jc w:val="center"/>
        <w:rPr>
          <w:rFonts w:ascii="Times New Roman" w:hAnsi="Times New Roman" w:cs="Times New Roman"/>
          <w:sz w:val="24"/>
          <w:szCs w:val="24"/>
        </w:rPr>
      </w:pPr>
    </w:p>
    <w:p w14:paraId="0CA0463D" w14:textId="77777777" w:rsidR="000B40EC" w:rsidRPr="002B005F" w:rsidRDefault="000B40EC" w:rsidP="00D371EA">
      <w:pPr>
        <w:keepNext/>
        <w:spacing w:before="120" w:line="300" w:lineRule="auto"/>
        <w:jc w:val="center"/>
        <w:rPr>
          <w:rFonts w:ascii="Times New Roman" w:hAnsi="Times New Roman" w:cs="Times New Roman"/>
          <w:sz w:val="24"/>
          <w:szCs w:val="24"/>
        </w:rPr>
      </w:pPr>
    </w:p>
    <w:p w14:paraId="7BB33B25" w14:textId="77777777" w:rsidR="000B40EC" w:rsidRPr="002B005F" w:rsidRDefault="000B40EC" w:rsidP="00D371EA">
      <w:pPr>
        <w:keepNext/>
        <w:spacing w:before="120" w:line="300" w:lineRule="auto"/>
        <w:jc w:val="center"/>
        <w:rPr>
          <w:rFonts w:ascii="Times New Roman" w:hAnsi="Times New Roman" w:cs="Times New Roman"/>
          <w:sz w:val="24"/>
          <w:szCs w:val="24"/>
        </w:rPr>
      </w:pPr>
    </w:p>
    <w:p w14:paraId="25F0E1FF" w14:textId="77777777" w:rsidR="000B40EC" w:rsidRPr="002B005F" w:rsidRDefault="000B40EC" w:rsidP="00D371EA">
      <w:pPr>
        <w:keepNext/>
        <w:tabs>
          <w:tab w:val="left" w:pos="0"/>
        </w:tabs>
        <w:autoSpaceDE w:val="0"/>
        <w:autoSpaceDN w:val="0"/>
        <w:adjustRightInd w:val="0"/>
        <w:spacing w:before="120" w:line="300" w:lineRule="auto"/>
        <w:jc w:val="center"/>
        <w:rPr>
          <w:rFonts w:ascii="Times New Roman" w:hAnsi="Times New Roman" w:cs="Times New Roman"/>
          <w:noProof/>
          <w:color w:val="333333"/>
          <w:sz w:val="28"/>
          <w:szCs w:val="28"/>
          <w:lang w:eastAsia="fr-FR"/>
        </w:rPr>
      </w:pPr>
    </w:p>
    <w:p w14:paraId="251AA850" w14:textId="77777777" w:rsidR="000B40EC" w:rsidRPr="002B005F" w:rsidRDefault="000B40EC" w:rsidP="00D371EA">
      <w:pPr>
        <w:keepNext/>
        <w:tabs>
          <w:tab w:val="left" w:pos="0"/>
        </w:tabs>
        <w:autoSpaceDE w:val="0"/>
        <w:autoSpaceDN w:val="0"/>
        <w:adjustRightInd w:val="0"/>
        <w:spacing w:before="120" w:line="300" w:lineRule="auto"/>
        <w:jc w:val="center"/>
        <w:rPr>
          <w:rFonts w:ascii="Times New Roman" w:hAnsi="Times New Roman" w:cs="Times New Roman"/>
          <w:noProof/>
          <w:color w:val="333333"/>
          <w:sz w:val="28"/>
          <w:szCs w:val="28"/>
          <w:lang w:eastAsia="fr-FR"/>
        </w:rPr>
      </w:pPr>
    </w:p>
    <w:p w14:paraId="0AB7D324" w14:textId="77777777" w:rsidR="000B40EC" w:rsidRPr="002B005F" w:rsidRDefault="000B40EC" w:rsidP="00D371EA">
      <w:pPr>
        <w:keepNext/>
        <w:tabs>
          <w:tab w:val="left" w:pos="0"/>
        </w:tabs>
        <w:autoSpaceDE w:val="0"/>
        <w:autoSpaceDN w:val="0"/>
        <w:adjustRightInd w:val="0"/>
        <w:spacing w:before="120" w:line="300" w:lineRule="auto"/>
        <w:jc w:val="center"/>
        <w:rPr>
          <w:rFonts w:ascii="Times New Roman" w:hAnsi="Times New Roman" w:cs="Times New Roman"/>
          <w:noProof/>
          <w:color w:val="333333"/>
          <w:sz w:val="28"/>
          <w:szCs w:val="28"/>
          <w:lang w:eastAsia="fr-FR"/>
        </w:rPr>
      </w:pPr>
    </w:p>
    <w:p w14:paraId="492BC9E5" w14:textId="77777777" w:rsidR="000B40EC" w:rsidRPr="002B005F" w:rsidRDefault="000B40EC" w:rsidP="00D371EA">
      <w:pPr>
        <w:keepNext/>
        <w:tabs>
          <w:tab w:val="left" w:pos="0"/>
        </w:tabs>
        <w:autoSpaceDE w:val="0"/>
        <w:autoSpaceDN w:val="0"/>
        <w:adjustRightInd w:val="0"/>
        <w:spacing w:before="120" w:line="300" w:lineRule="auto"/>
        <w:jc w:val="center"/>
        <w:rPr>
          <w:rFonts w:ascii="Times New Roman" w:hAnsi="Times New Roman" w:cs="Times New Roman"/>
          <w:noProof/>
          <w:color w:val="333333"/>
          <w:sz w:val="28"/>
          <w:szCs w:val="28"/>
          <w:lang w:eastAsia="fr-FR"/>
        </w:rPr>
      </w:pPr>
    </w:p>
    <w:p w14:paraId="2FED2A6A" w14:textId="77777777" w:rsidR="000B40EC" w:rsidRPr="002B005F" w:rsidRDefault="000B40EC" w:rsidP="00F32892">
      <w:pPr>
        <w:keepNext/>
        <w:tabs>
          <w:tab w:val="left" w:pos="0"/>
        </w:tabs>
        <w:autoSpaceDE w:val="0"/>
        <w:autoSpaceDN w:val="0"/>
        <w:adjustRightInd w:val="0"/>
        <w:spacing w:before="120" w:line="300" w:lineRule="auto"/>
        <w:rPr>
          <w:rFonts w:ascii="Times New Roman" w:hAnsi="Times New Roman" w:cs="Times New Roman"/>
          <w:noProof/>
          <w:color w:val="333333"/>
          <w:sz w:val="28"/>
          <w:szCs w:val="28"/>
          <w:lang w:eastAsia="fr-FR"/>
        </w:rPr>
      </w:pPr>
    </w:p>
    <w:p w14:paraId="3880DE47" w14:textId="77777777" w:rsidR="00E51383" w:rsidRPr="003D11FE" w:rsidRDefault="002760B2" w:rsidP="00F32892">
      <w:pPr>
        <w:keepNext/>
        <w:tabs>
          <w:tab w:val="left" w:pos="0"/>
        </w:tabs>
        <w:autoSpaceDE w:val="0"/>
        <w:autoSpaceDN w:val="0"/>
        <w:adjustRightInd w:val="0"/>
        <w:spacing w:before="100" w:beforeAutospacing="1" w:after="100" w:afterAutospacing="1" w:line="300" w:lineRule="auto"/>
        <w:jc w:val="center"/>
        <w:rPr>
          <w:rFonts w:ascii="Times New Roman" w:hAnsi="Times New Roman" w:cs="Times New Roman"/>
          <w:sz w:val="20"/>
          <w:szCs w:val="20"/>
        </w:rPr>
      </w:pPr>
      <w:r w:rsidRPr="002B005F">
        <w:rPr>
          <w:rFonts w:ascii="Times New Roman" w:hAnsi="Times New Roman" w:cs="Times New Roman"/>
          <w:sz w:val="20"/>
          <w:szCs w:val="20"/>
        </w:rPr>
        <w:t>Source : Travail du chercheur.</w:t>
      </w:r>
    </w:p>
    <w:p w14:paraId="658E8D31" w14:textId="77777777" w:rsidR="007B64B9" w:rsidRDefault="007B64B9" w:rsidP="00E02EEC">
      <w:pPr>
        <w:pStyle w:val="Titre5"/>
        <w:keepNext w:val="0"/>
        <w:keepLines w:val="0"/>
        <w:suppressAutoHyphens/>
        <w:spacing w:before="120" w:after="120" w:line="300" w:lineRule="auto"/>
        <w:ind w:firstLine="709"/>
        <w:rPr>
          <w:rFonts w:asciiTheme="majorBidi" w:hAnsiTheme="majorBidi"/>
          <w:b/>
          <w:bCs/>
          <w:color w:val="auto"/>
          <w:sz w:val="24"/>
          <w:szCs w:val="24"/>
          <w:rtl/>
        </w:rPr>
      </w:pPr>
    </w:p>
    <w:p w14:paraId="20E06F11" w14:textId="77777777" w:rsidR="007B64B9" w:rsidRDefault="007B64B9" w:rsidP="00E02EEC">
      <w:pPr>
        <w:pStyle w:val="Titre5"/>
        <w:keepNext w:val="0"/>
        <w:keepLines w:val="0"/>
        <w:suppressAutoHyphens/>
        <w:spacing w:before="120" w:after="120" w:line="300" w:lineRule="auto"/>
        <w:ind w:firstLine="709"/>
        <w:rPr>
          <w:rFonts w:asciiTheme="majorBidi" w:hAnsiTheme="majorBidi"/>
          <w:b/>
          <w:bCs/>
          <w:color w:val="auto"/>
          <w:sz w:val="24"/>
          <w:szCs w:val="24"/>
          <w:rtl/>
        </w:rPr>
      </w:pPr>
    </w:p>
    <w:p w14:paraId="42DC255B" w14:textId="28CB78A7" w:rsidR="00E51383" w:rsidRPr="00F32892" w:rsidRDefault="00E51383" w:rsidP="00E02EEC">
      <w:pPr>
        <w:pStyle w:val="Titre5"/>
        <w:keepNext w:val="0"/>
        <w:keepLines w:val="0"/>
        <w:suppressAutoHyphens/>
        <w:spacing w:before="120" w:after="120" w:line="300" w:lineRule="auto"/>
        <w:ind w:firstLine="709"/>
        <w:rPr>
          <w:rFonts w:asciiTheme="majorBidi" w:hAnsiTheme="majorBidi"/>
          <w:b/>
          <w:bCs/>
          <w:color w:val="auto"/>
          <w:sz w:val="24"/>
          <w:szCs w:val="24"/>
        </w:rPr>
      </w:pPr>
      <w:bookmarkStart w:id="1369" w:name="_Toc182298866"/>
      <w:r w:rsidRPr="00F32892">
        <w:rPr>
          <w:rFonts w:asciiTheme="majorBidi" w:hAnsiTheme="majorBidi"/>
          <w:b/>
          <w:bCs/>
          <w:color w:val="auto"/>
          <w:sz w:val="24"/>
          <w:szCs w:val="24"/>
        </w:rPr>
        <w:lastRenderedPageBreak/>
        <w:t xml:space="preserve">3.1.1.2- Risque de crédit liés à un contrat </w:t>
      </w:r>
      <w:r w:rsidRPr="00F32892">
        <w:rPr>
          <w:rFonts w:asciiTheme="majorBidi" w:hAnsiTheme="majorBidi"/>
          <w:b/>
          <w:bCs/>
          <w:i/>
          <w:iCs/>
          <w:color w:val="auto"/>
          <w:sz w:val="24"/>
          <w:szCs w:val="24"/>
        </w:rPr>
        <w:t>moudaraba</w:t>
      </w:r>
      <w:bookmarkEnd w:id="1369"/>
    </w:p>
    <w:p w14:paraId="1291EC8D" w14:textId="77777777" w:rsidR="002760B2" w:rsidRPr="002B005F" w:rsidRDefault="002760B2" w:rsidP="00E02EEC">
      <w:pPr>
        <w:tabs>
          <w:tab w:val="left" w:pos="0"/>
        </w:tabs>
        <w:suppressAutoHyphen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Pour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il existe un risque de crédit à double volets. Dans le cas banque -investisseur, le risque de crédit augmente en cas où :</w:t>
      </w:r>
    </w:p>
    <w:p w14:paraId="032CA48F" w14:textId="77777777" w:rsidR="002760B2" w:rsidRPr="002B005F" w:rsidRDefault="002760B2" w:rsidP="00CB0FF1">
      <w:pPr>
        <w:pStyle w:val="Paragraphedeliste"/>
        <w:numPr>
          <w:ilvl w:val="0"/>
          <w:numId w:val="27"/>
        </w:numPr>
        <w:tabs>
          <w:tab w:val="left" w:pos="284"/>
          <w:tab w:val="left" w:pos="851"/>
          <w:tab w:val="left" w:pos="1134"/>
        </w:tabs>
        <w:suppressAutoHyphens/>
        <w:autoSpaceDE w:val="0"/>
        <w:autoSpaceDN w:val="0"/>
        <w:adjustRightInd w:val="0"/>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L’entrepreneur abuse le capital ;</w:t>
      </w:r>
    </w:p>
    <w:p w14:paraId="62B1B26D" w14:textId="77777777" w:rsidR="002760B2" w:rsidRPr="002B005F" w:rsidRDefault="002760B2" w:rsidP="00CB0FF1">
      <w:pPr>
        <w:pStyle w:val="Paragraphedeliste"/>
        <w:numPr>
          <w:ilvl w:val="0"/>
          <w:numId w:val="27"/>
        </w:numPr>
        <w:tabs>
          <w:tab w:val="left" w:pos="284"/>
          <w:tab w:val="left" w:pos="851"/>
          <w:tab w:val="left" w:pos="1134"/>
        </w:tabs>
        <w:autoSpaceDE w:val="0"/>
        <w:autoSpaceDN w:val="0"/>
        <w:adjustRightInd w:val="0"/>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Le client peut annoncer un bénéfice nul ou une perte par certaines méthodes ;</w:t>
      </w:r>
    </w:p>
    <w:p w14:paraId="5616ED72" w14:textId="77777777" w:rsidR="002760B2" w:rsidRPr="002B005F" w:rsidRDefault="002760B2" w:rsidP="00CB0FF1">
      <w:pPr>
        <w:pStyle w:val="Paragraphedeliste"/>
        <w:numPr>
          <w:ilvl w:val="0"/>
          <w:numId w:val="27"/>
        </w:numPr>
        <w:tabs>
          <w:tab w:val="left" w:pos="284"/>
          <w:tab w:val="left" w:pos="851"/>
          <w:tab w:val="left" w:pos="1134"/>
        </w:tabs>
        <w:autoSpaceDE w:val="0"/>
        <w:autoSpaceDN w:val="0"/>
        <w:adjustRightInd w:val="0"/>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Le client peut négliger la gestion du projet financé et présen</w:t>
      </w:r>
      <w:r w:rsidR="004F69D7" w:rsidRPr="002B005F">
        <w:rPr>
          <w:rFonts w:ascii="Times New Roman" w:hAnsi="Times New Roman" w:cs="Times New Roman"/>
          <w:sz w:val="24"/>
          <w:szCs w:val="24"/>
        </w:rPr>
        <w:t>te de faux rapports comptables.</w:t>
      </w:r>
    </w:p>
    <w:p w14:paraId="48A003D5" w14:textId="77777777" w:rsidR="002760B2" w:rsidRPr="002B005F" w:rsidRDefault="002760B2" w:rsidP="00805C34">
      <w:pPr>
        <w:tabs>
          <w:tab w:val="left" w:pos="0"/>
          <w:tab w:val="left" w:pos="284"/>
        </w:tabs>
        <w:autoSpaceDE w:val="0"/>
        <w:autoSpaceDN w:val="0"/>
        <w:adjustRightInd w:val="0"/>
        <w:spacing w:before="120" w:line="300" w:lineRule="auto"/>
        <w:ind w:firstLine="709"/>
        <w:rPr>
          <w:rFonts w:ascii="Times New Roman" w:hAnsi="Times New Roman" w:cs="Times New Roman"/>
          <w:color w:val="000000"/>
          <w:sz w:val="24"/>
          <w:szCs w:val="24"/>
        </w:rPr>
      </w:pPr>
      <w:r w:rsidRPr="002B005F">
        <w:rPr>
          <w:rFonts w:ascii="Times New Roman" w:hAnsi="Times New Roman" w:cs="Times New Roman"/>
          <w:color w:val="000000"/>
          <w:sz w:val="24"/>
          <w:szCs w:val="24"/>
        </w:rPr>
        <w:t>Lorsque la banque joue le rôle d’emprunteur, le risque de crédit augmente en cas où :</w:t>
      </w:r>
    </w:p>
    <w:p w14:paraId="3DBFDEEA" w14:textId="77777777" w:rsidR="002760B2" w:rsidRPr="002B005F" w:rsidRDefault="002760B2" w:rsidP="00CB0FF1">
      <w:pPr>
        <w:pStyle w:val="Paragraphedeliste"/>
        <w:numPr>
          <w:ilvl w:val="0"/>
          <w:numId w:val="28"/>
        </w:numPr>
        <w:tabs>
          <w:tab w:val="left" w:pos="284"/>
          <w:tab w:val="left" w:pos="851"/>
          <w:tab w:val="left" w:pos="1134"/>
        </w:tabs>
        <w:autoSpaceDE w:val="0"/>
        <w:autoSpaceDN w:val="0"/>
        <w:adjustRightInd w:val="0"/>
        <w:spacing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La banque ne fournit pas d’informations sur la destination des fonds empruntés ;</w:t>
      </w:r>
    </w:p>
    <w:p w14:paraId="04D79D5D" w14:textId="77777777" w:rsidR="002760B2" w:rsidRPr="002B005F" w:rsidRDefault="002760B2" w:rsidP="00CB0FF1">
      <w:pPr>
        <w:pStyle w:val="Paragraphedeliste"/>
        <w:numPr>
          <w:ilvl w:val="0"/>
          <w:numId w:val="28"/>
        </w:numPr>
        <w:tabs>
          <w:tab w:val="left" w:pos="284"/>
          <w:tab w:val="left" w:pos="851"/>
          <w:tab w:val="left" w:pos="1134"/>
        </w:tabs>
        <w:autoSpaceDE w:val="0"/>
        <w:autoSpaceDN w:val="0"/>
        <w:adjustRightInd w:val="0"/>
        <w:spacing w:line="300" w:lineRule="auto"/>
        <w:ind w:left="1135" w:hanging="284"/>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La banque peut placer une part du profit réalisé dans la PER et/ou L’IRR sans avoir informé les titulair</w:t>
      </w:r>
      <w:r w:rsidR="00020C56" w:rsidRPr="002B005F">
        <w:rPr>
          <w:rFonts w:ascii="Times New Roman" w:hAnsi="Times New Roman" w:cs="Times New Roman"/>
          <w:color w:val="000000"/>
          <w:sz w:val="24"/>
          <w:szCs w:val="24"/>
        </w:rPr>
        <w:t>es de comptes d’investissement.</w:t>
      </w:r>
    </w:p>
    <w:p w14:paraId="5EBCB0E8" w14:textId="77777777" w:rsidR="002760B2" w:rsidRPr="002B005F" w:rsidRDefault="002760B2" w:rsidP="007B64B9">
      <w:pPr>
        <w:pStyle w:val="Paragraphedeliste"/>
        <w:tabs>
          <w:tab w:val="left" w:pos="0"/>
          <w:tab w:val="left" w:pos="284"/>
        </w:tabs>
        <w:autoSpaceDE w:val="0"/>
        <w:autoSpaceDN w:val="0"/>
        <w:adjustRightInd w:val="0"/>
        <w:spacing w:before="100" w:beforeAutospacing="1" w:line="300" w:lineRule="auto"/>
        <w:ind w:left="0" w:firstLine="709"/>
        <w:contextualSpacing w:val="0"/>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Il peut y avoir une négligence de la part de la banque durant la période d’utilisation des dépôts ou au niveau comptable. </w:t>
      </w:r>
      <w:r w:rsidRPr="002B005F">
        <w:rPr>
          <w:rFonts w:ascii="Times New Roman" w:hAnsi="Times New Roman" w:cs="Times New Roman"/>
          <w:b/>
          <w:bCs/>
          <w:color w:val="000000"/>
          <w:sz w:val="24"/>
          <w:szCs w:val="24"/>
        </w:rPr>
        <w:t>La figure ci-dessous</w:t>
      </w:r>
      <w:r w:rsidRPr="002B005F">
        <w:rPr>
          <w:rFonts w:ascii="Times New Roman" w:hAnsi="Times New Roman" w:cs="Times New Roman"/>
          <w:color w:val="000000"/>
          <w:sz w:val="24"/>
          <w:szCs w:val="24"/>
        </w:rPr>
        <w:t xml:space="preserve"> montre toutes les raisons possibles de l’accroissement du risque de crédit lié à un contrat </w:t>
      </w:r>
      <w:r w:rsidR="004A4E16" w:rsidRPr="002B005F">
        <w:rPr>
          <w:rFonts w:ascii="Times New Roman" w:hAnsi="Times New Roman" w:cs="Times New Roman"/>
          <w:i/>
          <w:color w:val="000000"/>
          <w:sz w:val="24"/>
          <w:szCs w:val="24"/>
        </w:rPr>
        <w:t>moudaraba</w:t>
      </w:r>
      <w:r w:rsidRPr="002B005F">
        <w:rPr>
          <w:rFonts w:ascii="Times New Roman" w:hAnsi="Times New Roman" w:cs="Times New Roman"/>
          <w:color w:val="000000"/>
          <w:sz w:val="24"/>
          <w:szCs w:val="24"/>
        </w:rPr>
        <w:t> :</w:t>
      </w:r>
    </w:p>
    <w:p w14:paraId="07DB8FFF" w14:textId="1FF11DF1" w:rsidR="009F0D53" w:rsidRPr="002B005F" w:rsidRDefault="009F0D53" w:rsidP="004D2314">
      <w:pPr>
        <w:pStyle w:val="Lgende"/>
        <w:keepNext/>
        <w:tabs>
          <w:tab w:val="left" w:pos="0"/>
        </w:tabs>
        <w:spacing w:before="100" w:beforeAutospacing="1" w:after="120" w:line="300" w:lineRule="auto"/>
        <w:jc w:val="center"/>
        <w:rPr>
          <w:rFonts w:ascii="Times New Roman" w:hAnsi="Times New Roman" w:cs="Times New Roman"/>
          <w:color w:val="auto"/>
          <w:sz w:val="24"/>
          <w:szCs w:val="24"/>
        </w:rPr>
      </w:pPr>
      <w:bookmarkStart w:id="1370" w:name="_Toc115527438"/>
      <w:r w:rsidRPr="002B005F">
        <w:rPr>
          <w:rFonts w:ascii="Times New Roman" w:hAnsi="Times New Roman" w:cs="Times New Roman"/>
          <w:color w:val="auto"/>
          <w:sz w:val="24"/>
          <w:szCs w:val="24"/>
        </w:rPr>
        <w:t xml:space="preserve">Figure </w:t>
      </w:r>
      <w:r w:rsidR="00B544E5">
        <w:rPr>
          <w:rFonts w:ascii="Times New Roman" w:hAnsi="Times New Roman" w:cs="Times New Roman"/>
          <w:color w:val="auto"/>
          <w:sz w:val="24"/>
          <w:szCs w:val="24"/>
        </w:rPr>
        <w:fldChar w:fldCharType="begin"/>
      </w:r>
      <w:r w:rsidR="00BF1EB6">
        <w:rPr>
          <w:rFonts w:ascii="Times New Roman" w:hAnsi="Times New Roman" w:cs="Times New Roman"/>
          <w:color w:val="auto"/>
          <w:sz w:val="24"/>
          <w:szCs w:val="24"/>
        </w:rPr>
        <w:instrText xml:space="preserve"> SEQ Figure \* ARABIC </w:instrText>
      </w:r>
      <w:r w:rsidR="00B544E5">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27</w:t>
      </w:r>
      <w:r w:rsidR="00B544E5">
        <w:rPr>
          <w:rFonts w:ascii="Times New Roman" w:hAnsi="Times New Roman" w:cs="Times New Roman"/>
          <w:color w:val="auto"/>
          <w:sz w:val="24"/>
          <w:szCs w:val="24"/>
        </w:rPr>
        <w:fldChar w:fldCharType="end"/>
      </w:r>
      <w:r w:rsidR="00C93276" w:rsidRPr="002B005F">
        <w:rPr>
          <w:rFonts w:ascii="Times New Roman" w:hAnsi="Times New Roman" w:cs="Times New Roman"/>
          <w:color w:val="auto"/>
          <w:sz w:val="24"/>
          <w:szCs w:val="24"/>
        </w:rPr>
        <w:t>-</w:t>
      </w:r>
      <w:r w:rsidR="00E51383" w:rsidRPr="002B005F">
        <w:rPr>
          <w:rFonts w:ascii="Times New Roman" w:hAnsi="Times New Roman" w:cs="Times New Roman"/>
          <w:color w:val="auto"/>
          <w:sz w:val="24"/>
          <w:szCs w:val="24"/>
        </w:rPr>
        <w:t xml:space="preserve"> F</w:t>
      </w:r>
      <w:r w:rsidR="00C93276" w:rsidRPr="002B005F">
        <w:rPr>
          <w:rFonts w:ascii="Times New Roman" w:hAnsi="Times New Roman" w:cs="Times New Roman"/>
          <w:color w:val="auto"/>
          <w:sz w:val="24"/>
          <w:szCs w:val="24"/>
        </w:rPr>
        <w:t>acteurs du risque de crédit liés à</w:t>
      </w:r>
      <w:r w:rsidRPr="002B005F">
        <w:rPr>
          <w:rFonts w:ascii="Times New Roman" w:hAnsi="Times New Roman" w:cs="Times New Roman"/>
          <w:color w:val="auto"/>
          <w:sz w:val="24"/>
          <w:szCs w:val="24"/>
        </w:rPr>
        <w:t xml:space="preserve"> un contrat </w:t>
      </w:r>
      <w:r w:rsidR="00C93276" w:rsidRPr="002B005F">
        <w:rPr>
          <w:rFonts w:ascii="Times New Roman" w:hAnsi="Times New Roman" w:cs="Times New Roman"/>
          <w:i/>
          <w:iCs/>
          <w:color w:val="auto"/>
          <w:sz w:val="24"/>
          <w:szCs w:val="24"/>
        </w:rPr>
        <w:t>m</w:t>
      </w:r>
      <w:r w:rsidR="004A4E16" w:rsidRPr="002B005F">
        <w:rPr>
          <w:rFonts w:ascii="Times New Roman" w:hAnsi="Times New Roman" w:cs="Times New Roman"/>
          <w:i/>
          <w:iCs/>
          <w:color w:val="auto"/>
          <w:sz w:val="24"/>
          <w:szCs w:val="24"/>
        </w:rPr>
        <w:t>oudaraba</w:t>
      </w:r>
      <w:bookmarkEnd w:id="1370"/>
    </w:p>
    <w:p w14:paraId="0D2FE9B4" w14:textId="590151E5" w:rsidR="002760B2" w:rsidRPr="002B005F" w:rsidRDefault="002C5EFF" w:rsidP="002E5129">
      <w:pPr>
        <w:pStyle w:val="Paragraphedeliste"/>
        <w:keepNext/>
        <w:tabs>
          <w:tab w:val="left" w:pos="0"/>
        </w:tabs>
        <w:autoSpaceDE w:val="0"/>
        <w:autoSpaceDN w:val="0"/>
        <w:adjustRightInd w:val="0"/>
        <w:spacing w:line="360" w:lineRule="auto"/>
        <w:ind w:left="0"/>
        <w:contextualSpacing w:val="0"/>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g">
            <w:drawing>
              <wp:anchor distT="0" distB="0" distL="114300" distR="114300" simplePos="0" relativeHeight="251662336" behindDoc="0" locked="0" layoutInCell="1" allowOverlap="1" wp14:anchorId="40307475" wp14:editId="03A4814E">
                <wp:simplePos x="0" y="0"/>
                <wp:positionH relativeFrom="column">
                  <wp:posOffset>126365</wp:posOffset>
                </wp:positionH>
                <wp:positionV relativeFrom="paragraph">
                  <wp:posOffset>20320</wp:posOffset>
                </wp:positionV>
                <wp:extent cx="5507990" cy="4102100"/>
                <wp:effectExtent l="6350" t="7620" r="10160" b="14605"/>
                <wp:wrapNone/>
                <wp:docPr id="13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4102100"/>
                          <a:chOff x="1900" y="3265"/>
                          <a:chExt cx="8674" cy="6460"/>
                        </a:xfrm>
                      </wpg:grpSpPr>
                      <wps:wsp>
                        <wps:cNvPr id="140" name="Rectangle 155"/>
                        <wps:cNvSpPr>
                          <a:spLocks noChangeArrowheads="1"/>
                        </wps:cNvSpPr>
                        <wps:spPr bwMode="auto">
                          <a:xfrm>
                            <a:off x="1900" y="3265"/>
                            <a:ext cx="8674" cy="1459"/>
                          </a:xfrm>
                          <a:prstGeom prst="roundRect">
                            <a:avLst>
                              <a:gd name="adj" fmla="val 16657"/>
                            </a:avLst>
                          </a:prstGeom>
                          <a:solidFill>
                            <a:schemeClr val="lt1">
                              <a:lumMod val="100000"/>
                              <a:lumOff val="0"/>
                            </a:schemeClr>
                          </a:solidFill>
                          <a:ln w="12700">
                            <a:solidFill>
                              <a:schemeClr val="tx2">
                                <a:lumMod val="100000"/>
                                <a:lumOff val="0"/>
                              </a:schemeClr>
                            </a:solidFill>
                            <a:round/>
                            <a:headEnd/>
                            <a:tailEnd/>
                          </a:ln>
                        </wps:spPr>
                        <wps:txbx>
                          <w:txbxContent>
                            <w:p w14:paraId="1A52FDD0" w14:textId="77777777" w:rsidR="009C2D83" w:rsidRPr="000338E2" w:rsidRDefault="009C2D83" w:rsidP="00CB0FF1">
                              <w:pPr>
                                <w:pStyle w:val="Paragraphedeliste"/>
                                <w:numPr>
                                  <w:ilvl w:val="0"/>
                                  <w:numId w:val="21"/>
                                </w:numPr>
                                <w:ind w:left="426" w:hanging="284"/>
                                <w:contextualSpacing w:val="0"/>
                                <w:rPr>
                                  <w:rFonts w:ascii="Times New Roman" w:hAnsi="Times New Roman" w:cs="Times New Roman"/>
                                  <w:kern w:val="32"/>
                                </w:rPr>
                              </w:pPr>
                              <w:r w:rsidRPr="000338E2">
                                <w:rPr>
                                  <w:rFonts w:ascii="Times New Roman" w:hAnsi="Times New Roman" w:cs="Times New Roman"/>
                                  <w:kern w:val="32"/>
                                </w:rPr>
                                <w:t xml:space="preserve">Le client peut </w:t>
                              </w:r>
                              <w:r w:rsidRPr="00A2501E">
                                <w:rPr>
                                  <w:rFonts w:ascii="Times New Roman" w:hAnsi="Times New Roman" w:cs="Times New Roman"/>
                                  <w:kern w:val="32"/>
                                </w:rPr>
                                <w:t>abuser (</w:t>
                              </w:r>
                              <w:r>
                                <w:rPr>
                                  <w:rFonts w:ascii="Times New Roman" w:hAnsi="Times New Roman" w:cs="Times New Roman"/>
                                  <w:kern w:val="32"/>
                                </w:rPr>
                                <w:t>mal employer)</w:t>
                              </w:r>
                              <w:r w:rsidRPr="000338E2">
                                <w:rPr>
                                  <w:rFonts w:ascii="Times New Roman" w:hAnsi="Times New Roman" w:cs="Times New Roman"/>
                                  <w:kern w:val="32"/>
                                </w:rPr>
                                <w:t xml:space="preserve"> le capital ;</w:t>
                              </w:r>
                            </w:p>
                            <w:p w14:paraId="7CDFC629" w14:textId="77777777" w:rsidR="009C2D83" w:rsidRPr="000338E2" w:rsidRDefault="009C2D83" w:rsidP="00CB0FF1">
                              <w:pPr>
                                <w:pStyle w:val="Paragraphedeliste"/>
                                <w:numPr>
                                  <w:ilvl w:val="0"/>
                                  <w:numId w:val="21"/>
                                </w:numPr>
                                <w:spacing w:before="60" w:after="60"/>
                                <w:ind w:left="426" w:hanging="284"/>
                                <w:contextualSpacing w:val="0"/>
                                <w:rPr>
                                  <w:rFonts w:ascii="Times New Roman" w:hAnsi="Times New Roman" w:cs="Times New Roman"/>
                                  <w:kern w:val="32"/>
                                </w:rPr>
                              </w:pPr>
                              <w:r w:rsidRPr="000338E2">
                                <w:rPr>
                                  <w:rFonts w:ascii="Times New Roman" w:hAnsi="Times New Roman" w:cs="Times New Roman"/>
                                  <w:kern w:val="32"/>
                                </w:rPr>
                                <w:t>Il peut annoncer un profit nul ou une perte en utilisant certaines méthodes ;</w:t>
                              </w:r>
                            </w:p>
                            <w:p w14:paraId="2FC21C8A" w14:textId="77777777" w:rsidR="009C2D83" w:rsidRPr="000338E2" w:rsidRDefault="009C2D83" w:rsidP="00CB0FF1">
                              <w:pPr>
                                <w:pStyle w:val="Paragraphedeliste"/>
                                <w:numPr>
                                  <w:ilvl w:val="0"/>
                                  <w:numId w:val="21"/>
                                </w:numPr>
                                <w:ind w:left="426" w:hanging="284"/>
                                <w:contextualSpacing w:val="0"/>
                                <w:rPr>
                                  <w:rFonts w:ascii="Times New Roman" w:hAnsi="Times New Roman" w:cs="Times New Roman"/>
                                  <w:kern w:val="32"/>
                                </w:rPr>
                              </w:pPr>
                              <w:r w:rsidRPr="000338E2">
                                <w:rPr>
                                  <w:rFonts w:ascii="Times New Roman" w:hAnsi="Times New Roman" w:cs="Times New Roman"/>
                                  <w:kern w:val="32"/>
                                </w:rPr>
                                <w:t>Il peut y avoir une négligence dans la gestion du projet ou au niveau comptable.</w:t>
                              </w:r>
                            </w:p>
                          </w:txbxContent>
                        </wps:txbx>
                        <wps:bodyPr rot="0" vert="horz" wrap="square" lIns="91440" tIns="45720" rIns="91440" bIns="45720" anchor="ctr" anchorCtr="0" upright="1">
                          <a:noAutofit/>
                        </wps:bodyPr>
                      </wps:wsp>
                      <wps:wsp>
                        <wps:cNvPr id="145" name="Rectangle 162"/>
                        <wps:cNvSpPr>
                          <a:spLocks noChangeArrowheads="1"/>
                        </wps:cNvSpPr>
                        <wps:spPr bwMode="auto">
                          <a:xfrm>
                            <a:off x="1900" y="7530"/>
                            <a:ext cx="8674" cy="2195"/>
                          </a:xfrm>
                          <a:prstGeom prst="roundRect">
                            <a:avLst>
                              <a:gd name="adj" fmla="val 16667"/>
                            </a:avLst>
                          </a:prstGeom>
                          <a:solidFill>
                            <a:schemeClr val="lt1">
                              <a:lumMod val="100000"/>
                              <a:lumOff val="0"/>
                            </a:schemeClr>
                          </a:solidFill>
                          <a:ln w="12700">
                            <a:solidFill>
                              <a:schemeClr val="tx2">
                                <a:lumMod val="100000"/>
                                <a:lumOff val="0"/>
                              </a:schemeClr>
                            </a:solidFill>
                            <a:round/>
                            <a:headEnd/>
                            <a:tailEnd/>
                          </a:ln>
                        </wps:spPr>
                        <wps:txbx>
                          <w:txbxContent>
                            <w:p w14:paraId="20A0FE99" w14:textId="77777777" w:rsidR="009C2D83" w:rsidRPr="000338E2" w:rsidRDefault="009C2D83" w:rsidP="00CB0FF1">
                              <w:pPr>
                                <w:pStyle w:val="Paragraphedeliste"/>
                                <w:numPr>
                                  <w:ilvl w:val="0"/>
                                  <w:numId w:val="22"/>
                                </w:numPr>
                                <w:ind w:left="426" w:hanging="284"/>
                                <w:contextualSpacing w:val="0"/>
                                <w:rPr>
                                  <w:rFonts w:ascii="Times New Roman" w:hAnsi="Times New Roman" w:cs="Times New Roman"/>
                                </w:rPr>
                              </w:pPr>
                              <w:r w:rsidRPr="000338E2">
                                <w:rPr>
                                  <w:rFonts w:ascii="Times New Roman" w:hAnsi="Times New Roman" w:cs="Times New Roman"/>
                                </w:rPr>
                                <w:t>La banque peut cacher des informations liées à l’utilisation des fonds empruntés ;</w:t>
                              </w:r>
                            </w:p>
                            <w:p w14:paraId="5B540687" w14:textId="77777777" w:rsidR="009C2D83" w:rsidRPr="000338E2" w:rsidRDefault="009C2D83" w:rsidP="00CB0FF1">
                              <w:pPr>
                                <w:pStyle w:val="Paragraphedeliste"/>
                                <w:numPr>
                                  <w:ilvl w:val="0"/>
                                  <w:numId w:val="22"/>
                                </w:numPr>
                                <w:spacing w:before="60" w:after="60"/>
                                <w:ind w:left="426" w:hanging="284"/>
                                <w:contextualSpacing w:val="0"/>
                                <w:rPr>
                                  <w:rFonts w:ascii="Times New Roman" w:hAnsi="Times New Roman" w:cs="Times New Roman"/>
                                </w:rPr>
                              </w:pPr>
                              <w:r w:rsidRPr="000338E2">
                                <w:rPr>
                                  <w:rFonts w:ascii="Times New Roman" w:hAnsi="Times New Roman" w:cs="Times New Roman"/>
                                </w:rPr>
                                <w:t>Elle peut abuser le capital ;</w:t>
                              </w:r>
                            </w:p>
                            <w:p w14:paraId="418B45CE" w14:textId="77777777" w:rsidR="009C2D83" w:rsidRPr="000338E2" w:rsidRDefault="009C2D83" w:rsidP="00CB0FF1">
                              <w:pPr>
                                <w:pStyle w:val="Paragraphedeliste"/>
                                <w:numPr>
                                  <w:ilvl w:val="0"/>
                                  <w:numId w:val="22"/>
                                </w:numPr>
                                <w:spacing w:before="60" w:after="60"/>
                                <w:ind w:left="426" w:hanging="284"/>
                                <w:contextualSpacing w:val="0"/>
                                <w:rPr>
                                  <w:rFonts w:ascii="Times New Roman" w:hAnsi="Times New Roman" w:cs="Times New Roman"/>
                                </w:rPr>
                              </w:pPr>
                              <w:r w:rsidRPr="000338E2">
                                <w:rPr>
                                  <w:rFonts w:ascii="Times New Roman" w:hAnsi="Times New Roman" w:cs="Times New Roman"/>
                                </w:rPr>
                                <w:t>Elle peut placer une part des fonds dans les PER OU l’IRR sans prévenir les titulaires de comptes ;</w:t>
                              </w:r>
                            </w:p>
                            <w:p w14:paraId="1701C4BC" w14:textId="77777777" w:rsidR="009C2D83" w:rsidRPr="000338E2" w:rsidRDefault="009C2D83" w:rsidP="00CB0FF1">
                              <w:pPr>
                                <w:pStyle w:val="Paragraphedeliste"/>
                                <w:numPr>
                                  <w:ilvl w:val="0"/>
                                  <w:numId w:val="22"/>
                                </w:numPr>
                                <w:ind w:left="426" w:hanging="284"/>
                                <w:contextualSpacing w:val="0"/>
                                <w:rPr>
                                  <w:rFonts w:ascii="Times New Roman" w:hAnsi="Times New Roman" w:cs="Times New Roman"/>
                                </w:rPr>
                              </w:pPr>
                              <w:r w:rsidRPr="000338E2">
                                <w:rPr>
                                  <w:rFonts w:ascii="Times New Roman" w:hAnsi="Times New Roman" w:cs="Times New Roman"/>
                                </w:rPr>
                                <w:t>Il peut y avoir une négligence de la part de la banque dans la gestion du projet.</w:t>
                              </w:r>
                            </w:p>
                          </w:txbxContent>
                        </wps:txbx>
                        <wps:bodyPr rot="0" vert="horz" wrap="square" lIns="91440" tIns="45720" rIns="91440" bIns="45720" anchor="ctr" anchorCtr="0" upright="1">
                          <a:noAutofit/>
                        </wps:bodyPr>
                      </wps:wsp>
                      <wpg:grpSp>
                        <wpg:cNvPr id="150" name="Group 1364"/>
                        <wpg:cNvGrpSpPr>
                          <a:grpSpLocks/>
                        </wpg:cNvGrpSpPr>
                        <wpg:grpSpPr bwMode="auto">
                          <a:xfrm>
                            <a:off x="2358" y="4747"/>
                            <a:ext cx="7758" cy="2790"/>
                            <a:chOff x="2358" y="4747"/>
                            <a:chExt cx="7758" cy="2790"/>
                          </a:xfrm>
                        </wpg:grpSpPr>
                        <wpg:grpSp>
                          <wpg:cNvPr id="155" name="Group 1362"/>
                          <wpg:cNvGrpSpPr>
                            <a:grpSpLocks/>
                          </wpg:cNvGrpSpPr>
                          <wpg:grpSpPr bwMode="auto">
                            <a:xfrm>
                              <a:off x="2358" y="5574"/>
                              <a:ext cx="7758" cy="1963"/>
                              <a:chOff x="2358" y="5574"/>
                              <a:chExt cx="7758" cy="1963"/>
                            </a:xfrm>
                          </wpg:grpSpPr>
                          <wps:wsp>
                            <wps:cNvPr id="160" name="AutoShape 103"/>
                            <wps:cNvCnPr>
                              <a:cxnSpLocks noChangeShapeType="1"/>
                            </wps:cNvCnPr>
                            <wps:spPr bwMode="auto">
                              <a:xfrm flipH="1">
                                <a:off x="6219" y="6630"/>
                                <a:ext cx="2835" cy="907"/>
                              </a:xfrm>
                              <a:prstGeom prst="straightConnector1">
                                <a:avLst/>
                              </a:prstGeom>
                              <a:noFill/>
                              <a:ln w="12700">
                                <a:solidFill>
                                  <a:schemeClr val="accent5">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172" name="Group 1360"/>
                            <wpg:cNvGrpSpPr>
                              <a:grpSpLocks/>
                            </wpg:cNvGrpSpPr>
                            <wpg:grpSpPr bwMode="auto">
                              <a:xfrm>
                                <a:off x="2358" y="5574"/>
                                <a:ext cx="7758" cy="1134"/>
                                <a:chOff x="2358" y="5574"/>
                                <a:chExt cx="7758" cy="1134"/>
                              </a:xfrm>
                            </wpg:grpSpPr>
                            <wps:wsp>
                              <wps:cNvPr id="178" name="Rectangle à coins arrondis 157"/>
                              <wps:cNvSpPr>
                                <a:spLocks noChangeArrowheads="1"/>
                              </wps:cNvSpPr>
                              <wps:spPr bwMode="auto">
                                <a:xfrm>
                                  <a:off x="8015" y="5641"/>
                                  <a:ext cx="2101" cy="964"/>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blipFill dpi="0" rotWithShape="1">
                                        <a:blip/>
                                        <a:srcRect/>
                                        <a:tile tx="0" ty="0" sx="100000" sy="100000" flip="none" algn="tl"/>
                                      </a:blipFill>
                                    </a14:hiddenFill>
                                  </a:ext>
                                </a:extLst>
                              </wps:spPr>
                              <wps:txbx>
                                <w:txbxContent>
                                  <w:p w14:paraId="230C51ED" w14:textId="77777777" w:rsidR="009C2D83" w:rsidRPr="004F69D7" w:rsidRDefault="009C2D83" w:rsidP="004F69D7">
                                    <w:pPr>
                                      <w:spacing w:line="240" w:lineRule="auto"/>
                                      <w:jc w:val="center"/>
                                      <w:rPr>
                                        <w:rFonts w:ascii="Times New Roman" w:hAnsi="Times New Roman" w:cs="Times New Roman"/>
                                        <w:b/>
                                        <w:bCs/>
                                        <w:color w:val="2E74B5" w:themeColor="accent1" w:themeShade="BF"/>
                                        <w:sz w:val="24"/>
                                        <w:szCs w:val="24"/>
                                      </w:rPr>
                                    </w:pPr>
                                    <w:r w:rsidRPr="004F69D7">
                                      <w:rPr>
                                        <w:rFonts w:ascii="Times New Roman" w:hAnsi="Times New Roman" w:cs="Times New Roman"/>
                                        <w:b/>
                                        <w:bCs/>
                                        <w:color w:val="2E74B5" w:themeColor="accent1" w:themeShade="BF"/>
                                        <w:sz w:val="24"/>
                                        <w:szCs w:val="24"/>
                                      </w:rPr>
                                      <w:t>BI en tant qu’entrepreneur</w:t>
                                    </w:r>
                                  </w:p>
                                </w:txbxContent>
                              </wps:txbx>
                              <wps:bodyPr rot="0" vert="horz" wrap="square" lIns="91440" tIns="45720" rIns="91440" bIns="45720" anchor="ctr" anchorCtr="0" upright="1">
                                <a:noAutofit/>
                              </wps:bodyPr>
                            </wps:wsp>
                            <wps:wsp>
                              <wps:cNvPr id="179" name="Rectangle à coins arrondis 158"/>
                              <wps:cNvSpPr>
                                <a:spLocks noChangeArrowheads="1"/>
                              </wps:cNvSpPr>
                              <wps:spPr bwMode="auto">
                                <a:xfrm>
                                  <a:off x="2358" y="5657"/>
                                  <a:ext cx="2098" cy="964"/>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20000"/>
                                          <a:lumOff val="80000"/>
                                        </a:schemeClr>
                                      </a:solidFill>
                                    </a14:hiddenFill>
                                  </a:ext>
                                </a:extLst>
                              </wps:spPr>
                              <wps:txbx>
                                <w:txbxContent>
                                  <w:p w14:paraId="2F970995" w14:textId="77777777" w:rsidR="009C2D83" w:rsidRPr="004F69D7" w:rsidRDefault="009C2D83" w:rsidP="004F69D7">
                                    <w:pPr>
                                      <w:spacing w:line="240" w:lineRule="auto"/>
                                      <w:jc w:val="center"/>
                                      <w:rPr>
                                        <w:rFonts w:ascii="Times New Roman" w:hAnsi="Times New Roman" w:cs="Times New Roman"/>
                                        <w:b/>
                                        <w:bCs/>
                                        <w:color w:val="2E74B5" w:themeColor="accent1" w:themeShade="BF"/>
                                        <w:kern w:val="24"/>
                                        <w:sz w:val="24"/>
                                        <w:szCs w:val="24"/>
                                      </w:rPr>
                                    </w:pPr>
                                    <w:r w:rsidRPr="004F69D7">
                                      <w:rPr>
                                        <w:rFonts w:ascii="Times New Roman" w:hAnsi="Times New Roman" w:cs="Times New Roman"/>
                                        <w:b/>
                                        <w:bCs/>
                                        <w:color w:val="2E74B5" w:themeColor="accent1" w:themeShade="BF"/>
                                        <w:kern w:val="24"/>
                                        <w:sz w:val="24"/>
                                        <w:szCs w:val="24"/>
                                      </w:rPr>
                                      <w:t>BI en tant qu’investisseur</w:t>
                                    </w:r>
                                  </w:p>
                                </w:txbxContent>
                              </wps:txbx>
                              <wps:bodyPr rot="0" vert="horz" wrap="square" lIns="91440" tIns="45720" rIns="91440" bIns="45720" anchor="ctr" anchorCtr="0" upright="1">
                                <a:noAutofit/>
                              </wps:bodyPr>
                            </wps:wsp>
                            <wpg:grpSp>
                              <wpg:cNvPr id="180" name="Group 1359"/>
                              <wpg:cNvGrpSpPr>
                                <a:grpSpLocks/>
                              </wpg:cNvGrpSpPr>
                              <wpg:grpSpPr bwMode="auto">
                                <a:xfrm>
                                  <a:off x="4476" y="5574"/>
                                  <a:ext cx="3522" cy="1134"/>
                                  <a:chOff x="4457" y="5510"/>
                                  <a:chExt cx="3522" cy="1134"/>
                                </a:xfrm>
                              </wpg:grpSpPr>
                              <wps:wsp>
                                <wps:cNvPr id="185" name="Connecteur droit 160"/>
                                <wps:cNvCnPr>
                                  <a:cxnSpLocks noChangeShapeType="1"/>
                                </wps:cNvCnPr>
                                <wps:spPr bwMode="auto">
                                  <a:xfrm flipH="1">
                                    <a:off x="7129" y="6078"/>
                                    <a:ext cx="850" cy="0"/>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7" name="AutoShape 1357"/>
                                <wps:cNvSpPr>
                                  <a:spLocks noChangeArrowheads="1"/>
                                </wps:cNvSpPr>
                                <wps:spPr bwMode="auto">
                                  <a:xfrm>
                                    <a:off x="5315" y="5510"/>
                                    <a:ext cx="1984" cy="1134"/>
                                  </a:xfrm>
                                  <a:prstGeom prst="leftRightArrow">
                                    <a:avLst>
                                      <a:gd name="adj1" fmla="val 50000"/>
                                      <a:gd name="adj2" fmla="val 34991"/>
                                    </a:avLst>
                                  </a:prstGeom>
                                  <a:solidFill>
                                    <a:schemeClr val="accent1">
                                      <a:lumMod val="20000"/>
                                      <a:lumOff val="80000"/>
                                    </a:schemeClr>
                                  </a:solidFill>
                                  <a:ln w="19050">
                                    <a:solidFill>
                                      <a:schemeClr val="accent1">
                                        <a:lumMod val="100000"/>
                                        <a:lumOff val="0"/>
                                      </a:schemeClr>
                                    </a:solidFill>
                                    <a:miter lim="800000"/>
                                    <a:headEnd/>
                                    <a:tailEnd/>
                                  </a:ln>
                                </wps:spPr>
                                <wps:txbx>
                                  <w:txbxContent>
                                    <w:p w14:paraId="4663BFF2" w14:textId="77777777" w:rsidR="009C2D83" w:rsidRPr="002E5129" w:rsidRDefault="009C2D83" w:rsidP="005E19A9">
                                      <w:pPr>
                                        <w:spacing w:line="240" w:lineRule="auto"/>
                                        <w:jc w:val="center"/>
                                        <w:rPr>
                                          <w:rFonts w:ascii="Times New Roman" w:hAnsi="Times New Roman" w:cs="Times New Roman"/>
                                          <w:b/>
                                          <w:bCs/>
                                          <w:i/>
                                          <w:iCs/>
                                          <w:color w:val="1F4E79" w:themeColor="accent1" w:themeShade="80"/>
                                          <w:sz w:val="26"/>
                                          <w:szCs w:val="26"/>
                                        </w:rPr>
                                      </w:pPr>
                                      <w:r w:rsidRPr="002E5129">
                                        <w:rPr>
                                          <w:rFonts w:ascii="Times New Roman" w:hAnsi="Times New Roman" w:cs="Times New Roman"/>
                                          <w:b/>
                                          <w:bCs/>
                                          <w:i/>
                                          <w:iCs/>
                                          <w:color w:val="1F4E79" w:themeColor="accent1" w:themeShade="80"/>
                                          <w:sz w:val="26"/>
                                          <w:szCs w:val="26"/>
                                        </w:rPr>
                                        <w:t>Moudaraba</w:t>
                                      </w:r>
                                    </w:p>
                                  </w:txbxContent>
                                </wps:txbx>
                                <wps:bodyPr rot="0" vert="horz" wrap="square" lIns="91440" tIns="45720" rIns="91440" bIns="45720" anchor="ctr" anchorCtr="0" upright="1">
                                  <a:noAutofit/>
                                </wps:bodyPr>
                              </wps:wsp>
                              <wps:wsp>
                                <wps:cNvPr id="189" name="Connecteur droit 160"/>
                                <wps:cNvCnPr>
                                  <a:cxnSpLocks noChangeShapeType="1"/>
                                </wps:cNvCnPr>
                                <wps:spPr bwMode="auto">
                                  <a:xfrm flipH="1">
                                    <a:off x="4457" y="6078"/>
                                    <a:ext cx="850" cy="0"/>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grpSp>
                        <wps:wsp>
                          <wps:cNvPr id="190" name="AutoShape 1361"/>
                          <wps:cNvCnPr>
                            <a:cxnSpLocks noChangeShapeType="1"/>
                          </wps:cNvCnPr>
                          <wps:spPr bwMode="auto">
                            <a:xfrm flipV="1">
                              <a:off x="3396" y="4747"/>
                              <a:ext cx="2835" cy="907"/>
                            </a:xfrm>
                            <a:prstGeom prst="straightConnector1">
                              <a:avLst/>
                            </a:prstGeom>
                            <a:noFill/>
                            <a:ln w="12700">
                              <a:solidFill>
                                <a:schemeClr val="accent5">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0307475" id="Group 1365" o:spid="_x0000_s1221" style="position:absolute;left:0;text-align:left;margin-left:9.95pt;margin-top:1.6pt;width:433.7pt;height:323pt;z-index:251662336" coordorigin="1900,3265" coordsize="8674,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">
                <v:roundrect id="Rectangle 155" o:spid="_x0000_s1222" style="position:absolute;left:1900;top:3265;width:8674;height:1459;visibility:visible;mso-wrap-style:square;v-text-anchor:middle" arcsize="109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" fillcolor="white [3201]" strokecolor="#44546a [3215]" strokeweight="1pt">
                  <v:textbox>
                    <w:txbxContent>
                      <w:p w14:paraId="1A52FDD0" w14:textId="77777777" w:rsidR="009C2D83" w:rsidRPr="000338E2" w:rsidRDefault="009C2D83" w:rsidP="00CB0FF1">
                        <w:pPr>
                          <w:pStyle w:val="Paragraphedeliste"/>
                          <w:numPr>
                            <w:ilvl w:val="0"/>
                            <w:numId w:val="21"/>
                          </w:numPr>
                          <w:ind w:left="426" w:hanging="284"/>
                          <w:contextualSpacing w:val="0"/>
                          <w:rPr>
                            <w:rFonts w:ascii="Times New Roman" w:hAnsi="Times New Roman" w:cs="Times New Roman"/>
                            <w:kern w:val="32"/>
                          </w:rPr>
                        </w:pPr>
                        <w:r w:rsidRPr="000338E2">
                          <w:rPr>
                            <w:rFonts w:ascii="Times New Roman" w:hAnsi="Times New Roman" w:cs="Times New Roman"/>
                            <w:kern w:val="32"/>
                          </w:rPr>
                          <w:t xml:space="preserve">Le client peut </w:t>
                        </w:r>
                        <w:r w:rsidRPr="00A2501E">
                          <w:rPr>
                            <w:rFonts w:ascii="Times New Roman" w:hAnsi="Times New Roman" w:cs="Times New Roman"/>
                            <w:kern w:val="32"/>
                          </w:rPr>
                          <w:t>abuser (</w:t>
                        </w:r>
                        <w:r>
                          <w:rPr>
                            <w:rFonts w:ascii="Times New Roman" w:hAnsi="Times New Roman" w:cs="Times New Roman"/>
                            <w:kern w:val="32"/>
                          </w:rPr>
                          <w:t>mal employer)</w:t>
                        </w:r>
                        <w:r w:rsidRPr="000338E2">
                          <w:rPr>
                            <w:rFonts w:ascii="Times New Roman" w:hAnsi="Times New Roman" w:cs="Times New Roman"/>
                            <w:kern w:val="32"/>
                          </w:rPr>
                          <w:t xml:space="preserve"> le capital ;</w:t>
                        </w:r>
                      </w:p>
                      <w:p w14:paraId="7CDFC629" w14:textId="77777777" w:rsidR="009C2D83" w:rsidRPr="000338E2" w:rsidRDefault="009C2D83" w:rsidP="00CB0FF1">
                        <w:pPr>
                          <w:pStyle w:val="Paragraphedeliste"/>
                          <w:numPr>
                            <w:ilvl w:val="0"/>
                            <w:numId w:val="21"/>
                          </w:numPr>
                          <w:spacing w:before="60" w:after="60"/>
                          <w:ind w:left="426" w:hanging="284"/>
                          <w:contextualSpacing w:val="0"/>
                          <w:rPr>
                            <w:rFonts w:ascii="Times New Roman" w:hAnsi="Times New Roman" w:cs="Times New Roman"/>
                            <w:kern w:val="32"/>
                          </w:rPr>
                        </w:pPr>
                        <w:r w:rsidRPr="000338E2">
                          <w:rPr>
                            <w:rFonts w:ascii="Times New Roman" w:hAnsi="Times New Roman" w:cs="Times New Roman"/>
                            <w:kern w:val="32"/>
                          </w:rPr>
                          <w:t>Il peut annoncer un profit nul ou une perte en utilisant certaines méthodes ;</w:t>
                        </w:r>
                      </w:p>
                      <w:p w14:paraId="2FC21C8A" w14:textId="77777777" w:rsidR="009C2D83" w:rsidRPr="000338E2" w:rsidRDefault="009C2D83" w:rsidP="00CB0FF1">
                        <w:pPr>
                          <w:pStyle w:val="Paragraphedeliste"/>
                          <w:numPr>
                            <w:ilvl w:val="0"/>
                            <w:numId w:val="21"/>
                          </w:numPr>
                          <w:ind w:left="426" w:hanging="284"/>
                          <w:contextualSpacing w:val="0"/>
                          <w:rPr>
                            <w:rFonts w:ascii="Times New Roman" w:hAnsi="Times New Roman" w:cs="Times New Roman"/>
                            <w:kern w:val="32"/>
                          </w:rPr>
                        </w:pPr>
                        <w:r w:rsidRPr="000338E2">
                          <w:rPr>
                            <w:rFonts w:ascii="Times New Roman" w:hAnsi="Times New Roman" w:cs="Times New Roman"/>
                            <w:kern w:val="32"/>
                          </w:rPr>
                          <w:t>Il peut y avoir une négligence dans la gestion du projet ou au niveau comptable.</w:t>
                        </w:r>
                      </w:p>
                    </w:txbxContent>
                  </v:textbox>
                </v:roundrect>
                <v:roundrect id="Rectangle 162" o:spid="_x0000_s1223" style="position:absolute;left:1900;top:7530;width:8674;height:2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" fillcolor="white [3201]" strokecolor="#44546a [3215]" strokeweight="1pt">
                  <v:textbox>
                    <w:txbxContent>
                      <w:p w14:paraId="20A0FE99" w14:textId="77777777" w:rsidR="009C2D83" w:rsidRPr="000338E2" w:rsidRDefault="009C2D83" w:rsidP="00CB0FF1">
                        <w:pPr>
                          <w:pStyle w:val="Paragraphedeliste"/>
                          <w:numPr>
                            <w:ilvl w:val="0"/>
                            <w:numId w:val="22"/>
                          </w:numPr>
                          <w:ind w:left="426" w:hanging="284"/>
                          <w:contextualSpacing w:val="0"/>
                          <w:rPr>
                            <w:rFonts w:ascii="Times New Roman" w:hAnsi="Times New Roman" w:cs="Times New Roman"/>
                          </w:rPr>
                        </w:pPr>
                        <w:r w:rsidRPr="000338E2">
                          <w:rPr>
                            <w:rFonts w:ascii="Times New Roman" w:hAnsi="Times New Roman" w:cs="Times New Roman"/>
                          </w:rPr>
                          <w:t>La banque peut cacher des informations liées à l’utilisation des fonds empruntés ;</w:t>
                        </w:r>
                      </w:p>
                      <w:p w14:paraId="5B540687" w14:textId="77777777" w:rsidR="009C2D83" w:rsidRPr="000338E2" w:rsidRDefault="009C2D83" w:rsidP="00CB0FF1">
                        <w:pPr>
                          <w:pStyle w:val="Paragraphedeliste"/>
                          <w:numPr>
                            <w:ilvl w:val="0"/>
                            <w:numId w:val="22"/>
                          </w:numPr>
                          <w:spacing w:before="60" w:after="60"/>
                          <w:ind w:left="426" w:hanging="284"/>
                          <w:contextualSpacing w:val="0"/>
                          <w:rPr>
                            <w:rFonts w:ascii="Times New Roman" w:hAnsi="Times New Roman" w:cs="Times New Roman"/>
                          </w:rPr>
                        </w:pPr>
                        <w:r w:rsidRPr="000338E2">
                          <w:rPr>
                            <w:rFonts w:ascii="Times New Roman" w:hAnsi="Times New Roman" w:cs="Times New Roman"/>
                          </w:rPr>
                          <w:t>Elle peut abuser le capital ;</w:t>
                        </w:r>
                      </w:p>
                      <w:p w14:paraId="418B45CE" w14:textId="77777777" w:rsidR="009C2D83" w:rsidRPr="000338E2" w:rsidRDefault="009C2D83" w:rsidP="00CB0FF1">
                        <w:pPr>
                          <w:pStyle w:val="Paragraphedeliste"/>
                          <w:numPr>
                            <w:ilvl w:val="0"/>
                            <w:numId w:val="22"/>
                          </w:numPr>
                          <w:spacing w:before="60" w:after="60"/>
                          <w:ind w:left="426" w:hanging="284"/>
                          <w:contextualSpacing w:val="0"/>
                          <w:rPr>
                            <w:rFonts w:ascii="Times New Roman" w:hAnsi="Times New Roman" w:cs="Times New Roman"/>
                          </w:rPr>
                        </w:pPr>
                        <w:r w:rsidRPr="000338E2">
                          <w:rPr>
                            <w:rFonts w:ascii="Times New Roman" w:hAnsi="Times New Roman" w:cs="Times New Roman"/>
                          </w:rPr>
                          <w:t>Elle peut placer une part des fonds dans les PER OU l’IRR sans prévenir les titulaires de comptes ;</w:t>
                        </w:r>
                      </w:p>
                      <w:p w14:paraId="1701C4BC" w14:textId="77777777" w:rsidR="009C2D83" w:rsidRPr="000338E2" w:rsidRDefault="009C2D83" w:rsidP="00CB0FF1">
                        <w:pPr>
                          <w:pStyle w:val="Paragraphedeliste"/>
                          <w:numPr>
                            <w:ilvl w:val="0"/>
                            <w:numId w:val="22"/>
                          </w:numPr>
                          <w:ind w:left="426" w:hanging="284"/>
                          <w:contextualSpacing w:val="0"/>
                          <w:rPr>
                            <w:rFonts w:ascii="Times New Roman" w:hAnsi="Times New Roman" w:cs="Times New Roman"/>
                          </w:rPr>
                        </w:pPr>
                        <w:r w:rsidRPr="000338E2">
                          <w:rPr>
                            <w:rFonts w:ascii="Times New Roman" w:hAnsi="Times New Roman" w:cs="Times New Roman"/>
                          </w:rPr>
                          <w:t>Il peut y avoir une négligence de la part de la banque dans la gestion du projet.</w:t>
                        </w:r>
                      </w:p>
                    </w:txbxContent>
                  </v:textbox>
                </v:roundrect>
                <v:group id="Group 1364" o:spid="_x0000_s1224" style="position:absolute;left:2358;top:4747;width:7758;height:2790" coordorigin="2358,4747" coordsize="7758,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362" o:spid="_x0000_s1225" style="position:absolute;left:2358;top:5574;width:7758;height:1963" coordorigin="2358,5574" coordsize="7758,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103" o:spid="_x0000_s1226" type="#_x0000_t32" style="position:absolute;left:6219;top:6630;width:2835;height: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" strokecolor="#4472c4 [3208]" strokeweight="1pt">
                      <v:stroke endarrow="block"/>
                    </v:shape>
                    <v:group id="Group 1360" o:spid="_x0000_s1227" style="position:absolute;left:2358;top:5574;width:7758;height:1134" coordorigin="2358,5574" coordsize="775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oundrect id="Rectangle à coins arrondis 157" o:spid="_x0000_s1228" style="position:absolute;left:8015;top:5641;width:2101;height: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" filled="f" strokecolor="#1f4d78 [1604]" strokeweight="1pt">
                        <v:fill recolor="t" rotate="t" type="tile"/>
                        <v:stroke joinstyle="miter"/>
                        <v:textbox>
                          <w:txbxContent>
                            <w:p w14:paraId="230C51ED" w14:textId="77777777" w:rsidR="009C2D83" w:rsidRPr="004F69D7" w:rsidRDefault="009C2D83" w:rsidP="004F69D7">
                              <w:pPr>
                                <w:spacing w:line="240" w:lineRule="auto"/>
                                <w:jc w:val="center"/>
                                <w:rPr>
                                  <w:rFonts w:ascii="Times New Roman" w:hAnsi="Times New Roman" w:cs="Times New Roman"/>
                                  <w:b/>
                                  <w:bCs/>
                                  <w:color w:val="2E74B5" w:themeColor="accent1" w:themeShade="BF"/>
                                  <w:sz w:val="24"/>
                                  <w:szCs w:val="24"/>
                                </w:rPr>
                              </w:pPr>
                              <w:r w:rsidRPr="004F69D7">
                                <w:rPr>
                                  <w:rFonts w:ascii="Times New Roman" w:hAnsi="Times New Roman" w:cs="Times New Roman"/>
                                  <w:b/>
                                  <w:bCs/>
                                  <w:color w:val="2E74B5" w:themeColor="accent1" w:themeShade="BF"/>
                                  <w:sz w:val="24"/>
                                  <w:szCs w:val="24"/>
                                </w:rPr>
                                <w:t>BI en tant qu’entrepreneur</w:t>
                              </w:r>
                            </w:p>
                          </w:txbxContent>
                        </v:textbox>
                      </v:roundrect>
                      <v:roundrect id="Rectangle à coins arrondis 158" o:spid="_x0000_s1229" style="position:absolute;left:2358;top:5657;width:2098;height: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" filled="f" fillcolor="#deeaf6 [660]" strokecolor="#1f4d78 [1604]" strokeweight="1pt">
                        <v:stroke joinstyle="miter"/>
                        <v:textbox>
                          <w:txbxContent>
                            <w:p w14:paraId="2F970995" w14:textId="77777777" w:rsidR="009C2D83" w:rsidRPr="004F69D7" w:rsidRDefault="009C2D83" w:rsidP="004F69D7">
                              <w:pPr>
                                <w:spacing w:line="240" w:lineRule="auto"/>
                                <w:jc w:val="center"/>
                                <w:rPr>
                                  <w:rFonts w:ascii="Times New Roman" w:hAnsi="Times New Roman" w:cs="Times New Roman"/>
                                  <w:b/>
                                  <w:bCs/>
                                  <w:color w:val="2E74B5" w:themeColor="accent1" w:themeShade="BF"/>
                                  <w:kern w:val="24"/>
                                  <w:sz w:val="24"/>
                                  <w:szCs w:val="24"/>
                                </w:rPr>
                              </w:pPr>
                              <w:r w:rsidRPr="004F69D7">
                                <w:rPr>
                                  <w:rFonts w:ascii="Times New Roman" w:hAnsi="Times New Roman" w:cs="Times New Roman"/>
                                  <w:b/>
                                  <w:bCs/>
                                  <w:color w:val="2E74B5" w:themeColor="accent1" w:themeShade="BF"/>
                                  <w:kern w:val="24"/>
                                  <w:sz w:val="24"/>
                                  <w:szCs w:val="24"/>
                                </w:rPr>
                                <w:t>BI en tant qu’investisseur</w:t>
                              </w:r>
                            </w:p>
                          </w:txbxContent>
                        </v:textbox>
                      </v:roundrect>
                      <v:group id="Group 1359" o:spid="_x0000_s1230" style="position:absolute;left:4476;top:5574;width:3522;height:1134" coordorigin="4457,5510" coordsize="352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Connecteur droit 160" o:spid="_x0000_s1231" style="position:absolute;flip:x;visibility:visible;mso-wrap-style:square" from="7129,6078" to="7979,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" strokecolor="#5b9bd5 [3204]" strokeweight="2pt">
                          <v:stroke joinstyle="miter"/>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357" o:spid="_x0000_s1232" type="#_x0000_t69" style="position:absolute;left:5315;top:5510;width:1984;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" fillcolor="#deeaf6 [660]" strokecolor="#5b9bd5 [3204]" strokeweight="1.5pt">
                          <v:textbox>
                            <w:txbxContent>
                              <w:p w14:paraId="4663BFF2" w14:textId="77777777" w:rsidR="009C2D83" w:rsidRPr="002E5129" w:rsidRDefault="009C2D83" w:rsidP="005E19A9">
                                <w:pPr>
                                  <w:spacing w:line="240" w:lineRule="auto"/>
                                  <w:jc w:val="center"/>
                                  <w:rPr>
                                    <w:rFonts w:ascii="Times New Roman" w:hAnsi="Times New Roman" w:cs="Times New Roman"/>
                                    <w:b/>
                                    <w:bCs/>
                                    <w:i/>
                                    <w:iCs/>
                                    <w:color w:val="1F4E79" w:themeColor="accent1" w:themeShade="80"/>
                                    <w:sz w:val="26"/>
                                    <w:szCs w:val="26"/>
                                  </w:rPr>
                                </w:pPr>
                                <w:r w:rsidRPr="002E5129">
                                  <w:rPr>
                                    <w:rFonts w:ascii="Times New Roman" w:hAnsi="Times New Roman" w:cs="Times New Roman"/>
                                    <w:b/>
                                    <w:bCs/>
                                    <w:i/>
                                    <w:iCs/>
                                    <w:color w:val="1F4E79" w:themeColor="accent1" w:themeShade="80"/>
                                    <w:sz w:val="26"/>
                                    <w:szCs w:val="26"/>
                                  </w:rPr>
                                  <w:t>Moudaraba</w:t>
                                </w:r>
                              </w:p>
                            </w:txbxContent>
                          </v:textbox>
                        </v:shape>
                        <v:line id="Connecteur droit 160" o:spid="_x0000_s1233" style="position:absolute;flip:x;visibility:visible;mso-wrap-style:square" from="4457,6078" to="5307,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" strokecolor="#5b9bd5 [3204]" strokeweight="2pt">
                          <v:stroke joinstyle="miter"/>
                        </v:line>
                      </v:group>
                    </v:group>
                  </v:group>
                  <v:shape id="AutoShape 1361" o:spid="_x0000_s1234" type="#_x0000_t32" style="position:absolute;left:3396;top:4747;width:2835;height: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" strokecolor="#4472c4 [3208]" strokeweight="1pt">
                    <v:stroke endarrow="block"/>
                  </v:shape>
                </v:group>
              </v:group>
            </w:pict>
          </mc:Fallback>
        </mc:AlternateContent>
      </w:r>
    </w:p>
    <w:p w14:paraId="02255D7C" w14:textId="77777777" w:rsidR="002760B2" w:rsidRPr="002B005F" w:rsidRDefault="002760B2" w:rsidP="002E5129">
      <w:pPr>
        <w:pStyle w:val="Paragraphedeliste"/>
        <w:keepNext/>
        <w:tabs>
          <w:tab w:val="left" w:pos="0"/>
        </w:tabs>
        <w:autoSpaceDE w:val="0"/>
        <w:autoSpaceDN w:val="0"/>
        <w:adjustRightInd w:val="0"/>
        <w:spacing w:line="360" w:lineRule="auto"/>
        <w:ind w:left="0"/>
        <w:contextualSpacing w:val="0"/>
        <w:rPr>
          <w:rFonts w:ascii="Times New Roman" w:hAnsi="Times New Roman" w:cs="Times New Roman"/>
          <w:b/>
          <w:bCs/>
          <w:color w:val="000000"/>
          <w:sz w:val="24"/>
          <w:szCs w:val="24"/>
        </w:rPr>
      </w:pPr>
    </w:p>
    <w:p w14:paraId="6E800F46" w14:textId="77777777" w:rsidR="002760B2" w:rsidRPr="002B005F" w:rsidRDefault="002760B2" w:rsidP="002E5129">
      <w:pPr>
        <w:pStyle w:val="Default"/>
        <w:keepNext/>
        <w:tabs>
          <w:tab w:val="left" w:pos="0"/>
        </w:tabs>
        <w:spacing w:line="360" w:lineRule="auto"/>
      </w:pPr>
    </w:p>
    <w:p w14:paraId="41D6D73C"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6A0BEB71"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6654354D"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478DB05A"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21B33D52"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74443758"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780C32E3"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07091B7D"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037048FB"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05AC6C00"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42B7F2EC" w14:textId="77777777" w:rsidR="002760B2" w:rsidRPr="002B005F" w:rsidRDefault="002760B2" w:rsidP="002E5129">
      <w:pPr>
        <w:keepNext/>
        <w:tabs>
          <w:tab w:val="left" w:pos="0"/>
        </w:tabs>
        <w:spacing w:line="360" w:lineRule="auto"/>
        <w:rPr>
          <w:rFonts w:ascii="Times New Roman" w:hAnsi="Times New Roman" w:cs="Times New Roman"/>
          <w:sz w:val="24"/>
          <w:szCs w:val="24"/>
        </w:rPr>
      </w:pPr>
    </w:p>
    <w:p w14:paraId="25EF270C" w14:textId="77777777" w:rsidR="002760B2" w:rsidRPr="002B005F" w:rsidRDefault="002760B2" w:rsidP="002E5129">
      <w:pPr>
        <w:keepNext/>
        <w:tabs>
          <w:tab w:val="left" w:pos="0"/>
        </w:tabs>
        <w:spacing w:line="360" w:lineRule="auto"/>
        <w:rPr>
          <w:rFonts w:ascii="Times New Roman" w:hAnsi="Times New Roman" w:cs="Times New Roman"/>
          <w:b/>
          <w:bCs/>
          <w:sz w:val="24"/>
          <w:szCs w:val="24"/>
        </w:rPr>
      </w:pPr>
    </w:p>
    <w:p w14:paraId="62B9ACA2" w14:textId="77777777" w:rsidR="002760B2" w:rsidRPr="002B005F" w:rsidRDefault="002760B2" w:rsidP="002E5129">
      <w:pPr>
        <w:keepNext/>
        <w:tabs>
          <w:tab w:val="left" w:pos="0"/>
        </w:tabs>
        <w:spacing w:line="360" w:lineRule="auto"/>
        <w:rPr>
          <w:rFonts w:ascii="Times New Roman" w:hAnsi="Times New Roman" w:cs="Times New Roman"/>
          <w:b/>
          <w:bCs/>
          <w:sz w:val="24"/>
          <w:szCs w:val="24"/>
        </w:rPr>
      </w:pPr>
    </w:p>
    <w:p w14:paraId="0820A250" w14:textId="77777777" w:rsidR="002E5129" w:rsidRPr="00A2501E" w:rsidRDefault="002760B2" w:rsidP="00A2501E">
      <w:pPr>
        <w:keepNext/>
        <w:tabs>
          <w:tab w:val="left" w:pos="0"/>
        </w:tabs>
        <w:spacing w:before="120" w:after="100" w:afterAutospacing="1" w:line="240" w:lineRule="auto"/>
        <w:jc w:val="center"/>
        <w:rPr>
          <w:rFonts w:ascii="Times New Roman" w:hAnsi="Times New Roman" w:cs="Times New Roman"/>
          <w:kern w:val="24"/>
          <w:sz w:val="20"/>
          <w:szCs w:val="20"/>
        </w:rPr>
      </w:pPr>
      <w:r w:rsidRPr="002B005F">
        <w:rPr>
          <w:rFonts w:ascii="Times New Roman" w:hAnsi="Times New Roman" w:cs="Times New Roman"/>
          <w:kern w:val="24"/>
          <w:sz w:val="20"/>
          <w:szCs w:val="20"/>
        </w:rPr>
        <w:t>Source : Travail du chercheur.</w:t>
      </w:r>
    </w:p>
    <w:p w14:paraId="2CF99A3D" w14:textId="77777777" w:rsidR="007B64B9" w:rsidRPr="007B64B9" w:rsidRDefault="007B64B9" w:rsidP="007B64B9">
      <w:pPr>
        <w:pStyle w:val="Titre4"/>
        <w:keepNext w:val="0"/>
        <w:suppressAutoHyphens/>
        <w:spacing w:before="100" w:beforeAutospacing="1" w:after="120" w:line="300" w:lineRule="auto"/>
        <w:ind w:firstLine="709"/>
        <w:rPr>
          <w:rFonts w:cs="Times New Roman"/>
          <w:b w:val="0"/>
          <w:bCs w:val="0"/>
          <w:sz w:val="22"/>
          <w:szCs w:val="24"/>
          <w:rtl/>
        </w:rPr>
      </w:pPr>
    </w:p>
    <w:p w14:paraId="2F3C8646" w14:textId="77777777" w:rsidR="007B64B9" w:rsidRPr="007B64B9" w:rsidRDefault="007B64B9" w:rsidP="007B64B9">
      <w:pPr>
        <w:pStyle w:val="Titre4"/>
        <w:keepNext w:val="0"/>
        <w:suppressAutoHyphens/>
        <w:spacing w:before="100" w:beforeAutospacing="1" w:after="120" w:line="300" w:lineRule="auto"/>
        <w:ind w:firstLine="709"/>
        <w:rPr>
          <w:rFonts w:cs="Times New Roman"/>
          <w:b w:val="0"/>
          <w:bCs w:val="0"/>
          <w:sz w:val="22"/>
          <w:szCs w:val="24"/>
          <w:rtl/>
        </w:rPr>
      </w:pPr>
    </w:p>
    <w:p w14:paraId="66FF9A45" w14:textId="7E9EDACA" w:rsidR="002E5129" w:rsidRPr="002B005F" w:rsidRDefault="002E5129" w:rsidP="007B64B9">
      <w:pPr>
        <w:pStyle w:val="Titre4"/>
        <w:keepNext w:val="0"/>
        <w:suppressAutoHyphens/>
        <w:spacing w:before="100" w:beforeAutospacing="1" w:after="120" w:line="300" w:lineRule="auto"/>
        <w:ind w:firstLine="709"/>
        <w:rPr>
          <w:sz w:val="28"/>
        </w:rPr>
      </w:pPr>
      <w:bookmarkStart w:id="1371" w:name="_Toc182298867"/>
      <w:r w:rsidRPr="002B005F">
        <w:lastRenderedPageBreak/>
        <w:t>3.1.2- Risque d’investissement en actions</w:t>
      </w:r>
      <w:bookmarkEnd w:id="1371"/>
    </w:p>
    <w:p w14:paraId="76CE46A5" w14:textId="77777777" w:rsidR="002760B2" w:rsidRPr="00AE23D2" w:rsidRDefault="002760B2" w:rsidP="007B64B9">
      <w:pPr>
        <w:tabs>
          <w:tab w:val="left" w:pos="0"/>
        </w:tabs>
        <w:suppressAutoHyphen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Le risque d'investissement en actions peut être défini comme le risque découlant de la conclusion d'un partenariat dans le but d'entreprendre ou de participer à un financement particulier ou à une activité commerciale générale telle que décrite dans le contrat et dans lequel le fournisseur de financement participe au risque commercial</w:t>
      </w:r>
      <w:r w:rsidRPr="00AE23D2">
        <w:rPr>
          <w:rStyle w:val="Appelnotedebasdep"/>
          <w:rFonts w:ascii="Times New Roman" w:hAnsi="Times New Roman"/>
          <w:sz w:val="24"/>
          <w:szCs w:val="24"/>
        </w:rPr>
        <w:footnoteReference w:id="376"/>
      </w:r>
      <w:r w:rsidRPr="00AE23D2">
        <w:rPr>
          <w:rFonts w:ascii="Times New Roman" w:hAnsi="Times New Roman" w:cs="Times New Roman"/>
          <w:sz w:val="24"/>
          <w:szCs w:val="24"/>
        </w:rPr>
        <w:t>.</w:t>
      </w:r>
    </w:p>
    <w:p w14:paraId="62791243" w14:textId="77777777" w:rsidR="00A2501E" w:rsidRPr="00AE23D2" w:rsidRDefault="002760B2" w:rsidP="00A2501E">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 xml:space="preserve">Les caractéristiques de cet investissement en actions comprennent des considérations relatives à la qualité du partenaire, aux activités commerciales sous-jacentes et </w:t>
      </w:r>
      <w:r w:rsidR="00A2501E" w:rsidRPr="00AE23D2">
        <w:rPr>
          <w:rFonts w:asciiTheme="majorBidi" w:hAnsiTheme="majorBidi" w:cstheme="majorBidi"/>
          <w:sz w:val="24"/>
          <w:szCs w:val="24"/>
        </w:rPr>
        <w:t xml:space="preserve">à l’exploitation opérationnelle. </w:t>
      </w:r>
      <w:r w:rsidRPr="00AE23D2">
        <w:rPr>
          <w:rFonts w:ascii="Times New Roman" w:hAnsi="Times New Roman" w:cs="Times New Roman"/>
          <w:sz w:val="24"/>
          <w:szCs w:val="24"/>
        </w:rPr>
        <w:t xml:space="preserve">Dans les contrats de </w:t>
      </w:r>
      <w:r w:rsidRPr="00AE23D2">
        <w:rPr>
          <w:rFonts w:ascii="Times New Roman" w:hAnsi="Times New Roman" w:cs="Times New Roman"/>
          <w:i/>
          <w:iCs/>
          <w:sz w:val="24"/>
          <w:szCs w:val="24"/>
        </w:rPr>
        <w:t>moucharaka</w:t>
      </w:r>
      <w:r w:rsidRPr="00AE23D2">
        <w:rPr>
          <w:rFonts w:ascii="Times New Roman" w:hAnsi="Times New Roman" w:cs="Times New Roman"/>
          <w:sz w:val="24"/>
          <w:szCs w:val="24"/>
        </w:rPr>
        <w:t xml:space="preserve"> et </w:t>
      </w:r>
      <w:r w:rsidR="004A4E16" w:rsidRPr="00AE23D2">
        <w:rPr>
          <w:rFonts w:ascii="Times New Roman" w:hAnsi="Times New Roman" w:cs="Times New Roman"/>
          <w:i/>
          <w:sz w:val="24"/>
          <w:szCs w:val="24"/>
        </w:rPr>
        <w:t>moudaraba</w:t>
      </w:r>
      <w:r w:rsidRPr="00AE23D2">
        <w:rPr>
          <w:rFonts w:ascii="Times New Roman" w:hAnsi="Times New Roman" w:cs="Times New Roman"/>
          <w:sz w:val="24"/>
          <w:szCs w:val="24"/>
        </w:rPr>
        <w:t>, les profils de risque des partenaires potentiels (</w:t>
      </w:r>
      <w:r w:rsidR="004A4E16" w:rsidRPr="00AE23D2">
        <w:rPr>
          <w:rFonts w:ascii="Times New Roman" w:hAnsi="Times New Roman" w:cs="Times New Roman"/>
          <w:i/>
          <w:iCs/>
          <w:sz w:val="24"/>
          <w:szCs w:val="24"/>
        </w:rPr>
        <w:t>moudarib</w:t>
      </w:r>
      <w:r w:rsidRPr="00AE23D2">
        <w:rPr>
          <w:rFonts w:ascii="Times New Roman" w:hAnsi="Times New Roman" w:cs="Times New Roman"/>
          <w:sz w:val="24"/>
          <w:szCs w:val="24"/>
        </w:rPr>
        <w:t xml:space="preserve"> ou partenaire </w:t>
      </w:r>
      <w:r w:rsidR="00E21A50" w:rsidRPr="00AE23D2">
        <w:rPr>
          <w:rFonts w:ascii="Times New Roman" w:hAnsi="Times New Roman" w:cs="Times New Roman"/>
          <w:i/>
          <w:iCs/>
          <w:sz w:val="24"/>
          <w:szCs w:val="24"/>
        </w:rPr>
        <w:t>mouchari</w:t>
      </w:r>
      <w:r w:rsidRPr="00AE23D2">
        <w:rPr>
          <w:rFonts w:ascii="Times New Roman" w:hAnsi="Times New Roman" w:cs="Times New Roman"/>
          <w:i/>
          <w:iCs/>
          <w:sz w:val="24"/>
          <w:szCs w:val="24"/>
        </w:rPr>
        <w:t>k</w:t>
      </w:r>
      <w:r w:rsidRPr="00AE23D2">
        <w:rPr>
          <w:rFonts w:ascii="Times New Roman" w:hAnsi="Times New Roman" w:cs="Times New Roman"/>
          <w:sz w:val="24"/>
          <w:szCs w:val="24"/>
        </w:rPr>
        <w:t>) sont des considérations cruciales pour évaluer le risque d'un i</w:t>
      </w:r>
      <w:r w:rsidR="00A2501E" w:rsidRPr="00AE23D2">
        <w:rPr>
          <w:rFonts w:ascii="Times New Roman" w:hAnsi="Times New Roman" w:cs="Times New Roman"/>
          <w:sz w:val="24"/>
          <w:szCs w:val="24"/>
        </w:rPr>
        <w:t>nvestissement</w:t>
      </w:r>
      <w:r w:rsidRPr="00AE23D2">
        <w:rPr>
          <w:rFonts w:ascii="Times New Roman" w:hAnsi="Times New Roman" w:cs="Times New Roman"/>
          <w:sz w:val="24"/>
          <w:szCs w:val="24"/>
        </w:rPr>
        <w:t>.</w:t>
      </w:r>
    </w:p>
    <w:p w14:paraId="59BE8AF3" w14:textId="6C8F7C1B" w:rsidR="002760B2" w:rsidRPr="00AE23D2" w:rsidRDefault="00A2501E" w:rsidP="00A2501E">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 xml:space="preserve">L’évaluation des profils de risque </w:t>
      </w:r>
      <w:r w:rsidR="002760B2" w:rsidRPr="00AE23D2">
        <w:rPr>
          <w:rFonts w:ascii="Times New Roman" w:hAnsi="Times New Roman" w:cs="Times New Roman"/>
          <w:sz w:val="24"/>
          <w:szCs w:val="24"/>
        </w:rPr>
        <w:t>fait partie des responsabilités fiduciaires de la BI en tant qu'investisseur des fonds sur une base de participation aux bénéfices et de perte (</w:t>
      </w:r>
      <w:r w:rsidR="004A4E16" w:rsidRPr="00AE23D2">
        <w:rPr>
          <w:rFonts w:ascii="Times New Roman" w:hAnsi="Times New Roman" w:cs="Times New Roman"/>
          <w:i/>
          <w:sz w:val="24"/>
          <w:szCs w:val="24"/>
        </w:rPr>
        <w:t>moudaraba</w:t>
      </w:r>
      <w:r w:rsidR="002760B2" w:rsidRPr="00AE23D2">
        <w:rPr>
          <w:rFonts w:ascii="Times New Roman" w:hAnsi="Times New Roman" w:cs="Times New Roman"/>
          <w:sz w:val="24"/>
          <w:szCs w:val="24"/>
        </w:rPr>
        <w:t>) ou de partage des profits et des pertes (</w:t>
      </w:r>
      <w:r w:rsidR="002760B2" w:rsidRPr="00AE23D2">
        <w:rPr>
          <w:rFonts w:ascii="Times New Roman" w:hAnsi="Times New Roman" w:cs="Times New Roman"/>
          <w:i/>
          <w:iCs/>
          <w:sz w:val="24"/>
          <w:szCs w:val="24"/>
        </w:rPr>
        <w:t>moucharaka</w:t>
      </w:r>
      <w:r w:rsidR="002760B2" w:rsidRPr="00AE23D2">
        <w:rPr>
          <w:rFonts w:ascii="Times New Roman" w:hAnsi="Times New Roman" w:cs="Times New Roman"/>
          <w:sz w:val="24"/>
          <w:szCs w:val="24"/>
        </w:rPr>
        <w:t>). Les profils de risque comprennent les antécédents de l'équipe de gestion et la qualité du plan d'</w:t>
      </w:r>
      <w:r w:rsidR="00E21A50" w:rsidRPr="00AE23D2">
        <w:rPr>
          <w:rFonts w:ascii="Times New Roman" w:hAnsi="Times New Roman" w:cs="Times New Roman"/>
          <w:sz w:val="24"/>
          <w:szCs w:val="24"/>
        </w:rPr>
        <w:t>affaires</w:t>
      </w:r>
      <w:r w:rsidR="002760B2" w:rsidRPr="00AE23D2">
        <w:rPr>
          <w:rFonts w:ascii="Times New Roman" w:hAnsi="Times New Roman" w:cs="Times New Roman"/>
          <w:sz w:val="24"/>
          <w:szCs w:val="24"/>
        </w:rPr>
        <w:t xml:space="preserve"> ainsi que les ressources humaines impliquées dans l'activité commerciale.</w:t>
      </w:r>
    </w:p>
    <w:p w14:paraId="7DE57AB8" w14:textId="77777777" w:rsidR="002760B2" w:rsidRPr="00AE23D2" w:rsidRDefault="002760B2" w:rsidP="002E5129">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Les facteurs liés à l'environnement juridique et réglementaire (notamment les politiques relatives aux tarifs, aux quotas, à la fiscalité ou aux subventions et tout changement soudain de politique) affectent la qualité et la fiabilité d'un investissement</w:t>
      </w:r>
      <w:r w:rsidR="00E21A50" w:rsidRPr="00AE23D2">
        <w:rPr>
          <w:rFonts w:ascii="Times New Roman" w:hAnsi="Times New Roman" w:cs="Times New Roman"/>
          <w:sz w:val="24"/>
          <w:szCs w:val="24"/>
        </w:rPr>
        <w:t>. Ils</w:t>
      </w:r>
      <w:r w:rsidRPr="00AE23D2">
        <w:rPr>
          <w:rFonts w:ascii="Times New Roman" w:hAnsi="Times New Roman" w:cs="Times New Roman"/>
          <w:sz w:val="24"/>
          <w:szCs w:val="24"/>
        </w:rPr>
        <w:t xml:space="preserve"> doivent être pris en compte dans l'évaluation des risques.</w:t>
      </w:r>
    </w:p>
    <w:p w14:paraId="67A1DB01" w14:textId="77777777" w:rsidR="002760B2" w:rsidRPr="00AE23D2" w:rsidRDefault="002760B2" w:rsidP="002E5129">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Il y a aussi le risque lié au manque d'informations fiables comme base des évaluations d'investissement des BI, comme un système de contrôle financier adéquat. L'atténuation de ces risques peut exiger que l'investisseur joue un rôle actif dans la surveillance de l'investissement ou l'utilisation de structures d'atténuation spécifiques.</w:t>
      </w:r>
    </w:p>
    <w:p w14:paraId="475BA070" w14:textId="77777777" w:rsidR="002760B2" w:rsidRPr="00AE23D2" w:rsidRDefault="002760B2" w:rsidP="00E02EEC">
      <w:pPr>
        <w:widowControl w:val="0"/>
        <w:tabs>
          <w:tab w:val="left" w:pos="0"/>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 xml:space="preserve">Ainsi, la </w:t>
      </w:r>
      <w:r w:rsidRPr="00AE23D2">
        <w:rPr>
          <w:rFonts w:ascii="Times New Roman" w:hAnsi="Times New Roman" w:cs="Times New Roman"/>
          <w:i/>
          <w:iCs/>
          <w:sz w:val="24"/>
          <w:szCs w:val="24"/>
        </w:rPr>
        <w:t>moucharaka</w:t>
      </w:r>
      <w:r w:rsidRPr="00AE23D2">
        <w:rPr>
          <w:rFonts w:ascii="Times New Roman" w:hAnsi="Times New Roman" w:cs="Times New Roman"/>
          <w:sz w:val="24"/>
          <w:szCs w:val="24"/>
        </w:rPr>
        <w:t xml:space="preserve"> subit le risque de variation des prix des actions c’est-à-dire les actifs détenus en actions par l’investisseur peuvent se déprécier. Dans le contrat </w:t>
      </w:r>
      <w:r w:rsidRPr="00AE23D2">
        <w:rPr>
          <w:rFonts w:ascii="Times New Roman" w:hAnsi="Times New Roman" w:cs="Times New Roman"/>
          <w:i/>
          <w:iCs/>
          <w:sz w:val="24"/>
          <w:szCs w:val="24"/>
        </w:rPr>
        <w:t>moucharaka</w:t>
      </w:r>
      <w:r w:rsidRPr="00AE23D2">
        <w:rPr>
          <w:rFonts w:ascii="Times New Roman" w:hAnsi="Times New Roman" w:cs="Times New Roman"/>
          <w:sz w:val="24"/>
          <w:szCs w:val="24"/>
        </w:rPr>
        <w:t xml:space="preserve"> toutes les parties participent au capital et donc aux pertes éventuelles. Pour la </w:t>
      </w:r>
      <w:r w:rsidRPr="00AE23D2">
        <w:rPr>
          <w:rFonts w:ascii="Times New Roman" w:hAnsi="Times New Roman" w:cs="Times New Roman"/>
          <w:i/>
          <w:iCs/>
          <w:sz w:val="24"/>
          <w:szCs w:val="24"/>
        </w:rPr>
        <w:t>moucharaka</w:t>
      </w:r>
      <w:r w:rsidRPr="00AE23D2">
        <w:rPr>
          <w:rFonts w:ascii="Times New Roman" w:hAnsi="Times New Roman" w:cs="Times New Roman"/>
          <w:sz w:val="24"/>
          <w:szCs w:val="24"/>
        </w:rPr>
        <w:t xml:space="preserve"> dégressive, l’une des parties s’engage à racheter tout le capital en actions à un prix prédéterminé. Celle-ci s’expose au risque maximum alors que les autres parties ne subissent pas de pertes (vente à terme). Toujours dans le contrat </w:t>
      </w:r>
      <w:r w:rsidRPr="00AE23D2">
        <w:rPr>
          <w:rFonts w:ascii="Times New Roman" w:hAnsi="Times New Roman" w:cs="Times New Roman"/>
          <w:i/>
          <w:iCs/>
          <w:sz w:val="24"/>
          <w:szCs w:val="24"/>
        </w:rPr>
        <w:t>moucharaka</w:t>
      </w:r>
      <w:r w:rsidRPr="00AE23D2">
        <w:rPr>
          <w:rFonts w:ascii="Times New Roman" w:hAnsi="Times New Roman" w:cs="Times New Roman"/>
          <w:sz w:val="24"/>
          <w:szCs w:val="24"/>
        </w:rPr>
        <w:t>, il y a le risque sur le capital si le contrat subit des pertes financières, c’est ainsi que le RAROC est utilisé pour déterminer le capital assigné aux instruments financiers.</w:t>
      </w:r>
    </w:p>
    <w:p w14:paraId="2126B1D2" w14:textId="77777777" w:rsidR="002760B2" w:rsidRPr="000567B2" w:rsidRDefault="00DF78E3" w:rsidP="00E02EEC">
      <w:pPr>
        <w:pStyle w:val="Titre4"/>
        <w:keepNext w:val="0"/>
        <w:widowControl w:val="0"/>
        <w:spacing w:before="120" w:after="0" w:line="300" w:lineRule="auto"/>
        <w:ind w:firstLine="709"/>
      </w:pPr>
      <w:bookmarkStart w:id="1372" w:name="_Toc33263357"/>
      <w:bookmarkStart w:id="1373" w:name="_Toc37664620"/>
      <w:bookmarkStart w:id="1374" w:name="_Toc37666465"/>
      <w:bookmarkStart w:id="1375" w:name="_Toc54363362"/>
      <w:bookmarkStart w:id="1376" w:name="_Toc58606349"/>
      <w:bookmarkStart w:id="1377" w:name="_Toc61263554"/>
      <w:bookmarkStart w:id="1378" w:name="_Toc182298868"/>
      <w:r w:rsidRPr="000567B2">
        <w:t>3.1.3- R</w:t>
      </w:r>
      <w:r w:rsidR="002760B2" w:rsidRPr="000567B2">
        <w:t>isque commercial déplacé</w:t>
      </w:r>
      <w:bookmarkEnd w:id="1372"/>
      <w:bookmarkEnd w:id="1373"/>
      <w:bookmarkEnd w:id="1374"/>
      <w:bookmarkEnd w:id="1375"/>
      <w:bookmarkEnd w:id="1376"/>
      <w:bookmarkEnd w:id="1377"/>
      <w:bookmarkEnd w:id="1378"/>
    </w:p>
    <w:p w14:paraId="6480838D" w14:textId="77777777" w:rsidR="002760B2" w:rsidRPr="000567B2" w:rsidRDefault="002760B2" w:rsidP="00E02EEC">
      <w:pPr>
        <w:widowControl w:val="0"/>
        <w:tabs>
          <w:tab w:val="left" w:pos="0"/>
        </w:tabs>
        <w:autoSpaceDE w:val="0"/>
        <w:autoSpaceDN w:val="0"/>
        <w:adjustRightInd w:val="0"/>
        <w:spacing w:before="120" w:line="300" w:lineRule="auto"/>
        <w:ind w:firstLine="709"/>
        <w:rPr>
          <w:rFonts w:ascii="Times New Roman" w:hAnsi="Times New Roman" w:cs="Times New Roman"/>
          <w:spacing w:val="6"/>
          <w:sz w:val="24"/>
          <w:szCs w:val="24"/>
        </w:rPr>
      </w:pPr>
      <w:r w:rsidRPr="000567B2">
        <w:rPr>
          <w:rFonts w:ascii="Times New Roman" w:hAnsi="Times New Roman" w:cs="Times New Roman"/>
          <w:spacing w:val="6"/>
          <w:sz w:val="24"/>
          <w:szCs w:val="24"/>
        </w:rPr>
        <w:t>Le lissage des taux de rendement sur les comptes d’i</w:t>
      </w:r>
      <w:r w:rsidR="00F008A5" w:rsidRPr="000567B2">
        <w:rPr>
          <w:rFonts w:ascii="Times New Roman" w:hAnsi="Times New Roman" w:cs="Times New Roman"/>
          <w:spacing w:val="6"/>
          <w:sz w:val="24"/>
          <w:szCs w:val="24"/>
        </w:rPr>
        <w:t xml:space="preserve">nvestissement expose la banque </w:t>
      </w:r>
      <w:r w:rsidR="00947C06" w:rsidRPr="000567B2">
        <w:rPr>
          <w:rFonts w:ascii="Times New Roman" w:hAnsi="Times New Roman" w:cs="Times New Roman"/>
          <w:spacing w:val="6"/>
          <w:sz w:val="24"/>
          <w:szCs w:val="24"/>
        </w:rPr>
        <w:t>i</w:t>
      </w:r>
      <w:r w:rsidR="003773C6" w:rsidRPr="000567B2">
        <w:rPr>
          <w:rFonts w:ascii="Times New Roman" w:hAnsi="Times New Roman" w:cs="Times New Roman"/>
          <w:spacing w:val="6"/>
          <w:sz w:val="24"/>
          <w:szCs w:val="24"/>
        </w:rPr>
        <w:t>slamique</w:t>
      </w:r>
      <w:r w:rsidRPr="000567B2">
        <w:rPr>
          <w:rFonts w:ascii="Times New Roman" w:hAnsi="Times New Roman" w:cs="Times New Roman"/>
          <w:spacing w:val="6"/>
          <w:sz w:val="24"/>
          <w:szCs w:val="24"/>
        </w:rPr>
        <w:t xml:space="preserve"> au risque commercial déplacé, un risque unique qui leur est spécifique. Avant d’aborder ce risque, nous présentons le fonctionnement des comptes d’investissement participatifs.</w:t>
      </w:r>
    </w:p>
    <w:p w14:paraId="3143B641" w14:textId="77777777" w:rsidR="00A21B33" w:rsidRPr="00F32892" w:rsidRDefault="00A21B33" w:rsidP="007B64B9">
      <w:pPr>
        <w:pStyle w:val="Titre5"/>
        <w:keepNext w:val="0"/>
        <w:keepLines w:val="0"/>
        <w:widowControl w:val="0"/>
        <w:spacing w:before="100" w:beforeAutospacing="1" w:line="300" w:lineRule="auto"/>
        <w:ind w:firstLine="709"/>
        <w:rPr>
          <w:rFonts w:asciiTheme="majorBidi" w:hAnsiTheme="majorBidi"/>
          <w:b/>
          <w:bCs/>
          <w:color w:val="auto"/>
          <w:sz w:val="24"/>
          <w:szCs w:val="24"/>
        </w:rPr>
      </w:pPr>
      <w:bookmarkStart w:id="1379" w:name="_Toc182298869"/>
      <w:r w:rsidRPr="00F32892">
        <w:rPr>
          <w:rFonts w:asciiTheme="majorBidi" w:hAnsiTheme="majorBidi"/>
          <w:b/>
          <w:bCs/>
          <w:color w:val="auto"/>
          <w:sz w:val="24"/>
          <w:szCs w:val="24"/>
        </w:rPr>
        <w:lastRenderedPageBreak/>
        <w:t>3.1.3.1- Fonctionnement des comptes d’investissements participatifs</w:t>
      </w:r>
      <w:bookmarkEnd w:id="1379"/>
    </w:p>
    <w:p w14:paraId="0DB3A306" w14:textId="77777777" w:rsidR="002760B2" w:rsidRPr="00AE23D2" w:rsidRDefault="00AB0C0A" w:rsidP="002E5129">
      <w:pPr>
        <w:tabs>
          <w:tab w:val="left" w:pos="0"/>
          <w:tab w:val="left" w:pos="284"/>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L’originalité de la</w:t>
      </w:r>
      <w:r w:rsidR="002760B2" w:rsidRPr="00AE23D2">
        <w:rPr>
          <w:rFonts w:ascii="Times New Roman" w:hAnsi="Times New Roman" w:cs="Times New Roman"/>
          <w:sz w:val="24"/>
          <w:szCs w:val="24"/>
        </w:rPr>
        <w:t xml:space="preserve"> banque </w:t>
      </w:r>
      <w:r w:rsidR="00947C06" w:rsidRPr="00AE23D2">
        <w:rPr>
          <w:rFonts w:ascii="Times New Roman" w:hAnsi="Times New Roman" w:cs="Times New Roman"/>
          <w:sz w:val="24"/>
          <w:szCs w:val="24"/>
        </w:rPr>
        <w:t>i</w:t>
      </w:r>
      <w:r w:rsidR="003773C6" w:rsidRPr="00AE23D2">
        <w:rPr>
          <w:rFonts w:ascii="Times New Roman" w:hAnsi="Times New Roman" w:cs="Times New Roman"/>
          <w:sz w:val="24"/>
          <w:szCs w:val="24"/>
        </w:rPr>
        <w:t>slamique</w:t>
      </w:r>
      <w:r w:rsidR="002760B2" w:rsidRPr="00AE23D2">
        <w:rPr>
          <w:rFonts w:ascii="Times New Roman" w:hAnsi="Times New Roman" w:cs="Times New Roman"/>
          <w:sz w:val="24"/>
          <w:szCs w:val="24"/>
        </w:rPr>
        <w:t xml:space="preserve"> consiste à la mobilisation des fonds sous forme de comptes d’investissement participatifs, gouvernés par le contrat </w:t>
      </w:r>
      <w:r w:rsidR="004A4E16" w:rsidRPr="00AE23D2">
        <w:rPr>
          <w:rFonts w:ascii="Times New Roman" w:hAnsi="Times New Roman" w:cs="Times New Roman"/>
          <w:i/>
          <w:sz w:val="24"/>
          <w:szCs w:val="24"/>
        </w:rPr>
        <w:t>moudaraba</w:t>
      </w:r>
      <w:r w:rsidR="002760B2" w:rsidRPr="00AE23D2">
        <w:rPr>
          <w:rFonts w:ascii="Times New Roman" w:hAnsi="Times New Roman" w:cs="Times New Roman"/>
          <w:sz w:val="24"/>
          <w:szCs w:val="24"/>
        </w:rPr>
        <w:t>. Les titulaires des comptes d’investissement (les déposants) sont les apporteurs des fonds, alors que la BI joue le rôle de gestionnaire de ces fonds pour le compte des déposants. La relation entre les deux parties est donc une relation du type entrepreneur – investisseur.</w:t>
      </w:r>
    </w:p>
    <w:p w14:paraId="3F81D4A1" w14:textId="77777777" w:rsidR="002760B2" w:rsidRPr="00AE23D2" w:rsidRDefault="002760B2" w:rsidP="002E5129">
      <w:pPr>
        <w:tabs>
          <w:tab w:val="left" w:pos="0"/>
          <w:tab w:val="left" w:pos="284"/>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Les fonds placés en comptes d’investissement participatifs sont rémunérés au taux de rendement réel généré par les actifs financés par ces fonds d’investissement. Les pertes sont supportées par chacune des parties prenantes selon leurs propres apports</w:t>
      </w:r>
      <w:r w:rsidRPr="00AE23D2">
        <w:rPr>
          <w:rStyle w:val="Appelnotedebasdep"/>
          <w:rFonts w:ascii="Times New Roman" w:hAnsi="Times New Roman"/>
          <w:sz w:val="24"/>
          <w:szCs w:val="24"/>
        </w:rPr>
        <w:footnoteReference w:id="377"/>
      </w:r>
      <w:r w:rsidRPr="00AE23D2">
        <w:rPr>
          <w:rFonts w:ascii="Times New Roman" w:hAnsi="Times New Roman" w:cs="Times New Roman"/>
          <w:sz w:val="24"/>
          <w:szCs w:val="24"/>
        </w:rPr>
        <w:t>.</w:t>
      </w:r>
    </w:p>
    <w:p w14:paraId="72C6E7D9" w14:textId="77777777" w:rsidR="00683856" w:rsidRPr="00AE23D2" w:rsidRDefault="002760B2" w:rsidP="00683856">
      <w:pPr>
        <w:tabs>
          <w:tab w:val="left" w:pos="0"/>
          <w:tab w:val="left" w:pos="284"/>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 xml:space="preserve">La figure suivante montre le fonctionnement des comptes d’investissement participatifs ainsi que le partage des pertes et des profits entre la banque </w:t>
      </w:r>
      <w:r w:rsidR="00947C06" w:rsidRPr="00AE23D2">
        <w:rPr>
          <w:rFonts w:ascii="Times New Roman" w:hAnsi="Times New Roman" w:cs="Times New Roman"/>
          <w:sz w:val="24"/>
          <w:szCs w:val="24"/>
        </w:rPr>
        <w:t>i</w:t>
      </w:r>
      <w:r w:rsidR="003773C6" w:rsidRPr="00AE23D2">
        <w:rPr>
          <w:rFonts w:ascii="Times New Roman" w:hAnsi="Times New Roman" w:cs="Times New Roman"/>
          <w:sz w:val="24"/>
          <w:szCs w:val="24"/>
        </w:rPr>
        <w:t>slamique</w:t>
      </w:r>
      <w:r w:rsidRPr="00AE23D2">
        <w:rPr>
          <w:rFonts w:ascii="Times New Roman" w:hAnsi="Times New Roman" w:cs="Times New Roman"/>
          <w:sz w:val="24"/>
          <w:szCs w:val="24"/>
        </w:rPr>
        <w:t xml:space="preserve"> et les titulaires de ces comptes spécifiques comme le stipule le contrat </w:t>
      </w:r>
      <w:r w:rsidR="004A4E16" w:rsidRPr="00AE23D2">
        <w:rPr>
          <w:rFonts w:ascii="Times New Roman" w:hAnsi="Times New Roman" w:cs="Times New Roman"/>
          <w:i/>
          <w:sz w:val="24"/>
          <w:szCs w:val="24"/>
        </w:rPr>
        <w:t>moudaraba</w:t>
      </w:r>
      <w:r w:rsidRPr="00AE23D2">
        <w:rPr>
          <w:rFonts w:ascii="Times New Roman" w:hAnsi="Times New Roman" w:cs="Times New Roman"/>
          <w:sz w:val="24"/>
          <w:szCs w:val="24"/>
        </w:rPr>
        <w:t>.</w:t>
      </w:r>
    </w:p>
    <w:p w14:paraId="53B954FC" w14:textId="11CA963D" w:rsidR="004D2314" w:rsidRPr="004D2314" w:rsidRDefault="009F0D53" w:rsidP="00E02EEC">
      <w:pPr>
        <w:pStyle w:val="Lgende"/>
        <w:keepNext/>
        <w:tabs>
          <w:tab w:val="left" w:pos="0"/>
          <w:tab w:val="left" w:pos="284"/>
        </w:tabs>
        <w:spacing w:before="240" w:after="120" w:line="300" w:lineRule="auto"/>
        <w:jc w:val="center"/>
        <w:rPr>
          <w:rFonts w:ascii="Times New Roman" w:hAnsi="Times New Roman" w:cs="Times New Roman"/>
          <w:b w:val="0"/>
          <w:bCs w:val="0"/>
          <w:color w:val="auto"/>
          <w:sz w:val="24"/>
          <w:szCs w:val="24"/>
        </w:rPr>
      </w:pPr>
      <w:bookmarkStart w:id="1381" w:name="_Toc115527439"/>
      <w:r w:rsidRPr="002B005F">
        <w:rPr>
          <w:rFonts w:ascii="Times New Roman" w:hAnsi="Times New Roman" w:cs="Times New Roman"/>
          <w:color w:val="auto"/>
          <w:sz w:val="24"/>
          <w:szCs w:val="24"/>
        </w:rPr>
        <w:t xml:space="preserve">Figure </w:t>
      </w:r>
      <w:r w:rsidR="00B544E5">
        <w:rPr>
          <w:rFonts w:ascii="Times New Roman" w:hAnsi="Times New Roman" w:cs="Times New Roman"/>
          <w:color w:val="auto"/>
          <w:sz w:val="24"/>
          <w:szCs w:val="24"/>
        </w:rPr>
        <w:fldChar w:fldCharType="begin"/>
      </w:r>
      <w:r w:rsidR="00BF1EB6">
        <w:rPr>
          <w:rFonts w:ascii="Times New Roman" w:hAnsi="Times New Roman" w:cs="Times New Roman"/>
          <w:color w:val="auto"/>
          <w:sz w:val="24"/>
          <w:szCs w:val="24"/>
        </w:rPr>
        <w:instrText xml:space="preserve"> SEQ Figure \* ARABIC </w:instrText>
      </w:r>
      <w:r w:rsidR="00B544E5">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28</w:t>
      </w:r>
      <w:r w:rsidR="00B544E5">
        <w:rPr>
          <w:rFonts w:ascii="Times New Roman" w:hAnsi="Times New Roman" w:cs="Times New Roman"/>
          <w:color w:val="auto"/>
          <w:sz w:val="24"/>
          <w:szCs w:val="24"/>
        </w:rPr>
        <w:fldChar w:fldCharType="end"/>
      </w:r>
      <w:r w:rsidR="00357035"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Fonctionnement des comptes d’investissement participatif</w:t>
      </w:r>
      <w:bookmarkEnd w:id="1381"/>
    </w:p>
    <w:p w14:paraId="07FE29C8" w14:textId="77777777" w:rsidR="004D2314" w:rsidRDefault="004D2314" w:rsidP="00357035">
      <w:pPr>
        <w:tabs>
          <w:tab w:val="left" w:pos="0"/>
          <w:tab w:val="left" w:pos="284"/>
        </w:tabs>
        <w:autoSpaceDE w:val="0"/>
        <w:autoSpaceDN w:val="0"/>
        <w:adjustRightInd w:val="0"/>
        <w:spacing w:before="120" w:line="300" w:lineRule="auto"/>
        <w:rPr>
          <w:rFonts w:ascii="Times New Roman" w:hAnsi="Times New Roman" w:cs="Times New Roman"/>
          <w:sz w:val="24"/>
          <w:szCs w:val="24"/>
        </w:rPr>
      </w:pPr>
    </w:p>
    <w:p w14:paraId="3C959627" w14:textId="77777777" w:rsidR="00357035" w:rsidRPr="002B005F" w:rsidRDefault="00357035" w:rsidP="00357035">
      <w:pPr>
        <w:tabs>
          <w:tab w:val="left" w:pos="0"/>
          <w:tab w:val="left" w:pos="284"/>
        </w:tabs>
        <w:autoSpaceDE w:val="0"/>
        <w:autoSpaceDN w:val="0"/>
        <w:adjustRightInd w:val="0"/>
        <w:spacing w:before="120" w:line="300" w:lineRule="auto"/>
        <w:rPr>
          <w:rFonts w:ascii="Times New Roman" w:hAnsi="Times New Roman" w:cs="Times New Roman"/>
          <w:sz w:val="24"/>
          <w:szCs w:val="24"/>
        </w:rPr>
      </w:pPr>
      <w:r w:rsidRPr="002B005F">
        <w:rPr>
          <w:rFonts w:ascii="Times New Roman" w:hAnsi="Times New Roman" w:cs="Times New Roman"/>
          <w:noProof/>
          <w:sz w:val="24"/>
          <w:szCs w:val="24"/>
          <w:lang w:eastAsia="fr-FR"/>
        </w:rPr>
        <w:drawing>
          <wp:anchor distT="0" distB="0" distL="114300" distR="114300" simplePos="0" relativeHeight="251489280" behindDoc="0" locked="1" layoutInCell="1" allowOverlap="0" wp14:anchorId="1DF07E8E" wp14:editId="7CADA609">
            <wp:simplePos x="0" y="0"/>
            <wp:positionH relativeFrom="margin">
              <wp:align>center</wp:align>
            </wp:positionH>
            <wp:positionV relativeFrom="paragraph">
              <wp:posOffset>-173355</wp:posOffset>
            </wp:positionV>
            <wp:extent cx="5040000" cy="2190387"/>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tretch>
                      <a:fillRect/>
                    </a:stretch>
                  </pic:blipFill>
                  <pic:spPr bwMode="auto">
                    <a:xfrm>
                      <a:off x="0" y="0"/>
                      <a:ext cx="5040000" cy="2190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E2E5C" w14:textId="77777777" w:rsidR="00357035" w:rsidRPr="002B005F" w:rsidRDefault="00357035" w:rsidP="00357035">
      <w:pPr>
        <w:tabs>
          <w:tab w:val="left" w:pos="0"/>
          <w:tab w:val="left" w:pos="284"/>
        </w:tabs>
        <w:autoSpaceDE w:val="0"/>
        <w:autoSpaceDN w:val="0"/>
        <w:adjustRightInd w:val="0"/>
        <w:spacing w:before="120" w:line="300" w:lineRule="auto"/>
        <w:rPr>
          <w:rFonts w:ascii="Times New Roman" w:hAnsi="Times New Roman" w:cs="Times New Roman"/>
          <w:sz w:val="24"/>
          <w:szCs w:val="24"/>
        </w:rPr>
      </w:pPr>
    </w:p>
    <w:p w14:paraId="2235513F" w14:textId="77777777" w:rsidR="00357035" w:rsidRDefault="00357035" w:rsidP="00357035">
      <w:pPr>
        <w:tabs>
          <w:tab w:val="left" w:pos="0"/>
          <w:tab w:val="left" w:pos="284"/>
        </w:tabs>
        <w:autoSpaceDE w:val="0"/>
        <w:autoSpaceDN w:val="0"/>
        <w:adjustRightInd w:val="0"/>
        <w:spacing w:before="120" w:line="300" w:lineRule="auto"/>
        <w:rPr>
          <w:rFonts w:ascii="Times New Roman" w:hAnsi="Times New Roman" w:cs="Times New Roman"/>
          <w:sz w:val="24"/>
          <w:szCs w:val="24"/>
        </w:rPr>
      </w:pPr>
    </w:p>
    <w:p w14:paraId="58AEB989" w14:textId="77777777" w:rsidR="00AE23D2" w:rsidRPr="002B005F" w:rsidRDefault="00AE23D2" w:rsidP="00357035">
      <w:pPr>
        <w:tabs>
          <w:tab w:val="left" w:pos="0"/>
          <w:tab w:val="left" w:pos="284"/>
        </w:tabs>
        <w:autoSpaceDE w:val="0"/>
        <w:autoSpaceDN w:val="0"/>
        <w:adjustRightInd w:val="0"/>
        <w:spacing w:before="120" w:line="300" w:lineRule="auto"/>
        <w:rPr>
          <w:rFonts w:ascii="Times New Roman" w:hAnsi="Times New Roman" w:cs="Times New Roman"/>
          <w:sz w:val="24"/>
          <w:szCs w:val="24"/>
        </w:rPr>
      </w:pPr>
    </w:p>
    <w:p w14:paraId="727A9ED9" w14:textId="77777777" w:rsidR="00357035" w:rsidRPr="002B005F" w:rsidRDefault="00357035" w:rsidP="00357035">
      <w:pPr>
        <w:tabs>
          <w:tab w:val="left" w:pos="0"/>
          <w:tab w:val="left" w:pos="284"/>
        </w:tabs>
        <w:autoSpaceDE w:val="0"/>
        <w:autoSpaceDN w:val="0"/>
        <w:adjustRightInd w:val="0"/>
        <w:spacing w:before="120" w:line="300" w:lineRule="auto"/>
        <w:rPr>
          <w:rFonts w:ascii="Times New Roman" w:hAnsi="Times New Roman" w:cs="Times New Roman"/>
          <w:sz w:val="24"/>
          <w:szCs w:val="24"/>
        </w:rPr>
      </w:pPr>
    </w:p>
    <w:p w14:paraId="652CD72D" w14:textId="77777777" w:rsidR="00357035" w:rsidRPr="002B005F" w:rsidRDefault="00357035" w:rsidP="00357035">
      <w:pPr>
        <w:tabs>
          <w:tab w:val="left" w:pos="0"/>
          <w:tab w:val="left" w:pos="284"/>
        </w:tabs>
        <w:autoSpaceDE w:val="0"/>
        <w:autoSpaceDN w:val="0"/>
        <w:adjustRightInd w:val="0"/>
        <w:spacing w:before="120" w:line="300" w:lineRule="auto"/>
        <w:rPr>
          <w:rFonts w:ascii="Times New Roman" w:hAnsi="Times New Roman" w:cs="Times New Roman"/>
          <w:sz w:val="24"/>
          <w:szCs w:val="24"/>
        </w:rPr>
      </w:pPr>
    </w:p>
    <w:p w14:paraId="0447CC5E" w14:textId="77777777" w:rsidR="000567B2" w:rsidRDefault="000567B2" w:rsidP="004D2314">
      <w:pPr>
        <w:tabs>
          <w:tab w:val="left" w:pos="0"/>
          <w:tab w:val="left" w:pos="284"/>
        </w:tabs>
        <w:spacing w:before="120" w:after="100" w:afterAutospacing="1" w:line="240" w:lineRule="auto"/>
        <w:rPr>
          <w:rFonts w:ascii="Times New Roman" w:hAnsi="Times New Roman" w:cs="Times New Roman"/>
          <w:sz w:val="20"/>
          <w:szCs w:val="20"/>
        </w:rPr>
      </w:pPr>
    </w:p>
    <w:p w14:paraId="5177DEA8" w14:textId="77777777" w:rsidR="002760B2" w:rsidRPr="002B005F" w:rsidRDefault="002760B2" w:rsidP="00A96D87">
      <w:pPr>
        <w:tabs>
          <w:tab w:val="left" w:pos="0"/>
          <w:tab w:val="left" w:pos="284"/>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Pr="002B005F">
        <w:rPr>
          <w:rFonts w:ascii="Times New Roman" w:hAnsi="Times New Roman" w:cs="Times New Roman"/>
          <w:smallCaps/>
          <w:sz w:val="20"/>
          <w:szCs w:val="20"/>
        </w:rPr>
        <w:t>Toumi</w:t>
      </w:r>
      <w:r w:rsidR="00357035" w:rsidRPr="002B005F">
        <w:rPr>
          <w:rFonts w:ascii="Times New Roman" w:hAnsi="Times New Roman" w:cs="Times New Roman"/>
          <w:sz w:val="20"/>
          <w:szCs w:val="20"/>
        </w:rPr>
        <w:t>, 2011</w:t>
      </w:r>
      <w:r w:rsidRPr="002B005F">
        <w:rPr>
          <w:rFonts w:ascii="Times New Roman" w:hAnsi="Times New Roman" w:cs="Times New Roman"/>
          <w:sz w:val="20"/>
          <w:szCs w:val="20"/>
        </w:rPr>
        <w:t>, p</w:t>
      </w:r>
      <w:r w:rsidR="00357035" w:rsidRPr="002B005F">
        <w:rPr>
          <w:rFonts w:ascii="Times New Roman" w:hAnsi="Times New Roman" w:cs="Times New Roman"/>
          <w:sz w:val="20"/>
          <w:szCs w:val="20"/>
        </w:rPr>
        <w:t>.</w:t>
      </w:r>
      <w:r w:rsidRPr="002B005F">
        <w:rPr>
          <w:rFonts w:ascii="Times New Roman" w:hAnsi="Times New Roman" w:cs="Times New Roman"/>
          <w:sz w:val="20"/>
          <w:szCs w:val="20"/>
        </w:rPr>
        <w:t xml:space="preserve"> 159.</w:t>
      </w:r>
    </w:p>
    <w:p w14:paraId="7EA5A8D2" w14:textId="08385CD5" w:rsidR="002760B2" w:rsidRPr="00AE23D2" w:rsidRDefault="002760B2" w:rsidP="00A21B33">
      <w:pPr>
        <w:tabs>
          <w:tab w:val="left" w:pos="0"/>
          <w:tab w:val="left" w:pos="284"/>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En cas de pertes financières, c</w:t>
      </w:r>
      <w:r w:rsidR="00A44124">
        <w:rPr>
          <w:rFonts w:ascii="Times New Roman" w:hAnsi="Times New Roman" w:cs="Times New Roman"/>
          <w:sz w:val="24"/>
          <w:szCs w:val="24"/>
        </w:rPr>
        <w:t>e sont</w:t>
      </w:r>
      <w:r w:rsidRPr="00AE23D2">
        <w:rPr>
          <w:rFonts w:ascii="Times New Roman" w:hAnsi="Times New Roman" w:cs="Times New Roman"/>
          <w:sz w:val="24"/>
          <w:szCs w:val="24"/>
        </w:rPr>
        <w:t xml:space="preserve"> les titulaires de comptes d’investissement participatifs qui assument l’intégralité</w:t>
      </w:r>
      <w:r w:rsidR="00F008A5" w:rsidRPr="00AE23D2">
        <w:rPr>
          <w:rFonts w:ascii="Times New Roman" w:hAnsi="Times New Roman" w:cs="Times New Roman"/>
          <w:sz w:val="24"/>
          <w:szCs w:val="24"/>
        </w:rPr>
        <w:t xml:space="preserve"> de ces pertes. Alors que la BI</w:t>
      </w:r>
      <w:r w:rsidRPr="00AE23D2">
        <w:rPr>
          <w:rFonts w:ascii="Times New Roman" w:hAnsi="Times New Roman" w:cs="Times New Roman"/>
          <w:sz w:val="24"/>
          <w:szCs w:val="24"/>
        </w:rPr>
        <w:t xml:space="preserve"> perd sa rémunération et le temps engagé dans son activité, sauf si les pertes résultent d’une mauvaise gestion de sa part. En effet, en dehors du cas de violation du contrat ou de négligence, l’entrepreneur n’a pas à garantir ni le capital investi ni la réalisation d’un profit. Les fonds d’investissement dans les banques </w:t>
      </w:r>
      <w:r w:rsidR="00947C06" w:rsidRPr="00AE23D2">
        <w:rPr>
          <w:rFonts w:ascii="Times New Roman" w:hAnsi="Times New Roman" w:cs="Times New Roman"/>
          <w:sz w:val="24"/>
          <w:szCs w:val="24"/>
        </w:rPr>
        <w:t>i</w:t>
      </w:r>
      <w:r w:rsidR="003773C6" w:rsidRPr="00AE23D2">
        <w:rPr>
          <w:rFonts w:ascii="Times New Roman" w:hAnsi="Times New Roman" w:cs="Times New Roman"/>
          <w:sz w:val="24"/>
          <w:szCs w:val="24"/>
        </w:rPr>
        <w:t>slamique</w:t>
      </w:r>
      <w:r w:rsidRPr="00AE23D2">
        <w:rPr>
          <w:rFonts w:ascii="Times New Roman" w:hAnsi="Times New Roman" w:cs="Times New Roman"/>
          <w:sz w:val="24"/>
          <w:szCs w:val="24"/>
        </w:rPr>
        <w:t>s ne sont pas garantis. Elles n’assument pas les risques sur le capital investi par les déposants sauf sous certaines conditions</w:t>
      </w:r>
      <w:r w:rsidRPr="00AE23D2">
        <w:rPr>
          <w:rStyle w:val="Appelnotedebasdep"/>
          <w:rFonts w:ascii="Times New Roman" w:hAnsi="Times New Roman"/>
          <w:sz w:val="24"/>
          <w:szCs w:val="24"/>
        </w:rPr>
        <w:footnoteReference w:id="378"/>
      </w:r>
      <w:r w:rsidRPr="00AE23D2">
        <w:rPr>
          <w:rFonts w:ascii="Times New Roman" w:hAnsi="Times New Roman" w:cs="Times New Roman"/>
          <w:sz w:val="24"/>
          <w:szCs w:val="24"/>
        </w:rPr>
        <w:t>.</w:t>
      </w:r>
    </w:p>
    <w:p w14:paraId="344A7FAB" w14:textId="77777777" w:rsidR="002760B2" w:rsidRPr="00AE23D2" w:rsidRDefault="002760B2" w:rsidP="00A96D87">
      <w:pPr>
        <w:tabs>
          <w:tab w:val="left" w:pos="0"/>
          <w:tab w:val="left" w:pos="284"/>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t xml:space="preserve">Les comptes d’investissement participatifs sont rémunérés en se basant sur le partage du profit entre leurs titulaires et la banque </w:t>
      </w:r>
      <w:r w:rsidR="00947C06" w:rsidRPr="00AE23D2">
        <w:rPr>
          <w:rFonts w:ascii="Times New Roman" w:hAnsi="Times New Roman" w:cs="Times New Roman"/>
          <w:sz w:val="24"/>
          <w:szCs w:val="24"/>
        </w:rPr>
        <w:t>i</w:t>
      </w:r>
      <w:r w:rsidR="003773C6" w:rsidRPr="00AE23D2">
        <w:rPr>
          <w:rFonts w:ascii="Times New Roman" w:hAnsi="Times New Roman" w:cs="Times New Roman"/>
          <w:sz w:val="24"/>
          <w:szCs w:val="24"/>
        </w:rPr>
        <w:t>slamique</w:t>
      </w:r>
      <w:r w:rsidRPr="00AE23D2">
        <w:rPr>
          <w:rFonts w:ascii="Times New Roman" w:hAnsi="Times New Roman" w:cs="Times New Roman"/>
          <w:sz w:val="24"/>
          <w:szCs w:val="24"/>
        </w:rPr>
        <w:t>. Le profit à partager correspond au rendement réel généré par les actifs financés par les fonds d’investissement. Le taux de répartition du profit réel entre les investisseurs doit être fixé à l’avance.</w:t>
      </w:r>
    </w:p>
    <w:p w14:paraId="291094DF" w14:textId="77777777" w:rsidR="002760B2" w:rsidRPr="00AE23D2" w:rsidRDefault="002760B2" w:rsidP="00A96D87">
      <w:pPr>
        <w:tabs>
          <w:tab w:val="left" w:pos="0"/>
          <w:tab w:val="left" w:pos="284"/>
        </w:tabs>
        <w:autoSpaceDE w:val="0"/>
        <w:autoSpaceDN w:val="0"/>
        <w:adjustRightInd w:val="0"/>
        <w:spacing w:before="120" w:line="300" w:lineRule="auto"/>
        <w:ind w:firstLine="709"/>
        <w:rPr>
          <w:rFonts w:ascii="Times New Roman" w:hAnsi="Times New Roman" w:cs="Times New Roman"/>
          <w:sz w:val="24"/>
          <w:szCs w:val="24"/>
        </w:rPr>
      </w:pPr>
      <w:r w:rsidRPr="00AE23D2">
        <w:rPr>
          <w:rFonts w:ascii="Times New Roman" w:hAnsi="Times New Roman" w:cs="Times New Roman"/>
          <w:sz w:val="24"/>
          <w:szCs w:val="24"/>
        </w:rPr>
        <w:lastRenderedPageBreak/>
        <w:t>Les comptes d'investissement participatifs représentent théoriquement un mécanisme puissant d’</w:t>
      </w:r>
      <w:r w:rsidR="00AB0C0A" w:rsidRPr="00AE23D2">
        <w:rPr>
          <w:rFonts w:ascii="Times New Roman" w:hAnsi="Times New Roman" w:cs="Times New Roman"/>
          <w:sz w:val="24"/>
          <w:szCs w:val="24"/>
        </w:rPr>
        <w:t>atténuation des risques pour la banque</w:t>
      </w:r>
      <w:r w:rsidRPr="00AE23D2">
        <w:rPr>
          <w:rFonts w:ascii="Times New Roman" w:hAnsi="Times New Roman" w:cs="Times New Roman"/>
          <w:sz w:val="24"/>
          <w:szCs w:val="24"/>
        </w:rPr>
        <w:t xml:space="preserve"> </w:t>
      </w:r>
      <w:r w:rsidR="00947C06" w:rsidRPr="00AE23D2">
        <w:rPr>
          <w:rFonts w:ascii="Times New Roman" w:hAnsi="Times New Roman" w:cs="Times New Roman"/>
          <w:sz w:val="24"/>
          <w:szCs w:val="24"/>
        </w:rPr>
        <w:t>i</w:t>
      </w:r>
      <w:r w:rsidR="003773C6" w:rsidRPr="00AE23D2">
        <w:rPr>
          <w:rFonts w:ascii="Times New Roman" w:hAnsi="Times New Roman" w:cs="Times New Roman"/>
          <w:sz w:val="24"/>
          <w:szCs w:val="24"/>
        </w:rPr>
        <w:t>slamique</w:t>
      </w:r>
      <w:r w:rsidRPr="00AE23D2">
        <w:rPr>
          <w:rFonts w:ascii="Times New Roman" w:hAnsi="Times New Roman" w:cs="Times New Roman"/>
          <w:sz w:val="24"/>
          <w:szCs w:val="24"/>
        </w:rPr>
        <w:t xml:space="preserve">. En théorie, elle n’a donc pas besoin d’exigences minimales en fonds propres si elle applique parfaitement le principe de partage des pertes et des profits avec les titulaires des comptes d’investissements. Mais, en pratique, la banque </w:t>
      </w:r>
      <w:r w:rsidR="00947C06" w:rsidRPr="00AE23D2">
        <w:rPr>
          <w:rFonts w:ascii="Times New Roman" w:hAnsi="Times New Roman" w:cs="Times New Roman"/>
          <w:sz w:val="24"/>
          <w:szCs w:val="24"/>
        </w:rPr>
        <w:t>i</w:t>
      </w:r>
      <w:r w:rsidR="003773C6" w:rsidRPr="00AE23D2">
        <w:rPr>
          <w:rFonts w:ascii="Times New Roman" w:hAnsi="Times New Roman" w:cs="Times New Roman"/>
          <w:sz w:val="24"/>
          <w:szCs w:val="24"/>
        </w:rPr>
        <w:t>slamique</w:t>
      </w:r>
      <w:r w:rsidRPr="00AE23D2">
        <w:rPr>
          <w:rFonts w:ascii="Times New Roman" w:hAnsi="Times New Roman" w:cs="Times New Roman"/>
          <w:sz w:val="24"/>
          <w:szCs w:val="24"/>
        </w:rPr>
        <w:t xml:space="preserve"> doit prendre en charge tout ou une partie du risque supporté par les déposants. Un taux de rendement trop faible sur les comptes d’investissement participatifs pourrait provoquer l’insatisfaction des déposants. Ces derniers sont rémunérés à un taux de rendement variable lié à la performance réelle des actifs financés par ces fonds d’investissement. Par conséquent, le taux de rendement pourrait être faible ou même négatif et les déposants subissent ainsi des pertes dans les pires scénarios</w:t>
      </w:r>
      <w:r w:rsidRPr="00AE23D2">
        <w:rPr>
          <w:rStyle w:val="Appelnotedebasdep"/>
          <w:rFonts w:ascii="Times New Roman" w:hAnsi="Times New Roman"/>
          <w:sz w:val="24"/>
          <w:szCs w:val="24"/>
        </w:rPr>
        <w:footnoteReference w:id="379"/>
      </w:r>
      <w:r w:rsidRPr="00AE23D2">
        <w:rPr>
          <w:rFonts w:ascii="Times New Roman" w:hAnsi="Times New Roman" w:cs="Times New Roman"/>
          <w:sz w:val="24"/>
          <w:szCs w:val="24"/>
        </w:rPr>
        <w:t>.</w:t>
      </w:r>
    </w:p>
    <w:p w14:paraId="7C2BE901" w14:textId="77777777" w:rsidR="002760B2" w:rsidRPr="00AE23D2" w:rsidRDefault="002760B2" w:rsidP="004F69D7">
      <w:pPr>
        <w:tabs>
          <w:tab w:val="left" w:pos="0"/>
          <w:tab w:val="left" w:pos="284"/>
        </w:tabs>
        <w:autoSpaceDE w:val="0"/>
        <w:autoSpaceDN w:val="0"/>
        <w:adjustRightInd w:val="0"/>
        <w:spacing w:before="120" w:line="300" w:lineRule="auto"/>
        <w:ind w:firstLine="709"/>
        <w:rPr>
          <w:rFonts w:ascii="Times New Roman" w:hAnsi="Times New Roman" w:cs="Times New Roman"/>
          <w:b/>
          <w:bCs/>
          <w:sz w:val="24"/>
          <w:szCs w:val="24"/>
        </w:rPr>
      </w:pPr>
      <w:r w:rsidRPr="00AE23D2">
        <w:rPr>
          <w:rFonts w:ascii="Times New Roman" w:hAnsi="Times New Roman" w:cs="Times New Roman"/>
          <w:sz w:val="24"/>
          <w:szCs w:val="24"/>
        </w:rPr>
        <w:t xml:space="preserve">Les titulaires de ces comptes risquent alors de retirer leurs fonds pour les placer dans une banque concurrente, cherchant ainsi une rémunération plus élevée sur d’autres investissements alternatifs. Un tel comportement des clients représente une menace non négligeable pour la banque </w:t>
      </w:r>
      <w:r w:rsidR="00E51383" w:rsidRPr="00AE23D2">
        <w:rPr>
          <w:rFonts w:ascii="Times New Roman" w:hAnsi="Times New Roman" w:cs="Times New Roman"/>
          <w:sz w:val="24"/>
          <w:szCs w:val="24"/>
        </w:rPr>
        <w:t>i</w:t>
      </w:r>
      <w:r w:rsidR="003773C6" w:rsidRPr="00AE23D2">
        <w:rPr>
          <w:rFonts w:ascii="Times New Roman" w:hAnsi="Times New Roman" w:cs="Times New Roman"/>
          <w:sz w:val="24"/>
          <w:szCs w:val="24"/>
        </w:rPr>
        <w:t>slamique</w:t>
      </w:r>
      <w:r w:rsidRPr="00AE23D2">
        <w:rPr>
          <w:rFonts w:ascii="Times New Roman" w:hAnsi="Times New Roman" w:cs="Times New Roman"/>
          <w:sz w:val="24"/>
          <w:szCs w:val="24"/>
        </w:rPr>
        <w:t xml:space="preserve">. C’est </w:t>
      </w:r>
      <w:r w:rsidRPr="00AE23D2">
        <w:rPr>
          <w:rFonts w:ascii="Times New Roman" w:hAnsi="Times New Roman" w:cs="Times New Roman"/>
          <w:b/>
          <w:bCs/>
          <w:sz w:val="24"/>
          <w:szCs w:val="24"/>
        </w:rPr>
        <w:t>la pression commerciale.</w:t>
      </w:r>
    </w:p>
    <w:p w14:paraId="3B96BBD5" w14:textId="6C5EA38B" w:rsidR="00DF78E3" w:rsidRPr="00F32892" w:rsidRDefault="00A44124" w:rsidP="00CB0FF1">
      <w:pPr>
        <w:pStyle w:val="Titre5"/>
        <w:keepNext w:val="0"/>
        <w:keepLines w:val="0"/>
        <w:numPr>
          <w:ilvl w:val="4"/>
          <w:numId w:val="119"/>
        </w:numPr>
        <w:spacing w:before="100" w:beforeAutospacing="1" w:after="120" w:line="300" w:lineRule="auto"/>
        <w:ind w:left="1010" w:hanging="301"/>
        <w:rPr>
          <w:rFonts w:asciiTheme="majorBidi" w:hAnsiTheme="majorBidi"/>
          <w:b/>
          <w:bCs/>
          <w:color w:val="auto"/>
          <w:sz w:val="24"/>
          <w:szCs w:val="24"/>
        </w:rPr>
      </w:pPr>
      <w:bookmarkStart w:id="1382" w:name="_Toc182298870"/>
      <w:r w:rsidRPr="00F32892">
        <w:rPr>
          <w:rFonts w:asciiTheme="majorBidi" w:hAnsiTheme="majorBidi"/>
          <w:b/>
          <w:bCs/>
          <w:color w:val="auto"/>
          <w:sz w:val="24"/>
          <w:szCs w:val="24"/>
        </w:rPr>
        <w:t>Identification</w:t>
      </w:r>
      <w:r w:rsidR="00DF78E3" w:rsidRPr="00F32892">
        <w:rPr>
          <w:rFonts w:asciiTheme="majorBidi" w:hAnsiTheme="majorBidi"/>
          <w:b/>
          <w:bCs/>
          <w:color w:val="auto"/>
          <w:sz w:val="24"/>
          <w:szCs w:val="24"/>
        </w:rPr>
        <w:t xml:space="preserve"> du risque commercial déplacé</w:t>
      </w:r>
      <w:bookmarkEnd w:id="1382"/>
    </w:p>
    <w:p w14:paraId="20B0A695" w14:textId="77777777" w:rsidR="002760B2" w:rsidRPr="00264203" w:rsidRDefault="00E51383" w:rsidP="00264203">
      <w:pPr>
        <w:tabs>
          <w:tab w:val="left" w:pos="0"/>
          <w:tab w:val="left" w:pos="284"/>
        </w:tabs>
        <w:autoSpaceDE w:val="0"/>
        <w:autoSpaceDN w:val="0"/>
        <w:adjustRightInd w:val="0"/>
        <w:spacing w:before="120" w:line="300" w:lineRule="auto"/>
        <w:ind w:firstLine="709"/>
        <w:rPr>
          <w:rFonts w:ascii="Times New Roman" w:hAnsi="Times New Roman" w:cs="Times New Roman"/>
          <w:kern w:val="24"/>
          <w:sz w:val="24"/>
          <w:szCs w:val="24"/>
        </w:rPr>
      </w:pPr>
      <w:r w:rsidRPr="00264203">
        <w:rPr>
          <w:rFonts w:ascii="Times New Roman" w:hAnsi="Times New Roman" w:cs="Times New Roman"/>
          <w:kern w:val="24"/>
          <w:sz w:val="24"/>
          <w:szCs w:val="24"/>
        </w:rPr>
        <w:t>Le C</w:t>
      </w:r>
      <w:r w:rsidR="002760B2" w:rsidRPr="00264203">
        <w:rPr>
          <w:rFonts w:ascii="Times New Roman" w:hAnsi="Times New Roman" w:cs="Times New Roman"/>
          <w:kern w:val="24"/>
          <w:sz w:val="24"/>
          <w:szCs w:val="24"/>
        </w:rPr>
        <w:t xml:space="preserve">onseil des services financiers </w:t>
      </w:r>
      <w:r w:rsidRPr="00264203">
        <w:rPr>
          <w:rFonts w:ascii="Times New Roman" w:hAnsi="Times New Roman" w:cs="Times New Roman"/>
          <w:kern w:val="24"/>
          <w:sz w:val="24"/>
          <w:szCs w:val="24"/>
        </w:rPr>
        <w:t>i</w:t>
      </w:r>
      <w:r w:rsidR="003773C6" w:rsidRPr="00264203">
        <w:rPr>
          <w:rFonts w:ascii="Times New Roman" w:hAnsi="Times New Roman" w:cs="Times New Roman"/>
          <w:kern w:val="24"/>
          <w:sz w:val="24"/>
          <w:szCs w:val="24"/>
        </w:rPr>
        <w:t>slamique</w:t>
      </w:r>
      <w:r w:rsidR="002760B2" w:rsidRPr="00264203">
        <w:rPr>
          <w:rFonts w:ascii="Times New Roman" w:hAnsi="Times New Roman" w:cs="Times New Roman"/>
          <w:kern w:val="24"/>
          <w:sz w:val="24"/>
          <w:szCs w:val="24"/>
        </w:rPr>
        <w:t>s (IFSB) définit le risque commercial d</w:t>
      </w:r>
      <w:r w:rsidR="004A4E16" w:rsidRPr="00264203">
        <w:rPr>
          <w:rFonts w:ascii="Times New Roman" w:hAnsi="Times New Roman" w:cs="Times New Roman"/>
          <w:kern w:val="24"/>
          <w:sz w:val="24"/>
          <w:szCs w:val="24"/>
        </w:rPr>
        <w:t>éplacé comme suit :</w:t>
      </w:r>
    </w:p>
    <w:p w14:paraId="33F3718E" w14:textId="23C6EA92" w:rsidR="00683856" w:rsidRPr="00264203" w:rsidRDefault="00683856" w:rsidP="00264203">
      <w:pPr>
        <w:tabs>
          <w:tab w:val="left" w:pos="0"/>
          <w:tab w:val="left" w:pos="284"/>
        </w:tabs>
        <w:autoSpaceDE w:val="0"/>
        <w:autoSpaceDN w:val="0"/>
        <w:adjustRightInd w:val="0"/>
        <w:spacing w:before="120" w:line="300" w:lineRule="auto"/>
        <w:ind w:firstLine="709"/>
        <w:rPr>
          <w:rFonts w:ascii="Times New Roman" w:hAnsi="Times New Roman" w:cs="Times New Roman"/>
          <w:kern w:val="24"/>
          <w:sz w:val="24"/>
          <w:szCs w:val="24"/>
        </w:rPr>
      </w:pPr>
      <w:r w:rsidRPr="00264203">
        <w:rPr>
          <w:rFonts w:ascii="Times New Roman" w:hAnsi="Times New Roman" w:cs="Times New Roman"/>
          <w:kern w:val="24"/>
          <w:sz w:val="24"/>
          <w:szCs w:val="24"/>
          <w:lang w:val="en-GB"/>
        </w:rPr>
        <w:t>”</w:t>
      </w:r>
      <w:r w:rsidRPr="00264203">
        <w:rPr>
          <w:rFonts w:ascii="Times New Roman" w:hAnsi="Times New Roman" w:cs="Times New Roman"/>
          <w:i/>
          <w:iCs/>
          <w:kern w:val="24"/>
          <w:sz w:val="24"/>
          <w:szCs w:val="24"/>
          <w:lang w:val="en-GB"/>
        </w:rPr>
        <w:t>Displaced commercial risk derives from competitive pressures on IIFS to attract and retain investors (fund providers). IIFS may be under market pressure to pay a return that exceeds the rate that has been earned on assets financed by IAH when the return on assets is under-performing as compared with competitors’ rates. IIFS may decide to waive their rights to part or their entire Muḍārib share of profits in order to satisfy and retain their fund providers and dissuade them from withdrawing their funds</w:t>
      </w:r>
      <w:r w:rsidRPr="00264203">
        <w:rPr>
          <w:rFonts w:ascii="Times New Roman" w:hAnsi="Times New Roman" w:cs="Times New Roman"/>
          <w:kern w:val="24"/>
          <w:lang w:val="en-GB"/>
        </w:rPr>
        <w:t>.</w:t>
      </w:r>
      <w:r w:rsidRPr="00264203">
        <w:rPr>
          <w:rFonts w:ascii="Times New Roman" w:hAnsi="Times New Roman" w:cs="Times New Roman"/>
          <w:kern w:val="24"/>
          <w:sz w:val="24"/>
          <w:szCs w:val="24"/>
          <w:lang w:val="en-GB"/>
        </w:rPr>
        <w:t>”</w:t>
      </w:r>
      <w:r w:rsidRPr="00264203">
        <w:rPr>
          <w:rFonts w:ascii="Times New Roman" w:hAnsi="Times New Roman" w:cs="Times New Roman"/>
          <w:kern w:val="24"/>
          <w:sz w:val="24"/>
          <w:szCs w:val="24"/>
          <w:lang w:val="en-US"/>
        </w:rPr>
        <w:t>.</w:t>
      </w:r>
      <w:r w:rsidRPr="00264203">
        <w:rPr>
          <w:rFonts w:ascii="Times New Roman" w:hAnsi="Times New Roman" w:cs="Times New Roman"/>
          <w:kern w:val="24"/>
          <w:sz w:val="24"/>
          <w:szCs w:val="24"/>
          <w:lang w:val="en-GB"/>
        </w:rPr>
        <w:t xml:space="preserve"> </w:t>
      </w:r>
      <w:r w:rsidRPr="00264203">
        <w:rPr>
          <w:rFonts w:ascii="Times New Roman" w:hAnsi="Times New Roman" w:cs="Times New Roman"/>
          <w:kern w:val="24"/>
          <w:sz w:val="24"/>
          <w:szCs w:val="24"/>
        </w:rPr>
        <w:t>(IFSB, 2005 ; Principle 6.2).</w:t>
      </w:r>
    </w:p>
    <w:p w14:paraId="1D581CBF" w14:textId="77777777" w:rsidR="002760B2" w:rsidRPr="00264203" w:rsidRDefault="002760B2" w:rsidP="00264203">
      <w:pPr>
        <w:tabs>
          <w:tab w:val="left" w:pos="0"/>
          <w:tab w:val="left" w:pos="284"/>
        </w:tabs>
        <w:autoSpaceDE w:val="0"/>
        <w:autoSpaceDN w:val="0"/>
        <w:adjustRightInd w:val="0"/>
        <w:spacing w:before="120" w:line="300" w:lineRule="auto"/>
        <w:ind w:firstLine="709"/>
        <w:rPr>
          <w:rFonts w:ascii="Times New Roman" w:hAnsi="Times New Roman" w:cs="Times New Roman"/>
          <w:kern w:val="24"/>
          <w:sz w:val="24"/>
          <w:szCs w:val="24"/>
        </w:rPr>
      </w:pPr>
      <w:r w:rsidRPr="00264203">
        <w:rPr>
          <w:rFonts w:ascii="Times New Roman" w:hAnsi="Times New Roman" w:cs="Times New Roman"/>
          <w:kern w:val="24"/>
          <w:sz w:val="24"/>
          <w:szCs w:val="24"/>
        </w:rPr>
        <w:t xml:space="preserve">Le risque commercial déplacé fait référence aux pertes que la banque </w:t>
      </w:r>
      <w:r w:rsidR="00E9218A" w:rsidRPr="00264203">
        <w:rPr>
          <w:rFonts w:ascii="Times New Roman" w:hAnsi="Times New Roman" w:cs="Times New Roman"/>
          <w:kern w:val="24"/>
          <w:sz w:val="24"/>
          <w:szCs w:val="24"/>
        </w:rPr>
        <w:t>i</w:t>
      </w:r>
      <w:r w:rsidR="003773C6" w:rsidRPr="00264203">
        <w:rPr>
          <w:rFonts w:ascii="Times New Roman" w:hAnsi="Times New Roman" w:cs="Times New Roman"/>
          <w:kern w:val="24"/>
          <w:sz w:val="24"/>
          <w:szCs w:val="24"/>
        </w:rPr>
        <w:t>slamique</w:t>
      </w:r>
      <w:r w:rsidRPr="00264203">
        <w:rPr>
          <w:rFonts w:ascii="Times New Roman" w:hAnsi="Times New Roman" w:cs="Times New Roman"/>
          <w:kern w:val="24"/>
          <w:sz w:val="24"/>
          <w:szCs w:val="24"/>
        </w:rPr>
        <w:t xml:space="preserve"> absorbe pour s’assurer que les titulaires des comptes d’investissement participatifs sont rémunérés à un taux de rendement équivalent à un taux compétitif et ce, par pression commerciale. La banque </w:t>
      </w:r>
      <w:r w:rsidR="00E9218A" w:rsidRPr="00264203">
        <w:rPr>
          <w:rFonts w:ascii="Times New Roman" w:hAnsi="Times New Roman" w:cs="Times New Roman"/>
          <w:kern w:val="24"/>
          <w:sz w:val="24"/>
          <w:szCs w:val="24"/>
        </w:rPr>
        <w:t>i</w:t>
      </w:r>
      <w:r w:rsidR="003773C6" w:rsidRPr="00264203">
        <w:rPr>
          <w:rFonts w:ascii="Times New Roman" w:hAnsi="Times New Roman" w:cs="Times New Roman"/>
          <w:kern w:val="24"/>
          <w:sz w:val="24"/>
          <w:szCs w:val="24"/>
        </w:rPr>
        <w:t>slamique</w:t>
      </w:r>
      <w:r w:rsidRPr="00264203">
        <w:rPr>
          <w:rFonts w:ascii="Times New Roman" w:hAnsi="Times New Roman" w:cs="Times New Roman"/>
          <w:kern w:val="24"/>
          <w:sz w:val="24"/>
          <w:szCs w:val="24"/>
        </w:rPr>
        <w:t xml:space="preserve"> peut décider de réduire sa marge afin d’assurer une rémunération compétitive à ses clients. On assiste alors à un transfert d’une part des profits des actionnaires vers les titulaires des comptes d’investissement. Il y a donc un transfert de risque, théoriquement supporté par l</w:t>
      </w:r>
      <w:r w:rsidR="005653E9" w:rsidRPr="00264203">
        <w:rPr>
          <w:rFonts w:ascii="Times New Roman" w:hAnsi="Times New Roman" w:cs="Times New Roman"/>
          <w:kern w:val="24"/>
          <w:sz w:val="24"/>
          <w:szCs w:val="24"/>
        </w:rPr>
        <w:t>es</w:t>
      </w:r>
      <w:r w:rsidRPr="00264203">
        <w:rPr>
          <w:rFonts w:ascii="Times New Roman" w:hAnsi="Times New Roman" w:cs="Times New Roman"/>
          <w:kern w:val="24"/>
          <w:sz w:val="24"/>
          <w:szCs w:val="24"/>
        </w:rPr>
        <w:t xml:space="preserve"> titulaires des comptes d’investissement, vers les actionnaires, d’où le nom a</w:t>
      </w:r>
      <w:r w:rsidR="00FC2B82" w:rsidRPr="00264203">
        <w:rPr>
          <w:rFonts w:ascii="Times New Roman" w:hAnsi="Times New Roman" w:cs="Times New Roman"/>
          <w:kern w:val="24"/>
          <w:sz w:val="24"/>
          <w:szCs w:val="24"/>
        </w:rPr>
        <w:t>ttribué à ce risque spécifique :</w:t>
      </w:r>
      <w:r w:rsidRPr="00264203">
        <w:rPr>
          <w:rFonts w:ascii="Times New Roman" w:hAnsi="Times New Roman" w:cs="Times New Roman"/>
          <w:kern w:val="24"/>
          <w:sz w:val="24"/>
          <w:szCs w:val="24"/>
        </w:rPr>
        <w:t xml:space="preserve"> le risque commercial déplacé.</w:t>
      </w:r>
    </w:p>
    <w:p w14:paraId="58537BCA" w14:textId="77777777" w:rsidR="002760B2" w:rsidRPr="00264203" w:rsidRDefault="002760B2" w:rsidP="00264203">
      <w:pPr>
        <w:tabs>
          <w:tab w:val="left" w:pos="0"/>
          <w:tab w:val="left" w:pos="284"/>
        </w:tabs>
        <w:autoSpaceDE w:val="0"/>
        <w:autoSpaceDN w:val="0"/>
        <w:adjustRightInd w:val="0"/>
        <w:spacing w:before="120" w:line="300" w:lineRule="auto"/>
        <w:ind w:firstLine="709"/>
        <w:rPr>
          <w:rFonts w:ascii="Times New Roman" w:hAnsi="Times New Roman" w:cs="Times New Roman"/>
          <w:kern w:val="24"/>
          <w:sz w:val="24"/>
          <w:szCs w:val="24"/>
        </w:rPr>
      </w:pPr>
      <w:r w:rsidRPr="00264203">
        <w:rPr>
          <w:rFonts w:ascii="Times New Roman" w:hAnsi="Times New Roman" w:cs="Times New Roman"/>
          <w:kern w:val="24"/>
          <w:sz w:val="24"/>
          <w:szCs w:val="24"/>
        </w:rPr>
        <w:t>Le risque commercial déplacé résulte de la volatilité des rendements des actifs financés par les fonds déposés en compte d’investissement participatifs. Ce risque se manifeste au moment où le taux de rendement réel est inférieur aux rendements espérés par les titulaires des comptes d’investissement, généralement équivalent à un taux sur</w:t>
      </w:r>
      <w:r w:rsidR="00A21B33" w:rsidRPr="00264203">
        <w:rPr>
          <w:rFonts w:ascii="Times New Roman" w:hAnsi="Times New Roman" w:cs="Times New Roman"/>
          <w:kern w:val="24"/>
          <w:sz w:val="24"/>
          <w:szCs w:val="24"/>
        </w:rPr>
        <w:t xml:space="preserve"> un investissement alternatif (e</w:t>
      </w:r>
      <w:r w:rsidRPr="00264203">
        <w:rPr>
          <w:rFonts w:ascii="Times New Roman" w:hAnsi="Times New Roman" w:cs="Times New Roman"/>
          <w:kern w:val="24"/>
          <w:sz w:val="24"/>
          <w:szCs w:val="24"/>
        </w:rPr>
        <w:t xml:space="preserve">x. benchmark rate, le taux d’intérêt sur les dépôts conventionnels, taux de rendements sur les dépôts </w:t>
      </w:r>
      <w:r w:rsidR="00E9218A" w:rsidRPr="00264203">
        <w:rPr>
          <w:rFonts w:ascii="Times New Roman" w:hAnsi="Times New Roman" w:cs="Times New Roman"/>
          <w:kern w:val="24"/>
          <w:sz w:val="24"/>
          <w:szCs w:val="24"/>
        </w:rPr>
        <w:t>i</w:t>
      </w:r>
      <w:r w:rsidR="003773C6" w:rsidRPr="00264203">
        <w:rPr>
          <w:rFonts w:ascii="Times New Roman" w:hAnsi="Times New Roman" w:cs="Times New Roman"/>
          <w:kern w:val="24"/>
          <w:sz w:val="24"/>
          <w:szCs w:val="24"/>
        </w:rPr>
        <w:t>slamique</w:t>
      </w:r>
      <w:r w:rsidRPr="00264203">
        <w:rPr>
          <w:rFonts w:ascii="Times New Roman" w:hAnsi="Times New Roman" w:cs="Times New Roman"/>
          <w:kern w:val="24"/>
          <w:sz w:val="24"/>
          <w:szCs w:val="24"/>
        </w:rPr>
        <w:t xml:space="preserve">s de la concurrence, etc.). Par conséquent, sous pression commerciale, la </w:t>
      </w:r>
      <w:r w:rsidRPr="00264203">
        <w:rPr>
          <w:rFonts w:ascii="Times New Roman" w:hAnsi="Times New Roman" w:cs="Times New Roman"/>
          <w:kern w:val="24"/>
          <w:sz w:val="24"/>
          <w:szCs w:val="24"/>
        </w:rPr>
        <w:lastRenderedPageBreak/>
        <w:t xml:space="preserve">majorité des banques </w:t>
      </w:r>
      <w:r w:rsidR="00E9218A" w:rsidRPr="00264203">
        <w:rPr>
          <w:rFonts w:ascii="Times New Roman" w:hAnsi="Times New Roman" w:cs="Times New Roman"/>
          <w:kern w:val="24"/>
          <w:sz w:val="24"/>
          <w:szCs w:val="24"/>
        </w:rPr>
        <w:t>i</w:t>
      </w:r>
      <w:r w:rsidR="003773C6" w:rsidRPr="00264203">
        <w:rPr>
          <w:rFonts w:ascii="Times New Roman" w:hAnsi="Times New Roman" w:cs="Times New Roman"/>
          <w:kern w:val="24"/>
          <w:sz w:val="24"/>
          <w:szCs w:val="24"/>
        </w:rPr>
        <w:t>slamique</w:t>
      </w:r>
      <w:r w:rsidRPr="00264203">
        <w:rPr>
          <w:rFonts w:ascii="Times New Roman" w:hAnsi="Times New Roman" w:cs="Times New Roman"/>
          <w:kern w:val="24"/>
          <w:sz w:val="24"/>
          <w:szCs w:val="24"/>
        </w:rPr>
        <w:t>s augmentent le taux de rendement attribué aux déposants en comptes d’investissement participatifs pour leur offrir une rémunération compétitive.</w:t>
      </w:r>
    </w:p>
    <w:p w14:paraId="15C0DB43" w14:textId="77777777" w:rsidR="00A21B33" w:rsidRPr="002B005F" w:rsidRDefault="00A21B33" w:rsidP="007B64B9">
      <w:pPr>
        <w:pStyle w:val="Titre4"/>
        <w:keepNext w:val="0"/>
        <w:spacing w:before="100" w:beforeAutospacing="1" w:after="120" w:line="300" w:lineRule="auto"/>
        <w:ind w:firstLine="709"/>
        <w:rPr>
          <w:szCs w:val="24"/>
        </w:rPr>
      </w:pPr>
      <w:bookmarkStart w:id="1383" w:name="_Toc182298871"/>
      <w:r w:rsidRPr="002B005F">
        <w:rPr>
          <w:szCs w:val="24"/>
        </w:rPr>
        <w:t xml:space="preserve">3.1.4- </w:t>
      </w:r>
      <w:r w:rsidRPr="002B005F">
        <w:t>Risque fiduciaire</w:t>
      </w:r>
      <w:bookmarkEnd w:id="1383"/>
    </w:p>
    <w:p w14:paraId="22A85BE1" w14:textId="77777777" w:rsidR="002760B2" w:rsidRPr="002B005F" w:rsidRDefault="002760B2" w:rsidP="00E02EEC">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L’AAOIFI (1999)</w:t>
      </w:r>
      <w:r w:rsidRPr="002B005F">
        <w:rPr>
          <w:rStyle w:val="Appelnotedebasdep"/>
          <w:rFonts w:ascii="Times New Roman" w:hAnsi="Times New Roman"/>
          <w:sz w:val="24"/>
          <w:szCs w:val="24"/>
        </w:rPr>
        <w:footnoteReference w:id="380"/>
      </w:r>
      <w:r w:rsidRPr="002B005F">
        <w:rPr>
          <w:rFonts w:ascii="Times New Roman" w:hAnsi="Times New Roman" w:cs="Times New Roman"/>
          <w:sz w:val="24"/>
          <w:szCs w:val="24"/>
        </w:rPr>
        <w:t xml:space="preserve"> identifie également le risque fiduciaire comme le risque que les clients perdent confiance en leur banque suite à la non-conformité des opérations bancaires avec les principes de la finance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ou bien à cause d’une mauvaise gestion des fonds. Ceci engendre généralement une dégradation de l’image de la banque et une perte de confiance de la part des titulaires des dépôts qui peuvent être amenés à retirer leurs dépôts.</w:t>
      </w:r>
    </w:p>
    <w:p w14:paraId="2FD9859B" w14:textId="77777777" w:rsidR="002760B2" w:rsidRPr="002B005F" w:rsidRDefault="002760B2" w:rsidP="00E02EEC">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risque de non-conformité des opérations bancaires avec les principes de la loi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A31749" w:rsidRPr="002B005F">
        <w:rPr>
          <w:rFonts w:ascii="Times New Roman" w:hAnsi="Times New Roman" w:cs="Times New Roman"/>
          <w:sz w:val="20"/>
          <w:szCs w:val="20"/>
          <w:lang w:eastAsia="fr-FR"/>
        </w:rPr>
        <w:t xml:space="preserve"> </w:t>
      </w:r>
      <w:r w:rsidR="00A31749" w:rsidRPr="002B005F">
        <w:rPr>
          <w:rFonts w:ascii="Times New Roman" w:hAnsi="Times New Roman" w:cs="Times New Roman"/>
          <w:sz w:val="24"/>
          <w:szCs w:val="24"/>
          <w:lang w:eastAsia="fr-FR"/>
        </w:rPr>
        <w:t>“</w:t>
      </w:r>
      <w:r w:rsidRPr="002B005F">
        <w:rPr>
          <w:rFonts w:ascii="Times New Roman" w:hAnsi="Times New Roman" w:cs="Times New Roman"/>
          <w:i/>
          <w:iCs/>
          <w:sz w:val="24"/>
          <w:szCs w:val="24"/>
        </w:rPr>
        <w:t>Shariah</w:t>
      </w:r>
      <w:r w:rsidRPr="002B005F">
        <w:rPr>
          <w:rFonts w:ascii="Times New Roman" w:hAnsi="Times New Roman" w:cs="Times New Roman"/>
          <w:sz w:val="24"/>
          <w:szCs w:val="24"/>
        </w:rPr>
        <w:t xml:space="preserve"> </w:t>
      </w:r>
      <w:r w:rsidRPr="00E9218A">
        <w:rPr>
          <w:rFonts w:ascii="Times New Roman" w:hAnsi="Times New Roman" w:cs="Times New Roman"/>
          <w:i/>
          <w:iCs/>
          <w:sz w:val="24"/>
          <w:szCs w:val="24"/>
        </w:rPr>
        <w:t>compliance risk</w:t>
      </w:r>
      <w:r w:rsidR="00A31749" w:rsidRPr="002B005F">
        <w:rPr>
          <w:rFonts w:ascii="Times New Roman" w:hAnsi="Times New Roman" w:cs="Times New Roman"/>
          <w:sz w:val="24"/>
          <w:szCs w:val="24"/>
          <w:lang w:eastAsia="fr-FR"/>
        </w:rPr>
        <w:t>“</w:t>
      </w:r>
      <w:r w:rsidRPr="002B005F">
        <w:rPr>
          <w:rFonts w:ascii="Times New Roman" w:hAnsi="Times New Roman" w:cs="Times New Roman"/>
          <w:sz w:val="24"/>
          <w:szCs w:val="24"/>
        </w:rPr>
        <w:t xml:space="preserve"> résultant principalement du manque de professionnels qualifiés. Dans les contrats participatifs, ce risque apparait lors de la mise en place d’une clause garantissant le capital au bailleur de fonds ou en prévoyant le partage des pertes sans rapport avec les apports respectifs, ou par exemple dans le cas de la prise de participation dans des sociétés illicites, etc.</w:t>
      </w:r>
    </w:p>
    <w:p w14:paraId="46E74DFF" w14:textId="77777777" w:rsidR="002760B2" w:rsidRPr="00960575" w:rsidRDefault="004A4E16" w:rsidP="00E02EEC">
      <w:pPr>
        <w:pStyle w:val="Titre3"/>
        <w:keepNext w:val="0"/>
        <w:keepLines w:val="0"/>
        <w:spacing w:before="100" w:beforeAutospacing="1" w:after="100" w:afterAutospacing="1"/>
        <w:ind w:firstLine="709"/>
        <w:rPr>
          <w:sz w:val="28"/>
          <w:szCs w:val="28"/>
        </w:rPr>
      </w:pPr>
      <w:bookmarkStart w:id="1384" w:name="_Toc57900855"/>
      <w:bookmarkStart w:id="1385" w:name="_Toc57900856"/>
      <w:bookmarkStart w:id="1386" w:name="_Toc57900857"/>
      <w:bookmarkStart w:id="1387" w:name="_Toc33263359"/>
      <w:bookmarkStart w:id="1388" w:name="_Toc33264122"/>
      <w:bookmarkStart w:id="1389" w:name="_Toc37664622"/>
      <w:bookmarkStart w:id="1390" w:name="_Toc37666467"/>
      <w:bookmarkStart w:id="1391" w:name="_Toc37667324"/>
      <w:bookmarkStart w:id="1392" w:name="_Toc54361034"/>
      <w:bookmarkStart w:id="1393" w:name="_Toc54361682"/>
      <w:bookmarkStart w:id="1394" w:name="_Toc54363364"/>
      <w:bookmarkStart w:id="1395" w:name="_Toc58606351"/>
      <w:bookmarkStart w:id="1396" w:name="_Toc61263556"/>
      <w:bookmarkStart w:id="1397" w:name="_Toc182298872"/>
      <w:bookmarkEnd w:id="1384"/>
      <w:bookmarkEnd w:id="1385"/>
      <w:bookmarkEnd w:id="1386"/>
      <w:r w:rsidRPr="00960575">
        <w:rPr>
          <w:sz w:val="28"/>
          <w:szCs w:val="28"/>
        </w:rPr>
        <w:t xml:space="preserve">3.2- </w:t>
      </w:r>
      <w:r w:rsidR="002760B2" w:rsidRPr="00960575">
        <w:rPr>
          <w:sz w:val="28"/>
          <w:szCs w:val="28"/>
        </w:rPr>
        <w:t>Gesti</w:t>
      </w:r>
      <w:r w:rsidR="00E51383" w:rsidRPr="00960575">
        <w:rPr>
          <w:sz w:val="28"/>
          <w:szCs w:val="28"/>
        </w:rPr>
        <w:t>on des risques liés aux modes</w:t>
      </w:r>
      <w:r w:rsidR="002760B2" w:rsidRPr="00960575">
        <w:rPr>
          <w:sz w:val="28"/>
          <w:szCs w:val="28"/>
        </w:rPr>
        <w:t xml:space="preserve"> financiers participatifs</w:t>
      </w:r>
      <w:bookmarkEnd w:id="1387"/>
      <w:bookmarkEnd w:id="1388"/>
      <w:bookmarkEnd w:id="1389"/>
      <w:bookmarkEnd w:id="1390"/>
      <w:bookmarkEnd w:id="1391"/>
      <w:bookmarkEnd w:id="1392"/>
      <w:bookmarkEnd w:id="1393"/>
      <w:bookmarkEnd w:id="1394"/>
      <w:bookmarkEnd w:id="1395"/>
      <w:bookmarkEnd w:id="1396"/>
      <w:bookmarkEnd w:id="1397"/>
    </w:p>
    <w:p w14:paraId="32A7FC70" w14:textId="77777777" w:rsidR="002760B2" w:rsidRPr="002B005F" w:rsidRDefault="002760B2" w:rsidP="00E02EEC">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Les produits de types participatifs sont les plus vulnérables aux risques, puisque les deux parties engagent des fonds sans aucune garantie réelle. La perte est partagée par la banque et le client au prorata de leur apport en capital. Par contre, si la perte est </w:t>
      </w:r>
      <w:r w:rsidR="004A4E16" w:rsidRPr="002B005F">
        <w:rPr>
          <w:rFonts w:ascii="Times New Roman" w:hAnsi="Times New Roman" w:cs="Times New Roman"/>
          <w:sz w:val="24"/>
          <w:szCs w:val="24"/>
        </w:rPr>
        <w:t>due</w:t>
      </w:r>
      <w:r w:rsidRPr="002B005F">
        <w:rPr>
          <w:rFonts w:ascii="Times New Roman" w:hAnsi="Times New Roman" w:cs="Times New Roman"/>
          <w:sz w:val="24"/>
          <w:szCs w:val="24"/>
        </w:rPr>
        <w:t xml:space="preserve"> à la négligence de la part du client, celui-ci est tenu pour responsable des dommages causés à la banque. Dans ce qui suit, nous abordons les techniques de gestion de risques qui peuvent être appliquées sur les produits financiers participatifs.</w:t>
      </w:r>
      <w:bookmarkStart w:id="1398" w:name="_Toc33263360"/>
      <w:bookmarkStart w:id="1399" w:name="_Toc37664623"/>
      <w:bookmarkStart w:id="1400" w:name="_Toc37666468"/>
      <w:bookmarkStart w:id="1401" w:name="_Toc54363365"/>
      <w:bookmarkStart w:id="1402" w:name="_Toc57230265"/>
      <w:bookmarkStart w:id="1403" w:name="_Toc57881386"/>
      <w:bookmarkEnd w:id="1398"/>
      <w:bookmarkEnd w:id="1399"/>
      <w:bookmarkEnd w:id="1400"/>
      <w:bookmarkEnd w:id="1401"/>
      <w:bookmarkEnd w:id="1402"/>
      <w:bookmarkEnd w:id="1403"/>
    </w:p>
    <w:p w14:paraId="718C357E" w14:textId="77777777" w:rsidR="002760B2" w:rsidRPr="002B005F" w:rsidRDefault="00D4783C" w:rsidP="007B64B9">
      <w:pPr>
        <w:pStyle w:val="Titre4"/>
        <w:keepNext w:val="0"/>
        <w:spacing w:before="100" w:beforeAutospacing="1" w:after="120" w:line="300" w:lineRule="auto"/>
        <w:ind w:left="709"/>
      </w:pPr>
      <w:bookmarkStart w:id="1404" w:name="_Toc57900859"/>
      <w:bookmarkStart w:id="1405" w:name="_Toc33263361"/>
      <w:bookmarkStart w:id="1406" w:name="_Toc37664624"/>
      <w:bookmarkStart w:id="1407" w:name="_Toc37666469"/>
      <w:bookmarkStart w:id="1408" w:name="_Toc54363366"/>
      <w:bookmarkStart w:id="1409" w:name="_Toc58606352"/>
      <w:bookmarkStart w:id="1410" w:name="_Toc61263557"/>
      <w:bookmarkStart w:id="1411" w:name="_Toc182298873"/>
      <w:bookmarkEnd w:id="1404"/>
      <w:r w:rsidRPr="002B005F">
        <w:t xml:space="preserve">3.2.1- </w:t>
      </w:r>
      <w:r w:rsidR="002760B2" w:rsidRPr="002B005F">
        <w:t>Gestion du risque de crédit</w:t>
      </w:r>
      <w:bookmarkEnd w:id="1405"/>
      <w:bookmarkEnd w:id="1406"/>
      <w:bookmarkEnd w:id="1407"/>
      <w:bookmarkEnd w:id="1408"/>
      <w:bookmarkEnd w:id="1409"/>
      <w:bookmarkEnd w:id="1410"/>
      <w:bookmarkEnd w:id="1411"/>
    </w:p>
    <w:p w14:paraId="2AED16B0" w14:textId="77777777" w:rsidR="002760B2" w:rsidRPr="002B005F" w:rsidRDefault="002760B2" w:rsidP="00E02EEC">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Ainsi, la banque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n’est pas seulement un créancier dans les opérations de crédit commercial, elle est propriétaire aussi. Dans les opérations de financement participatif, elle n’est pas un créancier mais un investisseur. Les droits de la banque en tant que bailleur de fonds, sont subordonnés au respect de ses obligations en tant que vendeur, loueur, entrepreneur ou investisseur.</w:t>
      </w:r>
    </w:p>
    <w:p w14:paraId="648C37C6" w14:textId="77777777" w:rsidR="00B01C46" w:rsidRPr="00B01C46" w:rsidRDefault="00D4783C" w:rsidP="00E02EEC">
      <w:pPr>
        <w:pStyle w:val="Titre5"/>
        <w:keepNext w:val="0"/>
        <w:keepLines w:val="0"/>
        <w:spacing w:before="120" w:after="120" w:line="300" w:lineRule="auto"/>
        <w:ind w:firstLine="709"/>
        <w:rPr>
          <w:rFonts w:asciiTheme="majorBidi" w:hAnsiTheme="majorBidi"/>
          <w:b/>
          <w:bCs/>
          <w:color w:val="auto"/>
          <w:sz w:val="24"/>
          <w:szCs w:val="24"/>
        </w:rPr>
      </w:pPr>
      <w:bookmarkStart w:id="1412" w:name="_Toc33263362"/>
      <w:bookmarkStart w:id="1413" w:name="_Toc37664625"/>
      <w:bookmarkStart w:id="1414" w:name="_Toc37666470"/>
      <w:bookmarkStart w:id="1415" w:name="_Toc54363367"/>
      <w:bookmarkStart w:id="1416" w:name="_Toc182298874"/>
      <w:r w:rsidRPr="00B01C46">
        <w:rPr>
          <w:rFonts w:asciiTheme="majorBidi" w:hAnsiTheme="majorBidi"/>
          <w:b/>
          <w:bCs/>
          <w:color w:val="auto"/>
          <w:sz w:val="24"/>
          <w:szCs w:val="24"/>
        </w:rPr>
        <w:t xml:space="preserve">3.2.1.1- </w:t>
      </w:r>
      <w:r w:rsidR="002760B2" w:rsidRPr="00B01C46">
        <w:rPr>
          <w:rFonts w:asciiTheme="majorBidi" w:hAnsiTheme="majorBidi"/>
          <w:b/>
          <w:bCs/>
          <w:color w:val="auto"/>
          <w:sz w:val="24"/>
          <w:szCs w:val="24"/>
        </w:rPr>
        <w:t>Mesure du risque de crédit</w:t>
      </w:r>
      <w:bookmarkEnd w:id="1412"/>
      <w:bookmarkEnd w:id="1413"/>
      <w:bookmarkEnd w:id="1414"/>
      <w:bookmarkEnd w:id="1415"/>
      <w:bookmarkEnd w:id="1416"/>
    </w:p>
    <w:p w14:paraId="72449EF6"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Aujourd'hui, le risque de crédit des banques est mesuré par les notations de crédit. Brièvement, la notation de crédit est une mesure de qualité de solvabilité d’un émetteur ou d’une émission attribuée par des i</w:t>
      </w:r>
      <w:r w:rsidR="00FC2B82" w:rsidRPr="002B005F">
        <w:rPr>
          <w:rFonts w:ascii="Times New Roman" w:hAnsi="Times New Roman" w:cs="Times New Roman"/>
          <w:sz w:val="24"/>
          <w:szCs w:val="24"/>
        </w:rPr>
        <w:t>nstitutions spécialisées, les « agences de notation »</w:t>
      </w:r>
      <w:r w:rsidRPr="002B005F">
        <w:rPr>
          <w:rFonts w:ascii="Times New Roman" w:hAnsi="Times New Roman" w:cs="Times New Roman"/>
          <w:sz w:val="24"/>
          <w:szCs w:val="24"/>
        </w:rPr>
        <w:t>. Cette technique est utilisée pour évaluer le risque de crédit en s’appuyant sur des méthodes, des analyses et des évaluations spécifiques.</w:t>
      </w:r>
    </w:p>
    <w:p w14:paraId="4D93431F"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En général, les agences de notation utilisent des évaluations basées sur des modèles mathématiques et / ou des évaluations des analystes. Le processus d'évaluation des agences </w:t>
      </w:r>
      <w:r w:rsidRPr="002B005F">
        <w:rPr>
          <w:rFonts w:ascii="Times New Roman" w:hAnsi="Times New Roman" w:cs="Times New Roman"/>
          <w:sz w:val="24"/>
          <w:szCs w:val="24"/>
        </w:rPr>
        <w:lastRenderedPageBreak/>
        <w:t>commence par les critères de notation, y compris les principes, les méthodologies, les hypothèses puis les analyses quantitatives et qualitatives. En fin de compte, le rating est un processus dynamique où le suivi et la modification des notations sont nécessaires.</w:t>
      </w:r>
    </w:p>
    <w:p w14:paraId="2582CA90" w14:textId="77777777" w:rsidR="002760B2" w:rsidRPr="002B005F" w:rsidRDefault="002760B2" w:rsidP="00A21B33">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Depuis que les banques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sont devenues l'un des acteurs importants sur le marché financier, les agences de notation ont commencé à préparer des notations de crédit pour eux. L’agence Moody</w:t>
      </w:r>
      <w:r w:rsidR="00E51383" w:rsidRPr="002B005F">
        <w:rPr>
          <w:rFonts w:ascii="Times New Roman" w:hAnsi="Times New Roman" w:cs="Times New Roman"/>
          <w:sz w:val="24"/>
          <w:szCs w:val="24"/>
        </w:rPr>
        <w:t>’s</w:t>
      </w:r>
      <w:r w:rsidRPr="002B005F">
        <w:rPr>
          <w:rFonts w:ascii="Times New Roman" w:hAnsi="Times New Roman" w:cs="Times New Roman"/>
          <w:sz w:val="24"/>
          <w:szCs w:val="24"/>
        </w:rPr>
        <w:t xml:space="preserve"> catégorise les éléments de passif d'une banque </w:t>
      </w:r>
      <w:r w:rsidR="004853E0"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en trois groupes de base : les comptes courants et les dépôts de </w:t>
      </w:r>
      <w:r w:rsidRPr="002B005F">
        <w:rPr>
          <w:rFonts w:ascii="Times New Roman" w:hAnsi="Times New Roman" w:cs="Times New Roman"/>
          <w:i/>
          <w:iCs/>
          <w:sz w:val="24"/>
          <w:szCs w:val="24"/>
        </w:rPr>
        <w:t>mourabaha</w:t>
      </w:r>
      <w:r w:rsidRPr="002B005F">
        <w:rPr>
          <w:rFonts w:ascii="Times New Roman" w:hAnsi="Times New Roman" w:cs="Times New Roman"/>
          <w:sz w:val="24"/>
          <w:szCs w:val="24"/>
        </w:rPr>
        <w:t xml:space="preserve"> qui sont catégorisés en tant que passifs assimilables à un dépôt et notés en fonction des notations de dépôt, des emprunts </w:t>
      </w:r>
      <w:r w:rsidRPr="002B005F">
        <w:rPr>
          <w:rFonts w:ascii="Times New Roman" w:hAnsi="Times New Roman" w:cs="Times New Roman"/>
          <w:i/>
          <w:iCs/>
          <w:sz w:val="24"/>
          <w:szCs w:val="24"/>
        </w:rPr>
        <w:t>mourabaha</w:t>
      </w:r>
      <w:r w:rsidRPr="002B005F">
        <w:rPr>
          <w:rFonts w:ascii="Times New Roman" w:hAnsi="Times New Roman" w:cs="Times New Roman"/>
          <w:sz w:val="24"/>
          <w:szCs w:val="24"/>
        </w:rPr>
        <w:t xml:space="preserve"> et les </w:t>
      </w:r>
      <w:r w:rsidR="004A4E16" w:rsidRPr="002B005F">
        <w:rPr>
          <w:rFonts w:ascii="Times New Roman" w:hAnsi="Times New Roman" w:cs="Times New Roman"/>
          <w:i/>
          <w:sz w:val="24"/>
          <w:szCs w:val="24"/>
        </w:rPr>
        <w:t>sukuk</w:t>
      </w:r>
      <w:r w:rsidRPr="002B005F">
        <w:rPr>
          <w:rFonts w:ascii="Times New Roman" w:hAnsi="Times New Roman" w:cs="Times New Roman"/>
          <w:sz w:val="24"/>
          <w:szCs w:val="24"/>
        </w:rPr>
        <w:t xml:space="preserve"> émis qui sont classés en dettes et assimilés aux notations de dettes, les comptes d’investissement participatifs (PSIA) qui sont classés en tant que passifs spécifiques et notés par des émetteurs de  notations de crédit.</w:t>
      </w:r>
    </w:p>
    <w:p w14:paraId="25A1C909" w14:textId="77777777" w:rsidR="002760B2" w:rsidRPr="002B005F" w:rsidRDefault="002760B2" w:rsidP="007B64B9">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Il est difficile d'identifier les cas de défaut des comptes participatifs, car il n'y a pas de notation spécifique pour ces comptes, et par conséquent, les déposants doivent se référer aux émetteurs de notations de crédit attribuées par Moody's comme le meilleur indicateur</w:t>
      </w:r>
      <w:r w:rsidRPr="002B005F">
        <w:rPr>
          <w:rStyle w:val="Appelnotedebasdep"/>
          <w:rFonts w:ascii="Times New Roman" w:hAnsi="Times New Roman"/>
          <w:sz w:val="24"/>
          <w:szCs w:val="24"/>
        </w:rPr>
        <w:footnoteReference w:id="381"/>
      </w:r>
      <w:r w:rsidRPr="002B005F">
        <w:rPr>
          <w:rFonts w:ascii="Times New Roman" w:hAnsi="Times New Roman" w:cs="Times New Roman"/>
          <w:sz w:val="24"/>
          <w:szCs w:val="24"/>
        </w:rPr>
        <w:t>.</w:t>
      </w:r>
      <w:r w:rsidR="004853E0"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Parmi toutes les agences de notations de crédit qui évaluent les banques </w:t>
      </w:r>
      <w:r w:rsidR="00E51383"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Standard</w:t>
      </w:r>
      <w:r w:rsidR="00E51383"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&amp; Poor’s peut être acceptée satisfaisante pour la mesure du risque de crédit des banques </w:t>
      </w:r>
      <w:r w:rsidR="004853E0"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surtout pour les comptes d'investissement basés sur 3P. Par conséquent, nous ne voyons aucune nécessité de suggérer une nouvelle approche de notation de crédit pour les instruments basés sur le PLS dans les banques </w:t>
      </w:r>
      <w:r w:rsidR="004853E0"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w:t>
      </w:r>
      <w:r w:rsidRPr="002B005F">
        <w:rPr>
          <w:rStyle w:val="Appelnotedebasdep"/>
          <w:rFonts w:ascii="Times New Roman" w:hAnsi="Times New Roman"/>
          <w:sz w:val="24"/>
          <w:szCs w:val="24"/>
        </w:rPr>
        <w:footnoteReference w:id="382"/>
      </w:r>
      <w:r w:rsidRPr="002B005F">
        <w:rPr>
          <w:rFonts w:ascii="Times New Roman" w:hAnsi="Times New Roman" w:cs="Times New Roman"/>
          <w:sz w:val="24"/>
          <w:szCs w:val="24"/>
        </w:rPr>
        <w:t>.</w:t>
      </w:r>
    </w:p>
    <w:p w14:paraId="4AAA2620" w14:textId="77777777" w:rsidR="002760B2" w:rsidRPr="002B005F" w:rsidRDefault="00FC2B8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D'un autre côté, « </w:t>
      </w:r>
      <w:r w:rsidR="002760B2" w:rsidRPr="002B005F">
        <w:rPr>
          <w:rFonts w:ascii="Times New Roman" w:hAnsi="Times New Roman" w:cs="Times New Roman"/>
          <w:sz w:val="24"/>
          <w:szCs w:val="24"/>
        </w:rPr>
        <w:t>le scoring de crédit est utilisé pour prédire le remboursement futur de l'emprunteur en utilisant seulement des informations sur le bureau de crédit, telles que le remboursement passé de l'emprunteur pour évaluer sa solvabilité, l'exposition ou l'utilisation du crédit, et l'appétit pour une exposition supplémentaire »</w:t>
      </w:r>
      <w:r w:rsidR="002760B2" w:rsidRPr="002B005F">
        <w:rPr>
          <w:rStyle w:val="Appelnotedebasdep"/>
          <w:rFonts w:ascii="Times New Roman" w:hAnsi="Times New Roman"/>
          <w:sz w:val="24"/>
          <w:szCs w:val="24"/>
        </w:rPr>
        <w:footnoteReference w:id="383"/>
      </w:r>
      <w:r w:rsidR="002760B2" w:rsidRPr="002B005F">
        <w:rPr>
          <w:rFonts w:ascii="Times New Roman" w:hAnsi="Times New Roman" w:cs="Times New Roman"/>
          <w:sz w:val="24"/>
          <w:szCs w:val="24"/>
        </w:rPr>
        <w:t>.</w:t>
      </w:r>
    </w:p>
    <w:p w14:paraId="7C857AE1" w14:textId="68C46D78"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scoring de crédit est visualisé par des cartes de pointage de crédit dans lesquelles les informations suivantes de l'utilisateur éventuel du capital est </w:t>
      </w:r>
      <w:r w:rsidR="002927E4" w:rsidRPr="002B005F">
        <w:rPr>
          <w:rFonts w:ascii="Times New Roman" w:hAnsi="Times New Roman" w:cs="Times New Roman"/>
          <w:sz w:val="24"/>
          <w:szCs w:val="24"/>
        </w:rPr>
        <w:t>requis ;</w:t>
      </w:r>
      <w:r w:rsidRPr="002B005F">
        <w:rPr>
          <w:rFonts w:ascii="Times New Roman" w:hAnsi="Times New Roman" w:cs="Times New Roman"/>
          <w:sz w:val="24"/>
          <w:szCs w:val="24"/>
        </w:rPr>
        <w:t xml:space="preserve"> éducation, emploi, expérience de travail, salaire, autres sources de revenu, biens et possessions, autres dettes, antécédents de paiements, etc. En général, il y a trois éléments de base de scoring de </w:t>
      </w:r>
      <w:r w:rsidR="00FC2B82" w:rsidRPr="002B005F">
        <w:rPr>
          <w:rFonts w:ascii="Times New Roman" w:hAnsi="Times New Roman" w:cs="Times New Roman"/>
          <w:sz w:val="24"/>
          <w:szCs w:val="24"/>
        </w:rPr>
        <w:t>crédit ;</w:t>
      </w:r>
      <w:r w:rsidRPr="002B005F">
        <w:rPr>
          <w:rFonts w:ascii="Times New Roman" w:hAnsi="Times New Roman" w:cs="Times New Roman"/>
          <w:sz w:val="24"/>
          <w:szCs w:val="24"/>
        </w:rPr>
        <w:t xml:space="preserve"> caractéristiques / variables avec leurs attributs correspondants, les points associés aux attributs et une valeur de coupure</w:t>
      </w:r>
      <w:r w:rsidRPr="002B005F">
        <w:rPr>
          <w:rStyle w:val="Appelnotedebasdep"/>
          <w:rFonts w:ascii="Times New Roman" w:hAnsi="Times New Roman"/>
          <w:sz w:val="24"/>
          <w:szCs w:val="24"/>
        </w:rPr>
        <w:footnoteReference w:id="384"/>
      </w:r>
      <w:r w:rsidRPr="002B005F">
        <w:rPr>
          <w:rFonts w:ascii="Times New Roman" w:hAnsi="Times New Roman" w:cs="Times New Roman"/>
          <w:sz w:val="24"/>
          <w:szCs w:val="24"/>
        </w:rPr>
        <w:t>.</w:t>
      </w:r>
    </w:p>
    <w:p w14:paraId="27C8011A" w14:textId="37711F90" w:rsidR="002760B2" w:rsidRPr="002B005F" w:rsidRDefault="002760B2" w:rsidP="00A44124">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En termes de scoring de crédit pour les banques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il est connu que certaines entreprises et bureaux fournissen</w:t>
      </w:r>
      <w:r w:rsidR="00FC2B82" w:rsidRPr="002B005F">
        <w:rPr>
          <w:rFonts w:ascii="Times New Roman" w:hAnsi="Times New Roman" w:cs="Times New Roman"/>
          <w:sz w:val="24"/>
          <w:szCs w:val="24"/>
        </w:rPr>
        <w:t>t des informations. Par exemple,</w:t>
      </w:r>
      <w:r w:rsidR="00E51383" w:rsidRPr="002B005F">
        <w:rPr>
          <w:rFonts w:ascii="Times New Roman" w:hAnsi="Times New Roman" w:cs="Times New Roman"/>
          <w:sz w:val="24"/>
          <w:szCs w:val="24"/>
        </w:rPr>
        <w:t xml:space="preserve"> </w:t>
      </w:r>
      <w:r w:rsidR="00264203">
        <w:rPr>
          <w:rFonts w:ascii="Times New Roman" w:hAnsi="Times New Roman" w:cs="Times New Roman"/>
          <w:sz w:val="24"/>
          <w:szCs w:val="24"/>
        </w:rPr>
        <w:t>« </w:t>
      </w:r>
      <w:r w:rsidR="00683856" w:rsidRPr="00683856">
        <w:rPr>
          <w:rStyle w:val="Accentuation"/>
          <w:rFonts w:asciiTheme="majorBidi" w:hAnsiTheme="majorBidi" w:cstheme="majorBidi"/>
          <w:b/>
          <w:bCs/>
          <w:i w:val="0"/>
          <w:iCs w:val="0"/>
          <w:sz w:val="24"/>
          <w:szCs w:val="24"/>
          <w:shd w:val="clear" w:color="auto" w:fill="FFFFFF"/>
        </w:rPr>
        <w:t>Cedars</w:t>
      </w:r>
      <w:r w:rsidR="00264203">
        <w:rPr>
          <w:rFonts w:asciiTheme="majorBidi" w:hAnsiTheme="majorBidi" w:cstheme="majorBidi"/>
          <w:b/>
          <w:bCs/>
          <w:sz w:val="24"/>
          <w:szCs w:val="24"/>
          <w:shd w:val="clear" w:color="auto" w:fill="FFFFFF"/>
        </w:rPr>
        <w:t xml:space="preserve"> </w:t>
      </w:r>
      <w:r w:rsidR="00683856" w:rsidRPr="00683856">
        <w:rPr>
          <w:rFonts w:asciiTheme="majorBidi" w:hAnsiTheme="majorBidi" w:cstheme="majorBidi"/>
          <w:b/>
          <w:bCs/>
          <w:sz w:val="24"/>
          <w:szCs w:val="24"/>
          <w:shd w:val="clear" w:color="auto" w:fill="FFFFFF"/>
        </w:rPr>
        <w:t>International Consulting</w:t>
      </w:r>
      <w:r w:rsidR="00683856">
        <w:rPr>
          <w:rFonts w:asciiTheme="majorBidi" w:hAnsiTheme="majorBidi" w:cstheme="majorBidi"/>
          <w:b/>
          <w:bCs/>
          <w:sz w:val="24"/>
          <w:szCs w:val="24"/>
          <w:shd w:val="clear" w:color="auto" w:fill="FFFFFF"/>
        </w:rPr>
        <w:t xml:space="preserve"> » </w:t>
      </w:r>
      <w:r w:rsidRPr="002B005F">
        <w:rPr>
          <w:rFonts w:ascii="Times New Roman" w:hAnsi="Times New Roman" w:cs="Times New Roman"/>
          <w:sz w:val="24"/>
          <w:szCs w:val="24"/>
        </w:rPr>
        <w:t xml:space="preserve">qui est </w:t>
      </w:r>
      <w:r w:rsidRPr="002B005F">
        <w:rPr>
          <w:rFonts w:ascii="Times New Roman" w:hAnsi="Times New Roman" w:cs="Times New Roman"/>
          <w:b/>
          <w:bCs/>
          <w:sz w:val="24"/>
          <w:szCs w:val="24"/>
        </w:rPr>
        <w:t>une société mondiale de conseil en gestion</w:t>
      </w:r>
      <w:r w:rsidRPr="002B005F">
        <w:rPr>
          <w:rFonts w:ascii="Times New Roman" w:hAnsi="Times New Roman" w:cs="Times New Roman"/>
          <w:sz w:val="24"/>
          <w:szCs w:val="24"/>
        </w:rPr>
        <w:t xml:space="preserve">, attribue des notes de crédit aux banques </w:t>
      </w:r>
      <w:r w:rsidR="00E51383"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En outre, les banques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font leurs propres calculs pour la notation de crédit, mais les détails de ces évaluations sont généralement non publiés.</w:t>
      </w:r>
    </w:p>
    <w:p w14:paraId="3EDF038F" w14:textId="77777777" w:rsidR="002760B2" w:rsidRPr="00AE23D2" w:rsidRDefault="002760B2" w:rsidP="004F69D7">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AE23D2">
        <w:rPr>
          <w:rFonts w:ascii="Times New Roman" w:hAnsi="Times New Roman" w:cs="Times New Roman"/>
          <w:kern w:val="24"/>
          <w:sz w:val="24"/>
          <w:szCs w:val="24"/>
        </w:rPr>
        <w:lastRenderedPageBreak/>
        <w:t xml:space="preserve">Quand il s'agit de la solvabilité des clients qui cherchent des partenariats de type </w:t>
      </w:r>
      <w:r w:rsidRPr="00AE23D2">
        <w:rPr>
          <w:rFonts w:ascii="Times New Roman" w:hAnsi="Times New Roman" w:cs="Times New Roman"/>
          <w:i/>
          <w:iCs/>
          <w:kern w:val="24"/>
          <w:sz w:val="24"/>
          <w:szCs w:val="24"/>
        </w:rPr>
        <w:t>moucharaka</w:t>
      </w:r>
      <w:r w:rsidRPr="00AE23D2">
        <w:rPr>
          <w:rFonts w:ascii="Times New Roman" w:hAnsi="Times New Roman" w:cs="Times New Roman"/>
          <w:kern w:val="24"/>
          <w:sz w:val="24"/>
          <w:szCs w:val="24"/>
        </w:rPr>
        <w:t xml:space="preserve"> ou </w:t>
      </w:r>
      <w:r w:rsidR="004A4E16" w:rsidRPr="00AE23D2">
        <w:rPr>
          <w:rFonts w:ascii="Times New Roman" w:hAnsi="Times New Roman" w:cs="Times New Roman"/>
          <w:i/>
          <w:kern w:val="24"/>
          <w:sz w:val="24"/>
          <w:szCs w:val="24"/>
        </w:rPr>
        <w:t>moudaraba</w:t>
      </w:r>
      <w:r w:rsidRPr="00AE23D2">
        <w:rPr>
          <w:rFonts w:ascii="Times New Roman" w:hAnsi="Times New Roman" w:cs="Times New Roman"/>
          <w:kern w:val="24"/>
          <w:sz w:val="24"/>
          <w:szCs w:val="24"/>
        </w:rPr>
        <w:t xml:space="preserve">, les pointages de crédit doivent être modifiés car ils se concentrent fortement sur la carte de crédit et les applications de financement immobilier plutôt que les instruments participatifs. À cet égard, nous allons attirer un cadre général pour un mécanisme de notation de crédit alternatif pour les clients potentiels de financement de </w:t>
      </w:r>
      <w:r w:rsidR="004A4E16" w:rsidRPr="00AE23D2">
        <w:rPr>
          <w:rFonts w:ascii="Times New Roman" w:hAnsi="Times New Roman" w:cs="Times New Roman"/>
          <w:i/>
          <w:kern w:val="24"/>
          <w:sz w:val="24"/>
          <w:szCs w:val="24"/>
        </w:rPr>
        <w:t>moudaraba</w:t>
      </w:r>
      <w:r w:rsidRPr="00AE23D2">
        <w:rPr>
          <w:rFonts w:ascii="Times New Roman" w:hAnsi="Times New Roman" w:cs="Times New Roman"/>
          <w:kern w:val="24"/>
          <w:sz w:val="24"/>
          <w:szCs w:val="24"/>
        </w:rPr>
        <w:t xml:space="preserve"> et de </w:t>
      </w:r>
      <w:r w:rsidRPr="00AE23D2">
        <w:rPr>
          <w:rFonts w:ascii="Times New Roman" w:hAnsi="Times New Roman" w:cs="Times New Roman"/>
          <w:i/>
          <w:iCs/>
          <w:kern w:val="24"/>
          <w:sz w:val="24"/>
          <w:szCs w:val="24"/>
        </w:rPr>
        <w:t>moucharaka</w:t>
      </w:r>
      <w:r w:rsidRPr="00AE23D2">
        <w:rPr>
          <w:rFonts w:ascii="Times New Roman" w:hAnsi="Times New Roman" w:cs="Times New Roman"/>
          <w:kern w:val="24"/>
          <w:sz w:val="24"/>
          <w:szCs w:val="24"/>
        </w:rPr>
        <w:t>.</w:t>
      </w:r>
    </w:p>
    <w:p w14:paraId="0C9858DF"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Pour le scoring de crédit des produits financiers participatifs, trois étapes sont suivies pour évaluer les utilisateurs prévus de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et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w:t>
      </w:r>
    </w:p>
    <w:p w14:paraId="4B962745" w14:textId="77777777" w:rsidR="002760B2" w:rsidRPr="002B005F" w:rsidRDefault="00F06671" w:rsidP="00CB0FF1">
      <w:pPr>
        <w:pStyle w:val="Paragraphedeliste"/>
        <w:numPr>
          <w:ilvl w:val="0"/>
          <w:numId w:val="18"/>
        </w:numPr>
        <w:tabs>
          <w:tab w:val="left" w:pos="284"/>
          <w:tab w:val="left" w:pos="851"/>
          <w:tab w:val="left" w:pos="1134"/>
        </w:tabs>
        <w:autoSpaceDE w:val="0"/>
        <w:autoSpaceDN w:val="0"/>
        <w:adjustRightInd w:val="0"/>
        <w:spacing w:before="120" w:after="120"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b/>
          <w:bCs/>
          <w:i/>
          <w:iCs/>
          <w:sz w:val="24"/>
          <w:szCs w:val="24"/>
        </w:rPr>
        <w:t>1</w:t>
      </w:r>
      <w:r w:rsidRPr="002B005F">
        <w:rPr>
          <w:rFonts w:ascii="Times New Roman" w:hAnsi="Times New Roman" w:cs="Times New Roman"/>
          <w:b/>
          <w:bCs/>
          <w:i/>
          <w:iCs/>
          <w:sz w:val="24"/>
          <w:szCs w:val="24"/>
          <w:vertAlign w:val="superscript"/>
        </w:rPr>
        <w:t>ère</w:t>
      </w:r>
      <w:r w:rsidRPr="002B005F">
        <w:rPr>
          <w:rFonts w:ascii="Times New Roman" w:hAnsi="Times New Roman" w:cs="Times New Roman"/>
          <w:b/>
          <w:bCs/>
          <w:i/>
          <w:iCs/>
          <w:sz w:val="24"/>
          <w:szCs w:val="24"/>
        </w:rPr>
        <w:t xml:space="preserve"> étape : </w:t>
      </w:r>
      <w:r w:rsidR="002760B2" w:rsidRPr="002B005F">
        <w:rPr>
          <w:rFonts w:ascii="Times New Roman" w:hAnsi="Times New Roman" w:cs="Times New Roman"/>
          <w:b/>
          <w:bCs/>
          <w:i/>
          <w:iCs/>
          <w:sz w:val="24"/>
          <w:szCs w:val="24"/>
        </w:rPr>
        <w:t xml:space="preserve">Collection de données et </w:t>
      </w:r>
      <w:r w:rsidRPr="002B005F">
        <w:rPr>
          <w:rFonts w:ascii="Times New Roman" w:hAnsi="Times New Roman" w:cs="Times New Roman"/>
          <w:b/>
          <w:bCs/>
          <w:i/>
          <w:iCs/>
          <w:sz w:val="24"/>
          <w:szCs w:val="24"/>
        </w:rPr>
        <w:t xml:space="preserve">détermination d’un </w:t>
      </w:r>
      <w:r w:rsidR="002760B2" w:rsidRPr="002B005F">
        <w:rPr>
          <w:rFonts w:ascii="Times New Roman" w:hAnsi="Times New Roman" w:cs="Times New Roman"/>
          <w:b/>
          <w:bCs/>
          <w:i/>
          <w:iCs/>
          <w:sz w:val="24"/>
          <w:szCs w:val="24"/>
        </w:rPr>
        <w:t>échantillon</w:t>
      </w:r>
    </w:p>
    <w:p w14:paraId="5A6D6E1D" w14:textId="77777777" w:rsidR="002760B2" w:rsidRPr="002B005F" w:rsidRDefault="002760B2" w:rsidP="004F69D7">
      <w:pPr>
        <w:tabs>
          <w:tab w:val="left" w:pos="284"/>
          <w:tab w:val="left" w:pos="851"/>
          <w:tab w:val="left" w:pos="1134"/>
        </w:tabs>
        <w:autoSpaceDE w:val="0"/>
        <w:autoSpaceDN w:val="0"/>
        <w:adjustRightInd w:val="0"/>
        <w:spacing w:before="120" w:line="300" w:lineRule="auto"/>
        <w:ind w:left="851"/>
        <w:rPr>
          <w:rFonts w:ascii="Times New Roman" w:hAnsi="Times New Roman" w:cs="Times New Roman"/>
          <w:sz w:val="24"/>
          <w:szCs w:val="24"/>
        </w:rPr>
      </w:pPr>
      <w:r w:rsidRPr="002B005F">
        <w:rPr>
          <w:rFonts w:ascii="Times New Roman" w:hAnsi="Times New Roman" w:cs="Times New Roman"/>
          <w:sz w:val="24"/>
          <w:szCs w:val="24"/>
        </w:rPr>
        <w:t xml:space="preserve">La toute première chose à faire est de collecter des données des banques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sur le nombre d'applications PLS ont été acceptées dans une période déterminée. Ensuite, toutes les données doivent être échantillonnées. Pour des raisons de facilité, deux groupes d'échantillonnage est le plus préféré. Ces deux échantillons peuvent </w:t>
      </w:r>
      <w:r w:rsidR="00A21B33" w:rsidRPr="002B005F">
        <w:rPr>
          <w:rFonts w:ascii="Times New Roman" w:hAnsi="Times New Roman" w:cs="Times New Roman"/>
          <w:sz w:val="24"/>
          <w:szCs w:val="24"/>
        </w:rPr>
        <w:t>être nommés « mauvais PLS » et « bons PLS »</w:t>
      </w:r>
      <w:r w:rsidRPr="002B005F">
        <w:rPr>
          <w:rFonts w:ascii="Times New Roman" w:hAnsi="Times New Roman" w:cs="Times New Roman"/>
          <w:sz w:val="24"/>
          <w:szCs w:val="24"/>
        </w:rPr>
        <w:t>.</w:t>
      </w:r>
    </w:p>
    <w:p w14:paraId="33262587" w14:textId="77777777" w:rsidR="002760B2" w:rsidRPr="002B005F" w:rsidRDefault="00F06671" w:rsidP="00CB0FF1">
      <w:pPr>
        <w:pStyle w:val="Paragraphedeliste"/>
        <w:numPr>
          <w:ilvl w:val="0"/>
          <w:numId w:val="18"/>
        </w:numPr>
        <w:tabs>
          <w:tab w:val="left" w:pos="284"/>
          <w:tab w:val="left" w:pos="851"/>
          <w:tab w:val="left" w:pos="1134"/>
        </w:tabs>
        <w:autoSpaceDE w:val="0"/>
        <w:autoSpaceDN w:val="0"/>
        <w:adjustRightInd w:val="0"/>
        <w:spacing w:before="120" w:after="120"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b/>
          <w:bCs/>
          <w:i/>
          <w:iCs/>
          <w:sz w:val="24"/>
          <w:szCs w:val="24"/>
        </w:rPr>
        <w:t>2</w:t>
      </w:r>
      <w:r w:rsidRPr="002B005F">
        <w:rPr>
          <w:rFonts w:ascii="Times New Roman" w:hAnsi="Times New Roman" w:cs="Times New Roman"/>
          <w:b/>
          <w:bCs/>
          <w:i/>
          <w:iCs/>
          <w:sz w:val="24"/>
          <w:szCs w:val="24"/>
          <w:vertAlign w:val="superscript"/>
        </w:rPr>
        <w:t>ème</w:t>
      </w:r>
      <w:r w:rsidRPr="002B005F">
        <w:rPr>
          <w:rFonts w:ascii="Times New Roman" w:hAnsi="Times New Roman" w:cs="Times New Roman"/>
          <w:b/>
          <w:bCs/>
          <w:i/>
          <w:iCs/>
          <w:sz w:val="24"/>
          <w:szCs w:val="24"/>
        </w:rPr>
        <w:t xml:space="preserve"> étape : Choix</w:t>
      </w:r>
      <w:r w:rsidR="002760B2" w:rsidRPr="002B005F">
        <w:rPr>
          <w:rFonts w:ascii="Times New Roman" w:hAnsi="Times New Roman" w:cs="Times New Roman"/>
          <w:b/>
          <w:bCs/>
          <w:i/>
          <w:iCs/>
          <w:sz w:val="24"/>
          <w:szCs w:val="24"/>
        </w:rPr>
        <w:t xml:space="preserve"> des variables explicatives et </w:t>
      </w:r>
      <w:r w:rsidRPr="002B005F">
        <w:rPr>
          <w:rFonts w:ascii="Times New Roman" w:hAnsi="Times New Roman" w:cs="Times New Roman"/>
          <w:b/>
          <w:bCs/>
          <w:i/>
          <w:iCs/>
          <w:sz w:val="24"/>
          <w:szCs w:val="24"/>
        </w:rPr>
        <w:t>adoption d’</w:t>
      </w:r>
      <w:r w:rsidR="002760B2" w:rsidRPr="002B005F">
        <w:rPr>
          <w:rFonts w:ascii="Times New Roman" w:hAnsi="Times New Roman" w:cs="Times New Roman"/>
          <w:b/>
          <w:bCs/>
          <w:i/>
          <w:iCs/>
          <w:sz w:val="24"/>
          <w:szCs w:val="24"/>
        </w:rPr>
        <w:t>un modèle</w:t>
      </w:r>
    </w:p>
    <w:p w14:paraId="597A8176" w14:textId="292B8D5F" w:rsidR="002760B2" w:rsidRPr="002B005F" w:rsidRDefault="002760B2" w:rsidP="002B012B">
      <w:pPr>
        <w:tabs>
          <w:tab w:val="left" w:pos="284"/>
          <w:tab w:val="left" w:pos="851"/>
          <w:tab w:val="left" w:pos="1134"/>
        </w:tabs>
        <w:autoSpaceDE w:val="0"/>
        <w:autoSpaceDN w:val="0"/>
        <w:adjustRightInd w:val="0"/>
        <w:spacing w:before="120" w:line="300" w:lineRule="auto"/>
        <w:ind w:left="851"/>
        <w:rPr>
          <w:rFonts w:ascii="Times New Roman" w:hAnsi="Times New Roman" w:cs="Times New Roman"/>
          <w:sz w:val="24"/>
          <w:szCs w:val="24"/>
        </w:rPr>
      </w:pPr>
      <w:r w:rsidRPr="002B005F">
        <w:rPr>
          <w:rFonts w:ascii="Times New Roman" w:hAnsi="Times New Roman" w:cs="Times New Roman"/>
          <w:sz w:val="24"/>
          <w:szCs w:val="24"/>
        </w:rPr>
        <w:t>Les variables explicatives sont celles qui peuvent faire la différe</w:t>
      </w:r>
      <w:r w:rsidR="00A21B33" w:rsidRPr="002B005F">
        <w:rPr>
          <w:rFonts w:ascii="Times New Roman" w:hAnsi="Times New Roman" w:cs="Times New Roman"/>
          <w:sz w:val="24"/>
          <w:szCs w:val="24"/>
        </w:rPr>
        <w:t>nce entre les contrats « bon PLS » et « mauvais PLS »</w:t>
      </w:r>
      <w:r w:rsidRPr="002B005F">
        <w:rPr>
          <w:rFonts w:ascii="Times New Roman" w:hAnsi="Times New Roman" w:cs="Times New Roman"/>
          <w:sz w:val="24"/>
          <w:szCs w:val="24"/>
        </w:rPr>
        <w:t xml:space="preserve">. </w:t>
      </w:r>
      <w:r w:rsidR="002B012B" w:rsidRPr="002B005F">
        <w:rPr>
          <w:rFonts w:ascii="Times New Roman" w:hAnsi="Times New Roman" w:cs="Times New Roman"/>
          <w:sz w:val="24"/>
          <w:szCs w:val="24"/>
        </w:rPr>
        <w:t>Aussi est-il</w:t>
      </w:r>
      <w:r w:rsidRPr="002B005F">
        <w:rPr>
          <w:rFonts w:ascii="Times New Roman" w:hAnsi="Times New Roman" w:cs="Times New Roman"/>
          <w:sz w:val="24"/>
          <w:szCs w:val="24"/>
        </w:rPr>
        <w:t xml:space="preserve"> très important de choisir des variables explicatives pertinentes.</w:t>
      </w:r>
      <w:r w:rsidRPr="002B005F">
        <w:rPr>
          <w:rFonts w:ascii="Times New Roman" w:hAnsi="Times New Roman" w:cs="Times New Roman"/>
          <w:spacing w:val="-2"/>
          <w:sz w:val="24"/>
          <w:szCs w:val="24"/>
        </w:rPr>
        <w:t xml:space="preserve"> Après avoir sélectionné les variables indépendantes, le modèle approprié doit être choisi. Il existe différen</w:t>
      </w:r>
      <w:r w:rsidR="004853E0" w:rsidRPr="002B005F">
        <w:rPr>
          <w:rFonts w:ascii="Times New Roman" w:hAnsi="Times New Roman" w:cs="Times New Roman"/>
          <w:spacing w:val="-2"/>
          <w:sz w:val="24"/>
          <w:szCs w:val="24"/>
        </w:rPr>
        <w:t>ts modèles de scoring de crédit tels</w:t>
      </w:r>
      <w:r w:rsidRPr="002B005F">
        <w:rPr>
          <w:rFonts w:ascii="Times New Roman" w:hAnsi="Times New Roman" w:cs="Times New Roman"/>
          <w:spacing w:val="-2"/>
          <w:sz w:val="24"/>
          <w:szCs w:val="24"/>
        </w:rPr>
        <w:t xml:space="preserve"> </w:t>
      </w:r>
      <w:r w:rsidR="00AE23D2">
        <w:rPr>
          <w:rFonts w:ascii="Times New Roman" w:hAnsi="Times New Roman" w:cs="Times New Roman"/>
          <w:spacing w:val="-2"/>
          <w:sz w:val="24"/>
          <w:szCs w:val="24"/>
        </w:rPr>
        <w:t xml:space="preserve">que </w:t>
      </w:r>
      <w:r w:rsidRPr="002B005F">
        <w:rPr>
          <w:rFonts w:ascii="Times New Roman" w:hAnsi="Times New Roman" w:cs="Times New Roman"/>
          <w:spacing w:val="-2"/>
          <w:sz w:val="24"/>
          <w:szCs w:val="24"/>
        </w:rPr>
        <w:t>la régression logistique, les modèles de chaîne de Markov, les systèmes experts et les réseaux de neurones. La décision devrait dépendre du but d’utilisation du modèle.</w:t>
      </w:r>
    </w:p>
    <w:p w14:paraId="4BC56867" w14:textId="77777777" w:rsidR="002760B2" w:rsidRPr="002B005F" w:rsidRDefault="00F06671" w:rsidP="00CB0FF1">
      <w:pPr>
        <w:pStyle w:val="Paragraphedeliste"/>
        <w:numPr>
          <w:ilvl w:val="0"/>
          <w:numId w:val="18"/>
        </w:numPr>
        <w:tabs>
          <w:tab w:val="left" w:pos="284"/>
          <w:tab w:val="left" w:pos="851"/>
          <w:tab w:val="left" w:pos="1134"/>
        </w:tabs>
        <w:autoSpaceDE w:val="0"/>
        <w:autoSpaceDN w:val="0"/>
        <w:adjustRightInd w:val="0"/>
        <w:spacing w:before="120" w:after="120"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b/>
          <w:bCs/>
          <w:i/>
          <w:iCs/>
          <w:sz w:val="24"/>
          <w:szCs w:val="24"/>
        </w:rPr>
        <w:t>3</w:t>
      </w:r>
      <w:r w:rsidRPr="002B005F">
        <w:rPr>
          <w:rFonts w:ascii="Times New Roman" w:hAnsi="Times New Roman" w:cs="Times New Roman"/>
          <w:b/>
          <w:bCs/>
          <w:i/>
          <w:iCs/>
          <w:sz w:val="24"/>
          <w:szCs w:val="24"/>
          <w:vertAlign w:val="superscript"/>
        </w:rPr>
        <w:t>ème</w:t>
      </w:r>
      <w:r w:rsidRPr="002B005F">
        <w:rPr>
          <w:rFonts w:ascii="Times New Roman" w:hAnsi="Times New Roman" w:cs="Times New Roman"/>
          <w:b/>
          <w:bCs/>
          <w:i/>
          <w:iCs/>
          <w:sz w:val="24"/>
          <w:szCs w:val="24"/>
        </w:rPr>
        <w:t xml:space="preserve"> étape : </w:t>
      </w:r>
      <w:r w:rsidR="002760B2" w:rsidRPr="002B005F">
        <w:rPr>
          <w:rFonts w:ascii="Times New Roman" w:hAnsi="Times New Roman" w:cs="Times New Roman"/>
          <w:b/>
          <w:bCs/>
          <w:i/>
          <w:iCs/>
          <w:sz w:val="24"/>
          <w:szCs w:val="24"/>
        </w:rPr>
        <w:t>Estimation et validation du modèle</w:t>
      </w:r>
    </w:p>
    <w:p w14:paraId="6F431DC4" w14:textId="5D5AD32F" w:rsidR="002760B2" w:rsidRPr="002B005F" w:rsidRDefault="002760B2" w:rsidP="004F69D7">
      <w:pPr>
        <w:tabs>
          <w:tab w:val="left" w:pos="284"/>
          <w:tab w:val="left" w:pos="851"/>
          <w:tab w:val="left" w:pos="1134"/>
        </w:tabs>
        <w:autoSpaceDE w:val="0"/>
        <w:autoSpaceDN w:val="0"/>
        <w:adjustRightInd w:val="0"/>
        <w:spacing w:before="120" w:line="300" w:lineRule="auto"/>
        <w:ind w:left="851"/>
        <w:rPr>
          <w:rFonts w:ascii="Times New Roman" w:hAnsi="Times New Roman" w:cs="Times New Roman"/>
          <w:sz w:val="24"/>
          <w:szCs w:val="24"/>
        </w:rPr>
      </w:pPr>
      <w:r w:rsidRPr="002B005F">
        <w:rPr>
          <w:rFonts w:ascii="Times New Roman" w:hAnsi="Times New Roman" w:cs="Times New Roman"/>
          <w:sz w:val="24"/>
          <w:szCs w:val="24"/>
        </w:rPr>
        <w:t>Chaque variable indépendante doit avoir un coefficient. Ces coefficients montrent l'effet de chaque variable explicative sur la variable dépendante. De cette façon, la banque peut classer les variables du moins au plus importantes. Ensuite, elles peuvent utiliser les plus importantes pour évaluer les clients potentiels. En dernier lieu, la validité du modèle peut être recherchée à travers trois attributs</w:t>
      </w:r>
      <w:r w:rsidR="00A44124">
        <w:rPr>
          <w:rFonts w:ascii="Times New Roman" w:hAnsi="Times New Roman" w:cs="Times New Roman"/>
          <w:sz w:val="24"/>
          <w:szCs w:val="24"/>
        </w:rPr>
        <w:t> :</w:t>
      </w:r>
      <w:r w:rsidRPr="002B005F">
        <w:rPr>
          <w:rFonts w:ascii="Times New Roman" w:hAnsi="Times New Roman" w:cs="Times New Roman"/>
          <w:sz w:val="24"/>
          <w:szCs w:val="24"/>
        </w:rPr>
        <w:t xml:space="preserve"> stabilité, lisibilité et pouvoir discriminatoire</w:t>
      </w:r>
      <w:r w:rsidRPr="002B005F">
        <w:rPr>
          <w:rStyle w:val="Appelnotedebasdep"/>
          <w:rFonts w:ascii="Times New Roman" w:hAnsi="Times New Roman"/>
          <w:sz w:val="24"/>
          <w:szCs w:val="24"/>
        </w:rPr>
        <w:footnoteReference w:id="385"/>
      </w:r>
      <w:r w:rsidRPr="002B005F">
        <w:rPr>
          <w:rFonts w:ascii="Times New Roman" w:hAnsi="Times New Roman" w:cs="Times New Roman"/>
          <w:sz w:val="24"/>
          <w:szCs w:val="24"/>
        </w:rPr>
        <w:t>.</w:t>
      </w:r>
    </w:p>
    <w:p w14:paraId="7CD9ED0C" w14:textId="77777777" w:rsidR="002760B2" w:rsidRPr="00B01C46" w:rsidRDefault="008A66BC" w:rsidP="00E02EEC">
      <w:pPr>
        <w:pStyle w:val="Titre5"/>
        <w:keepNext w:val="0"/>
        <w:keepLines w:val="0"/>
        <w:spacing w:before="120" w:after="120" w:line="300" w:lineRule="auto"/>
        <w:ind w:firstLine="709"/>
        <w:rPr>
          <w:rFonts w:asciiTheme="majorBidi" w:hAnsiTheme="majorBidi"/>
          <w:b/>
          <w:bCs/>
          <w:color w:val="auto"/>
          <w:sz w:val="24"/>
          <w:szCs w:val="24"/>
        </w:rPr>
      </w:pPr>
      <w:bookmarkStart w:id="1417" w:name="_Toc33263363"/>
      <w:bookmarkStart w:id="1418" w:name="_Toc37664626"/>
      <w:bookmarkStart w:id="1419" w:name="_Toc37666471"/>
      <w:bookmarkStart w:id="1420" w:name="_Toc54363368"/>
      <w:bookmarkStart w:id="1421" w:name="_Toc182298875"/>
      <w:r w:rsidRPr="00B01C46">
        <w:rPr>
          <w:rFonts w:asciiTheme="majorBidi" w:hAnsiTheme="majorBidi"/>
          <w:b/>
          <w:bCs/>
          <w:color w:val="auto"/>
          <w:sz w:val="24"/>
          <w:szCs w:val="24"/>
        </w:rPr>
        <w:t xml:space="preserve">3.2.1.2- </w:t>
      </w:r>
      <w:r w:rsidR="002760B2" w:rsidRPr="00B01C46">
        <w:rPr>
          <w:rFonts w:asciiTheme="majorBidi" w:hAnsiTheme="majorBidi"/>
          <w:b/>
          <w:bCs/>
          <w:color w:val="auto"/>
          <w:sz w:val="24"/>
          <w:szCs w:val="24"/>
        </w:rPr>
        <w:t>Atténuation du risque de crédit</w:t>
      </w:r>
      <w:bookmarkEnd w:id="1417"/>
      <w:bookmarkEnd w:id="1418"/>
      <w:bookmarkEnd w:id="1419"/>
      <w:bookmarkEnd w:id="1420"/>
      <w:bookmarkEnd w:id="1421"/>
    </w:p>
    <w:p w14:paraId="4F67E782" w14:textId="77777777" w:rsidR="002760B2" w:rsidRPr="004D2314" w:rsidRDefault="00683856" w:rsidP="004F69D7">
      <w:pPr>
        <w:tabs>
          <w:tab w:val="left" w:pos="0"/>
        </w:tabs>
        <w:autoSpaceDE w:val="0"/>
        <w:autoSpaceDN w:val="0"/>
        <w:adjustRightInd w:val="0"/>
        <w:spacing w:before="120" w:line="300" w:lineRule="auto"/>
        <w:ind w:firstLine="709"/>
        <w:rPr>
          <w:rFonts w:ascii="Times New Roman" w:hAnsi="Times New Roman" w:cs="Times New Roman"/>
          <w:spacing w:val="-4"/>
          <w:sz w:val="24"/>
          <w:szCs w:val="24"/>
        </w:rPr>
      </w:pPr>
      <w:r w:rsidRPr="004D2314">
        <w:rPr>
          <w:rFonts w:ascii="Times New Roman" w:hAnsi="Times New Roman" w:cs="Times New Roman"/>
          <w:spacing w:val="-4"/>
          <w:sz w:val="24"/>
          <w:szCs w:val="24"/>
        </w:rPr>
        <w:t xml:space="preserve">Dans ce qui précède, nous avons défini le risque de crédit relatif aux instruments PLS, puis nous avons identifié certains facteurs pouvant entraîner un risque de crédit pour ces instruments. </w:t>
      </w:r>
      <w:r w:rsidR="00916AB3" w:rsidRPr="004D2314">
        <w:rPr>
          <w:rFonts w:ascii="Times New Roman" w:hAnsi="Times New Roman" w:cs="Times New Roman"/>
          <w:spacing w:val="-4"/>
          <w:sz w:val="24"/>
          <w:szCs w:val="24"/>
        </w:rPr>
        <w:t>N</w:t>
      </w:r>
      <w:r w:rsidR="002760B2" w:rsidRPr="004D2314">
        <w:rPr>
          <w:rFonts w:ascii="Times New Roman" w:hAnsi="Times New Roman" w:cs="Times New Roman"/>
          <w:spacing w:val="-4"/>
          <w:sz w:val="24"/>
          <w:szCs w:val="24"/>
        </w:rPr>
        <w:t xml:space="preserve">ous avons suggéré un cadre général pour la mesure du risque de crédit des clients potentiels de la </w:t>
      </w:r>
      <w:r w:rsidR="004A4E16" w:rsidRPr="004D2314">
        <w:rPr>
          <w:rFonts w:ascii="Times New Roman" w:hAnsi="Times New Roman" w:cs="Times New Roman"/>
          <w:i/>
          <w:spacing w:val="-4"/>
          <w:sz w:val="24"/>
          <w:szCs w:val="24"/>
        </w:rPr>
        <w:t>moudaraba</w:t>
      </w:r>
      <w:r w:rsidR="002760B2" w:rsidRPr="004D2314">
        <w:rPr>
          <w:rFonts w:ascii="Times New Roman" w:hAnsi="Times New Roman" w:cs="Times New Roman"/>
          <w:spacing w:val="-4"/>
          <w:sz w:val="24"/>
          <w:szCs w:val="24"/>
        </w:rPr>
        <w:t xml:space="preserve"> et la </w:t>
      </w:r>
      <w:r w:rsidR="002760B2" w:rsidRPr="004D2314">
        <w:rPr>
          <w:rFonts w:ascii="Times New Roman" w:hAnsi="Times New Roman" w:cs="Times New Roman"/>
          <w:i/>
          <w:iCs/>
          <w:spacing w:val="-4"/>
          <w:sz w:val="24"/>
          <w:szCs w:val="24"/>
        </w:rPr>
        <w:t>moucharaka</w:t>
      </w:r>
      <w:r w:rsidR="002760B2" w:rsidRPr="004D2314">
        <w:rPr>
          <w:rFonts w:ascii="Times New Roman" w:hAnsi="Times New Roman" w:cs="Times New Roman"/>
          <w:spacing w:val="-4"/>
          <w:sz w:val="24"/>
          <w:szCs w:val="24"/>
        </w:rPr>
        <w:t>. L'étape suivante consiste à développer des outils ou des méthodes pour atténuer le risque de crédit découlé de ces techniques de financement.</w:t>
      </w:r>
    </w:p>
    <w:p w14:paraId="602953B2"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Il a été expliqué ci-dessus que les outils modernes d'atténuation des risques de crédit couramment utilisés sont la tarification, les collatéraux, les garanties de crédit, l'assurance, la </w:t>
      </w:r>
      <w:r w:rsidRPr="002B005F">
        <w:rPr>
          <w:rFonts w:ascii="Times New Roman" w:hAnsi="Times New Roman" w:cs="Times New Roman"/>
          <w:sz w:val="24"/>
          <w:szCs w:val="24"/>
        </w:rPr>
        <w:lastRenderedPageBreak/>
        <w:t xml:space="preserve">compensation, la diversification, l’adéquation du capital et les dérivés. D'ailleurs, les banques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utilisent également la diversification, les limites d'exposition, les garanties, les clauses restrictives, les exigences en matière d'assurance et les exigences en matière de capital fondées sur le risque, en particulier pour les instruments d'emprunt.</w:t>
      </w:r>
    </w:p>
    <w:p w14:paraId="2C7CBBF7"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L'utilisation de la diversification et les limites d'exposition ne pose pas de problème pour les instruments PLS. De l'autre côté, les mesures de ratio de prix et de capital ont besoin de quelques mo</w:t>
      </w:r>
      <w:r w:rsidR="00F008A5" w:rsidRPr="002B005F">
        <w:rPr>
          <w:rFonts w:ascii="Times New Roman" w:hAnsi="Times New Roman" w:cs="Times New Roman"/>
          <w:sz w:val="24"/>
          <w:szCs w:val="24"/>
        </w:rPr>
        <w:t xml:space="preserve">difications pour être utilisées comme outils d'atténuation </w:t>
      </w:r>
      <w:r w:rsidRPr="002B005F">
        <w:rPr>
          <w:rFonts w:ascii="Times New Roman" w:hAnsi="Times New Roman" w:cs="Times New Roman"/>
          <w:sz w:val="24"/>
          <w:szCs w:val="24"/>
        </w:rPr>
        <w:t>du risque de crédit pour les instruments PLS</w:t>
      </w:r>
      <w:r w:rsidRPr="002B005F">
        <w:rPr>
          <w:rStyle w:val="Appelnotedebasdep"/>
          <w:rFonts w:ascii="Times New Roman" w:hAnsi="Times New Roman"/>
          <w:sz w:val="24"/>
          <w:szCs w:val="24"/>
        </w:rPr>
        <w:footnoteReference w:id="386"/>
      </w:r>
      <w:r w:rsidRPr="002B005F">
        <w:rPr>
          <w:rFonts w:ascii="Times New Roman" w:hAnsi="Times New Roman" w:cs="Times New Roman"/>
          <w:sz w:val="24"/>
          <w:szCs w:val="24"/>
        </w:rPr>
        <w:t>, par ex. les ratios de partage des bénéfices basés sur le risque au lieu des taux d’intérêt. Cependant, l'utilisation de garanties et d'assurances est controversée en termes d’instruments PLS. Enfin, l'utilisation de produits dérivés est encore plus controversée, ce qui nécessi</w:t>
      </w:r>
      <w:r w:rsidR="00F008A5" w:rsidRPr="002B005F">
        <w:rPr>
          <w:rFonts w:ascii="Times New Roman" w:hAnsi="Times New Roman" w:cs="Times New Roman"/>
          <w:sz w:val="24"/>
          <w:szCs w:val="24"/>
        </w:rPr>
        <w:t xml:space="preserve">te une attention particulière. </w:t>
      </w:r>
      <w:r w:rsidRPr="002B005F">
        <w:rPr>
          <w:rFonts w:ascii="Times New Roman" w:hAnsi="Times New Roman" w:cs="Times New Roman"/>
          <w:sz w:val="24"/>
          <w:szCs w:val="24"/>
        </w:rPr>
        <w:t>Puisque cette section traite le risque de crédit relatif aux instruments PLS, nous devrions mentionner un travail qui concerne directement l'utilisation des dérivés de crédit pour les instruments PLS.</w:t>
      </w:r>
    </w:p>
    <w:p w14:paraId="4843C693" w14:textId="77777777" w:rsidR="002760B2" w:rsidRPr="002B005F" w:rsidRDefault="002760B2" w:rsidP="00A21B33">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À cet égard, Le seul travail appartient à </w:t>
      </w:r>
      <w:r w:rsidRPr="002B005F">
        <w:rPr>
          <w:rFonts w:ascii="Times New Roman" w:hAnsi="Times New Roman" w:cs="Times New Roman"/>
          <w:smallCaps/>
          <w:sz w:val="24"/>
          <w:szCs w:val="24"/>
        </w:rPr>
        <w:t>Mousavi</w:t>
      </w:r>
      <w:r w:rsidRPr="002B005F">
        <w:rPr>
          <w:rFonts w:ascii="Times New Roman" w:hAnsi="Times New Roman" w:cs="Times New Roman"/>
          <w:sz w:val="24"/>
          <w:szCs w:val="24"/>
        </w:rPr>
        <w:t xml:space="preserve"> et </w:t>
      </w:r>
      <w:r w:rsidRPr="002B005F">
        <w:rPr>
          <w:rFonts w:ascii="Times New Roman" w:hAnsi="Times New Roman" w:cs="Times New Roman"/>
          <w:smallCaps/>
          <w:sz w:val="24"/>
          <w:szCs w:val="24"/>
        </w:rPr>
        <w:t>Mahdavi</w:t>
      </w:r>
      <w:r w:rsidRPr="002B005F">
        <w:rPr>
          <w:rFonts w:ascii="Times New Roman" w:hAnsi="Times New Roman" w:cs="Times New Roman"/>
          <w:sz w:val="24"/>
          <w:szCs w:val="24"/>
        </w:rPr>
        <w:t xml:space="preserve"> (2008)</w:t>
      </w:r>
      <w:r w:rsidRPr="002B005F">
        <w:rPr>
          <w:rStyle w:val="Appelnotedebasdep"/>
          <w:rFonts w:ascii="Times New Roman" w:hAnsi="Times New Roman"/>
          <w:sz w:val="24"/>
          <w:szCs w:val="24"/>
        </w:rPr>
        <w:footnoteReference w:id="387"/>
      </w:r>
      <w:r w:rsidRPr="002B005F">
        <w:rPr>
          <w:rFonts w:ascii="Times New Roman" w:hAnsi="Times New Roman" w:cs="Times New Roman"/>
          <w:sz w:val="24"/>
          <w:szCs w:val="24"/>
        </w:rPr>
        <w:t xml:space="preserve">. Dans leur travail, d'abord, ils indiquent que le risque de crédit dans les banques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apparaît dans le cadre de risque de règlement. Par exemple, lorsque le financement PLS est utilisé, le risque de crédit serait le non-paiement par le </w:t>
      </w:r>
      <w:r w:rsidR="004A4E16" w:rsidRPr="002B005F">
        <w:rPr>
          <w:rFonts w:ascii="Times New Roman" w:hAnsi="Times New Roman" w:cs="Times New Roman"/>
          <w:i/>
          <w:iCs/>
          <w:sz w:val="24"/>
          <w:szCs w:val="24"/>
        </w:rPr>
        <w:t>moudarib</w:t>
      </w:r>
      <w:r w:rsidRPr="002B005F">
        <w:rPr>
          <w:rFonts w:ascii="Times New Roman" w:hAnsi="Times New Roman" w:cs="Times New Roman"/>
          <w:sz w:val="24"/>
          <w:szCs w:val="24"/>
        </w:rPr>
        <w:t xml:space="preserve"> à la banque ce que lui est dû. Ensuite, ils ont suggéré des informations détaillées sur le swap de défaut de crédit (Credit default swap-CDS). Enfin, ils énumèrent les justifications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pour pouvoir utiliser les CDS par les banques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Puis, ils ont conclu que ces swaps peuvent être applicables dans les banques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Mais le travail ne suggère pas de détails sur la façon d’utiliser ces swaps.</w:t>
      </w:r>
    </w:p>
    <w:p w14:paraId="6B25D90E"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Outre les techniques d’atténuation précitées, nous suggérons les outils suivants d'atténuation du risque de crédit pour les instruments PLS dans les banques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Il convient de mentionner qu'en raison des controverses entourant la question des produits dérivés, nous nous abstenons de suggérer quoi que ce soit au sein de cette structure.</w:t>
      </w:r>
    </w:p>
    <w:p w14:paraId="2604DE41" w14:textId="77777777" w:rsidR="002760B2" w:rsidRPr="00B01C46" w:rsidRDefault="00683856" w:rsidP="00E02EEC">
      <w:pPr>
        <w:pStyle w:val="Titre6"/>
        <w:keepNext w:val="0"/>
        <w:keepLines w:val="0"/>
        <w:spacing w:before="120" w:after="120" w:line="300" w:lineRule="auto"/>
        <w:ind w:firstLine="709"/>
        <w:rPr>
          <w:rFonts w:asciiTheme="majorBidi" w:hAnsiTheme="majorBidi"/>
          <w:b/>
          <w:bCs/>
          <w:i w:val="0"/>
          <w:iCs w:val="0"/>
          <w:color w:val="auto"/>
          <w:sz w:val="24"/>
          <w:szCs w:val="24"/>
        </w:rPr>
      </w:pPr>
      <w:bookmarkStart w:id="1422" w:name="_Toc182298876"/>
      <w:r w:rsidRPr="00B01C46">
        <w:rPr>
          <w:rFonts w:asciiTheme="majorBidi" w:hAnsiTheme="majorBidi"/>
          <w:b/>
          <w:bCs/>
          <w:i w:val="0"/>
          <w:iCs w:val="0"/>
          <w:color w:val="auto"/>
          <w:sz w:val="24"/>
          <w:szCs w:val="24"/>
        </w:rPr>
        <w:t>3.2.1.2.1</w:t>
      </w:r>
      <w:r w:rsidR="00CF4C2F" w:rsidRPr="00B01C46">
        <w:rPr>
          <w:rFonts w:asciiTheme="majorBidi" w:hAnsiTheme="majorBidi"/>
          <w:b/>
          <w:bCs/>
          <w:i w:val="0"/>
          <w:iCs w:val="0"/>
          <w:color w:val="auto"/>
          <w:sz w:val="24"/>
          <w:szCs w:val="24"/>
        </w:rPr>
        <w:t xml:space="preserve"> </w:t>
      </w:r>
      <w:r w:rsidR="00C325DE" w:rsidRPr="00B01C46">
        <w:rPr>
          <w:rFonts w:asciiTheme="majorBidi" w:hAnsiTheme="majorBidi"/>
          <w:b/>
          <w:bCs/>
          <w:i w:val="0"/>
          <w:iCs w:val="0"/>
          <w:color w:val="auto"/>
          <w:sz w:val="24"/>
          <w:szCs w:val="24"/>
        </w:rPr>
        <w:t>Arrangements contractuels</w:t>
      </w:r>
      <w:bookmarkEnd w:id="1422"/>
    </w:p>
    <w:p w14:paraId="23CF3A4F" w14:textId="77777777" w:rsidR="002760B2"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Il a été indiqué avant que lorsqu'un client demande l’utilisation d’un contrat de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ou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la banque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demande des informations détaillées sur quel type de projet le capital sera destiné. Cependant, quand la banque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elle-même devient </w:t>
      </w:r>
      <w:r w:rsidR="004A4E16" w:rsidRPr="002B005F">
        <w:rPr>
          <w:rFonts w:ascii="Times New Roman" w:hAnsi="Times New Roman" w:cs="Times New Roman"/>
          <w:i/>
          <w:iCs/>
          <w:sz w:val="24"/>
          <w:szCs w:val="24"/>
        </w:rPr>
        <w:t>moudarib</w:t>
      </w:r>
      <w:r w:rsidRPr="002B005F">
        <w:rPr>
          <w:rFonts w:ascii="Times New Roman" w:hAnsi="Times New Roman" w:cs="Times New Roman"/>
          <w:sz w:val="24"/>
          <w:szCs w:val="24"/>
        </w:rPr>
        <w:t xml:space="preserve"> et demande le capital des déposants d'investissement, les déposants ne sont pas</w:t>
      </w:r>
      <w:r w:rsidR="004A4E16" w:rsidRPr="002B005F">
        <w:rPr>
          <w:rFonts w:ascii="Times New Roman" w:hAnsi="Times New Roman" w:cs="Times New Roman"/>
          <w:sz w:val="24"/>
          <w:szCs w:val="24"/>
        </w:rPr>
        <w:t xml:space="preserve"> </w:t>
      </w:r>
      <w:r w:rsidRPr="002B005F">
        <w:rPr>
          <w:rFonts w:ascii="Times New Roman" w:hAnsi="Times New Roman" w:cs="Times New Roman"/>
          <w:sz w:val="24"/>
          <w:szCs w:val="24"/>
        </w:rPr>
        <w:t xml:space="preserve">informés comment leur capital sera utilisé. Par conséquent, il devrait y avoir une partie spécifique de chaque contrat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et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montrant la destination du capital. Un autre élément important qui devrait être pris en compte dans les contrats PLS est la promesse de partager des informations périodiques avec les autres partenaires. Le contenu et la fréquence de ce partage d'informations peuvent être négociés entre les partenaires en tenant compte des possibilités et nécessités.</w:t>
      </w:r>
    </w:p>
    <w:p w14:paraId="238363C5" w14:textId="77777777" w:rsidR="00AE23D2" w:rsidRPr="002B005F" w:rsidRDefault="00AE23D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p>
    <w:p w14:paraId="5FFCA23E" w14:textId="77777777" w:rsidR="002760B2" w:rsidRPr="00B01C46" w:rsidRDefault="002927E4" w:rsidP="00E02EEC">
      <w:pPr>
        <w:pStyle w:val="Titre6"/>
        <w:keepNext w:val="0"/>
        <w:keepLines w:val="0"/>
        <w:spacing w:before="120" w:after="120" w:line="300" w:lineRule="auto"/>
        <w:ind w:firstLine="709"/>
        <w:rPr>
          <w:rFonts w:asciiTheme="majorBidi" w:hAnsiTheme="majorBidi"/>
          <w:b/>
          <w:bCs/>
          <w:i w:val="0"/>
          <w:iCs w:val="0"/>
          <w:color w:val="auto"/>
          <w:sz w:val="24"/>
          <w:szCs w:val="24"/>
        </w:rPr>
      </w:pPr>
      <w:bookmarkStart w:id="1423" w:name="_Toc182298877"/>
      <w:r w:rsidRPr="00B01C46">
        <w:rPr>
          <w:rFonts w:asciiTheme="majorBidi" w:hAnsiTheme="majorBidi"/>
          <w:b/>
          <w:bCs/>
          <w:i w:val="0"/>
          <w:iCs w:val="0"/>
          <w:color w:val="auto"/>
          <w:sz w:val="24"/>
          <w:szCs w:val="24"/>
        </w:rPr>
        <w:lastRenderedPageBreak/>
        <w:t>3.2.1.2.2 Arrangements</w:t>
      </w:r>
      <w:r w:rsidR="002760B2" w:rsidRPr="00B01C46">
        <w:rPr>
          <w:rFonts w:asciiTheme="majorBidi" w:hAnsiTheme="majorBidi"/>
          <w:b/>
          <w:bCs/>
          <w:i w:val="0"/>
          <w:iCs w:val="0"/>
          <w:color w:val="auto"/>
          <w:sz w:val="24"/>
          <w:szCs w:val="24"/>
        </w:rPr>
        <w:t xml:space="preserve"> compt</w:t>
      </w:r>
      <w:r w:rsidR="00C325DE" w:rsidRPr="00B01C46">
        <w:rPr>
          <w:rFonts w:asciiTheme="majorBidi" w:hAnsiTheme="majorBidi"/>
          <w:b/>
          <w:bCs/>
          <w:i w:val="0"/>
          <w:iCs w:val="0"/>
          <w:color w:val="auto"/>
          <w:sz w:val="24"/>
          <w:szCs w:val="24"/>
        </w:rPr>
        <w:t>ables</w:t>
      </w:r>
      <w:bookmarkEnd w:id="1423"/>
    </w:p>
    <w:p w14:paraId="79E9118A" w14:textId="77777777" w:rsidR="002760B2" w:rsidRPr="002B005F" w:rsidRDefault="002760B2" w:rsidP="00E02EEC">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client en tant que </w:t>
      </w:r>
      <w:r w:rsidR="004A4E16" w:rsidRPr="002B005F">
        <w:rPr>
          <w:rFonts w:ascii="Times New Roman" w:hAnsi="Times New Roman" w:cs="Times New Roman"/>
          <w:i/>
          <w:iCs/>
          <w:sz w:val="24"/>
          <w:szCs w:val="24"/>
        </w:rPr>
        <w:t>moudarib</w:t>
      </w:r>
      <w:r w:rsidRPr="002B005F">
        <w:rPr>
          <w:rFonts w:ascii="Times New Roman" w:hAnsi="Times New Roman" w:cs="Times New Roman"/>
          <w:sz w:val="24"/>
          <w:szCs w:val="24"/>
        </w:rPr>
        <w:t xml:space="preserve"> peut manipuler les pratiques comptables notamment en sous-évaluant le profit à partager avec la banque. Ce qu'il faut faire ici, c'est être conscient de toutes les causes possibles de cette sous-évaluation. Certains moyens de sous-évaluation de profit sont le des coûts, non enregistrement d’une partie des recettes, sous-évaluation des inventaires, sous-estimation des dépenses prépayées et surévaluation des dettes.</w:t>
      </w:r>
    </w:p>
    <w:p w14:paraId="7D52E659" w14:textId="77777777" w:rsidR="00C325DE" w:rsidRPr="00B01C46" w:rsidRDefault="002927E4" w:rsidP="00E02EEC">
      <w:pPr>
        <w:pStyle w:val="Titre6"/>
        <w:keepNext w:val="0"/>
        <w:keepLines w:val="0"/>
        <w:spacing w:before="120" w:after="120" w:line="300" w:lineRule="auto"/>
        <w:ind w:firstLine="709"/>
        <w:rPr>
          <w:rFonts w:asciiTheme="majorBidi" w:hAnsiTheme="majorBidi"/>
          <w:b/>
          <w:bCs/>
          <w:i w:val="0"/>
          <w:iCs w:val="0"/>
          <w:color w:val="auto"/>
          <w:sz w:val="24"/>
          <w:szCs w:val="24"/>
        </w:rPr>
      </w:pPr>
      <w:bookmarkStart w:id="1424" w:name="_Toc182298878"/>
      <w:r w:rsidRPr="00B01C46">
        <w:rPr>
          <w:rFonts w:asciiTheme="majorBidi" w:hAnsiTheme="majorBidi"/>
          <w:b/>
          <w:bCs/>
          <w:i w:val="0"/>
          <w:iCs w:val="0"/>
          <w:color w:val="auto"/>
          <w:sz w:val="24"/>
          <w:szCs w:val="24"/>
        </w:rPr>
        <w:t>3.2.1.2.3 Divulgation</w:t>
      </w:r>
      <w:r w:rsidR="00C325DE" w:rsidRPr="00B01C46">
        <w:rPr>
          <w:rFonts w:asciiTheme="majorBidi" w:hAnsiTheme="majorBidi"/>
          <w:b/>
          <w:bCs/>
          <w:i w:val="0"/>
          <w:iCs w:val="0"/>
          <w:color w:val="auto"/>
          <w:sz w:val="24"/>
          <w:szCs w:val="24"/>
        </w:rPr>
        <w:t xml:space="preserve"> d'informations et transparence</w:t>
      </w:r>
      <w:bookmarkEnd w:id="1424"/>
    </w:p>
    <w:p w14:paraId="705BD10D" w14:textId="77777777" w:rsidR="002760B2" w:rsidRPr="00043015" w:rsidRDefault="00AB0C0A" w:rsidP="004F69D7">
      <w:pPr>
        <w:tabs>
          <w:tab w:val="left" w:pos="0"/>
        </w:tabs>
        <w:autoSpaceDE w:val="0"/>
        <w:autoSpaceDN w:val="0"/>
        <w:adjustRightInd w:val="0"/>
        <w:spacing w:before="120" w:line="300" w:lineRule="auto"/>
        <w:ind w:firstLine="709"/>
        <w:rPr>
          <w:rFonts w:ascii="Times New Roman" w:hAnsi="Times New Roman" w:cs="Times New Roman"/>
          <w:spacing w:val="-2"/>
          <w:sz w:val="24"/>
          <w:szCs w:val="24"/>
        </w:rPr>
      </w:pPr>
      <w:r w:rsidRPr="00043015">
        <w:rPr>
          <w:rFonts w:ascii="Times New Roman" w:hAnsi="Times New Roman" w:cs="Times New Roman"/>
          <w:spacing w:val="-2"/>
          <w:sz w:val="24"/>
          <w:szCs w:val="24"/>
        </w:rPr>
        <w:t>La banque</w:t>
      </w:r>
      <w:r w:rsidR="004A4E16" w:rsidRPr="00043015">
        <w:rPr>
          <w:rFonts w:ascii="Times New Roman" w:hAnsi="Times New Roman" w:cs="Times New Roman"/>
          <w:spacing w:val="-2"/>
          <w:sz w:val="24"/>
          <w:szCs w:val="24"/>
        </w:rPr>
        <w:t xml:space="preserve"> </w:t>
      </w:r>
      <w:r w:rsidR="00E9218A" w:rsidRPr="00043015">
        <w:rPr>
          <w:rFonts w:ascii="Times New Roman" w:hAnsi="Times New Roman" w:cs="Times New Roman"/>
          <w:spacing w:val="-2"/>
          <w:sz w:val="24"/>
          <w:szCs w:val="24"/>
        </w:rPr>
        <w:t>i</w:t>
      </w:r>
      <w:r w:rsidR="003773C6" w:rsidRPr="00043015">
        <w:rPr>
          <w:rFonts w:ascii="Times New Roman" w:hAnsi="Times New Roman" w:cs="Times New Roman"/>
          <w:spacing w:val="-2"/>
          <w:sz w:val="24"/>
          <w:szCs w:val="24"/>
        </w:rPr>
        <w:t>slamique</w:t>
      </w:r>
      <w:r w:rsidR="004A4E16" w:rsidRPr="00043015">
        <w:rPr>
          <w:rFonts w:ascii="Times New Roman" w:hAnsi="Times New Roman" w:cs="Times New Roman"/>
          <w:spacing w:val="-2"/>
          <w:sz w:val="24"/>
          <w:szCs w:val="24"/>
        </w:rPr>
        <w:t xml:space="preserve"> en tant que</w:t>
      </w:r>
      <w:r w:rsidR="002760B2" w:rsidRPr="00043015">
        <w:rPr>
          <w:rFonts w:ascii="Times New Roman" w:hAnsi="Times New Roman" w:cs="Times New Roman"/>
          <w:spacing w:val="-2"/>
          <w:sz w:val="24"/>
          <w:szCs w:val="24"/>
        </w:rPr>
        <w:t xml:space="preserve"> </w:t>
      </w:r>
      <w:r w:rsidR="002760B2" w:rsidRPr="00043015">
        <w:rPr>
          <w:rFonts w:ascii="Times New Roman" w:hAnsi="Times New Roman" w:cs="Times New Roman"/>
          <w:i/>
          <w:iCs/>
          <w:spacing w:val="-2"/>
          <w:sz w:val="24"/>
          <w:szCs w:val="24"/>
        </w:rPr>
        <w:t>moudarib</w:t>
      </w:r>
      <w:r w:rsidRPr="00043015">
        <w:rPr>
          <w:rFonts w:ascii="Times New Roman" w:hAnsi="Times New Roman" w:cs="Times New Roman"/>
          <w:spacing w:val="-2"/>
          <w:sz w:val="24"/>
          <w:szCs w:val="24"/>
        </w:rPr>
        <w:t xml:space="preserve"> a</w:t>
      </w:r>
      <w:r w:rsidR="002760B2" w:rsidRPr="00043015">
        <w:rPr>
          <w:rFonts w:ascii="Times New Roman" w:hAnsi="Times New Roman" w:cs="Times New Roman"/>
          <w:spacing w:val="-2"/>
          <w:sz w:val="24"/>
          <w:szCs w:val="24"/>
        </w:rPr>
        <w:t xml:space="preserve"> une pratique c</w:t>
      </w:r>
      <w:r w:rsidRPr="00043015">
        <w:rPr>
          <w:rFonts w:ascii="Times New Roman" w:hAnsi="Times New Roman" w:cs="Times New Roman"/>
          <w:spacing w:val="-2"/>
          <w:sz w:val="24"/>
          <w:szCs w:val="24"/>
        </w:rPr>
        <w:t>ourante de ne pas informer ses</w:t>
      </w:r>
      <w:r w:rsidR="002760B2" w:rsidRPr="00043015">
        <w:rPr>
          <w:rFonts w:ascii="Times New Roman" w:hAnsi="Times New Roman" w:cs="Times New Roman"/>
          <w:spacing w:val="-2"/>
          <w:sz w:val="24"/>
          <w:szCs w:val="24"/>
        </w:rPr>
        <w:t xml:space="preserve"> déposants (titulaires des comptes d’investissement parti</w:t>
      </w:r>
      <w:r w:rsidRPr="00043015">
        <w:rPr>
          <w:rFonts w:ascii="Times New Roman" w:hAnsi="Times New Roman" w:cs="Times New Roman"/>
          <w:spacing w:val="-2"/>
          <w:sz w:val="24"/>
          <w:szCs w:val="24"/>
        </w:rPr>
        <w:t>cipatifs) sur la façon dont son</w:t>
      </w:r>
      <w:r w:rsidR="002760B2" w:rsidRPr="00043015">
        <w:rPr>
          <w:rFonts w:ascii="Times New Roman" w:hAnsi="Times New Roman" w:cs="Times New Roman"/>
          <w:spacing w:val="-2"/>
          <w:sz w:val="24"/>
          <w:szCs w:val="24"/>
        </w:rPr>
        <w:t xml:space="preserve"> capital a été utilisé. Une telle pratique peut causer de l'errance en termes de pratiques, l'inconduite et perte de confiance parmi les déposants. D</w:t>
      </w:r>
      <w:r w:rsidRPr="00043015">
        <w:rPr>
          <w:rFonts w:ascii="Times New Roman" w:hAnsi="Times New Roman" w:cs="Times New Roman"/>
          <w:spacing w:val="-2"/>
          <w:sz w:val="24"/>
          <w:szCs w:val="24"/>
        </w:rPr>
        <w:t>ésormais, nous soutenons que la banque</w:t>
      </w:r>
      <w:r w:rsidR="002760B2" w:rsidRPr="00043015">
        <w:rPr>
          <w:rFonts w:ascii="Times New Roman" w:hAnsi="Times New Roman" w:cs="Times New Roman"/>
          <w:spacing w:val="-2"/>
          <w:sz w:val="24"/>
          <w:szCs w:val="24"/>
        </w:rPr>
        <w:t xml:space="preserve"> </w:t>
      </w:r>
      <w:r w:rsidR="00E9218A" w:rsidRPr="00043015">
        <w:rPr>
          <w:rFonts w:ascii="Times New Roman" w:hAnsi="Times New Roman" w:cs="Times New Roman"/>
          <w:spacing w:val="-2"/>
          <w:sz w:val="24"/>
          <w:szCs w:val="24"/>
        </w:rPr>
        <w:t>i</w:t>
      </w:r>
      <w:r w:rsidR="003773C6" w:rsidRPr="00043015">
        <w:rPr>
          <w:rFonts w:ascii="Times New Roman" w:hAnsi="Times New Roman" w:cs="Times New Roman"/>
          <w:spacing w:val="-2"/>
          <w:sz w:val="24"/>
          <w:szCs w:val="24"/>
        </w:rPr>
        <w:t>slamique</w:t>
      </w:r>
      <w:r w:rsidRPr="00043015">
        <w:rPr>
          <w:rFonts w:ascii="Times New Roman" w:hAnsi="Times New Roman" w:cs="Times New Roman"/>
          <w:spacing w:val="-2"/>
          <w:sz w:val="24"/>
          <w:szCs w:val="24"/>
        </w:rPr>
        <w:t xml:space="preserve"> devrait informer ses</w:t>
      </w:r>
      <w:r w:rsidR="002760B2" w:rsidRPr="00043015">
        <w:rPr>
          <w:rFonts w:ascii="Times New Roman" w:hAnsi="Times New Roman" w:cs="Times New Roman"/>
          <w:spacing w:val="-2"/>
          <w:sz w:val="24"/>
          <w:szCs w:val="24"/>
        </w:rPr>
        <w:t xml:space="preserve"> déposants sur les activités en cours au moment convenu.</w:t>
      </w:r>
    </w:p>
    <w:p w14:paraId="0D6FCF25"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 deuxième point pour lequel il est important d'être transparent concerne les pratiques PER et IRR.</w:t>
      </w:r>
      <w:r w:rsidR="004A4E16" w:rsidRPr="002B005F">
        <w:rPr>
          <w:rFonts w:ascii="Times New Roman" w:hAnsi="Times New Roman" w:cs="Times New Roman"/>
          <w:sz w:val="24"/>
          <w:szCs w:val="24"/>
        </w:rPr>
        <w:t xml:space="preserve"> </w:t>
      </w:r>
      <w:r w:rsidRPr="002B005F">
        <w:rPr>
          <w:rFonts w:ascii="Times New Roman" w:hAnsi="Times New Roman" w:cs="Times New Roman"/>
          <w:sz w:val="24"/>
          <w:szCs w:val="24"/>
        </w:rPr>
        <w:t>L'inclusion ou l'exclusion du PER et / ou du IRR affecte directement la part des bénéfices des titulaires de comptes d'investissement. Cela peut entraîner une manipulation de la comptabilité. C’est-à-dire si la banque veut conserver des revenus en les poussant dans la prochaine période de déclaration, elle pourrait intentionnellement sous-estimer le bénéfice pour la période actuelle. De plus, être transparent à propos des PER et des IRR devrait augmenter le pouvoir de décision des détenteurs de dépôts.</w:t>
      </w:r>
    </w:p>
    <w:p w14:paraId="156A75D1" w14:textId="77777777" w:rsidR="002760B2" w:rsidRPr="002B005F" w:rsidRDefault="008A66BC" w:rsidP="007B64B9">
      <w:pPr>
        <w:pStyle w:val="Titre4"/>
        <w:keepNext w:val="0"/>
        <w:spacing w:before="100" w:beforeAutospacing="1" w:after="120" w:line="300" w:lineRule="auto"/>
        <w:ind w:firstLine="709"/>
      </w:pPr>
      <w:bookmarkStart w:id="1425" w:name="_Toc33263364"/>
      <w:bookmarkStart w:id="1426" w:name="_Toc37664627"/>
      <w:bookmarkStart w:id="1427" w:name="_Toc37666472"/>
      <w:bookmarkStart w:id="1428" w:name="_Toc54363369"/>
      <w:bookmarkStart w:id="1429" w:name="_Toc58606353"/>
      <w:bookmarkStart w:id="1430" w:name="_Toc61263558"/>
      <w:bookmarkStart w:id="1431" w:name="_Toc182298879"/>
      <w:r w:rsidRPr="002B005F">
        <w:t xml:space="preserve">3.2.2- </w:t>
      </w:r>
      <w:r w:rsidR="002760B2" w:rsidRPr="002B005F">
        <w:t>Gestion du risque commercial déplacé</w:t>
      </w:r>
      <w:bookmarkEnd w:id="1425"/>
      <w:bookmarkEnd w:id="1426"/>
      <w:bookmarkEnd w:id="1427"/>
      <w:bookmarkEnd w:id="1428"/>
      <w:bookmarkEnd w:id="1429"/>
      <w:bookmarkEnd w:id="1430"/>
      <w:bookmarkEnd w:id="1431"/>
    </w:p>
    <w:p w14:paraId="30368F52"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banque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peut s'engager dans un ensemble de pratiques qui servent</w:t>
      </w:r>
      <w:r w:rsidR="00CF4C2F" w:rsidRPr="002B005F">
        <w:rPr>
          <w:rFonts w:ascii="Times New Roman" w:hAnsi="Times New Roman" w:cs="Times New Roman"/>
          <w:sz w:val="24"/>
          <w:szCs w:val="24"/>
        </w:rPr>
        <w:t xml:space="preserve"> à lisser les taux de rendement</w:t>
      </w:r>
      <w:r w:rsidRPr="002B005F">
        <w:rPr>
          <w:rFonts w:ascii="Times New Roman" w:hAnsi="Times New Roman" w:cs="Times New Roman"/>
          <w:sz w:val="24"/>
          <w:szCs w:val="24"/>
        </w:rPr>
        <w:t xml:space="preserve"> sur les comptes d’investissement afin d’offrir aux titulaires de ces comptes un taux de rendement compétitif. Les techniques d</w:t>
      </w:r>
      <w:r w:rsidR="00CF4C2F" w:rsidRPr="002B005F">
        <w:rPr>
          <w:rFonts w:ascii="Times New Roman" w:hAnsi="Times New Roman" w:cs="Times New Roman"/>
          <w:sz w:val="24"/>
          <w:szCs w:val="24"/>
        </w:rPr>
        <w:t>e lissage des taux de rendement</w:t>
      </w:r>
      <w:r w:rsidRPr="002B005F">
        <w:rPr>
          <w:rFonts w:ascii="Times New Roman" w:hAnsi="Times New Roman" w:cs="Times New Roman"/>
          <w:sz w:val="24"/>
          <w:szCs w:val="24"/>
        </w:rPr>
        <w:t xml:space="preserve"> reposent principalement sur le transfert de revenu qui doit être attribué aux titulaires de comptes d’investissement et la mise en place de réserves.</w:t>
      </w:r>
    </w:p>
    <w:p w14:paraId="3824FFB3"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banque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peut investir une part significative des comptes non rémunérés dans des actifs à court terme de faible risque et de rendement certain. Cette pratique génère un revenu additionnel pour la banque et facilite le lissage des revenus.</w:t>
      </w:r>
    </w:p>
    <w:p w14:paraId="7E7257BB"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banque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pourrait réduire ou même abandonner sa commission de </w:t>
      </w:r>
      <w:r w:rsidR="004A4E16" w:rsidRPr="002B005F">
        <w:rPr>
          <w:rFonts w:ascii="Times New Roman" w:hAnsi="Times New Roman" w:cs="Times New Roman"/>
          <w:i/>
          <w:iCs/>
          <w:sz w:val="24"/>
          <w:szCs w:val="24"/>
        </w:rPr>
        <w:t>moudarib</w:t>
      </w:r>
      <w:r w:rsidRPr="002B005F">
        <w:rPr>
          <w:rFonts w:ascii="Times New Roman" w:hAnsi="Times New Roman" w:cs="Times New Roman"/>
          <w:sz w:val="24"/>
          <w:szCs w:val="24"/>
        </w:rPr>
        <w:t xml:space="preserve"> au-dessous de la part contractée et attribue temporairement de faibles bénéfices ou de plus grandes pertes aux actionnaires et ce, au profit des titulaires des comptes d’investissement. Elle atténue ainsi l'impact d’un faible rendement sur les dépôts d’investissement et évite un retrait massif des fonds.</w:t>
      </w:r>
    </w:p>
    <w:p w14:paraId="039C9BBF"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banque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peut être amenée également à faire varier le ratio de partage du profit en réduisant ainsi sa rémunération en tant que </w:t>
      </w:r>
      <w:r w:rsidR="004A4E16" w:rsidRPr="002B005F">
        <w:rPr>
          <w:rFonts w:ascii="Times New Roman" w:hAnsi="Times New Roman" w:cs="Times New Roman"/>
          <w:i/>
          <w:iCs/>
          <w:sz w:val="24"/>
          <w:szCs w:val="24"/>
        </w:rPr>
        <w:t>moudarib</w:t>
      </w:r>
      <w:r w:rsidRPr="002B005F">
        <w:rPr>
          <w:rFonts w:ascii="Times New Roman" w:hAnsi="Times New Roman" w:cs="Times New Roman"/>
          <w:sz w:val="24"/>
          <w:szCs w:val="24"/>
        </w:rPr>
        <w:t>. En effet, la part des profits de la banque déterminée initialement est la part maximale, alors que la part distribuée réellement varie d’une période à une autre en fonction du taux de rendement réel</w:t>
      </w:r>
      <w:r w:rsidRPr="002B005F">
        <w:rPr>
          <w:rStyle w:val="Appelnotedebasdep"/>
          <w:rFonts w:ascii="Times New Roman" w:hAnsi="Times New Roman"/>
          <w:sz w:val="24"/>
          <w:szCs w:val="24"/>
        </w:rPr>
        <w:footnoteReference w:id="388"/>
      </w:r>
      <w:r w:rsidR="00FC2B82" w:rsidRPr="002B005F">
        <w:rPr>
          <w:rFonts w:ascii="Times New Roman" w:hAnsi="Times New Roman" w:cs="Times New Roman"/>
          <w:sz w:val="24"/>
          <w:szCs w:val="24"/>
        </w:rPr>
        <w:t>.</w:t>
      </w:r>
    </w:p>
    <w:p w14:paraId="2A0F96C6"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lastRenderedPageBreak/>
        <w:t xml:space="preserve">La banque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peut prélever des réserves à partir des profits attribuables aux titulaires des comptes d’investissement et aux actionnaires. Elle peut inclure une clause dans les termes du contrat donnant le droit à la banque </w:t>
      </w:r>
      <w:r w:rsidR="00433C51"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de retenir une certaine proportion du profit attribuable aux titulaires des comptes d’investissement</w:t>
      </w:r>
      <w:r w:rsidRPr="002B005F">
        <w:rPr>
          <w:rStyle w:val="Appelnotedebasdep"/>
          <w:rFonts w:ascii="Times New Roman" w:hAnsi="Times New Roman"/>
          <w:sz w:val="24"/>
          <w:szCs w:val="24"/>
        </w:rPr>
        <w:footnoteReference w:id="389"/>
      </w:r>
      <w:r w:rsidRPr="002B005F">
        <w:rPr>
          <w:rFonts w:ascii="Times New Roman" w:hAnsi="Times New Roman" w:cs="Times New Roman"/>
          <w:sz w:val="24"/>
          <w:szCs w:val="24"/>
        </w:rPr>
        <w:t>.</w:t>
      </w:r>
    </w:p>
    <w:p w14:paraId="33180019" w14:textId="77777777" w:rsidR="00433C51"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Généralement, le montant de réserves prélevées est corrélé positivement avec le taux de rendement réel</w:t>
      </w:r>
      <w:r w:rsidRPr="002B005F">
        <w:rPr>
          <w:rStyle w:val="Appelnotedebasdep"/>
          <w:rFonts w:ascii="Times New Roman" w:hAnsi="Times New Roman"/>
          <w:sz w:val="24"/>
          <w:szCs w:val="24"/>
        </w:rPr>
        <w:footnoteReference w:id="390"/>
      </w:r>
      <w:r w:rsidRPr="002B005F">
        <w:rPr>
          <w:rFonts w:ascii="Times New Roman" w:hAnsi="Times New Roman" w:cs="Times New Roman"/>
          <w:sz w:val="24"/>
          <w:szCs w:val="24"/>
        </w:rPr>
        <w:t xml:space="preserve">. Comme nous avons abordé, la banque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dispose de deux pratiques standards de rétention de réserves pour atténuer l</w:t>
      </w:r>
      <w:r w:rsidR="00433C51" w:rsidRPr="002B005F">
        <w:rPr>
          <w:rFonts w:ascii="Times New Roman" w:hAnsi="Times New Roman" w:cs="Times New Roman"/>
          <w:sz w:val="24"/>
          <w:szCs w:val="24"/>
        </w:rPr>
        <w:t>e risque commercial déplacé :</w:t>
      </w:r>
      <w:r w:rsidRPr="002B005F">
        <w:rPr>
          <w:rFonts w:ascii="Times New Roman" w:hAnsi="Times New Roman" w:cs="Times New Roman"/>
          <w:sz w:val="24"/>
          <w:szCs w:val="24"/>
        </w:rPr>
        <w:t xml:space="preserve"> </w:t>
      </w:r>
    </w:p>
    <w:p w14:paraId="3AC89493" w14:textId="77777777" w:rsidR="00433C51" w:rsidRPr="002B005F" w:rsidRDefault="002760B2" w:rsidP="00CB0FF1">
      <w:pPr>
        <w:pStyle w:val="Paragraphedeliste"/>
        <w:numPr>
          <w:ilvl w:val="0"/>
          <w:numId w:val="94"/>
        </w:numPr>
        <w:tabs>
          <w:tab w:val="left" w:pos="0"/>
        </w:tabs>
        <w:autoSpaceDE w:val="0"/>
        <w:autoSpaceDN w:val="0"/>
        <w:adjustRightInd w:val="0"/>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Profit Equalisation Reserve (PER) </w:t>
      </w:r>
    </w:p>
    <w:p w14:paraId="3BF8AEE8" w14:textId="77777777" w:rsidR="002760B2" w:rsidRPr="002B005F" w:rsidRDefault="002760B2" w:rsidP="00CB0FF1">
      <w:pPr>
        <w:pStyle w:val="Paragraphedeliste"/>
        <w:numPr>
          <w:ilvl w:val="0"/>
          <w:numId w:val="94"/>
        </w:numPr>
        <w:tabs>
          <w:tab w:val="left" w:pos="0"/>
        </w:tabs>
        <w:autoSpaceDE w:val="0"/>
        <w:autoSpaceDN w:val="0"/>
        <w:adjustRightInd w:val="0"/>
        <w:spacing w:before="60" w:line="300" w:lineRule="auto"/>
        <w:ind w:left="1135" w:hanging="284"/>
        <w:contextualSpacing w:val="0"/>
        <w:rPr>
          <w:rFonts w:ascii="Times New Roman" w:hAnsi="Times New Roman" w:cs="Times New Roman"/>
          <w:sz w:val="24"/>
          <w:szCs w:val="24"/>
          <w:lang w:val="en-GB"/>
        </w:rPr>
      </w:pPr>
      <w:r w:rsidRPr="002B005F">
        <w:rPr>
          <w:rFonts w:ascii="Times New Roman" w:hAnsi="Times New Roman" w:cs="Times New Roman"/>
          <w:sz w:val="24"/>
          <w:szCs w:val="24"/>
          <w:lang w:val="en-GB"/>
        </w:rPr>
        <w:t>et</w:t>
      </w:r>
      <w:r w:rsidR="004A4E16" w:rsidRPr="002B005F">
        <w:rPr>
          <w:rFonts w:ascii="Times New Roman" w:hAnsi="Times New Roman" w:cs="Times New Roman"/>
          <w:sz w:val="24"/>
          <w:szCs w:val="24"/>
          <w:lang w:val="en-GB"/>
        </w:rPr>
        <w:t xml:space="preserve"> Investment Risk Reserve (IRR).</w:t>
      </w:r>
    </w:p>
    <w:p w14:paraId="4E5ADC83" w14:textId="77777777" w:rsidR="00433C51" w:rsidRPr="00B01C46" w:rsidRDefault="00433C51" w:rsidP="00E02EEC">
      <w:pPr>
        <w:pStyle w:val="Titre5"/>
        <w:keepNext w:val="0"/>
        <w:keepLines w:val="0"/>
        <w:spacing w:before="120" w:after="120" w:line="300" w:lineRule="auto"/>
        <w:ind w:firstLine="709"/>
        <w:rPr>
          <w:rFonts w:asciiTheme="majorBidi" w:hAnsiTheme="majorBidi"/>
          <w:b/>
          <w:bCs/>
          <w:color w:val="auto"/>
          <w:sz w:val="24"/>
          <w:szCs w:val="24"/>
        </w:rPr>
      </w:pPr>
      <w:bookmarkStart w:id="1434" w:name="_Toc182298880"/>
      <w:r w:rsidRPr="00B01C46">
        <w:rPr>
          <w:rFonts w:asciiTheme="majorBidi" w:hAnsiTheme="majorBidi"/>
          <w:b/>
          <w:bCs/>
          <w:color w:val="auto"/>
          <w:sz w:val="24"/>
          <w:szCs w:val="24"/>
        </w:rPr>
        <w:t>3.2.2.1- Profit Equalisation Reserve (PER)</w:t>
      </w:r>
      <w:bookmarkEnd w:id="1434"/>
    </w:p>
    <w:p w14:paraId="0ECA6C74" w14:textId="77777777" w:rsidR="002760B2" w:rsidRPr="002B005F" w:rsidRDefault="002760B2" w:rsidP="00E02EEC">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PER est retenue à partir du résultat brut de la banque </w:t>
      </w:r>
      <w:r w:rsidR="00CF4C2F"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avant l’allocation des profits entre les actionnaires et les titulaires des comptes d’investissement. Elle réduit ainsi les fonds réellement attribuables aux titulaires des comptes d’investissement et aux actionnaires.</w:t>
      </w:r>
    </w:p>
    <w:p w14:paraId="06AF4FF9" w14:textId="77777777" w:rsidR="002760B2" w:rsidRPr="00A939F5" w:rsidRDefault="002760B2" w:rsidP="00E02EEC">
      <w:pPr>
        <w:tabs>
          <w:tab w:val="left" w:pos="0"/>
        </w:tabs>
        <w:autoSpaceDE w:val="0"/>
        <w:autoSpaceDN w:val="0"/>
        <w:adjustRightInd w:val="0"/>
        <w:spacing w:before="120" w:line="300" w:lineRule="auto"/>
        <w:ind w:firstLine="709"/>
        <w:rPr>
          <w:rFonts w:ascii="Times New Roman" w:hAnsi="Times New Roman" w:cs="Times New Roman"/>
          <w:spacing w:val="-4"/>
          <w:sz w:val="24"/>
          <w:szCs w:val="24"/>
        </w:rPr>
      </w:pPr>
      <w:r w:rsidRPr="00A939F5">
        <w:rPr>
          <w:rFonts w:ascii="Times New Roman" w:hAnsi="Times New Roman" w:cs="Times New Roman"/>
          <w:spacing w:val="-4"/>
          <w:sz w:val="24"/>
          <w:szCs w:val="24"/>
        </w:rPr>
        <w:t xml:space="preserve">En périodes où le taux de rendement des investissements est supérieur à celui des investissements comparables sur le marché, la banque </w:t>
      </w:r>
      <w:r w:rsidR="00CF4C2F" w:rsidRPr="00A939F5">
        <w:rPr>
          <w:rFonts w:ascii="Times New Roman" w:hAnsi="Times New Roman" w:cs="Times New Roman"/>
          <w:spacing w:val="-4"/>
          <w:sz w:val="24"/>
          <w:szCs w:val="24"/>
        </w:rPr>
        <w:t>i</w:t>
      </w:r>
      <w:r w:rsidR="003773C6" w:rsidRPr="00A939F5">
        <w:rPr>
          <w:rFonts w:ascii="Times New Roman" w:hAnsi="Times New Roman" w:cs="Times New Roman"/>
          <w:spacing w:val="-4"/>
          <w:sz w:val="24"/>
          <w:szCs w:val="24"/>
        </w:rPr>
        <w:t>slamique</w:t>
      </w:r>
      <w:r w:rsidRPr="00A939F5">
        <w:rPr>
          <w:rFonts w:ascii="Times New Roman" w:hAnsi="Times New Roman" w:cs="Times New Roman"/>
          <w:spacing w:val="-4"/>
          <w:sz w:val="24"/>
          <w:szCs w:val="24"/>
        </w:rPr>
        <w:t xml:space="preserve"> peut maintenir une rémunération comparable à la rémunération du marché tout en prélevant une partie des revenus pour alimenter la PER</w:t>
      </w:r>
      <w:r w:rsidRPr="00A939F5">
        <w:rPr>
          <w:rStyle w:val="Appelnotedebasdep"/>
          <w:rFonts w:ascii="Times New Roman" w:hAnsi="Times New Roman"/>
          <w:spacing w:val="-4"/>
          <w:sz w:val="24"/>
          <w:szCs w:val="24"/>
        </w:rPr>
        <w:footnoteReference w:id="391"/>
      </w:r>
      <w:r w:rsidRPr="00A939F5">
        <w:rPr>
          <w:rFonts w:ascii="Times New Roman" w:hAnsi="Times New Roman" w:cs="Times New Roman"/>
          <w:spacing w:val="-4"/>
          <w:sz w:val="24"/>
          <w:szCs w:val="24"/>
        </w:rPr>
        <w:t xml:space="preserve">. Le montant de la réserve appartient aux actionnaires et aux titulaires des comptes d’investissement participatifs (suivant le même ratio de partage du profit convenu dans le contrat </w:t>
      </w:r>
      <w:r w:rsidR="004A4E16" w:rsidRPr="00A939F5">
        <w:rPr>
          <w:rFonts w:ascii="Times New Roman" w:hAnsi="Times New Roman" w:cs="Times New Roman"/>
          <w:i/>
          <w:spacing w:val="-4"/>
          <w:sz w:val="24"/>
          <w:szCs w:val="24"/>
        </w:rPr>
        <w:t>moudaraba</w:t>
      </w:r>
      <w:r w:rsidRPr="00A939F5">
        <w:rPr>
          <w:rFonts w:ascii="Times New Roman" w:hAnsi="Times New Roman" w:cs="Times New Roman"/>
          <w:spacing w:val="-4"/>
          <w:sz w:val="24"/>
          <w:szCs w:val="24"/>
        </w:rPr>
        <w:t>) et servira à lisser un taux de rendement faible mais positif.</w:t>
      </w:r>
    </w:p>
    <w:p w14:paraId="0E9BAEEB" w14:textId="77777777" w:rsidR="00433C51" w:rsidRPr="00B01C46" w:rsidRDefault="00433C51" w:rsidP="00E02EEC">
      <w:pPr>
        <w:pStyle w:val="Titre5"/>
        <w:keepNext w:val="0"/>
        <w:keepLines w:val="0"/>
        <w:spacing w:before="120" w:after="120" w:line="300" w:lineRule="auto"/>
        <w:ind w:firstLine="709"/>
        <w:rPr>
          <w:rFonts w:asciiTheme="majorBidi" w:hAnsiTheme="majorBidi"/>
          <w:b/>
          <w:bCs/>
          <w:color w:val="auto"/>
          <w:sz w:val="24"/>
          <w:szCs w:val="24"/>
        </w:rPr>
      </w:pPr>
      <w:bookmarkStart w:id="1435" w:name="_Toc182298881"/>
      <w:r w:rsidRPr="00B01C46">
        <w:rPr>
          <w:rFonts w:asciiTheme="majorBidi" w:hAnsiTheme="majorBidi"/>
          <w:b/>
          <w:bCs/>
          <w:color w:val="auto"/>
          <w:sz w:val="24"/>
          <w:szCs w:val="24"/>
        </w:rPr>
        <w:t>3.2.2.2- Investment Risk Reserve (IRR)</w:t>
      </w:r>
      <w:bookmarkEnd w:id="1435"/>
    </w:p>
    <w:p w14:paraId="05922E56" w14:textId="77777777" w:rsidR="002760B2" w:rsidRPr="00A939F5" w:rsidRDefault="002760B2" w:rsidP="004F69D7">
      <w:pPr>
        <w:tabs>
          <w:tab w:val="left" w:pos="0"/>
        </w:tabs>
        <w:autoSpaceDE w:val="0"/>
        <w:autoSpaceDN w:val="0"/>
        <w:adjustRightInd w:val="0"/>
        <w:spacing w:before="120" w:line="300" w:lineRule="auto"/>
        <w:ind w:firstLine="709"/>
        <w:rPr>
          <w:rFonts w:ascii="Times New Roman" w:hAnsi="Times New Roman" w:cs="Times New Roman"/>
          <w:spacing w:val="-4"/>
          <w:sz w:val="24"/>
          <w:szCs w:val="24"/>
        </w:rPr>
      </w:pPr>
      <w:r w:rsidRPr="00A939F5">
        <w:rPr>
          <w:rFonts w:ascii="Times New Roman" w:hAnsi="Times New Roman" w:cs="Times New Roman"/>
          <w:spacing w:val="-4"/>
          <w:sz w:val="24"/>
          <w:szCs w:val="24"/>
        </w:rPr>
        <w:t xml:space="preserve">L’IRR est retenue à partir du revenu de </w:t>
      </w:r>
      <w:r w:rsidR="004A4E16" w:rsidRPr="00A939F5">
        <w:rPr>
          <w:rFonts w:ascii="Times New Roman" w:hAnsi="Times New Roman" w:cs="Times New Roman"/>
          <w:i/>
          <w:spacing w:val="-4"/>
          <w:sz w:val="24"/>
          <w:szCs w:val="24"/>
        </w:rPr>
        <w:t>moudaraba</w:t>
      </w:r>
      <w:r w:rsidRPr="00A939F5">
        <w:rPr>
          <w:rFonts w:ascii="Times New Roman" w:hAnsi="Times New Roman" w:cs="Times New Roman"/>
          <w:spacing w:val="-4"/>
          <w:sz w:val="24"/>
          <w:szCs w:val="24"/>
        </w:rPr>
        <w:t xml:space="preserve"> qui représente la part du profit attribué aux titulaires des comptes d’investissement. Elle est prélevée après le calcul de la rémunération de la banque entant que </w:t>
      </w:r>
      <w:r w:rsidR="004A4E16" w:rsidRPr="00A939F5">
        <w:rPr>
          <w:rFonts w:ascii="Times New Roman" w:hAnsi="Times New Roman" w:cs="Times New Roman"/>
          <w:i/>
          <w:iCs/>
          <w:spacing w:val="-4"/>
          <w:sz w:val="24"/>
          <w:szCs w:val="24"/>
        </w:rPr>
        <w:t>moudarib</w:t>
      </w:r>
      <w:r w:rsidRPr="00A939F5">
        <w:rPr>
          <w:rFonts w:ascii="Times New Roman" w:hAnsi="Times New Roman" w:cs="Times New Roman"/>
          <w:i/>
          <w:iCs/>
          <w:spacing w:val="-4"/>
          <w:sz w:val="24"/>
          <w:szCs w:val="24"/>
        </w:rPr>
        <w:t xml:space="preserve"> </w:t>
      </w:r>
      <w:r w:rsidRPr="00A939F5">
        <w:rPr>
          <w:rFonts w:ascii="Times New Roman" w:hAnsi="Times New Roman" w:cs="Times New Roman"/>
          <w:spacing w:val="-4"/>
          <w:sz w:val="24"/>
          <w:szCs w:val="24"/>
        </w:rPr>
        <w:t>(</w:t>
      </w:r>
      <w:r w:rsidR="00CF4C2F" w:rsidRPr="00A939F5">
        <w:rPr>
          <w:rFonts w:ascii="Times New Roman" w:hAnsi="Times New Roman" w:cs="Times New Roman"/>
          <w:i/>
          <w:iCs/>
          <w:spacing w:val="-4"/>
          <w:sz w:val="24"/>
          <w:szCs w:val="24"/>
        </w:rPr>
        <w:t>moud</w:t>
      </w:r>
      <w:r w:rsidRPr="00A939F5">
        <w:rPr>
          <w:rFonts w:ascii="Times New Roman" w:hAnsi="Times New Roman" w:cs="Times New Roman"/>
          <w:i/>
          <w:iCs/>
          <w:spacing w:val="-4"/>
          <w:sz w:val="24"/>
          <w:szCs w:val="24"/>
        </w:rPr>
        <w:t>arib</w:t>
      </w:r>
      <w:r w:rsidRPr="00A939F5">
        <w:rPr>
          <w:rFonts w:ascii="Times New Roman" w:hAnsi="Times New Roman" w:cs="Times New Roman"/>
          <w:spacing w:val="-4"/>
          <w:sz w:val="24"/>
          <w:szCs w:val="24"/>
        </w:rPr>
        <w:t xml:space="preserve"> </w:t>
      </w:r>
      <w:r w:rsidRPr="00264203">
        <w:rPr>
          <w:rFonts w:ascii="Times New Roman" w:hAnsi="Times New Roman" w:cs="Times New Roman"/>
          <w:i/>
          <w:iCs/>
          <w:spacing w:val="-4"/>
          <w:sz w:val="24"/>
          <w:szCs w:val="24"/>
        </w:rPr>
        <w:t>share</w:t>
      </w:r>
      <w:r w:rsidRPr="00A939F5">
        <w:rPr>
          <w:rFonts w:ascii="Times New Roman" w:hAnsi="Times New Roman" w:cs="Times New Roman"/>
          <w:spacing w:val="-4"/>
          <w:sz w:val="24"/>
          <w:szCs w:val="24"/>
        </w:rPr>
        <w:t>). A la différence de la PER, le montant retenu d’IRR appartient entièrement aux titulaires des comptes d’investissement participatifs</w:t>
      </w:r>
      <w:r w:rsidR="00CF4C2F" w:rsidRPr="00A939F5">
        <w:rPr>
          <w:rFonts w:ascii="Times New Roman" w:hAnsi="Times New Roman" w:cs="Times New Roman"/>
          <w:spacing w:val="-4"/>
          <w:sz w:val="24"/>
          <w:szCs w:val="24"/>
        </w:rPr>
        <w:t>. Il</w:t>
      </w:r>
      <w:r w:rsidRPr="00A939F5">
        <w:rPr>
          <w:rFonts w:ascii="Times New Roman" w:hAnsi="Times New Roman" w:cs="Times New Roman"/>
          <w:spacing w:val="-4"/>
          <w:sz w:val="24"/>
          <w:szCs w:val="24"/>
        </w:rPr>
        <w:t xml:space="preserve"> servira à absorber les pertes sur leur capital investi. Elle est donc utilisée dans le scénario extrême où le taux de rendement sur les comptes d’investissement participatifs est négatif.</w:t>
      </w:r>
    </w:p>
    <w:p w14:paraId="54085F39"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gestion du risque commercial déplacé exige une évaluation adéquate des montants de PER et IRR à prélever. Plus le volume des réserves est élevé, plus le risque commercial déplacé est faible. Cependant le niveau des réserves ne dépend pas uniquement des décisions de la banque, il varie en fonction de l’historique des rentabilités des investissements financés par les comptes d’investissement. Si les rentabilités ont été faibles dans le passé, le niveau des réserves sera probablement insuffisant pour faire face à un nouveau choc. De plus la détention d’un niveau élevé de réserves fait subir un coût à la banque</w:t>
      </w:r>
      <w:r w:rsidRPr="002B005F">
        <w:rPr>
          <w:rFonts w:ascii="Times New Roman" w:hAnsi="Times New Roman" w:cs="Times New Roman"/>
          <w:i/>
          <w:sz w:val="24"/>
          <w:szCs w:val="24"/>
        </w:rPr>
        <w:t xml:space="preserve"> </w:t>
      </w:r>
      <w:r w:rsidR="003773C6" w:rsidRPr="002B005F">
        <w:rPr>
          <w:rFonts w:ascii="Times New Roman" w:hAnsi="Times New Roman" w:cs="Times New Roman"/>
          <w:sz w:val="24"/>
          <w:szCs w:val="24"/>
        </w:rPr>
        <w:t>Islamique</w:t>
      </w:r>
      <w:r w:rsidRPr="002B005F">
        <w:rPr>
          <w:rFonts w:ascii="Times New Roman" w:hAnsi="Times New Roman" w:cs="Times New Roman"/>
          <w:sz w:val="24"/>
          <w:szCs w:val="24"/>
        </w:rPr>
        <w:t xml:space="preserve"> et aux détenteurs de comptes d’investissements participatifs. La banque doit donc se doter de modèles statistiques sophistiqués pour gérer au mieux le niveau des réserves.</w:t>
      </w:r>
    </w:p>
    <w:p w14:paraId="603A0092"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lastRenderedPageBreak/>
        <w:t xml:space="preserve">La combinaison de ces différentes politiques, à savoir la rétention des réserves, la réduction de la commission de </w:t>
      </w:r>
      <w:r w:rsidR="004A4E16" w:rsidRPr="002B005F">
        <w:rPr>
          <w:rFonts w:ascii="Times New Roman" w:hAnsi="Times New Roman" w:cs="Times New Roman"/>
          <w:i/>
          <w:iCs/>
          <w:sz w:val="24"/>
          <w:szCs w:val="24"/>
        </w:rPr>
        <w:t>moudarib</w:t>
      </w:r>
      <w:r w:rsidRPr="002B005F">
        <w:rPr>
          <w:rFonts w:ascii="Times New Roman" w:hAnsi="Times New Roman" w:cs="Times New Roman"/>
          <w:sz w:val="24"/>
          <w:szCs w:val="24"/>
        </w:rPr>
        <w:t xml:space="preserve"> et le transfert des revenus des actionnaires aux titulaires des comptes d’investissement modifie la rentabilité des actionnaires ainsi que l’ampleur des risques auxquels ils s’exposent</w:t>
      </w:r>
      <w:r w:rsidRPr="002B005F">
        <w:rPr>
          <w:rStyle w:val="Appelnotedebasdep"/>
          <w:rFonts w:ascii="Times New Roman" w:hAnsi="Times New Roman"/>
          <w:sz w:val="24"/>
          <w:szCs w:val="24"/>
        </w:rPr>
        <w:footnoteReference w:id="392"/>
      </w:r>
      <w:r w:rsidRPr="002B005F">
        <w:rPr>
          <w:rFonts w:ascii="Times New Roman" w:hAnsi="Times New Roman" w:cs="Times New Roman"/>
          <w:sz w:val="24"/>
          <w:szCs w:val="24"/>
        </w:rPr>
        <w:t xml:space="preserve">. Ces modifications auront des répercussions sur les décisions d’investir dans les banques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qu’il conviendrait également d’étudier.</w:t>
      </w:r>
    </w:p>
    <w:p w14:paraId="2C34CC57" w14:textId="77777777" w:rsidR="002760B2" w:rsidRPr="002B005F" w:rsidRDefault="008A66BC" w:rsidP="007B64B9">
      <w:pPr>
        <w:pStyle w:val="Titre4"/>
        <w:keepNext w:val="0"/>
        <w:spacing w:before="100" w:beforeAutospacing="1" w:after="120" w:line="300" w:lineRule="auto"/>
        <w:ind w:firstLine="709"/>
      </w:pPr>
      <w:bookmarkStart w:id="1436" w:name="_Toc33263365"/>
      <w:bookmarkStart w:id="1437" w:name="_Toc37664628"/>
      <w:bookmarkStart w:id="1438" w:name="_Toc37666473"/>
      <w:bookmarkStart w:id="1439" w:name="_Toc54363370"/>
      <w:bookmarkStart w:id="1440" w:name="_Toc58606354"/>
      <w:bookmarkStart w:id="1441" w:name="_Toc61263559"/>
      <w:bookmarkStart w:id="1442" w:name="_Toc182298882"/>
      <w:r w:rsidRPr="002B005F">
        <w:t xml:space="preserve">3.2.3- </w:t>
      </w:r>
      <w:r w:rsidR="002760B2" w:rsidRPr="002B005F">
        <w:t>Gestion du risque fiduciaire</w:t>
      </w:r>
      <w:bookmarkEnd w:id="1436"/>
      <w:bookmarkEnd w:id="1437"/>
      <w:bookmarkEnd w:id="1438"/>
      <w:bookmarkEnd w:id="1439"/>
      <w:bookmarkEnd w:id="1440"/>
      <w:bookmarkEnd w:id="1441"/>
      <w:bookmarkEnd w:id="1442"/>
    </w:p>
    <w:p w14:paraId="008FDD48" w14:textId="77777777"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b/>
          <w:bCs/>
          <w:sz w:val="24"/>
          <w:szCs w:val="24"/>
        </w:rPr>
        <w:t>Le risque fiduciaire</w:t>
      </w:r>
      <w:r w:rsidRPr="002B005F">
        <w:rPr>
          <w:rFonts w:ascii="Times New Roman" w:hAnsi="Times New Roman" w:cs="Times New Roman"/>
          <w:sz w:val="24"/>
          <w:szCs w:val="24"/>
        </w:rPr>
        <w:t xml:space="preserve"> est le risque</w:t>
      </w:r>
      <w:r w:rsidR="000F4546">
        <w:rPr>
          <w:rFonts w:ascii="Times New Roman" w:hAnsi="Times New Roman" w:cs="Times New Roman"/>
          <w:sz w:val="24"/>
          <w:szCs w:val="24"/>
        </w:rPr>
        <w:t xml:space="preserve"> qui découle de l'incapacité de la</w:t>
      </w:r>
      <w:r w:rsidRPr="002B005F">
        <w:rPr>
          <w:rFonts w:ascii="Times New Roman" w:hAnsi="Times New Roman" w:cs="Times New Roman"/>
          <w:sz w:val="24"/>
          <w:szCs w:val="24"/>
        </w:rPr>
        <w:t xml:space="preserve"> BI d’appliquer les normes explicites e</w:t>
      </w:r>
      <w:r w:rsidR="000F4546">
        <w:rPr>
          <w:rFonts w:ascii="Times New Roman" w:hAnsi="Times New Roman" w:cs="Times New Roman"/>
          <w:sz w:val="24"/>
          <w:szCs w:val="24"/>
        </w:rPr>
        <w:t>t implicites applicables à ses</w:t>
      </w:r>
      <w:r w:rsidRPr="002B005F">
        <w:rPr>
          <w:rFonts w:ascii="Times New Roman" w:hAnsi="Times New Roman" w:cs="Times New Roman"/>
          <w:sz w:val="24"/>
          <w:szCs w:val="24"/>
        </w:rPr>
        <w:t xml:space="preserve"> responsabilités fiduciaires. Suite aux pertes li</w:t>
      </w:r>
      <w:r w:rsidR="00FC2B82" w:rsidRPr="002B005F">
        <w:rPr>
          <w:rFonts w:ascii="Times New Roman" w:hAnsi="Times New Roman" w:cs="Times New Roman"/>
          <w:sz w:val="24"/>
          <w:szCs w:val="24"/>
        </w:rPr>
        <w:t>ées à un</w:t>
      </w:r>
      <w:r w:rsidR="000F4546">
        <w:rPr>
          <w:rFonts w:ascii="Times New Roman" w:hAnsi="Times New Roman" w:cs="Times New Roman"/>
          <w:sz w:val="24"/>
          <w:szCs w:val="24"/>
        </w:rPr>
        <w:t xml:space="preserve"> investissement, la BI peu</w:t>
      </w:r>
      <w:r w:rsidRPr="002B005F">
        <w:rPr>
          <w:rFonts w:ascii="Times New Roman" w:hAnsi="Times New Roman" w:cs="Times New Roman"/>
          <w:sz w:val="24"/>
          <w:szCs w:val="24"/>
        </w:rPr>
        <w:t>t devenir</w:t>
      </w:r>
      <w:r w:rsidR="000F4546">
        <w:rPr>
          <w:rFonts w:ascii="Times New Roman" w:hAnsi="Times New Roman" w:cs="Times New Roman"/>
          <w:sz w:val="24"/>
          <w:szCs w:val="24"/>
        </w:rPr>
        <w:t xml:space="preserve"> insolvable et donc incapable</w:t>
      </w:r>
      <w:r w:rsidRPr="002B005F">
        <w:rPr>
          <w:rFonts w:ascii="Times New Roman" w:hAnsi="Times New Roman" w:cs="Times New Roman"/>
          <w:sz w:val="24"/>
          <w:szCs w:val="24"/>
        </w:rPr>
        <w:t xml:space="preserve"> de répondre aux exigences des titulaires de compte pour le remboursement de leurs </w:t>
      </w:r>
      <w:r w:rsidR="00FC2B82" w:rsidRPr="002B005F">
        <w:rPr>
          <w:rFonts w:ascii="Times New Roman" w:hAnsi="Times New Roman" w:cs="Times New Roman"/>
          <w:sz w:val="24"/>
          <w:szCs w:val="24"/>
        </w:rPr>
        <w:t>fonds ;</w:t>
      </w:r>
      <w:r w:rsidR="000F4546">
        <w:rPr>
          <w:rFonts w:ascii="Times New Roman" w:hAnsi="Times New Roman" w:cs="Times New Roman"/>
          <w:sz w:val="24"/>
          <w:szCs w:val="24"/>
        </w:rPr>
        <w:t xml:space="preserve"> et incapable</w:t>
      </w:r>
      <w:r w:rsidRPr="002B005F">
        <w:rPr>
          <w:rFonts w:ascii="Times New Roman" w:hAnsi="Times New Roman" w:cs="Times New Roman"/>
          <w:sz w:val="24"/>
          <w:szCs w:val="24"/>
        </w:rPr>
        <w:t xml:space="preserve"> de sauvegarder les intérêts des détenteurs des comptes participatifs. </w:t>
      </w:r>
    </w:p>
    <w:p w14:paraId="2A28C50F" w14:textId="77777777" w:rsidR="002760B2" w:rsidRPr="002B005F" w:rsidRDefault="000F4546" w:rsidP="00CC5831">
      <w:pPr>
        <w:tabs>
          <w:tab w:val="left" w:pos="0"/>
        </w:tabs>
        <w:autoSpaceDE w:val="0"/>
        <w:autoSpaceDN w:val="0"/>
        <w:adjustRightInd w:val="0"/>
        <w:spacing w:before="120" w:line="300" w:lineRule="auto"/>
        <w:ind w:firstLine="709"/>
        <w:rPr>
          <w:rFonts w:ascii="Times New Roman" w:hAnsi="Times New Roman" w:cs="Times New Roman"/>
          <w:sz w:val="24"/>
          <w:szCs w:val="24"/>
        </w:rPr>
      </w:pPr>
      <w:r>
        <w:rPr>
          <w:rFonts w:ascii="Times New Roman" w:hAnsi="Times New Roman" w:cs="Times New Roman"/>
          <w:sz w:val="24"/>
          <w:szCs w:val="24"/>
        </w:rPr>
        <w:t>La BI doi</w:t>
      </w:r>
      <w:r w:rsidR="002760B2" w:rsidRPr="002B005F">
        <w:rPr>
          <w:rFonts w:ascii="Times New Roman" w:hAnsi="Times New Roman" w:cs="Times New Roman"/>
          <w:sz w:val="24"/>
          <w:szCs w:val="24"/>
        </w:rPr>
        <w:t>t établir et mettre en œuvre une politique clair</w:t>
      </w:r>
      <w:r>
        <w:rPr>
          <w:rFonts w:ascii="Times New Roman" w:hAnsi="Times New Roman" w:cs="Times New Roman"/>
          <w:sz w:val="24"/>
          <w:szCs w:val="24"/>
        </w:rPr>
        <w:t>e et formelle pour assumer ses</w:t>
      </w:r>
      <w:r w:rsidR="002760B2" w:rsidRPr="002B005F">
        <w:rPr>
          <w:rFonts w:ascii="Times New Roman" w:hAnsi="Times New Roman" w:cs="Times New Roman"/>
          <w:sz w:val="24"/>
          <w:szCs w:val="24"/>
        </w:rPr>
        <w:t xml:space="preserve"> potentiels </w:t>
      </w:r>
      <w:r w:rsidR="00CC5831" w:rsidRPr="00CC5831">
        <w:rPr>
          <w:rFonts w:ascii="Times New Roman" w:hAnsi="Times New Roman" w:cs="Times New Roman"/>
          <w:sz w:val="24"/>
          <w:szCs w:val="24"/>
        </w:rPr>
        <w:t>tâches</w:t>
      </w:r>
      <w:r w:rsidR="00CC5831" w:rsidRPr="002B005F">
        <w:rPr>
          <w:rFonts w:ascii="Times New Roman" w:hAnsi="Times New Roman" w:cs="Times New Roman"/>
          <w:sz w:val="24"/>
          <w:szCs w:val="24"/>
        </w:rPr>
        <w:t xml:space="preserve"> </w:t>
      </w:r>
      <w:r w:rsidR="002760B2" w:rsidRPr="002B005F">
        <w:rPr>
          <w:rFonts w:ascii="Times New Roman" w:hAnsi="Times New Roman" w:cs="Times New Roman"/>
          <w:sz w:val="24"/>
          <w:szCs w:val="24"/>
        </w:rPr>
        <w:t>liés à la gestion de différents types de comptes de placement. La politique relative à la protection des intérêts des clients-détenteurs de dépôts participatifs peut inclure les éléments suivants</w:t>
      </w:r>
      <w:r w:rsidR="002760B2" w:rsidRPr="002B005F">
        <w:rPr>
          <w:rStyle w:val="Appelnotedebasdep"/>
          <w:rFonts w:ascii="Times New Roman" w:hAnsi="Times New Roman"/>
          <w:sz w:val="24"/>
          <w:szCs w:val="24"/>
        </w:rPr>
        <w:footnoteReference w:id="393"/>
      </w:r>
      <w:r w:rsidR="002760B2" w:rsidRPr="002B005F">
        <w:rPr>
          <w:rFonts w:ascii="Times New Roman" w:hAnsi="Times New Roman" w:cs="Times New Roman"/>
          <w:sz w:val="24"/>
          <w:szCs w:val="24"/>
        </w:rPr>
        <w:t> :</w:t>
      </w:r>
    </w:p>
    <w:p w14:paraId="791CA93D" w14:textId="77777777" w:rsidR="002760B2" w:rsidRPr="002B005F" w:rsidRDefault="002760B2" w:rsidP="00CB0FF1">
      <w:pPr>
        <w:pStyle w:val="Paragraphedeliste"/>
        <w:numPr>
          <w:ilvl w:val="0"/>
          <w:numId w:val="23"/>
        </w:numPr>
        <w:tabs>
          <w:tab w:val="left" w:pos="284"/>
          <w:tab w:val="left" w:pos="851"/>
          <w:tab w:val="left" w:pos="1134"/>
        </w:tabs>
        <w:autoSpaceDE w:val="0"/>
        <w:autoSpaceDN w:val="0"/>
        <w:adjustRightInd w:val="0"/>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Identification des activités d'investissement qui contribuent au rendement des investissements et prendre des mesures raisonnables pour exercer ces activités conformément aux obligations fiduciaires des BI et traiter tous leurs fournisseurs de fonds de manière appropriée et conformément aux termes et conditions de leurs accords d'investissement ;</w:t>
      </w:r>
    </w:p>
    <w:p w14:paraId="5B9577DE" w14:textId="77777777" w:rsidR="002760B2" w:rsidRPr="002B005F" w:rsidRDefault="002760B2" w:rsidP="00CB0FF1">
      <w:pPr>
        <w:pStyle w:val="Paragraphedeliste"/>
        <w:numPr>
          <w:ilvl w:val="0"/>
          <w:numId w:val="23"/>
        </w:numPr>
        <w:tabs>
          <w:tab w:val="left" w:pos="284"/>
          <w:tab w:val="left" w:pos="851"/>
          <w:tab w:val="left" w:pos="1134"/>
        </w:tabs>
        <w:autoSpaceDE w:val="0"/>
        <w:autoSpaceDN w:val="0"/>
        <w:adjustRightInd w:val="0"/>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La répartition des a</w:t>
      </w:r>
      <w:r w:rsidR="000F4546">
        <w:rPr>
          <w:rFonts w:ascii="Times New Roman" w:hAnsi="Times New Roman" w:cs="Times New Roman"/>
          <w:sz w:val="24"/>
          <w:szCs w:val="24"/>
        </w:rPr>
        <w:t>ctifs et des bénéfices entre la</w:t>
      </w:r>
      <w:r w:rsidRPr="002B005F">
        <w:rPr>
          <w:rFonts w:ascii="Times New Roman" w:hAnsi="Times New Roman" w:cs="Times New Roman"/>
          <w:sz w:val="24"/>
          <w:szCs w:val="24"/>
        </w:rPr>
        <w:t xml:space="preserve"> BI et les détenteurs de dépôts participatifs sera gérée et appliquée de manière appropriée aux détenteurs des dépôts participatifs ayant des fonds investis au cours de différentes périodes d'investissement ;</w:t>
      </w:r>
    </w:p>
    <w:p w14:paraId="102454B2" w14:textId="77777777" w:rsidR="002760B2" w:rsidRPr="002B005F" w:rsidRDefault="00433C51" w:rsidP="00CB0FF1">
      <w:pPr>
        <w:pStyle w:val="Paragraphedeliste"/>
        <w:numPr>
          <w:ilvl w:val="0"/>
          <w:numId w:val="23"/>
        </w:numPr>
        <w:tabs>
          <w:tab w:val="left" w:pos="284"/>
          <w:tab w:val="left" w:pos="851"/>
          <w:tab w:val="left" w:pos="1134"/>
        </w:tabs>
        <w:autoSpaceDE w:val="0"/>
        <w:autoSpaceDN w:val="0"/>
        <w:adjustRightInd w:val="0"/>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Et, l</w:t>
      </w:r>
      <w:r w:rsidR="002760B2" w:rsidRPr="002B005F">
        <w:rPr>
          <w:rFonts w:ascii="Times New Roman" w:hAnsi="Times New Roman" w:cs="Times New Roman"/>
          <w:sz w:val="24"/>
          <w:szCs w:val="24"/>
        </w:rPr>
        <w:t>imiter la transmission des risques entre les comptes courants et les comptes d'investissement.</w:t>
      </w:r>
    </w:p>
    <w:p w14:paraId="5CD1EA5B" w14:textId="77777777" w:rsidR="002760B2" w:rsidRPr="002B005F" w:rsidRDefault="000F4546" w:rsidP="004F69D7">
      <w:pPr>
        <w:tabs>
          <w:tab w:val="left" w:pos="0"/>
          <w:tab w:val="left" w:pos="284"/>
        </w:tabs>
        <w:autoSpaceDE w:val="0"/>
        <w:autoSpaceDN w:val="0"/>
        <w:adjustRightInd w:val="0"/>
        <w:spacing w:before="120" w:line="300" w:lineRule="auto"/>
        <w:ind w:firstLine="709"/>
        <w:rPr>
          <w:rFonts w:ascii="Times New Roman" w:hAnsi="Times New Roman" w:cs="Times New Roman"/>
          <w:sz w:val="24"/>
          <w:szCs w:val="24"/>
        </w:rPr>
      </w:pPr>
      <w:r>
        <w:rPr>
          <w:rFonts w:ascii="Times New Roman" w:hAnsi="Times New Roman" w:cs="Times New Roman"/>
          <w:sz w:val="24"/>
          <w:szCs w:val="24"/>
        </w:rPr>
        <w:t>D’ailleurs, la BI doi</w:t>
      </w:r>
      <w:r w:rsidR="002760B2" w:rsidRPr="002B005F">
        <w:rPr>
          <w:rFonts w:ascii="Times New Roman" w:hAnsi="Times New Roman" w:cs="Times New Roman"/>
          <w:sz w:val="24"/>
          <w:szCs w:val="24"/>
        </w:rPr>
        <w:t>t fournir des informations adé</w:t>
      </w:r>
      <w:r>
        <w:rPr>
          <w:rFonts w:ascii="Times New Roman" w:hAnsi="Times New Roman" w:cs="Times New Roman"/>
          <w:sz w:val="24"/>
          <w:szCs w:val="24"/>
        </w:rPr>
        <w:t>quates en temps opportun aux</w:t>
      </w:r>
      <w:r w:rsidR="002760B2" w:rsidRPr="002B005F">
        <w:rPr>
          <w:rFonts w:ascii="Times New Roman" w:hAnsi="Times New Roman" w:cs="Times New Roman"/>
          <w:sz w:val="24"/>
          <w:szCs w:val="24"/>
        </w:rPr>
        <w:t xml:space="preserve"> détenteurs de dépôts participatifs afin de fournir un</w:t>
      </w:r>
      <w:r>
        <w:rPr>
          <w:rFonts w:ascii="Times New Roman" w:hAnsi="Times New Roman" w:cs="Times New Roman"/>
          <w:sz w:val="24"/>
          <w:szCs w:val="24"/>
        </w:rPr>
        <w:t>e base fiable pour évaluer les profils de risque et la</w:t>
      </w:r>
      <w:r w:rsidR="002760B2" w:rsidRPr="002B005F">
        <w:rPr>
          <w:rFonts w:ascii="Times New Roman" w:hAnsi="Times New Roman" w:cs="Times New Roman"/>
          <w:sz w:val="24"/>
          <w:szCs w:val="24"/>
        </w:rPr>
        <w:t xml:space="preserve"> performance d'investissement.</w:t>
      </w:r>
    </w:p>
    <w:p w14:paraId="7C18A003" w14:textId="77777777" w:rsidR="002760B2" w:rsidRDefault="000E3AFB" w:rsidP="00AE23D2">
      <w:pPr>
        <w:pStyle w:val="Titre4"/>
        <w:keepNext w:val="0"/>
        <w:spacing w:before="100" w:beforeAutospacing="1" w:after="120" w:line="300" w:lineRule="auto"/>
        <w:ind w:firstLine="709"/>
      </w:pPr>
      <w:bookmarkStart w:id="1443" w:name="_Toc33263366"/>
      <w:bookmarkStart w:id="1444" w:name="_Toc37664629"/>
      <w:bookmarkStart w:id="1445" w:name="_Toc37666474"/>
      <w:bookmarkStart w:id="1446" w:name="_Toc54363371"/>
      <w:bookmarkStart w:id="1447" w:name="_Toc58606355"/>
      <w:bookmarkStart w:id="1448" w:name="_Toc61263560"/>
      <w:bookmarkStart w:id="1449" w:name="_Toc182298883"/>
      <w:r w:rsidRPr="002B005F">
        <w:t>3.2.4-</w:t>
      </w:r>
      <w:r w:rsidR="00433C51" w:rsidRPr="002B005F">
        <w:t xml:space="preserve"> </w:t>
      </w:r>
      <w:r w:rsidRPr="002B005F">
        <w:t>G</w:t>
      </w:r>
      <w:r w:rsidR="002760B2" w:rsidRPr="002B005F">
        <w:t>estion de risque d’investissement en actions</w:t>
      </w:r>
      <w:bookmarkEnd w:id="1443"/>
      <w:bookmarkEnd w:id="1444"/>
      <w:bookmarkEnd w:id="1445"/>
      <w:bookmarkEnd w:id="1446"/>
      <w:bookmarkEnd w:id="1447"/>
      <w:bookmarkEnd w:id="1448"/>
      <w:bookmarkEnd w:id="1449"/>
    </w:p>
    <w:p w14:paraId="57BF9610" w14:textId="77777777" w:rsidR="002760B2" w:rsidRPr="002B005F" w:rsidRDefault="002760B2" w:rsidP="00AE23D2">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Comme nous avons évoqué, ce risque est très important dans le cas des produits financiers participatifs. Donc, la BI doit prendre des mesures sévères pour atténuer ce risque. Elle devrait être préparée pour les retards et les variations dans les flux de trésorerie et doit faire face aux difficultés liées à la stratégie de sortie, bien que la répartition des bénéfices puisse être convenue d'avance. Les risques découlant de l'utilisation d'instruments de participation aux </w:t>
      </w:r>
      <w:r w:rsidRPr="002B005F">
        <w:rPr>
          <w:rFonts w:ascii="Times New Roman" w:hAnsi="Times New Roman" w:cs="Times New Roman"/>
          <w:sz w:val="24"/>
          <w:szCs w:val="24"/>
        </w:rPr>
        <w:lastRenderedPageBreak/>
        <w:t>bénéfices n'incluent pas le risque de crédit au sens conventionnel, mais partagent une caractéristique cruciale de risque de crédit en raison du risque de dépréciation du capital.</w:t>
      </w:r>
    </w:p>
    <w:p w14:paraId="6BECD121" w14:textId="5C515CDD" w:rsidR="002760B2" w:rsidRPr="002B005F" w:rsidRDefault="00AB0C0A" w:rsidP="002B012B">
      <w:pPr>
        <w:tabs>
          <w:tab w:val="left" w:pos="0"/>
        </w:tabs>
        <w:autoSpaceDE w:val="0"/>
        <w:autoSpaceDN w:val="0"/>
        <w:adjustRightInd w:val="0"/>
        <w:spacing w:before="120" w:line="300" w:lineRule="auto"/>
        <w:ind w:firstLine="709"/>
        <w:rPr>
          <w:rFonts w:ascii="Times New Roman" w:hAnsi="Times New Roman" w:cs="Times New Roman"/>
          <w:sz w:val="24"/>
          <w:szCs w:val="24"/>
        </w:rPr>
      </w:pPr>
      <w:r>
        <w:rPr>
          <w:rFonts w:ascii="Times New Roman" w:hAnsi="Times New Roman" w:cs="Times New Roman"/>
          <w:sz w:val="24"/>
          <w:szCs w:val="24"/>
        </w:rPr>
        <w:t>La</w:t>
      </w:r>
      <w:r w:rsidR="002760B2" w:rsidRPr="002B005F">
        <w:rPr>
          <w:rFonts w:ascii="Times New Roman" w:hAnsi="Times New Roman" w:cs="Times New Roman"/>
          <w:sz w:val="24"/>
          <w:szCs w:val="24"/>
        </w:rPr>
        <w:t xml:space="preserve"> </w:t>
      </w:r>
      <w:r>
        <w:rPr>
          <w:rFonts w:ascii="Times New Roman" w:hAnsi="Times New Roman" w:cs="Times New Roman"/>
          <w:sz w:val="24"/>
          <w:szCs w:val="24"/>
        </w:rPr>
        <w:t>banque islamique doi</w:t>
      </w:r>
      <w:r w:rsidR="002760B2" w:rsidRPr="002B005F">
        <w:rPr>
          <w:rFonts w:ascii="Times New Roman" w:hAnsi="Times New Roman" w:cs="Times New Roman"/>
          <w:sz w:val="24"/>
          <w:szCs w:val="24"/>
        </w:rPr>
        <w:t>t mettre en p</w:t>
      </w:r>
      <w:r w:rsidR="004A4E16" w:rsidRPr="002B005F">
        <w:rPr>
          <w:rFonts w:ascii="Times New Roman" w:hAnsi="Times New Roman" w:cs="Times New Roman"/>
          <w:sz w:val="24"/>
          <w:szCs w:val="24"/>
        </w:rPr>
        <w:t>lace des stratégies appropriées</w:t>
      </w:r>
      <w:r w:rsidR="002760B2" w:rsidRPr="002B005F">
        <w:rPr>
          <w:rFonts w:ascii="Times New Roman" w:hAnsi="Times New Roman" w:cs="Times New Roman"/>
          <w:sz w:val="24"/>
          <w:szCs w:val="24"/>
        </w:rPr>
        <w:t xml:space="preserve"> des processus de gestion des risques et des rapports en ce qui concerne les caractéristiques de risque des investissements en actions, y compris </w:t>
      </w:r>
      <w:r w:rsidR="004A4E16" w:rsidRPr="002B005F">
        <w:rPr>
          <w:rFonts w:ascii="Times New Roman" w:hAnsi="Times New Roman" w:cs="Times New Roman"/>
          <w:i/>
          <w:sz w:val="24"/>
          <w:szCs w:val="24"/>
        </w:rPr>
        <w:t>moudaraba</w:t>
      </w:r>
      <w:r w:rsidR="002760B2" w:rsidRPr="002B005F">
        <w:rPr>
          <w:rFonts w:ascii="Times New Roman" w:hAnsi="Times New Roman" w:cs="Times New Roman"/>
          <w:sz w:val="24"/>
          <w:szCs w:val="24"/>
        </w:rPr>
        <w:t xml:space="preserve"> et </w:t>
      </w:r>
      <w:r w:rsidR="002760B2" w:rsidRPr="002B005F">
        <w:rPr>
          <w:rFonts w:ascii="Times New Roman" w:hAnsi="Times New Roman" w:cs="Times New Roman"/>
          <w:i/>
          <w:iCs/>
          <w:sz w:val="24"/>
          <w:szCs w:val="24"/>
        </w:rPr>
        <w:t>moucharaka</w:t>
      </w:r>
      <w:r w:rsidR="004A4E16" w:rsidRPr="002B005F">
        <w:rPr>
          <w:rFonts w:ascii="Times New Roman" w:hAnsi="Times New Roman" w:cs="Times New Roman"/>
          <w:sz w:val="24"/>
          <w:szCs w:val="24"/>
        </w:rPr>
        <w:t xml:space="preserve"> (IFSB</w:t>
      </w:r>
      <w:r w:rsidR="005653E9">
        <w:rPr>
          <w:rFonts w:ascii="Times New Roman" w:hAnsi="Times New Roman" w:cs="Times New Roman"/>
          <w:sz w:val="24"/>
          <w:szCs w:val="24"/>
        </w:rPr>
        <w:t>,</w:t>
      </w:r>
      <w:r w:rsidR="004A4E16" w:rsidRPr="002B005F">
        <w:rPr>
          <w:rFonts w:ascii="Times New Roman" w:hAnsi="Times New Roman" w:cs="Times New Roman"/>
          <w:sz w:val="24"/>
          <w:szCs w:val="24"/>
        </w:rPr>
        <w:t xml:space="preserve"> 2005).</w:t>
      </w:r>
      <w:r w:rsidR="002B012B" w:rsidRPr="002B005F">
        <w:rPr>
          <w:rFonts w:ascii="Times New Roman" w:hAnsi="Times New Roman" w:cs="Times New Roman"/>
          <w:sz w:val="24"/>
          <w:szCs w:val="24"/>
        </w:rPr>
        <w:t xml:space="preserve"> </w:t>
      </w:r>
      <w:r>
        <w:rPr>
          <w:rFonts w:ascii="Times New Roman" w:hAnsi="Times New Roman" w:cs="Times New Roman"/>
          <w:sz w:val="24"/>
          <w:szCs w:val="24"/>
        </w:rPr>
        <w:t>Elle devrait s'assurer que ses</w:t>
      </w:r>
      <w:r w:rsidR="002760B2" w:rsidRPr="002B005F">
        <w:rPr>
          <w:rFonts w:ascii="Times New Roman" w:hAnsi="Times New Roman" w:cs="Times New Roman"/>
          <w:sz w:val="24"/>
          <w:szCs w:val="24"/>
        </w:rPr>
        <w:t xml:space="preserve"> méthodes d'évaluation sont appropriées et cohérentes, et évaluer</w:t>
      </w:r>
      <w:r w:rsidR="005B400E">
        <w:rPr>
          <w:rFonts w:ascii="Times New Roman" w:hAnsi="Times New Roman" w:cs="Times New Roman"/>
          <w:sz w:val="24"/>
          <w:szCs w:val="24"/>
        </w:rPr>
        <w:t xml:space="preserve"> les impacts potentiels de ces</w:t>
      </w:r>
      <w:r w:rsidR="002760B2" w:rsidRPr="002B005F">
        <w:rPr>
          <w:rFonts w:ascii="Times New Roman" w:hAnsi="Times New Roman" w:cs="Times New Roman"/>
          <w:sz w:val="24"/>
          <w:szCs w:val="24"/>
        </w:rPr>
        <w:t xml:space="preserve"> méthodes sur les le calcul des bénéfices et les allocations. Les méthodes doivent être mutuellement convenues entre la BI et les partenaires </w:t>
      </w:r>
      <w:r w:rsidR="004A4E16" w:rsidRPr="002B005F">
        <w:rPr>
          <w:rFonts w:ascii="Times New Roman" w:hAnsi="Times New Roman" w:cs="Times New Roman"/>
          <w:i/>
          <w:iCs/>
          <w:sz w:val="24"/>
          <w:szCs w:val="24"/>
        </w:rPr>
        <w:t>moudarib</w:t>
      </w:r>
      <w:r w:rsidR="004A4E16" w:rsidRPr="002B005F">
        <w:rPr>
          <w:rFonts w:ascii="Times New Roman" w:hAnsi="Times New Roman" w:cs="Times New Roman"/>
          <w:sz w:val="24"/>
          <w:szCs w:val="24"/>
        </w:rPr>
        <w:t xml:space="preserve"> et / ou </w:t>
      </w:r>
      <w:r w:rsidR="002760B2" w:rsidRPr="002B005F">
        <w:rPr>
          <w:rFonts w:ascii="Times New Roman" w:hAnsi="Times New Roman" w:cs="Times New Roman"/>
          <w:sz w:val="24"/>
          <w:szCs w:val="24"/>
        </w:rPr>
        <w:t xml:space="preserve">partenaire </w:t>
      </w:r>
      <w:r w:rsidR="002760B2" w:rsidRPr="002B005F">
        <w:rPr>
          <w:rFonts w:ascii="Times New Roman" w:hAnsi="Times New Roman" w:cs="Times New Roman"/>
          <w:i/>
          <w:iCs/>
          <w:sz w:val="24"/>
          <w:szCs w:val="24"/>
        </w:rPr>
        <w:t>moucharaka</w:t>
      </w:r>
      <w:r w:rsidR="002760B2" w:rsidRPr="002B005F">
        <w:rPr>
          <w:rFonts w:ascii="Times New Roman" w:hAnsi="Times New Roman" w:cs="Times New Roman"/>
          <w:sz w:val="24"/>
          <w:szCs w:val="24"/>
        </w:rPr>
        <w:t xml:space="preserve">. La BI devrait également définir et établir les stratégies de sortie concernant ses activités d'investissement en actions, y compris les conditions de prolongation et de rachat des investissements </w:t>
      </w:r>
      <w:r w:rsidR="004A4E16" w:rsidRPr="002B005F">
        <w:rPr>
          <w:rFonts w:ascii="Times New Roman" w:hAnsi="Times New Roman" w:cs="Times New Roman"/>
          <w:i/>
          <w:sz w:val="24"/>
          <w:szCs w:val="24"/>
        </w:rPr>
        <w:t>moudaraba</w:t>
      </w:r>
      <w:r w:rsidR="002760B2" w:rsidRPr="002B005F">
        <w:rPr>
          <w:rFonts w:ascii="Times New Roman" w:hAnsi="Times New Roman" w:cs="Times New Roman"/>
          <w:sz w:val="24"/>
          <w:szCs w:val="24"/>
        </w:rPr>
        <w:t xml:space="preserve"> et </w:t>
      </w:r>
      <w:r w:rsidR="002760B2" w:rsidRPr="002B005F">
        <w:rPr>
          <w:rFonts w:ascii="Times New Roman" w:hAnsi="Times New Roman" w:cs="Times New Roman"/>
          <w:i/>
          <w:iCs/>
          <w:sz w:val="24"/>
          <w:szCs w:val="24"/>
        </w:rPr>
        <w:t>moucharaka</w:t>
      </w:r>
      <w:r w:rsidR="002760B2" w:rsidRPr="002B005F">
        <w:rPr>
          <w:rFonts w:ascii="Times New Roman" w:hAnsi="Times New Roman" w:cs="Times New Roman"/>
          <w:sz w:val="24"/>
          <w:szCs w:val="24"/>
        </w:rPr>
        <w:t xml:space="preserve">, sous réserve de l'approbation du Conseil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2B005F">
        <w:rPr>
          <w:rFonts w:ascii="Times New Roman" w:hAnsi="Times New Roman" w:cs="Times New Roman"/>
          <w:sz w:val="24"/>
          <w:szCs w:val="24"/>
        </w:rPr>
        <w:t xml:space="preserve"> </w:t>
      </w:r>
      <w:r w:rsidR="002760B2" w:rsidRPr="002B005F">
        <w:rPr>
          <w:rFonts w:ascii="Times New Roman" w:hAnsi="Times New Roman" w:cs="Times New Roman"/>
          <w:sz w:val="24"/>
          <w:szCs w:val="24"/>
        </w:rPr>
        <w:t>de l'institution (IFSB</w:t>
      </w:r>
      <w:r w:rsidR="00FC2B82" w:rsidRPr="002B005F">
        <w:rPr>
          <w:rFonts w:ascii="Times New Roman" w:hAnsi="Times New Roman" w:cs="Times New Roman"/>
          <w:sz w:val="24"/>
          <w:szCs w:val="24"/>
        </w:rPr>
        <w:t> :</w:t>
      </w:r>
      <w:r w:rsidR="002760B2" w:rsidRPr="002B005F">
        <w:rPr>
          <w:rFonts w:ascii="Times New Roman" w:hAnsi="Times New Roman" w:cs="Times New Roman"/>
          <w:sz w:val="24"/>
          <w:szCs w:val="24"/>
        </w:rPr>
        <w:t xml:space="preserve"> 2005).</w:t>
      </w:r>
    </w:p>
    <w:p w14:paraId="771FDFB6" w14:textId="77777777" w:rsidR="002760B2" w:rsidRPr="002B005F" w:rsidRDefault="002760B2" w:rsidP="00E02EEC">
      <w:pPr>
        <w:tabs>
          <w:tab w:val="left" w:pos="0"/>
          <w:tab w:val="left" w:pos="851"/>
          <w:tab w:val="left" w:pos="993"/>
        </w:tabs>
        <w:autoSpaceDE w:val="0"/>
        <w:autoSpaceDN w:val="0"/>
        <w:adjustRightInd w:val="0"/>
        <w:spacing w:before="120" w:line="300" w:lineRule="auto"/>
        <w:ind w:firstLine="709"/>
        <w:rPr>
          <w:rFonts w:ascii="Times New Roman" w:hAnsi="Times New Roman" w:cs="Times New Roman"/>
          <w:b/>
          <w:bCs/>
          <w:sz w:val="24"/>
          <w:szCs w:val="24"/>
        </w:rPr>
      </w:pPr>
      <w:r w:rsidRPr="00BA681D">
        <w:rPr>
          <w:rFonts w:ascii="Times New Roman" w:hAnsi="Times New Roman" w:cs="Times New Roman"/>
          <w:b/>
          <w:bCs/>
          <w:sz w:val="24"/>
          <w:szCs w:val="24"/>
        </w:rPr>
        <w:t xml:space="preserve">Comment </w:t>
      </w:r>
      <w:r w:rsidR="00BA681D" w:rsidRPr="00BA681D">
        <w:rPr>
          <w:rFonts w:ascii="Times New Roman" w:hAnsi="Times New Roman" w:cs="Times New Roman"/>
          <w:b/>
          <w:bCs/>
          <w:sz w:val="24"/>
          <w:szCs w:val="24"/>
        </w:rPr>
        <w:t>gérer</w:t>
      </w:r>
      <w:r w:rsidRPr="00BA681D">
        <w:rPr>
          <w:rFonts w:ascii="Times New Roman" w:hAnsi="Times New Roman" w:cs="Times New Roman"/>
          <w:b/>
          <w:bCs/>
          <w:sz w:val="24"/>
          <w:szCs w:val="24"/>
        </w:rPr>
        <w:t xml:space="preserve"> le risque d'investissement en actions ?</w:t>
      </w:r>
    </w:p>
    <w:p w14:paraId="1CD64BB8" w14:textId="77777777" w:rsidR="002760B2" w:rsidRPr="002B005F" w:rsidRDefault="002760B2" w:rsidP="0032661C">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BI doit définir et fixer les objectifs et les critères des investissements en utilisant des instruments de participation aux bénéfices, y compris les types d'investissement, la tolérance au risque, les rendements attendus et les périodes de détention souhaitées.</w:t>
      </w:r>
    </w:p>
    <w:p w14:paraId="64239C65" w14:textId="16A3AEAE"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BI doit avoir, de temps à autre, des politiques, des procédures et des structures de gestion appropriées. Elles devraient veiller à ce que les infrastructures et les capacités appropriées soient en place, y compris l'évaluation de la conformité à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 des réunions périodiques avec les partenaires et des réunions d'enregistrement appropriées.</w:t>
      </w:r>
    </w:p>
    <w:p w14:paraId="4533C4A1" w14:textId="2A5B54F2"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BI </w:t>
      </w:r>
      <w:r w:rsidR="00FC2B82" w:rsidRPr="002B005F">
        <w:rPr>
          <w:rFonts w:ascii="Times New Roman" w:hAnsi="Times New Roman" w:cs="Times New Roman"/>
          <w:sz w:val="24"/>
          <w:szCs w:val="24"/>
        </w:rPr>
        <w:t>doit identifier</w:t>
      </w:r>
      <w:r w:rsidRPr="002B005F">
        <w:rPr>
          <w:rFonts w:ascii="Times New Roman" w:hAnsi="Times New Roman" w:cs="Times New Roman"/>
          <w:sz w:val="24"/>
          <w:szCs w:val="24"/>
        </w:rPr>
        <w:t xml:space="preserve"> et surveiller la transformation des risques sur les différents stades du cycle de vie des investissements. Parce </w:t>
      </w:r>
      <w:r w:rsidR="00FC2B82" w:rsidRPr="002B005F">
        <w:rPr>
          <w:rFonts w:ascii="Times New Roman" w:hAnsi="Times New Roman" w:cs="Times New Roman"/>
          <w:sz w:val="24"/>
          <w:szCs w:val="24"/>
        </w:rPr>
        <w:t>que les</w:t>
      </w:r>
      <w:r w:rsidRPr="002B005F">
        <w:rPr>
          <w:rFonts w:ascii="Times New Roman" w:hAnsi="Times New Roman" w:cs="Times New Roman"/>
          <w:sz w:val="24"/>
          <w:szCs w:val="24"/>
        </w:rPr>
        <w:t xml:space="preserve"> différentes étapes peuvent donner des risques différents. La BI utilisera des techniques d'atténuation des risques conformes à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 xml:space="preserve">, y compris l'utilisation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2B005F">
        <w:rPr>
          <w:rFonts w:ascii="Times New Roman" w:hAnsi="Times New Roman" w:cs="Times New Roman"/>
          <w:sz w:val="24"/>
          <w:szCs w:val="24"/>
        </w:rPr>
        <w:t xml:space="preserve"> </w:t>
      </w:r>
      <w:r w:rsidRPr="002B005F">
        <w:rPr>
          <w:rFonts w:ascii="Times New Roman" w:hAnsi="Times New Roman" w:cs="Times New Roman"/>
          <w:sz w:val="24"/>
          <w:szCs w:val="24"/>
        </w:rPr>
        <w:t>autorisée par le partenaire.</w:t>
      </w:r>
      <w:r w:rsidR="00FC2B82" w:rsidRPr="002B005F">
        <w:rPr>
          <w:rFonts w:ascii="Times New Roman" w:hAnsi="Times New Roman" w:cs="Times New Roman"/>
          <w:sz w:val="24"/>
          <w:szCs w:val="24"/>
        </w:rPr>
        <w:t xml:space="preserve"> </w:t>
      </w:r>
      <w:r w:rsidRPr="002B005F">
        <w:rPr>
          <w:rFonts w:ascii="Times New Roman" w:hAnsi="Times New Roman" w:cs="Times New Roman"/>
          <w:sz w:val="24"/>
          <w:szCs w:val="24"/>
        </w:rPr>
        <w:t>La BI doit avoir des parties indépendantes si nécessaire pour effectuer des audits et des évaluations des investissements.</w:t>
      </w:r>
    </w:p>
    <w:p w14:paraId="6E0B2A94" w14:textId="77777777" w:rsidR="002760B2" w:rsidRDefault="000F4546"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Pr>
          <w:rFonts w:ascii="Times New Roman" w:hAnsi="Times New Roman" w:cs="Times New Roman"/>
          <w:sz w:val="24"/>
          <w:szCs w:val="24"/>
        </w:rPr>
        <w:t>La BI établi</w:t>
      </w:r>
      <w:r w:rsidR="002760B2" w:rsidRPr="002B005F">
        <w:rPr>
          <w:rFonts w:ascii="Times New Roman" w:hAnsi="Times New Roman" w:cs="Times New Roman"/>
          <w:sz w:val="24"/>
          <w:szCs w:val="24"/>
        </w:rPr>
        <w:t>t les critères applicables aux stratégies de sortie, y compris le remboursement des participations et la cession des investissements moins performants. Les critères peuvent inclure d'autres itinéraires de sortie et le moment de la sortie. En cas de pertes lorsque des perspectives commerciales améliorées existent, la BI peut indiquer une période d'extension de l'investissement. La BI convient avec le partenaire d'investissement des méthodes de traitement des bénéfices non distribués par l'entité détenue.</w:t>
      </w:r>
    </w:p>
    <w:p w14:paraId="3D6D64A7" w14:textId="77777777" w:rsidR="00011D33" w:rsidRDefault="00011D33">
      <w:pPr>
        <w:rPr>
          <w:rFonts w:ascii="Times New Roman" w:hAnsi="Times New Roman" w:cs="Times New Roman"/>
          <w:sz w:val="24"/>
          <w:szCs w:val="24"/>
        </w:rPr>
      </w:pPr>
      <w:r>
        <w:rPr>
          <w:rFonts w:ascii="Times New Roman" w:hAnsi="Times New Roman" w:cs="Times New Roman"/>
          <w:sz w:val="24"/>
          <w:szCs w:val="24"/>
        </w:rPr>
        <w:br w:type="page"/>
      </w:r>
    </w:p>
    <w:p w14:paraId="28BB424C" w14:textId="77777777" w:rsidR="002760B2" w:rsidRPr="00B01C46" w:rsidRDefault="002760B2" w:rsidP="00B01C46">
      <w:pPr>
        <w:pStyle w:val="Titre2"/>
        <w:spacing w:before="0" w:after="100" w:afterAutospacing="1" w:line="276" w:lineRule="auto"/>
        <w:ind w:firstLine="709"/>
        <w:rPr>
          <w:i w:val="0"/>
          <w:iCs w:val="0"/>
          <w:sz w:val="28"/>
        </w:rPr>
      </w:pPr>
      <w:bookmarkStart w:id="1450" w:name="_Toc33263367"/>
      <w:bookmarkStart w:id="1451" w:name="_Toc33264123"/>
      <w:bookmarkStart w:id="1452" w:name="_Toc37664630"/>
      <w:bookmarkStart w:id="1453" w:name="_Toc37666475"/>
      <w:bookmarkStart w:id="1454" w:name="_Toc37667325"/>
      <w:bookmarkStart w:id="1455" w:name="_Toc54361035"/>
      <w:bookmarkStart w:id="1456" w:name="_Toc54361683"/>
      <w:bookmarkStart w:id="1457" w:name="_Toc54363372"/>
      <w:bookmarkStart w:id="1458" w:name="_Toc57901033"/>
      <w:bookmarkStart w:id="1459" w:name="_Toc58261934"/>
      <w:bookmarkStart w:id="1460" w:name="_Toc58606356"/>
      <w:bookmarkStart w:id="1461" w:name="_Toc61263561"/>
      <w:bookmarkStart w:id="1462" w:name="_Toc116257070"/>
      <w:bookmarkStart w:id="1463" w:name="_Toc182298884"/>
      <w:bookmarkStart w:id="1464" w:name="_Toc182309393"/>
      <w:r w:rsidRPr="00B01C46">
        <w:rPr>
          <w:i w:val="0"/>
          <w:iCs w:val="0"/>
          <w:sz w:val="28"/>
        </w:rPr>
        <w:lastRenderedPageBreak/>
        <w:t>Conclusion</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32EB191B" w14:textId="77777777" w:rsidR="002760B2" w:rsidRPr="002B005F" w:rsidRDefault="002760B2" w:rsidP="004853E0">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Les produits financiers </w:t>
      </w:r>
      <w:r w:rsidR="00A547BD"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participatifs représentent le moteur de l’activité bancaire </w:t>
      </w:r>
      <w:r w:rsidR="00A547BD"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et leur développement potentiel. Cependant, ces produits exposent les banques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à des risques spécifiques très difficiles à gérer ce qui poussent ces dernières à recourir aux produits financiers à revenu fixe pour éviter les problèmes liés aux projets financés sous les formes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et/ou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w:t>
      </w:r>
      <w:r w:rsidR="004853E0" w:rsidRPr="002B005F">
        <w:rPr>
          <w:rFonts w:ascii="Times New Roman" w:hAnsi="Times New Roman" w:cs="Times New Roman"/>
          <w:sz w:val="24"/>
          <w:szCs w:val="24"/>
        </w:rPr>
        <w:t xml:space="preserve"> </w:t>
      </w:r>
      <w:r w:rsidRPr="002B005F">
        <w:rPr>
          <w:rFonts w:ascii="Times New Roman" w:hAnsi="Times New Roman" w:cs="Times New Roman"/>
          <w:sz w:val="24"/>
          <w:szCs w:val="24"/>
        </w:rPr>
        <w:t>Le rôle de la gestion des risques, particulière</w:t>
      </w:r>
      <w:r w:rsidR="004853E0" w:rsidRPr="002B005F">
        <w:rPr>
          <w:rFonts w:ascii="Times New Roman" w:hAnsi="Times New Roman" w:cs="Times New Roman"/>
          <w:sz w:val="24"/>
          <w:szCs w:val="24"/>
        </w:rPr>
        <w:t>ment</w:t>
      </w:r>
      <w:r w:rsidRPr="002B005F">
        <w:rPr>
          <w:rFonts w:ascii="Times New Roman" w:hAnsi="Times New Roman" w:cs="Times New Roman"/>
          <w:sz w:val="24"/>
          <w:szCs w:val="24"/>
        </w:rPr>
        <w:t xml:space="preserve"> lié à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et à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peut apporter des solutions à ce problème. Il peut orienter les banques </w:t>
      </w:r>
      <w:r w:rsidR="004853E0" w:rsidRPr="002B005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à la manière de gérer les risques liés aux contrats basés sur le partage des profits et des pertes et les motiveront à participer davantage à ces contrats, particulièrement du coté de leurs actifs.</w:t>
      </w:r>
    </w:p>
    <w:p w14:paraId="002EDCD5" w14:textId="222EA7F2" w:rsidR="002760B2" w:rsidRPr="002B005F" w:rsidRDefault="002760B2" w:rsidP="004F69D7">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première section de ce chapitre était destinée à l’étude du contexte </w:t>
      </w:r>
      <w:r w:rsidR="00DB4926" w:rsidRPr="00DB4926">
        <w:rPr>
          <w:rFonts w:ascii="Times New Roman" w:hAnsi="Times New Roman" w:cs="Times New Roman"/>
          <w:iCs/>
          <w:spacing w:val="4"/>
          <w:sz w:val="24"/>
          <w:szCs w:val="24"/>
        </w:rPr>
        <w:t>c</w:t>
      </w:r>
      <w:r w:rsidR="00A5400B" w:rsidRPr="00DB4926">
        <w:rPr>
          <w:rFonts w:ascii="Times New Roman" w:hAnsi="Times New Roman" w:cs="Times New Roman"/>
          <w:iCs/>
          <w:spacing w:val="4"/>
          <w:sz w:val="24"/>
          <w:szCs w:val="24"/>
        </w:rPr>
        <w:t>haria</w:t>
      </w:r>
      <w:r w:rsidRPr="00DB4926">
        <w:rPr>
          <w:rFonts w:ascii="Times New Roman" w:hAnsi="Times New Roman" w:cs="Times New Roman"/>
          <w:iCs/>
          <w:sz w:val="24"/>
          <w:szCs w:val="24"/>
        </w:rPr>
        <w:t>tique</w:t>
      </w:r>
      <w:r w:rsidRPr="002B005F">
        <w:rPr>
          <w:rFonts w:ascii="Times New Roman" w:hAnsi="Times New Roman" w:cs="Times New Roman"/>
          <w:sz w:val="24"/>
          <w:szCs w:val="24"/>
        </w:rPr>
        <w:t xml:space="preserve"> et les différents concepts liés aux produits financiers participatifs pour pouvoir comprendre leurs caractéristiques. Ensuite, nous avons passé, dans la deuxième section à l’analyse des pratiques actuelles des BI et les différents problèmes qui freinent les BI et les poussent à éviter la </w:t>
      </w:r>
      <w:r w:rsidRPr="002B005F">
        <w:rPr>
          <w:rFonts w:ascii="Times New Roman" w:hAnsi="Times New Roman" w:cs="Times New Roman"/>
          <w:i/>
          <w:iCs/>
          <w:sz w:val="24"/>
          <w:szCs w:val="24"/>
        </w:rPr>
        <w:t>moucharaka</w:t>
      </w:r>
      <w:r w:rsidRPr="002B005F">
        <w:rPr>
          <w:rFonts w:ascii="Times New Roman" w:hAnsi="Times New Roman" w:cs="Times New Roman"/>
          <w:sz w:val="24"/>
          <w:szCs w:val="24"/>
        </w:rPr>
        <w:t xml:space="preserve"> et la </w:t>
      </w:r>
      <w:r w:rsidR="004A4E16" w:rsidRPr="002B005F">
        <w:rPr>
          <w:rFonts w:ascii="Times New Roman" w:hAnsi="Times New Roman" w:cs="Times New Roman"/>
          <w:i/>
          <w:sz w:val="24"/>
          <w:szCs w:val="24"/>
        </w:rPr>
        <w:t>moudaraba</w:t>
      </w:r>
      <w:r w:rsidRPr="002B005F">
        <w:rPr>
          <w:rFonts w:ascii="Times New Roman" w:hAnsi="Times New Roman" w:cs="Times New Roman"/>
          <w:sz w:val="24"/>
          <w:szCs w:val="24"/>
        </w:rPr>
        <w:t xml:space="preserve">. </w:t>
      </w:r>
    </w:p>
    <w:p w14:paraId="20DA7773" w14:textId="77777777" w:rsidR="00011D33" w:rsidRDefault="002760B2" w:rsidP="004E42A8">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Nous avons pu dégager les principaux risques engendrés par ces deux contrats et qui sont principalement : le risque de crédit, le risque commercial déplacé, le risque d’investissement en actions et le risque fiduciaire. Dans la dernière section, nous avons tenté de fournir quelques solutions pour encourager les BI à utiliser les modes participatifs à travers les techniques de gestion des risques mentionnés ci-dessus.</w:t>
      </w:r>
    </w:p>
    <w:p w14:paraId="3A5E102B" w14:textId="77777777" w:rsidR="0069735E" w:rsidRPr="002B005F" w:rsidRDefault="0069735E" w:rsidP="004E42A8">
      <w:pPr>
        <w:tabs>
          <w:tab w:val="left" w:pos="0"/>
        </w:tabs>
        <w:autoSpaceDE w:val="0"/>
        <w:autoSpaceDN w:val="0"/>
        <w:adjustRightInd w:val="0"/>
        <w:spacing w:before="120" w:line="300" w:lineRule="auto"/>
        <w:ind w:firstLine="709"/>
        <w:rPr>
          <w:rFonts w:ascii="Times New Roman" w:hAnsi="Times New Roman" w:cs="Times New Roman"/>
          <w:b/>
          <w:bCs/>
          <w:smallCaps/>
          <w:sz w:val="28"/>
          <w:szCs w:val="28"/>
        </w:rPr>
      </w:pPr>
      <w:bookmarkStart w:id="1465" w:name="_Toc33263368"/>
      <w:bookmarkStart w:id="1466" w:name="_Toc33264124"/>
      <w:bookmarkStart w:id="1467" w:name="_Toc37664631"/>
      <w:bookmarkStart w:id="1468" w:name="_Toc37666476"/>
      <w:bookmarkStart w:id="1469" w:name="_Toc37667326"/>
      <w:bookmarkStart w:id="1470" w:name="_Toc54361036"/>
      <w:bookmarkStart w:id="1471" w:name="_Toc54361684"/>
      <w:bookmarkStart w:id="1472" w:name="_Toc54363373"/>
      <w:bookmarkStart w:id="1473" w:name="_Toc57901034"/>
      <w:bookmarkStart w:id="1474" w:name="_Toc58261935"/>
      <w:bookmarkStart w:id="1475" w:name="_Toc58606357"/>
      <w:bookmarkStart w:id="1476" w:name="_Toc61263562"/>
    </w:p>
    <w:p w14:paraId="49172E87" w14:textId="77777777" w:rsidR="00A939F5" w:rsidRDefault="00A939F5" w:rsidP="005375A2">
      <w:pPr>
        <w:spacing w:before="120" w:after="120" w:line="360" w:lineRule="auto"/>
        <w:jc w:val="center"/>
        <w:rPr>
          <w:rFonts w:ascii="Times New Roman" w:hAnsi="Times New Roman" w:cs="Times New Roman"/>
          <w:b/>
          <w:bCs/>
          <w:smallCaps/>
          <w:sz w:val="24"/>
          <w:szCs w:val="24"/>
        </w:rPr>
        <w:sectPr w:rsidR="00A939F5" w:rsidSect="003010C3">
          <w:footerReference w:type="default" r:id="rId62"/>
          <w:footerReference w:type="first" r:id="rId63"/>
          <w:footnotePr>
            <w:numRestart w:val="eachPage"/>
          </w:footnotePr>
          <w:pgSz w:w="11906" w:h="16838" w:code="9"/>
          <w:pgMar w:top="1134" w:right="1134" w:bottom="1134" w:left="1134" w:header="709" w:footer="709" w:gutter="567"/>
          <w:pgNumType w:start="141"/>
          <w:cols w:space="708"/>
          <w:docGrid w:linePitch="360"/>
        </w:sectPr>
      </w:pPr>
    </w:p>
    <w:p w14:paraId="1960CCAF" w14:textId="77777777" w:rsidR="00D83E25" w:rsidRPr="002B005F" w:rsidRDefault="00D83E25" w:rsidP="005375A2">
      <w:pPr>
        <w:spacing w:before="120" w:after="120" w:line="360" w:lineRule="auto"/>
        <w:jc w:val="center"/>
        <w:rPr>
          <w:rFonts w:ascii="Times New Roman" w:hAnsi="Times New Roman" w:cs="Times New Roman"/>
          <w:b/>
          <w:bCs/>
          <w:smallCaps/>
          <w:sz w:val="24"/>
          <w:szCs w:val="24"/>
        </w:rPr>
      </w:pPr>
    </w:p>
    <w:p w14:paraId="31990EAC" w14:textId="77777777" w:rsidR="00D83E25" w:rsidRPr="002B005F" w:rsidRDefault="00D83E25" w:rsidP="005375A2">
      <w:pPr>
        <w:spacing w:before="120" w:after="120" w:line="360" w:lineRule="auto"/>
        <w:jc w:val="center"/>
        <w:rPr>
          <w:rFonts w:ascii="Times New Roman" w:hAnsi="Times New Roman" w:cs="Times New Roman"/>
          <w:b/>
          <w:bCs/>
          <w:smallCaps/>
          <w:sz w:val="24"/>
          <w:szCs w:val="24"/>
        </w:rPr>
      </w:pPr>
    </w:p>
    <w:p w14:paraId="57D49FB2" w14:textId="77777777" w:rsidR="00D83E25" w:rsidRPr="002B005F" w:rsidRDefault="00D83E25" w:rsidP="005375A2">
      <w:pPr>
        <w:spacing w:before="120" w:after="120" w:line="360" w:lineRule="auto"/>
        <w:jc w:val="center"/>
        <w:rPr>
          <w:rFonts w:ascii="Times New Roman" w:hAnsi="Times New Roman" w:cs="Times New Roman"/>
          <w:b/>
          <w:bCs/>
          <w:smallCaps/>
          <w:sz w:val="24"/>
          <w:szCs w:val="24"/>
        </w:rPr>
      </w:pPr>
    </w:p>
    <w:p w14:paraId="664F100F" w14:textId="77777777" w:rsidR="005375A2" w:rsidRPr="002B005F" w:rsidRDefault="005375A2" w:rsidP="005375A2">
      <w:pPr>
        <w:spacing w:before="120" w:after="120" w:line="360" w:lineRule="auto"/>
        <w:jc w:val="center"/>
        <w:rPr>
          <w:rFonts w:ascii="Times New Roman" w:hAnsi="Times New Roman" w:cs="Times New Roman"/>
          <w:smallCaps/>
          <w:spacing w:val="10"/>
          <w:sz w:val="32"/>
          <w:szCs w:val="32"/>
        </w:rPr>
      </w:pPr>
    </w:p>
    <w:p w14:paraId="022805FD" w14:textId="77777777" w:rsidR="005375A2" w:rsidRPr="002B005F" w:rsidRDefault="005375A2" w:rsidP="005375A2">
      <w:pPr>
        <w:spacing w:before="120" w:after="120" w:line="360" w:lineRule="auto"/>
        <w:jc w:val="center"/>
        <w:rPr>
          <w:rFonts w:ascii="Times New Roman" w:hAnsi="Times New Roman" w:cs="Times New Roman"/>
          <w:smallCaps/>
          <w:spacing w:val="10"/>
          <w:sz w:val="32"/>
          <w:szCs w:val="32"/>
        </w:rPr>
      </w:pPr>
    </w:p>
    <w:p w14:paraId="547A7C06" w14:textId="77777777" w:rsidR="005375A2" w:rsidRDefault="005375A2" w:rsidP="005375A2">
      <w:pPr>
        <w:spacing w:before="120" w:after="120" w:line="360" w:lineRule="auto"/>
        <w:jc w:val="center"/>
        <w:rPr>
          <w:rFonts w:ascii="Times New Roman" w:hAnsi="Times New Roman" w:cs="Times New Roman"/>
          <w:smallCaps/>
          <w:spacing w:val="10"/>
          <w:sz w:val="32"/>
          <w:szCs w:val="32"/>
        </w:rPr>
      </w:pPr>
    </w:p>
    <w:p w14:paraId="79F4C619" w14:textId="77777777" w:rsidR="00C3220C" w:rsidRPr="002B005F" w:rsidRDefault="00C3220C" w:rsidP="005375A2">
      <w:pPr>
        <w:spacing w:before="120" w:after="120" w:line="360" w:lineRule="auto"/>
        <w:jc w:val="center"/>
        <w:rPr>
          <w:rFonts w:ascii="Times New Roman" w:hAnsi="Times New Roman" w:cs="Times New Roman"/>
          <w:smallCaps/>
          <w:spacing w:val="10"/>
          <w:sz w:val="32"/>
          <w:szCs w:val="32"/>
        </w:rPr>
      </w:pPr>
    </w:p>
    <w:p w14:paraId="38EB23FD" w14:textId="77777777" w:rsidR="007B64B9" w:rsidRPr="0069735E" w:rsidRDefault="00FC4C19" w:rsidP="0069735E">
      <w:pPr>
        <w:spacing w:after="120" w:line="360" w:lineRule="auto"/>
        <w:jc w:val="center"/>
        <w:rPr>
          <w:rFonts w:asciiTheme="majorBidi" w:hAnsiTheme="majorBidi" w:cstheme="majorBidi"/>
          <w:b/>
          <w:bCs/>
          <w:smallCaps/>
          <w:spacing w:val="40"/>
          <w:sz w:val="48"/>
          <w:szCs w:val="48"/>
        </w:rPr>
      </w:pPr>
      <w:r w:rsidRPr="0069735E">
        <w:rPr>
          <w:rFonts w:asciiTheme="majorBidi" w:hAnsiTheme="majorBidi" w:cstheme="majorBidi"/>
          <w:b/>
          <w:bCs/>
          <w:smallCaps/>
          <w:spacing w:val="40"/>
          <w:sz w:val="48"/>
          <w:szCs w:val="48"/>
        </w:rPr>
        <w:t>Chapitre IV</w:t>
      </w:r>
      <w:bookmarkEnd w:id="1465"/>
      <w:bookmarkEnd w:id="1466"/>
      <w:bookmarkEnd w:id="1467"/>
      <w:bookmarkEnd w:id="1468"/>
      <w:bookmarkEnd w:id="1469"/>
      <w:bookmarkEnd w:id="1470"/>
      <w:bookmarkEnd w:id="1471"/>
      <w:bookmarkEnd w:id="1472"/>
      <w:r w:rsidR="00C239A1" w:rsidRPr="0069735E">
        <w:rPr>
          <w:rFonts w:asciiTheme="majorBidi" w:hAnsiTheme="majorBidi" w:cstheme="majorBidi"/>
          <w:b/>
          <w:bCs/>
          <w:smallCaps/>
          <w:spacing w:val="40"/>
          <w:sz w:val="48"/>
          <w:szCs w:val="48"/>
        </w:rPr>
        <w:t>-</w:t>
      </w:r>
    </w:p>
    <w:p w14:paraId="3E60AEB5" w14:textId="006490A3" w:rsidR="00FC4C19" w:rsidRPr="0069735E" w:rsidRDefault="009C3125" w:rsidP="0069735E">
      <w:pPr>
        <w:spacing w:after="120" w:line="360" w:lineRule="auto"/>
        <w:jc w:val="center"/>
        <w:rPr>
          <w:rFonts w:asciiTheme="majorBidi" w:hAnsiTheme="majorBidi" w:cstheme="majorBidi"/>
          <w:b/>
          <w:bCs/>
          <w:smallCaps/>
          <w:spacing w:val="40"/>
          <w:sz w:val="48"/>
          <w:szCs w:val="48"/>
        </w:rPr>
      </w:pPr>
      <w:r w:rsidRPr="0069735E">
        <w:rPr>
          <w:rFonts w:asciiTheme="majorBidi" w:hAnsiTheme="majorBidi" w:cstheme="majorBidi"/>
          <w:b/>
          <w:bCs/>
          <w:smallCaps/>
          <w:spacing w:val="40"/>
          <w:sz w:val="48"/>
          <w:szCs w:val="48"/>
        </w:rPr>
        <w:t xml:space="preserve">Etude empirique </w:t>
      </w:r>
      <w:r w:rsidR="00284C2B" w:rsidRPr="0069735E">
        <w:rPr>
          <w:rFonts w:asciiTheme="majorBidi" w:hAnsiTheme="majorBidi" w:cstheme="majorBidi"/>
          <w:b/>
          <w:bCs/>
          <w:smallCaps/>
          <w:spacing w:val="40"/>
          <w:sz w:val="48"/>
          <w:szCs w:val="48"/>
        </w:rPr>
        <w:t xml:space="preserve">sur les </w:t>
      </w:r>
      <w:r w:rsidRPr="0069735E">
        <w:rPr>
          <w:rFonts w:asciiTheme="majorBidi" w:hAnsiTheme="majorBidi" w:cstheme="majorBidi"/>
          <w:b/>
          <w:bCs/>
          <w:smallCaps/>
          <w:spacing w:val="40"/>
          <w:sz w:val="48"/>
          <w:szCs w:val="48"/>
        </w:rPr>
        <w:t>in</w:t>
      </w:r>
      <w:r w:rsidR="00A44124" w:rsidRPr="0069735E">
        <w:rPr>
          <w:rFonts w:asciiTheme="majorBidi" w:hAnsiTheme="majorBidi" w:cstheme="majorBidi"/>
          <w:b/>
          <w:bCs/>
          <w:smallCaps/>
          <w:spacing w:val="40"/>
          <w:sz w:val="48"/>
          <w:szCs w:val="48"/>
        </w:rPr>
        <w:t>s</w:t>
      </w:r>
      <w:r w:rsidRPr="0069735E">
        <w:rPr>
          <w:rFonts w:asciiTheme="majorBidi" w:hAnsiTheme="majorBidi" w:cstheme="majorBidi"/>
          <w:b/>
          <w:bCs/>
          <w:smallCaps/>
          <w:spacing w:val="40"/>
          <w:sz w:val="48"/>
          <w:szCs w:val="48"/>
        </w:rPr>
        <w:t xml:space="preserve">truments financiers </w:t>
      </w:r>
      <w:r w:rsidR="00FC4C19" w:rsidRPr="0069735E">
        <w:rPr>
          <w:rFonts w:asciiTheme="majorBidi" w:hAnsiTheme="majorBidi" w:cstheme="majorBidi"/>
          <w:b/>
          <w:bCs/>
          <w:smallCaps/>
          <w:spacing w:val="40"/>
          <w:sz w:val="48"/>
          <w:szCs w:val="48"/>
        </w:rPr>
        <w:t>participatifs</w:t>
      </w:r>
      <w:bookmarkEnd w:id="1473"/>
      <w:bookmarkEnd w:id="1474"/>
      <w:bookmarkEnd w:id="1475"/>
      <w:bookmarkEnd w:id="1476"/>
    </w:p>
    <w:p w14:paraId="2D09AACE" w14:textId="77777777" w:rsidR="0069735E" w:rsidRPr="00043015" w:rsidRDefault="0069735E" w:rsidP="00043015">
      <w:pPr>
        <w:spacing w:before="120" w:line="300" w:lineRule="auto"/>
        <w:ind w:firstLine="709"/>
        <w:rPr>
          <w:rFonts w:ascii="Times New Roman" w:hAnsi="Times New Roman" w:cs="Times New Roman"/>
          <w:smallCaps/>
          <w:sz w:val="56"/>
          <w:szCs w:val="56"/>
        </w:rPr>
      </w:pPr>
    </w:p>
    <w:p w14:paraId="15621BDB" w14:textId="77777777" w:rsidR="00A939F5" w:rsidRDefault="00A939F5" w:rsidP="001119C6">
      <w:pPr>
        <w:spacing w:before="120" w:line="300" w:lineRule="auto"/>
        <w:ind w:firstLine="709"/>
        <w:rPr>
          <w:rFonts w:ascii="Times New Roman" w:hAnsi="Times New Roman" w:cs="Times New Roman"/>
          <w:sz w:val="24"/>
          <w:szCs w:val="24"/>
        </w:rPr>
        <w:sectPr w:rsidR="00A939F5" w:rsidSect="00D61093">
          <w:footerReference w:type="default" r:id="rId64"/>
          <w:footnotePr>
            <w:numRestart w:val="eachPage"/>
          </w:footnotePr>
          <w:pgSz w:w="11906" w:h="16838" w:code="9"/>
          <w:pgMar w:top="1134" w:right="1134" w:bottom="1134" w:left="1134" w:header="709" w:footer="709" w:gutter="567"/>
          <w:pgNumType w:start="140"/>
          <w:cols w:space="708"/>
          <w:docGrid w:linePitch="360"/>
        </w:sectPr>
      </w:pPr>
    </w:p>
    <w:p w14:paraId="6FD36DA8" w14:textId="09189C41" w:rsidR="00A939F5" w:rsidRPr="0069735E" w:rsidRDefault="00A939F5" w:rsidP="00722873">
      <w:pPr>
        <w:pStyle w:val="Titre1"/>
        <w:spacing w:before="120" w:beforeAutospacing="0" w:after="0" w:afterAutospacing="0" w:line="300" w:lineRule="auto"/>
        <w:jc w:val="center"/>
        <w:rPr>
          <w:sz w:val="36"/>
          <w:szCs w:val="56"/>
        </w:rPr>
      </w:pPr>
      <w:bookmarkStart w:id="1477" w:name="_Toc116257071"/>
      <w:bookmarkStart w:id="1478" w:name="_Toc182298885"/>
      <w:bookmarkStart w:id="1479" w:name="_Toc182309394"/>
      <w:r w:rsidRPr="0069735E">
        <w:rPr>
          <w:sz w:val="32"/>
          <w:szCs w:val="52"/>
        </w:rPr>
        <w:lastRenderedPageBreak/>
        <w:t>Chapitre IV</w:t>
      </w:r>
      <w:r w:rsidR="00722873">
        <w:rPr>
          <w:sz w:val="32"/>
          <w:szCs w:val="52"/>
        </w:rPr>
        <w:t xml:space="preserve">- </w:t>
      </w:r>
      <w:r w:rsidRPr="0069735E">
        <w:rPr>
          <w:rFonts w:ascii="Times New Roman Gras" w:hAnsi="Times New Roman Gras"/>
          <w:smallCaps/>
          <w:sz w:val="32"/>
          <w:szCs w:val="56"/>
        </w:rPr>
        <w:t>Etude empirique sur les in</w:t>
      </w:r>
      <w:r w:rsidR="00A44124" w:rsidRPr="0069735E">
        <w:rPr>
          <w:rFonts w:ascii="Times New Roman Gras" w:hAnsi="Times New Roman Gras"/>
          <w:smallCaps/>
          <w:sz w:val="32"/>
          <w:szCs w:val="56"/>
        </w:rPr>
        <w:t>s</w:t>
      </w:r>
      <w:r w:rsidRPr="0069735E">
        <w:rPr>
          <w:rFonts w:ascii="Times New Roman Gras" w:hAnsi="Times New Roman Gras"/>
          <w:smallCaps/>
          <w:sz w:val="32"/>
          <w:szCs w:val="56"/>
        </w:rPr>
        <w:t>truments financiers participatifs</w:t>
      </w:r>
      <w:bookmarkEnd w:id="1477"/>
      <w:bookmarkEnd w:id="1478"/>
      <w:bookmarkEnd w:id="1479"/>
    </w:p>
    <w:p w14:paraId="1D22C2B7" w14:textId="6233E452" w:rsidR="002760B2" w:rsidRPr="002B005F" w:rsidRDefault="002760B2" w:rsidP="00800396">
      <w:pPr>
        <w:spacing w:before="100" w:beforeAutospacing="1"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revue de l</w:t>
      </w:r>
      <w:r w:rsidR="005375A2" w:rsidRPr="002B005F">
        <w:rPr>
          <w:rFonts w:ascii="Times New Roman" w:hAnsi="Times New Roman" w:cs="Times New Roman"/>
          <w:sz w:val="24"/>
          <w:szCs w:val="24"/>
        </w:rPr>
        <w:t xml:space="preserve">a littérature </w:t>
      </w:r>
      <w:r w:rsidRPr="002B005F">
        <w:rPr>
          <w:rFonts w:ascii="Times New Roman" w:hAnsi="Times New Roman" w:cs="Times New Roman"/>
          <w:sz w:val="24"/>
          <w:szCs w:val="24"/>
        </w:rPr>
        <w:t xml:space="preserve">des études antérieures sur la gestion des risques dans les banques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w:t>
      </w:r>
      <w:r w:rsidR="009D5053" w:rsidRPr="002B005F">
        <w:rPr>
          <w:rFonts w:ascii="Times New Roman" w:hAnsi="Times New Roman" w:cs="Times New Roman"/>
          <w:sz w:val="24"/>
          <w:szCs w:val="24"/>
        </w:rPr>
        <w:t>a</w:t>
      </w:r>
      <w:r w:rsidRPr="002B005F">
        <w:rPr>
          <w:rFonts w:ascii="Times New Roman" w:hAnsi="Times New Roman" w:cs="Times New Roman"/>
          <w:sz w:val="24"/>
          <w:szCs w:val="24"/>
        </w:rPr>
        <w:t xml:space="preserve"> façonné la méthodologie de recherche utilisée dans cette étude.</w:t>
      </w:r>
    </w:p>
    <w:p w14:paraId="5994A38C" w14:textId="67576367" w:rsidR="008D74E6" w:rsidRDefault="002760B2" w:rsidP="0033340B">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Les chapitres précédents ont examiné la littérature relative à la gestion des risques bancaires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w:t>
      </w:r>
    </w:p>
    <w:p w14:paraId="36530D1F" w14:textId="1580AD38" w:rsidR="008D74E6" w:rsidRPr="008D74E6" w:rsidRDefault="0069735E" w:rsidP="00CB0FF1">
      <w:pPr>
        <w:pStyle w:val="Paragraphedeliste"/>
        <w:numPr>
          <w:ilvl w:val="0"/>
          <w:numId w:val="105"/>
        </w:numPr>
        <w:tabs>
          <w:tab w:val="left" w:pos="0"/>
        </w:tabs>
        <w:spacing w:before="60" w:line="300" w:lineRule="auto"/>
        <w:ind w:left="1135" w:hanging="284"/>
        <w:contextualSpacing w:val="0"/>
        <w:rPr>
          <w:rFonts w:ascii="Times New Roman" w:hAnsi="Times New Roman" w:cs="Times New Roman"/>
          <w:sz w:val="24"/>
          <w:szCs w:val="24"/>
        </w:rPr>
      </w:pPr>
      <w:r>
        <w:rPr>
          <w:rFonts w:ascii="Times New Roman" w:hAnsi="Times New Roman" w:cs="Times New Roman"/>
          <w:sz w:val="24"/>
          <w:szCs w:val="24"/>
        </w:rPr>
        <w:t>Au</w:t>
      </w:r>
      <w:r w:rsidR="00D742CF">
        <w:rPr>
          <w:rFonts w:ascii="Times New Roman" w:hAnsi="Times New Roman" w:cs="Times New Roman"/>
          <w:sz w:val="24"/>
          <w:szCs w:val="24"/>
        </w:rPr>
        <w:t xml:space="preserve"> premier</w:t>
      </w:r>
      <w:r w:rsidR="002760B2" w:rsidRPr="008D74E6">
        <w:rPr>
          <w:rFonts w:ascii="Times New Roman" w:hAnsi="Times New Roman" w:cs="Times New Roman"/>
          <w:sz w:val="24"/>
          <w:szCs w:val="24"/>
        </w:rPr>
        <w:t xml:space="preserve">, </w:t>
      </w:r>
      <w:r w:rsidR="00D742CF">
        <w:rPr>
          <w:rFonts w:ascii="Times New Roman" w:hAnsi="Times New Roman" w:cs="Times New Roman"/>
          <w:sz w:val="24"/>
          <w:szCs w:val="24"/>
        </w:rPr>
        <w:t>nous avons</w:t>
      </w:r>
      <w:r w:rsidR="002760B2" w:rsidRPr="008D74E6">
        <w:rPr>
          <w:rFonts w:ascii="Times New Roman" w:hAnsi="Times New Roman" w:cs="Times New Roman"/>
          <w:sz w:val="24"/>
          <w:szCs w:val="24"/>
        </w:rPr>
        <w:t xml:space="preserve"> présenté </w:t>
      </w:r>
      <w:r>
        <w:rPr>
          <w:rFonts w:ascii="Times New Roman" w:hAnsi="Times New Roman" w:cs="Times New Roman"/>
          <w:sz w:val="24"/>
          <w:szCs w:val="24"/>
        </w:rPr>
        <w:t xml:space="preserve">les fondements </w:t>
      </w:r>
      <w:r w:rsidR="002760B2" w:rsidRPr="008D74E6">
        <w:rPr>
          <w:rFonts w:ascii="Times New Roman" w:hAnsi="Times New Roman" w:cs="Times New Roman"/>
          <w:sz w:val="24"/>
          <w:szCs w:val="24"/>
        </w:rPr>
        <w:t xml:space="preserve">la finance </w:t>
      </w:r>
      <w:r w:rsidR="00E9218A" w:rsidRPr="008D74E6">
        <w:rPr>
          <w:rFonts w:ascii="Times New Roman" w:hAnsi="Times New Roman" w:cs="Times New Roman"/>
          <w:sz w:val="24"/>
          <w:szCs w:val="24"/>
        </w:rPr>
        <w:t>i</w:t>
      </w:r>
      <w:r w:rsidR="003773C6" w:rsidRPr="008D74E6">
        <w:rPr>
          <w:rFonts w:ascii="Times New Roman" w:hAnsi="Times New Roman" w:cs="Times New Roman"/>
          <w:sz w:val="24"/>
          <w:szCs w:val="24"/>
        </w:rPr>
        <w:t>slamique</w:t>
      </w:r>
      <w:r w:rsidR="008D74E6" w:rsidRPr="008D74E6">
        <w:rPr>
          <w:rFonts w:ascii="Times New Roman" w:hAnsi="Times New Roman" w:cs="Times New Roman"/>
          <w:sz w:val="24"/>
          <w:szCs w:val="24"/>
        </w:rPr>
        <w:t>.</w:t>
      </w:r>
    </w:p>
    <w:p w14:paraId="2B2B413E" w14:textId="7AFC641D" w:rsidR="008D74E6" w:rsidRPr="008D74E6" w:rsidRDefault="0069735E" w:rsidP="00CB0FF1">
      <w:pPr>
        <w:pStyle w:val="Paragraphedeliste"/>
        <w:numPr>
          <w:ilvl w:val="0"/>
          <w:numId w:val="105"/>
        </w:numPr>
        <w:tabs>
          <w:tab w:val="left" w:pos="0"/>
        </w:tabs>
        <w:spacing w:before="60" w:line="300" w:lineRule="auto"/>
        <w:ind w:left="1135" w:hanging="284"/>
        <w:contextualSpacing w:val="0"/>
        <w:rPr>
          <w:rFonts w:ascii="Times New Roman" w:hAnsi="Times New Roman" w:cs="Times New Roman"/>
          <w:sz w:val="24"/>
          <w:szCs w:val="24"/>
        </w:rPr>
      </w:pPr>
      <w:r>
        <w:rPr>
          <w:rFonts w:ascii="Times New Roman" w:hAnsi="Times New Roman" w:cs="Times New Roman"/>
          <w:sz w:val="24"/>
          <w:szCs w:val="24"/>
        </w:rPr>
        <w:t>Au second, nous avons procédé</w:t>
      </w:r>
      <w:r w:rsidR="002760B2" w:rsidRPr="008D74E6">
        <w:rPr>
          <w:rFonts w:ascii="Times New Roman" w:hAnsi="Times New Roman" w:cs="Times New Roman"/>
          <w:sz w:val="24"/>
          <w:szCs w:val="24"/>
        </w:rPr>
        <w:t xml:space="preserve"> à </w:t>
      </w:r>
      <w:r>
        <w:rPr>
          <w:rFonts w:ascii="Times New Roman" w:hAnsi="Times New Roman" w:cs="Times New Roman"/>
          <w:sz w:val="24"/>
          <w:szCs w:val="24"/>
        </w:rPr>
        <w:t xml:space="preserve">une </w:t>
      </w:r>
      <w:r w:rsidR="002760B2" w:rsidRPr="008D74E6">
        <w:rPr>
          <w:rFonts w:ascii="Times New Roman" w:hAnsi="Times New Roman" w:cs="Times New Roman"/>
          <w:sz w:val="24"/>
          <w:szCs w:val="24"/>
        </w:rPr>
        <w:t xml:space="preserve">investigation des risques encourus par les banques </w:t>
      </w:r>
      <w:r w:rsidR="00E9218A" w:rsidRPr="008D74E6">
        <w:rPr>
          <w:rFonts w:ascii="Times New Roman" w:hAnsi="Times New Roman" w:cs="Times New Roman"/>
          <w:sz w:val="24"/>
          <w:szCs w:val="24"/>
        </w:rPr>
        <w:t>i</w:t>
      </w:r>
      <w:r w:rsidR="003773C6" w:rsidRPr="008D74E6">
        <w:rPr>
          <w:rFonts w:ascii="Times New Roman" w:hAnsi="Times New Roman" w:cs="Times New Roman"/>
          <w:sz w:val="24"/>
          <w:szCs w:val="24"/>
        </w:rPr>
        <w:t>slamique</w:t>
      </w:r>
      <w:r w:rsidR="002760B2" w:rsidRPr="008D74E6">
        <w:rPr>
          <w:rFonts w:ascii="Times New Roman" w:hAnsi="Times New Roman" w:cs="Times New Roman"/>
          <w:sz w:val="24"/>
          <w:szCs w:val="24"/>
        </w:rPr>
        <w:t>s ainsi que leurs techniques de gestion.</w:t>
      </w:r>
    </w:p>
    <w:p w14:paraId="3572BF57" w14:textId="4329D7AC" w:rsidR="002760B2" w:rsidRPr="008D74E6" w:rsidRDefault="0069735E" w:rsidP="00CB0FF1">
      <w:pPr>
        <w:pStyle w:val="Paragraphedeliste"/>
        <w:numPr>
          <w:ilvl w:val="0"/>
          <w:numId w:val="105"/>
        </w:numPr>
        <w:tabs>
          <w:tab w:val="left" w:pos="0"/>
        </w:tabs>
        <w:spacing w:before="60" w:line="300" w:lineRule="auto"/>
        <w:ind w:left="1135" w:hanging="284"/>
        <w:contextualSpacing w:val="0"/>
        <w:rPr>
          <w:rFonts w:ascii="Times New Roman" w:hAnsi="Times New Roman" w:cs="Times New Roman"/>
          <w:sz w:val="24"/>
          <w:szCs w:val="24"/>
        </w:rPr>
      </w:pPr>
      <w:r>
        <w:rPr>
          <w:rFonts w:ascii="Times New Roman" w:hAnsi="Times New Roman" w:cs="Times New Roman"/>
          <w:sz w:val="24"/>
          <w:szCs w:val="24"/>
        </w:rPr>
        <w:t>Au troisième</w:t>
      </w:r>
      <w:r w:rsidR="00D742CF">
        <w:rPr>
          <w:rFonts w:ascii="Times New Roman" w:hAnsi="Times New Roman" w:cs="Times New Roman"/>
          <w:sz w:val="24"/>
          <w:szCs w:val="24"/>
        </w:rPr>
        <w:t>, nous avons</w:t>
      </w:r>
      <w:r w:rsidR="002760B2" w:rsidRPr="008D74E6">
        <w:rPr>
          <w:rFonts w:ascii="Times New Roman" w:hAnsi="Times New Roman" w:cs="Times New Roman"/>
          <w:sz w:val="24"/>
          <w:szCs w:val="24"/>
        </w:rPr>
        <w:t xml:space="preserve"> focalisé notre recherche sur les outils de gestion des risques spécifiques aux produits de financement participatifs.</w:t>
      </w:r>
    </w:p>
    <w:p w14:paraId="0E2341F4" w14:textId="77777777" w:rsidR="002760B2" w:rsidRPr="003C1B60" w:rsidRDefault="002760B2" w:rsidP="0033340B">
      <w:pPr>
        <w:tabs>
          <w:tab w:val="left" w:pos="0"/>
        </w:tabs>
        <w:spacing w:before="120" w:line="300" w:lineRule="auto"/>
        <w:ind w:firstLine="709"/>
        <w:rPr>
          <w:rFonts w:ascii="Times New Roman" w:hAnsi="Times New Roman" w:cs="Times New Roman"/>
          <w:sz w:val="24"/>
          <w:szCs w:val="24"/>
        </w:rPr>
      </w:pPr>
      <w:r w:rsidRPr="003C1B60">
        <w:rPr>
          <w:rFonts w:ascii="Times New Roman" w:hAnsi="Times New Roman" w:cs="Times New Roman"/>
          <w:sz w:val="24"/>
          <w:szCs w:val="24"/>
        </w:rPr>
        <w:t xml:space="preserve">Ce chapitre traite des méthodes de recherche analytiques. Il définit les objectifs et les hypothèses de cette recherche. </w:t>
      </w:r>
      <w:r w:rsidR="00D742CF" w:rsidRPr="003C1B60">
        <w:rPr>
          <w:rFonts w:ascii="Times New Roman" w:hAnsi="Times New Roman" w:cs="Times New Roman"/>
          <w:sz w:val="24"/>
          <w:szCs w:val="24"/>
        </w:rPr>
        <w:t>Il</w:t>
      </w:r>
      <w:r w:rsidRPr="003C1B60">
        <w:rPr>
          <w:rFonts w:ascii="Times New Roman" w:hAnsi="Times New Roman" w:cs="Times New Roman"/>
          <w:sz w:val="24"/>
          <w:szCs w:val="24"/>
        </w:rPr>
        <w:t xml:space="preserve"> est suivi par la </w:t>
      </w:r>
      <w:r w:rsidR="007C0DB9" w:rsidRPr="003C1B60">
        <w:rPr>
          <w:rFonts w:ascii="Times New Roman" w:hAnsi="Times New Roman" w:cs="Times New Roman"/>
          <w:sz w:val="24"/>
          <w:szCs w:val="24"/>
        </w:rPr>
        <w:t>présentation de</w:t>
      </w:r>
      <w:r w:rsidRPr="003C1B60">
        <w:rPr>
          <w:rFonts w:ascii="Times New Roman" w:hAnsi="Times New Roman" w:cs="Times New Roman"/>
          <w:sz w:val="24"/>
          <w:szCs w:val="24"/>
        </w:rPr>
        <w:t xml:space="preserve"> la méthodologie de recherche utilisée en expliquant la conception de la recherche, les méthodes de la colle</w:t>
      </w:r>
      <w:r w:rsidR="00D742CF" w:rsidRPr="003C1B60">
        <w:rPr>
          <w:rFonts w:ascii="Times New Roman" w:hAnsi="Times New Roman" w:cs="Times New Roman"/>
          <w:sz w:val="24"/>
          <w:szCs w:val="24"/>
        </w:rPr>
        <w:t xml:space="preserve">cte de données primaires et les </w:t>
      </w:r>
      <w:r w:rsidRPr="003C1B60">
        <w:rPr>
          <w:rFonts w:ascii="Times New Roman" w:hAnsi="Times New Roman" w:cs="Times New Roman"/>
          <w:sz w:val="24"/>
          <w:szCs w:val="24"/>
        </w:rPr>
        <w:t>outils d'analyse de données choisis. Une explication du questionnaire ainsi que l'étude pilote sont également inclus</w:t>
      </w:r>
      <w:r w:rsidR="00D742CF" w:rsidRPr="003C1B60">
        <w:rPr>
          <w:rFonts w:ascii="Times New Roman" w:hAnsi="Times New Roman" w:cs="Times New Roman"/>
          <w:sz w:val="24"/>
          <w:szCs w:val="24"/>
        </w:rPr>
        <w:t>es</w:t>
      </w:r>
      <w:r w:rsidRPr="003C1B60">
        <w:rPr>
          <w:rFonts w:ascii="Times New Roman" w:hAnsi="Times New Roman" w:cs="Times New Roman"/>
          <w:sz w:val="24"/>
          <w:szCs w:val="24"/>
        </w:rPr>
        <w:t xml:space="preserve">. </w:t>
      </w:r>
      <w:r w:rsidR="00D742CF" w:rsidRPr="003C1B60">
        <w:rPr>
          <w:rFonts w:ascii="Times New Roman" w:hAnsi="Times New Roman" w:cs="Times New Roman"/>
          <w:sz w:val="24"/>
          <w:szCs w:val="24"/>
        </w:rPr>
        <w:t>Par la suite,</w:t>
      </w:r>
      <w:r w:rsidRPr="003C1B60">
        <w:rPr>
          <w:rFonts w:ascii="Times New Roman" w:hAnsi="Times New Roman" w:cs="Times New Roman"/>
          <w:sz w:val="24"/>
          <w:szCs w:val="24"/>
        </w:rPr>
        <w:t xml:space="preserve"> nous passons à l’analyse quantitative et qualitative des données collectées. Enfin, nous interpréterons les résultats obtenus à travers une discussion intégrée sur les hypothèses identifiées plus tôt par lesquelles il sera possible de mettre en évidence la contribution de cette étude.</w:t>
      </w:r>
    </w:p>
    <w:p w14:paraId="79A5DCD8" w14:textId="77777777" w:rsidR="002760B2" w:rsidRPr="00BC2D2F" w:rsidRDefault="009D433B" w:rsidP="003400A6">
      <w:pPr>
        <w:pStyle w:val="Titre2"/>
        <w:keepNext w:val="0"/>
        <w:spacing w:before="100" w:beforeAutospacing="1" w:after="100" w:afterAutospacing="1" w:line="300" w:lineRule="auto"/>
        <w:ind w:firstLine="709"/>
        <w:jc w:val="left"/>
        <w:rPr>
          <w:i w:val="0"/>
          <w:iCs w:val="0"/>
          <w:sz w:val="28"/>
        </w:rPr>
      </w:pPr>
      <w:bookmarkStart w:id="1480" w:name="_Toc33263370"/>
      <w:bookmarkStart w:id="1481" w:name="_Toc33264126"/>
      <w:bookmarkStart w:id="1482" w:name="_Toc37664633"/>
      <w:bookmarkStart w:id="1483" w:name="_Toc37666478"/>
      <w:bookmarkStart w:id="1484" w:name="_Toc37667328"/>
      <w:bookmarkStart w:id="1485" w:name="_Toc54361038"/>
      <w:bookmarkStart w:id="1486" w:name="_Toc54361686"/>
      <w:bookmarkStart w:id="1487" w:name="_Toc54363375"/>
      <w:bookmarkStart w:id="1488" w:name="_Toc57901036"/>
      <w:bookmarkStart w:id="1489" w:name="_Toc58261937"/>
      <w:bookmarkStart w:id="1490" w:name="_Toc58606359"/>
      <w:bookmarkStart w:id="1491" w:name="_Toc61263564"/>
      <w:bookmarkStart w:id="1492" w:name="_Toc116257072"/>
      <w:bookmarkStart w:id="1493" w:name="_Toc182298886"/>
      <w:bookmarkStart w:id="1494" w:name="_Toc182309395"/>
      <w:r w:rsidRPr="00BC2D2F">
        <w:rPr>
          <w:i w:val="0"/>
          <w:iCs w:val="0"/>
          <w:sz w:val="28"/>
        </w:rPr>
        <w:t xml:space="preserve">Section </w:t>
      </w:r>
      <w:r w:rsidR="00FA2382" w:rsidRPr="00BC2D2F">
        <w:rPr>
          <w:i w:val="0"/>
          <w:iCs w:val="0"/>
          <w:sz w:val="28"/>
        </w:rPr>
        <w:t xml:space="preserve">I </w:t>
      </w:r>
      <w:r w:rsidRPr="00BC2D2F">
        <w:rPr>
          <w:i w:val="0"/>
          <w:iCs w:val="0"/>
          <w:sz w:val="28"/>
        </w:rPr>
        <w:t>-</w:t>
      </w:r>
      <w:r w:rsidR="00387B4D" w:rsidRPr="00BC2D2F">
        <w:rPr>
          <w:i w:val="0"/>
          <w:iCs w:val="0"/>
          <w:sz w:val="28"/>
        </w:rPr>
        <w:t xml:space="preserve"> </w:t>
      </w:r>
      <w:r w:rsidR="002760B2" w:rsidRPr="00BC2D2F">
        <w:rPr>
          <w:i w:val="0"/>
          <w:iCs w:val="0"/>
          <w:sz w:val="28"/>
        </w:rPr>
        <w:t>Méthodologie de recherche</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6B1634F1" w14:textId="77777777" w:rsidR="002760B2" w:rsidRPr="002B005F" w:rsidRDefault="002760B2" w:rsidP="0033340B">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méthodologie de recherche est l'approche suivie par un chercheur dans la réalisation d'une recherche scientifique. </w:t>
      </w:r>
      <w:r w:rsidRPr="002B005F">
        <w:rPr>
          <w:rFonts w:ascii="Times New Roman" w:hAnsi="Times New Roman" w:cs="Times New Roman"/>
          <w:smallCaps/>
          <w:sz w:val="24"/>
          <w:szCs w:val="24"/>
        </w:rPr>
        <w:t xml:space="preserve">Bryman </w:t>
      </w:r>
      <w:r w:rsidRPr="002B005F">
        <w:rPr>
          <w:rFonts w:ascii="Times New Roman" w:hAnsi="Times New Roman" w:cs="Times New Roman"/>
          <w:sz w:val="24"/>
          <w:szCs w:val="24"/>
        </w:rPr>
        <w:t xml:space="preserve">(2008) définit la méthodologie comme </w:t>
      </w:r>
      <w:r w:rsidR="00FC2B82" w:rsidRPr="002B005F">
        <w:rPr>
          <w:rFonts w:ascii="Times New Roman" w:hAnsi="Times New Roman" w:cs="Times New Roman"/>
          <w:sz w:val="24"/>
          <w:szCs w:val="24"/>
        </w:rPr>
        <w:t>« </w:t>
      </w:r>
      <w:r w:rsidRPr="002B005F">
        <w:rPr>
          <w:rFonts w:ascii="Times New Roman" w:hAnsi="Times New Roman" w:cs="Times New Roman"/>
          <w:i/>
          <w:iCs/>
          <w:sz w:val="24"/>
          <w:szCs w:val="24"/>
        </w:rPr>
        <w:t>les pratiques et les techniques utilisées pour rassembler, traiter, manipuler et interpréter des informations qui peuvent ensuite être utilisées pour tester des idées et des théories sur la vie sociale </w:t>
      </w:r>
      <w:r w:rsidRPr="002B005F">
        <w:rPr>
          <w:rFonts w:ascii="Times New Roman" w:hAnsi="Times New Roman" w:cs="Times New Roman"/>
          <w:sz w:val="24"/>
          <w:szCs w:val="24"/>
        </w:rPr>
        <w:t>»</w:t>
      </w:r>
      <w:r w:rsidRPr="002B005F">
        <w:rPr>
          <w:rStyle w:val="Appelnotedebasdep"/>
          <w:rFonts w:ascii="Times New Roman" w:hAnsi="Times New Roman"/>
          <w:sz w:val="24"/>
          <w:szCs w:val="24"/>
        </w:rPr>
        <w:footnoteReference w:id="394"/>
      </w:r>
      <w:r w:rsidRPr="002B005F">
        <w:rPr>
          <w:rFonts w:ascii="Times New Roman" w:hAnsi="Times New Roman" w:cs="Times New Roman"/>
          <w:sz w:val="24"/>
          <w:szCs w:val="24"/>
        </w:rPr>
        <w:t>. Ainsi, la méthodologie de recherche fournit un cadre des méthodes utilisées pour collecter, analyser et rapporter des données.</w:t>
      </w:r>
    </w:p>
    <w:p w14:paraId="1E6CAE00" w14:textId="77777777" w:rsidR="0033340B" w:rsidRDefault="002760B2" w:rsidP="0033340B">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Selon la littérature, il existe deux types de méthodes de </w:t>
      </w:r>
      <w:r w:rsidR="00CE22A5" w:rsidRPr="002B005F">
        <w:rPr>
          <w:rFonts w:ascii="Times New Roman" w:hAnsi="Times New Roman" w:cs="Times New Roman"/>
          <w:sz w:val="24"/>
          <w:szCs w:val="24"/>
        </w:rPr>
        <w:t>recherche :</w:t>
      </w:r>
      <w:r w:rsidRPr="002B005F">
        <w:rPr>
          <w:rFonts w:ascii="Times New Roman" w:hAnsi="Times New Roman" w:cs="Times New Roman"/>
          <w:sz w:val="24"/>
          <w:szCs w:val="24"/>
        </w:rPr>
        <w:t xml:space="preserve"> quantitative et qualitative. La méthodologie quantitative est conçue pour arriver à des conclusions basées sur des données numériques, par exemple en testant les forces de la relation entre des variables dépendantes et indépendantes</w:t>
      </w:r>
      <w:r w:rsidRPr="002B005F">
        <w:rPr>
          <w:rStyle w:val="Appelnotedebasdep"/>
          <w:rFonts w:ascii="Times New Roman" w:hAnsi="Times New Roman"/>
          <w:sz w:val="24"/>
          <w:szCs w:val="24"/>
        </w:rPr>
        <w:footnoteReference w:id="395"/>
      </w:r>
      <w:r w:rsidRPr="002B005F">
        <w:rPr>
          <w:rFonts w:ascii="Times New Roman" w:hAnsi="Times New Roman" w:cs="Times New Roman"/>
          <w:sz w:val="24"/>
          <w:szCs w:val="24"/>
        </w:rPr>
        <w:t>. Cela implique la collecte de données</w:t>
      </w:r>
      <w:r w:rsidR="00016B38">
        <w:rPr>
          <w:rFonts w:ascii="Times New Roman" w:hAnsi="Times New Roman" w:cs="Times New Roman"/>
          <w:sz w:val="24"/>
          <w:szCs w:val="24"/>
        </w:rPr>
        <w:t> ;</w:t>
      </w:r>
      <w:r w:rsidRPr="002B005F">
        <w:rPr>
          <w:rFonts w:ascii="Times New Roman" w:hAnsi="Times New Roman" w:cs="Times New Roman"/>
          <w:sz w:val="24"/>
          <w:szCs w:val="24"/>
        </w:rPr>
        <w:t xml:space="preserve"> donc l'information peut être quantifiée et soumise à un traitement statistique. Le but principal d’une méthodologie quantitative est d'expliquer et d'examiner un sujet en corrélant plusieurs variables.</w:t>
      </w:r>
    </w:p>
    <w:p w14:paraId="4DF9DFBC" w14:textId="4333345D" w:rsidR="002760B2" w:rsidRPr="002B005F" w:rsidRDefault="003C1B60" w:rsidP="0033340B">
      <w:pPr>
        <w:tabs>
          <w:tab w:val="left" w:pos="0"/>
        </w:tabs>
        <w:spacing w:before="120" w:line="300" w:lineRule="auto"/>
        <w:ind w:firstLine="709"/>
        <w:rPr>
          <w:rFonts w:ascii="Times New Roman" w:hAnsi="Times New Roman" w:cs="Times New Roman"/>
          <w:sz w:val="24"/>
          <w:szCs w:val="24"/>
        </w:rPr>
      </w:pPr>
      <w:r>
        <w:rPr>
          <w:rFonts w:ascii="Times New Roman" w:hAnsi="Times New Roman" w:cs="Times New Roman"/>
          <w:sz w:val="24"/>
          <w:szCs w:val="24"/>
        </w:rPr>
        <w:lastRenderedPageBreak/>
        <w:t>Q</w:t>
      </w:r>
      <w:r w:rsidR="0025629D">
        <w:rPr>
          <w:rFonts w:ascii="Times New Roman" w:hAnsi="Times New Roman" w:cs="Times New Roman"/>
          <w:sz w:val="24"/>
          <w:szCs w:val="24"/>
        </w:rPr>
        <w:t>uant à</w:t>
      </w:r>
      <w:r w:rsidR="002760B2" w:rsidRPr="002B005F">
        <w:rPr>
          <w:rFonts w:ascii="Times New Roman" w:hAnsi="Times New Roman" w:cs="Times New Roman"/>
          <w:sz w:val="24"/>
          <w:szCs w:val="24"/>
        </w:rPr>
        <w:t xml:space="preserve"> la méthodologie de recherche qualitative</w:t>
      </w:r>
      <w:r w:rsidR="0025629D">
        <w:rPr>
          <w:rFonts w:ascii="Times New Roman" w:hAnsi="Times New Roman" w:cs="Times New Roman"/>
          <w:sz w:val="24"/>
          <w:szCs w:val="24"/>
        </w:rPr>
        <w:t>, elle</w:t>
      </w:r>
      <w:r w:rsidR="002760B2" w:rsidRPr="002B005F">
        <w:rPr>
          <w:rFonts w:ascii="Times New Roman" w:hAnsi="Times New Roman" w:cs="Times New Roman"/>
          <w:sz w:val="24"/>
          <w:szCs w:val="24"/>
        </w:rPr>
        <w:t xml:space="preserve"> met l'accent sur les mots au lieu de la quantification lorsqu'un chercheur recueille et analyse des données</w:t>
      </w:r>
      <w:r w:rsidR="002760B2" w:rsidRPr="002B005F">
        <w:rPr>
          <w:rStyle w:val="Appelnotedebasdep"/>
          <w:rFonts w:ascii="Times New Roman" w:hAnsi="Times New Roman"/>
          <w:sz w:val="24"/>
          <w:szCs w:val="24"/>
        </w:rPr>
        <w:footnoteReference w:id="396"/>
      </w:r>
      <w:r w:rsidR="002760B2" w:rsidRPr="002B005F">
        <w:rPr>
          <w:rFonts w:ascii="Times New Roman" w:hAnsi="Times New Roman" w:cs="Times New Roman"/>
          <w:sz w:val="24"/>
          <w:szCs w:val="24"/>
        </w:rPr>
        <w:t>.</w:t>
      </w:r>
      <w:r w:rsidR="0025629D">
        <w:rPr>
          <w:rFonts w:ascii="Times New Roman" w:hAnsi="Times New Roman" w:cs="Times New Roman"/>
          <w:sz w:val="24"/>
          <w:szCs w:val="24"/>
        </w:rPr>
        <w:t xml:space="preserve"> </w:t>
      </w:r>
      <w:r w:rsidR="002760B2" w:rsidRPr="002B005F">
        <w:rPr>
          <w:rFonts w:ascii="Times New Roman" w:hAnsi="Times New Roman" w:cs="Times New Roman"/>
          <w:sz w:val="24"/>
          <w:szCs w:val="24"/>
        </w:rPr>
        <w:t>Par conséquent, la méthodologie qualitative est un ensemble de techniques de recherche utilisées pour interpréter un phénomène. Il convient de noter que lorsque la motivation d'une recherche est exploratoire et évaluative, il est construit comme une méthodologie de recherche qualitative</w:t>
      </w:r>
      <w:r w:rsidR="002760B2" w:rsidRPr="002B005F">
        <w:rPr>
          <w:rStyle w:val="Appelnotedebasdep"/>
          <w:rFonts w:ascii="Times New Roman" w:hAnsi="Times New Roman"/>
          <w:sz w:val="24"/>
          <w:szCs w:val="24"/>
        </w:rPr>
        <w:footnoteReference w:id="397"/>
      </w:r>
      <w:r w:rsidR="002760B2" w:rsidRPr="002B005F">
        <w:rPr>
          <w:rFonts w:ascii="Times New Roman" w:hAnsi="Times New Roman" w:cs="Times New Roman"/>
          <w:sz w:val="24"/>
          <w:szCs w:val="24"/>
        </w:rPr>
        <w:t>.</w:t>
      </w:r>
    </w:p>
    <w:p w14:paraId="06091594" w14:textId="77777777" w:rsidR="00922EF7" w:rsidRPr="00FA2382" w:rsidRDefault="00922EF7" w:rsidP="0033340B">
      <w:pPr>
        <w:pStyle w:val="NormalWeb"/>
        <w:spacing w:before="120" w:beforeAutospacing="0" w:after="0" w:afterAutospacing="0" w:line="300" w:lineRule="auto"/>
        <w:ind w:firstLine="709"/>
        <w:rPr>
          <w:rFonts w:asciiTheme="majorBidi" w:hAnsiTheme="majorBidi" w:cstheme="majorBidi"/>
        </w:rPr>
      </w:pPr>
      <w:r w:rsidRPr="00FA2382">
        <w:t>Notre recherche est conçue comme une étude de recherche quantitative, puisqu’on a fait recours à un questionnaire. L</w:t>
      </w:r>
      <w:r w:rsidRPr="00FA2382">
        <w:rPr>
          <w:rFonts w:asciiTheme="majorBidi" w:hAnsiTheme="majorBidi" w:cstheme="majorBidi"/>
        </w:rPr>
        <w:t xml:space="preserve">es résultats sont exprimés en données chiffrées en calculant les moyennes et les fréquences d’une certaine réponse, et en divisant les données en pourcentages. </w:t>
      </w:r>
      <w:r w:rsidR="006C33DA" w:rsidRPr="00FA2382">
        <w:rPr>
          <w:rFonts w:asciiTheme="majorBidi" w:hAnsiTheme="majorBidi" w:cstheme="majorBidi"/>
        </w:rPr>
        <w:t>Ainsi, les</w:t>
      </w:r>
      <w:r w:rsidRPr="00FA2382">
        <w:rPr>
          <w:rFonts w:asciiTheme="majorBidi" w:hAnsiTheme="majorBidi" w:cstheme="majorBidi"/>
        </w:rPr>
        <w:t xml:space="preserve"> résultats de cette recherche sont présentés sous forme de tableaux statistiques et de graphiques.</w:t>
      </w:r>
    </w:p>
    <w:p w14:paraId="258D7FEC" w14:textId="77777777" w:rsidR="002760B2" w:rsidRPr="00BC2D2F" w:rsidRDefault="00FA2382" w:rsidP="0033340B">
      <w:pPr>
        <w:pStyle w:val="Titre3"/>
        <w:keepNext w:val="0"/>
        <w:keepLines w:val="0"/>
        <w:spacing w:before="100" w:beforeAutospacing="1" w:after="120" w:line="300" w:lineRule="auto"/>
        <w:ind w:firstLine="709"/>
        <w:rPr>
          <w:sz w:val="28"/>
          <w:szCs w:val="28"/>
        </w:rPr>
      </w:pPr>
      <w:bookmarkStart w:id="1495" w:name="_Toc33263371"/>
      <w:bookmarkStart w:id="1496" w:name="_Toc37664634"/>
      <w:bookmarkStart w:id="1497" w:name="_Toc37666479"/>
      <w:bookmarkStart w:id="1498" w:name="_Toc54363376"/>
      <w:bookmarkStart w:id="1499" w:name="_Toc58606360"/>
      <w:bookmarkStart w:id="1500" w:name="_Toc61263565"/>
      <w:bookmarkStart w:id="1501" w:name="_Toc182298887"/>
      <w:r w:rsidRPr="00BC2D2F">
        <w:rPr>
          <w:sz w:val="28"/>
          <w:szCs w:val="28"/>
        </w:rPr>
        <w:t>1</w:t>
      </w:r>
      <w:r w:rsidR="0025629D" w:rsidRPr="00BC2D2F">
        <w:rPr>
          <w:sz w:val="28"/>
          <w:szCs w:val="28"/>
        </w:rPr>
        <w:t xml:space="preserve">.1- </w:t>
      </w:r>
      <w:r w:rsidR="002760B2" w:rsidRPr="00BC2D2F">
        <w:rPr>
          <w:sz w:val="28"/>
          <w:szCs w:val="28"/>
        </w:rPr>
        <w:t>Objectifs de recherche</w:t>
      </w:r>
      <w:bookmarkEnd w:id="1495"/>
      <w:bookmarkEnd w:id="1496"/>
      <w:bookmarkEnd w:id="1497"/>
      <w:bookmarkEnd w:id="1498"/>
      <w:bookmarkEnd w:id="1499"/>
      <w:bookmarkEnd w:id="1500"/>
      <w:bookmarkEnd w:id="1501"/>
    </w:p>
    <w:p w14:paraId="40713A34" w14:textId="77777777" w:rsidR="002760B2" w:rsidRPr="002B005F" w:rsidRDefault="002760B2" w:rsidP="0033340B">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Comme indiqué dans les chapitres précédents, le but de cette étude est d'explorer et d'évaluer les différents risques financiers liés aux modes de financement participatif et de trouver des solutions qui peuvent réduire ces risques dans le but d’encourager les BI à recourir à ces techniques de financement. Cette étude n'est pas simplement une autre addition à la littérature disponible. Elle se distingue des autres études en extrayant des preuves empiriques de la perception des professionnels de la banque.</w:t>
      </w:r>
    </w:p>
    <w:p w14:paraId="52D2C2F1" w14:textId="77777777" w:rsidR="002760B2" w:rsidRPr="002B005F" w:rsidRDefault="002760B2" w:rsidP="0033340B">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Étant donné la complexité du sujet, il y a plusieurs questions auxquelles cette recherche vise à </w:t>
      </w:r>
      <w:r w:rsidR="00043C56" w:rsidRPr="002B005F">
        <w:rPr>
          <w:rFonts w:ascii="Times New Roman" w:hAnsi="Times New Roman" w:cs="Times New Roman"/>
          <w:sz w:val="24"/>
          <w:szCs w:val="24"/>
        </w:rPr>
        <w:t>répondre :</w:t>
      </w:r>
    </w:p>
    <w:p w14:paraId="7A8D8086" w14:textId="3363DDEB" w:rsidR="002760B2" w:rsidRPr="002B005F" w:rsidRDefault="002760B2" w:rsidP="00CB0FF1">
      <w:pPr>
        <w:pStyle w:val="Paragraphedeliste"/>
        <w:numPr>
          <w:ilvl w:val="0"/>
          <w:numId w:val="36"/>
        </w:numPr>
        <w:tabs>
          <w:tab w:val="left" w:pos="426"/>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Quels sont les risques supplémentaires auxquels sont confrontées les </w:t>
      </w:r>
      <w:r w:rsidR="0069735E">
        <w:rPr>
          <w:rFonts w:ascii="Times New Roman" w:hAnsi="Times New Roman" w:cs="Times New Roman"/>
          <w:sz w:val="24"/>
          <w:szCs w:val="24"/>
        </w:rPr>
        <w:t>BI</w:t>
      </w:r>
      <w:r w:rsidR="00043C56" w:rsidRPr="002B005F">
        <w:rPr>
          <w:rFonts w:ascii="Times New Roman" w:hAnsi="Times New Roman" w:cs="Times New Roman"/>
          <w:sz w:val="24"/>
          <w:szCs w:val="24"/>
        </w:rPr>
        <w:t> ?</w:t>
      </w:r>
    </w:p>
    <w:p w14:paraId="218880E1" w14:textId="77777777" w:rsidR="002760B2" w:rsidRPr="002B005F" w:rsidRDefault="002760B2" w:rsidP="00CB0FF1">
      <w:pPr>
        <w:pStyle w:val="Paragraphedeliste"/>
        <w:numPr>
          <w:ilvl w:val="0"/>
          <w:numId w:val="36"/>
        </w:numPr>
        <w:tabs>
          <w:tab w:val="left" w:pos="426"/>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Comment les banques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perçoivent-elles leurs propres </w:t>
      </w:r>
      <w:r w:rsidR="00043C56" w:rsidRPr="002B005F">
        <w:rPr>
          <w:rFonts w:ascii="Times New Roman" w:hAnsi="Times New Roman" w:cs="Times New Roman"/>
          <w:sz w:val="24"/>
          <w:szCs w:val="24"/>
        </w:rPr>
        <w:t>risques ?</w:t>
      </w:r>
    </w:p>
    <w:p w14:paraId="0CC4F64F" w14:textId="4EEE6B1A" w:rsidR="002760B2" w:rsidRPr="002B005F" w:rsidRDefault="002760B2" w:rsidP="00CB0FF1">
      <w:pPr>
        <w:pStyle w:val="Paragraphedeliste"/>
        <w:numPr>
          <w:ilvl w:val="0"/>
          <w:numId w:val="36"/>
        </w:numPr>
        <w:tabs>
          <w:tab w:val="left" w:pos="426"/>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Quels sont les niveaux de capital requis pour les </w:t>
      </w:r>
      <w:r w:rsidR="0069735E">
        <w:rPr>
          <w:rFonts w:ascii="Times New Roman" w:hAnsi="Times New Roman" w:cs="Times New Roman"/>
          <w:sz w:val="24"/>
          <w:szCs w:val="24"/>
        </w:rPr>
        <w:t>BI</w:t>
      </w:r>
      <w:r w:rsidR="00043C56" w:rsidRPr="002B005F">
        <w:rPr>
          <w:rFonts w:ascii="Times New Roman" w:hAnsi="Times New Roman" w:cs="Times New Roman"/>
          <w:sz w:val="24"/>
          <w:szCs w:val="24"/>
        </w:rPr>
        <w:t> ?</w:t>
      </w:r>
    </w:p>
    <w:p w14:paraId="7B29DB82" w14:textId="77777777" w:rsidR="002760B2" w:rsidRPr="002B005F" w:rsidRDefault="002760B2" w:rsidP="00CB0FF1">
      <w:pPr>
        <w:pStyle w:val="Paragraphedeliste"/>
        <w:numPr>
          <w:ilvl w:val="0"/>
          <w:numId w:val="36"/>
        </w:numPr>
        <w:tabs>
          <w:tab w:val="left" w:pos="426"/>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Quels sont les risques liés aux produits financiers participatifs ?</w:t>
      </w:r>
    </w:p>
    <w:p w14:paraId="0FD70DE1" w14:textId="77777777" w:rsidR="002760B2" w:rsidRPr="002B005F" w:rsidRDefault="002760B2" w:rsidP="00CB0FF1">
      <w:pPr>
        <w:pStyle w:val="Paragraphedeliste"/>
        <w:numPr>
          <w:ilvl w:val="0"/>
          <w:numId w:val="36"/>
        </w:numPr>
        <w:tabs>
          <w:tab w:val="left" w:pos="426"/>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Pourquoi les BI évitent le recours aux produits financiers participatifs ?</w:t>
      </w:r>
    </w:p>
    <w:p w14:paraId="483C29C2" w14:textId="1F6D5D28" w:rsidR="002760B2" w:rsidRPr="002B005F" w:rsidRDefault="002760B2" w:rsidP="00CB0FF1">
      <w:pPr>
        <w:pStyle w:val="Paragraphedeliste"/>
        <w:numPr>
          <w:ilvl w:val="0"/>
          <w:numId w:val="36"/>
        </w:numPr>
        <w:tabs>
          <w:tab w:val="left" w:pos="426"/>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Est-ce que les </w:t>
      </w:r>
      <w:r w:rsidR="0069735E">
        <w:rPr>
          <w:rFonts w:ascii="Times New Roman" w:hAnsi="Times New Roman" w:cs="Times New Roman"/>
          <w:sz w:val="24"/>
          <w:szCs w:val="24"/>
        </w:rPr>
        <w:t>BI</w:t>
      </w:r>
      <w:r w:rsidRPr="002B005F">
        <w:rPr>
          <w:rFonts w:ascii="Times New Roman" w:hAnsi="Times New Roman" w:cs="Times New Roman"/>
          <w:sz w:val="24"/>
          <w:szCs w:val="24"/>
        </w:rPr>
        <w:t xml:space="preserve"> appliquent les principes sur lesquelles elles se sont fondées ?</w:t>
      </w:r>
    </w:p>
    <w:p w14:paraId="471ADA15" w14:textId="103D30DB" w:rsidR="002760B2" w:rsidRPr="002B005F" w:rsidRDefault="002760B2" w:rsidP="00CB0FF1">
      <w:pPr>
        <w:pStyle w:val="Paragraphedeliste"/>
        <w:numPr>
          <w:ilvl w:val="0"/>
          <w:numId w:val="36"/>
        </w:numPr>
        <w:tabs>
          <w:tab w:val="left" w:pos="426"/>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techniques classiques d'atténuation des risques peuvent-elles être adoptées par les </w:t>
      </w:r>
      <w:r w:rsidR="0069735E">
        <w:rPr>
          <w:rFonts w:ascii="Times New Roman" w:hAnsi="Times New Roman" w:cs="Times New Roman"/>
          <w:sz w:val="24"/>
          <w:szCs w:val="24"/>
        </w:rPr>
        <w:t>BI</w:t>
      </w:r>
      <w:r w:rsidRPr="002B005F">
        <w:rPr>
          <w:rFonts w:ascii="Times New Roman" w:hAnsi="Times New Roman" w:cs="Times New Roman"/>
          <w:sz w:val="24"/>
          <w:szCs w:val="24"/>
        </w:rPr>
        <w:t xml:space="preserve"> ou </w:t>
      </w:r>
      <w:r w:rsidRPr="00FA2382">
        <w:rPr>
          <w:rFonts w:ascii="Times New Roman" w:hAnsi="Times New Roman" w:cs="Times New Roman"/>
          <w:sz w:val="24"/>
          <w:szCs w:val="24"/>
        </w:rPr>
        <w:t>doivent</w:t>
      </w:r>
      <w:r w:rsidR="0025629D" w:rsidRPr="00FA2382">
        <w:rPr>
          <w:rFonts w:ascii="Times New Roman" w:hAnsi="Times New Roman" w:cs="Times New Roman"/>
          <w:sz w:val="24"/>
          <w:szCs w:val="24"/>
        </w:rPr>
        <w:t>-elles</w:t>
      </w:r>
      <w:r w:rsidRPr="002B005F">
        <w:rPr>
          <w:rFonts w:ascii="Times New Roman" w:hAnsi="Times New Roman" w:cs="Times New Roman"/>
          <w:sz w:val="24"/>
          <w:szCs w:val="24"/>
        </w:rPr>
        <w:t xml:space="preserve"> concevoir leurs propres techniques </w:t>
      </w:r>
      <w:r w:rsidR="00043C56" w:rsidRPr="002B005F">
        <w:rPr>
          <w:rFonts w:ascii="Times New Roman" w:hAnsi="Times New Roman" w:cs="Times New Roman"/>
          <w:sz w:val="24"/>
          <w:szCs w:val="24"/>
        </w:rPr>
        <w:t>d’atténuation ?</w:t>
      </w:r>
    </w:p>
    <w:p w14:paraId="6C2D32F7" w14:textId="77777777" w:rsidR="002760B2" w:rsidRPr="002B005F" w:rsidRDefault="002760B2" w:rsidP="00CB0FF1">
      <w:pPr>
        <w:pStyle w:val="Paragraphedeliste"/>
        <w:numPr>
          <w:ilvl w:val="0"/>
          <w:numId w:val="36"/>
        </w:numPr>
        <w:tabs>
          <w:tab w:val="left" w:pos="426"/>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Quelles sont les techniques de mesure et d’atténuation des risques liés aux produits de financement participatifs ?</w:t>
      </w:r>
    </w:p>
    <w:p w14:paraId="1D0917AE" w14:textId="77777777" w:rsidR="002760B2" w:rsidRPr="002B005F" w:rsidRDefault="002760B2" w:rsidP="00CB0FF1">
      <w:pPr>
        <w:pStyle w:val="Paragraphedeliste"/>
        <w:numPr>
          <w:ilvl w:val="0"/>
          <w:numId w:val="36"/>
        </w:numPr>
        <w:tabs>
          <w:tab w:val="left" w:pos="426"/>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Quel avenir pour les produits financiers participatifs ?</w:t>
      </w:r>
    </w:p>
    <w:p w14:paraId="00DE420F" w14:textId="77777777" w:rsidR="002760B2" w:rsidRPr="002B005F" w:rsidRDefault="002760B2" w:rsidP="0033340B">
      <w:pPr>
        <w:pStyle w:val="Paragraphedeliste"/>
        <w:keepNext/>
        <w:tabs>
          <w:tab w:val="left" w:pos="0"/>
          <w:tab w:val="left" w:pos="426"/>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lastRenderedPageBreak/>
        <w:t xml:space="preserve">Après avoir identifié les questions de recherche, </w:t>
      </w:r>
      <w:r w:rsidR="00FA2382">
        <w:rPr>
          <w:rFonts w:ascii="Times New Roman" w:hAnsi="Times New Roman" w:cs="Times New Roman"/>
          <w:sz w:val="24"/>
          <w:szCs w:val="24"/>
        </w:rPr>
        <w:t>nous tentons</w:t>
      </w:r>
      <w:r w:rsidRPr="002B005F">
        <w:rPr>
          <w:rFonts w:ascii="Times New Roman" w:hAnsi="Times New Roman" w:cs="Times New Roman"/>
          <w:sz w:val="24"/>
          <w:szCs w:val="24"/>
        </w:rPr>
        <w:t xml:space="preserve"> de créer les objectifs généraux qui sont les suivants :</w:t>
      </w:r>
    </w:p>
    <w:p w14:paraId="6998F6BD" w14:textId="77777777" w:rsidR="002760B2" w:rsidRPr="002B005F" w:rsidRDefault="005653E9" w:rsidP="00CB0FF1">
      <w:pPr>
        <w:pStyle w:val="Paragraphedeliste"/>
        <w:keepNext/>
        <w:numPr>
          <w:ilvl w:val="0"/>
          <w:numId w:val="66"/>
        </w:numPr>
        <w:tabs>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Décrypter</w:t>
      </w:r>
      <w:r w:rsidR="002760B2" w:rsidRPr="002B005F">
        <w:rPr>
          <w:rFonts w:ascii="Times New Roman" w:hAnsi="Times New Roman" w:cs="Times New Roman"/>
          <w:sz w:val="24"/>
          <w:szCs w:val="24"/>
        </w:rPr>
        <w:t xml:space="preserve"> les causes qui entravent les BI d’utiliser les produits financiers participatifs ;</w:t>
      </w:r>
    </w:p>
    <w:p w14:paraId="2C3EA0D5" w14:textId="77777777" w:rsidR="002760B2" w:rsidRPr="002B005F" w:rsidRDefault="002760B2" w:rsidP="00CB0FF1">
      <w:pPr>
        <w:pStyle w:val="Paragraphedeliste"/>
        <w:numPr>
          <w:ilvl w:val="0"/>
          <w:numId w:val="66"/>
        </w:numPr>
        <w:tabs>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Etudier l'effet des différentes variables de contrôle comme la région, le poste occupé du répondant, la nature de l'IF, la nature des opérations et les normes comptables sur la perception des risques par les participants, la mesure et les techniques d’atténuation des </w:t>
      </w:r>
      <w:r w:rsidR="00387B4D" w:rsidRPr="002B005F">
        <w:rPr>
          <w:rFonts w:ascii="Times New Roman" w:hAnsi="Times New Roman" w:cs="Times New Roman"/>
          <w:sz w:val="24"/>
          <w:szCs w:val="24"/>
        </w:rPr>
        <w:t>risques ;</w:t>
      </w:r>
    </w:p>
    <w:p w14:paraId="79ACC718" w14:textId="77777777" w:rsidR="002760B2" w:rsidRPr="002B005F" w:rsidRDefault="002760B2" w:rsidP="00CB0FF1">
      <w:pPr>
        <w:pStyle w:val="Paragraphedeliste"/>
        <w:numPr>
          <w:ilvl w:val="0"/>
          <w:numId w:val="66"/>
        </w:numPr>
        <w:tabs>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Examiner la différence (si elle existe) entre la théorie et la pratique d</w:t>
      </w:r>
      <w:r w:rsidR="00E9218A">
        <w:rPr>
          <w:rFonts w:ascii="Times New Roman" w:hAnsi="Times New Roman" w:cs="Times New Roman"/>
          <w:sz w:val="24"/>
          <w:szCs w:val="24"/>
        </w:rPr>
        <w:t>e l</w:t>
      </w:r>
      <w:r w:rsidR="00A92C35">
        <w:rPr>
          <w:rFonts w:ascii="Times New Roman" w:hAnsi="Times New Roman" w:cs="Times New Roman"/>
          <w:sz w:val="24"/>
          <w:szCs w:val="24"/>
        </w:rPr>
        <w:t>’industrie</w:t>
      </w:r>
      <w:r w:rsidRPr="002B005F">
        <w:rPr>
          <w:rFonts w:ascii="Times New Roman" w:hAnsi="Times New Roman" w:cs="Times New Roman"/>
          <w:sz w:val="24"/>
          <w:szCs w:val="24"/>
        </w:rPr>
        <w:t xml:space="preserve"> </w:t>
      </w:r>
      <w:r w:rsidR="00A92C35">
        <w:rPr>
          <w:rFonts w:ascii="Times New Roman" w:hAnsi="Times New Roman" w:cs="Times New Roman"/>
          <w:sz w:val="24"/>
          <w:szCs w:val="24"/>
        </w:rPr>
        <w:t xml:space="preserve">bancaire </w:t>
      </w:r>
      <w:r w:rsidR="00E9218A">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w:t>
      </w:r>
    </w:p>
    <w:p w14:paraId="745EDB00" w14:textId="77777777" w:rsidR="002760B2" w:rsidRPr="002B005F" w:rsidRDefault="002760B2" w:rsidP="00CB0FF1">
      <w:pPr>
        <w:pStyle w:val="Paragraphedeliste"/>
        <w:numPr>
          <w:ilvl w:val="0"/>
          <w:numId w:val="66"/>
        </w:numPr>
        <w:tabs>
          <w:tab w:val="left" w:pos="851"/>
          <w:tab w:val="left" w:pos="1276"/>
        </w:tabs>
        <w:spacing w:before="6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Déceler les meilleures techniques de gestion de risques susceptibles d’encourager les BI à recourir aux modes de financement participatif.</w:t>
      </w:r>
    </w:p>
    <w:p w14:paraId="760495CB" w14:textId="77777777" w:rsidR="002760B2" w:rsidRPr="002B005F" w:rsidRDefault="002760B2" w:rsidP="0033340B">
      <w:pPr>
        <w:pStyle w:val="Paragraphedeliste"/>
        <w:tabs>
          <w:tab w:val="left" w:pos="0"/>
        </w:tabs>
        <w:spacing w:before="120" w:line="300" w:lineRule="auto"/>
        <w:ind w:left="0" w:firstLine="709"/>
        <w:contextualSpacing w:val="0"/>
        <w:rPr>
          <w:rFonts w:ascii="Times New Roman" w:hAnsi="Times New Roman" w:cs="Times New Roman"/>
          <w:spacing w:val="-4"/>
          <w:sz w:val="24"/>
          <w:szCs w:val="24"/>
        </w:rPr>
      </w:pPr>
      <w:r w:rsidRPr="002B005F">
        <w:rPr>
          <w:rFonts w:ascii="Times New Roman" w:hAnsi="Times New Roman" w:cs="Times New Roman"/>
          <w:spacing w:val="-4"/>
          <w:sz w:val="24"/>
          <w:szCs w:val="24"/>
        </w:rPr>
        <w:t xml:space="preserve">Après avoir examiné la revue de la littérature, identifié les problèmes de la recherche et encadré ses objectifs, ce qui suit est la formulation des hypothèses de la recherche. Les résultats d’analyse de données du questionnaire sont testés par rapport à ces hypothèses et des conclusions sont tirées par la suite. En outre, afin de </w:t>
      </w:r>
      <w:r w:rsidR="004A4E16" w:rsidRPr="002B005F">
        <w:rPr>
          <w:rFonts w:ascii="Times New Roman" w:hAnsi="Times New Roman" w:cs="Times New Roman"/>
          <w:spacing w:val="-4"/>
          <w:sz w:val="24"/>
          <w:szCs w:val="24"/>
        </w:rPr>
        <w:t>répondre</w:t>
      </w:r>
      <w:r w:rsidRPr="002B005F">
        <w:rPr>
          <w:rFonts w:ascii="Times New Roman" w:hAnsi="Times New Roman" w:cs="Times New Roman"/>
          <w:spacing w:val="-4"/>
          <w:sz w:val="24"/>
          <w:szCs w:val="24"/>
        </w:rPr>
        <w:t xml:space="preserve"> aux différentes questions posées ci-dessus</w:t>
      </w:r>
      <w:r w:rsidR="0025629D">
        <w:rPr>
          <w:rFonts w:ascii="Times New Roman" w:hAnsi="Times New Roman" w:cs="Times New Roman"/>
          <w:spacing w:val="-4"/>
          <w:sz w:val="24"/>
          <w:szCs w:val="24"/>
        </w:rPr>
        <w:t>,</w:t>
      </w:r>
      <w:r w:rsidRPr="002B005F">
        <w:rPr>
          <w:rFonts w:ascii="Times New Roman" w:hAnsi="Times New Roman" w:cs="Times New Roman"/>
          <w:spacing w:val="-4"/>
          <w:sz w:val="24"/>
          <w:szCs w:val="24"/>
        </w:rPr>
        <w:t xml:space="preserve"> </w:t>
      </w:r>
      <w:r w:rsidR="00FA2382">
        <w:rPr>
          <w:rFonts w:ascii="Times New Roman" w:hAnsi="Times New Roman" w:cs="Times New Roman"/>
          <w:spacing w:val="-4"/>
          <w:sz w:val="24"/>
          <w:szCs w:val="24"/>
        </w:rPr>
        <w:t>nous avons</w:t>
      </w:r>
      <w:r w:rsidRPr="002B005F">
        <w:rPr>
          <w:rFonts w:ascii="Times New Roman" w:hAnsi="Times New Roman" w:cs="Times New Roman"/>
          <w:spacing w:val="-4"/>
          <w:sz w:val="24"/>
          <w:szCs w:val="24"/>
        </w:rPr>
        <w:t xml:space="preserve"> formulé des hypothèses supplémentaires et des sous-hypothèses afin d’approfondir l'impact des différentes catégories de répondants sur la perception du risque.</w:t>
      </w:r>
    </w:p>
    <w:p w14:paraId="28F38442" w14:textId="77777777" w:rsidR="005D4E25" w:rsidRPr="00BC2D2F" w:rsidRDefault="00245F45" w:rsidP="0033340B">
      <w:pPr>
        <w:pStyle w:val="Titre3"/>
        <w:keepNext w:val="0"/>
        <w:keepLines w:val="0"/>
        <w:spacing w:before="100" w:beforeAutospacing="1" w:after="120" w:line="300" w:lineRule="auto"/>
        <w:ind w:firstLine="709"/>
        <w:rPr>
          <w:sz w:val="28"/>
          <w:szCs w:val="28"/>
        </w:rPr>
      </w:pPr>
      <w:bookmarkStart w:id="1502" w:name="_Toc182298888"/>
      <w:r w:rsidRPr="00BC2D2F">
        <w:rPr>
          <w:sz w:val="28"/>
          <w:szCs w:val="28"/>
        </w:rPr>
        <w:t>1</w:t>
      </w:r>
      <w:r w:rsidR="00220521" w:rsidRPr="00BC2D2F">
        <w:rPr>
          <w:sz w:val="28"/>
          <w:szCs w:val="28"/>
        </w:rPr>
        <w:t xml:space="preserve">.2- </w:t>
      </w:r>
      <w:r w:rsidR="005D4E25" w:rsidRPr="00BC2D2F">
        <w:rPr>
          <w:sz w:val="28"/>
          <w:szCs w:val="28"/>
        </w:rPr>
        <w:t>Hypothèses de recherche</w:t>
      </w:r>
      <w:bookmarkEnd w:id="1502"/>
    </w:p>
    <w:p w14:paraId="2125A707" w14:textId="77777777" w:rsidR="002760B2" w:rsidRPr="00FA2382" w:rsidRDefault="002760B2" w:rsidP="0033340B">
      <w:pPr>
        <w:pStyle w:val="Paragraphedeliste"/>
        <w:tabs>
          <w:tab w:val="left" w:pos="0"/>
        </w:tabs>
        <w:spacing w:before="120" w:after="120" w:line="300" w:lineRule="auto"/>
        <w:ind w:left="0" w:firstLine="709"/>
        <w:contextualSpacing w:val="0"/>
        <w:rPr>
          <w:rFonts w:ascii="Times New Roman" w:hAnsi="Times New Roman" w:cs="Times New Roman"/>
          <w:spacing w:val="-6"/>
          <w:sz w:val="24"/>
          <w:szCs w:val="24"/>
        </w:rPr>
      </w:pPr>
      <w:r w:rsidRPr="00FA2382">
        <w:rPr>
          <w:rFonts w:ascii="Times New Roman" w:hAnsi="Times New Roman" w:cs="Times New Roman"/>
          <w:spacing w:val="-6"/>
          <w:sz w:val="24"/>
          <w:szCs w:val="24"/>
        </w:rPr>
        <w:t xml:space="preserve">Les hypothèses </w:t>
      </w:r>
      <w:r w:rsidR="00FA2382" w:rsidRPr="00FA2382">
        <w:rPr>
          <w:rFonts w:ascii="Times New Roman" w:hAnsi="Times New Roman" w:cs="Times New Roman"/>
          <w:spacing w:val="-6"/>
          <w:sz w:val="24"/>
          <w:szCs w:val="24"/>
        </w:rPr>
        <w:t>et</w:t>
      </w:r>
      <w:r w:rsidRPr="00FA2382">
        <w:rPr>
          <w:rFonts w:ascii="Times New Roman" w:hAnsi="Times New Roman" w:cs="Times New Roman"/>
          <w:spacing w:val="-6"/>
          <w:sz w:val="24"/>
          <w:szCs w:val="24"/>
        </w:rPr>
        <w:t xml:space="preserve"> les sous-hypothèses de notre recherche sont catégorisées comme </w:t>
      </w:r>
      <w:r w:rsidR="00043C56" w:rsidRPr="00FA2382">
        <w:rPr>
          <w:rFonts w:ascii="Times New Roman" w:hAnsi="Times New Roman" w:cs="Times New Roman"/>
          <w:spacing w:val="-6"/>
          <w:sz w:val="24"/>
          <w:szCs w:val="24"/>
        </w:rPr>
        <w:t>suit :</w:t>
      </w:r>
    </w:p>
    <w:p w14:paraId="3C858339" w14:textId="77777777" w:rsidR="00FA2382" w:rsidRPr="00FA2382" w:rsidRDefault="00FA2382" w:rsidP="00CB0FF1">
      <w:pPr>
        <w:pStyle w:val="Paragraphedeliste"/>
        <w:numPr>
          <w:ilvl w:val="0"/>
          <w:numId w:val="100"/>
        </w:numPr>
        <w:tabs>
          <w:tab w:val="left" w:pos="709"/>
        </w:tabs>
        <w:spacing w:line="300" w:lineRule="auto"/>
        <w:ind w:left="1135" w:hanging="284"/>
        <w:contextualSpacing w:val="0"/>
        <w:rPr>
          <w:rFonts w:ascii="Times New Roman" w:hAnsi="Times New Roman" w:cs="Times New Roman"/>
          <w:b/>
          <w:bCs/>
          <w:sz w:val="24"/>
          <w:szCs w:val="24"/>
        </w:rPr>
      </w:pPr>
      <w:bookmarkStart w:id="1503" w:name="_Toc33263372"/>
      <w:bookmarkStart w:id="1504" w:name="_Toc37664635"/>
      <w:bookmarkStart w:id="1505" w:name="_Toc37666480"/>
      <w:bookmarkStart w:id="1506" w:name="_Toc54363377"/>
      <w:bookmarkStart w:id="1507" w:name="_Toc58606361"/>
      <w:bookmarkStart w:id="1508" w:name="_Toc61263566"/>
      <w:r w:rsidRPr="00FA2382">
        <w:rPr>
          <w:rFonts w:ascii="Times New Roman" w:hAnsi="Times New Roman" w:cs="Times New Roman"/>
          <w:b/>
          <w:bCs/>
          <w:sz w:val="24"/>
          <w:szCs w:val="24"/>
        </w:rPr>
        <w:t>Hypothèse 01 :</w:t>
      </w:r>
    </w:p>
    <w:p w14:paraId="6907E6B7" w14:textId="77777777" w:rsidR="00FA2382" w:rsidRPr="00FA2382" w:rsidRDefault="00FA2382" w:rsidP="0033340B">
      <w:pPr>
        <w:pStyle w:val="Paragraphedeliste"/>
        <w:tabs>
          <w:tab w:val="left" w:pos="1134"/>
        </w:tabs>
        <w:spacing w:line="300" w:lineRule="auto"/>
        <w:ind w:left="1134"/>
        <w:contextualSpacing w:val="0"/>
        <w:rPr>
          <w:rFonts w:ascii="Times New Roman" w:hAnsi="Times New Roman" w:cs="Times New Roman"/>
          <w:sz w:val="24"/>
          <w:szCs w:val="24"/>
        </w:rPr>
      </w:pPr>
      <w:r w:rsidRPr="00FA2382">
        <w:rPr>
          <w:rFonts w:ascii="Times New Roman" w:hAnsi="Times New Roman" w:cs="Times New Roman"/>
          <w:sz w:val="24"/>
          <w:szCs w:val="24"/>
        </w:rPr>
        <w:t>Certains risques inhérents au financement participatif n’encourageraient pas le recours aux modes islamiques à logique de partenariat.</w:t>
      </w:r>
    </w:p>
    <w:p w14:paraId="6F2ADF7B" w14:textId="77777777" w:rsidR="00FA2382" w:rsidRPr="00FA2382" w:rsidRDefault="00FA2382" w:rsidP="009D5053">
      <w:pPr>
        <w:pStyle w:val="Paragraphedeliste"/>
        <w:spacing w:before="120" w:after="120" w:line="300" w:lineRule="auto"/>
        <w:ind w:left="1701" w:hanging="567"/>
        <w:contextualSpacing w:val="0"/>
        <w:rPr>
          <w:rFonts w:asciiTheme="majorBidi" w:hAnsiTheme="majorBidi" w:cstheme="majorBidi"/>
          <w:sz w:val="24"/>
          <w:szCs w:val="24"/>
        </w:rPr>
      </w:pPr>
      <w:r w:rsidRPr="00FA2382">
        <w:rPr>
          <w:rFonts w:asciiTheme="majorBidi" w:hAnsiTheme="majorBidi" w:cstheme="majorBidi"/>
          <w:b/>
          <w:bCs/>
          <w:sz w:val="24"/>
          <w:szCs w:val="24"/>
        </w:rPr>
        <w:t>H1-1</w:t>
      </w:r>
      <w:r w:rsidRPr="00FA2382">
        <w:rPr>
          <w:rFonts w:asciiTheme="majorBidi" w:hAnsiTheme="majorBidi" w:cstheme="majorBidi"/>
          <w:sz w:val="24"/>
          <w:szCs w:val="24"/>
        </w:rPr>
        <w:t>: Il n'y a pas de différence statistiquement significative entre les répondants par rapport à leur perception des différents risques selon les régions.</w:t>
      </w:r>
    </w:p>
    <w:p w14:paraId="5ACC6C31" w14:textId="77777777" w:rsidR="00FA2382" w:rsidRPr="00560D19" w:rsidRDefault="00FA2382" w:rsidP="009D5053">
      <w:pPr>
        <w:pStyle w:val="Paragraphedeliste"/>
        <w:spacing w:before="120" w:after="120" w:line="300" w:lineRule="auto"/>
        <w:ind w:left="1701" w:hanging="567"/>
        <w:contextualSpacing w:val="0"/>
        <w:rPr>
          <w:rFonts w:asciiTheme="majorBidi" w:hAnsiTheme="majorBidi" w:cstheme="majorBidi"/>
          <w:spacing w:val="-6"/>
          <w:sz w:val="24"/>
          <w:szCs w:val="24"/>
        </w:rPr>
      </w:pPr>
      <w:r w:rsidRPr="00FA2382">
        <w:rPr>
          <w:rFonts w:asciiTheme="majorBidi" w:hAnsiTheme="majorBidi" w:cstheme="majorBidi"/>
          <w:b/>
          <w:bCs/>
          <w:sz w:val="24"/>
          <w:szCs w:val="24"/>
        </w:rPr>
        <w:t>H1-2</w:t>
      </w:r>
      <w:r w:rsidRPr="00FA2382">
        <w:rPr>
          <w:rFonts w:asciiTheme="majorBidi" w:hAnsiTheme="majorBidi" w:cstheme="majorBidi"/>
          <w:sz w:val="24"/>
          <w:szCs w:val="24"/>
        </w:rPr>
        <w:t xml:space="preserve">: </w:t>
      </w:r>
      <w:r w:rsidRPr="00560D19">
        <w:rPr>
          <w:rFonts w:asciiTheme="majorBidi" w:hAnsiTheme="majorBidi" w:cstheme="majorBidi"/>
          <w:spacing w:val="-6"/>
          <w:sz w:val="24"/>
          <w:szCs w:val="24"/>
        </w:rPr>
        <w:t>Il n'y a pas de différence statistiquement significative entre les répondants par rapport à leur perception des différents risques en fonction du poste du répondant.</w:t>
      </w:r>
    </w:p>
    <w:p w14:paraId="6F5F6D0A" w14:textId="77777777" w:rsidR="00FA2382" w:rsidRPr="00FA2382" w:rsidRDefault="00FA2382" w:rsidP="009D5053">
      <w:pPr>
        <w:pStyle w:val="Paragraphedeliste"/>
        <w:spacing w:line="300" w:lineRule="auto"/>
        <w:ind w:left="1701" w:hanging="567"/>
        <w:contextualSpacing w:val="0"/>
        <w:rPr>
          <w:rFonts w:asciiTheme="majorBidi" w:hAnsiTheme="majorBidi" w:cstheme="majorBidi"/>
          <w:sz w:val="24"/>
          <w:szCs w:val="24"/>
        </w:rPr>
      </w:pPr>
      <w:r w:rsidRPr="00FA2382">
        <w:rPr>
          <w:rFonts w:asciiTheme="majorBidi" w:hAnsiTheme="majorBidi" w:cstheme="majorBidi"/>
          <w:b/>
          <w:bCs/>
          <w:sz w:val="24"/>
          <w:szCs w:val="24"/>
        </w:rPr>
        <w:t>H1-3</w:t>
      </w:r>
      <w:r w:rsidRPr="00FA2382">
        <w:rPr>
          <w:rFonts w:asciiTheme="majorBidi" w:hAnsiTheme="majorBidi" w:cstheme="majorBidi"/>
          <w:sz w:val="24"/>
          <w:szCs w:val="24"/>
        </w:rPr>
        <w:t>: Il n'y a pas de différence statistiquement significative entre les répondants par rapport à leur perception des différents risques selon les normes comptables.</w:t>
      </w:r>
    </w:p>
    <w:p w14:paraId="3AE6FF49" w14:textId="77777777" w:rsidR="00FA2382" w:rsidRPr="00560D19" w:rsidRDefault="00FA2382" w:rsidP="009D5053">
      <w:pPr>
        <w:pStyle w:val="Paragraphedeliste"/>
        <w:spacing w:line="300" w:lineRule="auto"/>
        <w:ind w:left="1701" w:hanging="567"/>
        <w:contextualSpacing w:val="0"/>
        <w:rPr>
          <w:rFonts w:asciiTheme="majorBidi" w:hAnsiTheme="majorBidi" w:cstheme="majorBidi"/>
          <w:spacing w:val="-4"/>
          <w:sz w:val="24"/>
          <w:szCs w:val="24"/>
        </w:rPr>
      </w:pPr>
      <w:r w:rsidRPr="00FA2382">
        <w:rPr>
          <w:rFonts w:asciiTheme="majorBidi" w:hAnsiTheme="majorBidi" w:cstheme="majorBidi"/>
          <w:b/>
          <w:bCs/>
          <w:sz w:val="24"/>
          <w:szCs w:val="24"/>
        </w:rPr>
        <w:t>H1-4</w:t>
      </w:r>
      <w:r w:rsidRPr="00FA2382">
        <w:rPr>
          <w:rFonts w:asciiTheme="majorBidi" w:hAnsiTheme="majorBidi" w:cstheme="majorBidi"/>
          <w:sz w:val="24"/>
          <w:szCs w:val="24"/>
        </w:rPr>
        <w:t xml:space="preserve">: </w:t>
      </w:r>
      <w:r w:rsidRPr="00560D19">
        <w:rPr>
          <w:rFonts w:asciiTheme="majorBidi" w:hAnsiTheme="majorBidi" w:cstheme="majorBidi"/>
          <w:spacing w:val="-4"/>
          <w:sz w:val="24"/>
          <w:szCs w:val="24"/>
        </w:rPr>
        <w:t>Il n'y a pas de différence statistiquement significative entre les répondants par rapport à leur perception des différents risques en fonction de la nature de la BI.</w:t>
      </w:r>
    </w:p>
    <w:p w14:paraId="4ADC67AA" w14:textId="77777777" w:rsidR="00FA2382" w:rsidRPr="00FA2382" w:rsidRDefault="00FA2382" w:rsidP="00CB0FF1">
      <w:pPr>
        <w:pStyle w:val="Paragraphedeliste"/>
        <w:keepNext/>
        <w:keepLines/>
        <w:numPr>
          <w:ilvl w:val="0"/>
          <w:numId w:val="100"/>
        </w:numPr>
        <w:tabs>
          <w:tab w:val="left" w:pos="0"/>
        </w:tabs>
        <w:spacing w:before="120" w:line="300" w:lineRule="auto"/>
        <w:ind w:left="1135" w:hanging="284"/>
        <w:contextualSpacing w:val="0"/>
        <w:rPr>
          <w:rFonts w:asciiTheme="majorBidi" w:hAnsiTheme="majorBidi" w:cstheme="majorBidi"/>
          <w:sz w:val="24"/>
          <w:szCs w:val="24"/>
        </w:rPr>
      </w:pPr>
      <w:r w:rsidRPr="00FA2382">
        <w:rPr>
          <w:rFonts w:ascii="Times New Roman" w:hAnsi="Times New Roman" w:cs="Times New Roman"/>
          <w:b/>
          <w:bCs/>
          <w:sz w:val="24"/>
          <w:szCs w:val="24"/>
        </w:rPr>
        <w:lastRenderedPageBreak/>
        <w:t>Hypothèse 02 :</w:t>
      </w:r>
    </w:p>
    <w:p w14:paraId="0481BDED" w14:textId="379EFBD1" w:rsidR="00FA2382" w:rsidRPr="00FA2382" w:rsidRDefault="00FA2382" w:rsidP="009D5053">
      <w:pPr>
        <w:pStyle w:val="Paragraphedeliste"/>
        <w:keepNext/>
        <w:keepLines/>
        <w:tabs>
          <w:tab w:val="left" w:pos="0"/>
        </w:tabs>
        <w:spacing w:before="120" w:line="300" w:lineRule="auto"/>
        <w:ind w:left="1134"/>
        <w:contextualSpacing w:val="0"/>
        <w:rPr>
          <w:rFonts w:asciiTheme="majorBidi" w:hAnsiTheme="majorBidi" w:cstheme="majorBidi"/>
          <w:sz w:val="24"/>
          <w:szCs w:val="24"/>
        </w:rPr>
      </w:pPr>
      <w:r w:rsidRPr="00FA2382">
        <w:rPr>
          <w:rFonts w:asciiTheme="majorBidi" w:hAnsiTheme="majorBidi" w:cstheme="majorBidi"/>
          <w:sz w:val="24"/>
          <w:szCs w:val="24"/>
        </w:rPr>
        <w:t>Les contrats financiers participatifs sont perçus comme plus risqués que les contrats de financement à revenu fixe.</w:t>
      </w:r>
    </w:p>
    <w:p w14:paraId="005FE66C" w14:textId="281C2AE3" w:rsidR="00FA2382" w:rsidRPr="00560D19" w:rsidRDefault="00FA2382" w:rsidP="009D5053">
      <w:pPr>
        <w:pStyle w:val="Paragraphedeliste"/>
        <w:keepNext/>
        <w:keepLines/>
        <w:tabs>
          <w:tab w:val="left" w:pos="0"/>
        </w:tabs>
        <w:spacing w:line="300" w:lineRule="auto"/>
        <w:ind w:left="1701" w:hanging="567"/>
        <w:contextualSpacing w:val="0"/>
        <w:rPr>
          <w:rFonts w:asciiTheme="majorBidi" w:hAnsiTheme="majorBidi" w:cstheme="majorBidi"/>
          <w:sz w:val="24"/>
          <w:szCs w:val="24"/>
        </w:rPr>
      </w:pPr>
      <w:r w:rsidRPr="00FA2382">
        <w:rPr>
          <w:rFonts w:asciiTheme="majorBidi" w:hAnsiTheme="majorBidi" w:cstheme="majorBidi"/>
          <w:b/>
          <w:bCs/>
          <w:sz w:val="24"/>
          <w:szCs w:val="24"/>
        </w:rPr>
        <w:t>H2-1 :</w:t>
      </w:r>
      <w:r w:rsidRPr="00FA2382">
        <w:rPr>
          <w:rFonts w:asciiTheme="majorBidi" w:hAnsiTheme="majorBidi" w:cstheme="majorBidi"/>
          <w:sz w:val="24"/>
          <w:szCs w:val="24"/>
        </w:rPr>
        <w:t xml:space="preserve"> </w:t>
      </w:r>
      <w:r w:rsidRPr="00560D19">
        <w:rPr>
          <w:rFonts w:asciiTheme="majorBidi" w:hAnsiTheme="majorBidi" w:cstheme="majorBidi"/>
          <w:sz w:val="24"/>
          <w:szCs w:val="24"/>
        </w:rPr>
        <w:t>Il n'y a pas de différences statistiquement significatives en ce qui concerne les perceptions à la gravité des risques des différents produits f</w:t>
      </w:r>
      <w:r w:rsidR="005510F2">
        <w:rPr>
          <w:rFonts w:asciiTheme="majorBidi" w:hAnsiTheme="majorBidi" w:cstheme="majorBidi"/>
          <w:sz w:val="24"/>
          <w:szCs w:val="24"/>
        </w:rPr>
        <w:t>i</w:t>
      </w:r>
      <w:r w:rsidRPr="00560D19">
        <w:rPr>
          <w:rFonts w:asciiTheme="majorBidi" w:hAnsiTheme="majorBidi" w:cstheme="majorBidi"/>
          <w:sz w:val="24"/>
          <w:szCs w:val="24"/>
        </w:rPr>
        <w:t>nanciers islamiques selon la région.</w:t>
      </w:r>
    </w:p>
    <w:p w14:paraId="7A176EFC" w14:textId="52A892FF" w:rsidR="00FA2382" w:rsidRPr="00FA2382" w:rsidRDefault="00FA2382" w:rsidP="009D5053">
      <w:pPr>
        <w:pStyle w:val="Paragraphedeliste"/>
        <w:tabs>
          <w:tab w:val="left" w:pos="0"/>
        </w:tabs>
        <w:spacing w:line="300" w:lineRule="auto"/>
        <w:ind w:left="1701" w:hanging="567"/>
        <w:contextualSpacing w:val="0"/>
        <w:rPr>
          <w:rFonts w:asciiTheme="majorBidi" w:hAnsiTheme="majorBidi" w:cstheme="majorBidi"/>
          <w:spacing w:val="-6"/>
          <w:sz w:val="24"/>
          <w:szCs w:val="24"/>
        </w:rPr>
      </w:pPr>
      <w:r w:rsidRPr="00FA2382">
        <w:rPr>
          <w:rFonts w:asciiTheme="majorBidi" w:hAnsiTheme="majorBidi" w:cstheme="majorBidi"/>
          <w:b/>
          <w:bCs/>
          <w:sz w:val="24"/>
          <w:szCs w:val="24"/>
        </w:rPr>
        <w:t>H2-2</w:t>
      </w:r>
      <w:r w:rsidRPr="00FA2382">
        <w:rPr>
          <w:rFonts w:asciiTheme="majorBidi" w:hAnsiTheme="majorBidi" w:cstheme="majorBidi"/>
          <w:sz w:val="24"/>
          <w:szCs w:val="24"/>
        </w:rPr>
        <w:t xml:space="preserve"> : </w:t>
      </w:r>
      <w:r w:rsidRPr="00FA2382">
        <w:rPr>
          <w:rFonts w:asciiTheme="majorBidi" w:hAnsiTheme="majorBidi" w:cstheme="majorBidi"/>
          <w:spacing w:val="-6"/>
          <w:sz w:val="24"/>
          <w:szCs w:val="24"/>
        </w:rPr>
        <w:t>Il n'y a pas de différences statistiquement significatives en ce qui concerne les perceptions à la gravité des risques des différents produits f</w:t>
      </w:r>
      <w:r w:rsidR="005510F2">
        <w:rPr>
          <w:rFonts w:asciiTheme="majorBidi" w:hAnsiTheme="majorBidi" w:cstheme="majorBidi"/>
          <w:spacing w:val="-6"/>
          <w:sz w:val="24"/>
          <w:szCs w:val="24"/>
        </w:rPr>
        <w:t>i</w:t>
      </w:r>
      <w:r w:rsidRPr="00FA2382">
        <w:rPr>
          <w:rFonts w:asciiTheme="majorBidi" w:hAnsiTheme="majorBidi" w:cstheme="majorBidi"/>
          <w:spacing w:val="-6"/>
          <w:sz w:val="24"/>
          <w:szCs w:val="24"/>
        </w:rPr>
        <w:t>nanciers islamiques selon le poste des répondants.</w:t>
      </w:r>
    </w:p>
    <w:p w14:paraId="7009AAC3" w14:textId="7FE3AC8D" w:rsidR="00FA2382" w:rsidRPr="00FA2382" w:rsidRDefault="00FA2382" w:rsidP="009D5053">
      <w:pPr>
        <w:pStyle w:val="Paragraphedeliste"/>
        <w:tabs>
          <w:tab w:val="left" w:pos="0"/>
        </w:tabs>
        <w:spacing w:line="300" w:lineRule="auto"/>
        <w:ind w:left="1701" w:hanging="567"/>
        <w:contextualSpacing w:val="0"/>
        <w:rPr>
          <w:rFonts w:asciiTheme="majorBidi" w:hAnsiTheme="majorBidi" w:cstheme="majorBidi"/>
          <w:spacing w:val="-6"/>
          <w:sz w:val="24"/>
          <w:szCs w:val="24"/>
        </w:rPr>
      </w:pPr>
      <w:r w:rsidRPr="00FA2382">
        <w:rPr>
          <w:rFonts w:asciiTheme="majorBidi" w:hAnsiTheme="majorBidi" w:cstheme="majorBidi"/>
          <w:b/>
          <w:bCs/>
          <w:sz w:val="24"/>
          <w:szCs w:val="24"/>
        </w:rPr>
        <w:t>H2-3</w:t>
      </w:r>
      <w:r w:rsidRPr="00FA2382">
        <w:rPr>
          <w:rFonts w:asciiTheme="majorBidi" w:hAnsiTheme="majorBidi" w:cstheme="majorBidi"/>
          <w:sz w:val="24"/>
          <w:szCs w:val="24"/>
        </w:rPr>
        <w:t xml:space="preserve"> : Il </w:t>
      </w:r>
      <w:r w:rsidRPr="00FA2382">
        <w:rPr>
          <w:rFonts w:asciiTheme="majorBidi" w:hAnsiTheme="majorBidi" w:cstheme="majorBidi"/>
          <w:spacing w:val="-6"/>
          <w:sz w:val="24"/>
          <w:szCs w:val="24"/>
        </w:rPr>
        <w:t xml:space="preserve">n'y a pas de différences statistiquement significatives en ce qui concerne les perceptions à la gravité des risques des différents produits </w:t>
      </w:r>
      <w:r w:rsidR="00257AFF" w:rsidRPr="00FA2382">
        <w:rPr>
          <w:rFonts w:asciiTheme="majorBidi" w:hAnsiTheme="majorBidi" w:cstheme="majorBidi"/>
          <w:spacing w:val="-6"/>
          <w:sz w:val="24"/>
          <w:szCs w:val="24"/>
        </w:rPr>
        <w:t>financiers</w:t>
      </w:r>
      <w:r w:rsidRPr="00FA2382">
        <w:rPr>
          <w:rFonts w:asciiTheme="majorBidi" w:hAnsiTheme="majorBidi" w:cstheme="majorBidi"/>
          <w:spacing w:val="-6"/>
          <w:sz w:val="24"/>
          <w:szCs w:val="24"/>
        </w:rPr>
        <w:t xml:space="preserve"> islamiques selon la nature des activités</w:t>
      </w:r>
      <w:r w:rsidRPr="00FA2382">
        <w:rPr>
          <w:rFonts w:asciiTheme="majorBidi" w:hAnsiTheme="majorBidi" w:cstheme="majorBidi"/>
          <w:sz w:val="24"/>
          <w:szCs w:val="24"/>
        </w:rPr>
        <w:t>.</w:t>
      </w:r>
    </w:p>
    <w:p w14:paraId="3DE8F4C0" w14:textId="692F500C" w:rsidR="00FA2382" w:rsidRPr="00FA2382" w:rsidRDefault="00FA2382" w:rsidP="00CB0FF1">
      <w:pPr>
        <w:pStyle w:val="Paragraphedeliste"/>
        <w:numPr>
          <w:ilvl w:val="0"/>
          <w:numId w:val="100"/>
        </w:numPr>
        <w:tabs>
          <w:tab w:val="left" w:pos="709"/>
        </w:tabs>
        <w:autoSpaceDE w:val="0"/>
        <w:autoSpaceDN w:val="0"/>
        <w:adjustRightInd w:val="0"/>
        <w:spacing w:before="120" w:line="300" w:lineRule="auto"/>
        <w:ind w:left="1135" w:hanging="284"/>
        <w:contextualSpacing w:val="0"/>
        <w:rPr>
          <w:rFonts w:asciiTheme="majorBidi" w:hAnsiTheme="majorBidi" w:cstheme="majorBidi"/>
          <w:sz w:val="24"/>
          <w:szCs w:val="24"/>
        </w:rPr>
      </w:pPr>
      <w:r w:rsidRPr="00FA2382">
        <w:rPr>
          <w:rFonts w:ascii="Times New Roman" w:hAnsi="Times New Roman" w:cs="Times New Roman"/>
          <w:b/>
          <w:bCs/>
          <w:sz w:val="24"/>
          <w:szCs w:val="24"/>
        </w:rPr>
        <w:t>Hypothèse 03 :</w:t>
      </w:r>
    </w:p>
    <w:p w14:paraId="2D02319C" w14:textId="61001374" w:rsidR="00FA2382" w:rsidRPr="00FA2382" w:rsidRDefault="00FA2382" w:rsidP="0033340B">
      <w:pPr>
        <w:pStyle w:val="Paragraphedeliste"/>
        <w:tabs>
          <w:tab w:val="left" w:pos="709"/>
        </w:tabs>
        <w:autoSpaceDE w:val="0"/>
        <w:autoSpaceDN w:val="0"/>
        <w:adjustRightInd w:val="0"/>
        <w:spacing w:line="300" w:lineRule="auto"/>
        <w:ind w:left="1134"/>
        <w:contextualSpacing w:val="0"/>
        <w:rPr>
          <w:rFonts w:asciiTheme="majorBidi" w:hAnsiTheme="majorBidi" w:cstheme="majorBidi"/>
          <w:sz w:val="24"/>
          <w:szCs w:val="24"/>
        </w:rPr>
      </w:pPr>
      <w:r w:rsidRPr="00FA2382">
        <w:rPr>
          <w:rFonts w:asciiTheme="majorBidi" w:hAnsiTheme="majorBidi" w:cstheme="majorBidi"/>
          <w:sz w:val="24"/>
          <w:szCs w:val="24"/>
        </w:rPr>
        <w:t>L’</w:t>
      </w:r>
      <w:r w:rsidR="00257AFF" w:rsidRPr="00FA2382">
        <w:rPr>
          <w:rFonts w:asciiTheme="majorBidi" w:hAnsiTheme="majorBidi" w:cstheme="majorBidi"/>
          <w:sz w:val="24"/>
          <w:szCs w:val="24"/>
        </w:rPr>
        <w:t>expérience</w:t>
      </w:r>
      <w:r w:rsidRPr="00FA2382">
        <w:rPr>
          <w:rFonts w:asciiTheme="majorBidi" w:hAnsiTheme="majorBidi" w:cstheme="majorBidi"/>
          <w:sz w:val="24"/>
          <w:szCs w:val="24"/>
        </w:rPr>
        <w:t xml:space="preserve"> accumulée par les BI leur a permis de </w:t>
      </w:r>
      <w:r w:rsidR="00257AFF" w:rsidRPr="00FA2382">
        <w:rPr>
          <w:rFonts w:asciiTheme="majorBidi" w:hAnsiTheme="majorBidi" w:cstheme="majorBidi"/>
          <w:sz w:val="24"/>
          <w:szCs w:val="24"/>
        </w:rPr>
        <w:t>développer</w:t>
      </w:r>
      <w:r w:rsidRPr="00FA2382">
        <w:rPr>
          <w:rFonts w:asciiTheme="majorBidi" w:hAnsiTheme="majorBidi" w:cstheme="majorBidi"/>
          <w:sz w:val="24"/>
          <w:szCs w:val="24"/>
        </w:rPr>
        <w:t xml:space="preserve"> une innovation financière en matière d’instruments de gestion des risques.</w:t>
      </w:r>
    </w:p>
    <w:p w14:paraId="4835E891" w14:textId="77777777" w:rsidR="002760B2" w:rsidRPr="00BC2D2F" w:rsidRDefault="00245F45" w:rsidP="0033340B">
      <w:pPr>
        <w:pStyle w:val="Titre3"/>
        <w:keepNext w:val="0"/>
        <w:keepLines w:val="0"/>
        <w:spacing w:before="100" w:beforeAutospacing="1" w:after="120" w:line="300" w:lineRule="auto"/>
        <w:ind w:firstLine="709"/>
        <w:rPr>
          <w:sz w:val="28"/>
          <w:szCs w:val="28"/>
        </w:rPr>
      </w:pPr>
      <w:bookmarkStart w:id="1509" w:name="_Toc182298889"/>
      <w:r w:rsidRPr="00BC2D2F">
        <w:rPr>
          <w:sz w:val="28"/>
          <w:szCs w:val="28"/>
        </w:rPr>
        <w:t>1</w:t>
      </w:r>
      <w:r w:rsidR="003F41F0" w:rsidRPr="00BC2D2F">
        <w:rPr>
          <w:sz w:val="28"/>
          <w:szCs w:val="28"/>
        </w:rPr>
        <w:t>.</w:t>
      </w:r>
      <w:r w:rsidR="00220521" w:rsidRPr="00BC2D2F">
        <w:rPr>
          <w:sz w:val="28"/>
          <w:szCs w:val="28"/>
        </w:rPr>
        <w:t>3</w:t>
      </w:r>
      <w:r w:rsidR="003F41F0" w:rsidRPr="00BC2D2F">
        <w:rPr>
          <w:sz w:val="28"/>
          <w:szCs w:val="28"/>
        </w:rPr>
        <w:t xml:space="preserve">- </w:t>
      </w:r>
      <w:r w:rsidR="002760B2" w:rsidRPr="00BC2D2F">
        <w:rPr>
          <w:sz w:val="28"/>
          <w:szCs w:val="28"/>
        </w:rPr>
        <w:t>Le questionnaire d'enquête</w:t>
      </w:r>
      <w:bookmarkEnd w:id="1503"/>
      <w:bookmarkEnd w:id="1504"/>
      <w:bookmarkEnd w:id="1505"/>
      <w:bookmarkEnd w:id="1506"/>
      <w:bookmarkEnd w:id="1507"/>
      <w:bookmarkEnd w:id="1508"/>
      <w:bookmarkEnd w:id="1509"/>
    </w:p>
    <w:p w14:paraId="5727D3AC" w14:textId="77777777" w:rsidR="002760B2" w:rsidRPr="002B005F" w:rsidRDefault="002760B2" w:rsidP="0033340B">
      <w:pPr>
        <w:tabs>
          <w:tab w:val="left" w:pos="0"/>
        </w:tabs>
        <w:autoSpaceDE w:val="0"/>
        <w:autoSpaceDN w:val="0"/>
        <w:adjustRightInd w:val="0"/>
        <w:spacing w:before="120"/>
        <w:ind w:firstLine="709"/>
        <w:rPr>
          <w:rFonts w:ascii="Times New Roman" w:hAnsi="Times New Roman" w:cs="Times New Roman"/>
          <w:sz w:val="24"/>
          <w:szCs w:val="24"/>
        </w:rPr>
      </w:pPr>
      <w:r w:rsidRPr="002B005F">
        <w:rPr>
          <w:rFonts w:ascii="Times New Roman" w:hAnsi="Times New Roman" w:cs="Times New Roman"/>
          <w:sz w:val="24"/>
          <w:szCs w:val="24"/>
        </w:rPr>
        <w:t>Un questionnaire est un instrument de recherche qui consiste en une série de questions méthodiquement posée dans le but de recueillir des informations auprès des répondants. C'est très populaire, puisque de nombreux types de données primaires peuvent être recueillis, y compris aspects motivationnels, attitudinaux, comportementaux et perceptifs du sujet étudié</w:t>
      </w:r>
      <w:r w:rsidRPr="002B005F">
        <w:rPr>
          <w:rStyle w:val="Appelnotedebasdep"/>
          <w:rFonts w:ascii="Times New Roman" w:hAnsi="Times New Roman"/>
          <w:sz w:val="24"/>
          <w:szCs w:val="24"/>
        </w:rPr>
        <w:footnoteReference w:id="398"/>
      </w:r>
      <w:r w:rsidRPr="002B005F">
        <w:rPr>
          <w:rFonts w:ascii="Times New Roman" w:hAnsi="Times New Roman" w:cs="Times New Roman"/>
          <w:sz w:val="24"/>
          <w:szCs w:val="24"/>
        </w:rPr>
        <w:t>.</w:t>
      </w:r>
    </w:p>
    <w:p w14:paraId="77F5556A" w14:textId="536E408B" w:rsidR="002760B2" w:rsidRPr="002B005F" w:rsidRDefault="002760B2" w:rsidP="0033340B">
      <w:pPr>
        <w:tabs>
          <w:tab w:val="left" w:pos="0"/>
        </w:tabs>
        <w:autoSpaceDE w:val="0"/>
        <w:autoSpaceDN w:val="0"/>
        <w:adjustRightInd w:val="0"/>
        <w:spacing w:before="120"/>
        <w:ind w:firstLine="709"/>
        <w:rPr>
          <w:rFonts w:ascii="Times New Roman" w:hAnsi="Times New Roman" w:cs="Times New Roman"/>
          <w:sz w:val="24"/>
          <w:szCs w:val="24"/>
        </w:rPr>
      </w:pPr>
      <w:r w:rsidRPr="002B005F">
        <w:rPr>
          <w:rFonts w:ascii="Times New Roman" w:hAnsi="Times New Roman" w:cs="Times New Roman"/>
          <w:sz w:val="24"/>
          <w:szCs w:val="24"/>
        </w:rPr>
        <w:t xml:space="preserve">Si elles sont correctement conçues et mises en œuvre, les enquêtes peuvent être un moyen efficace et précis de déterminer des informations sur une population donnée. Les résultats peuvent être fournis </w:t>
      </w:r>
      <w:r w:rsidR="00D81F61" w:rsidRPr="002B005F">
        <w:rPr>
          <w:rFonts w:ascii="Times New Roman" w:hAnsi="Times New Roman" w:cs="Times New Roman"/>
          <w:sz w:val="24"/>
          <w:szCs w:val="24"/>
        </w:rPr>
        <w:t>rapidement et</w:t>
      </w:r>
      <w:r w:rsidRPr="002B005F">
        <w:rPr>
          <w:rFonts w:ascii="Times New Roman" w:hAnsi="Times New Roman" w:cs="Times New Roman"/>
          <w:sz w:val="24"/>
          <w:szCs w:val="24"/>
        </w:rPr>
        <w:t xml:space="preserve"> ceci selon la taille de l'échantillon et la méthodologie choisie. Ils sont relativement peu coûteux. Les questionnaires d'enquête ont de nombreux avantages par rapport aux autres méthodes de collecte de données</w:t>
      </w:r>
      <w:r w:rsidRPr="002B005F">
        <w:rPr>
          <w:rStyle w:val="Appelnotedebasdep"/>
          <w:rFonts w:ascii="Times New Roman" w:hAnsi="Times New Roman"/>
          <w:sz w:val="24"/>
          <w:szCs w:val="24"/>
        </w:rPr>
        <w:footnoteReference w:id="399"/>
      </w:r>
      <w:r w:rsidRPr="002B005F">
        <w:rPr>
          <w:rFonts w:ascii="Times New Roman" w:hAnsi="Times New Roman" w:cs="Times New Roman"/>
          <w:sz w:val="24"/>
          <w:szCs w:val="24"/>
        </w:rPr>
        <w:t>.</w:t>
      </w:r>
      <w:r w:rsidR="0033340B">
        <w:rPr>
          <w:rFonts w:ascii="Times New Roman" w:hAnsi="Times New Roman" w:cs="Times New Roman"/>
          <w:sz w:val="24"/>
          <w:szCs w:val="24"/>
        </w:rPr>
        <w:t xml:space="preserve"> </w:t>
      </w:r>
      <w:r w:rsidRPr="002B005F">
        <w:rPr>
          <w:rFonts w:ascii="Times New Roman" w:hAnsi="Times New Roman" w:cs="Times New Roman"/>
          <w:sz w:val="24"/>
          <w:szCs w:val="24"/>
        </w:rPr>
        <w:t xml:space="preserve">Certains avantages des questionnaires peuvent être énumérés comme </w:t>
      </w:r>
      <w:r w:rsidR="007C0DB9" w:rsidRPr="002B005F">
        <w:rPr>
          <w:rFonts w:ascii="Times New Roman" w:hAnsi="Times New Roman" w:cs="Times New Roman"/>
          <w:sz w:val="24"/>
          <w:szCs w:val="24"/>
        </w:rPr>
        <w:t>suit :</w:t>
      </w:r>
    </w:p>
    <w:p w14:paraId="19DAB241" w14:textId="77777777" w:rsidR="002760B2" w:rsidRPr="002B005F" w:rsidRDefault="002760B2" w:rsidP="00CB0FF1">
      <w:pPr>
        <w:pStyle w:val="Paragraphedeliste"/>
        <w:numPr>
          <w:ilvl w:val="0"/>
          <w:numId w:val="39"/>
        </w:numPr>
        <w:tabs>
          <w:tab w:val="left" w:pos="284"/>
          <w:tab w:val="left" w:pos="851"/>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réponses sont collectées de manière standardisée, donc les questionnaires sont plus objectifs, certainement plus que les </w:t>
      </w:r>
      <w:r w:rsidR="00D81F61" w:rsidRPr="002B005F">
        <w:rPr>
          <w:rFonts w:ascii="Times New Roman" w:hAnsi="Times New Roman" w:cs="Times New Roman"/>
          <w:sz w:val="24"/>
          <w:szCs w:val="24"/>
        </w:rPr>
        <w:t>entretiens ;</w:t>
      </w:r>
    </w:p>
    <w:p w14:paraId="75F52D12" w14:textId="77777777" w:rsidR="002760B2" w:rsidRPr="002B005F" w:rsidRDefault="002760B2" w:rsidP="00CB0FF1">
      <w:pPr>
        <w:pStyle w:val="Paragraphedeliste"/>
        <w:numPr>
          <w:ilvl w:val="0"/>
          <w:numId w:val="39"/>
        </w:numPr>
        <w:tabs>
          <w:tab w:val="left" w:pos="284"/>
          <w:tab w:val="left" w:pos="851"/>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Il peut être complété à la convenance des </w:t>
      </w:r>
      <w:r w:rsidR="007C0DB9" w:rsidRPr="002B005F">
        <w:rPr>
          <w:rFonts w:ascii="Times New Roman" w:hAnsi="Times New Roman" w:cs="Times New Roman"/>
          <w:sz w:val="24"/>
          <w:szCs w:val="24"/>
        </w:rPr>
        <w:t>répondants ;</w:t>
      </w:r>
    </w:p>
    <w:p w14:paraId="59CEF3FD" w14:textId="77777777" w:rsidR="002760B2" w:rsidRPr="002B005F" w:rsidRDefault="002760B2" w:rsidP="00CB0FF1">
      <w:pPr>
        <w:pStyle w:val="Paragraphedeliste"/>
        <w:numPr>
          <w:ilvl w:val="0"/>
          <w:numId w:val="39"/>
        </w:numPr>
        <w:tabs>
          <w:tab w:val="left" w:pos="284"/>
          <w:tab w:val="left" w:pos="851"/>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pacing w:val="-14"/>
          <w:sz w:val="24"/>
          <w:szCs w:val="24"/>
        </w:rPr>
        <w:t>En général, il est relativement rapide de collecter des informations en utilisant un questionnaire</w:t>
      </w:r>
      <w:r w:rsidRPr="002B005F">
        <w:rPr>
          <w:rFonts w:ascii="Times New Roman" w:hAnsi="Times New Roman" w:cs="Times New Roman"/>
          <w:sz w:val="24"/>
          <w:szCs w:val="24"/>
        </w:rPr>
        <w:t> ;</w:t>
      </w:r>
    </w:p>
    <w:p w14:paraId="737312D7" w14:textId="77777777" w:rsidR="002760B2" w:rsidRPr="002B005F" w:rsidRDefault="002760B2" w:rsidP="00CB0FF1">
      <w:pPr>
        <w:pStyle w:val="Paragraphedeliste"/>
        <w:numPr>
          <w:ilvl w:val="0"/>
          <w:numId w:val="39"/>
        </w:numPr>
        <w:tabs>
          <w:tab w:val="left" w:pos="284"/>
          <w:tab w:val="left" w:pos="851"/>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coûts de collecte et de traitement des données sont </w:t>
      </w:r>
      <w:r w:rsidR="007C0DB9" w:rsidRPr="002B005F">
        <w:rPr>
          <w:rFonts w:ascii="Times New Roman" w:hAnsi="Times New Roman" w:cs="Times New Roman"/>
          <w:sz w:val="24"/>
          <w:szCs w:val="24"/>
        </w:rPr>
        <w:t>faibles ;</w:t>
      </w:r>
    </w:p>
    <w:p w14:paraId="20A6AB75" w14:textId="77777777" w:rsidR="002760B2" w:rsidRPr="002B005F" w:rsidRDefault="007C0DB9" w:rsidP="00CB0FF1">
      <w:pPr>
        <w:pStyle w:val="Paragraphedeliste"/>
        <w:numPr>
          <w:ilvl w:val="0"/>
          <w:numId w:val="39"/>
        </w:numPr>
        <w:tabs>
          <w:tab w:val="left" w:pos="284"/>
          <w:tab w:val="left" w:pos="851"/>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Puisque le</w:t>
      </w:r>
      <w:r w:rsidR="002760B2" w:rsidRPr="002B005F">
        <w:rPr>
          <w:rFonts w:ascii="Times New Roman" w:hAnsi="Times New Roman" w:cs="Times New Roman"/>
          <w:sz w:val="24"/>
          <w:szCs w:val="24"/>
        </w:rPr>
        <w:t xml:space="preserve"> questionnaire peut être anonyme, il encourage à répondre honnêtement aux questions, surtout aux questions </w:t>
      </w:r>
      <w:r w:rsidRPr="002B005F">
        <w:rPr>
          <w:rFonts w:ascii="Times New Roman" w:hAnsi="Times New Roman" w:cs="Times New Roman"/>
          <w:sz w:val="24"/>
          <w:szCs w:val="24"/>
        </w:rPr>
        <w:t>sensibles ;</w:t>
      </w:r>
    </w:p>
    <w:p w14:paraId="350C69F7" w14:textId="77777777" w:rsidR="003C1B60" w:rsidRDefault="002760B2" w:rsidP="00CB0FF1">
      <w:pPr>
        <w:pStyle w:val="Paragraphedeliste"/>
        <w:numPr>
          <w:ilvl w:val="0"/>
          <w:numId w:val="39"/>
        </w:numPr>
        <w:tabs>
          <w:tab w:val="left" w:pos="284"/>
          <w:tab w:val="left" w:pos="851"/>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Il peut couvrir un large échantillon de répondants en même temps.</w:t>
      </w:r>
    </w:p>
    <w:p w14:paraId="384A06FE" w14:textId="77777777" w:rsidR="002760B2" w:rsidRPr="003C1B60" w:rsidRDefault="002760B2" w:rsidP="00CB0FF1">
      <w:pPr>
        <w:pStyle w:val="Paragraphedeliste"/>
        <w:numPr>
          <w:ilvl w:val="0"/>
          <w:numId w:val="39"/>
        </w:numPr>
        <w:tabs>
          <w:tab w:val="left" w:pos="284"/>
          <w:tab w:val="left" w:pos="851"/>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3C1B60">
        <w:rPr>
          <w:rFonts w:ascii="Times New Roman" w:hAnsi="Times New Roman" w:cs="Times New Roman"/>
          <w:spacing w:val="-2"/>
          <w:sz w:val="24"/>
          <w:szCs w:val="24"/>
        </w:rPr>
        <w:t xml:space="preserve">D'un autre côté, la méthode du questionnaire présente certains inconvénients qui doivent être pris en considération. </w:t>
      </w:r>
      <w:r w:rsidRPr="003C1B60">
        <w:rPr>
          <w:rFonts w:ascii="Times New Roman" w:hAnsi="Times New Roman" w:cs="Times New Roman"/>
          <w:smallCaps/>
          <w:spacing w:val="-2"/>
          <w:sz w:val="24"/>
          <w:szCs w:val="24"/>
        </w:rPr>
        <w:t>Oppenheim</w:t>
      </w:r>
      <w:r w:rsidRPr="003C1B60">
        <w:rPr>
          <w:rFonts w:ascii="Times New Roman" w:hAnsi="Times New Roman" w:cs="Times New Roman"/>
          <w:spacing w:val="-2"/>
          <w:sz w:val="24"/>
          <w:szCs w:val="24"/>
        </w:rPr>
        <w:t xml:space="preserve"> (2001)</w:t>
      </w:r>
      <w:r w:rsidRPr="002B005F">
        <w:rPr>
          <w:rStyle w:val="Appelnotedebasdep"/>
          <w:rFonts w:ascii="Times New Roman" w:hAnsi="Times New Roman"/>
          <w:spacing w:val="-2"/>
          <w:sz w:val="24"/>
          <w:szCs w:val="24"/>
        </w:rPr>
        <w:footnoteReference w:id="400"/>
      </w:r>
      <w:r w:rsidRPr="003C1B60">
        <w:rPr>
          <w:rFonts w:ascii="Times New Roman" w:hAnsi="Times New Roman" w:cs="Times New Roman"/>
          <w:spacing w:val="-2"/>
          <w:sz w:val="24"/>
          <w:szCs w:val="24"/>
        </w:rPr>
        <w:t xml:space="preserve"> met en évidence les problèmes </w:t>
      </w:r>
      <w:r w:rsidR="007C0DB9" w:rsidRPr="003C1B60">
        <w:rPr>
          <w:rFonts w:ascii="Times New Roman" w:hAnsi="Times New Roman" w:cs="Times New Roman"/>
          <w:spacing w:val="-2"/>
          <w:sz w:val="24"/>
          <w:szCs w:val="24"/>
        </w:rPr>
        <w:t>suivants :</w:t>
      </w:r>
    </w:p>
    <w:p w14:paraId="0AFB0516" w14:textId="77777777" w:rsidR="002760B2" w:rsidRPr="002B005F" w:rsidRDefault="002760B2" w:rsidP="00CB0FF1">
      <w:pPr>
        <w:pStyle w:val="Paragraphedeliste"/>
        <w:numPr>
          <w:ilvl w:val="0"/>
          <w:numId w:val="40"/>
        </w:numPr>
        <w:tabs>
          <w:tab w:val="left" w:pos="284"/>
          <w:tab w:val="left" w:pos="709"/>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lastRenderedPageBreak/>
        <w:t>Certains répondants peuvent refuser de répondre aux questions ;</w:t>
      </w:r>
    </w:p>
    <w:p w14:paraId="5AFEC30E" w14:textId="77777777" w:rsidR="002760B2" w:rsidRPr="002B005F" w:rsidRDefault="002760B2" w:rsidP="00CB0FF1">
      <w:pPr>
        <w:pStyle w:val="Paragraphedeliste"/>
        <w:numPr>
          <w:ilvl w:val="0"/>
          <w:numId w:val="40"/>
        </w:numPr>
        <w:tabs>
          <w:tab w:val="left" w:pos="284"/>
          <w:tab w:val="left" w:pos="709"/>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Les répondants peuvent répondre superficiellement, surtout si le questionnaire est long. L'erreur commune de poser trop de questions devrait être évitée ;</w:t>
      </w:r>
    </w:p>
    <w:p w14:paraId="7A8DD469" w14:textId="77777777" w:rsidR="002760B2" w:rsidRPr="002B005F" w:rsidRDefault="002760B2" w:rsidP="00CB0FF1">
      <w:pPr>
        <w:pStyle w:val="Paragraphedeliste"/>
        <w:numPr>
          <w:ilvl w:val="0"/>
          <w:numId w:val="40"/>
        </w:numPr>
        <w:tabs>
          <w:tab w:val="left" w:pos="284"/>
          <w:tab w:val="left" w:pos="709"/>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La validité des réponses peut être compromise par une vue biaisée du </w:t>
      </w:r>
      <w:r w:rsidR="007C0DB9" w:rsidRPr="002B005F">
        <w:rPr>
          <w:rFonts w:ascii="Times New Roman" w:hAnsi="Times New Roman" w:cs="Times New Roman"/>
          <w:sz w:val="24"/>
          <w:szCs w:val="24"/>
        </w:rPr>
        <w:t>répondant ;</w:t>
      </w:r>
    </w:p>
    <w:p w14:paraId="2E1AC8AA" w14:textId="77777777" w:rsidR="002760B2" w:rsidRPr="002B005F" w:rsidRDefault="002760B2" w:rsidP="00CB0FF1">
      <w:pPr>
        <w:pStyle w:val="Paragraphedeliste"/>
        <w:numPr>
          <w:ilvl w:val="0"/>
          <w:numId w:val="40"/>
        </w:numPr>
        <w:tabs>
          <w:tab w:val="left" w:pos="284"/>
          <w:tab w:val="left" w:pos="709"/>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Aucune possibilité de corriger les malentendus ou de fournir des </w:t>
      </w:r>
      <w:r w:rsidR="007C0DB9" w:rsidRPr="002B005F">
        <w:rPr>
          <w:rFonts w:ascii="Times New Roman" w:hAnsi="Times New Roman" w:cs="Times New Roman"/>
          <w:sz w:val="24"/>
          <w:szCs w:val="24"/>
        </w:rPr>
        <w:t>explications ;</w:t>
      </w:r>
    </w:p>
    <w:p w14:paraId="5490F9CC" w14:textId="77777777" w:rsidR="002760B2" w:rsidRPr="002B005F" w:rsidRDefault="002760B2" w:rsidP="00CB0FF1">
      <w:pPr>
        <w:pStyle w:val="Paragraphedeliste"/>
        <w:numPr>
          <w:ilvl w:val="0"/>
          <w:numId w:val="40"/>
        </w:numPr>
        <w:tabs>
          <w:tab w:val="left" w:pos="284"/>
          <w:tab w:val="left" w:pos="709"/>
          <w:tab w:val="left" w:pos="1134"/>
        </w:tabs>
        <w:autoSpaceDE w:val="0"/>
        <w:autoSpaceDN w:val="0"/>
        <w:adjustRightInd w:val="0"/>
        <w:spacing w:before="40"/>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L'incapacité du répondant à répondre à la question pourrait influencer sur le taux de réponse et sur la fiabilité de l’enquête.</w:t>
      </w:r>
    </w:p>
    <w:p w14:paraId="58CBF15B" w14:textId="77777777" w:rsidR="002760B2" w:rsidRPr="009D5053" w:rsidRDefault="00245F45" w:rsidP="00264203">
      <w:pPr>
        <w:pStyle w:val="Titre4"/>
        <w:keepNext w:val="0"/>
        <w:spacing w:before="100" w:beforeAutospacing="1" w:after="120" w:line="300" w:lineRule="auto"/>
        <w:ind w:firstLine="709"/>
        <w:rPr>
          <w:kern w:val="24"/>
        </w:rPr>
      </w:pPr>
      <w:bookmarkStart w:id="1510" w:name="_Toc33263373"/>
      <w:bookmarkStart w:id="1511" w:name="_Toc37664636"/>
      <w:bookmarkStart w:id="1512" w:name="_Toc37666481"/>
      <w:bookmarkStart w:id="1513" w:name="_Toc54363378"/>
      <w:bookmarkStart w:id="1514" w:name="_Toc58606362"/>
      <w:bookmarkStart w:id="1515" w:name="_Toc61263567"/>
      <w:bookmarkStart w:id="1516" w:name="_Toc182298890"/>
      <w:r w:rsidRPr="009D5053">
        <w:rPr>
          <w:kern w:val="24"/>
        </w:rPr>
        <w:t>1</w:t>
      </w:r>
      <w:r w:rsidR="00220521" w:rsidRPr="009D5053">
        <w:rPr>
          <w:kern w:val="24"/>
        </w:rPr>
        <w:t xml:space="preserve">.3.1- </w:t>
      </w:r>
      <w:r w:rsidR="002760B2" w:rsidRPr="009D5053">
        <w:rPr>
          <w:kern w:val="24"/>
        </w:rPr>
        <w:t>Structure du questionnaire</w:t>
      </w:r>
      <w:bookmarkEnd w:id="1510"/>
      <w:bookmarkEnd w:id="1511"/>
      <w:bookmarkEnd w:id="1512"/>
      <w:bookmarkEnd w:id="1513"/>
      <w:bookmarkEnd w:id="1514"/>
      <w:bookmarkEnd w:id="1515"/>
      <w:bookmarkEnd w:id="1516"/>
    </w:p>
    <w:p w14:paraId="22F71FA1" w14:textId="77777777" w:rsidR="002760B2" w:rsidRPr="009D5053" w:rsidRDefault="002760B2" w:rsidP="0033340B">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9D5053">
        <w:rPr>
          <w:rFonts w:ascii="Times New Roman" w:hAnsi="Times New Roman" w:cs="Times New Roman"/>
          <w:kern w:val="24"/>
          <w:sz w:val="24"/>
          <w:szCs w:val="24"/>
        </w:rPr>
        <w:t xml:space="preserve">Le questionnaire de cette </w:t>
      </w:r>
      <w:r w:rsidR="007C0DB9" w:rsidRPr="009D5053">
        <w:rPr>
          <w:rFonts w:ascii="Times New Roman" w:hAnsi="Times New Roman" w:cs="Times New Roman"/>
          <w:kern w:val="24"/>
          <w:sz w:val="24"/>
          <w:szCs w:val="24"/>
        </w:rPr>
        <w:t>recherche a</w:t>
      </w:r>
      <w:r w:rsidRPr="009D5053">
        <w:rPr>
          <w:rFonts w:ascii="Times New Roman" w:hAnsi="Times New Roman" w:cs="Times New Roman"/>
          <w:kern w:val="24"/>
          <w:sz w:val="24"/>
          <w:szCs w:val="24"/>
        </w:rPr>
        <w:t xml:space="preserve"> été principalement développé par le chercheur en s'appuyant sur des conclusions de la revue de la littérature qui comprenait des articles, des livres, des thèses de doctorat, et des enquêtes exploratoires sur le thème de la gestion </w:t>
      </w:r>
      <w:r w:rsidR="007C0DB9" w:rsidRPr="009D5053">
        <w:rPr>
          <w:rFonts w:ascii="Times New Roman" w:hAnsi="Times New Roman" w:cs="Times New Roman"/>
          <w:kern w:val="24"/>
          <w:sz w:val="24"/>
          <w:szCs w:val="24"/>
        </w:rPr>
        <w:t>de risques</w:t>
      </w:r>
      <w:r w:rsidRPr="009D5053">
        <w:rPr>
          <w:rFonts w:ascii="Times New Roman" w:hAnsi="Times New Roman" w:cs="Times New Roman"/>
          <w:kern w:val="24"/>
          <w:sz w:val="24"/>
          <w:szCs w:val="24"/>
        </w:rPr>
        <w:t xml:space="preserve"> dans les banques </w:t>
      </w:r>
      <w:r w:rsidR="00A92C35" w:rsidRPr="009D5053">
        <w:rPr>
          <w:rFonts w:ascii="Times New Roman" w:hAnsi="Times New Roman" w:cs="Times New Roman"/>
          <w:kern w:val="24"/>
          <w:sz w:val="24"/>
          <w:szCs w:val="24"/>
        </w:rPr>
        <w:t>i</w:t>
      </w:r>
      <w:r w:rsidR="003773C6" w:rsidRPr="009D5053">
        <w:rPr>
          <w:rFonts w:ascii="Times New Roman" w:hAnsi="Times New Roman" w:cs="Times New Roman"/>
          <w:kern w:val="24"/>
          <w:sz w:val="24"/>
          <w:szCs w:val="24"/>
        </w:rPr>
        <w:t>slamique</w:t>
      </w:r>
      <w:r w:rsidRPr="009D5053">
        <w:rPr>
          <w:rFonts w:ascii="Times New Roman" w:hAnsi="Times New Roman" w:cs="Times New Roman"/>
          <w:kern w:val="24"/>
          <w:sz w:val="24"/>
          <w:szCs w:val="24"/>
        </w:rPr>
        <w:t xml:space="preserve">s. En particulier, les enquêtes menées par </w:t>
      </w:r>
      <w:r w:rsidRPr="009D5053">
        <w:rPr>
          <w:rFonts w:ascii="Times New Roman" w:hAnsi="Times New Roman" w:cs="Times New Roman"/>
          <w:smallCaps/>
          <w:kern w:val="24"/>
          <w:sz w:val="24"/>
          <w:szCs w:val="24"/>
        </w:rPr>
        <w:t>Eid</w:t>
      </w:r>
      <w:r w:rsidRPr="009D5053">
        <w:rPr>
          <w:rFonts w:ascii="Times New Roman" w:hAnsi="Times New Roman" w:cs="Times New Roman"/>
          <w:kern w:val="24"/>
          <w:sz w:val="24"/>
          <w:szCs w:val="24"/>
        </w:rPr>
        <w:t xml:space="preserve"> (2012) et par </w:t>
      </w:r>
      <w:r w:rsidRPr="009D5053">
        <w:rPr>
          <w:rFonts w:ascii="Times New Roman" w:hAnsi="Times New Roman" w:cs="Times New Roman"/>
          <w:smallCaps/>
          <w:kern w:val="24"/>
          <w:sz w:val="24"/>
          <w:szCs w:val="24"/>
        </w:rPr>
        <w:t>Khan</w:t>
      </w:r>
      <w:r w:rsidRPr="009D5053">
        <w:rPr>
          <w:rFonts w:ascii="Times New Roman" w:hAnsi="Times New Roman" w:cs="Times New Roman"/>
          <w:kern w:val="24"/>
          <w:sz w:val="24"/>
          <w:szCs w:val="24"/>
        </w:rPr>
        <w:t xml:space="preserve"> et </w:t>
      </w:r>
      <w:r w:rsidRPr="009D5053">
        <w:rPr>
          <w:rFonts w:ascii="Times New Roman" w:hAnsi="Times New Roman" w:cs="Times New Roman"/>
          <w:smallCaps/>
          <w:kern w:val="24"/>
          <w:sz w:val="24"/>
          <w:szCs w:val="24"/>
        </w:rPr>
        <w:t>Ahmed</w:t>
      </w:r>
      <w:r w:rsidRPr="009D5053">
        <w:rPr>
          <w:rFonts w:ascii="Times New Roman" w:hAnsi="Times New Roman" w:cs="Times New Roman"/>
          <w:kern w:val="24"/>
          <w:sz w:val="24"/>
          <w:szCs w:val="24"/>
        </w:rPr>
        <w:t xml:space="preserve"> (2001), qui ont été très utiles pour développer les questions. </w:t>
      </w:r>
    </w:p>
    <w:p w14:paraId="787814C0" w14:textId="0E08B9C7" w:rsidR="002760B2" w:rsidRPr="009D5053" w:rsidRDefault="002760B2" w:rsidP="009D5053">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9D5053">
        <w:rPr>
          <w:rFonts w:ascii="Times New Roman" w:hAnsi="Times New Roman" w:cs="Times New Roman"/>
          <w:kern w:val="24"/>
          <w:sz w:val="24"/>
          <w:szCs w:val="24"/>
        </w:rPr>
        <w:t>Notre questionnaire composé de huit pages (présenté à l'annexe 1) a été établi avec vingt-quatre questions principales, dont la plupart comportent un certain nombre de sous-questions.</w:t>
      </w:r>
      <w:r w:rsidR="009D5053">
        <w:rPr>
          <w:rFonts w:ascii="Times New Roman" w:hAnsi="Times New Roman" w:cs="Times New Roman"/>
          <w:kern w:val="24"/>
          <w:sz w:val="24"/>
          <w:szCs w:val="24"/>
        </w:rPr>
        <w:t xml:space="preserve"> </w:t>
      </w:r>
      <w:r w:rsidRPr="009D5053">
        <w:rPr>
          <w:rFonts w:ascii="Times New Roman" w:hAnsi="Times New Roman" w:cs="Times New Roman"/>
          <w:kern w:val="24"/>
          <w:sz w:val="24"/>
          <w:szCs w:val="24"/>
        </w:rPr>
        <w:t>L'enquête était principalement dominée par des questions fermées de manière où les répondants pouvaient répondre à toutes les questions aussi facilement que possible, avec des cases à cocher représentant les réponses attendues.</w:t>
      </w:r>
    </w:p>
    <w:p w14:paraId="52F5C66D" w14:textId="4613A5E0" w:rsidR="002760B2" w:rsidRPr="009D5053" w:rsidRDefault="002760B2" w:rsidP="009D5053">
      <w:pPr>
        <w:tabs>
          <w:tab w:val="left" w:pos="0"/>
        </w:tabs>
        <w:autoSpaceDE w:val="0"/>
        <w:autoSpaceDN w:val="0"/>
        <w:adjustRightInd w:val="0"/>
        <w:spacing w:before="120" w:line="300" w:lineRule="auto"/>
        <w:ind w:firstLine="709"/>
        <w:rPr>
          <w:rFonts w:ascii="Times New Roman" w:hAnsi="Times New Roman" w:cs="Times New Roman"/>
          <w:kern w:val="24"/>
          <w:sz w:val="24"/>
          <w:szCs w:val="24"/>
        </w:rPr>
      </w:pPr>
      <w:r w:rsidRPr="009D5053">
        <w:rPr>
          <w:rFonts w:ascii="Times New Roman" w:hAnsi="Times New Roman" w:cs="Times New Roman"/>
          <w:kern w:val="24"/>
          <w:sz w:val="24"/>
          <w:szCs w:val="24"/>
        </w:rPr>
        <w:t>Le type de questions utilisé dans le questionnaire varie en fonction du type d'informations requises pour tester les hypothèses de recherche. Les questions sont principalement des choix multiples afin de couvrir toutes les données pertinentes.</w:t>
      </w:r>
      <w:r w:rsidR="009D5053">
        <w:rPr>
          <w:rFonts w:ascii="Times New Roman" w:hAnsi="Times New Roman" w:cs="Times New Roman"/>
          <w:kern w:val="24"/>
          <w:sz w:val="24"/>
          <w:szCs w:val="24"/>
        </w:rPr>
        <w:t xml:space="preserve"> </w:t>
      </w:r>
      <w:r w:rsidRPr="009D5053">
        <w:rPr>
          <w:rFonts w:ascii="Times New Roman" w:hAnsi="Times New Roman" w:cs="Times New Roman"/>
          <w:kern w:val="24"/>
          <w:sz w:val="24"/>
          <w:szCs w:val="24"/>
        </w:rPr>
        <w:t xml:space="preserve">Le questionnaire a été divisé en </w:t>
      </w:r>
      <w:r w:rsidRPr="009D5053">
        <w:rPr>
          <w:rFonts w:ascii="Times New Roman" w:hAnsi="Times New Roman" w:cs="Times New Roman"/>
          <w:b/>
          <w:bCs/>
          <w:kern w:val="24"/>
          <w:sz w:val="24"/>
          <w:szCs w:val="24"/>
        </w:rPr>
        <w:t>cinq parties</w:t>
      </w:r>
      <w:r w:rsidRPr="009D5053">
        <w:rPr>
          <w:rFonts w:ascii="Times New Roman" w:hAnsi="Times New Roman" w:cs="Times New Roman"/>
          <w:kern w:val="24"/>
          <w:sz w:val="24"/>
          <w:szCs w:val="24"/>
        </w:rPr>
        <w:t xml:space="preserve"> </w:t>
      </w:r>
      <w:r w:rsidR="007C0DB9" w:rsidRPr="009D5053">
        <w:rPr>
          <w:rFonts w:ascii="Times New Roman" w:hAnsi="Times New Roman" w:cs="Times New Roman"/>
          <w:kern w:val="24"/>
          <w:sz w:val="24"/>
          <w:szCs w:val="24"/>
        </w:rPr>
        <w:t>principales :</w:t>
      </w:r>
    </w:p>
    <w:p w14:paraId="39CA1B90" w14:textId="77777777" w:rsidR="002760B2" w:rsidRPr="002B005F" w:rsidRDefault="007C68EE" w:rsidP="00CB0FF1">
      <w:pPr>
        <w:pStyle w:val="Paragraphedeliste"/>
        <w:numPr>
          <w:ilvl w:val="0"/>
          <w:numId w:val="74"/>
        </w:numPr>
        <w:tabs>
          <w:tab w:val="left" w:pos="0"/>
        </w:tabs>
        <w:autoSpaceDE w:val="0"/>
        <w:autoSpaceDN w:val="0"/>
        <w:adjustRightInd w:val="0"/>
        <w:spacing w:before="120" w:line="300" w:lineRule="auto"/>
        <w:ind w:left="1135" w:hanging="284"/>
        <w:contextualSpacing w:val="0"/>
        <w:rPr>
          <w:rFonts w:ascii="Times New Roman" w:hAnsi="Times New Roman" w:cs="Times New Roman"/>
          <w:spacing w:val="-4"/>
          <w:sz w:val="24"/>
          <w:szCs w:val="24"/>
        </w:rPr>
      </w:pPr>
      <w:r w:rsidRPr="002B005F">
        <w:rPr>
          <w:rFonts w:ascii="Times New Roman" w:hAnsi="Times New Roman" w:cs="Times New Roman"/>
          <w:spacing w:val="-4"/>
          <w:sz w:val="24"/>
          <w:szCs w:val="24"/>
        </w:rPr>
        <w:t>La p</w:t>
      </w:r>
      <w:r w:rsidR="002760B2" w:rsidRPr="002B005F">
        <w:rPr>
          <w:rFonts w:ascii="Times New Roman" w:hAnsi="Times New Roman" w:cs="Times New Roman"/>
          <w:spacing w:val="-4"/>
          <w:sz w:val="24"/>
          <w:szCs w:val="24"/>
        </w:rPr>
        <w:t>remière partie</w:t>
      </w:r>
      <w:r w:rsidR="00D81F61" w:rsidRPr="002B005F">
        <w:rPr>
          <w:rFonts w:ascii="Times New Roman" w:hAnsi="Times New Roman" w:cs="Times New Roman"/>
          <w:spacing w:val="-4"/>
          <w:sz w:val="24"/>
          <w:szCs w:val="24"/>
        </w:rPr>
        <w:t xml:space="preserve"> </w:t>
      </w:r>
      <w:r w:rsidR="00D81F61" w:rsidRPr="002B005F">
        <w:rPr>
          <w:rFonts w:ascii="Times New Roman" w:hAnsi="Times New Roman" w:cs="Times New Roman"/>
          <w:b/>
          <w:bCs/>
          <w:spacing w:val="-4"/>
          <w:sz w:val="24"/>
          <w:szCs w:val="24"/>
        </w:rPr>
        <w:t>« </w:t>
      </w:r>
      <w:r w:rsidR="001119C6" w:rsidRPr="002B005F">
        <w:rPr>
          <w:rFonts w:ascii="Times New Roman" w:hAnsi="Times New Roman" w:cs="Times New Roman"/>
          <w:b/>
          <w:bCs/>
          <w:spacing w:val="-4"/>
          <w:sz w:val="24"/>
          <w:szCs w:val="24"/>
        </w:rPr>
        <w:t>I</w:t>
      </w:r>
      <w:r w:rsidR="002760B2" w:rsidRPr="002B005F">
        <w:rPr>
          <w:rFonts w:ascii="Times New Roman" w:hAnsi="Times New Roman" w:cs="Times New Roman"/>
          <w:b/>
          <w:bCs/>
          <w:spacing w:val="-4"/>
          <w:sz w:val="24"/>
          <w:szCs w:val="24"/>
        </w:rPr>
        <w:t>nformations générales »</w:t>
      </w:r>
      <w:r w:rsidR="002760B2" w:rsidRPr="002B005F">
        <w:rPr>
          <w:rFonts w:ascii="Times New Roman" w:hAnsi="Times New Roman" w:cs="Times New Roman"/>
          <w:spacing w:val="-4"/>
          <w:sz w:val="24"/>
          <w:szCs w:val="24"/>
        </w:rPr>
        <w:t xml:space="preserve"> couvre les variables de contrô</w:t>
      </w:r>
      <w:r w:rsidR="007033B3" w:rsidRPr="002B005F">
        <w:rPr>
          <w:rFonts w:ascii="Times New Roman" w:hAnsi="Times New Roman" w:cs="Times New Roman"/>
          <w:spacing w:val="-4"/>
          <w:sz w:val="24"/>
          <w:szCs w:val="24"/>
        </w:rPr>
        <w:t>le de notre enquête pour disposer</w:t>
      </w:r>
      <w:r w:rsidR="002760B2" w:rsidRPr="002B005F">
        <w:rPr>
          <w:rFonts w:ascii="Times New Roman" w:hAnsi="Times New Roman" w:cs="Times New Roman"/>
          <w:spacing w:val="-4"/>
          <w:sz w:val="24"/>
          <w:szCs w:val="24"/>
        </w:rPr>
        <w:t xml:space="preserve"> des données de base sur les répondants et leurs organisations. Le but d'obtenir des données pour cette section est de les utiliser comme variables de contrôle pour étudier si ces dernières ont eu un effet sur les réponses des répondants dans les autres sections.</w:t>
      </w:r>
    </w:p>
    <w:p w14:paraId="19904698" w14:textId="77777777" w:rsidR="002760B2" w:rsidRPr="00C05A85" w:rsidRDefault="002760B2" w:rsidP="00CB0FF1">
      <w:pPr>
        <w:pStyle w:val="Paragraphedeliste"/>
        <w:numPr>
          <w:ilvl w:val="0"/>
          <w:numId w:val="74"/>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C05A85">
        <w:rPr>
          <w:rFonts w:ascii="Times New Roman" w:hAnsi="Times New Roman" w:cs="Times New Roman"/>
          <w:sz w:val="24"/>
          <w:szCs w:val="24"/>
        </w:rPr>
        <w:t>La deuxième partie</w:t>
      </w:r>
      <w:r w:rsidRPr="00C05A85">
        <w:rPr>
          <w:rFonts w:ascii="Times New Roman" w:hAnsi="Times New Roman" w:cs="Times New Roman"/>
          <w:b/>
          <w:bCs/>
          <w:sz w:val="24"/>
          <w:szCs w:val="24"/>
        </w:rPr>
        <w:t xml:space="preserve"> « </w:t>
      </w:r>
      <w:r w:rsidR="007C0DB9" w:rsidRPr="00C05A85">
        <w:rPr>
          <w:rFonts w:ascii="Times New Roman" w:hAnsi="Times New Roman" w:cs="Times New Roman"/>
          <w:b/>
          <w:bCs/>
          <w:sz w:val="24"/>
          <w:szCs w:val="24"/>
        </w:rPr>
        <w:t>Perception du risque »</w:t>
      </w:r>
      <w:r w:rsidRPr="00C05A85">
        <w:rPr>
          <w:rFonts w:ascii="Times New Roman" w:hAnsi="Times New Roman" w:cs="Times New Roman"/>
          <w:sz w:val="24"/>
          <w:szCs w:val="24"/>
        </w:rPr>
        <w:t xml:space="preserve"> se compose de </w:t>
      </w:r>
      <w:r w:rsidR="00CF2C06">
        <w:rPr>
          <w:rFonts w:ascii="Times New Roman" w:hAnsi="Times New Roman" w:cs="Times New Roman"/>
          <w:sz w:val="24"/>
          <w:szCs w:val="24"/>
        </w:rPr>
        <w:t>cinq</w:t>
      </w:r>
      <w:r w:rsidRPr="00C05A85">
        <w:rPr>
          <w:rFonts w:ascii="Times New Roman" w:hAnsi="Times New Roman" w:cs="Times New Roman"/>
          <w:sz w:val="24"/>
          <w:szCs w:val="24"/>
        </w:rPr>
        <w:t xml:space="preserve"> questions. Elle est utilisée pour obtenir les opinions des répondants sur les différents risques encourus dans les banques </w:t>
      </w:r>
      <w:r w:rsidR="005653E9">
        <w:rPr>
          <w:rFonts w:ascii="Times New Roman" w:hAnsi="Times New Roman" w:cs="Times New Roman"/>
          <w:sz w:val="24"/>
          <w:szCs w:val="24"/>
        </w:rPr>
        <w:t>i</w:t>
      </w:r>
      <w:r w:rsidR="003773C6" w:rsidRPr="00C05A85">
        <w:rPr>
          <w:rFonts w:ascii="Times New Roman" w:hAnsi="Times New Roman" w:cs="Times New Roman"/>
          <w:sz w:val="24"/>
          <w:szCs w:val="24"/>
        </w:rPr>
        <w:t>slamique</w:t>
      </w:r>
      <w:r w:rsidRPr="00C05A85">
        <w:rPr>
          <w:rFonts w:ascii="Times New Roman" w:hAnsi="Times New Roman" w:cs="Times New Roman"/>
          <w:sz w:val="24"/>
          <w:szCs w:val="24"/>
        </w:rPr>
        <w:t>s, sur l’intensité d’utilisation de chaque type de contrat de financement et pour savoir le degré de gravité de chaque contrat. Les cinq points de l'échelle de Likert sont utilisés pour fournir aux répondants des options pour chaque question c’est-à-dire sa préférence en termes de degré d'accord ou de désaccord avec les déclarations. Dans Q8</w:t>
      </w:r>
      <w:r w:rsidR="00C05A85" w:rsidRPr="00C05A85">
        <w:rPr>
          <w:rFonts w:ascii="Times New Roman" w:hAnsi="Times New Roman" w:cs="Times New Roman"/>
          <w:sz w:val="24"/>
          <w:szCs w:val="24"/>
        </w:rPr>
        <w:t>,</w:t>
      </w:r>
      <w:r w:rsidRPr="00C05A85">
        <w:rPr>
          <w:rFonts w:ascii="Times New Roman" w:hAnsi="Times New Roman" w:cs="Times New Roman"/>
          <w:sz w:val="24"/>
          <w:szCs w:val="24"/>
        </w:rPr>
        <w:t xml:space="preserve"> l'échelle de Likert (en cinq points) est utilisée pour exprimer le degré d'importance (Très peu impor</w:t>
      </w:r>
      <w:r w:rsidR="00C05A85" w:rsidRPr="00C05A85">
        <w:rPr>
          <w:rFonts w:ascii="Times New Roman" w:hAnsi="Times New Roman" w:cs="Times New Roman"/>
          <w:sz w:val="24"/>
          <w:szCs w:val="24"/>
        </w:rPr>
        <w:t>tant = 1 à très important = 5).</w:t>
      </w:r>
      <w:r w:rsidR="008150E0" w:rsidRPr="00C05A85">
        <w:rPr>
          <w:rFonts w:ascii="Times New Roman" w:hAnsi="Times New Roman" w:cs="Times New Roman"/>
          <w:sz w:val="24"/>
          <w:szCs w:val="24"/>
        </w:rPr>
        <w:t xml:space="preserve"> </w:t>
      </w:r>
      <w:r w:rsidRPr="00C05A85">
        <w:rPr>
          <w:rFonts w:ascii="Times New Roman" w:hAnsi="Times New Roman" w:cs="Times New Roman"/>
          <w:sz w:val="24"/>
          <w:szCs w:val="24"/>
        </w:rPr>
        <w:t>Dans Q10 et Q11, nous avons utilisé une échelle numérique par laquelle le répondant peut choisir un nombre p</w:t>
      </w:r>
      <w:r w:rsidRPr="00C05A85">
        <w:rPr>
          <w:rFonts w:ascii="Times New Roman" w:hAnsi="Times New Roman" w:cs="Times New Roman"/>
          <w:color w:val="1C1C1A"/>
          <w:sz w:val="24"/>
          <w:szCs w:val="24"/>
          <w:shd w:val="clear" w:color="auto" w:fill="FFFFFF"/>
        </w:rPr>
        <w:t xml:space="preserve">armi ceux qui lui sont présentés (de 1 à 6) pour savoir l’intensité d’utilisation des produits de financement </w:t>
      </w:r>
      <w:r w:rsidR="00A92C35" w:rsidRPr="007A6DD0">
        <w:rPr>
          <w:rFonts w:ascii="Times New Roman" w:hAnsi="Times New Roman" w:cs="Times New Roman"/>
          <w:color w:val="1C1C1A"/>
          <w:sz w:val="24"/>
          <w:szCs w:val="24"/>
          <w:shd w:val="clear" w:color="auto" w:fill="FFFFFF"/>
        </w:rPr>
        <w:t>participatif i</w:t>
      </w:r>
      <w:r w:rsidR="003773C6" w:rsidRPr="007A6DD0">
        <w:rPr>
          <w:rFonts w:ascii="Times New Roman" w:hAnsi="Times New Roman" w:cs="Times New Roman"/>
          <w:color w:val="1C1C1A"/>
          <w:sz w:val="24"/>
          <w:szCs w:val="24"/>
          <w:shd w:val="clear" w:color="auto" w:fill="FFFFFF"/>
        </w:rPr>
        <w:t>slamique</w:t>
      </w:r>
      <w:r w:rsidRPr="007A6DD0">
        <w:rPr>
          <w:rFonts w:ascii="Times New Roman" w:hAnsi="Times New Roman" w:cs="Times New Roman"/>
          <w:color w:val="1C1C1A"/>
          <w:sz w:val="24"/>
          <w:szCs w:val="24"/>
          <w:shd w:val="clear" w:color="auto" w:fill="FFFFFF"/>
        </w:rPr>
        <w:t xml:space="preserve"> ainsi</w:t>
      </w:r>
      <w:r w:rsidRPr="00C05A85">
        <w:rPr>
          <w:rFonts w:ascii="Times New Roman" w:hAnsi="Times New Roman" w:cs="Times New Roman"/>
          <w:color w:val="1C1C1A"/>
          <w:sz w:val="24"/>
          <w:szCs w:val="24"/>
          <w:shd w:val="clear" w:color="auto" w:fill="FFFFFF"/>
        </w:rPr>
        <w:t xml:space="preserve"> que leur degré de gravité.</w:t>
      </w:r>
    </w:p>
    <w:p w14:paraId="4EF1028B" w14:textId="77777777" w:rsidR="00667A1B" w:rsidRPr="002B005F" w:rsidRDefault="002760B2" w:rsidP="00CB0FF1">
      <w:pPr>
        <w:pStyle w:val="Paragraphedeliste"/>
        <w:numPr>
          <w:ilvl w:val="0"/>
          <w:numId w:val="74"/>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lastRenderedPageBreak/>
        <w:t>La troisième partie</w:t>
      </w:r>
      <w:r w:rsidRPr="002B005F">
        <w:rPr>
          <w:rFonts w:ascii="Times New Roman" w:hAnsi="Times New Roman" w:cs="Times New Roman"/>
          <w:b/>
          <w:bCs/>
          <w:sz w:val="24"/>
          <w:szCs w:val="24"/>
        </w:rPr>
        <w:t xml:space="preserve"> « Prat</w:t>
      </w:r>
      <w:r w:rsidR="007C0DB9" w:rsidRPr="002B005F">
        <w:rPr>
          <w:rFonts w:ascii="Times New Roman" w:hAnsi="Times New Roman" w:cs="Times New Roman"/>
          <w:b/>
          <w:bCs/>
          <w:sz w:val="24"/>
          <w:szCs w:val="24"/>
        </w:rPr>
        <w:t xml:space="preserve">iques bancaires </w:t>
      </w:r>
      <w:r w:rsidR="005653E9">
        <w:rPr>
          <w:rFonts w:ascii="Times New Roman" w:hAnsi="Times New Roman" w:cs="Times New Roman"/>
          <w:b/>
          <w:bCs/>
          <w:sz w:val="24"/>
          <w:szCs w:val="24"/>
        </w:rPr>
        <w:t>i</w:t>
      </w:r>
      <w:r w:rsidR="003773C6" w:rsidRPr="002B005F">
        <w:rPr>
          <w:rFonts w:ascii="Times New Roman" w:hAnsi="Times New Roman" w:cs="Times New Roman"/>
          <w:b/>
          <w:bCs/>
          <w:sz w:val="24"/>
          <w:szCs w:val="24"/>
        </w:rPr>
        <w:t>slamique</w:t>
      </w:r>
      <w:r w:rsidR="007C0DB9" w:rsidRPr="002B005F">
        <w:rPr>
          <w:rFonts w:ascii="Times New Roman" w:hAnsi="Times New Roman" w:cs="Times New Roman"/>
          <w:b/>
          <w:bCs/>
          <w:sz w:val="24"/>
          <w:szCs w:val="24"/>
        </w:rPr>
        <w:t>s »</w:t>
      </w:r>
      <w:r w:rsidRPr="002B005F">
        <w:rPr>
          <w:rFonts w:ascii="Times New Roman" w:hAnsi="Times New Roman" w:cs="Times New Roman"/>
          <w:sz w:val="24"/>
          <w:szCs w:val="24"/>
        </w:rPr>
        <w:t xml:space="preserve"> vise à tester s’il existe une coïncidence entre les principes de base que doivent appliquer les BI et leurs pratiques actuelles. Elle se compose de 03 que</w:t>
      </w:r>
      <w:r w:rsidR="00667A1B" w:rsidRPr="002B005F">
        <w:rPr>
          <w:rFonts w:ascii="Times New Roman" w:hAnsi="Times New Roman" w:cs="Times New Roman"/>
          <w:sz w:val="24"/>
          <w:szCs w:val="24"/>
        </w:rPr>
        <w:t>stions :</w:t>
      </w:r>
    </w:p>
    <w:p w14:paraId="0EFB79B9" w14:textId="77777777" w:rsidR="00667A1B" w:rsidRPr="002B005F" w:rsidRDefault="002760B2" w:rsidP="00CB0FF1">
      <w:pPr>
        <w:pStyle w:val="Paragraphedeliste"/>
        <w:numPr>
          <w:ilvl w:val="0"/>
          <w:numId w:val="81"/>
        </w:numPr>
        <w:tabs>
          <w:tab w:val="left" w:pos="0"/>
        </w:tabs>
        <w:autoSpaceDE w:val="0"/>
        <w:autoSpaceDN w:val="0"/>
        <w:adjustRightInd w:val="0"/>
        <w:spacing w:line="300" w:lineRule="auto"/>
        <w:ind w:left="1702" w:hanging="284"/>
        <w:contextualSpacing w:val="0"/>
        <w:rPr>
          <w:rFonts w:ascii="Times New Roman" w:hAnsi="Times New Roman" w:cs="Times New Roman"/>
          <w:spacing w:val="-2"/>
          <w:sz w:val="24"/>
          <w:szCs w:val="24"/>
        </w:rPr>
      </w:pPr>
      <w:r w:rsidRPr="002B005F">
        <w:rPr>
          <w:rFonts w:ascii="Times New Roman" w:hAnsi="Times New Roman" w:cs="Times New Roman"/>
          <w:spacing w:val="-2"/>
          <w:sz w:val="24"/>
          <w:szCs w:val="24"/>
        </w:rPr>
        <w:t xml:space="preserve">Q12 est une question fermée subdivisée en cinq sous-questions. Dans chacune, nous </w:t>
      </w:r>
      <w:r w:rsidR="007C0DB9" w:rsidRPr="002B005F">
        <w:rPr>
          <w:rFonts w:ascii="Times New Roman" w:hAnsi="Times New Roman" w:cs="Times New Roman"/>
          <w:spacing w:val="-2"/>
          <w:sz w:val="24"/>
          <w:szCs w:val="24"/>
        </w:rPr>
        <w:t>demandons de</w:t>
      </w:r>
      <w:r w:rsidR="00667A1B" w:rsidRPr="002B005F">
        <w:rPr>
          <w:rFonts w:ascii="Times New Roman" w:hAnsi="Times New Roman" w:cs="Times New Roman"/>
          <w:spacing w:val="-2"/>
          <w:sz w:val="24"/>
          <w:szCs w:val="24"/>
        </w:rPr>
        <w:t xml:space="preserve"> répondre</w:t>
      </w:r>
      <w:r w:rsidRPr="002B005F">
        <w:rPr>
          <w:rFonts w:ascii="Times New Roman" w:hAnsi="Times New Roman" w:cs="Times New Roman"/>
          <w:spacing w:val="-2"/>
          <w:sz w:val="24"/>
          <w:szCs w:val="24"/>
        </w:rPr>
        <w:t xml:space="preserve"> en utilisant une échelle de Likert en 5 points (classement de fortement en désaccord</w:t>
      </w:r>
      <w:r w:rsidR="00667A1B" w:rsidRPr="002B005F">
        <w:rPr>
          <w:rFonts w:ascii="Times New Roman" w:hAnsi="Times New Roman" w:cs="Times New Roman"/>
          <w:spacing w:val="-2"/>
          <w:sz w:val="24"/>
          <w:szCs w:val="24"/>
        </w:rPr>
        <w:t> </w:t>
      </w:r>
      <w:r w:rsidRPr="002B005F">
        <w:rPr>
          <w:rFonts w:ascii="Times New Roman" w:hAnsi="Times New Roman" w:cs="Times New Roman"/>
          <w:spacing w:val="-2"/>
          <w:sz w:val="24"/>
          <w:szCs w:val="24"/>
        </w:rPr>
        <w:t>=</w:t>
      </w:r>
      <w:r w:rsidR="00667A1B" w:rsidRPr="002B005F">
        <w:rPr>
          <w:rFonts w:ascii="Times New Roman" w:hAnsi="Times New Roman" w:cs="Times New Roman"/>
          <w:spacing w:val="-2"/>
          <w:sz w:val="24"/>
          <w:szCs w:val="24"/>
        </w:rPr>
        <w:t> 1 à Fortement d'accord = 5).</w:t>
      </w:r>
    </w:p>
    <w:p w14:paraId="60795EE9" w14:textId="77777777" w:rsidR="002760B2" w:rsidRPr="002B005F" w:rsidRDefault="002760B2" w:rsidP="00CB0FF1">
      <w:pPr>
        <w:pStyle w:val="Paragraphedeliste"/>
        <w:numPr>
          <w:ilvl w:val="0"/>
          <w:numId w:val="81"/>
        </w:numPr>
        <w:tabs>
          <w:tab w:val="left" w:pos="0"/>
        </w:tabs>
        <w:autoSpaceDE w:val="0"/>
        <w:autoSpaceDN w:val="0"/>
        <w:adjustRightInd w:val="0"/>
        <w:spacing w:line="300" w:lineRule="auto"/>
        <w:ind w:left="1702" w:hanging="284"/>
        <w:contextualSpacing w:val="0"/>
        <w:rPr>
          <w:rFonts w:ascii="Times New Roman" w:hAnsi="Times New Roman" w:cs="Times New Roman"/>
          <w:sz w:val="24"/>
          <w:szCs w:val="24"/>
        </w:rPr>
      </w:pPr>
      <w:r w:rsidRPr="002B005F">
        <w:rPr>
          <w:rFonts w:ascii="Times New Roman" w:hAnsi="Times New Roman" w:cs="Times New Roman"/>
          <w:sz w:val="24"/>
          <w:szCs w:val="24"/>
        </w:rPr>
        <w:t>Concernant Q</w:t>
      </w:r>
      <w:r w:rsidR="00667A1B" w:rsidRPr="002B005F">
        <w:rPr>
          <w:rFonts w:ascii="Times New Roman" w:hAnsi="Times New Roman" w:cs="Times New Roman"/>
          <w:sz w:val="24"/>
          <w:szCs w:val="24"/>
        </w:rPr>
        <w:t>13 et Q14, c</w:t>
      </w:r>
      <w:r w:rsidRPr="002B005F">
        <w:rPr>
          <w:rFonts w:ascii="Times New Roman" w:hAnsi="Times New Roman" w:cs="Times New Roman"/>
          <w:sz w:val="24"/>
          <w:szCs w:val="24"/>
        </w:rPr>
        <w:t xml:space="preserve">e sont des questions à choix multiple qui traitent les causes possibles de la réticence des BI à utiliser les produits financiers participatifs et leur recours massif aux produits </w:t>
      </w:r>
      <w:r w:rsidR="007C0DB9" w:rsidRPr="002B005F">
        <w:rPr>
          <w:rFonts w:ascii="Times New Roman" w:hAnsi="Times New Roman" w:cs="Times New Roman"/>
          <w:sz w:val="24"/>
          <w:szCs w:val="24"/>
        </w:rPr>
        <w:t>à revenu</w:t>
      </w:r>
      <w:r w:rsidRPr="002B005F">
        <w:rPr>
          <w:rFonts w:ascii="Times New Roman" w:hAnsi="Times New Roman" w:cs="Times New Roman"/>
          <w:sz w:val="24"/>
          <w:szCs w:val="24"/>
        </w:rPr>
        <w:t xml:space="preserve"> fixe.</w:t>
      </w:r>
    </w:p>
    <w:p w14:paraId="2B3AED08" w14:textId="77777777" w:rsidR="002760B2" w:rsidRPr="002B005F" w:rsidRDefault="002760B2" w:rsidP="00CB0FF1">
      <w:pPr>
        <w:pStyle w:val="NormalWeb"/>
        <w:numPr>
          <w:ilvl w:val="0"/>
          <w:numId w:val="74"/>
        </w:numPr>
        <w:tabs>
          <w:tab w:val="left" w:pos="0"/>
        </w:tabs>
        <w:spacing w:before="120" w:beforeAutospacing="0" w:after="0" w:afterAutospacing="0" w:line="300" w:lineRule="auto"/>
        <w:ind w:left="1135" w:hanging="284"/>
        <w:rPr>
          <w:spacing w:val="-4"/>
        </w:rPr>
      </w:pPr>
      <w:r w:rsidRPr="002B005F">
        <w:rPr>
          <w:spacing w:val="-4"/>
        </w:rPr>
        <w:t>Dans</w:t>
      </w:r>
      <w:r w:rsidR="007C68EE" w:rsidRPr="002B005F">
        <w:rPr>
          <w:spacing w:val="-4"/>
        </w:rPr>
        <w:t xml:space="preserve"> l</w:t>
      </w:r>
      <w:r w:rsidRPr="002B005F">
        <w:rPr>
          <w:spacing w:val="-4"/>
        </w:rPr>
        <w:t>a quatrième partie</w:t>
      </w:r>
      <w:r w:rsidR="007C0DB9" w:rsidRPr="002B005F">
        <w:rPr>
          <w:b/>
          <w:bCs/>
          <w:spacing w:val="-4"/>
        </w:rPr>
        <w:t>,</w:t>
      </w:r>
      <w:r w:rsidRPr="002B005F">
        <w:rPr>
          <w:b/>
          <w:bCs/>
          <w:spacing w:val="-4"/>
        </w:rPr>
        <w:t xml:space="preserve"> « Gestion des risques des produits financiers participatifs », </w:t>
      </w:r>
      <w:r w:rsidRPr="002B005F">
        <w:rPr>
          <w:spacing w:val="-4"/>
        </w:rPr>
        <w:t xml:space="preserve">les répondants se sont interrogés sur le processus et les techniques de gestion et d'atténuation des risques dans leurs organisations. Cette partie est composée de quatre sous-sections. La première contient plusieurs questions sur le processus de gestion des risques et dont les réponses doivent être conçues par oui ou non. La deuxième sous-section traite l'adéquation des fonds propres pour les banques </w:t>
      </w:r>
      <w:r w:rsidR="00A92C35">
        <w:rPr>
          <w:spacing w:val="-4"/>
        </w:rPr>
        <w:t>i</w:t>
      </w:r>
      <w:r w:rsidR="003773C6" w:rsidRPr="002B005F">
        <w:rPr>
          <w:spacing w:val="-4"/>
        </w:rPr>
        <w:t>slamique</w:t>
      </w:r>
      <w:r w:rsidRPr="002B005F">
        <w:rPr>
          <w:spacing w:val="-4"/>
        </w:rPr>
        <w:t>s, tandis que la troisième est destinée à l’étape d’identification des risques par les BI. Dans la dernière sous-section, les répondants sont demandés de fournir des informations sur l'utilisation des techniques de gestion et d'atténuation des risques dans leurs organisations, à travers trois questions fermées dans lesquelles les répondants doivent exprimer leurs points de vue sur les techniques de gestion des risques et d'atténuation employés par les banques. Les répondants sont demandés de répondre à Q21 en utilisant une échelle de Likert en 5 points, et de choisir parmi les options listées pour Q22et 23</w:t>
      </w:r>
      <w:r w:rsidR="00183FF8" w:rsidRPr="002B005F">
        <w:rPr>
          <w:spacing w:val="-4"/>
        </w:rPr>
        <w:t>.</w:t>
      </w:r>
    </w:p>
    <w:p w14:paraId="0EA42453" w14:textId="77777777" w:rsidR="002760B2" w:rsidRPr="00560D19" w:rsidRDefault="002760B2" w:rsidP="00CB0FF1">
      <w:pPr>
        <w:pStyle w:val="NormalWeb"/>
        <w:numPr>
          <w:ilvl w:val="0"/>
          <w:numId w:val="74"/>
        </w:numPr>
        <w:tabs>
          <w:tab w:val="left" w:pos="0"/>
        </w:tabs>
        <w:spacing w:before="120" w:beforeAutospacing="0" w:after="0" w:afterAutospacing="0" w:line="300" w:lineRule="auto"/>
        <w:ind w:left="1135" w:hanging="284"/>
        <w:rPr>
          <w:spacing w:val="-4"/>
        </w:rPr>
      </w:pPr>
      <w:r w:rsidRPr="00560D19">
        <w:rPr>
          <w:spacing w:val="-4"/>
        </w:rPr>
        <w:t xml:space="preserve">Enfin, la cinquième partie, </w:t>
      </w:r>
      <w:r w:rsidRPr="00560D19">
        <w:rPr>
          <w:b/>
          <w:bCs/>
          <w:spacing w:val="-4"/>
        </w:rPr>
        <w:t xml:space="preserve">« Avenir des produits de financement </w:t>
      </w:r>
      <w:r w:rsidR="005653E9" w:rsidRPr="00560D19">
        <w:rPr>
          <w:b/>
          <w:bCs/>
          <w:spacing w:val="-4"/>
        </w:rPr>
        <w:t>i</w:t>
      </w:r>
      <w:r w:rsidR="003773C6" w:rsidRPr="00560D19">
        <w:rPr>
          <w:b/>
          <w:bCs/>
          <w:spacing w:val="-4"/>
        </w:rPr>
        <w:t>slamique</w:t>
      </w:r>
      <w:r w:rsidRPr="00560D19">
        <w:rPr>
          <w:b/>
          <w:bCs/>
          <w:spacing w:val="-4"/>
        </w:rPr>
        <w:t xml:space="preserve"> participatifs » </w:t>
      </w:r>
      <w:r w:rsidRPr="00560D19">
        <w:rPr>
          <w:spacing w:val="-4"/>
        </w:rPr>
        <w:t>explore les différentes stratégies de croissance pour les IFI. Nous avons demandé aux répondants de classer l'importance de chaque stratégie selon leur perception. Alors que Q25 est une question destinée à préciser les mesures à prendre par les BI pour favoriser le recours aux techniques de financement participatif.</w:t>
      </w:r>
    </w:p>
    <w:p w14:paraId="4A124484" w14:textId="77777777" w:rsidR="002760B2" w:rsidRPr="002B005F" w:rsidRDefault="00245F45" w:rsidP="0033340B">
      <w:pPr>
        <w:pStyle w:val="Titre4"/>
        <w:keepNext w:val="0"/>
        <w:spacing w:before="100" w:beforeAutospacing="1" w:after="0" w:line="300" w:lineRule="auto"/>
        <w:ind w:firstLine="709"/>
      </w:pPr>
      <w:bookmarkStart w:id="1517" w:name="_Toc33263374"/>
      <w:bookmarkStart w:id="1518" w:name="_Toc37664637"/>
      <w:bookmarkStart w:id="1519" w:name="_Toc37666482"/>
      <w:bookmarkStart w:id="1520" w:name="_Toc54363379"/>
      <w:bookmarkStart w:id="1521" w:name="_Toc58606363"/>
      <w:bookmarkStart w:id="1522" w:name="_Toc61263568"/>
      <w:bookmarkStart w:id="1523" w:name="_Toc182298891"/>
      <w:r>
        <w:t>1</w:t>
      </w:r>
      <w:r w:rsidR="00220521">
        <w:t xml:space="preserve">.3.2- </w:t>
      </w:r>
      <w:r w:rsidR="002760B2" w:rsidRPr="002B005F">
        <w:t>Echantillonnage</w:t>
      </w:r>
      <w:bookmarkEnd w:id="1517"/>
      <w:bookmarkEnd w:id="1518"/>
      <w:bookmarkEnd w:id="1519"/>
      <w:bookmarkEnd w:id="1520"/>
      <w:bookmarkEnd w:id="1521"/>
      <w:bookmarkEnd w:id="1522"/>
      <w:bookmarkEnd w:id="1523"/>
    </w:p>
    <w:p w14:paraId="39DB56EB" w14:textId="4C87618C" w:rsidR="002760B2" w:rsidRPr="002B005F" w:rsidRDefault="002760B2" w:rsidP="0033340B">
      <w:pPr>
        <w:tabs>
          <w:tab w:val="left" w:pos="0"/>
        </w:tabs>
        <w:spacing w:before="120" w:after="120" w:line="300" w:lineRule="auto"/>
        <w:ind w:firstLine="709"/>
        <w:rPr>
          <w:rFonts w:ascii="Times New Roman" w:hAnsi="Times New Roman" w:cs="Times New Roman"/>
          <w:color w:val="222222"/>
          <w:sz w:val="24"/>
          <w:szCs w:val="24"/>
          <w:shd w:val="clear" w:color="auto" w:fill="FFFFFF"/>
        </w:rPr>
      </w:pPr>
      <w:r w:rsidRPr="002B005F">
        <w:rPr>
          <w:rFonts w:ascii="Times New Roman" w:hAnsi="Times New Roman" w:cs="Times New Roman"/>
          <w:sz w:val="24"/>
          <w:szCs w:val="24"/>
        </w:rPr>
        <w:t xml:space="preserve">La liste des institutions et des répondants provient du site </w:t>
      </w:r>
      <w:r w:rsidR="009D5053" w:rsidRPr="002B005F">
        <w:rPr>
          <w:rFonts w:ascii="Times New Roman" w:hAnsi="Times New Roman" w:cs="Times New Roman"/>
          <w:b/>
          <w:bCs/>
          <w:sz w:val="24"/>
          <w:szCs w:val="24"/>
        </w:rPr>
        <w:t>LinkedIn</w:t>
      </w:r>
      <w:r w:rsidRPr="002B005F">
        <w:rPr>
          <w:rFonts w:ascii="Times New Roman" w:hAnsi="Times New Roman" w:cs="Times New Roman"/>
          <w:b/>
          <w:bCs/>
          <w:sz w:val="24"/>
          <w:szCs w:val="24"/>
        </w:rPr>
        <w:t xml:space="preserve"> </w:t>
      </w:r>
      <w:r w:rsidRPr="002B005F">
        <w:rPr>
          <w:rFonts w:ascii="Times New Roman" w:hAnsi="Times New Roman" w:cs="Times New Roman"/>
          <w:sz w:val="24"/>
          <w:szCs w:val="24"/>
        </w:rPr>
        <w:t>qui</w:t>
      </w:r>
      <w:r w:rsidRPr="002B005F">
        <w:rPr>
          <w:rFonts w:ascii="Times New Roman" w:hAnsi="Times New Roman" w:cs="Times New Roman"/>
          <w:b/>
          <w:bCs/>
          <w:sz w:val="24"/>
          <w:szCs w:val="24"/>
        </w:rPr>
        <w:t xml:space="preserve"> </w:t>
      </w:r>
      <w:r w:rsidRPr="002B005F">
        <w:rPr>
          <w:rFonts w:ascii="Times New Roman" w:hAnsi="Times New Roman" w:cs="Times New Roman"/>
          <w:color w:val="222222"/>
          <w:sz w:val="24"/>
          <w:szCs w:val="24"/>
          <w:shd w:val="clear" w:color="auto" w:fill="FFFFFF"/>
        </w:rPr>
        <w:t xml:space="preserve">est un réseau social professionnel international. Entre janvier 2018 et avril 2018, 130 questionnaires ont été envoyés à des professionnels en finance </w:t>
      </w:r>
      <w:r w:rsidR="00A92C35">
        <w:rPr>
          <w:rFonts w:ascii="Times New Roman" w:hAnsi="Times New Roman" w:cs="Times New Roman"/>
          <w:color w:val="222222"/>
          <w:sz w:val="24"/>
          <w:szCs w:val="24"/>
          <w:shd w:val="clear" w:color="auto" w:fill="FFFFFF"/>
        </w:rPr>
        <w:t>i</w:t>
      </w:r>
      <w:r w:rsidR="003773C6" w:rsidRPr="002B005F">
        <w:rPr>
          <w:rFonts w:ascii="Times New Roman" w:hAnsi="Times New Roman" w:cs="Times New Roman"/>
          <w:color w:val="222222"/>
          <w:sz w:val="24"/>
          <w:szCs w:val="24"/>
          <w:shd w:val="clear" w:color="auto" w:fill="FFFFFF"/>
        </w:rPr>
        <w:t>slamique</w:t>
      </w:r>
      <w:r w:rsidRPr="002B005F">
        <w:rPr>
          <w:rFonts w:ascii="Times New Roman" w:hAnsi="Times New Roman" w:cs="Times New Roman"/>
          <w:color w:val="222222"/>
          <w:sz w:val="24"/>
          <w:szCs w:val="24"/>
          <w:shd w:val="clear" w:color="auto" w:fill="FFFFFF"/>
        </w:rPr>
        <w:t xml:space="preserve"> dans 31 pays.</w:t>
      </w:r>
    </w:p>
    <w:p w14:paraId="2EA23C7B" w14:textId="77777777" w:rsidR="002760B2" w:rsidRPr="002B005F" w:rsidRDefault="002760B2" w:rsidP="0033340B">
      <w:pPr>
        <w:tabs>
          <w:tab w:val="left" w:pos="0"/>
        </w:tabs>
        <w:spacing w:before="120" w:after="120" w:line="300" w:lineRule="auto"/>
        <w:ind w:firstLine="709"/>
        <w:rPr>
          <w:rFonts w:ascii="Times New Roman" w:hAnsi="Times New Roman" w:cs="Times New Roman"/>
          <w:color w:val="222222"/>
          <w:sz w:val="24"/>
          <w:szCs w:val="24"/>
          <w:shd w:val="clear" w:color="auto" w:fill="FFFFFF"/>
        </w:rPr>
      </w:pPr>
      <w:r w:rsidRPr="002B005F">
        <w:rPr>
          <w:rFonts w:ascii="Times New Roman" w:hAnsi="Times New Roman" w:cs="Times New Roman"/>
          <w:color w:val="222222"/>
          <w:sz w:val="24"/>
          <w:szCs w:val="24"/>
          <w:shd w:val="clear" w:color="auto" w:fill="FFFFFF"/>
        </w:rPr>
        <w:t>Lors de la réalisation du questionnaire, une lettre de motivation pour chaque questionnaire a été fournie pour expliquer le but de la recherche, ainsi que pour souligner l'importance de la réponse de l’interrogé. La lettre visait à assurer aux répondants que l'information fournie est confidentielle, anonyme et ne serait utilisée qu'aux fins de recherche.</w:t>
      </w:r>
    </w:p>
    <w:p w14:paraId="20F6FC9F" w14:textId="77777777" w:rsidR="002760B2" w:rsidRPr="002B005F" w:rsidRDefault="002760B2" w:rsidP="0033340B">
      <w:pPr>
        <w:tabs>
          <w:tab w:val="left" w:pos="0"/>
        </w:tabs>
        <w:spacing w:before="120" w:after="120" w:line="300" w:lineRule="auto"/>
        <w:ind w:firstLine="709"/>
        <w:rPr>
          <w:rFonts w:ascii="Times New Roman" w:hAnsi="Times New Roman" w:cs="Times New Roman"/>
          <w:color w:val="222222"/>
          <w:sz w:val="24"/>
          <w:szCs w:val="24"/>
          <w:shd w:val="clear" w:color="auto" w:fill="FFFFFF"/>
        </w:rPr>
      </w:pPr>
      <w:r w:rsidRPr="002B005F">
        <w:rPr>
          <w:rFonts w:ascii="Times New Roman" w:hAnsi="Times New Roman" w:cs="Times New Roman"/>
          <w:color w:val="222222"/>
          <w:sz w:val="24"/>
          <w:szCs w:val="24"/>
          <w:shd w:val="clear" w:color="auto" w:fill="FFFFFF"/>
        </w:rPr>
        <w:t xml:space="preserve">L'échantillon comprenait des managers de risques, analystes de risques, des directeurs financiers, des auditeurs, des analystes de notation, des </w:t>
      </w:r>
      <w:r w:rsidRPr="00A92C35">
        <w:rPr>
          <w:rFonts w:ascii="Times New Roman" w:hAnsi="Times New Roman" w:cs="Times New Roman"/>
          <w:i/>
          <w:iCs/>
          <w:color w:val="222222"/>
          <w:sz w:val="24"/>
          <w:szCs w:val="24"/>
          <w:shd w:val="clear" w:color="auto" w:fill="FFFFFF"/>
        </w:rPr>
        <w:t>scholars</w:t>
      </w:r>
      <w:r w:rsidRPr="002B005F">
        <w:rPr>
          <w:rFonts w:ascii="Times New Roman" w:hAnsi="Times New Roman" w:cs="Times New Roman"/>
          <w:color w:val="222222"/>
          <w:sz w:val="24"/>
          <w:szCs w:val="24"/>
          <w:shd w:val="clear" w:color="auto" w:fill="FFFFFF"/>
        </w:rPr>
        <w:t xml:space="preserve"> </w:t>
      </w:r>
      <w:r w:rsidR="00A92C35">
        <w:rPr>
          <w:rFonts w:ascii="Times New Roman" w:hAnsi="Times New Roman" w:cs="Times New Roman"/>
          <w:color w:val="222222"/>
          <w:sz w:val="24"/>
          <w:szCs w:val="24"/>
          <w:shd w:val="clear" w:color="auto" w:fill="FFFFFF"/>
        </w:rPr>
        <w:t>i</w:t>
      </w:r>
      <w:r w:rsidR="003773C6" w:rsidRPr="002B005F">
        <w:rPr>
          <w:rFonts w:ascii="Times New Roman" w:hAnsi="Times New Roman" w:cs="Times New Roman"/>
          <w:color w:val="222222"/>
          <w:sz w:val="24"/>
          <w:szCs w:val="24"/>
          <w:shd w:val="clear" w:color="auto" w:fill="FFFFFF"/>
        </w:rPr>
        <w:t>slamique</w:t>
      </w:r>
      <w:r w:rsidRPr="002B005F">
        <w:rPr>
          <w:rFonts w:ascii="Times New Roman" w:hAnsi="Times New Roman" w:cs="Times New Roman"/>
          <w:color w:val="222222"/>
          <w:sz w:val="24"/>
          <w:szCs w:val="24"/>
          <w:shd w:val="clear" w:color="auto" w:fill="FFFFFF"/>
        </w:rPr>
        <w:t>s, dans divers pays et régions.</w:t>
      </w:r>
    </w:p>
    <w:p w14:paraId="3E46339B" w14:textId="77777777" w:rsidR="002760B2" w:rsidRPr="002B005F" w:rsidRDefault="002760B2" w:rsidP="0033340B">
      <w:pPr>
        <w:tabs>
          <w:tab w:val="left" w:pos="0"/>
        </w:tabs>
        <w:spacing w:before="120" w:after="120" w:line="300" w:lineRule="auto"/>
        <w:ind w:firstLine="709"/>
        <w:rPr>
          <w:rFonts w:ascii="Times New Roman" w:hAnsi="Times New Roman" w:cs="Times New Roman"/>
          <w:color w:val="222222"/>
          <w:sz w:val="24"/>
          <w:szCs w:val="24"/>
          <w:shd w:val="clear" w:color="auto" w:fill="FFFFFF"/>
        </w:rPr>
      </w:pPr>
      <w:r w:rsidRPr="002B005F">
        <w:rPr>
          <w:rFonts w:ascii="Times New Roman" w:hAnsi="Times New Roman" w:cs="Times New Roman"/>
          <w:color w:val="222222"/>
          <w:sz w:val="24"/>
          <w:szCs w:val="24"/>
          <w:shd w:val="clear" w:color="auto" w:fill="FFFFFF"/>
        </w:rPr>
        <w:lastRenderedPageBreak/>
        <w:t>La date finale de retour des questionnaires était le 15</w:t>
      </w:r>
      <w:r w:rsidR="00A92C35">
        <w:rPr>
          <w:rFonts w:ascii="Times New Roman" w:hAnsi="Times New Roman" w:cs="Times New Roman"/>
          <w:color w:val="222222"/>
          <w:sz w:val="24"/>
          <w:szCs w:val="24"/>
          <w:shd w:val="clear" w:color="auto" w:fill="FFFFFF"/>
        </w:rPr>
        <w:t xml:space="preserve"> </w:t>
      </w:r>
      <w:r w:rsidRPr="002B005F">
        <w:rPr>
          <w:rFonts w:ascii="Times New Roman" w:hAnsi="Times New Roman" w:cs="Times New Roman"/>
          <w:color w:val="222222"/>
          <w:sz w:val="24"/>
          <w:szCs w:val="24"/>
          <w:shd w:val="clear" w:color="auto" w:fill="FFFFFF"/>
        </w:rPr>
        <w:t>avril 2018. Les questionnaires étaient distribués par email et en personne. 83 questionnaires ont été retournés. Parmi ces derniers, 04 questionnaires n'étaient pas utilisables parce que le chercheur a estimé que leurs réponses étaient incohérentes ou que les répondants ont été biaisés dans leurs réponses, ce qui pourrait influencer la validité et la fiabilité de l’enquête.</w:t>
      </w:r>
    </w:p>
    <w:p w14:paraId="2636A4F7" w14:textId="77777777" w:rsidR="00B12BEC" w:rsidRPr="002B005F" w:rsidRDefault="002760B2" w:rsidP="0033340B">
      <w:pPr>
        <w:tabs>
          <w:tab w:val="left" w:pos="0"/>
        </w:tabs>
        <w:spacing w:before="120" w:after="120" w:line="300" w:lineRule="auto"/>
        <w:ind w:firstLine="709"/>
        <w:rPr>
          <w:rFonts w:ascii="Times New Roman" w:hAnsi="Times New Roman" w:cs="Times New Roman"/>
          <w:color w:val="222222"/>
          <w:sz w:val="24"/>
          <w:szCs w:val="24"/>
          <w:shd w:val="clear" w:color="auto" w:fill="FFFFFF"/>
        </w:rPr>
      </w:pPr>
      <w:r w:rsidRPr="002B005F">
        <w:rPr>
          <w:rFonts w:ascii="Times New Roman" w:hAnsi="Times New Roman" w:cs="Times New Roman"/>
          <w:color w:val="222222"/>
          <w:sz w:val="24"/>
          <w:szCs w:val="24"/>
          <w:shd w:val="clear" w:color="auto" w:fill="FFFFFF"/>
        </w:rPr>
        <w:t>L'échantillon final comprenait 79 questionnaires de 27 pays, avec un taux de réponse égal à 60,8%. Le tableau suivant fournit une ventilation du taux de réponse :</w:t>
      </w:r>
    </w:p>
    <w:p w14:paraId="1963618A" w14:textId="221A10C8" w:rsidR="008C2E40" w:rsidRPr="002B005F" w:rsidRDefault="008C2E40" w:rsidP="0033340B">
      <w:pPr>
        <w:spacing w:before="100" w:beforeAutospacing="1" w:after="120" w:line="300" w:lineRule="auto"/>
        <w:jc w:val="center"/>
        <w:rPr>
          <w:rFonts w:ascii="Times New Roman" w:hAnsi="Times New Roman" w:cs="Times New Roman"/>
          <w:b/>
          <w:bCs/>
          <w:sz w:val="24"/>
          <w:szCs w:val="24"/>
        </w:rPr>
      </w:pPr>
      <w:bookmarkStart w:id="1524" w:name="_Toc115556075"/>
      <w:r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7</w:t>
      </w:r>
      <w:r w:rsidR="00B544E5" w:rsidRPr="002B005F">
        <w:rPr>
          <w:rFonts w:ascii="Times New Roman" w:hAnsi="Times New Roman" w:cs="Times New Roman"/>
          <w:b/>
          <w:bCs/>
          <w:sz w:val="24"/>
          <w:szCs w:val="24"/>
        </w:rPr>
        <w:fldChar w:fldCharType="end"/>
      </w:r>
      <w:r w:rsidR="00A9070B" w:rsidRPr="002B005F">
        <w:rPr>
          <w:rFonts w:ascii="Times New Roman" w:hAnsi="Times New Roman" w:cs="Times New Roman"/>
          <w:b/>
          <w:bCs/>
          <w:sz w:val="24"/>
          <w:szCs w:val="24"/>
        </w:rPr>
        <w:t>-</w:t>
      </w:r>
      <w:r w:rsidRPr="002B005F">
        <w:rPr>
          <w:rFonts w:ascii="Times New Roman" w:hAnsi="Times New Roman" w:cs="Times New Roman"/>
          <w:b/>
          <w:bCs/>
          <w:sz w:val="24"/>
          <w:szCs w:val="24"/>
        </w:rPr>
        <w:t xml:space="preserve"> Taux de réponse des questionnaires</w:t>
      </w:r>
      <w:bookmarkEnd w:id="1524"/>
    </w:p>
    <w:tbl>
      <w:tblPr>
        <w:tblStyle w:val="Tramemoyenne2-Accent5"/>
        <w:tblW w:w="9080" w:type="dxa"/>
        <w:jc w:val="center"/>
        <w:tblLayout w:type="fixed"/>
        <w:tblCellMar>
          <w:top w:w="28" w:type="dxa"/>
          <w:left w:w="57" w:type="dxa"/>
          <w:bottom w:w="28" w:type="dxa"/>
          <w:right w:w="57" w:type="dxa"/>
        </w:tblCellMar>
        <w:tblLook w:val="0660" w:firstRow="1" w:lastRow="1" w:firstColumn="0" w:lastColumn="0" w:noHBand="1" w:noVBand="1"/>
      </w:tblPr>
      <w:tblGrid>
        <w:gridCol w:w="1847"/>
        <w:gridCol w:w="1560"/>
        <w:gridCol w:w="1705"/>
        <w:gridCol w:w="1703"/>
        <w:gridCol w:w="2265"/>
      </w:tblGrid>
      <w:tr w:rsidR="002760B2" w:rsidRPr="002B005F" w14:paraId="68511E73" w14:textId="77777777" w:rsidTr="00A9070B">
        <w:trPr>
          <w:cnfStyle w:val="100000000000" w:firstRow="1" w:lastRow="0" w:firstColumn="0" w:lastColumn="0" w:oddVBand="0" w:evenVBand="0" w:oddHBand="0" w:evenHBand="0" w:firstRowFirstColumn="0" w:firstRowLastColumn="0" w:lastRowFirstColumn="0" w:lastRowLastColumn="0"/>
          <w:cantSplit/>
          <w:trHeight w:val="454"/>
          <w:jc w:val="center"/>
        </w:trPr>
        <w:tc>
          <w:tcPr>
            <w:tcW w:w="1017" w:type="pct"/>
            <w:shd w:val="clear" w:color="auto" w:fill="9CC2E5" w:themeFill="accent1" w:themeFillTint="99"/>
            <w:noWrap/>
            <w:vAlign w:val="center"/>
          </w:tcPr>
          <w:p w14:paraId="14A19B64" w14:textId="77777777" w:rsidR="002760B2" w:rsidRPr="002B005F" w:rsidRDefault="002760B2" w:rsidP="007C0DB9">
            <w:pPr>
              <w:tabs>
                <w:tab w:val="left" w:pos="0"/>
              </w:tabs>
              <w:spacing w:line="36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Distribués</w:t>
            </w:r>
          </w:p>
        </w:tc>
        <w:tc>
          <w:tcPr>
            <w:tcW w:w="859" w:type="pct"/>
            <w:shd w:val="clear" w:color="auto" w:fill="9CC2E5" w:themeFill="accent1" w:themeFillTint="99"/>
            <w:vAlign w:val="center"/>
          </w:tcPr>
          <w:p w14:paraId="16D2FDE8" w14:textId="77777777" w:rsidR="002760B2" w:rsidRPr="002B005F" w:rsidRDefault="002760B2" w:rsidP="007C0DB9">
            <w:pPr>
              <w:tabs>
                <w:tab w:val="left" w:pos="0"/>
              </w:tabs>
              <w:spacing w:line="36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Reçus</w:t>
            </w:r>
          </w:p>
        </w:tc>
        <w:tc>
          <w:tcPr>
            <w:tcW w:w="939" w:type="pct"/>
            <w:shd w:val="clear" w:color="auto" w:fill="9CC2E5" w:themeFill="accent1" w:themeFillTint="99"/>
            <w:vAlign w:val="center"/>
          </w:tcPr>
          <w:p w14:paraId="3763780F" w14:textId="77777777" w:rsidR="002760B2" w:rsidRPr="002B005F" w:rsidRDefault="002760B2" w:rsidP="007C0DB9">
            <w:pPr>
              <w:tabs>
                <w:tab w:val="left" w:pos="0"/>
              </w:tabs>
              <w:spacing w:line="36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Invalides</w:t>
            </w:r>
          </w:p>
        </w:tc>
        <w:tc>
          <w:tcPr>
            <w:tcW w:w="938" w:type="pct"/>
            <w:shd w:val="clear" w:color="auto" w:fill="9CC2E5" w:themeFill="accent1" w:themeFillTint="99"/>
            <w:vAlign w:val="center"/>
          </w:tcPr>
          <w:p w14:paraId="7E01BBED" w14:textId="77777777" w:rsidR="002760B2" w:rsidRPr="002B005F" w:rsidRDefault="002760B2" w:rsidP="007C0DB9">
            <w:pPr>
              <w:tabs>
                <w:tab w:val="left" w:pos="0"/>
                <w:tab w:val="right" w:pos="2106"/>
              </w:tabs>
              <w:spacing w:line="36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Valides</w:t>
            </w:r>
          </w:p>
        </w:tc>
        <w:tc>
          <w:tcPr>
            <w:tcW w:w="1247" w:type="pct"/>
            <w:shd w:val="clear" w:color="auto" w:fill="9CC2E5" w:themeFill="accent1" w:themeFillTint="99"/>
            <w:vAlign w:val="center"/>
          </w:tcPr>
          <w:p w14:paraId="23936331" w14:textId="77777777" w:rsidR="002760B2" w:rsidRPr="002B005F" w:rsidRDefault="002760B2" w:rsidP="007C0DB9">
            <w:pPr>
              <w:tabs>
                <w:tab w:val="left" w:pos="0"/>
                <w:tab w:val="right" w:pos="2106"/>
              </w:tabs>
              <w:spacing w:line="36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Taux de réponse</w:t>
            </w:r>
          </w:p>
        </w:tc>
      </w:tr>
      <w:tr w:rsidR="002760B2" w:rsidRPr="002B005F" w14:paraId="36F32B42" w14:textId="77777777" w:rsidTr="00A9070B">
        <w:trPr>
          <w:cnfStyle w:val="010000000000" w:firstRow="0" w:lastRow="1" w:firstColumn="0" w:lastColumn="0" w:oddVBand="0" w:evenVBand="0" w:oddHBand="0" w:evenHBand="0" w:firstRowFirstColumn="0" w:firstRowLastColumn="0" w:lastRowFirstColumn="0" w:lastRowLastColumn="0"/>
          <w:cantSplit/>
          <w:trHeight w:val="397"/>
          <w:jc w:val="center"/>
        </w:trPr>
        <w:tc>
          <w:tcPr>
            <w:tcW w:w="1017" w:type="pct"/>
            <w:noWrap/>
            <w:vAlign w:val="center"/>
          </w:tcPr>
          <w:p w14:paraId="0B09FED8" w14:textId="77777777" w:rsidR="002760B2" w:rsidRPr="002B005F" w:rsidRDefault="002760B2" w:rsidP="007C0DB9">
            <w:pPr>
              <w:tabs>
                <w:tab w:val="left" w:pos="0"/>
              </w:tabs>
              <w:spacing w:line="360" w:lineRule="auto"/>
              <w:jc w:val="center"/>
              <w:rPr>
                <w:rFonts w:ascii="Times New Roman" w:hAnsi="Times New Roman" w:cs="Times New Roman"/>
                <w:b/>
                <w:bCs/>
                <w:color w:val="auto"/>
                <w:sz w:val="24"/>
                <w:szCs w:val="24"/>
              </w:rPr>
            </w:pPr>
            <w:r w:rsidRPr="002B005F">
              <w:rPr>
                <w:rFonts w:ascii="Times New Roman" w:hAnsi="Times New Roman" w:cs="Times New Roman"/>
                <w:b/>
                <w:bCs/>
                <w:color w:val="auto"/>
                <w:sz w:val="24"/>
                <w:szCs w:val="24"/>
              </w:rPr>
              <w:t>130</w:t>
            </w:r>
          </w:p>
        </w:tc>
        <w:tc>
          <w:tcPr>
            <w:tcW w:w="859" w:type="pct"/>
            <w:vAlign w:val="center"/>
          </w:tcPr>
          <w:p w14:paraId="19824883" w14:textId="77777777" w:rsidR="002760B2" w:rsidRPr="002E7BCA" w:rsidRDefault="002760B2" w:rsidP="007C0DB9">
            <w:pPr>
              <w:tabs>
                <w:tab w:val="left" w:pos="0"/>
              </w:tabs>
              <w:spacing w:line="360" w:lineRule="auto"/>
              <w:jc w:val="center"/>
              <w:rPr>
                <w:rStyle w:val="Emphaseple"/>
                <w:rFonts w:ascii="Times New Roman" w:hAnsi="Times New Roman" w:cs="Times New Roman"/>
                <w:b/>
                <w:bCs/>
                <w:i w:val="0"/>
                <w:iCs w:val="0"/>
                <w:color w:val="auto"/>
                <w:sz w:val="24"/>
                <w:szCs w:val="24"/>
              </w:rPr>
            </w:pPr>
            <w:r w:rsidRPr="002E7BCA">
              <w:rPr>
                <w:rStyle w:val="Emphaseple"/>
                <w:rFonts w:ascii="Times New Roman" w:hAnsi="Times New Roman" w:cs="Times New Roman"/>
                <w:b/>
                <w:bCs/>
                <w:i w:val="0"/>
                <w:iCs w:val="0"/>
                <w:color w:val="auto"/>
                <w:sz w:val="24"/>
                <w:szCs w:val="24"/>
              </w:rPr>
              <w:t>83</w:t>
            </w:r>
          </w:p>
        </w:tc>
        <w:tc>
          <w:tcPr>
            <w:tcW w:w="939" w:type="pct"/>
            <w:vAlign w:val="center"/>
          </w:tcPr>
          <w:p w14:paraId="36248B3A" w14:textId="77777777" w:rsidR="002760B2" w:rsidRPr="002B005F" w:rsidRDefault="002760B2" w:rsidP="007C0DB9">
            <w:pPr>
              <w:tabs>
                <w:tab w:val="left" w:pos="0"/>
              </w:tabs>
              <w:spacing w:line="360" w:lineRule="auto"/>
              <w:jc w:val="center"/>
              <w:rPr>
                <w:rFonts w:ascii="Times New Roman" w:hAnsi="Times New Roman" w:cs="Times New Roman"/>
                <w:b/>
                <w:bCs/>
                <w:color w:val="auto"/>
                <w:sz w:val="24"/>
                <w:szCs w:val="24"/>
              </w:rPr>
            </w:pPr>
            <w:r w:rsidRPr="002B005F">
              <w:rPr>
                <w:rFonts w:ascii="Times New Roman" w:hAnsi="Times New Roman" w:cs="Times New Roman"/>
                <w:b/>
                <w:bCs/>
                <w:color w:val="auto"/>
                <w:sz w:val="24"/>
                <w:szCs w:val="24"/>
              </w:rPr>
              <w:t>4</w:t>
            </w:r>
          </w:p>
        </w:tc>
        <w:tc>
          <w:tcPr>
            <w:tcW w:w="938" w:type="pct"/>
            <w:vAlign w:val="center"/>
          </w:tcPr>
          <w:p w14:paraId="32FE0E68" w14:textId="77777777" w:rsidR="002760B2" w:rsidRPr="002B005F" w:rsidRDefault="002760B2" w:rsidP="007C0DB9">
            <w:pPr>
              <w:tabs>
                <w:tab w:val="left" w:pos="0"/>
              </w:tabs>
              <w:spacing w:line="360" w:lineRule="auto"/>
              <w:jc w:val="center"/>
              <w:rPr>
                <w:rFonts w:ascii="Times New Roman" w:hAnsi="Times New Roman" w:cs="Times New Roman"/>
                <w:b/>
                <w:bCs/>
                <w:color w:val="auto"/>
                <w:sz w:val="24"/>
                <w:szCs w:val="24"/>
              </w:rPr>
            </w:pPr>
            <w:r w:rsidRPr="002B005F">
              <w:rPr>
                <w:rFonts w:ascii="Times New Roman" w:hAnsi="Times New Roman" w:cs="Times New Roman"/>
                <w:b/>
                <w:bCs/>
                <w:color w:val="auto"/>
                <w:sz w:val="24"/>
                <w:szCs w:val="24"/>
              </w:rPr>
              <w:t>79</w:t>
            </w:r>
          </w:p>
        </w:tc>
        <w:tc>
          <w:tcPr>
            <w:tcW w:w="1247" w:type="pct"/>
            <w:vAlign w:val="center"/>
          </w:tcPr>
          <w:p w14:paraId="577B798E" w14:textId="77777777" w:rsidR="002760B2" w:rsidRPr="002B005F" w:rsidRDefault="007C0DB9" w:rsidP="007C0DB9">
            <w:pPr>
              <w:tabs>
                <w:tab w:val="left" w:pos="0"/>
              </w:tabs>
              <w:spacing w:line="360" w:lineRule="auto"/>
              <w:jc w:val="center"/>
              <w:rPr>
                <w:rFonts w:ascii="Times New Roman" w:hAnsi="Times New Roman" w:cs="Times New Roman"/>
                <w:b/>
                <w:bCs/>
                <w:color w:val="auto"/>
                <w:sz w:val="24"/>
                <w:szCs w:val="24"/>
              </w:rPr>
            </w:pPr>
            <w:r w:rsidRPr="002B005F">
              <w:rPr>
                <w:rFonts w:ascii="Times New Roman" w:hAnsi="Times New Roman" w:cs="Times New Roman"/>
                <w:b/>
                <w:bCs/>
                <w:color w:val="auto"/>
                <w:sz w:val="24"/>
                <w:szCs w:val="24"/>
              </w:rPr>
              <w:t>60.8</w:t>
            </w:r>
          </w:p>
        </w:tc>
      </w:tr>
    </w:tbl>
    <w:p w14:paraId="29CF4152" w14:textId="77777777" w:rsidR="002760B2" w:rsidRPr="002B005F" w:rsidRDefault="002760B2" w:rsidP="007C0DB9">
      <w:pPr>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du chercheur.</w:t>
      </w:r>
    </w:p>
    <w:p w14:paraId="0F099F10" w14:textId="77777777" w:rsidR="002760B2" w:rsidRPr="002B005F" w:rsidRDefault="00245F45" w:rsidP="00D66FFE">
      <w:pPr>
        <w:pStyle w:val="Titre4"/>
        <w:keepNext w:val="0"/>
        <w:spacing w:before="120" w:after="120" w:line="300" w:lineRule="auto"/>
        <w:ind w:firstLine="709"/>
      </w:pPr>
      <w:bookmarkStart w:id="1525" w:name="_Toc33263375"/>
      <w:bookmarkStart w:id="1526" w:name="_Toc37664638"/>
      <w:bookmarkStart w:id="1527" w:name="_Toc37666483"/>
      <w:bookmarkStart w:id="1528" w:name="_Toc54363380"/>
      <w:bookmarkStart w:id="1529" w:name="_Toc58606364"/>
      <w:bookmarkStart w:id="1530" w:name="_Toc61263569"/>
      <w:bookmarkStart w:id="1531" w:name="_Toc182298892"/>
      <w:r>
        <w:t>1</w:t>
      </w:r>
      <w:r w:rsidR="00220521">
        <w:t xml:space="preserve">.3.3- </w:t>
      </w:r>
      <w:r w:rsidR="002760B2" w:rsidRPr="002B005F">
        <w:t>Test du questionnaire</w:t>
      </w:r>
      <w:bookmarkEnd w:id="1525"/>
      <w:bookmarkEnd w:id="1526"/>
      <w:bookmarkEnd w:id="1527"/>
      <w:bookmarkEnd w:id="1528"/>
      <w:bookmarkEnd w:id="1529"/>
      <w:bookmarkEnd w:id="1530"/>
      <w:bookmarkEnd w:id="1531"/>
    </w:p>
    <w:p w14:paraId="7F27EC18" w14:textId="77777777" w:rsidR="002760B2" w:rsidRPr="002B005F" w:rsidRDefault="002760B2" w:rsidP="007C0DB9">
      <w:pPr>
        <w:tabs>
          <w:tab w:val="left" w:pos="0"/>
        </w:tabs>
        <w:autoSpaceDE w:val="0"/>
        <w:autoSpaceDN w:val="0"/>
        <w:adjustRightInd w:val="0"/>
        <w:spacing w:before="120" w:line="300" w:lineRule="auto"/>
        <w:ind w:firstLine="709"/>
        <w:rPr>
          <w:rFonts w:ascii="Times New Roman" w:hAnsi="Times New Roman" w:cs="Times New Roman"/>
          <w:spacing w:val="-4"/>
          <w:sz w:val="24"/>
          <w:szCs w:val="24"/>
        </w:rPr>
      </w:pPr>
      <w:r w:rsidRPr="002B005F">
        <w:rPr>
          <w:rFonts w:ascii="Times New Roman" w:hAnsi="Times New Roman" w:cs="Times New Roman"/>
          <w:spacing w:val="-4"/>
          <w:sz w:val="24"/>
          <w:szCs w:val="24"/>
        </w:rPr>
        <w:t>Une étude pilote est une étude préliminaire à petite échelle menée avant la recherche principale afin de vérifier la faisabilité ou d'améliorer la conception de la recherche. Le questionnaire doit être évalué rigoureusement avant l'administration finale du questionnaire</w:t>
      </w:r>
      <w:r w:rsidRPr="002B005F">
        <w:rPr>
          <w:rStyle w:val="Appelnotedebasdep"/>
          <w:rFonts w:ascii="Times New Roman" w:hAnsi="Times New Roman"/>
          <w:spacing w:val="-4"/>
          <w:sz w:val="24"/>
          <w:szCs w:val="24"/>
        </w:rPr>
        <w:footnoteReference w:id="401"/>
      </w:r>
      <w:r w:rsidRPr="002B005F">
        <w:rPr>
          <w:rFonts w:ascii="Times New Roman" w:hAnsi="Times New Roman" w:cs="Times New Roman"/>
          <w:spacing w:val="-4"/>
          <w:sz w:val="24"/>
          <w:szCs w:val="24"/>
        </w:rPr>
        <w:t xml:space="preserve">. Un test pilote est important car il met en évidence les lacunes avant que le questionnaire soit entièrement lancé. L'objectif est de vérifier la présentation générale, la clarté et la vraisemblance en </w:t>
      </w:r>
      <w:r w:rsidR="00376525" w:rsidRPr="002B005F">
        <w:rPr>
          <w:rFonts w:ascii="Times New Roman" w:hAnsi="Times New Roman" w:cs="Times New Roman"/>
          <w:spacing w:val="-4"/>
          <w:sz w:val="24"/>
          <w:szCs w:val="24"/>
        </w:rPr>
        <w:t>termes</w:t>
      </w:r>
      <w:r w:rsidRPr="002B005F">
        <w:rPr>
          <w:rFonts w:ascii="Times New Roman" w:hAnsi="Times New Roman" w:cs="Times New Roman"/>
          <w:spacing w:val="-4"/>
          <w:sz w:val="24"/>
          <w:szCs w:val="24"/>
        </w:rPr>
        <w:t xml:space="preserve"> de longueur des questions et la profondeur de l'information recherchée</w:t>
      </w:r>
      <w:r w:rsidRPr="002B005F">
        <w:rPr>
          <w:rStyle w:val="Appelnotedebasdep"/>
          <w:rFonts w:ascii="Times New Roman" w:hAnsi="Times New Roman"/>
          <w:spacing w:val="-4"/>
          <w:sz w:val="24"/>
          <w:szCs w:val="24"/>
        </w:rPr>
        <w:footnoteReference w:id="402"/>
      </w:r>
      <w:r w:rsidRPr="002B005F">
        <w:rPr>
          <w:rFonts w:ascii="Times New Roman" w:hAnsi="Times New Roman" w:cs="Times New Roman"/>
          <w:spacing w:val="-4"/>
          <w:sz w:val="24"/>
          <w:szCs w:val="24"/>
        </w:rPr>
        <w:t>.</w:t>
      </w:r>
    </w:p>
    <w:p w14:paraId="39995945" w14:textId="77777777" w:rsidR="002760B2" w:rsidRPr="002B005F" w:rsidRDefault="002760B2" w:rsidP="007C0DB9">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Les questionnaires rédigés pour cette étude ont d'abord été testés sur un groupe de dix banquiers travaillant en Algérie et en Tunisie. Les répondants ont été interrogés sur les questions suivantes :</w:t>
      </w:r>
    </w:p>
    <w:p w14:paraId="4B026BFB" w14:textId="77777777" w:rsidR="002760B2" w:rsidRPr="002B005F" w:rsidRDefault="002760B2" w:rsidP="00CB0FF1">
      <w:pPr>
        <w:pStyle w:val="Paragraphedeliste"/>
        <w:numPr>
          <w:ilvl w:val="0"/>
          <w:numId w:val="51"/>
        </w:numPr>
        <w:tabs>
          <w:tab w:val="left" w:pos="567"/>
          <w:tab w:val="left" w:pos="1134"/>
        </w:tabs>
        <w:autoSpaceDE w:val="0"/>
        <w:autoSpaceDN w:val="0"/>
        <w:adjustRightInd w:val="0"/>
        <w:spacing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 questionnaire est-il trop </w:t>
      </w:r>
      <w:r w:rsidR="00FA5D4E" w:rsidRPr="002B005F">
        <w:rPr>
          <w:rFonts w:ascii="Times New Roman" w:hAnsi="Times New Roman" w:cs="Times New Roman"/>
          <w:sz w:val="24"/>
          <w:szCs w:val="24"/>
        </w:rPr>
        <w:t>long ?</w:t>
      </w:r>
    </w:p>
    <w:p w14:paraId="36F553B3" w14:textId="77777777" w:rsidR="002760B2" w:rsidRPr="002B005F" w:rsidRDefault="002760B2" w:rsidP="00CB0FF1">
      <w:pPr>
        <w:pStyle w:val="Paragraphedeliste"/>
        <w:numPr>
          <w:ilvl w:val="0"/>
          <w:numId w:val="51"/>
        </w:numPr>
        <w:tabs>
          <w:tab w:val="left" w:pos="567"/>
          <w:tab w:val="left" w:pos="851"/>
          <w:tab w:val="left" w:pos="1134"/>
        </w:tabs>
        <w:autoSpaceDE w:val="0"/>
        <w:autoSpaceDN w:val="0"/>
        <w:adjustRightInd w:val="0"/>
        <w:spacing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instructions étaient-elles </w:t>
      </w:r>
      <w:r w:rsidR="00FA5D4E" w:rsidRPr="002B005F">
        <w:rPr>
          <w:rFonts w:ascii="Times New Roman" w:hAnsi="Times New Roman" w:cs="Times New Roman"/>
          <w:sz w:val="24"/>
          <w:szCs w:val="24"/>
        </w:rPr>
        <w:t>claires ?</w:t>
      </w:r>
    </w:p>
    <w:p w14:paraId="7C98D9DB" w14:textId="77777777" w:rsidR="002760B2" w:rsidRPr="002B005F" w:rsidRDefault="002760B2" w:rsidP="00CB0FF1">
      <w:pPr>
        <w:pStyle w:val="Paragraphedeliste"/>
        <w:numPr>
          <w:ilvl w:val="0"/>
          <w:numId w:val="51"/>
        </w:numPr>
        <w:tabs>
          <w:tab w:val="left" w:pos="567"/>
          <w:tab w:val="left" w:pos="851"/>
          <w:tab w:val="left" w:pos="1134"/>
        </w:tabs>
        <w:autoSpaceDE w:val="0"/>
        <w:autoSpaceDN w:val="0"/>
        <w:adjustRightInd w:val="0"/>
        <w:spacing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Certaines déclarations étaient-elles </w:t>
      </w:r>
      <w:r w:rsidR="00FA5D4E" w:rsidRPr="002B005F">
        <w:rPr>
          <w:rFonts w:ascii="Times New Roman" w:hAnsi="Times New Roman" w:cs="Times New Roman"/>
          <w:sz w:val="24"/>
          <w:szCs w:val="24"/>
        </w:rPr>
        <w:t>ambiguës ?</w:t>
      </w:r>
    </w:p>
    <w:p w14:paraId="0EEAB2FA" w14:textId="77777777" w:rsidR="002760B2" w:rsidRPr="002B005F" w:rsidRDefault="002760B2" w:rsidP="00CB0FF1">
      <w:pPr>
        <w:pStyle w:val="Paragraphedeliste"/>
        <w:numPr>
          <w:ilvl w:val="0"/>
          <w:numId w:val="51"/>
        </w:numPr>
        <w:tabs>
          <w:tab w:val="left" w:pos="567"/>
          <w:tab w:val="left" w:pos="851"/>
          <w:tab w:val="left" w:pos="1134"/>
        </w:tabs>
        <w:autoSpaceDE w:val="0"/>
        <w:autoSpaceDN w:val="0"/>
        <w:adjustRightInd w:val="0"/>
        <w:spacing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Ont-ils trouvé l'une des questions </w:t>
      </w:r>
      <w:r w:rsidR="00FA5D4E" w:rsidRPr="002B005F">
        <w:rPr>
          <w:rFonts w:ascii="Times New Roman" w:hAnsi="Times New Roman" w:cs="Times New Roman"/>
          <w:sz w:val="24"/>
          <w:szCs w:val="24"/>
        </w:rPr>
        <w:t>sensibles ?</w:t>
      </w:r>
    </w:p>
    <w:p w14:paraId="5CE0E394" w14:textId="77777777" w:rsidR="002760B2" w:rsidRPr="002B005F" w:rsidRDefault="002760B2" w:rsidP="00CB0FF1">
      <w:pPr>
        <w:pStyle w:val="Paragraphedeliste"/>
        <w:numPr>
          <w:ilvl w:val="0"/>
          <w:numId w:val="51"/>
        </w:numPr>
        <w:tabs>
          <w:tab w:val="left" w:pos="567"/>
          <w:tab w:val="left" w:pos="851"/>
          <w:tab w:val="left" w:pos="1134"/>
        </w:tabs>
        <w:autoSpaceDE w:val="0"/>
        <w:autoSpaceDN w:val="0"/>
        <w:adjustRightInd w:val="0"/>
        <w:spacing w:line="300" w:lineRule="auto"/>
        <w:ind w:left="851" w:firstLine="0"/>
        <w:contextualSpacing w:val="0"/>
        <w:rPr>
          <w:rFonts w:ascii="Times New Roman" w:hAnsi="Times New Roman" w:cs="Times New Roman"/>
          <w:sz w:val="24"/>
          <w:szCs w:val="24"/>
        </w:rPr>
      </w:pPr>
      <w:r w:rsidRPr="002B005F">
        <w:rPr>
          <w:rFonts w:ascii="Times New Roman" w:hAnsi="Times New Roman" w:cs="Times New Roman"/>
          <w:sz w:val="24"/>
          <w:szCs w:val="24"/>
        </w:rPr>
        <w:t>S'ils ont des commentaires et des suggestions ?</w:t>
      </w:r>
    </w:p>
    <w:p w14:paraId="3A879EE6" w14:textId="77777777" w:rsidR="002760B2" w:rsidRPr="002B005F" w:rsidRDefault="002760B2" w:rsidP="00D66FFE">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 retour de ce pilotage a montré quelques observations, comme </w:t>
      </w:r>
      <w:r w:rsidR="00FA5D4E" w:rsidRPr="002B005F">
        <w:rPr>
          <w:rFonts w:ascii="Times New Roman" w:hAnsi="Times New Roman" w:cs="Times New Roman"/>
          <w:sz w:val="24"/>
          <w:szCs w:val="24"/>
        </w:rPr>
        <w:t>suit :</w:t>
      </w:r>
    </w:p>
    <w:p w14:paraId="7FE7BA3D" w14:textId="77777777" w:rsidR="002760B2" w:rsidRPr="002B005F" w:rsidRDefault="00FA5D4E" w:rsidP="00CB0FF1">
      <w:pPr>
        <w:pStyle w:val="Paragraphedeliste"/>
        <w:numPr>
          <w:ilvl w:val="0"/>
          <w:numId w:val="52"/>
        </w:numPr>
        <w:tabs>
          <w:tab w:val="left" w:pos="0"/>
          <w:tab w:val="left" w:pos="1134"/>
        </w:tabs>
        <w:autoSpaceDE w:val="0"/>
        <w:autoSpaceDN w:val="0"/>
        <w:adjustRightInd w:val="0"/>
        <w:spacing w:line="300" w:lineRule="auto"/>
        <w:ind w:left="1701" w:hanging="850"/>
        <w:contextualSpacing w:val="0"/>
        <w:rPr>
          <w:rFonts w:ascii="Times New Roman" w:hAnsi="Times New Roman" w:cs="Times New Roman"/>
          <w:sz w:val="24"/>
          <w:szCs w:val="24"/>
        </w:rPr>
      </w:pPr>
      <w:r w:rsidRPr="002B005F">
        <w:rPr>
          <w:rFonts w:ascii="Times New Roman" w:hAnsi="Times New Roman" w:cs="Times New Roman"/>
          <w:sz w:val="24"/>
          <w:szCs w:val="24"/>
        </w:rPr>
        <w:t>Q8 :</w:t>
      </w:r>
      <w:r w:rsidR="002760B2" w:rsidRPr="002B005F">
        <w:rPr>
          <w:rFonts w:ascii="Times New Roman" w:hAnsi="Times New Roman" w:cs="Times New Roman"/>
          <w:sz w:val="24"/>
          <w:szCs w:val="24"/>
        </w:rPr>
        <w:t xml:space="preserve"> Certains répondants ne comprenai</w:t>
      </w:r>
      <w:r w:rsidRPr="002B005F">
        <w:rPr>
          <w:rFonts w:ascii="Times New Roman" w:hAnsi="Times New Roman" w:cs="Times New Roman"/>
          <w:sz w:val="24"/>
          <w:szCs w:val="24"/>
        </w:rPr>
        <w:t>ent pas ce que l'on entend par « Risque commercial déplacé ».</w:t>
      </w:r>
    </w:p>
    <w:p w14:paraId="77E0AA72" w14:textId="77777777" w:rsidR="002760B2" w:rsidRPr="002B005F" w:rsidRDefault="00FA5D4E" w:rsidP="00CB0FF1">
      <w:pPr>
        <w:pStyle w:val="Paragraphedeliste"/>
        <w:numPr>
          <w:ilvl w:val="0"/>
          <w:numId w:val="52"/>
        </w:numPr>
        <w:tabs>
          <w:tab w:val="left" w:pos="0"/>
          <w:tab w:val="left" w:pos="1134"/>
        </w:tabs>
        <w:autoSpaceDE w:val="0"/>
        <w:autoSpaceDN w:val="0"/>
        <w:adjustRightInd w:val="0"/>
        <w:spacing w:line="300" w:lineRule="auto"/>
        <w:ind w:left="1701" w:hanging="850"/>
        <w:contextualSpacing w:val="0"/>
        <w:rPr>
          <w:rFonts w:ascii="Times New Roman" w:hAnsi="Times New Roman" w:cs="Times New Roman"/>
          <w:sz w:val="24"/>
          <w:szCs w:val="24"/>
        </w:rPr>
      </w:pPr>
      <w:r w:rsidRPr="002B005F">
        <w:rPr>
          <w:rFonts w:ascii="Times New Roman" w:hAnsi="Times New Roman" w:cs="Times New Roman"/>
          <w:sz w:val="24"/>
          <w:szCs w:val="24"/>
        </w:rPr>
        <w:t>Q12 :</w:t>
      </w:r>
      <w:r w:rsidR="002760B2" w:rsidRPr="002B005F">
        <w:rPr>
          <w:rFonts w:ascii="Times New Roman" w:hAnsi="Times New Roman" w:cs="Times New Roman"/>
          <w:sz w:val="24"/>
          <w:szCs w:val="24"/>
        </w:rPr>
        <w:t xml:space="preserve"> Certaines sous-questions ne sont pas assez claires.</w:t>
      </w:r>
    </w:p>
    <w:p w14:paraId="00F7D406" w14:textId="77777777" w:rsidR="008C105F" w:rsidRPr="002B005F" w:rsidRDefault="002760B2" w:rsidP="007A6DD0">
      <w:pPr>
        <w:pStyle w:val="Paragraphedeliste"/>
        <w:tabs>
          <w:tab w:val="left" w:pos="0"/>
        </w:tabs>
        <w:autoSpaceDE w:val="0"/>
        <w:autoSpaceDN w:val="0"/>
        <w:adjustRightInd w:val="0"/>
        <w:spacing w:before="120" w:line="300" w:lineRule="auto"/>
        <w:ind w:left="0" w:firstLine="709"/>
        <w:contextualSpacing w:val="0"/>
        <w:rPr>
          <w:rFonts w:ascii="Times New Roman" w:hAnsi="Times New Roman" w:cs="Times New Roman"/>
          <w:spacing w:val="-4"/>
          <w:sz w:val="24"/>
          <w:szCs w:val="24"/>
        </w:rPr>
      </w:pPr>
      <w:r w:rsidRPr="002B005F">
        <w:rPr>
          <w:rFonts w:ascii="Times New Roman" w:hAnsi="Times New Roman" w:cs="Times New Roman"/>
          <w:spacing w:val="-4"/>
          <w:sz w:val="24"/>
          <w:szCs w:val="24"/>
        </w:rPr>
        <w:t xml:space="preserve">En général, les résultats du test pilote </w:t>
      </w:r>
      <w:r w:rsidR="00576432">
        <w:rPr>
          <w:rFonts w:ascii="Times New Roman" w:hAnsi="Times New Roman" w:cs="Times New Roman"/>
          <w:spacing w:val="-4"/>
          <w:sz w:val="24"/>
          <w:szCs w:val="24"/>
        </w:rPr>
        <w:t xml:space="preserve">n’ont </w:t>
      </w:r>
      <w:r w:rsidR="00576432" w:rsidRPr="002B005F">
        <w:rPr>
          <w:rFonts w:ascii="Times New Roman" w:hAnsi="Times New Roman" w:cs="Times New Roman"/>
          <w:spacing w:val="-4"/>
          <w:sz w:val="24"/>
          <w:szCs w:val="24"/>
        </w:rPr>
        <w:t>pas</w:t>
      </w:r>
      <w:r w:rsidRPr="002B005F">
        <w:rPr>
          <w:rFonts w:ascii="Times New Roman" w:hAnsi="Times New Roman" w:cs="Times New Roman"/>
          <w:spacing w:val="-4"/>
          <w:sz w:val="24"/>
          <w:szCs w:val="24"/>
        </w:rPr>
        <w:t xml:space="preserve"> entraîné de différence notable par rapport au questionnaire original. Ensuite, la version finale a été envoyée à l’ensemble des répondants.</w:t>
      </w:r>
    </w:p>
    <w:p w14:paraId="3E8DA05A" w14:textId="77777777" w:rsidR="002760B2" w:rsidRPr="00BC2D2F" w:rsidRDefault="00245F45" w:rsidP="00B424F2">
      <w:pPr>
        <w:pStyle w:val="Titre5"/>
        <w:keepLines w:val="0"/>
        <w:spacing w:before="120" w:after="120" w:line="300" w:lineRule="auto"/>
        <w:ind w:firstLine="709"/>
        <w:rPr>
          <w:rFonts w:asciiTheme="majorBidi" w:hAnsiTheme="majorBidi"/>
          <w:b/>
          <w:bCs/>
          <w:color w:val="auto"/>
          <w:sz w:val="24"/>
          <w:szCs w:val="24"/>
        </w:rPr>
      </w:pPr>
      <w:bookmarkStart w:id="1532" w:name="_Toc33263376"/>
      <w:bookmarkStart w:id="1533" w:name="_Toc37664639"/>
      <w:bookmarkStart w:id="1534" w:name="_Toc37666484"/>
      <w:bookmarkStart w:id="1535" w:name="_Toc54363381"/>
      <w:bookmarkStart w:id="1536" w:name="_Toc182298893"/>
      <w:r w:rsidRPr="00BC2D2F">
        <w:rPr>
          <w:rFonts w:asciiTheme="majorBidi" w:hAnsiTheme="majorBidi"/>
          <w:b/>
          <w:bCs/>
          <w:color w:val="auto"/>
          <w:sz w:val="24"/>
          <w:szCs w:val="24"/>
        </w:rPr>
        <w:lastRenderedPageBreak/>
        <w:t>1</w:t>
      </w:r>
      <w:r w:rsidR="00220521" w:rsidRPr="00BC2D2F">
        <w:rPr>
          <w:rFonts w:asciiTheme="majorBidi" w:hAnsiTheme="majorBidi"/>
          <w:b/>
          <w:bCs/>
          <w:color w:val="auto"/>
          <w:sz w:val="24"/>
          <w:szCs w:val="24"/>
        </w:rPr>
        <w:t>.3.3.</w:t>
      </w:r>
      <w:r w:rsidR="00BD2AEA" w:rsidRPr="00BC2D2F">
        <w:rPr>
          <w:rFonts w:asciiTheme="majorBidi" w:hAnsiTheme="majorBidi"/>
          <w:b/>
          <w:bCs/>
          <w:color w:val="auto"/>
          <w:sz w:val="24"/>
          <w:szCs w:val="24"/>
        </w:rPr>
        <w:t>1</w:t>
      </w:r>
      <w:r w:rsidR="00220521" w:rsidRPr="00BC2D2F">
        <w:rPr>
          <w:rFonts w:asciiTheme="majorBidi" w:hAnsiTheme="majorBidi"/>
          <w:b/>
          <w:bCs/>
          <w:color w:val="auto"/>
          <w:sz w:val="24"/>
          <w:szCs w:val="24"/>
        </w:rPr>
        <w:t xml:space="preserve">- </w:t>
      </w:r>
      <w:r w:rsidR="002760B2" w:rsidRPr="00BC2D2F">
        <w:rPr>
          <w:rFonts w:asciiTheme="majorBidi" w:hAnsiTheme="majorBidi"/>
          <w:b/>
          <w:bCs/>
          <w:color w:val="auto"/>
          <w:sz w:val="24"/>
          <w:szCs w:val="24"/>
        </w:rPr>
        <w:t>Fiabilité du questionnaire</w:t>
      </w:r>
      <w:bookmarkEnd w:id="1532"/>
      <w:bookmarkEnd w:id="1533"/>
      <w:bookmarkEnd w:id="1534"/>
      <w:bookmarkEnd w:id="1535"/>
      <w:bookmarkEnd w:id="1536"/>
    </w:p>
    <w:p w14:paraId="5A4D830C" w14:textId="77777777" w:rsidR="002615D5" w:rsidRPr="002B005F" w:rsidRDefault="002760B2" w:rsidP="00B424F2">
      <w:pPr>
        <w:keepNext/>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fiabilité fait référence à la cohérence des questions. Cela signifie que si la recherche était réalisée par d'autres chercheurs indépendants utilisant la même méthodologie, ils arriveraient à une conclusion similaire</w:t>
      </w:r>
      <w:r w:rsidRPr="002B005F">
        <w:rPr>
          <w:rStyle w:val="Appelnotedebasdep"/>
          <w:rFonts w:ascii="Times New Roman" w:hAnsi="Times New Roman"/>
          <w:sz w:val="24"/>
          <w:szCs w:val="24"/>
        </w:rPr>
        <w:footnoteReference w:id="403"/>
      </w:r>
      <w:r w:rsidRPr="002B005F">
        <w:rPr>
          <w:rFonts w:ascii="Times New Roman" w:hAnsi="Times New Roman" w:cs="Times New Roman"/>
          <w:sz w:val="24"/>
          <w:szCs w:val="24"/>
        </w:rPr>
        <w:t xml:space="preserve">. Selon </w:t>
      </w:r>
      <w:r w:rsidRPr="002B005F">
        <w:rPr>
          <w:rFonts w:ascii="Times New Roman" w:hAnsi="Times New Roman" w:cs="Times New Roman"/>
          <w:smallCaps/>
          <w:sz w:val="24"/>
          <w:szCs w:val="24"/>
        </w:rPr>
        <w:t>Oppenheim</w:t>
      </w:r>
      <w:r w:rsidRPr="002B005F">
        <w:rPr>
          <w:rFonts w:ascii="Times New Roman" w:hAnsi="Times New Roman" w:cs="Times New Roman"/>
          <w:sz w:val="24"/>
          <w:szCs w:val="24"/>
        </w:rPr>
        <w:t xml:space="preserve"> (2001)</w:t>
      </w:r>
      <w:r w:rsidRPr="002B005F">
        <w:rPr>
          <w:rStyle w:val="Appelnotedebasdep"/>
          <w:rFonts w:ascii="Times New Roman" w:hAnsi="Times New Roman"/>
          <w:sz w:val="24"/>
          <w:szCs w:val="24"/>
        </w:rPr>
        <w:footnoteReference w:id="404"/>
      </w:r>
      <w:r w:rsidRPr="002B005F">
        <w:rPr>
          <w:rFonts w:ascii="Times New Roman" w:hAnsi="Times New Roman" w:cs="Times New Roman"/>
          <w:sz w:val="24"/>
          <w:szCs w:val="24"/>
        </w:rPr>
        <w:t>, les éléments clés de la fiabilité des données comprennent la cohérence, la précision et l'explicabilité des résultats. Ce qui suggère que le chercheur doit être cohérent lors de la collecte des données et devrait viser un haut degré de précision, qui bien sûr sera soumis à de nombreux facteurs incontrôlables. Cependant, le chercheur devrait essayer de minimiser la fausseté dans la collecte de données.</w:t>
      </w:r>
    </w:p>
    <w:p w14:paraId="6AA94D4E" w14:textId="77777777" w:rsidR="002760B2" w:rsidRPr="00BC2D2F" w:rsidRDefault="00245F45" w:rsidP="00D66FFE">
      <w:pPr>
        <w:pStyle w:val="Titre5"/>
        <w:keepNext w:val="0"/>
        <w:keepLines w:val="0"/>
        <w:spacing w:before="120" w:after="120" w:line="300" w:lineRule="auto"/>
        <w:ind w:firstLine="709"/>
        <w:rPr>
          <w:rFonts w:asciiTheme="majorBidi" w:hAnsiTheme="majorBidi"/>
          <w:b/>
          <w:bCs/>
          <w:color w:val="auto"/>
          <w:sz w:val="24"/>
          <w:szCs w:val="24"/>
        </w:rPr>
      </w:pPr>
      <w:bookmarkStart w:id="1537" w:name="_Toc182298894"/>
      <w:r w:rsidRPr="00BC2D2F">
        <w:rPr>
          <w:rFonts w:asciiTheme="majorBidi" w:hAnsiTheme="majorBidi"/>
          <w:b/>
          <w:bCs/>
          <w:color w:val="auto"/>
          <w:sz w:val="24"/>
          <w:szCs w:val="24"/>
        </w:rPr>
        <w:t>1</w:t>
      </w:r>
      <w:r w:rsidR="00BD2AEA" w:rsidRPr="00BC2D2F">
        <w:rPr>
          <w:rFonts w:asciiTheme="majorBidi" w:hAnsiTheme="majorBidi"/>
          <w:b/>
          <w:bCs/>
          <w:color w:val="auto"/>
          <w:sz w:val="24"/>
          <w:szCs w:val="24"/>
        </w:rPr>
        <w:t xml:space="preserve">.3.3.2- </w:t>
      </w:r>
      <w:r w:rsidR="002760B2" w:rsidRPr="00BC2D2F">
        <w:rPr>
          <w:rFonts w:asciiTheme="majorBidi" w:hAnsiTheme="majorBidi"/>
          <w:b/>
          <w:bCs/>
          <w:color w:val="auto"/>
          <w:sz w:val="24"/>
          <w:szCs w:val="24"/>
        </w:rPr>
        <w:t>Test d’Alpha de Cronbach</w:t>
      </w:r>
      <w:bookmarkEnd w:id="1537"/>
    </w:p>
    <w:p w14:paraId="7C07A364" w14:textId="77777777" w:rsidR="00567A9B" w:rsidRPr="002B005F" w:rsidRDefault="002760B2" w:rsidP="00A9070B">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L'alpha de Cronbach est la forme la plus courante de fiabilité de la cohérence interne des données, dont la valeur varie de 0 à 1. Plus la valeur d'alpha est élevée, plus l'échelle est fiable. En règle générale, l'alpha devrait être au moins 0,7.</w:t>
      </w:r>
    </w:p>
    <w:p w14:paraId="4C142F69" w14:textId="4F368477" w:rsidR="002760B2" w:rsidRPr="002B005F" w:rsidRDefault="008C2E40" w:rsidP="00916AB3">
      <w:pPr>
        <w:tabs>
          <w:tab w:val="left" w:pos="0"/>
        </w:tabs>
        <w:spacing w:before="100" w:beforeAutospacing="1" w:after="120" w:line="300" w:lineRule="auto"/>
        <w:jc w:val="center"/>
        <w:rPr>
          <w:rFonts w:ascii="Times New Roman" w:hAnsi="Times New Roman" w:cs="Times New Roman"/>
          <w:b/>
          <w:bCs/>
          <w:sz w:val="24"/>
          <w:szCs w:val="24"/>
        </w:rPr>
      </w:pPr>
      <w:bookmarkStart w:id="1538" w:name="_Toc115556076"/>
      <w:r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8</w:t>
      </w:r>
      <w:r w:rsidR="00B544E5" w:rsidRPr="002B005F">
        <w:rPr>
          <w:rFonts w:ascii="Times New Roman" w:hAnsi="Times New Roman" w:cs="Times New Roman"/>
          <w:b/>
          <w:bCs/>
          <w:sz w:val="24"/>
          <w:szCs w:val="24"/>
        </w:rPr>
        <w:fldChar w:fldCharType="end"/>
      </w:r>
      <w:r w:rsidR="00FA5D4E" w:rsidRPr="002B005F">
        <w:rPr>
          <w:rFonts w:ascii="Times New Roman" w:hAnsi="Times New Roman" w:cs="Times New Roman"/>
          <w:b/>
          <w:bCs/>
          <w:sz w:val="24"/>
          <w:szCs w:val="24"/>
        </w:rPr>
        <w:t>-</w:t>
      </w:r>
      <w:r w:rsidRPr="002B005F">
        <w:rPr>
          <w:rFonts w:ascii="Times New Roman" w:hAnsi="Times New Roman" w:cs="Times New Roman"/>
          <w:b/>
          <w:bCs/>
          <w:sz w:val="24"/>
          <w:szCs w:val="24"/>
        </w:rPr>
        <w:t xml:space="preserve"> Test de fiabilité (Cronbach’s alpha coefficient)</w:t>
      </w:r>
      <w:bookmarkEnd w:id="1538"/>
    </w:p>
    <w:tbl>
      <w:tblPr>
        <w:tblStyle w:val="Trameclaire-Accent11"/>
        <w:tblW w:w="0" w:type="auto"/>
        <w:jc w:val="center"/>
        <w:tblLayout w:type="fixed"/>
        <w:tblCellMar>
          <w:top w:w="57" w:type="dxa"/>
          <w:left w:w="170" w:type="dxa"/>
          <w:bottom w:w="57" w:type="dxa"/>
          <w:right w:w="170" w:type="dxa"/>
        </w:tblCellMar>
        <w:tblLook w:val="0660" w:firstRow="1" w:lastRow="1" w:firstColumn="0" w:lastColumn="0" w:noHBand="1" w:noVBand="1"/>
      </w:tblPr>
      <w:tblGrid>
        <w:gridCol w:w="2835"/>
        <w:gridCol w:w="2835"/>
      </w:tblGrid>
      <w:tr w:rsidR="002760B2" w:rsidRPr="002B005F" w14:paraId="3E87421B" w14:textId="77777777" w:rsidTr="00A9070B">
        <w:trPr>
          <w:cnfStyle w:val="100000000000" w:firstRow="1" w:lastRow="0" w:firstColumn="0" w:lastColumn="0" w:oddVBand="0" w:evenVBand="0" w:oddHBand="0" w:evenHBand="0" w:firstRowFirstColumn="0" w:firstRowLastColumn="0" w:lastRowFirstColumn="0" w:lastRowLastColumn="0"/>
          <w:trHeight w:val="454"/>
          <w:jc w:val="center"/>
        </w:trPr>
        <w:tc>
          <w:tcPr>
            <w:tcW w:w="2835" w:type="dxa"/>
            <w:shd w:val="clear" w:color="auto" w:fill="auto"/>
            <w:noWrap/>
            <w:vAlign w:val="center"/>
          </w:tcPr>
          <w:p w14:paraId="3D6BA131" w14:textId="77777777" w:rsidR="002760B2" w:rsidRPr="002B005F" w:rsidRDefault="002760B2" w:rsidP="008C105F">
            <w:pPr>
              <w:tabs>
                <w:tab w:val="left" w:pos="0"/>
                <w:tab w:val="left" w:pos="683"/>
                <w:tab w:val="left" w:pos="825"/>
              </w:tabs>
              <w:spacing w:line="36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Alpha de Cronbach</w:t>
            </w:r>
          </w:p>
        </w:tc>
        <w:tc>
          <w:tcPr>
            <w:tcW w:w="2835" w:type="dxa"/>
            <w:shd w:val="clear" w:color="auto" w:fill="auto"/>
            <w:vAlign w:val="center"/>
          </w:tcPr>
          <w:p w14:paraId="6513AAAB" w14:textId="77777777" w:rsidR="002760B2" w:rsidRPr="002B005F" w:rsidRDefault="002760B2" w:rsidP="008C105F">
            <w:pPr>
              <w:tabs>
                <w:tab w:val="left" w:pos="0"/>
              </w:tabs>
              <w:spacing w:line="36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Nombre d’items</w:t>
            </w:r>
          </w:p>
        </w:tc>
      </w:tr>
      <w:tr w:rsidR="002760B2" w:rsidRPr="002B005F" w14:paraId="37DD4808" w14:textId="77777777" w:rsidTr="00A9070B">
        <w:trPr>
          <w:cnfStyle w:val="010000000000" w:firstRow="0" w:lastRow="1" w:firstColumn="0" w:lastColumn="0" w:oddVBand="0" w:evenVBand="0" w:oddHBand="0" w:evenHBand="0" w:firstRowFirstColumn="0" w:firstRowLastColumn="0" w:lastRowFirstColumn="0" w:lastRowLastColumn="0"/>
          <w:trHeight w:val="397"/>
          <w:jc w:val="center"/>
        </w:trPr>
        <w:tc>
          <w:tcPr>
            <w:tcW w:w="2835" w:type="dxa"/>
            <w:shd w:val="clear" w:color="auto" w:fill="auto"/>
            <w:noWrap/>
            <w:vAlign w:val="center"/>
          </w:tcPr>
          <w:p w14:paraId="65FFD36F" w14:textId="77777777" w:rsidR="002760B2" w:rsidRPr="002B005F" w:rsidRDefault="002760B2" w:rsidP="008C105F">
            <w:pPr>
              <w:tabs>
                <w:tab w:val="left" w:pos="0"/>
              </w:tabs>
              <w:spacing w:line="36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0.75</w:t>
            </w:r>
          </w:p>
        </w:tc>
        <w:tc>
          <w:tcPr>
            <w:tcW w:w="2835" w:type="dxa"/>
            <w:shd w:val="clear" w:color="auto" w:fill="auto"/>
            <w:vAlign w:val="center"/>
          </w:tcPr>
          <w:p w14:paraId="225F2A0F" w14:textId="77777777" w:rsidR="002760B2" w:rsidRPr="002B005F" w:rsidRDefault="002760B2" w:rsidP="008C105F">
            <w:pPr>
              <w:tabs>
                <w:tab w:val="left" w:pos="0"/>
              </w:tabs>
              <w:spacing w:line="360" w:lineRule="auto"/>
              <w:jc w:val="center"/>
              <w:rPr>
                <w:rStyle w:val="Emphaseple"/>
                <w:rFonts w:ascii="Times New Roman" w:hAnsi="Times New Roman" w:cs="Times New Roman"/>
                <w:i w:val="0"/>
                <w:iCs w:val="0"/>
                <w:color w:val="auto"/>
                <w:sz w:val="24"/>
                <w:szCs w:val="24"/>
              </w:rPr>
            </w:pPr>
            <w:r w:rsidRPr="002B005F">
              <w:rPr>
                <w:rStyle w:val="Emphaseple"/>
                <w:rFonts w:ascii="Times New Roman" w:hAnsi="Times New Roman" w:cs="Times New Roman"/>
                <w:i w:val="0"/>
                <w:iCs w:val="0"/>
                <w:color w:val="auto"/>
                <w:sz w:val="24"/>
                <w:szCs w:val="24"/>
              </w:rPr>
              <w:t>100</w:t>
            </w:r>
          </w:p>
        </w:tc>
      </w:tr>
    </w:tbl>
    <w:p w14:paraId="3F2138CB" w14:textId="77777777" w:rsidR="002760B2" w:rsidRPr="002B005F" w:rsidRDefault="002760B2" w:rsidP="00FA5D4E">
      <w:pPr>
        <w:pStyle w:val="Notedebasdepage"/>
        <w:tabs>
          <w:tab w:val="left" w:pos="0"/>
          <w:tab w:val="left" w:pos="1701"/>
        </w:tabs>
        <w:spacing w:before="120" w:after="100" w:afterAutospacing="1"/>
        <w:jc w:val="center"/>
        <w:rPr>
          <w:rFonts w:ascii="Times New Roman" w:hAnsi="Times New Roman" w:cs="Times New Roman"/>
        </w:rPr>
      </w:pPr>
      <w:r w:rsidRPr="002B005F">
        <w:rPr>
          <w:rFonts w:ascii="Times New Roman" w:hAnsi="Times New Roman" w:cs="Times New Roman"/>
        </w:rPr>
        <w:t>Source : Calculs du chercheur.</w:t>
      </w:r>
    </w:p>
    <w:p w14:paraId="788C8E12" w14:textId="77777777" w:rsidR="002760B2" w:rsidRPr="002B005F" w:rsidRDefault="002760B2" w:rsidP="00A9070B">
      <w:pPr>
        <w:pStyle w:val="Notedebasdepage"/>
        <w:tabs>
          <w:tab w:val="left" w:pos="0"/>
        </w:tabs>
        <w:spacing w:before="100" w:beforeAutospacing="1"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tableau 8 révèle que le coefficient alpha de </w:t>
      </w:r>
      <w:r w:rsidR="00FA5D4E" w:rsidRPr="002B005F">
        <w:rPr>
          <w:rFonts w:ascii="Times New Roman" w:hAnsi="Times New Roman" w:cs="Times New Roman"/>
          <w:sz w:val="24"/>
          <w:szCs w:val="24"/>
        </w:rPr>
        <w:t>Cronbach était</w:t>
      </w:r>
      <w:r w:rsidRPr="002B005F">
        <w:rPr>
          <w:rFonts w:ascii="Times New Roman" w:hAnsi="Times New Roman" w:cs="Times New Roman"/>
          <w:sz w:val="24"/>
          <w:szCs w:val="24"/>
        </w:rPr>
        <w:t xml:space="preserve"> de 0,75 (&gt; 0,70). Donc, nous avons obtenu </w:t>
      </w:r>
      <w:r w:rsidRPr="002B005F">
        <w:rPr>
          <w:rFonts w:ascii="Times New Roman" w:hAnsi="Times New Roman" w:cs="Times New Roman"/>
          <w:sz w:val="24"/>
          <w:szCs w:val="24"/>
          <w:shd w:val="clear" w:color="auto" w:fill="FFFFFF"/>
        </w:rPr>
        <w:t>une cohérence interne satisfaisante</w:t>
      </w:r>
      <w:r w:rsidRPr="002B005F">
        <w:rPr>
          <w:rFonts w:ascii="Times New Roman" w:hAnsi="Times New Roman" w:cs="Times New Roman"/>
          <w:sz w:val="24"/>
          <w:szCs w:val="24"/>
        </w:rPr>
        <w:t>, ce qui devrait confirmer la fiabilité du contenu du questionnaire utilisé dans cette étude.</w:t>
      </w:r>
    </w:p>
    <w:p w14:paraId="43334FEF" w14:textId="77777777" w:rsidR="002760B2" w:rsidRPr="00BC2D2F" w:rsidRDefault="00245F45" w:rsidP="0033340B">
      <w:pPr>
        <w:pStyle w:val="Titre3"/>
        <w:keepNext w:val="0"/>
        <w:keepLines w:val="0"/>
        <w:spacing w:before="100" w:beforeAutospacing="1" w:line="300" w:lineRule="auto"/>
        <w:ind w:firstLine="709"/>
        <w:rPr>
          <w:sz w:val="28"/>
          <w:szCs w:val="28"/>
        </w:rPr>
      </w:pPr>
      <w:bookmarkStart w:id="1539" w:name="_Toc33263377"/>
      <w:bookmarkStart w:id="1540" w:name="_Toc37664640"/>
      <w:bookmarkStart w:id="1541" w:name="_Toc37666485"/>
      <w:bookmarkStart w:id="1542" w:name="_Toc54363382"/>
      <w:bookmarkStart w:id="1543" w:name="_Toc58606365"/>
      <w:bookmarkStart w:id="1544" w:name="_Toc61263570"/>
      <w:bookmarkStart w:id="1545" w:name="_Toc182298895"/>
      <w:r w:rsidRPr="00BC2D2F">
        <w:rPr>
          <w:sz w:val="28"/>
          <w:szCs w:val="28"/>
        </w:rPr>
        <w:t>1</w:t>
      </w:r>
      <w:r w:rsidR="003F41F0" w:rsidRPr="00BC2D2F">
        <w:rPr>
          <w:sz w:val="28"/>
          <w:szCs w:val="28"/>
        </w:rPr>
        <w:t>.</w:t>
      </w:r>
      <w:r w:rsidR="00220521" w:rsidRPr="00BC2D2F">
        <w:rPr>
          <w:sz w:val="28"/>
          <w:szCs w:val="28"/>
        </w:rPr>
        <w:t>4</w:t>
      </w:r>
      <w:r w:rsidR="003F41F0" w:rsidRPr="00BC2D2F">
        <w:rPr>
          <w:sz w:val="28"/>
          <w:szCs w:val="28"/>
        </w:rPr>
        <w:t xml:space="preserve">- </w:t>
      </w:r>
      <w:r w:rsidR="00CC1C5A" w:rsidRPr="00BC2D2F">
        <w:rPr>
          <w:sz w:val="28"/>
          <w:szCs w:val="28"/>
        </w:rPr>
        <w:t>Outils de recherche utilisés</w:t>
      </w:r>
      <w:bookmarkEnd w:id="1539"/>
      <w:bookmarkEnd w:id="1540"/>
      <w:bookmarkEnd w:id="1541"/>
      <w:bookmarkEnd w:id="1542"/>
      <w:bookmarkEnd w:id="1543"/>
      <w:bookmarkEnd w:id="1544"/>
      <w:bookmarkEnd w:id="1545"/>
    </w:p>
    <w:p w14:paraId="228E665B" w14:textId="77777777" w:rsidR="002760B2" w:rsidRPr="002B005F" w:rsidRDefault="002760B2" w:rsidP="0033340B">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L'analyse de données est l'une des étapes les plus difficiles du processus de recherche. Ayant choisi la méthode d'analyse appropriée, le choix des statistiques est affecté à la fois par la méthode d'analyse elle-même, le niveau de mesure des variables et la complexité des questions de la recherche</w:t>
      </w:r>
      <w:r w:rsidRPr="002B005F">
        <w:rPr>
          <w:rStyle w:val="Appelnotedebasdep"/>
          <w:rFonts w:ascii="Times New Roman" w:hAnsi="Times New Roman"/>
          <w:sz w:val="24"/>
          <w:szCs w:val="24"/>
        </w:rPr>
        <w:footnoteReference w:id="405"/>
      </w:r>
      <w:r w:rsidRPr="002B005F">
        <w:rPr>
          <w:rFonts w:ascii="Times New Roman" w:hAnsi="Times New Roman" w:cs="Times New Roman"/>
          <w:sz w:val="24"/>
          <w:szCs w:val="24"/>
        </w:rPr>
        <w:t>. Cette section fournit une description détaillée des méthodes utilisées pour analyser les données du questionnaire.</w:t>
      </w:r>
    </w:p>
    <w:p w14:paraId="4BF9856D" w14:textId="77777777" w:rsidR="002760B2" w:rsidRPr="002B005F" w:rsidRDefault="002760B2" w:rsidP="0033340B">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Comme nous avons déjà cité, une première sélection du questionnaire a été réalisée concernant l'exhaustivité et l'éligibilité des réponses. À la suite de ce dépistage initial, seulement 79 sur 83 questionnaires retournés ont été inclus dans l'échantillon final. Les questionnaires ont été numérotés et les données ont été vérifiées en recherchant les erreurs. Ainsi, les tableaux croisés ont été effectuées pour vérifier l'incohérence des données (sauter les erreurs, les réponses manquées, valeurs en dehors de la plage).</w:t>
      </w:r>
    </w:p>
    <w:p w14:paraId="3E8094AB" w14:textId="77777777" w:rsidR="002760B2" w:rsidRPr="002B005F" w:rsidRDefault="002760B2" w:rsidP="00B424F2">
      <w:pPr>
        <w:keepLines/>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lastRenderedPageBreak/>
        <w:t xml:space="preserve">L'échantillon final a été par la suite compilé directement dans le programme </w:t>
      </w:r>
      <w:r w:rsidRPr="002B005F">
        <w:rPr>
          <w:rFonts w:ascii="Times New Roman" w:hAnsi="Times New Roman" w:cs="Times New Roman"/>
          <w:b/>
          <w:bCs/>
          <w:sz w:val="24"/>
          <w:szCs w:val="24"/>
        </w:rPr>
        <w:t>Statistical Package for Social Science</w:t>
      </w:r>
      <w:r w:rsidRPr="002B005F">
        <w:rPr>
          <w:rFonts w:ascii="Times New Roman" w:hAnsi="Times New Roman" w:cs="Times New Roman"/>
          <w:sz w:val="24"/>
          <w:szCs w:val="24"/>
        </w:rPr>
        <w:t xml:space="preserve"> (SPSS 20). Au départ, toutes les variables ont été créées, puis les questionnaires réels ont été introduits. Cela permet de créer des données dans des tableaux statistiques afin de faciliter l'analyse statistique inférentielle. La plupart des questions du questionnaire sont conçues selon une échelle de Likert en 5 points pour mesurer les opinions des répondants sur l’ensemble des déclarations, ce qui rend la codification et l'analyse des données plus facile et plus efficace.</w:t>
      </w:r>
    </w:p>
    <w:p w14:paraId="65D43770" w14:textId="77777777" w:rsidR="00183FF8" w:rsidRPr="002B005F" w:rsidRDefault="002760B2" w:rsidP="0033340B">
      <w:pPr>
        <w:keepNext/>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Afin de vérifier les hypothèses de recherche que nous avons préalablement présenté</w:t>
      </w:r>
      <w:r w:rsidR="00376525" w:rsidRPr="002B005F">
        <w:rPr>
          <w:rFonts w:ascii="Times New Roman" w:hAnsi="Times New Roman" w:cs="Times New Roman"/>
          <w:sz w:val="24"/>
          <w:szCs w:val="24"/>
        </w:rPr>
        <w:t>es</w:t>
      </w:r>
      <w:r w:rsidRPr="002B005F">
        <w:rPr>
          <w:rFonts w:ascii="Times New Roman" w:hAnsi="Times New Roman" w:cs="Times New Roman"/>
          <w:sz w:val="24"/>
          <w:szCs w:val="24"/>
        </w:rPr>
        <w:t>, nous avons utilisé quelques méthodes statistiques :</w:t>
      </w:r>
    </w:p>
    <w:p w14:paraId="195FC34B" w14:textId="766FC9A1" w:rsidR="002760B2" w:rsidRPr="003F41F0" w:rsidRDefault="00245F45" w:rsidP="00257AFF">
      <w:pPr>
        <w:pStyle w:val="Titre4"/>
        <w:keepNext w:val="0"/>
        <w:spacing w:before="120" w:after="120" w:line="300" w:lineRule="auto"/>
        <w:ind w:firstLine="709"/>
      </w:pPr>
      <w:bookmarkStart w:id="1546" w:name="_Toc182298896"/>
      <w:r>
        <w:t>1</w:t>
      </w:r>
      <w:r w:rsidR="003F41F0">
        <w:t>.</w:t>
      </w:r>
      <w:r w:rsidR="00EB3C12">
        <w:t>4</w:t>
      </w:r>
      <w:r w:rsidR="003F41F0">
        <w:t xml:space="preserve">.1- </w:t>
      </w:r>
      <w:r w:rsidR="002F46C1">
        <w:t>A</w:t>
      </w:r>
      <w:r w:rsidR="007C662D" w:rsidRPr="003F41F0">
        <w:t>nalyse descriptive</w:t>
      </w:r>
      <w:bookmarkEnd w:id="1546"/>
    </w:p>
    <w:p w14:paraId="09D3D48A" w14:textId="77777777" w:rsidR="002760B2" w:rsidRPr="002B005F" w:rsidRDefault="002760B2" w:rsidP="00257AFF">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Les statistiques descriptives sont des résumés de données, qui peuvent être tabulaires, numériques ou graphique. Différents types de statistiques descriptives telles que la moyenne, le mode, la médiane, la distribution de fréquence, le minimum, le maximum et les pourcentages sont calculés et présentés dans le reste du chapitre.</w:t>
      </w:r>
    </w:p>
    <w:p w14:paraId="1E8D5FC4" w14:textId="3A043B08" w:rsidR="002760B2" w:rsidRPr="002B005F" w:rsidRDefault="00245F45" w:rsidP="00257AFF">
      <w:pPr>
        <w:pStyle w:val="Titre4"/>
        <w:keepNext w:val="0"/>
        <w:spacing w:before="120" w:after="120" w:line="300" w:lineRule="auto"/>
        <w:ind w:firstLine="709"/>
      </w:pPr>
      <w:bookmarkStart w:id="1547" w:name="_Toc182298897"/>
      <w:r>
        <w:t>1</w:t>
      </w:r>
      <w:r w:rsidR="003F41F0">
        <w:t>.</w:t>
      </w:r>
      <w:r w:rsidR="00EB3C12">
        <w:t>4</w:t>
      </w:r>
      <w:r w:rsidR="003F41F0">
        <w:t xml:space="preserve">.2- </w:t>
      </w:r>
      <w:r w:rsidR="002F46C1">
        <w:t>T</w:t>
      </w:r>
      <w:r w:rsidR="00B230C4" w:rsidRPr="002B005F">
        <w:t>ests n</w:t>
      </w:r>
      <w:r w:rsidR="007C662D" w:rsidRPr="002B005F">
        <w:t>on-paramétriques</w:t>
      </w:r>
      <w:bookmarkEnd w:id="1547"/>
    </w:p>
    <w:p w14:paraId="309FAD6F" w14:textId="77777777" w:rsidR="002760B2" w:rsidRPr="002B005F" w:rsidRDefault="002760B2" w:rsidP="00257AFF">
      <w:pPr>
        <w:tabs>
          <w:tab w:val="left" w:pos="0"/>
        </w:tabs>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L'objectif principal de l'analyse statistique appliquée dans cette recherche est de tester s’il existe des différences significatives entre les perceptions des répondants à travers les variables de contrôle au </w:t>
      </w:r>
      <w:r w:rsidR="00B230C4" w:rsidRPr="002B005F">
        <w:rPr>
          <w:rFonts w:ascii="Times New Roman" w:hAnsi="Times New Roman" w:cs="Times New Roman"/>
          <w:sz w:val="24"/>
          <w:szCs w:val="24"/>
        </w:rPr>
        <w:t>niveau de l'échantillon global.</w:t>
      </w:r>
    </w:p>
    <w:p w14:paraId="78CD3CE2" w14:textId="77777777" w:rsidR="00797A37" w:rsidRPr="002B005F" w:rsidRDefault="002760B2" w:rsidP="00257AFF">
      <w:pPr>
        <w:tabs>
          <w:tab w:val="left" w:pos="0"/>
        </w:tabs>
        <w:spacing w:before="120" w:after="120" w:line="300" w:lineRule="auto"/>
        <w:ind w:firstLine="709"/>
        <w:rPr>
          <w:rFonts w:ascii="Times New Roman" w:hAnsi="Times New Roman" w:cs="Times New Roman"/>
          <w:spacing w:val="-4"/>
          <w:sz w:val="24"/>
          <w:szCs w:val="24"/>
        </w:rPr>
      </w:pPr>
      <w:r w:rsidRPr="002B005F">
        <w:rPr>
          <w:rFonts w:ascii="Times New Roman" w:hAnsi="Times New Roman" w:cs="Times New Roman"/>
          <w:spacing w:val="-4"/>
          <w:sz w:val="24"/>
          <w:szCs w:val="24"/>
        </w:rPr>
        <w:t>Les tests de signification sont généralement concernés par l'acceptation ou par le rejet des hyp</w:t>
      </w:r>
      <w:r w:rsidR="004942C0" w:rsidRPr="002B005F">
        <w:rPr>
          <w:rFonts w:ascii="Times New Roman" w:hAnsi="Times New Roman" w:cs="Times New Roman"/>
          <w:spacing w:val="-4"/>
          <w:sz w:val="24"/>
          <w:szCs w:val="24"/>
        </w:rPr>
        <w:t>othèses ou de propositions. Cela</w:t>
      </w:r>
      <w:r w:rsidRPr="002B005F">
        <w:rPr>
          <w:rFonts w:ascii="Times New Roman" w:hAnsi="Times New Roman" w:cs="Times New Roman"/>
          <w:spacing w:val="-4"/>
          <w:sz w:val="24"/>
          <w:szCs w:val="24"/>
        </w:rPr>
        <w:t xml:space="preserve"> peut être effectué par des tests paramétriques et non paramétriques. Des tests non paramétriques ont été considérés comme appropriés pour cette étude, car les données recueillies étaient principalement nominales et ordina</w:t>
      </w:r>
      <w:r w:rsidR="004942C0" w:rsidRPr="002B005F">
        <w:rPr>
          <w:rFonts w:ascii="Times New Roman" w:hAnsi="Times New Roman" w:cs="Times New Roman"/>
          <w:spacing w:val="-4"/>
          <w:sz w:val="24"/>
          <w:szCs w:val="24"/>
        </w:rPr>
        <w:t>les</w:t>
      </w:r>
      <w:r w:rsidRPr="002B005F">
        <w:rPr>
          <w:rFonts w:ascii="Times New Roman" w:hAnsi="Times New Roman" w:cs="Times New Roman"/>
          <w:spacing w:val="-4"/>
          <w:sz w:val="24"/>
          <w:szCs w:val="24"/>
        </w:rPr>
        <w:t xml:space="preserve"> ainsi que la taille de </w:t>
      </w:r>
      <w:r w:rsidR="004942C0" w:rsidRPr="002B005F">
        <w:rPr>
          <w:rFonts w:ascii="Times New Roman" w:hAnsi="Times New Roman" w:cs="Times New Roman"/>
          <w:spacing w:val="-4"/>
          <w:sz w:val="24"/>
          <w:szCs w:val="24"/>
        </w:rPr>
        <w:t>l’échantillon</w:t>
      </w:r>
      <w:r w:rsidRPr="002B005F">
        <w:rPr>
          <w:rFonts w:ascii="Times New Roman" w:hAnsi="Times New Roman" w:cs="Times New Roman"/>
          <w:spacing w:val="-4"/>
          <w:sz w:val="24"/>
          <w:szCs w:val="24"/>
        </w:rPr>
        <w:t xml:space="preserve"> relativement petite. Les techniques non-paramétriques suivantes ont été utilisées :</w:t>
      </w:r>
    </w:p>
    <w:p w14:paraId="74A5A7D4" w14:textId="2A85768A" w:rsidR="002760B2" w:rsidRPr="00BC2D2F" w:rsidRDefault="00245F45" w:rsidP="00257AFF">
      <w:pPr>
        <w:pStyle w:val="Titre5"/>
        <w:keepNext w:val="0"/>
        <w:keepLines w:val="0"/>
        <w:spacing w:before="120" w:after="120" w:line="300" w:lineRule="auto"/>
        <w:ind w:firstLine="709"/>
        <w:rPr>
          <w:rFonts w:asciiTheme="majorBidi" w:hAnsiTheme="majorBidi"/>
          <w:b/>
          <w:bCs/>
          <w:color w:val="auto"/>
          <w:sz w:val="24"/>
          <w:szCs w:val="24"/>
        </w:rPr>
      </w:pPr>
      <w:bookmarkStart w:id="1548" w:name="_Toc182298898"/>
      <w:r w:rsidRPr="00BC2D2F">
        <w:rPr>
          <w:rFonts w:asciiTheme="majorBidi" w:hAnsiTheme="majorBidi"/>
          <w:b/>
          <w:bCs/>
          <w:color w:val="auto"/>
          <w:sz w:val="24"/>
          <w:szCs w:val="24"/>
        </w:rPr>
        <w:t>1</w:t>
      </w:r>
      <w:r w:rsidR="00EB3C12" w:rsidRPr="00BC2D2F">
        <w:rPr>
          <w:rFonts w:asciiTheme="majorBidi" w:hAnsiTheme="majorBidi"/>
          <w:b/>
          <w:bCs/>
          <w:color w:val="auto"/>
          <w:sz w:val="24"/>
          <w:szCs w:val="24"/>
        </w:rPr>
        <w:t xml:space="preserve">.4.2.1- </w:t>
      </w:r>
      <w:r w:rsidR="002760B2" w:rsidRPr="00BC2D2F">
        <w:rPr>
          <w:rFonts w:asciiTheme="majorBidi" w:hAnsiTheme="majorBidi"/>
          <w:b/>
          <w:bCs/>
          <w:color w:val="auto"/>
          <w:sz w:val="24"/>
          <w:szCs w:val="24"/>
        </w:rPr>
        <w:t>Test Chi-Deux</w:t>
      </w:r>
      <w:bookmarkEnd w:id="1548"/>
    </w:p>
    <w:p w14:paraId="1224686E" w14:textId="77777777" w:rsidR="002760B2" w:rsidRPr="002B005F" w:rsidRDefault="002760B2" w:rsidP="00257AFF">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Ce test est utilisé pour mesurer l'association entre les variables dépendantes et les variables indépendantes</w:t>
      </w:r>
      <w:r w:rsidRPr="002B005F">
        <w:rPr>
          <w:rStyle w:val="Appelnotedebasdep"/>
          <w:rFonts w:ascii="Times New Roman" w:hAnsi="Times New Roman"/>
          <w:sz w:val="24"/>
          <w:szCs w:val="24"/>
        </w:rPr>
        <w:footnoteReference w:id="406"/>
      </w:r>
      <w:r w:rsidRPr="002B005F">
        <w:rPr>
          <w:rFonts w:ascii="Times New Roman" w:hAnsi="Times New Roman" w:cs="Times New Roman"/>
          <w:sz w:val="24"/>
          <w:szCs w:val="24"/>
        </w:rPr>
        <w:t>. Le test est approprié pour tester la qualité des variables d'ajustement c’est-à-dire il peut être appliqué pour déterminer si l'ensemble de fréquences observé</w:t>
      </w:r>
      <w:r w:rsidR="00B230C4" w:rsidRPr="002B005F">
        <w:rPr>
          <w:rFonts w:ascii="Times New Roman" w:hAnsi="Times New Roman" w:cs="Times New Roman"/>
          <w:sz w:val="24"/>
          <w:szCs w:val="24"/>
        </w:rPr>
        <w:t>es</w:t>
      </w:r>
      <w:r w:rsidRPr="002B005F">
        <w:rPr>
          <w:rFonts w:ascii="Times New Roman" w:hAnsi="Times New Roman" w:cs="Times New Roman"/>
          <w:sz w:val="24"/>
          <w:szCs w:val="24"/>
        </w:rPr>
        <w:t xml:space="preserve"> correspond à un ensemble de fréquences attendues ou non. Le test Chi-Deux a été utilisé pour vérifier l'existence de différences significatives dans les </w:t>
      </w:r>
      <w:r w:rsidR="00FA5D4E" w:rsidRPr="002B005F">
        <w:rPr>
          <w:rFonts w:ascii="Times New Roman" w:hAnsi="Times New Roman" w:cs="Times New Roman"/>
          <w:sz w:val="24"/>
          <w:szCs w:val="24"/>
        </w:rPr>
        <w:t>réponses pour</w:t>
      </w:r>
      <w:r w:rsidRPr="002B005F">
        <w:rPr>
          <w:rFonts w:ascii="Times New Roman" w:hAnsi="Times New Roman" w:cs="Times New Roman"/>
          <w:sz w:val="24"/>
          <w:szCs w:val="24"/>
        </w:rPr>
        <w:t xml:space="preserve"> chaque question. Un niveau de signification de 5% est utilisé pour cette étude comme justification pour rejeter l'hypothèse nulle.</w:t>
      </w:r>
    </w:p>
    <w:p w14:paraId="19C6F38B" w14:textId="1069FE4E" w:rsidR="002760B2" w:rsidRPr="002F46C1" w:rsidRDefault="00245F45" w:rsidP="00257AFF">
      <w:pPr>
        <w:pStyle w:val="Titre5"/>
        <w:keepNext w:val="0"/>
        <w:keepLines w:val="0"/>
        <w:spacing w:before="120" w:after="120" w:line="300" w:lineRule="auto"/>
        <w:ind w:left="709"/>
        <w:rPr>
          <w:rFonts w:asciiTheme="majorBidi" w:hAnsiTheme="majorBidi"/>
          <w:b/>
          <w:bCs/>
          <w:color w:val="auto"/>
          <w:sz w:val="24"/>
          <w:szCs w:val="24"/>
          <w:lang w:val="en-GB"/>
        </w:rPr>
      </w:pPr>
      <w:bookmarkStart w:id="1549" w:name="_Toc182298899"/>
      <w:r w:rsidRPr="002F46C1">
        <w:rPr>
          <w:rFonts w:asciiTheme="majorBidi" w:hAnsiTheme="majorBidi"/>
          <w:b/>
          <w:bCs/>
          <w:color w:val="auto"/>
          <w:sz w:val="24"/>
          <w:szCs w:val="24"/>
          <w:lang w:val="en-GB"/>
        </w:rPr>
        <w:t>1</w:t>
      </w:r>
      <w:r w:rsidR="00EB3C12" w:rsidRPr="002F46C1">
        <w:rPr>
          <w:rFonts w:asciiTheme="majorBidi" w:hAnsiTheme="majorBidi"/>
          <w:b/>
          <w:bCs/>
          <w:color w:val="auto"/>
          <w:sz w:val="24"/>
          <w:szCs w:val="24"/>
          <w:lang w:val="en-GB"/>
        </w:rPr>
        <w:t xml:space="preserve">.4.2.2- </w:t>
      </w:r>
      <w:r w:rsidR="002F46C1" w:rsidRPr="002F46C1">
        <w:rPr>
          <w:rFonts w:asciiTheme="majorBidi" w:hAnsiTheme="majorBidi"/>
          <w:b/>
          <w:bCs/>
          <w:color w:val="auto"/>
          <w:sz w:val="24"/>
          <w:szCs w:val="24"/>
          <w:lang w:val="en-GB"/>
        </w:rPr>
        <w:t>T</w:t>
      </w:r>
      <w:r w:rsidR="002760B2" w:rsidRPr="002F46C1">
        <w:rPr>
          <w:rFonts w:asciiTheme="majorBidi" w:hAnsiTheme="majorBidi"/>
          <w:b/>
          <w:bCs/>
          <w:color w:val="auto"/>
          <w:sz w:val="24"/>
          <w:szCs w:val="24"/>
          <w:lang w:val="en-GB"/>
        </w:rPr>
        <w:t>est de</w:t>
      </w:r>
      <w:r w:rsidR="007C662D" w:rsidRPr="002F46C1">
        <w:rPr>
          <w:rFonts w:asciiTheme="majorBidi" w:hAnsiTheme="majorBidi"/>
          <w:b/>
          <w:bCs/>
          <w:color w:val="auto"/>
          <w:sz w:val="24"/>
          <w:szCs w:val="24"/>
          <w:lang w:val="en-GB"/>
        </w:rPr>
        <w:t xml:space="preserve"> Kruskal-Wallis et Mann-Whitney</w:t>
      </w:r>
      <w:bookmarkEnd w:id="1549"/>
    </w:p>
    <w:p w14:paraId="0079DC17" w14:textId="290CC97E" w:rsidR="002760B2" w:rsidRPr="003254A4" w:rsidRDefault="002760B2" w:rsidP="00257AFF">
      <w:pPr>
        <w:pStyle w:val="Paragraphedeliste"/>
        <w:tabs>
          <w:tab w:val="left" w:pos="0"/>
        </w:tabs>
        <w:spacing w:before="120" w:line="300" w:lineRule="auto"/>
        <w:ind w:left="0" w:firstLine="709"/>
        <w:contextualSpacing w:val="0"/>
        <w:rPr>
          <w:rFonts w:ascii="Times New Roman" w:hAnsi="Times New Roman" w:cs="Times New Roman"/>
          <w:spacing w:val="2"/>
          <w:sz w:val="24"/>
          <w:szCs w:val="24"/>
        </w:rPr>
      </w:pPr>
      <w:r w:rsidRPr="003254A4">
        <w:rPr>
          <w:rFonts w:ascii="Times New Roman" w:hAnsi="Times New Roman" w:cs="Times New Roman"/>
          <w:spacing w:val="2"/>
          <w:sz w:val="24"/>
          <w:szCs w:val="24"/>
        </w:rPr>
        <w:t>Le test de Kruska</w:t>
      </w:r>
      <w:r w:rsidR="00AC4110">
        <w:rPr>
          <w:rFonts w:ascii="Times New Roman" w:hAnsi="Times New Roman" w:cs="Times New Roman"/>
          <w:spacing w:val="2"/>
          <w:sz w:val="24"/>
          <w:szCs w:val="24"/>
        </w:rPr>
        <w:t>l</w:t>
      </w:r>
      <w:r w:rsidRPr="003254A4">
        <w:rPr>
          <w:rFonts w:ascii="Times New Roman" w:hAnsi="Times New Roman" w:cs="Times New Roman"/>
          <w:spacing w:val="2"/>
          <w:sz w:val="24"/>
          <w:szCs w:val="24"/>
        </w:rPr>
        <w:t>-Wallis est une méthode non-paramétrique pour tester l'égalité des médianes de la population parmi plusieurs groupes. Il est identique à une analyse de variance unidirectionnelle avec les données remplacées par</w:t>
      </w:r>
      <w:r w:rsidR="00AC4110">
        <w:rPr>
          <w:rFonts w:ascii="Times New Roman" w:hAnsi="Times New Roman" w:cs="Times New Roman"/>
          <w:spacing w:val="2"/>
          <w:sz w:val="24"/>
          <w:szCs w:val="24"/>
        </w:rPr>
        <w:t xml:space="preserve"> </w:t>
      </w:r>
      <w:r w:rsidRPr="003254A4">
        <w:rPr>
          <w:rFonts w:ascii="Times New Roman" w:hAnsi="Times New Roman" w:cs="Times New Roman"/>
          <w:spacing w:val="2"/>
          <w:sz w:val="24"/>
          <w:szCs w:val="24"/>
        </w:rPr>
        <w:t xml:space="preserve">leurs rangs. C'est une extension du </w:t>
      </w:r>
      <w:r w:rsidR="00A9070B" w:rsidRPr="003254A4">
        <w:rPr>
          <w:rFonts w:ascii="Times New Roman" w:hAnsi="Times New Roman" w:cs="Times New Roman"/>
          <w:spacing w:val="2"/>
          <w:sz w:val="24"/>
          <w:szCs w:val="24"/>
        </w:rPr>
        <w:t>test de</w:t>
      </w:r>
      <w:r w:rsidRPr="003254A4">
        <w:rPr>
          <w:rFonts w:ascii="Times New Roman" w:hAnsi="Times New Roman" w:cs="Times New Roman"/>
          <w:spacing w:val="2"/>
          <w:sz w:val="24"/>
          <w:szCs w:val="24"/>
        </w:rPr>
        <w:t xml:space="preserve"> Mann-Whitney à 3 groupes ou plus.</w:t>
      </w:r>
    </w:p>
    <w:p w14:paraId="5DFD017F" w14:textId="77777777" w:rsidR="00183FF8" w:rsidRPr="003254A4" w:rsidRDefault="002760B2" w:rsidP="00257AFF">
      <w:pPr>
        <w:pStyle w:val="Paragraphedeliste"/>
        <w:tabs>
          <w:tab w:val="left" w:pos="0"/>
        </w:tabs>
        <w:spacing w:before="120" w:line="300" w:lineRule="auto"/>
        <w:ind w:left="0" w:firstLine="709"/>
        <w:contextualSpacing w:val="0"/>
        <w:rPr>
          <w:rFonts w:ascii="Times New Roman" w:hAnsi="Times New Roman" w:cs="Times New Roman"/>
          <w:spacing w:val="2"/>
          <w:sz w:val="24"/>
          <w:szCs w:val="24"/>
        </w:rPr>
      </w:pPr>
      <w:r w:rsidRPr="003254A4">
        <w:rPr>
          <w:rFonts w:ascii="Times New Roman" w:hAnsi="Times New Roman" w:cs="Times New Roman"/>
          <w:spacing w:val="2"/>
          <w:sz w:val="24"/>
          <w:szCs w:val="24"/>
        </w:rPr>
        <w:lastRenderedPageBreak/>
        <w:t>Le test K-W permet aux chercheurs de mesurer les différences possibles entre deux ou plusieurs groupes en relation avec des variables de contrôle spécifiques. Dans cette étude, le test de significativité de K-W a été intensivement utilisé pour l'analyse statistique inférentielle pour tester l'impact des variables de contrôle comme la région, le poste du répondant, la nature de l'institution financière, la nature des activités, et des normes comptables sur la perception des participants à l'enquête. Le niveau de signification utilisé pour ce test est de 5%.</w:t>
      </w:r>
    </w:p>
    <w:p w14:paraId="4E2F463F" w14:textId="77777777" w:rsidR="002760B2" w:rsidRPr="00BC2D2F" w:rsidRDefault="00245F45" w:rsidP="00D66FFE">
      <w:pPr>
        <w:pStyle w:val="Titre5"/>
        <w:keepNext w:val="0"/>
        <w:keepLines w:val="0"/>
        <w:spacing w:before="120" w:after="120" w:line="300" w:lineRule="auto"/>
        <w:ind w:firstLine="709"/>
        <w:rPr>
          <w:rFonts w:asciiTheme="majorBidi" w:hAnsiTheme="majorBidi"/>
          <w:b/>
          <w:bCs/>
          <w:color w:val="auto"/>
          <w:sz w:val="24"/>
          <w:szCs w:val="24"/>
        </w:rPr>
      </w:pPr>
      <w:bookmarkStart w:id="1550" w:name="_Toc182298900"/>
      <w:r w:rsidRPr="00BC2D2F">
        <w:rPr>
          <w:rFonts w:asciiTheme="majorBidi" w:hAnsiTheme="majorBidi"/>
          <w:b/>
          <w:bCs/>
          <w:color w:val="auto"/>
          <w:sz w:val="24"/>
          <w:szCs w:val="24"/>
        </w:rPr>
        <w:t>1</w:t>
      </w:r>
      <w:r w:rsidR="00EB3C12" w:rsidRPr="00BC2D2F">
        <w:rPr>
          <w:rFonts w:asciiTheme="majorBidi" w:hAnsiTheme="majorBidi"/>
          <w:b/>
          <w:bCs/>
          <w:color w:val="auto"/>
          <w:sz w:val="24"/>
          <w:szCs w:val="24"/>
        </w:rPr>
        <w:t xml:space="preserve">.4.2.3- </w:t>
      </w:r>
      <w:r w:rsidR="007C68EE" w:rsidRPr="00BC2D2F">
        <w:rPr>
          <w:rFonts w:asciiTheme="majorBidi" w:hAnsiTheme="majorBidi"/>
          <w:b/>
          <w:bCs/>
          <w:color w:val="auto"/>
          <w:sz w:val="24"/>
          <w:szCs w:val="24"/>
        </w:rPr>
        <w:t>Analyse interprétative</w:t>
      </w:r>
      <w:bookmarkEnd w:id="1550"/>
    </w:p>
    <w:p w14:paraId="06A6AD6A" w14:textId="77777777" w:rsidR="005703ED" w:rsidRPr="002B005F" w:rsidRDefault="002760B2" w:rsidP="00B230C4">
      <w:pPr>
        <w:pStyle w:val="Paragraphedeliste"/>
        <w:tabs>
          <w:tab w:val="left" w:pos="0"/>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En plus des méthodes utilisées citées plus haut, une approche interprétative a été utilisée pour donner plus de sens aux résultats des questionnaires et une compréhension approfondie des problèmes de recherche d'une manière intégrée. Cette approche interagit les résultats des données primaires avec la revue de la littérature afin de fournir une meilleure compréhension des résultats de l'analyse du questionnaire.</w:t>
      </w:r>
    </w:p>
    <w:p w14:paraId="43577CC5" w14:textId="77777777" w:rsidR="00D47532" w:rsidRPr="00BC2D2F" w:rsidRDefault="009D433B" w:rsidP="00D66FFE">
      <w:pPr>
        <w:pStyle w:val="Titre2"/>
        <w:keepNext w:val="0"/>
        <w:spacing w:before="100" w:beforeAutospacing="1" w:after="100" w:afterAutospacing="1" w:line="276" w:lineRule="auto"/>
        <w:ind w:firstLine="709"/>
        <w:rPr>
          <w:i w:val="0"/>
          <w:iCs w:val="0"/>
          <w:sz w:val="28"/>
        </w:rPr>
      </w:pPr>
      <w:bookmarkStart w:id="1551" w:name="_Toc33263379"/>
      <w:bookmarkStart w:id="1552" w:name="_Toc33264127"/>
      <w:bookmarkStart w:id="1553" w:name="_Toc37664642"/>
      <w:bookmarkStart w:id="1554" w:name="_Toc37666487"/>
      <w:bookmarkStart w:id="1555" w:name="_Toc37667329"/>
      <w:bookmarkStart w:id="1556" w:name="_Toc54361039"/>
      <w:bookmarkStart w:id="1557" w:name="_Toc54361687"/>
      <w:bookmarkStart w:id="1558" w:name="_Toc54363384"/>
      <w:bookmarkStart w:id="1559" w:name="_Toc57901037"/>
      <w:bookmarkStart w:id="1560" w:name="_Toc58261938"/>
      <w:bookmarkStart w:id="1561" w:name="_Toc58606367"/>
      <w:bookmarkStart w:id="1562" w:name="_Toc61263572"/>
      <w:bookmarkStart w:id="1563" w:name="_Toc116257073"/>
      <w:bookmarkStart w:id="1564" w:name="_Toc182298901"/>
      <w:bookmarkStart w:id="1565" w:name="_Toc182309396"/>
      <w:r w:rsidRPr="00BC2D2F">
        <w:rPr>
          <w:i w:val="0"/>
          <w:iCs w:val="0"/>
          <w:sz w:val="28"/>
        </w:rPr>
        <w:t xml:space="preserve">Section </w:t>
      </w:r>
      <w:r w:rsidR="00245F45" w:rsidRPr="00BC2D2F">
        <w:rPr>
          <w:i w:val="0"/>
          <w:iCs w:val="0"/>
          <w:sz w:val="28"/>
        </w:rPr>
        <w:t xml:space="preserve">II </w:t>
      </w:r>
      <w:r w:rsidRPr="00BC2D2F">
        <w:rPr>
          <w:i w:val="0"/>
          <w:iCs w:val="0"/>
          <w:sz w:val="28"/>
        </w:rPr>
        <w:t>-</w:t>
      </w:r>
      <w:r w:rsidR="002760B2" w:rsidRPr="00BC2D2F">
        <w:rPr>
          <w:i w:val="0"/>
          <w:iCs w:val="0"/>
          <w:sz w:val="28"/>
        </w:rPr>
        <w:t xml:space="preserve"> Analyse et interprétation des résultats</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14:paraId="0E5A736D" w14:textId="77777777" w:rsidR="002760B2" w:rsidRPr="00BC2D2F" w:rsidRDefault="00245F45" w:rsidP="00D66FFE">
      <w:pPr>
        <w:pStyle w:val="Titre3"/>
        <w:keepNext w:val="0"/>
        <w:keepLines w:val="0"/>
        <w:spacing w:before="0"/>
        <w:ind w:firstLine="709"/>
        <w:rPr>
          <w:sz w:val="28"/>
          <w:szCs w:val="28"/>
        </w:rPr>
      </w:pPr>
      <w:bookmarkStart w:id="1566" w:name="_Toc33263380"/>
      <w:bookmarkStart w:id="1567" w:name="_Toc37664643"/>
      <w:bookmarkStart w:id="1568" w:name="_Toc37666488"/>
      <w:bookmarkStart w:id="1569" w:name="_Toc54363385"/>
      <w:bookmarkStart w:id="1570" w:name="_Toc58606368"/>
      <w:bookmarkStart w:id="1571" w:name="_Toc61263573"/>
      <w:bookmarkStart w:id="1572" w:name="_Toc182298902"/>
      <w:r w:rsidRPr="00BC2D2F">
        <w:rPr>
          <w:sz w:val="28"/>
          <w:szCs w:val="28"/>
        </w:rPr>
        <w:t>2</w:t>
      </w:r>
      <w:r w:rsidR="003F41F0" w:rsidRPr="00BC2D2F">
        <w:rPr>
          <w:sz w:val="28"/>
          <w:szCs w:val="28"/>
        </w:rPr>
        <w:t xml:space="preserve">.1- </w:t>
      </w:r>
      <w:r w:rsidR="002760B2" w:rsidRPr="00BC2D2F">
        <w:rPr>
          <w:sz w:val="28"/>
          <w:szCs w:val="28"/>
        </w:rPr>
        <w:t>Analyse descriptive des données</w:t>
      </w:r>
      <w:bookmarkEnd w:id="1566"/>
      <w:bookmarkEnd w:id="1567"/>
      <w:bookmarkEnd w:id="1568"/>
      <w:bookmarkEnd w:id="1569"/>
      <w:bookmarkEnd w:id="1570"/>
      <w:bookmarkEnd w:id="1571"/>
      <w:bookmarkEnd w:id="1572"/>
    </w:p>
    <w:p w14:paraId="3F0AD89E" w14:textId="77777777" w:rsidR="002760B2" w:rsidRPr="005D4E25" w:rsidRDefault="00245F45" w:rsidP="00D66FFE">
      <w:pPr>
        <w:pStyle w:val="Titre4"/>
        <w:keepNext w:val="0"/>
        <w:spacing w:before="120" w:after="120" w:line="300" w:lineRule="auto"/>
        <w:ind w:firstLine="709"/>
      </w:pPr>
      <w:bookmarkStart w:id="1573" w:name="_Toc33263381"/>
      <w:bookmarkStart w:id="1574" w:name="_Toc37664644"/>
      <w:bookmarkStart w:id="1575" w:name="_Toc37666489"/>
      <w:bookmarkStart w:id="1576" w:name="_Toc54363386"/>
      <w:bookmarkStart w:id="1577" w:name="_Toc58606369"/>
      <w:bookmarkStart w:id="1578" w:name="_Toc61263574"/>
      <w:bookmarkStart w:id="1579" w:name="_Toc182298903"/>
      <w:r>
        <w:t>2</w:t>
      </w:r>
      <w:r w:rsidR="003F41F0" w:rsidRPr="005D4E25">
        <w:t xml:space="preserve">.1.1- </w:t>
      </w:r>
      <w:r w:rsidR="002760B2" w:rsidRPr="005D4E25">
        <w:t>Caractéristiques des répondants</w:t>
      </w:r>
      <w:bookmarkEnd w:id="1573"/>
      <w:bookmarkEnd w:id="1574"/>
      <w:bookmarkEnd w:id="1575"/>
      <w:bookmarkEnd w:id="1576"/>
      <w:bookmarkEnd w:id="1577"/>
      <w:bookmarkEnd w:id="1578"/>
      <w:bookmarkEnd w:id="1579"/>
    </w:p>
    <w:p w14:paraId="1E24EBD5" w14:textId="77777777" w:rsidR="002760B2" w:rsidRPr="002B005F" w:rsidRDefault="002760B2" w:rsidP="00197AF6">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première partie du questionnaire est destinée à identifier les différentes caractéristiques des répondants. Parmi les différentes variables utilisées dans cette étude, les principales variables de contrôle utilisées pour évaluer les profils des répondants sont la localisation de l’institution financière, nature de l’institution et des activités et les standards comptables utilisés. Ces variables de contrôle visent à tester l’effet de ces caractéristiques sur les réponses des interrogés.</w:t>
      </w:r>
    </w:p>
    <w:p w14:paraId="09781A55" w14:textId="77777777" w:rsidR="002760B2" w:rsidRPr="002B005F" w:rsidRDefault="002760B2" w:rsidP="00A9070B">
      <w:pPr>
        <w:tabs>
          <w:tab w:val="left" w:pos="0"/>
        </w:tabs>
        <w:autoSpaceDE w:val="0"/>
        <w:autoSpaceDN w:val="0"/>
        <w:adjustRightInd w:val="0"/>
        <w:spacing w:before="120" w:line="300" w:lineRule="auto"/>
        <w:ind w:firstLine="709"/>
        <w:rPr>
          <w:rFonts w:ascii="Times New Roman" w:hAnsi="Times New Roman" w:cs="Times New Roman"/>
          <w:sz w:val="24"/>
          <w:szCs w:val="24"/>
        </w:rPr>
      </w:pPr>
      <w:bookmarkStart w:id="1580" w:name="_Toc33263382"/>
      <w:bookmarkStart w:id="1581" w:name="_Toc37664645"/>
      <w:bookmarkStart w:id="1582" w:name="_Toc37666490"/>
      <w:bookmarkStart w:id="1583" w:name="_Toc54363387"/>
      <w:bookmarkStart w:id="1584" w:name="_Toc57230287"/>
      <w:bookmarkStart w:id="1585" w:name="_Toc57881408"/>
      <w:bookmarkStart w:id="1586" w:name="_Toc57900879"/>
      <w:bookmarkEnd w:id="1580"/>
      <w:bookmarkEnd w:id="1581"/>
      <w:bookmarkEnd w:id="1582"/>
      <w:bookmarkEnd w:id="1583"/>
      <w:bookmarkEnd w:id="1584"/>
      <w:bookmarkEnd w:id="1585"/>
      <w:bookmarkEnd w:id="1586"/>
      <w:r w:rsidRPr="002B005F">
        <w:rPr>
          <w:rFonts w:ascii="Times New Roman" w:hAnsi="Times New Roman" w:cs="Times New Roman"/>
          <w:sz w:val="24"/>
          <w:szCs w:val="24"/>
        </w:rPr>
        <w:t xml:space="preserve">Le </w:t>
      </w:r>
      <w:r w:rsidR="00A9070B" w:rsidRPr="002B005F">
        <w:rPr>
          <w:rFonts w:ascii="Times New Roman" w:hAnsi="Times New Roman" w:cs="Times New Roman"/>
          <w:b/>
          <w:bCs/>
          <w:sz w:val="24"/>
          <w:szCs w:val="24"/>
        </w:rPr>
        <w:t>t</w:t>
      </w:r>
      <w:r w:rsidR="007C68EE" w:rsidRPr="002B005F">
        <w:rPr>
          <w:rFonts w:ascii="Times New Roman" w:hAnsi="Times New Roman" w:cs="Times New Roman"/>
          <w:b/>
          <w:bCs/>
          <w:sz w:val="24"/>
          <w:szCs w:val="24"/>
        </w:rPr>
        <w:t xml:space="preserve">ableau </w:t>
      </w:r>
      <w:r w:rsidRPr="002B005F">
        <w:rPr>
          <w:rFonts w:ascii="Times New Roman" w:hAnsi="Times New Roman" w:cs="Times New Roman"/>
          <w:b/>
          <w:bCs/>
          <w:sz w:val="24"/>
          <w:szCs w:val="24"/>
        </w:rPr>
        <w:t>9</w:t>
      </w:r>
      <w:r w:rsidRPr="002B005F">
        <w:rPr>
          <w:rFonts w:ascii="Times New Roman" w:hAnsi="Times New Roman" w:cs="Times New Roman"/>
          <w:sz w:val="24"/>
          <w:szCs w:val="24"/>
        </w:rPr>
        <w:t xml:space="preserve"> présente la distribution géographique de l’échantillon de cette recherche. Comme c’est indiqué, la majorité des banques participantes sont situées en Afrique, suivi par les pays du Golfe, la Malaisie, Pakistan et la France. La Jordanie, la Turquie e</w:t>
      </w:r>
      <w:r w:rsidR="00B230C4" w:rsidRPr="002B005F">
        <w:rPr>
          <w:rFonts w:ascii="Times New Roman" w:hAnsi="Times New Roman" w:cs="Times New Roman"/>
          <w:sz w:val="24"/>
          <w:szCs w:val="24"/>
        </w:rPr>
        <w:t>t Londres sont représentés par trois</w:t>
      </w:r>
      <w:r w:rsidRPr="002B005F">
        <w:rPr>
          <w:rFonts w:ascii="Times New Roman" w:hAnsi="Times New Roman" w:cs="Times New Roman"/>
          <w:sz w:val="24"/>
          <w:szCs w:val="24"/>
        </w:rPr>
        <w:t xml:space="preserve"> banques. Tandis que Yémen, Palestine, Aman, Irak, Indonésie et Be</w:t>
      </w:r>
      <w:r w:rsidR="00B230C4" w:rsidRPr="002B005F">
        <w:rPr>
          <w:rFonts w:ascii="Times New Roman" w:hAnsi="Times New Roman" w:cs="Times New Roman"/>
          <w:sz w:val="24"/>
          <w:szCs w:val="24"/>
        </w:rPr>
        <w:t>ngladesh sont représentés par deux</w:t>
      </w:r>
      <w:r w:rsidRPr="002B005F">
        <w:rPr>
          <w:rFonts w:ascii="Times New Roman" w:hAnsi="Times New Roman" w:cs="Times New Roman"/>
          <w:sz w:val="24"/>
          <w:szCs w:val="24"/>
        </w:rPr>
        <w:t xml:space="preserve"> institutions dans l'échantillon.</w:t>
      </w:r>
    </w:p>
    <w:p w14:paraId="5F96DB16" w14:textId="77777777" w:rsidR="002615D5" w:rsidRPr="002B005F" w:rsidRDefault="00EB2DC8" w:rsidP="007A6DD0">
      <w:pPr>
        <w:tabs>
          <w:tab w:val="left" w:pos="0"/>
        </w:tabs>
        <w:autoSpaceDE w:val="0"/>
        <w:autoSpaceDN w:val="0"/>
        <w:adjustRightInd w:val="0"/>
        <w:spacing w:before="120" w:line="300" w:lineRule="auto"/>
        <w:ind w:firstLine="709"/>
        <w:rPr>
          <w:rFonts w:ascii="Times New Roman" w:hAnsi="Times New Roman" w:cs="Times New Roman"/>
          <w:color w:val="000000"/>
          <w:spacing w:val="4"/>
          <w:sz w:val="24"/>
          <w:szCs w:val="24"/>
        </w:rPr>
      </w:pPr>
      <w:r w:rsidRPr="002B005F">
        <w:rPr>
          <w:rFonts w:ascii="Times New Roman" w:hAnsi="Times New Roman" w:cs="Times New Roman"/>
          <w:color w:val="000000"/>
          <w:spacing w:val="4"/>
          <w:sz w:val="24"/>
          <w:szCs w:val="24"/>
        </w:rPr>
        <w:t xml:space="preserve">De plus, le </w:t>
      </w:r>
      <w:r w:rsidRPr="002B005F">
        <w:rPr>
          <w:rFonts w:ascii="Times New Roman" w:hAnsi="Times New Roman" w:cs="Times New Roman"/>
          <w:b/>
          <w:bCs/>
          <w:color w:val="000000"/>
          <w:spacing w:val="4"/>
          <w:sz w:val="24"/>
          <w:szCs w:val="24"/>
        </w:rPr>
        <w:t xml:space="preserve">tableau 10 </w:t>
      </w:r>
      <w:r w:rsidRPr="002B005F">
        <w:rPr>
          <w:rFonts w:ascii="Times New Roman" w:hAnsi="Times New Roman" w:cs="Times New Roman"/>
          <w:color w:val="000000"/>
          <w:spacing w:val="4"/>
          <w:sz w:val="24"/>
          <w:szCs w:val="24"/>
        </w:rPr>
        <w:t>combine les principales régions d'exploitation des BI avec les post</w:t>
      </w:r>
      <w:r w:rsidR="00B230C4" w:rsidRPr="002B005F">
        <w:rPr>
          <w:rFonts w:ascii="Times New Roman" w:hAnsi="Times New Roman" w:cs="Times New Roman"/>
          <w:color w:val="000000"/>
          <w:spacing w:val="4"/>
          <w:sz w:val="24"/>
          <w:szCs w:val="24"/>
        </w:rPr>
        <w:t>es des personnes interrogées. Nous pouvons remarquer que</w:t>
      </w:r>
      <w:r w:rsidRPr="002B005F">
        <w:rPr>
          <w:rFonts w:ascii="Times New Roman" w:hAnsi="Times New Roman" w:cs="Times New Roman"/>
          <w:color w:val="000000"/>
          <w:spacing w:val="4"/>
          <w:sz w:val="24"/>
          <w:szCs w:val="24"/>
        </w:rPr>
        <w:t xml:space="preserve"> les managers de risqu</w:t>
      </w:r>
      <w:r w:rsidR="00B230C4" w:rsidRPr="002B005F">
        <w:rPr>
          <w:rFonts w:ascii="Times New Roman" w:hAnsi="Times New Roman" w:cs="Times New Roman"/>
          <w:color w:val="000000"/>
          <w:spacing w:val="4"/>
          <w:sz w:val="24"/>
          <w:szCs w:val="24"/>
        </w:rPr>
        <w:t>e</w:t>
      </w:r>
      <w:r w:rsidRPr="002B005F">
        <w:rPr>
          <w:rFonts w:ascii="Times New Roman" w:hAnsi="Times New Roman" w:cs="Times New Roman"/>
          <w:color w:val="000000"/>
          <w:spacing w:val="4"/>
          <w:sz w:val="24"/>
          <w:szCs w:val="24"/>
        </w:rPr>
        <w:t xml:space="preserve"> et les responsables de la gestion de risque sont représentés par presque 36.71% de l'échantillon, suivi</w:t>
      </w:r>
      <w:r w:rsidR="00B230C4" w:rsidRPr="002B005F">
        <w:rPr>
          <w:rFonts w:ascii="Times New Roman" w:hAnsi="Times New Roman" w:cs="Times New Roman"/>
          <w:color w:val="000000"/>
          <w:spacing w:val="4"/>
          <w:sz w:val="24"/>
          <w:szCs w:val="24"/>
        </w:rPr>
        <w:t>s</w:t>
      </w:r>
      <w:r w:rsidRPr="002B005F">
        <w:rPr>
          <w:rFonts w:ascii="Times New Roman" w:hAnsi="Times New Roman" w:cs="Times New Roman"/>
          <w:color w:val="000000"/>
          <w:spacing w:val="4"/>
          <w:sz w:val="24"/>
          <w:szCs w:val="24"/>
        </w:rPr>
        <w:t xml:space="preserve"> par les directeurs de département-risques (13.92%) et les directeurs généraux (1</w:t>
      </w:r>
      <w:r w:rsidR="00B230C4" w:rsidRPr="002B005F">
        <w:rPr>
          <w:rFonts w:ascii="Times New Roman" w:hAnsi="Times New Roman" w:cs="Times New Roman"/>
          <w:color w:val="000000"/>
          <w:spacing w:val="4"/>
          <w:sz w:val="24"/>
          <w:szCs w:val="24"/>
        </w:rPr>
        <w:t>2.66%). Les analystes de risque</w:t>
      </w:r>
      <w:r w:rsidRPr="002B005F">
        <w:rPr>
          <w:rFonts w:ascii="Times New Roman" w:hAnsi="Times New Roman" w:cs="Times New Roman"/>
          <w:color w:val="000000"/>
          <w:spacing w:val="4"/>
          <w:sz w:val="24"/>
          <w:szCs w:val="24"/>
        </w:rPr>
        <w:t xml:space="preserve"> et les managers-audit représentent le même pourcentage 10.13%. Les </w:t>
      </w:r>
      <w:r w:rsidR="007A6DD0" w:rsidRPr="007A6DD0">
        <w:rPr>
          <w:rFonts w:ascii="Times New Roman" w:hAnsi="Times New Roman" w:cs="Times New Roman"/>
          <w:color w:val="000000"/>
          <w:spacing w:val="4"/>
          <w:sz w:val="24"/>
          <w:szCs w:val="24"/>
        </w:rPr>
        <w:t>jurisconsultes</w:t>
      </w:r>
      <w:r w:rsidRPr="002B005F">
        <w:rPr>
          <w:rFonts w:ascii="Times New Roman" w:hAnsi="Times New Roman" w:cs="Times New Roman"/>
          <w:color w:val="000000"/>
          <w:spacing w:val="4"/>
          <w:sz w:val="24"/>
          <w:szCs w:val="24"/>
        </w:rPr>
        <w:t xml:space="preserve"> et les consultants représent</w:t>
      </w:r>
      <w:r w:rsidR="00FA5D4E" w:rsidRPr="002B005F">
        <w:rPr>
          <w:rFonts w:ascii="Times New Roman" w:hAnsi="Times New Roman" w:cs="Times New Roman"/>
          <w:color w:val="000000"/>
          <w:spacing w:val="4"/>
          <w:sz w:val="24"/>
          <w:szCs w:val="24"/>
        </w:rPr>
        <w:t>ent respectivement 3.8% et 2.53</w:t>
      </w:r>
      <w:r w:rsidRPr="002B005F">
        <w:rPr>
          <w:rFonts w:ascii="Times New Roman" w:hAnsi="Times New Roman" w:cs="Times New Roman"/>
          <w:color w:val="000000"/>
          <w:spacing w:val="4"/>
          <w:sz w:val="24"/>
          <w:szCs w:val="24"/>
        </w:rPr>
        <w:t>%.</w:t>
      </w:r>
    </w:p>
    <w:p w14:paraId="395FBB47" w14:textId="2DCC1B82" w:rsidR="008C2E40" w:rsidRPr="002B005F" w:rsidRDefault="008C2E40" w:rsidP="004B75F0">
      <w:pPr>
        <w:pageBreakBefore/>
        <w:spacing w:before="120" w:after="120" w:line="300" w:lineRule="auto"/>
        <w:jc w:val="center"/>
        <w:rPr>
          <w:rFonts w:ascii="Times New Roman" w:hAnsi="Times New Roman" w:cs="Times New Roman"/>
          <w:b/>
          <w:bCs/>
          <w:sz w:val="24"/>
          <w:szCs w:val="24"/>
        </w:rPr>
      </w:pPr>
      <w:bookmarkStart w:id="1587" w:name="_Toc115556077"/>
      <w:r w:rsidRPr="002B005F">
        <w:rPr>
          <w:rFonts w:ascii="Times New Roman" w:hAnsi="Times New Roman" w:cs="Times New Roman"/>
          <w:b/>
          <w:bCs/>
          <w:sz w:val="24"/>
          <w:szCs w:val="24"/>
        </w:rPr>
        <w:lastRenderedPageBreak/>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9</w:t>
      </w:r>
      <w:r w:rsidR="00B544E5" w:rsidRPr="002B005F">
        <w:rPr>
          <w:rFonts w:ascii="Times New Roman" w:hAnsi="Times New Roman" w:cs="Times New Roman"/>
          <w:b/>
          <w:bCs/>
          <w:sz w:val="24"/>
          <w:szCs w:val="24"/>
        </w:rPr>
        <w:fldChar w:fldCharType="end"/>
      </w:r>
      <w:r w:rsidR="00FA5D4E" w:rsidRPr="002B005F">
        <w:rPr>
          <w:rFonts w:ascii="Times New Roman" w:hAnsi="Times New Roman" w:cs="Times New Roman"/>
          <w:b/>
          <w:bCs/>
          <w:sz w:val="24"/>
          <w:szCs w:val="24"/>
        </w:rPr>
        <w:t>-</w:t>
      </w:r>
      <w:r w:rsidRPr="002B005F">
        <w:rPr>
          <w:rFonts w:ascii="Times New Roman" w:hAnsi="Times New Roman" w:cs="Times New Roman"/>
          <w:b/>
          <w:bCs/>
          <w:sz w:val="24"/>
          <w:szCs w:val="24"/>
        </w:rPr>
        <w:t xml:space="preserve"> Distribution géographique de l’échantillon de recherche</w:t>
      </w:r>
      <w:bookmarkEnd w:id="1587"/>
    </w:p>
    <w:tbl>
      <w:tblPr>
        <w:tblStyle w:val="Listeclaire-Accent5"/>
        <w:tblW w:w="68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57" w:type="dxa"/>
          <w:bottom w:w="28" w:type="dxa"/>
          <w:right w:w="57" w:type="dxa"/>
        </w:tblCellMar>
        <w:tblLook w:val="0620" w:firstRow="1" w:lastRow="0" w:firstColumn="0" w:lastColumn="0" w:noHBand="1" w:noVBand="1"/>
      </w:tblPr>
      <w:tblGrid>
        <w:gridCol w:w="2268"/>
        <w:gridCol w:w="2268"/>
        <w:gridCol w:w="2268"/>
      </w:tblGrid>
      <w:tr w:rsidR="002760B2" w:rsidRPr="002B005F" w14:paraId="3060FD54" w14:textId="77777777" w:rsidTr="00C20FC9">
        <w:trPr>
          <w:cnfStyle w:val="100000000000" w:firstRow="1" w:lastRow="0" w:firstColumn="0" w:lastColumn="0" w:oddVBand="0" w:evenVBand="0" w:oddHBand="0" w:evenHBand="0" w:firstRowFirstColumn="0" w:firstRowLastColumn="0" w:lastRowFirstColumn="0" w:lastRowLastColumn="0"/>
          <w:trHeight w:val="340"/>
          <w:jc w:val="center"/>
        </w:trPr>
        <w:tc>
          <w:tcPr>
            <w:tcW w:w="2268" w:type="dxa"/>
            <w:shd w:val="clear" w:color="auto" w:fill="DEEAF6" w:themeFill="accent1" w:themeFillTint="33"/>
            <w:vAlign w:val="center"/>
          </w:tcPr>
          <w:p w14:paraId="28A055EE" w14:textId="77777777" w:rsidR="002760B2" w:rsidRPr="002B005F" w:rsidRDefault="002760B2" w:rsidP="00B230C4">
            <w:pPr>
              <w:tabs>
                <w:tab w:val="left" w:pos="0"/>
              </w:tabs>
              <w:jc w:val="center"/>
              <w:rPr>
                <w:rFonts w:ascii="Times New Roman" w:hAnsi="Times New Roman" w:cs="Times New Roman"/>
                <w:color w:val="auto"/>
              </w:rPr>
            </w:pPr>
            <w:r w:rsidRPr="002B005F">
              <w:rPr>
                <w:rFonts w:ascii="Times New Roman" w:hAnsi="Times New Roman" w:cs="Times New Roman"/>
                <w:color w:val="auto"/>
              </w:rPr>
              <w:t>Pays</w:t>
            </w:r>
          </w:p>
        </w:tc>
        <w:tc>
          <w:tcPr>
            <w:tcW w:w="2268" w:type="dxa"/>
            <w:shd w:val="clear" w:color="auto" w:fill="DEEAF6" w:themeFill="accent1" w:themeFillTint="33"/>
            <w:vAlign w:val="center"/>
          </w:tcPr>
          <w:p w14:paraId="2A0D5BB6" w14:textId="77777777" w:rsidR="002760B2" w:rsidRPr="002B005F" w:rsidRDefault="002760B2" w:rsidP="00FA5D4E">
            <w:pPr>
              <w:keepNext/>
              <w:tabs>
                <w:tab w:val="left" w:pos="0"/>
              </w:tabs>
              <w:jc w:val="center"/>
              <w:rPr>
                <w:rFonts w:ascii="Times New Roman" w:hAnsi="Times New Roman" w:cs="Times New Roman"/>
                <w:color w:val="auto"/>
              </w:rPr>
            </w:pPr>
            <w:r w:rsidRPr="002B005F">
              <w:rPr>
                <w:rFonts w:ascii="Times New Roman" w:hAnsi="Times New Roman" w:cs="Times New Roman"/>
                <w:color w:val="auto"/>
              </w:rPr>
              <w:t>Nombre de questionnaires</w:t>
            </w:r>
          </w:p>
        </w:tc>
        <w:tc>
          <w:tcPr>
            <w:tcW w:w="2268" w:type="dxa"/>
            <w:shd w:val="clear" w:color="auto" w:fill="DEEAF6" w:themeFill="accent1" w:themeFillTint="33"/>
            <w:vAlign w:val="center"/>
          </w:tcPr>
          <w:p w14:paraId="5D841D32" w14:textId="77777777" w:rsidR="002760B2" w:rsidRPr="002B005F" w:rsidRDefault="002760B2" w:rsidP="00FA5D4E">
            <w:pPr>
              <w:keepNext/>
              <w:tabs>
                <w:tab w:val="left" w:pos="0"/>
              </w:tabs>
              <w:jc w:val="center"/>
              <w:rPr>
                <w:rFonts w:ascii="Times New Roman" w:hAnsi="Times New Roman" w:cs="Times New Roman"/>
                <w:color w:val="auto"/>
              </w:rPr>
            </w:pPr>
            <w:r w:rsidRPr="002B005F">
              <w:rPr>
                <w:rFonts w:ascii="Times New Roman" w:hAnsi="Times New Roman" w:cs="Times New Roman"/>
                <w:color w:val="auto"/>
              </w:rPr>
              <w:t>Pourcentage</w:t>
            </w:r>
          </w:p>
        </w:tc>
      </w:tr>
      <w:tr w:rsidR="002760B2" w:rsidRPr="002B005F" w14:paraId="1C1168FF" w14:textId="77777777" w:rsidTr="00C20FC9">
        <w:trPr>
          <w:trHeight w:val="340"/>
          <w:jc w:val="center"/>
        </w:trPr>
        <w:tc>
          <w:tcPr>
            <w:tcW w:w="2268" w:type="dxa"/>
            <w:noWrap/>
            <w:vAlign w:val="center"/>
          </w:tcPr>
          <w:p w14:paraId="13E34427"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Algérie</w:t>
            </w:r>
          </w:p>
        </w:tc>
        <w:tc>
          <w:tcPr>
            <w:tcW w:w="2268" w:type="dxa"/>
            <w:vAlign w:val="center"/>
          </w:tcPr>
          <w:p w14:paraId="10BA4E55"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5</w:t>
            </w:r>
          </w:p>
        </w:tc>
        <w:tc>
          <w:tcPr>
            <w:tcW w:w="2268" w:type="dxa"/>
            <w:vAlign w:val="center"/>
          </w:tcPr>
          <w:p w14:paraId="565BD544"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6.32</w:t>
            </w:r>
          </w:p>
        </w:tc>
      </w:tr>
      <w:tr w:rsidR="002760B2" w:rsidRPr="002B005F" w14:paraId="6A556DA1" w14:textId="77777777" w:rsidTr="00C20FC9">
        <w:trPr>
          <w:trHeight w:val="340"/>
          <w:jc w:val="center"/>
        </w:trPr>
        <w:tc>
          <w:tcPr>
            <w:tcW w:w="2268" w:type="dxa"/>
            <w:noWrap/>
            <w:vAlign w:val="center"/>
          </w:tcPr>
          <w:p w14:paraId="62F5C990"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Maroc</w:t>
            </w:r>
          </w:p>
        </w:tc>
        <w:tc>
          <w:tcPr>
            <w:tcW w:w="2268" w:type="dxa"/>
            <w:vAlign w:val="center"/>
          </w:tcPr>
          <w:p w14:paraId="0A428BBB"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5</w:t>
            </w:r>
          </w:p>
        </w:tc>
        <w:tc>
          <w:tcPr>
            <w:tcW w:w="2268" w:type="dxa"/>
            <w:vAlign w:val="center"/>
          </w:tcPr>
          <w:p w14:paraId="35F7466C"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6.32</w:t>
            </w:r>
          </w:p>
        </w:tc>
      </w:tr>
      <w:tr w:rsidR="002760B2" w:rsidRPr="002B005F" w14:paraId="43B929B7" w14:textId="77777777" w:rsidTr="00C20FC9">
        <w:trPr>
          <w:trHeight w:val="340"/>
          <w:jc w:val="center"/>
        </w:trPr>
        <w:tc>
          <w:tcPr>
            <w:tcW w:w="2268" w:type="dxa"/>
            <w:noWrap/>
            <w:vAlign w:val="center"/>
          </w:tcPr>
          <w:p w14:paraId="6A5BB5DE"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Tunisie</w:t>
            </w:r>
          </w:p>
        </w:tc>
        <w:tc>
          <w:tcPr>
            <w:tcW w:w="2268" w:type="dxa"/>
            <w:vAlign w:val="center"/>
          </w:tcPr>
          <w:p w14:paraId="5B5CF391"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4</w:t>
            </w:r>
          </w:p>
        </w:tc>
        <w:tc>
          <w:tcPr>
            <w:tcW w:w="2268" w:type="dxa"/>
            <w:vAlign w:val="center"/>
          </w:tcPr>
          <w:p w14:paraId="17F8ED6D"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5.06</w:t>
            </w:r>
          </w:p>
        </w:tc>
      </w:tr>
      <w:tr w:rsidR="002760B2" w:rsidRPr="002B005F" w14:paraId="1F249500" w14:textId="77777777" w:rsidTr="00C20FC9">
        <w:trPr>
          <w:trHeight w:val="340"/>
          <w:jc w:val="center"/>
        </w:trPr>
        <w:tc>
          <w:tcPr>
            <w:tcW w:w="2268" w:type="dxa"/>
            <w:noWrap/>
            <w:vAlign w:val="center"/>
          </w:tcPr>
          <w:p w14:paraId="31823762"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Lybie</w:t>
            </w:r>
          </w:p>
        </w:tc>
        <w:tc>
          <w:tcPr>
            <w:tcW w:w="2268" w:type="dxa"/>
            <w:vAlign w:val="center"/>
          </w:tcPr>
          <w:p w14:paraId="6B9385A3"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157AB2A8"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2219787E" w14:textId="77777777" w:rsidTr="00C20FC9">
        <w:trPr>
          <w:trHeight w:val="340"/>
          <w:jc w:val="center"/>
        </w:trPr>
        <w:tc>
          <w:tcPr>
            <w:tcW w:w="2268" w:type="dxa"/>
            <w:noWrap/>
            <w:vAlign w:val="center"/>
          </w:tcPr>
          <w:p w14:paraId="5974DCCB"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Egypte</w:t>
            </w:r>
          </w:p>
        </w:tc>
        <w:tc>
          <w:tcPr>
            <w:tcW w:w="2268" w:type="dxa"/>
            <w:vAlign w:val="center"/>
          </w:tcPr>
          <w:p w14:paraId="73472FA2"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3</w:t>
            </w:r>
          </w:p>
        </w:tc>
        <w:tc>
          <w:tcPr>
            <w:tcW w:w="2268" w:type="dxa"/>
            <w:vAlign w:val="center"/>
          </w:tcPr>
          <w:p w14:paraId="0CFB5C88"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3.79</w:t>
            </w:r>
          </w:p>
        </w:tc>
      </w:tr>
      <w:tr w:rsidR="002760B2" w:rsidRPr="002B005F" w14:paraId="10E33BE2" w14:textId="77777777" w:rsidTr="00C20FC9">
        <w:trPr>
          <w:trHeight w:val="340"/>
          <w:jc w:val="center"/>
        </w:trPr>
        <w:tc>
          <w:tcPr>
            <w:tcW w:w="2268" w:type="dxa"/>
            <w:noWrap/>
            <w:vAlign w:val="center"/>
          </w:tcPr>
          <w:p w14:paraId="46303E42"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Soudan</w:t>
            </w:r>
          </w:p>
        </w:tc>
        <w:tc>
          <w:tcPr>
            <w:tcW w:w="2268" w:type="dxa"/>
            <w:vAlign w:val="center"/>
          </w:tcPr>
          <w:p w14:paraId="43D14491"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3</w:t>
            </w:r>
          </w:p>
        </w:tc>
        <w:tc>
          <w:tcPr>
            <w:tcW w:w="2268" w:type="dxa"/>
            <w:vAlign w:val="center"/>
          </w:tcPr>
          <w:p w14:paraId="4E40394E"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3.79</w:t>
            </w:r>
          </w:p>
        </w:tc>
      </w:tr>
      <w:tr w:rsidR="002760B2" w:rsidRPr="002B005F" w14:paraId="68C3D925" w14:textId="77777777" w:rsidTr="00C20FC9">
        <w:trPr>
          <w:trHeight w:val="340"/>
          <w:jc w:val="center"/>
        </w:trPr>
        <w:tc>
          <w:tcPr>
            <w:tcW w:w="2268" w:type="dxa"/>
            <w:noWrap/>
            <w:vAlign w:val="center"/>
          </w:tcPr>
          <w:p w14:paraId="787CF8B5"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Mauritanie</w:t>
            </w:r>
          </w:p>
        </w:tc>
        <w:tc>
          <w:tcPr>
            <w:tcW w:w="2268" w:type="dxa"/>
            <w:vAlign w:val="center"/>
          </w:tcPr>
          <w:p w14:paraId="6D5E2D04"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50F1D6A2"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52F8130C" w14:textId="77777777" w:rsidTr="00C20FC9">
        <w:trPr>
          <w:trHeight w:val="340"/>
          <w:jc w:val="center"/>
        </w:trPr>
        <w:tc>
          <w:tcPr>
            <w:tcW w:w="2268" w:type="dxa"/>
            <w:noWrap/>
            <w:vAlign w:val="center"/>
          </w:tcPr>
          <w:p w14:paraId="3C6E478B"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Sud Afrique</w:t>
            </w:r>
          </w:p>
        </w:tc>
        <w:tc>
          <w:tcPr>
            <w:tcW w:w="2268" w:type="dxa"/>
            <w:vAlign w:val="center"/>
          </w:tcPr>
          <w:p w14:paraId="6DBB76EF"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4BCEAE0D"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720F6B70" w14:textId="77777777" w:rsidTr="00C20FC9">
        <w:trPr>
          <w:trHeight w:val="340"/>
          <w:jc w:val="center"/>
        </w:trPr>
        <w:tc>
          <w:tcPr>
            <w:tcW w:w="2268" w:type="dxa"/>
            <w:noWrap/>
            <w:vAlign w:val="center"/>
          </w:tcPr>
          <w:p w14:paraId="11FF8389"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Djibouti</w:t>
            </w:r>
          </w:p>
        </w:tc>
        <w:tc>
          <w:tcPr>
            <w:tcW w:w="2268" w:type="dxa"/>
            <w:vAlign w:val="center"/>
          </w:tcPr>
          <w:p w14:paraId="1265DFE3"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694AB505"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7EA03049" w14:textId="77777777" w:rsidTr="00C20FC9">
        <w:trPr>
          <w:trHeight w:val="340"/>
          <w:jc w:val="center"/>
        </w:trPr>
        <w:tc>
          <w:tcPr>
            <w:tcW w:w="2268" w:type="dxa"/>
            <w:noWrap/>
            <w:vAlign w:val="center"/>
          </w:tcPr>
          <w:p w14:paraId="549993BC"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Nigeria</w:t>
            </w:r>
          </w:p>
        </w:tc>
        <w:tc>
          <w:tcPr>
            <w:tcW w:w="2268" w:type="dxa"/>
            <w:vAlign w:val="center"/>
          </w:tcPr>
          <w:p w14:paraId="22C56A71"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0A912E0C"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420B1B1B" w14:textId="77777777" w:rsidTr="00C20FC9">
        <w:trPr>
          <w:trHeight w:val="340"/>
          <w:jc w:val="center"/>
        </w:trPr>
        <w:tc>
          <w:tcPr>
            <w:tcW w:w="2268" w:type="dxa"/>
            <w:noWrap/>
            <w:vAlign w:val="center"/>
          </w:tcPr>
          <w:p w14:paraId="62696DFB"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Arabie Saoudite</w:t>
            </w:r>
          </w:p>
        </w:tc>
        <w:tc>
          <w:tcPr>
            <w:tcW w:w="2268" w:type="dxa"/>
            <w:vAlign w:val="center"/>
          </w:tcPr>
          <w:p w14:paraId="01AD33FE"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4</w:t>
            </w:r>
          </w:p>
        </w:tc>
        <w:tc>
          <w:tcPr>
            <w:tcW w:w="2268" w:type="dxa"/>
            <w:vAlign w:val="center"/>
          </w:tcPr>
          <w:p w14:paraId="6CB049C6"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5.06</w:t>
            </w:r>
          </w:p>
        </w:tc>
      </w:tr>
      <w:tr w:rsidR="002760B2" w:rsidRPr="002B005F" w14:paraId="4948F138" w14:textId="77777777" w:rsidTr="00C20FC9">
        <w:trPr>
          <w:trHeight w:val="340"/>
          <w:jc w:val="center"/>
        </w:trPr>
        <w:tc>
          <w:tcPr>
            <w:tcW w:w="2268" w:type="dxa"/>
            <w:noWrap/>
            <w:vAlign w:val="center"/>
          </w:tcPr>
          <w:p w14:paraId="3F1BB40C"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UAE</w:t>
            </w:r>
          </w:p>
        </w:tc>
        <w:tc>
          <w:tcPr>
            <w:tcW w:w="2268" w:type="dxa"/>
            <w:vAlign w:val="center"/>
          </w:tcPr>
          <w:p w14:paraId="24D71703"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5</w:t>
            </w:r>
          </w:p>
        </w:tc>
        <w:tc>
          <w:tcPr>
            <w:tcW w:w="2268" w:type="dxa"/>
            <w:vAlign w:val="center"/>
          </w:tcPr>
          <w:p w14:paraId="6A9AA215"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6.32</w:t>
            </w:r>
          </w:p>
        </w:tc>
      </w:tr>
      <w:tr w:rsidR="002760B2" w:rsidRPr="002B005F" w14:paraId="2477D1A4" w14:textId="77777777" w:rsidTr="00C20FC9">
        <w:trPr>
          <w:trHeight w:val="340"/>
          <w:jc w:val="center"/>
        </w:trPr>
        <w:tc>
          <w:tcPr>
            <w:tcW w:w="2268" w:type="dxa"/>
            <w:noWrap/>
            <w:vAlign w:val="center"/>
          </w:tcPr>
          <w:p w14:paraId="0E5AD946"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Qatar</w:t>
            </w:r>
          </w:p>
        </w:tc>
        <w:tc>
          <w:tcPr>
            <w:tcW w:w="2268" w:type="dxa"/>
            <w:vAlign w:val="center"/>
          </w:tcPr>
          <w:p w14:paraId="4E4E036F"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3</w:t>
            </w:r>
          </w:p>
        </w:tc>
        <w:tc>
          <w:tcPr>
            <w:tcW w:w="2268" w:type="dxa"/>
            <w:vAlign w:val="center"/>
          </w:tcPr>
          <w:p w14:paraId="21E68B39"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3.79</w:t>
            </w:r>
          </w:p>
        </w:tc>
      </w:tr>
      <w:tr w:rsidR="002760B2" w:rsidRPr="002B005F" w14:paraId="4A1956CE" w14:textId="77777777" w:rsidTr="00C20FC9">
        <w:trPr>
          <w:trHeight w:val="340"/>
          <w:jc w:val="center"/>
        </w:trPr>
        <w:tc>
          <w:tcPr>
            <w:tcW w:w="2268" w:type="dxa"/>
            <w:noWrap/>
            <w:vAlign w:val="center"/>
          </w:tcPr>
          <w:p w14:paraId="23B24271"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Kuweit</w:t>
            </w:r>
          </w:p>
        </w:tc>
        <w:tc>
          <w:tcPr>
            <w:tcW w:w="2268" w:type="dxa"/>
            <w:vAlign w:val="center"/>
          </w:tcPr>
          <w:p w14:paraId="08ABB5EE"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3E6F2CE0"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566075CA" w14:textId="77777777" w:rsidTr="00C20FC9">
        <w:trPr>
          <w:trHeight w:val="340"/>
          <w:jc w:val="center"/>
        </w:trPr>
        <w:tc>
          <w:tcPr>
            <w:tcW w:w="2268" w:type="dxa"/>
            <w:noWrap/>
            <w:vAlign w:val="center"/>
          </w:tcPr>
          <w:p w14:paraId="4923F6F9"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Yémen</w:t>
            </w:r>
          </w:p>
        </w:tc>
        <w:tc>
          <w:tcPr>
            <w:tcW w:w="2268" w:type="dxa"/>
            <w:vAlign w:val="center"/>
          </w:tcPr>
          <w:p w14:paraId="03C69C02"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755B9B44"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2AC1804B" w14:textId="77777777" w:rsidTr="00C20FC9">
        <w:trPr>
          <w:trHeight w:val="340"/>
          <w:jc w:val="center"/>
        </w:trPr>
        <w:tc>
          <w:tcPr>
            <w:tcW w:w="2268" w:type="dxa"/>
            <w:noWrap/>
            <w:vAlign w:val="center"/>
          </w:tcPr>
          <w:p w14:paraId="4D93AA69"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Jordanie</w:t>
            </w:r>
          </w:p>
        </w:tc>
        <w:tc>
          <w:tcPr>
            <w:tcW w:w="2268" w:type="dxa"/>
            <w:vAlign w:val="center"/>
          </w:tcPr>
          <w:p w14:paraId="34FD6ACB"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3</w:t>
            </w:r>
          </w:p>
        </w:tc>
        <w:tc>
          <w:tcPr>
            <w:tcW w:w="2268" w:type="dxa"/>
            <w:vAlign w:val="center"/>
          </w:tcPr>
          <w:p w14:paraId="78F6AFC1"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3.79</w:t>
            </w:r>
          </w:p>
        </w:tc>
      </w:tr>
      <w:tr w:rsidR="002760B2" w:rsidRPr="002B005F" w14:paraId="6351C6B2" w14:textId="77777777" w:rsidTr="00C20FC9">
        <w:trPr>
          <w:trHeight w:val="340"/>
          <w:jc w:val="center"/>
        </w:trPr>
        <w:tc>
          <w:tcPr>
            <w:tcW w:w="2268" w:type="dxa"/>
            <w:noWrap/>
            <w:vAlign w:val="center"/>
          </w:tcPr>
          <w:p w14:paraId="5C63766A"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Aman</w:t>
            </w:r>
          </w:p>
        </w:tc>
        <w:tc>
          <w:tcPr>
            <w:tcW w:w="2268" w:type="dxa"/>
            <w:vAlign w:val="center"/>
          </w:tcPr>
          <w:p w14:paraId="6EC2B10C"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3E0F12D2"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6AA9B141" w14:textId="77777777" w:rsidTr="00C20FC9">
        <w:trPr>
          <w:trHeight w:val="340"/>
          <w:jc w:val="center"/>
        </w:trPr>
        <w:tc>
          <w:tcPr>
            <w:tcW w:w="2268" w:type="dxa"/>
            <w:noWrap/>
            <w:vAlign w:val="center"/>
          </w:tcPr>
          <w:p w14:paraId="534094A5"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Palestine</w:t>
            </w:r>
          </w:p>
        </w:tc>
        <w:tc>
          <w:tcPr>
            <w:tcW w:w="2268" w:type="dxa"/>
            <w:vAlign w:val="center"/>
          </w:tcPr>
          <w:p w14:paraId="6F93730D"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06B1B642"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523401BD" w14:textId="77777777" w:rsidTr="00C20FC9">
        <w:trPr>
          <w:trHeight w:val="340"/>
          <w:jc w:val="center"/>
        </w:trPr>
        <w:tc>
          <w:tcPr>
            <w:tcW w:w="2268" w:type="dxa"/>
            <w:noWrap/>
            <w:vAlign w:val="center"/>
          </w:tcPr>
          <w:p w14:paraId="0B01FC0F"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Irak</w:t>
            </w:r>
          </w:p>
        </w:tc>
        <w:tc>
          <w:tcPr>
            <w:tcW w:w="2268" w:type="dxa"/>
            <w:vAlign w:val="center"/>
          </w:tcPr>
          <w:p w14:paraId="662F7F13"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472ADB83"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00E17DB4" w14:textId="77777777" w:rsidTr="00C20FC9">
        <w:trPr>
          <w:trHeight w:val="340"/>
          <w:jc w:val="center"/>
        </w:trPr>
        <w:tc>
          <w:tcPr>
            <w:tcW w:w="2268" w:type="dxa"/>
            <w:noWrap/>
            <w:vAlign w:val="center"/>
          </w:tcPr>
          <w:p w14:paraId="30337EA3"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Turquie</w:t>
            </w:r>
          </w:p>
        </w:tc>
        <w:tc>
          <w:tcPr>
            <w:tcW w:w="2268" w:type="dxa"/>
            <w:vAlign w:val="center"/>
          </w:tcPr>
          <w:p w14:paraId="428DF7ED"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3</w:t>
            </w:r>
          </w:p>
        </w:tc>
        <w:tc>
          <w:tcPr>
            <w:tcW w:w="2268" w:type="dxa"/>
            <w:vAlign w:val="center"/>
          </w:tcPr>
          <w:p w14:paraId="5B6D083A"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3.79</w:t>
            </w:r>
          </w:p>
        </w:tc>
      </w:tr>
      <w:tr w:rsidR="002760B2" w:rsidRPr="002B005F" w14:paraId="736FCF44" w14:textId="77777777" w:rsidTr="00C20FC9">
        <w:trPr>
          <w:trHeight w:val="340"/>
          <w:jc w:val="center"/>
        </w:trPr>
        <w:tc>
          <w:tcPr>
            <w:tcW w:w="2268" w:type="dxa"/>
            <w:noWrap/>
            <w:vAlign w:val="center"/>
          </w:tcPr>
          <w:p w14:paraId="65A013B1"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Malaisie</w:t>
            </w:r>
          </w:p>
        </w:tc>
        <w:tc>
          <w:tcPr>
            <w:tcW w:w="2268" w:type="dxa"/>
            <w:vAlign w:val="center"/>
          </w:tcPr>
          <w:p w14:paraId="49205B12"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5</w:t>
            </w:r>
          </w:p>
        </w:tc>
        <w:tc>
          <w:tcPr>
            <w:tcW w:w="2268" w:type="dxa"/>
            <w:vAlign w:val="center"/>
          </w:tcPr>
          <w:p w14:paraId="7952AACF"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6.32</w:t>
            </w:r>
          </w:p>
        </w:tc>
      </w:tr>
      <w:tr w:rsidR="002760B2" w:rsidRPr="002B005F" w14:paraId="466F4A6D" w14:textId="77777777" w:rsidTr="00C20FC9">
        <w:trPr>
          <w:trHeight w:val="340"/>
          <w:jc w:val="center"/>
        </w:trPr>
        <w:tc>
          <w:tcPr>
            <w:tcW w:w="2268" w:type="dxa"/>
            <w:noWrap/>
            <w:vAlign w:val="center"/>
          </w:tcPr>
          <w:p w14:paraId="236F5E83"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Indonésie</w:t>
            </w:r>
          </w:p>
        </w:tc>
        <w:tc>
          <w:tcPr>
            <w:tcW w:w="2268" w:type="dxa"/>
            <w:vAlign w:val="center"/>
          </w:tcPr>
          <w:p w14:paraId="02899658"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73595DC5"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11184375" w14:textId="77777777" w:rsidTr="00C20FC9">
        <w:trPr>
          <w:trHeight w:val="340"/>
          <w:jc w:val="center"/>
        </w:trPr>
        <w:tc>
          <w:tcPr>
            <w:tcW w:w="2268" w:type="dxa"/>
            <w:noWrap/>
            <w:vAlign w:val="center"/>
          </w:tcPr>
          <w:p w14:paraId="36870BBE"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Pakistan</w:t>
            </w:r>
          </w:p>
        </w:tc>
        <w:tc>
          <w:tcPr>
            <w:tcW w:w="2268" w:type="dxa"/>
            <w:vAlign w:val="center"/>
          </w:tcPr>
          <w:p w14:paraId="75DA512F"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4</w:t>
            </w:r>
          </w:p>
        </w:tc>
        <w:tc>
          <w:tcPr>
            <w:tcW w:w="2268" w:type="dxa"/>
            <w:vAlign w:val="center"/>
          </w:tcPr>
          <w:p w14:paraId="53697E1F"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5.06</w:t>
            </w:r>
          </w:p>
        </w:tc>
      </w:tr>
      <w:tr w:rsidR="002760B2" w:rsidRPr="002B005F" w14:paraId="67628CAD" w14:textId="77777777" w:rsidTr="00C20FC9">
        <w:trPr>
          <w:trHeight w:val="340"/>
          <w:jc w:val="center"/>
        </w:trPr>
        <w:tc>
          <w:tcPr>
            <w:tcW w:w="2268" w:type="dxa"/>
            <w:noWrap/>
            <w:vAlign w:val="center"/>
          </w:tcPr>
          <w:p w14:paraId="6AE08AF6"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Bengladesh</w:t>
            </w:r>
          </w:p>
        </w:tc>
        <w:tc>
          <w:tcPr>
            <w:tcW w:w="2268" w:type="dxa"/>
            <w:vAlign w:val="center"/>
          </w:tcPr>
          <w:p w14:paraId="433FE6B2"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2</w:t>
            </w:r>
          </w:p>
        </w:tc>
        <w:tc>
          <w:tcPr>
            <w:tcW w:w="2268" w:type="dxa"/>
            <w:vAlign w:val="center"/>
          </w:tcPr>
          <w:p w14:paraId="058200BA"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2.53</w:t>
            </w:r>
          </w:p>
        </w:tc>
      </w:tr>
      <w:tr w:rsidR="002760B2" w:rsidRPr="002B005F" w14:paraId="0510AD22" w14:textId="77777777" w:rsidTr="00C20FC9">
        <w:trPr>
          <w:trHeight w:val="340"/>
          <w:jc w:val="center"/>
        </w:trPr>
        <w:tc>
          <w:tcPr>
            <w:tcW w:w="2268" w:type="dxa"/>
            <w:noWrap/>
            <w:vAlign w:val="center"/>
          </w:tcPr>
          <w:p w14:paraId="4ABBB006"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Afghanistan</w:t>
            </w:r>
          </w:p>
        </w:tc>
        <w:tc>
          <w:tcPr>
            <w:tcW w:w="2268" w:type="dxa"/>
            <w:vAlign w:val="center"/>
          </w:tcPr>
          <w:p w14:paraId="1D5CB497"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1</w:t>
            </w:r>
          </w:p>
        </w:tc>
        <w:tc>
          <w:tcPr>
            <w:tcW w:w="2268" w:type="dxa"/>
            <w:vAlign w:val="center"/>
          </w:tcPr>
          <w:p w14:paraId="0888D99A"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1.26</w:t>
            </w:r>
          </w:p>
        </w:tc>
      </w:tr>
      <w:tr w:rsidR="002760B2" w:rsidRPr="002B005F" w14:paraId="1B6F123C" w14:textId="77777777" w:rsidTr="00C20FC9">
        <w:trPr>
          <w:trHeight w:val="340"/>
          <w:jc w:val="center"/>
        </w:trPr>
        <w:tc>
          <w:tcPr>
            <w:tcW w:w="2268" w:type="dxa"/>
            <w:noWrap/>
            <w:vAlign w:val="center"/>
          </w:tcPr>
          <w:p w14:paraId="6BCEB010"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Londres</w:t>
            </w:r>
          </w:p>
        </w:tc>
        <w:tc>
          <w:tcPr>
            <w:tcW w:w="2268" w:type="dxa"/>
            <w:vAlign w:val="center"/>
          </w:tcPr>
          <w:p w14:paraId="73455749"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3</w:t>
            </w:r>
          </w:p>
        </w:tc>
        <w:tc>
          <w:tcPr>
            <w:tcW w:w="2268" w:type="dxa"/>
            <w:vAlign w:val="center"/>
          </w:tcPr>
          <w:p w14:paraId="463286ED"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3.79</w:t>
            </w:r>
          </w:p>
        </w:tc>
      </w:tr>
      <w:tr w:rsidR="002760B2" w:rsidRPr="002B005F" w14:paraId="569148A1" w14:textId="77777777" w:rsidTr="00C20FC9">
        <w:trPr>
          <w:trHeight w:val="340"/>
          <w:jc w:val="center"/>
        </w:trPr>
        <w:tc>
          <w:tcPr>
            <w:tcW w:w="2268" w:type="dxa"/>
            <w:noWrap/>
            <w:vAlign w:val="center"/>
          </w:tcPr>
          <w:p w14:paraId="0F1B3D00" w14:textId="77777777" w:rsidR="002760B2" w:rsidRPr="002B005F" w:rsidRDefault="002760B2" w:rsidP="00274162">
            <w:pPr>
              <w:ind w:left="86"/>
              <w:jc w:val="left"/>
              <w:rPr>
                <w:rFonts w:ascii="Times New Roman" w:hAnsi="Times New Roman" w:cs="Times New Roman"/>
              </w:rPr>
            </w:pPr>
            <w:r w:rsidRPr="002B005F">
              <w:rPr>
                <w:rFonts w:ascii="Times New Roman" w:hAnsi="Times New Roman" w:cs="Times New Roman"/>
              </w:rPr>
              <w:t>France</w:t>
            </w:r>
          </w:p>
        </w:tc>
        <w:tc>
          <w:tcPr>
            <w:tcW w:w="2268" w:type="dxa"/>
            <w:vAlign w:val="center"/>
          </w:tcPr>
          <w:p w14:paraId="22FFDB21" w14:textId="77777777" w:rsidR="002760B2" w:rsidRPr="002B005F" w:rsidRDefault="002760B2" w:rsidP="00FA5D4E">
            <w:pPr>
              <w:keepNext/>
              <w:tabs>
                <w:tab w:val="left" w:pos="0"/>
              </w:tabs>
              <w:jc w:val="center"/>
              <w:rPr>
                <w:rFonts w:ascii="Times New Roman" w:hAnsi="Times New Roman" w:cs="Times New Roman"/>
              </w:rPr>
            </w:pPr>
            <w:r w:rsidRPr="002B005F">
              <w:rPr>
                <w:rFonts w:ascii="Times New Roman" w:hAnsi="Times New Roman" w:cs="Times New Roman"/>
              </w:rPr>
              <w:t>4</w:t>
            </w:r>
          </w:p>
        </w:tc>
        <w:tc>
          <w:tcPr>
            <w:tcW w:w="2268" w:type="dxa"/>
            <w:vAlign w:val="center"/>
          </w:tcPr>
          <w:p w14:paraId="4C864852" w14:textId="77777777" w:rsidR="002760B2" w:rsidRPr="002B005F" w:rsidRDefault="00FA5D4E" w:rsidP="00FA5D4E">
            <w:pPr>
              <w:keepNext/>
              <w:tabs>
                <w:tab w:val="left" w:pos="0"/>
              </w:tabs>
              <w:jc w:val="center"/>
              <w:rPr>
                <w:rFonts w:ascii="Times New Roman" w:hAnsi="Times New Roman" w:cs="Times New Roman"/>
              </w:rPr>
            </w:pPr>
            <w:r w:rsidRPr="002B005F">
              <w:rPr>
                <w:rFonts w:ascii="Times New Roman" w:hAnsi="Times New Roman" w:cs="Times New Roman"/>
              </w:rPr>
              <w:t>5.06</w:t>
            </w:r>
          </w:p>
        </w:tc>
      </w:tr>
      <w:tr w:rsidR="002760B2" w:rsidRPr="002B005F" w14:paraId="15DF2D62" w14:textId="77777777" w:rsidTr="00C20FC9">
        <w:trPr>
          <w:trHeight w:val="340"/>
          <w:jc w:val="center"/>
        </w:trPr>
        <w:tc>
          <w:tcPr>
            <w:tcW w:w="2268" w:type="dxa"/>
            <w:vAlign w:val="center"/>
          </w:tcPr>
          <w:p w14:paraId="1E9C3656" w14:textId="77777777" w:rsidR="002760B2" w:rsidRPr="002B005F" w:rsidRDefault="002760B2" w:rsidP="00B230C4">
            <w:pPr>
              <w:tabs>
                <w:tab w:val="left" w:pos="0"/>
              </w:tabs>
              <w:jc w:val="center"/>
              <w:rPr>
                <w:rFonts w:ascii="Times New Roman" w:hAnsi="Times New Roman" w:cs="Times New Roman"/>
                <w:b/>
                <w:bCs/>
              </w:rPr>
            </w:pPr>
            <w:r w:rsidRPr="002B005F">
              <w:rPr>
                <w:rFonts w:ascii="Times New Roman" w:hAnsi="Times New Roman" w:cs="Times New Roman"/>
                <w:b/>
                <w:bCs/>
              </w:rPr>
              <w:t>Total</w:t>
            </w:r>
          </w:p>
        </w:tc>
        <w:tc>
          <w:tcPr>
            <w:tcW w:w="2268" w:type="dxa"/>
            <w:vAlign w:val="center"/>
          </w:tcPr>
          <w:p w14:paraId="69DD3FA8" w14:textId="77777777" w:rsidR="002760B2" w:rsidRPr="002B005F" w:rsidRDefault="002760B2" w:rsidP="00FA5D4E">
            <w:pPr>
              <w:keepNext/>
              <w:tabs>
                <w:tab w:val="left" w:pos="0"/>
              </w:tabs>
              <w:jc w:val="center"/>
              <w:rPr>
                <w:rFonts w:ascii="Times New Roman" w:hAnsi="Times New Roman" w:cs="Times New Roman"/>
                <w:b/>
                <w:bCs/>
              </w:rPr>
            </w:pPr>
            <w:r w:rsidRPr="002B005F">
              <w:rPr>
                <w:rFonts w:ascii="Times New Roman" w:hAnsi="Times New Roman" w:cs="Times New Roman"/>
                <w:b/>
                <w:bCs/>
              </w:rPr>
              <w:t>79</w:t>
            </w:r>
          </w:p>
        </w:tc>
        <w:tc>
          <w:tcPr>
            <w:tcW w:w="2268" w:type="dxa"/>
            <w:vAlign w:val="center"/>
          </w:tcPr>
          <w:p w14:paraId="67DFF5A2" w14:textId="77777777" w:rsidR="002760B2" w:rsidRPr="002B005F" w:rsidRDefault="00FA5D4E" w:rsidP="00FA5D4E">
            <w:pPr>
              <w:keepNext/>
              <w:tabs>
                <w:tab w:val="left" w:pos="0"/>
              </w:tabs>
              <w:jc w:val="center"/>
              <w:rPr>
                <w:rFonts w:ascii="Times New Roman" w:hAnsi="Times New Roman" w:cs="Times New Roman"/>
                <w:b/>
                <w:bCs/>
              </w:rPr>
            </w:pPr>
            <w:r w:rsidRPr="002B005F">
              <w:rPr>
                <w:rFonts w:ascii="Times New Roman" w:hAnsi="Times New Roman" w:cs="Times New Roman"/>
                <w:b/>
                <w:bCs/>
              </w:rPr>
              <w:t>100,00</w:t>
            </w:r>
          </w:p>
        </w:tc>
      </w:tr>
    </w:tbl>
    <w:p w14:paraId="2DDCC0CD" w14:textId="77777777" w:rsidR="00EB2DC8" w:rsidRPr="002B005F" w:rsidRDefault="002760B2" w:rsidP="00C20FC9">
      <w:pPr>
        <w:keepNext/>
        <w:tabs>
          <w:tab w:val="left" w:pos="0"/>
        </w:tabs>
        <w:autoSpaceDE w:val="0"/>
        <w:autoSpaceDN w:val="0"/>
        <w:adjustRightInd w:val="0"/>
        <w:spacing w:before="240" w:after="120" w:line="30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du chercheur.</w:t>
      </w:r>
    </w:p>
    <w:p w14:paraId="08DD34CB" w14:textId="77777777" w:rsidR="00FA5D4E" w:rsidRPr="002B005F" w:rsidRDefault="00FA5D4E" w:rsidP="00C20FC9">
      <w:pPr>
        <w:pStyle w:val="Lgende"/>
        <w:tabs>
          <w:tab w:val="left" w:pos="0"/>
        </w:tabs>
        <w:spacing w:after="120" w:line="360" w:lineRule="auto"/>
        <w:rPr>
          <w:rFonts w:ascii="Times New Roman" w:hAnsi="Times New Roman" w:cs="Times New Roman"/>
          <w:color w:val="auto"/>
          <w:sz w:val="24"/>
          <w:szCs w:val="24"/>
        </w:rPr>
      </w:pPr>
    </w:p>
    <w:p w14:paraId="293F0BB1" w14:textId="6F3DC0CC" w:rsidR="008C2E40" w:rsidRPr="002B005F" w:rsidRDefault="008C2E40" w:rsidP="00C20FC9">
      <w:pPr>
        <w:pStyle w:val="Lgende"/>
        <w:keepNext/>
        <w:keepLines/>
        <w:tabs>
          <w:tab w:val="left" w:pos="0"/>
        </w:tabs>
        <w:spacing w:before="100" w:beforeAutospacing="1" w:after="120" w:line="300" w:lineRule="auto"/>
        <w:jc w:val="center"/>
        <w:rPr>
          <w:rFonts w:ascii="Times New Roman" w:hAnsi="Times New Roman" w:cs="Times New Roman"/>
          <w:color w:val="auto"/>
          <w:sz w:val="24"/>
          <w:szCs w:val="24"/>
        </w:rPr>
      </w:pPr>
      <w:bookmarkStart w:id="1588" w:name="_Toc115556078"/>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10</w:t>
      </w:r>
      <w:r w:rsidR="00B544E5" w:rsidRPr="002B005F">
        <w:rPr>
          <w:rFonts w:ascii="Times New Roman" w:hAnsi="Times New Roman" w:cs="Times New Roman"/>
          <w:color w:val="auto"/>
          <w:sz w:val="24"/>
          <w:szCs w:val="24"/>
        </w:rPr>
        <w:fldChar w:fldCharType="end"/>
      </w:r>
      <w:r w:rsidR="00197AF6"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Répartition des postes des répondants par région</w:t>
      </w:r>
      <w:bookmarkEnd w:id="1588"/>
    </w:p>
    <w:tbl>
      <w:tblPr>
        <w:tblW w:w="9069"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top w:w="28" w:type="dxa"/>
          <w:left w:w="28" w:type="dxa"/>
          <w:bottom w:w="28" w:type="dxa"/>
          <w:right w:w="28" w:type="dxa"/>
        </w:tblCellMar>
        <w:tblLook w:val="0000" w:firstRow="0" w:lastRow="0" w:firstColumn="0" w:lastColumn="0" w:noHBand="0" w:noVBand="0"/>
      </w:tblPr>
      <w:tblGrid>
        <w:gridCol w:w="3288"/>
        <w:gridCol w:w="850"/>
        <w:gridCol w:w="1247"/>
        <w:gridCol w:w="850"/>
        <w:gridCol w:w="850"/>
        <w:gridCol w:w="850"/>
        <w:gridCol w:w="1134"/>
      </w:tblGrid>
      <w:tr w:rsidR="001634E3" w:rsidRPr="002B005F" w14:paraId="44308364" w14:textId="77777777" w:rsidTr="001634E3">
        <w:trPr>
          <w:trHeight w:val="397"/>
          <w:jc w:val="center"/>
        </w:trPr>
        <w:tc>
          <w:tcPr>
            <w:tcW w:w="3288" w:type="dxa"/>
            <w:shd w:val="clear" w:color="auto" w:fill="BDD6EE"/>
            <w:vAlign w:val="center"/>
          </w:tcPr>
          <w:p w14:paraId="72B044C3" w14:textId="77777777" w:rsidR="001634E3" w:rsidRPr="002B005F" w:rsidRDefault="001634E3" w:rsidP="001634E3">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Poste occupé</w:t>
            </w:r>
          </w:p>
        </w:tc>
        <w:tc>
          <w:tcPr>
            <w:tcW w:w="850" w:type="dxa"/>
            <w:shd w:val="clear" w:color="auto" w:fill="BDD6EE"/>
            <w:vAlign w:val="center"/>
          </w:tcPr>
          <w:p w14:paraId="6F4AE745" w14:textId="77777777" w:rsidR="001634E3" w:rsidRPr="002B005F" w:rsidRDefault="001634E3" w:rsidP="001634E3">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Afrique</w:t>
            </w:r>
          </w:p>
        </w:tc>
        <w:tc>
          <w:tcPr>
            <w:tcW w:w="1247" w:type="dxa"/>
            <w:shd w:val="clear" w:color="auto" w:fill="BDD6EE"/>
            <w:vAlign w:val="center"/>
          </w:tcPr>
          <w:p w14:paraId="27973AC7" w14:textId="77777777" w:rsidR="001634E3" w:rsidRPr="002B005F" w:rsidRDefault="001634E3" w:rsidP="001634E3">
            <w:pPr>
              <w:tabs>
                <w:tab w:val="left" w:pos="0"/>
              </w:tabs>
              <w:spacing w:line="240" w:lineRule="auto"/>
              <w:jc w:val="center"/>
              <w:rPr>
                <w:rFonts w:ascii="Times New Roman" w:eastAsia="Arial" w:hAnsi="Times New Roman" w:cs="Times New Roman"/>
                <w:b/>
                <w:spacing w:val="-4"/>
              </w:rPr>
            </w:pPr>
            <w:r w:rsidRPr="002B005F">
              <w:rPr>
                <w:rFonts w:ascii="Times New Roman" w:eastAsia="Arial" w:hAnsi="Times New Roman" w:cs="Times New Roman"/>
                <w:b/>
                <w:spacing w:val="-4"/>
                <w:sz w:val="20"/>
                <w:szCs w:val="20"/>
              </w:rPr>
              <w:t>Moyen-Orient</w:t>
            </w:r>
          </w:p>
        </w:tc>
        <w:tc>
          <w:tcPr>
            <w:tcW w:w="850" w:type="dxa"/>
            <w:shd w:val="clear" w:color="auto" w:fill="BDD6EE"/>
            <w:vAlign w:val="center"/>
          </w:tcPr>
          <w:p w14:paraId="6FB6AFBE" w14:textId="77777777" w:rsidR="001634E3" w:rsidRPr="002B005F" w:rsidRDefault="001634E3" w:rsidP="001634E3">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Europe</w:t>
            </w:r>
          </w:p>
        </w:tc>
        <w:tc>
          <w:tcPr>
            <w:tcW w:w="850" w:type="dxa"/>
            <w:shd w:val="clear" w:color="auto" w:fill="BDD6EE"/>
            <w:vAlign w:val="center"/>
          </w:tcPr>
          <w:p w14:paraId="4E8108DA" w14:textId="77777777" w:rsidR="001634E3" w:rsidRPr="002B005F" w:rsidRDefault="001634E3" w:rsidP="001634E3">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Autres</w:t>
            </w:r>
          </w:p>
        </w:tc>
        <w:tc>
          <w:tcPr>
            <w:tcW w:w="850" w:type="dxa"/>
            <w:shd w:val="clear" w:color="auto" w:fill="BDD6EE"/>
            <w:vAlign w:val="center"/>
          </w:tcPr>
          <w:p w14:paraId="473D84B6" w14:textId="77777777" w:rsidR="001634E3" w:rsidRPr="002B005F" w:rsidRDefault="001634E3" w:rsidP="001634E3">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Total</w:t>
            </w:r>
          </w:p>
        </w:tc>
        <w:tc>
          <w:tcPr>
            <w:tcW w:w="1134" w:type="dxa"/>
            <w:shd w:val="clear" w:color="auto" w:fill="B8CCE4"/>
            <w:vAlign w:val="center"/>
          </w:tcPr>
          <w:p w14:paraId="1E191B14" w14:textId="77777777" w:rsidR="001634E3" w:rsidRPr="002B005F" w:rsidRDefault="001634E3" w:rsidP="001634E3">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Total (%)</w:t>
            </w:r>
          </w:p>
        </w:tc>
      </w:tr>
      <w:tr w:rsidR="001634E3" w:rsidRPr="002B005F" w14:paraId="730E6C77" w14:textId="77777777" w:rsidTr="007C68EE">
        <w:trPr>
          <w:trHeight w:val="397"/>
          <w:jc w:val="center"/>
        </w:trPr>
        <w:tc>
          <w:tcPr>
            <w:tcW w:w="3288" w:type="dxa"/>
            <w:shd w:val="clear" w:color="auto" w:fill="auto"/>
            <w:vAlign w:val="center"/>
          </w:tcPr>
          <w:p w14:paraId="142D64DA" w14:textId="77777777" w:rsidR="001634E3" w:rsidRPr="002B005F" w:rsidRDefault="001634E3" w:rsidP="001634E3">
            <w:pPr>
              <w:tabs>
                <w:tab w:val="left" w:pos="0"/>
              </w:tabs>
              <w:spacing w:line="240" w:lineRule="auto"/>
              <w:ind w:left="57"/>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Manager-Audit</w:t>
            </w:r>
          </w:p>
        </w:tc>
        <w:tc>
          <w:tcPr>
            <w:tcW w:w="850" w:type="dxa"/>
            <w:shd w:val="clear" w:color="auto" w:fill="auto"/>
            <w:vAlign w:val="center"/>
          </w:tcPr>
          <w:p w14:paraId="2C82CAA6"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3</w:t>
            </w:r>
          </w:p>
        </w:tc>
        <w:tc>
          <w:tcPr>
            <w:tcW w:w="1247" w:type="dxa"/>
            <w:shd w:val="clear" w:color="auto" w:fill="auto"/>
            <w:vAlign w:val="center"/>
          </w:tcPr>
          <w:p w14:paraId="30A518C6" w14:textId="77777777" w:rsidR="001634E3" w:rsidRPr="002B005F" w:rsidRDefault="001634E3" w:rsidP="001634E3">
            <w:pPr>
              <w:tabs>
                <w:tab w:val="left" w:pos="0"/>
              </w:tabs>
              <w:spacing w:line="240" w:lineRule="auto"/>
              <w:jc w:val="center"/>
              <w:rPr>
                <w:rFonts w:ascii="Times New Roman" w:eastAsia="Calibri" w:hAnsi="Times New Roman" w:cs="Times New Roman"/>
                <w:sz w:val="24"/>
                <w:szCs w:val="24"/>
              </w:rPr>
            </w:pPr>
            <w:r w:rsidRPr="002B005F">
              <w:rPr>
                <w:rFonts w:ascii="Times New Roman" w:eastAsia="Times New Roman" w:hAnsi="Times New Roman" w:cs="Times New Roman"/>
                <w:sz w:val="24"/>
                <w:szCs w:val="24"/>
              </w:rPr>
              <w:t>2</w:t>
            </w:r>
          </w:p>
        </w:tc>
        <w:tc>
          <w:tcPr>
            <w:tcW w:w="850" w:type="dxa"/>
            <w:shd w:val="clear" w:color="auto" w:fill="auto"/>
            <w:vAlign w:val="center"/>
          </w:tcPr>
          <w:p w14:paraId="48B42EEF"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1</w:t>
            </w:r>
          </w:p>
        </w:tc>
        <w:tc>
          <w:tcPr>
            <w:tcW w:w="850" w:type="dxa"/>
          </w:tcPr>
          <w:p w14:paraId="437959D8" w14:textId="77777777" w:rsidR="001634E3" w:rsidRPr="002B005F" w:rsidRDefault="001634E3" w:rsidP="001634E3">
            <w:pPr>
              <w:tabs>
                <w:tab w:val="left" w:pos="-65"/>
              </w:tabs>
              <w:spacing w:line="240" w:lineRule="auto"/>
              <w:ind w:right="9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2</w:t>
            </w:r>
          </w:p>
        </w:tc>
        <w:tc>
          <w:tcPr>
            <w:tcW w:w="850" w:type="dxa"/>
            <w:vAlign w:val="center"/>
          </w:tcPr>
          <w:p w14:paraId="21789733" w14:textId="77777777" w:rsidR="001634E3" w:rsidRPr="002B005F" w:rsidRDefault="001634E3" w:rsidP="007C68EE">
            <w:pPr>
              <w:tabs>
                <w:tab w:val="left" w:pos="-65"/>
              </w:tabs>
              <w:spacing w:line="240" w:lineRule="auto"/>
              <w:ind w:right="284"/>
              <w:jc w:val="right"/>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8</w:t>
            </w:r>
          </w:p>
        </w:tc>
        <w:tc>
          <w:tcPr>
            <w:tcW w:w="1134" w:type="dxa"/>
            <w:shd w:val="clear" w:color="auto" w:fill="auto"/>
            <w:vAlign w:val="center"/>
          </w:tcPr>
          <w:p w14:paraId="2A4D504D" w14:textId="77777777" w:rsidR="001634E3" w:rsidRPr="002B005F" w:rsidRDefault="001634E3" w:rsidP="001634E3">
            <w:pPr>
              <w:tabs>
                <w:tab w:val="left" w:pos="-65"/>
              </w:tabs>
              <w:spacing w:line="240" w:lineRule="auto"/>
              <w:ind w:right="92"/>
              <w:jc w:val="center"/>
              <w:rPr>
                <w:rFonts w:ascii="Times New Roman" w:eastAsia="Arial" w:hAnsi="Times New Roman" w:cs="Times New Roman"/>
                <w:b/>
                <w:color w:val="FFFFFF"/>
                <w:w w:val="73"/>
                <w:sz w:val="24"/>
                <w:szCs w:val="24"/>
              </w:rPr>
            </w:pPr>
            <w:r w:rsidRPr="002B005F">
              <w:rPr>
                <w:rFonts w:ascii="Times New Roman" w:eastAsia="Times New Roman" w:hAnsi="Times New Roman" w:cs="Times New Roman"/>
                <w:b/>
                <w:bCs/>
                <w:sz w:val="24"/>
                <w:szCs w:val="24"/>
              </w:rPr>
              <w:t>10.13</w:t>
            </w:r>
          </w:p>
        </w:tc>
      </w:tr>
      <w:tr w:rsidR="001634E3" w:rsidRPr="002B005F" w14:paraId="1B992234" w14:textId="77777777" w:rsidTr="007C68EE">
        <w:trPr>
          <w:trHeight w:val="397"/>
          <w:jc w:val="center"/>
        </w:trPr>
        <w:tc>
          <w:tcPr>
            <w:tcW w:w="3288" w:type="dxa"/>
            <w:shd w:val="clear" w:color="auto" w:fill="auto"/>
            <w:vAlign w:val="center"/>
          </w:tcPr>
          <w:p w14:paraId="0B6410E9" w14:textId="77777777" w:rsidR="001634E3" w:rsidRPr="002B005F" w:rsidRDefault="001634E3" w:rsidP="001634E3">
            <w:pPr>
              <w:tabs>
                <w:tab w:val="left" w:pos="0"/>
              </w:tabs>
              <w:spacing w:line="240" w:lineRule="auto"/>
              <w:ind w:left="57"/>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Analyste</w:t>
            </w:r>
          </w:p>
        </w:tc>
        <w:tc>
          <w:tcPr>
            <w:tcW w:w="850" w:type="dxa"/>
            <w:shd w:val="clear" w:color="auto" w:fill="auto"/>
            <w:vAlign w:val="center"/>
          </w:tcPr>
          <w:p w14:paraId="18E981E7"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3</w:t>
            </w:r>
          </w:p>
        </w:tc>
        <w:tc>
          <w:tcPr>
            <w:tcW w:w="1247" w:type="dxa"/>
            <w:shd w:val="clear" w:color="auto" w:fill="auto"/>
            <w:vAlign w:val="center"/>
          </w:tcPr>
          <w:p w14:paraId="51294ACA"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2</w:t>
            </w:r>
          </w:p>
        </w:tc>
        <w:tc>
          <w:tcPr>
            <w:tcW w:w="850" w:type="dxa"/>
            <w:shd w:val="clear" w:color="auto" w:fill="auto"/>
            <w:vAlign w:val="center"/>
          </w:tcPr>
          <w:p w14:paraId="38271959"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2</w:t>
            </w:r>
          </w:p>
        </w:tc>
        <w:tc>
          <w:tcPr>
            <w:tcW w:w="850" w:type="dxa"/>
          </w:tcPr>
          <w:p w14:paraId="4F044FBC" w14:textId="77777777" w:rsidR="001634E3" w:rsidRPr="002B005F" w:rsidRDefault="001634E3" w:rsidP="001634E3">
            <w:pPr>
              <w:tabs>
                <w:tab w:val="left" w:pos="103"/>
              </w:tabs>
              <w:spacing w:line="240" w:lineRule="auto"/>
              <w:ind w:right="9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1</w:t>
            </w:r>
          </w:p>
        </w:tc>
        <w:tc>
          <w:tcPr>
            <w:tcW w:w="850" w:type="dxa"/>
            <w:vAlign w:val="center"/>
          </w:tcPr>
          <w:p w14:paraId="7373C86B" w14:textId="77777777" w:rsidR="001634E3" w:rsidRPr="002B005F" w:rsidRDefault="001634E3" w:rsidP="007C68EE">
            <w:pPr>
              <w:tabs>
                <w:tab w:val="left" w:pos="103"/>
              </w:tabs>
              <w:spacing w:line="240" w:lineRule="auto"/>
              <w:ind w:right="284"/>
              <w:jc w:val="right"/>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8</w:t>
            </w:r>
          </w:p>
        </w:tc>
        <w:tc>
          <w:tcPr>
            <w:tcW w:w="1134" w:type="dxa"/>
            <w:shd w:val="clear" w:color="auto" w:fill="auto"/>
            <w:vAlign w:val="center"/>
          </w:tcPr>
          <w:p w14:paraId="3BDCAB01" w14:textId="77777777" w:rsidR="001634E3" w:rsidRPr="002B005F" w:rsidRDefault="001634E3" w:rsidP="001634E3">
            <w:pPr>
              <w:tabs>
                <w:tab w:val="left" w:pos="103"/>
              </w:tabs>
              <w:spacing w:line="240" w:lineRule="auto"/>
              <w:ind w:right="9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10.13</w:t>
            </w:r>
          </w:p>
        </w:tc>
      </w:tr>
      <w:tr w:rsidR="001634E3" w:rsidRPr="002B005F" w14:paraId="6F432C0A" w14:textId="77777777" w:rsidTr="007C68EE">
        <w:trPr>
          <w:trHeight w:val="397"/>
          <w:jc w:val="center"/>
        </w:trPr>
        <w:tc>
          <w:tcPr>
            <w:tcW w:w="3288" w:type="dxa"/>
            <w:shd w:val="clear" w:color="auto" w:fill="auto"/>
            <w:vAlign w:val="center"/>
          </w:tcPr>
          <w:p w14:paraId="5CC1DA63" w14:textId="77777777" w:rsidR="001634E3" w:rsidRPr="002B005F" w:rsidRDefault="001634E3" w:rsidP="001634E3">
            <w:pPr>
              <w:tabs>
                <w:tab w:val="left" w:pos="0"/>
              </w:tabs>
              <w:spacing w:line="240" w:lineRule="auto"/>
              <w:ind w:left="57"/>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DG</w:t>
            </w:r>
          </w:p>
        </w:tc>
        <w:tc>
          <w:tcPr>
            <w:tcW w:w="850" w:type="dxa"/>
            <w:shd w:val="clear" w:color="auto" w:fill="auto"/>
            <w:vAlign w:val="center"/>
          </w:tcPr>
          <w:p w14:paraId="13E3FC55"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4</w:t>
            </w:r>
          </w:p>
        </w:tc>
        <w:tc>
          <w:tcPr>
            <w:tcW w:w="1247" w:type="dxa"/>
            <w:shd w:val="clear" w:color="auto" w:fill="auto"/>
            <w:vAlign w:val="center"/>
          </w:tcPr>
          <w:p w14:paraId="2C53FFBA"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3</w:t>
            </w:r>
          </w:p>
        </w:tc>
        <w:tc>
          <w:tcPr>
            <w:tcW w:w="850" w:type="dxa"/>
            <w:shd w:val="clear" w:color="auto" w:fill="auto"/>
            <w:vAlign w:val="center"/>
          </w:tcPr>
          <w:p w14:paraId="2D865AEA"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1</w:t>
            </w:r>
          </w:p>
        </w:tc>
        <w:tc>
          <w:tcPr>
            <w:tcW w:w="850" w:type="dxa"/>
          </w:tcPr>
          <w:p w14:paraId="165A7C68" w14:textId="77777777" w:rsidR="001634E3" w:rsidRPr="002B005F" w:rsidRDefault="001634E3" w:rsidP="001634E3">
            <w:pPr>
              <w:tabs>
                <w:tab w:val="left" w:pos="0"/>
              </w:tabs>
              <w:spacing w:line="240" w:lineRule="auto"/>
              <w:ind w:right="9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2</w:t>
            </w:r>
          </w:p>
        </w:tc>
        <w:tc>
          <w:tcPr>
            <w:tcW w:w="850" w:type="dxa"/>
            <w:vAlign w:val="center"/>
          </w:tcPr>
          <w:p w14:paraId="28635A81" w14:textId="77777777" w:rsidR="001634E3" w:rsidRPr="002B005F" w:rsidRDefault="001634E3" w:rsidP="007C68EE">
            <w:pPr>
              <w:tabs>
                <w:tab w:val="left" w:pos="0"/>
              </w:tabs>
              <w:spacing w:line="240" w:lineRule="auto"/>
              <w:ind w:right="284"/>
              <w:jc w:val="right"/>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10</w:t>
            </w:r>
          </w:p>
        </w:tc>
        <w:tc>
          <w:tcPr>
            <w:tcW w:w="1134" w:type="dxa"/>
            <w:shd w:val="clear" w:color="auto" w:fill="auto"/>
            <w:vAlign w:val="center"/>
          </w:tcPr>
          <w:p w14:paraId="0693CD99" w14:textId="77777777" w:rsidR="001634E3" w:rsidRPr="002B005F" w:rsidRDefault="001634E3" w:rsidP="001634E3">
            <w:pPr>
              <w:tabs>
                <w:tab w:val="left" w:pos="0"/>
              </w:tabs>
              <w:spacing w:line="240" w:lineRule="auto"/>
              <w:ind w:right="92"/>
              <w:jc w:val="center"/>
              <w:rPr>
                <w:rFonts w:ascii="Times New Roman" w:eastAsia="Arial" w:hAnsi="Times New Roman" w:cs="Times New Roman"/>
                <w:b/>
                <w:bCs/>
                <w:color w:val="FFFFFF"/>
                <w:w w:val="73"/>
                <w:sz w:val="24"/>
                <w:szCs w:val="24"/>
              </w:rPr>
            </w:pPr>
            <w:r w:rsidRPr="002B005F">
              <w:rPr>
                <w:rFonts w:ascii="Times New Roman" w:eastAsia="Times New Roman" w:hAnsi="Times New Roman" w:cs="Times New Roman"/>
                <w:b/>
                <w:bCs/>
                <w:sz w:val="24"/>
                <w:szCs w:val="24"/>
              </w:rPr>
              <w:t>12.66</w:t>
            </w:r>
          </w:p>
        </w:tc>
      </w:tr>
      <w:tr w:rsidR="001634E3" w:rsidRPr="002B005F" w14:paraId="7B19028D" w14:textId="77777777" w:rsidTr="007C68EE">
        <w:trPr>
          <w:trHeight w:val="397"/>
          <w:jc w:val="center"/>
        </w:trPr>
        <w:tc>
          <w:tcPr>
            <w:tcW w:w="3288" w:type="dxa"/>
            <w:shd w:val="clear" w:color="auto" w:fill="auto"/>
            <w:vAlign w:val="center"/>
          </w:tcPr>
          <w:p w14:paraId="7EFD6414" w14:textId="77777777" w:rsidR="001634E3" w:rsidRPr="002B005F" w:rsidRDefault="001634E3" w:rsidP="001634E3">
            <w:pPr>
              <w:tabs>
                <w:tab w:val="left" w:pos="0"/>
              </w:tabs>
              <w:spacing w:line="240" w:lineRule="auto"/>
              <w:ind w:left="57"/>
              <w:jc w:val="left"/>
              <w:rPr>
                <w:rFonts w:ascii="Times New Roman" w:eastAsia="Calibri" w:hAnsi="Times New Roman" w:cs="Times New Roman"/>
                <w:b/>
                <w:bCs/>
                <w:w w:val="70"/>
                <w:sz w:val="24"/>
                <w:szCs w:val="24"/>
              </w:rPr>
            </w:pPr>
            <w:r w:rsidRPr="002B005F">
              <w:rPr>
                <w:rFonts w:ascii="Times New Roman" w:eastAsia="Arial" w:hAnsi="Times New Roman" w:cs="Times New Roman"/>
                <w:b/>
                <w:bCs/>
                <w:sz w:val="24"/>
                <w:szCs w:val="24"/>
              </w:rPr>
              <w:t>DF</w:t>
            </w:r>
          </w:p>
        </w:tc>
        <w:tc>
          <w:tcPr>
            <w:tcW w:w="850" w:type="dxa"/>
            <w:shd w:val="clear" w:color="auto" w:fill="auto"/>
            <w:vAlign w:val="center"/>
          </w:tcPr>
          <w:p w14:paraId="59F55B8F"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2</w:t>
            </w:r>
          </w:p>
        </w:tc>
        <w:tc>
          <w:tcPr>
            <w:tcW w:w="1247" w:type="dxa"/>
            <w:shd w:val="clear" w:color="auto" w:fill="auto"/>
            <w:vAlign w:val="center"/>
          </w:tcPr>
          <w:p w14:paraId="34C66660"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1</w:t>
            </w:r>
          </w:p>
        </w:tc>
        <w:tc>
          <w:tcPr>
            <w:tcW w:w="850" w:type="dxa"/>
            <w:shd w:val="clear" w:color="auto" w:fill="auto"/>
            <w:vAlign w:val="center"/>
          </w:tcPr>
          <w:p w14:paraId="3A523A28" w14:textId="77777777" w:rsidR="001634E3" w:rsidRPr="002B005F" w:rsidRDefault="001634E3" w:rsidP="001634E3">
            <w:pPr>
              <w:tabs>
                <w:tab w:val="left" w:pos="0"/>
              </w:tabs>
              <w:spacing w:line="240" w:lineRule="auto"/>
              <w:jc w:val="center"/>
              <w:rPr>
                <w:rFonts w:ascii="Times New Roman" w:eastAsia="Arial" w:hAnsi="Times New Roman" w:cs="Times New Roman"/>
                <w:b/>
                <w:bCs/>
                <w:w w:val="71"/>
                <w:sz w:val="24"/>
                <w:szCs w:val="24"/>
              </w:rPr>
            </w:pPr>
            <w:r w:rsidRPr="002B005F">
              <w:rPr>
                <w:rFonts w:ascii="Times New Roman" w:eastAsia="Times New Roman" w:hAnsi="Times New Roman" w:cs="Times New Roman"/>
                <w:b/>
                <w:bCs/>
                <w:sz w:val="24"/>
                <w:szCs w:val="24"/>
              </w:rPr>
              <w:t>/</w:t>
            </w:r>
          </w:p>
        </w:tc>
        <w:tc>
          <w:tcPr>
            <w:tcW w:w="850" w:type="dxa"/>
          </w:tcPr>
          <w:p w14:paraId="7F8DDCBB" w14:textId="77777777" w:rsidR="001634E3" w:rsidRPr="002B005F" w:rsidRDefault="001634E3" w:rsidP="001634E3">
            <w:pPr>
              <w:tabs>
                <w:tab w:val="left" w:pos="0"/>
              </w:tabs>
              <w:spacing w:line="240" w:lineRule="auto"/>
              <w:ind w:right="9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2</w:t>
            </w:r>
          </w:p>
        </w:tc>
        <w:tc>
          <w:tcPr>
            <w:tcW w:w="850" w:type="dxa"/>
            <w:vAlign w:val="center"/>
          </w:tcPr>
          <w:p w14:paraId="0059E7BA" w14:textId="77777777" w:rsidR="001634E3" w:rsidRPr="002B005F" w:rsidRDefault="001634E3" w:rsidP="007C68EE">
            <w:pPr>
              <w:tabs>
                <w:tab w:val="left" w:pos="0"/>
              </w:tabs>
              <w:spacing w:line="240" w:lineRule="auto"/>
              <w:ind w:right="284"/>
              <w:jc w:val="right"/>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5</w:t>
            </w:r>
          </w:p>
        </w:tc>
        <w:tc>
          <w:tcPr>
            <w:tcW w:w="1134" w:type="dxa"/>
            <w:shd w:val="clear" w:color="auto" w:fill="auto"/>
            <w:vAlign w:val="center"/>
          </w:tcPr>
          <w:p w14:paraId="141B6C5E" w14:textId="77777777" w:rsidR="001634E3" w:rsidRPr="002B005F" w:rsidRDefault="001634E3" w:rsidP="001634E3">
            <w:pPr>
              <w:tabs>
                <w:tab w:val="left" w:pos="0"/>
              </w:tabs>
              <w:spacing w:line="240" w:lineRule="auto"/>
              <w:ind w:right="92"/>
              <w:jc w:val="center"/>
              <w:rPr>
                <w:rFonts w:ascii="Times New Roman" w:eastAsia="Arial" w:hAnsi="Times New Roman" w:cs="Times New Roman"/>
                <w:b/>
                <w:color w:val="FFFFFF"/>
                <w:w w:val="73"/>
                <w:sz w:val="24"/>
                <w:szCs w:val="24"/>
              </w:rPr>
            </w:pPr>
            <w:r w:rsidRPr="002B005F">
              <w:rPr>
                <w:rFonts w:ascii="Times New Roman" w:eastAsia="Times New Roman" w:hAnsi="Times New Roman" w:cs="Times New Roman"/>
                <w:b/>
                <w:bCs/>
                <w:sz w:val="24"/>
                <w:szCs w:val="24"/>
              </w:rPr>
              <w:t>06.33</w:t>
            </w:r>
          </w:p>
        </w:tc>
      </w:tr>
      <w:tr w:rsidR="001634E3" w:rsidRPr="002B005F" w14:paraId="5E54C6A8" w14:textId="77777777" w:rsidTr="007C68EE">
        <w:trPr>
          <w:trHeight w:val="397"/>
          <w:jc w:val="center"/>
        </w:trPr>
        <w:tc>
          <w:tcPr>
            <w:tcW w:w="3288" w:type="dxa"/>
            <w:shd w:val="clear" w:color="auto" w:fill="auto"/>
            <w:vAlign w:val="center"/>
          </w:tcPr>
          <w:p w14:paraId="0983D078" w14:textId="77777777" w:rsidR="001634E3" w:rsidRPr="002B005F" w:rsidRDefault="001634E3" w:rsidP="001634E3">
            <w:pPr>
              <w:tabs>
                <w:tab w:val="left" w:pos="0"/>
              </w:tabs>
              <w:spacing w:line="240" w:lineRule="auto"/>
              <w:ind w:left="57"/>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Consultant</w:t>
            </w:r>
          </w:p>
        </w:tc>
        <w:tc>
          <w:tcPr>
            <w:tcW w:w="850" w:type="dxa"/>
            <w:shd w:val="clear" w:color="auto" w:fill="auto"/>
            <w:vAlign w:val="center"/>
          </w:tcPr>
          <w:p w14:paraId="20E15134"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1</w:t>
            </w:r>
          </w:p>
        </w:tc>
        <w:tc>
          <w:tcPr>
            <w:tcW w:w="1247" w:type="dxa"/>
            <w:shd w:val="clear" w:color="auto" w:fill="auto"/>
            <w:vAlign w:val="center"/>
          </w:tcPr>
          <w:p w14:paraId="7EF507E9"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w:t>
            </w:r>
          </w:p>
        </w:tc>
        <w:tc>
          <w:tcPr>
            <w:tcW w:w="850" w:type="dxa"/>
            <w:shd w:val="clear" w:color="auto" w:fill="auto"/>
            <w:vAlign w:val="center"/>
          </w:tcPr>
          <w:p w14:paraId="193D758D"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w:t>
            </w:r>
          </w:p>
        </w:tc>
        <w:tc>
          <w:tcPr>
            <w:tcW w:w="850" w:type="dxa"/>
          </w:tcPr>
          <w:p w14:paraId="65D35818" w14:textId="77777777" w:rsidR="001634E3" w:rsidRPr="002B005F" w:rsidRDefault="001634E3" w:rsidP="001634E3">
            <w:pPr>
              <w:tabs>
                <w:tab w:val="left" w:pos="0"/>
              </w:tabs>
              <w:spacing w:line="240" w:lineRule="auto"/>
              <w:ind w:right="9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1</w:t>
            </w:r>
          </w:p>
        </w:tc>
        <w:tc>
          <w:tcPr>
            <w:tcW w:w="850" w:type="dxa"/>
            <w:vAlign w:val="center"/>
          </w:tcPr>
          <w:p w14:paraId="77E7818F" w14:textId="77777777" w:rsidR="001634E3" w:rsidRPr="002B005F" w:rsidRDefault="001634E3" w:rsidP="007C68EE">
            <w:pPr>
              <w:tabs>
                <w:tab w:val="left" w:pos="0"/>
              </w:tabs>
              <w:spacing w:line="240" w:lineRule="auto"/>
              <w:ind w:right="284"/>
              <w:jc w:val="right"/>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2</w:t>
            </w:r>
          </w:p>
        </w:tc>
        <w:tc>
          <w:tcPr>
            <w:tcW w:w="1134" w:type="dxa"/>
            <w:shd w:val="clear" w:color="auto" w:fill="auto"/>
            <w:vAlign w:val="center"/>
          </w:tcPr>
          <w:p w14:paraId="076239EC" w14:textId="77777777" w:rsidR="001634E3" w:rsidRPr="002B005F" w:rsidRDefault="001634E3" w:rsidP="001634E3">
            <w:pPr>
              <w:tabs>
                <w:tab w:val="left" w:pos="0"/>
              </w:tabs>
              <w:spacing w:line="240" w:lineRule="auto"/>
              <w:ind w:right="92"/>
              <w:jc w:val="center"/>
              <w:rPr>
                <w:rFonts w:ascii="Times New Roman" w:eastAsia="Arial" w:hAnsi="Times New Roman" w:cs="Times New Roman"/>
                <w:b/>
                <w:color w:val="FFFFFF"/>
                <w:w w:val="73"/>
                <w:sz w:val="24"/>
                <w:szCs w:val="24"/>
              </w:rPr>
            </w:pPr>
            <w:r w:rsidRPr="002B005F">
              <w:rPr>
                <w:rFonts w:ascii="Times New Roman" w:eastAsia="Times New Roman" w:hAnsi="Times New Roman" w:cs="Times New Roman"/>
                <w:b/>
                <w:bCs/>
                <w:sz w:val="24"/>
                <w:szCs w:val="24"/>
              </w:rPr>
              <w:t>02.53</w:t>
            </w:r>
          </w:p>
        </w:tc>
      </w:tr>
      <w:tr w:rsidR="001634E3" w:rsidRPr="002B005F" w14:paraId="0A76E756" w14:textId="77777777" w:rsidTr="007C68EE">
        <w:trPr>
          <w:trHeight w:val="397"/>
          <w:jc w:val="center"/>
        </w:trPr>
        <w:tc>
          <w:tcPr>
            <w:tcW w:w="3288" w:type="dxa"/>
            <w:shd w:val="clear" w:color="auto" w:fill="auto"/>
            <w:vAlign w:val="center"/>
          </w:tcPr>
          <w:p w14:paraId="75561683" w14:textId="77777777" w:rsidR="001634E3" w:rsidRPr="002B005F" w:rsidRDefault="001634E3" w:rsidP="001634E3">
            <w:pPr>
              <w:tabs>
                <w:tab w:val="left" w:pos="0"/>
              </w:tabs>
              <w:spacing w:line="240" w:lineRule="auto"/>
              <w:ind w:left="57"/>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Directeur-risque</w:t>
            </w:r>
          </w:p>
        </w:tc>
        <w:tc>
          <w:tcPr>
            <w:tcW w:w="850" w:type="dxa"/>
            <w:shd w:val="clear" w:color="auto" w:fill="auto"/>
            <w:vAlign w:val="center"/>
          </w:tcPr>
          <w:p w14:paraId="02AA869F"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4</w:t>
            </w:r>
          </w:p>
        </w:tc>
        <w:tc>
          <w:tcPr>
            <w:tcW w:w="1247" w:type="dxa"/>
            <w:shd w:val="clear" w:color="auto" w:fill="auto"/>
            <w:vAlign w:val="center"/>
          </w:tcPr>
          <w:p w14:paraId="62FB2BF2"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5</w:t>
            </w:r>
          </w:p>
        </w:tc>
        <w:tc>
          <w:tcPr>
            <w:tcW w:w="850" w:type="dxa"/>
            <w:shd w:val="clear" w:color="auto" w:fill="auto"/>
            <w:vAlign w:val="center"/>
          </w:tcPr>
          <w:p w14:paraId="58D1C6DF"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1</w:t>
            </w:r>
          </w:p>
        </w:tc>
        <w:tc>
          <w:tcPr>
            <w:tcW w:w="850" w:type="dxa"/>
          </w:tcPr>
          <w:p w14:paraId="02C72F55" w14:textId="77777777" w:rsidR="001634E3" w:rsidRPr="002B005F" w:rsidRDefault="001634E3" w:rsidP="001634E3">
            <w:pPr>
              <w:tabs>
                <w:tab w:val="left" w:pos="0"/>
              </w:tabs>
              <w:spacing w:line="240" w:lineRule="auto"/>
              <w:ind w:right="9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1</w:t>
            </w:r>
          </w:p>
        </w:tc>
        <w:tc>
          <w:tcPr>
            <w:tcW w:w="850" w:type="dxa"/>
            <w:vAlign w:val="center"/>
          </w:tcPr>
          <w:p w14:paraId="2E6F8CF2" w14:textId="77777777" w:rsidR="001634E3" w:rsidRPr="002B005F" w:rsidRDefault="001634E3" w:rsidP="007C68EE">
            <w:pPr>
              <w:tabs>
                <w:tab w:val="left" w:pos="0"/>
              </w:tabs>
              <w:spacing w:line="240" w:lineRule="auto"/>
              <w:ind w:right="284"/>
              <w:jc w:val="right"/>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11</w:t>
            </w:r>
          </w:p>
        </w:tc>
        <w:tc>
          <w:tcPr>
            <w:tcW w:w="1134" w:type="dxa"/>
            <w:shd w:val="clear" w:color="auto" w:fill="auto"/>
            <w:vAlign w:val="center"/>
          </w:tcPr>
          <w:p w14:paraId="087EFB2F" w14:textId="77777777" w:rsidR="001634E3" w:rsidRPr="002B005F" w:rsidRDefault="001634E3" w:rsidP="001634E3">
            <w:pPr>
              <w:tabs>
                <w:tab w:val="left" w:pos="0"/>
              </w:tabs>
              <w:spacing w:line="240" w:lineRule="auto"/>
              <w:ind w:right="92"/>
              <w:jc w:val="center"/>
              <w:rPr>
                <w:rFonts w:ascii="Times New Roman" w:eastAsia="Arial" w:hAnsi="Times New Roman" w:cs="Times New Roman"/>
                <w:b/>
                <w:color w:val="FFFFFF"/>
                <w:w w:val="73"/>
                <w:sz w:val="24"/>
                <w:szCs w:val="24"/>
              </w:rPr>
            </w:pPr>
            <w:r w:rsidRPr="002B005F">
              <w:rPr>
                <w:rFonts w:ascii="Times New Roman" w:eastAsia="Times New Roman" w:hAnsi="Times New Roman" w:cs="Times New Roman"/>
                <w:b/>
                <w:bCs/>
                <w:sz w:val="24"/>
                <w:szCs w:val="24"/>
              </w:rPr>
              <w:t>13.92</w:t>
            </w:r>
          </w:p>
        </w:tc>
      </w:tr>
      <w:tr w:rsidR="001634E3" w:rsidRPr="002B005F" w14:paraId="1E2BA0E2" w14:textId="77777777" w:rsidTr="007C68EE">
        <w:trPr>
          <w:trHeight w:val="397"/>
          <w:jc w:val="center"/>
        </w:trPr>
        <w:tc>
          <w:tcPr>
            <w:tcW w:w="3288" w:type="dxa"/>
            <w:shd w:val="clear" w:color="auto" w:fill="auto"/>
            <w:vAlign w:val="center"/>
          </w:tcPr>
          <w:p w14:paraId="0E9576A2" w14:textId="77777777" w:rsidR="001634E3" w:rsidRPr="002B005F" w:rsidRDefault="001634E3" w:rsidP="001634E3">
            <w:pPr>
              <w:tabs>
                <w:tab w:val="left" w:pos="0"/>
              </w:tabs>
              <w:spacing w:line="240" w:lineRule="auto"/>
              <w:ind w:left="57"/>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Directeur des opérations d’investissement</w:t>
            </w:r>
          </w:p>
        </w:tc>
        <w:tc>
          <w:tcPr>
            <w:tcW w:w="850" w:type="dxa"/>
            <w:shd w:val="clear" w:color="auto" w:fill="auto"/>
            <w:vAlign w:val="center"/>
          </w:tcPr>
          <w:p w14:paraId="16F4D4A9"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1</w:t>
            </w:r>
          </w:p>
        </w:tc>
        <w:tc>
          <w:tcPr>
            <w:tcW w:w="1247" w:type="dxa"/>
            <w:shd w:val="clear" w:color="auto" w:fill="auto"/>
            <w:vAlign w:val="center"/>
          </w:tcPr>
          <w:p w14:paraId="498F0686"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2</w:t>
            </w:r>
          </w:p>
        </w:tc>
        <w:tc>
          <w:tcPr>
            <w:tcW w:w="850" w:type="dxa"/>
            <w:shd w:val="clear" w:color="auto" w:fill="auto"/>
            <w:vAlign w:val="center"/>
          </w:tcPr>
          <w:p w14:paraId="0EFA2630"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w:t>
            </w:r>
          </w:p>
        </w:tc>
        <w:tc>
          <w:tcPr>
            <w:tcW w:w="850" w:type="dxa"/>
            <w:vAlign w:val="center"/>
          </w:tcPr>
          <w:p w14:paraId="2D97BB4F" w14:textId="77777777" w:rsidR="001634E3" w:rsidRPr="002B005F" w:rsidRDefault="001634E3" w:rsidP="007C68EE">
            <w:pPr>
              <w:tabs>
                <w:tab w:val="left" w:pos="0"/>
              </w:tabs>
              <w:spacing w:line="240" w:lineRule="auto"/>
              <w:ind w:right="9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w:t>
            </w:r>
          </w:p>
        </w:tc>
        <w:tc>
          <w:tcPr>
            <w:tcW w:w="850" w:type="dxa"/>
            <w:vAlign w:val="center"/>
          </w:tcPr>
          <w:p w14:paraId="30F97E32" w14:textId="77777777" w:rsidR="001634E3" w:rsidRPr="002B005F" w:rsidRDefault="001634E3" w:rsidP="007C68EE">
            <w:pPr>
              <w:tabs>
                <w:tab w:val="left" w:pos="0"/>
              </w:tabs>
              <w:spacing w:line="240" w:lineRule="auto"/>
              <w:ind w:right="284"/>
              <w:jc w:val="right"/>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3</w:t>
            </w:r>
          </w:p>
        </w:tc>
        <w:tc>
          <w:tcPr>
            <w:tcW w:w="1134" w:type="dxa"/>
            <w:shd w:val="clear" w:color="auto" w:fill="auto"/>
            <w:vAlign w:val="center"/>
          </w:tcPr>
          <w:p w14:paraId="6E6B1C5A" w14:textId="77777777" w:rsidR="001634E3" w:rsidRPr="002B005F" w:rsidRDefault="001634E3" w:rsidP="001634E3">
            <w:pPr>
              <w:tabs>
                <w:tab w:val="left" w:pos="0"/>
              </w:tabs>
              <w:spacing w:line="240" w:lineRule="auto"/>
              <w:ind w:right="92"/>
              <w:jc w:val="center"/>
              <w:rPr>
                <w:rFonts w:ascii="Times New Roman" w:eastAsia="Arial" w:hAnsi="Times New Roman" w:cs="Times New Roman"/>
                <w:b/>
                <w:color w:val="FFFFFF"/>
                <w:w w:val="73"/>
                <w:sz w:val="24"/>
                <w:szCs w:val="24"/>
              </w:rPr>
            </w:pPr>
            <w:r w:rsidRPr="002B005F">
              <w:rPr>
                <w:rFonts w:ascii="Times New Roman" w:eastAsia="Times New Roman" w:hAnsi="Times New Roman" w:cs="Times New Roman"/>
                <w:b/>
                <w:bCs/>
                <w:sz w:val="24"/>
                <w:szCs w:val="24"/>
              </w:rPr>
              <w:t>03.80</w:t>
            </w:r>
          </w:p>
        </w:tc>
      </w:tr>
      <w:tr w:rsidR="001634E3" w:rsidRPr="002B005F" w14:paraId="212400B5" w14:textId="77777777" w:rsidTr="007C68EE">
        <w:trPr>
          <w:trHeight w:val="397"/>
          <w:jc w:val="center"/>
        </w:trPr>
        <w:tc>
          <w:tcPr>
            <w:tcW w:w="3288" w:type="dxa"/>
            <w:shd w:val="clear" w:color="auto" w:fill="auto"/>
            <w:vAlign w:val="center"/>
          </w:tcPr>
          <w:p w14:paraId="0AC7BF11" w14:textId="77777777" w:rsidR="001634E3" w:rsidRPr="002B005F" w:rsidRDefault="001634E3" w:rsidP="001634E3">
            <w:pPr>
              <w:tabs>
                <w:tab w:val="left" w:pos="0"/>
              </w:tabs>
              <w:spacing w:line="240" w:lineRule="auto"/>
              <w:ind w:left="57"/>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Responsable de la gestion des risques</w:t>
            </w:r>
          </w:p>
        </w:tc>
        <w:tc>
          <w:tcPr>
            <w:tcW w:w="850" w:type="dxa"/>
            <w:shd w:val="clear" w:color="auto" w:fill="auto"/>
            <w:vAlign w:val="center"/>
          </w:tcPr>
          <w:p w14:paraId="2BF9B529"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5</w:t>
            </w:r>
          </w:p>
        </w:tc>
        <w:tc>
          <w:tcPr>
            <w:tcW w:w="1247" w:type="dxa"/>
            <w:shd w:val="clear" w:color="auto" w:fill="auto"/>
            <w:vAlign w:val="center"/>
          </w:tcPr>
          <w:p w14:paraId="25A7B266"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6</w:t>
            </w:r>
          </w:p>
        </w:tc>
        <w:tc>
          <w:tcPr>
            <w:tcW w:w="850" w:type="dxa"/>
            <w:shd w:val="clear" w:color="auto" w:fill="auto"/>
            <w:vAlign w:val="center"/>
          </w:tcPr>
          <w:p w14:paraId="2D73B7FD"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1</w:t>
            </w:r>
          </w:p>
        </w:tc>
        <w:tc>
          <w:tcPr>
            <w:tcW w:w="850" w:type="dxa"/>
            <w:vAlign w:val="center"/>
          </w:tcPr>
          <w:p w14:paraId="4B6642F2" w14:textId="77777777" w:rsidR="001634E3" w:rsidRPr="002B005F" w:rsidRDefault="001634E3" w:rsidP="007C68EE">
            <w:pPr>
              <w:tabs>
                <w:tab w:val="left" w:pos="0"/>
              </w:tabs>
              <w:spacing w:line="240" w:lineRule="auto"/>
              <w:ind w:right="9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2</w:t>
            </w:r>
          </w:p>
        </w:tc>
        <w:tc>
          <w:tcPr>
            <w:tcW w:w="850" w:type="dxa"/>
            <w:vAlign w:val="center"/>
          </w:tcPr>
          <w:p w14:paraId="2D23162E" w14:textId="77777777" w:rsidR="001634E3" w:rsidRPr="002B005F" w:rsidRDefault="001634E3" w:rsidP="007C68EE">
            <w:pPr>
              <w:tabs>
                <w:tab w:val="left" w:pos="0"/>
              </w:tabs>
              <w:spacing w:line="240" w:lineRule="auto"/>
              <w:ind w:right="284"/>
              <w:jc w:val="right"/>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14</w:t>
            </w:r>
          </w:p>
        </w:tc>
        <w:tc>
          <w:tcPr>
            <w:tcW w:w="1134" w:type="dxa"/>
            <w:shd w:val="clear" w:color="auto" w:fill="auto"/>
            <w:vAlign w:val="center"/>
          </w:tcPr>
          <w:p w14:paraId="3616BB80" w14:textId="77777777" w:rsidR="001634E3" w:rsidRPr="002B005F" w:rsidRDefault="001634E3" w:rsidP="001634E3">
            <w:pPr>
              <w:tabs>
                <w:tab w:val="left" w:pos="0"/>
              </w:tabs>
              <w:spacing w:line="240" w:lineRule="auto"/>
              <w:ind w:right="92"/>
              <w:jc w:val="center"/>
              <w:rPr>
                <w:rFonts w:ascii="Times New Roman" w:eastAsia="Arial" w:hAnsi="Times New Roman" w:cs="Times New Roman"/>
                <w:b/>
                <w:color w:val="FFFFFF"/>
                <w:w w:val="73"/>
                <w:sz w:val="24"/>
                <w:szCs w:val="24"/>
              </w:rPr>
            </w:pPr>
            <w:r w:rsidRPr="002B005F">
              <w:rPr>
                <w:rFonts w:ascii="Times New Roman" w:eastAsia="Times New Roman" w:hAnsi="Times New Roman" w:cs="Times New Roman"/>
                <w:b/>
                <w:bCs/>
                <w:sz w:val="24"/>
                <w:szCs w:val="24"/>
              </w:rPr>
              <w:t>17.72</w:t>
            </w:r>
          </w:p>
        </w:tc>
      </w:tr>
      <w:tr w:rsidR="001634E3" w:rsidRPr="002B005F" w14:paraId="21634C0D" w14:textId="77777777" w:rsidTr="007C68EE">
        <w:trPr>
          <w:trHeight w:val="397"/>
          <w:jc w:val="center"/>
        </w:trPr>
        <w:tc>
          <w:tcPr>
            <w:tcW w:w="3288" w:type="dxa"/>
            <w:shd w:val="clear" w:color="auto" w:fill="auto"/>
            <w:vAlign w:val="center"/>
          </w:tcPr>
          <w:p w14:paraId="7D3BE61C" w14:textId="77777777" w:rsidR="001634E3" w:rsidRPr="002B005F" w:rsidRDefault="001634E3" w:rsidP="001634E3">
            <w:pPr>
              <w:tabs>
                <w:tab w:val="left" w:pos="0"/>
              </w:tabs>
              <w:spacing w:line="240" w:lineRule="auto"/>
              <w:ind w:left="57"/>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Manager de risque</w:t>
            </w:r>
          </w:p>
        </w:tc>
        <w:tc>
          <w:tcPr>
            <w:tcW w:w="850" w:type="dxa"/>
            <w:shd w:val="clear" w:color="auto" w:fill="auto"/>
            <w:vAlign w:val="center"/>
          </w:tcPr>
          <w:p w14:paraId="7DF7AF83"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6</w:t>
            </w:r>
          </w:p>
        </w:tc>
        <w:tc>
          <w:tcPr>
            <w:tcW w:w="1247" w:type="dxa"/>
            <w:shd w:val="clear" w:color="auto" w:fill="auto"/>
            <w:vAlign w:val="center"/>
          </w:tcPr>
          <w:p w14:paraId="221531CC"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6</w:t>
            </w:r>
          </w:p>
        </w:tc>
        <w:tc>
          <w:tcPr>
            <w:tcW w:w="850" w:type="dxa"/>
            <w:shd w:val="clear" w:color="auto" w:fill="auto"/>
            <w:vAlign w:val="center"/>
          </w:tcPr>
          <w:p w14:paraId="222426AB"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1</w:t>
            </w:r>
          </w:p>
        </w:tc>
        <w:tc>
          <w:tcPr>
            <w:tcW w:w="850" w:type="dxa"/>
          </w:tcPr>
          <w:p w14:paraId="5FEC3381" w14:textId="77777777" w:rsidR="001634E3" w:rsidRPr="002B005F" w:rsidRDefault="001634E3" w:rsidP="001634E3">
            <w:pPr>
              <w:tabs>
                <w:tab w:val="left" w:pos="0"/>
              </w:tabs>
              <w:spacing w:line="240" w:lineRule="auto"/>
              <w:ind w:right="11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2</w:t>
            </w:r>
          </w:p>
        </w:tc>
        <w:tc>
          <w:tcPr>
            <w:tcW w:w="850" w:type="dxa"/>
            <w:vAlign w:val="center"/>
          </w:tcPr>
          <w:p w14:paraId="0380BD59" w14:textId="77777777" w:rsidR="001634E3" w:rsidRPr="002B005F" w:rsidRDefault="001634E3" w:rsidP="007C68EE">
            <w:pPr>
              <w:tabs>
                <w:tab w:val="left" w:pos="0"/>
              </w:tabs>
              <w:spacing w:line="240" w:lineRule="auto"/>
              <w:ind w:right="284"/>
              <w:jc w:val="right"/>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15</w:t>
            </w:r>
          </w:p>
        </w:tc>
        <w:tc>
          <w:tcPr>
            <w:tcW w:w="1134" w:type="dxa"/>
            <w:shd w:val="clear" w:color="auto" w:fill="auto"/>
            <w:vAlign w:val="center"/>
          </w:tcPr>
          <w:p w14:paraId="7CECBEDE" w14:textId="77777777" w:rsidR="001634E3" w:rsidRPr="002B005F" w:rsidRDefault="001634E3" w:rsidP="001634E3">
            <w:pPr>
              <w:tabs>
                <w:tab w:val="left" w:pos="0"/>
              </w:tabs>
              <w:spacing w:line="240" w:lineRule="auto"/>
              <w:ind w:right="112"/>
              <w:jc w:val="center"/>
              <w:rPr>
                <w:rFonts w:ascii="Times New Roman" w:eastAsia="Arial" w:hAnsi="Times New Roman" w:cs="Times New Roman"/>
                <w:b/>
                <w:color w:val="FFFFFF"/>
                <w:w w:val="70"/>
                <w:sz w:val="24"/>
                <w:szCs w:val="24"/>
              </w:rPr>
            </w:pPr>
            <w:r w:rsidRPr="002B005F">
              <w:rPr>
                <w:rFonts w:ascii="Times New Roman" w:eastAsia="Times New Roman" w:hAnsi="Times New Roman" w:cs="Times New Roman"/>
                <w:b/>
                <w:bCs/>
                <w:sz w:val="24"/>
                <w:szCs w:val="24"/>
              </w:rPr>
              <w:t>18.99</w:t>
            </w:r>
          </w:p>
        </w:tc>
      </w:tr>
      <w:tr w:rsidR="001634E3" w:rsidRPr="002B005F" w14:paraId="705FC0EA" w14:textId="77777777" w:rsidTr="007C68EE">
        <w:trPr>
          <w:trHeight w:val="397"/>
          <w:jc w:val="center"/>
        </w:trPr>
        <w:tc>
          <w:tcPr>
            <w:tcW w:w="3288" w:type="dxa"/>
            <w:shd w:val="clear" w:color="auto" w:fill="auto"/>
            <w:vAlign w:val="center"/>
          </w:tcPr>
          <w:p w14:paraId="79695CDF" w14:textId="0C081B8D" w:rsidR="001634E3" w:rsidRPr="00E1028E" w:rsidRDefault="001634E3" w:rsidP="001634E3">
            <w:pPr>
              <w:tabs>
                <w:tab w:val="left" w:pos="0"/>
              </w:tabs>
              <w:spacing w:line="240" w:lineRule="auto"/>
              <w:ind w:left="57"/>
              <w:jc w:val="left"/>
              <w:rPr>
                <w:rFonts w:ascii="Times New Roman" w:eastAsia="Arial" w:hAnsi="Times New Roman" w:cs="Times New Roman"/>
                <w:b/>
                <w:bCs/>
                <w:i/>
                <w:iCs/>
                <w:sz w:val="24"/>
                <w:szCs w:val="24"/>
              </w:rPr>
            </w:pPr>
            <w:r w:rsidRPr="00E1028E">
              <w:rPr>
                <w:rFonts w:ascii="Times New Roman" w:eastAsia="Arial" w:hAnsi="Times New Roman" w:cs="Times New Roman"/>
                <w:b/>
                <w:bCs/>
                <w:i/>
                <w:iCs/>
                <w:sz w:val="24"/>
                <w:szCs w:val="24"/>
              </w:rPr>
              <w:t>Shariah Scholar</w:t>
            </w:r>
          </w:p>
        </w:tc>
        <w:tc>
          <w:tcPr>
            <w:tcW w:w="850" w:type="dxa"/>
            <w:shd w:val="clear" w:color="auto" w:fill="auto"/>
            <w:vAlign w:val="center"/>
          </w:tcPr>
          <w:p w14:paraId="5A1CC228"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1</w:t>
            </w:r>
          </w:p>
        </w:tc>
        <w:tc>
          <w:tcPr>
            <w:tcW w:w="1247" w:type="dxa"/>
            <w:shd w:val="clear" w:color="auto" w:fill="auto"/>
            <w:vAlign w:val="center"/>
          </w:tcPr>
          <w:p w14:paraId="1C516F25"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Times New Roman" w:hAnsi="Times New Roman" w:cs="Times New Roman"/>
                <w:sz w:val="24"/>
                <w:szCs w:val="24"/>
              </w:rPr>
              <w:t>2</w:t>
            </w:r>
          </w:p>
        </w:tc>
        <w:tc>
          <w:tcPr>
            <w:tcW w:w="850" w:type="dxa"/>
            <w:shd w:val="clear" w:color="auto" w:fill="auto"/>
            <w:vAlign w:val="center"/>
          </w:tcPr>
          <w:p w14:paraId="7B21A685" w14:textId="77777777" w:rsidR="001634E3" w:rsidRPr="002B005F" w:rsidRDefault="001634E3" w:rsidP="001634E3">
            <w:pPr>
              <w:tabs>
                <w:tab w:val="left" w:pos="0"/>
              </w:tabs>
              <w:spacing w:line="240" w:lineRule="auto"/>
              <w:jc w:val="center"/>
              <w:rPr>
                <w:rFonts w:ascii="Times New Roman" w:eastAsia="Arial" w:hAnsi="Times New Roman" w:cs="Times New Roman"/>
                <w:w w:val="71"/>
                <w:sz w:val="24"/>
                <w:szCs w:val="24"/>
              </w:rPr>
            </w:pPr>
            <w:r w:rsidRPr="002B005F">
              <w:rPr>
                <w:rFonts w:ascii="Times New Roman" w:eastAsia="Arial" w:hAnsi="Times New Roman" w:cs="Times New Roman"/>
                <w:w w:val="71"/>
                <w:sz w:val="24"/>
                <w:szCs w:val="24"/>
              </w:rPr>
              <w:t>/</w:t>
            </w:r>
          </w:p>
        </w:tc>
        <w:tc>
          <w:tcPr>
            <w:tcW w:w="850" w:type="dxa"/>
          </w:tcPr>
          <w:p w14:paraId="54FE327A" w14:textId="77777777" w:rsidR="001634E3" w:rsidRPr="002B005F" w:rsidRDefault="001634E3" w:rsidP="001634E3">
            <w:pPr>
              <w:tabs>
                <w:tab w:val="left" w:pos="0"/>
              </w:tabs>
              <w:spacing w:line="240" w:lineRule="auto"/>
              <w:ind w:right="92"/>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w:t>
            </w:r>
          </w:p>
        </w:tc>
        <w:tc>
          <w:tcPr>
            <w:tcW w:w="850" w:type="dxa"/>
            <w:vAlign w:val="center"/>
          </w:tcPr>
          <w:p w14:paraId="36E35D65" w14:textId="77777777" w:rsidR="001634E3" w:rsidRPr="002B005F" w:rsidRDefault="001634E3" w:rsidP="007C68EE">
            <w:pPr>
              <w:tabs>
                <w:tab w:val="left" w:pos="0"/>
              </w:tabs>
              <w:spacing w:line="240" w:lineRule="auto"/>
              <w:ind w:right="284"/>
              <w:jc w:val="right"/>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3</w:t>
            </w:r>
          </w:p>
        </w:tc>
        <w:tc>
          <w:tcPr>
            <w:tcW w:w="1134" w:type="dxa"/>
            <w:shd w:val="clear" w:color="auto" w:fill="auto"/>
            <w:vAlign w:val="center"/>
          </w:tcPr>
          <w:p w14:paraId="4B82B4D2" w14:textId="77777777" w:rsidR="001634E3" w:rsidRPr="002B005F" w:rsidRDefault="001634E3" w:rsidP="001634E3">
            <w:pPr>
              <w:tabs>
                <w:tab w:val="left" w:pos="0"/>
              </w:tabs>
              <w:spacing w:line="240" w:lineRule="auto"/>
              <w:ind w:right="92"/>
              <w:jc w:val="center"/>
              <w:rPr>
                <w:rFonts w:ascii="Times New Roman" w:eastAsia="Arial" w:hAnsi="Times New Roman" w:cs="Times New Roman"/>
                <w:b/>
                <w:color w:val="FFFFFF"/>
                <w:w w:val="73"/>
                <w:sz w:val="24"/>
                <w:szCs w:val="24"/>
              </w:rPr>
            </w:pPr>
            <w:r w:rsidRPr="002B005F">
              <w:rPr>
                <w:rFonts w:ascii="Times New Roman" w:eastAsia="Times New Roman" w:hAnsi="Times New Roman" w:cs="Times New Roman"/>
                <w:b/>
                <w:bCs/>
                <w:sz w:val="24"/>
                <w:szCs w:val="24"/>
              </w:rPr>
              <w:t>03.80</w:t>
            </w:r>
          </w:p>
        </w:tc>
      </w:tr>
      <w:tr w:rsidR="001634E3" w:rsidRPr="002B005F" w14:paraId="56CBEA60" w14:textId="77777777" w:rsidTr="007C68EE">
        <w:trPr>
          <w:trHeight w:val="454"/>
          <w:jc w:val="center"/>
        </w:trPr>
        <w:tc>
          <w:tcPr>
            <w:tcW w:w="3288" w:type="dxa"/>
            <w:shd w:val="clear" w:color="auto" w:fill="BDD6EE"/>
            <w:vAlign w:val="center"/>
          </w:tcPr>
          <w:p w14:paraId="2478CF0A" w14:textId="77777777" w:rsidR="001634E3" w:rsidRPr="002B005F" w:rsidRDefault="001634E3" w:rsidP="001634E3">
            <w:pPr>
              <w:tabs>
                <w:tab w:val="left" w:pos="0"/>
              </w:tabs>
              <w:spacing w:line="240" w:lineRule="auto"/>
              <w:jc w:val="center"/>
              <w:rPr>
                <w:rFonts w:ascii="Times New Roman" w:eastAsia="Arial" w:hAnsi="Times New Roman" w:cs="Times New Roman"/>
                <w:b/>
                <w:sz w:val="24"/>
                <w:szCs w:val="24"/>
              </w:rPr>
            </w:pPr>
            <w:r w:rsidRPr="002B005F">
              <w:rPr>
                <w:rFonts w:ascii="Times New Roman" w:eastAsia="Arial" w:hAnsi="Times New Roman" w:cs="Times New Roman"/>
                <w:b/>
                <w:sz w:val="24"/>
                <w:szCs w:val="24"/>
              </w:rPr>
              <w:t>Total</w:t>
            </w:r>
          </w:p>
        </w:tc>
        <w:tc>
          <w:tcPr>
            <w:tcW w:w="850" w:type="dxa"/>
            <w:shd w:val="clear" w:color="auto" w:fill="BDD6EE"/>
            <w:vAlign w:val="center"/>
          </w:tcPr>
          <w:p w14:paraId="49AB7A30" w14:textId="77777777" w:rsidR="001634E3" w:rsidRPr="002B005F" w:rsidRDefault="001634E3" w:rsidP="001634E3">
            <w:pPr>
              <w:tabs>
                <w:tab w:val="left" w:pos="0"/>
              </w:tabs>
              <w:spacing w:line="240" w:lineRule="auto"/>
              <w:jc w:val="center"/>
              <w:rPr>
                <w:rFonts w:ascii="Times New Roman" w:eastAsia="Arial" w:hAnsi="Times New Roman" w:cs="Times New Roman"/>
                <w:b/>
                <w:bCs/>
                <w:w w:val="71"/>
                <w:sz w:val="24"/>
                <w:szCs w:val="24"/>
              </w:rPr>
            </w:pPr>
            <w:r w:rsidRPr="002B005F">
              <w:rPr>
                <w:rFonts w:ascii="Times New Roman" w:eastAsia="Times New Roman" w:hAnsi="Times New Roman" w:cs="Times New Roman"/>
                <w:b/>
                <w:bCs/>
                <w:sz w:val="24"/>
                <w:szCs w:val="24"/>
              </w:rPr>
              <w:t>30</w:t>
            </w:r>
          </w:p>
        </w:tc>
        <w:tc>
          <w:tcPr>
            <w:tcW w:w="1247" w:type="dxa"/>
            <w:shd w:val="clear" w:color="auto" w:fill="BDD6EE"/>
            <w:vAlign w:val="center"/>
          </w:tcPr>
          <w:p w14:paraId="527B6F2F" w14:textId="77777777" w:rsidR="001634E3" w:rsidRPr="002B005F" w:rsidRDefault="001634E3" w:rsidP="001634E3">
            <w:pPr>
              <w:tabs>
                <w:tab w:val="left" w:pos="0"/>
              </w:tabs>
              <w:spacing w:line="240" w:lineRule="auto"/>
              <w:jc w:val="center"/>
              <w:rPr>
                <w:rFonts w:ascii="Times New Roman" w:eastAsia="Arial" w:hAnsi="Times New Roman" w:cs="Times New Roman"/>
                <w:b/>
                <w:w w:val="71"/>
                <w:sz w:val="24"/>
                <w:szCs w:val="24"/>
              </w:rPr>
            </w:pPr>
            <w:r w:rsidRPr="002B005F">
              <w:rPr>
                <w:rFonts w:ascii="Times New Roman" w:eastAsia="Times New Roman" w:hAnsi="Times New Roman" w:cs="Times New Roman"/>
                <w:b/>
                <w:bCs/>
                <w:sz w:val="24"/>
                <w:szCs w:val="24"/>
              </w:rPr>
              <w:t>29</w:t>
            </w:r>
          </w:p>
        </w:tc>
        <w:tc>
          <w:tcPr>
            <w:tcW w:w="850" w:type="dxa"/>
            <w:shd w:val="clear" w:color="auto" w:fill="BDD6EE"/>
            <w:vAlign w:val="center"/>
          </w:tcPr>
          <w:p w14:paraId="64653F8E" w14:textId="77777777" w:rsidR="001634E3" w:rsidRPr="002B005F" w:rsidRDefault="001634E3" w:rsidP="001634E3">
            <w:pPr>
              <w:tabs>
                <w:tab w:val="left" w:pos="0"/>
              </w:tabs>
              <w:spacing w:line="240" w:lineRule="auto"/>
              <w:jc w:val="center"/>
              <w:rPr>
                <w:rFonts w:ascii="Times New Roman" w:eastAsia="Arial" w:hAnsi="Times New Roman" w:cs="Times New Roman"/>
                <w:b/>
                <w:w w:val="71"/>
                <w:sz w:val="24"/>
                <w:szCs w:val="24"/>
              </w:rPr>
            </w:pPr>
            <w:r w:rsidRPr="002B005F">
              <w:rPr>
                <w:rFonts w:ascii="Times New Roman" w:eastAsia="Times New Roman" w:hAnsi="Times New Roman" w:cs="Times New Roman"/>
                <w:b/>
                <w:bCs/>
                <w:sz w:val="24"/>
                <w:szCs w:val="24"/>
              </w:rPr>
              <w:t>7</w:t>
            </w:r>
          </w:p>
        </w:tc>
        <w:tc>
          <w:tcPr>
            <w:tcW w:w="850" w:type="dxa"/>
            <w:shd w:val="clear" w:color="auto" w:fill="BDD6EE"/>
            <w:vAlign w:val="center"/>
          </w:tcPr>
          <w:p w14:paraId="1B44107E" w14:textId="77777777" w:rsidR="001634E3" w:rsidRPr="002B005F" w:rsidRDefault="001634E3" w:rsidP="001634E3">
            <w:pPr>
              <w:tabs>
                <w:tab w:val="left" w:pos="0"/>
              </w:tabs>
              <w:spacing w:line="240" w:lineRule="auto"/>
              <w:jc w:val="center"/>
              <w:rPr>
                <w:rFonts w:ascii="Times New Roman" w:eastAsia="Arial" w:hAnsi="Times New Roman" w:cs="Times New Roman"/>
                <w:b/>
                <w:sz w:val="24"/>
                <w:szCs w:val="24"/>
              </w:rPr>
            </w:pPr>
            <w:r w:rsidRPr="002B005F">
              <w:rPr>
                <w:rFonts w:ascii="Times New Roman" w:eastAsia="Arial" w:hAnsi="Times New Roman" w:cs="Times New Roman"/>
                <w:b/>
                <w:sz w:val="24"/>
                <w:szCs w:val="24"/>
              </w:rPr>
              <w:t>13</w:t>
            </w:r>
          </w:p>
        </w:tc>
        <w:tc>
          <w:tcPr>
            <w:tcW w:w="850" w:type="dxa"/>
            <w:shd w:val="clear" w:color="auto" w:fill="BDD6EE"/>
            <w:vAlign w:val="center"/>
          </w:tcPr>
          <w:p w14:paraId="1D396673" w14:textId="77777777" w:rsidR="001634E3" w:rsidRPr="002B005F" w:rsidRDefault="001634E3" w:rsidP="007C68EE">
            <w:pPr>
              <w:tabs>
                <w:tab w:val="left" w:pos="0"/>
              </w:tabs>
              <w:spacing w:line="240" w:lineRule="auto"/>
              <w:ind w:right="284"/>
              <w:jc w:val="right"/>
              <w:rPr>
                <w:rFonts w:ascii="Times New Roman" w:eastAsia="Arial" w:hAnsi="Times New Roman" w:cs="Times New Roman"/>
                <w:b/>
                <w:sz w:val="24"/>
                <w:szCs w:val="24"/>
              </w:rPr>
            </w:pPr>
            <w:r w:rsidRPr="002B005F">
              <w:rPr>
                <w:rFonts w:ascii="Times New Roman" w:eastAsia="Arial" w:hAnsi="Times New Roman" w:cs="Times New Roman"/>
                <w:b/>
                <w:sz w:val="24"/>
                <w:szCs w:val="24"/>
              </w:rPr>
              <w:t>79</w:t>
            </w:r>
          </w:p>
        </w:tc>
        <w:tc>
          <w:tcPr>
            <w:tcW w:w="1134" w:type="dxa"/>
            <w:shd w:val="clear" w:color="auto" w:fill="B8CCE4"/>
            <w:vAlign w:val="center"/>
          </w:tcPr>
          <w:p w14:paraId="3E1C17DA" w14:textId="77777777" w:rsidR="001634E3" w:rsidRPr="002B005F" w:rsidRDefault="001634E3" w:rsidP="001634E3">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Arial" w:hAnsi="Times New Roman" w:cs="Times New Roman"/>
                <w:b/>
                <w:sz w:val="24"/>
                <w:szCs w:val="24"/>
              </w:rPr>
              <w:t>100,00</w:t>
            </w:r>
          </w:p>
        </w:tc>
      </w:tr>
    </w:tbl>
    <w:p w14:paraId="67EB3918" w14:textId="77777777" w:rsidR="002760B2" w:rsidRPr="002B005F" w:rsidRDefault="002760B2" w:rsidP="00916AB3">
      <w:pPr>
        <w:tabs>
          <w:tab w:val="left" w:pos="0"/>
        </w:tabs>
        <w:autoSpaceDE w:val="0"/>
        <w:autoSpaceDN w:val="0"/>
        <w:adjustRightInd w:val="0"/>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du chercheur</w:t>
      </w:r>
    </w:p>
    <w:p w14:paraId="45FA2DDA" w14:textId="77777777" w:rsidR="002760B2" w:rsidRPr="002B005F" w:rsidRDefault="002760B2" w:rsidP="001634E3">
      <w:pPr>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Nous passons maintenant à l’étude de la nature des institutions financières participantes. Comme on peut le voir dans </w:t>
      </w:r>
      <w:r w:rsidRPr="002B005F">
        <w:rPr>
          <w:rFonts w:ascii="Times New Roman" w:hAnsi="Times New Roman" w:cs="Times New Roman"/>
          <w:b/>
          <w:bCs/>
          <w:sz w:val="24"/>
          <w:szCs w:val="24"/>
        </w:rPr>
        <w:t>le</w:t>
      </w:r>
      <w:r w:rsidRPr="002B005F">
        <w:rPr>
          <w:rFonts w:ascii="Times New Roman" w:hAnsi="Times New Roman" w:cs="Times New Roman"/>
          <w:sz w:val="24"/>
          <w:szCs w:val="24"/>
        </w:rPr>
        <w:t xml:space="preserve"> </w:t>
      </w:r>
      <w:r w:rsidRPr="002B005F">
        <w:rPr>
          <w:rFonts w:ascii="Times New Roman" w:hAnsi="Times New Roman" w:cs="Times New Roman"/>
          <w:b/>
          <w:bCs/>
          <w:sz w:val="24"/>
          <w:szCs w:val="24"/>
        </w:rPr>
        <w:t>tableau 11</w:t>
      </w:r>
      <w:r w:rsidRPr="002B005F">
        <w:rPr>
          <w:rFonts w:ascii="Times New Roman" w:hAnsi="Times New Roman" w:cs="Times New Roman"/>
          <w:sz w:val="24"/>
          <w:szCs w:val="24"/>
        </w:rPr>
        <w:t>, sur les 79 banques qui ont</w:t>
      </w:r>
      <w:r w:rsidR="00E31AA6" w:rsidRPr="002B005F">
        <w:rPr>
          <w:rFonts w:ascii="Times New Roman" w:hAnsi="Times New Roman" w:cs="Times New Roman"/>
          <w:sz w:val="24"/>
          <w:szCs w:val="24"/>
        </w:rPr>
        <w:t xml:space="preserve"> participé à cette étude, 81,36</w:t>
      </w:r>
      <w:r w:rsidRPr="002B005F">
        <w:rPr>
          <w:rFonts w:ascii="Times New Roman" w:hAnsi="Times New Roman" w:cs="Times New Roman"/>
          <w:sz w:val="24"/>
          <w:szCs w:val="24"/>
        </w:rPr>
        <w:t xml:space="preserve">% ont été des banques </w:t>
      </w:r>
      <w:r w:rsidR="002B7158">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à part entière, le reste étant des banques conventionnelles avec des guichets </w:t>
      </w:r>
      <w:r w:rsidR="002B7158">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(18.64%).</w:t>
      </w:r>
    </w:p>
    <w:p w14:paraId="29BDDFC2" w14:textId="7C37D76B" w:rsidR="008C2E40" w:rsidRPr="002B005F" w:rsidRDefault="008C2E40" w:rsidP="00971BF2">
      <w:pPr>
        <w:pStyle w:val="Lgende"/>
        <w:keepNext/>
        <w:tabs>
          <w:tab w:val="left" w:pos="0"/>
        </w:tabs>
        <w:spacing w:before="100" w:beforeAutospacing="1" w:after="120" w:line="300" w:lineRule="auto"/>
        <w:jc w:val="center"/>
        <w:rPr>
          <w:rFonts w:ascii="Times New Roman" w:hAnsi="Times New Roman" w:cs="Times New Roman"/>
          <w:color w:val="auto"/>
          <w:sz w:val="24"/>
          <w:szCs w:val="24"/>
        </w:rPr>
      </w:pPr>
      <w:bookmarkStart w:id="1589" w:name="_Toc115556079"/>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11</w:t>
      </w:r>
      <w:r w:rsidR="00B544E5" w:rsidRPr="002B005F">
        <w:rPr>
          <w:rFonts w:ascii="Times New Roman" w:hAnsi="Times New Roman" w:cs="Times New Roman"/>
          <w:color w:val="auto"/>
          <w:sz w:val="24"/>
          <w:szCs w:val="24"/>
        </w:rPr>
        <w:fldChar w:fldCharType="end"/>
      </w:r>
      <w:r w:rsidR="00971BF2"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Nature de l’institution financière</w:t>
      </w:r>
      <w:r w:rsidR="00971BF2" w:rsidRPr="002B005F">
        <w:rPr>
          <w:rFonts w:ascii="Times New Roman" w:hAnsi="Times New Roman" w:cs="Times New Roman"/>
          <w:color w:val="auto"/>
          <w:sz w:val="24"/>
          <w:szCs w:val="24"/>
        </w:rPr>
        <w:t xml:space="preserve"> en %</w:t>
      </w:r>
      <w:bookmarkEnd w:id="1589"/>
    </w:p>
    <w:tbl>
      <w:tblPr>
        <w:tblW w:w="90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000" w:firstRow="0" w:lastRow="0" w:firstColumn="0" w:lastColumn="0" w:noHBand="0" w:noVBand="0"/>
      </w:tblPr>
      <w:tblGrid>
        <w:gridCol w:w="3624"/>
        <w:gridCol w:w="963"/>
        <w:gridCol w:w="1247"/>
        <w:gridCol w:w="1020"/>
        <w:gridCol w:w="1077"/>
        <w:gridCol w:w="1137"/>
      </w:tblGrid>
      <w:tr w:rsidR="008D0CB6" w:rsidRPr="002B005F" w14:paraId="359FCE71" w14:textId="77777777" w:rsidTr="00BA259D">
        <w:trPr>
          <w:trHeight w:val="567"/>
          <w:jc w:val="center"/>
        </w:trPr>
        <w:tc>
          <w:tcPr>
            <w:tcW w:w="3624" w:type="dxa"/>
            <w:vMerge w:val="restart"/>
            <w:shd w:val="clear" w:color="auto" w:fill="D5DCE4" w:themeFill="text2" w:themeFillTint="33"/>
            <w:vAlign w:val="center"/>
          </w:tcPr>
          <w:p w14:paraId="743DEDF7" w14:textId="77777777" w:rsidR="00971BF2" w:rsidRPr="002B005F" w:rsidRDefault="00971BF2" w:rsidP="00971BF2">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Arial" w:hAnsi="Times New Roman" w:cs="Times New Roman"/>
                <w:b/>
                <w:sz w:val="24"/>
                <w:szCs w:val="24"/>
              </w:rPr>
              <w:t>Nature d’Institution</w:t>
            </w:r>
          </w:p>
        </w:tc>
        <w:tc>
          <w:tcPr>
            <w:tcW w:w="5444" w:type="dxa"/>
            <w:gridSpan w:val="5"/>
            <w:shd w:val="clear" w:color="auto" w:fill="D5DCE4" w:themeFill="text2" w:themeFillTint="33"/>
            <w:vAlign w:val="center"/>
          </w:tcPr>
          <w:p w14:paraId="06DF0A6E" w14:textId="77777777" w:rsidR="00971BF2" w:rsidRPr="002B005F" w:rsidRDefault="00971BF2" w:rsidP="00971BF2">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b/>
                <w:bCs/>
                <w:sz w:val="24"/>
                <w:szCs w:val="24"/>
              </w:rPr>
              <w:t>Région</w:t>
            </w:r>
          </w:p>
        </w:tc>
      </w:tr>
      <w:tr w:rsidR="008D0CB6" w:rsidRPr="002B005F" w14:paraId="7F3AE6AA" w14:textId="77777777" w:rsidTr="00BA259D">
        <w:trPr>
          <w:trHeight w:val="567"/>
          <w:jc w:val="center"/>
        </w:trPr>
        <w:tc>
          <w:tcPr>
            <w:tcW w:w="3624" w:type="dxa"/>
            <w:vMerge/>
            <w:tcBorders>
              <w:bottom w:val="single" w:sz="8" w:space="0" w:color="auto"/>
            </w:tcBorders>
            <w:shd w:val="clear" w:color="auto" w:fill="D5DCE4" w:themeFill="text2" w:themeFillTint="33"/>
            <w:vAlign w:val="bottom"/>
          </w:tcPr>
          <w:p w14:paraId="4EBF8C88" w14:textId="77777777" w:rsidR="008D0CB6" w:rsidRPr="002B005F" w:rsidRDefault="008D0CB6" w:rsidP="00971BF2">
            <w:pPr>
              <w:tabs>
                <w:tab w:val="left" w:pos="0"/>
              </w:tabs>
              <w:spacing w:line="240" w:lineRule="auto"/>
              <w:rPr>
                <w:rFonts w:ascii="Times New Roman" w:eastAsia="Arial" w:hAnsi="Times New Roman" w:cs="Times New Roman"/>
                <w:b/>
                <w:sz w:val="24"/>
                <w:szCs w:val="24"/>
              </w:rPr>
            </w:pPr>
          </w:p>
        </w:tc>
        <w:tc>
          <w:tcPr>
            <w:tcW w:w="963" w:type="dxa"/>
            <w:shd w:val="clear" w:color="auto" w:fill="D5DCE4" w:themeFill="text2" w:themeFillTint="33"/>
            <w:vAlign w:val="center"/>
          </w:tcPr>
          <w:p w14:paraId="257F2230" w14:textId="77777777" w:rsidR="008D0CB6" w:rsidRPr="002B005F" w:rsidRDefault="008D0CB6" w:rsidP="00971BF2">
            <w:pPr>
              <w:tabs>
                <w:tab w:val="left" w:pos="0"/>
              </w:tabs>
              <w:spacing w:line="240" w:lineRule="auto"/>
              <w:jc w:val="center"/>
              <w:rPr>
                <w:rFonts w:ascii="Times New Roman" w:eastAsia="Arial" w:hAnsi="Times New Roman" w:cs="Times New Roman"/>
                <w:b/>
                <w:sz w:val="24"/>
                <w:szCs w:val="24"/>
              </w:rPr>
            </w:pPr>
            <w:r w:rsidRPr="002B005F">
              <w:rPr>
                <w:rFonts w:ascii="Times New Roman" w:eastAsia="Arial" w:hAnsi="Times New Roman" w:cs="Times New Roman"/>
                <w:b/>
                <w:sz w:val="24"/>
                <w:szCs w:val="24"/>
              </w:rPr>
              <w:t>Afrique</w:t>
            </w:r>
          </w:p>
        </w:tc>
        <w:tc>
          <w:tcPr>
            <w:tcW w:w="1247" w:type="dxa"/>
            <w:shd w:val="clear" w:color="auto" w:fill="D5DCE4" w:themeFill="text2" w:themeFillTint="33"/>
            <w:vAlign w:val="center"/>
          </w:tcPr>
          <w:p w14:paraId="194F4AAE" w14:textId="77777777" w:rsidR="008D0CB6" w:rsidRPr="002B005F" w:rsidRDefault="008D0CB6" w:rsidP="00971BF2">
            <w:pPr>
              <w:tabs>
                <w:tab w:val="left" w:pos="0"/>
              </w:tabs>
              <w:spacing w:line="240" w:lineRule="auto"/>
              <w:jc w:val="center"/>
              <w:rPr>
                <w:rFonts w:ascii="Times New Roman" w:eastAsia="Arial" w:hAnsi="Times New Roman" w:cs="Times New Roman"/>
                <w:b/>
                <w:sz w:val="24"/>
                <w:szCs w:val="24"/>
              </w:rPr>
            </w:pPr>
            <w:r w:rsidRPr="002B005F">
              <w:rPr>
                <w:rFonts w:ascii="Times New Roman" w:eastAsia="Arial" w:hAnsi="Times New Roman" w:cs="Times New Roman"/>
                <w:b/>
                <w:sz w:val="24"/>
                <w:szCs w:val="24"/>
              </w:rPr>
              <w:t>Moyen-Orient</w:t>
            </w:r>
          </w:p>
        </w:tc>
        <w:tc>
          <w:tcPr>
            <w:tcW w:w="1020" w:type="dxa"/>
            <w:shd w:val="clear" w:color="auto" w:fill="D5DCE4" w:themeFill="text2" w:themeFillTint="33"/>
            <w:vAlign w:val="center"/>
          </w:tcPr>
          <w:p w14:paraId="11F0B461" w14:textId="77777777" w:rsidR="008D0CB6" w:rsidRPr="002B005F" w:rsidRDefault="008D0CB6" w:rsidP="00971BF2">
            <w:pPr>
              <w:tabs>
                <w:tab w:val="left" w:pos="0"/>
              </w:tabs>
              <w:spacing w:line="240" w:lineRule="auto"/>
              <w:jc w:val="center"/>
              <w:rPr>
                <w:rFonts w:ascii="Times New Roman" w:eastAsia="Arial" w:hAnsi="Times New Roman" w:cs="Times New Roman"/>
                <w:b/>
                <w:sz w:val="24"/>
                <w:szCs w:val="24"/>
              </w:rPr>
            </w:pPr>
            <w:r w:rsidRPr="002B005F">
              <w:rPr>
                <w:rFonts w:ascii="Times New Roman" w:eastAsia="Arial" w:hAnsi="Times New Roman" w:cs="Times New Roman"/>
                <w:b/>
                <w:sz w:val="24"/>
                <w:szCs w:val="24"/>
              </w:rPr>
              <w:t>Europe</w:t>
            </w:r>
          </w:p>
        </w:tc>
        <w:tc>
          <w:tcPr>
            <w:tcW w:w="1077" w:type="dxa"/>
            <w:shd w:val="clear" w:color="auto" w:fill="D5DCE4" w:themeFill="text2" w:themeFillTint="33"/>
            <w:vAlign w:val="center"/>
          </w:tcPr>
          <w:p w14:paraId="5A44A56F" w14:textId="77777777" w:rsidR="008D0CB6" w:rsidRPr="002B005F" w:rsidRDefault="008D0CB6" w:rsidP="00971BF2">
            <w:pPr>
              <w:tabs>
                <w:tab w:val="left" w:pos="0"/>
              </w:tabs>
              <w:spacing w:line="240" w:lineRule="auto"/>
              <w:jc w:val="center"/>
              <w:rPr>
                <w:rFonts w:ascii="Times New Roman" w:eastAsia="Arial" w:hAnsi="Times New Roman" w:cs="Times New Roman"/>
                <w:b/>
                <w:sz w:val="24"/>
                <w:szCs w:val="24"/>
              </w:rPr>
            </w:pPr>
            <w:r w:rsidRPr="002B005F">
              <w:rPr>
                <w:rFonts w:ascii="Times New Roman" w:eastAsia="Arial" w:hAnsi="Times New Roman" w:cs="Times New Roman"/>
                <w:b/>
                <w:sz w:val="24"/>
                <w:szCs w:val="24"/>
              </w:rPr>
              <w:t>Autres</w:t>
            </w:r>
          </w:p>
        </w:tc>
        <w:tc>
          <w:tcPr>
            <w:tcW w:w="1137" w:type="dxa"/>
            <w:tcBorders>
              <w:right w:val="nil"/>
            </w:tcBorders>
            <w:shd w:val="clear" w:color="auto" w:fill="D5DCE4" w:themeFill="text2" w:themeFillTint="33"/>
            <w:vAlign w:val="center"/>
          </w:tcPr>
          <w:p w14:paraId="168B7602" w14:textId="77777777" w:rsidR="008D0CB6" w:rsidRPr="002B005F" w:rsidRDefault="008D0CB6" w:rsidP="00971BF2">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Arial" w:hAnsi="Times New Roman" w:cs="Times New Roman"/>
                <w:b/>
                <w:sz w:val="24"/>
                <w:szCs w:val="24"/>
              </w:rPr>
              <w:t>Total</w:t>
            </w:r>
          </w:p>
        </w:tc>
      </w:tr>
      <w:tr w:rsidR="00971BF2" w:rsidRPr="002B005F" w14:paraId="4CA80AE3" w14:textId="77777777" w:rsidTr="00BA259D">
        <w:trPr>
          <w:trHeight w:val="567"/>
          <w:jc w:val="center"/>
        </w:trPr>
        <w:tc>
          <w:tcPr>
            <w:tcW w:w="3624" w:type="dxa"/>
            <w:tcBorders>
              <w:top w:val="single" w:sz="8" w:space="0" w:color="auto"/>
            </w:tcBorders>
            <w:shd w:val="clear" w:color="auto" w:fill="auto"/>
            <w:vAlign w:val="center"/>
          </w:tcPr>
          <w:p w14:paraId="11B013F4" w14:textId="77777777" w:rsidR="002760B2" w:rsidRPr="002B005F" w:rsidRDefault="002760B2" w:rsidP="00971BF2">
            <w:pPr>
              <w:tabs>
                <w:tab w:val="left" w:pos="114"/>
              </w:tabs>
              <w:spacing w:line="240" w:lineRule="auto"/>
              <w:ind w:left="57"/>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 xml:space="preserve">Banque </w:t>
            </w:r>
            <w:r w:rsidR="002B7158">
              <w:rPr>
                <w:rFonts w:ascii="Times New Roman" w:eastAsia="Arial" w:hAnsi="Times New Roman" w:cs="Times New Roman"/>
                <w:b/>
                <w:bCs/>
                <w:sz w:val="24"/>
                <w:szCs w:val="24"/>
              </w:rPr>
              <w:t>i</w:t>
            </w:r>
            <w:r w:rsidR="003773C6" w:rsidRPr="002B005F">
              <w:rPr>
                <w:rFonts w:ascii="Times New Roman" w:eastAsia="Arial" w:hAnsi="Times New Roman" w:cs="Times New Roman"/>
                <w:b/>
                <w:bCs/>
                <w:sz w:val="24"/>
                <w:szCs w:val="24"/>
              </w:rPr>
              <w:t>slamique</w:t>
            </w:r>
            <w:r w:rsidRPr="002B005F">
              <w:rPr>
                <w:rFonts w:ascii="Times New Roman" w:eastAsia="Arial" w:hAnsi="Times New Roman" w:cs="Times New Roman"/>
                <w:b/>
                <w:bCs/>
                <w:sz w:val="24"/>
                <w:szCs w:val="24"/>
              </w:rPr>
              <w:t xml:space="preserve"> à part entière</w:t>
            </w:r>
          </w:p>
        </w:tc>
        <w:tc>
          <w:tcPr>
            <w:tcW w:w="963" w:type="dxa"/>
            <w:shd w:val="clear" w:color="auto" w:fill="auto"/>
            <w:vAlign w:val="center"/>
          </w:tcPr>
          <w:p w14:paraId="2AFA256C" w14:textId="77777777" w:rsidR="002760B2" w:rsidRPr="002B005F" w:rsidRDefault="00971BF2" w:rsidP="00696D47">
            <w:pPr>
              <w:tabs>
                <w:tab w:val="left" w:pos="0"/>
              </w:tabs>
              <w:spacing w:line="240" w:lineRule="auto"/>
              <w:ind w:right="284"/>
              <w:jc w:val="right"/>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45</w:t>
            </w:r>
          </w:p>
        </w:tc>
        <w:tc>
          <w:tcPr>
            <w:tcW w:w="1247" w:type="dxa"/>
            <w:shd w:val="clear" w:color="auto" w:fill="auto"/>
            <w:vAlign w:val="center"/>
          </w:tcPr>
          <w:p w14:paraId="597A7966" w14:textId="77777777" w:rsidR="002760B2" w:rsidRPr="002B005F" w:rsidRDefault="002760B2" w:rsidP="00971BF2">
            <w:pPr>
              <w:tabs>
                <w:tab w:val="left" w:pos="0"/>
              </w:tabs>
              <w:spacing w:line="240" w:lineRule="auto"/>
              <w:jc w:val="center"/>
              <w:rPr>
                <w:rFonts w:ascii="Times New Roman" w:eastAsia="Arial" w:hAnsi="Times New Roman" w:cs="Times New Roman"/>
                <w:sz w:val="24"/>
                <w:szCs w:val="24"/>
              </w:rPr>
            </w:pPr>
            <w:r w:rsidRPr="002B005F">
              <w:rPr>
                <w:rFonts w:ascii="Times New Roman" w:eastAsia="Times New Roman" w:hAnsi="Times New Roman" w:cs="Times New Roman"/>
                <w:sz w:val="24"/>
                <w:szCs w:val="24"/>
              </w:rPr>
              <w:t>20.36</w:t>
            </w:r>
          </w:p>
        </w:tc>
        <w:tc>
          <w:tcPr>
            <w:tcW w:w="1020" w:type="dxa"/>
            <w:shd w:val="clear" w:color="auto" w:fill="auto"/>
            <w:vAlign w:val="center"/>
          </w:tcPr>
          <w:p w14:paraId="4A901DBD" w14:textId="77777777" w:rsidR="002760B2" w:rsidRPr="002B005F" w:rsidRDefault="00971BF2" w:rsidP="008D0CB6">
            <w:pPr>
              <w:tabs>
                <w:tab w:val="left" w:pos="0"/>
              </w:tabs>
              <w:spacing w:line="240" w:lineRule="auto"/>
              <w:ind w:right="284"/>
              <w:jc w:val="right"/>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10</w:t>
            </w:r>
          </w:p>
        </w:tc>
        <w:tc>
          <w:tcPr>
            <w:tcW w:w="1077" w:type="dxa"/>
            <w:shd w:val="clear" w:color="auto" w:fill="auto"/>
            <w:vAlign w:val="center"/>
          </w:tcPr>
          <w:p w14:paraId="15D1B3C7" w14:textId="77777777" w:rsidR="002760B2" w:rsidRPr="002B005F" w:rsidRDefault="00971BF2" w:rsidP="00971BF2">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6,00</w:t>
            </w:r>
          </w:p>
        </w:tc>
        <w:tc>
          <w:tcPr>
            <w:tcW w:w="1137" w:type="dxa"/>
            <w:shd w:val="clear" w:color="auto" w:fill="D5DCE4" w:themeFill="text2" w:themeFillTint="33"/>
            <w:vAlign w:val="center"/>
          </w:tcPr>
          <w:p w14:paraId="28EAA426" w14:textId="77777777" w:rsidR="002760B2" w:rsidRPr="002B005F" w:rsidRDefault="002760B2" w:rsidP="00971BF2">
            <w:pPr>
              <w:tabs>
                <w:tab w:val="left" w:pos="0"/>
              </w:tabs>
              <w:spacing w:line="240" w:lineRule="auto"/>
              <w:jc w:val="center"/>
              <w:rPr>
                <w:rFonts w:ascii="Times New Roman" w:eastAsia="Arial" w:hAnsi="Times New Roman" w:cs="Times New Roman"/>
                <w:b/>
                <w:bCs/>
                <w:sz w:val="24"/>
                <w:szCs w:val="24"/>
              </w:rPr>
            </w:pPr>
            <w:r w:rsidRPr="002B005F">
              <w:rPr>
                <w:rFonts w:ascii="Times New Roman" w:eastAsia="Times New Roman" w:hAnsi="Times New Roman" w:cs="Times New Roman"/>
                <w:b/>
                <w:bCs/>
                <w:sz w:val="24"/>
                <w:szCs w:val="24"/>
              </w:rPr>
              <w:t>81.36</w:t>
            </w:r>
          </w:p>
        </w:tc>
      </w:tr>
      <w:tr w:rsidR="00971BF2" w:rsidRPr="002B005F" w14:paraId="699848E4" w14:textId="77777777" w:rsidTr="00BA259D">
        <w:trPr>
          <w:trHeight w:val="567"/>
          <w:jc w:val="center"/>
        </w:trPr>
        <w:tc>
          <w:tcPr>
            <w:tcW w:w="3624" w:type="dxa"/>
            <w:shd w:val="clear" w:color="auto" w:fill="auto"/>
            <w:vAlign w:val="center"/>
          </w:tcPr>
          <w:p w14:paraId="65B6926F" w14:textId="77777777" w:rsidR="002760B2" w:rsidRPr="002B005F" w:rsidRDefault="00696D47" w:rsidP="00971BF2">
            <w:pPr>
              <w:tabs>
                <w:tab w:val="left" w:pos="114"/>
              </w:tabs>
              <w:spacing w:line="240" w:lineRule="auto"/>
              <w:ind w:left="57"/>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Banque à guichet</w:t>
            </w:r>
            <w:r w:rsidR="002760B2" w:rsidRPr="002B005F">
              <w:rPr>
                <w:rFonts w:ascii="Times New Roman" w:eastAsia="Arial" w:hAnsi="Times New Roman" w:cs="Times New Roman"/>
                <w:b/>
                <w:bCs/>
                <w:sz w:val="24"/>
                <w:szCs w:val="24"/>
              </w:rPr>
              <w:t xml:space="preserve"> </w:t>
            </w:r>
            <w:r w:rsidR="002B7158">
              <w:rPr>
                <w:rFonts w:ascii="Times New Roman" w:eastAsia="Arial" w:hAnsi="Times New Roman" w:cs="Times New Roman"/>
                <w:b/>
                <w:bCs/>
                <w:sz w:val="24"/>
                <w:szCs w:val="24"/>
              </w:rPr>
              <w:t>i</w:t>
            </w:r>
            <w:r w:rsidR="003773C6" w:rsidRPr="002B005F">
              <w:rPr>
                <w:rFonts w:ascii="Times New Roman" w:eastAsia="Arial" w:hAnsi="Times New Roman" w:cs="Times New Roman"/>
                <w:b/>
                <w:bCs/>
                <w:sz w:val="24"/>
                <w:szCs w:val="24"/>
              </w:rPr>
              <w:t>slamique</w:t>
            </w:r>
          </w:p>
        </w:tc>
        <w:tc>
          <w:tcPr>
            <w:tcW w:w="963" w:type="dxa"/>
            <w:shd w:val="clear" w:color="auto" w:fill="auto"/>
            <w:vAlign w:val="center"/>
          </w:tcPr>
          <w:p w14:paraId="281CA2B6" w14:textId="77777777" w:rsidR="002760B2" w:rsidRPr="002B005F" w:rsidRDefault="00971BF2" w:rsidP="00696D47">
            <w:pPr>
              <w:tabs>
                <w:tab w:val="left" w:pos="0"/>
              </w:tabs>
              <w:spacing w:line="240" w:lineRule="auto"/>
              <w:ind w:right="284"/>
              <w:jc w:val="right"/>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7</w:t>
            </w:r>
          </w:p>
        </w:tc>
        <w:tc>
          <w:tcPr>
            <w:tcW w:w="1247" w:type="dxa"/>
            <w:shd w:val="clear" w:color="auto" w:fill="auto"/>
            <w:vAlign w:val="center"/>
          </w:tcPr>
          <w:p w14:paraId="6D9AF9A7" w14:textId="77777777" w:rsidR="002760B2" w:rsidRPr="002B005F" w:rsidRDefault="00696D47" w:rsidP="00971BF2">
            <w:pPr>
              <w:tabs>
                <w:tab w:val="left" w:pos="0"/>
              </w:tabs>
              <w:spacing w:line="240" w:lineRule="auto"/>
              <w:jc w:val="center"/>
              <w:rPr>
                <w:rFonts w:ascii="Times New Roman" w:eastAsia="Arial" w:hAnsi="Times New Roman" w:cs="Times New Roman"/>
                <w:sz w:val="24"/>
                <w:szCs w:val="24"/>
              </w:rPr>
            </w:pPr>
            <w:r w:rsidRPr="002B005F">
              <w:rPr>
                <w:rFonts w:ascii="Times New Roman" w:eastAsia="Times New Roman" w:hAnsi="Times New Roman" w:cs="Times New Roman"/>
                <w:sz w:val="24"/>
                <w:szCs w:val="24"/>
              </w:rPr>
              <w:t>0</w:t>
            </w:r>
            <w:r w:rsidR="002760B2" w:rsidRPr="002B005F">
              <w:rPr>
                <w:rFonts w:ascii="Times New Roman" w:eastAsia="Times New Roman" w:hAnsi="Times New Roman" w:cs="Times New Roman"/>
                <w:sz w:val="24"/>
                <w:szCs w:val="24"/>
              </w:rPr>
              <w:t>5</w:t>
            </w:r>
            <w:r w:rsidR="00971BF2" w:rsidRPr="002B005F">
              <w:rPr>
                <w:rFonts w:ascii="Times New Roman" w:eastAsia="Times New Roman" w:hAnsi="Times New Roman" w:cs="Times New Roman"/>
                <w:sz w:val="24"/>
                <w:szCs w:val="24"/>
              </w:rPr>
              <w:t>,00</w:t>
            </w:r>
          </w:p>
        </w:tc>
        <w:tc>
          <w:tcPr>
            <w:tcW w:w="1020" w:type="dxa"/>
            <w:shd w:val="clear" w:color="auto" w:fill="auto"/>
            <w:vAlign w:val="center"/>
          </w:tcPr>
          <w:p w14:paraId="6D687E31" w14:textId="77777777" w:rsidR="002760B2" w:rsidRPr="002B005F" w:rsidRDefault="00971BF2" w:rsidP="008D0CB6">
            <w:pPr>
              <w:tabs>
                <w:tab w:val="left" w:pos="0"/>
              </w:tabs>
              <w:spacing w:line="240" w:lineRule="auto"/>
              <w:ind w:right="284"/>
              <w:jc w:val="right"/>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4</w:t>
            </w:r>
          </w:p>
        </w:tc>
        <w:tc>
          <w:tcPr>
            <w:tcW w:w="1077" w:type="dxa"/>
            <w:shd w:val="clear" w:color="auto" w:fill="auto"/>
            <w:vAlign w:val="center"/>
          </w:tcPr>
          <w:p w14:paraId="5CBE07D3" w14:textId="77777777" w:rsidR="002760B2" w:rsidRPr="002B005F" w:rsidRDefault="00971BF2" w:rsidP="00971BF2">
            <w:pPr>
              <w:tabs>
                <w:tab w:val="left" w:pos="0"/>
              </w:tabs>
              <w:spacing w:line="240" w:lineRule="auto"/>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2.64</w:t>
            </w:r>
          </w:p>
        </w:tc>
        <w:tc>
          <w:tcPr>
            <w:tcW w:w="1137" w:type="dxa"/>
            <w:shd w:val="clear" w:color="auto" w:fill="D5DCE4" w:themeFill="text2" w:themeFillTint="33"/>
            <w:vAlign w:val="center"/>
          </w:tcPr>
          <w:p w14:paraId="013F0465" w14:textId="77777777" w:rsidR="002760B2" w:rsidRPr="002B005F" w:rsidRDefault="002760B2" w:rsidP="00971BF2">
            <w:pPr>
              <w:tabs>
                <w:tab w:val="left" w:pos="0"/>
              </w:tabs>
              <w:spacing w:line="240" w:lineRule="auto"/>
              <w:jc w:val="center"/>
              <w:rPr>
                <w:rFonts w:ascii="Times New Roman" w:eastAsia="Arial" w:hAnsi="Times New Roman" w:cs="Times New Roman"/>
                <w:b/>
                <w:bCs/>
                <w:sz w:val="24"/>
                <w:szCs w:val="24"/>
              </w:rPr>
            </w:pPr>
            <w:r w:rsidRPr="002B005F">
              <w:rPr>
                <w:rFonts w:ascii="Times New Roman" w:eastAsia="Times New Roman" w:hAnsi="Times New Roman" w:cs="Times New Roman"/>
                <w:b/>
                <w:bCs/>
                <w:sz w:val="24"/>
                <w:szCs w:val="24"/>
              </w:rPr>
              <w:t>18.64</w:t>
            </w:r>
          </w:p>
        </w:tc>
      </w:tr>
      <w:tr w:rsidR="00971BF2" w:rsidRPr="002B005F" w14:paraId="43EAC8BE" w14:textId="77777777" w:rsidTr="00BA259D">
        <w:trPr>
          <w:trHeight w:val="567"/>
          <w:jc w:val="center"/>
        </w:trPr>
        <w:tc>
          <w:tcPr>
            <w:tcW w:w="3624" w:type="dxa"/>
            <w:shd w:val="clear" w:color="auto" w:fill="D5DCE4" w:themeFill="text2" w:themeFillTint="33"/>
            <w:vAlign w:val="center"/>
          </w:tcPr>
          <w:p w14:paraId="1231477F" w14:textId="77777777" w:rsidR="002760B2" w:rsidRPr="002B005F" w:rsidRDefault="002760B2" w:rsidP="00971BF2">
            <w:pPr>
              <w:tabs>
                <w:tab w:val="left" w:pos="0"/>
              </w:tabs>
              <w:spacing w:line="240" w:lineRule="auto"/>
              <w:ind w:right="325"/>
              <w:jc w:val="right"/>
              <w:rPr>
                <w:rFonts w:ascii="Times New Roman" w:eastAsia="Arial" w:hAnsi="Times New Roman" w:cs="Times New Roman"/>
                <w:b/>
                <w:sz w:val="24"/>
                <w:szCs w:val="24"/>
              </w:rPr>
            </w:pPr>
            <w:r w:rsidRPr="002B005F">
              <w:rPr>
                <w:rFonts w:ascii="Times New Roman" w:eastAsia="Arial" w:hAnsi="Times New Roman" w:cs="Times New Roman"/>
                <w:b/>
                <w:sz w:val="24"/>
                <w:szCs w:val="24"/>
              </w:rPr>
              <w:t>Total</w:t>
            </w:r>
          </w:p>
        </w:tc>
        <w:tc>
          <w:tcPr>
            <w:tcW w:w="963" w:type="dxa"/>
            <w:shd w:val="clear" w:color="auto" w:fill="D5DCE4" w:themeFill="text2" w:themeFillTint="33"/>
            <w:vAlign w:val="center"/>
          </w:tcPr>
          <w:p w14:paraId="07908AF6" w14:textId="77777777" w:rsidR="002760B2" w:rsidRPr="002B005F" w:rsidRDefault="002760B2" w:rsidP="00696D47">
            <w:pPr>
              <w:tabs>
                <w:tab w:val="left" w:pos="0"/>
              </w:tabs>
              <w:spacing w:line="240" w:lineRule="auto"/>
              <w:ind w:right="284"/>
              <w:jc w:val="right"/>
              <w:rPr>
                <w:rFonts w:ascii="Times New Roman" w:eastAsia="Arial" w:hAnsi="Times New Roman" w:cs="Times New Roman"/>
                <w:b/>
                <w:bCs/>
                <w:sz w:val="24"/>
                <w:szCs w:val="24"/>
              </w:rPr>
            </w:pPr>
            <w:r w:rsidRPr="002B005F">
              <w:rPr>
                <w:rFonts w:ascii="Times New Roman" w:eastAsia="Times New Roman" w:hAnsi="Times New Roman" w:cs="Times New Roman"/>
                <w:b/>
                <w:bCs/>
                <w:sz w:val="24"/>
                <w:szCs w:val="24"/>
              </w:rPr>
              <w:t>52</w:t>
            </w:r>
          </w:p>
        </w:tc>
        <w:tc>
          <w:tcPr>
            <w:tcW w:w="1247" w:type="dxa"/>
            <w:shd w:val="clear" w:color="auto" w:fill="D5DCE4" w:themeFill="text2" w:themeFillTint="33"/>
            <w:vAlign w:val="center"/>
          </w:tcPr>
          <w:p w14:paraId="4F2FBF35" w14:textId="77777777" w:rsidR="002760B2" w:rsidRPr="002B005F" w:rsidRDefault="002760B2" w:rsidP="00696D47">
            <w:pPr>
              <w:tabs>
                <w:tab w:val="left" w:pos="0"/>
              </w:tabs>
              <w:spacing w:line="240" w:lineRule="auto"/>
              <w:jc w:val="center"/>
              <w:rPr>
                <w:rFonts w:ascii="Times New Roman" w:eastAsia="Arial" w:hAnsi="Times New Roman" w:cs="Times New Roman"/>
                <w:b/>
                <w:bCs/>
                <w:sz w:val="24"/>
                <w:szCs w:val="24"/>
              </w:rPr>
            </w:pPr>
            <w:r w:rsidRPr="002B005F">
              <w:rPr>
                <w:rFonts w:ascii="Times New Roman" w:eastAsia="Times New Roman" w:hAnsi="Times New Roman" w:cs="Times New Roman"/>
                <w:b/>
                <w:bCs/>
                <w:sz w:val="24"/>
                <w:szCs w:val="24"/>
              </w:rPr>
              <w:t>25.36</w:t>
            </w:r>
          </w:p>
        </w:tc>
        <w:tc>
          <w:tcPr>
            <w:tcW w:w="1020" w:type="dxa"/>
            <w:shd w:val="clear" w:color="auto" w:fill="D5DCE4" w:themeFill="text2" w:themeFillTint="33"/>
            <w:vAlign w:val="center"/>
          </w:tcPr>
          <w:p w14:paraId="75C724CD" w14:textId="77777777" w:rsidR="002760B2" w:rsidRPr="002B005F" w:rsidRDefault="002760B2" w:rsidP="00696D47">
            <w:pPr>
              <w:tabs>
                <w:tab w:val="left" w:pos="0"/>
              </w:tabs>
              <w:spacing w:line="240" w:lineRule="auto"/>
              <w:ind w:right="284"/>
              <w:jc w:val="right"/>
              <w:rPr>
                <w:rFonts w:ascii="Times New Roman" w:eastAsia="Arial" w:hAnsi="Times New Roman" w:cs="Times New Roman"/>
                <w:b/>
                <w:bCs/>
                <w:sz w:val="24"/>
                <w:szCs w:val="24"/>
              </w:rPr>
            </w:pPr>
            <w:r w:rsidRPr="002B005F">
              <w:rPr>
                <w:rFonts w:ascii="Times New Roman" w:eastAsia="Times New Roman" w:hAnsi="Times New Roman" w:cs="Times New Roman"/>
                <w:b/>
                <w:bCs/>
                <w:sz w:val="24"/>
                <w:szCs w:val="24"/>
              </w:rPr>
              <w:t>14</w:t>
            </w:r>
          </w:p>
        </w:tc>
        <w:tc>
          <w:tcPr>
            <w:tcW w:w="1077" w:type="dxa"/>
            <w:shd w:val="clear" w:color="auto" w:fill="D5DCE4" w:themeFill="text2" w:themeFillTint="33"/>
            <w:vAlign w:val="center"/>
          </w:tcPr>
          <w:p w14:paraId="73DBB06D" w14:textId="77777777" w:rsidR="002760B2" w:rsidRPr="002B005F" w:rsidRDefault="002760B2" w:rsidP="00696D47">
            <w:pPr>
              <w:tabs>
                <w:tab w:val="left" w:pos="0"/>
              </w:tabs>
              <w:spacing w:line="240" w:lineRule="auto"/>
              <w:jc w:val="center"/>
              <w:rPr>
                <w:rFonts w:ascii="Times New Roman" w:eastAsia="Arial" w:hAnsi="Times New Roman" w:cs="Times New Roman"/>
                <w:b/>
                <w:bCs/>
                <w:sz w:val="24"/>
                <w:szCs w:val="24"/>
              </w:rPr>
            </w:pPr>
            <w:r w:rsidRPr="002B005F">
              <w:rPr>
                <w:rFonts w:ascii="Times New Roman" w:eastAsia="Times New Roman" w:hAnsi="Times New Roman" w:cs="Times New Roman"/>
                <w:b/>
                <w:bCs/>
                <w:sz w:val="24"/>
                <w:szCs w:val="24"/>
              </w:rPr>
              <w:t>8.64</w:t>
            </w:r>
          </w:p>
        </w:tc>
        <w:tc>
          <w:tcPr>
            <w:tcW w:w="1137" w:type="dxa"/>
            <w:shd w:val="clear" w:color="auto" w:fill="D5DCE4" w:themeFill="text2" w:themeFillTint="33"/>
            <w:vAlign w:val="center"/>
          </w:tcPr>
          <w:p w14:paraId="4E0C2B6D" w14:textId="77777777" w:rsidR="002760B2" w:rsidRPr="002B005F" w:rsidRDefault="002760B2" w:rsidP="00696D47">
            <w:pPr>
              <w:tabs>
                <w:tab w:val="left" w:pos="0"/>
              </w:tabs>
              <w:spacing w:line="240" w:lineRule="auto"/>
              <w:jc w:val="center"/>
              <w:rPr>
                <w:rFonts w:ascii="Times New Roman" w:eastAsia="Arial" w:hAnsi="Times New Roman" w:cs="Times New Roman"/>
                <w:b/>
                <w:bCs/>
                <w:sz w:val="24"/>
                <w:szCs w:val="24"/>
              </w:rPr>
            </w:pPr>
            <w:r w:rsidRPr="002B005F">
              <w:rPr>
                <w:rFonts w:ascii="Times New Roman" w:eastAsia="Times New Roman" w:hAnsi="Times New Roman" w:cs="Times New Roman"/>
                <w:b/>
                <w:bCs/>
                <w:sz w:val="24"/>
                <w:szCs w:val="24"/>
              </w:rPr>
              <w:t>100</w:t>
            </w:r>
            <w:r w:rsidR="00971BF2" w:rsidRPr="002B005F">
              <w:rPr>
                <w:rFonts w:ascii="Times New Roman" w:eastAsia="Times New Roman" w:hAnsi="Times New Roman" w:cs="Times New Roman"/>
                <w:b/>
                <w:bCs/>
                <w:sz w:val="24"/>
                <w:szCs w:val="24"/>
              </w:rPr>
              <w:t>,00</w:t>
            </w:r>
          </w:p>
        </w:tc>
      </w:tr>
    </w:tbl>
    <w:p w14:paraId="2123FA31" w14:textId="77777777" w:rsidR="002760B2" w:rsidRPr="002B005F" w:rsidRDefault="002760B2" w:rsidP="008D0CB6">
      <w:pPr>
        <w:tabs>
          <w:tab w:val="left" w:pos="0"/>
        </w:tabs>
        <w:autoSpaceDE w:val="0"/>
        <w:autoSpaceDN w:val="0"/>
        <w:adjustRightInd w:val="0"/>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w:t>
      </w:r>
      <w:r w:rsidRPr="002B005F">
        <w:rPr>
          <w:rFonts w:ascii="Times New Roman" w:hAnsi="Times New Roman" w:cs="Times New Roman"/>
          <w:color w:val="1F4E79" w:themeColor="accent1" w:themeShade="80"/>
          <w:sz w:val="20"/>
          <w:szCs w:val="20"/>
        </w:rPr>
        <w:t xml:space="preserve"> : </w:t>
      </w:r>
      <w:r w:rsidRPr="002B005F">
        <w:rPr>
          <w:rFonts w:ascii="Times New Roman" w:hAnsi="Times New Roman" w:cs="Times New Roman"/>
          <w:sz w:val="20"/>
          <w:szCs w:val="20"/>
        </w:rPr>
        <w:t>Calculs du chercheur.</w:t>
      </w:r>
    </w:p>
    <w:p w14:paraId="7C41E31E" w14:textId="77777777" w:rsidR="002760B2" w:rsidRPr="002B005F" w:rsidRDefault="00F67317" w:rsidP="001634E3">
      <w:pPr>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Étant donné que le type</w:t>
      </w:r>
      <w:r w:rsidR="002760B2" w:rsidRPr="002B005F">
        <w:rPr>
          <w:rFonts w:ascii="Times New Roman" w:hAnsi="Times New Roman" w:cs="Times New Roman"/>
          <w:sz w:val="24"/>
          <w:szCs w:val="24"/>
        </w:rPr>
        <w:t xml:space="preserve"> des institutions par</w:t>
      </w:r>
      <w:r w:rsidRPr="002B005F">
        <w:rPr>
          <w:rFonts w:ascii="Times New Roman" w:hAnsi="Times New Roman" w:cs="Times New Roman"/>
          <w:sz w:val="24"/>
          <w:szCs w:val="24"/>
        </w:rPr>
        <w:t>ticipantes a des implications s</w:t>
      </w:r>
      <w:r w:rsidR="002760B2" w:rsidRPr="002B005F">
        <w:rPr>
          <w:rFonts w:ascii="Times New Roman" w:hAnsi="Times New Roman" w:cs="Times New Roman"/>
          <w:sz w:val="24"/>
          <w:szCs w:val="24"/>
        </w:rPr>
        <w:t>ur certaines questions</w:t>
      </w:r>
      <w:r w:rsidRPr="002B005F">
        <w:rPr>
          <w:rFonts w:ascii="Times New Roman" w:hAnsi="Times New Roman" w:cs="Times New Roman"/>
          <w:sz w:val="24"/>
          <w:szCs w:val="24"/>
        </w:rPr>
        <w:t xml:space="preserve"> du questionnaire, la nature de leurs activités</w:t>
      </w:r>
      <w:r w:rsidR="002760B2" w:rsidRPr="002B005F">
        <w:rPr>
          <w:rFonts w:ascii="Times New Roman" w:hAnsi="Times New Roman" w:cs="Times New Roman"/>
          <w:sz w:val="24"/>
          <w:szCs w:val="24"/>
        </w:rPr>
        <w:t xml:space="preserve"> est égalem</w:t>
      </w:r>
      <w:r w:rsidRPr="002B005F">
        <w:rPr>
          <w:rFonts w:ascii="Times New Roman" w:hAnsi="Times New Roman" w:cs="Times New Roman"/>
          <w:sz w:val="24"/>
          <w:szCs w:val="24"/>
        </w:rPr>
        <w:t>ent examinée. Selon</w:t>
      </w:r>
      <w:r w:rsidR="002760B2" w:rsidRPr="002B005F">
        <w:rPr>
          <w:rFonts w:ascii="Times New Roman" w:hAnsi="Times New Roman" w:cs="Times New Roman"/>
          <w:sz w:val="24"/>
          <w:szCs w:val="24"/>
        </w:rPr>
        <w:t xml:space="preserve"> le tableau 12, les répondants sont répartis entre les banques commerciales (72.76%), les banques d’investissement (18.86%) et les banques de développement (7.38%). 1% des répondants ont déclaré que leurs institutions o</w:t>
      </w:r>
      <w:r w:rsidRPr="002B005F">
        <w:rPr>
          <w:rFonts w:ascii="Times New Roman" w:hAnsi="Times New Roman" w:cs="Times New Roman"/>
          <w:sz w:val="24"/>
          <w:szCs w:val="24"/>
        </w:rPr>
        <w:t>ffrent des services de leasing.</w:t>
      </w:r>
    </w:p>
    <w:p w14:paraId="06B2F462" w14:textId="21452F09" w:rsidR="008C2E40" w:rsidRPr="002B005F" w:rsidRDefault="008C2E40" w:rsidP="002B7158">
      <w:pPr>
        <w:pStyle w:val="Lgende"/>
        <w:tabs>
          <w:tab w:val="left" w:pos="0"/>
        </w:tabs>
        <w:spacing w:before="100" w:beforeAutospacing="1" w:after="120" w:line="300" w:lineRule="auto"/>
        <w:jc w:val="center"/>
        <w:rPr>
          <w:rFonts w:ascii="Times New Roman" w:hAnsi="Times New Roman" w:cs="Times New Roman"/>
          <w:color w:val="auto"/>
          <w:sz w:val="24"/>
          <w:szCs w:val="24"/>
        </w:rPr>
      </w:pPr>
      <w:bookmarkStart w:id="1590" w:name="_Toc115556080"/>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12</w:t>
      </w:r>
      <w:r w:rsidR="00B544E5" w:rsidRPr="002B005F">
        <w:rPr>
          <w:rFonts w:ascii="Times New Roman" w:hAnsi="Times New Roman" w:cs="Times New Roman"/>
          <w:color w:val="auto"/>
          <w:sz w:val="24"/>
          <w:szCs w:val="24"/>
        </w:rPr>
        <w:fldChar w:fldCharType="end"/>
      </w:r>
      <w:r w:rsidR="007C68EE"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Nature d’activités des BI</w:t>
      </w:r>
      <w:r w:rsidR="00696D47" w:rsidRPr="002B005F">
        <w:rPr>
          <w:rFonts w:ascii="Times New Roman" w:hAnsi="Times New Roman" w:cs="Times New Roman"/>
          <w:color w:val="auto"/>
          <w:sz w:val="24"/>
          <w:szCs w:val="24"/>
        </w:rPr>
        <w:t xml:space="preserve"> en %</w:t>
      </w:r>
      <w:bookmarkEnd w:id="1590"/>
    </w:p>
    <w:tbl>
      <w:tblPr>
        <w:tblStyle w:val="Tramemoyenne2-Accent5"/>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660" w:firstRow="1" w:lastRow="1" w:firstColumn="0" w:lastColumn="0" w:noHBand="1" w:noVBand="1"/>
      </w:tblPr>
      <w:tblGrid>
        <w:gridCol w:w="3492"/>
        <w:gridCol w:w="1584"/>
        <w:gridCol w:w="1266"/>
        <w:gridCol w:w="2001"/>
      </w:tblGrid>
      <w:tr w:rsidR="005703ED" w:rsidRPr="002B005F" w14:paraId="5C43C019" w14:textId="77777777" w:rsidTr="00BA259D">
        <w:trPr>
          <w:cnfStyle w:val="100000000000" w:firstRow="1" w:lastRow="0" w:firstColumn="0" w:lastColumn="0" w:oddVBand="0" w:evenVBand="0" w:oddHBand="0" w:evenHBand="0" w:firstRowFirstColumn="0" w:firstRowLastColumn="0" w:lastRowFirstColumn="0" w:lastRowLastColumn="0"/>
          <w:trHeight w:val="510"/>
          <w:jc w:val="center"/>
        </w:trPr>
        <w:tc>
          <w:tcPr>
            <w:tcW w:w="2093" w:type="pct"/>
            <w:tcBorders>
              <w:top w:val="none" w:sz="0" w:space="0" w:color="auto"/>
              <w:left w:val="none" w:sz="0" w:space="0" w:color="auto"/>
              <w:bottom w:val="none" w:sz="0" w:space="0" w:color="auto"/>
              <w:right w:val="none" w:sz="0" w:space="0" w:color="auto"/>
            </w:tcBorders>
            <w:shd w:val="clear" w:color="auto" w:fill="D5DCE4" w:themeFill="text2" w:themeFillTint="33"/>
            <w:noWrap/>
            <w:vAlign w:val="center"/>
          </w:tcPr>
          <w:p w14:paraId="1A55F818" w14:textId="77777777" w:rsidR="002760B2" w:rsidRPr="002B005F" w:rsidRDefault="002760B2" w:rsidP="00BA259D">
            <w:pPr>
              <w:tabs>
                <w:tab w:val="left" w:pos="0"/>
              </w:tabs>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Nature d’activité</w:t>
            </w:r>
          </w:p>
        </w:tc>
        <w:tc>
          <w:tcPr>
            <w:tcW w:w="949" w:type="pct"/>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6F1B75CD" w14:textId="77777777" w:rsidR="002760B2" w:rsidRPr="002B005F" w:rsidRDefault="002760B2" w:rsidP="00BA259D">
            <w:pPr>
              <w:tabs>
                <w:tab w:val="left" w:pos="0"/>
              </w:tabs>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BI à part entière</w:t>
            </w:r>
          </w:p>
        </w:tc>
        <w:tc>
          <w:tcPr>
            <w:tcW w:w="759" w:type="pct"/>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0B832573" w14:textId="77777777" w:rsidR="002760B2" w:rsidRPr="002B005F" w:rsidRDefault="00696D47" w:rsidP="00BA259D">
            <w:pPr>
              <w:tabs>
                <w:tab w:val="left" w:pos="0"/>
              </w:tabs>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 xml:space="preserve">Banque à guichet </w:t>
            </w:r>
            <w:r w:rsidR="002B7158">
              <w:rPr>
                <w:rFonts w:ascii="Times New Roman" w:hAnsi="Times New Roman" w:cs="Times New Roman"/>
                <w:color w:val="auto"/>
                <w:sz w:val="24"/>
                <w:szCs w:val="24"/>
              </w:rPr>
              <w:t>i</w:t>
            </w:r>
            <w:r w:rsidR="003773C6" w:rsidRPr="002B005F">
              <w:rPr>
                <w:rFonts w:ascii="Times New Roman" w:hAnsi="Times New Roman" w:cs="Times New Roman"/>
                <w:color w:val="auto"/>
                <w:sz w:val="24"/>
                <w:szCs w:val="24"/>
              </w:rPr>
              <w:t>slamique</w:t>
            </w:r>
          </w:p>
        </w:tc>
        <w:tc>
          <w:tcPr>
            <w:tcW w:w="1199" w:type="pct"/>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41405683" w14:textId="77777777" w:rsidR="002760B2" w:rsidRPr="002B005F" w:rsidRDefault="002760B2" w:rsidP="00BA259D">
            <w:pPr>
              <w:tabs>
                <w:tab w:val="left" w:pos="0"/>
              </w:tabs>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Total</w:t>
            </w:r>
          </w:p>
        </w:tc>
      </w:tr>
      <w:tr w:rsidR="005703ED" w:rsidRPr="002B005F" w14:paraId="268CAA84" w14:textId="77777777" w:rsidTr="00696D47">
        <w:trPr>
          <w:trHeight w:val="510"/>
          <w:jc w:val="center"/>
        </w:trPr>
        <w:tc>
          <w:tcPr>
            <w:tcW w:w="2093" w:type="pct"/>
            <w:noWrap/>
            <w:vAlign w:val="center"/>
          </w:tcPr>
          <w:p w14:paraId="2E2D5720" w14:textId="77777777" w:rsidR="002760B2" w:rsidRPr="002B005F" w:rsidRDefault="002760B2" w:rsidP="00BA259D">
            <w:pPr>
              <w:tabs>
                <w:tab w:val="left" w:pos="0"/>
              </w:tabs>
              <w:ind w:left="57"/>
              <w:jc w:val="left"/>
              <w:rPr>
                <w:rFonts w:ascii="Times New Roman" w:hAnsi="Times New Roman" w:cs="Times New Roman"/>
                <w:b/>
                <w:bCs/>
                <w:sz w:val="24"/>
                <w:szCs w:val="24"/>
              </w:rPr>
            </w:pPr>
            <w:r w:rsidRPr="002B005F">
              <w:rPr>
                <w:rFonts w:ascii="Times New Roman" w:hAnsi="Times New Roman" w:cs="Times New Roman"/>
                <w:b/>
                <w:bCs/>
                <w:sz w:val="24"/>
                <w:szCs w:val="24"/>
              </w:rPr>
              <w:t>Banque commerciale</w:t>
            </w:r>
          </w:p>
        </w:tc>
        <w:tc>
          <w:tcPr>
            <w:tcW w:w="949" w:type="pct"/>
            <w:vAlign w:val="center"/>
          </w:tcPr>
          <w:p w14:paraId="1C742A83" w14:textId="77777777" w:rsidR="002760B2" w:rsidRPr="002B005F" w:rsidRDefault="00696D47"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60.76</w:t>
            </w:r>
          </w:p>
        </w:tc>
        <w:tc>
          <w:tcPr>
            <w:tcW w:w="759" w:type="pct"/>
            <w:vAlign w:val="center"/>
          </w:tcPr>
          <w:p w14:paraId="2F8FACCC" w14:textId="77777777" w:rsidR="002760B2" w:rsidRPr="002B005F" w:rsidRDefault="00696D47"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12</w:t>
            </w:r>
            <w:r w:rsidR="00BA259D" w:rsidRPr="002B005F">
              <w:rPr>
                <w:rFonts w:ascii="Times New Roman" w:hAnsi="Times New Roman" w:cs="Times New Roman"/>
                <w:sz w:val="24"/>
                <w:szCs w:val="24"/>
              </w:rPr>
              <w:t>,00</w:t>
            </w:r>
          </w:p>
        </w:tc>
        <w:tc>
          <w:tcPr>
            <w:tcW w:w="1199" w:type="pct"/>
            <w:vAlign w:val="center"/>
          </w:tcPr>
          <w:p w14:paraId="35E4D358" w14:textId="77777777" w:rsidR="002760B2" w:rsidRPr="002B005F" w:rsidRDefault="00696D47"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72.76</w:t>
            </w:r>
          </w:p>
        </w:tc>
      </w:tr>
      <w:tr w:rsidR="005703ED" w:rsidRPr="002B005F" w14:paraId="47DE1E64" w14:textId="77777777" w:rsidTr="00696D47">
        <w:trPr>
          <w:trHeight w:val="510"/>
          <w:jc w:val="center"/>
        </w:trPr>
        <w:tc>
          <w:tcPr>
            <w:tcW w:w="2093" w:type="pct"/>
            <w:noWrap/>
            <w:vAlign w:val="center"/>
          </w:tcPr>
          <w:p w14:paraId="7D7651BB" w14:textId="77777777" w:rsidR="002760B2" w:rsidRPr="002B005F" w:rsidRDefault="002760B2" w:rsidP="00BA259D">
            <w:pPr>
              <w:tabs>
                <w:tab w:val="left" w:pos="0"/>
              </w:tabs>
              <w:ind w:left="57"/>
              <w:jc w:val="left"/>
              <w:rPr>
                <w:rFonts w:ascii="Times New Roman" w:hAnsi="Times New Roman" w:cs="Times New Roman"/>
                <w:b/>
                <w:bCs/>
                <w:sz w:val="24"/>
                <w:szCs w:val="24"/>
              </w:rPr>
            </w:pPr>
            <w:r w:rsidRPr="002B005F">
              <w:rPr>
                <w:rFonts w:ascii="Times New Roman" w:hAnsi="Times New Roman" w:cs="Times New Roman"/>
                <w:b/>
                <w:bCs/>
                <w:sz w:val="24"/>
                <w:szCs w:val="24"/>
              </w:rPr>
              <w:t>Banque d’investissement</w:t>
            </w:r>
          </w:p>
        </w:tc>
        <w:tc>
          <w:tcPr>
            <w:tcW w:w="949" w:type="pct"/>
            <w:vAlign w:val="center"/>
          </w:tcPr>
          <w:p w14:paraId="3F2A7396" w14:textId="77777777" w:rsidR="002760B2" w:rsidRPr="002B005F" w:rsidRDefault="00696D47"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14.86</w:t>
            </w:r>
          </w:p>
        </w:tc>
        <w:tc>
          <w:tcPr>
            <w:tcW w:w="759" w:type="pct"/>
            <w:vAlign w:val="center"/>
          </w:tcPr>
          <w:p w14:paraId="5AA116AF" w14:textId="77777777" w:rsidR="002760B2" w:rsidRPr="002B005F" w:rsidRDefault="00BA259D"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04,00</w:t>
            </w:r>
          </w:p>
        </w:tc>
        <w:tc>
          <w:tcPr>
            <w:tcW w:w="1199" w:type="pct"/>
            <w:vAlign w:val="center"/>
          </w:tcPr>
          <w:p w14:paraId="70F02591" w14:textId="77777777" w:rsidR="002760B2" w:rsidRPr="002B005F" w:rsidRDefault="00696D47"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18.86</w:t>
            </w:r>
          </w:p>
        </w:tc>
      </w:tr>
      <w:tr w:rsidR="005703ED" w:rsidRPr="002B005F" w14:paraId="20EB9C84" w14:textId="77777777" w:rsidTr="00696D47">
        <w:trPr>
          <w:trHeight w:val="510"/>
          <w:jc w:val="center"/>
        </w:trPr>
        <w:tc>
          <w:tcPr>
            <w:tcW w:w="2093" w:type="pct"/>
            <w:noWrap/>
            <w:vAlign w:val="center"/>
          </w:tcPr>
          <w:p w14:paraId="2F40BFC4" w14:textId="77777777" w:rsidR="002760B2" w:rsidRPr="002B005F" w:rsidRDefault="002760B2" w:rsidP="00BA259D">
            <w:pPr>
              <w:tabs>
                <w:tab w:val="left" w:pos="0"/>
              </w:tabs>
              <w:ind w:left="57"/>
              <w:jc w:val="left"/>
              <w:rPr>
                <w:rFonts w:ascii="Times New Roman" w:hAnsi="Times New Roman" w:cs="Times New Roman"/>
                <w:b/>
                <w:bCs/>
                <w:sz w:val="24"/>
                <w:szCs w:val="24"/>
              </w:rPr>
            </w:pPr>
            <w:r w:rsidRPr="002B005F">
              <w:rPr>
                <w:rFonts w:ascii="Times New Roman" w:hAnsi="Times New Roman" w:cs="Times New Roman"/>
                <w:b/>
                <w:bCs/>
                <w:sz w:val="24"/>
                <w:szCs w:val="24"/>
              </w:rPr>
              <w:t>Banque de développement</w:t>
            </w:r>
          </w:p>
        </w:tc>
        <w:tc>
          <w:tcPr>
            <w:tcW w:w="949" w:type="pct"/>
            <w:vAlign w:val="center"/>
          </w:tcPr>
          <w:p w14:paraId="62098915" w14:textId="77777777" w:rsidR="002760B2" w:rsidRPr="002B005F" w:rsidRDefault="00696D47"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05.74</w:t>
            </w:r>
          </w:p>
        </w:tc>
        <w:tc>
          <w:tcPr>
            <w:tcW w:w="759" w:type="pct"/>
            <w:vAlign w:val="center"/>
          </w:tcPr>
          <w:p w14:paraId="22DCE464" w14:textId="77777777" w:rsidR="002760B2" w:rsidRPr="002B005F" w:rsidRDefault="00BA259D"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0</w:t>
            </w:r>
            <w:r w:rsidR="00696D47" w:rsidRPr="002B005F">
              <w:rPr>
                <w:rFonts w:ascii="Times New Roman" w:hAnsi="Times New Roman" w:cs="Times New Roman"/>
                <w:sz w:val="24"/>
                <w:szCs w:val="24"/>
              </w:rPr>
              <w:t>1,64</w:t>
            </w:r>
          </w:p>
        </w:tc>
        <w:tc>
          <w:tcPr>
            <w:tcW w:w="1199" w:type="pct"/>
            <w:vAlign w:val="center"/>
          </w:tcPr>
          <w:p w14:paraId="0F328A2D" w14:textId="77777777" w:rsidR="002760B2" w:rsidRPr="002B005F" w:rsidRDefault="00696D47"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7.38</w:t>
            </w:r>
          </w:p>
        </w:tc>
      </w:tr>
      <w:tr w:rsidR="005703ED" w:rsidRPr="002B005F" w14:paraId="32C3147E" w14:textId="77777777" w:rsidTr="00696D47">
        <w:trPr>
          <w:trHeight w:val="510"/>
          <w:jc w:val="center"/>
        </w:trPr>
        <w:tc>
          <w:tcPr>
            <w:tcW w:w="2093" w:type="pct"/>
            <w:noWrap/>
            <w:vAlign w:val="center"/>
          </w:tcPr>
          <w:p w14:paraId="09E04853" w14:textId="77777777" w:rsidR="002760B2" w:rsidRPr="002B005F" w:rsidRDefault="00696D47" w:rsidP="00BA259D">
            <w:pPr>
              <w:tabs>
                <w:tab w:val="left" w:pos="0"/>
              </w:tabs>
              <w:ind w:left="57"/>
              <w:jc w:val="left"/>
              <w:rPr>
                <w:rFonts w:ascii="Times New Roman" w:hAnsi="Times New Roman" w:cs="Times New Roman"/>
                <w:b/>
                <w:bCs/>
                <w:sz w:val="24"/>
                <w:szCs w:val="24"/>
              </w:rPr>
            </w:pPr>
            <w:r w:rsidRPr="002B005F">
              <w:rPr>
                <w:rFonts w:ascii="Times New Roman" w:hAnsi="Times New Roman" w:cs="Times New Roman"/>
                <w:b/>
                <w:bCs/>
                <w:sz w:val="24"/>
                <w:szCs w:val="24"/>
              </w:rPr>
              <w:t>A</w:t>
            </w:r>
            <w:r w:rsidR="002760B2" w:rsidRPr="002B005F">
              <w:rPr>
                <w:rFonts w:ascii="Times New Roman" w:hAnsi="Times New Roman" w:cs="Times New Roman"/>
                <w:b/>
                <w:bCs/>
                <w:sz w:val="24"/>
                <w:szCs w:val="24"/>
              </w:rPr>
              <w:t>utres</w:t>
            </w:r>
          </w:p>
        </w:tc>
        <w:tc>
          <w:tcPr>
            <w:tcW w:w="949" w:type="pct"/>
            <w:vAlign w:val="center"/>
          </w:tcPr>
          <w:p w14:paraId="7C435FDB" w14:textId="77777777" w:rsidR="002760B2" w:rsidRPr="002B005F" w:rsidRDefault="002760B2"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w:t>
            </w:r>
          </w:p>
        </w:tc>
        <w:tc>
          <w:tcPr>
            <w:tcW w:w="759" w:type="pct"/>
            <w:vAlign w:val="center"/>
          </w:tcPr>
          <w:p w14:paraId="3FC14E3E" w14:textId="77777777" w:rsidR="002760B2" w:rsidRPr="002B005F" w:rsidRDefault="00BA259D"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0</w:t>
            </w:r>
            <w:r w:rsidR="00696D47" w:rsidRPr="002B005F">
              <w:rPr>
                <w:rFonts w:ascii="Times New Roman" w:hAnsi="Times New Roman" w:cs="Times New Roman"/>
                <w:sz w:val="24"/>
                <w:szCs w:val="24"/>
              </w:rPr>
              <w:t>1,00</w:t>
            </w:r>
          </w:p>
        </w:tc>
        <w:tc>
          <w:tcPr>
            <w:tcW w:w="1199" w:type="pct"/>
            <w:vAlign w:val="center"/>
          </w:tcPr>
          <w:p w14:paraId="75E379C3" w14:textId="77777777" w:rsidR="002760B2" w:rsidRPr="002B005F" w:rsidRDefault="00BA259D" w:rsidP="00BA259D">
            <w:pPr>
              <w:pStyle w:val="DecimalAligned"/>
              <w:tabs>
                <w:tab w:val="left" w:pos="0"/>
              </w:tabs>
              <w:jc w:val="center"/>
              <w:rPr>
                <w:rFonts w:ascii="Times New Roman" w:hAnsi="Times New Roman" w:cs="Times New Roman"/>
                <w:sz w:val="24"/>
                <w:szCs w:val="24"/>
              </w:rPr>
            </w:pPr>
            <w:r w:rsidRPr="002B005F">
              <w:rPr>
                <w:rFonts w:ascii="Times New Roman" w:hAnsi="Times New Roman" w:cs="Times New Roman"/>
                <w:sz w:val="24"/>
                <w:szCs w:val="24"/>
              </w:rPr>
              <w:t>0</w:t>
            </w:r>
            <w:r w:rsidR="00696D47" w:rsidRPr="002B005F">
              <w:rPr>
                <w:rFonts w:ascii="Times New Roman" w:hAnsi="Times New Roman" w:cs="Times New Roman"/>
                <w:sz w:val="24"/>
                <w:szCs w:val="24"/>
              </w:rPr>
              <w:t>1</w:t>
            </w:r>
            <w:r w:rsidRPr="002B005F">
              <w:rPr>
                <w:rFonts w:ascii="Times New Roman" w:hAnsi="Times New Roman" w:cs="Times New Roman"/>
                <w:sz w:val="24"/>
                <w:szCs w:val="24"/>
              </w:rPr>
              <w:t>,00</w:t>
            </w:r>
          </w:p>
        </w:tc>
      </w:tr>
      <w:tr w:rsidR="005703ED" w:rsidRPr="002B005F" w14:paraId="671FC4C8" w14:textId="77777777" w:rsidTr="00BA259D">
        <w:trPr>
          <w:cnfStyle w:val="010000000000" w:firstRow="0" w:lastRow="1" w:firstColumn="0" w:lastColumn="0" w:oddVBand="0" w:evenVBand="0" w:oddHBand="0" w:evenHBand="0" w:firstRowFirstColumn="0" w:firstRowLastColumn="0" w:lastRowFirstColumn="0" w:lastRowLastColumn="0"/>
          <w:trHeight w:val="510"/>
          <w:jc w:val="center"/>
        </w:trPr>
        <w:tc>
          <w:tcPr>
            <w:tcW w:w="2093" w:type="pct"/>
            <w:tcBorders>
              <w:top w:val="none" w:sz="0" w:space="0" w:color="auto"/>
              <w:left w:val="none" w:sz="0" w:space="0" w:color="auto"/>
              <w:bottom w:val="none" w:sz="0" w:space="0" w:color="auto"/>
              <w:right w:val="none" w:sz="0" w:space="0" w:color="auto"/>
            </w:tcBorders>
            <w:shd w:val="clear" w:color="auto" w:fill="D5DCE4" w:themeFill="text2" w:themeFillTint="33"/>
            <w:noWrap/>
            <w:vAlign w:val="center"/>
          </w:tcPr>
          <w:p w14:paraId="00F5F9EC" w14:textId="77777777" w:rsidR="002760B2" w:rsidRPr="002B005F" w:rsidRDefault="002760B2" w:rsidP="00BA259D">
            <w:pPr>
              <w:tabs>
                <w:tab w:val="left" w:pos="0"/>
              </w:tabs>
              <w:ind w:right="246"/>
              <w:jc w:val="right"/>
              <w:rPr>
                <w:rFonts w:ascii="Times New Roman" w:hAnsi="Times New Roman" w:cs="Times New Roman"/>
                <w:b/>
                <w:bCs/>
                <w:sz w:val="24"/>
                <w:szCs w:val="24"/>
              </w:rPr>
            </w:pPr>
            <w:r w:rsidRPr="002B005F">
              <w:rPr>
                <w:rFonts w:ascii="Times New Roman" w:hAnsi="Times New Roman" w:cs="Times New Roman"/>
                <w:b/>
                <w:bCs/>
                <w:sz w:val="24"/>
                <w:szCs w:val="24"/>
              </w:rPr>
              <w:t>Total</w:t>
            </w:r>
          </w:p>
        </w:tc>
        <w:tc>
          <w:tcPr>
            <w:tcW w:w="949" w:type="pct"/>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77818588" w14:textId="77777777" w:rsidR="002760B2" w:rsidRPr="002B005F" w:rsidRDefault="00696D47" w:rsidP="00BA259D">
            <w:pPr>
              <w:pStyle w:val="DecimalAligned"/>
              <w:tabs>
                <w:tab w:val="left" w:pos="0"/>
              </w:tabs>
              <w:jc w:val="center"/>
              <w:rPr>
                <w:rFonts w:ascii="Times New Roman" w:hAnsi="Times New Roman" w:cs="Times New Roman"/>
                <w:b/>
                <w:bCs/>
                <w:sz w:val="24"/>
                <w:szCs w:val="24"/>
              </w:rPr>
            </w:pPr>
            <w:r w:rsidRPr="002B005F">
              <w:rPr>
                <w:rFonts w:ascii="Times New Roman" w:hAnsi="Times New Roman" w:cs="Times New Roman"/>
                <w:b/>
                <w:bCs/>
                <w:sz w:val="24"/>
                <w:szCs w:val="24"/>
              </w:rPr>
              <w:t>81.36</w:t>
            </w:r>
          </w:p>
        </w:tc>
        <w:tc>
          <w:tcPr>
            <w:tcW w:w="759" w:type="pct"/>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3EECB874" w14:textId="77777777" w:rsidR="002760B2" w:rsidRPr="002B005F" w:rsidRDefault="00696D47" w:rsidP="00BA259D">
            <w:pPr>
              <w:pStyle w:val="DecimalAligned"/>
              <w:tabs>
                <w:tab w:val="left" w:pos="0"/>
              </w:tabs>
              <w:jc w:val="center"/>
              <w:rPr>
                <w:rFonts w:ascii="Times New Roman" w:hAnsi="Times New Roman" w:cs="Times New Roman"/>
                <w:b/>
                <w:bCs/>
                <w:sz w:val="24"/>
                <w:szCs w:val="24"/>
              </w:rPr>
            </w:pPr>
            <w:r w:rsidRPr="002B005F">
              <w:rPr>
                <w:rFonts w:ascii="Times New Roman" w:hAnsi="Times New Roman" w:cs="Times New Roman"/>
                <w:b/>
                <w:bCs/>
                <w:sz w:val="24"/>
                <w:szCs w:val="24"/>
              </w:rPr>
              <w:t>18.64</w:t>
            </w:r>
          </w:p>
        </w:tc>
        <w:tc>
          <w:tcPr>
            <w:tcW w:w="1199" w:type="pct"/>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1A6D1DDF" w14:textId="77777777" w:rsidR="002760B2" w:rsidRPr="002B005F" w:rsidRDefault="00696D47" w:rsidP="00BA259D">
            <w:pPr>
              <w:pStyle w:val="DecimalAligned"/>
              <w:tabs>
                <w:tab w:val="left" w:pos="0"/>
              </w:tabs>
              <w:jc w:val="center"/>
              <w:rPr>
                <w:rFonts w:ascii="Times New Roman" w:hAnsi="Times New Roman" w:cs="Times New Roman"/>
                <w:b/>
                <w:bCs/>
                <w:sz w:val="24"/>
                <w:szCs w:val="24"/>
              </w:rPr>
            </w:pPr>
            <w:r w:rsidRPr="002B005F">
              <w:rPr>
                <w:rFonts w:ascii="Times New Roman" w:hAnsi="Times New Roman" w:cs="Times New Roman"/>
                <w:b/>
                <w:bCs/>
                <w:sz w:val="24"/>
                <w:szCs w:val="24"/>
              </w:rPr>
              <w:t>100</w:t>
            </w:r>
            <w:r w:rsidR="00BA259D" w:rsidRPr="002B005F">
              <w:rPr>
                <w:rFonts w:ascii="Times New Roman" w:hAnsi="Times New Roman" w:cs="Times New Roman"/>
                <w:b/>
                <w:bCs/>
                <w:sz w:val="24"/>
                <w:szCs w:val="24"/>
              </w:rPr>
              <w:t>,00</w:t>
            </w:r>
          </w:p>
        </w:tc>
      </w:tr>
    </w:tbl>
    <w:p w14:paraId="48CD2584" w14:textId="77777777" w:rsidR="002760B2" w:rsidRPr="002B005F" w:rsidRDefault="002760B2" w:rsidP="00BA259D">
      <w:pPr>
        <w:tabs>
          <w:tab w:val="left" w:pos="0"/>
        </w:tabs>
        <w:spacing w:before="120" w:after="100" w:afterAutospacing="1" w:line="240" w:lineRule="auto"/>
        <w:jc w:val="center"/>
        <w:rPr>
          <w:rFonts w:ascii="Times New Roman" w:eastAsia="Times New Roman" w:hAnsi="Times New Roman" w:cs="Times New Roman"/>
          <w:sz w:val="20"/>
          <w:szCs w:val="20"/>
        </w:rPr>
      </w:pPr>
      <w:r w:rsidRPr="002B005F">
        <w:rPr>
          <w:rFonts w:ascii="Times New Roman" w:eastAsia="Times New Roman" w:hAnsi="Times New Roman" w:cs="Times New Roman"/>
          <w:sz w:val="20"/>
          <w:szCs w:val="20"/>
        </w:rPr>
        <w:t>Source : Calculs du chercheur.</w:t>
      </w:r>
    </w:p>
    <w:p w14:paraId="01251246" w14:textId="77777777" w:rsidR="002760B2" w:rsidRPr="002B005F" w:rsidRDefault="002760B2" w:rsidP="001634E3">
      <w:pPr>
        <w:tabs>
          <w:tab w:val="left" w:pos="0"/>
        </w:tabs>
        <w:spacing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Enfin, les normes comptables utilisées par les institutions financières échantillonnées ont également été consultées dans le questionnaire. Comme le montre le graphique 01, la majorité des banques participantes utilisent les normes comptables internationales. Pour les banques </w:t>
      </w:r>
      <w:r w:rsidR="002B7158">
        <w:rPr>
          <w:rFonts w:ascii="Times New Roman" w:eastAsia="Times New Roman" w:hAnsi="Times New Roman" w:cs="Times New Roman"/>
          <w:sz w:val="24"/>
          <w:szCs w:val="24"/>
        </w:rPr>
        <w:t>i</w:t>
      </w:r>
      <w:r w:rsidR="003773C6" w:rsidRPr="002B005F">
        <w:rPr>
          <w:rFonts w:ascii="Times New Roman" w:eastAsia="Times New Roman" w:hAnsi="Times New Roman" w:cs="Times New Roman"/>
          <w:sz w:val="24"/>
          <w:szCs w:val="24"/>
        </w:rPr>
        <w:t>slamique</w:t>
      </w:r>
      <w:r w:rsidRPr="002B005F">
        <w:rPr>
          <w:rFonts w:ascii="Times New Roman" w:eastAsia="Times New Roman" w:hAnsi="Times New Roman" w:cs="Times New Roman"/>
          <w:sz w:val="24"/>
          <w:szCs w:val="24"/>
        </w:rPr>
        <w:t xml:space="preserve">s à part entière elles utilisent les Standards internationaux avec un pourcentage de 48% et les normes AAOIFI avec un pourcentage de 33%. Concernant les banques à guichets </w:t>
      </w:r>
      <w:r w:rsidR="002B7158">
        <w:rPr>
          <w:rFonts w:ascii="Times New Roman" w:eastAsia="Times New Roman" w:hAnsi="Times New Roman" w:cs="Times New Roman"/>
          <w:sz w:val="24"/>
          <w:szCs w:val="24"/>
        </w:rPr>
        <w:t>i</w:t>
      </w:r>
      <w:r w:rsidR="003773C6" w:rsidRPr="002B005F">
        <w:rPr>
          <w:rFonts w:ascii="Times New Roman" w:eastAsia="Times New Roman" w:hAnsi="Times New Roman" w:cs="Times New Roman"/>
          <w:sz w:val="24"/>
          <w:szCs w:val="24"/>
        </w:rPr>
        <w:t>slamique</w:t>
      </w:r>
      <w:r w:rsidRPr="002B005F">
        <w:rPr>
          <w:rFonts w:ascii="Times New Roman" w:eastAsia="Times New Roman" w:hAnsi="Times New Roman" w:cs="Times New Roman"/>
          <w:sz w:val="24"/>
          <w:szCs w:val="24"/>
        </w:rPr>
        <w:t>s, elles font recours aux standards internationau</w:t>
      </w:r>
      <w:r w:rsidR="00E31AA6" w:rsidRPr="002B005F">
        <w:rPr>
          <w:rFonts w:ascii="Times New Roman" w:eastAsia="Times New Roman" w:hAnsi="Times New Roman" w:cs="Times New Roman"/>
          <w:sz w:val="24"/>
          <w:szCs w:val="24"/>
        </w:rPr>
        <w:t>x avec un pourcentage égal à 66</w:t>
      </w:r>
      <w:r w:rsidRPr="002B005F">
        <w:rPr>
          <w:rFonts w:ascii="Times New Roman" w:eastAsia="Times New Roman" w:hAnsi="Times New Roman" w:cs="Times New Roman"/>
          <w:sz w:val="24"/>
          <w:szCs w:val="24"/>
        </w:rPr>
        <w:t xml:space="preserve">% alors qu’aux normes AAOIFI avec un pourcentage de 6%.  </w:t>
      </w:r>
    </w:p>
    <w:p w14:paraId="063AA854" w14:textId="4854E2E2" w:rsidR="002760B2" w:rsidRPr="002B005F" w:rsidRDefault="004166FE" w:rsidP="001634E3">
      <w:pPr>
        <w:pStyle w:val="Lgende"/>
        <w:keepNext/>
        <w:tabs>
          <w:tab w:val="left" w:pos="0"/>
        </w:tabs>
        <w:spacing w:before="100" w:beforeAutospacing="1" w:after="120" w:line="300" w:lineRule="auto"/>
        <w:jc w:val="center"/>
        <w:rPr>
          <w:rFonts w:ascii="Times New Roman" w:eastAsia="Times New Roman" w:hAnsi="Times New Roman" w:cs="Times New Roman"/>
          <w:color w:val="auto"/>
          <w:sz w:val="20"/>
          <w:szCs w:val="20"/>
        </w:rPr>
      </w:pPr>
      <w:bookmarkStart w:id="1591" w:name="_Toc58605752"/>
      <w:r w:rsidRPr="002B005F">
        <w:rPr>
          <w:rFonts w:ascii="Times New Roman" w:hAnsi="Times New Roman" w:cs="Times New Roman"/>
          <w:color w:val="auto"/>
          <w:sz w:val="20"/>
          <w:szCs w:val="20"/>
        </w:rPr>
        <w:t xml:space="preserve">Graphique </w:t>
      </w:r>
      <w:r w:rsidR="00B544E5" w:rsidRPr="002B005F">
        <w:rPr>
          <w:rFonts w:ascii="Times New Roman" w:hAnsi="Times New Roman" w:cs="Times New Roman"/>
          <w:color w:val="auto"/>
          <w:sz w:val="20"/>
          <w:szCs w:val="20"/>
        </w:rPr>
        <w:fldChar w:fldCharType="begin"/>
      </w:r>
      <w:r w:rsidRPr="002B005F">
        <w:rPr>
          <w:rFonts w:ascii="Times New Roman" w:hAnsi="Times New Roman" w:cs="Times New Roman"/>
          <w:color w:val="auto"/>
          <w:sz w:val="20"/>
          <w:szCs w:val="20"/>
        </w:rPr>
        <w:instrText xml:space="preserve"> SEQ Graphique \* ARABIC </w:instrText>
      </w:r>
      <w:r w:rsidR="00B544E5" w:rsidRPr="002B005F">
        <w:rPr>
          <w:rFonts w:ascii="Times New Roman" w:hAnsi="Times New Roman" w:cs="Times New Roman"/>
          <w:color w:val="auto"/>
          <w:sz w:val="20"/>
          <w:szCs w:val="20"/>
        </w:rPr>
        <w:fldChar w:fldCharType="separate"/>
      </w:r>
      <w:r w:rsidR="00666FC7">
        <w:rPr>
          <w:rFonts w:ascii="Times New Roman" w:hAnsi="Times New Roman" w:cs="Times New Roman"/>
          <w:noProof/>
          <w:color w:val="auto"/>
          <w:sz w:val="20"/>
          <w:szCs w:val="20"/>
        </w:rPr>
        <w:t>1</w:t>
      </w:r>
      <w:r w:rsidR="00B544E5" w:rsidRPr="002B005F">
        <w:rPr>
          <w:rFonts w:ascii="Times New Roman" w:hAnsi="Times New Roman" w:cs="Times New Roman"/>
          <w:color w:val="auto"/>
          <w:sz w:val="20"/>
          <w:szCs w:val="20"/>
        </w:rPr>
        <w:fldChar w:fldCharType="end"/>
      </w:r>
      <w:r w:rsidR="003A6BF2" w:rsidRPr="002B005F">
        <w:rPr>
          <w:rFonts w:ascii="Times New Roman" w:hAnsi="Times New Roman" w:cs="Times New Roman"/>
          <w:color w:val="auto"/>
          <w:sz w:val="20"/>
          <w:szCs w:val="20"/>
        </w:rPr>
        <w:t>-</w:t>
      </w:r>
      <w:r w:rsidRPr="002B005F">
        <w:rPr>
          <w:rFonts w:ascii="Times New Roman" w:hAnsi="Times New Roman" w:cs="Times New Roman"/>
          <w:color w:val="auto"/>
          <w:sz w:val="20"/>
          <w:szCs w:val="20"/>
        </w:rPr>
        <w:t xml:space="preserve"> Normes comptables utilisées par les institutions financières</w:t>
      </w:r>
      <w:bookmarkEnd w:id="1591"/>
    </w:p>
    <w:p w14:paraId="13584808" w14:textId="77777777" w:rsidR="003A6BF2" w:rsidRPr="002B005F" w:rsidRDefault="003A6BF2" w:rsidP="001634E3">
      <w:pPr>
        <w:keepNext/>
        <w:tabs>
          <w:tab w:val="left" w:pos="0"/>
        </w:tabs>
        <w:spacing w:line="360" w:lineRule="auto"/>
        <w:rPr>
          <w:rFonts w:ascii="Times New Roman" w:eastAsia="Times New Roman" w:hAnsi="Times New Roman" w:cs="Times New Roman"/>
          <w:sz w:val="24"/>
          <w:szCs w:val="24"/>
        </w:rPr>
      </w:pPr>
    </w:p>
    <w:p w14:paraId="3CD00BA5" w14:textId="77777777" w:rsidR="003A6BF2" w:rsidRPr="002B005F" w:rsidRDefault="003A6BF2" w:rsidP="001634E3">
      <w:pPr>
        <w:keepNext/>
        <w:tabs>
          <w:tab w:val="left" w:pos="0"/>
        </w:tabs>
        <w:spacing w:line="360" w:lineRule="auto"/>
        <w:rPr>
          <w:rFonts w:ascii="Times New Roman" w:eastAsia="Times New Roman" w:hAnsi="Times New Roman" w:cs="Times New Roman"/>
          <w:sz w:val="24"/>
          <w:szCs w:val="24"/>
        </w:rPr>
      </w:pPr>
    </w:p>
    <w:p w14:paraId="145B7E02" w14:textId="77777777" w:rsidR="003A6BF2" w:rsidRPr="002B005F" w:rsidRDefault="003A6BF2" w:rsidP="001634E3">
      <w:pPr>
        <w:keepNext/>
        <w:tabs>
          <w:tab w:val="left" w:pos="0"/>
        </w:tabs>
        <w:spacing w:line="360" w:lineRule="auto"/>
        <w:rPr>
          <w:rFonts w:ascii="Times New Roman" w:eastAsia="Times New Roman" w:hAnsi="Times New Roman" w:cs="Times New Roman"/>
          <w:sz w:val="24"/>
          <w:szCs w:val="24"/>
        </w:rPr>
      </w:pPr>
    </w:p>
    <w:p w14:paraId="14FDE035" w14:textId="77777777" w:rsidR="003A6BF2" w:rsidRPr="002B005F" w:rsidRDefault="003A6BF2" w:rsidP="001634E3">
      <w:pPr>
        <w:keepNext/>
        <w:tabs>
          <w:tab w:val="left" w:pos="0"/>
        </w:tabs>
        <w:spacing w:line="360" w:lineRule="auto"/>
        <w:rPr>
          <w:rFonts w:ascii="Times New Roman" w:eastAsia="Times New Roman" w:hAnsi="Times New Roman" w:cs="Times New Roman"/>
          <w:sz w:val="24"/>
          <w:szCs w:val="24"/>
        </w:rPr>
      </w:pPr>
    </w:p>
    <w:p w14:paraId="6A8EFDAF" w14:textId="77777777" w:rsidR="003A6BF2" w:rsidRPr="002B005F" w:rsidRDefault="003A6BF2" w:rsidP="001634E3">
      <w:pPr>
        <w:keepNext/>
        <w:tabs>
          <w:tab w:val="left" w:pos="0"/>
        </w:tabs>
        <w:spacing w:line="360" w:lineRule="auto"/>
        <w:rPr>
          <w:rFonts w:ascii="Times New Roman" w:eastAsia="Times New Roman" w:hAnsi="Times New Roman" w:cs="Times New Roman"/>
          <w:sz w:val="24"/>
          <w:szCs w:val="24"/>
        </w:rPr>
      </w:pPr>
    </w:p>
    <w:p w14:paraId="0AA717C4" w14:textId="77777777" w:rsidR="003A6BF2" w:rsidRPr="002B005F" w:rsidRDefault="003A6BF2" w:rsidP="001634E3">
      <w:pPr>
        <w:keepNext/>
        <w:tabs>
          <w:tab w:val="left" w:pos="0"/>
        </w:tabs>
        <w:spacing w:line="360" w:lineRule="auto"/>
        <w:rPr>
          <w:rFonts w:ascii="Times New Roman" w:eastAsia="Times New Roman" w:hAnsi="Times New Roman" w:cs="Times New Roman"/>
          <w:sz w:val="24"/>
          <w:szCs w:val="24"/>
        </w:rPr>
      </w:pPr>
    </w:p>
    <w:p w14:paraId="474770FA" w14:textId="77777777" w:rsidR="003A6BF2" w:rsidRPr="002B005F" w:rsidRDefault="003A6BF2" w:rsidP="001634E3">
      <w:pPr>
        <w:keepNext/>
        <w:tabs>
          <w:tab w:val="left" w:pos="0"/>
        </w:tabs>
        <w:spacing w:line="360" w:lineRule="auto"/>
        <w:rPr>
          <w:rFonts w:ascii="Times New Roman" w:eastAsia="Times New Roman" w:hAnsi="Times New Roman" w:cs="Times New Roman"/>
          <w:sz w:val="24"/>
          <w:szCs w:val="24"/>
        </w:rPr>
      </w:pPr>
    </w:p>
    <w:p w14:paraId="1AC5F832" w14:textId="77777777" w:rsidR="003A6BF2" w:rsidRPr="002B005F" w:rsidRDefault="003A6BF2" w:rsidP="001634E3">
      <w:pPr>
        <w:keepNext/>
        <w:tabs>
          <w:tab w:val="left" w:pos="0"/>
        </w:tabs>
        <w:spacing w:line="360" w:lineRule="auto"/>
        <w:rPr>
          <w:rFonts w:ascii="Times New Roman" w:eastAsia="Times New Roman" w:hAnsi="Times New Roman" w:cs="Times New Roman"/>
          <w:sz w:val="24"/>
          <w:szCs w:val="24"/>
        </w:rPr>
      </w:pPr>
    </w:p>
    <w:p w14:paraId="37CF53AE" w14:textId="77777777" w:rsidR="003A6BF2" w:rsidRPr="002B005F" w:rsidRDefault="003A6BF2" w:rsidP="001634E3">
      <w:pPr>
        <w:keepNext/>
        <w:tabs>
          <w:tab w:val="left" w:pos="0"/>
        </w:tabs>
        <w:spacing w:line="360" w:lineRule="auto"/>
        <w:rPr>
          <w:rFonts w:ascii="Times New Roman" w:eastAsia="Times New Roman" w:hAnsi="Times New Roman" w:cs="Times New Roman"/>
          <w:sz w:val="24"/>
          <w:szCs w:val="24"/>
        </w:rPr>
      </w:pPr>
    </w:p>
    <w:p w14:paraId="27CA18EC" w14:textId="77777777" w:rsidR="002760B2" w:rsidRPr="002B005F" w:rsidRDefault="002760B2" w:rsidP="005F2AB0">
      <w:pPr>
        <w:keepNext/>
        <w:tabs>
          <w:tab w:val="left" w:pos="0"/>
        </w:tabs>
        <w:spacing w:line="360" w:lineRule="auto"/>
        <w:jc w:val="center"/>
        <w:rPr>
          <w:rFonts w:ascii="Times New Roman" w:hAnsi="Times New Roman" w:cs="Times New Roman"/>
          <w:sz w:val="20"/>
          <w:szCs w:val="20"/>
        </w:rPr>
      </w:pPr>
      <w:r w:rsidRPr="002B005F">
        <w:rPr>
          <w:rFonts w:ascii="Times New Roman" w:hAnsi="Times New Roman" w:cs="Times New Roman"/>
          <w:noProof/>
          <w:lang w:eastAsia="fr-FR"/>
        </w:rPr>
        <w:drawing>
          <wp:anchor distT="0" distB="0" distL="114300" distR="114300" simplePos="0" relativeHeight="251490304" behindDoc="0" locked="1" layoutInCell="1" allowOverlap="0" wp14:anchorId="11E9FB57" wp14:editId="2CC7A573">
            <wp:simplePos x="0" y="0"/>
            <wp:positionH relativeFrom="margin">
              <wp:align>center</wp:align>
            </wp:positionH>
            <wp:positionV relativeFrom="paragraph">
              <wp:posOffset>-2247265</wp:posOffset>
            </wp:positionV>
            <wp:extent cx="5040630" cy="2159635"/>
            <wp:effectExtent l="19050" t="0" r="26670" b="0"/>
            <wp:wrapNone/>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Pr="002B005F">
        <w:rPr>
          <w:rFonts w:ascii="Times New Roman" w:hAnsi="Times New Roman" w:cs="Times New Roman"/>
          <w:sz w:val="20"/>
          <w:szCs w:val="20"/>
        </w:rPr>
        <w:t>Source : calculs du chercheur.</w:t>
      </w:r>
    </w:p>
    <w:p w14:paraId="0F2ADFFE" w14:textId="77777777" w:rsidR="005F2AB0" w:rsidRPr="002B005F" w:rsidRDefault="005F2AB0" w:rsidP="005F2AB0">
      <w:pPr>
        <w:tabs>
          <w:tab w:val="left" w:pos="0"/>
        </w:tabs>
        <w:spacing w:line="360" w:lineRule="auto"/>
        <w:jc w:val="center"/>
        <w:rPr>
          <w:rFonts w:ascii="Times New Roman" w:hAnsi="Times New Roman" w:cs="Times New Roman"/>
          <w:sz w:val="20"/>
          <w:szCs w:val="20"/>
        </w:rPr>
      </w:pPr>
    </w:p>
    <w:p w14:paraId="7ADFC6F8" w14:textId="77777777" w:rsidR="002760B2" w:rsidRPr="005D4E25" w:rsidRDefault="00245F45" w:rsidP="00BC2D2F">
      <w:pPr>
        <w:pStyle w:val="Titre4"/>
        <w:spacing w:before="120" w:after="120" w:line="300" w:lineRule="auto"/>
        <w:ind w:firstLine="709"/>
      </w:pPr>
      <w:bookmarkStart w:id="1592" w:name="_Toc33263387"/>
      <w:bookmarkStart w:id="1593" w:name="_Toc37664650"/>
      <w:bookmarkStart w:id="1594" w:name="_Toc37666495"/>
      <w:bookmarkStart w:id="1595" w:name="_Toc54363392"/>
      <w:bookmarkStart w:id="1596" w:name="_Toc58606370"/>
      <w:bookmarkStart w:id="1597" w:name="_Toc61263575"/>
      <w:bookmarkStart w:id="1598" w:name="_Toc182298904"/>
      <w:r>
        <w:t>2</w:t>
      </w:r>
      <w:r w:rsidR="005D4E25">
        <w:t xml:space="preserve">.1.2- </w:t>
      </w:r>
      <w:r w:rsidR="002760B2" w:rsidRPr="005D4E25">
        <w:t xml:space="preserve">Perception des risques par les banquiers </w:t>
      </w:r>
      <w:r w:rsidR="002B7158" w:rsidRPr="005D4E25">
        <w:t>i</w:t>
      </w:r>
      <w:r w:rsidR="003773C6" w:rsidRPr="005D4E25">
        <w:t>slamique</w:t>
      </w:r>
      <w:r w:rsidR="002760B2" w:rsidRPr="005D4E25">
        <w:t>s</w:t>
      </w:r>
      <w:bookmarkEnd w:id="1592"/>
      <w:bookmarkEnd w:id="1593"/>
      <w:bookmarkEnd w:id="1594"/>
      <w:bookmarkEnd w:id="1595"/>
      <w:bookmarkEnd w:id="1596"/>
      <w:bookmarkEnd w:id="1597"/>
      <w:bookmarkEnd w:id="1598"/>
    </w:p>
    <w:p w14:paraId="75E12508" w14:textId="77777777" w:rsidR="002760B2" w:rsidRPr="002B005F" w:rsidRDefault="002760B2" w:rsidP="005D4E25">
      <w:pPr>
        <w:keepNext/>
        <w:tabs>
          <w:tab w:val="left" w:pos="0"/>
        </w:tabs>
        <w:spacing w:before="120" w:line="300" w:lineRule="auto"/>
        <w:ind w:firstLine="709"/>
        <w:rPr>
          <w:rFonts w:ascii="Times New Roman" w:eastAsia="Times New Roman" w:hAnsi="Times New Roman" w:cs="Times New Roman"/>
          <w:spacing w:val="-4"/>
          <w:sz w:val="24"/>
          <w:szCs w:val="24"/>
        </w:rPr>
      </w:pPr>
      <w:r w:rsidRPr="002B005F">
        <w:rPr>
          <w:rFonts w:ascii="Times New Roman" w:eastAsia="Times New Roman" w:hAnsi="Times New Roman" w:cs="Times New Roman"/>
          <w:spacing w:val="-4"/>
          <w:sz w:val="24"/>
          <w:szCs w:val="24"/>
        </w:rPr>
        <w:t>On a demandé aux répondants à la question 8 d'exprimer leur perception concernant la gravité de risques auxquels sont confrontées leurs banques, en indiquant le degré d'importance de chaque risque sur l’échelle de Likert à 5 points (classement de très peu important = 1 à très important = 5). De plus, Question Q9, étant une question ouverte, en demandant aux répondants d'énumérer les risques supplémentaires qui pourrait affecter les BI en ordre de leur gravité.</w:t>
      </w:r>
    </w:p>
    <w:p w14:paraId="5956975F" w14:textId="77777777" w:rsidR="005703ED" w:rsidRPr="002B005F" w:rsidRDefault="002760B2" w:rsidP="005F2414">
      <w:pPr>
        <w:tabs>
          <w:tab w:val="left" w:pos="0"/>
        </w:tabs>
        <w:spacing w:before="120"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Les statistiques descriptives </w:t>
      </w:r>
      <w:r w:rsidRPr="002B005F">
        <w:rPr>
          <w:rFonts w:ascii="Times New Roman" w:eastAsia="Times New Roman" w:hAnsi="Times New Roman" w:cs="Times New Roman"/>
          <w:b/>
          <w:bCs/>
          <w:sz w:val="24"/>
          <w:szCs w:val="24"/>
        </w:rPr>
        <w:t>du tableau 13</w:t>
      </w:r>
      <w:r w:rsidRPr="002B005F">
        <w:rPr>
          <w:rFonts w:ascii="Times New Roman" w:eastAsia="Times New Roman" w:hAnsi="Times New Roman" w:cs="Times New Roman"/>
          <w:sz w:val="24"/>
          <w:szCs w:val="24"/>
        </w:rPr>
        <w:t xml:space="preserve"> démontrent l'importance accordée par les participants à chaque risque dans leur institution financière. Comme le montre </w:t>
      </w:r>
      <w:r w:rsidRPr="002B005F">
        <w:rPr>
          <w:rFonts w:ascii="Times New Roman" w:eastAsia="Times New Roman" w:hAnsi="Times New Roman" w:cs="Times New Roman"/>
          <w:b/>
          <w:bCs/>
          <w:sz w:val="24"/>
          <w:szCs w:val="24"/>
        </w:rPr>
        <w:t>le tableau 13</w:t>
      </w:r>
      <w:r w:rsidRPr="002B005F">
        <w:rPr>
          <w:rFonts w:ascii="Times New Roman" w:eastAsia="Times New Roman" w:hAnsi="Times New Roman" w:cs="Times New Roman"/>
          <w:sz w:val="24"/>
          <w:szCs w:val="24"/>
        </w:rPr>
        <w:t xml:space="preserve">, les valeurs moyennes pour les catégories de risque sont comprises entre 4,82 et 1,33, la médiane entre 5 et 1 et le mode entre 5 et 1. Cependant, en raison de la nature des données recueillies en utilisant une échelle de Likert, la médiane et le mode semblent être des mesures plus appropriées pour cette étude. Selon </w:t>
      </w:r>
      <w:r w:rsidRPr="002B005F">
        <w:rPr>
          <w:rFonts w:ascii="Times New Roman" w:eastAsia="Times New Roman" w:hAnsi="Times New Roman" w:cs="Times New Roman"/>
          <w:smallCaps/>
          <w:sz w:val="24"/>
          <w:szCs w:val="24"/>
        </w:rPr>
        <w:t>Howell</w:t>
      </w:r>
      <w:r w:rsidRPr="002B005F">
        <w:rPr>
          <w:rFonts w:ascii="Times New Roman" w:eastAsia="Times New Roman" w:hAnsi="Times New Roman" w:cs="Times New Roman"/>
          <w:sz w:val="24"/>
          <w:szCs w:val="24"/>
        </w:rPr>
        <w:t xml:space="preserve"> (1997)</w:t>
      </w:r>
      <w:r w:rsidRPr="002B005F">
        <w:rPr>
          <w:rStyle w:val="Appelnotedebasdep"/>
          <w:rFonts w:ascii="Times New Roman" w:eastAsia="Times New Roman" w:hAnsi="Times New Roman"/>
          <w:sz w:val="24"/>
          <w:szCs w:val="24"/>
        </w:rPr>
        <w:footnoteReference w:id="407"/>
      </w:r>
      <w:r w:rsidRPr="002B005F">
        <w:rPr>
          <w:rFonts w:ascii="Times New Roman" w:eastAsia="Times New Roman" w:hAnsi="Times New Roman" w:cs="Times New Roman"/>
          <w:sz w:val="24"/>
          <w:szCs w:val="24"/>
        </w:rPr>
        <w:t>, l'avantage majeur de la médiane et du mode est que, contrairement à la moyenne, ils ne sont pas affectés par les scores extrêmes. Un autre avantage de ces mesures, par rapport à la moyenne, est qu'elles ne nécessitent aucune hypothèse sur les propriétés d'intervalle de l'échelle.</w:t>
      </w:r>
    </w:p>
    <w:p w14:paraId="69F9EDE7" w14:textId="52A53644" w:rsidR="00E124BE" w:rsidRPr="002B005F" w:rsidRDefault="00E124BE" w:rsidP="00E124BE">
      <w:pPr>
        <w:tabs>
          <w:tab w:val="left" w:pos="0"/>
        </w:tabs>
        <w:spacing w:before="100" w:beforeAutospacing="1" w:after="120" w:line="300" w:lineRule="auto"/>
        <w:jc w:val="center"/>
        <w:rPr>
          <w:rFonts w:ascii="Times New Roman" w:eastAsia="Times New Roman" w:hAnsi="Times New Roman" w:cs="Times New Roman"/>
          <w:b/>
          <w:bCs/>
          <w:sz w:val="28"/>
          <w:szCs w:val="28"/>
        </w:rPr>
      </w:pPr>
      <w:bookmarkStart w:id="1599" w:name="_Toc115556081"/>
      <w:r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13</w:t>
      </w:r>
      <w:r w:rsidR="00B544E5" w:rsidRPr="002B005F">
        <w:rPr>
          <w:rFonts w:ascii="Times New Roman" w:hAnsi="Times New Roman" w:cs="Times New Roman"/>
          <w:b/>
          <w:bCs/>
          <w:sz w:val="24"/>
          <w:szCs w:val="24"/>
        </w:rPr>
        <w:fldChar w:fldCharType="end"/>
      </w:r>
      <w:r w:rsidRPr="002B005F">
        <w:rPr>
          <w:rFonts w:ascii="Times New Roman" w:hAnsi="Times New Roman" w:cs="Times New Roman"/>
          <w:b/>
          <w:bCs/>
          <w:sz w:val="24"/>
          <w:szCs w:val="24"/>
        </w:rPr>
        <w:t>- Statistiques descriptiv</w:t>
      </w:r>
      <w:r w:rsidR="007C68EE" w:rsidRPr="002B005F">
        <w:rPr>
          <w:rFonts w:ascii="Times New Roman" w:hAnsi="Times New Roman" w:cs="Times New Roman"/>
          <w:b/>
          <w:bCs/>
          <w:sz w:val="24"/>
          <w:szCs w:val="24"/>
        </w:rPr>
        <w:t>es pour chaque type de risque (r</w:t>
      </w:r>
      <w:r w:rsidRPr="002B005F">
        <w:rPr>
          <w:rFonts w:ascii="Times New Roman" w:hAnsi="Times New Roman" w:cs="Times New Roman"/>
          <w:b/>
          <w:bCs/>
          <w:sz w:val="24"/>
          <w:szCs w:val="24"/>
        </w:rPr>
        <w:t>ésultats agrégés)</w:t>
      </w:r>
      <w:bookmarkEnd w:id="1599"/>
    </w:p>
    <w:tbl>
      <w:tblPr>
        <w:tblStyle w:val="Grilledutableau1"/>
        <w:tblW w:w="0" w:type="auto"/>
        <w:jc w:val="center"/>
        <w:tblLayout w:type="fixed"/>
        <w:tblCellMar>
          <w:top w:w="28" w:type="dxa"/>
          <w:left w:w="57" w:type="dxa"/>
          <w:bottom w:w="28" w:type="dxa"/>
          <w:right w:w="57" w:type="dxa"/>
        </w:tblCellMar>
        <w:tblLook w:val="04A0" w:firstRow="1" w:lastRow="0" w:firstColumn="1" w:lastColumn="0" w:noHBand="0" w:noVBand="1"/>
      </w:tblPr>
      <w:tblGrid>
        <w:gridCol w:w="3402"/>
        <w:gridCol w:w="1134"/>
        <w:gridCol w:w="1134"/>
        <w:gridCol w:w="1134"/>
        <w:gridCol w:w="1134"/>
        <w:gridCol w:w="1134"/>
      </w:tblGrid>
      <w:tr w:rsidR="007D25C3" w:rsidRPr="002B005F" w14:paraId="471AAD53" w14:textId="77777777" w:rsidTr="00D6118C">
        <w:trPr>
          <w:trHeight w:val="510"/>
          <w:jc w:val="center"/>
        </w:trPr>
        <w:tc>
          <w:tcPr>
            <w:tcW w:w="3402" w:type="dxa"/>
            <w:vAlign w:val="center"/>
          </w:tcPr>
          <w:p w14:paraId="3428A151" w14:textId="77777777" w:rsidR="007D25C3" w:rsidRPr="002B005F" w:rsidRDefault="007D25C3" w:rsidP="00E124BE">
            <w:pPr>
              <w:tabs>
                <w:tab w:val="left" w:pos="0"/>
              </w:tabs>
              <w:ind w:firstLine="0"/>
              <w:jc w:val="center"/>
              <w:rPr>
                <w:rFonts w:ascii="Times New Roman" w:eastAsia="Times New Roman" w:hAnsi="Times New Roman" w:cs="Times New Roman"/>
                <w:b/>
                <w:bCs/>
                <w:color w:val="2E74B5"/>
                <w:sz w:val="24"/>
                <w:szCs w:val="24"/>
                <w:lang w:eastAsia="fr-FR"/>
              </w:rPr>
            </w:pPr>
            <w:r w:rsidRPr="002B005F">
              <w:rPr>
                <w:rFonts w:ascii="Times New Roman" w:eastAsia="Times New Roman" w:hAnsi="Times New Roman" w:cs="Times New Roman"/>
                <w:b/>
                <w:bCs/>
                <w:color w:val="2E74B5"/>
                <w:sz w:val="24"/>
                <w:szCs w:val="24"/>
                <w:lang w:eastAsia="fr-FR"/>
              </w:rPr>
              <w:t>Risque</w:t>
            </w:r>
          </w:p>
        </w:tc>
        <w:tc>
          <w:tcPr>
            <w:tcW w:w="1134" w:type="dxa"/>
            <w:vAlign w:val="center"/>
          </w:tcPr>
          <w:p w14:paraId="15C17792" w14:textId="77777777" w:rsidR="007D25C3" w:rsidRPr="002B005F" w:rsidRDefault="007D25C3" w:rsidP="00E124BE">
            <w:pPr>
              <w:tabs>
                <w:tab w:val="left" w:pos="0"/>
              </w:tabs>
              <w:ind w:firstLine="0"/>
              <w:jc w:val="center"/>
              <w:rPr>
                <w:rFonts w:ascii="Times New Roman" w:eastAsia="Times New Roman" w:hAnsi="Times New Roman" w:cs="Times New Roman"/>
                <w:b/>
                <w:bCs/>
                <w:color w:val="2E74B5"/>
                <w:sz w:val="24"/>
                <w:szCs w:val="24"/>
                <w:lang w:eastAsia="fr-FR"/>
              </w:rPr>
            </w:pPr>
            <w:r w:rsidRPr="002B005F">
              <w:rPr>
                <w:rFonts w:ascii="Times New Roman" w:eastAsia="Times New Roman" w:hAnsi="Times New Roman" w:cs="Times New Roman"/>
                <w:b/>
                <w:bCs/>
                <w:color w:val="2E74B5"/>
                <w:sz w:val="24"/>
                <w:szCs w:val="24"/>
                <w:lang w:eastAsia="fr-FR"/>
              </w:rPr>
              <w:t>N</w:t>
            </w:r>
          </w:p>
        </w:tc>
        <w:tc>
          <w:tcPr>
            <w:tcW w:w="1134" w:type="dxa"/>
            <w:vAlign w:val="center"/>
          </w:tcPr>
          <w:p w14:paraId="3A14D908" w14:textId="77777777" w:rsidR="007D25C3" w:rsidRPr="002B005F" w:rsidRDefault="007D25C3" w:rsidP="00E124BE">
            <w:pPr>
              <w:tabs>
                <w:tab w:val="left" w:pos="0"/>
              </w:tabs>
              <w:ind w:firstLine="0"/>
              <w:jc w:val="center"/>
              <w:rPr>
                <w:rFonts w:ascii="Times New Roman" w:eastAsia="Times New Roman" w:hAnsi="Times New Roman" w:cs="Times New Roman"/>
                <w:b/>
                <w:bCs/>
                <w:color w:val="2E74B5"/>
                <w:sz w:val="24"/>
                <w:szCs w:val="24"/>
                <w:lang w:eastAsia="fr-FR"/>
              </w:rPr>
            </w:pPr>
            <w:r w:rsidRPr="002B005F">
              <w:rPr>
                <w:rFonts w:ascii="Times New Roman" w:eastAsia="Times New Roman" w:hAnsi="Times New Roman" w:cs="Times New Roman"/>
                <w:b/>
                <w:bCs/>
                <w:color w:val="2E74B5"/>
                <w:sz w:val="24"/>
                <w:szCs w:val="24"/>
                <w:lang w:eastAsia="fr-FR"/>
              </w:rPr>
              <w:t>Moyenne</w:t>
            </w:r>
          </w:p>
        </w:tc>
        <w:tc>
          <w:tcPr>
            <w:tcW w:w="1134" w:type="dxa"/>
            <w:vAlign w:val="center"/>
          </w:tcPr>
          <w:p w14:paraId="4CD6DC33" w14:textId="77777777" w:rsidR="007D25C3" w:rsidRPr="002B005F" w:rsidRDefault="007D25C3" w:rsidP="00E124BE">
            <w:pPr>
              <w:tabs>
                <w:tab w:val="left" w:pos="0"/>
              </w:tabs>
              <w:ind w:firstLine="0"/>
              <w:jc w:val="center"/>
              <w:rPr>
                <w:rFonts w:ascii="Times New Roman" w:eastAsia="Times New Roman" w:hAnsi="Times New Roman" w:cs="Times New Roman"/>
                <w:b/>
                <w:bCs/>
                <w:color w:val="2E74B5"/>
                <w:sz w:val="24"/>
                <w:szCs w:val="24"/>
                <w:lang w:eastAsia="fr-FR"/>
              </w:rPr>
            </w:pPr>
            <w:r w:rsidRPr="002B005F">
              <w:rPr>
                <w:rFonts w:ascii="Times New Roman" w:eastAsia="Times New Roman" w:hAnsi="Times New Roman" w:cs="Times New Roman"/>
                <w:b/>
                <w:bCs/>
                <w:color w:val="2E74B5"/>
                <w:sz w:val="24"/>
                <w:szCs w:val="24"/>
                <w:lang w:eastAsia="fr-FR"/>
              </w:rPr>
              <w:t>Médiane</w:t>
            </w:r>
          </w:p>
        </w:tc>
        <w:tc>
          <w:tcPr>
            <w:tcW w:w="1134" w:type="dxa"/>
            <w:vAlign w:val="center"/>
          </w:tcPr>
          <w:p w14:paraId="69CA77A0" w14:textId="77777777" w:rsidR="007D25C3" w:rsidRPr="002B005F" w:rsidRDefault="007D25C3" w:rsidP="00E124BE">
            <w:pPr>
              <w:tabs>
                <w:tab w:val="left" w:pos="0"/>
              </w:tabs>
              <w:ind w:firstLine="0"/>
              <w:jc w:val="center"/>
              <w:rPr>
                <w:rFonts w:ascii="Times New Roman" w:eastAsia="Times New Roman" w:hAnsi="Times New Roman" w:cs="Times New Roman"/>
                <w:b/>
                <w:bCs/>
                <w:color w:val="2E74B5"/>
                <w:sz w:val="24"/>
                <w:szCs w:val="24"/>
                <w:lang w:eastAsia="fr-FR"/>
              </w:rPr>
            </w:pPr>
            <w:r w:rsidRPr="002B005F">
              <w:rPr>
                <w:rFonts w:ascii="Times New Roman" w:eastAsia="Times New Roman" w:hAnsi="Times New Roman" w:cs="Times New Roman"/>
                <w:b/>
                <w:bCs/>
                <w:color w:val="2E74B5"/>
                <w:sz w:val="24"/>
                <w:szCs w:val="24"/>
                <w:lang w:eastAsia="fr-FR"/>
              </w:rPr>
              <w:t>Mode</w:t>
            </w:r>
          </w:p>
        </w:tc>
        <w:tc>
          <w:tcPr>
            <w:tcW w:w="1134" w:type="dxa"/>
            <w:vAlign w:val="center"/>
          </w:tcPr>
          <w:p w14:paraId="175C32EF" w14:textId="77777777" w:rsidR="007D25C3" w:rsidRPr="002B005F" w:rsidRDefault="007D25C3" w:rsidP="00E124BE">
            <w:pPr>
              <w:tabs>
                <w:tab w:val="left" w:pos="0"/>
              </w:tabs>
              <w:ind w:firstLine="0"/>
              <w:jc w:val="center"/>
              <w:rPr>
                <w:rFonts w:ascii="Times New Roman" w:eastAsia="Times New Roman" w:hAnsi="Times New Roman" w:cs="Times New Roman"/>
                <w:b/>
                <w:bCs/>
                <w:color w:val="2E74B5"/>
                <w:sz w:val="24"/>
                <w:szCs w:val="24"/>
                <w:lang w:eastAsia="fr-FR"/>
              </w:rPr>
            </w:pPr>
            <w:r w:rsidRPr="002B005F">
              <w:rPr>
                <w:rFonts w:ascii="Times New Roman" w:eastAsia="Times New Roman" w:hAnsi="Times New Roman" w:cs="Times New Roman"/>
                <w:b/>
                <w:bCs/>
                <w:color w:val="2E74B5"/>
                <w:sz w:val="24"/>
                <w:szCs w:val="24"/>
                <w:lang w:eastAsia="fr-FR"/>
              </w:rPr>
              <w:t>Chi-deux</w:t>
            </w:r>
          </w:p>
        </w:tc>
      </w:tr>
      <w:tr w:rsidR="007D25C3" w:rsidRPr="002B005F" w14:paraId="169E74BA" w14:textId="77777777" w:rsidTr="00D6118C">
        <w:trPr>
          <w:trHeight w:val="397"/>
          <w:jc w:val="center"/>
        </w:trPr>
        <w:tc>
          <w:tcPr>
            <w:tcW w:w="3402" w:type="dxa"/>
            <w:vAlign w:val="center"/>
          </w:tcPr>
          <w:p w14:paraId="65783353" w14:textId="77777777" w:rsidR="007D25C3" w:rsidRPr="002B005F" w:rsidRDefault="007D25C3" w:rsidP="00E124BE">
            <w:pPr>
              <w:tabs>
                <w:tab w:val="left" w:pos="0"/>
              </w:tabs>
              <w:ind w:firstLine="0"/>
              <w:jc w:val="left"/>
              <w:rPr>
                <w:rFonts w:ascii="Times New Roman" w:eastAsia="Times New Roman" w:hAnsi="Times New Roman" w:cs="Times New Roman"/>
                <w:color w:val="000000"/>
                <w:sz w:val="23"/>
                <w:szCs w:val="23"/>
                <w:lang w:eastAsia="fr-FR"/>
              </w:rPr>
            </w:pPr>
            <w:r w:rsidRPr="002B005F">
              <w:rPr>
                <w:rFonts w:ascii="Times New Roman" w:eastAsia="Times New Roman" w:hAnsi="Times New Roman" w:cs="Times New Roman"/>
                <w:color w:val="000000"/>
                <w:sz w:val="23"/>
                <w:szCs w:val="23"/>
                <w:lang w:eastAsia="fr-FR"/>
              </w:rPr>
              <w:t>Risque de liquidité</w:t>
            </w:r>
          </w:p>
        </w:tc>
        <w:tc>
          <w:tcPr>
            <w:tcW w:w="1134" w:type="dxa"/>
            <w:vAlign w:val="center"/>
          </w:tcPr>
          <w:p w14:paraId="4F55DFC0"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79</w:t>
            </w:r>
          </w:p>
        </w:tc>
        <w:tc>
          <w:tcPr>
            <w:tcW w:w="1134" w:type="dxa"/>
            <w:vAlign w:val="center"/>
          </w:tcPr>
          <w:p w14:paraId="2C75B878" w14:textId="77777777" w:rsidR="007D25C3" w:rsidRPr="002B005F" w:rsidRDefault="007D25C3" w:rsidP="00E124BE">
            <w:pPr>
              <w:tabs>
                <w:tab w:val="left" w:pos="0"/>
              </w:tabs>
              <w:ind w:firstLine="0"/>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4,82</w:t>
            </w:r>
          </w:p>
        </w:tc>
        <w:tc>
          <w:tcPr>
            <w:tcW w:w="1134" w:type="dxa"/>
            <w:vAlign w:val="center"/>
          </w:tcPr>
          <w:p w14:paraId="3B32A6C4"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5,00</w:t>
            </w:r>
          </w:p>
        </w:tc>
        <w:tc>
          <w:tcPr>
            <w:tcW w:w="1134" w:type="dxa"/>
            <w:vAlign w:val="center"/>
          </w:tcPr>
          <w:p w14:paraId="21347882"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5</w:t>
            </w:r>
          </w:p>
        </w:tc>
        <w:tc>
          <w:tcPr>
            <w:tcW w:w="1134" w:type="dxa"/>
            <w:vAlign w:val="center"/>
          </w:tcPr>
          <w:p w14:paraId="74FFDBC1" w14:textId="77777777" w:rsidR="007D25C3" w:rsidRPr="002B005F" w:rsidRDefault="007D25C3" w:rsidP="00E124BE">
            <w:pPr>
              <w:tabs>
                <w:tab w:val="left" w:pos="0"/>
              </w:tabs>
              <w:ind w:firstLine="0"/>
              <w:jc w:val="center"/>
              <w:rPr>
                <w:rFonts w:ascii="Times New Roman" w:eastAsia="Times New Roman" w:hAnsi="Times New Roman" w:cs="Times New Roman"/>
                <w:b/>
                <w:bCs/>
                <w:color w:val="000000"/>
                <w:sz w:val="24"/>
                <w:szCs w:val="24"/>
                <w:lang w:eastAsia="fr-FR"/>
              </w:rPr>
            </w:pPr>
            <w:r w:rsidRPr="002B005F">
              <w:rPr>
                <w:rFonts w:ascii="Times New Roman" w:eastAsia="Times New Roman" w:hAnsi="Times New Roman" w:cs="Times New Roman"/>
                <w:b/>
                <w:bCs/>
                <w:color w:val="000000"/>
                <w:sz w:val="24"/>
                <w:szCs w:val="24"/>
                <w:lang w:eastAsia="fr-FR"/>
              </w:rPr>
              <w:t>0,000</w:t>
            </w:r>
          </w:p>
        </w:tc>
      </w:tr>
      <w:tr w:rsidR="007D25C3" w:rsidRPr="002B005F" w14:paraId="6C2F98F8" w14:textId="77777777" w:rsidTr="007D25C3">
        <w:trPr>
          <w:trHeight w:val="397"/>
          <w:jc w:val="center"/>
        </w:trPr>
        <w:tc>
          <w:tcPr>
            <w:tcW w:w="3402" w:type="dxa"/>
            <w:shd w:val="clear" w:color="auto" w:fill="DBE5F1"/>
            <w:vAlign w:val="center"/>
          </w:tcPr>
          <w:p w14:paraId="57F0AF8D" w14:textId="77777777" w:rsidR="007D25C3" w:rsidRPr="002B005F" w:rsidRDefault="007D25C3" w:rsidP="00E124BE">
            <w:pPr>
              <w:tabs>
                <w:tab w:val="left" w:pos="0"/>
              </w:tabs>
              <w:ind w:firstLine="0"/>
              <w:jc w:val="left"/>
              <w:rPr>
                <w:rFonts w:ascii="Times New Roman" w:eastAsia="Times New Roman" w:hAnsi="Times New Roman" w:cs="Times New Roman"/>
                <w:color w:val="000000"/>
                <w:sz w:val="23"/>
                <w:szCs w:val="23"/>
                <w:lang w:eastAsia="fr-FR"/>
              </w:rPr>
            </w:pPr>
            <w:r w:rsidRPr="002B005F">
              <w:rPr>
                <w:rFonts w:ascii="Times New Roman" w:eastAsia="Times New Roman" w:hAnsi="Times New Roman" w:cs="Times New Roman"/>
                <w:color w:val="000000"/>
                <w:sz w:val="23"/>
                <w:szCs w:val="23"/>
                <w:lang w:eastAsia="fr-FR"/>
              </w:rPr>
              <w:t>Risque de contrepartie</w:t>
            </w:r>
          </w:p>
        </w:tc>
        <w:tc>
          <w:tcPr>
            <w:tcW w:w="1134" w:type="dxa"/>
            <w:shd w:val="clear" w:color="auto" w:fill="DBE5F1"/>
            <w:vAlign w:val="center"/>
          </w:tcPr>
          <w:p w14:paraId="478BA5F7"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79</w:t>
            </w:r>
          </w:p>
        </w:tc>
        <w:tc>
          <w:tcPr>
            <w:tcW w:w="1134" w:type="dxa"/>
            <w:shd w:val="clear" w:color="auto" w:fill="DBE5F1"/>
            <w:vAlign w:val="center"/>
          </w:tcPr>
          <w:p w14:paraId="536AC43B" w14:textId="77777777" w:rsidR="007D25C3" w:rsidRPr="002B005F" w:rsidRDefault="007D25C3" w:rsidP="00E124BE">
            <w:pPr>
              <w:tabs>
                <w:tab w:val="left" w:pos="0"/>
              </w:tabs>
              <w:ind w:firstLine="0"/>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2,25</w:t>
            </w:r>
          </w:p>
        </w:tc>
        <w:tc>
          <w:tcPr>
            <w:tcW w:w="1134" w:type="dxa"/>
            <w:shd w:val="clear" w:color="auto" w:fill="DBE5F1"/>
            <w:vAlign w:val="center"/>
          </w:tcPr>
          <w:p w14:paraId="41F6DA8F"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2</w:t>
            </w:r>
          </w:p>
        </w:tc>
        <w:tc>
          <w:tcPr>
            <w:tcW w:w="1134" w:type="dxa"/>
            <w:shd w:val="clear" w:color="auto" w:fill="DBE5F1"/>
            <w:vAlign w:val="center"/>
          </w:tcPr>
          <w:p w14:paraId="362B7299"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2</w:t>
            </w:r>
          </w:p>
        </w:tc>
        <w:tc>
          <w:tcPr>
            <w:tcW w:w="1134" w:type="dxa"/>
            <w:shd w:val="clear" w:color="auto" w:fill="DBE5F1"/>
            <w:vAlign w:val="center"/>
          </w:tcPr>
          <w:p w14:paraId="3BD81878" w14:textId="77777777" w:rsidR="007D25C3" w:rsidRPr="002B005F" w:rsidRDefault="007D25C3" w:rsidP="00E124BE">
            <w:pPr>
              <w:tabs>
                <w:tab w:val="left" w:pos="0"/>
              </w:tabs>
              <w:ind w:firstLine="0"/>
              <w:jc w:val="center"/>
              <w:rPr>
                <w:rFonts w:ascii="Times New Roman" w:eastAsia="Times New Roman" w:hAnsi="Times New Roman" w:cs="Times New Roman"/>
                <w:b/>
                <w:bCs/>
                <w:color w:val="000000"/>
                <w:sz w:val="24"/>
                <w:szCs w:val="24"/>
                <w:lang w:eastAsia="fr-FR"/>
              </w:rPr>
            </w:pPr>
            <w:r w:rsidRPr="002B005F">
              <w:rPr>
                <w:rFonts w:ascii="Times New Roman" w:eastAsia="Times New Roman" w:hAnsi="Times New Roman" w:cs="Times New Roman"/>
                <w:b/>
                <w:bCs/>
                <w:color w:val="000000"/>
                <w:sz w:val="24"/>
                <w:szCs w:val="24"/>
                <w:lang w:eastAsia="fr-FR"/>
              </w:rPr>
              <w:t>0,000</w:t>
            </w:r>
          </w:p>
        </w:tc>
      </w:tr>
      <w:tr w:rsidR="007D25C3" w:rsidRPr="002B005F" w14:paraId="130AE60B" w14:textId="77777777" w:rsidTr="00D6118C">
        <w:trPr>
          <w:trHeight w:val="397"/>
          <w:jc w:val="center"/>
        </w:trPr>
        <w:tc>
          <w:tcPr>
            <w:tcW w:w="3402" w:type="dxa"/>
            <w:vAlign w:val="center"/>
          </w:tcPr>
          <w:p w14:paraId="790C5914" w14:textId="77777777" w:rsidR="007D25C3" w:rsidRPr="002B005F" w:rsidRDefault="007D25C3" w:rsidP="00E124BE">
            <w:pPr>
              <w:tabs>
                <w:tab w:val="left" w:pos="0"/>
              </w:tabs>
              <w:ind w:firstLine="0"/>
              <w:jc w:val="left"/>
              <w:rPr>
                <w:rFonts w:ascii="Times New Roman" w:eastAsia="Times New Roman" w:hAnsi="Times New Roman" w:cs="Times New Roman"/>
                <w:color w:val="000000"/>
                <w:sz w:val="23"/>
                <w:szCs w:val="23"/>
                <w:lang w:eastAsia="fr-FR"/>
              </w:rPr>
            </w:pPr>
            <w:r w:rsidRPr="002B005F">
              <w:rPr>
                <w:rFonts w:ascii="Times New Roman" w:eastAsia="Times New Roman" w:hAnsi="Times New Roman" w:cs="Times New Roman"/>
                <w:color w:val="000000"/>
                <w:sz w:val="23"/>
                <w:szCs w:val="23"/>
                <w:lang w:eastAsia="fr-FR"/>
              </w:rPr>
              <w:t>Risque commercial déplacé</w:t>
            </w:r>
          </w:p>
        </w:tc>
        <w:tc>
          <w:tcPr>
            <w:tcW w:w="1134" w:type="dxa"/>
            <w:vAlign w:val="center"/>
          </w:tcPr>
          <w:p w14:paraId="69C23F30"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79</w:t>
            </w:r>
          </w:p>
        </w:tc>
        <w:tc>
          <w:tcPr>
            <w:tcW w:w="1134" w:type="dxa"/>
            <w:vAlign w:val="center"/>
          </w:tcPr>
          <w:p w14:paraId="5BFEF611" w14:textId="77777777" w:rsidR="007D25C3" w:rsidRPr="002B005F" w:rsidRDefault="007D25C3" w:rsidP="00E124BE">
            <w:pPr>
              <w:tabs>
                <w:tab w:val="left" w:pos="0"/>
              </w:tabs>
              <w:ind w:firstLine="0"/>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2,00</w:t>
            </w:r>
          </w:p>
        </w:tc>
        <w:tc>
          <w:tcPr>
            <w:tcW w:w="1134" w:type="dxa"/>
            <w:vAlign w:val="center"/>
          </w:tcPr>
          <w:p w14:paraId="5F32DE03"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2</w:t>
            </w:r>
          </w:p>
        </w:tc>
        <w:tc>
          <w:tcPr>
            <w:tcW w:w="1134" w:type="dxa"/>
            <w:vAlign w:val="center"/>
          </w:tcPr>
          <w:p w14:paraId="3D7C1240"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1</w:t>
            </w:r>
          </w:p>
        </w:tc>
        <w:tc>
          <w:tcPr>
            <w:tcW w:w="1134" w:type="dxa"/>
            <w:vAlign w:val="center"/>
          </w:tcPr>
          <w:p w14:paraId="5BD4F013" w14:textId="77777777" w:rsidR="007D25C3" w:rsidRPr="002B005F" w:rsidRDefault="007D25C3" w:rsidP="00E124BE">
            <w:pPr>
              <w:tabs>
                <w:tab w:val="left" w:pos="0"/>
              </w:tabs>
              <w:ind w:firstLine="0"/>
              <w:jc w:val="center"/>
              <w:rPr>
                <w:rFonts w:ascii="Times New Roman" w:eastAsia="Times New Roman" w:hAnsi="Times New Roman" w:cs="Times New Roman"/>
                <w:b/>
                <w:bCs/>
                <w:color w:val="000000"/>
                <w:sz w:val="24"/>
                <w:szCs w:val="24"/>
                <w:lang w:eastAsia="fr-FR"/>
              </w:rPr>
            </w:pPr>
            <w:r w:rsidRPr="002B005F">
              <w:rPr>
                <w:rFonts w:ascii="Times New Roman" w:eastAsia="Times New Roman" w:hAnsi="Times New Roman" w:cs="Times New Roman"/>
                <w:b/>
                <w:bCs/>
                <w:color w:val="000000"/>
                <w:sz w:val="24"/>
                <w:szCs w:val="24"/>
                <w:lang w:eastAsia="fr-FR"/>
              </w:rPr>
              <w:t>0,000</w:t>
            </w:r>
          </w:p>
        </w:tc>
      </w:tr>
      <w:tr w:rsidR="007D25C3" w:rsidRPr="002B005F" w14:paraId="797F219B" w14:textId="77777777" w:rsidTr="007D25C3">
        <w:trPr>
          <w:trHeight w:val="397"/>
          <w:jc w:val="center"/>
        </w:trPr>
        <w:tc>
          <w:tcPr>
            <w:tcW w:w="3402" w:type="dxa"/>
            <w:shd w:val="clear" w:color="auto" w:fill="DBE5F1"/>
            <w:vAlign w:val="center"/>
          </w:tcPr>
          <w:p w14:paraId="2427DF02" w14:textId="77777777" w:rsidR="007D25C3" w:rsidRPr="002B005F" w:rsidRDefault="007D25C3" w:rsidP="00E124BE">
            <w:pPr>
              <w:tabs>
                <w:tab w:val="left" w:pos="0"/>
              </w:tabs>
              <w:ind w:firstLine="0"/>
              <w:jc w:val="left"/>
              <w:rPr>
                <w:rFonts w:ascii="Times New Roman" w:eastAsia="Times New Roman" w:hAnsi="Times New Roman" w:cs="Times New Roman"/>
                <w:color w:val="000000"/>
                <w:sz w:val="23"/>
                <w:szCs w:val="23"/>
                <w:lang w:eastAsia="fr-FR"/>
              </w:rPr>
            </w:pPr>
            <w:r w:rsidRPr="002B005F">
              <w:rPr>
                <w:rFonts w:ascii="Times New Roman" w:eastAsia="Times New Roman" w:hAnsi="Times New Roman" w:cs="Times New Roman"/>
                <w:color w:val="000000"/>
                <w:sz w:val="23"/>
                <w:szCs w:val="23"/>
                <w:lang w:eastAsia="fr-FR"/>
              </w:rPr>
              <w:t>Risque opérationnel</w:t>
            </w:r>
          </w:p>
        </w:tc>
        <w:tc>
          <w:tcPr>
            <w:tcW w:w="1134" w:type="dxa"/>
            <w:shd w:val="clear" w:color="auto" w:fill="DBE5F1"/>
            <w:vAlign w:val="center"/>
          </w:tcPr>
          <w:p w14:paraId="28A30D3F"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79</w:t>
            </w:r>
          </w:p>
        </w:tc>
        <w:tc>
          <w:tcPr>
            <w:tcW w:w="1134" w:type="dxa"/>
            <w:shd w:val="clear" w:color="auto" w:fill="DBE5F1"/>
            <w:vAlign w:val="center"/>
          </w:tcPr>
          <w:p w14:paraId="123FE23C" w14:textId="77777777" w:rsidR="007D25C3" w:rsidRPr="002B005F" w:rsidRDefault="007D25C3" w:rsidP="00E124BE">
            <w:pPr>
              <w:tabs>
                <w:tab w:val="left" w:pos="0"/>
              </w:tabs>
              <w:ind w:firstLine="0"/>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1,90</w:t>
            </w:r>
          </w:p>
        </w:tc>
        <w:tc>
          <w:tcPr>
            <w:tcW w:w="1134" w:type="dxa"/>
            <w:shd w:val="clear" w:color="auto" w:fill="DBE5F1"/>
            <w:vAlign w:val="center"/>
          </w:tcPr>
          <w:p w14:paraId="37D6E20D"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2</w:t>
            </w:r>
          </w:p>
        </w:tc>
        <w:tc>
          <w:tcPr>
            <w:tcW w:w="1134" w:type="dxa"/>
            <w:shd w:val="clear" w:color="auto" w:fill="DBE5F1"/>
            <w:vAlign w:val="center"/>
          </w:tcPr>
          <w:p w14:paraId="49AAE6C9"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2</w:t>
            </w:r>
          </w:p>
        </w:tc>
        <w:tc>
          <w:tcPr>
            <w:tcW w:w="1134" w:type="dxa"/>
            <w:shd w:val="clear" w:color="auto" w:fill="DBE5F1"/>
            <w:vAlign w:val="center"/>
          </w:tcPr>
          <w:p w14:paraId="3C649399" w14:textId="77777777" w:rsidR="007D25C3" w:rsidRPr="002B005F" w:rsidRDefault="007D25C3" w:rsidP="00E124BE">
            <w:pPr>
              <w:tabs>
                <w:tab w:val="left" w:pos="0"/>
              </w:tabs>
              <w:ind w:firstLine="0"/>
              <w:jc w:val="center"/>
              <w:rPr>
                <w:rFonts w:ascii="Times New Roman" w:eastAsia="Times New Roman" w:hAnsi="Times New Roman" w:cs="Times New Roman"/>
                <w:b/>
                <w:bCs/>
                <w:color w:val="000000"/>
                <w:sz w:val="24"/>
                <w:szCs w:val="24"/>
                <w:lang w:eastAsia="fr-FR"/>
              </w:rPr>
            </w:pPr>
            <w:r w:rsidRPr="002B005F">
              <w:rPr>
                <w:rFonts w:ascii="Times New Roman" w:eastAsia="Times New Roman" w:hAnsi="Times New Roman" w:cs="Times New Roman"/>
                <w:b/>
                <w:bCs/>
                <w:color w:val="000000"/>
                <w:sz w:val="24"/>
                <w:szCs w:val="24"/>
                <w:lang w:eastAsia="fr-FR"/>
              </w:rPr>
              <w:t>0,000</w:t>
            </w:r>
          </w:p>
        </w:tc>
      </w:tr>
      <w:tr w:rsidR="007D25C3" w:rsidRPr="002B005F" w14:paraId="37A01152" w14:textId="77777777" w:rsidTr="00D6118C">
        <w:trPr>
          <w:trHeight w:val="397"/>
          <w:jc w:val="center"/>
        </w:trPr>
        <w:tc>
          <w:tcPr>
            <w:tcW w:w="3402" w:type="dxa"/>
            <w:vAlign w:val="center"/>
          </w:tcPr>
          <w:p w14:paraId="1D392D06" w14:textId="77777777" w:rsidR="007D25C3" w:rsidRPr="002B005F" w:rsidRDefault="007D25C3" w:rsidP="00E124BE">
            <w:pPr>
              <w:tabs>
                <w:tab w:val="left" w:pos="0"/>
              </w:tabs>
              <w:ind w:firstLine="0"/>
              <w:jc w:val="left"/>
              <w:rPr>
                <w:rFonts w:ascii="Times New Roman" w:eastAsia="Times New Roman" w:hAnsi="Times New Roman" w:cs="Times New Roman"/>
                <w:color w:val="000000"/>
                <w:sz w:val="23"/>
                <w:szCs w:val="23"/>
                <w:lang w:eastAsia="fr-FR"/>
              </w:rPr>
            </w:pPr>
            <w:r w:rsidRPr="002B005F">
              <w:rPr>
                <w:rFonts w:ascii="Times New Roman" w:eastAsia="Times New Roman" w:hAnsi="Times New Roman" w:cs="Times New Roman"/>
                <w:color w:val="000000"/>
                <w:sz w:val="23"/>
                <w:szCs w:val="23"/>
                <w:lang w:eastAsia="fr-FR"/>
              </w:rPr>
              <w:t>Risque de taux de référence</w:t>
            </w:r>
          </w:p>
        </w:tc>
        <w:tc>
          <w:tcPr>
            <w:tcW w:w="1134" w:type="dxa"/>
            <w:vAlign w:val="center"/>
          </w:tcPr>
          <w:p w14:paraId="35810071"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79</w:t>
            </w:r>
          </w:p>
        </w:tc>
        <w:tc>
          <w:tcPr>
            <w:tcW w:w="1134" w:type="dxa"/>
            <w:vAlign w:val="center"/>
          </w:tcPr>
          <w:p w14:paraId="30FAD0E9" w14:textId="77777777" w:rsidR="007D25C3" w:rsidRPr="002B005F" w:rsidRDefault="007D25C3" w:rsidP="00E124BE">
            <w:pPr>
              <w:tabs>
                <w:tab w:val="left" w:pos="0"/>
              </w:tabs>
              <w:ind w:firstLine="0"/>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1,72</w:t>
            </w:r>
          </w:p>
        </w:tc>
        <w:tc>
          <w:tcPr>
            <w:tcW w:w="1134" w:type="dxa"/>
            <w:vAlign w:val="center"/>
          </w:tcPr>
          <w:p w14:paraId="212D36AA"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1</w:t>
            </w:r>
          </w:p>
        </w:tc>
        <w:tc>
          <w:tcPr>
            <w:tcW w:w="1134" w:type="dxa"/>
            <w:vAlign w:val="center"/>
          </w:tcPr>
          <w:p w14:paraId="5E96DE30"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1</w:t>
            </w:r>
          </w:p>
        </w:tc>
        <w:tc>
          <w:tcPr>
            <w:tcW w:w="1134" w:type="dxa"/>
            <w:vAlign w:val="center"/>
          </w:tcPr>
          <w:p w14:paraId="5CD6CDBF" w14:textId="77777777" w:rsidR="007D25C3" w:rsidRPr="002B005F" w:rsidRDefault="007D25C3" w:rsidP="00E124BE">
            <w:pPr>
              <w:tabs>
                <w:tab w:val="left" w:pos="0"/>
              </w:tabs>
              <w:ind w:firstLine="0"/>
              <w:jc w:val="center"/>
              <w:rPr>
                <w:rFonts w:ascii="Times New Roman" w:eastAsia="Times New Roman" w:hAnsi="Times New Roman" w:cs="Times New Roman"/>
                <w:b/>
                <w:bCs/>
                <w:color w:val="000000"/>
                <w:sz w:val="24"/>
                <w:szCs w:val="24"/>
                <w:lang w:eastAsia="fr-FR"/>
              </w:rPr>
            </w:pPr>
            <w:r w:rsidRPr="002B005F">
              <w:rPr>
                <w:rFonts w:ascii="Times New Roman" w:eastAsia="Times New Roman" w:hAnsi="Times New Roman" w:cs="Times New Roman"/>
                <w:b/>
                <w:bCs/>
                <w:color w:val="000000"/>
                <w:sz w:val="24"/>
                <w:szCs w:val="24"/>
                <w:lang w:eastAsia="fr-FR"/>
              </w:rPr>
              <w:t>0,000</w:t>
            </w:r>
          </w:p>
        </w:tc>
      </w:tr>
      <w:tr w:rsidR="007D25C3" w:rsidRPr="002B005F" w14:paraId="5B3B251F" w14:textId="77777777" w:rsidTr="007D25C3">
        <w:trPr>
          <w:trHeight w:val="397"/>
          <w:jc w:val="center"/>
        </w:trPr>
        <w:tc>
          <w:tcPr>
            <w:tcW w:w="3402" w:type="dxa"/>
            <w:shd w:val="clear" w:color="auto" w:fill="DBE5F1"/>
            <w:vAlign w:val="center"/>
          </w:tcPr>
          <w:p w14:paraId="12C55713" w14:textId="77777777" w:rsidR="007D25C3" w:rsidRPr="002B005F" w:rsidRDefault="007D25C3" w:rsidP="00E124BE">
            <w:pPr>
              <w:tabs>
                <w:tab w:val="left" w:pos="0"/>
              </w:tabs>
              <w:ind w:firstLine="0"/>
              <w:jc w:val="left"/>
              <w:rPr>
                <w:rFonts w:ascii="Times New Roman" w:eastAsia="Times New Roman" w:hAnsi="Times New Roman" w:cs="Times New Roman"/>
                <w:color w:val="000000"/>
                <w:sz w:val="23"/>
                <w:szCs w:val="23"/>
                <w:lang w:eastAsia="fr-FR"/>
              </w:rPr>
            </w:pPr>
            <w:r w:rsidRPr="002B005F">
              <w:rPr>
                <w:rFonts w:ascii="Times New Roman" w:eastAsia="Times New Roman" w:hAnsi="Times New Roman" w:cs="Times New Roman"/>
                <w:color w:val="000000"/>
                <w:sz w:val="23"/>
                <w:szCs w:val="23"/>
                <w:lang w:eastAsia="fr-FR"/>
              </w:rPr>
              <w:t>Risque de réputation</w:t>
            </w:r>
          </w:p>
        </w:tc>
        <w:tc>
          <w:tcPr>
            <w:tcW w:w="1134" w:type="dxa"/>
            <w:shd w:val="clear" w:color="auto" w:fill="DBE5F1"/>
            <w:vAlign w:val="center"/>
          </w:tcPr>
          <w:p w14:paraId="37AA370A"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79</w:t>
            </w:r>
          </w:p>
        </w:tc>
        <w:tc>
          <w:tcPr>
            <w:tcW w:w="1134" w:type="dxa"/>
            <w:shd w:val="clear" w:color="auto" w:fill="DBE5F1"/>
            <w:vAlign w:val="center"/>
          </w:tcPr>
          <w:p w14:paraId="180E4AE2" w14:textId="77777777" w:rsidR="007D25C3" w:rsidRPr="002B005F" w:rsidRDefault="007D25C3" w:rsidP="00E124BE">
            <w:pPr>
              <w:tabs>
                <w:tab w:val="left" w:pos="0"/>
              </w:tabs>
              <w:ind w:firstLine="0"/>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1,72</w:t>
            </w:r>
          </w:p>
        </w:tc>
        <w:tc>
          <w:tcPr>
            <w:tcW w:w="1134" w:type="dxa"/>
            <w:shd w:val="clear" w:color="auto" w:fill="DBE5F1"/>
            <w:vAlign w:val="center"/>
          </w:tcPr>
          <w:p w14:paraId="775B882E"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1</w:t>
            </w:r>
          </w:p>
        </w:tc>
        <w:tc>
          <w:tcPr>
            <w:tcW w:w="1134" w:type="dxa"/>
            <w:shd w:val="clear" w:color="auto" w:fill="DBE5F1"/>
            <w:vAlign w:val="center"/>
          </w:tcPr>
          <w:p w14:paraId="0D8442E0"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1</w:t>
            </w:r>
          </w:p>
        </w:tc>
        <w:tc>
          <w:tcPr>
            <w:tcW w:w="1134" w:type="dxa"/>
            <w:shd w:val="clear" w:color="auto" w:fill="DBE5F1"/>
            <w:vAlign w:val="center"/>
          </w:tcPr>
          <w:p w14:paraId="26065016" w14:textId="77777777" w:rsidR="007D25C3" w:rsidRPr="002B005F" w:rsidRDefault="007D25C3" w:rsidP="00E124BE">
            <w:pPr>
              <w:tabs>
                <w:tab w:val="left" w:pos="0"/>
              </w:tabs>
              <w:ind w:firstLine="0"/>
              <w:jc w:val="center"/>
              <w:rPr>
                <w:rFonts w:ascii="Times New Roman" w:eastAsia="Times New Roman" w:hAnsi="Times New Roman" w:cs="Times New Roman"/>
                <w:b/>
                <w:bCs/>
                <w:color w:val="000000"/>
                <w:sz w:val="24"/>
                <w:szCs w:val="24"/>
                <w:lang w:eastAsia="fr-FR"/>
              </w:rPr>
            </w:pPr>
            <w:r w:rsidRPr="002B005F">
              <w:rPr>
                <w:rFonts w:ascii="Times New Roman" w:eastAsia="Times New Roman" w:hAnsi="Times New Roman" w:cs="Times New Roman"/>
                <w:color w:val="000000"/>
                <w:sz w:val="24"/>
                <w:szCs w:val="24"/>
                <w:lang w:eastAsia="fr-FR"/>
              </w:rPr>
              <w:t>0,102</w:t>
            </w:r>
            <w:r w:rsidRPr="002B005F">
              <w:rPr>
                <w:rFonts w:ascii="Times New Roman" w:eastAsia="Times New Roman" w:hAnsi="Times New Roman" w:cs="Times New Roman"/>
                <w:b/>
                <w:bCs/>
                <w:color w:val="000000"/>
                <w:sz w:val="24"/>
                <w:szCs w:val="24"/>
                <w:lang w:eastAsia="fr-FR"/>
              </w:rPr>
              <w:t xml:space="preserve"> N/S</w:t>
            </w:r>
          </w:p>
        </w:tc>
      </w:tr>
      <w:tr w:rsidR="007D25C3" w:rsidRPr="002B005F" w14:paraId="438D013B" w14:textId="77777777" w:rsidTr="00D6118C">
        <w:trPr>
          <w:trHeight w:val="397"/>
          <w:jc w:val="center"/>
        </w:trPr>
        <w:tc>
          <w:tcPr>
            <w:tcW w:w="3402" w:type="dxa"/>
            <w:vAlign w:val="center"/>
          </w:tcPr>
          <w:p w14:paraId="070BFAE5" w14:textId="77777777" w:rsidR="007D25C3" w:rsidRPr="002B005F" w:rsidRDefault="007D25C3" w:rsidP="00E124BE">
            <w:pPr>
              <w:tabs>
                <w:tab w:val="left" w:pos="0"/>
              </w:tabs>
              <w:ind w:firstLine="0"/>
              <w:jc w:val="left"/>
              <w:rPr>
                <w:rFonts w:ascii="Times New Roman" w:eastAsia="Times New Roman" w:hAnsi="Times New Roman" w:cs="Times New Roman"/>
                <w:color w:val="000000"/>
                <w:sz w:val="23"/>
                <w:szCs w:val="23"/>
                <w:lang w:eastAsia="fr-FR"/>
              </w:rPr>
            </w:pPr>
            <w:r w:rsidRPr="002B005F">
              <w:rPr>
                <w:rFonts w:ascii="Times New Roman" w:eastAsia="Times New Roman" w:hAnsi="Times New Roman" w:cs="Times New Roman"/>
                <w:color w:val="000000"/>
                <w:sz w:val="23"/>
                <w:szCs w:val="23"/>
                <w:lang w:eastAsia="fr-FR"/>
              </w:rPr>
              <w:t>Risque de change</w:t>
            </w:r>
          </w:p>
        </w:tc>
        <w:tc>
          <w:tcPr>
            <w:tcW w:w="1134" w:type="dxa"/>
            <w:vAlign w:val="center"/>
          </w:tcPr>
          <w:p w14:paraId="71A4D47E"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79</w:t>
            </w:r>
          </w:p>
        </w:tc>
        <w:tc>
          <w:tcPr>
            <w:tcW w:w="1134" w:type="dxa"/>
            <w:vAlign w:val="center"/>
          </w:tcPr>
          <w:p w14:paraId="5B78D38B" w14:textId="77777777" w:rsidR="007D25C3" w:rsidRPr="002B005F" w:rsidRDefault="007D25C3" w:rsidP="00E124BE">
            <w:pPr>
              <w:tabs>
                <w:tab w:val="left" w:pos="0"/>
              </w:tabs>
              <w:ind w:firstLine="0"/>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1,53</w:t>
            </w:r>
          </w:p>
        </w:tc>
        <w:tc>
          <w:tcPr>
            <w:tcW w:w="1134" w:type="dxa"/>
            <w:vAlign w:val="center"/>
          </w:tcPr>
          <w:p w14:paraId="45585962"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2</w:t>
            </w:r>
          </w:p>
        </w:tc>
        <w:tc>
          <w:tcPr>
            <w:tcW w:w="1134" w:type="dxa"/>
            <w:vAlign w:val="center"/>
          </w:tcPr>
          <w:p w14:paraId="6969CEEE"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2</w:t>
            </w:r>
          </w:p>
        </w:tc>
        <w:tc>
          <w:tcPr>
            <w:tcW w:w="1134" w:type="dxa"/>
            <w:vAlign w:val="center"/>
          </w:tcPr>
          <w:p w14:paraId="1B34617F" w14:textId="77777777" w:rsidR="007D25C3" w:rsidRPr="002B005F" w:rsidRDefault="007D25C3" w:rsidP="00E124BE">
            <w:pPr>
              <w:tabs>
                <w:tab w:val="left" w:pos="0"/>
              </w:tabs>
              <w:ind w:firstLine="0"/>
              <w:jc w:val="center"/>
              <w:rPr>
                <w:rFonts w:ascii="Times New Roman" w:eastAsia="Times New Roman" w:hAnsi="Times New Roman" w:cs="Times New Roman"/>
                <w:b/>
                <w:bCs/>
                <w:color w:val="000000"/>
                <w:sz w:val="24"/>
                <w:szCs w:val="24"/>
                <w:lang w:eastAsia="fr-FR"/>
              </w:rPr>
            </w:pPr>
            <w:r w:rsidRPr="002B005F">
              <w:rPr>
                <w:rFonts w:ascii="Times New Roman" w:eastAsia="Times New Roman" w:hAnsi="Times New Roman" w:cs="Times New Roman"/>
                <w:color w:val="000000"/>
                <w:sz w:val="24"/>
                <w:szCs w:val="24"/>
                <w:lang w:eastAsia="fr-FR"/>
              </w:rPr>
              <w:t>0,220</w:t>
            </w:r>
            <w:r w:rsidRPr="002B005F">
              <w:rPr>
                <w:rFonts w:ascii="Times New Roman" w:eastAsia="Times New Roman" w:hAnsi="Times New Roman" w:cs="Times New Roman"/>
                <w:b/>
                <w:bCs/>
                <w:color w:val="000000"/>
                <w:sz w:val="24"/>
                <w:szCs w:val="24"/>
                <w:lang w:eastAsia="fr-FR"/>
              </w:rPr>
              <w:t xml:space="preserve"> N/S</w:t>
            </w:r>
          </w:p>
        </w:tc>
      </w:tr>
      <w:tr w:rsidR="007D25C3" w:rsidRPr="002B005F" w14:paraId="10C3B372" w14:textId="77777777" w:rsidTr="007D25C3">
        <w:trPr>
          <w:trHeight w:val="397"/>
          <w:jc w:val="center"/>
        </w:trPr>
        <w:tc>
          <w:tcPr>
            <w:tcW w:w="3402" w:type="dxa"/>
            <w:shd w:val="clear" w:color="auto" w:fill="DBE5F1"/>
            <w:vAlign w:val="center"/>
          </w:tcPr>
          <w:p w14:paraId="137501D6" w14:textId="77777777" w:rsidR="007D25C3" w:rsidRPr="002B005F" w:rsidRDefault="007D25C3" w:rsidP="00E124BE">
            <w:pPr>
              <w:tabs>
                <w:tab w:val="left" w:pos="0"/>
              </w:tabs>
              <w:ind w:firstLine="0"/>
              <w:jc w:val="left"/>
              <w:rPr>
                <w:rFonts w:ascii="Times New Roman" w:eastAsia="Times New Roman" w:hAnsi="Times New Roman" w:cs="Times New Roman"/>
                <w:color w:val="000000"/>
                <w:sz w:val="23"/>
                <w:szCs w:val="23"/>
                <w:lang w:eastAsia="fr-FR"/>
              </w:rPr>
            </w:pPr>
            <w:r w:rsidRPr="002B005F">
              <w:rPr>
                <w:rFonts w:ascii="Times New Roman" w:eastAsia="Times New Roman" w:hAnsi="Times New Roman" w:cs="Times New Roman"/>
                <w:color w:val="000000"/>
                <w:sz w:val="23"/>
                <w:szCs w:val="23"/>
                <w:lang w:eastAsia="fr-FR"/>
              </w:rPr>
              <w:t>Risque juridique</w:t>
            </w:r>
          </w:p>
        </w:tc>
        <w:tc>
          <w:tcPr>
            <w:tcW w:w="1134" w:type="dxa"/>
            <w:shd w:val="clear" w:color="auto" w:fill="DBE5F1"/>
            <w:vAlign w:val="center"/>
          </w:tcPr>
          <w:p w14:paraId="0AD43A93"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79</w:t>
            </w:r>
          </w:p>
        </w:tc>
        <w:tc>
          <w:tcPr>
            <w:tcW w:w="1134" w:type="dxa"/>
            <w:shd w:val="clear" w:color="auto" w:fill="DBE5F1"/>
            <w:vAlign w:val="center"/>
          </w:tcPr>
          <w:p w14:paraId="0AD7C5FD" w14:textId="77777777" w:rsidR="007D25C3" w:rsidRPr="002B005F" w:rsidRDefault="007D25C3" w:rsidP="00E124BE">
            <w:pPr>
              <w:tabs>
                <w:tab w:val="left" w:pos="0"/>
              </w:tabs>
              <w:ind w:firstLine="0"/>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1,51</w:t>
            </w:r>
          </w:p>
        </w:tc>
        <w:tc>
          <w:tcPr>
            <w:tcW w:w="1134" w:type="dxa"/>
            <w:shd w:val="clear" w:color="auto" w:fill="DBE5F1"/>
            <w:vAlign w:val="center"/>
          </w:tcPr>
          <w:p w14:paraId="12D33150"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2</w:t>
            </w:r>
          </w:p>
        </w:tc>
        <w:tc>
          <w:tcPr>
            <w:tcW w:w="1134" w:type="dxa"/>
            <w:shd w:val="clear" w:color="auto" w:fill="DBE5F1"/>
            <w:vAlign w:val="center"/>
          </w:tcPr>
          <w:p w14:paraId="4B177898"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2</w:t>
            </w:r>
          </w:p>
        </w:tc>
        <w:tc>
          <w:tcPr>
            <w:tcW w:w="1134" w:type="dxa"/>
            <w:shd w:val="clear" w:color="auto" w:fill="DBE5F1"/>
            <w:vAlign w:val="center"/>
          </w:tcPr>
          <w:p w14:paraId="5E7A3157" w14:textId="77777777" w:rsidR="007D25C3" w:rsidRPr="002B005F" w:rsidRDefault="007D25C3" w:rsidP="00E124BE">
            <w:pPr>
              <w:tabs>
                <w:tab w:val="left" w:pos="0"/>
              </w:tabs>
              <w:ind w:firstLine="0"/>
              <w:jc w:val="center"/>
              <w:rPr>
                <w:rFonts w:ascii="Times New Roman" w:eastAsia="Times New Roman" w:hAnsi="Times New Roman" w:cs="Times New Roman"/>
                <w:b/>
                <w:bCs/>
                <w:color w:val="000000"/>
                <w:sz w:val="24"/>
                <w:szCs w:val="24"/>
                <w:lang w:eastAsia="fr-FR"/>
              </w:rPr>
            </w:pPr>
            <w:r w:rsidRPr="002B005F">
              <w:rPr>
                <w:rFonts w:ascii="Times New Roman" w:eastAsia="Times New Roman" w:hAnsi="Times New Roman" w:cs="Times New Roman"/>
                <w:b/>
                <w:bCs/>
                <w:color w:val="000000"/>
                <w:sz w:val="24"/>
                <w:szCs w:val="24"/>
                <w:lang w:eastAsia="fr-FR"/>
              </w:rPr>
              <w:t>0,000</w:t>
            </w:r>
          </w:p>
        </w:tc>
      </w:tr>
      <w:tr w:rsidR="007D25C3" w:rsidRPr="002B005F" w14:paraId="52E3D9AE" w14:textId="77777777" w:rsidTr="00D6118C">
        <w:trPr>
          <w:trHeight w:val="397"/>
          <w:jc w:val="center"/>
        </w:trPr>
        <w:tc>
          <w:tcPr>
            <w:tcW w:w="3402" w:type="dxa"/>
            <w:vAlign w:val="center"/>
          </w:tcPr>
          <w:p w14:paraId="3EC7D1EA" w14:textId="77777777" w:rsidR="007D25C3" w:rsidRPr="002B005F" w:rsidRDefault="007D25C3" w:rsidP="00E124BE">
            <w:pPr>
              <w:tabs>
                <w:tab w:val="left" w:pos="0"/>
              </w:tabs>
              <w:ind w:firstLine="0"/>
              <w:jc w:val="left"/>
              <w:rPr>
                <w:rFonts w:ascii="Times New Roman" w:eastAsia="Times New Roman" w:hAnsi="Times New Roman" w:cs="Times New Roman"/>
                <w:color w:val="000000"/>
                <w:sz w:val="23"/>
                <w:szCs w:val="23"/>
                <w:lang w:eastAsia="fr-FR"/>
              </w:rPr>
            </w:pPr>
            <w:r w:rsidRPr="002B005F">
              <w:rPr>
                <w:rFonts w:ascii="Times New Roman" w:eastAsia="Times New Roman" w:hAnsi="Times New Roman" w:cs="Times New Roman"/>
                <w:color w:val="000000"/>
                <w:sz w:val="23"/>
                <w:szCs w:val="23"/>
                <w:lang w:eastAsia="fr-FR"/>
              </w:rPr>
              <w:t>Risque fiduciaire</w:t>
            </w:r>
          </w:p>
        </w:tc>
        <w:tc>
          <w:tcPr>
            <w:tcW w:w="1134" w:type="dxa"/>
            <w:vAlign w:val="center"/>
          </w:tcPr>
          <w:p w14:paraId="12CCCC03"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79</w:t>
            </w:r>
          </w:p>
        </w:tc>
        <w:tc>
          <w:tcPr>
            <w:tcW w:w="1134" w:type="dxa"/>
            <w:vAlign w:val="center"/>
          </w:tcPr>
          <w:p w14:paraId="55BB45F0" w14:textId="77777777" w:rsidR="007D25C3" w:rsidRPr="002B005F" w:rsidRDefault="007D25C3" w:rsidP="00E124BE">
            <w:pPr>
              <w:tabs>
                <w:tab w:val="left" w:pos="0"/>
              </w:tabs>
              <w:ind w:firstLine="0"/>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1,39</w:t>
            </w:r>
          </w:p>
        </w:tc>
        <w:tc>
          <w:tcPr>
            <w:tcW w:w="1134" w:type="dxa"/>
            <w:vAlign w:val="center"/>
          </w:tcPr>
          <w:p w14:paraId="0C76E088"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1</w:t>
            </w:r>
          </w:p>
        </w:tc>
        <w:tc>
          <w:tcPr>
            <w:tcW w:w="1134" w:type="dxa"/>
            <w:vAlign w:val="center"/>
          </w:tcPr>
          <w:p w14:paraId="47907ACD"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1</w:t>
            </w:r>
          </w:p>
        </w:tc>
        <w:tc>
          <w:tcPr>
            <w:tcW w:w="1134" w:type="dxa"/>
            <w:vAlign w:val="center"/>
          </w:tcPr>
          <w:p w14:paraId="0CC3E98F" w14:textId="77777777" w:rsidR="007D25C3" w:rsidRPr="002B005F" w:rsidRDefault="007D25C3" w:rsidP="00E124BE">
            <w:pPr>
              <w:tabs>
                <w:tab w:val="left" w:pos="0"/>
              </w:tabs>
              <w:ind w:firstLine="0"/>
              <w:jc w:val="center"/>
              <w:rPr>
                <w:rFonts w:ascii="Times New Roman" w:eastAsia="Times New Roman" w:hAnsi="Times New Roman" w:cs="Times New Roman"/>
                <w:b/>
                <w:bCs/>
                <w:color w:val="000000"/>
                <w:sz w:val="24"/>
                <w:szCs w:val="24"/>
                <w:lang w:eastAsia="fr-FR"/>
              </w:rPr>
            </w:pPr>
            <w:r w:rsidRPr="002B005F">
              <w:rPr>
                <w:rFonts w:ascii="Times New Roman" w:eastAsia="Times New Roman" w:hAnsi="Times New Roman" w:cs="Times New Roman"/>
                <w:b/>
                <w:bCs/>
                <w:color w:val="000000"/>
                <w:sz w:val="24"/>
                <w:szCs w:val="24"/>
                <w:lang w:eastAsia="fr-FR"/>
              </w:rPr>
              <w:t>0,004</w:t>
            </w:r>
          </w:p>
        </w:tc>
      </w:tr>
      <w:tr w:rsidR="007D25C3" w:rsidRPr="002B005F" w14:paraId="7A6400C9" w14:textId="77777777" w:rsidTr="00B13282">
        <w:trPr>
          <w:trHeight w:val="624"/>
          <w:jc w:val="center"/>
        </w:trPr>
        <w:tc>
          <w:tcPr>
            <w:tcW w:w="3402" w:type="dxa"/>
            <w:shd w:val="clear" w:color="auto" w:fill="DBE5F1"/>
            <w:vAlign w:val="center"/>
          </w:tcPr>
          <w:p w14:paraId="0A22D409" w14:textId="77777777" w:rsidR="007D25C3" w:rsidRPr="002B005F" w:rsidRDefault="007D25C3" w:rsidP="00E124BE">
            <w:pPr>
              <w:tabs>
                <w:tab w:val="left" w:pos="0"/>
              </w:tabs>
              <w:ind w:firstLine="0"/>
              <w:jc w:val="left"/>
              <w:rPr>
                <w:rFonts w:ascii="Times New Roman" w:eastAsia="Times New Roman" w:hAnsi="Times New Roman" w:cs="Times New Roman"/>
                <w:color w:val="000000"/>
                <w:spacing w:val="-10"/>
                <w:sz w:val="23"/>
                <w:szCs w:val="23"/>
                <w:lang w:eastAsia="fr-FR"/>
              </w:rPr>
            </w:pPr>
            <w:r w:rsidRPr="002B005F">
              <w:rPr>
                <w:rFonts w:ascii="Times New Roman" w:eastAsia="Times New Roman" w:hAnsi="Times New Roman" w:cs="Times New Roman"/>
                <w:color w:val="000000"/>
                <w:spacing w:val="-10"/>
                <w:sz w:val="23"/>
                <w:szCs w:val="23"/>
                <w:lang w:eastAsia="fr-FR"/>
              </w:rPr>
              <w:t>Risque de variation des prix de marchandise et des titres négociables</w:t>
            </w:r>
          </w:p>
        </w:tc>
        <w:tc>
          <w:tcPr>
            <w:tcW w:w="1134" w:type="dxa"/>
            <w:shd w:val="clear" w:color="auto" w:fill="DBE5F1"/>
            <w:vAlign w:val="center"/>
          </w:tcPr>
          <w:p w14:paraId="752D1F5A"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79</w:t>
            </w:r>
          </w:p>
        </w:tc>
        <w:tc>
          <w:tcPr>
            <w:tcW w:w="1134" w:type="dxa"/>
            <w:shd w:val="clear" w:color="auto" w:fill="DBE5F1"/>
            <w:vAlign w:val="center"/>
          </w:tcPr>
          <w:p w14:paraId="5F18C7D7" w14:textId="77777777" w:rsidR="007D25C3" w:rsidRPr="002B005F" w:rsidRDefault="007D25C3" w:rsidP="00E124BE">
            <w:pPr>
              <w:tabs>
                <w:tab w:val="left" w:pos="0"/>
              </w:tabs>
              <w:ind w:firstLine="0"/>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1,33</w:t>
            </w:r>
          </w:p>
        </w:tc>
        <w:tc>
          <w:tcPr>
            <w:tcW w:w="1134" w:type="dxa"/>
            <w:shd w:val="clear" w:color="auto" w:fill="DBE5F1"/>
            <w:vAlign w:val="center"/>
          </w:tcPr>
          <w:p w14:paraId="54B75E98"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1</w:t>
            </w:r>
          </w:p>
        </w:tc>
        <w:tc>
          <w:tcPr>
            <w:tcW w:w="1134" w:type="dxa"/>
            <w:shd w:val="clear" w:color="auto" w:fill="DBE5F1"/>
            <w:vAlign w:val="center"/>
          </w:tcPr>
          <w:p w14:paraId="19B4BEBE" w14:textId="77777777" w:rsidR="007D25C3" w:rsidRPr="002B005F" w:rsidRDefault="007D25C3" w:rsidP="00E124BE">
            <w:pPr>
              <w:tabs>
                <w:tab w:val="left" w:pos="0"/>
              </w:tabs>
              <w:ind w:firstLine="0"/>
              <w:jc w:val="center"/>
              <w:rPr>
                <w:rFonts w:ascii="Times New Roman" w:eastAsia="Times New Roman" w:hAnsi="Times New Roman" w:cs="Times New Roman"/>
                <w:color w:val="000000"/>
                <w:sz w:val="24"/>
                <w:szCs w:val="24"/>
                <w:lang w:eastAsia="fr-FR"/>
              </w:rPr>
            </w:pPr>
            <w:r w:rsidRPr="002B005F">
              <w:rPr>
                <w:rFonts w:ascii="Times New Roman" w:eastAsia="Times New Roman" w:hAnsi="Times New Roman" w:cs="Times New Roman"/>
                <w:color w:val="000000"/>
                <w:sz w:val="24"/>
                <w:szCs w:val="24"/>
                <w:lang w:eastAsia="fr-FR"/>
              </w:rPr>
              <w:t>1</w:t>
            </w:r>
          </w:p>
        </w:tc>
        <w:tc>
          <w:tcPr>
            <w:tcW w:w="1134" w:type="dxa"/>
            <w:shd w:val="clear" w:color="auto" w:fill="DBE5F1"/>
            <w:vAlign w:val="center"/>
          </w:tcPr>
          <w:p w14:paraId="46064A7A" w14:textId="77777777" w:rsidR="007D25C3" w:rsidRPr="002B005F" w:rsidRDefault="007D25C3" w:rsidP="00E124BE">
            <w:pPr>
              <w:tabs>
                <w:tab w:val="left" w:pos="0"/>
              </w:tabs>
              <w:ind w:firstLine="0"/>
              <w:jc w:val="center"/>
              <w:rPr>
                <w:rFonts w:ascii="Times New Roman" w:eastAsia="Times New Roman" w:hAnsi="Times New Roman" w:cs="Times New Roman"/>
                <w:b/>
                <w:bCs/>
                <w:color w:val="000000"/>
                <w:sz w:val="24"/>
                <w:szCs w:val="24"/>
                <w:lang w:eastAsia="fr-FR"/>
              </w:rPr>
            </w:pPr>
            <w:r w:rsidRPr="002B005F">
              <w:rPr>
                <w:rFonts w:ascii="Times New Roman" w:eastAsia="Times New Roman" w:hAnsi="Times New Roman" w:cs="Times New Roman"/>
                <w:b/>
                <w:bCs/>
                <w:color w:val="000000"/>
                <w:sz w:val="24"/>
                <w:szCs w:val="24"/>
                <w:lang w:eastAsia="fr-FR"/>
              </w:rPr>
              <w:t>0,001</w:t>
            </w:r>
          </w:p>
        </w:tc>
      </w:tr>
    </w:tbl>
    <w:p w14:paraId="697F1062" w14:textId="77777777" w:rsidR="00E124BE" w:rsidRPr="002B005F" w:rsidRDefault="00E124BE" w:rsidP="00B13282">
      <w:pPr>
        <w:tabs>
          <w:tab w:val="left" w:pos="0"/>
        </w:tabs>
        <w:autoSpaceDE w:val="0"/>
        <w:autoSpaceDN w:val="0"/>
        <w:adjustRightInd w:val="0"/>
        <w:spacing w:before="120" w:line="240" w:lineRule="auto"/>
        <w:rPr>
          <w:rFonts w:ascii="Times New Roman" w:hAnsi="Times New Roman" w:cs="Times New Roman"/>
          <w:sz w:val="20"/>
          <w:szCs w:val="20"/>
        </w:rPr>
      </w:pPr>
      <w:r w:rsidRPr="002B005F">
        <w:rPr>
          <w:rFonts w:ascii="Times New Roman" w:hAnsi="Times New Roman" w:cs="Times New Roman"/>
          <w:sz w:val="20"/>
          <w:szCs w:val="20"/>
        </w:rPr>
        <w:t>Notes : n = nombre de réponses.</w:t>
      </w:r>
    </w:p>
    <w:p w14:paraId="4AA4790F" w14:textId="77777777" w:rsidR="00E124BE" w:rsidRPr="002B005F" w:rsidRDefault="00E124BE" w:rsidP="00E124BE">
      <w:pPr>
        <w:tabs>
          <w:tab w:val="left" w:pos="0"/>
        </w:tabs>
        <w:autoSpaceDE w:val="0"/>
        <w:autoSpaceDN w:val="0"/>
        <w:adjustRightInd w:val="0"/>
        <w:spacing w:line="240" w:lineRule="auto"/>
        <w:rPr>
          <w:rFonts w:ascii="Times New Roman" w:hAnsi="Times New Roman" w:cs="Times New Roman"/>
          <w:spacing w:val="-8"/>
          <w:sz w:val="20"/>
          <w:szCs w:val="20"/>
        </w:rPr>
      </w:pPr>
      <w:r w:rsidRPr="002B005F">
        <w:rPr>
          <w:rFonts w:ascii="Times New Roman" w:hAnsi="Times New Roman" w:cs="Times New Roman"/>
          <w:sz w:val="20"/>
          <w:szCs w:val="20"/>
        </w:rPr>
        <w:t>N/</w:t>
      </w:r>
      <w:r w:rsidRPr="002B005F">
        <w:rPr>
          <w:rFonts w:ascii="Times New Roman" w:hAnsi="Times New Roman" w:cs="Times New Roman"/>
          <w:spacing w:val="-8"/>
          <w:sz w:val="20"/>
          <w:szCs w:val="20"/>
        </w:rPr>
        <w:t>S indique que les différences entre les réponses ne sont pas significatives à 5% en utilisant le test de Chi-deux.</w:t>
      </w:r>
    </w:p>
    <w:p w14:paraId="22C51F26" w14:textId="77777777" w:rsidR="007D25C3" w:rsidRPr="00C20FC9" w:rsidRDefault="00E124BE" w:rsidP="00B424F2">
      <w:pPr>
        <w:tabs>
          <w:tab w:val="left" w:pos="0"/>
        </w:tabs>
        <w:autoSpaceDE w:val="0"/>
        <w:autoSpaceDN w:val="0"/>
        <w:adjustRightInd w:val="0"/>
        <w:spacing w:before="120"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du chercheur.</w:t>
      </w:r>
    </w:p>
    <w:p w14:paraId="7F48C174" w14:textId="77777777" w:rsidR="002760B2" w:rsidRPr="00C20FC9" w:rsidRDefault="002760B2" w:rsidP="00B424F2">
      <w:pPr>
        <w:tabs>
          <w:tab w:val="left" w:pos="0"/>
        </w:tabs>
        <w:autoSpaceDE w:val="0"/>
        <w:autoSpaceDN w:val="0"/>
        <w:adjustRightInd w:val="0"/>
        <w:spacing w:before="100" w:beforeAutospacing="1" w:after="120" w:line="300" w:lineRule="auto"/>
        <w:ind w:firstLine="709"/>
        <w:rPr>
          <w:rFonts w:ascii="Times New Roman" w:eastAsia="Times New Roman" w:hAnsi="Times New Roman" w:cs="Times New Roman"/>
          <w:spacing w:val="2"/>
          <w:sz w:val="24"/>
          <w:szCs w:val="24"/>
        </w:rPr>
      </w:pPr>
      <w:r w:rsidRPr="002B005F">
        <w:rPr>
          <w:rFonts w:ascii="Times New Roman" w:eastAsia="Times New Roman" w:hAnsi="Times New Roman" w:cs="Times New Roman"/>
          <w:sz w:val="24"/>
          <w:szCs w:val="24"/>
        </w:rPr>
        <w:t xml:space="preserve">D’ailleurs, </w:t>
      </w:r>
      <w:r w:rsidR="005F2414" w:rsidRPr="002B005F">
        <w:rPr>
          <w:rFonts w:ascii="Times New Roman" w:eastAsia="Times New Roman" w:hAnsi="Times New Roman" w:cs="Times New Roman"/>
          <w:sz w:val="24"/>
          <w:szCs w:val="24"/>
        </w:rPr>
        <w:t>le test de Chi-deux (</w:t>
      </w:r>
      <w:r w:rsidRPr="002B005F">
        <w:rPr>
          <w:rFonts w:ascii="Times New Roman" w:eastAsia="Times New Roman" w:hAnsi="Times New Roman" w:cs="Times New Roman"/>
          <w:sz w:val="24"/>
          <w:szCs w:val="24"/>
        </w:rPr>
        <w:t xml:space="preserve">test non paramétrique) est utilisé pour explorer les données afin de tester si elles représentent un bon ajustement ou non. Cette étude utilise une signification d’un niveau de 5%. Depuis, pour cette question, pour la plupart des risques (sauf </w:t>
      </w:r>
      <w:r w:rsidRPr="00C20FC9">
        <w:rPr>
          <w:rFonts w:ascii="Times New Roman" w:eastAsia="Times New Roman" w:hAnsi="Times New Roman" w:cs="Times New Roman"/>
          <w:spacing w:val="2"/>
          <w:sz w:val="24"/>
          <w:szCs w:val="24"/>
        </w:rPr>
        <w:t>le risque de change et le risque opérationnel)</w:t>
      </w:r>
      <w:r w:rsidR="00DC7946" w:rsidRPr="00C20FC9">
        <w:rPr>
          <w:rFonts w:ascii="Times New Roman" w:eastAsia="Times New Roman" w:hAnsi="Times New Roman" w:cs="Times New Roman"/>
          <w:spacing w:val="2"/>
          <w:sz w:val="24"/>
          <w:szCs w:val="24"/>
        </w:rPr>
        <w:t>,</w:t>
      </w:r>
      <w:r w:rsidRPr="00C20FC9">
        <w:rPr>
          <w:rFonts w:ascii="Times New Roman" w:eastAsia="Times New Roman" w:hAnsi="Times New Roman" w:cs="Times New Roman"/>
          <w:spacing w:val="2"/>
          <w:sz w:val="24"/>
          <w:szCs w:val="24"/>
        </w:rPr>
        <w:t xml:space="preserve"> la valeur P (P-value) est inférieure à 0,05, il est conclu que pour la plupart des risques il existe une qualité d'ajustement entre les données.</w:t>
      </w:r>
    </w:p>
    <w:p w14:paraId="25327860" w14:textId="77777777" w:rsidR="002760B2" w:rsidRPr="00C20FC9" w:rsidRDefault="002760B2" w:rsidP="005F2AB0">
      <w:pPr>
        <w:tabs>
          <w:tab w:val="left" w:pos="0"/>
        </w:tabs>
        <w:autoSpaceDE w:val="0"/>
        <w:autoSpaceDN w:val="0"/>
        <w:adjustRightInd w:val="0"/>
        <w:spacing w:before="120" w:after="120" w:line="300" w:lineRule="auto"/>
        <w:ind w:firstLine="709"/>
        <w:rPr>
          <w:rFonts w:ascii="Times New Roman" w:eastAsia="Times New Roman" w:hAnsi="Times New Roman" w:cs="Times New Roman"/>
          <w:spacing w:val="2"/>
          <w:sz w:val="24"/>
          <w:szCs w:val="24"/>
        </w:rPr>
      </w:pPr>
      <w:r w:rsidRPr="00C20FC9">
        <w:rPr>
          <w:rFonts w:ascii="Times New Roman" w:eastAsia="Times New Roman" w:hAnsi="Times New Roman" w:cs="Times New Roman"/>
          <w:spacing w:val="2"/>
          <w:sz w:val="24"/>
          <w:szCs w:val="24"/>
        </w:rPr>
        <w:t>L’agrégation des résultats effectuée dans le tableau 13, montre que le risque de liquidité est perçu comme le plus grave auquel sont confrontées les BI ayant la valeur moyenne la plus élevée de 4,82, suivi par le risque de contrepartie (2,25) et le risque commercial déplacé (2,00). Les autres risques n’étaient pas déclarés comme critiques par rapport aux premiers principaux risques. Parmi les risques énumérés, le ri</w:t>
      </w:r>
      <w:r w:rsidR="005F2414" w:rsidRPr="00C20FC9">
        <w:rPr>
          <w:rFonts w:ascii="Times New Roman" w:eastAsia="Times New Roman" w:hAnsi="Times New Roman" w:cs="Times New Roman"/>
          <w:spacing w:val="2"/>
          <w:sz w:val="24"/>
          <w:szCs w:val="24"/>
        </w:rPr>
        <w:t>sque de variation des prix des m</w:t>
      </w:r>
      <w:r w:rsidRPr="00C20FC9">
        <w:rPr>
          <w:rFonts w:ascii="Times New Roman" w:eastAsia="Times New Roman" w:hAnsi="Times New Roman" w:cs="Times New Roman"/>
          <w:spacing w:val="2"/>
          <w:sz w:val="24"/>
          <w:szCs w:val="24"/>
        </w:rPr>
        <w:t>atières premières et des actions était considéré comme le moins risqué (1,33).</w:t>
      </w:r>
    </w:p>
    <w:p w14:paraId="1C40D0D2" w14:textId="3C55C81C" w:rsidR="002760B2" w:rsidRPr="00C20FC9" w:rsidRDefault="002760B2" w:rsidP="005F2AB0">
      <w:pPr>
        <w:tabs>
          <w:tab w:val="left" w:pos="0"/>
        </w:tabs>
        <w:autoSpaceDE w:val="0"/>
        <w:autoSpaceDN w:val="0"/>
        <w:adjustRightInd w:val="0"/>
        <w:spacing w:before="120" w:after="120" w:line="300" w:lineRule="auto"/>
        <w:ind w:firstLine="709"/>
        <w:rPr>
          <w:rFonts w:ascii="Times New Roman" w:eastAsia="Times New Roman" w:hAnsi="Times New Roman" w:cs="Times New Roman"/>
          <w:spacing w:val="2"/>
          <w:sz w:val="24"/>
          <w:szCs w:val="24"/>
        </w:rPr>
      </w:pPr>
      <w:r w:rsidRPr="00C20FC9">
        <w:rPr>
          <w:rFonts w:ascii="Times New Roman" w:eastAsia="Times New Roman" w:hAnsi="Times New Roman" w:cs="Times New Roman"/>
          <w:spacing w:val="2"/>
          <w:sz w:val="24"/>
          <w:szCs w:val="24"/>
        </w:rPr>
        <w:t xml:space="preserve">On peut remarquer du tableau ci-dessus que le risque de liquidité est considéré par les répondants comme le plus risqué parmi </w:t>
      </w:r>
      <w:r w:rsidR="00DC7946" w:rsidRPr="00C20FC9">
        <w:rPr>
          <w:rFonts w:ascii="Times New Roman" w:eastAsia="Times New Roman" w:hAnsi="Times New Roman" w:cs="Times New Roman"/>
          <w:spacing w:val="2"/>
          <w:sz w:val="24"/>
          <w:szCs w:val="24"/>
        </w:rPr>
        <w:t>les risques énumérés. Cela</w:t>
      </w:r>
      <w:r w:rsidRPr="00C20FC9">
        <w:rPr>
          <w:rFonts w:ascii="Times New Roman" w:eastAsia="Times New Roman" w:hAnsi="Times New Roman" w:cs="Times New Roman"/>
          <w:spacing w:val="2"/>
          <w:sz w:val="24"/>
          <w:szCs w:val="24"/>
        </w:rPr>
        <w:t xml:space="preserve"> est dû au manque d'instruments de marché monétaire pour gérer la liquidité bancaire </w:t>
      </w:r>
      <w:r w:rsidR="002B7158" w:rsidRPr="00C20FC9">
        <w:rPr>
          <w:rFonts w:ascii="Times New Roman" w:eastAsia="Times New Roman" w:hAnsi="Times New Roman" w:cs="Times New Roman"/>
          <w:spacing w:val="2"/>
          <w:sz w:val="24"/>
          <w:szCs w:val="24"/>
        </w:rPr>
        <w:t>i</w:t>
      </w:r>
      <w:r w:rsidR="003773C6" w:rsidRPr="00C20FC9">
        <w:rPr>
          <w:rFonts w:ascii="Times New Roman" w:eastAsia="Times New Roman" w:hAnsi="Times New Roman" w:cs="Times New Roman"/>
          <w:spacing w:val="2"/>
          <w:sz w:val="24"/>
          <w:szCs w:val="24"/>
        </w:rPr>
        <w:t>slamique</w:t>
      </w:r>
      <w:r w:rsidRPr="00C20FC9">
        <w:rPr>
          <w:rFonts w:ascii="Times New Roman" w:eastAsia="Times New Roman" w:hAnsi="Times New Roman" w:cs="Times New Roman"/>
          <w:spacing w:val="2"/>
          <w:sz w:val="24"/>
          <w:szCs w:val="24"/>
        </w:rPr>
        <w:t xml:space="preserve">. </w:t>
      </w:r>
      <w:r w:rsidRPr="00C20FC9">
        <w:rPr>
          <w:rFonts w:ascii="Times New Roman" w:hAnsi="Times New Roman" w:cs="Times New Roman"/>
          <w:spacing w:val="2"/>
          <w:sz w:val="24"/>
          <w:szCs w:val="24"/>
        </w:rPr>
        <w:t>Le risque de marché lié aux fluctuations des prix de marchandises et des titres négociés sur des marchés bien organisés est relativement limité. Ce risque émanant des changements de prix des marchandises/titres fait partie de l’activité commerciale de la</w:t>
      </w:r>
      <w:r w:rsidR="00DC7946" w:rsidRPr="00C20FC9">
        <w:rPr>
          <w:rFonts w:ascii="Times New Roman" w:hAnsi="Times New Roman" w:cs="Times New Roman"/>
          <w:spacing w:val="2"/>
          <w:sz w:val="24"/>
          <w:szCs w:val="24"/>
        </w:rPr>
        <w:t xml:space="preserve"> banque. Comme la majorité des </w:t>
      </w:r>
      <w:r w:rsidR="002B7158" w:rsidRPr="00C20FC9">
        <w:rPr>
          <w:rFonts w:ascii="Times New Roman" w:hAnsi="Times New Roman" w:cs="Times New Roman"/>
          <w:i/>
          <w:iCs/>
          <w:spacing w:val="2"/>
          <w:sz w:val="24"/>
          <w:szCs w:val="24"/>
        </w:rPr>
        <w:t>O</w:t>
      </w:r>
      <w:r w:rsidR="00DC7946" w:rsidRPr="00C20FC9">
        <w:rPr>
          <w:rFonts w:ascii="Times New Roman" w:hAnsi="Times New Roman" w:cs="Times New Roman"/>
          <w:i/>
          <w:iCs/>
          <w:spacing w:val="2"/>
          <w:sz w:val="24"/>
          <w:szCs w:val="24"/>
        </w:rPr>
        <w:t>u</w:t>
      </w:r>
      <w:r w:rsidRPr="00C20FC9">
        <w:rPr>
          <w:rFonts w:ascii="Times New Roman" w:hAnsi="Times New Roman" w:cs="Times New Roman"/>
          <w:i/>
          <w:iCs/>
          <w:spacing w:val="2"/>
          <w:sz w:val="24"/>
          <w:szCs w:val="24"/>
        </w:rPr>
        <w:t>lémas</w:t>
      </w:r>
      <w:r w:rsidRPr="00C20FC9">
        <w:rPr>
          <w:rFonts w:ascii="Times New Roman" w:hAnsi="Times New Roman" w:cs="Times New Roman"/>
          <w:spacing w:val="2"/>
          <w:sz w:val="24"/>
          <w:szCs w:val="24"/>
        </w:rPr>
        <w:t xml:space="preserve">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C20FC9">
        <w:rPr>
          <w:rFonts w:ascii="Times New Roman" w:hAnsi="Times New Roman" w:cs="Times New Roman"/>
          <w:spacing w:val="2"/>
          <w:sz w:val="24"/>
          <w:szCs w:val="24"/>
        </w:rPr>
        <w:t xml:space="preserve"> </w:t>
      </w:r>
      <w:r w:rsidRPr="00C20FC9">
        <w:rPr>
          <w:rFonts w:ascii="Times New Roman" w:hAnsi="Times New Roman" w:cs="Times New Roman"/>
          <w:spacing w:val="2"/>
          <w:sz w:val="24"/>
          <w:szCs w:val="24"/>
        </w:rPr>
        <w:t xml:space="preserve">interdisent la vente des dettes, le commerce de titres obligataires est quasiment non-existant au niveau des BI. Toutefois, les banques </w:t>
      </w:r>
      <w:r w:rsidR="002B7158" w:rsidRPr="00C20FC9">
        <w:rPr>
          <w:rFonts w:ascii="Times New Roman" w:hAnsi="Times New Roman" w:cs="Times New Roman"/>
          <w:spacing w:val="2"/>
          <w:sz w:val="24"/>
          <w:szCs w:val="24"/>
        </w:rPr>
        <w:t>i</w:t>
      </w:r>
      <w:r w:rsidR="003773C6" w:rsidRPr="00C20FC9">
        <w:rPr>
          <w:rFonts w:ascii="Times New Roman" w:hAnsi="Times New Roman" w:cs="Times New Roman"/>
          <w:spacing w:val="2"/>
          <w:sz w:val="24"/>
          <w:szCs w:val="24"/>
        </w:rPr>
        <w:t>slamique</w:t>
      </w:r>
      <w:r w:rsidRPr="00C20FC9">
        <w:rPr>
          <w:rFonts w:ascii="Times New Roman" w:hAnsi="Times New Roman" w:cs="Times New Roman"/>
          <w:spacing w:val="2"/>
          <w:sz w:val="24"/>
          <w:szCs w:val="24"/>
        </w:rPr>
        <w:t>s peuvent pratiquer le commerce des titres représentant des marchandises ou des actifs réels. Comme peu de banques pratiquent ce type de commerce, cela peut expliquer le faible classement du risque de variation des prix de marchandises/titres qui apparaît sur le tableau précédent.</w:t>
      </w:r>
    </w:p>
    <w:p w14:paraId="7D97C8E0" w14:textId="340A22E4" w:rsidR="00CD0BCA" w:rsidRPr="00C20FC9" w:rsidRDefault="002760B2" w:rsidP="005F2AB0">
      <w:pPr>
        <w:tabs>
          <w:tab w:val="left" w:pos="0"/>
        </w:tabs>
        <w:autoSpaceDE w:val="0"/>
        <w:autoSpaceDN w:val="0"/>
        <w:adjustRightInd w:val="0"/>
        <w:spacing w:before="120" w:after="120" w:line="300" w:lineRule="auto"/>
        <w:ind w:firstLine="709"/>
        <w:rPr>
          <w:rFonts w:ascii="Times New Roman" w:eastAsia="Times New Roman" w:hAnsi="Times New Roman" w:cs="Times New Roman"/>
          <w:spacing w:val="2"/>
          <w:sz w:val="24"/>
          <w:szCs w:val="24"/>
        </w:rPr>
      </w:pPr>
      <w:r w:rsidRPr="00C20FC9">
        <w:rPr>
          <w:rFonts w:ascii="Times New Roman" w:eastAsia="Times New Roman" w:hAnsi="Times New Roman" w:cs="Times New Roman"/>
          <w:b/>
          <w:bCs/>
          <w:spacing w:val="2"/>
          <w:sz w:val="24"/>
          <w:szCs w:val="24"/>
        </w:rPr>
        <w:t>Le tableau 14</w:t>
      </w:r>
      <w:r w:rsidRPr="00C20FC9">
        <w:rPr>
          <w:rFonts w:ascii="Times New Roman" w:eastAsia="Times New Roman" w:hAnsi="Times New Roman" w:cs="Times New Roman"/>
          <w:spacing w:val="2"/>
          <w:sz w:val="24"/>
          <w:szCs w:val="24"/>
        </w:rPr>
        <w:t xml:space="preserve"> présente les risques supplémentaires déclarés par les répondants, pouvant affecter les BI. Ils trouvent que le risque de</w:t>
      </w:r>
      <w:r w:rsidR="00A5400B" w:rsidRPr="00C20FC9">
        <w:rPr>
          <w:rFonts w:ascii="Times New Roman" w:eastAsia="Times New Roman" w:hAnsi="Times New Roman" w:cs="Times New Roman"/>
          <w:spacing w:val="2"/>
          <w:sz w:val="24"/>
          <w:szCs w:val="24"/>
        </w:rPr>
        <w:t xml:space="preserve"> </w:t>
      </w:r>
      <w:r w:rsidRPr="00C20FC9">
        <w:rPr>
          <w:rFonts w:ascii="Times New Roman" w:eastAsia="Times New Roman" w:hAnsi="Times New Roman" w:cs="Times New Roman"/>
          <w:spacing w:val="2"/>
          <w:sz w:val="24"/>
          <w:szCs w:val="24"/>
        </w:rPr>
        <w:t xml:space="preserve">non-conformité avec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C20FC9">
        <w:rPr>
          <w:rFonts w:ascii="Times New Roman" w:eastAsia="Times New Roman" w:hAnsi="Times New Roman" w:cs="Times New Roman"/>
          <w:spacing w:val="2"/>
          <w:sz w:val="24"/>
          <w:szCs w:val="24"/>
        </w:rPr>
        <w:t xml:space="preserve"> </w:t>
      </w:r>
      <w:r w:rsidRPr="00C20FC9">
        <w:rPr>
          <w:rFonts w:ascii="Times New Roman" w:eastAsia="Times New Roman" w:hAnsi="Times New Roman" w:cs="Times New Roman"/>
          <w:spacing w:val="2"/>
          <w:sz w:val="24"/>
          <w:szCs w:val="24"/>
        </w:rPr>
        <w:t>et le risque d’enchevêtrement sont deux risques importants. Comme c’est indiqué dans le tableau, la plupart des répondants trouvent que le risque de non-</w:t>
      </w:r>
      <w:r w:rsidRPr="00C20FC9">
        <w:rPr>
          <w:rFonts w:ascii="Times New Roman" w:hAnsi="Times New Roman" w:cs="Times New Roman"/>
          <w:spacing w:val="2"/>
          <w:sz w:val="24"/>
          <w:szCs w:val="24"/>
        </w:rPr>
        <w:t xml:space="preserve"> conformité avec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C20FC9">
        <w:rPr>
          <w:rFonts w:ascii="Times New Roman" w:eastAsia="Times New Roman" w:hAnsi="Times New Roman" w:cs="Times New Roman"/>
          <w:spacing w:val="2"/>
          <w:sz w:val="24"/>
          <w:szCs w:val="24"/>
        </w:rPr>
        <w:t xml:space="preserve"> </w:t>
      </w:r>
      <w:r w:rsidRPr="00C20FC9">
        <w:rPr>
          <w:rFonts w:ascii="Times New Roman" w:eastAsia="Times New Roman" w:hAnsi="Times New Roman" w:cs="Times New Roman"/>
          <w:spacing w:val="2"/>
          <w:sz w:val="24"/>
          <w:szCs w:val="24"/>
        </w:rPr>
        <w:t>est très important dans leurs institutions financières avec un pourcentage de 59.49%, alors que les perceptions des répondants concernant le risque d’enchevêtrement étaient de 22,78%, le reste des répondants ont répondu qu’ils ne connaissent aucun autre risque.</w:t>
      </w:r>
    </w:p>
    <w:p w14:paraId="4302293E" w14:textId="321FE4D3" w:rsidR="00DC7946" w:rsidRPr="002B005F" w:rsidRDefault="00DC7946" w:rsidP="009543A1">
      <w:pPr>
        <w:keepNext/>
        <w:tabs>
          <w:tab w:val="left" w:pos="0"/>
        </w:tabs>
        <w:autoSpaceDE w:val="0"/>
        <w:autoSpaceDN w:val="0"/>
        <w:adjustRightInd w:val="0"/>
        <w:spacing w:before="100" w:beforeAutospacing="1" w:after="120" w:line="300" w:lineRule="auto"/>
        <w:jc w:val="center"/>
        <w:rPr>
          <w:rFonts w:ascii="Times New Roman" w:hAnsi="Times New Roman" w:cs="Times New Roman"/>
          <w:b/>
          <w:bCs/>
          <w:sz w:val="24"/>
          <w:szCs w:val="24"/>
        </w:rPr>
      </w:pPr>
      <w:bookmarkStart w:id="1600" w:name="_Toc115556082"/>
      <w:r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14</w:t>
      </w:r>
      <w:r w:rsidR="00B544E5" w:rsidRPr="002B005F">
        <w:rPr>
          <w:rFonts w:ascii="Times New Roman" w:hAnsi="Times New Roman" w:cs="Times New Roman"/>
          <w:b/>
          <w:bCs/>
          <w:sz w:val="24"/>
          <w:szCs w:val="24"/>
        </w:rPr>
        <w:fldChar w:fldCharType="end"/>
      </w:r>
      <w:r w:rsidRPr="002B005F">
        <w:rPr>
          <w:rFonts w:ascii="Times New Roman" w:hAnsi="Times New Roman" w:cs="Times New Roman"/>
          <w:b/>
          <w:bCs/>
          <w:sz w:val="24"/>
          <w:szCs w:val="24"/>
        </w:rPr>
        <w:t>- Autres risques spécifiques aux BI</w:t>
      </w:r>
      <w:bookmarkEnd w:id="1600"/>
    </w:p>
    <w:tbl>
      <w:tblPr>
        <w:tblStyle w:val="Grilledutableau2"/>
        <w:tblW w:w="8163" w:type="dxa"/>
        <w:jc w:val="center"/>
        <w:tblLayout w:type="fixed"/>
        <w:tblCellMar>
          <w:top w:w="28" w:type="dxa"/>
          <w:left w:w="57" w:type="dxa"/>
          <w:bottom w:w="28" w:type="dxa"/>
          <w:right w:w="57" w:type="dxa"/>
        </w:tblCellMar>
        <w:tblLook w:val="04A0" w:firstRow="1" w:lastRow="0" w:firstColumn="1" w:lastColumn="0" w:noHBand="0" w:noVBand="1"/>
      </w:tblPr>
      <w:tblGrid>
        <w:gridCol w:w="4535"/>
        <w:gridCol w:w="1814"/>
        <w:gridCol w:w="1814"/>
      </w:tblGrid>
      <w:tr w:rsidR="00DC7946" w:rsidRPr="002B005F" w14:paraId="7524C649" w14:textId="77777777" w:rsidTr="001124FF">
        <w:trPr>
          <w:trHeight w:val="510"/>
          <w:jc w:val="center"/>
        </w:trPr>
        <w:tc>
          <w:tcPr>
            <w:tcW w:w="4535" w:type="dxa"/>
            <w:shd w:val="clear" w:color="auto" w:fill="DEEAF6" w:themeFill="accent1" w:themeFillTint="33"/>
            <w:vAlign w:val="center"/>
          </w:tcPr>
          <w:p w14:paraId="44F510B5" w14:textId="77777777" w:rsidR="00DC7946" w:rsidRPr="002B005F" w:rsidRDefault="00DC7946" w:rsidP="009543A1">
            <w:pPr>
              <w:keepNext/>
              <w:tabs>
                <w:tab w:val="left" w:pos="0"/>
              </w:tabs>
              <w:ind w:firstLine="0"/>
              <w:jc w:val="center"/>
              <w:rPr>
                <w:rFonts w:ascii="Times New Roman" w:eastAsia="Calibri" w:hAnsi="Times New Roman" w:cs="Times New Roman"/>
                <w:b/>
                <w:bCs/>
                <w:sz w:val="24"/>
                <w:szCs w:val="24"/>
              </w:rPr>
            </w:pPr>
            <w:r w:rsidRPr="002B005F">
              <w:rPr>
                <w:rFonts w:ascii="Times New Roman" w:eastAsia="Calibri" w:hAnsi="Times New Roman" w:cs="Times New Roman"/>
                <w:b/>
                <w:bCs/>
                <w:sz w:val="24"/>
                <w:szCs w:val="24"/>
              </w:rPr>
              <w:t>Autres risques</w:t>
            </w:r>
          </w:p>
        </w:tc>
        <w:tc>
          <w:tcPr>
            <w:tcW w:w="1814" w:type="dxa"/>
            <w:shd w:val="clear" w:color="auto" w:fill="DEEAF6" w:themeFill="accent1" w:themeFillTint="33"/>
            <w:vAlign w:val="center"/>
          </w:tcPr>
          <w:p w14:paraId="088EB9C9" w14:textId="77777777" w:rsidR="00DC7946" w:rsidRPr="002B005F" w:rsidRDefault="00DC7946" w:rsidP="009543A1">
            <w:pPr>
              <w:keepNext/>
              <w:tabs>
                <w:tab w:val="left" w:pos="0"/>
              </w:tabs>
              <w:ind w:firstLine="0"/>
              <w:jc w:val="center"/>
              <w:rPr>
                <w:rFonts w:ascii="Times New Roman" w:eastAsia="Calibri" w:hAnsi="Times New Roman" w:cs="Times New Roman"/>
                <w:b/>
                <w:bCs/>
                <w:sz w:val="24"/>
                <w:szCs w:val="24"/>
              </w:rPr>
            </w:pPr>
            <w:r w:rsidRPr="002B005F">
              <w:rPr>
                <w:rFonts w:ascii="Times New Roman" w:eastAsia="Calibri" w:hAnsi="Times New Roman" w:cs="Times New Roman"/>
                <w:b/>
                <w:bCs/>
                <w:sz w:val="24"/>
                <w:szCs w:val="24"/>
              </w:rPr>
              <w:t>Effectifs</w:t>
            </w:r>
          </w:p>
        </w:tc>
        <w:tc>
          <w:tcPr>
            <w:tcW w:w="1814" w:type="dxa"/>
            <w:shd w:val="clear" w:color="auto" w:fill="DEEAF6" w:themeFill="accent1" w:themeFillTint="33"/>
            <w:vAlign w:val="center"/>
          </w:tcPr>
          <w:p w14:paraId="667A192D" w14:textId="77777777" w:rsidR="00DC7946" w:rsidRPr="002B005F" w:rsidRDefault="00DC7946" w:rsidP="009543A1">
            <w:pPr>
              <w:keepNext/>
              <w:tabs>
                <w:tab w:val="left" w:pos="0"/>
              </w:tabs>
              <w:ind w:firstLine="0"/>
              <w:jc w:val="center"/>
              <w:rPr>
                <w:rFonts w:ascii="Times New Roman" w:eastAsia="Calibri" w:hAnsi="Times New Roman" w:cs="Times New Roman"/>
                <w:b/>
                <w:bCs/>
                <w:sz w:val="24"/>
                <w:szCs w:val="24"/>
              </w:rPr>
            </w:pPr>
            <w:r w:rsidRPr="002B005F">
              <w:rPr>
                <w:rFonts w:ascii="Times New Roman" w:eastAsia="Calibri" w:hAnsi="Times New Roman" w:cs="Times New Roman"/>
                <w:b/>
                <w:bCs/>
                <w:sz w:val="24"/>
                <w:szCs w:val="24"/>
              </w:rPr>
              <w:t>Pourcentage</w:t>
            </w:r>
          </w:p>
        </w:tc>
      </w:tr>
      <w:tr w:rsidR="00DC7946" w:rsidRPr="002B005F" w14:paraId="5DB44163" w14:textId="77777777" w:rsidTr="001124FF">
        <w:trPr>
          <w:trHeight w:val="454"/>
          <w:jc w:val="center"/>
        </w:trPr>
        <w:tc>
          <w:tcPr>
            <w:tcW w:w="4535" w:type="dxa"/>
            <w:vAlign w:val="center"/>
          </w:tcPr>
          <w:p w14:paraId="1ED7D0CA" w14:textId="3F91C786" w:rsidR="00DC7946" w:rsidRPr="002B005F" w:rsidRDefault="00DC7946" w:rsidP="009543A1">
            <w:pPr>
              <w:keepNext/>
              <w:tabs>
                <w:tab w:val="left" w:pos="0"/>
              </w:tabs>
              <w:ind w:left="57" w:firstLine="0"/>
              <w:jc w:val="left"/>
              <w:rPr>
                <w:rFonts w:ascii="Times New Roman" w:eastAsia="Calibri" w:hAnsi="Times New Roman" w:cs="Times New Roman"/>
                <w:b/>
                <w:bCs/>
                <w:sz w:val="23"/>
                <w:szCs w:val="23"/>
              </w:rPr>
            </w:pPr>
            <w:r w:rsidRPr="002B005F">
              <w:rPr>
                <w:rFonts w:ascii="Times New Roman" w:eastAsia="Calibri" w:hAnsi="Times New Roman" w:cs="Times New Roman"/>
                <w:b/>
                <w:bCs/>
                <w:sz w:val="23"/>
                <w:szCs w:val="23"/>
              </w:rPr>
              <w:t xml:space="preserve">Risque de non-conformité avec la </w:t>
            </w:r>
            <w:r w:rsidR="001124FF" w:rsidRPr="001124FF">
              <w:rPr>
                <w:rFonts w:asciiTheme="majorBidi" w:eastAsia="Times New Roman" w:hAnsiTheme="majorBidi" w:cstheme="majorBidi"/>
                <w:b/>
                <w:bCs/>
                <w:i/>
                <w:iCs/>
                <w:color w:val="000000" w:themeColor="text1"/>
                <w:sz w:val="24"/>
                <w:szCs w:val="24"/>
                <w:lang w:eastAsia="fr-FR"/>
              </w:rPr>
              <w:t>Shariah</w:t>
            </w:r>
          </w:p>
        </w:tc>
        <w:tc>
          <w:tcPr>
            <w:tcW w:w="1814" w:type="dxa"/>
            <w:vAlign w:val="center"/>
          </w:tcPr>
          <w:p w14:paraId="58718902" w14:textId="77777777" w:rsidR="00DC7946" w:rsidRPr="002B005F" w:rsidRDefault="00DC7946" w:rsidP="009543A1">
            <w:pPr>
              <w:keepNext/>
              <w:tabs>
                <w:tab w:val="left" w:pos="0"/>
              </w:tabs>
              <w:ind w:firstLine="0"/>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47</w:t>
            </w:r>
          </w:p>
        </w:tc>
        <w:tc>
          <w:tcPr>
            <w:tcW w:w="1814" w:type="dxa"/>
            <w:vAlign w:val="center"/>
          </w:tcPr>
          <w:p w14:paraId="16A1F157" w14:textId="77777777" w:rsidR="00DC7946" w:rsidRPr="002B005F" w:rsidRDefault="00DC7946" w:rsidP="009543A1">
            <w:pPr>
              <w:keepNext/>
              <w:tabs>
                <w:tab w:val="left" w:pos="0"/>
              </w:tabs>
              <w:ind w:firstLine="0"/>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59,49</w:t>
            </w:r>
          </w:p>
        </w:tc>
      </w:tr>
      <w:tr w:rsidR="00DC7946" w:rsidRPr="002B005F" w14:paraId="6E91A609" w14:textId="77777777" w:rsidTr="001124FF">
        <w:trPr>
          <w:trHeight w:val="454"/>
          <w:jc w:val="center"/>
        </w:trPr>
        <w:tc>
          <w:tcPr>
            <w:tcW w:w="4535" w:type="dxa"/>
            <w:vAlign w:val="center"/>
          </w:tcPr>
          <w:p w14:paraId="673D684D" w14:textId="77777777" w:rsidR="00DC7946" w:rsidRPr="002B005F" w:rsidRDefault="00DC7946" w:rsidP="009543A1">
            <w:pPr>
              <w:keepNext/>
              <w:tabs>
                <w:tab w:val="left" w:pos="0"/>
              </w:tabs>
              <w:ind w:left="57" w:firstLine="0"/>
              <w:jc w:val="left"/>
              <w:rPr>
                <w:rFonts w:ascii="Times New Roman" w:eastAsia="Calibri" w:hAnsi="Times New Roman" w:cs="Times New Roman"/>
                <w:b/>
                <w:bCs/>
                <w:sz w:val="23"/>
                <w:szCs w:val="23"/>
              </w:rPr>
            </w:pPr>
            <w:r w:rsidRPr="002B005F">
              <w:rPr>
                <w:rFonts w:ascii="Times New Roman" w:eastAsia="Calibri" w:hAnsi="Times New Roman" w:cs="Times New Roman"/>
                <w:b/>
                <w:bCs/>
                <w:sz w:val="23"/>
                <w:szCs w:val="23"/>
              </w:rPr>
              <w:t>Risque d’enchevêtrement</w:t>
            </w:r>
          </w:p>
        </w:tc>
        <w:tc>
          <w:tcPr>
            <w:tcW w:w="1814" w:type="dxa"/>
            <w:vAlign w:val="center"/>
          </w:tcPr>
          <w:p w14:paraId="39D73D0C" w14:textId="77777777" w:rsidR="00DC7946" w:rsidRPr="002B005F" w:rsidRDefault="00DC7946" w:rsidP="009543A1">
            <w:pPr>
              <w:keepNext/>
              <w:tabs>
                <w:tab w:val="left" w:pos="0"/>
              </w:tabs>
              <w:ind w:firstLine="0"/>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18</w:t>
            </w:r>
          </w:p>
        </w:tc>
        <w:tc>
          <w:tcPr>
            <w:tcW w:w="1814" w:type="dxa"/>
            <w:vAlign w:val="center"/>
          </w:tcPr>
          <w:p w14:paraId="114DBE7E" w14:textId="77777777" w:rsidR="00DC7946" w:rsidRPr="002B005F" w:rsidRDefault="00DC7946" w:rsidP="009543A1">
            <w:pPr>
              <w:keepNext/>
              <w:tabs>
                <w:tab w:val="left" w:pos="0"/>
              </w:tabs>
              <w:ind w:firstLine="0"/>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22,78</w:t>
            </w:r>
          </w:p>
        </w:tc>
      </w:tr>
      <w:tr w:rsidR="00DC7946" w:rsidRPr="002B005F" w14:paraId="19B0C6DE" w14:textId="77777777" w:rsidTr="001124FF">
        <w:trPr>
          <w:trHeight w:val="454"/>
          <w:jc w:val="center"/>
        </w:trPr>
        <w:tc>
          <w:tcPr>
            <w:tcW w:w="4535" w:type="dxa"/>
            <w:vAlign w:val="center"/>
          </w:tcPr>
          <w:p w14:paraId="649BA54C" w14:textId="77777777" w:rsidR="00DC7946" w:rsidRPr="002B005F" w:rsidRDefault="00DC7946" w:rsidP="009543A1">
            <w:pPr>
              <w:keepNext/>
              <w:tabs>
                <w:tab w:val="left" w:pos="0"/>
              </w:tabs>
              <w:ind w:left="57" w:firstLine="0"/>
              <w:jc w:val="left"/>
              <w:rPr>
                <w:rFonts w:ascii="Times New Roman" w:eastAsia="Calibri" w:hAnsi="Times New Roman" w:cs="Times New Roman"/>
                <w:b/>
                <w:bCs/>
                <w:sz w:val="23"/>
                <w:szCs w:val="23"/>
              </w:rPr>
            </w:pPr>
            <w:r w:rsidRPr="002B005F">
              <w:rPr>
                <w:rFonts w:ascii="Times New Roman" w:eastAsia="Calibri" w:hAnsi="Times New Roman" w:cs="Times New Roman"/>
                <w:b/>
                <w:bCs/>
                <w:sz w:val="23"/>
                <w:szCs w:val="23"/>
              </w:rPr>
              <w:t>Aucun</w:t>
            </w:r>
          </w:p>
        </w:tc>
        <w:tc>
          <w:tcPr>
            <w:tcW w:w="1814" w:type="dxa"/>
            <w:vAlign w:val="center"/>
          </w:tcPr>
          <w:p w14:paraId="42214288" w14:textId="77777777" w:rsidR="00DC7946" w:rsidRPr="002B005F" w:rsidRDefault="00DC7946" w:rsidP="009543A1">
            <w:pPr>
              <w:keepNext/>
              <w:tabs>
                <w:tab w:val="left" w:pos="0"/>
              </w:tabs>
              <w:ind w:firstLine="0"/>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14</w:t>
            </w:r>
          </w:p>
        </w:tc>
        <w:tc>
          <w:tcPr>
            <w:tcW w:w="1814" w:type="dxa"/>
            <w:vAlign w:val="center"/>
          </w:tcPr>
          <w:p w14:paraId="110220CB" w14:textId="77777777" w:rsidR="00DC7946" w:rsidRPr="002B005F" w:rsidRDefault="00DC7946" w:rsidP="009543A1">
            <w:pPr>
              <w:keepNext/>
              <w:tabs>
                <w:tab w:val="left" w:pos="0"/>
              </w:tabs>
              <w:ind w:firstLine="0"/>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17,73</w:t>
            </w:r>
          </w:p>
        </w:tc>
      </w:tr>
      <w:tr w:rsidR="00DC7946" w:rsidRPr="002B005F" w14:paraId="36462ADF" w14:textId="77777777" w:rsidTr="001124FF">
        <w:trPr>
          <w:trHeight w:val="510"/>
          <w:jc w:val="center"/>
        </w:trPr>
        <w:tc>
          <w:tcPr>
            <w:tcW w:w="4535" w:type="dxa"/>
            <w:shd w:val="clear" w:color="auto" w:fill="DEEAF6" w:themeFill="accent1" w:themeFillTint="33"/>
            <w:vAlign w:val="center"/>
          </w:tcPr>
          <w:p w14:paraId="2DC9F230" w14:textId="77777777" w:rsidR="00DC7946" w:rsidRPr="002B005F" w:rsidRDefault="00DC7946" w:rsidP="009543A1">
            <w:pPr>
              <w:keepNext/>
              <w:tabs>
                <w:tab w:val="left" w:pos="0"/>
              </w:tabs>
              <w:ind w:right="339" w:firstLine="0"/>
              <w:jc w:val="right"/>
              <w:rPr>
                <w:rFonts w:ascii="Times New Roman" w:eastAsia="Calibri" w:hAnsi="Times New Roman" w:cs="Times New Roman"/>
                <w:b/>
                <w:bCs/>
                <w:sz w:val="24"/>
                <w:szCs w:val="24"/>
              </w:rPr>
            </w:pPr>
            <w:r w:rsidRPr="002B005F">
              <w:rPr>
                <w:rFonts w:ascii="Times New Roman" w:eastAsia="Calibri" w:hAnsi="Times New Roman" w:cs="Times New Roman"/>
                <w:b/>
                <w:bCs/>
                <w:sz w:val="24"/>
                <w:szCs w:val="24"/>
              </w:rPr>
              <w:t>Total</w:t>
            </w:r>
          </w:p>
        </w:tc>
        <w:tc>
          <w:tcPr>
            <w:tcW w:w="1814" w:type="dxa"/>
            <w:shd w:val="clear" w:color="auto" w:fill="DEEAF6" w:themeFill="accent1" w:themeFillTint="33"/>
            <w:vAlign w:val="center"/>
          </w:tcPr>
          <w:p w14:paraId="375CF67A" w14:textId="77777777" w:rsidR="00DC7946" w:rsidRPr="002B005F" w:rsidRDefault="00DC7946" w:rsidP="009543A1">
            <w:pPr>
              <w:keepNext/>
              <w:tabs>
                <w:tab w:val="left" w:pos="0"/>
              </w:tabs>
              <w:ind w:firstLine="0"/>
              <w:jc w:val="center"/>
              <w:rPr>
                <w:rFonts w:ascii="Times New Roman" w:eastAsia="Calibri" w:hAnsi="Times New Roman" w:cs="Times New Roman"/>
                <w:b/>
                <w:bCs/>
                <w:sz w:val="24"/>
                <w:szCs w:val="24"/>
              </w:rPr>
            </w:pPr>
            <w:r w:rsidRPr="002B005F">
              <w:rPr>
                <w:rFonts w:ascii="Times New Roman" w:eastAsia="Calibri" w:hAnsi="Times New Roman" w:cs="Times New Roman"/>
                <w:b/>
                <w:bCs/>
                <w:sz w:val="24"/>
                <w:szCs w:val="24"/>
              </w:rPr>
              <w:t>79</w:t>
            </w:r>
          </w:p>
        </w:tc>
        <w:tc>
          <w:tcPr>
            <w:tcW w:w="1814" w:type="dxa"/>
            <w:shd w:val="clear" w:color="auto" w:fill="DEEAF6" w:themeFill="accent1" w:themeFillTint="33"/>
            <w:vAlign w:val="center"/>
          </w:tcPr>
          <w:p w14:paraId="04687466" w14:textId="77777777" w:rsidR="00DC7946" w:rsidRPr="002B005F" w:rsidRDefault="00DC7946" w:rsidP="009543A1">
            <w:pPr>
              <w:keepNext/>
              <w:tabs>
                <w:tab w:val="left" w:pos="0"/>
              </w:tabs>
              <w:ind w:firstLine="0"/>
              <w:jc w:val="center"/>
              <w:rPr>
                <w:rFonts w:ascii="Times New Roman" w:eastAsia="Calibri" w:hAnsi="Times New Roman" w:cs="Times New Roman"/>
                <w:b/>
                <w:bCs/>
                <w:sz w:val="24"/>
                <w:szCs w:val="24"/>
              </w:rPr>
            </w:pPr>
            <w:r w:rsidRPr="002B005F">
              <w:rPr>
                <w:rFonts w:ascii="Times New Roman" w:eastAsia="Calibri" w:hAnsi="Times New Roman" w:cs="Times New Roman"/>
                <w:b/>
                <w:bCs/>
                <w:sz w:val="24"/>
                <w:szCs w:val="24"/>
              </w:rPr>
              <w:t>100,00</w:t>
            </w:r>
          </w:p>
        </w:tc>
      </w:tr>
    </w:tbl>
    <w:p w14:paraId="3CE7813B" w14:textId="77777777" w:rsidR="00DC7946" w:rsidRPr="002B005F" w:rsidRDefault="00DC7946" w:rsidP="009543A1">
      <w:pPr>
        <w:keepNext/>
        <w:tabs>
          <w:tab w:val="left" w:pos="0"/>
        </w:tabs>
        <w:autoSpaceDE w:val="0"/>
        <w:autoSpaceDN w:val="0"/>
        <w:adjustRightInd w:val="0"/>
        <w:spacing w:before="120" w:after="100" w:afterAutospacing="1" w:line="240" w:lineRule="auto"/>
        <w:jc w:val="center"/>
        <w:rPr>
          <w:rFonts w:ascii="Times New Roman" w:eastAsia="Times New Roman" w:hAnsi="Times New Roman" w:cs="Times New Roman"/>
        </w:rPr>
      </w:pPr>
      <w:r w:rsidRPr="002B005F">
        <w:rPr>
          <w:rFonts w:ascii="Times New Roman" w:eastAsia="Times New Roman" w:hAnsi="Times New Roman" w:cs="Times New Roman"/>
          <w:sz w:val="20"/>
          <w:szCs w:val="20"/>
        </w:rPr>
        <w:t>Source : Calculs du chercheur.</w:t>
      </w:r>
    </w:p>
    <w:p w14:paraId="18559492" w14:textId="77777777" w:rsidR="005F2AB0" w:rsidRPr="002B005F" w:rsidRDefault="005F2AB0" w:rsidP="0079025F">
      <w:pPr>
        <w:tabs>
          <w:tab w:val="left" w:pos="0"/>
        </w:tabs>
        <w:autoSpaceDE w:val="0"/>
        <w:autoSpaceDN w:val="0"/>
        <w:adjustRightInd w:val="0"/>
        <w:spacing w:before="120" w:after="120" w:line="360" w:lineRule="auto"/>
        <w:ind w:firstLine="709"/>
        <w:rPr>
          <w:rFonts w:ascii="Times New Roman" w:eastAsia="Times New Roman" w:hAnsi="Times New Roman" w:cs="Times New Roman"/>
          <w:sz w:val="24"/>
          <w:szCs w:val="24"/>
        </w:rPr>
      </w:pPr>
    </w:p>
    <w:p w14:paraId="26315A3D" w14:textId="2CB6F183" w:rsidR="002760B2" w:rsidRPr="002B005F" w:rsidRDefault="002760B2" w:rsidP="005F2AB0">
      <w:pPr>
        <w:tabs>
          <w:tab w:val="left" w:pos="0"/>
        </w:tabs>
        <w:autoSpaceDE w:val="0"/>
        <w:autoSpaceDN w:val="0"/>
        <w:adjustRightInd w:val="0"/>
        <w:spacing w:before="120" w:after="120"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Le risque de non-conformité avec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eastAsia="Times New Roman" w:hAnsi="Times New Roman" w:cs="Times New Roman"/>
          <w:sz w:val="24"/>
          <w:szCs w:val="24"/>
        </w:rPr>
        <w:t xml:space="preserve"> a été classé le premier dans la catégorie autres risques, car il est susceptible d'être significatif et c’est un risque unique pour les BI. La conformité avec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2B005F">
        <w:rPr>
          <w:rFonts w:ascii="Times New Roman" w:eastAsia="Times New Roman" w:hAnsi="Times New Roman" w:cs="Times New Roman"/>
          <w:sz w:val="24"/>
          <w:szCs w:val="24"/>
        </w:rPr>
        <w:t xml:space="preserve"> </w:t>
      </w:r>
      <w:r w:rsidRPr="002B005F">
        <w:rPr>
          <w:rFonts w:ascii="Times New Roman" w:eastAsia="Times New Roman" w:hAnsi="Times New Roman" w:cs="Times New Roman"/>
          <w:sz w:val="24"/>
          <w:szCs w:val="24"/>
        </w:rPr>
        <w:t xml:space="preserve">devrait être l’axe principal de toutes BI. Toute divergence par rapport aux principes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00A5400B" w:rsidRPr="002B005F">
        <w:rPr>
          <w:rFonts w:ascii="Times New Roman" w:eastAsia="Times New Roman" w:hAnsi="Times New Roman" w:cs="Times New Roman"/>
          <w:sz w:val="24"/>
          <w:szCs w:val="24"/>
        </w:rPr>
        <w:t xml:space="preserve"> </w:t>
      </w:r>
      <w:r w:rsidRPr="002B005F">
        <w:rPr>
          <w:rFonts w:ascii="Times New Roman" w:eastAsia="Times New Roman" w:hAnsi="Times New Roman" w:cs="Times New Roman"/>
          <w:sz w:val="24"/>
          <w:szCs w:val="24"/>
        </w:rPr>
        <w:t>expose les BI à un large éventail de risques à différents niveaux comme discuté d</w:t>
      </w:r>
      <w:r w:rsidR="009543A1" w:rsidRPr="002B005F">
        <w:rPr>
          <w:rFonts w:ascii="Times New Roman" w:eastAsia="Times New Roman" w:hAnsi="Times New Roman" w:cs="Times New Roman"/>
          <w:sz w:val="24"/>
          <w:szCs w:val="24"/>
        </w:rPr>
        <w:t xml:space="preserve">ans les chapitres précédents. </w:t>
      </w:r>
      <w:r w:rsidRPr="002B005F">
        <w:rPr>
          <w:rFonts w:ascii="Times New Roman" w:eastAsia="Times New Roman" w:hAnsi="Times New Roman" w:cs="Times New Roman"/>
          <w:sz w:val="24"/>
          <w:szCs w:val="24"/>
        </w:rPr>
        <w:t xml:space="preserve">Pour le risque d’enchevêtrement, il est présent dans les BI à cause de </w:t>
      </w:r>
      <w:r w:rsidRPr="002B005F">
        <w:rPr>
          <w:rFonts w:ascii="Times New Roman" w:hAnsi="Times New Roman" w:cs="Times New Roman"/>
          <w:sz w:val="24"/>
          <w:szCs w:val="24"/>
        </w:rPr>
        <w:t xml:space="preserve">la nature contractuelle des produits bancaires </w:t>
      </w:r>
      <w:r w:rsidR="002B7158">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et la pluralité des contreparties impliquées dans les différentes phases de la transaction bancaire</w:t>
      </w:r>
      <w:r w:rsidR="009543A1" w:rsidRPr="002B005F">
        <w:rPr>
          <w:rFonts w:ascii="Times New Roman" w:eastAsia="Times New Roman" w:hAnsi="Times New Roman" w:cs="Times New Roman"/>
          <w:sz w:val="24"/>
          <w:szCs w:val="24"/>
        </w:rPr>
        <w:t>.</w:t>
      </w:r>
    </w:p>
    <w:p w14:paraId="4E5FAEA6" w14:textId="77777777" w:rsidR="002760B2" w:rsidRPr="005D4E25" w:rsidRDefault="00245F45" w:rsidP="00B424F2">
      <w:pPr>
        <w:pStyle w:val="Titre4"/>
        <w:keepNext w:val="0"/>
        <w:spacing w:before="100" w:beforeAutospacing="1" w:after="120" w:line="300" w:lineRule="auto"/>
        <w:ind w:firstLine="709"/>
      </w:pPr>
      <w:bookmarkStart w:id="1601" w:name="_Toc33263388"/>
      <w:bookmarkStart w:id="1602" w:name="_Toc37664651"/>
      <w:bookmarkStart w:id="1603" w:name="_Toc37666496"/>
      <w:bookmarkStart w:id="1604" w:name="_Toc54363393"/>
      <w:bookmarkStart w:id="1605" w:name="_Toc58606371"/>
      <w:bookmarkStart w:id="1606" w:name="_Toc61263576"/>
      <w:bookmarkStart w:id="1607" w:name="_Toc182298905"/>
      <w:r>
        <w:t>2</w:t>
      </w:r>
      <w:r w:rsidR="005D4E25">
        <w:t xml:space="preserve">.1.3- </w:t>
      </w:r>
      <w:r w:rsidR="002760B2" w:rsidRPr="005D4E25">
        <w:t xml:space="preserve">Intensité d'utilisation des différents contrats financiers </w:t>
      </w:r>
      <w:r w:rsidR="00A5419D" w:rsidRPr="005D4E25">
        <w:t>i</w:t>
      </w:r>
      <w:r w:rsidR="003773C6" w:rsidRPr="005D4E25">
        <w:t>slamique</w:t>
      </w:r>
      <w:r w:rsidR="002760B2" w:rsidRPr="005D4E25">
        <w:t>s</w:t>
      </w:r>
      <w:bookmarkEnd w:id="1601"/>
      <w:bookmarkEnd w:id="1602"/>
      <w:bookmarkEnd w:id="1603"/>
      <w:bookmarkEnd w:id="1604"/>
      <w:bookmarkEnd w:id="1605"/>
      <w:bookmarkEnd w:id="1606"/>
      <w:bookmarkEnd w:id="1607"/>
    </w:p>
    <w:p w14:paraId="47BC0400" w14:textId="77777777" w:rsidR="0079025F" w:rsidRPr="002B005F" w:rsidRDefault="002760B2" w:rsidP="005F2AB0">
      <w:pPr>
        <w:tabs>
          <w:tab w:val="left" w:pos="0"/>
        </w:tabs>
        <w:autoSpaceDE w:val="0"/>
        <w:autoSpaceDN w:val="0"/>
        <w:adjustRightInd w:val="0"/>
        <w:spacing w:before="120" w:after="120"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Le </w:t>
      </w:r>
      <w:r w:rsidRPr="002B005F">
        <w:rPr>
          <w:rFonts w:ascii="Times New Roman" w:eastAsia="Times New Roman" w:hAnsi="Times New Roman" w:cs="Times New Roman"/>
          <w:b/>
          <w:bCs/>
          <w:sz w:val="24"/>
          <w:szCs w:val="24"/>
        </w:rPr>
        <w:t>tableau 15</w:t>
      </w:r>
      <w:r w:rsidRPr="002B005F">
        <w:rPr>
          <w:rFonts w:ascii="Times New Roman" w:eastAsia="Times New Roman" w:hAnsi="Times New Roman" w:cs="Times New Roman"/>
          <w:sz w:val="24"/>
          <w:szCs w:val="24"/>
        </w:rPr>
        <w:t xml:space="preserve"> résume les moyennes d’utilisation des contrats financiers </w:t>
      </w:r>
      <w:r w:rsidR="002B7158">
        <w:rPr>
          <w:rFonts w:ascii="Times New Roman" w:eastAsia="Times New Roman" w:hAnsi="Times New Roman" w:cs="Times New Roman"/>
          <w:sz w:val="24"/>
          <w:szCs w:val="24"/>
        </w:rPr>
        <w:t>i</w:t>
      </w:r>
      <w:r w:rsidR="003773C6" w:rsidRPr="002B005F">
        <w:rPr>
          <w:rFonts w:ascii="Times New Roman" w:eastAsia="Times New Roman" w:hAnsi="Times New Roman" w:cs="Times New Roman"/>
          <w:sz w:val="24"/>
          <w:szCs w:val="24"/>
        </w:rPr>
        <w:t>slamique</w:t>
      </w:r>
      <w:r w:rsidRPr="002B005F">
        <w:rPr>
          <w:rFonts w:ascii="Times New Roman" w:eastAsia="Times New Roman" w:hAnsi="Times New Roman" w:cs="Times New Roman"/>
          <w:sz w:val="24"/>
          <w:szCs w:val="24"/>
        </w:rPr>
        <w:t xml:space="preserve">s. Les résultats confirment les constats théoriques présentés dans les chapitres précédents. Nous remarquons que le contrat </w:t>
      </w:r>
      <w:r w:rsidR="004767B0" w:rsidRPr="002B005F">
        <w:rPr>
          <w:rFonts w:ascii="Times New Roman" w:eastAsia="Times New Roman" w:hAnsi="Times New Roman" w:cs="Times New Roman"/>
          <w:i/>
          <w:iCs/>
          <w:sz w:val="24"/>
          <w:szCs w:val="24"/>
        </w:rPr>
        <w:t>m</w:t>
      </w:r>
      <w:r w:rsidRPr="002B005F">
        <w:rPr>
          <w:rFonts w:ascii="Times New Roman" w:eastAsia="Times New Roman" w:hAnsi="Times New Roman" w:cs="Times New Roman"/>
          <w:i/>
          <w:iCs/>
          <w:sz w:val="24"/>
          <w:szCs w:val="24"/>
        </w:rPr>
        <w:t>ourabaha</w:t>
      </w:r>
      <w:r w:rsidRPr="002B005F">
        <w:rPr>
          <w:rFonts w:ascii="Times New Roman" w:eastAsia="Times New Roman" w:hAnsi="Times New Roman" w:cs="Times New Roman"/>
          <w:sz w:val="24"/>
          <w:szCs w:val="24"/>
        </w:rPr>
        <w:t xml:space="preserve"> est le contrat le plus utilisé avec une moyenne égale à 5.20. Nos résultats confirment les autres études effectuées sur le syndrome de la </w:t>
      </w:r>
      <w:r w:rsidR="004767B0" w:rsidRPr="002B005F">
        <w:rPr>
          <w:rFonts w:ascii="Times New Roman" w:eastAsia="Times New Roman" w:hAnsi="Times New Roman" w:cs="Times New Roman"/>
          <w:i/>
          <w:iCs/>
          <w:sz w:val="24"/>
          <w:szCs w:val="24"/>
        </w:rPr>
        <w:t>m</w:t>
      </w:r>
      <w:r w:rsidRPr="002B005F">
        <w:rPr>
          <w:rFonts w:ascii="Times New Roman" w:eastAsia="Times New Roman" w:hAnsi="Times New Roman" w:cs="Times New Roman"/>
          <w:i/>
          <w:iCs/>
          <w:sz w:val="24"/>
          <w:szCs w:val="24"/>
        </w:rPr>
        <w:t>ourabaha</w:t>
      </w:r>
      <w:r w:rsidRPr="002B005F">
        <w:rPr>
          <w:rFonts w:ascii="Times New Roman" w:eastAsia="Times New Roman" w:hAnsi="Times New Roman" w:cs="Times New Roman"/>
          <w:sz w:val="24"/>
          <w:szCs w:val="24"/>
        </w:rPr>
        <w:t xml:space="preserve"> dans les BI. Les moyennes faibles liées à la </w:t>
      </w:r>
      <w:r w:rsidR="009543A1" w:rsidRPr="002B005F">
        <w:rPr>
          <w:rFonts w:ascii="Times New Roman" w:eastAsia="Times New Roman" w:hAnsi="Times New Roman" w:cs="Times New Roman"/>
          <w:i/>
          <w:iCs/>
          <w:sz w:val="24"/>
          <w:szCs w:val="24"/>
        </w:rPr>
        <w:t>m</w:t>
      </w:r>
      <w:r w:rsidRPr="002B005F">
        <w:rPr>
          <w:rFonts w:ascii="Times New Roman" w:eastAsia="Times New Roman" w:hAnsi="Times New Roman" w:cs="Times New Roman"/>
          <w:i/>
          <w:iCs/>
          <w:sz w:val="24"/>
          <w:szCs w:val="24"/>
        </w:rPr>
        <w:t>oucharaka</w:t>
      </w:r>
      <w:r w:rsidRPr="002B005F">
        <w:rPr>
          <w:rFonts w:ascii="Times New Roman" w:eastAsia="Times New Roman" w:hAnsi="Times New Roman" w:cs="Times New Roman"/>
          <w:sz w:val="24"/>
          <w:szCs w:val="24"/>
        </w:rPr>
        <w:t xml:space="preserve"> (1.96) et la </w:t>
      </w:r>
      <w:r w:rsidR="009543A1" w:rsidRPr="002B005F">
        <w:rPr>
          <w:rFonts w:ascii="Times New Roman" w:eastAsia="Times New Roman" w:hAnsi="Times New Roman" w:cs="Times New Roman"/>
          <w:i/>
          <w:iCs/>
          <w:sz w:val="24"/>
          <w:szCs w:val="24"/>
        </w:rPr>
        <w:t>m</w:t>
      </w:r>
      <w:r w:rsidR="004A4E16" w:rsidRPr="002B005F">
        <w:rPr>
          <w:rFonts w:ascii="Times New Roman" w:eastAsia="Times New Roman" w:hAnsi="Times New Roman" w:cs="Times New Roman"/>
          <w:i/>
          <w:iCs/>
          <w:sz w:val="24"/>
          <w:szCs w:val="24"/>
        </w:rPr>
        <w:t>oudaraba</w:t>
      </w:r>
      <w:r w:rsidRPr="002B005F">
        <w:rPr>
          <w:rFonts w:ascii="Times New Roman" w:eastAsia="Times New Roman" w:hAnsi="Times New Roman" w:cs="Times New Roman"/>
          <w:sz w:val="24"/>
          <w:szCs w:val="24"/>
        </w:rPr>
        <w:t xml:space="preserve"> (3.48), dans le tableau 15, reflètent la réticence des BI à détenir des actifs basés sur le partage des risques et des rendements. En outre, l'analyse a révélé que le contrat </w:t>
      </w:r>
      <w:r w:rsidRPr="002B005F">
        <w:rPr>
          <w:rFonts w:ascii="Times New Roman" w:eastAsia="Times New Roman" w:hAnsi="Times New Roman" w:cs="Times New Roman"/>
          <w:i/>
          <w:iCs/>
          <w:sz w:val="24"/>
          <w:szCs w:val="24"/>
        </w:rPr>
        <w:t>Ijara</w:t>
      </w:r>
      <w:r w:rsidRPr="002B005F">
        <w:rPr>
          <w:rFonts w:ascii="Times New Roman" w:eastAsia="Times New Roman" w:hAnsi="Times New Roman" w:cs="Times New Roman"/>
          <w:sz w:val="24"/>
          <w:szCs w:val="24"/>
        </w:rPr>
        <w:t xml:space="preserve"> a commencé à envahir les transactions bancaires </w:t>
      </w:r>
      <w:r w:rsidR="00A5419D">
        <w:rPr>
          <w:rFonts w:ascii="Times New Roman" w:eastAsia="Times New Roman" w:hAnsi="Times New Roman" w:cs="Times New Roman"/>
          <w:sz w:val="24"/>
          <w:szCs w:val="24"/>
        </w:rPr>
        <w:t>i</w:t>
      </w:r>
      <w:r w:rsidR="003773C6" w:rsidRPr="002B005F">
        <w:rPr>
          <w:rFonts w:ascii="Times New Roman" w:eastAsia="Times New Roman" w:hAnsi="Times New Roman" w:cs="Times New Roman"/>
          <w:sz w:val="24"/>
          <w:szCs w:val="24"/>
        </w:rPr>
        <w:t>slamique</w:t>
      </w:r>
      <w:r w:rsidRPr="002B005F">
        <w:rPr>
          <w:rFonts w:ascii="Times New Roman" w:eastAsia="Times New Roman" w:hAnsi="Times New Roman" w:cs="Times New Roman"/>
          <w:sz w:val="24"/>
          <w:szCs w:val="24"/>
        </w:rPr>
        <w:t xml:space="preserve">s (moyenne égale à 3.97). Donc, Il est remarquable des réponses que les BI préfèrent l’utilisation des instruments financiers à revenu fixe. Ce constat va être complété par le traitement des réponses sur la perception de gravité de risques de chaque mode de financement </w:t>
      </w:r>
      <w:r w:rsidR="00A5419D">
        <w:rPr>
          <w:rFonts w:ascii="Times New Roman" w:eastAsia="Times New Roman" w:hAnsi="Times New Roman" w:cs="Times New Roman"/>
          <w:sz w:val="24"/>
          <w:szCs w:val="24"/>
        </w:rPr>
        <w:t>i</w:t>
      </w:r>
      <w:r w:rsidR="003773C6" w:rsidRPr="002B005F">
        <w:rPr>
          <w:rFonts w:ascii="Times New Roman" w:eastAsia="Times New Roman" w:hAnsi="Times New Roman" w:cs="Times New Roman"/>
          <w:sz w:val="24"/>
          <w:szCs w:val="24"/>
        </w:rPr>
        <w:t>slamique</w:t>
      </w:r>
      <w:r w:rsidRPr="002B005F">
        <w:rPr>
          <w:rFonts w:ascii="Times New Roman" w:eastAsia="Times New Roman" w:hAnsi="Times New Roman" w:cs="Times New Roman"/>
          <w:sz w:val="24"/>
          <w:szCs w:val="24"/>
        </w:rPr>
        <w:t>.</w:t>
      </w:r>
    </w:p>
    <w:p w14:paraId="12F24AD8" w14:textId="68D7E045" w:rsidR="008C2E40" w:rsidRPr="002B005F" w:rsidRDefault="008C2E40" w:rsidP="005F2AB0">
      <w:pPr>
        <w:spacing w:before="100" w:beforeAutospacing="1" w:after="120" w:line="300" w:lineRule="auto"/>
        <w:jc w:val="center"/>
        <w:rPr>
          <w:rFonts w:ascii="Times New Roman" w:hAnsi="Times New Roman" w:cs="Times New Roman"/>
          <w:b/>
          <w:bCs/>
          <w:sz w:val="24"/>
          <w:szCs w:val="24"/>
        </w:rPr>
      </w:pPr>
      <w:bookmarkStart w:id="1608" w:name="_Toc115556083"/>
      <w:r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15</w:t>
      </w:r>
      <w:r w:rsidR="00B544E5" w:rsidRPr="002B005F">
        <w:rPr>
          <w:rFonts w:ascii="Times New Roman" w:hAnsi="Times New Roman" w:cs="Times New Roman"/>
          <w:b/>
          <w:bCs/>
          <w:sz w:val="24"/>
          <w:szCs w:val="24"/>
        </w:rPr>
        <w:fldChar w:fldCharType="end"/>
      </w:r>
      <w:r w:rsidR="00D33F8C" w:rsidRPr="002B005F">
        <w:rPr>
          <w:rFonts w:ascii="Times New Roman" w:hAnsi="Times New Roman" w:cs="Times New Roman"/>
          <w:b/>
          <w:bCs/>
          <w:sz w:val="24"/>
          <w:szCs w:val="24"/>
        </w:rPr>
        <w:t>-</w:t>
      </w:r>
      <w:r w:rsidRPr="002B005F">
        <w:rPr>
          <w:rFonts w:ascii="Times New Roman" w:hAnsi="Times New Roman" w:cs="Times New Roman"/>
          <w:b/>
          <w:bCs/>
          <w:sz w:val="24"/>
          <w:szCs w:val="24"/>
        </w:rPr>
        <w:t xml:space="preserve"> Intensité d’utilisation des modes de financement </w:t>
      </w:r>
      <w:r w:rsidR="002B7158">
        <w:rPr>
          <w:rFonts w:ascii="Times New Roman" w:hAnsi="Times New Roman" w:cs="Times New Roman"/>
          <w:b/>
          <w:bCs/>
          <w:sz w:val="24"/>
          <w:szCs w:val="24"/>
        </w:rPr>
        <w:t>i</w:t>
      </w:r>
      <w:r w:rsidR="003773C6" w:rsidRPr="002B005F">
        <w:rPr>
          <w:rFonts w:ascii="Times New Roman" w:hAnsi="Times New Roman" w:cs="Times New Roman"/>
          <w:b/>
          <w:bCs/>
          <w:sz w:val="24"/>
          <w:szCs w:val="24"/>
        </w:rPr>
        <w:t>slamique</w:t>
      </w:r>
      <w:bookmarkEnd w:id="1608"/>
    </w:p>
    <w:tbl>
      <w:tblPr>
        <w:tblW w:w="9072"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top w:w="28" w:type="dxa"/>
          <w:left w:w="28" w:type="dxa"/>
          <w:bottom w:w="28" w:type="dxa"/>
          <w:right w:w="28" w:type="dxa"/>
        </w:tblCellMar>
        <w:tblLook w:val="0000" w:firstRow="0" w:lastRow="0" w:firstColumn="0" w:lastColumn="0" w:noHBand="0" w:noVBand="0"/>
      </w:tblPr>
      <w:tblGrid>
        <w:gridCol w:w="3402"/>
        <w:gridCol w:w="1134"/>
        <w:gridCol w:w="1134"/>
        <w:gridCol w:w="1134"/>
        <w:gridCol w:w="1134"/>
        <w:gridCol w:w="1134"/>
      </w:tblGrid>
      <w:tr w:rsidR="005F2AB0" w:rsidRPr="002B005F" w14:paraId="5483BBA3" w14:textId="77777777" w:rsidTr="005F2AB0">
        <w:trPr>
          <w:trHeight w:val="510"/>
          <w:jc w:val="center"/>
        </w:trPr>
        <w:tc>
          <w:tcPr>
            <w:tcW w:w="3402" w:type="dxa"/>
            <w:shd w:val="clear" w:color="auto" w:fill="DEEAF6" w:themeFill="accent1" w:themeFillTint="33"/>
            <w:vAlign w:val="center"/>
          </w:tcPr>
          <w:p w14:paraId="742E07F3" w14:textId="77777777" w:rsidR="005F2AB0" w:rsidRPr="002B005F" w:rsidRDefault="005F2AB0" w:rsidP="005F2AB0">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Intensité d’utilisation</w:t>
            </w:r>
          </w:p>
        </w:tc>
        <w:tc>
          <w:tcPr>
            <w:tcW w:w="1134" w:type="dxa"/>
            <w:shd w:val="clear" w:color="auto" w:fill="DEEAF6" w:themeFill="accent1" w:themeFillTint="33"/>
            <w:vAlign w:val="center"/>
          </w:tcPr>
          <w:p w14:paraId="24F3DA0F" w14:textId="77777777" w:rsidR="005F2AB0" w:rsidRPr="002B005F" w:rsidRDefault="005F2AB0" w:rsidP="005F2AB0">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Nbre</w:t>
            </w:r>
          </w:p>
        </w:tc>
        <w:tc>
          <w:tcPr>
            <w:tcW w:w="1134" w:type="dxa"/>
            <w:shd w:val="clear" w:color="auto" w:fill="DEEAF6" w:themeFill="accent1" w:themeFillTint="33"/>
            <w:vAlign w:val="center"/>
          </w:tcPr>
          <w:p w14:paraId="3A0130C4" w14:textId="77777777" w:rsidR="005F2AB0" w:rsidRPr="002B005F" w:rsidRDefault="005F2AB0" w:rsidP="005F2AB0">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Moyenne</w:t>
            </w:r>
          </w:p>
        </w:tc>
        <w:tc>
          <w:tcPr>
            <w:tcW w:w="1134" w:type="dxa"/>
            <w:shd w:val="clear" w:color="auto" w:fill="DEEAF6" w:themeFill="accent1" w:themeFillTint="33"/>
            <w:vAlign w:val="center"/>
          </w:tcPr>
          <w:p w14:paraId="5AB89556" w14:textId="77777777" w:rsidR="005F2AB0" w:rsidRPr="002B005F" w:rsidRDefault="005F2AB0" w:rsidP="005F2AB0">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Médiane</w:t>
            </w:r>
          </w:p>
        </w:tc>
        <w:tc>
          <w:tcPr>
            <w:tcW w:w="1134" w:type="dxa"/>
            <w:shd w:val="clear" w:color="auto" w:fill="DEEAF6" w:themeFill="accent1" w:themeFillTint="33"/>
            <w:vAlign w:val="center"/>
          </w:tcPr>
          <w:p w14:paraId="7645DEAD" w14:textId="77777777" w:rsidR="005F2AB0" w:rsidRPr="002B005F" w:rsidRDefault="005F2AB0" w:rsidP="005F2AB0">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Mode</w:t>
            </w:r>
          </w:p>
        </w:tc>
        <w:tc>
          <w:tcPr>
            <w:tcW w:w="1134" w:type="dxa"/>
            <w:shd w:val="clear" w:color="auto" w:fill="DEEAF6" w:themeFill="accent1" w:themeFillTint="33"/>
            <w:vAlign w:val="center"/>
          </w:tcPr>
          <w:p w14:paraId="717C9C43" w14:textId="77777777" w:rsidR="005F2AB0" w:rsidRPr="002B005F" w:rsidRDefault="005F2AB0" w:rsidP="005F2AB0">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Chi-deux</w:t>
            </w:r>
          </w:p>
        </w:tc>
      </w:tr>
      <w:tr w:rsidR="005F2AB0" w:rsidRPr="002B005F" w14:paraId="61D1D1CF" w14:textId="77777777" w:rsidTr="005F2414">
        <w:trPr>
          <w:trHeight w:val="454"/>
          <w:jc w:val="center"/>
        </w:trPr>
        <w:tc>
          <w:tcPr>
            <w:tcW w:w="3402" w:type="dxa"/>
            <w:shd w:val="clear" w:color="auto" w:fill="auto"/>
            <w:vAlign w:val="center"/>
          </w:tcPr>
          <w:p w14:paraId="5CC23B73" w14:textId="77777777" w:rsidR="005F2AB0" w:rsidRPr="002B005F" w:rsidRDefault="005F2AB0" w:rsidP="005F2AB0">
            <w:pPr>
              <w:tabs>
                <w:tab w:val="center" w:pos="4536"/>
              </w:tabs>
              <w:spacing w:line="240" w:lineRule="auto"/>
              <w:ind w:left="201"/>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Mourabaha</w:t>
            </w:r>
          </w:p>
        </w:tc>
        <w:tc>
          <w:tcPr>
            <w:tcW w:w="1134" w:type="dxa"/>
            <w:shd w:val="clear" w:color="auto" w:fill="auto"/>
            <w:vAlign w:val="center"/>
          </w:tcPr>
          <w:p w14:paraId="226F7F73" w14:textId="77777777" w:rsidR="005F2AB0" w:rsidRPr="002B005F" w:rsidRDefault="005F2AB0" w:rsidP="005F2AB0">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2A791BFF"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5,20</w:t>
            </w:r>
          </w:p>
        </w:tc>
        <w:tc>
          <w:tcPr>
            <w:tcW w:w="1134" w:type="dxa"/>
            <w:vAlign w:val="center"/>
          </w:tcPr>
          <w:p w14:paraId="0333C87A"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6</w:t>
            </w:r>
          </w:p>
        </w:tc>
        <w:tc>
          <w:tcPr>
            <w:tcW w:w="1134" w:type="dxa"/>
            <w:vAlign w:val="center"/>
          </w:tcPr>
          <w:p w14:paraId="749EA4B1"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6</w:t>
            </w:r>
          </w:p>
        </w:tc>
        <w:tc>
          <w:tcPr>
            <w:tcW w:w="1134" w:type="dxa"/>
            <w:vAlign w:val="center"/>
          </w:tcPr>
          <w:p w14:paraId="0521193C"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0.000</w:t>
            </w:r>
          </w:p>
        </w:tc>
      </w:tr>
      <w:tr w:rsidR="005F2AB0" w:rsidRPr="002B005F" w14:paraId="1CC3114F" w14:textId="77777777" w:rsidTr="005F2414">
        <w:trPr>
          <w:trHeight w:val="454"/>
          <w:jc w:val="center"/>
        </w:trPr>
        <w:tc>
          <w:tcPr>
            <w:tcW w:w="3402" w:type="dxa"/>
            <w:shd w:val="clear" w:color="auto" w:fill="auto"/>
            <w:vAlign w:val="center"/>
          </w:tcPr>
          <w:p w14:paraId="496AE92F" w14:textId="77777777" w:rsidR="005F2AB0" w:rsidRPr="002B005F" w:rsidRDefault="005F2AB0" w:rsidP="005F2AB0">
            <w:pPr>
              <w:tabs>
                <w:tab w:val="center" w:pos="4536"/>
              </w:tabs>
              <w:spacing w:line="240" w:lineRule="auto"/>
              <w:ind w:left="201"/>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Ijara</w:t>
            </w:r>
          </w:p>
        </w:tc>
        <w:tc>
          <w:tcPr>
            <w:tcW w:w="1134" w:type="dxa"/>
            <w:shd w:val="clear" w:color="auto" w:fill="auto"/>
            <w:vAlign w:val="center"/>
          </w:tcPr>
          <w:p w14:paraId="25809B00" w14:textId="77777777" w:rsidR="005F2AB0" w:rsidRPr="002B005F" w:rsidRDefault="005F2AB0" w:rsidP="005F2AB0">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51C70A31"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3,97</w:t>
            </w:r>
          </w:p>
        </w:tc>
        <w:tc>
          <w:tcPr>
            <w:tcW w:w="1134" w:type="dxa"/>
            <w:vAlign w:val="center"/>
          </w:tcPr>
          <w:p w14:paraId="5BDEE6AC"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5</w:t>
            </w:r>
          </w:p>
        </w:tc>
        <w:tc>
          <w:tcPr>
            <w:tcW w:w="1134" w:type="dxa"/>
            <w:vAlign w:val="center"/>
          </w:tcPr>
          <w:p w14:paraId="11442B68"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6</w:t>
            </w:r>
          </w:p>
        </w:tc>
        <w:tc>
          <w:tcPr>
            <w:tcW w:w="1134" w:type="dxa"/>
            <w:vAlign w:val="center"/>
          </w:tcPr>
          <w:p w14:paraId="7F41DCDD"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0.000</w:t>
            </w:r>
          </w:p>
        </w:tc>
      </w:tr>
      <w:tr w:rsidR="005F2AB0" w:rsidRPr="002B005F" w14:paraId="42ECC338" w14:textId="77777777" w:rsidTr="005F2414">
        <w:trPr>
          <w:trHeight w:val="454"/>
          <w:jc w:val="center"/>
        </w:trPr>
        <w:tc>
          <w:tcPr>
            <w:tcW w:w="3402" w:type="dxa"/>
            <w:shd w:val="clear" w:color="auto" w:fill="auto"/>
            <w:vAlign w:val="center"/>
          </w:tcPr>
          <w:p w14:paraId="027BC378" w14:textId="77777777" w:rsidR="005F2AB0" w:rsidRPr="002B005F" w:rsidRDefault="005F2AB0" w:rsidP="005F2AB0">
            <w:pPr>
              <w:tabs>
                <w:tab w:val="center" w:pos="4536"/>
              </w:tabs>
              <w:spacing w:line="240" w:lineRule="auto"/>
              <w:ind w:left="201"/>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Salam</w:t>
            </w:r>
          </w:p>
        </w:tc>
        <w:tc>
          <w:tcPr>
            <w:tcW w:w="1134" w:type="dxa"/>
            <w:shd w:val="clear" w:color="auto" w:fill="auto"/>
            <w:vAlign w:val="center"/>
          </w:tcPr>
          <w:p w14:paraId="610675CF" w14:textId="77777777" w:rsidR="005F2AB0" w:rsidRPr="002B005F" w:rsidRDefault="005F2AB0" w:rsidP="005F2AB0">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4FE26E47"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3,75</w:t>
            </w:r>
          </w:p>
        </w:tc>
        <w:tc>
          <w:tcPr>
            <w:tcW w:w="1134" w:type="dxa"/>
            <w:vAlign w:val="center"/>
          </w:tcPr>
          <w:p w14:paraId="3CAD6FBC"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4</w:t>
            </w:r>
          </w:p>
        </w:tc>
        <w:tc>
          <w:tcPr>
            <w:tcW w:w="1134" w:type="dxa"/>
            <w:vAlign w:val="center"/>
          </w:tcPr>
          <w:p w14:paraId="64A4663F"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6</w:t>
            </w:r>
          </w:p>
        </w:tc>
        <w:tc>
          <w:tcPr>
            <w:tcW w:w="1134" w:type="dxa"/>
            <w:vAlign w:val="center"/>
          </w:tcPr>
          <w:p w14:paraId="11F36EC2"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0.000</w:t>
            </w:r>
          </w:p>
        </w:tc>
      </w:tr>
      <w:tr w:rsidR="005F2AB0" w:rsidRPr="002B005F" w14:paraId="6798BA2A" w14:textId="77777777" w:rsidTr="005F2414">
        <w:trPr>
          <w:trHeight w:val="454"/>
          <w:jc w:val="center"/>
        </w:trPr>
        <w:tc>
          <w:tcPr>
            <w:tcW w:w="3402" w:type="dxa"/>
            <w:shd w:val="clear" w:color="auto" w:fill="auto"/>
            <w:vAlign w:val="center"/>
          </w:tcPr>
          <w:p w14:paraId="100A24C5" w14:textId="77777777" w:rsidR="005F2AB0" w:rsidRPr="002B005F" w:rsidRDefault="005F2AB0" w:rsidP="005F2AB0">
            <w:pPr>
              <w:tabs>
                <w:tab w:val="center" w:pos="4536"/>
              </w:tabs>
              <w:spacing w:line="240" w:lineRule="auto"/>
              <w:ind w:left="201"/>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Moudaraba</w:t>
            </w:r>
          </w:p>
        </w:tc>
        <w:tc>
          <w:tcPr>
            <w:tcW w:w="1134" w:type="dxa"/>
            <w:shd w:val="clear" w:color="auto" w:fill="auto"/>
            <w:vAlign w:val="center"/>
          </w:tcPr>
          <w:p w14:paraId="703162D8" w14:textId="77777777" w:rsidR="005F2AB0" w:rsidRPr="002B005F" w:rsidRDefault="005F2AB0" w:rsidP="005F2AB0">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31A9EB09"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3,48</w:t>
            </w:r>
          </w:p>
        </w:tc>
        <w:tc>
          <w:tcPr>
            <w:tcW w:w="1134" w:type="dxa"/>
            <w:vAlign w:val="center"/>
          </w:tcPr>
          <w:p w14:paraId="5EAA87C4"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3</w:t>
            </w:r>
          </w:p>
        </w:tc>
        <w:tc>
          <w:tcPr>
            <w:tcW w:w="1134" w:type="dxa"/>
            <w:vAlign w:val="center"/>
          </w:tcPr>
          <w:p w14:paraId="4F275FB1"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6</w:t>
            </w:r>
          </w:p>
        </w:tc>
        <w:tc>
          <w:tcPr>
            <w:tcW w:w="1134" w:type="dxa"/>
            <w:vAlign w:val="center"/>
          </w:tcPr>
          <w:p w14:paraId="348EDBF3"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0.001</w:t>
            </w:r>
          </w:p>
        </w:tc>
      </w:tr>
      <w:tr w:rsidR="005F2AB0" w:rsidRPr="002B005F" w14:paraId="3C3BD179" w14:textId="77777777" w:rsidTr="005F2414">
        <w:trPr>
          <w:trHeight w:val="454"/>
          <w:jc w:val="center"/>
        </w:trPr>
        <w:tc>
          <w:tcPr>
            <w:tcW w:w="3402" w:type="dxa"/>
            <w:shd w:val="clear" w:color="auto" w:fill="auto"/>
            <w:vAlign w:val="center"/>
          </w:tcPr>
          <w:p w14:paraId="692AC2A2" w14:textId="77777777" w:rsidR="005F2AB0" w:rsidRPr="002B005F" w:rsidRDefault="005F2AB0" w:rsidP="005F2AB0">
            <w:pPr>
              <w:tabs>
                <w:tab w:val="center" w:pos="4536"/>
              </w:tabs>
              <w:spacing w:line="240" w:lineRule="auto"/>
              <w:ind w:left="201"/>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Istisna’</w:t>
            </w:r>
          </w:p>
        </w:tc>
        <w:tc>
          <w:tcPr>
            <w:tcW w:w="1134" w:type="dxa"/>
            <w:shd w:val="clear" w:color="auto" w:fill="auto"/>
            <w:vAlign w:val="center"/>
          </w:tcPr>
          <w:p w14:paraId="2879B7D7" w14:textId="77777777" w:rsidR="005F2AB0" w:rsidRPr="002B005F" w:rsidRDefault="005F2AB0" w:rsidP="005F2AB0">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608E77AA"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3,44</w:t>
            </w:r>
          </w:p>
        </w:tc>
        <w:tc>
          <w:tcPr>
            <w:tcW w:w="1134" w:type="dxa"/>
            <w:vAlign w:val="center"/>
          </w:tcPr>
          <w:p w14:paraId="54919650"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3</w:t>
            </w:r>
          </w:p>
        </w:tc>
        <w:tc>
          <w:tcPr>
            <w:tcW w:w="1134" w:type="dxa"/>
            <w:vAlign w:val="center"/>
          </w:tcPr>
          <w:p w14:paraId="704067EE"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3</w:t>
            </w:r>
          </w:p>
        </w:tc>
        <w:tc>
          <w:tcPr>
            <w:tcW w:w="1134" w:type="dxa"/>
            <w:vAlign w:val="center"/>
          </w:tcPr>
          <w:p w14:paraId="71E012BD"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0.000</w:t>
            </w:r>
          </w:p>
        </w:tc>
      </w:tr>
      <w:tr w:rsidR="005F2AB0" w:rsidRPr="002B005F" w14:paraId="0493E296" w14:textId="77777777" w:rsidTr="005F2414">
        <w:trPr>
          <w:trHeight w:val="454"/>
          <w:jc w:val="center"/>
        </w:trPr>
        <w:tc>
          <w:tcPr>
            <w:tcW w:w="3402" w:type="dxa"/>
            <w:shd w:val="clear" w:color="auto" w:fill="auto"/>
            <w:vAlign w:val="center"/>
          </w:tcPr>
          <w:p w14:paraId="5DDFEFB0" w14:textId="77777777" w:rsidR="005F2AB0" w:rsidRPr="002B005F" w:rsidRDefault="005F2AB0" w:rsidP="005F2AB0">
            <w:pPr>
              <w:tabs>
                <w:tab w:val="center" w:pos="4536"/>
              </w:tabs>
              <w:spacing w:line="240" w:lineRule="auto"/>
              <w:ind w:left="201"/>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Moucharaka</w:t>
            </w:r>
          </w:p>
        </w:tc>
        <w:tc>
          <w:tcPr>
            <w:tcW w:w="1134" w:type="dxa"/>
            <w:shd w:val="clear" w:color="auto" w:fill="auto"/>
            <w:vAlign w:val="center"/>
          </w:tcPr>
          <w:p w14:paraId="72FB1FE1" w14:textId="77777777" w:rsidR="005F2AB0" w:rsidRPr="002B005F" w:rsidRDefault="005F2AB0" w:rsidP="005F2AB0">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2702FEFD"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1,96</w:t>
            </w:r>
          </w:p>
        </w:tc>
        <w:tc>
          <w:tcPr>
            <w:tcW w:w="1134" w:type="dxa"/>
            <w:vAlign w:val="center"/>
          </w:tcPr>
          <w:p w14:paraId="38FCFA51"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2</w:t>
            </w:r>
          </w:p>
        </w:tc>
        <w:tc>
          <w:tcPr>
            <w:tcW w:w="1134" w:type="dxa"/>
            <w:vAlign w:val="center"/>
          </w:tcPr>
          <w:p w14:paraId="5C1BB710"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2</w:t>
            </w:r>
          </w:p>
        </w:tc>
        <w:tc>
          <w:tcPr>
            <w:tcW w:w="1134" w:type="dxa"/>
            <w:vAlign w:val="center"/>
          </w:tcPr>
          <w:p w14:paraId="2E4ABF26" w14:textId="77777777" w:rsidR="005F2AB0" w:rsidRPr="002B005F" w:rsidRDefault="005F2AB0" w:rsidP="005F2AB0">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0.000</w:t>
            </w:r>
          </w:p>
        </w:tc>
      </w:tr>
    </w:tbl>
    <w:p w14:paraId="3868366F" w14:textId="77777777" w:rsidR="002760B2" w:rsidRPr="002B005F" w:rsidRDefault="005F2AB0" w:rsidP="00D33F8C">
      <w:pPr>
        <w:tabs>
          <w:tab w:val="left" w:pos="0"/>
        </w:tabs>
        <w:spacing w:before="120" w:line="240" w:lineRule="auto"/>
        <w:rPr>
          <w:rFonts w:ascii="Times New Roman" w:eastAsia="Times New Roman" w:hAnsi="Times New Roman" w:cs="Times New Roman"/>
          <w:sz w:val="20"/>
          <w:szCs w:val="20"/>
        </w:rPr>
      </w:pPr>
      <w:r w:rsidRPr="002B005F">
        <w:rPr>
          <w:rFonts w:ascii="Times New Roman" w:eastAsia="Times New Roman" w:hAnsi="Times New Roman" w:cs="Times New Roman"/>
          <w:iCs/>
          <w:sz w:val="20"/>
          <w:szCs w:val="20"/>
        </w:rPr>
        <w:t>Note :</w:t>
      </w:r>
      <w:r w:rsidR="002760B2" w:rsidRPr="002B005F">
        <w:rPr>
          <w:rFonts w:ascii="Times New Roman" w:eastAsia="Times New Roman" w:hAnsi="Times New Roman" w:cs="Times New Roman"/>
          <w:iCs/>
          <w:sz w:val="20"/>
          <w:szCs w:val="20"/>
        </w:rPr>
        <w:t xml:space="preserve"> </w:t>
      </w:r>
      <w:r w:rsidR="002760B2" w:rsidRPr="002B005F">
        <w:rPr>
          <w:rFonts w:ascii="Times New Roman" w:eastAsia="Times New Roman" w:hAnsi="Times New Roman" w:cs="Times New Roman"/>
          <w:sz w:val="20"/>
          <w:szCs w:val="20"/>
        </w:rPr>
        <w:t>N = nombre de réponses.</w:t>
      </w:r>
    </w:p>
    <w:p w14:paraId="10FD2508" w14:textId="77777777" w:rsidR="002760B2" w:rsidRPr="002B005F" w:rsidRDefault="002760B2" w:rsidP="00B424F2">
      <w:pPr>
        <w:tabs>
          <w:tab w:val="left" w:pos="0"/>
        </w:tabs>
        <w:spacing w:after="100" w:afterAutospacing="1" w:line="240" w:lineRule="auto"/>
        <w:jc w:val="center"/>
        <w:rPr>
          <w:rFonts w:ascii="Times New Roman" w:eastAsia="Times New Roman" w:hAnsi="Times New Roman" w:cs="Times New Roman"/>
          <w:sz w:val="20"/>
          <w:szCs w:val="20"/>
        </w:rPr>
      </w:pPr>
      <w:r w:rsidRPr="002B005F">
        <w:rPr>
          <w:rFonts w:ascii="Times New Roman" w:eastAsia="Times New Roman" w:hAnsi="Times New Roman" w:cs="Times New Roman"/>
          <w:sz w:val="20"/>
          <w:szCs w:val="20"/>
        </w:rPr>
        <w:t>Source : calculs du chercheur.</w:t>
      </w:r>
    </w:p>
    <w:p w14:paraId="5A825C2D" w14:textId="77777777" w:rsidR="002760B2" w:rsidRPr="002B005F" w:rsidRDefault="002760B2" w:rsidP="00B424F2">
      <w:pPr>
        <w:tabs>
          <w:tab w:val="left" w:pos="0"/>
        </w:tabs>
        <w:spacing w:before="100" w:beforeAutospacing="1"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Ces résultats sont corroborés par les résultats du test Chi-deux, présentés au tableau ci-dessus, qui indiquent que les valeurs du Chi-deux liées à la qualité de l'ajustement des catégories de risques sont très significatives (P &lt;</w:t>
      </w:r>
      <w:r w:rsidR="004767B0" w:rsidRPr="002B005F">
        <w:rPr>
          <w:rFonts w:ascii="Times New Roman" w:eastAsia="Times New Roman" w:hAnsi="Times New Roman" w:cs="Times New Roman"/>
          <w:sz w:val="24"/>
          <w:szCs w:val="24"/>
        </w:rPr>
        <w:t xml:space="preserve"> </w:t>
      </w:r>
      <w:r w:rsidRPr="002B005F">
        <w:rPr>
          <w:rFonts w:ascii="Times New Roman" w:eastAsia="Times New Roman" w:hAnsi="Times New Roman" w:cs="Times New Roman"/>
          <w:sz w:val="24"/>
          <w:szCs w:val="24"/>
        </w:rPr>
        <w:t>5%).</w:t>
      </w:r>
    </w:p>
    <w:p w14:paraId="561713FF" w14:textId="77777777" w:rsidR="002760B2" w:rsidRPr="002B005F" w:rsidRDefault="00245F45" w:rsidP="00BC2D2F">
      <w:pPr>
        <w:pStyle w:val="Titre4"/>
        <w:spacing w:before="120" w:after="120" w:line="300" w:lineRule="auto"/>
        <w:ind w:firstLine="709"/>
      </w:pPr>
      <w:bookmarkStart w:id="1609" w:name="_Toc33263389"/>
      <w:bookmarkStart w:id="1610" w:name="_Toc37664652"/>
      <w:bookmarkStart w:id="1611" w:name="_Toc37666497"/>
      <w:bookmarkStart w:id="1612" w:name="_Toc54363394"/>
      <w:bookmarkStart w:id="1613" w:name="_Toc58606372"/>
      <w:bookmarkStart w:id="1614" w:name="_Toc61263577"/>
      <w:bookmarkStart w:id="1615" w:name="_Toc182298906"/>
      <w:r>
        <w:t>2</w:t>
      </w:r>
      <w:r w:rsidR="005D4E25">
        <w:t xml:space="preserve">.1.4- </w:t>
      </w:r>
      <w:r w:rsidR="004B43B5" w:rsidRPr="002B005F">
        <w:t>Perception</w:t>
      </w:r>
      <w:r w:rsidR="002760B2" w:rsidRPr="002B005F">
        <w:t xml:space="preserve"> sur la gravité des produits fin</w:t>
      </w:r>
      <w:r w:rsidR="004B43B5" w:rsidRPr="002B005F">
        <w:t xml:space="preserve">anciers </w:t>
      </w:r>
      <w:r w:rsidR="00A5419D">
        <w:t>i</w:t>
      </w:r>
      <w:r w:rsidR="003773C6" w:rsidRPr="002B005F">
        <w:t>slamique</w:t>
      </w:r>
      <w:r w:rsidR="004B43B5" w:rsidRPr="002B005F">
        <w:t>s face au</w:t>
      </w:r>
      <w:r w:rsidR="002760B2" w:rsidRPr="002B005F">
        <w:t xml:space="preserve"> risque</w:t>
      </w:r>
      <w:bookmarkEnd w:id="1609"/>
      <w:bookmarkEnd w:id="1610"/>
      <w:bookmarkEnd w:id="1611"/>
      <w:bookmarkEnd w:id="1612"/>
      <w:bookmarkEnd w:id="1613"/>
      <w:bookmarkEnd w:id="1614"/>
      <w:bookmarkEnd w:id="1615"/>
    </w:p>
    <w:p w14:paraId="4E66FBD2" w14:textId="5BA60FAB" w:rsidR="002760B2" w:rsidRPr="002B005F" w:rsidRDefault="002760B2" w:rsidP="005D4E25">
      <w:pPr>
        <w:keepNext/>
        <w:keepLines/>
        <w:tabs>
          <w:tab w:val="left" w:pos="0"/>
        </w:tabs>
        <w:spacing w:before="120"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Les résultats présentés dans le </w:t>
      </w:r>
      <w:r w:rsidRPr="002B005F">
        <w:rPr>
          <w:rFonts w:ascii="Times New Roman" w:eastAsia="Times New Roman" w:hAnsi="Times New Roman" w:cs="Times New Roman"/>
          <w:b/>
          <w:bCs/>
          <w:sz w:val="24"/>
          <w:szCs w:val="24"/>
        </w:rPr>
        <w:t>tableau 16</w:t>
      </w:r>
      <w:r w:rsidRPr="002B005F">
        <w:rPr>
          <w:rFonts w:ascii="Times New Roman" w:eastAsia="Times New Roman" w:hAnsi="Times New Roman" w:cs="Times New Roman"/>
          <w:sz w:val="24"/>
          <w:szCs w:val="24"/>
        </w:rPr>
        <w:t xml:space="preserve"> indiquent que les modes de financement participatifs sont considérés comme les plus risqués (</w:t>
      </w:r>
      <w:r w:rsidR="00D33F8C" w:rsidRPr="002B005F">
        <w:rPr>
          <w:rFonts w:ascii="Times New Roman" w:eastAsia="Times New Roman" w:hAnsi="Times New Roman" w:cs="Times New Roman"/>
          <w:i/>
          <w:iCs/>
          <w:sz w:val="24"/>
          <w:szCs w:val="24"/>
        </w:rPr>
        <w:t>m</w:t>
      </w:r>
      <w:r w:rsidRPr="002B005F">
        <w:rPr>
          <w:rFonts w:ascii="Times New Roman" w:eastAsia="Times New Roman" w:hAnsi="Times New Roman" w:cs="Times New Roman"/>
          <w:i/>
          <w:iCs/>
          <w:sz w:val="24"/>
          <w:szCs w:val="24"/>
        </w:rPr>
        <w:t xml:space="preserve">oucharaka </w:t>
      </w:r>
      <w:r w:rsidRPr="002B005F">
        <w:rPr>
          <w:rFonts w:ascii="Times New Roman" w:eastAsia="Times New Roman" w:hAnsi="Times New Roman" w:cs="Times New Roman"/>
          <w:sz w:val="24"/>
          <w:szCs w:val="24"/>
        </w:rPr>
        <w:t xml:space="preserve">avec une moyenne de 4.44 et la </w:t>
      </w:r>
      <w:r w:rsidR="00D33F8C" w:rsidRPr="002B005F">
        <w:rPr>
          <w:rFonts w:ascii="Times New Roman" w:eastAsia="Times New Roman" w:hAnsi="Times New Roman" w:cs="Times New Roman"/>
          <w:i/>
          <w:iCs/>
          <w:sz w:val="24"/>
          <w:szCs w:val="24"/>
        </w:rPr>
        <w:t>m</w:t>
      </w:r>
      <w:r w:rsidR="004A4E16" w:rsidRPr="002B005F">
        <w:rPr>
          <w:rFonts w:ascii="Times New Roman" w:eastAsia="Times New Roman" w:hAnsi="Times New Roman" w:cs="Times New Roman"/>
          <w:i/>
          <w:iCs/>
          <w:sz w:val="24"/>
          <w:szCs w:val="24"/>
        </w:rPr>
        <w:t>oudaraba</w:t>
      </w:r>
      <w:r w:rsidRPr="002B005F">
        <w:rPr>
          <w:rFonts w:ascii="Times New Roman" w:eastAsia="Times New Roman" w:hAnsi="Times New Roman" w:cs="Times New Roman"/>
          <w:sz w:val="24"/>
          <w:szCs w:val="24"/>
        </w:rPr>
        <w:t xml:space="preserve"> avec une moyenne égale à 4), tandis que les </w:t>
      </w:r>
      <w:r w:rsidR="005F2414" w:rsidRPr="002B005F">
        <w:rPr>
          <w:rFonts w:ascii="Times New Roman" w:eastAsia="Times New Roman" w:hAnsi="Times New Roman" w:cs="Times New Roman"/>
          <w:sz w:val="24"/>
          <w:szCs w:val="24"/>
        </w:rPr>
        <w:t>contrats à revenu fixe (</w:t>
      </w:r>
      <w:r w:rsidR="00D33F8C" w:rsidRPr="002B005F">
        <w:rPr>
          <w:rFonts w:ascii="Times New Roman" w:eastAsia="Times New Roman" w:hAnsi="Times New Roman" w:cs="Times New Roman"/>
          <w:i/>
          <w:iCs/>
          <w:sz w:val="24"/>
          <w:szCs w:val="24"/>
        </w:rPr>
        <w:t xml:space="preserve">ijara, </w:t>
      </w:r>
      <w:r w:rsidRPr="002B005F">
        <w:rPr>
          <w:rFonts w:ascii="Times New Roman" w:eastAsia="Times New Roman" w:hAnsi="Times New Roman" w:cs="Times New Roman"/>
          <w:i/>
          <w:iCs/>
          <w:sz w:val="24"/>
          <w:szCs w:val="24"/>
        </w:rPr>
        <w:t>istisna’</w:t>
      </w:r>
      <w:r w:rsidRPr="002B005F">
        <w:rPr>
          <w:rFonts w:ascii="Times New Roman" w:eastAsia="Times New Roman" w:hAnsi="Times New Roman" w:cs="Times New Roman"/>
          <w:sz w:val="24"/>
          <w:szCs w:val="24"/>
        </w:rPr>
        <w:t xml:space="preserve"> et </w:t>
      </w:r>
      <w:r w:rsidR="00D33F8C" w:rsidRPr="002B005F">
        <w:rPr>
          <w:rFonts w:ascii="Times New Roman" w:eastAsia="Times New Roman" w:hAnsi="Times New Roman" w:cs="Times New Roman"/>
          <w:i/>
          <w:iCs/>
          <w:sz w:val="24"/>
          <w:szCs w:val="24"/>
        </w:rPr>
        <w:t>m</w:t>
      </w:r>
      <w:r w:rsidRPr="002B005F">
        <w:rPr>
          <w:rFonts w:ascii="Times New Roman" w:eastAsia="Times New Roman" w:hAnsi="Times New Roman" w:cs="Times New Roman"/>
          <w:i/>
          <w:iCs/>
          <w:sz w:val="24"/>
          <w:szCs w:val="24"/>
        </w:rPr>
        <w:t>ourabaha</w:t>
      </w:r>
      <w:r w:rsidRPr="002B005F">
        <w:rPr>
          <w:rFonts w:ascii="Times New Roman" w:eastAsia="Times New Roman" w:hAnsi="Times New Roman" w:cs="Times New Roman"/>
          <w:sz w:val="24"/>
          <w:szCs w:val="24"/>
        </w:rPr>
        <w:t xml:space="preserve">) sont perçus comme moins risqué. Le niveau de risque élevé lié aux contrats de partenariat peut être dû à l’absence de garanties sur les montants investis. En outre, ces instruments sont généralement de nature à long terme, contrairement aux contrats à revenu fixe ayant des échéances plus courtes et qui sont perçus sans risques grâce à </w:t>
      </w:r>
      <w:r w:rsidR="00D33F8C" w:rsidRPr="002B005F">
        <w:rPr>
          <w:rFonts w:ascii="Times New Roman" w:eastAsia="Times New Roman" w:hAnsi="Times New Roman" w:cs="Times New Roman"/>
          <w:sz w:val="24"/>
          <w:szCs w:val="24"/>
        </w:rPr>
        <w:t>certaines garanties « implicites »</w:t>
      </w:r>
      <w:r w:rsidRPr="002B005F">
        <w:rPr>
          <w:rFonts w:ascii="Times New Roman" w:eastAsia="Times New Roman" w:hAnsi="Times New Roman" w:cs="Times New Roman"/>
          <w:sz w:val="24"/>
          <w:szCs w:val="24"/>
        </w:rPr>
        <w:t>.</w:t>
      </w:r>
    </w:p>
    <w:p w14:paraId="5FD78D7D" w14:textId="77777777" w:rsidR="002760B2" w:rsidRPr="002B005F" w:rsidRDefault="002760B2" w:rsidP="005F2414">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Ces résultats sont corroborés par les résultats du test du Chi-deux qui indiquent la présence d’une qualité d'ajustement pour les contrats financiers selon leur</w:t>
      </w:r>
      <w:r w:rsidR="00AB41B4">
        <w:rPr>
          <w:rFonts w:ascii="Times New Roman" w:hAnsi="Times New Roman" w:cs="Times New Roman"/>
          <w:sz w:val="24"/>
          <w:szCs w:val="24"/>
        </w:rPr>
        <w:t>s</w:t>
      </w:r>
      <w:r w:rsidRPr="002B005F">
        <w:rPr>
          <w:rFonts w:ascii="Times New Roman" w:hAnsi="Times New Roman" w:cs="Times New Roman"/>
          <w:sz w:val="24"/>
          <w:szCs w:val="24"/>
        </w:rPr>
        <w:t xml:space="preserve"> risques avec un niveau de signification (P&lt;5%).</w:t>
      </w:r>
    </w:p>
    <w:p w14:paraId="6B5BEB52" w14:textId="5CBFD2A8" w:rsidR="00DE471E" w:rsidRPr="002B005F" w:rsidRDefault="00DE471E" w:rsidP="005D4E25">
      <w:pPr>
        <w:pStyle w:val="Lgende"/>
        <w:tabs>
          <w:tab w:val="left" w:pos="0"/>
        </w:tabs>
        <w:spacing w:before="100" w:beforeAutospacing="1" w:after="120" w:line="300" w:lineRule="auto"/>
        <w:jc w:val="center"/>
        <w:rPr>
          <w:rFonts w:ascii="Times New Roman" w:hAnsi="Times New Roman" w:cs="Times New Roman"/>
          <w:color w:val="auto"/>
          <w:sz w:val="24"/>
          <w:szCs w:val="24"/>
        </w:rPr>
      </w:pPr>
      <w:bookmarkStart w:id="1616" w:name="_Toc115556084"/>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16</w:t>
      </w:r>
      <w:r w:rsidR="00B544E5" w:rsidRPr="002B005F">
        <w:rPr>
          <w:rFonts w:ascii="Times New Roman" w:hAnsi="Times New Roman" w:cs="Times New Roman"/>
          <w:color w:val="auto"/>
          <w:sz w:val="24"/>
          <w:szCs w:val="24"/>
        </w:rPr>
        <w:fldChar w:fldCharType="end"/>
      </w:r>
      <w:r w:rsidR="00D33F8C"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w:t>
      </w:r>
      <w:r w:rsidR="00D33F8C" w:rsidRPr="002B005F">
        <w:rPr>
          <w:rFonts w:ascii="Times New Roman" w:eastAsia="Times New Roman" w:hAnsi="Times New Roman" w:cs="Times New Roman"/>
          <w:color w:val="auto"/>
          <w:sz w:val="24"/>
          <w:szCs w:val="24"/>
        </w:rPr>
        <w:t>Perception</w:t>
      </w:r>
      <w:r w:rsidR="00F2773C" w:rsidRPr="002B005F">
        <w:rPr>
          <w:rFonts w:ascii="Times New Roman" w:eastAsia="Times New Roman" w:hAnsi="Times New Roman" w:cs="Times New Roman"/>
          <w:color w:val="auto"/>
          <w:sz w:val="24"/>
          <w:szCs w:val="24"/>
        </w:rPr>
        <w:t xml:space="preserve"> de gravité de</w:t>
      </w:r>
      <w:r w:rsidR="00D33F8C" w:rsidRPr="002B005F">
        <w:rPr>
          <w:rFonts w:ascii="Times New Roman" w:eastAsia="Times New Roman" w:hAnsi="Times New Roman" w:cs="Times New Roman"/>
          <w:color w:val="auto"/>
          <w:sz w:val="24"/>
          <w:szCs w:val="24"/>
        </w:rPr>
        <w:t>s</w:t>
      </w:r>
      <w:r w:rsidR="00F2773C" w:rsidRPr="002B005F">
        <w:rPr>
          <w:rFonts w:ascii="Times New Roman" w:eastAsia="Times New Roman" w:hAnsi="Times New Roman" w:cs="Times New Roman"/>
          <w:color w:val="auto"/>
          <w:sz w:val="24"/>
          <w:szCs w:val="24"/>
        </w:rPr>
        <w:t xml:space="preserve"> risques pour chaque mode de financement</w:t>
      </w:r>
      <w:bookmarkEnd w:id="1616"/>
    </w:p>
    <w:tbl>
      <w:tblPr>
        <w:tblW w:w="9072"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top w:w="28" w:type="dxa"/>
          <w:left w:w="28" w:type="dxa"/>
          <w:bottom w:w="28" w:type="dxa"/>
          <w:right w:w="28" w:type="dxa"/>
        </w:tblCellMar>
        <w:tblLook w:val="0000" w:firstRow="0" w:lastRow="0" w:firstColumn="0" w:lastColumn="0" w:noHBand="0" w:noVBand="0"/>
      </w:tblPr>
      <w:tblGrid>
        <w:gridCol w:w="3402"/>
        <w:gridCol w:w="1134"/>
        <w:gridCol w:w="1134"/>
        <w:gridCol w:w="1134"/>
        <w:gridCol w:w="1134"/>
        <w:gridCol w:w="1134"/>
      </w:tblGrid>
      <w:tr w:rsidR="004767B0" w:rsidRPr="002B005F" w14:paraId="31AC74A2" w14:textId="77777777" w:rsidTr="004767B0">
        <w:trPr>
          <w:trHeight w:val="510"/>
          <w:jc w:val="center"/>
        </w:trPr>
        <w:tc>
          <w:tcPr>
            <w:tcW w:w="3402" w:type="dxa"/>
            <w:shd w:val="clear" w:color="auto" w:fill="DEEAF6" w:themeFill="accent1" w:themeFillTint="33"/>
            <w:vAlign w:val="center"/>
          </w:tcPr>
          <w:p w14:paraId="405F8CBE" w14:textId="77777777" w:rsidR="004767B0" w:rsidRPr="002B005F" w:rsidRDefault="004767B0" w:rsidP="00497373">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Intensité d’utilisation</w:t>
            </w:r>
          </w:p>
        </w:tc>
        <w:tc>
          <w:tcPr>
            <w:tcW w:w="1134" w:type="dxa"/>
            <w:shd w:val="clear" w:color="auto" w:fill="DEEAF6" w:themeFill="accent1" w:themeFillTint="33"/>
            <w:vAlign w:val="center"/>
          </w:tcPr>
          <w:p w14:paraId="2CA73ADA" w14:textId="77777777" w:rsidR="004767B0" w:rsidRPr="002B005F" w:rsidRDefault="004767B0" w:rsidP="00497373">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Nbre</w:t>
            </w:r>
          </w:p>
        </w:tc>
        <w:tc>
          <w:tcPr>
            <w:tcW w:w="1134" w:type="dxa"/>
            <w:shd w:val="clear" w:color="auto" w:fill="DEEAF6" w:themeFill="accent1" w:themeFillTint="33"/>
            <w:vAlign w:val="center"/>
          </w:tcPr>
          <w:p w14:paraId="26899144" w14:textId="77777777" w:rsidR="004767B0" w:rsidRPr="002B005F" w:rsidRDefault="004767B0" w:rsidP="00497373">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Moyenne</w:t>
            </w:r>
          </w:p>
        </w:tc>
        <w:tc>
          <w:tcPr>
            <w:tcW w:w="1134" w:type="dxa"/>
            <w:shd w:val="clear" w:color="auto" w:fill="DEEAF6" w:themeFill="accent1" w:themeFillTint="33"/>
            <w:vAlign w:val="center"/>
          </w:tcPr>
          <w:p w14:paraId="0696AFE7" w14:textId="77777777" w:rsidR="004767B0" w:rsidRPr="002B005F" w:rsidRDefault="004767B0" w:rsidP="00497373">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Médiane</w:t>
            </w:r>
          </w:p>
        </w:tc>
        <w:tc>
          <w:tcPr>
            <w:tcW w:w="1134" w:type="dxa"/>
            <w:shd w:val="clear" w:color="auto" w:fill="DEEAF6" w:themeFill="accent1" w:themeFillTint="33"/>
            <w:vAlign w:val="center"/>
          </w:tcPr>
          <w:p w14:paraId="5DE6EE5C" w14:textId="77777777" w:rsidR="004767B0" w:rsidRPr="002B005F" w:rsidRDefault="004767B0" w:rsidP="00497373">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Mode</w:t>
            </w:r>
          </w:p>
        </w:tc>
        <w:tc>
          <w:tcPr>
            <w:tcW w:w="1134" w:type="dxa"/>
            <w:shd w:val="clear" w:color="auto" w:fill="DEEAF6" w:themeFill="accent1" w:themeFillTint="33"/>
            <w:vAlign w:val="center"/>
          </w:tcPr>
          <w:p w14:paraId="7F531729" w14:textId="77777777" w:rsidR="004767B0" w:rsidRPr="002B005F" w:rsidRDefault="004767B0" w:rsidP="00497373">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Chi-deux</w:t>
            </w:r>
          </w:p>
        </w:tc>
      </w:tr>
      <w:tr w:rsidR="004767B0" w:rsidRPr="002B005F" w14:paraId="4FE98D88" w14:textId="77777777" w:rsidTr="00497373">
        <w:trPr>
          <w:trHeight w:val="454"/>
          <w:jc w:val="center"/>
        </w:trPr>
        <w:tc>
          <w:tcPr>
            <w:tcW w:w="3402" w:type="dxa"/>
            <w:shd w:val="clear" w:color="auto" w:fill="auto"/>
            <w:vAlign w:val="center"/>
          </w:tcPr>
          <w:p w14:paraId="400344B1" w14:textId="77777777" w:rsidR="004767B0" w:rsidRPr="002B005F" w:rsidRDefault="004767B0" w:rsidP="004767B0">
            <w:pPr>
              <w:tabs>
                <w:tab w:val="left" w:pos="0"/>
                <w:tab w:val="center" w:pos="4536"/>
              </w:tabs>
              <w:spacing w:line="360" w:lineRule="auto"/>
              <w:ind w:left="198"/>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Moucharaka</w:t>
            </w:r>
          </w:p>
        </w:tc>
        <w:tc>
          <w:tcPr>
            <w:tcW w:w="1134" w:type="dxa"/>
            <w:shd w:val="clear" w:color="auto" w:fill="auto"/>
            <w:vAlign w:val="center"/>
          </w:tcPr>
          <w:p w14:paraId="586F0BF9" w14:textId="77777777" w:rsidR="004767B0" w:rsidRPr="002B005F" w:rsidRDefault="004767B0" w:rsidP="00497373">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372B28D9"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4,44</w:t>
            </w:r>
          </w:p>
        </w:tc>
        <w:tc>
          <w:tcPr>
            <w:tcW w:w="1134" w:type="dxa"/>
            <w:vAlign w:val="center"/>
          </w:tcPr>
          <w:p w14:paraId="0DCADB10"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5</w:t>
            </w:r>
          </w:p>
        </w:tc>
        <w:tc>
          <w:tcPr>
            <w:tcW w:w="1134" w:type="dxa"/>
            <w:vAlign w:val="center"/>
          </w:tcPr>
          <w:p w14:paraId="3A429A34"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5</w:t>
            </w:r>
          </w:p>
        </w:tc>
        <w:tc>
          <w:tcPr>
            <w:tcW w:w="1134" w:type="dxa"/>
            <w:vAlign w:val="center"/>
          </w:tcPr>
          <w:p w14:paraId="282288DF" w14:textId="77777777" w:rsidR="004767B0" w:rsidRPr="002B005F" w:rsidRDefault="004767B0" w:rsidP="00497373">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0.000</w:t>
            </w:r>
          </w:p>
        </w:tc>
      </w:tr>
      <w:tr w:rsidR="004767B0" w:rsidRPr="002B005F" w14:paraId="4BDA476E" w14:textId="77777777" w:rsidTr="00497373">
        <w:trPr>
          <w:trHeight w:val="454"/>
          <w:jc w:val="center"/>
        </w:trPr>
        <w:tc>
          <w:tcPr>
            <w:tcW w:w="3402" w:type="dxa"/>
            <w:shd w:val="clear" w:color="auto" w:fill="auto"/>
            <w:vAlign w:val="center"/>
          </w:tcPr>
          <w:p w14:paraId="4DE76EED" w14:textId="77777777" w:rsidR="004767B0" w:rsidRPr="002B005F" w:rsidRDefault="004767B0" w:rsidP="004767B0">
            <w:pPr>
              <w:tabs>
                <w:tab w:val="left" w:pos="0"/>
                <w:tab w:val="center" w:pos="4536"/>
              </w:tabs>
              <w:spacing w:line="360" w:lineRule="auto"/>
              <w:ind w:left="198"/>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Moudaraba</w:t>
            </w:r>
          </w:p>
        </w:tc>
        <w:tc>
          <w:tcPr>
            <w:tcW w:w="1134" w:type="dxa"/>
            <w:shd w:val="clear" w:color="auto" w:fill="auto"/>
            <w:vAlign w:val="center"/>
          </w:tcPr>
          <w:p w14:paraId="42974FBE" w14:textId="77777777" w:rsidR="004767B0" w:rsidRPr="002B005F" w:rsidRDefault="004767B0" w:rsidP="00497373">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41DAF71A"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4,00</w:t>
            </w:r>
          </w:p>
        </w:tc>
        <w:tc>
          <w:tcPr>
            <w:tcW w:w="1134" w:type="dxa"/>
            <w:vAlign w:val="center"/>
          </w:tcPr>
          <w:p w14:paraId="08467A70"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5</w:t>
            </w:r>
          </w:p>
        </w:tc>
        <w:tc>
          <w:tcPr>
            <w:tcW w:w="1134" w:type="dxa"/>
            <w:vAlign w:val="center"/>
          </w:tcPr>
          <w:p w14:paraId="12D3D3F0"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5</w:t>
            </w:r>
          </w:p>
        </w:tc>
        <w:tc>
          <w:tcPr>
            <w:tcW w:w="1134" w:type="dxa"/>
            <w:vAlign w:val="center"/>
          </w:tcPr>
          <w:p w14:paraId="637648F8" w14:textId="77777777" w:rsidR="004767B0" w:rsidRPr="002B005F" w:rsidRDefault="004767B0" w:rsidP="00497373">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0.000</w:t>
            </w:r>
          </w:p>
        </w:tc>
      </w:tr>
      <w:tr w:rsidR="004767B0" w:rsidRPr="002B005F" w14:paraId="43A9BFFE" w14:textId="77777777" w:rsidTr="00497373">
        <w:trPr>
          <w:trHeight w:val="454"/>
          <w:jc w:val="center"/>
        </w:trPr>
        <w:tc>
          <w:tcPr>
            <w:tcW w:w="3402" w:type="dxa"/>
            <w:shd w:val="clear" w:color="auto" w:fill="auto"/>
            <w:vAlign w:val="center"/>
          </w:tcPr>
          <w:p w14:paraId="0FF33209" w14:textId="77777777" w:rsidR="004767B0" w:rsidRPr="002B005F" w:rsidRDefault="004767B0" w:rsidP="004767B0">
            <w:pPr>
              <w:tabs>
                <w:tab w:val="left" w:pos="0"/>
                <w:tab w:val="center" w:pos="4536"/>
              </w:tabs>
              <w:spacing w:line="360" w:lineRule="auto"/>
              <w:ind w:left="198"/>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Salam</w:t>
            </w:r>
          </w:p>
        </w:tc>
        <w:tc>
          <w:tcPr>
            <w:tcW w:w="1134" w:type="dxa"/>
            <w:shd w:val="clear" w:color="auto" w:fill="auto"/>
            <w:vAlign w:val="center"/>
          </w:tcPr>
          <w:p w14:paraId="7FD34C65" w14:textId="77777777" w:rsidR="004767B0" w:rsidRPr="002B005F" w:rsidRDefault="004767B0" w:rsidP="00497373">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6826C9AE"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3,44</w:t>
            </w:r>
          </w:p>
        </w:tc>
        <w:tc>
          <w:tcPr>
            <w:tcW w:w="1134" w:type="dxa"/>
            <w:vAlign w:val="center"/>
          </w:tcPr>
          <w:p w14:paraId="33141651"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3</w:t>
            </w:r>
          </w:p>
        </w:tc>
        <w:tc>
          <w:tcPr>
            <w:tcW w:w="1134" w:type="dxa"/>
            <w:vAlign w:val="center"/>
          </w:tcPr>
          <w:p w14:paraId="24A8EFCE"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3</w:t>
            </w:r>
          </w:p>
        </w:tc>
        <w:tc>
          <w:tcPr>
            <w:tcW w:w="1134" w:type="dxa"/>
            <w:vAlign w:val="center"/>
          </w:tcPr>
          <w:p w14:paraId="0004652B" w14:textId="77777777" w:rsidR="004767B0" w:rsidRPr="002B005F" w:rsidRDefault="004767B0" w:rsidP="00497373">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0.000</w:t>
            </w:r>
          </w:p>
        </w:tc>
      </w:tr>
      <w:tr w:rsidR="004767B0" w:rsidRPr="002B005F" w14:paraId="36DF2A3D" w14:textId="77777777" w:rsidTr="00497373">
        <w:trPr>
          <w:trHeight w:val="454"/>
          <w:jc w:val="center"/>
        </w:trPr>
        <w:tc>
          <w:tcPr>
            <w:tcW w:w="3402" w:type="dxa"/>
            <w:shd w:val="clear" w:color="auto" w:fill="auto"/>
            <w:vAlign w:val="center"/>
          </w:tcPr>
          <w:p w14:paraId="623754E8" w14:textId="77777777" w:rsidR="004767B0" w:rsidRPr="002B005F" w:rsidRDefault="004767B0" w:rsidP="004767B0">
            <w:pPr>
              <w:tabs>
                <w:tab w:val="left" w:pos="0"/>
                <w:tab w:val="center" w:pos="4536"/>
              </w:tabs>
              <w:spacing w:line="360" w:lineRule="auto"/>
              <w:ind w:left="198"/>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Ijara</w:t>
            </w:r>
          </w:p>
        </w:tc>
        <w:tc>
          <w:tcPr>
            <w:tcW w:w="1134" w:type="dxa"/>
            <w:shd w:val="clear" w:color="auto" w:fill="auto"/>
            <w:vAlign w:val="center"/>
          </w:tcPr>
          <w:p w14:paraId="7FC1239E" w14:textId="77777777" w:rsidR="004767B0" w:rsidRPr="002B005F" w:rsidRDefault="004767B0" w:rsidP="00497373">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2F804E59"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3,16</w:t>
            </w:r>
          </w:p>
        </w:tc>
        <w:tc>
          <w:tcPr>
            <w:tcW w:w="1134" w:type="dxa"/>
            <w:vAlign w:val="center"/>
          </w:tcPr>
          <w:p w14:paraId="684A802D"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3</w:t>
            </w:r>
          </w:p>
        </w:tc>
        <w:tc>
          <w:tcPr>
            <w:tcW w:w="1134" w:type="dxa"/>
            <w:vAlign w:val="center"/>
          </w:tcPr>
          <w:p w14:paraId="0D242201"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3</w:t>
            </w:r>
          </w:p>
        </w:tc>
        <w:tc>
          <w:tcPr>
            <w:tcW w:w="1134" w:type="dxa"/>
            <w:vAlign w:val="center"/>
          </w:tcPr>
          <w:p w14:paraId="3E394A2B" w14:textId="77777777" w:rsidR="004767B0" w:rsidRPr="002B005F" w:rsidRDefault="004767B0" w:rsidP="00497373">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0.001</w:t>
            </w:r>
          </w:p>
        </w:tc>
      </w:tr>
      <w:tr w:rsidR="004767B0" w:rsidRPr="002B005F" w14:paraId="3EA44664" w14:textId="77777777" w:rsidTr="00497373">
        <w:trPr>
          <w:trHeight w:val="454"/>
          <w:jc w:val="center"/>
        </w:trPr>
        <w:tc>
          <w:tcPr>
            <w:tcW w:w="3402" w:type="dxa"/>
            <w:shd w:val="clear" w:color="auto" w:fill="auto"/>
            <w:vAlign w:val="center"/>
          </w:tcPr>
          <w:p w14:paraId="2A643F1A" w14:textId="77777777" w:rsidR="004767B0" w:rsidRPr="002B005F" w:rsidRDefault="004767B0" w:rsidP="004767B0">
            <w:pPr>
              <w:tabs>
                <w:tab w:val="left" w:pos="0"/>
                <w:tab w:val="center" w:pos="4536"/>
              </w:tabs>
              <w:spacing w:line="360" w:lineRule="auto"/>
              <w:ind w:left="198"/>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Istisna’</w:t>
            </w:r>
          </w:p>
        </w:tc>
        <w:tc>
          <w:tcPr>
            <w:tcW w:w="1134" w:type="dxa"/>
            <w:shd w:val="clear" w:color="auto" w:fill="auto"/>
            <w:vAlign w:val="center"/>
          </w:tcPr>
          <w:p w14:paraId="62D59339" w14:textId="77777777" w:rsidR="004767B0" w:rsidRPr="002B005F" w:rsidRDefault="004767B0" w:rsidP="00497373">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367DD630"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3,15</w:t>
            </w:r>
          </w:p>
        </w:tc>
        <w:tc>
          <w:tcPr>
            <w:tcW w:w="1134" w:type="dxa"/>
            <w:vAlign w:val="center"/>
          </w:tcPr>
          <w:p w14:paraId="148EB92B"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3</w:t>
            </w:r>
          </w:p>
        </w:tc>
        <w:tc>
          <w:tcPr>
            <w:tcW w:w="1134" w:type="dxa"/>
            <w:vAlign w:val="center"/>
          </w:tcPr>
          <w:p w14:paraId="42627645"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3</w:t>
            </w:r>
          </w:p>
        </w:tc>
        <w:tc>
          <w:tcPr>
            <w:tcW w:w="1134" w:type="dxa"/>
            <w:vAlign w:val="center"/>
          </w:tcPr>
          <w:p w14:paraId="56601220" w14:textId="77777777" w:rsidR="004767B0" w:rsidRPr="002B005F" w:rsidRDefault="004767B0" w:rsidP="00497373">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0.000</w:t>
            </w:r>
          </w:p>
        </w:tc>
      </w:tr>
      <w:tr w:rsidR="004767B0" w:rsidRPr="002B005F" w14:paraId="1990E788" w14:textId="77777777" w:rsidTr="00497373">
        <w:trPr>
          <w:trHeight w:val="454"/>
          <w:jc w:val="center"/>
        </w:trPr>
        <w:tc>
          <w:tcPr>
            <w:tcW w:w="3402" w:type="dxa"/>
            <w:shd w:val="clear" w:color="auto" w:fill="auto"/>
            <w:vAlign w:val="center"/>
          </w:tcPr>
          <w:p w14:paraId="3F2D5254" w14:textId="77777777" w:rsidR="004767B0" w:rsidRPr="002B005F" w:rsidRDefault="004767B0" w:rsidP="004767B0">
            <w:pPr>
              <w:tabs>
                <w:tab w:val="left" w:pos="0"/>
                <w:tab w:val="center" w:pos="4536"/>
              </w:tabs>
              <w:spacing w:line="360" w:lineRule="auto"/>
              <w:ind w:left="198"/>
              <w:jc w:val="left"/>
              <w:rPr>
                <w:rFonts w:ascii="Times New Roman" w:eastAsia="Calibri" w:hAnsi="Times New Roman" w:cs="Times New Roman"/>
                <w:b/>
                <w:bCs/>
                <w:i/>
                <w:iCs/>
                <w:sz w:val="24"/>
                <w:szCs w:val="24"/>
              </w:rPr>
            </w:pPr>
            <w:r w:rsidRPr="002B005F">
              <w:rPr>
                <w:rFonts w:ascii="Times New Roman" w:eastAsia="Calibri" w:hAnsi="Times New Roman" w:cs="Times New Roman"/>
                <w:b/>
                <w:bCs/>
                <w:i/>
                <w:iCs/>
                <w:sz w:val="24"/>
                <w:szCs w:val="24"/>
              </w:rPr>
              <w:t>Mourabaha</w:t>
            </w:r>
          </w:p>
        </w:tc>
        <w:tc>
          <w:tcPr>
            <w:tcW w:w="1134" w:type="dxa"/>
            <w:shd w:val="clear" w:color="auto" w:fill="auto"/>
            <w:vAlign w:val="center"/>
          </w:tcPr>
          <w:p w14:paraId="48BC3EDA" w14:textId="77777777" w:rsidR="004767B0" w:rsidRPr="002B005F" w:rsidRDefault="004767B0" w:rsidP="00497373">
            <w:pPr>
              <w:tabs>
                <w:tab w:val="left" w:pos="0"/>
              </w:tabs>
              <w:spacing w:line="240" w:lineRule="auto"/>
              <w:jc w:val="center"/>
              <w:rPr>
                <w:rFonts w:ascii="Times New Roman" w:eastAsia="Times New Roman" w:hAnsi="Times New Roman" w:cs="Times New Roman"/>
                <w:sz w:val="24"/>
                <w:szCs w:val="24"/>
                <w:lang w:eastAsia="fr-FR"/>
              </w:rPr>
            </w:pPr>
            <w:r w:rsidRPr="002B005F">
              <w:rPr>
                <w:rFonts w:ascii="Times New Roman" w:eastAsia="Times New Roman" w:hAnsi="Times New Roman" w:cs="Times New Roman"/>
                <w:sz w:val="24"/>
                <w:szCs w:val="24"/>
                <w:lang w:eastAsia="fr-FR"/>
              </w:rPr>
              <w:t>79</w:t>
            </w:r>
          </w:p>
        </w:tc>
        <w:tc>
          <w:tcPr>
            <w:tcW w:w="1134" w:type="dxa"/>
            <w:shd w:val="clear" w:color="auto" w:fill="auto"/>
            <w:vAlign w:val="center"/>
          </w:tcPr>
          <w:p w14:paraId="78C3FEF8"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3,05</w:t>
            </w:r>
          </w:p>
        </w:tc>
        <w:tc>
          <w:tcPr>
            <w:tcW w:w="1134" w:type="dxa"/>
            <w:vAlign w:val="center"/>
          </w:tcPr>
          <w:p w14:paraId="12195EC4"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2</w:t>
            </w:r>
          </w:p>
        </w:tc>
        <w:tc>
          <w:tcPr>
            <w:tcW w:w="1134" w:type="dxa"/>
            <w:vAlign w:val="center"/>
          </w:tcPr>
          <w:p w14:paraId="7255439E" w14:textId="77777777" w:rsidR="004767B0" w:rsidRPr="002B005F" w:rsidRDefault="004767B0" w:rsidP="00497373">
            <w:pPr>
              <w:tabs>
                <w:tab w:val="left" w:pos="0"/>
              </w:tabs>
              <w:spacing w:line="240" w:lineRule="auto"/>
              <w:jc w:val="center"/>
              <w:rPr>
                <w:rFonts w:ascii="Times New Roman" w:eastAsia="Calibri" w:hAnsi="Times New Roman" w:cs="Times New Roman"/>
                <w:color w:val="000000"/>
                <w:sz w:val="24"/>
                <w:szCs w:val="24"/>
              </w:rPr>
            </w:pPr>
            <w:r w:rsidRPr="002B005F">
              <w:rPr>
                <w:rFonts w:ascii="Times New Roman" w:eastAsia="Calibri" w:hAnsi="Times New Roman" w:cs="Times New Roman"/>
                <w:color w:val="000000"/>
                <w:sz w:val="24"/>
                <w:szCs w:val="24"/>
              </w:rPr>
              <w:t>2</w:t>
            </w:r>
          </w:p>
        </w:tc>
        <w:tc>
          <w:tcPr>
            <w:tcW w:w="1134" w:type="dxa"/>
            <w:vAlign w:val="center"/>
          </w:tcPr>
          <w:p w14:paraId="4C0FEA00" w14:textId="77777777" w:rsidR="004767B0" w:rsidRPr="002B005F" w:rsidRDefault="004767B0" w:rsidP="00497373">
            <w:pPr>
              <w:tabs>
                <w:tab w:val="left" w:pos="0"/>
              </w:tabs>
              <w:spacing w:line="240" w:lineRule="auto"/>
              <w:jc w:val="center"/>
              <w:rPr>
                <w:rFonts w:ascii="Times New Roman" w:eastAsia="Calibri" w:hAnsi="Times New Roman" w:cs="Times New Roman"/>
                <w:sz w:val="24"/>
                <w:szCs w:val="24"/>
              </w:rPr>
            </w:pPr>
            <w:r w:rsidRPr="002B005F">
              <w:rPr>
                <w:rFonts w:ascii="Times New Roman" w:eastAsia="Calibri" w:hAnsi="Times New Roman" w:cs="Times New Roman"/>
                <w:sz w:val="24"/>
                <w:szCs w:val="24"/>
              </w:rPr>
              <w:t>0.000</w:t>
            </w:r>
          </w:p>
        </w:tc>
      </w:tr>
    </w:tbl>
    <w:p w14:paraId="670F049A" w14:textId="77777777" w:rsidR="002760B2" w:rsidRPr="002B005F" w:rsidRDefault="00D33F8C" w:rsidP="00D33F8C">
      <w:pPr>
        <w:tabs>
          <w:tab w:val="left" w:pos="0"/>
        </w:tabs>
        <w:spacing w:before="120" w:line="240" w:lineRule="auto"/>
        <w:rPr>
          <w:rFonts w:ascii="Times New Roman" w:eastAsia="Times New Roman" w:hAnsi="Times New Roman" w:cs="Times New Roman"/>
          <w:sz w:val="20"/>
          <w:szCs w:val="20"/>
        </w:rPr>
      </w:pPr>
      <w:r w:rsidRPr="002B005F">
        <w:rPr>
          <w:rFonts w:ascii="Times New Roman" w:eastAsia="Times New Roman" w:hAnsi="Times New Roman" w:cs="Times New Roman"/>
          <w:iCs/>
          <w:sz w:val="20"/>
          <w:szCs w:val="20"/>
        </w:rPr>
        <w:t>Note : N</w:t>
      </w:r>
      <w:r w:rsidR="002760B2" w:rsidRPr="002B005F">
        <w:rPr>
          <w:rFonts w:ascii="Times New Roman" w:eastAsia="Times New Roman" w:hAnsi="Times New Roman" w:cs="Times New Roman"/>
          <w:sz w:val="20"/>
          <w:szCs w:val="20"/>
        </w:rPr>
        <w:t xml:space="preserve"> = nombre de réponses.</w:t>
      </w:r>
    </w:p>
    <w:p w14:paraId="46306AA0" w14:textId="77777777" w:rsidR="002760B2" w:rsidRPr="002B005F" w:rsidRDefault="002760B2" w:rsidP="00B424F2">
      <w:pPr>
        <w:tabs>
          <w:tab w:val="left" w:pos="0"/>
        </w:tabs>
        <w:spacing w:after="100" w:afterAutospacing="1" w:line="240" w:lineRule="auto"/>
        <w:jc w:val="center"/>
        <w:rPr>
          <w:rFonts w:ascii="Times New Roman" w:eastAsia="Times New Roman" w:hAnsi="Times New Roman" w:cs="Times New Roman"/>
          <w:sz w:val="20"/>
          <w:szCs w:val="20"/>
        </w:rPr>
      </w:pPr>
      <w:r w:rsidRPr="002B005F">
        <w:rPr>
          <w:rFonts w:ascii="Times New Roman" w:eastAsia="Times New Roman" w:hAnsi="Times New Roman" w:cs="Times New Roman"/>
          <w:sz w:val="20"/>
          <w:szCs w:val="20"/>
        </w:rPr>
        <w:t>Source : calculs du chercheur.</w:t>
      </w:r>
    </w:p>
    <w:p w14:paraId="4A775E6E" w14:textId="77777777" w:rsidR="002760B2" w:rsidRPr="002B005F" w:rsidRDefault="002760B2" w:rsidP="00B424F2">
      <w:pPr>
        <w:tabs>
          <w:tab w:val="left" w:pos="0"/>
        </w:tabs>
        <w:spacing w:before="100" w:beforeAutospacing="1"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En approfondissant l'analyse, l'intensité de l'utilisation des contrats financiers </w:t>
      </w:r>
      <w:r w:rsidR="00AB41B4">
        <w:rPr>
          <w:rFonts w:ascii="Times New Roman" w:eastAsia="Times New Roman" w:hAnsi="Times New Roman" w:cs="Times New Roman"/>
          <w:sz w:val="24"/>
          <w:szCs w:val="24"/>
        </w:rPr>
        <w:t>i</w:t>
      </w:r>
      <w:r w:rsidR="003773C6" w:rsidRPr="002B005F">
        <w:rPr>
          <w:rFonts w:ascii="Times New Roman" w:eastAsia="Times New Roman" w:hAnsi="Times New Roman" w:cs="Times New Roman"/>
          <w:sz w:val="24"/>
          <w:szCs w:val="24"/>
        </w:rPr>
        <w:t>slamique</w:t>
      </w:r>
      <w:r w:rsidRPr="002B005F">
        <w:rPr>
          <w:rFonts w:ascii="Times New Roman" w:eastAsia="Times New Roman" w:hAnsi="Times New Roman" w:cs="Times New Roman"/>
          <w:sz w:val="24"/>
          <w:szCs w:val="24"/>
        </w:rPr>
        <w:t xml:space="preserve">s est corrélée avec la perception des risques attachés aux contrats financiers respectivement. Ceci est représenté sur le graphique 02, et qui démontre que les modes de financement </w:t>
      </w:r>
      <w:r w:rsidR="00A5419D">
        <w:rPr>
          <w:rFonts w:ascii="Times New Roman" w:eastAsia="Times New Roman" w:hAnsi="Times New Roman" w:cs="Times New Roman"/>
          <w:sz w:val="24"/>
          <w:szCs w:val="24"/>
        </w:rPr>
        <w:t>i</w:t>
      </w:r>
      <w:r w:rsidR="003773C6" w:rsidRPr="002B005F">
        <w:rPr>
          <w:rFonts w:ascii="Times New Roman" w:eastAsia="Times New Roman" w:hAnsi="Times New Roman" w:cs="Times New Roman"/>
          <w:sz w:val="24"/>
          <w:szCs w:val="24"/>
        </w:rPr>
        <w:t>slamique</w:t>
      </w:r>
      <w:r w:rsidRPr="002B005F">
        <w:rPr>
          <w:rFonts w:ascii="Times New Roman" w:eastAsia="Times New Roman" w:hAnsi="Times New Roman" w:cs="Times New Roman"/>
          <w:sz w:val="24"/>
          <w:szCs w:val="24"/>
        </w:rPr>
        <w:t xml:space="preserve"> qui sont perçus comme plus risqués (comme la </w:t>
      </w:r>
      <w:r w:rsidR="005F2414" w:rsidRPr="002B005F">
        <w:rPr>
          <w:rFonts w:ascii="Times New Roman" w:eastAsia="Times New Roman" w:hAnsi="Times New Roman" w:cs="Times New Roman"/>
          <w:i/>
          <w:iCs/>
          <w:sz w:val="24"/>
          <w:szCs w:val="24"/>
        </w:rPr>
        <w:t>m</w:t>
      </w:r>
      <w:r w:rsidR="004A4E16" w:rsidRPr="002B005F">
        <w:rPr>
          <w:rFonts w:ascii="Times New Roman" w:eastAsia="Times New Roman" w:hAnsi="Times New Roman" w:cs="Times New Roman"/>
          <w:i/>
          <w:iCs/>
          <w:sz w:val="24"/>
          <w:szCs w:val="24"/>
        </w:rPr>
        <w:t>oudaraba</w:t>
      </w:r>
      <w:r w:rsidRPr="002B005F">
        <w:rPr>
          <w:rFonts w:ascii="Times New Roman" w:eastAsia="Times New Roman" w:hAnsi="Times New Roman" w:cs="Times New Roman"/>
          <w:sz w:val="24"/>
          <w:szCs w:val="24"/>
        </w:rPr>
        <w:t xml:space="preserve"> et la </w:t>
      </w:r>
      <w:r w:rsidR="005F2414" w:rsidRPr="002B005F">
        <w:rPr>
          <w:rFonts w:ascii="Times New Roman" w:eastAsia="Times New Roman" w:hAnsi="Times New Roman" w:cs="Times New Roman"/>
          <w:i/>
          <w:iCs/>
          <w:sz w:val="24"/>
          <w:szCs w:val="24"/>
        </w:rPr>
        <w:t>m</w:t>
      </w:r>
      <w:r w:rsidRPr="002B005F">
        <w:rPr>
          <w:rFonts w:ascii="Times New Roman" w:eastAsia="Times New Roman" w:hAnsi="Times New Roman" w:cs="Times New Roman"/>
          <w:i/>
          <w:iCs/>
          <w:sz w:val="24"/>
          <w:szCs w:val="24"/>
        </w:rPr>
        <w:t>oucharaka)</w:t>
      </w:r>
      <w:r w:rsidRPr="002B005F">
        <w:rPr>
          <w:rFonts w:ascii="Times New Roman" w:eastAsia="Times New Roman" w:hAnsi="Times New Roman" w:cs="Times New Roman"/>
          <w:sz w:val="24"/>
          <w:szCs w:val="24"/>
        </w:rPr>
        <w:t xml:space="preserve"> sont moins utilisés par les banques participante</w:t>
      </w:r>
      <w:r w:rsidR="00AB41B4">
        <w:rPr>
          <w:rFonts w:ascii="Times New Roman" w:eastAsia="Times New Roman" w:hAnsi="Times New Roman" w:cs="Times New Roman"/>
          <w:sz w:val="24"/>
          <w:szCs w:val="24"/>
        </w:rPr>
        <w:t>s</w:t>
      </w:r>
      <w:r w:rsidRPr="002B005F">
        <w:rPr>
          <w:rFonts w:ascii="Times New Roman" w:eastAsia="Times New Roman" w:hAnsi="Times New Roman" w:cs="Times New Roman"/>
          <w:sz w:val="24"/>
          <w:szCs w:val="24"/>
        </w:rPr>
        <w:t xml:space="preserve"> dans l’enquête et vice versa.</w:t>
      </w:r>
    </w:p>
    <w:p w14:paraId="606E87C9" w14:textId="665D0EA2" w:rsidR="007F6670" w:rsidRPr="004502B0" w:rsidRDefault="002760B2" w:rsidP="004502B0">
      <w:pPr>
        <w:tabs>
          <w:tab w:val="left" w:pos="0"/>
        </w:tabs>
        <w:spacing w:before="120"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En fait, la </w:t>
      </w:r>
      <w:r w:rsidR="005F2414" w:rsidRPr="002B005F">
        <w:rPr>
          <w:rFonts w:ascii="Times New Roman" w:eastAsia="Times New Roman" w:hAnsi="Times New Roman" w:cs="Times New Roman"/>
          <w:i/>
          <w:iCs/>
          <w:sz w:val="24"/>
          <w:szCs w:val="24"/>
        </w:rPr>
        <w:t>m</w:t>
      </w:r>
      <w:r w:rsidRPr="002B005F">
        <w:rPr>
          <w:rFonts w:ascii="Times New Roman" w:eastAsia="Times New Roman" w:hAnsi="Times New Roman" w:cs="Times New Roman"/>
          <w:i/>
          <w:iCs/>
          <w:sz w:val="24"/>
          <w:szCs w:val="24"/>
        </w:rPr>
        <w:t>ourabaha</w:t>
      </w:r>
      <w:r w:rsidRPr="002B005F">
        <w:rPr>
          <w:rFonts w:ascii="Times New Roman" w:eastAsia="Times New Roman" w:hAnsi="Times New Roman" w:cs="Times New Roman"/>
          <w:sz w:val="24"/>
          <w:szCs w:val="24"/>
        </w:rPr>
        <w:t xml:space="preserve"> a obtenu la moyenne la plus faible de la matrice des risques (3,05) et la moyenne la plus élevée pour l'intensité d'utilisation (5,20). Cela reflète la réticence des </w:t>
      </w:r>
      <w:r w:rsidR="004B43B5" w:rsidRPr="002B005F">
        <w:rPr>
          <w:rFonts w:ascii="Times New Roman" w:eastAsia="Times New Roman" w:hAnsi="Times New Roman" w:cs="Times New Roman"/>
          <w:sz w:val="24"/>
          <w:szCs w:val="24"/>
        </w:rPr>
        <w:t>BI de</w:t>
      </w:r>
      <w:r w:rsidRPr="002B005F">
        <w:rPr>
          <w:rFonts w:ascii="Times New Roman" w:eastAsia="Times New Roman" w:hAnsi="Times New Roman" w:cs="Times New Roman"/>
          <w:sz w:val="24"/>
          <w:szCs w:val="24"/>
        </w:rPr>
        <w:t xml:space="preserve"> prendre des risques ou de prendre des participations. La manipulation des contrats financiers a changé les caractéristiques de risque de ces contrats, ce qui a éloigné les BI des vrais principes définis par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eastAsia="Times New Roman" w:hAnsi="Times New Roman" w:cs="Times New Roman"/>
          <w:sz w:val="24"/>
          <w:szCs w:val="24"/>
        </w:rPr>
        <w:t>. Ainsi, les BI utilisent massivement des produits moins risqués, afin de garantir le revenu qui est fixé préalablement.</w:t>
      </w:r>
      <w:bookmarkStart w:id="1617" w:name="_Toc58605753"/>
    </w:p>
    <w:p w14:paraId="0B5C2475" w14:textId="219E9424" w:rsidR="004166FE" w:rsidRPr="002B005F" w:rsidRDefault="004166FE" w:rsidP="001D6F61">
      <w:pPr>
        <w:pStyle w:val="Lgende"/>
        <w:keepNext/>
        <w:tabs>
          <w:tab w:val="left" w:pos="0"/>
        </w:tabs>
        <w:spacing w:before="100" w:beforeAutospacing="1" w:after="120" w:line="30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 xml:space="preserve">Graphique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Graphique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w:t>
      </w:r>
      <w:r w:rsidR="00B544E5" w:rsidRPr="002B005F">
        <w:rPr>
          <w:rFonts w:ascii="Times New Roman" w:hAnsi="Times New Roman" w:cs="Times New Roman"/>
          <w:color w:val="auto"/>
          <w:sz w:val="24"/>
          <w:szCs w:val="24"/>
        </w:rPr>
        <w:fldChar w:fldCharType="end"/>
      </w:r>
      <w:r w:rsidR="005F2414"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Contrats de </w:t>
      </w:r>
      <w:r w:rsidR="005F2414" w:rsidRPr="002B005F">
        <w:rPr>
          <w:rFonts w:ascii="Times New Roman" w:hAnsi="Times New Roman" w:cs="Times New Roman"/>
          <w:color w:val="auto"/>
          <w:sz w:val="24"/>
          <w:szCs w:val="24"/>
        </w:rPr>
        <w:t>financement :</w:t>
      </w:r>
      <w:r w:rsidRPr="002B005F">
        <w:rPr>
          <w:rFonts w:ascii="Times New Roman" w:hAnsi="Times New Roman" w:cs="Times New Roman"/>
          <w:color w:val="auto"/>
          <w:sz w:val="24"/>
          <w:szCs w:val="24"/>
        </w:rPr>
        <w:t xml:space="preserve"> intensité d'utilisation vs perception de risque</w:t>
      </w:r>
      <w:bookmarkEnd w:id="1617"/>
    </w:p>
    <w:p w14:paraId="68EF4856" w14:textId="77777777" w:rsidR="001D6F61" w:rsidRPr="002B005F" w:rsidRDefault="001D6F61" w:rsidP="001D6F61">
      <w:pPr>
        <w:keepNext/>
        <w:spacing w:before="120" w:line="300" w:lineRule="auto"/>
        <w:rPr>
          <w:rFonts w:ascii="Times New Roman" w:hAnsi="Times New Roman" w:cs="Times New Roman"/>
          <w:sz w:val="24"/>
          <w:szCs w:val="24"/>
        </w:rPr>
      </w:pPr>
    </w:p>
    <w:p w14:paraId="3EB6EF0C" w14:textId="77777777" w:rsidR="001D6F61" w:rsidRPr="002B005F" w:rsidRDefault="001D6F61" w:rsidP="001D6F61">
      <w:pPr>
        <w:keepNext/>
        <w:spacing w:before="120" w:line="300" w:lineRule="auto"/>
        <w:rPr>
          <w:rFonts w:ascii="Times New Roman" w:hAnsi="Times New Roman" w:cs="Times New Roman"/>
          <w:sz w:val="24"/>
          <w:szCs w:val="24"/>
        </w:rPr>
      </w:pPr>
    </w:p>
    <w:p w14:paraId="0AFD771B" w14:textId="77777777" w:rsidR="001D6F61" w:rsidRPr="002B005F" w:rsidRDefault="001D6F61" w:rsidP="001D6F61">
      <w:pPr>
        <w:keepNext/>
        <w:spacing w:before="120" w:line="300" w:lineRule="auto"/>
        <w:rPr>
          <w:rFonts w:ascii="Times New Roman" w:hAnsi="Times New Roman" w:cs="Times New Roman"/>
          <w:sz w:val="24"/>
          <w:szCs w:val="24"/>
        </w:rPr>
      </w:pPr>
    </w:p>
    <w:p w14:paraId="38CEEED2" w14:textId="77777777" w:rsidR="001D6F61" w:rsidRPr="002B005F" w:rsidRDefault="001D6F61" w:rsidP="001D6F61">
      <w:pPr>
        <w:keepNext/>
        <w:spacing w:before="120" w:line="300" w:lineRule="auto"/>
        <w:rPr>
          <w:rFonts w:ascii="Times New Roman" w:hAnsi="Times New Roman" w:cs="Times New Roman"/>
          <w:sz w:val="24"/>
          <w:szCs w:val="24"/>
        </w:rPr>
      </w:pPr>
    </w:p>
    <w:p w14:paraId="75ACC7FA" w14:textId="77777777" w:rsidR="001D6F61" w:rsidRPr="002B005F" w:rsidRDefault="001D6F61" w:rsidP="001D6F61">
      <w:pPr>
        <w:keepNext/>
        <w:spacing w:before="120" w:line="300" w:lineRule="auto"/>
        <w:rPr>
          <w:rFonts w:ascii="Times New Roman" w:hAnsi="Times New Roman" w:cs="Times New Roman"/>
          <w:sz w:val="24"/>
          <w:szCs w:val="24"/>
        </w:rPr>
      </w:pPr>
    </w:p>
    <w:p w14:paraId="0080ABEC" w14:textId="77777777" w:rsidR="001D6F61" w:rsidRPr="002B005F" w:rsidRDefault="001D6F61" w:rsidP="001D6F61">
      <w:pPr>
        <w:keepNext/>
        <w:spacing w:before="120" w:line="300" w:lineRule="auto"/>
        <w:rPr>
          <w:rFonts w:ascii="Times New Roman" w:hAnsi="Times New Roman" w:cs="Times New Roman"/>
          <w:sz w:val="24"/>
          <w:szCs w:val="24"/>
        </w:rPr>
      </w:pPr>
    </w:p>
    <w:p w14:paraId="63503800" w14:textId="77777777" w:rsidR="001D6F61" w:rsidRPr="002B005F" w:rsidRDefault="001D6F61" w:rsidP="001D6F61">
      <w:pPr>
        <w:keepNext/>
        <w:spacing w:before="120" w:line="300" w:lineRule="auto"/>
        <w:rPr>
          <w:rFonts w:ascii="Times New Roman" w:hAnsi="Times New Roman" w:cs="Times New Roman"/>
          <w:sz w:val="24"/>
          <w:szCs w:val="24"/>
        </w:rPr>
      </w:pPr>
    </w:p>
    <w:p w14:paraId="17814BD8" w14:textId="77777777" w:rsidR="001D6F61" w:rsidRPr="002B005F" w:rsidRDefault="001D6F61" w:rsidP="001D6F61">
      <w:pPr>
        <w:keepNext/>
        <w:spacing w:before="120" w:line="300" w:lineRule="auto"/>
        <w:rPr>
          <w:rFonts w:ascii="Times New Roman" w:hAnsi="Times New Roman" w:cs="Times New Roman"/>
          <w:sz w:val="24"/>
          <w:szCs w:val="24"/>
        </w:rPr>
      </w:pPr>
    </w:p>
    <w:p w14:paraId="5647555D" w14:textId="77777777" w:rsidR="006C6B64" w:rsidRPr="002B005F" w:rsidRDefault="006C6B64" w:rsidP="001D6F61">
      <w:pPr>
        <w:keepNext/>
        <w:spacing w:before="120" w:line="300" w:lineRule="auto"/>
        <w:rPr>
          <w:rFonts w:ascii="Times New Roman" w:hAnsi="Times New Roman" w:cs="Times New Roman"/>
          <w:sz w:val="24"/>
          <w:szCs w:val="24"/>
        </w:rPr>
      </w:pPr>
    </w:p>
    <w:p w14:paraId="09A2BDF6" w14:textId="77777777" w:rsidR="002760B2" w:rsidRPr="002B005F" w:rsidRDefault="001D6F61" w:rsidP="004502B0">
      <w:pPr>
        <w:keepNext/>
        <w:spacing w:before="120" w:line="300" w:lineRule="auto"/>
        <w:rPr>
          <w:rFonts w:ascii="Times New Roman" w:hAnsi="Times New Roman" w:cs="Times New Roman"/>
          <w:sz w:val="24"/>
          <w:szCs w:val="24"/>
        </w:rPr>
      </w:pPr>
      <w:r w:rsidRPr="002B005F">
        <w:rPr>
          <w:rFonts w:ascii="Times New Roman" w:hAnsi="Times New Roman" w:cs="Times New Roman"/>
          <w:noProof/>
          <w:sz w:val="24"/>
          <w:szCs w:val="24"/>
          <w:lang w:eastAsia="fr-FR"/>
        </w:rPr>
        <w:drawing>
          <wp:anchor distT="0" distB="0" distL="114300" distR="114300" simplePos="0" relativeHeight="251491328" behindDoc="0" locked="1" layoutInCell="1" allowOverlap="0" wp14:anchorId="5D67E62A" wp14:editId="02230220">
            <wp:simplePos x="0" y="0"/>
            <wp:positionH relativeFrom="margin">
              <wp:align>center</wp:align>
            </wp:positionH>
            <wp:positionV relativeFrom="paragraph">
              <wp:posOffset>-2493010</wp:posOffset>
            </wp:positionV>
            <wp:extent cx="5534660" cy="2768600"/>
            <wp:effectExtent l="19050" t="0" r="27940" b="0"/>
            <wp:wrapNone/>
            <wp:docPr id="3"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14:paraId="435E2C6E" w14:textId="77777777" w:rsidR="002760B2" w:rsidRPr="002B005F" w:rsidRDefault="002760B2" w:rsidP="004502B0">
      <w:pPr>
        <w:keepNext/>
        <w:tabs>
          <w:tab w:val="left" w:pos="0"/>
        </w:tabs>
        <w:spacing w:before="120" w:after="120" w:line="300" w:lineRule="auto"/>
        <w:jc w:val="center"/>
        <w:rPr>
          <w:rFonts w:ascii="Times New Roman" w:eastAsia="Times New Roman" w:hAnsi="Times New Roman" w:cs="Times New Roman"/>
          <w:sz w:val="20"/>
          <w:szCs w:val="20"/>
        </w:rPr>
      </w:pPr>
      <w:r w:rsidRPr="002B005F">
        <w:rPr>
          <w:rFonts w:ascii="Times New Roman" w:eastAsia="Times New Roman" w:hAnsi="Times New Roman" w:cs="Times New Roman"/>
          <w:sz w:val="20"/>
          <w:szCs w:val="20"/>
        </w:rPr>
        <w:t>Source : calculs du chercheur.</w:t>
      </w:r>
    </w:p>
    <w:p w14:paraId="0EDB5C4B" w14:textId="77777777" w:rsidR="002760B2" w:rsidRPr="004502B0" w:rsidRDefault="002760B2" w:rsidP="00B424F2">
      <w:pPr>
        <w:tabs>
          <w:tab w:val="left" w:pos="0"/>
        </w:tabs>
        <w:autoSpaceDE w:val="0"/>
        <w:autoSpaceDN w:val="0"/>
        <w:adjustRightInd w:val="0"/>
        <w:spacing w:before="100" w:beforeAutospacing="1" w:after="120" w:line="300" w:lineRule="auto"/>
        <w:ind w:firstLine="709"/>
        <w:rPr>
          <w:rFonts w:ascii="Times New Roman" w:eastAsia="Times New Roman" w:hAnsi="Times New Roman" w:cs="Times New Roman"/>
          <w:spacing w:val="-4"/>
          <w:sz w:val="24"/>
          <w:szCs w:val="24"/>
        </w:rPr>
      </w:pPr>
      <w:r w:rsidRPr="004502B0">
        <w:rPr>
          <w:rFonts w:ascii="Times New Roman" w:hAnsi="Times New Roman" w:cs="Times New Roman"/>
          <w:spacing w:val="-4"/>
          <w:sz w:val="24"/>
          <w:szCs w:val="24"/>
        </w:rPr>
        <w:t xml:space="preserve">Le </w:t>
      </w:r>
      <w:r w:rsidRPr="004502B0">
        <w:rPr>
          <w:rFonts w:ascii="Times New Roman" w:hAnsi="Times New Roman" w:cs="Times New Roman"/>
          <w:b/>
          <w:bCs/>
          <w:spacing w:val="-4"/>
          <w:sz w:val="24"/>
          <w:szCs w:val="24"/>
        </w:rPr>
        <w:t>tableau 17</w:t>
      </w:r>
      <w:r w:rsidRPr="004502B0">
        <w:rPr>
          <w:rFonts w:ascii="Times New Roman" w:hAnsi="Times New Roman" w:cs="Times New Roman"/>
          <w:spacing w:val="-4"/>
          <w:sz w:val="24"/>
          <w:szCs w:val="24"/>
        </w:rPr>
        <w:t xml:space="preserve"> résume les points de vue des banquiers </w:t>
      </w:r>
      <w:r w:rsidR="00A5419D" w:rsidRPr="004502B0">
        <w:rPr>
          <w:rFonts w:ascii="Times New Roman" w:hAnsi="Times New Roman" w:cs="Times New Roman"/>
          <w:spacing w:val="-4"/>
          <w:sz w:val="24"/>
          <w:szCs w:val="24"/>
        </w:rPr>
        <w:t>i</w:t>
      </w:r>
      <w:r w:rsidR="003773C6" w:rsidRPr="004502B0">
        <w:rPr>
          <w:rFonts w:ascii="Times New Roman" w:hAnsi="Times New Roman" w:cs="Times New Roman"/>
          <w:spacing w:val="-4"/>
          <w:sz w:val="24"/>
          <w:szCs w:val="24"/>
        </w:rPr>
        <w:t>slamique</w:t>
      </w:r>
      <w:r w:rsidRPr="004502B0">
        <w:rPr>
          <w:rFonts w:ascii="Times New Roman" w:hAnsi="Times New Roman" w:cs="Times New Roman"/>
          <w:spacing w:val="-4"/>
          <w:sz w:val="24"/>
          <w:szCs w:val="24"/>
        </w:rPr>
        <w:t>s concernant les différents risques liés aux divers modes de financement</w:t>
      </w:r>
      <w:r w:rsidR="006C6B64" w:rsidRPr="004502B0">
        <w:rPr>
          <w:rFonts w:ascii="Times New Roman" w:hAnsi="Times New Roman" w:cs="Times New Roman"/>
          <w:spacing w:val="-4"/>
          <w:sz w:val="24"/>
          <w:szCs w:val="24"/>
        </w:rPr>
        <w:t xml:space="preserve"> en étudiant</w:t>
      </w:r>
      <w:r w:rsidR="00FE6B7F" w:rsidRPr="004502B0">
        <w:rPr>
          <w:rFonts w:ascii="Times New Roman" w:hAnsi="Times New Roman" w:cs="Times New Roman"/>
          <w:spacing w:val="-4"/>
          <w:sz w:val="24"/>
          <w:szCs w:val="24"/>
        </w:rPr>
        <w:t xml:space="preserve"> les moyennes de chaque risque</w:t>
      </w:r>
      <w:r w:rsidRPr="004502B0">
        <w:rPr>
          <w:rFonts w:ascii="Times New Roman" w:hAnsi="Times New Roman" w:cs="Times New Roman"/>
          <w:spacing w:val="-4"/>
          <w:sz w:val="24"/>
          <w:szCs w:val="24"/>
        </w:rPr>
        <w:t>. Les résultats de ces risques sont analysés dans les paragraphes qui suivent.</w:t>
      </w:r>
      <w:r w:rsidR="006C6B64" w:rsidRPr="004502B0">
        <w:rPr>
          <w:rFonts w:ascii="Times New Roman" w:hAnsi="Times New Roman" w:cs="Times New Roman"/>
          <w:spacing w:val="-4"/>
          <w:sz w:val="24"/>
          <w:szCs w:val="24"/>
        </w:rPr>
        <w:t xml:space="preserve"> </w:t>
      </w:r>
      <w:r w:rsidRPr="004502B0">
        <w:rPr>
          <w:rFonts w:ascii="Times New Roman" w:eastAsia="Times New Roman" w:hAnsi="Times New Roman" w:cs="Times New Roman"/>
          <w:spacing w:val="-4"/>
          <w:sz w:val="24"/>
          <w:szCs w:val="24"/>
        </w:rPr>
        <w:t>Ce qui nous intéresse dans notre recherche est de décrypter les risques liés aux mode</w:t>
      </w:r>
      <w:r w:rsidR="006C6B64" w:rsidRPr="004502B0">
        <w:rPr>
          <w:rFonts w:ascii="Times New Roman" w:eastAsia="Times New Roman" w:hAnsi="Times New Roman" w:cs="Times New Roman"/>
          <w:spacing w:val="-4"/>
          <w:sz w:val="24"/>
          <w:szCs w:val="24"/>
        </w:rPr>
        <w:t>s de financement participatif.</w:t>
      </w:r>
    </w:p>
    <w:p w14:paraId="1070650B" w14:textId="77777777" w:rsidR="00CA51A4" w:rsidRPr="0052562C" w:rsidRDefault="00245F45" w:rsidP="00D66FFE">
      <w:pPr>
        <w:pStyle w:val="Titre5"/>
        <w:keepNext w:val="0"/>
        <w:keepLines w:val="0"/>
        <w:spacing w:before="120" w:after="120" w:line="300" w:lineRule="auto"/>
        <w:ind w:firstLine="709"/>
        <w:rPr>
          <w:rFonts w:asciiTheme="majorBidi" w:eastAsia="Times New Roman" w:hAnsiTheme="majorBidi"/>
          <w:b/>
          <w:bCs/>
          <w:color w:val="auto"/>
          <w:sz w:val="24"/>
          <w:szCs w:val="24"/>
        </w:rPr>
      </w:pPr>
      <w:bookmarkStart w:id="1618" w:name="_Toc182298907"/>
      <w:r w:rsidRPr="0052562C">
        <w:rPr>
          <w:rFonts w:asciiTheme="majorBidi" w:hAnsiTheme="majorBidi"/>
          <w:b/>
          <w:bCs/>
          <w:color w:val="auto"/>
          <w:sz w:val="24"/>
          <w:szCs w:val="24"/>
        </w:rPr>
        <w:t>2</w:t>
      </w:r>
      <w:r w:rsidR="00CA51A4" w:rsidRPr="0052562C">
        <w:rPr>
          <w:rFonts w:asciiTheme="majorBidi" w:hAnsiTheme="majorBidi"/>
          <w:b/>
          <w:bCs/>
          <w:color w:val="auto"/>
          <w:sz w:val="24"/>
          <w:szCs w:val="24"/>
        </w:rPr>
        <w:t xml:space="preserve">.1.4.1- </w:t>
      </w:r>
      <w:r w:rsidR="00CA51A4" w:rsidRPr="002F46C1">
        <w:rPr>
          <w:rFonts w:asciiTheme="majorBidi" w:eastAsia="Times New Roman" w:hAnsiTheme="majorBidi"/>
          <w:b/>
          <w:bCs/>
          <w:i/>
          <w:iCs/>
          <w:color w:val="auto"/>
          <w:sz w:val="24"/>
          <w:szCs w:val="24"/>
        </w:rPr>
        <w:t>M</w:t>
      </w:r>
      <w:r w:rsidR="002760B2" w:rsidRPr="002F46C1">
        <w:rPr>
          <w:rFonts w:asciiTheme="majorBidi" w:eastAsia="Times New Roman" w:hAnsiTheme="majorBidi"/>
          <w:b/>
          <w:bCs/>
          <w:i/>
          <w:iCs/>
          <w:color w:val="auto"/>
          <w:sz w:val="24"/>
          <w:szCs w:val="24"/>
        </w:rPr>
        <w:t>oucharaka</w:t>
      </w:r>
      <w:bookmarkEnd w:id="1618"/>
    </w:p>
    <w:p w14:paraId="42E10886" w14:textId="77777777" w:rsidR="006C6B64" w:rsidRPr="004502B0" w:rsidRDefault="00245F45" w:rsidP="005F2414">
      <w:pPr>
        <w:tabs>
          <w:tab w:val="left" w:pos="0"/>
        </w:tabs>
        <w:spacing w:before="120" w:after="120" w:line="300" w:lineRule="auto"/>
        <w:ind w:firstLine="709"/>
        <w:rPr>
          <w:rFonts w:ascii="Times New Roman" w:eastAsia="Times New Roman" w:hAnsi="Times New Roman" w:cs="Times New Roman"/>
          <w:spacing w:val="6"/>
          <w:sz w:val="24"/>
          <w:szCs w:val="24"/>
        </w:rPr>
      </w:pPr>
      <w:r w:rsidRPr="004502B0">
        <w:rPr>
          <w:rFonts w:ascii="Times New Roman" w:eastAsia="Times New Roman" w:hAnsi="Times New Roman" w:cs="Times New Roman"/>
          <w:spacing w:val="6"/>
          <w:sz w:val="24"/>
          <w:szCs w:val="24"/>
        </w:rPr>
        <w:t>Nous pouvons</w:t>
      </w:r>
      <w:r w:rsidR="002760B2" w:rsidRPr="004502B0">
        <w:rPr>
          <w:rFonts w:ascii="Times New Roman" w:eastAsia="Times New Roman" w:hAnsi="Times New Roman" w:cs="Times New Roman"/>
          <w:spacing w:val="6"/>
          <w:sz w:val="24"/>
          <w:szCs w:val="24"/>
        </w:rPr>
        <w:t xml:space="preserve"> remarquer du tableau ci-dessus que le risque le plus élevé est le risque de contrepartie (3.69) suivi par le risque de marché (3.62), le risque opérationnel (3.5</w:t>
      </w:r>
      <w:r w:rsidR="006C6B64" w:rsidRPr="004502B0">
        <w:rPr>
          <w:rFonts w:ascii="Times New Roman" w:eastAsia="Times New Roman" w:hAnsi="Times New Roman" w:cs="Times New Roman"/>
          <w:spacing w:val="6"/>
          <w:sz w:val="24"/>
          <w:szCs w:val="24"/>
        </w:rPr>
        <w:t>) et le risque juridique (3.4).</w:t>
      </w:r>
    </w:p>
    <w:p w14:paraId="4E10D8FE" w14:textId="77777777" w:rsidR="006C6B64" w:rsidRPr="004502B0" w:rsidRDefault="002760B2" w:rsidP="00CB0FF1">
      <w:pPr>
        <w:pStyle w:val="Paragraphedeliste"/>
        <w:numPr>
          <w:ilvl w:val="0"/>
          <w:numId w:val="67"/>
        </w:numPr>
        <w:tabs>
          <w:tab w:val="left" w:pos="0"/>
        </w:tabs>
        <w:spacing w:before="120" w:after="120" w:line="300" w:lineRule="auto"/>
        <w:ind w:left="1135" w:hanging="284"/>
        <w:contextualSpacing w:val="0"/>
        <w:rPr>
          <w:rFonts w:ascii="Times New Roman" w:hAnsi="Times New Roman" w:cs="Times New Roman"/>
          <w:spacing w:val="6"/>
          <w:sz w:val="24"/>
          <w:szCs w:val="24"/>
        </w:rPr>
      </w:pPr>
      <w:r w:rsidRPr="004502B0">
        <w:rPr>
          <w:rFonts w:ascii="Times New Roman" w:hAnsi="Times New Roman" w:cs="Times New Roman"/>
          <w:spacing w:val="6"/>
          <w:sz w:val="24"/>
          <w:szCs w:val="24"/>
        </w:rPr>
        <w:t xml:space="preserve">Le </w:t>
      </w:r>
      <w:r w:rsidRPr="004502B0">
        <w:rPr>
          <w:rFonts w:ascii="Times New Roman" w:hAnsi="Times New Roman" w:cs="Times New Roman"/>
          <w:b/>
          <w:bCs/>
          <w:spacing w:val="6"/>
          <w:sz w:val="24"/>
          <w:szCs w:val="24"/>
        </w:rPr>
        <w:t>risque de crédit</w:t>
      </w:r>
      <w:r w:rsidRPr="004502B0">
        <w:rPr>
          <w:rFonts w:ascii="Times New Roman" w:hAnsi="Times New Roman" w:cs="Times New Roman"/>
          <w:spacing w:val="6"/>
          <w:sz w:val="24"/>
          <w:szCs w:val="24"/>
        </w:rPr>
        <w:t xml:space="preserve"> lié à la </w:t>
      </w:r>
      <w:r w:rsidR="00426F0F" w:rsidRPr="004502B0">
        <w:rPr>
          <w:rFonts w:ascii="Times New Roman" w:hAnsi="Times New Roman" w:cs="Times New Roman"/>
          <w:i/>
          <w:iCs/>
          <w:spacing w:val="6"/>
          <w:sz w:val="24"/>
          <w:szCs w:val="24"/>
        </w:rPr>
        <w:t>m</w:t>
      </w:r>
      <w:r w:rsidRPr="004502B0">
        <w:rPr>
          <w:rFonts w:ascii="Times New Roman" w:hAnsi="Times New Roman" w:cs="Times New Roman"/>
          <w:i/>
          <w:iCs/>
          <w:spacing w:val="6"/>
          <w:sz w:val="24"/>
          <w:szCs w:val="24"/>
        </w:rPr>
        <w:t>oucharaka</w:t>
      </w:r>
      <w:r w:rsidRPr="004502B0">
        <w:rPr>
          <w:rFonts w:ascii="Times New Roman" w:hAnsi="Times New Roman" w:cs="Times New Roman"/>
          <w:spacing w:val="6"/>
          <w:sz w:val="24"/>
          <w:szCs w:val="24"/>
        </w:rPr>
        <w:t xml:space="preserve"> est élevé en raison d’absence de garanties, d’un fort taux d’aléa moral et de sélection adverse et du manque de personnel qualifié en matière d’évaluation technique des projets. </w:t>
      </w:r>
    </w:p>
    <w:p w14:paraId="776159B8" w14:textId="77777777" w:rsidR="006C6B64" w:rsidRPr="004502B0" w:rsidRDefault="002760B2" w:rsidP="00CB0FF1">
      <w:pPr>
        <w:pStyle w:val="Paragraphedeliste"/>
        <w:numPr>
          <w:ilvl w:val="0"/>
          <w:numId w:val="67"/>
        </w:numPr>
        <w:tabs>
          <w:tab w:val="left" w:pos="0"/>
        </w:tabs>
        <w:spacing w:before="120" w:after="120" w:line="300" w:lineRule="auto"/>
        <w:ind w:left="1135" w:hanging="284"/>
        <w:contextualSpacing w:val="0"/>
        <w:rPr>
          <w:rFonts w:ascii="Times New Roman" w:hAnsi="Times New Roman" w:cs="Times New Roman"/>
          <w:spacing w:val="6"/>
          <w:sz w:val="24"/>
          <w:szCs w:val="24"/>
        </w:rPr>
      </w:pPr>
      <w:r w:rsidRPr="004502B0">
        <w:rPr>
          <w:rFonts w:ascii="Times New Roman" w:hAnsi="Times New Roman" w:cs="Times New Roman"/>
          <w:spacing w:val="6"/>
          <w:sz w:val="24"/>
          <w:szCs w:val="24"/>
        </w:rPr>
        <w:t xml:space="preserve">Ainsi, nous remarquons que </w:t>
      </w:r>
      <w:r w:rsidRPr="004502B0">
        <w:rPr>
          <w:rFonts w:ascii="Times New Roman" w:hAnsi="Times New Roman" w:cs="Times New Roman"/>
          <w:b/>
          <w:bCs/>
          <w:spacing w:val="6"/>
          <w:sz w:val="24"/>
          <w:szCs w:val="24"/>
        </w:rPr>
        <w:t>le risque de marché</w:t>
      </w:r>
      <w:r w:rsidRPr="004502B0">
        <w:rPr>
          <w:rFonts w:ascii="Times New Roman" w:hAnsi="Times New Roman" w:cs="Times New Roman"/>
          <w:spacing w:val="6"/>
          <w:sz w:val="24"/>
          <w:szCs w:val="24"/>
        </w:rPr>
        <w:t xml:space="preserve"> est assez élevé. Car, le produit </w:t>
      </w:r>
      <w:r w:rsidR="00426F0F" w:rsidRPr="004502B0">
        <w:rPr>
          <w:rFonts w:ascii="Times New Roman" w:hAnsi="Times New Roman" w:cs="Times New Roman"/>
          <w:i/>
          <w:iCs/>
          <w:spacing w:val="6"/>
          <w:sz w:val="24"/>
          <w:szCs w:val="24"/>
        </w:rPr>
        <w:t>m</w:t>
      </w:r>
      <w:r w:rsidRPr="004502B0">
        <w:rPr>
          <w:rFonts w:ascii="Times New Roman" w:hAnsi="Times New Roman" w:cs="Times New Roman"/>
          <w:i/>
          <w:iCs/>
          <w:spacing w:val="6"/>
          <w:sz w:val="24"/>
          <w:szCs w:val="24"/>
        </w:rPr>
        <w:t>oucharaka</w:t>
      </w:r>
      <w:r w:rsidRPr="004502B0">
        <w:rPr>
          <w:rFonts w:ascii="Times New Roman" w:hAnsi="Times New Roman" w:cs="Times New Roman"/>
          <w:spacing w:val="6"/>
          <w:sz w:val="24"/>
          <w:szCs w:val="24"/>
        </w:rPr>
        <w:t xml:space="preserve"> subit le risque d’action c’est-à-dire les actifs détenus par l’investisseur peuvent se déprécier. Dans le contrat </w:t>
      </w:r>
      <w:r w:rsidR="00426F0F" w:rsidRPr="004502B0">
        <w:rPr>
          <w:rFonts w:ascii="Times New Roman" w:hAnsi="Times New Roman" w:cs="Times New Roman"/>
          <w:i/>
          <w:iCs/>
          <w:spacing w:val="6"/>
          <w:sz w:val="24"/>
          <w:szCs w:val="24"/>
        </w:rPr>
        <w:t>m</w:t>
      </w:r>
      <w:r w:rsidRPr="004502B0">
        <w:rPr>
          <w:rFonts w:ascii="Times New Roman" w:hAnsi="Times New Roman" w:cs="Times New Roman"/>
          <w:i/>
          <w:iCs/>
          <w:spacing w:val="6"/>
          <w:sz w:val="24"/>
          <w:szCs w:val="24"/>
        </w:rPr>
        <w:t>oucharaka</w:t>
      </w:r>
      <w:r w:rsidR="006C6B64" w:rsidRPr="004502B0">
        <w:rPr>
          <w:rFonts w:ascii="Times New Roman" w:hAnsi="Times New Roman" w:cs="Times New Roman"/>
          <w:i/>
          <w:iCs/>
          <w:spacing w:val="6"/>
          <w:sz w:val="24"/>
          <w:szCs w:val="24"/>
        </w:rPr>
        <w:t>,</w:t>
      </w:r>
      <w:r w:rsidRPr="004502B0">
        <w:rPr>
          <w:rFonts w:ascii="Times New Roman" w:hAnsi="Times New Roman" w:cs="Times New Roman"/>
          <w:spacing w:val="6"/>
          <w:sz w:val="24"/>
          <w:szCs w:val="24"/>
        </w:rPr>
        <w:t xml:space="preserve"> toutes les partie</w:t>
      </w:r>
      <w:r w:rsidR="006C6B64" w:rsidRPr="004502B0">
        <w:rPr>
          <w:rFonts w:ascii="Times New Roman" w:hAnsi="Times New Roman" w:cs="Times New Roman"/>
          <w:spacing w:val="6"/>
          <w:sz w:val="24"/>
          <w:szCs w:val="24"/>
        </w:rPr>
        <w:t>s participent au capital et</w:t>
      </w:r>
      <w:r w:rsidRPr="004502B0">
        <w:rPr>
          <w:rFonts w:ascii="Times New Roman" w:hAnsi="Times New Roman" w:cs="Times New Roman"/>
          <w:spacing w:val="6"/>
          <w:sz w:val="24"/>
          <w:szCs w:val="24"/>
        </w:rPr>
        <w:t xml:space="preserve"> aux pertes éventuelles. </w:t>
      </w:r>
    </w:p>
    <w:p w14:paraId="6CBBD2B0" w14:textId="77777777" w:rsidR="006C6B64" w:rsidRPr="004502B0" w:rsidRDefault="002760B2" w:rsidP="00CB0FF1">
      <w:pPr>
        <w:pStyle w:val="Paragraphedeliste"/>
        <w:numPr>
          <w:ilvl w:val="0"/>
          <w:numId w:val="67"/>
        </w:numPr>
        <w:tabs>
          <w:tab w:val="left" w:pos="0"/>
        </w:tabs>
        <w:spacing w:before="120" w:after="120" w:line="300" w:lineRule="auto"/>
        <w:ind w:left="1135" w:hanging="284"/>
        <w:contextualSpacing w:val="0"/>
        <w:rPr>
          <w:rFonts w:ascii="Times New Roman" w:hAnsi="Times New Roman" w:cs="Times New Roman"/>
          <w:spacing w:val="6"/>
          <w:sz w:val="24"/>
          <w:szCs w:val="24"/>
        </w:rPr>
      </w:pPr>
      <w:r w:rsidRPr="004502B0">
        <w:rPr>
          <w:rFonts w:ascii="Times New Roman" w:hAnsi="Times New Roman" w:cs="Times New Roman"/>
          <w:spacing w:val="6"/>
          <w:sz w:val="24"/>
          <w:szCs w:val="24"/>
        </w:rPr>
        <w:t xml:space="preserve">Pour le </w:t>
      </w:r>
      <w:r w:rsidRPr="004502B0">
        <w:rPr>
          <w:rFonts w:ascii="Times New Roman" w:hAnsi="Times New Roman" w:cs="Times New Roman"/>
          <w:b/>
          <w:bCs/>
          <w:spacing w:val="6"/>
          <w:sz w:val="24"/>
          <w:szCs w:val="24"/>
        </w:rPr>
        <w:t>risque opérationnel</w:t>
      </w:r>
      <w:r w:rsidRPr="004502B0">
        <w:rPr>
          <w:rFonts w:ascii="Times New Roman" w:hAnsi="Times New Roman" w:cs="Times New Roman"/>
          <w:spacing w:val="6"/>
          <w:sz w:val="24"/>
          <w:szCs w:val="24"/>
        </w:rPr>
        <w:t>, il peut être dû à la complexité de la gestion des produits basés sur le principe 3</w:t>
      </w:r>
      <w:r w:rsidR="006C6B64" w:rsidRPr="004502B0">
        <w:rPr>
          <w:rFonts w:ascii="Times New Roman" w:hAnsi="Times New Roman" w:cs="Times New Roman"/>
          <w:spacing w:val="6"/>
          <w:sz w:val="24"/>
          <w:szCs w:val="24"/>
        </w:rPr>
        <w:t>P</w:t>
      </w:r>
      <w:r w:rsidRPr="004502B0">
        <w:rPr>
          <w:rFonts w:ascii="Times New Roman" w:hAnsi="Times New Roman" w:cs="Times New Roman"/>
          <w:spacing w:val="6"/>
          <w:sz w:val="24"/>
          <w:szCs w:val="24"/>
        </w:rPr>
        <w:t xml:space="preserve"> et le manque d’expérience du personnel des BI</w:t>
      </w:r>
      <w:r w:rsidR="006C6B64" w:rsidRPr="004502B0">
        <w:rPr>
          <w:rFonts w:ascii="Times New Roman" w:hAnsi="Times New Roman" w:cs="Times New Roman"/>
          <w:spacing w:val="6"/>
          <w:sz w:val="24"/>
          <w:szCs w:val="24"/>
        </w:rPr>
        <w:t> ;</w:t>
      </w:r>
      <w:r w:rsidRPr="004502B0">
        <w:rPr>
          <w:rFonts w:ascii="Times New Roman" w:hAnsi="Times New Roman" w:cs="Times New Roman"/>
          <w:spacing w:val="6"/>
          <w:sz w:val="24"/>
          <w:szCs w:val="24"/>
        </w:rPr>
        <w:t xml:space="preserve"> ce qui rend difficile la tâche</w:t>
      </w:r>
      <w:r w:rsidR="006C6B64" w:rsidRPr="004502B0">
        <w:rPr>
          <w:rFonts w:ascii="Times New Roman" w:hAnsi="Times New Roman" w:cs="Times New Roman"/>
          <w:spacing w:val="6"/>
          <w:sz w:val="24"/>
          <w:szCs w:val="24"/>
        </w:rPr>
        <w:t xml:space="preserve"> du suivi des projets investis.</w:t>
      </w:r>
    </w:p>
    <w:p w14:paraId="7C8EAB09" w14:textId="77777777" w:rsidR="002760B2" w:rsidRPr="004502B0" w:rsidRDefault="002760B2" w:rsidP="00CB0FF1">
      <w:pPr>
        <w:pStyle w:val="Paragraphedeliste"/>
        <w:numPr>
          <w:ilvl w:val="0"/>
          <w:numId w:val="67"/>
        </w:numPr>
        <w:tabs>
          <w:tab w:val="left" w:pos="0"/>
        </w:tabs>
        <w:spacing w:before="120" w:after="120" w:line="300" w:lineRule="auto"/>
        <w:ind w:left="1135" w:hanging="284"/>
        <w:contextualSpacing w:val="0"/>
        <w:rPr>
          <w:rFonts w:ascii="Times New Roman" w:hAnsi="Times New Roman" w:cs="Times New Roman"/>
          <w:color w:val="000000"/>
          <w:spacing w:val="6"/>
          <w:sz w:val="24"/>
          <w:szCs w:val="24"/>
        </w:rPr>
      </w:pPr>
      <w:r w:rsidRPr="004502B0">
        <w:rPr>
          <w:rFonts w:ascii="Times New Roman" w:hAnsi="Times New Roman" w:cs="Times New Roman"/>
          <w:spacing w:val="6"/>
          <w:sz w:val="24"/>
          <w:szCs w:val="24"/>
        </w:rPr>
        <w:t xml:space="preserve">Alors que pour le </w:t>
      </w:r>
      <w:r w:rsidRPr="004502B0">
        <w:rPr>
          <w:rFonts w:ascii="Times New Roman" w:hAnsi="Times New Roman" w:cs="Times New Roman"/>
          <w:b/>
          <w:bCs/>
          <w:spacing w:val="6"/>
          <w:sz w:val="24"/>
          <w:szCs w:val="24"/>
        </w:rPr>
        <w:t>risque juridique</w:t>
      </w:r>
      <w:r w:rsidRPr="004502B0">
        <w:rPr>
          <w:rFonts w:ascii="Times New Roman" w:hAnsi="Times New Roman" w:cs="Times New Roman"/>
          <w:spacing w:val="6"/>
          <w:sz w:val="24"/>
          <w:szCs w:val="24"/>
        </w:rPr>
        <w:t xml:space="preserve">, il est dû aux </w:t>
      </w:r>
      <w:r w:rsidRPr="004502B0">
        <w:rPr>
          <w:rFonts w:ascii="Times New Roman" w:hAnsi="Times New Roman" w:cs="Times New Roman"/>
          <w:color w:val="000000"/>
          <w:spacing w:val="6"/>
          <w:sz w:val="24"/>
          <w:szCs w:val="24"/>
        </w:rPr>
        <w:t xml:space="preserve">inadaptations des textes législatifs et réglementaires à la nature du contrat </w:t>
      </w:r>
      <w:r w:rsidR="00426F0F" w:rsidRPr="004502B0">
        <w:rPr>
          <w:rFonts w:ascii="Times New Roman" w:hAnsi="Times New Roman" w:cs="Times New Roman"/>
          <w:i/>
          <w:iCs/>
          <w:color w:val="000000"/>
          <w:spacing w:val="6"/>
          <w:sz w:val="24"/>
          <w:szCs w:val="24"/>
        </w:rPr>
        <w:t>m</w:t>
      </w:r>
      <w:r w:rsidRPr="004502B0">
        <w:rPr>
          <w:rFonts w:ascii="Times New Roman" w:hAnsi="Times New Roman" w:cs="Times New Roman"/>
          <w:i/>
          <w:iCs/>
          <w:color w:val="000000"/>
          <w:spacing w:val="6"/>
          <w:sz w:val="24"/>
          <w:szCs w:val="24"/>
        </w:rPr>
        <w:t>oucharaka</w:t>
      </w:r>
      <w:r w:rsidRPr="004502B0">
        <w:rPr>
          <w:rFonts w:ascii="Times New Roman" w:hAnsi="Times New Roman" w:cs="Times New Roman"/>
          <w:color w:val="000000"/>
          <w:spacing w:val="6"/>
          <w:sz w:val="24"/>
          <w:szCs w:val="24"/>
        </w:rPr>
        <w:t>.</w:t>
      </w:r>
    </w:p>
    <w:p w14:paraId="08447747" w14:textId="77777777" w:rsidR="00CA51A4" w:rsidRPr="0052562C" w:rsidRDefault="00245F45" w:rsidP="0052562C">
      <w:pPr>
        <w:pStyle w:val="Titre5"/>
        <w:spacing w:before="120" w:after="120" w:line="300" w:lineRule="auto"/>
        <w:ind w:firstLine="709"/>
        <w:rPr>
          <w:rFonts w:asciiTheme="majorBidi" w:hAnsiTheme="majorBidi"/>
          <w:b/>
          <w:bCs/>
          <w:color w:val="auto"/>
          <w:sz w:val="24"/>
          <w:szCs w:val="24"/>
        </w:rPr>
      </w:pPr>
      <w:bookmarkStart w:id="1619" w:name="_Toc182298908"/>
      <w:r w:rsidRPr="0052562C">
        <w:rPr>
          <w:rFonts w:asciiTheme="majorBidi" w:hAnsiTheme="majorBidi"/>
          <w:b/>
          <w:bCs/>
          <w:color w:val="auto"/>
          <w:sz w:val="24"/>
          <w:szCs w:val="24"/>
        </w:rPr>
        <w:t>2</w:t>
      </w:r>
      <w:r w:rsidR="00CA51A4" w:rsidRPr="0052562C">
        <w:rPr>
          <w:rFonts w:asciiTheme="majorBidi" w:hAnsiTheme="majorBidi"/>
          <w:b/>
          <w:bCs/>
          <w:color w:val="auto"/>
          <w:sz w:val="24"/>
          <w:szCs w:val="24"/>
        </w:rPr>
        <w:t>.1.4.2</w:t>
      </w:r>
      <w:r w:rsidR="007C0360" w:rsidRPr="0052562C">
        <w:rPr>
          <w:rFonts w:asciiTheme="majorBidi" w:hAnsiTheme="majorBidi"/>
          <w:b/>
          <w:bCs/>
          <w:color w:val="auto"/>
          <w:sz w:val="24"/>
          <w:szCs w:val="24"/>
        </w:rPr>
        <w:t>-</w:t>
      </w:r>
      <w:r w:rsidR="002760B2" w:rsidRPr="0052562C">
        <w:rPr>
          <w:rFonts w:asciiTheme="majorBidi" w:hAnsiTheme="majorBidi"/>
          <w:b/>
          <w:bCs/>
          <w:color w:val="auto"/>
          <w:sz w:val="24"/>
          <w:szCs w:val="24"/>
        </w:rPr>
        <w:t xml:space="preserve"> </w:t>
      </w:r>
      <w:r w:rsidR="00CA51A4" w:rsidRPr="0052562C">
        <w:rPr>
          <w:rFonts w:asciiTheme="majorBidi" w:hAnsiTheme="majorBidi"/>
          <w:b/>
          <w:bCs/>
          <w:i/>
          <w:iCs/>
          <w:color w:val="auto"/>
          <w:sz w:val="24"/>
          <w:szCs w:val="24"/>
        </w:rPr>
        <w:t>M</w:t>
      </w:r>
      <w:r w:rsidR="004A4E16" w:rsidRPr="0052562C">
        <w:rPr>
          <w:rFonts w:asciiTheme="majorBidi" w:hAnsiTheme="majorBidi"/>
          <w:b/>
          <w:bCs/>
          <w:i/>
          <w:iCs/>
          <w:color w:val="auto"/>
          <w:sz w:val="24"/>
          <w:szCs w:val="24"/>
        </w:rPr>
        <w:t>oudaraba</w:t>
      </w:r>
      <w:bookmarkEnd w:id="1619"/>
    </w:p>
    <w:p w14:paraId="45A08DC6" w14:textId="77777777" w:rsidR="007C0360" w:rsidRPr="002B005F" w:rsidRDefault="00CA51A4" w:rsidP="00CA51A4">
      <w:pPr>
        <w:tabs>
          <w:tab w:val="left" w:pos="0"/>
        </w:tabs>
        <w:spacing w:before="120" w:after="120" w:line="300" w:lineRule="auto"/>
        <w:ind w:firstLine="709"/>
        <w:rPr>
          <w:rFonts w:ascii="Times New Roman" w:hAnsi="Times New Roman" w:cs="Times New Roman"/>
          <w:color w:val="000000"/>
          <w:sz w:val="24"/>
          <w:szCs w:val="24"/>
        </w:rPr>
      </w:pPr>
      <w:r w:rsidRPr="002B005F">
        <w:rPr>
          <w:rFonts w:ascii="Times New Roman" w:hAnsi="Times New Roman" w:cs="Times New Roman"/>
          <w:color w:val="000000"/>
          <w:sz w:val="24"/>
          <w:szCs w:val="24"/>
        </w:rPr>
        <w:t>Le</w:t>
      </w:r>
      <w:r w:rsidR="002760B2" w:rsidRPr="002B005F">
        <w:rPr>
          <w:rFonts w:ascii="Times New Roman" w:hAnsi="Times New Roman" w:cs="Times New Roman"/>
          <w:color w:val="000000"/>
          <w:sz w:val="24"/>
          <w:szCs w:val="24"/>
        </w:rPr>
        <w:t xml:space="preserve"> tableau </w:t>
      </w:r>
      <w:r w:rsidR="00FE6B7F" w:rsidRPr="002B005F">
        <w:rPr>
          <w:rFonts w:ascii="Times New Roman" w:hAnsi="Times New Roman" w:cs="Times New Roman"/>
          <w:color w:val="000000"/>
          <w:sz w:val="24"/>
          <w:szCs w:val="24"/>
        </w:rPr>
        <w:t>17</w:t>
      </w:r>
      <w:r w:rsidR="002760B2" w:rsidRPr="002B005F">
        <w:rPr>
          <w:rFonts w:ascii="Times New Roman" w:hAnsi="Times New Roman" w:cs="Times New Roman"/>
          <w:color w:val="000000"/>
          <w:sz w:val="24"/>
          <w:szCs w:val="24"/>
        </w:rPr>
        <w:t xml:space="preserve"> montre que le risque le plus important qui découle du contrat </w:t>
      </w:r>
      <w:r w:rsidR="007C0360" w:rsidRPr="002B005F">
        <w:rPr>
          <w:rFonts w:ascii="Times New Roman" w:hAnsi="Times New Roman" w:cs="Times New Roman"/>
          <w:i/>
          <w:iCs/>
          <w:color w:val="000000"/>
          <w:sz w:val="24"/>
          <w:szCs w:val="24"/>
        </w:rPr>
        <w:t>m</w:t>
      </w:r>
      <w:r w:rsidR="004A4E16" w:rsidRPr="002B005F">
        <w:rPr>
          <w:rFonts w:ascii="Times New Roman" w:hAnsi="Times New Roman" w:cs="Times New Roman"/>
          <w:i/>
          <w:iCs/>
          <w:color w:val="000000"/>
          <w:sz w:val="24"/>
          <w:szCs w:val="24"/>
        </w:rPr>
        <w:t>oudaraba</w:t>
      </w:r>
      <w:r w:rsidR="002760B2" w:rsidRPr="002B005F">
        <w:rPr>
          <w:rFonts w:ascii="Times New Roman" w:hAnsi="Times New Roman" w:cs="Times New Roman"/>
          <w:color w:val="000000"/>
          <w:sz w:val="24"/>
          <w:szCs w:val="24"/>
        </w:rPr>
        <w:t xml:space="preserve"> est le risque commercial déplacé (3.84) suivi par le risque juridique (3.50) et le risque de contrepartie (3.25). </w:t>
      </w:r>
    </w:p>
    <w:p w14:paraId="3B6BBA80" w14:textId="77777777" w:rsidR="007C0360" w:rsidRPr="002B005F" w:rsidRDefault="002760B2" w:rsidP="00CB0FF1">
      <w:pPr>
        <w:pStyle w:val="Paragraphedeliste"/>
        <w:numPr>
          <w:ilvl w:val="0"/>
          <w:numId w:val="68"/>
        </w:numPr>
        <w:tabs>
          <w:tab w:val="left" w:pos="0"/>
        </w:tabs>
        <w:spacing w:before="120" w:after="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color w:val="000000"/>
          <w:sz w:val="24"/>
          <w:szCs w:val="24"/>
        </w:rPr>
        <w:t xml:space="preserve">La moyenne élevée du </w:t>
      </w:r>
      <w:r w:rsidRPr="002B005F">
        <w:rPr>
          <w:rFonts w:ascii="Times New Roman" w:hAnsi="Times New Roman" w:cs="Times New Roman"/>
          <w:b/>
          <w:bCs/>
          <w:color w:val="000000"/>
          <w:sz w:val="24"/>
          <w:szCs w:val="24"/>
        </w:rPr>
        <w:t>risque commercial déplacé</w:t>
      </w:r>
      <w:r w:rsidR="00426F0F" w:rsidRPr="002B005F">
        <w:rPr>
          <w:rFonts w:ascii="Times New Roman" w:hAnsi="Times New Roman" w:cs="Times New Roman"/>
          <w:color w:val="000000"/>
          <w:sz w:val="24"/>
          <w:szCs w:val="24"/>
        </w:rPr>
        <w:t xml:space="preserve"> est surement </w:t>
      </w:r>
      <w:r w:rsidRPr="002B005F">
        <w:rPr>
          <w:rFonts w:ascii="Times New Roman" w:hAnsi="Times New Roman" w:cs="Times New Roman"/>
          <w:color w:val="000000"/>
          <w:sz w:val="24"/>
          <w:szCs w:val="24"/>
        </w:rPr>
        <w:t xml:space="preserve">dû à l’effet de lissage </w:t>
      </w:r>
      <w:r w:rsidRPr="002B005F">
        <w:rPr>
          <w:rFonts w:ascii="Times New Roman" w:hAnsi="Times New Roman" w:cs="Times New Roman"/>
          <w:sz w:val="24"/>
          <w:szCs w:val="24"/>
        </w:rPr>
        <w:t xml:space="preserve">des taux de rendement sur les comptes d’investissement participatifs sur la base </w:t>
      </w:r>
      <w:r w:rsidR="00426F0F" w:rsidRPr="002B005F">
        <w:rPr>
          <w:rFonts w:ascii="Times New Roman" w:hAnsi="Times New Roman" w:cs="Times New Roman"/>
          <w:i/>
          <w:iCs/>
          <w:sz w:val="24"/>
          <w:szCs w:val="24"/>
        </w:rPr>
        <w:t>m</w:t>
      </w:r>
      <w:r w:rsidR="004A4E16" w:rsidRPr="002B005F">
        <w:rPr>
          <w:rFonts w:ascii="Times New Roman" w:hAnsi="Times New Roman" w:cs="Times New Roman"/>
          <w:i/>
          <w:iCs/>
          <w:sz w:val="24"/>
          <w:szCs w:val="24"/>
        </w:rPr>
        <w:t>oudaraba</w:t>
      </w:r>
      <w:r w:rsidRPr="002B005F">
        <w:rPr>
          <w:rFonts w:ascii="Times New Roman" w:hAnsi="Times New Roman" w:cs="Times New Roman"/>
          <w:sz w:val="24"/>
          <w:szCs w:val="24"/>
        </w:rPr>
        <w:t xml:space="preserve">. </w:t>
      </w:r>
      <w:r w:rsidRPr="002B005F">
        <w:rPr>
          <w:rFonts w:ascii="Times New Roman" w:hAnsi="Times New Roman" w:cs="Times New Roman"/>
          <w:color w:val="000000"/>
          <w:sz w:val="24"/>
          <w:szCs w:val="24"/>
        </w:rPr>
        <w:t xml:space="preserve">Comme nous l’avons indiqué dans les chapitres précédents, ces comptes basés sur la </w:t>
      </w:r>
      <w:r w:rsidR="00426F0F" w:rsidRPr="002B005F">
        <w:rPr>
          <w:rFonts w:ascii="Times New Roman" w:hAnsi="Times New Roman" w:cs="Times New Roman"/>
          <w:i/>
          <w:iCs/>
          <w:color w:val="000000"/>
          <w:sz w:val="24"/>
          <w:szCs w:val="24"/>
        </w:rPr>
        <w:t>m</w:t>
      </w:r>
      <w:r w:rsidR="004A4E16" w:rsidRPr="002B005F">
        <w:rPr>
          <w:rFonts w:ascii="Times New Roman" w:hAnsi="Times New Roman" w:cs="Times New Roman"/>
          <w:i/>
          <w:iCs/>
          <w:color w:val="000000"/>
          <w:sz w:val="24"/>
          <w:szCs w:val="24"/>
        </w:rPr>
        <w:t>oudaraba</w:t>
      </w:r>
      <w:r w:rsidRPr="002B005F">
        <w:rPr>
          <w:rFonts w:ascii="Times New Roman" w:hAnsi="Times New Roman" w:cs="Times New Roman"/>
          <w:i/>
          <w:iCs/>
          <w:color w:val="000000"/>
          <w:sz w:val="24"/>
          <w:szCs w:val="24"/>
        </w:rPr>
        <w:t xml:space="preserve"> </w:t>
      </w:r>
      <w:r w:rsidRPr="002B005F">
        <w:rPr>
          <w:rFonts w:ascii="Times New Roman" w:hAnsi="Times New Roman" w:cs="Times New Roman"/>
          <w:color w:val="000000"/>
          <w:sz w:val="24"/>
          <w:szCs w:val="24"/>
        </w:rPr>
        <w:t xml:space="preserve">peuvent créer une pression commerciale entre les BI et leurs consœurs conventionnelles. Ce qui pousse les BI à </w:t>
      </w:r>
      <w:r w:rsidRPr="002B005F">
        <w:rPr>
          <w:rFonts w:ascii="Times New Roman" w:hAnsi="Times New Roman" w:cs="Times New Roman"/>
          <w:sz w:val="24"/>
          <w:szCs w:val="24"/>
        </w:rPr>
        <w:t xml:space="preserve">absorber les pertes, pour s’assurer que les titulaires des comptes d’investissement participatifs sont rémunérés à un taux de rendement équivalent à un taux compétitif. </w:t>
      </w:r>
    </w:p>
    <w:p w14:paraId="2EDE849C" w14:textId="77777777" w:rsidR="007C0360" w:rsidRPr="002B005F" w:rsidRDefault="002760B2" w:rsidP="00CB0FF1">
      <w:pPr>
        <w:pStyle w:val="Paragraphedeliste"/>
        <w:numPr>
          <w:ilvl w:val="0"/>
          <w:numId w:val="68"/>
        </w:numPr>
        <w:tabs>
          <w:tab w:val="left" w:pos="0"/>
        </w:tabs>
        <w:spacing w:before="120" w:after="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Pour le </w:t>
      </w:r>
      <w:r w:rsidRPr="002B005F">
        <w:rPr>
          <w:rFonts w:ascii="Times New Roman" w:hAnsi="Times New Roman" w:cs="Times New Roman"/>
          <w:b/>
          <w:bCs/>
          <w:sz w:val="24"/>
          <w:szCs w:val="24"/>
        </w:rPr>
        <w:t>risque juridique</w:t>
      </w:r>
      <w:r w:rsidRPr="002B005F">
        <w:rPr>
          <w:rFonts w:ascii="Times New Roman" w:hAnsi="Times New Roman" w:cs="Times New Roman"/>
          <w:sz w:val="24"/>
          <w:szCs w:val="24"/>
        </w:rPr>
        <w:t xml:space="preserve">, il est assez important à cause des problèmes précités plus hauts et qui concernent les obstacles règlementaires et l’incapacité des praticiens bancaires </w:t>
      </w:r>
      <w:r w:rsidR="00A5419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à évaluer techniquemen</w:t>
      </w:r>
      <w:r w:rsidR="007C0360" w:rsidRPr="002B005F">
        <w:rPr>
          <w:rFonts w:ascii="Times New Roman" w:hAnsi="Times New Roman" w:cs="Times New Roman"/>
          <w:sz w:val="24"/>
          <w:szCs w:val="24"/>
        </w:rPr>
        <w:t>t les projets d’investissement.</w:t>
      </w:r>
    </w:p>
    <w:p w14:paraId="299232C9" w14:textId="77777777" w:rsidR="002760B2" w:rsidRPr="002B005F" w:rsidRDefault="002760B2" w:rsidP="00CB0FF1">
      <w:pPr>
        <w:pStyle w:val="Paragraphedeliste"/>
        <w:numPr>
          <w:ilvl w:val="0"/>
          <w:numId w:val="68"/>
        </w:numPr>
        <w:tabs>
          <w:tab w:val="left" w:pos="0"/>
        </w:tabs>
        <w:spacing w:before="120" w:after="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Alors que pour </w:t>
      </w:r>
      <w:r w:rsidRPr="002B005F">
        <w:rPr>
          <w:rFonts w:ascii="Times New Roman" w:hAnsi="Times New Roman" w:cs="Times New Roman"/>
          <w:b/>
          <w:bCs/>
          <w:sz w:val="24"/>
          <w:szCs w:val="24"/>
        </w:rPr>
        <w:t>le risque de contrepartie</w:t>
      </w:r>
      <w:r w:rsidRPr="002B005F">
        <w:rPr>
          <w:rFonts w:ascii="Times New Roman" w:hAnsi="Times New Roman" w:cs="Times New Roman"/>
          <w:sz w:val="24"/>
          <w:szCs w:val="24"/>
        </w:rPr>
        <w:t xml:space="preserve">, le contrat </w:t>
      </w:r>
      <w:r w:rsidR="00426F0F" w:rsidRPr="002B005F">
        <w:rPr>
          <w:rFonts w:ascii="Times New Roman" w:hAnsi="Times New Roman" w:cs="Times New Roman"/>
          <w:i/>
          <w:iCs/>
          <w:sz w:val="24"/>
          <w:szCs w:val="24"/>
        </w:rPr>
        <w:t>m</w:t>
      </w:r>
      <w:r w:rsidR="004A4E16" w:rsidRPr="002B005F">
        <w:rPr>
          <w:rFonts w:ascii="Times New Roman" w:hAnsi="Times New Roman" w:cs="Times New Roman"/>
          <w:i/>
          <w:iCs/>
          <w:sz w:val="24"/>
          <w:szCs w:val="24"/>
        </w:rPr>
        <w:t>oudaraba</w:t>
      </w:r>
      <w:r w:rsidRPr="002B005F">
        <w:rPr>
          <w:rFonts w:ascii="Times New Roman" w:hAnsi="Times New Roman" w:cs="Times New Roman"/>
          <w:i/>
          <w:iCs/>
          <w:sz w:val="24"/>
          <w:szCs w:val="24"/>
        </w:rPr>
        <w:t xml:space="preserve"> </w:t>
      </w:r>
      <w:r w:rsidRPr="002B005F">
        <w:rPr>
          <w:rFonts w:ascii="Times New Roman" w:hAnsi="Times New Roman" w:cs="Times New Roman"/>
          <w:sz w:val="24"/>
          <w:szCs w:val="24"/>
        </w:rPr>
        <w:t>peut engendrer des pertes pour la BI en cas de non-paiement des parts revenant à la banque.</w:t>
      </w:r>
    </w:p>
    <w:p w14:paraId="68B301E3" w14:textId="77777777" w:rsidR="00CA51A4" w:rsidRPr="0052562C" w:rsidRDefault="00245F45" w:rsidP="00D66FFE">
      <w:pPr>
        <w:pStyle w:val="Titre5"/>
        <w:keepNext w:val="0"/>
        <w:keepLines w:val="0"/>
        <w:spacing w:before="120" w:after="120" w:line="300" w:lineRule="auto"/>
        <w:ind w:firstLine="709"/>
        <w:rPr>
          <w:rFonts w:asciiTheme="majorBidi" w:hAnsiTheme="majorBidi"/>
          <w:b/>
          <w:bCs/>
          <w:color w:val="auto"/>
          <w:sz w:val="24"/>
          <w:szCs w:val="24"/>
        </w:rPr>
      </w:pPr>
      <w:bookmarkStart w:id="1620" w:name="_Toc182298909"/>
      <w:r w:rsidRPr="0052562C">
        <w:rPr>
          <w:rFonts w:asciiTheme="majorBidi" w:hAnsiTheme="majorBidi"/>
          <w:b/>
          <w:bCs/>
          <w:color w:val="auto"/>
          <w:sz w:val="24"/>
          <w:szCs w:val="24"/>
        </w:rPr>
        <w:t>2</w:t>
      </w:r>
      <w:r w:rsidR="00CA51A4" w:rsidRPr="0052562C">
        <w:rPr>
          <w:rFonts w:asciiTheme="majorBidi" w:hAnsiTheme="majorBidi"/>
          <w:b/>
          <w:bCs/>
          <w:color w:val="auto"/>
          <w:sz w:val="24"/>
          <w:szCs w:val="24"/>
        </w:rPr>
        <w:t xml:space="preserve">.1.4.3- </w:t>
      </w:r>
      <w:r w:rsidR="00CA51A4" w:rsidRPr="0052562C">
        <w:rPr>
          <w:rFonts w:asciiTheme="majorBidi" w:hAnsiTheme="majorBidi"/>
          <w:b/>
          <w:bCs/>
          <w:i/>
          <w:iCs/>
          <w:color w:val="auto"/>
          <w:sz w:val="24"/>
          <w:szCs w:val="24"/>
        </w:rPr>
        <w:t>M</w:t>
      </w:r>
      <w:r w:rsidR="002760B2" w:rsidRPr="0052562C">
        <w:rPr>
          <w:rFonts w:asciiTheme="majorBidi" w:hAnsiTheme="majorBidi"/>
          <w:b/>
          <w:bCs/>
          <w:i/>
          <w:iCs/>
          <w:color w:val="auto"/>
          <w:sz w:val="24"/>
          <w:szCs w:val="24"/>
        </w:rPr>
        <w:t>ourabaha</w:t>
      </w:r>
      <w:bookmarkEnd w:id="1620"/>
    </w:p>
    <w:p w14:paraId="365C5C7F" w14:textId="77777777" w:rsidR="007C0360" w:rsidRPr="002B005F" w:rsidRDefault="00245F45" w:rsidP="00D66FFE">
      <w:pPr>
        <w:tabs>
          <w:tab w:val="left" w:pos="0"/>
        </w:tabs>
        <w:spacing w:before="120" w:after="120" w:line="300" w:lineRule="auto"/>
        <w:ind w:firstLine="709"/>
        <w:rPr>
          <w:rFonts w:ascii="Times New Roman" w:hAnsi="Times New Roman" w:cs="Times New Roman"/>
          <w:sz w:val="24"/>
          <w:szCs w:val="24"/>
        </w:rPr>
      </w:pPr>
      <w:r>
        <w:rPr>
          <w:rFonts w:ascii="Times New Roman" w:hAnsi="Times New Roman" w:cs="Times New Roman"/>
          <w:sz w:val="24"/>
          <w:szCs w:val="24"/>
        </w:rPr>
        <w:t>Nous remarquons</w:t>
      </w:r>
      <w:r w:rsidR="002760B2" w:rsidRPr="002B005F">
        <w:rPr>
          <w:rFonts w:ascii="Times New Roman" w:hAnsi="Times New Roman" w:cs="Times New Roman"/>
          <w:sz w:val="24"/>
          <w:szCs w:val="24"/>
        </w:rPr>
        <w:t xml:space="preserve"> du tableau 17 qu’il est peu risqué par rapport aux autres contrats financiers </w:t>
      </w:r>
      <w:r w:rsidR="00A5419D">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760B2" w:rsidRPr="002B005F">
        <w:rPr>
          <w:rFonts w:ascii="Times New Roman" w:hAnsi="Times New Roman" w:cs="Times New Roman"/>
          <w:sz w:val="24"/>
          <w:szCs w:val="24"/>
        </w:rPr>
        <w:t xml:space="preserve">s. </w:t>
      </w:r>
    </w:p>
    <w:p w14:paraId="105557B8" w14:textId="77777777" w:rsidR="007C0360" w:rsidRPr="0052562C" w:rsidRDefault="002760B2" w:rsidP="00CB0FF1">
      <w:pPr>
        <w:pStyle w:val="Paragraphedeliste"/>
        <w:numPr>
          <w:ilvl w:val="0"/>
          <w:numId w:val="69"/>
        </w:numPr>
        <w:tabs>
          <w:tab w:val="left" w:pos="0"/>
        </w:tabs>
        <w:spacing w:before="120" w:after="120" w:line="300" w:lineRule="auto"/>
        <w:ind w:left="1135" w:hanging="284"/>
        <w:contextualSpacing w:val="0"/>
        <w:rPr>
          <w:rFonts w:ascii="Times New Roman" w:hAnsi="Times New Roman" w:cs="Times New Roman"/>
          <w:color w:val="000000"/>
          <w:spacing w:val="4"/>
          <w:sz w:val="24"/>
          <w:szCs w:val="24"/>
        </w:rPr>
      </w:pPr>
      <w:r w:rsidRPr="0052562C">
        <w:rPr>
          <w:rFonts w:ascii="Times New Roman" w:hAnsi="Times New Roman" w:cs="Times New Roman"/>
          <w:spacing w:val="4"/>
          <w:sz w:val="24"/>
          <w:szCs w:val="24"/>
        </w:rPr>
        <w:t xml:space="preserve">Le risque le plus remarquable lié à ce contrat est le risque de contrepartie (3). </w:t>
      </w:r>
      <w:r w:rsidR="007C0360" w:rsidRPr="0052562C">
        <w:rPr>
          <w:rFonts w:ascii="Times New Roman" w:hAnsi="Times New Roman" w:cs="Times New Roman"/>
          <w:color w:val="000000"/>
          <w:spacing w:val="4"/>
          <w:sz w:val="24"/>
          <w:szCs w:val="24"/>
        </w:rPr>
        <w:t>Cela</w:t>
      </w:r>
      <w:r w:rsidRPr="0052562C">
        <w:rPr>
          <w:rFonts w:ascii="Times New Roman" w:hAnsi="Times New Roman" w:cs="Times New Roman"/>
          <w:color w:val="000000"/>
          <w:spacing w:val="4"/>
          <w:sz w:val="24"/>
          <w:szCs w:val="24"/>
        </w:rPr>
        <w:t xml:space="preserve"> se pose lorsque la contrepartie ne respecte </w:t>
      </w:r>
      <w:r w:rsidR="000F4546" w:rsidRPr="0052562C">
        <w:rPr>
          <w:rFonts w:ascii="Times New Roman" w:hAnsi="Times New Roman" w:cs="Times New Roman"/>
          <w:color w:val="000000"/>
          <w:spacing w:val="4"/>
          <w:sz w:val="24"/>
          <w:szCs w:val="24"/>
        </w:rPr>
        <w:t xml:space="preserve">pas les échéances et puisque la banque </w:t>
      </w:r>
      <w:r w:rsidR="00A5419D" w:rsidRPr="0052562C">
        <w:rPr>
          <w:rFonts w:ascii="Times New Roman" w:hAnsi="Times New Roman" w:cs="Times New Roman"/>
          <w:color w:val="000000"/>
          <w:spacing w:val="4"/>
          <w:sz w:val="24"/>
          <w:szCs w:val="24"/>
        </w:rPr>
        <w:t>i</w:t>
      </w:r>
      <w:r w:rsidR="003773C6" w:rsidRPr="0052562C">
        <w:rPr>
          <w:rFonts w:ascii="Times New Roman" w:hAnsi="Times New Roman" w:cs="Times New Roman"/>
          <w:color w:val="000000"/>
          <w:spacing w:val="4"/>
          <w:sz w:val="24"/>
          <w:szCs w:val="24"/>
        </w:rPr>
        <w:t>slamique</w:t>
      </w:r>
      <w:r w:rsidR="000F4546" w:rsidRPr="0052562C">
        <w:rPr>
          <w:rFonts w:ascii="Times New Roman" w:hAnsi="Times New Roman" w:cs="Times New Roman"/>
          <w:color w:val="000000"/>
          <w:spacing w:val="4"/>
          <w:sz w:val="24"/>
          <w:szCs w:val="24"/>
        </w:rPr>
        <w:t xml:space="preserve"> ne peu</w:t>
      </w:r>
      <w:r w:rsidRPr="0052562C">
        <w:rPr>
          <w:rFonts w:ascii="Times New Roman" w:hAnsi="Times New Roman" w:cs="Times New Roman"/>
          <w:color w:val="000000"/>
          <w:spacing w:val="4"/>
          <w:sz w:val="24"/>
          <w:szCs w:val="24"/>
        </w:rPr>
        <w:t>t, en principe, augmenter d'aucun surplus c'est-à-dire une augmentation du taux d'intérêt, ce retard de paiement peut causer des pertes pour la banque.</w:t>
      </w:r>
    </w:p>
    <w:p w14:paraId="3512F0AE" w14:textId="77777777" w:rsidR="002760B2" w:rsidRPr="0052562C" w:rsidRDefault="002760B2" w:rsidP="00CB0FF1">
      <w:pPr>
        <w:pStyle w:val="Paragraphedeliste"/>
        <w:numPr>
          <w:ilvl w:val="0"/>
          <w:numId w:val="69"/>
        </w:numPr>
        <w:tabs>
          <w:tab w:val="left" w:pos="0"/>
        </w:tabs>
        <w:spacing w:before="120" w:after="120" w:line="300" w:lineRule="auto"/>
        <w:ind w:left="1135" w:hanging="284"/>
        <w:contextualSpacing w:val="0"/>
        <w:rPr>
          <w:rFonts w:ascii="Times New Roman" w:hAnsi="Times New Roman" w:cs="Times New Roman"/>
          <w:color w:val="000000"/>
          <w:spacing w:val="4"/>
          <w:sz w:val="24"/>
          <w:szCs w:val="24"/>
        </w:rPr>
      </w:pPr>
      <w:r w:rsidRPr="0052562C">
        <w:rPr>
          <w:rFonts w:ascii="Times New Roman" w:hAnsi="Times New Roman" w:cs="Times New Roman"/>
          <w:color w:val="000000"/>
          <w:spacing w:val="4"/>
          <w:sz w:val="24"/>
          <w:szCs w:val="24"/>
        </w:rPr>
        <w:t>Ainsi, le risque de marché présentant une moyenne de (2.7) peut être un risque de taux de rendement si le taux de rendement de l'opération est différent d</w:t>
      </w:r>
      <w:r w:rsidR="00426F0F" w:rsidRPr="0052562C">
        <w:rPr>
          <w:rFonts w:ascii="Times New Roman" w:hAnsi="Times New Roman" w:cs="Times New Roman"/>
          <w:color w:val="000000"/>
          <w:spacing w:val="4"/>
          <w:sz w:val="24"/>
          <w:szCs w:val="24"/>
        </w:rPr>
        <w:t>u taux de référence (b</w:t>
      </w:r>
      <w:r w:rsidR="00183B5B" w:rsidRPr="0052562C">
        <w:rPr>
          <w:rFonts w:ascii="Times New Roman" w:hAnsi="Times New Roman" w:cs="Times New Roman"/>
          <w:color w:val="000000"/>
          <w:spacing w:val="4"/>
          <w:sz w:val="24"/>
          <w:szCs w:val="24"/>
        </w:rPr>
        <w:t>enchmark) actuel ;</w:t>
      </w:r>
      <w:r w:rsidRPr="0052562C">
        <w:rPr>
          <w:rFonts w:ascii="Times New Roman" w:hAnsi="Times New Roman" w:cs="Times New Roman"/>
          <w:color w:val="000000"/>
          <w:spacing w:val="4"/>
          <w:sz w:val="24"/>
          <w:szCs w:val="24"/>
        </w:rPr>
        <w:t xml:space="preserve"> alors il y a possibilité de pertes financières pour la BI.</w:t>
      </w:r>
    </w:p>
    <w:p w14:paraId="32A81DF3" w14:textId="77777777" w:rsidR="00AE2A4E" w:rsidRPr="0052562C" w:rsidRDefault="006A69AC" w:rsidP="00CB0FF1">
      <w:pPr>
        <w:pStyle w:val="Titre5"/>
        <w:keepNext w:val="0"/>
        <w:keepLines w:val="0"/>
        <w:numPr>
          <w:ilvl w:val="4"/>
          <w:numId w:val="120"/>
        </w:numPr>
        <w:spacing w:before="120" w:after="120" w:line="300" w:lineRule="auto"/>
        <w:ind w:left="1010" w:hanging="301"/>
        <w:rPr>
          <w:rFonts w:asciiTheme="majorBidi" w:hAnsiTheme="majorBidi"/>
          <w:b/>
          <w:bCs/>
          <w:color w:val="auto"/>
          <w:sz w:val="24"/>
          <w:szCs w:val="24"/>
        </w:rPr>
      </w:pPr>
      <w:bookmarkStart w:id="1621" w:name="_Toc182298910"/>
      <w:r>
        <w:rPr>
          <w:rFonts w:asciiTheme="majorBidi" w:hAnsiTheme="majorBidi"/>
          <w:b/>
          <w:bCs/>
          <w:color w:val="auto"/>
          <w:sz w:val="24"/>
          <w:szCs w:val="24"/>
        </w:rPr>
        <w:t xml:space="preserve">- </w:t>
      </w:r>
      <w:r w:rsidR="00AE2A4E" w:rsidRPr="002F46C1">
        <w:rPr>
          <w:rFonts w:asciiTheme="majorBidi" w:hAnsiTheme="majorBidi"/>
          <w:b/>
          <w:bCs/>
          <w:i/>
          <w:iCs/>
          <w:color w:val="auto"/>
          <w:sz w:val="24"/>
          <w:szCs w:val="24"/>
        </w:rPr>
        <w:t>S</w:t>
      </w:r>
      <w:r w:rsidR="002760B2" w:rsidRPr="002F46C1">
        <w:rPr>
          <w:rFonts w:asciiTheme="majorBidi" w:hAnsiTheme="majorBidi"/>
          <w:b/>
          <w:bCs/>
          <w:i/>
          <w:iCs/>
          <w:color w:val="auto"/>
          <w:sz w:val="24"/>
          <w:szCs w:val="24"/>
        </w:rPr>
        <w:t>alam</w:t>
      </w:r>
      <w:r w:rsidR="002760B2" w:rsidRPr="0052562C">
        <w:rPr>
          <w:rFonts w:asciiTheme="majorBidi" w:hAnsiTheme="majorBidi"/>
          <w:b/>
          <w:bCs/>
          <w:color w:val="auto"/>
          <w:sz w:val="24"/>
          <w:szCs w:val="24"/>
        </w:rPr>
        <w:t xml:space="preserve"> et </w:t>
      </w:r>
      <w:r w:rsidR="00426F0F" w:rsidRPr="002F46C1">
        <w:rPr>
          <w:rFonts w:asciiTheme="majorBidi" w:hAnsiTheme="majorBidi"/>
          <w:b/>
          <w:bCs/>
          <w:i/>
          <w:iCs/>
          <w:color w:val="auto"/>
          <w:sz w:val="24"/>
          <w:szCs w:val="24"/>
        </w:rPr>
        <w:t>istisna’</w:t>
      </w:r>
      <w:bookmarkEnd w:id="1621"/>
    </w:p>
    <w:p w14:paraId="7691CBD7" w14:textId="77777777" w:rsidR="007F6670" w:rsidRPr="004502B0" w:rsidRDefault="00AE2A4E" w:rsidP="006A69AC">
      <w:pPr>
        <w:tabs>
          <w:tab w:val="left" w:pos="0"/>
        </w:tabs>
        <w:spacing w:before="120" w:after="120" w:line="300" w:lineRule="auto"/>
        <w:ind w:firstLine="709"/>
        <w:rPr>
          <w:rFonts w:ascii="Times New Roman" w:hAnsi="Times New Roman" w:cs="Times New Roman"/>
          <w:color w:val="000000"/>
          <w:sz w:val="24"/>
          <w:szCs w:val="24"/>
        </w:rPr>
      </w:pPr>
      <w:r w:rsidRPr="00245F45">
        <w:rPr>
          <w:rFonts w:ascii="Times New Roman" w:hAnsi="Times New Roman" w:cs="Times New Roman"/>
          <w:color w:val="000000"/>
          <w:sz w:val="24"/>
          <w:szCs w:val="24"/>
        </w:rPr>
        <w:t>Nous</w:t>
      </w:r>
      <w:r w:rsidR="002760B2" w:rsidRPr="002B005F">
        <w:rPr>
          <w:rFonts w:ascii="Times New Roman" w:hAnsi="Times New Roman" w:cs="Times New Roman"/>
          <w:color w:val="000000"/>
          <w:sz w:val="24"/>
          <w:szCs w:val="24"/>
        </w:rPr>
        <w:t xml:space="preserve"> remarquons du tableau ci-dessus qu’ils exposent</w:t>
      </w:r>
      <w:r w:rsidR="00426F0F" w:rsidRPr="002B005F">
        <w:rPr>
          <w:rFonts w:ascii="Times New Roman" w:hAnsi="Times New Roman" w:cs="Times New Roman"/>
          <w:color w:val="000000"/>
          <w:sz w:val="24"/>
          <w:szCs w:val="24"/>
        </w:rPr>
        <w:t xml:space="preserve"> les BI à un risque de marché. </w:t>
      </w:r>
      <w:r w:rsidR="002760B2" w:rsidRPr="002B005F">
        <w:rPr>
          <w:rFonts w:ascii="Times New Roman" w:hAnsi="Times New Roman" w:cs="Times New Roman"/>
          <w:color w:val="000000"/>
          <w:sz w:val="24"/>
          <w:szCs w:val="24"/>
        </w:rPr>
        <w:t>Ce risque est surement lié aux variations des prix des matières premières qui peuvent causer des pertes pour la banque en cas où les prix des matières premières baissent a</w:t>
      </w:r>
      <w:r w:rsidR="00E70289" w:rsidRPr="002B005F">
        <w:rPr>
          <w:rFonts w:ascii="Times New Roman" w:hAnsi="Times New Roman" w:cs="Times New Roman"/>
          <w:color w:val="000000"/>
          <w:sz w:val="24"/>
          <w:szCs w:val="24"/>
        </w:rPr>
        <w:t>près conclusion de ces contrats.</w:t>
      </w:r>
    </w:p>
    <w:p w14:paraId="5245EBC5" w14:textId="68038502" w:rsidR="00356214" w:rsidRPr="002B005F" w:rsidRDefault="00DE471E" w:rsidP="004502B0">
      <w:pPr>
        <w:keepNext/>
        <w:keepLines/>
        <w:spacing w:before="100" w:beforeAutospacing="1" w:after="240" w:line="300" w:lineRule="auto"/>
        <w:jc w:val="center"/>
        <w:rPr>
          <w:rFonts w:ascii="Times New Roman" w:hAnsi="Times New Roman" w:cs="Times New Roman"/>
          <w:b/>
          <w:bCs/>
          <w:sz w:val="24"/>
          <w:szCs w:val="24"/>
        </w:rPr>
      </w:pPr>
      <w:bookmarkStart w:id="1622" w:name="_Toc115556085"/>
      <w:r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17</w:t>
      </w:r>
      <w:r w:rsidR="00B544E5" w:rsidRPr="002B005F">
        <w:rPr>
          <w:rFonts w:ascii="Times New Roman" w:hAnsi="Times New Roman" w:cs="Times New Roman"/>
          <w:b/>
          <w:bCs/>
          <w:sz w:val="24"/>
          <w:szCs w:val="24"/>
        </w:rPr>
        <w:fldChar w:fldCharType="end"/>
      </w:r>
      <w:r w:rsidR="002554F6" w:rsidRPr="002B005F">
        <w:rPr>
          <w:rFonts w:ascii="Times New Roman" w:hAnsi="Times New Roman" w:cs="Times New Roman"/>
          <w:b/>
          <w:bCs/>
          <w:sz w:val="24"/>
          <w:szCs w:val="24"/>
        </w:rPr>
        <w:t>-</w:t>
      </w:r>
      <w:r w:rsidRPr="002B005F">
        <w:rPr>
          <w:rFonts w:ascii="Times New Roman" w:hAnsi="Times New Roman" w:cs="Times New Roman"/>
          <w:b/>
          <w:bCs/>
          <w:sz w:val="24"/>
          <w:szCs w:val="24"/>
        </w:rPr>
        <w:t xml:space="preserve"> Perception de chaque risque/chaque contrat de financement</w:t>
      </w:r>
      <w:bookmarkEnd w:id="1622"/>
    </w:p>
    <w:tbl>
      <w:tblPr>
        <w:tblW w:w="907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solid" w:color="F2F2F2" w:themeColor="background1" w:themeShade="F2" w:fill="F2F2F2" w:themeFill="background1" w:themeFillShade="F2"/>
        <w:tblLayout w:type="fixed"/>
        <w:tblCellMar>
          <w:top w:w="28" w:type="dxa"/>
          <w:left w:w="28" w:type="dxa"/>
          <w:bottom w:w="28" w:type="dxa"/>
          <w:right w:w="28" w:type="dxa"/>
        </w:tblCellMar>
        <w:tblLook w:val="04A0" w:firstRow="1" w:lastRow="0" w:firstColumn="1" w:lastColumn="0" w:noHBand="0" w:noVBand="1"/>
      </w:tblPr>
      <w:tblGrid>
        <w:gridCol w:w="1644"/>
        <w:gridCol w:w="1417"/>
        <w:gridCol w:w="1077"/>
        <w:gridCol w:w="1077"/>
        <w:gridCol w:w="1418"/>
        <w:gridCol w:w="1304"/>
        <w:gridCol w:w="1134"/>
      </w:tblGrid>
      <w:tr w:rsidR="002760B2" w:rsidRPr="002B005F" w14:paraId="51A0CF0E" w14:textId="77777777" w:rsidTr="004502B0">
        <w:trPr>
          <w:trHeight w:val="737"/>
          <w:jc w:val="center"/>
        </w:trPr>
        <w:tc>
          <w:tcPr>
            <w:tcW w:w="1644" w:type="dxa"/>
            <w:shd w:val="clear" w:color="auto" w:fill="DEEAF6" w:themeFill="accent1" w:themeFillTint="33"/>
            <w:vAlign w:val="center"/>
          </w:tcPr>
          <w:p w14:paraId="5F72B75C" w14:textId="77777777" w:rsidR="002760B2" w:rsidRPr="002B005F" w:rsidRDefault="002554F6" w:rsidP="007C0360">
            <w:pPr>
              <w:keepNext/>
              <w:keepLines/>
              <w:tabs>
                <w:tab w:val="left" w:pos="0"/>
                <w:tab w:val="center" w:pos="4536"/>
              </w:tabs>
              <w:spacing w:line="360" w:lineRule="auto"/>
              <w:jc w:val="center"/>
              <w:rPr>
                <w:rFonts w:ascii="Times New Roman" w:hAnsi="Times New Roman" w:cs="Times New Roman"/>
                <w:b/>
                <w:bCs/>
                <w:sz w:val="24"/>
                <w:szCs w:val="24"/>
              </w:rPr>
            </w:pPr>
            <w:r w:rsidRPr="002B005F">
              <w:rPr>
                <w:rFonts w:ascii="Times New Roman" w:hAnsi="Times New Roman" w:cs="Times New Roman"/>
                <w:b/>
                <w:bCs/>
                <w:sz w:val="24"/>
                <w:szCs w:val="24"/>
              </w:rPr>
              <w:t>Contrat</w:t>
            </w:r>
          </w:p>
        </w:tc>
        <w:tc>
          <w:tcPr>
            <w:tcW w:w="1417" w:type="dxa"/>
            <w:shd w:val="clear" w:color="auto" w:fill="DEEAF6" w:themeFill="accent1" w:themeFillTint="33"/>
            <w:vAlign w:val="center"/>
          </w:tcPr>
          <w:p w14:paraId="4EF1399C"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b/>
                <w:bCs/>
              </w:rPr>
            </w:pPr>
            <w:r w:rsidRPr="002B005F">
              <w:rPr>
                <w:rFonts w:ascii="Times New Roman" w:hAnsi="Times New Roman" w:cs="Times New Roman"/>
                <w:b/>
                <w:bCs/>
              </w:rPr>
              <w:t>Risque</w:t>
            </w:r>
            <w:r w:rsidR="002554F6" w:rsidRPr="002B005F">
              <w:rPr>
                <w:rFonts w:ascii="Times New Roman" w:hAnsi="Times New Roman" w:cs="Times New Roman"/>
                <w:b/>
                <w:bCs/>
              </w:rPr>
              <w:t xml:space="preserve"> </w:t>
            </w:r>
            <w:r w:rsidRPr="002B005F">
              <w:rPr>
                <w:rFonts w:ascii="Times New Roman" w:hAnsi="Times New Roman" w:cs="Times New Roman"/>
                <w:b/>
                <w:bCs/>
              </w:rPr>
              <w:t>de contrepartie</w:t>
            </w:r>
          </w:p>
        </w:tc>
        <w:tc>
          <w:tcPr>
            <w:tcW w:w="1077" w:type="dxa"/>
            <w:shd w:val="clear" w:color="auto" w:fill="DEEAF6" w:themeFill="accent1" w:themeFillTint="33"/>
            <w:vAlign w:val="center"/>
          </w:tcPr>
          <w:p w14:paraId="173BF2D0"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b/>
                <w:bCs/>
              </w:rPr>
            </w:pPr>
            <w:r w:rsidRPr="002B005F">
              <w:rPr>
                <w:rFonts w:ascii="Times New Roman" w:hAnsi="Times New Roman" w:cs="Times New Roman"/>
                <w:b/>
                <w:bCs/>
              </w:rPr>
              <w:t>Risque de liquidité</w:t>
            </w:r>
          </w:p>
        </w:tc>
        <w:tc>
          <w:tcPr>
            <w:tcW w:w="1077" w:type="dxa"/>
            <w:shd w:val="clear" w:color="auto" w:fill="DEEAF6" w:themeFill="accent1" w:themeFillTint="33"/>
            <w:vAlign w:val="center"/>
          </w:tcPr>
          <w:p w14:paraId="71DEC09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b/>
                <w:bCs/>
              </w:rPr>
            </w:pPr>
            <w:r w:rsidRPr="002B005F">
              <w:rPr>
                <w:rFonts w:ascii="Times New Roman" w:hAnsi="Times New Roman" w:cs="Times New Roman"/>
                <w:b/>
                <w:bCs/>
              </w:rPr>
              <w:t>Risque</w:t>
            </w:r>
            <w:r w:rsidR="002554F6" w:rsidRPr="002B005F">
              <w:rPr>
                <w:rFonts w:ascii="Times New Roman" w:hAnsi="Times New Roman" w:cs="Times New Roman"/>
                <w:b/>
                <w:bCs/>
              </w:rPr>
              <w:t xml:space="preserve"> </w:t>
            </w:r>
            <w:r w:rsidRPr="002B005F">
              <w:rPr>
                <w:rFonts w:ascii="Times New Roman" w:hAnsi="Times New Roman" w:cs="Times New Roman"/>
                <w:b/>
                <w:bCs/>
              </w:rPr>
              <w:t>de</w:t>
            </w:r>
            <w:r w:rsidR="002554F6" w:rsidRPr="002B005F">
              <w:rPr>
                <w:rFonts w:ascii="Times New Roman" w:hAnsi="Times New Roman" w:cs="Times New Roman"/>
                <w:b/>
                <w:bCs/>
              </w:rPr>
              <w:t xml:space="preserve"> </w:t>
            </w:r>
            <w:r w:rsidRPr="002B005F">
              <w:rPr>
                <w:rFonts w:ascii="Times New Roman" w:hAnsi="Times New Roman" w:cs="Times New Roman"/>
                <w:b/>
                <w:bCs/>
              </w:rPr>
              <w:t>marché</w:t>
            </w:r>
          </w:p>
        </w:tc>
        <w:tc>
          <w:tcPr>
            <w:tcW w:w="1418" w:type="dxa"/>
            <w:shd w:val="clear" w:color="auto" w:fill="DEEAF6" w:themeFill="accent1" w:themeFillTint="33"/>
            <w:vAlign w:val="center"/>
          </w:tcPr>
          <w:p w14:paraId="098E84EC"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b/>
                <w:bCs/>
              </w:rPr>
            </w:pPr>
            <w:r w:rsidRPr="002B005F">
              <w:rPr>
                <w:rFonts w:ascii="Times New Roman" w:hAnsi="Times New Roman" w:cs="Times New Roman"/>
                <w:b/>
                <w:bCs/>
              </w:rPr>
              <w:t>Risque opérationnel</w:t>
            </w:r>
          </w:p>
        </w:tc>
        <w:tc>
          <w:tcPr>
            <w:tcW w:w="1304" w:type="dxa"/>
            <w:shd w:val="clear" w:color="auto" w:fill="DEEAF6" w:themeFill="accent1" w:themeFillTint="33"/>
            <w:vAlign w:val="center"/>
          </w:tcPr>
          <w:p w14:paraId="3B8E0A28"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b/>
                <w:bCs/>
              </w:rPr>
            </w:pPr>
            <w:r w:rsidRPr="002B005F">
              <w:rPr>
                <w:rFonts w:ascii="Times New Roman" w:hAnsi="Times New Roman" w:cs="Times New Roman"/>
                <w:b/>
                <w:bCs/>
              </w:rPr>
              <w:t>Risque commercial déplacé</w:t>
            </w:r>
          </w:p>
        </w:tc>
        <w:tc>
          <w:tcPr>
            <w:tcW w:w="1134" w:type="dxa"/>
            <w:shd w:val="clear" w:color="auto" w:fill="DEEAF6" w:themeFill="accent1" w:themeFillTint="33"/>
            <w:vAlign w:val="center"/>
          </w:tcPr>
          <w:p w14:paraId="532871C1"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b/>
                <w:bCs/>
              </w:rPr>
            </w:pPr>
            <w:r w:rsidRPr="002B005F">
              <w:rPr>
                <w:rFonts w:ascii="Times New Roman" w:hAnsi="Times New Roman" w:cs="Times New Roman"/>
                <w:b/>
                <w:bCs/>
              </w:rPr>
              <w:t>Risque juridique</w:t>
            </w:r>
          </w:p>
        </w:tc>
      </w:tr>
      <w:tr w:rsidR="002760B2" w:rsidRPr="002B005F" w14:paraId="5AAA2C8E" w14:textId="77777777" w:rsidTr="004502B0">
        <w:trPr>
          <w:trHeight w:val="737"/>
          <w:jc w:val="center"/>
        </w:trPr>
        <w:tc>
          <w:tcPr>
            <w:tcW w:w="1644" w:type="dxa"/>
            <w:shd w:val="clear" w:color="auto" w:fill="auto"/>
            <w:vAlign w:val="center"/>
          </w:tcPr>
          <w:p w14:paraId="2134330A" w14:textId="77777777" w:rsidR="002760B2" w:rsidRPr="002B005F" w:rsidRDefault="002760B2" w:rsidP="007C0360">
            <w:pPr>
              <w:keepNext/>
              <w:keepLines/>
              <w:tabs>
                <w:tab w:val="left" w:pos="0"/>
                <w:tab w:val="center" w:pos="4536"/>
              </w:tabs>
              <w:spacing w:line="240" w:lineRule="auto"/>
              <w:ind w:left="57"/>
              <w:jc w:val="left"/>
              <w:rPr>
                <w:rFonts w:ascii="Times New Roman" w:hAnsi="Times New Roman" w:cs="Times New Roman"/>
                <w:b/>
                <w:bCs/>
                <w:i/>
                <w:iCs/>
                <w:sz w:val="24"/>
                <w:szCs w:val="24"/>
              </w:rPr>
            </w:pPr>
            <w:r w:rsidRPr="002B005F">
              <w:rPr>
                <w:rFonts w:ascii="Times New Roman" w:hAnsi="Times New Roman" w:cs="Times New Roman"/>
                <w:b/>
                <w:bCs/>
                <w:i/>
                <w:iCs/>
                <w:sz w:val="24"/>
                <w:szCs w:val="24"/>
              </w:rPr>
              <w:t>Mourabaha</w:t>
            </w:r>
          </w:p>
        </w:tc>
        <w:tc>
          <w:tcPr>
            <w:tcW w:w="1417" w:type="dxa"/>
            <w:shd w:val="clear" w:color="auto" w:fill="auto"/>
            <w:vAlign w:val="center"/>
          </w:tcPr>
          <w:p w14:paraId="6A96D023" w14:textId="77777777" w:rsidR="002760B2" w:rsidRPr="002B005F" w:rsidRDefault="002760B2" w:rsidP="007C0360">
            <w:pPr>
              <w:keepNext/>
              <w:keepLines/>
              <w:tabs>
                <w:tab w:val="left" w:pos="0"/>
                <w:tab w:val="left" w:pos="218"/>
                <w:tab w:val="center" w:pos="600"/>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3.00</w:t>
            </w:r>
          </w:p>
          <w:p w14:paraId="36BBAFD3" w14:textId="77777777" w:rsidR="002760B2" w:rsidRPr="002B005F" w:rsidRDefault="002760B2" w:rsidP="007C0360">
            <w:pPr>
              <w:keepNext/>
              <w:keepLines/>
              <w:tabs>
                <w:tab w:val="left" w:pos="0"/>
                <w:tab w:val="left" w:pos="218"/>
                <w:tab w:val="center" w:pos="600"/>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077" w:type="dxa"/>
            <w:shd w:val="clear" w:color="auto" w:fill="auto"/>
            <w:vAlign w:val="center"/>
          </w:tcPr>
          <w:p w14:paraId="5954F4B6"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2.67</w:t>
            </w:r>
          </w:p>
          <w:p w14:paraId="2B3CD9C3"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077" w:type="dxa"/>
            <w:shd w:val="clear" w:color="auto" w:fill="auto"/>
            <w:vAlign w:val="center"/>
          </w:tcPr>
          <w:p w14:paraId="587ADA0A"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2.70</w:t>
            </w:r>
          </w:p>
          <w:p w14:paraId="7C0BA76B"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418" w:type="dxa"/>
            <w:shd w:val="clear" w:color="auto" w:fill="auto"/>
            <w:vAlign w:val="center"/>
          </w:tcPr>
          <w:p w14:paraId="6622A263"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2.52</w:t>
            </w:r>
          </w:p>
          <w:p w14:paraId="59BCAD2B"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304" w:type="dxa"/>
            <w:shd w:val="clear" w:color="auto" w:fill="auto"/>
            <w:vAlign w:val="center"/>
          </w:tcPr>
          <w:p w14:paraId="364C3878"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1.85</w:t>
            </w:r>
          </w:p>
          <w:p w14:paraId="251F1203"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134" w:type="dxa"/>
            <w:shd w:val="clear" w:color="auto" w:fill="auto"/>
            <w:vAlign w:val="center"/>
          </w:tcPr>
          <w:p w14:paraId="3402BC55"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1.96</w:t>
            </w:r>
          </w:p>
          <w:p w14:paraId="67FFC80B"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r>
      <w:tr w:rsidR="002760B2" w:rsidRPr="002B005F" w14:paraId="0647C2E3" w14:textId="77777777" w:rsidTr="004502B0">
        <w:trPr>
          <w:trHeight w:val="737"/>
          <w:jc w:val="center"/>
        </w:trPr>
        <w:tc>
          <w:tcPr>
            <w:tcW w:w="1644" w:type="dxa"/>
            <w:shd w:val="clear" w:color="auto" w:fill="auto"/>
            <w:vAlign w:val="center"/>
          </w:tcPr>
          <w:p w14:paraId="4D7C2644" w14:textId="77777777" w:rsidR="002760B2" w:rsidRPr="002B005F" w:rsidRDefault="002760B2" w:rsidP="007C0360">
            <w:pPr>
              <w:keepNext/>
              <w:keepLines/>
              <w:tabs>
                <w:tab w:val="left" w:pos="0"/>
                <w:tab w:val="center" w:pos="4536"/>
              </w:tabs>
              <w:spacing w:line="240" w:lineRule="auto"/>
              <w:ind w:left="57"/>
              <w:jc w:val="left"/>
              <w:rPr>
                <w:rFonts w:ascii="Times New Roman" w:hAnsi="Times New Roman" w:cs="Times New Roman"/>
                <w:b/>
                <w:bCs/>
                <w:i/>
                <w:iCs/>
                <w:sz w:val="24"/>
                <w:szCs w:val="24"/>
              </w:rPr>
            </w:pPr>
            <w:r w:rsidRPr="002B005F">
              <w:rPr>
                <w:rFonts w:ascii="Times New Roman" w:hAnsi="Times New Roman" w:cs="Times New Roman"/>
                <w:b/>
                <w:bCs/>
                <w:i/>
                <w:iCs/>
                <w:sz w:val="24"/>
                <w:szCs w:val="24"/>
              </w:rPr>
              <w:t>Ijara</w:t>
            </w:r>
          </w:p>
        </w:tc>
        <w:tc>
          <w:tcPr>
            <w:tcW w:w="1417" w:type="dxa"/>
            <w:shd w:val="clear" w:color="auto" w:fill="auto"/>
            <w:vAlign w:val="center"/>
          </w:tcPr>
          <w:p w14:paraId="2ED4E103"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2.64</w:t>
            </w:r>
          </w:p>
          <w:p w14:paraId="37C8EF8E"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077" w:type="dxa"/>
            <w:shd w:val="clear" w:color="auto" w:fill="auto"/>
            <w:vAlign w:val="center"/>
          </w:tcPr>
          <w:p w14:paraId="329AEEA8"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3.1</w:t>
            </w:r>
          </w:p>
          <w:p w14:paraId="7CC27539"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077" w:type="dxa"/>
            <w:shd w:val="clear" w:color="auto" w:fill="auto"/>
            <w:vAlign w:val="center"/>
          </w:tcPr>
          <w:p w14:paraId="4B1815E0"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2.92</w:t>
            </w:r>
          </w:p>
          <w:p w14:paraId="760C0A1D"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418" w:type="dxa"/>
            <w:shd w:val="clear" w:color="auto" w:fill="auto"/>
            <w:vAlign w:val="center"/>
          </w:tcPr>
          <w:p w14:paraId="46ECEF46"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2.9</w:t>
            </w:r>
          </w:p>
          <w:p w14:paraId="0AA42A46"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304" w:type="dxa"/>
            <w:shd w:val="clear" w:color="auto" w:fill="auto"/>
            <w:vAlign w:val="center"/>
          </w:tcPr>
          <w:p w14:paraId="56F66ABD"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1.76</w:t>
            </w:r>
          </w:p>
          <w:p w14:paraId="4669AE0D"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134" w:type="dxa"/>
            <w:shd w:val="clear" w:color="auto" w:fill="auto"/>
            <w:vAlign w:val="center"/>
          </w:tcPr>
          <w:p w14:paraId="5F46F6F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2.36</w:t>
            </w:r>
          </w:p>
          <w:p w14:paraId="407C9408"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r>
      <w:tr w:rsidR="002760B2" w:rsidRPr="002B005F" w14:paraId="5552C43C" w14:textId="77777777" w:rsidTr="004502B0">
        <w:trPr>
          <w:trHeight w:val="737"/>
          <w:jc w:val="center"/>
        </w:trPr>
        <w:tc>
          <w:tcPr>
            <w:tcW w:w="1644" w:type="dxa"/>
            <w:shd w:val="clear" w:color="auto" w:fill="auto"/>
            <w:vAlign w:val="center"/>
          </w:tcPr>
          <w:p w14:paraId="0A0C38FD" w14:textId="77777777" w:rsidR="002760B2" w:rsidRPr="002B005F" w:rsidRDefault="002760B2" w:rsidP="007C0360">
            <w:pPr>
              <w:keepNext/>
              <w:keepLines/>
              <w:tabs>
                <w:tab w:val="left" w:pos="0"/>
                <w:tab w:val="center" w:pos="4536"/>
              </w:tabs>
              <w:spacing w:line="240" w:lineRule="auto"/>
              <w:ind w:left="57"/>
              <w:jc w:val="left"/>
              <w:rPr>
                <w:rFonts w:ascii="Times New Roman" w:hAnsi="Times New Roman" w:cs="Times New Roman"/>
                <w:b/>
                <w:bCs/>
                <w:i/>
                <w:iCs/>
                <w:sz w:val="24"/>
                <w:szCs w:val="24"/>
              </w:rPr>
            </w:pPr>
            <w:r w:rsidRPr="002B005F">
              <w:rPr>
                <w:rFonts w:ascii="Times New Roman" w:hAnsi="Times New Roman" w:cs="Times New Roman"/>
                <w:b/>
                <w:bCs/>
                <w:i/>
                <w:iCs/>
                <w:sz w:val="24"/>
                <w:szCs w:val="24"/>
              </w:rPr>
              <w:t>Moucharaka</w:t>
            </w:r>
          </w:p>
        </w:tc>
        <w:tc>
          <w:tcPr>
            <w:tcW w:w="1417" w:type="dxa"/>
            <w:shd w:val="clear" w:color="auto" w:fill="auto"/>
            <w:vAlign w:val="center"/>
          </w:tcPr>
          <w:p w14:paraId="11F2F01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3.69</w:t>
            </w:r>
          </w:p>
          <w:p w14:paraId="2FF091D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077" w:type="dxa"/>
            <w:shd w:val="clear" w:color="auto" w:fill="auto"/>
            <w:vAlign w:val="center"/>
          </w:tcPr>
          <w:p w14:paraId="3B16F05E"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2.92</w:t>
            </w:r>
          </w:p>
          <w:p w14:paraId="7A10202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077" w:type="dxa"/>
            <w:shd w:val="clear" w:color="auto" w:fill="auto"/>
            <w:vAlign w:val="center"/>
          </w:tcPr>
          <w:p w14:paraId="57ADBE5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3.62</w:t>
            </w:r>
          </w:p>
          <w:p w14:paraId="3F6B474D"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418" w:type="dxa"/>
            <w:shd w:val="clear" w:color="auto" w:fill="auto"/>
            <w:vAlign w:val="center"/>
          </w:tcPr>
          <w:p w14:paraId="119B23F3"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3.5</w:t>
            </w:r>
          </w:p>
          <w:p w14:paraId="07BEE5FE"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304" w:type="dxa"/>
            <w:shd w:val="clear" w:color="auto" w:fill="auto"/>
            <w:vAlign w:val="center"/>
          </w:tcPr>
          <w:p w14:paraId="4189E40A"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3.00</w:t>
            </w:r>
          </w:p>
          <w:p w14:paraId="61FE384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134" w:type="dxa"/>
            <w:shd w:val="clear" w:color="auto" w:fill="auto"/>
            <w:vAlign w:val="center"/>
          </w:tcPr>
          <w:p w14:paraId="70C13A01"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3.4</w:t>
            </w:r>
          </w:p>
          <w:p w14:paraId="3FDB262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r>
      <w:tr w:rsidR="002760B2" w:rsidRPr="002B005F" w14:paraId="1CD612B7" w14:textId="77777777" w:rsidTr="004502B0">
        <w:trPr>
          <w:trHeight w:val="737"/>
          <w:jc w:val="center"/>
        </w:trPr>
        <w:tc>
          <w:tcPr>
            <w:tcW w:w="1644" w:type="dxa"/>
            <w:shd w:val="clear" w:color="auto" w:fill="auto"/>
            <w:vAlign w:val="center"/>
          </w:tcPr>
          <w:p w14:paraId="633F227D" w14:textId="77777777" w:rsidR="002760B2" w:rsidRPr="002B005F" w:rsidRDefault="002760B2" w:rsidP="007C0360">
            <w:pPr>
              <w:keepNext/>
              <w:keepLines/>
              <w:tabs>
                <w:tab w:val="left" w:pos="0"/>
                <w:tab w:val="center" w:pos="4536"/>
              </w:tabs>
              <w:spacing w:line="240" w:lineRule="auto"/>
              <w:ind w:left="57"/>
              <w:jc w:val="left"/>
              <w:rPr>
                <w:rFonts w:ascii="Times New Roman" w:hAnsi="Times New Roman" w:cs="Times New Roman"/>
                <w:b/>
                <w:bCs/>
                <w:i/>
                <w:iCs/>
                <w:sz w:val="24"/>
                <w:szCs w:val="24"/>
              </w:rPr>
            </w:pPr>
            <w:r w:rsidRPr="002B005F">
              <w:rPr>
                <w:rFonts w:ascii="Times New Roman" w:hAnsi="Times New Roman" w:cs="Times New Roman"/>
                <w:b/>
                <w:bCs/>
                <w:i/>
                <w:iCs/>
                <w:sz w:val="24"/>
                <w:szCs w:val="24"/>
              </w:rPr>
              <w:t>Salam</w:t>
            </w:r>
          </w:p>
        </w:tc>
        <w:tc>
          <w:tcPr>
            <w:tcW w:w="1417" w:type="dxa"/>
            <w:shd w:val="clear" w:color="auto" w:fill="auto"/>
            <w:vAlign w:val="center"/>
          </w:tcPr>
          <w:p w14:paraId="081AF67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3.20</w:t>
            </w:r>
          </w:p>
          <w:p w14:paraId="0D6D2F83"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077" w:type="dxa"/>
            <w:shd w:val="clear" w:color="auto" w:fill="auto"/>
            <w:vAlign w:val="center"/>
          </w:tcPr>
          <w:p w14:paraId="30C45BA1"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3.26</w:t>
            </w:r>
          </w:p>
          <w:p w14:paraId="77FBFB50"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077" w:type="dxa"/>
            <w:shd w:val="clear" w:color="auto" w:fill="auto"/>
            <w:vAlign w:val="center"/>
          </w:tcPr>
          <w:p w14:paraId="18E52560"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3.50</w:t>
            </w:r>
          </w:p>
          <w:p w14:paraId="29D78A59"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418" w:type="dxa"/>
            <w:shd w:val="clear" w:color="auto" w:fill="auto"/>
            <w:vAlign w:val="center"/>
          </w:tcPr>
          <w:p w14:paraId="4CE3543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3.25</w:t>
            </w:r>
          </w:p>
          <w:p w14:paraId="4821D02A"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304" w:type="dxa"/>
            <w:shd w:val="clear" w:color="auto" w:fill="auto"/>
            <w:vAlign w:val="center"/>
          </w:tcPr>
          <w:p w14:paraId="543BB878"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2.90</w:t>
            </w:r>
          </w:p>
          <w:p w14:paraId="1220ABF0"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134" w:type="dxa"/>
            <w:shd w:val="clear" w:color="auto" w:fill="auto"/>
            <w:vAlign w:val="center"/>
          </w:tcPr>
          <w:p w14:paraId="0A70CF96"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2.93</w:t>
            </w:r>
          </w:p>
          <w:p w14:paraId="24D86637"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r>
      <w:tr w:rsidR="002760B2" w:rsidRPr="002B005F" w14:paraId="2851664D" w14:textId="77777777" w:rsidTr="004502B0">
        <w:trPr>
          <w:trHeight w:val="737"/>
          <w:jc w:val="center"/>
        </w:trPr>
        <w:tc>
          <w:tcPr>
            <w:tcW w:w="1644" w:type="dxa"/>
            <w:shd w:val="clear" w:color="auto" w:fill="auto"/>
            <w:vAlign w:val="center"/>
          </w:tcPr>
          <w:p w14:paraId="5B98BBF0" w14:textId="77777777" w:rsidR="002760B2" w:rsidRPr="002B005F" w:rsidRDefault="004A4E16" w:rsidP="007C0360">
            <w:pPr>
              <w:keepNext/>
              <w:keepLines/>
              <w:tabs>
                <w:tab w:val="left" w:pos="0"/>
                <w:tab w:val="center" w:pos="4536"/>
              </w:tabs>
              <w:spacing w:line="240" w:lineRule="auto"/>
              <w:ind w:left="57"/>
              <w:jc w:val="left"/>
              <w:rPr>
                <w:rFonts w:ascii="Times New Roman" w:hAnsi="Times New Roman" w:cs="Times New Roman"/>
                <w:b/>
                <w:bCs/>
                <w:i/>
                <w:iCs/>
                <w:sz w:val="24"/>
                <w:szCs w:val="24"/>
              </w:rPr>
            </w:pPr>
            <w:r w:rsidRPr="002B005F">
              <w:rPr>
                <w:rFonts w:ascii="Times New Roman" w:hAnsi="Times New Roman" w:cs="Times New Roman"/>
                <w:b/>
                <w:bCs/>
                <w:i/>
                <w:iCs/>
                <w:sz w:val="24"/>
                <w:szCs w:val="24"/>
              </w:rPr>
              <w:t>Moudaraba</w:t>
            </w:r>
          </w:p>
        </w:tc>
        <w:tc>
          <w:tcPr>
            <w:tcW w:w="1417" w:type="dxa"/>
            <w:shd w:val="clear" w:color="auto" w:fill="auto"/>
            <w:vAlign w:val="center"/>
          </w:tcPr>
          <w:p w14:paraId="0D6ECEA4"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3.25</w:t>
            </w:r>
          </w:p>
          <w:p w14:paraId="6EFA24FE"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077" w:type="dxa"/>
            <w:shd w:val="clear" w:color="auto" w:fill="auto"/>
            <w:vAlign w:val="center"/>
          </w:tcPr>
          <w:p w14:paraId="0D6A260D"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2.46</w:t>
            </w:r>
          </w:p>
          <w:p w14:paraId="3C428B47"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077" w:type="dxa"/>
            <w:shd w:val="clear" w:color="auto" w:fill="auto"/>
            <w:vAlign w:val="center"/>
          </w:tcPr>
          <w:p w14:paraId="5FE5F25D"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3.0</w:t>
            </w:r>
          </w:p>
          <w:p w14:paraId="138FD63E"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418" w:type="dxa"/>
            <w:shd w:val="clear" w:color="auto" w:fill="auto"/>
            <w:vAlign w:val="center"/>
          </w:tcPr>
          <w:p w14:paraId="101AD70D"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3.08</w:t>
            </w:r>
          </w:p>
          <w:p w14:paraId="70B8CEFC"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304" w:type="dxa"/>
            <w:shd w:val="clear" w:color="auto" w:fill="auto"/>
            <w:vAlign w:val="center"/>
          </w:tcPr>
          <w:p w14:paraId="7CE97B66"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3.84</w:t>
            </w:r>
          </w:p>
          <w:p w14:paraId="243000F3"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134" w:type="dxa"/>
            <w:shd w:val="clear" w:color="auto" w:fill="auto"/>
            <w:vAlign w:val="center"/>
          </w:tcPr>
          <w:p w14:paraId="60A13EB8"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3.50</w:t>
            </w:r>
          </w:p>
          <w:p w14:paraId="24F00DE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r>
      <w:tr w:rsidR="002760B2" w:rsidRPr="002B005F" w14:paraId="3CD524CE" w14:textId="77777777" w:rsidTr="004502B0">
        <w:trPr>
          <w:trHeight w:val="737"/>
          <w:jc w:val="center"/>
        </w:trPr>
        <w:tc>
          <w:tcPr>
            <w:tcW w:w="1644" w:type="dxa"/>
            <w:shd w:val="clear" w:color="auto" w:fill="auto"/>
            <w:vAlign w:val="center"/>
          </w:tcPr>
          <w:p w14:paraId="55CE7196" w14:textId="77777777" w:rsidR="002760B2" w:rsidRPr="002B005F" w:rsidRDefault="002760B2" w:rsidP="007C0360">
            <w:pPr>
              <w:keepNext/>
              <w:keepLines/>
              <w:tabs>
                <w:tab w:val="left" w:pos="0"/>
                <w:tab w:val="center" w:pos="4536"/>
              </w:tabs>
              <w:spacing w:line="240" w:lineRule="auto"/>
              <w:ind w:left="57"/>
              <w:jc w:val="left"/>
              <w:rPr>
                <w:rFonts w:ascii="Times New Roman" w:hAnsi="Times New Roman" w:cs="Times New Roman"/>
                <w:b/>
                <w:bCs/>
                <w:i/>
                <w:iCs/>
                <w:sz w:val="24"/>
                <w:szCs w:val="24"/>
              </w:rPr>
            </w:pPr>
            <w:r w:rsidRPr="002B005F">
              <w:rPr>
                <w:rFonts w:ascii="Times New Roman" w:hAnsi="Times New Roman" w:cs="Times New Roman"/>
                <w:b/>
                <w:bCs/>
                <w:i/>
                <w:iCs/>
                <w:sz w:val="24"/>
                <w:szCs w:val="24"/>
              </w:rPr>
              <w:t>Istisna’</w:t>
            </w:r>
          </w:p>
        </w:tc>
        <w:tc>
          <w:tcPr>
            <w:tcW w:w="1417" w:type="dxa"/>
            <w:shd w:val="clear" w:color="auto" w:fill="auto"/>
            <w:vAlign w:val="center"/>
          </w:tcPr>
          <w:p w14:paraId="6BE86A9F"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3.13</w:t>
            </w:r>
          </w:p>
          <w:p w14:paraId="4E4F3B84"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077" w:type="dxa"/>
            <w:shd w:val="clear" w:color="auto" w:fill="auto"/>
            <w:vAlign w:val="center"/>
          </w:tcPr>
          <w:p w14:paraId="50AB0434"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3.0</w:t>
            </w:r>
          </w:p>
          <w:p w14:paraId="4BCD2325"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077" w:type="dxa"/>
            <w:shd w:val="clear" w:color="auto" w:fill="auto"/>
            <w:vAlign w:val="center"/>
          </w:tcPr>
          <w:p w14:paraId="17CA1DA2"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3.57</w:t>
            </w:r>
          </w:p>
          <w:p w14:paraId="3FDF8580"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418" w:type="dxa"/>
            <w:shd w:val="clear" w:color="auto" w:fill="auto"/>
            <w:vAlign w:val="center"/>
          </w:tcPr>
          <w:p w14:paraId="7D115B6F"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3.29</w:t>
            </w:r>
          </w:p>
          <w:p w14:paraId="1DEDACA9"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sz w:val="23"/>
                <w:szCs w:val="23"/>
              </w:rPr>
            </w:pPr>
            <w:r w:rsidRPr="002B005F">
              <w:rPr>
                <w:rFonts w:ascii="Times New Roman" w:hAnsi="Times New Roman" w:cs="Times New Roman"/>
                <w:sz w:val="23"/>
                <w:szCs w:val="23"/>
              </w:rPr>
              <w:t>(79)</w:t>
            </w:r>
          </w:p>
        </w:tc>
        <w:tc>
          <w:tcPr>
            <w:tcW w:w="1304" w:type="dxa"/>
            <w:shd w:val="clear" w:color="auto" w:fill="auto"/>
            <w:vAlign w:val="center"/>
          </w:tcPr>
          <w:p w14:paraId="42058245"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2.82</w:t>
            </w:r>
          </w:p>
          <w:p w14:paraId="686377B7"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c>
          <w:tcPr>
            <w:tcW w:w="1134" w:type="dxa"/>
            <w:shd w:val="clear" w:color="auto" w:fill="auto"/>
            <w:vAlign w:val="center"/>
          </w:tcPr>
          <w:p w14:paraId="4AF4A1D7"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2.96</w:t>
            </w:r>
          </w:p>
          <w:p w14:paraId="25F18056" w14:textId="77777777" w:rsidR="002760B2" w:rsidRPr="002B005F" w:rsidRDefault="002760B2" w:rsidP="007C0360">
            <w:pPr>
              <w:keepNext/>
              <w:keepLines/>
              <w:tabs>
                <w:tab w:val="left" w:pos="0"/>
                <w:tab w:val="center" w:pos="4536"/>
              </w:tabs>
              <w:spacing w:line="240" w:lineRule="auto"/>
              <w:jc w:val="center"/>
              <w:rPr>
                <w:rFonts w:ascii="Times New Roman" w:hAnsi="Times New Roman" w:cs="Times New Roman"/>
                <w:noProof/>
                <w:sz w:val="23"/>
                <w:szCs w:val="23"/>
                <w:lang w:eastAsia="fr-FR"/>
              </w:rPr>
            </w:pPr>
            <w:r w:rsidRPr="002B005F">
              <w:rPr>
                <w:rFonts w:ascii="Times New Roman" w:hAnsi="Times New Roman" w:cs="Times New Roman"/>
                <w:noProof/>
                <w:sz w:val="23"/>
                <w:szCs w:val="23"/>
                <w:lang w:eastAsia="fr-FR"/>
              </w:rPr>
              <w:t>(79)</w:t>
            </w:r>
          </w:p>
        </w:tc>
      </w:tr>
    </w:tbl>
    <w:p w14:paraId="57F1CA34" w14:textId="77777777" w:rsidR="002760B2" w:rsidRPr="002B005F" w:rsidRDefault="002760B2" w:rsidP="007C0360">
      <w:pPr>
        <w:keepNext/>
        <w:keepLines/>
        <w:tabs>
          <w:tab w:val="left" w:pos="0"/>
        </w:tabs>
        <w:autoSpaceDE w:val="0"/>
        <w:autoSpaceDN w:val="0"/>
        <w:adjustRightInd w:val="0"/>
        <w:spacing w:before="120" w:line="240" w:lineRule="auto"/>
        <w:rPr>
          <w:rFonts w:ascii="Times New Roman" w:hAnsi="Times New Roman" w:cs="Times New Roman"/>
          <w:sz w:val="20"/>
          <w:szCs w:val="20"/>
        </w:rPr>
      </w:pPr>
      <w:r w:rsidRPr="002B005F">
        <w:rPr>
          <w:rFonts w:ascii="Times New Roman" w:hAnsi="Times New Roman" w:cs="Times New Roman"/>
          <w:sz w:val="20"/>
          <w:szCs w:val="20"/>
        </w:rPr>
        <w:t>Note : Les chiffres entre parenthèses indiquent le nombre de réponses.</w:t>
      </w:r>
    </w:p>
    <w:p w14:paraId="71E6FEC9" w14:textId="77777777" w:rsidR="00E70289" w:rsidRPr="002B005F" w:rsidRDefault="00E70289" w:rsidP="00B424F2">
      <w:pPr>
        <w:keepNext/>
        <w:keepLines/>
        <w:tabs>
          <w:tab w:val="left" w:pos="0"/>
        </w:tabs>
        <w:autoSpaceDE w:val="0"/>
        <w:autoSpaceDN w:val="0"/>
        <w:adjustRightInd w:val="0"/>
        <w:spacing w:before="120"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du chercheur.</w:t>
      </w:r>
    </w:p>
    <w:p w14:paraId="45C95350" w14:textId="77777777" w:rsidR="007C0360" w:rsidRPr="002B005F" w:rsidRDefault="007C0360" w:rsidP="007C0360">
      <w:pPr>
        <w:tabs>
          <w:tab w:val="left" w:pos="0"/>
        </w:tabs>
        <w:autoSpaceDE w:val="0"/>
        <w:autoSpaceDN w:val="0"/>
        <w:adjustRightInd w:val="0"/>
        <w:spacing w:line="240" w:lineRule="auto"/>
        <w:rPr>
          <w:rFonts w:ascii="Times New Roman" w:hAnsi="Times New Roman" w:cs="Times New Roman"/>
          <w:sz w:val="20"/>
          <w:szCs w:val="20"/>
        </w:rPr>
      </w:pPr>
    </w:p>
    <w:p w14:paraId="578E0C49" w14:textId="77777777" w:rsidR="002760B2" w:rsidRPr="006E47E3" w:rsidRDefault="00245F45" w:rsidP="00D66FFE">
      <w:pPr>
        <w:pStyle w:val="Titre4"/>
        <w:keepNext w:val="0"/>
        <w:spacing w:before="100" w:beforeAutospacing="1" w:after="120" w:line="300" w:lineRule="auto"/>
        <w:ind w:firstLine="709"/>
      </w:pPr>
      <w:bookmarkStart w:id="1623" w:name="_Toc33263390"/>
      <w:bookmarkStart w:id="1624" w:name="_Toc37664653"/>
      <w:bookmarkStart w:id="1625" w:name="_Toc37666498"/>
      <w:bookmarkStart w:id="1626" w:name="_Toc54363395"/>
      <w:bookmarkStart w:id="1627" w:name="_Toc58606373"/>
      <w:bookmarkStart w:id="1628" w:name="_Toc61263578"/>
      <w:bookmarkStart w:id="1629" w:name="_Toc182298911"/>
      <w:r>
        <w:t>2</w:t>
      </w:r>
      <w:r w:rsidR="006E47E3">
        <w:t xml:space="preserve">.1.5- </w:t>
      </w:r>
      <w:r w:rsidR="002760B2" w:rsidRPr="006E47E3">
        <w:t xml:space="preserve">Perception sur les pratiques bancaires </w:t>
      </w:r>
      <w:r w:rsidR="00A5419D" w:rsidRPr="006E47E3">
        <w:t>i</w:t>
      </w:r>
      <w:r w:rsidR="003773C6" w:rsidRPr="006E47E3">
        <w:t>slamique</w:t>
      </w:r>
      <w:r w:rsidR="002760B2" w:rsidRPr="006E47E3">
        <w:t>s</w:t>
      </w:r>
      <w:bookmarkEnd w:id="1623"/>
      <w:bookmarkEnd w:id="1624"/>
      <w:bookmarkEnd w:id="1625"/>
      <w:bookmarkEnd w:id="1626"/>
      <w:bookmarkEnd w:id="1627"/>
      <w:bookmarkEnd w:id="1628"/>
      <w:bookmarkEnd w:id="1629"/>
    </w:p>
    <w:p w14:paraId="7F7A3FC1" w14:textId="77777777" w:rsidR="002760B2" w:rsidRPr="004502B0" w:rsidRDefault="002760B2" w:rsidP="007F6670">
      <w:pPr>
        <w:tabs>
          <w:tab w:val="left" w:pos="0"/>
        </w:tabs>
        <w:spacing w:before="120" w:line="300" w:lineRule="auto"/>
        <w:ind w:firstLine="709"/>
        <w:rPr>
          <w:rFonts w:ascii="Times New Roman" w:eastAsia="Times New Roman" w:hAnsi="Times New Roman" w:cs="Times New Roman"/>
          <w:spacing w:val="6"/>
          <w:sz w:val="24"/>
          <w:szCs w:val="24"/>
        </w:rPr>
      </w:pPr>
      <w:r w:rsidRPr="004502B0">
        <w:rPr>
          <w:rFonts w:ascii="Times New Roman" w:eastAsia="Times New Roman" w:hAnsi="Times New Roman" w:cs="Times New Roman"/>
          <w:spacing w:val="6"/>
          <w:sz w:val="24"/>
          <w:szCs w:val="24"/>
        </w:rPr>
        <w:t xml:space="preserve">Cette question vise à analyser les opinions des participants sur les pratiques bancaires </w:t>
      </w:r>
      <w:r w:rsidR="00A5419D" w:rsidRPr="004502B0">
        <w:rPr>
          <w:rFonts w:ascii="Times New Roman" w:eastAsia="Times New Roman" w:hAnsi="Times New Roman" w:cs="Times New Roman"/>
          <w:spacing w:val="6"/>
          <w:sz w:val="24"/>
          <w:szCs w:val="24"/>
        </w:rPr>
        <w:t>i</w:t>
      </w:r>
      <w:r w:rsidR="003773C6" w:rsidRPr="004502B0">
        <w:rPr>
          <w:rFonts w:ascii="Times New Roman" w:eastAsia="Times New Roman" w:hAnsi="Times New Roman" w:cs="Times New Roman"/>
          <w:spacing w:val="6"/>
          <w:sz w:val="24"/>
          <w:szCs w:val="24"/>
        </w:rPr>
        <w:t>slamique</w:t>
      </w:r>
      <w:r w:rsidRPr="004502B0">
        <w:rPr>
          <w:rFonts w:ascii="Times New Roman" w:eastAsia="Times New Roman" w:hAnsi="Times New Roman" w:cs="Times New Roman"/>
          <w:spacing w:val="6"/>
          <w:sz w:val="24"/>
          <w:szCs w:val="24"/>
        </w:rPr>
        <w:t xml:space="preserve">s. L'une des principales déclarations examinées dans cette section est la proposition que la banque </w:t>
      </w:r>
      <w:r w:rsidR="00A5419D" w:rsidRPr="004502B0">
        <w:rPr>
          <w:rFonts w:ascii="Times New Roman" w:eastAsia="Times New Roman" w:hAnsi="Times New Roman" w:cs="Times New Roman"/>
          <w:spacing w:val="6"/>
          <w:sz w:val="24"/>
          <w:szCs w:val="24"/>
        </w:rPr>
        <w:t>i</w:t>
      </w:r>
      <w:r w:rsidR="003773C6" w:rsidRPr="004502B0">
        <w:rPr>
          <w:rFonts w:ascii="Times New Roman" w:eastAsia="Times New Roman" w:hAnsi="Times New Roman" w:cs="Times New Roman"/>
          <w:spacing w:val="6"/>
          <w:sz w:val="24"/>
          <w:szCs w:val="24"/>
        </w:rPr>
        <w:t>slamique</w:t>
      </w:r>
      <w:r w:rsidRPr="004502B0">
        <w:rPr>
          <w:rFonts w:ascii="Times New Roman" w:eastAsia="Times New Roman" w:hAnsi="Times New Roman" w:cs="Times New Roman"/>
          <w:spacing w:val="6"/>
          <w:sz w:val="24"/>
          <w:szCs w:val="24"/>
        </w:rPr>
        <w:t xml:space="preserve"> s’est éloignée de ses racines en imitant les banques conventionnelles. Pour cela, la question 11 est une question fermée, qui inclut cinq déclarations, et les répondants sont invités à exprimer leur préférence c’est-à-dire s’ils sont d'accord ou pas d'accord pour chaque énoncé.</w:t>
      </w:r>
    </w:p>
    <w:p w14:paraId="0FECDD41" w14:textId="77777777" w:rsidR="002760B2" w:rsidRPr="004502B0" w:rsidRDefault="002760B2" w:rsidP="001D6F61">
      <w:pPr>
        <w:tabs>
          <w:tab w:val="left" w:pos="0"/>
        </w:tabs>
        <w:spacing w:before="120" w:line="300" w:lineRule="auto"/>
        <w:ind w:firstLine="709"/>
        <w:rPr>
          <w:rFonts w:ascii="Times New Roman" w:eastAsia="Times New Roman" w:hAnsi="Times New Roman" w:cs="Times New Roman"/>
          <w:spacing w:val="6"/>
          <w:sz w:val="24"/>
          <w:szCs w:val="24"/>
        </w:rPr>
      </w:pPr>
      <w:r w:rsidRPr="004502B0">
        <w:rPr>
          <w:rFonts w:ascii="Times New Roman" w:eastAsia="Times New Roman" w:hAnsi="Times New Roman" w:cs="Times New Roman"/>
          <w:spacing w:val="6"/>
          <w:sz w:val="24"/>
          <w:szCs w:val="24"/>
        </w:rPr>
        <w:t xml:space="preserve">Les résultats de fréquences pour l'ensemble de l’échantillon sont résumés dans le </w:t>
      </w:r>
      <w:r w:rsidR="007F6670" w:rsidRPr="004502B0">
        <w:rPr>
          <w:rFonts w:ascii="Times New Roman" w:eastAsia="Times New Roman" w:hAnsi="Times New Roman" w:cs="Times New Roman"/>
          <w:b/>
          <w:bCs/>
          <w:spacing w:val="6"/>
          <w:sz w:val="24"/>
          <w:szCs w:val="24"/>
        </w:rPr>
        <w:t xml:space="preserve">graphique </w:t>
      </w:r>
      <w:r w:rsidRPr="004502B0">
        <w:rPr>
          <w:rFonts w:ascii="Times New Roman" w:eastAsia="Times New Roman" w:hAnsi="Times New Roman" w:cs="Times New Roman"/>
          <w:b/>
          <w:bCs/>
          <w:spacing w:val="6"/>
          <w:sz w:val="24"/>
          <w:szCs w:val="24"/>
        </w:rPr>
        <w:t>3</w:t>
      </w:r>
      <w:r w:rsidR="007F6670" w:rsidRPr="004502B0">
        <w:rPr>
          <w:rFonts w:ascii="Times New Roman" w:eastAsia="Times New Roman" w:hAnsi="Times New Roman" w:cs="Times New Roman"/>
          <w:spacing w:val="6"/>
          <w:sz w:val="24"/>
          <w:szCs w:val="24"/>
        </w:rPr>
        <w:t>.</w:t>
      </w:r>
      <w:r w:rsidRPr="004502B0">
        <w:rPr>
          <w:rFonts w:ascii="Times New Roman" w:eastAsia="Times New Roman" w:hAnsi="Times New Roman" w:cs="Times New Roman"/>
          <w:spacing w:val="6"/>
          <w:sz w:val="24"/>
          <w:szCs w:val="24"/>
        </w:rPr>
        <w:t xml:space="preserve"> </w:t>
      </w:r>
      <w:r w:rsidR="007F6670" w:rsidRPr="004502B0">
        <w:rPr>
          <w:rFonts w:ascii="Times New Roman" w:eastAsia="Times New Roman" w:hAnsi="Times New Roman" w:cs="Times New Roman"/>
          <w:spacing w:val="6"/>
          <w:sz w:val="24"/>
          <w:szCs w:val="24"/>
        </w:rPr>
        <w:t>Tandis</w:t>
      </w:r>
      <w:r w:rsidRPr="004502B0">
        <w:rPr>
          <w:rFonts w:ascii="Times New Roman" w:eastAsia="Times New Roman" w:hAnsi="Times New Roman" w:cs="Times New Roman"/>
          <w:spacing w:val="6"/>
          <w:sz w:val="24"/>
          <w:szCs w:val="24"/>
        </w:rPr>
        <w:t xml:space="preserve"> que </w:t>
      </w:r>
      <w:r w:rsidRPr="004502B0">
        <w:rPr>
          <w:rFonts w:ascii="Times New Roman" w:eastAsia="Times New Roman" w:hAnsi="Times New Roman" w:cs="Times New Roman"/>
          <w:b/>
          <w:bCs/>
          <w:spacing w:val="6"/>
          <w:sz w:val="24"/>
          <w:szCs w:val="24"/>
        </w:rPr>
        <w:t>le tableau 18</w:t>
      </w:r>
      <w:r w:rsidRPr="004502B0">
        <w:rPr>
          <w:rFonts w:ascii="Times New Roman" w:eastAsia="Times New Roman" w:hAnsi="Times New Roman" w:cs="Times New Roman"/>
          <w:spacing w:val="6"/>
          <w:sz w:val="24"/>
          <w:szCs w:val="24"/>
        </w:rPr>
        <w:t xml:space="preserve"> classe l'importance des déclarations selon leurs fréquences. On peut remarquer des deux </w:t>
      </w:r>
      <w:r w:rsidR="007F6670" w:rsidRPr="004502B0">
        <w:rPr>
          <w:rFonts w:ascii="Times New Roman" w:eastAsia="Times New Roman" w:hAnsi="Times New Roman" w:cs="Times New Roman"/>
          <w:spacing w:val="6"/>
          <w:sz w:val="24"/>
          <w:szCs w:val="24"/>
        </w:rPr>
        <w:t xml:space="preserve">illustrations </w:t>
      </w:r>
      <w:r w:rsidRPr="004502B0">
        <w:rPr>
          <w:rFonts w:ascii="Times New Roman" w:eastAsia="Times New Roman" w:hAnsi="Times New Roman" w:cs="Times New Roman"/>
          <w:spacing w:val="6"/>
          <w:sz w:val="24"/>
          <w:szCs w:val="24"/>
        </w:rPr>
        <w:t xml:space="preserve">que </w:t>
      </w:r>
      <w:r w:rsidR="007F6670" w:rsidRPr="004502B0">
        <w:rPr>
          <w:rFonts w:ascii="Times New Roman" w:eastAsia="Times New Roman" w:hAnsi="Times New Roman" w:cs="Times New Roman"/>
          <w:spacing w:val="6"/>
          <w:sz w:val="24"/>
          <w:szCs w:val="24"/>
        </w:rPr>
        <w:t>la majorité des répondants sont « Fortement d'accord » ou « D'accord »</w:t>
      </w:r>
      <w:r w:rsidRPr="004502B0">
        <w:rPr>
          <w:rFonts w:ascii="Times New Roman" w:eastAsia="Times New Roman" w:hAnsi="Times New Roman" w:cs="Times New Roman"/>
          <w:spacing w:val="6"/>
          <w:sz w:val="24"/>
          <w:szCs w:val="24"/>
        </w:rPr>
        <w:t xml:space="preserve"> avec les cinq déclarations. Bien que la finance </w:t>
      </w:r>
      <w:r w:rsidR="00A5419D" w:rsidRPr="004502B0">
        <w:rPr>
          <w:rFonts w:ascii="Times New Roman" w:eastAsia="Times New Roman" w:hAnsi="Times New Roman" w:cs="Times New Roman"/>
          <w:spacing w:val="6"/>
          <w:sz w:val="24"/>
          <w:szCs w:val="24"/>
        </w:rPr>
        <w:t>i</w:t>
      </w:r>
      <w:r w:rsidR="003773C6" w:rsidRPr="004502B0">
        <w:rPr>
          <w:rFonts w:ascii="Times New Roman" w:eastAsia="Times New Roman" w:hAnsi="Times New Roman" w:cs="Times New Roman"/>
          <w:spacing w:val="6"/>
          <w:sz w:val="24"/>
          <w:szCs w:val="24"/>
        </w:rPr>
        <w:t>slamique</w:t>
      </w:r>
      <w:r w:rsidRPr="004502B0">
        <w:rPr>
          <w:rFonts w:ascii="Times New Roman" w:eastAsia="Times New Roman" w:hAnsi="Times New Roman" w:cs="Times New Roman"/>
          <w:spacing w:val="6"/>
          <w:sz w:val="24"/>
          <w:szCs w:val="24"/>
        </w:rPr>
        <w:t xml:space="preserve"> offre une finance éthique alternative, les BI doivent développer leurs propres techniques de financement et appliquer leurs principes de base.</w:t>
      </w:r>
    </w:p>
    <w:p w14:paraId="0CF0D01F" w14:textId="22FA07AF" w:rsidR="002760B2" w:rsidRPr="002B005F" w:rsidRDefault="004166FE" w:rsidP="007C0360">
      <w:pPr>
        <w:pStyle w:val="Lgende"/>
        <w:keepNext/>
        <w:tabs>
          <w:tab w:val="left" w:pos="0"/>
        </w:tabs>
        <w:spacing w:before="100" w:beforeAutospacing="1" w:after="120" w:line="300" w:lineRule="auto"/>
        <w:jc w:val="center"/>
        <w:rPr>
          <w:rFonts w:ascii="Times New Roman" w:eastAsia="Times New Roman" w:hAnsi="Times New Roman" w:cs="Times New Roman"/>
          <w:color w:val="auto"/>
          <w:sz w:val="24"/>
          <w:szCs w:val="24"/>
        </w:rPr>
      </w:pPr>
      <w:bookmarkStart w:id="1630" w:name="_Toc58605754"/>
      <w:r w:rsidRPr="002B005F">
        <w:rPr>
          <w:rFonts w:ascii="Times New Roman" w:hAnsi="Times New Roman" w:cs="Times New Roman"/>
          <w:color w:val="auto"/>
          <w:sz w:val="24"/>
          <w:szCs w:val="24"/>
        </w:rPr>
        <w:t xml:space="preserve">Graphique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Graphique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3</w:t>
      </w:r>
      <w:r w:rsidR="00B544E5" w:rsidRPr="002B005F">
        <w:rPr>
          <w:rFonts w:ascii="Times New Roman" w:hAnsi="Times New Roman" w:cs="Times New Roman"/>
          <w:color w:val="auto"/>
          <w:sz w:val="24"/>
          <w:szCs w:val="24"/>
        </w:rPr>
        <w:fldChar w:fldCharType="end"/>
      </w:r>
      <w:r w:rsidR="001D6F61"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Perception sur les pratiques bancaires </w:t>
      </w:r>
      <w:r w:rsidR="00A5419D">
        <w:rPr>
          <w:rFonts w:ascii="Times New Roman" w:hAnsi="Times New Roman" w:cs="Times New Roman"/>
          <w:color w:val="auto"/>
          <w:sz w:val="24"/>
          <w:szCs w:val="24"/>
        </w:rPr>
        <w:t>i</w:t>
      </w:r>
      <w:r w:rsidR="003773C6" w:rsidRPr="002B005F">
        <w:rPr>
          <w:rFonts w:ascii="Times New Roman" w:hAnsi="Times New Roman" w:cs="Times New Roman"/>
          <w:color w:val="auto"/>
          <w:sz w:val="24"/>
          <w:szCs w:val="24"/>
        </w:rPr>
        <w:t>slamique</w:t>
      </w:r>
      <w:r w:rsidRPr="002B005F">
        <w:rPr>
          <w:rFonts w:ascii="Times New Roman" w:hAnsi="Times New Roman" w:cs="Times New Roman"/>
          <w:color w:val="auto"/>
          <w:sz w:val="24"/>
          <w:szCs w:val="24"/>
        </w:rPr>
        <w:t>s</w:t>
      </w:r>
      <w:bookmarkEnd w:id="1630"/>
    </w:p>
    <w:p w14:paraId="0D6CF002" w14:textId="77777777" w:rsidR="002760B2" w:rsidRPr="002B005F" w:rsidRDefault="002760B2" w:rsidP="007C0360">
      <w:pPr>
        <w:keepNext/>
        <w:tabs>
          <w:tab w:val="left" w:pos="0"/>
        </w:tabs>
        <w:spacing w:line="360" w:lineRule="auto"/>
        <w:rPr>
          <w:rFonts w:ascii="Times New Roman" w:eastAsia="Times New Roman" w:hAnsi="Times New Roman" w:cs="Times New Roman"/>
          <w:b/>
          <w:bCs/>
          <w:sz w:val="24"/>
          <w:szCs w:val="24"/>
        </w:rPr>
      </w:pPr>
      <w:r w:rsidRPr="002B005F">
        <w:rPr>
          <w:rFonts w:ascii="Times New Roman" w:hAnsi="Times New Roman" w:cs="Times New Roman"/>
          <w:noProof/>
          <w:lang w:eastAsia="fr-FR"/>
        </w:rPr>
        <w:drawing>
          <wp:inline distT="0" distB="0" distL="0" distR="0" wp14:anchorId="70C196C6" wp14:editId="4DC21AB2">
            <wp:extent cx="5708099" cy="2664000"/>
            <wp:effectExtent l="19050" t="0" r="25951" b="3000"/>
            <wp:docPr id="6"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7403FCA" w14:textId="77777777" w:rsidR="002760B2" w:rsidRPr="002B005F" w:rsidRDefault="002760B2" w:rsidP="007C0360">
      <w:pPr>
        <w:keepNext/>
        <w:tabs>
          <w:tab w:val="center" w:pos="0"/>
        </w:tabs>
        <w:spacing w:before="120" w:after="100" w:afterAutospacing="1" w:line="240" w:lineRule="auto"/>
        <w:jc w:val="center"/>
        <w:rPr>
          <w:rFonts w:ascii="Times New Roman" w:eastAsia="Times New Roman" w:hAnsi="Times New Roman" w:cs="Times New Roman"/>
          <w:sz w:val="20"/>
          <w:szCs w:val="20"/>
        </w:rPr>
      </w:pPr>
      <w:r w:rsidRPr="002B005F">
        <w:rPr>
          <w:rFonts w:ascii="Times New Roman" w:eastAsia="Times New Roman" w:hAnsi="Times New Roman" w:cs="Times New Roman"/>
          <w:sz w:val="20"/>
          <w:szCs w:val="20"/>
        </w:rPr>
        <w:t>Source : calculs du chercheur.</w:t>
      </w:r>
    </w:p>
    <w:p w14:paraId="66DBF1A9" w14:textId="77777777" w:rsidR="007C0360" w:rsidRPr="002B005F" w:rsidRDefault="007C0360" w:rsidP="001D6F61">
      <w:pPr>
        <w:tabs>
          <w:tab w:val="center" w:pos="0"/>
        </w:tabs>
        <w:spacing w:before="120" w:after="100" w:afterAutospacing="1" w:line="240" w:lineRule="auto"/>
        <w:jc w:val="center"/>
        <w:rPr>
          <w:rFonts w:ascii="Times New Roman" w:eastAsia="Times New Roman" w:hAnsi="Times New Roman" w:cs="Times New Roman"/>
          <w:sz w:val="20"/>
          <w:szCs w:val="20"/>
        </w:rPr>
      </w:pPr>
    </w:p>
    <w:p w14:paraId="1ED2D2F6" w14:textId="45A8FA90" w:rsidR="00356214" w:rsidRPr="002B005F" w:rsidRDefault="00356214" w:rsidP="00322492">
      <w:pPr>
        <w:pStyle w:val="Lgende"/>
        <w:keepNext/>
        <w:tabs>
          <w:tab w:val="left" w:pos="0"/>
        </w:tabs>
        <w:spacing w:before="100" w:beforeAutospacing="1" w:after="120" w:line="300" w:lineRule="auto"/>
        <w:jc w:val="center"/>
        <w:rPr>
          <w:rFonts w:ascii="Times New Roman" w:hAnsi="Times New Roman" w:cs="Times New Roman"/>
          <w:color w:val="auto"/>
          <w:sz w:val="24"/>
          <w:szCs w:val="24"/>
        </w:rPr>
      </w:pPr>
      <w:bookmarkStart w:id="1631" w:name="_Toc115556086"/>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18</w:t>
      </w:r>
      <w:r w:rsidR="00B544E5" w:rsidRPr="002B005F">
        <w:rPr>
          <w:rFonts w:ascii="Times New Roman" w:hAnsi="Times New Roman" w:cs="Times New Roman"/>
          <w:color w:val="auto"/>
          <w:sz w:val="24"/>
          <w:szCs w:val="24"/>
        </w:rPr>
        <w:fldChar w:fldCharType="end"/>
      </w:r>
      <w:r w:rsidR="007C0360" w:rsidRPr="002B005F">
        <w:rPr>
          <w:rFonts w:ascii="Times New Roman" w:hAnsi="Times New Roman" w:cs="Times New Roman"/>
          <w:color w:val="auto"/>
          <w:sz w:val="24"/>
          <w:szCs w:val="24"/>
        </w:rPr>
        <w:t>-</w:t>
      </w:r>
      <w:r w:rsidR="004B75F0" w:rsidRPr="002B005F">
        <w:rPr>
          <w:rFonts w:ascii="Times New Roman" w:hAnsi="Times New Roman" w:cs="Times New Roman"/>
          <w:color w:val="auto"/>
          <w:sz w:val="24"/>
          <w:szCs w:val="24"/>
        </w:rPr>
        <w:t xml:space="preserve"> Perception</w:t>
      </w:r>
      <w:r w:rsidRPr="002B005F">
        <w:rPr>
          <w:rFonts w:ascii="Times New Roman" w:hAnsi="Times New Roman" w:cs="Times New Roman"/>
          <w:color w:val="auto"/>
          <w:sz w:val="24"/>
          <w:szCs w:val="24"/>
        </w:rPr>
        <w:t xml:space="preserve"> sur les pratiques bancaires </w:t>
      </w:r>
      <w:r w:rsidR="00A5419D">
        <w:rPr>
          <w:rFonts w:ascii="Times New Roman" w:hAnsi="Times New Roman" w:cs="Times New Roman"/>
          <w:color w:val="auto"/>
          <w:sz w:val="24"/>
          <w:szCs w:val="24"/>
        </w:rPr>
        <w:t>i</w:t>
      </w:r>
      <w:r w:rsidR="003773C6" w:rsidRPr="002B005F">
        <w:rPr>
          <w:rFonts w:ascii="Times New Roman" w:hAnsi="Times New Roman" w:cs="Times New Roman"/>
          <w:color w:val="auto"/>
          <w:sz w:val="24"/>
          <w:szCs w:val="24"/>
        </w:rPr>
        <w:t>slamique</w:t>
      </w:r>
      <w:r w:rsidRPr="002B005F">
        <w:rPr>
          <w:rFonts w:ascii="Times New Roman" w:hAnsi="Times New Roman" w:cs="Times New Roman"/>
          <w:color w:val="auto"/>
          <w:sz w:val="24"/>
          <w:szCs w:val="24"/>
        </w:rPr>
        <w:t>s</w:t>
      </w:r>
      <w:r w:rsidR="00322492" w:rsidRPr="002B005F">
        <w:rPr>
          <w:rFonts w:ascii="Times New Roman" w:hAnsi="Times New Roman" w:cs="Times New Roman"/>
          <w:color w:val="auto"/>
          <w:sz w:val="24"/>
          <w:szCs w:val="24"/>
        </w:rPr>
        <w:t xml:space="preserve"> en %</w:t>
      </w:r>
      <w:bookmarkEnd w:id="1631"/>
    </w:p>
    <w:tbl>
      <w:tblPr>
        <w:tblStyle w:val="Grillemoyenne1-Accent5"/>
        <w:tblW w:w="9069" w:type="dxa"/>
        <w:jc w:val="center"/>
        <w:shd w:val="clear" w:color="auto" w:fill="DEEAF6" w:themeFill="accent1" w:themeFillTint="33"/>
        <w:tblLayout w:type="fixed"/>
        <w:tblCellMar>
          <w:top w:w="28" w:type="dxa"/>
          <w:left w:w="28" w:type="dxa"/>
          <w:bottom w:w="28" w:type="dxa"/>
          <w:right w:w="28" w:type="dxa"/>
        </w:tblCellMar>
        <w:tblLook w:val="04A0" w:firstRow="1" w:lastRow="0" w:firstColumn="1" w:lastColumn="0" w:noHBand="0" w:noVBand="1"/>
      </w:tblPr>
      <w:tblGrid>
        <w:gridCol w:w="4819"/>
        <w:gridCol w:w="850"/>
        <w:gridCol w:w="850"/>
        <w:gridCol w:w="850"/>
        <w:gridCol w:w="850"/>
        <w:gridCol w:w="850"/>
      </w:tblGrid>
      <w:tr w:rsidR="002760B2" w:rsidRPr="002B005F" w14:paraId="64E6E0F3" w14:textId="77777777" w:rsidTr="005719AA">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DEEAF6" w:themeFill="accent1" w:themeFillTint="33"/>
            <w:vAlign w:val="center"/>
          </w:tcPr>
          <w:p w14:paraId="18F3F6CB" w14:textId="77777777" w:rsidR="002760B2" w:rsidRPr="002B005F" w:rsidRDefault="003C2104" w:rsidP="00322492">
            <w:pPr>
              <w:tabs>
                <w:tab w:val="left" w:pos="0"/>
              </w:tabs>
              <w:jc w:val="center"/>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D</w:t>
            </w:r>
            <w:r w:rsidR="002760B2" w:rsidRPr="002B005F">
              <w:rPr>
                <w:rFonts w:ascii="Times New Roman" w:eastAsia="Times New Roman" w:hAnsi="Times New Roman" w:cs="Times New Roman"/>
                <w:sz w:val="24"/>
                <w:szCs w:val="24"/>
              </w:rPr>
              <w:t>éclarations</w:t>
            </w:r>
          </w:p>
        </w:tc>
        <w:tc>
          <w:tcPr>
            <w:tcW w:w="850" w:type="dxa"/>
            <w:shd w:val="clear" w:color="auto" w:fill="DEEAF6" w:themeFill="accent1" w:themeFillTint="33"/>
            <w:vAlign w:val="center"/>
          </w:tcPr>
          <w:p w14:paraId="624F91E6" w14:textId="77777777" w:rsidR="002760B2" w:rsidRPr="002B005F" w:rsidRDefault="002760B2" w:rsidP="00322492">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FD</w:t>
            </w:r>
          </w:p>
        </w:tc>
        <w:tc>
          <w:tcPr>
            <w:tcW w:w="850" w:type="dxa"/>
            <w:shd w:val="clear" w:color="auto" w:fill="DEEAF6" w:themeFill="accent1" w:themeFillTint="33"/>
            <w:vAlign w:val="center"/>
          </w:tcPr>
          <w:p w14:paraId="219D21B0" w14:textId="77777777" w:rsidR="002760B2" w:rsidRPr="002B005F" w:rsidRDefault="002760B2" w:rsidP="00322492">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D</w:t>
            </w:r>
          </w:p>
        </w:tc>
        <w:tc>
          <w:tcPr>
            <w:tcW w:w="850" w:type="dxa"/>
            <w:shd w:val="clear" w:color="auto" w:fill="DEEAF6" w:themeFill="accent1" w:themeFillTint="33"/>
            <w:vAlign w:val="center"/>
          </w:tcPr>
          <w:p w14:paraId="24221D74" w14:textId="77777777" w:rsidR="002760B2" w:rsidRPr="002B005F" w:rsidRDefault="002760B2" w:rsidP="00322492">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N</w:t>
            </w:r>
          </w:p>
        </w:tc>
        <w:tc>
          <w:tcPr>
            <w:tcW w:w="850" w:type="dxa"/>
            <w:shd w:val="clear" w:color="auto" w:fill="DEEAF6" w:themeFill="accent1" w:themeFillTint="33"/>
            <w:vAlign w:val="center"/>
          </w:tcPr>
          <w:p w14:paraId="4BD0ADAD" w14:textId="77777777" w:rsidR="002760B2" w:rsidRPr="002B005F" w:rsidRDefault="002760B2" w:rsidP="00322492">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A</w:t>
            </w:r>
          </w:p>
        </w:tc>
        <w:tc>
          <w:tcPr>
            <w:tcW w:w="850" w:type="dxa"/>
            <w:shd w:val="clear" w:color="auto" w:fill="DEEAF6" w:themeFill="accent1" w:themeFillTint="33"/>
            <w:vAlign w:val="center"/>
          </w:tcPr>
          <w:p w14:paraId="1FA3AB14" w14:textId="77777777" w:rsidR="002760B2" w:rsidRPr="002B005F" w:rsidRDefault="002760B2" w:rsidP="00322492">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FA</w:t>
            </w:r>
          </w:p>
        </w:tc>
      </w:tr>
      <w:tr w:rsidR="002760B2" w:rsidRPr="002B005F" w14:paraId="2E072362" w14:textId="77777777" w:rsidTr="005719AA">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center"/>
          </w:tcPr>
          <w:p w14:paraId="0850BD72" w14:textId="77777777" w:rsidR="002760B2" w:rsidRPr="00B424F2" w:rsidRDefault="002760B2" w:rsidP="00B424F2">
            <w:pPr>
              <w:tabs>
                <w:tab w:val="left" w:pos="0"/>
              </w:tabs>
              <w:ind w:left="57" w:right="57"/>
              <w:jc w:val="left"/>
              <w:rPr>
                <w:rFonts w:ascii="Times New Roman" w:eastAsia="Times New Roman" w:hAnsi="Times New Roman" w:cs="Times New Roman"/>
                <w:b w:val="0"/>
                <w:bCs w:val="0"/>
              </w:rPr>
            </w:pPr>
            <w:r w:rsidRPr="00B424F2">
              <w:rPr>
                <w:rFonts w:ascii="Times New Roman" w:eastAsia="Times New Roman" w:hAnsi="Times New Roman" w:cs="Times New Roman"/>
                <w:b w:val="0"/>
                <w:bCs w:val="0"/>
              </w:rPr>
              <w:t>Les BI évitent les modes de financement participatif à cause de leur degré de risque trop élevé.</w:t>
            </w:r>
          </w:p>
        </w:tc>
        <w:tc>
          <w:tcPr>
            <w:tcW w:w="850" w:type="dxa"/>
            <w:shd w:val="clear" w:color="auto" w:fill="auto"/>
            <w:vAlign w:val="center"/>
          </w:tcPr>
          <w:p w14:paraId="1C8078DC"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6.5</w:t>
            </w:r>
          </w:p>
        </w:tc>
        <w:tc>
          <w:tcPr>
            <w:tcW w:w="850" w:type="dxa"/>
            <w:shd w:val="clear" w:color="auto" w:fill="auto"/>
            <w:vAlign w:val="center"/>
          </w:tcPr>
          <w:p w14:paraId="07A95D7A"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22.8</w:t>
            </w:r>
          </w:p>
        </w:tc>
        <w:tc>
          <w:tcPr>
            <w:tcW w:w="850" w:type="dxa"/>
            <w:shd w:val="clear" w:color="auto" w:fill="auto"/>
            <w:vAlign w:val="center"/>
          </w:tcPr>
          <w:p w14:paraId="0773C4BA"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15.2</w:t>
            </w:r>
          </w:p>
        </w:tc>
        <w:tc>
          <w:tcPr>
            <w:tcW w:w="850" w:type="dxa"/>
            <w:shd w:val="clear" w:color="auto" w:fill="auto"/>
            <w:vAlign w:val="center"/>
          </w:tcPr>
          <w:p w14:paraId="7F4EB7E8"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28.3</w:t>
            </w:r>
          </w:p>
        </w:tc>
        <w:tc>
          <w:tcPr>
            <w:tcW w:w="850" w:type="dxa"/>
            <w:shd w:val="clear" w:color="auto" w:fill="auto"/>
            <w:vAlign w:val="center"/>
          </w:tcPr>
          <w:p w14:paraId="09F24329"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27.2</w:t>
            </w:r>
          </w:p>
        </w:tc>
      </w:tr>
      <w:tr w:rsidR="002760B2" w:rsidRPr="002B005F" w14:paraId="54DF0D3E" w14:textId="77777777" w:rsidTr="005719AA">
        <w:trPr>
          <w:trHeight w:val="624"/>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center"/>
          </w:tcPr>
          <w:p w14:paraId="62E535E0" w14:textId="77777777" w:rsidR="002760B2" w:rsidRPr="00B424F2" w:rsidRDefault="002760B2" w:rsidP="00B424F2">
            <w:pPr>
              <w:tabs>
                <w:tab w:val="left" w:pos="0"/>
              </w:tabs>
              <w:ind w:left="57" w:right="57"/>
              <w:jc w:val="left"/>
              <w:rPr>
                <w:rFonts w:ascii="Times New Roman" w:eastAsia="Times New Roman" w:hAnsi="Times New Roman" w:cs="Times New Roman"/>
                <w:b w:val="0"/>
                <w:bCs w:val="0"/>
              </w:rPr>
            </w:pPr>
            <w:r w:rsidRPr="00B424F2">
              <w:rPr>
                <w:rFonts w:ascii="Times New Roman" w:eastAsia="Times New Roman" w:hAnsi="Times New Roman" w:cs="Times New Roman"/>
                <w:b w:val="0"/>
                <w:bCs w:val="0"/>
              </w:rPr>
              <w:t>Les BI font recours massivement aux produits financiers à revenu fixe.</w:t>
            </w:r>
          </w:p>
        </w:tc>
        <w:tc>
          <w:tcPr>
            <w:tcW w:w="850" w:type="dxa"/>
            <w:shd w:val="clear" w:color="auto" w:fill="auto"/>
            <w:vAlign w:val="center"/>
          </w:tcPr>
          <w:p w14:paraId="0E50B2F6" w14:textId="77777777" w:rsidR="002760B2" w:rsidRPr="002B005F" w:rsidRDefault="00322492" w:rsidP="00322492">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4.3</w:t>
            </w:r>
          </w:p>
        </w:tc>
        <w:tc>
          <w:tcPr>
            <w:tcW w:w="850" w:type="dxa"/>
            <w:shd w:val="clear" w:color="auto" w:fill="auto"/>
            <w:vAlign w:val="center"/>
          </w:tcPr>
          <w:p w14:paraId="48EE4003" w14:textId="77777777" w:rsidR="002760B2" w:rsidRPr="002B005F" w:rsidRDefault="00322492" w:rsidP="00322492">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08.3</w:t>
            </w:r>
          </w:p>
        </w:tc>
        <w:tc>
          <w:tcPr>
            <w:tcW w:w="850" w:type="dxa"/>
            <w:shd w:val="clear" w:color="auto" w:fill="auto"/>
            <w:vAlign w:val="center"/>
          </w:tcPr>
          <w:p w14:paraId="771A9937" w14:textId="77777777" w:rsidR="002760B2" w:rsidRPr="002B005F" w:rsidRDefault="00322492" w:rsidP="00322492">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10.1</w:t>
            </w:r>
          </w:p>
        </w:tc>
        <w:tc>
          <w:tcPr>
            <w:tcW w:w="850" w:type="dxa"/>
            <w:shd w:val="clear" w:color="auto" w:fill="auto"/>
            <w:vAlign w:val="center"/>
          </w:tcPr>
          <w:p w14:paraId="5274C2EC" w14:textId="77777777" w:rsidR="002760B2" w:rsidRPr="002B005F" w:rsidRDefault="00322492" w:rsidP="00322492">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47.8</w:t>
            </w:r>
          </w:p>
        </w:tc>
        <w:tc>
          <w:tcPr>
            <w:tcW w:w="850" w:type="dxa"/>
            <w:shd w:val="clear" w:color="auto" w:fill="auto"/>
            <w:vAlign w:val="center"/>
          </w:tcPr>
          <w:p w14:paraId="6466BFF5" w14:textId="77777777" w:rsidR="002760B2" w:rsidRPr="002B005F" w:rsidRDefault="00322492" w:rsidP="00322492">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29.5</w:t>
            </w:r>
          </w:p>
        </w:tc>
      </w:tr>
      <w:tr w:rsidR="002760B2" w:rsidRPr="002B005F" w14:paraId="073BD30F" w14:textId="77777777" w:rsidTr="005719A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center"/>
          </w:tcPr>
          <w:p w14:paraId="0C0BEB4D" w14:textId="77777777" w:rsidR="002760B2" w:rsidRPr="00B424F2" w:rsidRDefault="002760B2" w:rsidP="00B424F2">
            <w:pPr>
              <w:tabs>
                <w:tab w:val="left" w:pos="0"/>
              </w:tabs>
              <w:ind w:left="57" w:right="57"/>
              <w:jc w:val="left"/>
              <w:rPr>
                <w:rFonts w:ascii="Times New Roman" w:eastAsia="Times New Roman" w:hAnsi="Times New Roman" w:cs="Times New Roman"/>
                <w:b w:val="0"/>
                <w:bCs w:val="0"/>
              </w:rPr>
            </w:pPr>
            <w:r w:rsidRPr="00B424F2">
              <w:rPr>
                <w:rFonts w:ascii="Times New Roman" w:eastAsia="Times New Roman" w:hAnsi="Times New Roman" w:cs="Times New Roman"/>
                <w:b w:val="0"/>
                <w:bCs w:val="0"/>
              </w:rPr>
              <w:t>La FI fournit une alternative bancaire</w:t>
            </w:r>
            <w:r w:rsidR="005719AA" w:rsidRPr="00B424F2">
              <w:rPr>
                <w:rFonts w:ascii="Times New Roman" w:eastAsia="Times New Roman" w:hAnsi="Times New Roman" w:cs="Times New Roman"/>
                <w:b w:val="0"/>
                <w:bCs w:val="0"/>
              </w:rPr>
              <w:t>.</w:t>
            </w:r>
          </w:p>
        </w:tc>
        <w:tc>
          <w:tcPr>
            <w:tcW w:w="850" w:type="dxa"/>
            <w:shd w:val="clear" w:color="auto" w:fill="auto"/>
            <w:vAlign w:val="center"/>
          </w:tcPr>
          <w:p w14:paraId="404EB267"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4.3</w:t>
            </w:r>
          </w:p>
        </w:tc>
        <w:tc>
          <w:tcPr>
            <w:tcW w:w="850" w:type="dxa"/>
            <w:shd w:val="clear" w:color="auto" w:fill="auto"/>
            <w:vAlign w:val="center"/>
          </w:tcPr>
          <w:p w14:paraId="261EF38F"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10</w:t>
            </w:r>
            <w:r w:rsidR="004B75F0" w:rsidRPr="002B005F">
              <w:rPr>
                <w:rFonts w:ascii="Times New Roman" w:eastAsia="Times New Roman" w:hAnsi="Times New Roman" w:cs="Times New Roman"/>
                <w:sz w:val="24"/>
                <w:szCs w:val="24"/>
              </w:rPr>
              <w:t>.0</w:t>
            </w:r>
          </w:p>
        </w:tc>
        <w:tc>
          <w:tcPr>
            <w:tcW w:w="850" w:type="dxa"/>
            <w:shd w:val="clear" w:color="auto" w:fill="auto"/>
            <w:vAlign w:val="center"/>
          </w:tcPr>
          <w:p w14:paraId="0C727C22"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14.2</w:t>
            </w:r>
          </w:p>
        </w:tc>
        <w:tc>
          <w:tcPr>
            <w:tcW w:w="850" w:type="dxa"/>
            <w:shd w:val="clear" w:color="auto" w:fill="auto"/>
            <w:vAlign w:val="center"/>
          </w:tcPr>
          <w:p w14:paraId="1F10ED42"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41.3</w:t>
            </w:r>
          </w:p>
        </w:tc>
        <w:tc>
          <w:tcPr>
            <w:tcW w:w="850" w:type="dxa"/>
            <w:shd w:val="clear" w:color="auto" w:fill="auto"/>
            <w:vAlign w:val="center"/>
          </w:tcPr>
          <w:p w14:paraId="676ACCB3"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30.2</w:t>
            </w:r>
          </w:p>
        </w:tc>
      </w:tr>
      <w:tr w:rsidR="002760B2" w:rsidRPr="002B005F" w14:paraId="422DC6E6" w14:textId="77777777" w:rsidTr="005719AA">
        <w:trPr>
          <w:trHeight w:val="567"/>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center"/>
          </w:tcPr>
          <w:p w14:paraId="1D1CACBC" w14:textId="77777777" w:rsidR="002760B2" w:rsidRPr="00B424F2" w:rsidRDefault="002760B2" w:rsidP="00B424F2">
            <w:pPr>
              <w:tabs>
                <w:tab w:val="left" w:pos="0"/>
              </w:tabs>
              <w:ind w:left="57" w:right="57"/>
              <w:jc w:val="left"/>
              <w:rPr>
                <w:rFonts w:ascii="Times New Roman" w:eastAsia="Times New Roman" w:hAnsi="Times New Roman" w:cs="Times New Roman"/>
                <w:b w:val="0"/>
                <w:bCs w:val="0"/>
              </w:rPr>
            </w:pPr>
            <w:r w:rsidRPr="00B424F2">
              <w:rPr>
                <w:rFonts w:ascii="Times New Roman" w:eastAsia="Times New Roman" w:hAnsi="Times New Roman" w:cs="Times New Roman"/>
                <w:b w:val="0"/>
                <w:bCs w:val="0"/>
              </w:rPr>
              <w:t>Les BI imitent les banques conventionnelles</w:t>
            </w:r>
            <w:r w:rsidR="005719AA" w:rsidRPr="00B424F2">
              <w:rPr>
                <w:rFonts w:ascii="Times New Roman" w:eastAsia="Times New Roman" w:hAnsi="Times New Roman" w:cs="Times New Roman"/>
                <w:b w:val="0"/>
                <w:bCs w:val="0"/>
              </w:rPr>
              <w:t>.</w:t>
            </w:r>
          </w:p>
        </w:tc>
        <w:tc>
          <w:tcPr>
            <w:tcW w:w="850" w:type="dxa"/>
            <w:shd w:val="clear" w:color="auto" w:fill="auto"/>
            <w:vAlign w:val="center"/>
          </w:tcPr>
          <w:p w14:paraId="701B6A4E" w14:textId="77777777" w:rsidR="002760B2" w:rsidRPr="002B005F" w:rsidRDefault="00322492" w:rsidP="00322492">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7.4</w:t>
            </w:r>
          </w:p>
        </w:tc>
        <w:tc>
          <w:tcPr>
            <w:tcW w:w="850" w:type="dxa"/>
            <w:shd w:val="clear" w:color="auto" w:fill="auto"/>
            <w:vAlign w:val="center"/>
          </w:tcPr>
          <w:p w14:paraId="66CA3383" w14:textId="77777777" w:rsidR="002760B2" w:rsidRPr="002B005F" w:rsidRDefault="00322492" w:rsidP="00322492">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07.6</w:t>
            </w:r>
          </w:p>
        </w:tc>
        <w:tc>
          <w:tcPr>
            <w:tcW w:w="850" w:type="dxa"/>
            <w:shd w:val="clear" w:color="auto" w:fill="auto"/>
            <w:vAlign w:val="center"/>
          </w:tcPr>
          <w:p w14:paraId="7627081F" w14:textId="77777777" w:rsidR="002760B2" w:rsidRPr="002B005F" w:rsidRDefault="00322492" w:rsidP="00322492">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21.5</w:t>
            </w:r>
          </w:p>
        </w:tc>
        <w:tc>
          <w:tcPr>
            <w:tcW w:w="850" w:type="dxa"/>
            <w:shd w:val="clear" w:color="auto" w:fill="auto"/>
            <w:vAlign w:val="center"/>
          </w:tcPr>
          <w:p w14:paraId="526F7DCE" w14:textId="77777777" w:rsidR="002760B2" w:rsidRPr="002B005F" w:rsidRDefault="00322492" w:rsidP="00322492">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38.3</w:t>
            </w:r>
          </w:p>
        </w:tc>
        <w:tc>
          <w:tcPr>
            <w:tcW w:w="850" w:type="dxa"/>
            <w:shd w:val="clear" w:color="auto" w:fill="auto"/>
            <w:vAlign w:val="center"/>
          </w:tcPr>
          <w:p w14:paraId="1A3A1B15" w14:textId="77777777" w:rsidR="002760B2" w:rsidRPr="002B005F" w:rsidRDefault="00322492" w:rsidP="00322492">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25.2</w:t>
            </w:r>
          </w:p>
        </w:tc>
      </w:tr>
      <w:tr w:rsidR="002760B2" w:rsidRPr="002B005F" w14:paraId="44863C39" w14:textId="77777777" w:rsidTr="005719AA">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center"/>
          </w:tcPr>
          <w:p w14:paraId="71345053" w14:textId="77777777" w:rsidR="002760B2" w:rsidRPr="00B424F2" w:rsidRDefault="002760B2" w:rsidP="00B424F2">
            <w:pPr>
              <w:tabs>
                <w:tab w:val="left" w:pos="0"/>
              </w:tabs>
              <w:ind w:left="57" w:right="57"/>
              <w:jc w:val="left"/>
              <w:rPr>
                <w:rFonts w:ascii="Times New Roman" w:eastAsia="Times New Roman" w:hAnsi="Times New Roman" w:cs="Times New Roman"/>
                <w:b w:val="0"/>
                <w:bCs w:val="0"/>
              </w:rPr>
            </w:pPr>
            <w:r w:rsidRPr="00B424F2">
              <w:rPr>
                <w:rFonts w:ascii="Times New Roman" w:eastAsia="Times New Roman" w:hAnsi="Times New Roman" w:cs="Times New Roman"/>
                <w:b w:val="0"/>
                <w:bCs w:val="0"/>
              </w:rPr>
              <w:t>Il existe une différence entre les principes et les pratiques actuelles des BI</w:t>
            </w:r>
            <w:r w:rsidR="005719AA" w:rsidRPr="00B424F2">
              <w:rPr>
                <w:rFonts w:ascii="Times New Roman" w:eastAsia="Times New Roman" w:hAnsi="Times New Roman" w:cs="Times New Roman"/>
                <w:b w:val="0"/>
                <w:bCs w:val="0"/>
              </w:rPr>
              <w:t>.</w:t>
            </w:r>
          </w:p>
        </w:tc>
        <w:tc>
          <w:tcPr>
            <w:tcW w:w="850" w:type="dxa"/>
            <w:shd w:val="clear" w:color="auto" w:fill="auto"/>
            <w:vAlign w:val="center"/>
          </w:tcPr>
          <w:p w14:paraId="7EFA7A22"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6.5</w:t>
            </w:r>
          </w:p>
        </w:tc>
        <w:tc>
          <w:tcPr>
            <w:tcW w:w="850" w:type="dxa"/>
            <w:shd w:val="clear" w:color="auto" w:fill="auto"/>
            <w:vAlign w:val="center"/>
          </w:tcPr>
          <w:p w14:paraId="6A2C5F76"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05.2</w:t>
            </w:r>
          </w:p>
        </w:tc>
        <w:tc>
          <w:tcPr>
            <w:tcW w:w="850" w:type="dxa"/>
            <w:shd w:val="clear" w:color="auto" w:fill="auto"/>
            <w:vAlign w:val="center"/>
          </w:tcPr>
          <w:p w14:paraId="43572E79"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07.2</w:t>
            </w:r>
          </w:p>
        </w:tc>
        <w:tc>
          <w:tcPr>
            <w:tcW w:w="850" w:type="dxa"/>
            <w:shd w:val="clear" w:color="auto" w:fill="auto"/>
            <w:vAlign w:val="center"/>
          </w:tcPr>
          <w:p w14:paraId="029EB46C"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47,0</w:t>
            </w:r>
          </w:p>
        </w:tc>
        <w:tc>
          <w:tcPr>
            <w:tcW w:w="850" w:type="dxa"/>
            <w:shd w:val="clear" w:color="auto" w:fill="auto"/>
            <w:vAlign w:val="center"/>
          </w:tcPr>
          <w:p w14:paraId="1D7C4C42" w14:textId="77777777" w:rsidR="002760B2" w:rsidRPr="002B005F" w:rsidRDefault="00322492" w:rsidP="0032249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34.1</w:t>
            </w:r>
          </w:p>
        </w:tc>
      </w:tr>
    </w:tbl>
    <w:p w14:paraId="6CC122AF" w14:textId="77777777" w:rsidR="002760B2" w:rsidRPr="002B005F" w:rsidRDefault="00E25722" w:rsidP="00E25722">
      <w:pPr>
        <w:tabs>
          <w:tab w:val="left" w:pos="0"/>
        </w:tabs>
        <w:autoSpaceDE w:val="0"/>
        <w:autoSpaceDN w:val="0"/>
        <w:adjustRightInd w:val="0"/>
        <w:spacing w:before="120" w:line="240" w:lineRule="auto"/>
        <w:rPr>
          <w:rFonts w:ascii="Times New Roman" w:hAnsi="Times New Roman" w:cs="Times New Roman"/>
          <w:sz w:val="20"/>
          <w:szCs w:val="20"/>
        </w:rPr>
      </w:pPr>
      <w:r w:rsidRPr="002B005F">
        <w:rPr>
          <w:rFonts w:ascii="Times New Roman" w:hAnsi="Times New Roman" w:cs="Times New Roman"/>
          <w:sz w:val="20"/>
          <w:szCs w:val="20"/>
        </w:rPr>
        <w:t>Notes :</w:t>
      </w:r>
      <w:r w:rsidR="002760B2" w:rsidRPr="002B005F">
        <w:rPr>
          <w:rFonts w:ascii="Times New Roman" w:hAnsi="Times New Roman" w:cs="Times New Roman"/>
          <w:sz w:val="20"/>
          <w:szCs w:val="20"/>
        </w:rPr>
        <w:t xml:space="preserve"> </w:t>
      </w:r>
      <w:r w:rsidRPr="002B005F">
        <w:rPr>
          <w:rFonts w:ascii="Times New Roman" w:hAnsi="Times New Roman" w:cs="Times New Roman"/>
          <w:sz w:val="20"/>
          <w:szCs w:val="20"/>
        </w:rPr>
        <w:t>Echelle :</w:t>
      </w:r>
      <w:r w:rsidR="002760B2" w:rsidRPr="002B005F">
        <w:rPr>
          <w:rFonts w:ascii="Times New Roman" w:hAnsi="Times New Roman" w:cs="Times New Roman"/>
          <w:sz w:val="20"/>
          <w:szCs w:val="20"/>
        </w:rPr>
        <w:t xml:space="preserve"> 1 = Fo</w:t>
      </w:r>
      <w:r w:rsidRPr="002B005F">
        <w:rPr>
          <w:rFonts w:ascii="Times New Roman" w:hAnsi="Times New Roman" w:cs="Times New Roman"/>
          <w:sz w:val="20"/>
          <w:szCs w:val="20"/>
        </w:rPr>
        <w:t>rtement en désaccord (FD), 2 = E</w:t>
      </w:r>
      <w:r w:rsidR="002760B2" w:rsidRPr="002B005F">
        <w:rPr>
          <w:rFonts w:ascii="Times New Roman" w:hAnsi="Times New Roman" w:cs="Times New Roman"/>
          <w:sz w:val="20"/>
          <w:szCs w:val="20"/>
        </w:rPr>
        <w:t xml:space="preserve">n désaccord (D), 3 = Neutre (N), 4 = En accord (A), </w:t>
      </w:r>
      <w:r w:rsidRPr="002B005F">
        <w:rPr>
          <w:rFonts w:ascii="Times New Roman" w:hAnsi="Times New Roman" w:cs="Times New Roman"/>
          <w:sz w:val="20"/>
          <w:szCs w:val="20"/>
        </w:rPr>
        <w:t>5 = </w:t>
      </w:r>
      <w:r w:rsidR="002760B2" w:rsidRPr="002B005F">
        <w:rPr>
          <w:rFonts w:ascii="Times New Roman" w:hAnsi="Times New Roman" w:cs="Times New Roman"/>
          <w:sz w:val="20"/>
          <w:szCs w:val="20"/>
        </w:rPr>
        <w:t>fortement en accord (FA)</w:t>
      </w:r>
    </w:p>
    <w:p w14:paraId="485C7475" w14:textId="77777777" w:rsidR="002760B2" w:rsidRPr="002B005F" w:rsidRDefault="002760B2" w:rsidP="00B424F2">
      <w:pPr>
        <w:tabs>
          <w:tab w:val="left" w:pos="0"/>
        </w:tabs>
        <w:spacing w:after="100" w:afterAutospacing="1" w:line="240" w:lineRule="auto"/>
        <w:jc w:val="center"/>
        <w:rPr>
          <w:rFonts w:ascii="Times New Roman" w:eastAsia="Times New Roman" w:hAnsi="Times New Roman" w:cs="Times New Roman"/>
          <w:sz w:val="20"/>
          <w:szCs w:val="20"/>
        </w:rPr>
      </w:pPr>
      <w:r w:rsidRPr="002B005F">
        <w:rPr>
          <w:rFonts w:ascii="Times New Roman" w:eastAsia="Times New Roman" w:hAnsi="Times New Roman" w:cs="Times New Roman"/>
          <w:sz w:val="20"/>
          <w:szCs w:val="20"/>
        </w:rPr>
        <w:t>Source : calculs du chercheur.</w:t>
      </w:r>
    </w:p>
    <w:p w14:paraId="1DEC811A" w14:textId="77777777" w:rsidR="002760B2" w:rsidRPr="002B005F" w:rsidRDefault="002760B2" w:rsidP="00E25722">
      <w:pPr>
        <w:tabs>
          <w:tab w:val="left" w:pos="0"/>
        </w:tabs>
        <w:spacing w:before="100" w:beforeAutospacing="1"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Le </w:t>
      </w:r>
      <w:r w:rsidRPr="002B005F">
        <w:rPr>
          <w:rFonts w:ascii="Times New Roman" w:eastAsia="Times New Roman" w:hAnsi="Times New Roman" w:cs="Times New Roman"/>
          <w:b/>
          <w:bCs/>
          <w:sz w:val="24"/>
          <w:szCs w:val="24"/>
        </w:rPr>
        <w:t>tableau 19</w:t>
      </w:r>
      <w:r w:rsidRPr="002B005F">
        <w:rPr>
          <w:rFonts w:ascii="Times New Roman" w:eastAsia="Times New Roman" w:hAnsi="Times New Roman" w:cs="Times New Roman"/>
          <w:sz w:val="24"/>
          <w:szCs w:val="24"/>
        </w:rPr>
        <w:t xml:space="preserve"> résume les causes possibles pour lesquelles les BI évitent le recours aux produits de financement participatif. Nous remarquons que la proposition qui a attiré beaucoup plus les répondants est le problème de sélection adverse lié à ces techniques de financement (3.82) suivie par le problème d’aléa moral (3.6). De plus, la deuxième proposition était assez importante du point de vue des répondants avec une moyenne de 3.45.</w:t>
      </w:r>
    </w:p>
    <w:p w14:paraId="152178B2" w14:textId="77777777" w:rsidR="004E749F" w:rsidRPr="00576432" w:rsidRDefault="002760B2" w:rsidP="00576432">
      <w:pPr>
        <w:tabs>
          <w:tab w:val="left" w:pos="0"/>
        </w:tabs>
        <w:spacing w:before="120" w:line="300" w:lineRule="auto"/>
        <w:ind w:firstLine="709"/>
        <w:rPr>
          <w:rFonts w:ascii="Times New Roman" w:eastAsia="Times New Roman" w:hAnsi="Times New Roman" w:cs="Times New Roman"/>
          <w:sz w:val="24"/>
          <w:szCs w:val="24"/>
        </w:rPr>
      </w:pPr>
      <w:r w:rsidRPr="002B005F">
        <w:rPr>
          <w:rFonts w:ascii="Times New Roman" w:hAnsi="Times New Roman" w:cs="Times New Roman"/>
          <w:sz w:val="24"/>
          <w:szCs w:val="24"/>
        </w:rPr>
        <w:t xml:space="preserve">Dans le cas où l'information est cachée, le type ou la caractéristique de l'entrepreneur n'est pas parfaitement identifiable par le créancier, à savoir la banque </w:t>
      </w:r>
      <w:r w:rsidR="00EB3B63">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alors cette dernière doit mettre en place des techniques de prévention contre les effets néfastes de la sélection adverse</w:t>
      </w:r>
      <w:r w:rsidRPr="002B005F">
        <w:rPr>
          <w:rFonts w:ascii="Times New Roman" w:eastAsia="Times New Roman" w:hAnsi="Times New Roman" w:cs="Times New Roman"/>
          <w:sz w:val="24"/>
          <w:szCs w:val="24"/>
        </w:rPr>
        <w:t>. L’</w:t>
      </w:r>
      <w:r w:rsidR="00576432">
        <w:rPr>
          <w:rFonts w:ascii="Times New Roman" w:eastAsia="Times New Roman" w:hAnsi="Times New Roman" w:cs="Times New Roman"/>
          <w:sz w:val="24"/>
          <w:szCs w:val="24"/>
        </w:rPr>
        <w:t xml:space="preserve">aléa moral </w:t>
      </w:r>
      <w:r w:rsidRPr="002B005F">
        <w:rPr>
          <w:rFonts w:ascii="Times New Roman" w:eastAsia="Times New Roman" w:hAnsi="Times New Roman" w:cs="Times New Roman"/>
          <w:sz w:val="24"/>
          <w:szCs w:val="24"/>
        </w:rPr>
        <w:t xml:space="preserve">résulte généralement du non-respect des termes du contrat. </w:t>
      </w:r>
      <w:r w:rsidRPr="002B005F">
        <w:rPr>
          <w:rFonts w:ascii="Times New Roman" w:hAnsi="Times New Roman" w:cs="Times New Roman"/>
          <w:sz w:val="24"/>
          <w:szCs w:val="24"/>
        </w:rPr>
        <w:t>Après la conclusion du contrat de prêt, le rendement du projet dépend de l’action de l’emprunteur, de son comportement et de l’effort fourni</w:t>
      </w:r>
      <w:r w:rsidRPr="002B005F">
        <w:rPr>
          <w:rStyle w:val="Appelnotedebasdep"/>
          <w:rFonts w:ascii="Times New Roman" w:hAnsi="Times New Roman"/>
          <w:sz w:val="24"/>
          <w:szCs w:val="24"/>
        </w:rPr>
        <w:footnoteReference w:id="408"/>
      </w:r>
      <w:r w:rsidR="004E749F" w:rsidRPr="002B005F">
        <w:rPr>
          <w:rFonts w:ascii="Times New Roman" w:hAnsi="Times New Roman" w:cs="Times New Roman"/>
          <w:sz w:val="24"/>
          <w:szCs w:val="24"/>
        </w:rPr>
        <w:t>.</w:t>
      </w:r>
    </w:p>
    <w:p w14:paraId="40200B9F" w14:textId="77777777" w:rsidR="002760B2" w:rsidRPr="002B005F" w:rsidRDefault="002760B2" w:rsidP="00E25722">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Ainsi, l’emprunteur peut s’aventurer dans des projets très risqués autres que le projet objet du financement, entreprendre des activités inappropriées contribuant à l’échec du projet ou fournir un effort insuffisant à la réussite du projet. D’ailleurs, les engagements de la BI à financer des emprunteurs sur la base du principe 3P entraine des coûts de surveillance très élevés pour s’assurer du bon fonctionnement du projet et pour éviter les problèmes d’asymétrie informationnelle.</w:t>
      </w:r>
    </w:p>
    <w:p w14:paraId="286AAD21" w14:textId="77777777" w:rsidR="002760B2" w:rsidRPr="002B005F" w:rsidRDefault="002760B2" w:rsidP="00E25722">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Les résultats du test du Chi-deux indiquent la présence d’une qualité d'ajustement pour les raisons de réticence des BI d’utiliser les contrats financiers participatifs, avec un niveau de signification (P&lt;5%).</w:t>
      </w:r>
    </w:p>
    <w:p w14:paraId="1F8080B7" w14:textId="1A80155C" w:rsidR="00356214" w:rsidRPr="002B005F" w:rsidRDefault="00356214" w:rsidP="00E25722">
      <w:pPr>
        <w:pStyle w:val="Lgende"/>
        <w:keepNext/>
        <w:tabs>
          <w:tab w:val="left" w:pos="0"/>
        </w:tabs>
        <w:spacing w:before="100" w:beforeAutospacing="1" w:after="120" w:line="300" w:lineRule="auto"/>
        <w:jc w:val="center"/>
        <w:rPr>
          <w:rFonts w:ascii="Times New Roman" w:hAnsi="Times New Roman" w:cs="Times New Roman"/>
          <w:color w:val="auto"/>
          <w:spacing w:val="-6"/>
          <w:sz w:val="24"/>
          <w:szCs w:val="24"/>
        </w:rPr>
      </w:pPr>
      <w:bookmarkStart w:id="1632" w:name="_Toc115556087"/>
      <w:r w:rsidRPr="002B005F">
        <w:rPr>
          <w:rFonts w:ascii="Times New Roman" w:hAnsi="Times New Roman" w:cs="Times New Roman"/>
          <w:color w:val="auto"/>
          <w:spacing w:val="-6"/>
          <w:sz w:val="24"/>
          <w:szCs w:val="24"/>
        </w:rPr>
        <w:t xml:space="preserve">Tableau </w:t>
      </w:r>
      <w:r w:rsidR="00B544E5" w:rsidRPr="002B005F">
        <w:rPr>
          <w:rFonts w:ascii="Times New Roman" w:hAnsi="Times New Roman" w:cs="Times New Roman"/>
          <w:color w:val="auto"/>
          <w:spacing w:val="-6"/>
          <w:sz w:val="24"/>
          <w:szCs w:val="24"/>
        </w:rPr>
        <w:fldChar w:fldCharType="begin"/>
      </w:r>
      <w:r w:rsidRPr="002B005F">
        <w:rPr>
          <w:rFonts w:ascii="Times New Roman" w:hAnsi="Times New Roman" w:cs="Times New Roman"/>
          <w:color w:val="auto"/>
          <w:spacing w:val="-6"/>
          <w:sz w:val="24"/>
          <w:szCs w:val="24"/>
        </w:rPr>
        <w:instrText xml:space="preserve"> SEQ Tableau \* ARABIC </w:instrText>
      </w:r>
      <w:r w:rsidR="00B544E5" w:rsidRPr="002B005F">
        <w:rPr>
          <w:rFonts w:ascii="Times New Roman" w:hAnsi="Times New Roman" w:cs="Times New Roman"/>
          <w:color w:val="auto"/>
          <w:spacing w:val="-6"/>
          <w:sz w:val="24"/>
          <w:szCs w:val="24"/>
        </w:rPr>
        <w:fldChar w:fldCharType="separate"/>
      </w:r>
      <w:r w:rsidR="00666FC7">
        <w:rPr>
          <w:rFonts w:ascii="Times New Roman" w:hAnsi="Times New Roman" w:cs="Times New Roman"/>
          <w:noProof/>
          <w:color w:val="auto"/>
          <w:spacing w:val="-6"/>
          <w:sz w:val="24"/>
          <w:szCs w:val="24"/>
        </w:rPr>
        <w:t>19</w:t>
      </w:r>
      <w:r w:rsidR="00B544E5" w:rsidRPr="002B005F">
        <w:rPr>
          <w:rFonts w:ascii="Times New Roman" w:hAnsi="Times New Roman" w:cs="Times New Roman"/>
          <w:color w:val="auto"/>
          <w:spacing w:val="-6"/>
          <w:sz w:val="24"/>
          <w:szCs w:val="24"/>
        </w:rPr>
        <w:fldChar w:fldCharType="end"/>
      </w:r>
      <w:r w:rsidR="00E25722" w:rsidRPr="002B005F">
        <w:rPr>
          <w:rFonts w:ascii="Times New Roman" w:hAnsi="Times New Roman" w:cs="Times New Roman"/>
          <w:color w:val="auto"/>
          <w:spacing w:val="-6"/>
          <w:sz w:val="24"/>
          <w:szCs w:val="24"/>
        </w:rPr>
        <w:t>-</w:t>
      </w:r>
      <w:r w:rsidRPr="002B005F">
        <w:rPr>
          <w:rFonts w:ascii="Times New Roman" w:hAnsi="Times New Roman" w:cs="Times New Roman"/>
          <w:color w:val="auto"/>
          <w:spacing w:val="-6"/>
          <w:sz w:val="24"/>
          <w:szCs w:val="24"/>
        </w:rPr>
        <w:t xml:space="preserve"> Perception sur les causes de réticence des BI d’utiliser les modes participatifs</w:t>
      </w:r>
      <w:bookmarkEnd w:id="1632"/>
    </w:p>
    <w:tbl>
      <w:tblPr>
        <w:tblW w:w="9071"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top w:w="28" w:type="dxa"/>
          <w:left w:w="57" w:type="dxa"/>
          <w:bottom w:w="28" w:type="dxa"/>
          <w:right w:w="57" w:type="dxa"/>
        </w:tblCellMar>
        <w:tblLook w:val="0000" w:firstRow="0" w:lastRow="0" w:firstColumn="0" w:lastColumn="0" w:noHBand="0" w:noVBand="0"/>
      </w:tblPr>
      <w:tblGrid>
        <w:gridCol w:w="4535"/>
        <w:gridCol w:w="1134"/>
        <w:gridCol w:w="1134"/>
        <w:gridCol w:w="1134"/>
        <w:gridCol w:w="1134"/>
      </w:tblGrid>
      <w:tr w:rsidR="008A51DB" w:rsidRPr="002B005F" w14:paraId="1A619681" w14:textId="77777777" w:rsidTr="008A51DB">
        <w:trPr>
          <w:trHeight w:val="510"/>
          <w:jc w:val="center"/>
        </w:trPr>
        <w:tc>
          <w:tcPr>
            <w:tcW w:w="4535" w:type="dxa"/>
            <w:shd w:val="clear" w:color="auto" w:fill="DBE5F1"/>
            <w:vAlign w:val="center"/>
          </w:tcPr>
          <w:p w14:paraId="1FD6A906" w14:textId="77777777" w:rsidR="008A51DB" w:rsidRPr="002B005F" w:rsidRDefault="008A51DB" w:rsidP="008A51DB">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Causes</w:t>
            </w:r>
          </w:p>
        </w:tc>
        <w:tc>
          <w:tcPr>
            <w:tcW w:w="1134" w:type="dxa"/>
            <w:shd w:val="clear" w:color="auto" w:fill="DBE5F1"/>
            <w:vAlign w:val="center"/>
          </w:tcPr>
          <w:p w14:paraId="091F1C08" w14:textId="77777777" w:rsidR="008A51DB" w:rsidRPr="002B005F" w:rsidRDefault="008A51DB" w:rsidP="008A51DB">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Moyenne</w:t>
            </w:r>
          </w:p>
        </w:tc>
        <w:tc>
          <w:tcPr>
            <w:tcW w:w="1134" w:type="dxa"/>
            <w:shd w:val="clear" w:color="auto" w:fill="DBE5F1"/>
            <w:vAlign w:val="center"/>
          </w:tcPr>
          <w:p w14:paraId="09831203" w14:textId="77777777" w:rsidR="008A51DB" w:rsidRPr="002B005F" w:rsidRDefault="008A51DB" w:rsidP="008A51DB">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Médiane</w:t>
            </w:r>
          </w:p>
        </w:tc>
        <w:tc>
          <w:tcPr>
            <w:tcW w:w="1134" w:type="dxa"/>
            <w:shd w:val="clear" w:color="auto" w:fill="DBE5F1"/>
            <w:vAlign w:val="center"/>
          </w:tcPr>
          <w:p w14:paraId="0456ABED" w14:textId="77777777" w:rsidR="008A51DB" w:rsidRPr="002B005F" w:rsidRDefault="008A51DB" w:rsidP="008A51DB">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Mode</w:t>
            </w:r>
          </w:p>
        </w:tc>
        <w:tc>
          <w:tcPr>
            <w:tcW w:w="1134" w:type="dxa"/>
            <w:shd w:val="clear" w:color="auto" w:fill="DBE5F1"/>
            <w:vAlign w:val="center"/>
          </w:tcPr>
          <w:p w14:paraId="0C0E445F" w14:textId="77777777" w:rsidR="008A51DB" w:rsidRPr="002B005F" w:rsidRDefault="008A51DB" w:rsidP="008A51DB">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Chi-deux</w:t>
            </w:r>
          </w:p>
        </w:tc>
      </w:tr>
      <w:tr w:rsidR="008A51DB" w:rsidRPr="002B005F" w14:paraId="58738027" w14:textId="77777777" w:rsidTr="00497373">
        <w:trPr>
          <w:trHeight w:val="680"/>
          <w:jc w:val="center"/>
        </w:trPr>
        <w:tc>
          <w:tcPr>
            <w:tcW w:w="4535" w:type="dxa"/>
            <w:shd w:val="clear" w:color="auto" w:fill="auto"/>
            <w:vAlign w:val="center"/>
          </w:tcPr>
          <w:p w14:paraId="2CD789DD" w14:textId="77777777" w:rsidR="008A51DB" w:rsidRPr="002B005F" w:rsidRDefault="008A51DB" w:rsidP="008A51DB">
            <w:pPr>
              <w:tabs>
                <w:tab w:val="left" w:pos="0"/>
                <w:tab w:val="center" w:pos="4536"/>
              </w:tabs>
              <w:spacing w:line="240" w:lineRule="auto"/>
              <w:ind w:left="57" w:right="57"/>
              <w:rPr>
                <w:rFonts w:ascii="Times New Roman" w:eastAsia="Calibri" w:hAnsi="Times New Roman" w:cs="Times New Roman"/>
                <w:sz w:val="24"/>
                <w:szCs w:val="24"/>
              </w:rPr>
            </w:pPr>
            <w:r w:rsidRPr="002B005F">
              <w:rPr>
                <w:rFonts w:ascii="Times New Roman" w:eastAsia="Calibri" w:hAnsi="Times New Roman" w:cs="Times New Roman"/>
                <w:sz w:val="24"/>
                <w:szCs w:val="24"/>
              </w:rPr>
              <w:t>L’aversion de la banque aux risques liés à ces modes de financement.</w:t>
            </w:r>
          </w:p>
        </w:tc>
        <w:tc>
          <w:tcPr>
            <w:tcW w:w="1134" w:type="dxa"/>
            <w:shd w:val="clear" w:color="auto" w:fill="auto"/>
            <w:vAlign w:val="center"/>
          </w:tcPr>
          <w:p w14:paraId="63D0A332"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2,39</w:t>
            </w:r>
          </w:p>
        </w:tc>
        <w:tc>
          <w:tcPr>
            <w:tcW w:w="1134" w:type="dxa"/>
            <w:vAlign w:val="center"/>
          </w:tcPr>
          <w:p w14:paraId="5611B30B"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000E8CD5"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w:t>
            </w:r>
          </w:p>
        </w:tc>
        <w:tc>
          <w:tcPr>
            <w:tcW w:w="1134" w:type="dxa"/>
            <w:vAlign w:val="center"/>
          </w:tcPr>
          <w:p w14:paraId="493D8711" w14:textId="77777777" w:rsidR="008A51DB" w:rsidRPr="002B005F" w:rsidRDefault="008A51DB" w:rsidP="008A51DB">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0.000</w:t>
            </w:r>
          </w:p>
        </w:tc>
      </w:tr>
      <w:tr w:rsidR="008A51DB" w:rsidRPr="002B005F" w14:paraId="191381D0" w14:textId="77777777" w:rsidTr="00497373">
        <w:trPr>
          <w:trHeight w:val="680"/>
          <w:jc w:val="center"/>
        </w:trPr>
        <w:tc>
          <w:tcPr>
            <w:tcW w:w="4535" w:type="dxa"/>
            <w:shd w:val="clear" w:color="auto" w:fill="auto"/>
            <w:vAlign w:val="center"/>
          </w:tcPr>
          <w:p w14:paraId="62082BA3" w14:textId="77777777" w:rsidR="008A51DB" w:rsidRPr="002B005F" w:rsidRDefault="008A51DB" w:rsidP="008A51DB">
            <w:pPr>
              <w:tabs>
                <w:tab w:val="left" w:pos="0"/>
                <w:tab w:val="center" w:pos="4536"/>
              </w:tabs>
              <w:spacing w:line="240" w:lineRule="auto"/>
              <w:ind w:left="57" w:right="57"/>
              <w:rPr>
                <w:rFonts w:ascii="Times New Roman" w:eastAsia="Calibri" w:hAnsi="Times New Roman" w:cs="Times New Roman"/>
                <w:sz w:val="24"/>
                <w:szCs w:val="24"/>
              </w:rPr>
            </w:pPr>
            <w:r w:rsidRPr="002B005F">
              <w:rPr>
                <w:rFonts w:ascii="Times New Roman" w:eastAsia="Calibri" w:hAnsi="Times New Roman" w:cs="Times New Roman"/>
                <w:sz w:val="24"/>
                <w:szCs w:val="24"/>
              </w:rPr>
              <w:t>Les coûts de surveillance supplémentaires associés à ces instruments.</w:t>
            </w:r>
          </w:p>
        </w:tc>
        <w:tc>
          <w:tcPr>
            <w:tcW w:w="1134" w:type="dxa"/>
            <w:shd w:val="clear" w:color="auto" w:fill="auto"/>
            <w:vAlign w:val="center"/>
          </w:tcPr>
          <w:p w14:paraId="6E7EF363"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3.45</w:t>
            </w:r>
          </w:p>
        </w:tc>
        <w:tc>
          <w:tcPr>
            <w:tcW w:w="1134" w:type="dxa"/>
            <w:vAlign w:val="center"/>
          </w:tcPr>
          <w:p w14:paraId="174C21BE"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5EB72467"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32FC6DF8" w14:textId="77777777" w:rsidR="008A51DB" w:rsidRPr="002B005F" w:rsidRDefault="008A51DB" w:rsidP="008A51DB">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0.000</w:t>
            </w:r>
          </w:p>
        </w:tc>
      </w:tr>
      <w:tr w:rsidR="008A51DB" w:rsidRPr="002B005F" w14:paraId="7F12D3AB" w14:textId="77777777" w:rsidTr="00497373">
        <w:trPr>
          <w:trHeight w:val="680"/>
          <w:jc w:val="center"/>
        </w:trPr>
        <w:tc>
          <w:tcPr>
            <w:tcW w:w="4535" w:type="dxa"/>
            <w:shd w:val="clear" w:color="auto" w:fill="auto"/>
            <w:vAlign w:val="center"/>
          </w:tcPr>
          <w:p w14:paraId="1C67BD51" w14:textId="77777777" w:rsidR="008A51DB" w:rsidRPr="002B005F" w:rsidRDefault="008A51DB" w:rsidP="008A51DB">
            <w:pPr>
              <w:tabs>
                <w:tab w:val="left" w:pos="0"/>
                <w:tab w:val="center" w:pos="4536"/>
              </w:tabs>
              <w:spacing w:line="240" w:lineRule="auto"/>
              <w:ind w:left="57" w:right="57"/>
              <w:rPr>
                <w:rFonts w:ascii="Times New Roman" w:eastAsia="Calibri" w:hAnsi="Times New Roman" w:cs="Times New Roman"/>
                <w:sz w:val="24"/>
                <w:szCs w:val="24"/>
              </w:rPr>
            </w:pPr>
            <w:r w:rsidRPr="002B005F">
              <w:rPr>
                <w:rFonts w:ascii="Times New Roman" w:eastAsia="Calibri" w:hAnsi="Times New Roman" w:cs="Times New Roman"/>
                <w:sz w:val="24"/>
                <w:szCs w:val="24"/>
              </w:rPr>
              <w:t>L’ambiguïté de détermination des droits de propriété.</w:t>
            </w:r>
          </w:p>
        </w:tc>
        <w:tc>
          <w:tcPr>
            <w:tcW w:w="1134" w:type="dxa"/>
            <w:shd w:val="clear" w:color="auto" w:fill="auto"/>
            <w:vAlign w:val="center"/>
          </w:tcPr>
          <w:p w14:paraId="52D67B1B"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3,00</w:t>
            </w:r>
          </w:p>
        </w:tc>
        <w:tc>
          <w:tcPr>
            <w:tcW w:w="1134" w:type="dxa"/>
            <w:vAlign w:val="center"/>
          </w:tcPr>
          <w:p w14:paraId="093D9ADF"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1B6B0B3F"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w:t>
            </w:r>
          </w:p>
        </w:tc>
        <w:tc>
          <w:tcPr>
            <w:tcW w:w="1134" w:type="dxa"/>
            <w:vAlign w:val="center"/>
          </w:tcPr>
          <w:p w14:paraId="749B2622" w14:textId="77777777" w:rsidR="008A51DB" w:rsidRPr="002B005F" w:rsidRDefault="008A51DB" w:rsidP="008A51DB">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0.005</w:t>
            </w:r>
          </w:p>
        </w:tc>
      </w:tr>
      <w:tr w:rsidR="008A51DB" w:rsidRPr="002B005F" w14:paraId="0661BF57" w14:textId="77777777" w:rsidTr="00497373">
        <w:trPr>
          <w:trHeight w:val="680"/>
          <w:jc w:val="center"/>
        </w:trPr>
        <w:tc>
          <w:tcPr>
            <w:tcW w:w="4535" w:type="dxa"/>
            <w:shd w:val="clear" w:color="auto" w:fill="auto"/>
            <w:vAlign w:val="center"/>
          </w:tcPr>
          <w:p w14:paraId="104F47ED" w14:textId="77777777" w:rsidR="008A51DB" w:rsidRPr="002B005F" w:rsidRDefault="008A51DB" w:rsidP="008A51DB">
            <w:pPr>
              <w:tabs>
                <w:tab w:val="left" w:pos="0"/>
                <w:tab w:val="center" w:pos="4536"/>
              </w:tabs>
              <w:spacing w:line="240" w:lineRule="auto"/>
              <w:ind w:left="57" w:right="57"/>
              <w:rPr>
                <w:rFonts w:ascii="Times New Roman" w:eastAsia="Calibri" w:hAnsi="Times New Roman" w:cs="Times New Roman"/>
                <w:sz w:val="24"/>
                <w:szCs w:val="24"/>
              </w:rPr>
            </w:pPr>
            <w:r w:rsidRPr="002B005F">
              <w:rPr>
                <w:rFonts w:ascii="Times New Roman" w:eastAsia="Calibri" w:hAnsi="Times New Roman" w:cs="Times New Roman"/>
                <w:sz w:val="24"/>
                <w:szCs w:val="24"/>
              </w:rPr>
              <w:t>Le problème d’aléa moral lié à ces techniques de financement.</w:t>
            </w:r>
          </w:p>
        </w:tc>
        <w:tc>
          <w:tcPr>
            <w:tcW w:w="1134" w:type="dxa"/>
            <w:shd w:val="clear" w:color="auto" w:fill="auto"/>
            <w:vAlign w:val="center"/>
          </w:tcPr>
          <w:p w14:paraId="4C870BDD"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3,60</w:t>
            </w:r>
          </w:p>
        </w:tc>
        <w:tc>
          <w:tcPr>
            <w:tcW w:w="1134" w:type="dxa"/>
            <w:vAlign w:val="center"/>
          </w:tcPr>
          <w:p w14:paraId="73DF0309"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4</w:t>
            </w:r>
          </w:p>
        </w:tc>
        <w:tc>
          <w:tcPr>
            <w:tcW w:w="1134" w:type="dxa"/>
            <w:vAlign w:val="center"/>
          </w:tcPr>
          <w:p w14:paraId="4D8463BC"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6AF2F9B0" w14:textId="77777777" w:rsidR="008A51DB" w:rsidRPr="002B005F" w:rsidRDefault="008A51DB" w:rsidP="008A51DB">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0.000</w:t>
            </w:r>
          </w:p>
        </w:tc>
      </w:tr>
      <w:tr w:rsidR="008A51DB" w:rsidRPr="002B005F" w14:paraId="408AC193" w14:textId="77777777" w:rsidTr="00497373">
        <w:trPr>
          <w:trHeight w:val="680"/>
          <w:jc w:val="center"/>
        </w:trPr>
        <w:tc>
          <w:tcPr>
            <w:tcW w:w="4535" w:type="dxa"/>
            <w:shd w:val="clear" w:color="auto" w:fill="auto"/>
            <w:vAlign w:val="center"/>
          </w:tcPr>
          <w:p w14:paraId="6EF61D62" w14:textId="77777777" w:rsidR="008A51DB" w:rsidRPr="002B005F" w:rsidRDefault="008A51DB" w:rsidP="008A51DB">
            <w:pPr>
              <w:tabs>
                <w:tab w:val="left" w:pos="0"/>
              </w:tabs>
              <w:autoSpaceDE w:val="0"/>
              <w:autoSpaceDN w:val="0"/>
              <w:adjustRightInd w:val="0"/>
              <w:spacing w:line="240" w:lineRule="auto"/>
              <w:ind w:left="57" w:right="57"/>
              <w:rPr>
                <w:rFonts w:ascii="Times New Roman" w:eastAsia="Times New Roman" w:hAnsi="Times New Roman" w:cs="Times New Roman"/>
                <w:color w:val="000000"/>
                <w:sz w:val="24"/>
                <w:szCs w:val="24"/>
              </w:rPr>
            </w:pPr>
            <w:r w:rsidRPr="002B005F">
              <w:rPr>
                <w:rFonts w:ascii="Times New Roman" w:eastAsia="Times New Roman" w:hAnsi="Times New Roman" w:cs="Times New Roman"/>
                <w:color w:val="000000"/>
                <w:sz w:val="24"/>
                <w:szCs w:val="24"/>
              </w:rPr>
              <w:t>Les problèmes de sélection adverse dans les contrats participatifs.</w:t>
            </w:r>
          </w:p>
        </w:tc>
        <w:tc>
          <w:tcPr>
            <w:tcW w:w="1134" w:type="dxa"/>
            <w:shd w:val="clear" w:color="auto" w:fill="auto"/>
            <w:vAlign w:val="center"/>
          </w:tcPr>
          <w:p w14:paraId="72D21BF4"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3,82</w:t>
            </w:r>
          </w:p>
        </w:tc>
        <w:tc>
          <w:tcPr>
            <w:tcW w:w="1134" w:type="dxa"/>
            <w:vAlign w:val="center"/>
          </w:tcPr>
          <w:p w14:paraId="01875A74"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4</w:t>
            </w:r>
          </w:p>
        </w:tc>
        <w:tc>
          <w:tcPr>
            <w:tcW w:w="1134" w:type="dxa"/>
            <w:vAlign w:val="center"/>
          </w:tcPr>
          <w:p w14:paraId="40A5BC87"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313E5D37" w14:textId="77777777" w:rsidR="008A51DB" w:rsidRPr="002B005F" w:rsidRDefault="008A51DB" w:rsidP="008A51DB">
            <w:pPr>
              <w:tabs>
                <w:tab w:val="left" w:pos="0"/>
              </w:tabs>
              <w:spacing w:line="240" w:lineRule="auto"/>
              <w:jc w:val="center"/>
              <w:rPr>
                <w:rFonts w:ascii="Times New Roman" w:eastAsia="Calibri" w:hAnsi="Times New Roman" w:cs="Times New Roman"/>
                <w:b/>
                <w:bCs/>
                <w:color w:val="000000"/>
              </w:rPr>
            </w:pPr>
            <w:r w:rsidRPr="002B005F">
              <w:rPr>
                <w:rFonts w:ascii="Times New Roman" w:eastAsia="Calibri" w:hAnsi="Times New Roman" w:cs="Times New Roman"/>
                <w:b/>
                <w:bCs/>
                <w:color w:val="000000"/>
              </w:rPr>
              <w:t>0.000</w:t>
            </w:r>
          </w:p>
        </w:tc>
      </w:tr>
      <w:tr w:rsidR="008A51DB" w:rsidRPr="002B005F" w14:paraId="785A9C57" w14:textId="77777777" w:rsidTr="00497373">
        <w:trPr>
          <w:trHeight w:val="680"/>
          <w:jc w:val="center"/>
        </w:trPr>
        <w:tc>
          <w:tcPr>
            <w:tcW w:w="4535" w:type="dxa"/>
            <w:shd w:val="clear" w:color="auto" w:fill="auto"/>
            <w:vAlign w:val="center"/>
          </w:tcPr>
          <w:p w14:paraId="2630FFE4" w14:textId="77777777" w:rsidR="008A51DB" w:rsidRPr="002B005F" w:rsidRDefault="008A51DB" w:rsidP="008A51DB">
            <w:pPr>
              <w:tabs>
                <w:tab w:val="left" w:pos="0"/>
              </w:tabs>
              <w:autoSpaceDE w:val="0"/>
              <w:autoSpaceDN w:val="0"/>
              <w:adjustRightInd w:val="0"/>
              <w:spacing w:line="240" w:lineRule="auto"/>
              <w:ind w:left="57" w:right="57"/>
              <w:rPr>
                <w:rFonts w:ascii="Times New Roman" w:eastAsia="Times New Roman" w:hAnsi="Times New Roman" w:cs="Times New Roman"/>
                <w:color w:val="000000"/>
                <w:sz w:val="24"/>
                <w:szCs w:val="24"/>
              </w:rPr>
            </w:pPr>
            <w:r w:rsidRPr="002B005F">
              <w:rPr>
                <w:rFonts w:ascii="Times New Roman" w:eastAsia="Times New Roman" w:hAnsi="Times New Roman" w:cs="Times New Roman"/>
                <w:color w:val="000000"/>
                <w:sz w:val="24"/>
                <w:szCs w:val="24"/>
              </w:rPr>
              <w:t>L’absence d’une réglementation qui favorise ces modes de financement</w:t>
            </w:r>
          </w:p>
        </w:tc>
        <w:tc>
          <w:tcPr>
            <w:tcW w:w="1134" w:type="dxa"/>
            <w:shd w:val="clear" w:color="auto" w:fill="auto"/>
            <w:vAlign w:val="center"/>
          </w:tcPr>
          <w:p w14:paraId="40D59F5A"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3,20</w:t>
            </w:r>
          </w:p>
        </w:tc>
        <w:tc>
          <w:tcPr>
            <w:tcW w:w="1134" w:type="dxa"/>
            <w:vAlign w:val="center"/>
          </w:tcPr>
          <w:p w14:paraId="5E4F0B26"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196B8746" w14:textId="77777777" w:rsidR="008A51DB" w:rsidRPr="002B005F" w:rsidRDefault="008A51DB" w:rsidP="008A51DB">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4D31536F" w14:textId="77777777" w:rsidR="008A51DB" w:rsidRPr="002B005F" w:rsidRDefault="008A51DB" w:rsidP="008A51DB">
            <w:pPr>
              <w:tabs>
                <w:tab w:val="left" w:pos="0"/>
              </w:tabs>
              <w:spacing w:line="240" w:lineRule="auto"/>
              <w:jc w:val="center"/>
              <w:rPr>
                <w:rFonts w:ascii="Times New Roman" w:eastAsia="Calibri" w:hAnsi="Times New Roman" w:cs="Times New Roman"/>
                <w:b/>
                <w:bCs/>
                <w:color w:val="000000"/>
              </w:rPr>
            </w:pPr>
            <w:r w:rsidRPr="002B005F">
              <w:rPr>
                <w:rFonts w:ascii="Times New Roman" w:eastAsia="Calibri" w:hAnsi="Times New Roman" w:cs="Times New Roman"/>
                <w:b/>
                <w:bCs/>
                <w:color w:val="000000"/>
              </w:rPr>
              <w:t>0.000</w:t>
            </w:r>
          </w:p>
        </w:tc>
      </w:tr>
    </w:tbl>
    <w:p w14:paraId="472CBFB3" w14:textId="77777777" w:rsidR="002760B2" w:rsidRPr="002B005F" w:rsidRDefault="002760B2" w:rsidP="008A51DB">
      <w:pPr>
        <w:tabs>
          <w:tab w:val="left" w:pos="0"/>
        </w:tabs>
        <w:autoSpaceDE w:val="0"/>
        <w:autoSpaceDN w:val="0"/>
        <w:adjustRightInd w:val="0"/>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du chercheur.</w:t>
      </w:r>
    </w:p>
    <w:p w14:paraId="1AC306E1" w14:textId="703FAC63" w:rsidR="002760B2" w:rsidRPr="002B005F" w:rsidRDefault="002760B2" w:rsidP="005824EB">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Passons maintenant à l’analyse des perceptions des banquiers </w:t>
      </w:r>
      <w:r w:rsidR="0096069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sur les raisons qui les poussent à utiliser excessivement les produits à revenu fixe et principalement la </w:t>
      </w:r>
      <w:r w:rsidR="000E0C02" w:rsidRPr="002B005F">
        <w:rPr>
          <w:rFonts w:ascii="Times New Roman" w:hAnsi="Times New Roman" w:cs="Times New Roman"/>
          <w:i/>
          <w:iCs/>
          <w:sz w:val="24"/>
          <w:szCs w:val="24"/>
        </w:rPr>
        <w:t>m</w:t>
      </w:r>
      <w:r w:rsidRPr="002B005F">
        <w:rPr>
          <w:rFonts w:ascii="Times New Roman" w:hAnsi="Times New Roman" w:cs="Times New Roman"/>
          <w:i/>
          <w:iCs/>
          <w:sz w:val="24"/>
          <w:szCs w:val="24"/>
        </w:rPr>
        <w:t>ourabaha</w:t>
      </w:r>
      <w:r w:rsidRPr="002B005F">
        <w:rPr>
          <w:rFonts w:ascii="Times New Roman" w:hAnsi="Times New Roman" w:cs="Times New Roman"/>
          <w:sz w:val="24"/>
          <w:szCs w:val="24"/>
        </w:rPr>
        <w:t xml:space="preserve">. Le </w:t>
      </w:r>
      <w:r w:rsidRPr="002B005F">
        <w:rPr>
          <w:rFonts w:ascii="Times New Roman" w:hAnsi="Times New Roman" w:cs="Times New Roman"/>
          <w:b/>
          <w:bCs/>
          <w:sz w:val="24"/>
          <w:szCs w:val="24"/>
        </w:rPr>
        <w:t>tableau 20</w:t>
      </w:r>
      <w:r w:rsidRPr="002B005F">
        <w:rPr>
          <w:rFonts w:ascii="Times New Roman" w:hAnsi="Times New Roman" w:cs="Times New Roman"/>
          <w:sz w:val="24"/>
          <w:szCs w:val="24"/>
        </w:rPr>
        <w:t xml:space="preserve"> présente les statistiques descriptives liées à ces perceptions. Comme c’est montré, les deux raisons principales sont l’importante manne de liquidité à un risque faible (3.20) et la fixation du rendement en avance (3).</w:t>
      </w:r>
    </w:p>
    <w:p w14:paraId="46EB98D7" w14:textId="77777777" w:rsidR="002760B2" w:rsidRPr="002B005F" w:rsidRDefault="002760B2" w:rsidP="004E749F">
      <w:pPr>
        <w:keepLines/>
        <w:tabs>
          <w:tab w:val="left" w:pos="0"/>
        </w:tabs>
        <w:autoSpaceDE w:val="0"/>
        <w:autoSpaceDN w:val="0"/>
        <w:adjustRightInd w:val="0"/>
        <w:spacing w:before="120" w:line="300" w:lineRule="auto"/>
        <w:ind w:firstLine="709"/>
        <w:rPr>
          <w:rFonts w:ascii="Times New Roman" w:hAnsi="Times New Roman" w:cs="Times New Roman"/>
          <w:color w:val="000000"/>
          <w:sz w:val="24"/>
          <w:szCs w:val="24"/>
        </w:rPr>
      </w:pPr>
      <w:r w:rsidRPr="002B005F">
        <w:rPr>
          <w:rFonts w:ascii="Times New Roman" w:hAnsi="Times New Roman" w:cs="Times New Roman"/>
          <w:color w:val="000000"/>
          <w:sz w:val="24"/>
          <w:szCs w:val="24"/>
        </w:rPr>
        <w:t xml:space="preserve">Les modes de financement à revenu fixe sont devenus actuellement indispensables pour les banques </w:t>
      </w:r>
      <w:r w:rsidR="0096069F">
        <w:rPr>
          <w:rFonts w:ascii="Times New Roman" w:hAnsi="Times New Roman" w:cs="Times New Roman"/>
          <w:color w:val="000000"/>
          <w:sz w:val="24"/>
          <w:szCs w:val="24"/>
        </w:rPr>
        <w:t>i</w:t>
      </w:r>
      <w:r w:rsidR="003773C6" w:rsidRPr="002B005F">
        <w:rPr>
          <w:rFonts w:ascii="Times New Roman" w:hAnsi="Times New Roman" w:cs="Times New Roman"/>
          <w:color w:val="000000"/>
          <w:sz w:val="24"/>
          <w:szCs w:val="24"/>
        </w:rPr>
        <w:t>slamique</w:t>
      </w:r>
      <w:r w:rsidRPr="002B005F">
        <w:rPr>
          <w:rFonts w:ascii="Times New Roman" w:hAnsi="Times New Roman" w:cs="Times New Roman"/>
          <w:color w:val="000000"/>
          <w:sz w:val="24"/>
          <w:szCs w:val="24"/>
        </w:rPr>
        <w:t>s. Ils servent des objectifs utiles, à savoir offrir aux investisseurs une liquidité à un risque faible ou fournir aux clients des marchandises et des machines dont ils ont besoin pour leurs projets et affaires. Ainsi, puisque le rendement de la banque est fixé en avance elle ne risque pas des pertes contrairement aux produits financiers participatifs.</w:t>
      </w:r>
    </w:p>
    <w:p w14:paraId="5753454C" w14:textId="794DC6E1" w:rsidR="00356214" w:rsidRPr="002B005F" w:rsidRDefault="00356214" w:rsidP="007F6670">
      <w:pPr>
        <w:pStyle w:val="Lgende"/>
        <w:keepNext/>
        <w:tabs>
          <w:tab w:val="left" w:pos="0"/>
        </w:tabs>
        <w:spacing w:before="100" w:beforeAutospacing="1" w:after="120" w:line="300" w:lineRule="auto"/>
        <w:jc w:val="center"/>
        <w:rPr>
          <w:rFonts w:ascii="Times New Roman" w:hAnsi="Times New Roman" w:cs="Times New Roman"/>
          <w:color w:val="auto"/>
          <w:spacing w:val="-6"/>
          <w:sz w:val="24"/>
          <w:szCs w:val="24"/>
        </w:rPr>
      </w:pPr>
      <w:bookmarkStart w:id="1633" w:name="_Toc115556088"/>
      <w:r w:rsidRPr="002B005F">
        <w:rPr>
          <w:rFonts w:ascii="Times New Roman" w:hAnsi="Times New Roman" w:cs="Times New Roman"/>
          <w:color w:val="auto"/>
          <w:spacing w:val="-6"/>
          <w:sz w:val="24"/>
          <w:szCs w:val="24"/>
        </w:rPr>
        <w:t xml:space="preserve">Tableau </w:t>
      </w:r>
      <w:r w:rsidR="00B544E5" w:rsidRPr="002B005F">
        <w:rPr>
          <w:rFonts w:ascii="Times New Roman" w:hAnsi="Times New Roman" w:cs="Times New Roman"/>
          <w:color w:val="auto"/>
          <w:spacing w:val="-6"/>
          <w:sz w:val="24"/>
          <w:szCs w:val="24"/>
        </w:rPr>
        <w:fldChar w:fldCharType="begin"/>
      </w:r>
      <w:r w:rsidRPr="002B005F">
        <w:rPr>
          <w:rFonts w:ascii="Times New Roman" w:hAnsi="Times New Roman" w:cs="Times New Roman"/>
          <w:color w:val="auto"/>
          <w:spacing w:val="-6"/>
          <w:sz w:val="24"/>
          <w:szCs w:val="24"/>
        </w:rPr>
        <w:instrText xml:space="preserve"> SEQ Tableau \* ARABIC </w:instrText>
      </w:r>
      <w:r w:rsidR="00B544E5" w:rsidRPr="002B005F">
        <w:rPr>
          <w:rFonts w:ascii="Times New Roman" w:hAnsi="Times New Roman" w:cs="Times New Roman"/>
          <w:color w:val="auto"/>
          <w:spacing w:val="-6"/>
          <w:sz w:val="24"/>
          <w:szCs w:val="24"/>
        </w:rPr>
        <w:fldChar w:fldCharType="separate"/>
      </w:r>
      <w:r w:rsidR="00666FC7">
        <w:rPr>
          <w:rFonts w:ascii="Times New Roman" w:hAnsi="Times New Roman" w:cs="Times New Roman"/>
          <w:noProof/>
          <w:color w:val="auto"/>
          <w:spacing w:val="-6"/>
          <w:sz w:val="24"/>
          <w:szCs w:val="24"/>
        </w:rPr>
        <w:t>20</w:t>
      </w:r>
      <w:r w:rsidR="00B544E5" w:rsidRPr="002B005F">
        <w:rPr>
          <w:rFonts w:ascii="Times New Roman" w:hAnsi="Times New Roman" w:cs="Times New Roman"/>
          <w:color w:val="auto"/>
          <w:spacing w:val="-6"/>
          <w:sz w:val="24"/>
          <w:szCs w:val="24"/>
        </w:rPr>
        <w:fldChar w:fldCharType="end"/>
      </w:r>
      <w:r w:rsidR="000E0C02" w:rsidRPr="002B005F">
        <w:rPr>
          <w:rFonts w:ascii="Times New Roman" w:hAnsi="Times New Roman" w:cs="Times New Roman"/>
          <w:color w:val="auto"/>
          <w:spacing w:val="-6"/>
          <w:sz w:val="24"/>
          <w:szCs w:val="24"/>
        </w:rPr>
        <w:t>- Perception</w:t>
      </w:r>
      <w:r w:rsidRPr="002B005F">
        <w:rPr>
          <w:rFonts w:ascii="Times New Roman" w:hAnsi="Times New Roman" w:cs="Times New Roman"/>
          <w:color w:val="auto"/>
          <w:spacing w:val="-6"/>
          <w:sz w:val="24"/>
          <w:szCs w:val="24"/>
        </w:rPr>
        <w:t xml:space="preserve"> sur les raisons d’utilisation excessive des produits non participatifs</w:t>
      </w:r>
      <w:bookmarkEnd w:id="1633"/>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535"/>
        <w:gridCol w:w="1134"/>
        <w:gridCol w:w="1134"/>
        <w:gridCol w:w="1134"/>
        <w:gridCol w:w="1134"/>
      </w:tblGrid>
      <w:tr w:rsidR="007F6670" w:rsidRPr="002B005F" w14:paraId="52BD574D" w14:textId="77777777" w:rsidTr="00C92F17">
        <w:trPr>
          <w:trHeight w:val="567"/>
          <w:jc w:val="center"/>
        </w:trPr>
        <w:tc>
          <w:tcPr>
            <w:tcW w:w="4535" w:type="dxa"/>
            <w:shd w:val="clear" w:color="auto" w:fill="DBE5F1"/>
            <w:vAlign w:val="center"/>
          </w:tcPr>
          <w:p w14:paraId="3096629B" w14:textId="77777777" w:rsidR="007F6670" w:rsidRPr="002B005F" w:rsidRDefault="007F6670" w:rsidP="007F6670">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Raisons</w:t>
            </w:r>
          </w:p>
        </w:tc>
        <w:tc>
          <w:tcPr>
            <w:tcW w:w="1134" w:type="dxa"/>
            <w:shd w:val="clear" w:color="auto" w:fill="DBE5F1"/>
            <w:vAlign w:val="center"/>
          </w:tcPr>
          <w:p w14:paraId="1451A0AA" w14:textId="77777777" w:rsidR="007F6670" w:rsidRPr="002B005F" w:rsidRDefault="007F6670" w:rsidP="007F6670">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Moyenne</w:t>
            </w:r>
          </w:p>
        </w:tc>
        <w:tc>
          <w:tcPr>
            <w:tcW w:w="1134" w:type="dxa"/>
            <w:shd w:val="clear" w:color="auto" w:fill="DBE5F1"/>
            <w:vAlign w:val="center"/>
          </w:tcPr>
          <w:p w14:paraId="1A8D50C2" w14:textId="77777777" w:rsidR="007F6670" w:rsidRPr="002B005F" w:rsidRDefault="007F6670" w:rsidP="007F6670">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Médiane</w:t>
            </w:r>
          </w:p>
        </w:tc>
        <w:tc>
          <w:tcPr>
            <w:tcW w:w="1134" w:type="dxa"/>
            <w:shd w:val="clear" w:color="auto" w:fill="DBE5F1"/>
            <w:vAlign w:val="center"/>
          </w:tcPr>
          <w:p w14:paraId="3A5FE264" w14:textId="77777777" w:rsidR="007F6670" w:rsidRPr="002B005F" w:rsidRDefault="007F6670" w:rsidP="007F6670">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Mode</w:t>
            </w:r>
          </w:p>
        </w:tc>
        <w:tc>
          <w:tcPr>
            <w:tcW w:w="1134" w:type="dxa"/>
            <w:shd w:val="clear" w:color="auto" w:fill="DBE5F1"/>
            <w:vAlign w:val="center"/>
          </w:tcPr>
          <w:p w14:paraId="0B7CEDD9" w14:textId="77777777" w:rsidR="007F6670" w:rsidRPr="002B005F" w:rsidRDefault="007F6670" w:rsidP="007F6670">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Chi-deux</w:t>
            </w:r>
          </w:p>
        </w:tc>
      </w:tr>
      <w:tr w:rsidR="007F6670" w:rsidRPr="002B005F" w14:paraId="3AE73551" w14:textId="77777777" w:rsidTr="00C92F17">
        <w:trPr>
          <w:trHeight w:val="680"/>
          <w:jc w:val="center"/>
        </w:trPr>
        <w:tc>
          <w:tcPr>
            <w:tcW w:w="4535" w:type="dxa"/>
            <w:shd w:val="clear" w:color="auto" w:fill="auto"/>
            <w:vAlign w:val="center"/>
          </w:tcPr>
          <w:p w14:paraId="44CB0B06" w14:textId="77777777" w:rsidR="007F6670" w:rsidRPr="002B005F" w:rsidRDefault="007F6670" w:rsidP="007F6670">
            <w:pPr>
              <w:tabs>
                <w:tab w:val="left" w:pos="0"/>
                <w:tab w:val="center" w:pos="4536"/>
              </w:tabs>
              <w:spacing w:line="240" w:lineRule="auto"/>
              <w:rPr>
                <w:rFonts w:ascii="Times New Roman" w:eastAsia="Calibri" w:hAnsi="Times New Roman" w:cs="Times New Roman"/>
                <w:b/>
                <w:bCs/>
                <w:sz w:val="24"/>
                <w:szCs w:val="24"/>
              </w:rPr>
            </w:pPr>
            <w:r w:rsidRPr="002B005F">
              <w:rPr>
                <w:rFonts w:ascii="Times New Roman" w:eastAsia="Calibri" w:hAnsi="Times New Roman" w:cs="Times New Roman"/>
                <w:sz w:val="24"/>
                <w:szCs w:val="24"/>
              </w:rPr>
              <w:t>La simplicité des procédures et des démarches.</w:t>
            </w:r>
          </w:p>
        </w:tc>
        <w:tc>
          <w:tcPr>
            <w:tcW w:w="1134" w:type="dxa"/>
            <w:shd w:val="clear" w:color="auto" w:fill="auto"/>
            <w:vAlign w:val="center"/>
          </w:tcPr>
          <w:p w14:paraId="3C72CE28"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2,50</w:t>
            </w:r>
          </w:p>
        </w:tc>
        <w:tc>
          <w:tcPr>
            <w:tcW w:w="1134" w:type="dxa"/>
            <w:vAlign w:val="center"/>
          </w:tcPr>
          <w:p w14:paraId="1B5B9A5E"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w:t>
            </w:r>
          </w:p>
        </w:tc>
        <w:tc>
          <w:tcPr>
            <w:tcW w:w="1134" w:type="dxa"/>
            <w:vAlign w:val="center"/>
          </w:tcPr>
          <w:p w14:paraId="243DC6B7"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w:t>
            </w:r>
          </w:p>
        </w:tc>
        <w:tc>
          <w:tcPr>
            <w:tcW w:w="1134" w:type="dxa"/>
            <w:vAlign w:val="center"/>
          </w:tcPr>
          <w:p w14:paraId="70FD27A7" w14:textId="77777777" w:rsidR="007F6670" w:rsidRPr="002B005F" w:rsidRDefault="007F6670" w:rsidP="007F6670">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0.000</w:t>
            </w:r>
          </w:p>
        </w:tc>
      </w:tr>
      <w:tr w:rsidR="007F6670" w:rsidRPr="002B005F" w14:paraId="47E7E109" w14:textId="77777777" w:rsidTr="00C92F17">
        <w:trPr>
          <w:trHeight w:val="680"/>
          <w:jc w:val="center"/>
        </w:trPr>
        <w:tc>
          <w:tcPr>
            <w:tcW w:w="4535" w:type="dxa"/>
            <w:shd w:val="clear" w:color="auto" w:fill="auto"/>
            <w:vAlign w:val="center"/>
          </w:tcPr>
          <w:p w14:paraId="52F543CF" w14:textId="77777777" w:rsidR="007F6670" w:rsidRPr="002B005F" w:rsidRDefault="007F6670" w:rsidP="007F6670">
            <w:pPr>
              <w:tabs>
                <w:tab w:val="left" w:pos="0"/>
                <w:tab w:val="center" w:pos="4536"/>
              </w:tabs>
              <w:spacing w:line="240" w:lineRule="auto"/>
              <w:rPr>
                <w:rFonts w:ascii="Times New Roman" w:eastAsia="Calibri" w:hAnsi="Times New Roman" w:cs="Times New Roman"/>
                <w:sz w:val="24"/>
                <w:szCs w:val="24"/>
              </w:rPr>
            </w:pPr>
            <w:r w:rsidRPr="002B005F">
              <w:rPr>
                <w:rFonts w:ascii="Times New Roman" w:eastAsia="Calibri" w:hAnsi="Times New Roman" w:cs="Times New Roman"/>
                <w:sz w:val="24"/>
                <w:szCs w:val="24"/>
              </w:rPr>
              <w:t>Une importante manne de liquidité à un risque faible.</w:t>
            </w:r>
          </w:p>
        </w:tc>
        <w:tc>
          <w:tcPr>
            <w:tcW w:w="1134" w:type="dxa"/>
            <w:shd w:val="clear" w:color="auto" w:fill="auto"/>
            <w:vAlign w:val="center"/>
          </w:tcPr>
          <w:p w14:paraId="26373ECF"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3.20</w:t>
            </w:r>
          </w:p>
        </w:tc>
        <w:tc>
          <w:tcPr>
            <w:tcW w:w="1134" w:type="dxa"/>
            <w:vAlign w:val="center"/>
          </w:tcPr>
          <w:p w14:paraId="3071402D"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03B7C1F0"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3B97C185" w14:textId="77777777" w:rsidR="007F6670" w:rsidRPr="002B005F" w:rsidRDefault="007F6670" w:rsidP="007F6670">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0.000</w:t>
            </w:r>
          </w:p>
        </w:tc>
      </w:tr>
      <w:tr w:rsidR="007F6670" w:rsidRPr="002B005F" w14:paraId="17FBA0A9" w14:textId="77777777" w:rsidTr="00C92F17">
        <w:trPr>
          <w:trHeight w:val="680"/>
          <w:jc w:val="center"/>
        </w:trPr>
        <w:tc>
          <w:tcPr>
            <w:tcW w:w="4535" w:type="dxa"/>
            <w:shd w:val="clear" w:color="auto" w:fill="auto"/>
            <w:vAlign w:val="center"/>
          </w:tcPr>
          <w:p w14:paraId="25B0E851" w14:textId="77777777" w:rsidR="007F6670" w:rsidRPr="002B005F" w:rsidRDefault="007F6670" w:rsidP="007F6670">
            <w:pPr>
              <w:tabs>
                <w:tab w:val="left" w:pos="0"/>
                <w:tab w:val="center" w:pos="4536"/>
              </w:tabs>
              <w:spacing w:line="240" w:lineRule="auto"/>
              <w:rPr>
                <w:rFonts w:ascii="Times New Roman" w:eastAsia="Calibri" w:hAnsi="Times New Roman" w:cs="Times New Roman"/>
                <w:b/>
                <w:bCs/>
                <w:sz w:val="24"/>
                <w:szCs w:val="24"/>
              </w:rPr>
            </w:pPr>
            <w:r w:rsidRPr="002B005F">
              <w:rPr>
                <w:rFonts w:ascii="Times New Roman" w:eastAsia="Calibri" w:hAnsi="Times New Roman" w:cs="Times New Roman"/>
                <w:sz w:val="24"/>
                <w:szCs w:val="24"/>
              </w:rPr>
              <w:t>Le rendement est fixé en avance.</w:t>
            </w:r>
          </w:p>
        </w:tc>
        <w:tc>
          <w:tcPr>
            <w:tcW w:w="1134" w:type="dxa"/>
            <w:shd w:val="clear" w:color="auto" w:fill="auto"/>
            <w:vAlign w:val="center"/>
          </w:tcPr>
          <w:p w14:paraId="0ECD414C"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3,00</w:t>
            </w:r>
          </w:p>
        </w:tc>
        <w:tc>
          <w:tcPr>
            <w:tcW w:w="1134" w:type="dxa"/>
            <w:vAlign w:val="center"/>
          </w:tcPr>
          <w:p w14:paraId="734EBA3A"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2E4B3710"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w:t>
            </w:r>
          </w:p>
        </w:tc>
        <w:tc>
          <w:tcPr>
            <w:tcW w:w="1134" w:type="dxa"/>
            <w:vAlign w:val="center"/>
          </w:tcPr>
          <w:p w14:paraId="168C1B2F" w14:textId="77777777" w:rsidR="007F6670" w:rsidRPr="002B005F" w:rsidRDefault="007F6670" w:rsidP="007F6670">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0.005</w:t>
            </w:r>
          </w:p>
        </w:tc>
      </w:tr>
      <w:tr w:rsidR="007F6670" w:rsidRPr="002B005F" w14:paraId="6652D266" w14:textId="77777777" w:rsidTr="00C92F17">
        <w:trPr>
          <w:trHeight w:val="680"/>
          <w:jc w:val="center"/>
        </w:trPr>
        <w:tc>
          <w:tcPr>
            <w:tcW w:w="4535" w:type="dxa"/>
            <w:shd w:val="clear" w:color="auto" w:fill="auto"/>
            <w:vAlign w:val="center"/>
          </w:tcPr>
          <w:p w14:paraId="2B4F2AEB" w14:textId="77777777" w:rsidR="007F6670" w:rsidRPr="002B005F" w:rsidRDefault="007F6670" w:rsidP="007F6670">
            <w:pPr>
              <w:tabs>
                <w:tab w:val="left" w:pos="0"/>
                <w:tab w:val="center" w:pos="4536"/>
              </w:tabs>
              <w:spacing w:line="240" w:lineRule="auto"/>
              <w:rPr>
                <w:rFonts w:ascii="Times New Roman" w:eastAsia="Calibri" w:hAnsi="Times New Roman" w:cs="Times New Roman"/>
                <w:b/>
                <w:bCs/>
                <w:spacing w:val="-6"/>
                <w:sz w:val="24"/>
                <w:szCs w:val="24"/>
              </w:rPr>
            </w:pPr>
            <w:r w:rsidRPr="002B005F">
              <w:rPr>
                <w:rFonts w:ascii="Times New Roman" w:eastAsia="Calibri" w:hAnsi="Times New Roman" w:cs="Times New Roman"/>
                <w:spacing w:val="-6"/>
                <w:sz w:val="24"/>
                <w:szCs w:val="24"/>
              </w:rPr>
              <w:t>La préférence des clients des produits financiers à revenu fixe.</w:t>
            </w:r>
          </w:p>
        </w:tc>
        <w:tc>
          <w:tcPr>
            <w:tcW w:w="1134" w:type="dxa"/>
            <w:shd w:val="clear" w:color="auto" w:fill="auto"/>
            <w:vAlign w:val="center"/>
          </w:tcPr>
          <w:p w14:paraId="172E43B4"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2,95</w:t>
            </w:r>
          </w:p>
        </w:tc>
        <w:tc>
          <w:tcPr>
            <w:tcW w:w="1134" w:type="dxa"/>
            <w:vAlign w:val="center"/>
          </w:tcPr>
          <w:p w14:paraId="64E80B0F"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34FD20E8" w14:textId="77777777" w:rsidR="007F6670" w:rsidRPr="002B005F" w:rsidRDefault="007F6670" w:rsidP="007F6670">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6DE431AE" w14:textId="77777777" w:rsidR="007F6670" w:rsidRPr="002B005F" w:rsidRDefault="007F6670" w:rsidP="007F6670">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0.000</w:t>
            </w:r>
          </w:p>
        </w:tc>
      </w:tr>
    </w:tbl>
    <w:p w14:paraId="125E8C5E" w14:textId="77777777" w:rsidR="002760B2" w:rsidRPr="002B005F" w:rsidRDefault="002760B2" w:rsidP="007F6670">
      <w:pPr>
        <w:tabs>
          <w:tab w:val="left" w:pos="0"/>
        </w:tabs>
        <w:autoSpaceDE w:val="0"/>
        <w:autoSpaceDN w:val="0"/>
        <w:adjustRightInd w:val="0"/>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0028691E">
        <w:rPr>
          <w:rFonts w:ascii="Times New Roman" w:hAnsi="Times New Roman" w:cs="Times New Roman"/>
          <w:sz w:val="20"/>
          <w:szCs w:val="20"/>
        </w:rPr>
        <w:t>C</w:t>
      </w:r>
      <w:r w:rsidRPr="002B005F">
        <w:rPr>
          <w:rFonts w:ascii="Times New Roman" w:hAnsi="Times New Roman" w:cs="Times New Roman"/>
          <w:sz w:val="20"/>
          <w:szCs w:val="20"/>
        </w:rPr>
        <w:t>alculs du chercheur.</w:t>
      </w:r>
    </w:p>
    <w:p w14:paraId="503BA88C" w14:textId="77777777" w:rsidR="007C68EE" w:rsidRPr="002B005F" w:rsidRDefault="007C68EE" w:rsidP="007C68EE">
      <w:pPr>
        <w:tabs>
          <w:tab w:val="left" w:pos="0"/>
        </w:tabs>
        <w:autoSpaceDE w:val="0"/>
        <w:autoSpaceDN w:val="0"/>
        <w:adjustRightInd w:val="0"/>
        <w:spacing w:line="240" w:lineRule="auto"/>
        <w:jc w:val="center"/>
        <w:rPr>
          <w:rFonts w:ascii="Times New Roman" w:hAnsi="Times New Roman" w:cs="Times New Roman"/>
          <w:sz w:val="20"/>
          <w:szCs w:val="20"/>
        </w:rPr>
      </w:pPr>
    </w:p>
    <w:p w14:paraId="1BBDD7C1" w14:textId="77777777" w:rsidR="002760B2" w:rsidRPr="002B005F" w:rsidRDefault="00245F45" w:rsidP="0033340B">
      <w:pPr>
        <w:pStyle w:val="Titre4"/>
        <w:keepNext w:val="0"/>
        <w:spacing w:before="120" w:after="120" w:line="300" w:lineRule="auto"/>
        <w:ind w:firstLine="709"/>
      </w:pPr>
      <w:bookmarkStart w:id="1634" w:name="_Toc33263391"/>
      <w:bookmarkStart w:id="1635" w:name="_Toc37664654"/>
      <w:bookmarkStart w:id="1636" w:name="_Toc37666499"/>
      <w:bookmarkStart w:id="1637" w:name="_Toc54363396"/>
      <w:bookmarkStart w:id="1638" w:name="_Toc58606374"/>
      <w:bookmarkStart w:id="1639" w:name="_Toc61263579"/>
      <w:bookmarkStart w:id="1640" w:name="_Toc182298912"/>
      <w:r>
        <w:t>2</w:t>
      </w:r>
      <w:r w:rsidR="00071DF1">
        <w:t xml:space="preserve">.1.6- </w:t>
      </w:r>
      <w:r w:rsidR="002760B2" w:rsidRPr="002B005F">
        <w:t>Perception sur le processus de gestion des risques</w:t>
      </w:r>
      <w:bookmarkEnd w:id="1634"/>
      <w:bookmarkEnd w:id="1635"/>
      <w:bookmarkEnd w:id="1636"/>
      <w:bookmarkEnd w:id="1637"/>
      <w:bookmarkEnd w:id="1638"/>
      <w:bookmarkEnd w:id="1639"/>
      <w:bookmarkEnd w:id="1640"/>
    </w:p>
    <w:p w14:paraId="5D0AD93C" w14:textId="77777777" w:rsidR="000920F0" w:rsidRPr="002B005F" w:rsidRDefault="002760B2" w:rsidP="005824EB">
      <w:pPr>
        <w:tabs>
          <w:tab w:val="left" w:pos="0"/>
        </w:tabs>
        <w:autoSpaceDE w:val="0"/>
        <w:autoSpaceDN w:val="0"/>
        <w:adjustRightInd w:val="0"/>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w:t>
      </w:r>
      <w:r w:rsidR="009543A1" w:rsidRPr="002B005F">
        <w:rPr>
          <w:rFonts w:ascii="Times New Roman" w:hAnsi="Times New Roman" w:cs="Times New Roman"/>
          <w:b/>
          <w:bCs/>
          <w:sz w:val="24"/>
          <w:szCs w:val="24"/>
        </w:rPr>
        <w:t>t</w:t>
      </w:r>
      <w:r w:rsidRPr="002B005F">
        <w:rPr>
          <w:rFonts w:ascii="Times New Roman" w:hAnsi="Times New Roman" w:cs="Times New Roman"/>
          <w:b/>
          <w:bCs/>
          <w:sz w:val="24"/>
          <w:szCs w:val="24"/>
        </w:rPr>
        <w:t xml:space="preserve">ableau 21 </w:t>
      </w:r>
      <w:r w:rsidRPr="002B005F">
        <w:rPr>
          <w:rFonts w:ascii="Times New Roman" w:hAnsi="Times New Roman" w:cs="Times New Roman"/>
          <w:sz w:val="24"/>
          <w:szCs w:val="24"/>
        </w:rPr>
        <w:t>présente certains aspects de création d’un environnement propice à la gestion des risques. Nous constatons que</w:t>
      </w:r>
      <w:r w:rsidR="000920F0" w:rsidRPr="002B005F">
        <w:rPr>
          <w:rFonts w:ascii="Times New Roman" w:hAnsi="Times New Roman" w:cs="Times New Roman"/>
          <w:sz w:val="24"/>
          <w:szCs w:val="24"/>
        </w:rPr>
        <w:t> :</w:t>
      </w:r>
    </w:p>
    <w:p w14:paraId="043CAFA3" w14:textId="77777777" w:rsidR="004E749F" w:rsidRPr="002B005F" w:rsidRDefault="002760B2" w:rsidP="00CB0FF1">
      <w:pPr>
        <w:pStyle w:val="Paragraphedeliste"/>
        <w:numPr>
          <w:ilvl w:val="0"/>
          <w:numId w:val="71"/>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78 banques (98.73%) disposent d’un département de ges</w:t>
      </w:r>
      <w:r w:rsidR="004E749F" w:rsidRPr="002B005F">
        <w:rPr>
          <w:rFonts w:ascii="Times New Roman" w:hAnsi="Times New Roman" w:cs="Times New Roman"/>
          <w:sz w:val="24"/>
          <w:szCs w:val="24"/>
        </w:rPr>
        <w:t>tion des risques déjà en place ;</w:t>
      </w:r>
    </w:p>
    <w:p w14:paraId="272AB5B7" w14:textId="77777777" w:rsidR="004E749F" w:rsidRPr="002B005F" w:rsidRDefault="002760B2" w:rsidP="00CB0FF1">
      <w:pPr>
        <w:pStyle w:val="Paragraphedeliste"/>
        <w:numPr>
          <w:ilvl w:val="0"/>
          <w:numId w:val="71"/>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77 banques (97.49%) disposent d’un comité/section ayant pour mission d’identifier, de superviser et de co</w:t>
      </w:r>
      <w:r w:rsidR="004E749F" w:rsidRPr="002B005F">
        <w:rPr>
          <w:rFonts w:ascii="Times New Roman" w:hAnsi="Times New Roman" w:cs="Times New Roman"/>
          <w:sz w:val="24"/>
          <w:szCs w:val="24"/>
        </w:rPr>
        <w:t>ntrôler les différents risques.</w:t>
      </w:r>
    </w:p>
    <w:p w14:paraId="2C89FB7B" w14:textId="77777777" w:rsidR="005824EB" w:rsidRPr="002B005F" w:rsidRDefault="002760B2" w:rsidP="004E749F">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 nombre des banques qui disposent d’un système de contrôle interne pour détecter les nouveaux risques est 67 banques (84.81%). S</w:t>
      </w:r>
      <w:r w:rsidR="004E749F" w:rsidRPr="002B005F">
        <w:rPr>
          <w:rFonts w:ascii="Times New Roman" w:hAnsi="Times New Roman" w:cs="Times New Roman"/>
          <w:sz w:val="24"/>
          <w:szCs w:val="24"/>
        </w:rPr>
        <w:t>eulement 47 banques (59.49%)</w:t>
      </w:r>
      <w:r w:rsidRPr="002B005F">
        <w:rPr>
          <w:rFonts w:ascii="Times New Roman" w:hAnsi="Times New Roman" w:cs="Times New Roman"/>
          <w:sz w:val="24"/>
          <w:szCs w:val="24"/>
        </w:rPr>
        <w:t xml:space="preserve"> ont un système informatisé d’estimation de la variabilité des profit</w:t>
      </w:r>
      <w:r w:rsidR="005824EB" w:rsidRPr="002B005F">
        <w:rPr>
          <w:rFonts w:ascii="Times New Roman" w:hAnsi="Times New Roman" w:cs="Times New Roman"/>
          <w:sz w:val="24"/>
          <w:szCs w:val="24"/>
        </w:rPr>
        <w:t>s et de la gestion des risques.</w:t>
      </w:r>
    </w:p>
    <w:p w14:paraId="44817AE5" w14:textId="77777777" w:rsidR="005824EB" w:rsidRPr="002B005F" w:rsidRDefault="002760B2" w:rsidP="005824EB">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Pour les produits financiers participatifs, nous remarquons que</w:t>
      </w:r>
      <w:r w:rsidR="005824EB" w:rsidRPr="002B005F">
        <w:rPr>
          <w:rFonts w:ascii="Times New Roman" w:hAnsi="Times New Roman" w:cs="Times New Roman"/>
          <w:sz w:val="24"/>
          <w:szCs w:val="24"/>
        </w:rPr>
        <w:t> :</w:t>
      </w:r>
    </w:p>
    <w:p w14:paraId="36547B88" w14:textId="77777777" w:rsidR="005824EB" w:rsidRPr="002B005F" w:rsidRDefault="002760B2" w:rsidP="00CB0FF1">
      <w:pPr>
        <w:pStyle w:val="Paragraphedeliste"/>
        <w:numPr>
          <w:ilvl w:val="0"/>
          <w:numId w:val="70"/>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52 institutions (65.82%) ont déjà développé des techniques d’atténuation des risques spécifiques au financement </w:t>
      </w:r>
      <w:r w:rsidR="0096069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5824EB" w:rsidRPr="002B005F">
        <w:rPr>
          <w:rFonts w:ascii="Times New Roman" w:hAnsi="Times New Roman" w:cs="Times New Roman"/>
          <w:sz w:val="24"/>
          <w:szCs w:val="24"/>
        </w:rPr>
        <w:t xml:space="preserve"> participatif ;</w:t>
      </w:r>
    </w:p>
    <w:p w14:paraId="6213F02A" w14:textId="77777777" w:rsidR="002760B2" w:rsidRPr="002B005F" w:rsidRDefault="002760B2" w:rsidP="00CB0FF1">
      <w:pPr>
        <w:pStyle w:val="Paragraphedeliste"/>
        <w:numPr>
          <w:ilvl w:val="0"/>
          <w:numId w:val="70"/>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50 institutions (63.29%) sont dotées d’experts en évaluation des projets pour financer les produits M-M.</w:t>
      </w:r>
    </w:p>
    <w:p w14:paraId="31F15A58" w14:textId="7E7DEA1E" w:rsidR="00DE471E" w:rsidRPr="002B005F" w:rsidRDefault="00DE471E" w:rsidP="005824EB">
      <w:pPr>
        <w:pStyle w:val="Lgende"/>
        <w:keepNext/>
        <w:tabs>
          <w:tab w:val="left" w:pos="0"/>
        </w:tabs>
        <w:spacing w:before="100" w:beforeAutospacing="1" w:after="120" w:line="300" w:lineRule="auto"/>
        <w:jc w:val="center"/>
        <w:rPr>
          <w:rFonts w:ascii="Times New Roman" w:hAnsi="Times New Roman" w:cs="Times New Roman"/>
          <w:color w:val="auto"/>
          <w:sz w:val="24"/>
          <w:szCs w:val="24"/>
        </w:rPr>
      </w:pPr>
      <w:bookmarkStart w:id="1641" w:name="_Toc115556089"/>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21</w:t>
      </w:r>
      <w:r w:rsidR="00B544E5" w:rsidRPr="002B005F">
        <w:rPr>
          <w:rFonts w:ascii="Times New Roman" w:hAnsi="Times New Roman" w:cs="Times New Roman"/>
          <w:color w:val="auto"/>
          <w:sz w:val="24"/>
          <w:szCs w:val="24"/>
        </w:rPr>
        <w:fldChar w:fldCharType="end"/>
      </w:r>
      <w:r w:rsidR="005824EB"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Processus de gestion des risques</w:t>
      </w:r>
      <w:bookmarkEnd w:id="1641"/>
    </w:p>
    <w:tbl>
      <w:tblPr>
        <w:tblStyle w:val="Grillemoyenne1-Accent5"/>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57" w:type="dxa"/>
          <w:bottom w:w="28" w:type="dxa"/>
          <w:right w:w="57" w:type="dxa"/>
        </w:tblCellMar>
        <w:tblLook w:val="04A0" w:firstRow="1" w:lastRow="0" w:firstColumn="1" w:lastColumn="0" w:noHBand="0" w:noVBand="1"/>
      </w:tblPr>
      <w:tblGrid>
        <w:gridCol w:w="6236"/>
        <w:gridCol w:w="1418"/>
        <w:gridCol w:w="1418"/>
      </w:tblGrid>
      <w:tr w:rsidR="002760B2" w:rsidRPr="002B005F" w14:paraId="5732BAF0" w14:textId="77777777" w:rsidTr="00C92F17">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EEAF6" w:themeFill="accent1" w:themeFillTint="33"/>
            <w:vAlign w:val="center"/>
          </w:tcPr>
          <w:p w14:paraId="1323A8B4" w14:textId="77777777" w:rsidR="002760B2" w:rsidRPr="002B005F" w:rsidRDefault="004E749F" w:rsidP="005824EB">
            <w:pPr>
              <w:keepNext/>
              <w:tabs>
                <w:tab w:val="left" w:pos="0"/>
              </w:tabs>
              <w:autoSpaceDE w:val="0"/>
              <w:autoSpaceDN w:val="0"/>
              <w:adjustRightInd w:val="0"/>
              <w:jc w:val="center"/>
              <w:rPr>
                <w:rFonts w:ascii="Times New Roman" w:hAnsi="Times New Roman" w:cs="Times New Roman"/>
                <w:sz w:val="24"/>
                <w:szCs w:val="24"/>
              </w:rPr>
            </w:pPr>
            <w:r w:rsidRPr="002B005F">
              <w:rPr>
                <w:rFonts w:ascii="Times New Roman" w:hAnsi="Times New Roman" w:cs="Times New Roman"/>
                <w:sz w:val="24"/>
                <w:szCs w:val="24"/>
              </w:rPr>
              <w:t>Gestion du risque</w:t>
            </w:r>
          </w:p>
        </w:tc>
        <w:tc>
          <w:tcPr>
            <w:tcW w:w="1418" w:type="dxa"/>
            <w:shd w:val="clear" w:color="auto" w:fill="DEEAF6" w:themeFill="accent1" w:themeFillTint="33"/>
            <w:vAlign w:val="center"/>
          </w:tcPr>
          <w:p w14:paraId="5A0BC6D9" w14:textId="77777777" w:rsidR="002760B2" w:rsidRPr="002B005F" w:rsidRDefault="007F6670" w:rsidP="005824EB">
            <w:pPr>
              <w:keepNext/>
              <w:tabs>
                <w:tab w:val="left" w:pos="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N</w:t>
            </w:r>
            <w:r w:rsidR="002760B2" w:rsidRPr="002B005F">
              <w:rPr>
                <w:rFonts w:ascii="Times New Roman" w:hAnsi="Times New Roman" w:cs="Times New Roman"/>
              </w:rPr>
              <w:t>bre de réponses positives</w:t>
            </w:r>
          </w:p>
        </w:tc>
        <w:tc>
          <w:tcPr>
            <w:tcW w:w="1418" w:type="dxa"/>
            <w:shd w:val="clear" w:color="auto" w:fill="DEEAF6" w:themeFill="accent1" w:themeFillTint="33"/>
            <w:vAlign w:val="center"/>
          </w:tcPr>
          <w:p w14:paraId="10D85B49" w14:textId="77777777" w:rsidR="002760B2" w:rsidRPr="002B005F" w:rsidRDefault="002760B2" w:rsidP="005824EB">
            <w:pPr>
              <w:keepNext/>
              <w:tabs>
                <w:tab w:val="left" w:pos="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Pourcentage du total</w:t>
            </w:r>
          </w:p>
        </w:tc>
      </w:tr>
      <w:tr w:rsidR="002760B2" w:rsidRPr="002B005F" w14:paraId="3CB63725" w14:textId="77777777" w:rsidTr="00C92F1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FFFFFF" w:themeFill="background1"/>
            <w:vAlign w:val="center"/>
          </w:tcPr>
          <w:p w14:paraId="503A6499" w14:textId="77777777" w:rsidR="002760B2" w:rsidRPr="002B005F" w:rsidRDefault="002760B2" w:rsidP="005824EB">
            <w:pPr>
              <w:keepNext/>
              <w:tabs>
                <w:tab w:val="left" w:pos="0"/>
              </w:tabs>
              <w:autoSpaceDE w:val="0"/>
              <w:autoSpaceDN w:val="0"/>
              <w:adjustRightInd w:val="0"/>
              <w:rPr>
                <w:rFonts w:ascii="Times New Roman" w:hAnsi="Times New Roman" w:cs="Times New Roman"/>
                <w:b w:val="0"/>
                <w:bCs w:val="0"/>
                <w:sz w:val="24"/>
                <w:szCs w:val="24"/>
              </w:rPr>
            </w:pPr>
            <w:r w:rsidRPr="002B005F">
              <w:rPr>
                <w:rFonts w:ascii="Times New Roman" w:hAnsi="Times New Roman" w:cs="Times New Roman"/>
                <w:b w:val="0"/>
                <w:bCs w:val="0"/>
                <w:sz w:val="24"/>
                <w:szCs w:val="24"/>
              </w:rPr>
              <w:t>Est-ce que votre établissement dispose d’un dép</w:t>
            </w:r>
            <w:r w:rsidR="007F6670" w:rsidRPr="002B005F">
              <w:rPr>
                <w:rFonts w:ascii="Times New Roman" w:hAnsi="Times New Roman" w:cs="Times New Roman"/>
                <w:b w:val="0"/>
                <w:bCs w:val="0"/>
                <w:sz w:val="24"/>
                <w:szCs w:val="24"/>
              </w:rPr>
              <w:t xml:space="preserve">artement de gestion </w:t>
            </w:r>
            <w:r w:rsidR="005824EB" w:rsidRPr="002B005F">
              <w:rPr>
                <w:rFonts w:ascii="Times New Roman" w:hAnsi="Times New Roman" w:cs="Times New Roman"/>
                <w:b w:val="0"/>
                <w:bCs w:val="0"/>
                <w:sz w:val="24"/>
                <w:szCs w:val="24"/>
              </w:rPr>
              <w:t>des risques</w:t>
            </w:r>
            <w:r w:rsidR="007F6670" w:rsidRPr="002B005F">
              <w:rPr>
                <w:rFonts w:ascii="Times New Roman" w:hAnsi="Times New Roman" w:cs="Times New Roman"/>
                <w:b w:val="0"/>
                <w:bCs w:val="0"/>
                <w:sz w:val="24"/>
                <w:szCs w:val="24"/>
              </w:rPr>
              <w:t> ?</w:t>
            </w:r>
          </w:p>
        </w:tc>
        <w:tc>
          <w:tcPr>
            <w:tcW w:w="1418" w:type="dxa"/>
            <w:shd w:val="clear" w:color="auto" w:fill="FFFFFF" w:themeFill="background1"/>
            <w:vAlign w:val="center"/>
          </w:tcPr>
          <w:p w14:paraId="6B32327F" w14:textId="77777777" w:rsidR="002760B2" w:rsidRPr="002B005F" w:rsidRDefault="002760B2" w:rsidP="005824EB">
            <w:pPr>
              <w:keepNext/>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78</w:t>
            </w:r>
          </w:p>
        </w:tc>
        <w:tc>
          <w:tcPr>
            <w:tcW w:w="1418" w:type="dxa"/>
            <w:shd w:val="clear" w:color="auto" w:fill="FFFFFF" w:themeFill="background1"/>
            <w:vAlign w:val="center"/>
          </w:tcPr>
          <w:p w14:paraId="7FC82812" w14:textId="77777777" w:rsidR="002760B2" w:rsidRPr="002B005F" w:rsidRDefault="007F6670" w:rsidP="005824EB">
            <w:pPr>
              <w:keepNext/>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98.73</w:t>
            </w:r>
          </w:p>
        </w:tc>
      </w:tr>
      <w:tr w:rsidR="002760B2" w:rsidRPr="002B005F" w14:paraId="4EA0A44E" w14:textId="77777777" w:rsidTr="00C92F17">
        <w:trPr>
          <w:trHeight w:val="680"/>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EEAF6" w:themeFill="accent1" w:themeFillTint="33"/>
            <w:vAlign w:val="center"/>
          </w:tcPr>
          <w:p w14:paraId="356E62FB" w14:textId="77777777" w:rsidR="002760B2" w:rsidRPr="002B005F" w:rsidRDefault="002760B2" w:rsidP="005824EB">
            <w:pPr>
              <w:keepNext/>
              <w:tabs>
                <w:tab w:val="left" w:pos="0"/>
              </w:tabs>
              <w:autoSpaceDE w:val="0"/>
              <w:autoSpaceDN w:val="0"/>
              <w:adjustRightInd w:val="0"/>
              <w:rPr>
                <w:rFonts w:ascii="Times New Roman" w:hAnsi="Times New Roman" w:cs="Times New Roman"/>
                <w:b w:val="0"/>
                <w:bCs w:val="0"/>
                <w:sz w:val="24"/>
                <w:szCs w:val="24"/>
              </w:rPr>
            </w:pPr>
            <w:r w:rsidRPr="002B005F">
              <w:rPr>
                <w:rFonts w:ascii="Times New Roman" w:hAnsi="Times New Roman" w:cs="Times New Roman"/>
                <w:b w:val="0"/>
                <w:bCs w:val="0"/>
                <w:sz w:val="24"/>
                <w:szCs w:val="24"/>
              </w:rPr>
              <w:t xml:space="preserve">Ya-t-il une section/comité chargé de l’identification, du suivi et </w:t>
            </w:r>
            <w:r w:rsidR="007F6670" w:rsidRPr="002B005F">
              <w:rPr>
                <w:rFonts w:ascii="Times New Roman" w:hAnsi="Times New Roman" w:cs="Times New Roman"/>
                <w:b w:val="0"/>
                <w:bCs w:val="0"/>
                <w:sz w:val="24"/>
                <w:szCs w:val="24"/>
              </w:rPr>
              <w:t>du contrôle des divers risques ?</w:t>
            </w:r>
          </w:p>
        </w:tc>
        <w:tc>
          <w:tcPr>
            <w:tcW w:w="1418" w:type="dxa"/>
            <w:shd w:val="clear" w:color="auto" w:fill="DEEAF6" w:themeFill="accent1" w:themeFillTint="33"/>
            <w:vAlign w:val="center"/>
          </w:tcPr>
          <w:p w14:paraId="66D7F72C" w14:textId="77777777" w:rsidR="002760B2" w:rsidRPr="002B005F" w:rsidRDefault="002760B2" w:rsidP="005824EB">
            <w:pPr>
              <w:keepNext/>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77</w:t>
            </w:r>
          </w:p>
        </w:tc>
        <w:tc>
          <w:tcPr>
            <w:tcW w:w="1418" w:type="dxa"/>
            <w:shd w:val="clear" w:color="auto" w:fill="DEEAF6" w:themeFill="accent1" w:themeFillTint="33"/>
            <w:vAlign w:val="center"/>
          </w:tcPr>
          <w:p w14:paraId="06323179" w14:textId="77777777" w:rsidR="002760B2" w:rsidRPr="002B005F" w:rsidRDefault="007F6670" w:rsidP="005824EB">
            <w:pPr>
              <w:keepNext/>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97.46</w:t>
            </w:r>
          </w:p>
        </w:tc>
      </w:tr>
      <w:tr w:rsidR="002760B2" w:rsidRPr="002B005F" w14:paraId="05E89C8C" w14:textId="77777777" w:rsidTr="00C92F1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FFFFFF" w:themeFill="background1"/>
            <w:vAlign w:val="center"/>
          </w:tcPr>
          <w:p w14:paraId="03CC2AC4" w14:textId="77777777" w:rsidR="002760B2" w:rsidRPr="002B005F" w:rsidRDefault="002760B2" w:rsidP="005824EB">
            <w:pPr>
              <w:keepNext/>
              <w:tabs>
                <w:tab w:val="left" w:pos="0"/>
              </w:tabs>
              <w:autoSpaceDE w:val="0"/>
              <w:autoSpaceDN w:val="0"/>
              <w:adjustRightInd w:val="0"/>
              <w:rPr>
                <w:rFonts w:ascii="Times New Roman" w:hAnsi="Times New Roman" w:cs="Times New Roman"/>
                <w:b w:val="0"/>
                <w:bCs w:val="0"/>
                <w:sz w:val="24"/>
                <w:szCs w:val="24"/>
              </w:rPr>
            </w:pPr>
            <w:r w:rsidRPr="002B005F">
              <w:rPr>
                <w:rFonts w:ascii="Times New Roman" w:hAnsi="Times New Roman" w:cs="Times New Roman"/>
                <w:b w:val="0"/>
                <w:bCs w:val="0"/>
                <w:sz w:val="24"/>
                <w:szCs w:val="24"/>
              </w:rPr>
              <w:t xml:space="preserve">Est-ce que votre banque dispose d’un système de contrôle interne pour détecter les nouveaux </w:t>
            </w:r>
            <w:r w:rsidR="005824EB" w:rsidRPr="002B005F">
              <w:rPr>
                <w:rFonts w:ascii="Times New Roman" w:hAnsi="Times New Roman" w:cs="Times New Roman"/>
                <w:b w:val="0"/>
                <w:bCs w:val="0"/>
                <w:sz w:val="24"/>
                <w:szCs w:val="24"/>
              </w:rPr>
              <w:t>risques ?</w:t>
            </w:r>
          </w:p>
        </w:tc>
        <w:tc>
          <w:tcPr>
            <w:tcW w:w="1418" w:type="dxa"/>
            <w:shd w:val="clear" w:color="auto" w:fill="FFFFFF" w:themeFill="background1"/>
            <w:vAlign w:val="center"/>
          </w:tcPr>
          <w:p w14:paraId="4A91604B" w14:textId="77777777" w:rsidR="002760B2" w:rsidRPr="002B005F" w:rsidRDefault="002760B2" w:rsidP="005824EB">
            <w:pPr>
              <w:keepNext/>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67</w:t>
            </w:r>
          </w:p>
        </w:tc>
        <w:tc>
          <w:tcPr>
            <w:tcW w:w="1418" w:type="dxa"/>
            <w:shd w:val="clear" w:color="auto" w:fill="FFFFFF" w:themeFill="background1"/>
            <w:vAlign w:val="center"/>
          </w:tcPr>
          <w:p w14:paraId="4627F4D6" w14:textId="77777777" w:rsidR="002760B2" w:rsidRPr="002B005F" w:rsidRDefault="007F6670" w:rsidP="005824EB">
            <w:pPr>
              <w:keepNext/>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84.81</w:t>
            </w:r>
          </w:p>
        </w:tc>
      </w:tr>
      <w:tr w:rsidR="002760B2" w:rsidRPr="002B005F" w14:paraId="34C8052E" w14:textId="77777777" w:rsidTr="00C92F17">
        <w:trPr>
          <w:trHeight w:val="680"/>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FFFFFF" w:themeFill="background1"/>
            <w:vAlign w:val="center"/>
          </w:tcPr>
          <w:p w14:paraId="47CA626D" w14:textId="77777777" w:rsidR="002760B2" w:rsidRPr="002B005F" w:rsidRDefault="002760B2" w:rsidP="005824EB">
            <w:pPr>
              <w:keepNext/>
              <w:tabs>
                <w:tab w:val="left" w:pos="0"/>
              </w:tabs>
              <w:autoSpaceDE w:val="0"/>
              <w:autoSpaceDN w:val="0"/>
              <w:adjustRightInd w:val="0"/>
              <w:rPr>
                <w:rFonts w:ascii="Times New Roman" w:hAnsi="Times New Roman" w:cs="Times New Roman"/>
                <w:b w:val="0"/>
                <w:bCs w:val="0"/>
                <w:sz w:val="24"/>
                <w:szCs w:val="24"/>
              </w:rPr>
            </w:pPr>
            <w:r w:rsidRPr="002B005F">
              <w:rPr>
                <w:rFonts w:ascii="Times New Roman" w:hAnsi="Times New Roman" w:cs="Times New Roman"/>
                <w:b w:val="0"/>
                <w:bCs w:val="0"/>
                <w:sz w:val="24"/>
                <w:szCs w:val="24"/>
              </w:rPr>
              <w:t>Y a-t-il un système informatisé d’estimation de la variabilité des profit</w:t>
            </w:r>
            <w:r w:rsidR="007F6670" w:rsidRPr="002B005F">
              <w:rPr>
                <w:rFonts w:ascii="Times New Roman" w:hAnsi="Times New Roman" w:cs="Times New Roman"/>
                <w:b w:val="0"/>
                <w:bCs w:val="0"/>
                <w:sz w:val="24"/>
                <w:szCs w:val="24"/>
              </w:rPr>
              <w:t>s et de la gestion des risques ?</w:t>
            </w:r>
          </w:p>
        </w:tc>
        <w:tc>
          <w:tcPr>
            <w:tcW w:w="1418" w:type="dxa"/>
            <w:shd w:val="clear" w:color="auto" w:fill="auto"/>
            <w:vAlign w:val="center"/>
          </w:tcPr>
          <w:p w14:paraId="3A2ED8F3" w14:textId="77777777" w:rsidR="002760B2" w:rsidRPr="002B005F" w:rsidRDefault="002760B2" w:rsidP="005824EB">
            <w:pPr>
              <w:keepNext/>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47</w:t>
            </w:r>
          </w:p>
        </w:tc>
        <w:tc>
          <w:tcPr>
            <w:tcW w:w="1418" w:type="dxa"/>
            <w:shd w:val="clear" w:color="auto" w:fill="auto"/>
            <w:vAlign w:val="center"/>
          </w:tcPr>
          <w:p w14:paraId="3245A497" w14:textId="77777777" w:rsidR="002760B2" w:rsidRPr="002B005F" w:rsidRDefault="007F6670" w:rsidP="005824EB">
            <w:pPr>
              <w:keepNext/>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59.49</w:t>
            </w:r>
          </w:p>
        </w:tc>
      </w:tr>
      <w:tr w:rsidR="002760B2" w:rsidRPr="002B005F" w14:paraId="4B0CD3E6" w14:textId="77777777" w:rsidTr="00C92F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EEAF6" w:themeFill="accent1" w:themeFillTint="33"/>
            <w:vAlign w:val="center"/>
          </w:tcPr>
          <w:p w14:paraId="787B84C2" w14:textId="77777777" w:rsidR="002760B2" w:rsidRPr="002B005F" w:rsidRDefault="002760B2" w:rsidP="005824EB">
            <w:pPr>
              <w:keepNext/>
              <w:tabs>
                <w:tab w:val="left" w:pos="0"/>
              </w:tabs>
              <w:autoSpaceDE w:val="0"/>
              <w:autoSpaceDN w:val="0"/>
              <w:adjustRightInd w:val="0"/>
              <w:rPr>
                <w:rFonts w:ascii="Times New Roman" w:hAnsi="Times New Roman" w:cs="Times New Roman"/>
                <w:b w:val="0"/>
                <w:bCs w:val="0"/>
                <w:sz w:val="24"/>
                <w:szCs w:val="24"/>
              </w:rPr>
            </w:pPr>
            <w:r w:rsidRPr="002B005F">
              <w:rPr>
                <w:rFonts w:ascii="Times New Roman" w:hAnsi="Times New Roman" w:cs="Times New Roman"/>
                <w:b w:val="0"/>
                <w:bCs w:val="0"/>
                <w:sz w:val="24"/>
                <w:szCs w:val="24"/>
              </w:rPr>
              <w:t xml:space="preserve">Est-ce que votre banque s’intéresse à l’innovation </w:t>
            </w:r>
            <w:r w:rsidR="005824EB" w:rsidRPr="002B005F">
              <w:rPr>
                <w:rFonts w:ascii="Times New Roman" w:hAnsi="Times New Roman" w:cs="Times New Roman"/>
                <w:b w:val="0"/>
                <w:bCs w:val="0"/>
                <w:sz w:val="24"/>
                <w:szCs w:val="24"/>
              </w:rPr>
              <w:t>financière ?</w:t>
            </w:r>
          </w:p>
        </w:tc>
        <w:tc>
          <w:tcPr>
            <w:tcW w:w="1418" w:type="dxa"/>
            <w:shd w:val="clear" w:color="auto" w:fill="DEEAF6" w:themeFill="accent1" w:themeFillTint="33"/>
            <w:vAlign w:val="center"/>
          </w:tcPr>
          <w:p w14:paraId="35A0F885" w14:textId="77777777" w:rsidR="002760B2" w:rsidRPr="002B005F" w:rsidRDefault="002760B2" w:rsidP="005824EB">
            <w:pPr>
              <w:keepNext/>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73</w:t>
            </w:r>
          </w:p>
        </w:tc>
        <w:tc>
          <w:tcPr>
            <w:tcW w:w="1418" w:type="dxa"/>
            <w:shd w:val="clear" w:color="auto" w:fill="DEEAF6" w:themeFill="accent1" w:themeFillTint="33"/>
            <w:vAlign w:val="center"/>
          </w:tcPr>
          <w:p w14:paraId="7B6ACB79" w14:textId="77777777" w:rsidR="002760B2" w:rsidRPr="002B005F" w:rsidRDefault="009B7094" w:rsidP="005824EB">
            <w:pPr>
              <w:keepNext/>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92.40</w:t>
            </w:r>
          </w:p>
        </w:tc>
      </w:tr>
      <w:tr w:rsidR="002760B2" w:rsidRPr="002B005F" w14:paraId="17735844" w14:textId="77777777" w:rsidTr="00C92F17">
        <w:trPr>
          <w:trHeight w:val="680"/>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FFFFFF" w:themeFill="background1"/>
            <w:vAlign w:val="center"/>
          </w:tcPr>
          <w:p w14:paraId="4629EA9B" w14:textId="77777777" w:rsidR="002760B2" w:rsidRPr="002B005F" w:rsidRDefault="002760B2" w:rsidP="005824EB">
            <w:pPr>
              <w:keepNext/>
              <w:tabs>
                <w:tab w:val="left" w:pos="0"/>
              </w:tabs>
              <w:autoSpaceDE w:val="0"/>
              <w:autoSpaceDN w:val="0"/>
              <w:adjustRightInd w:val="0"/>
              <w:rPr>
                <w:rFonts w:ascii="Times New Roman" w:hAnsi="Times New Roman" w:cs="Times New Roman"/>
                <w:b w:val="0"/>
                <w:bCs w:val="0"/>
                <w:sz w:val="24"/>
                <w:szCs w:val="24"/>
              </w:rPr>
            </w:pPr>
            <w:r w:rsidRPr="002B005F">
              <w:rPr>
                <w:rFonts w:ascii="Times New Roman" w:hAnsi="Times New Roman" w:cs="Times New Roman"/>
                <w:b w:val="0"/>
                <w:bCs w:val="0"/>
                <w:sz w:val="24"/>
                <w:szCs w:val="24"/>
              </w:rPr>
              <w:t>Votre banque a-t-elle développé des techniques d’atténuation des risques spécifiques au fin</w:t>
            </w:r>
            <w:r w:rsidR="005824EB" w:rsidRPr="002B005F">
              <w:rPr>
                <w:rFonts w:ascii="Times New Roman" w:hAnsi="Times New Roman" w:cs="Times New Roman"/>
                <w:b w:val="0"/>
                <w:bCs w:val="0"/>
                <w:sz w:val="24"/>
                <w:szCs w:val="24"/>
              </w:rPr>
              <w:t xml:space="preserve">ancement </w:t>
            </w:r>
            <w:r w:rsidR="0096069F">
              <w:rPr>
                <w:rFonts w:ascii="Times New Roman" w:hAnsi="Times New Roman" w:cs="Times New Roman"/>
                <w:b w:val="0"/>
                <w:bCs w:val="0"/>
                <w:sz w:val="24"/>
                <w:szCs w:val="24"/>
              </w:rPr>
              <w:t>i</w:t>
            </w:r>
            <w:r w:rsidR="003773C6" w:rsidRPr="002B005F">
              <w:rPr>
                <w:rFonts w:ascii="Times New Roman" w:hAnsi="Times New Roman" w:cs="Times New Roman"/>
                <w:b w:val="0"/>
                <w:bCs w:val="0"/>
                <w:sz w:val="24"/>
                <w:szCs w:val="24"/>
              </w:rPr>
              <w:t>slamique</w:t>
            </w:r>
            <w:r w:rsidR="005824EB" w:rsidRPr="002B005F">
              <w:rPr>
                <w:rFonts w:ascii="Times New Roman" w:hAnsi="Times New Roman" w:cs="Times New Roman"/>
                <w:b w:val="0"/>
                <w:bCs w:val="0"/>
                <w:sz w:val="24"/>
                <w:szCs w:val="24"/>
              </w:rPr>
              <w:t xml:space="preserve"> participatif ?</w:t>
            </w:r>
          </w:p>
        </w:tc>
        <w:tc>
          <w:tcPr>
            <w:tcW w:w="1418" w:type="dxa"/>
            <w:shd w:val="clear" w:color="auto" w:fill="FFFFFF" w:themeFill="background1"/>
            <w:vAlign w:val="center"/>
          </w:tcPr>
          <w:p w14:paraId="511A2429" w14:textId="77777777" w:rsidR="002760B2" w:rsidRPr="002B005F" w:rsidRDefault="002760B2" w:rsidP="005824EB">
            <w:pPr>
              <w:keepNext/>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52</w:t>
            </w:r>
          </w:p>
        </w:tc>
        <w:tc>
          <w:tcPr>
            <w:tcW w:w="1418" w:type="dxa"/>
            <w:shd w:val="clear" w:color="auto" w:fill="FFFFFF" w:themeFill="background1"/>
            <w:vAlign w:val="center"/>
          </w:tcPr>
          <w:p w14:paraId="72EA094A" w14:textId="77777777" w:rsidR="002760B2" w:rsidRPr="002B005F" w:rsidRDefault="009B7094" w:rsidP="005824EB">
            <w:pPr>
              <w:keepNext/>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65.82</w:t>
            </w:r>
          </w:p>
        </w:tc>
      </w:tr>
      <w:tr w:rsidR="002760B2" w:rsidRPr="002B005F" w14:paraId="7B446ED6" w14:textId="77777777" w:rsidTr="00C92F1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EEAF6" w:themeFill="accent1" w:themeFillTint="33"/>
            <w:vAlign w:val="center"/>
          </w:tcPr>
          <w:p w14:paraId="3F0DF043" w14:textId="77777777" w:rsidR="002760B2" w:rsidRPr="002B005F" w:rsidRDefault="002760B2" w:rsidP="005824EB">
            <w:pPr>
              <w:keepNext/>
              <w:tabs>
                <w:tab w:val="left" w:pos="0"/>
              </w:tabs>
              <w:autoSpaceDE w:val="0"/>
              <w:autoSpaceDN w:val="0"/>
              <w:adjustRightInd w:val="0"/>
              <w:rPr>
                <w:rFonts w:ascii="Times New Roman" w:hAnsi="Times New Roman" w:cs="Times New Roman"/>
                <w:b w:val="0"/>
                <w:bCs w:val="0"/>
                <w:sz w:val="24"/>
                <w:szCs w:val="24"/>
              </w:rPr>
            </w:pPr>
            <w:r w:rsidRPr="002B005F">
              <w:rPr>
                <w:rFonts w:ascii="Times New Roman" w:hAnsi="Times New Roman" w:cs="Times New Roman"/>
                <w:b w:val="0"/>
                <w:bCs w:val="0"/>
                <w:sz w:val="24"/>
                <w:szCs w:val="24"/>
              </w:rPr>
              <w:t>Est-ce que votre banque est dotée d’experts en évaluation des projets pour financer les produits M-M ?</w:t>
            </w:r>
          </w:p>
        </w:tc>
        <w:tc>
          <w:tcPr>
            <w:tcW w:w="1418" w:type="dxa"/>
            <w:shd w:val="clear" w:color="auto" w:fill="DEEAF6" w:themeFill="accent1" w:themeFillTint="33"/>
            <w:vAlign w:val="center"/>
          </w:tcPr>
          <w:p w14:paraId="14C6FFBA" w14:textId="77777777" w:rsidR="002760B2" w:rsidRPr="002B005F" w:rsidRDefault="002760B2" w:rsidP="005824EB">
            <w:pPr>
              <w:keepNext/>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50</w:t>
            </w:r>
          </w:p>
        </w:tc>
        <w:tc>
          <w:tcPr>
            <w:tcW w:w="1418" w:type="dxa"/>
            <w:shd w:val="clear" w:color="auto" w:fill="DEEAF6" w:themeFill="accent1" w:themeFillTint="33"/>
            <w:vAlign w:val="center"/>
          </w:tcPr>
          <w:p w14:paraId="314D3DB1" w14:textId="77777777" w:rsidR="002760B2" w:rsidRPr="002B005F" w:rsidRDefault="009B7094" w:rsidP="005824EB">
            <w:pPr>
              <w:keepNext/>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63.29</w:t>
            </w:r>
          </w:p>
        </w:tc>
      </w:tr>
    </w:tbl>
    <w:p w14:paraId="0B5D0926" w14:textId="77777777" w:rsidR="002760B2" w:rsidRPr="002B005F" w:rsidRDefault="002760B2" w:rsidP="00C62D6B">
      <w:pPr>
        <w:keepNext/>
        <w:tabs>
          <w:tab w:val="left" w:pos="0"/>
        </w:tabs>
        <w:autoSpaceDE w:val="0"/>
        <w:autoSpaceDN w:val="0"/>
        <w:adjustRightInd w:val="0"/>
        <w:spacing w:before="120" w:after="120" w:line="24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0028691E">
        <w:rPr>
          <w:rFonts w:ascii="Times New Roman" w:hAnsi="Times New Roman" w:cs="Times New Roman"/>
          <w:sz w:val="20"/>
          <w:szCs w:val="20"/>
        </w:rPr>
        <w:t>C</w:t>
      </w:r>
      <w:r w:rsidRPr="002B005F">
        <w:rPr>
          <w:rFonts w:ascii="Times New Roman" w:hAnsi="Times New Roman" w:cs="Times New Roman"/>
          <w:sz w:val="20"/>
          <w:szCs w:val="20"/>
        </w:rPr>
        <w:t>alculs du chercheur.</w:t>
      </w:r>
    </w:p>
    <w:p w14:paraId="0B349E98" w14:textId="77777777" w:rsidR="009B7094" w:rsidRPr="002B005F" w:rsidRDefault="009B7094" w:rsidP="00D66FFE">
      <w:pPr>
        <w:tabs>
          <w:tab w:val="left" w:pos="0"/>
        </w:tabs>
        <w:autoSpaceDE w:val="0"/>
        <w:autoSpaceDN w:val="0"/>
        <w:adjustRightInd w:val="0"/>
        <w:spacing w:line="240" w:lineRule="auto"/>
        <w:jc w:val="center"/>
        <w:rPr>
          <w:rFonts w:ascii="Times New Roman" w:hAnsi="Times New Roman" w:cs="Times New Roman"/>
          <w:sz w:val="20"/>
          <w:szCs w:val="20"/>
        </w:rPr>
      </w:pPr>
    </w:p>
    <w:p w14:paraId="7CB4F200" w14:textId="77777777" w:rsidR="002760B2" w:rsidRPr="00071DF1" w:rsidRDefault="00245F45" w:rsidP="00D66FFE">
      <w:pPr>
        <w:pStyle w:val="Titre4"/>
        <w:keepNext w:val="0"/>
        <w:spacing w:before="120" w:after="120" w:line="300" w:lineRule="auto"/>
        <w:ind w:firstLine="709"/>
      </w:pPr>
      <w:bookmarkStart w:id="1642" w:name="_Toc33263392"/>
      <w:bookmarkStart w:id="1643" w:name="_Toc37664655"/>
      <w:bookmarkStart w:id="1644" w:name="_Toc37666500"/>
      <w:bookmarkStart w:id="1645" w:name="_Toc54363397"/>
      <w:bookmarkStart w:id="1646" w:name="_Toc58606375"/>
      <w:bookmarkStart w:id="1647" w:name="_Toc61263580"/>
      <w:bookmarkStart w:id="1648" w:name="_Toc182298913"/>
      <w:r>
        <w:t>2</w:t>
      </w:r>
      <w:r w:rsidR="00071DF1">
        <w:t xml:space="preserve">.1.7- </w:t>
      </w:r>
      <w:r w:rsidR="002760B2" w:rsidRPr="00071DF1">
        <w:t>Perceptions sur l'adéquation des fonds propres pour les BI</w:t>
      </w:r>
      <w:bookmarkEnd w:id="1642"/>
      <w:bookmarkEnd w:id="1643"/>
      <w:bookmarkEnd w:id="1644"/>
      <w:bookmarkEnd w:id="1645"/>
      <w:bookmarkEnd w:id="1646"/>
      <w:bookmarkEnd w:id="1647"/>
      <w:bookmarkEnd w:id="1648"/>
    </w:p>
    <w:p w14:paraId="44B4E076" w14:textId="77777777" w:rsidR="002760B2" w:rsidRPr="002B005F" w:rsidRDefault="002760B2" w:rsidP="009B7094">
      <w:pPr>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Cette section traite des problèmes d'adéquation des fonds propres aux</w:t>
      </w:r>
      <w:r w:rsidR="004E749F" w:rsidRPr="002B005F">
        <w:rPr>
          <w:rFonts w:ascii="Times New Roman" w:hAnsi="Times New Roman" w:cs="Times New Roman"/>
          <w:sz w:val="24"/>
          <w:szCs w:val="24"/>
        </w:rPr>
        <w:t xml:space="preserve">quels les BI sont confrontées. </w:t>
      </w:r>
      <w:r w:rsidRPr="002B005F">
        <w:rPr>
          <w:rFonts w:ascii="Times New Roman" w:hAnsi="Times New Roman" w:cs="Times New Roman"/>
          <w:sz w:val="24"/>
          <w:szCs w:val="24"/>
        </w:rPr>
        <w:t xml:space="preserve">Les accords de Bâle ont été établis en tenant compte du modèle bancaire conventionnel. Nous visons à tester la possibilité d’appliquer ces accords sur les BI et à identifier les niveaux de fonds propres appropriés pour les banques </w:t>
      </w:r>
      <w:r w:rsidR="0096069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participantes à l’enquête.</w:t>
      </w:r>
    </w:p>
    <w:p w14:paraId="6A13EF73" w14:textId="77777777" w:rsidR="009B7094" w:rsidRPr="002B005F" w:rsidRDefault="009B7094" w:rsidP="00FF0BB5">
      <w:pPr>
        <w:tabs>
          <w:tab w:val="left" w:pos="0"/>
        </w:tabs>
        <w:autoSpaceDE w:val="0"/>
        <w:autoSpaceDN w:val="0"/>
        <w:adjustRightInd w:val="0"/>
        <w:spacing w:before="120" w:after="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w:t>
      </w:r>
      <w:r w:rsidRPr="002B005F">
        <w:rPr>
          <w:rFonts w:ascii="Times New Roman" w:hAnsi="Times New Roman" w:cs="Times New Roman"/>
          <w:b/>
          <w:bCs/>
          <w:sz w:val="24"/>
          <w:szCs w:val="24"/>
        </w:rPr>
        <w:t xml:space="preserve">e graphique </w:t>
      </w:r>
      <w:r w:rsidR="002760B2" w:rsidRPr="002B005F">
        <w:rPr>
          <w:rFonts w:ascii="Times New Roman" w:hAnsi="Times New Roman" w:cs="Times New Roman"/>
          <w:b/>
          <w:bCs/>
          <w:sz w:val="24"/>
          <w:szCs w:val="24"/>
        </w:rPr>
        <w:t>4</w:t>
      </w:r>
      <w:r w:rsidRPr="002B005F">
        <w:rPr>
          <w:rFonts w:ascii="Times New Roman" w:hAnsi="Times New Roman" w:cs="Times New Roman"/>
          <w:b/>
          <w:bCs/>
          <w:sz w:val="24"/>
          <w:szCs w:val="24"/>
        </w:rPr>
        <w:t xml:space="preserve"> ci-dessous</w:t>
      </w:r>
      <w:r w:rsidRPr="002B005F">
        <w:rPr>
          <w:rFonts w:ascii="Times New Roman" w:hAnsi="Times New Roman" w:cs="Times New Roman"/>
          <w:sz w:val="24"/>
          <w:szCs w:val="24"/>
        </w:rPr>
        <w:t xml:space="preserve"> fait apparaître que :</w:t>
      </w:r>
    </w:p>
    <w:p w14:paraId="19D5EDCA" w14:textId="77777777" w:rsidR="009B7094" w:rsidRPr="002B005F" w:rsidRDefault="00872EB9" w:rsidP="00CB0FF1">
      <w:pPr>
        <w:pStyle w:val="Paragraphedeliste"/>
        <w:numPr>
          <w:ilvl w:val="0"/>
          <w:numId w:val="72"/>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La</w:t>
      </w:r>
      <w:r w:rsidR="002760B2" w:rsidRPr="002B005F">
        <w:rPr>
          <w:rFonts w:ascii="Times New Roman" w:hAnsi="Times New Roman" w:cs="Times New Roman"/>
          <w:sz w:val="24"/>
          <w:szCs w:val="24"/>
        </w:rPr>
        <w:t xml:space="preserve"> majo</w:t>
      </w:r>
      <w:r w:rsidR="007C68EE" w:rsidRPr="002B005F">
        <w:rPr>
          <w:rFonts w:ascii="Times New Roman" w:hAnsi="Times New Roman" w:cs="Times New Roman"/>
          <w:sz w:val="24"/>
          <w:szCs w:val="24"/>
        </w:rPr>
        <w:t>rité des répondants (62.03%) a</w:t>
      </w:r>
      <w:r w:rsidR="002760B2" w:rsidRPr="002B005F">
        <w:rPr>
          <w:rFonts w:ascii="Times New Roman" w:hAnsi="Times New Roman" w:cs="Times New Roman"/>
          <w:sz w:val="24"/>
          <w:szCs w:val="24"/>
        </w:rPr>
        <w:t xml:space="preserve"> exprimé leur adhésion aux </w:t>
      </w:r>
      <w:r w:rsidR="009B7094" w:rsidRPr="002B005F">
        <w:rPr>
          <w:rFonts w:ascii="Times New Roman" w:hAnsi="Times New Roman" w:cs="Times New Roman"/>
          <w:sz w:val="24"/>
          <w:szCs w:val="24"/>
        </w:rPr>
        <w:t>lignes directrices de Bâle III ;</w:t>
      </w:r>
    </w:p>
    <w:p w14:paraId="3F101E26" w14:textId="49CC8792" w:rsidR="00FF0BB5" w:rsidRPr="002B005F" w:rsidRDefault="00872EB9" w:rsidP="00CB0FF1">
      <w:pPr>
        <w:pStyle w:val="Paragraphedeliste"/>
        <w:numPr>
          <w:ilvl w:val="0"/>
          <w:numId w:val="72"/>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Une</w:t>
      </w:r>
      <w:r w:rsidR="009B7094" w:rsidRPr="002B005F">
        <w:rPr>
          <w:rFonts w:ascii="Times New Roman" w:hAnsi="Times New Roman" w:cs="Times New Roman"/>
          <w:sz w:val="24"/>
          <w:szCs w:val="24"/>
        </w:rPr>
        <w:t xml:space="preserve"> proportion de </w:t>
      </w:r>
      <w:r w:rsidR="002760B2" w:rsidRPr="002B005F">
        <w:rPr>
          <w:rFonts w:ascii="Times New Roman" w:hAnsi="Times New Roman" w:cs="Times New Roman"/>
          <w:sz w:val="24"/>
          <w:szCs w:val="24"/>
        </w:rPr>
        <w:t>45.57% des pa</w:t>
      </w:r>
      <w:r w:rsidR="007C68EE" w:rsidRPr="002B005F">
        <w:rPr>
          <w:rFonts w:ascii="Times New Roman" w:hAnsi="Times New Roman" w:cs="Times New Roman"/>
          <w:sz w:val="24"/>
          <w:szCs w:val="24"/>
        </w:rPr>
        <w:t>rticipants a</w:t>
      </w:r>
      <w:r w:rsidR="009B7094" w:rsidRPr="002B005F">
        <w:rPr>
          <w:rFonts w:ascii="Times New Roman" w:hAnsi="Times New Roman" w:cs="Times New Roman"/>
          <w:sz w:val="24"/>
          <w:szCs w:val="24"/>
        </w:rPr>
        <w:t xml:space="preserve"> déclaré que leur</w:t>
      </w:r>
      <w:r w:rsidR="002760B2" w:rsidRPr="002B005F">
        <w:rPr>
          <w:rFonts w:ascii="Times New Roman" w:hAnsi="Times New Roman" w:cs="Times New Roman"/>
          <w:sz w:val="24"/>
          <w:szCs w:val="24"/>
        </w:rPr>
        <w:t xml:space="preserve"> i</w:t>
      </w:r>
      <w:r w:rsidR="009B7094" w:rsidRPr="002B005F">
        <w:rPr>
          <w:rFonts w:ascii="Times New Roman" w:hAnsi="Times New Roman" w:cs="Times New Roman"/>
          <w:sz w:val="24"/>
          <w:szCs w:val="24"/>
        </w:rPr>
        <w:t>nstitution utilise</w:t>
      </w:r>
      <w:r w:rsidR="002760B2" w:rsidRPr="002B005F">
        <w:rPr>
          <w:rFonts w:ascii="Times New Roman" w:hAnsi="Times New Roman" w:cs="Times New Roman"/>
          <w:sz w:val="24"/>
          <w:szCs w:val="24"/>
        </w:rPr>
        <w:t xml:space="preserve"> </w:t>
      </w:r>
      <w:r w:rsidR="00257AFF" w:rsidRPr="002B005F">
        <w:rPr>
          <w:rFonts w:ascii="Times New Roman" w:hAnsi="Times New Roman" w:cs="Times New Roman"/>
          <w:sz w:val="24"/>
          <w:szCs w:val="24"/>
        </w:rPr>
        <w:t>les normes instaurées</w:t>
      </w:r>
      <w:r w:rsidR="002760B2" w:rsidRPr="002B005F">
        <w:rPr>
          <w:rFonts w:ascii="Times New Roman" w:hAnsi="Times New Roman" w:cs="Times New Roman"/>
          <w:sz w:val="24"/>
          <w:szCs w:val="24"/>
        </w:rPr>
        <w:t xml:space="preserve"> par Bale II sur l'adéquatio</w:t>
      </w:r>
      <w:r w:rsidR="00FF0BB5" w:rsidRPr="002B005F">
        <w:rPr>
          <w:rFonts w:ascii="Times New Roman" w:hAnsi="Times New Roman" w:cs="Times New Roman"/>
          <w:sz w:val="24"/>
          <w:szCs w:val="24"/>
        </w:rPr>
        <w:t>n des fonds propres ;</w:t>
      </w:r>
    </w:p>
    <w:p w14:paraId="68616162" w14:textId="77777777" w:rsidR="002760B2" w:rsidRPr="002B005F" w:rsidRDefault="00872EB9" w:rsidP="00CB0FF1">
      <w:pPr>
        <w:pStyle w:val="Paragraphedeliste"/>
        <w:numPr>
          <w:ilvl w:val="0"/>
          <w:numId w:val="72"/>
        </w:numPr>
        <w:tabs>
          <w:tab w:val="left" w:pos="0"/>
        </w:tabs>
        <w:autoSpaceDE w:val="0"/>
        <w:autoSpaceDN w:val="0"/>
        <w:adjustRightInd w:val="0"/>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Une</w:t>
      </w:r>
      <w:r w:rsidR="00FF0BB5" w:rsidRPr="002B005F">
        <w:rPr>
          <w:rFonts w:ascii="Times New Roman" w:hAnsi="Times New Roman" w:cs="Times New Roman"/>
          <w:sz w:val="24"/>
          <w:szCs w:val="24"/>
        </w:rPr>
        <w:t xml:space="preserve"> part de</w:t>
      </w:r>
      <w:r w:rsidR="009543A1" w:rsidRPr="002B005F">
        <w:rPr>
          <w:rFonts w:ascii="Times New Roman" w:hAnsi="Times New Roman" w:cs="Times New Roman"/>
          <w:sz w:val="24"/>
          <w:szCs w:val="24"/>
        </w:rPr>
        <w:t xml:space="preserve"> </w:t>
      </w:r>
      <w:r w:rsidR="007C68EE" w:rsidRPr="002B005F">
        <w:rPr>
          <w:rFonts w:ascii="Times New Roman" w:hAnsi="Times New Roman" w:cs="Times New Roman"/>
          <w:sz w:val="24"/>
          <w:szCs w:val="24"/>
        </w:rPr>
        <w:t>42.36% a</w:t>
      </w:r>
      <w:r w:rsidR="002760B2" w:rsidRPr="002B005F">
        <w:rPr>
          <w:rFonts w:ascii="Times New Roman" w:hAnsi="Times New Roman" w:cs="Times New Roman"/>
          <w:sz w:val="24"/>
          <w:szCs w:val="24"/>
        </w:rPr>
        <w:t xml:space="preserve"> déclaré qu’</w:t>
      </w:r>
      <w:r w:rsidR="00737FFD" w:rsidRPr="002B005F">
        <w:rPr>
          <w:rFonts w:ascii="Times New Roman" w:hAnsi="Times New Roman" w:cs="Times New Roman"/>
          <w:sz w:val="24"/>
          <w:szCs w:val="24"/>
        </w:rPr>
        <w:t>elle utilise</w:t>
      </w:r>
      <w:r w:rsidR="00846963" w:rsidRPr="002B005F">
        <w:rPr>
          <w:rFonts w:ascii="Times New Roman" w:hAnsi="Times New Roman" w:cs="Times New Roman"/>
          <w:sz w:val="24"/>
          <w:szCs w:val="24"/>
        </w:rPr>
        <w:t xml:space="preserve"> les normes IFSB.</w:t>
      </w:r>
    </w:p>
    <w:p w14:paraId="7AE1D4AC" w14:textId="77777777" w:rsidR="009B7094" w:rsidRPr="002B005F" w:rsidRDefault="009B7094" w:rsidP="004502B0">
      <w:pPr>
        <w:rPr>
          <w:rFonts w:ascii="Times New Roman" w:hAnsi="Times New Roman" w:cs="Times New Roman"/>
          <w:sz w:val="24"/>
          <w:szCs w:val="24"/>
        </w:rPr>
      </w:pPr>
      <w:r w:rsidRPr="002B005F">
        <w:rPr>
          <w:rFonts w:ascii="Times New Roman" w:hAnsi="Times New Roman" w:cs="Times New Roman"/>
          <w:sz w:val="24"/>
          <w:szCs w:val="24"/>
        </w:rPr>
        <w:br w:type="page"/>
      </w:r>
    </w:p>
    <w:p w14:paraId="44A8D627" w14:textId="4706D2B6" w:rsidR="004166FE" w:rsidRPr="002B005F" w:rsidRDefault="004166FE" w:rsidP="00737FFD">
      <w:pPr>
        <w:pStyle w:val="Lgende"/>
        <w:keepNext/>
        <w:tabs>
          <w:tab w:val="left" w:pos="0"/>
        </w:tabs>
        <w:spacing w:before="120" w:after="120" w:line="300" w:lineRule="auto"/>
        <w:jc w:val="center"/>
        <w:rPr>
          <w:rFonts w:ascii="Times New Roman" w:hAnsi="Times New Roman" w:cs="Times New Roman"/>
          <w:color w:val="auto"/>
          <w:sz w:val="24"/>
          <w:szCs w:val="24"/>
        </w:rPr>
      </w:pPr>
      <w:bookmarkStart w:id="1649" w:name="_Toc58605755"/>
      <w:r w:rsidRPr="002B005F">
        <w:rPr>
          <w:rFonts w:ascii="Times New Roman" w:hAnsi="Times New Roman" w:cs="Times New Roman"/>
          <w:color w:val="auto"/>
          <w:sz w:val="24"/>
          <w:szCs w:val="24"/>
        </w:rPr>
        <w:t xml:space="preserve">Graphique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Graphique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4</w:t>
      </w:r>
      <w:r w:rsidR="00B544E5" w:rsidRPr="002B005F">
        <w:rPr>
          <w:rFonts w:ascii="Times New Roman" w:hAnsi="Times New Roman" w:cs="Times New Roman"/>
          <w:color w:val="auto"/>
          <w:sz w:val="24"/>
          <w:szCs w:val="24"/>
        </w:rPr>
        <w:fldChar w:fldCharType="end"/>
      </w:r>
      <w:r w:rsidR="00FF0BB5"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Distribution des fréquences des normes d'adéquation des fonds propres</w:t>
      </w:r>
      <w:bookmarkEnd w:id="1649"/>
    </w:p>
    <w:p w14:paraId="1C2C5FD3" w14:textId="77777777" w:rsidR="002760B2" w:rsidRPr="002B005F" w:rsidRDefault="002760B2" w:rsidP="00737FFD">
      <w:pPr>
        <w:keepNext/>
        <w:tabs>
          <w:tab w:val="left" w:pos="0"/>
        </w:tabs>
        <w:autoSpaceDE w:val="0"/>
        <w:autoSpaceDN w:val="0"/>
        <w:adjustRightInd w:val="0"/>
        <w:spacing w:line="360" w:lineRule="auto"/>
        <w:rPr>
          <w:rFonts w:ascii="Times New Roman" w:hAnsi="Times New Roman" w:cs="Times New Roman"/>
          <w:color w:val="1F4E79" w:themeColor="accent1" w:themeShade="80"/>
          <w:sz w:val="24"/>
          <w:szCs w:val="24"/>
        </w:rPr>
      </w:pPr>
    </w:p>
    <w:p w14:paraId="6D64EA55" w14:textId="77777777" w:rsidR="00C62D6B" w:rsidRPr="002B005F" w:rsidRDefault="00C62D6B" w:rsidP="00737FFD">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b/>
          <w:bCs/>
          <w:sz w:val="24"/>
          <w:szCs w:val="24"/>
        </w:rPr>
      </w:pPr>
    </w:p>
    <w:p w14:paraId="537EA00F" w14:textId="77777777" w:rsidR="00FF0BB5" w:rsidRPr="002B005F" w:rsidRDefault="00FF0BB5" w:rsidP="00737FFD">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b/>
          <w:bCs/>
          <w:sz w:val="24"/>
          <w:szCs w:val="24"/>
        </w:rPr>
      </w:pPr>
    </w:p>
    <w:p w14:paraId="3BCF4FEB" w14:textId="77777777" w:rsidR="00FF0BB5" w:rsidRPr="002B005F" w:rsidRDefault="00FF0BB5" w:rsidP="00737FFD">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b/>
          <w:bCs/>
          <w:sz w:val="24"/>
          <w:szCs w:val="24"/>
        </w:rPr>
      </w:pPr>
    </w:p>
    <w:p w14:paraId="1B39B680" w14:textId="77777777" w:rsidR="00C62D6B" w:rsidRPr="002B005F" w:rsidRDefault="00C62D6B" w:rsidP="00737FFD">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b/>
          <w:bCs/>
          <w:sz w:val="24"/>
          <w:szCs w:val="24"/>
        </w:rPr>
      </w:pPr>
      <w:r w:rsidRPr="002B005F">
        <w:rPr>
          <w:rFonts w:ascii="Times New Roman" w:hAnsi="Times New Roman" w:cs="Times New Roman"/>
          <w:b/>
          <w:bCs/>
          <w:noProof/>
          <w:sz w:val="24"/>
          <w:szCs w:val="24"/>
          <w:lang w:eastAsia="fr-FR"/>
        </w:rPr>
        <w:drawing>
          <wp:anchor distT="0" distB="0" distL="114300" distR="114300" simplePos="0" relativeHeight="251492352" behindDoc="0" locked="1" layoutInCell="1" allowOverlap="0" wp14:anchorId="2A8706BE" wp14:editId="141534D5">
            <wp:simplePos x="0" y="0"/>
            <wp:positionH relativeFrom="column">
              <wp:posOffset>361950</wp:posOffset>
            </wp:positionH>
            <wp:positionV relativeFrom="paragraph">
              <wp:posOffset>-1010285</wp:posOffset>
            </wp:positionV>
            <wp:extent cx="5077460" cy="2519680"/>
            <wp:effectExtent l="19050" t="0" r="27940" b="0"/>
            <wp:wrapNone/>
            <wp:docPr id="7"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14:paraId="101B14F5" w14:textId="77777777" w:rsidR="00C62D6B" w:rsidRPr="002B005F" w:rsidRDefault="00C62D6B" w:rsidP="00737FFD">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b/>
          <w:bCs/>
          <w:sz w:val="24"/>
          <w:szCs w:val="24"/>
        </w:rPr>
      </w:pPr>
    </w:p>
    <w:p w14:paraId="79FFC747" w14:textId="77777777" w:rsidR="00C62D6B" w:rsidRPr="002B005F" w:rsidRDefault="00C62D6B" w:rsidP="00737FFD">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b/>
          <w:bCs/>
          <w:sz w:val="24"/>
          <w:szCs w:val="24"/>
        </w:rPr>
      </w:pPr>
    </w:p>
    <w:p w14:paraId="648CEB8C" w14:textId="77777777" w:rsidR="00C62D6B" w:rsidRPr="002B005F" w:rsidRDefault="00C62D6B" w:rsidP="00737FFD">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b/>
          <w:bCs/>
          <w:sz w:val="24"/>
          <w:szCs w:val="24"/>
        </w:rPr>
      </w:pPr>
    </w:p>
    <w:p w14:paraId="0D354456" w14:textId="77777777" w:rsidR="00C62D6B" w:rsidRPr="002B005F" w:rsidRDefault="00C62D6B" w:rsidP="00737FFD">
      <w:pPr>
        <w:pStyle w:val="Paragraphedeliste"/>
        <w:keepNext/>
        <w:tabs>
          <w:tab w:val="left" w:pos="0"/>
        </w:tabs>
        <w:autoSpaceDE w:val="0"/>
        <w:autoSpaceDN w:val="0"/>
        <w:adjustRightInd w:val="0"/>
        <w:spacing w:before="120" w:line="300" w:lineRule="auto"/>
        <w:ind w:left="0"/>
        <w:contextualSpacing w:val="0"/>
        <w:rPr>
          <w:rFonts w:ascii="Times New Roman" w:hAnsi="Times New Roman" w:cs="Times New Roman"/>
          <w:b/>
          <w:bCs/>
          <w:sz w:val="24"/>
          <w:szCs w:val="24"/>
        </w:rPr>
      </w:pPr>
    </w:p>
    <w:p w14:paraId="4F8B4EFD" w14:textId="77777777" w:rsidR="002760B2" w:rsidRPr="002B005F" w:rsidRDefault="002760B2" w:rsidP="00737FFD">
      <w:pPr>
        <w:pStyle w:val="Paragraphedeliste"/>
        <w:keepNext/>
        <w:tabs>
          <w:tab w:val="left" w:pos="0"/>
        </w:tabs>
        <w:autoSpaceDE w:val="0"/>
        <w:autoSpaceDN w:val="0"/>
        <w:adjustRightInd w:val="0"/>
        <w:spacing w:before="100" w:beforeAutospacing="1" w:after="100" w:afterAutospacing="1" w:line="240" w:lineRule="auto"/>
        <w:ind w:left="0"/>
        <w:contextualSpacing w:val="0"/>
        <w:jc w:val="center"/>
        <w:rPr>
          <w:rFonts w:ascii="Times New Roman" w:hAnsi="Times New Roman" w:cs="Times New Roman"/>
          <w:color w:val="1F4E79" w:themeColor="accent1" w:themeShade="80"/>
          <w:sz w:val="20"/>
          <w:szCs w:val="20"/>
        </w:rPr>
      </w:pPr>
      <w:r w:rsidRPr="002B005F">
        <w:rPr>
          <w:rFonts w:ascii="Times New Roman" w:hAnsi="Times New Roman" w:cs="Times New Roman"/>
          <w:sz w:val="20"/>
          <w:szCs w:val="20"/>
        </w:rPr>
        <w:t>Source :</w:t>
      </w:r>
      <w:r w:rsidRPr="002B005F">
        <w:rPr>
          <w:rFonts w:ascii="Times New Roman" w:hAnsi="Times New Roman" w:cs="Times New Roman"/>
          <w:color w:val="1F4E79" w:themeColor="accent1" w:themeShade="80"/>
          <w:sz w:val="20"/>
          <w:szCs w:val="20"/>
        </w:rPr>
        <w:t xml:space="preserve"> </w:t>
      </w:r>
      <w:r w:rsidRPr="002B005F">
        <w:rPr>
          <w:rFonts w:ascii="Times New Roman" w:hAnsi="Times New Roman" w:cs="Times New Roman"/>
          <w:sz w:val="20"/>
          <w:szCs w:val="20"/>
        </w:rPr>
        <w:t>Calculs du chercheur</w:t>
      </w:r>
      <w:r w:rsidRPr="002B005F">
        <w:rPr>
          <w:rFonts w:ascii="Times New Roman" w:hAnsi="Times New Roman" w:cs="Times New Roman"/>
          <w:color w:val="1F4E79" w:themeColor="accent1" w:themeShade="80"/>
          <w:sz w:val="20"/>
          <w:szCs w:val="20"/>
        </w:rPr>
        <w:t>.</w:t>
      </w:r>
    </w:p>
    <w:p w14:paraId="2E621F25" w14:textId="77777777" w:rsidR="002760B2" w:rsidRPr="002B005F" w:rsidRDefault="002C1C34" w:rsidP="00FF0BB5">
      <w:pPr>
        <w:tabs>
          <w:tab w:val="left" w:pos="0"/>
        </w:tabs>
        <w:spacing w:before="100" w:beforeAutospacing="1" w:line="300" w:lineRule="auto"/>
        <w:ind w:firstLine="709"/>
        <w:rPr>
          <w:rFonts w:ascii="Times New Roman" w:hAnsi="Times New Roman" w:cs="Times New Roman"/>
          <w:sz w:val="24"/>
          <w:szCs w:val="24"/>
          <w:shd w:val="clear" w:color="auto" w:fill="FFFFFF"/>
        </w:rPr>
      </w:pPr>
      <w:r w:rsidRPr="002B005F">
        <w:rPr>
          <w:rFonts w:ascii="Times New Roman" w:hAnsi="Times New Roman" w:cs="Times New Roman"/>
          <w:sz w:val="24"/>
          <w:szCs w:val="24"/>
          <w:shd w:val="clear" w:color="auto" w:fill="FFFFFF"/>
        </w:rPr>
        <w:t>D’ailleurs, l</w:t>
      </w:r>
      <w:r w:rsidR="002760B2" w:rsidRPr="002B005F">
        <w:rPr>
          <w:rFonts w:ascii="Times New Roman" w:hAnsi="Times New Roman" w:cs="Times New Roman"/>
          <w:sz w:val="24"/>
          <w:szCs w:val="24"/>
          <w:shd w:val="clear" w:color="auto" w:fill="FFFFFF"/>
        </w:rPr>
        <w:t>es participants ont été invités à évaluer les exigences de capital pour leurs institutions financières. Les réponses à la question 16 sont montrées sur le</w:t>
      </w:r>
      <w:r w:rsidR="00B42EBA">
        <w:rPr>
          <w:rFonts w:ascii="Times New Roman" w:hAnsi="Times New Roman" w:cs="Times New Roman"/>
          <w:sz w:val="24"/>
          <w:szCs w:val="24"/>
          <w:shd w:val="clear" w:color="auto" w:fill="FFFFFF"/>
        </w:rPr>
        <w:t xml:space="preserve"> </w:t>
      </w:r>
      <w:r w:rsidR="002760B2" w:rsidRPr="002B005F">
        <w:rPr>
          <w:rFonts w:ascii="Times New Roman" w:hAnsi="Times New Roman" w:cs="Times New Roman"/>
          <w:sz w:val="24"/>
          <w:szCs w:val="24"/>
          <w:shd w:val="clear" w:color="auto" w:fill="FFFFFF"/>
        </w:rPr>
        <w:t>graphique</w:t>
      </w:r>
      <w:r w:rsidRPr="002B005F">
        <w:rPr>
          <w:rFonts w:ascii="Times New Roman" w:hAnsi="Times New Roman" w:cs="Times New Roman"/>
          <w:sz w:val="24"/>
          <w:szCs w:val="24"/>
          <w:shd w:val="clear" w:color="auto" w:fill="FFFFFF"/>
        </w:rPr>
        <w:t xml:space="preserve"> </w:t>
      </w:r>
      <w:r w:rsidR="002760B2" w:rsidRPr="002B005F">
        <w:rPr>
          <w:rFonts w:ascii="Times New Roman" w:hAnsi="Times New Roman" w:cs="Times New Roman"/>
          <w:sz w:val="24"/>
          <w:szCs w:val="24"/>
          <w:shd w:val="clear" w:color="auto" w:fill="FFFFFF"/>
        </w:rPr>
        <w:t>5.</w:t>
      </w:r>
      <w:r w:rsidRPr="002B005F">
        <w:rPr>
          <w:rFonts w:ascii="Times New Roman" w:hAnsi="Times New Roman" w:cs="Times New Roman"/>
          <w:sz w:val="24"/>
          <w:szCs w:val="24"/>
          <w:shd w:val="clear" w:color="auto" w:fill="FFFFFF"/>
        </w:rPr>
        <w:t xml:space="preserve"> </w:t>
      </w:r>
      <w:r w:rsidR="002760B2" w:rsidRPr="002B005F">
        <w:rPr>
          <w:rFonts w:ascii="Times New Roman" w:hAnsi="Times New Roman" w:cs="Times New Roman"/>
          <w:sz w:val="24"/>
          <w:szCs w:val="24"/>
          <w:shd w:val="clear" w:color="auto" w:fill="FFFFFF"/>
        </w:rPr>
        <w:t>Nous constatons que les répondants tendent beaucoup plus vers la deuxième proposition (39.10%) c’est-à-dire que les BI doivent avoir des exigences en fonds propres plus élevées que celles des banques conventionnell</w:t>
      </w:r>
      <w:r w:rsidR="009543A1" w:rsidRPr="002B005F">
        <w:rPr>
          <w:rFonts w:ascii="Times New Roman" w:hAnsi="Times New Roman" w:cs="Times New Roman"/>
          <w:sz w:val="24"/>
          <w:szCs w:val="24"/>
          <w:shd w:val="clear" w:color="auto" w:fill="FFFFFF"/>
        </w:rPr>
        <w:t xml:space="preserve">es, alors que 35.90% </w:t>
      </w:r>
      <w:r w:rsidR="002760B2" w:rsidRPr="002B005F">
        <w:rPr>
          <w:rFonts w:ascii="Times New Roman" w:hAnsi="Times New Roman" w:cs="Times New Roman"/>
          <w:sz w:val="24"/>
          <w:szCs w:val="24"/>
          <w:shd w:val="clear" w:color="auto" w:fill="FFFFFF"/>
        </w:rPr>
        <w:t>des répondants trouvent qu’elles doivent être les mêmes. Cette es</w:t>
      </w:r>
      <w:r w:rsidRPr="002B005F">
        <w:rPr>
          <w:rFonts w:ascii="Times New Roman" w:hAnsi="Times New Roman" w:cs="Times New Roman"/>
          <w:sz w:val="24"/>
          <w:szCs w:val="24"/>
          <w:shd w:val="clear" w:color="auto" w:fill="FFFFFF"/>
        </w:rPr>
        <w:t>timation pourrait être comprise</w:t>
      </w:r>
      <w:r w:rsidR="002760B2" w:rsidRPr="002B005F">
        <w:rPr>
          <w:rFonts w:ascii="Times New Roman" w:hAnsi="Times New Roman" w:cs="Times New Roman"/>
          <w:sz w:val="24"/>
          <w:szCs w:val="24"/>
          <w:shd w:val="clear" w:color="auto" w:fill="FFFFFF"/>
        </w:rPr>
        <w:t xml:space="preserve"> que les banques </w:t>
      </w:r>
      <w:r w:rsidR="0096069F">
        <w:rPr>
          <w:rFonts w:ascii="Times New Roman" w:hAnsi="Times New Roman" w:cs="Times New Roman"/>
          <w:sz w:val="24"/>
          <w:szCs w:val="24"/>
          <w:shd w:val="clear" w:color="auto" w:fill="FFFFFF"/>
        </w:rPr>
        <w:t>i</w:t>
      </w:r>
      <w:r w:rsidR="003773C6" w:rsidRPr="002B005F">
        <w:rPr>
          <w:rFonts w:ascii="Times New Roman" w:hAnsi="Times New Roman" w:cs="Times New Roman"/>
          <w:sz w:val="24"/>
          <w:szCs w:val="24"/>
          <w:shd w:val="clear" w:color="auto" w:fill="FFFFFF"/>
        </w:rPr>
        <w:t>slamique</w:t>
      </w:r>
      <w:r w:rsidRPr="002B005F">
        <w:rPr>
          <w:rFonts w:ascii="Times New Roman" w:hAnsi="Times New Roman" w:cs="Times New Roman"/>
          <w:sz w:val="24"/>
          <w:szCs w:val="24"/>
          <w:shd w:val="clear" w:color="auto" w:fill="FFFFFF"/>
        </w:rPr>
        <w:t>s assument plus de risque</w:t>
      </w:r>
      <w:r w:rsidR="002760B2" w:rsidRPr="002B005F">
        <w:rPr>
          <w:rFonts w:ascii="Times New Roman" w:hAnsi="Times New Roman" w:cs="Times New Roman"/>
          <w:sz w:val="24"/>
          <w:szCs w:val="24"/>
          <w:shd w:val="clear" w:color="auto" w:fill="FFFFFF"/>
        </w:rPr>
        <w:t xml:space="preserve"> et, par conséquent, elles devraient avoir des exigences de capital plus élevées afin de pouvoir absorber les pertes inattendues.</w:t>
      </w:r>
    </w:p>
    <w:p w14:paraId="0551A31D" w14:textId="062C2534" w:rsidR="00FF0BB5" w:rsidRPr="002B005F" w:rsidRDefault="004166FE" w:rsidP="00737FFD">
      <w:pPr>
        <w:pStyle w:val="Lgende"/>
        <w:keepNext/>
        <w:tabs>
          <w:tab w:val="left" w:pos="0"/>
        </w:tabs>
        <w:spacing w:before="100" w:beforeAutospacing="1" w:line="300" w:lineRule="auto"/>
        <w:jc w:val="center"/>
        <w:rPr>
          <w:rFonts w:ascii="Times New Roman" w:hAnsi="Times New Roman" w:cs="Times New Roman"/>
          <w:color w:val="auto"/>
          <w:sz w:val="24"/>
          <w:szCs w:val="24"/>
        </w:rPr>
      </w:pPr>
      <w:bookmarkStart w:id="1650" w:name="_Toc58605756"/>
      <w:r w:rsidRPr="002B005F">
        <w:rPr>
          <w:rFonts w:ascii="Times New Roman" w:hAnsi="Times New Roman" w:cs="Times New Roman"/>
          <w:color w:val="auto"/>
          <w:sz w:val="24"/>
          <w:szCs w:val="24"/>
        </w:rPr>
        <w:t xml:space="preserve">Graphique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Graphique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5</w:t>
      </w:r>
      <w:r w:rsidR="00B544E5" w:rsidRPr="002B005F">
        <w:rPr>
          <w:rFonts w:ascii="Times New Roman" w:hAnsi="Times New Roman" w:cs="Times New Roman"/>
          <w:color w:val="auto"/>
          <w:sz w:val="24"/>
          <w:szCs w:val="24"/>
        </w:rPr>
        <w:fldChar w:fldCharType="end"/>
      </w:r>
      <w:r w:rsidR="00FF0BB5"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Evaluation des exigenc</w:t>
      </w:r>
      <w:r w:rsidR="00FF0BB5" w:rsidRPr="002B005F">
        <w:rPr>
          <w:rFonts w:ascii="Times New Roman" w:hAnsi="Times New Roman" w:cs="Times New Roman"/>
          <w:color w:val="auto"/>
          <w:sz w:val="24"/>
          <w:szCs w:val="24"/>
        </w:rPr>
        <w:t>es de fonds propres pour les BI</w:t>
      </w:r>
    </w:p>
    <w:p w14:paraId="27EB4CC1" w14:textId="77777777" w:rsidR="004166FE" w:rsidRPr="002B005F" w:rsidRDefault="004166FE" w:rsidP="00737FFD">
      <w:pPr>
        <w:pStyle w:val="Lgende"/>
        <w:keepNext/>
        <w:spacing w:after="120" w:line="300" w:lineRule="auto"/>
        <w:ind w:left="2694"/>
        <w:rPr>
          <w:rFonts w:ascii="Times New Roman" w:hAnsi="Times New Roman" w:cs="Times New Roman"/>
          <w:color w:val="auto"/>
          <w:sz w:val="24"/>
          <w:szCs w:val="24"/>
        </w:rPr>
      </w:pPr>
      <w:r w:rsidRPr="002B005F">
        <w:rPr>
          <w:rFonts w:ascii="Times New Roman" w:hAnsi="Times New Roman" w:cs="Times New Roman"/>
          <w:color w:val="auto"/>
          <w:sz w:val="24"/>
          <w:szCs w:val="24"/>
        </w:rPr>
        <w:t>par rapport aux banques conventionnelles</w:t>
      </w:r>
      <w:bookmarkEnd w:id="1650"/>
    </w:p>
    <w:p w14:paraId="08EC4AF4" w14:textId="77777777" w:rsidR="002760B2" w:rsidRPr="002B005F" w:rsidRDefault="002760B2" w:rsidP="00737FFD">
      <w:pPr>
        <w:keepNext/>
        <w:tabs>
          <w:tab w:val="left" w:pos="0"/>
        </w:tabs>
        <w:spacing w:before="120" w:line="300" w:lineRule="auto"/>
        <w:rPr>
          <w:rFonts w:ascii="Times New Roman" w:hAnsi="Times New Roman" w:cs="Times New Roman"/>
          <w:color w:val="1F4E79" w:themeColor="accent1" w:themeShade="80"/>
          <w:sz w:val="24"/>
          <w:szCs w:val="24"/>
          <w:shd w:val="clear" w:color="auto" w:fill="FFFFFF"/>
        </w:rPr>
      </w:pPr>
    </w:p>
    <w:p w14:paraId="6C042703" w14:textId="77777777" w:rsidR="00B32899" w:rsidRPr="002B005F" w:rsidRDefault="00B32899" w:rsidP="00737FFD">
      <w:pPr>
        <w:keepNext/>
        <w:tabs>
          <w:tab w:val="left" w:pos="0"/>
        </w:tabs>
        <w:spacing w:before="120" w:line="300" w:lineRule="auto"/>
        <w:rPr>
          <w:rFonts w:ascii="Times New Roman" w:hAnsi="Times New Roman" w:cs="Times New Roman"/>
          <w:color w:val="1F4E79" w:themeColor="accent1" w:themeShade="80"/>
          <w:sz w:val="24"/>
          <w:szCs w:val="24"/>
          <w:shd w:val="clear" w:color="auto" w:fill="FFFFFF"/>
        </w:rPr>
      </w:pPr>
    </w:p>
    <w:p w14:paraId="76599D04" w14:textId="77777777" w:rsidR="00B32899" w:rsidRPr="002B005F" w:rsidRDefault="00B32899" w:rsidP="00737FFD">
      <w:pPr>
        <w:keepNext/>
        <w:tabs>
          <w:tab w:val="left" w:pos="0"/>
        </w:tabs>
        <w:spacing w:before="120" w:line="300" w:lineRule="auto"/>
        <w:rPr>
          <w:rFonts w:ascii="Times New Roman" w:hAnsi="Times New Roman" w:cs="Times New Roman"/>
          <w:color w:val="1F4E79" w:themeColor="accent1" w:themeShade="80"/>
          <w:sz w:val="24"/>
          <w:szCs w:val="24"/>
          <w:shd w:val="clear" w:color="auto" w:fill="FFFFFF"/>
        </w:rPr>
      </w:pPr>
    </w:p>
    <w:p w14:paraId="66E99744" w14:textId="77777777" w:rsidR="00B32899" w:rsidRPr="002B005F" w:rsidRDefault="00B32899" w:rsidP="00737FFD">
      <w:pPr>
        <w:keepNext/>
        <w:tabs>
          <w:tab w:val="left" w:pos="0"/>
        </w:tabs>
        <w:spacing w:before="120" w:line="300" w:lineRule="auto"/>
        <w:rPr>
          <w:rFonts w:ascii="Times New Roman" w:hAnsi="Times New Roman" w:cs="Times New Roman"/>
          <w:color w:val="1F4E79" w:themeColor="accent1" w:themeShade="80"/>
          <w:sz w:val="24"/>
          <w:szCs w:val="24"/>
          <w:shd w:val="clear" w:color="auto" w:fill="FFFFFF"/>
        </w:rPr>
      </w:pPr>
    </w:p>
    <w:p w14:paraId="2A5CEC70" w14:textId="77777777" w:rsidR="00B32899" w:rsidRPr="002B005F" w:rsidRDefault="00B32899" w:rsidP="00737FFD">
      <w:pPr>
        <w:keepNext/>
        <w:tabs>
          <w:tab w:val="left" w:pos="0"/>
        </w:tabs>
        <w:spacing w:before="120" w:line="300" w:lineRule="auto"/>
        <w:rPr>
          <w:rFonts w:ascii="Times New Roman" w:hAnsi="Times New Roman" w:cs="Times New Roman"/>
          <w:color w:val="1F4E79" w:themeColor="accent1" w:themeShade="80"/>
          <w:sz w:val="24"/>
          <w:szCs w:val="24"/>
          <w:shd w:val="clear" w:color="auto" w:fill="FFFFFF"/>
        </w:rPr>
      </w:pPr>
      <w:r w:rsidRPr="002B005F">
        <w:rPr>
          <w:rFonts w:ascii="Times New Roman" w:hAnsi="Times New Roman" w:cs="Times New Roman"/>
          <w:noProof/>
          <w:color w:val="1F4E79" w:themeColor="accent1" w:themeShade="80"/>
          <w:sz w:val="24"/>
          <w:szCs w:val="24"/>
          <w:shd w:val="clear" w:color="auto" w:fill="FFFFFF"/>
          <w:lang w:eastAsia="fr-FR"/>
        </w:rPr>
        <w:drawing>
          <wp:anchor distT="0" distB="0" distL="114300" distR="114300" simplePos="0" relativeHeight="251493376" behindDoc="0" locked="1" layoutInCell="1" allowOverlap="0" wp14:anchorId="24C67E63" wp14:editId="0C98937F">
            <wp:simplePos x="0" y="0"/>
            <wp:positionH relativeFrom="margin">
              <wp:align>center</wp:align>
            </wp:positionH>
            <wp:positionV relativeFrom="paragraph">
              <wp:posOffset>-956310</wp:posOffset>
            </wp:positionV>
            <wp:extent cx="5232400" cy="2294255"/>
            <wp:effectExtent l="19050" t="0" r="25400" b="0"/>
            <wp:wrapNone/>
            <wp:docPr id="9"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14:paraId="49E74B45" w14:textId="77777777" w:rsidR="00B32899" w:rsidRPr="002B005F" w:rsidRDefault="00B32899" w:rsidP="00737FFD">
      <w:pPr>
        <w:keepNext/>
        <w:tabs>
          <w:tab w:val="left" w:pos="0"/>
        </w:tabs>
        <w:spacing w:before="120" w:line="300" w:lineRule="auto"/>
        <w:rPr>
          <w:rFonts w:ascii="Times New Roman" w:hAnsi="Times New Roman" w:cs="Times New Roman"/>
          <w:color w:val="1F4E79" w:themeColor="accent1" w:themeShade="80"/>
          <w:sz w:val="24"/>
          <w:szCs w:val="24"/>
          <w:shd w:val="clear" w:color="auto" w:fill="FFFFFF"/>
        </w:rPr>
      </w:pPr>
    </w:p>
    <w:p w14:paraId="493F73F4" w14:textId="77777777" w:rsidR="00B32899" w:rsidRPr="002B005F" w:rsidRDefault="00B32899" w:rsidP="00737FFD">
      <w:pPr>
        <w:keepNext/>
        <w:tabs>
          <w:tab w:val="left" w:pos="0"/>
        </w:tabs>
        <w:spacing w:before="120" w:line="300" w:lineRule="auto"/>
        <w:rPr>
          <w:rFonts w:ascii="Times New Roman" w:hAnsi="Times New Roman" w:cs="Times New Roman"/>
          <w:color w:val="1F4E79" w:themeColor="accent1" w:themeShade="80"/>
          <w:sz w:val="24"/>
          <w:szCs w:val="24"/>
          <w:shd w:val="clear" w:color="auto" w:fill="FFFFFF"/>
        </w:rPr>
      </w:pPr>
    </w:p>
    <w:p w14:paraId="225021F9" w14:textId="77777777" w:rsidR="00B32899" w:rsidRPr="002B005F" w:rsidRDefault="00B32899" w:rsidP="00737FFD">
      <w:pPr>
        <w:keepNext/>
        <w:tabs>
          <w:tab w:val="left" w:pos="0"/>
        </w:tabs>
        <w:spacing w:before="120" w:line="300" w:lineRule="auto"/>
        <w:rPr>
          <w:rFonts w:ascii="Times New Roman" w:hAnsi="Times New Roman" w:cs="Times New Roman"/>
          <w:color w:val="1F4E79" w:themeColor="accent1" w:themeShade="80"/>
          <w:sz w:val="24"/>
          <w:szCs w:val="24"/>
          <w:shd w:val="clear" w:color="auto" w:fill="FFFFFF"/>
        </w:rPr>
      </w:pPr>
    </w:p>
    <w:p w14:paraId="7734081F" w14:textId="77777777" w:rsidR="00B32899" w:rsidRPr="002B005F" w:rsidRDefault="00B32899" w:rsidP="00737FFD">
      <w:pPr>
        <w:keepNext/>
        <w:tabs>
          <w:tab w:val="left" w:pos="0"/>
        </w:tabs>
        <w:spacing w:before="120" w:line="300" w:lineRule="auto"/>
        <w:rPr>
          <w:rFonts w:ascii="Times New Roman" w:hAnsi="Times New Roman" w:cs="Times New Roman"/>
          <w:color w:val="1F4E79" w:themeColor="accent1" w:themeShade="80"/>
          <w:sz w:val="24"/>
          <w:szCs w:val="24"/>
          <w:shd w:val="clear" w:color="auto" w:fill="FFFFFF"/>
        </w:rPr>
      </w:pPr>
    </w:p>
    <w:p w14:paraId="22289615" w14:textId="77777777" w:rsidR="002760B2" w:rsidRPr="002B005F" w:rsidRDefault="002760B2" w:rsidP="00B32899">
      <w:pPr>
        <w:pStyle w:val="NormalWeb"/>
        <w:tabs>
          <w:tab w:val="left" w:pos="0"/>
        </w:tabs>
        <w:spacing w:before="120" w:beforeAutospacing="0"/>
        <w:jc w:val="center"/>
        <w:rPr>
          <w:sz w:val="20"/>
          <w:szCs w:val="20"/>
        </w:rPr>
      </w:pPr>
      <w:r w:rsidRPr="002B005F">
        <w:rPr>
          <w:sz w:val="20"/>
          <w:szCs w:val="20"/>
        </w:rPr>
        <w:t>Source :</w:t>
      </w:r>
      <w:r w:rsidRPr="002B005F">
        <w:rPr>
          <w:color w:val="1F4E79" w:themeColor="accent1" w:themeShade="80"/>
          <w:sz w:val="20"/>
          <w:szCs w:val="20"/>
        </w:rPr>
        <w:t xml:space="preserve"> </w:t>
      </w:r>
      <w:r w:rsidRPr="002B005F">
        <w:rPr>
          <w:sz w:val="20"/>
          <w:szCs w:val="20"/>
        </w:rPr>
        <w:t>Calculs du chercheur.</w:t>
      </w:r>
    </w:p>
    <w:p w14:paraId="0A12712F" w14:textId="77777777" w:rsidR="00423259" w:rsidRPr="002B005F" w:rsidRDefault="002760B2" w:rsidP="00D66C87">
      <w:pPr>
        <w:tabs>
          <w:tab w:val="left" w:pos="0"/>
        </w:tabs>
        <w:spacing w:before="100" w:beforeAutospacing="1" w:after="100" w:afterAutospacing="1"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Les réponses de la question 17 </w:t>
      </w:r>
      <w:r w:rsidR="005C423C" w:rsidRPr="002B005F">
        <w:rPr>
          <w:rFonts w:ascii="Times New Roman" w:hAnsi="Times New Roman" w:cs="Times New Roman"/>
          <w:sz w:val="24"/>
          <w:szCs w:val="24"/>
        </w:rPr>
        <w:t xml:space="preserve">relative à la perception sur les normes de règlementation prudentielle </w:t>
      </w:r>
      <w:r w:rsidRPr="002B005F">
        <w:rPr>
          <w:rFonts w:ascii="Times New Roman" w:hAnsi="Times New Roman" w:cs="Times New Roman"/>
          <w:sz w:val="24"/>
          <w:szCs w:val="24"/>
        </w:rPr>
        <w:t xml:space="preserve">sont présentées dans le tableau </w:t>
      </w:r>
      <w:r w:rsidR="005C423C" w:rsidRPr="002B005F">
        <w:rPr>
          <w:rFonts w:ascii="Times New Roman" w:hAnsi="Times New Roman" w:cs="Times New Roman"/>
          <w:sz w:val="24"/>
          <w:szCs w:val="24"/>
        </w:rPr>
        <w:t xml:space="preserve">22 </w:t>
      </w:r>
      <w:r w:rsidRPr="002B005F">
        <w:rPr>
          <w:rFonts w:ascii="Times New Roman" w:hAnsi="Times New Roman" w:cs="Times New Roman"/>
          <w:sz w:val="24"/>
          <w:szCs w:val="24"/>
        </w:rPr>
        <w:t>ci-dessous.</w:t>
      </w:r>
      <w:r w:rsidR="005C423C" w:rsidRPr="002B005F">
        <w:rPr>
          <w:rFonts w:ascii="Times New Roman" w:hAnsi="Times New Roman" w:cs="Times New Roman"/>
          <w:sz w:val="24"/>
          <w:szCs w:val="24"/>
        </w:rPr>
        <w:t xml:space="preserve"> Il est loisible de constater que :</w:t>
      </w:r>
    </w:p>
    <w:p w14:paraId="008CCB7B" w14:textId="77777777" w:rsidR="00423259" w:rsidRPr="002B005F" w:rsidRDefault="002760B2" w:rsidP="00CB0FF1">
      <w:pPr>
        <w:pStyle w:val="Paragraphedeliste"/>
        <w:numPr>
          <w:ilvl w:val="0"/>
          <w:numId w:val="73"/>
        </w:numPr>
        <w:tabs>
          <w:tab w:val="left" w:pos="0"/>
        </w:tabs>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43 i</w:t>
      </w:r>
      <w:r w:rsidR="005C423C" w:rsidRPr="002B005F">
        <w:rPr>
          <w:rFonts w:ascii="Times New Roman" w:hAnsi="Times New Roman" w:cs="Times New Roman"/>
          <w:sz w:val="24"/>
          <w:szCs w:val="24"/>
        </w:rPr>
        <w:t>nterrogés ont confirmé que leur banque applique</w:t>
      </w:r>
      <w:r w:rsidRPr="002B005F">
        <w:rPr>
          <w:rFonts w:ascii="Times New Roman" w:hAnsi="Times New Roman" w:cs="Times New Roman"/>
          <w:sz w:val="24"/>
          <w:szCs w:val="24"/>
        </w:rPr>
        <w:t xml:space="preserve"> les normes de B</w:t>
      </w:r>
      <w:r w:rsidR="005C423C" w:rsidRPr="002B005F">
        <w:rPr>
          <w:rFonts w:ascii="Times New Roman" w:hAnsi="Times New Roman" w:cs="Times New Roman"/>
          <w:sz w:val="24"/>
          <w:szCs w:val="24"/>
        </w:rPr>
        <w:t>âle sans modification (54.43%) ;</w:t>
      </w:r>
    </w:p>
    <w:p w14:paraId="3466D206" w14:textId="77777777" w:rsidR="00497373" w:rsidRPr="002B005F" w:rsidRDefault="00AB41B4" w:rsidP="00CB0FF1">
      <w:pPr>
        <w:pStyle w:val="Paragraphedeliste"/>
        <w:numPr>
          <w:ilvl w:val="0"/>
          <w:numId w:val="73"/>
        </w:numPr>
        <w:tabs>
          <w:tab w:val="left" w:pos="0"/>
        </w:tabs>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Concernant</w:t>
      </w:r>
      <w:r w:rsidR="002760B2" w:rsidRPr="002B005F">
        <w:rPr>
          <w:rFonts w:ascii="Times New Roman" w:hAnsi="Times New Roman" w:cs="Times New Roman"/>
          <w:sz w:val="24"/>
          <w:szCs w:val="24"/>
        </w:rPr>
        <w:t xml:space="preserve"> la </w:t>
      </w:r>
      <w:r w:rsidR="005C423C" w:rsidRPr="002B005F">
        <w:rPr>
          <w:rFonts w:ascii="Times New Roman" w:hAnsi="Times New Roman" w:cs="Times New Roman"/>
          <w:sz w:val="24"/>
          <w:szCs w:val="24"/>
        </w:rPr>
        <w:t xml:space="preserve">seconde </w:t>
      </w:r>
      <w:r w:rsidR="002760B2" w:rsidRPr="002B005F">
        <w:rPr>
          <w:rFonts w:ascii="Times New Roman" w:hAnsi="Times New Roman" w:cs="Times New Roman"/>
          <w:sz w:val="24"/>
          <w:szCs w:val="24"/>
        </w:rPr>
        <w:t>sous-question</w:t>
      </w:r>
      <w:r w:rsidR="005C423C" w:rsidRPr="002B005F">
        <w:rPr>
          <w:rFonts w:ascii="Times New Roman" w:hAnsi="Times New Roman" w:cs="Times New Roman"/>
          <w:sz w:val="24"/>
          <w:szCs w:val="24"/>
        </w:rPr>
        <w:t>,</w:t>
      </w:r>
      <w:r w:rsidR="002760B2" w:rsidRPr="002B005F">
        <w:rPr>
          <w:rFonts w:ascii="Times New Roman" w:hAnsi="Times New Roman" w:cs="Times New Roman"/>
          <w:sz w:val="24"/>
          <w:szCs w:val="24"/>
        </w:rPr>
        <w:t xml:space="preserve"> </w:t>
      </w:r>
      <w:r w:rsidR="005C423C" w:rsidRPr="002B005F">
        <w:rPr>
          <w:rFonts w:ascii="Times New Roman" w:hAnsi="Times New Roman" w:cs="Times New Roman"/>
          <w:sz w:val="24"/>
          <w:szCs w:val="24"/>
        </w:rPr>
        <w:t>elle recueille</w:t>
      </w:r>
      <w:r w:rsidR="00B42EBA">
        <w:rPr>
          <w:rFonts w:ascii="Times New Roman" w:hAnsi="Times New Roman" w:cs="Times New Roman"/>
          <w:sz w:val="24"/>
          <w:szCs w:val="24"/>
        </w:rPr>
        <w:t xml:space="preserve"> </w:t>
      </w:r>
      <w:r w:rsidR="00497373" w:rsidRPr="002B005F">
        <w:rPr>
          <w:rFonts w:ascii="Times New Roman" w:hAnsi="Times New Roman" w:cs="Times New Roman"/>
          <w:sz w:val="24"/>
          <w:szCs w:val="24"/>
        </w:rPr>
        <w:t xml:space="preserve">juste </w:t>
      </w:r>
      <w:r w:rsidR="005C423C" w:rsidRPr="002B005F">
        <w:rPr>
          <w:rFonts w:ascii="Times New Roman" w:hAnsi="Times New Roman" w:cs="Times New Roman"/>
          <w:sz w:val="24"/>
          <w:szCs w:val="24"/>
        </w:rPr>
        <w:t xml:space="preserve">le moins de réponses, soit </w:t>
      </w:r>
      <w:r w:rsidR="00497373" w:rsidRPr="002B005F">
        <w:rPr>
          <w:rFonts w:ascii="Times New Roman" w:hAnsi="Times New Roman" w:cs="Times New Roman"/>
          <w:sz w:val="24"/>
          <w:szCs w:val="24"/>
        </w:rPr>
        <w:t>35 répondants</w:t>
      </w:r>
      <w:r w:rsidR="002760B2" w:rsidRPr="002B005F">
        <w:rPr>
          <w:rFonts w:ascii="Times New Roman" w:hAnsi="Times New Roman" w:cs="Times New Roman"/>
          <w:sz w:val="24"/>
          <w:szCs w:val="24"/>
        </w:rPr>
        <w:t xml:space="preserve"> étaient d’accord</w:t>
      </w:r>
      <w:r w:rsidR="005C423C" w:rsidRPr="002B005F">
        <w:rPr>
          <w:rFonts w:ascii="Times New Roman" w:hAnsi="Times New Roman" w:cs="Times New Roman"/>
          <w:sz w:val="24"/>
          <w:szCs w:val="24"/>
        </w:rPr>
        <w:t xml:space="preserve"> que le recours en même temps aux réglementations de Bâle et de l’</w:t>
      </w:r>
      <w:r w:rsidR="005C423C" w:rsidRPr="002B005F">
        <w:rPr>
          <w:rFonts w:ascii="Times New Roman" w:hAnsi="Times New Roman" w:cs="Times New Roman"/>
          <w:sz w:val="24"/>
          <w:szCs w:val="24"/>
          <w:shd w:val="clear" w:color="auto" w:fill="FFFFFF"/>
        </w:rPr>
        <w:t>IFSB alourdit l’activité bancaire</w:t>
      </w:r>
      <w:r w:rsidR="002760B2" w:rsidRPr="002B005F">
        <w:rPr>
          <w:rFonts w:ascii="Times New Roman" w:hAnsi="Times New Roman" w:cs="Times New Roman"/>
          <w:sz w:val="24"/>
          <w:szCs w:val="24"/>
        </w:rPr>
        <w:t>.</w:t>
      </w:r>
      <w:r w:rsidR="00497373" w:rsidRPr="002B005F">
        <w:rPr>
          <w:rFonts w:ascii="Times New Roman" w:hAnsi="Times New Roman" w:cs="Times New Roman"/>
          <w:sz w:val="24"/>
          <w:szCs w:val="24"/>
        </w:rPr>
        <w:t xml:space="preserve"> Autrement dit, l’application simultanée des réglementations des deux institutions</w:t>
      </w:r>
      <w:r w:rsidR="005C423C" w:rsidRPr="002B005F">
        <w:rPr>
          <w:rFonts w:ascii="Times New Roman" w:hAnsi="Times New Roman" w:cs="Times New Roman"/>
          <w:sz w:val="24"/>
          <w:szCs w:val="24"/>
        </w:rPr>
        <w:t xml:space="preserve"> n’est pas une forte contrainte pour une grande majorité de banques ;</w:t>
      </w:r>
    </w:p>
    <w:p w14:paraId="67940DB0" w14:textId="77777777" w:rsidR="00423259" w:rsidRPr="002B005F" w:rsidRDefault="002760B2" w:rsidP="00CB0FF1">
      <w:pPr>
        <w:pStyle w:val="Paragraphedeliste"/>
        <w:numPr>
          <w:ilvl w:val="0"/>
          <w:numId w:val="73"/>
        </w:numPr>
        <w:tabs>
          <w:tab w:val="left" w:pos="0"/>
        </w:tabs>
        <w:spacing w:before="120" w:line="300" w:lineRule="auto"/>
        <w:ind w:left="1135" w:hanging="284"/>
        <w:contextualSpacing w:val="0"/>
        <w:rPr>
          <w:rFonts w:ascii="Times New Roman" w:hAnsi="Times New Roman" w:cs="Times New Roman"/>
          <w:sz w:val="24"/>
          <w:szCs w:val="24"/>
          <w:shd w:val="clear" w:color="auto" w:fill="FFFFFF"/>
        </w:rPr>
      </w:pPr>
      <w:r w:rsidRPr="002B005F">
        <w:rPr>
          <w:rFonts w:ascii="Times New Roman" w:hAnsi="Times New Roman" w:cs="Times New Roman"/>
          <w:sz w:val="24"/>
          <w:szCs w:val="24"/>
          <w:shd w:val="clear" w:color="auto" w:fill="FFFFFF"/>
        </w:rPr>
        <w:t>47 banquie</w:t>
      </w:r>
      <w:r w:rsidR="005C423C" w:rsidRPr="002B005F">
        <w:rPr>
          <w:rFonts w:ascii="Times New Roman" w:hAnsi="Times New Roman" w:cs="Times New Roman"/>
          <w:sz w:val="24"/>
          <w:szCs w:val="24"/>
          <w:shd w:val="clear" w:color="auto" w:fill="FFFFFF"/>
        </w:rPr>
        <w:t>rs attestent qu’ils font appel aux normes IFSB (59.49%) ;</w:t>
      </w:r>
    </w:p>
    <w:p w14:paraId="35DE18A7" w14:textId="77777777" w:rsidR="002760B2" w:rsidRPr="002B005F" w:rsidRDefault="005C423C" w:rsidP="00CB0FF1">
      <w:pPr>
        <w:pStyle w:val="Paragraphedeliste"/>
        <w:numPr>
          <w:ilvl w:val="0"/>
          <w:numId w:val="73"/>
        </w:numPr>
        <w:tabs>
          <w:tab w:val="left" w:pos="0"/>
        </w:tabs>
        <w:spacing w:before="120"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shd w:val="clear" w:color="auto" w:fill="FFFFFF"/>
        </w:rPr>
        <w:t>E</w:t>
      </w:r>
      <w:r w:rsidR="002760B2" w:rsidRPr="002B005F">
        <w:rPr>
          <w:rFonts w:ascii="Times New Roman" w:hAnsi="Times New Roman" w:cs="Times New Roman"/>
          <w:sz w:val="24"/>
          <w:szCs w:val="24"/>
          <w:shd w:val="clear" w:color="auto" w:fill="FFFFFF"/>
        </w:rPr>
        <w:t>t</w:t>
      </w:r>
      <w:r w:rsidRPr="002B005F">
        <w:rPr>
          <w:rFonts w:ascii="Times New Roman" w:hAnsi="Times New Roman" w:cs="Times New Roman"/>
          <w:sz w:val="24"/>
          <w:szCs w:val="24"/>
          <w:shd w:val="clear" w:color="auto" w:fill="FFFFFF"/>
        </w:rPr>
        <w:t>,</w:t>
      </w:r>
      <w:r w:rsidR="002760B2" w:rsidRPr="002B005F">
        <w:rPr>
          <w:rFonts w:ascii="Times New Roman" w:hAnsi="Times New Roman" w:cs="Times New Roman"/>
          <w:sz w:val="24"/>
          <w:szCs w:val="24"/>
          <w:shd w:val="clear" w:color="auto" w:fill="FFFFFF"/>
        </w:rPr>
        <w:t xml:space="preserve"> pour la dernière sous-question, 42 répondants affirment qu’il existe </w:t>
      </w:r>
      <w:r w:rsidR="002760B2" w:rsidRPr="002B005F">
        <w:rPr>
          <w:rFonts w:ascii="Times New Roman" w:hAnsi="Times New Roman" w:cs="Times New Roman"/>
          <w:sz w:val="24"/>
          <w:szCs w:val="24"/>
        </w:rPr>
        <w:t>des critères règlementaires imposés par l’IFSB pour gérer les risques liés aux modes de financement participatif.</w:t>
      </w:r>
    </w:p>
    <w:p w14:paraId="24649CA1" w14:textId="7AD82981" w:rsidR="00DE471E" w:rsidRPr="002B005F" w:rsidRDefault="00DE471E" w:rsidP="00D66C87">
      <w:pPr>
        <w:pStyle w:val="Lgende"/>
        <w:keepNext/>
        <w:tabs>
          <w:tab w:val="left" w:pos="0"/>
        </w:tabs>
        <w:spacing w:before="100" w:beforeAutospacing="1" w:after="120" w:line="300" w:lineRule="auto"/>
        <w:jc w:val="center"/>
        <w:rPr>
          <w:rFonts w:ascii="Times New Roman" w:hAnsi="Times New Roman" w:cs="Times New Roman"/>
          <w:color w:val="auto"/>
          <w:sz w:val="24"/>
          <w:szCs w:val="24"/>
        </w:rPr>
      </w:pPr>
      <w:bookmarkStart w:id="1651" w:name="_Toc115556090"/>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22</w:t>
      </w:r>
      <w:r w:rsidR="00B544E5" w:rsidRPr="002B005F">
        <w:rPr>
          <w:rFonts w:ascii="Times New Roman" w:hAnsi="Times New Roman" w:cs="Times New Roman"/>
          <w:color w:val="auto"/>
          <w:sz w:val="24"/>
          <w:szCs w:val="24"/>
        </w:rPr>
        <w:fldChar w:fldCharType="end"/>
      </w:r>
      <w:r w:rsidR="00D66C87" w:rsidRPr="002B005F">
        <w:rPr>
          <w:rFonts w:ascii="Times New Roman" w:hAnsi="Times New Roman" w:cs="Times New Roman"/>
          <w:color w:val="auto"/>
          <w:sz w:val="24"/>
          <w:szCs w:val="24"/>
        </w:rPr>
        <w:t>- Perception</w:t>
      </w:r>
      <w:r w:rsidRPr="002B005F">
        <w:rPr>
          <w:rFonts w:ascii="Times New Roman" w:hAnsi="Times New Roman" w:cs="Times New Roman"/>
          <w:color w:val="auto"/>
          <w:sz w:val="24"/>
          <w:szCs w:val="24"/>
        </w:rPr>
        <w:t xml:space="preserve"> sur les normes de règlementation prudentielle</w:t>
      </w:r>
      <w:bookmarkEnd w:id="1651"/>
    </w:p>
    <w:tbl>
      <w:tblPr>
        <w:tblStyle w:val="Grillemoyenne1-Accent5"/>
        <w:tblW w:w="90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6406"/>
        <w:gridCol w:w="1276"/>
        <w:gridCol w:w="1389"/>
      </w:tblGrid>
      <w:tr w:rsidR="002760B2" w:rsidRPr="002B005F" w14:paraId="3D9F6420" w14:textId="77777777" w:rsidTr="00C92F17">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42D99DC9" w14:textId="77777777" w:rsidR="002760B2" w:rsidRPr="002B005F" w:rsidRDefault="00D66C87" w:rsidP="00D66C87">
            <w:pPr>
              <w:tabs>
                <w:tab w:val="left" w:pos="0"/>
              </w:tabs>
              <w:autoSpaceDE w:val="0"/>
              <w:autoSpaceDN w:val="0"/>
              <w:adjustRightInd w:val="0"/>
              <w:jc w:val="center"/>
              <w:rPr>
                <w:rFonts w:ascii="Times New Roman" w:hAnsi="Times New Roman" w:cs="Times New Roman"/>
                <w:sz w:val="24"/>
                <w:szCs w:val="24"/>
              </w:rPr>
            </w:pPr>
            <w:r w:rsidRPr="002B005F">
              <w:rPr>
                <w:rFonts w:ascii="Times New Roman" w:hAnsi="Times New Roman" w:cs="Times New Roman"/>
                <w:sz w:val="24"/>
                <w:szCs w:val="24"/>
              </w:rPr>
              <w:t>Normes</w:t>
            </w:r>
          </w:p>
        </w:tc>
        <w:tc>
          <w:tcPr>
            <w:tcW w:w="1276" w:type="dxa"/>
            <w:vAlign w:val="center"/>
          </w:tcPr>
          <w:p w14:paraId="318704EF" w14:textId="77777777" w:rsidR="002760B2" w:rsidRPr="002B005F" w:rsidRDefault="00D66C87" w:rsidP="00D66C87">
            <w:pPr>
              <w:tabs>
                <w:tab w:val="left" w:pos="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N</w:t>
            </w:r>
            <w:r w:rsidR="002760B2" w:rsidRPr="002B005F">
              <w:rPr>
                <w:rFonts w:ascii="Times New Roman" w:hAnsi="Times New Roman" w:cs="Times New Roman"/>
              </w:rPr>
              <w:t>bre de réponses positives</w:t>
            </w:r>
          </w:p>
        </w:tc>
        <w:tc>
          <w:tcPr>
            <w:tcW w:w="1389" w:type="dxa"/>
            <w:vAlign w:val="center"/>
          </w:tcPr>
          <w:p w14:paraId="23D5014B" w14:textId="77777777" w:rsidR="002760B2" w:rsidRPr="002B005F" w:rsidRDefault="002760B2" w:rsidP="00D66C87">
            <w:pPr>
              <w:tabs>
                <w:tab w:val="left" w:pos="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Pourcentage du total</w:t>
            </w:r>
          </w:p>
        </w:tc>
      </w:tr>
      <w:tr w:rsidR="002760B2" w:rsidRPr="002B005F" w14:paraId="3123BD10" w14:textId="77777777" w:rsidTr="00C92F17">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6406" w:type="dxa"/>
            <w:shd w:val="clear" w:color="auto" w:fill="auto"/>
            <w:vAlign w:val="center"/>
          </w:tcPr>
          <w:p w14:paraId="26D0FD36" w14:textId="77777777" w:rsidR="002760B2" w:rsidRPr="002B005F" w:rsidRDefault="002760B2" w:rsidP="00D66C87">
            <w:pPr>
              <w:tabs>
                <w:tab w:val="left" w:pos="0"/>
              </w:tabs>
              <w:autoSpaceDE w:val="0"/>
              <w:autoSpaceDN w:val="0"/>
              <w:adjustRightInd w:val="0"/>
              <w:ind w:left="113" w:right="57"/>
              <w:rPr>
                <w:rFonts w:ascii="Times New Roman" w:hAnsi="Times New Roman" w:cs="Times New Roman"/>
                <w:b w:val="0"/>
                <w:bCs w:val="0"/>
                <w:sz w:val="24"/>
                <w:szCs w:val="24"/>
              </w:rPr>
            </w:pPr>
            <w:r w:rsidRPr="002B005F">
              <w:rPr>
                <w:rFonts w:ascii="Times New Roman" w:hAnsi="Times New Roman" w:cs="Times New Roman"/>
                <w:b w:val="0"/>
                <w:bCs w:val="0"/>
                <w:sz w:val="24"/>
                <w:szCs w:val="24"/>
              </w:rPr>
              <w:t>Est-ce que votre banque applique les normes de Bâle sans modification ?</w:t>
            </w:r>
          </w:p>
        </w:tc>
        <w:tc>
          <w:tcPr>
            <w:tcW w:w="1276" w:type="dxa"/>
            <w:shd w:val="clear" w:color="auto" w:fill="auto"/>
            <w:vAlign w:val="center"/>
          </w:tcPr>
          <w:p w14:paraId="3A8ED570" w14:textId="77777777" w:rsidR="002760B2" w:rsidRPr="002B005F" w:rsidRDefault="002760B2" w:rsidP="00D66C87">
            <w:pPr>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43</w:t>
            </w:r>
          </w:p>
        </w:tc>
        <w:tc>
          <w:tcPr>
            <w:tcW w:w="1389" w:type="dxa"/>
            <w:shd w:val="clear" w:color="auto" w:fill="auto"/>
            <w:vAlign w:val="center"/>
          </w:tcPr>
          <w:p w14:paraId="149EF4D8" w14:textId="77777777" w:rsidR="002760B2" w:rsidRPr="002B005F" w:rsidRDefault="00D66C87" w:rsidP="00D66C87">
            <w:pPr>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54.4</w:t>
            </w:r>
          </w:p>
        </w:tc>
      </w:tr>
      <w:tr w:rsidR="002760B2" w:rsidRPr="002B005F" w14:paraId="79A02352" w14:textId="77777777" w:rsidTr="00C92F17">
        <w:trPr>
          <w:trHeight w:val="624"/>
          <w:jc w:val="center"/>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4318EA4D" w14:textId="77777777" w:rsidR="002760B2" w:rsidRPr="002B005F" w:rsidRDefault="002760B2" w:rsidP="00D66C87">
            <w:pPr>
              <w:tabs>
                <w:tab w:val="left" w:pos="0"/>
              </w:tabs>
              <w:autoSpaceDE w:val="0"/>
              <w:autoSpaceDN w:val="0"/>
              <w:adjustRightInd w:val="0"/>
              <w:ind w:left="113" w:right="57"/>
              <w:rPr>
                <w:rFonts w:ascii="Times New Roman" w:hAnsi="Times New Roman" w:cs="Times New Roman"/>
                <w:b w:val="0"/>
                <w:bCs w:val="0"/>
                <w:sz w:val="24"/>
                <w:szCs w:val="24"/>
              </w:rPr>
            </w:pPr>
            <w:r w:rsidRPr="002B005F">
              <w:rPr>
                <w:rFonts w:ascii="Times New Roman" w:hAnsi="Times New Roman" w:cs="Times New Roman"/>
                <w:b w:val="0"/>
                <w:bCs w:val="0"/>
                <w:sz w:val="24"/>
                <w:szCs w:val="24"/>
              </w:rPr>
              <w:t xml:space="preserve">Pensez-vous que l’application des deux réglementations Bâle et IFSB alourdira l’activité bancaire </w:t>
            </w:r>
            <w:r w:rsidR="0096069F">
              <w:rPr>
                <w:rFonts w:ascii="Times New Roman" w:hAnsi="Times New Roman" w:cs="Times New Roman"/>
                <w:b w:val="0"/>
                <w:bCs w:val="0"/>
                <w:sz w:val="24"/>
                <w:szCs w:val="24"/>
              </w:rPr>
              <w:t>i</w:t>
            </w:r>
            <w:r w:rsidR="003773C6" w:rsidRPr="002B005F">
              <w:rPr>
                <w:rFonts w:ascii="Times New Roman" w:hAnsi="Times New Roman" w:cs="Times New Roman"/>
                <w:b w:val="0"/>
                <w:bCs w:val="0"/>
                <w:sz w:val="24"/>
                <w:szCs w:val="24"/>
              </w:rPr>
              <w:t>slamique</w:t>
            </w:r>
            <w:r w:rsidRPr="002B005F">
              <w:rPr>
                <w:rFonts w:ascii="Times New Roman" w:hAnsi="Times New Roman" w:cs="Times New Roman"/>
                <w:b w:val="0"/>
                <w:bCs w:val="0"/>
                <w:sz w:val="24"/>
                <w:szCs w:val="24"/>
              </w:rPr>
              <w:t> ?</w:t>
            </w:r>
          </w:p>
        </w:tc>
        <w:tc>
          <w:tcPr>
            <w:tcW w:w="1276" w:type="dxa"/>
            <w:vAlign w:val="center"/>
          </w:tcPr>
          <w:p w14:paraId="2DE15D7F" w14:textId="77777777" w:rsidR="002760B2" w:rsidRPr="002B005F" w:rsidRDefault="002760B2" w:rsidP="00D66C87">
            <w:pPr>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35</w:t>
            </w:r>
          </w:p>
        </w:tc>
        <w:tc>
          <w:tcPr>
            <w:tcW w:w="1389" w:type="dxa"/>
            <w:vAlign w:val="center"/>
          </w:tcPr>
          <w:p w14:paraId="39CC9C97" w14:textId="77777777" w:rsidR="002760B2" w:rsidRPr="002B005F" w:rsidRDefault="00D66C87" w:rsidP="00D66C87">
            <w:pPr>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44.30</w:t>
            </w:r>
          </w:p>
        </w:tc>
      </w:tr>
      <w:tr w:rsidR="002760B2" w:rsidRPr="002B005F" w14:paraId="7EE6124D" w14:textId="77777777" w:rsidTr="00C92F17">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6406" w:type="dxa"/>
            <w:shd w:val="clear" w:color="auto" w:fill="auto"/>
            <w:vAlign w:val="center"/>
          </w:tcPr>
          <w:p w14:paraId="0F77F229" w14:textId="77777777" w:rsidR="002760B2" w:rsidRPr="002B005F" w:rsidRDefault="002760B2" w:rsidP="00D66C87">
            <w:pPr>
              <w:tabs>
                <w:tab w:val="left" w:pos="0"/>
              </w:tabs>
              <w:autoSpaceDE w:val="0"/>
              <w:autoSpaceDN w:val="0"/>
              <w:adjustRightInd w:val="0"/>
              <w:ind w:left="113" w:right="57"/>
              <w:rPr>
                <w:rFonts w:ascii="Times New Roman" w:hAnsi="Times New Roman" w:cs="Times New Roman"/>
                <w:b w:val="0"/>
                <w:bCs w:val="0"/>
                <w:sz w:val="24"/>
                <w:szCs w:val="24"/>
              </w:rPr>
            </w:pPr>
            <w:r w:rsidRPr="002B005F">
              <w:rPr>
                <w:rFonts w:ascii="Times New Roman" w:hAnsi="Times New Roman" w:cs="Times New Roman"/>
                <w:b w:val="0"/>
                <w:bCs w:val="0"/>
                <w:sz w:val="24"/>
                <w:szCs w:val="24"/>
              </w:rPr>
              <w:t>Est-ce que votre banque utilise les normes IFSB ?</w:t>
            </w:r>
          </w:p>
        </w:tc>
        <w:tc>
          <w:tcPr>
            <w:tcW w:w="1276" w:type="dxa"/>
            <w:shd w:val="clear" w:color="auto" w:fill="auto"/>
            <w:vAlign w:val="center"/>
          </w:tcPr>
          <w:p w14:paraId="0791BBA1" w14:textId="77777777" w:rsidR="002760B2" w:rsidRPr="002B005F" w:rsidRDefault="002760B2" w:rsidP="00D66C87">
            <w:pPr>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47</w:t>
            </w:r>
          </w:p>
        </w:tc>
        <w:tc>
          <w:tcPr>
            <w:tcW w:w="1389" w:type="dxa"/>
            <w:shd w:val="clear" w:color="auto" w:fill="auto"/>
            <w:vAlign w:val="center"/>
          </w:tcPr>
          <w:p w14:paraId="7CD7D3D2" w14:textId="77777777" w:rsidR="002760B2" w:rsidRPr="002B005F" w:rsidRDefault="00D66C87" w:rsidP="00D66C87">
            <w:pPr>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59.49</w:t>
            </w:r>
          </w:p>
        </w:tc>
      </w:tr>
      <w:tr w:rsidR="002760B2" w:rsidRPr="002B005F" w14:paraId="329E5FB8" w14:textId="77777777" w:rsidTr="00C92F17">
        <w:trPr>
          <w:trHeight w:val="907"/>
          <w:jc w:val="center"/>
        </w:trPr>
        <w:tc>
          <w:tcPr>
            <w:cnfStyle w:val="001000000000" w:firstRow="0" w:lastRow="0" w:firstColumn="1" w:lastColumn="0" w:oddVBand="0" w:evenVBand="0" w:oddHBand="0" w:evenHBand="0" w:firstRowFirstColumn="0" w:firstRowLastColumn="0" w:lastRowFirstColumn="0" w:lastRowLastColumn="0"/>
            <w:tcW w:w="6406" w:type="dxa"/>
            <w:vAlign w:val="center"/>
          </w:tcPr>
          <w:p w14:paraId="5B590D48" w14:textId="77777777" w:rsidR="002760B2" w:rsidRPr="002B005F" w:rsidRDefault="002760B2" w:rsidP="00D66C87">
            <w:pPr>
              <w:tabs>
                <w:tab w:val="left" w:pos="0"/>
              </w:tabs>
              <w:autoSpaceDE w:val="0"/>
              <w:autoSpaceDN w:val="0"/>
              <w:adjustRightInd w:val="0"/>
              <w:ind w:left="113" w:right="57"/>
              <w:rPr>
                <w:rFonts w:ascii="Times New Roman" w:hAnsi="Times New Roman" w:cs="Times New Roman"/>
                <w:b w:val="0"/>
                <w:bCs w:val="0"/>
                <w:sz w:val="24"/>
                <w:szCs w:val="24"/>
              </w:rPr>
            </w:pPr>
            <w:r w:rsidRPr="002B005F">
              <w:rPr>
                <w:rFonts w:ascii="Times New Roman" w:hAnsi="Times New Roman" w:cs="Times New Roman"/>
                <w:b w:val="0"/>
                <w:bCs w:val="0"/>
                <w:sz w:val="24"/>
                <w:szCs w:val="24"/>
              </w:rPr>
              <w:t>Est-ce qu’il y a des critères règlementaires imposés par l’IFSB pour gérer les risques liés aux modes de financement participatifs ?</w:t>
            </w:r>
          </w:p>
        </w:tc>
        <w:tc>
          <w:tcPr>
            <w:tcW w:w="1276" w:type="dxa"/>
            <w:vAlign w:val="center"/>
          </w:tcPr>
          <w:p w14:paraId="025F5FFF" w14:textId="77777777" w:rsidR="002760B2" w:rsidRPr="002B005F" w:rsidRDefault="002760B2" w:rsidP="00D66C87">
            <w:pPr>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42</w:t>
            </w:r>
          </w:p>
        </w:tc>
        <w:tc>
          <w:tcPr>
            <w:tcW w:w="1389" w:type="dxa"/>
            <w:vAlign w:val="center"/>
          </w:tcPr>
          <w:p w14:paraId="1FF26F23" w14:textId="77777777" w:rsidR="002760B2" w:rsidRPr="002B005F" w:rsidRDefault="00D66C87" w:rsidP="00D66C87">
            <w:pPr>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53.16</w:t>
            </w:r>
          </w:p>
        </w:tc>
      </w:tr>
    </w:tbl>
    <w:p w14:paraId="00CAE3B3" w14:textId="77777777" w:rsidR="00191748" w:rsidRPr="002B005F" w:rsidRDefault="002760B2" w:rsidP="00497373">
      <w:pPr>
        <w:pStyle w:val="NormalWeb"/>
        <w:tabs>
          <w:tab w:val="left" w:pos="0"/>
        </w:tabs>
        <w:spacing w:before="120" w:beforeAutospacing="0"/>
        <w:jc w:val="center"/>
        <w:rPr>
          <w:sz w:val="20"/>
          <w:szCs w:val="20"/>
        </w:rPr>
      </w:pPr>
      <w:r w:rsidRPr="002B005F">
        <w:rPr>
          <w:sz w:val="20"/>
          <w:szCs w:val="20"/>
        </w:rPr>
        <w:t>Source : Calculs du chercheur.</w:t>
      </w:r>
    </w:p>
    <w:p w14:paraId="028DF2F1" w14:textId="77777777" w:rsidR="002760B2" w:rsidRPr="002B005F" w:rsidRDefault="002760B2" w:rsidP="00497373">
      <w:pPr>
        <w:tabs>
          <w:tab w:val="left" w:pos="0"/>
        </w:tabs>
        <w:autoSpaceDE w:val="0"/>
        <w:autoSpaceDN w:val="0"/>
        <w:adjustRightInd w:val="0"/>
        <w:spacing w:before="100" w:beforeAutospacing="1" w:after="100" w:afterAutospacing="1"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question 18 vise à savoir si les BI participantes retiennent des réserves supplémentaires comme l’IRR et la PER. Presque 50% des répondants ont indiqué que les deux types de réserves sont retenues par leurs institutions financières. La PER est retenue par 20% des BI alors que le 30%</w:t>
      </w:r>
      <w:r w:rsidR="009543A1" w:rsidRPr="002B005F">
        <w:rPr>
          <w:rFonts w:ascii="Times New Roman" w:hAnsi="Times New Roman" w:cs="Times New Roman"/>
          <w:sz w:val="24"/>
          <w:szCs w:val="24"/>
        </w:rPr>
        <w:t xml:space="preserve"> qui restent retiennent l’IRR.</w:t>
      </w:r>
      <w:r w:rsidRPr="002B005F">
        <w:rPr>
          <w:rFonts w:ascii="Times New Roman" w:hAnsi="Times New Roman" w:cs="Times New Roman"/>
          <w:sz w:val="24"/>
          <w:szCs w:val="24"/>
        </w:rPr>
        <w:t xml:space="preserve"> Les deux réserves sont recommandée</w:t>
      </w:r>
      <w:r w:rsidR="009543A1" w:rsidRPr="002B005F">
        <w:rPr>
          <w:rFonts w:ascii="Times New Roman" w:hAnsi="Times New Roman" w:cs="Times New Roman"/>
          <w:sz w:val="24"/>
          <w:szCs w:val="24"/>
        </w:rPr>
        <w:t xml:space="preserve">s par l’AAOIFI et IFSB. Les BI </w:t>
      </w:r>
      <w:r w:rsidRPr="002B005F">
        <w:rPr>
          <w:rFonts w:ascii="Times New Roman" w:hAnsi="Times New Roman" w:cs="Times New Roman"/>
          <w:sz w:val="24"/>
          <w:szCs w:val="24"/>
        </w:rPr>
        <w:t>doivent présenter la part de la PER réservée aux actionnaires comme compo</w:t>
      </w:r>
      <w:r w:rsidR="00497373" w:rsidRPr="002B005F">
        <w:rPr>
          <w:rFonts w:ascii="Times New Roman" w:hAnsi="Times New Roman" w:cs="Times New Roman"/>
          <w:sz w:val="24"/>
          <w:szCs w:val="24"/>
        </w:rPr>
        <w:t>santes de réserves totales et</w:t>
      </w:r>
      <w:r w:rsidRPr="002B005F">
        <w:rPr>
          <w:rFonts w:ascii="Times New Roman" w:hAnsi="Times New Roman" w:cs="Times New Roman"/>
          <w:sz w:val="24"/>
          <w:szCs w:val="24"/>
        </w:rPr>
        <w:t xml:space="preserve"> l’i</w:t>
      </w:r>
      <w:r w:rsidR="00497373" w:rsidRPr="002B005F">
        <w:rPr>
          <w:rFonts w:ascii="Times New Roman" w:hAnsi="Times New Roman" w:cs="Times New Roman"/>
          <w:sz w:val="24"/>
          <w:szCs w:val="24"/>
        </w:rPr>
        <w:t>ntégrer aux capitaux propres. P</w:t>
      </w:r>
      <w:r w:rsidRPr="002B005F">
        <w:rPr>
          <w:rFonts w:ascii="Times New Roman" w:hAnsi="Times New Roman" w:cs="Times New Roman"/>
          <w:sz w:val="24"/>
          <w:szCs w:val="24"/>
        </w:rPr>
        <w:t>our l’IRR, les deux organisations prudentielles recommandent de l’inscrire comme composante des capitaux des titulaires des comptes d’investissement.</w:t>
      </w:r>
    </w:p>
    <w:p w14:paraId="1AADC1C6" w14:textId="77777777" w:rsidR="00A917BD" w:rsidRPr="002B005F" w:rsidRDefault="00A917BD" w:rsidP="004502B0">
      <w:pPr>
        <w:pStyle w:val="Lgende"/>
        <w:tabs>
          <w:tab w:val="left" w:pos="0"/>
        </w:tabs>
        <w:spacing w:before="120" w:after="120" w:line="300" w:lineRule="auto"/>
        <w:rPr>
          <w:rFonts w:ascii="Times New Roman" w:hAnsi="Times New Roman" w:cs="Times New Roman"/>
          <w:color w:val="auto"/>
          <w:sz w:val="24"/>
          <w:szCs w:val="24"/>
        </w:rPr>
      </w:pPr>
      <w:bookmarkStart w:id="1652" w:name="_Toc58605757"/>
    </w:p>
    <w:p w14:paraId="16EF8D14" w14:textId="03B0B367" w:rsidR="004166FE" w:rsidRPr="002B005F" w:rsidRDefault="004166FE" w:rsidP="00737FFD">
      <w:pPr>
        <w:pStyle w:val="Lgende"/>
        <w:keepNext/>
        <w:tabs>
          <w:tab w:val="left" w:pos="0"/>
        </w:tabs>
        <w:spacing w:before="120" w:after="120" w:line="300" w:lineRule="auto"/>
        <w:jc w:val="center"/>
        <w:rPr>
          <w:rFonts w:ascii="Times New Roman" w:hAnsi="Times New Roman" w:cs="Times New Roman"/>
          <w:color w:val="auto"/>
          <w:sz w:val="24"/>
          <w:szCs w:val="24"/>
        </w:rPr>
      </w:pPr>
      <w:r w:rsidRPr="002B005F">
        <w:rPr>
          <w:rFonts w:ascii="Times New Roman" w:hAnsi="Times New Roman" w:cs="Times New Roman"/>
          <w:color w:val="auto"/>
          <w:sz w:val="24"/>
          <w:szCs w:val="24"/>
        </w:rPr>
        <w:t xml:space="preserve">Graphique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Graphique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6</w:t>
      </w:r>
      <w:r w:rsidR="00B544E5" w:rsidRPr="002B005F">
        <w:rPr>
          <w:rFonts w:ascii="Times New Roman" w:hAnsi="Times New Roman" w:cs="Times New Roman"/>
          <w:color w:val="auto"/>
          <w:sz w:val="24"/>
          <w:szCs w:val="24"/>
        </w:rPr>
        <w:fldChar w:fldCharType="end"/>
      </w:r>
      <w:r w:rsidR="005005A4"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Distribution des fr</w:t>
      </w:r>
      <w:r w:rsidR="005005A4" w:rsidRPr="002B005F">
        <w:rPr>
          <w:rFonts w:ascii="Times New Roman" w:hAnsi="Times New Roman" w:cs="Times New Roman"/>
          <w:color w:val="auto"/>
          <w:sz w:val="24"/>
          <w:szCs w:val="24"/>
        </w:rPr>
        <w:t>équences des réserves</w:t>
      </w:r>
      <w:r w:rsidRPr="002B005F">
        <w:rPr>
          <w:rFonts w:ascii="Times New Roman" w:hAnsi="Times New Roman" w:cs="Times New Roman"/>
          <w:color w:val="auto"/>
          <w:sz w:val="24"/>
          <w:szCs w:val="24"/>
        </w:rPr>
        <w:t xml:space="preserve"> retenues par les banques</w:t>
      </w:r>
      <w:bookmarkEnd w:id="1652"/>
    </w:p>
    <w:p w14:paraId="7F03EFAC" w14:textId="77777777" w:rsidR="005C423C" w:rsidRPr="002B005F" w:rsidRDefault="005C423C" w:rsidP="00737FFD">
      <w:pPr>
        <w:keepNext/>
        <w:spacing w:before="120" w:line="300" w:lineRule="auto"/>
        <w:rPr>
          <w:rFonts w:ascii="Times New Roman" w:hAnsi="Times New Roman" w:cs="Times New Roman"/>
          <w:sz w:val="24"/>
          <w:szCs w:val="24"/>
        </w:rPr>
      </w:pPr>
      <w:r w:rsidRPr="002B005F">
        <w:rPr>
          <w:rFonts w:ascii="Times New Roman" w:hAnsi="Times New Roman" w:cs="Times New Roman"/>
          <w:noProof/>
          <w:sz w:val="24"/>
          <w:szCs w:val="24"/>
          <w:lang w:eastAsia="fr-FR"/>
        </w:rPr>
        <w:drawing>
          <wp:anchor distT="0" distB="0" distL="114300" distR="114300" simplePos="0" relativeHeight="251494400" behindDoc="0" locked="0" layoutInCell="1" allowOverlap="0" wp14:anchorId="7A80EF1F" wp14:editId="545F1786">
            <wp:simplePos x="0" y="0"/>
            <wp:positionH relativeFrom="margin">
              <wp:align>center</wp:align>
            </wp:positionH>
            <wp:positionV relativeFrom="paragraph">
              <wp:posOffset>166454</wp:posOffset>
            </wp:positionV>
            <wp:extent cx="5380930" cy="2340000"/>
            <wp:effectExtent l="19050" t="0" r="10220" b="3150"/>
            <wp:wrapNone/>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550E92E8" w14:textId="77777777" w:rsidR="005C423C" w:rsidRPr="002B005F" w:rsidRDefault="005C423C" w:rsidP="00737FFD">
      <w:pPr>
        <w:keepNext/>
        <w:spacing w:before="120" w:line="300" w:lineRule="auto"/>
        <w:rPr>
          <w:rFonts w:ascii="Times New Roman" w:hAnsi="Times New Roman" w:cs="Times New Roman"/>
          <w:sz w:val="24"/>
          <w:szCs w:val="24"/>
        </w:rPr>
      </w:pPr>
    </w:p>
    <w:p w14:paraId="2B26A26D" w14:textId="77777777" w:rsidR="005C423C" w:rsidRPr="002B005F" w:rsidRDefault="005C423C" w:rsidP="00737FFD">
      <w:pPr>
        <w:keepNext/>
        <w:spacing w:before="120" w:line="300" w:lineRule="auto"/>
        <w:rPr>
          <w:rFonts w:ascii="Times New Roman" w:hAnsi="Times New Roman" w:cs="Times New Roman"/>
          <w:sz w:val="24"/>
          <w:szCs w:val="24"/>
        </w:rPr>
      </w:pPr>
    </w:p>
    <w:p w14:paraId="043208C4" w14:textId="77777777" w:rsidR="005C423C" w:rsidRPr="002B005F" w:rsidRDefault="005C423C" w:rsidP="00737FFD">
      <w:pPr>
        <w:keepNext/>
        <w:spacing w:before="120" w:line="300" w:lineRule="auto"/>
        <w:rPr>
          <w:rFonts w:ascii="Times New Roman" w:hAnsi="Times New Roman" w:cs="Times New Roman"/>
          <w:sz w:val="24"/>
          <w:szCs w:val="24"/>
        </w:rPr>
      </w:pPr>
    </w:p>
    <w:p w14:paraId="0E870087" w14:textId="77777777" w:rsidR="005C423C" w:rsidRPr="002B005F" w:rsidRDefault="005C423C" w:rsidP="00737FFD">
      <w:pPr>
        <w:keepNext/>
        <w:spacing w:before="120" w:line="300" w:lineRule="auto"/>
        <w:rPr>
          <w:rFonts w:ascii="Times New Roman" w:hAnsi="Times New Roman" w:cs="Times New Roman"/>
          <w:sz w:val="24"/>
          <w:szCs w:val="24"/>
        </w:rPr>
      </w:pPr>
    </w:p>
    <w:p w14:paraId="6C2BECCB" w14:textId="77777777" w:rsidR="005C423C" w:rsidRPr="002B005F" w:rsidRDefault="005C423C" w:rsidP="00737FFD">
      <w:pPr>
        <w:keepNext/>
        <w:spacing w:before="120" w:line="300" w:lineRule="auto"/>
        <w:rPr>
          <w:rFonts w:ascii="Times New Roman" w:hAnsi="Times New Roman" w:cs="Times New Roman"/>
          <w:sz w:val="24"/>
          <w:szCs w:val="24"/>
        </w:rPr>
      </w:pPr>
    </w:p>
    <w:p w14:paraId="6C2818F6" w14:textId="77777777" w:rsidR="005C423C" w:rsidRPr="002B005F" w:rsidRDefault="005C423C" w:rsidP="00737FFD">
      <w:pPr>
        <w:keepNext/>
        <w:spacing w:before="120" w:line="300" w:lineRule="auto"/>
        <w:rPr>
          <w:rFonts w:ascii="Times New Roman" w:hAnsi="Times New Roman" w:cs="Times New Roman"/>
          <w:sz w:val="24"/>
          <w:szCs w:val="24"/>
        </w:rPr>
      </w:pPr>
    </w:p>
    <w:p w14:paraId="595280E3" w14:textId="77777777" w:rsidR="005C423C" w:rsidRPr="002B005F" w:rsidRDefault="005C423C" w:rsidP="00737FFD">
      <w:pPr>
        <w:keepNext/>
        <w:spacing w:before="120" w:line="300" w:lineRule="auto"/>
        <w:rPr>
          <w:rFonts w:ascii="Times New Roman" w:hAnsi="Times New Roman" w:cs="Times New Roman"/>
          <w:sz w:val="24"/>
          <w:szCs w:val="24"/>
        </w:rPr>
      </w:pPr>
    </w:p>
    <w:p w14:paraId="4D27777B" w14:textId="77777777" w:rsidR="005C423C" w:rsidRPr="002B005F" w:rsidRDefault="005C423C" w:rsidP="00737FFD">
      <w:pPr>
        <w:keepNext/>
        <w:spacing w:before="120" w:line="300" w:lineRule="auto"/>
        <w:rPr>
          <w:rFonts w:ascii="Times New Roman" w:hAnsi="Times New Roman" w:cs="Times New Roman"/>
          <w:sz w:val="24"/>
          <w:szCs w:val="24"/>
        </w:rPr>
      </w:pPr>
    </w:p>
    <w:p w14:paraId="7E1F7C8D" w14:textId="77777777" w:rsidR="00A917BD" w:rsidRPr="002B005F" w:rsidRDefault="002760B2" w:rsidP="004502B0">
      <w:pPr>
        <w:pStyle w:val="Paragraphedeliste"/>
        <w:keepNext/>
        <w:tabs>
          <w:tab w:val="left" w:pos="0"/>
        </w:tabs>
        <w:spacing w:before="120" w:after="100" w:afterAutospacing="1" w:line="240" w:lineRule="auto"/>
        <w:ind w:left="0"/>
        <w:contextualSpacing w:val="0"/>
        <w:jc w:val="center"/>
        <w:rPr>
          <w:rFonts w:ascii="Times New Roman" w:hAnsi="Times New Roman" w:cs="Times New Roman"/>
          <w:sz w:val="20"/>
          <w:szCs w:val="20"/>
        </w:rPr>
      </w:pPr>
      <w:r w:rsidRPr="002B005F">
        <w:rPr>
          <w:rFonts w:ascii="Times New Roman" w:hAnsi="Times New Roman" w:cs="Times New Roman"/>
          <w:sz w:val="20"/>
          <w:szCs w:val="20"/>
        </w:rPr>
        <w:t>Source :</w:t>
      </w:r>
      <w:r w:rsidR="005005A4" w:rsidRPr="002B005F">
        <w:rPr>
          <w:rFonts w:ascii="Times New Roman" w:hAnsi="Times New Roman" w:cs="Times New Roman"/>
          <w:sz w:val="20"/>
          <w:szCs w:val="20"/>
        </w:rPr>
        <w:t xml:space="preserve"> C</w:t>
      </w:r>
      <w:r w:rsidRPr="002B005F">
        <w:rPr>
          <w:rFonts w:ascii="Times New Roman" w:hAnsi="Times New Roman" w:cs="Times New Roman"/>
          <w:sz w:val="20"/>
          <w:szCs w:val="20"/>
        </w:rPr>
        <w:t>alculs du chercheur.</w:t>
      </w:r>
    </w:p>
    <w:p w14:paraId="18FA2962" w14:textId="77777777" w:rsidR="002760B2" w:rsidRPr="002B005F" w:rsidRDefault="00245F45" w:rsidP="0033340B">
      <w:pPr>
        <w:pStyle w:val="Titre4"/>
        <w:keepNext w:val="0"/>
        <w:spacing w:before="100" w:beforeAutospacing="1" w:after="120" w:line="300" w:lineRule="auto"/>
        <w:ind w:firstLine="709"/>
      </w:pPr>
      <w:bookmarkStart w:id="1653" w:name="_Toc33263393"/>
      <w:bookmarkStart w:id="1654" w:name="_Toc37664656"/>
      <w:bookmarkStart w:id="1655" w:name="_Toc37666501"/>
      <w:bookmarkStart w:id="1656" w:name="_Toc54363398"/>
      <w:bookmarkStart w:id="1657" w:name="_Toc58606376"/>
      <w:bookmarkStart w:id="1658" w:name="_Toc61263581"/>
      <w:bookmarkStart w:id="1659" w:name="_Toc182298914"/>
      <w:r>
        <w:t>2</w:t>
      </w:r>
      <w:r w:rsidR="00071DF1">
        <w:t xml:space="preserve">.1.8- </w:t>
      </w:r>
      <w:r w:rsidR="002760B2" w:rsidRPr="002B005F">
        <w:t>Identification des risques</w:t>
      </w:r>
      <w:bookmarkEnd w:id="1653"/>
      <w:bookmarkEnd w:id="1654"/>
      <w:bookmarkEnd w:id="1655"/>
      <w:bookmarkEnd w:id="1656"/>
      <w:bookmarkEnd w:id="1657"/>
      <w:bookmarkEnd w:id="1658"/>
      <w:bookmarkEnd w:id="1659"/>
    </w:p>
    <w:p w14:paraId="50124754" w14:textId="77777777" w:rsidR="002760B2" w:rsidRPr="002B005F" w:rsidRDefault="002760B2" w:rsidP="00D66FFE">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 </w:t>
      </w:r>
      <w:r w:rsidR="00A917BD" w:rsidRPr="002B005F">
        <w:rPr>
          <w:rFonts w:ascii="Times New Roman" w:hAnsi="Times New Roman" w:cs="Times New Roman"/>
          <w:b/>
          <w:bCs/>
          <w:sz w:val="24"/>
          <w:szCs w:val="24"/>
        </w:rPr>
        <w:t>t</w:t>
      </w:r>
      <w:r w:rsidRPr="002B005F">
        <w:rPr>
          <w:rFonts w:ascii="Times New Roman" w:hAnsi="Times New Roman" w:cs="Times New Roman"/>
          <w:b/>
          <w:bCs/>
          <w:sz w:val="24"/>
          <w:szCs w:val="24"/>
        </w:rPr>
        <w:t>ableau 23</w:t>
      </w:r>
      <w:r w:rsidRPr="002B005F">
        <w:rPr>
          <w:rFonts w:ascii="Times New Roman" w:hAnsi="Times New Roman" w:cs="Times New Roman"/>
          <w:sz w:val="24"/>
          <w:szCs w:val="24"/>
        </w:rPr>
        <w:t xml:space="preserve"> présente certains aspects d’identification des risques liés aux modes de financement participatifs. Nous constatons que 76 banques (96.20%) sont dotées d’un processus continu d’identification de risques. 27 répondants attestent que leurs banques trouvent des difficultés dans l’identification des risques des produits financiers participatifs (34.17%). Ainsi, 57 banquiers </w:t>
      </w:r>
      <w:r w:rsidR="00AB41B4">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de l’échantillon</w:t>
      </w:r>
      <w:r w:rsidR="00A917BD" w:rsidRPr="002B005F">
        <w:rPr>
          <w:rFonts w:ascii="Times New Roman" w:hAnsi="Times New Roman" w:cs="Times New Roman"/>
          <w:sz w:val="24"/>
          <w:szCs w:val="24"/>
        </w:rPr>
        <w:t xml:space="preserve"> ont répondu que leur institution financière applique</w:t>
      </w:r>
      <w:r w:rsidRPr="002B005F">
        <w:rPr>
          <w:rFonts w:ascii="Times New Roman" w:hAnsi="Times New Roman" w:cs="Times New Roman"/>
          <w:sz w:val="24"/>
          <w:szCs w:val="24"/>
        </w:rPr>
        <w:t xml:space="preserve"> des procédures d'identification systématique des opportunités d'investissement.</w:t>
      </w:r>
    </w:p>
    <w:p w14:paraId="68473A3B" w14:textId="680A327E" w:rsidR="00DE471E" w:rsidRPr="002B005F" w:rsidRDefault="00DE471E" w:rsidP="00D66FFE">
      <w:pPr>
        <w:pStyle w:val="Lgende"/>
        <w:tabs>
          <w:tab w:val="left" w:pos="0"/>
        </w:tabs>
        <w:spacing w:before="100" w:beforeAutospacing="1" w:after="120" w:line="300" w:lineRule="auto"/>
        <w:jc w:val="center"/>
        <w:rPr>
          <w:rFonts w:ascii="Times New Roman" w:hAnsi="Times New Roman" w:cs="Times New Roman"/>
          <w:color w:val="auto"/>
          <w:sz w:val="24"/>
          <w:szCs w:val="24"/>
        </w:rPr>
      </w:pPr>
      <w:bookmarkStart w:id="1660" w:name="_Toc115556091"/>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23</w:t>
      </w:r>
      <w:r w:rsidR="00B544E5" w:rsidRPr="002B005F">
        <w:rPr>
          <w:rFonts w:ascii="Times New Roman" w:hAnsi="Times New Roman" w:cs="Times New Roman"/>
          <w:color w:val="auto"/>
          <w:sz w:val="24"/>
          <w:szCs w:val="24"/>
        </w:rPr>
        <w:fldChar w:fldCharType="end"/>
      </w:r>
      <w:r w:rsidR="00A917BD" w:rsidRPr="002B005F">
        <w:rPr>
          <w:rFonts w:ascii="Times New Roman" w:hAnsi="Times New Roman" w:cs="Times New Roman"/>
          <w:color w:val="auto"/>
          <w:sz w:val="24"/>
          <w:szCs w:val="24"/>
        </w:rPr>
        <w:t>- Perception</w:t>
      </w:r>
      <w:r w:rsidRPr="002B005F">
        <w:rPr>
          <w:rFonts w:ascii="Times New Roman" w:hAnsi="Times New Roman" w:cs="Times New Roman"/>
          <w:color w:val="auto"/>
          <w:sz w:val="24"/>
          <w:szCs w:val="24"/>
        </w:rPr>
        <w:t xml:space="preserve"> sur les techniques d’identification de</w:t>
      </w:r>
      <w:r w:rsidR="007C68EE" w:rsidRPr="002B005F">
        <w:rPr>
          <w:rFonts w:ascii="Times New Roman" w:hAnsi="Times New Roman" w:cs="Times New Roman"/>
          <w:color w:val="auto"/>
          <w:sz w:val="24"/>
          <w:szCs w:val="24"/>
        </w:rPr>
        <w:t>s</w:t>
      </w:r>
      <w:r w:rsidRPr="002B005F">
        <w:rPr>
          <w:rFonts w:ascii="Times New Roman" w:hAnsi="Times New Roman" w:cs="Times New Roman"/>
          <w:color w:val="auto"/>
          <w:sz w:val="24"/>
          <w:szCs w:val="24"/>
        </w:rPr>
        <w:t xml:space="preserve"> risques</w:t>
      </w:r>
      <w:bookmarkEnd w:id="1660"/>
    </w:p>
    <w:tbl>
      <w:tblPr>
        <w:tblStyle w:val="Grillemoyenne1-Accent5"/>
        <w:tblW w:w="90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57" w:type="dxa"/>
          <w:bottom w:w="28" w:type="dxa"/>
          <w:right w:w="57" w:type="dxa"/>
        </w:tblCellMar>
        <w:tblLook w:val="04A0" w:firstRow="1" w:lastRow="0" w:firstColumn="1" w:lastColumn="0" w:noHBand="0" w:noVBand="1"/>
      </w:tblPr>
      <w:tblGrid>
        <w:gridCol w:w="6406"/>
        <w:gridCol w:w="1276"/>
        <w:gridCol w:w="1389"/>
      </w:tblGrid>
      <w:tr w:rsidR="002760B2" w:rsidRPr="002B005F" w14:paraId="28D0C275" w14:textId="77777777" w:rsidTr="00C92F17">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6406" w:type="dxa"/>
            <w:shd w:val="clear" w:color="auto" w:fill="DEEAF6" w:themeFill="accent1" w:themeFillTint="33"/>
            <w:vAlign w:val="center"/>
          </w:tcPr>
          <w:p w14:paraId="0F91C5AC" w14:textId="77777777" w:rsidR="002760B2" w:rsidRPr="002B005F" w:rsidRDefault="00A917BD" w:rsidP="00A917BD">
            <w:pPr>
              <w:tabs>
                <w:tab w:val="left" w:pos="0"/>
              </w:tabs>
              <w:autoSpaceDE w:val="0"/>
              <w:autoSpaceDN w:val="0"/>
              <w:adjustRightInd w:val="0"/>
              <w:jc w:val="center"/>
              <w:rPr>
                <w:rFonts w:ascii="Times New Roman" w:hAnsi="Times New Roman" w:cs="Times New Roman"/>
              </w:rPr>
            </w:pPr>
            <w:r w:rsidRPr="002B005F">
              <w:rPr>
                <w:rFonts w:ascii="Times New Roman" w:hAnsi="Times New Roman" w:cs="Times New Roman"/>
                <w:sz w:val="24"/>
                <w:szCs w:val="24"/>
              </w:rPr>
              <w:t>Techniques d’identification de risques</w:t>
            </w:r>
          </w:p>
        </w:tc>
        <w:tc>
          <w:tcPr>
            <w:tcW w:w="1276" w:type="dxa"/>
            <w:shd w:val="clear" w:color="auto" w:fill="DEEAF6" w:themeFill="accent1" w:themeFillTint="33"/>
            <w:vAlign w:val="center"/>
          </w:tcPr>
          <w:p w14:paraId="665921F6" w14:textId="77777777" w:rsidR="002760B2" w:rsidRPr="002B005F" w:rsidRDefault="00A917BD" w:rsidP="00A917BD">
            <w:pPr>
              <w:tabs>
                <w:tab w:val="left" w:pos="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Nb</w:t>
            </w:r>
            <w:r w:rsidR="002760B2" w:rsidRPr="002B005F">
              <w:rPr>
                <w:rFonts w:ascii="Times New Roman" w:hAnsi="Times New Roman" w:cs="Times New Roman"/>
              </w:rPr>
              <w:t>re de réponses positives</w:t>
            </w:r>
          </w:p>
        </w:tc>
        <w:tc>
          <w:tcPr>
            <w:tcW w:w="1389" w:type="dxa"/>
            <w:shd w:val="clear" w:color="auto" w:fill="DEEAF6" w:themeFill="accent1" w:themeFillTint="33"/>
            <w:vAlign w:val="center"/>
          </w:tcPr>
          <w:p w14:paraId="0478C957" w14:textId="77777777" w:rsidR="002760B2" w:rsidRPr="002B005F" w:rsidRDefault="002760B2" w:rsidP="00A917BD">
            <w:pPr>
              <w:tabs>
                <w:tab w:val="left" w:pos="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Pourcentage du total</w:t>
            </w:r>
          </w:p>
        </w:tc>
      </w:tr>
      <w:tr w:rsidR="002760B2" w:rsidRPr="002B005F" w14:paraId="5723296D" w14:textId="77777777" w:rsidTr="00C92F1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406" w:type="dxa"/>
            <w:shd w:val="clear" w:color="auto" w:fill="auto"/>
            <w:vAlign w:val="center"/>
          </w:tcPr>
          <w:p w14:paraId="6BC0D0A7" w14:textId="77777777" w:rsidR="002760B2" w:rsidRPr="002B005F" w:rsidRDefault="002760B2" w:rsidP="00A917BD">
            <w:pPr>
              <w:tabs>
                <w:tab w:val="left" w:pos="0"/>
                <w:tab w:val="center" w:pos="4536"/>
              </w:tabs>
              <w:rPr>
                <w:rFonts w:ascii="Times New Roman" w:hAnsi="Times New Roman" w:cs="Times New Roman"/>
                <w:b w:val="0"/>
                <w:bCs w:val="0"/>
                <w:sz w:val="24"/>
                <w:szCs w:val="24"/>
              </w:rPr>
            </w:pPr>
            <w:r w:rsidRPr="002B005F">
              <w:rPr>
                <w:rFonts w:ascii="Times New Roman" w:hAnsi="Times New Roman" w:cs="Times New Roman"/>
                <w:b w:val="0"/>
                <w:bCs w:val="0"/>
                <w:sz w:val="24"/>
                <w:szCs w:val="24"/>
              </w:rPr>
              <w:t>L'identification des risques est-elle un processus continu dans votre banque ?</w:t>
            </w:r>
          </w:p>
        </w:tc>
        <w:tc>
          <w:tcPr>
            <w:tcW w:w="1276" w:type="dxa"/>
            <w:shd w:val="clear" w:color="auto" w:fill="auto"/>
            <w:vAlign w:val="center"/>
          </w:tcPr>
          <w:p w14:paraId="5F1181D0" w14:textId="77777777" w:rsidR="002760B2" w:rsidRPr="002B005F" w:rsidRDefault="002760B2" w:rsidP="00A917BD">
            <w:pPr>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76</w:t>
            </w:r>
          </w:p>
        </w:tc>
        <w:tc>
          <w:tcPr>
            <w:tcW w:w="1389" w:type="dxa"/>
            <w:shd w:val="clear" w:color="auto" w:fill="auto"/>
            <w:vAlign w:val="center"/>
          </w:tcPr>
          <w:p w14:paraId="3DADFF2D" w14:textId="77777777" w:rsidR="002760B2" w:rsidRPr="002B005F" w:rsidRDefault="003A70AB" w:rsidP="00A917BD">
            <w:pPr>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96.20</w:t>
            </w:r>
          </w:p>
        </w:tc>
      </w:tr>
      <w:tr w:rsidR="002760B2" w:rsidRPr="002B005F" w14:paraId="4C008E6F" w14:textId="77777777" w:rsidTr="00C92F17">
        <w:trPr>
          <w:trHeight w:val="680"/>
          <w:jc w:val="center"/>
        </w:trPr>
        <w:tc>
          <w:tcPr>
            <w:cnfStyle w:val="001000000000" w:firstRow="0" w:lastRow="0" w:firstColumn="1" w:lastColumn="0" w:oddVBand="0" w:evenVBand="0" w:oddHBand="0" w:evenHBand="0" w:firstRowFirstColumn="0" w:firstRowLastColumn="0" w:lastRowFirstColumn="0" w:lastRowLastColumn="0"/>
            <w:tcW w:w="6406" w:type="dxa"/>
            <w:shd w:val="clear" w:color="auto" w:fill="DEEAF6" w:themeFill="accent1" w:themeFillTint="33"/>
            <w:vAlign w:val="center"/>
          </w:tcPr>
          <w:p w14:paraId="7AF930C2" w14:textId="77777777" w:rsidR="002760B2" w:rsidRPr="002B005F" w:rsidRDefault="002760B2" w:rsidP="00A917BD">
            <w:pPr>
              <w:tabs>
                <w:tab w:val="left" w:pos="0"/>
                <w:tab w:val="center" w:pos="4536"/>
              </w:tabs>
              <w:rPr>
                <w:rFonts w:ascii="Times New Roman" w:hAnsi="Times New Roman" w:cs="Times New Roman"/>
                <w:b w:val="0"/>
                <w:bCs w:val="0"/>
                <w:sz w:val="24"/>
                <w:szCs w:val="24"/>
              </w:rPr>
            </w:pPr>
            <w:r w:rsidRPr="002B005F">
              <w:rPr>
                <w:rFonts w:ascii="Times New Roman" w:hAnsi="Times New Roman" w:cs="Times New Roman"/>
                <w:b w:val="0"/>
                <w:bCs w:val="0"/>
                <w:sz w:val="24"/>
                <w:szCs w:val="24"/>
              </w:rPr>
              <w:t>Est-ce que votre banque trouve des difficultés dans l’identification des risques des produits financiers participatifs ?</w:t>
            </w:r>
          </w:p>
        </w:tc>
        <w:tc>
          <w:tcPr>
            <w:tcW w:w="1276" w:type="dxa"/>
            <w:shd w:val="clear" w:color="auto" w:fill="DEEAF6" w:themeFill="accent1" w:themeFillTint="33"/>
            <w:vAlign w:val="center"/>
          </w:tcPr>
          <w:p w14:paraId="44D06D79" w14:textId="77777777" w:rsidR="002760B2" w:rsidRPr="002B005F" w:rsidRDefault="002760B2" w:rsidP="00A917BD">
            <w:pPr>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27</w:t>
            </w:r>
          </w:p>
        </w:tc>
        <w:tc>
          <w:tcPr>
            <w:tcW w:w="1389" w:type="dxa"/>
            <w:shd w:val="clear" w:color="auto" w:fill="DEEAF6" w:themeFill="accent1" w:themeFillTint="33"/>
            <w:vAlign w:val="center"/>
          </w:tcPr>
          <w:p w14:paraId="0B04A37C" w14:textId="77777777" w:rsidR="002760B2" w:rsidRPr="002B005F" w:rsidRDefault="003A70AB" w:rsidP="00A917BD">
            <w:pPr>
              <w:tabs>
                <w:tab w:val="left" w:pos="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34.17</w:t>
            </w:r>
          </w:p>
        </w:tc>
      </w:tr>
      <w:tr w:rsidR="002760B2" w:rsidRPr="002B005F" w14:paraId="4AD2BF87" w14:textId="77777777" w:rsidTr="00C92F1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406" w:type="dxa"/>
            <w:shd w:val="clear" w:color="auto" w:fill="auto"/>
            <w:vAlign w:val="center"/>
          </w:tcPr>
          <w:p w14:paraId="4C650F9E" w14:textId="77777777" w:rsidR="002760B2" w:rsidRPr="002B005F" w:rsidRDefault="002760B2" w:rsidP="00A917BD">
            <w:pPr>
              <w:tabs>
                <w:tab w:val="left" w:pos="0"/>
                <w:tab w:val="center" w:pos="4536"/>
              </w:tabs>
              <w:rPr>
                <w:rFonts w:ascii="Times New Roman" w:hAnsi="Times New Roman" w:cs="Times New Roman"/>
                <w:b w:val="0"/>
                <w:bCs w:val="0"/>
                <w:sz w:val="24"/>
                <w:szCs w:val="24"/>
              </w:rPr>
            </w:pPr>
            <w:r w:rsidRPr="002B005F">
              <w:rPr>
                <w:rFonts w:ascii="Times New Roman" w:hAnsi="Times New Roman" w:cs="Times New Roman"/>
                <w:b w:val="0"/>
                <w:bCs w:val="0"/>
                <w:sz w:val="24"/>
                <w:szCs w:val="24"/>
              </w:rPr>
              <w:t>Votre banque applique-elle des procédures d'identification systématique des opportunités d'investissement ?</w:t>
            </w:r>
          </w:p>
        </w:tc>
        <w:tc>
          <w:tcPr>
            <w:tcW w:w="1276" w:type="dxa"/>
            <w:shd w:val="clear" w:color="auto" w:fill="auto"/>
            <w:vAlign w:val="center"/>
          </w:tcPr>
          <w:p w14:paraId="5C14EB53" w14:textId="77777777" w:rsidR="002760B2" w:rsidRPr="002B005F" w:rsidRDefault="002760B2" w:rsidP="00A917BD">
            <w:pPr>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57</w:t>
            </w:r>
          </w:p>
        </w:tc>
        <w:tc>
          <w:tcPr>
            <w:tcW w:w="1389" w:type="dxa"/>
            <w:shd w:val="clear" w:color="auto" w:fill="auto"/>
            <w:vAlign w:val="center"/>
          </w:tcPr>
          <w:p w14:paraId="2994C192" w14:textId="77777777" w:rsidR="002760B2" w:rsidRPr="002B005F" w:rsidRDefault="003A70AB" w:rsidP="00A917BD">
            <w:pPr>
              <w:tabs>
                <w:tab w:val="left" w:pos="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72.15</w:t>
            </w:r>
          </w:p>
        </w:tc>
      </w:tr>
    </w:tbl>
    <w:p w14:paraId="120A6E72" w14:textId="77777777" w:rsidR="002760B2" w:rsidRPr="002B005F" w:rsidRDefault="002760B2" w:rsidP="003A70AB">
      <w:pPr>
        <w:tabs>
          <w:tab w:val="left" w:pos="-142"/>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w:t>
      </w:r>
      <w:r w:rsidR="003A70AB" w:rsidRPr="002B005F">
        <w:rPr>
          <w:rFonts w:ascii="Times New Roman" w:hAnsi="Times New Roman" w:cs="Times New Roman"/>
          <w:sz w:val="20"/>
          <w:szCs w:val="20"/>
        </w:rPr>
        <w:t xml:space="preserve"> C</w:t>
      </w:r>
      <w:r w:rsidRPr="002B005F">
        <w:rPr>
          <w:rFonts w:ascii="Times New Roman" w:hAnsi="Times New Roman" w:cs="Times New Roman"/>
          <w:sz w:val="20"/>
          <w:szCs w:val="20"/>
        </w:rPr>
        <w:t>alculs du chercheur.</w:t>
      </w:r>
    </w:p>
    <w:p w14:paraId="353BBB12" w14:textId="77777777" w:rsidR="002760B2" w:rsidRPr="002B005F" w:rsidRDefault="00245F45" w:rsidP="00D66FFE">
      <w:pPr>
        <w:pStyle w:val="Titre4"/>
        <w:keepNext w:val="0"/>
        <w:spacing w:before="120" w:after="120" w:line="300" w:lineRule="auto"/>
        <w:ind w:firstLine="709"/>
      </w:pPr>
      <w:bookmarkStart w:id="1661" w:name="_Toc33263394"/>
      <w:bookmarkStart w:id="1662" w:name="_Toc37664657"/>
      <w:bookmarkStart w:id="1663" w:name="_Toc37666502"/>
      <w:bookmarkStart w:id="1664" w:name="_Toc54363399"/>
      <w:bookmarkStart w:id="1665" w:name="_Toc58606377"/>
      <w:bookmarkStart w:id="1666" w:name="_Toc61263582"/>
      <w:bookmarkStart w:id="1667" w:name="_Toc182298915"/>
      <w:r>
        <w:t>2</w:t>
      </w:r>
      <w:r w:rsidR="00071DF1">
        <w:t xml:space="preserve">.1.9- </w:t>
      </w:r>
      <w:r w:rsidR="00492720" w:rsidRPr="002B005F">
        <w:t>Perception</w:t>
      </w:r>
      <w:r w:rsidR="002760B2" w:rsidRPr="002B005F">
        <w:t xml:space="preserve"> sur la gestion et l'atténuation des risques</w:t>
      </w:r>
      <w:bookmarkEnd w:id="1661"/>
      <w:bookmarkEnd w:id="1662"/>
      <w:bookmarkEnd w:id="1663"/>
      <w:bookmarkEnd w:id="1664"/>
      <w:bookmarkEnd w:id="1665"/>
      <w:bookmarkEnd w:id="1666"/>
      <w:bookmarkEnd w:id="1667"/>
    </w:p>
    <w:p w14:paraId="4F846918" w14:textId="42D33499" w:rsidR="002760B2" w:rsidRPr="004502B0" w:rsidRDefault="002760B2" w:rsidP="00492720">
      <w:pPr>
        <w:tabs>
          <w:tab w:val="left" w:pos="0"/>
        </w:tabs>
        <w:spacing w:before="120" w:after="120" w:line="300" w:lineRule="auto"/>
        <w:ind w:firstLine="709"/>
        <w:rPr>
          <w:rFonts w:ascii="Times New Roman" w:hAnsi="Times New Roman" w:cs="Times New Roman"/>
          <w:spacing w:val="6"/>
          <w:sz w:val="24"/>
          <w:szCs w:val="24"/>
        </w:rPr>
      </w:pPr>
      <w:r w:rsidRPr="004502B0">
        <w:rPr>
          <w:rFonts w:ascii="Times New Roman" w:hAnsi="Times New Roman" w:cs="Times New Roman"/>
          <w:spacing w:val="6"/>
          <w:sz w:val="24"/>
          <w:szCs w:val="24"/>
        </w:rPr>
        <w:t xml:space="preserve">Cette partie du questionnaire vise à examiner la gestion des risques et les techniques de couverture de risques utilisées au sein des banques </w:t>
      </w:r>
      <w:r w:rsidR="0096069F" w:rsidRPr="004502B0">
        <w:rPr>
          <w:rFonts w:ascii="Times New Roman" w:hAnsi="Times New Roman" w:cs="Times New Roman"/>
          <w:spacing w:val="6"/>
          <w:sz w:val="24"/>
          <w:szCs w:val="24"/>
        </w:rPr>
        <w:t>i</w:t>
      </w:r>
      <w:r w:rsidR="003773C6" w:rsidRPr="004502B0">
        <w:rPr>
          <w:rFonts w:ascii="Times New Roman" w:hAnsi="Times New Roman" w:cs="Times New Roman"/>
          <w:spacing w:val="6"/>
          <w:sz w:val="24"/>
          <w:szCs w:val="24"/>
        </w:rPr>
        <w:t>slamique</w:t>
      </w:r>
      <w:r w:rsidRPr="004502B0">
        <w:rPr>
          <w:rFonts w:ascii="Times New Roman" w:hAnsi="Times New Roman" w:cs="Times New Roman"/>
          <w:spacing w:val="6"/>
          <w:sz w:val="24"/>
          <w:szCs w:val="24"/>
        </w:rPr>
        <w:t xml:space="preserve">s. La nature unique des risques auxquels sont confrontés les BI, combinée avec les restrictions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4502B0">
        <w:rPr>
          <w:rFonts w:ascii="Times New Roman" w:hAnsi="Times New Roman" w:cs="Times New Roman"/>
          <w:spacing w:val="6"/>
          <w:sz w:val="24"/>
          <w:szCs w:val="24"/>
        </w:rPr>
        <w:t xml:space="preserve">, rend l'atténuation des risques pour les BI un processus difficile et complexe. Car, ces dernières ne sont pas autorisées à utiliser des techniques conventionnelles basées sur le </w:t>
      </w:r>
      <w:r w:rsidRPr="004502B0">
        <w:rPr>
          <w:rFonts w:ascii="Times New Roman" w:hAnsi="Times New Roman" w:cs="Times New Roman"/>
          <w:i/>
          <w:iCs/>
          <w:spacing w:val="6"/>
          <w:sz w:val="24"/>
          <w:szCs w:val="24"/>
        </w:rPr>
        <w:t>Gharar</w:t>
      </w:r>
      <w:r w:rsidR="00492720" w:rsidRPr="004502B0">
        <w:rPr>
          <w:rFonts w:ascii="Times New Roman" w:hAnsi="Times New Roman" w:cs="Times New Roman"/>
          <w:spacing w:val="6"/>
          <w:sz w:val="24"/>
          <w:szCs w:val="24"/>
        </w:rPr>
        <w:t xml:space="preserve"> et le transfert de risque.</w:t>
      </w:r>
    </w:p>
    <w:p w14:paraId="25C0A978" w14:textId="77777777" w:rsidR="002760B2" w:rsidRPr="004502B0" w:rsidRDefault="002760B2" w:rsidP="00492720">
      <w:pPr>
        <w:tabs>
          <w:tab w:val="left" w:pos="0"/>
        </w:tabs>
        <w:spacing w:before="120" w:after="120" w:line="300" w:lineRule="auto"/>
        <w:ind w:firstLine="709"/>
        <w:rPr>
          <w:rFonts w:ascii="Times New Roman" w:hAnsi="Times New Roman" w:cs="Times New Roman"/>
          <w:spacing w:val="6"/>
          <w:sz w:val="24"/>
          <w:szCs w:val="24"/>
        </w:rPr>
      </w:pPr>
      <w:r w:rsidRPr="004502B0">
        <w:rPr>
          <w:rFonts w:ascii="Times New Roman" w:hAnsi="Times New Roman" w:cs="Times New Roman"/>
          <w:spacing w:val="6"/>
          <w:sz w:val="24"/>
          <w:szCs w:val="24"/>
        </w:rPr>
        <w:t xml:space="preserve">Les banques </w:t>
      </w:r>
      <w:r w:rsidR="0096069F" w:rsidRPr="004502B0">
        <w:rPr>
          <w:rFonts w:ascii="Times New Roman" w:hAnsi="Times New Roman" w:cs="Times New Roman"/>
          <w:spacing w:val="6"/>
          <w:sz w:val="24"/>
          <w:szCs w:val="24"/>
        </w:rPr>
        <w:t>i</w:t>
      </w:r>
      <w:r w:rsidR="003773C6" w:rsidRPr="004502B0">
        <w:rPr>
          <w:rFonts w:ascii="Times New Roman" w:hAnsi="Times New Roman" w:cs="Times New Roman"/>
          <w:spacing w:val="6"/>
          <w:sz w:val="24"/>
          <w:szCs w:val="24"/>
        </w:rPr>
        <w:t>slamique</w:t>
      </w:r>
      <w:r w:rsidRPr="004502B0">
        <w:rPr>
          <w:rFonts w:ascii="Times New Roman" w:hAnsi="Times New Roman" w:cs="Times New Roman"/>
          <w:spacing w:val="6"/>
          <w:sz w:val="24"/>
          <w:szCs w:val="24"/>
        </w:rPr>
        <w:t xml:space="preserve">s sont confrontées à des risques similaires à leurs homologues classiques, donc, elles peuvent les gérer et les contrôler en utilisant les outils d’atténuation traditionnels de gestion des risques. Cependant, il existe d'autres risques spécifiques que les banques </w:t>
      </w:r>
      <w:r w:rsidR="00C05A85" w:rsidRPr="004502B0">
        <w:rPr>
          <w:rFonts w:ascii="Times New Roman" w:hAnsi="Times New Roman" w:cs="Times New Roman"/>
          <w:spacing w:val="6"/>
          <w:sz w:val="24"/>
          <w:szCs w:val="24"/>
        </w:rPr>
        <w:t>i</w:t>
      </w:r>
      <w:r w:rsidR="003773C6" w:rsidRPr="004502B0">
        <w:rPr>
          <w:rFonts w:ascii="Times New Roman" w:hAnsi="Times New Roman" w:cs="Times New Roman"/>
          <w:spacing w:val="6"/>
          <w:sz w:val="24"/>
          <w:szCs w:val="24"/>
        </w:rPr>
        <w:t>slamique</w:t>
      </w:r>
      <w:r w:rsidRPr="004502B0">
        <w:rPr>
          <w:rFonts w:ascii="Times New Roman" w:hAnsi="Times New Roman" w:cs="Times New Roman"/>
          <w:spacing w:val="6"/>
          <w:sz w:val="24"/>
          <w:szCs w:val="24"/>
        </w:rPr>
        <w:t>s ne peuvent ni éliminer ni transférer, ce qui rend leur gestion très difficile. Dans ce qui suit nous allons décrypter les différentes techniques utilisées par les BI pour réduire leurs risques.</w:t>
      </w:r>
    </w:p>
    <w:p w14:paraId="6B321BB6" w14:textId="77777777" w:rsidR="002760B2" w:rsidRPr="006A69AC" w:rsidRDefault="00245F45" w:rsidP="00D66FFE">
      <w:pPr>
        <w:pStyle w:val="Titre5"/>
        <w:keepNext w:val="0"/>
        <w:keepLines w:val="0"/>
        <w:spacing w:before="120" w:after="120" w:line="300" w:lineRule="auto"/>
        <w:ind w:firstLine="709"/>
        <w:rPr>
          <w:rFonts w:asciiTheme="majorBidi" w:hAnsiTheme="majorBidi"/>
          <w:b/>
          <w:bCs/>
          <w:color w:val="auto"/>
          <w:sz w:val="24"/>
          <w:szCs w:val="24"/>
        </w:rPr>
      </w:pPr>
      <w:bookmarkStart w:id="1668" w:name="_Toc182298916"/>
      <w:r w:rsidRPr="006A69AC">
        <w:rPr>
          <w:rFonts w:asciiTheme="majorBidi" w:hAnsiTheme="majorBidi"/>
          <w:b/>
          <w:bCs/>
          <w:color w:val="auto"/>
          <w:sz w:val="24"/>
          <w:szCs w:val="24"/>
        </w:rPr>
        <w:t>2</w:t>
      </w:r>
      <w:r w:rsidR="00071DF1" w:rsidRPr="006A69AC">
        <w:rPr>
          <w:rFonts w:asciiTheme="majorBidi" w:hAnsiTheme="majorBidi"/>
          <w:b/>
          <w:bCs/>
          <w:color w:val="auto"/>
          <w:sz w:val="24"/>
          <w:szCs w:val="24"/>
        </w:rPr>
        <w:t xml:space="preserve">.1.9.1- </w:t>
      </w:r>
      <w:r w:rsidR="002760B2" w:rsidRPr="006A69AC">
        <w:rPr>
          <w:rFonts w:asciiTheme="majorBidi" w:hAnsiTheme="majorBidi"/>
          <w:b/>
          <w:bCs/>
          <w:color w:val="auto"/>
          <w:sz w:val="24"/>
          <w:szCs w:val="24"/>
        </w:rPr>
        <w:t>Reporting de gestion des risques</w:t>
      </w:r>
      <w:bookmarkEnd w:id="1668"/>
    </w:p>
    <w:p w14:paraId="7C5DFB04" w14:textId="77777777" w:rsidR="002760B2" w:rsidRPr="00DE760B" w:rsidRDefault="009543A1" w:rsidP="00D66FFE">
      <w:pPr>
        <w:pStyle w:val="Paragraphedeliste"/>
        <w:tabs>
          <w:tab w:val="left" w:pos="0"/>
        </w:tabs>
        <w:spacing w:before="120" w:after="120" w:line="300" w:lineRule="auto"/>
        <w:ind w:left="0" w:firstLine="709"/>
        <w:contextualSpacing w:val="0"/>
        <w:rPr>
          <w:rFonts w:ascii="Times New Roman" w:hAnsi="Times New Roman" w:cs="Times New Roman"/>
          <w:sz w:val="24"/>
          <w:szCs w:val="24"/>
        </w:rPr>
      </w:pPr>
      <w:r w:rsidRPr="00DE760B">
        <w:rPr>
          <w:rFonts w:ascii="Times New Roman" w:hAnsi="Times New Roman" w:cs="Times New Roman"/>
          <w:sz w:val="24"/>
          <w:szCs w:val="24"/>
        </w:rPr>
        <w:t xml:space="preserve">Cette </w:t>
      </w:r>
      <w:r w:rsidR="002760B2" w:rsidRPr="00DE760B">
        <w:rPr>
          <w:rFonts w:ascii="Times New Roman" w:hAnsi="Times New Roman" w:cs="Times New Roman"/>
          <w:sz w:val="24"/>
          <w:szCs w:val="24"/>
        </w:rPr>
        <w:t xml:space="preserve">première partie vise à connaitre les différents reportings utilisés par les institutions participantes. Le </w:t>
      </w:r>
      <w:r w:rsidR="002760B2" w:rsidRPr="00DE760B">
        <w:rPr>
          <w:rFonts w:ascii="Times New Roman" w:hAnsi="Times New Roman" w:cs="Times New Roman"/>
          <w:b/>
          <w:bCs/>
          <w:sz w:val="24"/>
          <w:szCs w:val="24"/>
        </w:rPr>
        <w:t>tableau 24</w:t>
      </w:r>
      <w:r w:rsidR="002760B2" w:rsidRPr="00DE760B">
        <w:rPr>
          <w:rFonts w:ascii="Times New Roman" w:hAnsi="Times New Roman" w:cs="Times New Roman"/>
          <w:sz w:val="24"/>
          <w:szCs w:val="24"/>
        </w:rPr>
        <w:t xml:space="preserve"> présente les différents rapports de gestion des risques produits par les banques participantes et la fréquence de publication de ces rapports. Comme le montre le </w:t>
      </w:r>
      <w:r w:rsidR="002760B2" w:rsidRPr="00DE760B">
        <w:rPr>
          <w:rFonts w:ascii="Times New Roman" w:hAnsi="Times New Roman" w:cs="Times New Roman"/>
          <w:b/>
          <w:bCs/>
          <w:sz w:val="24"/>
          <w:szCs w:val="24"/>
        </w:rPr>
        <w:t>tableau 24</w:t>
      </w:r>
      <w:r w:rsidR="002760B2" w:rsidRPr="00DE760B">
        <w:rPr>
          <w:rFonts w:ascii="Times New Roman" w:hAnsi="Times New Roman" w:cs="Times New Roman"/>
          <w:sz w:val="24"/>
          <w:szCs w:val="24"/>
        </w:rPr>
        <w:t>, la majorité des rapports sont produits mensuellement. Généralement, les rapports les plus couramment utilisés sont les rapports de risque de contrepartie, exigences de capital et le risque de taux de profits. Le rapport du risque de change est généralement effectué quotidiennement 39.9%. Certaines institutions produisent d'autres rapports spécifiques non énumérés dans le questionnaire, comme le rapport de risque de concentration et le rapport de gestion des garanties.</w:t>
      </w:r>
    </w:p>
    <w:p w14:paraId="3C73C9DB" w14:textId="2B26257B" w:rsidR="00DE471E" w:rsidRPr="002B005F" w:rsidRDefault="00DE471E" w:rsidP="00D66FFE">
      <w:pPr>
        <w:pStyle w:val="Lgende"/>
        <w:tabs>
          <w:tab w:val="left" w:pos="0"/>
        </w:tabs>
        <w:spacing w:before="240" w:after="120" w:line="300" w:lineRule="auto"/>
        <w:jc w:val="center"/>
        <w:rPr>
          <w:rFonts w:ascii="Times New Roman" w:hAnsi="Times New Roman" w:cs="Times New Roman"/>
          <w:color w:val="auto"/>
          <w:sz w:val="24"/>
          <w:szCs w:val="24"/>
        </w:rPr>
      </w:pPr>
      <w:bookmarkStart w:id="1669" w:name="_Toc115556092"/>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24</w:t>
      </w:r>
      <w:r w:rsidR="00B544E5" w:rsidRPr="002B005F">
        <w:rPr>
          <w:rFonts w:ascii="Times New Roman" w:hAnsi="Times New Roman" w:cs="Times New Roman"/>
          <w:color w:val="auto"/>
          <w:sz w:val="24"/>
          <w:szCs w:val="24"/>
        </w:rPr>
        <w:fldChar w:fldCharType="end"/>
      </w:r>
      <w:r w:rsidR="004D548C"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Rapports de gestion des risques</w:t>
      </w:r>
      <w:r w:rsidR="00492720" w:rsidRPr="002B005F">
        <w:rPr>
          <w:rFonts w:ascii="Times New Roman" w:hAnsi="Times New Roman" w:cs="Times New Roman"/>
          <w:color w:val="auto"/>
          <w:sz w:val="24"/>
          <w:szCs w:val="24"/>
        </w:rPr>
        <w:t xml:space="preserve"> en %</w:t>
      </w:r>
      <w:bookmarkEnd w:id="1669"/>
    </w:p>
    <w:tbl>
      <w:tblPr>
        <w:tblW w:w="9033"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CellMar>
          <w:top w:w="28" w:type="dxa"/>
          <w:left w:w="28" w:type="dxa"/>
          <w:bottom w:w="28" w:type="dxa"/>
          <w:right w:w="28" w:type="dxa"/>
        </w:tblCellMar>
        <w:tblLook w:val="0000" w:firstRow="0" w:lastRow="0" w:firstColumn="0" w:lastColumn="0" w:noHBand="0" w:noVBand="0"/>
      </w:tblPr>
      <w:tblGrid>
        <w:gridCol w:w="3572"/>
        <w:gridCol w:w="922"/>
        <w:gridCol w:w="922"/>
        <w:gridCol w:w="921"/>
        <w:gridCol w:w="922"/>
        <w:gridCol w:w="921"/>
        <w:gridCol w:w="853"/>
      </w:tblGrid>
      <w:tr w:rsidR="004D548C" w:rsidRPr="002B005F" w14:paraId="0F757F83" w14:textId="77777777" w:rsidTr="00DE760B">
        <w:trPr>
          <w:trHeight w:val="567"/>
          <w:jc w:val="center"/>
        </w:trPr>
        <w:tc>
          <w:tcPr>
            <w:tcW w:w="3572" w:type="dxa"/>
            <w:shd w:val="clear" w:color="auto" w:fill="DEEAF6" w:themeFill="accent1" w:themeFillTint="33"/>
            <w:vAlign w:val="center"/>
          </w:tcPr>
          <w:p w14:paraId="4113A4B6"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Rapports</w:t>
            </w:r>
          </w:p>
        </w:tc>
        <w:tc>
          <w:tcPr>
            <w:tcW w:w="922" w:type="dxa"/>
            <w:shd w:val="clear" w:color="auto" w:fill="DEEAF6" w:themeFill="accent1" w:themeFillTint="33"/>
            <w:vAlign w:val="center"/>
          </w:tcPr>
          <w:p w14:paraId="29A29EE7"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Chaque jour</w:t>
            </w:r>
          </w:p>
        </w:tc>
        <w:tc>
          <w:tcPr>
            <w:tcW w:w="922" w:type="dxa"/>
            <w:shd w:val="clear" w:color="auto" w:fill="DEEAF6" w:themeFill="accent1" w:themeFillTint="33"/>
            <w:vAlign w:val="center"/>
          </w:tcPr>
          <w:p w14:paraId="5EB6D404"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Chaque semaine</w:t>
            </w:r>
          </w:p>
        </w:tc>
        <w:tc>
          <w:tcPr>
            <w:tcW w:w="921" w:type="dxa"/>
            <w:shd w:val="clear" w:color="auto" w:fill="DEEAF6" w:themeFill="accent1" w:themeFillTint="33"/>
            <w:vAlign w:val="center"/>
          </w:tcPr>
          <w:p w14:paraId="26F07DF6"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Chaque mois</w:t>
            </w:r>
          </w:p>
        </w:tc>
        <w:tc>
          <w:tcPr>
            <w:tcW w:w="922" w:type="dxa"/>
            <w:shd w:val="clear" w:color="auto" w:fill="DEEAF6" w:themeFill="accent1" w:themeFillTint="33"/>
            <w:vAlign w:val="center"/>
          </w:tcPr>
          <w:p w14:paraId="731D1E68"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Chaque année</w:t>
            </w:r>
          </w:p>
        </w:tc>
        <w:tc>
          <w:tcPr>
            <w:tcW w:w="921" w:type="dxa"/>
            <w:shd w:val="clear" w:color="auto" w:fill="DEEAF6" w:themeFill="accent1" w:themeFillTint="33"/>
            <w:vAlign w:val="center"/>
          </w:tcPr>
          <w:p w14:paraId="3F246608"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Jamais</w:t>
            </w:r>
          </w:p>
        </w:tc>
        <w:tc>
          <w:tcPr>
            <w:tcW w:w="853" w:type="dxa"/>
            <w:shd w:val="clear" w:color="auto" w:fill="DEEAF6" w:themeFill="accent1" w:themeFillTint="33"/>
            <w:vAlign w:val="center"/>
          </w:tcPr>
          <w:p w14:paraId="726B0A42"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Total</w:t>
            </w:r>
          </w:p>
        </w:tc>
      </w:tr>
      <w:tr w:rsidR="004D548C" w:rsidRPr="002B005F" w14:paraId="1442D716" w14:textId="77777777" w:rsidTr="00DE760B">
        <w:trPr>
          <w:trHeight w:val="567"/>
          <w:jc w:val="center"/>
        </w:trPr>
        <w:tc>
          <w:tcPr>
            <w:tcW w:w="3572" w:type="dxa"/>
            <w:shd w:val="clear" w:color="auto" w:fill="auto"/>
            <w:vAlign w:val="center"/>
          </w:tcPr>
          <w:p w14:paraId="29A9900B" w14:textId="77777777" w:rsidR="004D548C" w:rsidRPr="002B005F" w:rsidRDefault="004D548C" w:rsidP="00492720">
            <w:pPr>
              <w:tabs>
                <w:tab w:val="left" w:pos="0"/>
              </w:tabs>
              <w:spacing w:line="240" w:lineRule="auto"/>
              <w:ind w:left="113"/>
              <w:jc w:val="left"/>
              <w:rPr>
                <w:rFonts w:ascii="Times New Roman" w:eastAsia="Arial" w:hAnsi="Times New Roman" w:cs="Times New Roman"/>
              </w:rPr>
            </w:pPr>
            <w:r w:rsidRPr="002B005F">
              <w:rPr>
                <w:rFonts w:ascii="Times New Roman" w:hAnsi="Times New Roman" w:cs="Times New Roman"/>
              </w:rPr>
              <w:t>Exigences de capital</w:t>
            </w:r>
          </w:p>
        </w:tc>
        <w:tc>
          <w:tcPr>
            <w:tcW w:w="922" w:type="dxa"/>
            <w:shd w:val="clear" w:color="auto" w:fill="auto"/>
            <w:vAlign w:val="center"/>
          </w:tcPr>
          <w:p w14:paraId="6907CC76"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12.0</w:t>
            </w:r>
          </w:p>
        </w:tc>
        <w:tc>
          <w:tcPr>
            <w:tcW w:w="922" w:type="dxa"/>
            <w:shd w:val="clear" w:color="auto" w:fill="auto"/>
            <w:vAlign w:val="center"/>
          </w:tcPr>
          <w:p w14:paraId="6B3BBC3B"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14.4</w:t>
            </w:r>
          </w:p>
        </w:tc>
        <w:tc>
          <w:tcPr>
            <w:tcW w:w="921" w:type="dxa"/>
            <w:shd w:val="clear" w:color="auto" w:fill="auto"/>
            <w:vAlign w:val="center"/>
          </w:tcPr>
          <w:p w14:paraId="6DB11CD1"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59.3</w:t>
            </w:r>
          </w:p>
        </w:tc>
        <w:tc>
          <w:tcPr>
            <w:tcW w:w="922" w:type="dxa"/>
            <w:shd w:val="clear" w:color="auto" w:fill="auto"/>
            <w:vAlign w:val="center"/>
          </w:tcPr>
          <w:p w14:paraId="3EAB61A8" w14:textId="77777777" w:rsidR="004D548C" w:rsidRPr="002B005F" w:rsidRDefault="004D548C" w:rsidP="004D548C">
            <w:pPr>
              <w:tabs>
                <w:tab w:val="left" w:pos="0"/>
              </w:tabs>
              <w:spacing w:line="240" w:lineRule="auto"/>
              <w:ind w:right="284"/>
              <w:jc w:val="right"/>
              <w:rPr>
                <w:rFonts w:ascii="Times New Roman" w:eastAsia="Arial" w:hAnsi="Times New Roman" w:cs="Times New Roman"/>
              </w:rPr>
            </w:pPr>
            <w:r w:rsidRPr="002B005F">
              <w:rPr>
                <w:rFonts w:ascii="Times New Roman" w:eastAsia="Arial" w:hAnsi="Times New Roman" w:cs="Times New Roman"/>
              </w:rPr>
              <w:t>14.3</w:t>
            </w:r>
          </w:p>
        </w:tc>
        <w:tc>
          <w:tcPr>
            <w:tcW w:w="921" w:type="dxa"/>
            <w:shd w:val="clear" w:color="auto" w:fill="auto"/>
            <w:vAlign w:val="center"/>
          </w:tcPr>
          <w:p w14:paraId="4FCE3AE1"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w:t>
            </w:r>
          </w:p>
        </w:tc>
        <w:tc>
          <w:tcPr>
            <w:tcW w:w="853" w:type="dxa"/>
            <w:shd w:val="clear" w:color="auto" w:fill="auto"/>
            <w:vAlign w:val="center"/>
          </w:tcPr>
          <w:p w14:paraId="35B5A334"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100</w:t>
            </w:r>
          </w:p>
        </w:tc>
      </w:tr>
      <w:tr w:rsidR="004D548C" w:rsidRPr="002B005F" w14:paraId="4541C44D" w14:textId="77777777" w:rsidTr="00DE760B">
        <w:trPr>
          <w:trHeight w:val="567"/>
          <w:jc w:val="center"/>
        </w:trPr>
        <w:tc>
          <w:tcPr>
            <w:tcW w:w="3572" w:type="dxa"/>
            <w:shd w:val="clear" w:color="auto" w:fill="DBE5F1"/>
            <w:vAlign w:val="center"/>
          </w:tcPr>
          <w:p w14:paraId="63422E9F" w14:textId="77777777" w:rsidR="004D548C" w:rsidRPr="002B005F" w:rsidRDefault="004D548C" w:rsidP="00492720">
            <w:pPr>
              <w:tabs>
                <w:tab w:val="left" w:pos="0"/>
              </w:tabs>
              <w:spacing w:line="240" w:lineRule="auto"/>
              <w:ind w:left="113"/>
              <w:jc w:val="left"/>
              <w:rPr>
                <w:rFonts w:ascii="Times New Roman" w:eastAsia="Arial" w:hAnsi="Times New Roman" w:cs="Times New Roman"/>
              </w:rPr>
            </w:pPr>
            <w:r w:rsidRPr="002B005F">
              <w:rPr>
                <w:rFonts w:ascii="Times New Roman" w:hAnsi="Times New Roman" w:cs="Times New Roman"/>
              </w:rPr>
              <w:t>Risque de crédit</w:t>
            </w:r>
          </w:p>
        </w:tc>
        <w:tc>
          <w:tcPr>
            <w:tcW w:w="922" w:type="dxa"/>
            <w:shd w:val="clear" w:color="auto" w:fill="DBE5F1"/>
            <w:vAlign w:val="center"/>
          </w:tcPr>
          <w:p w14:paraId="7D037C79"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16.3</w:t>
            </w:r>
          </w:p>
        </w:tc>
        <w:tc>
          <w:tcPr>
            <w:tcW w:w="922" w:type="dxa"/>
            <w:shd w:val="clear" w:color="auto" w:fill="DBE5F1"/>
            <w:vAlign w:val="center"/>
          </w:tcPr>
          <w:p w14:paraId="09CB31AF"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20.4</w:t>
            </w:r>
          </w:p>
        </w:tc>
        <w:tc>
          <w:tcPr>
            <w:tcW w:w="921" w:type="dxa"/>
            <w:shd w:val="clear" w:color="auto" w:fill="DBE5F1"/>
            <w:vAlign w:val="center"/>
          </w:tcPr>
          <w:p w14:paraId="533DC6A3"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60.0</w:t>
            </w:r>
          </w:p>
        </w:tc>
        <w:tc>
          <w:tcPr>
            <w:tcW w:w="922" w:type="dxa"/>
            <w:shd w:val="clear" w:color="auto" w:fill="DBE5F1"/>
            <w:vAlign w:val="center"/>
          </w:tcPr>
          <w:p w14:paraId="03FA40AC" w14:textId="77777777" w:rsidR="004D548C" w:rsidRPr="002B005F" w:rsidRDefault="004D548C" w:rsidP="004D548C">
            <w:pPr>
              <w:tabs>
                <w:tab w:val="left" w:pos="0"/>
              </w:tabs>
              <w:spacing w:line="240" w:lineRule="auto"/>
              <w:ind w:right="284"/>
              <w:jc w:val="right"/>
              <w:rPr>
                <w:rFonts w:ascii="Times New Roman" w:eastAsia="Arial" w:hAnsi="Times New Roman" w:cs="Times New Roman"/>
              </w:rPr>
            </w:pPr>
            <w:r w:rsidRPr="002B005F">
              <w:rPr>
                <w:rFonts w:ascii="Times New Roman" w:eastAsia="Arial" w:hAnsi="Times New Roman" w:cs="Times New Roman"/>
              </w:rPr>
              <w:t>3.3</w:t>
            </w:r>
          </w:p>
        </w:tc>
        <w:tc>
          <w:tcPr>
            <w:tcW w:w="921" w:type="dxa"/>
            <w:shd w:val="clear" w:color="auto" w:fill="DBE5F1"/>
            <w:vAlign w:val="center"/>
          </w:tcPr>
          <w:p w14:paraId="328FB7B7"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w:t>
            </w:r>
          </w:p>
        </w:tc>
        <w:tc>
          <w:tcPr>
            <w:tcW w:w="853" w:type="dxa"/>
            <w:shd w:val="clear" w:color="auto" w:fill="DBE5F1"/>
            <w:vAlign w:val="center"/>
          </w:tcPr>
          <w:p w14:paraId="4E87A7EB"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100</w:t>
            </w:r>
            <w:r w:rsidRPr="002B005F">
              <w:rPr>
                <w:rFonts w:ascii="Times New Roman" w:eastAsia="Arial" w:hAnsi="Times New Roman" w:cs="Times New Roman"/>
                <w:b/>
                <w:highlight w:val="yellow"/>
              </w:rPr>
              <w:t>²</w:t>
            </w:r>
          </w:p>
        </w:tc>
      </w:tr>
      <w:tr w:rsidR="004D548C" w:rsidRPr="002B005F" w14:paraId="3329846C" w14:textId="77777777" w:rsidTr="00DE760B">
        <w:trPr>
          <w:trHeight w:val="567"/>
          <w:jc w:val="center"/>
        </w:trPr>
        <w:tc>
          <w:tcPr>
            <w:tcW w:w="3572" w:type="dxa"/>
            <w:shd w:val="clear" w:color="auto" w:fill="auto"/>
            <w:vAlign w:val="center"/>
          </w:tcPr>
          <w:p w14:paraId="0714A753" w14:textId="77777777" w:rsidR="004D548C" w:rsidRPr="002B005F" w:rsidRDefault="004D548C" w:rsidP="00492720">
            <w:pPr>
              <w:tabs>
                <w:tab w:val="left" w:pos="0"/>
              </w:tabs>
              <w:spacing w:line="240" w:lineRule="auto"/>
              <w:ind w:left="113"/>
              <w:jc w:val="left"/>
              <w:rPr>
                <w:rFonts w:ascii="Times New Roman" w:eastAsia="Arial" w:hAnsi="Times New Roman" w:cs="Times New Roman"/>
              </w:rPr>
            </w:pPr>
            <w:r w:rsidRPr="002B005F">
              <w:rPr>
                <w:rFonts w:ascii="Times New Roman" w:hAnsi="Times New Roman" w:cs="Times New Roman"/>
              </w:rPr>
              <w:t>Risque de liquidité</w:t>
            </w:r>
          </w:p>
        </w:tc>
        <w:tc>
          <w:tcPr>
            <w:tcW w:w="922" w:type="dxa"/>
            <w:shd w:val="clear" w:color="auto" w:fill="auto"/>
            <w:vAlign w:val="center"/>
          </w:tcPr>
          <w:p w14:paraId="3E63DD77"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31.5</w:t>
            </w:r>
          </w:p>
        </w:tc>
        <w:tc>
          <w:tcPr>
            <w:tcW w:w="922" w:type="dxa"/>
            <w:shd w:val="clear" w:color="auto" w:fill="auto"/>
            <w:vAlign w:val="center"/>
          </w:tcPr>
          <w:p w14:paraId="1833EE8E"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18.2</w:t>
            </w:r>
          </w:p>
        </w:tc>
        <w:tc>
          <w:tcPr>
            <w:tcW w:w="921" w:type="dxa"/>
            <w:shd w:val="clear" w:color="auto" w:fill="auto"/>
            <w:vAlign w:val="center"/>
          </w:tcPr>
          <w:p w14:paraId="1B538CA3"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44.8</w:t>
            </w:r>
          </w:p>
        </w:tc>
        <w:tc>
          <w:tcPr>
            <w:tcW w:w="922" w:type="dxa"/>
            <w:shd w:val="clear" w:color="auto" w:fill="auto"/>
            <w:vAlign w:val="center"/>
          </w:tcPr>
          <w:p w14:paraId="6F4714E4" w14:textId="77777777" w:rsidR="004D548C" w:rsidRPr="002B005F" w:rsidRDefault="004D548C" w:rsidP="004D548C">
            <w:pPr>
              <w:tabs>
                <w:tab w:val="left" w:pos="0"/>
              </w:tabs>
              <w:spacing w:line="240" w:lineRule="auto"/>
              <w:ind w:right="284"/>
              <w:jc w:val="right"/>
              <w:rPr>
                <w:rFonts w:ascii="Times New Roman" w:eastAsia="Arial" w:hAnsi="Times New Roman" w:cs="Times New Roman"/>
              </w:rPr>
            </w:pPr>
            <w:r w:rsidRPr="002B005F">
              <w:rPr>
                <w:rFonts w:ascii="Times New Roman" w:eastAsia="Arial" w:hAnsi="Times New Roman" w:cs="Times New Roman"/>
              </w:rPr>
              <w:t>5.5</w:t>
            </w:r>
          </w:p>
        </w:tc>
        <w:tc>
          <w:tcPr>
            <w:tcW w:w="921" w:type="dxa"/>
            <w:shd w:val="clear" w:color="auto" w:fill="auto"/>
            <w:vAlign w:val="center"/>
          </w:tcPr>
          <w:p w14:paraId="14F95A34"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w:t>
            </w:r>
          </w:p>
        </w:tc>
        <w:tc>
          <w:tcPr>
            <w:tcW w:w="853" w:type="dxa"/>
            <w:shd w:val="clear" w:color="auto" w:fill="auto"/>
            <w:vAlign w:val="center"/>
          </w:tcPr>
          <w:p w14:paraId="3D063B9B"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100</w:t>
            </w:r>
          </w:p>
        </w:tc>
      </w:tr>
      <w:tr w:rsidR="004D548C" w:rsidRPr="002B005F" w14:paraId="722F91F5" w14:textId="77777777" w:rsidTr="00DE760B">
        <w:trPr>
          <w:trHeight w:val="567"/>
          <w:jc w:val="center"/>
        </w:trPr>
        <w:tc>
          <w:tcPr>
            <w:tcW w:w="3572" w:type="dxa"/>
            <w:shd w:val="clear" w:color="auto" w:fill="DBE5F1"/>
            <w:vAlign w:val="center"/>
          </w:tcPr>
          <w:p w14:paraId="5AC9F847" w14:textId="77777777" w:rsidR="004D548C" w:rsidRPr="002B005F" w:rsidRDefault="004D548C" w:rsidP="00492720">
            <w:pPr>
              <w:tabs>
                <w:tab w:val="left" w:pos="0"/>
                <w:tab w:val="center" w:pos="4536"/>
              </w:tabs>
              <w:spacing w:line="240" w:lineRule="auto"/>
              <w:ind w:left="113"/>
              <w:jc w:val="left"/>
              <w:rPr>
                <w:rFonts w:ascii="Times New Roman" w:hAnsi="Times New Roman" w:cs="Times New Roman"/>
              </w:rPr>
            </w:pPr>
            <w:r w:rsidRPr="002B005F">
              <w:rPr>
                <w:rFonts w:ascii="Times New Roman" w:hAnsi="Times New Roman" w:cs="Times New Roman"/>
              </w:rPr>
              <w:t>Risque du taux de profit</w:t>
            </w:r>
          </w:p>
        </w:tc>
        <w:tc>
          <w:tcPr>
            <w:tcW w:w="922" w:type="dxa"/>
            <w:shd w:val="clear" w:color="auto" w:fill="DBE5F1"/>
            <w:vAlign w:val="center"/>
          </w:tcPr>
          <w:p w14:paraId="11469BDB"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17.4</w:t>
            </w:r>
          </w:p>
        </w:tc>
        <w:tc>
          <w:tcPr>
            <w:tcW w:w="922" w:type="dxa"/>
            <w:shd w:val="clear" w:color="auto" w:fill="DBE5F1"/>
            <w:vAlign w:val="center"/>
          </w:tcPr>
          <w:p w14:paraId="5CD5CECA"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15.0</w:t>
            </w:r>
          </w:p>
        </w:tc>
        <w:tc>
          <w:tcPr>
            <w:tcW w:w="921" w:type="dxa"/>
            <w:shd w:val="clear" w:color="auto" w:fill="DBE5F1"/>
            <w:vAlign w:val="center"/>
          </w:tcPr>
          <w:p w14:paraId="116AF7FF"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56.7</w:t>
            </w:r>
          </w:p>
        </w:tc>
        <w:tc>
          <w:tcPr>
            <w:tcW w:w="922" w:type="dxa"/>
            <w:shd w:val="clear" w:color="auto" w:fill="DBE5F1"/>
            <w:vAlign w:val="center"/>
          </w:tcPr>
          <w:p w14:paraId="4FB8B898" w14:textId="77777777" w:rsidR="004D548C" w:rsidRPr="002B005F" w:rsidRDefault="004D548C" w:rsidP="004D548C">
            <w:pPr>
              <w:tabs>
                <w:tab w:val="left" w:pos="0"/>
              </w:tabs>
              <w:spacing w:line="240" w:lineRule="auto"/>
              <w:ind w:right="284"/>
              <w:jc w:val="right"/>
              <w:rPr>
                <w:rFonts w:ascii="Times New Roman" w:eastAsia="Arial" w:hAnsi="Times New Roman" w:cs="Times New Roman"/>
              </w:rPr>
            </w:pPr>
            <w:r w:rsidRPr="002B005F">
              <w:rPr>
                <w:rFonts w:ascii="Times New Roman" w:eastAsia="Arial" w:hAnsi="Times New Roman" w:cs="Times New Roman"/>
              </w:rPr>
              <w:t>7.6</w:t>
            </w:r>
          </w:p>
        </w:tc>
        <w:tc>
          <w:tcPr>
            <w:tcW w:w="921" w:type="dxa"/>
            <w:shd w:val="clear" w:color="auto" w:fill="DBE5F1"/>
            <w:vAlign w:val="center"/>
          </w:tcPr>
          <w:p w14:paraId="7C8E7994"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3.3</w:t>
            </w:r>
          </w:p>
        </w:tc>
        <w:tc>
          <w:tcPr>
            <w:tcW w:w="853" w:type="dxa"/>
            <w:shd w:val="clear" w:color="auto" w:fill="DBE5F1"/>
            <w:vAlign w:val="center"/>
          </w:tcPr>
          <w:p w14:paraId="00DB2538"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100</w:t>
            </w:r>
          </w:p>
        </w:tc>
      </w:tr>
      <w:tr w:rsidR="004D548C" w:rsidRPr="002B005F" w14:paraId="7F241B9D" w14:textId="77777777" w:rsidTr="00DE760B">
        <w:trPr>
          <w:trHeight w:val="567"/>
          <w:jc w:val="center"/>
        </w:trPr>
        <w:tc>
          <w:tcPr>
            <w:tcW w:w="3572" w:type="dxa"/>
            <w:shd w:val="clear" w:color="auto" w:fill="auto"/>
            <w:vAlign w:val="center"/>
          </w:tcPr>
          <w:p w14:paraId="25FF6230" w14:textId="77777777" w:rsidR="004D548C" w:rsidRPr="002B005F" w:rsidRDefault="004D548C" w:rsidP="00492720">
            <w:pPr>
              <w:tabs>
                <w:tab w:val="left" w:pos="0"/>
                <w:tab w:val="center" w:pos="4536"/>
              </w:tabs>
              <w:spacing w:line="240" w:lineRule="auto"/>
              <w:ind w:left="113"/>
              <w:jc w:val="left"/>
              <w:rPr>
                <w:rFonts w:ascii="Times New Roman" w:hAnsi="Times New Roman" w:cs="Times New Roman"/>
              </w:rPr>
            </w:pPr>
            <w:r w:rsidRPr="002B005F">
              <w:rPr>
                <w:rFonts w:ascii="Times New Roman" w:hAnsi="Times New Roman" w:cs="Times New Roman"/>
              </w:rPr>
              <w:t>Risque de change</w:t>
            </w:r>
          </w:p>
        </w:tc>
        <w:tc>
          <w:tcPr>
            <w:tcW w:w="922" w:type="dxa"/>
            <w:shd w:val="clear" w:color="auto" w:fill="auto"/>
            <w:vAlign w:val="center"/>
          </w:tcPr>
          <w:p w14:paraId="516685F5"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39.9</w:t>
            </w:r>
          </w:p>
        </w:tc>
        <w:tc>
          <w:tcPr>
            <w:tcW w:w="922" w:type="dxa"/>
            <w:shd w:val="clear" w:color="auto" w:fill="auto"/>
            <w:vAlign w:val="center"/>
          </w:tcPr>
          <w:p w14:paraId="652DDC85"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14.9</w:t>
            </w:r>
          </w:p>
        </w:tc>
        <w:tc>
          <w:tcPr>
            <w:tcW w:w="921" w:type="dxa"/>
            <w:shd w:val="clear" w:color="auto" w:fill="auto"/>
            <w:vAlign w:val="center"/>
          </w:tcPr>
          <w:p w14:paraId="2B71D653"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34.2</w:t>
            </w:r>
          </w:p>
        </w:tc>
        <w:tc>
          <w:tcPr>
            <w:tcW w:w="922" w:type="dxa"/>
            <w:shd w:val="clear" w:color="auto" w:fill="auto"/>
            <w:vAlign w:val="center"/>
          </w:tcPr>
          <w:p w14:paraId="4937F93B" w14:textId="77777777" w:rsidR="004D548C" w:rsidRPr="002B005F" w:rsidRDefault="004D548C" w:rsidP="004D548C">
            <w:pPr>
              <w:tabs>
                <w:tab w:val="left" w:pos="0"/>
              </w:tabs>
              <w:spacing w:line="240" w:lineRule="auto"/>
              <w:ind w:right="284"/>
              <w:jc w:val="right"/>
              <w:rPr>
                <w:rFonts w:ascii="Times New Roman" w:eastAsia="Arial" w:hAnsi="Times New Roman" w:cs="Times New Roman"/>
              </w:rPr>
            </w:pPr>
            <w:r w:rsidRPr="002B005F">
              <w:rPr>
                <w:rFonts w:ascii="Times New Roman" w:eastAsia="Arial" w:hAnsi="Times New Roman" w:cs="Times New Roman"/>
              </w:rPr>
              <w:t>8.7</w:t>
            </w:r>
          </w:p>
        </w:tc>
        <w:tc>
          <w:tcPr>
            <w:tcW w:w="921" w:type="dxa"/>
            <w:shd w:val="clear" w:color="auto" w:fill="auto"/>
            <w:vAlign w:val="center"/>
          </w:tcPr>
          <w:p w14:paraId="0361266D"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2.3</w:t>
            </w:r>
          </w:p>
        </w:tc>
        <w:tc>
          <w:tcPr>
            <w:tcW w:w="853" w:type="dxa"/>
            <w:shd w:val="clear" w:color="auto" w:fill="auto"/>
            <w:vAlign w:val="center"/>
          </w:tcPr>
          <w:p w14:paraId="410BDCD8"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100</w:t>
            </w:r>
          </w:p>
        </w:tc>
      </w:tr>
      <w:tr w:rsidR="004D548C" w:rsidRPr="002B005F" w14:paraId="61BB3A02" w14:textId="77777777" w:rsidTr="00DE760B">
        <w:trPr>
          <w:trHeight w:val="567"/>
          <w:jc w:val="center"/>
        </w:trPr>
        <w:tc>
          <w:tcPr>
            <w:tcW w:w="3572" w:type="dxa"/>
            <w:shd w:val="clear" w:color="auto" w:fill="DBE5F1"/>
            <w:vAlign w:val="center"/>
          </w:tcPr>
          <w:p w14:paraId="27444B60" w14:textId="77777777" w:rsidR="004D548C" w:rsidRPr="002B005F" w:rsidRDefault="004D548C" w:rsidP="00492720">
            <w:pPr>
              <w:tabs>
                <w:tab w:val="left" w:pos="0"/>
                <w:tab w:val="center" w:pos="4536"/>
              </w:tabs>
              <w:spacing w:line="240" w:lineRule="auto"/>
              <w:ind w:left="113"/>
              <w:jc w:val="left"/>
              <w:rPr>
                <w:rFonts w:ascii="Times New Roman" w:hAnsi="Times New Roman" w:cs="Times New Roman"/>
              </w:rPr>
            </w:pPr>
            <w:r w:rsidRPr="002B005F">
              <w:rPr>
                <w:rFonts w:ascii="Times New Roman" w:hAnsi="Times New Roman" w:cs="Times New Roman"/>
              </w:rPr>
              <w:t>Risque relatif aux prix de matières premières et des actions</w:t>
            </w:r>
          </w:p>
        </w:tc>
        <w:tc>
          <w:tcPr>
            <w:tcW w:w="922" w:type="dxa"/>
            <w:shd w:val="clear" w:color="auto" w:fill="DBE5F1"/>
            <w:vAlign w:val="center"/>
          </w:tcPr>
          <w:p w14:paraId="020C66BD"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21.8</w:t>
            </w:r>
          </w:p>
        </w:tc>
        <w:tc>
          <w:tcPr>
            <w:tcW w:w="922" w:type="dxa"/>
            <w:shd w:val="clear" w:color="auto" w:fill="DBE5F1"/>
            <w:vAlign w:val="center"/>
          </w:tcPr>
          <w:p w14:paraId="30CE115D"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21.6</w:t>
            </w:r>
          </w:p>
        </w:tc>
        <w:tc>
          <w:tcPr>
            <w:tcW w:w="921" w:type="dxa"/>
            <w:shd w:val="clear" w:color="auto" w:fill="DBE5F1"/>
            <w:vAlign w:val="center"/>
          </w:tcPr>
          <w:p w14:paraId="6C7CF92C"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40.3</w:t>
            </w:r>
          </w:p>
        </w:tc>
        <w:tc>
          <w:tcPr>
            <w:tcW w:w="922" w:type="dxa"/>
            <w:shd w:val="clear" w:color="auto" w:fill="DBE5F1"/>
            <w:vAlign w:val="center"/>
          </w:tcPr>
          <w:p w14:paraId="116FFC68" w14:textId="77777777" w:rsidR="004D548C" w:rsidRPr="002B005F" w:rsidRDefault="004D548C" w:rsidP="004D548C">
            <w:pPr>
              <w:tabs>
                <w:tab w:val="left" w:pos="0"/>
              </w:tabs>
              <w:spacing w:line="240" w:lineRule="auto"/>
              <w:ind w:right="284"/>
              <w:jc w:val="right"/>
              <w:rPr>
                <w:rFonts w:ascii="Times New Roman" w:eastAsia="Arial" w:hAnsi="Times New Roman" w:cs="Times New Roman"/>
              </w:rPr>
            </w:pPr>
            <w:r w:rsidRPr="002B005F">
              <w:rPr>
                <w:rFonts w:ascii="Times New Roman" w:eastAsia="Arial" w:hAnsi="Times New Roman" w:cs="Times New Roman"/>
              </w:rPr>
              <w:t>7.6</w:t>
            </w:r>
          </w:p>
        </w:tc>
        <w:tc>
          <w:tcPr>
            <w:tcW w:w="921" w:type="dxa"/>
            <w:shd w:val="clear" w:color="auto" w:fill="DBE5F1"/>
            <w:vAlign w:val="center"/>
          </w:tcPr>
          <w:p w14:paraId="1032D928"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8.7</w:t>
            </w:r>
          </w:p>
        </w:tc>
        <w:tc>
          <w:tcPr>
            <w:tcW w:w="853" w:type="dxa"/>
            <w:shd w:val="clear" w:color="auto" w:fill="DBE5F1"/>
            <w:vAlign w:val="center"/>
          </w:tcPr>
          <w:p w14:paraId="09C18FED"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100</w:t>
            </w:r>
          </w:p>
        </w:tc>
      </w:tr>
      <w:tr w:rsidR="004D548C" w:rsidRPr="002B005F" w14:paraId="05887D3B" w14:textId="77777777" w:rsidTr="00DE760B">
        <w:trPr>
          <w:trHeight w:val="567"/>
          <w:jc w:val="center"/>
        </w:trPr>
        <w:tc>
          <w:tcPr>
            <w:tcW w:w="3572" w:type="dxa"/>
            <w:shd w:val="clear" w:color="auto" w:fill="auto"/>
            <w:vAlign w:val="center"/>
          </w:tcPr>
          <w:p w14:paraId="66AD406E" w14:textId="77777777" w:rsidR="004D548C" w:rsidRPr="002B005F" w:rsidRDefault="004D548C" w:rsidP="00492720">
            <w:pPr>
              <w:tabs>
                <w:tab w:val="left" w:pos="0"/>
                <w:tab w:val="center" w:pos="4536"/>
              </w:tabs>
              <w:spacing w:line="240" w:lineRule="auto"/>
              <w:ind w:left="113"/>
              <w:jc w:val="left"/>
              <w:rPr>
                <w:rFonts w:ascii="Times New Roman" w:hAnsi="Times New Roman" w:cs="Times New Roman"/>
              </w:rPr>
            </w:pPr>
            <w:r w:rsidRPr="002B005F">
              <w:rPr>
                <w:rFonts w:ascii="Times New Roman" w:hAnsi="Times New Roman" w:cs="Times New Roman"/>
              </w:rPr>
              <w:t>Risque opérationnel</w:t>
            </w:r>
          </w:p>
        </w:tc>
        <w:tc>
          <w:tcPr>
            <w:tcW w:w="922" w:type="dxa"/>
            <w:shd w:val="clear" w:color="auto" w:fill="auto"/>
            <w:vAlign w:val="center"/>
          </w:tcPr>
          <w:p w14:paraId="1F8DB6C5"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12.7</w:t>
            </w:r>
          </w:p>
        </w:tc>
        <w:tc>
          <w:tcPr>
            <w:tcW w:w="922" w:type="dxa"/>
            <w:shd w:val="clear" w:color="auto" w:fill="auto"/>
            <w:vAlign w:val="center"/>
          </w:tcPr>
          <w:p w14:paraId="1AA9723E"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16.5</w:t>
            </w:r>
          </w:p>
        </w:tc>
        <w:tc>
          <w:tcPr>
            <w:tcW w:w="921" w:type="dxa"/>
            <w:shd w:val="clear" w:color="auto" w:fill="auto"/>
            <w:vAlign w:val="center"/>
          </w:tcPr>
          <w:p w14:paraId="719083B8"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59.9</w:t>
            </w:r>
          </w:p>
        </w:tc>
        <w:tc>
          <w:tcPr>
            <w:tcW w:w="922" w:type="dxa"/>
            <w:shd w:val="clear" w:color="auto" w:fill="auto"/>
            <w:vAlign w:val="center"/>
          </w:tcPr>
          <w:p w14:paraId="501A29D2" w14:textId="77777777" w:rsidR="004D548C" w:rsidRPr="002B005F" w:rsidRDefault="004D548C" w:rsidP="004D548C">
            <w:pPr>
              <w:tabs>
                <w:tab w:val="left" w:pos="0"/>
              </w:tabs>
              <w:spacing w:line="240" w:lineRule="auto"/>
              <w:ind w:right="284"/>
              <w:jc w:val="right"/>
              <w:rPr>
                <w:rFonts w:ascii="Times New Roman" w:eastAsia="Arial" w:hAnsi="Times New Roman" w:cs="Times New Roman"/>
              </w:rPr>
            </w:pPr>
            <w:r w:rsidRPr="002B005F">
              <w:rPr>
                <w:rFonts w:ascii="Times New Roman" w:eastAsia="Arial" w:hAnsi="Times New Roman" w:cs="Times New Roman"/>
              </w:rPr>
              <w:t>7.6</w:t>
            </w:r>
          </w:p>
        </w:tc>
        <w:tc>
          <w:tcPr>
            <w:tcW w:w="921" w:type="dxa"/>
            <w:shd w:val="clear" w:color="auto" w:fill="auto"/>
            <w:vAlign w:val="center"/>
          </w:tcPr>
          <w:p w14:paraId="16C3406C" w14:textId="77777777" w:rsidR="004D548C" w:rsidRPr="002B005F" w:rsidRDefault="004D548C" w:rsidP="00AF4CD4">
            <w:pPr>
              <w:tabs>
                <w:tab w:val="left" w:pos="0"/>
              </w:tabs>
              <w:spacing w:line="240" w:lineRule="auto"/>
              <w:ind w:right="205"/>
              <w:jc w:val="center"/>
              <w:rPr>
                <w:rFonts w:ascii="Times New Roman" w:eastAsia="Arial" w:hAnsi="Times New Roman" w:cs="Times New Roman"/>
              </w:rPr>
            </w:pPr>
            <w:r w:rsidRPr="002B005F">
              <w:rPr>
                <w:rFonts w:ascii="Times New Roman" w:eastAsia="Arial" w:hAnsi="Times New Roman" w:cs="Times New Roman"/>
              </w:rPr>
              <w:t>3.3</w:t>
            </w:r>
          </w:p>
        </w:tc>
        <w:tc>
          <w:tcPr>
            <w:tcW w:w="853" w:type="dxa"/>
            <w:shd w:val="clear" w:color="auto" w:fill="auto"/>
            <w:vAlign w:val="center"/>
          </w:tcPr>
          <w:p w14:paraId="5B8B2E9F"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100</w:t>
            </w:r>
          </w:p>
        </w:tc>
      </w:tr>
      <w:tr w:rsidR="004D548C" w:rsidRPr="002B005F" w14:paraId="4F805748" w14:textId="77777777" w:rsidTr="00DE760B">
        <w:trPr>
          <w:trHeight w:val="567"/>
          <w:jc w:val="center"/>
        </w:trPr>
        <w:tc>
          <w:tcPr>
            <w:tcW w:w="3572" w:type="dxa"/>
            <w:shd w:val="clear" w:color="auto" w:fill="DBE5F1"/>
            <w:vAlign w:val="center"/>
          </w:tcPr>
          <w:p w14:paraId="6038F063" w14:textId="77777777" w:rsidR="004D548C" w:rsidRPr="002B005F" w:rsidRDefault="004D548C" w:rsidP="00492720">
            <w:pPr>
              <w:tabs>
                <w:tab w:val="left" w:pos="0"/>
              </w:tabs>
              <w:spacing w:line="240" w:lineRule="auto"/>
              <w:ind w:left="113"/>
              <w:jc w:val="left"/>
              <w:rPr>
                <w:rFonts w:ascii="Times New Roman" w:eastAsia="Arial" w:hAnsi="Times New Roman" w:cs="Times New Roman"/>
                <w:lang w:val="en-GB"/>
              </w:rPr>
            </w:pPr>
            <w:r w:rsidRPr="002B005F">
              <w:rPr>
                <w:rFonts w:ascii="Times New Roman" w:hAnsi="Times New Roman" w:cs="Times New Roman"/>
              </w:rPr>
              <w:t>Risque commercial déplacé</w:t>
            </w:r>
          </w:p>
        </w:tc>
        <w:tc>
          <w:tcPr>
            <w:tcW w:w="922" w:type="dxa"/>
            <w:shd w:val="clear" w:color="auto" w:fill="DBE5F1"/>
            <w:vAlign w:val="center"/>
          </w:tcPr>
          <w:p w14:paraId="036AE966"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09.8</w:t>
            </w:r>
          </w:p>
        </w:tc>
        <w:tc>
          <w:tcPr>
            <w:tcW w:w="922" w:type="dxa"/>
            <w:shd w:val="clear" w:color="auto" w:fill="DBE5F1"/>
            <w:vAlign w:val="center"/>
          </w:tcPr>
          <w:p w14:paraId="3788A2F4" w14:textId="77777777" w:rsidR="004D548C" w:rsidRPr="002B005F" w:rsidRDefault="004D548C" w:rsidP="004D548C">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12.7</w:t>
            </w:r>
          </w:p>
        </w:tc>
        <w:tc>
          <w:tcPr>
            <w:tcW w:w="921" w:type="dxa"/>
            <w:shd w:val="clear" w:color="auto" w:fill="DBE5F1"/>
            <w:vAlign w:val="center"/>
          </w:tcPr>
          <w:p w14:paraId="0FE04DA0"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58.9</w:t>
            </w:r>
          </w:p>
        </w:tc>
        <w:tc>
          <w:tcPr>
            <w:tcW w:w="922" w:type="dxa"/>
            <w:shd w:val="clear" w:color="auto" w:fill="DBE5F1"/>
            <w:vAlign w:val="center"/>
          </w:tcPr>
          <w:p w14:paraId="2B0EA494" w14:textId="77777777" w:rsidR="004D548C" w:rsidRPr="002B005F" w:rsidRDefault="004D548C" w:rsidP="004D548C">
            <w:pPr>
              <w:tabs>
                <w:tab w:val="left" w:pos="0"/>
              </w:tabs>
              <w:spacing w:line="240" w:lineRule="auto"/>
              <w:ind w:right="284"/>
              <w:jc w:val="right"/>
              <w:rPr>
                <w:rFonts w:ascii="Times New Roman" w:eastAsia="Arial" w:hAnsi="Times New Roman" w:cs="Times New Roman"/>
              </w:rPr>
            </w:pPr>
            <w:r w:rsidRPr="002B005F">
              <w:rPr>
                <w:rFonts w:ascii="Times New Roman" w:eastAsia="Arial" w:hAnsi="Times New Roman" w:cs="Times New Roman"/>
              </w:rPr>
              <w:t>10.9</w:t>
            </w:r>
          </w:p>
        </w:tc>
        <w:tc>
          <w:tcPr>
            <w:tcW w:w="921" w:type="dxa"/>
            <w:shd w:val="clear" w:color="auto" w:fill="DBE5F1"/>
            <w:vAlign w:val="center"/>
          </w:tcPr>
          <w:p w14:paraId="6BCC971B" w14:textId="77777777" w:rsidR="004D548C" w:rsidRPr="002B005F" w:rsidRDefault="004D548C" w:rsidP="00AF4CD4">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7.7</w:t>
            </w:r>
          </w:p>
        </w:tc>
        <w:tc>
          <w:tcPr>
            <w:tcW w:w="853" w:type="dxa"/>
            <w:shd w:val="clear" w:color="auto" w:fill="DBE5F1"/>
            <w:vAlign w:val="center"/>
          </w:tcPr>
          <w:p w14:paraId="22CDE2BE" w14:textId="77777777" w:rsidR="004D548C" w:rsidRPr="002B005F" w:rsidRDefault="004D548C" w:rsidP="00AF4CD4">
            <w:pPr>
              <w:tabs>
                <w:tab w:val="left" w:pos="0"/>
              </w:tabs>
              <w:spacing w:line="240" w:lineRule="auto"/>
              <w:jc w:val="center"/>
              <w:rPr>
                <w:rFonts w:ascii="Times New Roman" w:eastAsia="Arial" w:hAnsi="Times New Roman" w:cs="Times New Roman"/>
                <w:b/>
              </w:rPr>
            </w:pPr>
            <w:r w:rsidRPr="002B005F">
              <w:rPr>
                <w:rFonts w:ascii="Times New Roman" w:eastAsia="Arial" w:hAnsi="Times New Roman" w:cs="Times New Roman"/>
                <w:b/>
              </w:rPr>
              <w:t>100</w:t>
            </w:r>
          </w:p>
        </w:tc>
      </w:tr>
    </w:tbl>
    <w:p w14:paraId="09A15135" w14:textId="77777777" w:rsidR="002760B2" w:rsidRPr="002B005F" w:rsidRDefault="002760B2" w:rsidP="00492720">
      <w:pPr>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w:t>
      </w:r>
      <w:r w:rsidR="003227DC" w:rsidRPr="002B005F">
        <w:rPr>
          <w:rFonts w:ascii="Times New Roman" w:hAnsi="Times New Roman" w:cs="Times New Roman"/>
          <w:sz w:val="20"/>
          <w:szCs w:val="20"/>
        </w:rPr>
        <w:t xml:space="preserve"> C</w:t>
      </w:r>
      <w:r w:rsidRPr="002B005F">
        <w:rPr>
          <w:rFonts w:ascii="Times New Roman" w:hAnsi="Times New Roman" w:cs="Times New Roman"/>
          <w:sz w:val="20"/>
          <w:szCs w:val="20"/>
        </w:rPr>
        <w:t>alculs du chercheur.</w:t>
      </w:r>
    </w:p>
    <w:p w14:paraId="0CB50EE3" w14:textId="77777777" w:rsidR="002760B2" w:rsidRPr="006A69AC" w:rsidRDefault="004B1423" w:rsidP="006A69AC">
      <w:pPr>
        <w:pStyle w:val="Titre5"/>
        <w:spacing w:before="120" w:after="120" w:line="300" w:lineRule="auto"/>
        <w:ind w:firstLine="709"/>
        <w:rPr>
          <w:rFonts w:asciiTheme="majorBidi" w:hAnsiTheme="majorBidi"/>
          <w:b/>
          <w:bCs/>
          <w:color w:val="auto"/>
          <w:sz w:val="24"/>
          <w:szCs w:val="24"/>
        </w:rPr>
      </w:pPr>
      <w:bookmarkStart w:id="1670" w:name="_Toc182298917"/>
      <w:r w:rsidRPr="006A69AC">
        <w:rPr>
          <w:rFonts w:asciiTheme="majorBidi" w:hAnsiTheme="majorBidi"/>
          <w:b/>
          <w:bCs/>
          <w:color w:val="auto"/>
          <w:sz w:val="24"/>
          <w:szCs w:val="24"/>
        </w:rPr>
        <w:t>2</w:t>
      </w:r>
      <w:r w:rsidR="00071DF1" w:rsidRPr="006A69AC">
        <w:rPr>
          <w:rFonts w:asciiTheme="majorBidi" w:hAnsiTheme="majorBidi"/>
          <w:b/>
          <w:bCs/>
          <w:color w:val="auto"/>
          <w:sz w:val="24"/>
          <w:szCs w:val="24"/>
        </w:rPr>
        <w:t xml:space="preserve">.1.9.2- </w:t>
      </w:r>
      <w:r w:rsidR="002760B2" w:rsidRPr="006A69AC">
        <w:rPr>
          <w:rFonts w:asciiTheme="majorBidi" w:hAnsiTheme="majorBidi"/>
          <w:b/>
          <w:bCs/>
          <w:color w:val="auto"/>
          <w:sz w:val="24"/>
          <w:szCs w:val="24"/>
        </w:rPr>
        <w:t>Mesure des risques</w:t>
      </w:r>
      <w:bookmarkEnd w:id="1670"/>
    </w:p>
    <w:p w14:paraId="1908C986" w14:textId="77777777" w:rsidR="007B27E4" w:rsidRPr="002B005F" w:rsidRDefault="002760B2" w:rsidP="003227DC">
      <w:pPr>
        <w:pStyle w:val="Paragraphedeliste"/>
        <w:tabs>
          <w:tab w:val="left" w:pos="0"/>
        </w:tabs>
        <w:spacing w:before="120" w:after="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Les institutions financières utilisent plusieurs techniques pour </w:t>
      </w:r>
      <w:r w:rsidR="0067659A" w:rsidRPr="002B005F">
        <w:rPr>
          <w:rFonts w:ascii="Times New Roman" w:hAnsi="Times New Roman" w:cs="Times New Roman"/>
          <w:sz w:val="24"/>
          <w:szCs w:val="24"/>
        </w:rPr>
        <w:t>mesurer et analyser les risques</w:t>
      </w:r>
      <w:r w:rsidRPr="002B005F">
        <w:rPr>
          <w:rFonts w:ascii="Times New Roman" w:hAnsi="Times New Roman" w:cs="Times New Roman"/>
          <w:sz w:val="24"/>
          <w:szCs w:val="24"/>
        </w:rPr>
        <w:t xml:space="preserve"> allant de l'analyse simple aux modèles sophistiqués. Le tableau 25 présente les techniques utilisées pour mesurer les risques liés aux produits participatifs </w:t>
      </w:r>
      <w:r w:rsidR="007B27E4" w:rsidRPr="002B005F">
        <w:rPr>
          <w:rFonts w:ascii="Times New Roman" w:hAnsi="Times New Roman" w:cs="Times New Roman"/>
          <w:sz w:val="24"/>
          <w:szCs w:val="24"/>
        </w:rPr>
        <w:t>par les banques participatives.</w:t>
      </w:r>
    </w:p>
    <w:p w14:paraId="0127CFDB" w14:textId="77777777" w:rsidR="007B1F67" w:rsidRPr="00DE760B" w:rsidRDefault="002760B2" w:rsidP="003227DC">
      <w:pPr>
        <w:pStyle w:val="Paragraphedeliste"/>
        <w:tabs>
          <w:tab w:val="left" w:pos="0"/>
        </w:tabs>
        <w:spacing w:before="120" w:after="120" w:line="300" w:lineRule="auto"/>
        <w:ind w:left="0" w:firstLine="709"/>
        <w:contextualSpacing w:val="0"/>
        <w:rPr>
          <w:rFonts w:ascii="Times New Roman" w:hAnsi="Times New Roman" w:cs="Times New Roman"/>
          <w:spacing w:val="-6"/>
          <w:sz w:val="24"/>
          <w:szCs w:val="24"/>
        </w:rPr>
      </w:pPr>
      <w:r w:rsidRPr="00DE760B">
        <w:rPr>
          <w:rFonts w:ascii="Times New Roman" w:hAnsi="Times New Roman" w:cs="Times New Roman"/>
          <w:spacing w:val="-6"/>
          <w:sz w:val="24"/>
          <w:szCs w:val="24"/>
        </w:rPr>
        <w:t>Nous remarquons que la technique d’analyse des risques la plus utilisée par les BI est</w:t>
      </w:r>
      <w:r w:rsidR="0067659A" w:rsidRPr="00DE760B">
        <w:rPr>
          <w:rFonts w:ascii="Times New Roman" w:hAnsi="Times New Roman" w:cs="Times New Roman"/>
          <w:spacing w:val="-6"/>
          <w:sz w:val="24"/>
          <w:szCs w:val="24"/>
        </w:rPr>
        <w:t xml:space="preserve"> l'analyse de duration (69.62%)</w:t>
      </w:r>
      <w:r w:rsidRPr="00DE760B">
        <w:rPr>
          <w:rFonts w:ascii="Times New Roman" w:hAnsi="Times New Roman" w:cs="Times New Roman"/>
          <w:spacing w:val="-6"/>
          <w:sz w:val="24"/>
          <w:szCs w:val="24"/>
        </w:rPr>
        <w:t xml:space="preserve"> suivie par les notations externes fournies par les agences de notation (60.6%) et l’analyse différentielle ou GAP (58.23% chacune). La méthode de stress test est la moins utilisée par les banques participantes (32 BI dans l'échantillon utilisent cette technique).</w:t>
      </w:r>
    </w:p>
    <w:p w14:paraId="6F5DC48B" w14:textId="5E291198" w:rsidR="00DE471E" w:rsidRPr="002B005F" w:rsidRDefault="00DE471E" w:rsidP="003227DC">
      <w:pPr>
        <w:spacing w:before="100" w:beforeAutospacing="1" w:after="120" w:line="300" w:lineRule="auto"/>
        <w:jc w:val="center"/>
        <w:rPr>
          <w:rFonts w:ascii="Times New Roman" w:hAnsi="Times New Roman" w:cs="Times New Roman"/>
          <w:b/>
          <w:bCs/>
          <w:sz w:val="24"/>
          <w:szCs w:val="24"/>
        </w:rPr>
      </w:pPr>
      <w:bookmarkStart w:id="1671" w:name="_Toc115556093"/>
      <w:r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25</w:t>
      </w:r>
      <w:r w:rsidR="00B544E5" w:rsidRPr="002B005F">
        <w:rPr>
          <w:rFonts w:ascii="Times New Roman" w:hAnsi="Times New Roman" w:cs="Times New Roman"/>
          <w:b/>
          <w:bCs/>
          <w:sz w:val="24"/>
          <w:szCs w:val="24"/>
        </w:rPr>
        <w:fldChar w:fldCharType="end"/>
      </w:r>
      <w:r w:rsidR="007B27E4" w:rsidRPr="002B005F">
        <w:rPr>
          <w:rFonts w:ascii="Times New Roman" w:hAnsi="Times New Roman" w:cs="Times New Roman"/>
          <w:b/>
          <w:bCs/>
          <w:sz w:val="24"/>
          <w:szCs w:val="24"/>
        </w:rPr>
        <w:t>-</w:t>
      </w:r>
      <w:r w:rsidRPr="002B005F">
        <w:rPr>
          <w:rFonts w:ascii="Times New Roman" w:hAnsi="Times New Roman" w:cs="Times New Roman"/>
          <w:b/>
          <w:bCs/>
          <w:sz w:val="24"/>
          <w:szCs w:val="24"/>
        </w:rPr>
        <w:t xml:space="preserve"> Techniques de mesure de</w:t>
      </w:r>
      <w:r w:rsidR="007C68EE" w:rsidRPr="002B005F">
        <w:rPr>
          <w:rFonts w:ascii="Times New Roman" w:hAnsi="Times New Roman" w:cs="Times New Roman"/>
          <w:b/>
          <w:bCs/>
          <w:sz w:val="24"/>
          <w:szCs w:val="24"/>
        </w:rPr>
        <w:t>s</w:t>
      </w:r>
      <w:r w:rsidRPr="002B005F">
        <w:rPr>
          <w:rFonts w:ascii="Times New Roman" w:hAnsi="Times New Roman" w:cs="Times New Roman"/>
          <w:b/>
          <w:bCs/>
          <w:sz w:val="24"/>
          <w:szCs w:val="24"/>
        </w:rPr>
        <w:t xml:space="preserve"> risques</w:t>
      </w:r>
      <w:bookmarkEnd w:id="1671"/>
    </w:p>
    <w:tbl>
      <w:tblPr>
        <w:tblStyle w:val="Grilleclaire-Accent12"/>
        <w:tblW w:w="9071" w:type="dxa"/>
        <w:jc w:val="center"/>
        <w:tblLayout w:type="fixed"/>
        <w:tblCellMar>
          <w:top w:w="28" w:type="dxa"/>
          <w:left w:w="57" w:type="dxa"/>
          <w:bottom w:w="28" w:type="dxa"/>
          <w:right w:w="57" w:type="dxa"/>
        </w:tblCellMar>
        <w:tblLook w:val="04A0" w:firstRow="1" w:lastRow="0" w:firstColumn="1" w:lastColumn="0" w:noHBand="0" w:noVBand="1"/>
      </w:tblPr>
      <w:tblGrid>
        <w:gridCol w:w="6406"/>
        <w:gridCol w:w="1276"/>
        <w:gridCol w:w="1389"/>
      </w:tblGrid>
      <w:tr w:rsidR="002760B2" w:rsidRPr="002B005F" w14:paraId="3614A898" w14:textId="77777777" w:rsidTr="008C6CA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406"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7B4A0D58" w14:textId="77777777" w:rsidR="002760B2" w:rsidRPr="002B005F" w:rsidRDefault="002760B2" w:rsidP="008C6CAB">
            <w:pPr>
              <w:pStyle w:val="Paragraphedeliste"/>
              <w:tabs>
                <w:tab w:val="left" w:pos="0"/>
              </w:tabs>
              <w:ind w:left="0"/>
              <w:contextualSpacing w:val="0"/>
              <w:jc w:val="center"/>
              <w:rPr>
                <w:rFonts w:ascii="Times New Roman" w:hAnsi="Times New Roman" w:cs="Times New Roman"/>
                <w:sz w:val="24"/>
                <w:szCs w:val="24"/>
              </w:rPr>
            </w:pPr>
            <w:r w:rsidRPr="002B005F">
              <w:rPr>
                <w:rFonts w:ascii="Times New Roman" w:hAnsi="Times New Roman" w:cs="Times New Roman"/>
                <w:sz w:val="24"/>
                <w:szCs w:val="24"/>
              </w:rPr>
              <w:t>Technique</w:t>
            </w:r>
            <w:r w:rsidR="008C6CAB" w:rsidRPr="002B005F">
              <w:rPr>
                <w:rFonts w:ascii="Times New Roman" w:hAnsi="Times New Roman" w:cs="Times New Roman"/>
                <w:sz w:val="24"/>
                <w:szCs w:val="24"/>
              </w:rPr>
              <w:t>s</w:t>
            </w:r>
            <w:r w:rsidRPr="002B005F">
              <w:rPr>
                <w:rFonts w:ascii="Times New Roman" w:hAnsi="Times New Roman" w:cs="Times New Roman"/>
                <w:sz w:val="24"/>
                <w:szCs w:val="24"/>
              </w:rPr>
              <w:t xml:space="preserve"> de mesure de risques</w:t>
            </w:r>
          </w:p>
        </w:tc>
        <w:tc>
          <w:tcPr>
            <w:tcW w:w="1276"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62EED04B" w14:textId="77777777" w:rsidR="002760B2" w:rsidRPr="002B005F" w:rsidRDefault="002760B2" w:rsidP="008C6CAB">
            <w:pPr>
              <w:pStyle w:val="Paragraphedeliste"/>
              <w:tabs>
                <w:tab w:val="left" w:pos="0"/>
              </w:tabs>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Total des réponses</w:t>
            </w:r>
          </w:p>
        </w:tc>
        <w:tc>
          <w:tcPr>
            <w:tcW w:w="1389"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7EB9B9AA" w14:textId="77777777" w:rsidR="002760B2" w:rsidRPr="002B005F" w:rsidRDefault="002760B2" w:rsidP="008C6CAB">
            <w:pPr>
              <w:pStyle w:val="Paragraphedeliste"/>
              <w:tabs>
                <w:tab w:val="left" w:pos="0"/>
              </w:tabs>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Pourcentage</w:t>
            </w:r>
          </w:p>
        </w:tc>
      </w:tr>
      <w:tr w:rsidR="002760B2" w:rsidRPr="002B005F" w14:paraId="568D3D93" w14:textId="77777777" w:rsidTr="008C6CA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40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5194902E" w14:textId="77777777" w:rsidR="002760B2" w:rsidRPr="002B005F" w:rsidRDefault="003227DC" w:rsidP="00C92F17">
            <w:pPr>
              <w:tabs>
                <w:tab w:val="left" w:pos="0"/>
                <w:tab w:val="center" w:pos="4536"/>
              </w:tabs>
              <w:ind w:left="198"/>
              <w:jc w:val="left"/>
              <w:rPr>
                <w:rFonts w:ascii="Times New Roman" w:hAnsi="Times New Roman" w:cs="Times New Roman"/>
                <w:b w:val="0"/>
                <w:bCs w:val="0"/>
                <w:sz w:val="24"/>
                <w:szCs w:val="24"/>
              </w:rPr>
            </w:pPr>
            <w:r w:rsidRPr="002B005F">
              <w:rPr>
                <w:rFonts w:ascii="Times New Roman" w:hAnsi="Times New Roman" w:cs="Times New Roman"/>
                <w:b w:val="0"/>
                <w:bCs w:val="0"/>
                <w:sz w:val="24"/>
                <w:szCs w:val="24"/>
              </w:rPr>
              <w:t>A</w:t>
            </w:r>
            <w:r w:rsidR="002760B2" w:rsidRPr="002B005F">
              <w:rPr>
                <w:rFonts w:ascii="Times New Roman" w:hAnsi="Times New Roman" w:cs="Times New Roman"/>
                <w:b w:val="0"/>
                <w:bCs w:val="0"/>
                <w:sz w:val="24"/>
                <w:szCs w:val="24"/>
              </w:rPr>
              <w:t>nalyse différentielle (GAP ou Gestion Actif-Passif)</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4B6C210F"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lang w:val="en-GB"/>
              </w:rPr>
              <w:t>46</w:t>
            </w:r>
          </w:p>
        </w:tc>
        <w:tc>
          <w:tcPr>
            <w:tcW w:w="1389"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0E3D08F4"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lang w:val="en-GB"/>
              </w:rPr>
              <w:t>58.23</w:t>
            </w:r>
          </w:p>
        </w:tc>
      </w:tr>
      <w:tr w:rsidR="002760B2" w:rsidRPr="002B005F" w14:paraId="01796A2C" w14:textId="77777777" w:rsidTr="008C6CAB">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406"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03800E71" w14:textId="77777777" w:rsidR="002760B2" w:rsidRPr="002B005F" w:rsidRDefault="003227DC" w:rsidP="00C92F17">
            <w:pPr>
              <w:tabs>
                <w:tab w:val="left" w:pos="0"/>
                <w:tab w:val="center" w:pos="4536"/>
              </w:tabs>
              <w:ind w:left="198"/>
              <w:jc w:val="left"/>
              <w:rPr>
                <w:rFonts w:ascii="Times New Roman" w:hAnsi="Times New Roman" w:cs="Times New Roman"/>
                <w:b w:val="0"/>
                <w:bCs w:val="0"/>
                <w:sz w:val="24"/>
                <w:szCs w:val="24"/>
              </w:rPr>
            </w:pPr>
            <w:r w:rsidRPr="002B005F">
              <w:rPr>
                <w:rFonts w:ascii="Times New Roman" w:hAnsi="Times New Roman" w:cs="Times New Roman"/>
                <w:b w:val="0"/>
                <w:bCs w:val="0"/>
                <w:sz w:val="24"/>
                <w:szCs w:val="24"/>
              </w:rPr>
              <w:t>A</w:t>
            </w:r>
            <w:r w:rsidR="002760B2" w:rsidRPr="002B005F">
              <w:rPr>
                <w:rFonts w:ascii="Times New Roman" w:hAnsi="Times New Roman" w:cs="Times New Roman"/>
                <w:b w:val="0"/>
                <w:bCs w:val="0"/>
                <w:sz w:val="24"/>
                <w:szCs w:val="24"/>
              </w:rPr>
              <w:t>nalyse de duration</w:t>
            </w:r>
          </w:p>
        </w:tc>
        <w:tc>
          <w:tcPr>
            <w:tcW w:w="1276"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62B6B6F4" w14:textId="77777777" w:rsidR="002760B2" w:rsidRPr="002B005F" w:rsidRDefault="002760B2"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55</w:t>
            </w:r>
          </w:p>
        </w:tc>
        <w:tc>
          <w:tcPr>
            <w:tcW w:w="1389"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1695876F" w14:textId="77777777" w:rsidR="002760B2" w:rsidRPr="002B005F" w:rsidRDefault="003227DC"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69.62</w:t>
            </w:r>
          </w:p>
        </w:tc>
      </w:tr>
      <w:tr w:rsidR="002760B2" w:rsidRPr="002B005F" w14:paraId="20C13656" w14:textId="77777777" w:rsidTr="008C6CA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40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29EAB9FB" w14:textId="77777777" w:rsidR="002760B2" w:rsidRPr="002B005F" w:rsidRDefault="003227DC" w:rsidP="00C92F17">
            <w:pPr>
              <w:tabs>
                <w:tab w:val="left" w:pos="0"/>
                <w:tab w:val="center" w:pos="4536"/>
              </w:tabs>
              <w:ind w:left="198"/>
              <w:jc w:val="left"/>
              <w:rPr>
                <w:rFonts w:ascii="Times New Roman" w:hAnsi="Times New Roman" w:cs="Times New Roman"/>
                <w:b w:val="0"/>
                <w:bCs w:val="0"/>
                <w:sz w:val="24"/>
                <w:szCs w:val="24"/>
              </w:rPr>
            </w:pPr>
            <w:r w:rsidRPr="002B005F">
              <w:rPr>
                <w:rFonts w:ascii="Times New Roman" w:hAnsi="Times New Roman" w:cs="Times New Roman"/>
                <w:b w:val="0"/>
                <w:bCs w:val="0"/>
                <w:sz w:val="24"/>
                <w:szCs w:val="24"/>
              </w:rPr>
              <w:t>V</w:t>
            </w:r>
            <w:r w:rsidR="002760B2" w:rsidRPr="002B005F">
              <w:rPr>
                <w:rFonts w:ascii="Times New Roman" w:hAnsi="Times New Roman" w:cs="Times New Roman"/>
                <w:b w:val="0"/>
                <w:bCs w:val="0"/>
                <w:sz w:val="24"/>
                <w:szCs w:val="24"/>
              </w:rPr>
              <w:t>aleur à risque (VAR)</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2CED9B2B"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44</w:t>
            </w:r>
          </w:p>
        </w:tc>
        <w:tc>
          <w:tcPr>
            <w:tcW w:w="1389"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32667C74" w14:textId="77777777" w:rsidR="002760B2" w:rsidRPr="002B005F" w:rsidRDefault="003227DC"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55.70</w:t>
            </w:r>
          </w:p>
        </w:tc>
      </w:tr>
      <w:tr w:rsidR="002760B2" w:rsidRPr="002B005F" w14:paraId="0DFFF042" w14:textId="77777777" w:rsidTr="008C6CAB">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406"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2F4E4850" w14:textId="77777777" w:rsidR="002760B2" w:rsidRPr="002B005F" w:rsidRDefault="002760B2" w:rsidP="00C92F17">
            <w:pPr>
              <w:tabs>
                <w:tab w:val="left" w:pos="0"/>
                <w:tab w:val="center" w:pos="4536"/>
              </w:tabs>
              <w:ind w:left="198"/>
              <w:jc w:val="left"/>
              <w:rPr>
                <w:rFonts w:ascii="Times New Roman" w:hAnsi="Times New Roman" w:cs="Times New Roman"/>
                <w:b w:val="0"/>
                <w:bCs w:val="0"/>
                <w:sz w:val="24"/>
                <w:szCs w:val="24"/>
                <w:lang w:val="en-GB"/>
              </w:rPr>
            </w:pPr>
            <w:r w:rsidRPr="002B005F">
              <w:rPr>
                <w:rFonts w:ascii="Times New Roman" w:eastAsiaTheme="minorEastAsia" w:hAnsi="Times New Roman" w:cs="Times New Roman"/>
                <w:b w:val="0"/>
                <w:bCs w:val="0"/>
                <w:sz w:val="24"/>
                <w:szCs w:val="24"/>
                <w:lang w:val="en-GB"/>
              </w:rPr>
              <w:t>Risk Adjusted Return on capital (RAROC)</w:t>
            </w:r>
          </w:p>
        </w:tc>
        <w:tc>
          <w:tcPr>
            <w:tcW w:w="1276"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6938F6B2" w14:textId="77777777" w:rsidR="002760B2" w:rsidRPr="002B005F" w:rsidRDefault="002760B2"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sidRPr="002B005F">
              <w:rPr>
                <w:rFonts w:ascii="Times New Roman" w:hAnsi="Times New Roman" w:cs="Times New Roman"/>
                <w:sz w:val="24"/>
                <w:szCs w:val="24"/>
                <w:lang w:val="en-GB"/>
              </w:rPr>
              <w:t>38</w:t>
            </w:r>
          </w:p>
        </w:tc>
        <w:tc>
          <w:tcPr>
            <w:tcW w:w="1389"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495CF3C0" w14:textId="77777777" w:rsidR="002760B2" w:rsidRPr="002B005F" w:rsidRDefault="003227DC"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sidRPr="002B005F">
              <w:rPr>
                <w:rFonts w:ascii="Times New Roman" w:hAnsi="Times New Roman" w:cs="Times New Roman"/>
                <w:sz w:val="24"/>
                <w:szCs w:val="24"/>
                <w:lang w:val="en-GB"/>
              </w:rPr>
              <w:t>48.10</w:t>
            </w:r>
          </w:p>
        </w:tc>
      </w:tr>
      <w:tr w:rsidR="002760B2" w:rsidRPr="002B005F" w14:paraId="2172D794" w14:textId="77777777" w:rsidTr="008C6CA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40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2EB0CFD8" w14:textId="77777777" w:rsidR="002760B2" w:rsidRPr="002B005F" w:rsidRDefault="003227DC" w:rsidP="00C92F17">
            <w:pPr>
              <w:tabs>
                <w:tab w:val="left" w:pos="0"/>
                <w:tab w:val="center" w:pos="4536"/>
              </w:tabs>
              <w:ind w:left="198"/>
              <w:jc w:val="left"/>
              <w:rPr>
                <w:rFonts w:ascii="Times New Roman" w:hAnsi="Times New Roman" w:cs="Times New Roman"/>
                <w:b w:val="0"/>
                <w:bCs w:val="0"/>
                <w:sz w:val="24"/>
                <w:szCs w:val="24"/>
              </w:rPr>
            </w:pPr>
            <w:r w:rsidRPr="002B005F">
              <w:rPr>
                <w:rFonts w:ascii="Times New Roman" w:hAnsi="Times New Roman" w:cs="Times New Roman"/>
                <w:b w:val="0"/>
                <w:bCs w:val="0"/>
                <w:sz w:val="24"/>
                <w:szCs w:val="24"/>
              </w:rPr>
              <w:t>R</w:t>
            </w:r>
            <w:r w:rsidR="002760B2" w:rsidRPr="002B005F">
              <w:rPr>
                <w:rFonts w:ascii="Times New Roman" w:hAnsi="Times New Roman" w:cs="Times New Roman"/>
                <w:b w:val="0"/>
                <w:bCs w:val="0"/>
                <w:sz w:val="24"/>
                <w:szCs w:val="24"/>
              </w:rPr>
              <w:t>ating interne</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50227054"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40</w:t>
            </w:r>
          </w:p>
        </w:tc>
        <w:tc>
          <w:tcPr>
            <w:tcW w:w="1389"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543C1EB5"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50.63</w:t>
            </w:r>
          </w:p>
        </w:tc>
      </w:tr>
      <w:tr w:rsidR="002760B2" w:rsidRPr="002B005F" w14:paraId="60D8FD4F" w14:textId="77777777" w:rsidTr="008C6CAB">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406"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4DC509BA" w14:textId="77777777" w:rsidR="002760B2" w:rsidRPr="002B005F" w:rsidRDefault="002760B2" w:rsidP="00C92F17">
            <w:pPr>
              <w:tabs>
                <w:tab w:val="left" w:pos="0"/>
                <w:tab w:val="center" w:pos="4536"/>
              </w:tabs>
              <w:ind w:left="198"/>
              <w:jc w:val="left"/>
              <w:rPr>
                <w:rFonts w:ascii="Times New Roman" w:hAnsi="Times New Roman" w:cs="Times New Roman"/>
                <w:b w:val="0"/>
                <w:bCs w:val="0"/>
                <w:sz w:val="24"/>
                <w:szCs w:val="24"/>
              </w:rPr>
            </w:pPr>
            <w:r w:rsidRPr="002B005F">
              <w:rPr>
                <w:rFonts w:ascii="Times New Roman" w:hAnsi="Times New Roman" w:cs="Times New Roman"/>
                <w:b w:val="0"/>
                <w:bCs w:val="0"/>
                <w:sz w:val="24"/>
                <w:szCs w:val="24"/>
              </w:rPr>
              <w:t>Notation de crédit par les agences de notation</w:t>
            </w:r>
          </w:p>
        </w:tc>
        <w:tc>
          <w:tcPr>
            <w:tcW w:w="1276"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1B1310EB" w14:textId="77777777" w:rsidR="002760B2" w:rsidRPr="002B005F" w:rsidRDefault="002760B2"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48</w:t>
            </w:r>
          </w:p>
        </w:tc>
        <w:tc>
          <w:tcPr>
            <w:tcW w:w="1389"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57" w:type="dxa"/>
              <w:bottom w:w="28" w:type="dxa"/>
              <w:right w:w="57" w:type="dxa"/>
            </w:tcMar>
            <w:vAlign w:val="center"/>
          </w:tcPr>
          <w:p w14:paraId="457CD3DF" w14:textId="77777777" w:rsidR="002760B2" w:rsidRPr="002B005F" w:rsidRDefault="003227DC"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60.60</w:t>
            </w:r>
          </w:p>
        </w:tc>
      </w:tr>
      <w:tr w:rsidR="002760B2" w:rsidRPr="002B005F" w14:paraId="58FB5664" w14:textId="77777777" w:rsidTr="008C6CA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40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7F7A9DBB" w14:textId="77777777" w:rsidR="002760B2" w:rsidRPr="002B005F" w:rsidRDefault="002760B2" w:rsidP="00C92F17">
            <w:pPr>
              <w:pStyle w:val="Default"/>
              <w:tabs>
                <w:tab w:val="left" w:pos="0"/>
              </w:tabs>
              <w:ind w:left="198"/>
              <w:jc w:val="left"/>
              <w:rPr>
                <w:b w:val="0"/>
                <w:bCs w:val="0"/>
                <w:color w:val="auto"/>
              </w:rPr>
            </w:pPr>
            <w:r w:rsidRPr="002B005F">
              <w:rPr>
                <w:b w:val="0"/>
                <w:bCs w:val="0"/>
                <w:color w:val="auto"/>
              </w:rPr>
              <w:t>Stress test</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1E020D91"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B005F">
              <w:rPr>
                <w:rFonts w:ascii="Times New Roman" w:hAnsi="Times New Roman" w:cs="Times New Roman"/>
                <w:sz w:val="24"/>
                <w:szCs w:val="24"/>
                <w:lang w:val="en-GB"/>
              </w:rPr>
              <w:t>32</w:t>
            </w:r>
          </w:p>
        </w:tc>
        <w:tc>
          <w:tcPr>
            <w:tcW w:w="1389" w:type="dxa"/>
            <w:tcBorders>
              <w:top w:val="single" w:sz="8"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4FCF2640" w14:textId="77777777" w:rsidR="002760B2" w:rsidRPr="002B005F" w:rsidRDefault="003227DC"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B005F">
              <w:rPr>
                <w:rFonts w:ascii="Times New Roman" w:hAnsi="Times New Roman" w:cs="Times New Roman"/>
                <w:sz w:val="24"/>
                <w:szCs w:val="24"/>
                <w:lang w:val="en-GB"/>
              </w:rPr>
              <w:t>40.51</w:t>
            </w:r>
          </w:p>
        </w:tc>
      </w:tr>
    </w:tbl>
    <w:p w14:paraId="3D2E1ECF" w14:textId="4FCD9D19" w:rsidR="002760B2" w:rsidRPr="002B005F" w:rsidRDefault="003227DC" w:rsidP="003227DC">
      <w:pPr>
        <w:tabs>
          <w:tab w:val="left" w:pos="0"/>
        </w:tabs>
        <w:spacing w:before="120" w:after="100" w:afterAutospacing="1" w:line="240" w:lineRule="auto"/>
        <w:jc w:val="center"/>
        <w:rPr>
          <w:rFonts w:ascii="Times New Roman" w:hAnsi="Times New Roman" w:cs="Times New Roman"/>
          <w:sz w:val="20"/>
          <w:szCs w:val="20"/>
          <w:lang w:val="en-GB"/>
        </w:rPr>
      </w:pPr>
      <w:r w:rsidRPr="002B005F">
        <w:rPr>
          <w:rFonts w:ascii="Times New Roman" w:hAnsi="Times New Roman" w:cs="Times New Roman"/>
          <w:sz w:val="20"/>
          <w:szCs w:val="20"/>
        </w:rPr>
        <w:t xml:space="preserve">Source : Calculs </w:t>
      </w:r>
      <w:r w:rsidR="002760B2" w:rsidRPr="002B005F">
        <w:rPr>
          <w:rFonts w:ascii="Times New Roman" w:hAnsi="Times New Roman" w:cs="Times New Roman"/>
          <w:sz w:val="20"/>
          <w:szCs w:val="20"/>
          <w:lang w:val="en-GB"/>
        </w:rPr>
        <w:t>du chercheur</w:t>
      </w:r>
    </w:p>
    <w:p w14:paraId="2D60B4EE" w14:textId="77777777" w:rsidR="002760B2" w:rsidRPr="006A69AC" w:rsidRDefault="004B1423" w:rsidP="00D66FFE">
      <w:pPr>
        <w:pStyle w:val="Titre5"/>
        <w:keepNext w:val="0"/>
        <w:keepLines w:val="0"/>
        <w:spacing w:before="120" w:after="120" w:line="300" w:lineRule="auto"/>
        <w:ind w:firstLine="709"/>
        <w:rPr>
          <w:rFonts w:asciiTheme="majorBidi" w:hAnsiTheme="majorBidi"/>
          <w:b/>
          <w:bCs/>
          <w:color w:val="auto"/>
          <w:sz w:val="24"/>
          <w:szCs w:val="24"/>
        </w:rPr>
      </w:pPr>
      <w:bookmarkStart w:id="1672" w:name="_Toc182298918"/>
      <w:r w:rsidRPr="006A69AC">
        <w:rPr>
          <w:rFonts w:asciiTheme="majorBidi" w:hAnsiTheme="majorBidi"/>
          <w:b/>
          <w:bCs/>
          <w:color w:val="auto"/>
          <w:sz w:val="24"/>
          <w:szCs w:val="24"/>
        </w:rPr>
        <w:t>2</w:t>
      </w:r>
      <w:r w:rsidR="00071DF1" w:rsidRPr="006A69AC">
        <w:rPr>
          <w:rFonts w:asciiTheme="majorBidi" w:hAnsiTheme="majorBidi"/>
          <w:b/>
          <w:bCs/>
          <w:color w:val="auto"/>
          <w:sz w:val="24"/>
          <w:szCs w:val="24"/>
        </w:rPr>
        <w:t xml:space="preserve">.1.9.3- </w:t>
      </w:r>
      <w:r w:rsidR="002760B2" w:rsidRPr="006A69AC">
        <w:rPr>
          <w:rFonts w:asciiTheme="majorBidi" w:hAnsiTheme="majorBidi"/>
          <w:b/>
          <w:bCs/>
          <w:color w:val="auto"/>
          <w:sz w:val="24"/>
          <w:szCs w:val="24"/>
        </w:rPr>
        <w:t>Atténuation des risques</w:t>
      </w:r>
      <w:bookmarkEnd w:id="1672"/>
    </w:p>
    <w:p w14:paraId="7209DE1B" w14:textId="77FDEA98" w:rsidR="002760B2" w:rsidRPr="002B005F" w:rsidRDefault="002760B2" w:rsidP="008C6CAB">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Les participants ont également été invités à exprimer leurs opinions sur les techniques d'atténuation des risques. Les réponses sur la question 22 sont résumées dans le tableau ci-dessous. Comme c’est montré au tableau 26, le nantissement (69.62%) et les garanties (67.09%) sont les techniques </w:t>
      </w:r>
      <w:r w:rsidR="00183FF8" w:rsidRPr="002B005F">
        <w:rPr>
          <w:rFonts w:ascii="Times New Roman" w:hAnsi="Times New Roman" w:cs="Times New Roman"/>
          <w:sz w:val="24"/>
          <w:szCs w:val="24"/>
        </w:rPr>
        <w:t>les plus utilisées, suivies</w:t>
      </w:r>
      <w:r w:rsidRPr="002B005F">
        <w:rPr>
          <w:rFonts w:ascii="Times New Roman" w:hAnsi="Times New Roman" w:cs="Times New Roman"/>
          <w:sz w:val="24"/>
          <w:szCs w:val="24"/>
        </w:rPr>
        <w:t xml:space="preserve"> par les réserves pour pertes (60.76%). </w:t>
      </w:r>
      <w:r w:rsidR="008C0622">
        <w:rPr>
          <w:rFonts w:ascii="Times New Roman" w:hAnsi="Times New Roman" w:cs="Times New Roman"/>
          <w:i/>
          <w:iCs/>
          <w:sz w:val="24"/>
          <w:szCs w:val="24"/>
        </w:rPr>
        <w:t>A</w:t>
      </w:r>
      <w:r w:rsidR="00971E74" w:rsidRPr="002B005F">
        <w:rPr>
          <w:rFonts w:ascii="Times New Roman" w:hAnsi="Times New Roman" w:cs="Times New Roman"/>
          <w:i/>
          <w:iCs/>
          <w:sz w:val="24"/>
          <w:szCs w:val="24"/>
        </w:rPr>
        <w:t>’rboun</w:t>
      </w:r>
      <w:r w:rsidRPr="002B005F">
        <w:rPr>
          <w:rFonts w:ascii="Times New Roman" w:hAnsi="Times New Roman" w:cs="Times New Roman"/>
          <w:sz w:val="24"/>
          <w:szCs w:val="24"/>
        </w:rPr>
        <w:t xml:space="preserve"> et </w:t>
      </w:r>
      <w:r w:rsidR="002A1612" w:rsidRPr="002B005F">
        <w:rPr>
          <w:rFonts w:ascii="Times New Roman" w:hAnsi="Times New Roman" w:cs="Times New Roman"/>
          <w:i/>
          <w:iCs/>
          <w:sz w:val="24"/>
          <w:szCs w:val="24"/>
        </w:rPr>
        <w:t>w</w:t>
      </w:r>
      <w:r w:rsidR="009543A1" w:rsidRPr="002B005F">
        <w:rPr>
          <w:rFonts w:ascii="Times New Roman" w:hAnsi="Times New Roman" w:cs="Times New Roman"/>
          <w:i/>
          <w:iCs/>
          <w:sz w:val="24"/>
          <w:szCs w:val="24"/>
        </w:rPr>
        <w:t>a’</w:t>
      </w:r>
      <w:r w:rsidR="00AC4110">
        <w:rPr>
          <w:rFonts w:ascii="Times New Roman" w:hAnsi="Times New Roman" w:cs="Times New Roman"/>
          <w:i/>
          <w:iCs/>
          <w:sz w:val="24"/>
          <w:szCs w:val="24"/>
        </w:rPr>
        <w:t>a</w:t>
      </w:r>
      <w:r w:rsidRPr="002B005F">
        <w:rPr>
          <w:rFonts w:ascii="Times New Roman" w:hAnsi="Times New Roman" w:cs="Times New Roman"/>
          <w:i/>
          <w:iCs/>
          <w:sz w:val="24"/>
          <w:szCs w:val="24"/>
        </w:rPr>
        <w:t>d</w:t>
      </w:r>
      <w:r w:rsidRPr="002B005F">
        <w:rPr>
          <w:rFonts w:ascii="Times New Roman" w:hAnsi="Times New Roman" w:cs="Times New Roman"/>
          <w:sz w:val="24"/>
          <w:szCs w:val="24"/>
        </w:rPr>
        <w:t xml:space="preserve"> sont très peu utilisés avec des pourcentages de 6.33% et 12.66% respectivement.</w:t>
      </w:r>
    </w:p>
    <w:p w14:paraId="7F9AB53B" w14:textId="77777777" w:rsidR="008C6CAB" w:rsidRPr="004502B0" w:rsidRDefault="0067659A" w:rsidP="004502B0">
      <w:pPr>
        <w:rPr>
          <w:rFonts w:ascii="Times New Roman" w:hAnsi="Times New Roman" w:cs="Times New Roman"/>
          <w:sz w:val="24"/>
          <w:szCs w:val="24"/>
        </w:rPr>
      </w:pPr>
      <w:r w:rsidRPr="002B005F">
        <w:rPr>
          <w:rFonts w:ascii="Times New Roman" w:hAnsi="Times New Roman" w:cs="Times New Roman"/>
          <w:sz w:val="24"/>
          <w:szCs w:val="24"/>
        </w:rPr>
        <w:br w:type="page"/>
      </w:r>
    </w:p>
    <w:p w14:paraId="6D278959" w14:textId="0A072F64" w:rsidR="00DE471E" w:rsidRPr="002B005F" w:rsidRDefault="00DE471E" w:rsidP="00743205">
      <w:pPr>
        <w:pStyle w:val="Lgende"/>
        <w:keepNext/>
        <w:tabs>
          <w:tab w:val="left" w:pos="0"/>
        </w:tabs>
        <w:spacing w:after="120" w:line="300" w:lineRule="auto"/>
        <w:jc w:val="center"/>
        <w:rPr>
          <w:rFonts w:ascii="Times New Roman" w:hAnsi="Times New Roman" w:cs="Times New Roman"/>
          <w:color w:val="auto"/>
          <w:sz w:val="24"/>
          <w:szCs w:val="24"/>
        </w:rPr>
      </w:pPr>
      <w:bookmarkStart w:id="1673" w:name="_Toc115556094"/>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26</w:t>
      </w:r>
      <w:r w:rsidR="00B544E5" w:rsidRPr="002B005F">
        <w:rPr>
          <w:rFonts w:ascii="Times New Roman" w:hAnsi="Times New Roman" w:cs="Times New Roman"/>
          <w:color w:val="auto"/>
          <w:sz w:val="24"/>
          <w:szCs w:val="24"/>
        </w:rPr>
        <w:fldChar w:fldCharType="end"/>
      </w:r>
      <w:r w:rsidR="008C6CAB"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Techniques d’atténuation de risques</w:t>
      </w:r>
      <w:bookmarkEnd w:id="1673"/>
    </w:p>
    <w:tbl>
      <w:tblPr>
        <w:tblStyle w:val="Grilleclaire-Accent12"/>
        <w:tblW w:w="90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5386"/>
        <w:gridCol w:w="1984"/>
        <w:gridCol w:w="1701"/>
      </w:tblGrid>
      <w:tr w:rsidR="002760B2" w:rsidRPr="002B005F" w14:paraId="03589BBF" w14:textId="77777777" w:rsidTr="00DE760B">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20CD1159" w14:textId="77777777" w:rsidR="002760B2" w:rsidRPr="002B005F" w:rsidRDefault="002760B2" w:rsidP="007B1F67">
            <w:pPr>
              <w:pStyle w:val="Paragraphedeliste"/>
              <w:tabs>
                <w:tab w:val="left" w:pos="0"/>
              </w:tabs>
              <w:ind w:left="0"/>
              <w:contextualSpacing w:val="0"/>
              <w:jc w:val="center"/>
              <w:rPr>
                <w:rFonts w:ascii="Times New Roman" w:hAnsi="Times New Roman" w:cs="Times New Roman"/>
                <w:sz w:val="24"/>
                <w:szCs w:val="24"/>
              </w:rPr>
            </w:pPr>
            <w:r w:rsidRPr="002B005F">
              <w:rPr>
                <w:rFonts w:ascii="Times New Roman" w:hAnsi="Times New Roman" w:cs="Times New Roman"/>
                <w:sz w:val="24"/>
                <w:szCs w:val="24"/>
              </w:rPr>
              <w:t>Technique</w:t>
            </w:r>
            <w:r w:rsidR="008C6CAB" w:rsidRPr="002B005F">
              <w:rPr>
                <w:rFonts w:ascii="Times New Roman" w:hAnsi="Times New Roman" w:cs="Times New Roman"/>
                <w:sz w:val="24"/>
                <w:szCs w:val="24"/>
              </w:rPr>
              <w:t>s</w:t>
            </w:r>
            <w:r w:rsidRPr="002B005F">
              <w:rPr>
                <w:rFonts w:ascii="Times New Roman" w:hAnsi="Times New Roman" w:cs="Times New Roman"/>
                <w:sz w:val="24"/>
                <w:szCs w:val="24"/>
              </w:rPr>
              <w:t xml:space="preserve"> d’atténuation de risques</w:t>
            </w:r>
          </w:p>
        </w:tc>
        <w:tc>
          <w:tcPr>
            <w:tcW w:w="1984" w:type="dxa"/>
            <w:vAlign w:val="center"/>
          </w:tcPr>
          <w:p w14:paraId="761F3A1A" w14:textId="77777777" w:rsidR="002760B2" w:rsidRPr="002B005F" w:rsidRDefault="002760B2" w:rsidP="007B1F67">
            <w:pPr>
              <w:pStyle w:val="Paragraphedeliste"/>
              <w:tabs>
                <w:tab w:val="left" w:pos="0"/>
              </w:tabs>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Total des réponses</w:t>
            </w:r>
          </w:p>
        </w:tc>
        <w:tc>
          <w:tcPr>
            <w:tcW w:w="1701" w:type="dxa"/>
            <w:vAlign w:val="center"/>
          </w:tcPr>
          <w:p w14:paraId="2704EF2F" w14:textId="77777777" w:rsidR="002760B2" w:rsidRPr="002B005F" w:rsidRDefault="002760B2" w:rsidP="007B1F67">
            <w:pPr>
              <w:pStyle w:val="Paragraphedeliste"/>
              <w:tabs>
                <w:tab w:val="left" w:pos="0"/>
              </w:tabs>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005F">
              <w:rPr>
                <w:rFonts w:ascii="Times New Roman" w:hAnsi="Times New Roman" w:cs="Times New Roman"/>
              </w:rPr>
              <w:t>Pourcentage</w:t>
            </w:r>
          </w:p>
        </w:tc>
      </w:tr>
      <w:tr w:rsidR="002760B2" w:rsidRPr="002B005F" w14:paraId="33C827DE" w14:textId="77777777" w:rsidTr="00DE760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795B8E4E" w14:textId="77777777" w:rsidR="002760B2" w:rsidRPr="002B005F" w:rsidRDefault="00001722" w:rsidP="00743205">
            <w:pPr>
              <w:tabs>
                <w:tab w:val="left" w:pos="0"/>
                <w:tab w:val="center" w:pos="4536"/>
              </w:tabs>
              <w:ind w:left="113"/>
              <w:rPr>
                <w:rFonts w:ascii="Times New Roman" w:hAnsi="Times New Roman" w:cs="Times New Roman"/>
                <w:b w:val="0"/>
                <w:bCs w:val="0"/>
                <w:sz w:val="24"/>
                <w:szCs w:val="24"/>
              </w:rPr>
            </w:pPr>
            <w:r w:rsidRPr="002B005F">
              <w:rPr>
                <w:rFonts w:ascii="Times New Roman" w:hAnsi="Times New Roman" w:cs="Times New Roman"/>
                <w:b w:val="0"/>
                <w:bCs w:val="0"/>
                <w:sz w:val="24"/>
                <w:szCs w:val="24"/>
              </w:rPr>
              <w:t>R</w:t>
            </w:r>
            <w:r w:rsidR="002760B2" w:rsidRPr="002B005F">
              <w:rPr>
                <w:rFonts w:ascii="Times New Roman" w:hAnsi="Times New Roman" w:cs="Times New Roman"/>
                <w:b w:val="0"/>
                <w:bCs w:val="0"/>
                <w:sz w:val="24"/>
                <w:szCs w:val="24"/>
              </w:rPr>
              <w:t>éserve pour pertes</w:t>
            </w:r>
          </w:p>
        </w:tc>
        <w:tc>
          <w:tcPr>
            <w:tcW w:w="1984" w:type="dxa"/>
            <w:vAlign w:val="center"/>
          </w:tcPr>
          <w:p w14:paraId="486F2EB6"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48</w:t>
            </w:r>
          </w:p>
        </w:tc>
        <w:tc>
          <w:tcPr>
            <w:tcW w:w="1701" w:type="dxa"/>
            <w:vAlign w:val="center"/>
          </w:tcPr>
          <w:p w14:paraId="6C5FD701" w14:textId="77777777" w:rsidR="002760B2" w:rsidRPr="002B005F" w:rsidRDefault="00743205"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60.76</w:t>
            </w:r>
          </w:p>
        </w:tc>
      </w:tr>
      <w:tr w:rsidR="002760B2" w:rsidRPr="002B005F" w14:paraId="2A529D83" w14:textId="77777777" w:rsidTr="00DE760B">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20AE35B5" w14:textId="77777777" w:rsidR="002760B2" w:rsidRPr="002B005F" w:rsidRDefault="00001722" w:rsidP="00743205">
            <w:pPr>
              <w:tabs>
                <w:tab w:val="left" w:pos="0"/>
                <w:tab w:val="center" w:pos="4536"/>
              </w:tabs>
              <w:ind w:left="113"/>
              <w:rPr>
                <w:rFonts w:ascii="Times New Roman" w:hAnsi="Times New Roman" w:cs="Times New Roman"/>
                <w:b w:val="0"/>
                <w:bCs w:val="0"/>
                <w:sz w:val="24"/>
                <w:szCs w:val="24"/>
              </w:rPr>
            </w:pPr>
            <w:r w:rsidRPr="002B005F">
              <w:rPr>
                <w:rFonts w:ascii="Times New Roman" w:hAnsi="Times New Roman" w:cs="Times New Roman"/>
                <w:b w:val="0"/>
                <w:bCs w:val="0"/>
                <w:sz w:val="24"/>
                <w:szCs w:val="24"/>
              </w:rPr>
              <w:t>N</w:t>
            </w:r>
            <w:r w:rsidR="002760B2" w:rsidRPr="002B005F">
              <w:rPr>
                <w:rFonts w:ascii="Times New Roman" w:hAnsi="Times New Roman" w:cs="Times New Roman"/>
                <w:b w:val="0"/>
                <w:bCs w:val="0"/>
                <w:sz w:val="24"/>
                <w:szCs w:val="24"/>
              </w:rPr>
              <w:t>antissement</w:t>
            </w:r>
          </w:p>
        </w:tc>
        <w:tc>
          <w:tcPr>
            <w:tcW w:w="1984" w:type="dxa"/>
            <w:vAlign w:val="center"/>
          </w:tcPr>
          <w:p w14:paraId="564F3439" w14:textId="77777777" w:rsidR="002760B2" w:rsidRPr="002B005F" w:rsidRDefault="002760B2"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55</w:t>
            </w:r>
          </w:p>
        </w:tc>
        <w:tc>
          <w:tcPr>
            <w:tcW w:w="1701" w:type="dxa"/>
            <w:vAlign w:val="center"/>
          </w:tcPr>
          <w:p w14:paraId="379355E2" w14:textId="77777777" w:rsidR="002760B2" w:rsidRPr="002B005F" w:rsidRDefault="00743205"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69.62</w:t>
            </w:r>
          </w:p>
        </w:tc>
      </w:tr>
      <w:tr w:rsidR="002760B2" w:rsidRPr="002B005F" w14:paraId="2C3F73F6" w14:textId="77777777" w:rsidTr="00DE760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3E717F56" w14:textId="77777777" w:rsidR="002760B2" w:rsidRPr="002B005F" w:rsidRDefault="002760B2" w:rsidP="00743205">
            <w:pPr>
              <w:tabs>
                <w:tab w:val="left" w:pos="0"/>
                <w:tab w:val="center" w:pos="4536"/>
              </w:tabs>
              <w:ind w:left="113"/>
              <w:rPr>
                <w:rFonts w:ascii="Times New Roman" w:hAnsi="Times New Roman" w:cs="Times New Roman"/>
                <w:b w:val="0"/>
                <w:bCs w:val="0"/>
                <w:sz w:val="24"/>
                <w:szCs w:val="24"/>
              </w:rPr>
            </w:pPr>
            <w:r w:rsidRPr="002B005F">
              <w:rPr>
                <w:rFonts w:ascii="Times New Roman" w:hAnsi="Times New Roman" w:cs="Times New Roman"/>
                <w:b w:val="0"/>
                <w:bCs w:val="0"/>
                <w:sz w:val="24"/>
                <w:szCs w:val="24"/>
              </w:rPr>
              <w:t>Netting sur bilan</w:t>
            </w:r>
          </w:p>
        </w:tc>
        <w:tc>
          <w:tcPr>
            <w:tcW w:w="1984" w:type="dxa"/>
            <w:vAlign w:val="center"/>
          </w:tcPr>
          <w:p w14:paraId="232ECA6E"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lang w:val="en-GB"/>
              </w:rPr>
              <w:t>12</w:t>
            </w:r>
          </w:p>
        </w:tc>
        <w:tc>
          <w:tcPr>
            <w:tcW w:w="1701" w:type="dxa"/>
            <w:vAlign w:val="center"/>
          </w:tcPr>
          <w:p w14:paraId="55189CAD" w14:textId="77777777" w:rsidR="002760B2" w:rsidRPr="002B005F" w:rsidRDefault="00743205"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15.19</w:t>
            </w:r>
          </w:p>
        </w:tc>
      </w:tr>
      <w:tr w:rsidR="002760B2" w:rsidRPr="002B005F" w14:paraId="65F40DA8" w14:textId="77777777" w:rsidTr="00DE760B">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1950796A" w14:textId="77777777" w:rsidR="002760B2" w:rsidRPr="002B005F" w:rsidRDefault="00001722" w:rsidP="00743205">
            <w:pPr>
              <w:tabs>
                <w:tab w:val="left" w:pos="0"/>
                <w:tab w:val="center" w:pos="4536"/>
              </w:tabs>
              <w:ind w:left="113"/>
              <w:rPr>
                <w:rFonts w:ascii="Times New Roman" w:hAnsi="Times New Roman" w:cs="Times New Roman"/>
                <w:b w:val="0"/>
                <w:bCs w:val="0"/>
                <w:sz w:val="24"/>
                <w:szCs w:val="24"/>
              </w:rPr>
            </w:pPr>
            <w:r w:rsidRPr="002B005F">
              <w:rPr>
                <w:rFonts w:ascii="Times New Roman" w:hAnsi="Times New Roman" w:cs="Times New Roman"/>
                <w:b w:val="0"/>
                <w:bCs w:val="0"/>
                <w:sz w:val="24"/>
                <w:szCs w:val="24"/>
              </w:rPr>
              <w:t>G</w:t>
            </w:r>
            <w:r w:rsidR="002760B2" w:rsidRPr="002B005F">
              <w:rPr>
                <w:rFonts w:ascii="Times New Roman" w:hAnsi="Times New Roman" w:cs="Times New Roman"/>
                <w:b w:val="0"/>
                <w:bCs w:val="0"/>
                <w:sz w:val="24"/>
                <w:szCs w:val="24"/>
              </w:rPr>
              <w:t>arantie</w:t>
            </w:r>
          </w:p>
        </w:tc>
        <w:tc>
          <w:tcPr>
            <w:tcW w:w="1984" w:type="dxa"/>
            <w:vAlign w:val="center"/>
          </w:tcPr>
          <w:p w14:paraId="3F4E9134" w14:textId="77777777" w:rsidR="002760B2" w:rsidRPr="002B005F" w:rsidRDefault="002760B2"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53</w:t>
            </w:r>
          </w:p>
        </w:tc>
        <w:tc>
          <w:tcPr>
            <w:tcW w:w="1701" w:type="dxa"/>
            <w:vAlign w:val="center"/>
          </w:tcPr>
          <w:p w14:paraId="44254C7C" w14:textId="77777777" w:rsidR="002760B2" w:rsidRPr="002B005F" w:rsidRDefault="00743205"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67.09</w:t>
            </w:r>
          </w:p>
        </w:tc>
      </w:tr>
      <w:tr w:rsidR="002760B2" w:rsidRPr="002B005F" w14:paraId="1811A7AD" w14:textId="77777777" w:rsidTr="00DE760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5EBCD35A" w14:textId="77777777" w:rsidR="002760B2" w:rsidRPr="002B005F" w:rsidRDefault="00001722" w:rsidP="00743205">
            <w:pPr>
              <w:pStyle w:val="Default"/>
              <w:tabs>
                <w:tab w:val="left" w:pos="0"/>
              </w:tabs>
              <w:ind w:left="113"/>
              <w:rPr>
                <w:b w:val="0"/>
                <w:bCs w:val="0"/>
                <w:color w:val="auto"/>
              </w:rPr>
            </w:pPr>
            <w:r w:rsidRPr="002B005F">
              <w:rPr>
                <w:b w:val="0"/>
                <w:bCs w:val="0"/>
                <w:color w:val="auto"/>
              </w:rPr>
              <w:t>S</w:t>
            </w:r>
            <w:r w:rsidR="002760B2" w:rsidRPr="002B005F">
              <w:rPr>
                <w:b w:val="0"/>
                <w:bCs w:val="0"/>
                <w:color w:val="auto"/>
              </w:rPr>
              <w:t>wap de taux de profit</w:t>
            </w:r>
          </w:p>
        </w:tc>
        <w:tc>
          <w:tcPr>
            <w:tcW w:w="1984" w:type="dxa"/>
            <w:vAlign w:val="center"/>
          </w:tcPr>
          <w:p w14:paraId="0D04FE10"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20</w:t>
            </w:r>
          </w:p>
        </w:tc>
        <w:tc>
          <w:tcPr>
            <w:tcW w:w="1701" w:type="dxa"/>
            <w:vAlign w:val="center"/>
          </w:tcPr>
          <w:p w14:paraId="1393618A" w14:textId="77777777" w:rsidR="002760B2" w:rsidRPr="002B005F" w:rsidRDefault="00743205"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25.32</w:t>
            </w:r>
          </w:p>
        </w:tc>
      </w:tr>
      <w:tr w:rsidR="002760B2" w:rsidRPr="002B005F" w14:paraId="41131B73" w14:textId="77777777" w:rsidTr="00DE760B">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785A68B1" w14:textId="631DB244" w:rsidR="002760B2" w:rsidRPr="002B005F" w:rsidRDefault="009543A1" w:rsidP="00743205">
            <w:pPr>
              <w:pStyle w:val="Default"/>
              <w:tabs>
                <w:tab w:val="left" w:pos="0"/>
              </w:tabs>
              <w:ind w:left="113"/>
              <w:rPr>
                <w:b w:val="0"/>
                <w:bCs w:val="0"/>
                <w:i/>
                <w:iCs/>
                <w:color w:val="auto"/>
              </w:rPr>
            </w:pPr>
            <w:r w:rsidRPr="002B005F">
              <w:rPr>
                <w:b w:val="0"/>
                <w:bCs w:val="0"/>
                <w:i/>
                <w:iCs/>
                <w:color w:val="auto"/>
              </w:rPr>
              <w:t>Al-wa’</w:t>
            </w:r>
            <w:r w:rsidR="00AC4110">
              <w:rPr>
                <w:b w:val="0"/>
                <w:bCs w:val="0"/>
                <w:i/>
                <w:iCs/>
                <w:color w:val="auto"/>
              </w:rPr>
              <w:t>a</w:t>
            </w:r>
            <w:r w:rsidR="002760B2" w:rsidRPr="002B005F">
              <w:rPr>
                <w:b w:val="0"/>
                <w:bCs w:val="0"/>
                <w:i/>
                <w:iCs/>
                <w:color w:val="auto"/>
              </w:rPr>
              <w:t>d</w:t>
            </w:r>
          </w:p>
        </w:tc>
        <w:tc>
          <w:tcPr>
            <w:tcW w:w="1984" w:type="dxa"/>
            <w:vAlign w:val="center"/>
          </w:tcPr>
          <w:p w14:paraId="3F6F4E21" w14:textId="77777777" w:rsidR="002760B2" w:rsidRPr="002B005F" w:rsidRDefault="002760B2"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10</w:t>
            </w:r>
          </w:p>
        </w:tc>
        <w:tc>
          <w:tcPr>
            <w:tcW w:w="1701" w:type="dxa"/>
            <w:vAlign w:val="center"/>
          </w:tcPr>
          <w:p w14:paraId="2C151D55" w14:textId="77777777" w:rsidR="002760B2" w:rsidRPr="002B005F" w:rsidRDefault="00743205"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12.66</w:t>
            </w:r>
          </w:p>
        </w:tc>
      </w:tr>
      <w:tr w:rsidR="002760B2" w:rsidRPr="002B005F" w14:paraId="0BE447E3" w14:textId="77777777" w:rsidTr="00DE760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1510CEE4" w14:textId="27FC568E" w:rsidR="002760B2" w:rsidRPr="002B005F" w:rsidRDefault="008C0622" w:rsidP="00743205">
            <w:pPr>
              <w:pStyle w:val="Default"/>
              <w:tabs>
                <w:tab w:val="left" w:pos="0"/>
              </w:tabs>
              <w:ind w:left="113"/>
              <w:rPr>
                <w:b w:val="0"/>
                <w:bCs w:val="0"/>
                <w:i/>
                <w:iCs/>
                <w:color w:val="auto"/>
              </w:rPr>
            </w:pPr>
            <w:r>
              <w:rPr>
                <w:b w:val="0"/>
                <w:bCs w:val="0"/>
                <w:i/>
                <w:iCs/>
                <w:color w:val="auto"/>
              </w:rPr>
              <w:t>A</w:t>
            </w:r>
            <w:r w:rsidR="00B13A51" w:rsidRPr="002B005F">
              <w:rPr>
                <w:b w:val="0"/>
                <w:bCs w:val="0"/>
                <w:i/>
                <w:iCs/>
                <w:color w:val="auto"/>
              </w:rPr>
              <w:t>’rboun</w:t>
            </w:r>
          </w:p>
        </w:tc>
        <w:tc>
          <w:tcPr>
            <w:tcW w:w="1984" w:type="dxa"/>
            <w:vAlign w:val="center"/>
          </w:tcPr>
          <w:p w14:paraId="40DDB893"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5</w:t>
            </w:r>
          </w:p>
        </w:tc>
        <w:tc>
          <w:tcPr>
            <w:tcW w:w="1701" w:type="dxa"/>
            <w:vAlign w:val="center"/>
          </w:tcPr>
          <w:p w14:paraId="14FEBEA4" w14:textId="77777777" w:rsidR="002760B2" w:rsidRPr="002B005F" w:rsidRDefault="00743205"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6.33</w:t>
            </w:r>
          </w:p>
        </w:tc>
      </w:tr>
      <w:tr w:rsidR="002760B2" w:rsidRPr="002B005F" w14:paraId="601DCCAA" w14:textId="77777777" w:rsidTr="00DE760B">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4FA68CAE" w14:textId="77777777" w:rsidR="002760B2" w:rsidRPr="002B005F" w:rsidRDefault="002760B2" w:rsidP="00743205">
            <w:pPr>
              <w:pStyle w:val="Default"/>
              <w:tabs>
                <w:tab w:val="left" w:pos="0"/>
              </w:tabs>
              <w:ind w:left="113"/>
              <w:rPr>
                <w:b w:val="0"/>
                <w:bCs w:val="0"/>
                <w:color w:val="auto"/>
              </w:rPr>
            </w:pPr>
            <w:r w:rsidRPr="002B005F">
              <w:rPr>
                <w:b w:val="0"/>
                <w:bCs w:val="0"/>
                <w:color w:val="auto"/>
              </w:rPr>
              <w:t>Profit Equalisation Reserve (PER)</w:t>
            </w:r>
          </w:p>
        </w:tc>
        <w:tc>
          <w:tcPr>
            <w:tcW w:w="1984" w:type="dxa"/>
            <w:vAlign w:val="center"/>
          </w:tcPr>
          <w:p w14:paraId="436FD869" w14:textId="77777777" w:rsidR="002760B2" w:rsidRPr="002B005F" w:rsidRDefault="002760B2"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35</w:t>
            </w:r>
          </w:p>
        </w:tc>
        <w:tc>
          <w:tcPr>
            <w:tcW w:w="1701" w:type="dxa"/>
            <w:vAlign w:val="center"/>
          </w:tcPr>
          <w:p w14:paraId="34CE0EE2" w14:textId="77777777" w:rsidR="002760B2" w:rsidRPr="002B005F" w:rsidRDefault="00743205" w:rsidP="007B1F67">
            <w:pPr>
              <w:pStyle w:val="Paragraphedeliste"/>
              <w:tabs>
                <w:tab w:val="left" w:pos="0"/>
              </w:tabs>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005F">
              <w:rPr>
                <w:rFonts w:ascii="Times New Roman" w:hAnsi="Times New Roman" w:cs="Times New Roman"/>
                <w:sz w:val="24"/>
                <w:szCs w:val="24"/>
              </w:rPr>
              <w:t>44.30</w:t>
            </w:r>
          </w:p>
        </w:tc>
      </w:tr>
      <w:tr w:rsidR="002760B2" w:rsidRPr="002B005F" w14:paraId="74771A2D" w14:textId="77777777" w:rsidTr="00DE760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72418A6B" w14:textId="77777777" w:rsidR="002760B2" w:rsidRPr="002B005F" w:rsidRDefault="002760B2" w:rsidP="00743205">
            <w:pPr>
              <w:pStyle w:val="Default"/>
              <w:tabs>
                <w:tab w:val="left" w:pos="0"/>
              </w:tabs>
              <w:ind w:left="113"/>
              <w:rPr>
                <w:b w:val="0"/>
                <w:bCs w:val="0"/>
                <w:color w:val="auto"/>
              </w:rPr>
            </w:pPr>
            <w:r w:rsidRPr="002B005F">
              <w:rPr>
                <w:b w:val="0"/>
                <w:bCs w:val="0"/>
                <w:color w:val="auto"/>
              </w:rPr>
              <w:t>Investment Risk Reserve (IRR)</w:t>
            </w:r>
          </w:p>
        </w:tc>
        <w:tc>
          <w:tcPr>
            <w:tcW w:w="1984" w:type="dxa"/>
            <w:vAlign w:val="center"/>
          </w:tcPr>
          <w:p w14:paraId="576823F4" w14:textId="77777777" w:rsidR="002760B2" w:rsidRPr="002B005F" w:rsidRDefault="002760B2"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B005F">
              <w:rPr>
                <w:rFonts w:ascii="Times New Roman" w:hAnsi="Times New Roman" w:cs="Times New Roman"/>
                <w:sz w:val="24"/>
                <w:szCs w:val="24"/>
                <w:lang w:val="en-GB"/>
              </w:rPr>
              <w:t>32</w:t>
            </w:r>
          </w:p>
        </w:tc>
        <w:tc>
          <w:tcPr>
            <w:tcW w:w="1701" w:type="dxa"/>
            <w:vAlign w:val="center"/>
          </w:tcPr>
          <w:p w14:paraId="513835DC" w14:textId="77777777" w:rsidR="002760B2" w:rsidRPr="002B005F" w:rsidRDefault="00743205" w:rsidP="007B1F67">
            <w:pPr>
              <w:pStyle w:val="Paragraphedeliste"/>
              <w:tabs>
                <w:tab w:val="left" w:pos="0"/>
              </w:tabs>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2B005F">
              <w:rPr>
                <w:rFonts w:ascii="Times New Roman" w:hAnsi="Times New Roman" w:cs="Times New Roman"/>
                <w:sz w:val="24"/>
                <w:szCs w:val="24"/>
                <w:lang w:val="en-GB"/>
              </w:rPr>
              <w:t>40.51</w:t>
            </w:r>
          </w:p>
        </w:tc>
      </w:tr>
    </w:tbl>
    <w:p w14:paraId="183427B6" w14:textId="77777777" w:rsidR="002760B2" w:rsidRPr="002B005F" w:rsidRDefault="002760B2" w:rsidP="00001722">
      <w:pPr>
        <w:tabs>
          <w:tab w:val="left" w:pos="-142"/>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du chercheur.</w:t>
      </w:r>
    </w:p>
    <w:p w14:paraId="23E4323B" w14:textId="77777777" w:rsidR="002760B2" w:rsidRPr="002B005F" w:rsidRDefault="00245F45" w:rsidP="00D66FFE">
      <w:pPr>
        <w:pStyle w:val="Titre4"/>
        <w:keepNext w:val="0"/>
        <w:spacing w:before="120" w:after="120" w:line="300" w:lineRule="auto"/>
        <w:ind w:firstLine="709"/>
      </w:pPr>
      <w:bookmarkStart w:id="1674" w:name="_Toc33263395"/>
      <w:bookmarkStart w:id="1675" w:name="_Toc37664658"/>
      <w:bookmarkStart w:id="1676" w:name="_Toc37666503"/>
      <w:bookmarkStart w:id="1677" w:name="_Toc54363400"/>
      <w:bookmarkStart w:id="1678" w:name="_Toc58606378"/>
      <w:bookmarkStart w:id="1679" w:name="_Toc61263583"/>
      <w:bookmarkStart w:id="1680" w:name="_Toc182298919"/>
      <w:r>
        <w:t>2</w:t>
      </w:r>
      <w:r w:rsidR="00071DF1">
        <w:t xml:space="preserve">.1.10- </w:t>
      </w:r>
      <w:r w:rsidR="00B42EBA">
        <w:t>A</w:t>
      </w:r>
      <w:r w:rsidR="002760B2" w:rsidRPr="002B005F">
        <w:t>venir des produits financiers participatifs</w:t>
      </w:r>
      <w:bookmarkEnd w:id="1674"/>
      <w:bookmarkEnd w:id="1675"/>
      <w:bookmarkEnd w:id="1676"/>
      <w:bookmarkEnd w:id="1677"/>
      <w:bookmarkEnd w:id="1678"/>
      <w:bookmarkEnd w:id="1679"/>
      <w:bookmarkEnd w:id="1680"/>
    </w:p>
    <w:p w14:paraId="0467D55B" w14:textId="77777777" w:rsidR="002760B2" w:rsidRPr="002B005F" w:rsidRDefault="002760B2" w:rsidP="004B0CF3">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La dernière section du questionnaire comprend deux questions </w:t>
      </w:r>
      <w:r w:rsidR="009543A1" w:rsidRPr="002B005F">
        <w:rPr>
          <w:rFonts w:ascii="Times New Roman" w:hAnsi="Times New Roman" w:cs="Times New Roman"/>
          <w:sz w:val="24"/>
          <w:szCs w:val="24"/>
        </w:rPr>
        <w:t xml:space="preserve">prospectives qui explorent les </w:t>
      </w:r>
      <w:r w:rsidRPr="002B005F">
        <w:rPr>
          <w:rFonts w:ascii="Times New Roman" w:hAnsi="Times New Roman" w:cs="Times New Roman"/>
          <w:sz w:val="24"/>
          <w:szCs w:val="24"/>
        </w:rPr>
        <w:t>différentes stratégies que les IFI devraient suivre pour prospérer. Les participants ont reçu un certain nombre de déclarations et ont été invités à exprimer leurs opinions. Les résultats liés aux stratégies de croissance pour les IFI (Q23) sont présentés au tableau 27.</w:t>
      </w:r>
    </w:p>
    <w:p w14:paraId="1E70C852" w14:textId="77777777" w:rsidR="002760B2" w:rsidRPr="002B005F" w:rsidRDefault="002760B2" w:rsidP="004B0CF3">
      <w:pPr>
        <w:tabs>
          <w:tab w:val="left" w:pos="0"/>
        </w:tabs>
        <w:autoSpaceDE w:val="0"/>
        <w:autoSpaceDN w:val="0"/>
        <w:adjustRightInd w:val="0"/>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Nous remarquons que la plupart des répondants préfèrent la première stratégie qui est la diversification avec une moyenne de 4.56 suivie par la stratégie de fusion-acquisition. Alors que l’innovation financière est classée en troisième rang. Ces résultats sont soutenus par les résu</w:t>
      </w:r>
      <w:r w:rsidR="004B0CF3" w:rsidRPr="002B005F">
        <w:rPr>
          <w:rFonts w:ascii="Times New Roman" w:hAnsi="Times New Roman" w:cs="Times New Roman"/>
          <w:sz w:val="24"/>
          <w:szCs w:val="24"/>
        </w:rPr>
        <w:t>ltats significatifs du test du C</w:t>
      </w:r>
      <w:r w:rsidRPr="002B005F">
        <w:rPr>
          <w:rFonts w:ascii="Times New Roman" w:hAnsi="Times New Roman" w:cs="Times New Roman"/>
          <w:sz w:val="24"/>
          <w:szCs w:val="24"/>
        </w:rPr>
        <w:t>hi-deux pour la plupart des stratégies.</w:t>
      </w:r>
    </w:p>
    <w:p w14:paraId="67C1B778" w14:textId="03BED94F" w:rsidR="00DE471E" w:rsidRPr="002B005F" w:rsidRDefault="00DE471E" w:rsidP="00AB41B4">
      <w:pPr>
        <w:pStyle w:val="Lgende"/>
        <w:tabs>
          <w:tab w:val="left" w:pos="0"/>
        </w:tabs>
        <w:spacing w:before="100" w:beforeAutospacing="1" w:after="120" w:line="300" w:lineRule="auto"/>
        <w:jc w:val="center"/>
        <w:rPr>
          <w:rFonts w:ascii="Times New Roman" w:hAnsi="Times New Roman" w:cs="Times New Roman"/>
          <w:color w:val="auto"/>
          <w:sz w:val="24"/>
          <w:szCs w:val="24"/>
        </w:rPr>
      </w:pPr>
      <w:bookmarkStart w:id="1681" w:name="_Toc115556095"/>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27</w:t>
      </w:r>
      <w:r w:rsidR="00B544E5" w:rsidRPr="002B005F">
        <w:rPr>
          <w:rFonts w:ascii="Times New Roman" w:hAnsi="Times New Roman" w:cs="Times New Roman"/>
          <w:color w:val="auto"/>
          <w:sz w:val="24"/>
          <w:szCs w:val="24"/>
        </w:rPr>
        <w:fldChar w:fldCharType="end"/>
      </w:r>
      <w:r w:rsidR="00001722"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Stratégie</w:t>
      </w:r>
      <w:r w:rsidR="00FA04AA" w:rsidRPr="002B005F">
        <w:rPr>
          <w:rFonts w:ascii="Times New Roman" w:hAnsi="Times New Roman" w:cs="Times New Roman"/>
          <w:color w:val="auto"/>
          <w:sz w:val="24"/>
          <w:szCs w:val="24"/>
        </w:rPr>
        <w:t>s</w:t>
      </w:r>
      <w:r w:rsidRPr="002B005F">
        <w:rPr>
          <w:rFonts w:ascii="Times New Roman" w:hAnsi="Times New Roman" w:cs="Times New Roman"/>
          <w:color w:val="auto"/>
          <w:sz w:val="24"/>
          <w:szCs w:val="24"/>
        </w:rPr>
        <w:t xml:space="preserve"> de développement des BI</w:t>
      </w:r>
      <w:bookmarkEnd w:id="1681"/>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535"/>
        <w:gridCol w:w="1134"/>
        <w:gridCol w:w="1134"/>
        <w:gridCol w:w="1134"/>
        <w:gridCol w:w="1134"/>
      </w:tblGrid>
      <w:tr w:rsidR="00C92F17" w:rsidRPr="002B005F" w14:paraId="0509D16C" w14:textId="77777777" w:rsidTr="00DE760B">
        <w:trPr>
          <w:trHeight w:val="510"/>
          <w:jc w:val="center"/>
        </w:trPr>
        <w:tc>
          <w:tcPr>
            <w:tcW w:w="4535" w:type="dxa"/>
            <w:shd w:val="clear" w:color="auto" w:fill="DBE5F1"/>
            <w:vAlign w:val="center"/>
          </w:tcPr>
          <w:p w14:paraId="0DA873F4" w14:textId="77777777" w:rsidR="00C92F17" w:rsidRPr="002B005F" w:rsidRDefault="00C92F17" w:rsidP="00C92F17">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sz w:val="24"/>
                <w:szCs w:val="24"/>
                <w:lang w:eastAsia="fr-FR"/>
              </w:rPr>
              <w:t>Causes</w:t>
            </w:r>
          </w:p>
        </w:tc>
        <w:tc>
          <w:tcPr>
            <w:tcW w:w="1134" w:type="dxa"/>
            <w:shd w:val="clear" w:color="auto" w:fill="DBE5F1"/>
            <w:vAlign w:val="center"/>
          </w:tcPr>
          <w:p w14:paraId="127506B3" w14:textId="77777777" w:rsidR="00C92F17" w:rsidRPr="002B005F" w:rsidRDefault="00C92F17" w:rsidP="00C92F17">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Moyenne</w:t>
            </w:r>
          </w:p>
        </w:tc>
        <w:tc>
          <w:tcPr>
            <w:tcW w:w="1134" w:type="dxa"/>
            <w:shd w:val="clear" w:color="auto" w:fill="DBE5F1"/>
            <w:vAlign w:val="center"/>
          </w:tcPr>
          <w:p w14:paraId="2E8EB734" w14:textId="77777777" w:rsidR="00C92F17" w:rsidRPr="002B005F" w:rsidRDefault="00C92F17" w:rsidP="00C92F17">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Médiane</w:t>
            </w:r>
          </w:p>
        </w:tc>
        <w:tc>
          <w:tcPr>
            <w:tcW w:w="1134" w:type="dxa"/>
            <w:shd w:val="clear" w:color="auto" w:fill="DBE5F1"/>
            <w:vAlign w:val="center"/>
          </w:tcPr>
          <w:p w14:paraId="341705E1" w14:textId="77777777" w:rsidR="00C92F17" w:rsidRPr="002B005F" w:rsidRDefault="00C92F17" w:rsidP="00C92F17">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Mode</w:t>
            </w:r>
          </w:p>
        </w:tc>
        <w:tc>
          <w:tcPr>
            <w:tcW w:w="1134" w:type="dxa"/>
            <w:shd w:val="clear" w:color="auto" w:fill="DBE5F1"/>
            <w:vAlign w:val="center"/>
          </w:tcPr>
          <w:p w14:paraId="72496738" w14:textId="77777777" w:rsidR="00C92F17" w:rsidRPr="002B005F" w:rsidRDefault="00C92F17" w:rsidP="00C92F17">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Chi-deux</w:t>
            </w:r>
          </w:p>
        </w:tc>
      </w:tr>
      <w:tr w:rsidR="00C92F17" w:rsidRPr="002B005F" w14:paraId="0B2CD0C8" w14:textId="77777777" w:rsidTr="00DE760B">
        <w:trPr>
          <w:trHeight w:val="510"/>
          <w:jc w:val="center"/>
        </w:trPr>
        <w:tc>
          <w:tcPr>
            <w:tcW w:w="4535" w:type="dxa"/>
            <w:shd w:val="clear" w:color="auto" w:fill="auto"/>
            <w:vAlign w:val="center"/>
          </w:tcPr>
          <w:p w14:paraId="64B3DC4C" w14:textId="77777777" w:rsidR="00C92F17" w:rsidRPr="002B005F" w:rsidRDefault="004B1423" w:rsidP="00C92F17">
            <w:pPr>
              <w:tabs>
                <w:tab w:val="left" w:pos="0"/>
                <w:tab w:val="center" w:pos="4536"/>
              </w:tabs>
              <w:spacing w:line="240" w:lineRule="auto"/>
              <w:ind w:left="198"/>
              <w:jc w:val="left"/>
              <w:rPr>
                <w:rFonts w:ascii="Times New Roman" w:eastAsia="Calibri" w:hAnsi="Times New Roman" w:cs="Times New Roman"/>
                <w:sz w:val="24"/>
                <w:szCs w:val="24"/>
              </w:rPr>
            </w:pPr>
            <w:r>
              <w:rPr>
                <w:rFonts w:ascii="Times New Roman" w:eastAsia="Calibri" w:hAnsi="Times New Roman" w:cs="Times New Roman"/>
                <w:sz w:val="24"/>
                <w:szCs w:val="24"/>
              </w:rPr>
              <w:t>D</w:t>
            </w:r>
            <w:r w:rsidR="00C92F17" w:rsidRPr="002B005F">
              <w:rPr>
                <w:rFonts w:ascii="Times New Roman" w:eastAsia="Calibri" w:hAnsi="Times New Roman" w:cs="Times New Roman"/>
                <w:sz w:val="24"/>
                <w:szCs w:val="24"/>
              </w:rPr>
              <w:t>iversification</w:t>
            </w:r>
          </w:p>
        </w:tc>
        <w:tc>
          <w:tcPr>
            <w:tcW w:w="1134" w:type="dxa"/>
            <w:shd w:val="clear" w:color="auto" w:fill="auto"/>
            <w:vAlign w:val="center"/>
          </w:tcPr>
          <w:p w14:paraId="6317350F"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4.56</w:t>
            </w:r>
          </w:p>
        </w:tc>
        <w:tc>
          <w:tcPr>
            <w:tcW w:w="1134" w:type="dxa"/>
            <w:vAlign w:val="center"/>
          </w:tcPr>
          <w:p w14:paraId="0C5B7E68"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w:t>
            </w:r>
          </w:p>
        </w:tc>
        <w:tc>
          <w:tcPr>
            <w:tcW w:w="1134" w:type="dxa"/>
            <w:vAlign w:val="center"/>
          </w:tcPr>
          <w:p w14:paraId="2D0D1C39"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w:t>
            </w:r>
          </w:p>
        </w:tc>
        <w:tc>
          <w:tcPr>
            <w:tcW w:w="1134" w:type="dxa"/>
            <w:vAlign w:val="center"/>
          </w:tcPr>
          <w:p w14:paraId="6B007246" w14:textId="77777777" w:rsidR="00C92F17" w:rsidRPr="002B005F" w:rsidRDefault="00C92F17" w:rsidP="00C92F17">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0.000</w:t>
            </w:r>
          </w:p>
        </w:tc>
      </w:tr>
      <w:tr w:rsidR="00C92F17" w:rsidRPr="002B005F" w14:paraId="1BA6DDC6" w14:textId="77777777" w:rsidTr="00DE760B">
        <w:trPr>
          <w:trHeight w:val="510"/>
          <w:jc w:val="center"/>
        </w:trPr>
        <w:tc>
          <w:tcPr>
            <w:tcW w:w="4535" w:type="dxa"/>
            <w:shd w:val="clear" w:color="auto" w:fill="auto"/>
            <w:vAlign w:val="center"/>
          </w:tcPr>
          <w:p w14:paraId="51524B1E" w14:textId="77777777" w:rsidR="00C92F17" w:rsidRPr="002B005F" w:rsidRDefault="004B1423" w:rsidP="00C92F17">
            <w:pPr>
              <w:tabs>
                <w:tab w:val="left" w:pos="0"/>
                <w:tab w:val="center" w:pos="4536"/>
              </w:tabs>
              <w:spacing w:line="240" w:lineRule="auto"/>
              <w:ind w:left="198"/>
              <w:jc w:val="left"/>
              <w:rPr>
                <w:rFonts w:ascii="Times New Roman" w:eastAsia="Calibri" w:hAnsi="Times New Roman" w:cs="Times New Roman"/>
                <w:sz w:val="24"/>
                <w:szCs w:val="24"/>
              </w:rPr>
            </w:pPr>
            <w:r>
              <w:rPr>
                <w:rFonts w:ascii="Times New Roman" w:eastAsia="Calibri" w:hAnsi="Times New Roman" w:cs="Times New Roman"/>
                <w:sz w:val="24"/>
                <w:szCs w:val="24"/>
              </w:rPr>
              <w:t>I</w:t>
            </w:r>
            <w:r w:rsidR="00C92F17" w:rsidRPr="002B005F">
              <w:rPr>
                <w:rFonts w:ascii="Times New Roman" w:eastAsia="Calibri" w:hAnsi="Times New Roman" w:cs="Times New Roman"/>
                <w:sz w:val="24"/>
                <w:szCs w:val="24"/>
              </w:rPr>
              <w:t>nnovation financière</w:t>
            </w:r>
          </w:p>
        </w:tc>
        <w:tc>
          <w:tcPr>
            <w:tcW w:w="1134" w:type="dxa"/>
            <w:shd w:val="clear" w:color="auto" w:fill="auto"/>
            <w:vAlign w:val="center"/>
          </w:tcPr>
          <w:p w14:paraId="5D189C28"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3.20</w:t>
            </w:r>
          </w:p>
        </w:tc>
        <w:tc>
          <w:tcPr>
            <w:tcW w:w="1134" w:type="dxa"/>
            <w:vAlign w:val="center"/>
          </w:tcPr>
          <w:p w14:paraId="142B97B4"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6767A0D1"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0D915642" w14:textId="77777777" w:rsidR="00C92F17" w:rsidRPr="002B005F" w:rsidRDefault="00C92F17" w:rsidP="00C92F17">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0.000</w:t>
            </w:r>
          </w:p>
        </w:tc>
      </w:tr>
      <w:tr w:rsidR="00C92F17" w:rsidRPr="002B005F" w14:paraId="1FCF71CC" w14:textId="77777777" w:rsidTr="00DE760B">
        <w:trPr>
          <w:trHeight w:val="510"/>
          <w:jc w:val="center"/>
        </w:trPr>
        <w:tc>
          <w:tcPr>
            <w:tcW w:w="4535" w:type="dxa"/>
            <w:shd w:val="clear" w:color="auto" w:fill="auto"/>
            <w:vAlign w:val="center"/>
          </w:tcPr>
          <w:p w14:paraId="6B96A674" w14:textId="77777777" w:rsidR="00C92F17" w:rsidRPr="002B005F" w:rsidRDefault="004B1423" w:rsidP="00C92F17">
            <w:pPr>
              <w:tabs>
                <w:tab w:val="left" w:pos="0"/>
                <w:tab w:val="center" w:pos="4536"/>
              </w:tabs>
              <w:spacing w:line="240" w:lineRule="auto"/>
              <w:ind w:left="198"/>
              <w:jc w:val="left"/>
              <w:rPr>
                <w:rFonts w:ascii="Times New Roman" w:eastAsia="Calibri" w:hAnsi="Times New Roman" w:cs="Times New Roman"/>
                <w:sz w:val="24"/>
                <w:szCs w:val="24"/>
              </w:rPr>
            </w:pPr>
            <w:r>
              <w:rPr>
                <w:rFonts w:ascii="Times New Roman" w:eastAsia="Calibri" w:hAnsi="Times New Roman" w:cs="Times New Roman"/>
                <w:sz w:val="24"/>
                <w:szCs w:val="24"/>
              </w:rPr>
              <w:t>F</w:t>
            </w:r>
            <w:r w:rsidR="00C92F17" w:rsidRPr="002B005F">
              <w:rPr>
                <w:rFonts w:ascii="Times New Roman" w:eastAsia="Calibri" w:hAnsi="Times New Roman" w:cs="Times New Roman"/>
                <w:sz w:val="24"/>
                <w:szCs w:val="24"/>
              </w:rPr>
              <w:t>usion-acquisition</w:t>
            </w:r>
          </w:p>
        </w:tc>
        <w:tc>
          <w:tcPr>
            <w:tcW w:w="1134" w:type="dxa"/>
            <w:shd w:val="clear" w:color="auto" w:fill="auto"/>
            <w:vAlign w:val="center"/>
          </w:tcPr>
          <w:p w14:paraId="0D7CB2D2"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4.22</w:t>
            </w:r>
          </w:p>
        </w:tc>
        <w:tc>
          <w:tcPr>
            <w:tcW w:w="1134" w:type="dxa"/>
            <w:vAlign w:val="center"/>
          </w:tcPr>
          <w:p w14:paraId="03E4CD60"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3</w:t>
            </w:r>
          </w:p>
        </w:tc>
        <w:tc>
          <w:tcPr>
            <w:tcW w:w="1134" w:type="dxa"/>
            <w:vAlign w:val="center"/>
          </w:tcPr>
          <w:p w14:paraId="7BA7A05B"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4</w:t>
            </w:r>
          </w:p>
        </w:tc>
        <w:tc>
          <w:tcPr>
            <w:tcW w:w="1134" w:type="dxa"/>
            <w:vAlign w:val="center"/>
          </w:tcPr>
          <w:p w14:paraId="68BFC402" w14:textId="77777777" w:rsidR="00C92F17" w:rsidRPr="002B005F" w:rsidRDefault="00C92F17" w:rsidP="00C92F17">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0.000</w:t>
            </w:r>
          </w:p>
        </w:tc>
      </w:tr>
      <w:tr w:rsidR="00C92F17" w:rsidRPr="002B005F" w14:paraId="686AB07D" w14:textId="77777777" w:rsidTr="00DE760B">
        <w:trPr>
          <w:trHeight w:val="510"/>
          <w:jc w:val="center"/>
        </w:trPr>
        <w:tc>
          <w:tcPr>
            <w:tcW w:w="4535" w:type="dxa"/>
            <w:shd w:val="clear" w:color="auto" w:fill="auto"/>
            <w:vAlign w:val="center"/>
          </w:tcPr>
          <w:p w14:paraId="744D5641" w14:textId="77777777" w:rsidR="00C92F17" w:rsidRPr="002B005F" w:rsidRDefault="004B1423" w:rsidP="004B1423">
            <w:pPr>
              <w:tabs>
                <w:tab w:val="left" w:pos="0"/>
                <w:tab w:val="center" w:pos="4536"/>
              </w:tabs>
              <w:spacing w:line="240" w:lineRule="auto"/>
              <w:ind w:left="198"/>
              <w:jc w:val="left"/>
              <w:rPr>
                <w:rFonts w:ascii="Times New Roman" w:eastAsia="Calibri" w:hAnsi="Times New Roman" w:cs="Times New Roman"/>
                <w:sz w:val="24"/>
                <w:szCs w:val="24"/>
              </w:rPr>
            </w:pPr>
            <w:r>
              <w:rPr>
                <w:rFonts w:ascii="Times New Roman" w:eastAsia="Calibri" w:hAnsi="Times New Roman" w:cs="Times New Roman"/>
                <w:sz w:val="24"/>
                <w:szCs w:val="24"/>
              </w:rPr>
              <w:t>C</w:t>
            </w:r>
            <w:r w:rsidR="00C92F17" w:rsidRPr="002B005F">
              <w:rPr>
                <w:rFonts w:ascii="Times New Roman" w:eastAsia="Calibri" w:hAnsi="Times New Roman" w:cs="Times New Roman"/>
                <w:sz w:val="24"/>
                <w:szCs w:val="24"/>
              </w:rPr>
              <w:t>roissance</w:t>
            </w:r>
          </w:p>
        </w:tc>
        <w:tc>
          <w:tcPr>
            <w:tcW w:w="1134" w:type="dxa"/>
            <w:shd w:val="clear" w:color="auto" w:fill="auto"/>
            <w:vAlign w:val="center"/>
          </w:tcPr>
          <w:p w14:paraId="55F2EFD3"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2.95</w:t>
            </w:r>
          </w:p>
        </w:tc>
        <w:tc>
          <w:tcPr>
            <w:tcW w:w="1134" w:type="dxa"/>
            <w:vAlign w:val="center"/>
          </w:tcPr>
          <w:p w14:paraId="63E7675D"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w:t>
            </w:r>
          </w:p>
        </w:tc>
        <w:tc>
          <w:tcPr>
            <w:tcW w:w="1134" w:type="dxa"/>
            <w:vAlign w:val="center"/>
          </w:tcPr>
          <w:p w14:paraId="3F754256" w14:textId="77777777" w:rsidR="00C92F17" w:rsidRPr="002B005F" w:rsidRDefault="00C92F17" w:rsidP="00C92F17">
            <w:pPr>
              <w:tabs>
                <w:tab w:val="left" w:pos="0"/>
              </w:tabs>
              <w:spacing w:line="240" w:lineRule="auto"/>
              <w:jc w:val="center"/>
              <w:rPr>
                <w:rFonts w:ascii="Times New Roman" w:eastAsia="Calibri" w:hAnsi="Times New Roman" w:cs="Times New Roman"/>
                <w:color w:val="000000"/>
              </w:rPr>
            </w:pPr>
            <w:r w:rsidRPr="002B005F">
              <w:rPr>
                <w:rFonts w:ascii="Times New Roman" w:eastAsia="Calibri" w:hAnsi="Times New Roman" w:cs="Times New Roman"/>
                <w:color w:val="000000"/>
              </w:rPr>
              <w:t>2</w:t>
            </w:r>
          </w:p>
        </w:tc>
        <w:tc>
          <w:tcPr>
            <w:tcW w:w="1134" w:type="dxa"/>
            <w:vAlign w:val="center"/>
          </w:tcPr>
          <w:p w14:paraId="107EB822" w14:textId="77777777" w:rsidR="00C92F17" w:rsidRPr="002B005F" w:rsidRDefault="00C92F17" w:rsidP="00C92F17">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color w:val="000000"/>
              </w:rPr>
              <w:t>0.000</w:t>
            </w:r>
          </w:p>
        </w:tc>
      </w:tr>
    </w:tbl>
    <w:p w14:paraId="600197D4" w14:textId="77777777" w:rsidR="002760B2" w:rsidRPr="002B005F" w:rsidRDefault="002760B2" w:rsidP="004B0CF3">
      <w:pPr>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du chercheur.</w:t>
      </w:r>
    </w:p>
    <w:p w14:paraId="382A99DA" w14:textId="77777777" w:rsidR="002760B2" w:rsidRPr="00DE760B" w:rsidRDefault="002760B2" w:rsidP="00A450B5">
      <w:pPr>
        <w:tabs>
          <w:tab w:val="left" w:pos="0"/>
        </w:tabs>
        <w:spacing w:line="300" w:lineRule="auto"/>
        <w:ind w:firstLine="709"/>
        <w:rPr>
          <w:rFonts w:ascii="Times New Roman" w:hAnsi="Times New Roman" w:cs="Times New Roman"/>
          <w:spacing w:val="6"/>
          <w:sz w:val="24"/>
          <w:szCs w:val="24"/>
        </w:rPr>
      </w:pPr>
      <w:r w:rsidRPr="00DE760B">
        <w:rPr>
          <w:rFonts w:ascii="Times New Roman" w:hAnsi="Times New Roman" w:cs="Times New Roman"/>
          <w:spacing w:val="6"/>
          <w:sz w:val="24"/>
          <w:szCs w:val="24"/>
        </w:rPr>
        <w:t>Pour la dernière question du questionnaire Q24, nous avons demandé aux interrogés de choisir entre les propositions qui présentent les mesures à prendre par les BI pour favoriser le recours aux techniques de financement participatif. Les réponses sont présentées dans le tableau ci-dessous.</w:t>
      </w:r>
    </w:p>
    <w:p w14:paraId="555D0102" w14:textId="77777777" w:rsidR="003742EB" w:rsidRPr="00DE760B" w:rsidRDefault="00721029" w:rsidP="009C03EB">
      <w:pPr>
        <w:tabs>
          <w:tab w:val="left" w:pos="0"/>
        </w:tabs>
        <w:spacing w:before="120" w:after="120" w:line="300" w:lineRule="auto"/>
        <w:ind w:firstLine="709"/>
        <w:rPr>
          <w:rFonts w:ascii="Times New Roman" w:hAnsi="Times New Roman" w:cs="Times New Roman"/>
          <w:spacing w:val="6"/>
          <w:sz w:val="24"/>
          <w:szCs w:val="24"/>
        </w:rPr>
      </w:pPr>
      <w:r w:rsidRPr="00DE760B">
        <w:rPr>
          <w:rFonts w:ascii="Times New Roman" w:hAnsi="Times New Roman" w:cs="Times New Roman"/>
          <w:spacing w:val="6"/>
          <w:sz w:val="24"/>
          <w:szCs w:val="24"/>
        </w:rPr>
        <w:t xml:space="preserve">Dans le </w:t>
      </w:r>
      <w:r w:rsidRPr="00DE760B">
        <w:rPr>
          <w:rFonts w:ascii="Times New Roman" w:hAnsi="Times New Roman" w:cs="Times New Roman"/>
          <w:b/>
          <w:bCs/>
          <w:spacing w:val="6"/>
          <w:sz w:val="24"/>
          <w:szCs w:val="24"/>
        </w:rPr>
        <w:t>tableau 28</w:t>
      </w:r>
      <w:r w:rsidRPr="00DE760B">
        <w:rPr>
          <w:rFonts w:ascii="Times New Roman" w:hAnsi="Times New Roman" w:cs="Times New Roman"/>
          <w:spacing w:val="6"/>
          <w:sz w:val="24"/>
          <w:szCs w:val="24"/>
        </w:rPr>
        <w:t xml:space="preserve">, nous constatons </w:t>
      </w:r>
      <w:r w:rsidR="002760B2" w:rsidRPr="00DE760B">
        <w:rPr>
          <w:rFonts w:ascii="Times New Roman" w:hAnsi="Times New Roman" w:cs="Times New Roman"/>
          <w:spacing w:val="6"/>
          <w:sz w:val="24"/>
          <w:szCs w:val="24"/>
        </w:rPr>
        <w:t xml:space="preserve">que les répondants estiment que les BI doivent en premier lieu embaucher un personnel qualifié apte à gérer le </w:t>
      </w:r>
      <w:r w:rsidR="00AB41B4" w:rsidRPr="00DE760B">
        <w:rPr>
          <w:rFonts w:ascii="Times New Roman" w:hAnsi="Times New Roman" w:cs="Times New Roman"/>
          <w:spacing w:val="6"/>
          <w:sz w:val="24"/>
          <w:szCs w:val="24"/>
        </w:rPr>
        <w:t>financement de</w:t>
      </w:r>
      <w:r w:rsidR="002760B2" w:rsidRPr="00DE760B">
        <w:rPr>
          <w:rFonts w:ascii="Times New Roman" w:hAnsi="Times New Roman" w:cs="Times New Roman"/>
          <w:spacing w:val="6"/>
          <w:sz w:val="24"/>
          <w:szCs w:val="24"/>
        </w:rPr>
        <w:t xml:space="preserve"> grands projets d’investissement (moyenne égale à 3.60), et proposer </w:t>
      </w:r>
      <w:r w:rsidRPr="00DE760B">
        <w:rPr>
          <w:rFonts w:ascii="Times New Roman" w:hAnsi="Times New Roman" w:cs="Times New Roman"/>
          <w:spacing w:val="6"/>
          <w:sz w:val="24"/>
          <w:szCs w:val="24"/>
        </w:rPr>
        <w:t>des taux de rémunération</w:t>
      </w:r>
      <w:r w:rsidR="002760B2" w:rsidRPr="00DE760B">
        <w:rPr>
          <w:rFonts w:ascii="Times New Roman" w:hAnsi="Times New Roman" w:cs="Times New Roman"/>
          <w:spacing w:val="6"/>
          <w:sz w:val="24"/>
          <w:szCs w:val="24"/>
        </w:rPr>
        <w:t xml:space="preserve"> plus compétitifs que ceux des banques conventionnelles (3.35). D’ailleurs, elles doivent se diriger vers le financement des IDE pour créer des opportunités d’investissement très importantes (3.00). Toutes ces mesures peuvent faciliter l’utilisation des produits financiers participatifs et minimiser les risques qui lui sont associés.</w:t>
      </w:r>
    </w:p>
    <w:p w14:paraId="6BFC8822" w14:textId="149A20B3" w:rsidR="00DE471E" w:rsidRPr="002B005F" w:rsidRDefault="00DE471E" w:rsidP="009C03EB">
      <w:pPr>
        <w:spacing w:before="100" w:beforeAutospacing="1" w:after="120" w:line="300" w:lineRule="auto"/>
        <w:jc w:val="center"/>
        <w:rPr>
          <w:rFonts w:ascii="Times New Roman" w:hAnsi="Times New Roman" w:cs="Times New Roman"/>
          <w:b/>
          <w:bCs/>
          <w:sz w:val="24"/>
          <w:szCs w:val="24"/>
        </w:rPr>
      </w:pPr>
      <w:bookmarkStart w:id="1682" w:name="_Toc115556096"/>
      <w:r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28</w:t>
      </w:r>
      <w:r w:rsidR="00B544E5" w:rsidRPr="002B005F">
        <w:rPr>
          <w:rFonts w:ascii="Times New Roman" w:hAnsi="Times New Roman" w:cs="Times New Roman"/>
          <w:b/>
          <w:bCs/>
          <w:sz w:val="24"/>
          <w:szCs w:val="24"/>
        </w:rPr>
        <w:fldChar w:fldCharType="end"/>
      </w:r>
      <w:r w:rsidR="009C03EB" w:rsidRPr="002B005F">
        <w:rPr>
          <w:rFonts w:ascii="Times New Roman" w:hAnsi="Times New Roman" w:cs="Times New Roman"/>
          <w:b/>
          <w:bCs/>
          <w:sz w:val="24"/>
          <w:szCs w:val="24"/>
        </w:rPr>
        <w:t>-</w:t>
      </w:r>
      <w:r w:rsidRPr="002B005F">
        <w:rPr>
          <w:rFonts w:ascii="Times New Roman" w:hAnsi="Times New Roman" w:cs="Times New Roman"/>
          <w:b/>
          <w:bCs/>
          <w:sz w:val="24"/>
          <w:szCs w:val="24"/>
        </w:rPr>
        <w:t xml:space="preserve"> Mesures qui favorisent le développement des produits M-M</w:t>
      </w:r>
      <w:bookmarkEnd w:id="1682"/>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535"/>
        <w:gridCol w:w="1134"/>
        <w:gridCol w:w="1134"/>
        <w:gridCol w:w="1134"/>
        <w:gridCol w:w="1134"/>
      </w:tblGrid>
      <w:tr w:rsidR="009C03EB" w:rsidRPr="002B005F" w14:paraId="23495233" w14:textId="77777777" w:rsidTr="00DE760B">
        <w:trPr>
          <w:trHeight w:val="680"/>
          <w:jc w:val="center"/>
        </w:trPr>
        <w:tc>
          <w:tcPr>
            <w:tcW w:w="4535" w:type="dxa"/>
            <w:shd w:val="clear" w:color="auto" w:fill="DBE5F1"/>
            <w:vAlign w:val="center"/>
          </w:tcPr>
          <w:p w14:paraId="51FF7B75" w14:textId="77777777" w:rsidR="009C03EB" w:rsidRPr="002B005F" w:rsidRDefault="009C03EB" w:rsidP="009C03EB">
            <w:pPr>
              <w:tabs>
                <w:tab w:val="left" w:pos="0"/>
              </w:tabs>
              <w:spacing w:line="240" w:lineRule="auto"/>
              <w:jc w:val="center"/>
              <w:rPr>
                <w:rFonts w:ascii="Times New Roman" w:eastAsia="Times New Roman" w:hAnsi="Times New Roman" w:cs="Times New Roman"/>
                <w:b/>
                <w:bCs/>
                <w:sz w:val="24"/>
                <w:szCs w:val="24"/>
                <w:lang w:eastAsia="fr-FR"/>
              </w:rPr>
            </w:pPr>
            <w:r w:rsidRPr="002B005F">
              <w:rPr>
                <w:rFonts w:ascii="Times New Roman" w:eastAsia="Times New Roman" w:hAnsi="Times New Roman" w:cs="Times New Roman"/>
                <w:b/>
                <w:bCs/>
                <w:lang w:eastAsia="fr-FR"/>
              </w:rPr>
              <w:t>Mesures</w:t>
            </w:r>
          </w:p>
        </w:tc>
        <w:tc>
          <w:tcPr>
            <w:tcW w:w="1134" w:type="dxa"/>
            <w:shd w:val="clear" w:color="auto" w:fill="DBE5F1"/>
            <w:vAlign w:val="center"/>
          </w:tcPr>
          <w:p w14:paraId="51302220" w14:textId="77777777" w:rsidR="009C03EB" w:rsidRPr="002B005F" w:rsidRDefault="009C03EB" w:rsidP="009C03EB">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Moyenne</w:t>
            </w:r>
          </w:p>
        </w:tc>
        <w:tc>
          <w:tcPr>
            <w:tcW w:w="1134" w:type="dxa"/>
            <w:shd w:val="clear" w:color="auto" w:fill="DBE5F1"/>
            <w:vAlign w:val="center"/>
          </w:tcPr>
          <w:p w14:paraId="3E9A11AC" w14:textId="77777777" w:rsidR="009C03EB" w:rsidRPr="002B005F" w:rsidRDefault="009C03EB" w:rsidP="009C03EB">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Médiane</w:t>
            </w:r>
          </w:p>
        </w:tc>
        <w:tc>
          <w:tcPr>
            <w:tcW w:w="1134" w:type="dxa"/>
            <w:shd w:val="clear" w:color="auto" w:fill="DBE5F1"/>
            <w:vAlign w:val="center"/>
          </w:tcPr>
          <w:p w14:paraId="37A4CA7A" w14:textId="77777777" w:rsidR="009C03EB" w:rsidRPr="002B005F" w:rsidRDefault="009C03EB" w:rsidP="009C03EB">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Mode</w:t>
            </w:r>
          </w:p>
        </w:tc>
        <w:tc>
          <w:tcPr>
            <w:tcW w:w="1134" w:type="dxa"/>
            <w:shd w:val="clear" w:color="auto" w:fill="DBE5F1"/>
            <w:vAlign w:val="center"/>
          </w:tcPr>
          <w:p w14:paraId="47F87FBD" w14:textId="77777777" w:rsidR="009C03EB" w:rsidRPr="002B005F" w:rsidRDefault="009C03EB" w:rsidP="009C03EB">
            <w:pPr>
              <w:tabs>
                <w:tab w:val="left" w:pos="0"/>
              </w:tabs>
              <w:spacing w:line="240" w:lineRule="auto"/>
              <w:jc w:val="center"/>
              <w:rPr>
                <w:rFonts w:ascii="Times New Roman" w:eastAsia="Times New Roman" w:hAnsi="Times New Roman" w:cs="Times New Roman"/>
                <w:b/>
                <w:bCs/>
                <w:lang w:eastAsia="fr-FR"/>
              </w:rPr>
            </w:pPr>
            <w:r w:rsidRPr="002B005F">
              <w:rPr>
                <w:rFonts w:ascii="Times New Roman" w:eastAsia="Times New Roman" w:hAnsi="Times New Roman" w:cs="Times New Roman"/>
                <w:b/>
                <w:bCs/>
                <w:lang w:eastAsia="fr-FR"/>
              </w:rPr>
              <w:t>Chi-deux</w:t>
            </w:r>
          </w:p>
        </w:tc>
      </w:tr>
      <w:tr w:rsidR="009C03EB" w:rsidRPr="002B005F" w14:paraId="4AFED14E" w14:textId="77777777" w:rsidTr="00DE760B">
        <w:trPr>
          <w:trHeight w:val="680"/>
          <w:jc w:val="center"/>
        </w:trPr>
        <w:tc>
          <w:tcPr>
            <w:tcW w:w="4535" w:type="dxa"/>
            <w:shd w:val="clear" w:color="auto" w:fill="auto"/>
            <w:vAlign w:val="center"/>
          </w:tcPr>
          <w:p w14:paraId="4EE32E84" w14:textId="77777777" w:rsidR="009C03EB" w:rsidRPr="002B005F" w:rsidRDefault="009C03EB" w:rsidP="00A450B5">
            <w:pPr>
              <w:tabs>
                <w:tab w:val="left" w:pos="0"/>
                <w:tab w:val="center" w:pos="4536"/>
              </w:tabs>
              <w:spacing w:line="240" w:lineRule="auto"/>
              <w:ind w:left="57" w:right="57"/>
              <w:jc w:val="left"/>
              <w:rPr>
                <w:rFonts w:ascii="Times New Roman" w:eastAsia="Calibri" w:hAnsi="Times New Roman" w:cs="Times New Roman"/>
                <w:sz w:val="24"/>
                <w:szCs w:val="24"/>
              </w:rPr>
            </w:pPr>
            <w:r w:rsidRPr="002B005F">
              <w:rPr>
                <w:rFonts w:ascii="Times New Roman" w:eastAsia="Calibri" w:hAnsi="Times New Roman" w:cs="Times New Roman"/>
                <w:sz w:val="24"/>
                <w:szCs w:val="24"/>
              </w:rPr>
              <w:t>Renforcer la transparence entre la BI et l’entrepreneur.</w:t>
            </w:r>
          </w:p>
        </w:tc>
        <w:tc>
          <w:tcPr>
            <w:tcW w:w="1134" w:type="dxa"/>
            <w:shd w:val="clear" w:color="auto" w:fill="auto"/>
            <w:vAlign w:val="center"/>
          </w:tcPr>
          <w:p w14:paraId="7C7C5C6F"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2,96</w:t>
            </w:r>
          </w:p>
        </w:tc>
        <w:tc>
          <w:tcPr>
            <w:tcW w:w="1134" w:type="dxa"/>
            <w:vAlign w:val="center"/>
          </w:tcPr>
          <w:p w14:paraId="49F31066"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3,00</w:t>
            </w:r>
          </w:p>
        </w:tc>
        <w:tc>
          <w:tcPr>
            <w:tcW w:w="1134" w:type="dxa"/>
            <w:vAlign w:val="center"/>
          </w:tcPr>
          <w:p w14:paraId="0CC8FF7C"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4</w:t>
            </w:r>
          </w:p>
        </w:tc>
        <w:tc>
          <w:tcPr>
            <w:tcW w:w="1134" w:type="dxa"/>
            <w:vAlign w:val="center"/>
          </w:tcPr>
          <w:p w14:paraId="15FDF724" w14:textId="77777777" w:rsidR="009C03EB" w:rsidRPr="002B005F" w:rsidRDefault="009C03EB" w:rsidP="009C03EB">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rPr>
              <w:t>0.000</w:t>
            </w:r>
          </w:p>
        </w:tc>
      </w:tr>
      <w:tr w:rsidR="009C03EB" w:rsidRPr="002B005F" w14:paraId="2EF08C7B" w14:textId="77777777" w:rsidTr="00DE760B">
        <w:trPr>
          <w:trHeight w:val="680"/>
          <w:jc w:val="center"/>
        </w:trPr>
        <w:tc>
          <w:tcPr>
            <w:tcW w:w="4535" w:type="dxa"/>
            <w:shd w:val="clear" w:color="auto" w:fill="auto"/>
            <w:vAlign w:val="center"/>
          </w:tcPr>
          <w:p w14:paraId="2CB08424" w14:textId="77777777" w:rsidR="009C03EB" w:rsidRPr="002B005F" w:rsidRDefault="009C03EB" w:rsidP="00A450B5">
            <w:pPr>
              <w:tabs>
                <w:tab w:val="left" w:pos="0"/>
                <w:tab w:val="center" w:pos="4536"/>
              </w:tabs>
              <w:spacing w:line="240" w:lineRule="auto"/>
              <w:ind w:left="57" w:right="57"/>
              <w:jc w:val="left"/>
              <w:rPr>
                <w:rFonts w:ascii="Times New Roman" w:eastAsia="Calibri" w:hAnsi="Times New Roman" w:cs="Times New Roman"/>
                <w:sz w:val="24"/>
                <w:szCs w:val="24"/>
              </w:rPr>
            </w:pPr>
            <w:r w:rsidRPr="002B005F">
              <w:rPr>
                <w:rFonts w:ascii="Times New Roman" w:eastAsia="Calibri" w:hAnsi="Times New Roman" w:cs="Times New Roman"/>
                <w:sz w:val="24"/>
                <w:szCs w:val="24"/>
              </w:rPr>
              <w:t>Embaucher un personnel qualifié apte à gérer le financement de grands projets d’investissement.</w:t>
            </w:r>
          </w:p>
        </w:tc>
        <w:tc>
          <w:tcPr>
            <w:tcW w:w="1134" w:type="dxa"/>
            <w:shd w:val="clear" w:color="auto" w:fill="auto"/>
            <w:vAlign w:val="center"/>
          </w:tcPr>
          <w:p w14:paraId="0ACA14A6"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3.60</w:t>
            </w:r>
          </w:p>
        </w:tc>
        <w:tc>
          <w:tcPr>
            <w:tcW w:w="1134" w:type="dxa"/>
            <w:vAlign w:val="center"/>
          </w:tcPr>
          <w:p w14:paraId="0586E74B"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4,00</w:t>
            </w:r>
          </w:p>
        </w:tc>
        <w:tc>
          <w:tcPr>
            <w:tcW w:w="1134" w:type="dxa"/>
            <w:vAlign w:val="center"/>
          </w:tcPr>
          <w:p w14:paraId="2363EA8F"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3</w:t>
            </w:r>
          </w:p>
        </w:tc>
        <w:tc>
          <w:tcPr>
            <w:tcW w:w="1134" w:type="dxa"/>
            <w:vAlign w:val="center"/>
          </w:tcPr>
          <w:p w14:paraId="4B2A4046" w14:textId="77777777" w:rsidR="009C03EB" w:rsidRPr="002B005F" w:rsidRDefault="009C03EB" w:rsidP="009C03EB">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rPr>
              <w:t>0.000</w:t>
            </w:r>
          </w:p>
        </w:tc>
      </w:tr>
      <w:tr w:rsidR="009C03EB" w:rsidRPr="002B005F" w14:paraId="1366C7BF" w14:textId="77777777" w:rsidTr="00DE760B">
        <w:trPr>
          <w:trHeight w:val="680"/>
          <w:jc w:val="center"/>
        </w:trPr>
        <w:tc>
          <w:tcPr>
            <w:tcW w:w="4535" w:type="dxa"/>
            <w:shd w:val="clear" w:color="auto" w:fill="auto"/>
            <w:vAlign w:val="center"/>
          </w:tcPr>
          <w:p w14:paraId="5D4A165C" w14:textId="77777777" w:rsidR="009C03EB" w:rsidRPr="002B005F" w:rsidRDefault="009C03EB" w:rsidP="00A450B5">
            <w:pPr>
              <w:tabs>
                <w:tab w:val="left" w:pos="0"/>
                <w:tab w:val="center" w:pos="4536"/>
              </w:tabs>
              <w:spacing w:line="240" w:lineRule="auto"/>
              <w:ind w:left="57" w:right="57"/>
              <w:jc w:val="left"/>
              <w:rPr>
                <w:rFonts w:ascii="Times New Roman" w:eastAsia="Calibri" w:hAnsi="Times New Roman" w:cs="Times New Roman"/>
                <w:sz w:val="24"/>
                <w:szCs w:val="24"/>
              </w:rPr>
            </w:pPr>
            <w:r w:rsidRPr="002B005F">
              <w:rPr>
                <w:rFonts w:ascii="Times New Roman" w:eastAsia="Calibri" w:hAnsi="Times New Roman" w:cs="Times New Roman"/>
                <w:sz w:val="24"/>
                <w:szCs w:val="24"/>
              </w:rPr>
              <w:t>Favoriser les IDE.</w:t>
            </w:r>
          </w:p>
        </w:tc>
        <w:tc>
          <w:tcPr>
            <w:tcW w:w="1134" w:type="dxa"/>
            <w:shd w:val="clear" w:color="auto" w:fill="auto"/>
            <w:vAlign w:val="center"/>
          </w:tcPr>
          <w:p w14:paraId="7E48B2CA"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3.00</w:t>
            </w:r>
          </w:p>
        </w:tc>
        <w:tc>
          <w:tcPr>
            <w:tcW w:w="1134" w:type="dxa"/>
            <w:vAlign w:val="center"/>
          </w:tcPr>
          <w:p w14:paraId="45FFFAC0"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3,00</w:t>
            </w:r>
          </w:p>
        </w:tc>
        <w:tc>
          <w:tcPr>
            <w:tcW w:w="1134" w:type="dxa"/>
            <w:vAlign w:val="center"/>
          </w:tcPr>
          <w:p w14:paraId="08436BE6"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3</w:t>
            </w:r>
          </w:p>
        </w:tc>
        <w:tc>
          <w:tcPr>
            <w:tcW w:w="1134" w:type="dxa"/>
            <w:vAlign w:val="center"/>
          </w:tcPr>
          <w:p w14:paraId="1D8F095C" w14:textId="77777777" w:rsidR="009C03EB" w:rsidRPr="002B005F" w:rsidRDefault="009C03EB" w:rsidP="009C03EB">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rPr>
              <w:t>0.000</w:t>
            </w:r>
          </w:p>
        </w:tc>
      </w:tr>
      <w:tr w:rsidR="009C03EB" w:rsidRPr="002B005F" w14:paraId="133763C2" w14:textId="77777777" w:rsidTr="00DE760B">
        <w:trPr>
          <w:trHeight w:val="680"/>
          <w:jc w:val="center"/>
        </w:trPr>
        <w:tc>
          <w:tcPr>
            <w:tcW w:w="4535" w:type="dxa"/>
            <w:shd w:val="clear" w:color="auto" w:fill="auto"/>
            <w:vAlign w:val="center"/>
          </w:tcPr>
          <w:p w14:paraId="69099C23" w14:textId="77777777" w:rsidR="009C03EB" w:rsidRPr="002B005F" w:rsidRDefault="009C03EB" w:rsidP="00A450B5">
            <w:pPr>
              <w:tabs>
                <w:tab w:val="left" w:pos="0"/>
                <w:tab w:val="center" w:pos="4536"/>
              </w:tabs>
              <w:spacing w:line="240" w:lineRule="auto"/>
              <w:ind w:left="57" w:right="57"/>
              <w:jc w:val="left"/>
              <w:rPr>
                <w:rFonts w:ascii="Times New Roman" w:eastAsia="Calibri" w:hAnsi="Times New Roman" w:cs="Times New Roman"/>
                <w:sz w:val="24"/>
                <w:szCs w:val="24"/>
              </w:rPr>
            </w:pPr>
            <w:r w:rsidRPr="002B005F">
              <w:rPr>
                <w:rFonts w:ascii="Times New Roman" w:eastAsia="Calibri" w:hAnsi="Times New Roman" w:cs="Times New Roman"/>
                <w:sz w:val="24"/>
                <w:szCs w:val="24"/>
              </w:rPr>
              <w:t>Proposer des taux de rémunération plus compétitifs que ceux des banques conventionnelles.</w:t>
            </w:r>
          </w:p>
        </w:tc>
        <w:tc>
          <w:tcPr>
            <w:tcW w:w="1134" w:type="dxa"/>
            <w:shd w:val="clear" w:color="auto" w:fill="auto"/>
            <w:vAlign w:val="center"/>
          </w:tcPr>
          <w:p w14:paraId="30B7DBEF"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3.35</w:t>
            </w:r>
          </w:p>
        </w:tc>
        <w:tc>
          <w:tcPr>
            <w:tcW w:w="1134" w:type="dxa"/>
            <w:vAlign w:val="center"/>
          </w:tcPr>
          <w:p w14:paraId="187D24E9"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4,00</w:t>
            </w:r>
          </w:p>
        </w:tc>
        <w:tc>
          <w:tcPr>
            <w:tcW w:w="1134" w:type="dxa"/>
            <w:vAlign w:val="center"/>
          </w:tcPr>
          <w:p w14:paraId="13FDC442"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4</w:t>
            </w:r>
          </w:p>
        </w:tc>
        <w:tc>
          <w:tcPr>
            <w:tcW w:w="1134" w:type="dxa"/>
            <w:vAlign w:val="center"/>
          </w:tcPr>
          <w:p w14:paraId="095EC1A4" w14:textId="77777777" w:rsidR="009C03EB" w:rsidRPr="002B005F" w:rsidRDefault="009C03EB" w:rsidP="009C03EB">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rPr>
              <w:t>0.002</w:t>
            </w:r>
          </w:p>
        </w:tc>
      </w:tr>
      <w:tr w:rsidR="009C03EB" w:rsidRPr="002B005F" w14:paraId="447A2CFF" w14:textId="77777777" w:rsidTr="00DE760B">
        <w:trPr>
          <w:trHeight w:val="680"/>
          <w:jc w:val="center"/>
        </w:trPr>
        <w:tc>
          <w:tcPr>
            <w:tcW w:w="4535" w:type="dxa"/>
            <w:shd w:val="clear" w:color="auto" w:fill="auto"/>
            <w:vAlign w:val="center"/>
          </w:tcPr>
          <w:p w14:paraId="4EFABF46" w14:textId="77777777" w:rsidR="009C03EB" w:rsidRPr="002B005F" w:rsidRDefault="009C03EB" w:rsidP="00A450B5">
            <w:pPr>
              <w:tabs>
                <w:tab w:val="left" w:pos="0"/>
                <w:tab w:val="center" w:pos="4536"/>
              </w:tabs>
              <w:spacing w:line="240" w:lineRule="auto"/>
              <w:ind w:left="57" w:right="57"/>
              <w:jc w:val="left"/>
              <w:rPr>
                <w:rFonts w:ascii="Times New Roman" w:eastAsia="Calibri" w:hAnsi="Times New Roman" w:cs="Times New Roman"/>
                <w:sz w:val="24"/>
                <w:szCs w:val="24"/>
              </w:rPr>
            </w:pPr>
            <w:r w:rsidRPr="002B005F">
              <w:rPr>
                <w:rFonts w:ascii="Times New Roman" w:eastAsia="Calibri" w:hAnsi="Times New Roman" w:cs="Times New Roman"/>
                <w:sz w:val="24"/>
                <w:szCs w:val="24"/>
              </w:rPr>
              <w:t>Financer les PME puisqu’elles sont plus résistantes aux chocs externes.</w:t>
            </w:r>
          </w:p>
        </w:tc>
        <w:tc>
          <w:tcPr>
            <w:tcW w:w="1134" w:type="dxa"/>
            <w:shd w:val="clear" w:color="auto" w:fill="auto"/>
            <w:vAlign w:val="center"/>
          </w:tcPr>
          <w:p w14:paraId="0488CA4F"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2.86</w:t>
            </w:r>
          </w:p>
        </w:tc>
        <w:tc>
          <w:tcPr>
            <w:tcW w:w="1134" w:type="dxa"/>
            <w:vAlign w:val="center"/>
          </w:tcPr>
          <w:p w14:paraId="0EC5DF11"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4,00</w:t>
            </w:r>
          </w:p>
        </w:tc>
        <w:tc>
          <w:tcPr>
            <w:tcW w:w="1134" w:type="dxa"/>
            <w:vAlign w:val="center"/>
          </w:tcPr>
          <w:p w14:paraId="580B42A6" w14:textId="77777777" w:rsidR="009C03EB" w:rsidRPr="002B005F" w:rsidRDefault="009C03EB" w:rsidP="009C03EB">
            <w:pPr>
              <w:tabs>
                <w:tab w:val="left" w:pos="0"/>
              </w:tabs>
              <w:spacing w:line="240" w:lineRule="auto"/>
              <w:jc w:val="center"/>
              <w:rPr>
                <w:rFonts w:ascii="Times New Roman" w:eastAsia="Calibri" w:hAnsi="Times New Roman" w:cs="Times New Roman"/>
              </w:rPr>
            </w:pPr>
            <w:r w:rsidRPr="002B005F">
              <w:rPr>
                <w:rFonts w:ascii="Times New Roman" w:eastAsia="Calibri" w:hAnsi="Times New Roman" w:cs="Times New Roman"/>
              </w:rPr>
              <w:t>4</w:t>
            </w:r>
          </w:p>
        </w:tc>
        <w:tc>
          <w:tcPr>
            <w:tcW w:w="1134" w:type="dxa"/>
            <w:vAlign w:val="center"/>
          </w:tcPr>
          <w:p w14:paraId="4308D257" w14:textId="77777777" w:rsidR="009C03EB" w:rsidRPr="002B005F" w:rsidRDefault="009C03EB" w:rsidP="009C03EB">
            <w:pPr>
              <w:tabs>
                <w:tab w:val="left" w:pos="0"/>
              </w:tabs>
              <w:spacing w:line="240" w:lineRule="auto"/>
              <w:jc w:val="center"/>
              <w:rPr>
                <w:rFonts w:ascii="Times New Roman" w:eastAsia="Calibri" w:hAnsi="Times New Roman" w:cs="Times New Roman"/>
                <w:b/>
                <w:bCs/>
              </w:rPr>
            </w:pPr>
            <w:r w:rsidRPr="002B005F">
              <w:rPr>
                <w:rFonts w:ascii="Times New Roman" w:eastAsia="Calibri" w:hAnsi="Times New Roman" w:cs="Times New Roman"/>
                <w:b/>
                <w:bCs/>
              </w:rPr>
              <w:t>0.000</w:t>
            </w:r>
          </w:p>
        </w:tc>
      </w:tr>
    </w:tbl>
    <w:p w14:paraId="1E1D00DD" w14:textId="77777777" w:rsidR="002760B2" w:rsidRPr="002B005F" w:rsidRDefault="002760B2" w:rsidP="009C03EB">
      <w:pPr>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009C03EB" w:rsidRPr="002B005F">
        <w:rPr>
          <w:rFonts w:ascii="Times New Roman" w:hAnsi="Times New Roman" w:cs="Times New Roman"/>
          <w:sz w:val="20"/>
          <w:szCs w:val="20"/>
        </w:rPr>
        <w:t>C</w:t>
      </w:r>
      <w:r w:rsidRPr="002B005F">
        <w:rPr>
          <w:rFonts w:ascii="Times New Roman" w:hAnsi="Times New Roman" w:cs="Times New Roman"/>
          <w:sz w:val="20"/>
          <w:szCs w:val="20"/>
        </w:rPr>
        <w:t>alculs du chercheur.</w:t>
      </w:r>
    </w:p>
    <w:p w14:paraId="59B6EA09" w14:textId="77777777" w:rsidR="002760B2" w:rsidRPr="006A69AC" w:rsidRDefault="004B1423" w:rsidP="00D66FFE">
      <w:pPr>
        <w:pStyle w:val="Titre3"/>
        <w:keepNext w:val="0"/>
        <w:keepLines w:val="0"/>
        <w:spacing w:before="100" w:beforeAutospacing="1" w:after="100" w:afterAutospacing="1"/>
        <w:ind w:firstLine="709"/>
        <w:rPr>
          <w:sz w:val="28"/>
          <w:szCs w:val="28"/>
        </w:rPr>
      </w:pPr>
      <w:bookmarkStart w:id="1683" w:name="_Toc33263396"/>
      <w:bookmarkStart w:id="1684" w:name="_Toc37664659"/>
      <w:bookmarkStart w:id="1685" w:name="_Toc37666504"/>
      <w:bookmarkStart w:id="1686" w:name="_Toc54363401"/>
      <w:bookmarkStart w:id="1687" w:name="_Toc57230301"/>
      <w:bookmarkStart w:id="1688" w:name="_Toc57881422"/>
      <w:bookmarkStart w:id="1689" w:name="_Toc57900893"/>
      <w:bookmarkStart w:id="1690" w:name="_Toc33263397"/>
      <w:bookmarkStart w:id="1691" w:name="_Toc37664660"/>
      <w:bookmarkStart w:id="1692" w:name="_Toc37666505"/>
      <w:bookmarkStart w:id="1693" w:name="_Toc54363402"/>
      <w:bookmarkStart w:id="1694" w:name="_Toc57230302"/>
      <w:bookmarkStart w:id="1695" w:name="_Toc57881423"/>
      <w:bookmarkStart w:id="1696" w:name="_Toc57900894"/>
      <w:bookmarkStart w:id="1697" w:name="_Toc33263398"/>
      <w:bookmarkStart w:id="1698" w:name="_Toc37664661"/>
      <w:bookmarkStart w:id="1699" w:name="_Toc37666506"/>
      <w:bookmarkStart w:id="1700" w:name="_Toc54363403"/>
      <w:bookmarkStart w:id="1701" w:name="_Toc57230303"/>
      <w:bookmarkStart w:id="1702" w:name="_Toc57881424"/>
      <w:bookmarkStart w:id="1703" w:name="_Toc57900895"/>
      <w:bookmarkStart w:id="1704" w:name="_Toc33263400"/>
      <w:bookmarkStart w:id="1705" w:name="_Toc37664663"/>
      <w:bookmarkStart w:id="1706" w:name="_Toc37666508"/>
      <w:bookmarkStart w:id="1707" w:name="_Toc54363405"/>
      <w:bookmarkStart w:id="1708" w:name="_Toc58606379"/>
      <w:bookmarkStart w:id="1709" w:name="_Toc61263584"/>
      <w:bookmarkStart w:id="1710" w:name="_Toc182298920"/>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r w:rsidRPr="006A69AC">
        <w:rPr>
          <w:sz w:val="28"/>
          <w:szCs w:val="28"/>
        </w:rPr>
        <w:t>2</w:t>
      </w:r>
      <w:r w:rsidR="003F41F0" w:rsidRPr="006A69AC">
        <w:rPr>
          <w:sz w:val="28"/>
          <w:szCs w:val="28"/>
        </w:rPr>
        <w:t xml:space="preserve">.2- </w:t>
      </w:r>
      <w:r w:rsidR="002760B2" w:rsidRPr="006A69AC">
        <w:rPr>
          <w:sz w:val="28"/>
          <w:szCs w:val="28"/>
        </w:rPr>
        <w:t>Analyse des tests non paramétriques</w:t>
      </w:r>
      <w:bookmarkEnd w:id="1704"/>
      <w:bookmarkEnd w:id="1705"/>
      <w:bookmarkEnd w:id="1706"/>
      <w:bookmarkEnd w:id="1707"/>
      <w:bookmarkEnd w:id="1708"/>
      <w:bookmarkEnd w:id="1709"/>
      <w:bookmarkEnd w:id="1710"/>
    </w:p>
    <w:p w14:paraId="593D4D9C" w14:textId="77777777" w:rsidR="002760B2" w:rsidRPr="002B005F" w:rsidRDefault="002760B2" w:rsidP="00D66FFE">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Après avoir fourni une analyse descriptive des caractéristiques générales de l'échantillon, et avoir examiné les questions de recherche et les hypothèses, nous passons à l’analyse inférentielle à travers les statistiques non paramétriques, pour tester s’il existe des différences significatives entre les perceptions des répondants à travers les variables de contrôle au </w:t>
      </w:r>
      <w:r w:rsidR="00737FFD" w:rsidRPr="002B005F">
        <w:rPr>
          <w:rFonts w:ascii="Times New Roman" w:hAnsi="Times New Roman" w:cs="Times New Roman"/>
          <w:sz w:val="24"/>
          <w:szCs w:val="24"/>
        </w:rPr>
        <w:t>niveau de l'échantillon global.</w:t>
      </w:r>
    </w:p>
    <w:p w14:paraId="1FD73A8E" w14:textId="6A9ABF43" w:rsidR="002760B2" w:rsidRPr="002B005F" w:rsidRDefault="002760B2" w:rsidP="00D66FFE">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Comme nous avons mentionné précédemment dans la méthodologie de reche</w:t>
      </w:r>
      <w:r w:rsidR="009543A1" w:rsidRPr="002B005F">
        <w:rPr>
          <w:rFonts w:ascii="Times New Roman" w:hAnsi="Times New Roman" w:cs="Times New Roman"/>
          <w:sz w:val="24"/>
          <w:szCs w:val="24"/>
        </w:rPr>
        <w:t xml:space="preserve">rche, les </w:t>
      </w:r>
      <w:r w:rsidRPr="002B005F">
        <w:rPr>
          <w:rFonts w:ascii="Times New Roman" w:hAnsi="Times New Roman" w:cs="Times New Roman"/>
          <w:sz w:val="24"/>
          <w:szCs w:val="24"/>
        </w:rPr>
        <w:t>tests n</w:t>
      </w:r>
      <w:r w:rsidR="009543A1" w:rsidRPr="002B005F">
        <w:rPr>
          <w:rFonts w:ascii="Times New Roman" w:hAnsi="Times New Roman" w:cs="Times New Roman"/>
          <w:sz w:val="24"/>
          <w:szCs w:val="24"/>
        </w:rPr>
        <w:t xml:space="preserve">on paramétriques utilisés sont </w:t>
      </w:r>
      <w:r w:rsidRPr="002B005F">
        <w:rPr>
          <w:rFonts w:ascii="Times New Roman" w:hAnsi="Times New Roman" w:cs="Times New Roman"/>
          <w:sz w:val="24"/>
          <w:szCs w:val="24"/>
        </w:rPr>
        <w:t>la tabulation croisée, le test de Kruskal-Wall</w:t>
      </w:r>
      <w:r w:rsidR="00737FFD" w:rsidRPr="002B005F">
        <w:rPr>
          <w:rFonts w:ascii="Times New Roman" w:hAnsi="Times New Roman" w:cs="Times New Roman"/>
          <w:sz w:val="24"/>
          <w:szCs w:val="24"/>
        </w:rPr>
        <w:t>is, le test de Chi-d</w:t>
      </w:r>
      <w:r w:rsidRPr="002B005F">
        <w:rPr>
          <w:rFonts w:ascii="Times New Roman" w:hAnsi="Times New Roman" w:cs="Times New Roman"/>
          <w:sz w:val="24"/>
          <w:szCs w:val="24"/>
        </w:rPr>
        <w:t>eux et le test de Friedman.</w:t>
      </w:r>
      <w:r w:rsidR="004B6F9E" w:rsidRPr="002B005F">
        <w:rPr>
          <w:rFonts w:ascii="Times New Roman" w:hAnsi="Times New Roman" w:cs="Times New Roman"/>
          <w:sz w:val="24"/>
          <w:szCs w:val="24"/>
        </w:rPr>
        <w:t xml:space="preserve"> </w:t>
      </w:r>
      <w:r w:rsidRPr="002B005F">
        <w:rPr>
          <w:rFonts w:ascii="Times New Roman" w:hAnsi="Times New Roman" w:cs="Times New Roman"/>
          <w:sz w:val="24"/>
          <w:szCs w:val="24"/>
        </w:rPr>
        <w:t>Il faut noter que pour éviter les détails, plusieurs analyses ont été rassemblées sous un seul tableau pour consolider l'analyse de manière concise.</w:t>
      </w:r>
    </w:p>
    <w:p w14:paraId="1EEE2E1B" w14:textId="77777777" w:rsidR="002760B2" w:rsidRPr="002B005F" w:rsidRDefault="004B1423" w:rsidP="00D66FFE">
      <w:pPr>
        <w:pStyle w:val="Titre4"/>
        <w:keepNext w:val="0"/>
        <w:spacing w:before="120" w:after="120" w:line="300" w:lineRule="auto"/>
        <w:ind w:firstLine="709"/>
      </w:pPr>
      <w:bookmarkStart w:id="1711" w:name="_Toc33263401"/>
      <w:bookmarkStart w:id="1712" w:name="_Toc37664664"/>
      <w:bookmarkStart w:id="1713" w:name="_Toc37666509"/>
      <w:bookmarkStart w:id="1714" w:name="_Toc54363406"/>
      <w:bookmarkStart w:id="1715" w:name="_Toc58606380"/>
      <w:bookmarkStart w:id="1716" w:name="_Toc61263585"/>
      <w:bookmarkStart w:id="1717" w:name="_Toc182298921"/>
      <w:r>
        <w:t>2</w:t>
      </w:r>
      <w:r w:rsidR="00874432">
        <w:t xml:space="preserve">.2.1- </w:t>
      </w:r>
      <w:r w:rsidR="002760B2" w:rsidRPr="002B005F">
        <w:t>Perception des risques</w:t>
      </w:r>
      <w:bookmarkEnd w:id="1711"/>
      <w:bookmarkEnd w:id="1712"/>
      <w:bookmarkEnd w:id="1713"/>
      <w:bookmarkEnd w:id="1714"/>
      <w:bookmarkEnd w:id="1715"/>
      <w:bookmarkEnd w:id="1716"/>
      <w:bookmarkEnd w:id="1717"/>
    </w:p>
    <w:p w14:paraId="326B9774" w14:textId="77777777" w:rsidR="002760B2" w:rsidRPr="002B005F" w:rsidRDefault="002760B2" w:rsidP="00D66FFE">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On peut estimer que les répondants aient des perceptions différentes concernant la compréhension de la gestion des risques, en fonction de leurs régions, poste occupé au sein de l'institution, nature de l'IF et autres variables de contrôle. Par conséquent, cette section analyse les opinions des répondants selon les catégories précitées.</w:t>
      </w:r>
    </w:p>
    <w:p w14:paraId="649E0838" w14:textId="77777777" w:rsidR="002760B2" w:rsidRPr="006A69AC" w:rsidRDefault="004B1423" w:rsidP="00D66FFE">
      <w:pPr>
        <w:pStyle w:val="Titre5"/>
        <w:keepNext w:val="0"/>
        <w:keepLines w:val="0"/>
        <w:spacing w:before="120" w:after="120" w:line="300" w:lineRule="auto"/>
        <w:ind w:firstLine="709"/>
        <w:rPr>
          <w:rFonts w:asciiTheme="majorBidi" w:hAnsiTheme="majorBidi"/>
          <w:b/>
          <w:bCs/>
          <w:color w:val="auto"/>
          <w:sz w:val="24"/>
          <w:szCs w:val="24"/>
        </w:rPr>
      </w:pPr>
      <w:bookmarkStart w:id="1718" w:name="_Toc182298922"/>
      <w:r w:rsidRPr="006A69AC">
        <w:rPr>
          <w:rFonts w:asciiTheme="majorBidi" w:hAnsiTheme="majorBidi"/>
          <w:b/>
          <w:bCs/>
          <w:color w:val="auto"/>
          <w:sz w:val="24"/>
          <w:szCs w:val="24"/>
        </w:rPr>
        <w:t>2</w:t>
      </w:r>
      <w:r w:rsidR="00874432" w:rsidRPr="006A69AC">
        <w:rPr>
          <w:rFonts w:asciiTheme="majorBidi" w:hAnsiTheme="majorBidi"/>
          <w:b/>
          <w:bCs/>
          <w:color w:val="auto"/>
          <w:sz w:val="24"/>
          <w:szCs w:val="24"/>
        </w:rPr>
        <w:t xml:space="preserve">.2.1.1- </w:t>
      </w:r>
      <w:r w:rsidR="002760B2" w:rsidRPr="006A69AC">
        <w:rPr>
          <w:rFonts w:asciiTheme="majorBidi" w:hAnsiTheme="majorBidi"/>
          <w:b/>
          <w:bCs/>
          <w:color w:val="auto"/>
          <w:sz w:val="24"/>
          <w:szCs w:val="24"/>
        </w:rPr>
        <w:t>Risques au</w:t>
      </w:r>
      <w:r w:rsidR="00E7403C" w:rsidRPr="006A69AC">
        <w:rPr>
          <w:rFonts w:asciiTheme="majorBidi" w:hAnsiTheme="majorBidi"/>
          <w:b/>
          <w:bCs/>
          <w:color w:val="auto"/>
          <w:sz w:val="24"/>
          <w:szCs w:val="24"/>
        </w:rPr>
        <w:t>xquels sont confrontées les BI</w:t>
      </w:r>
      <w:bookmarkEnd w:id="1718"/>
    </w:p>
    <w:p w14:paraId="1DAE2656" w14:textId="4EB93F1C" w:rsidR="002760B2" w:rsidRPr="002B005F" w:rsidRDefault="002760B2" w:rsidP="00D66FFE">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 premier facteur à examiner est la perception des répondants sur la gravité des risques</w:t>
      </w:r>
      <w:r w:rsidR="00FA04AA" w:rsidRPr="002B005F">
        <w:rPr>
          <w:rFonts w:ascii="Times New Roman" w:hAnsi="Times New Roman" w:cs="Times New Roman"/>
          <w:sz w:val="24"/>
          <w:szCs w:val="24"/>
        </w:rPr>
        <w:t xml:space="preserve"> a</w:t>
      </w:r>
      <w:r w:rsidRPr="002B005F">
        <w:rPr>
          <w:rFonts w:ascii="Times New Roman" w:hAnsi="Times New Roman" w:cs="Times New Roman"/>
          <w:sz w:val="24"/>
          <w:szCs w:val="24"/>
        </w:rPr>
        <w:t>uxquels font face leurs institutions financières. Le chercheur a utilisé le test de Kruska</w:t>
      </w:r>
      <w:r w:rsidR="00A450B5" w:rsidRPr="002B005F">
        <w:rPr>
          <w:rFonts w:ascii="Times New Roman" w:hAnsi="Times New Roman" w:cs="Times New Roman"/>
          <w:sz w:val="24"/>
          <w:szCs w:val="24"/>
        </w:rPr>
        <w:t>l-Wallis (K-W) pour « région », « poste du répondant », « nature de FI », « nature des activités »</w:t>
      </w:r>
      <w:r w:rsidRPr="002B005F">
        <w:rPr>
          <w:rFonts w:ascii="Times New Roman" w:hAnsi="Times New Roman" w:cs="Times New Roman"/>
          <w:sz w:val="24"/>
          <w:szCs w:val="24"/>
        </w:rPr>
        <w:t xml:space="preserve"> </w:t>
      </w:r>
      <w:r w:rsidR="00A450B5" w:rsidRPr="002B005F">
        <w:rPr>
          <w:rFonts w:ascii="Times New Roman" w:hAnsi="Times New Roman" w:cs="Times New Roman"/>
          <w:sz w:val="24"/>
          <w:szCs w:val="24"/>
        </w:rPr>
        <w:t>et « normes comptables utilisées »</w:t>
      </w:r>
      <w:r w:rsidRPr="002B005F">
        <w:rPr>
          <w:rFonts w:ascii="Times New Roman" w:hAnsi="Times New Roman" w:cs="Times New Roman"/>
          <w:sz w:val="24"/>
          <w:szCs w:val="24"/>
        </w:rPr>
        <w:t>.</w:t>
      </w:r>
    </w:p>
    <w:p w14:paraId="3D016A7D" w14:textId="77777777" w:rsidR="00721029" w:rsidRPr="002B005F" w:rsidRDefault="002760B2" w:rsidP="00D66FFE">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pre</w:t>
      </w:r>
      <w:r w:rsidR="00A450B5" w:rsidRPr="002B005F">
        <w:rPr>
          <w:rFonts w:ascii="Times New Roman" w:hAnsi="Times New Roman" w:cs="Times New Roman"/>
          <w:sz w:val="24"/>
          <w:szCs w:val="24"/>
        </w:rPr>
        <w:t>mière variable de contrôle est « </w:t>
      </w:r>
      <w:r w:rsidRPr="002B005F">
        <w:rPr>
          <w:rFonts w:ascii="Times New Roman" w:hAnsi="Times New Roman" w:cs="Times New Roman"/>
          <w:sz w:val="24"/>
          <w:szCs w:val="24"/>
        </w:rPr>
        <w:t>la régi</w:t>
      </w:r>
      <w:r w:rsidR="00A450B5" w:rsidRPr="002B005F">
        <w:rPr>
          <w:rFonts w:ascii="Times New Roman" w:hAnsi="Times New Roman" w:cs="Times New Roman"/>
          <w:sz w:val="24"/>
          <w:szCs w:val="24"/>
        </w:rPr>
        <w:t>on »</w:t>
      </w:r>
      <w:r w:rsidRPr="002B005F">
        <w:rPr>
          <w:rFonts w:ascii="Times New Roman" w:hAnsi="Times New Roman" w:cs="Times New Roman"/>
          <w:sz w:val="24"/>
          <w:szCs w:val="24"/>
        </w:rPr>
        <w:t>. Les résultats du test K-W pour l'ensemble de l'échantillon montré dans le tableau 29 indique qu'il n'y a pas de différence statistiquement significative dans la perception des risques entre les différentes régions (valeur P</w:t>
      </w:r>
      <w:r w:rsidR="00A450B5" w:rsidRPr="002B005F">
        <w:rPr>
          <w:rFonts w:ascii="Times New Roman" w:hAnsi="Times New Roman" w:cs="Times New Roman"/>
          <w:sz w:val="24"/>
          <w:szCs w:val="24"/>
        </w:rPr>
        <w:t xml:space="preserve"> </w:t>
      </w:r>
      <w:r w:rsidRPr="002B005F">
        <w:rPr>
          <w:rFonts w:ascii="Times New Roman" w:hAnsi="Times New Roman" w:cs="Times New Roman"/>
          <w:sz w:val="24"/>
          <w:szCs w:val="24"/>
        </w:rPr>
        <w:t>&gt; 0,05)</w:t>
      </w:r>
      <w:r w:rsidR="00191748" w:rsidRPr="002B005F">
        <w:rPr>
          <w:rFonts w:ascii="Times New Roman" w:hAnsi="Times New Roman" w:cs="Times New Roman"/>
          <w:sz w:val="24"/>
          <w:szCs w:val="24"/>
        </w:rPr>
        <w:t>.</w:t>
      </w:r>
    </w:p>
    <w:p w14:paraId="7A5F0E8E" w14:textId="77777777" w:rsidR="00721029" w:rsidRPr="002B005F" w:rsidRDefault="00721029" w:rsidP="00A450B5">
      <w:pPr>
        <w:spacing w:line="300" w:lineRule="auto"/>
        <w:rPr>
          <w:rFonts w:ascii="Times New Roman" w:hAnsi="Times New Roman" w:cs="Times New Roman"/>
          <w:sz w:val="24"/>
          <w:szCs w:val="24"/>
        </w:rPr>
      </w:pPr>
      <w:r w:rsidRPr="002B005F">
        <w:rPr>
          <w:rFonts w:ascii="Times New Roman" w:hAnsi="Times New Roman" w:cs="Times New Roman"/>
          <w:sz w:val="24"/>
          <w:szCs w:val="24"/>
        </w:rPr>
        <w:br w:type="page"/>
      </w:r>
    </w:p>
    <w:p w14:paraId="2BBE52ED" w14:textId="0693ECA4" w:rsidR="00DE471E" w:rsidRPr="002B005F" w:rsidRDefault="00DE471E" w:rsidP="00E30943">
      <w:pPr>
        <w:pStyle w:val="Lgende"/>
        <w:keepNext/>
        <w:tabs>
          <w:tab w:val="left" w:pos="0"/>
        </w:tabs>
        <w:spacing w:after="120" w:line="300" w:lineRule="auto"/>
        <w:jc w:val="center"/>
        <w:rPr>
          <w:rFonts w:ascii="Times New Roman" w:hAnsi="Times New Roman" w:cs="Times New Roman"/>
          <w:color w:val="auto"/>
          <w:sz w:val="24"/>
          <w:szCs w:val="24"/>
        </w:rPr>
      </w:pPr>
      <w:bookmarkStart w:id="1719" w:name="_Toc115556097"/>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29</w:t>
      </w:r>
      <w:r w:rsidR="00B544E5" w:rsidRPr="002B005F">
        <w:rPr>
          <w:rFonts w:ascii="Times New Roman" w:hAnsi="Times New Roman" w:cs="Times New Roman"/>
          <w:color w:val="auto"/>
          <w:sz w:val="24"/>
          <w:szCs w:val="24"/>
        </w:rPr>
        <w:fldChar w:fldCharType="end"/>
      </w:r>
      <w:r w:rsidR="007C68EE" w:rsidRPr="002B005F">
        <w:rPr>
          <w:rFonts w:ascii="Times New Roman" w:hAnsi="Times New Roman" w:cs="Times New Roman"/>
          <w:color w:val="auto"/>
          <w:sz w:val="24"/>
          <w:szCs w:val="24"/>
        </w:rPr>
        <w:t>- T</w:t>
      </w:r>
      <w:r w:rsidR="00E30943" w:rsidRPr="002B005F">
        <w:rPr>
          <w:rFonts w:ascii="Times New Roman" w:hAnsi="Times New Roman" w:cs="Times New Roman"/>
          <w:color w:val="auto"/>
          <w:sz w:val="24"/>
          <w:szCs w:val="24"/>
        </w:rPr>
        <w:t>est K-W</w:t>
      </w:r>
      <w:r w:rsidR="007C68EE" w:rsidRPr="002B005F">
        <w:rPr>
          <w:rFonts w:ascii="Times New Roman" w:hAnsi="Times New Roman" w:cs="Times New Roman"/>
          <w:color w:val="auto"/>
          <w:sz w:val="24"/>
          <w:szCs w:val="24"/>
        </w:rPr>
        <w:t xml:space="preserve"> par région</w:t>
      </w:r>
      <w:r w:rsidRPr="002B005F">
        <w:rPr>
          <w:rFonts w:ascii="Times New Roman" w:hAnsi="Times New Roman" w:cs="Times New Roman"/>
          <w:color w:val="auto"/>
          <w:sz w:val="24"/>
          <w:szCs w:val="24"/>
        </w:rPr>
        <w:t xml:space="preserve"> </w:t>
      </w:r>
      <w:r w:rsidR="007C68EE"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question 6</w:t>
      </w:r>
      <w:r w:rsidR="007C68EE" w:rsidRPr="002B005F">
        <w:rPr>
          <w:rFonts w:ascii="Times New Roman" w:hAnsi="Times New Roman" w:cs="Times New Roman"/>
          <w:color w:val="auto"/>
          <w:sz w:val="24"/>
          <w:szCs w:val="24"/>
        </w:rPr>
        <w:t>)</w:t>
      </w:r>
      <w:bookmarkEnd w:id="1719"/>
    </w:p>
    <w:tbl>
      <w:tblPr>
        <w:tblStyle w:val="Tramemoyenne2-Accent5"/>
        <w:tblW w:w="907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1587"/>
        <w:gridCol w:w="1709"/>
        <w:gridCol w:w="1134"/>
        <w:gridCol w:w="2041"/>
        <w:gridCol w:w="1304"/>
        <w:gridCol w:w="1304"/>
      </w:tblGrid>
      <w:tr w:rsidR="00283B4C" w:rsidRPr="002B005F" w14:paraId="60C7C36F" w14:textId="77777777" w:rsidTr="00114526">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100" w:firstRow="0" w:lastRow="0" w:firstColumn="1" w:lastColumn="0" w:oddVBand="0" w:evenVBand="0" w:oddHBand="0" w:evenHBand="0" w:firstRowFirstColumn="1" w:firstRowLastColumn="0" w:lastRowFirstColumn="0" w:lastRowLastColumn="0"/>
            <w:tcW w:w="1587" w:type="dxa"/>
            <w:shd w:val="clear" w:color="auto" w:fill="DEEAF6" w:themeFill="accent1" w:themeFillTint="33"/>
            <w:vAlign w:val="center"/>
          </w:tcPr>
          <w:p w14:paraId="3F8012F5" w14:textId="77777777" w:rsidR="00283B4C" w:rsidRPr="002B005F" w:rsidRDefault="00283B4C" w:rsidP="00267AAF">
            <w:pPr>
              <w:tabs>
                <w:tab w:val="left" w:pos="0"/>
              </w:tabs>
              <w:jc w:val="center"/>
              <w:rPr>
                <w:rFonts w:ascii="Times New Roman" w:hAnsi="Times New Roman" w:cs="Times New Roman"/>
                <w:color w:val="auto"/>
              </w:rPr>
            </w:pPr>
            <w:r w:rsidRPr="002B005F">
              <w:rPr>
                <w:rFonts w:ascii="Times New Roman" w:hAnsi="Times New Roman" w:cs="Times New Roman"/>
                <w:color w:val="auto"/>
              </w:rPr>
              <w:t>Risque</w:t>
            </w:r>
          </w:p>
        </w:tc>
        <w:tc>
          <w:tcPr>
            <w:tcW w:w="1709" w:type="dxa"/>
            <w:shd w:val="clear" w:color="auto" w:fill="DEEAF6" w:themeFill="accent1" w:themeFillTint="33"/>
            <w:vAlign w:val="center"/>
          </w:tcPr>
          <w:p w14:paraId="2F641812" w14:textId="77777777" w:rsidR="00283B4C" w:rsidRPr="002B005F" w:rsidRDefault="00283B4C" w:rsidP="00E30943">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Région</w:t>
            </w:r>
          </w:p>
        </w:tc>
        <w:tc>
          <w:tcPr>
            <w:tcW w:w="1134" w:type="dxa"/>
            <w:shd w:val="clear" w:color="auto" w:fill="DEEAF6" w:themeFill="accent1" w:themeFillTint="33"/>
            <w:vAlign w:val="center"/>
          </w:tcPr>
          <w:p w14:paraId="2DFC46ED" w14:textId="77777777" w:rsidR="00283B4C" w:rsidRPr="002B005F" w:rsidRDefault="00283B4C" w:rsidP="00E30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N</w:t>
            </w:r>
          </w:p>
        </w:tc>
        <w:tc>
          <w:tcPr>
            <w:tcW w:w="2041" w:type="dxa"/>
            <w:shd w:val="clear" w:color="auto" w:fill="DEEAF6" w:themeFill="accent1" w:themeFillTint="33"/>
            <w:vAlign w:val="center"/>
          </w:tcPr>
          <w:p w14:paraId="4239CA83" w14:textId="77777777" w:rsidR="00283B4C" w:rsidRPr="002B005F" w:rsidRDefault="00E30943" w:rsidP="00E30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sz w:val="20"/>
                <w:szCs w:val="20"/>
              </w:rPr>
              <w:t>Test de K-</w:t>
            </w:r>
            <w:r w:rsidR="00283B4C" w:rsidRPr="002B005F">
              <w:rPr>
                <w:rFonts w:ascii="Times New Roman" w:hAnsi="Times New Roman" w:cs="Times New Roman"/>
                <w:color w:val="auto"/>
                <w:sz w:val="20"/>
                <w:szCs w:val="20"/>
              </w:rPr>
              <w:t>W Moyenne pondérée</w:t>
            </w:r>
          </w:p>
        </w:tc>
        <w:tc>
          <w:tcPr>
            <w:tcW w:w="1304" w:type="dxa"/>
            <w:shd w:val="clear" w:color="auto" w:fill="DEEAF6" w:themeFill="accent1" w:themeFillTint="33"/>
            <w:vAlign w:val="center"/>
          </w:tcPr>
          <w:p w14:paraId="3E1AEA51" w14:textId="77777777" w:rsidR="00283B4C" w:rsidRPr="002B005F" w:rsidRDefault="00283B4C" w:rsidP="00E30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Chi_deux</w:t>
            </w:r>
          </w:p>
        </w:tc>
        <w:tc>
          <w:tcPr>
            <w:tcW w:w="1304" w:type="dxa"/>
            <w:shd w:val="clear" w:color="auto" w:fill="DEEAF6" w:themeFill="accent1" w:themeFillTint="33"/>
            <w:vAlign w:val="center"/>
          </w:tcPr>
          <w:p w14:paraId="299C0064" w14:textId="77777777" w:rsidR="00283B4C" w:rsidRPr="002B005F" w:rsidRDefault="00283B4C" w:rsidP="00E30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1"/>
                <w:szCs w:val="21"/>
              </w:rPr>
            </w:pPr>
            <w:r w:rsidRPr="002B005F">
              <w:rPr>
                <w:rFonts w:ascii="Times New Roman" w:hAnsi="Times New Roman" w:cs="Times New Roman"/>
                <w:color w:val="auto"/>
                <w:sz w:val="21"/>
                <w:szCs w:val="21"/>
              </w:rPr>
              <w:t>Asymp. sig</w:t>
            </w:r>
          </w:p>
        </w:tc>
      </w:tr>
      <w:tr w:rsidR="00283B4C" w:rsidRPr="002B005F" w14:paraId="16E440D0" w14:textId="77777777" w:rsidTr="00F4124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shd w:val="clear" w:color="auto" w:fill="auto"/>
            <w:vAlign w:val="center"/>
          </w:tcPr>
          <w:p w14:paraId="6AA1619F" w14:textId="77777777" w:rsidR="00283B4C" w:rsidRPr="002B005F" w:rsidRDefault="00283B4C" w:rsidP="00267AAF">
            <w:pPr>
              <w:tabs>
                <w:tab w:val="left" w:pos="0"/>
              </w:tabs>
              <w:ind w:left="113"/>
              <w:jc w:val="left"/>
              <w:rPr>
                <w:rFonts w:ascii="Times New Roman" w:hAnsi="Times New Roman" w:cs="Times New Roman"/>
                <w:color w:val="auto"/>
              </w:rPr>
            </w:pPr>
            <w:r w:rsidRPr="002B005F">
              <w:rPr>
                <w:rFonts w:ascii="Times New Roman" w:hAnsi="Times New Roman" w:cs="Times New Roman"/>
                <w:color w:val="auto"/>
              </w:rPr>
              <w:t>Risque de contrepartie</w:t>
            </w:r>
          </w:p>
        </w:tc>
        <w:tc>
          <w:tcPr>
            <w:tcW w:w="1709" w:type="dxa"/>
            <w:shd w:val="clear" w:color="auto" w:fill="FFFFFF" w:themeFill="background1"/>
            <w:vAlign w:val="center"/>
          </w:tcPr>
          <w:p w14:paraId="4C2B0AF8"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Afrique</w:t>
            </w:r>
          </w:p>
          <w:p w14:paraId="2A50AFC0"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Moyen-Orient</w:t>
            </w:r>
          </w:p>
          <w:p w14:paraId="7473228D"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Europe</w:t>
            </w:r>
          </w:p>
          <w:p w14:paraId="00017835"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Autres</w:t>
            </w:r>
          </w:p>
          <w:p w14:paraId="536D3BD4" w14:textId="77777777" w:rsidR="00283B4C" w:rsidRPr="002B005F" w:rsidRDefault="00283B4C" w:rsidP="007F59D3">
            <w:pPr>
              <w:ind w:righ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Total</w:t>
            </w:r>
          </w:p>
        </w:tc>
        <w:tc>
          <w:tcPr>
            <w:tcW w:w="1134" w:type="dxa"/>
            <w:shd w:val="clear" w:color="auto" w:fill="FFFFFF" w:themeFill="background1"/>
          </w:tcPr>
          <w:p w14:paraId="209D2529"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30</w:t>
            </w:r>
          </w:p>
          <w:p w14:paraId="47A761DF"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w:t>
            </w:r>
          </w:p>
          <w:p w14:paraId="7B6288E4"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7</w:t>
            </w:r>
          </w:p>
          <w:p w14:paraId="0E2A8DB7"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w:t>
            </w:r>
          </w:p>
          <w:p w14:paraId="118B54C3" w14:textId="77777777" w:rsidR="00283B4C" w:rsidRPr="002B005F" w:rsidRDefault="00283B4C" w:rsidP="00F4124E">
            <w:pPr>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79</w:t>
            </w:r>
          </w:p>
        </w:tc>
        <w:tc>
          <w:tcPr>
            <w:tcW w:w="2041" w:type="dxa"/>
            <w:shd w:val="clear" w:color="auto" w:fill="FFFFFF" w:themeFill="background1"/>
          </w:tcPr>
          <w:p w14:paraId="293F87EB"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54</w:t>
            </w:r>
            <w:r w:rsidR="00BD5CC2" w:rsidRPr="002B005F">
              <w:rPr>
                <w:rFonts w:ascii="Times New Roman" w:hAnsi="Times New Roman" w:cs="Times New Roman"/>
                <w:sz w:val="21"/>
                <w:szCs w:val="21"/>
              </w:rPr>
              <w:t>.00</w:t>
            </w:r>
          </w:p>
          <w:p w14:paraId="054E1C5D"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32.19</w:t>
            </w:r>
          </w:p>
          <w:p w14:paraId="20A2D508"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22.25</w:t>
            </w:r>
          </w:p>
          <w:p w14:paraId="21D3650E" w14:textId="77777777" w:rsidR="00283B4C" w:rsidRPr="002B005F" w:rsidRDefault="00283B4C" w:rsidP="00E30943">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37.54</w:t>
            </w:r>
          </w:p>
        </w:tc>
        <w:tc>
          <w:tcPr>
            <w:tcW w:w="1304" w:type="dxa"/>
            <w:shd w:val="clear" w:color="auto" w:fill="auto"/>
            <w:vAlign w:val="center"/>
          </w:tcPr>
          <w:p w14:paraId="45D8990F" w14:textId="77777777" w:rsidR="00283B4C" w:rsidRPr="002B005F" w:rsidRDefault="00283B4C" w:rsidP="00E30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8.22</w:t>
            </w:r>
          </w:p>
        </w:tc>
        <w:tc>
          <w:tcPr>
            <w:tcW w:w="1304" w:type="dxa"/>
            <w:shd w:val="clear" w:color="auto" w:fill="auto"/>
            <w:vAlign w:val="center"/>
          </w:tcPr>
          <w:p w14:paraId="2174BF86" w14:textId="77777777" w:rsidR="00283B4C" w:rsidRPr="002B005F" w:rsidRDefault="00283B4C" w:rsidP="00E30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0.201</w:t>
            </w:r>
          </w:p>
        </w:tc>
      </w:tr>
      <w:tr w:rsidR="00283B4C" w:rsidRPr="002B005F" w14:paraId="5CEB4755" w14:textId="77777777" w:rsidTr="00267AAF">
        <w:trPr>
          <w:trHeight w:val="397"/>
          <w:jc w:val="center"/>
        </w:trPr>
        <w:tc>
          <w:tcPr>
            <w:cnfStyle w:val="001000000000" w:firstRow="0" w:lastRow="0" w:firstColumn="1" w:lastColumn="0" w:oddVBand="0" w:evenVBand="0" w:oddHBand="0" w:evenHBand="0" w:firstRowFirstColumn="0" w:firstRowLastColumn="0" w:lastRowFirstColumn="0" w:lastRowLastColumn="0"/>
            <w:tcW w:w="1587" w:type="dxa"/>
            <w:shd w:val="clear" w:color="auto" w:fill="DEEAF6" w:themeFill="accent1" w:themeFillTint="33"/>
            <w:vAlign w:val="center"/>
          </w:tcPr>
          <w:p w14:paraId="4D9729D4" w14:textId="77777777" w:rsidR="00283B4C" w:rsidRPr="002B005F" w:rsidRDefault="00283B4C" w:rsidP="00267AAF">
            <w:pPr>
              <w:tabs>
                <w:tab w:val="left" w:pos="0"/>
              </w:tabs>
              <w:ind w:left="113"/>
              <w:jc w:val="left"/>
              <w:rPr>
                <w:rFonts w:ascii="Times New Roman" w:hAnsi="Times New Roman" w:cs="Times New Roman"/>
                <w:color w:val="auto"/>
              </w:rPr>
            </w:pPr>
            <w:r w:rsidRPr="002B005F">
              <w:rPr>
                <w:rFonts w:ascii="Times New Roman" w:hAnsi="Times New Roman" w:cs="Times New Roman"/>
                <w:color w:val="auto"/>
              </w:rPr>
              <w:t>Risque de taux de référence</w:t>
            </w:r>
          </w:p>
        </w:tc>
        <w:tc>
          <w:tcPr>
            <w:tcW w:w="1709" w:type="dxa"/>
            <w:shd w:val="clear" w:color="auto" w:fill="DEEAF6" w:themeFill="accent1" w:themeFillTint="33"/>
            <w:vAlign w:val="center"/>
          </w:tcPr>
          <w:p w14:paraId="3B2C81AF"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Afrique</w:t>
            </w:r>
          </w:p>
          <w:p w14:paraId="3577DDFB"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Moyen-Orient</w:t>
            </w:r>
          </w:p>
          <w:p w14:paraId="528BC3FE"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Europe</w:t>
            </w:r>
          </w:p>
          <w:p w14:paraId="56EAD0FF"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Autres</w:t>
            </w:r>
          </w:p>
          <w:p w14:paraId="0960ABCB" w14:textId="77777777" w:rsidR="00283B4C" w:rsidRPr="002B005F" w:rsidRDefault="00283B4C" w:rsidP="007F59D3">
            <w:pPr>
              <w:tabs>
                <w:tab w:val="left" w:pos="0"/>
              </w:tabs>
              <w:ind w:right="2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Total</w:t>
            </w:r>
          </w:p>
        </w:tc>
        <w:tc>
          <w:tcPr>
            <w:tcW w:w="1134" w:type="dxa"/>
            <w:shd w:val="clear" w:color="auto" w:fill="DEEAF6" w:themeFill="accent1" w:themeFillTint="33"/>
          </w:tcPr>
          <w:p w14:paraId="5CAB4676"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30</w:t>
            </w:r>
          </w:p>
          <w:p w14:paraId="31BB1427"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w:t>
            </w:r>
          </w:p>
          <w:p w14:paraId="7100FC99"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7</w:t>
            </w:r>
          </w:p>
          <w:p w14:paraId="4DE77104"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w:t>
            </w:r>
          </w:p>
          <w:p w14:paraId="42E794F9"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79</w:t>
            </w:r>
          </w:p>
        </w:tc>
        <w:tc>
          <w:tcPr>
            <w:tcW w:w="2041" w:type="dxa"/>
            <w:shd w:val="clear" w:color="auto" w:fill="DEEAF6" w:themeFill="accent1" w:themeFillTint="33"/>
          </w:tcPr>
          <w:p w14:paraId="494AEB39"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38</w:t>
            </w:r>
            <w:r w:rsidR="00BD5CC2" w:rsidRPr="002B005F">
              <w:rPr>
                <w:rFonts w:ascii="Times New Roman" w:hAnsi="Times New Roman" w:cs="Times New Roman"/>
                <w:sz w:val="21"/>
                <w:szCs w:val="21"/>
              </w:rPr>
              <w:t>.00</w:t>
            </w:r>
          </w:p>
          <w:p w14:paraId="5A2ED095"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35.56</w:t>
            </w:r>
          </w:p>
          <w:p w14:paraId="5104CD07"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41.63</w:t>
            </w:r>
          </w:p>
          <w:p w14:paraId="403A6AC5" w14:textId="77777777" w:rsidR="00283B4C" w:rsidRPr="002B005F" w:rsidRDefault="00283B4C" w:rsidP="00E30943">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20.25</w:t>
            </w:r>
          </w:p>
        </w:tc>
        <w:tc>
          <w:tcPr>
            <w:tcW w:w="1304" w:type="dxa"/>
            <w:shd w:val="clear" w:color="auto" w:fill="DEEAF6" w:themeFill="accent1" w:themeFillTint="33"/>
            <w:vAlign w:val="center"/>
          </w:tcPr>
          <w:p w14:paraId="1C1EF09E" w14:textId="77777777" w:rsidR="00283B4C" w:rsidRPr="002B005F" w:rsidRDefault="00283B4C" w:rsidP="00E309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10.55</w:t>
            </w:r>
          </w:p>
        </w:tc>
        <w:tc>
          <w:tcPr>
            <w:tcW w:w="1304" w:type="dxa"/>
            <w:shd w:val="clear" w:color="auto" w:fill="DEEAF6" w:themeFill="accent1" w:themeFillTint="33"/>
            <w:vAlign w:val="center"/>
          </w:tcPr>
          <w:p w14:paraId="6A01AA33" w14:textId="77777777" w:rsidR="00283B4C" w:rsidRPr="002B005F" w:rsidRDefault="00283B4C" w:rsidP="00E309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0.086</w:t>
            </w:r>
          </w:p>
        </w:tc>
      </w:tr>
      <w:tr w:rsidR="00283B4C" w:rsidRPr="002B005F" w14:paraId="4C5C8026" w14:textId="77777777" w:rsidTr="00F4124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shd w:val="clear" w:color="auto" w:fill="auto"/>
            <w:vAlign w:val="center"/>
          </w:tcPr>
          <w:p w14:paraId="491C7BCB" w14:textId="77777777" w:rsidR="00283B4C" w:rsidRPr="002B005F" w:rsidRDefault="00283B4C" w:rsidP="00267AAF">
            <w:pPr>
              <w:tabs>
                <w:tab w:val="left" w:pos="0"/>
              </w:tabs>
              <w:ind w:left="113"/>
              <w:jc w:val="left"/>
              <w:rPr>
                <w:rFonts w:ascii="Times New Roman" w:hAnsi="Times New Roman" w:cs="Times New Roman"/>
                <w:color w:val="auto"/>
              </w:rPr>
            </w:pPr>
            <w:r w:rsidRPr="002B005F">
              <w:rPr>
                <w:rFonts w:ascii="Times New Roman" w:hAnsi="Times New Roman" w:cs="Times New Roman"/>
                <w:color w:val="auto"/>
              </w:rPr>
              <w:t>Risque de change</w:t>
            </w:r>
          </w:p>
        </w:tc>
        <w:tc>
          <w:tcPr>
            <w:tcW w:w="1709" w:type="dxa"/>
            <w:shd w:val="clear" w:color="auto" w:fill="FFFFFF" w:themeFill="background1"/>
            <w:vAlign w:val="center"/>
          </w:tcPr>
          <w:p w14:paraId="64C5F482"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Afrique</w:t>
            </w:r>
          </w:p>
          <w:p w14:paraId="1942104C"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Moyen-Orient</w:t>
            </w:r>
          </w:p>
          <w:p w14:paraId="1677EAC2"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Europe</w:t>
            </w:r>
          </w:p>
          <w:p w14:paraId="1175E255"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Autres</w:t>
            </w:r>
          </w:p>
          <w:p w14:paraId="72787FC9" w14:textId="77777777" w:rsidR="00283B4C" w:rsidRPr="002B005F" w:rsidRDefault="00283B4C" w:rsidP="00400C50">
            <w:pPr>
              <w:tabs>
                <w:tab w:val="left" w:pos="0"/>
              </w:tabs>
              <w:ind w:righ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Total</w:t>
            </w:r>
          </w:p>
        </w:tc>
        <w:tc>
          <w:tcPr>
            <w:tcW w:w="1134" w:type="dxa"/>
            <w:shd w:val="clear" w:color="auto" w:fill="FFFFFF" w:themeFill="background1"/>
          </w:tcPr>
          <w:p w14:paraId="13CB48F8"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30</w:t>
            </w:r>
          </w:p>
          <w:p w14:paraId="78BB0AD0"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w:t>
            </w:r>
          </w:p>
          <w:p w14:paraId="3A9ABAA9"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7</w:t>
            </w:r>
          </w:p>
          <w:p w14:paraId="5CF7AADA"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w:t>
            </w:r>
          </w:p>
          <w:p w14:paraId="246255A6" w14:textId="77777777" w:rsidR="00283B4C" w:rsidRPr="002B005F" w:rsidRDefault="00283B4C" w:rsidP="00F4124E">
            <w:pPr>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79</w:t>
            </w:r>
          </w:p>
        </w:tc>
        <w:tc>
          <w:tcPr>
            <w:tcW w:w="2041" w:type="dxa"/>
            <w:shd w:val="clear" w:color="auto" w:fill="FFFFFF" w:themeFill="background1"/>
          </w:tcPr>
          <w:p w14:paraId="6B7C7CB8"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37.75</w:t>
            </w:r>
          </w:p>
          <w:p w14:paraId="21C9A09F"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41</w:t>
            </w:r>
            <w:r w:rsidR="00BD5CC2" w:rsidRPr="002B005F">
              <w:rPr>
                <w:rFonts w:ascii="Times New Roman" w:hAnsi="Times New Roman" w:cs="Times New Roman"/>
                <w:sz w:val="21"/>
                <w:szCs w:val="21"/>
              </w:rPr>
              <w:t>.00</w:t>
            </w:r>
          </w:p>
          <w:p w14:paraId="4F23BE51"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36.04</w:t>
            </w:r>
          </w:p>
          <w:p w14:paraId="2948F900" w14:textId="77777777" w:rsidR="00283B4C" w:rsidRPr="002B005F" w:rsidRDefault="00283B4C" w:rsidP="00283B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54</w:t>
            </w:r>
            <w:r w:rsidR="00BD5CC2" w:rsidRPr="002B005F">
              <w:rPr>
                <w:rFonts w:ascii="Times New Roman" w:hAnsi="Times New Roman" w:cs="Times New Roman"/>
                <w:sz w:val="21"/>
                <w:szCs w:val="21"/>
              </w:rPr>
              <w:t>.00</w:t>
            </w:r>
          </w:p>
        </w:tc>
        <w:tc>
          <w:tcPr>
            <w:tcW w:w="1304" w:type="dxa"/>
            <w:shd w:val="clear" w:color="auto" w:fill="auto"/>
            <w:vAlign w:val="center"/>
          </w:tcPr>
          <w:p w14:paraId="6F854B17" w14:textId="77777777" w:rsidR="00283B4C" w:rsidRPr="002B005F" w:rsidRDefault="00283B4C" w:rsidP="00E30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4.99</w:t>
            </w:r>
          </w:p>
        </w:tc>
        <w:tc>
          <w:tcPr>
            <w:tcW w:w="1304" w:type="dxa"/>
            <w:shd w:val="clear" w:color="auto" w:fill="auto"/>
            <w:vAlign w:val="center"/>
          </w:tcPr>
          <w:p w14:paraId="679EA63E" w14:textId="77777777" w:rsidR="00283B4C" w:rsidRPr="002B005F" w:rsidRDefault="00283B4C" w:rsidP="00E30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0.420</w:t>
            </w:r>
          </w:p>
        </w:tc>
      </w:tr>
      <w:tr w:rsidR="00283B4C" w:rsidRPr="002B005F" w14:paraId="45E6A7DB" w14:textId="77777777" w:rsidTr="00267AAF">
        <w:trPr>
          <w:trHeight w:val="397"/>
          <w:jc w:val="center"/>
        </w:trPr>
        <w:tc>
          <w:tcPr>
            <w:cnfStyle w:val="001000000000" w:firstRow="0" w:lastRow="0" w:firstColumn="1" w:lastColumn="0" w:oddVBand="0" w:evenVBand="0" w:oddHBand="0" w:evenHBand="0" w:firstRowFirstColumn="0" w:firstRowLastColumn="0" w:lastRowFirstColumn="0" w:lastRowLastColumn="0"/>
            <w:tcW w:w="1587" w:type="dxa"/>
            <w:shd w:val="clear" w:color="auto" w:fill="DEEAF6" w:themeFill="accent1" w:themeFillTint="33"/>
            <w:vAlign w:val="center"/>
          </w:tcPr>
          <w:p w14:paraId="13AD13AA" w14:textId="77777777" w:rsidR="00283B4C" w:rsidRPr="002B005F" w:rsidRDefault="00283B4C" w:rsidP="00267AAF">
            <w:pPr>
              <w:tabs>
                <w:tab w:val="left" w:pos="0"/>
              </w:tabs>
              <w:ind w:left="113"/>
              <w:jc w:val="left"/>
              <w:rPr>
                <w:rFonts w:ascii="Times New Roman" w:hAnsi="Times New Roman" w:cs="Times New Roman"/>
                <w:color w:val="auto"/>
              </w:rPr>
            </w:pPr>
            <w:r w:rsidRPr="002B005F">
              <w:rPr>
                <w:rFonts w:ascii="Times New Roman" w:hAnsi="Times New Roman" w:cs="Times New Roman"/>
                <w:color w:val="auto"/>
              </w:rPr>
              <w:t>Risque de variation des</w:t>
            </w:r>
            <w:r w:rsidR="00267AAF" w:rsidRPr="002B005F">
              <w:rPr>
                <w:rFonts w:ascii="Times New Roman" w:hAnsi="Times New Roman" w:cs="Times New Roman"/>
                <w:color w:val="auto"/>
              </w:rPr>
              <w:t xml:space="preserve"> </w:t>
            </w:r>
            <w:r w:rsidR="00A450B5" w:rsidRPr="002B005F">
              <w:rPr>
                <w:rFonts w:ascii="Times New Roman" w:hAnsi="Times New Roman" w:cs="Times New Roman"/>
                <w:color w:val="auto"/>
              </w:rPr>
              <w:t xml:space="preserve">prix </w:t>
            </w:r>
            <w:r w:rsidRPr="002B005F">
              <w:rPr>
                <w:rFonts w:ascii="Times New Roman" w:hAnsi="Times New Roman" w:cs="Times New Roman"/>
                <w:color w:val="auto"/>
              </w:rPr>
              <w:t>des MP et titres</w:t>
            </w:r>
          </w:p>
        </w:tc>
        <w:tc>
          <w:tcPr>
            <w:tcW w:w="1709" w:type="dxa"/>
            <w:shd w:val="clear" w:color="auto" w:fill="DEEAF6" w:themeFill="accent1" w:themeFillTint="33"/>
            <w:vAlign w:val="center"/>
          </w:tcPr>
          <w:p w14:paraId="71D81CC6"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Afrique</w:t>
            </w:r>
          </w:p>
          <w:p w14:paraId="0AD4C4BB"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Moyen-Orient</w:t>
            </w:r>
          </w:p>
          <w:p w14:paraId="1F8BE385"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Europe</w:t>
            </w:r>
          </w:p>
          <w:p w14:paraId="54A437E3"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Autres</w:t>
            </w:r>
          </w:p>
          <w:p w14:paraId="3B00DFC0" w14:textId="77777777" w:rsidR="00283B4C" w:rsidRPr="002B005F" w:rsidRDefault="00283B4C" w:rsidP="00400C50">
            <w:pPr>
              <w:tabs>
                <w:tab w:val="left" w:pos="0"/>
              </w:tabs>
              <w:ind w:right="2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Total</w:t>
            </w:r>
          </w:p>
        </w:tc>
        <w:tc>
          <w:tcPr>
            <w:tcW w:w="1134" w:type="dxa"/>
            <w:shd w:val="clear" w:color="auto" w:fill="DEEAF6" w:themeFill="accent1" w:themeFillTint="33"/>
          </w:tcPr>
          <w:p w14:paraId="2B948BE3"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30</w:t>
            </w:r>
          </w:p>
          <w:p w14:paraId="7CC753B6"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w:t>
            </w:r>
          </w:p>
          <w:p w14:paraId="05E35B91"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7</w:t>
            </w:r>
          </w:p>
          <w:p w14:paraId="7E3C7342"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w:t>
            </w:r>
          </w:p>
          <w:p w14:paraId="701EA3E9"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79</w:t>
            </w:r>
          </w:p>
        </w:tc>
        <w:tc>
          <w:tcPr>
            <w:tcW w:w="2041" w:type="dxa"/>
            <w:shd w:val="clear" w:color="auto" w:fill="DEEAF6" w:themeFill="accent1" w:themeFillTint="33"/>
          </w:tcPr>
          <w:p w14:paraId="62830213"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23</w:t>
            </w:r>
            <w:r w:rsidR="00BD5CC2" w:rsidRPr="002B005F">
              <w:rPr>
                <w:rFonts w:ascii="Times New Roman" w:hAnsi="Times New Roman" w:cs="Times New Roman"/>
                <w:sz w:val="21"/>
                <w:szCs w:val="21"/>
              </w:rPr>
              <w:t>.00</w:t>
            </w:r>
          </w:p>
          <w:p w14:paraId="56F38A69"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39.45</w:t>
            </w:r>
          </w:p>
          <w:p w14:paraId="5811D37B"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43.25</w:t>
            </w:r>
          </w:p>
          <w:p w14:paraId="3EEB00C2" w14:textId="77777777" w:rsidR="00283B4C" w:rsidRPr="002B005F" w:rsidRDefault="00283B4C" w:rsidP="00E30943">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26.78</w:t>
            </w:r>
          </w:p>
        </w:tc>
        <w:tc>
          <w:tcPr>
            <w:tcW w:w="1304" w:type="dxa"/>
            <w:shd w:val="clear" w:color="auto" w:fill="DEEAF6" w:themeFill="accent1" w:themeFillTint="33"/>
            <w:vAlign w:val="center"/>
          </w:tcPr>
          <w:p w14:paraId="5888DB9B" w14:textId="77777777" w:rsidR="00283B4C" w:rsidRPr="002B005F" w:rsidRDefault="00283B4C" w:rsidP="00E309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10.34</w:t>
            </w:r>
          </w:p>
        </w:tc>
        <w:tc>
          <w:tcPr>
            <w:tcW w:w="1304" w:type="dxa"/>
            <w:shd w:val="clear" w:color="auto" w:fill="DEEAF6" w:themeFill="accent1" w:themeFillTint="33"/>
            <w:vAlign w:val="center"/>
          </w:tcPr>
          <w:p w14:paraId="155DADF1" w14:textId="77777777" w:rsidR="00283B4C" w:rsidRPr="002B005F" w:rsidRDefault="00283B4C" w:rsidP="00E309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0.626</w:t>
            </w:r>
          </w:p>
        </w:tc>
      </w:tr>
      <w:tr w:rsidR="00283B4C" w:rsidRPr="002B005F" w14:paraId="6997A8A2" w14:textId="77777777" w:rsidTr="00F4124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shd w:val="clear" w:color="auto" w:fill="auto"/>
            <w:vAlign w:val="center"/>
          </w:tcPr>
          <w:p w14:paraId="3CC243F7" w14:textId="77777777" w:rsidR="00283B4C" w:rsidRPr="002B005F" w:rsidRDefault="00283B4C" w:rsidP="00267AAF">
            <w:pPr>
              <w:tabs>
                <w:tab w:val="left" w:pos="0"/>
              </w:tabs>
              <w:ind w:left="113"/>
              <w:jc w:val="left"/>
              <w:rPr>
                <w:rFonts w:ascii="Times New Roman" w:hAnsi="Times New Roman" w:cs="Times New Roman"/>
                <w:color w:val="auto"/>
              </w:rPr>
            </w:pPr>
            <w:r w:rsidRPr="002B005F">
              <w:rPr>
                <w:rFonts w:ascii="Times New Roman" w:hAnsi="Times New Roman" w:cs="Times New Roman"/>
                <w:color w:val="auto"/>
              </w:rPr>
              <w:t>Risque de liquidité</w:t>
            </w:r>
          </w:p>
        </w:tc>
        <w:tc>
          <w:tcPr>
            <w:tcW w:w="1709" w:type="dxa"/>
            <w:shd w:val="clear" w:color="auto" w:fill="FFFFFF" w:themeFill="background1"/>
            <w:vAlign w:val="center"/>
          </w:tcPr>
          <w:p w14:paraId="03B6388B"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Afrique</w:t>
            </w:r>
          </w:p>
          <w:p w14:paraId="00A3EFDC"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Moyen-Orient</w:t>
            </w:r>
          </w:p>
          <w:p w14:paraId="2C3589B7"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Europe</w:t>
            </w:r>
          </w:p>
          <w:p w14:paraId="1CF0ED34"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Autres</w:t>
            </w:r>
          </w:p>
          <w:p w14:paraId="61C899F3" w14:textId="77777777" w:rsidR="00283B4C" w:rsidRPr="002B005F" w:rsidRDefault="00283B4C" w:rsidP="00400C50">
            <w:pPr>
              <w:tabs>
                <w:tab w:val="left" w:pos="0"/>
              </w:tabs>
              <w:ind w:right="284"/>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Total</w:t>
            </w:r>
          </w:p>
        </w:tc>
        <w:tc>
          <w:tcPr>
            <w:tcW w:w="1134" w:type="dxa"/>
            <w:shd w:val="clear" w:color="auto" w:fill="FFFFFF" w:themeFill="background1"/>
          </w:tcPr>
          <w:p w14:paraId="67C6EE5B"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30</w:t>
            </w:r>
          </w:p>
          <w:p w14:paraId="55B310F1"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w:t>
            </w:r>
          </w:p>
          <w:p w14:paraId="519DDF5E"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7</w:t>
            </w:r>
          </w:p>
          <w:p w14:paraId="308EEF9E"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w:t>
            </w:r>
          </w:p>
          <w:p w14:paraId="768B4B66" w14:textId="77777777" w:rsidR="00283B4C" w:rsidRPr="002B005F" w:rsidRDefault="00283B4C" w:rsidP="00F4124E">
            <w:pPr>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79</w:t>
            </w:r>
          </w:p>
        </w:tc>
        <w:tc>
          <w:tcPr>
            <w:tcW w:w="2041" w:type="dxa"/>
            <w:shd w:val="clear" w:color="auto" w:fill="FFFFFF" w:themeFill="background1"/>
          </w:tcPr>
          <w:p w14:paraId="58D88170"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24.5</w:t>
            </w:r>
          </w:p>
          <w:p w14:paraId="04EA896C"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37.30</w:t>
            </w:r>
          </w:p>
          <w:p w14:paraId="34A69EA5"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41</w:t>
            </w:r>
            <w:r w:rsidR="00BD5CC2" w:rsidRPr="002B005F">
              <w:rPr>
                <w:rFonts w:ascii="Times New Roman" w:hAnsi="Times New Roman" w:cs="Times New Roman"/>
                <w:sz w:val="21"/>
                <w:szCs w:val="21"/>
              </w:rPr>
              <w:t>.00</w:t>
            </w:r>
          </w:p>
          <w:p w14:paraId="7720F26F" w14:textId="77777777" w:rsidR="00283B4C" w:rsidRPr="002B005F" w:rsidRDefault="00283B4C" w:rsidP="00E30943">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29.56</w:t>
            </w:r>
          </w:p>
        </w:tc>
        <w:tc>
          <w:tcPr>
            <w:tcW w:w="1304" w:type="dxa"/>
            <w:shd w:val="clear" w:color="auto" w:fill="auto"/>
            <w:vAlign w:val="center"/>
          </w:tcPr>
          <w:p w14:paraId="46018C01" w14:textId="77777777" w:rsidR="00283B4C" w:rsidRPr="002B005F" w:rsidRDefault="00283B4C" w:rsidP="00E30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5.89</w:t>
            </w:r>
          </w:p>
        </w:tc>
        <w:tc>
          <w:tcPr>
            <w:tcW w:w="1304" w:type="dxa"/>
            <w:shd w:val="clear" w:color="auto" w:fill="auto"/>
            <w:vAlign w:val="center"/>
          </w:tcPr>
          <w:p w14:paraId="4464C99F" w14:textId="77777777" w:rsidR="00283B4C" w:rsidRPr="002B005F" w:rsidRDefault="00283B4C" w:rsidP="00E30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0.317</w:t>
            </w:r>
          </w:p>
        </w:tc>
      </w:tr>
      <w:tr w:rsidR="00283B4C" w:rsidRPr="002B005F" w14:paraId="009FD22A" w14:textId="77777777" w:rsidTr="00267AAF">
        <w:trPr>
          <w:trHeight w:val="397"/>
          <w:jc w:val="center"/>
        </w:trPr>
        <w:tc>
          <w:tcPr>
            <w:cnfStyle w:val="001000000000" w:firstRow="0" w:lastRow="0" w:firstColumn="1" w:lastColumn="0" w:oddVBand="0" w:evenVBand="0" w:oddHBand="0" w:evenHBand="0" w:firstRowFirstColumn="0" w:firstRowLastColumn="0" w:lastRowFirstColumn="0" w:lastRowLastColumn="0"/>
            <w:tcW w:w="1587" w:type="dxa"/>
            <w:shd w:val="clear" w:color="auto" w:fill="DEEAF6" w:themeFill="accent1" w:themeFillTint="33"/>
            <w:vAlign w:val="center"/>
          </w:tcPr>
          <w:p w14:paraId="7A2D40D0" w14:textId="77777777" w:rsidR="00283B4C" w:rsidRPr="002B005F" w:rsidRDefault="00283B4C" w:rsidP="00267AAF">
            <w:pPr>
              <w:tabs>
                <w:tab w:val="left" w:pos="0"/>
              </w:tabs>
              <w:ind w:left="113"/>
              <w:jc w:val="left"/>
              <w:rPr>
                <w:rFonts w:ascii="Times New Roman" w:hAnsi="Times New Roman" w:cs="Times New Roman"/>
                <w:color w:val="auto"/>
              </w:rPr>
            </w:pPr>
            <w:r w:rsidRPr="002B005F">
              <w:rPr>
                <w:rFonts w:ascii="Times New Roman" w:hAnsi="Times New Roman" w:cs="Times New Roman"/>
                <w:color w:val="auto"/>
              </w:rPr>
              <w:t>Risque opérationnel</w:t>
            </w:r>
          </w:p>
        </w:tc>
        <w:tc>
          <w:tcPr>
            <w:tcW w:w="1709" w:type="dxa"/>
            <w:shd w:val="clear" w:color="auto" w:fill="DEEAF6" w:themeFill="accent1" w:themeFillTint="33"/>
            <w:vAlign w:val="center"/>
          </w:tcPr>
          <w:p w14:paraId="351C7655"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Afrique</w:t>
            </w:r>
          </w:p>
          <w:p w14:paraId="1FF45DA4"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Moyen-Orient</w:t>
            </w:r>
          </w:p>
          <w:p w14:paraId="7CB93058"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Europe</w:t>
            </w:r>
          </w:p>
          <w:p w14:paraId="6780A304"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Autres</w:t>
            </w:r>
          </w:p>
          <w:p w14:paraId="4CFAC4D1" w14:textId="77777777" w:rsidR="00283B4C" w:rsidRPr="002B005F" w:rsidRDefault="00283B4C" w:rsidP="00400C50">
            <w:pPr>
              <w:tabs>
                <w:tab w:val="left" w:pos="0"/>
              </w:tabs>
              <w:ind w:right="2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Total</w:t>
            </w:r>
          </w:p>
        </w:tc>
        <w:tc>
          <w:tcPr>
            <w:tcW w:w="1134" w:type="dxa"/>
            <w:shd w:val="clear" w:color="auto" w:fill="DEEAF6" w:themeFill="accent1" w:themeFillTint="33"/>
          </w:tcPr>
          <w:p w14:paraId="4B5D6323"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30</w:t>
            </w:r>
          </w:p>
          <w:p w14:paraId="58B10E0E"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w:t>
            </w:r>
          </w:p>
          <w:p w14:paraId="1B750ED9"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7</w:t>
            </w:r>
          </w:p>
          <w:p w14:paraId="74C7538D"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w:t>
            </w:r>
          </w:p>
          <w:p w14:paraId="1DDD3552"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79</w:t>
            </w:r>
          </w:p>
        </w:tc>
        <w:tc>
          <w:tcPr>
            <w:tcW w:w="2041" w:type="dxa"/>
            <w:shd w:val="clear" w:color="auto" w:fill="DEEAF6" w:themeFill="accent1" w:themeFillTint="33"/>
          </w:tcPr>
          <w:p w14:paraId="4A53503F"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36.2</w:t>
            </w:r>
            <w:r w:rsidR="00BD5CC2" w:rsidRPr="002B005F">
              <w:rPr>
                <w:rFonts w:ascii="Times New Roman" w:hAnsi="Times New Roman" w:cs="Times New Roman"/>
                <w:sz w:val="21"/>
                <w:szCs w:val="21"/>
              </w:rPr>
              <w:t>0</w:t>
            </w:r>
          </w:p>
          <w:p w14:paraId="793A6955"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39.65</w:t>
            </w:r>
          </w:p>
          <w:p w14:paraId="50E7EA06"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29.57</w:t>
            </w:r>
          </w:p>
          <w:p w14:paraId="6C09C3AA" w14:textId="77777777" w:rsidR="00283B4C" w:rsidRPr="002B005F" w:rsidRDefault="00283B4C" w:rsidP="00E30943">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45.79</w:t>
            </w:r>
          </w:p>
        </w:tc>
        <w:tc>
          <w:tcPr>
            <w:tcW w:w="1304" w:type="dxa"/>
            <w:shd w:val="clear" w:color="auto" w:fill="DEEAF6" w:themeFill="accent1" w:themeFillTint="33"/>
            <w:vAlign w:val="center"/>
          </w:tcPr>
          <w:p w14:paraId="4DA448A4" w14:textId="77777777" w:rsidR="00283B4C" w:rsidRPr="002B005F" w:rsidRDefault="00283B4C" w:rsidP="00E309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3.482</w:t>
            </w:r>
          </w:p>
        </w:tc>
        <w:tc>
          <w:tcPr>
            <w:tcW w:w="1304" w:type="dxa"/>
            <w:shd w:val="clear" w:color="auto" w:fill="DEEAF6" w:themeFill="accent1" w:themeFillTint="33"/>
            <w:vAlign w:val="center"/>
          </w:tcPr>
          <w:p w14:paraId="3283AD65" w14:textId="77777777" w:rsidR="00283B4C" w:rsidRPr="002B005F" w:rsidRDefault="00283B4C" w:rsidP="00E309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0.456</w:t>
            </w:r>
          </w:p>
        </w:tc>
      </w:tr>
      <w:tr w:rsidR="00283B4C" w:rsidRPr="002B005F" w14:paraId="63C67A1B" w14:textId="77777777" w:rsidTr="00F4124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shd w:val="clear" w:color="auto" w:fill="auto"/>
            <w:vAlign w:val="center"/>
          </w:tcPr>
          <w:p w14:paraId="0E4E39E7" w14:textId="77777777" w:rsidR="00283B4C" w:rsidRPr="002B005F" w:rsidRDefault="00283B4C" w:rsidP="00267AAF">
            <w:pPr>
              <w:tabs>
                <w:tab w:val="left" w:pos="0"/>
              </w:tabs>
              <w:ind w:left="113"/>
              <w:jc w:val="left"/>
              <w:rPr>
                <w:rFonts w:ascii="Times New Roman" w:hAnsi="Times New Roman" w:cs="Times New Roman"/>
                <w:color w:val="auto"/>
              </w:rPr>
            </w:pPr>
            <w:r w:rsidRPr="002B005F">
              <w:rPr>
                <w:rFonts w:ascii="Times New Roman" w:hAnsi="Times New Roman" w:cs="Times New Roman"/>
                <w:color w:val="auto"/>
              </w:rPr>
              <w:t>Risque commercial déplacé</w:t>
            </w:r>
          </w:p>
        </w:tc>
        <w:tc>
          <w:tcPr>
            <w:tcW w:w="1709" w:type="dxa"/>
            <w:shd w:val="clear" w:color="auto" w:fill="FFFFFF" w:themeFill="background1"/>
            <w:vAlign w:val="center"/>
          </w:tcPr>
          <w:p w14:paraId="6A0FFF93"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Afrique</w:t>
            </w:r>
          </w:p>
          <w:p w14:paraId="02CC99A3"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Moyen-Orient</w:t>
            </w:r>
          </w:p>
          <w:p w14:paraId="7E2EBB4F"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Europe</w:t>
            </w:r>
          </w:p>
          <w:p w14:paraId="61D4AF46"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Autres</w:t>
            </w:r>
          </w:p>
          <w:p w14:paraId="3754FEA6" w14:textId="77777777" w:rsidR="00283B4C" w:rsidRPr="002B005F" w:rsidRDefault="00283B4C" w:rsidP="00400C50">
            <w:pPr>
              <w:tabs>
                <w:tab w:val="left" w:pos="0"/>
              </w:tabs>
              <w:ind w:righ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Total</w:t>
            </w:r>
          </w:p>
        </w:tc>
        <w:tc>
          <w:tcPr>
            <w:tcW w:w="1134" w:type="dxa"/>
            <w:shd w:val="clear" w:color="auto" w:fill="FFFFFF" w:themeFill="background1"/>
          </w:tcPr>
          <w:p w14:paraId="52BA0790"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30</w:t>
            </w:r>
          </w:p>
          <w:p w14:paraId="45C0F04F"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w:t>
            </w:r>
          </w:p>
          <w:p w14:paraId="15CFEE1A"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7</w:t>
            </w:r>
          </w:p>
          <w:p w14:paraId="64EE2865"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w:t>
            </w:r>
          </w:p>
          <w:p w14:paraId="1F909970"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79</w:t>
            </w:r>
          </w:p>
        </w:tc>
        <w:tc>
          <w:tcPr>
            <w:tcW w:w="2041" w:type="dxa"/>
            <w:shd w:val="clear" w:color="auto" w:fill="FFFFFF" w:themeFill="background1"/>
          </w:tcPr>
          <w:p w14:paraId="095B2300"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36.5</w:t>
            </w:r>
            <w:r w:rsidR="00BD5CC2" w:rsidRPr="002B005F">
              <w:rPr>
                <w:rFonts w:ascii="Times New Roman" w:hAnsi="Times New Roman" w:cs="Times New Roman"/>
                <w:sz w:val="21"/>
                <w:szCs w:val="21"/>
              </w:rPr>
              <w:t>0</w:t>
            </w:r>
          </w:p>
          <w:p w14:paraId="085A6B27"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27.56</w:t>
            </w:r>
          </w:p>
          <w:p w14:paraId="0FCD7AD5"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45.66</w:t>
            </w:r>
          </w:p>
          <w:p w14:paraId="58EDF1AD" w14:textId="77777777" w:rsidR="00283B4C" w:rsidRPr="002B005F" w:rsidRDefault="00283B4C" w:rsidP="00E30943">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33.89</w:t>
            </w:r>
          </w:p>
        </w:tc>
        <w:tc>
          <w:tcPr>
            <w:tcW w:w="1304" w:type="dxa"/>
            <w:shd w:val="clear" w:color="auto" w:fill="auto"/>
            <w:vAlign w:val="center"/>
          </w:tcPr>
          <w:p w14:paraId="3B5D71CF" w14:textId="77777777" w:rsidR="00283B4C" w:rsidRPr="002B005F" w:rsidRDefault="00283B4C" w:rsidP="00E30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8.55</w:t>
            </w:r>
          </w:p>
        </w:tc>
        <w:tc>
          <w:tcPr>
            <w:tcW w:w="1304" w:type="dxa"/>
            <w:shd w:val="clear" w:color="auto" w:fill="auto"/>
            <w:vAlign w:val="center"/>
          </w:tcPr>
          <w:p w14:paraId="0AE3E4A0" w14:textId="77777777" w:rsidR="00283B4C" w:rsidRPr="002B005F" w:rsidRDefault="00283B4C" w:rsidP="00E30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0.320</w:t>
            </w:r>
          </w:p>
        </w:tc>
      </w:tr>
      <w:tr w:rsidR="00283B4C" w:rsidRPr="002B005F" w14:paraId="6289C3AE" w14:textId="77777777" w:rsidTr="00267AAF">
        <w:trPr>
          <w:trHeight w:val="397"/>
          <w:jc w:val="center"/>
        </w:trPr>
        <w:tc>
          <w:tcPr>
            <w:cnfStyle w:val="001000000000" w:firstRow="0" w:lastRow="0" w:firstColumn="1" w:lastColumn="0" w:oddVBand="0" w:evenVBand="0" w:oddHBand="0" w:evenHBand="0" w:firstRowFirstColumn="0" w:firstRowLastColumn="0" w:lastRowFirstColumn="0" w:lastRowLastColumn="0"/>
            <w:tcW w:w="1587" w:type="dxa"/>
            <w:shd w:val="clear" w:color="auto" w:fill="DEEAF6" w:themeFill="accent1" w:themeFillTint="33"/>
            <w:vAlign w:val="center"/>
          </w:tcPr>
          <w:p w14:paraId="50474F8D" w14:textId="77777777" w:rsidR="00283B4C" w:rsidRPr="002B005F" w:rsidRDefault="00283B4C" w:rsidP="00267AAF">
            <w:pPr>
              <w:tabs>
                <w:tab w:val="left" w:pos="0"/>
              </w:tabs>
              <w:ind w:left="113"/>
              <w:jc w:val="left"/>
              <w:rPr>
                <w:rFonts w:ascii="Times New Roman" w:hAnsi="Times New Roman" w:cs="Times New Roman"/>
                <w:color w:val="auto"/>
              </w:rPr>
            </w:pPr>
            <w:r w:rsidRPr="002B005F">
              <w:rPr>
                <w:rFonts w:ascii="Times New Roman" w:hAnsi="Times New Roman" w:cs="Times New Roman"/>
                <w:color w:val="auto"/>
              </w:rPr>
              <w:t>Risque fiduciaire</w:t>
            </w:r>
          </w:p>
        </w:tc>
        <w:tc>
          <w:tcPr>
            <w:tcW w:w="1709" w:type="dxa"/>
            <w:shd w:val="clear" w:color="auto" w:fill="DEEAF6" w:themeFill="accent1" w:themeFillTint="33"/>
            <w:vAlign w:val="center"/>
          </w:tcPr>
          <w:p w14:paraId="5AC3A3B8"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Afrique</w:t>
            </w:r>
          </w:p>
          <w:p w14:paraId="1E6CBF55"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Moyen-Orient</w:t>
            </w:r>
          </w:p>
          <w:p w14:paraId="4CF4F286"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Europe</w:t>
            </w:r>
          </w:p>
          <w:p w14:paraId="6C08E5EE"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Autres</w:t>
            </w:r>
          </w:p>
          <w:p w14:paraId="2C69C0D7" w14:textId="77777777" w:rsidR="00283B4C" w:rsidRPr="002B005F" w:rsidRDefault="00283B4C" w:rsidP="00400C50">
            <w:pPr>
              <w:tabs>
                <w:tab w:val="left" w:pos="0"/>
              </w:tabs>
              <w:ind w:right="2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Total</w:t>
            </w:r>
          </w:p>
        </w:tc>
        <w:tc>
          <w:tcPr>
            <w:tcW w:w="1134" w:type="dxa"/>
            <w:shd w:val="clear" w:color="auto" w:fill="DEEAF6" w:themeFill="accent1" w:themeFillTint="33"/>
          </w:tcPr>
          <w:p w14:paraId="7017C8CD"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30</w:t>
            </w:r>
          </w:p>
          <w:p w14:paraId="5B7F525D"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w:t>
            </w:r>
          </w:p>
          <w:p w14:paraId="3E879739"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7</w:t>
            </w:r>
          </w:p>
          <w:p w14:paraId="72C12C96"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w:t>
            </w:r>
          </w:p>
          <w:p w14:paraId="77D8703F" w14:textId="77777777" w:rsidR="00283B4C" w:rsidRPr="002B005F" w:rsidRDefault="00283B4C" w:rsidP="00F4124E">
            <w:pPr>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79</w:t>
            </w:r>
          </w:p>
        </w:tc>
        <w:tc>
          <w:tcPr>
            <w:tcW w:w="2041" w:type="dxa"/>
            <w:shd w:val="clear" w:color="auto" w:fill="DEEAF6" w:themeFill="accent1" w:themeFillTint="33"/>
          </w:tcPr>
          <w:p w14:paraId="45572788"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25.36</w:t>
            </w:r>
          </w:p>
          <w:p w14:paraId="3B9475FB"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34.04</w:t>
            </w:r>
          </w:p>
          <w:p w14:paraId="497EF566"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39.11</w:t>
            </w:r>
          </w:p>
          <w:p w14:paraId="26993461" w14:textId="77777777" w:rsidR="00283B4C" w:rsidRPr="002B005F" w:rsidRDefault="00283B4C" w:rsidP="00E30943">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25.24</w:t>
            </w:r>
          </w:p>
        </w:tc>
        <w:tc>
          <w:tcPr>
            <w:tcW w:w="1304" w:type="dxa"/>
            <w:shd w:val="clear" w:color="auto" w:fill="DEEAF6" w:themeFill="accent1" w:themeFillTint="33"/>
            <w:vAlign w:val="center"/>
          </w:tcPr>
          <w:p w14:paraId="5E7B3D69" w14:textId="77777777" w:rsidR="00283B4C" w:rsidRPr="002B005F" w:rsidRDefault="00283B4C" w:rsidP="00E309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4.99</w:t>
            </w:r>
          </w:p>
        </w:tc>
        <w:tc>
          <w:tcPr>
            <w:tcW w:w="1304" w:type="dxa"/>
            <w:shd w:val="clear" w:color="auto" w:fill="DEEAF6" w:themeFill="accent1" w:themeFillTint="33"/>
            <w:vAlign w:val="center"/>
          </w:tcPr>
          <w:p w14:paraId="38EFCC9F" w14:textId="77777777" w:rsidR="00283B4C" w:rsidRPr="002B005F" w:rsidRDefault="00283B4C" w:rsidP="00E309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0.450</w:t>
            </w:r>
          </w:p>
        </w:tc>
      </w:tr>
      <w:tr w:rsidR="00283B4C" w:rsidRPr="002B005F" w14:paraId="3BF7255E" w14:textId="77777777" w:rsidTr="00E3213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bottom w:val="single" w:sz="8" w:space="0" w:color="auto"/>
            </w:tcBorders>
            <w:shd w:val="clear" w:color="auto" w:fill="auto"/>
            <w:vAlign w:val="center"/>
          </w:tcPr>
          <w:p w14:paraId="5A24D4D5" w14:textId="77777777" w:rsidR="00283B4C" w:rsidRPr="002B005F" w:rsidRDefault="00283B4C" w:rsidP="00267AAF">
            <w:pPr>
              <w:tabs>
                <w:tab w:val="left" w:pos="0"/>
              </w:tabs>
              <w:ind w:left="113"/>
              <w:jc w:val="left"/>
              <w:rPr>
                <w:rFonts w:ascii="Times New Roman" w:hAnsi="Times New Roman" w:cs="Times New Roman"/>
                <w:color w:val="auto"/>
              </w:rPr>
            </w:pPr>
            <w:r w:rsidRPr="002B005F">
              <w:rPr>
                <w:rFonts w:ascii="Times New Roman" w:hAnsi="Times New Roman" w:cs="Times New Roman"/>
                <w:color w:val="auto"/>
              </w:rPr>
              <w:t>Risque juridique</w:t>
            </w:r>
          </w:p>
        </w:tc>
        <w:tc>
          <w:tcPr>
            <w:tcW w:w="1709" w:type="dxa"/>
            <w:shd w:val="clear" w:color="auto" w:fill="FFFFFF" w:themeFill="background1"/>
            <w:vAlign w:val="center"/>
          </w:tcPr>
          <w:p w14:paraId="5205DB6D"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Afrique</w:t>
            </w:r>
          </w:p>
          <w:p w14:paraId="45BFBB97"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Moyen-Orient</w:t>
            </w:r>
          </w:p>
          <w:p w14:paraId="678C6546"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Europe</w:t>
            </w:r>
          </w:p>
          <w:p w14:paraId="10160AF8" w14:textId="77777777" w:rsidR="00283B4C" w:rsidRPr="002B005F" w:rsidRDefault="00283B4C" w:rsidP="007F59D3">
            <w:pPr>
              <w:tabs>
                <w:tab w:val="left" w:pos="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Autres</w:t>
            </w:r>
          </w:p>
          <w:p w14:paraId="38AF8C15" w14:textId="77777777" w:rsidR="00283B4C" w:rsidRPr="002B005F" w:rsidRDefault="00283B4C" w:rsidP="00400C50">
            <w:pPr>
              <w:tabs>
                <w:tab w:val="left" w:pos="0"/>
              </w:tabs>
              <w:ind w:righ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Total</w:t>
            </w:r>
          </w:p>
        </w:tc>
        <w:tc>
          <w:tcPr>
            <w:tcW w:w="1134" w:type="dxa"/>
            <w:shd w:val="clear" w:color="auto" w:fill="FFFFFF" w:themeFill="background1"/>
          </w:tcPr>
          <w:p w14:paraId="419DE01D"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30</w:t>
            </w:r>
          </w:p>
          <w:p w14:paraId="60AB943F"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w:t>
            </w:r>
          </w:p>
          <w:p w14:paraId="31631B51"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7</w:t>
            </w:r>
          </w:p>
          <w:p w14:paraId="421BB184" w14:textId="77777777" w:rsidR="00283B4C" w:rsidRPr="002B005F" w:rsidRDefault="00283B4C" w:rsidP="00F4124E">
            <w:pPr>
              <w:tabs>
                <w:tab w:val="left" w:pos="0"/>
              </w:tabs>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w:t>
            </w:r>
          </w:p>
          <w:p w14:paraId="3B75EC8B" w14:textId="77777777" w:rsidR="00283B4C" w:rsidRPr="002B005F" w:rsidRDefault="00283B4C" w:rsidP="00F4124E">
            <w:pPr>
              <w:ind w:right="4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79</w:t>
            </w:r>
          </w:p>
        </w:tc>
        <w:tc>
          <w:tcPr>
            <w:tcW w:w="2041" w:type="dxa"/>
            <w:shd w:val="clear" w:color="auto" w:fill="FFFFFF" w:themeFill="background1"/>
          </w:tcPr>
          <w:p w14:paraId="3600774C"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42.5</w:t>
            </w:r>
            <w:r w:rsidR="00BD5CC2" w:rsidRPr="002B005F">
              <w:rPr>
                <w:rFonts w:ascii="Times New Roman" w:hAnsi="Times New Roman" w:cs="Times New Roman"/>
                <w:sz w:val="21"/>
                <w:szCs w:val="21"/>
              </w:rPr>
              <w:t>0</w:t>
            </w:r>
          </w:p>
          <w:p w14:paraId="4AED808A"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36.18</w:t>
            </w:r>
          </w:p>
          <w:p w14:paraId="1469177C" w14:textId="77777777" w:rsidR="00283B4C" w:rsidRPr="002B005F" w:rsidRDefault="00283B4C" w:rsidP="00283B4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27.66</w:t>
            </w:r>
          </w:p>
          <w:p w14:paraId="1EB6B25C" w14:textId="77777777" w:rsidR="00283B4C" w:rsidRPr="002B005F" w:rsidRDefault="00283B4C" w:rsidP="00E30943">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45.78</w:t>
            </w:r>
          </w:p>
        </w:tc>
        <w:tc>
          <w:tcPr>
            <w:tcW w:w="1304" w:type="dxa"/>
            <w:shd w:val="clear" w:color="auto" w:fill="auto"/>
            <w:vAlign w:val="center"/>
          </w:tcPr>
          <w:p w14:paraId="61E543BE" w14:textId="77777777" w:rsidR="00283B4C" w:rsidRPr="002B005F" w:rsidRDefault="00283B4C" w:rsidP="00E30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5.869</w:t>
            </w:r>
          </w:p>
        </w:tc>
        <w:tc>
          <w:tcPr>
            <w:tcW w:w="1304" w:type="dxa"/>
            <w:shd w:val="clear" w:color="auto" w:fill="auto"/>
            <w:vAlign w:val="center"/>
          </w:tcPr>
          <w:p w14:paraId="3364C570" w14:textId="77777777" w:rsidR="00283B4C" w:rsidRPr="002B005F" w:rsidRDefault="00283B4C" w:rsidP="00E30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0.328</w:t>
            </w:r>
          </w:p>
        </w:tc>
      </w:tr>
      <w:tr w:rsidR="00283B4C" w:rsidRPr="002B005F" w14:paraId="7DAD3497" w14:textId="77777777" w:rsidTr="00E32139">
        <w:trPr>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bottom w:val="single" w:sz="4" w:space="0" w:color="auto"/>
            </w:tcBorders>
            <w:shd w:val="clear" w:color="auto" w:fill="DEEAF6" w:themeFill="accent1" w:themeFillTint="33"/>
            <w:vAlign w:val="center"/>
          </w:tcPr>
          <w:p w14:paraId="13614C29" w14:textId="77777777" w:rsidR="00283B4C" w:rsidRPr="002B005F" w:rsidRDefault="00283B4C" w:rsidP="00267AAF">
            <w:pPr>
              <w:tabs>
                <w:tab w:val="left" w:pos="0"/>
              </w:tabs>
              <w:ind w:left="113"/>
              <w:jc w:val="left"/>
              <w:rPr>
                <w:rFonts w:ascii="Times New Roman" w:hAnsi="Times New Roman" w:cs="Times New Roman"/>
                <w:color w:val="auto"/>
              </w:rPr>
            </w:pPr>
            <w:r w:rsidRPr="002B005F">
              <w:rPr>
                <w:rFonts w:ascii="Times New Roman" w:hAnsi="Times New Roman" w:cs="Times New Roman"/>
                <w:color w:val="auto"/>
              </w:rPr>
              <w:t>Risque de réputation</w:t>
            </w:r>
          </w:p>
        </w:tc>
        <w:tc>
          <w:tcPr>
            <w:tcW w:w="1709" w:type="dxa"/>
            <w:shd w:val="clear" w:color="auto" w:fill="DEEAF6" w:themeFill="accent1" w:themeFillTint="33"/>
            <w:vAlign w:val="center"/>
          </w:tcPr>
          <w:p w14:paraId="16B37F8A"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Afrique</w:t>
            </w:r>
          </w:p>
          <w:p w14:paraId="7F307EE9"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Moyen-Orient</w:t>
            </w:r>
          </w:p>
          <w:p w14:paraId="0281B02D"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Europe</w:t>
            </w:r>
          </w:p>
          <w:p w14:paraId="445067D1" w14:textId="77777777" w:rsidR="00283B4C" w:rsidRPr="002B005F" w:rsidRDefault="00283B4C" w:rsidP="007F59D3">
            <w:pPr>
              <w:tabs>
                <w:tab w:val="left" w:pos="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Autres</w:t>
            </w:r>
          </w:p>
          <w:p w14:paraId="5BABA2FB" w14:textId="77777777" w:rsidR="00283B4C" w:rsidRPr="002B005F" w:rsidRDefault="00283B4C" w:rsidP="00400C50">
            <w:pPr>
              <w:tabs>
                <w:tab w:val="left" w:pos="0"/>
              </w:tabs>
              <w:ind w:right="2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Total</w:t>
            </w:r>
          </w:p>
        </w:tc>
        <w:tc>
          <w:tcPr>
            <w:tcW w:w="1134" w:type="dxa"/>
            <w:shd w:val="clear" w:color="auto" w:fill="DEEAF6" w:themeFill="accent1" w:themeFillTint="33"/>
          </w:tcPr>
          <w:p w14:paraId="629850CC"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30</w:t>
            </w:r>
          </w:p>
          <w:p w14:paraId="0860853E"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29</w:t>
            </w:r>
          </w:p>
          <w:p w14:paraId="79E45AE9"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7</w:t>
            </w:r>
          </w:p>
          <w:p w14:paraId="4880901C" w14:textId="77777777" w:rsidR="00283B4C" w:rsidRPr="002B005F" w:rsidRDefault="00283B4C" w:rsidP="00F4124E">
            <w:pPr>
              <w:tabs>
                <w:tab w:val="left" w:pos="0"/>
              </w:tabs>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w:t>
            </w:r>
          </w:p>
          <w:p w14:paraId="07255891" w14:textId="77777777" w:rsidR="00283B4C" w:rsidRPr="002B005F" w:rsidRDefault="00283B4C" w:rsidP="00F4124E">
            <w:pPr>
              <w:ind w:right="4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B005F">
              <w:rPr>
                <w:rFonts w:ascii="Times New Roman" w:hAnsi="Times New Roman" w:cs="Times New Roman"/>
                <w:b/>
                <w:bCs/>
                <w:sz w:val="21"/>
                <w:szCs w:val="21"/>
              </w:rPr>
              <w:t>79</w:t>
            </w:r>
          </w:p>
        </w:tc>
        <w:tc>
          <w:tcPr>
            <w:tcW w:w="2041" w:type="dxa"/>
            <w:shd w:val="clear" w:color="auto" w:fill="DEEAF6" w:themeFill="accent1" w:themeFillTint="33"/>
          </w:tcPr>
          <w:p w14:paraId="3EC376B6"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34.68</w:t>
            </w:r>
          </w:p>
          <w:p w14:paraId="6BADFB42"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55.69</w:t>
            </w:r>
          </w:p>
          <w:p w14:paraId="0C8CF656" w14:textId="77777777" w:rsidR="00283B4C" w:rsidRPr="002B005F" w:rsidRDefault="00283B4C" w:rsidP="00283B4C">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13.74</w:t>
            </w:r>
          </w:p>
          <w:p w14:paraId="16D2EF53" w14:textId="77777777" w:rsidR="00283B4C" w:rsidRPr="002B005F" w:rsidRDefault="00283B4C" w:rsidP="00E30943">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40.33</w:t>
            </w:r>
          </w:p>
        </w:tc>
        <w:tc>
          <w:tcPr>
            <w:tcW w:w="1304" w:type="dxa"/>
            <w:shd w:val="clear" w:color="auto" w:fill="DEEAF6" w:themeFill="accent1" w:themeFillTint="33"/>
            <w:vAlign w:val="center"/>
          </w:tcPr>
          <w:p w14:paraId="353411D4" w14:textId="77777777" w:rsidR="00283B4C" w:rsidRPr="002B005F" w:rsidRDefault="00283B4C" w:rsidP="00E309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3.466</w:t>
            </w:r>
          </w:p>
        </w:tc>
        <w:tc>
          <w:tcPr>
            <w:tcW w:w="1304" w:type="dxa"/>
            <w:shd w:val="clear" w:color="auto" w:fill="DEEAF6" w:themeFill="accent1" w:themeFillTint="33"/>
            <w:vAlign w:val="center"/>
          </w:tcPr>
          <w:p w14:paraId="299CC137" w14:textId="77777777" w:rsidR="00283B4C" w:rsidRPr="002B005F" w:rsidRDefault="00283B4C" w:rsidP="00E309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B005F">
              <w:rPr>
                <w:rFonts w:ascii="Times New Roman" w:hAnsi="Times New Roman" w:cs="Times New Roman"/>
                <w:sz w:val="21"/>
                <w:szCs w:val="21"/>
              </w:rPr>
              <w:t>0.601</w:t>
            </w:r>
          </w:p>
        </w:tc>
      </w:tr>
    </w:tbl>
    <w:p w14:paraId="78C78E59" w14:textId="77777777" w:rsidR="00283B4C" w:rsidRPr="002B005F" w:rsidRDefault="00283B4C" w:rsidP="00E30943">
      <w:pPr>
        <w:tabs>
          <w:tab w:val="center"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de l’auteur</w:t>
      </w:r>
    </w:p>
    <w:p w14:paraId="1AACD22A" w14:textId="77777777" w:rsidR="002760B2" w:rsidRPr="002B005F" w:rsidRDefault="002760B2" w:rsidP="00CC4BE5">
      <w:pPr>
        <w:tabs>
          <w:tab w:val="left" w:pos="0"/>
        </w:tabs>
        <w:spacing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En outre, le test de K-W a été effectué pour tester l’impact du « poste du répond</w:t>
      </w:r>
      <w:r w:rsidR="00CC4BE5" w:rsidRPr="002B005F">
        <w:rPr>
          <w:rFonts w:ascii="Times New Roman" w:hAnsi="Times New Roman" w:cs="Times New Roman"/>
          <w:sz w:val="24"/>
          <w:szCs w:val="24"/>
        </w:rPr>
        <w:t>ant » et les « Normes comptables » sur la perception des risques.</w:t>
      </w:r>
      <w:r w:rsidRPr="002B005F">
        <w:rPr>
          <w:rFonts w:ascii="Times New Roman" w:hAnsi="Times New Roman" w:cs="Times New Roman"/>
          <w:sz w:val="24"/>
          <w:szCs w:val="24"/>
        </w:rPr>
        <w:t xml:space="preserve"> </w:t>
      </w:r>
      <w:r w:rsidR="00CC4BE5" w:rsidRPr="002B005F">
        <w:rPr>
          <w:rFonts w:ascii="Times New Roman" w:hAnsi="Times New Roman" w:cs="Times New Roman"/>
          <w:sz w:val="24"/>
          <w:szCs w:val="24"/>
        </w:rPr>
        <w:t>Cependant</w:t>
      </w:r>
      <w:r w:rsidRPr="002B005F">
        <w:rPr>
          <w:rFonts w:ascii="Times New Roman" w:hAnsi="Times New Roman" w:cs="Times New Roman"/>
          <w:sz w:val="24"/>
          <w:szCs w:val="24"/>
        </w:rPr>
        <w:t xml:space="preserve">, les résultats montrent qu'il n'y a pas de différences significatives telles que résumées dans le </w:t>
      </w:r>
      <w:r w:rsidRPr="002B005F">
        <w:rPr>
          <w:rFonts w:ascii="Times New Roman" w:hAnsi="Times New Roman" w:cs="Times New Roman"/>
          <w:b/>
          <w:bCs/>
          <w:sz w:val="24"/>
          <w:szCs w:val="24"/>
        </w:rPr>
        <w:t>tableau 30</w:t>
      </w:r>
      <w:r w:rsidRPr="002B005F">
        <w:rPr>
          <w:rFonts w:ascii="Times New Roman" w:hAnsi="Times New Roman" w:cs="Times New Roman"/>
          <w:sz w:val="24"/>
          <w:szCs w:val="24"/>
        </w:rPr>
        <w:t>.</w:t>
      </w:r>
    </w:p>
    <w:p w14:paraId="78A3AFCB" w14:textId="274EE3FB" w:rsidR="00DE471E" w:rsidRPr="002B005F" w:rsidRDefault="00DE471E" w:rsidP="00D66FFE">
      <w:pPr>
        <w:pStyle w:val="Lgende"/>
        <w:tabs>
          <w:tab w:val="left" w:pos="0"/>
        </w:tabs>
        <w:spacing w:before="100" w:beforeAutospacing="1" w:after="120" w:line="300" w:lineRule="auto"/>
        <w:jc w:val="center"/>
        <w:rPr>
          <w:rFonts w:ascii="Times New Roman" w:hAnsi="Times New Roman" w:cs="Times New Roman"/>
          <w:color w:val="auto"/>
          <w:spacing w:val="-6"/>
          <w:sz w:val="24"/>
          <w:szCs w:val="24"/>
        </w:rPr>
      </w:pPr>
      <w:bookmarkStart w:id="1720" w:name="_Toc115556098"/>
      <w:r w:rsidRPr="002B005F">
        <w:rPr>
          <w:rFonts w:ascii="Times New Roman" w:hAnsi="Times New Roman" w:cs="Times New Roman"/>
          <w:color w:val="auto"/>
          <w:spacing w:val="-6"/>
          <w:sz w:val="24"/>
          <w:szCs w:val="24"/>
        </w:rPr>
        <w:t xml:space="preserve">Tableau </w:t>
      </w:r>
      <w:r w:rsidR="00B544E5" w:rsidRPr="002B005F">
        <w:rPr>
          <w:rFonts w:ascii="Times New Roman" w:hAnsi="Times New Roman" w:cs="Times New Roman"/>
          <w:color w:val="auto"/>
          <w:spacing w:val="-6"/>
          <w:sz w:val="24"/>
          <w:szCs w:val="24"/>
        </w:rPr>
        <w:fldChar w:fldCharType="begin"/>
      </w:r>
      <w:r w:rsidRPr="002B005F">
        <w:rPr>
          <w:rFonts w:ascii="Times New Roman" w:hAnsi="Times New Roman" w:cs="Times New Roman"/>
          <w:color w:val="auto"/>
          <w:spacing w:val="-6"/>
          <w:sz w:val="24"/>
          <w:szCs w:val="24"/>
        </w:rPr>
        <w:instrText xml:space="preserve"> SEQ Tableau \* ARABIC </w:instrText>
      </w:r>
      <w:r w:rsidR="00B544E5" w:rsidRPr="002B005F">
        <w:rPr>
          <w:rFonts w:ascii="Times New Roman" w:hAnsi="Times New Roman" w:cs="Times New Roman"/>
          <w:color w:val="auto"/>
          <w:spacing w:val="-6"/>
          <w:sz w:val="24"/>
          <w:szCs w:val="24"/>
        </w:rPr>
        <w:fldChar w:fldCharType="separate"/>
      </w:r>
      <w:r w:rsidR="00666FC7">
        <w:rPr>
          <w:rFonts w:ascii="Times New Roman" w:hAnsi="Times New Roman" w:cs="Times New Roman"/>
          <w:noProof/>
          <w:color w:val="auto"/>
          <w:spacing w:val="-6"/>
          <w:sz w:val="24"/>
          <w:szCs w:val="24"/>
        </w:rPr>
        <w:t>30</w:t>
      </w:r>
      <w:r w:rsidR="00B544E5" w:rsidRPr="002B005F">
        <w:rPr>
          <w:rFonts w:ascii="Times New Roman" w:hAnsi="Times New Roman" w:cs="Times New Roman"/>
          <w:color w:val="auto"/>
          <w:spacing w:val="-6"/>
          <w:sz w:val="24"/>
          <w:szCs w:val="24"/>
        </w:rPr>
        <w:fldChar w:fldCharType="end"/>
      </w:r>
      <w:r w:rsidR="00CC4BE5" w:rsidRPr="002B005F">
        <w:rPr>
          <w:rFonts w:ascii="Times New Roman" w:hAnsi="Times New Roman" w:cs="Times New Roman"/>
          <w:color w:val="auto"/>
          <w:spacing w:val="-6"/>
          <w:sz w:val="24"/>
          <w:szCs w:val="24"/>
        </w:rPr>
        <w:t xml:space="preserve">- </w:t>
      </w:r>
      <w:r w:rsidRPr="002B005F">
        <w:rPr>
          <w:rFonts w:ascii="Times New Roman" w:hAnsi="Times New Roman" w:cs="Times New Roman"/>
          <w:color w:val="auto"/>
          <w:spacing w:val="-6"/>
          <w:sz w:val="24"/>
          <w:szCs w:val="24"/>
        </w:rPr>
        <w:t>Test de K-W par poste du répondant et</w:t>
      </w:r>
      <w:bookmarkEnd w:id="1720"/>
      <w:r w:rsidR="00D66FFE">
        <w:rPr>
          <w:rFonts w:ascii="Times New Roman" w:hAnsi="Times New Roman" w:cs="Times New Roman"/>
          <w:color w:val="auto"/>
          <w:spacing w:val="-6"/>
          <w:sz w:val="24"/>
          <w:szCs w:val="24"/>
        </w:rPr>
        <w:t xml:space="preserve"> </w:t>
      </w:r>
      <w:r w:rsidR="005838F7" w:rsidRPr="002B005F">
        <w:rPr>
          <w:rFonts w:ascii="Times New Roman" w:hAnsi="Times New Roman" w:cs="Times New Roman"/>
          <w:color w:val="auto"/>
          <w:spacing w:val="-6"/>
          <w:sz w:val="24"/>
          <w:szCs w:val="24"/>
        </w:rPr>
        <w:t>Standards comptables</w:t>
      </w:r>
      <w:r w:rsidRPr="002B005F">
        <w:rPr>
          <w:rFonts w:ascii="Times New Roman" w:hAnsi="Times New Roman" w:cs="Times New Roman"/>
          <w:color w:val="auto"/>
          <w:spacing w:val="-6"/>
          <w:sz w:val="24"/>
          <w:szCs w:val="24"/>
        </w:rPr>
        <w:t xml:space="preserve"> </w:t>
      </w:r>
      <w:r w:rsidR="005838F7" w:rsidRPr="002B005F">
        <w:rPr>
          <w:rFonts w:ascii="Times New Roman" w:hAnsi="Times New Roman" w:cs="Times New Roman"/>
          <w:color w:val="auto"/>
          <w:spacing w:val="-6"/>
          <w:sz w:val="24"/>
          <w:szCs w:val="24"/>
        </w:rPr>
        <w:t>(</w:t>
      </w:r>
      <w:r w:rsidRPr="002B005F">
        <w:rPr>
          <w:rFonts w:ascii="Times New Roman" w:hAnsi="Times New Roman" w:cs="Times New Roman"/>
          <w:color w:val="auto"/>
          <w:spacing w:val="-6"/>
          <w:sz w:val="24"/>
          <w:szCs w:val="24"/>
        </w:rPr>
        <w:t>question 6</w:t>
      </w:r>
      <w:r w:rsidR="005838F7" w:rsidRPr="002B005F">
        <w:rPr>
          <w:rFonts w:ascii="Times New Roman" w:hAnsi="Times New Roman" w:cs="Times New Roman"/>
          <w:color w:val="auto"/>
          <w:spacing w:val="-6"/>
          <w:sz w:val="24"/>
          <w:szCs w:val="24"/>
        </w:rPr>
        <w:t>)</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000" w:firstRow="0" w:lastRow="0" w:firstColumn="0" w:lastColumn="0" w:noHBand="0" w:noVBand="0"/>
      </w:tblPr>
      <w:tblGrid>
        <w:gridCol w:w="3082"/>
        <w:gridCol w:w="1564"/>
        <w:gridCol w:w="1564"/>
        <w:gridCol w:w="1380"/>
        <w:gridCol w:w="1482"/>
      </w:tblGrid>
      <w:tr w:rsidR="002760B2" w:rsidRPr="002B005F" w14:paraId="51C40FB9" w14:textId="77777777" w:rsidTr="00267AAF">
        <w:trPr>
          <w:trHeight w:val="680"/>
          <w:jc w:val="center"/>
        </w:trPr>
        <w:tc>
          <w:tcPr>
            <w:tcW w:w="3069" w:type="dxa"/>
            <w:shd w:val="clear" w:color="auto" w:fill="DEEAF6" w:themeFill="accent1" w:themeFillTint="33"/>
            <w:vAlign w:val="center"/>
          </w:tcPr>
          <w:p w14:paraId="3A9C04F1" w14:textId="77777777" w:rsidR="002760B2" w:rsidRPr="002B005F" w:rsidRDefault="00CC4BE5" w:rsidP="00CC4BE5">
            <w:pPr>
              <w:tabs>
                <w:tab w:val="left" w:pos="0"/>
              </w:tabs>
              <w:spacing w:line="240" w:lineRule="auto"/>
              <w:ind w:left="113"/>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sz w:val="24"/>
                <w:szCs w:val="24"/>
              </w:rPr>
              <w:t>Risques</w:t>
            </w:r>
          </w:p>
        </w:tc>
        <w:tc>
          <w:tcPr>
            <w:tcW w:w="1558" w:type="dxa"/>
            <w:shd w:val="clear" w:color="auto" w:fill="DEEAF6" w:themeFill="accent1" w:themeFillTint="33"/>
            <w:vAlign w:val="center"/>
          </w:tcPr>
          <w:p w14:paraId="0E7677AE" w14:textId="77777777" w:rsidR="002760B2" w:rsidRPr="002B005F" w:rsidRDefault="002760B2" w:rsidP="00CC4BE5">
            <w:pPr>
              <w:tabs>
                <w:tab w:val="left" w:pos="0"/>
              </w:tabs>
              <w:spacing w:line="240" w:lineRule="auto"/>
              <w:jc w:val="center"/>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Chi-Deux</w:t>
            </w:r>
          </w:p>
        </w:tc>
        <w:tc>
          <w:tcPr>
            <w:tcW w:w="1558" w:type="dxa"/>
            <w:shd w:val="clear" w:color="auto" w:fill="DEEAF6" w:themeFill="accent1" w:themeFillTint="33"/>
            <w:vAlign w:val="center"/>
          </w:tcPr>
          <w:p w14:paraId="71DA17CA" w14:textId="77777777" w:rsidR="002760B2" w:rsidRPr="002B005F" w:rsidRDefault="002760B2" w:rsidP="00CC4BE5">
            <w:pPr>
              <w:tabs>
                <w:tab w:val="left" w:pos="0"/>
              </w:tabs>
              <w:spacing w:line="240" w:lineRule="auto"/>
              <w:jc w:val="center"/>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Asymp. Sig</w:t>
            </w:r>
          </w:p>
        </w:tc>
        <w:tc>
          <w:tcPr>
            <w:tcW w:w="1375" w:type="dxa"/>
            <w:shd w:val="clear" w:color="auto" w:fill="DEEAF6" w:themeFill="accent1" w:themeFillTint="33"/>
            <w:vAlign w:val="center"/>
          </w:tcPr>
          <w:p w14:paraId="56CF8875" w14:textId="77777777" w:rsidR="002760B2" w:rsidRPr="002B005F" w:rsidRDefault="002760B2" w:rsidP="00CC4BE5">
            <w:pPr>
              <w:tabs>
                <w:tab w:val="left" w:pos="0"/>
              </w:tabs>
              <w:spacing w:line="240" w:lineRule="auto"/>
              <w:jc w:val="center"/>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Chi-Deux</w:t>
            </w:r>
          </w:p>
        </w:tc>
        <w:tc>
          <w:tcPr>
            <w:tcW w:w="1476" w:type="dxa"/>
            <w:shd w:val="clear" w:color="auto" w:fill="DEEAF6" w:themeFill="accent1" w:themeFillTint="33"/>
            <w:vAlign w:val="center"/>
          </w:tcPr>
          <w:p w14:paraId="72B2D5E1" w14:textId="77777777" w:rsidR="002760B2" w:rsidRPr="002B005F" w:rsidRDefault="002760B2" w:rsidP="00CC4BE5">
            <w:pPr>
              <w:tabs>
                <w:tab w:val="left" w:pos="0"/>
              </w:tabs>
              <w:spacing w:line="240" w:lineRule="auto"/>
              <w:jc w:val="center"/>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Asymp.Sig</w:t>
            </w:r>
          </w:p>
        </w:tc>
      </w:tr>
      <w:tr w:rsidR="002760B2" w:rsidRPr="002B005F" w14:paraId="5A79F4C8" w14:textId="77777777" w:rsidTr="00CC4BE5">
        <w:trPr>
          <w:trHeight w:val="680"/>
          <w:jc w:val="center"/>
        </w:trPr>
        <w:tc>
          <w:tcPr>
            <w:tcW w:w="3069" w:type="dxa"/>
            <w:shd w:val="clear" w:color="auto" w:fill="auto"/>
            <w:vAlign w:val="center"/>
          </w:tcPr>
          <w:p w14:paraId="699C1721" w14:textId="77777777" w:rsidR="002760B2" w:rsidRPr="002B005F" w:rsidRDefault="002760B2" w:rsidP="00CC4BE5">
            <w:pPr>
              <w:tabs>
                <w:tab w:val="left" w:pos="0"/>
              </w:tabs>
              <w:spacing w:line="240" w:lineRule="auto"/>
              <w:ind w:left="113"/>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Risque de contrepartie</w:t>
            </w:r>
          </w:p>
        </w:tc>
        <w:tc>
          <w:tcPr>
            <w:tcW w:w="1558" w:type="dxa"/>
            <w:shd w:val="clear" w:color="auto" w:fill="auto"/>
            <w:vAlign w:val="center"/>
          </w:tcPr>
          <w:p w14:paraId="24302E8C"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11.817</w:t>
            </w:r>
          </w:p>
        </w:tc>
        <w:tc>
          <w:tcPr>
            <w:tcW w:w="1558" w:type="dxa"/>
            <w:shd w:val="clear" w:color="auto" w:fill="auto"/>
            <w:vAlign w:val="center"/>
          </w:tcPr>
          <w:p w14:paraId="6776775D"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0.621</w:t>
            </w:r>
          </w:p>
        </w:tc>
        <w:tc>
          <w:tcPr>
            <w:tcW w:w="1375" w:type="dxa"/>
            <w:shd w:val="clear" w:color="auto" w:fill="auto"/>
            <w:vAlign w:val="center"/>
          </w:tcPr>
          <w:p w14:paraId="46CE2811" w14:textId="77777777" w:rsidR="002760B2" w:rsidRPr="002B005F" w:rsidRDefault="002760B2" w:rsidP="00CB4001">
            <w:pPr>
              <w:tabs>
                <w:tab w:val="left" w:pos="0"/>
              </w:tabs>
              <w:spacing w:line="240" w:lineRule="auto"/>
              <w:ind w:right="6"/>
              <w:jc w:val="center"/>
              <w:rPr>
                <w:rFonts w:ascii="Times New Roman" w:eastAsia="Arial" w:hAnsi="Times New Roman" w:cs="Times New Roman"/>
              </w:rPr>
            </w:pPr>
            <w:r w:rsidRPr="002B005F">
              <w:rPr>
                <w:rFonts w:ascii="Times New Roman" w:eastAsia="Arial" w:hAnsi="Times New Roman" w:cs="Times New Roman"/>
              </w:rPr>
              <w:t>1.098</w:t>
            </w:r>
          </w:p>
        </w:tc>
        <w:tc>
          <w:tcPr>
            <w:tcW w:w="1476" w:type="dxa"/>
            <w:shd w:val="clear" w:color="auto" w:fill="auto"/>
            <w:vAlign w:val="center"/>
          </w:tcPr>
          <w:p w14:paraId="6DE3E2A0"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0.778</w:t>
            </w:r>
          </w:p>
        </w:tc>
      </w:tr>
      <w:tr w:rsidR="002760B2" w:rsidRPr="002B005F" w14:paraId="47DA3320" w14:textId="77777777" w:rsidTr="00267AAF">
        <w:trPr>
          <w:trHeight w:val="680"/>
          <w:jc w:val="center"/>
        </w:trPr>
        <w:tc>
          <w:tcPr>
            <w:tcW w:w="3069" w:type="dxa"/>
            <w:shd w:val="clear" w:color="auto" w:fill="DEEAF6" w:themeFill="accent1" w:themeFillTint="33"/>
            <w:vAlign w:val="center"/>
          </w:tcPr>
          <w:p w14:paraId="13B082C9" w14:textId="77777777" w:rsidR="002760B2" w:rsidRPr="002B005F" w:rsidRDefault="002760B2" w:rsidP="00CC4BE5">
            <w:pPr>
              <w:tabs>
                <w:tab w:val="left" w:pos="0"/>
              </w:tabs>
              <w:spacing w:line="240" w:lineRule="auto"/>
              <w:ind w:left="113"/>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Risque de taux de référence</w:t>
            </w:r>
          </w:p>
        </w:tc>
        <w:tc>
          <w:tcPr>
            <w:tcW w:w="1558" w:type="dxa"/>
            <w:shd w:val="clear" w:color="auto" w:fill="DEEAF6" w:themeFill="accent1" w:themeFillTint="33"/>
            <w:vAlign w:val="center"/>
          </w:tcPr>
          <w:p w14:paraId="75962299"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20.115</w:t>
            </w:r>
          </w:p>
        </w:tc>
        <w:tc>
          <w:tcPr>
            <w:tcW w:w="1558" w:type="dxa"/>
            <w:shd w:val="clear" w:color="auto" w:fill="DEEAF6" w:themeFill="accent1" w:themeFillTint="33"/>
            <w:vAlign w:val="center"/>
          </w:tcPr>
          <w:p w14:paraId="1BBA2FA9"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0.127</w:t>
            </w:r>
          </w:p>
        </w:tc>
        <w:tc>
          <w:tcPr>
            <w:tcW w:w="1375" w:type="dxa"/>
            <w:shd w:val="clear" w:color="auto" w:fill="DEEAF6" w:themeFill="accent1" w:themeFillTint="33"/>
            <w:vAlign w:val="center"/>
          </w:tcPr>
          <w:p w14:paraId="50C32569" w14:textId="77777777" w:rsidR="002760B2" w:rsidRPr="002B005F" w:rsidRDefault="002760B2" w:rsidP="00CB4001">
            <w:pPr>
              <w:tabs>
                <w:tab w:val="left" w:pos="0"/>
              </w:tabs>
              <w:spacing w:line="240" w:lineRule="auto"/>
              <w:ind w:right="6"/>
              <w:jc w:val="center"/>
              <w:rPr>
                <w:rFonts w:ascii="Times New Roman" w:eastAsia="Arial" w:hAnsi="Times New Roman" w:cs="Times New Roman"/>
              </w:rPr>
            </w:pPr>
            <w:r w:rsidRPr="002B005F">
              <w:rPr>
                <w:rFonts w:ascii="Times New Roman" w:eastAsia="Arial" w:hAnsi="Times New Roman" w:cs="Times New Roman"/>
              </w:rPr>
              <w:t>1.616</w:t>
            </w:r>
          </w:p>
        </w:tc>
        <w:tc>
          <w:tcPr>
            <w:tcW w:w="1476" w:type="dxa"/>
            <w:shd w:val="clear" w:color="auto" w:fill="DEEAF6" w:themeFill="accent1" w:themeFillTint="33"/>
            <w:vAlign w:val="center"/>
          </w:tcPr>
          <w:p w14:paraId="697EFDC4"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0.656</w:t>
            </w:r>
          </w:p>
        </w:tc>
      </w:tr>
      <w:tr w:rsidR="002760B2" w:rsidRPr="002B005F" w14:paraId="7DFB6E88" w14:textId="77777777" w:rsidTr="00CC4BE5">
        <w:trPr>
          <w:trHeight w:val="680"/>
          <w:jc w:val="center"/>
        </w:trPr>
        <w:tc>
          <w:tcPr>
            <w:tcW w:w="3069" w:type="dxa"/>
            <w:shd w:val="clear" w:color="auto" w:fill="auto"/>
            <w:vAlign w:val="center"/>
          </w:tcPr>
          <w:p w14:paraId="18E8342F" w14:textId="77777777" w:rsidR="002760B2" w:rsidRPr="002B005F" w:rsidRDefault="002760B2" w:rsidP="00CC4BE5">
            <w:pPr>
              <w:tabs>
                <w:tab w:val="left" w:pos="0"/>
              </w:tabs>
              <w:spacing w:line="240" w:lineRule="auto"/>
              <w:ind w:left="113"/>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Risque de change</w:t>
            </w:r>
          </w:p>
        </w:tc>
        <w:tc>
          <w:tcPr>
            <w:tcW w:w="1558" w:type="dxa"/>
            <w:shd w:val="clear" w:color="auto" w:fill="auto"/>
            <w:vAlign w:val="center"/>
          </w:tcPr>
          <w:p w14:paraId="1F26B596"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15.095</w:t>
            </w:r>
          </w:p>
        </w:tc>
        <w:tc>
          <w:tcPr>
            <w:tcW w:w="1558" w:type="dxa"/>
            <w:shd w:val="clear" w:color="auto" w:fill="auto"/>
            <w:vAlign w:val="center"/>
          </w:tcPr>
          <w:p w14:paraId="2B10EC0C"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0.372</w:t>
            </w:r>
          </w:p>
        </w:tc>
        <w:tc>
          <w:tcPr>
            <w:tcW w:w="1375" w:type="dxa"/>
            <w:shd w:val="clear" w:color="auto" w:fill="auto"/>
            <w:vAlign w:val="center"/>
          </w:tcPr>
          <w:p w14:paraId="433C56CF" w14:textId="77777777" w:rsidR="002760B2" w:rsidRPr="002B005F" w:rsidRDefault="002760B2" w:rsidP="00CB4001">
            <w:pPr>
              <w:tabs>
                <w:tab w:val="left" w:pos="0"/>
              </w:tabs>
              <w:spacing w:line="240" w:lineRule="auto"/>
              <w:ind w:right="6"/>
              <w:jc w:val="center"/>
              <w:rPr>
                <w:rFonts w:ascii="Times New Roman" w:eastAsia="Arial" w:hAnsi="Times New Roman" w:cs="Times New Roman"/>
              </w:rPr>
            </w:pPr>
            <w:r w:rsidRPr="002B005F">
              <w:rPr>
                <w:rFonts w:ascii="Times New Roman" w:eastAsia="Arial" w:hAnsi="Times New Roman" w:cs="Times New Roman"/>
              </w:rPr>
              <w:t>3.472</w:t>
            </w:r>
          </w:p>
        </w:tc>
        <w:tc>
          <w:tcPr>
            <w:tcW w:w="1476" w:type="dxa"/>
            <w:shd w:val="clear" w:color="auto" w:fill="auto"/>
            <w:vAlign w:val="center"/>
          </w:tcPr>
          <w:p w14:paraId="7CDB23DA"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0.324</w:t>
            </w:r>
          </w:p>
        </w:tc>
      </w:tr>
      <w:tr w:rsidR="002760B2" w:rsidRPr="002B005F" w14:paraId="52793781" w14:textId="77777777" w:rsidTr="00267AAF">
        <w:trPr>
          <w:trHeight w:val="680"/>
          <w:jc w:val="center"/>
        </w:trPr>
        <w:tc>
          <w:tcPr>
            <w:tcW w:w="3069" w:type="dxa"/>
            <w:shd w:val="clear" w:color="auto" w:fill="DEEAF6" w:themeFill="accent1" w:themeFillTint="33"/>
            <w:vAlign w:val="center"/>
          </w:tcPr>
          <w:p w14:paraId="31CC5FDA" w14:textId="77777777" w:rsidR="002760B2" w:rsidRPr="002B005F" w:rsidRDefault="002760B2" w:rsidP="00CC4BE5">
            <w:pPr>
              <w:tabs>
                <w:tab w:val="left" w:pos="0"/>
              </w:tabs>
              <w:spacing w:line="240" w:lineRule="auto"/>
              <w:ind w:left="113"/>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Risque de variation des prix</w:t>
            </w:r>
          </w:p>
        </w:tc>
        <w:tc>
          <w:tcPr>
            <w:tcW w:w="1558" w:type="dxa"/>
            <w:shd w:val="clear" w:color="auto" w:fill="DEEAF6" w:themeFill="accent1" w:themeFillTint="33"/>
            <w:vAlign w:val="center"/>
          </w:tcPr>
          <w:p w14:paraId="0885FF32"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7.749</w:t>
            </w:r>
          </w:p>
        </w:tc>
        <w:tc>
          <w:tcPr>
            <w:tcW w:w="1558" w:type="dxa"/>
            <w:shd w:val="clear" w:color="auto" w:fill="DEEAF6" w:themeFill="accent1" w:themeFillTint="33"/>
            <w:vAlign w:val="center"/>
          </w:tcPr>
          <w:p w14:paraId="179BE234"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0.902</w:t>
            </w:r>
          </w:p>
        </w:tc>
        <w:tc>
          <w:tcPr>
            <w:tcW w:w="1375" w:type="dxa"/>
            <w:shd w:val="clear" w:color="auto" w:fill="DEEAF6" w:themeFill="accent1" w:themeFillTint="33"/>
            <w:vAlign w:val="center"/>
          </w:tcPr>
          <w:p w14:paraId="5241B1D7" w14:textId="77777777" w:rsidR="002760B2" w:rsidRPr="002B005F" w:rsidRDefault="002760B2" w:rsidP="00CB4001">
            <w:pPr>
              <w:tabs>
                <w:tab w:val="left" w:pos="0"/>
              </w:tabs>
              <w:spacing w:line="240" w:lineRule="auto"/>
              <w:ind w:right="6"/>
              <w:jc w:val="center"/>
              <w:rPr>
                <w:rFonts w:ascii="Times New Roman" w:eastAsia="Arial" w:hAnsi="Times New Roman" w:cs="Times New Roman"/>
              </w:rPr>
            </w:pPr>
            <w:r w:rsidRPr="002B005F">
              <w:rPr>
                <w:rFonts w:ascii="Times New Roman" w:eastAsia="Arial" w:hAnsi="Times New Roman" w:cs="Times New Roman"/>
              </w:rPr>
              <w:t>6.584</w:t>
            </w:r>
          </w:p>
        </w:tc>
        <w:tc>
          <w:tcPr>
            <w:tcW w:w="1476" w:type="dxa"/>
            <w:shd w:val="clear" w:color="auto" w:fill="DEEAF6" w:themeFill="accent1" w:themeFillTint="33"/>
            <w:vAlign w:val="center"/>
          </w:tcPr>
          <w:p w14:paraId="3D5073DA"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0.086</w:t>
            </w:r>
          </w:p>
        </w:tc>
      </w:tr>
      <w:tr w:rsidR="002760B2" w:rsidRPr="002B005F" w14:paraId="37EA1ACE" w14:textId="77777777" w:rsidTr="00CC4BE5">
        <w:trPr>
          <w:trHeight w:val="680"/>
          <w:jc w:val="center"/>
        </w:trPr>
        <w:tc>
          <w:tcPr>
            <w:tcW w:w="3069" w:type="dxa"/>
            <w:shd w:val="clear" w:color="auto" w:fill="auto"/>
            <w:vAlign w:val="center"/>
          </w:tcPr>
          <w:p w14:paraId="0F532A61" w14:textId="77777777" w:rsidR="002760B2" w:rsidRPr="002B005F" w:rsidRDefault="002760B2" w:rsidP="00CC4BE5">
            <w:pPr>
              <w:tabs>
                <w:tab w:val="left" w:pos="0"/>
              </w:tabs>
              <w:spacing w:line="240" w:lineRule="auto"/>
              <w:ind w:left="113"/>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Risque de liquidité</w:t>
            </w:r>
          </w:p>
        </w:tc>
        <w:tc>
          <w:tcPr>
            <w:tcW w:w="1558" w:type="dxa"/>
            <w:shd w:val="clear" w:color="auto" w:fill="auto"/>
            <w:vAlign w:val="center"/>
          </w:tcPr>
          <w:p w14:paraId="048D8EE7"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13.051</w:t>
            </w:r>
          </w:p>
        </w:tc>
        <w:tc>
          <w:tcPr>
            <w:tcW w:w="1558" w:type="dxa"/>
            <w:shd w:val="clear" w:color="auto" w:fill="auto"/>
            <w:vAlign w:val="center"/>
          </w:tcPr>
          <w:p w14:paraId="45AFE838"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0.522</w:t>
            </w:r>
          </w:p>
        </w:tc>
        <w:tc>
          <w:tcPr>
            <w:tcW w:w="1375" w:type="dxa"/>
            <w:shd w:val="clear" w:color="auto" w:fill="auto"/>
            <w:vAlign w:val="center"/>
          </w:tcPr>
          <w:p w14:paraId="086C7DF2" w14:textId="77777777" w:rsidR="002760B2" w:rsidRPr="002B005F" w:rsidRDefault="002760B2" w:rsidP="00CB4001">
            <w:pPr>
              <w:tabs>
                <w:tab w:val="left" w:pos="0"/>
              </w:tabs>
              <w:spacing w:line="240" w:lineRule="auto"/>
              <w:ind w:right="6"/>
              <w:jc w:val="center"/>
              <w:rPr>
                <w:rFonts w:ascii="Times New Roman" w:eastAsia="Arial" w:hAnsi="Times New Roman" w:cs="Times New Roman"/>
              </w:rPr>
            </w:pPr>
            <w:r w:rsidRPr="002B005F">
              <w:rPr>
                <w:rFonts w:ascii="Times New Roman" w:eastAsia="Arial" w:hAnsi="Times New Roman" w:cs="Times New Roman"/>
              </w:rPr>
              <w:t>7.051</w:t>
            </w:r>
          </w:p>
        </w:tc>
        <w:tc>
          <w:tcPr>
            <w:tcW w:w="1476" w:type="dxa"/>
            <w:shd w:val="clear" w:color="auto" w:fill="auto"/>
            <w:vAlign w:val="center"/>
          </w:tcPr>
          <w:p w14:paraId="452858F9"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0.07</w:t>
            </w:r>
          </w:p>
        </w:tc>
      </w:tr>
      <w:tr w:rsidR="002760B2" w:rsidRPr="002B005F" w14:paraId="2AEF1260" w14:textId="77777777" w:rsidTr="00267AAF">
        <w:trPr>
          <w:trHeight w:val="680"/>
          <w:jc w:val="center"/>
        </w:trPr>
        <w:tc>
          <w:tcPr>
            <w:tcW w:w="3069" w:type="dxa"/>
            <w:shd w:val="clear" w:color="auto" w:fill="DEEAF6" w:themeFill="accent1" w:themeFillTint="33"/>
            <w:vAlign w:val="center"/>
          </w:tcPr>
          <w:p w14:paraId="2B131C37" w14:textId="77777777" w:rsidR="002760B2" w:rsidRPr="002B005F" w:rsidRDefault="002760B2" w:rsidP="00CC4BE5">
            <w:pPr>
              <w:tabs>
                <w:tab w:val="left" w:pos="0"/>
              </w:tabs>
              <w:spacing w:line="240" w:lineRule="auto"/>
              <w:ind w:left="113"/>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Risque opérationnel</w:t>
            </w:r>
          </w:p>
        </w:tc>
        <w:tc>
          <w:tcPr>
            <w:tcW w:w="1558" w:type="dxa"/>
            <w:shd w:val="clear" w:color="auto" w:fill="DEEAF6" w:themeFill="accent1" w:themeFillTint="33"/>
            <w:vAlign w:val="center"/>
          </w:tcPr>
          <w:p w14:paraId="172E397B"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7.108</w:t>
            </w:r>
          </w:p>
        </w:tc>
        <w:tc>
          <w:tcPr>
            <w:tcW w:w="1558" w:type="dxa"/>
            <w:shd w:val="clear" w:color="auto" w:fill="DEEAF6" w:themeFill="accent1" w:themeFillTint="33"/>
            <w:vAlign w:val="center"/>
          </w:tcPr>
          <w:p w14:paraId="635FF2CE"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0.93</w:t>
            </w:r>
          </w:p>
        </w:tc>
        <w:tc>
          <w:tcPr>
            <w:tcW w:w="1375" w:type="dxa"/>
            <w:shd w:val="clear" w:color="auto" w:fill="DEEAF6" w:themeFill="accent1" w:themeFillTint="33"/>
            <w:vAlign w:val="center"/>
          </w:tcPr>
          <w:p w14:paraId="72F2C1D8" w14:textId="77777777" w:rsidR="002760B2" w:rsidRPr="002B005F" w:rsidRDefault="002760B2" w:rsidP="00CB4001">
            <w:pPr>
              <w:tabs>
                <w:tab w:val="left" w:pos="0"/>
              </w:tabs>
              <w:spacing w:line="240" w:lineRule="auto"/>
              <w:ind w:right="6"/>
              <w:jc w:val="center"/>
              <w:rPr>
                <w:rFonts w:ascii="Times New Roman" w:eastAsia="Arial" w:hAnsi="Times New Roman" w:cs="Times New Roman"/>
              </w:rPr>
            </w:pPr>
            <w:r w:rsidRPr="002B005F">
              <w:rPr>
                <w:rFonts w:ascii="Times New Roman" w:eastAsia="Arial" w:hAnsi="Times New Roman" w:cs="Times New Roman"/>
              </w:rPr>
              <w:t>5.677</w:t>
            </w:r>
          </w:p>
        </w:tc>
        <w:tc>
          <w:tcPr>
            <w:tcW w:w="1476" w:type="dxa"/>
            <w:shd w:val="clear" w:color="auto" w:fill="DEEAF6" w:themeFill="accent1" w:themeFillTint="33"/>
            <w:vAlign w:val="center"/>
          </w:tcPr>
          <w:p w14:paraId="660362B8"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0.128</w:t>
            </w:r>
          </w:p>
        </w:tc>
      </w:tr>
      <w:tr w:rsidR="002760B2" w:rsidRPr="002B005F" w14:paraId="0028F796" w14:textId="77777777" w:rsidTr="00CC4BE5">
        <w:trPr>
          <w:trHeight w:val="680"/>
          <w:jc w:val="center"/>
        </w:trPr>
        <w:tc>
          <w:tcPr>
            <w:tcW w:w="3069" w:type="dxa"/>
            <w:shd w:val="clear" w:color="auto" w:fill="auto"/>
            <w:vAlign w:val="center"/>
          </w:tcPr>
          <w:p w14:paraId="30A0A513" w14:textId="77777777" w:rsidR="002760B2" w:rsidRPr="002B005F" w:rsidRDefault="002760B2" w:rsidP="00CC4BE5">
            <w:pPr>
              <w:tabs>
                <w:tab w:val="left" w:pos="0"/>
              </w:tabs>
              <w:spacing w:line="240" w:lineRule="auto"/>
              <w:ind w:left="113"/>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Risque commercial déplacé</w:t>
            </w:r>
          </w:p>
        </w:tc>
        <w:tc>
          <w:tcPr>
            <w:tcW w:w="1558" w:type="dxa"/>
            <w:shd w:val="clear" w:color="auto" w:fill="auto"/>
            <w:vAlign w:val="center"/>
          </w:tcPr>
          <w:p w14:paraId="1DE98639"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15.899</w:t>
            </w:r>
          </w:p>
        </w:tc>
        <w:tc>
          <w:tcPr>
            <w:tcW w:w="1558" w:type="dxa"/>
            <w:shd w:val="clear" w:color="auto" w:fill="auto"/>
            <w:vAlign w:val="center"/>
          </w:tcPr>
          <w:p w14:paraId="22CEF4A7"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0.255</w:t>
            </w:r>
          </w:p>
        </w:tc>
        <w:tc>
          <w:tcPr>
            <w:tcW w:w="1375" w:type="dxa"/>
            <w:shd w:val="clear" w:color="auto" w:fill="auto"/>
            <w:vAlign w:val="center"/>
          </w:tcPr>
          <w:p w14:paraId="788C6A21" w14:textId="77777777" w:rsidR="002760B2" w:rsidRPr="002B005F" w:rsidRDefault="002760B2" w:rsidP="00CB4001">
            <w:pPr>
              <w:tabs>
                <w:tab w:val="left" w:pos="0"/>
              </w:tabs>
              <w:spacing w:line="240" w:lineRule="auto"/>
              <w:ind w:right="6"/>
              <w:jc w:val="center"/>
              <w:rPr>
                <w:rFonts w:ascii="Times New Roman" w:eastAsia="Arial" w:hAnsi="Times New Roman" w:cs="Times New Roman"/>
              </w:rPr>
            </w:pPr>
            <w:r w:rsidRPr="002B005F">
              <w:rPr>
                <w:rFonts w:ascii="Times New Roman" w:eastAsia="Arial" w:hAnsi="Times New Roman" w:cs="Times New Roman"/>
              </w:rPr>
              <w:t>5.266</w:t>
            </w:r>
          </w:p>
        </w:tc>
        <w:tc>
          <w:tcPr>
            <w:tcW w:w="1476" w:type="dxa"/>
            <w:shd w:val="clear" w:color="auto" w:fill="auto"/>
            <w:vAlign w:val="center"/>
          </w:tcPr>
          <w:p w14:paraId="3DD06E6C"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0.153</w:t>
            </w:r>
          </w:p>
        </w:tc>
      </w:tr>
      <w:tr w:rsidR="002760B2" w:rsidRPr="002B005F" w14:paraId="0D137897" w14:textId="77777777" w:rsidTr="00267AAF">
        <w:trPr>
          <w:trHeight w:val="680"/>
          <w:jc w:val="center"/>
        </w:trPr>
        <w:tc>
          <w:tcPr>
            <w:tcW w:w="3069" w:type="dxa"/>
            <w:shd w:val="clear" w:color="auto" w:fill="DEEAF6" w:themeFill="accent1" w:themeFillTint="33"/>
            <w:vAlign w:val="center"/>
          </w:tcPr>
          <w:p w14:paraId="3EAEDA82" w14:textId="255CB2D2" w:rsidR="002760B2" w:rsidRPr="002B005F" w:rsidRDefault="002760B2" w:rsidP="00CC4BE5">
            <w:pPr>
              <w:tabs>
                <w:tab w:val="left" w:pos="0"/>
              </w:tabs>
              <w:spacing w:line="240" w:lineRule="auto"/>
              <w:ind w:left="113"/>
              <w:jc w:val="left"/>
              <w:rPr>
                <w:rFonts w:ascii="Times New Roman" w:eastAsia="Arial" w:hAnsi="Times New Roman" w:cs="Times New Roman"/>
                <w:b/>
                <w:bCs/>
                <w:sz w:val="24"/>
                <w:szCs w:val="24"/>
              </w:rPr>
            </w:pPr>
            <w:r w:rsidRPr="002B005F">
              <w:rPr>
                <w:rFonts w:ascii="Times New Roman" w:eastAsia="Arial" w:hAnsi="Times New Roman" w:cs="Times New Roman"/>
                <w:b/>
                <w:bCs/>
                <w:iCs/>
                <w:sz w:val="24"/>
                <w:szCs w:val="24"/>
              </w:rPr>
              <w:t>Risque</w:t>
            </w:r>
            <w:r w:rsidRPr="002B005F">
              <w:rPr>
                <w:rFonts w:ascii="Times New Roman" w:eastAsia="Arial" w:hAnsi="Times New Roman" w:cs="Times New Roman"/>
                <w:b/>
                <w:bCs/>
                <w:i/>
                <w:sz w:val="24"/>
                <w:szCs w:val="24"/>
              </w:rPr>
              <w:t xml:space="preserve"> </w:t>
            </w:r>
            <w:r w:rsidRPr="002B005F">
              <w:rPr>
                <w:rFonts w:ascii="Times New Roman" w:eastAsia="Arial" w:hAnsi="Times New Roman" w:cs="Times New Roman"/>
                <w:b/>
                <w:bCs/>
                <w:iCs/>
                <w:sz w:val="24"/>
                <w:szCs w:val="24"/>
              </w:rPr>
              <w:t>f</w:t>
            </w:r>
            <w:r w:rsidR="008C0622">
              <w:rPr>
                <w:rFonts w:ascii="Times New Roman" w:eastAsia="Arial" w:hAnsi="Times New Roman" w:cs="Times New Roman"/>
                <w:b/>
                <w:bCs/>
                <w:iCs/>
                <w:sz w:val="24"/>
                <w:szCs w:val="24"/>
              </w:rPr>
              <w:t>i</w:t>
            </w:r>
            <w:r w:rsidRPr="002B005F">
              <w:rPr>
                <w:rFonts w:ascii="Times New Roman" w:eastAsia="Arial" w:hAnsi="Times New Roman" w:cs="Times New Roman"/>
                <w:b/>
                <w:bCs/>
                <w:iCs/>
                <w:sz w:val="24"/>
                <w:szCs w:val="24"/>
              </w:rPr>
              <w:t>d</w:t>
            </w:r>
            <w:r w:rsidR="008C0622">
              <w:rPr>
                <w:rFonts w:ascii="Times New Roman" w:eastAsia="Arial" w:hAnsi="Times New Roman" w:cs="Times New Roman"/>
                <w:b/>
                <w:bCs/>
                <w:iCs/>
                <w:sz w:val="24"/>
                <w:szCs w:val="24"/>
              </w:rPr>
              <w:t>u</w:t>
            </w:r>
            <w:r w:rsidRPr="002B005F">
              <w:rPr>
                <w:rFonts w:ascii="Times New Roman" w:eastAsia="Arial" w:hAnsi="Times New Roman" w:cs="Times New Roman"/>
                <w:b/>
                <w:bCs/>
                <w:iCs/>
                <w:sz w:val="24"/>
                <w:szCs w:val="24"/>
              </w:rPr>
              <w:t>ci</w:t>
            </w:r>
            <w:r w:rsidR="008C0622">
              <w:rPr>
                <w:rFonts w:ascii="Times New Roman" w:eastAsia="Arial" w:hAnsi="Times New Roman" w:cs="Times New Roman"/>
                <w:b/>
                <w:bCs/>
                <w:iCs/>
                <w:sz w:val="24"/>
                <w:szCs w:val="24"/>
              </w:rPr>
              <w:t>aire</w:t>
            </w:r>
          </w:p>
        </w:tc>
        <w:tc>
          <w:tcPr>
            <w:tcW w:w="1558" w:type="dxa"/>
            <w:shd w:val="clear" w:color="auto" w:fill="DEEAF6" w:themeFill="accent1" w:themeFillTint="33"/>
            <w:vAlign w:val="center"/>
          </w:tcPr>
          <w:p w14:paraId="55017CBA"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22.246</w:t>
            </w:r>
          </w:p>
        </w:tc>
        <w:tc>
          <w:tcPr>
            <w:tcW w:w="1558" w:type="dxa"/>
            <w:shd w:val="clear" w:color="auto" w:fill="DEEAF6" w:themeFill="accent1" w:themeFillTint="33"/>
            <w:vAlign w:val="center"/>
          </w:tcPr>
          <w:p w14:paraId="351AC915"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0.074</w:t>
            </w:r>
          </w:p>
        </w:tc>
        <w:tc>
          <w:tcPr>
            <w:tcW w:w="1375" w:type="dxa"/>
            <w:shd w:val="clear" w:color="auto" w:fill="DEEAF6" w:themeFill="accent1" w:themeFillTint="33"/>
            <w:vAlign w:val="center"/>
          </w:tcPr>
          <w:p w14:paraId="5FA0F87A" w14:textId="77777777" w:rsidR="002760B2" w:rsidRPr="002B005F" w:rsidRDefault="002760B2" w:rsidP="00CB4001">
            <w:pPr>
              <w:tabs>
                <w:tab w:val="left" w:pos="0"/>
              </w:tabs>
              <w:spacing w:line="240" w:lineRule="auto"/>
              <w:ind w:right="6"/>
              <w:jc w:val="center"/>
              <w:rPr>
                <w:rFonts w:ascii="Times New Roman" w:eastAsia="Arial" w:hAnsi="Times New Roman" w:cs="Times New Roman"/>
              </w:rPr>
            </w:pPr>
            <w:r w:rsidRPr="002B005F">
              <w:rPr>
                <w:rFonts w:ascii="Times New Roman" w:eastAsia="Arial" w:hAnsi="Times New Roman" w:cs="Times New Roman"/>
              </w:rPr>
              <w:t>6.074</w:t>
            </w:r>
          </w:p>
        </w:tc>
        <w:tc>
          <w:tcPr>
            <w:tcW w:w="1476" w:type="dxa"/>
            <w:shd w:val="clear" w:color="auto" w:fill="DEEAF6" w:themeFill="accent1" w:themeFillTint="33"/>
            <w:vAlign w:val="center"/>
          </w:tcPr>
          <w:p w14:paraId="3D6955F5"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0.108</w:t>
            </w:r>
          </w:p>
        </w:tc>
      </w:tr>
      <w:tr w:rsidR="002760B2" w:rsidRPr="002B005F" w14:paraId="49BC343D" w14:textId="77777777" w:rsidTr="00CC4BE5">
        <w:trPr>
          <w:trHeight w:val="680"/>
          <w:jc w:val="center"/>
        </w:trPr>
        <w:tc>
          <w:tcPr>
            <w:tcW w:w="3069" w:type="dxa"/>
            <w:shd w:val="clear" w:color="auto" w:fill="auto"/>
            <w:vAlign w:val="center"/>
          </w:tcPr>
          <w:p w14:paraId="3F05F180" w14:textId="77777777" w:rsidR="002760B2" w:rsidRPr="002B005F" w:rsidRDefault="002760B2" w:rsidP="00CC4BE5">
            <w:pPr>
              <w:tabs>
                <w:tab w:val="left" w:pos="0"/>
              </w:tabs>
              <w:spacing w:line="240" w:lineRule="auto"/>
              <w:ind w:left="113"/>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Risque juridique</w:t>
            </w:r>
          </w:p>
        </w:tc>
        <w:tc>
          <w:tcPr>
            <w:tcW w:w="1558" w:type="dxa"/>
            <w:shd w:val="clear" w:color="auto" w:fill="auto"/>
            <w:vAlign w:val="center"/>
          </w:tcPr>
          <w:p w14:paraId="620EA1A0"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16.891</w:t>
            </w:r>
          </w:p>
        </w:tc>
        <w:tc>
          <w:tcPr>
            <w:tcW w:w="1558" w:type="dxa"/>
            <w:shd w:val="clear" w:color="auto" w:fill="auto"/>
            <w:vAlign w:val="center"/>
          </w:tcPr>
          <w:p w14:paraId="665B6711"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0.262</w:t>
            </w:r>
          </w:p>
        </w:tc>
        <w:tc>
          <w:tcPr>
            <w:tcW w:w="1375" w:type="dxa"/>
            <w:shd w:val="clear" w:color="auto" w:fill="auto"/>
            <w:vAlign w:val="center"/>
          </w:tcPr>
          <w:p w14:paraId="5B8DDF40" w14:textId="77777777" w:rsidR="002760B2" w:rsidRPr="002B005F" w:rsidRDefault="002760B2" w:rsidP="00CB4001">
            <w:pPr>
              <w:tabs>
                <w:tab w:val="left" w:pos="0"/>
              </w:tabs>
              <w:spacing w:line="240" w:lineRule="auto"/>
              <w:ind w:right="6"/>
              <w:jc w:val="center"/>
              <w:rPr>
                <w:rFonts w:ascii="Times New Roman" w:eastAsia="Arial" w:hAnsi="Times New Roman" w:cs="Times New Roman"/>
              </w:rPr>
            </w:pPr>
            <w:r w:rsidRPr="002B005F">
              <w:rPr>
                <w:rFonts w:ascii="Times New Roman" w:eastAsia="Arial" w:hAnsi="Times New Roman" w:cs="Times New Roman"/>
              </w:rPr>
              <w:t>5.79</w:t>
            </w:r>
          </w:p>
        </w:tc>
        <w:tc>
          <w:tcPr>
            <w:tcW w:w="1476" w:type="dxa"/>
            <w:shd w:val="clear" w:color="auto" w:fill="auto"/>
            <w:vAlign w:val="center"/>
          </w:tcPr>
          <w:p w14:paraId="6CBA7F8D"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0.122</w:t>
            </w:r>
          </w:p>
        </w:tc>
      </w:tr>
      <w:tr w:rsidR="002760B2" w:rsidRPr="002B005F" w14:paraId="2E536883" w14:textId="77777777" w:rsidTr="00267AAF">
        <w:trPr>
          <w:trHeight w:val="680"/>
          <w:jc w:val="center"/>
        </w:trPr>
        <w:tc>
          <w:tcPr>
            <w:tcW w:w="3069" w:type="dxa"/>
            <w:shd w:val="clear" w:color="auto" w:fill="DEEAF6" w:themeFill="accent1" w:themeFillTint="33"/>
            <w:vAlign w:val="center"/>
          </w:tcPr>
          <w:p w14:paraId="542CF747" w14:textId="77777777" w:rsidR="002760B2" w:rsidRPr="002B005F" w:rsidRDefault="002760B2" w:rsidP="00CC4BE5">
            <w:pPr>
              <w:tabs>
                <w:tab w:val="left" w:pos="0"/>
              </w:tabs>
              <w:spacing w:line="240" w:lineRule="auto"/>
              <w:ind w:left="113"/>
              <w:jc w:val="left"/>
              <w:rPr>
                <w:rFonts w:ascii="Times New Roman" w:eastAsia="Arial" w:hAnsi="Times New Roman" w:cs="Times New Roman"/>
                <w:b/>
                <w:bCs/>
                <w:sz w:val="24"/>
                <w:szCs w:val="24"/>
              </w:rPr>
            </w:pPr>
            <w:r w:rsidRPr="002B005F">
              <w:rPr>
                <w:rFonts w:ascii="Times New Roman" w:eastAsia="Arial" w:hAnsi="Times New Roman" w:cs="Times New Roman"/>
                <w:b/>
                <w:bCs/>
                <w:sz w:val="24"/>
                <w:szCs w:val="24"/>
              </w:rPr>
              <w:t>Risque de réputation</w:t>
            </w:r>
          </w:p>
        </w:tc>
        <w:tc>
          <w:tcPr>
            <w:tcW w:w="1558" w:type="dxa"/>
            <w:shd w:val="clear" w:color="auto" w:fill="DEEAF6" w:themeFill="accent1" w:themeFillTint="33"/>
            <w:vAlign w:val="center"/>
          </w:tcPr>
          <w:p w14:paraId="5C1746F1"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13.971</w:t>
            </w:r>
          </w:p>
        </w:tc>
        <w:tc>
          <w:tcPr>
            <w:tcW w:w="1558" w:type="dxa"/>
            <w:shd w:val="clear" w:color="auto" w:fill="DEEAF6" w:themeFill="accent1" w:themeFillTint="33"/>
            <w:vAlign w:val="center"/>
          </w:tcPr>
          <w:p w14:paraId="040977D3"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0.452</w:t>
            </w:r>
          </w:p>
        </w:tc>
        <w:tc>
          <w:tcPr>
            <w:tcW w:w="1375" w:type="dxa"/>
            <w:shd w:val="clear" w:color="auto" w:fill="DEEAF6" w:themeFill="accent1" w:themeFillTint="33"/>
            <w:vAlign w:val="center"/>
          </w:tcPr>
          <w:p w14:paraId="7A469F2F" w14:textId="77777777" w:rsidR="002760B2" w:rsidRPr="002B005F" w:rsidRDefault="002760B2" w:rsidP="00CB4001">
            <w:pPr>
              <w:tabs>
                <w:tab w:val="left" w:pos="0"/>
              </w:tabs>
              <w:spacing w:line="240" w:lineRule="auto"/>
              <w:ind w:right="6"/>
              <w:jc w:val="center"/>
              <w:rPr>
                <w:rFonts w:ascii="Times New Roman" w:eastAsia="Arial" w:hAnsi="Times New Roman" w:cs="Times New Roman"/>
              </w:rPr>
            </w:pPr>
            <w:r w:rsidRPr="002B005F">
              <w:rPr>
                <w:rFonts w:ascii="Times New Roman" w:eastAsia="Arial" w:hAnsi="Times New Roman" w:cs="Times New Roman"/>
              </w:rPr>
              <w:t>4.421</w:t>
            </w:r>
          </w:p>
        </w:tc>
        <w:tc>
          <w:tcPr>
            <w:tcW w:w="1476" w:type="dxa"/>
            <w:shd w:val="clear" w:color="auto" w:fill="DEEAF6" w:themeFill="accent1" w:themeFillTint="33"/>
            <w:vAlign w:val="center"/>
          </w:tcPr>
          <w:p w14:paraId="0255BD7F" w14:textId="77777777" w:rsidR="002760B2" w:rsidRPr="002B005F" w:rsidRDefault="002760B2" w:rsidP="00CB4001">
            <w:pPr>
              <w:tabs>
                <w:tab w:val="left" w:pos="0"/>
              </w:tabs>
              <w:spacing w:line="240" w:lineRule="auto"/>
              <w:jc w:val="center"/>
              <w:rPr>
                <w:rFonts w:ascii="Times New Roman" w:eastAsia="Arial" w:hAnsi="Times New Roman" w:cs="Times New Roman"/>
              </w:rPr>
            </w:pPr>
            <w:r w:rsidRPr="002B005F">
              <w:rPr>
                <w:rFonts w:ascii="Times New Roman" w:eastAsia="Arial" w:hAnsi="Times New Roman" w:cs="Times New Roman"/>
              </w:rPr>
              <w:t>0.219</w:t>
            </w:r>
          </w:p>
        </w:tc>
      </w:tr>
    </w:tbl>
    <w:p w14:paraId="50DD25FC" w14:textId="77777777" w:rsidR="002760B2" w:rsidRPr="002B005F" w:rsidRDefault="002760B2" w:rsidP="00CC4BE5">
      <w:pPr>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w:t>
      </w:r>
      <w:r w:rsidR="00CC4BE5" w:rsidRPr="002B005F">
        <w:rPr>
          <w:rFonts w:ascii="Times New Roman" w:hAnsi="Times New Roman" w:cs="Times New Roman"/>
          <w:sz w:val="20"/>
          <w:szCs w:val="20"/>
        </w:rPr>
        <w:t> : C</w:t>
      </w:r>
      <w:r w:rsidRPr="002B005F">
        <w:rPr>
          <w:rFonts w:ascii="Times New Roman" w:hAnsi="Times New Roman" w:cs="Times New Roman"/>
          <w:sz w:val="20"/>
          <w:szCs w:val="20"/>
        </w:rPr>
        <w:t>alculs du chercheur.</w:t>
      </w:r>
    </w:p>
    <w:p w14:paraId="4F070E76" w14:textId="77777777" w:rsidR="00CB4001" w:rsidRPr="002B005F" w:rsidRDefault="009543A1" w:rsidP="00CC4BE5">
      <w:pPr>
        <w:tabs>
          <w:tab w:val="left" w:pos="0"/>
        </w:tabs>
        <w:autoSpaceDE w:val="0"/>
        <w:autoSpaceDN w:val="0"/>
        <w:adjustRightInd w:val="0"/>
        <w:spacing w:before="100" w:beforeAutospacing="1"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D’ailleurs, </w:t>
      </w:r>
      <w:r w:rsidR="002760B2" w:rsidRPr="002B005F">
        <w:rPr>
          <w:rFonts w:ascii="Times New Roman" w:hAnsi="Times New Roman" w:cs="Times New Roman"/>
          <w:sz w:val="24"/>
          <w:szCs w:val="24"/>
        </w:rPr>
        <w:t>le test K-W pour examiner l'importance des différences perçues des différents risques selo</w:t>
      </w:r>
      <w:r w:rsidRPr="002B005F">
        <w:rPr>
          <w:rFonts w:ascii="Times New Roman" w:hAnsi="Times New Roman" w:cs="Times New Roman"/>
          <w:sz w:val="24"/>
          <w:szCs w:val="24"/>
        </w:rPr>
        <w:t xml:space="preserve">n la « nature de l’institution » </w:t>
      </w:r>
      <w:r w:rsidR="002760B2" w:rsidRPr="002B005F">
        <w:rPr>
          <w:rFonts w:ascii="Times New Roman" w:hAnsi="Times New Roman" w:cs="Times New Roman"/>
          <w:sz w:val="24"/>
          <w:szCs w:val="24"/>
        </w:rPr>
        <w:t xml:space="preserve">a fourni des résultats dispersés. Le </w:t>
      </w:r>
      <w:r w:rsidR="002760B2" w:rsidRPr="002B005F">
        <w:rPr>
          <w:rFonts w:ascii="Times New Roman" w:hAnsi="Times New Roman" w:cs="Times New Roman"/>
          <w:b/>
          <w:bCs/>
          <w:sz w:val="24"/>
          <w:szCs w:val="24"/>
        </w:rPr>
        <w:t>tableau 31</w:t>
      </w:r>
      <w:r w:rsidRPr="002B005F">
        <w:rPr>
          <w:rFonts w:ascii="Times New Roman" w:hAnsi="Times New Roman" w:cs="Times New Roman"/>
          <w:sz w:val="24"/>
          <w:szCs w:val="24"/>
        </w:rPr>
        <w:t xml:space="preserve"> </w:t>
      </w:r>
      <w:r w:rsidR="000B294A">
        <w:rPr>
          <w:rFonts w:ascii="Times New Roman" w:hAnsi="Times New Roman" w:cs="Times New Roman"/>
          <w:sz w:val="24"/>
          <w:szCs w:val="24"/>
        </w:rPr>
        <w:t xml:space="preserve">(ci-après) </w:t>
      </w:r>
      <w:r w:rsidRPr="002B005F">
        <w:rPr>
          <w:rFonts w:ascii="Times New Roman" w:hAnsi="Times New Roman" w:cs="Times New Roman"/>
          <w:sz w:val="24"/>
          <w:szCs w:val="24"/>
        </w:rPr>
        <w:t>montre que</w:t>
      </w:r>
      <w:r w:rsidR="002760B2" w:rsidRPr="002B005F">
        <w:rPr>
          <w:rFonts w:ascii="Times New Roman" w:hAnsi="Times New Roman" w:cs="Times New Roman"/>
          <w:sz w:val="24"/>
          <w:szCs w:val="24"/>
        </w:rPr>
        <w:t xml:space="preserve"> le risque de crédit, le risque de liquidité, le risque opérationnel, le risque commercial déplacé, le risque </w:t>
      </w:r>
      <w:r w:rsidR="002760B2" w:rsidRPr="004B1423">
        <w:rPr>
          <w:rFonts w:ascii="Times New Roman" w:hAnsi="Times New Roman" w:cs="Times New Roman"/>
          <w:sz w:val="24"/>
          <w:szCs w:val="24"/>
        </w:rPr>
        <w:t>fiduciaire</w:t>
      </w:r>
      <w:r w:rsidR="002760B2" w:rsidRPr="002B005F">
        <w:rPr>
          <w:rFonts w:ascii="Times New Roman" w:hAnsi="Times New Roman" w:cs="Times New Roman"/>
          <w:sz w:val="24"/>
          <w:szCs w:val="24"/>
        </w:rPr>
        <w:t xml:space="preserve"> et le risque de réputation o</w:t>
      </w:r>
      <w:r w:rsidR="00267AAF" w:rsidRPr="002B005F">
        <w:rPr>
          <w:rFonts w:ascii="Times New Roman" w:hAnsi="Times New Roman" w:cs="Times New Roman"/>
          <w:sz w:val="24"/>
          <w:szCs w:val="24"/>
        </w:rPr>
        <w:t>nt des valeurs-P significatives</w:t>
      </w:r>
      <w:r w:rsidR="002760B2" w:rsidRPr="002B005F">
        <w:rPr>
          <w:rFonts w:ascii="Times New Roman" w:hAnsi="Times New Roman" w:cs="Times New Roman"/>
          <w:sz w:val="24"/>
          <w:szCs w:val="24"/>
        </w:rPr>
        <w:t xml:space="preserve"> contrairement aux autres risques.</w:t>
      </w:r>
    </w:p>
    <w:p w14:paraId="5CC29D82" w14:textId="1BF1C5A1" w:rsidR="000C1CC2" w:rsidRPr="002B005F" w:rsidRDefault="00CB4001" w:rsidP="00267AAF">
      <w:pPr>
        <w:spacing w:before="100" w:beforeAutospacing="1" w:after="120" w:line="300" w:lineRule="auto"/>
        <w:jc w:val="center"/>
        <w:rPr>
          <w:rFonts w:ascii="Times New Roman" w:hAnsi="Times New Roman" w:cs="Times New Roman"/>
          <w:b/>
          <w:bCs/>
          <w:sz w:val="24"/>
          <w:szCs w:val="24"/>
        </w:rPr>
      </w:pPr>
      <w:r w:rsidRPr="002B005F">
        <w:rPr>
          <w:rFonts w:ascii="Times New Roman" w:hAnsi="Times New Roman" w:cs="Times New Roman"/>
          <w:sz w:val="24"/>
          <w:szCs w:val="24"/>
        </w:rPr>
        <w:br w:type="page"/>
      </w:r>
      <w:bookmarkStart w:id="1721" w:name="_Toc115556099"/>
      <w:r w:rsidR="000C1CC2"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000C1CC2"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31</w:t>
      </w:r>
      <w:r w:rsidR="00B544E5" w:rsidRPr="002B005F">
        <w:rPr>
          <w:rFonts w:ascii="Times New Roman" w:hAnsi="Times New Roman" w:cs="Times New Roman"/>
          <w:b/>
          <w:bCs/>
          <w:sz w:val="24"/>
          <w:szCs w:val="24"/>
        </w:rPr>
        <w:fldChar w:fldCharType="end"/>
      </w:r>
      <w:r w:rsidR="005838F7" w:rsidRPr="002B005F">
        <w:rPr>
          <w:rFonts w:ascii="Times New Roman" w:hAnsi="Times New Roman" w:cs="Times New Roman"/>
          <w:b/>
          <w:bCs/>
          <w:sz w:val="24"/>
          <w:szCs w:val="24"/>
        </w:rPr>
        <w:t>- T</w:t>
      </w:r>
      <w:r w:rsidR="000C1CC2" w:rsidRPr="002B005F">
        <w:rPr>
          <w:rFonts w:ascii="Times New Roman" w:hAnsi="Times New Roman" w:cs="Times New Roman"/>
          <w:b/>
          <w:bCs/>
          <w:sz w:val="24"/>
          <w:szCs w:val="24"/>
        </w:rPr>
        <w:t>est K-W selon la nature d’institution</w:t>
      </w:r>
      <w:r w:rsidR="00267AAF" w:rsidRPr="002B005F">
        <w:rPr>
          <w:rFonts w:ascii="Times New Roman" w:hAnsi="Times New Roman" w:cs="Times New Roman"/>
          <w:b/>
          <w:bCs/>
          <w:sz w:val="24"/>
          <w:szCs w:val="24"/>
        </w:rPr>
        <w:t xml:space="preserve"> (q</w:t>
      </w:r>
      <w:r w:rsidR="000C1CC2" w:rsidRPr="002B005F">
        <w:rPr>
          <w:rFonts w:ascii="Times New Roman" w:hAnsi="Times New Roman" w:cs="Times New Roman"/>
          <w:b/>
          <w:bCs/>
          <w:sz w:val="24"/>
          <w:szCs w:val="24"/>
        </w:rPr>
        <w:t>uestion</w:t>
      </w:r>
      <w:r w:rsidR="00267AAF" w:rsidRPr="002B005F">
        <w:rPr>
          <w:rFonts w:ascii="Times New Roman" w:hAnsi="Times New Roman" w:cs="Times New Roman"/>
          <w:b/>
          <w:bCs/>
          <w:sz w:val="24"/>
          <w:szCs w:val="24"/>
        </w:rPr>
        <w:t xml:space="preserve"> </w:t>
      </w:r>
      <w:r w:rsidR="000C1CC2" w:rsidRPr="002B005F">
        <w:rPr>
          <w:rFonts w:ascii="Times New Roman" w:hAnsi="Times New Roman" w:cs="Times New Roman"/>
          <w:b/>
          <w:bCs/>
          <w:sz w:val="24"/>
          <w:szCs w:val="24"/>
        </w:rPr>
        <w:t>6)</w:t>
      </w:r>
      <w:bookmarkEnd w:id="1721"/>
    </w:p>
    <w:tbl>
      <w:tblPr>
        <w:tblW w:w="90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1984"/>
        <w:gridCol w:w="1134"/>
        <w:gridCol w:w="1417"/>
        <w:gridCol w:w="1984"/>
        <w:gridCol w:w="1134"/>
        <w:gridCol w:w="1417"/>
      </w:tblGrid>
      <w:tr w:rsidR="000A557B" w:rsidRPr="002B005F" w14:paraId="2B663E8F" w14:textId="77777777" w:rsidTr="0027018B">
        <w:trPr>
          <w:trHeight w:val="567"/>
          <w:jc w:val="center"/>
        </w:trPr>
        <w:tc>
          <w:tcPr>
            <w:tcW w:w="1984" w:type="dxa"/>
            <w:shd w:val="clear" w:color="auto" w:fill="DEEAF6" w:themeFill="accent1" w:themeFillTint="33"/>
            <w:vAlign w:val="center"/>
            <w:hideMark/>
          </w:tcPr>
          <w:p w14:paraId="3121597F" w14:textId="77777777" w:rsidR="000A557B" w:rsidRPr="002B005F" w:rsidRDefault="000A557B" w:rsidP="000A557B">
            <w:pPr>
              <w:tabs>
                <w:tab w:val="left" w:pos="0"/>
              </w:tabs>
              <w:spacing w:line="240" w:lineRule="auto"/>
              <w:jc w:val="center"/>
              <w:rPr>
                <w:rFonts w:ascii="Times New Roman" w:eastAsia="Times New Roman" w:hAnsi="Times New Roman" w:cs="Times New Roman"/>
                <w:b/>
              </w:rPr>
            </w:pPr>
            <w:r w:rsidRPr="002B005F">
              <w:rPr>
                <w:rFonts w:ascii="Times New Roman" w:eastAsia="Times New Roman" w:hAnsi="Times New Roman" w:cs="Times New Roman"/>
                <w:b/>
              </w:rPr>
              <w:t>Risque</w:t>
            </w:r>
          </w:p>
        </w:tc>
        <w:tc>
          <w:tcPr>
            <w:tcW w:w="1134" w:type="dxa"/>
            <w:shd w:val="clear" w:color="auto" w:fill="DEEAF6" w:themeFill="accent1" w:themeFillTint="33"/>
            <w:vAlign w:val="center"/>
            <w:hideMark/>
          </w:tcPr>
          <w:p w14:paraId="67732BBC" w14:textId="77777777" w:rsidR="000A557B" w:rsidRPr="002B005F" w:rsidRDefault="000A557B" w:rsidP="00FD08CD">
            <w:pPr>
              <w:tabs>
                <w:tab w:val="left" w:pos="0"/>
                <w:tab w:val="center" w:pos="1038"/>
                <w:tab w:val="center" w:pos="1113"/>
              </w:tabs>
              <w:spacing w:line="240" w:lineRule="auto"/>
              <w:jc w:val="center"/>
              <w:rPr>
                <w:rFonts w:ascii="Times New Roman" w:eastAsia="Arial" w:hAnsi="Times New Roman" w:cs="Times New Roman"/>
                <w:b/>
              </w:rPr>
            </w:pPr>
            <w:r w:rsidRPr="002B005F">
              <w:rPr>
                <w:rFonts w:ascii="Times New Roman" w:eastAsia="Arial" w:hAnsi="Times New Roman" w:cs="Times New Roman"/>
                <w:b/>
              </w:rPr>
              <w:t>Chi-Deux</w:t>
            </w:r>
          </w:p>
        </w:tc>
        <w:tc>
          <w:tcPr>
            <w:tcW w:w="1417" w:type="dxa"/>
            <w:shd w:val="clear" w:color="auto" w:fill="DEEAF6" w:themeFill="accent1" w:themeFillTint="33"/>
            <w:vAlign w:val="center"/>
            <w:hideMark/>
          </w:tcPr>
          <w:p w14:paraId="4861B9E4" w14:textId="77777777" w:rsidR="000A557B" w:rsidRPr="002B005F" w:rsidRDefault="000A557B" w:rsidP="000A557B">
            <w:pPr>
              <w:tabs>
                <w:tab w:val="left" w:pos="0"/>
                <w:tab w:val="left" w:pos="1319"/>
              </w:tabs>
              <w:spacing w:line="240" w:lineRule="auto"/>
              <w:jc w:val="center"/>
              <w:rPr>
                <w:rFonts w:ascii="Times New Roman" w:eastAsia="Arial" w:hAnsi="Times New Roman" w:cs="Times New Roman"/>
                <w:b/>
              </w:rPr>
            </w:pPr>
            <w:r w:rsidRPr="002B005F">
              <w:rPr>
                <w:rFonts w:ascii="Times New Roman" w:eastAsia="Arial" w:hAnsi="Times New Roman" w:cs="Times New Roman"/>
                <w:b/>
              </w:rPr>
              <w:t>Asymp. Sig</w:t>
            </w:r>
          </w:p>
        </w:tc>
        <w:tc>
          <w:tcPr>
            <w:tcW w:w="1984" w:type="dxa"/>
            <w:shd w:val="clear" w:color="auto" w:fill="DEEAF6" w:themeFill="accent1" w:themeFillTint="33"/>
            <w:vAlign w:val="center"/>
          </w:tcPr>
          <w:p w14:paraId="68253D90" w14:textId="77777777" w:rsidR="000A557B" w:rsidRPr="002B005F" w:rsidRDefault="000A557B" w:rsidP="000A557B">
            <w:pPr>
              <w:tabs>
                <w:tab w:val="left" w:pos="0"/>
              </w:tabs>
              <w:spacing w:line="240" w:lineRule="auto"/>
              <w:jc w:val="center"/>
              <w:rPr>
                <w:rFonts w:ascii="Times New Roman" w:eastAsia="Times New Roman" w:hAnsi="Times New Roman" w:cs="Times New Roman"/>
                <w:b/>
              </w:rPr>
            </w:pPr>
            <w:r w:rsidRPr="002B005F">
              <w:rPr>
                <w:rFonts w:ascii="Times New Roman" w:eastAsia="Times New Roman" w:hAnsi="Times New Roman" w:cs="Times New Roman"/>
                <w:b/>
              </w:rPr>
              <w:t>Risque</w:t>
            </w:r>
          </w:p>
        </w:tc>
        <w:tc>
          <w:tcPr>
            <w:tcW w:w="1134" w:type="dxa"/>
            <w:shd w:val="clear" w:color="auto" w:fill="DEEAF6" w:themeFill="accent1" w:themeFillTint="33"/>
            <w:vAlign w:val="center"/>
          </w:tcPr>
          <w:p w14:paraId="77B7A011" w14:textId="77777777" w:rsidR="000A557B" w:rsidRPr="002B005F" w:rsidRDefault="000A557B" w:rsidP="00FD08CD">
            <w:pPr>
              <w:tabs>
                <w:tab w:val="left" w:pos="0"/>
                <w:tab w:val="center" w:pos="45"/>
              </w:tabs>
              <w:spacing w:line="240" w:lineRule="auto"/>
              <w:jc w:val="center"/>
              <w:rPr>
                <w:rFonts w:ascii="Times New Roman" w:eastAsia="Arial" w:hAnsi="Times New Roman" w:cs="Times New Roman"/>
                <w:b/>
              </w:rPr>
            </w:pPr>
            <w:r w:rsidRPr="002B005F">
              <w:rPr>
                <w:rFonts w:ascii="Times New Roman" w:eastAsia="Arial" w:hAnsi="Times New Roman" w:cs="Times New Roman"/>
                <w:b/>
              </w:rPr>
              <w:t>Chi-Deux</w:t>
            </w:r>
          </w:p>
        </w:tc>
        <w:tc>
          <w:tcPr>
            <w:tcW w:w="1417" w:type="dxa"/>
            <w:shd w:val="clear" w:color="auto" w:fill="DEEAF6" w:themeFill="accent1" w:themeFillTint="33"/>
            <w:vAlign w:val="center"/>
          </w:tcPr>
          <w:p w14:paraId="5A849573" w14:textId="77777777" w:rsidR="000A557B" w:rsidRPr="002B005F" w:rsidRDefault="000A557B" w:rsidP="000A557B">
            <w:pPr>
              <w:tabs>
                <w:tab w:val="left" w:pos="0"/>
                <w:tab w:val="left" w:pos="1319"/>
              </w:tabs>
              <w:spacing w:line="240" w:lineRule="auto"/>
              <w:jc w:val="center"/>
              <w:rPr>
                <w:rFonts w:ascii="Times New Roman" w:eastAsia="Arial" w:hAnsi="Times New Roman" w:cs="Times New Roman"/>
                <w:b/>
              </w:rPr>
            </w:pPr>
            <w:r w:rsidRPr="002B005F">
              <w:rPr>
                <w:rFonts w:ascii="Times New Roman" w:eastAsia="Arial" w:hAnsi="Times New Roman" w:cs="Times New Roman"/>
                <w:b/>
              </w:rPr>
              <w:t>Asymp. Sig</w:t>
            </w:r>
          </w:p>
        </w:tc>
      </w:tr>
      <w:tr w:rsidR="00FD08CD" w:rsidRPr="002B005F" w14:paraId="25AB0438" w14:textId="77777777" w:rsidTr="0027018B">
        <w:trPr>
          <w:trHeight w:val="567"/>
          <w:jc w:val="center"/>
        </w:trPr>
        <w:tc>
          <w:tcPr>
            <w:tcW w:w="1984" w:type="dxa"/>
            <w:shd w:val="clear" w:color="auto" w:fill="DEEAF6" w:themeFill="accent1" w:themeFillTint="33"/>
            <w:vAlign w:val="center"/>
            <w:hideMark/>
          </w:tcPr>
          <w:p w14:paraId="0C7ACF5D" w14:textId="77777777" w:rsidR="000A557B" w:rsidRPr="002B005F" w:rsidRDefault="000A557B" w:rsidP="0027018B">
            <w:pPr>
              <w:tabs>
                <w:tab w:val="left" w:pos="0"/>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de crédit</w:t>
            </w:r>
          </w:p>
        </w:tc>
        <w:tc>
          <w:tcPr>
            <w:tcW w:w="1134" w:type="dxa"/>
            <w:vAlign w:val="center"/>
            <w:hideMark/>
          </w:tcPr>
          <w:p w14:paraId="5E71ED56" w14:textId="77777777" w:rsidR="000A557B" w:rsidRPr="002B005F" w:rsidRDefault="000A557B" w:rsidP="00FD08CD">
            <w:pPr>
              <w:tabs>
                <w:tab w:val="left" w:pos="0"/>
                <w:tab w:val="left" w:pos="649"/>
                <w:tab w:val="center" w:pos="1038"/>
                <w:tab w:val="center" w:pos="1113"/>
              </w:tabs>
              <w:spacing w:line="240" w:lineRule="auto"/>
              <w:jc w:val="center"/>
              <w:rPr>
                <w:rFonts w:ascii="Times New Roman" w:eastAsia="Arial" w:hAnsi="Times New Roman" w:cs="Times New Roman"/>
              </w:rPr>
            </w:pPr>
            <w:r w:rsidRPr="002B005F">
              <w:rPr>
                <w:rFonts w:ascii="Times New Roman" w:eastAsia="Arial" w:hAnsi="Times New Roman" w:cs="Times New Roman"/>
              </w:rPr>
              <w:t>16.629</w:t>
            </w:r>
          </w:p>
        </w:tc>
        <w:tc>
          <w:tcPr>
            <w:tcW w:w="1417" w:type="dxa"/>
            <w:vAlign w:val="center"/>
            <w:hideMark/>
          </w:tcPr>
          <w:p w14:paraId="53AAF22E"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b/>
                <w:bCs/>
              </w:rPr>
            </w:pPr>
            <w:r w:rsidRPr="002B005F">
              <w:rPr>
                <w:rFonts w:ascii="Times New Roman" w:eastAsia="Arial" w:hAnsi="Times New Roman" w:cs="Times New Roman"/>
                <w:b/>
                <w:bCs/>
              </w:rPr>
              <w:t>0.02</w:t>
            </w:r>
          </w:p>
        </w:tc>
        <w:tc>
          <w:tcPr>
            <w:tcW w:w="1984" w:type="dxa"/>
            <w:shd w:val="clear" w:color="auto" w:fill="DEEAF6" w:themeFill="accent1" w:themeFillTint="33"/>
            <w:vAlign w:val="center"/>
          </w:tcPr>
          <w:p w14:paraId="6019A4CD"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commercial déplacé</w:t>
            </w:r>
          </w:p>
        </w:tc>
        <w:tc>
          <w:tcPr>
            <w:tcW w:w="1134" w:type="dxa"/>
            <w:vAlign w:val="center"/>
          </w:tcPr>
          <w:p w14:paraId="52D4415C" w14:textId="77777777" w:rsidR="000A557B" w:rsidRPr="002B005F" w:rsidRDefault="000A557B" w:rsidP="00FD08CD">
            <w:pPr>
              <w:tabs>
                <w:tab w:val="left" w:pos="0"/>
                <w:tab w:val="center" w:pos="45"/>
                <w:tab w:val="left" w:pos="649"/>
              </w:tabs>
              <w:spacing w:line="240" w:lineRule="auto"/>
              <w:jc w:val="center"/>
              <w:rPr>
                <w:rFonts w:ascii="Times New Roman" w:eastAsia="Arial" w:hAnsi="Times New Roman" w:cs="Times New Roman"/>
              </w:rPr>
            </w:pPr>
            <w:r w:rsidRPr="002B005F">
              <w:rPr>
                <w:rFonts w:ascii="Times New Roman" w:eastAsia="Arial" w:hAnsi="Times New Roman" w:cs="Times New Roman"/>
              </w:rPr>
              <w:t>15.674</w:t>
            </w:r>
          </w:p>
        </w:tc>
        <w:tc>
          <w:tcPr>
            <w:tcW w:w="1417" w:type="dxa"/>
            <w:vAlign w:val="center"/>
          </w:tcPr>
          <w:p w14:paraId="33DC4E0C"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b/>
              </w:rPr>
            </w:pPr>
            <w:r w:rsidRPr="002B005F">
              <w:rPr>
                <w:rFonts w:ascii="Times New Roman" w:eastAsia="Arial" w:hAnsi="Times New Roman" w:cs="Times New Roman"/>
                <w:b/>
              </w:rPr>
              <w:t>0.004</w:t>
            </w:r>
          </w:p>
        </w:tc>
      </w:tr>
      <w:tr w:rsidR="00FD08CD" w:rsidRPr="002B005F" w14:paraId="58D7E15C" w14:textId="77777777" w:rsidTr="0027018B">
        <w:trPr>
          <w:trHeight w:val="567"/>
          <w:jc w:val="center"/>
        </w:trPr>
        <w:tc>
          <w:tcPr>
            <w:tcW w:w="1984" w:type="dxa"/>
            <w:shd w:val="clear" w:color="auto" w:fill="DEEAF6" w:themeFill="accent1" w:themeFillTint="33"/>
            <w:vAlign w:val="center"/>
            <w:hideMark/>
          </w:tcPr>
          <w:p w14:paraId="2CCD945D"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de taux de référence</w:t>
            </w:r>
          </w:p>
        </w:tc>
        <w:tc>
          <w:tcPr>
            <w:tcW w:w="1134" w:type="dxa"/>
            <w:vAlign w:val="center"/>
            <w:hideMark/>
          </w:tcPr>
          <w:p w14:paraId="65C17A37" w14:textId="77777777" w:rsidR="000A557B" w:rsidRPr="002B005F" w:rsidRDefault="000A557B" w:rsidP="00FD08CD">
            <w:pPr>
              <w:tabs>
                <w:tab w:val="left" w:pos="0"/>
                <w:tab w:val="left" w:pos="649"/>
                <w:tab w:val="center" w:pos="1038"/>
                <w:tab w:val="center" w:pos="1113"/>
              </w:tabs>
              <w:spacing w:line="240" w:lineRule="auto"/>
              <w:jc w:val="center"/>
              <w:rPr>
                <w:rFonts w:ascii="Times New Roman" w:eastAsia="Arial" w:hAnsi="Times New Roman" w:cs="Times New Roman"/>
              </w:rPr>
            </w:pPr>
            <w:r w:rsidRPr="002B005F">
              <w:rPr>
                <w:rFonts w:ascii="Times New Roman" w:eastAsia="Arial" w:hAnsi="Times New Roman" w:cs="Times New Roman"/>
              </w:rPr>
              <w:t>6.238</w:t>
            </w:r>
          </w:p>
        </w:tc>
        <w:tc>
          <w:tcPr>
            <w:tcW w:w="1417" w:type="dxa"/>
            <w:vAlign w:val="center"/>
            <w:hideMark/>
          </w:tcPr>
          <w:p w14:paraId="4A7A864B"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rPr>
            </w:pPr>
            <w:r w:rsidRPr="002B005F">
              <w:rPr>
                <w:rFonts w:ascii="Times New Roman" w:eastAsia="Arial" w:hAnsi="Times New Roman" w:cs="Times New Roman"/>
              </w:rPr>
              <w:t>0.101</w:t>
            </w:r>
          </w:p>
        </w:tc>
        <w:tc>
          <w:tcPr>
            <w:tcW w:w="1984" w:type="dxa"/>
            <w:shd w:val="clear" w:color="auto" w:fill="DEEAF6" w:themeFill="accent1" w:themeFillTint="33"/>
            <w:vAlign w:val="center"/>
          </w:tcPr>
          <w:p w14:paraId="597EBDD1"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fiduciaire</w:t>
            </w:r>
          </w:p>
        </w:tc>
        <w:tc>
          <w:tcPr>
            <w:tcW w:w="1134" w:type="dxa"/>
            <w:vAlign w:val="center"/>
          </w:tcPr>
          <w:p w14:paraId="6E44DB35" w14:textId="77777777" w:rsidR="000A557B" w:rsidRPr="002B005F" w:rsidRDefault="000A557B" w:rsidP="00FD08CD">
            <w:pPr>
              <w:tabs>
                <w:tab w:val="left" w:pos="0"/>
                <w:tab w:val="center" w:pos="45"/>
                <w:tab w:val="left" w:pos="649"/>
              </w:tabs>
              <w:spacing w:line="240" w:lineRule="auto"/>
              <w:jc w:val="center"/>
              <w:rPr>
                <w:rFonts w:ascii="Times New Roman" w:eastAsia="Arial" w:hAnsi="Times New Roman" w:cs="Times New Roman"/>
              </w:rPr>
            </w:pPr>
            <w:r w:rsidRPr="002B005F">
              <w:rPr>
                <w:rFonts w:ascii="Times New Roman" w:eastAsia="Arial" w:hAnsi="Times New Roman" w:cs="Times New Roman"/>
              </w:rPr>
              <w:t>13.256</w:t>
            </w:r>
          </w:p>
        </w:tc>
        <w:tc>
          <w:tcPr>
            <w:tcW w:w="1417" w:type="dxa"/>
            <w:vAlign w:val="center"/>
          </w:tcPr>
          <w:p w14:paraId="629A69C0"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b/>
              </w:rPr>
            </w:pPr>
            <w:r w:rsidRPr="002B005F">
              <w:rPr>
                <w:rFonts w:ascii="Times New Roman" w:eastAsia="Arial" w:hAnsi="Times New Roman" w:cs="Times New Roman"/>
                <w:b/>
              </w:rPr>
              <w:t>0.001</w:t>
            </w:r>
          </w:p>
        </w:tc>
      </w:tr>
      <w:tr w:rsidR="00FD08CD" w:rsidRPr="002B005F" w14:paraId="553E70D6" w14:textId="77777777" w:rsidTr="0027018B">
        <w:trPr>
          <w:trHeight w:val="567"/>
          <w:jc w:val="center"/>
        </w:trPr>
        <w:tc>
          <w:tcPr>
            <w:tcW w:w="1984" w:type="dxa"/>
            <w:shd w:val="clear" w:color="auto" w:fill="DEEAF6" w:themeFill="accent1" w:themeFillTint="33"/>
            <w:vAlign w:val="center"/>
            <w:hideMark/>
          </w:tcPr>
          <w:p w14:paraId="6CED74DD"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de change</w:t>
            </w:r>
          </w:p>
        </w:tc>
        <w:tc>
          <w:tcPr>
            <w:tcW w:w="1134" w:type="dxa"/>
            <w:vAlign w:val="center"/>
            <w:hideMark/>
          </w:tcPr>
          <w:p w14:paraId="6CA93872" w14:textId="77777777" w:rsidR="000A557B" w:rsidRPr="002B005F" w:rsidRDefault="000A557B" w:rsidP="00FD08CD">
            <w:pPr>
              <w:tabs>
                <w:tab w:val="left" w:pos="0"/>
                <w:tab w:val="left" w:pos="649"/>
                <w:tab w:val="center" w:pos="1038"/>
                <w:tab w:val="center" w:pos="1113"/>
              </w:tabs>
              <w:spacing w:line="240" w:lineRule="auto"/>
              <w:jc w:val="center"/>
              <w:rPr>
                <w:rFonts w:ascii="Times New Roman" w:eastAsia="Arial" w:hAnsi="Times New Roman" w:cs="Times New Roman"/>
              </w:rPr>
            </w:pPr>
            <w:r w:rsidRPr="002B005F">
              <w:rPr>
                <w:rFonts w:ascii="Times New Roman" w:eastAsia="Arial" w:hAnsi="Times New Roman" w:cs="Times New Roman"/>
              </w:rPr>
              <w:t>3.237</w:t>
            </w:r>
          </w:p>
        </w:tc>
        <w:tc>
          <w:tcPr>
            <w:tcW w:w="1417" w:type="dxa"/>
            <w:vAlign w:val="center"/>
            <w:hideMark/>
          </w:tcPr>
          <w:p w14:paraId="32E7587D"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rPr>
            </w:pPr>
            <w:r w:rsidRPr="002B005F">
              <w:rPr>
                <w:rFonts w:ascii="Times New Roman" w:eastAsia="Arial" w:hAnsi="Times New Roman" w:cs="Times New Roman"/>
              </w:rPr>
              <w:t>0.357</w:t>
            </w:r>
          </w:p>
        </w:tc>
        <w:tc>
          <w:tcPr>
            <w:tcW w:w="1984" w:type="dxa"/>
            <w:shd w:val="clear" w:color="auto" w:fill="DEEAF6" w:themeFill="accent1" w:themeFillTint="33"/>
            <w:vAlign w:val="center"/>
          </w:tcPr>
          <w:p w14:paraId="703A7C9D"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juridique</w:t>
            </w:r>
          </w:p>
        </w:tc>
        <w:tc>
          <w:tcPr>
            <w:tcW w:w="1134" w:type="dxa"/>
            <w:vAlign w:val="center"/>
          </w:tcPr>
          <w:p w14:paraId="0ECB7EA3" w14:textId="77777777" w:rsidR="000A557B" w:rsidRPr="002B005F" w:rsidRDefault="000A557B" w:rsidP="00FD08CD">
            <w:pPr>
              <w:tabs>
                <w:tab w:val="left" w:pos="0"/>
                <w:tab w:val="center" w:pos="45"/>
                <w:tab w:val="left" w:pos="649"/>
              </w:tabs>
              <w:spacing w:line="240" w:lineRule="auto"/>
              <w:jc w:val="center"/>
              <w:rPr>
                <w:rFonts w:ascii="Times New Roman" w:eastAsia="Arial" w:hAnsi="Times New Roman" w:cs="Times New Roman"/>
              </w:rPr>
            </w:pPr>
            <w:r w:rsidRPr="002B005F">
              <w:rPr>
                <w:rFonts w:ascii="Times New Roman" w:eastAsia="Arial" w:hAnsi="Times New Roman" w:cs="Times New Roman"/>
              </w:rPr>
              <w:t>2.943</w:t>
            </w:r>
          </w:p>
        </w:tc>
        <w:tc>
          <w:tcPr>
            <w:tcW w:w="1417" w:type="dxa"/>
            <w:vAlign w:val="center"/>
          </w:tcPr>
          <w:p w14:paraId="2FC5E066"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bCs/>
              </w:rPr>
            </w:pPr>
            <w:r w:rsidRPr="002B005F">
              <w:rPr>
                <w:rFonts w:ascii="Times New Roman" w:eastAsia="Arial" w:hAnsi="Times New Roman" w:cs="Times New Roman"/>
                <w:bCs/>
              </w:rPr>
              <w:t>0.4</w:t>
            </w:r>
          </w:p>
        </w:tc>
      </w:tr>
      <w:tr w:rsidR="00FD08CD" w:rsidRPr="002B005F" w14:paraId="1833CABA" w14:textId="77777777" w:rsidTr="0027018B">
        <w:trPr>
          <w:trHeight w:val="567"/>
          <w:jc w:val="center"/>
        </w:trPr>
        <w:tc>
          <w:tcPr>
            <w:tcW w:w="1984" w:type="dxa"/>
            <w:shd w:val="clear" w:color="auto" w:fill="DEEAF6" w:themeFill="accent1" w:themeFillTint="33"/>
            <w:vAlign w:val="center"/>
            <w:hideMark/>
          </w:tcPr>
          <w:p w14:paraId="577B9C08"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de variation des prix</w:t>
            </w:r>
          </w:p>
        </w:tc>
        <w:tc>
          <w:tcPr>
            <w:tcW w:w="1134" w:type="dxa"/>
            <w:vAlign w:val="center"/>
            <w:hideMark/>
          </w:tcPr>
          <w:p w14:paraId="3C1DB406" w14:textId="77777777" w:rsidR="000A557B" w:rsidRPr="002B005F" w:rsidRDefault="000A557B" w:rsidP="00FD08CD">
            <w:pPr>
              <w:tabs>
                <w:tab w:val="left" w:pos="0"/>
                <w:tab w:val="left" w:pos="649"/>
                <w:tab w:val="center" w:pos="1038"/>
                <w:tab w:val="center" w:pos="1113"/>
              </w:tabs>
              <w:spacing w:line="240" w:lineRule="auto"/>
              <w:jc w:val="center"/>
              <w:rPr>
                <w:rFonts w:ascii="Times New Roman" w:eastAsia="Arial" w:hAnsi="Times New Roman" w:cs="Times New Roman"/>
              </w:rPr>
            </w:pPr>
            <w:r w:rsidRPr="002B005F">
              <w:rPr>
                <w:rFonts w:ascii="Times New Roman" w:eastAsia="Arial" w:hAnsi="Times New Roman" w:cs="Times New Roman"/>
              </w:rPr>
              <w:t>3.599</w:t>
            </w:r>
          </w:p>
        </w:tc>
        <w:tc>
          <w:tcPr>
            <w:tcW w:w="1417" w:type="dxa"/>
            <w:vAlign w:val="center"/>
            <w:hideMark/>
          </w:tcPr>
          <w:p w14:paraId="5A903134"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rPr>
            </w:pPr>
            <w:r w:rsidRPr="002B005F">
              <w:rPr>
                <w:rFonts w:ascii="Times New Roman" w:eastAsia="Arial" w:hAnsi="Times New Roman" w:cs="Times New Roman"/>
              </w:rPr>
              <w:t>0.308</w:t>
            </w:r>
          </w:p>
        </w:tc>
        <w:tc>
          <w:tcPr>
            <w:tcW w:w="1984" w:type="dxa"/>
            <w:shd w:val="clear" w:color="auto" w:fill="DEEAF6" w:themeFill="accent1" w:themeFillTint="33"/>
            <w:vAlign w:val="center"/>
          </w:tcPr>
          <w:p w14:paraId="68BC8EBA"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de réputation</w:t>
            </w:r>
          </w:p>
        </w:tc>
        <w:tc>
          <w:tcPr>
            <w:tcW w:w="1134" w:type="dxa"/>
            <w:vAlign w:val="center"/>
          </w:tcPr>
          <w:p w14:paraId="24BC528F" w14:textId="77777777" w:rsidR="000A557B" w:rsidRPr="002B005F" w:rsidRDefault="000A557B" w:rsidP="00FD08CD">
            <w:pPr>
              <w:tabs>
                <w:tab w:val="left" w:pos="0"/>
                <w:tab w:val="center" w:pos="45"/>
                <w:tab w:val="left" w:pos="649"/>
              </w:tabs>
              <w:spacing w:line="240" w:lineRule="auto"/>
              <w:jc w:val="center"/>
              <w:rPr>
                <w:rFonts w:ascii="Times New Roman" w:eastAsia="Arial" w:hAnsi="Times New Roman" w:cs="Times New Roman"/>
              </w:rPr>
            </w:pPr>
            <w:r w:rsidRPr="002B005F">
              <w:rPr>
                <w:rFonts w:ascii="Times New Roman" w:eastAsia="Arial" w:hAnsi="Times New Roman" w:cs="Times New Roman"/>
              </w:rPr>
              <w:t>11.257</w:t>
            </w:r>
          </w:p>
        </w:tc>
        <w:tc>
          <w:tcPr>
            <w:tcW w:w="1417" w:type="dxa"/>
            <w:vAlign w:val="center"/>
          </w:tcPr>
          <w:p w14:paraId="67B7FB62"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b/>
              </w:rPr>
            </w:pPr>
            <w:r w:rsidRPr="002B005F">
              <w:rPr>
                <w:rFonts w:ascii="Times New Roman" w:eastAsia="Arial" w:hAnsi="Times New Roman" w:cs="Times New Roman"/>
                <w:b/>
              </w:rPr>
              <w:t>0.01</w:t>
            </w:r>
          </w:p>
        </w:tc>
      </w:tr>
      <w:tr w:rsidR="00FD08CD" w:rsidRPr="002B005F" w14:paraId="2889FEEA" w14:textId="77777777" w:rsidTr="0027018B">
        <w:trPr>
          <w:trHeight w:val="567"/>
          <w:jc w:val="center"/>
        </w:trPr>
        <w:tc>
          <w:tcPr>
            <w:tcW w:w="1984" w:type="dxa"/>
            <w:shd w:val="clear" w:color="auto" w:fill="DEEAF6" w:themeFill="accent1" w:themeFillTint="33"/>
            <w:vAlign w:val="center"/>
            <w:hideMark/>
          </w:tcPr>
          <w:p w14:paraId="15F4F92C"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de liquidité</w:t>
            </w:r>
          </w:p>
        </w:tc>
        <w:tc>
          <w:tcPr>
            <w:tcW w:w="1134" w:type="dxa"/>
            <w:vAlign w:val="center"/>
            <w:hideMark/>
          </w:tcPr>
          <w:p w14:paraId="7207B7EA" w14:textId="77777777" w:rsidR="000A557B" w:rsidRPr="002B005F" w:rsidRDefault="000A557B" w:rsidP="00FD08CD">
            <w:pPr>
              <w:tabs>
                <w:tab w:val="left" w:pos="0"/>
                <w:tab w:val="left" w:pos="649"/>
                <w:tab w:val="center" w:pos="1038"/>
                <w:tab w:val="center" w:pos="1113"/>
              </w:tabs>
              <w:spacing w:line="240" w:lineRule="auto"/>
              <w:jc w:val="center"/>
              <w:rPr>
                <w:rFonts w:ascii="Times New Roman" w:eastAsia="Arial" w:hAnsi="Times New Roman" w:cs="Times New Roman"/>
              </w:rPr>
            </w:pPr>
            <w:r w:rsidRPr="002B005F">
              <w:rPr>
                <w:rFonts w:ascii="Times New Roman" w:eastAsia="Arial" w:hAnsi="Times New Roman" w:cs="Times New Roman"/>
              </w:rPr>
              <w:t>8.818</w:t>
            </w:r>
          </w:p>
        </w:tc>
        <w:tc>
          <w:tcPr>
            <w:tcW w:w="1417" w:type="dxa"/>
            <w:vAlign w:val="center"/>
            <w:hideMark/>
          </w:tcPr>
          <w:p w14:paraId="2D278F49"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b/>
              </w:rPr>
            </w:pPr>
            <w:r w:rsidRPr="002B005F">
              <w:rPr>
                <w:rFonts w:ascii="Times New Roman" w:eastAsia="Arial" w:hAnsi="Times New Roman" w:cs="Times New Roman"/>
                <w:b/>
              </w:rPr>
              <w:t>0.032</w:t>
            </w:r>
          </w:p>
        </w:tc>
        <w:tc>
          <w:tcPr>
            <w:tcW w:w="1984" w:type="dxa"/>
            <w:shd w:val="clear" w:color="auto" w:fill="DEEAF6" w:themeFill="accent1" w:themeFillTint="33"/>
            <w:vAlign w:val="center"/>
          </w:tcPr>
          <w:p w14:paraId="61B09FFC"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de taux de référence</w:t>
            </w:r>
          </w:p>
        </w:tc>
        <w:tc>
          <w:tcPr>
            <w:tcW w:w="1134" w:type="dxa"/>
            <w:vAlign w:val="center"/>
          </w:tcPr>
          <w:p w14:paraId="4FF676CA" w14:textId="77777777" w:rsidR="000A557B" w:rsidRPr="002B005F" w:rsidRDefault="000A557B" w:rsidP="00FD08CD">
            <w:pPr>
              <w:tabs>
                <w:tab w:val="left" w:pos="0"/>
                <w:tab w:val="center" w:pos="45"/>
                <w:tab w:val="left" w:pos="649"/>
              </w:tabs>
              <w:spacing w:line="240" w:lineRule="auto"/>
              <w:jc w:val="center"/>
              <w:rPr>
                <w:rFonts w:ascii="Times New Roman" w:eastAsia="Arial" w:hAnsi="Times New Roman" w:cs="Times New Roman"/>
              </w:rPr>
            </w:pPr>
            <w:r w:rsidRPr="002B005F">
              <w:rPr>
                <w:rFonts w:ascii="Times New Roman" w:eastAsia="Arial" w:hAnsi="Times New Roman" w:cs="Times New Roman"/>
              </w:rPr>
              <w:t>0.796</w:t>
            </w:r>
          </w:p>
        </w:tc>
        <w:tc>
          <w:tcPr>
            <w:tcW w:w="1417" w:type="dxa"/>
            <w:vAlign w:val="center"/>
          </w:tcPr>
          <w:p w14:paraId="3D3800F8"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rPr>
            </w:pPr>
            <w:r w:rsidRPr="002B005F">
              <w:rPr>
                <w:rFonts w:ascii="Times New Roman" w:eastAsia="Arial" w:hAnsi="Times New Roman" w:cs="Times New Roman"/>
              </w:rPr>
              <w:t>0.851</w:t>
            </w:r>
          </w:p>
        </w:tc>
      </w:tr>
      <w:tr w:rsidR="00FD08CD" w:rsidRPr="002B005F" w14:paraId="5DDEFF29" w14:textId="77777777" w:rsidTr="0027018B">
        <w:trPr>
          <w:trHeight w:val="567"/>
          <w:jc w:val="center"/>
        </w:trPr>
        <w:tc>
          <w:tcPr>
            <w:tcW w:w="1984" w:type="dxa"/>
            <w:shd w:val="clear" w:color="auto" w:fill="DEEAF6" w:themeFill="accent1" w:themeFillTint="33"/>
            <w:vAlign w:val="center"/>
            <w:hideMark/>
          </w:tcPr>
          <w:p w14:paraId="51052229"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opérationnel</w:t>
            </w:r>
          </w:p>
        </w:tc>
        <w:tc>
          <w:tcPr>
            <w:tcW w:w="1134" w:type="dxa"/>
            <w:vAlign w:val="center"/>
            <w:hideMark/>
          </w:tcPr>
          <w:p w14:paraId="4CFC5FDA" w14:textId="77777777" w:rsidR="000A557B" w:rsidRPr="002B005F" w:rsidRDefault="000A557B" w:rsidP="00FD08CD">
            <w:pPr>
              <w:tabs>
                <w:tab w:val="left" w:pos="0"/>
                <w:tab w:val="left" w:pos="649"/>
                <w:tab w:val="center" w:pos="1038"/>
                <w:tab w:val="center" w:pos="1113"/>
              </w:tabs>
              <w:spacing w:line="240" w:lineRule="auto"/>
              <w:jc w:val="center"/>
              <w:rPr>
                <w:rFonts w:ascii="Times New Roman" w:eastAsia="Arial" w:hAnsi="Times New Roman" w:cs="Times New Roman"/>
              </w:rPr>
            </w:pPr>
            <w:r w:rsidRPr="002B005F">
              <w:rPr>
                <w:rFonts w:ascii="Times New Roman" w:eastAsia="Arial" w:hAnsi="Times New Roman" w:cs="Times New Roman"/>
              </w:rPr>
              <w:t>9.381</w:t>
            </w:r>
          </w:p>
        </w:tc>
        <w:tc>
          <w:tcPr>
            <w:tcW w:w="1417" w:type="dxa"/>
            <w:vAlign w:val="center"/>
            <w:hideMark/>
          </w:tcPr>
          <w:p w14:paraId="08F609B0"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b/>
              </w:rPr>
            </w:pPr>
            <w:r w:rsidRPr="002B005F">
              <w:rPr>
                <w:rFonts w:ascii="Times New Roman" w:eastAsia="Arial" w:hAnsi="Times New Roman" w:cs="Times New Roman"/>
                <w:b/>
              </w:rPr>
              <w:t>0.025</w:t>
            </w:r>
          </w:p>
        </w:tc>
        <w:tc>
          <w:tcPr>
            <w:tcW w:w="1984" w:type="dxa"/>
            <w:shd w:val="clear" w:color="auto" w:fill="DEEAF6" w:themeFill="accent1" w:themeFillTint="33"/>
            <w:vAlign w:val="center"/>
          </w:tcPr>
          <w:p w14:paraId="61DE5018" w14:textId="77777777" w:rsidR="000A557B" w:rsidRPr="002B005F" w:rsidRDefault="000A557B" w:rsidP="0027018B">
            <w:pPr>
              <w:tabs>
                <w:tab w:val="left" w:pos="0"/>
                <w:tab w:val="left" w:pos="283"/>
              </w:tabs>
              <w:spacing w:line="240" w:lineRule="auto"/>
              <w:ind w:left="113"/>
              <w:jc w:val="left"/>
              <w:rPr>
                <w:rFonts w:ascii="Times New Roman" w:eastAsia="Arial" w:hAnsi="Times New Roman" w:cs="Times New Roman"/>
              </w:rPr>
            </w:pPr>
            <w:r w:rsidRPr="002B005F">
              <w:rPr>
                <w:rFonts w:ascii="Times New Roman" w:eastAsia="Arial" w:hAnsi="Times New Roman" w:cs="Times New Roman"/>
              </w:rPr>
              <w:t>Risque de change</w:t>
            </w:r>
          </w:p>
        </w:tc>
        <w:tc>
          <w:tcPr>
            <w:tcW w:w="1134" w:type="dxa"/>
            <w:vAlign w:val="center"/>
          </w:tcPr>
          <w:p w14:paraId="28B39A89" w14:textId="77777777" w:rsidR="000A557B" w:rsidRPr="002B005F" w:rsidRDefault="000A557B" w:rsidP="00FD08CD">
            <w:pPr>
              <w:tabs>
                <w:tab w:val="left" w:pos="0"/>
                <w:tab w:val="center" w:pos="45"/>
                <w:tab w:val="left" w:pos="649"/>
              </w:tabs>
              <w:spacing w:line="240" w:lineRule="auto"/>
              <w:jc w:val="center"/>
              <w:rPr>
                <w:rFonts w:ascii="Times New Roman" w:eastAsia="Arial" w:hAnsi="Times New Roman" w:cs="Times New Roman"/>
              </w:rPr>
            </w:pPr>
            <w:r w:rsidRPr="002B005F">
              <w:rPr>
                <w:rFonts w:ascii="Times New Roman" w:eastAsia="Arial" w:hAnsi="Times New Roman" w:cs="Times New Roman"/>
              </w:rPr>
              <w:t>1.511</w:t>
            </w:r>
          </w:p>
        </w:tc>
        <w:tc>
          <w:tcPr>
            <w:tcW w:w="1417" w:type="dxa"/>
            <w:vAlign w:val="center"/>
          </w:tcPr>
          <w:p w14:paraId="0D3C503D" w14:textId="77777777" w:rsidR="000A557B" w:rsidRPr="002B005F" w:rsidRDefault="000A557B" w:rsidP="00FD08CD">
            <w:pPr>
              <w:tabs>
                <w:tab w:val="left" w:pos="0"/>
                <w:tab w:val="left" w:pos="1177"/>
              </w:tabs>
              <w:spacing w:line="240" w:lineRule="auto"/>
              <w:jc w:val="center"/>
              <w:rPr>
                <w:rFonts w:ascii="Times New Roman" w:eastAsia="Arial" w:hAnsi="Times New Roman" w:cs="Times New Roman"/>
              </w:rPr>
            </w:pPr>
            <w:r w:rsidRPr="002B005F">
              <w:rPr>
                <w:rFonts w:ascii="Times New Roman" w:eastAsia="Arial" w:hAnsi="Times New Roman" w:cs="Times New Roman"/>
              </w:rPr>
              <w:t>0.68</w:t>
            </w:r>
          </w:p>
        </w:tc>
      </w:tr>
    </w:tbl>
    <w:p w14:paraId="4EEFC147" w14:textId="77777777" w:rsidR="002760B2" w:rsidRPr="002B005F" w:rsidRDefault="002760B2" w:rsidP="006166EF">
      <w:pPr>
        <w:tabs>
          <w:tab w:val="left" w:pos="0"/>
        </w:tabs>
        <w:spacing w:before="120" w:after="100" w:afterAutospacing="1" w:line="300" w:lineRule="auto"/>
        <w:jc w:val="center"/>
        <w:rPr>
          <w:rFonts w:ascii="Times New Roman" w:eastAsia="Times New Roman" w:hAnsi="Times New Roman" w:cs="Times New Roman"/>
          <w:sz w:val="20"/>
          <w:szCs w:val="20"/>
        </w:rPr>
      </w:pPr>
      <w:r w:rsidRPr="002B005F">
        <w:rPr>
          <w:rFonts w:ascii="Times New Roman" w:eastAsia="Times New Roman" w:hAnsi="Times New Roman" w:cs="Times New Roman"/>
          <w:sz w:val="20"/>
          <w:szCs w:val="20"/>
        </w:rPr>
        <w:t>Source : calculs du chercheur.</w:t>
      </w:r>
    </w:p>
    <w:p w14:paraId="5ED6A485" w14:textId="77777777" w:rsidR="002760B2" w:rsidRPr="006A69AC" w:rsidRDefault="004B1423" w:rsidP="00D66FFE">
      <w:pPr>
        <w:pStyle w:val="Titre5"/>
        <w:keepNext w:val="0"/>
        <w:keepLines w:val="0"/>
        <w:spacing w:before="120" w:after="120" w:line="300" w:lineRule="auto"/>
        <w:ind w:firstLine="709"/>
        <w:rPr>
          <w:rFonts w:asciiTheme="majorBidi" w:hAnsiTheme="majorBidi"/>
          <w:b/>
          <w:bCs/>
          <w:color w:val="auto"/>
          <w:sz w:val="24"/>
          <w:szCs w:val="24"/>
        </w:rPr>
      </w:pPr>
      <w:bookmarkStart w:id="1722" w:name="_Toc182298923"/>
      <w:r w:rsidRPr="006A69AC">
        <w:rPr>
          <w:rFonts w:asciiTheme="majorBidi" w:hAnsiTheme="majorBidi"/>
          <w:b/>
          <w:bCs/>
          <w:color w:val="auto"/>
          <w:sz w:val="24"/>
          <w:szCs w:val="24"/>
        </w:rPr>
        <w:t>2</w:t>
      </w:r>
      <w:r w:rsidR="00874432" w:rsidRPr="006A69AC">
        <w:rPr>
          <w:rFonts w:asciiTheme="majorBidi" w:hAnsiTheme="majorBidi"/>
          <w:b/>
          <w:bCs/>
          <w:color w:val="auto"/>
          <w:sz w:val="24"/>
          <w:szCs w:val="24"/>
        </w:rPr>
        <w:t xml:space="preserve">.2.1.2- </w:t>
      </w:r>
      <w:r w:rsidR="002760B2" w:rsidRPr="006A69AC">
        <w:rPr>
          <w:rFonts w:asciiTheme="majorBidi" w:hAnsiTheme="majorBidi"/>
          <w:b/>
          <w:bCs/>
          <w:color w:val="auto"/>
          <w:sz w:val="24"/>
          <w:szCs w:val="24"/>
        </w:rPr>
        <w:t xml:space="preserve">Intensité d’utilisation des </w:t>
      </w:r>
      <w:r w:rsidR="00E7403C" w:rsidRPr="006A69AC">
        <w:rPr>
          <w:rFonts w:asciiTheme="majorBidi" w:hAnsiTheme="majorBidi"/>
          <w:b/>
          <w:bCs/>
          <w:color w:val="auto"/>
          <w:sz w:val="24"/>
          <w:szCs w:val="24"/>
        </w:rPr>
        <w:t xml:space="preserve">produits financiers </w:t>
      </w:r>
      <w:r w:rsidR="0096069F" w:rsidRPr="006A69AC">
        <w:rPr>
          <w:rFonts w:asciiTheme="majorBidi" w:hAnsiTheme="majorBidi"/>
          <w:b/>
          <w:bCs/>
          <w:color w:val="auto"/>
          <w:sz w:val="24"/>
          <w:szCs w:val="24"/>
        </w:rPr>
        <w:t>i</w:t>
      </w:r>
      <w:r w:rsidR="003773C6" w:rsidRPr="006A69AC">
        <w:rPr>
          <w:rFonts w:asciiTheme="majorBidi" w:hAnsiTheme="majorBidi"/>
          <w:b/>
          <w:bCs/>
          <w:color w:val="auto"/>
          <w:sz w:val="24"/>
          <w:szCs w:val="24"/>
        </w:rPr>
        <w:t>slamique</w:t>
      </w:r>
      <w:r w:rsidR="00E7403C" w:rsidRPr="006A69AC">
        <w:rPr>
          <w:rFonts w:asciiTheme="majorBidi" w:hAnsiTheme="majorBidi"/>
          <w:b/>
          <w:bCs/>
          <w:color w:val="auto"/>
          <w:sz w:val="24"/>
          <w:szCs w:val="24"/>
        </w:rPr>
        <w:t>s</w:t>
      </w:r>
      <w:bookmarkEnd w:id="1722"/>
    </w:p>
    <w:p w14:paraId="6B727973" w14:textId="77777777" w:rsidR="002760B2" w:rsidRPr="002B005F" w:rsidRDefault="002760B2" w:rsidP="00AB41B4">
      <w:pPr>
        <w:tabs>
          <w:tab w:val="left" w:pos="0"/>
        </w:tabs>
        <w:spacing w:before="120"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Le </w:t>
      </w:r>
      <w:r w:rsidRPr="002B005F">
        <w:rPr>
          <w:rFonts w:ascii="Times New Roman" w:eastAsia="Times New Roman" w:hAnsi="Times New Roman" w:cs="Times New Roman"/>
          <w:b/>
          <w:bCs/>
          <w:sz w:val="24"/>
          <w:szCs w:val="24"/>
        </w:rPr>
        <w:t>tableau 32</w:t>
      </w:r>
      <w:r w:rsidRPr="002B005F">
        <w:rPr>
          <w:rFonts w:ascii="Times New Roman" w:eastAsia="Times New Roman" w:hAnsi="Times New Roman" w:cs="Times New Roman"/>
          <w:sz w:val="24"/>
          <w:szCs w:val="24"/>
        </w:rPr>
        <w:t xml:space="preserve"> montre que, quelle que soit la position du répondant ou la nature des activités, les BI utilisent les contrats de financement </w:t>
      </w:r>
      <w:r w:rsidR="0096069F">
        <w:rPr>
          <w:rFonts w:ascii="Times New Roman" w:eastAsia="Times New Roman" w:hAnsi="Times New Roman" w:cs="Times New Roman"/>
          <w:sz w:val="24"/>
          <w:szCs w:val="24"/>
        </w:rPr>
        <w:t>i</w:t>
      </w:r>
      <w:r w:rsidR="003773C6" w:rsidRPr="002B005F">
        <w:rPr>
          <w:rFonts w:ascii="Times New Roman" w:eastAsia="Times New Roman" w:hAnsi="Times New Roman" w:cs="Times New Roman"/>
          <w:sz w:val="24"/>
          <w:szCs w:val="24"/>
        </w:rPr>
        <w:t>slamique</w:t>
      </w:r>
      <w:r w:rsidRPr="002B005F">
        <w:rPr>
          <w:rFonts w:ascii="Times New Roman" w:eastAsia="Times New Roman" w:hAnsi="Times New Roman" w:cs="Times New Roman"/>
          <w:sz w:val="24"/>
          <w:szCs w:val="24"/>
        </w:rPr>
        <w:t xml:space="preserve"> de façon </w:t>
      </w:r>
      <w:r w:rsidR="009543A1" w:rsidRPr="002B005F">
        <w:rPr>
          <w:rFonts w:ascii="Times New Roman" w:eastAsia="Times New Roman" w:hAnsi="Times New Roman" w:cs="Times New Roman"/>
          <w:sz w:val="24"/>
          <w:szCs w:val="24"/>
        </w:rPr>
        <w:t>similaire ;</w:t>
      </w:r>
      <w:r w:rsidRPr="002B005F">
        <w:rPr>
          <w:rFonts w:ascii="Times New Roman" w:eastAsia="Times New Roman" w:hAnsi="Times New Roman" w:cs="Times New Roman"/>
          <w:sz w:val="24"/>
          <w:szCs w:val="24"/>
        </w:rPr>
        <w:t xml:space="preserve"> tous les produits ont une valeur de p</w:t>
      </w:r>
      <w:r w:rsidR="009543A1" w:rsidRPr="002B005F">
        <w:rPr>
          <w:rFonts w:ascii="Times New Roman" w:eastAsia="Times New Roman" w:hAnsi="Times New Roman" w:cs="Times New Roman"/>
          <w:sz w:val="24"/>
          <w:szCs w:val="24"/>
        </w:rPr>
        <w:t xml:space="preserve"> </w:t>
      </w:r>
      <w:r w:rsidRPr="002B005F">
        <w:rPr>
          <w:rFonts w:ascii="Times New Roman" w:eastAsia="Times New Roman" w:hAnsi="Times New Roman" w:cs="Times New Roman"/>
          <w:sz w:val="24"/>
          <w:szCs w:val="24"/>
        </w:rPr>
        <w:t xml:space="preserve">&gt; 0,05. Cependant, les résultats du test K-W selon la </w:t>
      </w:r>
      <w:r w:rsidR="0096069F">
        <w:rPr>
          <w:rFonts w:ascii="Times New Roman" w:eastAsia="Times New Roman" w:hAnsi="Times New Roman" w:cs="Times New Roman"/>
          <w:sz w:val="24"/>
          <w:szCs w:val="24"/>
        </w:rPr>
        <w:t>« </w:t>
      </w:r>
      <w:r w:rsidRPr="002B005F">
        <w:rPr>
          <w:rFonts w:ascii="Times New Roman" w:eastAsia="Times New Roman" w:hAnsi="Times New Roman" w:cs="Times New Roman"/>
          <w:sz w:val="24"/>
          <w:szCs w:val="24"/>
        </w:rPr>
        <w:t>région</w:t>
      </w:r>
      <w:r w:rsidR="0096069F">
        <w:rPr>
          <w:rFonts w:ascii="Times New Roman" w:eastAsia="Times New Roman" w:hAnsi="Times New Roman" w:cs="Times New Roman"/>
          <w:sz w:val="24"/>
          <w:szCs w:val="24"/>
        </w:rPr>
        <w:t> »</w:t>
      </w:r>
      <w:r w:rsidRPr="002B005F">
        <w:rPr>
          <w:rFonts w:ascii="Times New Roman" w:eastAsia="Times New Roman" w:hAnsi="Times New Roman" w:cs="Times New Roman"/>
          <w:sz w:val="24"/>
          <w:szCs w:val="24"/>
        </w:rPr>
        <w:t xml:space="preserve"> indiquent qu'il existe une différence significative dans l'utilisation de la </w:t>
      </w:r>
      <w:r w:rsidR="004A4E16" w:rsidRPr="002B005F">
        <w:rPr>
          <w:rFonts w:ascii="Times New Roman" w:eastAsia="Times New Roman" w:hAnsi="Times New Roman" w:cs="Times New Roman"/>
          <w:i/>
          <w:iCs/>
          <w:sz w:val="24"/>
          <w:szCs w:val="24"/>
        </w:rPr>
        <w:t>moudaraba</w:t>
      </w:r>
      <w:r w:rsidRPr="002B005F">
        <w:rPr>
          <w:rFonts w:ascii="Times New Roman" w:eastAsia="Times New Roman" w:hAnsi="Times New Roman" w:cs="Times New Roman"/>
          <w:sz w:val="24"/>
          <w:szCs w:val="24"/>
        </w:rPr>
        <w:t xml:space="preserve"> et la </w:t>
      </w:r>
      <w:r w:rsidRPr="002B005F">
        <w:rPr>
          <w:rFonts w:ascii="Times New Roman" w:eastAsia="Times New Roman" w:hAnsi="Times New Roman" w:cs="Times New Roman"/>
          <w:i/>
          <w:iCs/>
          <w:sz w:val="24"/>
          <w:szCs w:val="24"/>
        </w:rPr>
        <w:t>moucharaka</w:t>
      </w:r>
      <w:r w:rsidRPr="002B005F">
        <w:rPr>
          <w:rFonts w:ascii="Times New Roman" w:eastAsia="Times New Roman" w:hAnsi="Times New Roman" w:cs="Times New Roman"/>
          <w:sz w:val="24"/>
          <w:szCs w:val="24"/>
        </w:rPr>
        <w:t xml:space="preserve"> dans les différentes régions.</w:t>
      </w:r>
    </w:p>
    <w:p w14:paraId="21AA29A4" w14:textId="42E7DDE2" w:rsidR="000C1CC2" w:rsidRPr="002B005F" w:rsidRDefault="000C1CC2" w:rsidP="00AB41B4">
      <w:pPr>
        <w:pStyle w:val="Lgende"/>
        <w:tabs>
          <w:tab w:val="left" w:pos="0"/>
        </w:tabs>
        <w:spacing w:before="100" w:beforeAutospacing="1" w:after="120" w:line="300" w:lineRule="auto"/>
        <w:jc w:val="center"/>
        <w:rPr>
          <w:rFonts w:ascii="Times New Roman" w:hAnsi="Times New Roman" w:cs="Times New Roman"/>
          <w:color w:val="auto"/>
          <w:sz w:val="24"/>
          <w:szCs w:val="24"/>
        </w:rPr>
      </w:pPr>
      <w:bookmarkStart w:id="1723" w:name="_Toc115556100"/>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32</w:t>
      </w:r>
      <w:r w:rsidR="00B544E5" w:rsidRPr="002B005F">
        <w:rPr>
          <w:rFonts w:ascii="Times New Roman" w:hAnsi="Times New Roman" w:cs="Times New Roman"/>
          <w:color w:val="auto"/>
          <w:sz w:val="24"/>
          <w:szCs w:val="24"/>
        </w:rPr>
        <w:fldChar w:fldCharType="end"/>
      </w:r>
      <w:r w:rsidR="005838F7" w:rsidRPr="002B005F">
        <w:rPr>
          <w:rFonts w:ascii="Times New Roman" w:hAnsi="Times New Roman" w:cs="Times New Roman"/>
          <w:color w:val="auto"/>
          <w:sz w:val="24"/>
          <w:szCs w:val="24"/>
        </w:rPr>
        <w:t>- T</w:t>
      </w:r>
      <w:r w:rsidRPr="002B005F">
        <w:rPr>
          <w:rFonts w:ascii="Times New Roman" w:hAnsi="Times New Roman" w:cs="Times New Roman"/>
          <w:color w:val="auto"/>
          <w:sz w:val="24"/>
          <w:szCs w:val="24"/>
        </w:rPr>
        <w:t xml:space="preserve">est K-W </w:t>
      </w:r>
      <w:r w:rsidR="005838F7" w:rsidRPr="002B005F">
        <w:rPr>
          <w:rFonts w:ascii="Times New Roman" w:hAnsi="Times New Roman" w:cs="Times New Roman"/>
          <w:color w:val="auto"/>
          <w:sz w:val="24"/>
          <w:szCs w:val="24"/>
        </w:rPr>
        <w:t>sur l’utilisation des contrats par région (question 9)</w:t>
      </w:r>
      <w:bookmarkEnd w:id="1723"/>
    </w:p>
    <w:tbl>
      <w:tblPr>
        <w:tblW w:w="90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1395"/>
        <w:gridCol w:w="940"/>
        <w:gridCol w:w="980"/>
        <w:gridCol w:w="940"/>
        <w:gridCol w:w="980"/>
        <w:gridCol w:w="940"/>
        <w:gridCol w:w="980"/>
        <w:gridCol w:w="940"/>
        <w:gridCol w:w="980"/>
      </w:tblGrid>
      <w:tr w:rsidR="002760B2" w:rsidRPr="002B005F" w14:paraId="5E197487" w14:textId="77777777" w:rsidTr="003E2BE4">
        <w:trPr>
          <w:trHeight w:val="510"/>
          <w:jc w:val="center"/>
        </w:trPr>
        <w:tc>
          <w:tcPr>
            <w:tcW w:w="1395" w:type="dxa"/>
            <w:vAlign w:val="center"/>
          </w:tcPr>
          <w:p w14:paraId="180C2B9B" w14:textId="77777777" w:rsidR="002760B2" w:rsidRPr="002B005F" w:rsidRDefault="009B32F8" w:rsidP="009B32F8">
            <w:pPr>
              <w:tabs>
                <w:tab w:val="left" w:pos="0"/>
              </w:tabs>
              <w:spacing w:line="240" w:lineRule="auto"/>
              <w:jc w:val="center"/>
              <w:rPr>
                <w:rFonts w:ascii="Times New Roman" w:eastAsia="Times New Roman" w:hAnsi="Times New Roman" w:cs="Times New Roman"/>
                <w:b/>
                <w:bCs/>
                <w:sz w:val="24"/>
                <w:szCs w:val="24"/>
              </w:rPr>
            </w:pPr>
            <w:r w:rsidRPr="002B005F">
              <w:rPr>
                <w:rFonts w:ascii="Times New Roman" w:hAnsi="Times New Roman" w:cs="Times New Roman"/>
                <w:b/>
                <w:bCs/>
                <w:sz w:val="24"/>
                <w:szCs w:val="24"/>
              </w:rPr>
              <w:t>Test K-W</w:t>
            </w:r>
          </w:p>
        </w:tc>
        <w:tc>
          <w:tcPr>
            <w:tcW w:w="1920" w:type="dxa"/>
            <w:gridSpan w:val="2"/>
            <w:vAlign w:val="center"/>
            <w:hideMark/>
          </w:tcPr>
          <w:p w14:paraId="25F1A789" w14:textId="77777777" w:rsidR="002760B2" w:rsidRPr="002B005F" w:rsidRDefault="002760B2" w:rsidP="009B32F8">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K-W selon</w:t>
            </w:r>
            <w:r w:rsidR="009B32F8" w:rsidRPr="002B005F">
              <w:rPr>
                <w:rFonts w:ascii="Times New Roman" w:eastAsia="Times New Roman" w:hAnsi="Times New Roman" w:cs="Times New Roman"/>
                <w:b/>
                <w:bCs/>
              </w:rPr>
              <w:t xml:space="preserve"> </w:t>
            </w:r>
            <w:r w:rsidRPr="002B005F">
              <w:rPr>
                <w:rFonts w:ascii="Times New Roman" w:eastAsia="Times New Roman" w:hAnsi="Times New Roman" w:cs="Times New Roman"/>
                <w:b/>
                <w:bCs/>
              </w:rPr>
              <w:t>la région</w:t>
            </w:r>
          </w:p>
        </w:tc>
        <w:tc>
          <w:tcPr>
            <w:tcW w:w="1920" w:type="dxa"/>
            <w:gridSpan w:val="2"/>
            <w:vAlign w:val="center"/>
            <w:hideMark/>
          </w:tcPr>
          <w:p w14:paraId="42B4FE86" w14:textId="77777777" w:rsidR="002760B2" w:rsidRPr="002B005F" w:rsidRDefault="002760B2" w:rsidP="009B32F8">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K-W selon</w:t>
            </w:r>
            <w:r w:rsidR="009B32F8" w:rsidRPr="002B005F">
              <w:rPr>
                <w:rFonts w:ascii="Times New Roman" w:eastAsia="Times New Roman" w:hAnsi="Times New Roman" w:cs="Times New Roman"/>
                <w:b/>
                <w:bCs/>
              </w:rPr>
              <w:t xml:space="preserve"> l</w:t>
            </w:r>
            <w:r w:rsidRPr="002B005F">
              <w:rPr>
                <w:rFonts w:ascii="Times New Roman" w:eastAsia="Times New Roman" w:hAnsi="Times New Roman" w:cs="Times New Roman"/>
                <w:b/>
                <w:bCs/>
              </w:rPr>
              <w:t>e poste du</w:t>
            </w:r>
            <w:r w:rsidR="009B32F8" w:rsidRPr="002B005F">
              <w:rPr>
                <w:rFonts w:ascii="Times New Roman" w:eastAsia="Times New Roman" w:hAnsi="Times New Roman" w:cs="Times New Roman"/>
                <w:b/>
                <w:bCs/>
              </w:rPr>
              <w:t xml:space="preserve"> </w:t>
            </w:r>
            <w:r w:rsidRPr="002B005F">
              <w:rPr>
                <w:rFonts w:ascii="Times New Roman" w:eastAsia="Times New Roman" w:hAnsi="Times New Roman" w:cs="Times New Roman"/>
                <w:b/>
                <w:bCs/>
              </w:rPr>
              <w:t>répondant</w:t>
            </w:r>
          </w:p>
        </w:tc>
        <w:tc>
          <w:tcPr>
            <w:tcW w:w="1920" w:type="dxa"/>
            <w:gridSpan w:val="2"/>
            <w:vAlign w:val="center"/>
            <w:hideMark/>
          </w:tcPr>
          <w:p w14:paraId="349526A8" w14:textId="77777777" w:rsidR="002760B2" w:rsidRPr="002B005F" w:rsidRDefault="002760B2" w:rsidP="009B32F8">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K-W selon</w:t>
            </w:r>
            <w:r w:rsidR="009B32F8" w:rsidRPr="002B005F">
              <w:rPr>
                <w:rFonts w:ascii="Times New Roman" w:eastAsia="Times New Roman" w:hAnsi="Times New Roman" w:cs="Times New Roman"/>
                <w:b/>
                <w:bCs/>
              </w:rPr>
              <w:t xml:space="preserve"> </w:t>
            </w:r>
            <w:r w:rsidRPr="002B005F">
              <w:rPr>
                <w:rFonts w:ascii="Times New Roman" w:eastAsia="Times New Roman" w:hAnsi="Times New Roman" w:cs="Times New Roman"/>
                <w:b/>
                <w:bCs/>
              </w:rPr>
              <w:t>la nature de l’IF</w:t>
            </w:r>
          </w:p>
        </w:tc>
        <w:tc>
          <w:tcPr>
            <w:tcW w:w="1920" w:type="dxa"/>
            <w:gridSpan w:val="2"/>
            <w:vAlign w:val="center"/>
            <w:hideMark/>
          </w:tcPr>
          <w:p w14:paraId="58F8DBEA" w14:textId="77777777" w:rsidR="002760B2" w:rsidRPr="002B005F" w:rsidRDefault="002760B2" w:rsidP="009B32F8">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K-W selon</w:t>
            </w:r>
            <w:r w:rsidR="009B32F8" w:rsidRPr="002B005F">
              <w:rPr>
                <w:rFonts w:ascii="Times New Roman" w:eastAsia="Times New Roman" w:hAnsi="Times New Roman" w:cs="Times New Roman"/>
                <w:b/>
                <w:bCs/>
              </w:rPr>
              <w:t xml:space="preserve"> </w:t>
            </w:r>
            <w:r w:rsidRPr="002B005F">
              <w:rPr>
                <w:rFonts w:ascii="Times New Roman" w:eastAsia="Times New Roman" w:hAnsi="Times New Roman" w:cs="Times New Roman"/>
                <w:b/>
                <w:bCs/>
              </w:rPr>
              <w:t>la nature des</w:t>
            </w:r>
            <w:r w:rsidR="009B32F8" w:rsidRPr="002B005F">
              <w:rPr>
                <w:rFonts w:ascii="Times New Roman" w:eastAsia="Times New Roman" w:hAnsi="Times New Roman" w:cs="Times New Roman"/>
                <w:b/>
                <w:bCs/>
              </w:rPr>
              <w:t xml:space="preserve"> a</w:t>
            </w:r>
            <w:r w:rsidRPr="002B005F">
              <w:rPr>
                <w:rFonts w:ascii="Times New Roman" w:eastAsia="Times New Roman" w:hAnsi="Times New Roman" w:cs="Times New Roman"/>
                <w:b/>
                <w:bCs/>
              </w:rPr>
              <w:t>ctivités</w:t>
            </w:r>
          </w:p>
        </w:tc>
      </w:tr>
      <w:tr w:rsidR="002760B2" w:rsidRPr="002B005F" w14:paraId="3C59907B" w14:textId="77777777" w:rsidTr="003E2BE4">
        <w:trPr>
          <w:trHeight w:val="510"/>
          <w:jc w:val="center"/>
        </w:trPr>
        <w:tc>
          <w:tcPr>
            <w:tcW w:w="1395" w:type="dxa"/>
            <w:vAlign w:val="center"/>
            <w:hideMark/>
          </w:tcPr>
          <w:p w14:paraId="119834B0" w14:textId="77777777" w:rsidR="002760B2" w:rsidRPr="002B005F" w:rsidRDefault="002760B2" w:rsidP="001D7779">
            <w:pPr>
              <w:tabs>
                <w:tab w:val="left" w:pos="0"/>
              </w:tabs>
              <w:spacing w:line="240" w:lineRule="auto"/>
              <w:jc w:val="center"/>
              <w:rPr>
                <w:rFonts w:ascii="Times New Roman" w:hAnsi="Times New Roman" w:cs="Times New Roman"/>
                <w:b/>
                <w:bCs/>
              </w:rPr>
            </w:pPr>
            <w:r w:rsidRPr="002B005F">
              <w:rPr>
                <w:rFonts w:ascii="Times New Roman" w:hAnsi="Times New Roman" w:cs="Times New Roman"/>
                <w:b/>
                <w:bCs/>
              </w:rPr>
              <w:t>Contrat</w:t>
            </w:r>
          </w:p>
        </w:tc>
        <w:tc>
          <w:tcPr>
            <w:tcW w:w="940" w:type="dxa"/>
            <w:vAlign w:val="center"/>
            <w:hideMark/>
          </w:tcPr>
          <w:p w14:paraId="172A0F05" w14:textId="77777777" w:rsidR="002760B2" w:rsidRPr="002B005F" w:rsidRDefault="002760B2" w:rsidP="009B32F8">
            <w:pPr>
              <w:tabs>
                <w:tab w:val="left" w:pos="0"/>
              </w:tabs>
              <w:spacing w:line="240" w:lineRule="auto"/>
              <w:jc w:val="center"/>
              <w:rPr>
                <w:rFonts w:ascii="Times New Roman" w:eastAsia="Arial" w:hAnsi="Times New Roman" w:cs="Times New Roman"/>
                <w:b/>
                <w:bCs/>
                <w:w w:val="96"/>
              </w:rPr>
            </w:pPr>
            <w:r w:rsidRPr="002B005F">
              <w:rPr>
                <w:rFonts w:ascii="Times New Roman" w:eastAsia="Arial" w:hAnsi="Times New Roman" w:cs="Times New Roman"/>
                <w:b/>
                <w:bCs/>
                <w:w w:val="96"/>
              </w:rPr>
              <w:t>Chi-</w:t>
            </w:r>
            <w:r w:rsidRPr="002B005F">
              <w:rPr>
                <w:rFonts w:ascii="Times New Roman" w:eastAsia="Arial" w:hAnsi="Times New Roman" w:cs="Times New Roman"/>
                <w:b/>
                <w:bCs/>
                <w:w w:val="99"/>
              </w:rPr>
              <w:t>Square</w:t>
            </w:r>
          </w:p>
        </w:tc>
        <w:tc>
          <w:tcPr>
            <w:tcW w:w="980" w:type="dxa"/>
            <w:vAlign w:val="center"/>
            <w:hideMark/>
          </w:tcPr>
          <w:p w14:paraId="438EE671" w14:textId="77777777" w:rsidR="002760B2" w:rsidRPr="002B005F" w:rsidRDefault="002760B2" w:rsidP="009B32F8">
            <w:pPr>
              <w:tabs>
                <w:tab w:val="left" w:pos="0"/>
              </w:tabs>
              <w:spacing w:line="240" w:lineRule="auto"/>
              <w:jc w:val="center"/>
              <w:rPr>
                <w:rFonts w:ascii="Times New Roman" w:eastAsia="Arial" w:hAnsi="Times New Roman" w:cs="Times New Roman"/>
                <w:b/>
                <w:bCs/>
                <w:w w:val="99"/>
              </w:rPr>
            </w:pPr>
            <w:r w:rsidRPr="002B005F">
              <w:rPr>
                <w:rFonts w:ascii="Times New Roman" w:eastAsia="Arial" w:hAnsi="Times New Roman" w:cs="Times New Roman"/>
                <w:b/>
                <w:bCs/>
                <w:w w:val="99"/>
              </w:rPr>
              <w:t>Asymp.</w:t>
            </w:r>
            <w:r w:rsidR="009B32F8" w:rsidRPr="002B005F">
              <w:rPr>
                <w:rFonts w:ascii="Times New Roman" w:eastAsia="Arial" w:hAnsi="Times New Roman" w:cs="Times New Roman"/>
                <w:b/>
                <w:bCs/>
                <w:w w:val="99"/>
              </w:rPr>
              <w:t xml:space="preserve"> </w:t>
            </w:r>
            <w:r w:rsidRPr="002B005F">
              <w:rPr>
                <w:rFonts w:ascii="Times New Roman" w:eastAsia="Arial" w:hAnsi="Times New Roman" w:cs="Times New Roman"/>
                <w:b/>
                <w:bCs/>
              </w:rPr>
              <w:t>Sig.</w:t>
            </w:r>
          </w:p>
        </w:tc>
        <w:tc>
          <w:tcPr>
            <w:tcW w:w="940" w:type="dxa"/>
            <w:vAlign w:val="center"/>
            <w:hideMark/>
          </w:tcPr>
          <w:p w14:paraId="5C2B5CA8" w14:textId="77777777" w:rsidR="002760B2" w:rsidRPr="002B005F" w:rsidRDefault="002760B2" w:rsidP="009B32F8">
            <w:pPr>
              <w:tabs>
                <w:tab w:val="left" w:pos="0"/>
              </w:tabs>
              <w:spacing w:line="240" w:lineRule="auto"/>
              <w:jc w:val="center"/>
              <w:rPr>
                <w:rFonts w:ascii="Times New Roman" w:eastAsia="Arial" w:hAnsi="Times New Roman" w:cs="Times New Roman"/>
                <w:b/>
                <w:bCs/>
                <w:w w:val="96"/>
              </w:rPr>
            </w:pPr>
            <w:r w:rsidRPr="002B005F">
              <w:rPr>
                <w:rFonts w:ascii="Times New Roman" w:eastAsia="Arial" w:hAnsi="Times New Roman" w:cs="Times New Roman"/>
                <w:b/>
                <w:bCs/>
                <w:w w:val="96"/>
              </w:rPr>
              <w:t>Chi-</w:t>
            </w:r>
            <w:r w:rsidRPr="002B005F">
              <w:rPr>
                <w:rFonts w:ascii="Times New Roman" w:eastAsia="Arial" w:hAnsi="Times New Roman" w:cs="Times New Roman"/>
                <w:b/>
                <w:bCs/>
                <w:w w:val="99"/>
              </w:rPr>
              <w:t>Square</w:t>
            </w:r>
          </w:p>
        </w:tc>
        <w:tc>
          <w:tcPr>
            <w:tcW w:w="980" w:type="dxa"/>
            <w:vAlign w:val="center"/>
            <w:hideMark/>
          </w:tcPr>
          <w:p w14:paraId="068E908C" w14:textId="77777777" w:rsidR="002760B2" w:rsidRPr="002B005F" w:rsidRDefault="002760B2" w:rsidP="009B32F8">
            <w:pPr>
              <w:tabs>
                <w:tab w:val="left" w:pos="0"/>
              </w:tabs>
              <w:spacing w:line="240" w:lineRule="auto"/>
              <w:jc w:val="center"/>
              <w:rPr>
                <w:rFonts w:ascii="Times New Roman" w:eastAsia="Arial" w:hAnsi="Times New Roman" w:cs="Times New Roman"/>
                <w:b/>
                <w:bCs/>
                <w:w w:val="99"/>
              </w:rPr>
            </w:pPr>
            <w:r w:rsidRPr="002B005F">
              <w:rPr>
                <w:rFonts w:ascii="Times New Roman" w:eastAsia="Arial" w:hAnsi="Times New Roman" w:cs="Times New Roman"/>
                <w:b/>
                <w:bCs/>
                <w:w w:val="99"/>
              </w:rPr>
              <w:t>Asymp.</w:t>
            </w:r>
            <w:r w:rsidR="009B32F8" w:rsidRPr="002B005F">
              <w:rPr>
                <w:rFonts w:ascii="Times New Roman" w:eastAsia="Arial" w:hAnsi="Times New Roman" w:cs="Times New Roman"/>
                <w:b/>
                <w:bCs/>
                <w:w w:val="99"/>
              </w:rPr>
              <w:t xml:space="preserve"> </w:t>
            </w:r>
            <w:r w:rsidRPr="002B005F">
              <w:rPr>
                <w:rFonts w:ascii="Times New Roman" w:eastAsia="Arial" w:hAnsi="Times New Roman" w:cs="Times New Roman"/>
                <w:b/>
                <w:bCs/>
              </w:rPr>
              <w:t>Sig.</w:t>
            </w:r>
          </w:p>
        </w:tc>
        <w:tc>
          <w:tcPr>
            <w:tcW w:w="940" w:type="dxa"/>
            <w:vAlign w:val="center"/>
            <w:hideMark/>
          </w:tcPr>
          <w:p w14:paraId="264BF379" w14:textId="77777777" w:rsidR="002760B2" w:rsidRPr="002B005F" w:rsidRDefault="002760B2" w:rsidP="009B32F8">
            <w:pPr>
              <w:tabs>
                <w:tab w:val="left" w:pos="0"/>
              </w:tabs>
              <w:spacing w:line="240" w:lineRule="auto"/>
              <w:jc w:val="center"/>
              <w:rPr>
                <w:rFonts w:ascii="Times New Roman" w:eastAsia="Arial" w:hAnsi="Times New Roman" w:cs="Times New Roman"/>
                <w:b/>
                <w:bCs/>
                <w:w w:val="96"/>
              </w:rPr>
            </w:pPr>
            <w:r w:rsidRPr="002B005F">
              <w:rPr>
                <w:rFonts w:ascii="Times New Roman" w:eastAsia="Arial" w:hAnsi="Times New Roman" w:cs="Times New Roman"/>
                <w:b/>
                <w:bCs/>
                <w:w w:val="96"/>
              </w:rPr>
              <w:t>Chi-</w:t>
            </w:r>
            <w:r w:rsidRPr="002B005F">
              <w:rPr>
                <w:rFonts w:ascii="Times New Roman" w:eastAsia="Arial" w:hAnsi="Times New Roman" w:cs="Times New Roman"/>
                <w:b/>
                <w:bCs/>
                <w:w w:val="99"/>
              </w:rPr>
              <w:t>Square</w:t>
            </w:r>
          </w:p>
        </w:tc>
        <w:tc>
          <w:tcPr>
            <w:tcW w:w="980" w:type="dxa"/>
            <w:vAlign w:val="center"/>
            <w:hideMark/>
          </w:tcPr>
          <w:p w14:paraId="4AC82DAA" w14:textId="77777777" w:rsidR="002760B2" w:rsidRPr="002B005F" w:rsidRDefault="002760B2" w:rsidP="009B32F8">
            <w:pPr>
              <w:tabs>
                <w:tab w:val="left" w:pos="0"/>
              </w:tabs>
              <w:spacing w:line="240" w:lineRule="auto"/>
              <w:jc w:val="center"/>
              <w:rPr>
                <w:rFonts w:ascii="Times New Roman" w:eastAsia="Arial" w:hAnsi="Times New Roman" w:cs="Times New Roman"/>
                <w:b/>
                <w:bCs/>
                <w:w w:val="99"/>
              </w:rPr>
            </w:pPr>
            <w:r w:rsidRPr="002B005F">
              <w:rPr>
                <w:rFonts w:ascii="Times New Roman" w:eastAsia="Arial" w:hAnsi="Times New Roman" w:cs="Times New Roman"/>
                <w:b/>
                <w:bCs/>
                <w:w w:val="99"/>
              </w:rPr>
              <w:t>Asymp.</w:t>
            </w:r>
            <w:r w:rsidR="009B32F8" w:rsidRPr="002B005F">
              <w:rPr>
                <w:rFonts w:ascii="Times New Roman" w:eastAsia="Arial" w:hAnsi="Times New Roman" w:cs="Times New Roman"/>
                <w:b/>
                <w:bCs/>
                <w:w w:val="99"/>
              </w:rPr>
              <w:t xml:space="preserve"> </w:t>
            </w:r>
            <w:r w:rsidRPr="002B005F">
              <w:rPr>
                <w:rFonts w:ascii="Times New Roman" w:eastAsia="Arial" w:hAnsi="Times New Roman" w:cs="Times New Roman"/>
                <w:b/>
                <w:bCs/>
              </w:rPr>
              <w:t>Sig.</w:t>
            </w:r>
          </w:p>
        </w:tc>
        <w:tc>
          <w:tcPr>
            <w:tcW w:w="940" w:type="dxa"/>
            <w:vAlign w:val="center"/>
            <w:hideMark/>
          </w:tcPr>
          <w:p w14:paraId="7C8CC23F" w14:textId="77777777" w:rsidR="002760B2" w:rsidRPr="002B005F" w:rsidRDefault="002760B2" w:rsidP="009B32F8">
            <w:pPr>
              <w:tabs>
                <w:tab w:val="left" w:pos="0"/>
              </w:tabs>
              <w:spacing w:line="240" w:lineRule="auto"/>
              <w:jc w:val="center"/>
              <w:rPr>
                <w:rFonts w:ascii="Times New Roman" w:eastAsia="Arial" w:hAnsi="Times New Roman" w:cs="Times New Roman"/>
                <w:b/>
                <w:bCs/>
                <w:w w:val="96"/>
              </w:rPr>
            </w:pPr>
            <w:r w:rsidRPr="002B005F">
              <w:rPr>
                <w:rFonts w:ascii="Times New Roman" w:eastAsia="Arial" w:hAnsi="Times New Roman" w:cs="Times New Roman"/>
                <w:b/>
                <w:bCs/>
                <w:w w:val="96"/>
              </w:rPr>
              <w:t>Chi-</w:t>
            </w:r>
            <w:r w:rsidRPr="002B005F">
              <w:rPr>
                <w:rFonts w:ascii="Times New Roman" w:eastAsia="Arial" w:hAnsi="Times New Roman" w:cs="Times New Roman"/>
                <w:b/>
                <w:bCs/>
                <w:w w:val="99"/>
              </w:rPr>
              <w:t>Square</w:t>
            </w:r>
          </w:p>
        </w:tc>
        <w:tc>
          <w:tcPr>
            <w:tcW w:w="980" w:type="dxa"/>
            <w:vAlign w:val="center"/>
            <w:hideMark/>
          </w:tcPr>
          <w:p w14:paraId="3F04F5E1" w14:textId="77777777" w:rsidR="002760B2" w:rsidRPr="002B005F" w:rsidRDefault="002760B2" w:rsidP="009B32F8">
            <w:pPr>
              <w:tabs>
                <w:tab w:val="left" w:pos="0"/>
              </w:tabs>
              <w:spacing w:line="240" w:lineRule="auto"/>
              <w:jc w:val="center"/>
              <w:rPr>
                <w:rFonts w:ascii="Times New Roman" w:eastAsia="Arial" w:hAnsi="Times New Roman" w:cs="Times New Roman"/>
                <w:b/>
                <w:bCs/>
                <w:w w:val="99"/>
              </w:rPr>
            </w:pPr>
            <w:r w:rsidRPr="002B005F">
              <w:rPr>
                <w:rFonts w:ascii="Times New Roman" w:eastAsia="Arial" w:hAnsi="Times New Roman" w:cs="Times New Roman"/>
                <w:b/>
                <w:bCs/>
                <w:w w:val="99"/>
              </w:rPr>
              <w:t>Asymp.</w:t>
            </w:r>
            <w:r w:rsidR="009B32F8" w:rsidRPr="002B005F">
              <w:rPr>
                <w:rFonts w:ascii="Times New Roman" w:eastAsia="Arial" w:hAnsi="Times New Roman" w:cs="Times New Roman"/>
                <w:b/>
                <w:bCs/>
                <w:w w:val="99"/>
              </w:rPr>
              <w:t xml:space="preserve"> </w:t>
            </w:r>
            <w:r w:rsidRPr="002B005F">
              <w:rPr>
                <w:rFonts w:ascii="Times New Roman" w:eastAsia="Arial" w:hAnsi="Times New Roman" w:cs="Times New Roman"/>
                <w:b/>
                <w:bCs/>
              </w:rPr>
              <w:t>Sig.</w:t>
            </w:r>
          </w:p>
        </w:tc>
      </w:tr>
      <w:tr w:rsidR="002760B2" w:rsidRPr="002B005F" w14:paraId="2DC5295E" w14:textId="77777777" w:rsidTr="003E2BE4">
        <w:trPr>
          <w:trHeight w:val="454"/>
          <w:jc w:val="center"/>
        </w:trPr>
        <w:tc>
          <w:tcPr>
            <w:tcW w:w="1395" w:type="dxa"/>
            <w:vAlign w:val="center"/>
            <w:hideMark/>
          </w:tcPr>
          <w:p w14:paraId="53088D0F" w14:textId="77777777" w:rsidR="002760B2" w:rsidRPr="002B005F" w:rsidRDefault="002760B2" w:rsidP="009B32F8">
            <w:pPr>
              <w:tabs>
                <w:tab w:val="left" w:pos="0"/>
              </w:tabs>
              <w:spacing w:line="240" w:lineRule="auto"/>
              <w:ind w:left="57"/>
              <w:jc w:val="left"/>
              <w:rPr>
                <w:rFonts w:ascii="Times New Roman" w:eastAsia="Arial" w:hAnsi="Times New Roman" w:cs="Times New Roman"/>
                <w:b/>
                <w:bCs/>
                <w:i/>
                <w:iCs/>
              </w:rPr>
            </w:pPr>
            <w:r w:rsidRPr="002B005F">
              <w:rPr>
                <w:rFonts w:ascii="Times New Roman" w:eastAsia="Arial" w:hAnsi="Times New Roman" w:cs="Times New Roman"/>
                <w:b/>
                <w:bCs/>
                <w:i/>
                <w:iCs/>
              </w:rPr>
              <w:t>Ijara</w:t>
            </w:r>
          </w:p>
        </w:tc>
        <w:tc>
          <w:tcPr>
            <w:tcW w:w="940" w:type="dxa"/>
            <w:vAlign w:val="center"/>
            <w:hideMark/>
          </w:tcPr>
          <w:p w14:paraId="0A185224"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0.867</w:t>
            </w:r>
          </w:p>
        </w:tc>
        <w:tc>
          <w:tcPr>
            <w:tcW w:w="980" w:type="dxa"/>
            <w:vAlign w:val="center"/>
            <w:hideMark/>
          </w:tcPr>
          <w:p w14:paraId="6213F2D0"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0.929</w:t>
            </w:r>
          </w:p>
        </w:tc>
        <w:tc>
          <w:tcPr>
            <w:tcW w:w="940" w:type="dxa"/>
            <w:vAlign w:val="center"/>
            <w:hideMark/>
          </w:tcPr>
          <w:p w14:paraId="3256F732"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6.847</w:t>
            </w:r>
          </w:p>
        </w:tc>
        <w:tc>
          <w:tcPr>
            <w:tcW w:w="980" w:type="dxa"/>
            <w:vAlign w:val="center"/>
            <w:hideMark/>
          </w:tcPr>
          <w:p w14:paraId="4D5606A4"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0.445</w:t>
            </w:r>
          </w:p>
        </w:tc>
        <w:tc>
          <w:tcPr>
            <w:tcW w:w="940" w:type="dxa"/>
            <w:vAlign w:val="center"/>
            <w:hideMark/>
          </w:tcPr>
          <w:p w14:paraId="7849945F"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0.178</w:t>
            </w:r>
          </w:p>
        </w:tc>
        <w:tc>
          <w:tcPr>
            <w:tcW w:w="980" w:type="dxa"/>
            <w:vAlign w:val="center"/>
            <w:hideMark/>
          </w:tcPr>
          <w:p w14:paraId="39CDF5B3"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0.674</w:t>
            </w:r>
          </w:p>
        </w:tc>
        <w:tc>
          <w:tcPr>
            <w:tcW w:w="940" w:type="dxa"/>
            <w:vAlign w:val="center"/>
            <w:hideMark/>
          </w:tcPr>
          <w:p w14:paraId="2D57B12A"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2.81</w:t>
            </w:r>
          </w:p>
        </w:tc>
        <w:tc>
          <w:tcPr>
            <w:tcW w:w="980" w:type="dxa"/>
            <w:vAlign w:val="center"/>
            <w:hideMark/>
          </w:tcPr>
          <w:p w14:paraId="183469A2"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0.729</w:t>
            </w:r>
          </w:p>
        </w:tc>
      </w:tr>
      <w:tr w:rsidR="002760B2" w:rsidRPr="002B005F" w14:paraId="23508DEE" w14:textId="77777777" w:rsidTr="003E2BE4">
        <w:trPr>
          <w:trHeight w:val="454"/>
          <w:jc w:val="center"/>
        </w:trPr>
        <w:tc>
          <w:tcPr>
            <w:tcW w:w="1395" w:type="dxa"/>
            <w:vAlign w:val="center"/>
            <w:hideMark/>
          </w:tcPr>
          <w:p w14:paraId="7FD0D9DB" w14:textId="77777777" w:rsidR="002760B2" w:rsidRPr="002B005F" w:rsidRDefault="004A4E16" w:rsidP="009B32F8">
            <w:pPr>
              <w:tabs>
                <w:tab w:val="left" w:pos="0"/>
              </w:tabs>
              <w:spacing w:line="240" w:lineRule="auto"/>
              <w:ind w:left="57"/>
              <w:jc w:val="left"/>
              <w:rPr>
                <w:rFonts w:ascii="Times New Roman" w:eastAsia="Arial" w:hAnsi="Times New Roman" w:cs="Times New Roman"/>
                <w:b/>
                <w:bCs/>
                <w:i/>
                <w:iCs/>
              </w:rPr>
            </w:pPr>
            <w:r w:rsidRPr="002B005F">
              <w:rPr>
                <w:rFonts w:ascii="Times New Roman" w:eastAsia="Arial" w:hAnsi="Times New Roman" w:cs="Times New Roman"/>
                <w:b/>
                <w:bCs/>
                <w:i/>
                <w:iCs/>
              </w:rPr>
              <w:t>Moudaraba</w:t>
            </w:r>
          </w:p>
        </w:tc>
        <w:tc>
          <w:tcPr>
            <w:tcW w:w="940" w:type="dxa"/>
            <w:vAlign w:val="center"/>
            <w:hideMark/>
          </w:tcPr>
          <w:p w14:paraId="0A42972E"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1.273</w:t>
            </w:r>
          </w:p>
        </w:tc>
        <w:tc>
          <w:tcPr>
            <w:tcW w:w="980" w:type="dxa"/>
            <w:vAlign w:val="center"/>
            <w:hideMark/>
          </w:tcPr>
          <w:p w14:paraId="37AE737D" w14:textId="77777777" w:rsidR="002760B2" w:rsidRPr="002B005F" w:rsidRDefault="002760B2" w:rsidP="003E2BE4">
            <w:pPr>
              <w:tabs>
                <w:tab w:val="left" w:pos="0"/>
              </w:tabs>
              <w:spacing w:line="240" w:lineRule="auto"/>
              <w:ind w:right="170"/>
              <w:jc w:val="right"/>
              <w:rPr>
                <w:rFonts w:ascii="Times New Roman" w:eastAsia="Arial" w:hAnsi="Times New Roman" w:cs="Times New Roman"/>
                <w:b/>
                <w:bCs/>
              </w:rPr>
            </w:pPr>
            <w:r w:rsidRPr="002B005F">
              <w:rPr>
                <w:rFonts w:ascii="Times New Roman" w:eastAsia="Arial" w:hAnsi="Times New Roman" w:cs="Times New Roman"/>
                <w:b/>
                <w:bCs/>
              </w:rPr>
              <w:t>0.036</w:t>
            </w:r>
          </w:p>
        </w:tc>
        <w:tc>
          <w:tcPr>
            <w:tcW w:w="940" w:type="dxa"/>
            <w:vAlign w:val="center"/>
            <w:hideMark/>
          </w:tcPr>
          <w:p w14:paraId="3A914998"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6.472</w:t>
            </w:r>
          </w:p>
        </w:tc>
        <w:tc>
          <w:tcPr>
            <w:tcW w:w="980" w:type="dxa"/>
            <w:vAlign w:val="center"/>
            <w:hideMark/>
          </w:tcPr>
          <w:p w14:paraId="72C1151F"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0.486</w:t>
            </w:r>
          </w:p>
        </w:tc>
        <w:tc>
          <w:tcPr>
            <w:tcW w:w="940" w:type="dxa"/>
            <w:vAlign w:val="center"/>
            <w:hideMark/>
          </w:tcPr>
          <w:p w14:paraId="74543C59"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6.875</w:t>
            </w:r>
          </w:p>
        </w:tc>
        <w:tc>
          <w:tcPr>
            <w:tcW w:w="980" w:type="dxa"/>
            <w:vAlign w:val="center"/>
            <w:hideMark/>
          </w:tcPr>
          <w:p w14:paraId="5E9C065C" w14:textId="77777777" w:rsidR="002760B2" w:rsidRPr="002B005F" w:rsidRDefault="002760B2" w:rsidP="003E2BE4">
            <w:pPr>
              <w:tabs>
                <w:tab w:val="left" w:pos="0"/>
              </w:tabs>
              <w:spacing w:line="240" w:lineRule="auto"/>
              <w:ind w:right="170"/>
              <w:jc w:val="right"/>
              <w:rPr>
                <w:rFonts w:ascii="Times New Roman" w:eastAsia="Arial" w:hAnsi="Times New Roman" w:cs="Times New Roman"/>
                <w:bCs/>
              </w:rPr>
            </w:pPr>
            <w:r w:rsidRPr="002B005F">
              <w:rPr>
                <w:rFonts w:ascii="Times New Roman" w:eastAsia="Arial" w:hAnsi="Times New Roman" w:cs="Times New Roman"/>
                <w:bCs/>
              </w:rPr>
              <w:t>0.350</w:t>
            </w:r>
          </w:p>
        </w:tc>
        <w:tc>
          <w:tcPr>
            <w:tcW w:w="940" w:type="dxa"/>
            <w:vAlign w:val="center"/>
            <w:hideMark/>
          </w:tcPr>
          <w:p w14:paraId="22ACE425"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6.946</w:t>
            </w:r>
          </w:p>
        </w:tc>
        <w:tc>
          <w:tcPr>
            <w:tcW w:w="980" w:type="dxa"/>
            <w:vAlign w:val="center"/>
            <w:hideMark/>
          </w:tcPr>
          <w:p w14:paraId="5DB9286C"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0.225</w:t>
            </w:r>
          </w:p>
        </w:tc>
      </w:tr>
      <w:tr w:rsidR="002760B2" w:rsidRPr="002B005F" w14:paraId="1C3F3A60" w14:textId="77777777" w:rsidTr="003E2BE4">
        <w:trPr>
          <w:trHeight w:val="454"/>
          <w:jc w:val="center"/>
        </w:trPr>
        <w:tc>
          <w:tcPr>
            <w:tcW w:w="1395" w:type="dxa"/>
            <w:vAlign w:val="center"/>
            <w:hideMark/>
          </w:tcPr>
          <w:p w14:paraId="64619D01" w14:textId="77777777" w:rsidR="002760B2" w:rsidRPr="002B005F" w:rsidRDefault="002760B2" w:rsidP="009B32F8">
            <w:pPr>
              <w:tabs>
                <w:tab w:val="left" w:pos="0"/>
              </w:tabs>
              <w:spacing w:line="240" w:lineRule="auto"/>
              <w:ind w:left="57"/>
              <w:jc w:val="left"/>
              <w:rPr>
                <w:rFonts w:ascii="Times New Roman" w:eastAsia="Arial" w:hAnsi="Times New Roman" w:cs="Times New Roman"/>
                <w:b/>
                <w:bCs/>
                <w:i/>
                <w:iCs/>
              </w:rPr>
            </w:pPr>
            <w:r w:rsidRPr="002B005F">
              <w:rPr>
                <w:rFonts w:ascii="Times New Roman" w:eastAsia="Arial" w:hAnsi="Times New Roman" w:cs="Times New Roman"/>
                <w:b/>
                <w:bCs/>
                <w:i/>
                <w:iCs/>
              </w:rPr>
              <w:t>Istisna’</w:t>
            </w:r>
          </w:p>
        </w:tc>
        <w:tc>
          <w:tcPr>
            <w:tcW w:w="940" w:type="dxa"/>
            <w:vAlign w:val="center"/>
            <w:hideMark/>
          </w:tcPr>
          <w:p w14:paraId="0FD11C63"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10.283</w:t>
            </w:r>
          </w:p>
        </w:tc>
        <w:tc>
          <w:tcPr>
            <w:tcW w:w="980" w:type="dxa"/>
            <w:vAlign w:val="center"/>
            <w:hideMark/>
          </w:tcPr>
          <w:p w14:paraId="643AC074" w14:textId="77777777" w:rsidR="002760B2" w:rsidRPr="002B005F" w:rsidRDefault="002760B2" w:rsidP="003E2BE4">
            <w:pPr>
              <w:tabs>
                <w:tab w:val="left" w:pos="0"/>
              </w:tabs>
              <w:spacing w:line="240" w:lineRule="auto"/>
              <w:ind w:right="170"/>
              <w:jc w:val="right"/>
              <w:rPr>
                <w:rFonts w:ascii="Times New Roman" w:eastAsia="Arial" w:hAnsi="Times New Roman" w:cs="Times New Roman"/>
                <w:bCs/>
              </w:rPr>
            </w:pPr>
            <w:r w:rsidRPr="002B005F">
              <w:rPr>
                <w:rFonts w:ascii="Times New Roman" w:eastAsia="Arial" w:hAnsi="Times New Roman" w:cs="Times New Roman"/>
                <w:bCs/>
              </w:rPr>
              <w:t>0.866</w:t>
            </w:r>
          </w:p>
        </w:tc>
        <w:tc>
          <w:tcPr>
            <w:tcW w:w="940" w:type="dxa"/>
            <w:vAlign w:val="center"/>
            <w:hideMark/>
          </w:tcPr>
          <w:p w14:paraId="3CF60EB6"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3.999</w:t>
            </w:r>
          </w:p>
        </w:tc>
        <w:tc>
          <w:tcPr>
            <w:tcW w:w="980" w:type="dxa"/>
            <w:vAlign w:val="center"/>
            <w:hideMark/>
          </w:tcPr>
          <w:p w14:paraId="469F3D86"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0.78</w:t>
            </w:r>
            <w:r w:rsidR="009B32F8" w:rsidRPr="002B005F">
              <w:rPr>
                <w:rFonts w:ascii="Times New Roman" w:eastAsia="Arial" w:hAnsi="Times New Roman" w:cs="Times New Roman"/>
              </w:rPr>
              <w:t>0</w:t>
            </w:r>
          </w:p>
        </w:tc>
        <w:tc>
          <w:tcPr>
            <w:tcW w:w="940" w:type="dxa"/>
            <w:vAlign w:val="center"/>
            <w:hideMark/>
          </w:tcPr>
          <w:p w14:paraId="66081C9D"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3.692</w:t>
            </w:r>
          </w:p>
        </w:tc>
        <w:tc>
          <w:tcPr>
            <w:tcW w:w="980" w:type="dxa"/>
            <w:vAlign w:val="center"/>
            <w:hideMark/>
          </w:tcPr>
          <w:p w14:paraId="603E9231"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0.055</w:t>
            </w:r>
          </w:p>
        </w:tc>
        <w:tc>
          <w:tcPr>
            <w:tcW w:w="940" w:type="dxa"/>
            <w:vAlign w:val="center"/>
            <w:hideMark/>
          </w:tcPr>
          <w:p w14:paraId="5B7B55DD"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1.334</w:t>
            </w:r>
          </w:p>
        </w:tc>
        <w:tc>
          <w:tcPr>
            <w:tcW w:w="980" w:type="dxa"/>
            <w:vAlign w:val="center"/>
            <w:hideMark/>
          </w:tcPr>
          <w:p w14:paraId="2599E6FD"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0.931</w:t>
            </w:r>
          </w:p>
        </w:tc>
      </w:tr>
      <w:tr w:rsidR="002760B2" w:rsidRPr="002B005F" w14:paraId="10A098AC" w14:textId="77777777" w:rsidTr="003E2BE4">
        <w:trPr>
          <w:trHeight w:val="454"/>
          <w:jc w:val="center"/>
        </w:trPr>
        <w:tc>
          <w:tcPr>
            <w:tcW w:w="1395" w:type="dxa"/>
            <w:vAlign w:val="center"/>
            <w:hideMark/>
          </w:tcPr>
          <w:p w14:paraId="40AF2CC6" w14:textId="77777777" w:rsidR="002760B2" w:rsidRPr="002B005F" w:rsidRDefault="002760B2" w:rsidP="009B32F8">
            <w:pPr>
              <w:tabs>
                <w:tab w:val="left" w:pos="0"/>
              </w:tabs>
              <w:spacing w:line="240" w:lineRule="auto"/>
              <w:ind w:left="57"/>
              <w:jc w:val="left"/>
              <w:rPr>
                <w:rFonts w:ascii="Times New Roman" w:eastAsia="Arial" w:hAnsi="Times New Roman" w:cs="Times New Roman"/>
                <w:b/>
                <w:bCs/>
                <w:i/>
                <w:iCs/>
              </w:rPr>
            </w:pPr>
            <w:r w:rsidRPr="002B005F">
              <w:rPr>
                <w:rFonts w:ascii="Times New Roman" w:eastAsia="Arial" w:hAnsi="Times New Roman" w:cs="Times New Roman"/>
                <w:b/>
                <w:bCs/>
                <w:i/>
                <w:iCs/>
              </w:rPr>
              <w:t>Mourabaha</w:t>
            </w:r>
          </w:p>
        </w:tc>
        <w:tc>
          <w:tcPr>
            <w:tcW w:w="940" w:type="dxa"/>
            <w:vAlign w:val="center"/>
            <w:hideMark/>
          </w:tcPr>
          <w:p w14:paraId="1B556EBD"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7.573</w:t>
            </w:r>
          </w:p>
        </w:tc>
        <w:tc>
          <w:tcPr>
            <w:tcW w:w="980" w:type="dxa"/>
            <w:vAlign w:val="center"/>
            <w:hideMark/>
          </w:tcPr>
          <w:p w14:paraId="37861516"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0.109</w:t>
            </w:r>
          </w:p>
        </w:tc>
        <w:tc>
          <w:tcPr>
            <w:tcW w:w="940" w:type="dxa"/>
            <w:vAlign w:val="center"/>
            <w:hideMark/>
          </w:tcPr>
          <w:p w14:paraId="2DE3D153"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10.752</w:t>
            </w:r>
          </w:p>
        </w:tc>
        <w:tc>
          <w:tcPr>
            <w:tcW w:w="980" w:type="dxa"/>
            <w:vAlign w:val="center"/>
            <w:hideMark/>
          </w:tcPr>
          <w:p w14:paraId="17E218F3"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0.15</w:t>
            </w:r>
            <w:r w:rsidR="009B32F8" w:rsidRPr="002B005F">
              <w:rPr>
                <w:rFonts w:ascii="Times New Roman" w:eastAsia="Arial" w:hAnsi="Times New Roman" w:cs="Times New Roman"/>
              </w:rPr>
              <w:t>0</w:t>
            </w:r>
          </w:p>
        </w:tc>
        <w:tc>
          <w:tcPr>
            <w:tcW w:w="940" w:type="dxa"/>
            <w:vAlign w:val="center"/>
            <w:hideMark/>
          </w:tcPr>
          <w:p w14:paraId="57E3D3CE"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0.111</w:t>
            </w:r>
          </w:p>
        </w:tc>
        <w:tc>
          <w:tcPr>
            <w:tcW w:w="980" w:type="dxa"/>
            <w:vAlign w:val="center"/>
            <w:hideMark/>
          </w:tcPr>
          <w:p w14:paraId="5A416225"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0.739</w:t>
            </w:r>
          </w:p>
        </w:tc>
        <w:tc>
          <w:tcPr>
            <w:tcW w:w="940" w:type="dxa"/>
            <w:vAlign w:val="center"/>
            <w:hideMark/>
          </w:tcPr>
          <w:p w14:paraId="195F1D41"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4.572</w:t>
            </w:r>
          </w:p>
        </w:tc>
        <w:tc>
          <w:tcPr>
            <w:tcW w:w="980" w:type="dxa"/>
            <w:vAlign w:val="center"/>
            <w:hideMark/>
          </w:tcPr>
          <w:p w14:paraId="70F20B18"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0.47</w:t>
            </w:r>
            <w:r w:rsidR="009B32F8" w:rsidRPr="002B005F">
              <w:rPr>
                <w:rFonts w:ascii="Times New Roman" w:eastAsia="Arial" w:hAnsi="Times New Roman" w:cs="Times New Roman"/>
              </w:rPr>
              <w:t>0</w:t>
            </w:r>
          </w:p>
        </w:tc>
      </w:tr>
      <w:tr w:rsidR="002760B2" w:rsidRPr="002B005F" w14:paraId="43806AFC" w14:textId="77777777" w:rsidTr="003E2BE4">
        <w:trPr>
          <w:trHeight w:val="454"/>
          <w:jc w:val="center"/>
        </w:trPr>
        <w:tc>
          <w:tcPr>
            <w:tcW w:w="1395" w:type="dxa"/>
            <w:vAlign w:val="center"/>
            <w:hideMark/>
          </w:tcPr>
          <w:p w14:paraId="7C0DC92F" w14:textId="77777777" w:rsidR="002760B2" w:rsidRPr="002B005F" w:rsidRDefault="002760B2" w:rsidP="009B32F8">
            <w:pPr>
              <w:tabs>
                <w:tab w:val="left" w:pos="0"/>
              </w:tabs>
              <w:spacing w:line="240" w:lineRule="auto"/>
              <w:ind w:left="57"/>
              <w:jc w:val="left"/>
              <w:rPr>
                <w:rFonts w:ascii="Times New Roman" w:eastAsia="Arial" w:hAnsi="Times New Roman" w:cs="Times New Roman"/>
                <w:b/>
                <w:bCs/>
                <w:i/>
                <w:iCs/>
              </w:rPr>
            </w:pPr>
            <w:r w:rsidRPr="002B005F">
              <w:rPr>
                <w:rFonts w:ascii="Times New Roman" w:eastAsia="Arial" w:hAnsi="Times New Roman" w:cs="Times New Roman"/>
                <w:b/>
                <w:bCs/>
                <w:i/>
                <w:iCs/>
              </w:rPr>
              <w:t>Salam</w:t>
            </w:r>
          </w:p>
        </w:tc>
        <w:tc>
          <w:tcPr>
            <w:tcW w:w="940" w:type="dxa"/>
            <w:vAlign w:val="center"/>
            <w:hideMark/>
          </w:tcPr>
          <w:p w14:paraId="37EC13F3"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4.794</w:t>
            </w:r>
          </w:p>
        </w:tc>
        <w:tc>
          <w:tcPr>
            <w:tcW w:w="980" w:type="dxa"/>
            <w:vAlign w:val="center"/>
            <w:hideMark/>
          </w:tcPr>
          <w:p w14:paraId="76C61F20"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0.309</w:t>
            </w:r>
          </w:p>
        </w:tc>
        <w:tc>
          <w:tcPr>
            <w:tcW w:w="940" w:type="dxa"/>
            <w:vAlign w:val="center"/>
            <w:hideMark/>
          </w:tcPr>
          <w:p w14:paraId="29A50444"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10.661</w:t>
            </w:r>
          </w:p>
        </w:tc>
        <w:tc>
          <w:tcPr>
            <w:tcW w:w="980" w:type="dxa"/>
            <w:vAlign w:val="center"/>
            <w:hideMark/>
          </w:tcPr>
          <w:p w14:paraId="3AA15F13"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0.154</w:t>
            </w:r>
          </w:p>
        </w:tc>
        <w:tc>
          <w:tcPr>
            <w:tcW w:w="940" w:type="dxa"/>
            <w:vAlign w:val="center"/>
            <w:hideMark/>
          </w:tcPr>
          <w:p w14:paraId="5BC9227C"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4.729</w:t>
            </w:r>
          </w:p>
        </w:tc>
        <w:tc>
          <w:tcPr>
            <w:tcW w:w="980" w:type="dxa"/>
            <w:vAlign w:val="center"/>
            <w:hideMark/>
          </w:tcPr>
          <w:p w14:paraId="4E3CCCEE" w14:textId="77777777" w:rsidR="002760B2" w:rsidRPr="002B005F" w:rsidRDefault="002760B2" w:rsidP="003E2BE4">
            <w:pPr>
              <w:tabs>
                <w:tab w:val="left" w:pos="0"/>
              </w:tabs>
              <w:spacing w:line="240" w:lineRule="auto"/>
              <w:ind w:right="170"/>
              <w:jc w:val="right"/>
              <w:rPr>
                <w:rFonts w:ascii="Times New Roman" w:eastAsia="Arial" w:hAnsi="Times New Roman" w:cs="Times New Roman"/>
                <w:bCs/>
              </w:rPr>
            </w:pPr>
            <w:r w:rsidRPr="002B005F">
              <w:rPr>
                <w:rFonts w:ascii="Times New Roman" w:eastAsia="Arial" w:hAnsi="Times New Roman" w:cs="Times New Roman"/>
                <w:bCs/>
              </w:rPr>
              <w:t>0.723</w:t>
            </w:r>
          </w:p>
        </w:tc>
        <w:tc>
          <w:tcPr>
            <w:tcW w:w="940" w:type="dxa"/>
            <w:vAlign w:val="center"/>
            <w:hideMark/>
          </w:tcPr>
          <w:p w14:paraId="0D8EB728"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3.073</w:t>
            </w:r>
          </w:p>
        </w:tc>
        <w:tc>
          <w:tcPr>
            <w:tcW w:w="980" w:type="dxa"/>
            <w:vAlign w:val="center"/>
            <w:hideMark/>
          </w:tcPr>
          <w:p w14:paraId="37153433"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0.689</w:t>
            </w:r>
          </w:p>
        </w:tc>
      </w:tr>
      <w:tr w:rsidR="002760B2" w:rsidRPr="002B005F" w14:paraId="30585EE9" w14:textId="77777777" w:rsidTr="003E2BE4">
        <w:trPr>
          <w:trHeight w:val="454"/>
          <w:jc w:val="center"/>
        </w:trPr>
        <w:tc>
          <w:tcPr>
            <w:tcW w:w="1395" w:type="dxa"/>
            <w:vAlign w:val="center"/>
            <w:hideMark/>
          </w:tcPr>
          <w:p w14:paraId="309512F3" w14:textId="77777777" w:rsidR="002760B2" w:rsidRPr="002B005F" w:rsidRDefault="002760B2" w:rsidP="009B32F8">
            <w:pPr>
              <w:tabs>
                <w:tab w:val="left" w:pos="0"/>
              </w:tabs>
              <w:spacing w:line="240" w:lineRule="auto"/>
              <w:ind w:left="57"/>
              <w:jc w:val="left"/>
              <w:rPr>
                <w:rFonts w:ascii="Times New Roman" w:eastAsia="Arial" w:hAnsi="Times New Roman" w:cs="Times New Roman"/>
                <w:b/>
                <w:bCs/>
                <w:i/>
                <w:iCs/>
              </w:rPr>
            </w:pPr>
            <w:r w:rsidRPr="002B005F">
              <w:rPr>
                <w:rFonts w:ascii="Times New Roman" w:eastAsia="Arial" w:hAnsi="Times New Roman" w:cs="Times New Roman"/>
                <w:b/>
                <w:bCs/>
                <w:i/>
                <w:iCs/>
              </w:rPr>
              <w:t>Moucharaka</w:t>
            </w:r>
          </w:p>
        </w:tc>
        <w:tc>
          <w:tcPr>
            <w:tcW w:w="940" w:type="dxa"/>
            <w:vAlign w:val="center"/>
            <w:hideMark/>
          </w:tcPr>
          <w:p w14:paraId="6204C01A"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2.07</w:t>
            </w:r>
          </w:p>
        </w:tc>
        <w:tc>
          <w:tcPr>
            <w:tcW w:w="980" w:type="dxa"/>
            <w:vAlign w:val="center"/>
            <w:hideMark/>
          </w:tcPr>
          <w:p w14:paraId="6B4A9EC0"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b/>
              </w:rPr>
              <w:t>0.03</w:t>
            </w:r>
            <w:r w:rsidR="003E2BE4" w:rsidRPr="002B005F">
              <w:rPr>
                <w:rFonts w:ascii="Times New Roman" w:eastAsia="Arial" w:hAnsi="Times New Roman" w:cs="Times New Roman"/>
                <w:b/>
              </w:rPr>
              <w:t>0</w:t>
            </w:r>
          </w:p>
        </w:tc>
        <w:tc>
          <w:tcPr>
            <w:tcW w:w="940" w:type="dxa"/>
            <w:vAlign w:val="center"/>
            <w:hideMark/>
          </w:tcPr>
          <w:p w14:paraId="28B92EE0"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3.622</w:t>
            </w:r>
          </w:p>
        </w:tc>
        <w:tc>
          <w:tcPr>
            <w:tcW w:w="980" w:type="dxa"/>
            <w:vAlign w:val="center"/>
            <w:hideMark/>
          </w:tcPr>
          <w:p w14:paraId="63481C6B"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0.822</w:t>
            </w:r>
          </w:p>
        </w:tc>
        <w:tc>
          <w:tcPr>
            <w:tcW w:w="940" w:type="dxa"/>
            <w:vAlign w:val="center"/>
            <w:hideMark/>
          </w:tcPr>
          <w:p w14:paraId="607714ED"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2.064</w:t>
            </w:r>
          </w:p>
        </w:tc>
        <w:tc>
          <w:tcPr>
            <w:tcW w:w="980" w:type="dxa"/>
            <w:vAlign w:val="center"/>
            <w:hideMark/>
          </w:tcPr>
          <w:p w14:paraId="536AC30E"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0.151</w:t>
            </w:r>
          </w:p>
        </w:tc>
        <w:tc>
          <w:tcPr>
            <w:tcW w:w="940" w:type="dxa"/>
            <w:vAlign w:val="center"/>
            <w:hideMark/>
          </w:tcPr>
          <w:p w14:paraId="41C9CCB3"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8.831</w:t>
            </w:r>
          </w:p>
        </w:tc>
        <w:tc>
          <w:tcPr>
            <w:tcW w:w="980" w:type="dxa"/>
            <w:vAlign w:val="center"/>
            <w:hideMark/>
          </w:tcPr>
          <w:p w14:paraId="75BEB5FB" w14:textId="77777777" w:rsidR="002760B2" w:rsidRPr="002B005F" w:rsidRDefault="002760B2" w:rsidP="003E2BE4">
            <w:pPr>
              <w:tabs>
                <w:tab w:val="left" w:pos="0"/>
              </w:tabs>
              <w:spacing w:line="240" w:lineRule="auto"/>
              <w:ind w:right="170"/>
              <w:jc w:val="right"/>
              <w:rPr>
                <w:rFonts w:ascii="Times New Roman" w:eastAsia="Arial" w:hAnsi="Times New Roman" w:cs="Times New Roman"/>
              </w:rPr>
            </w:pPr>
            <w:r w:rsidRPr="002B005F">
              <w:rPr>
                <w:rFonts w:ascii="Times New Roman" w:eastAsia="Arial" w:hAnsi="Times New Roman" w:cs="Times New Roman"/>
              </w:rPr>
              <w:t>0.116</w:t>
            </w:r>
          </w:p>
        </w:tc>
      </w:tr>
      <w:tr w:rsidR="002760B2" w:rsidRPr="002B005F" w14:paraId="34E070BC" w14:textId="77777777" w:rsidTr="003E2BE4">
        <w:trPr>
          <w:trHeight w:val="510"/>
          <w:jc w:val="center"/>
        </w:trPr>
        <w:tc>
          <w:tcPr>
            <w:tcW w:w="1395" w:type="dxa"/>
            <w:vAlign w:val="center"/>
            <w:hideMark/>
          </w:tcPr>
          <w:p w14:paraId="493DECE2" w14:textId="77777777" w:rsidR="002760B2" w:rsidRPr="002B005F" w:rsidRDefault="002760B2" w:rsidP="003E2BE4">
            <w:pPr>
              <w:tabs>
                <w:tab w:val="left" w:pos="0"/>
              </w:tabs>
              <w:spacing w:line="240" w:lineRule="auto"/>
              <w:jc w:val="center"/>
              <w:rPr>
                <w:rFonts w:ascii="Times New Roman" w:eastAsia="Arial" w:hAnsi="Times New Roman" w:cs="Times New Roman"/>
                <w:b/>
                <w:bCs/>
              </w:rPr>
            </w:pPr>
            <w:r w:rsidRPr="002B005F">
              <w:rPr>
                <w:rFonts w:ascii="Times New Roman" w:eastAsia="Arial" w:hAnsi="Times New Roman" w:cs="Times New Roman"/>
                <w:b/>
                <w:bCs/>
              </w:rPr>
              <w:t>Friedman test</w:t>
            </w:r>
          </w:p>
        </w:tc>
        <w:tc>
          <w:tcPr>
            <w:tcW w:w="7680" w:type="dxa"/>
            <w:gridSpan w:val="8"/>
            <w:vAlign w:val="center"/>
            <w:hideMark/>
          </w:tcPr>
          <w:p w14:paraId="67B56494" w14:textId="77777777" w:rsidR="002760B2" w:rsidRPr="002B005F" w:rsidRDefault="002760B2" w:rsidP="009B32F8">
            <w:pPr>
              <w:tabs>
                <w:tab w:val="left" w:pos="0"/>
              </w:tabs>
              <w:spacing w:line="240" w:lineRule="auto"/>
              <w:jc w:val="center"/>
              <w:rPr>
                <w:rFonts w:ascii="Times New Roman" w:eastAsia="Times New Roman" w:hAnsi="Times New Roman" w:cs="Times New Roman"/>
                <w:b/>
                <w:bCs/>
              </w:rPr>
            </w:pPr>
            <w:r w:rsidRPr="002B005F">
              <w:rPr>
                <w:rFonts w:ascii="Times New Roman" w:eastAsia="Arial" w:hAnsi="Times New Roman" w:cs="Times New Roman"/>
                <w:b/>
                <w:bCs/>
              </w:rPr>
              <w:t>0.000</w:t>
            </w:r>
          </w:p>
        </w:tc>
      </w:tr>
    </w:tbl>
    <w:p w14:paraId="2151B683" w14:textId="77777777" w:rsidR="002760B2" w:rsidRPr="002B005F" w:rsidRDefault="002760B2" w:rsidP="009B32F8">
      <w:pPr>
        <w:tabs>
          <w:tab w:val="left" w:pos="0"/>
        </w:tabs>
        <w:spacing w:before="120" w:after="100" w:afterAutospacing="1" w:line="240" w:lineRule="auto"/>
        <w:jc w:val="center"/>
        <w:rPr>
          <w:rFonts w:ascii="Times New Roman" w:eastAsia="Times New Roman" w:hAnsi="Times New Roman" w:cs="Times New Roman"/>
          <w:sz w:val="20"/>
          <w:szCs w:val="20"/>
        </w:rPr>
      </w:pPr>
      <w:r w:rsidRPr="002B005F">
        <w:rPr>
          <w:rFonts w:ascii="Times New Roman" w:eastAsia="Times New Roman" w:hAnsi="Times New Roman" w:cs="Times New Roman"/>
          <w:sz w:val="20"/>
          <w:szCs w:val="20"/>
        </w:rPr>
        <w:t>Source :</w:t>
      </w:r>
      <w:r w:rsidR="009B32F8" w:rsidRPr="002B005F">
        <w:rPr>
          <w:rFonts w:ascii="Times New Roman" w:eastAsia="Times New Roman" w:hAnsi="Times New Roman" w:cs="Times New Roman"/>
          <w:sz w:val="20"/>
          <w:szCs w:val="20"/>
        </w:rPr>
        <w:t xml:space="preserve"> C</w:t>
      </w:r>
      <w:r w:rsidRPr="002B005F">
        <w:rPr>
          <w:rFonts w:ascii="Times New Roman" w:eastAsia="Times New Roman" w:hAnsi="Times New Roman" w:cs="Times New Roman"/>
          <w:sz w:val="20"/>
          <w:szCs w:val="20"/>
        </w:rPr>
        <w:t>alculs du chercheur.</w:t>
      </w:r>
    </w:p>
    <w:p w14:paraId="56D38DBD" w14:textId="77777777" w:rsidR="002760B2" w:rsidRPr="00D107F2" w:rsidRDefault="002760B2" w:rsidP="00F93FC5">
      <w:pPr>
        <w:tabs>
          <w:tab w:val="left" w:pos="0"/>
        </w:tabs>
        <w:autoSpaceDE w:val="0"/>
        <w:autoSpaceDN w:val="0"/>
        <w:adjustRightInd w:val="0"/>
        <w:spacing w:before="100" w:beforeAutospacing="1" w:after="100" w:afterAutospacing="1" w:line="300" w:lineRule="auto"/>
        <w:ind w:firstLine="709"/>
        <w:rPr>
          <w:rFonts w:asciiTheme="majorBidi" w:hAnsiTheme="majorBidi" w:cstheme="majorBidi"/>
          <w:sz w:val="24"/>
          <w:szCs w:val="24"/>
        </w:rPr>
      </w:pPr>
      <w:r w:rsidRPr="002B005F">
        <w:rPr>
          <w:rFonts w:ascii="Times New Roman" w:hAnsi="Times New Roman" w:cs="Times New Roman"/>
          <w:sz w:val="24"/>
          <w:szCs w:val="24"/>
        </w:rPr>
        <w:t>Le test de Friedman est utilisé pour trouver une tendance pour certaines variables à recevoir des rangs plus élevés que d'autres, c'est-à-dire pour tester si le classement est significatif ou non. Les résultats du test indiquent que le classement pour cette question est significatif.</w:t>
      </w:r>
    </w:p>
    <w:p w14:paraId="0CF176D0" w14:textId="6B3E22FA" w:rsidR="000C1CC2" w:rsidRPr="00D107F2" w:rsidRDefault="00D107F2" w:rsidP="00D66FFE">
      <w:pPr>
        <w:pStyle w:val="Lgende"/>
        <w:jc w:val="center"/>
        <w:rPr>
          <w:rFonts w:asciiTheme="majorBidi" w:hAnsiTheme="majorBidi" w:cstheme="majorBidi"/>
          <w:color w:val="auto"/>
          <w:sz w:val="24"/>
          <w:szCs w:val="24"/>
        </w:rPr>
      </w:pPr>
      <w:bookmarkStart w:id="1724" w:name="_Toc115556101"/>
      <w:r w:rsidRPr="00D107F2">
        <w:rPr>
          <w:rFonts w:asciiTheme="majorBidi" w:hAnsiTheme="majorBidi" w:cstheme="majorBidi"/>
          <w:color w:val="auto"/>
          <w:sz w:val="24"/>
          <w:szCs w:val="24"/>
        </w:rPr>
        <w:t xml:space="preserve">Tableau </w:t>
      </w:r>
      <w:r w:rsidR="00B544E5" w:rsidRPr="00D107F2">
        <w:rPr>
          <w:rFonts w:asciiTheme="majorBidi" w:hAnsiTheme="majorBidi" w:cstheme="majorBidi"/>
          <w:color w:val="auto"/>
          <w:sz w:val="24"/>
          <w:szCs w:val="24"/>
        </w:rPr>
        <w:fldChar w:fldCharType="begin"/>
      </w:r>
      <w:r w:rsidRPr="00D107F2">
        <w:rPr>
          <w:rFonts w:asciiTheme="majorBidi" w:hAnsiTheme="majorBidi" w:cstheme="majorBidi"/>
          <w:color w:val="auto"/>
          <w:sz w:val="24"/>
          <w:szCs w:val="24"/>
        </w:rPr>
        <w:instrText xml:space="preserve"> SEQ Tableau \* ARABIC </w:instrText>
      </w:r>
      <w:r w:rsidR="00B544E5" w:rsidRPr="00D107F2">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33</w:t>
      </w:r>
      <w:r w:rsidR="00B544E5" w:rsidRPr="00D107F2">
        <w:rPr>
          <w:rFonts w:asciiTheme="majorBidi" w:hAnsiTheme="majorBidi" w:cstheme="majorBidi"/>
          <w:color w:val="auto"/>
          <w:sz w:val="24"/>
          <w:szCs w:val="24"/>
        </w:rPr>
        <w:fldChar w:fldCharType="end"/>
      </w:r>
      <w:r w:rsidRPr="00D107F2">
        <w:rPr>
          <w:rFonts w:asciiTheme="majorBidi" w:hAnsiTheme="majorBidi" w:cstheme="majorBidi"/>
          <w:noProof/>
          <w:color w:val="auto"/>
          <w:sz w:val="24"/>
          <w:szCs w:val="24"/>
        </w:rPr>
        <w:t>- Classement d</w:t>
      </w:r>
      <w:r w:rsidR="00B11DC7">
        <w:rPr>
          <w:rFonts w:asciiTheme="majorBidi" w:hAnsiTheme="majorBidi" w:cstheme="majorBidi"/>
          <w:noProof/>
          <w:color w:val="auto"/>
          <w:sz w:val="24"/>
          <w:szCs w:val="24"/>
        </w:rPr>
        <w:t>e</w:t>
      </w:r>
      <w:r w:rsidRPr="00D107F2">
        <w:rPr>
          <w:rFonts w:asciiTheme="majorBidi" w:hAnsiTheme="majorBidi" w:cstheme="majorBidi"/>
          <w:noProof/>
          <w:color w:val="auto"/>
          <w:sz w:val="24"/>
          <w:szCs w:val="24"/>
        </w:rPr>
        <w:t xml:space="preserve"> moyennes du test K-W pour la moudaraba et la moucharaka selon la région</w:t>
      </w:r>
      <w:bookmarkEnd w:id="1724"/>
    </w:p>
    <w:tbl>
      <w:tblPr>
        <w:tblStyle w:val="Grilledutableau"/>
        <w:tblW w:w="90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2835"/>
        <w:gridCol w:w="2687"/>
        <w:gridCol w:w="1417"/>
        <w:gridCol w:w="2132"/>
      </w:tblGrid>
      <w:tr w:rsidR="00A95C1C" w:rsidRPr="002B005F" w14:paraId="70AA2BC3" w14:textId="77777777" w:rsidTr="004B1423">
        <w:trPr>
          <w:trHeight w:val="907"/>
          <w:jc w:val="center"/>
        </w:trPr>
        <w:tc>
          <w:tcPr>
            <w:tcW w:w="2835" w:type="dxa"/>
            <w:vAlign w:val="center"/>
          </w:tcPr>
          <w:p w14:paraId="2667B34D" w14:textId="77777777" w:rsidR="00A95C1C" w:rsidRPr="002B005F" w:rsidRDefault="00A95C1C" w:rsidP="007A106E">
            <w:pPr>
              <w:tabs>
                <w:tab w:val="left" w:pos="0"/>
              </w:tabs>
              <w:jc w:val="center"/>
              <w:rPr>
                <w:rFonts w:ascii="Times New Roman" w:eastAsia="Arial" w:hAnsi="Times New Roman" w:cs="Times New Roman"/>
                <w:b/>
                <w:bCs/>
              </w:rPr>
            </w:pPr>
            <w:r w:rsidRPr="002B005F">
              <w:rPr>
                <w:rFonts w:ascii="Times New Roman" w:eastAsia="Arial" w:hAnsi="Times New Roman" w:cs="Times New Roman"/>
                <w:b/>
                <w:bCs/>
              </w:rPr>
              <w:t>Contrat</w:t>
            </w:r>
          </w:p>
        </w:tc>
        <w:tc>
          <w:tcPr>
            <w:tcW w:w="2687" w:type="dxa"/>
            <w:vAlign w:val="center"/>
          </w:tcPr>
          <w:p w14:paraId="73564B1D" w14:textId="77777777" w:rsidR="00A95C1C" w:rsidRPr="002B005F" w:rsidRDefault="00A95C1C" w:rsidP="007A106E">
            <w:pPr>
              <w:tabs>
                <w:tab w:val="left" w:pos="0"/>
              </w:tabs>
              <w:jc w:val="center"/>
              <w:rPr>
                <w:rFonts w:ascii="Times New Roman" w:eastAsia="Arial" w:hAnsi="Times New Roman" w:cs="Times New Roman"/>
                <w:b/>
                <w:bCs/>
              </w:rPr>
            </w:pPr>
            <w:r w:rsidRPr="002B005F">
              <w:rPr>
                <w:rFonts w:ascii="Times New Roman" w:eastAsia="Arial" w:hAnsi="Times New Roman" w:cs="Times New Roman"/>
                <w:b/>
                <w:bCs/>
              </w:rPr>
              <w:t>Région</w:t>
            </w:r>
          </w:p>
        </w:tc>
        <w:tc>
          <w:tcPr>
            <w:tcW w:w="1417" w:type="dxa"/>
            <w:vAlign w:val="center"/>
          </w:tcPr>
          <w:p w14:paraId="508C95F0" w14:textId="77777777" w:rsidR="00A95C1C" w:rsidRPr="002B005F" w:rsidRDefault="00A95C1C" w:rsidP="007A106E">
            <w:pPr>
              <w:tabs>
                <w:tab w:val="left" w:pos="0"/>
              </w:tabs>
              <w:jc w:val="center"/>
              <w:rPr>
                <w:rFonts w:ascii="Times New Roman" w:eastAsia="Arial" w:hAnsi="Times New Roman" w:cs="Times New Roman"/>
                <w:b/>
                <w:bCs/>
              </w:rPr>
            </w:pPr>
            <w:r w:rsidRPr="002B005F">
              <w:rPr>
                <w:rFonts w:ascii="Times New Roman" w:eastAsia="Arial" w:hAnsi="Times New Roman" w:cs="Times New Roman"/>
                <w:b/>
                <w:bCs/>
              </w:rPr>
              <w:t>N</w:t>
            </w:r>
          </w:p>
        </w:tc>
        <w:tc>
          <w:tcPr>
            <w:tcW w:w="2132" w:type="dxa"/>
            <w:vAlign w:val="center"/>
          </w:tcPr>
          <w:p w14:paraId="3C610283" w14:textId="77777777" w:rsidR="00A95C1C" w:rsidRPr="002B005F" w:rsidRDefault="00A95C1C" w:rsidP="007A106E">
            <w:pPr>
              <w:tabs>
                <w:tab w:val="left" w:pos="0"/>
              </w:tabs>
              <w:jc w:val="center"/>
              <w:rPr>
                <w:rFonts w:ascii="Times New Roman" w:eastAsia="Arial" w:hAnsi="Times New Roman" w:cs="Times New Roman"/>
                <w:b/>
                <w:bCs/>
              </w:rPr>
            </w:pPr>
            <w:r w:rsidRPr="002B005F">
              <w:rPr>
                <w:rFonts w:ascii="Times New Roman" w:eastAsia="Arial" w:hAnsi="Times New Roman" w:cs="Times New Roman"/>
                <w:b/>
                <w:bCs/>
              </w:rPr>
              <w:t>Moyenne pondérée</w:t>
            </w:r>
          </w:p>
        </w:tc>
      </w:tr>
      <w:tr w:rsidR="00A95C1C" w:rsidRPr="002B005F" w14:paraId="28B86731" w14:textId="77777777" w:rsidTr="004B1423">
        <w:trPr>
          <w:trHeight w:val="907"/>
          <w:jc w:val="center"/>
        </w:trPr>
        <w:tc>
          <w:tcPr>
            <w:tcW w:w="2835" w:type="dxa"/>
            <w:vAlign w:val="center"/>
          </w:tcPr>
          <w:p w14:paraId="4B5DBF51" w14:textId="77777777" w:rsidR="00A95C1C" w:rsidRPr="002B005F" w:rsidRDefault="00A95C1C" w:rsidP="007A106E">
            <w:pPr>
              <w:tabs>
                <w:tab w:val="left" w:pos="0"/>
              </w:tabs>
              <w:jc w:val="center"/>
              <w:rPr>
                <w:rFonts w:ascii="Times New Roman" w:eastAsia="Times New Roman" w:hAnsi="Times New Roman" w:cs="Times New Roman"/>
                <w:i/>
                <w:iCs/>
              </w:rPr>
            </w:pPr>
            <w:r w:rsidRPr="002B005F">
              <w:rPr>
                <w:rFonts w:ascii="Times New Roman" w:eastAsia="Times New Roman" w:hAnsi="Times New Roman" w:cs="Times New Roman"/>
                <w:b/>
                <w:bCs/>
                <w:i/>
                <w:iCs/>
                <w:sz w:val="24"/>
                <w:szCs w:val="24"/>
              </w:rPr>
              <w:t>Moudaraba</w:t>
            </w:r>
          </w:p>
        </w:tc>
        <w:tc>
          <w:tcPr>
            <w:tcW w:w="2687" w:type="dxa"/>
          </w:tcPr>
          <w:p w14:paraId="66815A6B" w14:textId="77777777" w:rsidR="00A95C1C" w:rsidRPr="002B005F" w:rsidRDefault="00A95C1C" w:rsidP="007A106E">
            <w:pPr>
              <w:tabs>
                <w:tab w:val="left" w:pos="114"/>
              </w:tabs>
              <w:ind w:left="113"/>
              <w:jc w:val="left"/>
              <w:rPr>
                <w:rFonts w:ascii="Times New Roman" w:eastAsia="Times New Roman" w:hAnsi="Times New Roman" w:cs="Times New Roman"/>
              </w:rPr>
            </w:pPr>
            <w:r w:rsidRPr="002B005F">
              <w:rPr>
                <w:rFonts w:ascii="Times New Roman" w:eastAsia="Times New Roman" w:hAnsi="Times New Roman" w:cs="Times New Roman"/>
              </w:rPr>
              <w:t>Afrique</w:t>
            </w:r>
          </w:p>
          <w:p w14:paraId="0B76AC77" w14:textId="77777777" w:rsidR="00A95C1C" w:rsidRPr="002B005F" w:rsidRDefault="00A95C1C" w:rsidP="007A106E">
            <w:pPr>
              <w:tabs>
                <w:tab w:val="left" w:pos="114"/>
              </w:tabs>
              <w:ind w:left="113"/>
              <w:jc w:val="left"/>
              <w:rPr>
                <w:rFonts w:ascii="Times New Roman" w:eastAsia="Times New Roman" w:hAnsi="Times New Roman" w:cs="Times New Roman"/>
              </w:rPr>
            </w:pPr>
            <w:r w:rsidRPr="002B005F">
              <w:rPr>
                <w:rFonts w:ascii="Times New Roman" w:eastAsia="Times New Roman" w:hAnsi="Times New Roman" w:cs="Times New Roman"/>
              </w:rPr>
              <w:t>Moyen-Orient</w:t>
            </w:r>
          </w:p>
          <w:p w14:paraId="62C312CA" w14:textId="77777777" w:rsidR="00A95C1C" w:rsidRPr="002B005F" w:rsidRDefault="00A95C1C" w:rsidP="007A106E">
            <w:pPr>
              <w:tabs>
                <w:tab w:val="left" w:pos="114"/>
              </w:tabs>
              <w:ind w:left="113"/>
              <w:jc w:val="left"/>
              <w:rPr>
                <w:rFonts w:ascii="Times New Roman" w:eastAsia="Times New Roman" w:hAnsi="Times New Roman" w:cs="Times New Roman"/>
              </w:rPr>
            </w:pPr>
            <w:r w:rsidRPr="002B005F">
              <w:rPr>
                <w:rFonts w:ascii="Times New Roman" w:eastAsia="Times New Roman" w:hAnsi="Times New Roman" w:cs="Times New Roman"/>
              </w:rPr>
              <w:t>Europe</w:t>
            </w:r>
          </w:p>
          <w:p w14:paraId="70B4CD1C" w14:textId="77777777" w:rsidR="00A95C1C" w:rsidRPr="002B005F" w:rsidRDefault="00A95C1C" w:rsidP="007A106E">
            <w:pPr>
              <w:tabs>
                <w:tab w:val="left" w:pos="114"/>
              </w:tabs>
              <w:ind w:left="113"/>
              <w:jc w:val="left"/>
              <w:rPr>
                <w:rFonts w:ascii="Times New Roman" w:eastAsia="Times New Roman" w:hAnsi="Times New Roman" w:cs="Times New Roman"/>
              </w:rPr>
            </w:pPr>
            <w:r w:rsidRPr="002B005F">
              <w:rPr>
                <w:rFonts w:ascii="Times New Roman" w:eastAsia="Times New Roman" w:hAnsi="Times New Roman" w:cs="Times New Roman"/>
              </w:rPr>
              <w:t>Autres</w:t>
            </w:r>
          </w:p>
          <w:p w14:paraId="632DA36E" w14:textId="77777777" w:rsidR="00A95C1C" w:rsidRPr="002B005F" w:rsidRDefault="00A95C1C" w:rsidP="007A106E">
            <w:pPr>
              <w:tabs>
                <w:tab w:val="left" w:pos="0"/>
                <w:tab w:val="center" w:pos="1901"/>
              </w:tabs>
              <w:ind w:right="284"/>
              <w:jc w:val="right"/>
              <w:rPr>
                <w:rFonts w:ascii="Times New Roman" w:eastAsia="Times New Roman" w:hAnsi="Times New Roman" w:cs="Times New Roman"/>
                <w:b/>
                <w:bCs/>
              </w:rPr>
            </w:pPr>
            <w:r w:rsidRPr="002B005F">
              <w:rPr>
                <w:rFonts w:ascii="Times New Roman" w:eastAsia="Times New Roman" w:hAnsi="Times New Roman" w:cs="Times New Roman"/>
                <w:b/>
                <w:bCs/>
                <w:sz w:val="24"/>
                <w:szCs w:val="24"/>
              </w:rPr>
              <w:t>Total</w:t>
            </w:r>
          </w:p>
        </w:tc>
        <w:tc>
          <w:tcPr>
            <w:tcW w:w="1417" w:type="dxa"/>
          </w:tcPr>
          <w:p w14:paraId="68E3A154" w14:textId="77777777" w:rsidR="00A95C1C" w:rsidRPr="002B005F" w:rsidRDefault="00A95C1C" w:rsidP="007A106E">
            <w:pPr>
              <w:tabs>
                <w:tab w:val="left" w:pos="0"/>
              </w:tabs>
              <w:ind w:right="567"/>
              <w:jc w:val="right"/>
              <w:rPr>
                <w:rFonts w:ascii="Times New Roman" w:eastAsia="Times New Roman" w:hAnsi="Times New Roman" w:cs="Times New Roman"/>
              </w:rPr>
            </w:pPr>
            <w:r w:rsidRPr="002B005F">
              <w:rPr>
                <w:rFonts w:ascii="Times New Roman" w:eastAsia="Times New Roman" w:hAnsi="Times New Roman" w:cs="Times New Roman"/>
              </w:rPr>
              <w:t>25</w:t>
            </w:r>
          </w:p>
          <w:p w14:paraId="7FB102B5" w14:textId="77777777" w:rsidR="00A95C1C" w:rsidRPr="002B005F" w:rsidRDefault="00A95C1C" w:rsidP="007A106E">
            <w:pPr>
              <w:tabs>
                <w:tab w:val="left" w:pos="0"/>
              </w:tabs>
              <w:ind w:right="567"/>
              <w:jc w:val="right"/>
              <w:rPr>
                <w:rFonts w:ascii="Times New Roman" w:eastAsia="Times New Roman" w:hAnsi="Times New Roman" w:cs="Times New Roman"/>
              </w:rPr>
            </w:pPr>
            <w:r w:rsidRPr="002B005F">
              <w:rPr>
                <w:rFonts w:ascii="Times New Roman" w:eastAsia="Times New Roman" w:hAnsi="Times New Roman" w:cs="Times New Roman"/>
              </w:rPr>
              <w:t>18</w:t>
            </w:r>
          </w:p>
          <w:p w14:paraId="44C1C8DF" w14:textId="77777777" w:rsidR="00A95C1C" w:rsidRPr="002B005F" w:rsidRDefault="00A95C1C" w:rsidP="007A106E">
            <w:pPr>
              <w:tabs>
                <w:tab w:val="left" w:pos="0"/>
              </w:tabs>
              <w:ind w:right="567"/>
              <w:jc w:val="right"/>
              <w:rPr>
                <w:rFonts w:ascii="Times New Roman" w:eastAsia="Times New Roman" w:hAnsi="Times New Roman" w:cs="Times New Roman"/>
              </w:rPr>
            </w:pPr>
            <w:r w:rsidRPr="002B005F">
              <w:rPr>
                <w:rFonts w:ascii="Times New Roman" w:eastAsia="Times New Roman" w:hAnsi="Times New Roman" w:cs="Times New Roman"/>
              </w:rPr>
              <w:t>4</w:t>
            </w:r>
          </w:p>
          <w:p w14:paraId="5943FB3C" w14:textId="77777777" w:rsidR="00A95C1C" w:rsidRPr="002B005F" w:rsidRDefault="00A95C1C" w:rsidP="007A106E">
            <w:pPr>
              <w:tabs>
                <w:tab w:val="left" w:pos="0"/>
              </w:tabs>
              <w:ind w:right="567"/>
              <w:jc w:val="right"/>
              <w:rPr>
                <w:rFonts w:ascii="Times New Roman" w:eastAsia="Times New Roman" w:hAnsi="Times New Roman" w:cs="Times New Roman"/>
              </w:rPr>
            </w:pPr>
            <w:r w:rsidRPr="002B005F">
              <w:rPr>
                <w:rFonts w:ascii="Times New Roman" w:eastAsia="Times New Roman" w:hAnsi="Times New Roman" w:cs="Times New Roman"/>
              </w:rPr>
              <w:t>5</w:t>
            </w:r>
          </w:p>
          <w:p w14:paraId="200A200A" w14:textId="77777777" w:rsidR="00A95C1C" w:rsidRPr="002B005F" w:rsidRDefault="00A95C1C" w:rsidP="007A106E">
            <w:pPr>
              <w:tabs>
                <w:tab w:val="left" w:pos="0"/>
              </w:tabs>
              <w:ind w:right="567"/>
              <w:jc w:val="right"/>
              <w:rPr>
                <w:rFonts w:ascii="Times New Roman" w:eastAsia="Times New Roman" w:hAnsi="Times New Roman" w:cs="Times New Roman"/>
                <w:b/>
                <w:bCs/>
              </w:rPr>
            </w:pPr>
            <w:r w:rsidRPr="002B005F">
              <w:rPr>
                <w:rFonts w:ascii="Times New Roman" w:eastAsia="Times New Roman" w:hAnsi="Times New Roman" w:cs="Times New Roman"/>
                <w:b/>
                <w:bCs/>
                <w:sz w:val="24"/>
                <w:szCs w:val="24"/>
              </w:rPr>
              <w:t>52</w:t>
            </w:r>
          </w:p>
        </w:tc>
        <w:tc>
          <w:tcPr>
            <w:tcW w:w="2132" w:type="dxa"/>
          </w:tcPr>
          <w:p w14:paraId="3F7BE10C" w14:textId="77777777" w:rsidR="00A95C1C" w:rsidRPr="002B005F" w:rsidRDefault="00A95C1C" w:rsidP="007A106E">
            <w:pPr>
              <w:tabs>
                <w:tab w:val="left" w:pos="0"/>
              </w:tabs>
              <w:ind w:right="821"/>
              <w:jc w:val="right"/>
              <w:rPr>
                <w:rFonts w:ascii="Times New Roman" w:eastAsia="Times New Roman" w:hAnsi="Times New Roman" w:cs="Times New Roman"/>
              </w:rPr>
            </w:pPr>
            <w:r w:rsidRPr="002B005F">
              <w:rPr>
                <w:rFonts w:ascii="Times New Roman" w:eastAsia="Times New Roman" w:hAnsi="Times New Roman" w:cs="Times New Roman"/>
              </w:rPr>
              <w:t>17.71</w:t>
            </w:r>
          </w:p>
          <w:p w14:paraId="0E7552CB" w14:textId="77777777" w:rsidR="00A95C1C" w:rsidRPr="002B005F" w:rsidRDefault="00A95C1C" w:rsidP="007A106E">
            <w:pPr>
              <w:tabs>
                <w:tab w:val="left" w:pos="0"/>
              </w:tabs>
              <w:ind w:right="821"/>
              <w:jc w:val="right"/>
              <w:rPr>
                <w:rFonts w:ascii="Times New Roman" w:eastAsia="Times New Roman" w:hAnsi="Times New Roman" w:cs="Times New Roman"/>
              </w:rPr>
            </w:pPr>
            <w:r w:rsidRPr="002B005F">
              <w:rPr>
                <w:rFonts w:ascii="Times New Roman" w:eastAsia="Times New Roman" w:hAnsi="Times New Roman" w:cs="Times New Roman"/>
              </w:rPr>
              <w:t>16.47</w:t>
            </w:r>
          </w:p>
          <w:p w14:paraId="45F5E986" w14:textId="77777777" w:rsidR="00A95C1C" w:rsidRPr="002B005F" w:rsidRDefault="00A95C1C" w:rsidP="007A106E">
            <w:pPr>
              <w:tabs>
                <w:tab w:val="left" w:pos="0"/>
              </w:tabs>
              <w:ind w:right="821"/>
              <w:jc w:val="right"/>
              <w:rPr>
                <w:rFonts w:ascii="Times New Roman" w:eastAsia="Times New Roman" w:hAnsi="Times New Roman" w:cs="Times New Roman"/>
              </w:rPr>
            </w:pPr>
            <w:r w:rsidRPr="002B005F">
              <w:rPr>
                <w:rFonts w:ascii="Times New Roman" w:eastAsia="Times New Roman" w:hAnsi="Times New Roman" w:cs="Times New Roman"/>
              </w:rPr>
              <w:t>27.65</w:t>
            </w:r>
          </w:p>
          <w:p w14:paraId="060C80DE" w14:textId="77777777" w:rsidR="00A95C1C" w:rsidRPr="002B005F" w:rsidRDefault="00A95C1C" w:rsidP="007A106E">
            <w:pPr>
              <w:tabs>
                <w:tab w:val="left" w:pos="0"/>
              </w:tabs>
              <w:ind w:right="821"/>
              <w:jc w:val="right"/>
              <w:rPr>
                <w:rFonts w:ascii="Times New Roman" w:eastAsia="Times New Roman" w:hAnsi="Times New Roman" w:cs="Times New Roman"/>
              </w:rPr>
            </w:pPr>
            <w:r w:rsidRPr="002B005F">
              <w:rPr>
                <w:rFonts w:ascii="Times New Roman" w:eastAsia="Times New Roman" w:hAnsi="Times New Roman" w:cs="Times New Roman"/>
              </w:rPr>
              <w:t>32.50</w:t>
            </w:r>
          </w:p>
        </w:tc>
      </w:tr>
      <w:tr w:rsidR="00A95C1C" w:rsidRPr="002B005F" w14:paraId="0BA790FA" w14:textId="77777777" w:rsidTr="004B1423">
        <w:trPr>
          <w:trHeight w:val="907"/>
          <w:jc w:val="center"/>
        </w:trPr>
        <w:tc>
          <w:tcPr>
            <w:tcW w:w="2835" w:type="dxa"/>
            <w:vAlign w:val="center"/>
          </w:tcPr>
          <w:p w14:paraId="455B9286" w14:textId="77777777" w:rsidR="00A95C1C" w:rsidRPr="002B005F" w:rsidRDefault="00A95C1C" w:rsidP="007A106E">
            <w:pPr>
              <w:tabs>
                <w:tab w:val="left" w:pos="0"/>
              </w:tabs>
              <w:jc w:val="center"/>
              <w:rPr>
                <w:rFonts w:ascii="Times New Roman" w:eastAsia="Times New Roman" w:hAnsi="Times New Roman" w:cs="Times New Roman"/>
                <w:i/>
                <w:iCs/>
              </w:rPr>
            </w:pPr>
            <w:r w:rsidRPr="002B005F">
              <w:rPr>
                <w:rFonts w:ascii="Times New Roman" w:eastAsia="Times New Roman" w:hAnsi="Times New Roman" w:cs="Times New Roman"/>
                <w:b/>
                <w:bCs/>
                <w:i/>
                <w:iCs/>
                <w:sz w:val="24"/>
                <w:szCs w:val="24"/>
              </w:rPr>
              <w:t>Moucharaka</w:t>
            </w:r>
          </w:p>
        </w:tc>
        <w:tc>
          <w:tcPr>
            <w:tcW w:w="2687" w:type="dxa"/>
          </w:tcPr>
          <w:p w14:paraId="651102B5" w14:textId="77777777" w:rsidR="00A95C1C" w:rsidRPr="002B005F" w:rsidRDefault="00A95C1C" w:rsidP="007A106E">
            <w:pPr>
              <w:tabs>
                <w:tab w:val="left" w:pos="0"/>
              </w:tabs>
              <w:ind w:left="113"/>
              <w:rPr>
                <w:rFonts w:ascii="Times New Roman" w:eastAsia="Times New Roman" w:hAnsi="Times New Roman" w:cs="Times New Roman"/>
              </w:rPr>
            </w:pPr>
            <w:r w:rsidRPr="002B005F">
              <w:rPr>
                <w:rFonts w:ascii="Times New Roman" w:eastAsia="Times New Roman" w:hAnsi="Times New Roman" w:cs="Times New Roman"/>
              </w:rPr>
              <w:t>Afrique</w:t>
            </w:r>
          </w:p>
          <w:p w14:paraId="58A1C666" w14:textId="77777777" w:rsidR="00A95C1C" w:rsidRPr="002B005F" w:rsidRDefault="00A95C1C" w:rsidP="007A106E">
            <w:pPr>
              <w:tabs>
                <w:tab w:val="left" w:pos="0"/>
              </w:tabs>
              <w:ind w:left="113"/>
              <w:rPr>
                <w:rFonts w:ascii="Times New Roman" w:eastAsia="Times New Roman" w:hAnsi="Times New Roman" w:cs="Times New Roman"/>
              </w:rPr>
            </w:pPr>
            <w:r w:rsidRPr="002B005F">
              <w:rPr>
                <w:rFonts w:ascii="Times New Roman" w:eastAsia="Times New Roman" w:hAnsi="Times New Roman" w:cs="Times New Roman"/>
              </w:rPr>
              <w:t>Moyen-Orien</w:t>
            </w:r>
          </w:p>
          <w:p w14:paraId="51451F6E" w14:textId="77777777" w:rsidR="00A95C1C" w:rsidRPr="002B005F" w:rsidRDefault="00A95C1C" w:rsidP="007A106E">
            <w:pPr>
              <w:tabs>
                <w:tab w:val="left" w:pos="0"/>
              </w:tabs>
              <w:ind w:left="113"/>
              <w:rPr>
                <w:rFonts w:ascii="Times New Roman" w:eastAsia="Times New Roman" w:hAnsi="Times New Roman" w:cs="Times New Roman"/>
              </w:rPr>
            </w:pPr>
            <w:r w:rsidRPr="002B005F">
              <w:rPr>
                <w:rFonts w:ascii="Times New Roman" w:eastAsia="Times New Roman" w:hAnsi="Times New Roman" w:cs="Times New Roman"/>
              </w:rPr>
              <w:t>Europe</w:t>
            </w:r>
          </w:p>
          <w:p w14:paraId="63D399C6" w14:textId="77777777" w:rsidR="00A95C1C" w:rsidRPr="002B005F" w:rsidRDefault="00A95C1C" w:rsidP="007A106E">
            <w:pPr>
              <w:tabs>
                <w:tab w:val="left" w:pos="0"/>
              </w:tabs>
              <w:ind w:left="113"/>
              <w:rPr>
                <w:rFonts w:ascii="Times New Roman" w:eastAsia="Times New Roman" w:hAnsi="Times New Roman" w:cs="Times New Roman"/>
              </w:rPr>
            </w:pPr>
            <w:r w:rsidRPr="002B005F">
              <w:rPr>
                <w:rFonts w:ascii="Times New Roman" w:eastAsia="Times New Roman" w:hAnsi="Times New Roman" w:cs="Times New Roman"/>
              </w:rPr>
              <w:t>Autres</w:t>
            </w:r>
          </w:p>
          <w:p w14:paraId="47BF2077" w14:textId="77777777" w:rsidR="00A95C1C" w:rsidRPr="002B005F" w:rsidRDefault="00A95C1C" w:rsidP="007A106E">
            <w:pPr>
              <w:tabs>
                <w:tab w:val="left" w:pos="0"/>
                <w:tab w:val="center" w:pos="1963"/>
              </w:tabs>
              <w:ind w:right="284"/>
              <w:jc w:val="right"/>
              <w:rPr>
                <w:rFonts w:ascii="Times New Roman" w:eastAsia="Times New Roman" w:hAnsi="Times New Roman" w:cs="Times New Roman"/>
                <w:b/>
                <w:bCs/>
              </w:rPr>
            </w:pPr>
            <w:r w:rsidRPr="002B005F">
              <w:rPr>
                <w:rFonts w:ascii="Times New Roman" w:eastAsia="Times New Roman" w:hAnsi="Times New Roman" w:cs="Times New Roman"/>
                <w:b/>
                <w:bCs/>
                <w:sz w:val="24"/>
                <w:szCs w:val="24"/>
              </w:rPr>
              <w:t>Total</w:t>
            </w:r>
          </w:p>
        </w:tc>
        <w:tc>
          <w:tcPr>
            <w:tcW w:w="1417" w:type="dxa"/>
          </w:tcPr>
          <w:p w14:paraId="0A4D3F6A" w14:textId="77777777" w:rsidR="00A95C1C" w:rsidRPr="002B005F" w:rsidRDefault="00A95C1C" w:rsidP="007A106E">
            <w:pPr>
              <w:tabs>
                <w:tab w:val="left" w:pos="0"/>
              </w:tabs>
              <w:ind w:right="567"/>
              <w:jc w:val="right"/>
              <w:rPr>
                <w:rFonts w:ascii="Times New Roman" w:eastAsia="Times New Roman" w:hAnsi="Times New Roman" w:cs="Times New Roman"/>
              </w:rPr>
            </w:pPr>
            <w:r w:rsidRPr="002B005F">
              <w:rPr>
                <w:rFonts w:ascii="Times New Roman" w:eastAsia="Times New Roman" w:hAnsi="Times New Roman" w:cs="Times New Roman"/>
              </w:rPr>
              <w:t>27</w:t>
            </w:r>
          </w:p>
          <w:p w14:paraId="5086723D" w14:textId="77777777" w:rsidR="00A95C1C" w:rsidRPr="002B005F" w:rsidRDefault="00A95C1C" w:rsidP="007A106E">
            <w:pPr>
              <w:tabs>
                <w:tab w:val="left" w:pos="0"/>
              </w:tabs>
              <w:ind w:right="567"/>
              <w:jc w:val="right"/>
              <w:rPr>
                <w:rFonts w:ascii="Times New Roman" w:eastAsia="Times New Roman" w:hAnsi="Times New Roman" w:cs="Times New Roman"/>
              </w:rPr>
            </w:pPr>
            <w:r w:rsidRPr="002B005F">
              <w:rPr>
                <w:rFonts w:ascii="Times New Roman" w:eastAsia="Times New Roman" w:hAnsi="Times New Roman" w:cs="Times New Roman"/>
              </w:rPr>
              <w:t>16</w:t>
            </w:r>
          </w:p>
          <w:p w14:paraId="50D978DB" w14:textId="77777777" w:rsidR="00A95C1C" w:rsidRPr="002B005F" w:rsidRDefault="00A95C1C" w:rsidP="007A106E">
            <w:pPr>
              <w:tabs>
                <w:tab w:val="left" w:pos="0"/>
              </w:tabs>
              <w:ind w:right="567"/>
              <w:jc w:val="right"/>
              <w:rPr>
                <w:rFonts w:ascii="Times New Roman" w:eastAsia="Times New Roman" w:hAnsi="Times New Roman" w:cs="Times New Roman"/>
              </w:rPr>
            </w:pPr>
            <w:r w:rsidRPr="002B005F">
              <w:rPr>
                <w:rFonts w:ascii="Times New Roman" w:eastAsia="Times New Roman" w:hAnsi="Times New Roman" w:cs="Times New Roman"/>
              </w:rPr>
              <w:t>10</w:t>
            </w:r>
          </w:p>
          <w:p w14:paraId="41FE5C93" w14:textId="77777777" w:rsidR="00A95C1C" w:rsidRPr="002B005F" w:rsidRDefault="00A95C1C" w:rsidP="007A106E">
            <w:pPr>
              <w:tabs>
                <w:tab w:val="left" w:pos="0"/>
              </w:tabs>
              <w:ind w:right="567"/>
              <w:jc w:val="right"/>
              <w:rPr>
                <w:rFonts w:ascii="Times New Roman" w:eastAsia="Times New Roman" w:hAnsi="Times New Roman" w:cs="Times New Roman"/>
              </w:rPr>
            </w:pPr>
            <w:r w:rsidRPr="002B005F">
              <w:rPr>
                <w:rFonts w:ascii="Times New Roman" w:eastAsia="Times New Roman" w:hAnsi="Times New Roman" w:cs="Times New Roman"/>
              </w:rPr>
              <w:t>6</w:t>
            </w:r>
          </w:p>
          <w:p w14:paraId="56324646" w14:textId="77777777" w:rsidR="00A95C1C" w:rsidRPr="002B005F" w:rsidRDefault="00A95C1C" w:rsidP="007A106E">
            <w:pPr>
              <w:tabs>
                <w:tab w:val="left" w:pos="0"/>
              </w:tabs>
              <w:ind w:right="567"/>
              <w:jc w:val="right"/>
              <w:rPr>
                <w:rFonts w:ascii="Times New Roman" w:eastAsia="Times New Roman" w:hAnsi="Times New Roman" w:cs="Times New Roman"/>
              </w:rPr>
            </w:pPr>
            <w:r w:rsidRPr="00184037">
              <w:rPr>
                <w:rFonts w:ascii="Times New Roman" w:eastAsia="Times New Roman" w:hAnsi="Times New Roman" w:cs="Times New Roman"/>
                <w:sz w:val="24"/>
                <w:szCs w:val="24"/>
              </w:rPr>
              <w:t>59</w:t>
            </w:r>
          </w:p>
        </w:tc>
        <w:tc>
          <w:tcPr>
            <w:tcW w:w="2132" w:type="dxa"/>
          </w:tcPr>
          <w:p w14:paraId="61BEC139" w14:textId="77777777" w:rsidR="00A95C1C" w:rsidRPr="002B005F" w:rsidRDefault="00A95C1C" w:rsidP="007A106E">
            <w:pPr>
              <w:tabs>
                <w:tab w:val="left" w:pos="0"/>
              </w:tabs>
              <w:ind w:right="821"/>
              <w:jc w:val="right"/>
              <w:rPr>
                <w:rFonts w:ascii="Times New Roman" w:eastAsia="Times New Roman" w:hAnsi="Times New Roman" w:cs="Times New Roman"/>
              </w:rPr>
            </w:pPr>
            <w:r w:rsidRPr="002B005F">
              <w:rPr>
                <w:rFonts w:ascii="Times New Roman" w:eastAsia="Times New Roman" w:hAnsi="Times New Roman" w:cs="Times New Roman"/>
              </w:rPr>
              <w:t>14.39</w:t>
            </w:r>
          </w:p>
          <w:p w14:paraId="6E0780B8" w14:textId="77777777" w:rsidR="00A95C1C" w:rsidRPr="002B005F" w:rsidRDefault="00A95C1C" w:rsidP="007A106E">
            <w:pPr>
              <w:tabs>
                <w:tab w:val="left" w:pos="0"/>
              </w:tabs>
              <w:ind w:right="821"/>
              <w:jc w:val="right"/>
              <w:rPr>
                <w:rFonts w:ascii="Times New Roman" w:eastAsia="Times New Roman" w:hAnsi="Times New Roman" w:cs="Times New Roman"/>
              </w:rPr>
            </w:pPr>
            <w:r w:rsidRPr="002B005F">
              <w:rPr>
                <w:rFonts w:ascii="Times New Roman" w:eastAsia="Times New Roman" w:hAnsi="Times New Roman" w:cs="Times New Roman"/>
              </w:rPr>
              <w:t>18.22</w:t>
            </w:r>
          </w:p>
          <w:p w14:paraId="30E20AF4" w14:textId="77777777" w:rsidR="00A95C1C" w:rsidRPr="002B005F" w:rsidRDefault="00A95C1C" w:rsidP="007A106E">
            <w:pPr>
              <w:tabs>
                <w:tab w:val="left" w:pos="0"/>
              </w:tabs>
              <w:ind w:right="821"/>
              <w:jc w:val="right"/>
              <w:rPr>
                <w:rFonts w:ascii="Times New Roman" w:eastAsia="Times New Roman" w:hAnsi="Times New Roman" w:cs="Times New Roman"/>
              </w:rPr>
            </w:pPr>
            <w:r w:rsidRPr="002B005F">
              <w:rPr>
                <w:rFonts w:ascii="Times New Roman" w:eastAsia="Times New Roman" w:hAnsi="Times New Roman" w:cs="Times New Roman"/>
              </w:rPr>
              <w:t>30.14</w:t>
            </w:r>
          </w:p>
          <w:p w14:paraId="6ACB1312" w14:textId="77777777" w:rsidR="00A95C1C" w:rsidRPr="002B005F" w:rsidRDefault="00A95C1C" w:rsidP="007A106E">
            <w:pPr>
              <w:tabs>
                <w:tab w:val="left" w:pos="0"/>
              </w:tabs>
              <w:ind w:right="821"/>
              <w:jc w:val="right"/>
              <w:rPr>
                <w:rFonts w:ascii="Times New Roman" w:eastAsia="Times New Roman" w:hAnsi="Times New Roman" w:cs="Times New Roman"/>
              </w:rPr>
            </w:pPr>
            <w:r w:rsidRPr="002B005F">
              <w:rPr>
                <w:rFonts w:ascii="Times New Roman" w:eastAsia="Times New Roman" w:hAnsi="Times New Roman" w:cs="Times New Roman"/>
              </w:rPr>
              <w:t>36.45</w:t>
            </w:r>
          </w:p>
        </w:tc>
      </w:tr>
    </w:tbl>
    <w:p w14:paraId="36718EFA" w14:textId="77777777" w:rsidR="002760B2" w:rsidRPr="002B005F" w:rsidRDefault="002760B2" w:rsidP="00F860C7">
      <w:pPr>
        <w:tabs>
          <w:tab w:val="left" w:pos="0"/>
        </w:tabs>
        <w:autoSpaceDE w:val="0"/>
        <w:autoSpaceDN w:val="0"/>
        <w:adjustRightInd w:val="0"/>
        <w:spacing w:before="120" w:after="100" w:afterAutospacing="1" w:line="30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du chercheur.</w:t>
      </w:r>
    </w:p>
    <w:p w14:paraId="3D86E396" w14:textId="77777777" w:rsidR="002760B2" w:rsidRPr="004B1423" w:rsidRDefault="003753A0" w:rsidP="00F860C7">
      <w:pPr>
        <w:tabs>
          <w:tab w:val="left" w:pos="0"/>
        </w:tabs>
        <w:autoSpaceDE w:val="0"/>
        <w:autoSpaceDN w:val="0"/>
        <w:adjustRightInd w:val="0"/>
        <w:spacing w:before="100" w:beforeAutospacing="1" w:after="120" w:line="300" w:lineRule="auto"/>
        <w:ind w:firstLine="709"/>
        <w:rPr>
          <w:rFonts w:ascii="Times New Roman" w:hAnsi="Times New Roman" w:cs="Times New Roman"/>
          <w:spacing w:val="6"/>
          <w:sz w:val="24"/>
          <w:szCs w:val="24"/>
        </w:rPr>
      </w:pPr>
      <w:r w:rsidRPr="004B1423">
        <w:rPr>
          <w:rFonts w:ascii="Times New Roman" w:hAnsi="Times New Roman" w:cs="Times New Roman"/>
          <w:b/>
          <w:bCs/>
          <w:spacing w:val="6"/>
          <w:sz w:val="24"/>
          <w:szCs w:val="24"/>
        </w:rPr>
        <w:t>L</w:t>
      </w:r>
      <w:r w:rsidR="002760B2" w:rsidRPr="004B1423">
        <w:rPr>
          <w:rFonts w:ascii="Times New Roman" w:hAnsi="Times New Roman" w:cs="Times New Roman"/>
          <w:b/>
          <w:bCs/>
          <w:spacing w:val="6"/>
          <w:sz w:val="24"/>
          <w:szCs w:val="24"/>
        </w:rPr>
        <w:t>e tableau 33</w:t>
      </w:r>
      <w:r w:rsidR="002760B2" w:rsidRPr="004B1423">
        <w:rPr>
          <w:rFonts w:ascii="Times New Roman" w:hAnsi="Times New Roman" w:cs="Times New Roman"/>
          <w:spacing w:val="6"/>
          <w:sz w:val="24"/>
          <w:szCs w:val="24"/>
        </w:rPr>
        <w:t xml:space="preserve"> </w:t>
      </w:r>
      <w:r w:rsidRPr="004B1423">
        <w:rPr>
          <w:rFonts w:ascii="Times New Roman" w:hAnsi="Times New Roman" w:cs="Times New Roman"/>
          <w:spacing w:val="6"/>
          <w:sz w:val="24"/>
          <w:szCs w:val="24"/>
        </w:rPr>
        <w:t xml:space="preserve">montre que </w:t>
      </w:r>
      <w:r w:rsidR="002760B2" w:rsidRPr="004B1423">
        <w:rPr>
          <w:rFonts w:ascii="Times New Roman" w:hAnsi="Times New Roman" w:cs="Times New Roman"/>
          <w:spacing w:val="6"/>
          <w:sz w:val="24"/>
          <w:szCs w:val="24"/>
        </w:rPr>
        <w:t>les pays de l’Europe et d’autres pa</w:t>
      </w:r>
      <w:r w:rsidRPr="004B1423">
        <w:rPr>
          <w:rFonts w:ascii="Times New Roman" w:hAnsi="Times New Roman" w:cs="Times New Roman"/>
          <w:spacing w:val="6"/>
          <w:sz w:val="24"/>
          <w:szCs w:val="24"/>
        </w:rPr>
        <w:t>ys (principalement les pays de Sud-E</w:t>
      </w:r>
      <w:r w:rsidR="002760B2" w:rsidRPr="004B1423">
        <w:rPr>
          <w:rFonts w:ascii="Times New Roman" w:hAnsi="Times New Roman" w:cs="Times New Roman"/>
          <w:spacing w:val="6"/>
          <w:sz w:val="24"/>
          <w:szCs w:val="24"/>
        </w:rPr>
        <w:t xml:space="preserve">st de l’Asie) utilisent respectivement la </w:t>
      </w:r>
      <w:r w:rsidR="004A4E16" w:rsidRPr="004B1423">
        <w:rPr>
          <w:rFonts w:ascii="Times New Roman" w:hAnsi="Times New Roman" w:cs="Times New Roman"/>
          <w:i/>
          <w:iCs/>
          <w:spacing w:val="6"/>
          <w:sz w:val="24"/>
          <w:szCs w:val="24"/>
        </w:rPr>
        <w:t>moudaraba</w:t>
      </w:r>
      <w:r w:rsidR="002760B2" w:rsidRPr="004B1423">
        <w:rPr>
          <w:rFonts w:ascii="Times New Roman" w:hAnsi="Times New Roman" w:cs="Times New Roman"/>
          <w:spacing w:val="6"/>
          <w:sz w:val="24"/>
          <w:szCs w:val="24"/>
        </w:rPr>
        <w:t xml:space="preserve"> avec</w:t>
      </w:r>
      <w:r w:rsidRPr="004B1423">
        <w:rPr>
          <w:rFonts w:ascii="Times New Roman" w:hAnsi="Times New Roman" w:cs="Times New Roman"/>
          <w:spacing w:val="6"/>
          <w:sz w:val="24"/>
          <w:szCs w:val="24"/>
        </w:rPr>
        <w:t xml:space="preserve"> des moyennes de 27.65 et 32.50</w:t>
      </w:r>
      <w:r w:rsidR="002760B2" w:rsidRPr="004B1423">
        <w:rPr>
          <w:rFonts w:ascii="Times New Roman" w:hAnsi="Times New Roman" w:cs="Times New Roman"/>
          <w:spacing w:val="6"/>
          <w:sz w:val="24"/>
          <w:szCs w:val="24"/>
        </w:rPr>
        <w:t xml:space="preserve"> alors que l'Afrique (17,71) et le Moyen-Orient (16,74) ont moins de recours à la </w:t>
      </w:r>
      <w:r w:rsidR="004A4E16" w:rsidRPr="004B1423">
        <w:rPr>
          <w:rFonts w:ascii="Times New Roman" w:hAnsi="Times New Roman" w:cs="Times New Roman"/>
          <w:i/>
          <w:iCs/>
          <w:spacing w:val="6"/>
          <w:sz w:val="24"/>
          <w:szCs w:val="24"/>
        </w:rPr>
        <w:t>moudaraba</w:t>
      </w:r>
      <w:r w:rsidR="002760B2" w:rsidRPr="004B1423">
        <w:rPr>
          <w:rFonts w:ascii="Times New Roman" w:hAnsi="Times New Roman" w:cs="Times New Roman"/>
          <w:spacing w:val="6"/>
          <w:sz w:val="24"/>
          <w:szCs w:val="24"/>
        </w:rPr>
        <w:t xml:space="preserve">. Pour la </w:t>
      </w:r>
      <w:r w:rsidRPr="004B1423">
        <w:rPr>
          <w:rFonts w:ascii="Times New Roman" w:hAnsi="Times New Roman" w:cs="Times New Roman"/>
          <w:i/>
          <w:iCs/>
          <w:spacing w:val="6"/>
          <w:sz w:val="24"/>
          <w:szCs w:val="24"/>
        </w:rPr>
        <w:t>m</w:t>
      </w:r>
      <w:r w:rsidR="002760B2" w:rsidRPr="004B1423">
        <w:rPr>
          <w:rFonts w:ascii="Times New Roman" w:hAnsi="Times New Roman" w:cs="Times New Roman"/>
          <w:i/>
          <w:iCs/>
          <w:spacing w:val="6"/>
          <w:sz w:val="24"/>
          <w:szCs w:val="24"/>
        </w:rPr>
        <w:t>oucharaka</w:t>
      </w:r>
      <w:r w:rsidR="002760B2" w:rsidRPr="004B1423">
        <w:rPr>
          <w:rFonts w:ascii="Times New Roman" w:hAnsi="Times New Roman" w:cs="Times New Roman"/>
          <w:spacing w:val="6"/>
          <w:sz w:val="24"/>
          <w:szCs w:val="24"/>
        </w:rPr>
        <w:t>, le même résultat est obtenu. Ce contrat est beaucoup plus utilisé en Europe et dans d’autres pays. Cela devrait s'expliquer par les éc</w:t>
      </w:r>
      <w:r w:rsidRPr="004B1423">
        <w:rPr>
          <w:rFonts w:ascii="Times New Roman" w:hAnsi="Times New Roman" w:cs="Times New Roman"/>
          <w:spacing w:val="6"/>
          <w:sz w:val="24"/>
          <w:szCs w:val="24"/>
        </w:rPr>
        <w:t>onomies des régions en question</w:t>
      </w:r>
      <w:r w:rsidR="002760B2" w:rsidRPr="004B1423">
        <w:rPr>
          <w:rFonts w:ascii="Times New Roman" w:hAnsi="Times New Roman" w:cs="Times New Roman"/>
          <w:spacing w:val="6"/>
          <w:sz w:val="24"/>
          <w:szCs w:val="24"/>
        </w:rPr>
        <w:t xml:space="preserve"> qui sont caractérisées par le développement des marchés inter</w:t>
      </w:r>
      <w:r w:rsidR="00F93FC5" w:rsidRPr="004B1423">
        <w:rPr>
          <w:rFonts w:ascii="Times New Roman" w:hAnsi="Times New Roman" w:cs="Times New Roman"/>
          <w:spacing w:val="6"/>
          <w:sz w:val="24"/>
          <w:szCs w:val="24"/>
        </w:rPr>
        <w:t>bancaires et financiers, facilitant</w:t>
      </w:r>
      <w:r w:rsidR="002760B2" w:rsidRPr="004B1423">
        <w:rPr>
          <w:rFonts w:ascii="Times New Roman" w:hAnsi="Times New Roman" w:cs="Times New Roman"/>
          <w:spacing w:val="6"/>
          <w:sz w:val="24"/>
          <w:szCs w:val="24"/>
        </w:rPr>
        <w:t xml:space="preserve"> </w:t>
      </w:r>
      <w:r w:rsidR="00F93FC5" w:rsidRPr="004B1423">
        <w:rPr>
          <w:rFonts w:ascii="Times New Roman" w:hAnsi="Times New Roman" w:cs="Times New Roman"/>
          <w:spacing w:val="6"/>
          <w:sz w:val="24"/>
          <w:szCs w:val="24"/>
        </w:rPr>
        <w:t xml:space="preserve">ainsi </w:t>
      </w:r>
      <w:r w:rsidR="002760B2" w:rsidRPr="004B1423">
        <w:rPr>
          <w:rFonts w:ascii="Times New Roman" w:hAnsi="Times New Roman" w:cs="Times New Roman"/>
          <w:spacing w:val="6"/>
          <w:sz w:val="24"/>
          <w:szCs w:val="24"/>
        </w:rPr>
        <w:t xml:space="preserve">le recours aux financements des investissements sur la base de </w:t>
      </w:r>
      <w:r w:rsidR="004A4E16" w:rsidRPr="004B1423">
        <w:rPr>
          <w:rFonts w:ascii="Times New Roman" w:hAnsi="Times New Roman" w:cs="Times New Roman"/>
          <w:i/>
          <w:iCs/>
          <w:spacing w:val="6"/>
          <w:sz w:val="24"/>
          <w:szCs w:val="24"/>
        </w:rPr>
        <w:t>moudaraba</w:t>
      </w:r>
      <w:r w:rsidR="002760B2" w:rsidRPr="004B1423">
        <w:rPr>
          <w:rFonts w:ascii="Times New Roman" w:hAnsi="Times New Roman" w:cs="Times New Roman"/>
          <w:spacing w:val="6"/>
          <w:sz w:val="24"/>
          <w:szCs w:val="24"/>
        </w:rPr>
        <w:t xml:space="preserve"> et </w:t>
      </w:r>
      <w:r w:rsidR="002760B2" w:rsidRPr="004B1423">
        <w:rPr>
          <w:rFonts w:ascii="Times New Roman" w:hAnsi="Times New Roman" w:cs="Times New Roman"/>
          <w:i/>
          <w:iCs/>
          <w:spacing w:val="6"/>
          <w:sz w:val="24"/>
          <w:szCs w:val="24"/>
        </w:rPr>
        <w:t>moucharaka</w:t>
      </w:r>
      <w:r w:rsidR="002760B2" w:rsidRPr="004B1423">
        <w:rPr>
          <w:rFonts w:ascii="Times New Roman" w:hAnsi="Times New Roman" w:cs="Times New Roman"/>
          <w:spacing w:val="6"/>
          <w:sz w:val="24"/>
          <w:szCs w:val="24"/>
        </w:rPr>
        <w:t>.</w:t>
      </w:r>
    </w:p>
    <w:p w14:paraId="7AD5D85E" w14:textId="77777777" w:rsidR="002760B2" w:rsidRPr="006A69AC" w:rsidRDefault="004B1423" w:rsidP="00D66FFE">
      <w:pPr>
        <w:pStyle w:val="Titre5"/>
        <w:keepNext w:val="0"/>
        <w:keepLines w:val="0"/>
        <w:spacing w:before="120" w:after="120" w:line="300" w:lineRule="auto"/>
        <w:ind w:firstLine="709"/>
        <w:rPr>
          <w:rFonts w:asciiTheme="majorBidi" w:hAnsiTheme="majorBidi"/>
          <w:b/>
          <w:bCs/>
          <w:color w:val="auto"/>
          <w:sz w:val="24"/>
          <w:szCs w:val="24"/>
        </w:rPr>
      </w:pPr>
      <w:bookmarkStart w:id="1725" w:name="_Toc182298924"/>
      <w:r w:rsidRPr="006A69AC">
        <w:rPr>
          <w:rFonts w:asciiTheme="majorBidi" w:hAnsiTheme="majorBidi"/>
          <w:b/>
          <w:bCs/>
          <w:color w:val="auto"/>
          <w:sz w:val="24"/>
          <w:szCs w:val="24"/>
        </w:rPr>
        <w:t>2</w:t>
      </w:r>
      <w:r w:rsidR="00874432" w:rsidRPr="006A69AC">
        <w:rPr>
          <w:rFonts w:asciiTheme="majorBidi" w:hAnsiTheme="majorBidi"/>
          <w:b/>
          <w:bCs/>
          <w:color w:val="auto"/>
          <w:sz w:val="24"/>
          <w:szCs w:val="24"/>
        </w:rPr>
        <w:t xml:space="preserve">.2.1.3- </w:t>
      </w:r>
      <w:r w:rsidR="002760B2" w:rsidRPr="006A69AC">
        <w:rPr>
          <w:rFonts w:asciiTheme="majorBidi" w:hAnsiTheme="majorBidi"/>
          <w:b/>
          <w:bCs/>
          <w:color w:val="auto"/>
          <w:sz w:val="24"/>
          <w:szCs w:val="24"/>
        </w:rPr>
        <w:t>Perception des risques selon le type de c</w:t>
      </w:r>
      <w:r w:rsidR="00E7403C" w:rsidRPr="006A69AC">
        <w:rPr>
          <w:rFonts w:asciiTheme="majorBidi" w:hAnsiTheme="majorBidi"/>
          <w:b/>
          <w:bCs/>
          <w:color w:val="auto"/>
          <w:sz w:val="24"/>
          <w:szCs w:val="24"/>
        </w:rPr>
        <w:t>ontrat</w:t>
      </w:r>
      <w:bookmarkEnd w:id="1725"/>
    </w:p>
    <w:p w14:paraId="78DA770B" w14:textId="77777777" w:rsidR="00E32139" w:rsidRPr="004B1423" w:rsidRDefault="00E32139" w:rsidP="00F860C7">
      <w:pPr>
        <w:tabs>
          <w:tab w:val="left" w:pos="0"/>
        </w:tabs>
        <w:spacing w:before="120" w:line="300" w:lineRule="auto"/>
        <w:ind w:firstLine="709"/>
        <w:rPr>
          <w:rFonts w:ascii="Times New Roman" w:hAnsi="Times New Roman" w:cs="Times New Roman"/>
          <w:sz w:val="24"/>
          <w:szCs w:val="24"/>
        </w:rPr>
      </w:pPr>
      <w:r w:rsidRPr="004B1423">
        <w:rPr>
          <w:rFonts w:asciiTheme="majorBidi" w:hAnsiTheme="majorBidi" w:cstheme="majorBidi"/>
          <w:sz w:val="24"/>
          <w:szCs w:val="24"/>
        </w:rPr>
        <w:t xml:space="preserve">Pour la question 9 du questionnaire, nous cherchons à décrypter le produit financier islamique le plus risqué. </w:t>
      </w:r>
      <w:r w:rsidRPr="004B1423">
        <w:rPr>
          <w:rFonts w:asciiTheme="majorBidi" w:eastAsia="Times New Roman" w:hAnsiTheme="majorBidi" w:cstheme="majorBidi"/>
          <w:sz w:val="24"/>
          <w:szCs w:val="24"/>
        </w:rPr>
        <w:t xml:space="preserve">Comme le montre le </w:t>
      </w:r>
      <w:r w:rsidRPr="004B1423">
        <w:rPr>
          <w:rFonts w:asciiTheme="majorBidi" w:eastAsia="Times New Roman" w:hAnsiTheme="majorBidi" w:cstheme="majorBidi"/>
          <w:b/>
          <w:bCs/>
          <w:sz w:val="24"/>
          <w:szCs w:val="24"/>
        </w:rPr>
        <w:t>tableau 34</w:t>
      </w:r>
      <w:r w:rsidRPr="004B1423">
        <w:rPr>
          <w:rFonts w:asciiTheme="majorBidi" w:eastAsia="Times New Roman" w:hAnsiTheme="majorBidi" w:cstheme="majorBidi"/>
          <w:sz w:val="24"/>
          <w:szCs w:val="24"/>
        </w:rPr>
        <w:t>, les résultats du test de Friedman montrent que le classement de cette question est significatif, indiquant qu'il existe une différence significative entre les perceptions du risque pour les contrats islamiques.</w:t>
      </w:r>
    </w:p>
    <w:p w14:paraId="7015EC96" w14:textId="77777777" w:rsidR="004F541A" w:rsidRPr="004B1423" w:rsidRDefault="004F541A" w:rsidP="00F860C7">
      <w:pPr>
        <w:spacing w:line="300" w:lineRule="auto"/>
        <w:rPr>
          <w:rFonts w:ascii="Times New Roman" w:hAnsi="Times New Roman" w:cs="Times New Roman"/>
          <w:spacing w:val="6"/>
          <w:sz w:val="24"/>
          <w:szCs w:val="24"/>
        </w:rPr>
      </w:pPr>
      <w:r w:rsidRPr="004B1423">
        <w:rPr>
          <w:rFonts w:ascii="Times New Roman" w:hAnsi="Times New Roman" w:cs="Times New Roman"/>
          <w:spacing w:val="6"/>
          <w:sz w:val="24"/>
          <w:szCs w:val="24"/>
        </w:rPr>
        <w:br w:type="page"/>
      </w:r>
    </w:p>
    <w:p w14:paraId="14221F9F" w14:textId="6CB2F2DE" w:rsidR="000C1CC2" w:rsidRPr="0095278E" w:rsidRDefault="0095278E" w:rsidP="008C0622">
      <w:pPr>
        <w:pStyle w:val="Lgende"/>
        <w:spacing w:after="120"/>
        <w:jc w:val="center"/>
        <w:rPr>
          <w:rFonts w:asciiTheme="majorBidi" w:hAnsiTheme="majorBidi" w:cstheme="majorBidi"/>
          <w:color w:val="auto"/>
          <w:sz w:val="24"/>
          <w:szCs w:val="24"/>
        </w:rPr>
      </w:pPr>
      <w:bookmarkStart w:id="1726" w:name="_Toc115556102"/>
      <w:r w:rsidRPr="0095278E">
        <w:rPr>
          <w:rFonts w:asciiTheme="majorBidi" w:hAnsiTheme="majorBidi" w:cstheme="majorBidi"/>
          <w:color w:val="auto"/>
          <w:sz w:val="24"/>
          <w:szCs w:val="24"/>
        </w:rPr>
        <w:t xml:space="preserve">Tableau </w:t>
      </w:r>
      <w:r w:rsidR="00B544E5" w:rsidRPr="0095278E">
        <w:rPr>
          <w:rFonts w:asciiTheme="majorBidi" w:hAnsiTheme="majorBidi" w:cstheme="majorBidi"/>
          <w:color w:val="auto"/>
          <w:sz w:val="24"/>
          <w:szCs w:val="24"/>
        </w:rPr>
        <w:fldChar w:fldCharType="begin"/>
      </w:r>
      <w:r w:rsidRPr="0095278E">
        <w:rPr>
          <w:rFonts w:asciiTheme="majorBidi" w:hAnsiTheme="majorBidi" w:cstheme="majorBidi"/>
          <w:color w:val="auto"/>
          <w:sz w:val="24"/>
          <w:szCs w:val="24"/>
        </w:rPr>
        <w:instrText xml:space="preserve"> SEQ Tableau \* ARABIC </w:instrText>
      </w:r>
      <w:r w:rsidR="00B544E5" w:rsidRPr="0095278E">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34</w:t>
      </w:r>
      <w:r w:rsidR="00B544E5" w:rsidRPr="0095278E">
        <w:rPr>
          <w:rFonts w:asciiTheme="majorBidi" w:hAnsiTheme="majorBidi" w:cstheme="majorBidi"/>
          <w:color w:val="auto"/>
          <w:sz w:val="24"/>
          <w:szCs w:val="24"/>
        </w:rPr>
        <w:fldChar w:fldCharType="end"/>
      </w:r>
      <w:r w:rsidRPr="0095278E">
        <w:rPr>
          <w:rFonts w:asciiTheme="majorBidi" w:hAnsiTheme="majorBidi" w:cstheme="majorBidi"/>
          <w:color w:val="auto"/>
          <w:sz w:val="24"/>
          <w:szCs w:val="24"/>
        </w:rPr>
        <w:t>- Test K-W pour Q9 sur la gravité des risques selon la région</w:t>
      </w:r>
      <w:bookmarkEnd w:id="1726"/>
    </w:p>
    <w:tbl>
      <w:tblPr>
        <w:tblW w:w="90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1814"/>
        <w:gridCol w:w="2041"/>
        <w:gridCol w:w="964"/>
        <w:gridCol w:w="1531"/>
        <w:gridCol w:w="1188"/>
        <w:gridCol w:w="1500"/>
      </w:tblGrid>
      <w:tr w:rsidR="002760B2" w:rsidRPr="002B005F" w14:paraId="628AF704" w14:textId="77777777" w:rsidTr="000A08D4">
        <w:trPr>
          <w:trHeight w:val="454"/>
          <w:jc w:val="center"/>
        </w:trPr>
        <w:tc>
          <w:tcPr>
            <w:tcW w:w="1814" w:type="dxa"/>
            <w:vAlign w:val="center"/>
            <w:hideMark/>
          </w:tcPr>
          <w:p w14:paraId="7C23C43D" w14:textId="77777777" w:rsidR="002760B2" w:rsidRPr="002B005F" w:rsidRDefault="002760B2" w:rsidP="003E2F86">
            <w:pPr>
              <w:tabs>
                <w:tab w:val="left" w:pos="0"/>
              </w:tabs>
              <w:spacing w:line="240" w:lineRule="auto"/>
              <w:jc w:val="center"/>
              <w:rPr>
                <w:rFonts w:ascii="Times New Roman" w:eastAsia="Times New Roman" w:hAnsi="Times New Roman" w:cs="Times New Roman"/>
                <w:b/>
                <w:sz w:val="24"/>
                <w:szCs w:val="24"/>
              </w:rPr>
            </w:pPr>
            <w:r w:rsidRPr="002B005F">
              <w:rPr>
                <w:rFonts w:ascii="Times New Roman" w:eastAsia="Times New Roman" w:hAnsi="Times New Roman" w:cs="Times New Roman"/>
                <w:b/>
                <w:sz w:val="24"/>
                <w:szCs w:val="24"/>
              </w:rPr>
              <w:t>Contrat</w:t>
            </w:r>
          </w:p>
        </w:tc>
        <w:tc>
          <w:tcPr>
            <w:tcW w:w="2041" w:type="dxa"/>
            <w:vAlign w:val="center"/>
            <w:hideMark/>
          </w:tcPr>
          <w:p w14:paraId="032C622F" w14:textId="77777777" w:rsidR="002760B2" w:rsidRPr="002B005F" w:rsidRDefault="002760B2" w:rsidP="003E2F86">
            <w:pPr>
              <w:tabs>
                <w:tab w:val="left" w:pos="0"/>
              </w:tabs>
              <w:spacing w:line="240" w:lineRule="auto"/>
              <w:jc w:val="center"/>
              <w:rPr>
                <w:rFonts w:ascii="Times New Roman" w:eastAsia="Times New Roman" w:hAnsi="Times New Roman" w:cs="Times New Roman"/>
                <w:b/>
              </w:rPr>
            </w:pPr>
            <w:r w:rsidRPr="002B005F">
              <w:rPr>
                <w:rFonts w:ascii="Times New Roman" w:eastAsia="Times New Roman" w:hAnsi="Times New Roman" w:cs="Times New Roman"/>
                <w:b/>
              </w:rPr>
              <w:t>Région</w:t>
            </w:r>
          </w:p>
        </w:tc>
        <w:tc>
          <w:tcPr>
            <w:tcW w:w="964" w:type="dxa"/>
            <w:vAlign w:val="center"/>
            <w:hideMark/>
          </w:tcPr>
          <w:p w14:paraId="58BF48AA"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b/>
              </w:rPr>
            </w:pPr>
            <w:r w:rsidRPr="002B005F">
              <w:rPr>
                <w:rFonts w:ascii="Times New Roman" w:eastAsia="Times New Roman" w:hAnsi="Times New Roman" w:cs="Times New Roman"/>
                <w:b/>
              </w:rPr>
              <w:t>N</w:t>
            </w:r>
          </w:p>
        </w:tc>
        <w:tc>
          <w:tcPr>
            <w:tcW w:w="1531" w:type="dxa"/>
            <w:vAlign w:val="center"/>
            <w:hideMark/>
          </w:tcPr>
          <w:p w14:paraId="3D538650" w14:textId="77777777" w:rsidR="002760B2" w:rsidRPr="002B005F" w:rsidRDefault="002760B2" w:rsidP="003E2F86">
            <w:pPr>
              <w:tabs>
                <w:tab w:val="left" w:pos="0"/>
              </w:tabs>
              <w:spacing w:line="240" w:lineRule="auto"/>
              <w:jc w:val="center"/>
              <w:rPr>
                <w:rFonts w:ascii="Times New Roman" w:eastAsia="Times New Roman" w:hAnsi="Times New Roman" w:cs="Times New Roman"/>
                <w:b/>
              </w:rPr>
            </w:pPr>
            <w:r w:rsidRPr="002B005F">
              <w:rPr>
                <w:rFonts w:ascii="Times New Roman" w:eastAsia="Times New Roman" w:hAnsi="Times New Roman" w:cs="Times New Roman"/>
                <w:b/>
              </w:rPr>
              <w:t>Test K-W</w:t>
            </w:r>
          </w:p>
        </w:tc>
        <w:tc>
          <w:tcPr>
            <w:tcW w:w="1188" w:type="dxa"/>
            <w:tcBorders>
              <w:bottom w:val="single" w:sz="8" w:space="0" w:color="auto"/>
            </w:tcBorders>
            <w:vAlign w:val="center"/>
            <w:hideMark/>
          </w:tcPr>
          <w:p w14:paraId="485492C3" w14:textId="77777777" w:rsidR="002760B2" w:rsidRPr="002B005F" w:rsidRDefault="002760B2" w:rsidP="003E2F86">
            <w:pPr>
              <w:tabs>
                <w:tab w:val="left" w:pos="0"/>
              </w:tabs>
              <w:spacing w:line="240" w:lineRule="auto"/>
              <w:jc w:val="center"/>
              <w:rPr>
                <w:rFonts w:ascii="Times New Roman" w:eastAsia="Times New Roman" w:hAnsi="Times New Roman" w:cs="Times New Roman"/>
                <w:b/>
              </w:rPr>
            </w:pPr>
            <w:r w:rsidRPr="002B005F">
              <w:rPr>
                <w:rFonts w:ascii="Times New Roman" w:eastAsia="Times New Roman" w:hAnsi="Times New Roman" w:cs="Times New Roman"/>
                <w:b/>
              </w:rPr>
              <w:t>Chi-deux</w:t>
            </w:r>
          </w:p>
        </w:tc>
        <w:tc>
          <w:tcPr>
            <w:tcW w:w="1500" w:type="dxa"/>
            <w:tcBorders>
              <w:bottom w:val="single" w:sz="8" w:space="0" w:color="auto"/>
            </w:tcBorders>
            <w:vAlign w:val="center"/>
            <w:hideMark/>
          </w:tcPr>
          <w:p w14:paraId="6F8F2BA9" w14:textId="77777777" w:rsidR="002760B2" w:rsidRPr="002B005F" w:rsidRDefault="002760B2" w:rsidP="003E2F86">
            <w:pPr>
              <w:tabs>
                <w:tab w:val="left" w:pos="0"/>
              </w:tabs>
              <w:spacing w:line="240" w:lineRule="auto"/>
              <w:jc w:val="center"/>
              <w:rPr>
                <w:rFonts w:ascii="Times New Roman" w:eastAsia="Times New Roman" w:hAnsi="Times New Roman" w:cs="Times New Roman"/>
                <w:b/>
              </w:rPr>
            </w:pPr>
            <w:r w:rsidRPr="002B005F">
              <w:rPr>
                <w:rFonts w:ascii="Times New Roman" w:eastAsia="Times New Roman" w:hAnsi="Times New Roman" w:cs="Times New Roman"/>
                <w:b/>
              </w:rPr>
              <w:t>Asymp. sig</w:t>
            </w:r>
          </w:p>
        </w:tc>
      </w:tr>
      <w:tr w:rsidR="002760B2" w:rsidRPr="002B005F" w14:paraId="6079B13A" w14:textId="77777777" w:rsidTr="00874432">
        <w:trPr>
          <w:trHeight w:val="397"/>
          <w:jc w:val="center"/>
        </w:trPr>
        <w:tc>
          <w:tcPr>
            <w:tcW w:w="1814" w:type="dxa"/>
            <w:vMerge w:val="restart"/>
            <w:vAlign w:val="center"/>
          </w:tcPr>
          <w:p w14:paraId="083341C7" w14:textId="77777777" w:rsidR="002760B2" w:rsidRPr="002B005F" w:rsidRDefault="004A4E16" w:rsidP="00874432">
            <w:pPr>
              <w:spacing w:line="240" w:lineRule="auto"/>
              <w:ind w:left="284"/>
              <w:jc w:val="left"/>
              <w:rPr>
                <w:rFonts w:ascii="Times New Roman" w:eastAsia="Times New Roman" w:hAnsi="Times New Roman" w:cs="Times New Roman"/>
                <w:i/>
                <w:iCs/>
                <w:sz w:val="24"/>
                <w:szCs w:val="24"/>
              </w:rPr>
            </w:pPr>
            <w:r w:rsidRPr="002B005F">
              <w:rPr>
                <w:rFonts w:ascii="Times New Roman" w:eastAsia="Times New Roman" w:hAnsi="Times New Roman" w:cs="Times New Roman"/>
                <w:b/>
                <w:bCs/>
                <w:i/>
                <w:iCs/>
                <w:sz w:val="24"/>
                <w:szCs w:val="24"/>
              </w:rPr>
              <w:t>Moudaraba</w:t>
            </w:r>
          </w:p>
        </w:tc>
        <w:tc>
          <w:tcPr>
            <w:tcW w:w="2041" w:type="dxa"/>
            <w:vAlign w:val="center"/>
            <w:hideMark/>
          </w:tcPr>
          <w:p w14:paraId="316F234B"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Afrique</w:t>
            </w:r>
          </w:p>
        </w:tc>
        <w:tc>
          <w:tcPr>
            <w:tcW w:w="964" w:type="dxa"/>
            <w:vAlign w:val="center"/>
            <w:hideMark/>
          </w:tcPr>
          <w:p w14:paraId="0FA9D056"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30</w:t>
            </w:r>
          </w:p>
        </w:tc>
        <w:tc>
          <w:tcPr>
            <w:tcW w:w="1531" w:type="dxa"/>
            <w:vAlign w:val="center"/>
            <w:hideMark/>
          </w:tcPr>
          <w:p w14:paraId="00AA2FCA"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28.75</w:t>
            </w:r>
          </w:p>
        </w:tc>
        <w:tc>
          <w:tcPr>
            <w:tcW w:w="1188" w:type="dxa"/>
            <w:tcBorders>
              <w:bottom w:val="nil"/>
            </w:tcBorders>
            <w:vAlign w:val="center"/>
            <w:hideMark/>
          </w:tcPr>
          <w:p w14:paraId="1BF802DF"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11.554</w:t>
            </w:r>
          </w:p>
        </w:tc>
        <w:tc>
          <w:tcPr>
            <w:tcW w:w="1500" w:type="dxa"/>
            <w:tcBorders>
              <w:bottom w:val="nil"/>
            </w:tcBorders>
            <w:vAlign w:val="center"/>
            <w:hideMark/>
          </w:tcPr>
          <w:p w14:paraId="1492D81E"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0.350</w:t>
            </w:r>
          </w:p>
        </w:tc>
      </w:tr>
      <w:tr w:rsidR="002760B2" w:rsidRPr="002B005F" w14:paraId="709CEE24" w14:textId="77777777" w:rsidTr="00874432">
        <w:trPr>
          <w:trHeight w:val="397"/>
          <w:jc w:val="center"/>
        </w:trPr>
        <w:tc>
          <w:tcPr>
            <w:tcW w:w="1814" w:type="dxa"/>
            <w:vMerge/>
            <w:vAlign w:val="center"/>
          </w:tcPr>
          <w:p w14:paraId="3790FAB7"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hideMark/>
          </w:tcPr>
          <w:p w14:paraId="4FEF0B35"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Moyen-Orient</w:t>
            </w:r>
          </w:p>
        </w:tc>
        <w:tc>
          <w:tcPr>
            <w:tcW w:w="964" w:type="dxa"/>
            <w:vAlign w:val="center"/>
            <w:hideMark/>
          </w:tcPr>
          <w:p w14:paraId="208DCA18"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29</w:t>
            </w:r>
          </w:p>
        </w:tc>
        <w:tc>
          <w:tcPr>
            <w:tcW w:w="1531" w:type="dxa"/>
            <w:vAlign w:val="center"/>
            <w:hideMark/>
          </w:tcPr>
          <w:p w14:paraId="7A8ECC63"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38.63</w:t>
            </w:r>
          </w:p>
        </w:tc>
        <w:tc>
          <w:tcPr>
            <w:tcW w:w="2688" w:type="dxa"/>
            <w:gridSpan w:val="2"/>
            <w:vMerge w:val="restart"/>
            <w:tcBorders>
              <w:top w:val="nil"/>
            </w:tcBorders>
            <w:vAlign w:val="center"/>
          </w:tcPr>
          <w:p w14:paraId="5343F1B7"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5775028C" w14:textId="77777777" w:rsidTr="00874432">
        <w:trPr>
          <w:trHeight w:val="397"/>
          <w:jc w:val="center"/>
        </w:trPr>
        <w:tc>
          <w:tcPr>
            <w:tcW w:w="1814" w:type="dxa"/>
            <w:vMerge/>
            <w:vAlign w:val="center"/>
          </w:tcPr>
          <w:p w14:paraId="4F68D429"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hideMark/>
          </w:tcPr>
          <w:p w14:paraId="03A0171E"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Europe</w:t>
            </w:r>
          </w:p>
        </w:tc>
        <w:tc>
          <w:tcPr>
            <w:tcW w:w="964" w:type="dxa"/>
            <w:vAlign w:val="center"/>
            <w:hideMark/>
          </w:tcPr>
          <w:p w14:paraId="2FA394CB"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7</w:t>
            </w:r>
          </w:p>
        </w:tc>
        <w:tc>
          <w:tcPr>
            <w:tcW w:w="1531" w:type="dxa"/>
            <w:vAlign w:val="center"/>
            <w:hideMark/>
          </w:tcPr>
          <w:p w14:paraId="319000BF"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43.13</w:t>
            </w:r>
          </w:p>
        </w:tc>
        <w:tc>
          <w:tcPr>
            <w:tcW w:w="2688" w:type="dxa"/>
            <w:gridSpan w:val="2"/>
            <w:vMerge/>
            <w:vAlign w:val="center"/>
          </w:tcPr>
          <w:p w14:paraId="7C79606C"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2E71B286" w14:textId="77777777" w:rsidTr="00874432">
        <w:trPr>
          <w:trHeight w:val="397"/>
          <w:jc w:val="center"/>
        </w:trPr>
        <w:tc>
          <w:tcPr>
            <w:tcW w:w="1814" w:type="dxa"/>
            <w:vMerge/>
            <w:vAlign w:val="center"/>
            <w:hideMark/>
          </w:tcPr>
          <w:p w14:paraId="3EEFA3AE" w14:textId="77777777" w:rsidR="002760B2" w:rsidRPr="002B005F" w:rsidRDefault="002760B2" w:rsidP="00874432">
            <w:pPr>
              <w:spacing w:line="240" w:lineRule="auto"/>
              <w:ind w:left="284"/>
              <w:jc w:val="left"/>
              <w:rPr>
                <w:rFonts w:ascii="Times New Roman" w:eastAsia="Times New Roman" w:hAnsi="Times New Roman" w:cs="Times New Roman"/>
                <w:b/>
                <w:bCs/>
                <w:i/>
                <w:iCs/>
                <w:sz w:val="24"/>
                <w:szCs w:val="24"/>
              </w:rPr>
            </w:pPr>
          </w:p>
        </w:tc>
        <w:tc>
          <w:tcPr>
            <w:tcW w:w="2041" w:type="dxa"/>
            <w:vAlign w:val="center"/>
            <w:hideMark/>
          </w:tcPr>
          <w:p w14:paraId="0A67167E"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Autres</w:t>
            </w:r>
          </w:p>
        </w:tc>
        <w:tc>
          <w:tcPr>
            <w:tcW w:w="964" w:type="dxa"/>
            <w:vAlign w:val="center"/>
            <w:hideMark/>
          </w:tcPr>
          <w:p w14:paraId="2FD68FCE"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13</w:t>
            </w:r>
          </w:p>
        </w:tc>
        <w:tc>
          <w:tcPr>
            <w:tcW w:w="1531" w:type="dxa"/>
            <w:vAlign w:val="center"/>
            <w:hideMark/>
          </w:tcPr>
          <w:p w14:paraId="555795DF"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54</w:t>
            </w:r>
            <w:r w:rsidR="003E2F86" w:rsidRPr="002B005F">
              <w:rPr>
                <w:rFonts w:ascii="Times New Roman" w:eastAsia="Times New Roman" w:hAnsi="Times New Roman" w:cs="Times New Roman"/>
              </w:rPr>
              <w:t>.00</w:t>
            </w:r>
          </w:p>
        </w:tc>
        <w:tc>
          <w:tcPr>
            <w:tcW w:w="2688" w:type="dxa"/>
            <w:gridSpan w:val="2"/>
            <w:vMerge/>
            <w:vAlign w:val="center"/>
          </w:tcPr>
          <w:p w14:paraId="1C1D6328"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03937D10" w14:textId="77777777" w:rsidTr="00874432">
        <w:trPr>
          <w:trHeight w:val="397"/>
          <w:jc w:val="center"/>
        </w:trPr>
        <w:tc>
          <w:tcPr>
            <w:tcW w:w="1814" w:type="dxa"/>
            <w:vMerge/>
            <w:vAlign w:val="center"/>
          </w:tcPr>
          <w:p w14:paraId="5ADA92F9"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hideMark/>
          </w:tcPr>
          <w:p w14:paraId="0E454190" w14:textId="77777777" w:rsidR="002760B2" w:rsidRPr="002B005F" w:rsidRDefault="002760B2" w:rsidP="001F539E">
            <w:pPr>
              <w:tabs>
                <w:tab w:val="left" w:pos="0"/>
              </w:tabs>
              <w:spacing w:line="240" w:lineRule="auto"/>
              <w:ind w:right="170"/>
              <w:jc w:val="right"/>
              <w:rPr>
                <w:rFonts w:ascii="Times New Roman" w:eastAsia="Times New Roman" w:hAnsi="Times New Roman" w:cs="Times New Roman"/>
                <w:b/>
                <w:bCs/>
              </w:rPr>
            </w:pPr>
            <w:r w:rsidRPr="002B005F">
              <w:rPr>
                <w:rFonts w:ascii="Times New Roman" w:eastAsia="Times New Roman" w:hAnsi="Times New Roman" w:cs="Times New Roman"/>
                <w:b/>
                <w:bCs/>
              </w:rPr>
              <w:t>Total</w:t>
            </w:r>
          </w:p>
        </w:tc>
        <w:tc>
          <w:tcPr>
            <w:tcW w:w="964" w:type="dxa"/>
            <w:vAlign w:val="center"/>
            <w:hideMark/>
          </w:tcPr>
          <w:p w14:paraId="11F0E265"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79</w:t>
            </w:r>
          </w:p>
        </w:tc>
        <w:tc>
          <w:tcPr>
            <w:tcW w:w="1531" w:type="dxa"/>
            <w:vAlign w:val="center"/>
          </w:tcPr>
          <w:p w14:paraId="6129EF31"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c>
          <w:tcPr>
            <w:tcW w:w="2688" w:type="dxa"/>
            <w:gridSpan w:val="2"/>
            <w:vMerge/>
            <w:tcBorders>
              <w:bottom w:val="single" w:sz="8" w:space="0" w:color="auto"/>
            </w:tcBorders>
            <w:vAlign w:val="center"/>
          </w:tcPr>
          <w:p w14:paraId="20CA14FA"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3921BFA4" w14:textId="77777777" w:rsidTr="00874432">
        <w:trPr>
          <w:trHeight w:val="397"/>
          <w:jc w:val="center"/>
        </w:trPr>
        <w:tc>
          <w:tcPr>
            <w:tcW w:w="1814" w:type="dxa"/>
            <w:vMerge w:val="restart"/>
            <w:vAlign w:val="center"/>
          </w:tcPr>
          <w:p w14:paraId="4C3171CE"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r w:rsidRPr="002B005F">
              <w:rPr>
                <w:rFonts w:ascii="Times New Roman" w:eastAsia="Times New Roman" w:hAnsi="Times New Roman" w:cs="Times New Roman"/>
                <w:b/>
                <w:bCs/>
                <w:i/>
                <w:iCs/>
                <w:sz w:val="24"/>
                <w:szCs w:val="24"/>
              </w:rPr>
              <w:t>Salam</w:t>
            </w:r>
          </w:p>
        </w:tc>
        <w:tc>
          <w:tcPr>
            <w:tcW w:w="2041" w:type="dxa"/>
            <w:vAlign w:val="center"/>
            <w:hideMark/>
          </w:tcPr>
          <w:p w14:paraId="1FE7BF02"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Afrique</w:t>
            </w:r>
          </w:p>
        </w:tc>
        <w:tc>
          <w:tcPr>
            <w:tcW w:w="964" w:type="dxa"/>
            <w:vAlign w:val="center"/>
            <w:hideMark/>
          </w:tcPr>
          <w:p w14:paraId="18977B08"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30</w:t>
            </w:r>
          </w:p>
        </w:tc>
        <w:tc>
          <w:tcPr>
            <w:tcW w:w="1531" w:type="dxa"/>
            <w:vAlign w:val="center"/>
            <w:hideMark/>
          </w:tcPr>
          <w:p w14:paraId="0657AA71"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33</w:t>
            </w:r>
            <w:r w:rsidR="003E2F86" w:rsidRPr="002B005F">
              <w:rPr>
                <w:rFonts w:ascii="Times New Roman" w:eastAsia="Times New Roman" w:hAnsi="Times New Roman" w:cs="Times New Roman"/>
              </w:rPr>
              <w:t>.00</w:t>
            </w:r>
          </w:p>
        </w:tc>
        <w:tc>
          <w:tcPr>
            <w:tcW w:w="1188" w:type="dxa"/>
            <w:tcBorders>
              <w:bottom w:val="nil"/>
            </w:tcBorders>
            <w:vAlign w:val="center"/>
            <w:hideMark/>
          </w:tcPr>
          <w:p w14:paraId="6C325DEE"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4.682</w:t>
            </w:r>
          </w:p>
        </w:tc>
        <w:tc>
          <w:tcPr>
            <w:tcW w:w="1500" w:type="dxa"/>
            <w:tcBorders>
              <w:bottom w:val="nil"/>
            </w:tcBorders>
            <w:vAlign w:val="center"/>
            <w:hideMark/>
          </w:tcPr>
          <w:p w14:paraId="634A6C18"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0.456</w:t>
            </w:r>
          </w:p>
        </w:tc>
      </w:tr>
      <w:tr w:rsidR="002760B2" w:rsidRPr="002B005F" w14:paraId="60B7676D" w14:textId="77777777" w:rsidTr="00874432">
        <w:trPr>
          <w:trHeight w:val="397"/>
          <w:jc w:val="center"/>
        </w:trPr>
        <w:tc>
          <w:tcPr>
            <w:tcW w:w="1814" w:type="dxa"/>
            <w:vMerge/>
            <w:vAlign w:val="center"/>
          </w:tcPr>
          <w:p w14:paraId="5EC1D822"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hideMark/>
          </w:tcPr>
          <w:p w14:paraId="4D8D7D39"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Moyen-Orient</w:t>
            </w:r>
          </w:p>
        </w:tc>
        <w:tc>
          <w:tcPr>
            <w:tcW w:w="964" w:type="dxa"/>
            <w:vAlign w:val="center"/>
            <w:hideMark/>
          </w:tcPr>
          <w:p w14:paraId="4809CAA0"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29</w:t>
            </w:r>
          </w:p>
        </w:tc>
        <w:tc>
          <w:tcPr>
            <w:tcW w:w="1531" w:type="dxa"/>
            <w:vAlign w:val="center"/>
            <w:hideMark/>
          </w:tcPr>
          <w:p w14:paraId="3AAF2A93"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32.26</w:t>
            </w:r>
          </w:p>
        </w:tc>
        <w:tc>
          <w:tcPr>
            <w:tcW w:w="2688" w:type="dxa"/>
            <w:gridSpan w:val="2"/>
            <w:vMerge w:val="restart"/>
            <w:tcBorders>
              <w:top w:val="nil"/>
            </w:tcBorders>
            <w:vAlign w:val="center"/>
          </w:tcPr>
          <w:p w14:paraId="6D012A0F"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1727584B" w14:textId="77777777" w:rsidTr="00874432">
        <w:trPr>
          <w:trHeight w:val="397"/>
          <w:jc w:val="center"/>
        </w:trPr>
        <w:tc>
          <w:tcPr>
            <w:tcW w:w="1814" w:type="dxa"/>
            <w:vMerge/>
            <w:vAlign w:val="center"/>
          </w:tcPr>
          <w:p w14:paraId="7707A2AD" w14:textId="77777777" w:rsidR="002760B2" w:rsidRPr="002B005F" w:rsidRDefault="002760B2" w:rsidP="00874432">
            <w:pPr>
              <w:spacing w:line="240" w:lineRule="auto"/>
              <w:ind w:left="284"/>
              <w:jc w:val="left"/>
              <w:rPr>
                <w:rFonts w:ascii="Times New Roman" w:eastAsia="Times New Roman" w:hAnsi="Times New Roman" w:cs="Times New Roman"/>
                <w:b/>
                <w:bCs/>
                <w:i/>
                <w:iCs/>
                <w:sz w:val="24"/>
                <w:szCs w:val="24"/>
              </w:rPr>
            </w:pPr>
          </w:p>
        </w:tc>
        <w:tc>
          <w:tcPr>
            <w:tcW w:w="2041" w:type="dxa"/>
            <w:vAlign w:val="center"/>
            <w:hideMark/>
          </w:tcPr>
          <w:p w14:paraId="7AF8BE21"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Europe</w:t>
            </w:r>
          </w:p>
        </w:tc>
        <w:tc>
          <w:tcPr>
            <w:tcW w:w="964" w:type="dxa"/>
            <w:vAlign w:val="center"/>
            <w:hideMark/>
          </w:tcPr>
          <w:p w14:paraId="33A2FEC9"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7</w:t>
            </w:r>
          </w:p>
        </w:tc>
        <w:tc>
          <w:tcPr>
            <w:tcW w:w="1531" w:type="dxa"/>
            <w:vAlign w:val="center"/>
            <w:hideMark/>
          </w:tcPr>
          <w:p w14:paraId="0F15362C"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37.29</w:t>
            </w:r>
          </w:p>
        </w:tc>
        <w:tc>
          <w:tcPr>
            <w:tcW w:w="2688" w:type="dxa"/>
            <w:gridSpan w:val="2"/>
            <w:vMerge/>
            <w:vAlign w:val="center"/>
          </w:tcPr>
          <w:p w14:paraId="3BCBDE99"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4BD4CC3C" w14:textId="77777777" w:rsidTr="00874432">
        <w:trPr>
          <w:trHeight w:val="397"/>
          <w:jc w:val="center"/>
        </w:trPr>
        <w:tc>
          <w:tcPr>
            <w:tcW w:w="1814" w:type="dxa"/>
            <w:vMerge/>
            <w:vAlign w:val="center"/>
            <w:hideMark/>
          </w:tcPr>
          <w:p w14:paraId="5B72FE60" w14:textId="77777777" w:rsidR="002760B2" w:rsidRPr="002B005F" w:rsidRDefault="002760B2" w:rsidP="00874432">
            <w:pPr>
              <w:spacing w:line="240" w:lineRule="auto"/>
              <w:ind w:left="284"/>
              <w:jc w:val="left"/>
              <w:rPr>
                <w:rFonts w:ascii="Times New Roman" w:eastAsia="Times New Roman" w:hAnsi="Times New Roman" w:cs="Times New Roman"/>
                <w:b/>
                <w:bCs/>
                <w:i/>
                <w:iCs/>
                <w:sz w:val="24"/>
                <w:szCs w:val="24"/>
              </w:rPr>
            </w:pPr>
          </w:p>
        </w:tc>
        <w:tc>
          <w:tcPr>
            <w:tcW w:w="2041" w:type="dxa"/>
            <w:vAlign w:val="center"/>
            <w:hideMark/>
          </w:tcPr>
          <w:p w14:paraId="65958D80"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Autres</w:t>
            </w:r>
          </w:p>
        </w:tc>
        <w:tc>
          <w:tcPr>
            <w:tcW w:w="964" w:type="dxa"/>
            <w:vAlign w:val="center"/>
            <w:hideMark/>
          </w:tcPr>
          <w:p w14:paraId="35626588"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13</w:t>
            </w:r>
          </w:p>
        </w:tc>
        <w:tc>
          <w:tcPr>
            <w:tcW w:w="1531" w:type="dxa"/>
            <w:vAlign w:val="center"/>
            <w:hideMark/>
          </w:tcPr>
          <w:p w14:paraId="1ADDD9D1"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33</w:t>
            </w:r>
            <w:r w:rsidR="003E2F86" w:rsidRPr="002B005F">
              <w:rPr>
                <w:rFonts w:ascii="Times New Roman" w:eastAsia="Times New Roman" w:hAnsi="Times New Roman" w:cs="Times New Roman"/>
              </w:rPr>
              <w:t>.00</w:t>
            </w:r>
          </w:p>
        </w:tc>
        <w:tc>
          <w:tcPr>
            <w:tcW w:w="2688" w:type="dxa"/>
            <w:gridSpan w:val="2"/>
            <w:vMerge/>
            <w:vAlign w:val="center"/>
          </w:tcPr>
          <w:p w14:paraId="4BF9DE5F"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6C93ADC7" w14:textId="77777777" w:rsidTr="00874432">
        <w:trPr>
          <w:trHeight w:val="397"/>
          <w:jc w:val="center"/>
        </w:trPr>
        <w:tc>
          <w:tcPr>
            <w:tcW w:w="1814" w:type="dxa"/>
            <w:vMerge/>
            <w:vAlign w:val="center"/>
          </w:tcPr>
          <w:p w14:paraId="3DABFEF3"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hideMark/>
          </w:tcPr>
          <w:p w14:paraId="0A60925D" w14:textId="77777777" w:rsidR="002760B2" w:rsidRPr="002B005F" w:rsidRDefault="002760B2" w:rsidP="001F539E">
            <w:pPr>
              <w:tabs>
                <w:tab w:val="left" w:pos="0"/>
              </w:tabs>
              <w:spacing w:line="240" w:lineRule="auto"/>
              <w:ind w:right="170"/>
              <w:jc w:val="right"/>
              <w:rPr>
                <w:rFonts w:ascii="Times New Roman" w:eastAsia="Times New Roman" w:hAnsi="Times New Roman" w:cs="Times New Roman"/>
                <w:b/>
                <w:bCs/>
              </w:rPr>
            </w:pPr>
            <w:r w:rsidRPr="002B005F">
              <w:rPr>
                <w:rFonts w:ascii="Times New Roman" w:eastAsia="Times New Roman" w:hAnsi="Times New Roman" w:cs="Times New Roman"/>
                <w:b/>
                <w:bCs/>
              </w:rPr>
              <w:t>Total</w:t>
            </w:r>
          </w:p>
        </w:tc>
        <w:tc>
          <w:tcPr>
            <w:tcW w:w="964" w:type="dxa"/>
            <w:vAlign w:val="center"/>
            <w:hideMark/>
          </w:tcPr>
          <w:p w14:paraId="35DBA458"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79</w:t>
            </w:r>
          </w:p>
        </w:tc>
        <w:tc>
          <w:tcPr>
            <w:tcW w:w="1531" w:type="dxa"/>
            <w:vAlign w:val="center"/>
            <w:hideMark/>
          </w:tcPr>
          <w:p w14:paraId="463CA467"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42.14</w:t>
            </w:r>
          </w:p>
        </w:tc>
        <w:tc>
          <w:tcPr>
            <w:tcW w:w="2688" w:type="dxa"/>
            <w:gridSpan w:val="2"/>
            <w:vMerge/>
            <w:tcBorders>
              <w:bottom w:val="single" w:sz="8" w:space="0" w:color="auto"/>
            </w:tcBorders>
            <w:vAlign w:val="center"/>
          </w:tcPr>
          <w:p w14:paraId="1F7BD47E"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0BBE6BF5" w14:textId="77777777" w:rsidTr="00874432">
        <w:trPr>
          <w:trHeight w:val="397"/>
          <w:jc w:val="center"/>
        </w:trPr>
        <w:tc>
          <w:tcPr>
            <w:tcW w:w="1814" w:type="dxa"/>
            <w:vMerge w:val="restart"/>
            <w:vAlign w:val="center"/>
          </w:tcPr>
          <w:p w14:paraId="787E9A7C"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r w:rsidRPr="002B005F">
              <w:rPr>
                <w:rFonts w:ascii="Times New Roman" w:eastAsia="Times New Roman" w:hAnsi="Times New Roman" w:cs="Times New Roman"/>
                <w:b/>
                <w:bCs/>
                <w:i/>
                <w:iCs/>
                <w:sz w:val="24"/>
                <w:szCs w:val="24"/>
              </w:rPr>
              <w:t>Moucharaka</w:t>
            </w:r>
          </w:p>
        </w:tc>
        <w:tc>
          <w:tcPr>
            <w:tcW w:w="2041" w:type="dxa"/>
            <w:vAlign w:val="center"/>
          </w:tcPr>
          <w:p w14:paraId="2BF9762B"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Afrique</w:t>
            </w:r>
          </w:p>
        </w:tc>
        <w:tc>
          <w:tcPr>
            <w:tcW w:w="964" w:type="dxa"/>
            <w:vAlign w:val="center"/>
          </w:tcPr>
          <w:p w14:paraId="1C37117C"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30</w:t>
            </w:r>
          </w:p>
        </w:tc>
        <w:tc>
          <w:tcPr>
            <w:tcW w:w="1531" w:type="dxa"/>
            <w:vAlign w:val="center"/>
          </w:tcPr>
          <w:p w14:paraId="07A68EED"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33.25</w:t>
            </w:r>
          </w:p>
        </w:tc>
        <w:tc>
          <w:tcPr>
            <w:tcW w:w="1188" w:type="dxa"/>
            <w:tcBorders>
              <w:bottom w:val="nil"/>
            </w:tcBorders>
            <w:vAlign w:val="center"/>
          </w:tcPr>
          <w:p w14:paraId="1BC5DB83"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4.637</w:t>
            </w:r>
          </w:p>
        </w:tc>
        <w:tc>
          <w:tcPr>
            <w:tcW w:w="1500" w:type="dxa"/>
            <w:tcBorders>
              <w:bottom w:val="nil"/>
            </w:tcBorders>
            <w:vAlign w:val="center"/>
          </w:tcPr>
          <w:p w14:paraId="1082FA06"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0.462</w:t>
            </w:r>
          </w:p>
        </w:tc>
      </w:tr>
      <w:tr w:rsidR="002760B2" w:rsidRPr="002B005F" w14:paraId="4381EC37" w14:textId="77777777" w:rsidTr="00874432">
        <w:trPr>
          <w:trHeight w:val="397"/>
          <w:jc w:val="center"/>
        </w:trPr>
        <w:tc>
          <w:tcPr>
            <w:tcW w:w="1814" w:type="dxa"/>
            <w:vMerge/>
            <w:vAlign w:val="center"/>
          </w:tcPr>
          <w:p w14:paraId="23405D30" w14:textId="77777777" w:rsidR="002760B2" w:rsidRPr="002B005F" w:rsidRDefault="002760B2" w:rsidP="00874432">
            <w:pPr>
              <w:spacing w:line="240" w:lineRule="auto"/>
              <w:ind w:left="284"/>
              <w:jc w:val="left"/>
              <w:rPr>
                <w:rFonts w:ascii="Times New Roman" w:eastAsia="Times New Roman" w:hAnsi="Times New Roman" w:cs="Times New Roman"/>
                <w:b/>
                <w:bCs/>
                <w:i/>
                <w:iCs/>
                <w:sz w:val="24"/>
                <w:szCs w:val="24"/>
              </w:rPr>
            </w:pPr>
          </w:p>
        </w:tc>
        <w:tc>
          <w:tcPr>
            <w:tcW w:w="2041" w:type="dxa"/>
            <w:vAlign w:val="center"/>
          </w:tcPr>
          <w:p w14:paraId="7743C357"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Moyen-Orient</w:t>
            </w:r>
          </w:p>
        </w:tc>
        <w:tc>
          <w:tcPr>
            <w:tcW w:w="964" w:type="dxa"/>
            <w:vAlign w:val="center"/>
          </w:tcPr>
          <w:p w14:paraId="7DA9D6B0"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29</w:t>
            </w:r>
          </w:p>
        </w:tc>
        <w:tc>
          <w:tcPr>
            <w:tcW w:w="1531" w:type="dxa"/>
            <w:vAlign w:val="center"/>
          </w:tcPr>
          <w:p w14:paraId="779E2854"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35.85</w:t>
            </w:r>
          </w:p>
        </w:tc>
        <w:tc>
          <w:tcPr>
            <w:tcW w:w="2688" w:type="dxa"/>
            <w:gridSpan w:val="2"/>
            <w:vMerge w:val="restart"/>
            <w:tcBorders>
              <w:top w:val="nil"/>
            </w:tcBorders>
            <w:vAlign w:val="center"/>
          </w:tcPr>
          <w:p w14:paraId="097E0B3E"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1FEC9AA6" w14:textId="77777777" w:rsidTr="00874432">
        <w:trPr>
          <w:trHeight w:val="397"/>
          <w:jc w:val="center"/>
        </w:trPr>
        <w:tc>
          <w:tcPr>
            <w:tcW w:w="1814" w:type="dxa"/>
            <w:vMerge/>
            <w:vAlign w:val="center"/>
          </w:tcPr>
          <w:p w14:paraId="6A4FD7A3"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tcPr>
          <w:p w14:paraId="14108A5E"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Europe</w:t>
            </w:r>
          </w:p>
        </w:tc>
        <w:tc>
          <w:tcPr>
            <w:tcW w:w="964" w:type="dxa"/>
            <w:vAlign w:val="center"/>
          </w:tcPr>
          <w:p w14:paraId="5998FF2E"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7</w:t>
            </w:r>
          </w:p>
        </w:tc>
        <w:tc>
          <w:tcPr>
            <w:tcW w:w="1531" w:type="dxa"/>
            <w:vAlign w:val="center"/>
          </w:tcPr>
          <w:p w14:paraId="5D82690B"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34.08</w:t>
            </w:r>
          </w:p>
        </w:tc>
        <w:tc>
          <w:tcPr>
            <w:tcW w:w="2688" w:type="dxa"/>
            <w:gridSpan w:val="2"/>
            <w:vMerge/>
            <w:vAlign w:val="center"/>
          </w:tcPr>
          <w:p w14:paraId="6F04A2F6"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0913DC89" w14:textId="77777777" w:rsidTr="00874432">
        <w:trPr>
          <w:trHeight w:val="397"/>
          <w:jc w:val="center"/>
        </w:trPr>
        <w:tc>
          <w:tcPr>
            <w:tcW w:w="1814" w:type="dxa"/>
            <w:vMerge/>
            <w:vAlign w:val="center"/>
          </w:tcPr>
          <w:p w14:paraId="52F59FB4"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tcPr>
          <w:p w14:paraId="33FCAE95"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Autres</w:t>
            </w:r>
          </w:p>
        </w:tc>
        <w:tc>
          <w:tcPr>
            <w:tcW w:w="964" w:type="dxa"/>
            <w:vAlign w:val="center"/>
          </w:tcPr>
          <w:p w14:paraId="7FC25D12"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13</w:t>
            </w:r>
          </w:p>
        </w:tc>
        <w:tc>
          <w:tcPr>
            <w:tcW w:w="1531" w:type="dxa"/>
            <w:vAlign w:val="center"/>
          </w:tcPr>
          <w:p w14:paraId="5E797EA9"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39.5</w:t>
            </w:r>
            <w:r w:rsidR="003E2F86" w:rsidRPr="002B005F">
              <w:rPr>
                <w:rFonts w:ascii="Times New Roman" w:eastAsia="Times New Roman" w:hAnsi="Times New Roman" w:cs="Times New Roman"/>
              </w:rPr>
              <w:t>0</w:t>
            </w:r>
          </w:p>
        </w:tc>
        <w:tc>
          <w:tcPr>
            <w:tcW w:w="2688" w:type="dxa"/>
            <w:gridSpan w:val="2"/>
            <w:vMerge/>
            <w:vAlign w:val="center"/>
          </w:tcPr>
          <w:p w14:paraId="75FD14CC"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3CFAC8B1" w14:textId="77777777" w:rsidTr="00874432">
        <w:trPr>
          <w:trHeight w:val="397"/>
          <w:jc w:val="center"/>
        </w:trPr>
        <w:tc>
          <w:tcPr>
            <w:tcW w:w="1814" w:type="dxa"/>
            <w:vMerge/>
            <w:vAlign w:val="center"/>
          </w:tcPr>
          <w:p w14:paraId="5A002226"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tcPr>
          <w:p w14:paraId="522AF65A" w14:textId="77777777" w:rsidR="002760B2" w:rsidRPr="002B005F" w:rsidRDefault="002760B2" w:rsidP="001F539E">
            <w:pPr>
              <w:tabs>
                <w:tab w:val="left" w:pos="0"/>
              </w:tabs>
              <w:spacing w:line="240" w:lineRule="auto"/>
              <w:ind w:right="170"/>
              <w:jc w:val="right"/>
              <w:rPr>
                <w:rFonts w:ascii="Times New Roman" w:eastAsia="Times New Roman" w:hAnsi="Times New Roman" w:cs="Times New Roman"/>
                <w:b/>
                <w:bCs/>
              </w:rPr>
            </w:pPr>
            <w:r w:rsidRPr="002B005F">
              <w:rPr>
                <w:rFonts w:ascii="Times New Roman" w:eastAsia="Times New Roman" w:hAnsi="Times New Roman" w:cs="Times New Roman"/>
                <w:b/>
                <w:bCs/>
              </w:rPr>
              <w:t>Total</w:t>
            </w:r>
          </w:p>
        </w:tc>
        <w:tc>
          <w:tcPr>
            <w:tcW w:w="964" w:type="dxa"/>
            <w:vAlign w:val="center"/>
          </w:tcPr>
          <w:p w14:paraId="5539BFC6"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79</w:t>
            </w:r>
          </w:p>
        </w:tc>
        <w:tc>
          <w:tcPr>
            <w:tcW w:w="1531" w:type="dxa"/>
            <w:vAlign w:val="center"/>
          </w:tcPr>
          <w:p w14:paraId="237EEA0B"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c>
          <w:tcPr>
            <w:tcW w:w="2688" w:type="dxa"/>
            <w:gridSpan w:val="2"/>
            <w:vMerge/>
            <w:tcBorders>
              <w:bottom w:val="single" w:sz="8" w:space="0" w:color="auto"/>
            </w:tcBorders>
            <w:vAlign w:val="center"/>
          </w:tcPr>
          <w:p w14:paraId="56E57D0A"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0CA75CBC" w14:textId="77777777" w:rsidTr="00874432">
        <w:trPr>
          <w:trHeight w:val="397"/>
          <w:jc w:val="center"/>
        </w:trPr>
        <w:tc>
          <w:tcPr>
            <w:tcW w:w="1814" w:type="dxa"/>
            <w:vMerge w:val="restart"/>
            <w:vAlign w:val="center"/>
          </w:tcPr>
          <w:p w14:paraId="7BF202E4"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r w:rsidRPr="002B005F">
              <w:rPr>
                <w:rFonts w:ascii="Times New Roman" w:eastAsia="Times New Roman" w:hAnsi="Times New Roman" w:cs="Times New Roman"/>
                <w:b/>
                <w:bCs/>
                <w:i/>
                <w:iCs/>
                <w:sz w:val="24"/>
                <w:szCs w:val="24"/>
              </w:rPr>
              <w:t>Istisna’</w:t>
            </w:r>
          </w:p>
        </w:tc>
        <w:tc>
          <w:tcPr>
            <w:tcW w:w="2041" w:type="dxa"/>
            <w:vAlign w:val="center"/>
          </w:tcPr>
          <w:p w14:paraId="0E65E7CE"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Afrique</w:t>
            </w:r>
          </w:p>
        </w:tc>
        <w:tc>
          <w:tcPr>
            <w:tcW w:w="964" w:type="dxa"/>
            <w:vAlign w:val="center"/>
          </w:tcPr>
          <w:p w14:paraId="767A90CA"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30</w:t>
            </w:r>
          </w:p>
        </w:tc>
        <w:tc>
          <w:tcPr>
            <w:tcW w:w="1531" w:type="dxa"/>
            <w:vAlign w:val="center"/>
          </w:tcPr>
          <w:p w14:paraId="5711961C"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36.75</w:t>
            </w:r>
          </w:p>
        </w:tc>
        <w:tc>
          <w:tcPr>
            <w:tcW w:w="1188" w:type="dxa"/>
            <w:tcBorders>
              <w:bottom w:val="nil"/>
            </w:tcBorders>
            <w:vAlign w:val="center"/>
          </w:tcPr>
          <w:p w14:paraId="58B88C68" w14:textId="77777777" w:rsidR="002760B2" w:rsidRPr="002B005F" w:rsidRDefault="002760B2" w:rsidP="003E2F86">
            <w:pPr>
              <w:tabs>
                <w:tab w:val="left" w:pos="0"/>
              </w:tabs>
              <w:spacing w:line="240" w:lineRule="auto"/>
              <w:ind w:right="160"/>
              <w:jc w:val="center"/>
              <w:rPr>
                <w:rFonts w:ascii="Times New Roman" w:eastAsia="Times New Roman" w:hAnsi="Times New Roman" w:cs="Times New Roman"/>
              </w:rPr>
            </w:pPr>
            <w:r w:rsidRPr="002B005F">
              <w:rPr>
                <w:rFonts w:ascii="Times New Roman" w:eastAsia="Times New Roman" w:hAnsi="Times New Roman" w:cs="Times New Roman"/>
              </w:rPr>
              <w:t>3.503</w:t>
            </w:r>
          </w:p>
        </w:tc>
        <w:tc>
          <w:tcPr>
            <w:tcW w:w="1500" w:type="dxa"/>
            <w:tcBorders>
              <w:bottom w:val="nil"/>
            </w:tcBorders>
            <w:vAlign w:val="center"/>
          </w:tcPr>
          <w:p w14:paraId="3AEF62A0" w14:textId="77777777" w:rsidR="002760B2" w:rsidRPr="002B005F" w:rsidRDefault="002760B2" w:rsidP="003E2F86">
            <w:pPr>
              <w:tabs>
                <w:tab w:val="left" w:pos="0"/>
              </w:tabs>
              <w:spacing w:line="240" w:lineRule="auto"/>
              <w:ind w:right="160"/>
              <w:jc w:val="center"/>
              <w:rPr>
                <w:rFonts w:ascii="Times New Roman" w:eastAsia="Times New Roman" w:hAnsi="Times New Roman" w:cs="Times New Roman"/>
              </w:rPr>
            </w:pPr>
            <w:r w:rsidRPr="002B005F">
              <w:rPr>
                <w:rFonts w:ascii="Times New Roman" w:eastAsia="Times New Roman" w:hAnsi="Times New Roman" w:cs="Times New Roman"/>
              </w:rPr>
              <w:t>0.623</w:t>
            </w:r>
          </w:p>
        </w:tc>
      </w:tr>
      <w:tr w:rsidR="002760B2" w:rsidRPr="002B005F" w14:paraId="5233D1D7" w14:textId="77777777" w:rsidTr="00874432">
        <w:trPr>
          <w:trHeight w:val="397"/>
          <w:jc w:val="center"/>
        </w:trPr>
        <w:tc>
          <w:tcPr>
            <w:tcW w:w="1814" w:type="dxa"/>
            <w:vMerge/>
            <w:vAlign w:val="center"/>
          </w:tcPr>
          <w:p w14:paraId="0B9D4C27" w14:textId="77777777" w:rsidR="002760B2" w:rsidRPr="002B005F" w:rsidRDefault="002760B2" w:rsidP="00874432">
            <w:pPr>
              <w:spacing w:line="240" w:lineRule="auto"/>
              <w:ind w:left="284"/>
              <w:jc w:val="left"/>
              <w:rPr>
                <w:rFonts w:ascii="Times New Roman" w:eastAsia="Times New Roman" w:hAnsi="Times New Roman" w:cs="Times New Roman"/>
                <w:b/>
                <w:bCs/>
                <w:i/>
                <w:iCs/>
                <w:sz w:val="24"/>
                <w:szCs w:val="24"/>
              </w:rPr>
            </w:pPr>
          </w:p>
        </w:tc>
        <w:tc>
          <w:tcPr>
            <w:tcW w:w="2041" w:type="dxa"/>
            <w:vAlign w:val="center"/>
          </w:tcPr>
          <w:p w14:paraId="2C7F1BF5"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Moyen-Orient</w:t>
            </w:r>
          </w:p>
        </w:tc>
        <w:tc>
          <w:tcPr>
            <w:tcW w:w="964" w:type="dxa"/>
            <w:vAlign w:val="center"/>
          </w:tcPr>
          <w:p w14:paraId="23604ACA"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29</w:t>
            </w:r>
          </w:p>
        </w:tc>
        <w:tc>
          <w:tcPr>
            <w:tcW w:w="1531" w:type="dxa"/>
            <w:vAlign w:val="center"/>
          </w:tcPr>
          <w:p w14:paraId="4021F77B"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39.85</w:t>
            </w:r>
          </w:p>
        </w:tc>
        <w:tc>
          <w:tcPr>
            <w:tcW w:w="2688" w:type="dxa"/>
            <w:gridSpan w:val="2"/>
            <w:vMerge w:val="restart"/>
            <w:tcBorders>
              <w:top w:val="nil"/>
            </w:tcBorders>
            <w:vAlign w:val="center"/>
          </w:tcPr>
          <w:p w14:paraId="72200A30"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31803276" w14:textId="77777777" w:rsidTr="00874432">
        <w:trPr>
          <w:trHeight w:val="397"/>
          <w:jc w:val="center"/>
        </w:trPr>
        <w:tc>
          <w:tcPr>
            <w:tcW w:w="1814" w:type="dxa"/>
            <w:vMerge/>
            <w:vAlign w:val="center"/>
          </w:tcPr>
          <w:p w14:paraId="29060F6E"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tcPr>
          <w:p w14:paraId="688ABF22"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Europe</w:t>
            </w:r>
          </w:p>
        </w:tc>
        <w:tc>
          <w:tcPr>
            <w:tcW w:w="964" w:type="dxa"/>
            <w:vAlign w:val="center"/>
          </w:tcPr>
          <w:p w14:paraId="2DD362D4"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7</w:t>
            </w:r>
          </w:p>
        </w:tc>
        <w:tc>
          <w:tcPr>
            <w:tcW w:w="1531" w:type="dxa"/>
            <w:vAlign w:val="center"/>
          </w:tcPr>
          <w:p w14:paraId="218332F0"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33.05</w:t>
            </w:r>
          </w:p>
        </w:tc>
        <w:tc>
          <w:tcPr>
            <w:tcW w:w="2688" w:type="dxa"/>
            <w:gridSpan w:val="2"/>
            <w:vMerge/>
            <w:vAlign w:val="center"/>
          </w:tcPr>
          <w:p w14:paraId="4145E573"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7E02641F" w14:textId="77777777" w:rsidTr="00874432">
        <w:trPr>
          <w:trHeight w:val="397"/>
          <w:jc w:val="center"/>
        </w:trPr>
        <w:tc>
          <w:tcPr>
            <w:tcW w:w="1814" w:type="dxa"/>
            <w:vMerge/>
            <w:vAlign w:val="center"/>
          </w:tcPr>
          <w:p w14:paraId="1E1CAFDD"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tcPr>
          <w:p w14:paraId="4D936057"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Autres</w:t>
            </w:r>
          </w:p>
        </w:tc>
        <w:tc>
          <w:tcPr>
            <w:tcW w:w="964" w:type="dxa"/>
            <w:vAlign w:val="center"/>
          </w:tcPr>
          <w:p w14:paraId="29E3C625"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13</w:t>
            </w:r>
          </w:p>
        </w:tc>
        <w:tc>
          <w:tcPr>
            <w:tcW w:w="1531" w:type="dxa"/>
            <w:vAlign w:val="center"/>
          </w:tcPr>
          <w:p w14:paraId="2235396F"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36.75</w:t>
            </w:r>
          </w:p>
        </w:tc>
        <w:tc>
          <w:tcPr>
            <w:tcW w:w="2688" w:type="dxa"/>
            <w:gridSpan w:val="2"/>
            <w:vMerge/>
            <w:vAlign w:val="center"/>
          </w:tcPr>
          <w:p w14:paraId="6EE90F71"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4D5022D1" w14:textId="77777777" w:rsidTr="00874432">
        <w:trPr>
          <w:trHeight w:val="397"/>
          <w:jc w:val="center"/>
        </w:trPr>
        <w:tc>
          <w:tcPr>
            <w:tcW w:w="1814" w:type="dxa"/>
            <w:vMerge/>
            <w:vAlign w:val="center"/>
          </w:tcPr>
          <w:p w14:paraId="3CC8060D" w14:textId="77777777" w:rsidR="002760B2" w:rsidRPr="002B005F" w:rsidRDefault="002760B2" w:rsidP="00874432">
            <w:pPr>
              <w:spacing w:line="240" w:lineRule="auto"/>
              <w:ind w:left="284"/>
              <w:jc w:val="left"/>
              <w:rPr>
                <w:rFonts w:ascii="Times New Roman" w:eastAsia="Times New Roman" w:hAnsi="Times New Roman" w:cs="Times New Roman"/>
                <w:i/>
                <w:iCs/>
                <w:sz w:val="24"/>
                <w:szCs w:val="24"/>
              </w:rPr>
            </w:pPr>
          </w:p>
        </w:tc>
        <w:tc>
          <w:tcPr>
            <w:tcW w:w="2041" w:type="dxa"/>
            <w:vAlign w:val="center"/>
          </w:tcPr>
          <w:p w14:paraId="609D0640" w14:textId="77777777" w:rsidR="002760B2" w:rsidRPr="002B005F" w:rsidRDefault="002760B2" w:rsidP="001F539E">
            <w:pPr>
              <w:tabs>
                <w:tab w:val="left" w:pos="0"/>
              </w:tabs>
              <w:spacing w:line="240" w:lineRule="auto"/>
              <w:ind w:right="170"/>
              <w:jc w:val="right"/>
              <w:rPr>
                <w:rFonts w:ascii="Times New Roman" w:eastAsia="Times New Roman" w:hAnsi="Times New Roman" w:cs="Times New Roman"/>
                <w:b/>
                <w:bCs/>
              </w:rPr>
            </w:pPr>
            <w:r w:rsidRPr="002B005F">
              <w:rPr>
                <w:rFonts w:ascii="Times New Roman" w:eastAsia="Times New Roman" w:hAnsi="Times New Roman" w:cs="Times New Roman"/>
                <w:b/>
                <w:bCs/>
              </w:rPr>
              <w:t>Total</w:t>
            </w:r>
          </w:p>
        </w:tc>
        <w:tc>
          <w:tcPr>
            <w:tcW w:w="964" w:type="dxa"/>
            <w:vAlign w:val="center"/>
          </w:tcPr>
          <w:p w14:paraId="0305A3D0"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79</w:t>
            </w:r>
          </w:p>
        </w:tc>
        <w:tc>
          <w:tcPr>
            <w:tcW w:w="1531" w:type="dxa"/>
            <w:vAlign w:val="center"/>
          </w:tcPr>
          <w:p w14:paraId="0A6A1EE2"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c>
          <w:tcPr>
            <w:tcW w:w="2688" w:type="dxa"/>
            <w:gridSpan w:val="2"/>
            <w:vMerge/>
            <w:tcBorders>
              <w:bottom w:val="single" w:sz="8" w:space="0" w:color="auto"/>
            </w:tcBorders>
            <w:vAlign w:val="center"/>
          </w:tcPr>
          <w:p w14:paraId="242F800C"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31D92827" w14:textId="77777777" w:rsidTr="00874432">
        <w:trPr>
          <w:trHeight w:val="397"/>
          <w:jc w:val="center"/>
        </w:trPr>
        <w:tc>
          <w:tcPr>
            <w:tcW w:w="1814" w:type="dxa"/>
            <w:vMerge w:val="restart"/>
            <w:vAlign w:val="center"/>
          </w:tcPr>
          <w:p w14:paraId="16548E0C" w14:textId="77777777" w:rsidR="002760B2" w:rsidRPr="002B005F" w:rsidRDefault="002760B2" w:rsidP="00874432">
            <w:pPr>
              <w:spacing w:line="240" w:lineRule="auto"/>
              <w:ind w:left="284"/>
              <w:jc w:val="left"/>
              <w:rPr>
                <w:rFonts w:ascii="Times New Roman" w:eastAsia="Times New Roman" w:hAnsi="Times New Roman" w:cs="Times New Roman"/>
                <w:b/>
                <w:bCs/>
                <w:i/>
                <w:iCs/>
                <w:sz w:val="24"/>
                <w:szCs w:val="24"/>
              </w:rPr>
            </w:pPr>
            <w:r w:rsidRPr="002B005F">
              <w:rPr>
                <w:rFonts w:ascii="Times New Roman" w:eastAsia="Times New Roman" w:hAnsi="Times New Roman" w:cs="Times New Roman"/>
                <w:b/>
                <w:bCs/>
                <w:i/>
                <w:iCs/>
                <w:sz w:val="24"/>
                <w:szCs w:val="24"/>
              </w:rPr>
              <w:t>Mourabaha</w:t>
            </w:r>
          </w:p>
        </w:tc>
        <w:tc>
          <w:tcPr>
            <w:tcW w:w="2041" w:type="dxa"/>
            <w:vAlign w:val="center"/>
          </w:tcPr>
          <w:p w14:paraId="44DA238C"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Afrique</w:t>
            </w:r>
          </w:p>
        </w:tc>
        <w:tc>
          <w:tcPr>
            <w:tcW w:w="964" w:type="dxa"/>
            <w:vAlign w:val="center"/>
          </w:tcPr>
          <w:p w14:paraId="7F928CBE"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30</w:t>
            </w:r>
          </w:p>
        </w:tc>
        <w:tc>
          <w:tcPr>
            <w:tcW w:w="1531" w:type="dxa"/>
            <w:vAlign w:val="center"/>
          </w:tcPr>
          <w:p w14:paraId="342E61E4"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46.5</w:t>
            </w:r>
            <w:r w:rsidR="003E2F86" w:rsidRPr="002B005F">
              <w:rPr>
                <w:rFonts w:ascii="Times New Roman" w:eastAsia="Times New Roman" w:hAnsi="Times New Roman" w:cs="Times New Roman"/>
              </w:rPr>
              <w:t>0</w:t>
            </w:r>
          </w:p>
        </w:tc>
        <w:tc>
          <w:tcPr>
            <w:tcW w:w="1188" w:type="dxa"/>
            <w:tcBorders>
              <w:bottom w:val="nil"/>
            </w:tcBorders>
            <w:vAlign w:val="center"/>
          </w:tcPr>
          <w:p w14:paraId="726E2DE2" w14:textId="77777777" w:rsidR="002760B2" w:rsidRPr="002B005F" w:rsidRDefault="002760B2" w:rsidP="003E2F86">
            <w:pPr>
              <w:tabs>
                <w:tab w:val="left" w:pos="0"/>
              </w:tabs>
              <w:spacing w:line="240" w:lineRule="auto"/>
              <w:ind w:right="160"/>
              <w:jc w:val="center"/>
              <w:rPr>
                <w:rFonts w:ascii="Times New Roman" w:eastAsia="Times New Roman" w:hAnsi="Times New Roman" w:cs="Times New Roman"/>
              </w:rPr>
            </w:pPr>
            <w:r w:rsidRPr="002B005F">
              <w:rPr>
                <w:rFonts w:ascii="Times New Roman" w:eastAsia="Times New Roman" w:hAnsi="Times New Roman" w:cs="Times New Roman"/>
              </w:rPr>
              <w:t>6.413</w:t>
            </w:r>
          </w:p>
        </w:tc>
        <w:tc>
          <w:tcPr>
            <w:tcW w:w="1500" w:type="dxa"/>
            <w:tcBorders>
              <w:bottom w:val="nil"/>
            </w:tcBorders>
            <w:vAlign w:val="center"/>
          </w:tcPr>
          <w:p w14:paraId="07E330F0" w14:textId="77777777" w:rsidR="002760B2" w:rsidRPr="002B005F" w:rsidRDefault="002760B2" w:rsidP="003E2F86">
            <w:pPr>
              <w:tabs>
                <w:tab w:val="left" w:pos="0"/>
              </w:tabs>
              <w:spacing w:line="240" w:lineRule="auto"/>
              <w:ind w:right="160"/>
              <w:jc w:val="center"/>
              <w:rPr>
                <w:rFonts w:ascii="Times New Roman" w:eastAsia="Times New Roman" w:hAnsi="Times New Roman" w:cs="Times New Roman"/>
              </w:rPr>
            </w:pPr>
            <w:r w:rsidRPr="002B005F">
              <w:rPr>
                <w:rFonts w:ascii="Times New Roman" w:eastAsia="Times New Roman" w:hAnsi="Times New Roman" w:cs="Times New Roman"/>
              </w:rPr>
              <w:t>0.041</w:t>
            </w:r>
          </w:p>
        </w:tc>
      </w:tr>
      <w:tr w:rsidR="002760B2" w:rsidRPr="002B005F" w14:paraId="5358A74C" w14:textId="77777777" w:rsidTr="000A08D4">
        <w:trPr>
          <w:trHeight w:val="397"/>
          <w:jc w:val="center"/>
        </w:trPr>
        <w:tc>
          <w:tcPr>
            <w:tcW w:w="1814" w:type="dxa"/>
            <w:vMerge/>
            <w:vAlign w:val="center"/>
          </w:tcPr>
          <w:p w14:paraId="72E62626" w14:textId="77777777" w:rsidR="002760B2" w:rsidRPr="002B005F" w:rsidRDefault="002760B2" w:rsidP="003E2F86">
            <w:pPr>
              <w:tabs>
                <w:tab w:val="left" w:pos="0"/>
              </w:tabs>
              <w:spacing w:line="240" w:lineRule="auto"/>
              <w:jc w:val="center"/>
              <w:rPr>
                <w:rFonts w:ascii="Times New Roman" w:eastAsia="Times New Roman" w:hAnsi="Times New Roman" w:cs="Times New Roman"/>
                <w:b/>
                <w:bCs/>
                <w:sz w:val="24"/>
                <w:szCs w:val="24"/>
              </w:rPr>
            </w:pPr>
          </w:p>
        </w:tc>
        <w:tc>
          <w:tcPr>
            <w:tcW w:w="2041" w:type="dxa"/>
            <w:vAlign w:val="center"/>
          </w:tcPr>
          <w:p w14:paraId="025272AD"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Moyen-Orient</w:t>
            </w:r>
          </w:p>
        </w:tc>
        <w:tc>
          <w:tcPr>
            <w:tcW w:w="964" w:type="dxa"/>
            <w:vAlign w:val="center"/>
          </w:tcPr>
          <w:p w14:paraId="3005F57F"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29</w:t>
            </w:r>
          </w:p>
        </w:tc>
        <w:tc>
          <w:tcPr>
            <w:tcW w:w="1531" w:type="dxa"/>
            <w:vAlign w:val="center"/>
          </w:tcPr>
          <w:p w14:paraId="6FA7C7C7"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37.4</w:t>
            </w:r>
            <w:r w:rsidR="003E2F86" w:rsidRPr="002B005F">
              <w:rPr>
                <w:rFonts w:ascii="Times New Roman" w:eastAsia="Times New Roman" w:hAnsi="Times New Roman" w:cs="Times New Roman"/>
              </w:rPr>
              <w:t>0</w:t>
            </w:r>
          </w:p>
        </w:tc>
        <w:tc>
          <w:tcPr>
            <w:tcW w:w="2688" w:type="dxa"/>
            <w:gridSpan w:val="2"/>
            <w:vMerge w:val="restart"/>
            <w:tcBorders>
              <w:top w:val="nil"/>
            </w:tcBorders>
            <w:vAlign w:val="center"/>
          </w:tcPr>
          <w:p w14:paraId="12A80872"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6B497AE3" w14:textId="77777777" w:rsidTr="001F539E">
        <w:trPr>
          <w:trHeight w:val="397"/>
          <w:jc w:val="center"/>
        </w:trPr>
        <w:tc>
          <w:tcPr>
            <w:tcW w:w="1814" w:type="dxa"/>
            <w:vMerge/>
            <w:vAlign w:val="center"/>
          </w:tcPr>
          <w:p w14:paraId="0B16FD0F" w14:textId="77777777" w:rsidR="002760B2" w:rsidRPr="002B005F" w:rsidRDefault="002760B2" w:rsidP="003E2F86">
            <w:pPr>
              <w:tabs>
                <w:tab w:val="left" w:pos="0"/>
              </w:tabs>
              <w:spacing w:line="240" w:lineRule="auto"/>
              <w:jc w:val="center"/>
              <w:rPr>
                <w:rFonts w:ascii="Times New Roman" w:eastAsia="Times New Roman" w:hAnsi="Times New Roman" w:cs="Times New Roman"/>
                <w:sz w:val="24"/>
                <w:szCs w:val="24"/>
              </w:rPr>
            </w:pPr>
          </w:p>
        </w:tc>
        <w:tc>
          <w:tcPr>
            <w:tcW w:w="2041" w:type="dxa"/>
            <w:vAlign w:val="center"/>
          </w:tcPr>
          <w:p w14:paraId="0BF6D1E3"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Europe</w:t>
            </w:r>
          </w:p>
        </w:tc>
        <w:tc>
          <w:tcPr>
            <w:tcW w:w="964" w:type="dxa"/>
            <w:vAlign w:val="center"/>
          </w:tcPr>
          <w:p w14:paraId="16DEB61A"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7</w:t>
            </w:r>
          </w:p>
        </w:tc>
        <w:tc>
          <w:tcPr>
            <w:tcW w:w="1531" w:type="dxa"/>
            <w:vAlign w:val="center"/>
          </w:tcPr>
          <w:p w14:paraId="78FCC59B"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33.21</w:t>
            </w:r>
          </w:p>
        </w:tc>
        <w:tc>
          <w:tcPr>
            <w:tcW w:w="2688" w:type="dxa"/>
            <w:gridSpan w:val="2"/>
            <w:vMerge/>
            <w:vAlign w:val="center"/>
          </w:tcPr>
          <w:p w14:paraId="1435B410"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077AC85D" w14:textId="77777777" w:rsidTr="001F539E">
        <w:trPr>
          <w:trHeight w:val="397"/>
          <w:jc w:val="center"/>
        </w:trPr>
        <w:tc>
          <w:tcPr>
            <w:tcW w:w="1814" w:type="dxa"/>
            <w:vMerge/>
            <w:vAlign w:val="center"/>
          </w:tcPr>
          <w:p w14:paraId="7CFC55B1" w14:textId="77777777" w:rsidR="002760B2" w:rsidRPr="002B005F" w:rsidRDefault="002760B2" w:rsidP="003E2F86">
            <w:pPr>
              <w:tabs>
                <w:tab w:val="left" w:pos="0"/>
              </w:tabs>
              <w:spacing w:line="240" w:lineRule="auto"/>
              <w:jc w:val="center"/>
              <w:rPr>
                <w:rFonts w:ascii="Times New Roman" w:eastAsia="Times New Roman" w:hAnsi="Times New Roman" w:cs="Times New Roman"/>
                <w:sz w:val="24"/>
                <w:szCs w:val="24"/>
              </w:rPr>
            </w:pPr>
          </w:p>
        </w:tc>
        <w:tc>
          <w:tcPr>
            <w:tcW w:w="2041" w:type="dxa"/>
            <w:vAlign w:val="center"/>
          </w:tcPr>
          <w:p w14:paraId="7770519F" w14:textId="77777777" w:rsidR="002760B2" w:rsidRPr="002B005F" w:rsidRDefault="002760B2" w:rsidP="003E2F86">
            <w:pPr>
              <w:tabs>
                <w:tab w:val="left" w:pos="0"/>
              </w:tabs>
              <w:spacing w:line="240" w:lineRule="auto"/>
              <w:ind w:left="170"/>
              <w:jc w:val="left"/>
              <w:rPr>
                <w:rFonts w:ascii="Times New Roman" w:eastAsia="Times New Roman" w:hAnsi="Times New Roman" w:cs="Times New Roman"/>
              </w:rPr>
            </w:pPr>
            <w:r w:rsidRPr="002B005F">
              <w:rPr>
                <w:rFonts w:ascii="Times New Roman" w:eastAsia="Times New Roman" w:hAnsi="Times New Roman" w:cs="Times New Roman"/>
              </w:rPr>
              <w:t>Autres</w:t>
            </w:r>
          </w:p>
        </w:tc>
        <w:tc>
          <w:tcPr>
            <w:tcW w:w="964" w:type="dxa"/>
            <w:vAlign w:val="center"/>
          </w:tcPr>
          <w:p w14:paraId="2AF83760"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13</w:t>
            </w:r>
          </w:p>
        </w:tc>
        <w:tc>
          <w:tcPr>
            <w:tcW w:w="1531" w:type="dxa"/>
            <w:vAlign w:val="center"/>
          </w:tcPr>
          <w:p w14:paraId="0F712609"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r w:rsidRPr="002B005F">
              <w:rPr>
                <w:rFonts w:ascii="Times New Roman" w:eastAsia="Times New Roman" w:hAnsi="Times New Roman" w:cs="Times New Roman"/>
              </w:rPr>
              <w:t>46.5</w:t>
            </w:r>
            <w:r w:rsidR="003E2F86" w:rsidRPr="002B005F">
              <w:rPr>
                <w:rFonts w:ascii="Times New Roman" w:eastAsia="Times New Roman" w:hAnsi="Times New Roman" w:cs="Times New Roman"/>
              </w:rPr>
              <w:t>0</w:t>
            </w:r>
          </w:p>
        </w:tc>
        <w:tc>
          <w:tcPr>
            <w:tcW w:w="2688" w:type="dxa"/>
            <w:gridSpan w:val="2"/>
            <w:vMerge/>
            <w:vAlign w:val="center"/>
          </w:tcPr>
          <w:p w14:paraId="02CCD7AD"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2760B2" w:rsidRPr="002B005F" w14:paraId="5D1356D2" w14:textId="77777777" w:rsidTr="001F539E">
        <w:trPr>
          <w:trHeight w:val="397"/>
          <w:jc w:val="center"/>
        </w:trPr>
        <w:tc>
          <w:tcPr>
            <w:tcW w:w="1814" w:type="dxa"/>
            <w:vMerge/>
            <w:tcBorders>
              <w:bottom w:val="single" w:sz="8" w:space="0" w:color="auto"/>
            </w:tcBorders>
            <w:vAlign w:val="center"/>
          </w:tcPr>
          <w:p w14:paraId="0C655A54" w14:textId="77777777" w:rsidR="002760B2" w:rsidRPr="002B005F" w:rsidRDefault="002760B2" w:rsidP="003E2F86">
            <w:pPr>
              <w:tabs>
                <w:tab w:val="left" w:pos="0"/>
              </w:tabs>
              <w:spacing w:line="240" w:lineRule="auto"/>
              <w:jc w:val="center"/>
              <w:rPr>
                <w:rFonts w:ascii="Times New Roman" w:eastAsia="Times New Roman" w:hAnsi="Times New Roman" w:cs="Times New Roman"/>
                <w:sz w:val="24"/>
                <w:szCs w:val="24"/>
              </w:rPr>
            </w:pPr>
          </w:p>
        </w:tc>
        <w:tc>
          <w:tcPr>
            <w:tcW w:w="2041" w:type="dxa"/>
            <w:tcBorders>
              <w:bottom w:val="single" w:sz="8" w:space="0" w:color="auto"/>
            </w:tcBorders>
            <w:vAlign w:val="center"/>
          </w:tcPr>
          <w:p w14:paraId="2746F803" w14:textId="77777777" w:rsidR="002760B2" w:rsidRPr="002B005F" w:rsidRDefault="002760B2" w:rsidP="001F539E">
            <w:pPr>
              <w:tabs>
                <w:tab w:val="left" w:pos="0"/>
              </w:tabs>
              <w:spacing w:line="240" w:lineRule="auto"/>
              <w:ind w:right="170"/>
              <w:jc w:val="right"/>
              <w:rPr>
                <w:rFonts w:ascii="Times New Roman" w:eastAsia="Times New Roman" w:hAnsi="Times New Roman" w:cs="Times New Roman"/>
                <w:b/>
                <w:bCs/>
              </w:rPr>
            </w:pPr>
            <w:r w:rsidRPr="002B005F">
              <w:rPr>
                <w:rFonts w:ascii="Times New Roman" w:eastAsia="Times New Roman" w:hAnsi="Times New Roman" w:cs="Times New Roman"/>
                <w:b/>
                <w:bCs/>
              </w:rPr>
              <w:t>Total</w:t>
            </w:r>
          </w:p>
        </w:tc>
        <w:tc>
          <w:tcPr>
            <w:tcW w:w="964" w:type="dxa"/>
            <w:tcBorders>
              <w:bottom w:val="single" w:sz="8" w:space="0" w:color="auto"/>
            </w:tcBorders>
            <w:vAlign w:val="center"/>
          </w:tcPr>
          <w:p w14:paraId="68A55BD0" w14:textId="77777777" w:rsidR="002760B2" w:rsidRPr="002B005F" w:rsidRDefault="002760B2" w:rsidP="001F539E">
            <w:pPr>
              <w:tabs>
                <w:tab w:val="left" w:pos="0"/>
              </w:tabs>
              <w:spacing w:line="240" w:lineRule="auto"/>
              <w:ind w:right="397"/>
              <w:jc w:val="right"/>
              <w:rPr>
                <w:rFonts w:ascii="Times New Roman" w:eastAsia="Times New Roman" w:hAnsi="Times New Roman" w:cs="Times New Roman"/>
              </w:rPr>
            </w:pPr>
            <w:r w:rsidRPr="002B005F">
              <w:rPr>
                <w:rFonts w:ascii="Times New Roman" w:eastAsia="Times New Roman" w:hAnsi="Times New Roman" w:cs="Times New Roman"/>
              </w:rPr>
              <w:t>79</w:t>
            </w:r>
          </w:p>
        </w:tc>
        <w:tc>
          <w:tcPr>
            <w:tcW w:w="1531" w:type="dxa"/>
            <w:vAlign w:val="center"/>
          </w:tcPr>
          <w:p w14:paraId="2AC033DF"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c>
          <w:tcPr>
            <w:tcW w:w="2688" w:type="dxa"/>
            <w:gridSpan w:val="2"/>
            <w:vMerge/>
            <w:vAlign w:val="center"/>
          </w:tcPr>
          <w:p w14:paraId="2A92CEC6" w14:textId="77777777" w:rsidR="002760B2" w:rsidRPr="002B005F" w:rsidRDefault="002760B2" w:rsidP="003E2F86">
            <w:pPr>
              <w:tabs>
                <w:tab w:val="left" w:pos="0"/>
              </w:tabs>
              <w:spacing w:line="240" w:lineRule="auto"/>
              <w:jc w:val="center"/>
              <w:rPr>
                <w:rFonts w:ascii="Times New Roman" w:eastAsia="Times New Roman" w:hAnsi="Times New Roman" w:cs="Times New Roman"/>
              </w:rPr>
            </w:pPr>
          </w:p>
        </w:tc>
      </w:tr>
      <w:tr w:rsidR="001F539E" w:rsidRPr="002B005F" w14:paraId="7A35568E" w14:textId="77777777" w:rsidTr="007C68EE">
        <w:trPr>
          <w:trHeight w:val="397"/>
          <w:jc w:val="center"/>
        </w:trPr>
        <w:tc>
          <w:tcPr>
            <w:tcW w:w="1814" w:type="dxa"/>
            <w:tcBorders>
              <w:bottom w:val="single" w:sz="8" w:space="0" w:color="auto"/>
            </w:tcBorders>
            <w:vAlign w:val="center"/>
          </w:tcPr>
          <w:p w14:paraId="49F6AEC6" w14:textId="77777777" w:rsidR="001F539E" w:rsidRPr="002B005F" w:rsidRDefault="001F539E" w:rsidP="007C68EE">
            <w:pPr>
              <w:tabs>
                <w:tab w:val="left" w:pos="0"/>
              </w:tabs>
              <w:spacing w:line="240" w:lineRule="auto"/>
              <w:jc w:val="center"/>
              <w:rPr>
                <w:rFonts w:ascii="Times New Roman" w:eastAsia="Times New Roman" w:hAnsi="Times New Roman" w:cs="Times New Roman"/>
                <w:b/>
                <w:bCs/>
                <w:sz w:val="24"/>
                <w:szCs w:val="24"/>
              </w:rPr>
            </w:pPr>
            <w:r w:rsidRPr="002B005F">
              <w:rPr>
                <w:rFonts w:ascii="Times New Roman" w:eastAsia="Times New Roman" w:hAnsi="Times New Roman" w:cs="Times New Roman"/>
                <w:b/>
                <w:bCs/>
              </w:rPr>
              <w:t>Test de Friedman</w:t>
            </w:r>
          </w:p>
        </w:tc>
        <w:tc>
          <w:tcPr>
            <w:tcW w:w="2041" w:type="dxa"/>
            <w:tcBorders>
              <w:bottom w:val="single" w:sz="8" w:space="0" w:color="auto"/>
            </w:tcBorders>
            <w:vAlign w:val="center"/>
          </w:tcPr>
          <w:p w14:paraId="179BBEC5" w14:textId="77777777" w:rsidR="001F539E" w:rsidRPr="002B005F" w:rsidRDefault="001F539E" w:rsidP="007C68EE">
            <w:pPr>
              <w:tabs>
                <w:tab w:val="left" w:pos="0"/>
              </w:tabs>
              <w:spacing w:line="240" w:lineRule="auto"/>
              <w:jc w:val="center"/>
              <w:rPr>
                <w:rFonts w:ascii="Times New Roman" w:eastAsia="Times New Roman" w:hAnsi="Times New Roman" w:cs="Times New Roman"/>
              </w:rPr>
            </w:pPr>
          </w:p>
        </w:tc>
        <w:tc>
          <w:tcPr>
            <w:tcW w:w="964" w:type="dxa"/>
            <w:tcBorders>
              <w:bottom w:val="single" w:sz="8" w:space="0" w:color="auto"/>
            </w:tcBorders>
            <w:vAlign w:val="center"/>
          </w:tcPr>
          <w:p w14:paraId="4CF24111" w14:textId="77777777" w:rsidR="001F539E" w:rsidRPr="002B005F" w:rsidRDefault="001F539E" w:rsidP="007C68EE">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0.00</w:t>
            </w:r>
          </w:p>
        </w:tc>
        <w:tc>
          <w:tcPr>
            <w:tcW w:w="4219" w:type="dxa"/>
            <w:gridSpan w:val="3"/>
            <w:vAlign w:val="center"/>
          </w:tcPr>
          <w:p w14:paraId="04B6F72E" w14:textId="77777777" w:rsidR="001F539E" w:rsidRPr="002B005F" w:rsidRDefault="001F539E" w:rsidP="003E2F86">
            <w:pPr>
              <w:tabs>
                <w:tab w:val="left" w:pos="0"/>
              </w:tabs>
              <w:spacing w:line="240" w:lineRule="auto"/>
              <w:jc w:val="center"/>
              <w:rPr>
                <w:rFonts w:ascii="Times New Roman" w:eastAsia="Times New Roman" w:hAnsi="Times New Roman" w:cs="Times New Roman"/>
              </w:rPr>
            </w:pPr>
          </w:p>
        </w:tc>
      </w:tr>
    </w:tbl>
    <w:p w14:paraId="6B46844A" w14:textId="1F7B9678" w:rsidR="002760B2" w:rsidRPr="002B005F" w:rsidRDefault="002C5EFF" w:rsidP="007D7C1E">
      <w:pPr>
        <w:tabs>
          <w:tab w:val="left" w:pos="0"/>
        </w:tabs>
        <w:spacing w:before="120"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fr-FR"/>
        </w:rPr>
        <mc:AlternateContent>
          <mc:Choice Requires="wps">
            <w:drawing>
              <wp:anchor distT="4294967295" distB="4294967295" distL="114300" distR="114300" simplePos="0" relativeHeight="251554816" behindDoc="0" locked="0" layoutInCell="1" allowOverlap="1" wp14:anchorId="3D589A23" wp14:editId="7949CE48">
                <wp:simplePos x="0" y="0"/>
                <wp:positionH relativeFrom="column">
                  <wp:posOffset>-7620</wp:posOffset>
                </wp:positionH>
                <wp:positionV relativeFrom="paragraph">
                  <wp:posOffset>-7621</wp:posOffset>
                </wp:positionV>
                <wp:extent cx="5670550" cy="0"/>
                <wp:effectExtent l="0" t="0" r="6350" b="0"/>
                <wp:wrapNone/>
                <wp:docPr id="130"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23107" id="Connecteur droit 3" o:spid="_x0000_s1026" style="position:absolute;z-index:25155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6pt" to="44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" strokecolor="black [3213]" strokeweight=".5pt">
                <v:stroke joinstyle="miter"/>
                <o:lock v:ext="edit" shapetype="f"/>
              </v:line>
            </w:pict>
          </mc:Fallback>
        </mc:AlternateContent>
      </w:r>
      <w:r w:rsidR="002760B2" w:rsidRPr="002B005F">
        <w:rPr>
          <w:rFonts w:ascii="Times New Roman" w:eastAsia="Times New Roman" w:hAnsi="Times New Roman" w:cs="Times New Roman"/>
          <w:sz w:val="20"/>
          <w:szCs w:val="20"/>
        </w:rPr>
        <w:t>Source :</w:t>
      </w:r>
      <w:r w:rsidR="007A106E" w:rsidRPr="002B005F">
        <w:rPr>
          <w:rFonts w:ascii="Times New Roman" w:eastAsia="Times New Roman" w:hAnsi="Times New Roman" w:cs="Times New Roman"/>
          <w:sz w:val="20"/>
          <w:szCs w:val="20"/>
        </w:rPr>
        <w:t xml:space="preserve"> C</w:t>
      </w:r>
      <w:r w:rsidR="002760B2" w:rsidRPr="002B005F">
        <w:rPr>
          <w:rFonts w:ascii="Times New Roman" w:eastAsia="Times New Roman" w:hAnsi="Times New Roman" w:cs="Times New Roman"/>
          <w:sz w:val="20"/>
          <w:szCs w:val="20"/>
        </w:rPr>
        <w:t>alculs du chercheur.</w:t>
      </w:r>
    </w:p>
    <w:p w14:paraId="0B4DEAB8" w14:textId="77777777" w:rsidR="004B1423" w:rsidRDefault="004B1423" w:rsidP="00344446">
      <w:pPr>
        <w:tabs>
          <w:tab w:val="left" w:pos="0"/>
        </w:tabs>
        <w:spacing w:before="120" w:line="300" w:lineRule="auto"/>
        <w:ind w:firstLine="709"/>
        <w:rPr>
          <w:rFonts w:ascii="Times New Roman" w:eastAsia="Times New Roman" w:hAnsi="Times New Roman" w:cs="Times New Roman"/>
          <w:sz w:val="24"/>
          <w:szCs w:val="24"/>
          <w:highlight w:val="magenta"/>
        </w:rPr>
      </w:pPr>
    </w:p>
    <w:p w14:paraId="4732549C" w14:textId="77777777" w:rsidR="004B1423" w:rsidRPr="009D3601" w:rsidRDefault="004B1423" w:rsidP="004B1423">
      <w:pPr>
        <w:tabs>
          <w:tab w:val="left" w:pos="0"/>
        </w:tabs>
        <w:spacing w:line="360" w:lineRule="auto"/>
        <w:ind w:firstLine="709"/>
        <w:rPr>
          <w:rFonts w:asciiTheme="majorBidi" w:eastAsia="Times New Roman" w:hAnsiTheme="majorBidi" w:cstheme="majorBidi"/>
          <w:sz w:val="24"/>
          <w:szCs w:val="24"/>
        </w:rPr>
      </w:pPr>
      <w:r w:rsidRPr="009D3601">
        <w:rPr>
          <w:rFonts w:asciiTheme="majorBidi" w:eastAsia="Times New Roman" w:hAnsiTheme="majorBidi" w:cstheme="majorBidi"/>
          <w:sz w:val="24"/>
          <w:szCs w:val="24"/>
        </w:rPr>
        <w:t xml:space="preserve">De plus, nous avons tenté de tester l'impact du poste du répondant, la nature de l'IF, la nature des activités et les normes comptables sur la perception du risque (voir </w:t>
      </w:r>
      <w:r w:rsidRPr="009D3601">
        <w:rPr>
          <w:rFonts w:asciiTheme="majorBidi" w:eastAsia="Times New Roman" w:hAnsiTheme="majorBidi" w:cstheme="majorBidi"/>
          <w:b/>
          <w:bCs/>
          <w:sz w:val="24"/>
          <w:szCs w:val="24"/>
        </w:rPr>
        <w:t>tableau 35</w:t>
      </w:r>
      <w:r w:rsidRPr="009D3601">
        <w:rPr>
          <w:rFonts w:asciiTheme="majorBidi" w:eastAsia="Times New Roman" w:hAnsiTheme="majorBidi" w:cstheme="majorBidi"/>
          <w:sz w:val="24"/>
          <w:szCs w:val="24"/>
        </w:rPr>
        <w:t xml:space="preserve">). Cependant, les résultats, présentés au tableau 35, montrent qu'il n'y a pas de différences significatives sauf pour les contrats </w:t>
      </w:r>
      <w:r w:rsidRPr="009D3601">
        <w:rPr>
          <w:rFonts w:asciiTheme="majorBidi" w:eastAsia="Times New Roman" w:hAnsiTheme="majorBidi" w:cstheme="majorBidi"/>
          <w:i/>
          <w:iCs/>
          <w:sz w:val="24"/>
          <w:szCs w:val="24"/>
        </w:rPr>
        <w:t>mourabaha</w:t>
      </w:r>
      <w:r w:rsidRPr="009D3601">
        <w:rPr>
          <w:rFonts w:asciiTheme="majorBidi" w:eastAsia="Times New Roman" w:hAnsiTheme="majorBidi" w:cstheme="majorBidi"/>
          <w:sz w:val="24"/>
          <w:szCs w:val="24"/>
        </w:rPr>
        <w:t xml:space="preserve"> qui ont une perception du risque significative selon les normes comptables (p = 0,028) et la nature des IF(0,03).</w:t>
      </w:r>
    </w:p>
    <w:p w14:paraId="70E4AE40" w14:textId="70E8747E" w:rsidR="009D3601" w:rsidRPr="002B005F" w:rsidRDefault="009D3601" w:rsidP="00D66FFE">
      <w:pPr>
        <w:pStyle w:val="Lgende"/>
        <w:tabs>
          <w:tab w:val="left" w:pos="0"/>
        </w:tabs>
        <w:spacing w:before="100" w:beforeAutospacing="1" w:after="120" w:line="300" w:lineRule="auto"/>
        <w:jc w:val="center"/>
        <w:rPr>
          <w:rFonts w:ascii="Times New Roman" w:hAnsi="Times New Roman" w:cs="Times New Roman"/>
          <w:color w:val="auto"/>
          <w:sz w:val="24"/>
          <w:szCs w:val="24"/>
        </w:rPr>
      </w:pPr>
      <w:bookmarkStart w:id="1727" w:name="_Toc115556103"/>
      <w:r w:rsidRPr="009D3601">
        <w:rPr>
          <w:rFonts w:ascii="Times New Roman" w:hAnsi="Times New Roman" w:cs="Times New Roman"/>
          <w:color w:val="auto"/>
          <w:sz w:val="24"/>
          <w:szCs w:val="24"/>
        </w:rPr>
        <w:t xml:space="preserve">Tableau </w:t>
      </w:r>
      <w:r w:rsidR="00B544E5" w:rsidRPr="009D3601">
        <w:rPr>
          <w:rFonts w:ascii="Times New Roman" w:hAnsi="Times New Roman" w:cs="Times New Roman"/>
          <w:color w:val="auto"/>
          <w:sz w:val="24"/>
          <w:szCs w:val="24"/>
        </w:rPr>
        <w:fldChar w:fldCharType="begin"/>
      </w:r>
      <w:r w:rsidRPr="009D3601">
        <w:rPr>
          <w:rFonts w:ascii="Times New Roman" w:hAnsi="Times New Roman" w:cs="Times New Roman"/>
          <w:color w:val="auto"/>
          <w:sz w:val="24"/>
          <w:szCs w:val="24"/>
        </w:rPr>
        <w:instrText xml:space="preserve"> SEQ Tableau \* ARABIC </w:instrText>
      </w:r>
      <w:r w:rsidR="00B544E5" w:rsidRPr="009D3601">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35</w:t>
      </w:r>
      <w:r w:rsidR="00B544E5" w:rsidRPr="009D3601">
        <w:rPr>
          <w:rFonts w:ascii="Times New Roman" w:hAnsi="Times New Roman" w:cs="Times New Roman"/>
          <w:color w:val="auto"/>
          <w:sz w:val="24"/>
          <w:szCs w:val="24"/>
        </w:rPr>
        <w:fldChar w:fldCharType="end"/>
      </w:r>
      <w:r w:rsidRPr="002B005F">
        <w:rPr>
          <w:rFonts w:ascii="Times New Roman" w:hAnsi="Times New Roman" w:cs="Times New Roman"/>
          <w:color w:val="auto"/>
          <w:sz w:val="24"/>
          <w:szCs w:val="24"/>
        </w:rPr>
        <w:t>- Test du K-W pour Q</w:t>
      </w:r>
      <w:r>
        <w:rPr>
          <w:rFonts w:ascii="Times New Roman" w:hAnsi="Times New Roman" w:cs="Times New Roman"/>
          <w:color w:val="auto"/>
          <w:sz w:val="24"/>
          <w:szCs w:val="24"/>
        </w:rPr>
        <w:t>9</w:t>
      </w:r>
      <w:r w:rsidRPr="002B005F">
        <w:rPr>
          <w:rFonts w:ascii="Times New Roman" w:hAnsi="Times New Roman" w:cs="Times New Roman"/>
          <w:color w:val="auto"/>
          <w:sz w:val="24"/>
          <w:szCs w:val="24"/>
        </w:rPr>
        <w:t xml:space="preserve"> sur la perception de la gravité du risque</w:t>
      </w:r>
      <w:bookmarkEnd w:id="1727"/>
    </w:p>
    <w:tbl>
      <w:tblPr>
        <w:tblW w:w="90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583"/>
        <w:gridCol w:w="922"/>
        <w:gridCol w:w="962"/>
        <w:gridCol w:w="922"/>
        <w:gridCol w:w="962"/>
        <w:gridCol w:w="901"/>
        <w:gridCol w:w="962"/>
        <w:gridCol w:w="922"/>
        <w:gridCol w:w="962"/>
      </w:tblGrid>
      <w:tr w:rsidR="009D3601" w:rsidRPr="002B005F" w14:paraId="1D0D090B" w14:textId="77777777" w:rsidTr="00CC43D0">
        <w:trPr>
          <w:trHeight w:val="680"/>
        </w:trPr>
        <w:tc>
          <w:tcPr>
            <w:tcW w:w="1583" w:type="dxa"/>
            <w:shd w:val="clear" w:color="auto" w:fill="BDD6EE" w:themeFill="accent1" w:themeFillTint="66"/>
            <w:vAlign w:val="center"/>
          </w:tcPr>
          <w:p w14:paraId="0FFDB554" w14:textId="77777777" w:rsidR="009D3601" w:rsidRPr="002B005F" w:rsidRDefault="009D3601" w:rsidP="009D3601">
            <w:pPr>
              <w:tabs>
                <w:tab w:val="left" w:pos="0"/>
              </w:tabs>
              <w:spacing w:line="240" w:lineRule="auto"/>
              <w:jc w:val="center"/>
              <w:rPr>
                <w:rFonts w:ascii="Times New Roman" w:eastAsia="Times New Roman" w:hAnsi="Times New Roman" w:cs="Times New Roman"/>
                <w:b/>
                <w:bCs/>
                <w:sz w:val="21"/>
              </w:rPr>
            </w:pPr>
            <w:r w:rsidRPr="002B005F">
              <w:rPr>
                <w:rFonts w:ascii="Times New Roman" w:eastAsia="Times New Roman" w:hAnsi="Times New Roman" w:cs="Times New Roman"/>
                <w:b/>
                <w:bCs/>
                <w:sz w:val="24"/>
                <w:szCs w:val="28"/>
              </w:rPr>
              <w:t>Test</w:t>
            </w:r>
          </w:p>
        </w:tc>
        <w:tc>
          <w:tcPr>
            <w:tcW w:w="1884" w:type="dxa"/>
            <w:gridSpan w:val="2"/>
            <w:shd w:val="clear" w:color="auto" w:fill="BDD6EE" w:themeFill="accent1" w:themeFillTint="66"/>
            <w:vAlign w:val="center"/>
            <w:hideMark/>
          </w:tcPr>
          <w:p w14:paraId="13221689" w14:textId="77777777" w:rsidR="009D3601" w:rsidRPr="002B005F" w:rsidRDefault="009D3601" w:rsidP="009D3601">
            <w:pPr>
              <w:tabs>
                <w:tab w:val="left" w:pos="0"/>
              </w:tabs>
              <w:spacing w:line="240" w:lineRule="auto"/>
              <w:jc w:val="center"/>
              <w:rPr>
                <w:rFonts w:ascii="Times New Roman" w:eastAsia="Times New Roman" w:hAnsi="Times New Roman" w:cs="Times New Roman"/>
                <w:b/>
              </w:rPr>
            </w:pPr>
            <w:r w:rsidRPr="002B005F">
              <w:rPr>
                <w:rFonts w:ascii="Times New Roman" w:eastAsia="Times New Roman" w:hAnsi="Times New Roman" w:cs="Times New Roman"/>
                <w:b/>
              </w:rPr>
              <w:t>K-W selon le poste du répondant</w:t>
            </w:r>
          </w:p>
        </w:tc>
        <w:tc>
          <w:tcPr>
            <w:tcW w:w="1884" w:type="dxa"/>
            <w:gridSpan w:val="2"/>
            <w:shd w:val="clear" w:color="auto" w:fill="BDD6EE" w:themeFill="accent1" w:themeFillTint="66"/>
            <w:vAlign w:val="center"/>
            <w:hideMark/>
          </w:tcPr>
          <w:p w14:paraId="1DC73008" w14:textId="77777777" w:rsidR="009D3601" w:rsidRPr="002B005F" w:rsidRDefault="009D3601" w:rsidP="009D3601">
            <w:pPr>
              <w:tabs>
                <w:tab w:val="left" w:pos="0"/>
              </w:tabs>
              <w:spacing w:line="240" w:lineRule="auto"/>
              <w:ind w:right="100"/>
              <w:jc w:val="center"/>
              <w:rPr>
                <w:rFonts w:ascii="Times New Roman" w:eastAsia="Times New Roman" w:hAnsi="Times New Roman" w:cs="Times New Roman"/>
                <w:b/>
              </w:rPr>
            </w:pPr>
            <w:r w:rsidRPr="002B005F">
              <w:rPr>
                <w:rFonts w:ascii="Times New Roman" w:eastAsia="Times New Roman" w:hAnsi="Times New Roman" w:cs="Times New Roman"/>
                <w:b/>
              </w:rPr>
              <w:t>K-W selon la nature de l’IF</w:t>
            </w:r>
          </w:p>
        </w:tc>
        <w:tc>
          <w:tcPr>
            <w:tcW w:w="1863" w:type="dxa"/>
            <w:gridSpan w:val="2"/>
            <w:shd w:val="clear" w:color="auto" w:fill="BDD6EE" w:themeFill="accent1" w:themeFillTint="66"/>
            <w:vAlign w:val="center"/>
            <w:hideMark/>
          </w:tcPr>
          <w:p w14:paraId="7D8A6776" w14:textId="77777777" w:rsidR="009D3601" w:rsidRPr="002B005F" w:rsidRDefault="009D3601" w:rsidP="009D3601">
            <w:pPr>
              <w:tabs>
                <w:tab w:val="left" w:pos="0"/>
              </w:tabs>
              <w:spacing w:line="240" w:lineRule="auto"/>
              <w:jc w:val="center"/>
              <w:rPr>
                <w:rFonts w:ascii="Times New Roman" w:eastAsia="Times New Roman" w:hAnsi="Times New Roman" w:cs="Times New Roman"/>
                <w:b/>
              </w:rPr>
            </w:pPr>
            <w:r w:rsidRPr="002B005F">
              <w:rPr>
                <w:rFonts w:ascii="Times New Roman" w:eastAsia="Times New Roman" w:hAnsi="Times New Roman" w:cs="Times New Roman"/>
                <w:b/>
              </w:rPr>
              <w:t>K-W selon les standards</w:t>
            </w:r>
          </w:p>
        </w:tc>
        <w:tc>
          <w:tcPr>
            <w:tcW w:w="1884" w:type="dxa"/>
            <w:gridSpan w:val="2"/>
            <w:shd w:val="clear" w:color="auto" w:fill="BDD6EE" w:themeFill="accent1" w:themeFillTint="66"/>
            <w:vAlign w:val="center"/>
            <w:hideMark/>
          </w:tcPr>
          <w:p w14:paraId="41B021CA" w14:textId="77777777" w:rsidR="009D3601" w:rsidRPr="002B005F" w:rsidRDefault="009D3601" w:rsidP="009D3601">
            <w:pPr>
              <w:tabs>
                <w:tab w:val="left" w:pos="0"/>
              </w:tabs>
              <w:spacing w:line="240" w:lineRule="auto"/>
              <w:jc w:val="center"/>
              <w:rPr>
                <w:rFonts w:ascii="Times New Roman" w:eastAsia="Times New Roman" w:hAnsi="Times New Roman" w:cs="Times New Roman"/>
                <w:b/>
              </w:rPr>
            </w:pPr>
            <w:r w:rsidRPr="002B005F">
              <w:rPr>
                <w:rFonts w:ascii="Times New Roman" w:eastAsia="Times New Roman" w:hAnsi="Times New Roman" w:cs="Times New Roman"/>
                <w:b/>
              </w:rPr>
              <w:t>K-W selon la nature des</w:t>
            </w:r>
            <w:r w:rsidR="00D107F2">
              <w:rPr>
                <w:rFonts w:ascii="Times New Roman" w:eastAsia="Times New Roman" w:hAnsi="Times New Roman" w:cs="Times New Roman"/>
                <w:b/>
              </w:rPr>
              <w:t xml:space="preserve"> activités</w:t>
            </w:r>
          </w:p>
        </w:tc>
      </w:tr>
      <w:tr w:rsidR="009D3601" w:rsidRPr="002B005F" w14:paraId="13918654" w14:textId="77777777" w:rsidTr="00CC43D0">
        <w:trPr>
          <w:trHeight w:val="680"/>
        </w:trPr>
        <w:tc>
          <w:tcPr>
            <w:tcW w:w="1583" w:type="dxa"/>
            <w:shd w:val="clear" w:color="auto" w:fill="DEEAF6" w:themeFill="accent1" w:themeFillTint="33"/>
            <w:vAlign w:val="center"/>
            <w:hideMark/>
          </w:tcPr>
          <w:p w14:paraId="1820A97D" w14:textId="77777777" w:rsidR="009D3601" w:rsidRPr="002B005F" w:rsidRDefault="009D3601" w:rsidP="00CC43D0">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Contrat</w:t>
            </w:r>
          </w:p>
        </w:tc>
        <w:tc>
          <w:tcPr>
            <w:tcW w:w="922" w:type="dxa"/>
            <w:shd w:val="clear" w:color="auto" w:fill="DEEAF6" w:themeFill="accent1" w:themeFillTint="33"/>
            <w:vAlign w:val="center"/>
            <w:hideMark/>
          </w:tcPr>
          <w:p w14:paraId="3812E69E" w14:textId="77777777" w:rsidR="009D3601" w:rsidRPr="002B005F" w:rsidRDefault="009D3601" w:rsidP="00CC43D0">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Chi-Deux</w:t>
            </w:r>
          </w:p>
        </w:tc>
        <w:tc>
          <w:tcPr>
            <w:tcW w:w="962" w:type="dxa"/>
            <w:shd w:val="clear" w:color="auto" w:fill="DEEAF6" w:themeFill="accent1" w:themeFillTint="33"/>
            <w:vAlign w:val="center"/>
            <w:hideMark/>
          </w:tcPr>
          <w:p w14:paraId="48261CCE" w14:textId="77777777" w:rsidR="009D3601" w:rsidRPr="002B005F" w:rsidRDefault="009D3601" w:rsidP="00CC43D0">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Asymp. Sig</w:t>
            </w:r>
          </w:p>
        </w:tc>
        <w:tc>
          <w:tcPr>
            <w:tcW w:w="922" w:type="dxa"/>
            <w:shd w:val="clear" w:color="auto" w:fill="DEEAF6" w:themeFill="accent1" w:themeFillTint="33"/>
            <w:vAlign w:val="center"/>
            <w:hideMark/>
          </w:tcPr>
          <w:p w14:paraId="792BE9C4" w14:textId="77777777" w:rsidR="009D3601" w:rsidRPr="002B005F" w:rsidRDefault="009D3601" w:rsidP="00CC43D0">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Chi-Deux</w:t>
            </w:r>
          </w:p>
        </w:tc>
        <w:tc>
          <w:tcPr>
            <w:tcW w:w="962" w:type="dxa"/>
            <w:shd w:val="clear" w:color="auto" w:fill="DEEAF6" w:themeFill="accent1" w:themeFillTint="33"/>
            <w:vAlign w:val="center"/>
            <w:hideMark/>
          </w:tcPr>
          <w:p w14:paraId="24B409BA" w14:textId="77777777" w:rsidR="009D3601" w:rsidRPr="002B005F" w:rsidRDefault="009D3601" w:rsidP="00CC43D0">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Asymp. Sig</w:t>
            </w:r>
          </w:p>
        </w:tc>
        <w:tc>
          <w:tcPr>
            <w:tcW w:w="901" w:type="dxa"/>
            <w:shd w:val="clear" w:color="auto" w:fill="DEEAF6" w:themeFill="accent1" w:themeFillTint="33"/>
            <w:vAlign w:val="center"/>
            <w:hideMark/>
          </w:tcPr>
          <w:p w14:paraId="29E5F26C" w14:textId="77777777" w:rsidR="009D3601" w:rsidRPr="002B005F" w:rsidRDefault="009D3601" w:rsidP="00CC43D0">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Chi-Deux</w:t>
            </w:r>
          </w:p>
        </w:tc>
        <w:tc>
          <w:tcPr>
            <w:tcW w:w="962" w:type="dxa"/>
            <w:shd w:val="clear" w:color="auto" w:fill="DEEAF6" w:themeFill="accent1" w:themeFillTint="33"/>
            <w:vAlign w:val="center"/>
            <w:hideMark/>
          </w:tcPr>
          <w:p w14:paraId="7591E881" w14:textId="77777777" w:rsidR="009D3601" w:rsidRPr="002B005F" w:rsidRDefault="009D3601" w:rsidP="00CC43D0">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Asymp. Sig</w:t>
            </w:r>
          </w:p>
        </w:tc>
        <w:tc>
          <w:tcPr>
            <w:tcW w:w="922" w:type="dxa"/>
            <w:shd w:val="clear" w:color="auto" w:fill="DEEAF6" w:themeFill="accent1" w:themeFillTint="33"/>
            <w:vAlign w:val="center"/>
            <w:hideMark/>
          </w:tcPr>
          <w:p w14:paraId="7991A3CE" w14:textId="77777777" w:rsidR="009D3601" w:rsidRPr="002B005F" w:rsidRDefault="009D3601" w:rsidP="00CC43D0">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Chi-Deux</w:t>
            </w:r>
          </w:p>
        </w:tc>
        <w:tc>
          <w:tcPr>
            <w:tcW w:w="962" w:type="dxa"/>
            <w:shd w:val="clear" w:color="auto" w:fill="DEEAF6" w:themeFill="accent1" w:themeFillTint="33"/>
            <w:vAlign w:val="center"/>
            <w:hideMark/>
          </w:tcPr>
          <w:p w14:paraId="63461B48" w14:textId="77777777" w:rsidR="009D3601" w:rsidRPr="002B005F" w:rsidRDefault="009D3601" w:rsidP="00CC43D0">
            <w:pPr>
              <w:tabs>
                <w:tab w:val="left" w:pos="0"/>
              </w:tabs>
              <w:spacing w:line="240" w:lineRule="auto"/>
              <w:jc w:val="center"/>
              <w:rPr>
                <w:rFonts w:ascii="Times New Roman" w:eastAsia="Times New Roman" w:hAnsi="Times New Roman" w:cs="Times New Roman"/>
                <w:b/>
                <w:bCs/>
              </w:rPr>
            </w:pPr>
            <w:r w:rsidRPr="002B005F">
              <w:rPr>
                <w:rFonts w:ascii="Times New Roman" w:eastAsia="Times New Roman" w:hAnsi="Times New Roman" w:cs="Times New Roman"/>
                <w:b/>
                <w:bCs/>
              </w:rPr>
              <w:t>Asymp. Sig</w:t>
            </w:r>
          </w:p>
        </w:tc>
      </w:tr>
      <w:tr w:rsidR="009D3601" w:rsidRPr="002B005F" w14:paraId="7BC4B677" w14:textId="77777777" w:rsidTr="00CC43D0">
        <w:trPr>
          <w:trHeight w:val="680"/>
        </w:trPr>
        <w:tc>
          <w:tcPr>
            <w:tcW w:w="1583" w:type="dxa"/>
            <w:vAlign w:val="center"/>
            <w:hideMark/>
          </w:tcPr>
          <w:p w14:paraId="50DB10F1" w14:textId="77777777" w:rsidR="009D3601" w:rsidRPr="002B005F" w:rsidRDefault="009D3601" w:rsidP="00CC43D0">
            <w:pPr>
              <w:tabs>
                <w:tab w:val="left" w:pos="0"/>
              </w:tabs>
              <w:spacing w:line="240" w:lineRule="auto"/>
              <w:ind w:left="113"/>
              <w:jc w:val="left"/>
              <w:rPr>
                <w:rFonts w:ascii="Times New Roman" w:eastAsia="Times New Roman" w:hAnsi="Times New Roman" w:cs="Times New Roman"/>
                <w:b/>
                <w:bCs/>
                <w:i/>
                <w:sz w:val="24"/>
                <w:szCs w:val="24"/>
              </w:rPr>
            </w:pPr>
            <w:r w:rsidRPr="002B005F">
              <w:rPr>
                <w:rFonts w:ascii="Times New Roman" w:eastAsia="Times New Roman" w:hAnsi="Times New Roman" w:cs="Times New Roman"/>
                <w:b/>
                <w:bCs/>
                <w:i/>
                <w:sz w:val="24"/>
                <w:szCs w:val="24"/>
              </w:rPr>
              <w:t>Mourabaha</w:t>
            </w:r>
          </w:p>
        </w:tc>
        <w:tc>
          <w:tcPr>
            <w:tcW w:w="922" w:type="dxa"/>
            <w:vAlign w:val="center"/>
            <w:hideMark/>
          </w:tcPr>
          <w:p w14:paraId="7F25D1E0"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19.85</w:t>
            </w:r>
          </w:p>
        </w:tc>
        <w:tc>
          <w:tcPr>
            <w:tcW w:w="962" w:type="dxa"/>
            <w:vAlign w:val="center"/>
            <w:hideMark/>
          </w:tcPr>
          <w:p w14:paraId="68F186E4"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0.14</w:t>
            </w:r>
          </w:p>
        </w:tc>
        <w:tc>
          <w:tcPr>
            <w:tcW w:w="922" w:type="dxa"/>
            <w:vAlign w:val="center"/>
            <w:hideMark/>
          </w:tcPr>
          <w:p w14:paraId="14D0D73C"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8.75</w:t>
            </w:r>
          </w:p>
        </w:tc>
        <w:tc>
          <w:tcPr>
            <w:tcW w:w="962" w:type="dxa"/>
            <w:vAlign w:val="center"/>
            <w:hideMark/>
          </w:tcPr>
          <w:p w14:paraId="2ADDDCAF"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b/>
                <w:iCs/>
              </w:rPr>
            </w:pPr>
            <w:r w:rsidRPr="002B005F">
              <w:rPr>
                <w:rFonts w:ascii="Times New Roman" w:eastAsia="Times New Roman" w:hAnsi="Times New Roman" w:cs="Times New Roman"/>
                <w:b/>
                <w:iCs/>
              </w:rPr>
              <w:t>0.03</w:t>
            </w:r>
          </w:p>
        </w:tc>
        <w:tc>
          <w:tcPr>
            <w:tcW w:w="901" w:type="dxa"/>
            <w:vAlign w:val="center"/>
            <w:hideMark/>
          </w:tcPr>
          <w:p w14:paraId="1C67EEC8" w14:textId="77777777" w:rsidR="009D3601" w:rsidRPr="002B005F" w:rsidRDefault="009D3601" w:rsidP="00CC43D0">
            <w:pPr>
              <w:tabs>
                <w:tab w:val="left" w:pos="0"/>
              </w:tabs>
              <w:spacing w:line="240" w:lineRule="auto"/>
              <w:ind w:right="170"/>
              <w:jc w:val="right"/>
              <w:rPr>
                <w:rFonts w:ascii="Times New Roman" w:eastAsia="Times New Roman" w:hAnsi="Times New Roman" w:cs="Times New Roman"/>
                <w:iCs/>
              </w:rPr>
            </w:pPr>
            <w:r w:rsidRPr="002B005F">
              <w:rPr>
                <w:rFonts w:ascii="Times New Roman" w:eastAsia="Times New Roman" w:hAnsi="Times New Roman" w:cs="Times New Roman"/>
                <w:iCs/>
              </w:rPr>
              <w:t>10.90</w:t>
            </w:r>
          </w:p>
        </w:tc>
        <w:tc>
          <w:tcPr>
            <w:tcW w:w="962" w:type="dxa"/>
            <w:vAlign w:val="center"/>
            <w:hideMark/>
          </w:tcPr>
          <w:p w14:paraId="5A4033E4"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b/>
                <w:iCs/>
              </w:rPr>
            </w:pPr>
            <w:r w:rsidRPr="002B005F">
              <w:rPr>
                <w:rFonts w:ascii="Times New Roman" w:eastAsia="Times New Roman" w:hAnsi="Times New Roman" w:cs="Times New Roman"/>
                <w:b/>
                <w:iCs/>
              </w:rPr>
              <w:t>0.028</w:t>
            </w:r>
          </w:p>
        </w:tc>
        <w:tc>
          <w:tcPr>
            <w:tcW w:w="922" w:type="dxa"/>
            <w:vAlign w:val="center"/>
            <w:hideMark/>
          </w:tcPr>
          <w:p w14:paraId="6C13855F"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4.08</w:t>
            </w:r>
          </w:p>
        </w:tc>
        <w:tc>
          <w:tcPr>
            <w:tcW w:w="962" w:type="dxa"/>
            <w:vAlign w:val="center"/>
            <w:hideMark/>
          </w:tcPr>
          <w:p w14:paraId="43F07BA8"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0.67</w:t>
            </w:r>
          </w:p>
        </w:tc>
      </w:tr>
      <w:tr w:rsidR="009D3601" w:rsidRPr="002B005F" w14:paraId="2BFD7427" w14:textId="77777777" w:rsidTr="00CC43D0">
        <w:trPr>
          <w:trHeight w:val="680"/>
        </w:trPr>
        <w:tc>
          <w:tcPr>
            <w:tcW w:w="1583" w:type="dxa"/>
            <w:shd w:val="clear" w:color="auto" w:fill="DEEAF6" w:themeFill="accent1" w:themeFillTint="33"/>
            <w:vAlign w:val="center"/>
            <w:hideMark/>
          </w:tcPr>
          <w:p w14:paraId="4498FCA6" w14:textId="77777777" w:rsidR="009D3601" w:rsidRPr="002B005F" w:rsidRDefault="009D3601" w:rsidP="00CC43D0">
            <w:pPr>
              <w:tabs>
                <w:tab w:val="left" w:pos="0"/>
              </w:tabs>
              <w:spacing w:line="240" w:lineRule="auto"/>
              <w:ind w:left="113"/>
              <w:jc w:val="left"/>
              <w:rPr>
                <w:rFonts w:ascii="Times New Roman" w:eastAsia="Times New Roman" w:hAnsi="Times New Roman" w:cs="Times New Roman"/>
                <w:b/>
                <w:bCs/>
                <w:i/>
                <w:sz w:val="24"/>
                <w:szCs w:val="24"/>
              </w:rPr>
            </w:pPr>
            <w:r w:rsidRPr="002B005F">
              <w:rPr>
                <w:rFonts w:ascii="Times New Roman" w:eastAsia="Times New Roman" w:hAnsi="Times New Roman" w:cs="Times New Roman"/>
                <w:b/>
                <w:bCs/>
                <w:i/>
                <w:sz w:val="24"/>
                <w:szCs w:val="24"/>
              </w:rPr>
              <w:t>Moudaraba</w:t>
            </w:r>
          </w:p>
        </w:tc>
        <w:tc>
          <w:tcPr>
            <w:tcW w:w="922" w:type="dxa"/>
            <w:shd w:val="clear" w:color="auto" w:fill="DEEAF6" w:themeFill="accent1" w:themeFillTint="33"/>
            <w:vAlign w:val="center"/>
            <w:hideMark/>
          </w:tcPr>
          <w:p w14:paraId="3C214B3D"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14.02</w:t>
            </w:r>
          </w:p>
        </w:tc>
        <w:tc>
          <w:tcPr>
            <w:tcW w:w="962" w:type="dxa"/>
            <w:shd w:val="clear" w:color="auto" w:fill="DEEAF6" w:themeFill="accent1" w:themeFillTint="33"/>
            <w:vAlign w:val="center"/>
            <w:hideMark/>
          </w:tcPr>
          <w:p w14:paraId="64504251"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0.45</w:t>
            </w:r>
          </w:p>
        </w:tc>
        <w:tc>
          <w:tcPr>
            <w:tcW w:w="922" w:type="dxa"/>
            <w:shd w:val="clear" w:color="auto" w:fill="DEEAF6" w:themeFill="accent1" w:themeFillTint="33"/>
            <w:vAlign w:val="center"/>
            <w:hideMark/>
          </w:tcPr>
          <w:p w14:paraId="760D117D"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0.27</w:t>
            </w:r>
          </w:p>
        </w:tc>
        <w:tc>
          <w:tcPr>
            <w:tcW w:w="962" w:type="dxa"/>
            <w:shd w:val="clear" w:color="auto" w:fill="DEEAF6" w:themeFill="accent1" w:themeFillTint="33"/>
            <w:vAlign w:val="center"/>
            <w:hideMark/>
          </w:tcPr>
          <w:p w14:paraId="6E64D01C"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0.97</w:t>
            </w:r>
          </w:p>
        </w:tc>
        <w:tc>
          <w:tcPr>
            <w:tcW w:w="901" w:type="dxa"/>
            <w:shd w:val="clear" w:color="auto" w:fill="DEEAF6" w:themeFill="accent1" w:themeFillTint="33"/>
            <w:vAlign w:val="center"/>
            <w:hideMark/>
          </w:tcPr>
          <w:p w14:paraId="2C90AB00" w14:textId="77777777" w:rsidR="009D3601" w:rsidRPr="002B005F" w:rsidRDefault="009D3601" w:rsidP="00CC43D0">
            <w:pPr>
              <w:tabs>
                <w:tab w:val="left" w:pos="0"/>
              </w:tabs>
              <w:spacing w:line="240" w:lineRule="auto"/>
              <w:ind w:right="170"/>
              <w:jc w:val="right"/>
              <w:rPr>
                <w:rFonts w:ascii="Times New Roman" w:eastAsia="Times New Roman" w:hAnsi="Times New Roman" w:cs="Times New Roman"/>
                <w:iCs/>
              </w:rPr>
            </w:pPr>
            <w:r w:rsidRPr="002B005F">
              <w:rPr>
                <w:rFonts w:ascii="Times New Roman" w:eastAsia="Times New Roman" w:hAnsi="Times New Roman" w:cs="Times New Roman"/>
                <w:iCs/>
              </w:rPr>
              <w:t>2.82</w:t>
            </w:r>
          </w:p>
        </w:tc>
        <w:tc>
          <w:tcPr>
            <w:tcW w:w="962" w:type="dxa"/>
            <w:shd w:val="clear" w:color="auto" w:fill="DEEAF6" w:themeFill="accent1" w:themeFillTint="33"/>
            <w:vAlign w:val="center"/>
            <w:hideMark/>
          </w:tcPr>
          <w:p w14:paraId="44FCD6F9"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0.590</w:t>
            </w:r>
          </w:p>
        </w:tc>
        <w:tc>
          <w:tcPr>
            <w:tcW w:w="922" w:type="dxa"/>
            <w:shd w:val="clear" w:color="auto" w:fill="DEEAF6" w:themeFill="accent1" w:themeFillTint="33"/>
            <w:vAlign w:val="center"/>
            <w:hideMark/>
          </w:tcPr>
          <w:p w14:paraId="32CFDC3C"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4.36</w:t>
            </w:r>
          </w:p>
        </w:tc>
        <w:tc>
          <w:tcPr>
            <w:tcW w:w="962" w:type="dxa"/>
            <w:shd w:val="clear" w:color="auto" w:fill="DEEAF6" w:themeFill="accent1" w:themeFillTint="33"/>
            <w:vAlign w:val="center"/>
            <w:hideMark/>
          </w:tcPr>
          <w:p w14:paraId="6B40B21A"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0.63</w:t>
            </w:r>
          </w:p>
        </w:tc>
      </w:tr>
      <w:tr w:rsidR="009D3601" w:rsidRPr="002B005F" w14:paraId="4737AF90" w14:textId="77777777" w:rsidTr="00CC43D0">
        <w:trPr>
          <w:trHeight w:val="680"/>
        </w:trPr>
        <w:tc>
          <w:tcPr>
            <w:tcW w:w="1583" w:type="dxa"/>
            <w:vAlign w:val="center"/>
            <w:hideMark/>
          </w:tcPr>
          <w:p w14:paraId="355DB471" w14:textId="77777777" w:rsidR="009D3601" w:rsidRPr="002B005F" w:rsidRDefault="009D3601" w:rsidP="00CC43D0">
            <w:pPr>
              <w:tabs>
                <w:tab w:val="left" w:pos="0"/>
              </w:tabs>
              <w:spacing w:line="240" w:lineRule="auto"/>
              <w:ind w:left="113"/>
              <w:jc w:val="left"/>
              <w:rPr>
                <w:rFonts w:ascii="Times New Roman" w:eastAsia="Times New Roman" w:hAnsi="Times New Roman" w:cs="Times New Roman"/>
                <w:b/>
                <w:bCs/>
                <w:i/>
                <w:sz w:val="24"/>
                <w:szCs w:val="24"/>
              </w:rPr>
            </w:pPr>
            <w:r w:rsidRPr="002B005F">
              <w:rPr>
                <w:rFonts w:ascii="Times New Roman" w:eastAsia="Times New Roman" w:hAnsi="Times New Roman" w:cs="Times New Roman"/>
                <w:b/>
                <w:bCs/>
                <w:i/>
                <w:sz w:val="24"/>
                <w:szCs w:val="24"/>
              </w:rPr>
              <w:t>Ijara</w:t>
            </w:r>
          </w:p>
        </w:tc>
        <w:tc>
          <w:tcPr>
            <w:tcW w:w="922" w:type="dxa"/>
            <w:vAlign w:val="center"/>
            <w:hideMark/>
          </w:tcPr>
          <w:p w14:paraId="66E01656"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13.99</w:t>
            </w:r>
          </w:p>
        </w:tc>
        <w:tc>
          <w:tcPr>
            <w:tcW w:w="962" w:type="dxa"/>
            <w:vAlign w:val="center"/>
            <w:hideMark/>
          </w:tcPr>
          <w:p w14:paraId="3DC5BF6D"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0.45</w:t>
            </w:r>
          </w:p>
        </w:tc>
        <w:tc>
          <w:tcPr>
            <w:tcW w:w="922" w:type="dxa"/>
            <w:vAlign w:val="center"/>
            <w:hideMark/>
          </w:tcPr>
          <w:p w14:paraId="664D9ECC"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7.07</w:t>
            </w:r>
          </w:p>
        </w:tc>
        <w:tc>
          <w:tcPr>
            <w:tcW w:w="962" w:type="dxa"/>
            <w:vAlign w:val="center"/>
            <w:hideMark/>
          </w:tcPr>
          <w:p w14:paraId="4AD1EF05"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0.07</w:t>
            </w:r>
          </w:p>
        </w:tc>
        <w:tc>
          <w:tcPr>
            <w:tcW w:w="901" w:type="dxa"/>
            <w:vAlign w:val="center"/>
            <w:hideMark/>
          </w:tcPr>
          <w:p w14:paraId="72CB76C5" w14:textId="77777777" w:rsidR="009D3601" w:rsidRPr="002B005F" w:rsidRDefault="009D3601" w:rsidP="00CC43D0">
            <w:pPr>
              <w:tabs>
                <w:tab w:val="left" w:pos="0"/>
              </w:tabs>
              <w:spacing w:line="240" w:lineRule="auto"/>
              <w:ind w:right="170"/>
              <w:jc w:val="right"/>
              <w:rPr>
                <w:rFonts w:ascii="Times New Roman" w:eastAsia="Times New Roman" w:hAnsi="Times New Roman" w:cs="Times New Roman"/>
                <w:iCs/>
              </w:rPr>
            </w:pPr>
            <w:r w:rsidRPr="002B005F">
              <w:rPr>
                <w:rFonts w:ascii="Times New Roman" w:eastAsia="Times New Roman" w:hAnsi="Times New Roman" w:cs="Times New Roman"/>
                <w:iCs/>
              </w:rPr>
              <w:t>6.13</w:t>
            </w:r>
          </w:p>
        </w:tc>
        <w:tc>
          <w:tcPr>
            <w:tcW w:w="962" w:type="dxa"/>
            <w:vAlign w:val="center"/>
            <w:hideMark/>
          </w:tcPr>
          <w:p w14:paraId="02984940"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0.190</w:t>
            </w:r>
          </w:p>
        </w:tc>
        <w:tc>
          <w:tcPr>
            <w:tcW w:w="922" w:type="dxa"/>
            <w:vAlign w:val="center"/>
            <w:hideMark/>
          </w:tcPr>
          <w:p w14:paraId="273EBC19"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9.06</w:t>
            </w:r>
          </w:p>
        </w:tc>
        <w:tc>
          <w:tcPr>
            <w:tcW w:w="962" w:type="dxa"/>
            <w:vAlign w:val="center"/>
            <w:hideMark/>
          </w:tcPr>
          <w:p w14:paraId="2CC2C621"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0.17</w:t>
            </w:r>
          </w:p>
        </w:tc>
      </w:tr>
      <w:tr w:rsidR="009D3601" w:rsidRPr="002B005F" w14:paraId="5F481D06" w14:textId="77777777" w:rsidTr="00CC43D0">
        <w:trPr>
          <w:trHeight w:val="680"/>
        </w:trPr>
        <w:tc>
          <w:tcPr>
            <w:tcW w:w="1583" w:type="dxa"/>
            <w:shd w:val="clear" w:color="auto" w:fill="DEEAF6" w:themeFill="accent1" w:themeFillTint="33"/>
            <w:vAlign w:val="center"/>
            <w:hideMark/>
          </w:tcPr>
          <w:p w14:paraId="3E56FD68" w14:textId="77777777" w:rsidR="009D3601" w:rsidRPr="002B005F" w:rsidRDefault="009D3601" w:rsidP="00CC43D0">
            <w:pPr>
              <w:tabs>
                <w:tab w:val="left" w:pos="0"/>
              </w:tabs>
              <w:spacing w:line="240" w:lineRule="auto"/>
              <w:ind w:left="113"/>
              <w:jc w:val="left"/>
              <w:rPr>
                <w:rFonts w:ascii="Times New Roman" w:eastAsia="Times New Roman" w:hAnsi="Times New Roman" w:cs="Times New Roman"/>
                <w:b/>
                <w:bCs/>
                <w:i/>
                <w:sz w:val="24"/>
                <w:szCs w:val="24"/>
              </w:rPr>
            </w:pPr>
            <w:r w:rsidRPr="002B005F">
              <w:rPr>
                <w:rFonts w:ascii="Times New Roman" w:eastAsia="Times New Roman" w:hAnsi="Times New Roman" w:cs="Times New Roman"/>
                <w:b/>
                <w:bCs/>
                <w:i/>
                <w:sz w:val="24"/>
                <w:szCs w:val="24"/>
              </w:rPr>
              <w:t>Moucharaka</w:t>
            </w:r>
          </w:p>
        </w:tc>
        <w:tc>
          <w:tcPr>
            <w:tcW w:w="922" w:type="dxa"/>
            <w:shd w:val="clear" w:color="auto" w:fill="DEEAF6" w:themeFill="accent1" w:themeFillTint="33"/>
            <w:vAlign w:val="center"/>
            <w:hideMark/>
          </w:tcPr>
          <w:p w14:paraId="2A444D4F"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19.02</w:t>
            </w:r>
          </w:p>
        </w:tc>
        <w:tc>
          <w:tcPr>
            <w:tcW w:w="962" w:type="dxa"/>
            <w:shd w:val="clear" w:color="auto" w:fill="DEEAF6" w:themeFill="accent1" w:themeFillTint="33"/>
            <w:vAlign w:val="center"/>
            <w:hideMark/>
          </w:tcPr>
          <w:p w14:paraId="195690F7"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0.16</w:t>
            </w:r>
          </w:p>
        </w:tc>
        <w:tc>
          <w:tcPr>
            <w:tcW w:w="922" w:type="dxa"/>
            <w:shd w:val="clear" w:color="auto" w:fill="DEEAF6" w:themeFill="accent1" w:themeFillTint="33"/>
            <w:vAlign w:val="center"/>
            <w:hideMark/>
          </w:tcPr>
          <w:p w14:paraId="29040F3A"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1.50</w:t>
            </w:r>
          </w:p>
        </w:tc>
        <w:tc>
          <w:tcPr>
            <w:tcW w:w="962" w:type="dxa"/>
            <w:shd w:val="clear" w:color="auto" w:fill="DEEAF6" w:themeFill="accent1" w:themeFillTint="33"/>
            <w:vAlign w:val="center"/>
            <w:hideMark/>
          </w:tcPr>
          <w:p w14:paraId="1BC8E017"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0.68</w:t>
            </w:r>
          </w:p>
        </w:tc>
        <w:tc>
          <w:tcPr>
            <w:tcW w:w="901" w:type="dxa"/>
            <w:shd w:val="clear" w:color="auto" w:fill="DEEAF6" w:themeFill="accent1" w:themeFillTint="33"/>
            <w:vAlign w:val="center"/>
            <w:hideMark/>
          </w:tcPr>
          <w:p w14:paraId="044998CB" w14:textId="77777777" w:rsidR="009D3601" w:rsidRPr="002B005F" w:rsidRDefault="009D3601" w:rsidP="00CC43D0">
            <w:pPr>
              <w:tabs>
                <w:tab w:val="left" w:pos="0"/>
              </w:tabs>
              <w:spacing w:line="240" w:lineRule="auto"/>
              <w:ind w:right="170"/>
              <w:jc w:val="right"/>
              <w:rPr>
                <w:rFonts w:ascii="Times New Roman" w:eastAsia="Times New Roman" w:hAnsi="Times New Roman" w:cs="Times New Roman"/>
                <w:iCs/>
              </w:rPr>
            </w:pPr>
            <w:r w:rsidRPr="002B005F">
              <w:rPr>
                <w:rFonts w:ascii="Times New Roman" w:eastAsia="Times New Roman" w:hAnsi="Times New Roman" w:cs="Times New Roman"/>
                <w:iCs/>
              </w:rPr>
              <w:t>3.18</w:t>
            </w:r>
          </w:p>
        </w:tc>
        <w:tc>
          <w:tcPr>
            <w:tcW w:w="962" w:type="dxa"/>
            <w:shd w:val="clear" w:color="auto" w:fill="DEEAF6" w:themeFill="accent1" w:themeFillTint="33"/>
            <w:vAlign w:val="center"/>
            <w:hideMark/>
          </w:tcPr>
          <w:p w14:paraId="16774D56"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0.530</w:t>
            </w:r>
          </w:p>
        </w:tc>
        <w:tc>
          <w:tcPr>
            <w:tcW w:w="922" w:type="dxa"/>
            <w:shd w:val="clear" w:color="auto" w:fill="DEEAF6" w:themeFill="accent1" w:themeFillTint="33"/>
            <w:vAlign w:val="center"/>
            <w:hideMark/>
          </w:tcPr>
          <w:p w14:paraId="79DE8872"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2.34</w:t>
            </w:r>
          </w:p>
        </w:tc>
        <w:tc>
          <w:tcPr>
            <w:tcW w:w="962" w:type="dxa"/>
            <w:shd w:val="clear" w:color="auto" w:fill="DEEAF6" w:themeFill="accent1" w:themeFillTint="33"/>
            <w:vAlign w:val="center"/>
            <w:hideMark/>
          </w:tcPr>
          <w:p w14:paraId="6925840F"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0.89</w:t>
            </w:r>
          </w:p>
        </w:tc>
      </w:tr>
      <w:tr w:rsidR="009D3601" w:rsidRPr="002B005F" w14:paraId="12F26C38" w14:textId="77777777" w:rsidTr="00CC43D0">
        <w:trPr>
          <w:trHeight w:val="680"/>
        </w:trPr>
        <w:tc>
          <w:tcPr>
            <w:tcW w:w="1583" w:type="dxa"/>
            <w:vAlign w:val="center"/>
            <w:hideMark/>
          </w:tcPr>
          <w:p w14:paraId="6C8E4665" w14:textId="77777777" w:rsidR="009D3601" w:rsidRPr="002B005F" w:rsidRDefault="009D3601" w:rsidP="00CC43D0">
            <w:pPr>
              <w:tabs>
                <w:tab w:val="left" w:pos="0"/>
              </w:tabs>
              <w:spacing w:line="240" w:lineRule="auto"/>
              <w:ind w:left="113"/>
              <w:jc w:val="left"/>
              <w:rPr>
                <w:rFonts w:ascii="Times New Roman" w:eastAsia="Times New Roman" w:hAnsi="Times New Roman" w:cs="Times New Roman"/>
                <w:b/>
                <w:bCs/>
                <w:i/>
                <w:sz w:val="24"/>
                <w:szCs w:val="24"/>
              </w:rPr>
            </w:pPr>
            <w:r w:rsidRPr="002B005F">
              <w:rPr>
                <w:rFonts w:ascii="Times New Roman" w:eastAsia="Times New Roman" w:hAnsi="Times New Roman" w:cs="Times New Roman"/>
                <w:b/>
                <w:bCs/>
                <w:i/>
                <w:sz w:val="24"/>
                <w:szCs w:val="24"/>
              </w:rPr>
              <w:t>Istisna’</w:t>
            </w:r>
          </w:p>
        </w:tc>
        <w:tc>
          <w:tcPr>
            <w:tcW w:w="922" w:type="dxa"/>
            <w:vAlign w:val="center"/>
            <w:hideMark/>
          </w:tcPr>
          <w:p w14:paraId="292F7B04"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19.46</w:t>
            </w:r>
          </w:p>
        </w:tc>
        <w:tc>
          <w:tcPr>
            <w:tcW w:w="962" w:type="dxa"/>
            <w:vAlign w:val="center"/>
            <w:hideMark/>
          </w:tcPr>
          <w:p w14:paraId="1D8F18B4"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0.15</w:t>
            </w:r>
          </w:p>
        </w:tc>
        <w:tc>
          <w:tcPr>
            <w:tcW w:w="922" w:type="dxa"/>
            <w:vAlign w:val="center"/>
            <w:hideMark/>
          </w:tcPr>
          <w:p w14:paraId="15B37979"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0.49</w:t>
            </w:r>
          </w:p>
        </w:tc>
        <w:tc>
          <w:tcPr>
            <w:tcW w:w="962" w:type="dxa"/>
            <w:vAlign w:val="center"/>
            <w:hideMark/>
          </w:tcPr>
          <w:p w14:paraId="2147E6C2"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0.92</w:t>
            </w:r>
          </w:p>
        </w:tc>
        <w:tc>
          <w:tcPr>
            <w:tcW w:w="901" w:type="dxa"/>
            <w:vAlign w:val="center"/>
            <w:hideMark/>
          </w:tcPr>
          <w:p w14:paraId="5E6C651C" w14:textId="77777777" w:rsidR="009D3601" w:rsidRPr="002B005F" w:rsidRDefault="009D3601" w:rsidP="00CC43D0">
            <w:pPr>
              <w:tabs>
                <w:tab w:val="left" w:pos="0"/>
              </w:tabs>
              <w:spacing w:line="240" w:lineRule="auto"/>
              <w:ind w:right="170"/>
              <w:jc w:val="right"/>
              <w:rPr>
                <w:rFonts w:ascii="Times New Roman" w:eastAsia="Times New Roman" w:hAnsi="Times New Roman" w:cs="Times New Roman"/>
                <w:iCs/>
              </w:rPr>
            </w:pPr>
            <w:r w:rsidRPr="002B005F">
              <w:rPr>
                <w:rFonts w:ascii="Times New Roman" w:eastAsia="Times New Roman" w:hAnsi="Times New Roman" w:cs="Times New Roman"/>
                <w:iCs/>
              </w:rPr>
              <w:t>4.87</w:t>
            </w:r>
          </w:p>
        </w:tc>
        <w:tc>
          <w:tcPr>
            <w:tcW w:w="962" w:type="dxa"/>
            <w:vAlign w:val="center"/>
            <w:hideMark/>
          </w:tcPr>
          <w:p w14:paraId="7F6FCBB1"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0.300</w:t>
            </w:r>
          </w:p>
        </w:tc>
        <w:tc>
          <w:tcPr>
            <w:tcW w:w="922" w:type="dxa"/>
            <w:vAlign w:val="center"/>
            <w:hideMark/>
          </w:tcPr>
          <w:p w14:paraId="7EE65469"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1.69</w:t>
            </w:r>
          </w:p>
        </w:tc>
        <w:tc>
          <w:tcPr>
            <w:tcW w:w="962" w:type="dxa"/>
            <w:vAlign w:val="center"/>
            <w:hideMark/>
          </w:tcPr>
          <w:p w14:paraId="65413DF2"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0.95</w:t>
            </w:r>
          </w:p>
        </w:tc>
      </w:tr>
      <w:tr w:rsidR="009D3601" w:rsidRPr="002B005F" w14:paraId="701D06FD" w14:textId="77777777" w:rsidTr="00CC43D0">
        <w:trPr>
          <w:trHeight w:val="680"/>
        </w:trPr>
        <w:tc>
          <w:tcPr>
            <w:tcW w:w="1583" w:type="dxa"/>
            <w:shd w:val="clear" w:color="auto" w:fill="DEEAF6" w:themeFill="accent1" w:themeFillTint="33"/>
            <w:vAlign w:val="center"/>
            <w:hideMark/>
          </w:tcPr>
          <w:p w14:paraId="792E6B1E" w14:textId="77777777" w:rsidR="009D3601" w:rsidRPr="002B005F" w:rsidRDefault="009D3601" w:rsidP="00CC43D0">
            <w:pPr>
              <w:tabs>
                <w:tab w:val="left" w:pos="0"/>
              </w:tabs>
              <w:spacing w:line="240" w:lineRule="auto"/>
              <w:ind w:left="113"/>
              <w:jc w:val="left"/>
              <w:rPr>
                <w:rFonts w:ascii="Times New Roman" w:eastAsia="Times New Roman" w:hAnsi="Times New Roman" w:cs="Times New Roman"/>
                <w:iCs/>
                <w:sz w:val="24"/>
                <w:szCs w:val="24"/>
              </w:rPr>
            </w:pPr>
            <w:r w:rsidRPr="002B005F">
              <w:rPr>
                <w:rFonts w:ascii="Times New Roman" w:eastAsia="Times New Roman" w:hAnsi="Times New Roman" w:cs="Times New Roman"/>
                <w:b/>
                <w:bCs/>
                <w:i/>
                <w:sz w:val="24"/>
                <w:szCs w:val="24"/>
              </w:rPr>
              <w:t>Salam</w:t>
            </w:r>
          </w:p>
        </w:tc>
        <w:tc>
          <w:tcPr>
            <w:tcW w:w="922" w:type="dxa"/>
            <w:shd w:val="clear" w:color="auto" w:fill="DEEAF6" w:themeFill="accent1" w:themeFillTint="33"/>
            <w:vAlign w:val="center"/>
            <w:hideMark/>
          </w:tcPr>
          <w:p w14:paraId="04D068BF"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18.39</w:t>
            </w:r>
          </w:p>
        </w:tc>
        <w:tc>
          <w:tcPr>
            <w:tcW w:w="962" w:type="dxa"/>
            <w:shd w:val="clear" w:color="auto" w:fill="DEEAF6" w:themeFill="accent1" w:themeFillTint="33"/>
            <w:vAlign w:val="center"/>
            <w:hideMark/>
          </w:tcPr>
          <w:p w14:paraId="4A4F0AD4"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0.19</w:t>
            </w:r>
          </w:p>
        </w:tc>
        <w:tc>
          <w:tcPr>
            <w:tcW w:w="922" w:type="dxa"/>
            <w:shd w:val="clear" w:color="auto" w:fill="DEEAF6" w:themeFill="accent1" w:themeFillTint="33"/>
            <w:vAlign w:val="center"/>
            <w:hideMark/>
          </w:tcPr>
          <w:p w14:paraId="555F3DA2"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0.97</w:t>
            </w:r>
          </w:p>
        </w:tc>
        <w:tc>
          <w:tcPr>
            <w:tcW w:w="962" w:type="dxa"/>
            <w:shd w:val="clear" w:color="auto" w:fill="DEEAF6" w:themeFill="accent1" w:themeFillTint="33"/>
            <w:vAlign w:val="center"/>
            <w:hideMark/>
          </w:tcPr>
          <w:p w14:paraId="41CC48CB"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0.81</w:t>
            </w:r>
          </w:p>
        </w:tc>
        <w:tc>
          <w:tcPr>
            <w:tcW w:w="901" w:type="dxa"/>
            <w:shd w:val="clear" w:color="auto" w:fill="DEEAF6" w:themeFill="accent1" w:themeFillTint="33"/>
            <w:vAlign w:val="center"/>
            <w:hideMark/>
          </w:tcPr>
          <w:p w14:paraId="55115E86" w14:textId="77777777" w:rsidR="009D3601" w:rsidRPr="002B005F" w:rsidRDefault="009D3601" w:rsidP="00CC43D0">
            <w:pPr>
              <w:tabs>
                <w:tab w:val="left" w:pos="0"/>
              </w:tabs>
              <w:spacing w:line="240" w:lineRule="auto"/>
              <w:ind w:right="170"/>
              <w:jc w:val="right"/>
              <w:rPr>
                <w:rFonts w:ascii="Times New Roman" w:eastAsia="Times New Roman" w:hAnsi="Times New Roman" w:cs="Times New Roman"/>
                <w:iCs/>
              </w:rPr>
            </w:pPr>
            <w:r w:rsidRPr="002B005F">
              <w:rPr>
                <w:rFonts w:ascii="Times New Roman" w:eastAsia="Times New Roman" w:hAnsi="Times New Roman" w:cs="Times New Roman"/>
                <w:iCs/>
              </w:rPr>
              <w:t>3.52</w:t>
            </w:r>
          </w:p>
        </w:tc>
        <w:tc>
          <w:tcPr>
            <w:tcW w:w="962" w:type="dxa"/>
            <w:shd w:val="clear" w:color="auto" w:fill="DEEAF6" w:themeFill="accent1" w:themeFillTint="33"/>
            <w:vAlign w:val="center"/>
            <w:hideMark/>
          </w:tcPr>
          <w:p w14:paraId="16641F29"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0.480</w:t>
            </w:r>
          </w:p>
        </w:tc>
        <w:tc>
          <w:tcPr>
            <w:tcW w:w="922" w:type="dxa"/>
            <w:shd w:val="clear" w:color="auto" w:fill="DEEAF6" w:themeFill="accent1" w:themeFillTint="33"/>
            <w:vAlign w:val="center"/>
            <w:hideMark/>
          </w:tcPr>
          <w:p w14:paraId="1A0C31A0" w14:textId="77777777" w:rsidR="009D3601" w:rsidRPr="002B005F" w:rsidRDefault="009D3601" w:rsidP="00CC43D0">
            <w:pPr>
              <w:tabs>
                <w:tab w:val="left" w:pos="0"/>
              </w:tabs>
              <w:spacing w:line="240" w:lineRule="auto"/>
              <w:jc w:val="center"/>
              <w:rPr>
                <w:rFonts w:ascii="Times New Roman" w:eastAsia="Times New Roman" w:hAnsi="Times New Roman" w:cs="Times New Roman"/>
                <w:iCs/>
              </w:rPr>
            </w:pPr>
            <w:r w:rsidRPr="002B005F">
              <w:rPr>
                <w:rFonts w:ascii="Times New Roman" w:eastAsia="Times New Roman" w:hAnsi="Times New Roman" w:cs="Times New Roman"/>
                <w:iCs/>
              </w:rPr>
              <w:t>1.69</w:t>
            </w:r>
          </w:p>
        </w:tc>
        <w:tc>
          <w:tcPr>
            <w:tcW w:w="962" w:type="dxa"/>
            <w:shd w:val="clear" w:color="auto" w:fill="DEEAF6" w:themeFill="accent1" w:themeFillTint="33"/>
            <w:vAlign w:val="center"/>
            <w:hideMark/>
          </w:tcPr>
          <w:p w14:paraId="60D896C6" w14:textId="77777777" w:rsidR="009D3601" w:rsidRPr="002B005F" w:rsidRDefault="009D3601" w:rsidP="00CC43D0">
            <w:pPr>
              <w:tabs>
                <w:tab w:val="left" w:pos="0"/>
              </w:tabs>
              <w:spacing w:line="240" w:lineRule="auto"/>
              <w:ind w:right="20"/>
              <w:jc w:val="center"/>
              <w:rPr>
                <w:rFonts w:ascii="Times New Roman" w:eastAsia="Times New Roman" w:hAnsi="Times New Roman" w:cs="Times New Roman"/>
                <w:iCs/>
              </w:rPr>
            </w:pPr>
            <w:r w:rsidRPr="002B005F">
              <w:rPr>
                <w:rFonts w:ascii="Times New Roman" w:eastAsia="Times New Roman" w:hAnsi="Times New Roman" w:cs="Times New Roman"/>
                <w:iCs/>
              </w:rPr>
              <w:t>0.95</w:t>
            </w:r>
          </w:p>
        </w:tc>
      </w:tr>
    </w:tbl>
    <w:p w14:paraId="24A208AE" w14:textId="77777777" w:rsidR="004B1423" w:rsidRPr="009D3601" w:rsidRDefault="009D3601" w:rsidP="009D3601">
      <w:pPr>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 Calculs du chercheur.</w:t>
      </w:r>
    </w:p>
    <w:p w14:paraId="7733BCEC" w14:textId="77777777" w:rsidR="002760B2" w:rsidRPr="002B005F" w:rsidRDefault="009D3601" w:rsidP="00D66FFE">
      <w:pPr>
        <w:pStyle w:val="Titre4"/>
        <w:keepNext w:val="0"/>
        <w:spacing w:before="100" w:beforeAutospacing="1" w:after="120" w:line="300" w:lineRule="auto"/>
        <w:ind w:firstLine="709"/>
      </w:pPr>
      <w:bookmarkStart w:id="1728" w:name="_Toc33263402"/>
      <w:bookmarkStart w:id="1729" w:name="_Toc37664665"/>
      <w:bookmarkStart w:id="1730" w:name="_Toc37666510"/>
      <w:bookmarkStart w:id="1731" w:name="_Toc54363407"/>
      <w:bookmarkStart w:id="1732" w:name="_Toc58606381"/>
      <w:bookmarkStart w:id="1733" w:name="_Toc61263586"/>
      <w:bookmarkStart w:id="1734" w:name="_Toc182298925"/>
      <w:r>
        <w:t>2</w:t>
      </w:r>
      <w:r w:rsidR="00635649">
        <w:t xml:space="preserve">.2.2- </w:t>
      </w:r>
      <w:r w:rsidR="002760B2" w:rsidRPr="002B005F">
        <w:t xml:space="preserve">Pratiques bancaires </w:t>
      </w:r>
      <w:r w:rsidR="00AB41B4">
        <w:t>i</w:t>
      </w:r>
      <w:r w:rsidR="003773C6" w:rsidRPr="002B005F">
        <w:t>slamique</w:t>
      </w:r>
      <w:r w:rsidR="002760B2" w:rsidRPr="002B005F">
        <w:t>s</w:t>
      </w:r>
      <w:bookmarkEnd w:id="1728"/>
      <w:bookmarkEnd w:id="1729"/>
      <w:bookmarkEnd w:id="1730"/>
      <w:bookmarkEnd w:id="1731"/>
      <w:bookmarkEnd w:id="1732"/>
      <w:bookmarkEnd w:id="1733"/>
      <w:bookmarkEnd w:id="1734"/>
    </w:p>
    <w:p w14:paraId="16E38F0A" w14:textId="77777777" w:rsidR="002760B2" w:rsidRPr="006A69AC" w:rsidRDefault="009D3601" w:rsidP="00D66FFE">
      <w:pPr>
        <w:pStyle w:val="Titre5"/>
        <w:keepNext w:val="0"/>
        <w:keepLines w:val="0"/>
        <w:spacing w:before="120" w:after="120" w:line="300" w:lineRule="auto"/>
        <w:ind w:firstLine="709"/>
        <w:rPr>
          <w:rFonts w:asciiTheme="majorBidi" w:hAnsiTheme="majorBidi"/>
          <w:b/>
          <w:bCs/>
          <w:color w:val="auto"/>
          <w:sz w:val="24"/>
          <w:szCs w:val="24"/>
        </w:rPr>
      </w:pPr>
      <w:bookmarkStart w:id="1735" w:name="_Toc182298926"/>
      <w:r w:rsidRPr="006A69AC">
        <w:rPr>
          <w:rFonts w:asciiTheme="majorBidi" w:hAnsiTheme="majorBidi"/>
          <w:b/>
          <w:bCs/>
          <w:color w:val="auto"/>
          <w:sz w:val="24"/>
          <w:szCs w:val="24"/>
        </w:rPr>
        <w:t>2</w:t>
      </w:r>
      <w:r w:rsidR="0086245F" w:rsidRPr="006A69AC">
        <w:rPr>
          <w:rFonts w:asciiTheme="majorBidi" w:hAnsiTheme="majorBidi"/>
          <w:b/>
          <w:bCs/>
          <w:color w:val="auto"/>
          <w:sz w:val="24"/>
          <w:szCs w:val="24"/>
        </w:rPr>
        <w:t xml:space="preserve">.2.2.1- </w:t>
      </w:r>
      <w:r w:rsidR="00566DE6" w:rsidRPr="006A69AC">
        <w:rPr>
          <w:rFonts w:asciiTheme="majorBidi" w:hAnsiTheme="majorBidi"/>
          <w:b/>
          <w:bCs/>
          <w:color w:val="auto"/>
          <w:sz w:val="24"/>
          <w:szCs w:val="24"/>
        </w:rPr>
        <w:t>Perception</w:t>
      </w:r>
      <w:r w:rsidR="00E7403C" w:rsidRPr="006A69AC">
        <w:rPr>
          <w:rFonts w:asciiTheme="majorBidi" w:hAnsiTheme="majorBidi"/>
          <w:b/>
          <w:bCs/>
          <w:color w:val="auto"/>
          <w:sz w:val="24"/>
          <w:szCs w:val="24"/>
        </w:rPr>
        <w:t xml:space="preserve"> sur la question 11</w:t>
      </w:r>
      <w:bookmarkEnd w:id="1735"/>
    </w:p>
    <w:p w14:paraId="32F33C4A" w14:textId="77777777" w:rsidR="002760B2" w:rsidRPr="002B005F" w:rsidRDefault="002760B2" w:rsidP="00566DE6">
      <w:pPr>
        <w:tabs>
          <w:tab w:val="left" w:pos="0"/>
        </w:tabs>
        <w:spacing w:before="120" w:after="120"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Cette section examine la proposition que les banques </w:t>
      </w:r>
      <w:r w:rsidR="00AB41B4">
        <w:rPr>
          <w:rFonts w:ascii="Times New Roman" w:eastAsia="Times New Roman" w:hAnsi="Times New Roman" w:cs="Times New Roman"/>
          <w:sz w:val="24"/>
          <w:szCs w:val="24"/>
        </w:rPr>
        <w:t>i</w:t>
      </w:r>
      <w:r w:rsidR="003773C6" w:rsidRPr="002B005F">
        <w:rPr>
          <w:rFonts w:ascii="Times New Roman" w:eastAsia="Times New Roman" w:hAnsi="Times New Roman" w:cs="Times New Roman"/>
          <w:sz w:val="24"/>
          <w:szCs w:val="24"/>
        </w:rPr>
        <w:t>slamique</w:t>
      </w:r>
      <w:r w:rsidRPr="002B005F">
        <w:rPr>
          <w:rFonts w:ascii="Times New Roman" w:eastAsia="Times New Roman" w:hAnsi="Times New Roman" w:cs="Times New Roman"/>
          <w:sz w:val="24"/>
          <w:szCs w:val="24"/>
        </w:rPr>
        <w:t>s se sont éloignées de leurs racines en imitant les banques conventionnelles. Ce faisant, un test K-W a été effectué en en fonction de la nature de FI.</w:t>
      </w:r>
    </w:p>
    <w:p w14:paraId="385CAB90" w14:textId="77777777" w:rsidR="002760B2" w:rsidRPr="002B005F" w:rsidRDefault="002760B2" w:rsidP="00566DE6">
      <w:pPr>
        <w:tabs>
          <w:tab w:val="left" w:pos="0"/>
        </w:tabs>
        <w:spacing w:before="120" w:after="120"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 xml:space="preserve">Cette section vise à tester les perceptions des participants par rapport aux énoncés suivants. Le codage des déclarations figurant dans les tableaux est le </w:t>
      </w:r>
      <w:r w:rsidR="009543A1" w:rsidRPr="002B005F">
        <w:rPr>
          <w:rFonts w:ascii="Times New Roman" w:eastAsia="Times New Roman" w:hAnsi="Times New Roman" w:cs="Times New Roman"/>
          <w:sz w:val="24"/>
          <w:szCs w:val="24"/>
        </w:rPr>
        <w:t>suivant :</w:t>
      </w:r>
    </w:p>
    <w:p w14:paraId="562E947E" w14:textId="77777777" w:rsidR="002760B2" w:rsidRPr="002B005F" w:rsidRDefault="002760B2" w:rsidP="00CB0FF1">
      <w:pPr>
        <w:pStyle w:val="Paragraphedeliste"/>
        <w:numPr>
          <w:ilvl w:val="0"/>
          <w:numId w:val="37"/>
        </w:numPr>
        <w:tabs>
          <w:tab w:val="left" w:pos="426"/>
          <w:tab w:val="center" w:pos="1134"/>
        </w:tabs>
        <w:spacing w:before="120" w:after="120" w:line="300" w:lineRule="auto"/>
        <w:ind w:left="1418" w:hanging="283"/>
        <w:contextualSpacing w:val="0"/>
        <w:rPr>
          <w:rFonts w:ascii="Times New Roman" w:eastAsia="Times New Roman" w:hAnsi="Times New Roman" w:cs="Times New Roman"/>
          <w:sz w:val="24"/>
          <w:szCs w:val="24"/>
        </w:rPr>
      </w:pPr>
      <w:r w:rsidRPr="002B005F">
        <w:rPr>
          <w:rFonts w:ascii="Times New Roman" w:hAnsi="Times New Roman" w:cs="Times New Roman"/>
          <w:sz w:val="24"/>
          <w:szCs w:val="24"/>
        </w:rPr>
        <w:t xml:space="preserve">Les banques </w:t>
      </w:r>
      <w:r w:rsidR="00AB41B4">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imitent les banques conventionnelles.</w:t>
      </w:r>
    </w:p>
    <w:p w14:paraId="5403962A" w14:textId="77777777" w:rsidR="002760B2" w:rsidRPr="002B005F" w:rsidRDefault="002760B2" w:rsidP="00CB0FF1">
      <w:pPr>
        <w:pStyle w:val="Paragraphedeliste"/>
        <w:numPr>
          <w:ilvl w:val="0"/>
          <w:numId w:val="37"/>
        </w:numPr>
        <w:tabs>
          <w:tab w:val="left" w:pos="426"/>
          <w:tab w:val="center" w:pos="1134"/>
        </w:tabs>
        <w:spacing w:before="120" w:after="120" w:line="300" w:lineRule="auto"/>
        <w:ind w:left="1418" w:hanging="284"/>
        <w:contextualSpacing w:val="0"/>
        <w:rPr>
          <w:rFonts w:ascii="Times New Roman" w:eastAsia="Times New Roman" w:hAnsi="Times New Roman" w:cs="Times New Roman"/>
          <w:sz w:val="24"/>
          <w:szCs w:val="24"/>
        </w:rPr>
      </w:pPr>
      <w:r w:rsidRPr="002B005F">
        <w:rPr>
          <w:rFonts w:ascii="Times New Roman" w:hAnsi="Times New Roman" w:cs="Times New Roman"/>
          <w:sz w:val="24"/>
          <w:szCs w:val="24"/>
        </w:rPr>
        <w:t xml:space="preserve">La finance </w:t>
      </w:r>
      <w:r w:rsidR="00AB41B4">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fournit une alternative bancaire.</w:t>
      </w:r>
    </w:p>
    <w:p w14:paraId="28A4B4C8" w14:textId="77777777" w:rsidR="002760B2" w:rsidRPr="002B005F" w:rsidRDefault="002760B2" w:rsidP="00CB0FF1">
      <w:pPr>
        <w:pStyle w:val="Paragraphedeliste"/>
        <w:numPr>
          <w:ilvl w:val="0"/>
          <w:numId w:val="37"/>
        </w:numPr>
        <w:tabs>
          <w:tab w:val="left" w:pos="426"/>
          <w:tab w:val="center" w:pos="1134"/>
        </w:tabs>
        <w:spacing w:before="120" w:after="120" w:line="300" w:lineRule="auto"/>
        <w:ind w:left="1418" w:hanging="283"/>
        <w:contextualSpacing w:val="0"/>
        <w:rPr>
          <w:rFonts w:ascii="Times New Roman" w:eastAsia="Times New Roman" w:hAnsi="Times New Roman" w:cs="Times New Roman"/>
          <w:sz w:val="24"/>
          <w:szCs w:val="24"/>
        </w:rPr>
      </w:pPr>
      <w:r w:rsidRPr="002B005F">
        <w:rPr>
          <w:rFonts w:ascii="Times New Roman" w:hAnsi="Times New Roman" w:cs="Times New Roman"/>
          <w:sz w:val="24"/>
          <w:szCs w:val="24"/>
        </w:rPr>
        <w:t>Il existe une différence entre les principes et les pratiques actuelles des BI.</w:t>
      </w:r>
    </w:p>
    <w:p w14:paraId="51B8293B" w14:textId="77777777" w:rsidR="002760B2" w:rsidRPr="002B005F" w:rsidRDefault="002760B2" w:rsidP="00CB0FF1">
      <w:pPr>
        <w:pStyle w:val="Paragraphedeliste"/>
        <w:numPr>
          <w:ilvl w:val="0"/>
          <w:numId w:val="37"/>
        </w:numPr>
        <w:tabs>
          <w:tab w:val="left" w:pos="426"/>
          <w:tab w:val="center" w:pos="1134"/>
        </w:tabs>
        <w:spacing w:before="120" w:after="120" w:line="300" w:lineRule="auto"/>
        <w:ind w:left="1418" w:hanging="283"/>
        <w:contextualSpacing w:val="0"/>
        <w:rPr>
          <w:rFonts w:ascii="Times New Roman" w:eastAsia="Times New Roman" w:hAnsi="Times New Roman" w:cs="Times New Roman"/>
          <w:sz w:val="24"/>
          <w:szCs w:val="24"/>
        </w:rPr>
      </w:pPr>
      <w:r w:rsidRPr="002B005F">
        <w:rPr>
          <w:rFonts w:ascii="Times New Roman" w:hAnsi="Times New Roman" w:cs="Times New Roman"/>
          <w:sz w:val="24"/>
          <w:szCs w:val="24"/>
        </w:rPr>
        <w:t>Les BI font recours massivement aux produits financiers à revenu fixe.</w:t>
      </w:r>
    </w:p>
    <w:p w14:paraId="2112AEB4" w14:textId="77777777" w:rsidR="0095278E" w:rsidRPr="0095278E" w:rsidRDefault="002760B2" w:rsidP="00CB0FF1">
      <w:pPr>
        <w:pStyle w:val="Paragraphedeliste"/>
        <w:numPr>
          <w:ilvl w:val="0"/>
          <w:numId w:val="37"/>
        </w:numPr>
        <w:tabs>
          <w:tab w:val="left" w:pos="426"/>
          <w:tab w:val="center" w:pos="1134"/>
        </w:tabs>
        <w:spacing w:before="120" w:after="120" w:line="300" w:lineRule="auto"/>
        <w:ind w:left="1418" w:hanging="283"/>
        <w:contextualSpacing w:val="0"/>
        <w:rPr>
          <w:rFonts w:ascii="Times New Roman" w:hAnsi="Times New Roman" w:cs="Times New Roman"/>
          <w:spacing w:val="-14"/>
          <w:sz w:val="24"/>
          <w:szCs w:val="24"/>
        </w:rPr>
      </w:pPr>
      <w:r w:rsidRPr="002B005F">
        <w:rPr>
          <w:rFonts w:ascii="Times New Roman" w:hAnsi="Times New Roman" w:cs="Times New Roman"/>
          <w:sz w:val="24"/>
          <w:szCs w:val="24"/>
        </w:rPr>
        <w:t>Les BI évitent les modes de financement participatifs à cause de leur degré de risque trop élevé</w:t>
      </w:r>
      <w:r w:rsidRPr="002B005F">
        <w:rPr>
          <w:rFonts w:ascii="Times New Roman" w:hAnsi="Times New Roman" w:cs="Times New Roman"/>
          <w:spacing w:val="-14"/>
          <w:sz w:val="24"/>
          <w:szCs w:val="24"/>
        </w:rPr>
        <w:t>.</w:t>
      </w:r>
      <w:r w:rsidR="00AA12F2" w:rsidRPr="0095278E">
        <w:rPr>
          <w:rFonts w:ascii="Times New Roman" w:hAnsi="Times New Roman" w:cs="Times New Roman"/>
          <w:spacing w:val="-14"/>
          <w:sz w:val="24"/>
          <w:szCs w:val="24"/>
        </w:rPr>
        <w:br w:type="page"/>
      </w:r>
    </w:p>
    <w:p w14:paraId="64C4E2F0" w14:textId="19902EEB" w:rsidR="009D3601" w:rsidRPr="0095278E" w:rsidRDefault="0095278E" w:rsidP="0095278E">
      <w:pPr>
        <w:pStyle w:val="Lgende"/>
        <w:keepNext/>
        <w:jc w:val="center"/>
        <w:rPr>
          <w:rFonts w:asciiTheme="majorBidi" w:hAnsiTheme="majorBidi" w:cstheme="majorBidi"/>
          <w:color w:val="auto"/>
          <w:sz w:val="24"/>
          <w:szCs w:val="24"/>
        </w:rPr>
      </w:pPr>
      <w:bookmarkStart w:id="1736" w:name="_Toc115556104"/>
      <w:r w:rsidRPr="0095278E">
        <w:rPr>
          <w:rFonts w:asciiTheme="majorBidi" w:hAnsiTheme="majorBidi" w:cstheme="majorBidi"/>
          <w:color w:val="auto"/>
          <w:sz w:val="24"/>
          <w:szCs w:val="24"/>
        </w:rPr>
        <w:t xml:space="preserve">Tableau </w:t>
      </w:r>
      <w:r w:rsidR="00B544E5" w:rsidRPr="0095278E">
        <w:rPr>
          <w:rFonts w:asciiTheme="majorBidi" w:hAnsiTheme="majorBidi" w:cstheme="majorBidi"/>
          <w:color w:val="auto"/>
          <w:sz w:val="24"/>
          <w:szCs w:val="24"/>
        </w:rPr>
        <w:fldChar w:fldCharType="begin"/>
      </w:r>
      <w:r w:rsidRPr="0095278E">
        <w:rPr>
          <w:rFonts w:asciiTheme="majorBidi" w:hAnsiTheme="majorBidi" w:cstheme="majorBidi"/>
          <w:color w:val="auto"/>
          <w:sz w:val="24"/>
          <w:szCs w:val="24"/>
        </w:rPr>
        <w:instrText xml:space="preserve"> SEQ Tableau \* ARABIC </w:instrText>
      </w:r>
      <w:r w:rsidR="00B544E5" w:rsidRPr="0095278E">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36</w:t>
      </w:r>
      <w:r w:rsidR="00B544E5" w:rsidRPr="0095278E">
        <w:rPr>
          <w:rFonts w:asciiTheme="majorBidi" w:hAnsiTheme="majorBidi" w:cstheme="majorBidi"/>
          <w:color w:val="auto"/>
          <w:sz w:val="24"/>
          <w:szCs w:val="24"/>
        </w:rPr>
        <w:fldChar w:fldCharType="end"/>
      </w:r>
      <w:r w:rsidRPr="0095278E">
        <w:rPr>
          <w:rFonts w:asciiTheme="majorBidi" w:hAnsiTheme="majorBidi" w:cstheme="majorBidi"/>
          <w:color w:val="auto"/>
          <w:sz w:val="24"/>
          <w:szCs w:val="24"/>
        </w:rPr>
        <w:t>- Test K-W seon la nature de l'IF pour Q11</w:t>
      </w:r>
      <w:bookmarkEnd w:id="1736"/>
      <w:r w:rsidR="009D3601" w:rsidRPr="0095278E">
        <w:rPr>
          <w:rFonts w:asciiTheme="majorBidi" w:hAnsiTheme="majorBidi" w:cstheme="majorBidi"/>
          <w:color w:val="auto"/>
          <w:sz w:val="24"/>
          <w:szCs w:val="24"/>
        </w:rPr>
        <w:t xml:space="preserve"> </w:t>
      </w:r>
    </w:p>
    <w:tbl>
      <w:tblPr>
        <w:tblStyle w:val="Grilledutableau"/>
        <w:tblW w:w="9073" w:type="dxa"/>
        <w:jc w:val="center"/>
        <w:tblLayout w:type="fixed"/>
        <w:tblCellMar>
          <w:top w:w="85" w:type="dxa"/>
          <w:left w:w="0" w:type="dxa"/>
          <w:bottom w:w="28" w:type="dxa"/>
          <w:right w:w="57" w:type="dxa"/>
        </w:tblCellMar>
        <w:tblLook w:val="04A0" w:firstRow="1" w:lastRow="0" w:firstColumn="1" w:lastColumn="0" w:noHBand="0" w:noVBand="1"/>
      </w:tblPr>
      <w:tblGrid>
        <w:gridCol w:w="2693"/>
        <w:gridCol w:w="1276"/>
        <w:gridCol w:w="1276"/>
        <w:gridCol w:w="1276"/>
        <w:gridCol w:w="1276"/>
        <w:gridCol w:w="1276"/>
      </w:tblGrid>
      <w:tr w:rsidR="009D3601" w:rsidRPr="002B005F" w14:paraId="07896A4B" w14:textId="77777777" w:rsidTr="00CC43D0">
        <w:trPr>
          <w:trHeight w:val="567"/>
          <w:jc w:val="center"/>
        </w:trPr>
        <w:tc>
          <w:tcPr>
            <w:tcW w:w="2693" w:type="dxa"/>
            <w:tcBorders>
              <w:bottom w:val="nil"/>
            </w:tcBorders>
            <w:vAlign w:val="center"/>
          </w:tcPr>
          <w:p w14:paraId="70431030" w14:textId="77777777" w:rsidR="009D3601" w:rsidRPr="002B005F" w:rsidRDefault="009D3601" w:rsidP="00CC43D0">
            <w:pPr>
              <w:tabs>
                <w:tab w:val="left" w:pos="0"/>
              </w:tabs>
              <w:jc w:val="center"/>
              <w:rPr>
                <w:rFonts w:ascii="Times New Roman" w:hAnsi="Times New Roman" w:cs="Times New Roman"/>
              </w:rPr>
            </w:pPr>
          </w:p>
        </w:tc>
        <w:tc>
          <w:tcPr>
            <w:tcW w:w="6380" w:type="dxa"/>
            <w:gridSpan w:val="5"/>
            <w:vAlign w:val="center"/>
          </w:tcPr>
          <w:p w14:paraId="57D0FD11" w14:textId="77777777" w:rsidR="009D3601" w:rsidRPr="002B005F" w:rsidRDefault="009D3601" w:rsidP="00CC43D0">
            <w:pPr>
              <w:tabs>
                <w:tab w:val="left" w:pos="0"/>
                <w:tab w:val="left" w:pos="2640"/>
              </w:tabs>
              <w:jc w:val="center"/>
              <w:rPr>
                <w:rFonts w:ascii="Times New Roman" w:hAnsi="Times New Roman" w:cs="Times New Roman"/>
                <w:b/>
                <w:bCs/>
              </w:rPr>
            </w:pPr>
            <w:r w:rsidRPr="002B005F">
              <w:rPr>
                <w:rFonts w:ascii="Times New Roman" w:hAnsi="Times New Roman" w:cs="Times New Roman"/>
                <w:b/>
                <w:bCs/>
                <w:sz w:val="24"/>
                <w:szCs w:val="24"/>
              </w:rPr>
              <w:t>Déclarations</w:t>
            </w:r>
          </w:p>
        </w:tc>
      </w:tr>
      <w:tr w:rsidR="009D3601" w:rsidRPr="002B005F" w14:paraId="37DFC4BF" w14:textId="77777777" w:rsidTr="00CC43D0">
        <w:trPr>
          <w:trHeight w:val="567"/>
          <w:jc w:val="center"/>
        </w:trPr>
        <w:tc>
          <w:tcPr>
            <w:tcW w:w="2693" w:type="dxa"/>
            <w:tcBorders>
              <w:top w:val="nil"/>
            </w:tcBorders>
            <w:vAlign w:val="center"/>
          </w:tcPr>
          <w:p w14:paraId="3DBF6F0D" w14:textId="77777777" w:rsidR="009D3601" w:rsidRPr="002B005F" w:rsidRDefault="009D3601" w:rsidP="00CC43D0">
            <w:pPr>
              <w:tabs>
                <w:tab w:val="left" w:pos="0"/>
              </w:tabs>
              <w:jc w:val="center"/>
              <w:rPr>
                <w:rFonts w:ascii="Times New Roman" w:hAnsi="Times New Roman" w:cs="Times New Roman"/>
              </w:rPr>
            </w:pPr>
          </w:p>
        </w:tc>
        <w:tc>
          <w:tcPr>
            <w:tcW w:w="1276" w:type="dxa"/>
            <w:vAlign w:val="center"/>
          </w:tcPr>
          <w:p w14:paraId="74141B37" w14:textId="77777777" w:rsidR="009D3601" w:rsidRPr="002B005F" w:rsidRDefault="009D3601" w:rsidP="00CC43D0">
            <w:pPr>
              <w:tabs>
                <w:tab w:val="left" w:pos="0"/>
              </w:tabs>
              <w:jc w:val="center"/>
              <w:rPr>
                <w:rFonts w:ascii="Times New Roman" w:hAnsi="Times New Roman" w:cs="Times New Roman"/>
              </w:rPr>
            </w:pPr>
            <w:r w:rsidRPr="002B005F">
              <w:rPr>
                <w:rFonts w:ascii="Times New Roman" w:hAnsi="Times New Roman" w:cs="Times New Roman"/>
              </w:rPr>
              <w:t>1</w:t>
            </w:r>
          </w:p>
        </w:tc>
        <w:tc>
          <w:tcPr>
            <w:tcW w:w="1276" w:type="dxa"/>
            <w:vAlign w:val="center"/>
          </w:tcPr>
          <w:p w14:paraId="4264F07C" w14:textId="77777777" w:rsidR="009D3601" w:rsidRPr="002B005F" w:rsidRDefault="009D3601" w:rsidP="00CC43D0">
            <w:pPr>
              <w:tabs>
                <w:tab w:val="left" w:pos="0"/>
              </w:tabs>
              <w:jc w:val="center"/>
              <w:rPr>
                <w:rFonts w:ascii="Times New Roman" w:hAnsi="Times New Roman" w:cs="Times New Roman"/>
              </w:rPr>
            </w:pPr>
            <w:r w:rsidRPr="002B005F">
              <w:rPr>
                <w:rFonts w:ascii="Times New Roman" w:hAnsi="Times New Roman" w:cs="Times New Roman"/>
              </w:rPr>
              <w:t>2</w:t>
            </w:r>
          </w:p>
        </w:tc>
        <w:tc>
          <w:tcPr>
            <w:tcW w:w="1276" w:type="dxa"/>
            <w:vAlign w:val="center"/>
          </w:tcPr>
          <w:p w14:paraId="356AA747" w14:textId="77777777" w:rsidR="009D3601" w:rsidRPr="002B005F" w:rsidRDefault="009D3601" w:rsidP="00CC43D0">
            <w:pPr>
              <w:tabs>
                <w:tab w:val="left" w:pos="0"/>
              </w:tabs>
              <w:jc w:val="center"/>
              <w:rPr>
                <w:rFonts w:ascii="Times New Roman" w:hAnsi="Times New Roman" w:cs="Times New Roman"/>
              </w:rPr>
            </w:pPr>
            <w:r w:rsidRPr="002B005F">
              <w:rPr>
                <w:rFonts w:ascii="Times New Roman" w:hAnsi="Times New Roman" w:cs="Times New Roman"/>
              </w:rPr>
              <w:t>3</w:t>
            </w:r>
          </w:p>
        </w:tc>
        <w:tc>
          <w:tcPr>
            <w:tcW w:w="1276" w:type="dxa"/>
            <w:vAlign w:val="center"/>
          </w:tcPr>
          <w:p w14:paraId="57A02DA7" w14:textId="77777777" w:rsidR="009D3601" w:rsidRPr="002B005F" w:rsidRDefault="009D3601" w:rsidP="00CC43D0">
            <w:pPr>
              <w:tabs>
                <w:tab w:val="left" w:pos="0"/>
              </w:tabs>
              <w:jc w:val="center"/>
              <w:rPr>
                <w:rFonts w:ascii="Times New Roman" w:hAnsi="Times New Roman" w:cs="Times New Roman"/>
              </w:rPr>
            </w:pPr>
            <w:r w:rsidRPr="002B005F">
              <w:rPr>
                <w:rFonts w:ascii="Times New Roman" w:hAnsi="Times New Roman" w:cs="Times New Roman"/>
              </w:rPr>
              <w:t>4</w:t>
            </w:r>
          </w:p>
        </w:tc>
        <w:tc>
          <w:tcPr>
            <w:tcW w:w="1276" w:type="dxa"/>
            <w:vAlign w:val="center"/>
          </w:tcPr>
          <w:p w14:paraId="370437DC" w14:textId="77777777" w:rsidR="009D3601" w:rsidRPr="002B005F" w:rsidRDefault="009D3601" w:rsidP="00CC43D0">
            <w:pPr>
              <w:tabs>
                <w:tab w:val="left" w:pos="0"/>
              </w:tabs>
              <w:jc w:val="center"/>
              <w:rPr>
                <w:rFonts w:ascii="Times New Roman" w:hAnsi="Times New Roman" w:cs="Times New Roman"/>
              </w:rPr>
            </w:pPr>
            <w:r w:rsidRPr="002B005F">
              <w:rPr>
                <w:rFonts w:ascii="Times New Roman" w:hAnsi="Times New Roman" w:cs="Times New Roman"/>
              </w:rPr>
              <w:t>5</w:t>
            </w:r>
          </w:p>
        </w:tc>
      </w:tr>
      <w:tr w:rsidR="009D3601" w:rsidRPr="002B005F" w14:paraId="629A0D71" w14:textId="77777777" w:rsidTr="00CC43D0">
        <w:trPr>
          <w:trHeight w:val="794"/>
          <w:jc w:val="center"/>
        </w:trPr>
        <w:tc>
          <w:tcPr>
            <w:tcW w:w="2693" w:type="dxa"/>
            <w:vAlign w:val="center"/>
          </w:tcPr>
          <w:p w14:paraId="1E8B945A" w14:textId="77777777" w:rsidR="009D3601" w:rsidRPr="002B005F" w:rsidRDefault="009D3601" w:rsidP="00CC43D0">
            <w:pPr>
              <w:spacing w:before="120" w:line="360" w:lineRule="auto"/>
              <w:ind w:left="113"/>
              <w:jc w:val="left"/>
              <w:rPr>
                <w:rFonts w:ascii="Times New Roman" w:hAnsi="Times New Roman" w:cs="Times New Roman"/>
              </w:rPr>
            </w:pPr>
            <w:r w:rsidRPr="002B005F">
              <w:rPr>
                <w:rFonts w:ascii="Times New Roman" w:hAnsi="Times New Roman" w:cs="Times New Roman"/>
              </w:rPr>
              <w:t>Chi-deux</w:t>
            </w:r>
          </w:p>
          <w:p w14:paraId="6BC706AD" w14:textId="77777777" w:rsidR="009D3601" w:rsidRPr="002B005F" w:rsidRDefault="009D3601" w:rsidP="00CC43D0">
            <w:pPr>
              <w:spacing w:before="120" w:line="360" w:lineRule="auto"/>
              <w:ind w:left="113"/>
              <w:jc w:val="left"/>
              <w:rPr>
                <w:rFonts w:ascii="Times New Roman" w:hAnsi="Times New Roman" w:cs="Times New Roman"/>
              </w:rPr>
            </w:pPr>
            <w:r w:rsidRPr="002B005F">
              <w:rPr>
                <w:rFonts w:ascii="Times New Roman" w:hAnsi="Times New Roman" w:cs="Times New Roman"/>
              </w:rPr>
              <w:t>Asymp. Sig</w:t>
            </w:r>
          </w:p>
        </w:tc>
        <w:tc>
          <w:tcPr>
            <w:tcW w:w="1276" w:type="dxa"/>
            <w:vAlign w:val="center"/>
          </w:tcPr>
          <w:p w14:paraId="4D580DB6" w14:textId="77777777" w:rsidR="009D3601" w:rsidRPr="002B005F" w:rsidRDefault="009D3601" w:rsidP="00CC43D0">
            <w:pPr>
              <w:tabs>
                <w:tab w:val="left" w:pos="0"/>
              </w:tabs>
              <w:spacing w:before="120" w:line="360" w:lineRule="auto"/>
              <w:ind w:right="340"/>
              <w:jc w:val="right"/>
              <w:rPr>
                <w:rFonts w:ascii="Times New Roman" w:hAnsi="Times New Roman" w:cs="Times New Roman"/>
              </w:rPr>
            </w:pPr>
            <w:r w:rsidRPr="002B005F">
              <w:rPr>
                <w:rFonts w:ascii="Times New Roman" w:hAnsi="Times New Roman" w:cs="Times New Roman"/>
              </w:rPr>
              <w:t>7.566</w:t>
            </w:r>
          </w:p>
          <w:p w14:paraId="4612EA7D" w14:textId="77777777" w:rsidR="009D3601" w:rsidRPr="002B005F" w:rsidRDefault="009D3601" w:rsidP="00CC43D0">
            <w:pPr>
              <w:tabs>
                <w:tab w:val="left" w:pos="0"/>
              </w:tabs>
              <w:spacing w:before="120" w:line="360" w:lineRule="auto"/>
              <w:ind w:right="340"/>
              <w:jc w:val="right"/>
              <w:rPr>
                <w:rFonts w:ascii="Times New Roman" w:hAnsi="Times New Roman" w:cs="Times New Roman"/>
                <w:b/>
                <w:bCs/>
              </w:rPr>
            </w:pPr>
            <w:r w:rsidRPr="002B005F">
              <w:rPr>
                <w:rFonts w:ascii="Times New Roman" w:hAnsi="Times New Roman" w:cs="Times New Roman"/>
                <w:b/>
                <w:bCs/>
              </w:rPr>
              <w:t>0.001</w:t>
            </w:r>
          </w:p>
        </w:tc>
        <w:tc>
          <w:tcPr>
            <w:tcW w:w="1276" w:type="dxa"/>
            <w:vAlign w:val="center"/>
          </w:tcPr>
          <w:p w14:paraId="5EBAA269" w14:textId="77777777" w:rsidR="009D3601" w:rsidRPr="002B005F" w:rsidRDefault="009D3601" w:rsidP="00CC43D0">
            <w:pPr>
              <w:tabs>
                <w:tab w:val="left" w:pos="0"/>
              </w:tabs>
              <w:spacing w:before="120" w:line="360" w:lineRule="auto"/>
              <w:ind w:right="340"/>
              <w:jc w:val="right"/>
              <w:rPr>
                <w:rFonts w:ascii="Times New Roman" w:hAnsi="Times New Roman" w:cs="Times New Roman"/>
              </w:rPr>
            </w:pPr>
            <w:r w:rsidRPr="002B005F">
              <w:rPr>
                <w:rFonts w:ascii="Times New Roman" w:hAnsi="Times New Roman" w:cs="Times New Roman"/>
              </w:rPr>
              <w:t>4.589</w:t>
            </w:r>
          </w:p>
          <w:p w14:paraId="38F590A7" w14:textId="77777777" w:rsidR="009D3601" w:rsidRPr="002B005F" w:rsidRDefault="009D3601" w:rsidP="00CC43D0">
            <w:pPr>
              <w:tabs>
                <w:tab w:val="left" w:pos="0"/>
              </w:tabs>
              <w:spacing w:before="120" w:line="360" w:lineRule="auto"/>
              <w:ind w:right="340"/>
              <w:jc w:val="right"/>
              <w:rPr>
                <w:rFonts w:ascii="Times New Roman" w:hAnsi="Times New Roman" w:cs="Times New Roman"/>
              </w:rPr>
            </w:pPr>
            <w:r w:rsidRPr="002B005F">
              <w:rPr>
                <w:rFonts w:ascii="Times New Roman" w:hAnsi="Times New Roman" w:cs="Times New Roman"/>
              </w:rPr>
              <w:t>0.205</w:t>
            </w:r>
          </w:p>
        </w:tc>
        <w:tc>
          <w:tcPr>
            <w:tcW w:w="1276" w:type="dxa"/>
            <w:vAlign w:val="center"/>
          </w:tcPr>
          <w:p w14:paraId="3FBB2FD5" w14:textId="77777777" w:rsidR="009D3601" w:rsidRPr="002B005F" w:rsidRDefault="009D3601" w:rsidP="00CC43D0">
            <w:pPr>
              <w:tabs>
                <w:tab w:val="left" w:pos="0"/>
              </w:tabs>
              <w:spacing w:before="120" w:line="360" w:lineRule="auto"/>
              <w:ind w:right="340"/>
              <w:jc w:val="right"/>
              <w:rPr>
                <w:rFonts w:ascii="Times New Roman" w:hAnsi="Times New Roman" w:cs="Times New Roman"/>
              </w:rPr>
            </w:pPr>
            <w:r w:rsidRPr="002B005F">
              <w:rPr>
                <w:rFonts w:ascii="Times New Roman" w:hAnsi="Times New Roman" w:cs="Times New Roman"/>
              </w:rPr>
              <w:t>12.812</w:t>
            </w:r>
          </w:p>
          <w:p w14:paraId="0B26DE11" w14:textId="77777777" w:rsidR="009D3601" w:rsidRPr="002B005F" w:rsidRDefault="009D3601" w:rsidP="00CC43D0">
            <w:pPr>
              <w:tabs>
                <w:tab w:val="left" w:pos="0"/>
              </w:tabs>
              <w:spacing w:before="120" w:line="360" w:lineRule="auto"/>
              <w:ind w:right="340"/>
              <w:jc w:val="right"/>
              <w:rPr>
                <w:rFonts w:ascii="Times New Roman" w:hAnsi="Times New Roman" w:cs="Times New Roman"/>
              </w:rPr>
            </w:pPr>
            <w:r w:rsidRPr="002B005F">
              <w:rPr>
                <w:rFonts w:ascii="Times New Roman" w:hAnsi="Times New Roman" w:cs="Times New Roman"/>
              </w:rPr>
              <w:t>0.105</w:t>
            </w:r>
          </w:p>
        </w:tc>
        <w:tc>
          <w:tcPr>
            <w:tcW w:w="1276" w:type="dxa"/>
            <w:vAlign w:val="center"/>
          </w:tcPr>
          <w:p w14:paraId="6D21E3ED" w14:textId="77777777" w:rsidR="009D3601" w:rsidRPr="002B005F" w:rsidRDefault="009D3601" w:rsidP="00CC43D0">
            <w:pPr>
              <w:tabs>
                <w:tab w:val="left" w:pos="0"/>
              </w:tabs>
              <w:spacing w:before="120" w:line="360" w:lineRule="auto"/>
              <w:ind w:right="340"/>
              <w:jc w:val="right"/>
              <w:rPr>
                <w:rFonts w:ascii="Times New Roman" w:hAnsi="Times New Roman" w:cs="Times New Roman"/>
              </w:rPr>
            </w:pPr>
            <w:r w:rsidRPr="002B005F">
              <w:rPr>
                <w:rFonts w:ascii="Times New Roman" w:hAnsi="Times New Roman" w:cs="Times New Roman"/>
              </w:rPr>
              <w:t>7.171</w:t>
            </w:r>
          </w:p>
          <w:p w14:paraId="4831EC50" w14:textId="77777777" w:rsidR="009D3601" w:rsidRPr="002B005F" w:rsidRDefault="009D3601" w:rsidP="00CC43D0">
            <w:pPr>
              <w:tabs>
                <w:tab w:val="left" w:pos="0"/>
              </w:tabs>
              <w:spacing w:before="120" w:line="360" w:lineRule="auto"/>
              <w:ind w:right="340"/>
              <w:jc w:val="right"/>
              <w:rPr>
                <w:rFonts w:ascii="Times New Roman" w:hAnsi="Times New Roman" w:cs="Times New Roman"/>
              </w:rPr>
            </w:pPr>
            <w:r w:rsidRPr="002B005F">
              <w:rPr>
                <w:rFonts w:ascii="Times New Roman" w:hAnsi="Times New Roman" w:cs="Times New Roman"/>
              </w:rPr>
              <w:t>0.067</w:t>
            </w:r>
          </w:p>
        </w:tc>
        <w:tc>
          <w:tcPr>
            <w:tcW w:w="1276" w:type="dxa"/>
            <w:vAlign w:val="center"/>
          </w:tcPr>
          <w:p w14:paraId="3E43A496" w14:textId="77777777" w:rsidR="009D3601" w:rsidRPr="002B005F" w:rsidRDefault="009D3601" w:rsidP="00CC43D0">
            <w:pPr>
              <w:tabs>
                <w:tab w:val="left" w:pos="0"/>
              </w:tabs>
              <w:spacing w:before="120" w:line="360" w:lineRule="auto"/>
              <w:ind w:right="340"/>
              <w:jc w:val="right"/>
              <w:rPr>
                <w:rFonts w:ascii="Times New Roman" w:hAnsi="Times New Roman" w:cs="Times New Roman"/>
              </w:rPr>
            </w:pPr>
            <w:r w:rsidRPr="002B005F">
              <w:rPr>
                <w:rFonts w:ascii="Times New Roman" w:hAnsi="Times New Roman" w:cs="Times New Roman"/>
              </w:rPr>
              <w:t>8.522</w:t>
            </w:r>
          </w:p>
          <w:p w14:paraId="440DDB12" w14:textId="77777777" w:rsidR="009D3601" w:rsidRPr="002B005F" w:rsidRDefault="009D3601" w:rsidP="00CC43D0">
            <w:pPr>
              <w:tabs>
                <w:tab w:val="left" w:pos="0"/>
              </w:tabs>
              <w:spacing w:before="120" w:line="360" w:lineRule="auto"/>
              <w:ind w:right="340"/>
              <w:jc w:val="right"/>
              <w:rPr>
                <w:rFonts w:ascii="Times New Roman" w:hAnsi="Times New Roman" w:cs="Times New Roman"/>
              </w:rPr>
            </w:pPr>
            <w:r w:rsidRPr="002B005F">
              <w:rPr>
                <w:rFonts w:ascii="Times New Roman" w:hAnsi="Times New Roman" w:cs="Times New Roman"/>
              </w:rPr>
              <w:t>0.152</w:t>
            </w:r>
          </w:p>
        </w:tc>
      </w:tr>
      <w:tr w:rsidR="009D3601" w:rsidRPr="002B005F" w14:paraId="3AC9CB30" w14:textId="77777777" w:rsidTr="00CC43D0">
        <w:trPr>
          <w:trHeight w:val="794"/>
          <w:jc w:val="center"/>
        </w:trPr>
        <w:tc>
          <w:tcPr>
            <w:tcW w:w="2693" w:type="dxa"/>
            <w:vAlign w:val="center"/>
          </w:tcPr>
          <w:p w14:paraId="4B0281F7" w14:textId="77777777" w:rsidR="009D3601" w:rsidRPr="002B005F" w:rsidRDefault="009D3601" w:rsidP="00CC43D0">
            <w:pPr>
              <w:tabs>
                <w:tab w:val="left" w:pos="0"/>
              </w:tabs>
              <w:spacing w:line="360" w:lineRule="auto"/>
              <w:ind w:left="57"/>
              <w:jc w:val="left"/>
              <w:rPr>
                <w:rFonts w:ascii="Times New Roman" w:hAnsi="Times New Roman" w:cs="Times New Roman"/>
              </w:rPr>
            </w:pPr>
            <w:r w:rsidRPr="002B005F">
              <w:rPr>
                <w:rFonts w:ascii="Times New Roman" w:hAnsi="Times New Roman" w:cs="Times New Roman"/>
                <w:b/>
                <w:bCs/>
              </w:rPr>
              <w:t>Nature de l’IF                  N</w:t>
            </w:r>
          </w:p>
          <w:p w14:paraId="3A40B95F" w14:textId="77777777" w:rsidR="009D3601" w:rsidRPr="002B005F" w:rsidRDefault="009D3601" w:rsidP="00CC43D0">
            <w:pPr>
              <w:tabs>
                <w:tab w:val="left" w:pos="0"/>
              </w:tabs>
              <w:spacing w:line="360" w:lineRule="auto"/>
              <w:ind w:left="57"/>
              <w:jc w:val="left"/>
              <w:rPr>
                <w:rFonts w:ascii="Times New Roman" w:hAnsi="Times New Roman" w:cs="Times New Roman"/>
              </w:rPr>
            </w:pPr>
            <w:r w:rsidRPr="002B005F">
              <w:rPr>
                <w:rFonts w:ascii="Times New Roman" w:hAnsi="Times New Roman" w:cs="Times New Roman"/>
              </w:rPr>
              <w:t>BI à part entière                64</w:t>
            </w:r>
          </w:p>
          <w:p w14:paraId="601446C7" w14:textId="77777777" w:rsidR="009D3601" w:rsidRPr="002B005F" w:rsidRDefault="009D3601" w:rsidP="00CC43D0">
            <w:pPr>
              <w:tabs>
                <w:tab w:val="left" w:pos="0"/>
              </w:tabs>
              <w:spacing w:line="360" w:lineRule="auto"/>
              <w:ind w:left="57"/>
              <w:jc w:val="left"/>
              <w:rPr>
                <w:rFonts w:ascii="Times New Roman" w:hAnsi="Times New Roman" w:cs="Times New Roman"/>
              </w:rPr>
            </w:pPr>
            <w:r w:rsidRPr="002B005F">
              <w:rPr>
                <w:rFonts w:ascii="Times New Roman" w:hAnsi="Times New Roman" w:cs="Times New Roman"/>
              </w:rPr>
              <w:t>Banque à guichet Islam.   15</w:t>
            </w:r>
          </w:p>
          <w:p w14:paraId="04EC3543" w14:textId="77777777" w:rsidR="009D3601" w:rsidRPr="002B005F" w:rsidRDefault="009D3601" w:rsidP="00CC43D0">
            <w:pPr>
              <w:tabs>
                <w:tab w:val="left" w:pos="285"/>
              </w:tabs>
              <w:spacing w:line="360" w:lineRule="auto"/>
              <w:ind w:left="1644"/>
              <w:rPr>
                <w:rFonts w:ascii="Times New Roman" w:hAnsi="Times New Roman" w:cs="Times New Roman"/>
              </w:rPr>
            </w:pPr>
            <w:r w:rsidRPr="002B005F">
              <w:rPr>
                <w:rFonts w:ascii="Times New Roman" w:hAnsi="Times New Roman" w:cs="Times New Roman"/>
                <w:b/>
                <w:bCs/>
              </w:rPr>
              <w:t>Total</w:t>
            </w:r>
            <w:r w:rsidRPr="002B005F">
              <w:rPr>
                <w:rFonts w:ascii="Times New Roman" w:hAnsi="Times New Roman" w:cs="Times New Roman"/>
              </w:rPr>
              <w:t xml:space="preserve">   </w:t>
            </w:r>
            <w:r w:rsidRPr="002B005F">
              <w:rPr>
                <w:rFonts w:ascii="Times New Roman" w:hAnsi="Times New Roman" w:cs="Times New Roman"/>
                <w:b/>
                <w:bCs/>
              </w:rPr>
              <w:t>79</w:t>
            </w:r>
          </w:p>
        </w:tc>
        <w:tc>
          <w:tcPr>
            <w:tcW w:w="1276" w:type="dxa"/>
          </w:tcPr>
          <w:p w14:paraId="74C3ED34" w14:textId="77777777" w:rsidR="009D3601" w:rsidRPr="002B005F" w:rsidRDefault="009D3601" w:rsidP="00CC43D0">
            <w:pPr>
              <w:tabs>
                <w:tab w:val="left" w:pos="0"/>
              </w:tabs>
              <w:spacing w:line="360" w:lineRule="auto"/>
              <w:jc w:val="center"/>
              <w:rPr>
                <w:rFonts w:ascii="Times New Roman" w:hAnsi="Times New Roman" w:cs="Times New Roman"/>
                <w:b/>
                <w:bCs/>
              </w:rPr>
            </w:pPr>
            <w:r w:rsidRPr="002B005F">
              <w:rPr>
                <w:rFonts w:ascii="Times New Roman" w:hAnsi="Times New Roman" w:cs="Times New Roman"/>
                <w:b/>
                <w:bCs/>
              </w:rPr>
              <w:t>M.P   rang</w:t>
            </w:r>
          </w:p>
          <w:p w14:paraId="1B6FE7FE" w14:textId="77777777" w:rsidR="009D3601" w:rsidRPr="002B005F" w:rsidRDefault="009D3601" w:rsidP="00CC43D0">
            <w:pPr>
              <w:tabs>
                <w:tab w:val="left" w:pos="77"/>
                <w:tab w:val="left" w:pos="1005"/>
              </w:tabs>
              <w:spacing w:line="360" w:lineRule="auto"/>
              <w:ind w:left="113"/>
              <w:jc w:val="left"/>
              <w:rPr>
                <w:rFonts w:ascii="Times New Roman" w:hAnsi="Times New Roman" w:cs="Times New Roman"/>
                <w:vertAlign w:val="superscript"/>
              </w:rPr>
            </w:pPr>
            <w:r w:rsidRPr="002B005F">
              <w:rPr>
                <w:rFonts w:ascii="Times New Roman" w:hAnsi="Times New Roman" w:cs="Times New Roman"/>
              </w:rPr>
              <w:t>36.79   1</w:t>
            </w:r>
            <w:r w:rsidRPr="002B005F">
              <w:rPr>
                <w:rFonts w:ascii="Times New Roman" w:hAnsi="Times New Roman" w:cs="Times New Roman"/>
                <w:vertAlign w:val="superscript"/>
              </w:rPr>
              <w:t>er</w:t>
            </w:r>
          </w:p>
          <w:p w14:paraId="2F23B7BE" w14:textId="77777777" w:rsidR="009D3601" w:rsidRPr="002B005F" w:rsidRDefault="009D3601" w:rsidP="00CC43D0">
            <w:pPr>
              <w:tabs>
                <w:tab w:val="left" w:pos="77"/>
              </w:tabs>
              <w:spacing w:line="360" w:lineRule="auto"/>
              <w:ind w:left="113"/>
              <w:jc w:val="left"/>
              <w:rPr>
                <w:rFonts w:ascii="Times New Roman" w:hAnsi="Times New Roman" w:cs="Times New Roman"/>
                <w:vertAlign w:val="superscript"/>
              </w:rPr>
            </w:pPr>
            <w:r w:rsidRPr="002B005F">
              <w:rPr>
                <w:rFonts w:ascii="Times New Roman" w:hAnsi="Times New Roman" w:cs="Times New Roman"/>
              </w:rPr>
              <w:t>24.23   2</w:t>
            </w:r>
            <w:r w:rsidRPr="002B005F">
              <w:rPr>
                <w:rFonts w:ascii="Times New Roman" w:hAnsi="Times New Roman" w:cs="Times New Roman"/>
                <w:vertAlign w:val="superscript"/>
              </w:rPr>
              <w:t>ème</w:t>
            </w:r>
          </w:p>
        </w:tc>
        <w:tc>
          <w:tcPr>
            <w:tcW w:w="1276" w:type="dxa"/>
          </w:tcPr>
          <w:p w14:paraId="084CBDE8" w14:textId="77777777" w:rsidR="009D3601" w:rsidRPr="002B005F" w:rsidRDefault="009D3601" w:rsidP="00CC43D0">
            <w:pPr>
              <w:tabs>
                <w:tab w:val="left" w:pos="0"/>
              </w:tabs>
              <w:spacing w:line="360" w:lineRule="auto"/>
              <w:jc w:val="center"/>
              <w:rPr>
                <w:rFonts w:ascii="Times New Roman" w:hAnsi="Times New Roman" w:cs="Times New Roman"/>
                <w:b/>
                <w:bCs/>
              </w:rPr>
            </w:pPr>
            <w:r w:rsidRPr="002B005F">
              <w:rPr>
                <w:rFonts w:ascii="Times New Roman" w:hAnsi="Times New Roman" w:cs="Times New Roman"/>
                <w:b/>
                <w:bCs/>
              </w:rPr>
              <w:t>M.P   rang</w:t>
            </w:r>
          </w:p>
          <w:p w14:paraId="031E2482" w14:textId="77777777" w:rsidR="009D3601" w:rsidRPr="002B005F" w:rsidRDefault="009D3601" w:rsidP="00CC43D0">
            <w:pPr>
              <w:tabs>
                <w:tab w:val="left" w:pos="0"/>
              </w:tabs>
              <w:spacing w:line="360" w:lineRule="auto"/>
              <w:ind w:left="113"/>
              <w:jc w:val="left"/>
              <w:rPr>
                <w:rFonts w:ascii="Times New Roman" w:hAnsi="Times New Roman" w:cs="Times New Roman"/>
                <w:vertAlign w:val="superscript"/>
              </w:rPr>
            </w:pPr>
            <w:r w:rsidRPr="002B005F">
              <w:rPr>
                <w:rFonts w:ascii="Times New Roman" w:hAnsi="Times New Roman" w:cs="Times New Roman"/>
              </w:rPr>
              <w:t>40.15   1</w:t>
            </w:r>
            <w:r w:rsidRPr="002B005F">
              <w:rPr>
                <w:rFonts w:ascii="Times New Roman" w:hAnsi="Times New Roman" w:cs="Times New Roman"/>
                <w:vertAlign w:val="superscript"/>
              </w:rPr>
              <w:t>er</w:t>
            </w:r>
          </w:p>
          <w:p w14:paraId="366B3DAF" w14:textId="77777777" w:rsidR="009D3601" w:rsidRPr="002B005F" w:rsidRDefault="009D3601" w:rsidP="00CC43D0">
            <w:pPr>
              <w:tabs>
                <w:tab w:val="left" w:pos="0"/>
              </w:tabs>
              <w:spacing w:line="360" w:lineRule="auto"/>
              <w:ind w:left="113"/>
              <w:jc w:val="left"/>
              <w:rPr>
                <w:rFonts w:ascii="Times New Roman" w:hAnsi="Times New Roman" w:cs="Times New Roman"/>
                <w:vertAlign w:val="superscript"/>
              </w:rPr>
            </w:pPr>
            <w:r w:rsidRPr="002B005F">
              <w:rPr>
                <w:rFonts w:ascii="Times New Roman" w:hAnsi="Times New Roman" w:cs="Times New Roman"/>
              </w:rPr>
              <w:t>29.42   2</w:t>
            </w:r>
            <w:r w:rsidRPr="002B005F">
              <w:rPr>
                <w:rFonts w:ascii="Times New Roman" w:hAnsi="Times New Roman" w:cs="Times New Roman"/>
                <w:vertAlign w:val="superscript"/>
              </w:rPr>
              <w:t>ème</w:t>
            </w:r>
          </w:p>
        </w:tc>
        <w:tc>
          <w:tcPr>
            <w:tcW w:w="1276" w:type="dxa"/>
          </w:tcPr>
          <w:p w14:paraId="4B2A2DBB" w14:textId="77777777" w:rsidR="009D3601" w:rsidRPr="002B005F" w:rsidRDefault="009D3601" w:rsidP="00CC43D0">
            <w:pPr>
              <w:tabs>
                <w:tab w:val="left" w:pos="0"/>
              </w:tabs>
              <w:spacing w:line="360" w:lineRule="auto"/>
              <w:jc w:val="center"/>
              <w:rPr>
                <w:rFonts w:ascii="Times New Roman" w:hAnsi="Times New Roman" w:cs="Times New Roman"/>
                <w:b/>
                <w:bCs/>
              </w:rPr>
            </w:pPr>
            <w:r w:rsidRPr="002B005F">
              <w:rPr>
                <w:rFonts w:ascii="Times New Roman" w:hAnsi="Times New Roman" w:cs="Times New Roman"/>
                <w:b/>
                <w:bCs/>
              </w:rPr>
              <w:t>M.P   rang</w:t>
            </w:r>
          </w:p>
          <w:p w14:paraId="2C293088" w14:textId="77777777" w:rsidR="009D3601" w:rsidRPr="002B005F" w:rsidRDefault="009D3601" w:rsidP="00CC43D0">
            <w:pPr>
              <w:tabs>
                <w:tab w:val="left" w:pos="0"/>
              </w:tabs>
              <w:spacing w:line="360" w:lineRule="auto"/>
              <w:ind w:left="113"/>
              <w:jc w:val="left"/>
              <w:rPr>
                <w:rFonts w:ascii="Times New Roman" w:hAnsi="Times New Roman" w:cs="Times New Roman"/>
                <w:vertAlign w:val="superscript"/>
              </w:rPr>
            </w:pPr>
            <w:r w:rsidRPr="002B005F">
              <w:rPr>
                <w:rFonts w:ascii="Times New Roman" w:hAnsi="Times New Roman" w:cs="Times New Roman"/>
              </w:rPr>
              <w:t>47.89   1</w:t>
            </w:r>
            <w:r w:rsidRPr="002B005F">
              <w:rPr>
                <w:rFonts w:ascii="Times New Roman" w:hAnsi="Times New Roman" w:cs="Times New Roman"/>
                <w:vertAlign w:val="superscript"/>
              </w:rPr>
              <w:t>er</w:t>
            </w:r>
          </w:p>
          <w:p w14:paraId="4337A3D4" w14:textId="77777777" w:rsidR="009D3601" w:rsidRPr="002B005F" w:rsidRDefault="009D3601" w:rsidP="00CC43D0">
            <w:pPr>
              <w:tabs>
                <w:tab w:val="left" w:pos="0"/>
              </w:tabs>
              <w:spacing w:line="360" w:lineRule="auto"/>
              <w:ind w:left="113"/>
              <w:jc w:val="left"/>
              <w:rPr>
                <w:rFonts w:ascii="Times New Roman" w:hAnsi="Times New Roman" w:cs="Times New Roman"/>
                <w:vertAlign w:val="superscript"/>
              </w:rPr>
            </w:pPr>
            <w:r w:rsidRPr="002B005F">
              <w:rPr>
                <w:rFonts w:ascii="Times New Roman" w:hAnsi="Times New Roman" w:cs="Times New Roman"/>
              </w:rPr>
              <w:t>31.31   2</w:t>
            </w:r>
            <w:r w:rsidRPr="002B005F">
              <w:rPr>
                <w:rFonts w:ascii="Times New Roman" w:hAnsi="Times New Roman" w:cs="Times New Roman"/>
                <w:vertAlign w:val="superscript"/>
              </w:rPr>
              <w:t>ème</w:t>
            </w:r>
          </w:p>
        </w:tc>
        <w:tc>
          <w:tcPr>
            <w:tcW w:w="1276" w:type="dxa"/>
          </w:tcPr>
          <w:p w14:paraId="4894CE5D" w14:textId="77777777" w:rsidR="009D3601" w:rsidRPr="002B005F" w:rsidRDefault="009D3601" w:rsidP="00CC43D0">
            <w:pPr>
              <w:tabs>
                <w:tab w:val="left" w:pos="0"/>
              </w:tabs>
              <w:spacing w:line="360" w:lineRule="auto"/>
              <w:jc w:val="center"/>
              <w:rPr>
                <w:rFonts w:ascii="Times New Roman" w:hAnsi="Times New Roman" w:cs="Times New Roman"/>
                <w:b/>
                <w:bCs/>
              </w:rPr>
            </w:pPr>
            <w:r w:rsidRPr="002B005F">
              <w:rPr>
                <w:rFonts w:ascii="Times New Roman" w:hAnsi="Times New Roman" w:cs="Times New Roman"/>
                <w:b/>
                <w:bCs/>
              </w:rPr>
              <w:t>M.P   rang</w:t>
            </w:r>
          </w:p>
          <w:p w14:paraId="0FBD912B" w14:textId="77777777" w:rsidR="009D3601" w:rsidRPr="002B005F" w:rsidRDefault="009D3601" w:rsidP="00CC43D0">
            <w:pPr>
              <w:tabs>
                <w:tab w:val="left" w:pos="0"/>
              </w:tabs>
              <w:spacing w:line="360" w:lineRule="auto"/>
              <w:ind w:left="113"/>
              <w:jc w:val="left"/>
              <w:rPr>
                <w:rFonts w:ascii="Times New Roman" w:hAnsi="Times New Roman" w:cs="Times New Roman"/>
                <w:vertAlign w:val="superscript"/>
              </w:rPr>
            </w:pPr>
            <w:r w:rsidRPr="002B005F">
              <w:rPr>
                <w:rFonts w:ascii="Times New Roman" w:hAnsi="Times New Roman" w:cs="Times New Roman"/>
              </w:rPr>
              <w:t>37.24   1</w:t>
            </w:r>
            <w:r w:rsidRPr="002B005F">
              <w:rPr>
                <w:rFonts w:ascii="Times New Roman" w:hAnsi="Times New Roman" w:cs="Times New Roman"/>
                <w:vertAlign w:val="superscript"/>
              </w:rPr>
              <w:t>er</w:t>
            </w:r>
          </w:p>
          <w:p w14:paraId="7676C7C1" w14:textId="77777777" w:rsidR="009D3601" w:rsidRPr="002B005F" w:rsidRDefault="009D3601" w:rsidP="00CC43D0">
            <w:pPr>
              <w:tabs>
                <w:tab w:val="left" w:pos="0"/>
              </w:tabs>
              <w:spacing w:line="360" w:lineRule="auto"/>
              <w:ind w:left="113"/>
              <w:jc w:val="left"/>
              <w:rPr>
                <w:rFonts w:ascii="Times New Roman" w:hAnsi="Times New Roman" w:cs="Times New Roman"/>
                <w:vertAlign w:val="superscript"/>
              </w:rPr>
            </w:pPr>
            <w:r w:rsidRPr="002B005F">
              <w:rPr>
                <w:rFonts w:ascii="Times New Roman" w:hAnsi="Times New Roman" w:cs="Times New Roman"/>
              </w:rPr>
              <w:t>26.54   2</w:t>
            </w:r>
            <w:r w:rsidRPr="002B005F">
              <w:rPr>
                <w:rFonts w:ascii="Times New Roman" w:hAnsi="Times New Roman" w:cs="Times New Roman"/>
                <w:vertAlign w:val="superscript"/>
              </w:rPr>
              <w:t>ème</w:t>
            </w:r>
          </w:p>
        </w:tc>
        <w:tc>
          <w:tcPr>
            <w:tcW w:w="1276" w:type="dxa"/>
          </w:tcPr>
          <w:p w14:paraId="45DA2C9A" w14:textId="77777777" w:rsidR="009D3601" w:rsidRPr="002B005F" w:rsidRDefault="009D3601" w:rsidP="00CC43D0">
            <w:pPr>
              <w:tabs>
                <w:tab w:val="left" w:pos="0"/>
              </w:tabs>
              <w:spacing w:line="360" w:lineRule="auto"/>
              <w:jc w:val="center"/>
              <w:rPr>
                <w:rFonts w:ascii="Times New Roman" w:hAnsi="Times New Roman" w:cs="Times New Roman"/>
                <w:b/>
                <w:bCs/>
              </w:rPr>
            </w:pPr>
            <w:r w:rsidRPr="002B005F">
              <w:rPr>
                <w:rFonts w:ascii="Times New Roman" w:hAnsi="Times New Roman" w:cs="Times New Roman"/>
                <w:b/>
                <w:bCs/>
              </w:rPr>
              <w:t>M.P   rang</w:t>
            </w:r>
          </w:p>
          <w:p w14:paraId="5DEDE297" w14:textId="77777777" w:rsidR="009D3601" w:rsidRPr="002B005F" w:rsidRDefault="009D3601" w:rsidP="00CC43D0">
            <w:pPr>
              <w:tabs>
                <w:tab w:val="left" w:pos="0"/>
              </w:tabs>
              <w:spacing w:line="360" w:lineRule="auto"/>
              <w:ind w:left="113"/>
              <w:jc w:val="left"/>
              <w:rPr>
                <w:rFonts w:ascii="Times New Roman" w:hAnsi="Times New Roman" w:cs="Times New Roman"/>
                <w:vertAlign w:val="superscript"/>
              </w:rPr>
            </w:pPr>
            <w:r w:rsidRPr="002B005F">
              <w:rPr>
                <w:rFonts w:ascii="Times New Roman" w:hAnsi="Times New Roman" w:cs="Times New Roman"/>
              </w:rPr>
              <w:t>41.98   1</w:t>
            </w:r>
            <w:r w:rsidRPr="002B005F">
              <w:rPr>
                <w:rFonts w:ascii="Times New Roman" w:hAnsi="Times New Roman" w:cs="Times New Roman"/>
                <w:vertAlign w:val="superscript"/>
              </w:rPr>
              <w:t>er</w:t>
            </w:r>
          </w:p>
          <w:p w14:paraId="0A1AA21C" w14:textId="77777777" w:rsidR="009D3601" w:rsidRPr="002B005F" w:rsidRDefault="009D3601" w:rsidP="00CC43D0">
            <w:pPr>
              <w:tabs>
                <w:tab w:val="left" w:pos="0"/>
              </w:tabs>
              <w:spacing w:line="360" w:lineRule="auto"/>
              <w:ind w:left="113"/>
              <w:jc w:val="left"/>
              <w:rPr>
                <w:rFonts w:ascii="Times New Roman" w:hAnsi="Times New Roman" w:cs="Times New Roman"/>
                <w:vertAlign w:val="superscript"/>
              </w:rPr>
            </w:pPr>
            <w:r w:rsidRPr="002B005F">
              <w:rPr>
                <w:rFonts w:ascii="Times New Roman" w:hAnsi="Times New Roman" w:cs="Times New Roman"/>
              </w:rPr>
              <w:t>32.56   2</w:t>
            </w:r>
            <w:r w:rsidRPr="002B005F">
              <w:rPr>
                <w:rFonts w:ascii="Times New Roman" w:hAnsi="Times New Roman" w:cs="Times New Roman"/>
                <w:vertAlign w:val="superscript"/>
              </w:rPr>
              <w:t>ème</w:t>
            </w:r>
          </w:p>
        </w:tc>
      </w:tr>
    </w:tbl>
    <w:p w14:paraId="6A84C10F" w14:textId="77777777" w:rsidR="009D3601" w:rsidRPr="002B005F" w:rsidRDefault="009D3601" w:rsidP="009D3601">
      <w:pPr>
        <w:tabs>
          <w:tab w:val="left" w:pos="0"/>
        </w:tabs>
        <w:spacing w:before="120" w:line="240" w:lineRule="auto"/>
        <w:rPr>
          <w:rFonts w:ascii="Times New Roman" w:eastAsia="Times New Roman" w:hAnsi="Times New Roman" w:cs="Times New Roman"/>
          <w:bCs/>
          <w:sz w:val="20"/>
          <w:szCs w:val="20"/>
        </w:rPr>
      </w:pPr>
      <w:r w:rsidRPr="002B005F">
        <w:rPr>
          <w:rFonts w:ascii="Times New Roman" w:eastAsia="Times New Roman" w:hAnsi="Times New Roman" w:cs="Times New Roman"/>
          <w:bCs/>
          <w:sz w:val="20"/>
          <w:szCs w:val="20"/>
        </w:rPr>
        <w:t>Notes : M.P : Moyenne pondérée.</w:t>
      </w:r>
    </w:p>
    <w:p w14:paraId="01EF4760" w14:textId="77777777" w:rsidR="002760B2" w:rsidRPr="002B005F" w:rsidRDefault="009D3601" w:rsidP="00A90914">
      <w:pPr>
        <w:tabs>
          <w:tab w:val="left" w:pos="0"/>
        </w:tabs>
        <w:spacing w:after="120" w:line="240" w:lineRule="auto"/>
        <w:jc w:val="center"/>
        <w:rPr>
          <w:rFonts w:ascii="Times New Roman" w:eastAsia="Times New Roman" w:hAnsi="Times New Roman" w:cs="Times New Roman"/>
          <w:bCs/>
          <w:sz w:val="20"/>
          <w:szCs w:val="20"/>
        </w:rPr>
      </w:pPr>
      <w:r w:rsidRPr="002B005F">
        <w:rPr>
          <w:rFonts w:ascii="Times New Roman" w:eastAsia="Times New Roman" w:hAnsi="Times New Roman" w:cs="Times New Roman"/>
          <w:bCs/>
          <w:sz w:val="20"/>
          <w:szCs w:val="20"/>
        </w:rPr>
        <w:t>Source : calculs du chercheur.</w:t>
      </w:r>
    </w:p>
    <w:p w14:paraId="5391E911" w14:textId="77777777" w:rsidR="002760B2" w:rsidRPr="00DE760B" w:rsidRDefault="002760B2" w:rsidP="00D107F2">
      <w:pPr>
        <w:tabs>
          <w:tab w:val="left" w:pos="0"/>
        </w:tabs>
        <w:spacing w:before="100" w:beforeAutospacing="1" w:after="120" w:line="300" w:lineRule="auto"/>
        <w:ind w:firstLine="709"/>
        <w:rPr>
          <w:rFonts w:ascii="Times New Roman" w:hAnsi="Times New Roman" w:cs="Times New Roman"/>
          <w:spacing w:val="6"/>
          <w:sz w:val="24"/>
          <w:szCs w:val="24"/>
        </w:rPr>
      </w:pPr>
      <w:r w:rsidRPr="00DE760B">
        <w:rPr>
          <w:rFonts w:ascii="Times New Roman" w:hAnsi="Times New Roman" w:cs="Times New Roman"/>
          <w:spacing w:val="6"/>
          <w:sz w:val="24"/>
          <w:szCs w:val="24"/>
        </w:rPr>
        <w:t>Comme c’est indiqué dans le tableau 3</w:t>
      </w:r>
      <w:r w:rsidR="00D107F2">
        <w:rPr>
          <w:rFonts w:ascii="Times New Roman" w:hAnsi="Times New Roman" w:cs="Times New Roman"/>
          <w:spacing w:val="6"/>
          <w:sz w:val="24"/>
          <w:szCs w:val="24"/>
        </w:rPr>
        <w:t>6</w:t>
      </w:r>
      <w:r w:rsidRPr="00DE760B">
        <w:rPr>
          <w:rFonts w:ascii="Times New Roman" w:hAnsi="Times New Roman" w:cs="Times New Roman"/>
          <w:spacing w:val="6"/>
          <w:sz w:val="24"/>
          <w:szCs w:val="24"/>
        </w:rPr>
        <w:t xml:space="preserve">, seulement la déclaration 1 qui est statistiquement significative, reflétant les similitudes de vues entre les répondants sur la déconnexion entre les principes et les pratiques courantes dans le secteur bancaire </w:t>
      </w:r>
      <w:r w:rsidR="00AB41B4" w:rsidRPr="00DE760B">
        <w:rPr>
          <w:rFonts w:ascii="Times New Roman" w:hAnsi="Times New Roman" w:cs="Times New Roman"/>
          <w:spacing w:val="6"/>
          <w:sz w:val="24"/>
          <w:szCs w:val="24"/>
        </w:rPr>
        <w:t>i</w:t>
      </w:r>
      <w:r w:rsidR="003773C6" w:rsidRPr="00DE760B">
        <w:rPr>
          <w:rFonts w:ascii="Times New Roman" w:hAnsi="Times New Roman" w:cs="Times New Roman"/>
          <w:spacing w:val="6"/>
          <w:sz w:val="24"/>
          <w:szCs w:val="24"/>
        </w:rPr>
        <w:t>slamique</w:t>
      </w:r>
      <w:r w:rsidRPr="00DE760B">
        <w:rPr>
          <w:rFonts w:ascii="Times New Roman" w:hAnsi="Times New Roman" w:cs="Times New Roman"/>
          <w:spacing w:val="6"/>
          <w:sz w:val="24"/>
          <w:szCs w:val="24"/>
        </w:rPr>
        <w:t xml:space="preserve">. En outre, les classements moyens reflètent une tendance dans toutes les déclarations. Les BI à part entière ont obtenu la moyenne la plus élevée, suivis par les banques conventionnelles à guichets </w:t>
      </w:r>
      <w:r w:rsidR="00AB41B4" w:rsidRPr="00DE760B">
        <w:rPr>
          <w:rFonts w:ascii="Times New Roman" w:hAnsi="Times New Roman" w:cs="Times New Roman"/>
          <w:spacing w:val="6"/>
          <w:sz w:val="24"/>
          <w:szCs w:val="24"/>
        </w:rPr>
        <w:t>i</w:t>
      </w:r>
      <w:r w:rsidR="003773C6" w:rsidRPr="00DE760B">
        <w:rPr>
          <w:rFonts w:ascii="Times New Roman" w:hAnsi="Times New Roman" w:cs="Times New Roman"/>
          <w:spacing w:val="6"/>
          <w:sz w:val="24"/>
          <w:szCs w:val="24"/>
        </w:rPr>
        <w:t>slamique</w:t>
      </w:r>
      <w:r w:rsidRPr="00DE760B">
        <w:rPr>
          <w:rFonts w:ascii="Times New Roman" w:hAnsi="Times New Roman" w:cs="Times New Roman"/>
          <w:spacing w:val="6"/>
          <w:sz w:val="24"/>
          <w:szCs w:val="24"/>
        </w:rPr>
        <w:t>s.</w:t>
      </w:r>
    </w:p>
    <w:p w14:paraId="1FA71E0D" w14:textId="77777777" w:rsidR="002760B2" w:rsidRPr="00DE760B" w:rsidRDefault="002760B2" w:rsidP="007E0254">
      <w:pPr>
        <w:tabs>
          <w:tab w:val="left" w:pos="0"/>
        </w:tabs>
        <w:spacing w:before="120" w:after="120" w:line="300" w:lineRule="auto"/>
        <w:ind w:firstLine="709"/>
        <w:rPr>
          <w:rFonts w:ascii="Times New Roman" w:hAnsi="Times New Roman" w:cs="Times New Roman"/>
          <w:spacing w:val="6"/>
          <w:sz w:val="24"/>
          <w:szCs w:val="24"/>
        </w:rPr>
      </w:pPr>
      <w:r w:rsidRPr="00DE760B">
        <w:rPr>
          <w:rFonts w:ascii="Times New Roman" w:hAnsi="Times New Roman" w:cs="Times New Roman"/>
          <w:spacing w:val="6"/>
          <w:sz w:val="24"/>
          <w:szCs w:val="24"/>
        </w:rPr>
        <w:t xml:space="preserve">Cela reflète l'appétit pour le risque de chaque groupe. Par conséquent, les banquiers </w:t>
      </w:r>
      <w:r w:rsidR="0096069F" w:rsidRPr="00DE760B">
        <w:rPr>
          <w:rFonts w:ascii="Times New Roman" w:hAnsi="Times New Roman" w:cs="Times New Roman"/>
          <w:spacing w:val="6"/>
          <w:sz w:val="24"/>
          <w:szCs w:val="24"/>
        </w:rPr>
        <w:t>i</w:t>
      </w:r>
      <w:r w:rsidR="003773C6" w:rsidRPr="00DE760B">
        <w:rPr>
          <w:rFonts w:ascii="Times New Roman" w:hAnsi="Times New Roman" w:cs="Times New Roman"/>
          <w:spacing w:val="6"/>
          <w:sz w:val="24"/>
          <w:szCs w:val="24"/>
        </w:rPr>
        <w:t>slamique</w:t>
      </w:r>
      <w:r w:rsidRPr="00DE760B">
        <w:rPr>
          <w:rFonts w:ascii="Times New Roman" w:hAnsi="Times New Roman" w:cs="Times New Roman"/>
          <w:spacing w:val="6"/>
          <w:sz w:val="24"/>
          <w:szCs w:val="24"/>
        </w:rPr>
        <w:t xml:space="preserve">s sont plus critiques des pratiques actuelles dans l'industrie que leurs homologues conventionnels. Ceci pourrait s'expliquer par le fait que les banquiers </w:t>
      </w:r>
      <w:r w:rsidR="0096069F" w:rsidRPr="00DE760B">
        <w:rPr>
          <w:rFonts w:ascii="Times New Roman" w:hAnsi="Times New Roman" w:cs="Times New Roman"/>
          <w:spacing w:val="6"/>
          <w:sz w:val="24"/>
          <w:szCs w:val="24"/>
        </w:rPr>
        <w:t>i</w:t>
      </w:r>
      <w:r w:rsidR="003773C6" w:rsidRPr="00DE760B">
        <w:rPr>
          <w:rFonts w:ascii="Times New Roman" w:hAnsi="Times New Roman" w:cs="Times New Roman"/>
          <w:spacing w:val="6"/>
          <w:sz w:val="24"/>
          <w:szCs w:val="24"/>
        </w:rPr>
        <w:t>slamique</w:t>
      </w:r>
      <w:r w:rsidRPr="00DE760B">
        <w:rPr>
          <w:rFonts w:ascii="Times New Roman" w:hAnsi="Times New Roman" w:cs="Times New Roman"/>
          <w:spacing w:val="6"/>
          <w:sz w:val="24"/>
          <w:szCs w:val="24"/>
        </w:rPr>
        <w:t xml:space="preserve">s sont plus éduqués sur les principes sous-jacents de la finance </w:t>
      </w:r>
      <w:r w:rsidR="0096069F" w:rsidRPr="00DE760B">
        <w:rPr>
          <w:rFonts w:ascii="Times New Roman" w:hAnsi="Times New Roman" w:cs="Times New Roman"/>
          <w:spacing w:val="6"/>
          <w:sz w:val="24"/>
          <w:szCs w:val="24"/>
        </w:rPr>
        <w:t>i</w:t>
      </w:r>
      <w:r w:rsidR="003773C6" w:rsidRPr="00DE760B">
        <w:rPr>
          <w:rFonts w:ascii="Times New Roman" w:hAnsi="Times New Roman" w:cs="Times New Roman"/>
          <w:spacing w:val="6"/>
          <w:sz w:val="24"/>
          <w:szCs w:val="24"/>
        </w:rPr>
        <w:t>slamique</w:t>
      </w:r>
      <w:r w:rsidRPr="00DE760B">
        <w:rPr>
          <w:rFonts w:ascii="Times New Roman" w:hAnsi="Times New Roman" w:cs="Times New Roman"/>
          <w:spacing w:val="6"/>
          <w:sz w:val="24"/>
          <w:szCs w:val="24"/>
        </w:rPr>
        <w:t xml:space="preserve"> et ont une meilleure compréhension des structures actuelles que les banquiers conventionnels. </w:t>
      </w:r>
    </w:p>
    <w:p w14:paraId="6938A047" w14:textId="77777777" w:rsidR="00664574" w:rsidRPr="00DE760B" w:rsidRDefault="002760B2" w:rsidP="00D107F2">
      <w:pPr>
        <w:tabs>
          <w:tab w:val="left" w:pos="0"/>
        </w:tabs>
        <w:spacing w:before="120" w:after="120" w:line="300" w:lineRule="auto"/>
        <w:ind w:firstLine="709"/>
        <w:rPr>
          <w:rFonts w:ascii="Times New Roman" w:hAnsi="Times New Roman" w:cs="Times New Roman"/>
          <w:spacing w:val="6"/>
          <w:sz w:val="24"/>
          <w:szCs w:val="24"/>
        </w:rPr>
      </w:pPr>
      <w:r w:rsidRPr="00DE760B">
        <w:rPr>
          <w:rFonts w:ascii="Times New Roman" w:hAnsi="Times New Roman" w:cs="Times New Roman"/>
          <w:spacing w:val="6"/>
          <w:sz w:val="24"/>
          <w:szCs w:val="24"/>
        </w:rPr>
        <w:t>La répé</w:t>
      </w:r>
      <w:r w:rsidR="00E31AA6" w:rsidRPr="00DE760B">
        <w:rPr>
          <w:rFonts w:ascii="Times New Roman" w:hAnsi="Times New Roman" w:cs="Times New Roman"/>
          <w:spacing w:val="6"/>
          <w:sz w:val="24"/>
          <w:szCs w:val="24"/>
        </w:rPr>
        <w:t>tition du test K-W avec « région »</w:t>
      </w:r>
      <w:r w:rsidRPr="00DE760B">
        <w:rPr>
          <w:rFonts w:ascii="Times New Roman" w:hAnsi="Times New Roman" w:cs="Times New Roman"/>
          <w:spacing w:val="6"/>
          <w:sz w:val="24"/>
          <w:szCs w:val="24"/>
        </w:rPr>
        <w:t xml:space="preserve"> comme variable de contrôle pour l'ensemble de l'échantillon de recherche donn</w:t>
      </w:r>
      <w:r w:rsidR="007E0254" w:rsidRPr="00DE760B">
        <w:rPr>
          <w:rFonts w:ascii="Times New Roman" w:hAnsi="Times New Roman" w:cs="Times New Roman"/>
          <w:spacing w:val="6"/>
          <w:sz w:val="24"/>
          <w:szCs w:val="24"/>
        </w:rPr>
        <w:t xml:space="preserve">e les résultats présentés dans </w:t>
      </w:r>
      <w:r w:rsidRPr="00DE760B">
        <w:rPr>
          <w:rFonts w:ascii="Times New Roman" w:hAnsi="Times New Roman" w:cs="Times New Roman"/>
          <w:spacing w:val="6"/>
          <w:sz w:val="24"/>
          <w:szCs w:val="24"/>
        </w:rPr>
        <w:t>le tableau 3</w:t>
      </w:r>
      <w:r w:rsidR="00D107F2">
        <w:rPr>
          <w:rFonts w:ascii="Times New Roman" w:hAnsi="Times New Roman" w:cs="Times New Roman"/>
          <w:spacing w:val="6"/>
          <w:sz w:val="24"/>
          <w:szCs w:val="24"/>
        </w:rPr>
        <w:t>7</w:t>
      </w:r>
      <w:r w:rsidRPr="00DE760B">
        <w:rPr>
          <w:rFonts w:ascii="Times New Roman" w:hAnsi="Times New Roman" w:cs="Times New Roman"/>
          <w:spacing w:val="6"/>
          <w:sz w:val="24"/>
          <w:szCs w:val="24"/>
        </w:rPr>
        <w:t xml:space="preserve">. Toutes les déclarations sont statistiquement insignifiantes, sauf la déclaration 2, qui montre l'insatisfaction commune à l'égard du statut actuel des banques </w:t>
      </w:r>
      <w:r w:rsidR="002F0541" w:rsidRPr="00DE760B">
        <w:rPr>
          <w:rFonts w:ascii="Times New Roman" w:hAnsi="Times New Roman" w:cs="Times New Roman"/>
          <w:spacing w:val="6"/>
          <w:sz w:val="24"/>
          <w:szCs w:val="24"/>
        </w:rPr>
        <w:t>i</w:t>
      </w:r>
      <w:r w:rsidR="003773C6" w:rsidRPr="00DE760B">
        <w:rPr>
          <w:rFonts w:ascii="Times New Roman" w:hAnsi="Times New Roman" w:cs="Times New Roman"/>
          <w:spacing w:val="6"/>
          <w:sz w:val="24"/>
          <w:szCs w:val="24"/>
        </w:rPr>
        <w:t>slamique</w:t>
      </w:r>
      <w:r w:rsidRPr="00DE760B">
        <w:rPr>
          <w:rFonts w:ascii="Times New Roman" w:hAnsi="Times New Roman" w:cs="Times New Roman"/>
          <w:spacing w:val="6"/>
          <w:sz w:val="24"/>
          <w:szCs w:val="24"/>
        </w:rPr>
        <w:t>s dans toutes les régions.</w:t>
      </w:r>
    </w:p>
    <w:p w14:paraId="3C69AF8A" w14:textId="2B5A3BF9" w:rsidR="000C1CC2" w:rsidRPr="002B005F" w:rsidRDefault="00664574" w:rsidP="00D107F2">
      <w:pPr>
        <w:spacing w:before="120" w:after="120" w:line="300" w:lineRule="auto"/>
        <w:jc w:val="center"/>
        <w:rPr>
          <w:rFonts w:ascii="Times New Roman" w:hAnsi="Times New Roman" w:cs="Times New Roman"/>
          <w:b/>
          <w:bCs/>
          <w:sz w:val="24"/>
          <w:szCs w:val="24"/>
        </w:rPr>
      </w:pPr>
      <w:r w:rsidRPr="00DE760B">
        <w:rPr>
          <w:rFonts w:ascii="Times New Roman" w:hAnsi="Times New Roman" w:cs="Times New Roman"/>
          <w:spacing w:val="6"/>
          <w:sz w:val="24"/>
          <w:szCs w:val="24"/>
        </w:rPr>
        <w:br w:type="page"/>
      </w:r>
      <w:bookmarkStart w:id="1737" w:name="_Toc115556105"/>
      <w:r w:rsidR="000C1CC2"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000C1CC2"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37</w:t>
      </w:r>
      <w:r w:rsidR="00B544E5" w:rsidRPr="002B005F">
        <w:rPr>
          <w:rFonts w:ascii="Times New Roman" w:hAnsi="Times New Roman" w:cs="Times New Roman"/>
          <w:b/>
          <w:bCs/>
          <w:sz w:val="24"/>
          <w:szCs w:val="24"/>
        </w:rPr>
        <w:fldChar w:fldCharType="end"/>
      </w:r>
      <w:r w:rsidR="007E0254" w:rsidRPr="002B005F">
        <w:rPr>
          <w:rFonts w:ascii="Times New Roman" w:hAnsi="Times New Roman" w:cs="Times New Roman"/>
          <w:b/>
          <w:bCs/>
          <w:sz w:val="24"/>
          <w:szCs w:val="24"/>
        </w:rPr>
        <w:t>-</w:t>
      </w:r>
      <w:r w:rsidR="005838F7" w:rsidRPr="002B005F">
        <w:rPr>
          <w:rFonts w:ascii="Times New Roman" w:hAnsi="Times New Roman" w:cs="Times New Roman"/>
          <w:b/>
          <w:bCs/>
          <w:sz w:val="24"/>
          <w:szCs w:val="24"/>
        </w:rPr>
        <w:t xml:space="preserve"> T</w:t>
      </w:r>
      <w:r w:rsidR="000C1CC2" w:rsidRPr="002B005F">
        <w:rPr>
          <w:rFonts w:ascii="Times New Roman" w:hAnsi="Times New Roman" w:cs="Times New Roman"/>
          <w:b/>
          <w:bCs/>
          <w:sz w:val="24"/>
          <w:szCs w:val="24"/>
        </w:rPr>
        <w:t>est K-W selon la région pour Q11</w:t>
      </w:r>
      <w:bookmarkEnd w:id="1737"/>
    </w:p>
    <w:tbl>
      <w:tblPr>
        <w:tblStyle w:val="Grilledutableau"/>
        <w:tblW w:w="9073" w:type="dxa"/>
        <w:jc w:val="center"/>
        <w:tblLayout w:type="fixed"/>
        <w:tblCellMar>
          <w:top w:w="28" w:type="dxa"/>
          <w:left w:w="113" w:type="dxa"/>
          <w:bottom w:w="28" w:type="dxa"/>
          <w:right w:w="0" w:type="dxa"/>
        </w:tblCellMar>
        <w:tblLook w:val="04A0" w:firstRow="1" w:lastRow="0" w:firstColumn="1" w:lastColumn="0" w:noHBand="0" w:noVBand="1"/>
      </w:tblPr>
      <w:tblGrid>
        <w:gridCol w:w="2268"/>
        <w:gridCol w:w="1361"/>
        <w:gridCol w:w="1361"/>
        <w:gridCol w:w="1361"/>
        <w:gridCol w:w="1361"/>
        <w:gridCol w:w="1361"/>
      </w:tblGrid>
      <w:tr w:rsidR="006C0F3B" w:rsidRPr="002B005F" w14:paraId="2028C03A" w14:textId="77777777" w:rsidTr="00DF0F63">
        <w:trPr>
          <w:trHeight w:val="454"/>
          <w:jc w:val="center"/>
        </w:trPr>
        <w:tc>
          <w:tcPr>
            <w:tcW w:w="2268" w:type="dxa"/>
            <w:vMerge w:val="restart"/>
            <w:vAlign w:val="center"/>
          </w:tcPr>
          <w:p w14:paraId="3D80229D" w14:textId="77777777" w:rsidR="006C0F3B" w:rsidRPr="002B005F" w:rsidRDefault="006C0F3B" w:rsidP="005C177E">
            <w:pPr>
              <w:tabs>
                <w:tab w:val="left" w:pos="0"/>
              </w:tabs>
              <w:jc w:val="center"/>
              <w:rPr>
                <w:rFonts w:ascii="Times New Roman" w:hAnsi="Times New Roman" w:cs="Times New Roman"/>
                <w:b/>
                <w:bCs/>
                <w:sz w:val="24"/>
                <w:szCs w:val="24"/>
              </w:rPr>
            </w:pPr>
            <w:r w:rsidRPr="002B005F">
              <w:rPr>
                <w:rFonts w:ascii="Times New Roman" w:hAnsi="Times New Roman" w:cs="Times New Roman"/>
                <w:b/>
                <w:bCs/>
                <w:sz w:val="24"/>
                <w:szCs w:val="24"/>
              </w:rPr>
              <w:t>Régions</w:t>
            </w:r>
          </w:p>
        </w:tc>
        <w:tc>
          <w:tcPr>
            <w:tcW w:w="6803" w:type="dxa"/>
            <w:gridSpan w:val="5"/>
            <w:vAlign w:val="center"/>
          </w:tcPr>
          <w:p w14:paraId="77BCC6EF" w14:textId="77777777" w:rsidR="006C0F3B" w:rsidRPr="002B005F" w:rsidRDefault="006C0F3B" w:rsidP="005C177E">
            <w:pPr>
              <w:tabs>
                <w:tab w:val="left" w:pos="0"/>
                <w:tab w:val="left" w:pos="2640"/>
              </w:tabs>
              <w:jc w:val="center"/>
              <w:rPr>
                <w:rFonts w:ascii="Times New Roman" w:hAnsi="Times New Roman" w:cs="Times New Roman"/>
                <w:b/>
                <w:bCs/>
                <w:sz w:val="24"/>
                <w:szCs w:val="24"/>
              </w:rPr>
            </w:pPr>
            <w:r w:rsidRPr="002B005F">
              <w:rPr>
                <w:rFonts w:ascii="Times New Roman" w:hAnsi="Times New Roman" w:cs="Times New Roman"/>
                <w:b/>
                <w:bCs/>
                <w:sz w:val="24"/>
                <w:szCs w:val="24"/>
              </w:rPr>
              <w:t>Déclarations</w:t>
            </w:r>
          </w:p>
        </w:tc>
      </w:tr>
      <w:tr w:rsidR="006C0F3B" w:rsidRPr="002B005F" w14:paraId="5ECA90E7" w14:textId="77777777" w:rsidTr="00DF0F63">
        <w:trPr>
          <w:trHeight w:val="454"/>
          <w:jc w:val="center"/>
        </w:trPr>
        <w:tc>
          <w:tcPr>
            <w:tcW w:w="2268" w:type="dxa"/>
            <w:vMerge/>
            <w:vAlign w:val="center"/>
          </w:tcPr>
          <w:p w14:paraId="56633F38" w14:textId="77777777" w:rsidR="006C0F3B" w:rsidRPr="002B005F" w:rsidRDefault="006C0F3B" w:rsidP="005C177E">
            <w:pPr>
              <w:tabs>
                <w:tab w:val="left" w:pos="0"/>
              </w:tabs>
              <w:jc w:val="center"/>
              <w:rPr>
                <w:rFonts w:ascii="Times New Roman" w:hAnsi="Times New Roman" w:cs="Times New Roman"/>
              </w:rPr>
            </w:pPr>
          </w:p>
        </w:tc>
        <w:tc>
          <w:tcPr>
            <w:tcW w:w="1361" w:type="dxa"/>
            <w:vAlign w:val="center"/>
          </w:tcPr>
          <w:p w14:paraId="387D327E" w14:textId="77777777" w:rsidR="006C0F3B" w:rsidRPr="002B005F" w:rsidRDefault="006C0F3B" w:rsidP="005C177E">
            <w:pPr>
              <w:tabs>
                <w:tab w:val="left" w:pos="0"/>
              </w:tabs>
              <w:jc w:val="center"/>
              <w:rPr>
                <w:rFonts w:ascii="Times New Roman" w:hAnsi="Times New Roman" w:cs="Times New Roman"/>
              </w:rPr>
            </w:pPr>
            <w:r w:rsidRPr="002B005F">
              <w:rPr>
                <w:rFonts w:ascii="Times New Roman" w:hAnsi="Times New Roman" w:cs="Times New Roman"/>
              </w:rPr>
              <w:t>1</w:t>
            </w:r>
          </w:p>
        </w:tc>
        <w:tc>
          <w:tcPr>
            <w:tcW w:w="1361" w:type="dxa"/>
            <w:vAlign w:val="center"/>
          </w:tcPr>
          <w:p w14:paraId="3606DBDF" w14:textId="77777777" w:rsidR="006C0F3B" w:rsidRPr="002B005F" w:rsidRDefault="006C0F3B" w:rsidP="005C177E">
            <w:pPr>
              <w:tabs>
                <w:tab w:val="left" w:pos="0"/>
              </w:tabs>
              <w:jc w:val="center"/>
              <w:rPr>
                <w:rFonts w:ascii="Times New Roman" w:hAnsi="Times New Roman" w:cs="Times New Roman"/>
              </w:rPr>
            </w:pPr>
            <w:r w:rsidRPr="002B005F">
              <w:rPr>
                <w:rFonts w:ascii="Times New Roman" w:hAnsi="Times New Roman" w:cs="Times New Roman"/>
              </w:rPr>
              <w:t>2</w:t>
            </w:r>
          </w:p>
        </w:tc>
        <w:tc>
          <w:tcPr>
            <w:tcW w:w="1361" w:type="dxa"/>
            <w:vAlign w:val="center"/>
          </w:tcPr>
          <w:p w14:paraId="402DDA85" w14:textId="77777777" w:rsidR="006C0F3B" w:rsidRPr="002B005F" w:rsidRDefault="006C0F3B" w:rsidP="005C177E">
            <w:pPr>
              <w:tabs>
                <w:tab w:val="left" w:pos="0"/>
              </w:tabs>
              <w:jc w:val="center"/>
              <w:rPr>
                <w:rFonts w:ascii="Times New Roman" w:hAnsi="Times New Roman" w:cs="Times New Roman"/>
              </w:rPr>
            </w:pPr>
            <w:r w:rsidRPr="002B005F">
              <w:rPr>
                <w:rFonts w:ascii="Times New Roman" w:hAnsi="Times New Roman" w:cs="Times New Roman"/>
              </w:rPr>
              <w:t>3</w:t>
            </w:r>
          </w:p>
        </w:tc>
        <w:tc>
          <w:tcPr>
            <w:tcW w:w="1361" w:type="dxa"/>
            <w:vAlign w:val="center"/>
          </w:tcPr>
          <w:p w14:paraId="3A24F85C" w14:textId="77777777" w:rsidR="006C0F3B" w:rsidRPr="002B005F" w:rsidRDefault="006C0F3B" w:rsidP="005C177E">
            <w:pPr>
              <w:tabs>
                <w:tab w:val="left" w:pos="0"/>
              </w:tabs>
              <w:jc w:val="center"/>
              <w:rPr>
                <w:rFonts w:ascii="Times New Roman" w:hAnsi="Times New Roman" w:cs="Times New Roman"/>
              </w:rPr>
            </w:pPr>
            <w:r w:rsidRPr="002B005F">
              <w:rPr>
                <w:rFonts w:ascii="Times New Roman" w:hAnsi="Times New Roman" w:cs="Times New Roman"/>
              </w:rPr>
              <w:t>4</w:t>
            </w:r>
          </w:p>
        </w:tc>
        <w:tc>
          <w:tcPr>
            <w:tcW w:w="1361" w:type="dxa"/>
            <w:vAlign w:val="center"/>
          </w:tcPr>
          <w:p w14:paraId="3758A54F" w14:textId="77777777" w:rsidR="006C0F3B" w:rsidRPr="002B005F" w:rsidRDefault="006C0F3B" w:rsidP="005C177E">
            <w:pPr>
              <w:tabs>
                <w:tab w:val="left" w:pos="0"/>
              </w:tabs>
              <w:jc w:val="center"/>
              <w:rPr>
                <w:rFonts w:ascii="Times New Roman" w:hAnsi="Times New Roman" w:cs="Times New Roman"/>
              </w:rPr>
            </w:pPr>
            <w:r w:rsidRPr="002B005F">
              <w:rPr>
                <w:rFonts w:ascii="Times New Roman" w:hAnsi="Times New Roman" w:cs="Times New Roman"/>
              </w:rPr>
              <w:t>5</w:t>
            </w:r>
          </w:p>
        </w:tc>
      </w:tr>
      <w:tr w:rsidR="00191520" w:rsidRPr="002B005F" w14:paraId="06E9DE15" w14:textId="77777777" w:rsidTr="00DF0F63">
        <w:trPr>
          <w:trHeight w:val="907"/>
          <w:jc w:val="center"/>
        </w:trPr>
        <w:tc>
          <w:tcPr>
            <w:tcW w:w="2268" w:type="dxa"/>
            <w:vAlign w:val="center"/>
          </w:tcPr>
          <w:p w14:paraId="1C25D984" w14:textId="77777777" w:rsidR="00191520" w:rsidRPr="002B005F" w:rsidRDefault="00191520" w:rsidP="005C177E">
            <w:pPr>
              <w:tabs>
                <w:tab w:val="left" w:pos="0"/>
              </w:tabs>
              <w:spacing w:line="360" w:lineRule="auto"/>
              <w:ind w:left="113"/>
              <w:jc w:val="left"/>
              <w:rPr>
                <w:rFonts w:ascii="Times New Roman" w:hAnsi="Times New Roman" w:cs="Times New Roman"/>
                <w:b/>
                <w:bCs/>
              </w:rPr>
            </w:pPr>
            <w:r w:rsidRPr="002B005F">
              <w:rPr>
                <w:rFonts w:ascii="Times New Roman" w:hAnsi="Times New Roman" w:cs="Times New Roman"/>
                <w:b/>
                <w:bCs/>
              </w:rPr>
              <w:t>Chi-deux</w:t>
            </w:r>
          </w:p>
          <w:p w14:paraId="7316707F" w14:textId="77777777" w:rsidR="00191520" w:rsidRPr="002B005F" w:rsidRDefault="00191520" w:rsidP="005C177E">
            <w:pPr>
              <w:tabs>
                <w:tab w:val="left" w:pos="0"/>
              </w:tabs>
              <w:spacing w:line="360" w:lineRule="auto"/>
              <w:ind w:left="113"/>
              <w:jc w:val="left"/>
              <w:rPr>
                <w:rFonts w:ascii="Times New Roman" w:hAnsi="Times New Roman" w:cs="Times New Roman"/>
                <w:b/>
                <w:bCs/>
              </w:rPr>
            </w:pPr>
            <w:r w:rsidRPr="002B005F">
              <w:rPr>
                <w:rFonts w:ascii="Times New Roman" w:hAnsi="Times New Roman" w:cs="Times New Roman"/>
                <w:b/>
                <w:bCs/>
              </w:rPr>
              <w:t>Asymp.Sig</w:t>
            </w:r>
          </w:p>
        </w:tc>
        <w:tc>
          <w:tcPr>
            <w:tcW w:w="1361" w:type="dxa"/>
            <w:vAlign w:val="center"/>
          </w:tcPr>
          <w:p w14:paraId="3EE6A648" w14:textId="77777777" w:rsidR="00191520" w:rsidRPr="002B005F" w:rsidRDefault="00191520" w:rsidP="00F554E8">
            <w:pPr>
              <w:tabs>
                <w:tab w:val="left" w:pos="357"/>
              </w:tabs>
              <w:spacing w:line="360" w:lineRule="auto"/>
              <w:ind w:left="357"/>
              <w:jc w:val="left"/>
              <w:rPr>
                <w:rFonts w:ascii="Times New Roman" w:hAnsi="Times New Roman" w:cs="Times New Roman"/>
              </w:rPr>
            </w:pPr>
            <w:r w:rsidRPr="002B005F">
              <w:rPr>
                <w:rFonts w:ascii="Times New Roman" w:hAnsi="Times New Roman" w:cs="Times New Roman"/>
              </w:rPr>
              <w:t>8.202</w:t>
            </w:r>
          </w:p>
          <w:p w14:paraId="3185F299" w14:textId="77777777" w:rsidR="00191520" w:rsidRPr="002B005F" w:rsidRDefault="00191520" w:rsidP="00F554E8">
            <w:pPr>
              <w:tabs>
                <w:tab w:val="left" w:pos="357"/>
              </w:tabs>
              <w:spacing w:line="360" w:lineRule="auto"/>
              <w:ind w:left="357"/>
              <w:jc w:val="left"/>
              <w:rPr>
                <w:rFonts w:ascii="Times New Roman" w:hAnsi="Times New Roman" w:cs="Times New Roman"/>
              </w:rPr>
            </w:pPr>
            <w:r w:rsidRPr="002B005F">
              <w:rPr>
                <w:rFonts w:ascii="Times New Roman" w:hAnsi="Times New Roman" w:cs="Times New Roman"/>
              </w:rPr>
              <w:t>0.102</w:t>
            </w:r>
          </w:p>
        </w:tc>
        <w:tc>
          <w:tcPr>
            <w:tcW w:w="1361" w:type="dxa"/>
            <w:vAlign w:val="center"/>
          </w:tcPr>
          <w:p w14:paraId="7AB89445" w14:textId="77777777" w:rsidR="00191520" w:rsidRPr="002B005F" w:rsidRDefault="00191520" w:rsidP="00F554E8">
            <w:pPr>
              <w:tabs>
                <w:tab w:val="left" w:pos="357"/>
              </w:tabs>
              <w:spacing w:line="360" w:lineRule="auto"/>
              <w:ind w:left="357"/>
              <w:jc w:val="left"/>
              <w:rPr>
                <w:rFonts w:ascii="Times New Roman" w:hAnsi="Times New Roman" w:cs="Times New Roman"/>
              </w:rPr>
            </w:pPr>
            <w:r w:rsidRPr="002B005F">
              <w:rPr>
                <w:rFonts w:ascii="Times New Roman" w:hAnsi="Times New Roman" w:cs="Times New Roman"/>
              </w:rPr>
              <w:t>9.55</w:t>
            </w:r>
          </w:p>
          <w:p w14:paraId="161D2038" w14:textId="77777777" w:rsidR="00191520" w:rsidRPr="002B005F" w:rsidRDefault="00191520" w:rsidP="00F554E8">
            <w:pPr>
              <w:tabs>
                <w:tab w:val="left" w:pos="357"/>
              </w:tabs>
              <w:spacing w:line="360" w:lineRule="auto"/>
              <w:ind w:left="357"/>
              <w:jc w:val="left"/>
              <w:rPr>
                <w:rFonts w:ascii="Times New Roman" w:hAnsi="Times New Roman" w:cs="Times New Roman"/>
                <w:b/>
                <w:bCs/>
              </w:rPr>
            </w:pPr>
            <w:r w:rsidRPr="002B005F">
              <w:rPr>
                <w:rFonts w:ascii="Times New Roman" w:hAnsi="Times New Roman" w:cs="Times New Roman"/>
                <w:b/>
                <w:bCs/>
              </w:rPr>
              <w:t>0.02</w:t>
            </w:r>
          </w:p>
        </w:tc>
        <w:tc>
          <w:tcPr>
            <w:tcW w:w="1361" w:type="dxa"/>
            <w:vAlign w:val="center"/>
          </w:tcPr>
          <w:p w14:paraId="7669AF46" w14:textId="77777777" w:rsidR="00191520" w:rsidRPr="002B005F" w:rsidRDefault="00191520" w:rsidP="00F554E8">
            <w:pPr>
              <w:tabs>
                <w:tab w:val="left" w:pos="357"/>
              </w:tabs>
              <w:spacing w:line="360" w:lineRule="auto"/>
              <w:ind w:left="357"/>
              <w:jc w:val="left"/>
              <w:rPr>
                <w:rFonts w:ascii="Times New Roman" w:hAnsi="Times New Roman" w:cs="Times New Roman"/>
              </w:rPr>
            </w:pPr>
            <w:r w:rsidRPr="002B005F">
              <w:rPr>
                <w:rFonts w:ascii="Times New Roman" w:hAnsi="Times New Roman" w:cs="Times New Roman"/>
              </w:rPr>
              <w:t>4.25</w:t>
            </w:r>
          </w:p>
          <w:p w14:paraId="4F7613B4" w14:textId="77777777" w:rsidR="00191520" w:rsidRPr="002B005F" w:rsidRDefault="00191520" w:rsidP="00F554E8">
            <w:pPr>
              <w:tabs>
                <w:tab w:val="left" w:pos="357"/>
              </w:tabs>
              <w:spacing w:line="360" w:lineRule="auto"/>
              <w:ind w:left="357"/>
              <w:jc w:val="left"/>
              <w:rPr>
                <w:rFonts w:ascii="Times New Roman" w:hAnsi="Times New Roman" w:cs="Times New Roman"/>
              </w:rPr>
            </w:pPr>
            <w:r w:rsidRPr="002B005F">
              <w:rPr>
                <w:rFonts w:ascii="Times New Roman" w:hAnsi="Times New Roman" w:cs="Times New Roman"/>
              </w:rPr>
              <w:t>0.514</w:t>
            </w:r>
          </w:p>
        </w:tc>
        <w:tc>
          <w:tcPr>
            <w:tcW w:w="1361" w:type="dxa"/>
            <w:vAlign w:val="center"/>
          </w:tcPr>
          <w:p w14:paraId="7FDEC338" w14:textId="77777777" w:rsidR="00191520" w:rsidRPr="002B005F" w:rsidRDefault="00191520" w:rsidP="00F554E8">
            <w:pPr>
              <w:tabs>
                <w:tab w:val="left" w:pos="357"/>
              </w:tabs>
              <w:spacing w:line="360" w:lineRule="auto"/>
              <w:ind w:left="357"/>
              <w:jc w:val="left"/>
              <w:rPr>
                <w:rFonts w:ascii="Times New Roman" w:hAnsi="Times New Roman" w:cs="Times New Roman"/>
              </w:rPr>
            </w:pPr>
            <w:r w:rsidRPr="002B005F">
              <w:rPr>
                <w:rFonts w:ascii="Times New Roman" w:hAnsi="Times New Roman" w:cs="Times New Roman"/>
              </w:rPr>
              <w:t>3.227</w:t>
            </w:r>
          </w:p>
          <w:p w14:paraId="1FF42B97" w14:textId="77777777" w:rsidR="00191520" w:rsidRPr="002B005F" w:rsidRDefault="00191520" w:rsidP="00F554E8">
            <w:pPr>
              <w:tabs>
                <w:tab w:val="left" w:pos="357"/>
              </w:tabs>
              <w:spacing w:line="360" w:lineRule="auto"/>
              <w:ind w:left="357"/>
              <w:jc w:val="left"/>
              <w:rPr>
                <w:rFonts w:ascii="Times New Roman" w:hAnsi="Times New Roman" w:cs="Times New Roman"/>
              </w:rPr>
            </w:pPr>
            <w:r w:rsidRPr="002B005F">
              <w:rPr>
                <w:rFonts w:ascii="Times New Roman" w:hAnsi="Times New Roman" w:cs="Times New Roman"/>
              </w:rPr>
              <w:t>0.665</w:t>
            </w:r>
          </w:p>
        </w:tc>
        <w:tc>
          <w:tcPr>
            <w:tcW w:w="1361" w:type="dxa"/>
            <w:vAlign w:val="center"/>
          </w:tcPr>
          <w:p w14:paraId="7538F739" w14:textId="77777777" w:rsidR="00191520" w:rsidRPr="002B005F" w:rsidRDefault="00191520" w:rsidP="00F554E8">
            <w:pPr>
              <w:tabs>
                <w:tab w:val="left" w:pos="357"/>
              </w:tabs>
              <w:spacing w:line="360" w:lineRule="auto"/>
              <w:ind w:left="357"/>
              <w:jc w:val="left"/>
              <w:rPr>
                <w:rFonts w:ascii="Times New Roman" w:hAnsi="Times New Roman" w:cs="Times New Roman"/>
              </w:rPr>
            </w:pPr>
            <w:r w:rsidRPr="002B005F">
              <w:rPr>
                <w:rFonts w:ascii="Times New Roman" w:hAnsi="Times New Roman" w:cs="Times New Roman"/>
              </w:rPr>
              <w:t>6.55</w:t>
            </w:r>
            <w:r w:rsidR="00F554E8" w:rsidRPr="002B005F">
              <w:rPr>
                <w:rFonts w:ascii="Times New Roman" w:hAnsi="Times New Roman" w:cs="Times New Roman"/>
              </w:rPr>
              <w:t>0</w:t>
            </w:r>
          </w:p>
          <w:p w14:paraId="25714ED4" w14:textId="77777777" w:rsidR="00191520" w:rsidRPr="002B005F" w:rsidRDefault="00191520" w:rsidP="00F554E8">
            <w:pPr>
              <w:tabs>
                <w:tab w:val="left" w:pos="357"/>
              </w:tabs>
              <w:spacing w:line="360" w:lineRule="auto"/>
              <w:ind w:left="357"/>
              <w:jc w:val="left"/>
              <w:rPr>
                <w:rFonts w:ascii="Times New Roman" w:hAnsi="Times New Roman" w:cs="Times New Roman"/>
              </w:rPr>
            </w:pPr>
            <w:r w:rsidRPr="002B005F">
              <w:rPr>
                <w:rFonts w:ascii="Times New Roman" w:hAnsi="Times New Roman" w:cs="Times New Roman"/>
              </w:rPr>
              <w:t>0.223</w:t>
            </w:r>
          </w:p>
        </w:tc>
      </w:tr>
      <w:tr w:rsidR="00191520" w:rsidRPr="002B005F" w14:paraId="478AC85A" w14:textId="77777777" w:rsidTr="00DF0F63">
        <w:trPr>
          <w:trHeight w:val="2130"/>
          <w:jc w:val="center"/>
        </w:trPr>
        <w:tc>
          <w:tcPr>
            <w:tcW w:w="2268" w:type="dxa"/>
          </w:tcPr>
          <w:p w14:paraId="54F96E8B" w14:textId="0485FB50" w:rsidR="00191520" w:rsidRPr="002B005F" w:rsidRDefault="00191520" w:rsidP="005C177E">
            <w:pPr>
              <w:tabs>
                <w:tab w:val="left" w:pos="0"/>
              </w:tabs>
              <w:spacing w:before="60"/>
              <w:ind w:left="113" w:right="57"/>
              <w:rPr>
                <w:rFonts w:ascii="Times New Roman" w:hAnsi="Times New Roman" w:cs="Times New Roman"/>
              </w:rPr>
            </w:pPr>
            <w:r w:rsidRPr="002B005F">
              <w:rPr>
                <w:rFonts w:ascii="Times New Roman" w:hAnsi="Times New Roman" w:cs="Times New Roman"/>
                <w:b/>
                <w:bCs/>
              </w:rPr>
              <w:t xml:space="preserve">Région                  </w:t>
            </w:r>
            <w:r w:rsidR="005C177E" w:rsidRPr="002B005F">
              <w:rPr>
                <w:rFonts w:ascii="Times New Roman" w:hAnsi="Times New Roman" w:cs="Times New Roman"/>
                <w:b/>
                <w:bCs/>
              </w:rPr>
              <w:t xml:space="preserve"> </w:t>
            </w:r>
            <w:r w:rsidRPr="002B005F">
              <w:rPr>
                <w:rFonts w:ascii="Times New Roman" w:hAnsi="Times New Roman" w:cs="Times New Roman"/>
                <w:b/>
                <w:bCs/>
              </w:rPr>
              <w:t>N</w:t>
            </w:r>
          </w:p>
          <w:p w14:paraId="0012BD11" w14:textId="2306EA08" w:rsidR="00191520" w:rsidRPr="002B005F" w:rsidRDefault="00191520" w:rsidP="005C177E">
            <w:pPr>
              <w:tabs>
                <w:tab w:val="left" w:pos="0"/>
              </w:tabs>
              <w:spacing w:before="60"/>
              <w:ind w:left="227" w:right="57"/>
              <w:jc w:val="left"/>
              <w:rPr>
                <w:rFonts w:ascii="Times New Roman" w:hAnsi="Times New Roman" w:cs="Times New Roman"/>
              </w:rPr>
            </w:pPr>
            <w:r w:rsidRPr="002B005F">
              <w:rPr>
                <w:rFonts w:ascii="Times New Roman" w:hAnsi="Times New Roman" w:cs="Times New Roman"/>
              </w:rPr>
              <w:t xml:space="preserve">Afrique               </w:t>
            </w:r>
            <w:r w:rsidR="005C177E" w:rsidRPr="002B005F">
              <w:rPr>
                <w:rFonts w:ascii="Times New Roman" w:hAnsi="Times New Roman" w:cs="Times New Roman"/>
              </w:rPr>
              <w:t xml:space="preserve"> </w:t>
            </w:r>
            <w:r w:rsidRPr="002B005F">
              <w:rPr>
                <w:rFonts w:ascii="Times New Roman" w:hAnsi="Times New Roman" w:cs="Times New Roman"/>
              </w:rPr>
              <w:t>30</w:t>
            </w:r>
          </w:p>
          <w:p w14:paraId="69EBDE3C" w14:textId="5B4CF0B3" w:rsidR="00191520" w:rsidRPr="002B005F" w:rsidRDefault="00191520" w:rsidP="005C177E">
            <w:pPr>
              <w:tabs>
                <w:tab w:val="left" w:pos="0"/>
              </w:tabs>
              <w:spacing w:before="60"/>
              <w:ind w:left="227" w:right="57"/>
              <w:jc w:val="left"/>
              <w:rPr>
                <w:rFonts w:ascii="Times New Roman" w:hAnsi="Times New Roman" w:cs="Times New Roman"/>
              </w:rPr>
            </w:pPr>
            <w:r w:rsidRPr="002B005F">
              <w:rPr>
                <w:rFonts w:ascii="Times New Roman" w:hAnsi="Times New Roman" w:cs="Times New Roman"/>
              </w:rPr>
              <w:t>Moyen-Orient      29</w:t>
            </w:r>
          </w:p>
          <w:p w14:paraId="18B99252" w14:textId="31BADAEB" w:rsidR="00191520" w:rsidRPr="002B005F" w:rsidRDefault="00191520" w:rsidP="005C177E">
            <w:pPr>
              <w:tabs>
                <w:tab w:val="left" w:pos="0"/>
              </w:tabs>
              <w:spacing w:before="60"/>
              <w:ind w:left="227" w:right="57"/>
              <w:jc w:val="left"/>
              <w:rPr>
                <w:rFonts w:ascii="Times New Roman" w:hAnsi="Times New Roman" w:cs="Times New Roman"/>
              </w:rPr>
            </w:pPr>
            <w:r w:rsidRPr="002B005F">
              <w:rPr>
                <w:rFonts w:ascii="Times New Roman" w:hAnsi="Times New Roman" w:cs="Times New Roman"/>
              </w:rPr>
              <w:t xml:space="preserve">Europe                </w:t>
            </w:r>
            <w:r w:rsidR="005C177E" w:rsidRPr="002B005F">
              <w:rPr>
                <w:rFonts w:ascii="Times New Roman" w:hAnsi="Times New Roman" w:cs="Times New Roman"/>
              </w:rPr>
              <w:t xml:space="preserve"> </w:t>
            </w:r>
            <w:r w:rsidRPr="002B005F">
              <w:rPr>
                <w:rFonts w:ascii="Times New Roman" w:hAnsi="Times New Roman" w:cs="Times New Roman"/>
              </w:rPr>
              <w:t xml:space="preserve">  7</w:t>
            </w:r>
          </w:p>
          <w:p w14:paraId="222F11D5" w14:textId="686D45AE" w:rsidR="00191520" w:rsidRPr="002B005F" w:rsidRDefault="00191520" w:rsidP="005C177E">
            <w:pPr>
              <w:tabs>
                <w:tab w:val="left" w:pos="0"/>
              </w:tabs>
              <w:spacing w:before="60"/>
              <w:ind w:left="227" w:right="57"/>
              <w:jc w:val="left"/>
              <w:rPr>
                <w:rFonts w:ascii="Times New Roman" w:hAnsi="Times New Roman" w:cs="Times New Roman"/>
                <w:b/>
                <w:bCs/>
              </w:rPr>
            </w:pPr>
            <w:r w:rsidRPr="002B005F">
              <w:rPr>
                <w:rFonts w:ascii="Times New Roman" w:hAnsi="Times New Roman" w:cs="Times New Roman"/>
              </w:rPr>
              <w:t>Autres                  13</w:t>
            </w:r>
          </w:p>
          <w:p w14:paraId="02CBDB25" w14:textId="43171C05" w:rsidR="00191520" w:rsidRPr="002B005F" w:rsidRDefault="005C177E" w:rsidP="005C177E">
            <w:pPr>
              <w:tabs>
                <w:tab w:val="left" w:pos="2051"/>
              </w:tabs>
              <w:spacing w:before="60"/>
              <w:ind w:left="1207" w:right="57"/>
              <w:jc w:val="left"/>
              <w:rPr>
                <w:rFonts w:ascii="Times New Roman" w:hAnsi="Times New Roman" w:cs="Times New Roman"/>
              </w:rPr>
            </w:pPr>
            <w:r w:rsidRPr="002B005F">
              <w:rPr>
                <w:rFonts w:ascii="Times New Roman" w:hAnsi="Times New Roman" w:cs="Times New Roman"/>
                <w:b/>
                <w:bCs/>
              </w:rPr>
              <w:t xml:space="preserve">Total </w:t>
            </w:r>
            <w:r w:rsidR="00191520" w:rsidRPr="002B005F">
              <w:rPr>
                <w:rFonts w:ascii="Times New Roman" w:hAnsi="Times New Roman" w:cs="Times New Roman"/>
                <w:b/>
                <w:bCs/>
              </w:rPr>
              <w:t xml:space="preserve"> 79</w:t>
            </w:r>
          </w:p>
        </w:tc>
        <w:tc>
          <w:tcPr>
            <w:tcW w:w="1361" w:type="dxa"/>
          </w:tcPr>
          <w:p w14:paraId="61A2C7D9" w14:textId="77777777" w:rsidR="00191520" w:rsidRPr="002B005F" w:rsidRDefault="00F554E8" w:rsidP="00F554E8">
            <w:pPr>
              <w:tabs>
                <w:tab w:val="left" w:pos="0"/>
              </w:tabs>
              <w:spacing w:before="60"/>
              <w:jc w:val="left"/>
              <w:rPr>
                <w:rFonts w:ascii="Times New Roman" w:hAnsi="Times New Roman" w:cs="Times New Roman"/>
                <w:b/>
                <w:bCs/>
              </w:rPr>
            </w:pPr>
            <w:r w:rsidRPr="002B005F">
              <w:rPr>
                <w:rFonts w:ascii="Times New Roman" w:hAnsi="Times New Roman" w:cs="Times New Roman"/>
                <w:b/>
                <w:bCs/>
              </w:rPr>
              <w:t xml:space="preserve">M.P </w:t>
            </w:r>
            <w:r w:rsidR="00191520" w:rsidRPr="002B005F">
              <w:rPr>
                <w:rFonts w:ascii="Times New Roman" w:hAnsi="Times New Roman" w:cs="Times New Roman"/>
                <w:b/>
                <w:bCs/>
              </w:rPr>
              <w:t xml:space="preserve">  rang</w:t>
            </w:r>
          </w:p>
          <w:p w14:paraId="3CD9AC85" w14:textId="77777777" w:rsidR="00191520" w:rsidRPr="002B005F" w:rsidRDefault="00F554E8" w:rsidP="00F554E8">
            <w:pPr>
              <w:tabs>
                <w:tab w:val="left" w:pos="0"/>
                <w:tab w:val="left" w:pos="1005"/>
              </w:tabs>
              <w:spacing w:before="60"/>
              <w:jc w:val="left"/>
              <w:rPr>
                <w:rFonts w:ascii="Times New Roman" w:hAnsi="Times New Roman" w:cs="Times New Roman"/>
                <w:vertAlign w:val="superscript"/>
              </w:rPr>
            </w:pPr>
            <w:r w:rsidRPr="002B005F">
              <w:rPr>
                <w:rFonts w:ascii="Times New Roman" w:hAnsi="Times New Roman" w:cs="Times New Roman"/>
              </w:rPr>
              <w:t xml:space="preserve">51.75 </w:t>
            </w:r>
            <w:r w:rsidR="00191520" w:rsidRPr="002B005F">
              <w:rPr>
                <w:rFonts w:ascii="Times New Roman" w:hAnsi="Times New Roman" w:cs="Times New Roman"/>
              </w:rPr>
              <w:t xml:space="preserve">  1</w:t>
            </w:r>
            <w:r w:rsidR="00191520" w:rsidRPr="002B005F">
              <w:rPr>
                <w:rFonts w:ascii="Times New Roman" w:hAnsi="Times New Roman" w:cs="Times New Roman"/>
                <w:vertAlign w:val="superscript"/>
              </w:rPr>
              <w:t>er</w:t>
            </w:r>
          </w:p>
          <w:p w14:paraId="05BC4F40" w14:textId="77777777" w:rsidR="00191520" w:rsidRPr="002B005F" w:rsidRDefault="00F554E8"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 xml:space="preserve">26.92 </w:t>
            </w:r>
            <w:r w:rsidR="00191520" w:rsidRPr="002B005F">
              <w:rPr>
                <w:rFonts w:ascii="Times New Roman" w:hAnsi="Times New Roman" w:cs="Times New Roman"/>
              </w:rPr>
              <w:t xml:space="preserve">  4</w:t>
            </w:r>
            <w:r w:rsidR="00191520" w:rsidRPr="002B005F">
              <w:rPr>
                <w:rFonts w:ascii="Times New Roman" w:hAnsi="Times New Roman" w:cs="Times New Roman"/>
                <w:vertAlign w:val="superscript"/>
              </w:rPr>
              <w:t>ème</w:t>
            </w:r>
          </w:p>
          <w:p w14:paraId="2438F111" w14:textId="77777777" w:rsidR="00191520" w:rsidRPr="002B005F" w:rsidRDefault="00F554E8"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35.39</w:t>
            </w:r>
            <w:r w:rsidR="00191520" w:rsidRPr="002B005F">
              <w:rPr>
                <w:rFonts w:ascii="Times New Roman" w:hAnsi="Times New Roman" w:cs="Times New Roman"/>
              </w:rPr>
              <w:t xml:space="preserve">   3</w:t>
            </w:r>
            <w:r w:rsidR="00191520" w:rsidRPr="002B005F">
              <w:rPr>
                <w:rFonts w:ascii="Times New Roman" w:hAnsi="Times New Roman" w:cs="Times New Roman"/>
                <w:vertAlign w:val="superscript"/>
              </w:rPr>
              <w:t>ème</w:t>
            </w:r>
          </w:p>
          <w:p w14:paraId="3784D019" w14:textId="77777777" w:rsidR="00191520" w:rsidRPr="002B005F" w:rsidRDefault="00F554E8"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 xml:space="preserve">40.11 </w:t>
            </w:r>
            <w:r w:rsidR="00191520" w:rsidRPr="002B005F">
              <w:rPr>
                <w:rFonts w:ascii="Times New Roman" w:hAnsi="Times New Roman" w:cs="Times New Roman"/>
              </w:rPr>
              <w:t xml:space="preserve">  2</w:t>
            </w:r>
            <w:r w:rsidR="005C177E" w:rsidRPr="002B005F">
              <w:rPr>
                <w:rFonts w:ascii="Times New Roman" w:hAnsi="Times New Roman" w:cs="Times New Roman"/>
                <w:vertAlign w:val="superscript"/>
              </w:rPr>
              <w:t>è</w:t>
            </w:r>
            <w:r w:rsidR="00191520" w:rsidRPr="002B005F">
              <w:rPr>
                <w:rFonts w:ascii="Times New Roman" w:hAnsi="Times New Roman" w:cs="Times New Roman"/>
                <w:vertAlign w:val="superscript"/>
              </w:rPr>
              <w:t>me</w:t>
            </w:r>
          </w:p>
        </w:tc>
        <w:tc>
          <w:tcPr>
            <w:tcW w:w="1361" w:type="dxa"/>
          </w:tcPr>
          <w:p w14:paraId="7D302E63" w14:textId="77777777" w:rsidR="00191520" w:rsidRPr="002B005F" w:rsidRDefault="00F554E8" w:rsidP="00F554E8">
            <w:pPr>
              <w:tabs>
                <w:tab w:val="left" w:pos="0"/>
              </w:tabs>
              <w:spacing w:before="60"/>
              <w:jc w:val="left"/>
              <w:rPr>
                <w:rFonts w:ascii="Times New Roman" w:hAnsi="Times New Roman" w:cs="Times New Roman"/>
                <w:b/>
                <w:bCs/>
              </w:rPr>
            </w:pPr>
            <w:r w:rsidRPr="002B005F">
              <w:rPr>
                <w:rFonts w:ascii="Times New Roman" w:hAnsi="Times New Roman" w:cs="Times New Roman"/>
                <w:b/>
                <w:bCs/>
              </w:rPr>
              <w:t>M.P</w:t>
            </w:r>
            <w:r w:rsidR="00191520" w:rsidRPr="002B005F">
              <w:rPr>
                <w:rFonts w:ascii="Times New Roman" w:hAnsi="Times New Roman" w:cs="Times New Roman"/>
                <w:b/>
                <w:bCs/>
              </w:rPr>
              <w:t xml:space="preserve">  </w:t>
            </w:r>
            <w:r w:rsidR="00FE76A5" w:rsidRPr="002B005F">
              <w:rPr>
                <w:rFonts w:ascii="Times New Roman" w:hAnsi="Times New Roman" w:cs="Times New Roman"/>
                <w:b/>
                <w:bCs/>
              </w:rPr>
              <w:t xml:space="preserve"> </w:t>
            </w:r>
            <w:r w:rsidR="00191520" w:rsidRPr="002B005F">
              <w:rPr>
                <w:rFonts w:ascii="Times New Roman" w:hAnsi="Times New Roman" w:cs="Times New Roman"/>
                <w:b/>
                <w:bCs/>
              </w:rPr>
              <w:t>rang</w:t>
            </w:r>
          </w:p>
          <w:p w14:paraId="3C708DF7" w14:textId="77777777" w:rsidR="00191520" w:rsidRPr="002B005F" w:rsidRDefault="00191520"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29.24</w:t>
            </w:r>
            <w:r w:rsidR="00FE76A5" w:rsidRPr="002B005F">
              <w:rPr>
                <w:rFonts w:ascii="Times New Roman" w:hAnsi="Times New Roman" w:cs="Times New Roman"/>
              </w:rPr>
              <w:t xml:space="preserve">   </w:t>
            </w:r>
            <w:r w:rsidRPr="002B005F">
              <w:rPr>
                <w:rFonts w:ascii="Times New Roman" w:hAnsi="Times New Roman" w:cs="Times New Roman"/>
              </w:rPr>
              <w:t>4</w:t>
            </w:r>
            <w:r w:rsidRPr="002B005F">
              <w:rPr>
                <w:rFonts w:ascii="Times New Roman" w:hAnsi="Times New Roman" w:cs="Times New Roman"/>
                <w:vertAlign w:val="superscript"/>
              </w:rPr>
              <w:t>ème</w:t>
            </w:r>
          </w:p>
          <w:p w14:paraId="45031C44" w14:textId="77777777" w:rsidR="00191520" w:rsidRPr="002B005F" w:rsidRDefault="00191520"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46.70</w:t>
            </w:r>
            <w:r w:rsidR="00FE76A5" w:rsidRPr="002B005F">
              <w:rPr>
                <w:rFonts w:ascii="Times New Roman" w:hAnsi="Times New Roman" w:cs="Times New Roman"/>
              </w:rPr>
              <w:t xml:space="preserve">   </w:t>
            </w:r>
            <w:r w:rsidRPr="002B005F">
              <w:rPr>
                <w:rFonts w:ascii="Times New Roman" w:hAnsi="Times New Roman" w:cs="Times New Roman"/>
              </w:rPr>
              <w:t>2</w:t>
            </w:r>
            <w:r w:rsidR="005C177E" w:rsidRPr="002B005F">
              <w:rPr>
                <w:rFonts w:ascii="Times New Roman" w:hAnsi="Times New Roman" w:cs="Times New Roman"/>
                <w:vertAlign w:val="superscript"/>
              </w:rPr>
              <w:t>è</w:t>
            </w:r>
            <w:r w:rsidRPr="002B005F">
              <w:rPr>
                <w:rFonts w:ascii="Times New Roman" w:hAnsi="Times New Roman" w:cs="Times New Roman"/>
                <w:vertAlign w:val="superscript"/>
              </w:rPr>
              <w:t>me</w:t>
            </w:r>
          </w:p>
          <w:p w14:paraId="236026E2" w14:textId="77777777" w:rsidR="00191520" w:rsidRPr="002B005F" w:rsidRDefault="00F554E8" w:rsidP="00F554E8">
            <w:pPr>
              <w:tabs>
                <w:tab w:val="left" w:pos="0"/>
              </w:tabs>
              <w:spacing w:before="60"/>
              <w:jc w:val="left"/>
              <w:rPr>
                <w:rFonts w:ascii="Times New Roman" w:hAnsi="Times New Roman" w:cs="Times New Roman"/>
              </w:rPr>
            </w:pPr>
            <w:r w:rsidRPr="002B005F">
              <w:rPr>
                <w:rFonts w:ascii="Times New Roman" w:hAnsi="Times New Roman" w:cs="Times New Roman"/>
              </w:rPr>
              <w:t>62.40</w:t>
            </w:r>
            <w:r w:rsidR="00FE76A5" w:rsidRPr="002B005F">
              <w:rPr>
                <w:rFonts w:ascii="Times New Roman" w:hAnsi="Times New Roman" w:cs="Times New Roman"/>
              </w:rPr>
              <w:t xml:space="preserve">   </w:t>
            </w:r>
            <w:r w:rsidR="00191520" w:rsidRPr="002B005F">
              <w:rPr>
                <w:rFonts w:ascii="Times New Roman" w:hAnsi="Times New Roman" w:cs="Times New Roman"/>
              </w:rPr>
              <w:t>1</w:t>
            </w:r>
            <w:r w:rsidR="00191520" w:rsidRPr="002B005F">
              <w:rPr>
                <w:rFonts w:ascii="Times New Roman" w:hAnsi="Times New Roman" w:cs="Times New Roman"/>
                <w:vertAlign w:val="superscript"/>
              </w:rPr>
              <w:t>er</w:t>
            </w:r>
          </w:p>
          <w:p w14:paraId="3AC07F33" w14:textId="77777777" w:rsidR="00191520" w:rsidRPr="002B005F" w:rsidRDefault="00191520" w:rsidP="00F554E8">
            <w:pPr>
              <w:tabs>
                <w:tab w:val="left" w:pos="0"/>
              </w:tabs>
              <w:spacing w:before="60"/>
              <w:jc w:val="left"/>
              <w:rPr>
                <w:rFonts w:ascii="Times New Roman" w:hAnsi="Times New Roman" w:cs="Times New Roman"/>
              </w:rPr>
            </w:pPr>
            <w:r w:rsidRPr="002B005F">
              <w:rPr>
                <w:rFonts w:ascii="Times New Roman" w:hAnsi="Times New Roman" w:cs="Times New Roman"/>
              </w:rPr>
              <w:t>44.5</w:t>
            </w:r>
            <w:r w:rsidR="00F554E8" w:rsidRPr="002B005F">
              <w:rPr>
                <w:rFonts w:ascii="Times New Roman" w:hAnsi="Times New Roman" w:cs="Times New Roman"/>
              </w:rPr>
              <w:t xml:space="preserve">0 </w:t>
            </w:r>
            <w:r w:rsidR="00FE76A5" w:rsidRPr="002B005F">
              <w:rPr>
                <w:rFonts w:ascii="Times New Roman" w:hAnsi="Times New Roman" w:cs="Times New Roman"/>
              </w:rPr>
              <w:t xml:space="preserve">  </w:t>
            </w:r>
            <w:r w:rsidRPr="002B005F">
              <w:rPr>
                <w:rFonts w:ascii="Times New Roman" w:hAnsi="Times New Roman" w:cs="Times New Roman"/>
              </w:rPr>
              <w:t>3</w:t>
            </w:r>
            <w:r w:rsidRPr="002B005F">
              <w:rPr>
                <w:rFonts w:ascii="Times New Roman" w:hAnsi="Times New Roman" w:cs="Times New Roman"/>
                <w:vertAlign w:val="superscript"/>
              </w:rPr>
              <w:t>ème</w:t>
            </w:r>
          </w:p>
        </w:tc>
        <w:tc>
          <w:tcPr>
            <w:tcW w:w="1361" w:type="dxa"/>
          </w:tcPr>
          <w:p w14:paraId="05DC8BDE" w14:textId="77777777" w:rsidR="00191520" w:rsidRPr="002B005F" w:rsidRDefault="00F554E8" w:rsidP="00F554E8">
            <w:pPr>
              <w:tabs>
                <w:tab w:val="left" w:pos="0"/>
              </w:tabs>
              <w:spacing w:before="60"/>
              <w:jc w:val="left"/>
              <w:rPr>
                <w:rFonts w:ascii="Times New Roman" w:hAnsi="Times New Roman" w:cs="Times New Roman"/>
                <w:b/>
                <w:bCs/>
              </w:rPr>
            </w:pPr>
            <w:r w:rsidRPr="002B005F">
              <w:rPr>
                <w:rFonts w:ascii="Times New Roman" w:hAnsi="Times New Roman" w:cs="Times New Roman"/>
                <w:b/>
                <w:bCs/>
              </w:rPr>
              <w:t xml:space="preserve">M.P  </w:t>
            </w:r>
            <w:r w:rsidR="00191520" w:rsidRPr="002B005F">
              <w:rPr>
                <w:rFonts w:ascii="Times New Roman" w:hAnsi="Times New Roman" w:cs="Times New Roman"/>
                <w:b/>
                <w:bCs/>
              </w:rPr>
              <w:t xml:space="preserve"> rang</w:t>
            </w:r>
          </w:p>
          <w:p w14:paraId="78EE69EF" w14:textId="77777777" w:rsidR="00191520" w:rsidRPr="002B005F" w:rsidRDefault="00F554E8"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 xml:space="preserve">24.75 </w:t>
            </w:r>
            <w:r w:rsidR="00191520" w:rsidRPr="002B005F">
              <w:rPr>
                <w:rFonts w:ascii="Times New Roman" w:hAnsi="Times New Roman" w:cs="Times New Roman"/>
              </w:rPr>
              <w:t xml:space="preserve">  4</w:t>
            </w:r>
            <w:r w:rsidR="00191520" w:rsidRPr="002B005F">
              <w:rPr>
                <w:rFonts w:ascii="Times New Roman" w:hAnsi="Times New Roman" w:cs="Times New Roman"/>
                <w:vertAlign w:val="superscript"/>
              </w:rPr>
              <w:t>ème</w:t>
            </w:r>
          </w:p>
          <w:p w14:paraId="6D62EF0E" w14:textId="77777777" w:rsidR="00191520" w:rsidRPr="002B005F" w:rsidRDefault="00F554E8"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35.92</w:t>
            </w:r>
            <w:r w:rsidR="00191520" w:rsidRPr="002B005F">
              <w:rPr>
                <w:rFonts w:ascii="Times New Roman" w:hAnsi="Times New Roman" w:cs="Times New Roman"/>
              </w:rPr>
              <w:t xml:space="preserve">   2</w:t>
            </w:r>
            <w:r w:rsidR="00191520" w:rsidRPr="002B005F">
              <w:rPr>
                <w:rFonts w:ascii="Times New Roman" w:hAnsi="Times New Roman" w:cs="Times New Roman"/>
                <w:vertAlign w:val="superscript"/>
              </w:rPr>
              <w:t>éme</w:t>
            </w:r>
          </w:p>
          <w:p w14:paraId="0779E865" w14:textId="77777777" w:rsidR="00191520" w:rsidRPr="002B005F" w:rsidRDefault="00F554E8" w:rsidP="00F554E8">
            <w:pPr>
              <w:tabs>
                <w:tab w:val="left" w:pos="0"/>
              </w:tabs>
              <w:spacing w:before="60"/>
              <w:jc w:val="left"/>
              <w:rPr>
                <w:rFonts w:ascii="Times New Roman" w:hAnsi="Times New Roman" w:cs="Times New Roman"/>
              </w:rPr>
            </w:pPr>
            <w:r w:rsidRPr="002B005F">
              <w:rPr>
                <w:rFonts w:ascii="Times New Roman" w:hAnsi="Times New Roman" w:cs="Times New Roman"/>
              </w:rPr>
              <w:t>34.15</w:t>
            </w:r>
            <w:r w:rsidR="00191520" w:rsidRPr="002B005F">
              <w:rPr>
                <w:rFonts w:ascii="Times New Roman" w:hAnsi="Times New Roman" w:cs="Times New Roman"/>
              </w:rPr>
              <w:t xml:space="preserve">   3</w:t>
            </w:r>
            <w:r w:rsidR="00191520" w:rsidRPr="002B005F">
              <w:rPr>
                <w:rFonts w:ascii="Times New Roman" w:hAnsi="Times New Roman" w:cs="Times New Roman"/>
                <w:vertAlign w:val="superscript"/>
              </w:rPr>
              <w:t>ème</w:t>
            </w:r>
            <w:r w:rsidRPr="002B005F">
              <w:rPr>
                <w:rFonts w:ascii="Times New Roman" w:hAnsi="Times New Roman" w:cs="Times New Roman"/>
              </w:rPr>
              <w:t xml:space="preserve"> 42.66</w:t>
            </w:r>
            <w:r w:rsidR="00191520" w:rsidRPr="002B005F">
              <w:rPr>
                <w:rFonts w:ascii="Times New Roman" w:hAnsi="Times New Roman" w:cs="Times New Roman"/>
              </w:rPr>
              <w:t xml:space="preserve">   1</w:t>
            </w:r>
            <w:r w:rsidR="00191520" w:rsidRPr="002B005F">
              <w:rPr>
                <w:rFonts w:ascii="Times New Roman" w:hAnsi="Times New Roman" w:cs="Times New Roman"/>
                <w:vertAlign w:val="superscript"/>
              </w:rPr>
              <w:t>er</w:t>
            </w:r>
          </w:p>
        </w:tc>
        <w:tc>
          <w:tcPr>
            <w:tcW w:w="1361" w:type="dxa"/>
          </w:tcPr>
          <w:p w14:paraId="6AD52B5A" w14:textId="77777777" w:rsidR="00191520" w:rsidRPr="002B005F" w:rsidRDefault="00191520" w:rsidP="00F554E8">
            <w:pPr>
              <w:tabs>
                <w:tab w:val="left" w:pos="0"/>
              </w:tabs>
              <w:spacing w:before="60"/>
              <w:jc w:val="left"/>
              <w:rPr>
                <w:rFonts w:ascii="Times New Roman" w:hAnsi="Times New Roman" w:cs="Times New Roman"/>
                <w:b/>
                <w:bCs/>
              </w:rPr>
            </w:pPr>
            <w:r w:rsidRPr="002B005F">
              <w:rPr>
                <w:rFonts w:ascii="Times New Roman" w:hAnsi="Times New Roman" w:cs="Times New Roman"/>
                <w:b/>
                <w:bCs/>
              </w:rPr>
              <w:t>M.P   rang</w:t>
            </w:r>
          </w:p>
          <w:p w14:paraId="0EED1289" w14:textId="77777777" w:rsidR="00191520" w:rsidRPr="002B005F" w:rsidRDefault="00191520"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27.4</w:t>
            </w:r>
            <w:r w:rsidR="00F554E8" w:rsidRPr="002B005F">
              <w:rPr>
                <w:rFonts w:ascii="Times New Roman" w:hAnsi="Times New Roman" w:cs="Times New Roman"/>
              </w:rPr>
              <w:t>0</w:t>
            </w:r>
            <w:r w:rsidRPr="002B005F">
              <w:rPr>
                <w:rFonts w:ascii="Times New Roman" w:hAnsi="Times New Roman" w:cs="Times New Roman"/>
              </w:rPr>
              <w:t xml:space="preserve">   4</w:t>
            </w:r>
            <w:r w:rsidRPr="002B005F">
              <w:rPr>
                <w:rFonts w:ascii="Times New Roman" w:hAnsi="Times New Roman" w:cs="Times New Roman"/>
                <w:vertAlign w:val="superscript"/>
              </w:rPr>
              <w:t>ème</w:t>
            </w:r>
          </w:p>
          <w:p w14:paraId="37ECC88B" w14:textId="77777777" w:rsidR="00191520" w:rsidRPr="002B005F" w:rsidRDefault="00191520"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 xml:space="preserve">38.56  </w:t>
            </w:r>
            <w:r w:rsidR="00F554E8" w:rsidRPr="002B005F">
              <w:rPr>
                <w:rFonts w:ascii="Times New Roman" w:hAnsi="Times New Roman" w:cs="Times New Roman"/>
              </w:rPr>
              <w:t xml:space="preserve"> </w:t>
            </w:r>
            <w:r w:rsidRPr="002B005F">
              <w:rPr>
                <w:rFonts w:ascii="Times New Roman" w:hAnsi="Times New Roman" w:cs="Times New Roman"/>
              </w:rPr>
              <w:t>1</w:t>
            </w:r>
            <w:r w:rsidRPr="002B005F">
              <w:rPr>
                <w:rFonts w:ascii="Times New Roman" w:hAnsi="Times New Roman" w:cs="Times New Roman"/>
                <w:vertAlign w:val="superscript"/>
              </w:rPr>
              <w:t>er</w:t>
            </w:r>
          </w:p>
          <w:p w14:paraId="11D64DDF" w14:textId="77777777" w:rsidR="00191520" w:rsidRPr="002B005F" w:rsidRDefault="00191520" w:rsidP="00F554E8">
            <w:pPr>
              <w:tabs>
                <w:tab w:val="left" w:pos="0"/>
              </w:tabs>
              <w:spacing w:before="60"/>
              <w:jc w:val="left"/>
              <w:rPr>
                <w:rFonts w:ascii="Times New Roman" w:hAnsi="Times New Roman" w:cs="Times New Roman"/>
              </w:rPr>
            </w:pPr>
            <w:r w:rsidRPr="002B005F">
              <w:rPr>
                <w:rFonts w:ascii="Times New Roman" w:hAnsi="Times New Roman" w:cs="Times New Roman"/>
              </w:rPr>
              <w:t>32.14   2</w:t>
            </w:r>
            <w:r w:rsidR="005C177E" w:rsidRPr="002B005F">
              <w:rPr>
                <w:rFonts w:ascii="Times New Roman" w:hAnsi="Times New Roman" w:cs="Times New Roman"/>
                <w:vertAlign w:val="superscript"/>
              </w:rPr>
              <w:t>è</w:t>
            </w:r>
            <w:r w:rsidRPr="002B005F">
              <w:rPr>
                <w:rFonts w:ascii="Times New Roman" w:hAnsi="Times New Roman" w:cs="Times New Roman"/>
                <w:vertAlign w:val="superscript"/>
              </w:rPr>
              <w:t>me</w:t>
            </w:r>
          </w:p>
          <w:p w14:paraId="65762187" w14:textId="77777777" w:rsidR="00191520" w:rsidRPr="002B005F" w:rsidRDefault="00191520" w:rsidP="00F554E8">
            <w:pPr>
              <w:tabs>
                <w:tab w:val="left" w:pos="0"/>
              </w:tabs>
              <w:spacing w:before="60"/>
              <w:jc w:val="left"/>
              <w:rPr>
                <w:rFonts w:ascii="Times New Roman" w:hAnsi="Times New Roman" w:cs="Times New Roman"/>
              </w:rPr>
            </w:pPr>
            <w:r w:rsidRPr="002B005F">
              <w:rPr>
                <w:rFonts w:ascii="Times New Roman" w:hAnsi="Times New Roman" w:cs="Times New Roman"/>
              </w:rPr>
              <w:t>27.54</w:t>
            </w:r>
            <w:r w:rsidR="00F554E8" w:rsidRPr="002B005F">
              <w:rPr>
                <w:rFonts w:ascii="Times New Roman" w:hAnsi="Times New Roman" w:cs="Times New Roman"/>
              </w:rPr>
              <w:t xml:space="preserve">  </w:t>
            </w:r>
            <w:r w:rsidRPr="002B005F">
              <w:rPr>
                <w:rFonts w:ascii="Times New Roman" w:hAnsi="Times New Roman" w:cs="Times New Roman"/>
              </w:rPr>
              <w:t xml:space="preserve"> 3</w:t>
            </w:r>
            <w:r w:rsidRPr="002B005F">
              <w:rPr>
                <w:rFonts w:ascii="Times New Roman" w:hAnsi="Times New Roman" w:cs="Times New Roman"/>
                <w:vertAlign w:val="superscript"/>
              </w:rPr>
              <w:t>ème</w:t>
            </w:r>
          </w:p>
        </w:tc>
        <w:tc>
          <w:tcPr>
            <w:tcW w:w="1361" w:type="dxa"/>
          </w:tcPr>
          <w:p w14:paraId="7FF116C0" w14:textId="77777777" w:rsidR="00191520" w:rsidRPr="002B005F" w:rsidRDefault="00F554E8" w:rsidP="00F554E8">
            <w:pPr>
              <w:tabs>
                <w:tab w:val="left" w:pos="0"/>
              </w:tabs>
              <w:spacing w:before="60"/>
              <w:jc w:val="left"/>
              <w:rPr>
                <w:rFonts w:ascii="Times New Roman" w:hAnsi="Times New Roman" w:cs="Times New Roman"/>
                <w:b/>
                <w:bCs/>
              </w:rPr>
            </w:pPr>
            <w:r w:rsidRPr="002B005F">
              <w:rPr>
                <w:rFonts w:ascii="Times New Roman" w:hAnsi="Times New Roman" w:cs="Times New Roman"/>
                <w:b/>
                <w:bCs/>
              </w:rPr>
              <w:t>M.P</w:t>
            </w:r>
            <w:r w:rsidR="00191520" w:rsidRPr="002B005F">
              <w:rPr>
                <w:rFonts w:ascii="Times New Roman" w:hAnsi="Times New Roman" w:cs="Times New Roman"/>
                <w:b/>
                <w:bCs/>
              </w:rPr>
              <w:t xml:space="preserve">   rang</w:t>
            </w:r>
          </w:p>
          <w:p w14:paraId="5F02B45E" w14:textId="77777777" w:rsidR="00191520" w:rsidRPr="002B005F" w:rsidRDefault="00191520" w:rsidP="00F554E8">
            <w:pPr>
              <w:tabs>
                <w:tab w:val="left" w:pos="0"/>
              </w:tabs>
              <w:spacing w:before="60"/>
              <w:jc w:val="left"/>
              <w:rPr>
                <w:rFonts w:ascii="Times New Roman" w:hAnsi="Times New Roman" w:cs="Times New Roman"/>
              </w:rPr>
            </w:pPr>
            <w:r w:rsidRPr="002B005F">
              <w:rPr>
                <w:rFonts w:ascii="Times New Roman" w:hAnsi="Times New Roman" w:cs="Times New Roman"/>
              </w:rPr>
              <w:t>35.66   3</w:t>
            </w:r>
            <w:r w:rsidRPr="002B005F">
              <w:rPr>
                <w:rFonts w:ascii="Times New Roman" w:hAnsi="Times New Roman" w:cs="Times New Roman"/>
                <w:vertAlign w:val="superscript"/>
              </w:rPr>
              <w:t>ème</w:t>
            </w:r>
          </w:p>
          <w:p w14:paraId="05CE544B" w14:textId="77777777" w:rsidR="00191520" w:rsidRPr="002B005F" w:rsidRDefault="00191520"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41.22   2</w:t>
            </w:r>
            <w:r w:rsidR="005C177E" w:rsidRPr="002B005F">
              <w:rPr>
                <w:rFonts w:ascii="Times New Roman" w:hAnsi="Times New Roman" w:cs="Times New Roman"/>
                <w:vertAlign w:val="superscript"/>
              </w:rPr>
              <w:t>è</w:t>
            </w:r>
            <w:r w:rsidRPr="002B005F">
              <w:rPr>
                <w:rFonts w:ascii="Times New Roman" w:hAnsi="Times New Roman" w:cs="Times New Roman"/>
                <w:vertAlign w:val="superscript"/>
              </w:rPr>
              <w:t>me</w:t>
            </w:r>
          </w:p>
          <w:p w14:paraId="57846210" w14:textId="77777777" w:rsidR="00191520" w:rsidRPr="002B005F" w:rsidRDefault="00191520" w:rsidP="00F554E8">
            <w:pPr>
              <w:tabs>
                <w:tab w:val="left" w:pos="0"/>
              </w:tabs>
              <w:spacing w:before="60"/>
              <w:jc w:val="left"/>
              <w:rPr>
                <w:rFonts w:ascii="Times New Roman" w:hAnsi="Times New Roman" w:cs="Times New Roman"/>
                <w:vertAlign w:val="superscript"/>
              </w:rPr>
            </w:pPr>
            <w:r w:rsidRPr="002B005F">
              <w:rPr>
                <w:rFonts w:ascii="Times New Roman" w:hAnsi="Times New Roman" w:cs="Times New Roman"/>
              </w:rPr>
              <w:t>32.02   4</w:t>
            </w:r>
            <w:r w:rsidRPr="002B005F">
              <w:rPr>
                <w:rFonts w:ascii="Times New Roman" w:hAnsi="Times New Roman" w:cs="Times New Roman"/>
                <w:vertAlign w:val="superscript"/>
              </w:rPr>
              <w:t>ème</w:t>
            </w:r>
          </w:p>
          <w:p w14:paraId="0CB2EF16" w14:textId="77777777" w:rsidR="00191520" w:rsidRPr="004E13C9" w:rsidRDefault="00191520" w:rsidP="00F554E8">
            <w:pPr>
              <w:tabs>
                <w:tab w:val="left" w:pos="0"/>
              </w:tabs>
              <w:spacing w:before="60"/>
              <w:jc w:val="left"/>
              <w:rPr>
                <w:rFonts w:ascii="Times New Roman" w:hAnsi="Times New Roman" w:cs="Times New Roman"/>
              </w:rPr>
            </w:pPr>
            <w:r w:rsidRPr="004E13C9">
              <w:rPr>
                <w:rFonts w:ascii="Times New Roman" w:hAnsi="Times New Roman" w:cs="Times New Roman"/>
              </w:rPr>
              <w:t>50.4</w:t>
            </w:r>
            <w:r w:rsidR="00F554E8" w:rsidRPr="004E13C9">
              <w:rPr>
                <w:rFonts w:ascii="Times New Roman" w:hAnsi="Times New Roman" w:cs="Times New Roman"/>
              </w:rPr>
              <w:t xml:space="preserve">0 </w:t>
            </w:r>
            <w:r w:rsidRPr="004E13C9">
              <w:rPr>
                <w:rFonts w:ascii="Times New Roman" w:hAnsi="Times New Roman" w:cs="Times New Roman"/>
              </w:rPr>
              <w:t xml:space="preserve">  1</w:t>
            </w:r>
            <w:r w:rsidRPr="004E13C9">
              <w:rPr>
                <w:rFonts w:ascii="Times New Roman" w:hAnsi="Times New Roman" w:cs="Times New Roman"/>
                <w:vertAlign w:val="superscript"/>
              </w:rPr>
              <w:t>er</w:t>
            </w:r>
          </w:p>
        </w:tc>
      </w:tr>
    </w:tbl>
    <w:p w14:paraId="323508BA" w14:textId="77777777" w:rsidR="002760B2" w:rsidRPr="002B005F" w:rsidRDefault="002760B2" w:rsidP="0062692A">
      <w:pPr>
        <w:tabs>
          <w:tab w:val="left" w:pos="0"/>
        </w:tabs>
        <w:spacing w:before="120" w:line="300" w:lineRule="auto"/>
        <w:rPr>
          <w:rFonts w:ascii="Times New Roman" w:eastAsia="Times New Roman" w:hAnsi="Times New Roman" w:cs="Times New Roman"/>
          <w:bCs/>
          <w:sz w:val="20"/>
          <w:szCs w:val="20"/>
        </w:rPr>
      </w:pPr>
      <w:r w:rsidRPr="002B005F">
        <w:rPr>
          <w:rFonts w:ascii="Times New Roman" w:eastAsia="Times New Roman" w:hAnsi="Times New Roman" w:cs="Times New Roman"/>
          <w:bCs/>
          <w:sz w:val="20"/>
          <w:szCs w:val="20"/>
        </w:rPr>
        <w:t>Note : M.P : moyenne pondérée.</w:t>
      </w:r>
    </w:p>
    <w:p w14:paraId="379C8DDB" w14:textId="77777777" w:rsidR="002760B2" w:rsidRPr="0086245F" w:rsidRDefault="006C0F3B" w:rsidP="00A90914">
      <w:pPr>
        <w:tabs>
          <w:tab w:val="left" w:pos="0"/>
        </w:tabs>
        <w:spacing w:after="100" w:afterAutospacing="1" w:line="300" w:lineRule="auto"/>
        <w:jc w:val="center"/>
        <w:rPr>
          <w:rFonts w:ascii="Times New Roman" w:hAnsi="Times New Roman" w:cs="Times New Roman"/>
          <w:bCs/>
          <w:sz w:val="20"/>
          <w:szCs w:val="20"/>
        </w:rPr>
      </w:pPr>
      <w:r w:rsidRPr="0086245F">
        <w:rPr>
          <w:rFonts w:ascii="Times New Roman" w:hAnsi="Times New Roman" w:cs="Times New Roman"/>
          <w:bCs/>
          <w:sz w:val="20"/>
          <w:szCs w:val="20"/>
        </w:rPr>
        <w:t>Source</w:t>
      </w:r>
      <w:r w:rsidRPr="002B005F">
        <w:rPr>
          <w:rFonts w:ascii="Times New Roman" w:eastAsia="Times New Roman" w:hAnsi="Times New Roman" w:cs="Times New Roman"/>
          <w:bCs/>
          <w:sz w:val="20"/>
          <w:szCs w:val="20"/>
        </w:rPr>
        <w:t> </w:t>
      </w:r>
      <w:r w:rsidRPr="0086245F">
        <w:rPr>
          <w:rFonts w:ascii="Times New Roman" w:hAnsi="Times New Roman" w:cs="Times New Roman"/>
          <w:bCs/>
          <w:sz w:val="20"/>
          <w:szCs w:val="20"/>
        </w:rPr>
        <w:t>:</w:t>
      </w:r>
      <w:r w:rsidR="002760B2" w:rsidRPr="0086245F">
        <w:rPr>
          <w:rFonts w:ascii="Times New Roman" w:hAnsi="Times New Roman" w:cs="Times New Roman"/>
          <w:bCs/>
          <w:sz w:val="20"/>
          <w:szCs w:val="20"/>
        </w:rPr>
        <w:t xml:space="preserve"> Calculs du chercheur.</w:t>
      </w:r>
    </w:p>
    <w:p w14:paraId="0BFACC93" w14:textId="77777777" w:rsidR="002760B2" w:rsidRPr="006C1230" w:rsidRDefault="009D3601" w:rsidP="00D66FFE">
      <w:pPr>
        <w:pStyle w:val="Titre5"/>
        <w:keepNext w:val="0"/>
        <w:keepLines w:val="0"/>
        <w:spacing w:before="120" w:after="120" w:line="300" w:lineRule="auto"/>
        <w:ind w:firstLine="709"/>
        <w:rPr>
          <w:color w:val="auto"/>
        </w:rPr>
      </w:pPr>
      <w:bookmarkStart w:id="1738" w:name="_Toc182298927"/>
      <w:r w:rsidRPr="006C1230">
        <w:rPr>
          <w:rFonts w:asciiTheme="majorBidi" w:hAnsiTheme="majorBidi"/>
          <w:b/>
          <w:bCs/>
          <w:color w:val="auto"/>
          <w:sz w:val="24"/>
          <w:szCs w:val="24"/>
        </w:rPr>
        <w:t>2</w:t>
      </w:r>
      <w:r w:rsidR="0086245F" w:rsidRPr="006C1230">
        <w:rPr>
          <w:rFonts w:asciiTheme="majorBidi" w:hAnsiTheme="majorBidi"/>
          <w:b/>
          <w:bCs/>
          <w:color w:val="auto"/>
          <w:sz w:val="24"/>
          <w:szCs w:val="24"/>
        </w:rPr>
        <w:t xml:space="preserve">.2.2.2- </w:t>
      </w:r>
      <w:r w:rsidR="00566DE6" w:rsidRPr="006C1230">
        <w:rPr>
          <w:rFonts w:asciiTheme="majorBidi" w:hAnsiTheme="majorBidi"/>
          <w:b/>
          <w:bCs/>
          <w:color w:val="auto"/>
          <w:sz w:val="24"/>
          <w:szCs w:val="24"/>
        </w:rPr>
        <w:t>Perception</w:t>
      </w:r>
      <w:r w:rsidR="002760B2" w:rsidRPr="006C1230">
        <w:rPr>
          <w:rFonts w:asciiTheme="majorBidi" w:hAnsiTheme="majorBidi"/>
          <w:b/>
          <w:bCs/>
          <w:color w:val="auto"/>
          <w:sz w:val="24"/>
          <w:szCs w:val="24"/>
        </w:rPr>
        <w:t xml:space="preserve"> sur la question 12</w:t>
      </w:r>
      <w:bookmarkEnd w:id="1738"/>
    </w:p>
    <w:p w14:paraId="2F86D7DA" w14:textId="77777777" w:rsidR="002760B2" w:rsidRPr="002B005F" w:rsidRDefault="002760B2" w:rsidP="00DF0F63">
      <w:pPr>
        <w:pStyle w:val="Paragraphedeliste"/>
        <w:tabs>
          <w:tab w:val="left" w:pos="0"/>
          <w:tab w:val="left" w:pos="284"/>
        </w:tabs>
        <w:spacing w:before="120"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Cette question était destinée à décrypter les causes de réticences des banques </w:t>
      </w:r>
      <w:r w:rsidR="002F054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à utiliser les produits participatifs. Le codage utilisé dans le tableau est le suivant :</w:t>
      </w:r>
    </w:p>
    <w:p w14:paraId="6313A5BA" w14:textId="77777777" w:rsidR="002760B2" w:rsidRPr="002B005F" w:rsidRDefault="002760B2" w:rsidP="00CB0FF1">
      <w:pPr>
        <w:pStyle w:val="Paragraphedeliste"/>
        <w:numPr>
          <w:ilvl w:val="0"/>
          <w:numId w:val="38"/>
        </w:numPr>
        <w:tabs>
          <w:tab w:val="left" w:pos="284"/>
        </w:tabs>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L’aversion de la banque aux risques liés à ces modes de financement.</w:t>
      </w:r>
    </w:p>
    <w:p w14:paraId="03C9C11E" w14:textId="77777777" w:rsidR="002760B2" w:rsidRPr="002B005F" w:rsidRDefault="002760B2" w:rsidP="00CB0FF1">
      <w:pPr>
        <w:pStyle w:val="Paragraphedeliste"/>
        <w:numPr>
          <w:ilvl w:val="0"/>
          <w:numId w:val="38"/>
        </w:numPr>
        <w:tabs>
          <w:tab w:val="left" w:pos="284"/>
        </w:tabs>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Les coûts de surveillance supplémentaires associés à ces instruments.</w:t>
      </w:r>
    </w:p>
    <w:p w14:paraId="6E0248A1" w14:textId="77777777" w:rsidR="002760B2" w:rsidRPr="002B005F" w:rsidRDefault="002760B2" w:rsidP="00CB0FF1">
      <w:pPr>
        <w:pStyle w:val="Paragraphedeliste"/>
        <w:numPr>
          <w:ilvl w:val="0"/>
          <w:numId w:val="38"/>
        </w:numPr>
        <w:tabs>
          <w:tab w:val="left" w:pos="284"/>
        </w:tabs>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L’ambiguïté de détermination des droits de propriété.</w:t>
      </w:r>
    </w:p>
    <w:p w14:paraId="68A9332F" w14:textId="77777777" w:rsidR="002760B2" w:rsidRPr="002B005F" w:rsidRDefault="002760B2" w:rsidP="00CB0FF1">
      <w:pPr>
        <w:pStyle w:val="Paragraphedeliste"/>
        <w:numPr>
          <w:ilvl w:val="0"/>
          <w:numId w:val="38"/>
        </w:numPr>
        <w:tabs>
          <w:tab w:val="left" w:pos="284"/>
        </w:tabs>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Le problème d’aléa moral lié à ces techniques de financement.</w:t>
      </w:r>
    </w:p>
    <w:p w14:paraId="3E1D8517" w14:textId="77777777" w:rsidR="002760B2" w:rsidRPr="002B005F" w:rsidRDefault="002760B2" w:rsidP="00CB0FF1">
      <w:pPr>
        <w:pStyle w:val="Default"/>
        <w:numPr>
          <w:ilvl w:val="0"/>
          <w:numId w:val="38"/>
        </w:numPr>
        <w:tabs>
          <w:tab w:val="left" w:pos="284"/>
        </w:tabs>
        <w:spacing w:line="300" w:lineRule="auto"/>
        <w:ind w:left="1135" w:hanging="284"/>
      </w:pPr>
      <w:r w:rsidRPr="002B005F">
        <w:t>Les problèmes de sélection adverse dans les contrats participatifs.</w:t>
      </w:r>
    </w:p>
    <w:p w14:paraId="0D87963B" w14:textId="77777777" w:rsidR="00191520" w:rsidRPr="002B005F" w:rsidRDefault="002760B2" w:rsidP="00CB0FF1">
      <w:pPr>
        <w:pStyle w:val="Paragraphedeliste"/>
        <w:numPr>
          <w:ilvl w:val="0"/>
          <w:numId w:val="38"/>
        </w:numPr>
        <w:tabs>
          <w:tab w:val="left" w:pos="284"/>
        </w:tabs>
        <w:spacing w:line="300" w:lineRule="auto"/>
        <w:ind w:left="1135" w:hanging="284"/>
        <w:contextualSpacing w:val="0"/>
        <w:rPr>
          <w:rFonts w:ascii="Times New Roman" w:hAnsi="Times New Roman" w:cs="Times New Roman"/>
          <w:sz w:val="24"/>
          <w:szCs w:val="24"/>
        </w:rPr>
      </w:pPr>
      <w:r w:rsidRPr="002B005F">
        <w:rPr>
          <w:rFonts w:ascii="Times New Roman" w:hAnsi="Times New Roman" w:cs="Times New Roman"/>
          <w:sz w:val="24"/>
          <w:szCs w:val="24"/>
        </w:rPr>
        <w:t>L’absence d’une réglementation qui favorise ces modes de financement.</w:t>
      </w:r>
    </w:p>
    <w:p w14:paraId="259B04DD" w14:textId="7E177A65" w:rsidR="000C1CC2" w:rsidRPr="002B005F" w:rsidRDefault="000C1CC2" w:rsidP="009D3601">
      <w:pPr>
        <w:pStyle w:val="Lgende"/>
        <w:keepNext/>
        <w:tabs>
          <w:tab w:val="left" w:pos="0"/>
        </w:tabs>
        <w:spacing w:before="100" w:beforeAutospacing="1" w:after="120" w:line="300" w:lineRule="auto"/>
        <w:jc w:val="center"/>
        <w:rPr>
          <w:rFonts w:ascii="Times New Roman" w:hAnsi="Times New Roman" w:cs="Times New Roman"/>
          <w:color w:val="auto"/>
          <w:sz w:val="24"/>
          <w:szCs w:val="24"/>
        </w:rPr>
      </w:pPr>
      <w:bookmarkStart w:id="1739" w:name="_Toc115556106"/>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38</w:t>
      </w:r>
      <w:r w:rsidR="00B544E5" w:rsidRPr="002B005F">
        <w:rPr>
          <w:rFonts w:ascii="Times New Roman" w:hAnsi="Times New Roman" w:cs="Times New Roman"/>
          <w:color w:val="auto"/>
          <w:sz w:val="24"/>
          <w:szCs w:val="24"/>
        </w:rPr>
        <w:fldChar w:fldCharType="end"/>
      </w:r>
      <w:r w:rsidR="003E7643" w:rsidRPr="002B005F">
        <w:rPr>
          <w:rFonts w:ascii="Times New Roman" w:hAnsi="Times New Roman" w:cs="Times New Roman"/>
          <w:color w:val="auto"/>
          <w:sz w:val="24"/>
          <w:szCs w:val="24"/>
        </w:rPr>
        <w:t>-</w:t>
      </w:r>
      <w:r w:rsidR="005838F7" w:rsidRPr="002B005F">
        <w:rPr>
          <w:rFonts w:ascii="Times New Roman" w:hAnsi="Times New Roman" w:cs="Times New Roman"/>
          <w:color w:val="auto"/>
          <w:sz w:val="24"/>
          <w:szCs w:val="24"/>
        </w:rPr>
        <w:t xml:space="preserve"> T</w:t>
      </w:r>
      <w:r w:rsidRPr="002B005F">
        <w:rPr>
          <w:rFonts w:ascii="Times New Roman" w:hAnsi="Times New Roman" w:cs="Times New Roman"/>
          <w:color w:val="auto"/>
          <w:sz w:val="24"/>
          <w:szCs w:val="24"/>
        </w:rPr>
        <w:t>est K-W selon les différentes variables de contrôle</w:t>
      </w:r>
      <w:r w:rsidR="004B75F0" w:rsidRPr="002B005F">
        <w:rPr>
          <w:rFonts w:ascii="Times New Roman" w:hAnsi="Times New Roman" w:cs="Times New Roman"/>
          <w:color w:val="auto"/>
          <w:sz w:val="24"/>
          <w:szCs w:val="24"/>
        </w:rPr>
        <w:t xml:space="preserve"> (Q12)</w:t>
      </w:r>
      <w:bookmarkEnd w:id="1739"/>
    </w:p>
    <w:tbl>
      <w:tblPr>
        <w:tblStyle w:val="Trameclaire-Accent5"/>
        <w:tblW w:w="91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1417"/>
        <w:gridCol w:w="769"/>
        <w:gridCol w:w="769"/>
        <w:gridCol w:w="769"/>
        <w:gridCol w:w="769"/>
        <w:gridCol w:w="769"/>
        <w:gridCol w:w="769"/>
        <w:gridCol w:w="769"/>
        <w:gridCol w:w="770"/>
        <w:gridCol w:w="769"/>
        <w:gridCol w:w="770"/>
      </w:tblGrid>
      <w:tr w:rsidR="00870784" w:rsidRPr="002B005F" w14:paraId="379955BF" w14:textId="77777777" w:rsidTr="0087078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vMerge w:val="restart"/>
            <w:vAlign w:val="center"/>
          </w:tcPr>
          <w:p w14:paraId="47166B4D" w14:textId="77777777" w:rsidR="00870784" w:rsidRPr="002B005F" w:rsidRDefault="00870784" w:rsidP="00C42CD2">
            <w:pPr>
              <w:tabs>
                <w:tab w:val="left" w:pos="0"/>
              </w:tabs>
              <w:jc w:val="center"/>
              <w:rPr>
                <w:rFonts w:ascii="Times New Roman" w:hAnsi="Times New Roman" w:cs="Times New Roman"/>
                <w:color w:val="auto"/>
              </w:rPr>
            </w:pPr>
            <w:r w:rsidRPr="002B005F">
              <w:rPr>
                <w:rFonts w:ascii="Times New Roman" w:hAnsi="Times New Roman" w:cs="Times New Roman"/>
                <w:color w:val="auto"/>
              </w:rPr>
              <w:t>Déclarations</w:t>
            </w:r>
          </w:p>
        </w:tc>
        <w:tc>
          <w:tcPr>
            <w:tcW w:w="1538" w:type="dxa"/>
            <w:gridSpan w:val="2"/>
            <w:vAlign w:val="center"/>
          </w:tcPr>
          <w:p w14:paraId="421F3AB8" w14:textId="77777777" w:rsidR="00870784" w:rsidRPr="002B005F" w:rsidRDefault="00870784" w:rsidP="00C42CD2">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Région</w:t>
            </w:r>
          </w:p>
        </w:tc>
        <w:tc>
          <w:tcPr>
            <w:tcW w:w="1538" w:type="dxa"/>
            <w:gridSpan w:val="2"/>
            <w:vAlign w:val="center"/>
          </w:tcPr>
          <w:p w14:paraId="431C8534" w14:textId="77777777" w:rsidR="00870784" w:rsidRPr="002B005F" w:rsidRDefault="00870784" w:rsidP="00C42CD2">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Poste du répondant</w:t>
            </w:r>
          </w:p>
        </w:tc>
        <w:tc>
          <w:tcPr>
            <w:tcW w:w="1538" w:type="dxa"/>
            <w:gridSpan w:val="2"/>
            <w:vAlign w:val="center"/>
          </w:tcPr>
          <w:p w14:paraId="382EE5FF" w14:textId="77777777" w:rsidR="00870784" w:rsidRPr="002B005F" w:rsidRDefault="00870784" w:rsidP="00C42CD2">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Nature de l’IF</w:t>
            </w:r>
          </w:p>
        </w:tc>
        <w:tc>
          <w:tcPr>
            <w:tcW w:w="1539" w:type="dxa"/>
            <w:gridSpan w:val="2"/>
            <w:vAlign w:val="center"/>
          </w:tcPr>
          <w:p w14:paraId="7A3A33C3" w14:textId="77777777" w:rsidR="00870784" w:rsidRPr="002B005F" w:rsidRDefault="00870784" w:rsidP="00C42CD2">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Nature d’activités</w:t>
            </w:r>
          </w:p>
        </w:tc>
        <w:tc>
          <w:tcPr>
            <w:tcW w:w="1539" w:type="dxa"/>
            <w:gridSpan w:val="2"/>
            <w:vAlign w:val="center"/>
          </w:tcPr>
          <w:p w14:paraId="25E0AEA9" w14:textId="77777777" w:rsidR="00870784" w:rsidRPr="002B005F" w:rsidRDefault="00870784" w:rsidP="00C42CD2">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Standards comptables</w:t>
            </w:r>
          </w:p>
        </w:tc>
      </w:tr>
      <w:tr w:rsidR="00870784" w:rsidRPr="002B005F" w14:paraId="14EC0D6F" w14:textId="77777777" w:rsidTr="0087078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vMerge/>
            <w:vAlign w:val="center"/>
          </w:tcPr>
          <w:p w14:paraId="107B5DC0" w14:textId="77777777" w:rsidR="00870784" w:rsidRPr="002B005F" w:rsidRDefault="00870784" w:rsidP="00C42CD2">
            <w:pPr>
              <w:tabs>
                <w:tab w:val="left" w:pos="0"/>
              </w:tabs>
              <w:jc w:val="center"/>
              <w:rPr>
                <w:rFonts w:ascii="Times New Roman" w:hAnsi="Times New Roman" w:cs="Times New Roman"/>
                <w:color w:val="auto"/>
              </w:rPr>
            </w:pPr>
          </w:p>
        </w:tc>
        <w:tc>
          <w:tcPr>
            <w:tcW w:w="769" w:type="dxa"/>
            <w:vAlign w:val="center"/>
          </w:tcPr>
          <w:p w14:paraId="67C84EA9" w14:textId="77777777" w:rsidR="00870784" w:rsidRPr="002B005F" w:rsidRDefault="00870784" w:rsidP="00C42CD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9" w:type="dxa"/>
            <w:vAlign w:val="center"/>
          </w:tcPr>
          <w:p w14:paraId="0A7EA747" w14:textId="77777777" w:rsidR="00870784" w:rsidRPr="002B005F" w:rsidRDefault="00870784" w:rsidP="00C42CD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9" w:type="dxa"/>
            <w:vAlign w:val="center"/>
          </w:tcPr>
          <w:p w14:paraId="37E40844" w14:textId="77777777" w:rsidR="00870784" w:rsidRPr="002B005F" w:rsidRDefault="00870784" w:rsidP="00C42CD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9" w:type="dxa"/>
            <w:vAlign w:val="center"/>
          </w:tcPr>
          <w:p w14:paraId="421DD864" w14:textId="77777777" w:rsidR="00870784" w:rsidRPr="002B005F" w:rsidRDefault="00870784" w:rsidP="00C42CD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9" w:type="dxa"/>
            <w:vAlign w:val="center"/>
          </w:tcPr>
          <w:p w14:paraId="0E035D4E" w14:textId="77777777" w:rsidR="00870784" w:rsidRPr="002B005F" w:rsidRDefault="00870784" w:rsidP="00C42CD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9" w:type="dxa"/>
            <w:vAlign w:val="center"/>
          </w:tcPr>
          <w:p w14:paraId="321F3F2C" w14:textId="77777777" w:rsidR="00870784" w:rsidRPr="002B005F" w:rsidRDefault="00870784" w:rsidP="00C42CD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9" w:type="dxa"/>
            <w:vAlign w:val="center"/>
          </w:tcPr>
          <w:p w14:paraId="73C7398C" w14:textId="77777777" w:rsidR="00870784" w:rsidRPr="002B005F" w:rsidRDefault="00870784" w:rsidP="00C42CD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70" w:type="dxa"/>
            <w:vAlign w:val="center"/>
          </w:tcPr>
          <w:p w14:paraId="3CF7A366" w14:textId="77777777" w:rsidR="00870784" w:rsidRPr="002B005F" w:rsidRDefault="00870784" w:rsidP="00C42CD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9" w:type="dxa"/>
            <w:vAlign w:val="center"/>
          </w:tcPr>
          <w:p w14:paraId="03445D7F" w14:textId="77777777" w:rsidR="00870784" w:rsidRPr="002B005F" w:rsidRDefault="00870784" w:rsidP="00C42CD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70" w:type="dxa"/>
            <w:vAlign w:val="center"/>
          </w:tcPr>
          <w:p w14:paraId="70C371A7" w14:textId="77777777" w:rsidR="00870784" w:rsidRPr="002B005F" w:rsidRDefault="00870784" w:rsidP="00C42CD2">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r>
      <w:tr w:rsidR="002760B2" w:rsidRPr="002B005F" w14:paraId="748DF7BA" w14:textId="77777777" w:rsidTr="00C42CD2">
        <w:trPr>
          <w:trHeight w:val="454"/>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3ECC05CF" w14:textId="77777777" w:rsidR="002760B2" w:rsidRPr="002B005F" w:rsidRDefault="002760B2" w:rsidP="00C42CD2">
            <w:pPr>
              <w:tabs>
                <w:tab w:val="left" w:pos="0"/>
              </w:tabs>
              <w:jc w:val="center"/>
              <w:rPr>
                <w:rFonts w:ascii="Times New Roman" w:hAnsi="Times New Roman" w:cs="Times New Roman"/>
                <w:color w:val="auto"/>
              </w:rPr>
            </w:pPr>
            <w:r w:rsidRPr="002B005F">
              <w:rPr>
                <w:rFonts w:ascii="Times New Roman" w:hAnsi="Times New Roman" w:cs="Times New Roman"/>
                <w:color w:val="auto"/>
              </w:rPr>
              <w:t>1</w:t>
            </w:r>
          </w:p>
        </w:tc>
        <w:tc>
          <w:tcPr>
            <w:tcW w:w="1538" w:type="dxa"/>
            <w:gridSpan w:val="2"/>
            <w:vAlign w:val="center"/>
          </w:tcPr>
          <w:p w14:paraId="3407AFAA"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5.22</w:t>
            </w:r>
            <w:r w:rsidR="002760B2" w:rsidRPr="002B005F">
              <w:rPr>
                <w:rFonts w:ascii="Times New Roman" w:hAnsi="Times New Roman" w:cs="Times New Roman"/>
                <w:color w:val="auto"/>
              </w:rPr>
              <w:t xml:space="preserve">   0.389</w:t>
            </w:r>
          </w:p>
        </w:tc>
        <w:tc>
          <w:tcPr>
            <w:tcW w:w="1538" w:type="dxa"/>
            <w:gridSpan w:val="2"/>
            <w:vAlign w:val="center"/>
          </w:tcPr>
          <w:p w14:paraId="25EAE1F4" w14:textId="77777777" w:rsidR="002760B2" w:rsidRPr="002B005F" w:rsidRDefault="002760B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15.3</w:t>
            </w:r>
            <w:r w:rsidR="00C42CD2" w:rsidRPr="002B005F">
              <w:rPr>
                <w:rFonts w:ascii="Times New Roman" w:hAnsi="Times New Roman" w:cs="Times New Roman"/>
                <w:color w:val="auto"/>
              </w:rPr>
              <w:t>0</w:t>
            </w:r>
            <w:r w:rsidRPr="002B005F">
              <w:rPr>
                <w:rFonts w:ascii="Times New Roman" w:hAnsi="Times New Roman" w:cs="Times New Roman"/>
                <w:color w:val="auto"/>
              </w:rPr>
              <w:t xml:space="preserve">   0.358</w:t>
            </w:r>
          </w:p>
        </w:tc>
        <w:tc>
          <w:tcPr>
            <w:tcW w:w="1538" w:type="dxa"/>
            <w:gridSpan w:val="2"/>
            <w:vAlign w:val="center"/>
          </w:tcPr>
          <w:p w14:paraId="3EEB1546" w14:textId="77777777" w:rsidR="002760B2" w:rsidRPr="002B005F" w:rsidRDefault="002760B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2.</w:t>
            </w:r>
            <w:r w:rsidR="00C42CD2" w:rsidRPr="002B005F">
              <w:rPr>
                <w:rFonts w:ascii="Times New Roman" w:hAnsi="Times New Roman" w:cs="Times New Roman"/>
                <w:color w:val="auto"/>
              </w:rPr>
              <w:t>59</w:t>
            </w:r>
            <w:r w:rsidRPr="002B005F">
              <w:rPr>
                <w:rFonts w:ascii="Times New Roman" w:hAnsi="Times New Roman" w:cs="Times New Roman"/>
                <w:color w:val="auto"/>
              </w:rPr>
              <w:t xml:space="preserve">   0.458</w:t>
            </w:r>
          </w:p>
        </w:tc>
        <w:tc>
          <w:tcPr>
            <w:tcW w:w="1539" w:type="dxa"/>
            <w:gridSpan w:val="2"/>
            <w:vAlign w:val="center"/>
          </w:tcPr>
          <w:p w14:paraId="5B9BEAC8"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1.991   </w:t>
            </w:r>
            <w:r w:rsidR="002760B2" w:rsidRPr="002B005F">
              <w:rPr>
                <w:rFonts w:ascii="Times New Roman" w:hAnsi="Times New Roman" w:cs="Times New Roman"/>
                <w:color w:val="auto"/>
              </w:rPr>
              <w:t>0.921</w:t>
            </w:r>
          </w:p>
        </w:tc>
        <w:tc>
          <w:tcPr>
            <w:tcW w:w="1539" w:type="dxa"/>
            <w:gridSpan w:val="2"/>
            <w:vAlign w:val="center"/>
          </w:tcPr>
          <w:p w14:paraId="078AD805"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3.607   </w:t>
            </w:r>
            <w:r w:rsidR="002760B2" w:rsidRPr="002B005F">
              <w:rPr>
                <w:rFonts w:ascii="Times New Roman" w:hAnsi="Times New Roman" w:cs="Times New Roman"/>
                <w:color w:val="auto"/>
              </w:rPr>
              <w:t>0.462</w:t>
            </w:r>
          </w:p>
        </w:tc>
      </w:tr>
      <w:tr w:rsidR="002760B2" w:rsidRPr="002B005F" w14:paraId="09DAC0CC" w14:textId="77777777" w:rsidTr="00C42CD2">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5659874" w14:textId="77777777" w:rsidR="002760B2" w:rsidRPr="002B005F" w:rsidRDefault="002760B2" w:rsidP="00C42CD2">
            <w:pPr>
              <w:tabs>
                <w:tab w:val="left" w:pos="0"/>
              </w:tabs>
              <w:jc w:val="center"/>
              <w:rPr>
                <w:rFonts w:ascii="Times New Roman" w:hAnsi="Times New Roman" w:cs="Times New Roman"/>
                <w:color w:val="auto"/>
              </w:rPr>
            </w:pPr>
            <w:r w:rsidRPr="002B005F">
              <w:rPr>
                <w:rFonts w:ascii="Times New Roman" w:hAnsi="Times New Roman" w:cs="Times New Roman"/>
                <w:color w:val="auto"/>
              </w:rPr>
              <w:t>2</w:t>
            </w:r>
          </w:p>
        </w:tc>
        <w:tc>
          <w:tcPr>
            <w:tcW w:w="1538" w:type="dxa"/>
            <w:gridSpan w:val="2"/>
            <w:vAlign w:val="center"/>
          </w:tcPr>
          <w:p w14:paraId="2596539D"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9.10 </w:t>
            </w:r>
            <w:r w:rsidR="002760B2" w:rsidRPr="002B005F">
              <w:rPr>
                <w:rFonts w:ascii="Times New Roman" w:hAnsi="Times New Roman" w:cs="Times New Roman"/>
                <w:color w:val="auto"/>
              </w:rPr>
              <w:t xml:space="preserve">  0.105</w:t>
            </w:r>
          </w:p>
        </w:tc>
        <w:tc>
          <w:tcPr>
            <w:tcW w:w="1538" w:type="dxa"/>
            <w:gridSpan w:val="2"/>
            <w:vAlign w:val="center"/>
          </w:tcPr>
          <w:p w14:paraId="13126DBA"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11.82</w:t>
            </w:r>
            <w:r w:rsidR="002760B2" w:rsidRPr="002B005F">
              <w:rPr>
                <w:rFonts w:ascii="Times New Roman" w:hAnsi="Times New Roman" w:cs="Times New Roman"/>
                <w:color w:val="auto"/>
              </w:rPr>
              <w:t xml:space="preserve">   0.621</w:t>
            </w:r>
          </w:p>
        </w:tc>
        <w:tc>
          <w:tcPr>
            <w:tcW w:w="1538" w:type="dxa"/>
            <w:gridSpan w:val="2"/>
            <w:vAlign w:val="center"/>
          </w:tcPr>
          <w:p w14:paraId="45083B2E"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5.49</w:t>
            </w:r>
            <w:r w:rsidR="002760B2" w:rsidRPr="002B005F">
              <w:rPr>
                <w:rFonts w:ascii="Times New Roman" w:hAnsi="Times New Roman" w:cs="Times New Roman"/>
                <w:color w:val="auto"/>
              </w:rPr>
              <w:t xml:space="preserve">   0.139</w:t>
            </w:r>
          </w:p>
        </w:tc>
        <w:tc>
          <w:tcPr>
            <w:tcW w:w="1539" w:type="dxa"/>
            <w:gridSpan w:val="2"/>
            <w:vAlign w:val="center"/>
          </w:tcPr>
          <w:p w14:paraId="67D33FE8"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9.002   </w:t>
            </w:r>
            <w:r w:rsidR="002760B2" w:rsidRPr="002B005F">
              <w:rPr>
                <w:rFonts w:ascii="Times New Roman" w:hAnsi="Times New Roman" w:cs="Times New Roman"/>
                <w:color w:val="auto"/>
              </w:rPr>
              <w:t>0.173</w:t>
            </w:r>
          </w:p>
        </w:tc>
        <w:tc>
          <w:tcPr>
            <w:tcW w:w="1539" w:type="dxa"/>
            <w:gridSpan w:val="2"/>
            <w:vAlign w:val="center"/>
          </w:tcPr>
          <w:p w14:paraId="2E478C36"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3.799   </w:t>
            </w:r>
            <w:r w:rsidR="002760B2" w:rsidRPr="002B005F">
              <w:rPr>
                <w:rFonts w:ascii="Times New Roman" w:hAnsi="Times New Roman" w:cs="Times New Roman"/>
                <w:color w:val="auto"/>
              </w:rPr>
              <w:t>0.434</w:t>
            </w:r>
          </w:p>
        </w:tc>
      </w:tr>
      <w:tr w:rsidR="002760B2" w:rsidRPr="002B005F" w14:paraId="1870FB00" w14:textId="77777777" w:rsidTr="00C42CD2">
        <w:trPr>
          <w:trHeight w:val="454"/>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28230909" w14:textId="77777777" w:rsidR="002760B2" w:rsidRPr="002B005F" w:rsidRDefault="002760B2" w:rsidP="00C42CD2">
            <w:pPr>
              <w:tabs>
                <w:tab w:val="left" w:pos="0"/>
              </w:tabs>
              <w:jc w:val="center"/>
              <w:rPr>
                <w:rFonts w:ascii="Times New Roman" w:hAnsi="Times New Roman" w:cs="Times New Roman"/>
                <w:color w:val="auto"/>
              </w:rPr>
            </w:pPr>
            <w:r w:rsidRPr="002B005F">
              <w:rPr>
                <w:rFonts w:ascii="Times New Roman" w:hAnsi="Times New Roman" w:cs="Times New Roman"/>
                <w:color w:val="auto"/>
              </w:rPr>
              <w:t>3</w:t>
            </w:r>
          </w:p>
        </w:tc>
        <w:tc>
          <w:tcPr>
            <w:tcW w:w="1538" w:type="dxa"/>
            <w:gridSpan w:val="2"/>
            <w:vAlign w:val="center"/>
          </w:tcPr>
          <w:p w14:paraId="631E5737"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3.80 </w:t>
            </w:r>
            <w:r w:rsidR="002760B2" w:rsidRPr="002B005F">
              <w:rPr>
                <w:rFonts w:ascii="Times New Roman" w:hAnsi="Times New Roman" w:cs="Times New Roman"/>
                <w:color w:val="auto"/>
              </w:rPr>
              <w:t xml:space="preserve">  0.578</w:t>
            </w:r>
          </w:p>
        </w:tc>
        <w:tc>
          <w:tcPr>
            <w:tcW w:w="1538" w:type="dxa"/>
            <w:gridSpan w:val="2"/>
            <w:vAlign w:val="center"/>
          </w:tcPr>
          <w:p w14:paraId="1E04B49F"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17.49</w:t>
            </w:r>
            <w:r w:rsidR="002760B2" w:rsidRPr="002B005F">
              <w:rPr>
                <w:rFonts w:ascii="Times New Roman" w:hAnsi="Times New Roman" w:cs="Times New Roman"/>
                <w:color w:val="auto"/>
              </w:rPr>
              <w:t xml:space="preserve">   0.231</w:t>
            </w:r>
          </w:p>
        </w:tc>
        <w:tc>
          <w:tcPr>
            <w:tcW w:w="1538" w:type="dxa"/>
            <w:gridSpan w:val="2"/>
            <w:vAlign w:val="center"/>
          </w:tcPr>
          <w:p w14:paraId="3591F0DC"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1.28  </w:t>
            </w:r>
            <w:r w:rsidR="002760B2" w:rsidRPr="002B005F">
              <w:rPr>
                <w:rFonts w:ascii="Times New Roman" w:hAnsi="Times New Roman" w:cs="Times New Roman"/>
                <w:color w:val="auto"/>
              </w:rPr>
              <w:t xml:space="preserve"> </w:t>
            </w:r>
            <w:r w:rsidR="002760B2" w:rsidRPr="002B005F">
              <w:rPr>
                <w:rFonts w:ascii="Times New Roman" w:hAnsi="Times New Roman" w:cs="Times New Roman"/>
                <w:b/>
                <w:bCs/>
                <w:color w:val="auto"/>
              </w:rPr>
              <w:t>0.02</w:t>
            </w:r>
            <w:r w:rsidRPr="002B005F">
              <w:rPr>
                <w:rFonts w:ascii="Times New Roman" w:hAnsi="Times New Roman" w:cs="Times New Roman"/>
                <w:b/>
                <w:bCs/>
                <w:color w:val="auto"/>
              </w:rPr>
              <w:t>0</w:t>
            </w:r>
          </w:p>
        </w:tc>
        <w:tc>
          <w:tcPr>
            <w:tcW w:w="1539" w:type="dxa"/>
            <w:gridSpan w:val="2"/>
            <w:vAlign w:val="center"/>
          </w:tcPr>
          <w:p w14:paraId="3AD1EB22"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5.956   </w:t>
            </w:r>
            <w:r w:rsidR="002760B2" w:rsidRPr="002B005F">
              <w:rPr>
                <w:rFonts w:ascii="Times New Roman" w:hAnsi="Times New Roman" w:cs="Times New Roman"/>
                <w:color w:val="auto"/>
              </w:rPr>
              <w:t>0.428</w:t>
            </w:r>
          </w:p>
        </w:tc>
        <w:tc>
          <w:tcPr>
            <w:tcW w:w="1539" w:type="dxa"/>
            <w:gridSpan w:val="2"/>
            <w:vAlign w:val="center"/>
          </w:tcPr>
          <w:p w14:paraId="22364E92"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6.094   </w:t>
            </w:r>
            <w:r w:rsidR="002760B2" w:rsidRPr="002B005F">
              <w:rPr>
                <w:rFonts w:ascii="Times New Roman" w:hAnsi="Times New Roman" w:cs="Times New Roman"/>
                <w:color w:val="auto"/>
              </w:rPr>
              <w:t>0.192</w:t>
            </w:r>
          </w:p>
        </w:tc>
      </w:tr>
      <w:tr w:rsidR="002760B2" w:rsidRPr="002B005F" w14:paraId="1B0AC152" w14:textId="77777777" w:rsidTr="00C42CD2">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4159FF2C" w14:textId="77777777" w:rsidR="002760B2" w:rsidRPr="002B005F" w:rsidRDefault="002760B2" w:rsidP="00C42CD2">
            <w:pPr>
              <w:tabs>
                <w:tab w:val="left" w:pos="0"/>
              </w:tabs>
              <w:jc w:val="center"/>
              <w:rPr>
                <w:rFonts w:ascii="Times New Roman" w:hAnsi="Times New Roman" w:cs="Times New Roman"/>
                <w:color w:val="auto"/>
              </w:rPr>
            </w:pPr>
            <w:r w:rsidRPr="002B005F">
              <w:rPr>
                <w:rFonts w:ascii="Times New Roman" w:hAnsi="Times New Roman" w:cs="Times New Roman"/>
                <w:color w:val="auto"/>
              </w:rPr>
              <w:t>4</w:t>
            </w:r>
          </w:p>
        </w:tc>
        <w:tc>
          <w:tcPr>
            <w:tcW w:w="1538" w:type="dxa"/>
            <w:gridSpan w:val="2"/>
            <w:vAlign w:val="center"/>
          </w:tcPr>
          <w:p w14:paraId="349F2276"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10.83 </w:t>
            </w:r>
            <w:r w:rsidR="002760B2" w:rsidRPr="002B005F">
              <w:rPr>
                <w:rFonts w:ascii="Times New Roman" w:hAnsi="Times New Roman" w:cs="Times New Roman"/>
                <w:color w:val="auto"/>
              </w:rPr>
              <w:t xml:space="preserve">   0.055</w:t>
            </w:r>
          </w:p>
        </w:tc>
        <w:tc>
          <w:tcPr>
            <w:tcW w:w="1538" w:type="dxa"/>
            <w:gridSpan w:val="2"/>
            <w:vAlign w:val="center"/>
          </w:tcPr>
          <w:p w14:paraId="57F9DCC9"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13.98</w:t>
            </w:r>
            <w:r w:rsidR="002760B2" w:rsidRPr="002B005F">
              <w:rPr>
                <w:rFonts w:ascii="Times New Roman" w:hAnsi="Times New Roman" w:cs="Times New Roman"/>
                <w:color w:val="auto"/>
              </w:rPr>
              <w:t xml:space="preserve">   0.358</w:t>
            </w:r>
          </w:p>
        </w:tc>
        <w:tc>
          <w:tcPr>
            <w:tcW w:w="1538" w:type="dxa"/>
            <w:gridSpan w:val="2"/>
            <w:vAlign w:val="center"/>
          </w:tcPr>
          <w:p w14:paraId="2797F5A5"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2.59   </w:t>
            </w:r>
            <w:r w:rsidR="002760B2" w:rsidRPr="002B005F">
              <w:rPr>
                <w:rFonts w:ascii="Times New Roman" w:hAnsi="Times New Roman" w:cs="Times New Roman"/>
                <w:color w:val="auto"/>
              </w:rPr>
              <w:t>0.458</w:t>
            </w:r>
          </w:p>
        </w:tc>
        <w:tc>
          <w:tcPr>
            <w:tcW w:w="1539" w:type="dxa"/>
            <w:gridSpan w:val="2"/>
            <w:vAlign w:val="center"/>
          </w:tcPr>
          <w:p w14:paraId="0BB780A1"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1.991   </w:t>
            </w:r>
            <w:r w:rsidR="002760B2" w:rsidRPr="002B005F">
              <w:rPr>
                <w:rFonts w:ascii="Times New Roman" w:hAnsi="Times New Roman" w:cs="Times New Roman"/>
                <w:color w:val="auto"/>
              </w:rPr>
              <w:t>0.921</w:t>
            </w:r>
          </w:p>
        </w:tc>
        <w:tc>
          <w:tcPr>
            <w:tcW w:w="1539" w:type="dxa"/>
            <w:gridSpan w:val="2"/>
            <w:vAlign w:val="center"/>
          </w:tcPr>
          <w:p w14:paraId="19CE511F"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3.607   </w:t>
            </w:r>
            <w:r w:rsidR="002760B2" w:rsidRPr="002B005F">
              <w:rPr>
                <w:rFonts w:ascii="Times New Roman" w:hAnsi="Times New Roman" w:cs="Times New Roman"/>
                <w:color w:val="auto"/>
              </w:rPr>
              <w:t>0.462</w:t>
            </w:r>
          </w:p>
        </w:tc>
      </w:tr>
      <w:tr w:rsidR="002760B2" w:rsidRPr="002B005F" w14:paraId="3BBADE72" w14:textId="77777777" w:rsidTr="00C42CD2">
        <w:trPr>
          <w:trHeight w:val="454"/>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6A71CF7" w14:textId="77777777" w:rsidR="002760B2" w:rsidRPr="002B005F" w:rsidRDefault="002760B2" w:rsidP="00C42CD2">
            <w:pPr>
              <w:tabs>
                <w:tab w:val="left" w:pos="0"/>
              </w:tabs>
              <w:jc w:val="center"/>
              <w:rPr>
                <w:rFonts w:ascii="Times New Roman" w:hAnsi="Times New Roman" w:cs="Times New Roman"/>
                <w:color w:val="auto"/>
              </w:rPr>
            </w:pPr>
            <w:r w:rsidRPr="002B005F">
              <w:rPr>
                <w:rFonts w:ascii="Times New Roman" w:hAnsi="Times New Roman" w:cs="Times New Roman"/>
                <w:color w:val="auto"/>
              </w:rPr>
              <w:t>5</w:t>
            </w:r>
          </w:p>
        </w:tc>
        <w:tc>
          <w:tcPr>
            <w:tcW w:w="1538" w:type="dxa"/>
            <w:gridSpan w:val="2"/>
            <w:vAlign w:val="center"/>
          </w:tcPr>
          <w:p w14:paraId="540EEFB8"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9.07</w:t>
            </w:r>
            <w:r w:rsidR="002760B2" w:rsidRPr="002B005F">
              <w:rPr>
                <w:rFonts w:ascii="Times New Roman" w:hAnsi="Times New Roman" w:cs="Times New Roman"/>
                <w:color w:val="auto"/>
              </w:rPr>
              <w:t xml:space="preserve">   0.106</w:t>
            </w:r>
          </w:p>
        </w:tc>
        <w:tc>
          <w:tcPr>
            <w:tcW w:w="1538" w:type="dxa"/>
            <w:gridSpan w:val="2"/>
            <w:vAlign w:val="center"/>
          </w:tcPr>
          <w:p w14:paraId="5C0F4454"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16.07</w:t>
            </w:r>
            <w:r w:rsidR="002760B2" w:rsidRPr="002B005F">
              <w:rPr>
                <w:rFonts w:ascii="Times New Roman" w:hAnsi="Times New Roman" w:cs="Times New Roman"/>
                <w:color w:val="auto"/>
              </w:rPr>
              <w:t xml:space="preserve">   0.309</w:t>
            </w:r>
          </w:p>
        </w:tc>
        <w:tc>
          <w:tcPr>
            <w:tcW w:w="1538" w:type="dxa"/>
            <w:gridSpan w:val="2"/>
            <w:vAlign w:val="center"/>
          </w:tcPr>
          <w:p w14:paraId="50BD263A"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7.28   </w:t>
            </w:r>
            <w:r w:rsidR="002760B2" w:rsidRPr="002B005F">
              <w:rPr>
                <w:rFonts w:ascii="Times New Roman" w:hAnsi="Times New Roman" w:cs="Times New Roman"/>
                <w:color w:val="auto"/>
              </w:rPr>
              <w:t>0.063</w:t>
            </w:r>
          </w:p>
        </w:tc>
        <w:tc>
          <w:tcPr>
            <w:tcW w:w="1539" w:type="dxa"/>
            <w:gridSpan w:val="2"/>
            <w:vAlign w:val="center"/>
          </w:tcPr>
          <w:p w14:paraId="03706580"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9.697   </w:t>
            </w:r>
            <w:r w:rsidR="002760B2" w:rsidRPr="002B005F">
              <w:rPr>
                <w:rFonts w:ascii="Times New Roman" w:hAnsi="Times New Roman" w:cs="Times New Roman"/>
                <w:color w:val="auto"/>
              </w:rPr>
              <w:t>0.138</w:t>
            </w:r>
          </w:p>
        </w:tc>
        <w:tc>
          <w:tcPr>
            <w:tcW w:w="1539" w:type="dxa"/>
            <w:gridSpan w:val="2"/>
            <w:vAlign w:val="center"/>
          </w:tcPr>
          <w:p w14:paraId="09F29E98" w14:textId="77777777" w:rsidR="002760B2" w:rsidRPr="002B005F" w:rsidRDefault="00C42CD2" w:rsidP="00837D02">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3.556   </w:t>
            </w:r>
            <w:r w:rsidR="002760B2" w:rsidRPr="002B005F">
              <w:rPr>
                <w:rFonts w:ascii="Times New Roman" w:hAnsi="Times New Roman" w:cs="Times New Roman"/>
                <w:color w:val="auto"/>
              </w:rPr>
              <w:t>0.469</w:t>
            </w:r>
          </w:p>
        </w:tc>
      </w:tr>
      <w:tr w:rsidR="002760B2" w:rsidRPr="002B005F" w14:paraId="7AC54650" w14:textId="77777777" w:rsidTr="00C42CD2">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AF4A238" w14:textId="77777777" w:rsidR="002760B2" w:rsidRPr="002B005F" w:rsidRDefault="002760B2" w:rsidP="00C42CD2">
            <w:pPr>
              <w:tabs>
                <w:tab w:val="left" w:pos="0"/>
              </w:tabs>
              <w:jc w:val="center"/>
              <w:rPr>
                <w:rFonts w:ascii="Times New Roman" w:hAnsi="Times New Roman" w:cs="Times New Roman"/>
                <w:color w:val="auto"/>
              </w:rPr>
            </w:pPr>
            <w:r w:rsidRPr="002B005F">
              <w:rPr>
                <w:rFonts w:ascii="Times New Roman" w:hAnsi="Times New Roman" w:cs="Times New Roman"/>
                <w:color w:val="auto"/>
              </w:rPr>
              <w:t>6</w:t>
            </w:r>
          </w:p>
        </w:tc>
        <w:tc>
          <w:tcPr>
            <w:tcW w:w="1538" w:type="dxa"/>
            <w:gridSpan w:val="2"/>
            <w:vAlign w:val="center"/>
          </w:tcPr>
          <w:p w14:paraId="65FFF9E9"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1.42 </w:t>
            </w:r>
            <w:r w:rsidR="002760B2" w:rsidRPr="002B005F">
              <w:rPr>
                <w:rFonts w:ascii="Times New Roman" w:hAnsi="Times New Roman" w:cs="Times New Roman"/>
                <w:color w:val="auto"/>
              </w:rPr>
              <w:t xml:space="preserve">  0.921</w:t>
            </w:r>
          </w:p>
        </w:tc>
        <w:tc>
          <w:tcPr>
            <w:tcW w:w="1538" w:type="dxa"/>
            <w:gridSpan w:val="2"/>
            <w:vAlign w:val="center"/>
          </w:tcPr>
          <w:p w14:paraId="282348FF"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12.13</w:t>
            </w:r>
            <w:r w:rsidR="002760B2" w:rsidRPr="002B005F">
              <w:rPr>
                <w:rFonts w:ascii="Times New Roman" w:hAnsi="Times New Roman" w:cs="Times New Roman"/>
                <w:color w:val="auto"/>
              </w:rPr>
              <w:t xml:space="preserve">   0.596</w:t>
            </w:r>
          </w:p>
        </w:tc>
        <w:tc>
          <w:tcPr>
            <w:tcW w:w="1538" w:type="dxa"/>
            <w:gridSpan w:val="2"/>
            <w:vAlign w:val="center"/>
          </w:tcPr>
          <w:p w14:paraId="6CB420F2"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3.04   </w:t>
            </w:r>
            <w:r w:rsidR="002760B2" w:rsidRPr="002B005F">
              <w:rPr>
                <w:rFonts w:ascii="Times New Roman" w:hAnsi="Times New Roman" w:cs="Times New Roman"/>
                <w:color w:val="auto"/>
              </w:rPr>
              <w:t>0.385</w:t>
            </w:r>
          </w:p>
        </w:tc>
        <w:tc>
          <w:tcPr>
            <w:tcW w:w="1539" w:type="dxa"/>
            <w:gridSpan w:val="2"/>
            <w:vAlign w:val="center"/>
          </w:tcPr>
          <w:p w14:paraId="5560DA99"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12.17   </w:t>
            </w:r>
            <w:r w:rsidR="002760B2" w:rsidRPr="002B005F">
              <w:rPr>
                <w:rFonts w:ascii="Times New Roman" w:hAnsi="Times New Roman" w:cs="Times New Roman"/>
                <w:color w:val="auto"/>
              </w:rPr>
              <w:t>0.058</w:t>
            </w:r>
          </w:p>
        </w:tc>
        <w:tc>
          <w:tcPr>
            <w:tcW w:w="1539" w:type="dxa"/>
            <w:gridSpan w:val="2"/>
            <w:vAlign w:val="center"/>
          </w:tcPr>
          <w:p w14:paraId="7FAF14FE" w14:textId="77777777" w:rsidR="002760B2" w:rsidRPr="002B005F" w:rsidRDefault="00C42CD2" w:rsidP="00837D02">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1.435   </w:t>
            </w:r>
            <w:r w:rsidR="002760B2" w:rsidRPr="002B005F">
              <w:rPr>
                <w:rFonts w:ascii="Times New Roman" w:hAnsi="Times New Roman" w:cs="Times New Roman"/>
                <w:color w:val="auto"/>
              </w:rPr>
              <w:t>0.838</w:t>
            </w:r>
          </w:p>
        </w:tc>
      </w:tr>
    </w:tbl>
    <w:p w14:paraId="7D275695" w14:textId="77777777" w:rsidR="002760B2" w:rsidRPr="002B005F" w:rsidRDefault="002760B2" w:rsidP="003E7643">
      <w:pPr>
        <w:pStyle w:val="Notedebasdepage"/>
        <w:tabs>
          <w:tab w:val="left" w:pos="0"/>
        </w:tabs>
        <w:spacing w:before="120" w:after="100" w:afterAutospacing="1"/>
        <w:jc w:val="center"/>
        <w:rPr>
          <w:rFonts w:ascii="Times New Roman" w:hAnsi="Times New Roman" w:cs="Times New Roman"/>
        </w:rPr>
      </w:pPr>
      <w:r w:rsidRPr="002B005F">
        <w:rPr>
          <w:rStyle w:val="Emphaseple"/>
          <w:rFonts w:ascii="Times New Roman" w:hAnsi="Times New Roman" w:cs="Times New Roman"/>
          <w:i w:val="0"/>
          <w:iCs w:val="0"/>
          <w:color w:val="auto"/>
        </w:rPr>
        <w:t>Source</w:t>
      </w:r>
      <w:r w:rsidRPr="002B005F">
        <w:rPr>
          <w:rStyle w:val="Emphaseple"/>
          <w:rFonts w:ascii="Times New Roman" w:hAnsi="Times New Roman" w:cs="Times New Roman"/>
          <w:color w:val="auto"/>
          <w:sz w:val="16"/>
          <w:szCs w:val="16"/>
        </w:rPr>
        <w:t> </w:t>
      </w:r>
      <w:r w:rsidRPr="002B005F">
        <w:rPr>
          <w:rStyle w:val="Emphaseple"/>
          <w:rFonts w:ascii="Times New Roman" w:hAnsi="Times New Roman" w:cs="Times New Roman"/>
        </w:rPr>
        <w:t>:</w:t>
      </w:r>
      <w:r w:rsidRPr="002B005F">
        <w:rPr>
          <w:rFonts w:ascii="Times New Roman" w:hAnsi="Times New Roman" w:cs="Times New Roman"/>
        </w:rPr>
        <w:t xml:space="preserve"> Calculs du chercheur</w:t>
      </w:r>
    </w:p>
    <w:p w14:paraId="69318524" w14:textId="77777777" w:rsidR="002760B2" w:rsidRPr="002B005F" w:rsidRDefault="002760B2" w:rsidP="00064593">
      <w:pPr>
        <w:tabs>
          <w:tab w:val="left" w:pos="0"/>
        </w:tabs>
        <w:spacing w:line="300" w:lineRule="auto"/>
        <w:ind w:firstLine="709"/>
        <w:rPr>
          <w:rFonts w:ascii="Times New Roman" w:hAnsi="Times New Roman" w:cs="Times New Roman"/>
        </w:rPr>
      </w:pPr>
      <w:r w:rsidRPr="002B005F">
        <w:rPr>
          <w:rFonts w:ascii="Times New Roman" w:hAnsi="Times New Roman" w:cs="Times New Roman"/>
          <w:sz w:val="24"/>
          <w:szCs w:val="24"/>
        </w:rPr>
        <w:t>Le tableau ci-dessus montre que les résultats étaient significatifs saufs pour la 3</w:t>
      </w:r>
      <w:r w:rsidRPr="002B005F">
        <w:rPr>
          <w:rFonts w:ascii="Times New Roman" w:hAnsi="Times New Roman" w:cs="Times New Roman"/>
          <w:sz w:val="24"/>
          <w:szCs w:val="24"/>
          <w:vertAlign w:val="superscript"/>
        </w:rPr>
        <w:t>ème</w:t>
      </w:r>
      <w:r w:rsidRPr="002B005F">
        <w:rPr>
          <w:rFonts w:ascii="Times New Roman" w:hAnsi="Times New Roman" w:cs="Times New Roman"/>
          <w:sz w:val="24"/>
          <w:szCs w:val="24"/>
        </w:rPr>
        <w:t xml:space="preserve"> déclaration selon la nature de l’institution financière. Ceci montre que les répondants sont d’accord sur les déclarations et qui représentent les causes de réticence des BI des produits </w:t>
      </w:r>
      <w:r w:rsidR="002F0541">
        <w:rPr>
          <w:rFonts w:ascii="Times New Roman" w:hAnsi="Times New Roman" w:cs="Times New Roman"/>
          <w:i/>
          <w:iCs/>
          <w:sz w:val="24"/>
          <w:szCs w:val="24"/>
        </w:rPr>
        <w:t>m</w:t>
      </w:r>
      <w:r w:rsidRPr="002B005F">
        <w:rPr>
          <w:rFonts w:ascii="Times New Roman" w:hAnsi="Times New Roman" w:cs="Times New Roman"/>
          <w:i/>
          <w:iCs/>
          <w:sz w:val="24"/>
          <w:szCs w:val="24"/>
        </w:rPr>
        <w:t>oucharaka</w:t>
      </w:r>
      <w:r w:rsidRPr="002B005F">
        <w:rPr>
          <w:rFonts w:ascii="Times New Roman" w:hAnsi="Times New Roman" w:cs="Times New Roman"/>
          <w:sz w:val="24"/>
          <w:szCs w:val="24"/>
        </w:rPr>
        <w:t xml:space="preserve"> et </w:t>
      </w:r>
      <w:r w:rsidR="002F0541">
        <w:rPr>
          <w:rFonts w:ascii="Times New Roman" w:hAnsi="Times New Roman" w:cs="Times New Roman"/>
          <w:i/>
          <w:iCs/>
          <w:sz w:val="24"/>
          <w:szCs w:val="24"/>
        </w:rPr>
        <w:t>m</w:t>
      </w:r>
      <w:r w:rsidR="004A4E16" w:rsidRPr="002B005F">
        <w:rPr>
          <w:rFonts w:ascii="Times New Roman" w:hAnsi="Times New Roman" w:cs="Times New Roman"/>
          <w:i/>
          <w:iCs/>
          <w:sz w:val="24"/>
          <w:szCs w:val="24"/>
        </w:rPr>
        <w:t>oudaraba</w:t>
      </w:r>
      <w:r w:rsidRPr="002B005F">
        <w:rPr>
          <w:rFonts w:ascii="Times New Roman" w:hAnsi="Times New Roman" w:cs="Times New Roman"/>
          <w:i/>
          <w:iCs/>
          <w:sz w:val="24"/>
          <w:szCs w:val="24"/>
        </w:rPr>
        <w:t xml:space="preserve"> </w:t>
      </w:r>
      <w:r w:rsidRPr="002B005F">
        <w:rPr>
          <w:rFonts w:ascii="Times New Roman" w:hAnsi="Times New Roman" w:cs="Times New Roman"/>
          <w:sz w:val="24"/>
          <w:szCs w:val="24"/>
        </w:rPr>
        <w:t>donc ces causes sont significatives.</w:t>
      </w:r>
    </w:p>
    <w:p w14:paraId="2BCDAF63" w14:textId="77777777" w:rsidR="002760B2" w:rsidRPr="002B005F" w:rsidRDefault="009D3601" w:rsidP="00A90914">
      <w:pPr>
        <w:pStyle w:val="Titre4"/>
        <w:keepNext w:val="0"/>
        <w:spacing w:before="100" w:beforeAutospacing="1" w:after="120" w:line="300" w:lineRule="auto"/>
        <w:ind w:firstLine="709"/>
      </w:pPr>
      <w:bookmarkStart w:id="1740" w:name="_Toc33263403"/>
      <w:bookmarkStart w:id="1741" w:name="_Toc37664666"/>
      <w:bookmarkStart w:id="1742" w:name="_Toc37666511"/>
      <w:bookmarkStart w:id="1743" w:name="_Toc54363408"/>
      <w:bookmarkStart w:id="1744" w:name="_Toc58606382"/>
      <w:bookmarkStart w:id="1745" w:name="_Toc61263587"/>
      <w:bookmarkStart w:id="1746" w:name="_Toc182298928"/>
      <w:r>
        <w:t>2</w:t>
      </w:r>
      <w:r w:rsidR="0086245F">
        <w:t xml:space="preserve">.2.3- </w:t>
      </w:r>
      <w:r w:rsidR="002760B2" w:rsidRPr="002B005F">
        <w:t>Mesures et techniques d’atténuation des risques</w:t>
      </w:r>
      <w:bookmarkEnd w:id="1740"/>
      <w:bookmarkEnd w:id="1741"/>
      <w:bookmarkEnd w:id="1742"/>
      <w:bookmarkEnd w:id="1743"/>
      <w:bookmarkEnd w:id="1744"/>
      <w:bookmarkEnd w:id="1745"/>
      <w:bookmarkEnd w:id="1746"/>
    </w:p>
    <w:p w14:paraId="0CCE45BB" w14:textId="77777777" w:rsidR="002760B2" w:rsidRPr="00B10E91" w:rsidRDefault="009D3601" w:rsidP="00D66FFE">
      <w:pPr>
        <w:pStyle w:val="Titre5"/>
        <w:keepNext w:val="0"/>
        <w:keepLines w:val="0"/>
        <w:spacing w:before="120" w:after="120" w:line="300" w:lineRule="auto"/>
        <w:ind w:left="709"/>
        <w:rPr>
          <w:rFonts w:asciiTheme="majorBidi" w:hAnsiTheme="majorBidi"/>
          <w:b/>
          <w:bCs/>
          <w:color w:val="auto"/>
          <w:sz w:val="24"/>
          <w:szCs w:val="24"/>
        </w:rPr>
      </w:pPr>
      <w:bookmarkStart w:id="1747" w:name="_Toc182298929"/>
      <w:r w:rsidRPr="00B10E91">
        <w:rPr>
          <w:rFonts w:asciiTheme="majorBidi" w:hAnsiTheme="majorBidi"/>
          <w:b/>
          <w:bCs/>
          <w:color w:val="auto"/>
          <w:sz w:val="24"/>
          <w:szCs w:val="24"/>
        </w:rPr>
        <w:t>2</w:t>
      </w:r>
      <w:r w:rsidR="0086245F" w:rsidRPr="00B10E91">
        <w:rPr>
          <w:rFonts w:asciiTheme="majorBidi" w:hAnsiTheme="majorBidi"/>
          <w:b/>
          <w:bCs/>
          <w:color w:val="auto"/>
          <w:sz w:val="24"/>
          <w:szCs w:val="24"/>
        </w:rPr>
        <w:t xml:space="preserve">.2.3.1- </w:t>
      </w:r>
      <w:r w:rsidR="002760B2" w:rsidRPr="00B10E91">
        <w:rPr>
          <w:rFonts w:asciiTheme="majorBidi" w:hAnsiTheme="majorBidi"/>
          <w:b/>
          <w:bCs/>
          <w:color w:val="auto"/>
          <w:sz w:val="24"/>
          <w:szCs w:val="24"/>
        </w:rPr>
        <w:t>Mesure de risques</w:t>
      </w:r>
      <w:bookmarkEnd w:id="1747"/>
    </w:p>
    <w:p w14:paraId="6055C576" w14:textId="77777777" w:rsidR="002760B2" w:rsidRPr="002B005F" w:rsidRDefault="002760B2" w:rsidP="002F0541">
      <w:pPr>
        <w:pStyle w:val="Paragraphedeliste"/>
        <w:tabs>
          <w:tab w:val="left" w:pos="0"/>
        </w:tabs>
        <w:spacing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Cette partie développe l'analyse descriptive menée dans la section précédente, en examinant l'impact de diverses variables de contrôle sur les opinions des répondants concernant l'utilisation de</w:t>
      </w:r>
      <w:r w:rsidR="00F6309B" w:rsidRPr="002B005F">
        <w:rPr>
          <w:rFonts w:ascii="Times New Roman" w:hAnsi="Times New Roman" w:cs="Times New Roman"/>
          <w:sz w:val="24"/>
          <w:szCs w:val="24"/>
        </w:rPr>
        <w:t>s</w:t>
      </w:r>
      <w:r w:rsidRPr="002B005F">
        <w:rPr>
          <w:rFonts w:ascii="Times New Roman" w:hAnsi="Times New Roman" w:cs="Times New Roman"/>
          <w:sz w:val="24"/>
          <w:szCs w:val="24"/>
        </w:rPr>
        <w:t xml:space="preserve"> diverses techniques pour mesurer et analyser le risque. À cette fin, le chercheur a utilisé K-W pour déterminer s'il existait des différences statistiquement significatives entre les catégories de profils de répondants, notamment la région, le poste du répondant, la nature de l'IF, la nature des activités et les normes comptables.</w:t>
      </w:r>
    </w:p>
    <w:p w14:paraId="5585385A" w14:textId="0124781C" w:rsidR="000C1CC2" w:rsidRPr="0095278E" w:rsidRDefault="0095278E" w:rsidP="0095278E">
      <w:pPr>
        <w:pStyle w:val="Lgende"/>
        <w:keepNext/>
        <w:spacing w:before="240" w:after="120"/>
        <w:jc w:val="center"/>
        <w:rPr>
          <w:rFonts w:asciiTheme="majorBidi" w:hAnsiTheme="majorBidi" w:cstheme="majorBidi"/>
          <w:color w:val="auto"/>
          <w:sz w:val="24"/>
          <w:szCs w:val="24"/>
        </w:rPr>
      </w:pPr>
      <w:bookmarkStart w:id="1748" w:name="_Toc115556107"/>
      <w:r w:rsidRPr="0095278E">
        <w:rPr>
          <w:rFonts w:asciiTheme="majorBidi" w:hAnsiTheme="majorBidi" w:cstheme="majorBidi"/>
          <w:color w:val="auto"/>
          <w:sz w:val="24"/>
          <w:szCs w:val="24"/>
        </w:rPr>
        <w:t xml:space="preserve">Tableau </w:t>
      </w:r>
      <w:r w:rsidR="00B544E5" w:rsidRPr="0095278E">
        <w:rPr>
          <w:rFonts w:asciiTheme="majorBidi" w:hAnsiTheme="majorBidi" w:cstheme="majorBidi"/>
          <w:color w:val="auto"/>
          <w:sz w:val="24"/>
          <w:szCs w:val="24"/>
        </w:rPr>
        <w:fldChar w:fldCharType="begin"/>
      </w:r>
      <w:r w:rsidRPr="0095278E">
        <w:rPr>
          <w:rFonts w:asciiTheme="majorBidi" w:hAnsiTheme="majorBidi" w:cstheme="majorBidi"/>
          <w:color w:val="auto"/>
          <w:sz w:val="24"/>
          <w:szCs w:val="24"/>
        </w:rPr>
        <w:instrText xml:space="preserve"> SEQ Tableau \* ARABIC </w:instrText>
      </w:r>
      <w:r w:rsidR="00B544E5" w:rsidRPr="0095278E">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39</w:t>
      </w:r>
      <w:r w:rsidR="00B544E5" w:rsidRPr="0095278E">
        <w:rPr>
          <w:rFonts w:asciiTheme="majorBidi" w:hAnsiTheme="majorBidi" w:cstheme="majorBidi"/>
          <w:color w:val="auto"/>
          <w:sz w:val="24"/>
          <w:szCs w:val="24"/>
        </w:rPr>
        <w:fldChar w:fldCharType="end"/>
      </w:r>
      <w:r w:rsidRPr="0095278E">
        <w:rPr>
          <w:rFonts w:asciiTheme="majorBidi" w:hAnsiTheme="majorBidi" w:cstheme="majorBidi"/>
          <w:color w:val="auto"/>
          <w:sz w:val="24"/>
          <w:szCs w:val="24"/>
        </w:rPr>
        <w:t>- Test K-W selon les différentes variables de contrôle (Q21)</w:t>
      </w:r>
      <w:bookmarkEnd w:id="1748"/>
    </w:p>
    <w:tbl>
      <w:tblPr>
        <w:tblStyle w:val="Trameclaire-Accent5"/>
        <w:tblW w:w="90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85" w:type="dxa"/>
          <w:bottom w:w="28" w:type="dxa"/>
          <w:right w:w="28" w:type="dxa"/>
        </w:tblCellMar>
        <w:tblLook w:val="04A0" w:firstRow="1" w:lastRow="0" w:firstColumn="1" w:lastColumn="0" w:noHBand="0" w:noVBand="1"/>
      </w:tblPr>
      <w:tblGrid>
        <w:gridCol w:w="1378"/>
        <w:gridCol w:w="764"/>
        <w:gridCol w:w="767"/>
        <w:gridCol w:w="764"/>
        <w:gridCol w:w="767"/>
        <w:gridCol w:w="765"/>
        <w:gridCol w:w="766"/>
        <w:gridCol w:w="765"/>
        <w:gridCol w:w="766"/>
        <w:gridCol w:w="765"/>
        <w:gridCol w:w="766"/>
      </w:tblGrid>
      <w:tr w:rsidR="00870784" w:rsidRPr="002B005F" w14:paraId="1E23EC53" w14:textId="77777777" w:rsidTr="00870784">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78" w:type="dxa"/>
            <w:vMerge w:val="restart"/>
            <w:vAlign w:val="center"/>
          </w:tcPr>
          <w:p w14:paraId="72CFB187" w14:textId="77777777" w:rsidR="00870784" w:rsidRPr="002B005F" w:rsidRDefault="00870784" w:rsidP="00F6309B">
            <w:pPr>
              <w:tabs>
                <w:tab w:val="left" w:pos="0"/>
              </w:tabs>
              <w:jc w:val="center"/>
              <w:rPr>
                <w:rFonts w:ascii="Times New Roman" w:hAnsi="Times New Roman" w:cs="Times New Roman"/>
                <w:color w:val="auto"/>
              </w:rPr>
            </w:pPr>
            <w:r w:rsidRPr="002B005F">
              <w:rPr>
                <w:rFonts w:ascii="Times New Roman" w:hAnsi="Times New Roman" w:cs="Times New Roman"/>
                <w:color w:val="auto"/>
                <w:sz w:val="21"/>
                <w:szCs w:val="21"/>
              </w:rPr>
              <w:t>Techniques d’évaluation des risques</w:t>
            </w:r>
          </w:p>
        </w:tc>
        <w:tc>
          <w:tcPr>
            <w:tcW w:w="1531" w:type="dxa"/>
            <w:gridSpan w:val="2"/>
            <w:vAlign w:val="center"/>
          </w:tcPr>
          <w:p w14:paraId="24DA8A45" w14:textId="77777777" w:rsidR="00870784" w:rsidRPr="002B005F" w:rsidRDefault="00870784" w:rsidP="00F6309B">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Région</w:t>
            </w:r>
          </w:p>
        </w:tc>
        <w:tc>
          <w:tcPr>
            <w:tcW w:w="1531" w:type="dxa"/>
            <w:gridSpan w:val="2"/>
            <w:vAlign w:val="center"/>
          </w:tcPr>
          <w:p w14:paraId="6EF74737" w14:textId="77777777" w:rsidR="00870784" w:rsidRPr="002B005F" w:rsidRDefault="00870784" w:rsidP="00F6309B">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Poste du répondant</w:t>
            </w:r>
          </w:p>
        </w:tc>
        <w:tc>
          <w:tcPr>
            <w:tcW w:w="1531" w:type="dxa"/>
            <w:gridSpan w:val="2"/>
            <w:vAlign w:val="center"/>
          </w:tcPr>
          <w:p w14:paraId="1F73F421" w14:textId="77777777" w:rsidR="00870784" w:rsidRPr="002B005F" w:rsidRDefault="00870784" w:rsidP="00F6309B">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Nature de l’IF</w:t>
            </w:r>
          </w:p>
        </w:tc>
        <w:tc>
          <w:tcPr>
            <w:tcW w:w="1531" w:type="dxa"/>
            <w:gridSpan w:val="2"/>
            <w:vAlign w:val="center"/>
          </w:tcPr>
          <w:p w14:paraId="3E69663D" w14:textId="77777777" w:rsidR="00870784" w:rsidRPr="002B005F" w:rsidRDefault="00870784" w:rsidP="00F6309B">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Nature d’activités</w:t>
            </w:r>
          </w:p>
        </w:tc>
        <w:tc>
          <w:tcPr>
            <w:tcW w:w="1531" w:type="dxa"/>
            <w:gridSpan w:val="2"/>
            <w:vAlign w:val="center"/>
          </w:tcPr>
          <w:p w14:paraId="6C83FA3D" w14:textId="77777777" w:rsidR="00870784" w:rsidRPr="002B005F" w:rsidRDefault="00870784" w:rsidP="00F6309B">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Standards comptables</w:t>
            </w:r>
          </w:p>
        </w:tc>
      </w:tr>
      <w:tr w:rsidR="00870784" w:rsidRPr="002B005F" w14:paraId="0046DD93" w14:textId="77777777" w:rsidTr="0087078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78" w:type="dxa"/>
            <w:vMerge/>
            <w:vAlign w:val="center"/>
          </w:tcPr>
          <w:p w14:paraId="632DF0DC" w14:textId="77777777" w:rsidR="00870784" w:rsidRPr="002B005F" w:rsidRDefault="00870784" w:rsidP="00F6309B">
            <w:pPr>
              <w:tabs>
                <w:tab w:val="left" w:pos="0"/>
              </w:tabs>
              <w:jc w:val="center"/>
              <w:rPr>
                <w:rFonts w:ascii="Times New Roman" w:hAnsi="Times New Roman" w:cs="Times New Roman"/>
                <w:color w:val="auto"/>
                <w:sz w:val="21"/>
                <w:szCs w:val="21"/>
              </w:rPr>
            </w:pPr>
          </w:p>
        </w:tc>
        <w:tc>
          <w:tcPr>
            <w:tcW w:w="764" w:type="dxa"/>
            <w:vAlign w:val="center"/>
          </w:tcPr>
          <w:p w14:paraId="747E176A" w14:textId="77777777" w:rsidR="00870784" w:rsidRPr="002B005F" w:rsidRDefault="00870784"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7" w:type="dxa"/>
            <w:vAlign w:val="center"/>
          </w:tcPr>
          <w:p w14:paraId="24552223" w14:textId="77777777" w:rsidR="00870784" w:rsidRPr="002B005F" w:rsidRDefault="00870784"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4" w:type="dxa"/>
            <w:vAlign w:val="center"/>
          </w:tcPr>
          <w:p w14:paraId="710B7074" w14:textId="77777777" w:rsidR="00870784" w:rsidRPr="002B005F" w:rsidRDefault="00870784"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7" w:type="dxa"/>
            <w:vAlign w:val="center"/>
          </w:tcPr>
          <w:p w14:paraId="5EE606E1" w14:textId="77777777" w:rsidR="00870784" w:rsidRPr="002B005F" w:rsidRDefault="00870784"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5" w:type="dxa"/>
            <w:vAlign w:val="center"/>
          </w:tcPr>
          <w:p w14:paraId="39A2BF94" w14:textId="77777777" w:rsidR="00870784" w:rsidRPr="002B005F" w:rsidRDefault="00870784"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6" w:type="dxa"/>
            <w:vAlign w:val="center"/>
          </w:tcPr>
          <w:p w14:paraId="339C6270" w14:textId="77777777" w:rsidR="00870784" w:rsidRPr="002B005F" w:rsidRDefault="00870784"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5" w:type="dxa"/>
            <w:vAlign w:val="center"/>
          </w:tcPr>
          <w:p w14:paraId="11793C15" w14:textId="77777777" w:rsidR="00870784" w:rsidRPr="002B005F" w:rsidRDefault="00870784"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6" w:type="dxa"/>
            <w:vAlign w:val="center"/>
          </w:tcPr>
          <w:p w14:paraId="7302997D" w14:textId="77777777" w:rsidR="00870784" w:rsidRPr="002B005F" w:rsidRDefault="00870784"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5" w:type="dxa"/>
            <w:vAlign w:val="center"/>
          </w:tcPr>
          <w:p w14:paraId="45C74287" w14:textId="77777777" w:rsidR="00870784" w:rsidRPr="002B005F" w:rsidRDefault="00870784"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6" w:type="dxa"/>
            <w:vAlign w:val="center"/>
          </w:tcPr>
          <w:p w14:paraId="08500119" w14:textId="77777777" w:rsidR="00870784" w:rsidRPr="002B005F" w:rsidRDefault="00870784"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r>
      <w:tr w:rsidR="002760B2" w:rsidRPr="002B005F" w14:paraId="35612C9B" w14:textId="77777777" w:rsidTr="00870784">
        <w:trPr>
          <w:trHeight w:val="56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39AEFA70" w14:textId="77777777" w:rsidR="002760B2" w:rsidRPr="002B005F" w:rsidRDefault="002760B2" w:rsidP="009D4DA1">
            <w:pPr>
              <w:tabs>
                <w:tab w:val="left" w:pos="0"/>
              </w:tabs>
              <w:jc w:val="left"/>
              <w:rPr>
                <w:rFonts w:ascii="Times New Roman" w:hAnsi="Times New Roman" w:cs="Times New Roman"/>
                <w:color w:val="auto"/>
              </w:rPr>
            </w:pPr>
            <w:r w:rsidRPr="002B005F">
              <w:rPr>
                <w:rFonts w:ascii="Times New Roman" w:hAnsi="Times New Roman" w:cs="Times New Roman"/>
                <w:color w:val="auto"/>
              </w:rPr>
              <w:t>GAP</w:t>
            </w:r>
          </w:p>
        </w:tc>
        <w:tc>
          <w:tcPr>
            <w:tcW w:w="1531" w:type="dxa"/>
            <w:gridSpan w:val="2"/>
            <w:vAlign w:val="center"/>
          </w:tcPr>
          <w:p w14:paraId="08CA70B6" w14:textId="77777777" w:rsidR="002760B2" w:rsidRPr="002B005F" w:rsidRDefault="002760B2"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6.223   </w:t>
            </w:r>
            <w:r w:rsidRPr="002B005F">
              <w:rPr>
                <w:rFonts w:ascii="Times New Roman" w:hAnsi="Times New Roman" w:cs="Times New Roman"/>
                <w:b/>
                <w:bCs/>
                <w:color w:val="auto"/>
              </w:rPr>
              <w:t>0.001</w:t>
            </w:r>
          </w:p>
        </w:tc>
        <w:tc>
          <w:tcPr>
            <w:tcW w:w="1531" w:type="dxa"/>
            <w:gridSpan w:val="2"/>
            <w:vAlign w:val="center"/>
          </w:tcPr>
          <w:p w14:paraId="5952A5B2" w14:textId="77777777" w:rsidR="002760B2" w:rsidRPr="002B005F" w:rsidRDefault="009E6A09"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9.79  </w:t>
            </w:r>
            <w:r w:rsidR="00F6309B" w:rsidRPr="002B005F">
              <w:rPr>
                <w:rFonts w:ascii="Times New Roman" w:hAnsi="Times New Roman" w:cs="Times New Roman"/>
                <w:color w:val="auto"/>
              </w:rPr>
              <w:t xml:space="preserve"> </w:t>
            </w:r>
            <w:r w:rsidR="002760B2" w:rsidRPr="002B005F">
              <w:rPr>
                <w:rFonts w:ascii="Times New Roman" w:hAnsi="Times New Roman" w:cs="Times New Roman"/>
                <w:color w:val="auto"/>
              </w:rPr>
              <w:t>0.459</w:t>
            </w:r>
          </w:p>
        </w:tc>
        <w:tc>
          <w:tcPr>
            <w:tcW w:w="1531" w:type="dxa"/>
            <w:gridSpan w:val="2"/>
            <w:vAlign w:val="center"/>
          </w:tcPr>
          <w:p w14:paraId="52AB849D" w14:textId="77777777" w:rsidR="002760B2" w:rsidRPr="002B005F" w:rsidRDefault="002760B2"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1.612   0.447</w:t>
            </w:r>
          </w:p>
        </w:tc>
        <w:tc>
          <w:tcPr>
            <w:tcW w:w="1531" w:type="dxa"/>
            <w:gridSpan w:val="2"/>
            <w:vAlign w:val="center"/>
          </w:tcPr>
          <w:p w14:paraId="190B6AE8" w14:textId="77777777" w:rsidR="002760B2" w:rsidRPr="002B005F" w:rsidRDefault="00F6309B"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3.067   </w:t>
            </w:r>
            <w:r w:rsidR="002760B2" w:rsidRPr="002B005F">
              <w:rPr>
                <w:rFonts w:ascii="Times New Roman" w:hAnsi="Times New Roman" w:cs="Times New Roman"/>
                <w:color w:val="auto"/>
              </w:rPr>
              <w:t>0.69</w:t>
            </w:r>
            <w:r w:rsidR="009E6A09" w:rsidRPr="002B005F">
              <w:rPr>
                <w:rFonts w:ascii="Times New Roman" w:hAnsi="Times New Roman" w:cs="Times New Roman"/>
                <w:color w:val="auto"/>
              </w:rPr>
              <w:t>0</w:t>
            </w:r>
          </w:p>
        </w:tc>
        <w:tc>
          <w:tcPr>
            <w:tcW w:w="1531" w:type="dxa"/>
            <w:gridSpan w:val="2"/>
            <w:vAlign w:val="center"/>
          </w:tcPr>
          <w:p w14:paraId="66110106" w14:textId="77777777" w:rsidR="002760B2" w:rsidRPr="002B005F" w:rsidRDefault="009E6A09"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3.699   </w:t>
            </w:r>
            <w:r w:rsidR="002760B2" w:rsidRPr="002B005F">
              <w:rPr>
                <w:rFonts w:ascii="Times New Roman" w:hAnsi="Times New Roman" w:cs="Times New Roman"/>
                <w:color w:val="auto"/>
              </w:rPr>
              <w:t>0.296</w:t>
            </w:r>
          </w:p>
        </w:tc>
      </w:tr>
      <w:tr w:rsidR="002760B2" w:rsidRPr="002B005F" w14:paraId="05B97132" w14:textId="77777777" w:rsidTr="0087078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6BF8FF96" w14:textId="77777777" w:rsidR="002760B2" w:rsidRPr="002B005F" w:rsidRDefault="002760B2" w:rsidP="009D4DA1">
            <w:pPr>
              <w:tabs>
                <w:tab w:val="left" w:pos="0"/>
              </w:tabs>
              <w:jc w:val="left"/>
              <w:rPr>
                <w:rFonts w:ascii="Times New Roman" w:hAnsi="Times New Roman" w:cs="Times New Roman"/>
                <w:color w:val="auto"/>
              </w:rPr>
            </w:pPr>
            <w:r w:rsidRPr="002B005F">
              <w:rPr>
                <w:rFonts w:ascii="Times New Roman" w:hAnsi="Times New Roman" w:cs="Times New Roman"/>
                <w:color w:val="auto"/>
              </w:rPr>
              <w:t>Duration</w:t>
            </w:r>
          </w:p>
        </w:tc>
        <w:tc>
          <w:tcPr>
            <w:tcW w:w="1531" w:type="dxa"/>
            <w:gridSpan w:val="2"/>
            <w:vAlign w:val="center"/>
          </w:tcPr>
          <w:p w14:paraId="4A72100F" w14:textId="77777777" w:rsidR="002760B2" w:rsidRPr="002B005F" w:rsidRDefault="009E6A09"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1.580   </w:t>
            </w:r>
            <w:r w:rsidR="002760B2" w:rsidRPr="002B005F">
              <w:rPr>
                <w:rFonts w:ascii="Times New Roman" w:hAnsi="Times New Roman" w:cs="Times New Roman"/>
                <w:color w:val="auto"/>
              </w:rPr>
              <w:t>0.904</w:t>
            </w:r>
          </w:p>
        </w:tc>
        <w:tc>
          <w:tcPr>
            <w:tcW w:w="1531" w:type="dxa"/>
            <w:gridSpan w:val="2"/>
            <w:vAlign w:val="center"/>
          </w:tcPr>
          <w:p w14:paraId="14DEDEF3" w14:textId="77777777" w:rsidR="002760B2" w:rsidRPr="002B005F" w:rsidRDefault="009E6A09"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6.81  </w:t>
            </w:r>
            <w:r w:rsidR="002760B2" w:rsidRPr="002B005F">
              <w:rPr>
                <w:rFonts w:ascii="Times New Roman" w:hAnsi="Times New Roman" w:cs="Times New Roman"/>
                <w:color w:val="auto"/>
              </w:rPr>
              <w:t xml:space="preserve"> 0.743</w:t>
            </w:r>
          </w:p>
        </w:tc>
        <w:tc>
          <w:tcPr>
            <w:tcW w:w="1531" w:type="dxa"/>
            <w:gridSpan w:val="2"/>
            <w:vAlign w:val="center"/>
          </w:tcPr>
          <w:p w14:paraId="451BDF67" w14:textId="77777777" w:rsidR="002760B2" w:rsidRPr="002B005F" w:rsidRDefault="002760B2"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3.396   0.183</w:t>
            </w:r>
          </w:p>
        </w:tc>
        <w:tc>
          <w:tcPr>
            <w:tcW w:w="1531" w:type="dxa"/>
            <w:gridSpan w:val="2"/>
            <w:vAlign w:val="center"/>
          </w:tcPr>
          <w:p w14:paraId="59564510" w14:textId="77777777" w:rsidR="002760B2" w:rsidRPr="002B005F" w:rsidRDefault="009E6A09"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8.010   </w:t>
            </w:r>
            <w:r w:rsidR="002760B2" w:rsidRPr="002B005F">
              <w:rPr>
                <w:rFonts w:ascii="Times New Roman" w:hAnsi="Times New Roman" w:cs="Times New Roman"/>
                <w:color w:val="auto"/>
              </w:rPr>
              <w:t>0.156</w:t>
            </w:r>
          </w:p>
        </w:tc>
        <w:tc>
          <w:tcPr>
            <w:tcW w:w="1531" w:type="dxa"/>
            <w:gridSpan w:val="2"/>
            <w:vAlign w:val="center"/>
          </w:tcPr>
          <w:p w14:paraId="5DA45E10" w14:textId="77777777" w:rsidR="002760B2" w:rsidRPr="002B005F" w:rsidRDefault="009E6A09"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11.780  </w:t>
            </w:r>
            <w:r w:rsidR="002760B2" w:rsidRPr="002B005F">
              <w:rPr>
                <w:rFonts w:ascii="Times New Roman" w:hAnsi="Times New Roman" w:cs="Times New Roman"/>
                <w:color w:val="auto"/>
              </w:rPr>
              <w:t xml:space="preserve"> </w:t>
            </w:r>
            <w:r w:rsidR="002760B2" w:rsidRPr="002B005F">
              <w:rPr>
                <w:rFonts w:ascii="Times New Roman" w:hAnsi="Times New Roman" w:cs="Times New Roman"/>
                <w:b/>
                <w:bCs/>
                <w:color w:val="auto"/>
              </w:rPr>
              <w:t>0.008</w:t>
            </w:r>
          </w:p>
        </w:tc>
      </w:tr>
      <w:tr w:rsidR="002760B2" w:rsidRPr="002B005F" w14:paraId="42721343" w14:textId="77777777" w:rsidTr="00870784">
        <w:trPr>
          <w:trHeight w:val="56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3638356D" w14:textId="77777777" w:rsidR="002760B2" w:rsidRPr="002B005F" w:rsidRDefault="002760B2" w:rsidP="009D4DA1">
            <w:pPr>
              <w:tabs>
                <w:tab w:val="left" w:pos="0"/>
              </w:tabs>
              <w:jc w:val="left"/>
              <w:rPr>
                <w:rFonts w:ascii="Times New Roman" w:hAnsi="Times New Roman" w:cs="Times New Roman"/>
                <w:color w:val="auto"/>
              </w:rPr>
            </w:pPr>
            <w:r w:rsidRPr="002B005F">
              <w:rPr>
                <w:rFonts w:ascii="Times New Roman" w:hAnsi="Times New Roman" w:cs="Times New Roman"/>
                <w:color w:val="auto"/>
              </w:rPr>
              <w:t>VAR</w:t>
            </w:r>
          </w:p>
        </w:tc>
        <w:tc>
          <w:tcPr>
            <w:tcW w:w="1531" w:type="dxa"/>
            <w:gridSpan w:val="2"/>
            <w:vAlign w:val="center"/>
          </w:tcPr>
          <w:p w14:paraId="25665B29" w14:textId="77777777" w:rsidR="002760B2" w:rsidRPr="002B005F" w:rsidRDefault="002760B2"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17.56</w:t>
            </w:r>
            <w:r w:rsidR="009E6A09" w:rsidRPr="002B005F">
              <w:rPr>
                <w:rFonts w:ascii="Times New Roman" w:hAnsi="Times New Roman" w:cs="Times New Roman"/>
                <w:color w:val="auto"/>
              </w:rPr>
              <w:t xml:space="preserve">0 </w:t>
            </w:r>
            <w:r w:rsidRPr="002B005F">
              <w:rPr>
                <w:rFonts w:ascii="Times New Roman" w:hAnsi="Times New Roman" w:cs="Times New Roman"/>
                <w:color w:val="auto"/>
              </w:rPr>
              <w:t xml:space="preserve">  </w:t>
            </w:r>
            <w:r w:rsidRPr="002B005F">
              <w:rPr>
                <w:rFonts w:ascii="Times New Roman" w:hAnsi="Times New Roman" w:cs="Times New Roman"/>
                <w:b/>
                <w:bCs/>
                <w:color w:val="auto"/>
              </w:rPr>
              <w:t>0.004</w:t>
            </w:r>
          </w:p>
        </w:tc>
        <w:tc>
          <w:tcPr>
            <w:tcW w:w="1531" w:type="dxa"/>
            <w:gridSpan w:val="2"/>
            <w:vAlign w:val="center"/>
          </w:tcPr>
          <w:p w14:paraId="62C3EF16" w14:textId="77777777" w:rsidR="002760B2" w:rsidRPr="002B005F" w:rsidRDefault="009E6A09"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10.80   </w:t>
            </w:r>
            <w:r w:rsidR="002760B2" w:rsidRPr="002B005F">
              <w:rPr>
                <w:rFonts w:ascii="Times New Roman" w:hAnsi="Times New Roman" w:cs="Times New Roman"/>
                <w:color w:val="auto"/>
              </w:rPr>
              <w:t>0.372</w:t>
            </w:r>
          </w:p>
        </w:tc>
        <w:tc>
          <w:tcPr>
            <w:tcW w:w="1531" w:type="dxa"/>
            <w:gridSpan w:val="2"/>
            <w:vAlign w:val="center"/>
          </w:tcPr>
          <w:p w14:paraId="11B80BDE" w14:textId="77777777" w:rsidR="002760B2" w:rsidRPr="002B005F" w:rsidRDefault="002760B2"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0.516   </w:t>
            </w:r>
            <w:r w:rsidRPr="002B005F">
              <w:rPr>
                <w:rFonts w:ascii="Times New Roman" w:hAnsi="Times New Roman" w:cs="Times New Roman"/>
                <w:b/>
                <w:bCs/>
                <w:color w:val="auto"/>
              </w:rPr>
              <w:t>0.005</w:t>
            </w:r>
          </w:p>
        </w:tc>
        <w:tc>
          <w:tcPr>
            <w:tcW w:w="1531" w:type="dxa"/>
            <w:gridSpan w:val="2"/>
            <w:vAlign w:val="center"/>
          </w:tcPr>
          <w:p w14:paraId="5CABF433" w14:textId="77777777" w:rsidR="002760B2" w:rsidRPr="002B005F" w:rsidRDefault="009E6A09"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6.884   </w:t>
            </w:r>
            <w:r w:rsidR="002760B2" w:rsidRPr="002B005F">
              <w:rPr>
                <w:rFonts w:ascii="Times New Roman" w:hAnsi="Times New Roman" w:cs="Times New Roman"/>
                <w:color w:val="auto"/>
              </w:rPr>
              <w:t>0.229</w:t>
            </w:r>
          </w:p>
        </w:tc>
        <w:tc>
          <w:tcPr>
            <w:tcW w:w="1531" w:type="dxa"/>
            <w:gridSpan w:val="2"/>
            <w:vAlign w:val="center"/>
          </w:tcPr>
          <w:p w14:paraId="4BC43D57" w14:textId="77777777" w:rsidR="002760B2" w:rsidRPr="002B005F" w:rsidRDefault="009E6A09"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7.119   </w:t>
            </w:r>
            <w:r w:rsidR="002760B2" w:rsidRPr="002B005F">
              <w:rPr>
                <w:rFonts w:ascii="Times New Roman" w:hAnsi="Times New Roman" w:cs="Times New Roman"/>
                <w:color w:val="auto"/>
              </w:rPr>
              <w:t>0.068</w:t>
            </w:r>
          </w:p>
        </w:tc>
      </w:tr>
      <w:tr w:rsidR="002760B2" w:rsidRPr="002B005F" w14:paraId="2C27510F" w14:textId="77777777" w:rsidTr="0087078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2D59D752" w14:textId="77777777" w:rsidR="002760B2" w:rsidRPr="002B005F" w:rsidRDefault="002760B2" w:rsidP="009D4DA1">
            <w:pPr>
              <w:tabs>
                <w:tab w:val="left" w:pos="0"/>
              </w:tabs>
              <w:jc w:val="left"/>
              <w:rPr>
                <w:rFonts w:ascii="Times New Roman" w:hAnsi="Times New Roman" w:cs="Times New Roman"/>
                <w:color w:val="auto"/>
              </w:rPr>
            </w:pPr>
            <w:r w:rsidRPr="002B005F">
              <w:rPr>
                <w:rFonts w:ascii="Times New Roman" w:hAnsi="Times New Roman" w:cs="Times New Roman"/>
                <w:color w:val="auto"/>
              </w:rPr>
              <w:t>RAROC</w:t>
            </w:r>
          </w:p>
        </w:tc>
        <w:tc>
          <w:tcPr>
            <w:tcW w:w="1531" w:type="dxa"/>
            <w:gridSpan w:val="2"/>
            <w:vAlign w:val="center"/>
          </w:tcPr>
          <w:p w14:paraId="6AA6206E" w14:textId="77777777" w:rsidR="002760B2" w:rsidRPr="002B005F" w:rsidRDefault="002760B2"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15.69</w:t>
            </w:r>
            <w:r w:rsidR="009E6A09" w:rsidRPr="002B005F">
              <w:rPr>
                <w:rFonts w:ascii="Times New Roman" w:hAnsi="Times New Roman" w:cs="Times New Roman"/>
                <w:color w:val="auto"/>
              </w:rPr>
              <w:t xml:space="preserve">0 </w:t>
            </w:r>
            <w:r w:rsidRPr="002B005F">
              <w:rPr>
                <w:rFonts w:ascii="Times New Roman" w:hAnsi="Times New Roman" w:cs="Times New Roman"/>
                <w:color w:val="auto"/>
              </w:rPr>
              <w:t xml:space="preserve"> </w:t>
            </w:r>
            <w:r w:rsidR="00F6309B" w:rsidRPr="002B005F">
              <w:rPr>
                <w:rFonts w:ascii="Times New Roman" w:hAnsi="Times New Roman" w:cs="Times New Roman"/>
                <w:color w:val="auto"/>
              </w:rPr>
              <w:t xml:space="preserve"> </w:t>
            </w:r>
            <w:r w:rsidRPr="002B005F">
              <w:rPr>
                <w:rFonts w:ascii="Times New Roman" w:hAnsi="Times New Roman" w:cs="Times New Roman"/>
                <w:b/>
                <w:bCs/>
                <w:color w:val="auto"/>
              </w:rPr>
              <w:t>0.008</w:t>
            </w:r>
          </w:p>
        </w:tc>
        <w:tc>
          <w:tcPr>
            <w:tcW w:w="1531" w:type="dxa"/>
            <w:gridSpan w:val="2"/>
            <w:vAlign w:val="center"/>
          </w:tcPr>
          <w:p w14:paraId="02370C48" w14:textId="77777777" w:rsidR="002760B2" w:rsidRPr="002B005F" w:rsidRDefault="009E6A09"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14.20   </w:t>
            </w:r>
            <w:r w:rsidR="002760B2" w:rsidRPr="002B005F">
              <w:rPr>
                <w:rFonts w:ascii="Times New Roman" w:hAnsi="Times New Roman" w:cs="Times New Roman"/>
                <w:color w:val="auto"/>
              </w:rPr>
              <w:t>0.163</w:t>
            </w:r>
          </w:p>
        </w:tc>
        <w:tc>
          <w:tcPr>
            <w:tcW w:w="1531" w:type="dxa"/>
            <w:gridSpan w:val="2"/>
            <w:vAlign w:val="center"/>
          </w:tcPr>
          <w:p w14:paraId="14DEE45A" w14:textId="77777777" w:rsidR="002760B2" w:rsidRPr="002B005F" w:rsidRDefault="002760B2"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2.468   0.291</w:t>
            </w:r>
          </w:p>
        </w:tc>
        <w:tc>
          <w:tcPr>
            <w:tcW w:w="1531" w:type="dxa"/>
            <w:gridSpan w:val="2"/>
            <w:vAlign w:val="center"/>
          </w:tcPr>
          <w:p w14:paraId="45EAFB08" w14:textId="77777777" w:rsidR="002760B2" w:rsidRPr="002B005F" w:rsidRDefault="009E6A09"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6.559   </w:t>
            </w:r>
            <w:r w:rsidR="002760B2" w:rsidRPr="002B005F">
              <w:rPr>
                <w:rFonts w:ascii="Times New Roman" w:hAnsi="Times New Roman" w:cs="Times New Roman"/>
                <w:color w:val="auto"/>
              </w:rPr>
              <w:t>0.256</w:t>
            </w:r>
          </w:p>
        </w:tc>
        <w:tc>
          <w:tcPr>
            <w:tcW w:w="1531" w:type="dxa"/>
            <w:gridSpan w:val="2"/>
            <w:vAlign w:val="center"/>
          </w:tcPr>
          <w:p w14:paraId="62AD446F" w14:textId="77777777" w:rsidR="002760B2" w:rsidRPr="002B005F" w:rsidRDefault="009E6A09"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7.151   </w:t>
            </w:r>
            <w:r w:rsidR="002760B2" w:rsidRPr="002B005F">
              <w:rPr>
                <w:rFonts w:ascii="Times New Roman" w:hAnsi="Times New Roman" w:cs="Times New Roman"/>
                <w:color w:val="auto"/>
              </w:rPr>
              <w:t>0.067</w:t>
            </w:r>
          </w:p>
        </w:tc>
      </w:tr>
      <w:tr w:rsidR="002760B2" w:rsidRPr="002B005F" w14:paraId="17E5A019" w14:textId="77777777" w:rsidTr="00870784">
        <w:trPr>
          <w:trHeight w:val="56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7B5D7427" w14:textId="77777777" w:rsidR="002760B2" w:rsidRPr="002B005F" w:rsidRDefault="002760B2" w:rsidP="009D4DA1">
            <w:pPr>
              <w:tabs>
                <w:tab w:val="left" w:pos="0"/>
              </w:tabs>
              <w:jc w:val="left"/>
              <w:rPr>
                <w:rFonts w:ascii="Times New Roman" w:hAnsi="Times New Roman" w:cs="Times New Roman"/>
                <w:color w:val="auto"/>
              </w:rPr>
            </w:pPr>
            <w:r w:rsidRPr="002B005F">
              <w:rPr>
                <w:rFonts w:ascii="Times New Roman" w:hAnsi="Times New Roman" w:cs="Times New Roman"/>
                <w:color w:val="auto"/>
              </w:rPr>
              <w:t>Rating interne</w:t>
            </w:r>
          </w:p>
        </w:tc>
        <w:tc>
          <w:tcPr>
            <w:tcW w:w="1531" w:type="dxa"/>
            <w:gridSpan w:val="2"/>
            <w:vAlign w:val="center"/>
          </w:tcPr>
          <w:p w14:paraId="4B3DF5DA" w14:textId="77777777" w:rsidR="002760B2" w:rsidRPr="002B005F" w:rsidRDefault="002760B2"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10.98</w:t>
            </w:r>
            <w:r w:rsidR="009E6A09" w:rsidRPr="002B005F">
              <w:rPr>
                <w:rFonts w:ascii="Times New Roman" w:hAnsi="Times New Roman" w:cs="Times New Roman"/>
                <w:color w:val="auto"/>
              </w:rPr>
              <w:t>0</w:t>
            </w:r>
            <w:r w:rsidRPr="002B005F">
              <w:rPr>
                <w:rFonts w:ascii="Times New Roman" w:hAnsi="Times New Roman" w:cs="Times New Roman"/>
                <w:color w:val="auto"/>
              </w:rPr>
              <w:t xml:space="preserve">   0.052</w:t>
            </w:r>
          </w:p>
        </w:tc>
        <w:tc>
          <w:tcPr>
            <w:tcW w:w="1531" w:type="dxa"/>
            <w:gridSpan w:val="2"/>
            <w:vAlign w:val="center"/>
          </w:tcPr>
          <w:p w14:paraId="230D8570" w14:textId="77777777" w:rsidR="002760B2" w:rsidRPr="002B005F" w:rsidRDefault="009E6A09"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13.00   </w:t>
            </w:r>
            <w:r w:rsidR="002760B2" w:rsidRPr="002B005F">
              <w:rPr>
                <w:rFonts w:ascii="Times New Roman" w:hAnsi="Times New Roman" w:cs="Times New Roman"/>
                <w:color w:val="auto"/>
              </w:rPr>
              <w:t>0.222</w:t>
            </w:r>
          </w:p>
        </w:tc>
        <w:tc>
          <w:tcPr>
            <w:tcW w:w="1531" w:type="dxa"/>
            <w:gridSpan w:val="2"/>
            <w:vAlign w:val="center"/>
          </w:tcPr>
          <w:p w14:paraId="58C4D9FA" w14:textId="77777777" w:rsidR="002760B2" w:rsidRPr="002B005F" w:rsidRDefault="002760B2"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1.926   0.382</w:t>
            </w:r>
          </w:p>
        </w:tc>
        <w:tc>
          <w:tcPr>
            <w:tcW w:w="1531" w:type="dxa"/>
            <w:gridSpan w:val="2"/>
            <w:vAlign w:val="center"/>
          </w:tcPr>
          <w:p w14:paraId="12EB1FD1" w14:textId="77777777" w:rsidR="002760B2" w:rsidRPr="002B005F" w:rsidRDefault="009E6A09"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5.731   </w:t>
            </w:r>
            <w:r w:rsidR="002760B2" w:rsidRPr="002B005F">
              <w:rPr>
                <w:rFonts w:ascii="Times New Roman" w:hAnsi="Times New Roman" w:cs="Times New Roman"/>
                <w:color w:val="auto"/>
              </w:rPr>
              <w:t>0.333</w:t>
            </w:r>
          </w:p>
        </w:tc>
        <w:tc>
          <w:tcPr>
            <w:tcW w:w="1531" w:type="dxa"/>
            <w:gridSpan w:val="2"/>
            <w:vAlign w:val="center"/>
          </w:tcPr>
          <w:p w14:paraId="61306027" w14:textId="77777777" w:rsidR="002760B2" w:rsidRPr="002B005F" w:rsidRDefault="002760B2"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5.134   0.162</w:t>
            </w:r>
          </w:p>
        </w:tc>
      </w:tr>
      <w:tr w:rsidR="002760B2" w:rsidRPr="002B005F" w14:paraId="1A56C331" w14:textId="77777777" w:rsidTr="0087078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5F3B9015" w14:textId="77777777" w:rsidR="002760B2" w:rsidRPr="002B005F" w:rsidRDefault="002760B2" w:rsidP="009D4DA1">
            <w:pPr>
              <w:tabs>
                <w:tab w:val="left" w:pos="0"/>
              </w:tabs>
              <w:jc w:val="left"/>
              <w:rPr>
                <w:rFonts w:ascii="Times New Roman" w:hAnsi="Times New Roman" w:cs="Times New Roman"/>
                <w:color w:val="auto"/>
              </w:rPr>
            </w:pPr>
            <w:r w:rsidRPr="002B005F">
              <w:rPr>
                <w:rFonts w:ascii="Times New Roman" w:hAnsi="Times New Roman" w:cs="Times New Roman"/>
                <w:color w:val="auto"/>
              </w:rPr>
              <w:t>Notation de crédit</w:t>
            </w:r>
          </w:p>
        </w:tc>
        <w:tc>
          <w:tcPr>
            <w:tcW w:w="1531" w:type="dxa"/>
            <w:gridSpan w:val="2"/>
            <w:vAlign w:val="center"/>
          </w:tcPr>
          <w:p w14:paraId="0B136DE4" w14:textId="77777777" w:rsidR="002760B2" w:rsidRPr="002B005F" w:rsidRDefault="009E6A09"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8.155 </w:t>
            </w:r>
            <w:r w:rsidR="002760B2" w:rsidRPr="002B005F">
              <w:rPr>
                <w:rFonts w:ascii="Times New Roman" w:hAnsi="Times New Roman" w:cs="Times New Roman"/>
                <w:color w:val="auto"/>
              </w:rPr>
              <w:t xml:space="preserve">  </w:t>
            </w:r>
            <w:r w:rsidR="002760B2" w:rsidRPr="002B005F">
              <w:rPr>
                <w:rFonts w:ascii="Times New Roman" w:hAnsi="Times New Roman" w:cs="Times New Roman"/>
                <w:b/>
                <w:bCs/>
                <w:color w:val="auto"/>
              </w:rPr>
              <w:t>0.002</w:t>
            </w:r>
          </w:p>
        </w:tc>
        <w:tc>
          <w:tcPr>
            <w:tcW w:w="1531" w:type="dxa"/>
            <w:gridSpan w:val="2"/>
            <w:vAlign w:val="center"/>
          </w:tcPr>
          <w:p w14:paraId="036B8BC3" w14:textId="77777777" w:rsidR="002760B2" w:rsidRPr="002B005F" w:rsidRDefault="009E6A09" w:rsidP="009E6A09">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5.78  </w:t>
            </w:r>
            <w:r w:rsidR="002760B2" w:rsidRPr="002B005F">
              <w:rPr>
                <w:rFonts w:ascii="Times New Roman" w:hAnsi="Times New Roman" w:cs="Times New Roman"/>
                <w:color w:val="auto"/>
              </w:rPr>
              <w:t xml:space="preserve"> 0.833</w:t>
            </w:r>
          </w:p>
        </w:tc>
        <w:tc>
          <w:tcPr>
            <w:tcW w:w="1531" w:type="dxa"/>
            <w:gridSpan w:val="2"/>
            <w:vAlign w:val="center"/>
          </w:tcPr>
          <w:p w14:paraId="4FDD79B4" w14:textId="77777777" w:rsidR="002760B2" w:rsidRPr="002B005F" w:rsidRDefault="002760B2"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0.344   </w:t>
            </w:r>
            <w:r w:rsidRPr="002B005F">
              <w:rPr>
                <w:rFonts w:ascii="Times New Roman" w:hAnsi="Times New Roman" w:cs="Times New Roman"/>
                <w:b/>
                <w:bCs/>
                <w:color w:val="auto"/>
              </w:rPr>
              <w:t>0.003</w:t>
            </w:r>
          </w:p>
        </w:tc>
        <w:tc>
          <w:tcPr>
            <w:tcW w:w="1531" w:type="dxa"/>
            <w:gridSpan w:val="2"/>
            <w:vAlign w:val="center"/>
          </w:tcPr>
          <w:p w14:paraId="7E92BB43" w14:textId="77777777" w:rsidR="002760B2" w:rsidRPr="002B005F" w:rsidRDefault="009E6A09"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10.790   </w:t>
            </w:r>
            <w:r w:rsidR="002760B2" w:rsidRPr="002B005F">
              <w:rPr>
                <w:rFonts w:ascii="Times New Roman" w:hAnsi="Times New Roman" w:cs="Times New Roman"/>
                <w:color w:val="auto"/>
              </w:rPr>
              <w:t>0.056</w:t>
            </w:r>
          </w:p>
        </w:tc>
        <w:tc>
          <w:tcPr>
            <w:tcW w:w="1531" w:type="dxa"/>
            <w:gridSpan w:val="2"/>
            <w:vAlign w:val="center"/>
          </w:tcPr>
          <w:p w14:paraId="5E27077A" w14:textId="77777777" w:rsidR="002760B2" w:rsidRPr="002B005F" w:rsidRDefault="009E6A09" w:rsidP="00F6309B">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6.028   </w:t>
            </w:r>
            <w:r w:rsidR="002760B2" w:rsidRPr="002B005F">
              <w:rPr>
                <w:rFonts w:ascii="Times New Roman" w:hAnsi="Times New Roman" w:cs="Times New Roman"/>
                <w:color w:val="auto"/>
              </w:rPr>
              <w:t>0.11</w:t>
            </w:r>
          </w:p>
        </w:tc>
      </w:tr>
      <w:tr w:rsidR="002760B2" w:rsidRPr="002B005F" w14:paraId="0A430A0E" w14:textId="77777777" w:rsidTr="00870784">
        <w:trPr>
          <w:trHeight w:val="56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14:paraId="0D8AE98C" w14:textId="77777777" w:rsidR="002760B2" w:rsidRPr="002B005F" w:rsidRDefault="002760B2" w:rsidP="009D4DA1">
            <w:pPr>
              <w:tabs>
                <w:tab w:val="left" w:pos="0"/>
              </w:tabs>
              <w:jc w:val="left"/>
              <w:rPr>
                <w:rFonts w:ascii="Times New Roman" w:hAnsi="Times New Roman" w:cs="Times New Roman"/>
                <w:color w:val="auto"/>
              </w:rPr>
            </w:pPr>
            <w:r w:rsidRPr="002B005F">
              <w:rPr>
                <w:rFonts w:ascii="Times New Roman" w:hAnsi="Times New Roman" w:cs="Times New Roman"/>
                <w:color w:val="auto"/>
              </w:rPr>
              <w:t>Stress-test</w:t>
            </w:r>
          </w:p>
        </w:tc>
        <w:tc>
          <w:tcPr>
            <w:tcW w:w="1531" w:type="dxa"/>
            <w:gridSpan w:val="2"/>
            <w:vAlign w:val="center"/>
          </w:tcPr>
          <w:p w14:paraId="252E62EC" w14:textId="77777777" w:rsidR="002760B2" w:rsidRPr="002B005F" w:rsidRDefault="002760B2"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8.58</w:t>
            </w:r>
            <w:r w:rsidR="009E6A09" w:rsidRPr="002B005F">
              <w:rPr>
                <w:rFonts w:ascii="Times New Roman" w:hAnsi="Times New Roman" w:cs="Times New Roman"/>
                <w:color w:val="auto"/>
              </w:rPr>
              <w:t xml:space="preserve">0  </w:t>
            </w:r>
            <w:r w:rsidRPr="002B005F">
              <w:rPr>
                <w:rFonts w:ascii="Times New Roman" w:hAnsi="Times New Roman" w:cs="Times New Roman"/>
                <w:color w:val="auto"/>
              </w:rPr>
              <w:t xml:space="preserve"> 0.127</w:t>
            </w:r>
          </w:p>
        </w:tc>
        <w:tc>
          <w:tcPr>
            <w:tcW w:w="1531" w:type="dxa"/>
            <w:gridSpan w:val="2"/>
            <w:vAlign w:val="center"/>
          </w:tcPr>
          <w:p w14:paraId="7F95C103" w14:textId="77777777" w:rsidR="002760B2" w:rsidRPr="002B005F" w:rsidRDefault="009E6A09"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10.00   </w:t>
            </w:r>
            <w:r w:rsidR="002760B2" w:rsidRPr="002B005F">
              <w:rPr>
                <w:rFonts w:ascii="Times New Roman" w:hAnsi="Times New Roman" w:cs="Times New Roman"/>
                <w:color w:val="auto"/>
              </w:rPr>
              <w:t>0.438</w:t>
            </w:r>
          </w:p>
        </w:tc>
        <w:tc>
          <w:tcPr>
            <w:tcW w:w="1531" w:type="dxa"/>
            <w:gridSpan w:val="2"/>
            <w:vAlign w:val="center"/>
          </w:tcPr>
          <w:p w14:paraId="2F1A82A8" w14:textId="77777777" w:rsidR="002760B2" w:rsidRPr="002B005F" w:rsidRDefault="002760B2"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7.754   </w:t>
            </w:r>
            <w:r w:rsidRPr="002B005F">
              <w:rPr>
                <w:rFonts w:ascii="Times New Roman" w:hAnsi="Times New Roman" w:cs="Times New Roman"/>
                <w:b/>
                <w:bCs/>
                <w:color w:val="auto"/>
              </w:rPr>
              <w:t>0.021</w:t>
            </w:r>
          </w:p>
        </w:tc>
        <w:tc>
          <w:tcPr>
            <w:tcW w:w="1531" w:type="dxa"/>
            <w:gridSpan w:val="2"/>
            <w:vAlign w:val="center"/>
          </w:tcPr>
          <w:p w14:paraId="27133688" w14:textId="77777777" w:rsidR="002760B2" w:rsidRPr="002B005F" w:rsidRDefault="009E6A09"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10.140   </w:t>
            </w:r>
            <w:r w:rsidR="002760B2" w:rsidRPr="002B005F">
              <w:rPr>
                <w:rFonts w:ascii="Times New Roman" w:hAnsi="Times New Roman" w:cs="Times New Roman"/>
                <w:color w:val="auto"/>
              </w:rPr>
              <w:t>0.071</w:t>
            </w:r>
          </w:p>
        </w:tc>
        <w:tc>
          <w:tcPr>
            <w:tcW w:w="1531" w:type="dxa"/>
            <w:gridSpan w:val="2"/>
            <w:vAlign w:val="center"/>
          </w:tcPr>
          <w:p w14:paraId="271FCE88" w14:textId="77777777" w:rsidR="002760B2" w:rsidRPr="002B005F" w:rsidRDefault="002760B2" w:rsidP="00F6309B">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4.029</w:t>
            </w:r>
            <w:r w:rsidR="009E6A09" w:rsidRPr="002B005F">
              <w:rPr>
                <w:rFonts w:ascii="Times New Roman" w:hAnsi="Times New Roman" w:cs="Times New Roman"/>
                <w:color w:val="auto"/>
              </w:rPr>
              <w:t xml:space="preserve"> </w:t>
            </w:r>
            <w:r w:rsidR="00F6309B" w:rsidRPr="002B005F">
              <w:rPr>
                <w:rFonts w:ascii="Times New Roman" w:hAnsi="Times New Roman" w:cs="Times New Roman"/>
                <w:color w:val="auto"/>
              </w:rPr>
              <w:t xml:space="preserve">  </w:t>
            </w:r>
            <w:r w:rsidRPr="002B005F">
              <w:rPr>
                <w:rFonts w:ascii="Times New Roman" w:hAnsi="Times New Roman" w:cs="Times New Roman"/>
                <w:color w:val="auto"/>
              </w:rPr>
              <w:t>0.258</w:t>
            </w:r>
          </w:p>
        </w:tc>
      </w:tr>
    </w:tbl>
    <w:p w14:paraId="48E57BF9" w14:textId="3FB8B99D" w:rsidR="002760B2" w:rsidRPr="002B005F" w:rsidRDefault="002760B2" w:rsidP="003E7643">
      <w:pPr>
        <w:tabs>
          <w:tab w:val="left" w:pos="0"/>
        </w:tabs>
        <w:spacing w:before="120" w:after="100" w:afterAutospacing="1" w:line="240" w:lineRule="auto"/>
        <w:jc w:val="center"/>
        <w:rPr>
          <w:rFonts w:ascii="Times New Roman" w:hAnsi="Times New Roman" w:cs="Times New Roman"/>
          <w:sz w:val="20"/>
          <w:szCs w:val="20"/>
        </w:rPr>
      </w:pPr>
      <w:r w:rsidRPr="002B005F">
        <w:rPr>
          <w:rStyle w:val="Emphaseple"/>
          <w:rFonts w:ascii="Times New Roman" w:hAnsi="Times New Roman" w:cs="Times New Roman"/>
          <w:i w:val="0"/>
          <w:iCs w:val="0"/>
          <w:color w:val="auto"/>
          <w:sz w:val="20"/>
          <w:szCs w:val="20"/>
        </w:rPr>
        <w:t>Source</w:t>
      </w:r>
      <w:r w:rsidRPr="002B005F">
        <w:rPr>
          <w:rStyle w:val="Emphaseple"/>
          <w:rFonts w:ascii="Times New Roman" w:hAnsi="Times New Roman" w:cs="Times New Roman"/>
          <w:color w:val="auto"/>
          <w:sz w:val="18"/>
          <w:szCs w:val="18"/>
        </w:rPr>
        <w:t> </w:t>
      </w:r>
      <w:r w:rsidRPr="002B005F">
        <w:rPr>
          <w:rStyle w:val="Emphaseple"/>
          <w:rFonts w:ascii="Times New Roman" w:hAnsi="Times New Roman" w:cs="Times New Roman"/>
          <w:color w:val="auto"/>
          <w:sz w:val="20"/>
          <w:szCs w:val="20"/>
        </w:rPr>
        <w:t>:</w:t>
      </w:r>
      <w:r w:rsidRPr="002B005F">
        <w:rPr>
          <w:rFonts w:ascii="Times New Roman" w:hAnsi="Times New Roman" w:cs="Times New Roman"/>
          <w:sz w:val="20"/>
          <w:szCs w:val="20"/>
        </w:rPr>
        <w:t xml:space="preserve"> Calculs du chercheur</w:t>
      </w:r>
      <w:r w:rsidR="002C5EFF">
        <w:rPr>
          <w:rFonts w:ascii="Times New Roman" w:hAnsi="Times New Roman" w:cs="Times New Roman"/>
          <w:noProof/>
          <w:sz w:val="16"/>
          <w:szCs w:val="16"/>
          <w:lang w:eastAsia="fr-FR"/>
        </w:rPr>
        <mc:AlternateContent>
          <mc:Choice Requires="wps">
            <w:drawing>
              <wp:anchor distT="4294967295" distB="4294967295" distL="114300" distR="114300" simplePos="0" relativeHeight="251545600" behindDoc="1" locked="0" layoutInCell="1" allowOverlap="1" wp14:anchorId="0B1E0024" wp14:editId="16B1D803">
                <wp:simplePos x="0" y="0"/>
                <wp:positionH relativeFrom="column">
                  <wp:posOffset>1496695</wp:posOffset>
                </wp:positionH>
                <wp:positionV relativeFrom="paragraph">
                  <wp:posOffset>-2324736</wp:posOffset>
                </wp:positionV>
                <wp:extent cx="441960" cy="0"/>
                <wp:effectExtent l="0" t="0" r="15240" b="0"/>
                <wp:wrapNone/>
                <wp:docPr id="127"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20808" id="Connecteur droit 26"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85pt,-183.05pt" to="152.65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" strokecolor="white" strokeweight=".12pt"/>
            </w:pict>
          </mc:Fallback>
        </mc:AlternateContent>
      </w:r>
      <w:r w:rsidR="002C5EFF">
        <w:rPr>
          <w:rFonts w:ascii="Times New Roman" w:hAnsi="Times New Roman" w:cs="Times New Roman"/>
          <w:noProof/>
          <w:sz w:val="16"/>
          <w:szCs w:val="16"/>
          <w:lang w:eastAsia="fr-FR"/>
        </w:rPr>
        <mc:AlternateContent>
          <mc:Choice Requires="wps">
            <w:drawing>
              <wp:anchor distT="4294967295" distB="4294967295" distL="114300" distR="114300" simplePos="0" relativeHeight="251546624" behindDoc="1" locked="0" layoutInCell="1" allowOverlap="1" wp14:anchorId="18F82D3D" wp14:editId="3CDFD666">
                <wp:simplePos x="0" y="0"/>
                <wp:positionH relativeFrom="column">
                  <wp:posOffset>1957070</wp:posOffset>
                </wp:positionH>
                <wp:positionV relativeFrom="paragraph">
                  <wp:posOffset>-2324736</wp:posOffset>
                </wp:positionV>
                <wp:extent cx="3371850" cy="0"/>
                <wp:effectExtent l="0" t="0" r="0" b="0"/>
                <wp:wrapNone/>
                <wp:docPr id="126"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92B45" id="Connecteur droit 25" o:spid="_x0000_s1026" style="position:absolute;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1pt,-183.05pt" to="419.6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" strokecolor="white" strokeweight=".12pt"/>
            </w:pict>
          </mc:Fallback>
        </mc:AlternateContent>
      </w:r>
      <w:r w:rsidR="002C5EFF">
        <w:rPr>
          <w:rFonts w:ascii="Times New Roman" w:hAnsi="Times New Roman" w:cs="Times New Roman"/>
          <w:noProof/>
          <w:sz w:val="16"/>
          <w:szCs w:val="16"/>
          <w:lang w:eastAsia="fr-FR"/>
        </w:rPr>
        <mc:AlternateContent>
          <mc:Choice Requires="wps">
            <w:drawing>
              <wp:anchor distT="4294967295" distB="4294967295" distL="114300" distR="114300" simplePos="0" relativeHeight="251547648" behindDoc="1" locked="0" layoutInCell="1" allowOverlap="1" wp14:anchorId="03EC2D91" wp14:editId="38AD86A8">
                <wp:simplePos x="0" y="0"/>
                <wp:positionH relativeFrom="column">
                  <wp:posOffset>5365750</wp:posOffset>
                </wp:positionH>
                <wp:positionV relativeFrom="paragraph">
                  <wp:posOffset>-2324736</wp:posOffset>
                </wp:positionV>
                <wp:extent cx="918845" cy="0"/>
                <wp:effectExtent l="0" t="0" r="14605" b="0"/>
                <wp:wrapNone/>
                <wp:docPr id="125"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845"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55C5E" id="Connecteur droit 24" o:spid="_x0000_s1026" style="position:absolute;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5pt,-183.05pt" to="494.85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" strokecolor="white" strokeweight=".12pt"/>
            </w:pict>
          </mc:Fallback>
        </mc:AlternateContent>
      </w:r>
      <w:r w:rsidR="002C5EFF">
        <w:rPr>
          <w:rFonts w:ascii="Times New Roman" w:hAnsi="Times New Roman" w:cs="Times New Roman"/>
          <w:noProof/>
          <w:sz w:val="16"/>
          <w:szCs w:val="16"/>
          <w:lang w:eastAsia="fr-FR"/>
        </w:rPr>
        <mc:AlternateContent>
          <mc:Choice Requires="wps">
            <w:drawing>
              <wp:anchor distT="4294967295" distB="4294967295" distL="114300" distR="114300" simplePos="0" relativeHeight="251548672" behindDoc="1" locked="0" layoutInCell="1" allowOverlap="1" wp14:anchorId="169CD431" wp14:editId="4F65AC41">
                <wp:simplePos x="0" y="0"/>
                <wp:positionH relativeFrom="column">
                  <wp:posOffset>1496695</wp:posOffset>
                </wp:positionH>
                <wp:positionV relativeFrom="paragraph">
                  <wp:posOffset>-2000251</wp:posOffset>
                </wp:positionV>
                <wp:extent cx="441960" cy="0"/>
                <wp:effectExtent l="0" t="0" r="15240" b="0"/>
                <wp:wrapNone/>
                <wp:docPr id="114"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9ADF6" id="Connecteur droit 23" o:spid="_x0000_s1026" style="position:absolute;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85pt,-157.5pt" to="152.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" strokecolor="white" strokeweight=".12pt"/>
            </w:pict>
          </mc:Fallback>
        </mc:AlternateContent>
      </w:r>
      <w:r w:rsidR="002C5EFF">
        <w:rPr>
          <w:rFonts w:ascii="Times New Roman" w:hAnsi="Times New Roman" w:cs="Times New Roman"/>
          <w:noProof/>
          <w:sz w:val="16"/>
          <w:szCs w:val="16"/>
          <w:lang w:eastAsia="fr-FR"/>
        </w:rPr>
        <mc:AlternateContent>
          <mc:Choice Requires="wps">
            <w:drawing>
              <wp:anchor distT="4294967295" distB="4294967295" distL="114300" distR="114300" simplePos="0" relativeHeight="251549696" behindDoc="1" locked="0" layoutInCell="1" allowOverlap="1" wp14:anchorId="19851E57" wp14:editId="2F2654F1">
                <wp:simplePos x="0" y="0"/>
                <wp:positionH relativeFrom="column">
                  <wp:posOffset>1957070</wp:posOffset>
                </wp:positionH>
                <wp:positionV relativeFrom="paragraph">
                  <wp:posOffset>-2000251</wp:posOffset>
                </wp:positionV>
                <wp:extent cx="490855" cy="0"/>
                <wp:effectExtent l="0" t="0" r="4445" b="0"/>
                <wp:wrapNone/>
                <wp:docPr id="113"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5CB1D" id="Connecteur droit 22" o:spid="_x0000_s1026" style="position:absolute;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1pt,-157.5pt" to="192.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" strokecolor="white" strokeweight=".12pt"/>
            </w:pict>
          </mc:Fallback>
        </mc:AlternateContent>
      </w:r>
      <w:r w:rsidR="002C5EFF">
        <w:rPr>
          <w:rFonts w:ascii="Times New Roman" w:hAnsi="Times New Roman" w:cs="Times New Roman"/>
          <w:noProof/>
          <w:sz w:val="16"/>
          <w:szCs w:val="16"/>
          <w:lang w:eastAsia="fr-FR"/>
        </w:rPr>
        <mc:AlternateContent>
          <mc:Choice Requires="wps">
            <w:drawing>
              <wp:anchor distT="4294967295" distB="4294967295" distL="114300" distR="114300" simplePos="0" relativeHeight="251550720" behindDoc="1" locked="0" layoutInCell="1" allowOverlap="1" wp14:anchorId="22E9AE79" wp14:editId="133A844D">
                <wp:simplePos x="0" y="0"/>
                <wp:positionH relativeFrom="column">
                  <wp:posOffset>2484755</wp:posOffset>
                </wp:positionH>
                <wp:positionV relativeFrom="paragraph">
                  <wp:posOffset>-2000251</wp:posOffset>
                </wp:positionV>
                <wp:extent cx="862330" cy="0"/>
                <wp:effectExtent l="0" t="0" r="13970" b="0"/>
                <wp:wrapNone/>
                <wp:docPr id="85"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330"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C3F0F" id="Connecteur droit 21"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65pt,-157.5pt" to="263.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" strokecolor="white" strokeweight=".12pt"/>
            </w:pict>
          </mc:Fallback>
        </mc:AlternateContent>
      </w:r>
      <w:r w:rsidR="002C5EFF">
        <w:rPr>
          <w:rFonts w:ascii="Times New Roman" w:hAnsi="Times New Roman" w:cs="Times New Roman"/>
          <w:noProof/>
          <w:sz w:val="16"/>
          <w:szCs w:val="16"/>
          <w:lang w:eastAsia="fr-FR"/>
        </w:rPr>
        <mc:AlternateContent>
          <mc:Choice Requires="wps">
            <w:drawing>
              <wp:anchor distT="4294967295" distB="4294967295" distL="114300" distR="114300" simplePos="0" relativeHeight="251551744" behindDoc="1" locked="0" layoutInCell="1" allowOverlap="1" wp14:anchorId="79D71AA4" wp14:editId="32A04BBA">
                <wp:simplePos x="0" y="0"/>
                <wp:positionH relativeFrom="column">
                  <wp:posOffset>3383915</wp:posOffset>
                </wp:positionH>
                <wp:positionV relativeFrom="paragraph">
                  <wp:posOffset>-2000251</wp:posOffset>
                </wp:positionV>
                <wp:extent cx="918845" cy="0"/>
                <wp:effectExtent l="0" t="0" r="14605" b="0"/>
                <wp:wrapNone/>
                <wp:docPr id="84"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845"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ABB1F" id="Connecteur droit 20"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45pt,-157.5pt" to="338.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" strokecolor="white" strokeweight=".12pt"/>
            </w:pict>
          </mc:Fallback>
        </mc:AlternateContent>
      </w:r>
      <w:r w:rsidR="002C5EFF">
        <w:rPr>
          <w:rFonts w:ascii="Times New Roman" w:hAnsi="Times New Roman" w:cs="Times New Roman"/>
          <w:noProof/>
          <w:sz w:val="16"/>
          <w:szCs w:val="16"/>
          <w:lang w:eastAsia="fr-FR"/>
        </w:rPr>
        <mc:AlternateContent>
          <mc:Choice Requires="wps">
            <w:drawing>
              <wp:anchor distT="4294967295" distB="4294967295" distL="114300" distR="114300" simplePos="0" relativeHeight="251552768" behindDoc="1" locked="0" layoutInCell="1" allowOverlap="1" wp14:anchorId="4C25F8BE" wp14:editId="786D01A9">
                <wp:simplePos x="0" y="0"/>
                <wp:positionH relativeFrom="column">
                  <wp:posOffset>4339590</wp:posOffset>
                </wp:positionH>
                <wp:positionV relativeFrom="paragraph">
                  <wp:posOffset>-2000251</wp:posOffset>
                </wp:positionV>
                <wp:extent cx="989330" cy="0"/>
                <wp:effectExtent l="0" t="0" r="1270" b="0"/>
                <wp:wrapNone/>
                <wp:docPr id="76"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CD555" id="Connecteur droit 19"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7pt,-157.5pt" to="419.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kHAIAADUEAAAOAAAAZHJzL2Uyb0RvYy54bWysU8GO2jAQvVfqP1i+QxLIsh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" strokecolor="white" strokeweight=".12pt"/>
            </w:pict>
          </mc:Fallback>
        </mc:AlternateContent>
      </w:r>
      <w:r w:rsidR="002C5EFF">
        <w:rPr>
          <w:rFonts w:ascii="Times New Roman" w:hAnsi="Times New Roman" w:cs="Times New Roman"/>
          <w:noProof/>
          <w:sz w:val="16"/>
          <w:szCs w:val="16"/>
          <w:lang w:eastAsia="fr-FR"/>
        </w:rPr>
        <mc:AlternateContent>
          <mc:Choice Requires="wps">
            <w:drawing>
              <wp:anchor distT="4294967295" distB="4294967295" distL="114300" distR="114300" simplePos="0" relativeHeight="251553792" behindDoc="1" locked="0" layoutInCell="1" allowOverlap="1" wp14:anchorId="67C471E7" wp14:editId="197FFE39">
                <wp:simplePos x="0" y="0"/>
                <wp:positionH relativeFrom="column">
                  <wp:posOffset>5365750</wp:posOffset>
                </wp:positionH>
                <wp:positionV relativeFrom="paragraph">
                  <wp:posOffset>-2000251</wp:posOffset>
                </wp:positionV>
                <wp:extent cx="918845" cy="0"/>
                <wp:effectExtent l="0" t="0" r="14605" b="0"/>
                <wp:wrapNone/>
                <wp:docPr id="69"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845"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0A046" id="Connecteur droit 18"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5pt,-157.5pt" to="494.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" strokecolor="white" strokeweight=".12pt"/>
            </w:pict>
          </mc:Fallback>
        </mc:AlternateContent>
      </w:r>
    </w:p>
    <w:p w14:paraId="26D1E4D6" w14:textId="184ECC5E" w:rsidR="002760B2" w:rsidRPr="002B005F" w:rsidRDefault="002760B2" w:rsidP="00064593">
      <w:pPr>
        <w:tabs>
          <w:tab w:val="left" w:pos="0"/>
        </w:tabs>
        <w:spacing w:line="300" w:lineRule="auto"/>
        <w:ind w:firstLine="709"/>
        <w:rPr>
          <w:rFonts w:ascii="Times New Roman" w:eastAsia="Times New Roman" w:hAnsi="Times New Roman" w:cs="Times New Roman"/>
          <w:sz w:val="24"/>
          <w:szCs w:val="24"/>
        </w:rPr>
      </w:pPr>
      <w:r w:rsidRPr="002B005F">
        <w:rPr>
          <w:rFonts w:ascii="Times New Roman" w:eastAsia="Times New Roman" w:hAnsi="Times New Roman" w:cs="Times New Roman"/>
          <w:sz w:val="24"/>
          <w:szCs w:val="24"/>
        </w:rPr>
        <w:t>La région et la nature des institutions sont les variables de contrôle sélectionnées pour l'analyse par classement moyen, étant les variables de contrôle qui ont les résultats les plus significatifs, et parce que ces deux variables sont les plus essentielles en faisant la différence entre les techniques de gestion des risques. Comme on peut le voir a</w:t>
      </w:r>
      <w:r w:rsidR="00363334" w:rsidRPr="002B005F">
        <w:rPr>
          <w:rFonts w:ascii="Times New Roman" w:eastAsia="Times New Roman" w:hAnsi="Times New Roman" w:cs="Times New Roman"/>
          <w:sz w:val="24"/>
          <w:szCs w:val="24"/>
        </w:rPr>
        <w:t>u tableau ci-dessus, la « région »</w:t>
      </w:r>
      <w:r w:rsidRPr="002B005F">
        <w:rPr>
          <w:rFonts w:ascii="Times New Roman" w:eastAsia="Times New Roman" w:hAnsi="Times New Roman" w:cs="Times New Roman"/>
          <w:sz w:val="24"/>
          <w:szCs w:val="24"/>
        </w:rPr>
        <w:t xml:space="preserve"> comporte </w:t>
      </w:r>
      <w:r w:rsidR="00AC4110">
        <w:rPr>
          <w:rFonts w:ascii="Times New Roman" w:eastAsia="Times New Roman" w:hAnsi="Times New Roman" w:cs="Times New Roman"/>
          <w:sz w:val="24"/>
          <w:szCs w:val="24"/>
        </w:rPr>
        <w:t>quatre</w:t>
      </w:r>
      <w:r w:rsidRPr="002B005F">
        <w:rPr>
          <w:rFonts w:ascii="Times New Roman" w:eastAsia="Times New Roman" w:hAnsi="Times New Roman" w:cs="Times New Roman"/>
          <w:sz w:val="24"/>
          <w:szCs w:val="24"/>
        </w:rPr>
        <w:t xml:space="preserve"> techniques importante</w:t>
      </w:r>
      <w:r w:rsidR="00FE05B9" w:rsidRPr="002B005F">
        <w:rPr>
          <w:rFonts w:ascii="Times New Roman" w:eastAsia="Times New Roman" w:hAnsi="Times New Roman" w:cs="Times New Roman"/>
          <w:sz w:val="24"/>
          <w:szCs w:val="24"/>
        </w:rPr>
        <w:t>s de gestion des risques et la « nature de l'IF »</w:t>
      </w:r>
      <w:r w:rsidRPr="002B005F">
        <w:rPr>
          <w:rFonts w:ascii="Times New Roman" w:eastAsia="Times New Roman" w:hAnsi="Times New Roman" w:cs="Times New Roman"/>
          <w:sz w:val="24"/>
          <w:szCs w:val="24"/>
        </w:rPr>
        <w:t xml:space="preserve"> comporte 3 techniques importantes. Ainsi, ils sont les variables les plus significatives par rapport aux autres, ce qui justifie pourquoi ils devraient être analysés davantage.</w:t>
      </w:r>
    </w:p>
    <w:p w14:paraId="5D44B65D" w14:textId="77777777" w:rsidR="002D0485" w:rsidRPr="002B005F" w:rsidRDefault="002D0485" w:rsidP="00064593">
      <w:pPr>
        <w:tabs>
          <w:tab w:val="left" w:pos="0"/>
        </w:tabs>
        <w:spacing w:before="120" w:line="300" w:lineRule="auto"/>
        <w:ind w:firstLine="709"/>
        <w:rPr>
          <w:rFonts w:ascii="Times New Roman" w:eastAsia="Times New Roman" w:hAnsi="Times New Roman" w:cs="Times New Roman"/>
          <w:sz w:val="24"/>
          <w:szCs w:val="24"/>
        </w:rPr>
      </w:pPr>
    </w:p>
    <w:p w14:paraId="3014F8B6" w14:textId="26455B52" w:rsidR="000C1CC2" w:rsidRPr="002B005F" w:rsidRDefault="000C1CC2" w:rsidP="00D66FFE">
      <w:pPr>
        <w:pStyle w:val="Lgende"/>
        <w:tabs>
          <w:tab w:val="left" w:pos="0"/>
        </w:tabs>
        <w:spacing w:before="100" w:beforeAutospacing="1" w:after="120" w:line="300" w:lineRule="auto"/>
        <w:jc w:val="center"/>
        <w:rPr>
          <w:rFonts w:ascii="Times New Roman" w:hAnsi="Times New Roman" w:cs="Times New Roman"/>
          <w:color w:val="auto"/>
          <w:spacing w:val="-4"/>
          <w:sz w:val="24"/>
          <w:szCs w:val="24"/>
        </w:rPr>
      </w:pPr>
      <w:bookmarkStart w:id="1749" w:name="_Toc115556108"/>
      <w:r w:rsidRPr="002B005F">
        <w:rPr>
          <w:rFonts w:ascii="Times New Roman" w:hAnsi="Times New Roman" w:cs="Times New Roman"/>
          <w:color w:val="auto"/>
          <w:spacing w:val="-4"/>
          <w:sz w:val="24"/>
          <w:szCs w:val="24"/>
        </w:rPr>
        <w:t xml:space="preserve">Tableau </w:t>
      </w:r>
      <w:r w:rsidR="00B544E5" w:rsidRPr="002B005F">
        <w:rPr>
          <w:rFonts w:ascii="Times New Roman" w:hAnsi="Times New Roman" w:cs="Times New Roman"/>
          <w:color w:val="auto"/>
          <w:spacing w:val="-4"/>
          <w:sz w:val="24"/>
          <w:szCs w:val="24"/>
        </w:rPr>
        <w:fldChar w:fldCharType="begin"/>
      </w:r>
      <w:r w:rsidRPr="002B005F">
        <w:rPr>
          <w:rFonts w:ascii="Times New Roman" w:hAnsi="Times New Roman" w:cs="Times New Roman"/>
          <w:color w:val="auto"/>
          <w:spacing w:val="-4"/>
          <w:sz w:val="24"/>
          <w:szCs w:val="24"/>
        </w:rPr>
        <w:instrText xml:space="preserve"> SEQ Tableau \* ARABIC </w:instrText>
      </w:r>
      <w:r w:rsidR="00B544E5" w:rsidRPr="002B005F">
        <w:rPr>
          <w:rFonts w:ascii="Times New Roman" w:hAnsi="Times New Roman" w:cs="Times New Roman"/>
          <w:color w:val="auto"/>
          <w:spacing w:val="-4"/>
          <w:sz w:val="24"/>
          <w:szCs w:val="24"/>
        </w:rPr>
        <w:fldChar w:fldCharType="separate"/>
      </w:r>
      <w:r w:rsidR="00666FC7">
        <w:rPr>
          <w:rFonts w:ascii="Times New Roman" w:hAnsi="Times New Roman" w:cs="Times New Roman"/>
          <w:noProof/>
          <w:color w:val="auto"/>
          <w:spacing w:val="-4"/>
          <w:sz w:val="24"/>
          <w:szCs w:val="24"/>
        </w:rPr>
        <w:t>40</w:t>
      </w:r>
      <w:r w:rsidR="00B544E5" w:rsidRPr="002B005F">
        <w:rPr>
          <w:rFonts w:ascii="Times New Roman" w:hAnsi="Times New Roman" w:cs="Times New Roman"/>
          <w:color w:val="auto"/>
          <w:spacing w:val="-4"/>
          <w:sz w:val="24"/>
          <w:szCs w:val="24"/>
        </w:rPr>
        <w:fldChar w:fldCharType="end"/>
      </w:r>
      <w:r w:rsidR="008E3979" w:rsidRPr="002B005F">
        <w:rPr>
          <w:rFonts w:ascii="Times New Roman" w:hAnsi="Times New Roman" w:cs="Times New Roman"/>
          <w:color w:val="auto"/>
          <w:spacing w:val="-4"/>
          <w:sz w:val="24"/>
          <w:szCs w:val="24"/>
        </w:rPr>
        <w:t>-</w:t>
      </w:r>
      <w:r w:rsidRPr="002B005F">
        <w:rPr>
          <w:rFonts w:ascii="Times New Roman" w:hAnsi="Times New Roman" w:cs="Times New Roman"/>
          <w:color w:val="auto"/>
          <w:spacing w:val="-4"/>
          <w:sz w:val="24"/>
          <w:szCs w:val="24"/>
        </w:rPr>
        <w:t xml:space="preserve"> Classement de moyennes du test K-W pour l’évaluation de risques par région</w:t>
      </w:r>
      <w:bookmarkEnd w:id="1749"/>
    </w:p>
    <w:tbl>
      <w:tblPr>
        <w:tblStyle w:val="Grilledutableau"/>
        <w:tblW w:w="9072" w:type="dxa"/>
        <w:jc w:val="center"/>
        <w:tblLayout w:type="fixed"/>
        <w:tblCellMar>
          <w:top w:w="57" w:type="dxa"/>
          <w:left w:w="28" w:type="dxa"/>
          <w:bottom w:w="57" w:type="dxa"/>
          <w:right w:w="28" w:type="dxa"/>
        </w:tblCellMar>
        <w:tblLook w:val="04A0" w:firstRow="1" w:lastRow="0" w:firstColumn="1" w:lastColumn="0" w:noHBand="0" w:noVBand="1"/>
      </w:tblPr>
      <w:tblGrid>
        <w:gridCol w:w="2268"/>
        <w:gridCol w:w="1701"/>
        <w:gridCol w:w="1701"/>
        <w:gridCol w:w="1701"/>
        <w:gridCol w:w="1701"/>
      </w:tblGrid>
      <w:tr w:rsidR="002760B2" w:rsidRPr="002B005F" w14:paraId="4EADAA08" w14:textId="77777777" w:rsidTr="00701AAF">
        <w:trPr>
          <w:trHeight w:val="680"/>
          <w:jc w:val="center"/>
        </w:trPr>
        <w:tc>
          <w:tcPr>
            <w:tcW w:w="2268" w:type="dxa"/>
            <w:vAlign w:val="center"/>
          </w:tcPr>
          <w:p w14:paraId="2F961950" w14:textId="77777777" w:rsidR="002760B2" w:rsidRPr="002B005F" w:rsidRDefault="002D0485" w:rsidP="00FD236C">
            <w:pPr>
              <w:tabs>
                <w:tab w:val="left" w:pos="0"/>
              </w:tabs>
              <w:jc w:val="center"/>
              <w:rPr>
                <w:rFonts w:ascii="Times New Roman" w:hAnsi="Times New Roman" w:cs="Times New Roman"/>
                <w:b/>
                <w:bCs/>
              </w:rPr>
            </w:pPr>
            <w:r w:rsidRPr="002B005F">
              <w:rPr>
                <w:rFonts w:ascii="Times New Roman" w:hAnsi="Times New Roman" w:cs="Times New Roman"/>
                <w:b/>
                <w:bCs/>
              </w:rPr>
              <w:t>Région</w:t>
            </w:r>
          </w:p>
        </w:tc>
        <w:tc>
          <w:tcPr>
            <w:tcW w:w="1701" w:type="dxa"/>
            <w:vAlign w:val="center"/>
          </w:tcPr>
          <w:p w14:paraId="2C55D892" w14:textId="77777777" w:rsidR="002760B2" w:rsidRPr="002B005F" w:rsidRDefault="002760B2" w:rsidP="00FD236C">
            <w:pPr>
              <w:tabs>
                <w:tab w:val="left" w:pos="0"/>
              </w:tabs>
              <w:jc w:val="center"/>
              <w:rPr>
                <w:rFonts w:ascii="Times New Roman" w:hAnsi="Times New Roman" w:cs="Times New Roman"/>
                <w:b/>
                <w:bCs/>
              </w:rPr>
            </w:pPr>
            <w:r w:rsidRPr="002B005F">
              <w:rPr>
                <w:rFonts w:ascii="Times New Roman" w:hAnsi="Times New Roman" w:cs="Times New Roman"/>
                <w:b/>
                <w:bCs/>
              </w:rPr>
              <w:t>GAP</w:t>
            </w:r>
          </w:p>
        </w:tc>
        <w:tc>
          <w:tcPr>
            <w:tcW w:w="1701" w:type="dxa"/>
            <w:vAlign w:val="center"/>
          </w:tcPr>
          <w:p w14:paraId="74622FF4" w14:textId="77777777" w:rsidR="002760B2" w:rsidRPr="002B005F" w:rsidRDefault="002760B2" w:rsidP="00FD236C">
            <w:pPr>
              <w:tabs>
                <w:tab w:val="left" w:pos="0"/>
              </w:tabs>
              <w:jc w:val="center"/>
              <w:rPr>
                <w:rFonts w:ascii="Times New Roman" w:hAnsi="Times New Roman" w:cs="Times New Roman"/>
                <w:b/>
                <w:bCs/>
              </w:rPr>
            </w:pPr>
            <w:r w:rsidRPr="002B005F">
              <w:rPr>
                <w:rFonts w:ascii="Times New Roman" w:hAnsi="Times New Roman" w:cs="Times New Roman"/>
                <w:b/>
                <w:bCs/>
              </w:rPr>
              <w:t>VAR</w:t>
            </w:r>
          </w:p>
        </w:tc>
        <w:tc>
          <w:tcPr>
            <w:tcW w:w="1701" w:type="dxa"/>
            <w:vAlign w:val="center"/>
          </w:tcPr>
          <w:p w14:paraId="75D69873" w14:textId="77777777" w:rsidR="002760B2" w:rsidRPr="002B005F" w:rsidRDefault="002760B2" w:rsidP="00FD236C">
            <w:pPr>
              <w:tabs>
                <w:tab w:val="left" w:pos="0"/>
              </w:tabs>
              <w:jc w:val="center"/>
              <w:rPr>
                <w:rFonts w:ascii="Times New Roman" w:hAnsi="Times New Roman" w:cs="Times New Roman"/>
                <w:b/>
                <w:bCs/>
              </w:rPr>
            </w:pPr>
            <w:r w:rsidRPr="002B005F">
              <w:rPr>
                <w:rFonts w:ascii="Times New Roman" w:hAnsi="Times New Roman" w:cs="Times New Roman"/>
                <w:b/>
                <w:bCs/>
              </w:rPr>
              <w:t>RAROC</w:t>
            </w:r>
          </w:p>
        </w:tc>
        <w:tc>
          <w:tcPr>
            <w:tcW w:w="1701" w:type="dxa"/>
            <w:vAlign w:val="center"/>
          </w:tcPr>
          <w:p w14:paraId="44A37AE0" w14:textId="77777777" w:rsidR="002760B2" w:rsidRPr="002B005F" w:rsidRDefault="002760B2" w:rsidP="00FD236C">
            <w:pPr>
              <w:tabs>
                <w:tab w:val="left" w:pos="0"/>
              </w:tabs>
              <w:jc w:val="center"/>
              <w:rPr>
                <w:rFonts w:ascii="Times New Roman" w:hAnsi="Times New Roman" w:cs="Times New Roman"/>
                <w:b/>
                <w:bCs/>
              </w:rPr>
            </w:pPr>
            <w:r w:rsidRPr="002B005F">
              <w:rPr>
                <w:rFonts w:ascii="Times New Roman" w:hAnsi="Times New Roman" w:cs="Times New Roman"/>
                <w:b/>
                <w:bCs/>
              </w:rPr>
              <w:t>Notation de crédit</w:t>
            </w:r>
          </w:p>
        </w:tc>
      </w:tr>
      <w:tr w:rsidR="002760B2" w:rsidRPr="002B005F" w14:paraId="1839EE31" w14:textId="77777777" w:rsidTr="00701AAF">
        <w:trPr>
          <w:trHeight w:val="1928"/>
          <w:jc w:val="center"/>
        </w:trPr>
        <w:tc>
          <w:tcPr>
            <w:tcW w:w="2268" w:type="dxa"/>
          </w:tcPr>
          <w:p w14:paraId="7760D9C2" w14:textId="77777777" w:rsidR="002760B2" w:rsidRPr="002B005F" w:rsidRDefault="00FD236C" w:rsidP="00701AAF">
            <w:pPr>
              <w:tabs>
                <w:tab w:val="left" w:pos="0"/>
              </w:tabs>
              <w:spacing w:before="60"/>
              <w:ind w:left="113"/>
              <w:jc w:val="left"/>
              <w:rPr>
                <w:rFonts w:ascii="Times New Roman" w:hAnsi="Times New Roman" w:cs="Times New Roman"/>
              </w:rPr>
            </w:pPr>
            <w:r w:rsidRPr="002B005F">
              <w:rPr>
                <w:rFonts w:ascii="Times New Roman" w:hAnsi="Times New Roman" w:cs="Times New Roman"/>
                <w:b/>
                <w:bCs/>
              </w:rPr>
              <w:t xml:space="preserve">Région               </w:t>
            </w:r>
            <w:r w:rsidR="00701AAF" w:rsidRPr="002B005F">
              <w:rPr>
                <w:rFonts w:ascii="Times New Roman" w:hAnsi="Times New Roman" w:cs="Times New Roman"/>
                <w:b/>
                <w:bCs/>
              </w:rPr>
              <w:t xml:space="preserve">   </w:t>
            </w:r>
            <w:r w:rsidRPr="002B005F">
              <w:rPr>
                <w:rFonts w:ascii="Times New Roman" w:hAnsi="Times New Roman" w:cs="Times New Roman"/>
                <w:b/>
                <w:bCs/>
              </w:rPr>
              <w:t xml:space="preserve">  </w:t>
            </w:r>
            <w:r w:rsidR="002760B2" w:rsidRPr="002B005F">
              <w:rPr>
                <w:rFonts w:ascii="Times New Roman" w:hAnsi="Times New Roman" w:cs="Times New Roman"/>
                <w:b/>
                <w:bCs/>
              </w:rPr>
              <w:t>N</w:t>
            </w:r>
          </w:p>
          <w:p w14:paraId="598ED40C" w14:textId="77777777" w:rsidR="002760B2" w:rsidRPr="002B005F" w:rsidRDefault="00FD236C" w:rsidP="00701AAF">
            <w:pPr>
              <w:tabs>
                <w:tab w:val="left" w:pos="0"/>
              </w:tabs>
              <w:spacing w:before="60"/>
              <w:ind w:left="227"/>
              <w:jc w:val="left"/>
              <w:rPr>
                <w:rFonts w:ascii="Times New Roman" w:hAnsi="Times New Roman" w:cs="Times New Roman"/>
              </w:rPr>
            </w:pPr>
            <w:r w:rsidRPr="002B005F">
              <w:rPr>
                <w:rFonts w:ascii="Times New Roman" w:hAnsi="Times New Roman" w:cs="Times New Roman"/>
              </w:rPr>
              <w:t xml:space="preserve">Afrique             </w:t>
            </w:r>
            <w:r w:rsidR="00701AAF" w:rsidRPr="002B005F">
              <w:rPr>
                <w:rFonts w:ascii="Times New Roman" w:hAnsi="Times New Roman" w:cs="Times New Roman"/>
              </w:rPr>
              <w:t xml:space="preserve">   </w:t>
            </w:r>
            <w:r w:rsidRPr="002B005F">
              <w:rPr>
                <w:rFonts w:ascii="Times New Roman" w:hAnsi="Times New Roman" w:cs="Times New Roman"/>
              </w:rPr>
              <w:t xml:space="preserve"> </w:t>
            </w:r>
            <w:r w:rsidR="002760B2" w:rsidRPr="002B005F">
              <w:rPr>
                <w:rFonts w:ascii="Times New Roman" w:hAnsi="Times New Roman" w:cs="Times New Roman"/>
              </w:rPr>
              <w:t>30</w:t>
            </w:r>
          </w:p>
          <w:p w14:paraId="5769B1D7" w14:textId="77777777" w:rsidR="002760B2" w:rsidRPr="002B005F" w:rsidRDefault="00FD236C" w:rsidP="00701AAF">
            <w:pPr>
              <w:tabs>
                <w:tab w:val="left" w:pos="0"/>
              </w:tabs>
              <w:spacing w:before="60"/>
              <w:ind w:left="227"/>
              <w:jc w:val="left"/>
              <w:rPr>
                <w:rFonts w:ascii="Times New Roman" w:hAnsi="Times New Roman" w:cs="Times New Roman"/>
              </w:rPr>
            </w:pPr>
            <w:r w:rsidRPr="002B005F">
              <w:rPr>
                <w:rFonts w:ascii="Times New Roman" w:hAnsi="Times New Roman" w:cs="Times New Roman"/>
              </w:rPr>
              <w:t xml:space="preserve">Moyen-Orient   </w:t>
            </w:r>
            <w:r w:rsidR="00701AAF" w:rsidRPr="002B005F">
              <w:rPr>
                <w:rFonts w:ascii="Times New Roman" w:hAnsi="Times New Roman" w:cs="Times New Roman"/>
              </w:rPr>
              <w:t xml:space="preserve">   </w:t>
            </w:r>
            <w:r w:rsidR="002760B2" w:rsidRPr="002B005F">
              <w:rPr>
                <w:rFonts w:ascii="Times New Roman" w:hAnsi="Times New Roman" w:cs="Times New Roman"/>
              </w:rPr>
              <w:t>29</w:t>
            </w:r>
          </w:p>
          <w:p w14:paraId="0CD86B03" w14:textId="77777777" w:rsidR="002760B2" w:rsidRPr="002B005F" w:rsidRDefault="00FD236C" w:rsidP="00701AAF">
            <w:pPr>
              <w:tabs>
                <w:tab w:val="left" w:pos="0"/>
              </w:tabs>
              <w:spacing w:before="60"/>
              <w:ind w:left="227"/>
              <w:jc w:val="left"/>
              <w:rPr>
                <w:rFonts w:ascii="Times New Roman" w:hAnsi="Times New Roman" w:cs="Times New Roman"/>
              </w:rPr>
            </w:pPr>
            <w:r w:rsidRPr="002B005F">
              <w:rPr>
                <w:rFonts w:ascii="Times New Roman" w:hAnsi="Times New Roman" w:cs="Times New Roman"/>
              </w:rPr>
              <w:t xml:space="preserve">Europe            </w:t>
            </w:r>
            <w:r w:rsidR="00701AAF" w:rsidRPr="002B005F">
              <w:rPr>
                <w:rFonts w:ascii="Times New Roman" w:hAnsi="Times New Roman" w:cs="Times New Roman"/>
              </w:rPr>
              <w:t xml:space="preserve">   </w:t>
            </w:r>
            <w:r w:rsidRPr="002B005F">
              <w:rPr>
                <w:rFonts w:ascii="Times New Roman" w:hAnsi="Times New Roman" w:cs="Times New Roman"/>
              </w:rPr>
              <w:t xml:space="preserve">    </w:t>
            </w:r>
            <w:r w:rsidR="002760B2" w:rsidRPr="002B005F">
              <w:rPr>
                <w:rFonts w:ascii="Times New Roman" w:hAnsi="Times New Roman" w:cs="Times New Roman"/>
              </w:rPr>
              <w:t>7</w:t>
            </w:r>
          </w:p>
          <w:p w14:paraId="658E06C3" w14:textId="77777777" w:rsidR="002760B2" w:rsidRPr="002B005F" w:rsidRDefault="002760B2" w:rsidP="00701AAF">
            <w:pPr>
              <w:tabs>
                <w:tab w:val="left" w:pos="0"/>
              </w:tabs>
              <w:spacing w:before="60"/>
              <w:ind w:left="227"/>
              <w:jc w:val="left"/>
              <w:rPr>
                <w:rFonts w:ascii="Times New Roman" w:hAnsi="Times New Roman" w:cs="Times New Roman"/>
              </w:rPr>
            </w:pPr>
            <w:r w:rsidRPr="002B005F">
              <w:rPr>
                <w:rFonts w:ascii="Times New Roman" w:hAnsi="Times New Roman" w:cs="Times New Roman"/>
              </w:rPr>
              <w:t>Autres</w:t>
            </w:r>
            <w:r w:rsidR="00FD236C" w:rsidRPr="002B005F">
              <w:rPr>
                <w:rFonts w:ascii="Times New Roman" w:hAnsi="Times New Roman" w:cs="Times New Roman"/>
              </w:rPr>
              <w:t xml:space="preserve">             </w:t>
            </w:r>
            <w:r w:rsidR="00701AAF" w:rsidRPr="002B005F">
              <w:rPr>
                <w:rFonts w:ascii="Times New Roman" w:hAnsi="Times New Roman" w:cs="Times New Roman"/>
              </w:rPr>
              <w:t xml:space="preserve">   </w:t>
            </w:r>
            <w:r w:rsidR="00FD236C" w:rsidRPr="002B005F">
              <w:rPr>
                <w:rFonts w:ascii="Times New Roman" w:hAnsi="Times New Roman" w:cs="Times New Roman"/>
              </w:rPr>
              <w:t xml:space="preserve">  </w:t>
            </w:r>
            <w:r w:rsidRPr="002B005F">
              <w:rPr>
                <w:rFonts w:ascii="Times New Roman" w:hAnsi="Times New Roman" w:cs="Times New Roman"/>
              </w:rPr>
              <w:t>13</w:t>
            </w:r>
          </w:p>
          <w:p w14:paraId="14A65B48" w14:textId="77777777" w:rsidR="002760B2" w:rsidRPr="002B005F" w:rsidRDefault="00FD236C" w:rsidP="00701AAF">
            <w:pPr>
              <w:tabs>
                <w:tab w:val="left" w:pos="286"/>
              </w:tabs>
              <w:spacing w:before="60"/>
              <w:ind w:left="1021"/>
              <w:jc w:val="left"/>
              <w:rPr>
                <w:rFonts w:ascii="Times New Roman" w:hAnsi="Times New Roman" w:cs="Times New Roman"/>
                <w:b/>
                <w:bCs/>
              </w:rPr>
            </w:pPr>
            <w:r w:rsidRPr="002B005F">
              <w:rPr>
                <w:rFonts w:ascii="Times New Roman" w:hAnsi="Times New Roman" w:cs="Times New Roman"/>
                <w:b/>
                <w:bCs/>
              </w:rPr>
              <w:t xml:space="preserve">Total  </w:t>
            </w:r>
            <w:r w:rsidR="00701AAF" w:rsidRPr="002B005F">
              <w:rPr>
                <w:rFonts w:ascii="Times New Roman" w:hAnsi="Times New Roman" w:cs="Times New Roman"/>
                <w:b/>
                <w:bCs/>
              </w:rPr>
              <w:t xml:space="preserve">  </w:t>
            </w:r>
            <w:r w:rsidRPr="002B005F">
              <w:rPr>
                <w:rFonts w:ascii="Times New Roman" w:hAnsi="Times New Roman" w:cs="Times New Roman"/>
                <w:b/>
                <w:bCs/>
              </w:rPr>
              <w:t xml:space="preserve"> </w:t>
            </w:r>
            <w:r w:rsidR="002760B2" w:rsidRPr="002B005F">
              <w:rPr>
                <w:rFonts w:ascii="Times New Roman" w:hAnsi="Times New Roman" w:cs="Times New Roman"/>
                <w:b/>
                <w:bCs/>
              </w:rPr>
              <w:t>79</w:t>
            </w:r>
          </w:p>
        </w:tc>
        <w:tc>
          <w:tcPr>
            <w:tcW w:w="1701" w:type="dxa"/>
          </w:tcPr>
          <w:p w14:paraId="4D0896F9" w14:textId="77777777" w:rsidR="002760B2" w:rsidRPr="002B005F" w:rsidRDefault="00FD236C" w:rsidP="00837D02">
            <w:pPr>
              <w:tabs>
                <w:tab w:val="left" w:pos="0"/>
              </w:tabs>
              <w:spacing w:before="60"/>
              <w:ind w:left="284"/>
              <w:jc w:val="left"/>
              <w:rPr>
                <w:rFonts w:ascii="Times New Roman" w:hAnsi="Times New Roman" w:cs="Times New Roman"/>
                <w:b/>
                <w:bCs/>
              </w:rPr>
            </w:pPr>
            <w:r w:rsidRPr="002B005F">
              <w:rPr>
                <w:rFonts w:ascii="Times New Roman" w:hAnsi="Times New Roman" w:cs="Times New Roman"/>
                <w:b/>
                <w:bCs/>
              </w:rPr>
              <w:t xml:space="preserve">MP </w:t>
            </w:r>
            <w:r w:rsidR="002760B2" w:rsidRPr="002B005F">
              <w:rPr>
                <w:rFonts w:ascii="Times New Roman" w:hAnsi="Times New Roman" w:cs="Times New Roman"/>
                <w:b/>
                <w:bCs/>
              </w:rPr>
              <w:t xml:space="preserve">  rang</w:t>
            </w:r>
          </w:p>
          <w:p w14:paraId="5D94A2AD" w14:textId="77777777" w:rsidR="002760B2" w:rsidRPr="002B005F" w:rsidRDefault="002760B2" w:rsidP="00837D02">
            <w:pPr>
              <w:tabs>
                <w:tab w:val="left" w:pos="0"/>
                <w:tab w:val="left" w:pos="1005"/>
              </w:tabs>
              <w:spacing w:before="60"/>
              <w:ind w:left="284"/>
              <w:jc w:val="left"/>
              <w:rPr>
                <w:rFonts w:ascii="Times New Roman" w:hAnsi="Times New Roman" w:cs="Times New Roman"/>
                <w:vertAlign w:val="superscript"/>
              </w:rPr>
            </w:pPr>
            <w:r w:rsidRPr="002B005F">
              <w:rPr>
                <w:rFonts w:ascii="Times New Roman" w:hAnsi="Times New Roman" w:cs="Times New Roman"/>
              </w:rPr>
              <w:t>32.01   4</w:t>
            </w:r>
            <w:r w:rsidRPr="002B005F">
              <w:rPr>
                <w:rFonts w:ascii="Times New Roman" w:hAnsi="Times New Roman" w:cs="Times New Roman"/>
                <w:vertAlign w:val="superscript"/>
              </w:rPr>
              <w:t>ème</w:t>
            </w:r>
          </w:p>
          <w:p w14:paraId="2A31A6FB" w14:textId="77777777" w:rsidR="002760B2" w:rsidRPr="002B005F" w:rsidRDefault="002760B2" w:rsidP="00837D02">
            <w:pPr>
              <w:tabs>
                <w:tab w:val="left" w:pos="0"/>
              </w:tabs>
              <w:spacing w:before="60"/>
              <w:ind w:left="284"/>
              <w:jc w:val="left"/>
              <w:rPr>
                <w:rFonts w:ascii="Times New Roman" w:hAnsi="Times New Roman" w:cs="Times New Roman"/>
              </w:rPr>
            </w:pPr>
            <w:r w:rsidRPr="002B005F">
              <w:rPr>
                <w:rFonts w:ascii="Times New Roman" w:hAnsi="Times New Roman" w:cs="Times New Roman"/>
              </w:rPr>
              <w:t>34.25   3</w:t>
            </w:r>
            <w:r w:rsidRPr="002B005F">
              <w:rPr>
                <w:rFonts w:ascii="Times New Roman" w:hAnsi="Times New Roman" w:cs="Times New Roman"/>
                <w:vertAlign w:val="superscript"/>
              </w:rPr>
              <w:t>ème</w:t>
            </w:r>
          </w:p>
          <w:p w14:paraId="4DDFC6BF" w14:textId="77777777" w:rsidR="002760B2" w:rsidRPr="002B005F" w:rsidRDefault="002760B2" w:rsidP="00837D02">
            <w:pPr>
              <w:tabs>
                <w:tab w:val="left" w:pos="0"/>
              </w:tabs>
              <w:spacing w:before="60"/>
              <w:ind w:left="284"/>
              <w:jc w:val="left"/>
              <w:rPr>
                <w:rFonts w:ascii="Times New Roman" w:hAnsi="Times New Roman" w:cs="Times New Roman"/>
                <w:vertAlign w:val="superscript"/>
              </w:rPr>
            </w:pPr>
            <w:r w:rsidRPr="002B005F">
              <w:rPr>
                <w:rFonts w:ascii="Times New Roman" w:hAnsi="Times New Roman" w:cs="Times New Roman"/>
              </w:rPr>
              <w:t>36</w:t>
            </w:r>
            <w:r w:rsidR="00FD236C" w:rsidRPr="002B005F">
              <w:rPr>
                <w:rFonts w:ascii="Times New Roman" w:hAnsi="Times New Roman" w:cs="Times New Roman"/>
              </w:rPr>
              <w:t>.00</w:t>
            </w:r>
            <w:r w:rsidR="00701AAF" w:rsidRPr="002B005F">
              <w:rPr>
                <w:rFonts w:ascii="Times New Roman" w:hAnsi="Times New Roman" w:cs="Times New Roman"/>
              </w:rPr>
              <w:t xml:space="preserve"> </w:t>
            </w:r>
            <w:r w:rsidR="00FD236C" w:rsidRPr="002B005F">
              <w:rPr>
                <w:rFonts w:ascii="Times New Roman" w:hAnsi="Times New Roman" w:cs="Times New Roman"/>
              </w:rPr>
              <w:t xml:space="preserve">  </w:t>
            </w:r>
            <w:r w:rsidRPr="002B005F">
              <w:rPr>
                <w:rFonts w:ascii="Times New Roman" w:hAnsi="Times New Roman" w:cs="Times New Roman"/>
              </w:rPr>
              <w:t>1</w:t>
            </w:r>
            <w:r w:rsidRPr="002B005F">
              <w:rPr>
                <w:rFonts w:ascii="Times New Roman" w:hAnsi="Times New Roman" w:cs="Times New Roman"/>
                <w:vertAlign w:val="superscript"/>
              </w:rPr>
              <w:t>er</w:t>
            </w:r>
          </w:p>
          <w:p w14:paraId="1CD865E1" w14:textId="77777777" w:rsidR="00E7648B" w:rsidRPr="00872EB9" w:rsidRDefault="002760B2" w:rsidP="00E7648B">
            <w:pPr>
              <w:tabs>
                <w:tab w:val="left" w:pos="0"/>
              </w:tabs>
              <w:spacing w:before="60"/>
              <w:ind w:left="284"/>
              <w:jc w:val="left"/>
              <w:rPr>
                <w:rFonts w:ascii="Times New Roman" w:hAnsi="Times New Roman" w:cs="Times New Roman"/>
                <w:color w:val="000000" w:themeColor="text1"/>
                <w:vertAlign w:val="superscript"/>
              </w:rPr>
            </w:pPr>
            <w:r w:rsidRPr="002B005F">
              <w:rPr>
                <w:rFonts w:ascii="Times New Roman" w:hAnsi="Times New Roman" w:cs="Times New Roman"/>
              </w:rPr>
              <w:t>36</w:t>
            </w:r>
            <w:r w:rsidR="00FD236C" w:rsidRPr="002B005F">
              <w:rPr>
                <w:rFonts w:ascii="Times New Roman" w:hAnsi="Times New Roman" w:cs="Times New Roman"/>
              </w:rPr>
              <w:t>.00</w:t>
            </w:r>
            <w:r w:rsidR="00701AAF" w:rsidRPr="002B005F">
              <w:rPr>
                <w:rFonts w:ascii="Times New Roman" w:hAnsi="Times New Roman" w:cs="Times New Roman"/>
              </w:rPr>
              <w:t xml:space="preserve">  </w:t>
            </w:r>
            <w:r w:rsidR="00FD236C" w:rsidRPr="002B005F">
              <w:rPr>
                <w:rFonts w:ascii="Times New Roman" w:hAnsi="Times New Roman" w:cs="Times New Roman"/>
              </w:rPr>
              <w:t xml:space="preserve"> </w:t>
            </w:r>
            <w:r w:rsidR="00E7648B" w:rsidRPr="00872EB9">
              <w:rPr>
                <w:rFonts w:ascii="Times New Roman" w:hAnsi="Times New Roman" w:cs="Times New Roman"/>
                <w:color w:val="000000" w:themeColor="text1"/>
              </w:rPr>
              <w:t>2</w:t>
            </w:r>
            <w:r w:rsidR="00E7648B" w:rsidRPr="00872EB9">
              <w:rPr>
                <w:rFonts w:ascii="Times New Roman" w:hAnsi="Times New Roman" w:cs="Times New Roman"/>
                <w:color w:val="000000" w:themeColor="text1"/>
                <w:vertAlign w:val="superscript"/>
              </w:rPr>
              <w:t>éme</w:t>
            </w:r>
          </w:p>
          <w:p w14:paraId="34C93012" w14:textId="77777777" w:rsidR="002760B2" w:rsidRPr="002B005F" w:rsidRDefault="002760B2" w:rsidP="00837D02">
            <w:pPr>
              <w:tabs>
                <w:tab w:val="left" w:pos="0"/>
              </w:tabs>
              <w:spacing w:before="60"/>
              <w:ind w:left="284"/>
              <w:jc w:val="left"/>
              <w:rPr>
                <w:rFonts w:ascii="Times New Roman" w:hAnsi="Times New Roman" w:cs="Times New Roman"/>
              </w:rPr>
            </w:pPr>
          </w:p>
        </w:tc>
        <w:tc>
          <w:tcPr>
            <w:tcW w:w="1701" w:type="dxa"/>
          </w:tcPr>
          <w:p w14:paraId="2545F962" w14:textId="77777777" w:rsidR="002760B2" w:rsidRPr="002B005F" w:rsidRDefault="00FD236C" w:rsidP="00837D02">
            <w:pPr>
              <w:tabs>
                <w:tab w:val="left" w:pos="0"/>
              </w:tabs>
              <w:spacing w:before="60"/>
              <w:ind w:left="284"/>
              <w:jc w:val="left"/>
              <w:rPr>
                <w:rFonts w:ascii="Times New Roman" w:hAnsi="Times New Roman" w:cs="Times New Roman"/>
                <w:b/>
                <w:bCs/>
                <w:lang w:val="en-GB"/>
              </w:rPr>
            </w:pPr>
            <w:r w:rsidRPr="002B005F">
              <w:rPr>
                <w:rFonts w:ascii="Times New Roman" w:hAnsi="Times New Roman" w:cs="Times New Roman"/>
                <w:b/>
                <w:bCs/>
                <w:lang w:val="en-GB"/>
              </w:rPr>
              <w:t xml:space="preserve">MP   </w:t>
            </w:r>
            <w:r w:rsidR="002760B2" w:rsidRPr="002B005F">
              <w:rPr>
                <w:rFonts w:ascii="Times New Roman" w:hAnsi="Times New Roman" w:cs="Times New Roman"/>
                <w:b/>
                <w:bCs/>
                <w:lang w:val="en-GB"/>
              </w:rPr>
              <w:t>rang</w:t>
            </w:r>
          </w:p>
          <w:p w14:paraId="087CEC16" w14:textId="77777777" w:rsidR="002760B2" w:rsidRPr="002B005F" w:rsidRDefault="00FD236C" w:rsidP="00837D02">
            <w:pPr>
              <w:tabs>
                <w:tab w:val="left" w:pos="0"/>
              </w:tabs>
              <w:spacing w:before="60"/>
              <w:ind w:left="284"/>
              <w:jc w:val="left"/>
              <w:rPr>
                <w:rFonts w:ascii="Times New Roman" w:hAnsi="Times New Roman" w:cs="Times New Roman"/>
                <w:vertAlign w:val="superscript"/>
                <w:lang w:val="en-GB"/>
              </w:rPr>
            </w:pPr>
            <w:r w:rsidRPr="002B005F">
              <w:rPr>
                <w:rFonts w:ascii="Times New Roman" w:hAnsi="Times New Roman" w:cs="Times New Roman"/>
                <w:lang w:val="en-GB"/>
              </w:rPr>
              <w:t xml:space="preserve">34.98   </w:t>
            </w:r>
            <w:r w:rsidR="002760B2" w:rsidRPr="002B005F">
              <w:rPr>
                <w:rFonts w:ascii="Times New Roman" w:hAnsi="Times New Roman" w:cs="Times New Roman"/>
                <w:lang w:val="en-GB"/>
              </w:rPr>
              <w:t>3</w:t>
            </w:r>
            <w:r w:rsidR="002760B2" w:rsidRPr="002B005F">
              <w:rPr>
                <w:rFonts w:ascii="Times New Roman" w:hAnsi="Times New Roman" w:cs="Times New Roman"/>
                <w:vertAlign w:val="superscript"/>
                <w:lang w:val="en-GB"/>
              </w:rPr>
              <w:t>eme</w:t>
            </w:r>
          </w:p>
          <w:p w14:paraId="3B79C668" w14:textId="77777777" w:rsidR="002760B2" w:rsidRPr="002B005F" w:rsidRDefault="00FD236C" w:rsidP="00837D02">
            <w:pPr>
              <w:tabs>
                <w:tab w:val="left" w:pos="0"/>
                <w:tab w:val="left" w:pos="1005"/>
              </w:tabs>
              <w:spacing w:before="60"/>
              <w:ind w:left="284"/>
              <w:jc w:val="left"/>
              <w:rPr>
                <w:rFonts w:ascii="Times New Roman" w:hAnsi="Times New Roman" w:cs="Times New Roman"/>
                <w:vertAlign w:val="superscript"/>
                <w:lang w:val="en-GB"/>
              </w:rPr>
            </w:pPr>
            <w:r w:rsidRPr="002B005F">
              <w:rPr>
                <w:rFonts w:ascii="Times New Roman" w:hAnsi="Times New Roman" w:cs="Times New Roman"/>
                <w:lang w:val="en-GB"/>
              </w:rPr>
              <w:t xml:space="preserve">31.84 </w:t>
            </w:r>
            <w:r w:rsidR="002760B2" w:rsidRPr="002B005F">
              <w:rPr>
                <w:rFonts w:ascii="Times New Roman" w:hAnsi="Times New Roman" w:cs="Times New Roman"/>
                <w:lang w:val="en-GB"/>
              </w:rPr>
              <w:t xml:space="preserve">  4</w:t>
            </w:r>
            <w:r w:rsidR="002760B2" w:rsidRPr="002B005F">
              <w:rPr>
                <w:rFonts w:ascii="Times New Roman" w:hAnsi="Times New Roman" w:cs="Times New Roman"/>
                <w:vertAlign w:val="superscript"/>
                <w:lang w:val="en-GB"/>
              </w:rPr>
              <w:t>ème</w:t>
            </w:r>
          </w:p>
          <w:p w14:paraId="49BD6962" w14:textId="77777777" w:rsidR="002760B2" w:rsidRPr="002B005F" w:rsidRDefault="002760B2" w:rsidP="00837D02">
            <w:pPr>
              <w:tabs>
                <w:tab w:val="left" w:pos="0"/>
              </w:tabs>
              <w:spacing w:before="60"/>
              <w:ind w:left="284"/>
              <w:jc w:val="left"/>
              <w:rPr>
                <w:rFonts w:ascii="Times New Roman" w:hAnsi="Times New Roman" w:cs="Times New Roman"/>
                <w:lang w:val="en-GB"/>
              </w:rPr>
            </w:pPr>
            <w:r w:rsidRPr="002B005F">
              <w:rPr>
                <w:rFonts w:ascii="Times New Roman" w:hAnsi="Times New Roman" w:cs="Times New Roman"/>
                <w:lang w:val="en-GB"/>
              </w:rPr>
              <w:t>35.6</w:t>
            </w:r>
            <w:r w:rsidR="00FD236C" w:rsidRPr="002B005F">
              <w:rPr>
                <w:rFonts w:ascii="Times New Roman" w:hAnsi="Times New Roman" w:cs="Times New Roman"/>
                <w:lang w:val="en-GB"/>
              </w:rPr>
              <w:t>0</w:t>
            </w:r>
            <w:r w:rsidR="00701AAF" w:rsidRPr="002B005F">
              <w:rPr>
                <w:rFonts w:ascii="Times New Roman" w:hAnsi="Times New Roman" w:cs="Times New Roman"/>
                <w:lang w:val="en-GB"/>
              </w:rPr>
              <w:t xml:space="preserve"> </w:t>
            </w:r>
            <w:r w:rsidR="00FD236C" w:rsidRPr="002B005F">
              <w:rPr>
                <w:rFonts w:ascii="Times New Roman" w:hAnsi="Times New Roman" w:cs="Times New Roman"/>
                <w:lang w:val="en-GB"/>
              </w:rPr>
              <w:t xml:space="preserve"> </w:t>
            </w:r>
            <w:r w:rsidRPr="002B005F">
              <w:rPr>
                <w:rFonts w:ascii="Times New Roman" w:hAnsi="Times New Roman" w:cs="Times New Roman"/>
                <w:lang w:val="en-GB"/>
              </w:rPr>
              <w:t xml:space="preserve"> 1</w:t>
            </w:r>
            <w:r w:rsidRPr="002B005F">
              <w:rPr>
                <w:rFonts w:ascii="Times New Roman" w:hAnsi="Times New Roman" w:cs="Times New Roman"/>
                <w:vertAlign w:val="superscript"/>
                <w:lang w:val="en-GB"/>
              </w:rPr>
              <w:t>er</w:t>
            </w:r>
          </w:p>
          <w:p w14:paraId="0280BA22" w14:textId="77777777" w:rsidR="00E7648B" w:rsidRPr="002B005F" w:rsidRDefault="002760B2" w:rsidP="00E7648B">
            <w:pPr>
              <w:tabs>
                <w:tab w:val="left" w:pos="0"/>
              </w:tabs>
              <w:spacing w:before="60"/>
              <w:ind w:left="284"/>
              <w:jc w:val="left"/>
              <w:rPr>
                <w:rFonts w:ascii="Times New Roman" w:hAnsi="Times New Roman" w:cs="Times New Roman"/>
                <w:vertAlign w:val="superscript"/>
              </w:rPr>
            </w:pPr>
            <w:r w:rsidRPr="002B005F">
              <w:rPr>
                <w:rFonts w:ascii="Times New Roman" w:hAnsi="Times New Roman" w:cs="Times New Roman"/>
                <w:lang w:val="en-GB"/>
              </w:rPr>
              <w:t>35.</w:t>
            </w:r>
            <w:r w:rsidRPr="00872EB9">
              <w:rPr>
                <w:rFonts w:ascii="Times New Roman" w:hAnsi="Times New Roman" w:cs="Times New Roman"/>
                <w:lang w:val="en-GB"/>
              </w:rPr>
              <w:t>6</w:t>
            </w:r>
            <w:r w:rsidR="00FD236C" w:rsidRPr="00872EB9">
              <w:rPr>
                <w:rFonts w:ascii="Times New Roman" w:hAnsi="Times New Roman" w:cs="Times New Roman"/>
                <w:lang w:val="en-GB"/>
              </w:rPr>
              <w:t xml:space="preserve">0  </w:t>
            </w:r>
            <w:r w:rsidRPr="00872EB9">
              <w:rPr>
                <w:rFonts w:ascii="Times New Roman" w:hAnsi="Times New Roman" w:cs="Times New Roman"/>
                <w:lang w:val="en-GB"/>
              </w:rPr>
              <w:t xml:space="preserve"> </w:t>
            </w:r>
            <w:r w:rsidR="00E7648B" w:rsidRPr="00872EB9">
              <w:rPr>
                <w:rFonts w:ascii="Times New Roman" w:hAnsi="Times New Roman" w:cs="Times New Roman"/>
              </w:rPr>
              <w:t>2</w:t>
            </w:r>
            <w:r w:rsidR="00E7648B" w:rsidRPr="00872EB9">
              <w:rPr>
                <w:rFonts w:ascii="Times New Roman" w:hAnsi="Times New Roman" w:cs="Times New Roman"/>
                <w:vertAlign w:val="superscript"/>
              </w:rPr>
              <w:t>éme</w:t>
            </w:r>
          </w:p>
          <w:p w14:paraId="1F71628D" w14:textId="77777777" w:rsidR="002760B2" w:rsidRPr="002B005F" w:rsidRDefault="002760B2" w:rsidP="00837D02">
            <w:pPr>
              <w:tabs>
                <w:tab w:val="left" w:pos="0"/>
              </w:tabs>
              <w:spacing w:before="60"/>
              <w:ind w:left="284"/>
              <w:jc w:val="left"/>
              <w:rPr>
                <w:rFonts w:ascii="Times New Roman" w:hAnsi="Times New Roman" w:cs="Times New Roman"/>
                <w:lang w:val="en-GB"/>
              </w:rPr>
            </w:pPr>
          </w:p>
        </w:tc>
        <w:tc>
          <w:tcPr>
            <w:tcW w:w="1701" w:type="dxa"/>
          </w:tcPr>
          <w:p w14:paraId="5BDE778A" w14:textId="77777777" w:rsidR="002760B2" w:rsidRPr="002B005F" w:rsidRDefault="00FD236C" w:rsidP="00837D02">
            <w:pPr>
              <w:tabs>
                <w:tab w:val="left" w:pos="0"/>
              </w:tabs>
              <w:spacing w:before="60"/>
              <w:ind w:left="284"/>
              <w:jc w:val="left"/>
              <w:rPr>
                <w:rFonts w:ascii="Times New Roman" w:hAnsi="Times New Roman" w:cs="Times New Roman"/>
                <w:b/>
                <w:bCs/>
              </w:rPr>
            </w:pPr>
            <w:r w:rsidRPr="002B005F">
              <w:rPr>
                <w:rFonts w:ascii="Times New Roman" w:hAnsi="Times New Roman" w:cs="Times New Roman"/>
                <w:b/>
                <w:bCs/>
              </w:rPr>
              <w:t xml:space="preserve">MP   </w:t>
            </w:r>
            <w:r w:rsidR="002760B2" w:rsidRPr="002B005F">
              <w:rPr>
                <w:rFonts w:ascii="Times New Roman" w:hAnsi="Times New Roman" w:cs="Times New Roman"/>
                <w:b/>
                <w:bCs/>
              </w:rPr>
              <w:t>rang</w:t>
            </w:r>
          </w:p>
          <w:p w14:paraId="009CE272" w14:textId="77777777" w:rsidR="002760B2" w:rsidRPr="002B005F" w:rsidRDefault="00FD236C" w:rsidP="00837D02">
            <w:pPr>
              <w:tabs>
                <w:tab w:val="left" w:pos="0"/>
              </w:tabs>
              <w:spacing w:before="60"/>
              <w:ind w:left="284"/>
              <w:jc w:val="left"/>
              <w:rPr>
                <w:rFonts w:ascii="Times New Roman" w:hAnsi="Times New Roman" w:cs="Times New Roman"/>
                <w:vertAlign w:val="superscript"/>
              </w:rPr>
            </w:pPr>
            <w:r w:rsidRPr="002B005F">
              <w:rPr>
                <w:rFonts w:ascii="Times New Roman" w:hAnsi="Times New Roman" w:cs="Times New Roman"/>
              </w:rPr>
              <w:t xml:space="preserve">28.32   </w:t>
            </w:r>
            <w:r w:rsidR="002760B2" w:rsidRPr="002B005F">
              <w:rPr>
                <w:rFonts w:ascii="Times New Roman" w:hAnsi="Times New Roman" w:cs="Times New Roman"/>
              </w:rPr>
              <w:t>4</w:t>
            </w:r>
            <w:r w:rsidR="002760B2" w:rsidRPr="002B005F">
              <w:rPr>
                <w:rFonts w:ascii="Times New Roman" w:hAnsi="Times New Roman" w:cs="Times New Roman"/>
                <w:vertAlign w:val="superscript"/>
              </w:rPr>
              <w:t>ème</w:t>
            </w:r>
          </w:p>
          <w:p w14:paraId="1DA7E5D0" w14:textId="77777777" w:rsidR="002760B2" w:rsidRPr="002B005F" w:rsidRDefault="002760B2" w:rsidP="00837D02">
            <w:pPr>
              <w:tabs>
                <w:tab w:val="left" w:pos="0"/>
              </w:tabs>
              <w:spacing w:before="60"/>
              <w:ind w:left="284"/>
              <w:jc w:val="left"/>
              <w:rPr>
                <w:rFonts w:ascii="Times New Roman" w:hAnsi="Times New Roman" w:cs="Times New Roman"/>
                <w:vertAlign w:val="superscript"/>
              </w:rPr>
            </w:pPr>
            <w:r w:rsidRPr="002B005F">
              <w:rPr>
                <w:rFonts w:ascii="Times New Roman" w:hAnsi="Times New Roman" w:cs="Times New Roman"/>
              </w:rPr>
              <w:t>36.7</w:t>
            </w:r>
            <w:r w:rsidR="00FD236C" w:rsidRPr="002B005F">
              <w:rPr>
                <w:rFonts w:ascii="Times New Roman" w:hAnsi="Times New Roman" w:cs="Times New Roman"/>
              </w:rPr>
              <w:t xml:space="preserve">0   </w:t>
            </w:r>
            <w:r w:rsidRPr="002B005F">
              <w:rPr>
                <w:rFonts w:ascii="Times New Roman" w:hAnsi="Times New Roman" w:cs="Times New Roman"/>
              </w:rPr>
              <w:t>2</w:t>
            </w:r>
            <w:r w:rsidRPr="002B005F">
              <w:rPr>
                <w:rFonts w:ascii="Times New Roman" w:hAnsi="Times New Roman" w:cs="Times New Roman"/>
                <w:vertAlign w:val="superscript"/>
              </w:rPr>
              <w:t>éme</w:t>
            </w:r>
          </w:p>
          <w:p w14:paraId="4D283175" w14:textId="77777777" w:rsidR="00FD236C" w:rsidRPr="002B005F" w:rsidRDefault="002760B2" w:rsidP="00837D02">
            <w:pPr>
              <w:tabs>
                <w:tab w:val="left" w:pos="0"/>
              </w:tabs>
              <w:spacing w:before="60"/>
              <w:ind w:left="284"/>
              <w:jc w:val="left"/>
              <w:rPr>
                <w:rFonts w:ascii="Times New Roman" w:hAnsi="Times New Roman" w:cs="Times New Roman"/>
                <w:vertAlign w:val="superscript"/>
              </w:rPr>
            </w:pPr>
            <w:r w:rsidRPr="002B005F">
              <w:rPr>
                <w:rFonts w:ascii="Times New Roman" w:hAnsi="Times New Roman" w:cs="Times New Roman"/>
              </w:rPr>
              <w:t>48.5</w:t>
            </w:r>
            <w:r w:rsidR="00FD236C" w:rsidRPr="002B005F">
              <w:rPr>
                <w:rFonts w:ascii="Times New Roman" w:hAnsi="Times New Roman" w:cs="Times New Roman"/>
              </w:rPr>
              <w:t>0</w:t>
            </w:r>
            <w:r w:rsidR="00701AAF" w:rsidRPr="002B005F">
              <w:rPr>
                <w:rFonts w:ascii="Times New Roman" w:hAnsi="Times New Roman" w:cs="Times New Roman"/>
              </w:rPr>
              <w:t xml:space="preserve">   </w:t>
            </w:r>
            <w:r w:rsidRPr="002B005F">
              <w:rPr>
                <w:rFonts w:ascii="Times New Roman" w:hAnsi="Times New Roman" w:cs="Times New Roman"/>
              </w:rPr>
              <w:t>1</w:t>
            </w:r>
            <w:r w:rsidRPr="002B005F">
              <w:rPr>
                <w:rFonts w:ascii="Times New Roman" w:hAnsi="Times New Roman" w:cs="Times New Roman"/>
                <w:vertAlign w:val="superscript"/>
              </w:rPr>
              <w:t>er</w:t>
            </w:r>
          </w:p>
          <w:p w14:paraId="19FE3321" w14:textId="77777777" w:rsidR="002760B2" w:rsidRPr="002B005F" w:rsidRDefault="00FD236C" w:rsidP="00837D02">
            <w:pPr>
              <w:tabs>
                <w:tab w:val="left" w:pos="0"/>
              </w:tabs>
              <w:spacing w:before="60"/>
              <w:ind w:left="284"/>
              <w:jc w:val="left"/>
              <w:rPr>
                <w:rFonts w:ascii="Times New Roman" w:hAnsi="Times New Roman" w:cs="Times New Roman"/>
              </w:rPr>
            </w:pPr>
            <w:r w:rsidRPr="002B005F">
              <w:rPr>
                <w:rFonts w:ascii="Times New Roman" w:hAnsi="Times New Roman" w:cs="Times New Roman"/>
              </w:rPr>
              <w:t xml:space="preserve">33.75   </w:t>
            </w:r>
            <w:r w:rsidR="002760B2" w:rsidRPr="002B005F">
              <w:rPr>
                <w:rFonts w:ascii="Times New Roman" w:hAnsi="Times New Roman" w:cs="Times New Roman"/>
              </w:rPr>
              <w:t>3</w:t>
            </w:r>
            <w:r w:rsidR="002760B2" w:rsidRPr="002B005F">
              <w:rPr>
                <w:rFonts w:ascii="Times New Roman" w:hAnsi="Times New Roman" w:cs="Times New Roman"/>
                <w:vertAlign w:val="superscript"/>
              </w:rPr>
              <w:t>ème</w:t>
            </w:r>
          </w:p>
        </w:tc>
        <w:tc>
          <w:tcPr>
            <w:tcW w:w="1701" w:type="dxa"/>
          </w:tcPr>
          <w:p w14:paraId="47FC3E12" w14:textId="77777777" w:rsidR="002760B2" w:rsidRPr="002B005F" w:rsidRDefault="00FD236C" w:rsidP="00837D02">
            <w:pPr>
              <w:tabs>
                <w:tab w:val="left" w:pos="0"/>
              </w:tabs>
              <w:spacing w:before="60"/>
              <w:ind w:left="284"/>
              <w:jc w:val="left"/>
              <w:rPr>
                <w:rFonts w:ascii="Times New Roman" w:hAnsi="Times New Roman" w:cs="Times New Roman"/>
                <w:b/>
                <w:bCs/>
              </w:rPr>
            </w:pPr>
            <w:r w:rsidRPr="002B005F">
              <w:rPr>
                <w:rFonts w:ascii="Times New Roman" w:hAnsi="Times New Roman" w:cs="Times New Roman"/>
                <w:b/>
                <w:bCs/>
              </w:rPr>
              <w:t xml:space="preserve">MP   </w:t>
            </w:r>
            <w:r w:rsidR="002760B2" w:rsidRPr="002B005F">
              <w:rPr>
                <w:rFonts w:ascii="Times New Roman" w:hAnsi="Times New Roman" w:cs="Times New Roman"/>
                <w:b/>
                <w:bCs/>
              </w:rPr>
              <w:t>rang</w:t>
            </w:r>
          </w:p>
          <w:p w14:paraId="32E62483" w14:textId="77777777" w:rsidR="002760B2" w:rsidRPr="002B005F" w:rsidRDefault="002760B2" w:rsidP="00837D02">
            <w:pPr>
              <w:tabs>
                <w:tab w:val="left" w:pos="0"/>
              </w:tabs>
              <w:spacing w:before="60"/>
              <w:ind w:left="284"/>
              <w:jc w:val="left"/>
              <w:rPr>
                <w:rFonts w:ascii="Times New Roman" w:hAnsi="Times New Roman" w:cs="Times New Roman"/>
                <w:vertAlign w:val="superscript"/>
              </w:rPr>
            </w:pPr>
            <w:r w:rsidRPr="002B005F">
              <w:rPr>
                <w:rFonts w:ascii="Times New Roman" w:hAnsi="Times New Roman" w:cs="Times New Roman"/>
              </w:rPr>
              <w:t>36.2</w:t>
            </w:r>
            <w:r w:rsidR="00FD236C" w:rsidRPr="002B005F">
              <w:rPr>
                <w:rFonts w:ascii="Times New Roman" w:hAnsi="Times New Roman" w:cs="Times New Roman"/>
              </w:rPr>
              <w:t xml:space="preserve">0   </w:t>
            </w:r>
            <w:r w:rsidRPr="002B005F">
              <w:rPr>
                <w:rFonts w:ascii="Times New Roman" w:hAnsi="Times New Roman" w:cs="Times New Roman"/>
              </w:rPr>
              <w:t>2</w:t>
            </w:r>
            <w:r w:rsidRPr="002B005F">
              <w:rPr>
                <w:rFonts w:ascii="Times New Roman" w:hAnsi="Times New Roman" w:cs="Times New Roman"/>
                <w:vertAlign w:val="superscript"/>
              </w:rPr>
              <w:t>eme</w:t>
            </w:r>
          </w:p>
          <w:p w14:paraId="4213859D" w14:textId="77777777" w:rsidR="002760B2" w:rsidRPr="002B005F" w:rsidRDefault="00FD236C" w:rsidP="00837D02">
            <w:pPr>
              <w:tabs>
                <w:tab w:val="left" w:pos="0"/>
              </w:tabs>
              <w:spacing w:before="60"/>
              <w:ind w:left="284"/>
              <w:jc w:val="left"/>
              <w:rPr>
                <w:rFonts w:ascii="Times New Roman" w:hAnsi="Times New Roman" w:cs="Times New Roman"/>
                <w:vertAlign w:val="superscript"/>
              </w:rPr>
            </w:pPr>
            <w:r w:rsidRPr="002B005F">
              <w:rPr>
                <w:rFonts w:ascii="Times New Roman" w:hAnsi="Times New Roman" w:cs="Times New Roman"/>
              </w:rPr>
              <w:t xml:space="preserve">33.54   </w:t>
            </w:r>
            <w:r w:rsidR="002760B2" w:rsidRPr="002B005F">
              <w:rPr>
                <w:rFonts w:ascii="Times New Roman" w:hAnsi="Times New Roman" w:cs="Times New Roman"/>
              </w:rPr>
              <w:t>3</w:t>
            </w:r>
            <w:r w:rsidR="002760B2" w:rsidRPr="002B005F">
              <w:rPr>
                <w:rFonts w:ascii="Times New Roman" w:hAnsi="Times New Roman" w:cs="Times New Roman"/>
                <w:vertAlign w:val="superscript"/>
              </w:rPr>
              <w:t>ème</w:t>
            </w:r>
          </w:p>
          <w:p w14:paraId="01F9B194" w14:textId="77777777" w:rsidR="002760B2" w:rsidRPr="002B005F" w:rsidRDefault="00FD236C" w:rsidP="00837D02">
            <w:pPr>
              <w:tabs>
                <w:tab w:val="left" w:pos="0"/>
              </w:tabs>
              <w:spacing w:before="60"/>
              <w:ind w:left="284"/>
              <w:jc w:val="left"/>
              <w:rPr>
                <w:rFonts w:ascii="Times New Roman" w:hAnsi="Times New Roman" w:cs="Times New Roman"/>
              </w:rPr>
            </w:pPr>
            <w:r w:rsidRPr="002B005F">
              <w:rPr>
                <w:rFonts w:ascii="Times New Roman" w:hAnsi="Times New Roman" w:cs="Times New Roman"/>
              </w:rPr>
              <w:t xml:space="preserve">26.84   </w:t>
            </w:r>
            <w:r w:rsidR="002760B2" w:rsidRPr="002B005F">
              <w:rPr>
                <w:rFonts w:ascii="Times New Roman" w:hAnsi="Times New Roman" w:cs="Times New Roman"/>
              </w:rPr>
              <w:t>4</w:t>
            </w:r>
            <w:r w:rsidR="002760B2" w:rsidRPr="002B005F">
              <w:rPr>
                <w:rFonts w:ascii="Times New Roman" w:hAnsi="Times New Roman" w:cs="Times New Roman"/>
                <w:vertAlign w:val="superscript"/>
              </w:rPr>
              <w:t>ème</w:t>
            </w:r>
          </w:p>
          <w:p w14:paraId="631E3090" w14:textId="77777777" w:rsidR="002760B2" w:rsidRPr="002B005F" w:rsidRDefault="002760B2" w:rsidP="00837D02">
            <w:pPr>
              <w:tabs>
                <w:tab w:val="left" w:pos="0"/>
              </w:tabs>
              <w:spacing w:before="60"/>
              <w:ind w:left="284"/>
              <w:jc w:val="left"/>
              <w:rPr>
                <w:rFonts w:ascii="Times New Roman" w:hAnsi="Times New Roman" w:cs="Times New Roman"/>
              </w:rPr>
            </w:pPr>
            <w:r w:rsidRPr="002B005F">
              <w:rPr>
                <w:rFonts w:ascii="Times New Roman" w:hAnsi="Times New Roman" w:cs="Times New Roman"/>
              </w:rPr>
              <w:t>42.5</w:t>
            </w:r>
            <w:r w:rsidR="00FD236C" w:rsidRPr="002B005F">
              <w:rPr>
                <w:rFonts w:ascii="Times New Roman" w:hAnsi="Times New Roman" w:cs="Times New Roman"/>
              </w:rPr>
              <w:t xml:space="preserve">0   </w:t>
            </w:r>
            <w:r w:rsidRPr="002B005F">
              <w:rPr>
                <w:rFonts w:ascii="Times New Roman" w:hAnsi="Times New Roman" w:cs="Times New Roman"/>
              </w:rPr>
              <w:t>1</w:t>
            </w:r>
            <w:r w:rsidRPr="002B005F">
              <w:rPr>
                <w:rFonts w:ascii="Times New Roman" w:hAnsi="Times New Roman" w:cs="Times New Roman"/>
                <w:vertAlign w:val="superscript"/>
              </w:rPr>
              <w:t>er</w:t>
            </w:r>
          </w:p>
        </w:tc>
      </w:tr>
    </w:tbl>
    <w:p w14:paraId="01738B2C" w14:textId="77777777" w:rsidR="002760B2" w:rsidRPr="002B005F" w:rsidRDefault="002760B2" w:rsidP="007E0254">
      <w:pPr>
        <w:tabs>
          <w:tab w:val="left" w:pos="0"/>
        </w:tabs>
        <w:spacing w:before="120" w:line="240" w:lineRule="auto"/>
        <w:rPr>
          <w:rFonts w:ascii="Times New Roman" w:eastAsia="Times New Roman" w:hAnsi="Times New Roman" w:cs="Times New Roman"/>
          <w:sz w:val="20"/>
          <w:szCs w:val="20"/>
        </w:rPr>
      </w:pPr>
      <w:r w:rsidRPr="002B005F">
        <w:rPr>
          <w:rFonts w:ascii="Times New Roman" w:eastAsia="Times New Roman" w:hAnsi="Times New Roman" w:cs="Times New Roman"/>
          <w:sz w:val="20"/>
          <w:szCs w:val="20"/>
        </w:rPr>
        <w:t>Note : Seules les techniques ayant une valeur p significative sont analysées davantage par le classement moyen</w:t>
      </w:r>
      <w:r w:rsidR="00E57D7D" w:rsidRPr="002B005F">
        <w:rPr>
          <w:rFonts w:ascii="Times New Roman" w:eastAsia="Times New Roman" w:hAnsi="Times New Roman" w:cs="Times New Roman"/>
          <w:sz w:val="20"/>
          <w:szCs w:val="20"/>
        </w:rPr>
        <w:t>.</w:t>
      </w:r>
    </w:p>
    <w:p w14:paraId="48AEC165" w14:textId="77777777" w:rsidR="002760B2" w:rsidRPr="002B005F" w:rsidRDefault="002760B2" w:rsidP="00A90914">
      <w:pPr>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w:t>
      </w:r>
      <w:r w:rsidR="007E0254" w:rsidRPr="002B005F">
        <w:rPr>
          <w:rFonts w:ascii="Times New Roman" w:hAnsi="Times New Roman" w:cs="Times New Roman"/>
          <w:sz w:val="20"/>
          <w:szCs w:val="20"/>
        </w:rPr>
        <w:t xml:space="preserve"> C</w:t>
      </w:r>
      <w:r w:rsidRPr="002B005F">
        <w:rPr>
          <w:rFonts w:ascii="Times New Roman" w:hAnsi="Times New Roman" w:cs="Times New Roman"/>
          <w:sz w:val="20"/>
          <w:szCs w:val="20"/>
        </w:rPr>
        <w:t>alculs du chercheur.</w:t>
      </w:r>
    </w:p>
    <w:p w14:paraId="733E1230" w14:textId="77777777" w:rsidR="002760B2" w:rsidRPr="002B005F" w:rsidRDefault="002760B2" w:rsidP="009D3601">
      <w:pPr>
        <w:pStyle w:val="Paragraphedeliste"/>
        <w:tabs>
          <w:tab w:val="left" w:pos="0"/>
        </w:tabs>
        <w:spacing w:before="100" w:beforeAutospacing="1" w:after="100" w:afterAutospacing="1"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Le </w:t>
      </w:r>
      <w:r w:rsidRPr="002B005F">
        <w:rPr>
          <w:rFonts w:ascii="Times New Roman" w:hAnsi="Times New Roman" w:cs="Times New Roman"/>
          <w:b/>
          <w:bCs/>
          <w:sz w:val="24"/>
          <w:szCs w:val="24"/>
        </w:rPr>
        <w:t>tableau 4</w:t>
      </w:r>
      <w:r w:rsidR="009D3601">
        <w:rPr>
          <w:rFonts w:ascii="Times New Roman" w:hAnsi="Times New Roman" w:cs="Times New Roman"/>
          <w:b/>
          <w:bCs/>
          <w:sz w:val="24"/>
          <w:szCs w:val="24"/>
        </w:rPr>
        <w:t>0</w:t>
      </w:r>
      <w:r w:rsidRPr="002B005F">
        <w:rPr>
          <w:rFonts w:ascii="Times New Roman" w:hAnsi="Times New Roman" w:cs="Times New Roman"/>
          <w:sz w:val="24"/>
          <w:szCs w:val="24"/>
        </w:rPr>
        <w:t xml:space="preserve"> montre les banques </w:t>
      </w:r>
      <w:r w:rsidR="0096069F">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s européennes et situées dans « Autres » qui incluent les pays de Sud Est </w:t>
      </w:r>
      <w:r w:rsidR="009543A1" w:rsidRPr="002B005F">
        <w:rPr>
          <w:rFonts w:ascii="Times New Roman" w:hAnsi="Times New Roman" w:cs="Times New Roman"/>
          <w:sz w:val="24"/>
          <w:szCs w:val="24"/>
        </w:rPr>
        <w:t>d’Asie sont</w:t>
      </w:r>
      <w:r w:rsidRPr="002B005F">
        <w:rPr>
          <w:rFonts w:ascii="Times New Roman" w:hAnsi="Times New Roman" w:cs="Times New Roman"/>
          <w:sz w:val="24"/>
          <w:szCs w:val="24"/>
        </w:rPr>
        <w:t xml:space="preserve"> les plus avancées parmi toutes les techniques, su</w:t>
      </w:r>
      <w:r w:rsidR="009543A1" w:rsidRPr="002B005F">
        <w:rPr>
          <w:rFonts w:ascii="Times New Roman" w:hAnsi="Times New Roman" w:cs="Times New Roman"/>
          <w:sz w:val="24"/>
          <w:szCs w:val="24"/>
        </w:rPr>
        <w:t>ivies souvent par « Moyen-Orient » et/ou « Afrique »</w:t>
      </w:r>
      <w:r w:rsidRPr="002B005F">
        <w:rPr>
          <w:rFonts w:ascii="Times New Roman" w:hAnsi="Times New Roman" w:cs="Times New Roman"/>
          <w:sz w:val="24"/>
          <w:szCs w:val="24"/>
        </w:rPr>
        <w:t>. Ce résultat parait logique, puisque l’Europe a une longue expérience avec la gestion des risques qui était appliquée auparavant sur leurs banques conventionnelles.</w:t>
      </w:r>
    </w:p>
    <w:p w14:paraId="29AB43A9" w14:textId="3E16A5FB" w:rsidR="000C1CC2" w:rsidRPr="002B005F" w:rsidRDefault="000C1CC2" w:rsidP="00D66FFE">
      <w:pPr>
        <w:pStyle w:val="Lgende"/>
        <w:tabs>
          <w:tab w:val="left" w:pos="0"/>
        </w:tabs>
        <w:spacing w:before="100" w:beforeAutospacing="1" w:line="300" w:lineRule="auto"/>
        <w:ind w:left="851" w:right="851"/>
        <w:jc w:val="center"/>
        <w:rPr>
          <w:rFonts w:ascii="Times New Roman" w:hAnsi="Times New Roman" w:cs="Times New Roman"/>
          <w:color w:val="auto"/>
          <w:sz w:val="24"/>
          <w:szCs w:val="24"/>
        </w:rPr>
      </w:pPr>
      <w:bookmarkStart w:id="1750" w:name="_Toc115556109"/>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41</w:t>
      </w:r>
      <w:r w:rsidR="00B544E5" w:rsidRPr="002B005F">
        <w:rPr>
          <w:rFonts w:ascii="Times New Roman" w:hAnsi="Times New Roman" w:cs="Times New Roman"/>
          <w:color w:val="auto"/>
          <w:sz w:val="24"/>
          <w:szCs w:val="24"/>
        </w:rPr>
        <w:fldChar w:fldCharType="end"/>
      </w:r>
      <w:r w:rsidR="007E0254"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Classement de</w:t>
      </w:r>
      <w:r w:rsidR="00701AAF" w:rsidRPr="002B005F">
        <w:rPr>
          <w:rFonts w:ascii="Times New Roman" w:hAnsi="Times New Roman" w:cs="Times New Roman"/>
          <w:color w:val="auto"/>
          <w:sz w:val="24"/>
          <w:szCs w:val="24"/>
        </w:rPr>
        <w:t>s</w:t>
      </w:r>
      <w:r w:rsidRPr="002B005F">
        <w:rPr>
          <w:rFonts w:ascii="Times New Roman" w:hAnsi="Times New Roman" w:cs="Times New Roman"/>
          <w:color w:val="auto"/>
          <w:sz w:val="24"/>
          <w:szCs w:val="24"/>
        </w:rPr>
        <w:t xml:space="preserve"> moyennes du test K-W pour</w:t>
      </w:r>
      <w:bookmarkEnd w:id="1750"/>
      <w:r w:rsidRPr="002B005F">
        <w:rPr>
          <w:rFonts w:ascii="Times New Roman" w:hAnsi="Times New Roman" w:cs="Times New Roman"/>
          <w:color w:val="auto"/>
          <w:sz w:val="24"/>
          <w:szCs w:val="24"/>
        </w:rPr>
        <w:t xml:space="preserve"> l’évaluation de risques par nature d’IF</w:t>
      </w:r>
    </w:p>
    <w:tbl>
      <w:tblPr>
        <w:tblStyle w:val="Grilledutableau"/>
        <w:tblW w:w="0" w:type="auto"/>
        <w:jc w:val="center"/>
        <w:tblLayout w:type="fixed"/>
        <w:tblCellMar>
          <w:top w:w="28" w:type="dxa"/>
          <w:left w:w="28" w:type="dxa"/>
          <w:bottom w:w="28" w:type="dxa"/>
          <w:right w:w="28" w:type="dxa"/>
        </w:tblCellMar>
        <w:tblLook w:val="04A0" w:firstRow="1" w:lastRow="0" w:firstColumn="1" w:lastColumn="0" w:noHBand="0" w:noVBand="1"/>
      </w:tblPr>
      <w:tblGrid>
        <w:gridCol w:w="3118"/>
        <w:gridCol w:w="1701"/>
        <w:gridCol w:w="1559"/>
        <w:gridCol w:w="1701"/>
      </w:tblGrid>
      <w:tr w:rsidR="00993004" w:rsidRPr="002B005F" w14:paraId="1FB625A3" w14:textId="77777777" w:rsidTr="00837D02">
        <w:trPr>
          <w:trHeight w:val="680"/>
          <w:jc w:val="center"/>
        </w:trPr>
        <w:tc>
          <w:tcPr>
            <w:tcW w:w="3118" w:type="dxa"/>
            <w:vAlign w:val="center"/>
          </w:tcPr>
          <w:p w14:paraId="2A4F7087" w14:textId="77777777" w:rsidR="00993004" w:rsidRPr="002B005F" w:rsidRDefault="00837D02" w:rsidP="00837D02">
            <w:pPr>
              <w:tabs>
                <w:tab w:val="left" w:pos="0"/>
              </w:tabs>
              <w:jc w:val="center"/>
              <w:rPr>
                <w:rFonts w:ascii="Times New Roman" w:hAnsi="Times New Roman" w:cs="Times New Roman"/>
                <w:b/>
                <w:bCs/>
              </w:rPr>
            </w:pPr>
            <w:r w:rsidRPr="002B005F">
              <w:rPr>
                <w:rFonts w:ascii="Times New Roman" w:hAnsi="Times New Roman" w:cs="Times New Roman"/>
                <w:b/>
                <w:bCs/>
                <w:sz w:val="24"/>
                <w:szCs w:val="24"/>
              </w:rPr>
              <w:t>IF</w:t>
            </w:r>
          </w:p>
        </w:tc>
        <w:tc>
          <w:tcPr>
            <w:tcW w:w="1701" w:type="dxa"/>
            <w:vAlign w:val="center"/>
          </w:tcPr>
          <w:p w14:paraId="449CC57B" w14:textId="77777777" w:rsidR="00993004" w:rsidRPr="002B005F" w:rsidRDefault="00993004" w:rsidP="00837D02">
            <w:pPr>
              <w:tabs>
                <w:tab w:val="left" w:pos="0"/>
              </w:tabs>
              <w:jc w:val="center"/>
              <w:rPr>
                <w:rFonts w:ascii="Times New Roman" w:hAnsi="Times New Roman" w:cs="Times New Roman"/>
                <w:b/>
                <w:bCs/>
              </w:rPr>
            </w:pPr>
            <w:r w:rsidRPr="002B005F">
              <w:rPr>
                <w:rFonts w:ascii="Times New Roman" w:hAnsi="Times New Roman" w:cs="Times New Roman"/>
                <w:b/>
                <w:bCs/>
              </w:rPr>
              <w:t>VAR</w:t>
            </w:r>
          </w:p>
        </w:tc>
        <w:tc>
          <w:tcPr>
            <w:tcW w:w="1559" w:type="dxa"/>
            <w:vAlign w:val="center"/>
          </w:tcPr>
          <w:p w14:paraId="4D50E2BD" w14:textId="77777777" w:rsidR="00993004" w:rsidRPr="002B005F" w:rsidRDefault="00993004" w:rsidP="00837D02">
            <w:pPr>
              <w:tabs>
                <w:tab w:val="left" w:pos="0"/>
              </w:tabs>
              <w:jc w:val="center"/>
              <w:rPr>
                <w:rFonts w:ascii="Times New Roman" w:hAnsi="Times New Roman" w:cs="Times New Roman"/>
                <w:b/>
                <w:bCs/>
              </w:rPr>
            </w:pPr>
            <w:r w:rsidRPr="002B005F">
              <w:rPr>
                <w:rFonts w:ascii="Times New Roman" w:hAnsi="Times New Roman" w:cs="Times New Roman"/>
                <w:b/>
                <w:bCs/>
              </w:rPr>
              <w:t>Stress test</w:t>
            </w:r>
          </w:p>
        </w:tc>
        <w:tc>
          <w:tcPr>
            <w:tcW w:w="1701" w:type="dxa"/>
            <w:vAlign w:val="center"/>
          </w:tcPr>
          <w:p w14:paraId="33174B72" w14:textId="77777777" w:rsidR="00993004" w:rsidRPr="002B005F" w:rsidRDefault="00993004" w:rsidP="00837D02">
            <w:pPr>
              <w:tabs>
                <w:tab w:val="left" w:pos="0"/>
              </w:tabs>
              <w:jc w:val="center"/>
              <w:rPr>
                <w:rFonts w:ascii="Times New Roman" w:hAnsi="Times New Roman" w:cs="Times New Roman"/>
                <w:b/>
                <w:bCs/>
              </w:rPr>
            </w:pPr>
            <w:r w:rsidRPr="002B005F">
              <w:rPr>
                <w:rFonts w:ascii="Times New Roman" w:hAnsi="Times New Roman" w:cs="Times New Roman"/>
                <w:b/>
                <w:bCs/>
              </w:rPr>
              <w:t>Notation de crédit</w:t>
            </w:r>
          </w:p>
        </w:tc>
      </w:tr>
      <w:tr w:rsidR="00993004" w:rsidRPr="002B005F" w14:paraId="4D6AA84A" w14:textId="77777777" w:rsidTr="00E57D7D">
        <w:trPr>
          <w:trHeight w:val="1531"/>
          <w:jc w:val="center"/>
        </w:trPr>
        <w:tc>
          <w:tcPr>
            <w:tcW w:w="3118" w:type="dxa"/>
          </w:tcPr>
          <w:p w14:paraId="29CEB429" w14:textId="77777777" w:rsidR="00363334" w:rsidRPr="002B005F" w:rsidRDefault="00993004" w:rsidP="00E57D7D">
            <w:pPr>
              <w:tabs>
                <w:tab w:val="left" w:pos="0"/>
              </w:tabs>
              <w:spacing w:before="120"/>
              <w:ind w:left="113"/>
              <w:jc w:val="left"/>
              <w:rPr>
                <w:rFonts w:ascii="Times New Roman" w:hAnsi="Times New Roman" w:cs="Times New Roman"/>
              </w:rPr>
            </w:pPr>
            <w:r w:rsidRPr="002B005F">
              <w:rPr>
                <w:rFonts w:ascii="Times New Roman" w:hAnsi="Times New Roman" w:cs="Times New Roman"/>
                <w:b/>
                <w:bCs/>
              </w:rPr>
              <w:t xml:space="preserve">Nature de </w:t>
            </w:r>
            <w:r w:rsidR="00363334" w:rsidRPr="002B005F">
              <w:rPr>
                <w:rFonts w:ascii="Times New Roman" w:hAnsi="Times New Roman" w:cs="Times New Roman"/>
                <w:b/>
                <w:bCs/>
              </w:rPr>
              <w:t>l’IF                      N</w:t>
            </w:r>
          </w:p>
          <w:p w14:paraId="79E2497B" w14:textId="77777777" w:rsidR="00993004" w:rsidRPr="002B005F" w:rsidRDefault="00993004" w:rsidP="00E57D7D">
            <w:pPr>
              <w:tabs>
                <w:tab w:val="left" w:pos="0"/>
              </w:tabs>
              <w:spacing w:before="120"/>
              <w:ind w:left="227"/>
              <w:jc w:val="left"/>
              <w:rPr>
                <w:rFonts w:ascii="Times New Roman" w:hAnsi="Times New Roman" w:cs="Times New Roman"/>
              </w:rPr>
            </w:pPr>
            <w:r w:rsidRPr="002B005F">
              <w:rPr>
                <w:rFonts w:ascii="Times New Roman" w:hAnsi="Times New Roman" w:cs="Times New Roman"/>
              </w:rPr>
              <w:t>BI à</w:t>
            </w:r>
            <w:r w:rsidR="00837D02" w:rsidRPr="002B005F">
              <w:rPr>
                <w:rFonts w:ascii="Times New Roman" w:hAnsi="Times New Roman" w:cs="Times New Roman"/>
              </w:rPr>
              <w:t xml:space="preserve"> part entière                  </w:t>
            </w:r>
            <w:r w:rsidRPr="002B005F">
              <w:rPr>
                <w:rFonts w:ascii="Times New Roman" w:hAnsi="Times New Roman" w:cs="Times New Roman"/>
              </w:rPr>
              <w:t>64</w:t>
            </w:r>
          </w:p>
          <w:p w14:paraId="7929E38C" w14:textId="77777777" w:rsidR="00993004" w:rsidRPr="002B005F" w:rsidRDefault="00837D02" w:rsidP="00E57D7D">
            <w:pPr>
              <w:tabs>
                <w:tab w:val="left" w:pos="0"/>
              </w:tabs>
              <w:spacing w:before="120"/>
              <w:ind w:left="227"/>
              <w:jc w:val="left"/>
              <w:rPr>
                <w:rFonts w:ascii="Times New Roman" w:hAnsi="Times New Roman" w:cs="Times New Roman"/>
              </w:rPr>
            </w:pPr>
            <w:r w:rsidRPr="002B005F">
              <w:rPr>
                <w:rFonts w:ascii="Times New Roman" w:hAnsi="Times New Roman" w:cs="Times New Roman"/>
              </w:rPr>
              <w:t xml:space="preserve">B à guichets </w:t>
            </w:r>
            <w:r w:rsidR="0096069F">
              <w:rPr>
                <w:rFonts w:ascii="Times New Roman" w:hAnsi="Times New Roman" w:cs="Times New Roman"/>
              </w:rPr>
              <w:t>i</w:t>
            </w:r>
            <w:r w:rsidR="003773C6" w:rsidRPr="002B005F">
              <w:rPr>
                <w:rFonts w:ascii="Times New Roman" w:hAnsi="Times New Roman" w:cs="Times New Roman"/>
              </w:rPr>
              <w:t>slamique</w:t>
            </w:r>
            <w:r w:rsidRPr="002B005F">
              <w:rPr>
                <w:rFonts w:ascii="Times New Roman" w:hAnsi="Times New Roman" w:cs="Times New Roman"/>
              </w:rPr>
              <w:t xml:space="preserve">s      </w:t>
            </w:r>
            <w:r w:rsidR="00993004" w:rsidRPr="002B005F">
              <w:rPr>
                <w:rFonts w:ascii="Times New Roman" w:hAnsi="Times New Roman" w:cs="Times New Roman"/>
              </w:rPr>
              <w:t>15</w:t>
            </w:r>
          </w:p>
          <w:p w14:paraId="570B7967" w14:textId="77777777" w:rsidR="00993004" w:rsidRPr="002B005F" w:rsidRDefault="00993004" w:rsidP="00E57D7D">
            <w:pPr>
              <w:spacing w:before="120"/>
              <w:ind w:left="1871"/>
              <w:rPr>
                <w:rFonts w:ascii="Times New Roman" w:hAnsi="Times New Roman" w:cs="Times New Roman"/>
                <w:b/>
                <w:bCs/>
              </w:rPr>
            </w:pPr>
            <w:r w:rsidRPr="002B005F">
              <w:rPr>
                <w:rFonts w:ascii="Times New Roman" w:hAnsi="Times New Roman" w:cs="Times New Roman"/>
                <w:b/>
                <w:bCs/>
              </w:rPr>
              <w:t xml:space="preserve">Total    </w:t>
            </w:r>
            <w:r w:rsidR="00155E23" w:rsidRPr="002B005F">
              <w:rPr>
                <w:rFonts w:ascii="Times New Roman" w:hAnsi="Times New Roman" w:cs="Times New Roman"/>
                <w:b/>
                <w:bCs/>
              </w:rPr>
              <w:t xml:space="preserve"> </w:t>
            </w:r>
            <w:r w:rsidRPr="002B005F">
              <w:rPr>
                <w:rFonts w:ascii="Times New Roman" w:hAnsi="Times New Roman" w:cs="Times New Roman"/>
                <w:b/>
                <w:bCs/>
              </w:rPr>
              <w:t>79</w:t>
            </w:r>
          </w:p>
        </w:tc>
        <w:tc>
          <w:tcPr>
            <w:tcW w:w="1701" w:type="dxa"/>
          </w:tcPr>
          <w:p w14:paraId="6E3D54E2" w14:textId="77777777" w:rsidR="00993004" w:rsidRPr="002B005F" w:rsidRDefault="00701AAF" w:rsidP="00E57D7D">
            <w:pPr>
              <w:tabs>
                <w:tab w:val="left" w:pos="0"/>
              </w:tabs>
              <w:spacing w:before="120"/>
              <w:ind w:left="170"/>
              <w:jc w:val="left"/>
              <w:rPr>
                <w:rFonts w:ascii="Times New Roman" w:hAnsi="Times New Roman" w:cs="Times New Roman"/>
                <w:b/>
                <w:bCs/>
              </w:rPr>
            </w:pPr>
            <w:r w:rsidRPr="002B005F">
              <w:rPr>
                <w:rFonts w:ascii="Times New Roman" w:hAnsi="Times New Roman" w:cs="Times New Roman"/>
                <w:b/>
                <w:bCs/>
              </w:rPr>
              <w:t xml:space="preserve">MP   </w:t>
            </w:r>
            <w:r w:rsidR="00155E23" w:rsidRPr="002B005F">
              <w:rPr>
                <w:rFonts w:ascii="Times New Roman" w:hAnsi="Times New Roman" w:cs="Times New Roman"/>
                <w:b/>
                <w:bCs/>
              </w:rPr>
              <w:t xml:space="preserve">   </w:t>
            </w:r>
            <w:r w:rsidR="00993004" w:rsidRPr="002B005F">
              <w:rPr>
                <w:rFonts w:ascii="Times New Roman" w:hAnsi="Times New Roman" w:cs="Times New Roman"/>
                <w:b/>
                <w:bCs/>
              </w:rPr>
              <w:t>Rang</w:t>
            </w:r>
          </w:p>
          <w:p w14:paraId="41EE5498" w14:textId="77777777" w:rsidR="00993004" w:rsidRPr="002B005F" w:rsidRDefault="00155E23" w:rsidP="00E57D7D">
            <w:pPr>
              <w:tabs>
                <w:tab w:val="left" w:pos="0"/>
              </w:tabs>
              <w:spacing w:before="120"/>
              <w:ind w:left="170"/>
              <w:jc w:val="left"/>
              <w:rPr>
                <w:rFonts w:ascii="Times New Roman" w:hAnsi="Times New Roman" w:cs="Times New Roman"/>
                <w:vertAlign w:val="superscript"/>
              </w:rPr>
            </w:pPr>
            <w:r w:rsidRPr="002B005F">
              <w:rPr>
                <w:rFonts w:ascii="Times New Roman" w:hAnsi="Times New Roman" w:cs="Times New Roman"/>
              </w:rPr>
              <w:t xml:space="preserve">34.05      </w:t>
            </w:r>
            <w:r w:rsidR="00993004" w:rsidRPr="002B005F">
              <w:rPr>
                <w:rFonts w:ascii="Times New Roman" w:hAnsi="Times New Roman" w:cs="Times New Roman"/>
              </w:rPr>
              <w:t>2</w:t>
            </w:r>
            <w:r w:rsidR="00993004" w:rsidRPr="002B005F">
              <w:rPr>
                <w:rFonts w:ascii="Times New Roman" w:hAnsi="Times New Roman" w:cs="Times New Roman"/>
                <w:vertAlign w:val="superscript"/>
              </w:rPr>
              <w:t>éme</w:t>
            </w:r>
          </w:p>
          <w:p w14:paraId="6F3013AC" w14:textId="77777777" w:rsidR="00993004" w:rsidRPr="002B005F" w:rsidRDefault="00155E23" w:rsidP="00E57D7D">
            <w:pPr>
              <w:tabs>
                <w:tab w:val="left" w:pos="0"/>
                <w:tab w:val="left" w:pos="1005"/>
              </w:tabs>
              <w:spacing w:before="120"/>
              <w:ind w:left="170"/>
              <w:jc w:val="left"/>
              <w:rPr>
                <w:rFonts w:ascii="Times New Roman" w:hAnsi="Times New Roman" w:cs="Times New Roman"/>
                <w:vertAlign w:val="superscript"/>
              </w:rPr>
            </w:pPr>
            <w:r w:rsidRPr="002B005F">
              <w:rPr>
                <w:rFonts w:ascii="Times New Roman" w:hAnsi="Times New Roman" w:cs="Times New Roman"/>
              </w:rPr>
              <w:t>34.6</w:t>
            </w:r>
            <w:r w:rsidR="00837D02" w:rsidRPr="002B005F">
              <w:rPr>
                <w:rFonts w:ascii="Times New Roman" w:hAnsi="Times New Roman" w:cs="Times New Roman"/>
              </w:rPr>
              <w:t xml:space="preserve">0      </w:t>
            </w:r>
            <w:r w:rsidR="00993004" w:rsidRPr="002B005F">
              <w:rPr>
                <w:rFonts w:ascii="Times New Roman" w:hAnsi="Times New Roman" w:cs="Times New Roman"/>
              </w:rPr>
              <w:t>1</w:t>
            </w:r>
            <w:r w:rsidR="00993004" w:rsidRPr="002B005F">
              <w:rPr>
                <w:rFonts w:ascii="Times New Roman" w:hAnsi="Times New Roman" w:cs="Times New Roman"/>
                <w:vertAlign w:val="superscript"/>
              </w:rPr>
              <w:t>er</w:t>
            </w:r>
          </w:p>
        </w:tc>
        <w:tc>
          <w:tcPr>
            <w:tcW w:w="1559" w:type="dxa"/>
          </w:tcPr>
          <w:p w14:paraId="226FA020" w14:textId="77777777" w:rsidR="00993004" w:rsidRPr="002B005F" w:rsidRDefault="00701AAF" w:rsidP="00E57D7D">
            <w:pPr>
              <w:tabs>
                <w:tab w:val="left" w:pos="0"/>
              </w:tabs>
              <w:spacing w:before="120"/>
              <w:ind w:left="170"/>
              <w:jc w:val="left"/>
              <w:rPr>
                <w:rFonts w:ascii="Times New Roman" w:hAnsi="Times New Roman" w:cs="Times New Roman"/>
                <w:b/>
                <w:bCs/>
              </w:rPr>
            </w:pPr>
            <w:r w:rsidRPr="002B005F">
              <w:rPr>
                <w:rFonts w:ascii="Times New Roman" w:hAnsi="Times New Roman" w:cs="Times New Roman"/>
                <w:b/>
                <w:bCs/>
              </w:rPr>
              <w:t xml:space="preserve">MP </w:t>
            </w:r>
            <w:r w:rsidR="00155E23" w:rsidRPr="002B005F">
              <w:rPr>
                <w:rFonts w:ascii="Times New Roman" w:hAnsi="Times New Roman" w:cs="Times New Roman"/>
                <w:b/>
                <w:bCs/>
              </w:rPr>
              <w:t xml:space="preserve">    </w:t>
            </w:r>
            <w:r w:rsidR="00993004" w:rsidRPr="002B005F">
              <w:rPr>
                <w:rFonts w:ascii="Times New Roman" w:hAnsi="Times New Roman" w:cs="Times New Roman"/>
                <w:b/>
                <w:bCs/>
              </w:rPr>
              <w:t xml:space="preserve"> Rang</w:t>
            </w:r>
          </w:p>
          <w:p w14:paraId="2F5EC22B" w14:textId="77777777" w:rsidR="00993004" w:rsidRPr="002B005F" w:rsidRDefault="00155E23" w:rsidP="00E57D7D">
            <w:pPr>
              <w:tabs>
                <w:tab w:val="left" w:pos="0"/>
              </w:tabs>
              <w:spacing w:before="120"/>
              <w:ind w:left="170"/>
              <w:jc w:val="left"/>
              <w:rPr>
                <w:rFonts w:ascii="Times New Roman" w:hAnsi="Times New Roman" w:cs="Times New Roman"/>
                <w:vertAlign w:val="superscript"/>
              </w:rPr>
            </w:pPr>
            <w:r w:rsidRPr="002B005F">
              <w:rPr>
                <w:rFonts w:ascii="Times New Roman" w:hAnsi="Times New Roman" w:cs="Times New Roman"/>
              </w:rPr>
              <w:t xml:space="preserve">27.43      </w:t>
            </w:r>
            <w:r w:rsidR="00993004" w:rsidRPr="002B005F">
              <w:rPr>
                <w:rFonts w:ascii="Times New Roman" w:hAnsi="Times New Roman" w:cs="Times New Roman"/>
              </w:rPr>
              <w:t>2</w:t>
            </w:r>
            <w:r w:rsidR="00993004" w:rsidRPr="002B005F">
              <w:rPr>
                <w:rFonts w:ascii="Times New Roman" w:hAnsi="Times New Roman" w:cs="Times New Roman"/>
                <w:vertAlign w:val="superscript"/>
              </w:rPr>
              <w:t>éme</w:t>
            </w:r>
          </w:p>
          <w:p w14:paraId="614BBD97" w14:textId="77777777" w:rsidR="00993004" w:rsidRPr="002B005F" w:rsidRDefault="00155E23" w:rsidP="00E57D7D">
            <w:pPr>
              <w:tabs>
                <w:tab w:val="left" w:pos="0"/>
              </w:tabs>
              <w:spacing w:before="120"/>
              <w:ind w:left="170"/>
              <w:jc w:val="left"/>
              <w:rPr>
                <w:rFonts w:ascii="Times New Roman" w:hAnsi="Times New Roman" w:cs="Times New Roman"/>
                <w:vertAlign w:val="superscript"/>
              </w:rPr>
            </w:pPr>
            <w:r w:rsidRPr="002B005F">
              <w:rPr>
                <w:rFonts w:ascii="Times New Roman" w:hAnsi="Times New Roman" w:cs="Times New Roman"/>
              </w:rPr>
              <w:t xml:space="preserve">38.56      </w:t>
            </w:r>
            <w:r w:rsidR="00993004" w:rsidRPr="002B005F">
              <w:rPr>
                <w:rFonts w:ascii="Times New Roman" w:hAnsi="Times New Roman" w:cs="Times New Roman"/>
              </w:rPr>
              <w:t>1</w:t>
            </w:r>
            <w:r w:rsidR="00993004" w:rsidRPr="002B005F">
              <w:rPr>
                <w:rFonts w:ascii="Times New Roman" w:hAnsi="Times New Roman" w:cs="Times New Roman"/>
                <w:vertAlign w:val="superscript"/>
              </w:rPr>
              <w:t>er</w:t>
            </w:r>
          </w:p>
        </w:tc>
        <w:tc>
          <w:tcPr>
            <w:tcW w:w="1701" w:type="dxa"/>
          </w:tcPr>
          <w:p w14:paraId="31B53F1F" w14:textId="77777777" w:rsidR="00993004" w:rsidRPr="002B005F" w:rsidRDefault="005611D5" w:rsidP="00E57D7D">
            <w:pPr>
              <w:tabs>
                <w:tab w:val="left" w:pos="0"/>
              </w:tabs>
              <w:spacing w:before="120"/>
              <w:ind w:left="170"/>
              <w:jc w:val="left"/>
              <w:rPr>
                <w:rFonts w:ascii="Times New Roman" w:hAnsi="Times New Roman" w:cs="Times New Roman"/>
                <w:b/>
                <w:bCs/>
              </w:rPr>
            </w:pPr>
            <w:r w:rsidRPr="002B005F">
              <w:rPr>
                <w:rFonts w:ascii="Times New Roman" w:hAnsi="Times New Roman" w:cs="Times New Roman"/>
                <w:b/>
                <w:bCs/>
              </w:rPr>
              <w:t>MP</w:t>
            </w:r>
            <w:r w:rsidR="00993004" w:rsidRPr="002B005F">
              <w:rPr>
                <w:rFonts w:ascii="Times New Roman" w:hAnsi="Times New Roman" w:cs="Times New Roman"/>
                <w:b/>
                <w:bCs/>
              </w:rPr>
              <w:t xml:space="preserve">      Rang</w:t>
            </w:r>
          </w:p>
          <w:p w14:paraId="11434601" w14:textId="77777777" w:rsidR="00837D02" w:rsidRPr="002B005F" w:rsidRDefault="00155E23" w:rsidP="00E57D7D">
            <w:pPr>
              <w:tabs>
                <w:tab w:val="left" w:pos="0"/>
              </w:tabs>
              <w:spacing w:before="120"/>
              <w:ind w:left="170"/>
              <w:jc w:val="left"/>
              <w:rPr>
                <w:rFonts w:ascii="Times New Roman" w:hAnsi="Times New Roman" w:cs="Times New Roman"/>
              </w:rPr>
            </w:pPr>
            <w:r w:rsidRPr="002B005F">
              <w:rPr>
                <w:rFonts w:ascii="Times New Roman" w:hAnsi="Times New Roman" w:cs="Times New Roman"/>
              </w:rPr>
              <w:t>36.2</w:t>
            </w:r>
            <w:r w:rsidR="00837D02" w:rsidRPr="002B005F">
              <w:rPr>
                <w:rFonts w:ascii="Times New Roman" w:hAnsi="Times New Roman" w:cs="Times New Roman"/>
              </w:rPr>
              <w:t xml:space="preserve">0   </w:t>
            </w:r>
            <w:r w:rsidRPr="002B005F">
              <w:rPr>
                <w:rFonts w:ascii="Times New Roman" w:hAnsi="Times New Roman" w:cs="Times New Roman"/>
              </w:rPr>
              <w:t xml:space="preserve">   </w:t>
            </w:r>
            <w:r w:rsidR="00993004" w:rsidRPr="002B005F">
              <w:rPr>
                <w:rFonts w:ascii="Times New Roman" w:hAnsi="Times New Roman" w:cs="Times New Roman"/>
              </w:rPr>
              <w:t>2</w:t>
            </w:r>
            <w:r w:rsidR="00993004" w:rsidRPr="002B005F">
              <w:rPr>
                <w:rFonts w:ascii="Times New Roman" w:hAnsi="Times New Roman" w:cs="Times New Roman"/>
                <w:vertAlign w:val="superscript"/>
              </w:rPr>
              <w:t>éme</w:t>
            </w:r>
          </w:p>
          <w:p w14:paraId="5CE1619D" w14:textId="77777777" w:rsidR="00993004" w:rsidRPr="002B005F" w:rsidRDefault="00837D02" w:rsidP="00E57D7D">
            <w:pPr>
              <w:tabs>
                <w:tab w:val="left" w:pos="0"/>
              </w:tabs>
              <w:spacing w:before="120"/>
              <w:ind w:left="170"/>
              <w:jc w:val="left"/>
              <w:rPr>
                <w:rFonts w:ascii="Times New Roman" w:hAnsi="Times New Roman" w:cs="Times New Roman"/>
              </w:rPr>
            </w:pPr>
            <w:r w:rsidRPr="002B005F">
              <w:rPr>
                <w:rFonts w:ascii="Times New Roman" w:hAnsi="Times New Roman" w:cs="Times New Roman"/>
              </w:rPr>
              <w:t xml:space="preserve">33.62      </w:t>
            </w:r>
            <w:r w:rsidR="00993004" w:rsidRPr="002B005F">
              <w:rPr>
                <w:rFonts w:ascii="Times New Roman" w:hAnsi="Times New Roman" w:cs="Times New Roman"/>
              </w:rPr>
              <w:t>1</w:t>
            </w:r>
            <w:r w:rsidR="00993004" w:rsidRPr="002B005F">
              <w:rPr>
                <w:rFonts w:ascii="Times New Roman" w:hAnsi="Times New Roman" w:cs="Times New Roman"/>
                <w:vertAlign w:val="superscript"/>
              </w:rPr>
              <w:t>er</w:t>
            </w:r>
          </w:p>
        </w:tc>
      </w:tr>
    </w:tbl>
    <w:p w14:paraId="0FC6FA13" w14:textId="77777777" w:rsidR="002760B2" w:rsidRPr="002B005F" w:rsidRDefault="002760B2" w:rsidP="007E0254">
      <w:pPr>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Source :</w:t>
      </w:r>
      <w:r w:rsidRPr="002B005F">
        <w:rPr>
          <w:rFonts w:ascii="Times New Roman" w:hAnsi="Times New Roman" w:cs="Times New Roman"/>
          <w:color w:val="2E74B5" w:themeColor="accent1" w:themeShade="BF"/>
          <w:sz w:val="20"/>
          <w:szCs w:val="20"/>
        </w:rPr>
        <w:t xml:space="preserve"> </w:t>
      </w:r>
      <w:r w:rsidRPr="002B005F">
        <w:rPr>
          <w:rFonts w:ascii="Times New Roman" w:hAnsi="Times New Roman" w:cs="Times New Roman"/>
          <w:sz w:val="20"/>
          <w:szCs w:val="20"/>
        </w:rPr>
        <w:t>calculs du chercheur.</w:t>
      </w:r>
    </w:p>
    <w:p w14:paraId="5F74608D" w14:textId="77777777" w:rsidR="002760B2" w:rsidRPr="002B005F" w:rsidRDefault="009D3601" w:rsidP="00A90914">
      <w:pPr>
        <w:pStyle w:val="Paragraphedeliste"/>
        <w:tabs>
          <w:tab w:val="left" w:pos="0"/>
        </w:tabs>
        <w:spacing w:before="100" w:beforeAutospacing="1" w:line="300" w:lineRule="auto"/>
        <w:ind w:left="0" w:firstLine="709"/>
        <w:contextualSpacing w:val="0"/>
        <w:rPr>
          <w:rFonts w:ascii="Times New Roman" w:hAnsi="Times New Roman" w:cs="Times New Roman"/>
          <w:sz w:val="24"/>
          <w:szCs w:val="24"/>
        </w:rPr>
      </w:pPr>
      <w:r>
        <w:rPr>
          <w:rFonts w:ascii="Times New Roman" w:hAnsi="Times New Roman" w:cs="Times New Roman"/>
          <w:sz w:val="24"/>
          <w:szCs w:val="24"/>
        </w:rPr>
        <w:t>L</w:t>
      </w:r>
      <w:r w:rsidR="002760B2" w:rsidRPr="002B005F">
        <w:rPr>
          <w:rFonts w:ascii="Times New Roman" w:hAnsi="Times New Roman" w:cs="Times New Roman"/>
          <w:sz w:val="24"/>
          <w:szCs w:val="24"/>
        </w:rPr>
        <w:t>es résultats du tableau 4</w:t>
      </w:r>
      <w:r>
        <w:rPr>
          <w:rFonts w:ascii="Times New Roman" w:hAnsi="Times New Roman" w:cs="Times New Roman"/>
          <w:sz w:val="24"/>
          <w:szCs w:val="24"/>
        </w:rPr>
        <w:t>1</w:t>
      </w:r>
      <w:r w:rsidR="002760B2" w:rsidRPr="002B005F">
        <w:rPr>
          <w:rFonts w:ascii="Times New Roman" w:hAnsi="Times New Roman" w:cs="Times New Roman"/>
          <w:sz w:val="24"/>
          <w:szCs w:val="24"/>
        </w:rPr>
        <w:t xml:space="preserve"> confirment qu'il existe une tendance particulière déterminée par les réalités du marché. L'utilisation des techniques de gestion des risques dans les IFI n'est pas aussi sophistiquée et largement répandue que dans le monde ba</w:t>
      </w:r>
      <w:r w:rsidR="009543A1" w:rsidRPr="002B005F">
        <w:rPr>
          <w:rFonts w:ascii="Times New Roman" w:hAnsi="Times New Roman" w:cs="Times New Roman"/>
          <w:sz w:val="24"/>
          <w:szCs w:val="24"/>
        </w:rPr>
        <w:t xml:space="preserve">ncaire conventionnel (à guichet </w:t>
      </w:r>
      <w:r w:rsidR="002F054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760B2" w:rsidRPr="002B005F">
        <w:rPr>
          <w:rFonts w:ascii="Times New Roman" w:hAnsi="Times New Roman" w:cs="Times New Roman"/>
          <w:sz w:val="24"/>
          <w:szCs w:val="24"/>
        </w:rPr>
        <w:t xml:space="preserve">). La Banque </w:t>
      </w:r>
      <w:r w:rsidR="002F054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002760B2" w:rsidRPr="002B005F">
        <w:rPr>
          <w:rFonts w:ascii="Times New Roman" w:hAnsi="Times New Roman" w:cs="Times New Roman"/>
          <w:sz w:val="24"/>
          <w:szCs w:val="24"/>
        </w:rPr>
        <w:t xml:space="preserve"> à part entière se classe au 2</w:t>
      </w:r>
      <w:r w:rsidR="00E57D7D" w:rsidRPr="002B005F">
        <w:rPr>
          <w:rFonts w:ascii="Times New Roman" w:hAnsi="Times New Roman" w:cs="Times New Roman"/>
          <w:sz w:val="24"/>
          <w:szCs w:val="24"/>
          <w:vertAlign w:val="superscript"/>
        </w:rPr>
        <w:t>ème</w:t>
      </w:r>
      <w:r w:rsidR="00E57D7D" w:rsidRPr="002B005F">
        <w:rPr>
          <w:rFonts w:ascii="Times New Roman" w:hAnsi="Times New Roman" w:cs="Times New Roman"/>
          <w:sz w:val="24"/>
          <w:szCs w:val="24"/>
        </w:rPr>
        <w:t xml:space="preserve"> </w:t>
      </w:r>
      <w:r w:rsidR="002760B2" w:rsidRPr="002B005F">
        <w:rPr>
          <w:rFonts w:ascii="Times New Roman" w:hAnsi="Times New Roman" w:cs="Times New Roman"/>
          <w:sz w:val="24"/>
          <w:szCs w:val="24"/>
        </w:rPr>
        <w:t>rang pour l'ensemble des techniques, car peu d'IFI utilisent les approches de mesure des risques les plus avancées sur le plan technique, comme en témoigne le classement moyen du tableau précédent.</w:t>
      </w:r>
    </w:p>
    <w:p w14:paraId="0EA8DD2A" w14:textId="77777777" w:rsidR="002760B2" w:rsidRPr="00B10E91" w:rsidRDefault="009D3601" w:rsidP="00AC4110">
      <w:pPr>
        <w:pStyle w:val="Titre5"/>
        <w:keepNext w:val="0"/>
        <w:keepLines w:val="0"/>
        <w:spacing w:before="100" w:beforeAutospacing="1" w:line="300" w:lineRule="auto"/>
        <w:ind w:firstLine="709"/>
        <w:rPr>
          <w:rFonts w:asciiTheme="majorBidi" w:hAnsiTheme="majorBidi"/>
          <w:b/>
          <w:bCs/>
          <w:color w:val="auto"/>
          <w:sz w:val="24"/>
          <w:szCs w:val="24"/>
        </w:rPr>
      </w:pPr>
      <w:bookmarkStart w:id="1751" w:name="_Toc182298930"/>
      <w:r w:rsidRPr="00B10E91">
        <w:rPr>
          <w:rFonts w:asciiTheme="majorBidi" w:hAnsiTheme="majorBidi"/>
          <w:b/>
          <w:bCs/>
          <w:color w:val="auto"/>
          <w:sz w:val="24"/>
          <w:szCs w:val="24"/>
        </w:rPr>
        <w:t>2</w:t>
      </w:r>
      <w:r w:rsidR="00626433" w:rsidRPr="00B10E91">
        <w:rPr>
          <w:rFonts w:asciiTheme="majorBidi" w:hAnsiTheme="majorBidi"/>
          <w:b/>
          <w:bCs/>
          <w:color w:val="auto"/>
          <w:sz w:val="24"/>
          <w:szCs w:val="24"/>
        </w:rPr>
        <w:t>.2.3.2-</w:t>
      </w:r>
      <w:r w:rsidR="00E7403C" w:rsidRPr="00B10E91">
        <w:rPr>
          <w:rFonts w:asciiTheme="majorBidi" w:hAnsiTheme="majorBidi"/>
          <w:b/>
          <w:bCs/>
          <w:color w:val="auto"/>
          <w:sz w:val="24"/>
          <w:szCs w:val="24"/>
        </w:rPr>
        <w:t>Atténuation des risques</w:t>
      </w:r>
      <w:bookmarkEnd w:id="1751"/>
    </w:p>
    <w:p w14:paraId="7F3942DC" w14:textId="09CBEB5E" w:rsidR="002760B2" w:rsidRPr="002B005F" w:rsidRDefault="002760B2" w:rsidP="00064593">
      <w:pPr>
        <w:pStyle w:val="Paragraphedeliste"/>
        <w:tabs>
          <w:tab w:val="left" w:pos="0"/>
        </w:tabs>
        <w:spacing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 xml:space="preserve">Comme nous avons discuté précédemment, l'atténuation des risques est une question controversée dans le secteur bancaire </w:t>
      </w:r>
      <w:r w:rsidR="002F054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 xml:space="preserve">. Différentes techniques d'atténuation sont soumises à différentes interprétations par les érudits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 xml:space="preserve">. Des efforts considérables ont été déployés pour développer des instruments de couverture conformes à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2B005F">
        <w:rPr>
          <w:rFonts w:ascii="Times New Roman" w:hAnsi="Times New Roman" w:cs="Times New Roman"/>
          <w:sz w:val="24"/>
          <w:szCs w:val="24"/>
        </w:rPr>
        <w:t xml:space="preserve">, surtout en ce qui concerne les produits financiers participatifs qui sont l'objet de cette section. La question 22 vise à découvrir les techniques d’atténuation des risques utilisées pour les produits participatifs, en fonction de cinq variables de </w:t>
      </w:r>
      <w:r w:rsidR="009543A1" w:rsidRPr="002B005F">
        <w:rPr>
          <w:rFonts w:ascii="Times New Roman" w:hAnsi="Times New Roman" w:cs="Times New Roman"/>
          <w:sz w:val="24"/>
          <w:szCs w:val="24"/>
        </w:rPr>
        <w:t>contrôle :</w:t>
      </w:r>
      <w:r w:rsidRPr="002B005F">
        <w:rPr>
          <w:rFonts w:ascii="Times New Roman" w:hAnsi="Times New Roman" w:cs="Times New Roman"/>
          <w:sz w:val="24"/>
          <w:szCs w:val="24"/>
        </w:rPr>
        <w:t xml:space="preserve"> région, poste du répondant, nature de l'IF, nature des activités et normes comptables.</w:t>
      </w:r>
    </w:p>
    <w:p w14:paraId="52C6F160" w14:textId="73CFD9C3" w:rsidR="000C1CC2" w:rsidRPr="002D367B" w:rsidRDefault="002D367B" w:rsidP="00D66FFE">
      <w:pPr>
        <w:pStyle w:val="Lgende"/>
        <w:spacing w:before="100" w:beforeAutospacing="1" w:after="120"/>
        <w:jc w:val="center"/>
        <w:rPr>
          <w:rFonts w:asciiTheme="majorBidi" w:hAnsiTheme="majorBidi" w:cstheme="majorBidi"/>
          <w:color w:val="auto"/>
          <w:sz w:val="24"/>
          <w:szCs w:val="24"/>
        </w:rPr>
      </w:pPr>
      <w:bookmarkStart w:id="1752" w:name="_Toc115556110"/>
      <w:r w:rsidRPr="002D367B">
        <w:rPr>
          <w:rFonts w:asciiTheme="majorBidi" w:hAnsiTheme="majorBidi" w:cstheme="majorBidi"/>
          <w:color w:val="auto"/>
          <w:sz w:val="24"/>
          <w:szCs w:val="24"/>
        </w:rPr>
        <w:t xml:space="preserve">Tableau </w:t>
      </w:r>
      <w:r w:rsidR="00B544E5" w:rsidRPr="002D367B">
        <w:rPr>
          <w:rFonts w:asciiTheme="majorBidi" w:hAnsiTheme="majorBidi" w:cstheme="majorBidi"/>
          <w:color w:val="auto"/>
          <w:sz w:val="24"/>
          <w:szCs w:val="24"/>
        </w:rPr>
        <w:fldChar w:fldCharType="begin"/>
      </w:r>
      <w:r w:rsidRPr="002D367B">
        <w:rPr>
          <w:rFonts w:asciiTheme="majorBidi" w:hAnsiTheme="majorBidi" w:cstheme="majorBidi"/>
          <w:color w:val="auto"/>
          <w:sz w:val="24"/>
          <w:szCs w:val="24"/>
        </w:rPr>
        <w:instrText xml:space="preserve"> SEQ Tableau \* ARABIC </w:instrText>
      </w:r>
      <w:r w:rsidR="00B544E5" w:rsidRPr="002D367B">
        <w:rPr>
          <w:rFonts w:asciiTheme="majorBidi" w:hAnsiTheme="majorBidi" w:cstheme="majorBidi"/>
          <w:color w:val="auto"/>
          <w:sz w:val="24"/>
          <w:szCs w:val="24"/>
        </w:rPr>
        <w:fldChar w:fldCharType="separate"/>
      </w:r>
      <w:r w:rsidR="00666FC7">
        <w:rPr>
          <w:rFonts w:asciiTheme="majorBidi" w:hAnsiTheme="majorBidi" w:cstheme="majorBidi"/>
          <w:noProof/>
          <w:color w:val="auto"/>
          <w:sz w:val="24"/>
          <w:szCs w:val="24"/>
        </w:rPr>
        <w:t>42</w:t>
      </w:r>
      <w:r w:rsidR="00B544E5" w:rsidRPr="002D367B">
        <w:rPr>
          <w:rFonts w:asciiTheme="majorBidi" w:hAnsiTheme="majorBidi" w:cstheme="majorBidi"/>
          <w:color w:val="auto"/>
          <w:sz w:val="24"/>
          <w:szCs w:val="24"/>
        </w:rPr>
        <w:fldChar w:fldCharType="end"/>
      </w:r>
      <w:r w:rsidRPr="002D367B">
        <w:rPr>
          <w:rFonts w:asciiTheme="majorBidi" w:hAnsiTheme="majorBidi" w:cstheme="majorBidi"/>
          <w:color w:val="auto"/>
          <w:sz w:val="24"/>
          <w:szCs w:val="24"/>
        </w:rPr>
        <w:t>- Résultats du test K-W (Atténuation des risques) selon les différentes variables de contrôle</w:t>
      </w:r>
      <w:bookmarkEnd w:id="1752"/>
    </w:p>
    <w:tbl>
      <w:tblPr>
        <w:tblStyle w:val="Trameclaire-Accent5"/>
        <w:tblW w:w="90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1417"/>
        <w:gridCol w:w="763"/>
        <w:gridCol w:w="771"/>
        <w:gridCol w:w="761"/>
        <w:gridCol w:w="769"/>
        <w:gridCol w:w="764"/>
        <w:gridCol w:w="767"/>
        <w:gridCol w:w="763"/>
        <w:gridCol w:w="768"/>
        <w:gridCol w:w="763"/>
        <w:gridCol w:w="768"/>
      </w:tblGrid>
      <w:tr w:rsidR="00870784" w:rsidRPr="002B005F" w14:paraId="4571E8F4" w14:textId="77777777" w:rsidTr="00870784">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417" w:type="dxa"/>
            <w:vMerge w:val="restart"/>
            <w:vAlign w:val="center"/>
          </w:tcPr>
          <w:p w14:paraId="3526C8AA" w14:textId="77777777" w:rsidR="00870784" w:rsidRPr="002B005F" w:rsidRDefault="00870784" w:rsidP="00E57D7D">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Techniques d’atténuation des risques</w:t>
            </w:r>
          </w:p>
        </w:tc>
        <w:tc>
          <w:tcPr>
            <w:tcW w:w="1534" w:type="dxa"/>
            <w:gridSpan w:val="2"/>
            <w:vAlign w:val="center"/>
          </w:tcPr>
          <w:p w14:paraId="2BED04F7" w14:textId="77777777" w:rsidR="00870784" w:rsidRPr="002B005F" w:rsidRDefault="00870784" w:rsidP="00CD6FE6">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Région</w:t>
            </w:r>
          </w:p>
        </w:tc>
        <w:tc>
          <w:tcPr>
            <w:tcW w:w="1530" w:type="dxa"/>
            <w:gridSpan w:val="2"/>
            <w:vAlign w:val="center"/>
          </w:tcPr>
          <w:p w14:paraId="3EE43E17" w14:textId="77777777" w:rsidR="00870784" w:rsidRPr="002B005F" w:rsidRDefault="00870784" w:rsidP="00CD6FE6">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Poste du répondant</w:t>
            </w:r>
          </w:p>
        </w:tc>
        <w:tc>
          <w:tcPr>
            <w:tcW w:w="1531" w:type="dxa"/>
            <w:gridSpan w:val="2"/>
            <w:vAlign w:val="center"/>
          </w:tcPr>
          <w:p w14:paraId="552EC156" w14:textId="77777777" w:rsidR="00870784" w:rsidRPr="002B005F" w:rsidRDefault="00870784" w:rsidP="00CD6FE6">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Nature de l’IF</w:t>
            </w:r>
          </w:p>
        </w:tc>
        <w:tc>
          <w:tcPr>
            <w:tcW w:w="1531" w:type="dxa"/>
            <w:gridSpan w:val="2"/>
            <w:vAlign w:val="center"/>
          </w:tcPr>
          <w:p w14:paraId="7DBBD6EE" w14:textId="77777777" w:rsidR="00870784" w:rsidRPr="002B005F" w:rsidRDefault="00870784" w:rsidP="00CD6FE6">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Nature d’activités</w:t>
            </w:r>
          </w:p>
        </w:tc>
        <w:tc>
          <w:tcPr>
            <w:tcW w:w="1531" w:type="dxa"/>
            <w:gridSpan w:val="2"/>
            <w:vAlign w:val="center"/>
          </w:tcPr>
          <w:p w14:paraId="2A316EBC" w14:textId="77777777" w:rsidR="00870784" w:rsidRPr="002B005F" w:rsidRDefault="00870784" w:rsidP="00CD6FE6">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Standards comptables</w:t>
            </w:r>
          </w:p>
        </w:tc>
      </w:tr>
      <w:tr w:rsidR="00870784" w:rsidRPr="002B005F" w14:paraId="62E00213" w14:textId="77777777" w:rsidTr="0087078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417" w:type="dxa"/>
            <w:vMerge/>
            <w:vAlign w:val="center"/>
          </w:tcPr>
          <w:p w14:paraId="3E02BD7F" w14:textId="77777777" w:rsidR="00870784" w:rsidRPr="002B005F" w:rsidRDefault="00870784" w:rsidP="00E57D7D">
            <w:pPr>
              <w:tabs>
                <w:tab w:val="left" w:pos="0"/>
              </w:tabs>
              <w:ind w:left="57"/>
              <w:jc w:val="left"/>
              <w:rPr>
                <w:rFonts w:ascii="Times New Roman" w:hAnsi="Times New Roman" w:cs="Times New Roman"/>
                <w:color w:val="auto"/>
              </w:rPr>
            </w:pPr>
          </w:p>
        </w:tc>
        <w:tc>
          <w:tcPr>
            <w:tcW w:w="763" w:type="dxa"/>
            <w:vAlign w:val="center"/>
          </w:tcPr>
          <w:p w14:paraId="0A2C7759" w14:textId="77777777" w:rsidR="00870784" w:rsidRPr="002B005F" w:rsidRDefault="00870784" w:rsidP="00E57D7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71" w:type="dxa"/>
            <w:vAlign w:val="center"/>
          </w:tcPr>
          <w:p w14:paraId="66EB4C60" w14:textId="77777777" w:rsidR="00870784" w:rsidRPr="002B005F" w:rsidRDefault="00870784" w:rsidP="00E57D7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1" w:type="dxa"/>
            <w:vAlign w:val="center"/>
          </w:tcPr>
          <w:p w14:paraId="6BDDDDCF" w14:textId="77777777" w:rsidR="00870784" w:rsidRPr="002B005F" w:rsidRDefault="00870784" w:rsidP="00E57D7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9" w:type="dxa"/>
            <w:vAlign w:val="center"/>
          </w:tcPr>
          <w:p w14:paraId="39932D5C" w14:textId="77777777" w:rsidR="00870784" w:rsidRPr="002B005F" w:rsidRDefault="00870784" w:rsidP="00E57D7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4" w:type="dxa"/>
            <w:vAlign w:val="center"/>
          </w:tcPr>
          <w:p w14:paraId="5E3FF045" w14:textId="77777777" w:rsidR="00870784" w:rsidRPr="002B005F" w:rsidRDefault="00870784" w:rsidP="00E57D7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7" w:type="dxa"/>
            <w:vAlign w:val="center"/>
          </w:tcPr>
          <w:p w14:paraId="55F17CB4" w14:textId="77777777" w:rsidR="00870784" w:rsidRPr="002B005F" w:rsidRDefault="00870784" w:rsidP="00E57D7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3" w:type="dxa"/>
            <w:vAlign w:val="center"/>
          </w:tcPr>
          <w:p w14:paraId="2C49E5FA" w14:textId="77777777" w:rsidR="00870784" w:rsidRPr="002B005F" w:rsidRDefault="00870784" w:rsidP="00E57D7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8" w:type="dxa"/>
            <w:vAlign w:val="center"/>
          </w:tcPr>
          <w:p w14:paraId="2A086078" w14:textId="77777777" w:rsidR="00870784" w:rsidRPr="002B005F" w:rsidRDefault="00870784" w:rsidP="00E57D7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c>
          <w:tcPr>
            <w:tcW w:w="763" w:type="dxa"/>
            <w:vAlign w:val="center"/>
          </w:tcPr>
          <w:p w14:paraId="1E699B5C" w14:textId="77777777" w:rsidR="00870784" w:rsidRPr="002B005F" w:rsidRDefault="00870784" w:rsidP="00E57D7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Chi-deux</w:t>
            </w:r>
          </w:p>
        </w:tc>
        <w:tc>
          <w:tcPr>
            <w:tcW w:w="768" w:type="dxa"/>
            <w:vAlign w:val="center"/>
          </w:tcPr>
          <w:p w14:paraId="5479E200" w14:textId="77777777" w:rsidR="00870784" w:rsidRPr="002B005F" w:rsidRDefault="00870784" w:rsidP="00E57D7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Asym. Sig</w:t>
            </w:r>
          </w:p>
        </w:tc>
      </w:tr>
      <w:tr w:rsidR="002760B2" w:rsidRPr="002B005F" w14:paraId="22B0DE82" w14:textId="77777777" w:rsidTr="00A43018">
        <w:trPr>
          <w:trHeight w:val="680"/>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46BC7835" w14:textId="77777777" w:rsidR="002760B2" w:rsidRPr="002B005F" w:rsidRDefault="002760B2" w:rsidP="00E57D7D">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Réserves pour pertes</w:t>
            </w:r>
          </w:p>
        </w:tc>
        <w:tc>
          <w:tcPr>
            <w:tcW w:w="1534" w:type="dxa"/>
            <w:gridSpan w:val="2"/>
            <w:vAlign w:val="center"/>
          </w:tcPr>
          <w:p w14:paraId="475C52E9" w14:textId="77777777" w:rsidR="002760B2" w:rsidRPr="002B005F" w:rsidRDefault="00A43018"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9.65</w:t>
            </w:r>
            <w:r w:rsidR="002760B2" w:rsidRPr="002B005F">
              <w:rPr>
                <w:rFonts w:ascii="Times New Roman" w:hAnsi="Times New Roman" w:cs="Times New Roman"/>
                <w:color w:val="auto"/>
              </w:rPr>
              <w:t xml:space="preserve">   0.086</w:t>
            </w:r>
          </w:p>
        </w:tc>
        <w:tc>
          <w:tcPr>
            <w:tcW w:w="1530" w:type="dxa"/>
            <w:gridSpan w:val="2"/>
            <w:vAlign w:val="center"/>
          </w:tcPr>
          <w:p w14:paraId="3BE57D53"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22.84</w:t>
            </w:r>
            <w:r w:rsidR="00A43018" w:rsidRPr="002B005F">
              <w:rPr>
                <w:rFonts w:ascii="Times New Roman" w:hAnsi="Times New Roman" w:cs="Times New Roman"/>
                <w:color w:val="auto"/>
              </w:rPr>
              <w:t>0</w:t>
            </w:r>
            <w:r w:rsidRPr="002B005F">
              <w:rPr>
                <w:rFonts w:ascii="Times New Roman" w:hAnsi="Times New Roman" w:cs="Times New Roman"/>
                <w:color w:val="auto"/>
              </w:rPr>
              <w:t xml:space="preserve">   </w:t>
            </w:r>
            <w:r w:rsidRPr="002B005F">
              <w:rPr>
                <w:rFonts w:ascii="Times New Roman" w:hAnsi="Times New Roman" w:cs="Times New Roman"/>
                <w:b/>
                <w:bCs/>
                <w:color w:val="auto"/>
              </w:rPr>
              <w:t>0.011</w:t>
            </w:r>
          </w:p>
        </w:tc>
        <w:tc>
          <w:tcPr>
            <w:tcW w:w="1531" w:type="dxa"/>
            <w:gridSpan w:val="2"/>
            <w:vAlign w:val="center"/>
          </w:tcPr>
          <w:p w14:paraId="6E05BA55"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44.91   </w:t>
            </w:r>
            <w:r w:rsidRPr="002B005F">
              <w:rPr>
                <w:rFonts w:ascii="Times New Roman" w:hAnsi="Times New Roman" w:cs="Times New Roman"/>
                <w:b/>
                <w:bCs/>
                <w:color w:val="auto"/>
              </w:rPr>
              <w:t>0.000</w:t>
            </w:r>
          </w:p>
        </w:tc>
        <w:tc>
          <w:tcPr>
            <w:tcW w:w="1531" w:type="dxa"/>
            <w:gridSpan w:val="2"/>
            <w:vAlign w:val="center"/>
          </w:tcPr>
          <w:p w14:paraId="6CCA3F45"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8.483   0.135</w:t>
            </w:r>
          </w:p>
        </w:tc>
        <w:tc>
          <w:tcPr>
            <w:tcW w:w="1531" w:type="dxa"/>
            <w:gridSpan w:val="2"/>
            <w:vAlign w:val="center"/>
          </w:tcPr>
          <w:p w14:paraId="25EA2597" w14:textId="77777777" w:rsidR="002760B2" w:rsidRPr="002B005F" w:rsidRDefault="00A43018"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5.365  </w:t>
            </w:r>
            <w:r w:rsidR="002760B2" w:rsidRPr="002B005F">
              <w:rPr>
                <w:rFonts w:ascii="Times New Roman" w:hAnsi="Times New Roman" w:cs="Times New Roman"/>
                <w:color w:val="auto"/>
              </w:rPr>
              <w:t xml:space="preserve"> 0.147</w:t>
            </w:r>
          </w:p>
        </w:tc>
      </w:tr>
      <w:tr w:rsidR="002760B2" w:rsidRPr="002B005F" w14:paraId="12096610" w14:textId="77777777" w:rsidTr="00A4301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654F418" w14:textId="77777777" w:rsidR="002760B2" w:rsidRPr="002B005F" w:rsidRDefault="002760B2" w:rsidP="00E57D7D">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Nantissement</w:t>
            </w:r>
          </w:p>
        </w:tc>
        <w:tc>
          <w:tcPr>
            <w:tcW w:w="1534" w:type="dxa"/>
            <w:gridSpan w:val="2"/>
            <w:vAlign w:val="center"/>
          </w:tcPr>
          <w:p w14:paraId="342538E0"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11.25   </w:t>
            </w:r>
            <w:r w:rsidRPr="002B005F">
              <w:rPr>
                <w:rFonts w:ascii="Times New Roman" w:hAnsi="Times New Roman" w:cs="Times New Roman"/>
                <w:b/>
                <w:bCs/>
                <w:color w:val="auto"/>
              </w:rPr>
              <w:t>0.047</w:t>
            </w:r>
          </w:p>
        </w:tc>
        <w:tc>
          <w:tcPr>
            <w:tcW w:w="1530" w:type="dxa"/>
            <w:gridSpan w:val="2"/>
            <w:vAlign w:val="center"/>
          </w:tcPr>
          <w:p w14:paraId="1303C278"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22.14</w:t>
            </w:r>
            <w:r w:rsidR="00A43018" w:rsidRPr="002B005F">
              <w:rPr>
                <w:rFonts w:ascii="Times New Roman" w:hAnsi="Times New Roman" w:cs="Times New Roman"/>
                <w:color w:val="auto"/>
              </w:rPr>
              <w:t xml:space="preserve">0 </w:t>
            </w:r>
            <w:r w:rsidRPr="002B005F">
              <w:rPr>
                <w:rFonts w:ascii="Times New Roman" w:hAnsi="Times New Roman" w:cs="Times New Roman"/>
                <w:color w:val="auto"/>
              </w:rPr>
              <w:t xml:space="preserve">  </w:t>
            </w:r>
            <w:r w:rsidRPr="002B005F">
              <w:rPr>
                <w:rFonts w:ascii="Times New Roman" w:hAnsi="Times New Roman" w:cs="Times New Roman"/>
                <w:b/>
                <w:bCs/>
                <w:color w:val="auto"/>
              </w:rPr>
              <w:t>0.014</w:t>
            </w:r>
          </w:p>
        </w:tc>
        <w:tc>
          <w:tcPr>
            <w:tcW w:w="1531" w:type="dxa"/>
            <w:gridSpan w:val="2"/>
            <w:vAlign w:val="center"/>
          </w:tcPr>
          <w:p w14:paraId="124827F3"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53.14   </w:t>
            </w:r>
            <w:r w:rsidRPr="002B005F">
              <w:rPr>
                <w:rFonts w:ascii="Times New Roman" w:hAnsi="Times New Roman" w:cs="Times New Roman"/>
                <w:b/>
                <w:bCs/>
                <w:color w:val="auto"/>
              </w:rPr>
              <w:t>0.000</w:t>
            </w:r>
          </w:p>
        </w:tc>
        <w:tc>
          <w:tcPr>
            <w:tcW w:w="1531" w:type="dxa"/>
            <w:gridSpan w:val="2"/>
            <w:vAlign w:val="center"/>
          </w:tcPr>
          <w:p w14:paraId="75314B26"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8.566   0.125</w:t>
            </w:r>
          </w:p>
        </w:tc>
        <w:tc>
          <w:tcPr>
            <w:tcW w:w="1531" w:type="dxa"/>
            <w:gridSpan w:val="2"/>
            <w:vAlign w:val="center"/>
          </w:tcPr>
          <w:p w14:paraId="7F1CE1A5" w14:textId="77777777" w:rsidR="002760B2" w:rsidRPr="002B005F" w:rsidRDefault="00A43018"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5.258 </w:t>
            </w:r>
            <w:r w:rsidR="002760B2" w:rsidRPr="002B005F">
              <w:rPr>
                <w:rFonts w:ascii="Times New Roman" w:hAnsi="Times New Roman" w:cs="Times New Roman"/>
                <w:color w:val="auto"/>
              </w:rPr>
              <w:t xml:space="preserve">  0.166</w:t>
            </w:r>
          </w:p>
        </w:tc>
      </w:tr>
      <w:tr w:rsidR="002760B2" w:rsidRPr="002B005F" w14:paraId="648C947F" w14:textId="77777777" w:rsidTr="00A43018">
        <w:trPr>
          <w:trHeight w:val="680"/>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D9D35AE" w14:textId="77777777" w:rsidR="002760B2" w:rsidRPr="002B005F" w:rsidRDefault="002760B2" w:rsidP="00E57D7D">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Netting sur bilan</w:t>
            </w:r>
          </w:p>
        </w:tc>
        <w:tc>
          <w:tcPr>
            <w:tcW w:w="1534" w:type="dxa"/>
            <w:gridSpan w:val="2"/>
            <w:vAlign w:val="center"/>
          </w:tcPr>
          <w:p w14:paraId="6320FAB9"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16.94   0.124</w:t>
            </w:r>
          </w:p>
        </w:tc>
        <w:tc>
          <w:tcPr>
            <w:tcW w:w="1530" w:type="dxa"/>
            <w:gridSpan w:val="2"/>
            <w:vAlign w:val="center"/>
          </w:tcPr>
          <w:p w14:paraId="033F72FD"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20.315 </w:t>
            </w:r>
            <w:r w:rsidR="00A43018" w:rsidRPr="002B005F">
              <w:rPr>
                <w:rFonts w:ascii="Times New Roman" w:hAnsi="Times New Roman" w:cs="Times New Roman"/>
                <w:color w:val="auto"/>
              </w:rPr>
              <w:t xml:space="preserve"> </w:t>
            </w:r>
            <w:r w:rsidRPr="002B005F">
              <w:rPr>
                <w:rFonts w:ascii="Times New Roman" w:hAnsi="Times New Roman" w:cs="Times New Roman"/>
                <w:color w:val="auto"/>
              </w:rPr>
              <w:t xml:space="preserve"> </w:t>
            </w:r>
            <w:r w:rsidRPr="002B005F">
              <w:rPr>
                <w:rFonts w:ascii="Times New Roman" w:hAnsi="Times New Roman" w:cs="Times New Roman"/>
                <w:b/>
                <w:bCs/>
                <w:color w:val="auto"/>
              </w:rPr>
              <w:t>0.036</w:t>
            </w:r>
          </w:p>
        </w:tc>
        <w:tc>
          <w:tcPr>
            <w:tcW w:w="1531" w:type="dxa"/>
            <w:gridSpan w:val="2"/>
            <w:vAlign w:val="center"/>
          </w:tcPr>
          <w:p w14:paraId="342AF6FA"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46.59   </w:t>
            </w:r>
            <w:r w:rsidRPr="002B005F">
              <w:rPr>
                <w:rFonts w:ascii="Times New Roman" w:hAnsi="Times New Roman" w:cs="Times New Roman"/>
                <w:b/>
                <w:bCs/>
                <w:color w:val="auto"/>
              </w:rPr>
              <w:t>0.000</w:t>
            </w:r>
          </w:p>
        </w:tc>
        <w:tc>
          <w:tcPr>
            <w:tcW w:w="1531" w:type="dxa"/>
            <w:gridSpan w:val="2"/>
            <w:vAlign w:val="center"/>
          </w:tcPr>
          <w:p w14:paraId="6F51AEF5"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15.036   </w:t>
            </w:r>
            <w:r w:rsidRPr="002B005F">
              <w:rPr>
                <w:rFonts w:ascii="Times New Roman" w:hAnsi="Times New Roman" w:cs="Times New Roman"/>
                <w:b/>
                <w:bCs/>
                <w:color w:val="auto"/>
              </w:rPr>
              <w:t>0.01</w:t>
            </w:r>
            <w:r w:rsidR="00A43018" w:rsidRPr="002B005F">
              <w:rPr>
                <w:rFonts w:ascii="Times New Roman" w:hAnsi="Times New Roman" w:cs="Times New Roman"/>
                <w:b/>
                <w:bCs/>
                <w:color w:val="auto"/>
              </w:rPr>
              <w:t>0</w:t>
            </w:r>
          </w:p>
        </w:tc>
        <w:tc>
          <w:tcPr>
            <w:tcW w:w="1531" w:type="dxa"/>
            <w:gridSpan w:val="2"/>
            <w:vAlign w:val="center"/>
          </w:tcPr>
          <w:p w14:paraId="2BB1F18E" w14:textId="77777777" w:rsidR="002760B2" w:rsidRPr="002B005F" w:rsidRDefault="00A43018"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9.811  </w:t>
            </w:r>
            <w:r w:rsidR="002760B2" w:rsidRPr="002B005F">
              <w:rPr>
                <w:rFonts w:ascii="Times New Roman" w:hAnsi="Times New Roman" w:cs="Times New Roman"/>
                <w:color w:val="auto"/>
              </w:rPr>
              <w:t xml:space="preserve"> </w:t>
            </w:r>
            <w:r w:rsidR="002760B2" w:rsidRPr="002B005F">
              <w:rPr>
                <w:rFonts w:ascii="Times New Roman" w:hAnsi="Times New Roman" w:cs="Times New Roman"/>
                <w:b/>
                <w:bCs/>
                <w:color w:val="auto"/>
              </w:rPr>
              <w:t>0.01</w:t>
            </w:r>
            <w:r w:rsidRPr="002B005F">
              <w:rPr>
                <w:rFonts w:ascii="Times New Roman" w:hAnsi="Times New Roman" w:cs="Times New Roman"/>
                <w:b/>
                <w:bCs/>
                <w:color w:val="auto"/>
              </w:rPr>
              <w:t>0</w:t>
            </w:r>
          </w:p>
        </w:tc>
      </w:tr>
      <w:tr w:rsidR="002760B2" w:rsidRPr="002B005F" w14:paraId="34DA8EE3" w14:textId="77777777" w:rsidTr="00A4301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029CA05" w14:textId="77777777" w:rsidR="002760B2" w:rsidRPr="002B005F" w:rsidRDefault="002760B2" w:rsidP="00E57D7D">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Rating interne</w:t>
            </w:r>
          </w:p>
        </w:tc>
        <w:tc>
          <w:tcPr>
            <w:tcW w:w="1534" w:type="dxa"/>
            <w:gridSpan w:val="2"/>
            <w:vAlign w:val="center"/>
          </w:tcPr>
          <w:p w14:paraId="5E37DB49"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14.65   </w:t>
            </w:r>
            <w:r w:rsidRPr="002B005F">
              <w:rPr>
                <w:rFonts w:ascii="Times New Roman" w:hAnsi="Times New Roman" w:cs="Times New Roman"/>
                <w:b/>
                <w:bCs/>
                <w:color w:val="auto"/>
              </w:rPr>
              <w:t>0.012</w:t>
            </w:r>
          </w:p>
        </w:tc>
        <w:tc>
          <w:tcPr>
            <w:tcW w:w="1530" w:type="dxa"/>
            <w:gridSpan w:val="2"/>
            <w:vAlign w:val="center"/>
          </w:tcPr>
          <w:p w14:paraId="1FE46593"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21.024  </w:t>
            </w:r>
            <w:r w:rsidR="00CD6FE6" w:rsidRPr="002B005F">
              <w:rPr>
                <w:rFonts w:ascii="Times New Roman" w:hAnsi="Times New Roman" w:cs="Times New Roman"/>
                <w:color w:val="auto"/>
              </w:rPr>
              <w:t xml:space="preserve"> </w:t>
            </w:r>
            <w:r w:rsidRPr="002B005F">
              <w:rPr>
                <w:rFonts w:ascii="Times New Roman" w:hAnsi="Times New Roman" w:cs="Times New Roman"/>
                <w:b/>
                <w:bCs/>
                <w:color w:val="auto"/>
              </w:rPr>
              <w:t>0.045</w:t>
            </w:r>
          </w:p>
        </w:tc>
        <w:tc>
          <w:tcPr>
            <w:tcW w:w="1531" w:type="dxa"/>
            <w:gridSpan w:val="2"/>
            <w:vAlign w:val="center"/>
          </w:tcPr>
          <w:p w14:paraId="18198967"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52.24   </w:t>
            </w:r>
            <w:r w:rsidRPr="002B005F">
              <w:rPr>
                <w:rFonts w:ascii="Times New Roman" w:hAnsi="Times New Roman" w:cs="Times New Roman"/>
                <w:b/>
                <w:bCs/>
                <w:color w:val="auto"/>
              </w:rPr>
              <w:t>0.000</w:t>
            </w:r>
          </w:p>
        </w:tc>
        <w:tc>
          <w:tcPr>
            <w:tcW w:w="1531" w:type="dxa"/>
            <w:gridSpan w:val="2"/>
            <w:vAlign w:val="center"/>
          </w:tcPr>
          <w:p w14:paraId="26B8F575"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12.68   </w:t>
            </w:r>
            <w:r w:rsidRPr="002B005F">
              <w:rPr>
                <w:rFonts w:ascii="Times New Roman" w:hAnsi="Times New Roman" w:cs="Times New Roman"/>
                <w:b/>
                <w:bCs/>
                <w:color w:val="auto"/>
              </w:rPr>
              <w:t>0.02</w:t>
            </w:r>
            <w:r w:rsidR="00A43018" w:rsidRPr="002B005F">
              <w:rPr>
                <w:rFonts w:ascii="Times New Roman" w:hAnsi="Times New Roman" w:cs="Times New Roman"/>
                <w:b/>
                <w:bCs/>
                <w:color w:val="auto"/>
              </w:rPr>
              <w:t>0</w:t>
            </w:r>
          </w:p>
        </w:tc>
        <w:tc>
          <w:tcPr>
            <w:tcW w:w="1531" w:type="dxa"/>
            <w:gridSpan w:val="2"/>
            <w:vAlign w:val="center"/>
          </w:tcPr>
          <w:p w14:paraId="20AD5675"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12.996   </w:t>
            </w:r>
            <w:r w:rsidRPr="002B005F">
              <w:rPr>
                <w:rFonts w:ascii="Times New Roman" w:hAnsi="Times New Roman" w:cs="Times New Roman"/>
                <w:b/>
                <w:bCs/>
                <w:color w:val="auto"/>
              </w:rPr>
              <w:t>0.003</w:t>
            </w:r>
          </w:p>
        </w:tc>
      </w:tr>
      <w:tr w:rsidR="002760B2" w:rsidRPr="002B005F" w14:paraId="76A2ED52" w14:textId="77777777" w:rsidTr="00A43018">
        <w:trPr>
          <w:trHeight w:val="567"/>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3FA85FC6" w14:textId="77777777" w:rsidR="002760B2" w:rsidRPr="002B005F" w:rsidRDefault="002760B2" w:rsidP="00E57D7D">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Garanties</w:t>
            </w:r>
          </w:p>
        </w:tc>
        <w:tc>
          <w:tcPr>
            <w:tcW w:w="1534" w:type="dxa"/>
            <w:gridSpan w:val="2"/>
            <w:vAlign w:val="center"/>
          </w:tcPr>
          <w:p w14:paraId="396F0972"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9.98   </w:t>
            </w:r>
            <w:r w:rsidRPr="002B005F">
              <w:rPr>
                <w:rFonts w:ascii="Times New Roman" w:hAnsi="Times New Roman" w:cs="Times New Roman"/>
                <w:b/>
                <w:bCs/>
                <w:color w:val="auto"/>
              </w:rPr>
              <w:t>0.001</w:t>
            </w:r>
          </w:p>
        </w:tc>
        <w:tc>
          <w:tcPr>
            <w:tcW w:w="1530" w:type="dxa"/>
            <w:gridSpan w:val="2"/>
            <w:vAlign w:val="center"/>
          </w:tcPr>
          <w:p w14:paraId="73CA1E12"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24.36</w:t>
            </w:r>
            <w:r w:rsidR="00A43018" w:rsidRPr="002B005F">
              <w:rPr>
                <w:rFonts w:ascii="Times New Roman" w:hAnsi="Times New Roman" w:cs="Times New Roman"/>
                <w:color w:val="auto"/>
              </w:rPr>
              <w:t xml:space="preserve">0  </w:t>
            </w:r>
            <w:r w:rsidRPr="002B005F">
              <w:rPr>
                <w:rFonts w:ascii="Times New Roman" w:hAnsi="Times New Roman" w:cs="Times New Roman"/>
                <w:color w:val="auto"/>
              </w:rPr>
              <w:t xml:space="preserve"> </w:t>
            </w:r>
            <w:r w:rsidRPr="002B005F">
              <w:rPr>
                <w:rFonts w:ascii="Times New Roman" w:hAnsi="Times New Roman" w:cs="Times New Roman"/>
                <w:b/>
                <w:bCs/>
                <w:color w:val="auto"/>
              </w:rPr>
              <w:t>0.007</w:t>
            </w:r>
          </w:p>
        </w:tc>
        <w:tc>
          <w:tcPr>
            <w:tcW w:w="1531" w:type="dxa"/>
            <w:gridSpan w:val="2"/>
            <w:vAlign w:val="center"/>
          </w:tcPr>
          <w:p w14:paraId="2BF09991"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44.52   </w:t>
            </w:r>
            <w:r w:rsidRPr="002B005F">
              <w:rPr>
                <w:rFonts w:ascii="Times New Roman" w:hAnsi="Times New Roman" w:cs="Times New Roman"/>
                <w:b/>
                <w:bCs/>
                <w:color w:val="auto"/>
              </w:rPr>
              <w:t>0.000</w:t>
            </w:r>
          </w:p>
        </w:tc>
        <w:tc>
          <w:tcPr>
            <w:tcW w:w="1531" w:type="dxa"/>
            <w:gridSpan w:val="2"/>
            <w:vAlign w:val="center"/>
          </w:tcPr>
          <w:p w14:paraId="4840216C"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11.293   0.06</w:t>
            </w:r>
            <w:r w:rsidR="00A43018" w:rsidRPr="002B005F">
              <w:rPr>
                <w:rFonts w:ascii="Times New Roman" w:hAnsi="Times New Roman" w:cs="Times New Roman"/>
                <w:color w:val="auto"/>
              </w:rPr>
              <w:t>0</w:t>
            </w:r>
          </w:p>
        </w:tc>
        <w:tc>
          <w:tcPr>
            <w:tcW w:w="1531" w:type="dxa"/>
            <w:gridSpan w:val="2"/>
            <w:vAlign w:val="center"/>
          </w:tcPr>
          <w:p w14:paraId="5F4F0C97" w14:textId="77777777" w:rsidR="002760B2" w:rsidRPr="002B005F" w:rsidRDefault="00A43018"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6.077  </w:t>
            </w:r>
            <w:r w:rsidR="002760B2" w:rsidRPr="002B005F">
              <w:rPr>
                <w:rFonts w:ascii="Times New Roman" w:hAnsi="Times New Roman" w:cs="Times New Roman"/>
                <w:color w:val="auto"/>
              </w:rPr>
              <w:t xml:space="preserve"> 0.108</w:t>
            </w:r>
          </w:p>
        </w:tc>
      </w:tr>
      <w:tr w:rsidR="002760B2" w:rsidRPr="002B005F" w14:paraId="43A35731" w14:textId="77777777" w:rsidTr="00A43018">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3775547" w14:textId="77777777" w:rsidR="002760B2" w:rsidRPr="00184037" w:rsidRDefault="002760B2" w:rsidP="00E57D7D">
            <w:pPr>
              <w:tabs>
                <w:tab w:val="left" w:pos="0"/>
              </w:tabs>
              <w:ind w:left="57"/>
              <w:jc w:val="left"/>
              <w:rPr>
                <w:rFonts w:ascii="Times New Roman" w:hAnsi="Times New Roman" w:cs="Times New Roman"/>
                <w:color w:val="auto"/>
              </w:rPr>
            </w:pPr>
            <w:r w:rsidRPr="00184037">
              <w:rPr>
                <w:rFonts w:ascii="Times New Roman" w:hAnsi="Times New Roman" w:cs="Times New Roman"/>
                <w:color w:val="auto"/>
              </w:rPr>
              <w:t>Swap de taux de profit</w:t>
            </w:r>
          </w:p>
        </w:tc>
        <w:tc>
          <w:tcPr>
            <w:tcW w:w="1534" w:type="dxa"/>
            <w:gridSpan w:val="2"/>
            <w:vAlign w:val="center"/>
          </w:tcPr>
          <w:p w14:paraId="740F739C"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10.25   0.076</w:t>
            </w:r>
          </w:p>
        </w:tc>
        <w:tc>
          <w:tcPr>
            <w:tcW w:w="1530" w:type="dxa"/>
            <w:gridSpan w:val="2"/>
            <w:vAlign w:val="center"/>
          </w:tcPr>
          <w:p w14:paraId="0FD31A51"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23.57</w:t>
            </w:r>
            <w:r w:rsidR="00A43018" w:rsidRPr="002B005F">
              <w:rPr>
                <w:rFonts w:ascii="Times New Roman" w:hAnsi="Times New Roman" w:cs="Times New Roman"/>
                <w:color w:val="auto"/>
              </w:rPr>
              <w:t>0</w:t>
            </w:r>
            <w:r w:rsidRPr="002B005F">
              <w:rPr>
                <w:rFonts w:ascii="Times New Roman" w:hAnsi="Times New Roman" w:cs="Times New Roman"/>
                <w:color w:val="auto"/>
              </w:rPr>
              <w:t xml:space="preserve">   </w:t>
            </w:r>
            <w:r w:rsidRPr="002B005F">
              <w:rPr>
                <w:rFonts w:ascii="Times New Roman" w:hAnsi="Times New Roman" w:cs="Times New Roman"/>
                <w:b/>
                <w:bCs/>
                <w:color w:val="auto"/>
              </w:rPr>
              <w:t>0.009</w:t>
            </w:r>
          </w:p>
        </w:tc>
        <w:tc>
          <w:tcPr>
            <w:tcW w:w="1531" w:type="dxa"/>
            <w:gridSpan w:val="2"/>
            <w:vAlign w:val="center"/>
          </w:tcPr>
          <w:p w14:paraId="30A5459B"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45.59   </w:t>
            </w:r>
            <w:r w:rsidRPr="002B005F">
              <w:rPr>
                <w:rFonts w:ascii="Times New Roman" w:hAnsi="Times New Roman" w:cs="Times New Roman"/>
                <w:b/>
                <w:bCs/>
                <w:color w:val="auto"/>
              </w:rPr>
              <w:t>0.000</w:t>
            </w:r>
          </w:p>
        </w:tc>
        <w:tc>
          <w:tcPr>
            <w:tcW w:w="1531" w:type="dxa"/>
            <w:gridSpan w:val="2"/>
            <w:vAlign w:val="center"/>
          </w:tcPr>
          <w:p w14:paraId="4F6C1D48"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8.787   0.116</w:t>
            </w:r>
          </w:p>
        </w:tc>
        <w:tc>
          <w:tcPr>
            <w:tcW w:w="1531" w:type="dxa"/>
            <w:gridSpan w:val="2"/>
            <w:vAlign w:val="center"/>
          </w:tcPr>
          <w:p w14:paraId="01AC220F" w14:textId="77777777" w:rsidR="002760B2" w:rsidRPr="002B005F" w:rsidRDefault="00A43018"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5.269  </w:t>
            </w:r>
            <w:r w:rsidR="002760B2" w:rsidRPr="002B005F">
              <w:rPr>
                <w:rFonts w:ascii="Times New Roman" w:hAnsi="Times New Roman" w:cs="Times New Roman"/>
                <w:color w:val="auto"/>
              </w:rPr>
              <w:t xml:space="preserve"> 0.152</w:t>
            </w:r>
          </w:p>
        </w:tc>
      </w:tr>
      <w:tr w:rsidR="002760B2" w:rsidRPr="002B005F" w14:paraId="3B393E1C" w14:textId="77777777" w:rsidTr="00A43018">
        <w:trPr>
          <w:trHeight w:val="567"/>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C54C00D" w14:textId="054CCE06" w:rsidR="002760B2" w:rsidRPr="002B005F" w:rsidRDefault="00E57D7D" w:rsidP="00E57D7D">
            <w:pPr>
              <w:tabs>
                <w:tab w:val="left" w:pos="0"/>
              </w:tabs>
              <w:ind w:left="57"/>
              <w:jc w:val="left"/>
              <w:rPr>
                <w:rFonts w:ascii="Times New Roman" w:hAnsi="Times New Roman" w:cs="Times New Roman"/>
                <w:i/>
                <w:iCs/>
                <w:color w:val="auto"/>
              </w:rPr>
            </w:pPr>
            <w:r w:rsidRPr="002B005F">
              <w:rPr>
                <w:rFonts w:ascii="Times New Roman" w:hAnsi="Times New Roman" w:cs="Times New Roman"/>
                <w:i/>
                <w:iCs/>
                <w:color w:val="auto"/>
              </w:rPr>
              <w:t>Al-wa’</w:t>
            </w:r>
            <w:r w:rsidR="00AC4110">
              <w:rPr>
                <w:rFonts w:ascii="Times New Roman" w:hAnsi="Times New Roman" w:cs="Times New Roman"/>
                <w:i/>
                <w:iCs/>
                <w:color w:val="auto"/>
              </w:rPr>
              <w:t>a</w:t>
            </w:r>
            <w:r w:rsidR="002760B2" w:rsidRPr="002B005F">
              <w:rPr>
                <w:rFonts w:ascii="Times New Roman" w:hAnsi="Times New Roman" w:cs="Times New Roman"/>
                <w:i/>
                <w:iCs/>
                <w:color w:val="auto"/>
              </w:rPr>
              <w:t>d</w:t>
            </w:r>
          </w:p>
        </w:tc>
        <w:tc>
          <w:tcPr>
            <w:tcW w:w="1534" w:type="dxa"/>
            <w:gridSpan w:val="2"/>
            <w:vAlign w:val="center"/>
          </w:tcPr>
          <w:p w14:paraId="0A58ADFC"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8.64   </w:t>
            </w:r>
            <w:r w:rsidRPr="002B005F">
              <w:rPr>
                <w:rFonts w:ascii="Times New Roman" w:hAnsi="Times New Roman" w:cs="Times New Roman"/>
                <w:b/>
                <w:bCs/>
                <w:color w:val="auto"/>
              </w:rPr>
              <w:t>0.001</w:t>
            </w:r>
          </w:p>
        </w:tc>
        <w:tc>
          <w:tcPr>
            <w:tcW w:w="1530" w:type="dxa"/>
            <w:gridSpan w:val="2"/>
            <w:vAlign w:val="center"/>
          </w:tcPr>
          <w:p w14:paraId="07174862"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18.76</w:t>
            </w:r>
            <w:r w:rsidR="00A43018" w:rsidRPr="002B005F">
              <w:rPr>
                <w:rFonts w:ascii="Times New Roman" w:hAnsi="Times New Roman" w:cs="Times New Roman"/>
                <w:color w:val="auto"/>
              </w:rPr>
              <w:t xml:space="preserve">0 </w:t>
            </w:r>
            <w:r w:rsidRPr="002B005F">
              <w:rPr>
                <w:rFonts w:ascii="Times New Roman" w:hAnsi="Times New Roman" w:cs="Times New Roman"/>
                <w:color w:val="auto"/>
              </w:rPr>
              <w:t xml:space="preserve">  </w:t>
            </w:r>
            <w:r w:rsidRPr="002B005F">
              <w:rPr>
                <w:rFonts w:ascii="Times New Roman" w:hAnsi="Times New Roman" w:cs="Times New Roman"/>
                <w:b/>
                <w:bCs/>
                <w:color w:val="auto"/>
              </w:rPr>
              <w:t>0.043</w:t>
            </w:r>
          </w:p>
        </w:tc>
        <w:tc>
          <w:tcPr>
            <w:tcW w:w="1531" w:type="dxa"/>
            <w:gridSpan w:val="2"/>
            <w:vAlign w:val="center"/>
          </w:tcPr>
          <w:p w14:paraId="2340950B"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52.67   </w:t>
            </w:r>
            <w:r w:rsidRPr="002B005F">
              <w:rPr>
                <w:rFonts w:ascii="Times New Roman" w:hAnsi="Times New Roman" w:cs="Times New Roman"/>
                <w:b/>
                <w:bCs/>
                <w:color w:val="auto"/>
              </w:rPr>
              <w:t>0.000</w:t>
            </w:r>
          </w:p>
        </w:tc>
        <w:tc>
          <w:tcPr>
            <w:tcW w:w="1531" w:type="dxa"/>
            <w:gridSpan w:val="2"/>
            <w:vAlign w:val="center"/>
          </w:tcPr>
          <w:p w14:paraId="7FA29EBC"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12.001   </w:t>
            </w:r>
            <w:r w:rsidRPr="002B005F">
              <w:rPr>
                <w:rFonts w:ascii="Times New Roman" w:hAnsi="Times New Roman" w:cs="Times New Roman"/>
                <w:b/>
                <w:bCs/>
                <w:color w:val="auto"/>
              </w:rPr>
              <w:t>0.036</w:t>
            </w:r>
          </w:p>
        </w:tc>
        <w:tc>
          <w:tcPr>
            <w:tcW w:w="1531" w:type="dxa"/>
            <w:gridSpan w:val="2"/>
            <w:vAlign w:val="center"/>
          </w:tcPr>
          <w:p w14:paraId="1CB0870A" w14:textId="77777777" w:rsidR="002760B2" w:rsidRPr="002B005F" w:rsidRDefault="00A43018"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6.838 </w:t>
            </w:r>
            <w:r w:rsidR="002760B2" w:rsidRPr="002B005F">
              <w:rPr>
                <w:rFonts w:ascii="Times New Roman" w:hAnsi="Times New Roman" w:cs="Times New Roman"/>
                <w:color w:val="auto"/>
              </w:rPr>
              <w:t xml:space="preserve">  0.075</w:t>
            </w:r>
          </w:p>
        </w:tc>
      </w:tr>
      <w:tr w:rsidR="002760B2" w:rsidRPr="002B005F" w14:paraId="69D2A971" w14:textId="77777777" w:rsidTr="00A4301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E1089D9" w14:textId="77777777" w:rsidR="002760B2" w:rsidRPr="002B005F" w:rsidRDefault="00B13A51" w:rsidP="00E57D7D">
            <w:pPr>
              <w:tabs>
                <w:tab w:val="left" w:pos="0"/>
              </w:tabs>
              <w:ind w:left="57"/>
              <w:jc w:val="left"/>
              <w:rPr>
                <w:rFonts w:ascii="Times New Roman" w:hAnsi="Times New Roman" w:cs="Times New Roman"/>
                <w:i/>
                <w:iCs/>
                <w:color w:val="auto"/>
              </w:rPr>
            </w:pPr>
            <w:r w:rsidRPr="002B005F">
              <w:rPr>
                <w:rFonts w:ascii="Times New Roman" w:hAnsi="Times New Roman" w:cs="Times New Roman"/>
                <w:i/>
                <w:iCs/>
                <w:color w:val="auto"/>
              </w:rPr>
              <w:t>Ou’rboun</w:t>
            </w:r>
          </w:p>
        </w:tc>
        <w:tc>
          <w:tcPr>
            <w:tcW w:w="1534" w:type="dxa"/>
            <w:gridSpan w:val="2"/>
            <w:vAlign w:val="center"/>
          </w:tcPr>
          <w:p w14:paraId="7B84FCDB"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13.32   0.118</w:t>
            </w:r>
          </w:p>
        </w:tc>
        <w:tc>
          <w:tcPr>
            <w:tcW w:w="1530" w:type="dxa"/>
            <w:gridSpan w:val="2"/>
            <w:vAlign w:val="center"/>
          </w:tcPr>
          <w:p w14:paraId="37E55226"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15.69</w:t>
            </w:r>
            <w:r w:rsidR="00A43018" w:rsidRPr="002B005F">
              <w:rPr>
                <w:rFonts w:ascii="Times New Roman" w:hAnsi="Times New Roman" w:cs="Times New Roman"/>
                <w:color w:val="auto"/>
              </w:rPr>
              <w:t xml:space="preserve">0 </w:t>
            </w:r>
            <w:r w:rsidRPr="002B005F">
              <w:rPr>
                <w:rFonts w:ascii="Times New Roman" w:hAnsi="Times New Roman" w:cs="Times New Roman"/>
                <w:color w:val="auto"/>
              </w:rPr>
              <w:t xml:space="preserve">  0.120</w:t>
            </w:r>
          </w:p>
        </w:tc>
        <w:tc>
          <w:tcPr>
            <w:tcW w:w="1531" w:type="dxa"/>
            <w:gridSpan w:val="2"/>
            <w:vAlign w:val="center"/>
          </w:tcPr>
          <w:p w14:paraId="738D478E"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48.65   </w:t>
            </w:r>
            <w:r w:rsidRPr="002B005F">
              <w:rPr>
                <w:rFonts w:ascii="Times New Roman" w:hAnsi="Times New Roman" w:cs="Times New Roman"/>
                <w:b/>
                <w:bCs/>
                <w:color w:val="auto"/>
              </w:rPr>
              <w:t>0.000</w:t>
            </w:r>
          </w:p>
        </w:tc>
        <w:tc>
          <w:tcPr>
            <w:tcW w:w="1531" w:type="dxa"/>
            <w:gridSpan w:val="2"/>
            <w:vAlign w:val="center"/>
          </w:tcPr>
          <w:p w14:paraId="0DFF04EE"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15.25   </w:t>
            </w:r>
            <w:r w:rsidRPr="002B005F">
              <w:rPr>
                <w:rFonts w:ascii="Times New Roman" w:hAnsi="Times New Roman" w:cs="Times New Roman"/>
                <w:b/>
                <w:bCs/>
                <w:color w:val="auto"/>
              </w:rPr>
              <w:t>0.04</w:t>
            </w:r>
            <w:r w:rsidR="00A43018" w:rsidRPr="002B005F">
              <w:rPr>
                <w:rFonts w:ascii="Times New Roman" w:hAnsi="Times New Roman" w:cs="Times New Roman"/>
                <w:b/>
                <w:bCs/>
                <w:color w:val="auto"/>
              </w:rPr>
              <w:t>0</w:t>
            </w:r>
          </w:p>
        </w:tc>
        <w:tc>
          <w:tcPr>
            <w:tcW w:w="1531" w:type="dxa"/>
            <w:gridSpan w:val="2"/>
            <w:vAlign w:val="center"/>
          </w:tcPr>
          <w:p w14:paraId="0B6CD922" w14:textId="77777777" w:rsidR="002760B2" w:rsidRPr="002B005F" w:rsidRDefault="00A43018"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5.230</w:t>
            </w:r>
            <w:r w:rsidR="002760B2" w:rsidRPr="002B005F">
              <w:rPr>
                <w:rFonts w:ascii="Times New Roman" w:hAnsi="Times New Roman" w:cs="Times New Roman"/>
                <w:color w:val="auto"/>
              </w:rPr>
              <w:t xml:space="preserve">   0.186</w:t>
            </w:r>
          </w:p>
        </w:tc>
      </w:tr>
      <w:tr w:rsidR="002760B2" w:rsidRPr="002B005F" w14:paraId="7A704CBB" w14:textId="77777777" w:rsidTr="00A43018">
        <w:trPr>
          <w:trHeight w:val="567"/>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51BB47D0" w14:textId="77777777" w:rsidR="002760B2" w:rsidRPr="002B005F" w:rsidRDefault="002760B2" w:rsidP="00E57D7D">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PER</w:t>
            </w:r>
          </w:p>
        </w:tc>
        <w:tc>
          <w:tcPr>
            <w:tcW w:w="1534" w:type="dxa"/>
            <w:gridSpan w:val="2"/>
            <w:vAlign w:val="center"/>
          </w:tcPr>
          <w:p w14:paraId="18BEE8C2"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18.45   0.06</w:t>
            </w:r>
            <w:r w:rsidR="00A43018" w:rsidRPr="002B005F">
              <w:rPr>
                <w:rFonts w:ascii="Times New Roman" w:hAnsi="Times New Roman" w:cs="Times New Roman"/>
                <w:color w:val="auto"/>
              </w:rPr>
              <w:t>0</w:t>
            </w:r>
          </w:p>
        </w:tc>
        <w:tc>
          <w:tcPr>
            <w:tcW w:w="1530" w:type="dxa"/>
            <w:gridSpan w:val="2"/>
            <w:vAlign w:val="center"/>
          </w:tcPr>
          <w:p w14:paraId="6EF4070E"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25.33</w:t>
            </w:r>
            <w:r w:rsidR="00A43018" w:rsidRPr="002B005F">
              <w:rPr>
                <w:rFonts w:ascii="Times New Roman" w:hAnsi="Times New Roman" w:cs="Times New Roman"/>
                <w:color w:val="auto"/>
              </w:rPr>
              <w:t>0</w:t>
            </w:r>
            <w:r w:rsidRPr="002B005F">
              <w:rPr>
                <w:rFonts w:ascii="Times New Roman" w:hAnsi="Times New Roman" w:cs="Times New Roman"/>
                <w:color w:val="auto"/>
              </w:rPr>
              <w:t xml:space="preserve">   0.08</w:t>
            </w:r>
            <w:r w:rsidR="00A43018" w:rsidRPr="002B005F">
              <w:rPr>
                <w:rFonts w:ascii="Times New Roman" w:hAnsi="Times New Roman" w:cs="Times New Roman"/>
                <w:color w:val="auto"/>
              </w:rPr>
              <w:t>0</w:t>
            </w:r>
          </w:p>
        </w:tc>
        <w:tc>
          <w:tcPr>
            <w:tcW w:w="1531" w:type="dxa"/>
            <w:gridSpan w:val="2"/>
            <w:vAlign w:val="center"/>
          </w:tcPr>
          <w:p w14:paraId="22BFA736"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50.14   </w:t>
            </w:r>
            <w:r w:rsidRPr="002B005F">
              <w:rPr>
                <w:rFonts w:ascii="Times New Roman" w:hAnsi="Times New Roman" w:cs="Times New Roman"/>
                <w:b/>
                <w:bCs/>
                <w:color w:val="auto"/>
              </w:rPr>
              <w:t>0.000</w:t>
            </w:r>
          </w:p>
        </w:tc>
        <w:tc>
          <w:tcPr>
            <w:tcW w:w="1531" w:type="dxa"/>
            <w:gridSpan w:val="2"/>
            <w:vAlign w:val="center"/>
          </w:tcPr>
          <w:p w14:paraId="2D7E97AA"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9.56   0.109</w:t>
            </w:r>
          </w:p>
        </w:tc>
        <w:tc>
          <w:tcPr>
            <w:tcW w:w="1531" w:type="dxa"/>
            <w:gridSpan w:val="2"/>
            <w:vAlign w:val="center"/>
          </w:tcPr>
          <w:p w14:paraId="6C8D0E73" w14:textId="77777777" w:rsidR="002760B2" w:rsidRPr="002B005F" w:rsidRDefault="002760B2" w:rsidP="00A43018">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13.64   </w:t>
            </w:r>
            <w:r w:rsidRPr="002B005F">
              <w:rPr>
                <w:rFonts w:ascii="Times New Roman" w:hAnsi="Times New Roman" w:cs="Times New Roman"/>
                <w:b/>
                <w:bCs/>
                <w:color w:val="auto"/>
              </w:rPr>
              <w:t>0.002</w:t>
            </w:r>
          </w:p>
        </w:tc>
      </w:tr>
      <w:tr w:rsidR="002760B2" w:rsidRPr="002B005F" w14:paraId="7C251670" w14:textId="77777777" w:rsidTr="00A4301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413CA4FC" w14:textId="77777777" w:rsidR="002760B2" w:rsidRPr="002B005F" w:rsidRDefault="002760B2" w:rsidP="00E57D7D">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IRR</w:t>
            </w:r>
          </w:p>
        </w:tc>
        <w:tc>
          <w:tcPr>
            <w:tcW w:w="1534" w:type="dxa"/>
            <w:gridSpan w:val="2"/>
            <w:vAlign w:val="center"/>
          </w:tcPr>
          <w:p w14:paraId="4E92258C"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17.03   0.05</w:t>
            </w:r>
            <w:r w:rsidR="00A43018" w:rsidRPr="002B005F">
              <w:rPr>
                <w:rFonts w:ascii="Times New Roman" w:hAnsi="Times New Roman" w:cs="Times New Roman"/>
                <w:color w:val="auto"/>
              </w:rPr>
              <w:t>0</w:t>
            </w:r>
          </w:p>
        </w:tc>
        <w:tc>
          <w:tcPr>
            <w:tcW w:w="1530" w:type="dxa"/>
            <w:gridSpan w:val="2"/>
            <w:vAlign w:val="center"/>
          </w:tcPr>
          <w:p w14:paraId="57B74912"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20.64</w:t>
            </w:r>
            <w:r w:rsidR="00A43018" w:rsidRPr="002B005F">
              <w:rPr>
                <w:rFonts w:ascii="Times New Roman" w:hAnsi="Times New Roman" w:cs="Times New Roman"/>
                <w:color w:val="auto"/>
              </w:rPr>
              <w:t>0</w:t>
            </w:r>
            <w:r w:rsidRPr="002B005F">
              <w:rPr>
                <w:rFonts w:ascii="Times New Roman" w:hAnsi="Times New Roman" w:cs="Times New Roman"/>
                <w:color w:val="auto"/>
              </w:rPr>
              <w:t xml:space="preserve">   </w:t>
            </w:r>
            <w:r w:rsidRPr="002B005F">
              <w:rPr>
                <w:rFonts w:ascii="Times New Roman" w:hAnsi="Times New Roman" w:cs="Times New Roman"/>
                <w:b/>
                <w:bCs/>
                <w:color w:val="auto"/>
              </w:rPr>
              <w:t>0.04</w:t>
            </w:r>
            <w:r w:rsidR="00A43018" w:rsidRPr="002B005F">
              <w:rPr>
                <w:rFonts w:ascii="Times New Roman" w:hAnsi="Times New Roman" w:cs="Times New Roman"/>
                <w:b/>
                <w:bCs/>
                <w:color w:val="auto"/>
              </w:rPr>
              <w:t>0</w:t>
            </w:r>
          </w:p>
        </w:tc>
        <w:tc>
          <w:tcPr>
            <w:tcW w:w="1531" w:type="dxa"/>
            <w:gridSpan w:val="2"/>
            <w:vAlign w:val="center"/>
          </w:tcPr>
          <w:p w14:paraId="2D7B0FE2"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48.03   </w:t>
            </w:r>
            <w:r w:rsidRPr="002B005F">
              <w:rPr>
                <w:rFonts w:ascii="Times New Roman" w:hAnsi="Times New Roman" w:cs="Times New Roman"/>
                <w:b/>
                <w:bCs/>
                <w:color w:val="auto"/>
              </w:rPr>
              <w:t>0.000</w:t>
            </w:r>
          </w:p>
        </w:tc>
        <w:tc>
          <w:tcPr>
            <w:tcW w:w="1531" w:type="dxa"/>
            <w:gridSpan w:val="2"/>
            <w:vAlign w:val="center"/>
          </w:tcPr>
          <w:p w14:paraId="651D0A7F"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8.99   0.076</w:t>
            </w:r>
          </w:p>
        </w:tc>
        <w:tc>
          <w:tcPr>
            <w:tcW w:w="1531" w:type="dxa"/>
            <w:gridSpan w:val="2"/>
            <w:vAlign w:val="center"/>
          </w:tcPr>
          <w:p w14:paraId="26288939" w14:textId="77777777" w:rsidR="002760B2" w:rsidRPr="002B005F" w:rsidRDefault="002760B2" w:rsidP="00A43018">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12.68   </w:t>
            </w:r>
            <w:r w:rsidRPr="002B005F">
              <w:rPr>
                <w:rFonts w:ascii="Times New Roman" w:hAnsi="Times New Roman" w:cs="Times New Roman"/>
                <w:b/>
                <w:bCs/>
                <w:color w:val="auto"/>
              </w:rPr>
              <w:t>0.030</w:t>
            </w:r>
          </w:p>
        </w:tc>
      </w:tr>
    </w:tbl>
    <w:p w14:paraId="35DAB283" w14:textId="77777777" w:rsidR="002760B2" w:rsidRPr="002B005F" w:rsidRDefault="002760B2" w:rsidP="00A90914">
      <w:pPr>
        <w:tabs>
          <w:tab w:val="left" w:pos="0"/>
        </w:tabs>
        <w:spacing w:before="120" w:after="100" w:afterAutospacing="1" w:line="240" w:lineRule="auto"/>
        <w:jc w:val="center"/>
        <w:rPr>
          <w:rFonts w:ascii="Times New Roman" w:eastAsia="Times New Roman" w:hAnsi="Times New Roman" w:cs="Times New Roman"/>
          <w:bCs/>
          <w:sz w:val="20"/>
          <w:szCs w:val="20"/>
        </w:rPr>
      </w:pPr>
      <w:r w:rsidRPr="002B005F">
        <w:rPr>
          <w:rFonts w:ascii="Times New Roman" w:eastAsia="Times New Roman" w:hAnsi="Times New Roman" w:cs="Times New Roman"/>
          <w:bCs/>
          <w:sz w:val="20"/>
          <w:szCs w:val="20"/>
        </w:rPr>
        <w:t>Source : calculs du chercheur.</w:t>
      </w:r>
    </w:p>
    <w:p w14:paraId="21FF0DC1" w14:textId="77777777" w:rsidR="00993004" w:rsidRDefault="002760B2" w:rsidP="009D3601">
      <w:pPr>
        <w:pStyle w:val="Paragraphedeliste"/>
        <w:tabs>
          <w:tab w:val="left" w:pos="0"/>
        </w:tabs>
        <w:spacing w:before="100" w:beforeAutospacing="1" w:after="100" w:afterAutospacing="1" w:line="300" w:lineRule="auto"/>
        <w:ind w:left="0" w:firstLine="709"/>
        <w:contextualSpacing w:val="0"/>
        <w:rPr>
          <w:rFonts w:ascii="Times New Roman" w:hAnsi="Times New Roman" w:cs="Times New Roman"/>
          <w:sz w:val="24"/>
          <w:szCs w:val="24"/>
        </w:rPr>
      </w:pPr>
      <w:r w:rsidRPr="002B005F">
        <w:rPr>
          <w:rFonts w:ascii="Times New Roman" w:hAnsi="Times New Roman" w:cs="Times New Roman"/>
          <w:sz w:val="24"/>
          <w:szCs w:val="24"/>
        </w:rPr>
        <w:t>La nature de l’IF est la variable de contrôle sélectionnée pour l'analyse de classement moyen car elle a le plus grand nombre de résultats significatifs et parce que cette variable est la plus essentielle à la différence des techniques d'atténuation des risques parmi les institutions financières comme illustré dans le tableau 4</w:t>
      </w:r>
      <w:r w:rsidR="009D3601">
        <w:rPr>
          <w:rFonts w:ascii="Times New Roman" w:hAnsi="Times New Roman" w:cs="Times New Roman"/>
          <w:sz w:val="24"/>
          <w:szCs w:val="24"/>
        </w:rPr>
        <w:t>3</w:t>
      </w:r>
      <w:r w:rsidRPr="002B005F">
        <w:rPr>
          <w:rFonts w:ascii="Times New Roman" w:hAnsi="Times New Roman" w:cs="Times New Roman"/>
          <w:sz w:val="24"/>
          <w:szCs w:val="24"/>
        </w:rPr>
        <w:t>.</w:t>
      </w:r>
    </w:p>
    <w:p w14:paraId="50BF6780" w14:textId="77777777" w:rsidR="002F0541" w:rsidRDefault="002F0541">
      <w:pPr>
        <w:rPr>
          <w:rFonts w:ascii="Times New Roman" w:eastAsiaTheme="minorEastAsia" w:hAnsi="Times New Roman" w:cs="Times New Roman"/>
          <w:sz w:val="24"/>
          <w:szCs w:val="24"/>
        </w:rPr>
      </w:pPr>
      <w:r>
        <w:rPr>
          <w:rFonts w:ascii="Times New Roman" w:hAnsi="Times New Roman" w:cs="Times New Roman"/>
          <w:sz w:val="24"/>
          <w:szCs w:val="24"/>
        </w:rPr>
        <w:br w:type="page"/>
      </w:r>
    </w:p>
    <w:p w14:paraId="59F270CA" w14:textId="0BB483A3" w:rsidR="000C1CC2" w:rsidRPr="002B005F" w:rsidRDefault="000C1CC2" w:rsidP="009D3601">
      <w:pPr>
        <w:pStyle w:val="Lgende"/>
        <w:tabs>
          <w:tab w:val="left" w:pos="0"/>
        </w:tabs>
        <w:spacing w:before="100" w:beforeAutospacing="1" w:after="120" w:line="300" w:lineRule="auto"/>
        <w:jc w:val="center"/>
        <w:rPr>
          <w:rFonts w:ascii="Times New Roman" w:hAnsi="Times New Roman" w:cs="Times New Roman"/>
          <w:color w:val="auto"/>
          <w:sz w:val="24"/>
          <w:szCs w:val="24"/>
        </w:rPr>
      </w:pPr>
      <w:bookmarkStart w:id="1753" w:name="_Toc115556111"/>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43</w:t>
      </w:r>
      <w:r w:rsidR="00B544E5" w:rsidRPr="002B005F">
        <w:rPr>
          <w:rFonts w:ascii="Times New Roman" w:hAnsi="Times New Roman" w:cs="Times New Roman"/>
          <w:color w:val="auto"/>
          <w:sz w:val="24"/>
          <w:szCs w:val="24"/>
        </w:rPr>
        <w:fldChar w:fldCharType="end"/>
      </w:r>
      <w:r w:rsidR="00363334"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Clas</w:t>
      </w:r>
      <w:r w:rsidR="00363334" w:rsidRPr="002B005F">
        <w:rPr>
          <w:rFonts w:ascii="Times New Roman" w:hAnsi="Times New Roman" w:cs="Times New Roman"/>
          <w:color w:val="auto"/>
          <w:sz w:val="24"/>
          <w:szCs w:val="24"/>
        </w:rPr>
        <w:t>sement de</w:t>
      </w:r>
      <w:r w:rsidR="003D745A" w:rsidRPr="002B005F">
        <w:rPr>
          <w:rFonts w:ascii="Times New Roman" w:hAnsi="Times New Roman" w:cs="Times New Roman"/>
          <w:color w:val="auto"/>
          <w:sz w:val="24"/>
          <w:szCs w:val="24"/>
        </w:rPr>
        <w:t>s</w:t>
      </w:r>
      <w:r w:rsidR="00363334" w:rsidRPr="002B005F">
        <w:rPr>
          <w:rFonts w:ascii="Times New Roman" w:hAnsi="Times New Roman" w:cs="Times New Roman"/>
          <w:color w:val="auto"/>
          <w:sz w:val="24"/>
          <w:szCs w:val="24"/>
        </w:rPr>
        <w:t xml:space="preserve"> moyennes du test K-W </w:t>
      </w:r>
      <w:r w:rsidRPr="002B005F">
        <w:rPr>
          <w:rFonts w:ascii="Times New Roman" w:hAnsi="Times New Roman" w:cs="Times New Roman"/>
          <w:color w:val="auto"/>
          <w:sz w:val="24"/>
          <w:szCs w:val="24"/>
        </w:rPr>
        <w:t>selon la nature de l’IF</w:t>
      </w:r>
      <w:r w:rsidR="00363334" w:rsidRPr="002B005F">
        <w:rPr>
          <w:rFonts w:ascii="Times New Roman" w:hAnsi="Times New Roman" w:cs="Times New Roman"/>
          <w:color w:val="auto"/>
          <w:sz w:val="24"/>
          <w:szCs w:val="24"/>
        </w:rPr>
        <w:t xml:space="preserve"> (Q22)</w:t>
      </w:r>
      <w:bookmarkEnd w:id="1753"/>
    </w:p>
    <w:tbl>
      <w:tblPr>
        <w:tblStyle w:val="Grilledutableau"/>
        <w:tblW w:w="9059" w:type="dxa"/>
        <w:jc w:val="center"/>
        <w:tblLayout w:type="fixed"/>
        <w:tblCellMar>
          <w:top w:w="28" w:type="dxa"/>
          <w:left w:w="0" w:type="dxa"/>
          <w:bottom w:w="28" w:type="dxa"/>
          <w:right w:w="0" w:type="dxa"/>
        </w:tblCellMar>
        <w:tblLook w:val="04A0" w:firstRow="1" w:lastRow="0" w:firstColumn="1" w:lastColumn="0" w:noHBand="0" w:noVBand="1"/>
      </w:tblPr>
      <w:tblGrid>
        <w:gridCol w:w="1871"/>
        <w:gridCol w:w="744"/>
        <w:gridCol w:w="743"/>
        <w:gridCol w:w="680"/>
        <w:gridCol w:w="743"/>
        <w:gridCol w:w="743"/>
        <w:gridCol w:w="680"/>
        <w:gridCol w:w="737"/>
        <w:gridCol w:w="743"/>
        <w:gridCol w:w="680"/>
        <w:gridCol w:w="680"/>
        <w:gridCol w:w="15"/>
      </w:tblGrid>
      <w:tr w:rsidR="00667564" w:rsidRPr="002B005F" w14:paraId="4507AE69" w14:textId="77777777" w:rsidTr="00D44D4F">
        <w:trPr>
          <w:gridAfter w:val="1"/>
          <w:wAfter w:w="15" w:type="dxa"/>
          <w:trHeight w:val="907"/>
          <w:jc w:val="center"/>
        </w:trPr>
        <w:tc>
          <w:tcPr>
            <w:tcW w:w="1871" w:type="dxa"/>
            <w:vAlign w:val="center"/>
          </w:tcPr>
          <w:p w14:paraId="44DDE6AD" w14:textId="77777777" w:rsidR="00A9296F" w:rsidRPr="002B005F" w:rsidRDefault="003D745A" w:rsidP="00C51A87">
            <w:pPr>
              <w:ind w:left="57" w:right="57"/>
              <w:jc w:val="center"/>
              <w:rPr>
                <w:rFonts w:ascii="Times New Roman" w:hAnsi="Times New Roman" w:cs="Times New Roman"/>
                <w:b/>
                <w:bCs/>
              </w:rPr>
            </w:pPr>
            <w:r w:rsidRPr="002B005F">
              <w:rPr>
                <w:rFonts w:ascii="Times New Roman" w:hAnsi="Times New Roman" w:cs="Times New Roman"/>
                <w:b/>
                <w:bCs/>
              </w:rPr>
              <w:t>Technique d’atténuation</w:t>
            </w:r>
          </w:p>
        </w:tc>
        <w:tc>
          <w:tcPr>
            <w:tcW w:w="744" w:type="dxa"/>
            <w:vAlign w:val="center"/>
          </w:tcPr>
          <w:p w14:paraId="0FE746E7" w14:textId="77777777" w:rsidR="00A9296F" w:rsidRPr="002B005F" w:rsidRDefault="003D745A" w:rsidP="003D745A">
            <w:pPr>
              <w:tabs>
                <w:tab w:val="left" w:pos="0"/>
              </w:tabs>
              <w:jc w:val="center"/>
              <w:rPr>
                <w:rFonts w:ascii="Times New Roman" w:eastAsia="Times New Roman" w:hAnsi="Times New Roman" w:cs="Times New Roman"/>
                <w:bCs/>
                <w:sz w:val="20"/>
                <w:szCs w:val="20"/>
                <w:lang w:val="en-GB"/>
              </w:rPr>
            </w:pPr>
            <w:r w:rsidRPr="002B005F">
              <w:rPr>
                <w:rFonts w:ascii="Times New Roman" w:eastAsia="Times New Roman" w:hAnsi="Times New Roman" w:cs="Times New Roman"/>
                <w:bCs/>
                <w:spacing w:val="-4"/>
                <w:sz w:val="20"/>
                <w:szCs w:val="20"/>
                <w:lang w:val="en-GB"/>
              </w:rPr>
              <w:t>Ré</w:t>
            </w:r>
            <w:r w:rsidR="00A9296F" w:rsidRPr="002B005F">
              <w:rPr>
                <w:rFonts w:ascii="Times New Roman" w:eastAsia="Times New Roman" w:hAnsi="Times New Roman" w:cs="Times New Roman"/>
                <w:bCs/>
                <w:spacing w:val="-4"/>
                <w:sz w:val="20"/>
                <w:szCs w:val="20"/>
                <w:lang w:val="en-GB"/>
              </w:rPr>
              <w:t>serve</w:t>
            </w:r>
            <w:r w:rsidR="00A9296F" w:rsidRPr="002B005F">
              <w:rPr>
                <w:rFonts w:ascii="Times New Roman" w:eastAsia="Times New Roman" w:hAnsi="Times New Roman" w:cs="Times New Roman"/>
                <w:bCs/>
                <w:sz w:val="20"/>
                <w:szCs w:val="20"/>
                <w:lang w:val="en-GB"/>
              </w:rPr>
              <w:t xml:space="preserve"> pour pertes</w:t>
            </w:r>
          </w:p>
        </w:tc>
        <w:tc>
          <w:tcPr>
            <w:tcW w:w="743" w:type="dxa"/>
            <w:vAlign w:val="center"/>
          </w:tcPr>
          <w:p w14:paraId="3697CD68" w14:textId="77777777" w:rsidR="00667564" w:rsidRPr="002B005F" w:rsidRDefault="00667564" w:rsidP="003D745A">
            <w:pPr>
              <w:tabs>
                <w:tab w:val="left" w:pos="0"/>
              </w:tabs>
              <w:jc w:val="center"/>
              <w:rPr>
                <w:rFonts w:ascii="Times New Roman" w:eastAsia="Times New Roman" w:hAnsi="Times New Roman" w:cs="Times New Roman"/>
                <w:bCs/>
                <w:sz w:val="20"/>
                <w:szCs w:val="20"/>
                <w:lang w:val="en-GB"/>
              </w:rPr>
            </w:pPr>
            <w:r w:rsidRPr="002B005F">
              <w:rPr>
                <w:rFonts w:ascii="Times New Roman" w:eastAsia="Times New Roman" w:hAnsi="Times New Roman" w:cs="Times New Roman"/>
                <w:bCs/>
                <w:sz w:val="20"/>
                <w:szCs w:val="20"/>
                <w:lang w:val="en-GB"/>
              </w:rPr>
              <w:t>N</w:t>
            </w:r>
            <w:r w:rsidR="00A9296F" w:rsidRPr="002B005F">
              <w:rPr>
                <w:rFonts w:ascii="Times New Roman" w:eastAsia="Times New Roman" w:hAnsi="Times New Roman" w:cs="Times New Roman"/>
                <w:bCs/>
                <w:sz w:val="20"/>
                <w:szCs w:val="20"/>
                <w:lang w:val="en-GB"/>
              </w:rPr>
              <w:t>antis</w:t>
            </w:r>
            <w:r w:rsidRPr="002B005F">
              <w:rPr>
                <w:rFonts w:ascii="Times New Roman" w:eastAsia="Times New Roman" w:hAnsi="Times New Roman" w:cs="Times New Roman"/>
                <w:bCs/>
                <w:sz w:val="20"/>
                <w:szCs w:val="20"/>
                <w:lang w:val="en-GB"/>
              </w:rPr>
              <w:t>-</w:t>
            </w:r>
          </w:p>
          <w:p w14:paraId="78AFDF2D" w14:textId="77777777" w:rsidR="00A9296F" w:rsidRPr="002B005F" w:rsidRDefault="00A9296F" w:rsidP="003D745A">
            <w:pPr>
              <w:tabs>
                <w:tab w:val="left" w:pos="0"/>
              </w:tabs>
              <w:jc w:val="center"/>
              <w:rPr>
                <w:rFonts w:ascii="Times New Roman" w:eastAsia="Times New Roman" w:hAnsi="Times New Roman" w:cs="Times New Roman"/>
                <w:bCs/>
                <w:sz w:val="20"/>
                <w:szCs w:val="20"/>
                <w:lang w:val="en-GB"/>
              </w:rPr>
            </w:pPr>
            <w:r w:rsidRPr="002B005F">
              <w:rPr>
                <w:rFonts w:ascii="Times New Roman" w:eastAsia="Times New Roman" w:hAnsi="Times New Roman" w:cs="Times New Roman"/>
                <w:bCs/>
                <w:sz w:val="20"/>
                <w:szCs w:val="20"/>
                <w:lang w:val="en-GB"/>
              </w:rPr>
              <w:t>sement</w:t>
            </w:r>
          </w:p>
        </w:tc>
        <w:tc>
          <w:tcPr>
            <w:tcW w:w="680" w:type="dxa"/>
            <w:vAlign w:val="center"/>
          </w:tcPr>
          <w:p w14:paraId="0E11BDBB" w14:textId="77777777" w:rsidR="00A9296F" w:rsidRPr="002B005F" w:rsidRDefault="00A9296F" w:rsidP="003D745A">
            <w:pPr>
              <w:tabs>
                <w:tab w:val="left" w:pos="0"/>
              </w:tabs>
              <w:jc w:val="center"/>
              <w:rPr>
                <w:rFonts w:ascii="Times New Roman" w:eastAsia="Times New Roman" w:hAnsi="Times New Roman" w:cs="Times New Roman"/>
                <w:bCs/>
                <w:sz w:val="20"/>
                <w:szCs w:val="20"/>
                <w:lang w:val="en-GB"/>
              </w:rPr>
            </w:pPr>
            <w:r w:rsidRPr="002B005F">
              <w:rPr>
                <w:rFonts w:ascii="Times New Roman" w:eastAsia="Times New Roman" w:hAnsi="Times New Roman" w:cs="Times New Roman"/>
                <w:bCs/>
                <w:sz w:val="20"/>
                <w:szCs w:val="20"/>
                <w:lang w:val="en-GB"/>
              </w:rPr>
              <w:t>Netting sur bilan</w:t>
            </w:r>
          </w:p>
        </w:tc>
        <w:tc>
          <w:tcPr>
            <w:tcW w:w="743" w:type="dxa"/>
            <w:vAlign w:val="center"/>
          </w:tcPr>
          <w:p w14:paraId="59A8767D" w14:textId="77777777" w:rsidR="00A9296F" w:rsidRPr="002B005F" w:rsidRDefault="00A9296F" w:rsidP="003D745A">
            <w:pPr>
              <w:tabs>
                <w:tab w:val="left" w:pos="0"/>
              </w:tabs>
              <w:jc w:val="center"/>
              <w:rPr>
                <w:rFonts w:ascii="Times New Roman" w:eastAsia="Times New Roman" w:hAnsi="Times New Roman" w:cs="Times New Roman"/>
                <w:bCs/>
                <w:sz w:val="20"/>
                <w:szCs w:val="20"/>
                <w:lang w:val="en-GB"/>
              </w:rPr>
            </w:pPr>
            <w:r w:rsidRPr="002B005F">
              <w:rPr>
                <w:rFonts w:ascii="Times New Roman" w:eastAsia="Times New Roman" w:hAnsi="Times New Roman" w:cs="Times New Roman"/>
                <w:bCs/>
                <w:sz w:val="20"/>
                <w:szCs w:val="20"/>
                <w:lang w:val="en-GB"/>
              </w:rPr>
              <w:t>Rating interne</w:t>
            </w:r>
          </w:p>
        </w:tc>
        <w:tc>
          <w:tcPr>
            <w:tcW w:w="743" w:type="dxa"/>
            <w:vAlign w:val="center"/>
          </w:tcPr>
          <w:p w14:paraId="2ED68529" w14:textId="77777777" w:rsidR="00A9296F" w:rsidRPr="002B005F" w:rsidRDefault="00A9296F" w:rsidP="003D745A">
            <w:pPr>
              <w:tabs>
                <w:tab w:val="left" w:pos="0"/>
              </w:tabs>
              <w:jc w:val="center"/>
              <w:rPr>
                <w:rFonts w:ascii="Times New Roman" w:eastAsia="Times New Roman" w:hAnsi="Times New Roman" w:cs="Times New Roman"/>
                <w:bCs/>
                <w:spacing w:val="-8"/>
                <w:sz w:val="20"/>
                <w:szCs w:val="20"/>
                <w:lang w:val="en-GB"/>
              </w:rPr>
            </w:pPr>
            <w:r w:rsidRPr="002B005F">
              <w:rPr>
                <w:rFonts w:ascii="Times New Roman" w:eastAsia="Times New Roman" w:hAnsi="Times New Roman" w:cs="Times New Roman"/>
                <w:bCs/>
                <w:spacing w:val="-8"/>
                <w:sz w:val="20"/>
                <w:szCs w:val="20"/>
                <w:lang w:val="en-GB"/>
              </w:rPr>
              <w:t>Garantie</w:t>
            </w:r>
          </w:p>
        </w:tc>
        <w:tc>
          <w:tcPr>
            <w:tcW w:w="680" w:type="dxa"/>
            <w:vAlign w:val="center"/>
          </w:tcPr>
          <w:p w14:paraId="76BF3103" w14:textId="77777777" w:rsidR="00667564" w:rsidRPr="002B005F" w:rsidRDefault="00A9296F" w:rsidP="00667564">
            <w:pPr>
              <w:tabs>
                <w:tab w:val="left" w:pos="0"/>
              </w:tabs>
              <w:jc w:val="center"/>
              <w:rPr>
                <w:rFonts w:ascii="Times New Roman" w:eastAsia="Times New Roman" w:hAnsi="Times New Roman" w:cs="Times New Roman"/>
                <w:bCs/>
                <w:sz w:val="20"/>
                <w:szCs w:val="20"/>
                <w:lang w:val="en-GB"/>
              </w:rPr>
            </w:pPr>
            <w:r w:rsidRPr="002B005F">
              <w:rPr>
                <w:rFonts w:ascii="Times New Roman" w:eastAsia="Times New Roman" w:hAnsi="Times New Roman" w:cs="Times New Roman"/>
                <w:bCs/>
                <w:sz w:val="20"/>
                <w:szCs w:val="20"/>
                <w:lang w:val="en-GB"/>
              </w:rPr>
              <w:t>Swap de taux</w:t>
            </w:r>
          </w:p>
        </w:tc>
        <w:tc>
          <w:tcPr>
            <w:tcW w:w="737" w:type="dxa"/>
            <w:vAlign w:val="center"/>
          </w:tcPr>
          <w:p w14:paraId="1FC825FF" w14:textId="00928FD7" w:rsidR="00A9296F" w:rsidRPr="002B005F" w:rsidRDefault="003D745A" w:rsidP="003D745A">
            <w:pPr>
              <w:tabs>
                <w:tab w:val="left" w:pos="0"/>
              </w:tabs>
              <w:jc w:val="center"/>
              <w:rPr>
                <w:rFonts w:ascii="Times New Roman" w:eastAsia="Times New Roman" w:hAnsi="Times New Roman" w:cs="Times New Roman"/>
                <w:bCs/>
                <w:i/>
                <w:iCs/>
                <w:spacing w:val="-4"/>
                <w:sz w:val="20"/>
                <w:szCs w:val="20"/>
                <w:lang w:val="en-GB"/>
              </w:rPr>
            </w:pPr>
            <w:r w:rsidRPr="002B005F">
              <w:rPr>
                <w:rFonts w:ascii="Times New Roman" w:eastAsia="Times New Roman" w:hAnsi="Times New Roman" w:cs="Times New Roman"/>
                <w:bCs/>
                <w:i/>
                <w:iCs/>
                <w:spacing w:val="-4"/>
                <w:sz w:val="20"/>
                <w:szCs w:val="20"/>
                <w:lang w:val="en-GB"/>
              </w:rPr>
              <w:t>Al-wa’</w:t>
            </w:r>
            <w:r w:rsidR="00AC4110">
              <w:rPr>
                <w:rFonts w:ascii="Times New Roman" w:eastAsia="Times New Roman" w:hAnsi="Times New Roman" w:cs="Times New Roman"/>
                <w:bCs/>
                <w:i/>
                <w:iCs/>
                <w:spacing w:val="-4"/>
                <w:sz w:val="20"/>
                <w:szCs w:val="20"/>
                <w:lang w:val="en-GB"/>
              </w:rPr>
              <w:t>a</w:t>
            </w:r>
            <w:r w:rsidR="00A9296F" w:rsidRPr="002B005F">
              <w:rPr>
                <w:rFonts w:ascii="Times New Roman" w:eastAsia="Times New Roman" w:hAnsi="Times New Roman" w:cs="Times New Roman"/>
                <w:bCs/>
                <w:i/>
                <w:iCs/>
                <w:spacing w:val="-4"/>
                <w:sz w:val="20"/>
                <w:szCs w:val="20"/>
                <w:lang w:val="en-GB"/>
              </w:rPr>
              <w:t>d</w:t>
            </w:r>
          </w:p>
        </w:tc>
        <w:tc>
          <w:tcPr>
            <w:tcW w:w="743" w:type="dxa"/>
            <w:vAlign w:val="center"/>
          </w:tcPr>
          <w:p w14:paraId="5C665C4F" w14:textId="77777777" w:rsidR="00A9296F" w:rsidRPr="002B005F" w:rsidRDefault="00B13A51" w:rsidP="003D745A">
            <w:pPr>
              <w:tabs>
                <w:tab w:val="left" w:pos="0"/>
              </w:tabs>
              <w:jc w:val="center"/>
              <w:rPr>
                <w:rFonts w:ascii="Times New Roman" w:eastAsia="Times New Roman" w:hAnsi="Times New Roman" w:cs="Times New Roman"/>
                <w:bCs/>
                <w:i/>
                <w:iCs/>
                <w:spacing w:val="-8"/>
                <w:sz w:val="20"/>
                <w:szCs w:val="20"/>
                <w:lang w:val="en-GB"/>
              </w:rPr>
            </w:pPr>
            <w:r w:rsidRPr="002B005F">
              <w:rPr>
                <w:rFonts w:ascii="Times New Roman" w:eastAsia="Times New Roman" w:hAnsi="Times New Roman" w:cs="Times New Roman"/>
                <w:bCs/>
                <w:i/>
                <w:iCs/>
                <w:spacing w:val="-8"/>
                <w:sz w:val="20"/>
                <w:szCs w:val="20"/>
                <w:lang w:val="en-GB"/>
              </w:rPr>
              <w:t>Ou’rboun</w:t>
            </w:r>
          </w:p>
        </w:tc>
        <w:tc>
          <w:tcPr>
            <w:tcW w:w="680" w:type="dxa"/>
            <w:vAlign w:val="center"/>
          </w:tcPr>
          <w:p w14:paraId="5DF03723" w14:textId="77777777" w:rsidR="00A9296F" w:rsidRPr="002B005F" w:rsidRDefault="00A9296F" w:rsidP="003D745A">
            <w:pPr>
              <w:tabs>
                <w:tab w:val="left" w:pos="0"/>
              </w:tabs>
              <w:jc w:val="center"/>
              <w:rPr>
                <w:rFonts w:ascii="Times New Roman" w:eastAsia="Times New Roman" w:hAnsi="Times New Roman" w:cs="Times New Roman"/>
                <w:bCs/>
                <w:sz w:val="20"/>
                <w:szCs w:val="20"/>
                <w:lang w:val="en-GB"/>
              </w:rPr>
            </w:pPr>
            <w:r w:rsidRPr="002B005F">
              <w:rPr>
                <w:rFonts w:ascii="Times New Roman" w:eastAsia="Times New Roman" w:hAnsi="Times New Roman" w:cs="Times New Roman"/>
                <w:bCs/>
                <w:sz w:val="20"/>
                <w:szCs w:val="20"/>
                <w:lang w:val="en-GB"/>
              </w:rPr>
              <w:t>PER</w:t>
            </w:r>
          </w:p>
        </w:tc>
        <w:tc>
          <w:tcPr>
            <w:tcW w:w="680" w:type="dxa"/>
            <w:vAlign w:val="center"/>
          </w:tcPr>
          <w:p w14:paraId="63801DE4" w14:textId="77777777" w:rsidR="00A9296F" w:rsidRPr="002B005F" w:rsidRDefault="00A9296F" w:rsidP="003D745A">
            <w:pPr>
              <w:tabs>
                <w:tab w:val="left" w:pos="0"/>
              </w:tabs>
              <w:jc w:val="center"/>
              <w:rPr>
                <w:rFonts w:ascii="Times New Roman" w:eastAsia="Times New Roman" w:hAnsi="Times New Roman" w:cs="Times New Roman"/>
                <w:bCs/>
                <w:sz w:val="20"/>
                <w:szCs w:val="20"/>
                <w:lang w:val="en-GB"/>
              </w:rPr>
            </w:pPr>
            <w:r w:rsidRPr="002B005F">
              <w:rPr>
                <w:rFonts w:ascii="Times New Roman" w:eastAsia="Times New Roman" w:hAnsi="Times New Roman" w:cs="Times New Roman"/>
                <w:bCs/>
                <w:sz w:val="20"/>
                <w:szCs w:val="20"/>
                <w:lang w:val="en-GB"/>
              </w:rPr>
              <w:t>IRR</w:t>
            </w:r>
          </w:p>
        </w:tc>
      </w:tr>
      <w:tr w:rsidR="00A9296F" w:rsidRPr="002B005F" w14:paraId="7F36808C" w14:textId="77777777" w:rsidTr="00D44D4F">
        <w:trPr>
          <w:trHeight w:val="454"/>
          <w:jc w:val="center"/>
        </w:trPr>
        <w:tc>
          <w:tcPr>
            <w:tcW w:w="1871" w:type="dxa"/>
            <w:vAlign w:val="center"/>
          </w:tcPr>
          <w:p w14:paraId="52BAD247" w14:textId="77777777" w:rsidR="00A9296F" w:rsidRPr="002B005F" w:rsidRDefault="00A9296F" w:rsidP="00C51A87">
            <w:pPr>
              <w:ind w:left="57" w:right="57"/>
              <w:jc w:val="center"/>
              <w:rPr>
                <w:rFonts w:ascii="Times New Roman" w:hAnsi="Times New Roman" w:cs="Times New Roman"/>
              </w:rPr>
            </w:pPr>
          </w:p>
        </w:tc>
        <w:tc>
          <w:tcPr>
            <w:tcW w:w="7188" w:type="dxa"/>
            <w:gridSpan w:val="11"/>
            <w:vAlign w:val="center"/>
          </w:tcPr>
          <w:p w14:paraId="6421C95A"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
                <w:lang w:val="en-GB"/>
              </w:rPr>
              <w:t>Moyenne pondérée</w:t>
            </w:r>
          </w:p>
        </w:tc>
      </w:tr>
      <w:tr w:rsidR="00667564" w:rsidRPr="002B005F" w14:paraId="5DC34CFC" w14:textId="77777777" w:rsidTr="00D44D4F">
        <w:trPr>
          <w:gridAfter w:val="1"/>
          <w:wAfter w:w="15" w:type="dxa"/>
          <w:trHeight w:val="850"/>
          <w:jc w:val="center"/>
        </w:trPr>
        <w:tc>
          <w:tcPr>
            <w:tcW w:w="1871" w:type="dxa"/>
            <w:vAlign w:val="center"/>
          </w:tcPr>
          <w:p w14:paraId="68EE688D" w14:textId="682E866C" w:rsidR="00A9296F" w:rsidRPr="002B005F" w:rsidRDefault="00C51A87" w:rsidP="00C51A87">
            <w:pPr>
              <w:ind w:left="57"/>
              <w:jc w:val="left"/>
              <w:rPr>
                <w:rFonts w:ascii="Times New Roman" w:hAnsi="Times New Roman" w:cs="Times New Roman"/>
                <w:b/>
                <w:bCs/>
                <w:sz w:val="20"/>
                <w:szCs w:val="20"/>
              </w:rPr>
            </w:pPr>
            <w:r w:rsidRPr="002B005F">
              <w:rPr>
                <w:rFonts w:ascii="Times New Roman" w:hAnsi="Times New Roman" w:cs="Times New Roman"/>
                <w:b/>
                <w:bCs/>
                <w:sz w:val="20"/>
                <w:szCs w:val="20"/>
              </w:rPr>
              <w:t xml:space="preserve">Banque </w:t>
            </w:r>
            <w:r w:rsidR="00AD18CE">
              <w:rPr>
                <w:rFonts w:ascii="Times New Roman" w:hAnsi="Times New Roman" w:cs="Times New Roman"/>
                <w:b/>
                <w:bCs/>
                <w:sz w:val="20"/>
                <w:szCs w:val="20"/>
              </w:rPr>
              <w:t>i</w:t>
            </w:r>
            <w:r w:rsidR="003773C6" w:rsidRPr="002B005F">
              <w:rPr>
                <w:rFonts w:ascii="Times New Roman" w:hAnsi="Times New Roman" w:cs="Times New Roman"/>
                <w:b/>
                <w:bCs/>
                <w:sz w:val="20"/>
                <w:szCs w:val="20"/>
              </w:rPr>
              <w:t>slamique</w:t>
            </w:r>
            <w:r w:rsidR="003D745A" w:rsidRPr="002B005F">
              <w:rPr>
                <w:rFonts w:ascii="Times New Roman" w:hAnsi="Times New Roman" w:cs="Times New Roman"/>
                <w:b/>
                <w:bCs/>
                <w:sz w:val="20"/>
                <w:szCs w:val="20"/>
              </w:rPr>
              <w:t xml:space="preserve"> à part entière</w:t>
            </w:r>
            <w:r w:rsidRPr="002B005F">
              <w:rPr>
                <w:rFonts w:ascii="Times New Roman" w:hAnsi="Times New Roman" w:cs="Times New Roman"/>
                <w:b/>
                <w:bCs/>
                <w:sz w:val="20"/>
                <w:szCs w:val="20"/>
              </w:rPr>
              <w:t xml:space="preserve">         </w:t>
            </w:r>
            <w:r w:rsidR="003D745A" w:rsidRPr="002B005F">
              <w:rPr>
                <w:rFonts w:ascii="Times New Roman" w:hAnsi="Times New Roman" w:cs="Times New Roman"/>
                <w:b/>
                <w:bCs/>
                <w:sz w:val="20"/>
                <w:szCs w:val="20"/>
              </w:rPr>
              <w:t>64</w:t>
            </w:r>
          </w:p>
        </w:tc>
        <w:tc>
          <w:tcPr>
            <w:tcW w:w="744" w:type="dxa"/>
            <w:vAlign w:val="center"/>
          </w:tcPr>
          <w:p w14:paraId="1D2DE66E"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Cs/>
                <w:lang w:val="en-GB"/>
              </w:rPr>
              <w:t>19.2</w:t>
            </w:r>
            <w:r w:rsidR="00C51A87" w:rsidRPr="002B005F">
              <w:rPr>
                <w:rFonts w:ascii="Times New Roman" w:eastAsia="Times New Roman" w:hAnsi="Times New Roman" w:cs="Times New Roman"/>
                <w:bCs/>
                <w:lang w:val="en-GB"/>
              </w:rPr>
              <w:t>0</w:t>
            </w:r>
          </w:p>
          <w:p w14:paraId="04EDD172"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lang w:val="en-GB"/>
              </w:rPr>
              <w:t>2</w:t>
            </w:r>
            <w:r w:rsidRPr="002B005F">
              <w:rPr>
                <w:rFonts w:ascii="Times New Roman" w:eastAsia="Times New Roman" w:hAnsi="Times New Roman" w:cs="Times New Roman"/>
                <w:vertAlign w:val="superscript"/>
                <w:lang w:val="en-GB"/>
              </w:rPr>
              <w:t>eme</w:t>
            </w:r>
          </w:p>
        </w:tc>
        <w:tc>
          <w:tcPr>
            <w:tcW w:w="743" w:type="dxa"/>
            <w:vAlign w:val="center"/>
          </w:tcPr>
          <w:p w14:paraId="3288C0D5"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Cs/>
                <w:lang w:val="en-GB"/>
              </w:rPr>
              <w:t>19.94</w:t>
            </w:r>
          </w:p>
          <w:p w14:paraId="435A6A9E"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lang w:val="en-GB"/>
              </w:rPr>
              <w:t>2</w:t>
            </w:r>
            <w:r w:rsidRPr="002B005F">
              <w:rPr>
                <w:rFonts w:ascii="Times New Roman" w:eastAsia="Times New Roman" w:hAnsi="Times New Roman" w:cs="Times New Roman"/>
                <w:vertAlign w:val="superscript"/>
                <w:lang w:val="en-GB"/>
              </w:rPr>
              <w:t>eme</w:t>
            </w:r>
          </w:p>
        </w:tc>
        <w:tc>
          <w:tcPr>
            <w:tcW w:w="680" w:type="dxa"/>
            <w:vAlign w:val="center"/>
          </w:tcPr>
          <w:p w14:paraId="7EB914EC"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Cs/>
                <w:lang w:val="en-GB"/>
              </w:rPr>
              <w:t>19.68</w:t>
            </w:r>
          </w:p>
          <w:p w14:paraId="1D64A6A9"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lang w:val="en-GB"/>
              </w:rPr>
              <w:t>2</w:t>
            </w:r>
            <w:r w:rsidRPr="002B005F">
              <w:rPr>
                <w:rFonts w:ascii="Times New Roman" w:eastAsia="Times New Roman" w:hAnsi="Times New Roman" w:cs="Times New Roman"/>
                <w:vertAlign w:val="superscript"/>
                <w:lang w:val="en-GB"/>
              </w:rPr>
              <w:t>eme</w:t>
            </w:r>
          </w:p>
        </w:tc>
        <w:tc>
          <w:tcPr>
            <w:tcW w:w="743" w:type="dxa"/>
            <w:vAlign w:val="center"/>
          </w:tcPr>
          <w:p w14:paraId="395A5DDD"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Cs/>
                <w:lang w:val="en-GB"/>
              </w:rPr>
              <w:t>20.02</w:t>
            </w:r>
          </w:p>
          <w:p w14:paraId="5ACFB12A"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lang w:val="en-GB"/>
              </w:rPr>
              <w:t>2</w:t>
            </w:r>
            <w:r w:rsidRPr="002B005F">
              <w:rPr>
                <w:rFonts w:ascii="Times New Roman" w:eastAsia="Times New Roman" w:hAnsi="Times New Roman" w:cs="Times New Roman"/>
                <w:vertAlign w:val="superscript"/>
                <w:lang w:val="en-GB"/>
              </w:rPr>
              <w:t>eme</w:t>
            </w:r>
          </w:p>
        </w:tc>
        <w:tc>
          <w:tcPr>
            <w:tcW w:w="743" w:type="dxa"/>
            <w:vAlign w:val="center"/>
          </w:tcPr>
          <w:p w14:paraId="6CCC75D7"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Cs/>
                <w:lang w:val="en-GB"/>
              </w:rPr>
              <w:t>18.88</w:t>
            </w:r>
          </w:p>
          <w:p w14:paraId="7AD1B449"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lang w:val="en-GB"/>
              </w:rPr>
              <w:t>2</w:t>
            </w:r>
            <w:r w:rsidRPr="002B005F">
              <w:rPr>
                <w:rFonts w:ascii="Times New Roman" w:eastAsia="Times New Roman" w:hAnsi="Times New Roman" w:cs="Times New Roman"/>
                <w:vertAlign w:val="superscript"/>
                <w:lang w:val="en-GB"/>
              </w:rPr>
              <w:t>eme</w:t>
            </w:r>
          </w:p>
        </w:tc>
        <w:tc>
          <w:tcPr>
            <w:tcW w:w="680" w:type="dxa"/>
            <w:vAlign w:val="center"/>
          </w:tcPr>
          <w:p w14:paraId="59FE4609"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Cs/>
                <w:lang w:val="en-GB"/>
              </w:rPr>
              <w:t>20.22</w:t>
            </w:r>
          </w:p>
          <w:p w14:paraId="0AD1A84E"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lang w:val="en-GB"/>
              </w:rPr>
              <w:t>1</w:t>
            </w:r>
            <w:r w:rsidRPr="002B005F">
              <w:rPr>
                <w:rFonts w:ascii="Times New Roman" w:eastAsia="Times New Roman" w:hAnsi="Times New Roman" w:cs="Times New Roman"/>
                <w:vertAlign w:val="superscript"/>
                <w:lang w:val="en-GB"/>
              </w:rPr>
              <w:t>ere</w:t>
            </w:r>
          </w:p>
        </w:tc>
        <w:tc>
          <w:tcPr>
            <w:tcW w:w="737" w:type="dxa"/>
            <w:vAlign w:val="center"/>
          </w:tcPr>
          <w:p w14:paraId="2832746E"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Cs/>
                <w:lang w:val="en-GB"/>
              </w:rPr>
              <w:t>19.65</w:t>
            </w:r>
          </w:p>
          <w:p w14:paraId="32A96D5D"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lang w:val="en-GB"/>
              </w:rPr>
              <w:t>2</w:t>
            </w:r>
            <w:r w:rsidRPr="002B005F">
              <w:rPr>
                <w:rFonts w:ascii="Times New Roman" w:eastAsia="Times New Roman" w:hAnsi="Times New Roman" w:cs="Times New Roman"/>
                <w:vertAlign w:val="superscript"/>
                <w:lang w:val="en-GB"/>
              </w:rPr>
              <w:t>eme</w:t>
            </w:r>
          </w:p>
        </w:tc>
        <w:tc>
          <w:tcPr>
            <w:tcW w:w="743" w:type="dxa"/>
            <w:vAlign w:val="center"/>
          </w:tcPr>
          <w:p w14:paraId="28D5549D"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Cs/>
                <w:lang w:val="en-GB"/>
              </w:rPr>
              <w:t>17.56</w:t>
            </w:r>
          </w:p>
          <w:p w14:paraId="1B1BDDFC"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lang w:val="en-GB"/>
              </w:rPr>
              <w:t>2</w:t>
            </w:r>
            <w:r w:rsidRPr="002B005F">
              <w:rPr>
                <w:rFonts w:ascii="Times New Roman" w:eastAsia="Times New Roman" w:hAnsi="Times New Roman" w:cs="Times New Roman"/>
                <w:vertAlign w:val="superscript"/>
                <w:lang w:val="en-GB"/>
              </w:rPr>
              <w:t>eme</w:t>
            </w:r>
          </w:p>
        </w:tc>
        <w:tc>
          <w:tcPr>
            <w:tcW w:w="680" w:type="dxa"/>
            <w:vAlign w:val="center"/>
          </w:tcPr>
          <w:p w14:paraId="171FC2F3"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Cs/>
                <w:lang w:val="en-GB"/>
              </w:rPr>
              <w:t>19.98</w:t>
            </w:r>
          </w:p>
          <w:p w14:paraId="388692CF"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lang w:val="en-GB"/>
              </w:rPr>
              <w:t>1</w:t>
            </w:r>
            <w:r w:rsidRPr="002B005F">
              <w:rPr>
                <w:rFonts w:ascii="Times New Roman" w:eastAsia="Times New Roman" w:hAnsi="Times New Roman" w:cs="Times New Roman"/>
                <w:vertAlign w:val="superscript"/>
                <w:lang w:val="en-GB"/>
              </w:rPr>
              <w:t>ere</w:t>
            </w:r>
          </w:p>
        </w:tc>
        <w:tc>
          <w:tcPr>
            <w:tcW w:w="680" w:type="dxa"/>
            <w:vAlign w:val="center"/>
          </w:tcPr>
          <w:p w14:paraId="1DBAE153"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bCs/>
                <w:lang w:val="en-GB"/>
              </w:rPr>
              <w:t>18.3</w:t>
            </w:r>
            <w:r w:rsidR="00C51A87" w:rsidRPr="002B005F">
              <w:rPr>
                <w:rFonts w:ascii="Times New Roman" w:eastAsia="Times New Roman" w:hAnsi="Times New Roman" w:cs="Times New Roman"/>
                <w:bCs/>
                <w:lang w:val="en-GB"/>
              </w:rPr>
              <w:t>0</w:t>
            </w:r>
          </w:p>
          <w:p w14:paraId="2562E3A1" w14:textId="77777777" w:rsidR="00A9296F" w:rsidRPr="002B005F" w:rsidRDefault="00A9296F" w:rsidP="00B54EA9">
            <w:pPr>
              <w:jc w:val="center"/>
              <w:rPr>
                <w:rFonts w:ascii="Times New Roman" w:hAnsi="Times New Roman" w:cs="Times New Roman"/>
              </w:rPr>
            </w:pPr>
            <w:r w:rsidRPr="002B005F">
              <w:rPr>
                <w:rFonts w:ascii="Times New Roman" w:eastAsia="Times New Roman" w:hAnsi="Times New Roman" w:cs="Times New Roman"/>
                <w:lang w:val="en-GB"/>
              </w:rPr>
              <w:t>1</w:t>
            </w:r>
            <w:r w:rsidRPr="002B005F">
              <w:rPr>
                <w:rFonts w:ascii="Times New Roman" w:eastAsia="Times New Roman" w:hAnsi="Times New Roman" w:cs="Times New Roman"/>
                <w:vertAlign w:val="superscript"/>
                <w:lang w:val="en-GB"/>
              </w:rPr>
              <w:t>ere</w:t>
            </w:r>
          </w:p>
        </w:tc>
      </w:tr>
      <w:tr w:rsidR="003D745A" w:rsidRPr="002B005F" w14:paraId="11F331FD" w14:textId="77777777" w:rsidTr="00D44D4F">
        <w:trPr>
          <w:gridAfter w:val="1"/>
          <w:wAfter w:w="15" w:type="dxa"/>
          <w:trHeight w:val="680"/>
          <w:jc w:val="center"/>
        </w:trPr>
        <w:tc>
          <w:tcPr>
            <w:tcW w:w="1871" w:type="dxa"/>
          </w:tcPr>
          <w:p w14:paraId="286D53EA" w14:textId="5BE7DC76" w:rsidR="003D745A" w:rsidRPr="002B005F" w:rsidRDefault="003D745A" w:rsidP="00C51A87">
            <w:pPr>
              <w:ind w:left="57"/>
              <w:jc w:val="left"/>
              <w:rPr>
                <w:rFonts w:ascii="Times New Roman" w:hAnsi="Times New Roman" w:cs="Times New Roman"/>
                <w:b/>
                <w:bCs/>
                <w:sz w:val="20"/>
                <w:szCs w:val="20"/>
              </w:rPr>
            </w:pPr>
            <w:r w:rsidRPr="002B005F">
              <w:rPr>
                <w:rFonts w:ascii="Times New Roman" w:hAnsi="Times New Roman" w:cs="Times New Roman"/>
                <w:b/>
                <w:bCs/>
                <w:sz w:val="20"/>
                <w:szCs w:val="20"/>
              </w:rPr>
              <w:t xml:space="preserve">Banque à guichet </w:t>
            </w:r>
            <w:r w:rsidR="0096069F">
              <w:rPr>
                <w:rFonts w:ascii="Times New Roman" w:hAnsi="Times New Roman" w:cs="Times New Roman"/>
                <w:b/>
                <w:bCs/>
                <w:sz w:val="20"/>
                <w:szCs w:val="20"/>
              </w:rPr>
              <w:t>i</w:t>
            </w:r>
            <w:r w:rsidR="003773C6" w:rsidRPr="002B005F">
              <w:rPr>
                <w:rFonts w:ascii="Times New Roman" w:hAnsi="Times New Roman" w:cs="Times New Roman"/>
                <w:b/>
                <w:bCs/>
                <w:sz w:val="20"/>
                <w:szCs w:val="20"/>
              </w:rPr>
              <w:t>slamique</w:t>
            </w:r>
            <w:r w:rsidRPr="002B005F">
              <w:rPr>
                <w:rFonts w:ascii="Times New Roman" w:hAnsi="Times New Roman" w:cs="Times New Roman"/>
                <w:b/>
                <w:bCs/>
                <w:sz w:val="20"/>
                <w:szCs w:val="20"/>
              </w:rPr>
              <w:t xml:space="preserve">        </w:t>
            </w:r>
            <w:r w:rsidR="00C51A87" w:rsidRPr="002B005F">
              <w:rPr>
                <w:rFonts w:ascii="Times New Roman" w:hAnsi="Times New Roman" w:cs="Times New Roman"/>
                <w:b/>
                <w:bCs/>
                <w:sz w:val="20"/>
                <w:szCs w:val="20"/>
              </w:rPr>
              <w:t xml:space="preserve">    </w:t>
            </w:r>
            <w:r w:rsidRPr="002B005F">
              <w:rPr>
                <w:rFonts w:ascii="Times New Roman" w:hAnsi="Times New Roman" w:cs="Times New Roman"/>
                <w:b/>
                <w:bCs/>
                <w:sz w:val="20"/>
                <w:szCs w:val="20"/>
              </w:rPr>
              <w:t>15</w:t>
            </w:r>
          </w:p>
        </w:tc>
        <w:tc>
          <w:tcPr>
            <w:tcW w:w="744" w:type="dxa"/>
            <w:vMerge w:val="restart"/>
          </w:tcPr>
          <w:p w14:paraId="0538EEDC"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21.43</w:t>
            </w:r>
          </w:p>
          <w:p w14:paraId="74301FE5"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w:t>
            </w:r>
            <w:r w:rsidRPr="002B005F">
              <w:rPr>
                <w:rFonts w:ascii="Times New Roman" w:eastAsia="Times New Roman" w:hAnsi="Times New Roman" w:cs="Times New Roman"/>
                <w:vertAlign w:val="superscript"/>
                <w:lang w:val="en-GB"/>
              </w:rPr>
              <w:t>ere</w:t>
            </w:r>
          </w:p>
        </w:tc>
        <w:tc>
          <w:tcPr>
            <w:tcW w:w="743" w:type="dxa"/>
            <w:vMerge w:val="restart"/>
          </w:tcPr>
          <w:p w14:paraId="75449A4F"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20.11</w:t>
            </w:r>
          </w:p>
          <w:p w14:paraId="63E0CE4B"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w:t>
            </w:r>
            <w:r w:rsidRPr="002B005F">
              <w:rPr>
                <w:rFonts w:ascii="Times New Roman" w:eastAsia="Times New Roman" w:hAnsi="Times New Roman" w:cs="Times New Roman"/>
                <w:vertAlign w:val="superscript"/>
                <w:lang w:val="en-GB"/>
              </w:rPr>
              <w:t>ere</w:t>
            </w:r>
          </w:p>
        </w:tc>
        <w:tc>
          <w:tcPr>
            <w:tcW w:w="680" w:type="dxa"/>
            <w:vMerge w:val="restart"/>
          </w:tcPr>
          <w:p w14:paraId="42570E5A"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20.57</w:t>
            </w:r>
          </w:p>
          <w:p w14:paraId="20CE7D3F"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w:t>
            </w:r>
            <w:r w:rsidRPr="002B005F">
              <w:rPr>
                <w:rFonts w:ascii="Times New Roman" w:eastAsia="Times New Roman" w:hAnsi="Times New Roman" w:cs="Times New Roman"/>
                <w:vertAlign w:val="superscript"/>
                <w:lang w:val="en-GB"/>
              </w:rPr>
              <w:t>ere</w:t>
            </w:r>
          </w:p>
        </w:tc>
        <w:tc>
          <w:tcPr>
            <w:tcW w:w="743" w:type="dxa"/>
            <w:vMerge w:val="restart"/>
          </w:tcPr>
          <w:p w14:paraId="2CA7989A"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21.36</w:t>
            </w:r>
          </w:p>
          <w:p w14:paraId="3496270F"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w:t>
            </w:r>
            <w:r w:rsidRPr="002B005F">
              <w:rPr>
                <w:rFonts w:ascii="Times New Roman" w:eastAsia="Times New Roman" w:hAnsi="Times New Roman" w:cs="Times New Roman"/>
                <w:vertAlign w:val="superscript"/>
                <w:lang w:val="en-GB"/>
              </w:rPr>
              <w:t>ere</w:t>
            </w:r>
          </w:p>
        </w:tc>
        <w:tc>
          <w:tcPr>
            <w:tcW w:w="743" w:type="dxa"/>
            <w:vMerge w:val="restart"/>
          </w:tcPr>
          <w:p w14:paraId="7F653F7D"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19.32</w:t>
            </w:r>
          </w:p>
          <w:p w14:paraId="6A41A4D4"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w:t>
            </w:r>
            <w:r w:rsidRPr="002B005F">
              <w:rPr>
                <w:rFonts w:ascii="Times New Roman" w:eastAsia="Times New Roman" w:hAnsi="Times New Roman" w:cs="Times New Roman"/>
                <w:vertAlign w:val="superscript"/>
                <w:lang w:val="en-GB"/>
              </w:rPr>
              <w:t>ere</w:t>
            </w:r>
          </w:p>
        </w:tc>
        <w:tc>
          <w:tcPr>
            <w:tcW w:w="680" w:type="dxa"/>
            <w:vMerge w:val="restart"/>
          </w:tcPr>
          <w:p w14:paraId="735D541F"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19.86</w:t>
            </w:r>
          </w:p>
          <w:p w14:paraId="5E7113CF"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2</w:t>
            </w:r>
            <w:r w:rsidRPr="002B005F">
              <w:rPr>
                <w:rFonts w:ascii="Times New Roman" w:eastAsia="Times New Roman" w:hAnsi="Times New Roman" w:cs="Times New Roman"/>
                <w:vertAlign w:val="superscript"/>
                <w:lang w:val="en-GB"/>
              </w:rPr>
              <w:t>eme</w:t>
            </w:r>
          </w:p>
        </w:tc>
        <w:tc>
          <w:tcPr>
            <w:tcW w:w="737" w:type="dxa"/>
            <w:vMerge w:val="restart"/>
          </w:tcPr>
          <w:p w14:paraId="3311D16E"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22.03</w:t>
            </w:r>
          </w:p>
          <w:p w14:paraId="4D9C2BA6"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w:t>
            </w:r>
            <w:r w:rsidRPr="002B005F">
              <w:rPr>
                <w:rFonts w:ascii="Times New Roman" w:eastAsia="Times New Roman" w:hAnsi="Times New Roman" w:cs="Times New Roman"/>
                <w:vertAlign w:val="superscript"/>
                <w:lang w:val="en-GB"/>
              </w:rPr>
              <w:t>ere</w:t>
            </w:r>
          </w:p>
        </w:tc>
        <w:tc>
          <w:tcPr>
            <w:tcW w:w="743" w:type="dxa"/>
            <w:vMerge w:val="restart"/>
          </w:tcPr>
          <w:p w14:paraId="7B434C1A"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19.61</w:t>
            </w:r>
          </w:p>
          <w:p w14:paraId="5FCB889D"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w:t>
            </w:r>
            <w:r w:rsidRPr="002B005F">
              <w:rPr>
                <w:rFonts w:ascii="Times New Roman" w:eastAsia="Times New Roman" w:hAnsi="Times New Roman" w:cs="Times New Roman"/>
                <w:vertAlign w:val="superscript"/>
                <w:lang w:val="en-GB"/>
              </w:rPr>
              <w:t>ere</w:t>
            </w:r>
          </w:p>
        </w:tc>
        <w:tc>
          <w:tcPr>
            <w:tcW w:w="680" w:type="dxa"/>
            <w:vMerge w:val="restart"/>
          </w:tcPr>
          <w:p w14:paraId="1E44E2F4"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18.65</w:t>
            </w:r>
          </w:p>
          <w:p w14:paraId="53C35E0A"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2</w:t>
            </w:r>
            <w:r w:rsidRPr="002B005F">
              <w:rPr>
                <w:rFonts w:ascii="Times New Roman" w:eastAsia="Times New Roman" w:hAnsi="Times New Roman" w:cs="Times New Roman"/>
                <w:vertAlign w:val="superscript"/>
                <w:lang w:val="en-GB"/>
              </w:rPr>
              <w:t>eme</w:t>
            </w:r>
          </w:p>
        </w:tc>
        <w:tc>
          <w:tcPr>
            <w:tcW w:w="680" w:type="dxa"/>
            <w:vMerge w:val="restart"/>
          </w:tcPr>
          <w:p w14:paraId="08FB96B4"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17.6</w:t>
            </w:r>
            <w:r w:rsidR="00C51A87" w:rsidRPr="002B005F">
              <w:rPr>
                <w:rFonts w:ascii="Times New Roman" w:eastAsia="Times New Roman" w:hAnsi="Times New Roman" w:cs="Times New Roman"/>
                <w:lang w:val="en-GB"/>
              </w:rPr>
              <w:t>0</w:t>
            </w:r>
          </w:p>
          <w:p w14:paraId="36D12E8A" w14:textId="77777777" w:rsidR="003D745A" w:rsidRPr="002B005F" w:rsidRDefault="003D745A" w:rsidP="00C51A87">
            <w:pPr>
              <w:jc w:val="center"/>
              <w:rPr>
                <w:rFonts w:ascii="Times New Roman" w:hAnsi="Times New Roman" w:cs="Times New Roman"/>
              </w:rPr>
            </w:pPr>
            <w:r w:rsidRPr="002B005F">
              <w:rPr>
                <w:rFonts w:ascii="Times New Roman" w:eastAsia="Times New Roman" w:hAnsi="Times New Roman" w:cs="Times New Roman"/>
                <w:lang w:val="en-GB"/>
              </w:rPr>
              <w:t>2</w:t>
            </w:r>
            <w:r w:rsidRPr="002B005F">
              <w:rPr>
                <w:rFonts w:ascii="Times New Roman" w:eastAsia="Times New Roman" w:hAnsi="Times New Roman" w:cs="Times New Roman"/>
                <w:vertAlign w:val="superscript"/>
                <w:lang w:val="en-GB"/>
              </w:rPr>
              <w:t>eme</w:t>
            </w:r>
          </w:p>
        </w:tc>
      </w:tr>
      <w:tr w:rsidR="003D745A" w:rsidRPr="002B005F" w14:paraId="705826B4" w14:textId="77777777" w:rsidTr="00D44D4F">
        <w:trPr>
          <w:gridAfter w:val="1"/>
          <w:wAfter w:w="15" w:type="dxa"/>
          <w:trHeight w:val="455"/>
          <w:jc w:val="center"/>
        </w:trPr>
        <w:tc>
          <w:tcPr>
            <w:tcW w:w="1871" w:type="dxa"/>
            <w:vAlign w:val="center"/>
          </w:tcPr>
          <w:p w14:paraId="39D15FD2" w14:textId="6901850A" w:rsidR="003D745A" w:rsidRPr="002B005F" w:rsidRDefault="003D745A" w:rsidP="00C51A87">
            <w:pPr>
              <w:ind w:left="57" w:right="57"/>
              <w:jc w:val="right"/>
              <w:rPr>
                <w:rFonts w:ascii="Times New Roman" w:hAnsi="Times New Roman" w:cs="Times New Roman"/>
                <w:b/>
                <w:bCs/>
              </w:rPr>
            </w:pPr>
            <w:r w:rsidRPr="002B005F">
              <w:rPr>
                <w:rFonts w:ascii="Times New Roman" w:hAnsi="Times New Roman" w:cs="Times New Roman"/>
                <w:b/>
                <w:bCs/>
              </w:rPr>
              <w:t>Total  79</w:t>
            </w:r>
          </w:p>
        </w:tc>
        <w:tc>
          <w:tcPr>
            <w:tcW w:w="744" w:type="dxa"/>
            <w:vMerge/>
          </w:tcPr>
          <w:p w14:paraId="3055DBDF" w14:textId="77777777" w:rsidR="003D745A" w:rsidRPr="002B005F" w:rsidRDefault="003D745A" w:rsidP="00B54EA9">
            <w:pPr>
              <w:jc w:val="center"/>
              <w:rPr>
                <w:rFonts w:ascii="Times New Roman" w:eastAsia="Times New Roman" w:hAnsi="Times New Roman" w:cs="Times New Roman"/>
                <w:lang w:val="en-GB"/>
              </w:rPr>
            </w:pPr>
          </w:p>
        </w:tc>
        <w:tc>
          <w:tcPr>
            <w:tcW w:w="743" w:type="dxa"/>
            <w:vMerge/>
          </w:tcPr>
          <w:p w14:paraId="68E0D905" w14:textId="77777777" w:rsidR="003D745A" w:rsidRPr="002B005F" w:rsidRDefault="003D745A" w:rsidP="00B54EA9">
            <w:pPr>
              <w:jc w:val="center"/>
              <w:rPr>
                <w:rFonts w:ascii="Times New Roman" w:eastAsia="Times New Roman" w:hAnsi="Times New Roman" w:cs="Times New Roman"/>
                <w:lang w:val="en-GB"/>
              </w:rPr>
            </w:pPr>
          </w:p>
        </w:tc>
        <w:tc>
          <w:tcPr>
            <w:tcW w:w="680" w:type="dxa"/>
            <w:vMerge/>
          </w:tcPr>
          <w:p w14:paraId="14F27AF2" w14:textId="77777777" w:rsidR="003D745A" w:rsidRPr="002B005F" w:rsidRDefault="003D745A" w:rsidP="00B54EA9">
            <w:pPr>
              <w:jc w:val="center"/>
              <w:rPr>
                <w:rFonts w:ascii="Times New Roman" w:eastAsia="Times New Roman" w:hAnsi="Times New Roman" w:cs="Times New Roman"/>
                <w:lang w:val="en-GB"/>
              </w:rPr>
            </w:pPr>
          </w:p>
        </w:tc>
        <w:tc>
          <w:tcPr>
            <w:tcW w:w="743" w:type="dxa"/>
            <w:vMerge/>
          </w:tcPr>
          <w:p w14:paraId="35635F7F" w14:textId="77777777" w:rsidR="003D745A" w:rsidRPr="002B005F" w:rsidRDefault="003D745A" w:rsidP="00B54EA9">
            <w:pPr>
              <w:jc w:val="center"/>
              <w:rPr>
                <w:rFonts w:ascii="Times New Roman" w:eastAsia="Times New Roman" w:hAnsi="Times New Roman" w:cs="Times New Roman"/>
                <w:lang w:val="en-GB"/>
              </w:rPr>
            </w:pPr>
          </w:p>
        </w:tc>
        <w:tc>
          <w:tcPr>
            <w:tcW w:w="743" w:type="dxa"/>
            <w:vMerge/>
          </w:tcPr>
          <w:p w14:paraId="40534CD9" w14:textId="77777777" w:rsidR="003D745A" w:rsidRPr="002B005F" w:rsidRDefault="003D745A" w:rsidP="00B54EA9">
            <w:pPr>
              <w:jc w:val="center"/>
              <w:rPr>
                <w:rFonts w:ascii="Times New Roman" w:eastAsia="Times New Roman" w:hAnsi="Times New Roman" w:cs="Times New Roman"/>
                <w:lang w:val="en-GB"/>
              </w:rPr>
            </w:pPr>
          </w:p>
        </w:tc>
        <w:tc>
          <w:tcPr>
            <w:tcW w:w="680" w:type="dxa"/>
            <w:vMerge/>
          </w:tcPr>
          <w:p w14:paraId="56B80622" w14:textId="77777777" w:rsidR="003D745A" w:rsidRPr="002B005F" w:rsidRDefault="003D745A" w:rsidP="00B54EA9">
            <w:pPr>
              <w:jc w:val="center"/>
              <w:rPr>
                <w:rFonts w:ascii="Times New Roman" w:eastAsia="Times New Roman" w:hAnsi="Times New Roman" w:cs="Times New Roman"/>
                <w:lang w:val="en-GB"/>
              </w:rPr>
            </w:pPr>
          </w:p>
        </w:tc>
        <w:tc>
          <w:tcPr>
            <w:tcW w:w="737" w:type="dxa"/>
            <w:vMerge/>
          </w:tcPr>
          <w:p w14:paraId="6CD0365E" w14:textId="77777777" w:rsidR="003D745A" w:rsidRPr="002B005F" w:rsidRDefault="003D745A" w:rsidP="00B54EA9">
            <w:pPr>
              <w:jc w:val="center"/>
              <w:rPr>
                <w:rFonts w:ascii="Times New Roman" w:eastAsia="Times New Roman" w:hAnsi="Times New Roman" w:cs="Times New Roman"/>
                <w:lang w:val="en-GB"/>
              </w:rPr>
            </w:pPr>
          </w:p>
        </w:tc>
        <w:tc>
          <w:tcPr>
            <w:tcW w:w="743" w:type="dxa"/>
            <w:vMerge/>
          </w:tcPr>
          <w:p w14:paraId="0AC2A332" w14:textId="77777777" w:rsidR="003D745A" w:rsidRPr="002B005F" w:rsidRDefault="003D745A" w:rsidP="00B54EA9">
            <w:pPr>
              <w:jc w:val="center"/>
              <w:rPr>
                <w:rFonts w:ascii="Times New Roman" w:eastAsia="Times New Roman" w:hAnsi="Times New Roman" w:cs="Times New Roman"/>
                <w:lang w:val="en-GB"/>
              </w:rPr>
            </w:pPr>
          </w:p>
        </w:tc>
        <w:tc>
          <w:tcPr>
            <w:tcW w:w="680" w:type="dxa"/>
            <w:vMerge/>
          </w:tcPr>
          <w:p w14:paraId="67FB7021" w14:textId="77777777" w:rsidR="003D745A" w:rsidRPr="002B005F" w:rsidRDefault="003D745A" w:rsidP="00B54EA9">
            <w:pPr>
              <w:jc w:val="center"/>
              <w:rPr>
                <w:rFonts w:ascii="Times New Roman" w:eastAsia="Times New Roman" w:hAnsi="Times New Roman" w:cs="Times New Roman"/>
                <w:lang w:val="en-GB"/>
              </w:rPr>
            </w:pPr>
          </w:p>
        </w:tc>
        <w:tc>
          <w:tcPr>
            <w:tcW w:w="680" w:type="dxa"/>
            <w:vMerge/>
          </w:tcPr>
          <w:p w14:paraId="3409A052" w14:textId="77777777" w:rsidR="003D745A" w:rsidRPr="002B005F" w:rsidRDefault="003D745A" w:rsidP="00B54EA9">
            <w:pPr>
              <w:jc w:val="center"/>
              <w:rPr>
                <w:rFonts w:ascii="Times New Roman" w:eastAsia="Times New Roman" w:hAnsi="Times New Roman" w:cs="Times New Roman"/>
                <w:lang w:val="en-GB"/>
              </w:rPr>
            </w:pPr>
          </w:p>
        </w:tc>
      </w:tr>
    </w:tbl>
    <w:p w14:paraId="00D1BB16" w14:textId="77777777" w:rsidR="002760B2" w:rsidRPr="002B005F" w:rsidRDefault="003A4D84" w:rsidP="0062692A">
      <w:pPr>
        <w:tabs>
          <w:tab w:val="center" w:pos="0"/>
        </w:tabs>
        <w:spacing w:before="120" w:after="100" w:afterAutospacing="1" w:line="240" w:lineRule="auto"/>
        <w:jc w:val="center"/>
        <w:rPr>
          <w:rFonts w:ascii="Times New Roman" w:eastAsia="Times New Roman" w:hAnsi="Times New Roman" w:cs="Times New Roman"/>
          <w:bCs/>
          <w:sz w:val="20"/>
          <w:szCs w:val="18"/>
          <w:lang w:val="en-GB"/>
        </w:rPr>
      </w:pPr>
      <w:r w:rsidRPr="002B005F">
        <w:rPr>
          <w:rFonts w:ascii="Times New Roman" w:hAnsi="Times New Roman" w:cs="Times New Roman"/>
          <w:sz w:val="20"/>
          <w:szCs w:val="20"/>
        </w:rPr>
        <w:t xml:space="preserve">Source : </w:t>
      </w:r>
      <w:r w:rsidR="002D0485" w:rsidRPr="002B005F">
        <w:rPr>
          <w:rFonts w:ascii="Times New Roman" w:eastAsia="Times New Roman" w:hAnsi="Times New Roman" w:cs="Times New Roman"/>
          <w:bCs/>
          <w:sz w:val="20"/>
          <w:szCs w:val="18"/>
          <w:lang w:val="en-GB"/>
        </w:rPr>
        <w:t>C</w:t>
      </w:r>
      <w:r w:rsidR="002760B2" w:rsidRPr="002B005F">
        <w:rPr>
          <w:rFonts w:ascii="Times New Roman" w:eastAsia="Times New Roman" w:hAnsi="Times New Roman" w:cs="Times New Roman"/>
          <w:bCs/>
          <w:sz w:val="20"/>
          <w:szCs w:val="18"/>
          <w:lang w:val="en-GB"/>
        </w:rPr>
        <w:t>alculs du chercheur.</w:t>
      </w:r>
    </w:p>
    <w:p w14:paraId="0902D97E" w14:textId="77777777" w:rsidR="002760B2" w:rsidRPr="00DE760B" w:rsidRDefault="002760B2" w:rsidP="00064593">
      <w:pPr>
        <w:tabs>
          <w:tab w:val="left" w:pos="0"/>
        </w:tabs>
        <w:spacing w:before="100" w:beforeAutospacing="1" w:after="120" w:line="300" w:lineRule="auto"/>
        <w:ind w:firstLine="709"/>
        <w:rPr>
          <w:rFonts w:ascii="Times New Roman" w:eastAsia="Times New Roman" w:hAnsi="Times New Roman" w:cs="Times New Roman"/>
          <w:bCs/>
          <w:spacing w:val="6"/>
          <w:sz w:val="24"/>
        </w:rPr>
      </w:pPr>
      <w:r w:rsidRPr="00DE760B">
        <w:rPr>
          <w:rFonts w:ascii="Times New Roman" w:eastAsia="Times New Roman" w:hAnsi="Times New Roman" w:cs="Times New Roman"/>
          <w:bCs/>
          <w:spacing w:val="6"/>
          <w:sz w:val="24"/>
        </w:rPr>
        <w:t xml:space="preserve">Ces résultats confirment qu'il existe une tendance générale déterminée par les réalités du marché. À l'exception des swaps </w:t>
      </w:r>
      <w:r w:rsidR="002F0541" w:rsidRPr="00DE760B">
        <w:rPr>
          <w:rFonts w:ascii="Times New Roman" w:eastAsia="Times New Roman" w:hAnsi="Times New Roman" w:cs="Times New Roman"/>
          <w:bCs/>
          <w:spacing w:val="6"/>
          <w:sz w:val="24"/>
        </w:rPr>
        <w:t>i</w:t>
      </w:r>
      <w:r w:rsidR="003773C6" w:rsidRPr="00DE760B">
        <w:rPr>
          <w:rFonts w:ascii="Times New Roman" w:eastAsia="Times New Roman" w:hAnsi="Times New Roman" w:cs="Times New Roman"/>
          <w:bCs/>
          <w:spacing w:val="6"/>
          <w:sz w:val="24"/>
        </w:rPr>
        <w:t>slamique</w:t>
      </w:r>
      <w:r w:rsidRPr="00DE760B">
        <w:rPr>
          <w:rFonts w:ascii="Times New Roman" w:eastAsia="Times New Roman" w:hAnsi="Times New Roman" w:cs="Times New Roman"/>
          <w:bCs/>
          <w:spacing w:val="6"/>
          <w:sz w:val="24"/>
        </w:rPr>
        <w:t xml:space="preserve">s, la PER et l’IRR, les banques </w:t>
      </w:r>
      <w:r w:rsidR="002F0541" w:rsidRPr="00DE760B">
        <w:rPr>
          <w:rFonts w:ascii="Times New Roman" w:eastAsia="Times New Roman" w:hAnsi="Times New Roman" w:cs="Times New Roman"/>
          <w:bCs/>
          <w:spacing w:val="6"/>
          <w:sz w:val="24"/>
        </w:rPr>
        <w:t>i</w:t>
      </w:r>
      <w:r w:rsidR="003773C6" w:rsidRPr="00DE760B">
        <w:rPr>
          <w:rFonts w:ascii="Times New Roman" w:eastAsia="Times New Roman" w:hAnsi="Times New Roman" w:cs="Times New Roman"/>
          <w:bCs/>
          <w:spacing w:val="6"/>
          <w:sz w:val="24"/>
        </w:rPr>
        <w:t>slamique</w:t>
      </w:r>
      <w:r w:rsidRPr="00DE760B">
        <w:rPr>
          <w:rFonts w:ascii="Times New Roman" w:eastAsia="Times New Roman" w:hAnsi="Times New Roman" w:cs="Times New Roman"/>
          <w:bCs/>
          <w:spacing w:val="6"/>
          <w:sz w:val="24"/>
        </w:rPr>
        <w:t xml:space="preserve">s à part entière ont pris du retard par rapport aux filiales </w:t>
      </w:r>
      <w:r w:rsidR="002F0541" w:rsidRPr="00DE760B">
        <w:rPr>
          <w:rFonts w:ascii="Times New Roman" w:eastAsia="Times New Roman" w:hAnsi="Times New Roman" w:cs="Times New Roman"/>
          <w:bCs/>
          <w:spacing w:val="6"/>
          <w:sz w:val="24"/>
        </w:rPr>
        <w:t>i</w:t>
      </w:r>
      <w:r w:rsidR="003773C6" w:rsidRPr="00DE760B">
        <w:rPr>
          <w:rFonts w:ascii="Times New Roman" w:eastAsia="Times New Roman" w:hAnsi="Times New Roman" w:cs="Times New Roman"/>
          <w:bCs/>
          <w:spacing w:val="6"/>
          <w:sz w:val="24"/>
        </w:rPr>
        <w:t>slamique</w:t>
      </w:r>
      <w:r w:rsidRPr="00DE760B">
        <w:rPr>
          <w:rFonts w:ascii="Times New Roman" w:eastAsia="Times New Roman" w:hAnsi="Times New Roman" w:cs="Times New Roman"/>
          <w:bCs/>
          <w:spacing w:val="6"/>
          <w:sz w:val="24"/>
        </w:rPr>
        <w:t>s en utilisant toutes les autres techniques d'atténuation des risques. Ce dernier groupe a tendance à bénéficier des plateformes d'atténuation des risques déjà développées chez leurs banques mères conventionnelles.</w:t>
      </w:r>
    </w:p>
    <w:p w14:paraId="4D5E677A" w14:textId="77777777" w:rsidR="002760B2" w:rsidRPr="00DE760B" w:rsidRDefault="002760B2" w:rsidP="00064593">
      <w:pPr>
        <w:tabs>
          <w:tab w:val="left" w:pos="0"/>
        </w:tabs>
        <w:spacing w:before="120" w:after="120" w:line="300" w:lineRule="auto"/>
        <w:ind w:firstLine="709"/>
        <w:rPr>
          <w:rFonts w:ascii="Times New Roman" w:eastAsia="Times New Roman" w:hAnsi="Times New Roman" w:cs="Times New Roman"/>
          <w:bCs/>
          <w:spacing w:val="6"/>
          <w:sz w:val="24"/>
        </w:rPr>
      </w:pPr>
      <w:r w:rsidRPr="00DE760B">
        <w:rPr>
          <w:rFonts w:ascii="Times New Roman" w:eastAsia="Times New Roman" w:hAnsi="Times New Roman" w:cs="Times New Roman"/>
          <w:bCs/>
          <w:spacing w:val="6"/>
          <w:sz w:val="24"/>
        </w:rPr>
        <w:t xml:space="preserve">Cependant, il est à noter que la différence de classement moyen entre les deux groupes est faible, ce qui montre que les BI progressent dans l'atténuation des risques liés à la </w:t>
      </w:r>
      <w:r w:rsidRPr="00DE760B">
        <w:rPr>
          <w:rFonts w:ascii="Times New Roman" w:eastAsia="Times New Roman" w:hAnsi="Times New Roman" w:cs="Times New Roman"/>
          <w:bCs/>
          <w:i/>
          <w:iCs/>
          <w:spacing w:val="6"/>
          <w:sz w:val="24"/>
        </w:rPr>
        <w:t>moucharaka</w:t>
      </w:r>
      <w:r w:rsidRPr="00DE760B">
        <w:rPr>
          <w:rFonts w:ascii="Times New Roman" w:eastAsia="Times New Roman" w:hAnsi="Times New Roman" w:cs="Times New Roman"/>
          <w:bCs/>
          <w:spacing w:val="6"/>
          <w:sz w:val="24"/>
        </w:rPr>
        <w:t xml:space="preserve"> et la </w:t>
      </w:r>
      <w:r w:rsidR="004A4E16" w:rsidRPr="00DE760B">
        <w:rPr>
          <w:rFonts w:ascii="Times New Roman" w:eastAsia="Times New Roman" w:hAnsi="Times New Roman" w:cs="Times New Roman"/>
          <w:bCs/>
          <w:i/>
          <w:iCs/>
          <w:spacing w:val="6"/>
          <w:sz w:val="24"/>
        </w:rPr>
        <w:t>moudaraba</w:t>
      </w:r>
      <w:r w:rsidRPr="00DE760B">
        <w:rPr>
          <w:rFonts w:ascii="Times New Roman" w:eastAsia="Times New Roman" w:hAnsi="Times New Roman" w:cs="Times New Roman"/>
          <w:bCs/>
          <w:spacing w:val="6"/>
          <w:sz w:val="24"/>
        </w:rPr>
        <w:t>.</w:t>
      </w:r>
    </w:p>
    <w:p w14:paraId="39B49B36" w14:textId="77777777" w:rsidR="002760B2" w:rsidRPr="00DE760B" w:rsidRDefault="009D3601" w:rsidP="00A90914">
      <w:pPr>
        <w:pStyle w:val="Titre4"/>
        <w:keepNext w:val="0"/>
        <w:spacing w:before="100" w:beforeAutospacing="1" w:after="120" w:line="300" w:lineRule="auto"/>
        <w:ind w:firstLine="709"/>
      </w:pPr>
      <w:bookmarkStart w:id="1754" w:name="_Toc33263404"/>
      <w:bookmarkStart w:id="1755" w:name="_Toc37664667"/>
      <w:bookmarkStart w:id="1756" w:name="_Toc37666512"/>
      <w:bookmarkStart w:id="1757" w:name="_Toc54363409"/>
      <w:bookmarkStart w:id="1758" w:name="_Toc58606383"/>
      <w:bookmarkStart w:id="1759" w:name="_Toc61263588"/>
      <w:bookmarkStart w:id="1760" w:name="_Toc182298931"/>
      <w:r w:rsidRPr="00DE760B">
        <w:t>2</w:t>
      </w:r>
      <w:r w:rsidR="00626433" w:rsidRPr="00DE760B">
        <w:t>.2.</w:t>
      </w:r>
      <w:r w:rsidR="003E3AEF" w:rsidRPr="00DE760B">
        <w:t>4</w:t>
      </w:r>
      <w:r w:rsidR="00626433" w:rsidRPr="00DE760B">
        <w:t xml:space="preserve">- </w:t>
      </w:r>
      <w:r w:rsidR="00AD18CE" w:rsidRPr="00DE760B">
        <w:t>A</w:t>
      </w:r>
      <w:r w:rsidR="002760B2" w:rsidRPr="00DE760B">
        <w:t>venir des produits financiers participatifs</w:t>
      </w:r>
      <w:bookmarkEnd w:id="1754"/>
      <w:bookmarkEnd w:id="1755"/>
      <w:bookmarkEnd w:id="1756"/>
      <w:bookmarkEnd w:id="1757"/>
      <w:bookmarkEnd w:id="1758"/>
      <w:bookmarkEnd w:id="1759"/>
      <w:bookmarkEnd w:id="1760"/>
    </w:p>
    <w:p w14:paraId="60B3275B" w14:textId="77777777" w:rsidR="00E70C00" w:rsidRPr="00DE760B" w:rsidRDefault="002760B2" w:rsidP="00064593">
      <w:pPr>
        <w:tabs>
          <w:tab w:val="left" w:pos="0"/>
        </w:tabs>
        <w:spacing w:before="120" w:after="120" w:line="300" w:lineRule="auto"/>
        <w:ind w:firstLine="709"/>
        <w:rPr>
          <w:rFonts w:ascii="Times New Roman" w:hAnsi="Times New Roman" w:cs="Times New Roman"/>
          <w:spacing w:val="6"/>
          <w:sz w:val="24"/>
          <w:szCs w:val="24"/>
        </w:rPr>
      </w:pPr>
      <w:r w:rsidRPr="00DE760B">
        <w:rPr>
          <w:rFonts w:ascii="Times New Roman" w:hAnsi="Times New Roman" w:cs="Times New Roman"/>
          <w:spacing w:val="6"/>
          <w:sz w:val="24"/>
          <w:szCs w:val="24"/>
        </w:rPr>
        <w:t xml:space="preserve">La dernière section du questionnaire est une question prospective qui explore les différentes stratégies et procédures que les BI devraient suivre afin de se prospérer et être de vraies praticiennes des principes de financement </w:t>
      </w:r>
      <w:r w:rsidR="002F0541" w:rsidRPr="00DE760B">
        <w:rPr>
          <w:rFonts w:ascii="Times New Roman" w:hAnsi="Times New Roman" w:cs="Times New Roman"/>
          <w:spacing w:val="6"/>
          <w:sz w:val="24"/>
          <w:szCs w:val="24"/>
        </w:rPr>
        <w:t>i</w:t>
      </w:r>
      <w:r w:rsidR="003773C6" w:rsidRPr="00DE760B">
        <w:rPr>
          <w:rFonts w:ascii="Times New Roman" w:hAnsi="Times New Roman" w:cs="Times New Roman"/>
          <w:spacing w:val="6"/>
          <w:sz w:val="24"/>
          <w:szCs w:val="24"/>
        </w:rPr>
        <w:t>slamique</w:t>
      </w:r>
      <w:r w:rsidRPr="00DE760B">
        <w:rPr>
          <w:rFonts w:ascii="Times New Roman" w:hAnsi="Times New Roman" w:cs="Times New Roman"/>
          <w:spacing w:val="6"/>
          <w:sz w:val="24"/>
          <w:szCs w:val="24"/>
        </w:rPr>
        <w:t>. Nous allons nous contenter d’effectuer le test de K-W pour savoir les perceptions des répondants liés à la dernière question.</w:t>
      </w:r>
    </w:p>
    <w:p w14:paraId="53F9A580" w14:textId="52903403" w:rsidR="000C1CC2" w:rsidRPr="002B005F" w:rsidRDefault="00E70C00" w:rsidP="009D3601">
      <w:pPr>
        <w:spacing w:before="100" w:beforeAutospacing="1" w:after="120" w:line="300" w:lineRule="auto"/>
        <w:jc w:val="center"/>
        <w:rPr>
          <w:rFonts w:ascii="Times New Roman" w:hAnsi="Times New Roman" w:cs="Times New Roman"/>
          <w:b/>
          <w:bCs/>
          <w:sz w:val="24"/>
          <w:szCs w:val="24"/>
        </w:rPr>
      </w:pPr>
      <w:r w:rsidRPr="00DE760B">
        <w:rPr>
          <w:rFonts w:ascii="Times New Roman" w:hAnsi="Times New Roman" w:cs="Times New Roman"/>
          <w:spacing w:val="6"/>
          <w:sz w:val="24"/>
          <w:szCs w:val="24"/>
        </w:rPr>
        <w:br w:type="page"/>
      </w:r>
      <w:bookmarkStart w:id="1761" w:name="_Toc115556112"/>
      <w:r w:rsidR="000C1CC2" w:rsidRPr="002B005F">
        <w:rPr>
          <w:rFonts w:ascii="Times New Roman" w:hAnsi="Times New Roman" w:cs="Times New Roman"/>
          <w:b/>
          <w:bCs/>
          <w:sz w:val="24"/>
          <w:szCs w:val="24"/>
        </w:rPr>
        <w:t xml:space="preserve">Tableau </w:t>
      </w:r>
      <w:r w:rsidR="00B544E5" w:rsidRPr="002B005F">
        <w:rPr>
          <w:rFonts w:ascii="Times New Roman" w:hAnsi="Times New Roman" w:cs="Times New Roman"/>
          <w:b/>
          <w:bCs/>
          <w:sz w:val="24"/>
          <w:szCs w:val="24"/>
        </w:rPr>
        <w:fldChar w:fldCharType="begin"/>
      </w:r>
      <w:r w:rsidR="000C1CC2" w:rsidRPr="002B005F">
        <w:rPr>
          <w:rFonts w:ascii="Times New Roman" w:hAnsi="Times New Roman" w:cs="Times New Roman"/>
          <w:b/>
          <w:bCs/>
          <w:sz w:val="24"/>
          <w:szCs w:val="24"/>
        </w:rPr>
        <w:instrText xml:space="preserve"> SEQ Tableau \* ARABIC </w:instrText>
      </w:r>
      <w:r w:rsidR="00B544E5" w:rsidRPr="002B005F">
        <w:rPr>
          <w:rFonts w:ascii="Times New Roman" w:hAnsi="Times New Roman" w:cs="Times New Roman"/>
          <w:b/>
          <w:bCs/>
          <w:sz w:val="24"/>
          <w:szCs w:val="24"/>
        </w:rPr>
        <w:fldChar w:fldCharType="separate"/>
      </w:r>
      <w:r w:rsidR="00666FC7">
        <w:rPr>
          <w:rFonts w:ascii="Times New Roman" w:hAnsi="Times New Roman" w:cs="Times New Roman"/>
          <w:b/>
          <w:bCs/>
          <w:noProof/>
          <w:sz w:val="24"/>
          <w:szCs w:val="24"/>
        </w:rPr>
        <w:t>44</w:t>
      </w:r>
      <w:r w:rsidR="00B544E5" w:rsidRPr="002B005F">
        <w:rPr>
          <w:rFonts w:ascii="Times New Roman" w:hAnsi="Times New Roman" w:cs="Times New Roman"/>
          <w:b/>
          <w:bCs/>
          <w:sz w:val="24"/>
          <w:szCs w:val="24"/>
        </w:rPr>
        <w:fldChar w:fldCharType="end"/>
      </w:r>
      <w:r w:rsidR="0062692A" w:rsidRPr="002B005F">
        <w:rPr>
          <w:rFonts w:ascii="Times New Roman" w:hAnsi="Times New Roman" w:cs="Times New Roman"/>
          <w:b/>
          <w:bCs/>
          <w:sz w:val="24"/>
          <w:szCs w:val="24"/>
        </w:rPr>
        <w:t>- Résultats du test K-W</w:t>
      </w:r>
      <w:r w:rsidR="000C1CC2" w:rsidRPr="002B005F">
        <w:rPr>
          <w:rFonts w:ascii="Times New Roman" w:hAnsi="Times New Roman" w:cs="Times New Roman"/>
          <w:b/>
          <w:bCs/>
          <w:sz w:val="24"/>
          <w:szCs w:val="24"/>
        </w:rPr>
        <w:t xml:space="preserve"> selon les différentes variables de contrôle</w:t>
      </w:r>
      <w:r w:rsidR="0062692A" w:rsidRPr="002B005F">
        <w:rPr>
          <w:rFonts w:ascii="Times New Roman" w:hAnsi="Times New Roman" w:cs="Times New Roman"/>
          <w:b/>
          <w:bCs/>
          <w:sz w:val="24"/>
          <w:szCs w:val="24"/>
        </w:rPr>
        <w:t xml:space="preserve"> (Q24)</w:t>
      </w:r>
      <w:bookmarkEnd w:id="1761"/>
    </w:p>
    <w:tbl>
      <w:tblPr>
        <w:tblStyle w:val="Trameclaire-Accent5"/>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1412"/>
        <w:gridCol w:w="763"/>
        <w:gridCol w:w="768"/>
        <w:gridCol w:w="764"/>
        <w:gridCol w:w="767"/>
        <w:gridCol w:w="765"/>
        <w:gridCol w:w="767"/>
        <w:gridCol w:w="765"/>
        <w:gridCol w:w="766"/>
        <w:gridCol w:w="765"/>
        <w:gridCol w:w="771"/>
      </w:tblGrid>
      <w:tr w:rsidR="00870784" w:rsidRPr="002B005F" w14:paraId="2F454FBC" w14:textId="77777777" w:rsidTr="00870784">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412" w:type="dxa"/>
            <w:vMerge w:val="restart"/>
            <w:vAlign w:val="center"/>
          </w:tcPr>
          <w:p w14:paraId="2B4EF85E" w14:textId="77777777" w:rsidR="00870784" w:rsidRPr="002B005F" w:rsidRDefault="00870784" w:rsidP="003F7C1D">
            <w:pPr>
              <w:tabs>
                <w:tab w:val="left" w:pos="0"/>
              </w:tabs>
              <w:jc w:val="center"/>
              <w:rPr>
                <w:rFonts w:ascii="Times New Roman" w:hAnsi="Times New Roman" w:cs="Times New Roman"/>
                <w:color w:val="auto"/>
              </w:rPr>
            </w:pPr>
            <w:r w:rsidRPr="002B005F">
              <w:rPr>
                <w:rFonts w:ascii="Times New Roman" w:hAnsi="Times New Roman" w:cs="Times New Roman"/>
                <w:color w:val="auto"/>
              </w:rPr>
              <w:t>Mesures à prendre</w:t>
            </w:r>
          </w:p>
        </w:tc>
        <w:tc>
          <w:tcPr>
            <w:tcW w:w="1531" w:type="dxa"/>
            <w:gridSpan w:val="2"/>
            <w:vAlign w:val="center"/>
          </w:tcPr>
          <w:p w14:paraId="0F9AF1F6" w14:textId="77777777" w:rsidR="00870784" w:rsidRPr="002B005F" w:rsidRDefault="00870784" w:rsidP="003F7C1D">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Région</w:t>
            </w:r>
          </w:p>
        </w:tc>
        <w:tc>
          <w:tcPr>
            <w:tcW w:w="1531" w:type="dxa"/>
            <w:gridSpan w:val="2"/>
            <w:vAlign w:val="center"/>
          </w:tcPr>
          <w:p w14:paraId="46412C9B" w14:textId="77777777" w:rsidR="00870784" w:rsidRPr="002B005F" w:rsidRDefault="00870784" w:rsidP="003F7C1D">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Poste du répondant</w:t>
            </w:r>
          </w:p>
        </w:tc>
        <w:tc>
          <w:tcPr>
            <w:tcW w:w="1532" w:type="dxa"/>
            <w:gridSpan w:val="2"/>
            <w:vAlign w:val="center"/>
          </w:tcPr>
          <w:p w14:paraId="4D58FFAA" w14:textId="77777777" w:rsidR="00870784" w:rsidRPr="002B005F" w:rsidRDefault="00870784" w:rsidP="003F7C1D">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Nature de l’IF</w:t>
            </w:r>
          </w:p>
        </w:tc>
        <w:tc>
          <w:tcPr>
            <w:tcW w:w="1531" w:type="dxa"/>
            <w:gridSpan w:val="2"/>
            <w:vAlign w:val="center"/>
          </w:tcPr>
          <w:p w14:paraId="6A54EFED" w14:textId="77777777" w:rsidR="00870784" w:rsidRPr="002B005F" w:rsidRDefault="00870784" w:rsidP="003F7C1D">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Nature d’activités</w:t>
            </w:r>
          </w:p>
        </w:tc>
        <w:tc>
          <w:tcPr>
            <w:tcW w:w="1536" w:type="dxa"/>
            <w:gridSpan w:val="2"/>
            <w:vAlign w:val="center"/>
          </w:tcPr>
          <w:p w14:paraId="578548C3" w14:textId="77777777" w:rsidR="00870784" w:rsidRPr="002B005F" w:rsidRDefault="00870784" w:rsidP="003F7C1D">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Standards comptables</w:t>
            </w:r>
          </w:p>
        </w:tc>
      </w:tr>
      <w:tr w:rsidR="00870784" w:rsidRPr="002B005F" w14:paraId="1F963EA7" w14:textId="77777777" w:rsidTr="00870784">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412" w:type="dxa"/>
            <w:vMerge/>
            <w:vAlign w:val="center"/>
          </w:tcPr>
          <w:p w14:paraId="1110B28C" w14:textId="77777777" w:rsidR="00870784" w:rsidRPr="002B005F" w:rsidRDefault="00870784" w:rsidP="003F7C1D">
            <w:pPr>
              <w:tabs>
                <w:tab w:val="left" w:pos="0"/>
              </w:tabs>
              <w:jc w:val="center"/>
              <w:rPr>
                <w:rFonts w:ascii="Times New Roman" w:hAnsi="Times New Roman" w:cs="Times New Roman"/>
                <w:color w:val="auto"/>
              </w:rPr>
            </w:pPr>
          </w:p>
        </w:tc>
        <w:tc>
          <w:tcPr>
            <w:tcW w:w="763" w:type="dxa"/>
            <w:vAlign w:val="center"/>
          </w:tcPr>
          <w:p w14:paraId="489E50C4" w14:textId="77777777" w:rsidR="00870784" w:rsidRPr="002B005F" w:rsidRDefault="00870784" w:rsidP="00870784">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B005F">
              <w:rPr>
                <w:rFonts w:ascii="Times New Roman" w:hAnsi="Times New Roman" w:cs="Times New Roman"/>
                <w:b/>
                <w:bCs/>
                <w:color w:val="auto"/>
              </w:rPr>
              <w:t>Chi-deux</w:t>
            </w:r>
          </w:p>
        </w:tc>
        <w:tc>
          <w:tcPr>
            <w:tcW w:w="768" w:type="dxa"/>
            <w:vAlign w:val="center"/>
          </w:tcPr>
          <w:p w14:paraId="7C8D59F9" w14:textId="77777777" w:rsidR="00870784" w:rsidRPr="002B005F" w:rsidRDefault="00870784" w:rsidP="00870784">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B005F">
              <w:rPr>
                <w:rFonts w:ascii="Times New Roman" w:hAnsi="Times New Roman" w:cs="Times New Roman"/>
                <w:b/>
                <w:bCs/>
                <w:color w:val="auto"/>
              </w:rPr>
              <w:t>Asym. Sig</w:t>
            </w:r>
          </w:p>
        </w:tc>
        <w:tc>
          <w:tcPr>
            <w:tcW w:w="764" w:type="dxa"/>
            <w:vAlign w:val="center"/>
          </w:tcPr>
          <w:p w14:paraId="55C19F70" w14:textId="77777777" w:rsidR="00870784" w:rsidRPr="002B005F" w:rsidRDefault="00870784" w:rsidP="00870784">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B005F">
              <w:rPr>
                <w:rFonts w:ascii="Times New Roman" w:hAnsi="Times New Roman" w:cs="Times New Roman"/>
                <w:b/>
                <w:bCs/>
                <w:color w:val="auto"/>
              </w:rPr>
              <w:t>Chi-deux</w:t>
            </w:r>
          </w:p>
        </w:tc>
        <w:tc>
          <w:tcPr>
            <w:tcW w:w="767" w:type="dxa"/>
            <w:vAlign w:val="center"/>
          </w:tcPr>
          <w:p w14:paraId="000E80CE" w14:textId="77777777" w:rsidR="00870784" w:rsidRPr="002B005F" w:rsidRDefault="00870784" w:rsidP="00870784">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B005F">
              <w:rPr>
                <w:rFonts w:ascii="Times New Roman" w:hAnsi="Times New Roman" w:cs="Times New Roman"/>
                <w:b/>
                <w:bCs/>
                <w:color w:val="auto"/>
              </w:rPr>
              <w:t>Asym. Sig</w:t>
            </w:r>
          </w:p>
        </w:tc>
        <w:tc>
          <w:tcPr>
            <w:tcW w:w="765" w:type="dxa"/>
            <w:vAlign w:val="center"/>
          </w:tcPr>
          <w:p w14:paraId="47700EA4" w14:textId="77777777" w:rsidR="00870784" w:rsidRPr="002B005F" w:rsidRDefault="00870784" w:rsidP="00870784">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B005F">
              <w:rPr>
                <w:rFonts w:ascii="Times New Roman" w:hAnsi="Times New Roman" w:cs="Times New Roman"/>
                <w:b/>
                <w:bCs/>
                <w:color w:val="auto"/>
              </w:rPr>
              <w:t>Chi-deux</w:t>
            </w:r>
          </w:p>
        </w:tc>
        <w:tc>
          <w:tcPr>
            <w:tcW w:w="767" w:type="dxa"/>
            <w:vAlign w:val="center"/>
          </w:tcPr>
          <w:p w14:paraId="30EE7F13" w14:textId="77777777" w:rsidR="00870784" w:rsidRPr="002B005F" w:rsidRDefault="00870784" w:rsidP="00870784">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B005F">
              <w:rPr>
                <w:rFonts w:ascii="Times New Roman" w:hAnsi="Times New Roman" w:cs="Times New Roman"/>
                <w:b/>
                <w:bCs/>
                <w:color w:val="auto"/>
              </w:rPr>
              <w:t>Asym. Sig</w:t>
            </w:r>
          </w:p>
        </w:tc>
        <w:tc>
          <w:tcPr>
            <w:tcW w:w="765" w:type="dxa"/>
            <w:vAlign w:val="center"/>
          </w:tcPr>
          <w:p w14:paraId="488DC6AE" w14:textId="77777777" w:rsidR="00870784" w:rsidRPr="002B005F" w:rsidRDefault="00870784" w:rsidP="00870784">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B005F">
              <w:rPr>
                <w:rFonts w:ascii="Times New Roman" w:hAnsi="Times New Roman" w:cs="Times New Roman"/>
                <w:b/>
                <w:bCs/>
                <w:color w:val="auto"/>
              </w:rPr>
              <w:t>Chi-deux</w:t>
            </w:r>
          </w:p>
        </w:tc>
        <w:tc>
          <w:tcPr>
            <w:tcW w:w="766" w:type="dxa"/>
            <w:vAlign w:val="center"/>
          </w:tcPr>
          <w:p w14:paraId="020BE5B2" w14:textId="77777777" w:rsidR="00870784" w:rsidRPr="002B005F" w:rsidRDefault="00870784" w:rsidP="00870784">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B005F">
              <w:rPr>
                <w:rFonts w:ascii="Times New Roman" w:hAnsi="Times New Roman" w:cs="Times New Roman"/>
                <w:b/>
                <w:bCs/>
                <w:color w:val="auto"/>
              </w:rPr>
              <w:t>Asym. Sig</w:t>
            </w:r>
          </w:p>
        </w:tc>
        <w:tc>
          <w:tcPr>
            <w:tcW w:w="765" w:type="dxa"/>
            <w:vAlign w:val="center"/>
          </w:tcPr>
          <w:p w14:paraId="1D778108" w14:textId="77777777" w:rsidR="00870784" w:rsidRPr="002B005F" w:rsidRDefault="00870784" w:rsidP="00870784">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B005F">
              <w:rPr>
                <w:rFonts w:ascii="Times New Roman" w:hAnsi="Times New Roman" w:cs="Times New Roman"/>
                <w:b/>
                <w:bCs/>
                <w:color w:val="auto"/>
              </w:rPr>
              <w:t>Chi-deux</w:t>
            </w:r>
          </w:p>
        </w:tc>
        <w:tc>
          <w:tcPr>
            <w:tcW w:w="771" w:type="dxa"/>
            <w:vAlign w:val="center"/>
          </w:tcPr>
          <w:p w14:paraId="0C9DDF90" w14:textId="77777777" w:rsidR="00870784" w:rsidRPr="002B005F" w:rsidRDefault="00870784" w:rsidP="00870784">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B005F">
              <w:rPr>
                <w:rFonts w:ascii="Times New Roman" w:hAnsi="Times New Roman" w:cs="Times New Roman"/>
                <w:b/>
                <w:bCs/>
                <w:color w:val="auto"/>
              </w:rPr>
              <w:t>Asym. Sig</w:t>
            </w:r>
          </w:p>
        </w:tc>
      </w:tr>
      <w:tr w:rsidR="003F7C1D" w:rsidRPr="002B005F" w14:paraId="116D3870" w14:textId="77777777" w:rsidTr="00870784">
        <w:trPr>
          <w:trHeight w:val="680"/>
          <w:jc w:val="center"/>
        </w:trPr>
        <w:tc>
          <w:tcPr>
            <w:cnfStyle w:val="001000000000" w:firstRow="0" w:lastRow="0" w:firstColumn="1" w:lastColumn="0" w:oddVBand="0" w:evenVBand="0" w:oddHBand="0" w:evenHBand="0" w:firstRowFirstColumn="0" w:firstRowLastColumn="0" w:lastRowFirstColumn="0" w:lastRowLastColumn="0"/>
            <w:tcW w:w="1412" w:type="dxa"/>
            <w:vAlign w:val="center"/>
          </w:tcPr>
          <w:p w14:paraId="61EE4E01" w14:textId="77777777" w:rsidR="002760B2" w:rsidRPr="002B005F" w:rsidRDefault="002760B2" w:rsidP="00870784">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Renforcer la transparence</w:t>
            </w:r>
          </w:p>
        </w:tc>
        <w:tc>
          <w:tcPr>
            <w:tcW w:w="1531" w:type="dxa"/>
            <w:gridSpan w:val="2"/>
            <w:vAlign w:val="center"/>
          </w:tcPr>
          <w:p w14:paraId="0E336531"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5.22 </w:t>
            </w:r>
            <w:r w:rsidR="002760B2" w:rsidRPr="002B005F">
              <w:rPr>
                <w:rFonts w:ascii="Times New Roman" w:hAnsi="Times New Roman" w:cs="Times New Roman"/>
                <w:color w:val="auto"/>
              </w:rPr>
              <w:t xml:space="preserve">  0.389</w:t>
            </w:r>
          </w:p>
        </w:tc>
        <w:tc>
          <w:tcPr>
            <w:tcW w:w="1531" w:type="dxa"/>
            <w:gridSpan w:val="2"/>
            <w:vAlign w:val="center"/>
          </w:tcPr>
          <w:p w14:paraId="64BDC0B2"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15.3 </w:t>
            </w:r>
            <w:r w:rsidR="002760B2" w:rsidRPr="002B005F">
              <w:rPr>
                <w:rFonts w:ascii="Times New Roman" w:hAnsi="Times New Roman" w:cs="Times New Roman"/>
                <w:color w:val="auto"/>
              </w:rPr>
              <w:t xml:space="preserve">  0.358</w:t>
            </w:r>
          </w:p>
        </w:tc>
        <w:tc>
          <w:tcPr>
            <w:tcW w:w="1532" w:type="dxa"/>
            <w:gridSpan w:val="2"/>
            <w:vAlign w:val="center"/>
          </w:tcPr>
          <w:p w14:paraId="5E9659D5"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11.360 </w:t>
            </w:r>
            <w:r w:rsidR="002760B2" w:rsidRPr="002B005F">
              <w:rPr>
                <w:rFonts w:ascii="Times New Roman" w:hAnsi="Times New Roman" w:cs="Times New Roman"/>
                <w:color w:val="auto"/>
              </w:rPr>
              <w:t xml:space="preserve">  </w:t>
            </w:r>
            <w:r w:rsidR="002760B2" w:rsidRPr="002B005F">
              <w:rPr>
                <w:rFonts w:ascii="Times New Roman" w:hAnsi="Times New Roman" w:cs="Times New Roman"/>
                <w:b/>
                <w:bCs/>
                <w:color w:val="auto"/>
              </w:rPr>
              <w:t>0.001</w:t>
            </w:r>
          </w:p>
        </w:tc>
        <w:tc>
          <w:tcPr>
            <w:tcW w:w="1531" w:type="dxa"/>
            <w:gridSpan w:val="2"/>
            <w:vAlign w:val="center"/>
          </w:tcPr>
          <w:p w14:paraId="4901332B"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4.255 </w:t>
            </w:r>
            <w:r w:rsidR="002760B2" w:rsidRPr="002B005F">
              <w:rPr>
                <w:rFonts w:ascii="Times New Roman" w:hAnsi="Times New Roman" w:cs="Times New Roman"/>
                <w:color w:val="auto"/>
              </w:rPr>
              <w:t xml:space="preserve">  0.233</w:t>
            </w:r>
          </w:p>
        </w:tc>
        <w:tc>
          <w:tcPr>
            <w:tcW w:w="1536" w:type="dxa"/>
            <w:gridSpan w:val="2"/>
            <w:vAlign w:val="center"/>
          </w:tcPr>
          <w:p w14:paraId="4E14DCF3"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3.699 </w:t>
            </w:r>
            <w:r w:rsidR="002760B2" w:rsidRPr="002B005F">
              <w:rPr>
                <w:rFonts w:ascii="Times New Roman" w:hAnsi="Times New Roman" w:cs="Times New Roman"/>
                <w:color w:val="auto"/>
              </w:rPr>
              <w:t xml:space="preserve">  0.296</w:t>
            </w:r>
          </w:p>
        </w:tc>
      </w:tr>
      <w:tr w:rsidR="003F7C1D" w:rsidRPr="002B005F" w14:paraId="541D166C" w14:textId="77777777" w:rsidTr="00870784">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412" w:type="dxa"/>
            <w:vAlign w:val="center"/>
          </w:tcPr>
          <w:p w14:paraId="261AD238" w14:textId="77777777" w:rsidR="002760B2" w:rsidRPr="002B005F" w:rsidRDefault="002760B2" w:rsidP="00870784">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Embaucher un personnel qualifié</w:t>
            </w:r>
          </w:p>
        </w:tc>
        <w:tc>
          <w:tcPr>
            <w:tcW w:w="1531" w:type="dxa"/>
            <w:gridSpan w:val="2"/>
            <w:vAlign w:val="center"/>
          </w:tcPr>
          <w:p w14:paraId="6DFF644A" w14:textId="77777777" w:rsidR="002760B2" w:rsidRPr="002B005F" w:rsidRDefault="00870784" w:rsidP="00870784">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9.30</w:t>
            </w:r>
            <w:r w:rsidR="00E70C00" w:rsidRPr="002B005F">
              <w:rPr>
                <w:rFonts w:ascii="Times New Roman" w:hAnsi="Times New Roman" w:cs="Times New Roman"/>
                <w:color w:val="auto"/>
              </w:rPr>
              <w:t xml:space="preserve"> </w:t>
            </w:r>
            <w:r w:rsidR="002760B2" w:rsidRPr="002B005F">
              <w:rPr>
                <w:rFonts w:ascii="Times New Roman" w:hAnsi="Times New Roman" w:cs="Times New Roman"/>
                <w:color w:val="auto"/>
              </w:rPr>
              <w:t xml:space="preserve">  0.105</w:t>
            </w:r>
          </w:p>
        </w:tc>
        <w:tc>
          <w:tcPr>
            <w:tcW w:w="1531" w:type="dxa"/>
            <w:gridSpan w:val="2"/>
            <w:vAlign w:val="center"/>
          </w:tcPr>
          <w:p w14:paraId="79B762B1" w14:textId="77777777" w:rsidR="002760B2" w:rsidRPr="002B005F" w:rsidRDefault="00870784" w:rsidP="00870784">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11.85  </w:t>
            </w:r>
            <w:r w:rsidR="002760B2" w:rsidRPr="002B005F">
              <w:rPr>
                <w:rFonts w:ascii="Times New Roman" w:hAnsi="Times New Roman" w:cs="Times New Roman"/>
                <w:color w:val="auto"/>
              </w:rPr>
              <w:t xml:space="preserve"> 0.603</w:t>
            </w:r>
          </w:p>
        </w:tc>
        <w:tc>
          <w:tcPr>
            <w:tcW w:w="1532" w:type="dxa"/>
            <w:gridSpan w:val="2"/>
            <w:vAlign w:val="center"/>
          </w:tcPr>
          <w:p w14:paraId="0B520B3A" w14:textId="77777777" w:rsidR="002760B2" w:rsidRPr="002B005F" w:rsidRDefault="00870784" w:rsidP="00870784">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11.800</w:t>
            </w:r>
            <w:r w:rsidR="002760B2" w:rsidRPr="002B005F">
              <w:rPr>
                <w:rFonts w:ascii="Times New Roman" w:hAnsi="Times New Roman" w:cs="Times New Roman"/>
                <w:color w:val="auto"/>
              </w:rPr>
              <w:t xml:space="preserve">   </w:t>
            </w:r>
            <w:r w:rsidR="002760B2" w:rsidRPr="002B005F">
              <w:rPr>
                <w:rFonts w:ascii="Times New Roman" w:hAnsi="Times New Roman" w:cs="Times New Roman"/>
                <w:b/>
                <w:bCs/>
                <w:color w:val="auto"/>
              </w:rPr>
              <w:t>0.016</w:t>
            </w:r>
          </w:p>
        </w:tc>
        <w:tc>
          <w:tcPr>
            <w:tcW w:w="1531" w:type="dxa"/>
            <w:gridSpan w:val="2"/>
            <w:vAlign w:val="center"/>
          </w:tcPr>
          <w:p w14:paraId="65856B56" w14:textId="77777777" w:rsidR="002760B2" w:rsidRPr="002B005F" w:rsidRDefault="00870784" w:rsidP="00870784">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5.980 </w:t>
            </w:r>
            <w:r w:rsidR="002760B2" w:rsidRPr="002B005F">
              <w:rPr>
                <w:rFonts w:ascii="Times New Roman" w:hAnsi="Times New Roman" w:cs="Times New Roman"/>
                <w:color w:val="auto"/>
              </w:rPr>
              <w:t xml:space="preserve">  0.112</w:t>
            </w:r>
          </w:p>
        </w:tc>
        <w:tc>
          <w:tcPr>
            <w:tcW w:w="1536" w:type="dxa"/>
            <w:gridSpan w:val="2"/>
            <w:vAlign w:val="center"/>
          </w:tcPr>
          <w:p w14:paraId="4A73B615" w14:textId="77777777" w:rsidR="002760B2" w:rsidRPr="002B005F" w:rsidRDefault="00870784" w:rsidP="00870784">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6.096  </w:t>
            </w:r>
            <w:r w:rsidR="002760B2" w:rsidRPr="002B005F">
              <w:rPr>
                <w:rFonts w:ascii="Times New Roman" w:hAnsi="Times New Roman" w:cs="Times New Roman"/>
                <w:color w:val="auto"/>
              </w:rPr>
              <w:t xml:space="preserve"> 0.192</w:t>
            </w:r>
          </w:p>
        </w:tc>
      </w:tr>
      <w:tr w:rsidR="003F7C1D" w:rsidRPr="002B005F" w14:paraId="03D7CCC8" w14:textId="77777777" w:rsidTr="00870784">
        <w:trPr>
          <w:trHeight w:val="680"/>
          <w:jc w:val="center"/>
        </w:trPr>
        <w:tc>
          <w:tcPr>
            <w:cnfStyle w:val="001000000000" w:firstRow="0" w:lastRow="0" w:firstColumn="1" w:lastColumn="0" w:oddVBand="0" w:evenVBand="0" w:oddHBand="0" w:evenHBand="0" w:firstRowFirstColumn="0" w:firstRowLastColumn="0" w:lastRowFirstColumn="0" w:lastRowLastColumn="0"/>
            <w:tcW w:w="1412" w:type="dxa"/>
            <w:vAlign w:val="center"/>
          </w:tcPr>
          <w:p w14:paraId="7AF2226B" w14:textId="77777777" w:rsidR="002760B2" w:rsidRPr="002B005F" w:rsidRDefault="002760B2" w:rsidP="00870784">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Favoriser les IDE</w:t>
            </w:r>
          </w:p>
        </w:tc>
        <w:tc>
          <w:tcPr>
            <w:tcW w:w="1531" w:type="dxa"/>
            <w:gridSpan w:val="2"/>
            <w:vAlign w:val="center"/>
          </w:tcPr>
          <w:p w14:paraId="361F665F"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6.32  </w:t>
            </w:r>
            <w:r w:rsidR="002760B2" w:rsidRPr="002B005F">
              <w:rPr>
                <w:rFonts w:ascii="Times New Roman" w:hAnsi="Times New Roman" w:cs="Times New Roman"/>
                <w:color w:val="auto"/>
              </w:rPr>
              <w:t xml:space="preserve"> 0.402</w:t>
            </w:r>
          </w:p>
        </w:tc>
        <w:tc>
          <w:tcPr>
            <w:tcW w:w="1531" w:type="dxa"/>
            <w:gridSpan w:val="2"/>
            <w:vAlign w:val="center"/>
          </w:tcPr>
          <w:p w14:paraId="6DA71BF5"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13.87  </w:t>
            </w:r>
            <w:r w:rsidR="002760B2" w:rsidRPr="002B005F">
              <w:rPr>
                <w:rFonts w:ascii="Times New Roman" w:hAnsi="Times New Roman" w:cs="Times New Roman"/>
                <w:color w:val="auto"/>
              </w:rPr>
              <w:t xml:space="preserve"> 0.422</w:t>
            </w:r>
          </w:p>
        </w:tc>
        <w:tc>
          <w:tcPr>
            <w:tcW w:w="1532" w:type="dxa"/>
            <w:gridSpan w:val="2"/>
            <w:vAlign w:val="center"/>
          </w:tcPr>
          <w:p w14:paraId="3EE870DA"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3.280</w:t>
            </w:r>
            <w:r w:rsidR="002760B2" w:rsidRPr="002B005F">
              <w:rPr>
                <w:rFonts w:ascii="Times New Roman" w:hAnsi="Times New Roman" w:cs="Times New Roman"/>
                <w:color w:val="auto"/>
              </w:rPr>
              <w:t xml:space="preserve">   0.229</w:t>
            </w:r>
          </w:p>
        </w:tc>
        <w:tc>
          <w:tcPr>
            <w:tcW w:w="1531" w:type="dxa"/>
            <w:gridSpan w:val="2"/>
            <w:vAlign w:val="center"/>
          </w:tcPr>
          <w:p w14:paraId="763E35EE"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3.540  </w:t>
            </w:r>
            <w:r w:rsidR="002760B2" w:rsidRPr="002B005F">
              <w:rPr>
                <w:rFonts w:ascii="Times New Roman" w:hAnsi="Times New Roman" w:cs="Times New Roman"/>
                <w:color w:val="auto"/>
              </w:rPr>
              <w:t xml:space="preserve"> 0.268</w:t>
            </w:r>
          </w:p>
        </w:tc>
        <w:tc>
          <w:tcPr>
            <w:tcW w:w="1536" w:type="dxa"/>
            <w:gridSpan w:val="2"/>
            <w:vAlign w:val="center"/>
          </w:tcPr>
          <w:p w14:paraId="4BA7EA64"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5.302 </w:t>
            </w:r>
            <w:r w:rsidR="002760B2" w:rsidRPr="002B005F">
              <w:rPr>
                <w:rFonts w:ascii="Times New Roman" w:hAnsi="Times New Roman" w:cs="Times New Roman"/>
                <w:color w:val="auto"/>
              </w:rPr>
              <w:t xml:space="preserve">  0.256</w:t>
            </w:r>
          </w:p>
        </w:tc>
      </w:tr>
      <w:tr w:rsidR="003F7C1D" w:rsidRPr="002B005F" w14:paraId="2D8B819F" w14:textId="77777777" w:rsidTr="00870784">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412" w:type="dxa"/>
            <w:vAlign w:val="center"/>
          </w:tcPr>
          <w:p w14:paraId="08D7CEF4" w14:textId="77777777" w:rsidR="002760B2" w:rsidRPr="002B005F" w:rsidRDefault="002760B2" w:rsidP="00870784">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Proposer des taux compétitifs</w:t>
            </w:r>
          </w:p>
        </w:tc>
        <w:tc>
          <w:tcPr>
            <w:tcW w:w="1531" w:type="dxa"/>
            <w:gridSpan w:val="2"/>
            <w:vAlign w:val="center"/>
          </w:tcPr>
          <w:p w14:paraId="5A2B2641" w14:textId="77777777" w:rsidR="002760B2" w:rsidRPr="002B005F" w:rsidRDefault="00870784" w:rsidP="00870784">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5.09  </w:t>
            </w:r>
            <w:r w:rsidR="002760B2" w:rsidRPr="002B005F">
              <w:rPr>
                <w:rFonts w:ascii="Times New Roman" w:hAnsi="Times New Roman" w:cs="Times New Roman"/>
                <w:color w:val="auto"/>
              </w:rPr>
              <w:t xml:space="preserve"> 0.106</w:t>
            </w:r>
          </w:p>
        </w:tc>
        <w:tc>
          <w:tcPr>
            <w:tcW w:w="1531" w:type="dxa"/>
            <w:gridSpan w:val="2"/>
            <w:vAlign w:val="center"/>
          </w:tcPr>
          <w:p w14:paraId="44676D9F" w14:textId="77777777" w:rsidR="002760B2" w:rsidRPr="002B005F" w:rsidRDefault="00870784" w:rsidP="00870784">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16.05 </w:t>
            </w:r>
            <w:r w:rsidR="002760B2" w:rsidRPr="002B005F">
              <w:rPr>
                <w:rFonts w:ascii="Times New Roman" w:hAnsi="Times New Roman" w:cs="Times New Roman"/>
                <w:color w:val="auto"/>
              </w:rPr>
              <w:t xml:space="preserve">  0.310</w:t>
            </w:r>
          </w:p>
        </w:tc>
        <w:tc>
          <w:tcPr>
            <w:tcW w:w="1532" w:type="dxa"/>
            <w:gridSpan w:val="2"/>
            <w:vAlign w:val="center"/>
          </w:tcPr>
          <w:p w14:paraId="4EE536B7" w14:textId="77777777" w:rsidR="002760B2" w:rsidRPr="002B005F" w:rsidRDefault="00870784" w:rsidP="00870784">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10.900</w:t>
            </w:r>
            <w:r w:rsidR="002760B2" w:rsidRPr="002B005F">
              <w:rPr>
                <w:rFonts w:ascii="Times New Roman" w:hAnsi="Times New Roman" w:cs="Times New Roman"/>
                <w:color w:val="auto"/>
              </w:rPr>
              <w:t xml:space="preserve">   </w:t>
            </w:r>
            <w:r w:rsidR="002760B2" w:rsidRPr="001F7D30">
              <w:rPr>
                <w:rFonts w:ascii="Times New Roman" w:hAnsi="Times New Roman" w:cs="Times New Roman"/>
                <w:b/>
                <w:bCs/>
                <w:color w:val="auto"/>
              </w:rPr>
              <w:t>0.031</w:t>
            </w:r>
          </w:p>
        </w:tc>
        <w:tc>
          <w:tcPr>
            <w:tcW w:w="1531" w:type="dxa"/>
            <w:gridSpan w:val="2"/>
            <w:vAlign w:val="center"/>
          </w:tcPr>
          <w:p w14:paraId="4A70EF09" w14:textId="77777777" w:rsidR="002760B2" w:rsidRPr="002B005F" w:rsidRDefault="00870784" w:rsidP="00870784">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10.890 </w:t>
            </w:r>
            <w:r w:rsidR="002760B2" w:rsidRPr="002B005F">
              <w:rPr>
                <w:rFonts w:ascii="Times New Roman" w:hAnsi="Times New Roman" w:cs="Times New Roman"/>
                <w:color w:val="auto"/>
              </w:rPr>
              <w:t xml:space="preserve">  </w:t>
            </w:r>
            <w:r w:rsidR="002760B2" w:rsidRPr="002B005F">
              <w:rPr>
                <w:rFonts w:ascii="Times New Roman" w:hAnsi="Times New Roman" w:cs="Times New Roman"/>
                <w:b/>
                <w:bCs/>
                <w:color w:val="auto"/>
              </w:rPr>
              <w:t>0.036</w:t>
            </w:r>
          </w:p>
        </w:tc>
        <w:tc>
          <w:tcPr>
            <w:tcW w:w="1536" w:type="dxa"/>
            <w:gridSpan w:val="2"/>
            <w:vAlign w:val="center"/>
          </w:tcPr>
          <w:p w14:paraId="698EFCF7" w14:textId="77777777" w:rsidR="002760B2" w:rsidRPr="002B005F" w:rsidRDefault="00870784" w:rsidP="00870784">
            <w:pPr>
              <w:tabs>
                <w:tab w:val="left" w:pos="0"/>
              </w:tabs>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7.151  </w:t>
            </w:r>
            <w:r w:rsidR="002760B2" w:rsidRPr="002B005F">
              <w:rPr>
                <w:rFonts w:ascii="Times New Roman" w:hAnsi="Times New Roman" w:cs="Times New Roman"/>
                <w:color w:val="auto"/>
              </w:rPr>
              <w:t xml:space="preserve"> 0.067</w:t>
            </w:r>
          </w:p>
        </w:tc>
      </w:tr>
      <w:tr w:rsidR="003F7C1D" w:rsidRPr="002B005F" w14:paraId="659BB8B2" w14:textId="77777777" w:rsidTr="00870784">
        <w:trPr>
          <w:trHeight w:val="680"/>
          <w:jc w:val="center"/>
        </w:trPr>
        <w:tc>
          <w:tcPr>
            <w:cnfStyle w:val="001000000000" w:firstRow="0" w:lastRow="0" w:firstColumn="1" w:lastColumn="0" w:oddVBand="0" w:evenVBand="0" w:oddHBand="0" w:evenHBand="0" w:firstRowFirstColumn="0" w:firstRowLastColumn="0" w:lastRowFirstColumn="0" w:lastRowLastColumn="0"/>
            <w:tcW w:w="1412" w:type="dxa"/>
            <w:vAlign w:val="center"/>
          </w:tcPr>
          <w:p w14:paraId="5BF88E32" w14:textId="77777777" w:rsidR="002760B2" w:rsidRPr="002B005F" w:rsidRDefault="002760B2" w:rsidP="00870784">
            <w:pPr>
              <w:tabs>
                <w:tab w:val="left" w:pos="0"/>
              </w:tabs>
              <w:ind w:left="57"/>
              <w:jc w:val="left"/>
              <w:rPr>
                <w:rFonts w:ascii="Times New Roman" w:hAnsi="Times New Roman" w:cs="Times New Roman"/>
                <w:color w:val="auto"/>
              </w:rPr>
            </w:pPr>
            <w:r w:rsidRPr="002B005F">
              <w:rPr>
                <w:rFonts w:ascii="Times New Roman" w:hAnsi="Times New Roman" w:cs="Times New Roman"/>
                <w:color w:val="auto"/>
              </w:rPr>
              <w:t>Financer les PME</w:t>
            </w:r>
          </w:p>
        </w:tc>
        <w:tc>
          <w:tcPr>
            <w:tcW w:w="1531" w:type="dxa"/>
            <w:gridSpan w:val="2"/>
            <w:vAlign w:val="center"/>
          </w:tcPr>
          <w:p w14:paraId="69740168"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8.155 </w:t>
            </w:r>
            <w:r w:rsidR="00E70C00" w:rsidRPr="002B005F">
              <w:rPr>
                <w:rFonts w:ascii="Times New Roman" w:hAnsi="Times New Roman" w:cs="Times New Roman"/>
                <w:color w:val="auto"/>
              </w:rPr>
              <w:t xml:space="preserve">  </w:t>
            </w:r>
            <w:r w:rsidR="002760B2" w:rsidRPr="002B005F">
              <w:rPr>
                <w:rFonts w:ascii="Times New Roman" w:hAnsi="Times New Roman" w:cs="Times New Roman"/>
                <w:color w:val="auto"/>
              </w:rPr>
              <w:t>0.213</w:t>
            </w:r>
          </w:p>
        </w:tc>
        <w:tc>
          <w:tcPr>
            <w:tcW w:w="1531" w:type="dxa"/>
            <w:gridSpan w:val="2"/>
            <w:vAlign w:val="center"/>
          </w:tcPr>
          <w:p w14:paraId="2266EC8B"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21.56</w:t>
            </w:r>
            <w:r w:rsidR="00E70C00" w:rsidRPr="002B005F">
              <w:rPr>
                <w:rFonts w:ascii="Times New Roman" w:hAnsi="Times New Roman" w:cs="Times New Roman"/>
                <w:color w:val="auto"/>
              </w:rPr>
              <w:t xml:space="preserve">  </w:t>
            </w:r>
            <w:r w:rsidR="002760B2" w:rsidRPr="002B005F">
              <w:rPr>
                <w:rFonts w:ascii="Times New Roman" w:hAnsi="Times New Roman" w:cs="Times New Roman"/>
                <w:color w:val="auto"/>
              </w:rPr>
              <w:t xml:space="preserve"> </w:t>
            </w:r>
            <w:r w:rsidR="002760B2" w:rsidRPr="002B005F">
              <w:rPr>
                <w:rFonts w:ascii="Times New Roman" w:hAnsi="Times New Roman" w:cs="Times New Roman"/>
                <w:b/>
                <w:bCs/>
                <w:color w:val="auto"/>
              </w:rPr>
              <w:t>0.0</w:t>
            </w:r>
            <w:r w:rsidR="002760B2" w:rsidRPr="001F7D30">
              <w:rPr>
                <w:rFonts w:ascii="Times New Roman" w:hAnsi="Times New Roman" w:cs="Times New Roman"/>
                <w:b/>
                <w:bCs/>
                <w:color w:val="auto"/>
              </w:rPr>
              <w:t>86</w:t>
            </w:r>
          </w:p>
        </w:tc>
        <w:tc>
          <w:tcPr>
            <w:tcW w:w="1532" w:type="dxa"/>
            <w:gridSpan w:val="2"/>
            <w:vAlign w:val="center"/>
          </w:tcPr>
          <w:p w14:paraId="618D4A57"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4.236 </w:t>
            </w:r>
            <w:r w:rsidR="002760B2" w:rsidRPr="002B005F">
              <w:rPr>
                <w:rFonts w:ascii="Times New Roman" w:hAnsi="Times New Roman" w:cs="Times New Roman"/>
                <w:color w:val="auto"/>
              </w:rPr>
              <w:t xml:space="preserve">  0.205</w:t>
            </w:r>
          </w:p>
        </w:tc>
        <w:tc>
          <w:tcPr>
            <w:tcW w:w="1531" w:type="dxa"/>
            <w:gridSpan w:val="2"/>
            <w:vAlign w:val="center"/>
          </w:tcPr>
          <w:p w14:paraId="0469CE24"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6.870</w:t>
            </w:r>
            <w:r w:rsidR="00E70C00" w:rsidRPr="002B005F">
              <w:rPr>
                <w:rFonts w:ascii="Times New Roman" w:hAnsi="Times New Roman" w:cs="Times New Roman"/>
                <w:color w:val="auto"/>
              </w:rPr>
              <w:t xml:space="preserve">  </w:t>
            </w:r>
            <w:r w:rsidR="002760B2" w:rsidRPr="002B005F">
              <w:rPr>
                <w:rFonts w:ascii="Times New Roman" w:hAnsi="Times New Roman" w:cs="Times New Roman"/>
                <w:color w:val="auto"/>
              </w:rPr>
              <w:t xml:space="preserve"> 0.136</w:t>
            </w:r>
          </w:p>
        </w:tc>
        <w:tc>
          <w:tcPr>
            <w:tcW w:w="1536" w:type="dxa"/>
            <w:gridSpan w:val="2"/>
            <w:vAlign w:val="center"/>
          </w:tcPr>
          <w:p w14:paraId="6A15E915" w14:textId="77777777" w:rsidR="002760B2" w:rsidRPr="002B005F" w:rsidRDefault="00870784" w:rsidP="00870784">
            <w:pPr>
              <w:tabs>
                <w:tab w:val="left" w:pos="0"/>
              </w:tabs>
              <w:ind w:right="17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005F">
              <w:rPr>
                <w:rFonts w:ascii="Times New Roman" w:hAnsi="Times New Roman" w:cs="Times New Roman"/>
                <w:color w:val="auto"/>
              </w:rPr>
              <w:t xml:space="preserve">6.118 </w:t>
            </w:r>
            <w:r w:rsidR="002760B2" w:rsidRPr="002B005F">
              <w:rPr>
                <w:rFonts w:ascii="Times New Roman" w:hAnsi="Times New Roman" w:cs="Times New Roman"/>
                <w:color w:val="auto"/>
              </w:rPr>
              <w:t xml:space="preserve">  0.196</w:t>
            </w:r>
          </w:p>
        </w:tc>
      </w:tr>
    </w:tbl>
    <w:p w14:paraId="22097E5A" w14:textId="77777777" w:rsidR="002760B2" w:rsidRPr="002B005F" w:rsidRDefault="002760B2" w:rsidP="0062692A">
      <w:pPr>
        <w:tabs>
          <w:tab w:val="left" w:pos="0"/>
        </w:tabs>
        <w:spacing w:before="120" w:after="100" w:afterAutospacing="1" w:line="240" w:lineRule="auto"/>
        <w:jc w:val="center"/>
        <w:rPr>
          <w:rFonts w:ascii="Times New Roman" w:hAnsi="Times New Roman" w:cs="Times New Roman"/>
          <w:sz w:val="20"/>
          <w:szCs w:val="20"/>
        </w:rPr>
      </w:pPr>
      <w:r w:rsidRPr="002B005F">
        <w:rPr>
          <w:rFonts w:ascii="Times New Roman" w:hAnsi="Times New Roman" w:cs="Times New Roman"/>
          <w:sz w:val="20"/>
          <w:szCs w:val="20"/>
        </w:rPr>
        <w:t xml:space="preserve">Source : </w:t>
      </w:r>
      <w:r w:rsidR="0004171B">
        <w:rPr>
          <w:rFonts w:ascii="Times New Roman" w:hAnsi="Times New Roman" w:cs="Times New Roman"/>
          <w:sz w:val="20"/>
          <w:szCs w:val="20"/>
        </w:rPr>
        <w:t>C</w:t>
      </w:r>
      <w:r w:rsidRPr="002B005F">
        <w:rPr>
          <w:rFonts w:ascii="Times New Roman" w:hAnsi="Times New Roman" w:cs="Times New Roman"/>
          <w:sz w:val="20"/>
          <w:szCs w:val="20"/>
        </w:rPr>
        <w:t>alculs du chercheur.</w:t>
      </w:r>
    </w:p>
    <w:p w14:paraId="6140F592" w14:textId="77777777" w:rsidR="002760B2" w:rsidRPr="002B005F" w:rsidRDefault="002760B2" w:rsidP="00D66FFE">
      <w:pPr>
        <w:tabs>
          <w:tab w:val="left" w:pos="0"/>
        </w:tabs>
        <w:spacing w:before="100" w:beforeAutospacing="1" w:after="100" w:afterAutospacing="1" w:line="300" w:lineRule="auto"/>
        <w:ind w:firstLine="709"/>
        <w:rPr>
          <w:rFonts w:ascii="Times New Roman" w:eastAsia="Times New Roman" w:hAnsi="Times New Roman" w:cs="Times New Roman"/>
          <w:bCs/>
          <w:sz w:val="24"/>
        </w:rPr>
      </w:pPr>
      <w:r w:rsidRPr="002B005F">
        <w:rPr>
          <w:rFonts w:ascii="Times New Roman" w:hAnsi="Times New Roman" w:cs="Times New Roman"/>
          <w:sz w:val="24"/>
          <w:szCs w:val="24"/>
        </w:rPr>
        <w:t xml:space="preserve">Les résultats présentés dans </w:t>
      </w:r>
      <w:r w:rsidRPr="002B005F">
        <w:rPr>
          <w:rFonts w:ascii="Times New Roman" w:eastAsia="Times New Roman" w:hAnsi="Times New Roman" w:cs="Times New Roman"/>
          <w:bCs/>
          <w:sz w:val="24"/>
        </w:rPr>
        <w:t>le tableau 4</w:t>
      </w:r>
      <w:r w:rsidR="001F7D30">
        <w:rPr>
          <w:rFonts w:ascii="Times New Roman" w:eastAsia="Times New Roman" w:hAnsi="Times New Roman" w:cs="Times New Roman"/>
          <w:bCs/>
          <w:sz w:val="24"/>
        </w:rPr>
        <w:t>4</w:t>
      </w:r>
      <w:r w:rsidRPr="002B005F">
        <w:rPr>
          <w:rFonts w:ascii="Times New Roman" w:eastAsia="Times New Roman" w:hAnsi="Times New Roman" w:cs="Times New Roman"/>
          <w:bCs/>
          <w:sz w:val="24"/>
        </w:rPr>
        <w:t xml:space="preserve"> m</w:t>
      </w:r>
      <w:r w:rsidR="009543A1" w:rsidRPr="002B005F">
        <w:rPr>
          <w:rFonts w:ascii="Times New Roman" w:eastAsia="Times New Roman" w:hAnsi="Times New Roman" w:cs="Times New Roman"/>
          <w:bCs/>
          <w:sz w:val="24"/>
        </w:rPr>
        <w:t>ontrent que la « nature de l'IF »</w:t>
      </w:r>
      <w:r w:rsidRPr="002B005F">
        <w:rPr>
          <w:rFonts w:ascii="Times New Roman" w:eastAsia="Times New Roman" w:hAnsi="Times New Roman" w:cs="Times New Roman"/>
          <w:bCs/>
          <w:sz w:val="24"/>
        </w:rPr>
        <w:t xml:space="preserve"> est la seule variable de contrôle dont les résultats ont eu des résultats statistiquement significatifs dans les différents groupes. « </w:t>
      </w:r>
      <w:r w:rsidR="009543A1" w:rsidRPr="002B005F">
        <w:rPr>
          <w:rFonts w:ascii="Times New Roman" w:eastAsia="Times New Roman" w:hAnsi="Times New Roman" w:cs="Times New Roman"/>
          <w:bCs/>
          <w:sz w:val="24"/>
        </w:rPr>
        <w:t>Renforcer la transparence » et « embaucher un personnel qualifié »</w:t>
      </w:r>
      <w:r w:rsidRPr="002B005F">
        <w:rPr>
          <w:rFonts w:ascii="Times New Roman" w:eastAsia="Times New Roman" w:hAnsi="Times New Roman" w:cs="Times New Roman"/>
          <w:bCs/>
          <w:sz w:val="24"/>
        </w:rPr>
        <w:t xml:space="preserve"> ont des valeurs p de 0,001 et 0,016 respectivement. Les classements moyens de ces deux pr</w:t>
      </w:r>
      <w:r w:rsidR="003F7C1D" w:rsidRPr="002B005F">
        <w:rPr>
          <w:rFonts w:ascii="Times New Roman" w:eastAsia="Times New Roman" w:hAnsi="Times New Roman" w:cs="Times New Roman"/>
          <w:bCs/>
          <w:sz w:val="24"/>
        </w:rPr>
        <w:t>océdures selon la « nature de FI »</w:t>
      </w:r>
      <w:r w:rsidRPr="002B005F">
        <w:rPr>
          <w:rFonts w:ascii="Times New Roman" w:eastAsia="Times New Roman" w:hAnsi="Times New Roman" w:cs="Times New Roman"/>
          <w:bCs/>
          <w:sz w:val="24"/>
        </w:rPr>
        <w:t xml:space="preserve"> sont examinés dans le tableau ci-dessous. En ce qui concerne les autres variables de contrôle, les opinions ne montrent pas de différences mais plutôt des convergences.</w:t>
      </w:r>
    </w:p>
    <w:p w14:paraId="1419C8B2" w14:textId="78775FB1" w:rsidR="000C1CC2" w:rsidRPr="002B005F" w:rsidRDefault="000C1CC2" w:rsidP="001F7D30">
      <w:pPr>
        <w:pStyle w:val="Lgende"/>
        <w:tabs>
          <w:tab w:val="left" w:pos="0"/>
        </w:tabs>
        <w:spacing w:before="100" w:beforeAutospacing="1" w:after="120" w:line="300" w:lineRule="auto"/>
        <w:jc w:val="center"/>
        <w:rPr>
          <w:rFonts w:ascii="Times New Roman" w:hAnsi="Times New Roman" w:cs="Times New Roman"/>
          <w:color w:val="auto"/>
          <w:sz w:val="24"/>
          <w:szCs w:val="24"/>
        </w:rPr>
      </w:pPr>
      <w:bookmarkStart w:id="1762" w:name="_Toc115556113"/>
      <w:r w:rsidRPr="002B005F">
        <w:rPr>
          <w:rFonts w:ascii="Times New Roman" w:hAnsi="Times New Roman" w:cs="Times New Roman"/>
          <w:color w:val="auto"/>
          <w:sz w:val="24"/>
          <w:szCs w:val="24"/>
        </w:rPr>
        <w:t xml:space="preserve">Tableau </w:t>
      </w:r>
      <w:r w:rsidR="00B544E5" w:rsidRPr="002B005F">
        <w:rPr>
          <w:rFonts w:ascii="Times New Roman" w:hAnsi="Times New Roman" w:cs="Times New Roman"/>
          <w:color w:val="auto"/>
          <w:sz w:val="24"/>
          <w:szCs w:val="24"/>
        </w:rPr>
        <w:fldChar w:fldCharType="begin"/>
      </w:r>
      <w:r w:rsidRPr="002B005F">
        <w:rPr>
          <w:rFonts w:ascii="Times New Roman" w:hAnsi="Times New Roman" w:cs="Times New Roman"/>
          <w:color w:val="auto"/>
          <w:sz w:val="24"/>
          <w:szCs w:val="24"/>
        </w:rPr>
        <w:instrText xml:space="preserve"> SEQ Tableau \* ARABIC </w:instrText>
      </w:r>
      <w:r w:rsidR="00B544E5" w:rsidRPr="002B005F">
        <w:rPr>
          <w:rFonts w:ascii="Times New Roman" w:hAnsi="Times New Roman" w:cs="Times New Roman"/>
          <w:color w:val="auto"/>
          <w:sz w:val="24"/>
          <w:szCs w:val="24"/>
        </w:rPr>
        <w:fldChar w:fldCharType="separate"/>
      </w:r>
      <w:r w:rsidR="00666FC7">
        <w:rPr>
          <w:rFonts w:ascii="Times New Roman" w:hAnsi="Times New Roman" w:cs="Times New Roman"/>
          <w:noProof/>
          <w:color w:val="auto"/>
          <w:sz w:val="24"/>
          <w:szCs w:val="24"/>
        </w:rPr>
        <w:t>45</w:t>
      </w:r>
      <w:r w:rsidR="00B544E5" w:rsidRPr="002B005F">
        <w:rPr>
          <w:rFonts w:ascii="Times New Roman" w:hAnsi="Times New Roman" w:cs="Times New Roman"/>
          <w:color w:val="auto"/>
          <w:sz w:val="24"/>
          <w:szCs w:val="24"/>
        </w:rPr>
        <w:fldChar w:fldCharType="end"/>
      </w:r>
      <w:r w:rsidR="0062692A" w:rsidRPr="002B005F">
        <w:rPr>
          <w:rFonts w:ascii="Times New Roman" w:hAnsi="Times New Roman" w:cs="Times New Roman"/>
          <w:color w:val="auto"/>
          <w:sz w:val="24"/>
          <w:szCs w:val="24"/>
        </w:rPr>
        <w:t>-</w:t>
      </w:r>
      <w:r w:rsidRPr="002B005F">
        <w:rPr>
          <w:rFonts w:ascii="Times New Roman" w:hAnsi="Times New Roman" w:cs="Times New Roman"/>
          <w:color w:val="auto"/>
          <w:sz w:val="24"/>
          <w:szCs w:val="24"/>
        </w:rPr>
        <w:t xml:space="preserve"> Classement de moyennes du test K-W selon la nature de l’IF</w:t>
      </w:r>
      <w:bookmarkEnd w:id="1762"/>
    </w:p>
    <w:tbl>
      <w:tblPr>
        <w:tblStyle w:val="Grilledutableau"/>
        <w:tblW w:w="9071" w:type="dxa"/>
        <w:jc w:val="center"/>
        <w:tblLayout w:type="fixed"/>
        <w:tblCellMar>
          <w:top w:w="28" w:type="dxa"/>
          <w:left w:w="28" w:type="dxa"/>
          <w:bottom w:w="28" w:type="dxa"/>
          <w:right w:w="28" w:type="dxa"/>
        </w:tblCellMar>
        <w:tblLook w:val="04A0" w:firstRow="1" w:lastRow="0" w:firstColumn="1" w:lastColumn="0" w:noHBand="0" w:noVBand="1"/>
      </w:tblPr>
      <w:tblGrid>
        <w:gridCol w:w="3969"/>
        <w:gridCol w:w="2551"/>
        <w:gridCol w:w="2551"/>
      </w:tblGrid>
      <w:tr w:rsidR="00D031D1" w:rsidRPr="002B005F" w14:paraId="55FE147D" w14:textId="77777777" w:rsidTr="00AD18CE">
        <w:trPr>
          <w:trHeight w:val="850"/>
          <w:jc w:val="center"/>
        </w:trPr>
        <w:tc>
          <w:tcPr>
            <w:tcW w:w="3969" w:type="dxa"/>
            <w:vAlign w:val="center"/>
          </w:tcPr>
          <w:p w14:paraId="3C35024C" w14:textId="77777777" w:rsidR="00D031D1" w:rsidRPr="002B005F" w:rsidRDefault="00D031D1" w:rsidP="00D031D1">
            <w:pPr>
              <w:tabs>
                <w:tab w:val="left" w:pos="0"/>
              </w:tabs>
              <w:jc w:val="center"/>
              <w:rPr>
                <w:rFonts w:ascii="Times New Roman" w:hAnsi="Times New Roman" w:cs="Times New Roman"/>
                <w:b/>
                <w:bCs/>
              </w:rPr>
            </w:pPr>
            <w:r w:rsidRPr="002B005F">
              <w:rPr>
                <w:rFonts w:ascii="Times New Roman" w:hAnsi="Times New Roman" w:cs="Times New Roman"/>
                <w:b/>
                <w:bCs/>
                <w:sz w:val="24"/>
                <w:szCs w:val="24"/>
              </w:rPr>
              <w:t>IF</w:t>
            </w:r>
          </w:p>
        </w:tc>
        <w:tc>
          <w:tcPr>
            <w:tcW w:w="2551" w:type="dxa"/>
            <w:vAlign w:val="center"/>
          </w:tcPr>
          <w:p w14:paraId="58A5E8D6" w14:textId="77777777" w:rsidR="00D031D1" w:rsidRPr="002B005F" w:rsidRDefault="00D031D1" w:rsidP="00D031D1">
            <w:pPr>
              <w:tabs>
                <w:tab w:val="left" w:pos="0"/>
              </w:tabs>
              <w:jc w:val="center"/>
              <w:rPr>
                <w:rFonts w:ascii="Times New Roman" w:hAnsi="Times New Roman" w:cs="Times New Roman"/>
                <w:b/>
                <w:bCs/>
              </w:rPr>
            </w:pPr>
            <w:r w:rsidRPr="002B005F">
              <w:rPr>
                <w:rFonts w:ascii="Times New Roman" w:hAnsi="Times New Roman" w:cs="Times New Roman"/>
                <w:b/>
                <w:bCs/>
              </w:rPr>
              <w:t>Renforcer la transparence</w:t>
            </w:r>
          </w:p>
        </w:tc>
        <w:tc>
          <w:tcPr>
            <w:tcW w:w="2551" w:type="dxa"/>
            <w:vAlign w:val="center"/>
          </w:tcPr>
          <w:p w14:paraId="6FE241AA" w14:textId="77777777" w:rsidR="00D031D1" w:rsidRPr="002B005F" w:rsidRDefault="00D031D1" w:rsidP="00D031D1">
            <w:pPr>
              <w:tabs>
                <w:tab w:val="left" w:pos="0"/>
              </w:tabs>
              <w:jc w:val="center"/>
              <w:rPr>
                <w:rFonts w:ascii="Times New Roman" w:hAnsi="Times New Roman" w:cs="Times New Roman"/>
                <w:b/>
                <w:bCs/>
              </w:rPr>
            </w:pPr>
            <w:r w:rsidRPr="002B005F">
              <w:rPr>
                <w:rFonts w:ascii="Times New Roman" w:hAnsi="Times New Roman" w:cs="Times New Roman"/>
                <w:b/>
                <w:bCs/>
              </w:rPr>
              <w:t>Embaucher un personnel qualifié</w:t>
            </w:r>
          </w:p>
        </w:tc>
      </w:tr>
      <w:tr w:rsidR="00D031D1" w:rsidRPr="002B005F" w14:paraId="385BFD73" w14:textId="77777777" w:rsidTr="00AD18CE">
        <w:trPr>
          <w:trHeight w:val="1134"/>
          <w:jc w:val="center"/>
        </w:trPr>
        <w:tc>
          <w:tcPr>
            <w:tcW w:w="3969" w:type="dxa"/>
          </w:tcPr>
          <w:p w14:paraId="0F64D176" w14:textId="77777777" w:rsidR="00D031D1" w:rsidRPr="002B005F" w:rsidRDefault="00D031D1" w:rsidP="00D031D1">
            <w:pPr>
              <w:tabs>
                <w:tab w:val="left" w:pos="0"/>
              </w:tabs>
              <w:spacing w:before="120"/>
              <w:ind w:left="113"/>
              <w:jc w:val="left"/>
              <w:rPr>
                <w:rFonts w:ascii="Times New Roman" w:hAnsi="Times New Roman" w:cs="Times New Roman"/>
              </w:rPr>
            </w:pPr>
            <w:r w:rsidRPr="002B005F">
              <w:rPr>
                <w:rFonts w:ascii="Times New Roman" w:hAnsi="Times New Roman" w:cs="Times New Roman"/>
                <w:b/>
                <w:bCs/>
              </w:rPr>
              <w:t xml:space="preserve">Nature de l’IF                      </w:t>
            </w:r>
            <w:r w:rsidR="003F7C1D" w:rsidRPr="002B005F">
              <w:rPr>
                <w:rFonts w:ascii="Times New Roman" w:hAnsi="Times New Roman" w:cs="Times New Roman"/>
                <w:b/>
                <w:bCs/>
              </w:rPr>
              <w:t xml:space="preserve">   </w:t>
            </w:r>
            <w:r w:rsidR="00AD18CE">
              <w:rPr>
                <w:rFonts w:ascii="Times New Roman" w:hAnsi="Times New Roman" w:cs="Times New Roman"/>
                <w:b/>
                <w:bCs/>
              </w:rPr>
              <w:t xml:space="preserve"> </w:t>
            </w:r>
            <w:r w:rsidR="003F7C1D" w:rsidRPr="002B005F">
              <w:rPr>
                <w:rFonts w:ascii="Times New Roman" w:hAnsi="Times New Roman" w:cs="Times New Roman"/>
                <w:b/>
                <w:bCs/>
              </w:rPr>
              <w:t xml:space="preserve"> </w:t>
            </w:r>
            <w:r w:rsidRPr="002B005F">
              <w:rPr>
                <w:rFonts w:ascii="Times New Roman" w:hAnsi="Times New Roman" w:cs="Times New Roman"/>
                <w:b/>
                <w:bCs/>
              </w:rPr>
              <w:t>N</w:t>
            </w:r>
          </w:p>
          <w:p w14:paraId="29C44B60" w14:textId="77777777" w:rsidR="00D031D1" w:rsidRPr="002B005F" w:rsidRDefault="00D031D1" w:rsidP="00AD18CE">
            <w:pPr>
              <w:tabs>
                <w:tab w:val="left" w:pos="0"/>
              </w:tabs>
              <w:spacing w:before="120"/>
              <w:ind w:left="284"/>
              <w:jc w:val="left"/>
              <w:rPr>
                <w:rFonts w:ascii="Times New Roman" w:hAnsi="Times New Roman" w:cs="Times New Roman"/>
              </w:rPr>
            </w:pPr>
            <w:r w:rsidRPr="002B005F">
              <w:rPr>
                <w:rFonts w:ascii="Times New Roman" w:hAnsi="Times New Roman" w:cs="Times New Roman"/>
              </w:rPr>
              <w:t xml:space="preserve">BI à part entière                  </w:t>
            </w:r>
            <w:r w:rsidR="003F7C1D" w:rsidRPr="002B005F">
              <w:rPr>
                <w:rFonts w:ascii="Times New Roman" w:hAnsi="Times New Roman" w:cs="Times New Roman"/>
              </w:rPr>
              <w:t xml:space="preserve">    </w:t>
            </w:r>
            <w:r w:rsidRPr="002B005F">
              <w:rPr>
                <w:rFonts w:ascii="Times New Roman" w:hAnsi="Times New Roman" w:cs="Times New Roman"/>
              </w:rPr>
              <w:t>64</w:t>
            </w:r>
          </w:p>
          <w:p w14:paraId="6A8C5B7E" w14:textId="77777777" w:rsidR="00D031D1" w:rsidRPr="002B005F" w:rsidRDefault="00D031D1" w:rsidP="00AD18CE">
            <w:pPr>
              <w:tabs>
                <w:tab w:val="left" w:pos="0"/>
              </w:tabs>
              <w:spacing w:before="120"/>
              <w:ind w:left="284"/>
              <w:jc w:val="left"/>
              <w:rPr>
                <w:rFonts w:ascii="Times New Roman" w:hAnsi="Times New Roman" w:cs="Times New Roman"/>
              </w:rPr>
            </w:pPr>
            <w:r w:rsidRPr="002B005F">
              <w:rPr>
                <w:rFonts w:ascii="Times New Roman" w:hAnsi="Times New Roman" w:cs="Times New Roman"/>
              </w:rPr>
              <w:t xml:space="preserve">B à guichets </w:t>
            </w:r>
            <w:r w:rsidR="0096069F">
              <w:rPr>
                <w:rFonts w:ascii="Times New Roman" w:hAnsi="Times New Roman" w:cs="Times New Roman"/>
              </w:rPr>
              <w:t>i</w:t>
            </w:r>
            <w:r w:rsidR="003773C6" w:rsidRPr="002B005F">
              <w:rPr>
                <w:rFonts w:ascii="Times New Roman" w:hAnsi="Times New Roman" w:cs="Times New Roman"/>
              </w:rPr>
              <w:t>slamique</w:t>
            </w:r>
            <w:r w:rsidRPr="002B005F">
              <w:rPr>
                <w:rFonts w:ascii="Times New Roman" w:hAnsi="Times New Roman" w:cs="Times New Roman"/>
              </w:rPr>
              <w:t xml:space="preserve">s      </w:t>
            </w:r>
            <w:r w:rsidR="003F7C1D" w:rsidRPr="002B005F">
              <w:rPr>
                <w:rFonts w:ascii="Times New Roman" w:hAnsi="Times New Roman" w:cs="Times New Roman"/>
              </w:rPr>
              <w:t xml:space="preserve">    </w:t>
            </w:r>
            <w:r w:rsidRPr="002B005F">
              <w:rPr>
                <w:rFonts w:ascii="Times New Roman" w:hAnsi="Times New Roman" w:cs="Times New Roman"/>
              </w:rPr>
              <w:t>15</w:t>
            </w:r>
          </w:p>
          <w:p w14:paraId="259EE4C4" w14:textId="77777777" w:rsidR="00D031D1" w:rsidRPr="002B005F" w:rsidRDefault="00D031D1" w:rsidP="00DE760B">
            <w:pPr>
              <w:spacing w:before="120"/>
              <w:ind w:left="1871"/>
              <w:rPr>
                <w:rFonts w:ascii="Times New Roman" w:hAnsi="Times New Roman" w:cs="Times New Roman"/>
                <w:b/>
                <w:bCs/>
              </w:rPr>
            </w:pPr>
            <w:r w:rsidRPr="002B005F">
              <w:rPr>
                <w:rFonts w:ascii="Times New Roman" w:hAnsi="Times New Roman" w:cs="Times New Roman"/>
                <w:b/>
                <w:bCs/>
              </w:rPr>
              <w:t xml:space="preserve">Total     </w:t>
            </w:r>
            <w:r w:rsidR="003F7C1D" w:rsidRPr="002B005F">
              <w:rPr>
                <w:rFonts w:ascii="Times New Roman" w:hAnsi="Times New Roman" w:cs="Times New Roman"/>
                <w:b/>
                <w:bCs/>
              </w:rPr>
              <w:t xml:space="preserve">   </w:t>
            </w:r>
            <w:r w:rsidRPr="002B005F">
              <w:rPr>
                <w:rFonts w:ascii="Times New Roman" w:hAnsi="Times New Roman" w:cs="Times New Roman"/>
                <w:b/>
                <w:bCs/>
              </w:rPr>
              <w:t>79</w:t>
            </w:r>
          </w:p>
        </w:tc>
        <w:tc>
          <w:tcPr>
            <w:tcW w:w="2551" w:type="dxa"/>
          </w:tcPr>
          <w:p w14:paraId="5BBAED92" w14:textId="77777777" w:rsidR="00D031D1" w:rsidRPr="002B005F" w:rsidRDefault="00D031D1" w:rsidP="003F7C1D">
            <w:pPr>
              <w:tabs>
                <w:tab w:val="left" w:pos="0"/>
              </w:tabs>
              <w:spacing w:before="120"/>
              <w:ind w:left="567"/>
              <w:jc w:val="left"/>
              <w:rPr>
                <w:rFonts w:ascii="Times New Roman" w:hAnsi="Times New Roman" w:cs="Times New Roman"/>
                <w:b/>
                <w:bCs/>
              </w:rPr>
            </w:pPr>
            <w:r w:rsidRPr="002B005F">
              <w:rPr>
                <w:rFonts w:ascii="Times New Roman" w:hAnsi="Times New Roman" w:cs="Times New Roman"/>
                <w:b/>
                <w:bCs/>
              </w:rPr>
              <w:t>MP      Rang</w:t>
            </w:r>
          </w:p>
          <w:p w14:paraId="2D38E6FC" w14:textId="77777777" w:rsidR="00D031D1" w:rsidRPr="002B005F" w:rsidRDefault="00D031D1" w:rsidP="003F7C1D">
            <w:pPr>
              <w:tabs>
                <w:tab w:val="left" w:pos="0"/>
              </w:tabs>
              <w:spacing w:before="120"/>
              <w:ind w:left="567"/>
              <w:jc w:val="left"/>
              <w:rPr>
                <w:rFonts w:ascii="Times New Roman" w:hAnsi="Times New Roman" w:cs="Times New Roman"/>
                <w:vertAlign w:val="superscript"/>
              </w:rPr>
            </w:pPr>
            <w:r w:rsidRPr="002B005F">
              <w:rPr>
                <w:rFonts w:ascii="Times New Roman" w:hAnsi="Times New Roman" w:cs="Times New Roman"/>
              </w:rPr>
              <w:t>4</w:t>
            </w:r>
            <w:r w:rsidR="003F7C1D" w:rsidRPr="002B005F">
              <w:rPr>
                <w:rFonts w:ascii="Times New Roman" w:hAnsi="Times New Roman" w:cs="Times New Roman"/>
              </w:rPr>
              <w:t>6.60</w:t>
            </w:r>
            <w:r w:rsidRPr="002B005F">
              <w:rPr>
                <w:rFonts w:ascii="Times New Roman" w:hAnsi="Times New Roman" w:cs="Times New Roman"/>
              </w:rPr>
              <w:t xml:space="preserve">      </w:t>
            </w:r>
            <w:r w:rsidR="003F7C1D" w:rsidRPr="002B005F">
              <w:rPr>
                <w:rFonts w:ascii="Times New Roman" w:hAnsi="Times New Roman" w:cs="Times New Roman"/>
              </w:rPr>
              <w:t>1</w:t>
            </w:r>
            <w:r w:rsidR="003F7C1D" w:rsidRPr="002B005F">
              <w:rPr>
                <w:rFonts w:ascii="Times New Roman" w:hAnsi="Times New Roman" w:cs="Times New Roman"/>
                <w:vertAlign w:val="superscript"/>
              </w:rPr>
              <w:t>er</w:t>
            </w:r>
          </w:p>
          <w:p w14:paraId="7B022F6E" w14:textId="77777777" w:rsidR="00D031D1" w:rsidRPr="002B005F" w:rsidRDefault="003F7C1D" w:rsidP="003F7C1D">
            <w:pPr>
              <w:tabs>
                <w:tab w:val="left" w:pos="0"/>
                <w:tab w:val="left" w:pos="1005"/>
              </w:tabs>
              <w:spacing w:before="120"/>
              <w:ind w:left="567"/>
              <w:jc w:val="left"/>
              <w:rPr>
                <w:rFonts w:ascii="Times New Roman" w:hAnsi="Times New Roman" w:cs="Times New Roman"/>
                <w:vertAlign w:val="superscript"/>
              </w:rPr>
            </w:pPr>
            <w:r w:rsidRPr="002B005F">
              <w:rPr>
                <w:rFonts w:ascii="Times New Roman" w:hAnsi="Times New Roman" w:cs="Times New Roman"/>
              </w:rPr>
              <w:t>38</w:t>
            </w:r>
            <w:r w:rsidR="00D031D1" w:rsidRPr="002B005F">
              <w:rPr>
                <w:rFonts w:ascii="Times New Roman" w:hAnsi="Times New Roman" w:cs="Times New Roman"/>
              </w:rPr>
              <w:t>.6</w:t>
            </w:r>
            <w:r w:rsidRPr="002B005F">
              <w:rPr>
                <w:rFonts w:ascii="Times New Roman" w:hAnsi="Times New Roman" w:cs="Times New Roman"/>
              </w:rPr>
              <w:t>5</w:t>
            </w:r>
            <w:r w:rsidR="00D031D1" w:rsidRPr="002B005F">
              <w:rPr>
                <w:rFonts w:ascii="Times New Roman" w:hAnsi="Times New Roman" w:cs="Times New Roman"/>
              </w:rPr>
              <w:t xml:space="preserve">      </w:t>
            </w:r>
            <w:r w:rsidRPr="002B005F">
              <w:rPr>
                <w:rFonts w:ascii="Times New Roman" w:hAnsi="Times New Roman" w:cs="Times New Roman"/>
              </w:rPr>
              <w:t>2</w:t>
            </w:r>
            <w:r w:rsidRPr="002B005F">
              <w:rPr>
                <w:rFonts w:ascii="Times New Roman" w:hAnsi="Times New Roman" w:cs="Times New Roman"/>
                <w:vertAlign w:val="superscript"/>
              </w:rPr>
              <w:t>ème</w:t>
            </w:r>
          </w:p>
        </w:tc>
        <w:tc>
          <w:tcPr>
            <w:tcW w:w="2551" w:type="dxa"/>
          </w:tcPr>
          <w:p w14:paraId="1DE27FA8" w14:textId="77777777" w:rsidR="00D031D1" w:rsidRPr="002B005F" w:rsidRDefault="00D031D1" w:rsidP="003F7C1D">
            <w:pPr>
              <w:tabs>
                <w:tab w:val="left" w:pos="0"/>
              </w:tabs>
              <w:spacing w:before="120"/>
              <w:ind w:left="567"/>
              <w:jc w:val="left"/>
              <w:rPr>
                <w:rFonts w:ascii="Times New Roman" w:hAnsi="Times New Roman" w:cs="Times New Roman"/>
                <w:b/>
                <w:bCs/>
              </w:rPr>
            </w:pPr>
            <w:r w:rsidRPr="002B005F">
              <w:rPr>
                <w:rFonts w:ascii="Times New Roman" w:hAnsi="Times New Roman" w:cs="Times New Roman"/>
                <w:b/>
                <w:bCs/>
              </w:rPr>
              <w:t>MP      Rang</w:t>
            </w:r>
          </w:p>
          <w:p w14:paraId="15480AB4" w14:textId="77777777" w:rsidR="00D031D1" w:rsidRPr="002B005F" w:rsidRDefault="003F7C1D" w:rsidP="003F7C1D">
            <w:pPr>
              <w:tabs>
                <w:tab w:val="left" w:pos="0"/>
              </w:tabs>
              <w:spacing w:before="120"/>
              <w:ind w:left="567"/>
              <w:jc w:val="left"/>
              <w:rPr>
                <w:rFonts w:ascii="Times New Roman" w:hAnsi="Times New Roman" w:cs="Times New Roman"/>
                <w:vertAlign w:val="superscript"/>
              </w:rPr>
            </w:pPr>
            <w:r w:rsidRPr="002B005F">
              <w:rPr>
                <w:rFonts w:ascii="Times New Roman" w:hAnsi="Times New Roman" w:cs="Times New Roman"/>
              </w:rPr>
              <w:t>36.59</w:t>
            </w:r>
            <w:r w:rsidR="00D031D1" w:rsidRPr="002B005F">
              <w:rPr>
                <w:rFonts w:ascii="Times New Roman" w:hAnsi="Times New Roman" w:cs="Times New Roman"/>
              </w:rPr>
              <w:t xml:space="preserve">      2</w:t>
            </w:r>
            <w:r w:rsidR="00D031D1" w:rsidRPr="002B005F">
              <w:rPr>
                <w:rFonts w:ascii="Times New Roman" w:hAnsi="Times New Roman" w:cs="Times New Roman"/>
                <w:vertAlign w:val="superscript"/>
              </w:rPr>
              <w:t>éme</w:t>
            </w:r>
          </w:p>
          <w:p w14:paraId="07CF577D" w14:textId="77777777" w:rsidR="00D031D1" w:rsidRPr="002B005F" w:rsidRDefault="003F7C1D" w:rsidP="003F7C1D">
            <w:pPr>
              <w:tabs>
                <w:tab w:val="left" w:pos="0"/>
              </w:tabs>
              <w:spacing w:before="120"/>
              <w:ind w:left="567"/>
              <w:jc w:val="left"/>
              <w:rPr>
                <w:rFonts w:ascii="Times New Roman" w:hAnsi="Times New Roman" w:cs="Times New Roman"/>
                <w:vertAlign w:val="superscript"/>
              </w:rPr>
            </w:pPr>
            <w:r w:rsidRPr="002B005F">
              <w:rPr>
                <w:rFonts w:ascii="Times New Roman" w:hAnsi="Times New Roman" w:cs="Times New Roman"/>
              </w:rPr>
              <w:t>39.55</w:t>
            </w:r>
            <w:r w:rsidR="00D031D1" w:rsidRPr="002B005F">
              <w:rPr>
                <w:rFonts w:ascii="Times New Roman" w:hAnsi="Times New Roman" w:cs="Times New Roman"/>
              </w:rPr>
              <w:t xml:space="preserve">      1</w:t>
            </w:r>
            <w:r w:rsidR="00D031D1" w:rsidRPr="002B005F">
              <w:rPr>
                <w:rFonts w:ascii="Times New Roman" w:hAnsi="Times New Roman" w:cs="Times New Roman"/>
                <w:vertAlign w:val="superscript"/>
              </w:rPr>
              <w:t>er</w:t>
            </w:r>
          </w:p>
        </w:tc>
      </w:tr>
    </w:tbl>
    <w:p w14:paraId="3C16F09B" w14:textId="77777777" w:rsidR="002760B2" w:rsidRPr="002B005F" w:rsidRDefault="002760B2" w:rsidP="0062692A">
      <w:pPr>
        <w:tabs>
          <w:tab w:val="left" w:pos="0"/>
        </w:tabs>
        <w:spacing w:before="120" w:line="240" w:lineRule="auto"/>
        <w:rPr>
          <w:rFonts w:ascii="Times New Roman" w:eastAsia="Times New Roman" w:hAnsi="Times New Roman" w:cs="Times New Roman"/>
          <w:bCs/>
          <w:color w:val="000000" w:themeColor="text1"/>
          <w:sz w:val="20"/>
          <w:szCs w:val="20"/>
        </w:rPr>
      </w:pPr>
      <w:r w:rsidRPr="002B005F">
        <w:rPr>
          <w:rFonts w:ascii="Times New Roman" w:eastAsia="Times New Roman" w:hAnsi="Times New Roman" w:cs="Times New Roman"/>
          <w:bCs/>
          <w:color w:val="000000" w:themeColor="text1"/>
          <w:sz w:val="20"/>
          <w:szCs w:val="20"/>
        </w:rPr>
        <w:t>Note : M.P est la moyenne pondérée.</w:t>
      </w:r>
    </w:p>
    <w:p w14:paraId="57193D41" w14:textId="77777777" w:rsidR="002760B2" w:rsidRPr="002B005F" w:rsidRDefault="002760B2" w:rsidP="0062692A">
      <w:pPr>
        <w:tabs>
          <w:tab w:val="left" w:pos="0"/>
        </w:tabs>
        <w:spacing w:after="100" w:afterAutospacing="1" w:line="240" w:lineRule="auto"/>
        <w:rPr>
          <w:rFonts w:ascii="Times New Roman" w:eastAsia="Times New Roman" w:hAnsi="Times New Roman" w:cs="Times New Roman"/>
          <w:bCs/>
          <w:sz w:val="20"/>
          <w:szCs w:val="20"/>
        </w:rPr>
      </w:pPr>
      <w:r w:rsidRPr="002B005F">
        <w:rPr>
          <w:rFonts w:ascii="Times New Roman" w:eastAsia="Times New Roman" w:hAnsi="Times New Roman" w:cs="Times New Roman"/>
          <w:bCs/>
          <w:sz w:val="20"/>
          <w:szCs w:val="20"/>
        </w:rPr>
        <w:t>Source : calculs du chercheur.</w:t>
      </w:r>
    </w:p>
    <w:p w14:paraId="7E4FC35F" w14:textId="77777777" w:rsidR="002760B2" w:rsidRPr="002B005F" w:rsidRDefault="002760B2" w:rsidP="00D66FFE">
      <w:pPr>
        <w:tabs>
          <w:tab w:val="left" w:pos="0"/>
        </w:tabs>
        <w:spacing w:before="120" w:line="300" w:lineRule="auto"/>
        <w:ind w:firstLine="709"/>
        <w:rPr>
          <w:rFonts w:ascii="Times New Roman" w:eastAsia="Times New Roman" w:hAnsi="Times New Roman" w:cs="Times New Roman"/>
          <w:bCs/>
          <w:sz w:val="24"/>
          <w:szCs w:val="24"/>
        </w:rPr>
      </w:pPr>
      <w:r w:rsidRPr="002B005F">
        <w:rPr>
          <w:rFonts w:ascii="Times New Roman" w:eastAsia="Times New Roman" w:hAnsi="Times New Roman" w:cs="Times New Roman"/>
          <w:bCs/>
          <w:sz w:val="24"/>
          <w:szCs w:val="24"/>
        </w:rPr>
        <w:t>Les résultats du tableau 4</w:t>
      </w:r>
      <w:r w:rsidR="001F7D30">
        <w:rPr>
          <w:rFonts w:ascii="Times New Roman" w:eastAsia="Times New Roman" w:hAnsi="Times New Roman" w:cs="Times New Roman"/>
          <w:bCs/>
          <w:sz w:val="24"/>
          <w:szCs w:val="24"/>
        </w:rPr>
        <w:t>5</w:t>
      </w:r>
      <w:r w:rsidRPr="002B005F">
        <w:rPr>
          <w:rFonts w:ascii="Times New Roman" w:eastAsia="Times New Roman" w:hAnsi="Times New Roman" w:cs="Times New Roman"/>
          <w:bCs/>
          <w:sz w:val="24"/>
          <w:szCs w:val="24"/>
        </w:rPr>
        <w:t xml:space="preserve"> montrent que les banques </w:t>
      </w:r>
      <w:r w:rsidR="002F0541">
        <w:rPr>
          <w:rFonts w:ascii="Times New Roman" w:eastAsia="Times New Roman" w:hAnsi="Times New Roman" w:cs="Times New Roman"/>
          <w:bCs/>
          <w:sz w:val="24"/>
          <w:szCs w:val="24"/>
        </w:rPr>
        <w:t>i</w:t>
      </w:r>
      <w:r w:rsidR="003773C6" w:rsidRPr="002B005F">
        <w:rPr>
          <w:rFonts w:ascii="Times New Roman" w:eastAsia="Times New Roman" w:hAnsi="Times New Roman" w:cs="Times New Roman"/>
          <w:bCs/>
          <w:sz w:val="24"/>
          <w:szCs w:val="24"/>
        </w:rPr>
        <w:t>slamique</w:t>
      </w:r>
      <w:r w:rsidRPr="002B005F">
        <w:rPr>
          <w:rFonts w:ascii="Times New Roman" w:eastAsia="Times New Roman" w:hAnsi="Times New Roman" w:cs="Times New Roman"/>
          <w:bCs/>
          <w:sz w:val="24"/>
          <w:szCs w:val="24"/>
        </w:rPr>
        <w:t xml:space="preserve">s à part entière favorisent de renforcer la transparence avec leurs clients-entrepreneurs avec une moyenne égale à 46.6 alors que les banques conventionnelles à guichets </w:t>
      </w:r>
      <w:r w:rsidR="002F0541">
        <w:rPr>
          <w:rFonts w:ascii="Times New Roman" w:eastAsia="Times New Roman" w:hAnsi="Times New Roman" w:cs="Times New Roman"/>
          <w:bCs/>
          <w:sz w:val="24"/>
          <w:szCs w:val="24"/>
        </w:rPr>
        <w:t>i</w:t>
      </w:r>
      <w:r w:rsidR="003773C6" w:rsidRPr="002B005F">
        <w:rPr>
          <w:rFonts w:ascii="Times New Roman" w:eastAsia="Times New Roman" w:hAnsi="Times New Roman" w:cs="Times New Roman"/>
          <w:bCs/>
          <w:sz w:val="24"/>
          <w:szCs w:val="24"/>
        </w:rPr>
        <w:t>slamique</w:t>
      </w:r>
      <w:r w:rsidRPr="002B005F">
        <w:rPr>
          <w:rFonts w:ascii="Times New Roman" w:eastAsia="Times New Roman" w:hAnsi="Times New Roman" w:cs="Times New Roman"/>
          <w:bCs/>
          <w:sz w:val="24"/>
          <w:szCs w:val="24"/>
        </w:rPr>
        <w:t xml:space="preserve">s sont pour l’embauche </w:t>
      </w:r>
      <w:r w:rsidR="00E7648B" w:rsidRPr="002B005F">
        <w:rPr>
          <w:rFonts w:ascii="Times New Roman" w:eastAsia="Times New Roman" w:hAnsi="Times New Roman" w:cs="Times New Roman"/>
          <w:bCs/>
          <w:sz w:val="24"/>
          <w:szCs w:val="24"/>
        </w:rPr>
        <w:t>d’un personnel</w:t>
      </w:r>
      <w:r w:rsidR="00E7648B">
        <w:rPr>
          <w:rFonts w:ascii="Times New Roman" w:eastAsia="Times New Roman" w:hAnsi="Times New Roman" w:cs="Times New Roman"/>
          <w:bCs/>
          <w:sz w:val="24"/>
          <w:szCs w:val="24"/>
        </w:rPr>
        <w:t xml:space="preserve"> qualifié</w:t>
      </w:r>
      <w:r w:rsidRPr="002B005F">
        <w:rPr>
          <w:rFonts w:ascii="Times New Roman" w:eastAsia="Times New Roman" w:hAnsi="Times New Roman" w:cs="Times New Roman"/>
          <w:bCs/>
          <w:sz w:val="24"/>
          <w:szCs w:val="24"/>
        </w:rPr>
        <w:t xml:space="preserve"> comme moyen d’encourager le recours aux produits financiers participatifs.</w:t>
      </w:r>
    </w:p>
    <w:p w14:paraId="55070EC5" w14:textId="77777777" w:rsidR="002760B2" w:rsidRPr="00B10E91" w:rsidRDefault="001F7D30" w:rsidP="00D66FFE">
      <w:pPr>
        <w:pStyle w:val="Titre2"/>
        <w:keepNext w:val="0"/>
        <w:tabs>
          <w:tab w:val="left" w:pos="0"/>
          <w:tab w:val="left" w:pos="426"/>
        </w:tabs>
        <w:spacing w:before="100" w:beforeAutospacing="1" w:after="100" w:afterAutospacing="1" w:line="300" w:lineRule="auto"/>
        <w:ind w:left="709"/>
        <w:rPr>
          <w:rFonts w:ascii="Times New Roman" w:hAnsi="Times New Roman"/>
          <w:i w:val="0"/>
          <w:iCs w:val="0"/>
          <w:sz w:val="28"/>
        </w:rPr>
      </w:pPr>
      <w:bookmarkStart w:id="1763" w:name="_Toc33263405"/>
      <w:bookmarkStart w:id="1764" w:name="_Toc37664668"/>
      <w:bookmarkStart w:id="1765" w:name="_Toc37666513"/>
      <w:bookmarkStart w:id="1766" w:name="_Toc54363410"/>
      <w:bookmarkStart w:id="1767" w:name="_Toc58606384"/>
      <w:bookmarkStart w:id="1768" w:name="_Toc61263589"/>
      <w:bookmarkStart w:id="1769" w:name="_Toc116257074"/>
      <w:bookmarkStart w:id="1770" w:name="_Toc182298932"/>
      <w:bookmarkStart w:id="1771" w:name="_Toc182309397"/>
      <w:r w:rsidRPr="00B10E91">
        <w:rPr>
          <w:i w:val="0"/>
          <w:iCs w:val="0"/>
          <w:sz w:val="28"/>
        </w:rPr>
        <w:t xml:space="preserve">Section III. </w:t>
      </w:r>
      <w:r w:rsidR="002760B2" w:rsidRPr="00B10E91">
        <w:rPr>
          <w:rFonts w:ascii="Times New Roman" w:hAnsi="Times New Roman"/>
          <w:i w:val="0"/>
          <w:iCs w:val="0"/>
          <w:sz w:val="28"/>
        </w:rPr>
        <w:t>Synthèse des résultats (Discussion interprétative)</w:t>
      </w:r>
      <w:bookmarkEnd w:id="1763"/>
      <w:bookmarkEnd w:id="1764"/>
      <w:bookmarkEnd w:id="1765"/>
      <w:bookmarkEnd w:id="1766"/>
      <w:bookmarkEnd w:id="1767"/>
      <w:bookmarkEnd w:id="1768"/>
      <w:bookmarkEnd w:id="1769"/>
      <w:bookmarkEnd w:id="1770"/>
      <w:bookmarkEnd w:id="1771"/>
    </w:p>
    <w:p w14:paraId="0ACE6DC4" w14:textId="77777777" w:rsidR="002760B2" w:rsidRPr="002B005F" w:rsidRDefault="002760B2" w:rsidP="00D66FFE">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La discussion dans ce chapitre est basée sur les résultats des aspects conceptuels de la recherche qui ont été obtenus à partir de la revue de la littérature et à partir des données collectées et analysées à travers notre enquête sur la question de gestion des risques liés aux produits financiers participatifs. Les études disponibles sur des sujets similaires sont essentiellement de nature théorique, compte tenu de la recherche de données primaires seulement.</w:t>
      </w:r>
    </w:p>
    <w:p w14:paraId="2C55B5A5" w14:textId="77777777" w:rsidR="002760B2" w:rsidRPr="002B005F" w:rsidRDefault="002760B2" w:rsidP="00D66FFE">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Les résultats de l'étude actuelle combleront donc un vide important dans la recherche actuelle en fournissant des informations empiriques vitales sur la gestion des risques de ce type de produits financiers.</w:t>
      </w:r>
    </w:p>
    <w:p w14:paraId="6F2652AE" w14:textId="77777777" w:rsidR="002760B2" w:rsidRPr="002B005F" w:rsidRDefault="002760B2" w:rsidP="00D66FFE">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Les résultats de l'analyse descriptive et de l’analyse des tests non paramétriques des données ont été présentés pour traiter leurs implications par rapport à l'ensemble des connaissances existantes sur le terrain. Cette sous-section vise à atteindre l'objectif de donner plus de sens aux résultats grâce à une méthode interprétative. Son objectif est, donc, de combiner les principaux résultats du chapitre empirique de manière à mener une discussion intégrée des hypothèses identifiées précédemment, permettant de mettre en évidence la contribution de cette étude.</w:t>
      </w:r>
    </w:p>
    <w:p w14:paraId="2C3ED1F3" w14:textId="77777777" w:rsidR="002760B2" w:rsidRPr="00DE760B" w:rsidRDefault="008460D2" w:rsidP="00D66FFE">
      <w:pPr>
        <w:pStyle w:val="Titre3"/>
        <w:keepNext w:val="0"/>
        <w:keepLines w:val="0"/>
        <w:tabs>
          <w:tab w:val="left" w:pos="0"/>
          <w:tab w:val="left" w:pos="567"/>
        </w:tabs>
        <w:spacing w:before="100" w:beforeAutospacing="1" w:line="300" w:lineRule="auto"/>
        <w:ind w:firstLine="709"/>
        <w:rPr>
          <w:rFonts w:ascii="Times New Roman" w:hAnsi="Times New Roman" w:cs="Times New Roman"/>
          <w:sz w:val="28"/>
          <w:szCs w:val="28"/>
        </w:rPr>
      </w:pPr>
      <w:bookmarkStart w:id="1772" w:name="_Toc33263406"/>
      <w:bookmarkStart w:id="1773" w:name="_Toc37664669"/>
      <w:bookmarkStart w:id="1774" w:name="_Toc37666514"/>
      <w:bookmarkStart w:id="1775" w:name="_Toc54363411"/>
      <w:bookmarkStart w:id="1776" w:name="_Toc58606385"/>
      <w:bookmarkStart w:id="1777" w:name="_Toc61263590"/>
      <w:bookmarkStart w:id="1778" w:name="_Toc182298933"/>
      <w:r w:rsidRPr="00DE760B">
        <w:rPr>
          <w:rFonts w:ascii="Times New Roman" w:hAnsi="Times New Roman" w:cs="Times New Roman"/>
          <w:sz w:val="28"/>
          <w:szCs w:val="28"/>
        </w:rPr>
        <w:t>3.1</w:t>
      </w:r>
      <w:r w:rsidR="00626433" w:rsidRPr="00DE760B">
        <w:rPr>
          <w:rFonts w:ascii="Times New Roman" w:hAnsi="Times New Roman" w:cs="Times New Roman"/>
          <w:sz w:val="28"/>
          <w:szCs w:val="28"/>
        </w:rPr>
        <w:t xml:space="preserve">- </w:t>
      </w:r>
      <w:r w:rsidR="002760B2" w:rsidRPr="00DE760B">
        <w:rPr>
          <w:rFonts w:ascii="Times New Roman" w:hAnsi="Times New Roman" w:cs="Times New Roman"/>
          <w:sz w:val="28"/>
          <w:szCs w:val="28"/>
        </w:rPr>
        <w:t>Perceptions des risques dans les BI</w:t>
      </w:r>
      <w:bookmarkEnd w:id="1772"/>
      <w:bookmarkEnd w:id="1773"/>
      <w:bookmarkEnd w:id="1774"/>
      <w:bookmarkEnd w:id="1775"/>
      <w:bookmarkEnd w:id="1776"/>
      <w:bookmarkEnd w:id="1777"/>
      <w:bookmarkEnd w:id="1778"/>
    </w:p>
    <w:p w14:paraId="0109311F" w14:textId="77777777" w:rsidR="002760B2" w:rsidRDefault="002760B2" w:rsidP="00D66FFE">
      <w:pPr>
        <w:tabs>
          <w:tab w:val="left" w:pos="0"/>
        </w:tabs>
        <w:spacing w:before="120" w:line="300" w:lineRule="auto"/>
        <w:ind w:firstLine="709"/>
        <w:rPr>
          <w:rFonts w:ascii="Times New Roman" w:hAnsi="Times New Roman" w:cs="Times New Roman"/>
          <w:sz w:val="24"/>
          <w:szCs w:val="24"/>
        </w:rPr>
      </w:pPr>
      <w:r w:rsidRPr="002B005F">
        <w:rPr>
          <w:rFonts w:ascii="Times New Roman" w:hAnsi="Times New Roman" w:cs="Times New Roman"/>
          <w:sz w:val="24"/>
          <w:szCs w:val="24"/>
        </w:rPr>
        <w:t xml:space="preserve">Cette section vise à fournir une discussion à travers une interprétation plus avancée des résultats sur les risques globaux auxquels sont confrontées les banques </w:t>
      </w:r>
      <w:r w:rsidR="002F0541">
        <w:rPr>
          <w:rFonts w:ascii="Times New Roman" w:hAnsi="Times New Roman" w:cs="Times New Roman"/>
          <w:sz w:val="24"/>
          <w:szCs w:val="24"/>
        </w:rPr>
        <w:t>i</w:t>
      </w:r>
      <w:r w:rsidR="003773C6" w:rsidRPr="002B005F">
        <w:rPr>
          <w:rFonts w:ascii="Times New Roman" w:hAnsi="Times New Roman" w:cs="Times New Roman"/>
          <w:sz w:val="24"/>
          <w:szCs w:val="24"/>
        </w:rPr>
        <w:t>slamique</w:t>
      </w:r>
      <w:r w:rsidRPr="002B005F">
        <w:rPr>
          <w:rFonts w:ascii="Times New Roman" w:hAnsi="Times New Roman" w:cs="Times New Roman"/>
          <w:sz w:val="24"/>
          <w:szCs w:val="24"/>
        </w:rPr>
        <w:t>s en répondant aux hypothèses établies à l'avance.</w:t>
      </w:r>
    </w:p>
    <w:p w14:paraId="58AE1D92" w14:textId="77777777" w:rsidR="001F7D30" w:rsidRPr="001F7D30" w:rsidRDefault="001F7D30" w:rsidP="00CB0FF1">
      <w:pPr>
        <w:pStyle w:val="Paragraphedeliste"/>
        <w:numPr>
          <w:ilvl w:val="0"/>
          <w:numId w:val="100"/>
        </w:numPr>
        <w:tabs>
          <w:tab w:val="left" w:pos="709"/>
        </w:tabs>
        <w:spacing w:line="300" w:lineRule="auto"/>
        <w:ind w:left="284" w:firstLine="709"/>
        <w:contextualSpacing w:val="0"/>
        <w:rPr>
          <w:rFonts w:ascii="Times New Roman" w:hAnsi="Times New Roman" w:cs="Times New Roman"/>
          <w:b/>
          <w:bCs/>
          <w:sz w:val="24"/>
          <w:szCs w:val="24"/>
        </w:rPr>
      </w:pPr>
      <w:r w:rsidRPr="001F7D30">
        <w:rPr>
          <w:rFonts w:ascii="Times New Roman" w:hAnsi="Times New Roman" w:cs="Times New Roman"/>
          <w:b/>
          <w:bCs/>
          <w:sz w:val="24"/>
          <w:szCs w:val="24"/>
        </w:rPr>
        <w:t>Hypothèse 01 :</w:t>
      </w:r>
    </w:p>
    <w:p w14:paraId="2AB1436E" w14:textId="77777777" w:rsidR="001F7D30" w:rsidRPr="001F7D30" w:rsidRDefault="001F7D30" w:rsidP="00A90914">
      <w:pPr>
        <w:pStyle w:val="Paragraphedeliste"/>
        <w:tabs>
          <w:tab w:val="left" w:pos="1134"/>
        </w:tabs>
        <w:spacing w:line="300" w:lineRule="auto"/>
        <w:ind w:left="992"/>
        <w:contextualSpacing w:val="0"/>
        <w:rPr>
          <w:rFonts w:ascii="Times New Roman" w:hAnsi="Times New Roman" w:cs="Times New Roman"/>
          <w:sz w:val="24"/>
          <w:szCs w:val="24"/>
        </w:rPr>
      </w:pPr>
      <w:r w:rsidRPr="001F7D30">
        <w:rPr>
          <w:rFonts w:ascii="Times New Roman" w:hAnsi="Times New Roman" w:cs="Times New Roman"/>
          <w:sz w:val="24"/>
          <w:szCs w:val="24"/>
        </w:rPr>
        <w:t>Certains risques inhérents au financement participatif n’encourageraient pas le recours aux modes islamiques à logique de partenariat.</w:t>
      </w:r>
    </w:p>
    <w:p w14:paraId="6D74ACA6" w14:textId="77777777" w:rsidR="001F7D30" w:rsidRPr="001F7D30" w:rsidRDefault="001F7D30" w:rsidP="00A90914">
      <w:pPr>
        <w:pStyle w:val="Paragraphedeliste"/>
        <w:tabs>
          <w:tab w:val="left" w:pos="1134"/>
        </w:tabs>
        <w:spacing w:before="120" w:after="120" w:line="300" w:lineRule="auto"/>
        <w:ind w:left="1559" w:hanging="567"/>
        <w:contextualSpacing w:val="0"/>
        <w:rPr>
          <w:rFonts w:asciiTheme="majorBidi" w:hAnsiTheme="majorBidi" w:cstheme="majorBidi"/>
          <w:sz w:val="24"/>
          <w:szCs w:val="24"/>
        </w:rPr>
      </w:pPr>
      <w:r w:rsidRPr="001F7D30">
        <w:rPr>
          <w:rFonts w:asciiTheme="majorBidi" w:hAnsiTheme="majorBidi" w:cstheme="majorBidi"/>
          <w:b/>
          <w:bCs/>
          <w:sz w:val="24"/>
          <w:szCs w:val="24"/>
        </w:rPr>
        <w:t xml:space="preserve">H1-1 </w:t>
      </w:r>
      <w:r w:rsidRPr="001F7D30">
        <w:rPr>
          <w:rFonts w:asciiTheme="majorBidi" w:hAnsiTheme="majorBidi" w:cstheme="majorBidi"/>
          <w:sz w:val="24"/>
          <w:szCs w:val="24"/>
        </w:rPr>
        <w:t>: Il n'y a pas de différence statistiquement significative entre les répondants par rapport à leur perception des différents risques selon les régions.</w:t>
      </w:r>
    </w:p>
    <w:p w14:paraId="30104668" w14:textId="77777777" w:rsidR="001F7D30" w:rsidRPr="001F7D30" w:rsidRDefault="001F7D30" w:rsidP="00A90914">
      <w:pPr>
        <w:pStyle w:val="Paragraphedeliste"/>
        <w:tabs>
          <w:tab w:val="left" w:pos="1134"/>
        </w:tabs>
        <w:spacing w:before="120" w:after="120" w:line="300" w:lineRule="auto"/>
        <w:ind w:left="1559" w:hanging="567"/>
        <w:contextualSpacing w:val="0"/>
        <w:rPr>
          <w:rFonts w:asciiTheme="majorBidi" w:hAnsiTheme="majorBidi" w:cstheme="majorBidi"/>
          <w:sz w:val="24"/>
          <w:szCs w:val="24"/>
        </w:rPr>
      </w:pPr>
      <w:r w:rsidRPr="001F7D30">
        <w:rPr>
          <w:rFonts w:asciiTheme="majorBidi" w:hAnsiTheme="majorBidi" w:cstheme="majorBidi"/>
          <w:b/>
          <w:bCs/>
          <w:sz w:val="24"/>
          <w:szCs w:val="24"/>
        </w:rPr>
        <w:t>H1-2</w:t>
      </w:r>
      <w:r w:rsidRPr="001F7D30">
        <w:rPr>
          <w:rFonts w:asciiTheme="majorBidi" w:hAnsiTheme="majorBidi" w:cstheme="majorBidi"/>
          <w:sz w:val="24"/>
          <w:szCs w:val="24"/>
        </w:rPr>
        <w:t>: Il n'y a pas de différence statistiquement significative entre les répondants par rapport à leur perception des différents risques en fonction du poste du répondant.</w:t>
      </w:r>
    </w:p>
    <w:p w14:paraId="7B69BF0C" w14:textId="77777777" w:rsidR="001F7D30" w:rsidRPr="001F7D30" w:rsidRDefault="001F7D30" w:rsidP="00A90914">
      <w:pPr>
        <w:pStyle w:val="Paragraphedeliste"/>
        <w:tabs>
          <w:tab w:val="left" w:pos="1134"/>
        </w:tabs>
        <w:spacing w:line="300" w:lineRule="auto"/>
        <w:ind w:left="1559" w:hanging="567"/>
        <w:contextualSpacing w:val="0"/>
        <w:rPr>
          <w:rFonts w:asciiTheme="majorBidi" w:hAnsiTheme="majorBidi" w:cstheme="majorBidi"/>
          <w:sz w:val="24"/>
          <w:szCs w:val="24"/>
        </w:rPr>
      </w:pPr>
      <w:r w:rsidRPr="001F7D30">
        <w:rPr>
          <w:rFonts w:asciiTheme="majorBidi" w:hAnsiTheme="majorBidi" w:cstheme="majorBidi"/>
          <w:b/>
          <w:bCs/>
          <w:sz w:val="24"/>
          <w:szCs w:val="24"/>
        </w:rPr>
        <w:t>H1-3</w:t>
      </w:r>
      <w:r w:rsidRPr="001F7D30">
        <w:rPr>
          <w:rFonts w:asciiTheme="majorBidi" w:hAnsiTheme="majorBidi" w:cstheme="majorBidi"/>
          <w:sz w:val="24"/>
          <w:szCs w:val="24"/>
        </w:rPr>
        <w:t> : Il n'y a pas de différence statistiquement significative entre les répondants par rapport à leur perception des différents risques selon les normes comptables.</w:t>
      </w:r>
    </w:p>
    <w:p w14:paraId="22D32333" w14:textId="77777777" w:rsidR="001F7D30" w:rsidRPr="00DE760B" w:rsidRDefault="001F7D30" w:rsidP="00A90914">
      <w:pPr>
        <w:pStyle w:val="Paragraphedeliste"/>
        <w:tabs>
          <w:tab w:val="left" w:pos="1134"/>
        </w:tabs>
        <w:spacing w:line="300" w:lineRule="auto"/>
        <w:ind w:left="1559" w:hanging="567"/>
        <w:contextualSpacing w:val="0"/>
        <w:rPr>
          <w:rFonts w:asciiTheme="majorBidi" w:hAnsiTheme="majorBidi" w:cstheme="majorBidi"/>
          <w:sz w:val="24"/>
          <w:szCs w:val="24"/>
        </w:rPr>
      </w:pPr>
      <w:r w:rsidRPr="001F7D30">
        <w:rPr>
          <w:rFonts w:asciiTheme="majorBidi" w:hAnsiTheme="majorBidi" w:cstheme="majorBidi"/>
          <w:b/>
          <w:bCs/>
          <w:sz w:val="24"/>
          <w:szCs w:val="24"/>
        </w:rPr>
        <w:t xml:space="preserve">H1-4 </w:t>
      </w:r>
      <w:r w:rsidRPr="001F7D30">
        <w:rPr>
          <w:rFonts w:asciiTheme="majorBidi" w:hAnsiTheme="majorBidi" w:cstheme="majorBidi"/>
          <w:sz w:val="24"/>
          <w:szCs w:val="24"/>
        </w:rPr>
        <w:t>: Il n'y a pas de différence statistiquement significative entre les répondants par rapport à leur perception des différents risques en fonction de la nature de la BI.</w:t>
      </w:r>
    </w:p>
    <w:p w14:paraId="18FA2E7A" w14:textId="77777777" w:rsidR="001F7D30" w:rsidRPr="001F7D30" w:rsidRDefault="001F7D30" w:rsidP="00D66FFE">
      <w:pPr>
        <w:tabs>
          <w:tab w:val="left" w:pos="0"/>
        </w:tabs>
        <w:suppressAutoHyphens/>
        <w:spacing w:before="120" w:line="300" w:lineRule="auto"/>
        <w:ind w:firstLine="709"/>
        <w:rPr>
          <w:rFonts w:ascii="Times New Roman" w:hAnsi="Times New Roman" w:cs="Times New Roman"/>
          <w:sz w:val="24"/>
          <w:szCs w:val="24"/>
        </w:rPr>
      </w:pPr>
      <w:r w:rsidRPr="001F7D30">
        <w:rPr>
          <w:rFonts w:ascii="Times New Roman" w:hAnsi="Times New Roman" w:cs="Times New Roman"/>
          <w:sz w:val="24"/>
          <w:szCs w:val="24"/>
        </w:rPr>
        <w:t>Afin d'identifier les principaux risques auquel sont confrontées les BI, les résultats du questionnaire ont été examinés avec détails, en plus de la recherche dans la revue de littérature existante.</w:t>
      </w:r>
    </w:p>
    <w:p w14:paraId="50D5B4B8" w14:textId="77777777" w:rsidR="001F7D30" w:rsidRPr="001F7D30" w:rsidRDefault="001F7D30" w:rsidP="00D66FFE">
      <w:pPr>
        <w:tabs>
          <w:tab w:val="left" w:pos="0"/>
        </w:tabs>
        <w:suppressAutoHyphens/>
        <w:spacing w:before="120" w:line="300" w:lineRule="auto"/>
        <w:ind w:firstLine="709"/>
        <w:rPr>
          <w:rFonts w:ascii="Times New Roman" w:hAnsi="Times New Roman" w:cs="Times New Roman"/>
          <w:sz w:val="24"/>
          <w:szCs w:val="24"/>
        </w:rPr>
      </w:pPr>
      <w:r w:rsidRPr="001F7D30">
        <w:rPr>
          <w:rFonts w:ascii="Times New Roman" w:hAnsi="Times New Roman" w:cs="Times New Roman"/>
          <w:sz w:val="24"/>
          <w:szCs w:val="24"/>
        </w:rPr>
        <w:t>L'hypothèse nulle est acceptée. L'hypothèse alternative est rejetée à travers les analyses statistiques effectuées.</w:t>
      </w:r>
    </w:p>
    <w:p w14:paraId="3182CBBD"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 xml:space="preserve">Les résultats présentés dans le tableau 17, montrent que pour la </w:t>
      </w:r>
      <w:r w:rsidRPr="001F7D30">
        <w:rPr>
          <w:rFonts w:asciiTheme="majorBidi" w:eastAsia="Times New Roman" w:hAnsiTheme="majorBidi" w:cstheme="majorBidi"/>
          <w:i/>
          <w:iCs/>
          <w:sz w:val="24"/>
          <w:szCs w:val="24"/>
        </w:rPr>
        <w:t>moucharaka,</w:t>
      </w:r>
      <w:r w:rsidRPr="001F7D30">
        <w:rPr>
          <w:rFonts w:asciiTheme="majorBidi" w:eastAsia="Times New Roman" w:hAnsiTheme="majorBidi" w:cstheme="majorBidi"/>
          <w:sz w:val="24"/>
          <w:szCs w:val="24"/>
        </w:rPr>
        <w:t xml:space="preserve"> le risque de contrepartie était perçu comme le plus grave ayant la valeur moyenne la plus élevée de 3.69, suivi par le risque de marché (3.62) et le risque opérationnel (3.5). Les autres risques n’étaient pas déclarés comme critiques par rapport aux premiers principaux risques.</w:t>
      </w:r>
    </w:p>
    <w:p w14:paraId="01CEE3C9"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 xml:space="preserve">Le contrat </w:t>
      </w:r>
      <w:r w:rsidRPr="001F7D30">
        <w:rPr>
          <w:rFonts w:asciiTheme="majorBidi" w:eastAsia="Times New Roman" w:hAnsiTheme="majorBidi" w:cstheme="majorBidi"/>
          <w:i/>
          <w:iCs/>
          <w:sz w:val="24"/>
          <w:szCs w:val="24"/>
        </w:rPr>
        <w:t xml:space="preserve">moucharaka </w:t>
      </w:r>
      <w:r w:rsidRPr="001F7D30">
        <w:rPr>
          <w:rFonts w:asciiTheme="majorBidi" w:eastAsia="Times New Roman" w:hAnsiTheme="majorBidi" w:cstheme="majorBidi"/>
          <w:sz w:val="24"/>
          <w:szCs w:val="24"/>
        </w:rPr>
        <w:t xml:space="preserve">peut provoquer un risque de crédit pour plusieurs raisons. Nous pouvons citer : </w:t>
      </w:r>
      <w:r w:rsidRPr="001F7D30">
        <w:rPr>
          <w:rFonts w:asciiTheme="majorBidi" w:hAnsiTheme="majorBidi" w:cstheme="majorBidi"/>
          <w:sz w:val="24"/>
          <w:szCs w:val="24"/>
        </w:rPr>
        <w:t xml:space="preserve">l’absence de garanties, un fort taux d’aléa moral et de sélection adverse et le manque de personnel qualifié en matière d’évaluation technique des projets. Ainsi, le produit </w:t>
      </w:r>
      <w:r w:rsidRPr="001F7D30">
        <w:rPr>
          <w:rFonts w:asciiTheme="majorBidi" w:hAnsiTheme="majorBidi" w:cstheme="majorBidi"/>
          <w:i/>
          <w:iCs/>
          <w:sz w:val="24"/>
          <w:szCs w:val="24"/>
        </w:rPr>
        <w:t>moucharaka</w:t>
      </w:r>
      <w:r w:rsidRPr="001F7D30">
        <w:rPr>
          <w:rFonts w:asciiTheme="majorBidi" w:hAnsiTheme="majorBidi" w:cstheme="majorBidi"/>
          <w:sz w:val="24"/>
          <w:szCs w:val="24"/>
        </w:rPr>
        <w:t xml:space="preserve"> subit le risque d’action puisque toutes les parties participent au capital et donc aux pertes éventuelles. Pour le risque opérationnel, il peut être dû à la complexité de la gestion des produits basés sur le principe 3P, et le manque d’expérience du personnel des BI ce qui rend difficile la tâche du suivi des projets investis.</w:t>
      </w:r>
    </w:p>
    <w:p w14:paraId="79054C7D" w14:textId="60C2FE55"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hAnsiTheme="majorBidi" w:cstheme="majorBidi"/>
          <w:color w:val="000000"/>
          <w:sz w:val="24"/>
          <w:szCs w:val="24"/>
        </w:rPr>
      </w:pPr>
      <w:r w:rsidRPr="001F7D30">
        <w:rPr>
          <w:rFonts w:asciiTheme="majorBidi" w:eastAsia="Times New Roman" w:hAnsiTheme="majorBidi" w:cstheme="majorBidi"/>
          <w:sz w:val="24"/>
          <w:szCs w:val="24"/>
        </w:rPr>
        <w:t xml:space="preserve">Pour la </w:t>
      </w:r>
      <w:r w:rsidR="006C1230" w:rsidRPr="001F7D30">
        <w:rPr>
          <w:rFonts w:asciiTheme="majorBidi" w:eastAsia="Times New Roman" w:hAnsiTheme="majorBidi" w:cstheme="majorBidi"/>
          <w:i/>
          <w:iCs/>
          <w:sz w:val="24"/>
          <w:szCs w:val="24"/>
        </w:rPr>
        <w:t>moudaraba</w:t>
      </w:r>
      <w:r w:rsidRPr="001F7D30">
        <w:rPr>
          <w:rFonts w:asciiTheme="majorBidi" w:eastAsia="Times New Roman" w:hAnsiTheme="majorBidi" w:cstheme="majorBidi"/>
          <w:i/>
          <w:iCs/>
          <w:sz w:val="24"/>
          <w:szCs w:val="24"/>
        </w:rPr>
        <w:t xml:space="preserve">, </w:t>
      </w:r>
      <w:r w:rsidRPr="001F7D30">
        <w:rPr>
          <w:rFonts w:asciiTheme="majorBidi" w:eastAsia="Times New Roman" w:hAnsiTheme="majorBidi" w:cstheme="majorBidi"/>
          <w:sz w:val="24"/>
          <w:szCs w:val="24"/>
        </w:rPr>
        <w:t xml:space="preserve">le tableau 17 montre que les risques les plus élevés liés à cette technique de financement sont : </w:t>
      </w:r>
      <w:r w:rsidRPr="001F7D30">
        <w:rPr>
          <w:rFonts w:asciiTheme="majorBidi" w:hAnsiTheme="majorBidi" w:cstheme="majorBidi"/>
          <w:color w:val="000000"/>
          <w:sz w:val="24"/>
          <w:szCs w:val="24"/>
        </w:rPr>
        <w:t>le risque commercial déplacé (3.84) suivi par le risque juridique (3.50) et le risque de contrepartie (3.25).</w:t>
      </w:r>
    </w:p>
    <w:p w14:paraId="5B5459A3" w14:textId="2E0953FA"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z w:val="24"/>
          <w:szCs w:val="24"/>
        </w:rPr>
      </w:pPr>
      <w:r w:rsidRPr="001F7D30">
        <w:rPr>
          <w:rFonts w:asciiTheme="majorBidi" w:hAnsiTheme="majorBidi" w:cstheme="majorBidi"/>
          <w:color w:val="000000"/>
          <w:sz w:val="24"/>
          <w:szCs w:val="24"/>
        </w:rPr>
        <w:t xml:space="preserve">Le risque commercial déplacé est considéré comme le plus dangereux dans un contrat </w:t>
      </w:r>
      <w:r w:rsidR="006C1230" w:rsidRPr="001F7D30">
        <w:rPr>
          <w:rFonts w:asciiTheme="majorBidi" w:hAnsiTheme="majorBidi" w:cstheme="majorBidi"/>
          <w:i/>
          <w:iCs/>
          <w:color w:val="000000"/>
          <w:sz w:val="24"/>
          <w:szCs w:val="24"/>
        </w:rPr>
        <w:t>moudaraba</w:t>
      </w:r>
      <w:r w:rsidRPr="001F7D30">
        <w:rPr>
          <w:rFonts w:asciiTheme="majorBidi" w:hAnsiTheme="majorBidi" w:cstheme="majorBidi"/>
          <w:i/>
          <w:iCs/>
          <w:color w:val="000000"/>
          <w:sz w:val="24"/>
          <w:szCs w:val="24"/>
        </w:rPr>
        <w:t xml:space="preserve">. </w:t>
      </w:r>
      <w:r w:rsidRPr="001F7D30">
        <w:rPr>
          <w:rFonts w:asciiTheme="majorBidi" w:eastAsia="Times New Roman" w:hAnsiTheme="majorBidi" w:cstheme="majorBidi"/>
          <w:sz w:val="24"/>
          <w:szCs w:val="24"/>
        </w:rPr>
        <w:t>Ceci est dû à la concurrence qui existe entre les taux de rémunérations de comptes d’investissement participatif entre les BI et leurs homologues conventionnels ce qui peut créer un fort risque de retraits des fonds par les titulaires de ces comptes et par la suite un risque de liquidité.</w:t>
      </w:r>
      <w:r w:rsidRPr="001F7D30">
        <w:rPr>
          <w:rFonts w:asciiTheme="majorBidi" w:hAnsiTheme="majorBidi" w:cstheme="majorBidi"/>
          <w:color w:val="000000"/>
          <w:sz w:val="24"/>
          <w:szCs w:val="24"/>
        </w:rPr>
        <w:t xml:space="preserve"> </w:t>
      </w:r>
      <w:r w:rsidRPr="001F7D30">
        <w:rPr>
          <w:rFonts w:asciiTheme="majorBidi" w:hAnsiTheme="majorBidi" w:cstheme="majorBidi"/>
          <w:sz w:val="24"/>
          <w:szCs w:val="24"/>
        </w:rPr>
        <w:t xml:space="preserve">Pour le risque juridique, il est assez important en recourant à la </w:t>
      </w:r>
      <w:r w:rsidR="006C1230" w:rsidRPr="001F7D30">
        <w:rPr>
          <w:rFonts w:asciiTheme="majorBidi" w:hAnsiTheme="majorBidi" w:cstheme="majorBidi"/>
          <w:i/>
          <w:iCs/>
          <w:sz w:val="24"/>
          <w:szCs w:val="24"/>
        </w:rPr>
        <w:t>moudaraba</w:t>
      </w:r>
      <w:r w:rsidRPr="001F7D30">
        <w:rPr>
          <w:rFonts w:asciiTheme="majorBidi" w:hAnsiTheme="majorBidi" w:cstheme="majorBidi"/>
          <w:sz w:val="24"/>
          <w:szCs w:val="24"/>
        </w:rPr>
        <w:t xml:space="preserve">, à cause des obstacles règlementaires et l’incapacité des praticiens bancaires islamiques à évaluer techniquement les projets d’investissement. Alors que pour le risque de contrepartie, le contrat </w:t>
      </w:r>
      <w:r w:rsidR="006C1230">
        <w:rPr>
          <w:rFonts w:asciiTheme="majorBidi" w:hAnsiTheme="majorBidi" w:cstheme="majorBidi"/>
          <w:i/>
          <w:iCs/>
          <w:sz w:val="24"/>
          <w:szCs w:val="24"/>
        </w:rPr>
        <w:t>m</w:t>
      </w:r>
      <w:r w:rsidR="006C1230" w:rsidRPr="001F7D30">
        <w:rPr>
          <w:rFonts w:asciiTheme="majorBidi" w:hAnsiTheme="majorBidi" w:cstheme="majorBidi"/>
          <w:i/>
          <w:iCs/>
          <w:sz w:val="24"/>
          <w:szCs w:val="24"/>
        </w:rPr>
        <w:t>oudaraba</w:t>
      </w:r>
      <w:r w:rsidRPr="001F7D30">
        <w:rPr>
          <w:rFonts w:asciiTheme="majorBidi" w:hAnsiTheme="majorBidi" w:cstheme="majorBidi"/>
          <w:i/>
          <w:iCs/>
          <w:sz w:val="24"/>
          <w:szCs w:val="24"/>
        </w:rPr>
        <w:t xml:space="preserve"> </w:t>
      </w:r>
      <w:r w:rsidRPr="001F7D30">
        <w:rPr>
          <w:rFonts w:asciiTheme="majorBidi" w:hAnsiTheme="majorBidi" w:cstheme="majorBidi"/>
          <w:sz w:val="24"/>
          <w:szCs w:val="24"/>
        </w:rPr>
        <w:t>peut engendrer des pertes pour la BI en cas de non-paiement des parts revenant à la banque.</w:t>
      </w:r>
    </w:p>
    <w:p w14:paraId="4DFFA74B"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 xml:space="preserve">Les résultats </w:t>
      </w:r>
      <w:r w:rsidR="00872EB9" w:rsidRPr="001F7D30">
        <w:rPr>
          <w:rFonts w:asciiTheme="majorBidi" w:eastAsia="Times New Roman" w:hAnsiTheme="majorBidi" w:cstheme="majorBidi"/>
          <w:sz w:val="24"/>
          <w:szCs w:val="24"/>
        </w:rPr>
        <w:t>trouvés confirment</w:t>
      </w:r>
      <w:r w:rsidRPr="001F7D30">
        <w:rPr>
          <w:rFonts w:asciiTheme="majorBidi" w:eastAsia="Times New Roman" w:hAnsiTheme="majorBidi" w:cstheme="majorBidi"/>
          <w:sz w:val="24"/>
          <w:szCs w:val="24"/>
        </w:rPr>
        <w:t xml:space="preserve"> davantage les résultats de la recherche menée par </w:t>
      </w:r>
      <w:r w:rsidRPr="001F7D30">
        <w:rPr>
          <w:rFonts w:asciiTheme="majorBidi" w:eastAsia="Times New Roman" w:hAnsiTheme="majorBidi" w:cstheme="majorBidi"/>
          <w:smallCaps/>
          <w:sz w:val="24"/>
          <w:szCs w:val="24"/>
        </w:rPr>
        <w:t>Al-Omar</w:t>
      </w:r>
      <w:r w:rsidRPr="001F7D30">
        <w:rPr>
          <w:rFonts w:asciiTheme="majorBidi" w:eastAsia="Times New Roman" w:hAnsiTheme="majorBidi" w:cstheme="majorBidi"/>
          <w:sz w:val="24"/>
          <w:szCs w:val="24"/>
        </w:rPr>
        <w:t xml:space="preserve"> et </w:t>
      </w:r>
      <w:r w:rsidRPr="001F7D30">
        <w:rPr>
          <w:rFonts w:asciiTheme="majorBidi" w:eastAsia="Times New Roman" w:hAnsiTheme="majorBidi" w:cstheme="majorBidi"/>
          <w:smallCaps/>
          <w:sz w:val="24"/>
          <w:szCs w:val="24"/>
        </w:rPr>
        <w:t>Abdel-Haq</w:t>
      </w:r>
      <w:r w:rsidRPr="001F7D30">
        <w:rPr>
          <w:rFonts w:asciiTheme="majorBidi" w:eastAsia="Times New Roman" w:hAnsiTheme="majorBidi" w:cstheme="majorBidi"/>
          <w:sz w:val="24"/>
          <w:szCs w:val="24"/>
        </w:rPr>
        <w:t xml:space="preserve"> (1996), qui ont identifié les risques de crédit et de liquidité pour les banques islamiques plus élevés que pour les banques conventionnelles. En outre, </w:t>
      </w:r>
      <w:r w:rsidRPr="001F7D30">
        <w:rPr>
          <w:rFonts w:asciiTheme="majorBidi" w:eastAsia="Times New Roman" w:hAnsiTheme="majorBidi" w:cstheme="majorBidi"/>
          <w:smallCaps/>
          <w:sz w:val="24"/>
          <w:szCs w:val="24"/>
        </w:rPr>
        <w:t>Khan</w:t>
      </w:r>
      <w:r w:rsidRPr="001F7D30">
        <w:rPr>
          <w:rFonts w:asciiTheme="majorBidi" w:eastAsia="Times New Roman" w:hAnsiTheme="majorBidi" w:cstheme="majorBidi"/>
          <w:sz w:val="24"/>
          <w:szCs w:val="24"/>
        </w:rPr>
        <w:t xml:space="preserve"> et </w:t>
      </w:r>
      <w:r w:rsidRPr="001F7D30">
        <w:rPr>
          <w:rFonts w:asciiTheme="majorBidi" w:eastAsia="Times New Roman" w:hAnsiTheme="majorBidi" w:cstheme="majorBidi"/>
          <w:smallCaps/>
          <w:sz w:val="24"/>
          <w:szCs w:val="24"/>
        </w:rPr>
        <w:t>Ahmed</w:t>
      </w:r>
      <w:r w:rsidRPr="001F7D30">
        <w:rPr>
          <w:rFonts w:asciiTheme="majorBidi" w:eastAsia="Times New Roman" w:hAnsiTheme="majorBidi" w:cstheme="majorBidi"/>
          <w:sz w:val="24"/>
          <w:szCs w:val="24"/>
        </w:rPr>
        <w:t xml:space="preserve"> (2001) ont constaté que les IFI sont confrontées à des risques différents de ceux auxquels sont confrontées les institutions financières conventionnelles. Ils ont révélé que certains de ces risques sont considérés comme plus graves que les risques conventionnels. </w:t>
      </w:r>
    </w:p>
    <w:p w14:paraId="63C1C35B"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En général, les perceptions du risque chez les banquiers, qu'ils soient islamiques ou non, reflètent des tendances similaires. Cela a été souligné par la distribution de fréquence et le test K-W effectués dans la section des tests non paramétriques.</w:t>
      </w:r>
    </w:p>
    <w:p w14:paraId="1B707578"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pacing w:val="-4"/>
          <w:sz w:val="24"/>
          <w:szCs w:val="24"/>
        </w:rPr>
      </w:pPr>
      <w:r w:rsidRPr="001F7D30">
        <w:rPr>
          <w:rFonts w:asciiTheme="majorBidi" w:eastAsia="Times New Roman" w:hAnsiTheme="majorBidi" w:cstheme="majorBidi"/>
          <w:spacing w:val="-4"/>
          <w:sz w:val="24"/>
          <w:szCs w:val="24"/>
        </w:rPr>
        <w:t>Par la suite, d'autres sous-hypothèses ont été formulées afin de mieux étudier l'impact des différentes catégories de répondants sur la perception du risque. Cela a été fait avec l'objectif d'explorer s'il y a des tendances et des corrélations entre les différentes variables de contrôle.</w:t>
      </w:r>
    </w:p>
    <w:p w14:paraId="4457364A"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 xml:space="preserve">Les sous-hypothèses sont les </w:t>
      </w:r>
      <w:r w:rsidR="00872EB9" w:rsidRPr="001F7D30">
        <w:rPr>
          <w:rFonts w:asciiTheme="majorBidi" w:eastAsia="Times New Roman" w:hAnsiTheme="majorBidi" w:cstheme="majorBidi"/>
          <w:sz w:val="24"/>
          <w:szCs w:val="24"/>
        </w:rPr>
        <w:t>suivantes :</w:t>
      </w:r>
    </w:p>
    <w:p w14:paraId="60CA897A" w14:textId="77777777"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b/>
          <w:bCs/>
          <w:sz w:val="24"/>
          <w:szCs w:val="24"/>
        </w:rPr>
        <w:t>H1-</w:t>
      </w:r>
      <w:r w:rsidR="00872EB9" w:rsidRPr="001F7D30">
        <w:rPr>
          <w:rFonts w:asciiTheme="majorBidi" w:hAnsiTheme="majorBidi" w:cstheme="majorBidi"/>
          <w:b/>
          <w:bCs/>
          <w:sz w:val="24"/>
          <w:szCs w:val="24"/>
        </w:rPr>
        <w:t>1</w:t>
      </w:r>
      <w:r w:rsidR="00872EB9" w:rsidRPr="001F7D30">
        <w:rPr>
          <w:rFonts w:asciiTheme="majorBidi" w:hAnsiTheme="majorBidi" w:cstheme="majorBidi"/>
          <w:sz w:val="24"/>
          <w:szCs w:val="24"/>
        </w:rPr>
        <w:t xml:space="preserve"> :</w:t>
      </w:r>
      <w:r w:rsidRPr="001F7D30">
        <w:rPr>
          <w:rFonts w:asciiTheme="majorBidi" w:hAnsiTheme="majorBidi" w:cstheme="majorBidi"/>
          <w:sz w:val="24"/>
          <w:szCs w:val="24"/>
        </w:rPr>
        <w:t xml:space="preserve"> Il n'y a pas de différence statistiquement significative entre les répondants par rapport à leur perception des différents risques selon les régions.</w:t>
      </w:r>
    </w:p>
    <w:p w14:paraId="5508E9EE"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pacing w:val="-4"/>
          <w:sz w:val="24"/>
          <w:szCs w:val="24"/>
        </w:rPr>
      </w:pPr>
      <w:r w:rsidRPr="001F7D30">
        <w:rPr>
          <w:rFonts w:asciiTheme="majorBidi" w:eastAsia="Times New Roman" w:hAnsiTheme="majorBidi" w:cstheme="majorBidi"/>
          <w:spacing w:val="-4"/>
          <w:sz w:val="24"/>
          <w:szCs w:val="24"/>
        </w:rPr>
        <w:t xml:space="preserve">Comme on peut le voir dans le </w:t>
      </w:r>
      <w:r w:rsidRPr="001F7D30">
        <w:rPr>
          <w:rFonts w:asciiTheme="majorBidi" w:eastAsia="Times New Roman" w:hAnsiTheme="majorBidi" w:cstheme="majorBidi"/>
          <w:b/>
          <w:bCs/>
          <w:spacing w:val="-4"/>
          <w:sz w:val="24"/>
          <w:szCs w:val="24"/>
        </w:rPr>
        <w:t>tableau 29</w:t>
      </w:r>
      <w:r w:rsidRPr="001F7D30">
        <w:rPr>
          <w:rFonts w:asciiTheme="majorBidi" w:eastAsia="Times New Roman" w:hAnsiTheme="majorBidi" w:cstheme="majorBidi"/>
          <w:spacing w:val="-4"/>
          <w:sz w:val="24"/>
          <w:szCs w:val="24"/>
        </w:rPr>
        <w:t>, à α = 0,05, l'hypothèse nulle est acceptée et l'hypothèse alternative est rejetée, puisque les valeurs p testées sont supérieures à la valeur p critique pour tous les risques, impliquant qu’il n’existe pas de différences statistiquement significatives dans la perception des différents risques entre les différentes régions.</w:t>
      </w:r>
    </w:p>
    <w:p w14:paraId="52033CC8" w14:textId="77777777"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b/>
          <w:bCs/>
          <w:sz w:val="24"/>
          <w:szCs w:val="24"/>
        </w:rPr>
        <w:t>H1-</w:t>
      </w:r>
      <w:r w:rsidR="00872EB9" w:rsidRPr="001F7D30">
        <w:rPr>
          <w:rFonts w:asciiTheme="majorBidi" w:hAnsiTheme="majorBidi" w:cstheme="majorBidi"/>
          <w:b/>
          <w:bCs/>
          <w:sz w:val="24"/>
          <w:szCs w:val="24"/>
        </w:rPr>
        <w:t>2</w:t>
      </w:r>
      <w:r w:rsidR="00872EB9" w:rsidRPr="001F7D30">
        <w:rPr>
          <w:rFonts w:asciiTheme="majorBidi" w:hAnsiTheme="majorBidi" w:cstheme="majorBidi"/>
          <w:sz w:val="24"/>
          <w:szCs w:val="24"/>
        </w:rPr>
        <w:t xml:space="preserve"> :</w:t>
      </w:r>
      <w:r w:rsidRPr="001F7D30">
        <w:rPr>
          <w:rFonts w:asciiTheme="majorBidi" w:hAnsiTheme="majorBidi" w:cstheme="majorBidi"/>
          <w:sz w:val="24"/>
          <w:szCs w:val="24"/>
        </w:rPr>
        <w:t xml:space="preserve"> Il n'y a pas de différence statistiquement significative entre les répondants par rapport à leur perception des différents risques en fonction du poste du répondant.</w:t>
      </w:r>
    </w:p>
    <w:p w14:paraId="613F9F05"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À α = 0,05, l'hypothèse nulle est acceptée et l'hypothèse alternative est rejetée, puisque la valeur p testée est supérieure à la valeur p critique. Par conséquent, les résultats suggèrent que statistiquement, il n'y a aucune différence dans la perception du risque parmi les répondants en fonction de leur poste.</w:t>
      </w:r>
    </w:p>
    <w:p w14:paraId="60C45EE7"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z w:val="24"/>
          <w:szCs w:val="24"/>
        </w:rPr>
      </w:pPr>
      <w:r w:rsidRPr="001F7D30">
        <w:rPr>
          <w:rFonts w:asciiTheme="majorBidi" w:hAnsiTheme="majorBidi" w:cstheme="majorBidi"/>
          <w:b/>
          <w:bCs/>
          <w:sz w:val="24"/>
          <w:szCs w:val="24"/>
        </w:rPr>
        <w:t>H1-</w:t>
      </w:r>
      <w:r w:rsidR="00872EB9" w:rsidRPr="001F7D30">
        <w:rPr>
          <w:rFonts w:asciiTheme="majorBidi" w:hAnsiTheme="majorBidi" w:cstheme="majorBidi"/>
          <w:b/>
          <w:bCs/>
          <w:sz w:val="24"/>
          <w:szCs w:val="24"/>
        </w:rPr>
        <w:t>3</w:t>
      </w:r>
      <w:r w:rsidR="00872EB9" w:rsidRPr="001F7D30">
        <w:rPr>
          <w:rFonts w:asciiTheme="majorBidi" w:hAnsiTheme="majorBidi" w:cstheme="majorBidi"/>
          <w:sz w:val="24"/>
          <w:szCs w:val="24"/>
        </w:rPr>
        <w:t xml:space="preserve"> :</w:t>
      </w:r>
      <w:r w:rsidRPr="001F7D30">
        <w:rPr>
          <w:rFonts w:asciiTheme="majorBidi" w:hAnsiTheme="majorBidi" w:cstheme="majorBidi"/>
          <w:sz w:val="24"/>
          <w:szCs w:val="24"/>
        </w:rPr>
        <w:t xml:space="preserve"> Il n'y a pas de différence statistiquement significative entre les répondants par rapport à leur perception des différents risques selon les normes comptables.</w:t>
      </w:r>
    </w:p>
    <w:p w14:paraId="6879A6D2"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Le même résultat est obtenu. À α = 0,05, l'hypothèse nulle est acceptée et l'hypothèse alternative est rejetée, puisque la valeur p testée est supérieure à la valeur p critique. Donc, il n'y a aucune différence dans la perception du risque parmi les répondants en fonction des standards comptables utilisés dans leurs banques.</w:t>
      </w:r>
    </w:p>
    <w:p w14:paraId="1E01BD81" w14:textId="77777777"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b/>
          <w:bCs/>
          <w:sz w:val="24"/>
          <w:szCs w:val="24"/>
        </w:rPr>
        <w:t>H1-</w:t>
      </w:r>
      <w:r w:rsidR="00872EB9" w:rsidRPr="001F7D30">
        <w:rPr>
          <w:rFonts w:asciiTheme="majorBidi" w:hAnsiTheme="majorBidi" w:cstheme="majorBidi"/>
          <w:b/>
          <w:bCs/>
          <w:sz w:val="24"/>
          <w:szCs w:val="24"/>
        </w:rPr>
        <w:t>4</w:t>
      </w:r>
      <w:r w:rsidR="00872EB9" w:rsidRPr="001F7D30">
        <w:rPr>
          <w:rFonts w:asciiTheme="majorBidi" w:hAnsiTheme="majorBidi" w:cstheme="majorBidi"/>
          <w:sz w:val="24"/>
          <w:szCs w:val="24"/>
        </w:rPr>
        <w:t xml:space="preserve"> :</w:t>
      </w:r>
      <w:r w:rsidRPr="001F7D30">
        <w:rPr>
          <w:rFonts w:asciiTheme="majorBidi" w:hAnsiTheme="majorBidi" w:cstheme="majorBidi"/>
          <w:sz w:val="24"/>
          <w:szCs w:val="24"/>
        </w:rPr>
        <w:t xml:space="preserve"> Il n'y a pas de différence statistiquement significative entre les répondants par rapport à leur perception des différents risques en fonction de la nature de la BI.</w:t>
      </w:r>
    </w:p>
    <w:p w14:paraId="43CFB0F7" w14:textId="77777777"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spacing w:val="-10"/>
          <w:sz w:val="24"/>
          <w:szCs w:val="24"/>
        </w:rPr>
        <w:t>Pour cette hypothèse, les résultats du test K-W ont fourni des données dispersées. À α = 0,05,</w:t>
      </w:r>
      <w:r w:rsidRPr="001F7D30">
        <w:rPr>
          <w:rFonts w:asciiTheme="majorBidi" w:hAnsiTheme="majorBidi" w:cstheme="majorBidi"/>
          <w:sz w:val="24"/>
          <w:szCs w:val="24"/>
        </w:rPr>
        <w:t xml:space="preserve"> le risque de crédit, le risque de liquidité, le risque opérationnel, le risque commercial déplacé, le risque fiduciaire et le risque de réputation avaient des valeurs p significatives, tandis que les risques restants ne l'étaient pas.</w:t>
      </w:r>
    </w:p>
    <w:p w14:paraId="11C4C8ED" w14:textId="77777777"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sz w:val="24"/>
          <w:szCs w:val="24"/>
        </w:rPr>
        <w:t xml:space="preserve">Cependant, l'hypothèse nulle est acceptée et l'hypothèse alternative est rejetée, puisque la valeur p testée est inférieure à la valeur p critique pour la plupart des risques. </w:t>
      </w:r>
    </w:p>
    <w:p w14:paraId="455CF3BB" w14:textId="0A5C2AA3" w:rsidR="001F7D30" w:rsidRPr="00DE760B" w:rsidRDefault="00A90914" w:rsidP="00A90914">
      <w:pPr>
        <w:pStyle w:val="Titre3"/>
        <w:keepNext w:val="0"/>
        <w:keepLines w:val="0"/>
        <w:tabs>
          <w:tab w:val="left" w:pos="0"/>
          <w:tab w:val="left" w:pos="567"/>
        </w:tabs>
        <w:suppressAutoHyphens/>
        <w:spacing w:before="120" w:line="300" w:lineRule="auto"/>
        <w:ind w:left="709"/>
        <w:rPr>
          <w:sz w:val="28"/>
          <w:szCs w:val="28"/>
        </w:rPr>
      </w:pPr>
      <w:bookmarkStart w:id="1779" w:name="_Toc33263407"/>
      <w:bookmarkStart w:id="1780" w:name="_Toc37664670"/>
      <w:bookmarkStart w:id="1781" w:name="_Toc37666515"/>
      <w:bookmarkStart w:id="1782" w:name="_Toc54363412"/>
      <w:bookmarkStart w:id="1783" w:name="_Toc58606386"/>
      <w:bookmarkStart w:id="1784" w:name="_Toc63252091"/>
      <w:bookmarkStart w:id="1785" w:name="_Toc182298934"/>
      <w:r>
        <w:rPr>
          <w:sz w:val="28"/>
          <w:szCs w:val="28"/>
        </w:rPr>
        <w:t>3.2</w:t>
      </w:r>
      <w:r w:rsidR="00B10E91">
        <w:rPr>
          <w:sz w:val="28"/>
          <w:szCs w:val="28"/>
        </w:rPr>
        <w:t xml:space="preserve">- </w:t>
      </w:r>
      <w:r w:rsidR="001F7D30" w:rsidRPr="00DE760B">
        <w:rPr>
          <w:sz w:val="28"/>
          <w:szCs w:val="28"/>
        </w:rPr>
        <w:t>Intensité d’utilisation des produits financiers islamiques</w:t>
      </w:r>
      <w:bookmarkEnd w:id="1779"/>
      <w:bookmarkEnd w:id="1780"/>
      <w:bookmarkEnd w:id="1781"/>
      <w:bookmarkEnd w:id="1782"/>
      <w:bookmarkEnd w:id="1783"/>
      <w:bookmarkEnd w:id="1784"/>
      <w:bookmarkEnd w:id="1785"/>
    </w:p>
    <w:p w14:paraId="19FF194A" w14:textId="000627C0"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 xml:space="preserve">Les statistiques descriptives présentées dans le tableau 15 montrent que les contrats </w:t>
      </w:r>
      <w:r w:rsidRPr="001F7D30">
        <w:rPr>
          <w:rFonts w:asciiTheme="majorBidi" w:eastAsia="Times New Roman" w:hAnsiTheme="majorBidi" w:cstheme="majorBidi"/>
          <w:i/>
          <w:iCs/>
          <w:sz w:val="24"/>
          <w:szCs w:val="24"/>
        </w:rPr>
        <w:t>mourabaha</w:t>
      </w:r>
      <w:r w:rsidRPr="001F7D30">
        <w:rPr>
          <w:rFonts w:asciiTheme="majorBidi" w:eastAsia="Times New Roman" w:hAnsiTheme="majorBidi" w:cstheme="majorBidi"/>
          <w:sz w:val="24"/>
          <w:szCs w:val="24"/>
        </w:rPr>
        <w:t xml:space="preserve"> sont de loin les contrats les plus utilisés. Ce "syndrome </w:t>
      </w:r>
      <w:r w:rsidRPr="001F7D30">
        <w:rPr>
          <w:rFonts w:asciiTheme="majorBidi" w:eastAsia="Times New Roman" w:hAnsiTheme="majorBidi" w:cstheme="majorBidi"/>
          <w:i/>
          <w:iCs/>
          <w:sz w:val="24"/>
          <w:szCs w:val="24"/>
        </w:rPr>
        <w:t>mourabaha</w:t>
      </w:r>
      <w:r w:rsidRPr="001F7D30">
        <w:rPr>
          <w:rFonts w:asciiTheme="majorBidi" w:eastAsia="Times New Roman" w:hAnsiTheme="majorBidi" w:cstheme="majorBidi"/>
          <w:sz w:val="24"/>
          <w:szCs w:val="24"/>
        </w:rPr>
        <w:t xml:space="preserve">" a été critiqué par de nombreux chercheurs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1F7D30">
        <w:rPr>
          <w:rFonts w:asciiTheme="majorBidi" w:eastAsia="Times New Roman" w:hAnsiTheme="majorBidi" w:cstheme="majorBidi"/>
          <w:sz w:val="24"/>
          <w:szCs w:val="24"/>
        </w:rPr>
        <w:t xml:space="preserve">, mais reste malheureusement l'épine dorsale de la finance </w:t>
      </w:r>
      <w:r w:rsidR="00872EB9" w:rsidRPr="001F7D30">
        <w:rPr>
          <w:rFonts w:asciiTheme="majorBidi" w:eastAsia="Times New Roman" w:hAnsiTheme="majorBidi" w:cstheme="majorBidi"/>
          <w:sz w:val="24"/>
          <w:szCs w:val="24"/>
        </w:rPr>
        <w:t>islamique ;</w:t>
      </w:r>
      <w:r w:rsidRPr="001F7D30">
        <w:rPr>
          <w:rFonts w:asciiTheme="majorBidi" w:eastAsia="Times New Roman" w:hAnsiTheme="majorBidi" w:cstheme="majorBidi"/>
          <w:sz w:val="24"/>
          <w:szCs w:val="24"/>
        </w:rPr>
        <w:t xml:space="preserve"> il a été utilisé de manière intensive par les BI pour des transactions sur le marché monétaire, des investissements et des activités de vente au détail.</w:t>
      </w:r>
    </w:p>
    <w:p w14:paraId="6A79E2E1" w14:textId="6992D84E" w:rsidR="001F7D30" w:rsidRPr="001F7D30" w:rsidRDefault="001F7D30" w:rsidP="00D66FFE">
      <w:pPr>
        <w:tabs>
          <w:tab w:val="left" w:pos="0"/>
        </w:tabs>
        <w:suppressAutoHyphens/>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 xml:space="preserve">La faible moyenne pour la </w:t>
      </w:r>
      <w:r w:rsidRPr="001F7D30">
        <w:rPr>
          <w:rFonts w:asciiTheme="majorBidi" w:eastAsia="Times New Roman" w:hAnsiTheme="majorBidi" w:cstheme="majorBidi"/>
          <w:i/>
          <w:iCs/>
          <w:sz w:val="24"/>
          <w:szCs w:val="24"/>
        </w:rPr>
        <w:t>moucharaka</w:t>
      </w:r>
      <w:r w:rsidRPr="001F7D30">
        <w:rPr>
          <w:rFonts w:asciiTheme="majorBidi" w:eastAsia="Times New Roman" w:hAnsiTheme="majorBidi" w:cstheme="majorBidi"/>
          <w:sz w:val="24"/>
          <w:szCs w:val="24"/>
        </w:rPr>
        <w:t xml:space="preserve"> et la </w:t>
      </w:r>
      <w:r w:rsidR="006C1230" w:rsidRPr="001F7D30">
        <w:rPr>
          <w:rFonts w:asciiTheme="majorBidi" w:eastAsia="Times New Roman" w:hAnsiTheme="majorBidi" w:cstheme="majorBidi"/>
          <w:i/>
          <w:iCs/>
          <w:sz w:val="24"/>
          <w:szCs w:val="24"/>
        </w:rPr>
        <w:t>moudaraba</w:t>
      </w:r>
      <w:r w:rsidRPr="001F7D30">
        <w:rPr>
          <w:rFonts w:asciiTheme="majorBidi" w:eastAsia="Times New Roman" w:hAnsiTheme="majorBidi" w:cstheme="majorBidi"/>
          <w:sz w:val="24"/>
          <w:szCs w:val="24"/>
        </w:rPr>
        <w:t xml:space="preserve"> reflète la réticence des banques islamiques à détenir des actifs de partage des risques. De plus, le questionnaire a révélé que le </w:t>
      </w:r>
      <w:r w:rsidRPr="001F7D30">
        <w:rPr>
          <w:rFonts w:asciiTheme="majorBidi" w:eastAsia="Times New Roman" w:hAnsiTheme="majorBidi" w:cstheme="majorBidi"/>
          <w:i/>
          <w:iCs/>
          <w:sz w:val="24"/>
          <w:szCs w:val="24"/>
        </w:rPr>
        <w:t>salam</w:t>
      </w:r>
      <w:r w:rsidRPr="001F7D30">
        <w:rPr>
          <w:rFonts w:asciiTheme="majorBidi" w:eastAsia="Times New Roman" w:hAnsiTheme="majorBidi" w:cstheme="majorBidi"/>
          <w:sz w:val="24"/>
          <w:szCs w:val="24"/>
        </w:rPr>
        <w:t xml:space="preserve"> a encore un long chemin à parcourir avant d'être couramment utilisé par les IFI. Les réponses montrent clairement que les banques préfèrent en premier lieu les instruments financiers générés par la création de dette, les contrats de vente et les instruments de crédit-bail. </w:t>
      </w:r>
    </w:p>
    <w:p w14:paraId="6101B804" w14:textId="32C154B6"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hAnsiTheme="majorBidi" w:cstheme="majorBidi"/>
          <w:sz w:val="24"/>
          <w:szCs w:val="24"/>
        </w:rPr>
      </w:pPr>
      <w:r w:rsidRPr="001F7D30">
        <w:rPr>
          <w:rFonts w:asciiTheme="majorBidi" w:hAnsiTheme="majorBidi" w:cstheme="majorBidi"/>
          <w:sz w:val="24"/>
          <w:szCs w:val="24"/>
        </w:rPr>
        <w:t xml:space="preserve">Comme c’est montré dans le tableau 33, les pays de l’Europe et d’autres pays (principalement les pays de sud-est de l’Asie) utilisent respectivement la </w:t>
      </w:r>
      <w:r w:rsidR="006C1230" w:rsidRPr="001F7D30">
        <w:rPr>
          <w:rFonts w:asciiTheme="majorBidi" w:hAnsiTheme="majorBidi" w:cstheme="majorBidi"/>
          <w:i/>
          <w:iCs/>
          <w:sz w:val="24"/>
          <w:szCs w:val="24"/>
        </w:rPr>
        <w:t>moudaraba</w:t>
      </w:r>
      <w:r w:rsidRPr="001F7D30">
        <w:rPr>
          <w:rFonts w:asciiTheme="majorBidi" w:hAnsiTheme="majorBidi" w:cstheme="majorBidi"/>
          <w:sz w:val="24"/>
          <w:szCs w:val="24"/>
        </w:rPr>
        <w:t xml:space="preserve"> avec des moyennes de 27.65 et 32.50, alors que l'Afrique (17,71) et le Moyen-Orient (16,74) ont moins de recours à la </w:t>
      </w:r>
      <w:r w:rsidR="006C1230" w:rsidRPr="001F7D30">
        <w:rPr>
          <w:rFonts w:asciiTheme="majorBidi" w:hAnsiTheme="majorBidi" w:cstheme="majorBidi"/>
          <w:i/>
          <w:iCs/>
          <w:sz w:val="24"/>
          <w:szCs w:val="24"/>
        </w:rPr>
        <w:t>moudaraba</w:t>
      </w:r>
      <w:r w:rsidRPr="001F7D30">
        <w:rPr>
          <w:rFonts w:asciiTheme="majorBidi" w:hAnsiTheme="majorBidi" w:cstheme="majorBidi"/>
          <w:sz w:val="24"/>
          <w:szCs w:val="24"/>
        </w:rPr>
        <w:t xml:space="preserve">. Pour la </w:t>
      </w:r>
      <w:r w:rsidRPr="001F7D30">
        <w:rPr>
          <w:rFonts w:asciiTheme="majorBidi" w:hAnsiTheme="majorBidi" w:cstheme="majorBidi"/>
          <w:i/>
          <w:iCs/>
          <w:sz w:val="24"/>
          <w:szCs w:val="24"/>
        </w:rPr>
        <w:t>Moucharaka</w:t>
      </w:r>
      <w:r w:rsidRPr="001F7D30">
        <w:rPr>
          <w:rFonts w:asciiTheme="majorBidi" w:hAnsiTheme="majorBidi" w:cstheme="majorBidi"/>
          <w:sz w:val="24"/>
          <w:szCs w:val="24"/>
        </w:rPr>
        <w:t xml:space="preserve">, le même résultat est obtenu. Ce contrat est beaucoup plus utilisé en Europe et dans d’autres pays. Cela devrait s'expliquer par les économies des régions en question, qui sont caractérisées par le développement des marchés interbancaires et financiers, ce qui facilite le recours aux financements des investissements sur la base de </w:t>
      </w:r>
      <w:r w:rsidR="006C1230" w:rsidRPr="001F7D30">
        <w:rPr>
          <w:rFonts w:asciiTheme="majorBidi" w:hAnsiTheme="majorBidi" w:cstheme="majorBidi"/>
          <w:i/>
          <w:iCs/>
          <w:sz w:val="24"/>
          <w:szCs w:val="24"/>
        </w:rPr>
        <w:t>moudaraba</w:t>
      </w:r>
      <w:r w:rsidRPr="001F7D30">
        <w:rPr>
          <w:rFonts w:asciiTheme="majorBidi" w:hAnsiTheme="majorBidi" w:cstheme="majorBidi"/>
          <w:sz w:val="24"/>
          <w:szCs w:val="24"/>
        </w:rPr>
        <w:t xml:space="preserve"> et </w:t>
      </w:r>
      <w:r w:rsidRPr="001F7D30">
        <w:rPr>
          <w:rFonts w:asciiTheme="majorBidi" w:hAnsiTheme="majorBidi" w:cstheme="majorBidi"/>
          <w:i/>
          <w:iCs/>
          <w:sz w:val="24"/>
          <w:szCs w:val="24"/>
        </w:rPr>
        <w:t>moucharaka.</w:t>
      </w:r>
    </w:p>
    <w:p w14:paraId="19FD48F9" w14:textId="0F98977A" w:rsidR="001F7D30" w:rsidRPr="00B10E91" w:rsidRDefault="00A90914" w:rsidP="00A90914">
      <w:pPr>
        <w:pStyle w:val="Titre3"/>
        <w:keepNext w:val="0"/>
        <w:keepLines w:val="0"/>
        <w:tabs>
          <w:tab w:val="left" w:pos="0"/>
        </w:tabs>
        <w:suppressAutoHyphens/>
        <w:spacing w:before="100" w:beforeAutospacing="1" w:line="300" w:lineRule="auto"/>
        <w:ind w:firstLine="709"/>
        <w:rPr>
          <w:sz w:val="28"/>
          <w:szCs w:val="28"/>
        </w:rPr>
      </w:pPr>
      <w:bookmarkStart w:id="1786" w:name="_Toc33263408"/>
      <w:bookmarkStart w:id="1787" w:name="_Toc37664671"/>
      <w:bookmarkStart w:id="1788" w:name="_Toc37666516"/>
      <w:bookmarkStart w:id="1789" w:name="_Toc54363413"/>
      <w:bookmarkStart w:id="1790" w:name="_Toc58606387"/>
      <w:bookmarkStart w:id="1791" w:name="_Toc63252092"/>
      <w:bookmarkStart w:id="1792" w:name="_Toc182298935"/>
      <w:r>
        <w:rPr>
          <w:sz w:val="28"/>
          <w:szCs w:val="28"/>
        </w:rPr>
        <w:t xml:space="preserve">3.3- </w:t>
      </w:r>
      <w:r w:rsidR="001F7D30" w:rsidRPr="00B10E91">
        <w:rPr>
          <w:sz w:val="28"/>
          <w:szCs w:val="28"/>
        </w:rPr>
        <w:t>Perception des risques pour chaque mode de financement</w:t>
      </w:r>
      <w:bookmarkEnd w:id="1786"/>
      <w:bookmarkEnd w:id="1787"/>
      <w:bookmarkEnd w:id="1788"/>
      <w:bookmarkEnd w:id="1789"/>
      <w:bookmarkEnd w:id="1790"/>
      <w:bookmarkEnd w:id="1791"/>
      <w:bookmarkEnd w:id="1792"/>
    </w:p>
    <w:p w14:paraId="24E531EE" w14:textId="77777777" w:rsidR="001F7D30" w:rsidRPr="001F7D30" w:rsidRDefault="001F7D30" w:rsidP="00CB0FF1">
      <w:pPr>
        <w:pStyle w:val="Paragraphedeliste"/>
        <w:numPr>
          <w:ilvl w:val="0"/>
          <w:numId w:val="100"/>
        </w:numPr>
        <w:tabs>
          <w:tab w:val="left" w:pos="0"/>
        </w:tabs>
        <w:suppressAutoHyphens/>
        <w:spacing w:before="120" w:line="300" w:lineRule="auto"/>
        <w:ind w:left="284" w:firstLine="709"/>
        <w:contextualSpacing w:val="0"/>
        <w:rPr>
          <w:rFonts w:asciiTheme="majorBidi" w:hAnsiTheme="majorBidi" w:cstheme="majorBidi"/>
          <w:b/>
          <w:bCs/>
          <w:sz w:val="24"/>
          <w:szCs w:val="24"/>
        </w:rPr>
      </w:pPr>
      <w:r w:rsidRPr="001F7D30">
        <w:rPr>
          <w:rFonts w:asciiTheme="majorBidi" w:hAnsiTheme="majorBidi" w:cstheme="majorBidi"/>
          <w:b/>
          <w:bCs/>
          <w:sz w:val="24"/>
          <w:szCs w:val="24"/>
        </w:rPr>
        <w:t>Hypothèse 2</w:t>
      </w:r>
    </w:p>
    <w:p w14:paraId="07B93727" w14:textId="77777777"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sz w:val="24"/>
          <w:szCs w:val="24"/>
        </w:rPr>
        <w:t>Les contrats financiers participatifs sont perçus comme plus risqués que les contrats de financement à revenu fixe.</w:t>
      </w:r>
    </w:p>
    <w:p w14:paraId="678595C7" w14:textId="282127A6" w:rsidR="001F7D30" w:rsidRPr="00872EB9" w:rsidRDefault="001F7D30" w:rsidP="00D66FFE">
      <w:pPr>
        <w:tabs>
          <w:tab w:val="left" w:pos="0"/>
        </w:tabs>
        <w:suppressAutoHyphens/>
        <w:spacing w:before="120" w:line="300" w:lineRule="auto"/>
        <w:ind w:firstLine="709"/>
        <w:rPr>
          <w:rFonts w:asciiTheme="majorBidi" w:eastAsia="Times New Roman" w:hAnsiTheme="majorBidi" w:cstheme="majorBidi"/>
          <w:spacing w:val="-2"/>
          <w:sz w:val="24"/>
          <w:szCs w:val="24"/>
        </w:rPr>
      </w:pPr>
      <w:r w:rsidRPr="00872EB9">
        <w:rPr>
          <w:rFonts w:asciiTheme="majorBidi" w:eastAsia="Times New Roman" w:hAnsiTheme="majorBidi" w:cstheme="majorBidi"/>
          <w:spacing w:val="-2"/>
          <w:sz w:val="24"/>
          <w:szCs w:val="24"/>
        </w:rPr>
        <w:t>Pour cette hypothèse, on accepte l’hypothèse nulle. Les résultats présentés dans le tableau 16 indiquent que les modes de financement participatifs sont considérés comme les plus risqués (</w:t>
      </w:r>
      <w:r w:rsidR="006C1230">
        <w:rPr>
          <w:rFonts w:asciiTheme="majorBidi" w:eastAsia="Times New Roman" w:hAnsiTheme="majorBidi" w:cstheme="majorBidi"/>
          <w:i/>
          <w:iCs/>
          <w:spacing w:val="-2"/>
          <w:sz w:val="24"/>
          <w:szCs w:val="24"/>
        </w:rPr>
        <w:t>m</w:t>
      </w:r>
      <w:r w:rsidRPr="00872EB9">
        <w:rPr>
          <w:rFonts w:asciiTheme="majorBidi" w:eastAsia="Times New Roman" w:hAnsiTheme="majorBidi" w:cstheme="majorBidi"/>
          <w:i/>
          <w:iCs/>
          <w:spacing w:val="-2"/>
          <w:sz w:val="24"/>
          <w:szCs w:val="24"/>
        </w:rPr>
        <w:t>oucharaka</w:t>
      </w:r>
      <w:r w:rsidRPr="00872EB9">
        <w:rPr>
          <w:rFonts w:asciiTheme="majorBidi" w:eastAsia="Times New Roman" w:hAnsiTheme="majorBidi" w:cstheme="majorBidi"/>
          <w:spacing w:val="-2"/>
          <w:sz w:val="24"/>
          <w:szCs w:val="24"/>
        </w:rPr>
        <w:t xml:space="preserve"> avec une moyenne de 4.44 et la </w:t>
      </w:r>
      <w:r w:rsidR="006C1230" w:rsidRPr="00872EB9">
        <w:rPr>
          <w:rFonts w:asciiTheme="majorBidi" w:eastAsia="Times New Roman" w:hAnsiTheme="majorBidi" w:cstheme="majorBidi"/>
          <w:i/>
          <w:iCs/>
          <w:spacing w:val="-2"/>
          <w:sz w:val="24"/>
          <w:szCs w:val="24"/>
        </w:rPr>
        <w:t>moudaraba</w:t>
      </w:r>
      <w:r w:rsidRPr="00872EB9">
        <w:rPr>
          <w:rFonts w:asciiTheme="majorBidi" w:eastAsia="Times New Roman" w:hAnsiTheme="majorBidi" w:cstheme="majorBidi"/>
          <w:spacing w:val="-2"/>
          <w:sz w:val="24"/>
          <w:szCs w:val="24"/>
        </w:rPr>
        <w:t xml:space="preserve"> avec une moyenne égale à 4), tandis que les contrats à revenu fixe (tels que </w:t>
      </w:r>
      <w:r w:rsidR="006C1230">
        <w:rPr>
          <w:rFonts w:asciiTheme="majorBidi" w:eastAsia="Times New Roman" w:hAnsiTheme="majorBidi" w:cstheme="majorBidi"/>
          <w:i/>
          <w:iCs/>
          <w:spacing w:val="-2"/>
          <w:sz w:val="24"/>
          <w:szCs w:val="24"/>
        </w:rPr>
        <w:t>i</w:t>
      </w:r>
      <w:r w:rsidRPr="00872EB9">
        <w:rPr>
          <w:rFonts w:asciiTheme="majorBidi" w:eastAsia="Times New Roman" w:hAnsiTheme="majorBidi" w:cstheme="majorBidi"/>
          <w:i/>
          <w:iCs/>
          <w:spacing w:val="-2"/>
          <w:sz w:val="24"/>
          <w:szCs w:val="24"/>
        </w:rPr>
        <w:t>jara, istisna’</w:t>
      </w:r>
      <w:r w:rsidR="006C1230">
        <w:rPr>
          <w:rFonts w:asciiTheme="majorBidi" w:eastAsia="Times New Roman" w:hAnsiTheme="majorBidi" w:cstheme="majorBidi"/>
          <w:i/>
          <w:iCs/>
          <w:spacing w:val="-2"/>
          <w:sz w:val="24"/>
          <w:szCs w:val="24"/>
        </w:rPr>
        <w:t>a</w:t>
      </w:r>
      <w:r w:rsidRPr="00872EB9">
        <w:rPr>
          <w:rFonts w:asciiTheme="majorBidi" w:eastAsia="Times New Roman" w:hAnsiTheme="majorBidi" w:cstheme="majorBidi"/>
          <w:i/>
          <w:iCs/>
          <w:spacing w:val="-2"/>
          <w:sz w:val="24"/>
          <w:szCs w:val="24"/>
        </w:rPr>
        <w:t xml:space="preserve"> </w:t>
      </w:r>
      <w:r w:rsidRPr="00872EB9">
        <w:rPr>
          <w:rFonts w:asciiTheme="majorBidi" w:eastAsia="Times New Roman" w:hAnsiTheme="majorBidi" w:cstheme="majorBidi"/>
          <w:spacing w:val="-2"/>
          <w:sz w:val="24"/>
          <w:szCs w:val="24"/>
        </w:rPr>
        <w:t>et</w:t>
      </w:r>
      <w:r w:rsidRPr="00872EB9">
        <w:rPr>
          <w:rFonts w:asciiTheme="majorBidi" w:eastAsia="Times New Roman" w:hAnsiTheme="majorBidi" w:cstheme="majorBidi"/>
          <w:i/>
          <w:iCs/>
          <w:spacing w:val="-2"/>
          <w:sz w:val="24"/>
          <w:szCs w:val="24"/>
        </w:rPr>
        <w:t xml:space="preserve"> </w:t>
      </w:r>
      <w:r w:rsidR="006C1230">
        <w:rPr>
          <w:rFonts w:asciiTheme="majorBidi" w:eastAsia="Times New Roman" w:hAnsiTheme="majorBidi" w:cstheme="majorBidi"/>
          <w:i/>
          <w:iCs/>
          <w:spacing w:val="-2"/>
          <w:sz w:val="24"/>
          <w:szCs w:val="24"/>
        </w:rPr>
        <w:t>m</w:t>
      </w:r>
      <w:r w:rsidRPr="00872EB9">
        <w:rPr>
          <w:rFonts w:asciiTheme="majorBidi" w:eastAsia="Times New Roman" w:hAnsiTheme="majorBidi" w:cstheme="majorBidi"/>
          <w:i/>
          <w:iCs/>
          <w:spacing w:val="-2"/>
          <w:sz w:val="24"/>
          <w:szCs w:val="24"/>
        </w:rPr>
        <w:t>ourabaha</w:t>
      </w:r>
      <w:r w:rsidRPr="00872EB9">
        <w:rPr>
          <w:rFonts w:asciiTheme="majorBidi" w:eastAsia="Times New Roman" w:hAnsiTheme="majorBidi" w:cstheme="majorBidi"/>
          <w:spacing w:val="-2"/>
          <w:sz w:val="24"/>
          <w:szCs w:val="24"/>
        </w:rPr>
        <w:t>) sont perçus comme moins risqué. Le niveau de risque élevé lié aux contrats de partenariat peut être dû à l’absence de garanties sur les montants investis. En outre, ces instruments sont généralement de nature à long terme, contrairement aux contrats à revenu fixe ayant des échéances plus courtes et qui sont perçus sans risques grâce à certaines garanties</w:t>
      </w:r>
      <w:r w:rsidR="00872EB9" w:rsidRPr="00872EB9">
        <w:rPr>
          <w:rFonts w:asciiTheme="majorBidi" w:eastAsia="Times New Roman" w:hAnsiTheme="majorBidi" w:cstheme="majorBidi"/>
          <w:spacing w:val="-2"/>
          <w:sz w:val="24"/>
          <w:szCs w:val="24"/>
        </w:rPr>
        <w:t xml:space="preserve"> </w:t>
      </w:r>
      <w:r w:rsidR="00AC4110">
        <w:rPr>
          <w:rFonts w:asciiTheme="majorBidi" w:eastAsia="Times New Roman" w:hAnsiTheme="majorBidi" w:cstheme="majorBidi"/>
          <w:spacing w:val="-2"/>
          <w:sz w:val="24"/>
          <w:szCs w:val="24"/>
        </w:rPr>
        <w:t>« </w:t>
      </w:r>
      <w:r w:rsidR="00872EB9" w:rsidRPr="00872EB9">
        <w:rPr>
          <w:rFonts w:asciiTheme="majorBidi" w:eastAsia="Times New Roman" w:hAnsiTheme="majorBidi" w:cstheme="majorBidi"/>
          <w:spacing w:val="-2"/>
          <w:sz w:val="24"/>
          <w:szCs w:val="24"/>
        </w:rPr>
        <w:t>implicites</w:t>
      </w:r>
      <w:r w:rsidR="00AC4110">
        <w:rPr>
          <w:rFonts w:asciiTheme="majorBidi" w:eastAsia="Times New Roman" w:hAnsiTheme="majorBidi" w:cstheme="majorBidi"/>
          <w:spacing w:val="-2"/>
          <w:sz w:val="24"/>
          <w:szCs w:val="24"/>
        </w:rPr>
        <w:t> »</w:t>
      </w:r>
      <w:r w:rsidRPr="00872EB9">
        <w:rPr>
          <w:rFonts w:asciiTheme="majorBidi" w:eastAsia="Times New Roman" w:hAnsiTheme="majorBidi" w:cstheme="majorBidi"/>
          <w:spacing w:val="-2"/>
          <w:sz w:val="24"/>
          <w:szCs w:val="24"/>
        </w:rPr>
        <w:t>.</w:t>
      </w:r>
    </w:p>
    <w:p w14:paraId="0ACFDF7E" w14:textId="416D684A" w:rsidR="001F7D30" w:rsidRPr="001F7D30" w:rsidRDefault="001F7D30" w:rsidP="00D66FFE">
      <w:pPr>
        <w:pStyle w:val="Paragraphedeliste"/>
        <w:tabs>
          <w:tab w:val="left" w:pos="0"/>
        </w:tabs>
        <w:suppressAutoHyphens/>
        <w:spacing w:before="120" w:line="300" w:lineRule="auto"/>
        <w:ind w:left="709"/>
        <w:contextualSpacing w:val="0"/>
        <w:rPr>
          <w:rFonts w:asciiTheme="majorBidi" w:hAnsiTheme="majorBidi" w:cstheme="majorBidi"/>
          <w:spacing w:val="-6"/>
          <w:sz w:val="24"/>
          <w:szCs w:val="24"/>
        </w:rPr>
      </w:pPr>
      <w:r w:rsidRPr="001F7D30">
        <w:rPr>
          <w:rFonts w:asciiTheme="majorBidi" w:hAnsiTheme="majorBidi" w:cstheme="majorBidi"/>
          <w:b/>
          <w:bCs/>
          <w:sz w:val="24"/>
          <w:szCs w:val="24"/>
        </w:rPr>
        <w:t>H2-</w:t>
      </w:r>
      <w:r w:rsidR="00872EB9" w:rsidRPr="001F7D30">
        <w:rPr>
          <w:rFonts w:asciiTheme="majorBidi" w:hAnsiTheme="majorBidi" w:cstheme="majorBidi"/>
          <w:b/>
          <w:bCs/>
          <w:sz w:val="24"/>
          <w:szCs w:val="24"/>
        </w:rPr>
        <w:t>1</w:t>
      </w:r>
      <w:r w:rsidR="00872EB9" w:rsidRPr="001F7D30">
        <w:rPr>
          <w:rFonts w:asciiTheme="majorBidi" w:hAnsiTheme="majorBidi" w:cstheme="majorBidi"/>
          <w:sz w:val="24"/>
          <w:szCs w:val="24"/>
        </w:rPr>
        <w:t xml:space="preserve"> :</w:t>
      </w:r>
      <w:r w:rsidRPr="001F7D30">
        <w:rPr>
          <w:rFonts w:asciiTheme="majorBidi" w:hAnsiTheme="majorBidi" w:cstheme="majorBidi"/>
          <w:sz w:val="24"/>
          <w:szCs w:val="24"/>
        </w:rPr>
        <w:t xml:space="preserve"> </w:t>
      </w:r>
      <w:r w:rsidRPr="001F7D30">
        <w:rPr>
          <w:rFonts w:asciiTheme="majorBidi" w:hAnsiTheme="majorBidi" w:cstheme="majorBidi"/>
          <w:spacing w:val="-6"/>
          <w:sz w:val="24"/>
          <w:szCs w:val="24"/>
        </w:rPr>
        <w:t xml:space="preserve">Il n'y a pas de différences statistiquement significatives en ce qui concerne les perceptions à la </w:t>
      </w:r>
      <w:r w:rsidR="00872EB9" w:rsidRPr="001F7D30">
        <w:rPr>
          <w:rFonts w:asciiTheme="majorBidi" w:hAnsiTheme="majorBidi" w:cstheme="majorBidi"/>
          <w:spacing w:val="-6"/>
          <w:sz w:val="24"/>
          <w:szCs w:val="24"/>
        </w:rPr>
        <w:t>gravité des</w:t>
      </w:r>
      <w:r w:rsidRPr="001F7D30">
        <w:rPr>
          <w:rFonts w:asciiTheme="majorBidi" w:hAnsiTheme="majorBidi" w:cstheme="majorBidi"/>
          <w:spacing w:val="-6"/>
          <w:sz w:val="24"/>
          <w:szCs w:val="24"/>
        </w:rPr>
        <w:t xml:space="preserve"> risques des différents produits f</w:t>
      </w:r>
      <w:r w:rsidR="006C1230">
        <w:rPr>
          <w:rFonts w:asciiTheme="majorBidi" w:hAnsiTheme="majorBidi" w:cstheme="majorBidi"/>
          <w:spacing w:val="-6"/>
          <w:sz w:val="24"/>
          <w:szCs w:val="24"/>
        </w:rPr>
        <w:t>i</w:t>
      </w:r>
      <w:r w:rsidRPr="001F7D30">
        <w:rPr>
          <w:rFonts w:asciiTheme="majorBidi" w:hAnsiTheme="majorBidi" w:cstheme="majorBidi"/>
          <w:spacing w:val="-6"/>
          <w:sz w:val="24"/>
          <w:szCs w:val="24"/>
        </w:rPr>
        <w:t>nanciers islamiques selon la région</w:t>
      </w:r>
      <w:r w:rsidRPr="001F7D30">
        <w:rPr>
          <w:rFonts w:asciiTheme="majorBidi" w:hAnsiTheme="majorBidi" w:cstheme="majorBidi"/>
          <w:sz w:val="24"/>
          <w:szCs w:val="24"/>
        </w:rPr>
        <w:t>.</w:t>
      </w:r>
    </w:p>
    <w:p w14:paraId="63BDA356" w14:textId="30E1475A" w:rsidR="001F7D30" w:rsidRPr="001F7D30" w:rsidRDefault="001F7D30" w:rsidP="00D66FFE">
      <w:pPr>
        <w:tabs>
          <w:tab w:val="left" w:pos="0"/>
        </w:tabs>
        <w:suppressAutoHyphens/>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Les résultats des tests K-W selon la</w:t>
      </w:r>
      <w:r w:rsidR="004443C5" w:rsidRPr="001F7D30">
        <w:rPr>
          <w:rFonts w:asciiTheme="majorBidi" w:eastAsia="Times New Roman" w:hAnsiTheme="majorBidi" w:cstheme="majorBidi"/>
          <w:sz w:val="24"/>
          <w:szCs w:val="24"/>
        </w:rPr>
        <w:t xml:space="preserve"> </w:t>
      </w:r>
      <w:r w:rsidR="00A90914">
        <w:rPr>
          <w:rFonts w:asciiTheme="majorBidi" w:eastAsia="Times New Roman" w:hAnsiTheme="majorBidi" w:cstheme="majorBidi"/>
          <w:sz w:val="24"/>
          <w:szCs w:val="24"/>
        </w:rPr>
        <w:t>« </w:t>
      </w:r>
      <w:r w:rsidR="004443C5" w:rsidRPr="001F7D30">
        <w:rPr>
          <w:rFonts w:asciiTheme="majorBidi" w:eastAsia="Times New Roman" w:hAnsiTheme="majorBidi" w:cstheme="majorBidi"/>
          <w:sz w:val="24"/>
          <w:szCs w:val="24"/>
        </w:rPr>
        <w:t>région</w:t>
      </w:r>
      <w:r w:rsidR="00A90914">
        <w:rPr>
          <w:rFonts w:asciiTheme="majorBidi" w:eastAsia="Times New Roman" w:hAnsiTheme="majorBidi" w:cstheme="majorBidi"/>
          <w:sz w:val="24"/>
          <w:szCs w:val="24"/>
        </w:rPr>
        <w:t> »</w:t>
      </w:r>
      <w:r w:rsidRPr="001F7D30">
        <w:rPr>
          <w:rFonts w:asciiTheme="majorBidi" w:eastAsia="Times New Roman" w:hAnsiTheme="majorBidi" w:cstheme="majorBidi"/>
          <w:sz w:val="24"/>
          <w:szCs w:val="24"/>
        </w:rPr>
        <w:t xml:space="preserve">, illustrés au tableau 34 indiquent qu’il </w:t>
      </w:r>
      <w:r w:rsidR="004443C5" w:rsidRPr="001F7D30">
        <w:rPr>
          <w:rFonts w:asciiTheme="majorBidi" w:eastAsia="Times New Roman" w:hAnsiTheme="majorBidi" w:cstheme="majorBidi"/>
          <w:sz w:val="24"/>
          <w:szCs w:val="24"/>
        </w:rPr>
        <w:t>n’y</w:t>
      </w:r>
      <w:r w:rsidRPr="001F7D30">
        <w:rPr>
          <w:rFonts w:asciiTheme="majorBidi" w:eastAsia="Times New Roman" w:hAnsiTheme="majorBidi" w:cstheme="majorBidi"/>
          <w:sz w:val="24"/>
          <w:szCs w:val="24"/>
        </w:rPr>
        <w:t xml:space="preserve"> a </w:t>
      </w:r>
      <w:r w:rsidR="004443C5" w:rsidRPr="001F7D30">
        <w:rPr>
          <w:rFonts w:asciiTheme="majorBidi" w:eastAsia="Times New Roman" w:hAnsiTheme="majorBidi" w:cstheme="majorBidi"/>
          <w:sz w:val="24"/>
          <w:szCs w:val="24"/>
        </w:rPr>
        <w:t>pas des</w:t>
      </w:r>
      <w:r w:rsidRPr="001F7D30">
        <w:rPr>
          <w:rFonts w:asciiTheme="majorBidi" w:eastAsia="Times New Roman" w:hAnsiTheme="majorBidi" w:cstheme="majorBidi"/>
          <w:sz w:val="24"/>
          <w:szCs w:val="24"/>
        </w:rPr>
        <w:t xml:space="preserve"> différences statistiquement significatives dans toutes les régions. </w:t>
      </w:r>
    </w:p>
    <w:p w14:paraId="7D300DC7" w14:textId="77777777" w:rsidR="001F7D30" w:rsidRPr="001F7D30" w:rsidRDefault="001F7D30" w:rsidP="00D66FFE">
      <w:pPr>
        <w:tabs>
          <w:tab w:val="left" w:pos="0"/>
        </w:tabs>
        <w:suppressAutoHyphens/>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Comme décrit dans le tableau 34, à α = 0,05, l'hypothèse nulle est acceptée, puisque les résultats du test K-W ont enregistré des valeurs supérieures à la valeur p critique.</w:t>
      </w:r>
    </w:p>
    <w:p w14:paraId="378D8EF1" w14:textId="1D46BEA5"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pacing w:val="-6"/>
          <w:sz w:val="24"/>
          <w:szCs w:val="24"/>
        </w:rPr>
      </w:pPr>
      <w:r w:rsidRPr="001F7D30">
        <w:rPr>
          <w:rFonts w:asciiTheme="majorBidi" w:hAnsiTheme="majorBidi" w:cstheme="majorBidi"/>
          <w:b/>
          <w:bCs/>
          <w:spacing w:val="-6"/>
          <w:sz w:val="24"/>
          <w:szCs w:val="24"/>
        </w:rPr>
        <w:t>H2-</w:t>
      </w:r>
      <w:r w:rsidR="004443C5" w:rsidRPr="001F7D30">
        <w:rPr>
          <w:rFonts w:asciiTheme="majorBidi" w:hAnsiTheme="majorBidi" w:cstheme="majorBidi"/>
          <w:b/>
          <w:bCs/>
          <w:spacing w:val="-6"/>
          <w:sz w:val="24"/>
          <w:szCs w:val="24"/>
        </w:rPr>
        <w:t>2</w:t>
      </w:r>
      <w:r w:rsidR="004443C5" w:rsidRPr="001F7D30">
        <w:rPr>
          <w:rFonts w:asciiTheme="majorBidi" w:hAnsiTheme="majorBidi" w:cstheme="majorBidi"/>
          <w:spacing w:val="-6"/>
          <w:sz w:val="24"/>
          <w:szCs w:val="24"/>
        </w:rPr>
        <w:t xml:space="preserve"> :</w:t>
      </w:r>
      <w:r w:rsidRPr="001F7D30">
        <w:rPr>
          <w:rFonts w:asciiTheme="majorBidi" w:hAnsiTheme="majorBidi" w:cstheme="majorBidi"/>
          <w:spacing w:val="-6"/>
          <w:sz w:val="24"/>
          <w:szCs w:val="24"/>
        </w:rPr>
        <w:t xml:space="preserve"> Il n'y a pas de différences statistiquement significatives en ce qui concerne les perceptions à la </w:t>
      </w:r>
      <w:r w:rsidR="004443C5" w:rsidRPr="001F7D30">
        <w:rPr>
          <w:rFonts w:asciiTheme="majorBidi" w:hAnsiTheme="majorBidi" w:cstheme="majorBidi"/>
          <w:spacing w:val="-6"/>
          <w:sz w:val="24"/>
          <w:szCs w:val="24"/>
        </w:rPr>
        <w:t>gravité des</w:t>
      </w:r>
      <w:r w:rsidRPr="001F7D30">
        <w:rPr>
          <w:rFonts w:asciiTheme="majorBidi" w:hAnsiTheme="majorBidi" w:cstheme="majorBidi"/>
          <w:spacing w:val="-6"/>
          <w:sz w:val="24"/>
          <w:szCs w:val="24"/>
        </w:rPr>
        <w:t xml:space="preserve"> risques des différents produits f</w:t>
      </w:r>
      <w:r w:rsidR="006C1230">
        <w:rPr>
          <w:rFonts w:asciiTheme="majorBidi" w:hAnsiTheme="majorBidi" w:cstheme="majorBidi"/>
          <w:spacing w:val="-6"/>
          <w:sz w:val="24"/>
          <w:szCs w:val="24"/>
        </w:rPr>
        <w:t>i</w:t>
      </w:r>
      <w:r w:rsidRPr="001F7D30">
        <w:rPr>
          <w:rFonts w:asciiTheme="majorBidi" w:hAnsiTheme="majorBidi" w:cstheme="majorBidi"/>
          <w:spacing w:val="-6"/>
          <w:sz w:val="24"/>
          <w:szCs w:val="24"/>
        </w:rPr>
        <w:t>nanciers islamiques selon le poste des répondants.</w:t>
      </w:r>
    </w:p>
    <w:p w14:paraId="4CB192EF" w14:textId="77777777" w:rsidR="001F7D30" w:rsidRPr="001F7D30" w:rsidRDefault="001F7D30" w:rsidP="00D66FFE">
      <w:pPr>
        <w:tabs>
          <w:tab w:val="left" w:pos="0"/>
        </w:tabs>
        <w:suppressAutoHyphens/>
        <w:spacing w:before="120" w:line="300" w:lineRule="auto"/>
        <w:ind w:firstLine="709"/>
        <w:rPr>
          <w:rFonts w:asciiTheme="majorBidi" w:eastAsia="Times New Roman" w:hAnsiTheme="majorBidi" w:cstheme="majorBidi"/>
          <w:sz w:val="24"/>
          <w:szCs w:val="24"/>
        </w:rPr>
      </w:pPr>
      <w:r w:rsidRPr="001F7D30">
        <w:rPr>
          <w:rFonts w:asciiTheme="majorBidi" w:eastAsia="Times New Roman" w:hAnsiTheme="majorBidi" w:cstheme="majorBidi"/>
          <w:sz w:val="24"/>
          <w:szCs w:val="24"/>
        </w:rPr>
        <w:t xml:space="preserve">Pour cette hypothèse, les résultats du test KW acceptent l'hypothèse nulle et rejettent l'hypothèse alternative, puisque tous les modes de financement islamique ont enregistré une p-valeur non significative supérieure </w:t>
      </w:r>
      <w:r w:rsidR="004443C5" w:rsidRPr="001F7D30">
        <w:rPr>
          <w:rFonts w:asciiTheme="majorBidi" w:eastAsia="Times New Roman" w:hAnsiTheme="majorBidi" w:cstheme="majorBidi"/>
          <w:sz w:val="24"/>
          <w:szCs w:val="24"/>
        </w:rPr>
        <w:t>à la</w:t>
      </w:r>
      <w:r w:rsidRPr="001F7D30">
        <w:rPr>
          <w:rFonts w:asciiTheme="majorBidi" w:eastAsia="Times New Roman" w:hAnsiTheme="majorBidi" w:cstheme="majorBidi"/>
          <w:sz w:val="24"/>
          <w:szCs w:val="24"/>
        </w:rPr>
        <w:t xml:space="preserve"> valeur-p critique de 0,05. Par conséquent, on peut conclure que statistiquement, il n'y a pas de différence significative dans le niveau de perception du risque concernant les contrats de finance islamique selon le poste du répondant.</w:t>
      </w:r>
    </w:p>
    <w:p w14:paraId="535EBD6E" w14:textId="77777777"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sz w:val="24"/>
          <w:szCs w:val="24"/>
        </w:rPr>
        <w:t xml:space="preserve">Pour la sous-hypothèse </w:t>
      </w:r>
      <w:r w:rsidRPr="001F7D30">
        <w:rPr>
          <w:rFonts w:asciiTheme="majorBidi" w:hAnsiTheme="majorBidi" w:cstheme="majorBidi"/>
          <w:b/>
          <w:bCs/>
          <w:sz w:val="24"/>
          <w:szCs w:val="24"/>
        </w:rPr>
        <w:t xml:space="preserve">H2-3, </w:t>
      </w:r>
      <w:r w:rsidRPr="001F7D30">
        <w:rPr>
          <w:rFonts w:asciiTheme="majorBidi" w:hAnsiTheme="majorBidi" w:cstheme="majorBidi"/>
          <w:sz w:val="24"/>
          <w:szCs w:val="24"/>
        </w:rPr>
        <w:t xml:space="preserve">nous acceptons l’hypothèse alternative, puisque la valeur de P pour la </w:t>
      </w:r>
      <w:r w:rsidRPr="001F7D30">
        <w:rPr>
          <w:rFonts w:asciiTheme="majorBidi" w:hAnsiTheme="majorBidi" w:cstheme="majorBidi"/>
          <w:i/>
          <w:iCs/>
          <w:sz w:val="24"/>
          <w:szCs w:val="24"/>
        </w:rPr>
        <w:t>mourabaha</w:t>
      </w:r>
      <w:r w:rsidRPr="001F7D30">
        <w:rPr>
          <w:rFonts w:asciiTheme="majorBidi" w:hAnsiTheme="majorBidi" w:cstheme="majorBidi"/>
          <w:sz w:val="24"/>
          <w:szCs w:val="24"/>
        </w:rPr>
        <w:t xml:space="preserve"> est inférieure à la valeur-p critique de 0,05.</w:t>
      </w:r>
    </w:p>
    <w:p w14:paraId="7496004C" w14:textId="746DC766" w:rsidR="001F7D30" w:rsidRPr="00DE760B" w:rsidRDefault="00A90914" w:rsidP="00A90914">
      <w:pPr>
        <w:pStyle w:val="Titre3"/>
        <w:keepNext w:val="0"/>
        <w:keepLines w:val="0"/>
        <w:tabs>
          <w:tab w:val="left" w:pos="0"/>
        </w:tabs>
        <w:suppressAutoHyphens/>
        <w:spacing w:before="100" w:beforeAutospacing="1" w:line="300" w:lineRule="auto"/>
        <w:ind w:firstLine="709"/>
        <w:rPr>
          <w:sz w:val="28"/>
          <w:szCs w:val="28"/>
        </w:rPr>
      </w:pPr>
      <w:bookmarkStart w:id="1793" w:name="_Toc33263409"/>
      <w:bookmarkStart w:id="1794" w:name="_Toc37664672"/>
      <w:bookmarkStart w:id="1795" w:name="_Toc37666517"/>
      <w:bookmarkStart w:id="1796" w:name="_Toc54363414"/>
      <w:bookmarkStart w:id="1797" w:name="_Toc58606388"/>
      <w:bookmarkStart w:id="1798" w:name="_Toc63252093"/>
      <w:bookmarkStart w:id="1799" w:name="_Toc182298936"/>
      <w:r>
        <w:rPr>
          <w:sz w:val="28"/>
          <w:szCs w:val="28"/>
        </w:rPr>
        <w:t>3.4</w:t>
      </w:r>
      <w:r w:rsidR="00B10E91">
        <w:rPr>
          <w:sz w:val="28"/>
          <w:szCs w:val="28"/>
        </w:rPr>
        <w:t xml:space="preserve">- </w:t>
      </w:r>
      <w:r w:rsidR="001F7D30" w:rsidRPr="00DE760B">
        <w:rPr>
          <w:sz w:val="28"/>
          <w:szCs w:val="28"/>
        </w:rPr>
        <w:t>Pratiques actuelles des BI</w:t>
      </w:r>
      <w:bookmarkEnd w:id="1793"/>
      <w:bookmarkEnd w:id="1794"/>
      <w:bookmarkEnd w:id="1795"/>
      <w:bookmarkEnd w:id="1796"/>
      <w:bookmarkEnd w:id="1797"/>
      <w:bookmarkEnd w:id="1798"/>
      <w:bookmarkEnd w:id="1799"/>
    </w:p>
    <w:p w14:paraId="39964D8F" w14:textId="7F7DD87D"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sz w:val="24"/>
          <w:szCs w:val="24"/>
        </w:rPr>
        <w:t>La plupart des personnes interrogées pensent que les BI devraient cesser d'imiter la finance conventionnelle. Sinon, Elles vont subir le même scénario arrivé aux banques conventionnelles durant ces dernières années (</w:t>
      </w:r>
      <w:r w:rsidR="006C1230">
        <w:rPr>
          <w:rFonts w:asciiTheme="majorBidi" w:hAnsiTheme="majorBidi" w:cstheme="majorBidi"/>
          <w:sz w:val="24"/>
          <w:szCs w:val="24"/>
        </w:rPr>
        <w:t>c</w:t>
      </w:r>
      <w:r w:rsidRPr="001F7D30">
        <w:rPr>
          <w:rFonts w:asciiTheme="majorBidi" w:hAnsiTheme="majorBidi" w:cstheme="majorBidi"/>
          <w:sz w:val="24"/>
          <w:szCs w:val="24"/>
        </w:rPr>
        <w:t>rises financières successives).</w:t>
      </w:r>
    </w:p>
    <w:p w14:paraId="562A3ACB" w14:textId="77777777"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sz w:val="24"/>
          <w:szCs w:val="24"/>
        </w:rPr>
        <w:t>Les classements moyens ont révélé que les banquiers islamiques sont plus critiques des pratiques actuelles des BI que leurs homologues conventionnels. Ceci pourrait s'expliquer par le fait que les banquiers islamiques sont plus éduqués sur les principes sous-jacents de la finance islamique et ont une meilleure compréhension des structures actuelles que les banquiers conventionnels.</w:t>
      </w:r>
    </w:p>
    <w:p w14:paraId="2D1E6167" w14:textId="7A21A4E6" w:rsidR="001F7D30" w:rsidRPr="001F7D30" w:rsidRDefault="001F7D30" w:rsidP="00D66FFE">
      <w:pPr>
        <w:tabs>
          <w:tab w:val="left" w:pos="0"/>
        </w:tabs>
        <w:suppressAutoHyphens/>
        <w:spacing w:before="120" w:line="300" w:lineRule="auto"/>
        <w:ind w:firstLine="709"/>
        <w:rPr>
          <w:rFonts w:asciiTheme="majorBidi" w:hAnsiTheme="majorBidi" w:cstheme="majorBidi"/>
          <w:sz w:val="24"/>
          <w:szCs w:val="24"/>
        </w:rPr>
      </w:pPr>
      <w:r w:rsidRPr="001F7D30">
        <w:rPr>
          <w:rFonts w:asciiTheme="majorBidi" w:hAnsiTheme="majorBidi" w:cstheme="majorBidi"/>
          <w:sz w:val="24"/>
          <w:szCs w:val="24"/>
        </w:rPr>
        <w:t xml:space="preserve">Les résultats étaient </w:t>
      </w:r>
      <w:r w:rsidR="004443C5" w:rsidRPr="001F7D30">
        <w:rPr>
          <w:rFonts w:asciiTheme="majorBidi" w:hAnsiTheme="majorBidi" w:cstheme="majorBidi"/>
          <w:sz w:val="24"/>
          <w:szCs w:val="24"/>
        </w:rPr>
        <w:t>significatifs</w:t>
      </w:r>
      <w:r w:rsidRPr="001F7D30">
        <w:rPr>
          <w:rFonts w:asciiTheme="majorBidi" w:hAnsiTheme="majorBidi" w:cstheme="majorBidi"/>
          <w:sz w:val="24"/>
          <w:szCs w:val="24"/>
        </w:rPr>
        <w:t xml:space="preserve"> saufs pour la 3</w:t>
      </w:r>
      <w:r w:rsidRPr="001F7D30">
        <w:rPr>
          <w:rFonts w:asciiTheme="majorBidi" w:hAnsiTheme="majorBidi" w:cstheme="majorBidi"/>
          <w:sz w:val="24"/>
          <w:szCs w:val="24"/>
          <w:vertAlign w:val="superscript"/>
        </w:rPr>
        <w:t>ème</w:t>
      </w:r>
      <w:r w:rsidRPr="001F7D30">
        <w:rPr>
          <w:rFonts w:asciiTheme="majorBidi" w:hAnsiTheme="majorBidi" w:cstheme="majorBidi"/>
          <w:sz w:val="24"/>
          <w:szCs w:val="24"/>
        </w:rPr>
        <w:t xml:space="preserve"> déclaration selon la nature de l’institution financière. Ceci montre que les répondants sont d’accord sur les déclarations et qui représentent les causes de réticence des BI des produits </w:t>
      </w:r>
      <w:r w:rsidR="006C1230">
        <w:rPr>
          <w:rFonts w:asciiTheme="majorBidi" w:hAnsiTheme="majorBidi" w:cstheme="majorBidi"/>
          <w:i/>
          <w:iCs/>
          <w:sz w:val="24"/>
          <w:szCs w:val="24"/>
        </w:rPr>
        <w:t>m</w:t>
      </w:r>
      <w:r w:rsidRPr="001F7D30">
        <w:rPr>
          <w:rFonts w:asciiTheme="majorBidi" w:hAnsiTheme="majorBidi" w:cstheme="majorBidi"/>
          <w:i/>
          <w:iCs/>
          <w:sz w:val="24"/>
          <w:szCs w:val="24"/>
        </w:rPr>
        <w:t>oucharaka</w:t>
      </w:r>
      <w:r w:rsidRPr="001F7D30">
        <w:rPr>
          <w:rFonts w:asciiTheme="majorBidi" w:hAnsiTheme="majorBidi" w:cstheme="majorBidi"/>
          <w:sz w:val="24"/>
          <w:szCs w:val="24"/>
        </w:rPr>
        <w:t xml:space="preserve"> et </w:t>
      </w:r>
      <w:r w:rsidR="006C1230" w:rsidRPr="001F7D30">
        <w:rPr>
          <w:rFonts w:asciiTheme="majorBidi" w:hAnsiTheme="majorBidi" w:cstheme="majorBidi"/>
          <w:i/>
          <w:iCs/>
          <w:sz w:val="24"/>
          <w:szCs w:val="24"/>
        </w:rPr>
        <w:t>moudaraba</w:t>
      </w:r>
      <w:r w:rsidRPr="001F7D30">
        <w:rPr>
          <w:rFonts w:asciiTheme="majorBidi" w:hAnsiTheme="majorBidi" w:cstheme="majorBidi"/>
          <w:sz w:val="24"/>
          <w:szCs w:val="24"/>
        </w:rPr>
        <w:t xml:space="preserve"> donc ces causes sont significatives.</w:t>
      </w:r>
    </w:p>
    <w:p w14:paraId="018B763A" w14:textId="59339DB5" w:rsidR="001F7D30" w:rsidRPr="00DE760B" w:rsidRDefault="00A90914" w:rsidP="00A421D3">
      <w:pPr>
        <w:pStyle w:val="Titre3"/>
        <w:keepNext w:val="0"/>
        <w:keepLines w:val="0"/>
        <w:tabs>
          <w:tab w:val="left" w:pos="0"/>
          <w:tab w:val="left" w:pos="709"/>
        </w:tabs>
        <w:suppressAutoHyphens/>
        <w:spacing w:before="100" w:beforeAutospacing="1" w:line="300" w:lineRule="auto"/>
        <w:ind w:firstLine="709"/>
        <w:rPr>
          <w:sz w:val="28"/>
          <w:szCs w:val="28"/>
        </w:rPr>
      </w:pPr>
      <w:bookmarkStart w:id="1800" w:name="_Toc33263410"/>
      <w:bookmarkStart w:id="1801" w:name="_Toc37664673"/>
      <w:bookmarkStart w:id="1802" w:name="_Toc37666518"/>
      <w:bookmarkStart w:id="1803" w:name="_Toc54363415"/>
      <w:bookmarkStart w:id="1804" w:name="_Toc58606389"/>
      <w:bookmarkStart w:id="1805" w:name="_Toc63252094"/>
      <w:bookmarkStart w:id="1806" w:name="_Toc182298937"/>
      <w:r>
        <w:rPr>
          <w:sz w:val="28"/>
          <w:szCs w:val="28"/>
        </w:rPr>
        <w:t>3.5</w:t>
      </w:r>
      <w:r w:rsidR="00B10E91">
        <w:rPr>
          <w:sz w:val="28"/>
          <w:szCs w:val="28"/>
        </w:rPr>
        <w:t xml:space="preserve">- </w:t>
      </w:r>
      <w:r w:rsidR="001F7D30" w:rsidRPr="00DE760B">
        <w:rPr>
          <w:sz w:val="28"/>
          <w:szCs w:val="28"/>
        </w:rPr>
        <w:t>Perceptions sur l'adéquation des fonds propres pour les BI</w:t>
      </w:r>
      <w:bookmarkEnd w:id="1800"/>
      <w:bookmarkEnd w:id="1801"/>
      <w:bookmarkEnd w:id="1802"/>
      <w:bookmarkEnd w:id="1803"/>
      <w:bookmarkEnd w:id="1804"/>
      <w:bookmarkEnd w:id="1805"/>
      <w:bookmarkEnd w:id="1806"/>
    </w:p>
    <w:p w14:paraId="5E433F53" w14:textId="77777777" w:rsidR="001F7D30" w:rsidRPr="001F7D30" w:rsidRDefault="001F7D30" w:rsidP="00D66FFE">
      <w:pPr>
        <w:tabs>
          <w:tab w:val="left" w:pos="0"/>
        </w:tabs>
        <w:suppressAutoHyphens/>
        <w:spacing w:before="120" w:line="300" w:lineRule="auto"/>
        <w:ind w:firstLine="709"/>
        <w:rPr>
          <w:rFonts w:asciiTheme="majorBidi" w:hAnsiTheme="majorBidi" w:cstheme="majorBidi"/>
          <w:sz w:val="24"/>
          <w:szCs w:val="24"/>
          <w:shd w:val="clear" w:color="auto" w:fill="FFFFFF"/>
        </w:rPr>
      </w:pPr>
      <w:r w:rsidRPr="001F7D30">
        <w:rPr>
          <w:rFonts w:asciiTheme="majorBidi" w:hAnsiTheme="majorBidi" w:cstheme="majorBidi"/>
          <w:sz w:val="24"/>
          <w:szCs w:val="24"/>
          <w:shd w:val="clear" w:color="auto" w:fill="FFFFFF"/>
        </w:rPr>
        <w:t>Les réponses à la question 16 montrent que les répondants tendent beaucoup plus vers la deuxième proposition (39.10%) c’est-à-dire que les BI doivent avoir des exigences en fonds propres plus élevées que celles des banques conventionnelles, alors que 35.90</w:t>
      </w:r>
      <w:r w:rsidR="004443C5" w:rsidRPr="001F7D30">
        <w:rPr>
          <w:rFonts w:asciiTheme="majorBidi" w:hAnsiTheme="majorBidi" w:cstheme="majorBidi"/>
          <w:sz w:val="24"/>
          <w:szCs w:val="24"/>
          <w:shd w:val="clear" w:color="auto" w:fill="FFFFFF"/>
        </w:rPr>
        <w:t>% des</w:t>
      </w:r>
      <w:r w:rsidRPr="001F7D30">
        <w:rPr>
          <w:rFonts w:asciiTheme="majorBidi" w:hAnsiTheme="majorBidi" w:cstheme="majorBidi"/>
          <w:sz w:val="24"/>
          <w:szCs w:val="24"/>
          <w:shd w:val="clear" w:color="auto" w:fill="FFFFFF"/>
        </w:rPr>
        <w:t xml:space="preserve"> répondants trouvent qu’elles doivent être les mêmes. Cette estimation pourrait être comprise, que les banques islamiques assument plus de risques et, par conséquent, elles devraient avoir des exigences de capital plus élevées afin de pouvoir absorber les pertes inattendues.</w:t>
      </w:r>
    </w:p>
    <w:p w14:paraId="54E12C18" w14:textId="2DE749DC" w:rsidR="001F7D30" w:rsidRPr="00DE760B" w:rsidRDefault="00A90914" w:rsidP="00A421D3">
      <w:pPr>
        <w:pStyle w:val="Titre3"/>
        <w:keepNext w:val="0"/>
        <w:keepLines w:val="0"/>
        <w:tabs>
          <w:tab w:val="left" w:pos="0"/>
        </w:tabs>
        <w:suppressAutoHyphens/>
        <w:spacing w:before="100" w:beforeAutospacing="1" w:line="300" w:lineRule="auto"/>
        <w:ind w:firstLine="709"/>
        <w:rPr>
          <w:sz w:val="28"/>
          <w:szCs w:val="28"/>
        </w:rPr>
      </w:pPr>
      <w:bookmarkStart w:id="1807" w:name="_Toc33263411"/>
      <w:bookmarkStart w:id="1808" w:name="_Toc37664674"/>
      <w:bookmarkStart w:id="1809" w:name="_Toc37666519"/>
      <w:bookmarkStart w:id="1810" w:name="_Toc54363416"/>
      <w:bookmarkStart w:id="1811" w:name="_Toc58606390"/>
      <w:bookmarkStart w:id="1812" w:name="_Toc63252095"/>
      <w:bookmarkStart w:id="1813" w:name="_Toc182298938"/>
      <w:r>
        <w:rPr>
          <w:sz w:val="28"/>
          <w:szCs w:val="28"/>
        </w:rPr>
        <w:t>3.6</w:t>
      </w:r>
      <w:r w:rsidR="00B10E91">
        <w:rPr>
          <w:sz w:val="28"/>
          <w:szCs w:val="28"/>
        </w:rPr>
        <w:t xml:space="preserve">- </w:t>
      </w:r>
      <w:r w:rsidR="001F7D30" w:rsidRPr="00DE760B">
        <w:rPr>
          <w:sz w:val="28"/>
          <w:szCs w:val="28"/>
        </w:rPr>
        <w:t>Techniques de mesures et d’atténuation des risques</w:t>
      </w:r>
      <w:bookmarkEnd w:id="1807"/>
      <w:bookmarkEnd w:id="1808"/>
      <w:bookmarkEnd w:id="1809"/>
      <w:bookmarkEnd w:id="1810"/>
      <w:bookmarkEnd w:id="1811"/>
      <w:bookmarkEnd w:id="1812"/>
      <w:bookmarkEnd w:id="1813"/>
    </w:p>
    <w:p w14:paraId="5D656AF6" w14:textId="77777777" w:rsidR="001F7D30" w:rsidRPr="001F7D30" w:rsidRDefault="001F7D30" w:rsidP="00D66FFE">
      <w:pPr>
        <w:pStyle w:val="Default"/>
        <w:tabs>
          <w:tab w:val="left" w:pos="0"/>
        </w:tabs>
        <w:suppressAutoHyphens/>
        <w:spacing w:before="120" w:line="300" w:lineRule="auto"/>
        <w:ind w:firstLine="709"/>
        <w:rPr>
          <w:rFonts w:asciiTheme="majorBidi" w:hAnsiTheme="majorBidi" w:cstheme="majorBidi"/>
        </w:rPr>
      </w:pPr>
      <w:r w:rsidRPr="001F7D30">
        <w:rPr>
          <w:rFonts w:asciiTheme="majorBidi" w:hAnsiTheme="majorBidi" w:cstheme="majorBidi"/>
        </w:rPr>
        <w:t>Pour le reporting des risques, les analyses descriptives montrent que la majorité des rapports sont produits mensuellement. Généralement, les rapports les plus couramment utilisés sont les rapports de risque de contrepartie, exigences de capital et le risque de taux de profits. Le rapport du risque de change est généralement effectué quotidiennement 39.9%.</w:t>
      </w:r>
    </w:p>
    <w:p w14:paraId="16C53BD5" w14:textId="77777777" w:rsidR="001F7D30" w:rsidRPr="001F7D30" w:rsidRDefault="001F7D30" w:rsidP="00D66FFE">
      <w:pPr>
        <w:pStyle w:val="Default"/>
        <w:tabs>
          <w:tab w:val="left" w:pos="0"/>
        </w:tabs>
        <w:suppressAutoHyphens/>
        <w:spacing w:before="120" w:line="300" w:lineRule="auto"/>
        <w:ind w:firstLine="709"/>
        <w:rPr>
          <w:rFonts w:asciiTheme="majorBidi" w:eastAsia="Times New Roman" w:hAnsiTheme="majorBidi" w:cstheme="majorBidi"/>
        </w:rPr>
      </w:pPr>
      <w:r w:rsidRPr="001F7D30">
        <w:rPr>
          <w:rFonts w:asciiTheme="majorBidi" w:eastAsia="Times New Roman" w:hAnsiTheme="majorBidi" w:cstheme="majorBidi"/>
        </w:rPr>
        <w:t>Pour les techniques de mesure de risques, la région et la nature des institutions sont les variables de contrôle sélectionnées pour l'analyse par classement moyen, étant les variables de contrôle qui ont les résultats les plus significatifs, et parce que ces deux variables sont les plus essentielles en faisant la différence entre les techniques de gestion des risques.</w:t>
      </w:r>
    </w:p>
    <w:p w14:paraId="27951367" w14:textId="2E19FBBC"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pacing w:val="-4"/>
          <w:sz w:val="24"/>
          <w:szCs w:val="24"/>
        </w:rPr>
      </w:pPr>
      <w:r w:rsidRPr="001F7D30">
        <w:rPr>
          <w:rFonts w:asciiTheme="majorBidi" w:hAnsiTheme="majorBidi" w:cstheme="majorBidi"/>
          <w:spacing w:val="-4"/>
          <w:sz w:val="24"/>
          <w:szCs w:val="24"/>
        </w:rPr>
        <w:t>A travers l’analyse descriptive effectuée, nous avons remarqué que la technique d’analyse des risques la plus utilisée par les BI est l'analyse de duration (69.62%), suivie par les notations externes fournies par les agences de notation (60.6%) et</w:t>
      </w:r>
      <w:r w:rsidR="006C1230">
        <w:rPr>
          <w:rFonts w:asciiTheme="majorBidi" w:hAnsiTheme="majorBidi" w:cstheme="majorBidi"/>
          <w:spacing w:val="-4"/>
          <w:sz w:val="24"/>
          <w:szCs w:val="24"/>
        </w:rPr>
        <w:t xml:space="preserve"> </w:t>
      </w:r>
      <w:r w:rsidRPr="001F7D30">
        <w:rPr>
          <w:rFonts w:asciiTheme="majorBidi" w:hAnsiTheme="majorBidi" w:cstheme="majorBidi"/>
          <w:spacing w:val="-4"/>
          <w:sz w:val="24"/>
          <w:szCs w:val="24"/>
        </w:rPr>
        <w:t>l’analyse différentielle ou GAP (58.23% chacune). La technique de stress test est la moins utilisée par les banques participantes.</w:t>
      </w:r>
    </w:p>
    <w:p w14:paraId="1D1612AA" w14:textId="77777777"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sz w:val="24"/>
          <w:szCs w:val="24"/>
        </w:rPr>
        <w:t>L'utilisation des techniques de gestion des risques dans les IFI n'est pas aussi sophistiquée comme dans les banques conventionnelles (à guichets islamiques). La Banque islamique à part entière se classe au 2eme rang pour l'ensemble des techniques, car peu d'IFI utilisent les approches de mesure des risques les plus avancées sur le plan technique, comme en témoigne le classement moyen du tableau précédent.</w:t>
      </w:r>
    </w:p>
    <w:p w14:paraId="72D6B8BB" w14:textId="7DBB6BDC"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sz w:val="24"/>
          <w:szCs w:val="24"/>
        </w:rPr>
        <w:t xml:space="preserve">A travers le test de K-W, nous remarquons que </w:t>
      </w:r>
      <w:r w:rsidR="006C1230" w:rsidRPr="001F7D30">
        <w:rPr>
          <w:rFonts w:asciiTheme="majorBidi" w:hAnsiTheme="majorBidi" w:cstheme="majorBidi"/>
          <w:sz w:val="24"/>
          <w:szCs w:val="24"/>
        </w:rPr>
        <w:t>les techniques utilisées</w:t>
      </w:r>
      <w:r w:rsidRPr="001F7D30">
        <w:rPr>
          <w:rFonts w:asciiTheme="majorBidi" w:hAnsiTheme="majorBidi" w:cstheme="majorBidi"/>
          <w:sz w:val="24"/>
          <w:szCs w:val="24"/>
        </w:rPr>
        <w:t xml:space="preserve"> par les BI et leurs homologues conventionnels ne sont pas les mêmes.</w:t>
      </w:r>
    </w:p>
    <w:p w14:paraId="3279C7E2" w14:textId="77777777" w:rsidR="001F7D30" w:rsidRPr="001F7D30" w:rsidRDefault="001F7D30" w:rsidP="00D66FFE">
      <w:pPr>
        <w:pStyle w:val="Paragraphedeliste"/>
        <w:tabs>
          <w:tab w:val="left" w:pos="0"/>
        </w:tabs>
        <w:suppressAutoHyphens/>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sz w:val="24"/>
          <w:szCs w:val="24"/>
        </w:rPr>
        <w:t>La nature de l’IF est la variable de contrôle sélectionnée pour l'analyse de classement moyen car elle a le plus grand nombre de résultats significatifs et parce que cette variable est la plus essentielle à la différence des techniques d'atténuation des risques parmi les institutions financières.</w:t>
      </w:r>
    </w:p>
    <w:p w14:paraId="04F5FCF3" w14:textId="3A500610" w:rsidR="001F7D30" w:rsidRPr="001F7D30" w:rsidRDefault="001F7D30" w:rsidP="00D66FFE">
      <w:pPr>
        <w:pStyle w:val="Default"/>
        <w:tabs>
          <w:tab w:val="left" w:pos="0"/>
        </w:tabs>
        <w:suppressAutoHyphens/>
        <w:spacing w:before="120" w:line="300" w:lineRule="auto"/>
        <w:ind w:firstLine="709"/>
        <w:rPr>
          <w:rFonts w:asciiTheme="majorBidi" w:hAnsiTheme="majorBidi" w:cstheme="majorBidi"/>
        </w:rPr>
      </w:pPr>
      <w:r w:rsidRPr="001F7D30">
        <w:rPr>
          <w:rFonts w:asciiTheme="majorBidi" w:hAnsiTheme="majorBidi" w:cstheme="majorBidi"/>
        </w:rPr>
        <w:t xml:space="preserve">Le chercheur voudrait savoir si le système de gestion de risques appliqué pour les produits financiers islamiques participatifs est efficace. Il existe des différences entre les réponses des banquiers. Certains pensent que les techniques de mesures et d’atténuation des risques liés à la </w:t>
      </w:r>
      <w:r w:rsidRPr="001F7D30">
        <w:rPr>
          <w:rFonts w:asciiTheme="majorBidi" w:hAnsiTheme="majorBidi" w:cstheme="majorBidi"/>
          <w:i/>
          <w:iCs/>
        </w:rPr>
        <w:t>moucharaka</w:t>
      </w:r>
      <w:r w:rsidRPr="001F7D30">
        <w:rPr>
          <w:rFonts w:asciiTheme="majorBidi" w:hAnsiTheme="majorBidi" w:cstheme="majorBidi"/>
        </w:rPr>
        <w:t xml:space="preserve"> et la </w:t>
      </w:r>
      <w:r w:rsidR="006C1230" w:rsidRPr="001F7D30">
        <w:rPr>
          <w:rFonts w:asciiTheme="majorBidi" w:hAnsiTheme="majorBidi" w:cstheme="majorBidi"/>
          <w:i/>
          <w:iCs/>
        </w:rPr>
        <w:t>moudaraba</w:t>
      </w:r>
      <w:r w:rsidRPr="001F7D30">
        <w:rPr>
          <w:rFonts w:asciiTheme="majorBidi" w:hAnsiTheme="majorBidi" w:cstheme="majorBidi"/>
        </w:rPr>
        <w:t xml:space="preserve"> sont assez développées alors que d’autres trouvent que les BI sont trop limitées en ce qui concerne le processus de gestion de ces risques.</w:t>
      </w:r>
    </w:p>
    <w:p w14:paraId="6BF5B391" w14:textId="77777777" w:rsidR="001F7D30" w:rsidRPr="001F7D30" w:rsidRDefault="001F7D30" w:rsidP="00D66FFE">
      <w:pPr>
        <w:tabs>
          <w:tab w:val="left" w:pos="0"/>
        </w:tabs>
        <w:suppressAutoHyphens/>
        <w:autoSpaceDE w:val="0"/>
        <w:autoSpaceDN w:val="0"/>
        <w:adjustRightInd w:val="0"/>
        <w:spacing w:before="120" w:line="300" w:lineRule="auto"/>
        <w:ind w:firstLine="709"/>
        <w:rPr>
          <w:rFonts w:asciiTheme="majorBidi" w:hAnsiTheme="majorBidi" w:cstheme="majorBidi"/>
          <w:sz w:val="24"/>
          <w:szCs w:val="24"/>
        </w:rPr>
      </w:pPr>
      <w:r w:rsidRPr="001F7D30">
        <w:rPr>
          <w:rFonts w:asciiTheme="majorBidi" w:hAnsiTheme="majorBidi" w:cstheme="majorBidi"/>
          <w:sz w:val="24"/>
          <w:szCs w:val="24"/>
        </w:rPr>
        <w:t>Les techniques d’atténuations des risques liés aux produits participatifs proposées par les répondants sont : les réserves pour pertes, le nantissement, les garanties, le rating interne, la PER et l’IRR.</w:t>
      </w:r>
    </w:p>
    <w:p w14:paraId="4BF6B1D8" w14:textId="73C85947" w:rsidR="001F7D30" w:rsidRPr="00DE760B" w:rsidRDefault="00A421D3" w:rsidP="00AC4110">
      <w:pPr>
        <w:pStyle w:val="Titre3"/>
        <w:keepNext w:val="0"/>
        <w:keepLines w:val="0"/>
        <w:tabs>
          <w:tab w:val="left" w:pos="0"/>
          <w:tab w:val="left" w:pos="1276"/>
        </w:tabs>
        <w:suppressAutoHyphens/>
        <w:spacing w:before="100" w:beforeAutospacing="1" w:line="300" w:lineRule="auto"/>
        <w:ind w:firstLine="709"/>
        <w:rPr>
          <w:sz w:val="28"/>
          <w:szCs w:val="28"/>
        </w:rPr>
      </w:pPr>
      <w:bookmarkStart w:id="1814" w:name="_Toc33263412"/>
      <w:bookmarkStart w:id="1815" w:name="_Toc37664675"/>
      <w:bookmarkStart w:id="1816" w:name="_Toc37666520"/>
      <w:bookmarkStart w:id="1817" w:name="_Toc54363417"/>
      <w:bookmarkStart w:id="1818" w:name="_Toc58606391"/>
      <w:bookmarkStart w:id="1819" w:name="_Toc63252096"/>
      <w:bookmarkStart w:id="1820" w:name="_Toc182298939"/>
      <w:r>
        <w:rPr>
          <w:sz w:val="28"/>
          <w:szCs w:val="28"/>
        </w:rPr>
        <w:t>3.7</w:t>
      </w:r>
      <w:r w:rsidR="00B10E91">
        <w:rPr>
          <w:sz w:val="28"/>
          <w:szCs w:val="28"/>
        </w:rPr>
        <w:t xml:space="preserve">- </w:t>
      </w:r>
      <w:r w:rsidR="002F46C1">
        <w:rPr>
          <w:sz w:val="28"/>
          <w:szCs w:val="28"/>
        </w:rPr>
        <w:t>A</w:t>
      </w:r>
      <w:r w:rsidR="001F7D30" w:rsidRPr="00DE760B">
        <w:rPr>
          <w:sz w:val="28"/>
          <w:szCs w:val="28"/>
        </w:rPr>
        <w:t>venir des produits financiers participatifs</w:t>
      </w:r>
      <w:bookmarkEnd w:id="1814"/>
      <w:bookmarkEnd w:id="1815"/>
      <w:bookmarkEnd w:id="1816"/>
      <w:bookmarkEnd w:id="1817"/>
      <w:bookmarkEnd w:id="1818"/>
      <w:bookmarkEnd w:id="1819"/>
      <w:bookmarkEnd w:id="1820"/>
    </w:p>
    <w:p w14:paraId="52118229" w14:textId="77777777" w:rsidR="001F7D30" w:rsidRPr="001F7D30" w:rsidRDefault="001F7D30" w:rsidP="00CB0FF1">
      <w:pPr>
        <w:pStyle w:val="Paragraphedeliste"/>
        <w:numPr>
          <w:ilvl w:val="0"/>
          <w:numId w:val="100"/>
        </w:numPr>
        <w:tabs>
          <w:tab w:val="left" w:pos="709"/>
        </w:tabs>
        <w:suppressAutoHyphens/>
        <w:autoSpaceDE w:val="0"/>
        <w:autoSpaceDN w:val="0"/>
        <w:adjustRightInd w:val="0"/>
        <w:spacing w:before="120" w:line="300" w:lineRule="auto"/>
        <w:ind w:left="284" w:firstLine="709"/>
        <w:contextualSpacing w:val="0"/>
        <w:rPr>
          <w:rFonts w:asciiTheme="majorBidi" w:hAnsiTheme="majorBidi" w:cstheme="majorBidi"/>
          <w:sz w:val="24"/>
          <w:szCs w:val="24"/>
        </w:rPr>
      </w:pPr>
      <w:r w:rsidRPr="001F7D30">
        <w:rPr>
          <w:rFonts w:ascii="Times New Roman" w:hAnsi="Times New Roman" w:cs="Times New Roman"/>
          <w:b/>
          <w:bCs/>
          <w:sz w:val="24"/>
          <w:szCs w:val="24"/>
        </w:rPr>
        <w:t xml:space="preserve">Hypothèse 03 : </w:t>
      </w:r>
    </w:p>
    <w:p w14:paraId="04BB3ECF" w14:textId="14727771" w:rsidR="001F7D30" w:rsidRPr="001F7D30" w:rsidRDefault="001F7D30" w:rsidP="00D66FFE">
      <w:pPr>
        <w:pStyle w:val="Paragraphedeliste"/>
        <w:tabs>
          <w:tab w:val="left" w:pos="709"/>
        </w:tabs>
        <w:suppressAutoHyphens/>
        <w:autoSpaceDE w:val="0"/>
        <w:autoSpaceDN w:val="0"/>
        <w:adjustRightInd w:val="0"/>
        <w:spacing w:before="120" w:line="300" w:lineRule="auto"/>
        <w:ind w:left="0" w:firstLine="709"/>
        <w:contextualSpacing w:val="0"/>
        <w:rPr>
          <w:rFonts w:asciiTheme="majorBidi" w:hAnsiTheme="majorBidi" w:cstheme="majorBidi"/>
          <w:sz w:val="24"/>
          <w:szCs w:val="24"/>
        </w:rPr>
      </w:pPr>
      <w:r w:rsidRPr="001F7D30">
        <w:rPr>
          <w:rFonts w:asciiTheme="majorBidi" w:hAnsiTheme="majorBidi" w:cstheme="majorBidi"/>
          <w:sz w:val="24"/>
          <w:szCs w:val="24"/>
        </w:rPr>
        <w:t>L’</w:t>
      </w:r>
      <w:r w:rsidR="006C1230" w:rsidRPr="001F7D30">
        <w:rPr>
          <w:rFonts w:asciiTheme="majorBidi" w:hAnsiTheme="majorBidi" w:cstheme="majorBidi"/>
          <w:sz w:val="24"/>
          <w:szCs w:val="24"/>
        </w:rPr>
        <w:t>expérience</w:t>
      </w:r>
      <w:r w:rsidRPr="001F7D30">
        <w:rPr>
          <w:rFonts w:asciiTheme="majorBidi" w:hAnsiTheme="majorBidi" w:cstheme="majorBidi"/>
          <w:sz w:val="24"/>
          <w:szCs w:val="24"/>
        </w:rPr>
        <w:t xml:space="preserve"> accumulée par les BI leur a permis de </w:t>
      </w:r>
      <w:r w:rsidR="006C1230" w:rsidRPr="001F7D30">
        <w:rPr>
          <w:rFonts w:asciiTheme="majorBidi" w:hAnsiTheme="majorBidi" w:cstheme="majorBidi"/>
          <w:sz w:val="24"/>
          <w:szCs w:val="24"/>
        </w:rPr>
        <w:t>développer</w:t>
      </w:r>
      <w:r w:rsidRPr="001F7D30">
        <w:rPr>
          <w:rFonts w:asciiTheme="majorBidi" w:hAnsiTheme="majorBidi" w:cstheme="majorBidi"/>
          <w:sz w:val="24"/>
          <w:szCs w:val="24"/>
        </w:rPr>
        <w:t xml:space="preserve"> une innovation financière en matière d’instruments de gestion des risques.</w:t>
      </w:r>
    </w:p>
    <w:p w14:paraId="1E652B7F" w14:textId="340FF131" w:rsidR="001F7D30" w:rsidRPr="001F7D30" w:rsidRDefault="001F7D30" w:rsidP="00D66FFE">
      <w:pPr>
        <w:pStyle w:val="Default"/>
        <w:tabs>
          <w:tab w:val="left" w:pos="0"/>
        </w:tabs>
        <w:suppressAutoHyphens/>
        <w:spacing w:before="120" w:line="300" w:lineRule="auto"/>
        <w:ind w:firstLine="709"/>
        <w:rPr>
          <w:rFonts w:asciiTheme="majorBidi" w:hAnsiTheme="majorBidi" w:cstheme="majorBidi"/>
        </w:rPr>
      </w:pPr>
      <w:r w:rsidRPr="001F7D30">
        <w:rPr>
          <w:rFonts w:asciiTheme="majorBidi" w:hAnsiTheme="majorBidi" w:cstheme="majorBidi"/>
        </w:rPr>
        <w:t xml:space="preserve">Selon les banquiers interrogés, les stratégies qui peuvent être acteurs de développement des banques islamiques sont la stratégie de diversification et les fusions-acquisitions. Pour les procédures qui peuvent être mises en œuvre pour faciliter les pratiques bancaires participatives, Les répondants trouvent que les BI doivent renforcer la transparence avec leurs clients et embaucher un personnel qualifié apte à gérer les projets d’investissement sur la base de </w:t>
      </w:r>
      <w:r w:rsidRPr="001F7D30">
        <w:rPr>
          <w:rFonts w:asciiTheme="majorBidi" w:hAnsiTheme="majorBidi" w:cstheme="majorBidi"/>
          <w:i/>
          <w:iCs/>
        </w:rPr>
        <w:t>moucharaka</w:t>
      </w:r>
      <w:r w:rsidRPr="001F7D30">
        <w:rPr>
          <w:rFonts w:asciiTheme="majorBidi" w:hAnsiTheme="majorBidi" w:cstheme="majorBidi"/>
        </w:rPr>
        <w:t xml:space="preserve"> et </w:t>
      </w:r>
      <w:r w:rsidR="006C1230" w:rsidRPr="001F7D30">
        <w:rPr>
          <w:rFonts w:asciiTheme="majorBidi" w:hAnsiTheme="majorBidi" w:cstheme="majorBidi"/>
          <w:i/>
          <w:iCs/>
        </w:rPr>
        <w:t>moudaraba</w:t>
      </w:r>
      <w:r w:rsidRPr="001F7D30">
        <w:rPr>
          <w:rFonts w:asciiTheme="majorBidi" w:hAnsiTheme="majorBidi" w:cstheme="majorBidi"/>
        </w:rPr>
        <w:t>.</w:t>
      </w:r>
    </w:p>
    <w:p w14:paraId="2A4265A1" w14:textId="77777777" w:rsidR="001F7D30" w:rsidRPr="001F7D30" w:rsidRDefault="001F7D30" w:rsidP="00D66FFE">
      <w:pPr>
        <w:pStyle w:val="Default"/>
        <w:tabs>
          <w:tab w:val="left" w:pos="0"/>
        </w:tabs>
        <w:suppressAutoHyphens/>
        <w:spacing w:before="120" w:line="300" w:lineRule="auto"/>
        <w:ind w:firstLine="709"/>
        <w:rPr>
          <w:rFonts w:asciiTheme="majorBidi" w:hAnsiTheme="majorBidi" w:cstheme="majorBidi"/>
        </w:rPr>
      </w:pPr>
      <w:r w:rsidRPr="001F7D30">
        <w:t>L'hypothèse nulle est acceptée. L'hypothèse alternative est rejetée à travers les analyses statistiques effectuées.</w:t>
      </w:r>
    </w:p>
    <w:p w14:paraId="504197B2" w14:textId="77777777" w:rsidR="002760B2" w:rsidRPr="00B10E91" w:rsidRDefault="002760B2" w:rsidP="00B10E91">
      <w:pPr>
        <w:pStyle w:val="Titre2"/>
        <w:pageBreakBefore/>
        <w:spacing w:before="0" w:after="100" w:afterAutospacing="1" w:line="276" w:lineRule="auto"/>
        <w:ind w:firstLine="709"/>
        <w:rPr>
          <w:i w:val="0"/>
          <w:iCs w:val="0"/>
          <w:sz w:val="28"/>
        </w:rPr>
      </w:pPr>
      <w:bookmarkStart w:id="1821" w:name="_Toc33263413"/>
      <w:bookmarkStart w:id="1822" w:name="_Toc37664676"/>
      <w:bookmarkStart w:id="1823" w:name="_Toc37666521"/>
      <w:bookmarkStart w:id="1824" w:name="_Toc54363418"/>
      <w:bookmarkStart w:id="1825" w:name="_Toc58261939"/>
      <w:bookmarkStart w:id="1826" w:name="_Toc58606392"/>
      <w:bookmarkStart w:id="1827" w:name="_Toc61263597"/>
      <w:bookmarkStart w:id="1828" w:name="_Toc116257075"/>
      <w:bookmarkStart w:id="1829" w:name="_Toc182298940"/>
      <w:bookmarkStart w:id="1830" w:name="_Toc182309398"/>
      <w:r w:rsidRPr="00B10E91">
        <w:rPr>
          <w:i w:val="0"/>
          <w:iCs w:val="0"/>
          <w:sz w:val="28"/>
        </w:rPr>
        <w:t>Conclusion</w:t>
      </w:r>
      <w:bookmarkEnd w:id="1821"/>
      <w:bookmarkEnd w:id="1822"/>
      <w:bookmarkEnd w:id="1823"/>
      <w:bookmarkEnd w:id="1824"/>
      <w:bookmarkEnd w:id="1825"/>
      <w:bookmarkEnd w:id="1826"/>
      <w:bookmarkEnd w:id="1827"/>
      <w:bookmarkEnd w:id="1828"/>
      <w:bookmarkEnd w:id="1829"/>
      <w:bookmarkEnd w:id="1830"/>
    </w:p>
    <w:p w14:paraId="7F656911" w14:textId="4DA85B09" w:rsidR="002760B2" w:rsidRPr="00314B55" w:rsidRDefault="002760B2" w:rsidP="003439D4">
      <w:pPr>
        <w:tabs>
          <w:tab w:val="left" w:pos="0"/>
        </w:tabs>
        <w:spacing w:before="120" w:line="300" w:lineRule="auto"/>
        <w:ind w:firstLine="709"/>
        <w:rPr>
          <w:rFonts w:ascii="Times New Roman" w:eastAsia="Times New Roman" w:hAnsi="Times New Roman" w:cs="Times New Roman"/>
          <w:bCs/>
          <w:spacing w:val="4"/>
          <w:sz w:val="24"/>
          <w:szCs w:val="24"/>
        </w:rPr>
      </w:pPr>
      <w:r w:rsidRPr="00314B55">
        <w:rPr>
          <w:rFonts w:ascii="Times New Roman" w:eastAsia="Times New Roman" w:hAnsi="Times New Roman" w:cs="Times New Roman"/>
          <w:bCs/>
          <w:spacing w:val="4"/>
          <w:sz w:val="24"/>
          <w:szCs w:val="24"/>
        </w:rPr>
        <w:t xml:space="preserve">L'objectif de ce chapitre était d'évaluer la perception des répondants concernant différents problèmes liés à la gestion des risques des produits financiers </w:t>
      </w:r>
      <w:r w:rsidR="0096069F"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s participatifs. Plusieurs outils statistiques déductifs ont été utilisés pour examiner la relation entre les caractéristiques des répondants et leurs perceptions du risque. Une analyse descriptive détaillée a été réalisée pour étudier les différents axes de notre questionnaire. Ainsi, pour l’analyse statistique non paramétrique, le test de Kruskal-Wallis a été le test le plus effectué pour savoir s'il y avait des différences significatives causées par la catégorie des répondants et cela a été interprété par la suite.</w:t>
      </w:r>
    </w:p>
    <w:p w14:paraId="707CB678" w14:textId="77777777" w:rsidR="002760B2" w:rsidRPr="00314B55" w:rsidRDefault="00863786" w:rsidP="003439D4">
      <w:pPr>
        <w:tabs>
          <w:tab w:val="left" w:pos="0"/>
        </w:tabs>
        <w:spacing w:before="120" w:line="300" w:lineRule="auto"/>
        <w:ind w:firstLine="709"/>
        <w:rPr>
          <w:rFonts w:ascii="Times New Roman" w:eastAsia="Times New Roman" w:hAnsi="Times New Roman" w:cs="Times New Roman"/>
          <w:bCs/>
          <w:spacing w:val="4"/>
          <w:sz w:val="24"/>
          <w:szCs w:val="24"/>
        </w:rPr>
      </w:pPr>
      <w:r w:rsidRPr="00314B55">
        <w:rPr>
          <w:rFonts w:ascii="Times New Roman" w:eastAsia="Times New Roman" w:hAnsi="Times New Roman" w:cs="Times New Roman"/>
          <w:bCs/>
          <w:spacing w:val="4"/>
          <w:sz w:val="24"/>
          <w:szCs w:val="24"/>
        </w:rPr>
        <w:t>La « région »</w:t>
      </w:r>
      <w:r w:rsidR="002760B2" w:rsidRPr="00314B55">
        <w:rPr>
          <w:rFonts w:ascii="Times New Roman" w:eastAsia="Times New Roman" w:hAnsi="Times New Roman" w:cs="Times New Roman"/>
          <w:bCs/>
          <w:spacing w:val="4"/>
          <w:sz w:val="24"/>
          <w:szCs w:val="24"/>
        </w:rPr>
        <w:t xml:space="preserve"> était la variable de contrôle qui affichait les différences les plus statistiquement significatives parmi les perceptions des répondants pour les différentes parties du questionnaire. L'a</w:t>
      </w:r>
      <w:r w:rsidR="00737FFD" w:rsidRPr="00314B55">
        <w:rPr>
          <w:rFonts w:ascii="Times New Roman" w:eastAsia="Times New Roman" w:hAnsi="Times New Roman" w:cs="Times New Roman"/>
          <w:bCs/>
          <w:spacing w:val="4"/>
          <w:sz w:val="24"/>
          <w:szCs w:val="24"/>
        </w:rPr>
        <w:t>nalyse selon la « nature de l'IF », la « </w:t>
      </w:r>
      <w:r w:rsidR="002760B2" w:rsidRPr="00314B55">
        <w:rPr>
          <w:rFonts w:ascii="Times New Roman" w:eastAsia="Times New Roman" w:hAnsi="Times New Roman" w:cs="Times New Roman"/>
          <w:bCs/>
          <w:spacing w:val="4"/>
          <w:sz w:val="24"/>
          <w:szCs w:val="24"/>
        </w:rPr>
        <w:t>nature des activ</w:t>
      </w:r>
      <w:r w:rsidR="00737FFD" w:rsidRPr="00314B55">
        <w:rPr>
          <w:rFonts w:ascii="Times New Roman" w:eastAsia="Times New Roman" w:hAnsi="Times New Roman" w:cs="Times New Roman"/>
          <w:bCs/>
          <w:spacing w:val="4"/>
          <w:sz w:val="24"/>
          <w:szCs w:val="24"/>
        </w:rPr>
        <w:t>ités » et le « poste du répondant »</w:t>
      </w:r>
      <w:r w:rsidR="002760B2" w:rsidRPr="00314B55">
        <w:rPr>
          <w:rFonts w:ascii="Times New Roman" w:eastAsia="Times New Roman" w:hAnsi="Times New Roman" w:cs="Times New Roman"/>
          <w:bCs/>
          <w:spacing w:val="4"/>
          <w:sz w:val="24"/>
          <w:szCs w:val="24"/>
        </w:rPr>
        <w:t xml:space="preserve"> a également révélé certaines tendances générales qui peuvent être attribuées aux conditions du marché. Les </w:t>
      </w:r>
      <w:r w:rsidR="005D2FE7" w:rsidRPr="00314B55">
        <w:rPr>
          <w:rFonts w:ascii="Times New Roman" w:eastAsia="Times New Roman" w:hAnsi="Times New Roman" w:cs="Times New Roman"/>
          <w:bCs/>
          <w:spacing w:val="4"/>
          <w:sz w:val="24"/>
          <w:szCs w:val="24"/>
        </w:rPr>
        <w:t>« </w:t>
      </w:r>
      <w:r w:rsidR="002760B2" w:rsidRPr="00314B55">
        <w:rPr>
          <w:rFonts w:ascii="Times New Roman" w:eastAsia="Times New Roman" w:hAnsi="Times New Roman" w:cs="Times New Roman"/>
          <w:bCs/>
          <w:spacing w:val="4"/>
          <w:sz w:val="24"/>
          <w:szCs w:val="24"/>
        </w:rPr>
        <w:t>normes comptables</w:t>
      </w:r>
      <w:r w:rsidR="005D2FE7" w:rsidRPr="00314B55">
        <w:rPr>
          <w:rFonts w:ascii="Times New Roman" w:eastAsia="Times New Roman" w:hAnsi="Times New Roman" w:cs="Times New Roman"/>
          <w:bCs/>
          <w:spacing w:val="4"/>
          <w:sz w:val="24"/>
          <w:szCs w:val="24"/>
        </w:rPr>
        <w:t> »</w:t>
      </w:r>
      <w:r w:rsidR="002760B2" w:rsidRPr="00314B55">
        <w:rPr>
          <w:rFonts w:ascii="Times New Roman" w:eastAsia="Times New Roman" w:hAnsi="Times New Roman" w:cs="Times New Roman"/>
          <w:bCs/>
          <w:spacing w:val="4"/>
          <w:sz w:val="24"/>
          <w:szCs w:val="24"/>
        </w:rPr>
        <w:t xml:space="preserve"> ont également été utilisées comme variables de contrôle, mais les résultats ne fournissaient pas souvent une grande signification statistique pour cette catégorie.</w:t>
      </w:r>
      <w:r w:rsidR="00D30B37" w:rsidRPr="00314B55">
        <w:rPr>
          <w:rFonts w:ascii="Times New Roman" w:eastAsia="Times New Roman" w:hAnsi="Times New Roman" w:cs="Times New Roman"/>
          <w:bCs/>
          <w:spacing w:val="4"/>
          <w:sz w:val="24"/>
          <w:szCs w:val="24"/>
        </w:rPr>
        <w:t xml:space="preserve"> </w:t>
      </w:r>
      <w:r w:rsidR="002760B2" w:rsidRPr="00314B55">
        <w:rPr>
          <w:rFonts w:ascii="Times New Roman" w:eastAsia="Times New Roman" w:hAnsi="Times New Roman" w:cs="Times New Roman"/>
          <w:bCs/>
          <w:spacing w:val="4"/>
          <w:sz w:val="24"/>
          <w:szCs w:val="24"/>
        </w:rPr>
        <w:t>Les différences entre les réponses des répondants ont été examinées afin de vérifier s'il y avait des différences significat</w:t>
      </w:r>
      <w:r w:rsidR="00737FFD" w:rsidRPr="00314B55">
        <w:rPr>
          <w:rFonts w:ascii="Times New Roman" w:eastAsia="Times New Roman" w:hAnsi="Times New Roman" w:cs="Times New Roman"/>
          <w:bCs/>
          <w:spacing w:val="4"/>
          <w:sz w:val="24"/>
          <w:szCs w:val="24"/>
        </w:rPr>
        <w:t>ives d</w:t>
      </w:r>
      <w:r w:rsidR="00CA5A34" w:rsidRPr="00314B55">
        <w:rPr>
          <w:rFonts w:ascii="Times New Roman" w:eastAsia="Times New Roman" w:hAnsi="Times New Roman" w:cs="Times New Roman"/>
          <w:bCs/>
          <w:spacing w:val="4"/>
          <w:sz w:val="24"/>
          <w:szCs w:val="24"/>
        </w:rPr>
        <w:t>u</w:t>
      </w:r>
      <w:r w:rsidR="00737FFD" w:rsidRPr="00314B55">
        <w:rPr>
          <w:rFonts w:ascii="Times New Roman" w:eastAsia="Times New Roman" w:hAnsi="Times New Roman" w:cs="Times New Roman"/>
          <w:bCs/>
          <w:spacing w:val="4"/>
          <w:sz w:val="24"/>
          <w:szCs w:val="24"/>
        </w:rPr>
        <w:t>es aux caractéristiques.</w:t>
      </w:r>
    </w:p>
    <w:p w14:paraId="7B711F30" w14:textId="77777777" w:rsidR="002760B2" w:rsidRPr="00314B55" w:rsidRDefault="002760B2" w:rsidP="003439D4">
      <w:pPr>
        <w:tabs>
          <w:tab w:val="left" w:pos="0"/>
        </w:tabs>
        <w:spacing w:before="120" w:line="300" w:lineRule="auto"/>
        <w:ind w:firstLine="709"/>
        <w:rPr>
          <w:rFonts w:ascii="Times New Roman" w:eastAsia="Times New Roman" w:hAnsi="Times New Roman" w:cs="Times New Roman"/>
          <w:bCs/>
          <w:spacing w:val="4"/>
          <w:sz w:val="24"/>
          <w:szCs w:val="24"/>
        </w:rPr>
      </w:pPr>
      <w:r w:rsidRPr="00314B55">
        <w:rPr>
          <w:rFonts w:ascii="Times New Roman" w:eastAsia="Times New Roman" w:hAnsi="Times New Roman" w:cs="Times New Roman"/>
          <w:bCs/>
          <w:spacing w:val="4"/>
          <w:sz w:val="24"/>
          <w:szCs w:val="24"/>
        </w:rPr>
        <w:t xml:space="preserve">Le concept original de financement </w:t>
      </w:r>
      <w:r w:rsidR="005D2FE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est sans aucun doute en faveur de la participation au capital plutôt que de la création de dette, car ce n'est que l'équité qui apporte une répartition équitable et équilibrée de la richesse dans la société. Cependant, la pratique est très différente de la théorie. Les praticiens de la finance </w:t>
      </w:r>
      <w:r w:rsidR="005D2FE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à ce jour ont imité les produits conventionnels. Cette imitation a abouti à une corrélation étroite entre les deux systèmes. Ces écarts entre la théorie et la pratique signifient que le système ne fonctionne pas à son plein potentiel et s'est adapté à une fonctionnalité limitée. En fait, en raison de ces déviations, le système bancaire </w:t>
      </w:r>
      <w:r w:rsidR="005D2FE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est exposé à des risques supplémentaires auxquels il n'est pas censé être exposé, comme expliqué dans les chapitres précédents.</w:t>
      </w:r>
    </w:p>
    <w:p w14:paraId="3DC66F8C" w14:textId="77777777" w:rsidR="002760B2" w:rsidRPr="00314B55" w:rsidRDefault="002760B2" w:rsidP="003439D4">
      <w:pPr>
        <w:tabs>
          <w:tab w:val="left" w:pos="0"/>
        </w:tabs>
        <w:spacing w:before="120" w:line="300" w:lineRule="auto"/>
        <w:ind w:firstLine="709"/>
        <w:rPr>
          <w:rFonts w:ascii="Times New Roman" w:eastAsia="Times New Roman" w:hAnsi="Times New Roman" w:cs="Times New Roman"/>
          <w:bCs/>
          <w:spacing w:val="4"/>
          <w:sz w:val="24"/>
          <w:szCs w:val="24"/>
        </w:rPr>
      </w:pPr>
      <w:r w:rsidRPr="00314B55">
        <w:rPr>
          <w:rFonts w:ascii="Times New Roman" w:eastAsia="Times New Roman" w:hAnsi="Times New Roman" w:cs="Times New Roman"/>
          <w:bCs/>
          <w:spacing w:val="4"/>
          <w:sz w:val="24"/>
          <w:szCs w:val="24"/>
        </w:rPr>
        <w:t xml:space="preserve">Cette dichotomie entre les idéaux de la morale bancaire </w:t>
      </w:r>
      <w:r w:rsidR="005D2FE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et les réalités, combinée à l'absence de techniques avancées de gestion des risques et d'atténuation, rend les opérations bancaires </w:t>
      </w:r>
      <w:r w:rsidR="0096069F"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s plus risquées que le modèle bancaire classique démystifié au lieu d'être un refuge sûr. On se rend de plus en plus compte que la croissance durable à long terme de la banque </w:t>
      </w:r>
      <w:r w:rsidR="00F36A5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dépendra en grande partie du développement d'une architecture de gestion des risques appropriée. La banque </w:t>
      </w:r>
      <w:r w:rsidR="0096069F"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ne peut être un refuge que lorsque ses principes généraux à un niveau macro sont entièrement suivis par tous les participants. En d'autres termes, lorsque les risques à court terme et la stabilité à long terme sont regroupés et optimisés, les perspectives pour le secteur bancaire </w:t>
      </w:r>
      <w:r w:rsidR="00F36A5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semblent moins risquées que ne le prétendent ses détracteurs.</w:t>
      </w:r>
    </w:p>
    <w:p w14:paraId="00B21220" w14:textId="5891DDB1" w:rsidR="002760B2" w:rsidRPr="00314B55" w:rsidRDefault="002760B2" w:rsidP="003439D4">
      <w:pPr>
        <w:tabs>
          <w:tab w:val="left" w:pos="0"/>
        </w:tabs>
        <w:spacing w:before="120" w:line="300" w:lineRule="auto"/>
        <w:ind w:firstLine="709"/>
        <w:rPr>
          <w:rFonts w:ascii="Times New Roman" w:eastAsia="Times New Roman" w:hAnsi="Times New Roman" w:cs="Times New Roman"/>
          <w:bCs/>
          <w:spacing w:val="4"/>
          <w:sz w:val="24"/>
          <w:szCs w:val="24"/>
        </w:rPr>
      </w:pPr>
      <w:r w:rsidRPr="00314B55">
        <w:rPr>
          <w:rFonts w:ascii="Times New Roman" w:eastAsia="Times New Roman" w:hAnsi="Times New Roman" w:cs="Times New Roman"/>
          <w:bCs/>
          <w:spacing w:val="4"/>
          <w:sz w:val="24"/>
          <w:szCs w:val="24"/>
        </w:rPr>
        <w:t xml:space="preserve">La banque </w:t>
      </w:r>
      <w:r w:rsidR="00F36A5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jusqu'à présent, telle qu'elle est pratiquée, ne semble pas refléter fidèlement les attentes ambitieuses des exigences du </w:t>
      </w:r>
      <w:r w:rsidRPr="00314B55">
        <w:rPr>
          <w:rFonts w:ascii="Times New Roman" w:eastAsia="Times New Roman" w:hAnsi="Times New Roman" w:cs="Times New Roman"/>
          <w:bCs/>
          <w:i/>
          <w:iCs/>
          <w:spacing w:val="4"/>
          <w:sz w:val="24"/>
          <w:szCs w:val="24"/>
        </w:rPr>
        <w:t>fiqh</w:t>
      </w:r>
      <w:r w:rsidRPr="00314B55">
        <w:rPr>
          <w:rFonts w:ascii="Times New Roman" w:eastAsia="Times New Roman" w:hAnsi="Times New Roman" w:cs="Times New Roman"/>
          <w:bCs/>
          <w:spacing w:val="4"/>
          <w:sz w:val="24"/>
          <w:szCs w:val="24"/>
        </w:rPr>
        <w:t xml:space="preserve"> pour la finance </w:t>
      </w:r>
      <w:r w:rsidR="00F36A5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Les avantages bancaires </w:t>
      </w:r>
      <w:r w:rsidR="00F36A5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s, mesurés par des critères conventionnels, ne sont pas très importants. Par conséquent, les IFI et tous les participants à la finance </w:t>
      </w:r>
      <w:r w:rsidR="00F36A5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devraient suivre strictement les règles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314B55">
        <w:rPr>
          <w:rFonts w:ascii="Times New Roman" w:eastAsia="Times New Roman" w:hAnsi="Times New Roman" w:cs="Times New Roman"/>
          <w:bCs/>
          <w:spacing w:val="4"/>
          <w:sz w:val="24"/>
          <w:szCs w:val="24"/>
        </w:rPr>
        <w:t xml:space="preserve">, que les avantages de ces règles soient apparents ou mesurables. Il y a une logique et une moralité particulières aux principes de la </w:t>
      </w:r>
      <w:r w:rsidR="00A5400B">
        <w:rPr>
          <w:rFonts w:ascii="Times New Roman" w:hAnsi="Times New Roman" w:cs="Times New Roman"/>
          <w:i/>
          <w:spacing w:val="4"/>
          <w:sz w:val="24"/>
          <w:szCs w:val="24"/>
        </w:rPr>
        <w:t>S</w:t>
      </w:r>
      <w:r w:rsidR="00A5400B" w:rsidRPr="008E2909">
        <w:rPr>
          <w:rFonts w:ascii="Times New Roman" w:hAnsi="Times New Roman" w:cs="Times New Roman"/>
          <w:i/>
          <w:spacing w:val="4"/>
          <w:sz w:val="24"/>
          <w:szCs w:val="24"/>
        </w:rPr>
        <w:t>haria</w:t>
      </w:r>
      <w:r w:rsidR="00A5400B">
        <w:rPr>
          <w:rFonts w:ascii="Times New Roman" w:hAnsi="Times New Roman" w:cs="Times New Roman"/>
          <w:i/>
          <w:spacing w:val="4"/>
          <w:sz w:val="24"/>
          <w:szCs w:val="24"/>
        </w:rPr>
        <w:t>h</w:t>
      </w:r>
      <w:r w:rsidRPr="00314B55">
        <w:rPr>
          <w:rFonts w:ascii="Times New Roman" w:eastAsia="Times New Roman" w:hAnsi="Times New Roman" w:cs="Times New Roman"/>
          <w:bCs/>
          <w:spacing w:val="4"/>
          <w:sz w:val="24"/>
          <w:szCs w:val="24"/>
        </w:rPr>
        <w:t xml:space="preserve">, que les praticiens de la finance </w:t>
      </w:r>
      <w:r w:rsidR="00F36A57" w:rsidRPr="00314B55">
        <w:rPr>
          <w:rFonts w:ascii="Times New Roman" w:eastAsia="Times New Roman" w:hAnsi="Times New Roman" w:cs="Times New Roman"/>
          <w:bCs/>
          <w:spacing w:val="4"/>
          <w:sz w:val="24"/>
          <w:szCs w:val="24"/>
        </w:rPr>
        <w:t>i</w:t>
      </w:r>
      <w:r w:rsidR="003773C6" w:rsidRPr="00314B55">
        <w:rPr>
          <w:rFonts w:ascii="Times New Roman" w:eastAsia="Times New Roman" w:hAnsi="Times New Roman" w:cs="Times New Roman"/>
          <w:bCs/>
          <w:spacing w:val="4"/>
          <w:sz w:val="24"/>
          <w:szCs w:val="24"/>
        </w:rPr>
        <w:t>slamique</w:t>
      </w:r>
      <w:r w:rsidRPr="00314B55">
        <w:rPr>
          <w:rFonts w:ascii="Times New Roman" w:eastAsia="Times New Roman" w:hAnsi="Times New Roman" w:cs="Times New Roman"/>
          <w:bCs/>
          <w:spacing w:val="4"/>
          <w:sz w:val="24"/>
          <w:szCs w:val="24"/>
        </w:rPr>
        <w:t xml:space="preserve"> ne verront que s'ils arrêtent d'essayer de les pousser dans des structures de produits conventionnels.</w:t>
      </w:r>
    </w:p>
    <w:p w14:paraId="0AAA4805" w14:textId="77777777" w:rsidR="003254A4" w:rsidRDefault="003254A4" w:rsidP="00AF612E">
      <w:pPr>
        <w:spacing w:before="120" w:after="120" w:line="360" w:lineRule="auto"/>
        <w:rPr>
          <w:rFonts w:ascii="Times New Roman" w:hAnsi="Times New Roman" w:cs="Times New Roman"/>
          <w:b/>
          <w:bCs/>
          <w:smallCaps/>
          <w:sz w:val="48"/>
          <w:szCs w:val="48"/>
        </w:rPr>
      </w:pPr>
      <w:bookmarkStart w:id="1831" w:name="_Toc37664677"/>
      <w:bookmarkStart w:id="1832" w:name="_Toc37666522"/>
      <w:bookmarkStart w:id="1833" w:name="_Toc37667330"/>
      <w:bookmarkStart w:id="1834" w:name="_Toc54361040"/>
      <w:bookmarkStart w:id="1835" w:name="_Toc54361688"/>
      <w:bookmarkStart w:id="1836" w:name="_Toc54363419"/>
      <w:bookmarkStart w:id="1837" w:name="_Toc57901038"/>
      <w:bookmarkStart w:id="1838" w:name="_Toc58261940"/>
      <w:bookmarkStart w:id="1839" w:name="_Toc61263598"/>
    </w:p>
    <w:p w14:paraId="775ABEE7" w14:textId="77777777" w:rsidR="00AF612E" w:rsidRDefault="00AF612E" w:rsidP="007C75F1">
      <w:pPr>
        <w:spacing w:before="120" w:after="120" w:line="360" w:lineRule="auto"/>
        <w:jc w:val="center"/>
        <w:rPr>
          <w:rFonts w:ascii="Times New Roman" w:hAnsi="Times New Roman" w:cs="Times New Roman"/>
          <w:b/>
          <w:bCs/>
          <w:smallCaps/>
          <w:sz w:val="48"/>
          <w:szCs w:val="48"/>
        </w:rPr>
        <w:sectPr w:rsidR="00AF612E" w:rsidSect="003010C3">
          <w:footerReference w:type="default" r:id="rId71"/>
          <w:footnotePr>
            <w:numRestart w:val="eachPage"/>
          </w:footnotePr>
          <w:pgSz w:w="11906" w:h="16838" w:code="9"/>
          <w:pgMar w:top="1134" w:right="1134" w:bottom="1134" w:left="1134" w:header="709" w:footer="709" w:gutter="567"/>
          <w:pgNumType w:start="179"/>
          <w:cols w:space="708"/>
          <w:docGrid w:linePitch="360"/>
        </w:sectPr>
      </w:pPr>
    </w:p>
    <w:p w14:paraId="6F5AAB29" w14:textId="77777777" w:rsidR="007C75F1" w:rsidRPr="002B005F" w:rsidRDefault="007C75F1" w:rsidP="007C75F1">
      <w:pPr>
        <w:spacing w:before="120" w:after="120" w:line="360" w:lineRule="auto"/>
        <w:jc w:val="center"/>
        <w:rPr>
          <w:rFonts w:ascii="Times New Roman" w:hAnsi="Times New Roman" w:cs="Times New Roman"/>
          <w:b/>
          <w:bCs/>
          <w:smallCaps/>
          <w:sz w:val="48"/>
          <w:szCs w:val="48"/>
        </w:rPr>
      </w:pPr>
    </w:p>
    <w:p w14:paraId="04653EDB" w14:textId="77777777" w:rsidR="003439D4" w:rsidRPr="002B005F" w:rsidRDefault="003439D4" w:rsidP="003439D4">
      <w:pPr>
        <w:spacing w:before="120" w:after="120" w:line="360" w:lineRule="auto"/>
        <w:jc w:val="center"/>
        <w:rPr>
          <w:rFonts w:ascii="Times New Roman" w:hAnsi="Times New Roman" w:cs="Times New Roman"/>
          <w:b/>
          <w:bCs/>
          <w:smallCaps/>
          <w:sz w:val="48"/>
          <w:szCs w:val="48"/>
        </w:rPr>
      </w:pPr>
    </w:p>
    <w:p w14:paraId="3B290DE2" w14:textId="77777777" w:rsidR="003439D4" w:rsidRPr="002B005F" w:rsidRDefault="003439D4" w:rsidP="003439D4">
      <w:pPr>
        <w:spacing w:before="120" w:after="120" w:line="360" w:lineRule="auto"/>
        <w:jc w:val="center"/>
        <w:rPr>
          <w:rFonts w:ascii="Times New Roman" w:hAnsi="Times New Roman" w:cs="Times New Roman"/>
          <w:smallCaps/>
          <w:spacing w:val="20"/>
          <w:sz w:val="48"/>
        </w:rPr>
      </w:pPr>
    </w:p>
    <w:p w14:paraId="31066507" w14:textId="77777777" w:rsidR="007C75F1" w:rsidRDefault="007C75F1" w:rsidP="003439D4">
      <w:pPr>
        <w:spacing w:before="120" w:after="120" w:line="360" w:lineRule="auto"/>
        <w:jc w:val="center"/>
        <w:rPr>
          <w:rFonts w:ascii="Times New Roman" w:hAnsi="Times New Roman" w:cs="Times New Roman"/>
          <w:smallCaps/>
          <w:spacing w:val="20"/>
          <w:sz w:val="48"/>
        </w:rPr>
      </w:pPr>
    </w:p>
    <w:p w14:paraId="5D5E93C9" w14:textId="77777777" w:rsidR="00621FA2" w:rsidRDefault="00621FA2" w:rsidP="003439D4">
      <w:pPr>
        <w:spacing w:before="120" w:after="120" w:line="360" w:lineRule="auto"/>
        <w:jc w:val="center"/>
        <w:rPr>
          <w:rFonts w:ascii="Times New Roman" w:hAnsi="Times New Roman" w:cs="Times New Roman"/>
          <w:smallCaps/>
          <w:spacing w:val="20"/>
          <w:sz w:val="48"/>
        </w:rPr>
      </w:pPr>
    </w:p>
    <w:p w14:paraId="1058627C" w14:textId="77777777" w:rsidR="00621FA2" w:rsidRPr="002B005F" w:rsidRDefault="00621FA2" w:rsidP="003439D4">
      <w:pPr>
        <w:spacing w:before="120" w:after="120" w:line="360" w:lineRule="auto"/>
        <w:jc w:val="center"/>
        <w:rPr>
          <w:rFonts w:ascii="Times New Roman" w:hAnsi="Times New Roman" w:cs="Times New Roman"/>
          <w:smallCaps/>
          <w:spacing w:val="20"/>
          <w:sz w:val="48"/>
        </w:rPr>
      </w:pPr>
    </w:p>
    <w:p w14:paraId="29C6E812" w14:textId="77777777" w:rsidR="007C75F1" w:rsidRPr="003254A4" w:rsidRDefault="007C75F1" w:rsidP="004B703E">
      <w:pPr>
        <w:spacing w:before="100" w:beforeAutospacing="1" w:after="100" w:afterAutospacing="1" w:line="240" w:lineRule="exact"/>
        <w:jc w:val="center"/>
        <w:outlineLvl w:val="0"/>
        <w:rPr>
          <w:rFonts w:asciiTheme="majorBidi" w:hAnsiTheme="majorBidi" w:cstheme="majorBidi"/>
          <w:b/>
          <w:bCs/>
          <w:smallCaps/>
          <w:spacing w:val="40"/>
          <w:sz w:val="56"/>
          <w:szCs w:val="56"/>
        </w:rPr>
      </w:pPr>
      <w:bookmarkStart w:id="1840" w:name="_Toc182298941"/>
      <w:bookmarkStart w:id="1841" w:name="_Toc182309399"/>
      <w:r w:rsidRPr="003254A4">
        <w:rPr>
          <w:rFonts w:asciiTheme="majorBidi" w:hAnsiTheme="majorBidi" w:cstheme="majorBidi"/>
          <w:b/>
          <w:bCs/>
          <w:smallCaps/>
          <w:spacing w:val="40"/>
          <w:sz w:val="56"/>
          <w:szCs w:val="56"/>
        </w:rPr>
        <w:t>Conclusion Générale</w:t>
      </w:r>
      <w:bookmarkEnd w:id="1840"/>
      <w:bookmarkEnd w:id="1841"/>
    </w:p>
    <w:bookmarkEnd w:id="1831"/>
    <w:bookmarkEnd w:id="1832"/>
    <w:bookmarkEnd w:id="1833"/>
    <w:bookmarkEnd w:id="1834"/>
    <w:bookmarkEnd w:id="1835"/>
    <w:bookmarkEnd w:id="1836"/>
    <w:bookmarkEnd w:id="1837"/>
    <w:bookmarkEnd w:id="1838"/>
    <w:bookmarkEnd w:id="1839"/>
    <w:p w14:paraId="66C8795C" w14:textId="77777777" w:rsidR="003254A4" w:rsidRDefault="003254A4" w:rsidP="00DC3B97">
      <w:pPr>
        <w:tabs>
          <w:tab w:val="center" w:pos="709"/>
          <w:tab w:val="center" w:pos="1134"/>
        </w:tabs>
        <w:spacing w:before="120" w:after="120" w:line="300" w:lineRule="auto"/>
        <w:rPr>
          <w:rFonts w:ascii="Times New Roman" w:hAnsi="Times New Roman" w:cs="Times New Roman"/>
          <w:smallCaps/>
          <w:sz w:val="56"/>
          <w:szCs w:val="56"/>
        </w:rPr>
      </w:pPr>
    </w:p>
    <w:p w14:paraId="4EC1B6C8" w14:textId="77777777" w:rsidR="00DC3B97" w:rsidRPr="00DC3B97" w:rsidRDefault="00DC3B97" w:rsidP="00DC3B97">
      <w:pPr>
        <w:tabs>
          <w:tab w:val="center" w:pos="709"/>
          <w:tab w:val="center" w:pos="1134"/>
        </w:tabs>
        <w:spacing w:before="120" w:after="120" w:line="300" w:lineRule="auto"/>
        <w:rPr>
          <w:rFonts w:ascii="Times New Roman" w:hAnsi="Times New Roman" w:cs="Times New Roman"/>
          <w:smallCaps/>
          <w:sz w:val="56"/>
          <w:szCs w:val="56"/>
        </w:rPr>
        <w:sectPr w:rsidR="00DC3B97" w:rsidRPr="00DC3B97" w:rsidSect="00D61093">
          <w:footerReference w:type="default" r:id="rId72"/>
          <w:footnotePr>
            <w:numRestart w:val="eachPage"/>
          </w:footnotePr>
          <w:pgSz w:w="11906" w:h="16838" w:code="9"/>
          <w:pgMar w:top="1134" w:right="1134" w:bottom="1134" w:left="1134" w:header="709" w:footer="709" w:gutter="567"/>
          <w:pgNumType w:start="179"/>
          <w:cols w:space="708"/>
          <w:docGrid w:linePitch="360"/>
        </w:sectPr>
      </w:pPr>
    </w:p>
    <w:p w14:paraId="25C9B426" w14:textId="77777777" w:rsidR="004B703E" w:rsidRPr="005D02A7" w:rsidRDefault="004B703E" w:rsidP="004B703E">
      <w:pPr>
        <w:tabs>
          <w:tab w:val="center" w:pos="709"/>
          <w:tab w:val="center" w:pos="1134"/>
        </w:tabs>
        <w:suppressAutoHyphens/>
        <w:spacing w:before="120" w:line="300" w:lineRule="auto"/>
        <w:ind w:firstLine="709"/>
        <w:rPr>
          <w:rFonts w:ascii="Times New Roman" w:hAnsi="Times New Roman" w:cs="Times New Roman"/>
          <w:b/>
          <w:bCs/>
          <w:sz w:val="24"/>
          <w:szCs w:val="24"/>
        </w:rPr>
      </w:pPr>
      <w:r w:rsidRPr="005D02A7">
        <w:rPr>
          <w:rFonts w:ascii="Times New Roman" w:hAnsi="Times New Roman" w:cs="Times New Roman"/>
          <w:b/>
          <w:bCs/>
          <w:sz w:val="24"/>
          <w:szCs w:val="24"/>
        </w:rPr>
        <w:t>1-</w:t>
      </w:r>
      <w:r>
        <w:rPr>
          <w:rFonts w:ascii="Times New Roman" w:hAnsi="Times New Roman" w:cs="Times New Roman"/>
          <w:b/>
          <w:bCs/>
          <w:sz w:val="24"/>
          <w:szCs w:val="24"/>
        </w:rPr>
        <w:t xml:space="preserve"> </w:t>
      </w:r>
      <w:r w:rsidRPr="005D02A7">
        <w:rPr>
          <w:rFonts w:ascii="Times New Roman" w:hAnsi="Times New Roman" w:cs="Times New Roman"/>
          <w:b/>
          <w:bCs/>
          <w:sz w:val="24"/>
          <w:szCs w:val="24"/>
        </w:rPr>
        <w:t>Rappel de la problématique et synthèse des chapitres</w:t>
      </w:r>
    </w:p>
    <w:p w14:paraId="4610ED19" w14:textId="77777777" w:rsidR="004B703E" w:rsidRPr="001F7AA5" w:rsidRDefault="004B703E" w:rsidP="004B703E">
      <w:pPr>
        <w:pStyle w:val="Paragraphedeliste"/>
        <w:tabs>
          <w:tab w:val="left" w:pos="0"/>
        </w:tabs>
        <w:suppressAutoHyphens/>
        <w:spacing w:before="120" w:line="300" w:lineRule="auto"/>
        <w:ind w:left="0" w:firstLine="709"/>
        <w:contextualSpacing w:val="0"/>
        <w:rPr>
          <w:rFonts w:ascii="Times New Roman" w:hAnsi="Times New Roman" w:cs="Times New Roman"/>
          <w:b/>
          <w:bCs/>
          <w:kern w:val="24"/>
          <w:sz w:val="24"/>
          <w:szCs w:val="24"/>
        </w:rPr>
      </w:pPr>
      <w:r w:rsidRPr="001F7AA5">
        <w:rPr>
          <w:rFonts w:ascii="Times New Roman" w:hAnsi="Times New Roman" w:cs="Times New Roman"/>
          <w:kern w:val="24"/>
          <w:sz w:val="24"/>
          <w:szCs w:val="24"/>
        </w:rPr>
        <w:t xml:space="preserve">Notre travail de recherche a essayé de décrypter les causes qui empêchent les BI d’appliquer le principe de base édicté par la finance islamique, celui de la participation aux risques en l’occurrence le principe de partage des profits et pertes. Plus précisément, notre réflexion a tenté de dégager les principaux problèmes et risques qui peuvent découler des techniques de financement à logique de partenariat dans la perspective d’encourager les banques islamiques à les utiliser de façon plus prépondérante au lieu de se concentrer sur les modes de financement basés sur les dettes et les ventes. La question centrale de recherche est donc : </w:t>
      </w:r>
      <w:r w:rsidRPr="001F7AA5">
        <w:rPr>
          <w:rFonts w:ascii="Times New Roman" w:hAnsi="Times New Roman" w:cs="Times New Roman"/>
          <w:b/>
          <w:bCs/>
          <w:i/>
          <w:iCs/>
          <w:kern w:val="24"/>
          <w:sz w:val="24"/>
          <w:szCs w:val="24"/>
          <w:lang w:eastAsia="fr-FR"/>
        </w:rPr>
        <w:t>Quels sont les risques et les obstacles qui empêchent les BI d’utiliser les modes de financement participatif et comment les gérer</w:t>
      </w:r>
      <w:r w:rsidRPr="001F7AA5">
        <w:rPr>
          <w:rFonts w:ascii="Times New Roman" w:hAnsi="Times New Roman" w:cs="Times New Roman"/>
          <w:i/>
          <w:iCs/>
          <w:kern w:val="24"/>
          <w:sz w:val="24"/>
          <w:szCs w:val="24"/>
          <w:lang w:eastAsia="fr-FR"/>
        </w:rPr>
        <w:t> </w:t>
      </w:r>
      <w:r w:rsidRPr="001F7AA5">
        <w:rPr>
          <w:rFonts w:ascii="Times New Roman" w:hAnsi="Times New Roman" w:cs="Times New Roman"/>
          <w:b/>
          <w:bCs/>
          <w:i/>
          <w:iCs/>
          <w:kern w:val="24"/>
          <w:sz w:val="24"/>
          <w:szCs w:val="24"/>
          <w:lang w:eastAsia="fr-FR"/>
        </w:rPr>
        <w:t>?</w:t>
      </w:r>
    </w:p>
    <w:p w14:paraId="1264A303" w14:textId="2F449445" w:rsidR="004B703E" w:rsidRPr="004B703E" w:rsidRDefault="004B703E" w:rsidP="004B703E">
      <w:pPr>
        <w:pStyle w:val="Paragraphedeliste"/>
        <w:tabs>
          <w:tab w:val="left" w:pos="0"/>
        </w:tabs>
        <w:suppressAutoHyphens/>
        <w:spacing w:before="120" w:line="300" w:lineRule="auto"/>
        <w:ind w:left="0" w:firstLine="709"/>
        <w:contextualSpacing w:val="0"/>
        <w:rPr>
          <w:rFonts w:ascii="Times New Roman" w:hAnsi="Times New Roman" w:cs="Times New Roman"/>
          <w:spacing w:val="-4"/>
          <w:kern w:val="24"/>
          <w:sz w:val="24"/>
          <w:szCs w:val="24"/>
        </w:rPr>
      </w:pPr>
      <w:r w:rsidRPr="004B703E">
        <w:rPr>
          <w:rFonts w:ascii="Times New Roman" w:hAnsi="Times New Roman" w:cs="Times New Roman"/>
          <w:spacing w:val="-4"/>
          <w:kern w:val="24"/>
          <w:sz w:val="24"/>
          <w:szCs w:val="24"/>
          <w:lang w:eastAsia="fr-FR"/>
        </w:rPr>
        <w:t>Pour répondre à cette problématique, notre réflexion s’articule autour de quatre chapitres. Les trois premiers chapitres</w:t>
      </w:r>
      <w:r w:rsidRPr="004B703E">
        <w:rPr>
          <w:rFonts w:ascii="Times New Roman" w:hAnsi="Times New Roman" w:cs="Times New Roman"/>
          <w:spacing w:val="-4"/>
          <w:kern w:val="24"/>
          <w:sz w:val="24"/>
          <w:szCs w:val="24"/>
        </w:rPr>
        <w:t xml:space="preserve"> concernent une investigation théorique pour cerner les causes de réticence des BI relatives aux modes financiers participatifs en décelant les risques inhérents et les techniques de leur atténuation. Le dernier chapitre est consacré à une étude empirique.</w:t>
      </w:r>
    </w:p>
    <w:p w14:paraId="39CE7625" w14:textId="77777777" w:rsidR="004B703E" w:rsidRPr="001F7AA5" w:rsidRDefault="004B703E" w:rsidP="00CB0FF1">
      <w:pPr>
        <w:pStyle w:val="Paragraphedeliste"/>
        <w:numPr>
          <w:ilvl w:val="0"/>
          <w:numId w:val="122"/>
        </w:numPr>
        <w:tabs>
          <w:tab w:val="left" w:pos="0"/>
        </w:tabs>
        <w:suppressAutoHyphens/>
        <w:autoSpaceDE w:val="0"/>
        <w:autoSpaceDN w:val="0"/>
        <w:adjustRightInd w:val="0"/>
        <w:spacing w:before="120" w:line="300" w:lineRule="auto"/>
        <w:ind w:left="993"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 xml:space="preserve">Le premier chapitre est destiné à la présentation des principes fondamentaux de la finance islamique, les modes de financement islamique ainsi que les mécanismes de gouvernance des BI. </w:t>
      </w:r>
      <w:r w:rsidRPr="001F7AA5">
        <w:rPr>
          <w:rFonts w:asciiTheme="majorBidi" w:hAnsiTheme="majorBidi" w:cstheme="majorBidi"/>
          <w:kern w:val="24"/>
          <w:sz w:val="24"/>
          <w:szCs w:val="24"/>
        </w:rPr>
        <w:t xml:space="preserve">L’interdiction du </w:t>
      </w:r>
      <w:r w:rsidRPr="001F7AA5">
        <w:rPr>
          <w:rFonts w:asciiTheme="majorBidi" w:hAnsiTheme="majorBidi" w:cstheme="majorBidi"/>
          <w:i/>
          <w:iCs/>
          <w:kern w:val="24"/>
          <w:sz w:val="24"/>
          <w:szCs w:val="24"/>
        </w:rPr>
        <w:t>riba</w:t>
      </w:r>
      <w:r w:rsidRPr="001F7AA5">
        <w:rPr>
          <w:rFonts w:asciiTheme="majorBidi" w:hAnsiTheme="majorBidi" w:cstheme="majorBidi"/>
          <w:kern w:val="24"/>
          <w:sz w:val="24"/>
          <w:szCs w:val="24"/>
        </w:rPr>
        <w:t xml:space="preserve"> et le partage des risques sont parmi les principes de base régissant cette finance. </w:t>
      </w:r>
      <w:r w:rsidRPr="001F7AA5">
        <w:rPr>
          <w:rFonts w:ascii="Times New Roman" w:hAnsi="Times New Roman" w:cs="Times New Roman"/>
          <w:kern w:val="24"/>
          <w:sz w:val="24"/>
          <w:szCs w:val="24"/>
        </w:rPr>
        <w:t xml:space="preserve">En fin de cycle, le contrat de financement participatif islamique consacre le partage entre la banque islamique et l’entrepreneur soit du résultat financier, soit du produit. Cependant, il est loisible de constater que les </w:t>
      </w:r>
      <w:r>
        <w:rPr>
          <w:rFonts w:ascii="Times New Roman" w:hAnsi="Times New Roman" w:cs="Times New Roman"/>
          <w:kern w:val="24"/>
          <w:sz w:val="24"/>
          <w:szCs w:val="24"/>
        </w:rPr>
        <w:t>BI</w:t>
      </w:r>
      <w:r w:rsidRPr="001F7AA5">
        <w:rPr>
          <w:rFonts w:ascii="Times New Roman" w:hAnsi="Times New Roman" w:cs="Times New Roman"/>
          <w:kern w:val="24"/>
          <w:sz w:val="24"/>
          <w:szCs w:val="24"/>
        </w:rPr>
        <w:t xml:space="preserve"> préfèrent les contrats de vente (principalement la </w:t>
      </w:r>
      <w:r w:rsidRPr="001F7AA5">
        <w:rPr>
          <w:rFonts w:ascii="Times New Roman" w:hAnsi="Times New Roman" w:cs="Times New Roman"/>
          <w:i/>
          <w:iCs/>
          <w:kern w:val="24"/>
          <w:sz w:val="24"/>
          <w:szCs w:val="24"/>
        </w:rPr>
        <w:t>mourabaha</w:t>
      </w:r>
      <w:r w:rsidRPr="001F7AA5">
        <w:rPr>
          <w:rFonts w:ascii="Times New Roman" w:hAnsi="Times New Roman" w:cs="Times New Roman"/>
          <w:kern w:val="24"/>
          <w:sz w:val="24"/>
          <w:szCs w:val="24"/>
        </w:rPr>
        <w:t>) au détriment des modes de financement participatif (</w:t>
      </w:r>
      <w:r w:rsidRPr="001F7AA5">
        <w:rPr>
          <w:rFonts w:ascii="Times New Roman" w:hAnsi="Times New Roman" w:cs="Times New Roman"/>
          <w:i/>
          <w:iCs/>
          <w:kern w:val="24"/>
          <w:sz w:val="24"/>
          <w:szCs w:val="24"/>
        </w:rPr>
        <w:t>moucharaka</w:t>
      </w:r>
      <w:r w:rsidRPr="001F7AA5">
        <w:rPr>
          <w:rFonts w:ascii="Times New Roman" w:hAnsi="Times New Roman" w:cs="Times New Roman"/>
          <w:kern w:val="24"/>
          <w:sz w:val="24"/>
          <w:szCs w:val="24"/>
        </w:rPr>
        <w:t xml:space="preserve"> et </w:t>
      </w:r>
      <w:r w:rsidRPr="001F7AA5">
        <w:rPr>
          <w:rFonts w:ascii="Times New Roman" w:hAnsi="Times New Roman" w:cs="Times New Roman"/>
          <w:i/>
          <w:kern w:val="24"/>
          <w:sz w:val="24"/>
          <w:szCs w:val="24"/>
        </w:rPr>
        <w:t>moudaraba</w:t>
      </w:r>
      <w:r w:rsidRPr="001F7AA5">
        <w:rPr>
          <w:rFonts w:ascii="Times New Roman" w:hAnsi="Times New Roman" w:cs="Times New Roman"/>
          <w:kern w:val="24"/>
          <w:sz w:val="24"/>
          <w:szCs w:val="24"/>
        </w:rPr>
        <w:t>) caractérisés par un fort degré de risques.</w:t>
      </w:r>
    </w:p>
    <w:p w14:paraId="40972AEE" w14:textId="2DD7DC18" w:rsidR="004B703E" w:rsidRPr="001F7AA5" w:rsidRDefault="004B703E" w:rsidP="00CB0FF1">
      <w:pPr>
        <w:pStyle w:val="Paragraphedeliste"/>
        <w:numPr>
          <w:ilvl w:val="0"/>
          <w:numId w:val="122"/>
        </w:numPr>
        <w:tabs>
          <w:tab w:val="left" w:pos="0"/>
        </w:tabs>
        <w:suppressAutoHyphens/>
        <w:spacing w:before="120" w:line="300" w:lineRule="auto"/>
        <w:ind w:left="993"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 xml:space="preserve">Le deuxième chapitre est carrément un recensement assez exhaustif des risques auxquels s’exposent les banques en général et les BI en particulier. Nous avons montré que les produits bancaires </w:t>
      </w:r>
      <w:r w:rsidR="00DC3B97">
        <w:rPr>
          <w:rFonts w:ascii="Times New Roman" w:hAnsi="Times New Roman" w:cs="Times New Roman"/>
          <w:i/>
          <w:kern w:val="24"/>
          <w:sz w:val="24"/>
          <w:szCs w:val="24"/>
        </w:rPr>
        <w:t>S</w:t>
      </w:r>
      <w:r w:rsidRPr="001F7AA5">
        <w:rPr>
          <w:rFonts w:ascii="Times New Roman" w:hAnsi="Times New Roman" w:cs="Times New Roman"/>
          <w:i/>
          <w:kern w:val="24"/>
          <w:sz w:val="24"/>
          <w:szCs w:val="24"/>
        </w:rPr>
        <w:t>haria</w:t>
      </w:r>
      <w:r w:rsidR="00DC3B97">
        <w:rPr>
          <w:rFonts w:ascii="Times New Roman" w:hAnsi="Times New Roman" w:cs="Times New Roman"/>
          <w:i/>
          <w:kern w:val="24"/>
          <w:sz w:val="24"/>
          <w:szCs w:val="24"/>
        </w:rPr>
        <w:t>h</w:t>
      </w:r>
      <w:r w:rsidRPr="001F7AA5">
        <w:rPr>
          <w:rFonts w:ascii="Times New Roman" w:hAnsi="Times New Roman" w:cs="Times New Roman"/>
          <w:kern w:val="24"/>
          <w:sz w:val="24"/>
          <w:szCs w:val="24"/>
        </w:rPr>
        <w:t>-compliant exposent les BI à des risques similaires à leurs homologues conventionnels et à des risques spécifiques. Ensuite, nous avons présenté les techniques de gestion de risques utilisées à la fois dans le système bancaire classique et islamique ainsi que celles spécifiques au financement islamique. Les BI disposent de deux types de techniques d’identification et de gestion des risques : les techniques standards communes avec les banques conventionnelles et des techniques nouvelles ou adaptées à leurs exigences particulières. Le défi des institutions financières islamiques est de gérer ces risques dans un contexte réglementaire qui souvent ne leur est pas adapté.</w:t>
      </w:r>
    </w:p>
    <w:p w14:paraId="0256BCDD" w14:textId="5E2C64F6" w:rsidR="004B703E" w:rsidRPr="001F7AA5" w:rsidRDefault="004B703E" w:rsidP="00CB0FF1">
      <w:pPr>
        <w:pStyle w:val="Paragraphedeliste"/>
        <w:numPr>
          <w:ilvl w:val="0"/>
          <w:numId w:val="122"/>
        </w:numPr>
        <w:tabs>
          <w:tab w:val="left" w:pos="0"/>
        </w:tabs>
        <w:suppressAutoHyphens/>
        <w:autoSpaceDE w:val="0"/>
        <w:autoSpaceDN w:val="0"/>
        <w:adjustRightInd w:val="0"/>
        <w:spacing w:before="120" w:line="300" w:lineRule="auto"/>
        <w:ind w:left="993"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 xml:space="preserve">Le troisième chapitre était destiné à l’investigation des problèmes qui freinent l’intermédiation bancaire participative. D’abord, nous avons exposé les concepts liés aux produits financiers participatifs pour comprendre leurs caractéristiques. Ensuite, nous avons analysé les pratiques des BI et les difficultés qui les découragent à un développement étendu de la </w:t>
      </w:r>
      <w:r w:rsidRPr="001F7AA5">
        <w:rPr>
          <w:rFonts w:ascii="Times New Roman" w:hAnsi="Times New Roman" w:cs="Times New Roman"/>
          <w:i/>
          <w:iCs/>
          <w:kern w:val="24"/>
          <w:sz w:val="24"/>
          <w:szCs w:val="24"/>
        </w:rPr>
        <w:t>moucharaka</w:t>
      </w:r>
      <w:r w:rsidRPr="001F7AA5">
        <w:rPr>
          <w:rFonts w:ascii="Times New Roman" w:hAnsi="Times New Roman" w:cs="Times New Roman"/>
          <w:kern w:val="24"/>
          <w:sz w:val="24"/>
          <w:szCs w:val="24"/>
        </w:rPr>
        <w:t xml:space="preserve"> et la </w:t>
      </w:r>
      <w:r w:rsidRPr="001F7AA5">
        <w:rPr>
          <w:rFonts w:ascii="Times New Roman" w:hAnsi="Times New Roman" w:cs="Times New Roman"/>
          <w:i/>
          <w:kern w:val="24"/>
          <w:sz w:val="24"/>
          <w:szCs w:val="24"/>
        </w:rPr>
        <w:t>moudaraba</w:t>
      </w:r>
      <w:r w:rsidRPr="001F7AA5">
        <w:rPr>
          <w:rFonts w:ascii="Times New Roman" w:hAnsi="Times New Roman" w:cs="Times New Roman"/>
          <w:kern w:val="24"/>
          <w:sz w:val="24"/>
          <w:szCs w:val="24"/>
        </w:rPr>
        <w:t>. Puis, nous avons circonscrit les principaux risques relatifs à ces deux dernières formules de financement</w:t>
      </w:r>
      <w:r w:rsidR="00E370B3">
        <w:rPr>
          <w:rFonts w:ascii="Times New Roman" w:hAnsi="Times New Roman" w:cs="Times New Roman"/>
          <w:kern w:val="24"/>
          <w:sz w:val="24"/>
          <w:szCs w:val="24"/>
        </w:rPr>
        <w:t xml:space="preserve"> : </w:t>
      </w:r>
      <w:r w:rsidR="00E370B3" w:rsidRPr="003010C3">
        <w:rPr>
          <w:rFonts w:ascii="Times New Roman" w:hAnsi="Times New Roman" w:cs="Times New Roman"/>
          <w:kern w:val="24"/>
          <w:sz w:val="24"/>
          <w:szCs w:val="24"/>
        </w:rPr>
        <w:t>risque de crédit</w:t>
      </w:r>
      <w:r w:rsidR="00E370B3">
        <w:rPr>
          <w:rFonts w:ascii="Times New Roman" w:hAnsi="Times New Roman" w:cs="Times New Roman"/>
          <w:kern w:val="24"/>
          <w:sz w:val="24"/>
          <w:szCs w:val="24"/>
        </w:rPr>
        <w:t xml:space="preserve">, </w:t>
      </w:r>
      <w:r w:rsidRPr="001F7AA5">
        <w:rPr>
          <w:rFonts w:ascii="Times New Roman" w:hAnsi="Times New Roman" w:cs="Times New Roman"/>
          <w:kern w:val="24"/>
          <w:sz w:val="24"/>
          <w:szCs w:val="24"/>
        </w:rPr>
        <w:t>risque commercial déplacé, risque d’investissement en actions et risque fiduciaire). Enfin, nous avons traité les techniques de gestion de ces risques par les banques islamiques.</w:t>
      </w:r>
    </w:p>
    <w:p w14:paraId="549819F0" w14:textId="77777777" w:rsidR="004B703E" w:rsidRPr="001F7AA5" w:rsidRDefault="004B703E" w:rsidP="00CB0FF1">
      <w:pPr>
        <w:pStyle w:val="Paragraphedeliste"/>
        <w:numPr>
          <w:ilvl w:val="0"/>
          <w:numId w:val="122"/>
        </w:numPr>
        <w:tabs>
          <w:tab w:val="left" w:pos="0"/>
        </w:tabs>
        <w:suppressAutoHyphens/>
        <w:autoSpaceDE w:val="0"/>
        <w:autoSpaceDN w:val="0"/>
        <w:adjustRightInd w:val="0"/>
        <w:spacing w:before="120" w:line="300" w:lineRule="auto"/>
        <w:ind w:left="993"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Le dernier chapitre englobe l’étude empirique. Dans cette optique, une enquête a été menée à l’échelle internationale auprès des dirigeants spécialisés en matière de gestion des risques au sein des BI ; il s’agit de connaître leurs perceptions envers les risques liés aux modes de financement participatif. Notre questionnaire avait pour objectif de récolter des informations sur notamment :</w:t>
      </w:r>
    </w:p>
    <w:p w14:paraId="6A27FA1B" w14:textId="77777777" w:rsidR="004B703E" w:rsidRPr="001F7AA5" w:rsidRDefault="004B703E" w:rsidP="00CB0FF1">
      <w:pPr>
        <w:pStyle w:val="Paragraphedeliste"/>
        <w:numPr>
          <w:ilvl w:val="0"/>
          <w:numId w:val="75"/>
        </w:numPr>
        <w:tabs>
          <w:tab w:val="left" w:pos="0"/>
        </w:tabs>
        <w:suppressAutoHyphens/>
        <w:autoSpaceDE w:val="0"/>
        <w:autoSpaceDN w:val="0"/>
        <w:adjustRightInd w:val="0"/>
        <w:spacing w:before="60" w:line="300" w:lineRule="auto"/>
        <w:ind w:left="1276"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les perceptions sur les risques encourus dans les institutions financières et les techniques de financement utilisées ainsi que les risques inhérents à chacune d’elles ;</w:t>
      </w:r>
    </w:p>
    <w:p w14:paraId="1AB2E090" w14:textId="77777777" w:rsidR="004B703E" w:rsidRPr="001F7AA5" w:rsidRDefault="004B703E" w:rsidP="00CB0FF1">
      <w:pPr>
        <w:pStyle w:val="Paragraphedeliste"/>
        <w:numPr>
          <w:ilvl w:val="0"/>
          <w:numId w:val="75"/>
        </w:numPr>
        <w:tabs>
          <w:tab w:val="left" w:pos="0"/>
        </w:tabs>
        <w:suppressAutoHyphens/>
        <w:autoSpaceDE w:val="0"/>
        <w:autoSpaceDN w:val="0"/>
        <w:adjustRightInd w:val="0"/>
        <w:spacing w:before="60" w:line="300" w:lineRule="auto"/>
        <w:ind w:left="1276"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les pratiques actuelles des BI et les standards réglementaires auxquels elles recourent.</w:t>
      </w:r>
    </w:p>
    <w:p w14:paraId="5B5DA65D" w14:textId="77777777" w:rsidR="004B703E" w:rsidRPr="001F7AA5" w:rsidRDefault="004B703E" w:rsidP="00CB0FF1">
      <w:pPr>
        <w:pStyle w:val="Paragraphedeliste"/>
        <w:numPr>
          <w:ilvl w:val="0"/>
          <w:numId w:val="75"/>
        </w:numPr>
        <w:tabs>
          <w:tab w:val="left" w:pos="0"/>
        </w:tabs>
        <w:suppressAutoHyphens/>
        <w:autoSpaceDE w:val="0"/>
        <w:autoSpaceDN w:val="0"/>
        <w:adjustRightInd w:val="0"/>
        <w:spacing w:before="60" w:line="300" w:lineRule="auto"/>
        <w:ind w:left="1276"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les techniques de mesure et d’atténuation des risques liés aux modes participatifs.</w:t>
      </w:r>
    </w:p>
    <w:p w14:paraId="32C42483" w14:textId="77777777" w:rsidR="004B703E" w:rsidRPr="001F7AA5" w:rsidRDefault="004B703E" w:rsidP="00CB0FF1">
      <w:pPr>
        <w:pStyle w:val="Paragraphedeliste"/>
        <w:numPr>
          <w:ilvl w:val="0"/>
          <w:numId w:val="75"/>
        </w:numPr>
        <w:tabs>
          <w:tab w:val="left" w:pos="0"/>
        </w:tabs>
        <w:suppressAutoHyphens/>
        <w:autoSpaceDE w:val="0"/>
        <w:autoSpaceDN w:val="0"/>
        <w:adjustRightInd w:val="0"/>
        <w:spacing w:before="60" w:line="300" w:lineRule="auto"/>
        <w:ind w:left="1276"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les solutions prônées pour favoriser l’intermédiation financière participative des côtés actif et passif.</w:t>
      </w:r>
    </w:p>
    <w:p w14:paraId="29B9908E" w14:textId="77777777" w:rsidR="004B703E" w:rsidRPr="005D02A7" w:rsidRDefault="004B703E" w:rsidP="004B703E">
      <w:pPr>
        <w:tabs>
          <w:tab w:val="left" w:pos="0"/>
          <w:tab w:val="left" w:pos="426"/>
          <w:tab w:val="left" w:pos="1134"/>
        </w:tabs>
        <w:suppressAutoHyphens/>
        <w:autoSpaceDE w:val="0"/>
        <w:autoSpaceDN w:val="0"/>
        <w:adjustRightInd w:val="0"/>
        <w:spacing w:before="100" w:beforeAutospacing="1" w:line="300" w:lineRule="auto"/>
        <w:ind w:left="709"/>
        <w:rPr>
          <w:rFonts w:ascii="Times New Roman" w:hAnsi="Times New Roman" w:cs="Times New Roman"/>
          <w:b/>
          <w:bCs/>
          <w:kern w:val="24"/>
          <w:sz w:val="24"/>
          <w:szCs w:val="24"/>
        </w:rPr>
      </w:pPr>
      <w:r>
        <w:rPr>
          <w:rFonts w:ascii="Times New Roman" w:hAnsi="Times New Roman" w:cs="Times New Roman"/>
          <w:b/>
          <w:bCs/>
          <w:kern w:val="24"/>
          <w:sz w:val="24"/>
          <w:szCs w:val="24"/>
        </w:rPr>
        <w:t xml:space="preserve">2- </w:t>
      </w:r>
      <w:r w:rsidRPr="005D02A7">
        <w:rPr>
          <w:rFonts w:ascii="Times New Roman" w:hAnsi="Times New Roman" w:cs="Times New Roman"/>
          <w:b/>
          <w:bCs/>
          <w:kern w:val="24"/>
          <w:sz w:val="24"/>
          <w:szCs w:val="24"/>
        </w:rPr>
        <w:t>Les apports de la recherche</w:t>
      </w:r>
    </w:p>
    <w:p w14:paraId="4EEB5EB1" w14:textId="77777777" w:rsidR="004B703E" w:rsidRPr="001F7AA5" w:rsidRDefault="004B703E" w:rsidP="004B703E">
      <w:pPr>
        <w:suppressAutoHyphens/>
        <w:spacing w:before="120" w:after="120" w:line="300" w:lineRule="auto"/>
        <w:ind w:firstLine="709"/>
        <w:rPr>
          <w:rFonts w:ascii="Times New Roman" w:hAnsi="Times New Roman" w:cs="Times New Roman"/>
          <w:kern w:val="24"/>
          <w:sz w:val="24"/>
          <w:szCs w:val="24"/>
        </w:rPr>
      </w:pPr>
      <w:r w:rsidRPr="001F7AA5">
        <w:rPr>
          <w:rFonts w:ascii="Times New Roman" w:hAnsi="Times New Roman" w:cs="Times New Roman"/>
          <w:kern w:val="24"/>
          <w:sz w:val="24"/>
          <w:szCs w:val="24"/>
        </w:rPr>
        <w:t>En comparaison à la banque conventionnelle, l’émergence de la banque islamique demeure encore récente. Toute recherche sur le plan académique, professionnel ou empirique concernant son activité retient l’attention en termes d’actualité, d’originalité et d’utilité. Les thèmes abordés au niveau de notre étude sur le terrain contribuent de par les résultats obtenus une meilleure compréhension théorique et pratique des risques encourus par les BI en général et ceux spécifiques aux instruments financiers participatifs.</w:t>
      </w:r>
    </w:p>
    <w:p w14:paraId="369C949A" w14:textId="77777777" w:rsidR="004B703E" w:rsidRPr="001F7AA5" w:rsidRDefault="004B703E" w:rsidP="004B703E">
      <w:pPr>
        <w:suppressAutoHyphens/>
        <w:spacing w:before="120" w:line="300" w:lineRule="auto"/>
        <w:ind w:firstLine="709"/>
        <w:rPr>
          <w:rFonts w:ascii="Times New Roman" w:hAnsi="Times New Roman" w:cs="Times New Roman"/>
          <w:b/>
          <w:bCs/>
          <w:kern w:val="24"/>
          <w:sz w:val="24"/>
          <w:szCs w:val="24"/>
        </w:rPr>
      </w:pPr>
      <w:r w:rsidRPr="001F7AA5">
        <w:rPr>
          <w:rFonts w:ascii="Times New Roman" w:hAnsi="Times New Roman" w:cs="Times New Roman"/>
          <w:b/>
          <w:bCs/>
          <w:kern w:val="24"/>
          <w:sz w:val="24"/>
          <w:szCs w:val="24"/>
        </w:rPr>
        <w:t>2.1</w:t>
      </w:r>
      <w:r>
        <w:rPr>
          <w:rFonts w:ascii="Times New Roman" w:hAnsi="Times New Roman" w:cs="Times New Roman"/>
          <w:b/>
          <w:bCs/>
          <w:kern w:val="24"/>
          <w:sz w:val="24"/>
          <w:szCs w:val="24"/>
        </w:rPr>
        <w:t xml:space="preserve">- </w:t>
      </w:r>
      <w:r w:rsidRPr="001F7AA5">
        <w:rPr>
          <w:rFonts w:ascii="Times New Roman" w:hAnsi="Times New Roman" w:cs="Times New Roman"/>
          <w:b/>
          <w:bCs/>
          <w:kern w:val="24"/>
          <w:sz w:val="24"/>
          <w:szCs w:val="24"/>
        </w:rPr>
        <w:t xml:space="preserve">Les apports </w:t>
      </w:r>
      <w:r>
        <w:rPr>
          <w:rFonts w:ascii="Times New Roman" w:hAnsi="Times New Roman" w:cs="Times New Roman"/>
          <w:b/>
          <w:bCs/>
          <w:kern w:val="24"/>
          <w:sz w:val="24"/>
          <w:szCs w:val="24"/>
        </w:rPr>
        <w:t>relatifs aux banques islamiques</w:t>
      </w:r>
    </w:p>
    <w:p w14:paraId="2FFDABCB" w14:textId="77777777" w:rsidR="004B703E" w:rsidRPr="001F7AA5" w:rsidRDefault="004B703E" w:rsidP="004B703E">
      <w:pPr>
        <w:pStyle w:val="Paragraphedeliste"/>
        <w:tabs>
          <w:tab w:val="left" w:pos="0"/>
        </w:tabs>
        <w:suppressAutoHyphens/>
        <w:autoSpaceDE w:val="0"/>
        <w:autoSpaceDN w:val="0"/>
        <w:adjustRightInd w:val="0"/>
        <w:spacing w:before="120" w:line="300" w:lineRule="auto"/>
        <w:ind w:left="0" w:firstLine="709"/>
        <w:contextualSpacing w:val="0"/>
        <w:rPr>
          <w:rFonts w:ascii="Times New Roman" w:hAnsi="Times New Roman" w:cs="Times New Roman"/>
          <w:b/>
          <w:bCs/>
          <w:kern w:val="24"/>
          <w:sz w:val="24"/>
          <w:szCs w:val="24"/>
        </w:rPr>
      </w:pPr>
      <w:r w:rsidRPr="001F7AA5">
        <w:rPr>
          <w:rFonts w:ascii="Times New Roman" w:hAnsi="Times New Roman" w:cs="Times New Roman"/>
          <w:kern w:val="24"/>
          <w:sz w:val="24"/>
          <w:szCs w:val="24"/>
        </w:rPr>
        <w:t xml:space="preserve">Les apports théoriques de notre thèse dans le cadre de la gestion des risques dans les banques islamiques en général se résument </w:t>
      </w:r>
      <w:r>
        <w:rPr>
          <w:rFonts w:ascii="Times New Roman" w:hAnsi="Times New Roman" w:cs="Times New Roman"/>
          <w:kern w:val="24"/>
          <w:sz w:val="24"/>
          <w:szCs w:val="24"/>
        </w:rPr>
        <w:t>aux points suivants</w:t>
      </w:r>
      <w:r w:rsidRPr="001F7AA5">
        <w:rPr>
          <w:rFonts w:ascii="Times New Roman" w:hAnsi="Times New Roman" w:cs="Times New Roman"/>
          <w:kern w:val="24"/>
          <w:sz w:val="24"/>
          <w:szCs w:val="24"/>
        </w:rPr>
        <w:t> :</w:t>
      </w:r>
    </w:p>
    <w:p w14:paraId="31B4480A" w14:textId="77777777" w:rsidR="004B703E" w:rsidRPr="00E853AB" w:rsidRDefault="004B703E" w:rsidP="00CB0FF1">
      <w:pPr>
        <w:pStyle w:val="Paragraphedeliste"/>
        <w:numPr>
          <w:ilvl w:val="0"/>
          <w:numId w:val="115"/>
        </w:numPr>
        <w:tabs>
          <w:tab w:val="left" w:pos="709"/>
          <w:tab w:val="left" w:pos="1134"/>
          <w:tab w:val="left" w:pos="1276"/>
        </w:tabs>
        <w:suppressAutoHyphens/>
        <w:spacing w:before="120" w:line="300" w:lineRule="auto"/>
        <w:ind w:left="993" w:hanging="284"/>
        <w:contextualSpacing w:val="0"/>
        <w:rPr>
          <w:rFonts w:asciiTheme="majorBidi" w:hAnsiTheme="majorBidi" w:cstheme="majorBidi"/>
          <w:kern w:val="24"/>
          <w:sz w:val="24"/>
          <w:szCs w:val="24"/>
        </w:rPr>
      </w:pPr>
      <w:r w:rsidRPr="00E853AB">
        <w:rPr>
          <w:rFonts w:asciiTheme="majorBidi" w:hAnsiTheme="majorBidi" w:cstheme="majorBidi"/>
          <w:kern w:val="24"/>
          <w:sz w:val="24"/>
          <w:szCs w:val="24"/>
        </w:rPr>
        <w:t>Les BI font face à de risques spécifiques dont les plus importants sont le risque commercial déplacé, le risque de réputation et le risque juridique.</w:t>
      </w:r>
    </w:p>
    <w:p w14:paraId="6C3C716F" w14:textId="77777777" w:rsidR="004B703E" w:rsidRPr="001F7AA5" w:rsidRDefault="004B703E" w:rsidP="00CB0FF1">
      <w:pPr>
        <w:pStyle w:val="Paragraphedeliste"/>
        <w:numPr>
          <w:ilvl w:val="0"/>
          <w:numId w:val="77"/>
        </w:numPr>
        <w:tabs>
          <w:tab w:val="left" w:pos="0"/>
          <w:tab w:val="left" w:pos="1276"/>
        </w:tabs>
        <w:suppressAutoHyphens/>
        <w:spacing w:before="120" w:line="300" w:lineRule="auto"/>
        <w:ind w:left="1276" w:hanging="284"/>
        <w:contextualSpacing w:val="0"/>
        <w:rPr>
          <w:rFonts w:ascii="Times New Roman" w:hAnsi="Times New Roman" w:cs="Times New Roman"/>
          <w:spacing w:val="-1"/>
          <w:kern w:val="24"/>
          <w:sz w:val="24"/>
          <w:szCs w:val="24"/>
        </w:rPr>
      </w:pPr>
      <w:r w:rsidRPr="001F7AA5">
        <w:rPr>
          <w:rFonts w:ascii="Times New Roman" w:hAnsi="Times New Roman" w:cs="Times New Roman"/>
          <w:spacing w:val="-1"/>
          <w:kern w:val="24"/>
          <w:sz w:val="24"/>
          <w:szCs w:val="24"/>
        </w:rPr>
        <w:t xml:space="preserve">Le risque commercial déplacé est lié aux comptes d’investissement participatif. L’insuffisance de rendement des actifs de la banque peut se transformer en crise de liquidité, conséquence de l’insatisfaction des déposants. Les détenteurs de ces comptes poursuivent deux objectifs peuvent être conflictuels : d’une part, le respect des préceptes de la </w:t>
      </w:r>
      <w:r w:rsidRPr="001F7AA5">
        <w:rPr>
          <w:rFonts w:ascii="Times New Roman" w:hAnsi="Times New Roman" w:cs="Times New Roman"/>
          <w:i/>
          <w:spacing w:val="-1"/>
          <w:kern w:val="24"/>
          <w:sz w:val="24"/>
          <w:szCs w:val="24"/>
        </w:rPr>
        <w:t>Shariah</w:t>
      </w:r>
      <w:r w:rsidRPr="001F7AA5">
        <w:rPr>
          <w:rFonts w:ascii="Times New Roman" w:hAnsi="Times New Roman" w:cs="Times New Roman"/>
          <w:spacing w:val="-1"/>
          <w:kern w:val="24"/>
          <w:sz w:val="24"/>
          <w:szCs w:val="24"/>
        </w:rPr>
        <w:t xml:space="preserve"> qui devrait les conduire à accepter les pertes éventuelles sur leurs dépôts et, d’autre part, l’optimisation financière qui aboutit à la recherche de la meilleure relation rendement-risque pour leurs investissements. Cela peut provoquer un retrait massif de leurs fonds investis. La banque islamique dispose de deux pratiques standards de rétention de réserves pour atténuer le risque commercial déplacé : </w:t>
      </w:r>
      <w:r w:rsidRPr="005D02A7">
        <w:rPr>
          <w:rFonts w:ascii="Times New Roman" w:hAnsi="Times New Roman" w:cs="Times New Roman"/>
          <w:i/>
          <w:iCs/>
          <w:spacing w:val="-1"/>
          <w:kern w:val="24"/>
          <w:sz w:val="24"/>
          <w:szCs w:val="24"/>
        </w:rPr>
        <w:t>Profit Equalisation Reserve</w:t>
      </w:r>
      <w:r w:rsidRPr="001F7AA5">
        <w:rPr>
          <w:rFonts w:ascii="Times New Roman" w:hAnsi="Times New Roman" w:cs="Times New Roman"/>
          <w:spacing w:val="-1"/>
          <w:kern w:val="24"/>
          <w:sz w:val="24"/>
          <w:szCs w:val="24"/>
        </w:rPr>
        <w:t xml:space="preserve"> (PER) et </w:t>
      </w:r>
      <w:r w:rsidRPr="005D02A7">
        <w:rPr>
          <w:rFonts w:ascii="Times New Roman" w:hAnsi="Times New Roman" w:cs="Times New Roman"/>
          <w:i/>
          <w:iCs/>
          <w:spacing w:val="-1"/>
          <w:kern w:val="24"/>
          <w:sz w:val="24"/>
          <w:szCs w:val="24"/>
        </w:rPr>
        <w:t>Investment Risk Reserve</w:t>
      </w:r>
      <w:r w:rsidRPr="001F7AA5">
        <w:rPr>
          <w:rFonts w:ascii="Times New Roman" w:hAnsi="Times New Roman" w:cs="Times New Roman"/>
          <w:spacing w:val="-1"/>
          <w:kern w:val="24"/>
          <w:sz w:val="24"/>
          <w:szCs w:val="24"/>
        </w:rPr>
        <w:t>. Ces deux réserves sont proposées par l’AAOIFI et recommandées par l’IFSB.</w:t>
      </w:r>
    </w:p>
    <w:p w14:paraId="65D8AC4D" w14:textId="2159298E" w:rsidR="004B703E" w:rsidRPr="001F7AA5" w:rsidRDefault="004B703E" w:rsidP="00CB0FF1">
      <w:pPr>
        <w:pStyle w:val="Paragraphedeliste"/>
        <w:numPr>
          <w:ilvl w:val="0"/>
          <w:numId w:val="77"/>
        </w:numPr>
        <w:tabs>
          <w:tab w:val="left" w:pos="0"/>
          <w:tab w:val="left" w:pos="1276"/>
        </w:tabs>
        <w:suppressAutoHyphens/>
        <w:spacing w:before="120" w:line="300" w:lineRule="auto"/>
        <w:ind w:left="1276"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shd w:val="clear" w:color="auto" w:fill="FFFFFF"/>
        </w:rPr>
        <w:t xml:space="preserve">Le risque de réputation </w:t>
      </w:r>
      <w:r>
        <w:rPr>
          <w:rFonts w:ascii="Times New Roman" w:hAnsi="Times New Roman" w:cs="Times New Roman"/>
          <w:kern w:val="24"/>
          <w:sz w:val="24"/>
          <w:szCs w:val="24"/>
          <w:shd w:val="clear" w:color="auto" w:fill="FFFFFF"/>
        </w:rPr>
        <w:t>a une importance particulière pour les clients de la banque islamique</w:t>
      </w:r>
      <w:r w:rsidRPr="001F7AA5">
        <w:rPr>
          <w:rFonts w:ascii="Times New Roman" w:hAnsi="Times New Roman" w:cs="Times New Roman"/>
          <w:kern w:val="24"/>
          <w:sz w:val="24"/>
          <w:szCs w:val="24"/>
          <w:shd w:val="clear" w:color="auto" w:fill="FFFFFF"/>
        </w:rPr>
        <w:t>. La configuration la plus rédhibitoire pour une institution financière islamique serait d'être considérée comme insuffisamment « </w:t>
      </w:r>
      <w:r w:rsidRPr="001F7AA5">
        <w:rPr>
          <w:rFonts w:ascii="Times New Roman" w:hAnsi="Times New Roman" w:cs="Times New Roman"/>
          <w:i/>
          <w:kern w:val="24"/>
          <w:sz w:val="24"/>
          <w:szCs w:val="24"/>
        </w:rPr>
        <w:t>Shariah</w:t>
      </w:r>
      <w:r w:rsidRPr="001F7AA5">
        <w:rPr>
          <w:rFonts w:ascii="Times New Roman" w:hAnsi="Times New Roman" w:cs="Times New Roman"/>
          <w:kern w:val="24"/>
          <w:sz w:val="24"/>
          <w:szCs w:val="24"/>
          <w:shd w:val="clear" w:color="auto" w:fill="FFFFFF"/>
        </w:rPr>
        <w:t xml:space="preserve">-compatible », quand bien même elle pourrait se prévaloir des avis rendus par son organe </w:t>
      </w:r>
      <w:r w:rsidR="00DB4926" w:rsidRPr="00DB4926">
        <w:rPr>
          <w:rFonts w:ascii="Times New Roman" w:hAnsi="Times New Roman" w:cs="Times New Roman"/>
          <w:iCs/>
          <w:kern w:val="24"/>
          <w:sz w:val="24"/>
          <w:szCs w:val="24"/>
        </w:rPr>
        <w:t>c</w:t>
      </w:r>
      <w:r w:rsidRPr="00DB4926">
        <w:rPr>
          <w:rFonts w:ascii="Times New Roman" w:hAnsi="Times New Roman" w:cs="Times New Roman"/>
          <w:iCs/>
          <w:kern w:val="24"/>
          <w:sz w:val="24"/>
          <w:szCs w:val="24"/>
        </w:rPr>
        <w:t>hariatique</w:t>
      </w:r>
      <w:r w:rsidRPr="001F7AA5">
        <w:rPr>
          <w:rFonts w:ascii="Times New Roman" w:hAnsi="Times New Roman" w:cs="Times New Roman"/>
          <w:kern w:val="24"/>
          <w:sz w:val="24"/>
          <w:szCs w:val="24"/>
          <w:shd w:val="clear" w:color="auto" w:fill="FFFFFF"/>
        </w:rPr>
        <w:t xml:space="preserve"> de supervision. Si les clients constatent que la finance pratiquée n'est pas au-dessus de tout soupçon, le risque d'une hémorragie des dépôts serait bientôt insurmontable. </w:t>
      </w:r>
      <w:r w:rsidRPr="001F7AA5">
        <w:rPr>
          <w:rFonts w:ascii="Times New Roman" w:hAnsi="Times New Roman" w:cs="Times New Roman"/>
          <w:kern w:val="24"/>
          <w:sz w:val="24"/>
          <w:szCs w:val="24"/>
        </w:rPr>
        <w:t xml:space="preserve">Les </w:t>
      </w:r>
      <w:r>
        <w:rPr>
          <w:rFonts w:ascii="Times New Roman" w:hAnsi="Times New Roman" w:cs="Times New Roman"/>
          <w:kern w:val="24"/>
          <w:sz w:val="24"/>
          <w:szCs w:val="24"/>
        </w:rPr>
        <w:t xml:space="preserve">cas de </w:t>
      </w:r>
      <w:r w:rsidRPr="001F7AA5">
        <w:rPr>
          <w:rFonts w:ascii="Times New Roman" w:hAnsi="Times New Roman" w:cs="Times New Roman"/>
          <w:kern w:val="24"/>
          <w:sz w:val="24"/>
          <w:szCs w:val="24"/>
        </w:rPr>
        <w:t>risque de réputation sont difficiles à identifier, à quantifier et à réduire. Les banques islamiques ne peuvent s’en prémunir qu’en favorisant un degré élevé d’intégrité et de déontologie, décliné jusqu’au niveau le plus individuel.</w:t>
      </w:r>
    </w:p>
    <w:p w14:paraId="44570547" w14:textId="77777777" w:rsidR="004B703E" w:rsidRPr="001F7AA5" w:rsidRDefault="004B703E" w:rsidP="00CB0FF1">
      <w:pPr>
        <w:pStyle w:val="Paragraphedeliste"/>
        <w:numPr>
          <w:ilvl w:val="0"/>
          <w:numId w:val="77"/>
        </w:numPr>
        <w:tabs>
          <w:tab w:val="left" w:pos="0"/>
        </w:tabs>
        <w:suppressAutoHyphens/>
        <w:spacing w:before="120" w:line="300" w:lineRule="auto"/>
        <w:ind w:left="1276" w:hanging="284"/>
        <w:contextualSpacing w:val="0"/>
        <w:rPr>
          <w:rFonts w:ascii="Times New Roman" w:hAnsi="Times New Roman" w:cs="Times New Roman"/>
          <w:kern w:val="24"/>
          <w:sz w:val="24"/>
          <w:szCs w:val="24"/>
        </w:rPr>
      </w:pPr>
      <w:r>
        <w:rPr>
          <w:rFonts w:ascii="Times New Roman" w:hAnsi="Times New Roman" w:cs="Times New Roman"/>
          <w:kern w:val="24"/>
          <w:sz w:val="24"/>
          <w:szCs w:val="24"/>
        </w:rPr>
        <w:t>L</w:t>
      </w:r>
      <w:r w:rsidRPr="001F7AA5">
        <w:rPr>
          <w:rFonts w:ascii="Times New Roman" w:hAnsi="Times New Roman" w:cs="Times New Roman"/>
          <w:kern w:val="24"/>
          <w:sz w:val="24"/>
          <w:szCs w:val="24"/>
        </w:rPr>
        <w:t>e risque juridique</w:t>
      </w:r>
      <w:r>
        <w:rPr>
          <w:rFonts w:ascii="Times New Roman" w:hAnsi="Times New Roman" w:cs="Times New Roman"/>
          <w:kern w:val="24"/>
          <w:sz w:val="24"/>
          <w:szCs w:val="24"/>
        </w:rPr>
        <w:t xml:space="preserve"> </w:t>
      </w:r>
      <w:r w:rsidRPr="001F7AA5">
        <w:rPr>
          <w:rFonts w:ascii="Times New Roman" w:hAnsi="Times New Roman" w:cs="Times New Roman"/>
          <w:kern w:val="24"/>
          <w:sz w:val="24"/>
          <w:szCs w:val="24"/>
        </w:rPr>
        <w:t>est dû</w:t>
      </w:r>
      <w:r>
        <w:rPr>
          <w:rFonts w:ascii="Times New Roman" w:hAnsi="Times New Roman" w:cs="Times New Roman"/>
          <w:kern w:val="24"/>
          <w:sz w:val="24"/>
          <w:szCs w:val="24"/>
        </w:rPr>
        <w:t xml:space="preserve"> </w:t>
      </w:r>
      <w:r w:rsidRPr="001F7AA5">
        <w:rPr>
          <w:rFonts w:ascii="Times New Roman" w:hAnsi="Times New Roman" w:cs="Times New Roman"/>
          <w:kern w:val="24"/>
          <w:sz w:val="24"/>
          <w:szCs w:val="24"/>
        </w:rPr>
        <w:t xml:space="preserve">aux </w:t>
      </w:r>
      <w:r w:rsidRPr="001F7AA5">
        <w:rPr>
          <w:rFonts w:asciiTheme="majorBidi" w:hAnsiTheme="majorBidi" w:cstheme="majorBidi"/>
          <w:kern w:val="24"/>
          <w:sz w:val="24"/>
          <w:szCs w:val="24"/>
          <w:shd w:val="clear" w:color="auto" w:fill="FFFFFF"/>
        </w:rPr>
        <w:t>ambiguïtés ou inadaptations des textes législatifs et réglementaires régissant les contrats financiers</w:t>
      </w:r>
      <w:r w:rsidRPr="001F7AA5">
        <w:rPr>
          <w:rFonts w:ascii="Times New Roman" w:hAnsi="Times New Roman" w:cs="Times New Roman"/>
          <w:kern w:val="24"/>
          <w:sz w:val="24"/>
          <w:szCs w:val="24"/>
        </w:rPr>
        <w:t xml:space="preserve"> qui pourraient créer des insuffisances en termes de gestion. Pour garantir la sécurité juridique des parties, il s’avère nécessaire d’adopter de nouvelles pratiques contractuelles et améliorer la gouvernance des banques islamiques. Le rôle des </w:t>
      </w:r>
      <w:r w:rsidRPr="001F7AA5">
        <w:rPr>
          <w:rFonts w:ascii="Times New Roman" w:hAnsi="Times New Roman" w:cs="Times New Roman"/>
          <w:i/>
          <w:spacing w:val="-1"/>
          <w:kern w:val="24"/>
          <w:sz w:val="24"/>
          <w:szCs w:val="24"/>
        </w:rPr>
        <w:t>Shariah</w:t>
      </w:r>
      <w:r w:rsidRPr="001F7AA5">
        <w:rPr>
          <w:rFonts w:ascii="Times New Roman" w:hAnsi="Times New Roman" w:cs="Times New Roman"/>
          <w:kern w:val="24"/>
          <w:sz w:val="24"/>
          <w:szCs w:val="24"/>
        </w:rPr>
        <w:t>-</w:t>
      </w:r>
      <w:r w:rsidRPr="001F7AA5">
        <w:rPr>
          <w:rFonts w:ascii="Times New Roman" w:hAnsi="Times New Roman" w:cs="Times New Roman"/>
          <w:i/>
          <w:iCs/>
          <w:kern w:val="24"/>
          <w:sz w:val="24"/>
          <w:szCs w:val="24"/>
        </w:rPr>
        <w:t>boards</w:t>
      </w:r>
      <w:r w:rsidRPr="001F7AA5">
        <w:rPr>
          <w:rFonts w:ascii="Times New Roman" w:hAnsi="Times New Roman" w:cs="Times New Roman"/>
          <w:kern w:val="24"/>
          <w:sz w:val="24"/>
          <w:szCs w:val="24"/>
        </w:rPr>
        <w:t xml:space="preserve"> doit être </w:t>
      </w:r>
      <w:r>
        <w:rPr>
          <w:rFonts w:ascii="Times New Roman" w:hAnsi="Times New Roman" w:cs="Times New Roman"/>
          <w:kern w:val="24"/>
          <w:sz w:val="24"/>
          <w:szCs w:val="24"/>
        </w:rPr>
        <w:t xml:space="preserve">permanent et </w:t>
      </w:r>
      <w:r w:rsidRPr="001F7AA5">
        <w:rPr>
          <w:rFonts w:ascii="Times New Roman" w:hAnsi="Times New Roman" w:cs="Times New Roman"/>
          <w:kern w:val="24"/>
          <w:sz w:val="24"/>
          <w:szCs w:val="24"/>
        </w:rPr>
        <w:t>renforcé</w:t>
      </w:r>
      <w:r>
        <w:rPr>
          <w:rFonts w:ascii="Times New Roman" w:hAnsi="Times New Roman" w:cs="Times New Roman"/>
          <w:kern w:val="24"/>
          <w:sz w:val="24"/>
          <w:szCs w:val="24"/>
        </w:rPr>
        <w:t>.</w:t>
      </w:r>
    </w:p>
    <w:p w14:paraId="59723F92" w14:textId="77777777" w:rsidR="004B703E" w:rsidRPr="001F7AA5" w:rsidRDefault="004B703E" w:rsidP="00CB0FF1">
      <w:pPr>
        <w:pStyle w:val="Paragraphedeliste"/>
        <w:numPr>
          <w:ilvl w:val="0"/>
          <w:numId w:val="115"/>
        </w:numPr>
        <w:tabs>
          <w:tab w:val="left" w:pos="426"/>
          <w:tab w:val="left" w:pos="709"/>
          <w:tab w:val="center" w:pos="1134"/>
        </w:tabs>
        <w:suppressAutoHyphens/>
        <w:spacing w:before="120" w:line="300" w:lineRule="auto"/>
        <w:ind w:left="993"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 xml:space="preserve">Les techniques d’identification et de gestion des risques </w:t>
      </w:r>
      <w:r>
        <w:rPr>
          <w:rFonts w:ascii="Times New Roman" w:hAnsi="Times New Roman" w:cs="Times New Roman"/>
          <w:kern w:val="24"/>
          <w:sz w:val="24"/>
          <w:szCs w:val="24"/>
        </w:rPr>
        <w:t>conçues</w:t>
      </w:r>
      <w:r w:rsidRPr="001F7AA5">
        <w:rPr>
          <w:rFonts w:ascii="Times New Roman" w:hAnsi="Times New Roman" w:cs="Times New Roman"/>
          <w:kern w:val="24"/>
          <w:sz w:val="24"/>
          <w:szCs w:val="24"/>
        </w:rPr>
        <w:t xml:space="preserve"> pour les banques islamiques sont de deux types :</w:t>
      </w:r>
    </w:p>
    <w:p w14:paraId="0EFDA885" w14:textId="77777777" w:rsidR="004B703E" w:rsidRPr="001F7AA5" w:rsidRDefault="004B703E" w:rsidP="00CB0FF1">
      <w:pPr>
        <w:pStyle w:val="Paragraphedeliste"/>
        <w:numPr>
          <w:ilvl w:val="0"/>
          <w:numId w:val="76"/>
        </w:numPr>
        <w:tabs>
          <w:tab w:val="left" w:pos="0"/>
          <w:tab w:val="left" w:pos="426"/>
          <w:tab w:val="center" w:pos="1134"/>
        </w:tabs>
        <w:suppressAutoHyphens/>
        <w:spacing w:line="300" w:lineRule="auto"/>
        <w:ind w:left="1276"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Le</w:t>
      </w:r>
      <w:r>
        <w:rPr>
          <w:rFonts w:ascii="Times New Roman" w:hAnsi="Times New Roman" w:cs="Times New Roman"/>
          <w:kern w:val="24"/>
          <w:sz w:val="24"/>
          <w:szCs w:val="24"/>
        </w:rPr>
        <w:t>s</w:t>
      </w:r>
      <w:r w:rsidRPr="001F7AA5">
        <w:rPr>
          <w:rFonts w:ascii="Times New Roman" w:hAnsi="Times New Roman" w:cs="Times New Roman"/>
          <w:kern w:val="24"/>
          <w:sz w:val="24"/>
          <w:szCs w:val="24"/>
        </w:rPr>
        <w:t xml:space="preserve"> techniques standard qui vont avec les principes de la finance islamique</w:t>
      </w:r>
      <w:r>
        <w:rPr>
          <w:rFonts w:ascii="Times New Roman" w:hAnsi="Times New Roman" w:cs="Times New Roman"/>
          <w:kern w:val="24"/>
          <w:sz w:val="24"/>
          <w:szCs w:val="24"/>
        </w:rPr>
        <w:t> :</w:t>
      </w:r>
      <w:r w:rsidRPr="001F7AA5">
        <w:rPr>
          <w:rFonts w:ascii="Times New Roman" w:hAnsi="Times New Roman" w:cs="Times New Roman"/>
          <w:kern w:val="24"/>
          <w:sz w:val="24"/>
          <w:szCs w:val="24"/>
        </w:rPr>
        <w:t xml:space="preserve"> audit interne et externe, analyse différentielle, RAROC, rating interne, etc.</w:t>
      </w:r>
    </w:p>
    <w:p w14:paraId="3436C00C" w14:textId="77777777" w:rsidR="004B703E" w:rsidRPr="001F7AA5" w:rsidRDefault="004B703E" w:rsidP="00CB0FF1">
      <w:pPr>
        <w:pStyle w:val="Paragraphedeliste"/>
        <w:numPr>
          <w:ilvl w:val="0"/>
          <w:numId w:val="76"/>
        </w:numPr>
        <w:tabs>
          <w:tab w:val="left" w:pos="0"/>
          <w:tab w:val="left" w:pos="426"/>
          <w:tab w:val="center" w:pos="1134"/>
        </w:tabs>
        <w:suppressAutoHyphens/>
        <w:spacing w:line="300" w:lineRule="auto"/>
        <w:ind w:left="1276"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Le</w:t>
      </w:r>
      <w:r>
        <w:rPr>
          <w:rFonts w:ascii="Times New Roman" w:hAnsi="Times New Roman" w:cs="Times New Roman"/>
          <w:kern w:val="24"/>
          <w:sz w:val="24"/>
          <w:szCs w:val="24"/>
        </w:rPr>
        <w:t>s</w:t>
      </w:r>
      <w:r w:rsidRPr="001F7AA5">
        <w:rPr>
          <w:rFonts w:ascii="Times New Roman" w:hAnsi="Times New Roman" w:cs="Times New Roman"/>
          <w:kern w:val="24"/>
          <w:sz w:val="24"/>
          <w:szCs w:val="24"/>
        </w:rPr>
        <w:t xml:space="preserve"> techniques qui ont besoin d’être développées ou adaptées selon les exigences de la </w:t>
      </w:r>
      <w:r w:rsidRPr="001F7AA5">
        <w:rPr>
          <w:rFonts w:ascii="Times New Roman" w:hAnsi="Times New Roman" w:cs="Times New Roman"/>
          <w:i/>
          <w:spacing w:val="-1"/>
          <w:kern w:val="24"/>
          <w:sz w:val="24"/>
          <w:szCs w:val="24"/>
        </w:rPr>
        <w:t>Shariah</w:t>
      </w:r>
      <w:r w:rsidRPr="001F7AA5">
        <w:rPr>
          <w:rFonts w:ascii="Times New Roman" w:hAnsi="Times New Roman" w:cs="Times New Roman"/>
          <w:spacing w:val="-1"/>
          <w:kern w:val="24"/>
          <w:sz w:val="24"/>
          <w:szCs w:val="24"/>
        </w:rPr>
        <w:t xml:space="preserve"> </w:t>
      </w:r>
      <w:r w:rsidRPr="001F7AA5">
        <w:rPr>
          <w:rFonts w:ascii="Times New Roman" w:hAnsi="Times New Roman" w:cs="Times New Roman"/>
          <w:kern w:val="24"/>
          <w:sz w:val="24"/>
          <w:szCs w:val="24"/>
        </w:rPr>
        <w:t>comme la titrisation et les produits dérivés.</w:t>
      </w:r>
    </w:p>
    <w:p w14:paraId="33725C02" w14:textId="77777777" w:rsidR="004B703E" w:rsidRPr="001F7AA5" w:rsidRDefault="004B703E" w:rsidP="00CB0FF1">
      <w:pPr>
        <w:pStyle w:val="Paragraphedeliste"/>
        <w:numPr>
          <w:ilvl w:val="0"/>
          <w:numId w:val="115"/>
        </w:numPr>
        <w:tabs>
          <w:tab w:val="left" w:pos="0"/>
          <w:tab w:val="left" w:pos="426"/>
          <w:tab w:val="center" w:pos="1134"/>
        </w:tabs>
        <w:suppressAutoHyphens/>
        <w:spacing w:before="120" w:after="120" w:line="300" w:lineRule="auto"/>
        <w:ind w:left="993" w:hanging="284"/>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L’application des normes prudentielles dans les BI s’avère difficile à cause de leur</w:t>
      </w:r>
      <w:r w:rsidRPr="001F7AA5">
        <w:rPr>
          <w:kern w:val="24"/>
        </w:rPr>
        <w:t xml:space="preserve"> </w:t>
      </w:r>
      <w:r w:rsidRPr="001F7AA5">
        <w:rPr>
          <w:rFonts w:asciiTheme="majorBidi" w:hAnsiTheme="majorBidi" w:cstheme="majorBidi"/>
          <w:kern w:val="24"/>
          <w:sz w:val="24"/>
          <w:szCs w:val="24"/>
        </w:rPr>
        <w:t>structure bilancielle spécifique</w:t>
      </w:r>
      <w:r w:rsidRPr="001F7AA5">
        <w:rPr>
          <w:kern w:val="24"/>
        </w:rPr>
        <w:t>.</w:t>
      </w:r>
      <w:r w:rsidRPr="001F7AA5">
        <w:rPr>
          <w:rFonts w:ascii="Times New Roman" w:hAnsi="Times New Roman" w:cs="Times New Roman"/>
          <w:kern w:val="24"/>
          <w:sz w:val="24"/>
          <w:szCs w:val="24"/>
        </w:rPr>
        <w:t xml:space="preserve"> Les normes de Bâle relatives à la suffisance du capital ont poussé quelques banques islamiques à maintenir les dépôts d’investissement en dehors de leur bilan</w:t>
      </w:r>
      <w:r>
        <w:rPr>
          <w:rFonts w:ascii="Times New Roman" w:hAnsi="Times New Roman" w:cs="Times New Roman"/>
          <w:kern w:val="24"/>
          <w:sz w:val="24"/>
          <w:szCs w:val="24"/>
        </w:rPr>
        <w:t xml:space="preserve"> d’où un</w:t>
      </w:r>
      <w:r w:rsidRPr="001F7AA5">
        <w:rPr>
          <w:rFonts w:ascii="Times New Roman" w:hAnsi="Times New Roman" w:cs="Times New Roman"/>
          <w:kern w:val="24"/>
          <w:sz w:val="24"/>
          <w:szCs w:val="24"/>
        </w:rPr>
        <w:t xml:space="preserve"> affaibli</w:t>
      </w:r>
      <w:r>
        <w:rPr>
          <w:rFonts w:ascii="Times New Roman" w:hAnsi="Times New Roman" w:cs="Times New Roman"/>
          <w:kern w:val="24"/>
          <w:sz w:val="24"/>
          <w:szCs w:val="24"/>
        </w:rPr>
        <w:t xml:space="preserve">ssement de </w:t>
      </w:r>
      <w:r w:rsidRPr="001F7AA5">
        <w:rPr>
          <w:rFonts w:ascii="Times New Roman" w:hAnsi="Times New Roman" w:cs="Times New Roman"/>
          <w:kern w:val="24"/>
          <w:sz w:val="24"/>
          <w:szCs w:val="24"/>
        </w:rPr>
        <w:t xml:space="preserve">leur capital. </w:t>
      </w:r>
      <w:r>
        <w:rPr>
          <w:rFonts w:ascii="Times New Roman" w:hAnsi="Times New Roman" w:cs="Times New Roman"/>
          <w:kern w:val="24"/>
          <w:sz w:val="24"/>
          <w:szCs w:val="24"/>
        </w:rPr>
        <w:t xml:space="preserve">A cet effet, </w:t>
      </w:r>
      <w:r w:rsidRPr="001F7AA5">
        <w:rPr>
          <w:rFonts w:ascii="Times New Roman" w:hAnsi="Times New Roman" w:cs="Times New Roman"/>
          <w:kern w:val="24"/>
          <w:sz w:val="24"/>
          <w:szCs w:val="24"/>
        </w:rPr>
        <w:t xml:space="preserve">les normes établies par l’AAOIFI </w:t>
      </w:r>
      <w:r>
        <w:rPr>
          <w:rFonts w:ascii="Times New Roman" w:hAnsi="Times New Roman" w:cs="Times New Roman"/>
          <w:kern w:val="24"/>
          <w:sz w:val="24"/>
          <w:szCs w:val="24"/>
        </w:rPr>
        <w:t xml:space="preserve">ont remédié à cette situation propre aux BI ; il est </w:t>
      </w:r>
      <w:r w:rsidRPr="001F7AA5">
        <w:rPr>
          <w:rFonts w:ascii="Times New Roman" w:hAnsi="Times New Roman" w:cs="Times New Roman"/>
          <w:kern w:val="24"/>
          <w:sz w:val="24"/>
          <w:szCs w:val="24"/>
        </w:rPr>
        <w:t>exig</w:t>
      </w:r>
      <w:r>
        <w:rPr>
          <w:rFonts w:ascii="Times New Roman" w:hAnsi="Times New Roman" w:cs="Times New Roman"/>
          <w:kern w:val="24"/>
          <w:sz w:val="24"/>
          <w:szCs w:val="24"/>
        </w:rPr>
        <w:t>é</w:t>
      </w:r>
      <w:r w:rsidRPr="001F7AA5">
        <w:rPr>
          <w:rFonts w:ascii="Times New Roman" w:hAnsi="Times New Roman" w:cs="Times New Roman"/>
          <w:kern w:val="24"/>
          <w:sz w:val="24"/>
          <w:szCs w:val="24"/>
        </w:rPr>
        <w:t xml:space="preserve"> que les BI reportent ces dépôts sur leur bilan en partageant les risques entre les </w:t>
      </w:r>
      <w:r>
        <w:rPr>
          <w:rFonts w:ascii="Times New Roman" w:hAnsi="Times New Roman" w:cs="Times New Roman"/>
          <w:kern w:val="24"/>
          <w:sz w:val="24"/>
          <w:szCs w:val="24"/>
        </w:rPr>
        <w:t>déposants</w:t>
      </w:r>
      <w:r w:rsidRPr="001F7AA5">
        <w:rPr>
          <w:rFonts w:ascii="Times New Roman" w:hAnsi="Times New Roman" w:cs="Times New Roman"/>
          <w:kern w:val="24"/>
          <w:sz w:val="24"/>
          <w:szCs w:val="24"/>
        </w:rPr>
        <w:t xml:space="preserve"> et les actionnaires des BI</w:t>
      </w:r>
      <w:r>
        <w:rPr>
          <w:rFonts w:ascii="Times New Roman" w:hAnsi="Times New Roman" w:cs="Times New Roman"/>
          <w:kern w:val="24"/>
          <w:sz w:val="24"/>
          <w:szCs w:val="24"/>
        </w:rPr>
        <w:t>.</w:t>
      </w:r>
      <w:r w:rsidRPr="001F7AA5">
        <w:rPr>
          <w:rFonts w:ascii="Times New Roman" w:hAnsi="Times New Roman" w:cs="Times New Roman"/>
          <w:kern w:val="24"/>
          <w:sz w:val="24"/>
          <w:szCs w:val="24"/>
        </w:rPr>
        <w:t xml:space="preserve"> Par conséquent</w:t>
      </w:r>
      <w:r>
        <w:rPr>
          <w:rFonts w:ascii="Times New Roman" w:hAnsi="Times New Roman" w:cs="Times New Roman"/>
          <w:kern w:val="24"/>
          <w:sz w:val="24"/>
          <w:szCs w:val="24"/>
        </w:rPr>
        <w:t>,</w:t>
      </w:r>
      <w:r w:rsidRPr="001F7AA5">
        <w:rPr>
          <w:rFonts w:ascii="Times New Roman" w:hAnsi="Times New Roman" w:cs="Times New Roman"/>
          <w:kern w:val="24"/>
          <w:sz w:val="24"/>
          <w:szCs w:val="24"/>
        </w:rPr>
        <w:t xml:space="preserve"> le risque des actifs financés par les dépôts </w:t>
      </w:r>
      <w:r>
        <w:rPr>
          <w:rFonts w:ascii="Times New Roman" w:hAnsi="Times New Roman" w:cs="Times New Roman"/>
          <w:kern w:val="24"/>
          <w:sz w:val="24"/>
          <w:szCs w:val="24"/>
        </w:rPr>
        <w:t>est</w:t>
      </w:r>
      <w:r w:rsidRPr="001F7AA5">
        <w:rPr>
          <w:rFonts w:ascii="Times New Roman" w:hAnsi="Times New Roman" w:cs="Times New Roman"/>
          <w:kern w:val="24"/>
          <w:sz w:val="24"/>
          <w:szCs w:val="24"/>
        </w:rPr>
        <w:t xml:space="preserve"> assigné d’une pondération de 50% dans le but de déterminer les exigences en capital.</w:t>
      </w:r>
    </w:p>
    <w:p w14:paraId="454095CA" w14:textId="77777777" w:rsidR="004B703E" w:rsidRPr="001F7AA5" w:rsidRDefault="004B703E" w:rsidP="004B703E">
      <w:pPr>
        <w:pStyle w:val="Paragraphedeliste"/>
        <w:suppressAutoHyphens/>
        <w:spacing w:before="120" w:line="300" w:lineRule="auto"/>
        <w:ind w:left="992"/>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 xml:space="preserve">Par ailleurs, les modifications apportées par Bâle III </w:t>
      </w:r>
      <w:r>
        <w:rPr>
          <w:rFonts w:ascii="Times New Roman" w:hAnsi="Times New Roman" w:cs="Times New Roman"/>
          <w:kern w:val="24"/>
          <w:sz w:val="24"/>
          <w:szCs w:val="24"/>
        </w:rPr>
        <w:t>préconisent</w:t>
      </w:r>
      <w:r w:rsidRPr="001F7AA5">
        <w:rPr>
          <w:rFonts w:ascii="Times New Roman" w:hAnsi="Times New Roman" w:cs="Times New Roman"/>
          <w:kern w:val="24"/>
          <w:sz w:val="24"/>
          <w:szCs w:val="24"/>
        </w:rPr>
        <w:t xml:space="preserve"> l’augmentation des ratios des capitaux propres par rapport aux accords de Bâle I et II. Selon plusieurs études, les banques islamiques disposent d’un ratio de solvabilité bancaire qui satisfait largement les exigences de Bâle III</w:t>
      </w:r>
      <w:r>
        <w:rPr>
          <w:rFonts w:ascii="Times New Roman" w:hAnsi="Times New Roman" w:cs="Times New Roman"/>
          <w:kern w:val="24"/>
          <w:sz w:val="24"/>
          <w:szCs w:val="24"/>
        </w:rPr>
        <w:t>.</w:t>
      </w:r>
    </w:p>
    <w:p w14:paraId="59BF30C9" w14:textId="77777777" w:rsidR="004B703E" w:rsidRPr="001F7AA5" w:rsidRDefault="004B703E" w:rsidP="004B703E">
      <w:pPr>
        <w:keepNext/>
        <w:suppressAutoHyphens/>
        <w:spacing w:before="120" w:line="300" w:lineRule="auto"/>
        <w:ind w:firstLine="709"/>
        <w:rPr>
          <w:rFonts w:ascii="Times New Roman" w:hAnsi="Times New Roman" w:cs="Times New Roman"/>
          <w:b/>
          <w:bCs/>
          <w:kern w:val="24"/>
          <w:sz w:val="24"/>
          <w:szCs w:val="24"/>
        </w:rPr>
      </w:pPr>
      <w:r w:rsidRPr="001F7AA5">
        <w:rPr>
          <w:rFonts w:ascii="Times New Roman" w:hAnsi="Times New Roman" w:cs="Times New Roman"/>
          <w:b/>
          <w:bCs/>
          <w:kern w:val="24"/>
          <w:sz w:val="24"/>
          <w:szCs w:val="24"/>
        </w:rPr>
        <w:t>2.</w:t>
      </w:r>
      <w:r>
        <w:rPr>
          <w:rFonts w:ascii="Times New Roman" w:hAnsi="Times New Roman" w:cs="Times New Roman"/>
          <w:b/>
          <w:bCs/>
          <w:kern w:val="24"/>
          <w:sz w:val="24"/>
          <w:szCs w:val="24"/>
        </w:rPr>
        <w:t>2-</w:t>
      </w:r>
      <w:r w:rsidRPr="001F7AA5">
        <w:rPr>
          <w:rFonts w:ascii="Times New Roman" w:hAnsi="Times New Roman" w:cs="Times New Roman"/>
          <w:b/>
          <w:bCs/>
          <w:kern w:val="24"/>
          <w:sz w:val="24"/>
          <w:szCs w:val="24"/>
        </w:rPr>
        <w:t xml:space="preserve"> Les apports </w:t>
      </w:r>
      <w:r>
        <w:rPr>
          <w:rFonts w:ascii="Times New Roman" w:hAnsi="Times New Roman" w:cs="Times New Roman"/>
          <w:b/>
          <w:bCs/>
          <w:kern w:val="24"/>
          <w:sz w:val="24"/>
          <w:szCs w:val="24"/>
        </w:rPr>
        <w:t>relatifs aux modes de financement participatif</w:t>
      </w:r>
    </w:p>
    <w:p w14:paraId="16BF7706" w14:textId="77777777" w:rsidR="004B703E" w:rsidRPr="001F7AA5" w:rsidRDefault="004B703E" w:rsidP="004B703E">
      <w:pPr>
        <w:keepNext/>
        <w:tabs>
          <w:tab w:val="left" w:pos="0"/>
        </w:tabs>
        <w:suppressAutoHyphens/>
        <w:autoSpaceDE w:val="0"/>
        <w:autoSpaceDN w:val="0"/>
        <w:adjustRightInd w:val="0"/>
        <w:spacing w:before="120" w:line="300" w:lineRule="auto"/>
        <w:ind w:firstLine="709"/>
        <w:rPr>
          <w:rFonts w:ascii="Times New Roman" w:hAnsi="Times New Roman" w:cs="Times New Roman"/>
          <w:kern w:val="24"/>
          <w:sz w:val="24"/>
          <w:szCs w:val="24"/>
        </w:rPr>
      </w:pPr>
      <w:r>
        <w:rPr>
          <w:rFonts w:ascii="Times New Roman" w:hAnsi="Times New Roman" w:cs="Times New Roman"/>
          <w:kern w:val="24"/>
          <w:sz w:val="24"/>
          <w:szCs w:val="24"/>
        </w:rPr>
        <w:t>D</w:t>
      </w:r>
      <w:r w:rsidRPr="001F7AA5">
        <w:rPr>
          <w:rFonts w:ascii="Times New Roman" w:hAnsi="Times New Roman" w:cs="Times New Roman"/>
          <w:kern w:val="24"/>
          <w:sz w:val="24"/>
          <w:szCs w:val="24"/>
        </w:rPr>
        <w:t xml:space="preserve">ans le cadre de la gestion des risques liés </w:t>
      </w:r>
      <w:r>
        <w:rPr>
          <w:rFonts w:ascii="Times New Roman" w:hAnsi="Times New Roman" w:cs="Times New Roman"/>
          <w:kern w:val="24"/>
          <w:sz w:val="24"/>
          <w:szCs w:val="24"/>
        </w:rPr>
        <w:t>à la</w:t>
      </w:r>
      <w:r w:rsidRPr="001F7AA5">
        <w:rPr>
          <w:rFonts w:ascii="Times New Roman" w:hAnsi="Times New Roman" w:cs="Times New Roman"/>
          <w:kern w:val="24"/>
          <w:sz w:val="24"/>
          <w:szCs w:val="24"/>
        </w:rPr>
        <w:t xml:space="preserve"> </w:t>
      </w:r>
      <w:r w:rsidRPr="001F7AA5">
        <w:rPr>
          <w:rFonts w:ascii="Times New Roman" w:hAnsi="Times New Roman" w:cs="Times New Roman"/>
          <w:i/>
          <w:iCs/>
          <w:kern w:val="24"/>
          <w:sz w:val="24"/>
          <w:szCs w:val="24"/>
        </w:rPr>
        <w:t>moucharaka</w:t>
      </w:r>
      <w:r w:rsidRPr="001F7AA5">
        <w:rPr>
          <w:rFonts w:ascii="Times New Roman" w:hAnsi="Times New Roman" w:cs="Times New Roman"/>
          <w:kern w:val="24"/>
          <w:sz w:val="24"/>
          <w:szCs w:val="24"/>
        </w:rPr>
        <w:t xml:space="preserve"> et </w:t>
      </w:r>
      <w:r>
        <w:rPr>
          <w:rFonts w:ascii="Times New Roman" w:hAnsi="Times New Roman" w:cs="Times New Roman"/>
          <w:kern w:val="24"/>
          <w:sz w:val="24"/>
          <w:szCs w:val="24"/>
        </w:rPr>
        <w:t xml:space="preserve">à la </w:t>
      </w:r>
      <w:r w:rsidRPr="001F7AA5">
        <w:rPr>
          <w:rFonts w:ascii="Times New Roman" w:hAnsi="Times New Roman" w:cs="Times New Roman"/>
          <w:i/>
          <w:iCs/>
          <w:kern w:val="24"/>
          <w:sz w:val="24"/>
          <w:szCs w:val="24"/>
        </w:rPr>
        <w:t>moudaraba</w:t>
      </w:r>
      <w:r>
        <w:rPr>
          <w:rFonts w:ascii="Times New Roman" w:hAnsi="Times New Roman" w:cs="Times New Roman"/>
          <w:i/>
          <w:iCs/>
          <w:kern w:val="24"/>
          <w:sz w:val="24"/>
          <w:szCs w:val="24"/>
        </w:rPr>
        <w:t>,</w:t>
      </w:r>
      <w:r>
        <w:rPr>
          <w:rFonts w:ascii="Times New Roman" w:hAnsi="Times New Roman" w:cs="Times New Roman"/>
          <w:kern w:val="24"/>
          <w:sz w:val="24"/>
          <w:szCs w:val="24"/>
        </w:rPr>
        <w:t xml:space="preserve"> l</w:t>
      </w:r>
      <w:r w:rsidRPr="001F7AA5">
        <w:rPr>
          <w:rFonts w:ascii="Times New Roman" w:hAnsi="Times New Roman" w:cs="Times New Roman"/>
          <w:kern w:val="24"/>
          <w:sz w:val="24"/>
          <w:szCs w:val="24"/>
        </w:rPr>
        <w:t xml:space="preserve">es apports théoriques </w:t>
      </w:r>
      <w:r>
        <w:rPr>
          <w:rFonts w:ascii="Times New Roman" w:hAnsi="Times New Roman" w:cs="Times New Roman"/>
          <w:kern w:val="24"/>
          <w:sz w:val="24"/>
          <w:szCs w:val="24"/>
        </w:rPr>
        <w:t>peuvent être récapitulés comme suit :</w:t>
      </w:r>
    </w:p>
    <w:p w14:paraId="4A45D927" w14:textId="77777777" w:rsidR="004B703E" w:rsidRPr="005D02A7" w:rsidRDefault="004B703E" w:rsidP="00CB0FF1">
      <w:pPr>
        <w:pStyle w:val="Paragraphedeliste"/>
        <w:numPr>
          <w:ilvl w:val="0"/>
          <w:numId w:val="123"/>
        </w:numPr>
        <w:tabs>
          <w:tab w:val="left" w:pos="0"/>
          <w:tab w:val="left" w:pos="284"/>
          <w:tab w:val="center" w:pos="1134"/>
        </w:tabs>
        <w:suppressAutoHyphens/>
        <w:autoSpaceDE w:val="0"/>
        <w:autoSpaceDN w:val="0"/>
        <w:adjustRightInd w:val="0"/>
        <w:spacing w:before="120" w:line="300" w:lineRule="auto"/>
        <w:ind w:left="993" w:hanging="284"/>
        <w:contextualSpacing w:val="0"/>
        <w:rPr>
          <w:rFonts w:ascii="Times New Roman" w:hAnsi="Times New Roman" w:cs="Times New Roman"/>
          <w:b/>
          <w:bCs/>
          <w:kern w:val="24"/>
          <w:sz w:val="24"/>
          <w:szCs w:val="24"/>
        </w:rPr>
      </w:pPr>
      <w:r>
        <w:rPr>
          <w:rFonts w:ascii="Times New Roman" w:hAnsi="Times New Roman" w:cs="Times New Roman"/>
          <w:kern w:val="24"/>
          <w:sz w:val="24"/>
          <w:szCs w:val="24"/>
        </w:rPr>
        <w:t>La raison d’être d</w:t>
      </w:r>
      <w:r w:rsidRPr="005D02A7">
        <w:rPr>
          <w:rFonts w:ascii="Times New Roman" w:hAnsi="Times New Roman" w:cs="Times New Roman"/>
          <w:kern w:val="24"/>
          <w:sz w:val="24"/>
          <w:szCs w:val="24"/>
        </w:rPr>
        <w:t xml:space="preserve">es banques islamiques </w:t>
      </w:r>
      <w:r>
        <w:rPr>
          <w:rFonts w:ascii="Times New Roman" w:hAnsi="Times New Roman" w:cs="Times New Roman"/>
          <w:kern w:val="24"/>
          <w:sz w:val="24"/>
          <w:szCs w:val="24"/>
        </w:rPr>
        <w:t>est</w:t>
      </w:r>
      <w:r w:rsidRPr="005D02A7">
        <w:rPr>
          <w:rFonts w:ascii="Times New Roman" w:hAnsi="Times New Roman" w:cs="Times New Roman"/>
          <w:kern w:val="24"/>
          <w:sz w:val="24"/>
          <w:szCs w:val="24"/>
        </w:rPr>
        <w:t xml:space="preserve"> se livrer principalement </w:t>
      </w:r>
      <w:r>
        <w:rPr>
          <w:rFonts w:ascii="Times New Roman" w:hAnsi="Times New Roman" w:cs="Times New Roman"/>
          <w:kern w:val="24"/>
          <w:sz w:val="24"/>
          <w:szCs w:val="24"/>
        </w:rPr>
        <w:t>aux</w:t>
      </w:r>
      <w:r w:rsidRPr="005D02A7">
        <w:rPr>
          <w:rFonts w:ascii="Times New Roman" w:hAnsi="Times New Roman" w:cs="Times New Roman"/>
          <w:kern w:val="24"/>
          <w:sz w:val="24"/>
          <w:szCs w:val="24"/>
        </w:rPr>
        <w:t xml:space="preserve"> activités basées sur le principe de partage des profits et des pertes (PLS)</w:t>
      </w:r>
      <w:r>
        <w:rPr>
          <w:rFonts w:ascii="Times New Roman" w:hAnsi="Times New Roman" w:cs="Times New Roman"/>
          <w:kern w:val="24"/>
          <w:sz w:val="24"/>
          <w:szCs w:val="24"/>
        </w:rPr>
        <w:t> ;</w:t>
      </w:r>
      <w:r w:rsidRPr="005D02A7">
        <w:rPr>
          <w:rFonts w:ascii="Times New Roman" w:hAnsi="Times New Roman" w:cs="Times New Roman"/>
          <w:kern w:val="24"/>
          <w:sz w:val="24"/>
          <w:szCs w:val="24"/>
        </w:rPr>
        <w:t xml:space="preserve"> </w:t>
      </w:r>
      <w:r>
        <w:rPr>
          <w:rFonts w:ascii="Times New Roman" w:hAnsi="Times New Roman" w:cs="Times New Roman"/>
          <w:kern w:val="24"/>
          <w:sz w:val="24"/>
          <w:szCs w:val="24"/>
        </w:rPr>
        <w:t>dans ce cas,</w:t>
      </w:r>
      <w:r w:rsidRPr="005D02A7">
        <w:rPr>
          <w:rFonts w:ascii="Times New Roman" w:hAnsi="Times New Roman" w:cs="Times New Roman"/>
          <w:kern w:val="24"/>
          <w:sz w:val="24"/>
          <w:szCs w:val="24"/>
        </w:rPr>
        <w:t xml:space="preserve"> </w:t>
      </w:r>
      <w:r>
        <w:rPr>
          <w:rFonts w:ascii="Times New Roman" w:hAnsi="Times New Roman" w:cs="Times New Roman"/>
          <w:kern w:val="24"/>
          <w:sz w:val="24"/>
          <w:szCs w:val="24"/>
        </w:rPr>
        <w:t>l</w:t>
      </w:r>
      <w:r w:rsidRPr="005D02A7">
        <w:rPr>
          <w:rFonts w:ascii="Times New Roman" w:hAnsi="Times New Roman" w:cs="Times New Roman"/>
          <w:kern w:val="24"/>
          <w:sz w:val="24"/>
          <w:szCs w:val="24"/>
        </w:rPr>
        <w:t xml:space="preserve">es effets économiques </w:t>
      </w:r>
      <w:r>
        <w:rPr>
          <w:rFonts w:ascii="Times New Roman" w:hAnsi="Times New Roman" w:cs="Times New Roman"/>
          <w:kern w:val="24"/>
          <w:sz w:val="24"/>
          <w:szCs w:val="24"/>
        </w:rPr>
        <w:t xml:space="preserve">seraient </w:t>
      </w:r>
      <w:r w:rsidRPr="005D02A7">
        <w:rPr>
          <w:rFonts w:ascii="Times New Roman" w:hAnsi="Times New Roman" w:cs="Times New Roman"/>
          <w:kern w:val="24"/>
          <w:sz w:val="24"/>
          <w:szCs w:val="24"/>
        </w:rPr>
        <w:t xml:space="preserve">similaires à l’investissement direct et </w:t>
      </w:r>
      <w:r>
        <w:rPr>
          <w:rFonts w:ascii="Times New Roman" w:hAnsi="Times New Roman" w:cs="Times New Roman"/>
          <w:kern w:val="24"/>
          <w:sz w:val="24"/>
          <w:szCs w:val="24"/>
        </w:rPr>
        <w:t>auraient</w:t>
      </w:r>
      <w:r w:rsidRPr="005D02A7">
        <w:rPr>
          <w:rFonts w:ascii="Times New Roman" w:hAnsi="Times New Roman" w:cs="Times New Roman"/>
          <w:kern w:val="24"/>
          <w:sz w:val="24"/>
          <w:szCs w:val="24"/>
        </w:rPr>
        <w:t xml:space="preserve"> un impact sur le développement économique de la société.</w:t>
      </w:r>
    </w:p>
    <w:p w14:paraId="74A87AF1" w14:textId="77777777" w:rsidR="004B703E" w:rsidRPr="001F7AA5" w:rsidRDefault="004B703E" w:rsidP="00CB0FF1">
      <w:pPr>
        <w:pStyle w:val="Paragraphedeliste"/>
        <w:numPr>
          <w:ilvl w:val="0"/>
          <w:numId w:val="123"/>
        </w:numPr>
        <w:tabs>
          <w:tab w:val="left" w:pos="0"/>
        </w:tabs>
        <w:suppressAutoHyphens/>
        <w:autoSpaceDE w:val="0"/>
        <w:autoSpaceDN w:val="0"/>
        <w:adjustRightInd w:val="0"/>
        <w:spacing w:before="60" w:line="300" w:lineRule="auto"/>
        <w:ind w:left="993" w:hanging="284"/>
        <w:contextualSpacing w:val="0"/>
        <w:rPr>
          <w:rFonts w:asciiTheme="majorBidi" w:hAnsiTheme="majorBidi" w:cstheme="majorBidi"/>
          <w:kern w:val="24"/>
          <w:sz w:val="24"/>
          <w:szCs w:val="24"/>
        </w:rPr>
      </w:pPr>
      <w:r w:rsidRPr="001F7AA5">
        <w:rPr>
          <w:rFonts w:asciiTheme="majorBidi" w:hAnsiTheme="majorBidi" w:cstheme="majorBidi"/>
          <w:kern w:val="24"/>
          <w:sz w:val="24"/>
          <w:szCs w:val="24"/>
        </w:rPr>
        <w:t xml:space="preserve">L’utilisation des modes de </w:t>
      </w:r>
      <w:r>
        <w:rPr>
          <w:rFonts w:asciiTheme="majorBidi" w:hAnsiTheme="majorBidi" w:cstheme="majorBidi"/>
          <w:kern w:val="24"/>
          <w:sz w:val="24"/>
          <w:szCs w:val="24"/>
        </w:rPr>
        <w:t>financement partenarial</w:t>
      </w:r>
      <w:r w:rsidRPr="001F7AA5">
        <w:rPr>
          <w:rFonts w:asciiTheme="majorBidi" w:hAnsiTheme="majorBidi" w:cstheme="majorBidi"/>
          <w:kern w:val="24"/>
          <w:sz w:val="24"/>
          <w:szCs w:val="24"/>
        </w:rPr>
        <w:t xml:space="preserve"> est </w:t>
      </w:r>
      <w:r>
        <w:rPr>
          <w:rFonts w:asciiTheme="majorBidi" w:hAnsiTheme="majorBidi" w:cstheme="majorBidi"/>
          <w:kern w:val="24"/>
          <w:sz w:val="24"/>
          <w:szCs w:val="24"/>
        </w:rPr>
        <w:t xml:space="preserve">actuellement </w:t>
      </w:r>
      <w:r w:rsidRPr="001F7AA5">
        <w:rPr>
          <w:rFonts w:asciiTheme="majorBidi" w:hAnsiTheme="majorBidi" w:cstheme="majorBidi"/>
          <w:kern w:val="24"/>
          <w:sz w:val="24"/>
          <w:szCs w:val="24"/>
        </w:rPr>
        <w:t xml:space="preserve">très limitée. Il y a </w:t>
      </w:r>
      <w:r>
        <w:rPr>
          <w:rFonts w:asciiTheme="majorBidi" w:hAnsiTheme="majorBidi" w:cstheme="majorBidi"/>
          <w:kern w:val="24"/>
          <w:sz w:val="24"/>
          <w:szCs w:val="24"/>
        </w:rPr>
        <w:t>des</w:t>
      </w:r>
      <w:r w:rsidRPr="001F7AA5">
        <w:rPr>
          <w:rFonts w:asciiTheme="majorBidi" w:hAnsiTheme="majorBidi" w:cstheme="majorBidi"/>
          <w:kern w:val="24"/>
          <w:sz w:val="24"/>
          <w:szCs w:val="24"/>
        </w:rPr>
        <w:t xml:space="preserve"> raisons expliquant pourquoi les banques préfèrent les modes à </w:t>
      </w:r>
      <w:r>
        <w:rPr>
          <w:rFonts w:asciiTheme="majorBidi" w:hAnsiTheme="majorBidi" w:cstheme="majorBidi"/>
          <w:kern w:val="24"/>
          <w:sz w:val="24"/>
          <w:szCs w:val="24"/>
        </w:rPr>
        <w:t>marge commerciale, dont :</w:t>
      </w:r>
    </w:p>
    <w:p w14:paraId="7E815E37" w14:textId="77777777" w:rsidR="004B703E" w:rsidRPr="001F7AA5" w:rsidRDefault="004B703E" w:rsidP="00CB0FF1">
      <w:pPr>
        <w:pStyle w:val="Paragraphedeliste"/>
        <w:numPr>
          <w:ilvl w:val="0"/>
          <w:numId w:val="53"/>
        </w:numPr>
        <w:tabs>
          <w:tab w:val="left" w:pos="0"/>
          <w:tab w:val="left" w:pos="284"/>
          <w:tab w:val="left" w:pos="851"/>
          <w:tab w:val="left" w:pos="1134"/>
          <w:tab w:val="left" w:pos="1560"/>
        </w:tabs>
        <w:suppressAutoHyphens/>
        <w:autoSpaceDE w:val="0"/>
        <w:autoSpaceDN w:val="0"/>
        <w:adjustRightInd w:val="0"/>
        <w:spacing w:line="300" w:lineRule="auto"/>
        <w:ind w:left="1418" w:hanging="284"/>
        <w:contextualSpacing w:val="0"/>
        <w:rPr>
          <w:rFonts w:ascii="Times New Roman" w:hAnsi="Times New Roman" w:cs="Times New Roman"/>
          <w:color w:val="000000"/>
          <w:kern w:val="24"/>
          <w:sz w:val="24"/>
          <w:szCs w:val="24"/>
        </w:rPr>
      </w:pPr>
      <w:r w:rsidRPr="001F7AA5">
        <w:rPr>
          <w:rFonts w:ascii="Times New Roman" w:hAnsi="Times New Roman" w:cs="Times New Roman"/>
          <w:color w:val="000000"/>
          <w:kern w:val="24"/>
          <w:sz w:val="24"/>
          <w:szCs w:val="24"/>
        </w:rPr>
        <w:t xml:space="preserve">Les problèmes </w:t>
      </w:r>
      <w:r>
        <w:rPr>
          <w:rFonts w:ascii="Times New Roman" w:hAnsi="Times New Roman" w:cs="Times New Roman"/>
          <w:color w:val="000000"/>
          <w:kern w:val="24"/>
          <w:sz w:val="24"/>
          <w:szCs w:val="24"/>
        </w:rPr>
        <w:t xml:space="preserve">de </w:t>
      </w:r>
      <w:r w:rsidRPr="001F7AA5">
        <w:rPr>
          <w:rFonts w:ascii="Times New Roman" w:hAnsi="Times New Roman" w:cs="Times New Roman"/>
          <w:color w:val="000000"/>
          <w:kern w:val="24"/>
          <w:sz w:val="24"/>
          <w:szCs w:val="24"/>
        </w:rPr>
        <w:t>risque moral et de sélection adverse dans ces contrats</w:t>
      </w:r>
      <w:r>
        <w:rPr>
          <w:rFonts w:ascii="Times New Roman" w:hAnsi="Times New Roman" w:cs="Times New Roman"/>
          <w:color w:val="000000"/>
          <w:kern w:val="24"/>
          <w:sz w:val="24"/>
          <w:szCs w:val="24"/>
        </w:rPr>
        <w:t> ;</w:t>
      </w:r>
    </w:p>
    <w:p w14:paraId="44086F1F" w14:textId="77777777" w:rsidR="004B703E" w:rsidRPr="001F7AA5" w:rsidRDefault="004B703E" w:rsidP="00CB0FF1">
      <w:pPr>
        <w:pStyle w:val="Default"/>
        <w:numPr>
          <w:ilvl w:val="0"/>
          <w:numId w:val="53"/>
        </w:numPr>
        <w:tabs>
          <w:tab w:val="left" w:pos="0"/>
          <w:tab w:val="left" w:pos="284"/>
          <w:tab w:val="left" w:pos="851"/>
          <w:tab w:val="left" w:pos="1134"/>
          <w:tab w:val="left" w:pos="1560"/>
        </w:tabs>
        <w:suppressAutoHyphens/>
        <w:spacing w:line="300" w:lineRule="auto"/>
        <w:ind w:left="1418" w:hanging="284"/>
        <w:rPr>
          <w:kern w:val="24"/>
        </w:rPr>
      </w:pPr>
      <w:r w:rsidRPr="001F7AA5">
        <w:rPr>
          <w:kern w:val="24"/>
        </w:rPr>
        <w:t>Les coûts de surveillance supplémentaires associés à ces instruments</w:t>
      </w:r>
      <w:r>
        <w:rPr>
          <w:kern w:val="24"/>
        </w:rPr>
        <w:t> :</w:t>
      </w:r>
    </w:p>
    <w:p w14:paraId="129BDDF1" w14:textId="77777777" w:rsidR="004B703E" w:rsidRPr="001F7AA5" w:rsidRDefault="004B703E" w:rsidP="00CB0FF1">
      <w:pPr>
        <w:pStyle w:val="Default"/>
        <w:numPr>
          <w:ilvl w:val="0"/>
          <w:numId w:val="53"/>
        </w:numPr>
        <w:tabs>
          <w:tab w:val="left" w:pos="0"/>
          <w:tab w:val="left" w:pos="284"/>
          <w:tab w:val="left" w:pos="851"/>
          <w:tab w:val="left" w:pos="1134"/>
          <w:tab w:val="left" w:pos="1560"/>
        </w:tabs>
        <w:suppressAutoHyphens/>
        <w:spacing w:line="300" w:lineRule="auto"/>
        <w:ind w:left="1418" w:hanging="284"/>
        <w:rPr>
          <w:kern w:val="24"/>
        </w:rPr>
      </w:pPr>
      <w:r w:rsidRPr="001F7AA5">
        <w:rPr>
          <w:kern w:val="24"/>
        </w:rPr>
        <w:t>L’aversion de la banque aux risques liés à ces modes de financement</w:t>
      </w:r>
      <w:r>
        <w:rPr>
          <w:kern w:val="24"/>
        </w:rPr>
        <w:t> ;</w:t>
      </w:r>
    </w:p>
    <w:p w14:paraId="009E2CB0" w14:textId="77777777" w:rsidR="004B703E" w:rsidRPr="001F7AA5" w:rsidRDefault="004B703E" w:rsidP="00CB0FF1">
      <w:pPr>
        <w:pStyle w:val="Default"/>
        <w:numPr>
          <w:ilvl w:val="0"/>
          <w:numId w:val="53"/>
        </w:numPr>
        <w:tabs>
          <w:tab w:val="left" w:pos="0"/>
          <w:tab w:val="left" w:pos="284"/>
          <w:tab w:val="left" w:pos="851"/>
          <w:tab w:val="left" w:pos="1134"/>
          <w:tab w:val="left" w:pos="1560"/>
        </w:tabs>
        <w:suppressAutoHyphens/>
        <w:spacing w:line="300" w:lineRule="auto"/>
        <w:ind w:left="1418" w:hanging="284"/>
        <w:rPr>
          <w:kern w:val="24"/>
        </w:rPr>
      </w:pPr>
      <w:r w:rsidRPr="001F7AA5">
        <w:rPr>
          <w:kern w:val="24"/>
        </w:rPr>
        <w:t>L’absence d’une réglementation favor</w:t>
      </w:r>
      <w:r>
        <w:rPr>
          <w:kern w:val="24"/>
        </w:rPr>
        <w:t>able à</w:t>
      </w:r>
      <w:r w:rsidRPr="001F7AA5">
        <w:rPr>
          <w:kern w:val="24"/>
        </w:rPr>
        <w:t xml:space="preserve"> ces modes de financement</w:t>
      </w:r>
      <w:r>
        <w:rPr>
          <w:kern w:val="24"/>
        </w:rPr>
        <w:t> ;</w:t>
      </w:r>
    </w:p>
    <w:p w14:paraId="4F251003" w14:textId="77777777" w:rsidR="004B703E" w:rsidRPr="001F7AA5" w:rsidRDefault="004B703E" w:rsidP="00CB0FF1">
      <w:pPr>
        <w:pStyle w:val="Default"/>
        <w:numPr>
          <w:ilvl w:val="0"/>
          <w:numId w:val="53"/>
        </w:numPr>
        <w:tabs>
          <w:tab w:val="left" w:pos="0"/>
          <w:tab w:val="left" w:pos="284"/>
          <w:tab w:val="left" w:pos="851"/>
          <w:tab w:val="left" w:pos="1560"/>
        </w:tabs>
        <w:suppressAutoHyphens/>
        <w:spacing w:line="300" w:lineRule="auto"/>
        <w:ind w:left="1418" w:hanging="284"/>
        <w:rPr>
          <w:kern w:val="24"/>
        </w:rPr>
      </w:pPr>
      <w:r w:rsidRPr="001F7AA5">
        <w:rPr>
          <w:kern w:val="24"/>
        </w:rPr>
        <w:t xml:space="preserve">Les systèmes de droits de propriété sont mal définis et insuffisamment protégés, </w:t>
      </w:r>
      <w:r>
        <w:rPr>
          <w:kern w:val="24"/>
        </w:rPr>
        <w:t>rendant difficile le</w:t>
      </w:r>
      <w:r w:rsidRPr="001F7AA5">
        <w:rPr>
          <w:kern w:val="24"/>
        </w:rPr>
        <w:t xml:space="preserve"> partage des </w:t>
      </w:r>
      <w:r>
        <w:rPr>
          <w:kern w:val="24"/>
        </w:rPr>
        <w:t>risques (</w:t>
      </w:r>
      <w:r w:rsidRPr="001F7AA5">
        <w:rPr>
          <w:kern w:val="24"/>
        </w:rPr>
        <w:t>profits et pertes</w:t>
      </w:r>
      <w:r>
        <w:rPr>
          <w:kern w:val="24"/>
        </w:rPr>
        <w:t>)</w:t>
      </w:r>
      <w:r w:rsidRPr="001F7AA5">
        <w:rPr>
          <w:kern w:val="24"/>
        </w:rPr>
        <w:t>.</w:t>
      </w:r>
    </w:p>
    <w:p w14:paraId="5BE42625" w14:textId="77777777" w:rsidR="004B703E" w:rsidRPr="001F7AA5" w:rsidRDefault="004B703E" w:rsidP="00CB0FF1">
      <w:pPr>
        <w:pStyle w:val="Default"/>
        <w:numPr>
          <w:ilvl w:val="0"/>
          <w:numId w:val="123"/>
        </w:numPr>
        <w:tabs>
          <w:tab w:val="left" w:pos="0"/>
          <w:tab w:val="left" w:pos="284"/>
          <w:tab w:val="left" w:pos="709"/>
          <w:tab w:val="left" w:pos="851"/>
          <w:tab w:val="center" w:pos="1134"/>
        </w:tabs>
        <w:suppressAutoHyphens/>
        <w:spacing w:before="120" w:line="300" w:lineRule="auto"/>
        <w:ind w:left="993" w:hanging="284"/>
        <w:rPr>
          <w:kern w:val="24"/>
        </w:rPr>
      </w:pPr>
      <w:r w:rsidRPr="001F7AA5">
        <w:rPr>
          <w:kern w:val="24"/>
        </w:rPr>
        <w:t xml:space="preserve">Les risques engendrés par la </w:t>
      </w:r>
      <w:r w:rsidRPr="001F7AA5">
        <w:rPr>
          <w:i/>
          <w:iCs/>
          <w:kern w:val="24"/>
        </w:rPr>
        <w:t>moucharaka</w:t>
      </w:r>
      <w:r w:rsidRPr="001F7AA5">
        <w:rPr>
          <w:kern w:val="24"/>
        </w:rPr>
        <w:t xml:space="preserve"> et la </w:t>
      </w:r>
      <w:r w:rsidRPr="001F7AA5">
        <w:rPr>
          <w:i/>
          <w:iCs/>
          <w:kern w:val="24"/>
        </w:rPr>
        <w:t>moudaraba</w:t>
      </w:r>
      <w:r w:rsidRPr="001F7AA5">
        <w:rPr>
          <w:kern w:val="24"/>
        </w:rPr>
        <w:t xml:space="preserve"> sont principalement le </w:t>
      </w:r>
      <w:r w:rsidRPr="00D243D4">
        <w:rPr>
          <w:kern w:val="24"/>
        </w:rPr>
        <w:t>risque de contrepartie, le risque commercial déplacé, le risque d’investissement en</w:t>
      </w:r>
      <w:r w:rsidRPr="001F7AA5">
        <w:rPr>
          <w:kern w:val="24"/>
        </w:rPr>
        <w:t xml:space="preserve"> actions et le risque fiduciaire.</w:t>
      </w:r>
    </w:p>
    <w:p w14:paraId="5A9843B0" w14:textId="77777777" w:rsidR="004B703E" w:rsidRPr="001F7AA5" w:rsidRDefault="004B703E" w:rsidP="00CB0FF1">
      <w:pPr>
        <w:pStyle w:val="Default"/>
        <w:numPr>
          <w:ilvl w:val="0"/>
          <w:numId w:val="121"/>
        </w:numPr>
        <w:tabs>
          <w:tab w:val="left" w:pos="0"/>
          <w:tab w:val="left" w:pos="284"/>
          <w:tab w:val="left" w:pos="851"/>
        </w:tabs>
        <w:suppressAutoHyphens/>
        <w:spacing w:before="120" w:line="300" w:lineRule="auto"/>
        <w:ind w:left="1276" w:hanging="284"/>
        <w:rPr>
          <w:kern w:val="24"/>
        </w:rPr>
      </w:pPr>
      <w:r w:rsidRPr="001F7AA5">
        <w:rPr>
          <w:kern w:val="24"/>
        </w:rPr>
        <w:t xml:space="preserve">Les procédures qui peuvent renforcer la gestion du risque de contrepartie liés aux </w:t>
      </w:r>
      <w:r>
        <w:rPr>
          <w:kern w:val="24"/>
        </w:rPr>
        <w:t>modes</w:t>
      </w:r>
      <w:r w:rsidRPr="001F7AA5">
        <w:rPr>
          <w:kern w:val="24"/>
        </w:rPr>
        <w:t xml:space="preserve"> participatifs sont les arrangements contractuels et la divulgation d'informations en toute transparence.</w:t>
      </w:r>
    </w:p>
    <w:p w14:paraId="1E69A682" w14:textId="77777777" w:rsidR="004B703E" w:rsidRDefault="004B703E" w:rsidP="00CB0FF1">
      <w:pPr>
        <w:pStyle w:val="Default"/>
        <w:numPr>
          <w:ilvl w:val="0"/>
          <w:numId w:val="121"/>
        </w:numPr>
        <w:tabs>
          <w:tab w:val="left" w:pos="0"/>
          <w:tab w:val="left" w:pos="851"/>
        </w:tabs>
        <w:suppressAutoHyphens/>
        <w:spacing w:before="120" w:line="300" w:lineRule="auto"/>
        <w:ind w:left="1276" w:hanging="284"/>
        <w:rPr>
          <w:kern w:val="24"/>
        </w:rPr>
      </w:pPr>
      <w:r w:rsidRPr="001F7AA5">
        <w:rPr>
          <w:kern w:val="24"/>
        </w:rPr>
        <w:t xml:space="preserve">Le risque d’investissement en actions est très important dans le cas des </w:t>
      </w:r>
      <w:r>
        <w:rPr>
          <w:kern w:val="24"/>
        </w:rPr>
        <w:t>financements</w:t>
      </w:r>
      <w:r w:rsidRPr="001F7AA5">
        <w:rPr>
          <w:kern w:val="24"/>
        </w:rPr>
        <w:t xml:space="preserve"> participatifs. Les BI </w:t>
      </w:r>
      <w:r>
        <w:rPr>
          <w:kern w:val="24"/>
        </w:rPr>
        <w:t>gagneraient à</w:t>
      </w:r>
      <w:r w:rsidRPr="001F7AA5">
        <w:rPr>
          <w:kern w:val="24"/>
        </w:rPr>
        <w:t xml:space="preserve"> mettre en place des processus de gestion des risques et des rapports en ce qui concerne les caractéristiques de risque des investissements en actions, y compris </w:t>
      </w:r>
      <w:r w:rsidRPr="001F7AA5">
        <w:rPr>
          <w:i/>
          <w:kern w:val="24"/>
        </w:rPr>
        <w:t>moudaraba</w:t>
      </w:r>
      <w:r w:rsidRPr="001F7AA5">
        <w:rPr>
          <w:kern w:val="24"/>
        </w:rPr>
        <w:t xml:space="preserve"> et </w:t>
      </w:r>
      <w:r w:rsidRPr="001F7AA5">
        <w:rPr>
          <w:i/>
          <w:iCs/>
          <w:kern w:val="24"/>
        </w:rPr>
        <w:t xml:space="preserve">moucharaka. </w:t>
      </w:r>
      <w:r>
        <w:rPr>
          <w:kern w:val="24"/>
        </w:rPr>
        <w:t>L’élaboration de</w:t>
      </w:r>
      <w:r w:rsidRPr="001F7AA5">
        <w:rPr>
          <w:kern w:val="24"/>
        </w:rPr>
        <w:t xml:space="preserve"> stratégies de sortie </w:t>
      </w:r>
      <w:r>
        <w:rPr>
          <w:kern w:val="24"/>
        </w:rPr>
        <w:t>renforcerait également leur</w:t>
      </w:r>
      <w:r w:rsidRPr="001F7AA5">
        <w:rPr>
          <w:kern w:val="24"/>
        </w:rPr>
        <w:t xml:space="preserve"> activité d'investissement en actions, y compris le remboursement des participations et la cession des investissements moins performants.</w:t>
      </w:r>
    </w:p>
    <w:p w14:paraId="56258E76" w14:textId="77777777" w:rsidR="004B703E" w:rsidRPr="005D02A7" w:rsidRDefault="004B703E" w:rsidP="00CB0FF1">
      <w:pPr>
        <w:pStyle w:val="Default"/>
        <w:numPr>
          <w:ilvl w:val="0"/>
          <w:numId w:val="121"/>
        </w:numPr>
        <w:tabs>
          <w:tab w:val="left" w:pos="0"/>
          <w:tab w:val="left" w:pos="851"/>
        </w:tabs>
        <w:suppressAutoHyphens/>
        <w:spacing w:before="120" w:line="300" w:lineRule="auto"/>
        <w:ind w:left="1276" w:hanging="284"/>
        <w:rPr>
          <w:kern w:val="24"/>
        </w:rPr>
      </w:pPr>
      <w:r w:rsidRPr="005D02A7">
        <w:rPr>
          <w:kern w:val="24"/>
        </w:rPr>
        <w:t>Pour le risque fiduciaire, l</w:t>
      </w:r>
      <w:r>
        <w:rPr>
          <w:kern w:val="24"/>
        </w:rPr>
        <w:t>a mise</w:t>
      </w:r>
      <w:r w:rsidRPr="005D02A7">
        <w:rPr>
          <w:kern w:val="24"/>
        </w:rPr>
        <w:t xml:space="preserve"> en œuvre </w:t>
      </w:r>
      <w:r>
        <w:rPr>
          <w:kern w:val="24"/>
        </w:rPr>
        <w:t>d’</w:t>
      </w:r>
      <w:r w:rsidRPr="005D02A7">
        <w:rPr>
          <w:kern w:val="24"/>
        </w:rPr>
        <w:t xml:space="preserve">une politique claire et formelle </w:t>
      </w:r>
      <w:r>
        <w:rPr>
          <w:kern w:val="24"/>
        </w:rPr>
        <w:t>par les BI permettrait</w:t>
      </w:r>
      <w:r w:rsidRPr="005D02A7">
        <w:rPr>
          <w:kern w:val="24"/>
        </w:rPr>
        <w:t xml:space="preserve"> </w:t>
      </w:r>
      <w:r>
        <w:rPr>
          <w:kern w:val="24"/>
        </w:rPr>
        <w:t xml:space="preserve">de </w:t>
      </w:r>
      <w:r w:rsidRPr="005D02A7">
        <w:rPr>
          <w:kern w:val="24"/>
        </w:rPr>
        <w:t>fidéliser les détenteurs de dépôts participatifs</w:t>
      </w:r>
      <w:r>
        <w:rPr>
          <w:kern w:val="24"/>
        </w:rPr>
        <w:t xml:space="preserve"> en fournissant</w:t>
      </w:r>
      <w:r w:rsidRPr="005D02A7">
        <w:rPr>
          <w:kern w:val="24"/>
        </w:rPr>
        <w:t xml:space="preserve"> des informations adéquates en temps opportun </w:t>
      </w:r>
      <w:r>
        <w:rPr>
          <w:kern w:val="24"/>
        </w:rPr>
        <w:t>et</w:t>
      </w:r>
      <w:r w:rsidRPr="005D02A7">
        <w:rPr>
          <w:kern w:val="24"/>
        </w:rPr>
        <w:t xml:space="preserve"> une base fiable pour évaluer leurs profils de risque et leur performance d'investissement.</w:t>
      </w:r>
    </w:p>
    <w:p w14:paraId="79D71869" w14:textId="77777777" w:rsidR="004B703E" w:rsidRPr="005D02A7" w:rsidRDefault="004B703E" w:rsidP="004B703E">
      <w:pPr>
        <w:tabs>
          <w:tab w:val="left" w:pos="0"/>
          <w:tab w:val="left" w:pos="567"/>
          <w:tab w:val="left" w:pos="1134"/>
        </w:tabs>
        <w:suppressAutoHyphens/>
        <w:autoSpaceDE w:val="0"/>
        <w:autoSpaceDN w:val="0"/>
        <w:adjustRightInd w:val="0"/>
        <w:spacing w:before="100" w:beforeAutospacing="1" w:line="300" w:lineRule="auto"/>
        <w:ind w:firstLine="709"/>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 xml:space="preserve">3- </w:t>
      </w:r>
      <w:r w:rsidRPr="005D02A7">
        <w:rPr>
          <w:rFonts w:ascii="Times New Roman" w:hAnsi="Times New Roman" w:cs="Times New Roman"/>
          <w:b/>
          <w:bCs/>
          <w:color w:val="000000" w:themeColor="text1"/>
          <w:kern w:val="24"/>
          <w:sz w:val="24"/>
          <w:szCs w:val="24"/>
        </w:rPr>
        <w:t>Les résultats de recherche</w:t>
      </w:r>
    </w:p>
    <w:p w14:paraId="4BD0624A" w14:textId="77777777" w:rsidR="004B703E" w:rsidRPr="001F7AA5" w:rsidRDefault="004B703E" w:rsidP="004B703E">
      <w:pPr>
        <w:pStyle w:val="Paragraphedeliste"/>
        <w:tabs>
          <w:tab w:val="left" w:pos="0"/>
          <w:tab w:val="left" w:pos="284"/>
          <w:tab w:val="left" w:pos="709"/>
        </w:tabs>
        <w:suppressAutoHyphens/>
        <w:autoSpaceDE w:val="0"/>
        <w:autoSpaceDN w:val="0"/>
        <w:adjustRightInd w:val="0"/>
        <w:spacing w:before="120" w:line="300" w:lineRule="auto"/>
        <w:ind w:left="0" w:firstLine="709"/>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Nous avons entamé notre recherche par l</w:t>
      </w:r>
      <w:r>
        <w:rPr>
          <w:rFonts w:ascii="Times New Roman" w:hAnsi="Times New Roman" w:cs="Times New Roman"/>
          <w:kern w:val="24"/>
          <w:sz w:val="24"/>
          <w:szCs w:val="24"/>
        </w:rPr>
        <w:t>a formulation</w:t>
      </w:r>
      <w:r w:rsidRPr="001F7AA5">
        <w:rPr>
          <w:rFonts w:ascii="Times New Roman" w:hAnsi="Times New Roman" w:cs="Times New Roman"/>
          <w:kern w:val="24"/>
          <w:sz w:val="24"/>
          <w:szCs w:val="24"/>
        </w:rPr>
        <w:t xml:space="preserve"> de trois hypothèses</w:t>
      </w:r>
      <w:r>
        <w:rPr>
          <w:rFonts w:ascii="Times New Roman" w:hAnsi="Times New Roman" w:cs="Times New Roman"/>
          <w:kern w:val="24"/>
          <w:sz w:val="24"/>
          <w:szCs w:val="24"/>
        </w:rPr>
        <w:t xml:space="preserve"> auxquelles nous fournissons les réponses subséquentes :</w:t>
      </w:r>
    </w:p>
    <w:p w14:paraId="14578B53" w14:textId="77777777" w:rsidR="004B703E" w:rsidRPr="001F7AA5" w:rsidRDefault="004B703E" w:rsidP="004B703E">
      <w:pPr>
        <w:pStyle w:val="Paragraphedeliste"/>
        <w:keepNext/>
        <w:tabs>
          <w:tab w:val="left" w:pos="0"/>
        </w:tabs>
        <w:suppressAutoHyphens/>
        <w:spacing w:before="120" w:line="300" w:lineRule="auto"/>
        <w:ind w:left="0" w:firstLine="709"/>
        <w:contextualSpacing w:val="0"/>
        <w:rPr>
          <w:rFonts w:ascii="Times New Roman" w:hAnsi="Times New Roman" w:cs="Times New Roman"/>
          <w:b/>
          <w:bCs/>
          <w:kern w:val="24"/>
          <w:sz w:val="24"/>
          <w:szCs w:val="24"/>
        </w:rPr>
      </w:pPr>
      <w:r w:rsidRPr="001F7AA5">
        <w:rPr>
          <w:rFonts w:ascii="Times New Roman" w:hAnsi="Times New Roman" w:cs="Times New Roman"/>
          <w:b/>
          <w:bCs/>
          <w:kern w:val="24"/>
          <w:sz w:val="24"/>
          <w:szCs w:val="24"/>
        </w:rPr>
        <w:t>Hypothèse 1 :</w:t>
      </w:r>
    </w:p>
    <w:p w14:paraId="7D88ABD7" w14:textId="77777777" w:rsidR="004B703E" w:rsidRPr="001F7AA5" w:rsidRDefault="004B703E" w:rsidP="004B703E">
      <w:pPr>
        <w:pStyle w:val="Paragraphedeliste"/>
        <w:keepNext/>
        <w:tabs>
          <w:tab w:val="left" w:pos="0"/>
        </w:tabs>
        <w:suppressAutoHyphens/>
        <w:spacing w:before="120" w:line="300" w:lineRule="auto"/>
        <w:ind w:left="0" w:firstLine="709"/>
        <w:contextualSpacing w:val="0"/>
        <w:rPr>
          <w:rFonts w:ascii="Times New Roman" w:hAnsi="Times New Roman" w:cs="Times New Roman"/>
          <w:kern w:val="24"/>
          <w:sz w:val="24"/>
          <w:szCs w:val="24"/>
        </w:rPr>
      </w:pPr>
      <w:r w:rsidRPr="00D243D4">
        <w:rPr>
          <w:rFonts w:ascii="Times New Roman" w:hAnsi="Times New Roman" w:cs="Times New Roman"/>
          <w:kern w:val="24"/>
          <w:sz w:val="24"/>
          <w:szCs w:val="24"/>
        </w:rPr>
        <w:t xml:space="preserve">Certains risques inhérents au financement participatif n’encourageraient pas le recours aux modes à logique de partenariat. </w:t>
      </w:r>
      <w:r w:rsidRPr="00D243D4">
        <w:rPr>
          <w:rFonts w:asciiTheme="majorBidi" w:eastAsia="Times New Roman" w:hAnsiTheme="majorBidi" w:cstheme="majorBidi"/>
          <w:kern w:val="24"/>
          <w:sz w:val="24"/>
          <w:szCs w:val="24"/>
        </w:rPr>
        <w:t xml:space="preserve">Pour la </w:t>
      </w:r>
      <w:r w:rsidRPr="00D243D4">
        <w:rPr>
          <w:rFonts w:asciiTheme="majorBidi" w:eastAsia="Times New Roman" w:hAnsiTheme="majorBidi" w:cstheme="majorBidi"/>
          <w:i/>
          <w:iCs/>
          <w:kern w:val="24"/>
          <w:sz w:val="24"/>
          <w:szCs w:val="24"/>
        </w:rPr>
        <w:t>moucharaka</w:t>
      </w:r>
      <w:r w:rsidRPr="00D243D4">
        <w:rPr>
          <w:rFonts w:asciiTheme="majorBidi" w:eastAsia="Times New Roman" w:hAnsiTheme="majorBidi" w:cstheme="majorBidi"/>
          <w:kern w:val="24"/>
          <w:sz w:val="24"/>
          <w:szCs w:val="24"/>
        </w:rPr>
        <w:t xml:space="preserve">, les résultats de notre enquête montrent que le risque de contrepartie était perçu comme le plus grave, suivi par le risque de marché et le risque opérationnel. Pour la </w:t>
      </w:r>
      <w:r w:rsidRPr="00D243D4">
        <w:rPr>
          <w:rFonts w:asciiTheme="majorBidi" w:eastAsia="Times New Roman" w:hAnsiTheme="majorBidi" w:cstheme="majorBidi"/>
          <w:i/>
          <w:iCs/>
          <w:kern w:val="24"/>
          <w:sz w:val="24"/>
          <w:szCs w:val="24"/>
        </w:rPr>
        <w:t xml:space="preserve">moudaraba, </w:t>
      </w:r>
      <w:r w:rsidRPr="00D243D4">
        <w:rPr>
          <w:rFonts w:asciiTheme="majorBidi" w:eastAsia="Times New Roman" w:hAnsiTheme="majorBidi" w:cstheme="majorBidi"/>
          <w:kern w:val="24"/>
          <w:sz w:val="24"/>
          <w:szCs w:val="24"/>
        </w:rPr>
        <w:t xml:space="preserve">l’ordre décroissant des risques est </w:t>
      </w:r>
      <w:r w:rsidRPr="00D243D4">
        <w:rPr>
          <w:rFonts w:asciiTheme="majorBidi" w:hAnsiTheme="majorBidi" w:cstheme="majorBidi"/>
          <w:color w:val="000000"/>
          <w:kern w:val="24"/>
          <w:sz w:val="24"/>
          <w:szCs w:val="24"/>
        </w:rPr>
        <w:t>le risque commercial déplacé suivi par le risque juridique et le risque de contrepartie. Nous</w:t>
      </w:r>
      <w:r w:rsidRPr="001F7AA5">
        <w:rPr>
          <w:rFonts w:asciiTheme="majorBidi" w:hAnsiTheme="majorBidi" w:cstheme="majorBidi"/>
          <w:color w:val="000000"/>
          <w:kern w:val="24"/>
          <w:sz w:val="24"/>
          <w:szCs w:val="24"/>
        </w:rPr>
        <w:t xml:space="preserve"> avons discuté les raisons d’exposition à ces risques lors du recours au financement M-M</w:t>
      </w:r>
      <w:r>
        <w:rPr>
          <w:rFonts w:asciiTheme="majorBidi" w:hAnsiTheme="majorBidi" w:cstheme="majorBidi"/>
          <w:color w:val="000000"/>
          <w:kern w:val="24"/>
          <w:sz w:val="24"/>
          <w:szCs w:val="24"/>
        </w:rPr>
        <w:t xml:space="preserve"> (</w:t>
      </w:r>
      <w:r w:rsidRPr="001F7AA5">
        <w:rPr>
          <w:rFonts w:asciiTheme="majorBidi" w:hAnsiTheme="majorBidi" w:cstheme="majorBidi"/>
          <w:color w:val="000000"/>
          <w:kern w:val="24"/>
          <w:sz w:val="24"/>
          <w:szCs w:val="24"/>
        </w:rPr>
        <w:t xml:space="preserve">chapitre </w:t>
      </w:r>
      <w:r>
        <w:rPr>
          <w:rFonts w:asciiTheme="majorBidi" w:hAnsiTheme="majorBidi" w:cstheme="majorBidi"/>
          <w:color w:val="000000"/>
          <w:kern w:val="24"/>
          <w:sz w:val="24"/>
          <w:szCs w:val="24"/>
        </w:rPr>
        <w:t xml:space="preserve">IV, </w:t>
      </w:r>
      <w:r w:rsidRPr="001F7AA5">
        <w:rPr>
          <w:rFonts w:asciiTheme="majorBidi" w:hAnsiTheme="majorBidi" w:cstheme="majorBidi"/>
          <w:color w:val="000000"/>
          <w:kern w:val="24"/>
          <w:sz w:val="24"/>
          <w:szCs w:val="24"/>
        </w:rPr>
        <w:t>section 3</w:t>
      </w:r>
      <w:r>
        <w:rPr>
          <w:rFonts w:asciiTheme="majorBidi" w:hAnsiTheme="majorBidi" w:cstheme="majorBidi"/>
          <w:color w:val="000000"/>
          <w:kern w:val="24"/>
          <w:sz w:val="24"/>
          <w:szCs w:val="24"/>
        </w:rPr>
        <w:t>)</w:t>
      </w:r>
      <w:r w:rsidRPr="001F7AA5">
        <w:rPr>
          <w:rFonts w:asciiTheme="majorBidi" w:hAnsiTheme="majorBidi" w:cstheme="majorBidi"/>
          <w:color w:val="000000"/>
          <w:kern w:val="24"/>
          <w:sz w:val="24"/>
          <w:szCs w:val="24"/>
        </w:rPr>
        <w:t xml:space="preserve">. </w:t>
      </w:r>
      <w:r w:rsidRPr="001F7AA5">
        <w:rPr>
          <w:rFonts w:ascii="Times New Roman" w:hAnsi="Times New Roman" w:cs="Times New Roman"/>
          <w:kern w:val="24"/>
          <w:sz w:val="24"/>
          <w:szCs w:val="24"/>
        </w:rPr>
        <w:t>L'hypothèse nulle est acceptée. L'hypothèse alternative est rejetée à travers les analyses statistiques effectuées.</w:t>
      </w:r>
    </w:p>
    <w:p w14:paraId="7F355C40" w14:textId="77777777" w:rsidR="004B703E" w:rsidRPr="001F7AA5" w:rsidRDefault="004B703E" w:rsidP="004B703E">
      <w:pPr>
        <w:pStyle w:val="Paragraphedeliste"/>
        <w:tabs>
          <w:tab w:val="left" w:pos="0"/>
        </w:tabs>
        <w:suppressAutoHyphens/>
        <w:spacing w:before="120" w:line="300" w:lineRule="auto"/>
        <w:ind w:left="0" w:firstLine="709"/>
        <w:contextualSpacing w:val="0"/>
        <w:rPr>
          <w:rFonts w:ascii="Times New Roman" w:hAnsi="Times New Roman" w:cs="Times New Roman"/>
          <w:b/>
          <w:bCs/>
          <w:kern w:val="24"/>
          <w:sz w:val="24"/>
          <w:szCs w:val="24"/>
        </w:rPr>
      </w:pPr>
      <w:r w:rsidRPr="001F7AA5">
        <w:rPr>
          <w:rFonts w:ascii="Times New Roman" w:hAnsi="Times New Roman" w:cs="Times New Roman"/>
          <w:b/>
          <w:bCs/>
          <w:kern w:val="24"/>
          <w:sz w:val="24"/>
          <w:szCs w:val="24"/>
        </w:rPr>
        <w:t>Hypothèse 2 :</w:t>
      </w:r>
    </w:p>
    <w:p w14:paraId="3D20FAE9" w14:textId="77777777" w:rsidR="004B703E" w:rsidRPr="001F7AA5" w:rsidRDefault="004B703E" w:rsidP="004B703E">
      <w:pPr>
        <w:pStyle w:val="Paragraphedeliste"/>
        <w:tabs>
          <w:tab w:val="left" w:pos="0"/>
        </w:tabs>
        <w:suppressAutoHyphens/>
        <w:spacing w:before="120" w:line="300" w:lineRule="auto"/>
        <w:ind w:left="0" w:firstLine="709"/>
        <w:contextualSpacing w:val="0"/>
        <w:rPr>
          <w:rFonts w:ascii="Times New Roman" w:hAnsi="Times New Roman" w:cs="Times New Roman"/>
          <w:kern w:val="24"/>
          <w:sz w:val="24"/>
          <w:szCs w:val="24"/>
        </w:rPr>
      </w:pPr>
      <w:r w:rsidRPr="001F7AA5">
        <w:rPr>
          <w:rFonts w:asciiTheme="majorBidi" w:hAnsiTheme="majorBidi" w:cstheme="majorBidi"/>
          <w:kern w:val="24"/>
          <w:sz w:val="24"/>
          <w:szCs w:val="24"/>
        </w:rPr>
        <w:t>Les contrats financiers participatifs sont perçus comme plus risqués que les contrats de financement à revenu fixe</w:t>
      </w:r>
      <w:r w:rsidRPr="001F7AA5">
        <w:rPr>
          <w:rFonts w:ascii="Times New Roman" w:hAnsi="Times New Roman" w:cs="Times New Roman"/>
          <w:b/>
          <w:bCs/>
          <w:kern w:val="24"/>
          <w:sz w:val="24"/>
          <w:szCs w:val="24"/>
        </w:rPr>
        <w:t xml:space="preserve">. </w:t>
      </w:r>
      <w:r w:rsidRPr="001F7AA5">
        <w:rPr>
          <w:rFonts w:asciiTheme="majorBidi" w:eastAsia="Times New Roman" w:hAnsiTheme="majorBidi" w:cstheme="majorBidi"/>
          <w:kern w:val="24"/>
          <w:sz w:val="24"/>
          <w:szCs w:val="24"/>
        </w:rPr>
        <w:t>Pour cette hypothèse, l’hypothèse nulle</w:t>
      </w:r>
      <w:r>
        <w:rPr>
          <w:rFonts w:asciiTheme="majorBidi" w:eastAsia="Times New Roman" w:hAnsiTheme="majorBidi" w:cstheme="majorBidi"/>
          <w:kern w:val="24"/>
          <w:sz w:val="24"/>
          <w:szCs w:val="24"/>
        </w:rPr>
        <w:t xml:space="preserve"> est acceptée</w:t>
      </w:r>
      <w:r w:rsidRPr="001F7AA5">
        <w:rPr>
          <w:rFonts w:asciiTheme="majorBidi" w:eastAsia="Times New Roman" w:hAnsiTheme="majorBidi" w:cstheme="majorBidi"/>
          <w:kern w:val="24"/>
          <w:sz w:val="24"/>
          <w:szCs w:val="24"/>
        </w:rPr>
        <w:t>. Les résultats obtenus confirment que les modes participatifs sont considérés comme les plus</w:t>
      </w:r>
      <w:r>
        <w:rPr>
          <w:rFonts w:asciiTheme="majorBidi" w:eastAsia="Times New Roman" w:hAnsiTheme="majorBidi" w:cstheme="majorBidi"/>
          <w:kern w:val="24"/>
          <w:sz w:val="24"/>
          <w:szCs w:val="24"/>
        </w:rPr>
        <w:t xml:space="preserve"> </w:t>
      </w:r>
      <w:r w:rsidRPr="00841530">
        <w:rPr>
          <w:rFonts w:asciiTheme="majorBidi" w:eastAsia="Times New Roman" w:hAnsiTheme="majorBidi" w:cstheme="majorBidi"/>
          <w:kern w:val="24"/>
          <w:sz w:val="24"/>
          <w:szCs w:val="24"/>
        </w:rPr>
        <w:t>risqués</w:t>
      </w:r>
      <w:r w:rsidRPr="001F7AA5">
        <w:rPr>
          <w:rFonts w:asciiTheme="majorBidi" w:eastAsia="Times New Roman" w:hAnsiTheme="majorBidi" w:cstheme="majorBidi"/>
          <w:kern w:val="24"/>
          <w:sz w:val="24"/>
          <w:szCs w:val="24"/>
        </w:rPr>
        <w:t>, tandis que les contrats à revenu fixe (</w:t>
      </w:r>
      <w:r w:rsidRPr="001E4EA9">
        <w:rPr>
          <w:rFonts w:asciiTheme="majorBidi" w:eastAsia="Times New Roman" w:hAnsiTheme="majorBidi" w:cstheme="majorBidi"/>
          <w:i/>
          <w:iCs/>
          <w:kern w:val="24"/>
          <w:sz w:val="24"/>
          <w:szCs w:val="24"/>
        </w:rPr>
        <w:t>ijara</w:t>
      </w:r>
      <w:r w:rsidRPr="001F7AA5">
        <w:rPr>
          <w:rFonts w:asciiTheme="majorBidi" w:eastAsia="Times New Roman" w:hAnsiTheme="majorBidi" w:cstheme="majorBidi"/>
          <w:i/>
          <w:iCs/>
          <w:kern w:val="24"/>
          <w:sz w:val="24"/>
          <w:szCs w:val="24"/>
        </w:rPr>
        <w:t>, istisna’</w:t>
      </w:r>
      <w:r>
        <w:rPr>
          <w:rFonts w:asciiTheme="majorBidi" w:eastAsia="Times New Roman" w:hAnsiTheme="majorBidi" w:cstheme="majorBidi"/>
          <w:i/>
          <w:iCs/>
          <w:kern w:val="24"/>
          <w:sz w:val="24"/>
          <w:szCs w:val="24"/>
        </w:rPr>
        <w:t>a</w:t>
      </w:r>
      <w:r w:rsidRPr="001F7AA5">
        <w:rPr>
          <w:rFonts w:asciiTheme="majorBidi" w:eastAsia="Times New Roman" w:hAnsiTheme="majorBidi" w:cstheme="majorBidi"/>
          <w:i/>
          <w:iCs/>
          <w:kern w:val="24"/>
          <w:sz w:val="24"/>
          <w:szCs w:val="24"/>
        </w:rPr>
        <w:t xml:space="preserve"> </w:t>
      </w:r>
      <w:r w:rsidRPr="001F7AA5">
        <w:rPr>
          <w:rFonts w:asciiTheme="majorBidi" w:eastAsia="Times New Roman" w:hAnsiTheme="majorBidi" w:cstheme="majorBidi"/>
          <w:kern w:val="24"/>
          <w:sz w:val="24"/>
          <w:szCs w:val="24"/>
        </w:rPr>
        <w:t>et</w:t>
      </w:r>
      <w:r w:rsidRPr="001F7AA5">
        <w:rPr>
          <w:rFonts w:asciiTheme="majorBidi" w:eastAsia="Times New Roman" w:hAnsiTheme="majorBidi" w:cstheme="majorBidi"/>
          <w:i/>
          <w:iCs/>
          <w:kern w:val="24"/>
          <w:sz w:val="24"/>
          <w:szCs w:val="24"/>
        </w:rPr>
        <w:t xml:space="preserve"> mourabaha</w:t>
      </w:r>
      <w:r w:rsidRPr="001F7AA5">
        <w:rPr>
          <w:rFonts w:asciiTheme="majorBidi" w:eastAsia="Times New Roman" w:hAnsiTheme="majorBidi" w:cstheme="majorBidi"/>
          <w:kern w:val="24"/>
          <w:sz w:val="24"/>
          <w:szCs w:val="24"/>
        </w:rPr>
        <w:t>) sont perçus comme moins risqués.</w:t>
      </w:r>
    </w:p>
    <w:p w14:paraId="354699A2" w14:textId="77777777" w:rsidR="004B703E" w:rsidRPr="001F7AA5" w:rsidRDefault="004B703E" w:rsidP="004B703E">
      <w:pPr>
        <w:keepNext/>
        <w:tabs>
          <w:tab w:val="left" w:pos="709"/>
        </w:tabs>
        <w:suppressAutoHyphens/>
        <w:autoSpaceDE w:val="0"/>
        <w:autoSpaceDN w:val="0"/>
        <w:adjustRightInd w:val="0"/>
        <w:spacing w:before="120" w:line="300" w:lineRule="auto"/>
        <w:ind w:firstLine="709"/>
        <w:rPr>
          <w:rFonts w:asciiTheme="majorBidi" w:hAnsiTheme="majorBidi" w:cstheme="majorBidi"/>
          <w:kern w:val="24"/>
          <w:sz w:val="24"/>
          <w:szCs w:val="24"/>
        </w:rPr>
      </w:pPr>
      <w:r w:rsidRPr="001F7AA5">
        <w:rPr>
          <w:rFonts w:ascii="Times New Roman" w:hAnsi="Times New Roman" w:cs="Times New Roman"/>
          <w:b/>
          <w:bCs/>
          <w:kern w:val="24"/>
          <w:sz w:val="24"/>
          <w:szCs w:val="24"/>
        </w:rPr>
        <w:t>Hypothèse 03 :</w:t>
      </w:r>
    </w:p>
    <w:p w14:paraId="70809F49" w14:textId="77777777" w:rsidR="004B703E" w:rsidRPr="001F7AA5" w:rsidRDefault="004B703E" w:rsidP="004B703E">
      <w:pPr>
        <w:pStyle w:val="Paragraphedeliste"/>
        <w:keepNext/>
        <w:tabs>
          <w:tab w:val="left" w:pos="709"/>
        </w:tabs>
        <w:suppressAutoHyphens/>
        <w:autoSpaceDE w:val="0"/>
        <w:autoSpaceDN w:val="0"/>
        <w:adjustRightInd w:val="0"/>
        <w:spacing w:before="120" w:line="300" w:lineRule="auto"/>
        <w:ind w:left="0" w:firstLine="709"/>
        <w:contextualSpacing w:val="0"/>
        <w:rPr>
          <w:rFonts w:asciiTheme="majorBidi" w:hAnsiTheme="majorBidi" w:cstheme="majorBidi"/>
          <w:kern w:val="24"/>
          <w:sz w:val="24"/>
          <w:szCs w:val="24"/>
        </w:rPr>
      </w:pPr>
      <w:r w:rsidRPr="001F7AA5">
        <w:rPr>
          <w:rFonts w:asciiTheme="majorBidi" w:hAnsiTheme="majorBidi" w:cstheme="majorBidi"/>
          <w:kern w:val="24"/>
          <w:sz w:val="24"/>
          <w:szCs w:val="24"/>
        </w:rPr>
        <w:t xml:space="preserve">L’expérience accumulée par les BI leur a permis de développer une innovation financière en matière d’instruments de gestion des risques. D’après les résultats obtenus, nous acceptons l’hypothèse nulle. La diversification et les fusions-acquisitions </w:t>
      </w:r>
      <w:r>
        <w:rPr>
          <w:rFonts w:asciiTheme="majorBidi" w:hAnsiTheme="majorBidi" w:cstheme="majorBidi"/>
          <w:kern w:val="24"/>
          <w:sz w:val="24"/>
          <w:szCs w:val="24"/>
        </w:rPr>
        <w:t>sont des stratégies susceptibles</w:t>
      </w:r>
      <w:r w:rsidRPr="001F7AA5">
        <w:rPr>
          <w:rFonts w:asciiTheme="majorBidi" w:hAnsiTheme="majorBidi" w:cstheme="majorBidi"/>
          <w:kern w:val="24"/>
          <w:sz w:val="24"/>
          <w:szCs w:val="24"/>
        </w:rPr>
        <w:t xml:space="preserve"> d</w:t>
      </w:r>
      <w:r>
        <w:rPr>
          <w:rFonts w:asciiTheme="majorBidi" w:hAnsiTheme="majorBidi" w:cstheme="majorBidi"/>
          <w:kern w:val="24"/>
          <w:sz w:val="24"/>
          <w:szCs w:val="24"/>
        </w:rPr>
        <w:t>’assurer le</w:t>
      </w:r>
      <w:r w:rsidRPr="001F7AA5">
        <w:rPr>
          <w:rFonts w:asciiTheme="majorBidi" w:hAnsiTheme="majorBidi" w:cstheme="majorBidi"/>
          <w:kern w:val="24"/>
          <w:sz w:val="24"/>
          <w:szCs w:val="24"/>
        </w:rPr>
        <w:t xml:space="preserve"> développement des </w:t>
      </w:r>
      <w:r>
        <w:rPr>
          <w:rFonts w:asciiTheme="majorBidi" w:hAnsiTheme="majorBidi" w:cstheme="majorBidi"/>
          <w:kern w:val="24"/>
          <w:sz w:val="24"/>
          <w:szCs w:val="24"/>
        </w:rPr>
        <w:t>activités des BI</w:t>
      </w:r>
      <w:r w:rsidRPr="001F7AA5">
        <w:rPr>
          <w:rFonts w:asciiTheme="majorBidi" w:hAnsiTheme="majorBidi" w:cstheme="majorBidi"/>
          <w:kern w:val="24"/>
          <w:sz w:val="24"/>
          <w:szCs w:val="24"/>
        </w:rPr>
        <w:t xml:space="preserve">. </w:t>
      </w:r>
      <w:r>
        <w:rPr>
          <w:rFonts w:asciiTheme="majorBidi" w:hAnsiTheme="majorBidi" w:cstheme="majorBidi"/>
          <w:kern w:val="24"/>
          <w:sz w:val="24"/>
          <w:szCs w:val="24"/>
        </w:rPr>
        <w:t xml:space="preserve">Une plus grande transparence et une implication d’un personnel qualifié en matière de gestion des </w:t>
      </w:r>
      <w:r w:rsidRPr="001F7AA5">
        <w:rPr>
          <w:rFonts w:asciiTheme="majorBidi" w:hAnsiTheme="majorBidi" w:cstheme="majorBidi"/>
          <w:kern w:val="24"/>
          <w:sz w:val="24"/>
          <w:szCs w:val="24"/>
        </w:rPr>
        <w:t>projets d’investissement</w:t>
      </w:r>
      <w:r>
        <w:rPr>
          <w:rFonts w:asciiTheme="majorBidi" w:hAnsiTheme="majorBidi" w:cstheme="majorBidi"/>
          <w:kern w:val="24"/>
          <w:sz w:val="24"/>
          <w:szCs w:val="24"/>
        </w:rPr>
        <w:t xml:space="preserve"> renforceraient les procédures en faveur de la </w:t>
      </w:r>
      <w:r w:rsidRPr="001F7AA5">
        <w:rPr>
          <w:rFonts w:asciiTheme="majorBidi" w:hAnsiTheme="majorBidi" w:cstheme="majorBidi"/>
          <w:i/>
          <w:iCs/>
          <w:kern w:val="24"/>
          <w:sz w:val="24"/>
          <w:szCs w:val="24"/>
        </w:rPr>
        <w:t>moucharaka</w:t>
      </w:r>
      <w:r w:rsidRPr="001F7AA5">
        <w:rPr>
          <w:rFonts w:asciiTheme="majorBidi" w:hAnsiTheme="majorBidi" w:cstheme="majorBidi"/>
          <w:kern w:val="24"/>
          <w:sz w:val="24"/>
          <w:szCs w:val="24"/>
        </w:rPr>
        <w:t xml:space="preserve"> et</w:t>
      </w:r>
      <w:r>
        <w:rPr>
          <w:rFonts w:asciiTheme="majorBidi" w:hAnsiTheme="majorBidi" w:cstheme="majorBidi"/>
          <w:kern w:val="24"/>
          <w:sz w:val="24"/>
          <w:szCs w:val="24"/>
        </w:rPr>
        <w:t xml:space="preserve"> la</w:t>
      </w:r>
      <w:r w:rsidRPr="001F7AA5">
        <w:rPr>
          <w:rFonts w:asciiTheme="majorBidi" w:hAnsiTheme="majorBidi" w:cstheme="majorBidi"/>
          <w:kern w:val="24"/>
          <w:sz w:val="24"/>
          <w:szCs w:val="24"/>
        </w:rPr>
        <w:t xml:space="preserve"> </w:t>
      </w:r>
      <w:r w:rsidRPr="001F7AA5">
        <w:rPr>
          <w:rFonts w:asciiTheme="majorBidi" w:hAnsiTheme="majorBidi" w:cstheme="majorBidi"/>
          <w:i/>
          <w:iCs/>
          <w:kern w:val="24"/>
          <w:sz w:val="24"/>
          <w:szCs w:val="24"/>
        </w:rPr>
        <w:t>moudaraba</w:t>
      </w:r>
      <w:r>
        <w:rPr>
          <w:rFonts w:asciiTheme="majorBidi" w:hAnsiTheme="majorBidi" w:cstheme="majorBidi"/>
          <w:i/>
          <w:iCs/>
          <w:kern w:val="24"/>
          <w:sz w:val="24"/>
          <w:szCs w:val="24"/>
        </w:rPr>
        <w:t>.</w:t>
      </w:r>
      <w:r>
        <w:rPr>
          <w:rFonts w:asciiTheme="majorBidi" w:hAnsiTheme="majorBidi" w:cstheme="majorBidi"/>
          <w:kern w:val="24"/>
          <w:sz w:val="24"/>
          <w:szCs w:val="24"/>
        </w:rPr>
        <w:t xml:space="preserve"> </w:t>
      </w:r>
      <w:r w:rsidRPr="001F7AA5">
        <w:rPr>
          <w:rFonts w:asciiTheme="majorBidi" w:hAnsiTheme="majorBidi" w:cstheme="majorBidi"/>
          <w:kern w:val="24"/>
          <w:sz w:val="24"/>
          <w:szCs w:val="24"/>
        </w:rPr>
        <w:t>Les techniques d’atténuation des risques liés aux produits participatifs proposées sont les réserves pour pertes, le nantissement, les garanties, le rating interne, la PER et l’IRR.</w:t>
      </w:r>
    </w:p>
    <w:p w14:paraId="116B9FA5" w14:textId="77777777" w:rsidR="004B703E" w:rsidRPr="005D02A7" w:rsidRDefault="004B703E" w:rsidP="004B703E">
      <w:pPr>
        <w:pStyle w:val="Paragraphedeliste"/>
        <w:tabs>
          <w:tab w:val="left" w:pos="0"/>
          <w:tab w:val="left" w:pos="284"/>
        </w:tabs>
        <w:suppressAutoHyphens/>
        <w:autoSpaceDE w:val="0"/>
        <w:autoSpaceDN w:val="0"/>
        <w:adjustRightInd w:val="0"/>
        <w:spacing w:before="100" w:beforeAutospacing="1" w:line="300" w:lineRule="auto"/>
        <w:ind w:left="0" w:firstLine="709"/>
        <w:contextualSpacing w:val="0"/>
        <w:rPr>
          <w:rFonts w:ascii="Times New Roman" w:hAnsi="Times New Roman" w:cs="Times New Roman"/>
          <w:b/>
          <w:bCs/>
          <w:kern w:val="24"/>
          <w:sz w:val="24"/>
          <w:szCs w:val="24"/>
        </w:rPr>
      </w:pPr>
      <w:r>
        <w:rPr>
          <w:rFonts w:ascii="Times New Roman" w:hAnsi="Times New Roman" w:cs="Times New Roman"/>
          <w:b/>
          <w:bCs/>
          <w:kern w:val="24"/>
          <w:sz w:val="24"/>
          <w:szCs w:val="24"/>
        </w:rPr>
        <w:t xml:space="preserve">4- </w:t>
      </w:r>
      <w:r w:rsidRPr="005D02A7">
        <w:rPr>
          <w:rFonts w:ascii="Times New Roman" w:hAnsi="Times New Roman" w:cs="Times New Roman"/>
          <w:b/>
          <w:bCs/>
          <w:kern w:val="24"/>
          <w:sz w:val="24"/>
          <w:szCs w:val="24"/>
        </w:rPr>
        <w:t>Les limites de la recherche</w:t>
      </w:r>
    </w:p>
    <w:p w14:paraId="68D8349C" w14:textId="77777777" w:rsidR="004B703E" w:rsidRDefault="004B703E" w:rsidP="004B703E">
      <w:pPr>
        <w:tabs>
          <w:tab w:val="left" w:pos="0"/>
        </w:tabs>
        <w:suppressAutoHyphens/>
        <w:spacing w:before="120" w:line="300" w:lineRule="auto"/>
        <w:ind w:firstLine="709"/>
        <w:rPr>
          <w:rFonts w:ascii="Times New Roman" w:hAnsi="Times New Roman" w:cs="Times New Roman"/>
          <w:kern w:val="24"/>
          <w:sz w:val="24"/>
          <w:szCs w:val="24"/>
        </w:rPr>
      </w:pPr>
      <w:r>
        <w:rPr>
          <w:rFonts w:ascii="Times New Roman" w:hAnsi="Times New Roman" w:cs="Times New Roman"/>
          <w:kern w:val="24"/>
          <w:sz w:val="24"/>
          <w:szCs w:val="24"/>
        </w:rPr>
        <w:t xml:space="preserve">Nous pensons que </w:t>
      </w:r>
      <w:r w:rsidRPr="001F7AA5">
        <w:rPr>
          <w:rFonts w:ascii="Times New Roman" w:hAnsi="Times New Roman" w:cs="Times New Roman"/>
          <w:kern w:val="24"/>
          <w:sz w:val="24"/>
          <w:szCs w:val="24"/>
        </w:rPr>
        <w:t xml:space="preserve">notre étude </w:t>
      </w:r>
      <w:r>
        <w:rPr>
          <w:rFonts w:ascii="Times New Roman" w:hAnsi="Times New Roman" w:cs="Times New Roman"/>
          <w:kern w:val="24"/>
          <w:sz w:val="24"/>
          <w:szCs w:val="24"/>
        </w:rPr>
        <w:t xml:space="preserve">empirique </w:t>
      </w:r>
      <w:r w:rsidRPr="001F7AA5">
        <w:rPr>
          <w:rFonts w:ascii="Times New Roman" w:hAnsi="Times New Roman" w:cs="Times New Roman"/>
          <w:kern w:val="24"/>
          <w:sz w:val="24"/>
          <w:szCs w:val="24"/>
        </w:rPr>
        <w:t xml:space="preserve">peut être considérée </w:t>
      </w:r>
      <w:r>
        <w:rPr>
          <w:rFonts w:ascii="Times New Roman" w:hAnsi="Times New Roman" w:cs="Times New Roman"/>
          <w:kern w:val="24"/>
          <w:sz w:val="24"/>
          <w:szCs w:val="24"/>
        </w:rPr>
        <w:t>parmi les</w:t>
      </w:r>
      <w:r w:rsidRPr="001F7AA5">
        <w:rPr>
          <w:rFonts w:ascii="Times New Roman" w:hAnsi="Times New Roman" w:cs="Times New Roman"/>
          <w:kern w:val="24"/>
          <w:sz w:val="24"/>
          <w:szCs w:val="24"/>
        </w:rPr>
        <w:t xml:space="preserve"> pionnière</w:t>
      </w:r>
      <w:r>
        <w:rPr>
          <w:rFonts w:ascii="Times New Roman" w:hAnsi="Times New Roman" w:cs="Times New Roman"/>
          <w:kern w:val="24"/>
          <w:sz w:val="24"/>
          <w:szCs w:val="24"/>
        </w:rPr>
        <w:t>s en matière de gestion de risques dans l’industrie bancaire islamique. Un échantillon encore plus large des institutions et des acteurs de la finance islamique permet certainement de dégager des résultats plus pertinents et détaillés.</w:t>
      </w:r>
    </w:p>
    <w:p w14:paraId="4967434D" w14:textId="77777777" w:rsidR="004B703E" w:rsidRPr="001F7AA5" w:rsidRDefault="004B703E" w:rsidP="004B703E">
      <w:pPr>
        <w:tabs>
          <w:tab w:val="left" w:pos="0"/>
        </w:tabs>
        <w:suppressAutoHyphens/>
        <w:spacing w:before="120" w:line="300" w:lineRule="auto"/>
        <w:ind w:firstLine="709"/>
        <w:rPr>
          <w:rFonts w:ascii="Times New Roman" w:hAnsi="Times New Roman" w:cs="Times New Roman"/>
          <w:kern w:val="24"/>
          <w:sz w:val="24"/>
          <w:szCs w:val="24"/>
          <w:shd w:val="clear" w:color="auto" w:fill="F8F9FA"/>
        </w:rPr>
      </w:pPr>
      <w:r w:rsidRPr="00575294">
        <w:rPr>
          <w:rFonts w:ascii="Times New Roman" w:hAnsi="Times New Roman" w:cs="Times New Roman"/>
          <w:kern w:val="24"/>
          <w:sz w:val="24"/>
          <w:szCs w:val="24"/>
        </w:rPr>
        <w:t xml:space="preserve">L’importance de la problématique des risques nécessite le recours à des outils statistiques et/ou </w:t>
      </w:r>
      <w:r w:rsidRPr="00575294">
        <w:rPr>
          <w:rFonts w:ascii="Times New Roman" w:hAnsi="Times New Roman" w:cs="Times New Roman"/>
          <w:kern w:val="24"/>
          <w:sz w:val="24"/>
          <w:szCs w:val="24"/>
          <w:lang w:bidi="ar-DZ"/>
        </w:rPr>
        <w:t xml:space="preserve">économétriques </w:t>
      </w:r>
      <w:r w:rsidRPr="00575294">
        <w:rPr>
          <w:rFonts w:ascii="Times New Roman" w:hAnsi="Times New Roman" w:cs="Times New Roman"/>
          <w:kern w:val="24"/>
          <w:sz w:val="24"/>
          <w:szCs w:val="24"/>
        </w:rPr>
        <w:t>puissants permettant au chercheur d’obtenir des résultats plus larges et représentatifs en vue d’une analyse approfondie notamment des risques en liaison avec les modes financiers participatifs.</w:t>
      </w:r>
    </w:p>
    <w:p w14:paraId="198DB9C4" w14:textId="77777777" w:rsidR="004B703E" w:rsidRPr="005D02A7" w:rsidRDefault="004B703E" w:rsidP="004B703E">
      <w:pPr>
        <w:tabs>
          <w:tab w:val="left" w:pos="0"/>
          <w:tab w:val="left" w:pos="284"/>
          <w:tab w:val="center" w:pos="1134"/>
        </w:tabs>
        <w:suppressAutoHyphens/>
        <w:spacing w:before="120" w:line="300" w:lineRule="auto"/>
        <w:ind w:firstLine="709"/>
        <w:rPr>
          <w:rFonts w:ascii="Times New Roman" w:hAnsi="Times New Roman" w:cs="Times New Roman"/>
          <w:b/>
          <w:bCs/>
          <w:kern w:val="24"/>
          <w:sz w:val="24"/>
          <w:szCs w:val="24"/>
        </w:rPr>
      </w:pPr>
      <w:r>
        <w:rPr>
          <w:rFonts w:ascii="Times New Roman" w:hAnsi="Times New Roman" w:cs="Times New Roman"/>
          <w:b/>
          <w:bCs/>
          <w:kern w:val="24"/>
          <w:sz w:val="24"/>
          <w:szCs w:val="24"/>
        </w:rPr>
        <w:t xml:space="preserve">5- </w:t>
      </w:r>
      <w:r w:rsidRPr="005D02A7">
        <w:rPr>
          <w:rFonts w:ascii="Times New Roman" w:hAnsi="Times New Roman" w:cs="Times New Roman"/>
          <w:b/>
          <w:bCs/>
          <w:kern w:val="24"/>
          <w:sz w:val="24"/>
          <w:szCs w:val="24"/>
        </w:rPr>
        <w:t>Les perspectives de recherche</w:t>
      </w:r>
    </w:p>
    <w:p w14:paraId="6D1C510B" w14:textId="77777777" w:rsidR="004B703E" w:rsidRDefault="004B703E" w:rsidP="004B703E">
      <w:pPr>
        <w:pStyle w:val="Paragraphedeliste"/>
        <w:tabs>
          <w:tab w:val="left" w:pos="0"/>
        </w:tabs>
        <w:suppressAutoHyphens/>
        <w:spacing w:before="120" w:line="300" w:lineRule="auto"/>
        <w:ind w:left="0" w:firstLine="709"/>
        <w:contextualSpacing w:val="0"/>
        <w:rPr>
          <w:rFonts w:ascii="Times New Roman" w:hAnsi="Times New Roman" w:cs="Times New Roman"/>
          <w:kern w:val="24"/>
          <w:sz w:val="24"/>
          <w:szCs w:val="24"/>
        </w:rPr>
      </w:pPr>
      <w:r w:rsidRPr="001F7AA5">
        <w:rPr>
          <w:rFonts w:ascii="Times New Roman" w:hAnsi="Times New Roman" w:cs="Times New Roman"/>
          <w:kern w:val="24"/>
          <w:sz w:val="24"/>
          <w:szCs w:val="24"/>
        </w:rPr>
        <w:t>Cette étude ouvre des pistes de recherche permettant d’affiner notre travail. Ainsi, à côté de la perception des risques et leur gestion dans les banques islamiques par les professionnels, il est également possible de solliciter les opinions des clients qui recourent aux modes financiers participatifs.</w:t>
      </w:r>
    </w:p>
    <w:p w14:paraId="725DFFB7" w14:textId="77777777" w:rsidR="004B703E" w:rsidRPr="001F7AA5" w:rsidRDefault="004B703E" w:rsidP="004B703E">
      <w:pPr>
        <w:tabs>
          <w:tab w:val="left" w:pos="0"/>
        </w:tabs>
        <w:suppressAutoHyphens/>
        <w:spacing w:before="120" w:line="300" w:lineRule="auto"/>
        <w:ind w:firstLine="709"/>
        <w:rPr>
          <w:rFonts w:ascii="Times New Roman" w:hAnsi="Times New Roman" w:cs="Times New Roman"/>
          <w:kern w:val="24"/>
          <w:sz w:val="24"/>
          <w:szCs w:val="24"/>
        </w:rPr>
      </w:pPr>
      <w:r w:rsidRPr="00DA36C5">
        <w:rPr>
          <w:rFonts w:ascii="Times New Roman" w:hAnsi="Times New Roman" w:cs="Times New Roman"/>
          <w:kern w:val="24"/>
          <w:sz w:val="24"/>
          <w:szCs w:val="24"/>
        </w:rPr>
        <w:t>De même, bien que l’expérience nationale en matière de banque islamique soit récente et limitée, il serait utile de mener un travail empirique afin d’anticiper la question des risques et de</w:t>
      </w:r>
      <w:r>
        <w:rPr>
          <w:rFonts w:ascii="Times New Roman" w:hAnsi="Times New Roman" w:cs="Times New Roman"/>
          <w:kern w:val="24"/>
          <w:sz w:val="24"/>
          <w:szCs w:val="24"/>
        </w:rPr>
        <w:t xml:space="preserve"> tirer profit des résultats assez probants de notre enquête.</w:t>
      </w:r>
    </w:p>
    <w:p w14:paraId="1B27FEE7" w14:textId="77777777" w:rsidR="004B703E" w:rsidRPr="00E853AB" w:rsidRDefault="004B703E" w:rsidP="004B703E">
      <w:pPr>
        <w:tabs>
          <w:tab w:val="left" w:pos="426"/>
          <w:tab w:val="center" w:pos="1134"/>
        </w:tabs>
        <w:suppressAutoHyphens/>
        <w:spacing w:before="120" w:line="300" w:lineRule="auto"/>
        <w:ind w:firstLine="425"/>
        <w:rPr>
          <w:rFonts w:ascii="Times New Roman" w:hAnsi="Times New Roman" w:cs="Times New Roman"/>
          <w:kern w:val="24"/>
          <w:sz w:val="24"/>
          <w:szCs w:val="24"/>
        </w:rPr>
      </w:pPr>
      <w:r>
        <w:rPr>
          <w:rFonts w:ascii="Times New Roman" w:hAnsi="Times New Roman" w:cs="Times New Roman"/>
          <w:kern w:val="24"/>
          <w:sz w:val="24"/>
          <w:szCs w:val="24"/>
        </w:rPr>
        <w:t xml:space="preserve">En définitive, il apparaît que l’activité de l’industrie bancaire islamique fait l’objet d’une attention singulière des parties prenantes qui observent son développement par rapport à la banque conventionnelle : institutions financières et bancaires internationales et islamiques (BRI, FMI, IFSB, AAOIFI), banque centrale, organe de supervision </w:t>
      </w:r>
      <w:r w:rsidRPr="001E4EA9">
        <w:rPr>
          <w:rFonts w:ascii="Times New Roman" w:hAnsi="Times New Roman" w:cs="Times New Roman"/>
          <w:i/>
          <w:iCs/>
          <w:kern w:val="24"/>
          <w:sz w:val="24"/>
          <w:szCs w:val="24"/>
        </w:rPr>
        <w:t>Shariah bord</w:t>
      </w:r>
      <w:r>
        <w:rPr>
          <w:rFonts w:ascii="Times New Roman" w:hAnsi="Times New Roman" w:cs="Times New Roman"/>
          <w:kern w:val="24"/>
          <w:sz w:val="24"/>
          <w:szCs w:val="24"/>
        </w:rPr>
        <w:t>, commissaire aux comptes, auditeurs, investisseurs, clients, actionnaires… Ce sont autant d’interrogations, de challenges et d’attentes auxquels est soumise la finance islamique en général.</w:t>
      </w:r>
    </w:p>
    <w:p w14:paraId="2C3B5266" w14:textId="77777777" w:rsidR="003254A4" w:rsidRDefault="003254A4" w:rsidP="00D66FFE">
      <w:pPr>
        <w:tabs>
          <w:tab w:val="left" w:pos="0"/>
        </w:tabs>
        <w:spacing w:line="300" w:lineRule="auto"/>
        <w:ind w:firstLine="709"/>
        <w:rPr>
          <w:rFonts w:ascii="Times New Roman" w:hAnsi="Times New Roman" w:cs="Times New Roman"/>
          <w:sz w:val="24"/>
          <w:szCs w:val="24"/>
        </w:rPr>
      </w:pPr>
    </w:p>
    <w:p w14:paraId="44B06C76" w14:textId="77777777" w:rsidR="004B703E" w:rsidRDefault="004B703E" w:rsidP="00D66FFE">
      <w:pPr>
        <w:tabs>
          <w:tab w:val="left" w:pos="0"/>
        </w:tabs>
        <w:spacing w:line="300" w:lineRule="auto"/>
        <w:ind w:firstLine="709"/>
        <w:rPr>
          <w:rFonts w:ascii="Times New Roman" w:hAnsi="Times New Roman" w:cs="Times New Roman"/>
          <w:sz w:val="24"/>
          <w:szCs w:val="24"/>
        </w:rPr>
        <w:sectPr w:rsidR="004B703E" w:rsidSect="003010C3">
          <w:headerReference w:type="default" r:id="rId73"/>
          <w:footerReference w:type="default" r:id="rId74"/>
          <w:footnotePr>
            <w:numRestart w:val="eachPage"/>
          </w:footnotePr>
          <w:pgSz w:w="11906" w:h="16838" w:code="9"/>
          <w:pgMar w:top="1134" w:right="1134" w:bottom="1134" w:left="1134" w:header="709" w:footer="709" w:gutter="567"/>
          <w:pgNumType w:start="233"/>
          <w:cols w:space="708"/>
          <w:docGrid w:linePitch="360"/>
        </w:sectPr>
      </w:pPr>
    </w:p>
    <w:p w14:paraId="3F3DD078" w14:textId="77777777" w:rsidR="00694CCB" w:rsidRPr="002B005F" w:rsidRDefault="00694CCB" w:rsidP="00E6053E">
      <w:pPr>
        <w:tabs>
          <w:tab w:val="left" w:pos="0"/>
        </w:tabs>
        <w:spacing w:line="360" w:lineRule="auto"/>
        <w:ind w:firstLine="709"/>
        <w:rPr>
          <w:rFonts w:ascii="Times New Roman" w:hAnsi="Times New Roman" w:cs="Times New Roman"/>
          <w:sz w:val="24"/>
          <w:szCs w:val="24"/>
        </w:rPr>
      </w:pPr>
    </w:p>
    <w:p w14:paraId="4173711F" w14:textId="77777777" w:rsidR="00694CCB" w:rsidRPr="002B005F" w:rsidRDefault="00694CCB" w:rsidP="00694CCB">
      <w:pPr>
        <w:spacing w:before="120" w:after="100" w:afterAutospacing="1" w:line="360" w:lineRule="auto"/>
        <w:jc w:val="center"/>
        <w:rPr>
          <w:rFonts w:ascii="Times New Roman" w:hAnsi="Times New Roman" w:cs="Times New Roman"/>
          <w:b/>
          <w:bCs/>
          <w:smallCaps/>
          <w:sz w:val="72"/>
          <w:szCs w:val="72"/>
        </w:rPr>
      </w:pPr>
      <w:bookmarkStart w:id="1842" w:name="_Toc33263414"/>
      <w:bookmarkStart w:id="1843" w:name="_Toc33264129"/>
      <w:bookmarkStart w:id="1844" w:name="_Toc37664678"/>
      <w:bookmarkStart w:id="1845" w:name="_Toc37666523"/>
      <w:bookmarkStart w:id="1846" w:name="_Toc37667331"/>
      <w:bookmarkStart w:id="1847" w:name="_Toc54361041"/>
      <w:bookmarkStart w:id="1848" w:name="_Toc54361689"/>
      <w:bookmarkStart w:id="1849" w:name="_Toc54363420"/>
      <w:bookmarkStart w:id="1850" w:name="_Toc57901039"/>
      <w:bookmarkStart w:id="1851" w:name="_Toc58261941"/>
      <w:bookmarkStart w:id="1852" w:name="_Toc58606393"/>
    </w:p>
    <w:p w14:paraId="04C790D3" w14:textId="77777777" w:rsidR="00694CCB" w:rsidRPr="002B005F" w:rsidRDefault="00694CCB" w:rsidP="00694CCB">
      <w:pPr>
        <w:spacing w:before="120" w:after="100" w:afterAutospacing="1" w:line="360" w:lineRule="auto"/>
        <w:jc w:val="center"/>
        <w:rPr>
          <w:rFonts w:ascii="Times New Roman" w:hAnsi="Times New Roman" w:cs="Times New Roman"/>
          <w:b/>
          <w:bCs/>
          <w:smallCaps/>
          <w:sz w:val="72"/>
          <w:szCs w:val="72"/>
        </w:rPr>
      </w:pPr>
    </w:p>
    <w:p w14:paraId="770BAAF7" w14:textId="77777777" w:rsidR="00694CCB" w:rsidRPr="002B005F" w:rsidRDefault="00694CCB" w:rsidP="00621FA2">
      <w:pPr>
        <w:spacing w:before="120" w:after="100" w:afterAutospacing="1" w:line="360" w:lineRule="auto"/>
        <w:rPr>
          <w:rFonts w:ascii="Times New Roman" w:hAnsi="Times New Roman" w:cs="Times New Roman"/>
          <w:b/>
          <w:bCs/>
          <w:smallCaps/>
          <w:sz w:val="72"/>
          <w:szCs w:val="72"/>
        </w:rPr>
      </w:pPr>
    </w:p>
    <w:p w14:paraId="15AACE67" w14:textId="77777777" w:rsidR="00694CCB" w:rsidRPr="003254A4" w:rsidRDefault="00694CCB" w:rsidP="004B703E">
      <w:pPr>
        <w:spacing w:after="100" w:afterAutospacing="1"/>
        <w:jc w:val="center"/>
        <w:outlineLvl w:val="0"/>
        <w:rPr>
          <w:rFonts w:asciiTheme="majorBidi" w:hAnsiTheme="majorBidi" w:cstheme="majorBidi"/>
          <w:b/>
          <w:bCs/>
          <w:smallCaps/>
          <w:spacing w:val="40"/>
          <w:sz w:val="56"/>
          <w:szCs w:val="56"/>
          <w:lang w:val="en-GB"/>
        </w:rPr>
      </w:pPr>
      <w:bookmarkStart w:id="1853" w:name="_Toc182298942"/>
      <w:bookmarkStart w:id="1854" w:name="_Toc182309400"/>
      <w:r w:rsidRPr="003254A4">
        <w:rPr>
          <w:rFonts w:asciiTheme="majorBidi" w:hAnsiTheme="majorBidi" w:cstheme="majorBidi"/>
          <w:b/>
          <w:bCs/>
          <w:smallCaps/>
          <w:spacing w:val="40"/>
          <w:sz w:val="56"/>
          <w:szCs w:val="56"/>
          <w:lang w:val="en-GB"/>
        </w:rPr>
        <w:t>Bibliographie</w:t>
      </w:r>
      <w:bookmarkEnd w:id="1853"/>
      <w:bookmarkEnd w:id="1854"/>
    </w:p>
    <w:bookmarkEnd w:id="1842"/>
    <w:bookmarkEnd w:id="1843"/>
    <w:bookmarkEnd w:id="1844"/>
    <w:bookmarkEnd w:id="1845"/>
    <w:bookmarkEnd w:id="1846"/>
    <w:bookmarkEnd w:id="1847"/>
    <w:bookmarkEnd w:id="1848"/>
    <w:bookmarkEnd w:id="1849"/>
    <w:bookmarkEnd w:id="1850"/>
    <w:bookmarkEnd w:id="1851"/>
    <w:bookmarkEnd w:id="1852"/>
    <w:p w14:paraId="001EFC54" w14:textId="77777777" w:rsidR="003254A4" w:rsidRDefault="003254A4" w:rsidP="003254A4">
      <w:pPr>
        <w:spacing w:before="100" w:beforeAutospacing="1" w:after="120"/>
        <w:rPr>
          <w:rFonts w:ascii="Times New Roman" w:hAnsi="Times New Roman" w:cs="Times New Roman"/>
          <w:sz w:val="28"/>
          <w:szCs w:val="28"/>
          <w:lang w:val="en-US"/>
        </w:rPr>
      </w:pPr>
    </w:p>
    <w:p w14:paraId="7271262B" w14:textId="6EC49D5F" w:rsidR="003010C3" w:rsidRDefault="003010C3" w:rsidP="003254A4">
      <w:pPr>
        <w:spacing w:before="100" w:beforeAutospacing="1" w:after="120"/>
        <w:rPr>
          <w:rFonts w:ascii="Times New Roman" w:hAnsi="Times New Roman" w:cs="Times New Roman"/>
          <w:sz w:val="28"/>
          <w:szCs w:val="28"/>
          <w:lang w:val="en-US"/>
        </w:rPr>
      </w:pPr>
    </w:p>
    <w:p w14:paraId="3BB4CD16" w14:textId="77777777" w:rsidR="003010C3" w:rsidRPr="003010C3" w:rsidRDefault="003010C3" w:rsidP="003010C3">
      <w:pPr>
        <w:rPr>
          <w:rFonts w:ascii="Times New Roman" w:hAnsi="Times New Roman" w:cs="Times New Roman"/>
          <w:sz w:val="28"/>
          <w:szCs w:val="28"/>
          <w:lang w:val="en-US"/>
        </w:rPr>
      </w:pPr>
    </w:p>
    <w:p w14:paraId="255A5D1B" w14:textId="77777777" w:rsidR="003010C3" w:rsidRPr="003010C3" w:rsidRDefault="003010C3" w:rsidP="003010C3">
      <w:pPr>
        <w:rPr>
          <w:rFonts w:ascii="Times New Roman" w:hAnsi="Times New Roman" w:cs="Times New Roman"/>
          <w:sz w:val="28"/>
          <w:szCs w:val="28"/>
          <w:lang w:val="en-US"/>
        </w:rPr>
      </w:pPr>
    </w:p>
    <w:p w14:paraId="5A682716" w14:textId="77777777" w:rsidR="003010C3" w:rsidRPr="003010C3" w:rsidRDefault="003010C3" w:rsidP="003010C3">
      <w:pPr>
        <w:rPr>
          <w:rFonts w:ascii="Times New Roman" w:hAnsi="Times New Roman" w:cs="Times New Roman"/>
          <w:sz w:val="28"/>
          <w:szCs w:val="28"/>
          <w:lang w:val="en-US"/>
        </w:rPr>
      </w:pPr>
    </w:p>
    <w:p w14:paraId="517571E4" w14:textId="77777777" w:rsidR="003010C3" w:rsidRPr="003010C3" w:rsidRDefault="003010C3" w:rsidP="003010C3">
      <w:pPr>
        <w:rPr>
          <w:rFonts w:ascii="Times New Roman" w:hAnsi="Times New Roman" w:cs="Times New Roman"/>
          <w:sz w:val="28"/>
          <w:szCs w:val="28"/>
          <w:lang w:val="en-US"/>
        </w:rPr>
      </w:pPr>
    </w:p>
    <w:p w14:paraId="70EE0257" w14:textId="77777777" w:rsidR="003010C3" w:rsidRPr="003010C3" w:rsidRDefault="003010C3" w:rsidP="003010C3">
      <w:pPr>
        <w:rPr>
          <w:rFonts w:ascii="Times New Roman" w:hAnsi="Times New Roman" w:cs="Times New Roman"/>
          <w:sz w:val="28"/>
          <w:szCs w:val="28"/>
          <w:lang w:val="en-US"/>
        </w:rPr>
      </w:pPr>
    </w:p>
    <w:p w14:paraId="2D9C18A0" w14:textId="77777777" w:rsidR="003010C3" w:rsidRPr="003010C3" w:rsidRDefault="003010C3" w:rsidP="003010C3">
      <w:pPr>
        <w:rPr>
          <w:rFonts w:ascii="Times New Roman" w:hAnsi="Times New Roman" w:cs="Times New Roman"/>
          <w:sz w:val="28"/>
          <w:szCs w:val="28"/>
          <w:lang w:val="en-US"/>
        </w:rPr>
      </w:pPr>
    </w:p>
    <w:p w14:paraId="61FDAD7D" w14:textId="77777777" w:rsidR="003010C3" w:rsidRPr="003010C3" w:rsidRDefault="003010C3" w:rsidP="003010C3">
      <w:pPr>
        <w:rPr>
          <w:rFonts w:ascii="Times New Roman" w:hAnsi="Times New Roman" w:cs="Times New Roman"/>
          <w:sz w:val="28"/>
          <w:szCs w:val="28"/>
          <w:lang w:val="en-US"/>
        </w:rPr>
      </w:pPr>
    </w:p>
    <w:p w14:paraId="76562816" w14:textId="77777777" w:rsidR="003010C3" w:rsidRPr="003010C3" w:rsidRDefault="003010C3" w:rsidP="003010C3">
      <w:pPr>
        <w:rPr>
          <w:rFonts w:ascii="Times New Roman" w:hAnsi="Times New Roman" w:cs="Times New Roman"/>
          <w:sz w:val="28"/>
          <w:szCs w:val="28"/>
          <w:lang w:val="en-US"/>
        </w:rPr>
      </w:pPr>
    </w:p>
    <w:p w14:paraId="353F38E6" w14:textId="77777777" w:rsidR="003010C3" w:rsidRPr="003010C3" w:rsidRDefault="003010C3" w:rsidP="003010C3">
      <w:pPr>
        <w:rPr>
          <w:rFonts w:ascii="Times New Roman" w:hAnsi="Times New Roman" w:cs="Times New Roman"/>
          <w:sz w:val="28"/>
          <w:szCs w:val="28"/>
          <w:lang w:val="en-US"/>
        </w:rPr>
      </w:pPr>
    </w:p>
    <w:p w14:paraId="43AF407A" w14:textId="77777777" w:rsidR="003010C3" w:rsidRPr="003010C3" w:rsidRDefault="003010C3" w:rsidP="003010C3">
      <w:pPr>
        <w:rPr>
          <w:rFonts w:ascii="Times New Roman" w:hAnsi="Times New Roman" w:cs="Times New Roman"/>
          <w:sz w:val="28"/>
          <w:szCs w:val="28"/>
          <w:lang w:val="en-US"/>
        </w:rPr>
      </w:pPr>
    </w:p>
    <w:p w14:paraId="5AAF376B" w14:textId="77777777" w:rsidR="003010C3" w:rsidRPr="003010C3" w:rsidRDefault="003010C3" w:rsidP="003010C3">
      <w:pPr>
        <w:rPr>
          <w:rFonts w:ascii="Times New Roman" w:hAnsi="Times New Roman" w:cs="Times New Roman"/>
          <w:sz w:val="28"/>
          <w:szCs w:val="28"/>
          <w:lang w:val="en-US"/>
        </w:rPr>
      </w:pPr>
    </w:p>
    <w:p w14:paraId="5A4A93A7" w14:textId="77777777" w:rsidR="003010C3" w:rsidRPr="003010C3" w:rsidRDefault="003010C3" w:rsidP="003010C3">
      <w:pPr>
        <w:rPr>
          <w:rFonts w:ascii="Times New Roman" w:hAnsi="Times New Roman" w:cs="Times New Roman"/>
          <w:sz w:val="28"/>
          <w:szCs w:val="28"/>
          <w:lang w:val="en-US"/>
        </w:rPr>
      </w:pPr>
    </w:p>
    <w:p w14:paraId="3A1416EC" w14:textId="77777777" w:rsidR="003010C3" w:rsidRPr="003010C3" w:rsidRDefault="003010C3" w:rsidP="003010C3">
      <w:pPr>
        <w:rPr>
          <w:rFonts w:ascii="Times New Roman" w:hAnsi="Times New Roman" w:cs="Times New Roman"/>
          <w:sz w:val="28"/>
          <w:szCs w:val="28"/>
          <w:lang w:val="en-US"/>
        </w:rPr>
      </w:pPr>
    </w:p>
    <w:p w14:paraId="7983F4B6" w14:textId="77777777" w:rsidR="003010C3" w:rsidRPr="003010C3" w:rsidRDefault="003010C3" w:rsidP="003010C3">
      <w:pPr>
        <w:rPr>
          <w:rFonts w:ascii="Times New Roman" w:hAnsi="Times New Roman" w:cs="Times New Roman"/>
          <w:sz w:val="28"/>
          <w:szCs w:val="28"/>
          <w:lang w:val="en-US"/>
        </w:rPr>
      </w:pPr>
    </w:p>
    <w:p w14:paraId="538995C7" w14:textId="77777777" w:rsidR="003010C3" w:rsidRPr="003010C3" w:rsidRDefault="003010C3" w:rsidP="003010C3">
      <w:pPr>
        <w:rPr>
          <w:rFonts w:ascii="Times New Roman" w:hAnsi="Times New Roman" w:cs="Times New Roman"/>
          <w:sz w:val="28"/>
          <w:szCs w:val="28"/>
          <w:lang w:val="en-US"/>
        </w:rPr>
      </w:pPr>
    </w:p>
    <w:p w14:paraId="228C1543" w14:textId="77777777" w:rsidR="003010C3" w:rsidRPr="003010C3" w:rsidRDefault="003010C3" w:rsidP="003010C3">
      <w:pPr>
        <w:rPr>
          <w:rFonts w:ascii="Times New Roman" w:hAnsi="Times New Roman" w:cs="Times New Roman"/>
          <w:sz w:val="28"/>
          <w:szCs w:val="28"/>
          <w:lang w:val="en-US"/>
        </w:rPr>
      </w:pPr>
    </w:p>
    <w:p w14:paraId="09C0A0AE" w14:textId="77777777" w:rsidR="003010C3" w:rsidRPr="003010C3" w:rsidRDefault="003010C3" w:rsidP="003010C3">
      <w:pPr>
        <w:rPr>
          <w:rFonts w:ascii="Times New Roman" w:hAnsi="Times New Roman" w:cs="Times New Roman"/>
          <w:sz w:val="28"/>
          <w:szCs w:val="28"/>
          <w:lang w:val="en-US"/>
        </w:rPr>
      </w:pPr>
    </w:p>
    <w:p w14:paraId="7591DB8A" w14:textId="77777777" w:rsidR="003010C3" w:rsidRPr="003010C3" w:rsidRDefault="003010C3" w:rsidP="003010C3">
      <w:pPr>
        <w:rPr>
          <w:rFonts w:ascii="Times New Roman" w:hAnsi="Times New Roman" w:cs="Times New Roman"/>
          <w:sz w:val="28"/>
          <w:szCs w:val="28"/>
          <w:lang w:val="en-US"/>
        </w:rPr>
      </w:pPr>
    </w:p>
    <w:p w14:paraId="239B9BEA" w14:textId="40145B23" w:rsidR="003010C3" w:rsidRPr="003010C3" w:rsidRDefault="003010C3" w:rsidP="003010C3">
      <w:pPr>
        <w:tabs>
          <w:tab w:val="left" w:pos="5304"/>
        </w:tabs>
        <w:rPr>
          <w:rFonts w:ascii="Times New Roman" w:hAnsi="Times New Roman" w:cs="Times New Roman"/>
          <w:sz w:val="28"/>
          <w:szCs w:val="28"/>
          <w:lang w:val="en-US"/>
        </w:rPr>
      </w:pPr>
      <w:r>
        <w:rPr>
          <w:rFonts w:ascii="Times New Roman" w:hAnsi="Times New Roman" w:cs="Times New Roman"/>
          <w:sz w:val="28"/>
          <w:szCs w:val="28"/>
          <w:lang w:val="en-US"/>
        </w:rPr>
        <w:tab/>
      </w:r>
    </w:p>
    <w:p w14:paraId="10C22098" w14:textId="77777777" w:rsidR="00A42833" w:rsidRPr="00F634CD" w:rsidRDefault="00A42833" w:rsidP="003254A4">
      <w:pPr>
        <w:spacing w:before="100" w:beforeAutospacing="1" w:after="120"/>
        <w:rPr>
          <w:rFonts w:ascii="Times New Roman" w:hAnsi="Times New Roman" w:cs="Times New Roman"/>
          <w:b/>
          <w:kern w:val="24"/>
          <w:sz w:val="28"/>
          <w:szCs w:val="28"/>
          <w:lang w:val="en-GB"/>
        </w:rPr>
      </w:pPr>
      <w:r w:rsidRPr="002B005F">
        <w:rPr>
          <w:rFonts w:ascii="Times New Roman" w:hAnsi="Times New Roman" w:cs="Times New Roman"/>
          <w:sz w:val="28"/>
          <w:szCs w:val="28"/>
          <w:lang w:val="en-US"/>
        </w:rPr>
        <w:sym w:font="Webdings" w:char="F0A8"/>
      </w:r>
      <w:r w:rsidRPr="002B005F">
        <w:rPr>
          <w:rFonts w:ascii="Times New Roman" w:hAnsi="Times New Roman" w:cs="Times New Roman"/>
          <w:sz w:val="28"/>
          <w:szCs w:val="28"/>
          <w:lang w:val="en-GB"/>
        </w:rPr>
        <w:t xml:space="preserve"> </w:t>
      </w:r>
      <w:r w:rsidRPr="00A42833">
        <w:rPr>
          <w:rFonts w:ascii="Times New Roman" w:hAnsi="Times New Roman" w:cs="Times New Roman"/>
          <w:b/>
          <w:sz w:val="28"/>
          <w:szCs w:val="28"/>
          <w:lang w:val="en-GB"/>
        </w:rPr>
        <w:t>Ouvrages</w:t>
      </w:r>
    </w:p>
    <w:p w14:paraId="02691FA5" w14:textId="77777777" w:rsidR="00A42833" w:rsidRPr="00F634CD" w:rsidRDefault="00A42833" w:rsidP="00621FA2">
      <w:pPr>
        <w:tabs>
          <w:tab w:val="left" w:pos="0"/>
          <w:tab w:val="left" w:pos="284"/>
        </w:tabs>
        <w:autoSpaceDE w:val="0"/>
        <w:autoSpaceDN w:val="0"/>
        <w:adjustRightInd w:val="0"/>
        <w:spacing w:before="120"/>
        <w:rPr>
          <w:rFonts w:asciiTheme="majorBidi" w:eastAsia="SimHei" w:hAnsiTheme="majorBidi" w:cstheme="majorBidi"/>
          <w:kern w:val="24"/>
          <w:sz w:val="24"/>
          <w:szCs w:val="24"/>
          <w:lang w:val="en-GB"/>
        </w:rPr>
      </w:pPr>
      <w:r w:rsidRPr="00F634CD">
        <w:rPr>
          <w:rFonts w:asciiTheme="majorBidi" w:eastAsia="SimHei" w:hAnsiTheme="majorBidi" w:cstheme="majorBidi"/>
          <w:smallCaps/>
          <w:kern w:val="24"/>
          <w:sz w:val="24"/>
          <w:szCs w:val="24"/>
          <w:lang w:val="en-GB"/>
        </w:rPr>
        <w:t>Abdulkader</w:t>
      </w:r>
      <w:r w:rsidRPr="00F634CD">
        <w:rPr>
          <w:rFonts w:asciiTheme="majorBidi" w:eastAsia="SimHei" w:hAnsiTheme="majorBidi" w:cstheme="majorBidi"/>
          <w:kern w:val="24"/>
          <w:sz w:val="24"/>
          <w:szCs w:val="24"/>
          <w:lang w:val="en-GB"/>
        </w:rPr>
        <w:t xml:space="preserve"> Thomas, </w:t>
      </w:r>
      <w:r w:rsidRPr="00F634CD">
        <w:rPr>
          <w:rFonts w:asciiTheme="majorBidi" w:eastAsia="MS Mincho" w:hAnsiTheme="majorBidi" w:cstheme="majorBidi"/>
          <w:kern w:val="24"/>
          <w:sz w:val="24"/>
          <w:szCs w:val="24"/>
          <w:lang w:val="en-GB"/>
        </w:rPr>
        <w:t>“</w:t>
      </w:r>
      <w:r w:rsidRPr="00F634CD">
        <w:rPr>
          <w:rFonts w:asciiTheme="majorBidi" w:eastAsia="SimHei" w:hAnsiTheme="majorBidi" w:cstheme="majorBidi"/>
          <w:kern w:val="24"/>
          <w:sz w:val="24"/>
          <w:szCs w:val="24"/>
          <w:lang w:val="en-GB"/>
        </w:rPr>
        <w:t>Interest in Islamic Economic Understanding riba</w:t>
      </w:r>
      <w:r w:rsidRPr="00F634CD">
        <w:rPr>
          <w:rFonts w:asciiTheme="majorBidi" w:eastAsia="MS Mincho" w:hAnsiTheme="majorBidi" w:cstheme="majorBidi"/>
          <w:kern w:val="24"/>
          <w:sz w:val="24"/>
          <w:szCs w:val="24"/>
          <w:lang w:val="en-GB"/>
        </w:rPr>
        <w:t>”</w:t>
      </w:r>
      <w:r w:rsidRPr="00F634CD">
        <w:rPr>
          <w:rFonts w:asciiTheme="majorBidi" w:eastAsia="SimHei" w:hAnsiTheme="majorBidi" w:cstheme="majorBidi"/>
          <w:kern w:val="24"/>
          <w:sz w:val="24"/>
          <w:szCs w:val="24"/>
          <w:lang w:val="en-GB"/>
        </w:rPr>
        <w:t>, Taylor &amp; Francis e-Library Edition, London and New York, 2006, 160 p.</w:t>
      </w:r>
    </w:p>
    <w:p w14:paraId="15EFA7CE"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Abdul-Rahman</w:t>
      </w:r>
      <w:r w:rsidRPr="00F634CD">
        <w:rPr>
          <w:rFonts w:asciiTheme="majorBidi" w:hAnsiTheme="majorBidi" w:cstheme="majorBidi"/>
          <w:kern w:val="24"/>
          <w:sz w:val="24"/>
          <w:szCs w:val="24"/>
          <w:lang w:val="en-US" w:eastAsia="fr-FR"/>
        </w:rPr>
        <w:t xml:space="preserve"> Yahia, “The art of Islamic banking and finance”, Ed. John Wiley &amp; Sons, 2010, 432 p.</w:t>
      </w:r>
    </w:p>
    <w:p w14:paraId="2605396B"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eastAsia="fr-FR"/>
        </w:rPr>
        <w:t>Abu Dawud</w:t>
      </w:r>
      <w:r w:rsidRPr="00F634CD">
        <w:rPr>
          <w:rFonts w:asciiTheme="majorBidi" w:hAnsiTheme="majorBidi" w:cstheme="majorBidi"/>
          <w:kern w:val="24"/>
          <w:sz w:val="24"/>
          <w:szCs w:val="24"/>
          <w:lang w:val="en-GB" w:eastAsia="fr-FR"/>
        </w:rPr>
        <w:t xml:space="preserve"> and </w:t>
      </w:r>
      <w:r w:rsidRPr="00F634CD">
        <w:rPr>
          <w:rFonts w:asciiTheme="majorBidi" w:hAnsiTheme="majorBidi" w:cstheme="majorBidi"/>
          <w:smallCaps/>
          <w:kern w:val="24"/>
          <w:sz w:val="24"/>
          <w:szCs w:val="24"/>
          <w:lang w:val="en-GB" w:eastAsia="fr-FR"/>
        </w:rPr>
        <w:t xml:space="preserve">HASAN </w:t>
      </w:r>
      <w:r w:rsidRPr="00F634CD">
        <w:rPr>
          <w:rFonts w:asciiTheme="majorBidi" w:hAnsiTheme="majorBidi" w:cstheme="majorBidi"/>
          <w:kern w:val="24"/>
          <w:sz w:val="24"/>
          <w:szCs w:val="24"/>
          <w:lang w:val="en-GB" w:eastAsia="fr-FR"/>
        </w:rPr>
        <w:t>Ahmad, “Sunan Abu dawud”, Kitab Bhavan, New Delhi: India, 2000, 1200 p.</w:t>
      </w:r>
    </w:p>
    <w:p w14:paraId="3178957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eastAsia="fr-FR"/>
        </w:rPr>
        <w:t>Abu-Sahlieh</w:t>
      </w:r>
      <w:r w:rsidRPr="00F634CD">
        <w:rPr>
          <w:rFonts w:asciiTheme="majorBidi" w:hAnsiTheme="majorBidi" w:cstheme="majorBidi"/>
          <w:kern w:val="24"/>
          <w:sz w:val="24"/>
          <w:szCs w:val="24"/>
          <w:lang w:eastAsia="fr-FR"/>
        </w:rPr>
        <w:t xml:space="preserve"> Sami Aldeeb, « Introduction à la société musulmane : fondements, sources et principes », Ed. Eyrolles, 2006, 462 p.</w:t>
      </w:r>
    </w:p>
    <w:p w14:paraId="7A0AB6AA"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Al-jarhi</w:t>
      </w:r>
      <w:r w:rsidRPr="00F634CD">
        <w:rPr>
          <w:rFonts w:asciiTheme="majorBidi" w:hAnsiTheme="majorBidi" w:cstheme="majorBidi"/>
          <w:kern w:val="24"/>
          <w:sz w:val="24"/>
          <w:szCs w:val="24"/>
        </w:rPr>
        <w:t xml:space="preserve"> Mabid Ali et </w:t>
      </w:r>
      <w:r w:rsidRPr="00F634CD">
        <w:rPr>
          <w:rFonts w:asciiTheme="majorBidi" w:hAnsiTheme="majorBidi" w:cstheme="majorBidi"/>
          <w:smallCaps/>
          <w:kern w:val="24"/>
          <w:sz w:val="24"/>
          <w:szCs w:val="24"/>
        </w:rPr>
        <w:t>Iqbal</w:t>
      </w:r>
      <w:r w:rsidRPr="00F634CD">
        <w:rPr>
          <w:rFonts w:asciiTheme="majorBidi" w:hAnsiTheme="majorBidi" w:cstheme="majorBidi"/>
          <w:kern w:val="24"/>
          <w:sz w:val="24"/>
          <w:szCs w:val="24"/>
        </w:rPr>
        <w:t xml:space="preserve"> Munawar, « Banques Islamiques : réponses à des questions fréquemment posées », Document Périodique n°4, Institut Islamique de Recherches et de Formation, BID, Jeddah, 2002, 80 p.</w:t>
      </w:r>
    </w:p>
    <w:p w14:paraId="080EA00E"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Akkizidis</w:t>
      </w:r>
      <w:r w:rsidRPr="00F634CD">
        <w:rPr>
          <w:rFonts w:asciiTheme="majorBidi" w:hAnsiTheme="majorBidi" w:cstheme="majorBidi"/>
          <w:kern w:val="24"/>
          <w:sz w:val="24"/>
          <w:szCs w:val="24"/>
          <w:lang w:val="en-GB" w:eastAsia="fr-FR"/>
        </w:rPr>
        <w:t xml:space="preserve"> Ioannis</w:t>
      </w:r>
      <w:r w:rsidRPr="00F634CD">
        <w:rPr>
          <w:rFonts w:asciiTheme="majorBidi" w:hAnsiTheme="majorBidi" w:cstheme="majorBidi"/>
          <w:kern w:val="24"/>
          <w:sz w:val="24"/>
          <w:szCs w:val="24"/>
          <w:shd w:val="clear" w:color="auto" w:fill="FFFFFF"/>
          <w:lang w:val="en-GB"/>
        </w:rPr>
        <w:t xml:space="preserve"> </w:t>
      </w:r>
      <w:r w:rsidRPr="00F634CD">
        <w:rPr>
          <w:rFonts w:asciiTheme="majorBidi" w:hAnsiTheme="majorBidi" w:cstheme="majorBidi"/>
          <w:kern w:val="24"/>
          <w:sz w:val="24"/>
          <w:szCs w:val="24"/>
          <w:lang w:val="en-GB" w:eastAsia="fr-FR"/>
        </w:rPr>
        <w:t xml:space="preserve">and </w:t>
      </w:r>
      <w:r w:rsidRPr="00F634CD">
        <w:rPr>
          <w:rFonts w:asciiTheme="majorBidi" w:hAnsiTheme="majorBidi" w:cstheme="majorBidi"/>
          <w:smallCaps/>
          <w:kern w:val="24"/>
          <w:sz w:val="24"/>
          <w:szCs w:val="24"/>
          <w:lang w:val="en-GB" w:eastAsia="fr-FR"/>
        </w:rPr>
        <w:t>Khandelwal</w:t>
      </w:r>
      <w:r w:rsidRPr="00F634CD">
        <w:rPr>
          <w:rFonts w:asciiTheme="majorBidi" w:hAnsiTheme="majorBidi" w:cstheme="majorBidi"/>
          <w:kern w:val="24"/>
          <w:sz w:val="24"/>
          <w:szCs w:val="24"/>
          <w:lang w:val="en-GB" w:eastAsia="fr-FR"/>
        </w:rPr>
        <w:t xml:space="preserve"> Sunil, </w:t>
      </w:r>
      <w:r w:rsidRPr="00F634CD">
        <w:rPr>
          <w:rFonts w:asciiTheme="majorBidi" w:hAnsiTheme="majorBidi" w:cstheme="majorBidi"/>
          <w:kern w:val="24"/>
          <w:sz w:val="24"/>
          <w:szCs w:val="24"/>
          <w:lang w:val="en-US" w:eastAsia="fr-FR"/>
        </w:rPr>
        <w:t>“</w:t>
      </w:r>
      <w:r w:rsidRPr="00F634CD">
        <w:rPr>
          <w:rFonts w:asciiTheme="majorBidi" w:hAnsiTheme="majorBidi" w:cstheme="majorBidi"/>
          <w:kern w:val="24"/>
          <w:sz w:val="24"/>
          <w:szCs w:val="24"/>
          <w:lang w:val="en-GB" w:eastAsia="fr-FR"/>
        </w:rPr>
        <w:t>Financial Risk Management for Islamic Banking and Finance</w:t>
      </w:r>
      <w:r w:rsidRPr="00F634CD">
        <w:rPr>
          <w:rFonts w:asciiTheme="majorBidi" w:hAnsiTheme="majorBidi" w:cstheme="majorBidi"/>
          <w:kern w:val="24"/>
          <w:sz w:val="24"/>
          <w:szCs w:val="24"/>
          <w:lang w:val="en-US" w:eastAsia="fr-FR"/>
        </w:rPr>
        <w:t xml:space="preserve">”, </w:t>
      </w:r>
      <w:r w:rsidRPr="00F634CD">
        <w:rPr>
          <w:rFonts w:asciiTheme="majorBidi" w:hAnsiTheme="majorBidi" w:cstheme="majorBidi"/>
          <w:kern w:val="24"/>
          <w:sz w:val="24"/>
          <w:szCs w:val="24"/>
          <w:lang w:val="en-GB" w:eastAsia="fr-FR"/>
        </w:rPr>
        <w:t>London: Palgrave Macmillan, 2008, 220 p.</w:t>
      </w:r>
    </w:p>
    <w:p w14:paraId="341EFC2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 xml:space="preserve">Al-Suwailem </w:t>
      </w:r>
      <w:r w:rsidRPr="00F634CD">
        <w:rPr>
          <w:rFonts w:asciiTheme="majorBidi" w:hAnsiTheme="majorBidi" w:cstheme="majorBidi"/>
          <w:kern w:val="24"/>
          <w:sz w:val="24"/>
          <w:szCs w:val="24"/>
          <w:lang w:val="en-US" w:eastAsia="fr-FR"/>
        </w:rPr>
        <w:t xml:space="preserve">Sami, “Hedging in Islamic finance”, </w:t>
      </w:r>
      <w:r w:rsidRPr="00F634CD">
        <w:rPr>
          <w:rFonts w:asciiTheme="majorBidi" w:hAnsiTheme="majorBidi" w:cstheme="majorBidi"/>
          <w:kern w:val="24"/>
          <w:sz w:val="24"/>
          <w:szCs w:val="24"/>
          <w:lang w:val="en-GB"/>
        </w:rPr>
        <w:t>Occasional Paper, N° 10, 2006, 150 p.</w:t>
      </w:r>
    </w:p>
    <w:p w14:paraId="23BC0716"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Al-Zuhayli</w:t>
      </w:r>
      <w:r w:rsidRPr="00F634CD">
        <w:rPr>
          <w:rFonts w:asciiTheme="majorBidi" w:hAnsiTheme="majorBidi" w:cstheme="majorBidi"/>
          <w:kern w:val="24"/>
          <w:sz w:val="24"/>
          <w:szCs w:val="24"/>
        </w:rPr>
        <w:t xml:space="preserve"> Wahbah, “Financial Transaction is Islamic jurisprudence”, Vol. 1, Beirut, Lubnan, Dar al-Fikr al-Mouaser, 2003, 740 p.</w:t>
      </w:r>
    </w:p>
    <w:p w14:paraId="7F68A331"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Arrata</w:t>
      </w:r>
      <w:r w:rsidRPr="00F634CD">
        <w:rPr>
          <w:rFonts w:asciiTheme="majorBidi" w:hAnsiTheme="majorBidi" w:cstheme="majorBidi"/>
          <w:color w:val="auto"/>
          <w:kern w:val="24"/>
        </w:rPr>
        <w:t xml:space="preserve"> William, Assouan Emmanuelle et al., « La crise financière », Banque de France, documents et débats, N° 02, février 2009, 110 p.</w:t>
      </w:r>
    </w:p>
    <w:p w14:paraId="6C498496"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Artus</w:t>
      </w:r>
      <w:r w:rsidRPr="00F634CD">
        <w:rPr>
          <w:rFonts w:asciiTheme="majorBidi" w:hAnsiTheme="majorBidi" w:cstheme="majorBidi"/>
          <w:color w:val="auto"/>
          <w:kern w:val="24"/>
        </w:rPr>
        <w:t xml:space="preserve"> Patrick, </w:t>
      </w:r>
      <w:r w:rsidRPr="00F634CD">
        <w:rPr>
          <w:rFonts w:asciiTheme="majorBidi" w:hAnsiTheme="majorBidi" w:cstheme="majorBidi"/>
          <w:smallCaps/>
          <w:color w:val="auto"/>
          <w:kern w:val="24"/>
        </w:rPr>
        <w:t>Betbèze</w:t>
      </w:r>
      <w:r w:rsidRPr="00F634CD">
        <w:rPr>
          <w:rFonts w:asciiTheme="majorBidi" w:hAnsiTheme="majorBidi" w:cstheme="majorBidi"/>
          <w:color w:val="auto"/>
          <w:kern w:val="24"/>
        </w:rPr>
        <w:t xml:space="preserve"> Jean-Paul et al., « La crise des subprimes », Documentation Française, Paris, ISBN : 978-2-11-007357-0, 2008, 283 p.</w:t>
      </w:r>
    </w:p>
    <w:p w14:paraId="5B705D03"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spacing w:val="-4"/>
          <w:kern w:val="24"/>
          <w:sz w:val="24"/>
          <w:szCs w:val="24"/>
          <w:lang w:val="en-US" w:eastAsia="fr-FR"/>
        </w:rPr>
      </w:pPr>
      <w:r w:rsidRPr="00F634CD">
        <w:rPr>
          <w:rFonts w:asciiTheme="majorBidi" w:hAnsiTheme="majorBidi" w:cstheme="majorBidi"/>
          <w:smallCaps/>
          <w:spacing w:val="-4"/>
          <w:kern w:val="24"/>
          <w:sz w:val="24"/>
          <w:szCs w:val="24"/>
          <w:lang w:val="en-US" w:eastAsia="fr-FR"/>
        </w:rPr>
        <w:t>Ayub</w:t>
      </w:r>
      <w:r w:rsidRPr="00F634CD">
        <w:rPr>
          <w:rFonts w:asciiTheme="majorBidi" w:hAnsiTheme="majorBidi" w:cstheme="majorBidi"/>
          <w:spacing w:val="-4"/>
          <w:kern w:val="24"/>
          <w:sz w:val="24"/>
          <w:szCs w:val="24"/>
          <w:lang w:val="en-US" w:eastAsia="fr-FR"/>
        </w:rPr>
        <w:t xml:space="preserve"> Muhammad, “understanding Islamic finance”, Ed. John Wiley and Sons, Ltd, 2007, 542 p.</w:t>
      </w:r>
    </w:p>
    <w:p w14:paraId="00AD12F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Banks</w:t>
      </w:r>
      <w:r w:rsidRPr="00F634CD">
        <w:rPr>
          <w:rFonts w:asciiTheme="majorBidi" w:hAnsiTheme="majorBidi" w:cstheme="majorBidi"/>
          <w:kern w:val="24"/>
          <w:sz w:val="24"/>
          <w:szCs w:val="24"/>
          <w:lang w:val="en-US" w:eastAsia="fr-FR"/>
        </w:rPr>
        <w:t xml:space="preserve"> Erik and </w:t>
      </w:r>
      <w:r w:rsidRPr="00F634CD">
        <w:rPr>
          <w:rFonts w:asciiTheme="majorBidi" w:hAnsiTheme="majorBidi" w:cstheme="majorBidi"/>
          <w:smallCaps/>
          <w:kern w:val="24"/>
          <w:sz w:val="24"/>
          <w:szCs w:val="24"/>
          <w:lang w:val="en-US" w:eastAsia="fr-FR"/>
        </w:rPr>
        <w:t>Dunn</w:t>
      </w:r>
      <w:r w:rsidRPr="00F634CD">
        <w:rPr>
          <w:rFonts w:asciiTheme="majorBidi" w:hAnsiTheme="majorBidi" w:cstheme="majorBidi"/>
          <w:kern w:val="24"/>
          <w:sz w:val="24"/>
          <w:szCs w:val="24"/>
          <w:lang w:val="en-US" w:eastAsia="fr-FR"/>
        </w:rPr>
        <w:t xml:space="preserve"> Richard, “Practical risk management”, Ed. John Wiley &amp; Sons Ltd, 2003, 176 p.</w:t>
      </w:r>
    </w:p>
    <w:p w14:paraId="0ABC224F"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Beltas</w:t>
      </w:r>
      <w:r w:rsidRPr="00F634CD">
        <w:rPr>
          <w:rFonts w:asciiTheme="majorBidi" w:hAnsiTheme="majorBidi" w:cstheme="majorBidi"/>
          <w:kern w:val="24"/>
          <w:sz w:val="24"/>
          <w:szCs w:val="24"/>
        </w:rPr>
        <w:t xml:space="preserve"> Abdelkader, « La titrisation : </w:t>
      </w:r>
      <w:r w:rsidRPr="00F634CD">
        <w:rPr>
          <w:rFonts w:asciiTheme="majorBidi" w:hAnsiTheme="majorBidi" w:cstheme="majorBidi"/>
          <w:kern w:val="24"/>
          <w:sz w:val="24"/>
          <w:szCs w:val="24"/>
          <w:shd w:val="clear" w:color="auto" w:fill="FFFFFF"/>
        </w:rPr>
        <w:t>Un instrument efficace pour la gestion du risque du crédit bancaire</w:t>
      </w:r>
      <w:r w:rsidRPr="00F634CD">
        <w:rPr>
          <w:rFonts w:asciiTheme="majorBidi" w:hAnsiTheme="majorBidi" w:cstheme="majorBidi"/>
          <w:kern w:val="24"/>
          <w:sz w:val="24"/>
          <w:szCs w:val="24"/>
        </w:rPr>
        <w:t> », Edition Legende, 2007, 343 p.</w:t>
      </w:r>
    </w:p>
    <w:p w14:paraId="6E7CEF1D"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spacing w:val="-6"/>
          <w:kern w:val="24"/>
          <w:sz w:val="24"/>
          <w:szCs w:val="24"/>
          <w:lang w:eastAsia="fr-FR"/>
        </w:rPr>
      </w:pPr>
      <w:r w:rsidRPr="00F634CD">
        <w:rPr>
          <w:rFonts w:asciiTheme="majorBidi" w:hAnsiTheme="majorBidi" w:cstheme="majorBidi"/>
          <w:smallCaps/>
          <w:spacing w:val="-6"/>
          <w:kern w:val="24"/>
          <w:sz w:val="24"/>
          <w:szCs w:val="24"/>
          <w:lang w:eastAsia="fr-FR"/>
        </w:rPr>
        <w:t xml:space="preserve">Bessis </w:t>
      </w:r>
      <w:r w:rsidRPr="00F634CD">
        <w:rPr>
          <w:rFonts w:asciiTheme="majorBidi" w:hAnsiTheme="majorBidi" w:cstheme="majorBidi"/>
          <w:spacing w:val="-6"/>
          <w:kern w:val="24"/>
          <w:sz w:val="24"/>
          <w:szCs w:val="24"/>
          <w:lang w:eastAsia="fr-FR"/>
        </w:rPr>
        <w:t>Joel, « gestion des risques et gestion actif-passif des banques », Edition Dalloz, 1995, 574 p.</w:t>
      </w:r>
    </w:p>
    <w:p w14:paraId="49EE1CA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Bryman</w:t>
      </w:r>
      <w:r w:rsidRPr="00F634CD">
        <w:rPr>
          <w:rFonts w:asciiTheme="majorBidi" w:hAnsiTheme="majorBidi" w:cstheme="majorBidi"/>
          <w:kern w:val="24"/>
          <w:sz w:val="24"/>
          <w:szCs w:val="24"/>
          <w:lang w:val="en-GB"/>
        </w:rPr>
        <w:t xml:space="preserve"> Alan, “Social Research Methods”, 2nd ed., Oxford University Press, 2005, 409 p.</w:t>
      </w:r>
    </w:p>
    <w:p w14:paraId="4ECD8D6E"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rPr>
        <w:t>Causse-Broquet</w:t>
      </w:r>
      <w:r w:rsidRPr="00F634CD">
        <w:rPr>
          <w:rFonts w:asciiTheme="majorBidi" w:hAnsiTheme="majorBidi" w:cstheme="majorBidi"/>
          <w:kern w:val="24"/>
          <w:sz w:val="24"/>
          <w:szCs w:val="24"/>
        </w:rPr>
        <w:t xml:space="preserve"> Geneviève, « la finance islamique ». </w:t>
      </w:r>
      <w:r w:rsidRPr="00F634CD">
        <w:rPr>
          <w:rFonts w:asciiTheme="majorBidi" w:hAnsiTheme="majorBidi" w:cstheme="majorBidi"/>
          <w:kern w:val="24"/>
          <w:sz w:val="24"/>
          <w:szCs w:val="24"/>
          <w:lang w:val="en-GB"/>
        </w:rPr>
        <w:t>Revue Banque Edition, 2009, 215 p.</w:t>
      </w:r>
    </w:p>
    <w:p w14:paraId="3EB7843C"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eastAsia="fr-FR"/>
        </w:rPr>
        <w:t>Chapra</w:t>
      </w:r>
      <w:r w:rsidRPr="00F634CD">
        <w:rPr>
          <w:rFonts w:asciiTheme="majorBidi" w:hAnsiTheme="majorBidi" w:cstheme="majorBidi"/>
          <w:kern w:val="24"/>
          <w:sz w:val="24"/>
          <w:szCs w:val="24"/>
          <w:lang w:val="en-GB" w:eastAsia="fr-FR"/>
        </w:rPr>
        <w:t xml:space="preserve"> Muhammad Umer, “Islam and the Economic Challenge”, Islamic Economics Series N° 17, the Islamic Foundation and the Int</w:t>
      </w:r>
      <w:r w:rsidRPr="00F634CD">
        <w:rPr>
          <w:rFonts w:asciiTheme="majorBidi" w:hAnsiTheme="majorBidi" w:cstheme="majorBidi"/>
          <w:kern w:val="24"/>
          <w:sz w:val="24"/>
          <w:szCs w:val="24"/>
          <w:lang w:val="en-US" w:eastAsia="fr-FR"/>
        </w:rPr>
        <w:t>ernational Institute of Islamic Thought, 1992, 431 p.</w:t>
      </w:r>
    </w:p>
    <w:p w14:paraId="2158D262"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 xml:space="preserve">Chapra </w:t>
      </w:r>
      <w:r w:rsidRPr="00F634CD">
        <w:rPr>
          <w:rFonts w:asciiTheme="majorBidi" w:hAnsiTheme="majorBidi" w:cstheme="majorBidi"/>
          <w:kern w:val="24"/>
          <w:sz w:val="24"/>
          <w:szCs w:val="24"/>
        </w:rPr>
        <w:t>Muhammad Umer, « Qu’est- ce que l’économie Islamique ? », Institut Islamique de recherche et de formation, IDB, série de conférences d’Eminents Erudits N° 10, 1996, 80 p.</w:t>
      </w:r>
    </w:p>
    <w:p w14:paraId="678BB23F"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eastAsia="fr-FR"/>
        </w:rPr>
        <w:t xml:space="preserve">Chapra </w:t>
      </w:r>
      <w:r w:rsidRPr="00F634CD">
        <w:rPr>
          <w:rFonts w:asciiTheme="majorBidi" w:hAnsiTheme="majorBidi" w:cstheme="majorBidi"/>
          <w:kern w:val="24"/>
          <w:sz w:val="24"/>
          <w:szCs w:val="24"/>
          <w:lang w:eastAsia="fr-FR"/>
        </w:rPr>
        <w:t>Muhammad Umer</w:t>
      </w:r>
      <w:r w:rsidRPr="00F634CD">
        <w:rPr>
          <w:rFonts w:asciiTheme="majorBidi" w:hAnsiTheme="majorBidi" w:cstheme="majorBidi"/>
          <w:kern w:val="24"/>
          <w:sz w:val="24"/>
          <w:szCs w:val="24"/>
        </w:rPr>
        <w:t xml:space="preserve"> et </w:t>
      </w:r>
      <w:r w:rsidRPr="00F634CD">
        <w:rPr>
          <w:rFonts w:asciiTheme="majorBidi" w:hAnsiTheme="majorBidi" w:cstheme="majorBidi"/>
          <w:smallCaps/>
          <w:kern w:val="24"/>
          <w:sz w:val="24"/>
          <w:szCs w:val="24"/>
        </w:rPr>
        <w:t>Khan</w:t>
      </w:r>
      <w:r w:rsidRPr="00F634CD">
        <w:rPr>
          <w:rFonts w:asciiTheme="majorBidi" w:hAnsiTheme="majorBidi" w:cstheme="majorBidi"/>
          <w:kern w:val="24"/>
          <w:sz w:val="24"/>
          <w:szCs w:val="24"/>
        </w:rPr>
        <w:t xml:space="preserve"> Tariqullah, « Réglementation et contrôle des banques Islamiques », Cahier de recherche N° 3, BID, IIRF, 2001, 116 p.</w:t>
      </w:r>
    </w:p>
    <w:p w14:paraId="75420103"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Charreaux</w:t>
      </w:r>
      <w:r w:rsidRPr="00F634CD">
        <w:rPr>
          <w:rFonts w:asciiTheme="majorBidi" w:hAnsiTheme="majorBidi" w:cstheme="majorBidi"/>
          <w:kern w:val="24"/>
          <w:sz w:val="24"/>
          <w:szCs w:val="24"/>
        </w:rPr>
        <w:t xml:space="preserve"> Gérard, « </w:t>
      </w:r>
      <w:r w:rsidRPr="00F634CD">
        <w:rPr>
          <w:rFonts w:asciiTheme="majorBidi" w:hAnsiTheme="majorBidi" w:cstheme="majorBidi"/>
          <w:kern w:val="24"/>
          <w:sz w:val="24"/>
          <w:szCs w:val="24"/>
          <w:shd w:val="clear" w:color="auto" w:fill="FFFFFF"/>
        </w:rPr>
        <w:t>Le gouvernement des entreprises : corporate governance, théories et faits », ed Economica, 1997, 540 p.</w:t>
      </w:r>
    </w:p>
    <w:p w14:paraId="002DC009"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Chelly</w:t>
      </w:r>
      <w:r w:rsidRPr="00F634CD">
        <w:rPr>
          <w:rFonts w:asciiTheme="majorBidi" w:hAnsiTheme="majorBidi" w:cstheme="majorBidi"/>
          <w:kern w:val="24"/>
          <w:sz w:val="24"/>
          <w:szCs w:val="24"/>
        </w:rPr>
        <w:t xml:space="preserve"> Dan et </w:t>
      </w:r>
      <w:r w:rsidRPr="00F634CD">
        <w:rPr>
          <w:rFonts w:asciiTheme="majorBidi" w:hAnsiTheme="majorBidi" w:cstheme="majorBidi"/>
          <w:smallCaps/>
          <w:kern w:val="24"/>
          <w:sz w:val="24"/>
          <w:szCs w:val="24"/>
        </w:rPr>
        <w:t>Sébéloué</w:t>
      </w:r>
      <w:r w:rsidRPr="00F634CD">
        <w:rPr>
          <w:rFonts w:asciiTheme="majorBidi" w:hAnsiTheme="majorBidi" w:cstheme="majorBidi"/>
          <w:kern w:val="24"/>
          <w:sz w:val="24"/>
          <w:szCs w:val="24"/>
        </w:rPr>
        <w:t xml:space="preserve"> Stéphane, « Les métiers du risque et du contrôle dans la banque », Observatoires des métiers, Optimind Winter, Mars 2014, 88 p.</w:t>
      </w:r>
    </w:p>
    <w:p w14:paraId="762CDB21" w14:textId="77777777" w:rsidR="00A42833" w:rsidRPr="00F634CD" w:rsidRDefault="00A42833" w:rsidP="00621FA2">
      <w:pPr>
        <w:tabs>
          <w:tab w:val="left" w:pos="0"/>
          <w:tab w:val="left" w:pos="284"/>
        </w:tabs>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 xml:space="preserve">Chehrit </w:t>
      </w:r>
      <w:r w:rsidRPr="00F634CD">
        <w:rPr>
          <w:rFonts w:asciiTheme="majorBidi" w:hAnsiTheme="majorBidi" w:cstheme="majorBidi"/>
          <w:kern w:val="24"/>
          <w:sz w:val="24"/>
          <w:szCs w:val="24"/>
        </w:rPr>
        <w:t>Kamel, « Le banking Islamique », édition Grand Alger Livres, 2007, 126 p.</w:t>
      </w:r>
    </w:p>
    <w:p w14:paraId="31DF743B" w14:textId="7003A5F8"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Cherif</w:t>
      </w:r>
      <w:r w:rsidRPr="00F634CD">
        <w:rPr>
          <w:rFonts w:asciiTheme="majorBidi" w:hAnsiTheme="majorBidi" w:cstheme="majorBidi"/>
          <w:kern w:val="24"/>
          <w:sz w:val="24"/>
          <w:szCs w:val="24"/>
        </w:rPr>
        <w:t xml:space="preserve"> Karim, « </w:t>
      </w:r>
      <w:r w:rsidRPr="00F634CD">
        <w:rPr>
          <w:rFonts w:asciiTheme="majorBidi" w:hAnsiTheme="majorBidi" w:cstheme="majorBidi"/>
          <w:kern w:val="24"/>
          <w:sz w:val="24"/>
          <w:szCs w:val="24"/>
          <w:lang w:eastAsia="fr-FR"/>
        </w:rPr>
        <w:t>La finance islamique</w:t>
      </w:r>
      <w:r w:rsidR="00306997">
        <w:rPr>
          <w:rFonts w:asciiTheme="majorBidi" w:hAnsiTheme="majorBidi" w:cstheme="majorBidi"/>
          <w:kern w:val="24"/>
          <w:sz w:val="24"/>
          <w:szCs w:val="24"/>
          <w:lang w:eastAsia="fr-FR"/>
        </w:rPr>
        <w:t> :</w:t>
      </w:r>
      <w:r w:rsidRPr="00F634CD">
        <w:rPr>
          <w:rFonts w:asciiTheme="majorBidi" w:hAnsiTheme="majorBidi" w:cstheme="majorBidi"/>
          <w:kern w:val="24"/>
          <w:sz w:val="24"/>
          <w:szCs w:val="24"/>
          <w:lang w:eastAsia="fr-FR"/>
        </w:rPr>
        <w:t xml:space="preserve"> Analyse des produits financiers islamiques », Cahier de recherche, Haute Ecole de Gestion de Genève (HEG-GE), 2008, 109 p.</w:t>
      </w:r>
    </w:p>
    <w:p w14:paraId="647ACB3B"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 xml:space="preserve">Creswell </w:t>
      </w:r>
      <w:r w:rsidRPr="00F634CD">
        <w:rPr>
          <w:rFonts w:asciiTheme="majorBidi" w:hAnsiTheme="majorBidi" w:cstheme="majorBidi"/>
          <w:kern w:val="24"/>
          <w:sz w:val="24"/>
          <w:szCs w:val="24"/>
          <w:lang w:val="en-GB"/>
        </w:rPr>
        <w:t>John, “Research Design: Qualitative, Quantitative, and Mixed Methods Approaches”, 2nd edition, London: Sage Publications, 1997, 228 p.</w:t>
      </w:r>
    </w:p>
    <w:p w14:paraId="55D3816E"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Creswell</w:t>
      </w:r>
      <w:r w:rsidRPr="00F634CD">
        <w:rPr>
          <w:rFonts w:asciiTheme="majorBidi" w:hAnsiTheme="majorBidi" w:cstheme="majorBidi"/>
          <w:kern w:val="24"/>
          <w:sz w:val="24"/>
          <w:szCs w:val="24"/>
          <w:lang w:val="en-GB"/>
        </w:rPr>
        <w:t xml:space="preserve"> John and </w:t>
      </w:r>
      <w:r w:rsidRPr="00F634CD">
        <w:rPr>
          <w:rFonts w:asciiTheme="majorBidi" w:hAnsiTheme="majorBidi" w:cstheme="majorBidi"/>
          <w:smallCaps/>
          <w:kern w:val="24"/>
          <w:sz w:val="24"/>
          <w:szCs w:val="24"/>
          <w:lang w:val="en-GB"/>
        </w:rPr>
        <w:t>Clark</w:t>
      </w:r>
      <w:r w:rsidRPr="00F634CD">
        <w:rPr>
          <w:rFonts w:asciiTheme="majorBidi" w:hAnsiTheme="majorBidi" w:cstheme="majorBidi"/>
          <w:kern w:val="24"/>
          <w:sz w:val="24"/>
          <w:szCs w:val="24"/>
          <w:lang w:val="en-GB"/>
        </w:rPr>
        <w:t xml:space="preserve"> Vicki Plano, “Designing and Conducting Mixed Methods Research”, Thousand Oaks, Sage Publishing, 2011, 460 p.</w:t>
      </w:r>
    </w:p>
    <w:p w14:paraId="2E19417D"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De Vaus</w:t>
      </w:r>
      <w:r w:rsidRPr="00F634CD">
        <w:rPr>
          <w:rFonts w:asciiTheme="majorBidi" w:hAnsiTheme="majorBidi" w:cstheme="majorBidi"/>
          <w:kern w:val="24"/>
          <w:sz w:val="24"/>
          <w:szCs w:val="24"/>
          <w:lang w:val="en-GB"/>
        </w:rPr>
        <w:t xml:space="preserve"> David, “Surveys in Social Research”, 5th edition, London: UCL Press, 2002, 382 p.</w:t>
      </w:r>
    </w:p>
    <w:p w14:paraId="19F21ACD"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Dubernet</w:t>
      </w:r>
      <w:r w:rsidRPr="00F634CD">
        <w:rPr>
          <w:rFonts w:asciiTheme="majorBidi" w:hAnsiTheme="majorBidi" w:cstheme="majorBidi"/>
          <w:kern w:val="24"/>
          <w:sz w:val="24"/>
          <w:szCs w:val="24"/>
        </w:rPr>
        <w:t xml:space="preserve"> Michel, « Gestion actif passif et tarification des services bancaires », Ed Economica, 1997, 310 p.</w:t>
      </w:r>
    </w:p>
    <w:p w14:paraId="77FADB6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US" w:eastAsia="fr-FR"/>
        </w:rPr>
        <w:t>Durrani</w:t>
      </w:r>
      <w:r w:rsidRPr="00F634CD">
        <w:rPr>
          <w:rFonts w:asciiTheme="majorBidi" w:hAnsiTheme="majorBidi" w:cstheme="majorBidi"/>
          <w:kern w:val="24"/>
          <w:sz w:val="24"/>
          <w:szCs w:val="24"/>
          <w:lang w:val="en-US" w:eastAsia="fr-FR"/>
        </w:rPr>
        <w:t xml:space="preserve"> Mansoor and </w:t>
      </w:r>
      <w:r w:rsidRPr="00F634CD">
        <w:rPr>
          <w:rFonts w:asciiTheme="majorBidi" w:hAnsiTheme="majorBidi" w:cstheme="majorBidi"/>
          <w:smallCaps/>
          <w:kern w:val="24"/>
          <w:sz w:val="24"/>
          <w:szCs w:val="24"/>
          <w:lang w:val="en-US" w:eastAsia="fr-FR"/>
        </w:rPr>
        <w:t>Boocock</w:t>
      </w:r>
      <w:r w:rsidRPr="00F634CD">
        <w:rPr>
          <w:rFonts w:asciiTheme="majorBidi" w:hAnsiTheme="majorBidi" w:cstheme="majorBidi"/>
          <w:kern w:val="24"/>
          <w:sz w:val="24"/>
          <w:szCs w:val="24"/>
          <w:lang w:val="en-US" w:eastAsia="fr-FR"/>
        </w:rPr>
        <w:t xml:space="preserve"> Grahame, “Venture Capital, Islamic Finance and SMEs”, Ed. Antony Rowe Ltd, Chippenham and Eastb</w:t>
      </w:r>
      <w:r w:rsidRPr="00F634CD">
        <w:rPr>
          <w:rFonts w:asciiTheme="majorBidi" w:hAnsiTheme="majorBidi" w:cstheme="majorBidi"/>
          <w:kern w:val="24"/>
          <w:sz w:val="24"/>
          <w:szCs w:val="24"/>
          <w:lang w:val="en-GB" w:eastAsia="fr-FR"/>
        </w:rPr>
        <w:t>ourne, 2006, 223 p.</w:t>
      </w:r>
    </w:p>
    <w:p w14:paraId="6DBFC958"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El-Gamal</w:t>
      </w:r>
      <w:r w:rsidRPr="00F634CD">
        <w:rPr>
          <w:rFonts w:asciiTheme="majorBidi" w:hAnsiTheme="majorBidi" w:cstheme="majorBidi"/>
          <w:kern w:val="24"/>
          <w:sz w:val="24"/>
          <w:szCs w:val="24"/>
          <w:lang w:val="en-US" w:eastAsia="fr-FR"/>
        </w:rPr>
        <w:t xml:space="preserve"> Mahmoud, “Islamic finance: Law, economics and practice”, Cambridge University Press, 2006, 221 p.</w:t>
      </w:r>
    </w:p>
    <w:p w14:paraId="719C276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Gafouri</w:t>
      </w:r>
      <w:r w:rsidRPr="00F634CD">
        <w:rPr>
          <w:rFonts w:asciiTheme="majorBidi" w:hAnsiTheme="majorBidi" w:cstheme="majorBidi"/>
          <w:kern w:val="24"/>
          <w:sz w:val="24"/>
          <w:szCs w:val="24"/>
        </w:rPr>
        <w:t xml:space="preserve"> Abdul Hâdi, « Islam et économie : Réflexion sur les principes fondamentaux de l’économie islamique », Edition Al Bouraq, Bayrouth-Liban, 2000, 355 p.</w:t>
      </w:r>
    </w:p>
    <w:p w14:paraId="0E9FC288"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Guéranger</w:t>
      </w:r>
      <w:r w:rsidRPr="00F634CD">
        <w:rPr>
          <w:rFonts w:asciiTheme="majorBidi" w:hAnsiTheme="majorBidi" w:cstheme="majorBidi"/>
          <w:kern w:val="24"/>
          <w:sz w:val="24"/>
          <w:szCs w:val="24"/>
        </w:rPr>
        <w:t xml:space="preserve"> François, « Finance islamique : une illustration de la finance éthique », Edition Dunod, 2009, 272 p.</w:t>
      </w:r>
    </w:p>
    <w:p w14:paraId="21F68C7D" w14:textId="4F3A7A7D" w:rsidR="00A42833" w:rsidRPr="00F634CD" w:rsidRDefault="00A42833" w:rsidP="00621FA2">
      <w:pPr>
        <w:tabs>
          <w:tab w:val="left" w:pos="0"/>
          <w:tab w:val="left" w:pos="284"/>
        </w:tabs>
        <w:spacing w:before="120"/>
        <w:rPr>
          <w:rFonts w:asciiTheme="majorBidi" w:hAnsiTheme="majorBidi" w:cstheme="majorBidi"/>
          <w:kern w:val="24"/>
          <w:sz w:val="24"/>
          <w:szCs w:val="24"/>
          <w:lang w:val="en-GB" w:eastAsia="fr-FR"/>
        </w:rPr>
      </w:pPr>
      <w:bookmarkStart w:id="1855" w:name="_Hlk530672604"/>
      <w:r w:rsidRPr="00F634CD">
        <w:rPr>
          <w:rFonts w:asciiTheme="majorBidi" w:hAnsiTheme="majorBidi" w:cstheme="majorBidi"/>
          <w:smallCaps/>
          <w:kern w:val="24"/>
          <w:sz w:val="24"/>
          <w:szCs w:val="24"/>
          <w:lang w:val="en-GB"/>
        </w:rPr>
        <w:t>Greuning</w:t>
      </w:r>
      <w:r w:rsidRPr="00F634CD">
        <w:rPr>
          <w:rFonts w:asciiTheme="majorBidi" w:hAnsiTheme="majorBidi" w:cstheme="majorBidi"/>
          <w:kern w:val="24"/>
          <w:sz w:val="24"/>
          <w:szCs w:val="24"/>
          <w:lang w:val="en-GB"/>
        </w:rPr>
        <w:t xml:space="preserve"> Hennie Van et </w:t>
      </w:r>
      <w:r w:rsidRPr="00F634CD">
        <w:rPr>
          <w:rFonts w:asciiTheme="majorBidi" w:hAnsiTheme="majorBidi" w:cstheme="majorBidi"/>
          <w:smallCaps/>
          <w:kern w:val="24"/>
          <w:sz w:val="24"/>
          <w:szCs w:val="24"/>
          <w:lang w:val="en-GB"/>
        </w:rPr>
        <w:t>Bratanovic</w:t>
      </w:r>
      <w:r w:rsidRPr="00F634CD">
        <w:rPr>
          <w:rFonts w:asciiTheme="majorBidi" w:hAnsiTheme="majorBidi" w:cstheme="majorBidi"/>
          <w:kern w:val="24"/>
          <w:sz w:val="24"/>
          <w:szCs w:val="24"/>
          <w:lang w:val="en-GB"/>
        </w:rPr>
        <w:t xml:space="preserve"> Sonja Brajovic, </w:t>
      </w:r>
      <w:r w:rsidR="00306997">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rPr>
        <w:t>Analyzing banking risk</w:t>
      </w:r>
      <w:r w:rsidR="00306997">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rPr>
        <w:t>, The World Bank, 2000, 208 p.</w:t>
      </w:r>
    </w:p>
    <w:bookmarkEnd w:id="1855"/>
    <w:p w14:paraId="0A7849EA"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Greuning</w:t>
      </w:r>
      <w:r w:rsidRPr="00F634CD">
        <w:rPr>
          <w:rFonts w:asciiTheme="majorBidi" w:hAnsiTheme="majorBidi" w:cstheme="majorBidi"/>
          <w:kern w:val="24"/>
          <w:sz w:val="24"/>
          <w:szCs w:val="24"/>
          <w:lang w:val="en-GB"/>
        </w:rPr>
        <w:t xml:space="preserve"> Hennie Van and </w:t>
      </w:r>
      <w:r w:rsidRPr="00F634CD">
        <w:rPr>
          <w:rFonts w:asciiTheme="majorBidi" w:hAnsiTheme="majorBidi" w:cstheme="majorBidi"/>
          <w:smallCaps/>
          <w:kern w:val="24"/>
          <w:sz w:val="24"/>
          <w:szCs w:val="24"/>
          <w:lang w:val="en-GB"/>
        </w:rPr>
        <w:t>Iqbal</w:t>
      </w:r>
      <w:r w:rsidRPr="00F634CD">
        <w:rPr>
          <w:rFonts w:asciiTheme="majorBidi" w:hAnsiTheme="majorBidi" w:cstheme="majorBidi"/>
          <w:kern w:val="24"/>
          <w:sz w:val="24"/>
          <w:szCs w:val="24"/>
          <w:lang w:val="en-GB"/>
        </w:rPr>
        <w:t xml:space="preserve"> Zamir, “Risk Analysis For Islamic Banks”, Washington D.C.: The World Bank, 2008, 309 p.</w:t>
      </w:r>
    </w:p>
    <w:p w14:paraId="43B859D1"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Howell</w:t>
      </w:r>
      <w:r w:rsidRPr="00F634CD">
        <w:rPr>
          <w:rFonts w:asciiTheme="majorBidi" w:hAnsiTheme="majorBidi" w:cstheme="majorBidi"/>
          <w:kern w:val="24"/>
          <w:sz w:val="24"/>
          <w:szCs w:val="24"/>
          <w:lang w:val="en-GB"/>
        </w:rPr>
        <w:t xml:space="preserve"> David, “Statistical Methods for Psychology”, 4th edition, Belmont, CA: Duxbury, 1997, 792 p.</w:t>
      </w:r>
    </w:p>
    <w:p w14:paraId="125A8F87"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Ibn Hajr Al Asqalânî</w:t>
      </w:r>
      <w:r w:rsidRPr="00F634CD">
        <w:rPr>
          <w:rFonts w:asciiTheme="majorBidi" w:hAnsiTheme="majorBidi" w:cstheme="majorBidi"/>
          <w:kern w:val="24"/>
          <w:sz w:val="24"/>
          <w:szCs w:val="24"/>
          <w:lang w:val="en-GB"/>
        </w:rPr>
        <w:t>, “Bulugh Al-Maram Min Adillat Al-Ahkam”, Dar Al-Manarah, El- Mansoura, Egypt, 2003, 576 p.</w:t>
      </w:r>
    </w:p>
    <w:p w14:paraId="3740F76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Iqbal</w:t>
      </w:r>
      <w:r w:rsidRPr="00F634CD">
        <w:rPr>
          <w:rFonts w:asciiTheme="majorBidi" w:hAnsiTheme="majorBidi" w:cstheme="majorBidi"/>
          <w:kern w:val="24"/>
          <w:sz w:val="24"/>
          <w:szCs w:val="24"/>
          <w:lang w:val="en-GB" w:eastAsia="fr-FR"/>
        </w:rPr>
        <w:t xml:space="preserve"> Munawar, “Islamic Banking and Finance: Current Developments in Theory and Practice”, Islamic Foundation. Leicester, UK, 2002, 449 p.</w:t>
      </w:r>
    </w:p>
    <w:p w14:paraId="525FD739"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eastAsia="fr-FR"/>
        </w:rPr>
        <w:t>Iqbal</w:t>
      </w:r>
      <w:r w:rsidRPr="00F634CD">
        <w:rPr>
          <w:rFonts w:asciiTheme="majorBidi" w:hAnsiTheme="majorBidi" w:cstheme="majorBidi"/>
          <w:kern w:val="24"/>
          <w:sz w:val="24"/>
          <w:szCs w:val="24"/>
          <w:lang w:val="en-GB" w:eastAsia="fr-FR"/>
        </w:rPr>
        <w:t xml:space="preserve"> Munawar</w:t>
      </w:r>
      <w:r w:rsidRPr="00F634CD">
        <w:rPr>
          <w:rFonts w:asciiTheme="majorBidi" w:hAnsiTheme="majorBidi" w:cstheme="majorBidi"/>
          <w:kern w:val="24"/>
          <w:sz w:val="24"/>
          <w:szCs w:val="24"/>
          <w:lang w:val="en-GB"/>
        </w:rPr>
        <w:t xml:space="preserve"> and </w:t>
      </w:r>
      <w:r w:rsidRPr="00F634CD">
        <w:rPr>
          <w:rFonts w:asciiTheme="majorBidi" w:hAnsiTheme="majorBidi" w:cstheme="majorBidi"/>
          <w:smallCaps/>
          <w:kern w:val="24"/>
          <w:sz w:val="24"/>
          <w:szCs w:val="24"/>
          <w:lang w:val="en-GB"/>
        </w:rPr>
        <w:t>Llewellyn</w:t>
      </w:r>
      <w:r w:rsidRPr="00F634CD">
        <w:rPr>
          <w:rFonts w:asciiTheme="majorBidi" w:hAnsiTheme="majorBidi" w:cstheme="majorBidi"/>
          <w:kern w:val="24"/>
          <w:sz w:val="24"/>
          <w:szCs w:val="24"/>
          <w:lang w:val="en-GB"/>
        </w:rPr>
        <w:t xml:space="preserve"> David, “Islamic Banking and Finance, New Perspectives on Profit-Sharing and Risk”, ed Edward Elgar, 2002, 250 p.</w:t>
      </w:r>
    </w:p>
    <w:p w14:paraId="41D09760"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lang w:val="en-GB"/>
        </w:rPr>
        <w:t>Iqbal</w:t>
      </w:r>
      <w:r w:rsidRPr="00F634CD">
        <w:rPr>
          <w:rFonts w:asciiTheme="majorBidi" w:hAnsiTheme="majorBidi" w:cstheme="majorBidi"/>
          <w:color w:val="auto"/>
          <w:kern w:val="24"/>
          <w:lang w:val="en-GB"/>
        </w:rPr>
        <w:t xml:space="preserve"> Zamir and </w:t>
      </w:r>
      <w:r w:rsidRPr="00F634CD">
        <w:rPr>
          <w:rFonts w:asciiTheme="majorBidi" w:hAnsiTheme="majorBidi" w:cstheme="majorBidi"/>
          <w:smallCaps/>
          <w:color w:val="auto"/>
          <w:kern w:val="24"/>
          <w:lang w:val="en-GB"/>
        </w:rPr>
        <w:t>Mirakhor</w:t>
      </w:r>
      <w:r w:rsidRPr="00F634CD">
        <w:rPr>
          <w:rFonts w:asciiTheme="majorBidi" w:hAnsiTheme="majorBidi" w:cstheme="majorBidi"/>
          <w:color w:val="auto"/>
          <w:kern w:val="24"/>
          <w:lang w:val="en-GB"/>
        </w:rPr>
        <w:t xml:space="preserve"> Abbas, “An Introduction to Islamic Finance: Theory and Practice”, 2ème Edition, John Wiley &amp; Sons, Asia Pte. </w:t>
      </w:r>
      <w:r w:rsidRPr="00F634CD">
        <w:rPr>
          <w:rFonts w:asciiTheme="majorBidi" w:hAnsiTheme="majorBidi" w:cstheme="majorBidi"/>
          <w:color w:val="auto"/>
          <w:kern w:val="24"/>
        </w:rPr>
        <w:t>Ltd, 2011, 406 p.</w:t>
      </w:r>
    </w:p>
    <w:p w14:paraId="7A4C0667"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Jouaber</w:t>
      </w:r>
      <w:r w:rsidRPr="00F634CD">
        <w:rPr>
          <w:rFonts w:asciiTheme="majorBidi" w:hAnsiTheme="majorBidi" w:cstheme="majorBidi"/>
          <w:kern w:val="24"/>
          <w:sz w:val="24"/>
          <w:szCs w:val="24"/>
        </w:rPr>
        <w:t xml:space="preserve"> Kaouther, « La finance islamique », La Découverte « Repères », 2012, 128 p.</w:t>
      </w:r>
    </w:p>
    <w:p w14:paraId="519E9707"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US"/>
        </w:rPr>
      </w:pPr>
      <w:r w:rsidRPr="00F634CD">
        <w:rPr>
          <w:rFonts w:asciiTheme="majorBidi" w:hAnsiTheme="majorBidi" w:cstheme="majorBidi"/>
          <w:smallCaps/>
          <w:color w:val="auto"/>
          <w:kern w:val="24"/>
          <w:lang w:val="en-GB"/>
        </w:rPr>
        <w:t>Jorion</w:t>
      </w:r>
      <w:r w:rsidRPr="00F634CD">
        <w:rPr>
          <w:rFonts w:asciiTheme="majorBidi" w:hAnsiTheme="majorBidi" w:cstheme="majorBidi"/>
          <w:color w:val="auto"/>
          <w:kern w:val="24"/>
          <w:lang w:val="en-GB"/>
        </w:rPr>
        <w:t xml:space="preserve"> Phillipe and </w:t>
      </w:r>
      <w:r w:rsidRPr="00F634CD">
        <w:rPr>
          <w:rFonts w:asciiTheme="majorBidi" w:hAnsiTheme="majorBidi" w:cstheme="majorBidi"/>
          <w:smallCaps/>
          <w:color w:val="auto"/>
          <w:kern w:val="24"/>
          <w:lang w:val="en-GB"/>
        </w:rPr>
        <w:t>Khoury</w:t>
      </w:r>
      <w:r w:rsidRPr="00F634CD">
        <w:rPr>
          <w:rFonts w:asciiTheme="majorBidi" w:hAnsiTheme="majorBidi" w:cstheme="majorBidi"/>
          <w:color w:val="auto"/>
          <w:kern w:val="24"/>
          <w:lang w:val="en-GB"/>
        </w:rPr>
        <w:t xml:space="preserve"> Joseph Sarkis, </w:t>
      </w:r>
      <w:r w:rsidRPr="00F634CD">
        <w:rPr>
          <w:rFonts w:asciiTheme="majorBidi" w:hAnsiTheme="majorBidi" w:cstheme="majorBidi"/>
          <w:color w:val="auto"/>
          <w:kern w:val="24"/>
          <w:lang w:val="en-US"/>
        </w:rPr>
        <w:t>“</w:t>
      </w:r>
      <w:r w:rsidRPr="00F634CD">
        <w:rPr>
          <w:rFonts w:asciiTheme="majorBidi" w:hAnsiTheme="majorBidi" w:cstheme="majorBidi"/>
          <w:color w:val="auto"/>
          <w:kern w:val="24"/>
          <w:lang w:val="en-GB"/>
        </w:rPr>
        <w:t>Financial Risk Management: Domestic and International Dimensions”, Cambridge, Massachusetts: Blackwell Publishers, 1996, 368 p.</w:t>
      </w:r>
    </w:p>
    <w:p w14:paraId="4C14B9E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Jouini</w:t>
      </w:r>
      <w:r w:rsidRPr="00F634CD">
        <w:rPr>
          <w:rFonts w:asciiTheme="majorBidi" w:hAnsiTheme="majorBidi" w:cstheme="majorBidi"/>
          <w:kern w:val="24"/>
          <w:sz w:val="24"/>
          <w:szCs w:val="24"/>
        </w:rPr>
        <w:t xml:space="preserve"> Elyes et </w:t>
      </w:r>
      <w:r w:rsidRPr="00F634CD">
        <w:rPr>
          <w:rFonts w:asciiTheme="majorBidi" w:hAnsiTheme="majorBidi" w:cstheme="majorBidi"/>
          <w:smallCaps/>
          <w:kern w:val="24"/>
          <w:sz w:val="24"/>
          <w:szCs w:val="24"/>
        </w:rPr>
        <w:t>Pastré</w:t>
      </w:r>
      <w:r w:rsidRPr="00F634CD">
        <w:rPr>
          <w:rFonts w:asciiTheme="majorBidi" w:hAnsiTheme="majorBidi" w:cstheme="majorBidi"/>
          <w:kern w:val="24"/>
          <w:sz w:val="24"/>
          <w:szCs w:val="24"/>
        </w:rPr>
        <w:t xml:space="preserve"> D, « Enjeux et opportunités du développement de la finance islamique pour la place de Paris », </w:t>
      </w:r>
      <w:r w:rsidRPr="00F634CD">
        <w:rPr>
          <w:rFonts w:asciiTheme="majorBidi" w:hAnsiTheme="majorBidi" w:cstheme="majorBidi"/>
          <w:kern w:val="24"/>
          <w:sz w:val="24"/>
          <w:szCs w:val="24"/>
          <w:lang w:eastAsia="fr-FR"/>
        </w:rPr>
        <w:t>Europlace, Paris, 2008, 135 p.</w:t>
      </w:r>
    </w:p>
    <w:p w14:paraId="522C2B35"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US"/>
        </w:rPr>
      </w:pPr>
      <w:r w:rsidRPr="00F634CD">
        <w:rPr>
          <w:rFonts w:asciiTheme="majorBidi" w:hAnsiTheme="majorBidi" w:cstheme="majorBidi"/>
          <w:smallCaps/>
          <w:color w:val="auto"/>
          <w:kern w:val="24"/>
          <w:lang w:val="en-US"/>
        </w:rPr>
        <w:t xml:space="preserve">Kahf </w:t>
      </w:r>
      <w:r w:rsidRPr="00F634CD">
        <w:rPr>
          <w:rFonts w:asciiTheme="majorBidi" w:hAnsiTheme="majorBidi" w:cstheme="majorBidi"/>
          <w:color w:val="auto"/>
          <w:kern w:val="24"/>
          <w:lang w:val="en-US"/>
        </w:rPr>
        <w:t xml:space="preserve">Munthir, “The Islamic Economy: </w:t>
      </w:r>
      <w:r w:rsidRPr="00F634CD">
        <w:rPr>
          <w:rStyle w:val="apple-style-span"/>
          <w:rFonts w:asciiTheme="majorBidi" w:hAnsiTheme="majorBidi" w:cstheme="majorBidi"/>
          <w:color w:val="auto"/>
          <w:kern w:val="24"/>
          <w:lang w:val="en-US"/>
        </w:rPr>
        <w:t>Analytical Study of the Functioning of the Islamic Economic System</w:t>
      </w:r>
      <w:r w:rsidRPr="00F634CD">
        <w:rPr>
          <w:rFonts w:asciiTheme="majorBidi" w:hAnsiTheme="majorBidi" w:cstheme="majorBidi"/>
          <w:color w:val="auto"/>
          <w:kern w:val="24"/>
          <w:lang w:val="en-US"/>
        </w:rPr>
        <w:t>”. Plainfield, Muslim Association of U.S. and Canada, 1978, 110 p.</w:t>
      </w:r>
    </w:p>
    <w:p w14:paraId="03825FC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Kamali</w:t>
      </w:r>
      <w:r w:rsidRPr="00F634CD">
        <w:rPr>
          <w:rFonts w:asciiTheme="majorBidi" w:hAnsiTheme="majorBidi" w:cstheme="majorBidi"/>
          <w:kern w:val="24"/>
          <w:sz w:val="24"/>
          <w:szCs w:val="24"/>
          <w:lang w:val="en-GB"/>
        </w:rPr>
        <w:t xml:space="preserve"> Mohammad Hashim</w:t>
      </w:r>
      <w:r w:rsidRPr="00F634CD">
        <w:rPr>
          <w:rFonts w:asciiTheme="majorBidi" w:hAnsiTheme="majorBidi" w:cstheme="majorBidi"/>
          <w:kern w:val="24"/>
          <w:sz w:val="24"/>
          <w:szCs w:val="24"/>
          <w:lang w:val="en-US" w:eastAsia="fr-FR"/>
        </w:rPr>
        <w:t xml:space="preserve">,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US" w:eastAsia="fr-FR"/>
        </w:rPr>
        <w:t xml:space="preserve">Islamic Commercial Law: An Analysis of Futures and Option”, Ilmiah Publishers, Subang Jaya, Selangor, Malaysia, 2002, 253 p. </w:t>
      </w:r>
    </w:p>
    <w:p w14:paraId="3BA03E3D"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Karich</w:t>
      </w:r>
      <w:r w:rsidRPr="00F634CD">
        <w:rPr>
          <w:rFonts w:asciiTheme="majorBidi" w:hAnsiTheme="majorBidi" w:cstheme="majorBidi"/>
          <w:kern w:val="24"/>
          <w:sz w:val="24"/>
          <w:szCs w:val="24"/>
        </w:rPr>
        <w:t xml:space="preserve"> Imane, « le système financier islamique : de la religion à la banque », Ed. Larcier, Bruxelles, 2002, 136 p.</w:t>
      </w:r>
    </w:p>
    <w:p w14:paraId="0D807CCF"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eastAsia="fr-FR"/>
        </w:rPr>
        <w:t>Khalâf</w:t>
      </w:r>
      <w:r w:rsidRPr="00F634CD">
        <w:rPr>
          <w:rFonts w:asciiTheme="majorBidi" w:hAnsiTheme="majorBidi" w:cstheme="majorBidi"/>
          <w:kern w:val="24"/>
          <w:sz w:val="24"/>
          <w:szCs w:val="24"/>
          <w:lang w:eastAsia="fr-FR"/>
        </w:rPr>
        <w:t xml:space="preserve"> </w:t>
      </w:r>
      <w:r w:rsidRPr="00F634CD">
        <w:rPr>
          <w:rFonts w:asciiTheme="majorBidi" w:hAnsiTheme="majorBidi" w:cstheme="majorBidi"/>
          <w:kern w:val="24"/>
          <w:sz w:val="24"/>
          <w:szCs w:val="24"/>
          <w:shd w:val="clear" w:color="auto" w:fill="FFFFFF"/>
        </w:rPr>
        <w:t>Abd Al-Wahhâb</w:t>
      </w:r>
      <w:r w:rsidRPr="00F634CD">
        <w:rPr>
          <w:rFonts w:asciiTheme="majorBidi" w:hAnsiTheme="majorBidi" w:cstheme="majorBidi"/>
          <w:kern w:val="24"/>
          <w:sz w:val="24"/>
          <w:szCs w:val="24"/>
          <w:lang w:eastAsia="fr-FR"/>
        </w:rPr>
        <w:t xml:space="preserve">, </w:t>
      </w:r>
      <w:r w:rsidRPr="00F634CD">
        <w:rPr>
          <w:rFonts w:asciiTheme="majorBidi" w:hAnsiTheme="majorBidi" w:cstheme="majorBidi"/>
          <w:kern w:val="24"/>
          <w:sz w:val="24"/>
          <w:szCs w:val="24"/>
        </w:rPr>
        <w:t>« </w:t>
      </w:r>
      <w:r w:rsidRPr="00F634CD">
        <w:rPr>
          <w:rFonts w:asciiTheme="majorBidi" w:hAnsiTheme="majorBidi" w:cstheme="majorBidi"/>
          <w:kern w:val="24"/>
          <w:sz w:val="24"/>
          <w:szCs w:val="24"/>
          <w:lang w:eastAsia="fr-FR"/>
        </w:rPr>
        <w:t xml:space="preserve">Les fondements du droit musulman », Ed. </w:t>
      </w:r>
      <w:r w:rsidRPr="00F634CD">
        <w:rPr>
          <w:rFonts w:asciiTheme="majorBidi" w:hAnsiTheme="majorBidi" w:cstheme="majorBidi"/>
          <w:kern w:val="24"/>
          <w:sz w:val="24"/>
          <w:szCs w:val="24"/>
          <w:lang w:val="en-GB" w:eastAsia="fr-FR"/>
        </w:rPr>
        <w:t>Al-Qalam, 1997, 174 p.</w:t>
      </w:r>
    </w:p>
    <w:p w14:paraId="1540D21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Khan</w:t>
      </w:r>
      <w:r w:rsidRPr="00F634CD">
        <w:rPr>
          <w:rFonts w:asciiTheme="majorBidi" w:hAnsiTheme="majorBidi" w:cstheme="majorBidi"/>
          <w:kern w:val="24"/>
          <w:sz w:val="24"/>
          <w:szCs w:val="24"/>
          <w:lang w:val="en-US" w:eastAsia="fr-FR"/>
        </w:rPr>
        <w:t xml:space="preserve"> Muhammad Akram, “An Introduction to Islamic Economics”, </w:t>
      </w:r>
      <w:r w:rsidRPr="00F634CD">
        <w:rPr>
          <w:rStyle w:val="apple-style-span"/>
          <w:rFonts w:asciiTheme="majorBidi" w:hAnsiTheme="majorBidi" w:cstheme="majorBidi"/>
          <w:kern w:val="24"/>
          <w:sz w:val="24"/>
          <w:szCs w:val="24"/>
          <w:lang w:val="en-US"/>
        </w:rPr>
        <w:t>International Institute of Islamic Thought (IIIT)</w:t>
      </w:r>
      <w:r w:rsidRPr="00F634CD">
        <w:rPr>
          <w:rStyle w:val="apple-converted-space"/>
          <w:rFonts w:asciiTheme="majorBidi" w:hAnsiTheme="majorBidi" w:cstheme="majorBidi"/>
          <w:kern w:val="24"/>
          <w:sz w:val="24"/>
          <w:szCs w:val="24"/>
          <w:lang w:val="en-US"/>
        </w:rPr>
        <w:t>, 1994,</w:t>
      </w:r>
      <w:r w:rsidRPr="00F634CD">
        <w:rPr>
          <w:rStyle w:val="apple-style-span"/>
          <w:rFonts w:asciiTheme="majorBidi" w:hAnsiTheme="majorBidi" w:cstheme="majorBidi"/>
          <w:kern w:val="24"/>
          <w:sz w:val="24"/>
          <w:szCs w:val="24"/>
          <w:lang w:val="en-US"/>
        </w:rPr>
        <w:t>153 p</w:t>
      </w:r>
      <w:r w:rsidRPr="00F634CD">
        <w:rPr>
          <w:rFonts w:asciiTheme="majorBidi" w:hAnsiTheme="majorBidi" w:cstheme="majorBidi"/>
          <w:kern w:val="24"/>
          <w:sz w:val="24"/>
          <w:szCs w:val="24"/>
          <w:lang w:val="en-US" w:eastAsia="fr-FR"/>
        </w:rPr>
        <w:t>.</w:t>
      </w:r>
    </w:p>
    <w:p w14:paraId="72C87B5E"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US" w:eastAsia="fr-FR"/>
        </w:rPr>
        <w:t>Khan</w:t>
      </w:r>
      <w:r w:rsidRPr="00F634CD">
        <w:rPr>
          <w:rFonts w:asciiTheme="majorBidi" w:hAnsiTheme="majorBidi" w:cstheme="majorBidi"/>
          <w:kern w:val="24"/>
          <w:sz w:val="24"/>
          <w:szCs w:val="24"/>
          <w:lang w:val="en-US" w:eastAsia="fr-FR"/>
        </w:rPr>
        <w:t xml:space="preserve"> Muhammad Akram</w:t>
      </w:r>
      <w:r w:rsidRPr="00F634CD">
        <w:rPr>
          <w:rFonts w:asciiTheme="majorBidi" w:hAnsiTheme="majorBidi" w:cstheme="majorBidi"/>
          <w:kern w:val="24"/>
          <w:sz w:val="24"/>
          <w:szCs w:val="24"/>
          <w:lang w:val="en-GB" w:eastAsia="fr-FR"/>
        </w:rPr>
        <w:t>, “Islamic economics and finance: A glossary”, second edition, Routledge, London: UK, 2003, 208 p.</w:t>
      </w:r>
    </w:p>
    <w:p w14:paraId="1031BC23"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bookmarkStart w:id="1856" w:name="_Hlk530679386"/>
      <w:r w:rsidRPr="00F634CD">
        <w:rPr>
          <w:rFonts w:asciiTheme="majorBidi" w:hAnsiTheme="majorBidi" w:cstheme="majorBidi"/>
          <w:smallCaps/>
          <w:kern w:val="24"/>
          <w:sz w:val="24"/>
          <w:szCs w:val="24"/>
        </w:rPr>
        <w:t>Khan</w:t>
      </w:r>
      <w:r w:rsidRPr="00F634CD">
        <w:rPr>
          <w:rFonts w:asciiTheme="majorBidi" w:hAnsiTheme="majorBidi" w:cstheme="majorBidi"/>
          <w:kern w:val="24"/>
          <w:sz w:val="24"/>
          <w:szCs w:val="24"/>
        </w:rPr>
        <w:t xml:space="preserve"> Tariqullah et </w:t>
      </w:r>
      <w:r w:rsidRPr="00F634CD">
        <w:rPr>
          <w:rFonts w:asciiTheme="majorBidi" w:hAnsiTheme="majorBidi" w:cstheme="majorBidi"/>
          <w:smallCaps/>
          <w:kern w:val="24"/>
          <w:sz w:val="24"/>
          <w:szCs w:val="24"/>
        </w:rPr>
        <w:t>Ahmad</w:t>
      </w:r>
      <w:r w:rsidRPr="00F634CD">
        <w:rPr>
          <w:rFonts w:asciiTheme="majorBidi" w:hAnsiTheme="majorBidi" w:cstheme="majorBidi"/>
          <w:kern w:val="24"/>
          <w:sz w:val="24"/>
          <w:szCs w:val="24"/>
        </w:rPr>
        <w:t xml:space="preserve"> Habib, « La gestion des risques : analyse de certains aspects liés à l’industrie de la finance islamique », Document Occasionnel, n° 5, BID, IIRF, 2002, 200 p.</w:t>
      </w:r>
      <w:bookmarkEnd w:id="1856"/>
    </w:p>
    <w:p w14:paraId="5F0B4F4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Khoury</w:t>
      </w:r>
      <w:r w:rsidRPr="00F634CD">
        <w:rPr>
          <w:rFonts w:asciiTheme="majorBidi" w:hAnsiTheme="majorBidi" w:cstheme="majorBidi"/>
          <w:kern w:val="24"/>
          <w:sz w:val="24"/>
          <w:szCs w:val="24"/>
          <w:lang w:val="en-GB"/>
        </w:rPr>
        <w:t xml:space="preserve"> Joseph Sarkis, “Financial Risk Management: Domestic and International Dimensions”, Cambridge, Massachusetts: Blackwell Publishers, 1996, 180 p.</w:t>
      </w:r>
    </w:p>
    <w:p w14:paraId="4FED11FC"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Khurshid</w:t>
      </w:r>
      <w:r w:rsidRPr="00F634CD">
        <w:rPr>
          <w:rFonts w:asciiTheme="majorBidi" w:hAnsiTheme="majorBidi" w:cstheme="majorBidi"/>
          <w:kern w:val="24"/>
          <w:sz w:val="24"/>
          <w:szCs w:val="24"/>
          <w:lang w:val="en-GB"/>
        </w:rPr>
        <w:t xml:space="preserve"> Ahmad, “Elimination of Riba: Concept and Problems”, Institute of Policy Studies, 1994, 425 p.</w:t>
      </w:r>
    </w:p>
    <w:p w14:paraId="54D7DD6B"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 xml:space="preserve">Mahlknecht </w:t>
      </w:r>
      <w:r w:rsidRPr="00F634CD">
        <w:rPr>
          <w:rFonts w:asciiTheme="majorBidi" w:hAnsiTheme="majorBidi" w:cstheme="majorBidi"/>
          <w:kern w:val="24"/>
          <w:sz w:val="24"/>
          <w:szCs w:val="24"/>
          <w:lang w:val="en-GB" w:eastAsia="fr-FR"/>
        </w:rPr>
        <w:t>Michael, “Islamic Capital Markets and Risk Management: Global Market Trends and Issues”, London: Risk Books, a division of Incisive Financial Publishing Ltd, 2009, 250 p.</w:t>
      </w:r>
    </w:p>
    <w:p w14:paraId="785628C9"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 xml:space="preserve">Makuch </w:t>
      </w:r>
      <w:r w:rsidRPr="00F634CD">
        <w:rPr>
          <w:rFonts w:asciiTheme="majorBidi" w:hAnsiTheme="majorBidi" w:cstheme="majorBidi"/>
          <w:kern w:val="24"/>
          <w:sz w:val="24"/>
          <w:szCs w:val="24"/>
          <w:lang w:val="en-GB" w:eastAsia="fr-FR"/>
        </w:rPr>
        <w:t>William, “Handbook of credit scoring”, The Glenlake Publishing Company, Ltd, West Glenlake, 2001, 364 p.</w:t>
      </w:r>
    </w:p>
    <w:p w14:paraId="1C679BD6"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Malik</w:t>
      </w:r>
      <w:r w:rsidRPr="00F634CD">
        <w:rPr>
          <w:rFonts w:asciiTheme="majorBidi" w:hAnsiTheme="majorBidi" w:cstheme="majorBidi"/>
          <w:kern w:val="24"/>
          <w:sz w:val="24"/>
          <w:szCs w:val="24"/>
          <w:lang w:val="en-GB" w:eastAsia="fr-FR"/>
        </w:rPr>
        <w:t xml:space="preserve"> Ibn Anas, “Al-Muwatta”, Madinah Press, 2005, 836 p.</w:t>
      </w:r>
    </w:p>
    <w:p w14:paraId="4DD21B1C"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US"/>
        </w:rPr>
      </w:pPr>
      <w:r w:rsidRPr="00F634CD">
        <w:rPr>
          <w:rFonts w:asciiTheme="majorBidi" w:hAnsiTheme="majorBidi" w:cstheme="majorBidi"/>
          <w:smallCaps/>
          <w:kern w:val="24"/>
          <w:sz w:val="24"/>
          <w:szCs w:val="24"/>
          <w:lang w:val="en-US"/>
        </w:rPr>
        <w:t>Mckinsey</w:t>
      </w:r>
      <w:r w:rsidRPr="00F634CD">
        <w:rPr>
          <w:rFonts w:asciiTheme="majorBidi" w:hAnsiTheme="majorBidi" w:cstheme="majorBidi"/>
          <w:kern w:val="24"/>
          <w:sz w:val="24"/>
          <w:szCs w:val="24"/>
          <w:lang w:val="en-US"/>
        </w:rPr>
        <w:t xml:space="preserve">, </w:t>
      </w:r>
      <w:r w:rsidRPr="00F634CD">
        <w:rPr>
          <w:rFonts w:asciiTheme="majorBidi" w:hAnsiTheme="majorBidi" w:cstheme="majorBidi"/>
          <w:smallCaps/>
          <w:kern w:val="24"/>
          <w:sz w:val="24"/>
          <w:szCs w:val="24"/>
          <w:lang w:val="en-US"/>
        </w:rPr>
        <w:t>Copeland</w:t>
      </w:r>
      <w:r w:rsidRPr="00F634CD">
        <w:rPr>
          <w:rFonts w:asciiTheme="majorBidi" w:hAnsiTheme="majorBidi" w:cstheme="majorBidi"/>
          <w:kern w:val="24"/>
          <w:sz w:val="24"/>
          <w:szCs w:val="24"/>
          <w:lang w:val="en-US"/>
        </w:rPr>
        <w:t xml:space="preserve"> Tom, </w:t>
      </w:r>
      <w:r w:rsidRPr="00F634CD">
        <w:rPr>
          <w:rFonts w:asciiTheme="majorBidi" w:hAnsiTheme="majorBidi" w:cstheme="majorBidi"/>
          <w:smallCaps/>
          <w:kern w:val="24"/>
          <w:sz w:val="24"/>
          <w:szCs w:val="24"/>
          <w:lang w:val="en-US"/>
        </w:rPr>
        <w:t xml:space="preserve">Koller </w:t>
      </w:r>
      <w:r w:rsidRPr="00F634CD">
        <w:rPr>
          <w:rFonts w:asciiTheme="majorBidi" w:hAnsiTheme="majorBidi" w:cstheme="majorBidi"/>
          <w:kern w:val="24"/>
          <w:sz w:val="24"/>
          <w:szCs w:val="24"/>
          <w:lang w:val="en-US"/>
        </w:rPr>
        <w:t>Tim et al, “Valuation: measuring and managing the value of companies”, 3</w:t>
      </w:r>
      <w:r w:rsidRPr="00F634CD">
        <w:rPr>
          <w:rFonts w:asciiTheme="majorBidi" w:hAnsiTheme="majorBidi" w:cstheme="majorBidi"/>
          <w:kern w:val="24"/>
          <w:sz w:val="24"/>
          <w:szCs w:val="24"/>
          <w:vertAlign w:val="superscript"/>
          <w:lang w:val="en-US"/>
        </w:rPr>
        <w:t>rd</w:t>
      </w:r>
      <w:r w:rsidRPr="00F634CD">
        <w:rPr>
          <w:rFonts w:asciiTheme="majorBidi" w:hAnsiTheme="majorBidi" w:cstheme="majorBidi"/>
          <w:kern w:val="24"/>
          <w:sz w:val="24"/>
          <w:szCs w:val="24"/>
          <w:lang w:val="en-US"/>
        </w:rPr>
        <w:t xml:space="preserve"> ed, John Wiley, 2000, 492 p.</w:t>
      </w:r>
    </w:p>
    <w:p w14:paraId="1066EE1F"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Mills</w:t>
      </w:r>
      <w:r w:rsidRPr="00F634CD">
        <w:rPr>
          <w:rFonts w:asciiTheme="majorBidi" w:hAnsiTheme="majorBidi" w:cstheme="majorBidi"/>
          <w:kern w:val="24"/>
          <w:sz w:val="24"/>
          <w:szCs w:val="24"/>
          <w:lang w:val="en-GB"/>
        </w:rPr>
        <w:t xml:space="preserve"> Paul. S and </w:t>
      </w:r>
      <w:r w:rsidRPr="00F634CD">
        <w:rPr>
          <w:rFonts w:asciiTheme="majorBidi" w:hAnsiTheme="majorBidi" w:cstheme="majorBidi"/>
          <w:smallCaps/>
          <w:kern w:val="24"/>
          <w:sz w:val="24"/>
          <w:szCs w:val="24"/>
          <w:lang w:val="en-GB"/>
        </w:rPr>
        <w:t>Presley</w:t>
      </w:r>
      <w:r w:rsidRPr="00F634CD">
        <w:rPr>
          <w:rFonts w:asciiTheme="majorBidi" w:hAnsiTheme="majorBidi" w:cstheme="majorBidi"/>
          <w:kern w:val="24"/>
          <w:sz w:val="24"/>
          <w:szCs w:val="24"/>
          <w:lang w:val="en-GB"/>
        </w:rPr>
        <w:t xml:space="preserve"> John. R,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GB"/>
        </w:rPr>
        <w:t>Islamic Finance, Theory and Practice”, Ed. Mac Millan Press, Grand-Bretagne, 1999, 171 p.</w:t>
      </w:r>
    </w:p>
    <w:p w14:paraId="57C9D2C8" w14:textId="2B828292"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spacing w:val="-4"/>
          <w:kern w:val="24"/>
          <w:sz w:val="24"/>
          <w:szCs w:val="24"/>
          <w:lang w:val="en-US" w:eastAsia="fr-FR"/>
        </w:rPr>
      </w:pPr>
      <w:r w:rsidRPr="00F634CD">
        <w:rPr>
          <w:rFonts w:asciiTheme="majorBidi" w:hAnsiTheme="majorBidi" w:cstheme="majorBidi"/>
          <w:smallCaps/>
          <w:spacing w:val="-4"/>
          <w:kern w:val="24"/>
          <w:sz w:val="24"/>
          <w:szCs w:val="24"/>
          <w:lang w:val="en-US"/>
        </w:rPr>
        <w:t>Muhammed Al-Amine</w:t>
      </w:r>
      <w:r w:rsidRPr="00F634CD">
        <w:rPr>
          <w:rFonts w:asciiTheme="majorBidi" w:hAnsiTheme="majorBidi" w:cstheme="majorBidi"/>
          <w:spacing w:val="-4"/>
          <w:kern w:val="24"/>
          <w:sz w:val="24"/>
          <w:szCs w:val="24"/>
          <w:lang w:val="en-US"/>
        </w:rPr>
        <w:t xml:space="preserve"> </w:t>
      </w:r>
      <w:hyperlink r:id="rId75" w:history="1">
        <w:r w:rsidRPr="00F634CD">
          <w:rPr>
            <w:rStyle w:val="Lienhypertexte"/>
            <w:rFonts w:asciiTheme="majorBidi" w:hAnsiTheme="majorBidi" w:cstheme="majorBidi"/>
            <w:color w:val="auto"/>
            <w:spacing w:val="-4"/>
            <w:kern w:val="24"/>
            <w:sz w:val="24"/>
            <w:szCs w:val="24"/>
            <w:u w:val="none"/>
            <w:shd w:val="clear" w:color="auto" w:fill="FFFFFF"/>
            <w:lang w:val="en-GB"/>
          </w:rPr>
          <w:t>Muhammad Al-bashir</w:t>
        </w:r>
      </w:hyperlink>
      <w:r w:rsidRPr="00F634CD">
        <w:rPr>
          <w:rFonts w:asciiTheme="majorBidi" w:hAnsiTheme="majorBidi" w:cstheme="majorBidi"/>
          <w:spacing w:val="-4"/>
          <w:kern w:val="24"/>
          <w:sz w:val="24"/>
          <w:szCs w:val="24"/>
          <w:lang w:val="en-US"/>
        </w:rPr>
        <w:t>, “</w:t>
      </w:r>
      <w:r w:rsidRPr="00F634CD">
        <w:rPr>
          <w:rFonts w:asciiTheme="majorBidi" w:hAnsiTheme="majorBidi" w:cstheme="majorBidi"/>
          <w:spacing w:val="-4"/>
          <w:kern w:val="24"/>
          <w:sz w:val="24"/>
          <w:szCs w:val="24"/>
          <w:lang w:val="en-US" w:eastAsia="fr-FR"/>
        </w:rPr>
        <w:t xml:space="preserve">Risk management in </w:t>
      </w:r>
      <w:r w:rsidR="00306997" w:rsidRPr="00F634CD">
        <w:rPr>
          <w:rFonts w:asciiTheme="majorBidi" w:hAnsiTheme="majorBidi" w:cstheme="majorBidi"/>
          <w:spacing w:val="-4"/>
          <w:kern w:val="24"/>
          <w:sz w:val="24"/>
          <w:szCs w:val="24"/>
          <w:lang w:val="en-US" w:eastAsia="fr-FR"/>
        </w:rPr>
        <w:t>Islamic</w:t>
      </w:r>
      <w:r w:rsidRPr="00F634CD">
        <w:rPr>
          <w:rFonts w:asciiTheme="majorBidi" w:hAnsiTheme="majorBidi" w:cstheme="majorBidi"/>
          <w:spacing w:val="-4"/>
          <w:kern w:val="24"/>
          <w:sz w:val="24"/>
          <w:szCs w:val="24"/>
          <w:lang w:val="en-US" w:eastAsia="fr-FR"/>
        </w:rPr>
        <w:t xml:space="preserve"> finance: An analysis of Derivatives Instruments in Commodity Markets”, Brill. Leiden/ Boston, 2008, 338</w:t>
      </w:r>
      <w:r w:rsidRPr="00F634CD">
        <w:rPr>
          <w:rFonts w:asciiTheme="majorBidi" w:hAnsiTheme="majorBidi" w:cstheme="majorBidi"/>
          <w:spacing w:val="-4"/>
          <w:kern w:val="24"/>
          <w:sz w:val="24"/>
          <w:szCs w:val="24"/>
          <w:shd w:val="clear" w:color="auto" w:fill="FFFFFF"/>
          <w:lang w:val="en-GB"/>
        </w:rPr>
        <w:t> </w:t>
      </w:r>
      <w:r w:rsidRPr="00F634CD">
        <w:rPr>
          <w:rFonts w:asciiTheme="majorBidi" w:hAnsiTheme="majorBidi" w:cstheme="majorBidi"/>
          <w:spacing w:val="-4"/>
          <w:kern w:val="24"/>
          <w:sz w:val="24"/>
          <w:szCs w:val="24"/>
          <w:lang w:val="en-US" w:eastAsia="fr-FR"/>
        </w:rPr>
        <w:t>p.</w:t>
      </w:r>
    </w:p>
    <w:p w14:paraId="74A83358"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kern w:val="24"/>
          <w:sz w:val="24"/>
          <w:szCs w:val="24"/>
          <w:lang w:val="en-US"/>
        </w:rPr>
        <w:t>Obaidullah Mohammed</w:t>
      </w:r>
      <w:r w:rsidRPr="00F634CD">
        <w:rPr>
          <w:rFonts w:asciiTheme="majorBidi" w:hAnsiTheme="majorBidi" w:cstheme="majorBidi"/>
          <w:kern w:val="24"/>
          <w:sz w:val="24"/>
          <w:szCs w:val="24"/>
          <w:lang w:val="en-GB"/>
        </w:rPr>
        <w:t>, “Islamic financial services”,</w:t>
      </w:r>
      <w:r w:rsidRPr="00F634CD">
        <w:rPr>
          <w:rFonts w:asciiTheme="majorBidi" w:eastAsia="Arial Unicode MS" w:hAnsiTheme="majorBidi" w:cstheme="majorBidi"/>
          <w:kern w:val="24"/>
          <w:sz w:val="24"/>
          <w:szCs w:val="24"/>
          <w:shd w:val="clear" w:color="auto" w:fill="FFFFFF"/>
          <w:lang w:val="en-GB"/>
        </w:rPr>
        <w:t xml:space="preserve"> Scientific Publishing Centre,</w:t>
      </w:r>
      <w:r w:rsidRPr="00F634CD">
        <w:rPr>
          <w:rFonts w:asciiTheme="majorBidi" w:hAnsiTheme="majorBidi" w:cstheme="majorBidi"/>
          <w:kern w:val="24"/>
          <w:sz w:val="24"/>
          <w:szCs w:val="24"/>
          <w:lang w:val="en-GB"/>
        </w:rPr>
        <w:t xml:space="preserve"> King Abdulaziz University, “Jeddah-Saudi Arabia, 2005, 270 p.</w:t>
      </w:r>
    </w:p>
    <w:p w14:paraId="73C6BE5D" w14:textId="26E5D973"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Oppenheim</w:t>
      </w:r>
      <w:r w:rsidRPr="00F634CD">
        <w:rPr>
          <w:rFonts w:asciiTheme="majorBidi" w:hAnsiTheme="majorBidi" w:cstheme="majorBidi"/>
          <w:kern w:val="24"/>
          <w:sz w:val="24"/>
          <w:szCs w:val="24"/>
        </w:rPr>
        <w:t xml:space="preserve">. A. N, “Questionnaire Design and Attitude Measurement”, </w:t>
      </w:r>
      <w:r w:rsidR="0049460C" w:rsidRPr="00F634CD">
        <w:rPr>
          <w:rFonts w:asciiTheme="majorBidi" w:hAnsiTheme="majorBidi" w:cstheme="majorBidi"/>
          <w:kern w:val="24"/>
          <w:sz w:val="24"/>
          <w:szCs w:val="24"/>
        </w:rPr>
        <w:t>London</w:t>
      </w:r>
      <w:r w:rsidR="0049460C">
        <w:rPr>
          <w:rFonts w:asciiTheme="majorBidi" w:hAnsiTheme="majorBidi" w:cstheme="majorBidi"/>
          <w:kern w:val="24"/>
          <w:sz w:val="24"/>
          <w:szCs w:val="24"/>
        </w:rPr>
        <w:t>:</w:t>
      </w:r>
      <w:r w:rsidRPr="00F634CD">
        <w:rPr>
          <w:rFonts w:asciiTheme="majorBidi" w:hAnsiTheme="majorBidi" w:cstheme="majorBidi"/>
          <w:kern w:val="24"/>
          <w:sz w:val="24"/>
          <w:szCs w:val="24"/>
        </w:rPr>
        <w:t xml:space="preserve"> Printer Publishers, 2001, 312 p.</w:t>
      </w:r>
    </w:p>
    <w:p w14:paraId="2A81D851" w14:textId="5AD3CA8C"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shd w:val="clear" w:color="auto" w:fill="FFFFFF"/>
        </w:rPr>
        <w:t>Ramage</w:t>
      </w:r>
      <w:r w:rsidRPr="00F634CD">
        <w:rPr>
          <w:rFonts w:asciiTheme="majorBidi" w:hAnsiTheme="majorBidi" w:cstheme="majorBidi"/>
          <w:kern w:val="24"/>
          <w:sz w:val="24"/>
          <w:szCs w:val="24"/>
          <w:shd w:val="clear" w:color="auto" w:fill="FFFFFF"/>
        </w:rPr>
        <w:t xml:space="preserve"> Pierre, « Analyse et diagnostic </w:t>
      </w:r>
      <w:r w:rsidRPr="00F634CD">
        <w:rPr>
          <w:rStyle w:val="ff7"/>
          <w:rFonts w:asciiTheme="majorBidi" w:hAnsiTheme="majorBidi" w:cstheme="majorBidi"/>
          <w:kern w:val="24"/>
          <w:sz w:val="24"/>
          <w:szCs w:val="24"/>
          <w:shd w:val="clear" w:color="auto" w:fill="FFFFFF"/>
        </w:rPr>
        <w:t xml:space="preserve">financier », éd. </w:t>
      </w:r>
      <w:r w:rsidR="00306997">
        <w:rPr>
          <w:rStyle w:val="ff7"/>
          <w:rFonts w:asciiTheme="majorBidi" w:hAnsiTheme="majorBidi" w:cstheme="majorBidi"/>
          <w:kern w:val="24"/>
          <w:sz w:val="24"/>
          <w:szCs w:val="24"/>
          <w:shd w:val="clear" w:color="auto" w:fill="FFFFFF"/>
        </w:rPr>
        <w:t>d</w:t>
      </w:r>
      <w:r w:rsidR="00306997" w:rsidRPr="00F634CD">
        <w:rPr>
          <w:rStyle w:val="ff7"/>
          <w:rFonts w:asciiTheme="majorBidi" w:hAnsiTheme="majorBidi" w:cstheme="majorBidi"/>
          <w:kern w:val="24"/>
          <w:sz w:val="24"/>
          <w:szCs w:val="24"/>
          <w:shd w:val="clear" w:color="auto" w:fill="FFFFFF"/>
        </w:rPr>
        <w:t>’</w:t>
      </w:r>
      <w:r w:rsidR="00306997">
        <w:rPr>
          <w:rStyle w:val="ff7"/>
          <w:rFonts w:asciiTheme="majorBidi" w:hAnsiTheme="majorBidi" w:cstheme="majorBidi"/>
          <w:kern w:val="24"/>
          <w:sz w:val="24"/>
          <w:szCs w:val="24"/>
          <w:shd w:val="clear" w:color="auto" w:fill="FFFFFF"/>
        </w:rPr>
        <w:t>O</w:t>
      </w:r>
      <w:r w:rsidR="00306997" w:rsidRPr="00F634CD">
        <w:rPr>
          <w:rStyle w:val="ff7"/>
          <w:rFonts w:asciiTheme="majorBidi" w:hAnsiTheme="majorBidi" w:cstheme="majorBidi"/>
          <w:kern w:val="24"/>
          <w:sz w:val="24"/>
          <w:szCs w:val="24"/>
          <w:shd w:val="clear" w:color="auto" w:fill="FFFFFF"/>
        </w:rPr>
        <w:t>rganisation</w:t>
      </w:r>
      <w:r w:rsidRPr="00F634CD">
        <w:rPr>
          <w:rStyle w:val="ff7"/>
          <w:rFonts w:asciiTheme="majorBidi" w:hAnsiTheme="majorBidi" w:cstheme="majorBidi"/>
          <w:kern w:val="24"/>
          <w:sz w:val="24"/>
          <w:szCs w:val="24"/>
          <w:shd w:val="clear" w:color="auto" w:fill="FFFFFF"/>
        </w:rPr>
        <w:t>, 2001, 424 p.</w:t>
      </w:r>
    </w:p>
    <w:p w14:paraId="52546FDF" w14:textId="73157FD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val="en-US" w:eastAsia="fr-FR"/>
        </w:rPr>
        <w:t>Rehman</w:t>
      </w:r>
      <w:r w:rsidRPr="00F634CD">
        <w:rPr>
          <w:rFonts w:asciiTheme="majorBidi" w:hAnsiTheme="majorBidi" w:cstheme="majorBidi"/>
          <w:kern w:val="24"/>
          <w:sz w:val="24"/>
          <w:szCs w:val="24"/>
          <w:lang w:val="en-US" w:eastAsia="fr-FR"/>
        </w:rPr>
        <w:t xml:space="preserve"> Aamir A, “Gulf capital and </w:t>
      </w:r>
      <w:r w:rsidR="00306997"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finance” Ed. </w:t>
      </w:r>
      <w:r w:rsidRPr="00F634CD">
        <w:rPr>
          <w:rFonts w:asciiTheme="majorBidi" w:hAnsiTheme="majorBidi" w:cstheme="majorBidi"/>
          <w:kern w:val="24"/>
          <w:sz w:val="24"/>
          <w:szCs w:val="24"/>
          <w:lang w:eastAsia="fr-FR"/>
        </w:rPr>
        <w:t>Mc Graw Hill, 2010, 352 p.</w:t>
      </w:r>
    </w:p>
    <w:p w14:paraId="0C548CB1"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eastAsia="fr-FR"/>
        </w:rPr>
        <w:t>Rives-Lange,</w:t>
      </w:r>
      <w:r w:rsidRPr="00F634CD">
        <w:rPr>
          <w:rFonts w:asciiTheme="majorBidi" w:hAnsiTheme="majorBidi" w:cstheme="majorBidi"/>
          <w:kern w:val="24"/>
          <w:sz w:val="24"/>
          <w:szCs w:val="24"/>
          <w:lang w:eastAsia="fr-FR"/>
        </w:rPr>
        <w:t xml:space="preserve"> Jean-Louis et </w:t>
      </w:r>
      <w:r w:rsidRPr="00F634CD">
        <w:rPr>
          <w:rFonts w:asciiTheme="majorBidi" w:hAnsiTheme="majorBidi" w:cstheme="majorBidi"/>
          <w:smallCaps/>
          <w:kern w:val="24"/>
          <w:sz w:val="24"/>
          <w:szCs w:val="24"/>
          <w:lang w:eastAsia="fr-FR"/>
        </w:rPr>
        <w:t>Contamine- Raynaud</w:t>
      </w:r>
      <w:r w:rsidRPr="00F634CD">
        <w:rPr>
          <w:rFonts w:asciiTheme="majorBidi" w:hAnsiTheme="majorBidi" w:cstheme="majorBidi"/>
          <w:kern w:val="24"/>
          <w:sz w:val="24"/>
          <w:szCs w:val="24"/>
          <w:lang w:eastAsia="fr-FR"/>
        </w:rPr>
        <w:t xml:space="preserve"> Monique, « Le droit bancaire », Edition Dalloz, 6° ED, 1995, 805 p.</w:t>
      </w:r>
    </w:p>
    <w:p w14:paraId="22A60B2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eastAsia="fr-FR"/>
        </w:rPr>
        <w:t>Roncalli</w:t>
      </w:r>
      <w:r w:rsidRPr="00F634CD">
        <w:rPr>
          <w:rFonts w:asciiTheme="majorBidi" w:hAnsiTheme="majorBidi" w:cstheme="majorBidi"/>
          <w:kern w:val="24"/>
          <w:sz w:val="24"/>
          <w:szCs w:val="24"/>
          <w:lang w:eastAsia="fr-FR"/>
        </w:rPr>
        <w:t xml:space="preserve"> Thierry, « Introduction à la gestion des risques », Notes de cours, Groupe Crédit Lyonnais, 2001, 185 p.</w:t>
      </w:r>
    </w:p>
    <w:p w14:paraId="5706175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Rubinstein</w:t>
      </w:r>
      <w:r w:rsidRPr="00F634CD">
        <w:rPr>
          <w:rFonts w:asciiTheme="majorBidi" w:hAnsiTheme="majorBidi" w:cstheme="majorBidi"/>
          <w:kern w:val="24"/>
          <w:sz w:val="24"/>
          <w:szCs w:val="24"/>
          <w:lang w:val="en-GB"/>
        </w:rPr>
        <w:t xml:space="preserve"> Mark, « A history of the theory of investments », Hoboken, John Wiley &amp; Son, 2006, 370 p.</w:t>
      </w:r>
    </w:p>
    <w:p w14:paraId="1FB9D4A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Ruimy</w:t>
      </w:r>
      <w:r w:rsidRPr="00F634CD">
        <w:rPr>
          <w:rFonts w:asciiTheme="majorBidi" w:hAnsiTheme="majorBidi" w:cstheme="majorBidi"/>
          <w:kern w:val="24"/>
          <w:sz w:val="24"/>
          <w:szCs w:val="24"/>
        </w:rPr>
        <w:t xml:space="preserve"> Michel, « La finance islamique », Ed. SEFI : Collection « Finance d’aujourd’hui », Québec-Canada, 2008, 216 p.</w:t>
      </w:r>
    </w:p>
    <w:p w14:paraId="371FA3B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Sardi</w:t>
      </w:r>
      <w:r w:rsidRPr="00F634CD">
        <w:rPr>
          <w:rFonts w:asciiTheme="majorBidi" w:hAnsiTheme="majorBidi" w:cstheme="majorBidi"/>
          <w:kern w:val="24"/>
          <w:sz w:val="24"/>
          <w:szCs w:val="24"/>
        </w:rPr>
        <w:t xml:space="preserve"> Antoine, « Pratiques de la comptabilité bancaire », Edition </w:t>
      </w:r>
      <w:r w:rsidRPr="00F634CD">
        <w:rPr>
          <w:rFonts w:asciiTheme="majorBidi" w:hAnsiTheme="majorBidi" w:cstheme="majorBidi"/>
          <w:kern w:val="24"/>
          <w:sz w:val="24"/>
          <w:szCs w:val="24"/>
          <w:shd w:val="clear" w:color="auto" w:fill="FFFFFF"/>
        </w:rPr>
        <w:t>AFGES, 2005, 1420 p.</w:t>
      </w:r>
    </w:p>
    <w:p w14:paraId="53D7B0C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Saunders</w:t>
      </w:r>
      <w:r w:rsidRPr="00F634CD">
        <w:rPr>
          <w:rFonts w:asciiTheme="majorBidi" w:hAnsiTheme="majorBidi" w:cstheme="majorBidi"/>
          <w:kern w:val="24"/>
          <w:sz w:val="24"/>
          <w:szCs w:val="24"/>
          <w:lang w:val="en-GB"/>
        </w:rPr>
        <w:t xml:space="preserve"> Mark</w:t>
      </w:r>
      <w:r w:rsidRPr="00F634CD">
        <w:rPr>
          <w:rFonts w:asciiTheme="majorBidi" w:hAnsiTheme="majorBidi" w:cstheme="majorBidi"/>
          <w:smallCaps/>
          <w:kern w:val="24"/>
          <w:sz w:val="24"/>
          <w:szCs w:val="24"/>
          <w:lang w:val="en-GB"/>
        </w:rPr>
        <w:t>, Lewis</w:t>
      </w:r>
      <w:r w:rsidRPr="00F634CD">
        <w:rPr>
          <w:rFonts w:asciiTheme="majorBidi" w:hAnsiTheme="majorBidi" w:cstheme="majorBidi"/>
          <w:kern w:val="24"/>
          <w:sz w:val="24"/>
          <w:szCs w:val="24"/>
          <w:lang w:val="en-GB"/>
        </w:rPr>
        <w:t xml:space="preserve"> Philip and </w:t>
      </w:r>
      <w:r w:rsidRPr="00F634CD">
        <w:rPr>
          <w:rFonts w:asciiTheme="majorBidi" w:hAnsiTheme="majorBidi" w:cstheme="majorBidi"/>
          <w:smallCaps/>
          <w:kern w:val="24"/>
          <w:sz w:val="24"/>
          <w:szCs w:val="24"/>
          <w:lang w:val="en-GB"/>
        </w:rPr>
        <w:t>Thornhill</w:t>
      </w:r>
      <w:r w:rsidRPr="00F634CD">
        <w:rPr>
          <w:rFonts w:asciiTheme="majorBidi" w:hAnsiTheme="majorBidi" w:cstheme="majorBidi"/>
          <w:kern w:val="24"/>
          <w:sz w:val="24"/>
          <w:szCs w:val="24"/>
          <w:lang w:val="en-GB"/>
        </w:rPr>
        <w:t xml:space="preserve"> Adrian, “Research methods for business students”, 4th edition London, Prentice Hall, 2007, 614 p.</w:t>
      </w:r>
    </w:p>
    <w:p w14:paraId="14A52586" w14:textId="3BB49816"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Shanmugam</w:t>
      </w:r>
      <w:r w:rsidRPr="00F634CD">
        <w:rPr>
          <w:rFonts w:asciiTheme="majorBidi" w:hAnsiTheme="majorBidi" w:cstheme="majorBidi"/>
          <w:kern w:val="24"/>
          <w:sz w:val="24"/>
          <w:szCs w:val="24"/>
          <w:lang w:val="en-US" w:eastAsia="fr-FR"/>
        </w:rPr>
        <w:t xml:space="preserve"> Bala and </w:t>
      </w:r>
      <w:r w:rsidRPr="00F634CD">
        <w:rPr>
          <w:rFonts w:asciiTheme="majorBidi" w:hAnsiTheme="majorBidi" w:cstheme="majorBidi"/>
          <w:smallCaps/>
          <w:kern w:val="24"/>
          <w:sz w:val="24"/>
          <w:szCs w:val="24"/>
          <w:lang w:val="en-US" w:eastAsia="fr-FR"/>
        </w:rPr>
        <w:t>Zahari</w:t>
      </w:r>
      <w:r w:rsidRPr="00F634CD">
        <w:rPr>
          <w:rFonts w:asciiTheme="majorBidi" w:hAnsiTheme="majorBidi" w:cstheme="majorBidi"/>
          <w:kern w:val="24"/>
          <w:sz w:val="24"/>
          <w:szCs w:val="24"/>
          <w:lang w:val="en-US" w:eastAsia="fr-FR"/>
        </w:rPr>
        <w:t xml:space="preserve"> Zahra Rina, “A primer on </w:t>
      </w:r>
      <w:r w:rsidR="00306997"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finance”, The Research Foundation of CFA Institute, 2009, 121 p.</w:t>
      </w:r>
    </w:p>
    <w:p w14:paraId="1E9D42C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Siagh</w:t>
      </w:r>
      <w:r w:rsidRPr="00F634CD">
        <w:rPr>
          <w:rFonts w:asciiTheme="majorBidi" w:hAnsiTheme="majorBidi" w:cstheme="majorBidi"/>
          <w:kern w:val="24"/>
          <w:sz w:val="24"/>
          <w:szCs w:val="24"/>
        </w:rPr>
        <w:t xml:space="preserve"> Lachemi, « L’islam et le monde des affaires », Ed. d’Organisation, 2003, 416 p.</w:t>
      </w:r>
    </w:p>
    <w:p w14:paraId="121674A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Siddiki</w:t>
      </w:r>
      <w:r w:rsidRPr="00F634CD">
        <w:rPr>
          <w:rFonts w:asciiTheme="majorBidi" w:hAnsiTheme="majorBidi" w:cstheme="majorBidi"/>
          <w:kern w:val="24"/>
          <w:sz w:val="24"/>
          <w:szCs w:val="24"/>
          <w:lang w:val="en-GB"/>
        </w:rPr>
        <w:t xml:space="preserve"> Muhammad Nejatullah, “Muslim Economic Thinking: A survey of Contemporary Literature”, International Center for Research in Islamic Economics, King Abdel Aziz University, 1987, 130 p.</w:t>
      </w:r>
    </w:p>
    <w:p w14:paraId="0285E74A"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Siddiqi</w:t>
      </w:r>
      <w:r w:rsidRPr="00F634CD">
        <w:rPr>
          <w:rFonts w:asciiTheme="majorBidi" w:hAnsiTheme="majorBidi" w:cstheme="majorBidi"/>
          <w:kern w:val="24"/>
          <w:sz w:val="24"/>
          <w:szCs w:val="24"/>
          <w:lang w:val="en-US"/>
        </w:rPr>
        <w:t xml:space="preserve"> Muhammad Nejatullah, “Issues in Islamic Banking”, Selected Papers, Leicester, UK: The Islamic Foundation, 1994, 152 p.</w:t>
      </w:r>
    </w:p>
    <w:p w14:paraId="6606B355"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 xml:space="preserve">Siddiqi </w:t>
      </w:r>
      <w:r w:rsidRPr="00F634CD">
        <w:rPr>
          <w:rFonts w:asciiTheme="majorBidi" w:hAnsiTheme="majorBidi" w:cstheme="majorBidi"/>
          <w:kern w:val="24"/>
          <w:sz w:val="24"/>
          <w:szCs w:val="24"/>
          <w:lang w:val="en-GB"/>
        </w:rPr>
        <w:t>Muhammad Nejatullah</w:t>
      </w:r>
      <w:r w:rsidRPr="00F634CD">
        <w:rPr>
          <w:rFonts w:asciiTheme="majorBidi" w:hAnsiTheme="majorBidi" w:cstheme="majorBidi"/>
          <w:kern w:val="24"/>
          <w:sz w:val="24"/>
          <w:szCs w:val="24"/>
          <w:lang w:val="en-US" w:eastAsia="fr-FR"/>
        </w:rPr>
        <w:t>, “Riba, bank interest and the rationale of its prohibition”, Cahier de recherche, Islamic Development Bank, Islamic Research and Training Institute, 2004, 162 p.</w:t>
      </w:r>
    </w:p>
    <w:p w14:paraId="2A1ABF97" w14:textId="7500E745"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Siddiki</w:t>
      </w:r>
      <w:r w:rsidRPr="00F634CD">
        <w:rPr>
          <w:rFonts w:asciiTheme="majorBidi" w:hAnsiTheme="majorBidi" w:cstheme="majorBidi"/>
          <w:kern w:val="24"/>
          <w:sz w:val="24"/>
          <w:szCs w:val="24"/>
          <w:lang w:val="en-GB"/>
        </w:rPr>
        <w:t xml:space="preserve"> Muhammad Nejatullah, “Methodology of </w:t>
      </w:r>
      <w:r w:rsidR="00306997" w:rsidRPr="00F634CD">
        <w:rPr>
          <w:rFonts w:asciiTheme="majorBidi" w:hAnsiTheme="majorBidi" w:cstheme="majorBidi"/>
          <w:kern w:val="24"/>
          <w:sz w:val="24"/>
          <w:szCs w:val="24"/>
          <w:lang w:val="en-GB"/>
        </w:rPr>
        <w:t>Islamic</w:t>
      </w:r>
      <w:r w:rsidRPr="00F634CD">
        <w:rPr>
          <w:rFonts w:asciiTheme="majorBidi" w:hAnsiTheme="majorBidi" w:cstheme="majorBidi"/>
          <w:kern w:val="24"/>
          <w:sz w:val="24"/>
          <w:szCs w:val="24"/>
          <w:lang w:val="en-GB"/>
        </w:rPr>
        <w:t xml:space="preserve"> economics”, edited by M. Kabir Hassan and Mervyn K. Lewis, 2014, 720 p.</w:t>
      </w:r>
    </w:p>
    <w:p w14:paraId="5F34CA10" w14:textId="48B0FA5A"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US" w:eastAsia="fr-FR"/>
        </w:rPr>
        <w:t>Sundararajan</w:t>
      </w:r>
      <w:r w:rsidRPr="00F634CD">
        <w:rPr>
          <w:rFonts w:asciiTheme="majorBidi" w:hAnsiTheme="majorBidi" w:cstheme="majorBidi"/>
          <w:kern w:val="24"/>
          <w:sz w:val="24"/>
          <w:szCs w:val="24"/>
          <w:lang w:val="en-US" w:eastAsia="fr-FR"/>
        </w:rPr>
        <w:t xml:space="preserve"> Vasudevan,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GB" w:eastAsia="fr-FR"/>
        </w:rPr>
        <w:t xml:space="preserve">Risk characteristics of </w:t>
      </w:r>
      <w:r w:rsidR="00306997" w:rsidRPr="00F634CD">
        <w:rPr>
          <w:rFonts w:asciiTheme="majorBidi" w:hAnsiTheme="majorBidi" w:cstheme="majorBidi"/>
          <w:kern w:val="24"/>
          <w:sz w:val="24"/>
          <w:szCs w:val="24"/>
          <w:lang w:val="en-GB" w:eastAsia="fr-FR"/>
        </w:rPr>
        <w:t>Islamic</w:t>
      </w:r>
      <w:r w:rsidRPr="00F634CD">
        <w:rPr>
          <w:rFonts w:asciiTheme="majorBidi" w:hAnsiTheme="majorBidi" w:cstheme="majorBidi"/>
          <w:kern w:val="24"/>
          <w:sz w:val="24"/>
          <w:szCs w:val="24"/>
          <w:lang w:val="en-GB" w:eastAsia="fr-FR"/>
        </w:rPr>
        <w:t xml:space="preserve"> product: implications for risk measurements and supervision”, WILEY &amp; SONS Edition, 2007, 450 p.</w:t>
      </w:r>
    </w:p>
    <w:p w14:paraId="0738A939" w14:textId="77777777" w:rsidR="00A42833" w:rsidRPr="00F634CD" w:rsidRDefault="00A42833" w:rsidP="00621FA2">
      <w:pPr>
        <w:tabs>
          <w:tab w:val="left" w:pos="0"/>
          <w:tab w:val="left" w:pos="284"/>
        </w:tabs>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Thépaut</w:t>
      </w:r>
      <w:r w:rsidRPr="00F634CD">
        <w:rPr>
          <w:rFonts w:asciiTheme="majorBidi" w:hAnsiTheme="majorBidi" w:cstheme="majorBidi"/>
          <w:kern w:val="24"/>
          <w:sz w:val="24"/>
          <w:szCs w:val="24"/>
        </w:rPr>
        <w:t xml:space="preserve"> Yves, « Pouvoir, information, économie », Economica, 2002, 375 p.</w:t>
      </w:r>
    </w:p>
    <w:p w14:paraId="23C0A848" w14:textId="25A84148"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Usmani</w:t>
      </w:r>
      <w:r w:rsidRPr="00F634CD">
        <w:rPr>
          <w:rFonts w:asciiTheme="majorBidi" w:hAnsiTheme="majorBidi" w:cstheme="majorBidi"/>
          <w:kern w:val="24"/>
          <w:sz w:val="24"/>
          <w:szCs w:val="24"/>
          <w:lang w:val="en-US"/>
        </w:rPr>
        <w:t xml:space="preserve"> Muhammad I, “</w:t>
      </w:r>
      <w:r w:rsidRPr="00F634CD">
        <w:rPr>
          <w:rFonts w:asciiTheme="majorBidi" w:hAnsiTheme="majorBidi" w:cstheme="majorBidi"/>
          <w:kern w:val="24"/>
          <w:sz w:val="24"/>
          <w:szCs w:val="24"/>
          <w:lang w:val="en-GB"/>
        </w:rPr>
        <w:t xml:space="preserve">Meezan Bank's </w:t>
      </w:r>
      <w:r w:rsidRPr="00F634CD">
        <w:rPr>
          <w:rFonts w:asciiTheme="majorBidi" w:hAnsiTheme="majorBidi" w:cstheme="majorBidi"/>
          <w:kern w:val="24"/>
          <w:sz w:val="24"/>
          <w:szCs w:val="24"/>
          <w:lang w:val="en-US"/>
        </w:rPr>
        <w:t>Guide To Islamic Banking</w:t>
      </w:r>
      <w:r w:rsidR="00306997">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US"/>
        </w:rPr>
        <w:t>, Meezan Bank's,</w:t>
      </w:r>
      <w:r w:rsidRPr="00F634CD">
        <w:rPr>
          <w:rFonts w:asciiTheme="majorBidi" w:hAnsiTheme="majorBidi" w:cstheme="majorBidi"/>
          <w:i/>
          <w:iCs/>
          <w:kern w:val="24"/>
          <w:sz w:val="24"/>
          <w:szCs w:val="24"/>
          <w:lang w:val="en-US"/>
        </w:rPr>
        <w:t xml:space="preserve"> </w:t>
      </w:r>
      <w:r w:rsidRPr="00F634CD">
        <w:rPr>
          <w:rFonts w:asciiTheme="majorBidi" w:hAnsiTheme="majorBidi" w:cstheme="majorBidi"/>
          <w:kern w:val="24"/>
          <w:sz w:val="24"/>
          <w:szCs w:val="24"/>
          <w:lang w:val="en-US"/>
        </w:rPr>
        <w:t>Pakistan, Darul-Ishaat</w:t>
      </w:r>
      <w:r w:rsidRPr="00F634CD">
        <w:rPr>
          <w:rFonts w:asciiTheme="majorBidi" w:hAnsiTheme="majorBidi" w:cstheme="majorBidi"/>
          <w:kern w:val="24"/>
          <w:sz w:val="24"/>
          <w:szCs w:val="24"/>
          <w:lang w:val="en-US" w:eastAsia="fr-FR"/>
        </w:rPr>
        <w:t>, 2002, 217 p.</w:t>
      </w:r>
    </w:p>
    <w:p w14:paraId="31048AF4" w14:textId="0528D6BE"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Usmani</w:t>
      </w:r>
      <w:r w:rsidRPr="00F634CD">
        <w:rPr>
          <w:rFonts w:asciiTheme="majorBidi" w:hAnsiTheme="majorBidi" w:cstheme="majorBidi"/>
          <w:kern w:val="24"/>
          <w:sz w:val="24"/>
          <w:szCs w:val="24"/>
          <w:lang w:val="en-GB" w:eastAsia="fr-FR"/>
        </w:rPr>
        <w:t xml:space="preserve"> Muhammad Taqi,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eastAsia="fr-FR"/>
        </w:rPr>
        <w:t xml:space="preserve">An introduction to </w:t>
      </w:r>
      <w:r w:rsidR="00306997" w:rsidRPr="00F634CD">
        <w:rPr>
          <w:rFonts w:asciiTheme="majorBidi" w:hAnsiTheme="majorBidi" w:cstheme="majorBidi"/>
          <w:kern w:val="24"/>
          <w:sz w:val="24"/>
          <w:szCs w:val="24"/>
          <w:lang w:val="en-GB" w:eastAsia="fr-FR"/>
        </w:rPr>
        <w:t>Islamic</w:t>
      </w:r>
      <w:r w:rsidRPr="00F634CD">
        <w:rPr>
          <w:rFonts w:asciiTheme="majorBidi" w:hAnsiTheme="majorBidi" w:cstheme="majorBidi"/>
          <w:kern w:val="24"/>
          <w:sz w:val="24"/>
          <w:szCs w:val="24"/>
          <w:lang w:val="en-GB" w:eastAsia="fr-FR"/>
        </w:rPr>
        <w:t xml:space="preserve"> finance”, Kluwer Law International, The Hague: The Netherlands, 2002, 140 p. </w:t>
      </w:r>
    </w:p>
    <w:p w14:paraId="16538058"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US"/>
        </w:rPr>
      </w:pPr>
      <w:r w:rsidRPr="00F634CD">
        <w:rPr>
          <w:rFonts w:asciiTheme="majorBidi" w:hAnsiTheme="majorBidi" w:cstheme="majorBidi"/>
          <w:smallCaps/>
          <w:kern w:val="24"/>
          <w:sz w:val="24"/>
          <w:szCs w:val="24"/>
          <w:lang w:val="en-US"/>
        </w:rPr>
        <w:t>Vaughan</w:t>
      </w:r>
      <w:r w:rsidRPr="00F634CD">
        <w:rPr>
          <w:rFonts w:asciiTheme="majorBidi" w:hAnsiTheme="majorBidi" w:cstheme="majorBidi"/>
          <w:kern w:val="24"/>
          <w:sz w:val="24"/>
          <w:szCs w:val="24"/>
          <w:lang w:val="en-US"/>
        </w:rPr>
        <w:t xml:space="preserve"> Emmett. J, “Risk Management”, New York, John Wiley &amp; Sons, 1997, 832 p.</w:t>
      </w:r>
    </w:p>
    <w:p w14:paraId="1C6F714F"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Visser</w:t>
      </w:r>
      <w:r w:rsidRPr="00F634CD">
        <w:rPr>
          <w:rFonts w:asciiTheme="majorBidi" w:hAnsiTheme="majorBidi" w:cstheme="majorBidi"/>
          <w:kern w:val="24"/>
          <w:sz w:val="24"/>
          <w:szCs w:val="24"/>
          <w:lang w:val="en-US" w:eastAsia="fr-FR"/>
        </w:rPr>
        <w:t xml:space="preserve"> Hans, “Islamic finance: Principles and practice”, Edward Elgar Publishing Limited, 2009, 184 p.</w:t>
      </w:r>
    </w:p>
    <w:p w14:paraId="7A5AA628"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Waseem</w:t>
      </w:r>
      <w:r w:rsidRPr="00F634CD">
        <w:rPr>
          <w:rFonts w:asciiTheme="majorBidi" w:hAnsiTheme="majorBidi" w:cstheme="majorBidi"/>
          <w:kern w:val="24"/>
          <w:sz w:val="24"/>
          <w:szCs w:val="24"/>
          <w:lang w:val="en-US"/>
        </w:rPr>
        <w:t xml:space="preserve"> Ahmad, </w:t>
      </w:r>
      <w:r w:rsidRPr="00F634CD">
        <w:rPr>
          <w:rFonts w:asciiTheme="majorBidi" w:eastAsia="Times New Roman" w:hAnsiTheme="majorBidi" w:cstheme="majorBidi"/>
          <w:kern w:val="24"/>
          <w:sz w:val="24"/>
          <w:szCs w:val="24"/>
          <w:lang w:val="en-GB" w:eastAsia="fr-FR"/>
        </w:rPr>
        <w:t>“Islamic Banking in the United Kingdom: Opportunities and Challenges</w:t>
      </w:r>
      <w:r w:rsidRPr="00F634CD">
        <w:rPr>
          <w:rFonts w:asciiTheme="majorBidi" w:hAnsiTheme="majorBidi" w:cstheme="majorBidi"/>
          <w:kern w:val="24"/>
          <w:sz w:val="24"/>
          <w:szCs w:val="24"/>
          <w:lang w:val="en-US"/>
        </w:rPr>
        <w:t xml:space="preserve">”, Kingston Business </w:t>
      </w:r>
      <w:r w:rsidRPr="00F634CD">
        <w:rPr>
          <w:rFonts w:asciiTheme="majorBidi" w:eastAsia="Times New Roman" w:hAnsiTheme="majorBidi" w:cstheme="majorBidi"/>
          <w:kern w:val="24"/>
          <w:sz w:val="24"/>
          <w:szCs w:val="24"/>
          <w:lang w:val="en-GB" w:eastAsia="fr-FR"/>
        </w:rPr>
        <w:t>School: Kingston University, London Msc Accounting and Finance</w:t>
      </w:r>
      <w:r w:rsidRPr="00F634CD">
        <w:rPr>
          <w:rFonts w:asciiTheme="majorBidi" w:hAnsiTheme="majorBidi" w:cstheme="majorBidi"/>
          <w:kern w:val="24"/>
          <w:sz w:val="24"/>
          <w:szCs w:val="24"/>
          <w:lang w:val="en-US"/>
        </w:rPr>
        <w:t xml:space="preserve">, </w:t>
      </w:r>
      <w:r w:rsidRPr="00F634CD">
        <w:rPr>
          <w:rFonts w:asciiTheme="majorBidi" w:eastAsia="Times New Roman" w:hAnsiTheme="majorBidi" w:cstheme="majorBidi"/>
          <w:kern w:val="24"/>
          <w:sz w:val="24"/>
          <w:szCs w:val="24"/>
          <w:lang w:val="en-GB" w:eastAsia="fr-FR"/>
        </w:rPr>
        <w:t>London Dated: 6th October 2008</w:t>
      </w:r>
      <w:r w:rsidRPr="00F634CD">
        <w:rPr>
          <w:rFonts w:asciiTheme="majorBidi" w:hAnsiTheme="majorBidi" w:cstheme="majorBidi"/>
          <w:kern w:val="24"/>
          <w:sz w:val="24"/>
          <w:szCs w:val="24"/>
          <w:lang w:val="en-US"/>
        </w:rPr>
        <w:t xml:space="preserve">, 2008, </w:t>
      </w:r>
      <w:r w:rsidRPr="00F634CD">
        <w:rPr>
          <w:rFonts w:asciiTheme="majorBidi" w:hAnsiTheme="majorBidi" w:cstheme="majorBidi"/>
          <w:kern w:val="24"/>
          <w:sz w:val="24"/>
          <w:szCs w:val="24"/>
          <w:lang w:val="en-US" w:eastAsia="fr-FR"/>
        </w:rPr>
        <w:t>113 p.</w:t>
      </w:r>
    </w:p>
    <w:p w14:paraId="02A55129"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Wellhoff</w:t>
      </w:r>
      <w:r w:rsidRPr="00F634CD">
        <w:rPr>
          <w:rFonts w:asciiTheme="majorBidi" w:hAnsiTheme="majorBidi" w:cstheme="majorBidi"/>
          <w:kern w:val="24"/>
          <w:sz w:val="24"/>
          <w:szCs w:val="24"/>
        </w:rPr>
        <w:t xml:space="preserve"> Thierry, « Les valeurs : donner du sens, guider la communication, construire la réputation », Eyrolles, Ed d’Organisations, 2009, 198 p.</w:t>
      </w:r>
    </w:p>
    <w:p w14:paraId="1B27327E"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GB"/>
        </w:rPr>
      </w:pPr>
      <w:r w:rsidRPr="00F634CD">
        <w:rPr>
          <w:rFonts w:asciiTheme="majorBidi" w:hAnsiTheme="majorBidi" w:cstheme="majorBidi"/>
          <w:smallCaps/>
          <w:color w:val="auto"/>
          <w:kern w:val="24"/>
          <w:lang w:val="en-US"/>
        </w:rPr>
        <w:t>William</w:t>
      </w:r>
      <w:r w:rsidRPr="00F634CD">
        <w:rPr>
          <w:rFonts w:asciiTheme="majorBidi" w:hAnsiTheme="majorBidi" w:cstheme="majorBidi"/>
          <w:color w:val="auto"/>
          <w:kern w:val="24"/>
          <w:lang w:val="en-US"/>
        </w:rPr>
        <w:t xml:space="preserve"> Arthur C, </w:t>
      </w:r>
      <w:r w:rsidRPr="00F634CD">
        <w:rPr>
          <w:rFonts w:asciiTheme="majorBidi" w:hAnsiTheme="majorBidi" w:cstheme="majorBidi"/>
          <w:smallCaps/>
          <w:color w:val="auto"/>
          <w:kern w:val="24"/>
          <w:lang w:val="en-US"/>
        </w:rPr>
        <w:t>Smith</w:t>
      </w:r>
      <w:r w:rsidRPr="00F634CD">
        <w:rPr>
          <w:rFonts w:asciiTheme="majorBidi" w:hAnsiTheme="majorBidi" w:cstheme="majorBidi"/>
          <w:color w:val="auto"/>
          <w:kern w:val="24"/>
          <w:lang w:val="en-US"/>
        </w:rPr>
        <w:t xml:space="preserve"> Michael I and </w:t>
      </w:r>
      <w:r w:rsidRPr="00F634CD">
        <w:rPr>
          <w:rFonts w:asciiTheme="majorBidi" w:hAnsiTheme="majorBidi" w:cstheme="majorBidi"/>
          <w:smallCaps/>
          <w:color w:val="auto"/>
          <w:kern w:val="24"/>
          <w:lang w:val="en-US"/>
        </w:rPr>
        <w:t>Young</w:t>
      </w:r>
      <w:r w:rsidRPr="00F634CD">
        <w:rPr>
          <w:rFonts w:asciiTheme="majorBidi" w:hAnsiTheme="majorBidi" w:cstheme="majorBidi"/>
          <w:color w:val="auto"/>
          <w:kern w:val="24"/>
          <w:lang w:val="en-US"/>
        </w:rPr>
        <w:t xml:space="preserve"> Peter C, “Risk management and insurance”, Irwin Mc Graw Hill, 1998, 702 p.</w:t>
      </w:r>
    </w:p>
    <w:p w14:paraId="49C8BFC7" w14:textId="77777777" w:rsidR="00A42833" w:rsidRPr="00F634CD" w:rsidRDefault="00A42833" w:rsidP="00621FA2">
      <w:pPr>
        <w:tabs>
          <w:tab w:val="left" w:pos="0"/>
          <w:tab w:val="left" w:pos="284"/>
        </w:tabs>
        <w:autoSpaceDE w:val="0"/>
        <w:autoSpaceDN w:val="0"/>
        <w:adjustRightInd w:val="0"/>
        <w:spacing w:before="120" w:after="120"/>
        <w:rPr>
          <w:rFonts w:asciiTheme="majorBidi" w:hAnsiTheme="majorBidi" w:cstheme="majorBidi"/>
          <w:kern w:val="24"/>
          <w:sz w:val="24"/>
          <w:szCs w:val="24"/>
          <w:lang w:val="en-GB"/>
        </w:rPr>
      </w:pPr>
      <w:r w:rsidRPr="00F634CD">
        <w:rPr>
          <w:rFonts w:asciiTheme="majorBidi" w:hAnsiTheme="majorBidi" w:cstheme="majorBidi"/>
          <w:b/>
          <w:kern w:val="24"/>
          <w:sz w:val="24"/>
          <w:szCs w:val="24"/>
          <w:lang w:val="en-GB"/>
        </w:rPr>
        <w:sym w:font="Wingdings" w:char="F034"/>
      </w:r>
      <w:r w:rsidRPr="00F634CD">
        <w:rPr>
          <w:rFonts w:asciiTheme="majorBidi" w:hAnsiTheme="majorBidi" w:cstheme="majorBidi"/>
          <w:b/>
          <w:kern w:val="24"/>
          <w:sz w:val="24"/>
          <w:szCs w:val="24"/>
          <w:lang w:val="en-GB"/>
        </w:rPr>
        <w:t xml:space="preserve"> Articles</w:t>
      </w:r>
    </w:p>
    <w:p w14:paraId="35720205" w14:textId="67BEFDB5"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Abdalla</w:t>
      </w:r>
      <w:r w:rsidRPr="00F634CD">
        <w:rPr>
          <w:rFonts w:asciiTheme="majorBidi" w:hAnsiTheme="majorBidi" w:cstheme="majorBidi"/>
          <w:kern w:val="24"/>
          <w:sz w:val="24"/>
          <w:szCs w:val="24"/>
          <w:lang w:val="en-US" w:eastAsia="fr-FR"/>
        </w:rPr>
        <w:t xml:space="preserve"> Mustafa Gamal-Eldin, “Partnership (</w:t>
      </w:r>
      <w:r w:rsidRPr="0049460C">
        <w:rPr>
          <w:rFonts w:asciiTheme="majorBidi" w:hAnsiTheme="majorBidi" w:cstheme="majorBidi"/>
          <w:i/>
          <w:iCs/>
          <w:kern w:val="24"/>
          <w:sz w:val="24"/>
          <w:szCs w:val="24"/>
          <w:lang w:val="en-US" w:eastAsia="fr-FR"/>
        </w:rPr>
        <w:t>Musharakah</w:t>
      </w:r>
      <w:r w:rsidRPr="00F634CD">
        <w:rPr>
          <w:rFonts w:asciiTheme="majorBidi" w:hAnsiTheme="majorBidi" w:cstheme="majorBidi"/>
          <w:kern w:val="24"/>
          <w:sz w:val="24"/>
          <w:szCs w:val="24"/>
          <w:lang w:val="en-US" w:eastAsia="fr-FR"/>
        </w:rPr>
        <w:t xml:space="preserve">): A New Option for Financing Small Enterprises?”, Arab Law Quarterly, Vol. 14, N° 3, </w:t>
      </w:r>
      <w:r w:rsidR="00306997" w:rsidRPr="00F634CD">
        <w:rPr>
          <w:rFonts w:asciiTheme="majorBidi" w:hAnsiTheme="majorBidi" w:cstheme="majorBidi"/>
          <w:kern w:val="24"/>
          <w:sz w:val="24"/>
          <w:szCs w:val="24"/>
          <w:lang w:val="en-US" w:eastAsia="fr-FR"/>
        </w:rPr>
        <w:t>1999, pp.</w:t>
      </w:r>
      <w:r w:rsidRPr="00F634CD">
        <w:rPr>
          <w:rFonts w:asciiTheme="majorBidi" w:hAnsiTheme="majorBidi" w:cstheme="majorBidi"/>
          <w:kern w:val="24"/>
          <w:sz w:val="24"/>
          <w:szCs w:val="24"/>
          <w:lang w:val="en-US" w:eastAsia="fr-FR"/>
        </w:rPr>
        <w:t xml:space="preserve"> 257-267.</w:t>
      </w:r>
    </w:p>
    <w:p w14:paraId="71C453A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Abdel Karim</w:t>
      </w:r>
      <w:r w:rsidRPr="00F634CD">
        <w:rPr>
          <w:rFonts w:asciiTheme="majorBidi" w:hAnsiTheme="majorBidi" w:cstheme="majorBidi"/>
          <w:kern w:val="24"/>
          <w:sz w:val="24"/>
          <w:szCs w:val="24"/>
          <w:lang w:val="en-US" w:eastAsia="fr-FR"/>
        </w:rPr>
        <w:t xml:space="preserve"> Rifaat Ahmed, “International accounting harmonization, banking regulation, and islamic banks”</w:t>
      </w:r>
      <w:r w:rsidRPr="00F634CD">
        <w:rPr>
          <w:rFonts w:asciiTheme="majorBidi" w:hAnsiTheme="majorBidi" w:cstheme="majorBidi"/>
          <w:kern w:val="24"/>
          <w:sz w:val="24"/>
          <w:szCs w:val="24"/>
          <w:lang w:val="en-US"/>
        </w:rPr>
        <w:t>, The international journal of accounting, 2001, pp. 169-193.</w:t>
      </w:r>
    </w:p>
    <w:p w14:paraId="13CA25B5"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Abdelhadi</w:t>
      </w:r>
      <w:r w:rsidRPr="00F634CD">
        <w:rPr>
          <w:rFonts w:asciiTheme="majorBidi" w:hAnsiTheme="majorBidi" w:cstheme="majorBidi"/>
          <w:kern w:val="24"/>
          <w:sz w:val="24"/>
          <w:szCs w:val="24"/>
        </w:rPr>
        <w:t xml:space="preserve"> Amar et </w:t>
      </w:r>
      <w:r w:rsidRPr="00F634CD">
        <w:rPr>
          <w:rFonts w:asciiTheme="majorBidi" w:hAnsiTheme="majorBidi" w:cstheme="majorBidi"/>
          <w:smallCaps/>
          <w:kern w:val="24"/>
          <w:sz w:val="24"/>
          <w:szCs w:val="24"/>
        </w:rPr>
        <w:t>Toubache</w:t>
      </w:r>
      <w:r w:rsidRPr="00F634CD">
        <w:rPr>
          <w:rFonts w:asciiTheme="majorBidi" w:hAnsiTheme="majorBidi" w:cstheme="majorBidi"/>
          <w:kern w:val="24"/>
          <w:sz w:val="24"/>
          <w:szCs w:val="24"/>
        </w:rPr>
        <w:t xml:space="preserve"> Ali, « Les enjeux de la finance islamique », 2</w:t>
      </w:r>
      <w:r w:rsidRPr="00F634CD">
        <w:rPr>
          <w:rFonts w:asciiTheme="majorBidi" w:hAnsiTheme="majorBidi" w:cstheme="majorBidi"/>
          <w:kern w:val="24"/>
          <w:sz w:val="24"/>
          <w:szCs w:val="24"/>
          <w:vertAlign w:val="superscript"/>
        </w:rPr>
        <w:t>ème</w:t>
      </w:r>
      <w:r w:rsidRPr="00F634CD">
        <w:rPr>
          <w:rFonts w:asciiTheme="majorBidi" w:hAnsiTheme="majorBidi" w:cstheme="majorBidi"/>
          <w:kern w:val="24"/>
          <w:sz w:val="24"/>
          <w:szCs w:val="24"/>
        </w:rPr>
        <w:t xml:space="preserve"> séminaire international sur la crise financière actuelle et les alternatives financières, Faculté de Khemis Meliana, Algérie, 2009, 17 p.</w:t>
      </w:r>
    </w:p>
    <w:p w14:paraId="19444B3A" w14:textId="77777777" w:rsidR="0049460C" w:rsidRDefault="00A42833" w:rsidP="00621FA2">
      <w:pPr>
        <w:tabs>
          <w:tab w:val="left" w:pos="0"/>
          <w:tab w:val="left" w:pos="284"/>
        </w:tabs>
        <w:autoSpaceDE w:val="0"/>
        <w:autoSpaceDN w:val="0"/>
        <w:adjustRightInd w:val="0"/>
        <w:spacing w:before="120"/>
        <w:rPr>
          <w:rFonts w:asciiTheme="majorBidi" w:hAnsiTheme="majorBidi" w:cstheme="majorBidi"/>
          <w:b/>
          <w:bCs/>
          <w:kern w:val="24"/>
          <w:sz w:val="24"/>
          <w:szCs w:val="24"/>
        </w:rPr>
      </w:pPr>
      <w:r w:rsidRPr="00F634CD">
        <w:rPr>
          <w:rStyle w:val="lev"/>
          <w:rFonts w:asciiTheme="majorBidi" w:hAnsiTheme="majorBidi" w:cstheme="majorBidi"/>
          <w:b w:val="0"/>
          <w:bCs w:val="0"/>
          <w:smallCaps/>
          <w:kern w:val="24"/>
          <w:sz w:val="24"/>
          <w:szCs w:val="24"/>
          <w:bdr w:val="none" w:sz="0" w:space="0" w:color="auto" w:frame="1"/>
          <w:shd w:val="clear" w:color="auto" w:fill="FFFFFF"/>
        </w:rPr>
        <w:t>Abdelrahmi</w:t>
      </w:r>
      <w:r w:rsidRPr="00F634CD">
        <w:rPr>
          <w:rStyle w:val="lev"/>
          <w:rFonts w:asciiTheme="majorBidi" w:hAnsiTheme="majorBidi" w:cstheme="majorBidi"/>
          <w:b w:val="0"/>
          <w:bCs w:val="0"/>
          <w:kern w:val="24"/>
          <w:sz w:val="24"/>
          <w:szCs w:val="24"/>
          <w:bdr w:val="none" w:sz="0" w:space="0" w:color="auto" w:frame="1"/>
          <w:shd w:val="clear" w:color="auto" w:fill="FFFFFF"/>
        </w:rPr>
        <w:t xml:space="preserve"> Bessaha,</w:t>
      </w:r>
      <w:r w:rsidRPr="00F634CD">
        <w:rPr>
          <w:rStyle w:val="lev"/>
          <w:rFonts w:asciiTheme="majorBidi" w:hAnsiTheme="majorBidi" w:cstheme="majorBidi"/>
          <w:kern w:val="24"/>
          <w:sz w:val="24"/>
          <w:szCs w:val="24"/>
          <w:bdr w:val="none" w:sz="0" w:space="0" w:color="auto" w:frame="1"/>
          <w:shd w:val="clear" w:color="auto" w:fill="FFFFFF"/>
        </w:rPr>
        <w:t xml:space="preserve"> « </w:t>
      </w:r>
      <w:r w:rsidRPr="00F634CD">
        <w:rPr>
          <w:rFonts w:asciiTheme="majorBidi" w:hAnsiTheme="majorBidi" w:cstheme="majorBidi"/>
          <w:kern w:val="24"/>
          <w:sz w:val="24"/>
          <w:szCs w:val="24"/>
        </w:rPr>
        <w:t>Finance islamique dans le monde et en Algérie</w:t>
      </w:r>
      <w:r w:rsidR="00F634CD">
        <w:rPr>
          <w:rFonts w:asciiTheme="majorBidi" w:hAnsiTheme="majorBidi" w:cstheme="majorBidi"/>
          <w:kern w:val="24"/>
          <w:sz w:val="24"/>
          <w:szCs w:val="24"/>
        </w:rPr>
        <w:t> :</w:t>
      </w:r>
      <w:r w:rsidRPr="00F634CD">
        <w:rPr>
          <w:rFonts w:asciiTheme="majorBidi" w:hAnsiTheme="majorBidi" w:cstheme="majorBidi"/>
          <w:kern w:val="24"/>
          <w:sz w:val="24"/>
          <w:szCs w:val="24"/>
        </w:rPr>
        <w:t xml:space="preserve"> Analyse macroéconomique et perspectives</w:t>
      </w:r>
      <w:r w:rsidRPr="00F634CD">
        <w:rPr>
          <w:rFonts w:asciiTheme="majorBidi" w:hAnsiTheme="majorBidi" w:cstheme="majorBidi"/>
          <w:b/>
          <w:bCs/>
          <w:kern w:val="24"/>
          <w:sz w:val="24"/>
          <w:szCs w:val="24"/>
        </w:rPr>
        <w:t xml:space="preserve"> », </w:t>
      </w:r>
      <w:r w:rsidRPr="00F634CD">
        <w:rPr>
          <w:rFonts w:asciiTheme="majorBidi" w:hAnsiTheme="majorBidi" w:cstheme="majorBidi"/>
          <w:kern w:val="24"/>
          <w:sz w:val="24"/>
          <w:szCs w:val="24"/>
        </w:rPr>
        <w:t>El</w:t>
      </w:r>
      <w:r w:rsidR="0049460C">
        <w:rPr>
          <w:rFonts w:asciiTheme="majorBidi" w:hAnsiTheme="majorBidi" w:cstheme="majorBidi"/>
          <w:kern w:val="24"/>
          <w:sz w:val="24"/>
          <w:szCs w:val="24"/>
        </w:rPr>
        <w:t>w</w:t>
      </w:r>
      <w:r w:rsidRPr="00F634CD">
        <w:rPr>
          <w:rFonts w:asciiTheme="majorBidi" w:hAnsiTheme="majorBidi" w:cstheme="majorBidi"/>
          <w:kern w:val="24"/>
          <w:sz w:val="24"/>
          <w:szCs w:val="24"/>
        </w:rPr>
        <w:t>atan, (11</w:t>
      </w:r>
      <w:r w:rsidR="00F634CD">
        <w:rPr>
          <w:rFonts w:asciiTheme="majorBidi" w:hAnsiTheme="majorBidi" w:cstheme="majorBidi"/>
          <w:kern w:val="24"/>
          <w:sz w:val="24"/>
          <w:szCs w:val="24"/>
        </w:rPr>
        <w:t>/4/</w:t>
      </w:r>
      <w:r w:rsidRPr="00F634CD">
        <w:rPr>
          <w:rFonts w:asciiTheme="majorBidi" w:hAnsiTheme="majorBidi" w:cstheme="majorBidi"/>
          <w:kern w:val="24"/>
          <w:sz w:val="24"/>
          <w:szCs w:val="24"/>
        </w:rPr>
        <w:t>2021), dans :</w:t>
      </w:r>
    </w:p>
    <w:p w14:paraId="4D1543EE" w14:textId="18B0578E" w:rsidR="00A42833" w:rsidRPr="00F634CD" w:rsidRDefault="00C40DAA" w:rsidP="0049460C">
      <w:pPr>
        <w:tabs>
          <w:tab w:val="left" w:pos="0"/>
          <w:tab w:val="left" w:pos="284"/>
        </w:tabs>
        <w:autoSpaceDE w:val="0"/>
        <w:autoSpaceDN w:val="0"/>
        <w:adjustRightInd w:val="0"/>
        <w:rPr>
          <w:rFonts w:asciiTheme="majorBidi" w:hAnsiTheme="majorBidi" w:cstheme="majorBidi"/>
          <w:b/>
          <w:bCs/>
          <w:kern w:val="24"/>
          <w:sz w:val="24"/>
          <w:szCs w:val="24"/>
          <w:lang w:eastAsia="fr-FR"/>
        </w:rPr>
      </w:pPr>
      <w:hyperlink r:id="rId76" w:history="1">
        <w:r w:rsidR="0049460C" w:rsidRPr="003F3440">
          <w:rPr>
            <w:rStyle w:val="Lienhypertexte"/>
            <w:rFonts w:asciiTheme="majorBidi" w:hAnsiTheme="majorBidi" w:cstheme="majorBidi"/>
            <w:spacing w:val="-2"/>
            <w:kern w:val="24"/>
            <w:sz w:val="24"/>
            <w:szCs w:val="24"/>
          </w:rPr>
          <w:t>https://www.elwatan.com/edition/contributions/finance-islamique-dans-le-monde-et-en-algerie-analyse-macroeconomique-et-perspectives-2e-partie-et-fin-11-04-2021</w:t>
        </w:r>
      </w:hyperlink>
      <w:r w:rsidR="0049460C">
        <w:rPr>
          <w:rStyle w:val="Lienhypertexte"/>
          <w:rFonts w:asciiTheme="majorBidi" w:hAnsiTheme="majorBidi" w:cstheme="majorBidi"/>
          <w:color w:val="auto"/>
          <w:spacing w:val="-2"/>
          <w:kern w:val="24"/>
          <w:sz w:val="24"/>
          <w:szCs w:val="24"/>
        </w:rPr>
        <w:t xml:space="preserve">, </w:t>
      </w:r>
      <w:r w:rsidR="00A42833" w:rsidRPr="00F634CD">
        <w:rPr>
          <w:rFonts w:asciiTheme="majorBidi" w:hAnsiTheme="majorBidi" w:cstheme="majorBidi"/>
          <w:spacing w:val="-2"/>
          <w:kern w:val="24"/>
          <w:sz w:val="24"/>
          <w:szCs w:val="24"/>
        </w:rPr>
        <w:t>consulté 15</w:t>
      </w:r>
      <w:r w:rsidR="00F634CD" w:rsidRPr="00F634CD">
        <w:rPr>
          <w:rFonts w:asciiTheme="majorBidi" w:hAnsiTheme="majorBidi" w:cstheme="majorBidi"/>
          <w:spacing w:val="-2"/>
          <w:kern w:val="24"/>
          <w:sz w:val="24"/>
          <w:szCs w:val="24"/>
        </w:rPr>
        <w:t>/07/</w:t>
      </w:r>
      <w:r w:rsidR="00A42833" w:rsidRPr="00F634CD">
        <w:rPr>
          <w:rFonts w:asciiTheme="majorBidi" w:hAnsiTheme="majorBidi" w:cstheme="majorBidi"/>
          <w:spacing w:val="-2"/>
          <w:kern w:val="24"/>
          <w:sz w:val="24"/>
          <w:szCs w:val="24"/>
        </w:rPr>
        <w:t>2021.</w:t>
      </w:r>
    </w:p>
    <w:p w14:paraId="43DBDD9F" w14:textId="77777777" w:rsidR="00A42833" w:rsidRPr="00F634CD" w:rsidRDefault="00A42833" w:rsidP="00621FA2">
      <w:pPr>
        <w:pStyle w:val="Sansinterligne"/>
        <w:tabs>
          <w:tab w:val="left" w:pos="0"/>
          <w:tab w:val="left" w:pos="284"/>
        </w:tabs>
        <w:spacing w:before="120" w:line="276" w:lineRule="auto"/>
        <w:rPr>
          <w:rFonts w:asciiTheme="majorBidi" w:hAnsiTheme="majorBidi" w:cstheme="majorBidi"/>
          <w:kern w:val="24"/>
          <w:sz w:val="24"/>
          <w:szCs w:val="24"/>
          <w:lang w:val="en-US"/>
        </w:rPr>
      </w:pPr>
      <w:r w:rsidRPr="00F634CD">
        <w:rPr>
          <w:rFonts w:asciiTheme="majorBidi" w:hAnsiTheme="majorBidi" w:cstheme="majorBidi"/>
          <w:smallCaps/>
          <w:kern w:val="24"/>
          <w:sz w:val="24"/>
          <w:szCs w:val="24"/>
          <w:lang w:val="en-US"/>
        </w:rPr>
        <w:t>Abdul Rais</w:t>
      </w:r>
      <w:r w:rsidRPr="00F634CD">
        <w:rPr>
          <w:rFonts w:asciiTheme="majorBidi" w:hAnsiTheme="majorBidi" w:cstheme="majorBidi"/>
          <w:kern w:val="24"/>
          <w:sz w:val="24"/>
          <w:szCs w:val="24"/>
          <w:lang w:val="en-US"/>
        </w:rPr>
        <w:t xml:space="preserve"> Abdul Majid, “Development of liquidity management instruments: Challenges and opportunities”, International Conference on Islamic Banking: Risk Management, Regulation and Supervision, Jakarta, Indonesia, 30 sept.- 2 oct. 2003.</w:t>
      </w:r>
    </w:p>
    <w:p w14:paraId="64D206A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Abedifar</w:t>
      </w:r>
      <w:r w:rsidRPr="00F634CD">
        <w:rPr>
          <w:rFonts w:asciiTheme="majorBidi" w:hAnsiTheme="majorBidi" w:cstheme="majorBidi"/>
          <w:kern w:val="24"/>
          <w:sz w:val="24"/>
          <w:szCs w:val="24"/>
          <w:lang w:val="en-US" w:eastAsia="fr-FR"/>
        </w:rPr>
        <w:t xml:space="preserve"> Pejman, </w:t>
      </w:r>
      <w:r w:rsidRPr="00F634CD">
        <w:rPr>
          <w:rFonts w:asciiTheme="majorBidi" w:hAnsiTheme="majorBidi" w:cstheme="majorBidi"/>
          <w:smallCaps/>
          <w:kern w:val="24"/>
          <w:sz w:val="24"/>
          <w:szCs w:val="24"/>
          <w:lang w:val="en-US" w:eastAsia="fr-FR"/>
        </w:rPr>
        <w:t>Molyneux</w:t>
      </w:r>
      <w:r w:rsidRPr="00F634CD">
        <w:rPr>
          <w:rFonts w:asciiTheme="majorBidi" w:hAnsiTheme="majorBidi" w:cstheme="majorBidi"/>
          <w:kern w:val="24"/>
          <w:sz w:val="24"/>
          <w:szCs w:val="24"/>
          <w:lang w:val="en-US" w:eastAsia="fr-FR"/>
        </w:rPr>
        <w:t xml:space="preserve"> Philip, </w:t>
      </w:r>
      <w:r w:rsidRPr="00F634CD">
        <w:rPr>
          <w:rFonts w:asciiTheme="majorBidi" w:hAnsiTheme="majorBidi" w:cstheme="majorBidi"/>
          <w:smallCaps/>
          <w:kern w:val="24"/>
          <w:sz w:val="24"/>
          <w:szCs w:val="24"/>
          <w:lang w:val="en-US" w:eastAsia="fr-FR"/>
        </w:rPr>
        <w:t>Taraza</w:t>
      </w:r>
      <w:r w:rsidRPr="00F634CD">
        <w:rPr>
          <w:rFonts w:asciiTheme="majorBidi" w:hAnsiTheme="majorBidi" w:cstheme="majorBidi"/>
          <w:kern w:val="24"/>
          <w:sz w:val="24"/>
          <w:szCs w:val="24"/>
          <w:lang w:val="en-US" w:eastAsia="fr-FR"/>
        </w:rPr>
        <w:t xml:space="preserve"> Amine, “Risk and Stability in Islamic Banking”</w:t>
      </w:r>
      <w:r w:rsidRPr="00F634CD">
        <w:rPr>
          <w:rFonts w:asciiTheme="majorBidi" w:hAnsiTheme="majorBidi" w:cstheme="majorBidi"/>
          <w:kern w:val="24"/>
          <w:sz w:val="24"/>
          <w:szCs w:val="24"/>
          <w:lang w:val="en-US"/>
        </w:rPr>
        <w:t xml:space="preserve">, </w:t>
      </w:r>
      <w:r w:rsidRPr="00F634CD">
        <w:rPr>
          <w:rFonts w:asciiTheme="majorBidi" w:hAnsiTheme="majorBidi" w:cstheme="majorBidi"/>
          <w:iCs/>
          <w:kern w:val="24"/>
          <w:sz w:val="24"/>
          <w:szCs w:val="24"/>
          <w:lang w:val="en-US"/>
        </w:rPr>
        <w:t xml:space="preserve">SSRN abstract= </w:t>
      </w:r>
      <w:r w:rsidRPr="00F634CD">
        <w:rPr>
          <w:rFonts w:asciiTheme="majorBidi" w:hAnsiTheme="majorBidi" w:cstheme="majorBidi"/>
          <w:kern w:val="24"/>
          <w:sz w:val="24"/>
          <w:szCs w:val="24"/>
          <w:lang w:val="en-US" w:eastAsia="fr-FR"/>
        </w:rPr>
        <w:t>1663406, 2011, 61 p.</w:t>
      </w:r>
    </w:p>
    <w:p w14:paraId="685567F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i/>
          <w:iCs/>
          <w:kern w:val="24"/>
          <w:sz w:val="24"/>
          <w:szCs w:val="24"/>
          <w:lang w:eastAsia="fr-FR"/>
        </w:rPr>
      </w:pPr>
      <w:r w:rsidRPr="00F634CD">
        <w:rPr>
          <w:rFonts w:asciiTheme="majorBidi" w:hAnsiTheme="majorBidi" w:cstheme="majorBidi"/>
          <w:smallCaps/>
          <w:kern w:val="24"/>
          <w:sz w:val="24"/>
          <w:szCs w:val="24"/>
        </w:rPr>
        <w:t>Aberkane</w:t>
      </w:r>
      <w:r w:rsidRPr="00F634CD">
        <w:rPr>
          <w:rFonts w:asciiTheme="majorBidi" w:hAnsiTheme="majorBidi" w:cstheme="majorBidi"/>
          <w:kern w:val="24"/>
          <w:sz w:val="24"/>
          <w:szCs w:val="24"/>
        </w:rPr>
        <w:t xml:space="preserve"> Salah, « Moudaraba ; analyse comparative », Cahier de la finance islamique, N° spécial, 2015, pp. 22-40.</w:t>
      </w:r>
    </w:p>
    <w:p w14:paraId="2F816264" w14:textId="7B17C7C3"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Abu-Tapanjeh</w:t>
      </w:r>
      <w:r w:rsidRPr="00F634CD">
        <w:rPr>
          <w:rFonts w:asciiTheme="majorBidi" w:hAnsiTheme="majorBidi" w:cstheme="majorBidi"/>
          <w:kern w:val="24"/>
          <w:sz w:val="24"/>
          <w:szCs w:val="24"/>
          <w:lang w:val="en-US" w:eastAsia="fr-FR"/>
        </w:rPr>
        <w:t xml:space="preserve"> Abdussalam Mahmoud, “Corporate governance from the </w:t>
      </w:r>
      <w:r w:rsidR="00306997"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perspective: A comparative analysis with OECD principles”, Critical Perspectives on Accounting, Elsevier, 2009, 556- 567.</w:t>
      </w:r>
    </w:p>
    <w:p w14:paraId="11A86801" w14:textId="564682D8"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 xml:space="preserve">Ahmad </w:t>
      </w:r>
      <w:r w:rsidRPr="00F634CD">
        <w:rPr>
          <w:rFonts w:asciiTheme="majorBidi" w:hAnsiTheme="majorBidi" w:cstheme="majorBidi"/>
          <w:kern w:val="24"/>
          <w:sz w:val="24"/>
          <w:szCs w:val="24"/>
          <w:lang w:val="en-GB"/>
        </w:rPr>
        <w:t xml:space="preserve">Shaikh Mahmoud,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GB"/>
        </w:rPr>
        <w:t xml:space="preserve">Economics of </w:t>
      </w:r>
      <w:r w:rsidR="00306997" w:rsidRPr="00F634CD">
        <w:rPr>
          <w:rFonts w:asciiTheme="majorBidi" w:hAnsiTheme="majorBidi" w:cstheme="majorBidi"/>
          <w:kern w:val="24"/>
          <w:sz w:val="24"/>
          <w:szCs w:val="24"/>
          <w:lang w:val="en-GB"/>
        </w:rPr>
        <w:t>Islam</w:t>
      </w:r>
      <w:r w:rsidRPr="00F634CD">
        <w:rPr>
          <w:rFonts w:asciiTheme="majorBidi" w:hAnsiTheme="majorBidi" w:cstheme="majorBidi"/>
          <w:kern w:val="24"/>
          <w:sz w:val="24"/>
          <w:szCs w:val="24"/>
          <w:lang w:val="en-GB"/>
        </w:rPr>
        <w:t>”, Lahore, Sh. M. Ashraf, 1947.</w:t>
      </w:r>
    </w:p>
    <w:p w14:paraId="04AAA165" w14:textId="77777777" w:rsidR="00A42833" w:rsidRPr="00F634CD" w:rsidRDefault="00A42833" w:rsidP="00621FA2">
      <w:pPr>
        <w:shd w:val="clear" w:color="auto" w:fill="FFFFFF"/>
        <w:tabs>
          <w:tab w:val="left" w:pos="0"/>
          <w:tab w:val="left" w:pos="284"/>
        </w:tabs>
        <w:spacing w:before="120"/>
        <w:rPr>
          <w:rFonts w:asciiTheme="majorBidi" w:eastAsia="Times New Roman" w:hAnsiTheme="majorBidi" w:cstheme="majorBidi"/>
          <w:kern w:val="24"/>
          <w:sz w:val="24"/>
          <w:szCs w:val="24"/>
          <w:lang w:val="en-US" w:eastAsia="fr-FR"/>
        </w:rPr>
      </w:pPr>
      <w:bookmarkStart w:id="1857" w:name="_Hlk530604586"/>
      <w:r w:rsidRPr="00F634CD">
        <w:rPr>
          <w:rFonts w:asciiTheme="majorBidi" w:eastAsia="Times New Roman" w:hAnsiTheme="majorBidi" w:cstheme="majorBidi"/>
          <w:smallCaps/>
          <w:kern w:val="24"/>
          <w:sz w:val="24"/>
          <w:szCs w:val="24"/>
          <w:lang w:val="en-US" w:eastAsia="fr-FR"/>
        </w:rPr>
        <w:t>Aglietta</w:t>
      </w:r>
      <w:r w:rsidRPr="00F634CD">
        <w:rPr>
          <w:rFonts w:asciiTheme="majorBidi" w:eastAsia="Times New Roman" w:hAnsiTheme="majorBidi" w:cstheme="majorBidi"/>
          <w:kern w:val="24"/>
          <w:sz w:val="24"/>
          <w:szCs w:val="24"/>
          <w:lang w:val="en-US" w:eastAsia="fr-FR"/>
        </w:rPr>
        <w:t xml:space="preserve"> Michel et </w:t>
      </w:r>
      <w:r w:rsidRPr="00F634CD">
        <w:rPr>
          <w:rFonts w:asciiTheme="majorBidi" w:eastAsia="Times New Roman" w:hAnsiTheme="majorBidi" w:cstheme="majorBidi"/>
          <w:smallCaps/>
          <w:kern w:val="24"/>
          <w:sz w:val="24"/>
          <w:szCs w:val="24"/>
          <w:lang w:val="en-US" w:eastAsia="fr-FR"/>
        </w:rPr>
        <w:t xml:space="preserve">Réberioux </w:t>
      </w:r>
      <w:r w:rsidRPr="00F634CD">
        <w:rPr>
          <w:rFonts w:asciiTheme="majorBidi" w:eastAsia="Times New Roman" w:hAnsiTheme="majorBidi" w:cstheme="majorBidi"/>
          <w:kern w:val="24"/>
          <w:sz w:val="24"/>
          <w:szCs w:val="24"/>
          <w:lang w:val="en-US" w:eastAsia="fr-FR"/>
        </w:rPr>
        <w:t>Antoine, “Corporate Governance Adrift, a critique of shareholder value”, Edward Elgar publishing, 2005, pp.359-362.</w:t>
      </w:r>
    </w:p>
    <w:bookmarkEnd w:id="1857"/>
    <w:p w14:paraId="20FE478E" w14:textId="1BF7D8AE"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spacing w:val="-4"/>
          <w:kern w:val="24"/>
          <w:sz w:val="24"/>
          <w:szCs w:val="24"/>
          <w:lang w:val="en-US" w:eastAsia="fr-FR"/>
        </w:rPr>
      </w:pPr>
      <w:r w:rsidRPr="00F634CD">
        <w:rPr>
          <w:rFonts w:asciiTheme="majorBidi" w:hAnsiTheme="majorBidi" w:cstheme="majorBidi"/>
          <w:smallCaps/>
          <w:spacing w:val="-4"/>
          <w:kern w:val="24"/>
          <w:sz w:val="24"/>
          <w:szCs w:val="24"/>
          <w:lang w:val="en-US" w:eastAsia="fr-FR"/>
        </w:rPr>
        <w:t>Ahmad</w:t>
      </w:r>
      <w:r w:rsidRPr="00F634CD">
        <w:rPr>
          <w:rFonts w:asciiTheme="majorBidi" w:hAnsiTheme="majorBidi" w:cstheme="majorBidi"/>
          <w:spacing w:val="-4"/>
          <w:kern w:val="24"/>
          <w:sz w:val="24"/>
          <w:szCs w:val="24"/>
          <w:lang w:val="en-US" w:eastAsia="fr-FR"/>
        </w:rPr>
        <w:t xml:space="preserve"> Ausaf, “Contemporary practices of </w:t>
      </w:r>
      <w:r w:rsidR="00306997" w:rsidRPr="00F634CD">
        <w:rPr>
          <w:rFonts w:asciiTheme="majorBidi" w:hAnsiTheme="majorBidi" w:cstheme="majorBidi"/>
          <w:spacing w:val="-4"/>
          <w:kern w:val="24"/>
          <w:sz w:val="24"/>
          <w:szCs w:val="24"/>
          <w:lang w:val="en-US" w:eastAsia="fr-FR"/>
        </w:rPr>
        <w:t>Islamic</w:t>
      </w:r>
      <w:r w:rsidRPr="00F634CD">
        <w:rPr>
          <w:rFonts w:asciiTheme="majorBidi" w:hAnsiTheme="majorBidi" w:cstheme="majorBidi"/>
          <w:spacing w:val="-4"/>
          <w:kern w:val="24"/>
          <w:sz w:val="24"/>
          <w:szCs w:val="24"/>
          <w:lang w:val="en-US" w:eastAsia="fr-FR"/>
        </w:rPr>
        <w:t xml:space="preserve"> financing techniques”</w:t>
      </w:r>
      <w:r w:rsidRPr="00F634CD">
        <w:rPr>
          <w:rFonts w:asciiTheme="majorBidi" w:hAnsiTheme="majorBidi" w:cstheme="majorBidi"/>
          <w:spacing w:val="-4"/>
          <w:kern w:val="24"/>
          <w:sz w:val="24"/>
          <w:szCs w:val="24"/>
          <w:lang w:val="en-US"/>
        </w:rPr>
        <w:t xml:space="preserve">, </w:t>
      </w:r>
      <w:r w:rsidRPr="00F634CD">
        <w:rPr>
          <w:rFonts w:asciiTheme="majorBidi" w:hAnsiTheme="majorBidi" w:cstheme="majorBidi"/>
          <w:spacing w:val="-4"/>
          <w:kern w:val="24"/>
          <w:sz w:val="24"/>
          <w:szCs w:val="24"/>
          <w:lang w:val="en-US" w:eastAsia="fr-FR"/>
        </w:rPr>
        <w:t>Islamic Research and Training Institute, Islamic Development Bank, Jeddah, Saudi Arabia, Vol 01, N°02, 1990, 19- 62.</w:t>
      </w:r>
    </w:p>
    <w:p w14:paraId="560BDE56" w14:textId="53DFCB75"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Ahmed</w:t>
      </w:r>
      <w:r w:rsidRPr="00F634CD">
        <w:rPr>
          <w:rFonts w:asciiTheme="majorBidi" w:hAnsiTheme="majorBidi" w:cstheme="majorBidi"/>
          <w:kern w:val="24"/>
          <w:sz w:val="24"/>
          <w:szCs w:val="24"/>
          <w:lang w:val="en-GB"/>
        </w:rPr>
        <w:t xml:space="preserve"> Habib, </w:t>
      </w:r>
      <w:r w:rsidRPr="00F634CD">
        <w:rPr>
          <w:rFonts w:asciiTheme="majorBidi" w:hAnsiTheme="majorBidi" w:cstheme="majorBidi"/>
          <w:kern w:val="24"/>
          <w:sz w:val="24"/>
          <w:szCs w:val="24"/>
          <w:lang w:val="en-GB" w:eastAsia="fr-FR"/>
        </w:rPr>
        <w:t>“</w:t>
      </w:r>
      <w:r w:rsidRPr="00F634CD">
        <w:rPr>
          <w:rFonts w:asciiTheme="majorBidi" w:hAnsiTheme="majorBidi" w:cstheme="majorBidi"/>
          <w:kern w:val="24"/>
          <w:sz w:val="24"/>
          <w:szCs w:val="24"/>
          <w:lang w:val="en-GB"/>
        </w:rPr>
        <w:t xml:space="preserve">Incentive-compatible Profit-sharing Contracts: A Theoretical Treatment”, in Iqbal and Llewellyn, Islamic Banking and Finance: New Perspectives on Profit-sharing and Risk, Cheltenham, U.K: Edward Elgar, </w:t>
      </w:r>
      <w:r w:rsidR="00306997" w:rsidRPr="00F634CD">
        <w:rPr>
          <w:rFonts w:asciiTheme="majorBidi" w:hAnsiTheme="majorBidi" w:cstheme="majorBidi"/>
          <w:kern w:val="24"/>
          <w:sz w:val="24"/>
          <w:szCs w:val="24"/>
          <w:lang w:val="en-GB"/>
        </w:rPr>
        <w:t>2002, pp.</w:t>
      </w:r>
      <w:r w:rsidRPr="00F634CD">
        <w:rPr>
          <w:rFonts w:asciiTheme="majorBidi" w:hAnsiTheme="majorBidi" w:cstheme="majorBidi"/>
          <w:kern w:val="24"/>
          <w:sz w:val="24"/>
          <w:szCs w:val="24"/>
          <w:lang w:val="en-GB"/>
        </w:rPr>
        <w:t xml:space="preserve"> 40-54</w:t>
      </w:r>
    </w:p>
    <w:p w14:paraId="205D7B96" w14:textId="48EE5D76"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Ajili</w:t>
      </w:r>
      <w:r w:rsidRPr="00F634CD">
        <w:rPr>
          <w:rFonts w:asciiTheme="majorBidi" w:hAnsiTheme="majorBidi" w:cstheme="majorBidi"/>
          <w:kern w:val="24"/>
          <w:sz w:val="24"/>
          <w:szCs w:val="24"/>
        </w:rPr>
        <w:t xml:space="preserve"> Wissem et </w:t>
      </w:r>
      <w:r w:rsidRPr="00F634CD">
        <w:rPr>
          <w:rFonts w:asciiTheme="majorBidi" w:hAnsiTheme="majorBidi" w:cstheme="majorBidi"/>
          <w:smallCaps/>
          <w:kern w:val="24"/>
          <w:sz w:val="24"/>
          <w:szCs w:val="24"/>
        </w:rPr>
        <w:t>Ben Gara</w:t>
      </w:r>
      <w:r w:rsidRPr="00F634CD">
        <w:rPr>
          <w:rFonts w:asciiTheme="majorBidi" w:hAnsiTheme="majorBidi" w:cstheme="majorBidi"/>
          <w:kern w:val="24"/>
          <w:sz w:val="24"/>
          <w:szCs w:val="24"/>
        </w:rPr>
        <w:t xml:space="preserve"> Zeineb, </w:t>
      </w:r>
      <w:r w:rsidR="00306997">
        <w:rPr>
          <w:rFonts w:asciiTheme="majorBidi" w:hAnsiTheme="majorBidi" w:cstheme="majorBidi"/>
          <w:kern w:val="24"/>
          <w:sz w:val="24"/>
          <w:szCs w:val="24"/>
        </w:rPr>
        <w:t>« </w:t>
      </w:r>
      <w:r w:rsidR="00306997" w:rsidRPr="00F634CD">
        <w:rPr>
          <w:rFonts w:asciiTheme="majorBidi" w:hAnsiTheme="majorBidi" w:cstheme="majorBidi"/>
          <w:kern w:val="24"/>
          <w:sz w:val="24"/>
          <w:szCs w:val="24"/>
        </w:rPr>
        <w:t>Quel</w:t>
      </w:r>
      <w:r w:rsidRPr="00F634CD">
        <w:rPr>
          <w:rFonts w:asciiTheme="majorBidi" w:hAnsiTheme="majorBidi" w:cstheme="majorBidi"/>
          <w:kern w:val="24"/>
          <w:sz w:val="24"/>
          <w:szCs w:val="24"/>
        </w:rPr>
        <w:t xml:space="preserve"> avenir pour la finance islamique en Tunisie ? », Etudes en Economie Islamique, Vol. 7, No. 1, Juin 2013, pp. 31-70.</w:t>
      </w:r>
    </w:p>
    <w:p w14:paraId="3D5AE403"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Al-Monayea</w:t>
      </w:r>
      <w:r w:rsidRPr="00F634CD">
        <w:rPr>
          <w:rFonts w:asciiTheme="majorBidi" w:hAnsiTheme="majorBidi" w:cstheme="majorBidi"/>
          <w:color w:val="auto"/>
          <w:kern w:val="24"/>
        </w:rPr>
        <w:t xml:space="preserve"> Emad, “Selecting the Right Business Model in Islamic Banking”, Papier présenté au Global Islamic Finance Forum, Kuala Lumpur, du 18 au 20 sept. 2012, 20 p.</w:t>
      </w:r>
    </w:p>
    <w:p w14:paraId="62EA1B9B"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Al-Rifai</w:t>
      </w:r>
      <w:r w:rsidRPr="00F634CD">
        <w:rPr>
          <w:rFonts w:asciiTheme="majorBidi" w:hAnsiTheme="majorBidi" w:cstheme="majorBidi"/>
          <w:kern w:val="24"/>
          <w:sz w:val="24"/>
          <w:szCs w:val="24"/>
          <w:lang w:val="en-GB"/>
        </w:rPr>
        <w:t xml:space="preserve"> Tarik, “Islamic Equity Funds: A Brief Industry Analysis”, Failaka publications, 1999, 34 p.</w:t>
      </w:r>
    </w:p>
    <w:p w14:paraId="4A320551" w14:textId="7F24BB16"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Elasrag</w:t>
      </w:r>
      <w:r w:rsidRPr="00F634CD">
        <w:rPr>
          <w:rFonts w:asciiTheme="majorBidi" w:hAnsiTheme="majorBidi" w:cstheme="majorBidi"/>
          <w:kern w:val="24"/>
          <w:sz w:val="24"/>
          <w:szCs w:val="24"/>
          <w:lang w:val="en-US" w:eastAsia="fr-FR"/>
        </w:rPr>
        <w:t xml:space="preserve"> Hussein, “Principals of the </w:t>
      </w:r>
      <w:r w:rsidR="00306997"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finance: a focus on project finance”, </w:t>
      </w:r>
      <w:r w:rsidRPr="00F634CD">
        <w:rPr>
          <w:rFonts w:asciiTheme="majorBidi" w:hAnsiTheme="majorBidi" w:cstheme="majorBidi"/>
          <w:kern w:val="24"/>
          <w:sz w:val="24"/>
          <w:szCs w:val="24"/>
          <w:lang w:val="en-US"/>
        </w:rPr>
        <w:t xml:space="preserve">SSRN abstract= </w:t>
      </w:r>
      <w:r w:rsidRPr="00F634CD">
        <w:rPr>
          <w:rFonts w:asciiTheme="majorBidi" w:hAnsiTheme="majorBidi" w:cstheme="majorBidi"/>
          <w:kern w:val="24"/>
          <w:sz w:val="24"/>
          <w:szCs w:val="24"/>
          <w:lang w:val="en-US" w:eastAsia="fr-FR"/>
        </w:rPr>
        <w:t>1806305, 2010, 58 p.</w:t>
      </w:r>
    </w:p>
    <w:p w14:paraId="7C02BF8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val="en-US" w:eastAsia="fr-FR"/>
        </w:rPr>
        <w:t>Alexander</w:t>
      </w:r>
      <w:r w:rsidRPr="00F634CD">
        <w:rPr>
          <w:rFonts w:asciiTheme="majorBidi" w:hAnsiTheme="majorBidi" w:cstheme="majorBidi"/>
          <w:kern w:val="24"/>
          <w:sz w:val="24"/>
          <w:szCs w:val="24"/>
          <w:lang w:val="en-US" w:eastAsia="fr-FR"/>
        </w:rPr>
        <w:t xml:space="preserve"> Carol, </w:t>
      </w:r>
      <w:r w:rsidRPr="00F634CD">
        <w:rPr>
          <w:rFonts w:asciiTheme="majorBidi" w:hAnsiTheme="majorBidi" w:cstheme="majorBidi"/>
          <w:kern w:val="24"/>
          <w:sz w:val="24"/>
          <w:szCs w:val="24"/>
          <w:lang w:val="en-US"/>
        </w:rPr>
        <w:t>“The present and future of financial risk management”, Paper presented at the 1</w:t>
      </w:r>
      <w:r w:rsidRPr="00F634CD">
        <w:rPr>
          <w:rFonts w:asciiTheme="majorBidi" w:hAnsiTheme="majorBidi" w:cstheme="majorBidi"/>
          <w:kern w:val="24"/>
          <w:sz w:val="24"/>
          <w:szCs w:val="24"/>
          <w:vertAlign w:val="superscript"/>
          <w:lang w:val="en-US"/>
        </w:rPr>
        <w:t>st</w:t>
      </w:r>
      <w:r w:rsidRPr="00F634CD">
        <w:rPr>
          <w:rFonts w:asciiTheme="majorBidi" w:hAnsiTheme="majorBidi" w:cstheme="majorBidi"/>
          <w:kern w:val="24"/>
          <w:sz w:val="24"/>
          <w:szCs w:val="24"/>
          <w:lang w:val="en-US"/>
        </w:rPr>
        <w:t xml:space="preserve"> International Derivatives and Financial Markets Conference Organized by BM &amp; F? </w:t>
      </w:r>
      <w:r w:rsidRPr="00F634CD">
        <w:rPr>
          <w:rFonts w:asciiTheme="majorBidi" w:hAnsiTheme="majorBidi" w:cstheme="majorBidi"/>
          <w:kern w:val="24"/>
          <w:sz w:val="24"/>
          <w:szCs w:val="24"/>
        </w:rPr>
        <w:t xml:space="preserve">Jordao, Brazil, 2003, 27 p. </w:t>
      </w:r>
    </w:p>
    <w:p w14:paraId="107991DB"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Allegret</w:t>
      </w:r>
      <w:r w:rsidRPr="00F634CD">
        <w:rPr>
          <w:rFonts w:asciiTheme="majorBidi" w:hAnsiTheme="majorBidi" w:cstheme="majorBidi"/>
          <w:kern w:val="24"/>
          <w:sz w:val="24"/>
          <w:szCs w:val="24"/>
        </w:rPr>
        <w:t xml:space="preserve"> Jean-pierre, </w:t>
      </w:r>
      <w:r w:rsidRPr="00F634CD">
        <w:rPr>
          <w:rFonts w:asciiTheme="majorBidi" w:hAnsiTheme="majorBidi" w:cstheme="majorBidi"/>
          <w:smallCaps/>
          <w:kern w:val="24"/>
          <w:sz w:val="24"/>
          <w:szCs w:val="24"/>
        </w:rPr>
        <w:t>Courbis</w:t>
      </w:r>
      <w:r w:rsidRPr="00F634CD">
        <w:rPr>
          <w:rFonts w:asciiTheme="majorBidi" w:hAnsiTheme="majorBidi" w:cstheme="majorBidi"/>
          <w:kern w:val="24"/>
          <w:sz w:val="24"/>
          <w:szCs w:val="24"/>
        </w:rPr>
        <w:t xml:space="preserve"> Bernard and </w:t>
      </w:r>
      <w:r w:rsidRPr="00F634CD">
        <w:rPr>
          <w:rFonts w:asciiTheme="majorBidi" w:hAnsiTheme="majorBidi" w:cstheme="majorBidi"/>
          <w:smallCaps/>
          <w:kern w:val="24"/>
          <w:sz w:val="24"/>
          <w:szCs w:val="24"/>
        </w:rPr>
        <w:t>Dulbecco</w:t>
      </w:r>
      <w:r w:rsidRPr="00F634CD">
        <w:rPr>
          <w:rFonts w:asciiTheme="majorBidi" w:hAnsiTheme="majorBidi" w:cstheme="majorBidi"/>
          <w:kern w:val="24"/>
          <w:sz w:val="24"/>
          <w:szCs w:val="24"/>
        </w:rPr>
        <w:t xml:space="preserve"> Phillipe, « Intermédiation et stabilité financière dans les économies émergentes », Revue Française d’Economie, Vol 17, N°4, pp. 213-242.</w:t>
      </w:r>
    </w:p>
    <w:p w14:paraId="22DD37E1"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Alomar</w:t>
      </w:r>
      <w:r w:rsidRPr="00F634CD">
        <w:rPr>
          <w:rFonts w:asciiTheme="majorBidi" w:hAnsiTheme="majorBidi" w:cstheme="majorBidi"/>
          <w:kern w:val="24"/>
          <w:sz w:val="24"/>
          <w:szCs w:val="24"/>
          <w:lang w:val="en-GB"/>
        </w:rPr>
        <w:t xml:space="preserve"> Ibrahim, “Financial Intermediation in Muslim Community: Issues and Problems”, Online at </w:t>
      </w:r>
      <w:hyperlink r:id="rId77" w:history="1">
        <w:r w:rsidRPr="00F634CD">
          <w:rPr>
            <w:rStyle w:val="Lienhypertexte"/>
            <w:rFonts w:asciiTheme="majorBidi" w:hAnsiTheme="majorBidi" w:cstheme="majorBidi"/>
            <w:color w:val="auto"/>
            <w:kern w:val="24"/>
            <w:sz w:val="24"/>
            <w:szCs w:val="24"/>
            <w:u w:val="none"/>
            <w:lang w:val="en-GB"/>
          </w:rPr>
          <w:t>http://mpra.ub.uni-muenchen.de/8298</w:t>
        </w:r>
      </w:hyperlink>
      <w:r w:rsidRPr="00F634CD">
        <w:rPr>
          <w:rFonts w:asciiTheme="majorBidi" w:hAnsiTheme="majorBidi" w:cstheme="majorBidi"/>
          <w:kern w:val="24"/>
          <w:sz w:val="24"/>
          <w:szCs w:val="24"/>
          <w:lang w:val="en-GB"/>
        </w:rPr>
        <w:t>, 2006, 26 p.</w:t>
      </w:r>
    </w:p>
    <w:p w14:paraId="1BB58ADB"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eastAsia="fr-FR"/>
        </w:rPr>
        <w:t>Aloui</w:t>
      </w:r>
      <w:r w:rsidRPr="00F634CD">
        <w:rPr>
          <w:rFonts w:asciiTheme="majorBidi" w:hAnsiTheme="majorBidi" w:cstheme="majorBidi"/>
          <w:kern w:val="24"/>
          <w:sz w:val="24"/>
          <w:szCs w:val="24"/>
          <w:lang w:eastAsia="fr-FR"/>
        </w:rPr>
        <w:t xml:space="preserve"> A et </w:t>
      </w:r>
      <w:r w:rsidRPr="00F634CD">
        <w:rPr>
          <w:rFonts w:asciiTheme="majorBidi" w:hAnsiTheme="majorBidi" w:cstheme="majorBidi"/>
          <w:smallCaps/>
          <w:kern w:val="24"/>
          <w:sz w:val="24"/>
          <w:szCs w:val="24"/>
          <w:lang w:eastAsia="fr-FR"/>
        </w:rPr>
        <w:t>Daly</w:t>
      </w:r>
      <w:r w:rsidRPr="00F634CD">
        <w:rPr>
          <w:rFonts w:asciiTheme="majorBidi" w:hAnsiTheme="majorBidi" w:cstheme="majorBidi"/>
          <w:kern w:val="24"/>
          <w:sz w:val="24"/>
          <w:szCs w:val="24"/>
          <w:lang w:eastAsia="fr-FR"/>
        </w:rPr>
        <w:t>. L, « Système bancaire islamique entre réalité financière et fondements idéologiques », Communication au colloque « finance et stratégies de développement », 5</w:t>
      </w:r>
      <w:r w:rsidRPr="00F634CD">
        <w:rPr>
          <w:rFonts w:asciiTheme="majorBidi" w:hAnsiTheme="majorBidi" w:cstheme="majorBidi"/>
          <w:kern w:val="24"/>
          <w:sz w:val="24"/>
          <w:szCs w:val="24"/>
          <w:vertAlign w:val="superscript"/>
          <w:lang w:eastAsia="fr-FR"/>
        </w:rPr>
        <w:t>ème</w:t>
      </w:r>
      <w:r w:rsidRPr="00F634CD">
        <w:rPr>
          <w:rFonts w:asciiTheme="majorBidi" w:hAnsiTheme="majorBidi" w:cstheme="majorBidi"/>
          <w:kern w:val="24"/>
          <w:sz w:val="24"/>
          <w:szCs w:val="24"/>
          <w:lang w:eastAsia="fr-FR"/>
        </w:rPr>
        <w:t xml:space="preserve"> colloque international, Sousse, 2010, 22 p.</w:t>
      </w:r>
    </w:p>
    <w:p w14:paraId="1E9CBE6A" w14:textId="3570CBE1"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Al-Suwailem</w:t>
      </w:r>
      <w:r w:rsidRPr="00F634CD">
        <w:rPr>
          <w:rFonts w:asciiTheme="majorBidi" w:hAnsiTheme="majorBidi" w:cstheme="majorBidi"/>
          <w:kern w:val="24"/>
          <w:sz w:val="24"/>
          <w:szCs w:val="24"/>
        </w:rPr>
        <w:t xml:space="preserve"> Sami Ibrahim, « Intermédiation financière dans l’économie islamique » (en arabe), dans : « Crise monétaire mondiale : origines et solutions d’un point de vue islamique », (en arabe), Université du Roi Abdelalaziz, Jeddah, 2009, pp.60-92.</w:t>
      </w:r>
    </w:p>
    <w:p w14:paraId="7E41AD97" w14:textId="476D8855" w:rsidR="00A42833" w:rsidRPr="00F634CD" w:rsidRDefault="00A42833" w:rsidP="00621FA2">
      <w:pPr>
        <w:pStyle w:val="Notedebasdepage"/>
        <w:spacing w:before="120" w:after="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shd w:val="clear" w:color="auto" w:fill="FFFFFF"/>
        </w:rPr>
        <w:t xml:space="preserve">Andriamahanina </w:t>
      </w:r>
      <w:hyperlink r:id="rId78" w:tgtFrame="_blank" w:history="1">
        <w:r w:rsidRPr="00F634CD">
          <w:rPr>
            <w:rStyle w:val="Lienhypertexte"/>
            <w:rFonts w:asciiTheme="majorBidi" w:hAnsiTheme="majorBidi" w:cstheme="majorBidi"/>
            <w:color w:val="auto"/>
            <w:kern w:val="24"/>
            <w:sz w:val="24"/>
            <w:szCs w:val="24"/>
            <w:u w:val="none"/>
            <w:shd w:val="clear" w:color="auto" w:fill="FFFFFF"/>
          </w:rPr>
          <w:t>Elisoa</w:t>
        </w:r>
        <w:r w:rsidRPr="00F634CD">
          <w:rPr>
            <w:rStyle w:val="Lienhypertexte"/>
            <w:rFonts w:asciiTheme="majorBidi" w:hAnsiTheme="majorBidi" w:cstheme="majorBidi"/>
            <w:smallCaps/>
            <w:color w:val="auto"/>
            <w:kern w:val="24"/>
            <w:sz w:val="24"/>
            <w:szCs w:val="24"/>
            <w:u w:val="none"/>
            <w:shd w:val="clear" w:color="auto" w:fill="FFFFFF"/>
          </w:rPr>
          <w:t>,</w:t>
        </w:r>
      </w:hyperlink>
      <w:r w:rsidRPr="00F634CD">
        <w:rPr>
          <w:rFonts w:asciiTheme="majorBidi" w:hAnsiTheme="majorBidi" w:cstheme="majorBidi"/>
          <w:kern w:val="24"/>
          <w:sz w:val="24"/>
          <w:szCs w:val="24"/>
        </w:rPr>
        <w:t xml:space="preserve"> « Acheter des actions islam – halal ou haram ? », Degiro, 2022, dans : </w:t>
      </w:r>
      <w:hyperlink r:id="rId79" w:history="1">
        <w:r w:rsidR="00306997" w:rsidRPr="003F3440">
          <w:rPr>
            <w:rStyle w:val="Lienhypertexte"/>
            <w:rFonts w:asciiTheme="majorBidi" w:hAnsiTheme="majorBidi" w:cstheme="majorBidi"/>
            <w:kern w:val="24"/>
            <w:sz w:val="24"/>
            <w:szCs w:val="24"/>
          </w:rPr>
          <w:t>https://traderfrancophone.fr/action/acheter-action-islam/</w:t>
        </w:r>
      </w:hyperlink>
      <w:r w:rsidRPr="00F634CD">
        <w:rPr>
          <w:rFonts w:asciiTheme="majorBidi" w:hAnsiTheme="majorBidi" w:cstheme="majorBidi"/>
          <w:kern w:val="24"/>
          <w:sz w:val="24"/>
          <w:szCs w:val="24"/>
        </w:rPr>
        <w:t>, consulté le 02/09/2022.</w:t>
      </w:r>
    </w:p>
    <w:p w14:paraId="38AD65D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Archer</w:t>
      </w:r>
      <w:r w:rsidRPr="00F634CD">
        <w:rPr>
          <w:rFonts w:asciiTheme="majorBidi" w:hAnsiTheme="majorBidi" w:cstheme="majorBidi"/>
          <w:kern w:val="24"/>
          <w:sz w:val="24"/>
          <w:szCs w:val="24"/>
          <w:lang w:val="en-GB" w:eastAsia="fr-FR"/>
        </w:rPr>
        <w:t xml:space="preserve"> Simon et </w:t>
      </w:r>
      <w:r w:rsidRPr="00F634CD">
        <w:rPr>
          <w:rFonts w:asciiTheme="majorBidi" w:hAnsiTheme="majorBidi" w:cstheme="majorBidi"/>
          <w:smallCaps/>
          <w:kern w:val="24"/>
          <w:sz w:val="24"/>
          <w:szCs w:val="24"/>
          <w:lang w:val="en-GB" w:eastAsia="fr-FR"/>
        </w:rPr>
        <w:t>Abdel Karim</w:t>
      </w:r>
      <w:r w:rsidRPr="00F634CD">
        <w:rPr>
          <w:rFonts w:asciiTheme="majorBidi" w:hAnsiTheme="majorBidi" w:cstheme="majorBidi"/>
          <w:kern w:val="24"/>
          <w:sz w:val="24"/>
          <w:szCs w:val="24"/>
          <w:lang w:val="en-GB" w:eastAsia="fr-FR"/>
        </w:rPr>
        <w:t xml:space="preserve"> Rifaat Ahmad,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eastAsia="fr-FR"/>
        </w:rPr>
        <w:t>On capital structure, Risk Sharing and Capital adequacy in Islamic Banks”, International Journal of theatrical and Applied Finance, Vol 9, N° 3, 2006, pp. 269-280.</w:t>
      </w:r>
    </w:p>
    <w:p w14:paraId="6F28461D" w14:textId="77777777" w:rsidR="00A42833" w:rsidRPr="00F634CD" w:rsidRDefault="00A42833" w:rsidP="00621FA2">
      <w:pPr>
        <w:tabs>
          <w:tab w:val="left" w:pos="0"/>
          <w:tab w:val="left" w:pos="284"/>
        </w:tabs>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 xml:space="preserve">Artus </w:t>
      </w:r>
      <w:r w:rsidRPr="00F634CD">
        <w:rPr>
          <w:rFonts w:asciiTheme="majorBidi" w:hAnsiTheme="majorBidi" w:cstheme="majorBidi"/>
          <w:kern w:val="24"/>
          <w:sz w:val="24"/>
          <w:szCs w:val="24"/>
        </w:rPr>
        <w:t>Patrick, « De Bâle 1 à Bâle 2 : Effets sur le marché de crédit », Revue économique, Vol 56, N° 1, 2005, pp. 77-97.</w:t>
      </w:r>
    </w:p>
    <w:p w14:paraId="7716A70A"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i/>
          <w:iCs/>
          <w:spacing w:val="-4"/>
          <w:kern w:val="24"/>
          <w:sz w:val="24"/>
          <w:szCs w:val="24"/>
          <w:lang w:val="en-GB" w:eastAsia="fr-FR"/>
        </w:rPr>
      </w:pPr>
      <w:r w:rsidRPr="00F634CD">
        <w:rPr>
          <w:rFonts w:asciiTheme="majorBidi" w:hAnsiTheme="majorBidi" w:cstheme="majorBidi"/>
          <w:smallCaps/>
          <w:spacing w:val="-4"/>
          <w:kern w:val="24"/>
          <w:sz w:val="24"/>
          <w:szCs w:val="24"/>
          <w:lang w:val="en-US" w:eastAsia="fr-FR"/>
        </w:rPr>
        <w:t>Azid</w:t>
      </w:r>
      <w:r w:rsidRPr="00F634CD">
        <w:rPr>
          <w:rFonts w:asciiTheme="majorBidi" w:hAnsiTheme="majorBidi" w:cstheme="majorBidi"/>
          <w:spacing w:val="-4"/>
          <w:kern w:val="24"/>
          <w:sz w:val="24"/>
          <w:szCs w:val="24"/>
          <w:lang w:val="en-US" w:eastAsia="fr-FR"/>
        </w:rPr>
        <w:t xml:space="preserve"> Toseef, </w:t>
      </w:r>
      <w:r w:rsidRPr="00F634CD">
        <w:rPr>
          <w:rFonts w:asciiTheme="majorBidi" w:hAnsiTheme="majorBidi" w:cstheme="majorBidi"/>
          <w:smallCaps/>
          <w:spacing w:val="-4"/>
          <w:kern w:val="24"/>
          <w:sz w:val="24"/>
          <w:szCs w:val="24"/>
          <w:lang w:val="en-US" w:eastAsia="fr-FR"/>
        </w:rPr>
        <w:t>Asutay</w:t>
      </w:r>
      <w:r w:rsidRPr="00F634CD">
        <w:rPr>
          <w:rFonts w:asciiTheme="majorBidi" w:hAnsiTheme="majorBidi" w:cstheme="majorBidi"/>
          <w:spacing w:val="-4"/>
          <w:kern w:val="24"/>
          <w:sz w:val="24"/>
          <w:szCs w:val="24"/>
          <w:lang w:val="en-US" w:eastAsia="fr-FR"/>
        </w:rPr>
        <w:t xml:space="preserve"> Mehmet et </w:t>
      </w:r>
      <w:r w:rsidRPr="00F634CD">
        <w:rPr>
          <w:rFonts w:asciiTheme="majorBidi" w:hAnsiTheme="majorBidi" w:cstheme="majorBidi"/>
          <w:smallCaps/>
          <w:spacing w:val="-4"/>
          <w:kern w:val="24"/>
          <w:sz w:val="24"/>
          <w:szCs w:val="24"/>
          <w:lang w:val="en-US" w:eastAsia="fr-FR"/>
        </w:rPr>
        <w:t xml:space="preserve">Burki </w:t>
      </w:r>
      <w:r w:rsidRPr="00F634CD">
        <w:rPr>
          <w:rFonts w:asciiTheme="majorBidi" w:hAnsiTheme="majorBidi" w:cstheme="majorBidi"/>
          <w:spacing w:val="-4"/>
          <w:kern w:val="24"/>
          <w:sz w:val="24"/>
          <w:szCs w:val="24"/>
          <w:lang w:val="en-US" w:eastAsia="fr-FR"/>
        </w:rPr>
        <w:t xml:space="preserve">Umar, “Theory of the firm, management and stakeholders: an islamic perspective “, </w:t>
      </w:r>
      <w:r w:rsidRPr="00F634CD">
        <w:rPr>
          <w:rFonts w:asciiTheme="majorBidi" w:hAnsiTheme="majorBidi" w:cstheme="majorBidi"/>
          <w:spacing w:val="-4"/>
          <w:kern w:val="24"/>
          <w:sz w:val="24"/>
          <w:szCs w:val="24"/>
          <w:lang w:val="en-GB" w:eastAsia="fr-FR"/>
        </w:rPr>
        <w:t>Islamic Economic Studies, Vol. 15, No. 1, 2007, pp. 1-30.</w:t>
      </w:r>
    </w:p>
    <w:p w14:paraId="3B13290A"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GB"/>
        </w:rPr>
      </w:pPr>
      <w:r w:rsidRPr="00F634CD">
        <w:rPr>
          <w:rFonts w:asciiTheme="majorBidi" w:hAnsiTheme="majorBidi" w:cstheme="majorBidi"/>
          <w:smallCaps/>
          <w:color w:val="auto"/>
          <w:kern w:val="24"/>
          <w:lang w:val="en-GB"/>
        </w:rPr>
        <w:t>Aziz</w:t>
      </w:r>
      <w:r w:rsidRPr="00F634CD">
        <w:rPr>
          <w:rFonts w:asciiTheme="majorBidi" w:hAnsiTheme="majorBidi" w:cstheme="majorBidi"/>
          <w:color w:val="auto"/>
          <w:kern w:val="24"/>
          <w:lang w:val="en-GB"/>
        </w:rPr>
        <w:t xml:space="preserve"> Zeti Akhtar, </w:t>
      </w:r>
      <w:r w:rsidRPr="00F634CD">
        <w:rPr>
          <w:rFonts w:asciiTheme="majorBidi" w:hAnsiTheme="majorBidi" w:cstheme="majorBidi"/>
          <w:color w:val="auto"/>
          <w:kern w:val="24"/>
          <w:lang w:val="en-US"/>
        </w:rPr>
        <w:t>“</w:t>
      </w:r>
      <w:r w:rsidRPr="00F634CD">
        <w:rPr>
          <w:rFonts w:asciiTheme="majorBidi" w:hAnsiTheme="majorBidi" w:cstheme="majorBidi"/>
          <w:color w:val="auto"/>
          <w:kern w:val="24"/>
          <w:lang w:val="en-GB"/>
        </w:rPr>
        <w:t>The Changing Landscape of Financial Regulation: Implications for Islamic Finance”, Conference: Seventh Islamic Financial Services Broad Summit on Global Financial Architecture, Manama, 4 Mai, 2010, 6 p.</w:t>
      </w:r>
    </w:p>
    <w:p w14:paraId="691A2897" w14:textId="5BCEDF7F"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Bashir</w:t>
      </w:r>
      <w:r w:rsidRPr="00F634CD">
        <w:rPr>
          <w:rFonts w:asciiTheme="majorBidi" w:hAnsiTheme="majorBidi" w:cstheme="majorBidi"/>
          <w:kern w:val="24"/>
          <w:sz w:val="24"/>
          <w:szCs w:val="24"/>
          <w:lang w:val="en-GB"/>
        </w:rPr>
        <w:t xml:space="preserve"> Abdel-hameed</w:t>
      </w:r>
      <w:r w:rsidRPr="00F634CD">
        <w:rPr>
          <w:rFonts w:asciiTheme="majorBidi" w:hAnsiTheme="majorBidi" w:cstheme="majorBidi"/>
          <w:kern w:val="24"/>
          <w:sz w:val="24"/>
          <w:szCs w:val="24"/>
          <w:lang w:val="en-US"/>
        </w:rPr>
        <w:t xml:space="preserve"> M, “Risk and profitability measures in </w:t>
      </w:r>
      <w:r w:rsidR="003E3C0D" w:rsidRPr="00F634CD">
        <w:rPr>
          <w:rFonts w:asciiTheme="majorBidi" w:hAnsiTheme="majorBidi" w:cstheme="majorBidi"/>
          <w:kern w:val="24"/>
          <w:sz w:val="24"/>
          <w:szCs w:val="24"/>
          <w:lang w:val="en-US"/>
        </w:rPr>
        <w:t>Islamic</w:t>
      </w:r>
      <w:r w:rsidRPr="00F634CD">
        <w:rPr>
          <w:rFonts w:asciiTheme="majorBidi" w:hAnsiTheme="majorBidi" w:cstheme="majorBidi"/>
          <w:kern w:val="24"/>
          <w:sz w:val="24"/>
          <w:szCs w:val="24"/>
          <w:lang w:val="en-US"/>
        </w:rPr>
        <w:t xml:space="preserve"> banks: the case of two Sudanese banks”, </w:t>
      </w:r>
      <w:r w:rsidRPr="00F634CD">
        <w:rPr>
          <w:rFonts w:asciiTheme="majorBidi" w:hAnsiTheme="majorBidi" w:cstheme="majorBidi"/>
          <w:kern w:val="24"/>
          <w:sz w:val="24"/>
          <w:szCs w:val="24"/>
          <w:lang w:val="en-GB" w:eastAsia="fr-FR"/>
        </w:rPr>
        <w:t>Islamic Economic Studies, Vol 6, N° 2, 1999, pp. 1-24.</w:t>
      </w:r>
    </w:p>
    <w:p w14:paraId="2B941F65" w14:textId="655C388A"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Bashir</w:t>
      </w:r>
      <w:r w:rsidRPr="00F634CD">
        <w:rPr>
          <w:rFonts w:asciiTheme="majorBidi" w:hAnsiTheme="majorBidi" w:cstheme="majorBidi"/>
          <w:kern w:val="24"/>
          <w:sz w:val="24"/>
          <w:szCs w:val="24"/>
          <w:lang w:val="en-US" w:eastAsia="fr-FR"/>
        </w:rPr>
        <w:t xml:space="preserve">. B. A, (1983), “Portfolio management of </w:t>
      </w:r>
      <w:r w:rsidR="003E3C0D"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banks: Certainty model “, Journal of Banking and </w:t>
      </w:r>
      <w:r w:rsidRPr="00F634CD">
        <w:rPr>
          <w:rFonts w:asciiTheme="majorBidi" w:hAnsiTheme="majorBidi" w:cstheme="majorBidi"/>
          <w:kern w:val="24"/>
          <w:sz w:val="24"/>
          <w:szCs w:val="24"/>
          <w:lang w:val="en-GB" w:eastAsia="fr-FR"/>
        </w:rPr>
        <w:t>Finance, Vol 7, N° 3, 1983, pp. 339-354.</w:t>
      </w:r>
    </w:p>
    <w:p w14:paraId="6C8526CD"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 xml:space="preserve">Bassolé </w:t>
      </w:r>
      <w:r w:rsidRPr="00F634CD">
        <w:rPr>
          <w:rFonts w:asciiTheme="majorBidi" w:hAnsiTheme="majorBidi" w:cstheme="majorBidi"/>
          <w:kern w:val="24"/>
          <w:sz w:val="24"/>
          <w:szCs w:val="24"/>
        </w:rPr>
        <w:t>Léandre, « Responsabilité conjointe et performance des groupes de crédit », dans le développement face à la pauvreté : Réseau analyse économique et développement, Economica, 2006, pp .126-139.</w:t>
      </w:r>
    </w:p>
    <w:p w14:paraId="4B2E80C1"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Beckers</w:t>
      </w:r>
      <w:r w:rsidRPr="00F634CD">
        <w:rPr>
          <w:rFonts w:asciiTheme="majorBidi" w:hAnsiTheme="majorBidi" w:cstheme="majorBidi"/>
          <w:kern w:val="24"/>
          <w:sz w:val="24"/>
          <w:szCs w:val="24"/>
          <w:lang w:val="en-GB" w:eastAsia="fr-FR"/>
        </w:rPr>
        <w:t xml:space="preserve"> Stan,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eastAsia="fr-FR"/>
        </w:rPr>
        <w:t>A Survey of Risk Management Theory and Practice”, Risk Management and Analysis, Volume l, 1999, pp. 39-60.</w:t>
      </w:r>
    </w:p>
    <w:p w14:paraId="520E56BC"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Belmamoun</w:t>
      </w:r>
      <w:r w:rsidRPr="00F634CD">
        <w:rPr>
          <w:rFonts w:asciiTheme="majorBidi" w:hAnsiTheme="majorBidi" w:cstheme="majorBidi"/>
          <w:kern w:val="24"/>
          <w:sz w:val="24"/>
          <w:szCs w:val="24"/>
        </w:rPr>
        <w:t xml:space="preserve"> Mohamed Othmane, « Le stress testing du risque de crédit appliqué au portefeuille de clients de Finéa Maroc », HEC Montréal, 2014, 41 p.</w:t>
      </w:r>
    </w:p>
    <w:p w14:paraId="0B225659"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Bendjilali</w:t>
      </w:r>
      <w:r w:rsidRPr="00F634CD">
        <w:rPr>
          <w:rFonts w:asciiTheme="majorBidi" w:hAnsiTheme="majorBidi" w:cstheme="majorBidi"/>
          <w:kern w:val="24"/>
          <w:sz w:val="24"/>
          <w:szCs w:val="24"/>
        </w:rPr>
        <w:t xml:space="preserve"> Boualem, « La </w:t>
      </w:r>
      <w:r w:rsidRPr="00F634CD">
        <w:rPr>
          <w:rFonts w:asciiTheme="majorBidi" w:hAnsiTheme="majorBidi" w:cstheme="majorBidi"/>
          <w:i/>
          <w:iCs/>
          <w:kern w:val="24"/>
          <w:sz w:val="24"/>
          <w:szCs w:val="24"/>
        </w:rPr>
        <w:t>moucharaka</w:t>
      </w:r>
      <w:r w:rsidRPr="00F634CD">
        <w:rPr>
          <w:rFonts w:asciiTheme="majorBidi" w:hAnsiTheme="majorBidi" w:cstheme="majorBidi"/>
          <w:kern w:val="24"/>
          <w:sz w:val="24"/>
          <w:szCs w:val="24"/>
        </w:rPr>
        <w:t xml:space="preserve"> ou mode de financement de la participation », Actes de séminaire N° 37, BID, IIRF, 1992, pp. 32-54.</w:t>
      </w:r>
    </w:p>
    <w:p w14:paraId="3F5744F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Bendjilali</w:t>
      </w:r>
      <w:r w:rsidRPr="00F634CD">
        <w:rPr>
          <w:rFonts w:asciiTheme="majorBidi" w:hAnsiTheme="majorBidi" w:cstheme="majorBidi"/>
          <w:kern w:val="24"/>
          <w:sz w:val="24"/>
          <w:szCs w:val="24"/>
        </w:rPr>
        <w:t xml:space="preserve"> Boualem, « Les modes de financement </w:t>
      </w:r>
      <w:r w:rsidRPr="00912BFB">
        <w:rPr>
          <w:rFonts w:asciiTheme="majorBidi" w:hAnsiTheme="majorBidi" w:cstheme="majorBidi"/>
          <w:i/>
          <w:iCs/>
          <w:kern w:val="24"/>
          <w:sz w:val="24"/>
          <w:szCs w:val="24"/>
        </w:rPr>
        <w:t>moudaraba</w:t>
      </w:r>
      <w:r w:rsidRPr="00F634CD">
        <w:rPr>
          <w:rFonts w:asciiTheme="majorBidi" w:hAnsiTheme="majorBidi" w:cstheme="majorBidi"/>
          <w:kern w:val="24"/>
          <w:sz w:val="24"/>
          <w:szCs w:val="24"/>
        </w:rPr>
        <w:t xml:space="preserve">, </w:t>
      </w:r>
      <w:r w:rsidRPr="00912BFB">
        <w:rPr>
          <w:rFonts w:asciiTheme="majorBidi" w:hAnsiTheme="majorBidi" w:cstheme="majorBidi"/>
          <w:i/>
          <w:iCs/>
          <w:kern w:val="24"/>
          <w:sz w:val="24"/>
          <w:szCs w:val="24"/>
        </w:rPr>
        <w:t>mouzâraa’</w:t>
      </w:r>
      <w:r w:rsidRPr="00F634CD">
        <w:rPr>
          <w:rFonts w:asciiTheme="majorBidi" w:hAnsiTheme="majorBidi" w:cstheme="majorBidi"/>
          <w:kern w:val="24"/>
          <w:sz w:val="24"/>
          <w:szCs w:val="24"/>
        </w:rPr>
        <w:t xml:space="preserve"> et </w:t>
      </w:r>
      <w:r w:rsidRPr="00912BFB">
        <w:rPr>
          <w:rFonts w:asciiTheme="majorBidi" w:hAnsiTheme="majorBidi" w:cstheme="majorBidi"/>
          <w:i/>
          <w:iCs/>
          <w:kern w:val="24"/>
          <w:sz w:val="24"/>
          <w:szCs w:val="24"/>
        </w:rPr>
        <w:t>moussakât</w:t>
      </w:r>
      <w:r w:rsidRPr="00F634CD">
        <w:rPr>
          <w:rFonts w:asciiTheme="majorBidi" w:hAnsiTheme="majorBidi" w:cstheme="majorBidi"/>
          <w:kern w:val="24"/>
          <w:sz w:val="24"/>
          <w:szCs w:val="24"/>
        </w:rPr>
        <w:t> », in « Les sciences de la chari’a pour les économistes », Actes de séminaire N° 44, BID, IIRF, 2001, pp. 279-292.</w:t>
      </w:r>
    </w:p>
    <w:p w14:paraId="11FD66CA"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eastAsia="fr-FR"/>
        </w:rPr>
        <w:t>Ben Jedidia</w:t>
      </w:r>
      <w:r w:rsidRPr="00F634CD">
        <w:rPr>
          <w:rFonts w:asciiTheme="majorBidi" w:hAnsiTheme="majorBidi" w:cstheme="majorBidi"/>
          <w:kern w:val="24"/>
          <w:sz w:val="24"/>
          <w:szCs w:val="24"/>
          <w:lang w:eastAsia="fr-FR"/>
        </w:rPr>
        <w:t xml:space="preserve"> Khoutem, « L’intermédiation financière participative des banques islamiques », Etudes en Economie Islamique, Vol 6, 2012, pp. 17-31.</w:t>
      </w:r>
    </w:p>
    <w:p w14:paraId="415D098E"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lang w:eastAsia="fr-FR"/>
        </w:rPr>
        <w:t>Ben Jedidia</w:t>
      </w:r>
      <w:r w:rsidRPr="00F634CD">
        <w:rPr>
          <w:rFonts w:asciiTheme="majorBidi" w:hAnsiTheme="majorBidi" w:cstheme="majorBidi"/>
          <w:kern w:val="24"/>
          <w:sz w:val="24"/>
          <w:szCs w:val="24"/>
          <w:lang w:eastAsia="fr-FR"/>
        </w:rPr>
        <w:t xml:space="preserve"> Khoutem</w:t>
      </w:r>
      <w:r w:rsidRPr="00F634CD">
        <w:rPr>
          <w:rFonts w:asciiTheme="majorBidi" w:hAnsiTheme="majorBidi" w:cstheme="majorBidi"/>
          <w:kern w:val="24"/>
          <w:sz w:val="24"/>
          <w:szCs w:val="24"/>
        </w:rPr>
        <w:t xml:space="preserve"> et </w:t>
      </w:r>
      <w:r w:rsidRPr="00F634CD">
        <w:rPr>
          <w:rFonts w:asciiTheme="majorBidi" w:hAnsiTheme="majorBidi" w:cstheme="majorBidi"/>
          <w:smallCaps/>
          <w:kern w:val="24"/>
          <w:sz w:val="24"/>
          <w:szCs w:val="24"/>
        </w:rPr>
        <w:t>Jlassi</w:t>
      </w:r>
      <w:r w:rsidRPr="00F634CD">
        <w:rPr>
          <w:rFonts w:asciiTheme="majorBidi" w:hAnsiTheme="majorBidi" w:cstheme="majorBidi"/>
          <w:kern w:val="24"/>
          <w:sz w:val="24"/>
          <w:szCs w:val="24"/>
        </w:rPr>
        <w:t xml:space="preserve"> Mouldi, « Le risque de liquidité pour une banque islamique : Enjeux et gestion », Etudes en Economie Islamique, Vol 07, N° 01, 2013, pp.71-96.</w:t>
      </w:r>
    </w:p>
    <w:p w14:paraId="3D3A4E2D" w14:textId="77777777" w:rsidR="00912BFB" w:rsidRDefault="00C40DAA" w:rsidP="00621FA2">
      <w:pPr>
        <w:tabs>
          <w:tab w:val="left" w:pos="0"/>
          <w:tab w:val="left" w:pos="284"/>
        </w:tabs>
        <w:autoSpaceDE w:val="0"/>
        <w:autoSpaceDN w:val="0"/>
        <w:adjustRightInd w:val="0"/>
        <w:spacing w:before="120"/>
        <w:rPr>
          <w:rFonts w:asciiTheme="majorBidi" w:hAnsiTheme="majorBidi" w:cstheme="majorBidi"/>
          <w:kern w:val="24"/>
          <w:sz w:val="24"/>
          <w:szCs w:val="24"/>
        </w:rPr>
      </w:pPr>
      <w:hyperlink r:id="rId80" w:tooltip="Articles par Jilani Ben Lagha - AMEF Consulting" w:history="1">
        <w:r w:rsidR="00A42833" w:rsidRPr="00F634CD">
          <w:rPr>
            <w:rStyle w:val="Lienhypertexte"/>
            <w:rFonts w:asciiTheme="majorBidi" w:hAnsiTheme="majorBidi" w:cstheme="majorBidi"/>
            <w:color w:val="auto"/>
            <w:kern w:val="24"/>
            <w:sz w:val="24"/>
            <w:szCs w:val="24"/>
            <w:u w:val="none"/>
            <w:bdr w:val="none" w:sz="0" w:space="0" w:color="auto" w:frame="1"/>
            <w:shd w:val="clear" w:color="auto" w:fill="FFFFFF"/>
          </w:rPr>
          <w:t xml:space="preserve"> </w:t>
        </w:r>
        <w:r w:rsidR="00A42833" w:rsidRPr="00F634CD">
          <w:rPr>
            <w:rStyle w:val="Lienhypertexte"/>
            <w:rFonts w:asciiTheme="majorBidi" w:hAnsiTheme="majorBidi" w:cstheme="majorBidi"/>
            <w:smallCaps/>
            <w:color w:val="auto"/>
            <w:kern w:val="24"/>
            <w:sz w:val="24"/>
            <w:szCs w:val="24"/>
            <w:u w:val="none"/>
            <w:bdr w:val="none" w:sz="0" w:space="0" w:color="auto" w:frame="1"/>
            <w:shd w:val="clear" w:color="auto" w:fill="FFFFFF"/>
          </w:rPr>
          <w:t>Ben Lagha</w:t>
        </w:r>
      </w:hyperlink>
      <w:r w:rsidR="00A42833" w:rsidRPr="00F634CD">
        <w:rPr>
          <w:rFonts w:asciiTheme="majorBidi" w:hAnsiTheme="majorBidi" w:cstheme="majorBidi"/>
          <w:kern w:val="24"/>
          <w:sz w:val="24"/>
          <w:szCs w:val="24"/>
        </w:rPr>
        <w:t xml:space="preserve"> Jilani, « La finance islamique en Algérie », AMEF Consulting, dans :</w:t>
      </w:r>
    </w:p>
    <w:p w14:paraId="294472F1" w14:textId="059E2FFB" w:rsidR="00A42833" w:rsidRPr="00F634CD" w:rsidRDefault="00C40DAA" w:rsidP="00912BFB">
      <w:pPr>
        <w:tabs>
          <w:tab w:val="left" w:pos="0"/>
          <w:tab w:val="left" w:pos="284"/>
        </w:tabs>
        <w:autoSpaceDE w:val="0"/>
        <w:autoSpaceDN w:val="0"/>
        <w:adjustRightInd w:val="0"/>
        <w:rPr>
          <w:rFonts w:asciiTheme="majorBidi" w:hAnsiTheme="majorBidi" w:cstheme="majorBidi"/>
          <w:spacing w:val="-4"/>
          <w:kern w:val="24"/>
          <w:sz w:val="24"/>
          <w:szCs w:val="24"/>
          <w:lang w:eastAsia="fr-FR"/>
        </w:rPr>
      </w:pPr>
      <w:hyperlink r:id="rId81" w:history="1">
        <w:r w:rsidR="00912BFB" w:rsidRPr="003F3440">
          <w:rPr>
            <w:rStyle w:val="Lienhypertexte"/>
            <w:rFonts w:asciiTheme="majorBidi" w:hAnsiTheme="majorBidi" w:cstheme="majorBidi"/>
            <w:kern w:val="24"/>
            <w:sz w:val="24"/>
            <w:szCs w:val="24"/>
          </w:rPr>
          <w:t>https://www.amef-consulting.com/la-finance-islamique-en-algerie/</w:t>
        </w:r>
      </w:hyperlink>
      <w:r w:rsidR="00A42833" w:rsidRPr="00F634CD">
        <w:rPr>
          <w:rFonts w:asciiTheme="majorBidi" w:hAnsiTheme="majorBidi" w:cstheme="majorBidi"/>
          <w:kern w:val="24"/>
          <w:sz w:val="24"/>
          <w:szCs w:val="24"/>
        </w:rPr>
        <w:t>, consulté 22 juin 2021.</w:t>
      </w:r>
    </w:p>
    <w:p w14:paraId="41FA3FAC"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i/>
          <w:iCs/>
          <w:kern w:val="24"/>
          <w:sz w:val="24"/>
          <w:szCs w:val="24"/>
          <w:lang w:eastAsia="fr-FR"/>
        </w:rPr>
      </w:pPr>
      <w:r w:rsidRPr="00F634CD">
        <w:rPr>
          <w:rFonts w:asciiTheme="majorBidi" w:hAnsiTheme="majorBidi" w:cstheme="majorBidi"/>
          <w:smallCaps/>
          <w:kern w:val="24"/>
          <w:sz w:val="24"/>
          <w:szCs w:val="24"/>
        </w:rPr>
        <w:t>Bennamara</w:t>
      </w:r>
      <w:r w:rsidRPr="00F634CD">
        <w:rPr>
          <w:rFonts w:asciiTheme="majorBidi" w:hAnsiTheme="majorBidi" w:cstheme="majorBidi"/>
          <w:kern w:val="24"/>
          <w:sz w:val="24"/>
          <w:szCs w:val="24"/>
        </w:rPr>
        <w:t xml:space="preserve"> Sofia, « Finance islamique et capital risque », Cahier de recherche, Université de Laval, 2008, 70 p.</w:t>
      </w:r>
    </w:p>
    <w:p w14:paraId="38698533" w14:textId="67404003"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i/>
          <w:iCs/>
          <w:kern w:val="24"/>
          <w:sz w:val="24"/>
          <w:szCs w:val="24"/>
          <w:lang w:eastAsia="fr-FR"/>
        </w:rPr>
      </w:pPr>
      <w:bookmarkStart w:id="1858" w:name="_Hlk530946160"/>
      <w:r w:rsidRPr="00F634CD">
        <w:rPr>
          <w:rFonts w:asciiTheme="majorBidi" w:hAnsiTheme="majorBidi" w:cstheme="majorBidi"/>
          <w:smallCaps/>
          <w:kern w:val="24"/>
          <w:sz w:val="24"/>
          <w:szCs w:val="24"/>
        </w:rPr>
        <w:t>Bitar</w:t>
      </w:r>
      <w:r w:rsidRPr="00F634CD">
        <w:rPr>
          <w:rFonts w:asciiTheme="majorBidi" w:hAnsiTheme="majorBidi" w:cstheme="majorBidi"/>
          <w:kern w:val="24"/>
          <w:sz w:val="24"/>
          <w:szCs w:val="24"/>
        </w:rPr>
        <w:t xml:space="preserve"> Mohamed et </w:t>
      </w:r>
      <w:r w:rsidRPr="00F634CD">
        <w:rPr>
          <w:rFonts w:asciiTheme="majorBidi" w:hAnsiTheme="majorBidi" w:cstheme="majorBidi"/>
          <w:smallCaps/>
          <w:kern w:val="24"/>
          <w:sz w:val="24"/>
          <w:szCs w:val="24"/>
        </w:rPr>
        <w:t>Madiès</w:t>
      </w:r>
      <w:r w:rsidRPr="00F634CD">
        <w:rPr>
          <w:rFonts w:asciiTheme="majorBidi" w:hAnsiTheme="majorBidi" w:cstheme="majorBidi"/>
          <w:kern w:val="24"/>
          <w:sz w:val="24"/>
          <w:szCs w:val="24"/>
        </w:rPr>
        <w:t xml:space="preserve"> Philippe, « les spécificités des banques islamiques et la réglementation de Bâle 3 », Revue d’Economie Financière, N° 111, </w:t>
      </w:r>
      <w:r w:rsidR="00912BFB" w:rsidRPr="00F634CD">
        <w:rPr>
          <w:rFonts w:asciiTheme="majorBidi" w:hAnsiTheme="majorBidi" w:cstheme="majorBidi"/>
          <w:kern w:val="24"/>
          <w:sz w:val="24"/>
          <w:szCs w:val="24"/>
        </w:rPr>
        <w:t>2013, pp.</w:t>
      </w:r>
      <w:r w:rsidRPr="00F634CD">
        <w:rPr>
          <w:rFonts w:asciiTheme="majorBidi" w:hAnsiTheme="majorBidi" w:cstheme="majorBidi"/>
          <w:kern w:val="24"/>
          <w:sz w:val="24"/>
          <w:szCs w:val="24"/>
        </w:rPr>
        <w:t xml:space="preserve"> 293-310.</w:t>
      </w:r>
    </w:p>
    <w:bookmarkEnd w:id="1858"/>
    <w:p w14:paraId="4327B59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Blanchard</w:t>
      </w:r>
      <w:r w:rsidRPr="00F634CD">
        <w:rPr>
          <w:rFonts w:asciiTheme="majorBidi" w:hAnsiTheme="majorBidi" w:cstheme="majorBidi"/>
          <w:kern w:val="24"/>
          <w:sz w:val="24"/>
          <w:szCs w:val="24"/>
          <w:lang w:val="en-GB" w:eastAsia="fr-FR"/>
        </w:rPr>
        <w:t xml:space="preserve"> Danielle and </w:t>
      </w:r>
      <w:r w:rsidRPr="00F634CD">
        <w:rPr>
          <w:rFonts w:asciiTheme="majorBidi" w:hAnsiTheme="majorBidi" w:cstheme="majorBidi"/>
          <w:smallCaps/>
          <w:kern w:val="24"/>
          <w:sz w:val="24"/>
          <w:szCs w:val="24"/>
          <w:lang w:val="en-GB"/>
        </w:rPr>
        <w:t>Dionne</w:t>
      </w:r>
      <w:r w:rsidRPr="00F634CD">
        <w:rPr>
          <w:rFonts w:asciiTheme="majorBidi" w:hAnsiTheme="majorBidi" w:cstheme="majorBidi"/>
          <w:kern w:val="24"/>
          <w:sz w:val="24"/>
          <w:szCs w:val="24"/>
          <w:lang w:val="en-GB"/>
        </w:rPr>
        <w:t xml:space="preserve"> Georges, “Risk management and corporate governance”, Working Paper 03-04/ HEC, Montréal, 2003, 8 p.</w:t>
      </w:r>
    </w:p>
    <w:p w14:paraId="656E474E"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Bose</w:t>
      </w:r>
      <w:r w:rsidRPr="00F634CD">
        <w:rPr>
          <w:rFonts w:asciiTheme="majorBidi" w:hAnsiTheme="majorBidi" w:cstheme="majorBidi"/>
          <w:kern w:val="24"/>
          <w:sz w:val="24"/>
          <w:szCs w:val="24"/>
          <w:lang w:val="en-GB"/>
        </w:rPr>
        <w:t xml:space="preserve"> Sanjoy and </w:t>
      </w:r>
      <w:r w:rsidRPr="00F634CD">
        <w:rPr>
          <w:rFonts w:asciiTheme="majorBidi" w:hAnsiTheme="majorBidi" w:cstheme="majorBidi"/>
          <w:smallCaps/>
          <w:kern w:val="24"/>
          <w:sz w:val="24"/>
          <w:szCs w:val="24"/>
          <w:lang w:val="en-GB"/>
        </w:rPr>
        <w:t>McGee</w:t>
      </w:r>
      <w:r w:rsidRPr="00F634CD">
        <w:rPr>
          <w:rFonts w:asciiTheme="majorBidi" w:hAnsiTheme="majorBidi" w:cstheme="majorBidi"/>
          <w:kern w:val="24"/>
          <w:sz w:val="24"/>
          <w:szCs w:val="24"/>
          <w:lang w:val="en-GB"/>
        </w:rPr>
        <w:t xml:space="preserve"> Robert, </w:t>
      </w:r>
      <w:r w:rsidRPr="00F634CD">
        <w:rPr>
          <w:rFonts w:asciiTheme="majorBidi" w:hAnsiTheme="majorBidi" w:cstheme="majorBidi"/>
          <w:kern w:val="24"/>
          <w:sz w:val="24"/>
          <w:szCs w:val="24"/>
          <w:lang w:val="en-GB" w:eastAsia="fr-FR"/>
        </w:rPr>
        <w:t>“Islamic investment funds: An analysis of risks and returns”, Working Paper, Florida Internation</w:t>
      </w:r>
      <w:r w:rsidRPr="00F634CD">
        <w:rPr>
          <w:rFonts w:asciiTheme="majorBidi" w:hAnsiTheme="majorBidi" w:cstheme="majorBidi"/>
          <w:kern w:val="24"/>
          <w:sz w:val="24"/>
          <w:szCs w:val="24"/>
          <w:lang w:val="en-US" w:eastAsia="fr-FR"/>
        </w:rPr>
        <w:t>al University, 2008, 15 p.</w:t>
      </w:r>
    </w:p>
    <w:p w14:paraId="7EC27E71" w14:textId="77777777" w:rsidR="00912BFB" w:rsidRDefault="00A42833" w:rsidP="00912BFB">
      <w:pPr>
        <w:pStyle w:val="Sansinterligne"/>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Bouajina</w:t>
      </w:r>
      <w:r w:rsidRPr="00F634CD">
        <w:rPr>
          <w:rFonts w:asciiTheme="majorBidi" w:hAnsiTheme="majorBidi" w:cstheme="majorBidi"/>
          <w:kern w:val="24"/>
          <w:sz w:val="24"/>
          <w:szCs w:val="24"/>
        </w:rPr>
        <w:t xml:space="preserve"> </w:t>
      </w:r>
      <w:r w:rsidR="00912BFB" w:rsidRPr="00F634CD">
        <w:rPr>
          <w:rFonts w:asciiTheme="majorBidi" w:hAnsiTheme="majorBidi" w:cstheme="majorBidi"/>
          <w:kern w:val="24"/>
          <w:sz w:val="24"/>
          <w:szCs w:val="24"/>
        </w:rPr>
        <w:t>Ashraf et</w:t>
      </w:r>
      <w:r w:rsidRPr="00F634CD">
        <w:rPr>
          <w:rFonts w:asciiTheme="majorBidi" w:hAnsiTheme="majorBidi" w:cstheme="majorBidi"/>
          <w:kern w:val="24"/>
          <w:sz w:val="24"/>
          <w:szCs w:val="24"/>
        </w:rPr>
        <w:t xml:space="preserve"> </w:t>
      </w:r>
      <w:r w:rsidRPr="00F634CD">
        <w:rPr>
          <w:rFonts w:asciiTheme="majorBidi" w:hAnsiTheme="majorBidi" w:cstheme="majorBidi"/>
          <w:smallCaps/>
          <w:kern w:val="24"/>
          <w:sz w:val="24"/>
          <w:szCs w:val="24"/>
        </w:rPr>
        <w:t>Ahmad</w:t>
      </w:r>
      <w:r w:rsidRPr="00F634CD">
        <w:rPr>
          <w:rFonts w:asciiTheme="majorBidi" w:hAnsiTheme="majorBidi" w:cstheme="majorBidi"/>
          <w:kern w:val="24"/>
          <w:sz w:val="24"/>
          <w:szCs w:val="24"/>
        </w:rPr>
        <w:t xml:space="preserve"> Sara, « Un nouvel outil pour exploiter l’essor de la finance islamique en faveur du développement des infrastructures », 19 Février 2020, BANQUEMONDIALE.ORG dans</w:t>
      </w:r>
      <w:r w:rsidR="00912BFB">
        <w:rPr>
          <w:rFonts w:asciiTheme="majorBidi" w:hAnsiTheme="majorBidi" w:cstheme="majorBidi"/>
          <w:kern w:val="24"/>
          <w:sz w:val="24"/>
          <w:szCs w:val="24"/>
        </w:rPr>
        <w:t> :</w:t>
      </w:r>
    </w:p>
    <w:p w14:paraId="52B2794A" w14:textId="5AC8ABF5" w:rsidR="00A42833" w:rsidRPr="00F634CD" w:rsidRDefault="00C40DAA" w:rsidP="00912BFB">
      <w:pPr>
        <w:pStyle w:val="Sansinterligne"/>
        <w:spacing w:line="276" w:lineRule="auto"/>
        <w:rPr>
          <w:rFonts w:asciiTheme="majorBidi" w:hAnsiTheme="majorBidi" w:cstheme="majorBidi"/>
          <w:b/>
          <w:bCs/>
          <w:kern w:val="24"/>
          <w:sz w:val="24"/>
          <w:szCs w:val="24"/>
        </w:rPr>
      </w:pPr>
      <w:hyperlink r:id="rId82" w:history="1">
        <w:r w:rsidR="00912BFB" w:rsidRPr="003F3440">
          <w:rPr>
            <w:rStyle w:val="Lienhypertexte"/>
            <w:rFonts w:asciiTheme="majorBidi" w:hAnsiTheme="majorBidi" w:cstheme="majorBidi"/>
            <w:kern w:val="24"/>
            <w:sz w:val="24"/>
            <w:szCs w:val="24"/>
          </w:rPr>
          <w:t>https://blogs.worldbank.org/fr/voices/finance-Islamique-developpement-des-infrastructures</w:t>
        </w:r>
      </w:hyperlink>
      <w:r w:rsidR="00A42833" w:rsidRPr="00F634CD">
        <w:rPr>
          <w:rFonts w:asciiTheme="majorBidi" w:hAnsiTheme="majorBidi" w:cstheme="majorBidi"/>
          <w:kern w:val="24"/>
          <w:sz w:val="24"/>
          <w:szCs w:val="24"/>
        </w:rPr>
        <w:t>, consulté le 02/12/2020.</w:t>
      </w:r>
    </w:p>
    <w:p w14:paraId="23E3F2B0"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Bouaziz</w:t>
      </w:r>
      <w:r w:rsidRPr="00F634CD">
        <w:rPr>
          <w:rFonts w:asciiTheme="majorBidi" w:hAnsiTheme="majorBidi" w:cstheme="majorBidi"/>
          <w:color w:val="auto"/>
          <w:kern w:val="24"/>
        </w:rPr>
        <w:t xml:space="preserve"> Hamza, « Finance islamique et gestion de la liquidité », Forum algérien de la finance islamique : 2ème édition Alger, 2009, 12 p.</w:t>
      </w:r>
    </w:p>
    <w:p w14:paraId="7AE20581" w14:textId="5F0150E1"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Boudjellal</w:t>
      </w:r>
      <w:r w:rsidRPr="00F634CD">
        <w:rPr>
          <w:rFonts w:asciiTheme="majorBidi" w:hAnsiTheme="majorBidi" w:cstheme="majorBidi"/>
          <w:kern w:val="24"/>
          <w:sz w:val="24"/>
          <w:szCs w:val="24"/>
        </w:rPr>
        <w:t xml:space="preserve"> Mohamed, « As-</w:t>
      </w:r>
      <w:r w:rsidRPr="00912BFB">
        <w:rPr>
          <w:rFonts w:asciiTheme="majorBidi" w:hAnsiTheme="majorBidi" w:cstheme="majorBidi"/>
          <w:i/>
          <w:iCs/>
          <w:kern w:val="24"/>
          <w:sz w:val="24"/>
          <w:szCs w:val="24"/>
        </w:rPr>
        <w:t>salam</w:t>
      </w:r>
      <w:r w:rsidRPr="00F634CD">
        <w:rPr>
          <w:rFonts w:asciiTheme="majorBidi" w:hAnsiTheme="majorBidi" w:cstheme="majorBidi"/>
          <w:kern w:val="24"/>
          <w:sz w:val="24"/>
          <w:szCs w:val="24"/>
        </w:rPr>
        <w:t>, al-</w:t>
      </w:r>
      <w:r w:rsidR="00912BFB" w:rsidRPr="00912BFB">
        <w:rPr>
          <w:rFonts w:asciiTheme="majorBidi" w:hAnsiTheme="majorBidi" w:cstheme="majorBidi"/>
          <w:i/>
          <w:iCs/>
          <w:kern w:val="24"/>
          <w:sz w:val="24"/>
          <w:szCs w:val="24"/>
        </w:rPr>
        <w:t>i</w:t>
      </w:r>
      <w:r w:rsidRPr="00912BFB">
        <w:rPr>
          <w:rFonts w:asciiTheme="majorBidi" w:hAnsiTheme="majorBidi" w:cstheme="majorBidi"/>
          <w:i/>
          <w:iCs/>
          <w:kern w:val="24"/>
          <w:sz w:val="24"/>
          <w:szCs w:val="24"/>
        </w:rPr>
        <w:t>stisna’</w:t>
      </w:r>
      <w:r w:rsidRPr="00F634CD">
        <w:rPr>
          <w:rFonts w:asciiTheme="majorBidi" w:hAnsiTheme="majorBidi" w:cstheme="majorBidi"/>
          <w:kern w:val="24"/>
          <w:sz w:val="24"/>
          <w:szCs w:val="24"/>
        </w:rPr>
        <w:t>, al-</w:t>
      </w:r>
      <w:r w:rsidRPr="00912BFB">
        <w:rPr>
          <w:rFonts w:asciiTheme="majorBidi" w:hAnsiTheme="majorBidi" w:cstheme="majorBidi"/>
          <w:i/>
          <w:iCs/>
          <w:kern w:val="24"/>
          <w:sz w:val="24"/>
          <w:szCs w:val="24"/>
        </w:rPr>
        <w:t>joala</w:t>
      </w:r>
      <w:r w:rsidRPr="00F634CD">
        <w:rPr>
          <w:rFonts w:asciiTheme="majorBidi" w:hAnsiTheme="majorBidi" w:cstheme="majorBidi"/>
          <w:kern w:val="24"/>
          <w:sz w:val="24"/>
          <w:szCs w:val="24"/>
        </w:rPr>
        <w:t>, ou mode de financement peu utilisés par les banques islamiques », dans « Introduction aux techniques islamiques de financement », Actes de séminaire N° 3, IIRF, BID, 1996, pp. 153- 172.</w:t>
      </w:r>
    </w:p>
    <w:p w14:paraId="4BFA0F36" w14:textId="1E416E5E"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Boudjellal</w:t>
      </w:r>
      <w:r w:rsidRPr="00F634CD">
        <w:rPr>
          <w:rFonts w:asciiTheme="majorBidi" w:hAnsiTheme="majorBidi" w:cstheme="majorBidi"/>
          <w:kern w:val="24"/>
          <w:sz w:val="24"/>
          <w:szCs w:val="24"/>
        </w:rPr>
        <w:t xml:space="preserve"> Mohamed</w:t>
      </w:r>
      <w:r w:rsidRPr="00F634CD">
        <w:rPr>
          <w:rFonts w:asciiTheme="majorBidi" w:hAnsiTheme="majorBidi" w:cstheme="majorBidi"/>
          <w:kern w:val="24"/>
          <w:sz w:val="24"/>
          <w:szCs w:val="24"/>
          <w:lang w:eastAsia="fr-FR"/>
        </w:rPr>
        <w:t>, « Les acquis et les défis de la finance islamique », Séminaire international sur « Les services financiers et la gestion des risques dans les banques islamiques », Université F</w:t>
      </w:r>
      <w:r w:rsidR="00F634CD" w:rsidRPr="00F634CD">
        <w:rPr>
          <w:rFonts w:asciiTheme="majorBidi" w:hAnsiTheme="majorBidi" w:cstheme="majorBidi"/>
          <w:kern w:val="24"/>
          <w:sz w:val="24"/>
          <w:szCs w:val="24"/>
          <w:lang w:eastAsia="fr-FR"/>
        </w:rPr>
        <w:t>er</w:t>
      </w:r>
      <w:r w:rsidRPr="00F634CD">
        <w:rPr>
          <w:rFonts w:asciiTheme="majorBidi" w:hAnsiTheme="majorBidi" w:cstheme="majorBidi"/>
          <w:kern w:val="24"/>
          <w:sz w:val="24"/>
          <w:szCs w:val="24"/>
          <w:lang w:eastAsia="fr-FR"/>
        </w:rPr>
        <w:t>hat Abbas, Sétif, Algérie, 18-20 avril 2010, 7 p.</w:t>
      </w:r>
    </w:p>
    <w:p w14:paraId="53267371" w14:textId="291AE95B"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US"/>
        </w:rPr>
      </w:pPr>
      <w:r w:rsidRPr="00F634CD">
        <w:rPr>
          <w:rFonts w:asciiTheme="majorBidi" w:hAnsiTheme="majorBidi" w:cstheme="majorBidi"/>
          <w:iCs/>
          <w:smallCaps/>
          <w:kern w:val="24"/>
          <w:sz w:val="24"/>
          <w:szCs w:val="24"/>
          <w:lang w:val="en-GB"/>
        </w:rPr>
        <w:t>Boumediene</w:t>
      </w:r>
      <w:r w:rsidRPr="00F634CD">
        <w:rPr>
          <w:rFonts w:asciiTheme="majorBidi" w:hAnsiTheme="majorBidi" w:cstheme="majorBidi"/>
          <w:iCs/>
          <w:kern w:val="24"/>
          <w:sz w:val="24"/>
          <w:szCs w:val="24"/>
          <w:lang w:val="en-GB"/>
        </w:rPr>
        <w:t xml:space="preserve"> Aniss and </w:t>
      </w:r>
      <w:r w:rsidRPr="00F634CD">
        <w:rPr>
          <w:rFonts w:asciiTheme="majorBidi" w:hAnsiTheme="majorBidi" w:cstheme="majorBidi"/>
          <w:iCs/>
          <w:smallCaps/>
          <w:kern w:val="24"/>
          <w:sz w:val="24"/>
          <w:szCs w:val="24"/>
          <w:lang w:val="en-GB"/>
        </w:rPr>
        <w:t>Caby</w:t>
      </w:r>
      <w:r w:rsidRPr="00F634CD">
        <w:rPr>
          <w:rFonts w:asciiTheme="majorBidi" w:hAnsiTheme="majorBidi" w:cstheme="majorBidi"/>
          <w:iCs/>
          <w:kern w:val="24"/>
          <w:sz w:val="24"/>
          <w:szCs w:val="24"/>
          <w:lang w:val="en-GB"/>
        </w:rPr>
        <w:t xml:space="preserve"> </w:t>
      </w:r>
      <w:r w:rsidRPr="00F634CD">
        <w:rPr>
          <w:rFonts w:asciiTheme="majorBidi" w:hAnsiTheme="majorBidi" w:cstheme="majorBidi"/>
          <w:iCs/>
          <w:kern w:val="24"/>
          <w:sz w:val="24"/>
          <w:szCs w:val="24"/>
          <w:lang w:val="en-US"/>
        </w:rPr>
        <w:t xml:space="preserve">Jérôme, “The stability of </w:t>
      </w:r>
      <w:r w:rsidR="00912BFB" w:rsidRPr="00F634CD">
        <w:rPr>
          <w:rFonts w:asciiTheme="majorBidi" w:hAnsiTheme="majorBidi" w:cstheme="majorBidi"/>
          <w:iCs/>
          <w:kern w:val="24"/>
          <w:sz w:val="24"/>
          <w:szCs w:val="24"/>
          <w:lang w:val="en-US"/>
        </w:rPr>
        <w:t>Islamic</w:t>
      </w:r>
      <w:r w:rsidRPr="00F634CD">
        <w:rPr>
          <w:rFonts w:asciiTheme="majorBidi" w:hAnsiTheme="majorBidi" w:cstheme="majorBidi"/>
          <w:iCs/>
          <w:kern w:val="24"/>
          <w:sz w:val="24"/>
          <w:szCs w:val="24"/>
          <w:lang w:val="en-US"/>
        </w:rPr>
        <w:t xml:space="preserve"> banks during the subprime crisis”, SSRN abstract= 1524775, 2010, 19 p.</w:t>
      </w:r>
    </w:p>
    <w:p w14:paraId="05279451"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Boutaour-Kandil</w:t>
      </w:r>
      <w:r w:rsidRPr="00F634CD">
        <w:rPr>
          <w:rFonts w:asciiTheme="majorBidi" w:hAnsiTheme="majorBidi" w:cstheme="majorBidi"/>
          <w:kern w:val="24"/>
          <w:sz w:val="24"/>
          <w:szCs w:val="24"/>
        </w:rPr>
        <w:t xml:space="preserve"> Mouâd, « Perspectives d’investissements islamiques : analyse des marchés financiers en 2013 », Cahiers de la finance islamique, N°7, 2014, pp. 79-103.</w:t>
      </w:r>
    </w:p>
    <w:p w14:paraId="5A7187DE"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US"/>
        </w:rPr>
      </w:pPr>
      <w:r w:rsidRPr="00F634CD">
        <w:rPr>
          <w:rFonts w:asciiTheme="majorBidi" w:hAnsiTheme="majorBidi" w:cstheme="majorBidi"/>
          <w:iCs/>
          <w:smallCaps/>
          <w:kern w:val="24"/>
          <w:sz w:val="24"/>
          <w:szCs w:val="24"/>
          <w:lang w:val="en-GB"/>
        </w:rPr>
        <w:t>Bryant</w:t>
      </w:r>
      <w:r w:rsidRPr="00F634CD">
        <w:rPr>
          <w:rFonts w:asciiTheme="majorBidi" w:hAnsiTheme="majorBidi" w:cstheme="majorBidi"/>
          <w:iCs/>
          <w:kern w:val="24"/>
          <w:sz w:val="24"/>
          <w:szCs w:val="24"/>
          <w:lang w:val="en-GB"/>
        </w:rPr>
        <w:t xml:space="preserve"> John, “A model of reserves, bank runs and deposit insurance”, Journal of banking and finance, Vol 4, N° 4, 1980, pp. 335-344.</w:t>
      </w:r>
    </w:p>
    <w:p w14:paraId="50764270" w14:textId="575B8CC8"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US"/>
        </w:rPr>
      </w:pPr>
      <w:r w:rsidRPr="00F634CD">
        <w:rPr>
          <w:rFonts w:asciiTheme="majorBidi" w:hAnsiTheme="majorBidi" w:cstheme="majorBidi"/>
          <w:iCs/>
          <w:smallCaps/>
          <w:kern w:val="24"/>
          <w:sz w:val="24"/>
          <w:szCs w:val="24"/>
          <w:lang w:val="en-US"/>
        </w:rPr>
        <w:t>Brown</w:t>
      </w:r>
      <w:r w:rsidRPr="00F634CD">
        <w:rPr>
          <w:rFonts w:asciiTheme="majorBidi" w:hAnsiTheme="majorBidi" w:cstheme="majorBidi"/>
          <w:iCs/>
          <w:kern w:val="24"/>
          <w:sz w:val="24"/>
          <w:szCs w:val="24"/>
          <w:lang w:val="en-US"/>
        </w:rPr>
        <w:t xml:space="preserve"> Kym, “</w:t>
      </w:r>
      <w:r w:rsidR="00912BFB">
        <w:rPr>
          <w:rFonts w:asciiTheme="majorBidi" w:hAnsiTheme="majorBidi" w:cstheme="majorBidi"/>
          <w:iCs/>
          <w:kern w:val="24"/>
          <w:sz w:val="24"/>
          <w:szCs w:val="24"/>
          <w:lang w:val="en-US"/>
        </w:rPr>
        <w:t>I</w:t>
      </w:r>
      <w:r w:rsidRPr="00F634CD">
        <w:rPr>
          <w:rFonts w:asciiTheme="majorBidi" w:hAnsiTheme="majorBidi" w:cstheme="majorBidi"/>
          <w:iCs/>
          <w:kern w:val="24"/>
          <w:sz w:val="24"/>
          <w:szCs w:val="24"/>
          <w:lang w:val="en-US"/>
        </w:rPr>
        <w:t>slamic banking: comparative analysis”, The Arab Bank Review, Vol 5, N°2, 2003, pp. 43-50.</w:t>
      </w:r>
    </w:p>
    <w:p w14:paraId="63DFA70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Carey</w:t>
      </w:r>
      <w:r w:rsidRPr="00F634CD">
        <w:rPr>
          <w:rFonts w:asciiTheme="majorBidi" w:hAnsiTheme="majorBidi" w:cstheme="majorBidi"/>
          <w:kern w:val="24"/>
          <w:sz w:val="24"/>
          <w:szCs w:val="24"/>
          <w:lang w:val="en-GB" w:eastAsia="fr-FR"/>
        </w:rPr>
        <w:t xml:space="preserve"> </w:t>
      </w:r>
      <w:r w:rsidRPr="00F634CD">
        <w:rPr>
          <w:rFonts w:asciiTheme="majorBidi" w:hAnsiTheme="majorBidi" w:cstheme="majorBidi"/>
          <w:kern w:val="24"/>
          <w:sz w:val="24"/>
          <w:szCs w:val="24"/>
          <w:lang w:val="en-US" w:eastAsia="fr-FR"/>
        </w:rPr>
        <w:t xml:space="preserve">Mark et </w:t>
      </w:r>
      <w:r w:rsidRPr="00F634CD">
        <w:rPr>
          <w:rFonts w:asciiTheme="majorBidi" w:hAnsiTheme="majorBidi" w:cstheme="majorBidi"/>
          <w:smallCaps/>
          <w:kern w:val="24"/>
          <w:sz w:val="24"/>
          <w:szCs w:val="24"/>
          <w:lang w:val="en-US" w:eastAsia="fr-FR"/>
        </w:rPr>
        <w:t>Stulz</w:t>
      </w:r>
      <w:r w:rsidRPr="00F634CD">
        <w:rPr>
          <w:rFonts w:asciiTheme="majorBidi" w:hAnsiTheme="majorBidi" w:cstheme="majorBidi"/>
          <w:kern w:val="24"/>
          <w:sz w:val="24"/>
          <w:szCs w:val="24"/>
          <w:lang w:val="en-US" w:eastAsia="fr-FR"/>
        </w:rPr>
        <w:t xml:space="preserve"> Rene M, “The risks of financial institutions”, </w:t>
      </w:r>
      <w:r w:rsidRPr="00F634CD">
        <w:rPr>
          <w:rFonts w:asciiTheme="majorBidi" w:hAnsiTheme="majorBidi" w:cstheme="majorBidi"/>
          <w:kern w:val="24"/>
          <w:sz w:val="24"/>
          <w:szCs w:val="24"/>
          <w:lang w:val="en-GB"/>
        </w:rPr>
        <w:t>NBER Working Paper No. 11442,</w:t>
      </w:r>
      <w:r w:rsidRPr="00F634CD">
        <w:rPr>
          <w:rFonts w:asciiTheme="majorBidi" w:hAnsiTheme="majorBidi" w:cstheme="majorBidi"/>
          <w:kern w:val="24"/>
          <w:sz w:val="24"/>
          <w:szCs w:val="24"/>
          <w:lang w:val="en-US" w:eastAsia="fr-FR"/>
        </w:rPr>
        <w:t xml:space="preserve"> </w:t>
      </w:r>
      <w:r w:rsidRPr="00F634CD">
        <w:rPr>
          <w:rFonts w:asciiTheme="majorBidi" w:hAnsiTheme="majorBidi" w:cstheme="majorBidi"/>
          <w:kern w:val="24"/>
          <w:sz w:val="24"/>
          <w:szCs w:val="24"/>
          <w:lang w:val="en-GB" w:eastAsia="fr-FR"/>
        </w:rPr>
        <w:t>University of Chicago Press, 2005, 34 p.</w:t>
      </w:r>
    </w:p>
    <w:p w14:paraId="1617269D" w14:textId="7A5E3E88" w:rsidR="00A42833" w:rsidRPr="00F634CD" w:rsidRDefault="00A42833" w:rsidP="00621FA2">
      <w:pPr>
        <w:pStyle w:val="Notedebasdepage"/>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 xml:space="preserve">Catak </w:t>
      </w:r>
      <w:r w:rsidRPr="00F634CD">
        <w:rPr>
          <w:rFonts w:asciiTheme="majorBidi" w:hAnsiTheme="majorBidi" w:cstheme="majorBidi"/>
          <w:kern w:val="24"/>
          <w:sz w:val="24"/>
          <w:szCs w:val="24"/>
          <w:lang w:val="en-GB"/>
        </w:rPr>
        <w:t xml:space="preserve">Ciydem and </w:t>
      </w:r>
      <w:r w:rsidRPr="00F634CD">
        <w:rPr>
          <w:rFonts w:asciiTheme="majorBidi" w:hAnsiTheme="majorBidi" w:cstheme="majorBidi"/>
          <w:smallCaps/>
          <w:kern w:val="24"/>
          <w:sz w:val="24"/>
          <w:szCs w:val="24"/>
          <w:lang w:val="en-GB"/>
        </w:rPr>
        <w:t xml:space="preserve">Yilmaz Arslan </w:t>
      </w:r>
      <w:r w:rsidRPr="00F634CD">
        <w:rPr>
          <w:rFonts w:asciiTheme="majorBidi" w:hAnsiTheme="majorBidi" w:cstheme="majorBidi"/>
          <w:kern w:val="24"/>
          <w:sz w:val="24"/>
          <w:szCs w:val="24"/>
          <w:lang w:val="en-GB"/>
        </w:rPr>
        <w:t>Sena</w:t>
      </w:r>
      <w:r w:rsidRPr="00F634CD">
        <w:rPr>
          <w:rFonts w:asciiTheme="majorBidi" w:hAnsiTheme="majorBidi" w:cstheme="majorBidi"/>
          <w:smallCaps/>
          <w:kern w:val="24"/>
          <w:sz w:val="24"/>
          <w:szCs w:val="24"/>
          <w:lang w:val="en-GB"/>
        </w:rPr>
        <w:t>, (2020), « D</w:t>
      </w:r>
      <w:r w:rsidRPr="00F634CD">
        <w:rPr>
          <w:rFonts w:asciiTheme="majorBidi" w:hAnsiTheme="majorBidi" w:cstheme="majorBidi"/>
          <w:kern w:val="24"/>
          <w:sz w:val="24"/>
          <w:szCs w:val="24"/>
          <w:lang w:val="en-GB"/>
        </w:rPr>
        <w:t>oes</w:t>
      </w:r>
      <w:r w:rsidRPr="00F634CD">
        <w:rPr>
          <w:rFonts w:asciiTheme="majorBidi" w:hAnsiTheme="majorBidi" w:cstheme="majorBidi"/>
          <w:smallCaps/>
          <w:kern w:val="24"/>
          <w:sz w:val="24"/>
          <w:szCs w:val="24"/>
          <w:lang w:val="en-GB"/>
        </w:rPr>
        <w:t xml:space="preserve"> </w:t>
      </w:r>
      <w:r w:rsidR="00912BFB" w:rsidRPr="00F634CD">
        <w:rPr>
          <w:rFonts w:asciiTheme="majorBidi" w:hAnsiTheme="majorBidi" w:cstheme="majorBidi"/>
          <w:kern w:val="24"/>
          <w:sz w:val="24"/>
          <w:szCs w:val="24"/>
          <w:lang w:val="en-GB"/>
        </w:rPr>
        <w:t>Islamic</w:t>
      </w:r>
      <w:r w:rsidRPr="00F634CD">
        <w:rPr>
          <w:rFonts w:asciiTheme="majorBidi" w:hAnsiTheme="majorBidi" w:cstheme="majorBidi"/>
          <w:kern w:val="24"/>
          <w:sz w:val="24"/>
          <w:szCs w:val="24"/>
          <w:lang w:val="en-GB"/>
        </w:rPr>
        <w:t xml:space="preserve"> banking have a future in Germany ?</w:t>
      </w:r>
      <w:r w:rsidRPr="00F634CD">
        <w:rPr>
          <w:rFonts w:asciiTheme="majorBidi" w:hAnsiTheme="majorBidi" w:cstheme="majorBidi"/>
          <w:smallCaps/>
          <w:kern w:val="24"/>
          <w:sz w:val="24"/>
          <w:szCs w:val="24"/>
          <w:lang w:val="en-GB"/>
        </w:rPr>
        <w:t xml:space="preserve"> </w:t>
      </w:r>
      <w:r w:rsidRPr="00F634CD">
        <w:rPr>
          <w:rFonts w:asciiTheme="majorBidi" w:hAnsiTheme="majorBidi" w:cstheme="majorBidi"/>
          <w:kern w:val="24"/>
          <w:sz w:val="24"/>
          <w:szCs w:val="24"/>
          <w:lang w:val="en-GB"/>
        </w:rPr>
        <w:t>Survey on german muslims perceptions », Journal of Ecnomics, Finance and Accounting, Vol 07, Issue 02, pp. 187-197.</w:t>
      </w:r>
    </w:p>
    <w:p w14:paraId="11310691"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eastAsia="fr-FR"/>
        </w:rPr>
        <w:t>Causse- Broquet</w:t>
      </w:r>
      <w:r w:rsidRPr="00F634CD">
        <w:rPr>
          <w:rFonts w:asciiTheme="majorBidi" w:hAnsiTheme="majorBidi" w:cstheme="majorBidi"/>
          <w:kern w:val="24"/>
          <w:sz w:val="24"/>
          <w:szCs w:val="24"/>
          <w:lang w:eastAsia="fr-FR"/>
        </w:rPr>
        <w:t xml:space="preserve"> Geneviève, « Risques opérationnels en finance islamique », First Conference on Risk Management in Islamic Finance, Paris, 2010, 15 p.</w:t>
      </w:r>
    </w:p>
    <w:p w14:paraId="20D59EA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eastAsia="fr-FR"/>
        </w:rPr>
        <w:t>Causse- Broquet</w:t>
      </w:r>
      <w:r w:rsidRPr="00F634CD">
        <w:rPr>
          <w:rFonts w:asciiTheme="majorBidi" w:hAnsiTheme="majorBidi" w:cstheme="majorBidi"/>
          <w:kern w:val="24"/>
          <w:sz w:val="24"/>
          <w:szCs w:val="24"/>
          <w:lang w:eastAsia="fr-FR"/>
        </w:rPr>
        <w:t xml:space="preserve"> Geneviève</w:t>
      </w:r>
      <w:r w:rsidRPr="00F634CD">
        <w:rPr>
          <w:rFonts w:asciiTheme="majorBidi" w:hAnsiTheme="majorBidi" w:cstheme="majorBidi"/>
          <w:kern w:val="24"/>
          <w:sz w:val="24"/>
          <w:szCs w:val="24"/>
        </w:rPr>
        <w:t>, « Le sort des banques islamiques ; de la difficulté de satisfaire des objectifs multiples », La Revue des sciences de gestion, n°255-256, 2012, pp. 111-121.</w:t>
      </w:r>
    </w:p>
    <w:p w14:paraId="3E333193"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Cebenoyan</w:t>
      </w:r>
      <w:r w:rsidRPr="00F634CD">
        <w:rPr>
          <w:rFonts w:asciiTheme="majorBidi" w:hAnsiTheme="majorBidi" w:cstheme="majorBidi"/>
          <w:kern w:val="24"/>
          <w:sz w:val="24"/>
          <w:szCs w:val="24"/>
          <w:lang w:val="en-US" w:eastAsia="fr-FR"/>
        </w:rPr>
        <w:t xml:space="preserve"> Sinan A and </w:t>
      </w:r>
      <w:r w:rsidRPr="00F634CD">
        <w:rPr>
          <w:rFonts w:asciiTheme="majorBidi" w:hAnsiTheme="majorBidi" w:cstheme="majorBidi"/>
          <w:smallCaps/>
          <w:kern w:val="24"/>
          <w:sz w:val="24"/>
          <w:szCs w:val="24"/>
          <w:lang w:val="en-US" w:eastAsia="fr-FR"/>
        </w:rPr>
        <w:t>Strahan</w:t>
      </w:r>
      <w:r w:rsidRPr="00F634CD">
        <w:rPr>
          <w:rFonts w:asciiTheme="majorBidi" w:hAnsiTheme="majorBidi" w:cstheme="majorBidi"/>
          <w:kern w:val="24"/>
          <w:sz w:val="24"/>
          <w:szCs w:val="24"/>
          <w:lang w:val="en-US" w:eastAsia="fr-FR"/>
        </w:rPr>
        <w:t xml:space="preserve"> Philip E.,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US" w:eastAsia="fr-FR"/>
        </w:rPr>
        <w:t xml:space="preserve">Risk management, capital structure and lending at banks”, </w:t>
      </w:r>
      <w:hyperlink r:id="rId83" w:history="1">
        <w:r w:rsidRPr="00F634CD">
          <w:rPr>
            <w:rStyle w:val="Lienhypertexte"/>
            <w:rFonts w:asciiTheme="majorBidi" w:hAnsiTheme="majorBidi" w:cstheme="majorBidi"/>
            <w:color w:val="auto"/>
            <w:kern w:val="24"/>
            <w:sz w:val="24"/>
            <w:szCs w:val="24"/>
            <w:u w:val="none"/>
            <w:shd w:val="clear" w:color="auto" w:fill="FFFFFF"/>
            <w:lang w:val="en-GB"/>
          </w:rPr>
          <w:t>Journal of Banking &amp; Finance</w:t>
        </w:r>
      </w:hyperlink>
      <w:r w:rsidRPr="00F634CD">
        <w:rPr>
          <w:rFonts w:asciiTheme="majorBidi" w:hAnsiTheme="majorBidi" w:cstheme="majorBidi"/>
          <w:kern w:val="24"/>
          <w:sz w:val="24"/>
          <w:szCs w:val="24"/>
          <w:shd w:val="clear" w:color="auto" w:fill="FFFFFF"/>
          <w:lang w:val="en-GB"/>
        </w:rPr>
        <w:t>, vol. 28, issue 1, 2004, pp. 19-43.</w:t>
      </w:r>
    </w:p>
    <w:p w14:paraId="4D0198E3"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CECCHETTI</w:t>
      </w:r>
      <w:r w:rsidRPr="00F634CD">
        <w:rPr>
          <w:rFonts w:asciiTheme="majorBidi" w:hAnsiTheme="majorBidi" w:cstheme="majorBidi"/>
          <w:kern w:val="24"/>
          <w:sz w:val="24"/>
          <w:szCs w:val="24"/>
        </w:rPr>
        <w:t xml:space="preserve"> Stephen, « Le point sur la réforme financière », Banque des Règlements Internationaux, Forum économique de Westminster, 4 octobre, 2010, 7 p.</w:t>
      </w:r>
    </w:p>
    <w:p w14:paraId="5153170D" w14:textId="54CB194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US" w:eastAsia="fr-FR"/>
        </w:rPr>
        <w:t xml:space="preserve">Chapra </w:t>
      </w:r>
      <w:r w:rsidRPr="00F634CD">
        <w:rPr>
          <w:rFonts w:asciiTheme="majorBidi" w:hAnsiTheme="majorBidi" w:cstheme="majorBidi"/>
          <w:kern w:val="24"/>
          <w:sz w:val="24"/>
          <w:szCs w:val="24"/>
          <w:lang w:val="en-US" w:eastAsia="fr-FR"/>
        </w:rPr>
        <w:t xml:space="preserve">Muhammad Umer, “Monetary management in </w:t>
      </w:r>
      <w:r w:rsidR="00912BFB"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economy”, </w:t>
      </w:r>
      <w:r w:rsidRPr="00F634CD">
        <w:rPr>
          <w:rFonts w:asciiTheme="majorBidi" w:hAnsiTheme="majorBidi" w:cstheme="majorBidi"/>
          <w:kern w:val="24"/>
          <w:sz w:val="24"/>
          <w:szCs w:val="24"/>
          <w:lang w:val="en-GB" w:eastAsia="fr-FR"/>
        </w:rPr>
        <w:t>Islamic Economic Studies, Vol 4, N°1, 1996, pp. 2-35.</w:t>
      </w:r>
    </w:p>
    <w:p w14:paraId="7BA83EB6" w14:textId="1F5D120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US"/>
        </w:rPr>
      </w:pPr>
      <w:r w:rsidRPr="00F634CD">
        <w:rPr>
          <w:rFonts w:asciiTheme="majorBidi" w:hAnsiTheme="majorBidi" w:cstheme="majorBidi"/>
          <w:smallCaps/>
          <w:color w:val="auto"/>
          <w:kern w:val="24"/>
          <w:lang w:val="en-US"/>
        </w:rPr>
        <w:t xml:space="preserve">Chapra </w:t>
      </w:r>
      <w:r w:rsidRPr="00F634CD">
        <w:rPr>
          <w:rFonts w:asciiTheme="majorBidi" w:hAnsiTheme="majorBidi" w:cstheme="majorBidi"/>
          <w:color w:val="auto"/>
          <w:kern w:val="24"/>
          <w:lang w:val="en-US"/>
        </w:rPr>
        <w:t xml:space="preserve">Muhammad Umer, “Is it necessary to have </w:t>
      </w:r>
      <w:r w:rsidR="00912BFB" w:rsidRPr="00F634CD">
        <w:rPr>
          <w:rFonts w:asciiTheme="majorBidi" w:hAnsiTheme="majorBidi" w:cstheme="majorBidi"/>
          <w:color w:val="auto"/>
          <w:kern w:val="24"/>
          <w:lang w:val="en-US"/>
        </w:rPr>
        <w:t>Islamic</w:t>
      </w:r>
      <w:r w:rsidRPr="00F634CD">
        <w:rPr>
          <w:rFonts w:asciiTheme="majorBidi" w:hAnsiTheme="majorBidi" w:cstheme="majorBidi"/>
          <w:color w:val="auto"/>
          <w:kern w:val="24"/>
          <w:lang w:val="en-US"/>
        </w:rPr>
        <w:t xml:space="preserve"> economics?”, Journal of Socio-Economics, N° 29, 2000, pp.21–37</w:t>
      </w:r>
    </w:p>
    <w:p w14:paraId="007AC90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US" w:eastAsia="fr-FR"/>
        </w:rPr>
        <w:t xml:space="preserve">Chapra </w:t>
      </w:r>
      <w:r w:rsidRPr="00F634CD">
        <w:rPr>
          <w:rFonts w:asciiTheme="majorBidi" w:hAnsiTheme="majorBidi" w:cstheme="majorBidi"/>
          <w:kern w:val="24"/>
          <w:sz w:val="24"/>
          <w:szCs w:val="24"/>
          <w:lang w:val="en-US" w:eastAsia="fr-FR"/>
        </w:rPr>
        <w:t>Muhammad Umer</w:t>
      </w:r>
      <w:r w:rsidRPr="00F634CD">
        <w:rPr>
          <w:rFonts w:asciiTheme="majorBidi" w:hAnsiTheme="majorBidi" w:cstheme="majorBidi"/>
          <w:kern w:val="24"/>
          <w:sz w:val="24"/>
          <w:szCs w:val="24"/>
          <w:lang w:val="en-US"/>
        </w:rPr>
        <w:t>, “</w:t>
      </w:r>
      <w:r w:rsidRPr="00F634CD">
        <w:rPr>
          <w:rFonts w:asciiTheme="majorBidi" w:hAnsiTheme="majorBidi" w:cstheme="majorBidi"/>
          <w:kern w:val="24"/>
          <w:sz w:val="24"/>
          <w:szCs w:val="24"/>
          <w:lang w:val="en-US" w:eastAsia="fr-FR"/>
        </w:rPr>
        <w:t>The Case Against Interest: Is It Compelling?</w:t>
      </w:r>
      <w:r w:rsidRPr="00F634CD">
        <w:rPr>
          <w:rFonts w:asciiTheme="majorBidi" w:hAnsiTheme="majorBidi" w:cstheme="majorBidi"/>
          <w:kern w:val="24"/>
          <w:sz w:val="24"/>
          <w:szCs w:val="24"/>
          <w:lang w:val="en-US"/>
        </w:rPr>
        <w:t>”, T</w:t>
      </w:r>
      <w:r w:rsidRPr="00F634CD">
        <w:rPr>
          <w:rFonts w:asciiTheme="majorBidi" w:hAnsiTheme="majorBidi" w:cstheme="majorBidi"/>
          <w:kern w:val="24"/>
          <w:sz w:val="24"/>
          <w:szCs w:val="24"/>
          <w:lang w:val="en-US" w:eastAsia="fr-FR"/>
        </w:rPr>
        <w:t>he International Conference on Islamic Banking and F</w:t>
      </w:r>
      <w:r w:rsidRPr="00F634CD">
        <w:rPr>
          <w:rFonts w:asciiTheme="majorBidi" w:hAnsiTheme="majorBidi" w:cstheme="majorBidi"/>
          <w:kern w:val="24"/>
          <w:sz w:val="24"/>
          <w:szCs w:val="24"/>
          <w:lang w:val="en-GB" w:eastAsia="fr-FR"/>
        </w:rPr>
        <w:t>inance, Brunei, 2001, pp. 25-49.</w:t>
      </w:r>
    </w:p>
    <w:p w14:paraId="017EBD3B"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Chatti</w:t>
      </w:r>
      <w:r w:rsidRPr="00F634CD">
        <w:rPr>
          <w:rFonts w:asciiTheme="majorBidi" w:hAnsiTheme="majorBidi" w:cstheme="majorBidi"/>
          <w:kern w:val="24"/>
          <w:sz w:val="24"/>
          <w:szCs w:val="24"/>
        </w:rPr>
        <w:t xml:space="preserve"> Mohamed Ali, « Analyse comparative entre la finance islamique et le capital-risque », Etudes en économie islamique, Vol 4, N° 1, 2010, pp. 65-95.</w:t>
      </w:r>
    </w:p>
    <w:p w14:paraId="762E2FF0" w14:textId="77777777" w:rsidR="00A42833" w:rsidRPr="00DD05D8" w:rsidRDefault="00A42833" w:rsidP="00621FA2">
      <w:pPr>
        <w:tabs>
          <w:tab w:val="left" w:pos="0"/>
          <w:tab w:val="left" w:pos="284"/>
        </w:tabs>
        <w:autoSpaceDE w:val="0"/>
        <w:autoSpaceDN w:val="0"/>
        <w:adjustRightInd w:val="0"/>
        <w:spacing w:before="120"/>
        <w:rPr>
          <w:rFonts w:asciiTheme="majorBidi" w:hAnsiTheme="majorBidi" w:cstheme="majorBidi"/>
          <w:spacing w:val="-2"/>
          <w:kern w:val="24"/>
          <w:sz w:val="24"/>
          <w:szCs w:val="24"/>
          <w:lang w:eastAsia="fr-FR"/>
        </w:rPr>
      </w:pPr>
      <w:r w:rsidRPr="00DD05D8">
        <w:rPr>
          <w:rFonts w:asciiTheme="majorBidi" w:hAnsiTheme="majorBidi" w:cstheme="majorBidi"/>
          <w:smallCaps/>
          <w:spacing w:val="-2"/>
          <w:kern w:val="24"/>
          <w:sz w:val="24"/>
          <w:szCs w:val="24"/>
        </w:rPr>
        <w:t>Chatti</w:t>
      </w:r>
      <w:r w:rsidRPr="00DD05D8">
        <w:rPr>
          <w:rFonts w:asciiTheme="majorBidi" w:hAnsiTheme="majorBidi" w:cstheme="majorBidi"/>
          <w:spacing w:val="-2"/>
          <w:kern w:val="24"/>
          <w:sz w:val="24"/>
          <w:szCs w:val="24"/>
        </w:rPr>
        <w:t xml:space="preserve"> Mohamed Ali, « L’impact de l’application d’une éthique bancaire sur la diversification des banques islamiques », Etudes en Economie Islamique, Vol 6, 2013, pp. 1-27.</w:t>
      </w:r>
    </w:p>
    <w:p w14:paraId="64F1F5AB"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Chong</w:t>
      </w:r>
      <w:r w:rsidRPr="00F634CD">
        <w:rPr>
          <w:rFonts w:asciiTheme="majorBidi" w:hAnsiTheme="majorBidi" w:cstheme="majorBidi"/>
          <w:kern w:val="24"/>
          <w:sz w:val="24"/>
          <w:szCs w:val="24"/>
          <w:lang w:val="en-GB"/>
        </w:rPr>
        <w:t xml:space="preserve"> Beng Soon and </w:t>
      </w:r>
      <w:r w:rsidRPr="00F634CD">
        <w:rPr>
          <w:rFonts w:asciiTheme="majorBidi" w:hAnsiTheme="majorBidi" w:cstheme="majorBidi"/>
          <w:smallCaps/>
          <w:kern w:val="24"/>
          <w:sz w:val="24"/>
          <w:szCs w:val="24"/>
          <w:lang w:val="en-GB"/>
        </w:rPr>
        <w:t>Liu</w:t>
      </w:r>
      <w:r w:rsidRPr="00F634CD">
        <w:rPr>
          <w:rFonts w:asciiTheme="majorBidi" w:hAnsiTheme="majorBidi" w:cstheme="majorBidi"/>
          <w:kern w:val="24"/>
          <w:sz w:val="24"/>
          <w:szCs w:val="24"/>
          <w:lang w:val="en-GB"/>
        </w:rPr>
        <w:t xml:space="preserve"> </w:t>
      </w:r>
      <w:r w:rsidRPr="00F634CD">
        <w:rPr>
          <w:rFonts w:asciiTheme="majorBidi" w:hAnsiTheme="majorBidi" w:cstheme="majorBidi"/>
          <w:kern w:val="24"/>
          <w:sz w:val="24"/>
          <w:szCs w:val="24"/>
          <w:lang w:val="en-US"/>
        </w:rPr>
        <w:t xml:space="preserve">Ming-hua, “Islamic banking: interest free or interest based?”, </w:t>
      </w:r>
      <w:r w:rsidRPr="00F634CD">
        <w:rPr>
          <w:rFonts w:asciiTheme="majorBidi" w:hAnsiTheme="majorBidi" w:cstheme="majorBidi"/>
          <w:kern w:val="24"/>
          <w:sz w:val="24"/>
          <w:szCs w:val="24"/>
          <w:lang w:val="en-US" w:eastAsia="fr-FR"/>
        </w:rPr>
        <w:t>SSRN Electronic Journal, 17 (1)</w:t>
      </w:r>
      <w:r w:rsidRPr="00F634CD">
        <w:rPr>
          <w:rFonts w:asciiTheme="majorBidi" w:hAnsiTheme="majorBidi" w:cstheme="majorBidi"/>
          <w:kern w:val="24"/>
          <w:sz w:val="24"/>
          <w:szCs w:val="24"/>
          <w:lang w:val="en-US"/>
        </w:rPr>
        <w:t>, 2006, pp. 125-144.</w:t>
      </w:r>
    </w:p>
    <w:p w14:paraId="316A8CCB" w14:textId="6C272985"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US" w:eastAsia="fr-FR"/>
        </w:rPr>
        <w:t>Choudhry</w:t>
      </w:r>
      <w:r w:rsidRPr="00F634CD">
        <w:rPr>
          <w:rFonts w:asciiTheme="majorBidi" w:hAnsiTheme="majorBidi" w:cstheme="majorBidi"/>
          <w:kern w:val="24"/>
          <w:sz w:val="24"/>
          <w:szCs w:val="24"/>
          <w:lang w:val="en-US" w:eastAsia="fr-FR"/>
        </w:rPr>
        <w:t xml:space="preserve"> </w:t>
      </w:r>
      <w:r w:rsidRPr="00F634CD">
        <w:rPr>
          <w:rFonts w:asciiTheme="majorBidi" w:hAnsiTheme="majorBidi" w:cstheme="majorBidi"/>
          <w:smallCaps/>
          <w:kern w:val="24"/>
          <w:sz w:val="24"/>
          <w:szCs w:val="24"/>
          <w:lang w:val="en-US" w:eastAsia="fr-FR"/>
        </w:rPr>
        <w:t>Nurun</w:t>
      </w:r>
      <w:r w:rsidRPr="00F634CD">
        <w:rPr>
          <w:rFonts w:asciiTheme="majorBidi" w:hAnsiTheme="majorBidi" w:cstheme="majorBidi"/>
          <w:kern w:val="24"/>
          <w:sz w:val="24"/>
          <w:szCs w:val="24"/>
          <w:lang w:val="en-US" w:eastAsia="fr-FR"/>
        </w:rPr>
        <w:t xml:space="preserve"> and </w:t>
      </w:r>
      <w:r w:rsidRPr="00F634CD">
        <w:rPr>
          <w:rFonts w:asciiTheme="majorBidi" w:hAnsiTheme="majorBidi" w:cstheme="majorBidi"/>
          <w:smallCaps/>
          <w:kern w:val="24"/>
          <w:sz w:val="24"/>
          <w:szCs w:val="24"/>
          <w:lang w:val="en-US" w:eastAsia="fr-FR"/>
        </w:rPr>
        <w:t>Mirakhor</w:t>
      </w:r>
      <w:r w:rsidRPr="00F634CD">
        <w:rPr>
          <w:rFonts w:asciiTheme="majorBidi" w:hAnsiTheme="majorBidi" w:cstheme="majorBidi"/>
          <w:kern w:val="24"/>
          <w:sz w:val="24"/>
          <w:szCs w:val="24"/>
          <w:lang w:val="en-US" w:eastAsia="fr-FR"/>
        </w:rPr>
        <w:t xml:space="preserve"> Abbas, “Indirect instruments of monetary control in an islamic financial system”, </w:t>
      </w:r>
      <w:r w:rsidRPr="00F634CD">
        <w:rPr>
          <w:rFonts w:asciiTheme="majorBidi" w:hAnsiTheme="majorBidi" w:cstheme="majorBidi"/>
          <w:kern w:val="24"/>
          <w:sz w:val="24"/>
          <w:szCs w:val="24"/>
          <w:lang w:val="en-GB" w:eastAsia="fr-FR"/>
        </w:rPr>
        <w:t>Islamic Economic Studies, Vol 4, N°2, 1997, pp. 27-65.</w:t>
      </w:r>
    </w:p>
    <w:p w14:paraId="5FA8224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Čihák</w:t>
      </w:r>
      <w:r w:rsidRPr="00F634CD">
        <w:rPr>
          <w:rFonts w:asciiTheme="majorBidi" w:hAnsiTheme="majorBidi" w:cstheme="majorBidi"/>
          <w:kern w:val="24"/>
          <w:sz w:val="24"/>
          <w:szCs w:val="24"/>
          <w:lang w:val="en-US" w:eastAsia="fr-FR"/>
        </w:rPr>
        <w:t xml:space="preserve"> Marten and </w:t>
      </w:r>
      <w:r w:rsidRPr="00F634CD">
        <w:rPr>
          <w:rFonts w:asciiTheme="majorBidi" w:hAnsiTheme="majorBidi" w:cstheme="majorBidi"/>
          <w:smallCaps/>
          <w:kern w:val="24"/>
          <w:sz w:val="24"/>
          <w:szCs w:val="24"/>
          <w:lang w:val="en-US" w:eastAsia="fr-FR"/>
        </w:rPr>
        <w:t>Hesse</w:t>
      </w:r>
      <w:r w:rsidRPr="00F634CD">
        <w:rPr>
          <w:rFonts w:asciiTheme="majorBidi" w:hAnsiTheme="majorBidi" w:cstheme="majorBidi"/>
          <w:kern w:val="24"/>
          <w:sz w:val="24"/>
          <w:szCs w:val="24"/>
          <w:lang w:val="en-US" w:eastAsia="fr-FR"/>
        </w:rPr>
        <w:t xml:space="preserve"> Heiko,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US" w:eastAsia="fr-FR"/>
        </w:rPr>
        <w:t>Islamic banks and financial stability: An empirical analysis”</w:t>
      </w:r>
      <w:r w:rsidRPr="00F634CD">
        <w:rPr>
          <w:rFonts w:asciiTheme="majorBidi" w:hAnsiTheme="majorBidi" w:cstheme="majorBidi"/>
          <w:kern w:val="24"/>
          <w:sz w:val="24"/>
          <w:szCs w:val="24"/>
          <w:lang w:val="en-US"/>
        </w:rPr>
        <w:t xml:space="preserve">, </w:t>
      </w:r>
      <w:r w:rsidRPr="00F634CD">
        <w:rPr>
          <w:rFonts w:asciiTheme="majorBidi" w:hAnsiTheme="majorBidi" w:cstheme="majorBidi"/>
          <w:kern w:val="24"/>
          <w:sz w:val="24"/>
          <w:szCs w:val="24"/>
          <w:lang w:val="en-US" w:eastAsia="fr-FR"/>
        </w:rPr>
        <w:t>IMF Working Paper, 2008, 29 p.</w:t>
      </w:r>
    </w:p>
    <w:p w14:paraId="5037280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Christopher</w:t>
      </w:r>
      <w:r w:rsidRPr="00F634CD">
        <w:rPr>
          <w:rFonts w:asciiTheme="majorBidi" w:hAnsiTheme="majorBidi" w:cstheme="majorBidi"/>
          <w:kern w:val="24"/>
          <w:sz w:val="24"/>
          <w:szCs w:val="24"/>
          <w:lang w:val="en-US" w:eastAsia="fr-FR"/>
        </w:rPr>
        <w:t xml:space="preserve"> James,</w:t>
      </w:r>
      <w:r w:rsidRPr="00F634CD">
        <w:rPr>
          <w:rFonts w:asciiTheme="majorBidi" w:hAnsiTheme="majorBidi" w:cstheme="majorBidi"/>
          <w:i/>
          <w:iCs/>
          <w:kern w:val="24"/>
          <w:sz w:val="24"/>
          <w:szCs w:val="24"/>
          <w:lang w:val="en-US" w:eastAsia="fr-FR"/>
        </w:rPr>
        <w:t xml:space="preserve">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US" w:eastAsia="fr-FR"/>
        </w:rPr>
        <w:t>RAROC based capital budgeting and performance evaluation”, Working paper, The Wharton School, 1996, 31 p.</w:t>
      </w:r>
    </w:p>
    <w:p w14:paraId="6F0662A9"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kern w:val="24"/>
          <w:sz w:val="24"/>
          <w:szCs w:val="24"/>
          <w:lang w:val="en-US"/>
        </w:rPr>
        <w:t xml:space="preserve">Colon Julio C, “Choice of Law and Islamic Finance”, </w:t>
      </w:r>
      <w:hyperlink r:id="rId84" w:anchor="#" w:history="1">
        <w:r w:rsidRPr="00F634CD">
          <w:rPr>
            <w:rStyle w:val="Lienhypertexte"/>
            <w:rFonts w:asciiTheme="majorBidi" w:hAnsiTheme="majorBidi" w:cstheme="majorBidi"/>
            <w:color w:val="auto"/>
            <w:kern w:val="24"/>
            <w:sz w:val="24"/>
            <w:szCs w:val="24"/>
            <w:u w:val="none"/>
            <w:shd w:val="clear" w:color="auto" w:fill="FFFFFF"/>
            <w:lang w:val="en-GB"/>
          </w:rPr>
          <w:t>Texas International Law Journal, Vol. 46, No. 2, 2011</w:t>
        </w:r>
      </w:hyperlink>
      <w:r w:rsidRPr="00F634CD">
        <w:rPr>
          <w:rFonts w:asciiTheme="majorBidi" w:hAnsiTheme="majorBidi" w:cstheme="majorBidi"/>
          <w:iCs/>
          <w:kern w:val="24"/>
          <w:sz w:val="24"/>
          <w:szCs w:val="24"/>
          <w:lang w:val="en-US"/>
        </w:rPr>
        <w:t>, 25 p.</w:t>
      </w:r>
    </w:p>
    <w:p w14:paraId="6303E55A"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Cumming</w:t>
      </w:r>
      <w:r w:rsidRPr="00F634CD">
        <w:rPr>
          <w:rFonts w:asciiTheme="majorBidi" w:hAnsiTheme="majorBidi" w:cstheme="majorBidi"/>
          <w:kern w:val="24"/>
          <w:sz w:val="24"/>
          <w:szCs w:val="24"/>
          <w:lang w:val="en-GB" w:eastAsia="fr-FR"/>
        </w:rPr>
        <w:t xml:space="preserve"> Christine and </w:t>
      </w:r>
      <w:r w:rsidRPr="00F634CD">
        <w:rPr>
          <w:rFonts w:asciiTheme="majorBidi" w:hAnsiTheme="majorBidi" w:cstheme="majorBidi"/>
          <w:smallCaps/>
          <w:kern w:val="24"/>
          <w:sz w:val="24"/>
          <w:szCs w:val="24"/>
          <w:lang w:val="en-GB" w:eastAsia="fr-FR"/>
        </w:rPr>
        <w:t>Beverly</w:t>
      </w:r>
      <w:r w:rsidRPr="00F634CD">
        <w:rPr>
          <w:rFonts w:asciiTheme="majorBidi" w:hAnsiTheme="majorBidi" w:cstheme="majorBidi"/>
          <w:kern w:val="24"/>
          <w:sz w:val="24"/>
          <w:szCs w:val="24"/>
          <w:lang w:val="en-GB" w:eastAsia="fr-FR"/>
        </w:rPr>
        <w:t xml:space="preserve"> Hirtle J,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eastAsia="fr-FR"/>
        </w:rPr>
        <w:t>The Challenges of Risk Management in Diversified Financial Companies”, Economic Policy Review, Federal Reserve Bank of New-York, N° 7, pp.1-17.</w:t>
      </w:r>
    </w:p>
    <w:p w14:paraId="2782A68E" w14:textId="3F62AFFD"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Dahen</w:t>
      </w:r>
      <w:r w:rsidRPr="00F634CD">
        <w:rPr>
          <w:rFonts w:asciiTheme="majorBidi" w:hAnsiTheme="majorBidi" w:cstheme="majorBidi"/>
          <w:kern w:val="24"/>
          <w:sz w:val="24"/>
          <w:szCs w:val="24"/>
          <w:lang w:val="en-US" w:eastAsia="fr-FR"/>
        </w:rPr>
        <w:t xml:space="preserve"> Hela and </w:t>
      </w:r>
      <w:r w:rsidRPr="00F634CD">
        <w:rPr>
          <w:rFonts w:asciiTheme="majorBidi" w:hAnsiTheme="majorBidi" w:cstheme="majorBidi"/>
          <w:smallCaps/>
          <w:kern w:val="24"/>
          <w:sz w:val="24"/>
          <w:szCs w:val="24"/>
          <w:lang w:val="en-US" w:eastAsia="fr-FR"/>
        </w:rPr>
        <w:t>Dionne</w:t>
      </w:r>
      <w:r w:rsidRPr="00F634CD">
        <w:rPr>
          <w:rFonts w:asciiTheme="majorBidi" w:hAnsiTheme="majorBidi" w:cstheme="majorBidi"/>
          <w:kern w:val="24"/>
          <w:sz w:val="24"/>
          <w:szCs w:val="24"/>
          <w:lang w:val="en-US" w:eastAsia="fr-FR"/>
        </w:rPr>
        <w:t xml:space="preserve"> Georges, “</w:t>
      </w:r>
      <w:r w:rsidRPr="00F634CD">
        <w:rPr>
          <w:rFonts w:asciiTheme="majorBidi" w:hAnsiTheme="majorBidi" w:cstheme="majorBidi"/>
          <w:kern w:val="24"/>
          <w:sz w:val="24"/>
          <w:szCs w:val="24"/>
          <w:lang w:val="en-US"/>
        </w:rPr>
        <w:t>Book review of risk management</w:t>
      </w:r>
      <w:r w:rsidR="00912BFB" w:rsidRPr="00F634CD">
        <w:rPr>
          <w:rFonts w:asciiTheme="majorBidi" w:hAnsiTheme="majorBidi" w:cstheme="majorBidi"/>
          <w:kern w:val="24"/>
          <w:sz w:val="24"/>
          <w:szCs w:val="24"/>
          <w:lang w:val="en-US"/>
        </w:rPr>
        <w:t>”, Working</w:t>
      </w:r>
      <w:r w:rsidRPr="00F634CD">
        <w:rPr>
          <w:rFonts w:asciiTheme="majorBidi" w:hAnsiTheme="majorBidi" w:cstheme="majorBidi"/>
          <w:kern w:val="24"/>
          <w:sz w:val="24"/>
          <w:szCs w:val="24"/>
          <w:lang w:val="en-US"/>
        </w:rPr>
        <w:t xml:space="preserve"> paper 02-03, Ecole des Hautes Etudes</w:t>
      </w:r>
      <w:r w:rsidR="00912BFB">
        <w:rPr>
          <w:rFonts w:asciiTheme="majorBidi" w:hAnsiTheme="majorBidi" w:cstheme="majorBidi"/>
          <w:kern w:val="24"/>
          <w:sz w:val="24"/>
          <w:szCs w:val="24"/>
          <w:lang w:val="en-US"/>
        </w:rPr>
        <w:t xml:space="preserve"> Commerciales </w:t>
      </w:r>
      <w:r w:rsidRPr="00F634CD">
        <w:rPr>
          <w:rFonts w:asciiTheme="majorBidi" w:hAnsiTheme="majorBidi" w:cstheme="majorBidi"/>
          <w:kern w:val="24"/>
          <w:sz w:val="24"/>
          <w:szCs w:val="24"/>
          <w:lang w:val="en-US"/>
        </w:rPr>
        <w:t>(HEC), Montréal, 2002, 11 p.</w:t>
      </w:r>
    </w:p>
    <w:p w14:paraId="5A3C6EE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Damodaran</w:t>
      </w:r>
      <w:r w:rsidRPr="00F634CD">
        <w:rPr>
          <w:rFonts w:asciiTheme="majorBidi" w:hAnsiTheme="majorBidi" w:cstheme="majorBidi"/>
          <w:kern w:val="24"/>
          <w:sz w:val="24"/>
          <w:szCs w:val="24"/>
          <w:lang w:val="en-US" w:eastAsia="fr-FR"/>
        </w:rPr>
        <w:t xml:space="preserve"> Aswath, “Value and risk: Beyond Betas”, Working paper, Stern School of Business, 2003, 47 p.</w:t>
      </w:r>
    </w:p>
    <w:p w14:paraId="5B775B2C"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Daoud</w:t>
      </w:r>
      <w:r w:rsidRPr="00F634CD">
        <w:rPr>
          <w:rFonts w:asciiTheme="majorBidi" w:hAnsiTheme="majorBidi" w:cstheme="majorBidi"/>
          <w:kern w:val="24"/>
          <w:sz w:val="24"/>
          <w:szCs w:val="24"/>
        </w:rPr>
        <w:t xml:space="preserve"> Yomna et </w:t>
      </w:r>
      <w:r w:rsidRPr="00F634CD">
        <w:rPr>
          <w:rFonts w:asciiTheme="majorBidi" w:hAnsiTheme="majorBidi" w:cstheme="majorBidi"/>
          <w:smallCaps/>
          <w:kern w:val="24"/>
          <w:sz w:val="24"/>
          <w:szCs w:val="24"/>
        </w:rPr>
        <w:t>Kammoun</w:t>
      </w:r>
      <w:r w:rsidRPr="00F634CD">
        <w:rPr>
          <w:rFonts w:asciiTheme="majorBidi" w:hAnsiTheme="majorBidi" w:cstheme="majorBidi"/>
          <w:kern w:val="24"/>
          <w:sz w:val="24"/>
          <w:szCs w:val="24"/>
        </w:rPr>
        <w:t xml:space="preserve"> Aida, « Financement bancaire islamique dans le contexte de la crise financière », Les cahiers de la finance islamique, N° 07, 2014, pp. 9-30.</w:t>
      </w:r>
    </w:p>
    <w:p w14:paraId="0CF19D3A"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Dar</w:t>
      </w:r>
      <w:r w:rsidRPr="00F634CD">
        <w:rPr>
          <w:rFonts w:asciiTheme="majorBidi" w:hAnsiTheme="majorBidi" w:cstheme="majorBidi"/>
          <w:kern w:val="24"/>
          <w:sz w:val="24"/>
          <w:szCs w:val="24"/>
          <w:lang w:val="en-GB"/>
        </w:rPr>
        <w:t xml:space="preserve"> Humayon A and Presley </w:t>
      </w:r>
      <w:r w:rsidRPr="00F634CD">
        <w:rPr>
          <w:rFonts w:asciiTheme="majorBidi" w:hAnsiTheme="majorBidi" w:cstheme="majorBidi"/>
          <w:kern w:val="24"/>
          <w:sz w:val="24"/>
          <w:szCs w:val="24"/>
          <w:lang w:val="en-US"/>
        </w:rPr>
        <w:t>John R, “</w:t>
      </w:r>
      <w:r w:rsidRPr="00F634CD">
        <w:rPr>
          <w:rFonts w:asciiTheme="majorBidi" w:hAnsiTheme="majorBidi" w:cstheme="majorBidi"/>
          <w:kern w:val="24"/>
          <w:sz w:val="24"/>
          <w:szCs w:val="24"/>
          <w:lang w:val="en-US" w:eastAsia="fr-FR"/>
        </w:rPr>
        <w:t>Lack of Profit Loss Sharing in Islamic Banking: Management and Control Imbalances”, Economic research paper N° 00/24, Loughborough University, 2000, 27 p.</w:t>
      </w:r>
    </w:p>
    <w:p w14:paraId="2C295F5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De Boissieu</w:t>
      </w:r>
      <w:r w:rsidRPr="00F634CD">
        <w:rPr>
          <w:rFonts w:asciiTheme="majorBidi" w:hAnsiTheme="majorBidi" w:cstheme="majorBidi"/>
          <w:kern w:val="24"/>
          <w:sz w:val="24"/>
          <w:szCs w:val="24"/>
        </w:rPr>
        <w:t xml:space="preserve"> Christian, « La titrisation : une mise en perspective », Revue d’Economie Financière, n° 59, 2000, p. 15-22.</w:t>
      </w:r>
    </w:p>
    <w:p w14:paraId="4A3A3E1A" w14:textId="77777777" w:rsidR="00A42833" w:rsidRPr="00F634CD" w:rsidRDefault="00A42833" w:rsidP="00621FA2">
      <w:pPr>
        <w:tabs>
          <w:tab w:val="left" w:pos="284"/>
        </w:tabs>
        <w:spacing w:before="120"/>
        <w:rPr>
          <w:rFonts w:asciiTheme="majorBidi" w:hAnsiTheme="majorBidi" w:cstheme="majorBidi"/>
          <w:kern w:val="24"/>
          <w:sz w:val="24"/>
          <w:szCs w:val="24"/>
          <w:lang w:val="en-GB"/>
        </w:rPr>
      </w:pPr>
      <w:bookmarkStart w:id="1859" w:name="_Toc33263415"/>
      <w:bookmarkStart w:id="1860" w:name="_Toc33264130"/>
      <w:bookmarkStart w:id="1861" w:name="_Toc37664679"/>
      <w:bookmarkStart w:id="1862" w:name="_Toc37666524"/>
      <w:bookmarkStart w:id="1863" w:name="_Toc37667332"/>
      <w:bookmarkStart w:id="1864" w:name="_Toc54361042"/>
      <w:bookmarkStart w:id="1865" w:name="_Toc54361690"/>
      <w:bookmarkStart w:id="1866" w:name="_Toc54363421"/>
      <w:bookmarkStart w:id="1867" w:name="_Toc57230321"/>
      <w:bookmarkStart w:id="1868" w:name="_Toc57230387"/>
      <w:r w:rsidRPr="00F634CD">
        <w:rPr>
          <w:rFonts w:asciiTheme="majorBidi" w:hAnsiTheme="majorBidi" w:cstheme="majorBidi"/>
          <w:smallCaps/>
          <w:kern w:val="24"/>
          <w:sz w:val="24"/>
          <w:szCs w:val="24"/>
          <w:lang w:val="en-GB"/>
        </w:rPr>
        <w:t>Demirguc-kunt</w:t>
      </w:r>
      <w:r w:rsidRPr="00F634CD">
        <w:rPr>
          <w:rFonts w:asciiTheme="majorBidi" w:hAnsiTheme="majorBidi" w:cstheme="majorBidi"/>
          <w:kern w:val="24"/>
          <w:sz w:val="24"/>
          <w:szCs w:val="24"/>
          <w:lang w:val="en-GB"/>
        </w:rPr>
        <w:t xml:space="preserve"> Asli, </w:t>
      </w:r>
      <w:r w:rsidRPr="00F634CD">
        <w:rPr>
          <w:rFonts w:asciiTheme="majorBidi" w:hAnsiTheme="majorBidi" w:cstheme="majorBidi"/>
          <w:smallCaps/>
          <w:kern w:val="24"/>
          <w:sz w:val="24"/>
          <w:szCs w:val="24"/>
          <w:lang w:val="en-GB"/>
        </w:rPr>
        <w:t>Klapper</w:t>
      </w:r>
      <w:r w:rsidRPr="00F634CD">
        <w:rPr>
          <w:rFonts w:asciiTheme="majorBidi" w:hAnsiTheme="majorBidi" w:cstheme="majorBidi"/>
          <w:kern w:val="24"/>
          <w:sz w:val="24"/>
          <w:szCs w:val="24"/>
          <w:lang w:val="en-GB"/>
        </w:rPr>
        <w:t xml:space="preserve"> Leora, </w:t>
      </w:r>
      <w:r w:rsidRPr="00F634CD">
        <w:rPr>
          <w:rFonts w:asciiTheme="majorBidi" w:hAnsiTheme="majorBidi" w:cstheme="majorBidi"/>
          <w:smallCaps/>
          <w:kern w:val="24"/>
          <w:sz w:val="24"/>
          <w:szCs w:val="24"/>
          <w:lang w:val="en-GB"/>
        </w:rPr>
        <w:t>Randall Douglas</w:t>
      </w:r>
      <w:r w:rsidRPr="00F634CD">
        <w:rPr>
          <w:rFonts w:asciiTheme="majorBidi" w:hAnsiTheme="majorBidi" w:cstheme="majorBidi"/>
          <w:kern w:val="24"/>
          <w:sz w:val="24"/>
          <w:szCs w:val="24"/>
          <w:lang w:val="en-GB"/>
        </w:rPr>
        <w:t xml:space="preserve"> and al, “Islamic Banking Remains Niche Market in North Africa”, </w:t>
      </w:r>
      <w:r w:rsidRPr="00F634CD">
        <w:rPr>
          <w:rFonts w:asciiTheme="majorBidi" w:hAnsiTheme="majorBidi" w:cstheme="majorBidi"/>
          <w:kern w:val="24"/>
          <w:sz w:val="24"/>
          <w:szCs w:val="24"/>
          <w:shd w:val="clear" w:color="auto" w:fill="FFFFFF"/>
          <w:lang w:val="en-GB"/>
        </w:rPr>
        <w:t>the World Bank Global Financial Inclusion (Global Findex) database, 2013, 4 p.</w:t>
      </w:r>
      <w:bookmarkEnd w:id="1859"/>
      <w:bookmarkEnd w:id="1860"/>
      <w:bookmarkEnd w:id="1861"/>
      <w:bookmarkEnd w:id="1862"/>
      <w:bookmarkEnd w:id="1863"/>
      <w:bookmarkEnd w:id="1864"/>
      <w:bookmarkEnd w:id="1865"/>
      <w:bookmarkEnd w:id="1866"/>
      <w:bookmarkEnd w:id="1867"/>
      <w:bookmarkEnd w:id="1868"/>
    </w:p>
    <w:p w14:paraId="376D549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Dhafer</w:t>
      </w:r>
      <w:r w:rsidRPr="00F634CD">
        <w:rPr>
          <w:rFonts w:asciiTheme="majorBidi" w:hAnsiTheme="majorBidi" w:cstheme="majorBidi"/>
          <w:kern w:val="24"/>
          <w:sz w:val="24"/>
          <w:szCs w:val="24"/>
        </w:rPr>
        <w:t xml:space="preserve"> Saidane, « La finance islamique à l’heure de la mondialisation », Revue Banque Edition, France, 2009, pp. 15- 34.</w:t>
      </w:r>
    </w:p>
    <w:p w14:paraId="785238CE"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Dionne</w:t>
      </w:r>
      <w:r w:rsidRPr="00F634CD">
        <w:rPr>
          <w:rFonts w:asciiTheme="majorBidi" w:hAnsiTheme="majorBidi" w:cstheme="majorBidi"/>
          <w:kern w:val="24"/>
          <w:sz w:val="24"/>
          <w:szCs w:val="24"/>
        </w:rPr>
        <w:t xml:space="preserve"> Georges, « Gestion des risques et assurances », Notes du cours, HEC, Montréal, 2001, 42 p.</w:t>
      </w:r>
    </w:p>
    <w:p w14:paraId="055A39E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Dionne</w:t>
      </w:r>
      <w:r w:rsidRPr="00F634CD">
        <w:rPr>
          <w:rFonts w:asciiTheme="majorBidi" w:hAnsiTheme="majorBidi" w:cstheme="majorBidi"/>
          <w:kern w:val="24"/>
          <w:sz w:val="24"/>
          <w:szCs w:val="24"/>
          <w:lang w:val="en-GB"/>
        </w:rPr>
        <w:t xml:space="preserve"> Georges and </w:t>
      </w:r>
      <w:r w:rsidRPr="00F634CD">
        <w:rPr>
          <w:rFonts w:asciiTheme="majorBidi" w:hAnsiTheme="majorBidi" w:cstheme="majorBidi"/>
          <w:smallCaps/>
          <w:kern w:val="24"/>
          <w:sz w:val="24"/>
          <w:szCs w:val="24"/>
          <w:lang w:val="en-GB"/>
        </w:rPr>
        <w:t>Triki</w:t>
      </w:r>
      <w:r w:rsidRPr="00F634CD">
        <w:rPr>
          <w:rFonts w:asciiTheme="majorBidi" w:hAnsiTheme="majorBidi" w:cstheme="majorBidi"/>
          <w:kern w:val="24"/>
          <w:sz w:val="24"/>
          <w:szCs w:val="24"/>
          <w:lang w:val="en-GB"/>
        </w:rPr>
        <w:t xml:space="preserve"> Thouraya, “On risk management determinants: what really matters?”, Working paper 04-04, Department of Fi</w:t>
      </w:r>
      <w:r w:rsidRPr="00F634CD">
        <w:rPr>
          <w:rFonts w:asciiTheme="majorBidi" w:hAnsiTheme="majorBidi" w:cstheme="majorBidi"/>
          <w:kern w:val="24"/>
          <w:sz w:val="24"/>
          <w:szCs w:val="24"/>
          <w:lang w:val="en-US"/>
        </w:rPr>
        <w:t>nance and Canada Research Chair in Risk Management, HEC Montreal, 2004, 38 p.</w:t>
      </w:r>
    </w:p>
    <w:p w14:paraId="716B8776" w14:textId="7094C108"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Dionne</w:t>
      </w:r>
      <w:r w:rsidRPr="00F634CD">
        <w:rPr>
          <w:rFonts w:asciiTheme="majorBidi" w:hAnsiTheme="majorBidi" w:cstheme="majorBidi"/>
          <w:kern w:val="24"/>
          <w:sz w:val="24"/>
          <w:szCs w:val="24"/>
          <w:lang w:val="en-GB"/>
        </w:rPr>
        <w:t xml:space="preserve"> Georges, </w:t>
      </w:r>
      <w:r w:rsidR="00912BFB">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rPr>
        <w:t>risk management: history, definition and criticism</w:t>
      </w:r>
      <w:r w:rsidR="00912BFB">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rPr>
        <w:t>, Risk Management and Insurance Review 16 (2), 2013, pp. 147-166.</w:t>
      </w:r>
    </w:p>
    <w:p w14:paraId="4538BD71" w14:textId="23820FC2" w:rsidR="00A42833" w:rsidRPr="00DD05D8" w:rsidRDefault="00A42833" w:rsidP="00621FA2">
      <w:pPr>
        <w:tabs>
          <w:tab w:val="left" w:pos="0"/>
          <w:tab w:val="left" w:pos="284"/>
        </w:tabs>
        <w:autoSpaceDE w:val="0"/>
        <w:autoSpaceDN w:val="0"/>
        <w:adjustRightInd w:val="0"/>
        <w:spacing w:before="120"/>
        <w:rPr>
          <w:rFonts w:asciiTheme="majorBidi" w:hAnsiTheme="majorBidi" w:cstheme="majorBidi"/>
          <w:spacing w:val="-2"/>
          <w:kern w:val="24"/>
          <w:sz w:val="24"/>
          <w:szCs w:val="24"/>
          <w:lang w:eastAsia="fr-FR"/>
        </w:rPr>
      </w:pPr>
      <w:r w:rsidRPr="00DD05D8">
        <w:rPr>
          <w:rFonts w:asciiTheme="majorBidi" w:hAnsiTheme="majorBidi" w:cstheme="majorBidi"/>
          <w:smallCaps/>
          <w:spacing w:val="-2"/>
          <w:kern w:val="24"/>
          <w:sz w:val="24"/>
          <w:szCs w:val="24"/>
        </w:rPr>
        <w:t xml:space="preserve">Doghri </w:t>
      </w:r>
      <w:r w:rsidRPr="00DD05D8">
        <w:rPr>
          <w:rFonts w:asciiTheme="majorBidi" w:hAnsiTheme="majorBidi" w:cstheme="majorBidi"/>
          <w:spacing w:val="-2"/>
          <w:kern w:val="24"/>
          <w:sz w:val="24"/>
          <w:szCs w:val="24"/>
        </w:rPr>
        <w:t xml:space="preserve">Lamine, « Le marché de capitaux et leurs instruments », dans : Introduction aux techniques islamiques de </w:t>
      </w:r>
      <w:r w:rsidR="00DD05D8" w:rsidRPr="00DD05D8">
        <w:rPr>
          <w:rFonts w:asciiTheme="majorBidi" w:hAnsiTheme="majorBidi" w:cstheme="majorBidi"/>
          <w:spacing w:val="-2"/>
          <w:kern w:val="24"/>
          <w:sz w:val="24"/>
          <w:szCs w:val="24"/>
        </w:rPr>
        <w:t>financement, actes</w:t>
      </w:r>
      <w:r w:rsidRPr="00DD05D8">
        <w:rPr>
          <w:rFonts w:asciiTheme="majorBidi" w:hAnsiTheme="majorBidi" w:cstheme="majorBidi"/>
          <w:spacing w:val="-2"/>
          <w:kern w:val="24"/>
          <w:sz w:val="24"/>
          <w:szCs w:val="24"/>
        </w:rPr>
        <w:t xml:space="preserve"> de séminaire, N° 37, IIRF, IDB, 1992, pp. 188-204.</w:t>
      </w:r>
    </w:p>
    <w:p w14:paraId="2CC87065"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Dusuki</w:t>
      </w:r>
      <w:r w:rsidRPr="00F634CD">
        <w:rPr>
          <w:rFonts w:asciiTheme="majorBidi" w:hAnsiTheme="majorBidi" w:cstheme="majorBidi"/>
          <w:kern w:val="24"/>
          <w:sz w:val="24"/>
          <w:szCs w:val="24"/>
          <w:lang w:val="en-GB"/>
        </w:rPr>
        <w:t xml:space="preserve"> A W, </w:t>
      </w:r>
      <w:r w:rsidRPr="00F634CD">
        <w:rPr>
          <w:rFonts w:asciiTheme="majorBidi" w:hAnsiTheme="majorBidi" w:cstheme="majorBidi"/>
          <w:kern w:val="24"/>
          <w:sz w:val="24"/>
          <w:szCs w:val="24"/>
          <w:lang w:val="en-GB" w:eastAsia="fr-FR"/>
        </w:rPr>
        <w:t>“Shariah Parameters on Islamic Foreign Exchange Swap as Hedging: Mechanism in Islamic Finance”, ISRA International Journal of Islamic Finance 1 (1), 2009, pp. 77-99.</w:t>
      </w:r>
    </w:p>
    <w:p w14:paraId="208C8C1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Ebondo</w:t>
      </w:r>
      <w:r w:rsidRPr="00F634CD">
        <w:rPr>
          <w:rFonts w:asciiTheme="majorBidi" w:hAnsiTheme="majorBidi" w:cstheme="majorBidi"/>
          <w:kern w:val="24"/>
          <w:sz w:val="24"/>
          <w:szCs w:val="24"/>
        </w:rPr>
        <w:t xml:space="preserve"> Eustache, </w:t>
      </w:r>
      <w:r w:rsidRPr="00F634CD">
        <w:rPr>
          <w:rFonts w:asciiTheme="majorBidi" w:hAnsiTheme="majorBidi" w:cstheme="majorBidi"/>
          <w:smallCaps/>
          <w:kern w:val="24"/>
          <w:sz w:val="24"/>
          <w:szCs w:val="24"/>
        </w:rPr>
        <w:t>Mandzila</w:t>
      </w:r>
      <w:r w:rsidRPr="00F634CD">
        <w:rPr>
          <w:rFonts w:asciiTheme="majorBidi" w:hAnsiTheme="majorBidi" w:cstheme="majorBidi"/>
          <w:kern w:val="24"/>
          <w:sz w:val="24"/>
          <w:szCs w:val="24"/>
        </w:rPr>
        <w:t xml:space="preserve"> Wa et </w:t>
      </w:r>
      <w:r w:rsidRPr="00F634CD">
        <w:rPr>
          <w:rFonts w:asciiTheme="majorBidi" w:hAnsiTheme="majorBidi" w:cstheme="majorBidi"/>
          <w:smallCaps/>
          <w:kern w:val="24"/>
          <w:sz w:val="24"/>
          <w:szCs w:val="24"/>
        </w:rPr>
        <w:t>Zéghal</w:t>
      </w:r>
      <w:r w:rsidRPr="00F634CD">
        <w:rPr>
          <w:rFonts w:asciiTheme="majorBidi" w:hAnsiTheme="majorBidi" w:cstheme="majorBidi"/>
          <w:kern w:val="24"/>
          <w:sz w:val="24"/>
          <w:szCs w:val="24"/>
        </w:rPr>
        <w:t xml:space="preserve"> Daniel, « Management des risques de l’entreprise », La revue des sciences de gestion, N° 237-238, 2009, pp. 5-14.</w:t>
      </w:r>
    </w:p>
    <w:p w14:paraId="4AE70713"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bookmarkStart w:id="1869" w:name="_Hlk530946552"/>
      <w:r w:rsidRPr="00F634CD">
        <w:rPr>
          <w:rFonts w:asciiTheme="majorBidi" w:hAnsiTheme="majorBidi" w:cstheme="majorBidi"/>
          <w:smallCaps/>
          <w:kern w:val="24"/>
          <w:sz w:val="24"/>
          <w:szCs w:val="24"/>
          <w:lang w:eastAsia="fr-FR"/>
        </w:rPr>
        <w:t>El Attar</w:t>
      </w:r>
      <w:r w:rsidRPr="00F634CD">
        <w:rPr>
          <w:rFonts w:asciiTheme="majorBidi" w:hAnsiTheme="majorBidi" w:cstheme="majorBidi"/>
          <w:kern w:val="24"/>
          <w:sz w:val="24"/>
          <w:szCs w:val="24"/>
          <w:lang w:eastAsia="fr-FR"/>
        </w:rPr>
        <w:t xml:space="preserve"> Abdelilah, « L’impact des accords de Bâle III sur les banques islamiques », Dossiers de recherche en économie et gestion 2 (1), dossier spécial, 2013, pp. 13-36.</w:t>
      </w:r>
    </w:p>
    <w:bookmarkEnd w:id="1869"/>
    <w:p w14:paraId="1C07510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El-Gamal</w:t>
      </w:r>
      <w:r w:rsidRPr="00F634CD">
        <w:rPr>
          <w:rFonts w:asciiTheme="majorBidi" w:hAnsiTheme="majorBidi" w:cstheme="majorBidi"/>
          <w:kern w:val="24"/>
          <w:sz w:val="24"/>
          <w:szCs w:val="24"/>
          <w:lang w:val="en-US" w:eastAsia="fr-FR"/>
        </w:rPr>
        <w:t xml:space="preserve"> Mahmoud, “Islam and economics: random thoughts about Islam, Muslims and issues related to economics and finance”. </w:t>
      </w:r>
      <w:hyperlink r:id="rId85" w:history="1">
        <w:r w:rsidRPr="00F634CD">
          <w:rPr>
            <w:rStyle w:val="Lienhypertexte"/>
            <w:rFonts w:asciiTheme="majorBidi" w:hAnsiTheme="majorBidi" w:cstheme="majorBidi"/>
            <w:color w:val="auto"/>
            <w:kern w:val="24"/>
            <w:sz w:val="24"/>
            <w:szCs w:val="24"/>
            <w:u w:val="none"/>
            <w:lang w:val="en-US" w:eastAsia="fr-FR"/>
          </w:rPr>
          <w:t>http://elgamal.clogspot.com/index.html</w:t>
        </w:r>
      </w:hyperlink>
      <w:r w:rsidRPr="00F634CD">
        <w:rPr>
          <w:rFonts w:asciiTheme="majorBidi" w:hAnsiTheme="majorBidi" w:cstheme="majorBidi"/>
          <w:kern w:val="24"/>
          <w:sz w:val="24"/>
          <w:szCs w:val="24"/>
          <w:lang w:val="en-US" w:eastAsia="fr-FR"/>
        </w:rPr>
        <w:t>, 2007.</w:t>
      </w:r>
    </w:p>
    <w:p w14:paraId="5FBB3275" w14:textId="3ED52DC9"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El-Gari</w:t>
      </w:r>
      <w:r w:rsidRPr="00F634CD">
        <w:rPr>
          <w:rFonts w:asciiTheme="majorBidi" w:hAnsiTheme="majorBidi" w:cstheme="majorBidi"/>
          <w:kern w:val="24"/>
          <w:sz w:val="24"/>
          <w:szCs w:val="24"/>
          <w:lang w:val="en-US"/>
        </w:rPr>
        <w:t xml:space="preserve"> Mohamed Ali, “Credit risk in </w:t>
      </w:r>
      <w:r w:rsidR="00912BFB" w:rsidRPr="00F634CD">
        <w:rPr>
          <w:rFonts w:asciiTheme="majorBidi" w:hAnsiTheme="majorBidi" w:cstheme="majorBidi"/>
          <w:kern w:val="24"/>
          <w:sz w:val="24"/>
          <w:szCs w:val="24"/>
          <w:lang w:val="en-US"/>
        </w:rPr>
        <w:t>Islamic</w:t>
      </w:r>
      <w:r w:rsidRPr="00F634CD">
        <w:rPr>
          <w:rFonts w:asciiTheme="majorBidi" w:hAnsiTheme="majorBidi" w:cstheme="majorBidi"/>
          <w:kern w:val="24"/>
          <w:sz w:val="24"/>
          <w:szCs w:val="24"/>
          <w:lang w:val="en-US"/>
        </w:rPr>
        <w:t xml:space="preserve"> banking and finance”, Islamic economic studies, Vol 10, N° 2, 2003, 25 p.</w:t>
      </w:r>
    </w:p>
    <w:p w14:paraId="2B8B9AF5"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Elhamma</w:t>
      </w:r>
      <w:r w:rsidRPr="00F634CD">
        <w:rPr>
          <w:rFonts w:asciiTheme="majorBidi" w:hAnsiTheme="majorBidi" w:cstheme="majorBidi"/>
          <w:kern w:val="24"/>
          <w:sz w:val="24"/>
          <w:szCs w:val="24"/>
        </w:rPr>
        <w:t xml:space="preserve"> </w:t>
      </w:r>
      <w:hyperlink r:id="rId86" w:history="1">
        <w:r w:rsidRPr="00F634CD">
          <w:rPr>
            <w:rStyle w:val="Lienhypertexte"/>
            <w:rFonts w:asciiTheme="majorBidi" w:hAnsiTheme="majorBidi" w:cstheme="majorBidi"/>
            <w:color w:val="auto"/>
            <w:kern w:val="24"/>
            <w:sz w:val="24"/>
            <w:szCs w:val="24"/>
            <w:u w:val="none"/>
            <w:bdr w:val="none" w:sz="0" w:space="0" w:color="auto" w:frame="1"/>
            <w:shd w:val="clear" w:color="auto" w:fill="FFFFFF"/>
          </w:rPr>
          <w:t>Azzouz</w:t>
        </w:r>
      </w:hyperlink>
      <w:r w:rsidRPr="00F634CD">
        <w:rPr>
          <w:rFonts w:asciiTheme="majorBidi" w:hAnsiTheme="majorBidi" w:cstheme="majorBidi"/>
          <w:kern w:val="24"/>
          <w:sz w:val="24"/>
          <w:szCs w:val="24"/>
        </w:rPr>
        <w:t>, « La gestion du risque crédit par la méthode du scoring : cas de la Banque Populaire de Rabat-Kénitra », HAL archives-ouvertes, 2009, 15 p.</w:t>
      </w:r>
    </w:p>
    <w:p w14:paraId="25C4646D"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El-Hawary</w:t>
      </w:r>
      <w:r w:rsidRPr="00F634CD">
        <w:rPr>
          <w:rFonts w:asciiTheme="majorBidi" w:hAnsiTheme="majorBidi" w:cstheme="majorBidi"/>
          <w:kern w:val="24"/>
          <w:sz w:val="24"/>
          <w:szCs w:val="24"/>
          <w:lang w:val="en-US" w:eastAsia="fr-FR"/>
        </w:rPr>
        <w:t xml:space="preserve"> Dahlia, </w:t>
      </w:r>
      <w:r w:rsidRPr="00F634CD">
        <w:rPr>
          <w:rFonts w:asciiTheme="majorBidi" w:hAnsiTheme="majorBidi" w:cstheme="majorBidi"/>
          <w:smallCaps/>
          <w:kern w:val="24"/>
          <w:sz w:val="24"/>
          <w:szCs w:val="24"/>
          <w:lang w:val="en-US" w:eastAsia="fr-FR"/>
        </w:rPr>
        <w:t>Grais</w:t>
      </w:r>
      <w:r w:rsidRPr="00F634CD">
        <w:rPr>
          <w:rFonts w:asciiTheme="majorBidi" w:hAnsiTheme="majorBidi" w:cstheme="majorBidi"/>
          <w:kern w:val="24"/>
          <w:sz w:val="24"/>
          <w:szCs w:val="24"/>
          <w:lang w:val="en-US" w:eastAsia="fr-FR"/>
        </w:rPr>
        <w:t xml:space="preserve"> Wafik and </w:t>
      </w:r>
      <w:r w:rsidRPr="00F634CD">
        <w:rPr>
          <w:rFonts w:asciiTheme="majorBidi" w:hAnsiTheme="majorBidi" w:cstheme="majorBidi"/>
          <w:smallCaps/>
          <w:kern w:val="24"/>
          <w:sz w:val="24"/>
          <w:szCs w:val="24"/>
          <w:lang w:val="en-US" w:eastAsia="fr-FR"/>
        </w:rPr>
        <w:t>Iqbal</w:t>
      </w:r>
      <w:r w:rsidRPr="00F634CD">
        <w:rPr>
          <w:rFonts w:asciiTheme="majorBidi" w:hAnsiTheme="majorBidi" w:cstheme="majorBidi"/>
          <w:kern w:val="24"/>
          <w:sz w:val="24"/>
          <w:szCs w:val="24"/>
          <w:lang w:val="en-US" w:eastAsia="fr-FR"/>
        </w:rPr>
        <w:t xml:space="preserve"> Zamir, “Regulating Islamic Financial Institutions: The Nature of the Regulated”</w:t>
      </w:r>
      <w:r w:rsidRPr="00F634CD">
        <w:rPr>
          <w:rFonts w:asciiTheme="majorBidi" w:hAnsiTheme="majorBidi" w:cstheme="majorBidi"/>
          <w:kern w:val="24"/>
          <w:sz w:val="24"/>
          <w:szCs w:val="24"/>
          <w:lang w:val="en-US"/>
        </w:rPr>
        <w:t xml:space="preserve">, </w:t>
      </w:r>
      <w:r w:rsidRPr="00F634CD">
        <w:rPr>
          <w:rFonts w:asciiTheme="majorBidi" w:hAnsiTheme="majorBidi" w:cstheme="majorBidi"/>
          <w:kern w:val="24"/>
          <w:sz w:val="24"/>
          <w:szCs w:val="24"/>
          <w:lang w:val="en-US" w:eastAsia="fr-FR"/>
        </w:rPr>
        <w:t>World Bank, Policy Research Working Paper, N°1, 2004, 49 p.</w:t>
      </w:r>
    </w:p>
    <w:p w14:paraId="7A4D5EA5" w14:textId="23366D7D"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El-Hawary</w:t>
      </w:r>
      <w:r w:rsidRPr="00F634CD">
        <w:rPr>
          <w:rFonts w:asciiTheme="majorBidi" w:hAnsiTheme="majorBidi" w:cstheme="majorBidi"/>
          <w:kern w:val="24"/>
          <w:sz w:val="24"/>
          <w:szCs w:val="24"/>
          <w:lang w:val="en-US" w:eastAsia="fr-FR"/>
        </w:rPr>
        <w:t xml:space="preserve"> Dahlia, </w:t>
      </w:r>
      <w:r w:rsidRPr="00F634CD">
        <w:rPr>
          <w:rFonts w:asciiTheme="majorBidi" w:hAnsiTheme="majorBidi" w:cstheme="majorBidi"/>
          <w:smallCaps/>
          <w:kern w:val="24"/>
          <w:sz w:val="24"/>
          <w:szCs w:val="24"/>
          <w:lang w:val="en-US" w:eastAsia="fr-FR"/>
        </w:rPr>
        <w:t>Grais</w:t>
      </w:r>
      <w:r w:rsidRPr="00F634CD">
        <w:rPr>
          <w:rFonts w:asciiTheme="majorBidi" w:hAnsiTheme="majorBidi" w:cstheme="majorBidi"/>
          <w:kern w:val="24"/>
          <w:sz w:val="24"/>
          <w:szCs w:val="24"/>
          <w:lang w:val="en-US" w:eastAsia="fr-FR"/>
        </w:rPr>
        <w:t xml:space="preserve"> Wafik and </w:t>
      </w:r>
      <w:r w:rsidRPr="00F634CD">
        <w:rPr>
          <w:rFonts w:asciiTheme="majorBidi" w:hAnsiTheme="majorBidi" w:cstheme="majorBidi"/>
          <w:smallCaps/>
          <w:kern w:val="24"/>
          <w:sz w:val="24"/>
          <w:szCs w:val="24"/>
          <w:lang w:val="en-US" w:eastAsia="fr-FR"/>
        </w:rPr>
        <w:t>Iqbal</w:t>
      </w:r>
      <w:r w:rsidRPr="00F634CD">
        <w:rPr>
          <w:rFonts w:asciiTheme="majorBidi" w:hAnsiTheme="majorBidi" w:cstheme="majorBidi"/>
          <w:kern w:val="24"/>
          <w:sz w:val="24"/>
          <w:szCs w:val="24"/>
          <w:lang w:val="en-US" w:eastAsia="fr-FR"/>
        </w:rPr>
        <w:t xml:space="preserve"> Zamir, “Diversity in the regulation of </w:t>
      </w:r>
      <w:r w:rsidR="00912BFB"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financial institutions”</w:t>
      </w:r>
      <w:r w:rsidRPr="00F634CD">
        <w:rPr>
          <w:rFonts w:asciiTheme="majorBidi" w:hAnsiTheme="majorBidi" w:cstheme="majorBidi"/>
          <w:kern w:val="24"/>
          <w:sz w:val="24"/>
          <w:szCs w:val="24"/>
          <w:lang w:val="en-US"/>
        </w:rPr>
        <w:t xml:space="preserve">, </w:t>
      </w:r>
      <w:r w:rsidRPr="00F634CD">
        <w:rPr>
          <w:rFonts w:asciiTheme="majorBidi" w:hAnsiTheme="majorBidi" w:cstheme="majorBidi"/>
          <w:kern w:val="24"/>
          <w:sz w:val="24"/>
          <w:szCs w:val="24"/>
          <w:lang w:val="en-US" w:eastAsia="fr-FR"/>
        </w:rPr>
        <w:t>The Quarterly Review of Economics and Finance 46 (5), 2007, pp. 778-800.</w:t>
      </w:r>
    </w:p>
    <w:p w14:paraId="0534D0DD" w14:textId="37A6F75A" w:rsidR="00A42833" w:rsidRPr="00B97FC3" w:rsidRDefault="00A42833" w:rsidP="00B97FC3">
      <w:pPr>
        <w:tabs>
          <w:tab w:val="left" w:pos="0"/>
          <w:tab w:val="left" w:pos="284"/>
        </w:tabs>
        <w:autoSpaceDE w:val="0"/>
        <w:autoSpaceDN w:val="0"/>
        <w:adjustRightInd w:val="0"/>
        <w:spacing w:before="120"/>
        <w:rPr>
          <w:rFonts w:asciiTheme="majorBidi" w:hAnsiTheme="majorBidi" w:cstheme="majorBidi"/>
          <w:spacing w:val="-8"/>
          <w:kern w:val="24"/>
          <w:sz w:val="24"/>
          <w:szCs w:val="24"/>
          <w:lang w:eastAsia="fr-FR"/>
        </w:rPr>
      </w:pPr>
      <w:r w:rsidRPr="00B97FC3">
        <w:rPr>
          <w:rFonts w:asciiTheme="majorBidi" w:hAnsiTheme="majorBidi" w:cstheme="majorBidi"/>
          <w:smallCaps/>
          <w:spacing w:val="-8"/>
          <w:kern w:val="24"/>
          <w:sz w:val="24"/>
          <w:szCs w:val="24"/>
          <w:lang w:eastAsia="fr-FR"/>
        </w:rPr>
        <w:t>Elmelki</w:t>
      </w:r>
      <w:r w:rsidRPr="00B97FC3">
        <w:rPr>
          <w:rFonts w:asciiTheme="majorBidi" w:hAnsiTheme="majorBidi" w:cstheme="majorBidi"/>
          <w:spacing w:val="-8"/>
          <w:kern w:val="24"/>
          <w:sz w:val="24"/>
          <w:szCs w:val="24"/>
          <w:lang w:eastAsia="fr-FR"/>
        </w:rPr>
        <w:t xml:space="preserve"> Anas, </w:t>
      </w:r>
      <w:r w:rsidR="00DD05D8" w:rsidRPr="00B97FC3">
        <w:rPr>
          <w:rFonts w:asciiTheme="majorBidi" w:hAnsiTheme="majorBidi" w:cstheme="majorBidi"/>
          <w:spacing w:val="-8"/>
          <w:kern w:val="24"/>
          <w:sz w:val="24"/>
          <w:szCs w:val="24"/>
          <w:lang w:eastAsia="fr-FR"/>
        </w:rPr>
        <w:t>« </w:t>
      </w:r>
      <w:r w:rsidRPr="00B97FC3">
        <w:rPr>
          <w:rFonts w:asciiTheme="majorBidi" w:hAnsiTheme="majorBidi" w:cstheme="majorBidi"/>
          <w:spacing w:val="-8"/>
          <w:kern w:val="24"/>
          <w:sz w:val="24"/>
          <w:szCs w:val="24"/>
        </w:rPr>
        <w:t xml:space="preserve">Le </w:t>
      </w:r>
      <w:r w:rsidR="00E53B6D" w:rsidRPr="00B97FC3">
        <w:rPr>
          <w:rFonts w:asciiTheme="majorBidi" w:hAnsiTheme="majorBidi" w:cstheme="majorBidi"/>
          <w:spacing w:val="-8"/>
          <w:kern w:val="24"/>
          <w:sz w:val="24"/>
          <w:szCs w:val="24"/>
        </w:rPr>
        <w:t>p</w:t>
      </w:r>
      <w:r w:rsidRPr="00B97FC3">
        <w:rPr>
          <w:rFonts w:asciiTheme="majorBidi" w:hAnsiTheme="majorBidi" w:cstheme="majorBidi"/>
          <w:spacing w:val="-8"/>
          <w:kern w:val="24"/>
          <w:sz w:val="24"/>
          <w:szCs w:val="24"/>
        </w:rPr>
        <w:t xml:space="preserve">rincipe </w:t>
      </w:r>
      <w:r w:rsidR="00E53B6D" w:rsidRPr="00B97FC3">
        <w:rPr>
          <w:rFonts w:asciiTheme="majorBidi" w:hAnsiTheme="majorBidi" w:cstheme="majorBidi"/>
          <w:spacing w:val="-8"/>
          <w:kern w:val="24"/>
          <w:sz w:val="24"/>
          <w:szCs w:val="24"/>
        </w:rPr>
        <w:t>d</w:t>
      </w:r>
      <w:r w:rsidRPr="00B97FC3">
        <w:rPr>
          <w:rFonts w:asciiTheme="majorBidi" w:hAnsiTheme="majorBidi" w:cstheme="majorBidi"/>
          <w:spacing w:val="-8"/>
          <w:kern w:val="24"/>
          <w:sz w:val="24"/>
          <w:szCs w:val="24"/>
        </w:rPr>
        <w:t xml:space="preserve">e </w:t>
      </w:r>
      <w:r w:rsidR="00E53B6D" w:rsidRPr="00B97FC3">
        <w:rPr>
          <w:rFonts w:asciiTheme="majorBidi" w:hAnsiTheme="majorBidi" w:cstheme="majorBidi"/>
          <w:spacing w:val="-8"/>
          <w:kern w:val="24"/>
          <w:sz w:val="24"/>
          <w:szCs w:val="24"/>
        </w:rPr>
        <w:t>p</w:t>
      </w:r>
      <w:r w:rsidRPr="00B97FC3">
        <w:rPr>
          <w:rFonts w:asciiTheme="majorBidi" w:hAnsiTheme="majorBidi" w:cstheme="majorBidi"/>
          <w:spacing w:val="-8"/>
          <w:kern w:val="24"/>
          <w:sz w:val="24"/>
          <w:szCs w:val="24"/>
        </w:rPr>
        <w:t xml:space="preserve">artage </w:t>
      </w:r>
      <w:r w:rsidR="00E53B6D" w:rsidRPr="00B97FC3">
        <w:rPr>
          <w:rFonts w:asciiTheme="majorBidi" w:hAnsiTheme="majorBidi" w:cstheme="majorBidi"/>
          <w:spacing w:val="-8"/>
          <w:kern w:val="24"/>
          <w:sz w:val="24"/>
          <w:szCs w:val="24"/>
        </w:rPr>
        <w:t>d</w:t>
      </w:r>
      <w:r w:rsidRPr="00B97FC3">
        <w:rPr>
          <w:rFonts w:asciiTheme="majorBidi" w:hAnsiTheme="majorBidi" w:cstheme="majorBidi"/>
          <w:spacing w:val="-8"/>
          <w:kern w:val="24"/>
          <w:sz w:val="24"/>
          <w:szCs w:val="24"/>
        </w:rPr>
        <w:t xml:space="preserve">es </w:t>
      </w:r>
      <w:r w:rsidR="00E53B6D" w:rsidRPr="00B97FC3">
        <w:rPr>
          <w:rFonts w:asciiTheme="majorBidi" w:hAnsiTheme="majorBidi" w:cstheme="majorBidi"/>
          <w:spacing w:val="-8"/>
          <w:kern w:val="24"/>
          <w:sz w:val="24"/>
          <w:szCs w:val="24"/>
        </w:rPr>
        <w:t>p</w:t>
      </w:r>
      <w:r w:rsidRPr="00B97FC3">
        <w:rPr>
          <w:rFonts w:asciiTheme="majorBidi" w:hAnsiTheme="majorBidi" w:cstheme="majorBidi"/>
          <w:spacing w:val="-8"/>
          <w:kern w:val="24"/>
          <w:sz w:val="24"/>
          <w:szCs w:val="24"/>
        </w:rPr>
        <w:t xml:space="preserve">rofits </w:t>
      </w:r>
      <w:r w:rsidR="00E53B6D" w:rsidRPr="00B97FC3">
        <w:rPr>
          <w:rFonts w:asciiTheme="majorBidi" w:hAnsiTheme="majorBidi" w:cstheme="majorBidi"/>
          <w:spacing w:val="-8"/>
          <w:kern w:val="24"/>
          <w:sz w:val="24"/>
          <w:szCs w:val="24"/>
        </w:rPr>
        <w:t>o</w:t>
      </w:r>
      <w:r w:rsidRPr="00B97FC3">
        <w:rPr>
          <w:rFonts w:asciiTheme="majorBidi" w:hAnsiTheme="majorBidi" w:cstheme="majorBidi"/>
          <w:spacing w:val="-8"/>
          <w:kern w:val="24"/>
          <w:sz w:val="24"/>
          <w:szCs w:val="24"/>
        </w:rPr>
        <w:t xml:space="preserve">u </w:t>
      </w:r>
      <w:r w:rsidR="00E53B6D" w:rsidRPr="00B97FC3">
        <w:rPr>
          <w:rFonts w:asciiTheme="majorBidi" w:hAnsiTheme="majorBidi" w:cstheme="majorBidi"/>
          <w:spacing w:val="-8"/>
          <w:kern w:val="24"/>
          <w:sz w:val="24"/>
          <w:szCs w:val="24"/>
        </w:rPr>
        <w:t>d</w:t>
      </w:r>
      <w:r w:rsidRPr="00B97FC3">
        <w:rPr>
          <w:rFonts w:asciiTheme="majorBidi" w:hAnsiTheme="majorBidi" w:cstheme="majorBidi"/>
          <w:spacing w:val="-8"/>
          <w:kern w:val="24"/>
          <w:sz w:val="24"/>
          <w:szCs w:val="24"/>
        </w:rPr>
        <w:t xml:space="preserve">es </w:t>
      </w:r>
      <w:r w:rsidR="00E53B6D" w:rsidRPr="00B97FC3">
        <w:rPr>
          <w:rFonts w:asciiTheme="majorBidi" w:hAnsiTheme="majorBidi" w:cstheme="majorBidi"/>
          <w:spacing w:val="-8"/>
          <w:kern w:val="24"/>
          <w:sz w:val="24"/>
          <w:szCs w:val="24"/>
        </w:rPr>
        <w:t>p</w:t>
      </w:r>
      <w:r w:rsidRPr="00B97FC3">
        <w:rPr>
          <w:rFonts w:asciiTheme="majorBidi" w:hAnsiTheme="majorBidi" w:cstheme="majorBidi"/>
          <w:spacing w:val="-8"/>
          <w:kern w:val="24"/>
          <w:sz w:val="24"/>
          <w:szCs w:val="24"/>
        </w:rPr>
        <w:t xml:space="preserve">ertes </w:t>
      </w:r>
      <w:r w:rsidR="00E53B6D" w:rsidRPr="00B97FC3">
        <w:rPr>
          <w:rFonts w:asciiTheme="majorBidi" w:hAnsiTheme="majorBidi" w:cstheme="majorBidi"/>
          <w:spacing w:val="-8"/>
          <w:kern w:val="24"/>
          <w:sz w:val="24"/>
          <w:szCs w:val="24"/>
        </w:rPr>
        <w:t>d</w:t>
      </w:r>
      <w:r w:rsidRPr="00B97FC3">
        <w:rPr>
          <w:rFonts w:asciiTheme="majorBidi" w:hAnsiTheme="majorBidi" w:cstheme="majorBidi"/>
          <w:spacing w:val="-8"/>
          <w:kern w:val="24"/>
          <w:sz w:val="24"/>
          <w:szCs w:val="24"/>
        </w:rPr>
        <w:t xml:space="preserve">ans </w:t>
      </w:r>
      <w:r w:rsidR="00E53B6D" w:rsidRPr="00B97FC3">
        <w:rPr>
          <w:rFonts w:asciiTheme="majorBidi" w:hAnsiTheme="majorBidi" w:cstheme="majorBidi"/>
          <w:spacing w:val="-8"/>
          <w:kern w:val="24"/>
          <w:sz w:val="24"/>
          <w:szCs w:val="24"/>
        </w:rPr>
        <w:t>l</w:t>
      </w:r>
      <w:r w:rsidRPr="00B97FC3">
        <w:rPr>
          <w:rFonts w:asciiTheme="majorBidi" w:hAnsiTheme="majorBidi" w:cstheme="majorBidi"/>
          <w:spacing w:val="-8"/>
          <w:kern w:val="24"/>
          <w:sz w:val="24"/>
          <w:szCs w:val="24"/>
        </w:rPr>
        <w:t xml:space="preserve">e </w:t>
      </w:r>
      <w:r w:rsidR="00E53B6D" w:rsidRPr="00B97FC3">
        <w:rPr>
          <w:rFonts w:asciiTheme="majorBidi" w:hAnsiTheme="majorBidi" w:cstheme="majorBidi"/>
          <w:spacing w:val="-8"/>
          <w:kern w:val="24"/>
          <w:sz w:val="24"/>
          <w:szCs w:val="24"/>
        </w:rPr>
        <w:t>c</w:t>
      </w:r>
      <w:r w:rsidRPr="00B97FC3">
        <w:rPr>
          <w:rFonts w:asciiTheme="majorBidi" w:hAnsiTheme="majorBidi" w:cstheme="majorBidi"/>
          <w:spacing w:val="-8"/>
          <w:kern w:val="24"/>
          <w:sz w:val="24"/>
          <w:szCs w:val="24"/>
        </w:rPr>
        <w:t xml:space="preserve">adre </w:t>
      </w:r>
      <w:r w:rsidR="00E53B6D" w:rsidRPr="00B97FC3">
        <w:rPr>
          <w:rFonts w:asciiTheme="majorBidi" w:hAnsiTheme="majorBidi" w:cstheme="majorBidi"/>
          <w:spacing w:val="-8"/>
          <w:kern w:val="24"/>
          <w:sz w:val="24"/>
          <w:szCs w:val="24"/>
        </w:rPr>
        <w:t>d</w:t>
      </w:r>
      <w:r w:rsidRPr="00B97FC3">
        <w:rPr>
          <w:rFonts w:asciiTheme="majorBidi" w:hAnsiTheme="majorBidi" w:cstheme="majorBidi"/>
          <w:spacing w:val="-8"/>
          <w:kern w:val="24"/>
          <w:sz w:val="24"/>
          <w:szCs w:val="24"/>
        </w:rPr>
        <w:t xml:space="preserve">es </w:t>
      </w:r>
      <w:r w:rsidR="00E53B6D" w:rsidRPr="00B97FC3">
        <w:rPr>
          <w:rFonts w:asciiTheme="majorBidi" w:hAnsiTheme="majorBidi" w:cstheme="majorBidi"/>
          <w:spacing w:val="-8"/>
          <w:kern w:val="24"/>
          <w:sz w:val="24"/>
          <w:szCs w:val="24"/>
        </w:rPr>
        <w:t>b</w:t>
      </w:r>
      <w:r w:rsidRPr="00B97FC3">
        <w:rPr>
          <w:rFonts w:asciiTheme="majorBidi" w:hAnsiTheme="majorBidi" w:cstheme="majorBidi"/>
          <w:spacing w:val="-8"/>
          <w:kern w:val="24"/>
          <w:sz w:val="24"/>
          <w:szCs w:val="24"/>
        </w:rPr>
        <w:t xml:space="preserve">anques </w:t>
      </w:r>
      <w:r w:rsidR="00E53B6D" w:rsidRPr="00B97FC3">
        <w:rPr>
          <w:rFonts w:asciiTheme="majorBidi" w:hAnsiTheme="majorBidi" w:cstheme="majorBidi"/>
          <w:spacing w:val="-8"/>
          <w:kern w:val="24"/>
          <w:sz w:val="24"/>
          <w:szCs w:val="24"/>
        </w:rPr>
        <w:t>i</w:t>
      </w:r>
      <w:r w:rsidRPr="00B97FC3">
        <w:rPr>
          <w:rFonts w:asciiTheme="majorBidi" w:hAnsiTheme="majorBidi" w:cstheme="majorBidi"/>
          <w:spacing w:val="-8"/>
          <w:kern w:val="24"/>
          <w:sz w:val="24"/>
          <w:szCs w:val="24"/>
        </w:rPr>
        <w:t>slamiques</w:t>
      </w:r>
      <w:r w:rsidR="00E53B6D" w:rsidRPr="00B97FC3">
        <w:rPr>
          <w:rFonts w:asciiTheme="majorBidi" w:hAnsiTheme="majorBidi" w:cstheme="majorBidi"/>
          <w:spacing w:val="-8"/>
          <w:kern w:val="24"/>
          <w:sz w:val="24"/>
          <w:szCs w:val="24"/>
        </w:rPr>
        <w:t> : i</w:t>
      </w:r>
      <w:r w:rsidRPr="00B97FC3">
        <w:rPr>
          <w:rFonts w:asciiTheme="majorBidi" w:hAnsiTheme="majorBidi" w:cstheme="majorBidi"/>
          <w:spacing w:val="-8"/>
          <w:kern w:val="24"/>
          <w:sz w:val="24"/>
          <w:szCs w:val="24"/>
        </w:rPr>
        <w:t xml:space="preserve">llustration </w:t>
      </w:r>
      <w:r w:rsidR="00E53B6D" w:rsidRPr="00B97FC3">
        <w:rPr>
          <w:rFonts w:asciiTheme="majorBidi" w:hAnsiTheme="majorBidi" w:cstheme="majorBidi"/>
          <w:spacing w:val="-8"/>
          <w:kern w:val="24"/>
          <w:sz w:val="24"/>
          <w:szCs w:val="24"/>
        </w:rPr>
        <w:t>m</w:t>
      </w:r>
      <w:r w:rsidRPr="00B97FC3">
        <w:rPr>
          <w:rFonts w:asciiTheme="majorBidi" w:hAnsiTheme="majorBidi" w:cstheme="majorBidi"/>
          <w:spacing w:val="-8"/>
          <w:kern w:val="24"/>
          <w:sz w:val="24"/>
          <w:szCs w:val="24"/>
        </w:rPr>
        <w:t xml:space="preserve">odélisée </w:t>
      </w:r>
      <w:r w:rsidR="00E53B6D" w:rsidRPr="00B97FC3">
        <w:rPr>
          <w:rFonts w:asciiTheme="majorBidi" w:hAnsiTheme="majorBidi" w:cstheme="majorBidi"/>
          <w:spacing w:val="-8"/>
          <w:kern w:val="24"/>
          <w:sz w:val="24"/>
          <w:szCs w:val="24"/>
        </w:rPr>
        <w:t>d</w:t>
      </w:r>
      <w:r w:rsidRPr="00B97FC3">
        <w:rPr>
          <w:rFonts w:asciiTheme="majorBidi" w:hAnsiTheme="majorBidi" w:cstheme="majorBidi"/>
          <w:spacing w:val="-8"/>
          <w:kern w:val="24"/>
          <w:sz w:val="24"/>
          <w:szCs w:val="24"/>
        </w:rPr>
        <w:t xml:space="preserve">es </w:t>
      </w:r>
      <w:r w:rsidR="00E53B6D" w:rsidRPr="00B97FC3">
        <w:rPr>
          <w:rFonts w:asciiTheme="majorBidi" w:hAnsiTheme="majorBidi" w:cstheme="majorBidi"/>
          <w:spacing w:val="-8"/>
          <w:kern w:val="24"/>
          <w:sz w:val="24"/>
          <w:szCs w:val="24"/>
        </w:rPr>
        <w:t>c</w:t>
      </w:r>
      <w:r w:rsidRPr="00B97FC3">
        <w:rPr>
          <w:rFonts w:asciiTheme="majorBidi" w:hAnsiTheme="majorBidi" w:cstheme="majorBidi"/>
          <w:spacing w:val="-8"/>
          <w:kern w:val="24"/>
          <w:sz w:val="24"/>
          <w:szCs w:val="24"/>
        </w:rPr>
        <w:t xml:space="preserve">ontrats </w:t>
      </w:r>
      <w:r w:rsidR="00E53B6D" w:rsidRPr="00B97FC3">
        <w:rPr>
          <w:rFonts w:asciiTheme="majorBidi" w:hAnsiTheme="majorBidi" w:cstheme="majorBidi"/>
          <w:spacing w:val="-8"/>
          <w:kern w:val="24"/>
          <w:sz w:val="24"/>
          <w:szCs w:val="24"/>
        </w:rPr>
        <w:t>d</w:t>
      </w:r>
      <w:r w:rsidRPr="00B97FC3">
        <w:rPr>
          <w:rFonts w:asciiTheme="majorBidi" w:hAnsiTheme="majorBidi" w:cstheme="majorBidi"/>
          <w:spacing w:val="-8"/>
          <w:kern w:val="24"/>
          <w:sz w:val="24"/>
          <w:szCs w:val="24"/>
        </w:rPr>
        <w:t xml:space="preserve">e </w:t>
      </w:r>
      <w:r w:rsidR="00E53B6D" w:rsidRPr="00B97FC3">
        <w:rPr>
          <w:rFonts w:asciiTheme="majorBidi" w:hAnsiTheme="majorBidi" w:cstheme="majorBidi"/>
          <w:spacing w:val="-8"/>
          <w:kern w:val="24"/>
          <w:sz w:val="24"/>
          <w:szCs w:val="24"/>
        </w:rPr>
        <w:t>f</w:t>
      </w:r>
      <w:r w:rsidRPr="00B97FC3">
        <w:rPr>
          <w:rFonts w:asciiTheme="majorBidi" w:hAnsiTheme="majorBidi" w:cstheme="majorBidi"/>
          <w:spacing w:val="-8"/>
          <w:kern w:val="24"/>
          <w:sz w:val="24"/>
          <w:szCs w:val="24"/>
        </w:rPr>
        <w:t xml:space="preserve">inancement </w:t>
      </w:r>
      <w:r w:rsidR="00E53B6D" w:rsidRPr="00B97FC3">
        <w:rPr>
          <w:rFonts w:asciiTheme="majorBidi" w:hAnsiTheme="majorBidi" w:cstheme="majorBidi"/>
          <w:spacing w:val="-8"/>
          <w:kern w:val="24"/>
          <w:sz w:val="24"/>
          <w:szCs w:val="24"/>
        </w:rPr>
        <w:t>p</w:t>
      </w:r>
      <w:r w:rsidRPr="00B97FC3">
        <w:rPr>
          <w:rFonts w:asciiTheme="majorBidi" w:hAnsiTheme="majorBidi" w:cstheme="majorBidi"/>
          <w:spacing w:val="-8"/>
          <w:kern w:val="24"/>
          <w:sz w:val="24"/>
          <w:szCs w:val="24"/>
        </w:rPr>
        <w:t xml:space="preserve">articipatif </w:t>
      </w:r>
      <w:r w:rsidR="00E53B6D" w:rsidRPr="00B97FC3">
        <w:rPr>
          <w:rFonts w:asciiTheme="majorBidi" w:hAnsiTheme="majorBidi" w:cstheme="majorBidi"/>
          <w:i/>
          <w:iCs/>
          <w:spacing w:val="-8"/>
          <w:kern w:val="24"/>
          <w:sz w:val="24"/>
          <w:szCs w:val="24"/>
        </w:rPr>
        <w:t>m</w:t>
      </w:r>
      <w:r w:rsidRPr="00B97FC3">
        <w:rPr>
          <w:rFonts w:asciiTheme="majorBidi" w:hAnsiTheme="majorBidi" w:cstheme="majorBidi"/>
          <w:i/>
          <w:iCs/>
          <w:spacing w:val="-8"/>
          <w:kern w:val="24"/>
          <w:sz w:val="24"/>
          <w:szCs w:val="24"/>
        </w:rPr>
        <w:t>oudaraba</w:t>
      </w:r>
      <w:r w:rsidRPr="00B97FC3">
        <w:rPr>
          <w:rFonts w:asciiTheme="majorBidi" w:hAnsiTheme="majorBidi" w:cstheme="majorBidi"/>
          <w:spacing w:val="-8"/>
          <w:kern w:val="24"/>
          <w:sz w:val="24"/>
          <w:szCs w:val="24"/>
        </w:rPr>
        <w:t xml:space="preserve"> </w:t>
      </w:r>
      <w:r w:rsidR="00E53B6D" w:rsidRPr="00B97FC3">
        <w:rPr>
          <w:rFonts w:asciiTheme="majorBidi" w:hAnsiTheme="majorBidi" w:cstheme="majorBidi"/>
          <w:spacing w:val="-8"/>
          <w:kern w:val="24"/>
          <w:sz w:val="24"/>
          <w:szCs w:val="24"/>
        </w:rPr>
        <w:t>e</w:t>
      </w:r>
      <w:r w:rsidRPr="00B97FC3">
        <w:rPr>
          <w:rFonts w:asciiTheme="majorBidi" w:hAnsiTheme="majorBidi" w:cstheme="majorBidi"/>
          <w:spacing w:val="-8"/>
          <w:kern w:val="24"/>
          <w:sz w:val="24"/>
          <w:szCs w:val="24"/>
        </w:rPr>
        <w:t xml:space="preserve">t </w:t>
      </w:r>
      <w:r w:rsidR="00E53B6D" w:rsidRPr="00B97FC3">
        <w:rPr>
          <w:rFonts w:asciiTheme="majorBidi" w:hAnsiTheme="majorBidi" w:cstheme="majorBidi"/>
          <w:i/>
          <w:iCs/>
          <w:spacing w:val="-8"/>
          <w:kern w:val="24"/>
          <w:sz w:val="24"/>
          <w:szCs w:val="24"/>
        </w:rPr>
        <w:t>m</w:t>
      </w:r>
      <w:r w:rsidRPr="00B97FC3">
        <w:rPr>
          <w:rFonts w:asciiTheme="majorBidi" w:hAnsiTheme="majorBidi" w:cstheme="majorBidi"/>
          <w:i/>
          <w:iCs/>
          <w:spacing w:val="-8"/>
          <w:kern w:val="24"/>
          <w:sz w:val="24"/>
          <w:szCs w:val="24"/>
        </w:rPr>
        <w:t>oucharaka</w:t>
      </w:r>
      <w:r w:rsidRPr="00B97FC3">
        <w:rPr>
          <w:rFonts w:asciiTheme="majorBidi" w:hAnsiTheme="majorBidi" w:cstheme="majorBidi"/>
          <w:spacing w:val="-8"/>
          <w:kern w:val="24"/>
          <w:sz w:val="24"/>
          <w:szCs w:val="24"/>
        </w:rPr>
        <w:t> », Global Journal Of Management And Business Rese</w:t>
      </w:r>
      <w:r w:rsidR="00912BFB" w:rsidRPr="00B97FC3">
        <w:rPr>
          <w:rFonts w:asciiTheme="majorBidi" w:hAnsiTheme="majorBidi" w:cstheme="majorBidi"/>
          <w:spacing w:val="-8"/>
          <w:kern w:val="24"/>
          <w:sz w:val="24"/>
          <w:szCs w:val="24"/>
        </w:rPr>
        <w:t>a</w:t>
      </w:r>
      <w:r w:rsidRPr="00B97FC3">
        <w:rPr>
          <w:rFonts w:asciiTheme="majorBidi" w:hAnsiTheme="majorBidi" w:cstheme="majorBidi"/>
          <w:spacing w:val="-8"/>
          <w:kern w:val="24"/>
          <w:sz w:val="24"/>
          <w:szCs w:val="24"/>
        </w:rPr>
        <w:t>rch, Vol</w:t>
      </w:r>
      <w:r w:rsidR="00912BFB" w:rsidRPr="00B97FC3">
        <w:rPr>
          <w:rFonts w:asciiTheme="majorBidi" w:hAnsiTheme="majorBidi" w:cstheme="majorBidi"/>
          <w:spacing w:val="-8"/>
          <w:kern w:val="24"/>
          <w:sz w:val="24"/>
          <w:szCs w:val="24"/>
        </w:rPr>
        <w:t> </w:t>
      </w:r>
      <w:r w:rsidRPr="00B97FC3">
        <w:rPr>
          <w:rFonts w:asciiTheme="majorBidi" w:hAnsiTheme="majorBidi" w:cstheme="majorBidi"/>
          <w:spacing w:val="-8"/>
          <w:kern w:val="24"/>
          <w:sz w:val="24"/>
          <w:szCs w:val="24"/>
        </w:rPr>
        <w:t>11, Issue 11, 2011, 18 p.</w:t>
      </w:r>
    </w:p>
    <w:p w14:paraId="563D579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Fadel</w:t>
      </w:r>
      <w:r w:rsidRPr="00F634CD">
        <w:rPr>
          <w:rFonts w:asciiTheme="majorBidi" w:hAnsiTheme="majorBidi" w:cstheme="majorBidi"/>
          <w:kern w:val="24"/>
          <w:sz w:val="24"/>
          <w:szCs w:val="24"/>
          <w:lang w:val="en-US" w:eastAsia="fr-FR"/>
        </w:rPr>
        <w:t xml:space="preserve"> Mohamed, “Riba, Efficiency, and Prudential Regulation: Preliminary Thoughts”</w:t>
      </w:r>
      <w:r w:rsidRPr="00F634CD">
        <w:rPr>
          <w:rFonts w:asciiTheme="majorBidi" w:hAnsiTheme="majorBidi" w:cstheme="majorBidi"/>
          <w:kern w:val="24"/>
          <w:sz w:val="24"/>
          <w:szCs w:val="24"/>
          <w:lang w:val="en-US"/>
        </w:rPr>
        <w:t xml:space="preserve">, </w:t>
      </w:r>
      <w:r w:rsidRPr="00F634CD">
        <w:rPr>
          <w:rFonts w:asciiTheme="majorBidi" w:hAnsiTheme="majorBidi" w:cstheme="majorBidi"/>
          <w:kern w:val="24"/>
          <w:sz w:val="24"/>
          <w:szCs w:val="24"/>
          <w:lang w:val="en-GB" w:eastAsia="fr-FR"/>
        </w:rPr>
        <w:t>Wisconsin International Law Journal, Vol 25, N° 4, 2008, pp. 655- 702.</w:t>
      </w:r>
    </w:p>
    <w:p w14:paraId="0A55591B"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Farook</w:t>
      </w:r>
      <w:r w:rsidRPr="00F634CD">
        <w:rPr>
          <w:rFonts w:asciiTheme="majorBidi" w:hAnsiTheme="majorBidi" w:cstheme="majorBidi"/>
          <w:kern w:val="24"/>
          <w:sz w:val="24"/>
          <w:szCs w:val="24"/>
          <w:lang w:val="en-US"/>
        </w:rPr>
        <w:t xml:space="preserve"> Mohammad, “</w:t>
      </w:r>
      <w:r w:rsidRPr="00F634CD">
        <w:rPr>
          <w:rFonts w:asciiTheme="majorBidi" w:hAnsiTheme="majorBidi" w:cstheme="majorBidi"/>
          <w:kern w:val="24"/>
          <w:sz w:val="24"/>
          <w:szCs w:val="24"/>
          <w:lang w:val="en-US" w:eastAsia="fr-FR"/>
        </w:rPr>
        <w:t>Partnership, Equity-Financing and Islamic Finance: Whither Profit-Loss Sharing?</w:t>
      </w:r>
      <w:r w:rsidRPr="00F634CD">
        <w:rPr>
          <w:rFonts w:asciiTheme="majorBidi" w:hAnsiTheme="majorBidi" w:cstheme="majorBidi"/>
          <w:kern w:val="24"/>
          <w:sz w:val="24"/>
          <w:szCs w:val="24"/>
          <w:lang w:val="en-US"/>
        </w:rPr>
        <w:t xml:space="preserve"> “,</w:t>
      </w:r>
      <w:r w:rsidRPr="00F634CD">
        <w:rPr>
          <w:rFonts w:asciiTheme="majorBidi" w:hAnsiTheme="majorBidi" w:cstheme="majorBidi"/>
          <w:kern w:val="24"/>
          <w:sz w:val="24"/>
          <w:szCs w:val="24"/>
          <w:lang w:val="en-US" w:eastAsia="fr-FR"/>
        </w:rPr>
        <w:t xml:space="preserve"> Review of Islamic Economics, Vol 11, Special Issue, 2007, pp. 67-88.</w:t>
      </w:r>
    </w:p>
    <w:p w14:paraId="074804DA"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Febianto</w:t>
      </w:r>
      <w:r w:rsidRPr="00F634CD">
        <w:rPr>
          <w:rFonts w:asciiTheme="majorBidi" w:hAnsiTheme="majorBidi" w:cstheme="majorBidi"/>
          <w:kern w:val="24"/>
          <w:sz w:val="24"/>
          <w:szCs w:val="24"/>
          <w:lang w:val="en-US" w:eastAsia="fr-FR"/>
        </w:rPr>
        <w:t xml:space="preserve"> Irawan and </w:t>
      </w:r>
      <w:r w:rsidRPr="00F634CD">
        <w:rPr>
          <w:rFonts w:asciiTheme="majorBidi" w:hAnsiTheme="majorBidi" w:cstheme="majorBidi"/>
          <w:smallCaps/>
          <w:kern w:val="24"/>
          <w:sz w:val="24"/>
          <w:szCs w:val="24"/>
          <w:lang w:val="en-US" w:eastAsia="fr-FR"/>
        </w:rPr>
        <w:t>Kasri</w:t>
      </w:r>
      <w:r w:rsidRPr="00F634CD">
        <w:rPr>
          <w:rFonts w:asciiTheme="majorBidi" w:hAnsiTheme="majorBidi" w:cstheme="majorBidi"/>
          <w:kern w:val="24"/>
          <w:sz w:val="24"/>
          <w:szCs w:val="24"/>
          <w:lang w:val="en-US" w:eastAsia="fr-FR"/>
        </w:rPr>
        <w:t xml:space="preserve"> Rahmatina, “Why Do Islamic Banks Tend To Avoid Profit And Loss Sharing Arrangements?”, 2nd Islamic Conference 2007 organized by Faculty of Economics and </w:t>
      </w:r>
      <w:r w:rsidRPr="00912BFB">
        <w:rPr>
          <w:rFonts w:asciiTheme="majorBidi" w:hAnsiTheme="majorBidi" w:cstheme="majorBidi"/>
          <w:i/>
          <w:iCs/>
          <w:kern w:val="24"/>
          <w:sz w:val="24"/>
          <w:szCs w:val="24"/>
          <w:lang w:val="en-US" w:eastAsia="fr-FR"/>
        </w:rPr>
        <w:t>Muamalat</w:t>
      </w:r>
      <w:r w:rsidRPr="00F634CD">
        <w:rPr>
          <w:rFonts w:asciiTheme="majorBidi" w:hAnsiTheme="majorBidi" w:cstheme="majorBidi"/>
          <w:kern w:val="24"/>
          <w:sz w:val="24"/>
          <w:szCs w:val="24"/>
          <w:lang w:val="en-US" w:eastAsia="fr-FR"/>
        </w:rPr>
        <w:t>, Islamic Science University of Malaysia, 2007, 15 p.</w:t>
      </w:r>
    </w:p>
    <w:p w14:paraId="70EEE0D4" w14:textId="472423CE"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Febianto</w:t>
      </w:r>
      <w:r w:rsidRPr="00F634CD">
        <w:rPr>
          <w:rFonts w:asciiTheme="majorBidi" w:hAnsiTheme="majorBidi" w:cstheme="majorBidi"/>
          <w:kern w:val="24"/>
          <w:sz w:val="24"/>
          <w:szCs w:val="24"/>
          <w:lang w:val="en-US" w:eastAsia="fr-FR"/>
        </w:rPr>
        <w:t xml:space="preserve"> Irawan, “Risk management in </w:t>
      </w:r>
      <w:r w:rsidRPr="00912BFB">
        <w:rPr>
          <w:rFonts w:asciiTheme="majorBidi" w:hAnsiTheme="majorBidi" w:cstheme="majorBidi"/>
          <w:i/>
          <w:iCs/>
          <w:kern w:val="24"/>
          <w:sz w:val="24"/>
          <w:szCs w:val="24"/>
          <w:lang w:val="en-US" w:eastAsia="fr-FR"/>
        </w:rPr>
        <w:t>mudharabah</w:t>
      </w:r>
      <w:r w:rsidRPr="00F634CD">
        <w:rPr>
          <w:rFonts w:asciiTheme="majorBidi" w:hAnsiTheme="majorBidi" w:cstheme="majorBidi"/>
          <w:kern w:val="24"/>
          <w:sz w:val="24"/>
          <w:szCs w:val="24"/>
          <w:lang w:val="en-US" w:eastAsia="fr-FR"/>
        </w:rPr>
        <w:t xml:space="preserve"> and </w:t>
      </w:r>
      <w:r w:rsidRPr="00912BFB">
        <w:rPr>
          <w:rFonts w:asciiTheme="majorBidi" w:hAnsiTheme="majorBidi" w:cstheme="majorBidi"/>
          <w:i/>
          <w:iCs/>
          <w:kern w:val="24"/>
          <w:sz w:val="24"/>
          <w:szCs w:val="24"/>
          <w:lang w:val="en-US" w:eastAsia="fr-FR"/>
        </w:rPr>
        <w:t>musharakah</w:t>
      </w:r>
      <w:r w:rsidRPr="00F634CD">
        <w:rPr>
          <w:rFonts w:asciiTheme="majorBidi" w:hAnsiTheme="majorBidi" w:cstheme="majorBidi"/>
          <w:kern w:val="24"/>
          <w:sz w:val="24"/>
          <w:szCs w:val="24"/>
          <w:lang w:val="en-US" w:eastAsia="fr-FR"/>
        </w:rPr>
        <w:t xml:space="preserve"> financing of </w:t>
      </w:r>
      <w:r w:rsidR="00912BFB"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banks”</w:t>
      </w:r>
      <w:r w:rsidRPr="00F634CD">
        <w:rPr>
          <w:rFonts w:asciiTheme="majorBidi" w:hAnsiTheme="majorBidi" w:cstheme="majorBidi"/>
          <w:kern w:val="24"/>
          <w:sz w:val="24"/>
          <w:szCs w:val="24"/>
          <w:lang w:val="en-US"/>
        </w:rPr>
        <w:t xml:space="preserve">, </w:t>
      </w:r>
      <w:r w:rsidRPr="00F634CD">
        <w:rPr>
          <w:rFonts w:asciiTheme="majorBidi" w:hAnsiTheme="majorBidi" w:cstheme="majorBidi"/>
          <w:iCs/>
          <w:kern w:val="24"/>
          <w:sz w:val="24"/>
          <w:szCs w:val="24"/>
          <w:lang w:val="en-US"/>
        </w:rPr>
        <w:t xml:space="preserve">SSRN Electronic Journal, </w:t>
      </w:r>
      <w:r w:rsidR="00912BFB">
        <w:rPr>
          <w:rFonts w:asciiTheme="majorBidi" w:hAnsiTheme="majorBidi" w:cstheme="majorBidi"/>
          <w:iCs/>
          <w:kern w:val="24"/>
          <w:sz w:val="24"/>
          <w:szCs w:val="24"/>
          <w:lang w:val="en-US"/>
        </w:rPr>
        <w:t>A</w:t>
      </w:r>
      <w:r w:rsidRPr="00F634CD">
        <w:rPr>
          <w:rFonts w:asciiTheme="majorBidi" w:hAnsiTheme="majorBidi" w:cstheme="majorBidi"/>
          <w:iCs/>
          <w:kern w:val="24"/>
          <w:sz w:val="24"/>
          <w:szCs w:val="24"/>
          <w:lang w:val="en-US"/>
        </w:rPr>
        <w:t xml:space="preserve">bstract= </w:t>
      </w:r>
      <w:r w:rsidRPr="00F634CD">
        <w:rPr>
          <w:rFonts w:asciiTheme="majorBidi" w:hAnsiTheme="majorBidi" w:cstheme="majorBidi"/>
          <w:kern w:val="24"/>
          <w:sz w:val="24"/>
          <w:szCs w:val="24"/>
          <w:lang w:val="en-US" w:eastAsia="fr-FR"/>
        </w:rPr>
        <w:t>1672180, 2007, 30 p.</w:t>
      </w:r>
    </w:p>
    <w:p w14:paraId="173429B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Fehle</w:t>
      </w:r>
      <w:r w:rsidRPr="00F634CD">
        <w:rPr>
          <w:rFonts w:asciiTheme="majorBidi" w:hAnsiTheme="majorBidi" w:cstheme="majorBidi"/>
          <w:kern w:val="24"/>
          <w:sz w:val="24"/>
          <w:szCs w:val="24"/>
          <w:lang w:val="en-US" w:eastAsia="fr-FR"/>
        </w:rPr>
        <w:t xml:space="preserve"> Frank and </w:t>
      </w:r>
      <w:r w:rsidRPr="00F634CD">
        <w:rPr>
          <w:rFonts w:asciiTheme="majorBidi" w:hAnsiTheme="majorBidi" w:cstheme="majorBidi"/>
          <w:smallCaps/>
          <w:kern w:val="24"/>
          <w:sz w:val="24"/>
          <w:szCs w:val="24"/>
          <w:lang w:val="en-US" w:eastAsia="fr-FR"/>
        </w:rPr>
        <w:t>Tsyplakov</w:t>
      </w:r>
      <w:r w:rsidRPr="00F634CD">
        <w:rPr>
          <w:rFonts w:asciiTheme="majorBidi" w:hAnsiTheme="majorBidi" w:cstheme="majorBidi"/>
          <w:kern w:val="24"/>
          <w:sz w:val="24"/>
          <w:szCs w:val="24"/>
          <w:lang w:val="en-US" w:eastAsia="fr-FR"/>
        </w:rPr>
        <w:t xml:space="preserve"> Sergey, </w:t>
      </w:r>
      <w:r w:rsidRPr="00F634CD">
        <w:rPr>
          <w:rFonts w:asciiTheme="majorBidi" w:hAnsiTheme="majorBidi" w:cstheme="majorBidi"/>
          <w:kern w:val="24"/>
          <w:sz w:val="24"/>
          <w:szCs w:val="24"/>
          <w:lang w:val="en-US"/>
        </w:rPr>
        <w:t xml:space="preserve">“Dynamic risk management: Theory and evidence”, </w:t>
      </w:r>
      <w:r w:rsidRPr="00F634CD">
        <w:rPr>
          <w:rFonts w:asciiTheme="majorBidi" w:hAnsiTheme="majorBidi" w:cstheme="majorBidi"/>
          <w:kern w:val="24"/>
          <w:sz w:val="24"/>
          <w:szCs w:val="24"/>
          <w:lang w:val="en-GB" w:eastAsia="fr-FR"/>
        </w:rPr>
        <w:t>Journal of Financial Economics 78 (1), 2005, pp. 3-47.</w:t>
      </w:r>
    </w:p>
    <w:p w14:paraId="47311F55" w14:textId="77777777" w:rsidR="00A42833" w:rsidRPr="00DD05D8" w:rsidRDefault="00A42833" w:rsidP="00621FA2">
      <w:pPr>
        <w:pStyle w:val="Notedebasdepage"/>
        <w:tabs>
          <w:tab w:val="left" w:pos="0"/>
          <w:tab w:val="left" w:pos="284"/>
        </w:tabs>
        <w:spacing w:before="120" w:line="276" w:lineRule="auto"/>
        <w:rPr>
          <w:rFonts w:asciiTheme="majorBidi" w:hAnsiTheme="majorBidi" w:cstheme="majorBidi"/>
          <w:spacing w:val="-4"/>
          <w:kern w:val="24"/>
          <w:sz w:val="24"/>
          <w:szCs w:val="24"/>
        </w:rPr>
      </w:pPr>
      <w:r w:rsidRPr="00DD05D8">
        <w:rPr>
          <w:rFonts w:asciiTheme="majorBidi" w:hAnsiTheme="majorBidi" w:cstheme="majorBidi"/>
          <w:smallCaps/>
          <w:spacing w:val="-4"/>
          <w:kern w:val="24"/>
          <w:sz w:val="24"/>
          <w:szCs w:val="24"/>
        </w:rPr>
        <w:t>Gazzane</w:t>
      </w:r>
      <w:r w:rsidRPr="00DD05D8">
        <w:rPr>
          <w:rFonts w:asciiTheme="majorBidi" w:hAnsiTheme="majorBidi" w:cstheme="majorBidi"/>
          <w:spacing w:val="-4"/>
          <w:kern w:val="24"/>
          <w:sz w:val="24"/>
          <w:szCs w:val="24"/>
        </w:rPr>
        <w:t xml:space="preserve"> Hayat, « La finance islamique pèse plus de 2 000 milliards de dollars », le Figaro, 2014.</w:t>
      </w:r>
    </w:p>
    <w:p w14:paraId="428BCF2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Gestel</w:t>
      </w:r>
      <w:r w:rsidRPr="00F634CD">
        <w:rPr>
          <w:rFonts w:asciiTheme="majorBidi" w:hAnsiTheme="majorBidi" w:cstheme="majorBidi"/>
          <w:kern w:val="24"/>
          <w:sz w:val="24"/>
          <w:szCs w:val="24"/>
          <w:lang w:val="en-GB" w:eastAsia="fr-FR"/>
        </w:rPr>
        <w:t xml:space="preserve"> Tony V., </w:t>
      </w:r>
      <w:r w:rsidRPr="00F634CD">
        <w:rPr>
          <w:rFonts w:asciiTheme="majorBidi" w:hAnsiTheme="majorBidi" w:cstheme="majorBidi"/>
          <w:smallCaps/>
          <w:kern w:val="24"/>
          <w:sz w:val="24"/>
          <w:szCs w:val="24"/>
          <w:lang w:val="en-GB" w:eastAsia="fr-FR"/>
        </w:rPr>
        <w:t>Baesens</w:t>
      </w:r>
      <w:r w:rsidRPr="00F634CD">
        <w:rPr>
          <w:rFonts w:asciiTheme="majorBidi" w:hAnsiTheme="majorBidi" w:cstheme="majorBidi"/>
          <w:kern w:val="24"/>
          <w:sz w:val="24"/>
          <w:szCs w:val="24"/>
          <w:lang w:val="en-GB" w:eastAsia="fr-FR"/>
        </w:rPr>
        <w:t xml:space="preserve"> Bart, </w:t>
      </w:r>
      <w:r w:rsidRPr="00F634CD">
        <w:rPr>
          <w:rFonts w:asciiTheme="majorBidi" w:hAnsiTheme="majorBidi" w:cstheme="majorBidi"/>
          <w:smallCaps/>
          <w:kern w:val="24"/>
          <w:sz w:val="24"/>
          <w:szCs w:val="24"/>
          <w:lang w:val="en-GB" w:eastAsia="fr-FR"/>
        </w:rPr>
        <w:t>Dijcke</w:t>
      </w:r>
      <w:r w:rsidRPr="00F634CD">
        <w:rPr>
          <w:rFonts w:asciiTheme="majorBidi" w:hAnsiTheme="majorBidi" w:cstheme="majorBidi"/>
          <w:kern w:val="24"/>
          <w:sz w:val="24"/>
          <w:szCs w:val="24"/>
          <w:lang w:val="en-GB" w:eastAsia="fr-FR"/>
        </w:rPr>
        <w:t xml:space="preserve"> Peter V and al,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eastAsia="fr-FR"/>
        </w:rPr>
        <w:t>Linear and non-linear credit scoring by combining logistic regression and support vector machines”, Journal of Credit Risk 1(4), 2005, pp. 31–60.</w:t>
      </w:r>
    </w:p>
    <w:p w14:paraId="0896EBC1"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bookmarkStart w:id="1870" w:name="_Hlk530680688"/>
      <w:r w:rsidRPr="00F634CD">
        <w:rPr>
          <w:rFonts w:asciiTheme="majorBidi" w:hAnsiTheme="majorBidi" w:cstheme="majorBidi"/>
          <w:smallCaps/>
          <w:kern w:val="24"/>
          <w:sz w:val="24"/>
          <w:szCs w:val="24"/>
        </w:rPr>
        <w:t>Goodhart</w:t>
      </w:r>
      <w:r w:rsidRPr="00F634CD">
        <w:rPr>
          <w:rFonts w:asciiTheme="majorBidi" w:hAnsiTheme="majorBidi" w:cstheme="majorBidi"/>
          <w:kern w:val="24"/>
          <w:sz w:val="24"/>
          <w:szCs w:val="24"/>
        </w:rPr>
        <w:t xml:space="preserve"> Charles, « La gestion du risque de liquidité », Revue de la stabilité financière, Banque de France, N° 11, 2008, pp. 41-46.</w:t>
      </w:r>
    </w:p>
    <w:bookmarkEnd w:id="1870"/>
    <w:p w14:paraId="20DF03C3"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Gourieroux</w:t>
      </w:r>
      <w:r w:rsidRPr="00F634CD">
        <w:rPr>
          <w:rFonts w:asciiTheme="majorBidi" w:hAnsiTheme="majorBidi" w:cstheme="majorBidi"/>
          <w:color w:val="auto"/>
          <w:kern w:val="24"/>
        </w:rPr>
        <w:t xml:space="preserve"> Christian, « Bon ou mauvais usage de notation », Revue d’économie financière, N° hors-série, 2008, pp. 259-263.</w:t>
      </w:r>
    </w:p>
    <w:p w14:paraId="26A00F9B"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Hafsi</w:t>
      </w:r>
      <w:r w:rsidRPr="00F634CD">
        <w:rPr>
          <w:rFonts w:asciiTheme="majorBidi" w:hAnsiTheme="majorBidi" w:cstheme="majorBidi"/>
          <w:kern w:val="24"/>
          <w:sz w:val="24"/>
          <w:szCs w:val="24"/>
        </w:rPr>
        <w:t xml:space="preserve"> Taieb, </w:t>
      </w:r>
      <w:r w:rsidRPr="00F634CD">
        <w:rPr>
          <w:rFonts w:asciiTheme="majorBidi" w:hAnsiTheme="majorBidi" w:cstheme="majorBidi"/>
          <w:smallCaps/>
          <w:kern w:val="24"/>
          <w:sz w:val="24"/>
          <w:szCs w:val="24"/>
        </w:rPr>
        <w:t>Siagh</w:t>
      </w:r>
      <w:r w:rsidRPr="00F634CD">
        <w:rPr>
          <w:rFonts w:asciiTheme="majorBidi" w:hAnsiTheme="majorBidi" w:cstheme="majorBidi"/>
          <w:kern w:val="24"/>
          <w:sz w:val="24"/>
          <w:szCs w:val="24"/>
        </w:rPr>
        <w:t xml:space="preserve"> Lachemi et </w:t>
      </w:r>
      <w:r w:rsidRPr="00F634CD">
        <w:rPr>
          <w:rFonts w:asciiTheme="majorBidi" w:hAnsiTheme="majorBidi" w:cstheme="majorBidi"/>
          <w:smallCaps/>
          <w:kern w:val="24"/>
          <w:sz w:val="24"/>
          <w:szCs w:val="24"/>
        </w:rPr>
        <w:t>Diallo</w:t>
      </w:r>
      <w:r w:rsidRPr="00F634CD">
        <w:rPr>
          <w:rFonts w:asciiTheme="majorBidi" w:hAnsiTheme="majorBidi" w:cstheme="majorBidi"/>
          <w:kern w:val="24"/>
          <w:sz w:val="24"/>
          <w:szCs w:val="24"/>
        </w:rPr>
        <w:t xml:space="preserve"> Alpha-Oumar, « Environnement intense et choix stratégiques : le cas des banques islamiques », Revue française de gestion, Vol 33, N° 171, 2007, pp. 119-140.</w:t>
      </w:r>
    </w:p>
    <w:p w14:paraId="658376E3"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Haideur</w:t>
      </w:r>
      <w:r w:rsidRPr="00F634CD">
        <w:rPr>
          <w:rFonts w:asciiTheme="majorBidi" w:hAnsiTheme="majorBidi" w:cstheme="majorBidi"/>
          <w:kern w:val="24"/>
          <w:sz w:val="24"/>
          <w:szCs w:val="24"/>
        </w:rPr>
        <w:t xml:space="preserve"> Nasseur, « Gestion des risques spécifiques en finance islamique : expérience de la banque AlBaraka d’Algérie », Actes de séminaire, Université Ferhat Abbas, Sétif, Algérie, 18-20 avril 2009, 89 p.</w:t>
      </w:r>
    </w:p>
    <w:p w14:paraId="7F74CA89"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Hammond</w:t>
      </w:r>
      <w:r w:rsidRPr="00F634CD">
        <w:rPr>
          <w:rFonts w:asciiTheme="majorBidi" w:hAnsiTheme="majorBidi" w:cstheme="majorBidi"/>
          <w:kern w:val="24"/>
          <w:sz w:val="24"/>
          <w:szCs w:val="24"/>
        </w:rPr>
        <w:t xml:space="preserve"> Christophe, « Riba et finance islamique : itinéraire d’un idéal utile », Ecole de Guerre Economique, 2008, 4 p.</w:t>
      </w:r>
    </w:p>
    <w:p w14:paraId="3E8AF570" w14:textId="2E15AA5E"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eastAsia="fr-FR"/>
        </w:rPr>
        <w:t>Hanif</w:t>
      </w:r>
      <w:r w:rsidRPr="00F634CD">
        <w:rPr>
          <w:rFonts w:asciiTheme="majorBidi" w:hAnsiTheme="majorBidi" w:cstheme="majorBidi"/>
          <w:kern w:val="24"/>
          <w:sz w:val="24"/>
          <w:szCs w:val="24"/>
          <w:lang w:val="en-GB" w:eastAsia="fr-FR"/>
        </w:rPr>
        <w:t xml:space="preserve"> Muhammad,</w:t>
      </w:r>
      <w:r w:rsidRPr="00F634CD">
        <w:rPr>
          <w:rFonts w:asciiTheme="majorBidi" w:hAnsiTheme="majorBidi" w:cstheme="majorBidi"/>
          <w:kern w:val="24"/>
          <w:sz w:val="24"/>
          <w:szCs w:val="24"/>
          <w:lang w:val="en-US" w:eastAsia="fr-FR"/>
        </w:rPr>
        <w:t xml:space="preserve">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US" w:eastAsia="fr-FR"/>
        </w:rPr>
        <w:t xml:space="preserve">Risk and Return under </w:t>
      </w:r>
      <w:r w:rsidRPr="00E53B6D">
        <w:rPr>
          <w:rFonts w:asciiTheme="majorBidi" w:hAnsiTheme="majorBidi" w:cstheme="majorBidi"/>
          <w:i/>
          <w:iCs/>
          <w:kern w:val="24"/>
          <w:sz w:val="24"/>
          <w:szCs w:val="24"/>
          <w:lang w:val="en-US" w:eastAsia="fr-FR"/>
        </w:rPr>
        <w:t>Shari’a</w:t>
      </w:r>
      <w:r w:rsidR="00E53B6D" w:rsidRPr="00E53B6D">
        <w:rPr>
          <w:rFonts w:asciiTheme="majorBidi" w:hAnsiTheme="majorBidi" w:cstheme="majorBidi"/>
          <w:i/>
          <w:iCs/>
          <w:kern w:val="24"/>
          <w:sz w:val="24"/>
          <w:szCs w:val="24"/>
          <w:lang w:val="en-US" w:eastAsia="fr-FR"/>
        </w:rPr>
        <w:t>h</w:t>
      </w:r>
      <w:r w:rsidRPr="00F634CD">
        <w:rPr>
          <w:rFonts w:asciiTheme="majorBidi" w:hAnsiTheme="majorBidi" w:cstheme="majorBidi"/>
          <w:kern w:val="24"/>
          <w:sz w:val="24"/>
          <w:szCs w:val="24"/>
          <w:lang w:val="en-US" w:eastAsia="fr-FR"/>
        </w:rPr>
        <w:t xml:space="preserve"> Framework: An Attempt to Develop </w:t>
      </w:r>
      <w:r w:rsidRPr="00E1028E">
        <w:rPr>
          <w:rFonts w:asciiTheme="majorBidi" w:hAnsiTheme="majorBidi" w:cstheme="majorBidi"/>
          <w:i/>
          <w:iCs/>
          <w:kern w:val="24"/>
          <w:sz w:val="24"/>
          <w:szCs w:val="24"/>
          <w:lang w:val="en-US" w:eastAsia="fr-FR"/>
        </w:rPr>
        <w:t>Shari’a</w:t>
      </w:r>
      <w:r w:rsidR="00E1028E" w:rsidRPr="00E1028E">
        <w:rPr>
          <w:rFonts w:asciiTheme="majorBidi" w:hAnsiTheme="majorBidi" w:cstheme="majorBidi"/>
          <w:i/>
          <w:iCs/>
          <w:kern w:val="24"/>
          <w:sz w:val="24"/>
          <w:szCs w:val="24"/>
          <w:lang w:val="en-US" w:eastAsia="fr-FR"/>
        </w:rPr>
        <w:t>h</w:t>
      </w:r>
      <w:r w:rsidRPr="00F634CD">
        <w:rPr>
          <w:rFonts w:asciiTheme="majorBidi" w:hAnsiTheme="majorBidi" w:cstheme="majorBidi"/>
          <w:kern w:val="24"/>
          <w:sz w:val="24"/>
          <w:szCs w:val="24"/>
          <w:lang w:val="en-US" w:eastAsia="fr-FR"/>
        </w:rPr>
        <w:t xml:space="preserve"> Compliant Asset Pricing Model-SCAPM”</w:t>
      </w:r>
      <w:r w:rsidRPr="00F634CD">
        <w:rPr>
          <w:rFonts w:asciiTheme="majorBidi" w:hAnsiTheme="majorBidi" w:cstheme="majorBidi"/>
          <w:kern w:val="24"/>
          <w:sz w:val="24"/>
          <w:szCs w:val="24"/>
          <w:lang w:val="en-US"/>
        </w:rPr>
        <w:t xml:space="preserve">, </w:t>
      </w:r>
      <w:r w:rsidRPr="00F634CD">
        <w:rPr>
          <w:rFonts w:asciiTheme="majorBidi" w:hAnsiTheme="majorBidi" w:cstheme="majorBidi"/>
          <w:iCs/>
          <w:kern w:val="24"/>
          <w:sz w:val="24"/>
          <w:szCs w:val="24"/>
          <w:lang w:val="en-US"/>
        </w:rPr>
        <w:t xml:space="preserve">SSRN Electronic Journal, abstract= </w:t>
      </w:r>
      <w:r w:rsidRPr="00F634CD">
        <w:rPr>
          <w:rFonts w:asciiTheme="majorBidi" w:hAnsiTheme="majorBidi" w:cstheme="majorBidi"/>
          <w:kern w:val="24"/>
          <w:sz w:val="24"/>
          <w:szCs w:val="24"/>
          <w:lang w:val="en-US" w:eastAsia="fr-FR"/>
        </w:rPr>
        <w:t>1716821</w:t>
      </w:r>
      <w:r w:rsidRPr="00F634CD">
        <w:rPr>
          <w:rFonts w:asciiTheme="majorBidi" w:hAnsiTheme="majorBidi" w:cstheme="majorBidi"/>
          <w:iCs/>
          <w:kern w:val="24"/>
          <w:sz w:val="24"/>
          <w:szCs w:val="24"/>
          <w:lang w:val="en-US"/>
        </w:rPr>
        <w:t>, 2011, 8 p.</w:t>
      </w:r>
    </w:p>
    <w:p w14:paraId="73F6935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eastAsia="fr-FR"/>
        </w:rPr>
        <w:t>Haque</w:t>
      </w:r>
      <w:r w:rsidRPr="00F634CD">
        <w:rPr>
          <w:rFonts w:asciiTheme="majorBidi" w:hAnsiTheme="majorBidi" w:cstheme="majorBidi"/>
          <w:kern w:val="24"/>
          <w:sz w:val="24"/>
          <w:szCs w:val="24"/>
          <w:lang w:val="en-GB" w:eastAsia="fr-FR"/>
        </w:rPr>
        <w:t xml:space="preserve"> </w:t>
      </w:r>
      <w:r w:rsidRPr="00F634CD">
        <w:rPr>
          <w:rFonts w:asciiTheme="majorBidi" w:hAnsiTheme="majorBidi" w:cstheme="majorBidi"/>
          <w:kern w:val="24"/>
          <w:sz w:val="24"/>
          <w:szCs w:val="24"/>
          <w:lang w:val="en-US" w:eastAsia="fr-FR"/>
        </w:rPr>
        <w:t xml:space="preserve">Nadeem and </w:t>
      </w:r>
      <w:r w:rsidRPr="00F634CD">
        <w:rPr>
          <w:rFonts w:asciiTheme="majorBidi" w:hAnsiTheme="majorBidi" w:cstheme="majorBidi"/>
          <w:smallCaps/>
          <w:kern w:val="24"/>
          <w:sz w:val="24"/>
          <w:szCs w:val="24"/>
          <w:lang w:val="en-US" w:eastAsia="fr-FR"/>
        </w:rPr>
        <w:t>Mirakhor</w:t>
      </w:r>
      <w:r w:rsidRPr="00F634CD">
        <w:rPr>
          <w:rFonts w:asciiTheme="majorBidi" w:hAnsiTheme="majorBidi" w:cstheme="majorBidi"/>
          <w:kern w:val="24"/>
          <w:sz w:val="24"/>
          <w:szCs w:val="24"/>
          <w:lang w:val="en-US" w:eastAsia="fr-FR"/>
        </w:rPr>
        <w:t xml:space="preserve"> Abbas, “The Design of Instruments for Government Finance in an Islamic Economy”, IMF Working Paper, 1998, 18 p.</w:t>
      </w:r>
    </w:p>
    <w:p w14:paraId="557F5FA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rPr>
      </w:pPr>
      <w:r w:rsidRPr="00F634CD">
        <w:rPr>
          <w:rFonts w:asciiTheme="majorBidi" w:hAnsiTheme="majorBidi" w:cstheme="majorBidi"/>
          <w:smallCaps/>
          <w:kern w:val="24"/>
          <w:sz w:val="24"/>
          <w:szCs w:val="24"/>
          <w:lang w:val="en-US"/>
        </w:rPr>
        <w:t>Harmantzis</w:t>
      </w:r>
      <w:r w:rsidRPr="00F634CD">
        <w:rPr>
          <w:rFonts w:asciiTheme="majorBidi" w:hAnsiTheme="majorBidi" w:cstheme="majorBidi"/>
          <w:kern w:val="24"/>
          <w:sz w:val="24"/>
          <w:szCs w:val="24"/>
          <w:lang w:val="en-US"/>
        </w:rPr>
        <w:t xml:space="preserve"> Fotios, “Operational Risk Management in Financial Services and the New Basel Accord”, Working paper /School of Technology Management, Hoboken, NJ 07030, U.S.A, 2002, 16 p.</w:t>
      </w:r>
    </w:p>
    <w:p w14:paraId="128544A4" w14:textId="36D09047" w:rsidR="00A42833" w:rsidRPr="00F634CD" w:rsidRDefault="00A42833" w:rsidP="00621FA2">
      <w:pPr>
        <w:pStyle w:val="Notedebasdepage"/>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Harzi</w:t>
      </w:r>
      <w:r w:rsidRPr="00F634CD">
        <w:rPr>
          <w:rFonts w:asciiTheme="majorBidi" w:hAnsiTheme="majorBidi" w:cstheme="majorBidi"/>
          <w:kern w:val="24"/>
          <w:sz w:val="24"/>
          <w:szCs w:val="24"/>
          <w:lang w:val="en-GB"/>
        </w:rPr>
        <w:t xml:space="preserve"> A., </w:t>
      </w:r>
      <w:r w:rsidR="00E1028E">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rPr>
        <w:t>The Impact of Basel III on Islamic Banks: a Theoretical Study and Comparison with Conventional Banks</w:t>
      </w:r>
      <w:r w:rsidR="00E1028E">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rPr>
        <w:t xml:space="preserve">, Research Chair of Ethics and Financial Norms, </w:t>
      </w:r>
      <w:r w:rsidR="00E1028E" w:rsidRPr="00F634CD">
        <w:rPr>
          <w:rFonts w:asciiTheme="majorBidi" w:hAnsiTheme="majorBidi" w:cstheme="majorBidi"/>
          <w:kern w:val="24"/>
          <w:sz w:val="24"/>
          <w:szCs w:val="24"/>
          <w:lang w:val="en-GB"/>
        </w:rPr>
        <w:t>university</w:t>
      </w:r>
      <w:r w:rsidRPr="00F634CD">
        <w:rPr>
          <w:rFonts w:asciiTheme="majorBidi" w:hAnsiTheme="majorBidi" w:cstheme="majorBidi"/>
          <w:kern w:val="24"/>
          <w:sz w:val="24"/>
          <w:szCs w:val="24"/>
          <w:lang w:val="en-GB"/>
        </w:rPr>
        <w:t xml:space="preserve"> Paris 1 Sorbonne et King Abdul University at Jeddah, 2011, 20</w:t>
      </w:r>
      <w:r w:rsidR="00E1028E">
        <w:rPr>
          <w:rFonts w:asciiTheme="majorBidi" w:hAnsiTheme="majorBidi" w:cstheme="majorBidi"/>
          <w:kern w:val="24"/>
          <w:sz w:val="24"/>
          <w:szCs w:val="24"/>
          <w:lang w:val="en-GB"/>
        </w:rPr>
        <w:t xml:space="preserve"> </w:t>
      </w:r>
      <w:r w:rsidRPr="00F634CD">
        <w:rPr>
          <w:rFonts w:asciiTheme="majorBidi" w:hAnsiTheme="majorBidi" w:cstheme="majorBidi"/>
          <w:kern w:val="24"/>
          <w:sz w:val="24"/>
          <w:szCs w:val="24"/>
          <w:lang w:val="en-GB"/>
        </w:rPr>
        <w:t>p.</w:t>
      </w:r>
    </w:p>
    <w:p w14:paraId="1DA6F92F" w14:textId="22B72A81"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Hasan</w:t>
      </w:r>
      <w:r w:rsidRPr="00F634CD">
        <w:rPr>
          <w:rFonts w:asciiTheme="majorBidi" w:hAnsiTheme="majorBidi" w:cstheme="majorBidi"/>
          <w:kern w:val="24"/>
          <w:sz w:val="24"/>
          <w:szCs w:val="24"/>
          <w:lang w:val="en-GB"/>
        </w:rPr>
        <w:t xml:space="preserve"> Zubair,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GB"/>
        </w:rPr>
        <w:t xml:space="preserve">Commodity Murabaha: Does it violate </w:t>
      </w:r>
      <w:r w:rsidR="00912BFB" w:rsidRPr="00F634CD">
        <w:rPr>
          <w:rFonts w:asciiTheme="majorBidi" w:hAnsiTheme="majorBidi" w:cstheme="majorBidi"/>
          <w:kern w:val="24"/>
          <w:sz w:val="24"/>
          <w:szCs w:val="24"/>
          <w:lang w:val="en-GB"/>
        </w:rPr>
        <w:t>Islamic</w:t>
      </w:r>
      <w:r w:rsidRPr="00F634CD">
        <w:rPr>
          <w:rFonts w:asciiTheme="majorBidi" w:hAnsiTheme="majorBidi" w:cstheme="majorBidi"/>
          <w:kern w:val="24"/>
          <w:sz w:val="24"/>
          <w:szCs w:val="24"/>
          <w:lang w:val="en-GB"/>
        </w:rPr>
        <w:t xml:space="preserve"> norms?”</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GB"/>
        </w:rPr>
        <w:t xml:space="preserve"> The Global University in Islamic Finance, Working paper, n°11736, 2008, 3 p.</w:t>
      </w:r>
    </w:p>
    <w:p w14:paraId="29B23CFE" w14:textId="7EDB5B3E"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Hasan Zubair</w:t>
      </w:r>
      <w:r w:rsidRPr="00F634CD">
        <w:rPr>
          <w:rFonts w:asciiTheme="majorBidi" w:hAnsiTheme="majorBidi" w:cstheme="majorBidi"/>
          <w:kern w:val="24"/>
          <w:sz w:val="24"/>
          <w:szCs w:val="24"/>
          <w:lang w:val="en-GB"/>
        </w:rPr>
        <w:t xml:space="preserve">, “Profit sharing ratios in </w:t>
      </w:r>
      <w:r w:rsidR="00912BFB" w:rsidRPr="00912BFB">
        <w:rPr>
          <w:rFonts w:asciiTheme="majorBidi" w:hAnsiTheme="majorBidi" w:cstheme="majorBidi"/>
          <w:i/>
          <w:iCs/>
          <w:kern w:val="24"/>
          <w:sz w:val="24"/>
          <w:szCs w:val="24"/>
          <w:lang w:val="en-GB"/>
        </w:rPr>
        <w:t>m</w:t>
      </w:r>
      <w:r w:rsidRPr="00912BFB">
        <w:rPr>
          <w:rFonts w:asciiTheme="majorBidi" w:hAnsiTheme="majorBidi" w:cstheme="majorBidi"/>
          <w:i/>
          <w:iCs/>
          <w:kern w:val="24"/>
          <w:sz w:val="24"/>
          <w:szCs w:val="24"/>
          <w:lang w:val="en-GB"/>
        </w:rPr>
        <w:t>udaraba</w:t>
      </w:r>
      <w:r w:rsidRPr="00F634CD">
        <w:rPr>
          <w:rFonts w:asciiTheme="majorBidi" w:hAnsiTheme="majorBidi" w:cstheme="majorBidi"/>
          <w:kern w:val="24"/>
          <w:sz w:val="24"/>
          <w:szCs w:val="24"/>
          <w:lang w:val="en-GB"/>
        </w:rPr>
        <w:t xml:space="preserve"> contract revisited”, International Journal </w:t>
      </w:r>
      <w:r w:rsidR="00E1028E" w:rsidRPr="00F634CD">
        <w:rPr>
          <w:rFonts w:asciiTheme="majorBidi" w:hAnsiTheme="majorBidi" w:cstheme="majorBidi"/>
          <w:kern w:val="24"/>
          <w:sz w:val="24"/>
          <w:szCs w:val="24"/>
          <w:lang w:val="en-GB"/>
        </w:rPr>
        <w:t>of</w:t>
      </w:r>
      <w:r w:rsidRPr="00F634CD">
        <w:rPr>
          <w:rFonts w:asciiTheme="majorBidi" w:hAnsiTheme="majorBidi" w:cstheme="majorBidi"/>
          <w:kern w:val="24"/>
          <w:sz w:val="24"/>
          <w:szCs w:val="24"/>
          <w:lang w:val="en-GB"/>
        </w:rPr>
        <w:t xml:space="preserve"> Banking </w:t>
      </w:r>
      <w:r w:rsidR="00E1028E" w:rsidRPr="00F634CD">
        <w:rPr>
          <w:rFonts w:asciiTheme="majorBidi" w:hAnsiTheme="majorBidi" w:cstheme="majorBidi"/>
          <w:kern w:val="24"/>
          <w:sz w:val="24"/>
          <w:szCs w:val="24"/>
          <w:lang w:val="en-GB"/>
        </w:rPr>
        <w:t>and</w:t>
      </w:r>
      <w:r w:rsidRPr="00F634CD">
        <w:rPr>
          <w:rFonts w:asciiTheme="majorBidi" w:hAnsiTheme="majorBidi" w:cstheme="majorBidi"/>
          <w:kern w:val="24"/>
          <w:sz w:val="24"/>
          <w:szCs w:val="24"/>
          <w:lang w:val="en-GB"/>
        </w:rPr>
        <w:t xml:space="preserve"> Finance, Vol 7, Issue 1, 2009, pp. 1-20.</w:t>
      </w:r>
    </w:p>
    <w:p w14:paraId="35DAA99A" w14:textId="2D1006F8"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US"/>
        </w:rPr>
      </w:pPr>
      <w:r w:rsidRPr="00F634CD">
        <w:rPr>
          <w:rFonts w:asciiTheme="majorBidi" w:hAnsiTheme="majorBidi" w:cstheme="majorBidi"/>
          <w:smallCaps/>
          <w:kern w:val="24"/>
          <w:sz w:val="24"/>
          <w:szCs w:val="24"/>
          <w:lang w:val="en-US"/>
        </w:rPr>
        <w:t>Hasanuzzaman</w:t>
      </w:r>
      <w:r w:rsidRPr="00F634CD">
        <w:rPr>
          <w:rFonts w:asciiTheme="majorBidi" w:hAnsiTheme="majorBidi" w:cstheme="majorBidi"/>
          <w:kern w:val="24"/>
          <w:sz w:val="24"/>
          <w:szCs w:val="24"/>
          <w:lang w:val="en-US"/>
        </w:rPr>
        <w:t xml:space="preserve"> S M, “Definition of </w:t>
      </w:r>
      <w:r w:rsidR="00912BFB" w:rsidRPr="00F634CD">
        <w:rPr>
          <w:rFonts w:asciiTheme="majorBidi" w:hAnsiTheme="majorBidi" w:cstheme="majorBidi"/>
          <w:kern w:val="24"/>
          <w:sz w:val="24"/>
          <w:szCs w:val="24"/>
          <w:lang w:val="en-US"/>
        </w:rPr>
        <w:t>Islamic</w:t>
      </w:r>
      <w:r w:rsidRPr="00F634CD">
        <w:rPr>
          <w:rFonts w:asciiTheme="majorBidi" w:hAnsiTheme="majorBidi" w:cstheme="majorBidi"/>
          <w:kern w:val="24"/>
          <w:sz w:val="24"/>
          <w:szCs w:val="24"/>
          <w:lang w:val="en-US"/>
        </w:rPr>
        <w:t xml:space="preserve"> economics”, Journal of Research in Islamic Economics, Vol 1, N°2, 1984, pp. 49-50.</w:t>
      </w:r>
    </w:p>
    <w:p w14:paraId="20A93DCF"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Hassoune</w:t>
      </w:r>
      <w:r w:rsidRPr="00F634CD">
        <w:rPr>
          <w:rFonts w:asciiTheme="majorBidi" w:hAnsiTheme="majorBidi" w:cstheme="majorBidi"/>
          <w:kern w:val="24"/>
          <w:sz w:val="24"/>
          <w:szCs w:val="24"/>
        </w:rPr>
        <w:t xml:space="preserve"> Anouar et </w:t>
      </w:r>
      <w:r w:rsidRPr="00F634CD">
        <w:rPr>
          <w:rFonts w:asciiTheme="majorBidi" w:hAnsiTheme="majorBidi" w:cstheme="majorBidi"/>
          <w:smallCaps/>
          <w:kern w:val="24"/>
          <w:sz w:val="24"/>
          <w:szCs w:val="24"/>
        </w:rPr>
        <w:t>Damak</w:t>
      </w:r>
      <w:r w:rsidRPr="00F634CD">
        <w:rPr>
          <w:rFonts w:asciiTheme="majorBidi" w:hAnsiTheme="majorBidi" w:cstheme="majorBidi"/>
          <w:kern w:val="24"/>
          <w:sz w:val="24"/>
          <w:szCs w:val="24"/>
        </w:rPr>
        <w:t xml:space="preserve"> Mohamed, « Les habits neufs de la finance islamique », Rapport de Standard &amp; Poors, 2007, 34 p.</w:t>
      </w:r>
    </w:p>
    <w:p w14:paraId="17B4DEE8"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Hassoune</w:t>
      </w:r>
      <w:r w:rsidRPr="00F634CD">
        <w:rPr>
          <w:rFonts w:asciiTheme="majorBidi" w:hAnsiTheme="majorBidi" w:cstheme="majorBidi"/>
          <w:kern w:val="24"/>
          <w:sz w:val="24"/>
          <w:szCs w:val="24"/>
        </w:rPr>
        <w:t xml:space="preserve"> Anouar, « La gestion des risques dans les banques islamiques », Moody’s Investor Service, 2008, 28 p.</w:t>
      </w:r>
    </w:p>
    <w:p w14:paraId="10D8204F"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Hassoune</w:t>
      </w:r>
      <w:r w:rsidRPr="00F634CD">
        <w:rPr>
          <w:rFonts w:asciiTheme="majorBidi" w:hAnsiTheme="majorBidi" w:cstheme="majorBidi"/>
          <w:kern w:val="24"/>
          <w:sz w:val="24"/>
          <w:szCs w:val="24"/>
        </w:rPr>
        <w:t xml:space="preserve"> Anouar, « Principes de structuration des Sukuk », Les cahiers de la finance islamique, N°01, Ecole de management de Strasbourg, 2009, pp. 18-28.</w:t>
      </w:r>
    </w:p>
    <w:p w14:paraId="4E5C28C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Hassoune</w:t>
      </w:r>
      <w:r w:rsidRPr="00F634CD">
        <w:rPr>
          <w:rFonts w:asciiTheme="majorBidi" w:hAnsiTheme="majorBidi" w:cstheme="majorBidi"/>
          <w:kern w:val="24"/>
          <w:sz w:val="24"/>
          <w:szCs w:val="24"/>
        </w:rPr>
        <w:t xml:space="preserve"> Anouar, « Les fonds propres des banques islamiques face aux exigences réglementaires », Moody’s Investors Services, Paris, Janvier 2010, 32 p.</w:t>
      </w:r>
    </w:p>
    <w:p w14:paraId="4094347A" w14:textId="78DB589A" w:rsidR="00A42833" w:rsidRPr="00F634CD" w:rsidRDefault="00A42833" w:rsidP="00621FA2">
      <w:pPr>
        <w:tabs>
          <w:tab w:val="left" w:pos="0"/>
          <w:tab w:val="left" w:pos="284"/>
        </w:tabs>
        <w:spacing w:before="120"/>
        <w:rPr>
          <w:rFonts w:asciiTheme="majorBidi" w:hAnsiTheme="majorBidi" w:cstheme="majorBidi"/>
          <w:kern w:val="24"/>
          <w:sz w:val="24"/>
          <w:szCs w:val="24"/>
          <w:lang w:eastAsia="fr-FR"/>
        </w:rPr>
      </w:pPr>
      <w:r w:rsidRPr="00F634CD">
        <w:rPr>
          <w:rFonts w:asciiTheme="majorBidi" w:hAnsiTheme="majorBidi" w:cstheme="majorBidi"/>
          <w:kern w:val="24"/>
          <w:sz w:val="24"/>
          <w:szCs w:val="24"/>
        </w:rPr>
        <w:t>Hayati Ahmad Nor and Nizam Shahrul Ahmad, “</w:t>
      </w:r>
      <w:r w:rsidRPr="00F634CD">
        <w:rPr>
          <w:rFonts w:asciiTheme="majorBidi" w:hAnsiTheme="majorBidi" w:cstheme="majorBidi"/>
          <w:kern w:val="24"/>
          <w:sz w:val="24"/>
          <w:szCs w:val="24"/>
          <w:lang w:eastAsia="fr-FR"/>
        </w:rPr>
        <w:t xml:space="preserve">Key factors influencing credit risk of </w:t>
      </w:r>
      <w:r w:rsidR="00E53B6D">
        <w:rPr>
          <w:rFonts w:asciiTheme="majorBidi" w:hAnsiTheme="majorBidi" w:cstheme="majorBidi"/>
          <w:kern w:val="24"/>
          <w:sz w:val="24"/>
          <w:szCs w:val="24"/>
          <w:lang w:eastAsia="fr-FR"/>
        </w:rPr>
        <w:t>I</w:t>
      </w:r>
      <w:r w:rsidRPr="00F634CD">
        <w:rPr>
          <w:rFonts w:asciiTheme="majorBidi" w:hAnsiTheme="majorBidi" w:cstheme="majorBidi"/>
          <w:kern w:val="24"/>
          <w:sz w:val="24"/>
          <w:szCs w:val="24"/>
          <w:lang w:eastAsia="fr-FR"/>
        </w:rPr>
        <w:t>slamic bank: A Malaysian case"</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shd w:val="clear" w:color="auto" w:fill="FFFFFF"/>
        </w:rPr>
        <w:t xml:space="preserve">Le journal de </w:t>
      </w:r>
      <w:r w:rsidRPr="00497C4A">
        <w:rPr>
          <w:rFonts w:asciiTheme="majorBidi" w:hAnsiTheme="majorBidi" w:cstheme="majorBidi"/>
          <w:i/>
          <w:iCs/>
          <w:kern w:val="24"/>
          <w:sz w:val="24"/>
          <w:szCs w:val="24"/>
          <w:shd w:val="clear" w:color="auto" w:fill="FFFFFF"/>
        </w:rPr>
        <w:t>Muamalat</w:t>
      </w:r>
      <w:r w:rsidRPr="00F634CD">
        <w:rPr>
          <w:rFonts w:asciiTheme="majorBidi" w:hAnsiTheme="majorBidi" w:cstheme="majorBidi"/>
          <w:kern w:val="24"/>
          <w:sz w:val="24"/>
          <w:szCs w:val="24"/>
          <w:shd w:val="clear" w:color="auto" w:fill="FFFFFF"/>
        </w:rPr>
        <w:t xml:space="preserve"> et de la recherche en finance islamique</w:t>
      </w:r>
      <w:r w:rsidRPr="00F634CD">
        <w:rPr>
          <w:rFonts w:asciiTheme="majorBidi" w:hAnsiTheme="majorBidi" w:cstheme="majorBidi"/>
          <w:kern w:val="24"/>
          <w:sz w:val="24"/>
          <w:szCs w:val="24"/>
          <w:lang w:eastAsia="fr-FR"/>
        </w:rPr>
        <w:t xml:space="preserve">, </w:t>
      </w:r>
      <w:r w:rsidRPr="00F634CD">
        <w:rPr>
          <w:rFonts w:asciiTheme="majorBidi" w:hAnsiTheme="majorBidi" w:cstheme="majorBidi"/>
          <w:kern w:val="24"/>
          <w:sz w:val="24"/>
          <w:szCs w:val="24"/>
          <w:shd w:val="clear" w:color="auto" w:fill="FFFFFF"/>
        </w:rPr>
        <w:t>ISSN 1823-0754</w:t>
      </w:r>
      <w:r w:rsidRPr="00F634CD">
        <w:rPr>
          <w:rFonts w:asciiTheme="majorBidi" w:hAnsiTheme="majorBidi" w:cstheme="majorBidi"/>
          <w:kern w:val="24"/>
          <w:sz w:val="24"/>
          <w:szCs w:val="24"/>
          <w:lang w:eastAsia="fr-FR"/>
        </w:rPr>
        <w:t xml:space="preserve"> , 2003, pp. 1-10.</w:t>
      </w:r>
    </w:p>
    <w:p w14:paraId="10AE0749" w14:textId="4B3C833F"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GB"/>
        </w:rPr>
      </w:pPr>
      <w:r w:rsidRPr="00F634CD">
        <w:rPr>
          <w:rFonts w:asciiTheme="majorBidi" w:hAnsiTheme="majorBidi" w:cstheme="majorBidi"/>
          <w:smallCaps/>
          <w:color w:val="auto"/>
          <w:kern w:val="24"/>
        </w:rPr>
        <w:t xml:space="preserve"> </w:t>
      </w:r>
      <w:r w:rsidRPr="00F634CD">
        <w:rPr>
          <w:rFonts w:asciiTheme="majorBidi" w:hAnsiTheme="majorBidi" w:cstheme="majorBidi"/>
          <w:smallCaps/>
          <w:color w:val="auto"/>
          <w:kern w:val="24"/>
          <w:lang w:val="en-GB"/>
        </w:rPr>
        <w:t>Helmy</w:t>
      </w:r>
      <w:r w:rsidRPr="00F634CD">
        <w:rPr>
          <w:rFonts w:asciiTheme="majorBidi" w:hAnsiTheme="majorBidi" w:cstheme="majorBidi"/>
          <w:color w:val="auto"/>
          <w:kern w:val="24"/>
          <w:lang w:val="en-GB"/>
        </w:rPr>
        <w:t xml:space="preserve"> Mohamed, “Risk management in </w:t>
      </w:r>
      <w:r w:rsidR="00E53B6D" w:rsidRPr="00F634CD">
        <w:rPr>
          <w:rFonts w:asciiTheme="majorBidi" w:hAnsiTheme="majorBidi" w:cstheme="majorBidi"/>
          <w:color w:val="auto"/>
          <w:kern w:val="24"/>
          <w:lang w:val="en-GB"/>
        </w:rPr>
        <w:t>Islamic</w:t>
      </w:r>
      <w:r w:rsidRPr="00F634CD">
        <w:rPr>
          <w:rFonts w:asciiTheme="majorBidi" w:hAnsiTheme="majorBidi" w:cstheme="majorBidi"/>
          <w:color w:val="auto"/>
          <w:kern w:val="24"/>
          <w:lang w:val="en-GB"/>
        </w:rPr>
        <w:t xml:space="preserve"> banks”, ESLSCA Business School, MPRA Paper No. 38706, Disponible à </w:t>
      </w:r>
      <w:hyperlink r:id="rId87" w:history="1">
        <w:r w:rsidRPr="00F634CD">
          <w:rPr>
            <w:rStyle w:val="Lienhypertexte"/>
            <w:rFonts w:asciiTheme="majorBidi" w:hAnsiTheme="majorBidi" w:cstheme="majorBidi"/>
            <w:color w:val="auto"/>
            <w:kern w:val="24"/>
            <w:u w:val="none"/>
            <w:lang w:val="en-GB"/>
          </w:rPr>
          <w:t>http://mpra.ub.uni-muenchen.de/38706</w:t>
        </w:r>
      </w:hyperlink>
      <w:r w:rsidRPr="00F634CD">
        <w:rPr>
          <w:rFonts w:asciiTheme="majorBidi" w:hAnsiTheme="majorBidi" w:cstheme="majorBidi"/>
          <w:color w:val="auto"/>
          <w:kern w:val="24"/>
          <w:lang w:val="en-GB"/>
        </w:rPr>
        <w:t>, 2012, 62 p.</w:t>
      </w:r>
    </w:p>
    <w:p w14:paraId="7F5A429F" w14:textId="676BEA2B"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US"/>
        </w:rPr>
        <w:t>Hesse</w:t>
      </w:r>
      <w:r w:rsidRPr="00F634CD">
        <w:rPr>
          <w:rFonts w:asciiTheme="majorBidi" w:hAnsiTheme="majorBidi" w:cstheme="majorBidi"/>
          <w:kern w:val="24"/>
          <w:sz w:val="24"/>
          <w:szCs w:val="24"/>
          <w:lang w:val="en-US"/>
        </w:rPr>
        <w:t xml:space="preserve"> Heiko, </w:t>
      </w:r>
      <w:r w:rsidRPr="00F634CD">
        <w:rPr>
          <w:rFonts w:asciiTheme="majorBidi" w:hAnsiTheme="majorBidi" w:cstheme="majorBidi"/>
          <w:smallCaps/>
          <w:kern w:val="24"/>
          <w:sz w:val="24"/>
          <w:szCs w:val="24"/>
          <w:lang w:val="en-US"/>
        </w:rPr>
        <w:t>Jobst</w:t>
      </w:r>
      <w:r w:rsidRPr="00F634CD">
        <w:rPr>
          <w:rFonts w:asciiTheme="majorBidi" w:hAnsiTheme="majorBidi" w:cstheme="majorBidi"/>
          <w:kern w:val="24"/>
          <w:sz w:val="24"/>
          <w:szCs w:val="24"/>
          <w:lang w:val="en-US"/>
        </w:rPr>
        <w:t xml:space="preserve"> Andreas and </w:t>
      </w:r>
      <w:r w:rsidRPr="00F634CD">
        <w:rPr>
          <w:rFonts w:asciiTheme="majorBidi" w:hAnsiTheme="majorBidi" w:cstheme="majorBidi"/>
          <w:smallCaps/>
          <w:kern w:val="24"/>
          <w:sz w:val="24"/>
          <w:szCs w:val="24"/>
          <w:lang w:val="en-US"/>
        </w:rPr>
        <w:t>Solé</w:t>
      </w:r>
      <w:r w:rsidRPr="00F634CD">
        <w:rPr>
          <w:rFonts w:asciiTheme="majorBidi" w:hAnsiTheme="majorBidi" w:cstheme="majorBidi"/>
          <w:kern w:val="24"/>
          <w:sz w:val="24"/>
          <w:szCs w:val="24"/>
          <w:lang w:val="en-US"/>
        </w:rPr>
        <w:t xml:space="preserve"> Juan, “Trends and challenges in </w:t>
      </w:r>
      <w:r w:rsidR="00497C4A">
        <w:rPr>
          <w:rFonts w:asciiTheme="majorBidi" w:hAnsiTheme="majorBidi" w:cstheme="majorBidi"/>
          <w:kern w:val="24"/>
          <w:sz w:val="24"/>
          <w:szCs w:val="24"/>
          <w:lang w:val="en-US"/>
        </w:rPr>
        <w:t>I</w:t>
      </w:r>
      <w:r w:rsidRPr="00F634CD">
        <w:rPr>
          <w:rFonts w:asciiTheme="majorBidi" w:hAnsiTheme="majorBidi" w:cstheme="majorBidi"/>
          <w:kern w:val="24"/>
          <w:sz w:val="24"/>
          <w:szCs w:val="24"/>
          <w:lang w:val="en-US"/>
        </w:rPr>
        <w:t>slamic finance”, World Economics, Vol 09, n° 02, 2008, p. 175-193.</w:t>
      </w:r>
    </w:p>
    <w:p w14:paraId="44BADC6D"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Holton</w:t>
      </w:r>
      <w:r w:rsidRPr="00F634CD">
        <w:rPr>
          <w:rFonts w:asciiTheme="majorBidi" w:hAnsiTheme="majorBidi" w:cstheme="majorBidi"/>
          <w:kern w:val="24"/>
          <w:sz w:val="24"/>
          <w:szCs w:val="24"/>
          <w:lang w:val="en-GB"/>
        </w:rPr>
        <w:t xml:space="preserve"> Glyn A, </w:t>
      </w:r>
      <w:r w:rsidRPr="00F634CD">
        <w:rPr>
          <w:rFonts w:asciiTheme="majorBidi" w:hAnsiTheme="majorBidi" w:cstheme="majorBidi"/>
          <w:kern w:val="24"/>
          <w:sz w:val="24"/>
          <w:szCs w:val="24"/>
          <w:lang w:val="en-GB" w:eastAsia="fr-FR"/>
        </w:rPr>
        <w:t>“</w:t>
      </w:r>
      <w:r w:rsidRPr="00F634CD">
        <w:rPr>
          <w:rFonts w:asciiTheme="majorBidi" w:hAnsiTheme="majorBidi" w:cstheme="majorBidi"/>
          <w:kern w:val="24"/>
          <w:sz w:val="24"/>
          <w:szCs w:val="24"/>
          <w:lang w:val="en-US" w:eastAsia="fr-FR"/>
        </w:rPr>
        <w:t>Defining risk”, Financial Analysts Journal, Vol 60, N° 6, 2004, pp. 19-25.</w:t>
      </w:r>
    </w:p>
    <w:p w14:paraId="4FA71571"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Homolle</w:t>
      </w:r>
      <w:r w:rsidRPr="00F634CD">
        <w:rPr>
          <w:rFonts w:asciiTheme="majorBidi" w:hAnsiTheme="majorBidi" w:cstheme="majorBidi"/>
          <w:kern w:val="24"/>
          <w:sz w:val="24"/>
          <w:szCs w:val="24"/>
          <w:lang w:val="en-US" w:eastAsia="fr-FR"/>
        </w:rPr>
        <w:t xml:space="preserve"> Susanne, “Bank capital regulation, Asset risk and subordinated uninsured debt”</w:t>
      </w:r>
      <w:r w:rsidRPr="00F634CD">
        <w:rPr>
          <w:rFonts w:asciiTheme="majorBidi" w:hAnsiTheme="majorBidi" w:cstheme="majorBidi"/>
          <w:kern w:val="24"/>
          <w:sz w:val="24"/>
          <w:szCs w:val="24"/>
          <w:lang w:val="en-US"/>
        </w:rPr>
        <w:t>, Working paper, SSRN Electronic Journal, 56 (6), 2000, pp. 443-468.</w:t>
      </w:r>
    </w:p>
    <w:p w14:paraId="57EE73B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Homoud</w:t>
      </w:r>
      <w:r w:rsidRPr="00F634CD">
        <w:rPr>
          <w:rFonts w:asciiTheme="majorBidi" w:hAnsiTheme="majorBidi" w:cstheme="majorBidi"/>
          <w:kern w:val="24"/>
          <w:sz w:val="24"/>
          <w:szCs w:val="24"/>
          <w:lang w:val="en-GB"/>
        </w:rPr>
        <w:t xml:space="preserve"> S</w:t>
      </w:r>
      <w:r w:rsidRPr="00F634CD">
        <w:rPr>
          <w:rFonts w:asciiTheme="majorBidi" w:hAnsiTheme="majorBidi" w:cstheme="majorBidi"/>
          <w:kern w:val="24"/>
          <w:sz w:val="24"/>
          <w:szCs w:val="24"/>
          <w:lang w:val="en-US"/>
        </w:rPr>
        <w:t>ami</w:t>
      </w:r>
      <w:r w:rsidRPr="00F634CD">
        <w:rPr>
          <w:rFonts w:asciiTheme="majorBidi" w:hAnsiTheme="majorBidi" w:cstheme="majorBidi"/>
          <w:kern w:val="24"/>
          <w:sz w:val="24"/>
          <w:szCs w:val="24"/>
          <w:lang w:val="en-GB"/>
        </w:rPr>
        <w:t xml:space="preserve">, </w:t>
      </w:r>
      <w:r w:rsidRPr="00F634CD">
        <w:rPr>
          <w:rFonts w:asciiTheme="majorBidi" w:hAnsiTheme="majorBidi" w:cstheme="majorBidi"/>
          <w:kern w:val="24"/>
          <w:sz w:val="24"/>
          <w:szCs w:val="24"/>
          <w:lang w:val="en-GB" w:eastAsia="fr-FR"/>
        </w:rPr>
        <w:t>“</w:t>
      </w:r>
      <w:r w:rsidRPr="00497C4A">
        <w:rPr>
          <w:rFonts w:asciiTheme="majorBidi" w:hAnsiTheme="majorBidi" w:cstheme="majorBidi"/>
          <w:i/>
          <w:iCs/>
          <w:kern w:val="24"/>
          <w:sz w:val="24"/>
          <w:szCs w:val="24"/>
          <w:lang w:val="en-GB"/>
        </w:rPr>
        <w:t>Tathir Al A’mal Al masrafi lima yattafiq wa al shari’ah al islamiyyah</w:t>
      </w:r>
      <w:r w:rsidRPr="00F634CD">
        <w:rPr>
          <w:rFonts w:asciiTheme="majorBidi" w:hAnsiTheme="majorBidi" w:cstheme="majorBidi"/>
          <w:kern w:val="24"/>
          <w:sz w:val="24"/>
          <w:szCs w:val="24"/>
          <w:lang w:val="en-GB"/>
        </w:rPr>
        <w:t>”, 2ème Edition, Amman, Jordanie, 1982, 320 p.</w:t>
      </w:r>
    </w:p>
    <w:p w14:paraId="71D9B08E" w14:textId="77777777" w:rsidR="00A42833" w:rsidRPr="00F634CD" w:rsidRDefault="00A42833" w:rsidP="00621FA2">
      <w:pPr>
        <w:widowControl w:val="0"/>
        <w:tabs>
          <w:tab w:val="left" w:pos="0"/>
          <w:tab w:val="left" w:pos="284"/>
        </w:tabs>
        <w:autoSpaceDE w:val="0"/>
        <w:autoSpaceDN w:val="0"/>
        <w:adjustRightInd w:val="0"/>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Hurson</w:t>
      </w:r>
      <w:r w:rsidRPr="00F634CD">
        <w:rPr>
          <w:rFonts w:asciiTheme="majorBidi" w:hAnsiTheme="majorBidi" w:cstheme="majorBidi"/>
          <w:kern w:val="24"/>
          <w:sz w:val="24"/>
          <w:szCs w:val="24"/>
        </w:rPr>
        <w:t xml:space="preserve"> Christian et </w:t>
      </w:r>
      <w:r w:rsidRPr="00F634CD">
        <w:rPr>
          <w:rFonts w:asciiTheme="majorBidi" w:hAnsiTheme="majorBidi" w:cstheme="majorBidi"/>
          <w:smallCaps/>
          <w:kern w:val="24"/>
          <w:sz w:val="24"/>
          <w:szCs w:val="24"/>
        </w:rPr>
        <w:t>Xella-Ricci</w:t>
      </w:r>
      <w:r w:rsidRPr="00F634CD">
        <w:rPr>
          <w:rFonts w:asciiTheme="majorBidi" w:hAnsiTheme="majorBidi" w:cstheme="majorBidi"/>
          <w:kern w:val="24"/>
          <w:sz w:val="24"/>
          <w:szCs w:val="24"/>
        </w:rPr>
        <w:t xml:space="preserve"> Nadine, « Théorie des prix arbitrés ; outils multicritères et choix des portefeuilles », Finéco, Vol 8, N°2, 1998, pp. 87-106.</w:t>
      </w:r>
    </w:p>
    <w:p w14:paraId="47573491"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Hutapea</w:t>
      </w:r>
      <w:r w:rsidRPr="00F634CD">
        <w:rPr>
          <w:rFonts w:asciiTheme="majorBidi" w:hAnsiTheme="majorBidi" w:cstheme="majorBidi"/>
          <w:kern w:val="24"/>
          <w:sz w:val="24"/>
          <w:szCs w:val="24"/>
          <w:lang w:val="en-US" w:eastAsia="fr-FR"/>
        </w:rPr>
        <w:t xml:space="preserve"> Erwin G and </w:t>
      </w:r>
      <w:r w:rsidRPr="00F634CD">
        <w:rPr>
          <w:rFonts w:asciiTheme="majorBidi" w:hAnsiTheme="majorBidi" w:cstheme="majorBidi"/>
          <w:smallCaps/>
          <w:kern w:val="24"/>
          <w:sz w:val="24"/>
          <w:szCs w:val="24"/>
          <w:lang w:val="en-US" w:eastAsia="fr-FR"/>
        </w:rPr>
        <w:t>Kasri</w:t>
      </w:r>
      <w:r w:rsidRPr="00F634CD">
        <w:rPr>
          <w:rFonts w:asciiTheme="majorBidi" w:hAnsiTheme="majorBidi" w:cstheme="majorBidi"/>
          <w:kern w:val="24"/>
          <w:sz w:val="24"/>
          <w:szCs w:val="24"/>
          <w:lang w:val="en-US" w:eastAsia="fr-FR"/>
        </w:rPr>
        <w:t xml:space="preserve"> Rahmatina A., “Bank margin determination: a comparison between islamic and conventional banks in Indonesia”</w:t>
      </w:r>
      <w:r w:rsidRPr="00F634CD">
        <w:rPr>
          <w:rFonts w:asciiTheme="majorBidi" w:hAnsiTheme="majorBidi" w:cstheme="majorBidi"/>
          <w:kern w:val="24"/>
          <w:sz w:val="24"/>
          <w:szCs w:val="24"/>
          <w:lang w:val="en-US"/>
        </w:rPr>
        <w:t xml:space="preserve">, </w:t>
      </w:r>
      <w:r w:rsidRPr="00F634CD">
        <w:rPr>
          <w:rFonts w:asciiTheme="majorBidi" w:hAnsiTheme="majorBidi" w:cstheme="majorBidi"/>
          <w:kern w:val="24"/>
          <w:sz w:val="24"/>
          <w:szCs w:val="24"/>
          <w:lang w:val="en-US" w:eastAsia="fr-FR"/>
        </w:rPr>
        <w:t>International Journal of islamic and Middle Eastern Finance and Management, Vol 3, N°1, 2010, pp. 65-82.</w:t>
      </w:r>
    </w:p>
    <w:p w14:paraId="7788779D"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Ibn Rushd</w:t>
      </w:r>
      <w:r w:rsidRPr="00F634CD">
        <w:rPr>
          <w:rFonts w:asciiTheme="majorBidi" w:hAnsiTheme="majorBidi" w:cstheme="majorBidi"/>
          <w:kern w:val="24"/>
          <w:sz w:val="24"/>
          <w:szCs w:val="24"/>
          <w:lang w:val="en-GB"/>
        </w:rPr>
        <w:t>, “The distinguished jurist’s primer”, Vol II, Ithaca Press, 2000, 820 p.</w:t>
      </w:r>
    </w:p>
    <w:p w14:paraId="4961B32D"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Ibrahima BA</w:t>
      </w:r>
      <w:r w:rsidRPr="00F634CD">
        <w:rPr>
          <w:rFonts w:asciiTheme="majorBidi" w:hAnsiTheme="majorBidi" w:cstheme="majorBidi"/>
          <w:kern w:val="24"/>
          <w:sz w:val="24"/>
          <w:szCs w:val="24"/>
        </w:rPr>
        <w:t>, « PME et institutions financières islamiques », Document de travail N°6, Département du Développement des Entreprises et Coopératives, Bureau international du Travail, Genève, 1993, 37 p.</w:t>
      </w:r>
    </w:p>
    <w:p w14:paraId="4423A9FA" w14:textId="47F5690B"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Imam</w:t>
      </w:r>
      <w:r w:rsidRPr="00F634CD">
        <w:rPr>
          <w:rFonts w:asciiTheme="majorBidi" w:hAnsiTheme="majorBidi" w:cstheme="majorBidi"/>
          <w:kern w:val="24"/>
          <w:sz w:val="24"/>
          <w:szCs w:val="24"/>
          <w:lang w:val="en-US" w:eastAsia="fr-FR"/>
        </w:rPr>
        <w:t xml:space="preserve"> Patrick and </w:t>
      </w:r>
      <w:r w:rsidRPr="00F634CD">
        <w:rPr>
          <w:rFonts w:asciiTheme="majorBidi" w:hAnsiTheme="majorBidi" w:cstheme="majorBidi"/>
          <w:smallCaps/>
          <w:kern w:val="24"/>
          <w:sz w:val="24"/>
          <w:szCs w:val="24"/>
          <w:lang w:val="en-US" w:eastAsia="fr-FR"/>
        </w:rPr>
        <w:t>Kpodar</w:t>
      </w:r>
      <w:r w:rsidRPr="00F634CD">
        <w:rPr>
          <w:rFonts w:asciiTheme="majorBidi" w:hAnsiTheme="majorBidi" w:cstheme="majorBidi"/>
          <w:kern w:val="24"/>
          <w:sz w:val="24"/>
          <w:szCs w:val="24"/>
          <w:lang w:val="en-US" w:eastAsia="fr-FR"/>
        </w:rPr>
        <w:t xml:space="preserve"> Kangni, “</w:t>
      </w:r>
      <w:r w:rsidR="00497C4A">
        <w:rPr>
          <w:rFonts w:asciiTheme="majorBidi" w:hAnsiTheme="majorBidi" w:cstheme="majorBidi"/>
          <w:kern w:val="24"/>
          <w:sz w:val="24"/>
          <w:szCs w:val="24"/>
          <w:lang w:val="en-US" w:eastAsia="fr-FR"/>
        </w:rPr>
        <w:t>I</w:t>
      </w:r>
      <w:r w:rsidRPr="00F634CD">
        <w:rPr>
          <w:rFonts w:asciiTheme="majorBidi" w:hAnsiTheme="majorBidi" w:cstheme="majorBidi"/>
          <w:kern w:val="24"/>
          <w:sz w:val="24"/>
          <w:szCs w:val="24"/>
          <w:lang w:val="en-US" w:eastAsia="fr-FR"/>
        </w:rPr>
        <w:t>slamic Banking: How Has It Diffused?”</w:t>
      </w:r>
      <w:r w:rsidRPr="00F634CD">
        <w:rPr>
          <w:rFonts w:asciiTheme="majorBidi" w:hAnsiTheme="majorBidi" w:cstheme="majorBidi"/>
          <w:kern w:val="24"/>
          <w:sz w:val="24"/>
          <w:szCs w:val="24"/>
          <w:lang w:val="en-US"/>
        </w:rPr>
        <w:t xml:space="preserve">, </w:t>
      </w:r>
      <w:r w:rsidRPr="00F634CD">
        <w:rPr>
          <w:rFonts w:asciiTheme="majorBidi" w:hAnsiTheme="majorBidi" w:cstheme="majorBidi"/>
          <w:kern w:val="24"/>
          <w:sz w:val="24"/>
          <w:szCs w:val="24"/>
          <w:lang w:val="en-US" w:eastAsia="fr-FR"/>
        </w:rPr>
        <w:t>IMF Working, 2010, 29 p.</w:t>
      </w:r>
    </w:p>
    <w:p w14:paraId="273CB37D"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 xml:space="preserve">Iqbal </w:t>
      </w:r>
      <w:r w:rsidRPr="00F634CD">
        <w:rPr>
          <w:rFonts w:asciiTheme="majorBidi" w:hAnsiTheme="majorBidi" w:cstheme="majorBidi"/>
          <w:kern w:val="24"/>
          <w:sz w:val="24"/>
          <w:szCs w:val="24"/>
        </w:rPr>
        <w:t xml:space="preserve">Munawar, </w:t>
      </w:r>
      <w:r w:rsidRPr="00F634CD">
        <w:rPr>
          <w:rFonts w:asciiTheme="majorBidi" w:hAnsiTheme="majorBidi" w:cstheme="majorBidi"/>
          <w:smallCaps/>
          <w:kern w:val="24"/>
          <w:sz w:val="24"/>
          <w:szCs w:val="24"/>
        </w:rPr>
        <w:t xml:space="preserve">Ahmad </w:t>
      </w:r>
      <w:r w:rsidRPr="00F634CD">
        <w:rPr>
          <w:rFonts w:asciiTheme="majorBidi" w:hAnsiTheme="majorBidi" w:cstheme="majorBidi"/>
          <w:kern w:val="24"/>
          <w:sz w:val="24"/>
          <w:szCs w:val="24"/>
        </w:rPr>
        <w:t xml:space="preserve">Ausaf et </w:t>
      </w:r>
      <w:r w:rsidRPr="00F634CD">
        <w:rPr>
          <w:rFonts w:asciiTheme="majorBidi" w:hAnsiTheme="majorBidi" w:cstheme="majorBidi"/>
          <w:smallCaps/>
          <w:kern w:val="24"/>
          <w:sz w:val="24"/>
          <w:szCs w:val="24"/>
        </w:rPr>
        <w:t xml:space="preserve">Khan </w:t>
      </w:r>
      <w:r w:rsidRPr="00F634CD">
        <w:rPr>
          <w:rFonts w:asciiTheme="majorBidi" w:hAnsiTheme="majorBidi" w:cstheme="majorBidi"/>
          <w:kern w:val="24"/>
          <w:sz w:val="24"/>
          <w:szCs w:val="24"/>
        </w:rPr>
        <w:t>Tariqullah, « Défis au système bancaire islamique », IRTI Editions, Document occasionnel N°2, 1997, 90 p.</w:t>
      </w:r>
    </w:p>
    <w:p w14:paraId="5EBE89D1" w14:textId="19CD6AF2"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Iqbal</w:t>
      </w:r>
      <w:r w:rsidRPr="00F634CD">
        <w:rPr>
          <w:rFonts w:asciiTheme="majorBidi" w:hAnsiTheme="majorBidi" w:cstheme="majorBidi"/>
          <w:kern w:val="24"/>
          <w:sz w:val="24"/>
          <w:szCs w:val="24"/>
          <w:lang w:val="en-US" w:eastAsia="fr-FR"/>
        </w:rPr>
        <w:t xml:space="preserve"> Zamir and </w:t>
      </w:r>
      <w:r w:rsidRPr="00F634CD">
        <w:rPr>
          <w:rFonts w:asciiTheme="majorBidi" w:hAnsiTheme="majorBidi" w:cstheme="majorBidi"/>
          <w:smallCaps/>
          <w:kern w:val="24"/>
          <w:sz w:val="24"/>
          <w:szCs w:val="24"/>
          <w:lang w:val="en-US" w:eastAsia="fr-FR"/>
        </w:rPr>
        <w:t>Mirakhor</w:t>
      </w:r>
      <w:r w:rsidRPr="00F634CD">
        <w:rPr>
          <w:rFonts w:asciiTheme="majorBidi" w:hAnsiTheme="majorBidi" w:cstheme="majorBidi"/>
          <w:kern w:val="24"/>
          <w:sz w:val="24"/>
          <w:szCs w:val="24"/>
          <w:lang w:val="en-US" w:eastAsia="fr-FR"/>
        </w:rPr>
        <w:t xml:space="preserve"> Abbas, “Stakeholders model of governance in </w:t>
      </w:r>
      <w:r w:rsidR="00497C4A">
        <w:rPr>
          <w:rFonts w:asciiTheme="majorBidi" w:hAnsiTheme="majorBidi" w:cstheme="majorBidi"/>
          <w:kern w:val="24"/>
          <w:sz w:val="24"/>
          <w:szCs w:val="24"/>
          <w:lang w:val="en-US" w:eastAsia="fr-FR"/>
        </w:rPr>
        <w:t>I</w:t>
      </w:r>
      <w:r w:rsidRPr="00F634CD">
        <w:rPr>
          <w:rFonts w:asciiTheme="majorBidi" w:hAnsiTheme="majorBidi" w:cstheme="majorBidi"/>
          <w:kern w:val="24"/>
          <w:sz w:val="24"/>
          <w:szCs w:val="24"/>
          <w:lang w:val="en-US" w:eastAsia="fr-FR"/>
        </w:rPr>
        <w:t>slamic economic system”, Islamic Economic Studies, Vol 11, N° 2, 2004, pp. 43-63.</w:t>
      </w:r>
    </w:p>
    <w:p w14:paraId="4EB9F4BC"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kern w:val="24"/>
          <w:sz w:val="24"/>
          <w:szCs w:val="24"/>
          <w:lang w:val="en-US"/>
        </w:rPr>
        <w:t>Iqbal Zamir, “Challenges facing islamic financial industry”, Journal of Islamic Economics, Banking and Finance, 2007, 14 p.</w:t>
      </w:r>
    </w:p>
    <w:p w14:paraId="4EEEBA05"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Jouaber</w:t>
      </w:r>
      <w:r w:rsidRPr="00F634CD">
        <w:rPr>
          <w:rFonts w:asciiTheme="majorBidi" w:hAnsiTheme="majorBidi" w:cstheme="majorBidi"/>
          <w:kern w:val="24"/>
          <w:sz w:val="24"/>
          <w:szCs w:val="24"/>
        </w:rPr>
        <w:t xml:space="preserve"> Kaouther, « La finance islamique : est-elle une finance alternative ? », Option Finance, N°1047, 2009, pp. 58- 72.</w:t>
      </w:r>
    </w:p>
    <w:p w14:paraId="376336F8" w14:textId="78CF0EC4"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Jouaber</w:t>
      </w:r>
      <w:r w:rsidRPr="00F634CD">
        <w:rPr>
          <w:rFonts w:asciiTheme="majorBidi" w:hAnsiTheme="majorBidi" w:cstheme="majorBidi"/>
          <w:kern w:val="24"/>
          <w:sz w:val="24"/>
          <w:szCs w:val="24"/>
        </w:rPr>
        <w:t xml:space="preserve"> Kaouther, « En France, la </w:t>
      </w:r>
      <w:r w:rsidR="00DD05D8">
        <w:rPr>
          <w:rFonts w:asciiTheme="majorBidi" w:hAnsiTheme="majorBidi" w:cstheme="majorBidi"/>
          <w:kern w:val="24"/>
          <w:sz w:val="24"/>
          <w:szCs w:val="24"/>
        </w:rPr>
        <w:t>f</w:t>
      </w:r>
      <w:r w:rsidRPr="00F634CD">
        <w:rPr>
          <w:rFonts w:asciiTheme="majorBidi" w:hAnsiTheme="majorBidi" w:cstheme="majorBidi"/>
          <w:kern w:val="24"/>
          <w:sz w:val="24"/>
          <w:szCs w:val="24"/>
        </w:rPr>
        <w:t>inance islamique intervient pour l’heure surtout dans le secteur immobilier », Les Echos, 17 Septembre 2009.</w:t>
      </w:r>
    </w:p>
    <w:p w14:paraId="7440AA2C" w14:textId="7777777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Jouaber</w:t>
      </w:r>
      <w:r w:rsidRPr="00F634CD">
        <w:rPr>
          <w:rFonts w:asciiTheme="majorBidi" w:hAnsiTheme="majorBidi" w:cstheme="majorBidi"/>
          <w:kern w:val="24"/>
          <w:sz w:val="24"/>
          <w:szCs w:val="24"/>
          <w:lang w:val="en-GB"/>
        </w:rPr>
        <w:t xml:space="preserve"> Kaouther</w:t>
      </w:r>
      <w:r w:rsidRPr="00F634CD">
        <w:rPr>
          <w:rFonts w:asciiTheme="majorBidi" w:hAnsiTheme="majorBidi" w:cstheme="majorBidi"/>
          <w:kern w:val="24"/>
          <w:sz w:val="24"/>
          <w:szCs w:val="24"/>
          <w:lang w:val="en-US"/>
        </w:rPr>
        <w:t xml:space="preserve"> et Ben-Salah M, “The performance of islamic market indexes in catastophic market events”, working paper, Paris-Dauphine, 2009, 32 p.</w:t>
      </w:r>
    </w:p>
    <w:p w14:paraId="6FCD5145"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Kahf</w:t>
      </w:r>
      <w:r w:rsidRPr="00F634CD">
        <w:rPr>
          <w:rFonts w:asciiTheme="majorBidi" w:hAnsiTheme="majorBidi" w:cstheme="majorBidi"/>
          <w:kern w:val="24"/>
          <w:sz w:val="24"/>
          <w:szCs w:val="24"/>
          <w:lang w:val="en-GB"/>
        </w:rPr>
        <w:t xml:space="preserve"> Monzer, “A Discussion on Islamic Banks and Financial Intermediation”, Journal of King Abdulaziz University, Islamic Economics, Vol 13, 2001, pp.91-99.</w:t>
      </w:r>
    </w:p>
    <w:p w14:paraId="32B3A480" w14:textId="08750914"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Kahf</w:t>
      </w:r>
      <w:r w:rsidRPr="00F634CD">
        <w:rPr>
          <w:rFonts w:asciiTheme="majorBidi" w:hAnsiTheme="majorBidi" w:cstheme="majorBidi"/>
          <w:kern w:val="24"/>
          <w:sz w:val="24"/>
          <w:szCs w:val="24"/>
          <w:lang w:val="en-GB"/>
        </w:rPr>
        <w:t xml:space="preserve"> Monzer</w:t>
      </w:r>
      <w:r w:rsidRPr="00F634CD">
        <w:rPr>
          <w:rFonts w:asciiTheme="majorBidi" w:hAnsiTheme="majorBidi" w:cstheme="majorBidi"/>
          <w:kern w:val="24"/>
          <w:sz w:val="24"/>
          <w:szCs w:val="24"/>
          <w:lang w:val="en-US"/>
        </w:rPr>
        <w:t xml:space="preserve">, “Innovation and risk management in </w:t>
      </w:r>
      <w:r w:rsidR="00DB4926" w:rsidRPr="00F634CD">
        <w:rPr>
          <w:rFonts w:asciiTheme="majorBidi" w:hAnsiTheme="majorBidi" w:cstheme="majorBidi"/>
          <w:kern w:val="24"/>
          <w:sz w:val="24"/>
          <w:szCs w:val="24"/>
          <w:lang w:val="en-US"/>
        </w:rPr>
        <w:t>Islamic</w:t>
      </w:r>
      <w:r w:rsidRPr="00F634CD">
        <w:rPr>
          <w:rFonts w:asciiTheme="majorBidi" w:hAnsiTheme="majorBidi" w:cstheme="majorBidi"/>
          <w:kern w:val="24"/>
          <w:sz w:val="24"/>
          <w:szCs w:val="24"/>
          <w:lang w:val="en-US"/>
        </w:rPr>
        <w:t xml:space="preserve"> finance: </w:t>
      </w:r>
      <w:r w:rsidR="00DB4926">
        <w:rPr>
          <w:rFonts w:asciiTheme="majorBidi" w:hAnsiTheme="majorBidi" w:cstheme="majorBidi"/>
          <w:kern w:val="24"/>
          <w:sz w:val="24"/>
          <w:szCs w:val="24"/>
          <w:lang w:val="en-US"/>
        </w:rPr>
        <w:t>S</w:t>
      </w:r>
      <w:r w:rsidRPr="00F634CD">
        <w:rPr>
          <w:rFonts w:asciiTheme="majorBidi" w:hAnsiTheme="majorBidi" w:cstheme="majorBidi"/>
          <w:kern w:val="24"/>
          <w:sz w:val="24"/>
          <w:szCs w:val="24"/>
          <w:lang w:val="en-US"/>
        </w:rPr>
        <w:t xml:space="preserve">hariah considerations”, </w:t>
      </w:r>
      <w:r w:rsidRPr="00F634CD">
        <w:rPr>
          <w:rFonts w:asciiTheme="majorBidi" w:hAnsiTheme="majorBidi" w:cstheme="majorBidi"/>
          <w:kern w:val="24"/>
          <w:sz w:val="24"/>
          <w:szCs w:val="24"/>
          <w:lang w:val="en-GB"/>
        </w:rPr>
        <w:t>Paper prepared for the Seventh Harvard International Forum on Islamic Finance, 22-23 April 2006</w:t>
      </w:r>
      <w:r w:rsidRPr="00F634CD">
        <w:rPr>
          <w:rFonts w:asciiTheme="majorBidi" w:hAnsiTheme="majorBidi" w:cstheme="majorBidi"/>
          <w:kern w:val="24"/>
          <w:sz w:val="24"/>
          <w:szCs w:val="24"/>
          <w:lang w:val="en-US"/>
        </w:rPr>
        <w:t>, 15 p.</w:t>
      </w:r>
    </w:p>
    <w:p w14:paraId="30BA93A6" w14:textId="77777777" w:rsidR="00A42833" w:rsidRPr="00F634CD" w:rsidRDefault="00A42833" w:rsidP="00621FA2">
      <w:pPr>
        <w:tabs>
          <w:tab w:val="left" w:pos="0"/>
          <w:tab w:val="left" w:pos="284"/>
        </w:tabs>
        <w:autoSpaceDE w:val="0"/>
        <w:autoSpaceDN w:val="0"/>
        <w:adjustRightInd w:val="0"/>
        <w:spacing w:before="120"/>
        <w:rPr>
          <w:rFonts w:asciiTheme="majorBidi" w:eastAsia="ArialMT" w:hAnsiTheme="majorBidi" w:cstheme="majorBidi"/>
          <w:kern w:val="24"/>
          <w:sz w:val="24"/>
          <w:szCs w:val="24"/>
          <w:lang w:val="en-GB" w:eastAsia="fr-FR"/>
        </w:rPr>
      </w:pPr>
      <w:r w:rsidRPr="00F634CD">
        <w:rPr>
          <w:rFonts w:asciiTheme="majorBidi" w:hAnsiTheme="majorBidi" w:cstheme="majorBidi"/>
          <w:smallCaps/>
          <w:kern w:val="24"/>
          <w:sz w:val="24"/>
          <w:szCs w:val="24"/>
          <w:lang w:val="en-GB"/>
        </w:rPr>
        <w:t>Kamali</w:t>
      </w:r>
      <w:r w:rsidRPr="00F634CD">
        <w:rPr>
          <w:rFonts w:asciiTheme="majorBidi" w:hAnsiTheme="majorBidi" w:cstheme="majorBidi"/>
          <w:kern w:val="24"/>
          <w:sz w:val="24"/>
          <w:szCs w:val="24"/>
          <w:lang w:val="en-GB"/>
        </w:rPr>
        <w:t xml:space="preserve"> Mohammad Hashim,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GB" w:eastAsia="fr-FR"/>
        </w:rPr>
        <w:t>Islamic Commercial Law; an Analysis of Options”</w:t>
      </w:r>
      <w:r w:rsidRPr="00F634CD">
        <w:rPr>
          <w:rFonts w:asciiTheme="majorBidi" w:eastAsia="ArialMT" w:hAnsiTheme="majorBidi" w:cstheme="majorBidi"/>
          <w:kern w:val="24"/>
          <w:sz w:val="24"/>
          <w:szCs w:val="24"/>
          <w:lang w:val="en-US" w:eastAsia="fr-FR"/>
        </w:rPr>
        <w:t xml:space="preserve">, </w:t>
      </w:r>
      <w:r w:rsidRPr="00F634CD">
        <w:rPr>
          <w:rFonts w:asciiTheme="majorBidi" w:eastAsia="ArialMT" w:hAnsiTheme="majorBidi" w:cstheme="majorBidi"/>
          <w:kern w:val="24"/>
          <w:sz w:val="24"/>
          <w:szCs w:val="24"/>
          <w:lang w:val="en-GB" w:eastAsia="fr-FR"/>
        </w:rPr>
        <w:t>American Journal of Islamic Social Science 14, 1997, pp.17-37.</w:t>
      </w:r>
    </w:p>
    <w:p w14:paraId="00BF1649" w14:textId="4093450A" w:rsidR="00A42833" w:rsidRPr="00DD05D8" w:rsidRDefault="00A42833" w:rsidP="00621FA2">
      <w:pPr>
        <w:tabs>
          <w:tab w:val="left" w:pos="0"/>
          <w:tab w:val="left" w:pos="284"/>
        </w:tabs>
        <w:autoSpaceDE w:val="0"/>
        <w:autoSpaceDN w:val="0"/>
        <w:adjustRightInd w:val="0"/>
        <w:spacing w:before="120"/>
        <w:rPr>
          <w:rFonts w:asciiTheme="majorBidi" w:hAnsiTheme="majorBidi" w:cstheme="majorBidi"/>
          <w:spacing w:val="-4"/>
          <w:kern w:val="24"/>
          <w:sz w:val="24"/>
          <w:szCs w:val="24"/>
          <w:lang w:val="en-US" w:eastAsia="fr-FR"/>
        </w:rPr>
      </w:pPr>
      <w:r w:rsidRPr="00DD05D8">
        <w:rPr>
          <w:rFonts w:asciiTheme="majorBidi" w:hAnsiTheme="majorBidi" w:cstheme="majorBidi"/>
          <w:smallCaps/>
          <w:spacing w:val="-4"/>
          <w:kern w:val="24"/>
          <w:sz w:val="24"/>
          <w:szCs w:val="24"/>
          <w:lang w:val="en-GB"/>
        </w:rPr>
        <w:t>Karim</w:t>
      </w:r>
      <w:r w:rsidRPr="00DD05D8">
        <w:rPr>
          <w:rFonts w:asciiTheme="majorBidi" w:hAnsiTheme="majorBidi" w:cstheme="majorBidi"/>
          <w:spacing w:val="-4"/>
          <w:kern w:val="24"/>
          <w:sz w:val="24"/>
          <w:szCs w:val="24"/>
          <w:lang w:val="en-GB"/>
        </w:rPr>
        <w:t xml:space="preserve"> Adiwarman A, “Incentive-compatible constraints for </w:t>
      </w:r>
      <w:r w:rsidR="00E53B6D" w:rsidRPr="00DD05D8">
        <w:rPr>
          <w:rFonts w:asciiTheme="majorBidi" w:hAnsiTheme="majorBidi" w:cstheme="majorBidi"/>
          <w:spacing w:val="-4"/>
          <w:kern w:val="24"/>
          <w:sz w:val="24"/>
          <w:szCs w:val="24"/>
          <w:lang w:val="en-GB"/>
        </w:rPr>
        <w:t>Islamic</w:t>
      </w:r>
      <w:r w:rsidRPr="00DD05D8">
        <w:rPr>
          <w:rFonts w:asciiTheme="majorBidi" w:hAnsiTheme="majorBidi" w:cstheme="majorBidi"/>
          <w:spacing w:val="-4"/>
          <w:kern w:val="24"/>
          <w:sz w:val="24"/>
          <w:szCs w:val="24"/>
          <w:lang w:val="en-GB"/>
        </w:rPr>
        <w:t xml:space="preserve"> banking: some lessons from Bank Muamalat”, in Munawar Iqbal and David T. Llewellyn, Islamic Banking and Finance, New Perspectives on Profit-Sharing and Risk (2002), Ed. Edward Elgar, UK, 2002, pp.95-110.</w:t>
      </w:r>
    </w:p>
    <w:p w14:paraId="3DC68CDE" w14:textId="05ACD2E4"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Kamla</w:t>
      </w:r>
      <w:r w:rsidRPr="00F634CD">
        <w:rPr>
          <w:rFonts w:asciiTheme="majorBidi" w:hAnsiTheme="majorBidi" w:cstheme="majorBidi"/>
          <w:kern w:val="24"/>
          <w:sz w:val="24"/>
          <w:szCs w:val="24"/>
          <w:lang w:val="en-US" w:eastAsia="fr-FR"/>
        </w:rPr>
        <w:t xml:space="preserve"> Rania,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US" w:eastAsia="fr-FR"/>
        </w:rPr>
        <w:t xml:space="preserve">Critical insights into contemporary </w:t>
      </w:r>
      <w:r w:rsidR="00DB4926"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accounting”</w:t>
      </w:r>
      <w:r w:rsidRPr="00F634CD">
        <w:rPr>
          <w:rFonts w:asciiTheme="majorBidi" w:hAnsiTheme="majorBidi" w:cstheme="majorBidi"/>
          <w:kern w:val="24"/>
          <w:sz w:val="24"/>
          <w:szCs w:val="24"/>
          <w:lang w:val="en-US"/>
        </w:rPr>
        <w:t xml:space="preserve">, </w:t>
      </w:r>
      <w:hyperlink r:id="rId88" w:history="1">
        <w:r w:rsidRPr="00F634CD">
          <w:rPr>
            <w:rStyle w:val="Lienhypertexte"/>
            <w:rFonts w:asciiTheme="majorBidi" w:hAnsiTheme="majorBidi" w:cstheme="majorBidi"/>
            <w:color w:val="auto"/>
            <w:kern w:val="24"/>
            <w:sz w:val="24"/>
            <w:szCs w:val="24"/>
            <w:u w:val="none"/>
            <w:shd w:val="clear" w:color="auto" w:fill="FFFFFF"/>
            <w:lang w:val="en-GB"/>
          </w:rPr>
          <w:t>Critical Perspectives on Accounting</w:t>
        </w:r>
      </w:hyperlink>
      <w:r w:rsidRPr="00F634CD">
        <w:rPr>
          <w:rFonts w:asciiTheme="majorBidi" w:hAnsiTheme="majorBidi" w:cstheme="majorBidi"/>
          <w:kern w:val="24"/>
          <w:sz w:val="24"/>
          <w:szCs w:val="24"/>
          <w:shd w:val="clear" w:color="auto" w:fill="FFFFFF"/>
          <w:lang w:val="en-GB"/>
        </w:rPr>
        <w:t>, Vol 20, Issue 8, 2009, pp. 921-932</w:t>
      </w:r>
      <w:r w:rsidRPr="00F634CD">
        <w:rPr>
          <w:rFonts w:asciiTheme="majorBidi" w:hAnsiTheme="majorBidi" w:cstheme="majorBidi"/>
          <w:kern w:val="24"/>
          <w:sz w:val="24"/>
          <w:szCs w:val="24"/>
          <w:lang w:val="en-US"/>
        </w:rPr>
        <w:t>.</w:t>
      </w:r>
    </w:p>
    <w:p w14:paraId="0516E9C9"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 xml:space="preserve">Kammer </w:t>
      </w:r>
      <w:r w:rsidRPr="00F634CD">
        <w:rPr>
          <w:rFonts w:asciiTheme="majorBidi" w:hAnsiTheme="majorBidi" w:cstheme="majorBidi"/>
          <w:kern w:val="24"/>
          <w:sz w:val="24"/>
          <w:szCs w:val="24"/>
          <w:lang w:val="en-GB"/>
        </w:rPr>
        <w:t xml:space="preserve">Alfred, </w:t>
      </w:r>
      <w:r w:rsidRPr="00F634CD">
        <w:rPr>
          <w:rFonts w:asciiTheme="majorBidi" w:hAnsiTheme="majorBidi" w:cstheme="majorBidi"/>
          <w:smallCaps/>
          <w:kern w:val="24"/>
          <w:sz w:val="24"/>
          <w:szCs w:val="24"/>
          <w:lang w:val="en-GB"/>
        </w:rPr>
        <w:t>Norat</w:t>
      </w:r>
      <w:r w:rsidRPr="00F634CD">
        <w:rPr>
          <w:rFonts w:asciiTheme="majorBidi" w:hAnsiTheme="majorBidi" w:cstheme="majorBidi"/>
          <w:kern w:val="24"/>
          <w:sz w:val="24"/>
          <w:szCs w:val="24"/>
          <w:lang w:val="en-GB"/>
        </w:rPr>
        <w:t xml:space="preserve"> Mohamed, </w:t>
      </w:r>
      <w:r w:rsidRPr="00F634CD">
        <w:rPr>
          <w:rFonts w:asciiTheme="majorBidi" w:hAnsiTheme="majorBidi" w:cstheme="majorBidi"/>
          <w:smallCaps/>
          <w:kern w:val="24"/>
          <w:sz w:val="24"/>
          <w:szCs w:val="24"/>
          <w:lang w:val="en-GB"/>
        </w:rPr>
        <w:t>Pinon</w:t>
      </w:r>
      <w:r w:rsidRPr="00F634CD">
        <w:rPr>
          <w:rFonts w:asciiTheme="majorBidi" w:hAnsiTheme="majorBidi" w:cstheme="majorBidi"/>
          <w:kern w:val="24"/>
          <w:sz w:val="24"/>
          <w:szCs w:val="24"/>
          <w:lang w:val="en-GB"/>
        </w:rPr>
        <w:t xml:space="preserve"> Marco and al., “Islamic Finance: Opportunities, Challenges, and Policy Options”</w:t>
      </w:r>
      <w:r w:rsidRPr="00F634CD">
        <w:rPr>
          <w:rFonts w:asciiTheme="majorBidi" w:hAnsiTheme="majorBidi" w:cstheme="majorBidi"/>
          <w:kern w:val="24"/>
          <w:sz w:val="24"/>
          <w:szCs w:val="24"/>
          <w:lang w:val="en-US"/>
        </w:rPr>
        <w:t xml:space="preserve">, </w:t>
      </w:r>
      <w:r w:rsidRPr="00F634CD">
        <w:rPr>
          <w:rFonts w:asciiTheme="majorBidi" w:hAnsiTheme="majorBidi" w:cstheme="majorBidi"/>
          <w:kern w:val="24"/>
          <w:sz w:val="24"/>
          <w:szCs w:val="24"/>
          <w:lang w:val="en-GB"/>
        </w:rPr>
        <w:t>IMF Staff Discussion Note, SDN /15/05. (Washington: international Monetary Fund), 2015, 38 p.</w:t>
      </w:r>
    </w:p>
    <w:p w14:paraId="5B136762" w14:textId="297D8DA1"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Khan</w:t>
      </w:r>
      <w:r w:rsidRPr="00F634CD">
        <w:rPr>
          <w:rFonts w:asciiTheme="majorBidi" w:hAnsiTheme="majorBidi" w:cstheme="majorBidi"/>
          <w:kern w:val="24"/>
          <w:sz w:val="24"/>
          <w:szCs w:val="24"/>
          <w:lang w:val="en-US" w:eastAsia="fr-FR"/>
        </w:rPr>
        <w:t xml:space="preserve"> Muhammad Akram, </w:t>
      </w:r>
      <w:r w:rsidR="00DD05D8">
        <w:rPr>
          <w:rFonts w:asciiTheme="majorBidi" w:hAnsiTheme="majorBidi" w:cstheme="majorBidi"/>
          <w:kern w:val="24"/>
          <w:sz w:val="24"/>
          <w:szCs w:val="24"/>
          <w:lang w:val="en-US" w:eastAsia="fr-FR"/>
        </w:rPr>
        <w:t>“</w:t>
      </w:r>
      <w:r w:rsidRPr="00F634CD">
        <w:rPr>
          <w:rFonts w:asciiTheme="majorBidi" w:hAnsiTheme="majorBidi" w:cstheme="majorBidi"/>
          <w:kern w:val="24"/>
          <w:sz w:val="24"/>
          <w:szCs w:val="24"/>
          <w:lang w:val="en-US" w:eastAsia="fr-FR"/>
        </w:rPr>
        <w:t xml:space="preserve">Performance auditing for </w:t>
      </w:r>
      <w:r w:rsidR="00DB4926"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banks”, Islamic Economic Studies, </w:t>
      </w:r>
      <w:r w:rsidRPr="00F634CD">
        <w:rPr>
          <w:rFonts w:asciiTheme="majorBidi" w:hAnsiTheme="majorBidi" w:cstheme="majorBidi"/>
          <w:kern w:val="24"/>
          <w:sz w:val="24"/>
          <w:szCs w:val="24"/>
          <w:lang w:val="en-GB"/>
        </w:rPr>
        <w:t>Vol 5, N°1,</w:t>
      </w:r>
      <w:r w:rsidRPr="00F634CD">
        <w:rPr>
          <w:rFonts w:asciiTheme="majorBidi" w:hAnsiTheme="majorBidi" w:cstheme="majorBidi"/>
          <w:kern w:val="24"/>
          <w:sz w:val="24"/>
          <w:szCs w:val="24"/>
          <w:lang w:val="en-US" w:eastAsia="fr-FR"/>
        </w:rPr>
        <w:t xml:space="preserve"> 1998, pp. 23-37.</w:t>
      </w:r>
    </w:p>
    <w:p w14:paraId="1272109E" w14:textId="77777777" w:rsidR="00A42833" w:rsidRPr="00DD05D8" w:rsidRDefault="00A42833" w:rsidP="00621FA2">
      <w:pPr>
        <w:tabs>
          <w:tab w:val="left" w:pos="0"/>
          <w:tab w:val="left" w:pos="284"/>
        </w:tabs>
        <w:autoSpaceDE w:val="0"/>
        <w:autoSpaceDN w:val="0"/>
        <w:adjustRightInd w:val="0"/>
        <w:spacing w:before="120"/>
        <w:rPr>
          <w:rFonts w:asciiTheme="majorBidi" w:hAnsiTheme="majorBidi" w:cstheme="majorBidi"/>
          <w:spacing w:val="-2"/>
          <w:kern w:val="24"/>
          <w:sz w:val="24"/>
          <w:szCs w:val="24"/>
          <w:lang w:val="en-US" w:eastAsia="fr-FR"/>
        </w:rPr>
      </w:pPr>
      <w:r w:rsidRPr="00DD05D8">
        <w:rPr>
          <w:rFonts w:asciiTheme="majorBidi" w:hAnsiTheme="majorBidi" w:cstheme="majorBidi"/>
          <w:smallCaps/>
          <w:spacing w:val="-2"/>
          <w:kern w:val="24"/>
          <w:sz w:val="24"/>
          <w:szCs w:val="24"/>
          <w:lang w:val="en-US" w:eastAsia="fr-FR"/>
        </w:rPr>
        <w:t>Khan</w:t>
      </w:r>
      <w:r w:rsidRPr="00DD05D8">
        <w:rPr>
          <w:rFonts w:asciiTheme="majorBidi" w:hAnsiTheme="majorBidi" w:cstheme="majorBidi"/>
          <w:spacing w:val="-2"/>
          <w:kern w:val="24"/>
          <w:sz w:val="24"/>
          <w:szCs w:val="24"/>
          <w:lang w:val="en-US" w:eastAsia="fr-FR"/>
        </w:rPr>
        <w:t xml:space="preserve"> Fahim M, “Comparative economics of some islamic financing techniques”</w:t>
      </w:r>
      <w:r w:rsidRPr="00DD05D8">
        <w:rPr>
          <w:rFonts w:asciiTheme="majorBidi" w:hAnsiTheme="majorBidi" w:cstheme="majorBidi"/>
          <w:spacing w:val="-2"/>
          <w:kern w:val="24"/>
          <w:sz w:val="24"/>
          <w:szCs w:val="24"/>
          <w:lang w:val="en-US"/>
        </w:rPr>
        <w:t xml:space="preserve">, </w:t>
      </w:r>
      <w:r w:rsidRPr="00DD05D8">
        <w:rPr>
          <w:rFonts w:asciiTheme="majorBidi" w:hAnsiTheme="majorBidi" w:cstheme="majorBidi"/>
          <w:spacing w:val="-2"/>
          <w:kern w:val="24"/>
          <w:sz w:val="24"/>
          <w:szCs w:val="24"/>
          <w:lang w:val="en-US" w:eastAsia="fr-FR"/>
        </w:rPr>
        <w:t>Islamic Research and Training Institute, Islamic Development Bank, Jeddah, Saudi Arabia, 1989, 42</w:t>
      </w:r>
      <w:r w:rsidRPr="00DD05D8">
        <w:rPr>
          <w:rFonts w:asciiTheme="majorBidi" w:hAnsiTheme="majorBidi" w:cstheme="majorBidi"/>
          <w:spacing w:val="-2"/>
          <w:kern w:val="24"/>
          <w:sz w:val="24"/>
          <w:szCs w:val="24"/>
          <w:lang w:val="en-GB"/>
        </w:rPr>
        <w:t> </w:t>
      </w:r>
      <w:r w:rsidRPr="00DD05D8">
        <w:rPr>
          <w:rFonts w:asciiTheme="majorBidi" w:hAnsiTheme="majorBidi" w:cstheme="majorBidi"/>
          <w:spacing w:val="-2"/>
          <w:kern w:val="24"/>
          <w:sz w:val="24"/>
          <w:szCs w:val="24"/>
          <w:lang w:val="en-US" w:eastAsia="fr-FR"/>
        </w:rPr>
        <w:t>p.</w:t>
      </w:r>
    </w:p>
    <w:p w14:paraId="3CF43419" w14:textId="3384B4D1"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eastAsia="fr-FR"/>
        </w:rPr>
        <w:t>Khan</w:t>
      </w:r>
      <w:r w:rsidRPr="00F634CD">
        <w:rPr>
          <w:rFonts w:asciiTheme="majorBidi" w:hAnsiTheme="majorBidi" w:cstheme="majorBidi"/>
          <w:kern w:val="24"/>
          <w:sz w:val="24"/>
          <w:szCs w:val="24"/>
          <w:lang w:val="en-GB" w:eastAsia="fr-FR"/>
        </w:rPr>
        <w:t xml:space="preserve"> Fahim M, “Guaranteeing investment deposits in </w:t>
      </w:r>
      <w:r w:rsidR="00E53B6D" w:rsidRPr="00F634CD">
        <w:rPr>
          <w:rFonts w:asciiTheme="majorBidi" w:hAnsiTheme="majorBidi" w:cstheme="majorBidi"/>
          <w:kern w:val="24"/>
          <w:sz w:val="24"/>
          <w:szCs w:val="24"/>
          <w:lang w:val="en-GB" w:eastAsia="fr-FR"/>
        </w:rPr>
        <w:t>Islamic</w:t>
      </w:r>
      <w:r w:rsidRPr="00F634CD">
        <w:rPr>
          <w:rFonts w:asciiTheme="majorBidi" w:hAnsiTheme="majorBidi" w:cstheme="majorBidi"/>
          <w:kern w:val="24"/>
          <w:sz w:val="24"/>
          <w:szCs w:val="24"/>
          <w:lang w:val="en-GB" w:eastAsia="fr-FR"/>
        </w:rPr>
        <w:t xml:space="preserve"> banking system”</w:t>
      </w:r>
      <w:r w:rsidRPr="00F634CD">
        <w:rPr>
          <w:rFonts w:asciiTheme="majorBidi" w:hAnsiTheme="majorBidi" w:cstheme="majorBidi"/>
          <w:kern w:val="24"/>
          <w:sz w:val="24"/>
          <w:szCs w:val="24"/>
          <w:lang w:val="en-US"/>
        </w:rPr>
        <w:t xml:space="preserve">, </w:t>
      </w:r>
      <w:r w:rsidRPr="00F634CD">
        <w:rPr>
          <w:rFonts w:asciiTheme="majorBidi" w:hAnsiTheme="majorBidi" w:cstheme="majorBidi"/>
          <w:kern w:val="24"/>
          <w:sz w:val="24"/>
          <w:szCs w:val="24"/>
          <w:lang w:val="en-GB" w:eastAsia="fr-FR"/>
        </w:rPr>
        <w:t>Islamic Econ. 16(1), 2003, pp. 45–52.</w:t>
      </w:r>
    </w:p>
    <w:p w14:paraId="7F7F6D7B"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GB"/>
        </w:rPr>
      </w:pPr>
      <w:r w:rsidRPr="00F634CD">
        <w:rPr>
          <w:rFonts w:asciiTheme="majorBidi" w:hAnsiTheme="majorBidi" w:cstheme="majorBidi"/>
          <w:smallCaps/>
          <w:color w:val="auto"/>
          <w:kern w:val="24"/>
          <w:lang w:val="en-GB"/>
        </w:rPr>
        <w:t>Khan</w:t>
      </w:r>
      <w:r w:rsidRPr="00F634CD">
        <w:rPr>
          <w:rFonts w:asciiTheme="majorBidi" w:hAnsiTheme="majorBidi" w:cstheme="majorBidi"/>
          <w:color w:val="auto"/>
          <w:kern w:val="24"/>
          <w:lang w:val="en-GB"/>
        </w:rPr>
        <w:t xml:space="preserve"> Fahim M, “World Financial Crisis: Lesson from Islamic Economics”, Working paper, Islamic Society for Institutional Economics, 2008, pp. 19-24.</w:t>
      </w:r>
    </w:p>
    <w:p w14:paraId="5698160C" w14:textId="414D552A"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GB"/>
        </w:rPr>
      </w:pPr>
      <w:r w:rsidRPr="00F634CD">
        <w:rPr>
          <w:rFonts w:asciiTheme="majorBidi" w:hAnsiTheme="majorBidi" w:cstheme="majorBidi"/>
          <w:smallCaps/>
          <w:color w:val="auto"/>
          <w:kern w:val="24"/>
          <w:lang w:val="en-GB"/>
        </w:rPr>
        <w:t>Khan</w:t>
      </w:r>
      <w:r w:rsidRPr="00F634CD">
        <w:rPr>
          <w:rFonts w:asciiTheme="majorBidi" w:hAnsiTheme="majorBidi" w:cstheme="majorBidi"/>
          <w:color w:val="auto"/>
          <w:kern w:val="24"/>
          <w:lang w:val="en-GB"/>
        </w:rPr>
        <w:t xml:space="preserve"> Mansoor and </w:t>
      </w:r>
      <w:r w:rsidRPr="00F634CD">
        <w:rPr>
          <w:rFonts w:asciiTheme="majorBidi" w:hAnsiTheme="majorBidi" w:cstheme="majorBidi"/>
          <w:smallCaps/>
          <w:color w:val="auto"/>
          <w:kern w:val="24"/>
          <w:lang w:val="en-GB"/>
        </w:rPr>
        <w:t>Bhatti</w:t>
      </w:r>
      <w:r w:rsidRPr="00F634CD">
        <w:rPr>
          <w:rFonts w:asciiTheme="majorBidi" w:hAnsiTheme="majorBidi" w:cstheme="majorBidi"/>
          <w:color w:val="auto"/>
          <w:kern w:val="24"/>
          <w:lang w:val="en-GB"/>
        </w:rPr>
        <w:t xml:space="preserve"> Ishaq M, “Development in </w:t>
      </w:r>
      <w:r w:rsidR="00497C4A" w:rsidRPr="00F634CD">
        <w:rPr>
          <w:rFonts w:asciiTheme="majorBidi" w:hAnsiTheme="majorBidi" w:cstheme="majorBidi"/>
          <w:color w:val="auto"/>
          <w:kern w:val="24"/>
          <w:lang w:val="en-GB"/>
        </w:rPr>
        <w:t>Islamic</w:t>
      </w:r>
      <w:r w:rsidRPr="00F634CD">
        <w:rPr>
          <w:rFonts w:asciiTheme="majorBidi" w:hAnsiTheme="majorBidi" w:cstheme="majorBidi"/>
          <w:color w:val="auto"/>
          <w:kern w:val="24"/>
          <w:lang w:val="en-GB"/>
        </w:rPr>
        <w:t xml:space="preserve"> banking: a financial risk allocation approach”, Journal of Risk Finance, Vol 9, N° 01, 2008, pp. 40-51.</w:t>
      </w:r>
    </w:p>
    <w:p w14:paraId="2392A8B2"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Kiff</w:t>
      </w:r>
      <w:r w:rsidRPr="00F634CD">
        <w:rPr>
          <w:rFonts w:asciiTheme="majorBidi" w:hAnsiTheme="majorBidi" w:cstheme="majorBidi"/>
          <w:color w:val="auto"/>
          <w:kern w:val="24"/>
        </w:rPr>
        <w:t xml:space="preserve"> John et </w:t>
      </w:r>
      <w:r w:rsidRPr="00F634CD">
        <w:rPr>
          <w:rFonts w:asciiTheme="majorBidi" w:hAnsiTheme="majorBidi" w:cstheme="majorBidi"/>
          <w:smallCaps/>
          <w:color w:val="auto"/>
          <w:kern w:val="24"/>
        </w:rPr>
        <w:t>Morrow</w:t>
      </w:r>
      <w:r w:rsidRPr="00F634CD">
        <w:rPr>
          <w:rFonts w:asciiTheme="majorBidi" w:hAnsiTheme="majorBidi" w:cstheme="majorBidi"/>
          <w:color w:val="auto"/>
          <w:kern w:val="24"/>
        </w:rPr>
        <w:t xml:space="preserve"> Ron, « Les produits dérivés de crédits », Revue de la banque du Canada, Automne 2000, pp. 3-12.</w:t>
      </w:r>
    </w:p>
    <w:p w14:paraId="4C5E8270"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Kiff</w:t>
      </w:r>
      <w:r w:rsidRPr="00F634CD">
        <w:rPr>
          <w:rFonts w:asciiTheme="majorBidi" w:hAnsiTheme="majorBidi" w:cstheme="majorBidi"/>
          <w:color w:val="auto"/>
          <w:kern w:val="24"/>
        </w:rPr>
        <w:t xml:space="preserve"> John, </w:t>
      </w:r>
      <w:r w:rsidRPr="00F634CD">
        <w:rPr>
          <w:rFonts w:asciiTheme="majorBidi" w:hAnsiTheme="majorBidi" w:cstheme="majorBidi"/>
          <w:smallCaps/>
          <w:color w:val="auto"/>
          <w:kern w:val="24"/>
        </w:rPr>
        <w:t>Ron</w:t>
      </w:r>
      <w:r w:rsidRPr="00F634CD">
        <w:rPr>
          <w:rFonts w:asciiTheme="majorBidi" w:hAnsiTheme="majorBidi" w:cstheme="majorBidi"/>
          <w:color w:val="auto"/>
          <w:kern w:val="24"/>
        </w:rPr>
        <w:t xml:space="preserve"> Uri et </w:t>
      </w:r>
      <w:r w:rsidRPr="00F634CD">
        <w:rPr>
          <w:rFonts w:asciiTheme="majorBidi" w:hAnsiTheme="majorBidi" w:cstheme="majorBidi"/>
          <w:smallCaps/>
          <w:color w:val="auto"/>
          <w:kern w:val="24"/>
        </w:rPr>
        <w:t>Ebrahim</w:t>
      </w:r>
      <w:r w:rsidRPr="00F634CD">
        <w:rPr>
          <w:rFonts w:asciiTheme="majorBidi" w:hAnsiTheme="majorBidi" w:cstheme="majorBidi"/>
          <w:color w:val="auto"/>
          <w:kern w:val="24"/>
        </w:rPr>
        <w:t xml:space="preserve"> Shafiq, « L’utilisation des swaps de taux d’intérêt et des swaps de devises par le gouvernement fédéral », Revue de la banque du Canada, hiver 2000-2001, pp. 25-38.</w:t>
      </w:r>
    </w:p>
    <w:p w14:paraId="60BEF15B" w14:textId="4084EA66"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La Baume</w:t>
      </w:r>
      <w:r w:rsidRPr="00F634CD">
        <w:rPr>
          <w:rFonts w:asciiTheme="majorBidi" w:hAnsiTheme="majorBidi" w:cstheme="majorBidi"/>
          <w:kern w:val="24"/>
          <w:sz w:val="24"/>
          <w:szCs w:val="24"/>
        </w:rPr>
        <w:t xml:space="preserve"> C et </w:t>
      </w:r>
      <w:r w:rsidRPr="00F634CD">
        <w:rPr>
          <w:rFonts w:asciiTheme="majorBidi" w:hAnsiTheme="majorBidi" w:cstheme="majorBidi"/>
          <w:smallCaps/>
          <w:kern w:val="24"/>
          <w:sz w:val="24"/>
          <w:szCs w:val="24"/>
        </w:rPr>
        <w:t>Stolowy</w:t>
      </w:r>
      <w:r w:rsidRPr="00F634CD">
        <w:rPr>
          <w:rFonts w:asciiTheme="majorBidi" w:hAnsiTheme="majorBidi" w:cstheme="majorBidi"/>
          <w:kern w:val="24"/>
          <w:sz w:val="24"/>
          <w:szCs w:val="24"/>
        </w:rPr>
        <w:t xml:space="preserve"> H., « Techniques financières, enregistrement et impact sur l’analyse de comptes », La revue fiduciaire comptable, n° 184, </w:t>
      </w:r>
      <w:r w:rsidR="00DD05D8" w:rsidRPr="00F634CD">
        <w:rPr>
          <w:rFonts w:asciiTheme="majorBidi" w:hAnsiTheme="majorBidi" w:cstheme="majorBidi"/>
          <w:kern w:val="24"/>
          <w:sz w:val="24"/>
          <w:szCs w:val="24"/>
        </w:rPr>
        <w:t>1993, pp.</w:t>
      </w:r>
      <w:r w:rsidRPr="00F634CD">
        <w:rPr>
          <w:rFonts w:asciiTheme="majorBidi" w:hAnsiTheme="majorBidi" w:cstheme="majorBidi"/>
          <w:kern w:val="24"/>
          <w:sz w:val="24"/>
          <w:szCs w:val="24"/>
        </w:rPr>
        <w:t xml:space="preserve"> 22-40.</w:t>
      </w:r>
    </w:p>
    <w:p w14:paraId="183E14C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i/>
          <w:iCs/>
          <w:kern w:val="24"/>
          <w:sz w:val="24"/>
          <w:szCs w:val="24"/>
          <w:lang w:eastAsia="fr-FR"/>
        </w:rPr>
      </w:pPr>
      <w:r w:rsidRPr="00F634CD">
        <w:rPr>
          <w:rFonts w:asciiTheme="majorBidi" w:hAnsiTheme="majorBidi" w:cstheme="majorBidi"/>
          <w:smallCaps/>
          <w:kern w:val="24"/>
          <w:sz w:val="24"/>
          <w:szCs w:val="24"/>
        </w:rPr>
        <w:t>Lahlou</w:t>
      </w:r>
      <w:r w:rsidRPr="00F634CD">
        <w:rPr>
          <w:rFonts w:asciiTheme="majorBidi" w:hAnsiTheme="majorBidi" w:cstheme="majorBidi"/>
          <w:kern w:val="24"/>
          <w:sz w:val="24"/>
          <w:szCs w:val="24"/>
        </w:rPr>
        <w:t xml:space="preserve"> Abderrahmane, « Les règles islamiques des marchés financiers », BID, IIRF, 2001, pp. 52-68.</w:t>
      </w:r>
    </w:p>
    <w:p w14:paraId="20AF5B7A" w14:textId="4EC8F2C4"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i/>
          <w:iCs/>
          <w:kern w:val="24"/>
          <w:sz w:val="24"/>
          <w:szCs w:val="24"/>
          <w:lang w:eastAsia="fr-FR"/>
        </w:rPr>
      </w:pPr>
      <w:r w:rsidRPr="00F634CD">
        <w:rPr>
          <w:rFonts w:asciiTheme="majorBidi" w:hAnsiTheme="majorBidi" w:cstheme="majorBidi"/>
          <w:smallCaps/>
          <w:kern w:val="24"/>
          <w:sz w:val="24"/>
          <w:szCs w:val="24"/>
        </w:rPr>
        <w:t>Latrache</w:t>
      </w:r>
      <w:r w:rsidRPr="00F634CD">
        <w:rPr>
          <w:rFonts w:asciiTheme="majorBidi" w:hAnsiTheme="majorBidi" w:cstheme="majorBidi"/>
          <w:kern w:val="24"/>
          <w:sz w:val="24"/>
          <w:szCs w:val="24"/>
        </w:rPr>
        <w:t xml:space="preserve"> Hakim et </w:t>
      </w:r>
      <w:r w:rsidRPr="00F634CD">
        <w:rPr>
          <w:rFonts w:asciiTheme="majorBidi" w:hAnsiTheme="majorBidi" w:cstheme="majorBidi"/>
          <w:smallCaps/>
          <w:kern w:val="24"/>
          <w:sz w:val="24"/>
          <w:szCs w:val="24"/>
        </w:rPr>
        <w:t>Oddos</w:t>
      </w:r>
      <w:r w:rsidRPr="00F634CD">
        <w:rPr>
          <w:rFonts w:asciiTheme="majorBidi" w:hAnsiTheme="majorBidi" w:cstheme="majorBidi"/>
          <w:kern w:val="24"/>
          <w:sz w:val="24"/>
          <w:szCs w:val="24"/>
        </w:rPr>
        <w:t xml:space="preserve"> Stéphane, « Le tawarruk ; un mal nécessaire ? », Les cahiers de la finance islamique, N° 2, 2010, pp. 51-64.</w:t>
      </w:r>
    </w:p>
    <w:p w14:paraId="02551A9C" w14:textId="462123B2"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Lehar</w:t>
      </w:r>
      <w:r w:rsidRPr="00F634CD">
        <w:rPr>
          <w:rFonts w:asciiTheme="majorBidi" w:hAnsiTheme="majorBidi" w:cstheme="majorBidi"/>
          <w:kern w:val="24"/>
          <w:sz w:val="24"/>
          <w:szCs w:val="24"/>
          <w:lang w:val="en-GB" w:eastAsia="fr-FR"/>
        </w:rPr>
        <w:t xml:space="preserve"> Alfred, “Measuring systemic risk: A risk management approach”, Journal of Banking &amp; Finance Vol 29, N° 10, 2005, pp. 2577-2603.</w:t>
      </w:r>
    </w:p>
    <w:p w14:paraId="15EA8A7F"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Lookman</w:t>
      </w:r>
      <w:r w:rsidRPr="00F634CD">
        <w:rPr>
          <w:rFonts w:asciiTheme="majorBidi" w:hAnsiTheme="majorBidi" w:cstheme="majorBidi"/>
          <w:kern w:val="24"/>
          <w:sz w:val="24"/>
          <w:szCs w:val="24"/>
          <w:lang w:val="en-US" w:eastAsia="fr-FR"/>
        </w:rPr>
        <w:t xml:space="preserve"> Aziz A, “Bank borrowing and corporate risk management”, Journal of Financial Intermediation 18 (4), 2009, pp. 632–649.</w:t>
      </w:r>
    </w:p>
    <w:p w14:paraId="61CFE9FA" w14:textId="48FD37BF"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Mandy</w:t>
      </w:r>
      <w:r w:rsidRPr="00F634CD">
        <w:rPr>
          <w:rFonts w:asciiTheme="majorBidi" w:hAnsiTheme="majorBidi" w:cstheme="majorBidi"/>
          <w:color w:val="auto"/>
          <w:kern w:val="24"/>
        </w:rPr>
        <w:t xml:space="preserve"> Paul, « Les racines de la crise financière », La Libre, dans : </w:t>
      </w:r>
      <w:hyperlink r:id="rId89" w:history="1">
        <w:r w:rsidR="008D6B89" w:rsidRPr="003F3440">
          <w:rPr>
            <w:rStyle w:val="Lienhypertexte"/>
            <w:rFonts w:asciiTheme="majorBidi" w:hAnsiTheme="majorBidi" w:cstheme="majorBidi"/>
            <w:kern w:val="24"/>
          </w:rPr>
          <w:t>https://www.lalibre.be/debats/opinions/2008/10/31/les-racines-de-la-crise-financiere-WC3ZOODXZFBAXNSNBYVS6JNNOI/</w:t>
        </w:r>
      </w:hyperlink>
      <w:r w:rsidRPr="00F634CD">
        <w:rPr>
          <w:rFonts w:asciiTheme="majorBidi" w:hAnsiTheme="majorBidi" w:cstheme="majorBidi"/>
          <w:color w:val="auto"/>
          <w:kern w:val="24"/>
        </w:rPr>
        <w:t>, publié le 30-10-2008.</w:t>
      </w:r>
    </w:p>
    <w:p w14:paraId="00500360" w14:textId="14A32E71"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GB"/>
        </w:rPr>
      </w:pPr>
      <w:r w:rsidRPr="00F634CD">
        <w:rPr>
          <w:rFonts w:asciiTheme="majorBidi" w:hAnsiTheme="majorBidi" w:cstheme="majorBidi"/>
          <w:smallCaps/>
          <w:color w:val="auto"/>
          <w:kern w:val="24"/>
          <w:lang w:val="en-GB"/>
        </w:rPr>
        <w:t>Marquez</w:t>
      </w:r>
      <w:r w:rsidRPr="00F634CD">
        <w:rPr>
          <w:rFonts w:asciiTheme="majorBidi" w:hAnsiTheme="majorBidi" w:cstheme="majorBidi"/>
          <w:color w:val="auto"/>
          <w:kern w:val="24"/>
          <w:lang w:val="en-GB"/>
        </w:rPr>
        <w:t xml:space="preserve"> Javier</w:t>
      </w:r>
      <w:r w:rsidR="00497C4A" w:rsidRPr="00F634CD">
        <w:rPr>
          <w:rFonts w:asciiTheme="majorBidi" w:hAnsiTheme="majorBidi" w:cstheme="majorBidi"/>
          <w:color w:val="auto"/>
          <w:kern w:val="24"/>
          <w:lang w:val="en-GB"/>
        </w:rPr>
        <w:t>,</w:t>
      </w:r>
      <w:r w:rsidR="00497C4A">
        <w:rPr>
          <w:rFonts w:asciiTheme="majorBidi" w:hAnsiTheme="majorBidi" w:cstheme="majorBidi"/>
          <w:color w:val="auto"/>
          <w:kern w:val="24"/>
          <w:lang w:val="en-GB"/>
        </w:rPr>
        <w:t xml:space="preserve"> ”An</w:t>
      </w:r>
      <w:r w:rsidRPr="00F634CD">
        <w:rPr>
          <w:rFonts w:asciiTheme="majorBidi" w:hAnsiTheme="majorBidi" w:cstheme="majorBidi"/>
          <w:color w:val="auto"/>
          <w:kern w:val="24"/>
          <w:lang w:val="en-GB"/>
        </w:rPr>
        <w:t xml:space="preserve"> introduction to credit scoring”, World Bank Group, 2008, 47 p.</w:t>
      </w:r>
    </w:p>
    <w:p w14:paraId="189E2E6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bookmarkStart w:id="1871" w:name="_Hlk530604861"/>
      <w:r w:rsidRPr="00F634CD">
        <w:rPr>
          <w:rFonts w:asciiTheme="majorBidi" w:hAnsiTheme="majorBidi" w:cstheme="majorBidi"/>
          <w:smallCaps/>
          <w:kern w:val="24"/>
          <w:sz w:val="24"/>
          <w:szCs w:val="24"/>
        </w:rPr>
        <w:t>Martens</w:t>
      </w:r>
      <w:r w:rsidRPr="00F634CD">
        <w:rPr>
          <w:rFonts w:asciiTheme="majorBidi" w:hAnsiTheme="majorBidi" w:cstheme="majorBidi"/>
          <w:kern w:val="24"/>
          <w:sz w:val="24"/>
          <w:szCs w:val="24"/>
        </w:rPr>
        <w:t xml:space="preserve"> André, « La finance islamique : fondements, théorie et réalité », Université de Montréal, Cahier de recherche, 2001, 27 p.</w:t>
      </w:r>
    </w:p>
    <w:bookmarkEnd w:id="1871"/>
    <w:p w14:paraId="0766E59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Matherat</w:t>
      </w:r>
      <w:r w:rsidRPr="00F634CD">
        <w:rPr>
          <w:rFonts w:asciiTheme="majorBidi" w:hAnsiTheme="majorBidi" w:cstheme="majorBidi"/>
          <w:kern w:val="24"/>
          <w:sz w:val="24"/>
          <w:szCs w:val="24"/>
        </w:rPr>
        <w:t xml:space="preserve"> Sylvie et </w:t>
      </w:r>
      <w:r w:rsidRPr="00F634CD">
        <w:rPr>
          <w:rFonts w:asciiTheme="majorBidi" w:hAnsiTheme="majorBidi" w:cstheme="majorBidi"/>
          <w:smallCaps/>
          <w:kern w:val="24"/>
          <w:sz w:val="24"/>
          <w:szCs w:val="24"/>
        </w:rPr>
        <w:t>Toussard</w:t>
      </w:r>
      <w:r w:rsidRPr="00F634CD">
        <w:rPr>
          <w:rFonts w:asciiTheme="majorBidi" w:hAnsiTheme="majorBidi" w:cstheme="majorBidi"/>
          <w:kern w:val="24"/>
          <w:sz w:val="24"/>
          <w:szCs w:val="24"/>
        </w:rPr>
        <w:t xml:space="preserve"> Philippe, « La titrisation et le système financier », Revue d’Economie Financière, N°59, 2000, pp. 25-39.</w:t>
      </w:r>
    </w:p>
    <w:p w14:paraId="11817361" w14:textId="77777777" w:rsidR="00A42833" w:rsidRPr="00F634CD" w:rsidRDefault="00A42833" w:rsidP="00621FA2">
      <w:pPr>
        <w:pStyle w:val="Notedebasdepage"/>
        <w:tabs>
          <w:tab w:val="left" w:pos="0"/>
          <w:tab w:val="left" w:pos="284"/>
        </w:tabs>
        <w:autoSpaceDE w:val="0"/>
        <w:autoSpaceDN w:val="0"/>
        <w:adjustRightInd w:val="0"/>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Matthews</w:t>
      </w:r>
      <w:r w:rsidRPr="00F634CD">
        <w:rPr>
          <w:rFonts w:asciiTheme="majorBidi" w:hAnsiTheme="majorBidi" w:cstheme="majorBidi"/>
          <w:kern w:val="24"/>
          <w:sz w:val="24"/>
          <w:szCs w:val="24"/>
          <w:lang w:val="en-GB"/>
        </w:rPr>
        <w:t xml:space="preserve"> Robin, </w:t>
      </w:r>
      <w:r w:rsidRPr="00F634CD">
        <w:rPr>
          <w:rFonts w:asciiTheme="majorBidi" w:hAnsiTheme="majorBidi" w:cstheme="majorBidi"/>
          <w:smallCaps/>
          <w:kern w:val="24"/>
          <w:sz w:val="24"/>
          <w:szCs w:val="24"/>
          <w:lang w:val="en-GB"/>
        </w:rPr>
        <w:t>Tlemsani I</w:t>
      </w:r>
      <w:r w:rsidRPr="00F634CD">
        <w:rPr>
          <w:rFonts w:asciiTheme="majorBidi" w:hAnsiTheme="majorBidi" w:cstheme="majorBidi"/>
          <w:kern w:val="24"/>
          <w:sz w:val="24"/>
          <w:szCs w:val="24"/>
          <w:lang w:val="en-GB"/>
        </w:rPr>
        <w:t xml:space="preserve">ssam and </w:t>
      </w:r>
      <w:r w:rsidRPr="00F634CD">
        <w:rPr>
          <w:rFonts w:asciiTheme="majorBidi" w:hAnsiTheme="majorBidi" w:cstheme="majorBidi"/>
          <w:smallCaps/>
          <w:kern w:val="24"/>
          <w:sz w:val="24"/>
          <w:szCs w:val="24"/>
          <w:lang w:val="en-GB"/>
        </w:rPr>
        <w:t>Siddiqui</w:t>
      </w:r>
      <w:r w:rsidRPr="00F634CD">
        <w:rPr>
          <w:rFonts w:asciiTheme="majorBidi" w:hAnsiTheme="majorBidi" w:cstheme="majorBidi"/>
          <w:kern w:val="24"/>
          <w:sz w:val="24"/>
          <w:szCs w:val="24"/>
          <w:lang w:val="en-GB"/>
        </w:rPr>
        <w:t xml:space="preserve"> Aftab A, “Islamic Finance, Centre for International Business Policy”, Working paper, Kingston Business School, 2002, 45 p.</w:t>
      </w:r>
    </w:p>
    <w:p w14:paraId="2E34006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 xml:space="preserve">Mirakhor </w:t>
      </w:r>
      <w:r w:rsidRPr="00F634CD">
        <w:rPr>
          <w:rFonts w:asciiTheme="majorBidi" w:hAnsiTheme="majorBidi" w:cstheme="majorBidi"/>
          <w:kern w:val="24"/>
          <w:sz w:val="24"/>
          <w:szCs w:val="24"/>
          <w:lang w:val="en-GB" w:eastAsia="fr-FR"/>
        </w:rPr>
        <w:t xml:space="preserve">Abbas,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eastAsia="fr-FR"/>
        </w:rPr>
        <w:t>Equilibrium in a Non-Interest Open Economy”, IMF working paper N° 88/111, 1988, pp 1-36.</w:t>
      </w:r>
    </w:p>
    <w:p w14:paraId="1C0022E1" w14:textId="5D617E0B"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i/>
          <w:iCs/>
          <w:kern w:val="24"/>
          <w:sz w:val="24"/>
          <w:szCs w:val="24"/>
          <w:lang w:val="en-GB" w:eastAsia="fr-FR"/>
        </w:rPr>
      </w:pPr>
      <w:r w:rsidRPr="00F634CD">
        <w:rPr>
          <w:rFonts w:asciiTheme="majorBidi" w:hAnsiTheme="majorBidi" w:cstheme="majorBidi"/>
          <w:smallCaps/>
          <w:kern w:val="24"/>
          <w:sz w:val="24"/>
          <w:szCs w:val="24"/>
          <w:lang w:val="en-GB" w:eastAsia="fr-FR"/>
        </w:rPr>
        <w:t xml:space="preserve">Mirakhor </w:t>
      </w:r>
      <w:r w:rsidRPr="00F634CD">
        <w:rPr>
          <w:rFonts w:asciiTheme="majorBidi" w:hAnsiTheme="majorBidi" w:cstheme="majorBidi"/>
          <w:kern w:val="24"/>
          <w:sz w:val="24"/>
          <w:szCs w:val="24"/>
          <w:lang w:val="en-GB" w:eastAsia="fr-FR"/>
        </w:rPr>
        <w:t xml:space="preserve">Abbas and Zaidi Iqbal,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eastAsia="fr-FR"/>
        </w:rPr>
        <w:t xml:space="preserve">Profit-and-Loss sharing contracts in </w:t>
      </w:r>
      <w:r w:rsidR="00497C4A" w:rsidRPr="00F634CD">
        <w:rPr>
          <w:rFonts w:asciiTheme="majorBidi" w:hAnsiTheme="majorBidi" w:cstheme="majorBidi"/>
          <w:kern w:val="24"/>
          <w:sz w:val="24"/>
          <w:szCs w:val="24"/>
          <w:lang w:val="en-GB" w:eastAsia="fr-FR"/>
        </w:rPr>
        <w:t>Islamic</w:t>
      </w:r>
      <w:r w:rsidRPr="00F634CD">
        <w:rPr>
          <w:rFonts w:asciiTheme="majorBidi" w:hAnsiTheme="majorBidi" w:cstheme="majorBidi"/>
          <w:kern w:val="24"/>
          <w:sz w:val="24"/>
          <w:szCs w:val="24"/>
          <w:lang w:val="en-GB" w:eastAsia="fr-FR"/>
        </w:rPr>
        <w:t xml:space="preserve"> finance”,</w:t>
      </w:r>
      <w:r w:rsidRPr="00F634CD">
        <w:rPr>
          <w:rFonts w:asciiTheme="majorBidi" w:hAnsiTheme="majorBidi" w:cstheme="majorBidi"/>
          <w:i/>
          <w:iCs/>
          <w:kern w:val="24"/>
          <w:sz w:val="24"/>
          <w:szCs w:val="24"/>
          <w:lang w:val="en-GB" w:eastAsia="fr-FR"/>
        </w:rPr>
        <w:t xml:space="preserve"> </w:t>
      </w:r>
      <w:r w:rsidRPr="00F634CD">
        <w:rPr>
          <w:rFonts w:asciiTheme="majorBidi" w:hAnsiTheme="majorBidi" w:cstheme="majorBidi"/>
          <w:kern w:val="24"/>
          <w:sz w:val="24"/>
          <w:szCs w:val="24"/>
          <w:lang w:val="en-GB" w:eastAsia="fr-FR"/>
        </w:rPr>
        <w:t xml:space="preserve">In Khabir Hassan and Mervyn Lewis,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eastAsia="fr-FR"/>
        </w:rPr>
        <w:t>Handbook of Islamic Banking”</w:t>
      </w:r>
      <w:r w:rsidRPr="00F634CD">
        <w:rPr>
          <w:rFonts w:asciiTheme="majorBidi" w:hAnsiTheme="majorBidi" w:cstheme="majorBidi"/>
          <w:i/>
          <w:iCs/>
          <w:kern w:val="24"/>
          <w:sz w:val="24"/>
          <w:szCs w:val="24"/>
          <w:lang w:val="en-GB" w:eastAsia="fr-FR"/>
        </w:rPr>
        <w:t xml:space="preserve">, </w:t>
      </w:r>
      <w:r w:rsidRPr="00F634CD">
        <w:rPr>
          <w:rFonts w:asciiTheme="majorBidi" w:hAnsiTheme="majorBidi" w:cstheme="majorBidi"/>
          <w:kern w:val="24"/>
          <w:sz w:val="24"/>
          <w:szCs w:val="24"/>
          <w:lang w:val="en-GB" w:eastAsia="fr-FR"/>
        </w:rPr>
        <w:t>Cheltenham: Edward Elgar, 2007, pp. 49-63.</w:t>
      </w:r>
    </w:p>
    <w:p w14:paraId="4C46C4EA"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Mishkin</w:t>
      </w:r>
      <w:r w:rsidRPr="00F634CD">
        <w:rPr>
          <w:rFonts w:asciiTheme="majorBidi" w:hAnsiTheme="majorBidi" w:cstheme="majorBidi"/>
          <w:kern w:val="24"/>
          <w:sz w:val="24"/>
          <w:szCs w:val="24"/>
          <w:lang w:val="en-US"/>
        </w:rPr>
        <w:t xml:space="preserve"> Frederic, “Financial consolidation: dangers and opportunities", Journal of Banking and Finance, Vol 23, Issue 2-4, 1999, pp. 675-691.</w:t>
      </w:r>
    </w:p>
    <w:p w14:paraId="51FD212B" w14:textId="68DC1ADD"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US"/>
        </w:rPr>
      </w:pPr>
      <w:r w:rsidRPr="00F634CD">
        <w:rPr>
          <w:rFonts w:asciiTheme="majorBidi" w:hAnsiTheme="majorBidi" w:cstheme="majorBidi"/>
          <w:smallCaps/>
          <w:color w:val="auto"/>
          <w:kern w:val="24"/>
          <w:lang w:val="en-US"/>
        </w:rPr>
        <w:t>Misman</w:t>
      </w:r>
      <w:r w:rsidRPr="00F634CD">
        <w:rPr>
          <w:rFonts w:asciiTheme="majorBidi" w:hAnsiTheme="majorBidi" w:cstheme="majorBidi"/>
          <w:color w:val="auto"/>
          <w:kern w:val="24"/>
          <w:lang w:val="en-US"/>
        </w:rPr>
        <w:t xml:space="preserve"> Faridah N. and </w:t>
      </w:r>
      <w:r w:rsidRPr="00F634CD">
        <w:rPr>
          <w:rFonts w:asciiTheme="majorBidi" w:hAnsiTheme="majorBidi" w:cstheme="majorBidi"/>
          <w:smallCaps/>
          <w:color w:val="auto"/>
          <w:kern w:val="24"/>
          <w:lang w:val="en-US"/>
        </w:rPr>
        <w:t>Bhatti</w:t>
      </w:r>
      <w:r w:rsidRPr="00F634CD">
        <w:rPr>
          <w:rFonts w:asciiTheme="majorBidi" w:hAnsiTheme="majorBidi" w:cstheme="majorBidi"/>
          <w:color w:val="auto"/>
          <w:kern w:val="24"/>
          <w:lang w:val="en-US"/>
        </w:rPr>
        <w:t xml:space="preserve"> Ishaq M., “Risks exposure in </w:t>
      </w:r>
      <w:r w:rsidR="00497C4A">
        <w:rPr>
          <w:rFonts w:asciiTheme="majorBidi" w:hAnsiTheme="majorBidi" w:cstheme="majorBidi"/>
          <w:color w:val="auto"/>
          <w:kern w:val="24"/>
          <w:lang w:val="en-US"/>
        </w:rPr>
        <w:t>I</w:t>
      </w:r>
      <w:r w:rsidRPr="00F634CD">
        <w:rPr>
          <w:rFonts w:asciiTheme="majorBidi" w:hAnsiTheme="majorBidi" w:cstheme="majorBidi"/>
          <w:color w:val="auto"/>
          <w:kern w:val="24"/>
          <w:lang w:val="en-US"/>
        </w:rPr>
        <w:t>slamic banks: A case study of bank Islam Malaysia Berhad (BIMB)”, Faculty of Law and Management, La Trobe University, Australia, 2010, 24 p.</w:t>
      </w:r>
    </w:p>
    <w:p w14:paraId="76EE587E" w14:textId="5985933A"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Mahadzir</w:t>
      </w:r>
      <w:r w:rsidRPr="00F634CD">
        <w:rPr>
          <w:rFonts w:asciiTheme="majorBidi" w:hAnsiTheme="majorBidi" w:cstheme="majorBidi"/>
          <w:color w:val="auto"/>
          <w:kern w:val="24"/>
        </w:rPr>
        <w:t xml:space="preserve"> Ahmad, “Subprime Crisis, Islamic commercial law perspectives”, SSRN Electronic Journal, </w:t>
      </w:r>
      <w:r w:rsidR="008D6B89" w:rsidRPr="00F634CD">
        <w:rPr>
          <w:rFonts w:asciiTheme="majorBidi" w:hAnsiTheme="majorBidi" w:cstheme="majorBidi"/>
          <w:color w:val="auto"/>
          <w:kern w:val="24"/>
        </w:rPr>
        <w:t>abstract</w:t>
      </w:r>
      <w:r w:rsidR="008D6B89">
        <w:rPr>
          <w:rFonts w:asciiTheme="majorBidi" w:hAnsiTheme="majorBidi" w:cstheme="majorBidi"/>
          <w:color w:val="auto"/>
          <w:kern w:val="24"/>
        </w:rPr>
        <w:t> :</w:t>
      </w:r>
      <w:r w:rsidRPr="00F634CD">
        <w:rPr>
          <w:rFonts w:asciiTheme="majorBidi" w:hAnsiTheme="majorBidi" w:cstheme="majorBidi"/>
          <w:color w:val="auto"/>
          <w:kern w:val="24"/>
        </w:rPr>
        <w:t xml:space="preserve"> 1498031, 2008, 47 p.</w:t>
      </w:r>
    </w:p>
    <w:p w14:paraId="30C5CCDD" w14:textId="08A8416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Mohameden</w:t>
      </w:r>
      <w:r w:rsidRPr="00F634CD">
        <w:rPr>
          <w:rFonts w:asciiTheme="majorBidi" w:hAnsiTheme="majorBidi" w:cstheme="majorBidi"/>
          <w:color w:val="auto"/>
          <w:kern w:val="24"/>
        </w:rPr>
        <w:t xml:space="preserve"> Sidi Mohamed O, « La </w:t>
      </w:r>
      <w:r w:rsidR="00497C4A" w:rsidRPr="00497C4A">
        <w:rPr>
          <w:rFonts w:asciiTheme="majorBidi" w:hAnsiTheme="majorBidi" w:cstheme="majorBidi"/>
          <w:i/>
          <w:iCs/>
          <w:color w:val="auto"/>
          <w:kern w:val="24"/>
        </w:rPr>
        <w:t>m</w:t>
      </w:r>
      <w:r w:rsidRPr="00497C4A">
        <w:rPr>
          <w:rFonts w:asciiTheme="majorBidi" w:hAnsiTheme="majorBidi" w:cstheme="majorBidi"/>
          <w:i/>
          <w:iCs/>
          <w:color w:val="auto"/>
          <w:kern w:val="24"/>
        </w:rPr>
        <w:t>ourabaha</w:t>
      </w:r>
      <w:r w:rsidRPr="00F634CD">
        <w:rPr>
          <w:rFonts w:asciiTheme="majorBidi" w:hAnsiTheme="majorBidi" w:cstheme="majorBidi"/>
          <w:color w:val="auto"/>
          <w:kern w:val="24"/>
        </w:rPr>
        <w:t xml:space="preserve"> comme mode d’intervention dans les banques islamiques », dans : Introduction aux techniques islamiques de financement, Actes de seminaire n°37, IIRF, BID, 1992, pp. 123- 130.</w:t>
      </w:r>
    </w:p>
    <w:p w14:paraId="2F511420"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Mohamed</w:t>
      </w:r>
      <w:r w:rsidRPr="00F634CD">
        <w:rPr>
          <w:rFonts w:asciiTheme="majorBidi" w:hAnsiTheme="majorBidi" w:cstheme="majorBidi"/>
          <w:color w:val="auto"/>
          <w:kern w:val="24"/>
        </w:rPr>
        <w:t xml:space="preserve"> Ali M’rad, « Les risques de marché en finance islamique », Cahiers de recherche, Institut Français des Etudes et Sciences Islamiques, IFESI, 2010, 107 p.</w:t>
      </w:r>
    </w:p>
    <w:p w14:paraId="547DE14C" w14:textId="22947C7F"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rPr>
      </w:pPr>
      <w:r w:rsidRPr="00F634CD">
        <w:rPr>
          <w:rFonts w:asciiTheme="majorBidi" w:hAnsiTheme="majorBidi" w:cstheme="majorBidi"/>
          <w:smallCaps/>
          <w:kern w:val="24"/>
          <w:sz w:val="24"/>
          <w:szCs w:val="24"/>
          <w:lang w:val="en-US"/>
        </w:rPr>
        <w:t>Mokhtar</w:t>
      </w:r>
      <w:r w:rsidRPr="00F634CD">
        <w:rPr>
          <w:rFonts w:asciiTheme="majorBidi" w:hAnsiTheme="majorBidi" w:cstheme="majorBidi"/>
          <w:kern w:val="24"/>
          <w:sz w:val="24"/>
          <w:szCs w:val="24"/>
          <w:lang w:val="en-US"/>
        </w:rPr>
        <w:t xml:space="preserve"> Ahmad, </w:t>
      </w:r>
      <w:r w:rsidRPr="00F634CD">
        <w:rPr>
          <w:rFonts w:asciiTheme="majorBidi" w:hAnsiTheme="majorBidi" w:cstheme="majorBidi"/>
          <w:smallCaps/>
          <w:kern w:val="24"/>
          <w:sz w:val="24"/>
          <w:szCs w:val="24"/>
          <w:lang w:val="en-US"/>
        </w:rPr>
        <w:t>Abdullah</w:t>
      </w:r>
      <w:r w:rsidRPr="00F634CD">
        <w:rPr>
          <w:rFonts w:asciiTheme="majorBidi" w:hAnsiTheme="majorBidi" w:cstheme="majorBidi"/>
          <w:kern w:val="24"/>
          <w:sz w:val="24"/>
          <w:szCs w:val="24"/>
          <w:lang w:val="en-US"/>
        </w:rPr>
        <w:t xml:space="preserve"> Naziruddin and </w:t>
      </w:r>
      <w:r w:rsidRPr="00F634CD">
        <w:rPr>
          <w:rFonts w:asciiTheme="majorBidi" w:hAnsiTheme="majorBidi" w:cstheme="majorBidi"/>
          <w:smallCaps/>
          <w:kern w:val="24"/>
          <w:sz w:val="24"/>
          <w:szCs w:val="24"/>
          <w:lang w:val="en-US"/>
        </w:rPr>
        <w:t>Al-Habshi</w:t>
      </w:r>
      <w:r w:rsidRPr="00F634CD">
        <w:rPr>
          <w:rFonts w:asciiTheme="majorBidi" w:hAnsiTheme="majorBidi" w:cstheme="majorBidi"/>
          <w:kern w:val="24"/>
          <w:sz w:val="24"/>
          <w:szCs w:val="24"/>
          <w:lang w:val="en-US"/>
        </w:rPr>
        <w:t xml:space="preserve"> Syed, “Efficiency of Islamic banks in Malysia; a </w:t>
      </w:r>
      <w:r w:rsidR="00497C4A" w:rsidRPr="00F634CD">
        <w:rPr>
          <w:rFonts w:asciiTheme="majorBidi" w:hAnsiTheme="majorBidi" w:cstheme="majorBidi"/>
          <w:kern w:val="24"/>
          <w:sz w:val="24"/>
          <w:szCs w:val="24"/>
          <w:lang w:val="en-US"/>
        </w:rPr>
        <w:t>stochastic</w:t>
      </w:r>
      <w:r w:rsidRPr="00F634CD">
        <w:rPr>
          <w:rFonts w:asciiTheme="majorBidi" w:hAnsiTheme="majorBidi" w:cstheme="majorBidi"/>
          <w:kern w:val="24"/>
          <w:sz w:val="24"/>
          <w:szCs w:val="24"/>
          <w:lang w:val="en-US"/>
        </w:rPr>
        <w:t xml:space="preserve"> frontier approach”, Journal of Economic Cooperation among Islamic countries, Vol 27, N°2, 2006, pp. 37-70.</w:t>
      </w:r>
    </w:p>
    <w:p w14:paraId="7C38F9FF" w14:textId="77777777" w:rsidR="00A42833" w:rsidRPr="00F634CD" w:rsidRDefault="00A42833" w:rsidP="00621FA2">
      <w:pPr>
        <w:pStyle w:val="Notedebasdepage"/>
        <w:spacing w:before="120" w:line="276" w:lineRule="auto"/>
        <w:rPr>
          <w:rFonts w:asciiTheme="majorBidi" w:hAnsiTheme="majorBidi" w:cstheme="majorBidi"/>
          <w:kern w:val="24"/>
          <w:sz w:val="24"/>
          <w:szCs w:val="24"/>
        </w:rPr>
      </w:pPr>
      <w:r w:rsidRPr="00F634CD">
        <w:rPr>
          <w:rFonts w:asciiTheme="majorBidi" w:hAnsiTheme="majorBidi" w:cstheme="majorBidi"/>
          <w:smallCaps/>
          <w:kern w:val="24"/>
          <w:sz w:val="24"/>
          <w:szCs w:val="24"/>
        </w:rPr>
        <w:t>Mouhssine</w:t>
      </w:r>
      <w:r w:rsidRPr="00F634CD">
        <w:rPr>
          <w:rFonts w:asciiTheme="majorBidi" w:hAnsiTheme="majorBidi" w:cstheme="majorBidi"/>
          <w:kern w:val="24"/>
          <w:sz w:val="24"/>
          <w:szCs w:val="24"/>
        </w:rPr>
        <w:t xml:space="preserve"> Yassine et </w:t>
      </w:r>
      <w:r w:rsidRPr="00F634CD">
        <w:rPr>
          <w:rFonts w:asciiTheme="majorBidi" w:hAnsiTheme="majorBidi" w:cstheme="majorBidi"/>
          <w:smallCaps/>
          <w:kern w:val="24"/>
          <w:sz w:val="24"/>
          <w:szCs w:val="24"/>
        </w:rPr>
        <w:t>Achchab</w:t>
      </w:r>
      <w:r w:rsidRPr="00F634CD">
        <w:rPr>
          <w:rFonts w:asciiTheme="majorBidi" w:hAnsiTheme="majorBidi" w:cstheme="majorBidi"/>
          <w:kern w:val="24"/>
          <w:sz w:val="24"/>
          <w:szCs w:val="24"/>
        </w:rPr>
        <w:t xml:space="preserve"> Boujemâa, « Le rôle de la norme d’adéquation des fonds propres dans la gestion du risque de crédit dans les banques islamiques », Recherches et Applications en Finance Islamique, Vol 03, N° 1, 2019, pp. 21-42.</w:t>
      </w:r>
    </w:p>
    <w:p w14:paraId="30DBA03A" w14:textId="51050B61"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Mousavi</w:t>
      </w:r>
      <w:r w:rsidRPr="00F634CD">
        <w:rPr>
          <w:rFonts w:asciiTheme="majorBidi" w:hAnsiTheme="majorBidi" w:cstheme="majorBidi"/>
          <w:kern w:val="24"/>
          <w:sz w:val="24"/>
          <w:szCs w:val="24"/>
          <w:lang w:val="en-GB"/>
        </w:rPr>
        <w:t xml:space="preserve"> Seyed</w:t>
      </w:r>
      <w:r w:rsidRPr="00F634CD">
        <w:rPr>
          <w:rFonts w:asciiTheme="majorBidi" w:hAnsiTheme="majorBidi" w:cstheme="majorBidi"/>
          <w:smallCaps/>
          <w:kern w:val="24"/>
          <w:sz w:val="24"/>
          <w:szCs w:val="24"/>
          <w:lang w:val="en-GB"/>
        </w:rPr>
        <w:t xml:space="preserve"> M.</w:t>
      </w:r>
      <w:r w:rsidRPr="00F634CD">
        <w:rPr>
          <w:rFonts w:asciiTheme="majorBidi" w:hAnsiTheme="majorBidi" w:cstheme="majorBidi"/>
          <w:kern w:val="24"/>
          <w:sz w:val="24"/>
          <w:szCs w:val="24"/>
          <w:lang w:val="en-GB"/>
        </w:rPr>
        <w:t xml:space="preserve">, “Islamic justification of credit default swap for managing credit risk in </w:t>
      </w:r>
      <w:r w:rsidR="00497C4A" w:rsidRPr="00F634CD">
        <w:rPr>
          <w:rFonts w:asciiTheme="majorBidi" w:hAnsiTheme="majorBidi" w:cstheme="majorBidi"/>
          <w:kern w:val="24"/>
          <w:sz w:val="24"/>
          <w:szCs w:val="24"/>
          <w:lang w:val="en-GB"/>
        </w:rPr>
        <w:t>Islamic</w:t>
      </w:r>
      <w:r w:rsidRPr="00F634CD">
        <w:rPr>
          <w:rFonts w:asciiTheme="majorBidi" w:hAnsiTheme="majorBidi" w:cstheme="majorBidi"/>
          <w:kern w:val="24"/>
          <w:sz w:val="24"/>
          <w:szCs w:val="24"/>
          <w:lang w:val="en-GB"/>
        </w:rPr>
        <w:t xml:space="preserve"> banking”, Special reading in </w:t>
      </w:r>
      <w:r w:rsidR="00497C4A" w:rsidRPr="00F634CD">
        <w:rPr>
          <w:rFonts w:asciiTheme="majorBidi" w:hAnsiTheme="majorBidi" w:cstheme="majorBidi"/>
          <w:kern w:val="24"/>
          <w:sz w:val="24"/>
          <w:szCs w:val="24"/>
          <w:lang w:val="en-GB"/>
        </w:rPr>
        <w:t>Islamic</w:t>
      </w:r>
      <w:r w:rsidRPr="00F634CD">
        <w:rPr>
          <w:rFonts w:asciiTheme="majorBidi" w:hAnsiTheme="majorBidi" w:cstheme="majorBidi"/>
          <w:kern w:val="24"/>
          <w:sz w:val="24"/>
          <w:szCs w:val="24"/>
          <w:lang w:val="en-GB"/>
        </w:rPr>
        <w:t xml:space="preserve"> economics, Islamic Science University of Malaysia, 2008, 13 p.</w:t>
      </w:r>
    </w:p>
    <w:p w14:paraId="749E9CD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Muhammad Al-Amine</w:t>
      </w:r>
      <w:r w:rsidRPr="00F634CD">
        <w:rPr>
          <w:rFonts w:asciiTheme="majorBidi" w:hAnsiTheme="majorBidi" w:cstheme="majorBidi"/>
          <w:kern w:val="24"/>
          <w:sz w:val="24"/>
          <w:szCs w:val="24"/>
          <w:lang w:val="en-US"/>
        </w:rPr>
        <w:t xml:space="preserve"> and M</w:t>
      </w:r>
      <w:r w:rsidRPr="00F634CD">
        <w:rPr>
          <w:rFonts w:asciiTheme="majorBidi" w:hAnsiTheme="majorBidi" w:cstheme="majorBidi"/>
          <w:smallCaps/>
          <w:kern w:val="24"/>
          <w:sz w:val="24"/>
          <w:szCs w:val="24"/>
          <w:lang w:val="en-US"/>
        </w:rPr>
        <w:t>uhammad</w:t>
      </w:r>
      <w:r w:rsidRPr="00F634CD">
        <w:rPr>
          <w:rFonts w:asciiTheme="majorBidi" w:hAnsiTheme="majorBidi" w:cstheme="majorBidi"/>
          <w:kern w:val="24"/>
          <w:sz w:val="24"/>
          <w:szCs w:val="24"/>
          <w:lang w:val="en-US"/>
        </w:rPr>
        <w:t xml:space="preserve"> Al-Bashir, “</w:t>
      </w:r>
      <w:r w:rsidRPr="00F634CD">
        <w:rPr>
          <w:rFonts w:asciiTheme="majorBidi" w:hAnsiTheme="majorBidi" w:cstheme="majorBidi"/>
          <w:kern w:val="24"/>
          <w:sz w:val="24"/>
          <w:szCs w:val="24"/>
          <w:lang w:val="en-US" w:eastAsia="fr-FR"/>
        </w:rPr>
        <w:t>Istisna' and Its Application in Islamic Banking”, Arab Law Quarterly, Vol. 16, N°1, 2001, pp. 22-48.</w:t>
      </w:r>
    </w:p>
    <w:p w14:paraId="03F316A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Muhammad Al-Amine</w:t>
      </w:r>
      <w:r w:rsidRPr="00F634CD">
        <w:rPr>
          <w:rFonts w:asciiTheme="majorBidi" w:hAnsiTheme="majorBidi" w:cstheme="majorBidi"/>
          <w:kern w:val="24"/>
          <w:sz w:val="24"/>
          <w:szCs w:val="24"/>
          <w:lang w:val="en-US"/>
        </w:rPr>
        <w:t xml:space="preserve"> and Muhammad Al-Bashir, “</w:t>
      </w:r>
      <w:r w:rsidRPr="00F634CD">
        <w:rPr>
          <w:rFonts w:asciiTheme="majorBidi" w:hAnsiTheme="majorBidi" w:cstheme="majorBidi"/>
          <w:kern w:val="24"/>
          <w:sz w:val="24"/>
          <w:szCs w:val="24"/>
          <w:lang w:val="en-US" w:eastAsia="fr-FR"/>
        </w:rPr>
        <w:t>Sukuk market: Innovations and challenges”, Islamic Economic Studies, Vol. 15, N° 2, 2008, pp. 1-22.</w:t>
      </w:r>
    </w:p>
    <w:p w14:paraId="1FB7FF8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eastAsia="fr-FR"/>
        </w:rPr>
        <w:t>Mohammad</w:t>
      </w:r>
      <w:r w:rsidRPr="00F634CD">
        <w:rPr>
          <w:rFonts w:asciiTheme="majorBidi" w:hAnsiTheme="majorBidi" w:cstheme="majorBidi"/>
          <w:kern w:val="24"/>
          <w:sz w:val="24"/>
          <w:szCs w:val="24"/>
          <w:lang w:val="en-GB" w:eastAsia="fr-FR"/>
        </w:rPr>
        <w:t xml:space="preserve"> Ayub, “Use of W´ad and Tawarruq for Swaps in the framework of Islamic Finance”, 8th International Conference on Islamic Economics and Finance; Qatar Faculty of Islamic Studies, 2011, 26 p.</w:t>
      </w:r>
    </w:p>
    <w:p w14:paraId="70D273C5" w14:textId="0C7247E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spacing w:val="-6"/>
          <w:kern w:val="24"/>
          <w:sz w:val="24"/>
          <w:szCs w:val="24"/>
          <w:lang w:val="en-GB" w:eastAsia="fr-FR"/>
        </w:rPr>
      </w:pPr>
      <w:r w:rsidRPr="00F634CD">
        <w:rPr>
          <w:rFonts w:asciiTheme="majorBidi" w:hAnsiTheme="majorBidi" w:cstheme="majorBidi"/>
          <w:smallCaps/>
          <w:spacing w:val="-6"/>
          <w:kern w:val="24"/>
          <w:sz w:val="24"/>
          <w:szCs w:val="24"/>
          <w:lang w:val="en-GB"/>
        </w:rPr>
        <w:t>Muljawan</w:t>
      </w:r>
      <w:r w:rsidRPr="00F634CD">
        <w:rPr>
          <w:rFonts w:asciiTheme="majorBidi" w:hAnsiTheme="majorBidi" w:cstheme="majorBidi"/>
          <w:spacing w:val="-6"/>
          <w:kern w:val="24"/>
          <w:sz w:val="24"/>
          <w:szCs w:val="24"/>
          <w:lang w:val="en-GB"/>
        </w:rPr>
        <w:t xml:space="preserve"> Dadang, </w:t>
      </w:r>
      <w:r w:rsidRPr="00F634CD">
        <w:rPr>
          <w:rFonts w:asciiTheme="majorBidi" w:hAnsiTheme="majorBidi" w:cstheme="majorBidi"/>
          <w:smallCaps/>
          <w:spacing w:val="-6"/>
          <w:kern w:val="24"/>
          <w:sz w:val="24"/>
          <w:szCs w:val="24"/>
          <w:lang w:val="en-GB"/>
        </w:rPr>
        <w:t>Dar</w:t>
      </w:r>
      <w:r w:rsidRPr="00F634CD">
        <w:rPr>
          <w:rFonts w:asciiTheme="majorBidi" w:hAnsiTheme="majorBidi" w:cstheme="majorBidi"/>
          <w:spacing w:val="-6"/>
          <w:kern w:val="24"/>
          <w:sz w:val="24"/>
          <w:szCs w:val="24"/>
          <w:lang w:val="en-GB"/>
        </w:rPr>
        <w:t xml:space="preserve"> Humayon and </w:t>
      </w:r>
      <w:r w:rsidRPr="00F634CD">
        <w:rPr>
          <w:rFonts w:asciiTheme="majorBidi" w:hAnsiTheme="majorBidi" w:cstheme="majorBidi"/>
          <w:smallCaps/>
          <w:spacing w:val="-6"/>
          <w:kern w:val="24"/>
          <w:sz w:val="24"/>
          <w:szCs w:val="24"/>
          <w:lang w:val="en-GB"/>
        </w:rPr>
        <w:t xml:space="preserve">Hall </w:t>
      </w:r>
      <w:r w:rsidRPr="00F634CD">
        <w:rPr>
          <w:rFonts w:asciiTheme="majorBidi" w:hAnsiTheme="majorBidi" w:cstheme="majorBidi"/>
          <w:spacing w:val="-6"/>
          <w:kern w:val="24"/>
          <w:sz w:val="24"/>
          <w:szCs w:val="24"/>
          <w:lang w:val="en-GB"/>
        </w:rPr>
        <w:t xml:space="preserve">Maximilian, </w:t>
      </w:r>
      <w:r w:rsidR="00497C4A">
        <w:rPr>
          <w:rFonts w:asciiTheme="majorBidi" w:hAnsiTheme="majorBidi" w:cstheme="majorBidi"/>
          <w:spacing w:val="-6"/>
          <w:kern w:val="24"/>
          <w:sz w:val="24"/>
          <w:szCs w:val="24"/>
          <w:lang w:val="en-GB"/>
        </w:rPr>
        <w:t>“</w:t>
      </w:r>
      <w:r w:rsidRPr="00F634CD">
        <w:rPr>
          <w:rFonts w:asciiTheme="majorBidi" w:hAnsiTheme="majorBidi" w:cstheme="majorBidi"/>
          <w:spacing w:val="-6"/>
          <w:kern w:val="24"/>
          <w:sz w:val="24"/>
          <w:szCs w:val="24"/>
          <w:lang w:val="en-GB"/>
        </w:rPr>
        <w:t>A Capital Adequacy Framework for Islamic Banks, The Need to Reconcile Depositors’ Risk Aversion with Managers’ Risk Taking</w:t>
      </w:r>
      <w:r w:rsidR="00497C4A">
        <w:rPr>
          <w:rFonts w:asciiTheme="majorBidi" w:hAnsiTheme="majorBidi" w:cstheme="majorBidi"/>
          <w:spacing w:val="-6"/>
          <w:kern w:val="24"/>
          <w:sz w:val="24"/>
          <w:szCs w:val="24"/>
          <w:lang w:val="en-GB"/>
        </w:rPr>
        <w:t>”</w:t>
      </w:r>
      <w:r w:rsidRPr="00F634CD">
        <w:rPr>
          <w:rFonts w:asciiTheme="majorBidi" w:hAnsiTheme="majorBidi" w:cstheme="majorBidi"/>
          <w:spacing w:val="-6"/>
          <w:kern w:val="24"/>
          <w:sz w:val="24"/>
          <w:szCs w:val="24"/>
          <w:lang w:val="en-GB"/>
        </w:rPr>
        <w:t>, Journal of Applied Financial Economics, Vol 14, 2007,</w:t>
      </w:r>
      <w:r w:rsidRPr="00F634CD">
        <w:rPr>
          <w:rFonts w:asciiTheme="majorBidi" w:hAnsiTheme="majorBidi" w:cstheme="majorBidi"/>
          <w:spacing w:val="-6"/>
          <w:kern w:val="24"/>
          <w:sz w:val="24"/>
          <w:szCs w:val="24"/>
          <w:shd w:val="clear" w:color="auto" w:fill="FFFFFF"/>
          <w:lang w:val="en-GB"/>
        </w:rPr>
        <w:t xml:space="preserve"> pp. 429-441.</w:t>
      </w:r>
    </w:p>
    <w:p w14:paraId="54B04054" w14:textId="77777777" w:rsidR="00A42833" w:rsidRPr="00DD05D8" w:rsidRDefault="00A42833" w:rsidP="00621FA2">
      <w:pPr>
        <w:tabs>
          <w:tab w:val="left" w:pos="0"/>
          <w:tab w:val="left" w:pos="284"/>
        </w:tabs>
        <w:autoSpaceDE w:val="0"/>
        <w:autoSpaceDN w:val="0"/>
        <w:adjustRightInd w:val="0"/>
        <w:spacing w:before="120"/>
        <w:rPr>
          <w:rFonts w:asciiTheme="majorBidi" w:hAnsiTheme="majorBidi" w:cstheme="majorBidi"/>
          <w:spacing w:val="-4"/>
          <w:kern w:val="24"/>
          <w:sz w:val="24"/>
          <w:szCs w:val="24"/>
          <w:lang w:val="en-US" w:eastAsia="fr-FR"/>
        </w:rPr>
      </w:pPr>
      <w:r w:rsidRPr="00DD05D8">
        <w:rPr>
          <w:rFonts w:asciiTheme="majorBidi" w:hAnsiTheme="majorBidi" w:cstheme="majorBidi"/>
          <w:smallCaps/>
          <w:spacing w:val="-4"/>
          <w:kern w:val="24"/>
          <w:sz w:val="24"/>
          <w:szCs w:val="24"/>
          <w:lang w:val="en-US" w:eastAsia="fr-FR"/>
        </w:rPr>
        <w:t>Mulvey</w:t>
      </w:r>
      <w:r w:rsidRPr="00DD05D8">
        <w:rPr>
          <w:rFonts w:asciiTheme="majorBidi" w:hAnsiTheme="majorBidi" w:cstheme="majorBidi"/>
          <w:spacing w:val="-4"/>
          <w:kern w:val="24"/>
          <w:sz w:val="24"/>
          <w:szCs w:val="24"/>
          <w:lang w:val="en-US" w:eastAsia="fr-FR"/>
        </w:rPr>
        <w:t xml:space="preserve"> John, </w:t>
      </w:r>
      <w:r w:rsidRPr="00DD05D8">
        <w:rPr>
          <w:rFonts w:asciiTheme="majorBidi" w:hAnsiTheme="majorBidi" w:cstheme="majorBidi"/>
          <w:smallCaps/>
          <w:spacing w:val="-4"/>
          <w:kern w:val="24"/>
          <w:sz w:val="24"/>
          <w:szCs w:val="24"/>
          <w:lang w:val="en-US" w:eastAsia="fr-FR"/>
        </w:rPr>
        <w:t>Rosenbaum</w:t>
      </w:r>
      <w:r w:rsidRPr="00DD05D8">
        <w:rPr>
          <w:rFonts w:asciiTheme="majorBidi" w:hAnsiTheme="majorBidi" w:cstheme="majorBidi"/>
          <w:spacing w:val="-4"/>
          <w:kern w:val="24"/>
          <w:sz w:val="24"/>
          <w:szCs w:val="24"/>
          <w:lang w:val="en-US" w:eastAsia="fr-FR"/>
        </w:rPr>
        <w:t xml:space="preserve"> Daniel and </w:t>
      </w:r>
      <w:r w:rsidRPr="00DD05D8">
        <w:rPr>
          <w:rFonts w:asciiTheme="majorBidi" w:hAnsiTheme="majorBidi" w:cstheme="majorBidi"/>
          <w:smallCaps/>
          <w:spacing w:val="-4"/>
          <w:kern w:val="24"/>
          <w:sz w:val="24"/>
          <w:szCs w:val="24"/>
          <w:lang w:val="en-US" w:eastAsia="fr-FR"/>
        </w:rPr>
        <w:t>Shetty</w:t>
      </w:r>
      <w:r w:rsidRPr="00DD05D8">
        <w:rPr>
          <w:rFonts w:asciiTheme="majorBidi" w:hAnsiTheme="majorBidi" w:cstheme="majorBidi"/>
          <w:spacing w:val="-4"/>
          <w:kern w:val="24"/>
          <w:sz w:val="24"/>
          <w:szCs w:val="24"/>
          <w:lang w:val="en-US" w:eastAsia="fr-FR"/>
        </w:rPr>
        <w:t xml:space="preserve"> Bala, “Strategie financial risk management and operations research”, </w:t>
      </w:r>
      <w:r w:rsidRPr="00DD05D8">
        <w:rPr>
          <w:rFonts w:asciiTheme="majorBidi" w:hAnsiTheme="majorBidi" w:cstheme="majorBidi"/>
          <w:spacing w:val="-4"/>
          <w:kern w:val="24"/>
          <w:sz w:val="24"/>
          <w:szCs w:val="24"/>
          <w:lang w:val="en-GB" w:eastAsia="fr-FR"/>
        </w:rPr>
        <w:t>European Journal of Operational Research, Vol 97, Issue 1, 1997, pp. 1-16.</w:t>
      </w:r>
    </w:p>
    <w:p w14:paraId="08A0C8C9"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Nakhjavani</w:t>
      </w:r>
      <w:r w:rsidRPr="00F634CD">
        <w:rPr>
          <w:rFonts w:asciiTheme="majorBidi" w:hAnsiTheme="majorBidi" w:cstheme="majorBidi"/>
          <w:kern w:val="24"/>
          <w:sz w:val="24"/>
          <w:szCs w:val="24"/>
          <w:lang w:val="en-GB"/>
        </w:rPr>
        <w:t xml:space="preserve"> M,</w:t>
      </w:r>
      <w:r w:rsidRPr="00F634CD">
        <w:rPr>
          <w:rFonts w:asciiTheme="majorBidi" w:hAnsiTheme="majorBidi" w:cstheme="majorBidi"/>
          <w:kern w:val="24"/>
          <w:sz w:val="24"/>
          <w:szCs w:val="24"/>
          <w:lang w:val="en-US" w:eastAsia="fr-FR"/>
        </w:rPr>
        <w:t xml:space="preserve"> “</w:t>
      </w:r>
      <w:r w:rsidRPr="00F634CD">
        <w:rPr>
          <w:rFonts w:asciiTheme="majorBidi" w:hAnsiTheme="majorBidi" w:cstheme="majorBidi"/>
          <w:kern w:val="24"/>
          <w:sz w:val="24"/>
          <w:szCs w:val="24"/>
          <w:lang w:val="en-GB"/>
        </w:rPr>
        <w:t>Islamic Banking in an Inflationary World”, Middel-East, Economic Studies, 1982, 43 p.</w:t>
      </w:r>
    </w:p>
    <w:p w14:paraId="1B437A93"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Nagano</w:t>
      </w:r>
      <w:r w:rsidRPr="00F634CD">
        <w:rPr>
          <w:rFonts w:asciiTheme="majorBidi" w:hAnsiTheme="majorBidi" w:cstheme="majorBidi"/>
          <w:kern w:val="24"/>
          <w:sz w:val="24"/>
          <w:szCs w:val="24"/>
          <w:lang w:val="en-US" w:eastAsia="fr-FR"/>
        </w:rPr>
        <w:t xml:space="preserve"> Mamoru, “Islamic Finance and the Theory of Capital Structure”, </w:t>
      </w:r>
      <w:r w:rsidRPr="00F634CD">
        <w:rPr>
          <w:rFonts w:asciiTheme="majorBidi" w:hAnsiTheme="majorBidi" w:cstheme="majorBidi"/>
          <w:iCs/>
          <w:kern w:val="24"/>
          <w:sz w:val="24"/>
          <w:szCs w:val="24"/>
          <w:lang w:val="en-US"/>
        </w:rPr>
        <w:t xml:space="preserve">SSRN Electronic Journal, abstract= </w:t>
      </w:r>
      <w:r w:rsidRPr="00F634CD">
        <w:rPr>
          <w:rFonts w:asciiTheme="majorBidi" w:hAnsiTheme="majorBidi" w:cstheme="majorBidi"/>
          <w:kern w:val="24"/>
          <w:sz w:val="24"/>
          <w:szCs w:val="24"/>
          <w:lang w:val="en-US" w:eastAsia="fr-FR"/>
        </w:rPr>
        <w:t>1684413, 2007, 18 p.</w:t>
      </w:r>
    </w:p>
    <w:p w14:paraId="06C20BAF"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Nawalkha</w:t>
      </w:r>
      <w:r w:rsidRPr="00F634CD">
        <w:rPr>
          <w:rFonts w:asciiTheme="majorBidi" w:hAnsiTheme="majorBidi" w:cstheme="majorBidi"/>
          <w:kern w:val="24"/>
          <w:sz w:val="24"/>
          <w:szCs w:val="24"/>
          <w:lang w:val="en-US" w:eastAsia="fr-FR"/>
        </w:rPr>
        <w:t xml:space="preserve"> Sanjay K and </w:t>
      </w:r>
      <w:r w:rsidRPr="00F634CD">
        <w:rPr>
          <w:rFonts w:asciiTheme="majorBidi" w:hAnsiTheme="majorBidi" w:cstheme="majorBidi"/>
          <w:smallCaps/>
          <w:kern w:val="24"/>
          <w:sz w:val="24"/>
          <w:szCs w:val="24"/>
          <w:lang w:val="en-US" w:eastAsia="fr-FR"/>
        </w:rPr>
        <w:t>Soto</w:t>
      </w:r>
      <w:r w:rsidRPr="00F634CD">
        <w:rPr>
          <w:rFonts w:asciiTheme="majorBidi" w:hAnsiTheme="majorBidi" w:cstheme="majorBidi"/>
          <w:kern w:val="24"/>
          <w:sz w:val="24"/>
          <w:szCs w:val="24"/>
          <w:lang w:val="en-US" w:eastAsia="fr-FR"/>
        </w:rPr>
        <w:t xml:space="preserve"> Gloria M, “Managing interest rate risk: the next challenge?”, </w:t>
      </w:r>
      <w:r w:rsidRPr="00F634CD">
        <w:rPr>
          <w:rFonts w:asciiTheme="majorBidi" w:hAnsiTheme="majorBidi" w:cstheme="majorBidi"/>
          <w:iCs/>
          <w:kern w:val="24"/>
          <w:sz w:val="24"/>
          <w:szCs w:val="24"/>
          <w:lang w:val="en-US"/>
        </w:rPr>
        <w:t xml:space="preserve">SSRN Electronic Journal, abstract= </w:t>
      </w:r>
      <w:r w:rsidRPr="00F634CD">
        <w:rPr>
          <w:rFonts w:asciiTheme="majorBidi" w:hAnsiTheme="majorBidi" w:cstheme="majorBidi"/>
          <w:kern w:val="24"/>
          <w:sz w:val="24"/>
          <w:szCs w:val="24"/>
          <w:lang w:val="en-US" w:eastAsia="fr-FR"/>
        </w:rPr>
        <w:t>1392543, 2009, 27 p.</w:t>
      </w:r>
    </w:p>
    <w:p w14:paraId="5D46E77A"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Nora</w:t>
      </w:r>
      <w:r w:rsidRPr="00F634CD">
        <w:rPr>
          <w:rFonts w:asciiTheme="majorBidi" w:hAnsiTheme="majorBidi" w:cstheme="majorBidi"/>
          <w:kern w:val="24"/>
          <w:sz w:val="24"/>
          <w:szCs w:val="24"/>
        </w:rPr>
        <w:t xml:space="preserve"> Dominique, « Ruée vers la finance islamique », Le Nouvel Observateur, N° 2191, 2 Novembre 2006.</w:t>
      </w:r>
    </w:p>
    <w:p w14:paraId="042B284A" w14:textId="6C4B2F72" w:rsidR="00A42833" w:rsidRPr="00F634CD" w:rsidRDefault="00A42833" w:rsidP="00621FA2">
      <w:pPr>
        <w:tabs>
          <w:tab w:val="left" w:pos="0"/>
          <w:tab w:val="left" w:pos="284"/>
        </w:tabs>
        <w:autoSpaceDE w:val="0"/>
        <w:autoSpaceDN w:val="0"/>
        <w:adjustRightInd w:val="0"/>
        <w:spacing w:before="120"/>
        <w:rPr>
          <w:rFonts w:asciiTheme="majorBidi" w:eastAsia="ArialMT" w:hAnsiTheme="majorBidi" w:cstheme="majorBidi"/>
          <w:kern w:val="24"/>
          <w:sz w:val="24"/>
          <w:szCs w:val="24"/>
          <w:lang w:val="en-GB" w:eastAsia="fr-FR"/>
        </w:rPr>
      </w:pPr>
      <w:r w:rsidRPr="00F634CD">
        <w:rPr>
          <w:rFonts w:asciiTheme="majorBidi" w:eastAsia="ArialMT" w:hAnsiTheme="majorBidi" w:cstheme="majorBidi"/>
          <w:smallCaps/>
          <w:kern w:val="24"/>
          <w:sz w:val="24"/>
          <w:szCs w:val="24"/>
          <w:lang w:val="en-GB" w:eastAsia="fr-FR"/>
        </w:rPr>
        <w:t>Nuradli</w:t>
      </w:r>
      <w:r w:rsidRPr="00F634CD">
        <w:rPr>
          <w:rFonts w:asciiTheme="majorBidi" w:eastAsia="ArialMT" w:hAnsiTheme="majorBidi" w:cstheme="majorBidi"/>
          <w:kern w:val="24"/>
          <w:sz w:val="24"/>
          <w:szCs w:val="24"/>
          <w:lang w:val="en-GB" w:eastAsia="fr-FR"/>
        </w:rPr>
        <w:t xml:space="preserve"> Ridzwan, </w:t>
      </w:r>
      <w:r w:rsidRPr="00F634CD">
        <w:rPr>
          <w:rFonts w:asciiTheme="majorBidi" w:hAnsiTheme="majorBidi" w:cstheme="majorBidi"/>
          <w:kern w:val="24"/>
          <w:sz w:val="24"/>
          <w:szCs w:val="24"/>
          <w:lang w:val="en-GB"/>
        </w:rPr>
        <w:t>“</w:t>
      </w:r>
      <w:r w:rsidRPr="00F634CD">
        <w:rPr>
          <w:rFonts w:asciiTheme="majorBidi" w:eastAsia="ArialMT" w:hAnsiTheme="majorBidi" w:cstheme="majorBidi"/>
          <w:kern w:val="24"/>
          <w:sz w:val="24"/>
          <w:szCs w:val="24"/>
          <w:lang w:val="en-GB" w:eastAsia="fr-FR"/>
        </w:rPr>
        <w:t xml:space="preserve">A Review of Forward, Futures, and Options </w:t>
      </w:r>
      <w:r w:rsidR="00DB4926" w:rsidRPr="00F634CD">
        <w:rPr>
          <w:rFonts w:asciiTheme="majorBidi" w:eastAsia="ArialMT" w:hAnsiTheme="majorBidi" w:cstheme="majorBidi"/>
          <w:kern w:val="24"/>
          <w:sz w:val="24"/>
          <w:szCs w:val="24"/>
          <w:lang w:val="en-GB" w:eastAsia="fr-FR"/>
        </w:rPr>
        <w:t>from</w:t>
      </w:r>
      <w:r w:rsidRPr="00F634CD">
        <w:rPr>
          <w:rFonts w:asciiTheme="majorBidi" w:eastAsia="ArialMT" w:hAnsiTheme="majorBidi" w:cstheme="majorBidi"/>
          <w:kern w:val="24"/>
          <w:sz w:val="24"/>
          <w:szCs w:val="24"/>
          <w:lang w:val="en-GB" w:eastAsia="fr-FR"/>
        </w:rPr>
        <w:t xml:space="preserve"> The Shariah Perspective: From Complexity to Simplicity”, Universiti Tenaga Nasional, 2001, 16 p.</w:t>
      </w:r>
    </w:p>
    <w:p w14:paraId="06B540C1" w14:textId="21B5DAFE"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bookmarkStart w:id="1872" w:name="_Hlk530921739"/>
      <w:r w:rsidRPr="00F634CD">
        <w:rPr>
          <w:rFonts w:asciiTheme="majorBidi" w:hAnsiTheme="majorBidi" w:cstheme="majorBidi"/>
          <w:smallCaps/>
          <w:kern w:val="24"/>
          <w:sz w:val="24"/>
          <w:szCs w:val="24"/>
          <w:lang w:val="en-US"/>
        </w:rPr>
        <w:t>Obaidullah</w:t>
      </w:r>
      <w:r w:rsidRPr="00F634CD">
        <w:rPr>
          <w:rFonts w:asciiTheme="majorBidi" w:hAnsiTheme="majorBidi" w:cstheme="majorBidi"/>
          <w:kern w:val="24"/>
          <w:sz w:val="24"/>
          <w:szCs w:val="24"/>
          <w:lang w:val="en-US"/>
        </w:rPr>
        <w:t xml:space="preserve"> Mohammed, “Capital adequacy norms for </w:t>
      </w:r>
      <w:r w:rsidR="00497C4A">
        <w:rPr>
          <w:rFonts w:asciiTheme="majorBidi" w:hAnsiTheme="majorBidi" w:cstheme="majorBidi"/>
          <w:kern w:val="24"/>
          <w:sz w:val="24"/>
          <w:szCs w:val="24"/>
          <w:lang w:val="en-US"/>
        </w:rPr>
        <w:t>I</w:t>
      </w:r>
      <w:r w:rsidRPr="00F634CD">
        <w:rPr>
          <w:rFonts w:asciiTheme="majorBidi" w:hAnsiTheme="majorBidi" w:cstheme="majorBidi"/>
          <w:kern w:val="24"/>
          <w:sz w:val="24"/>
          <w:szCs w:val="24"/>
          <w:lang w:val="en-US"/>
        </w:rPr>
        <w:t xml:space="preserve">slamic financial institutions”, </w:t>
      </w:r>
      <w:r w:rsidRPr="00F634CD">
        <w:rPr>
          <w:rFonts w:asciiTheme="majorBidi" w:hAnsiTheme="majorBidi" w:cstheme="majorBidi"/>
          <w:kern w:val="24"/>
          <w:sz w:val="24"/>
          <w:szCs w:val="24"/>
          <w:lang w:val="en-US" w:eastAsia="fr-FR"/>
        </w:rPr>
        <w:t>Islamic Economic Studies, Vol 5, N°1, 1998, pp. 37-55.</w:t>
      </w:r>
    </w:p>
    <w:bookmarkEnd w:id="1872"/>
    <w:p w14:paraId="7281E37C"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Otmani</w:t>
      </w:r>
      <w:r w:rsidRPr="00F634CD">
        <w:rPr>
          <w:rFonts w:asciiTheme="majorBidi" w:hAnsiTheme="majorBidi" w:cstheme="majorBidi"/>
          <w:kern w:val="24"/>
          <w:sz w:val="24"/>
          <w:szCs w:val="24"/>
        </w:rPr>
        <w:t xml:space="preserve"> Abdelhafid et </w:t>
      </w:r>
      <w:r w:rsidRPr="00F634CD">
        <w:rPr>
          <w:rFonts w:asciiTheme="majorBidi" w:hAnsiTheme="majorBidi" w:cstheme="majorBidi"/>
          <w:smallCaps/>
          <w:kern w:val="24"/>
          <w:sz w:val="24"/>
          <w:szCs w:val="24"/>
        </w:rPr>
        <w:t>Otmani-Bouterf</w:t>
      </w:r>
      <w:r w:rsidRPr="00F634CD">
        <w:rPr>
          <w:rFonts w:asciiTheme="majorBidi" w:hAnsiTheme="majorBidi" w:cstheme="majorBidi"/>
          <w:kern w:val="24"/>
          <w:sz w:val="24"/>
          <w:szCs w:val="24"/>
        </w:rPr>
        <w:t xml:space="preserve"> Mounya, « La finance islamique dans un environnement non islamique : réalité et défis », 2</w:t>
      </w:r>
      <w:r w:rsidRPr="00F634CD">
        <w:rPr>
          <w:rFonts w:asciiTheme="majorBidi" w:hAnsiTheme="majorBidi" w:cstheme="majorBidi"/>
          <w:kern w:val="24"/>
          <w:sz w:val="24"/>
          <w:szCs w:val="24"/>
          <w:vertAlign w:val="superscript"/>
        </w:rPr>
        <w:t>ème</w:t>
      </w:r>
      <w:r w:rsidRPr="00F634CD">
        <w:rPr>
          <w:rFonts w:asciiTheme="majorBidi" w:hAnsiTheme="majorBidi" w:cstheme="majorBidi"/>
          <w:kern w:val="24"/>
          <w:sz w:val="24"/>
          <w:szCs w:val="24"/>
        </w:rPr>
        <w:t xml:space="preserve"> séminaire international de l’université de Khemis Meliana, Algérie, 5-6 mai 2009, 21 p.</w:t>
      </w:r>
    </w:p>
    <w:p w14:paraId="7C00EECD"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Ould Moulaye</w:t>
      </w:r>
      <w:r w:rsidRPr="00F634CD">
        <w:rPr>
          <w:rFonts w:asciiTheme="majorBidi" w:hAnsiTheme="majorBidi" w:cstheme="majorBidi"/>
          <w:kern w:val="24"/>
          <w:sz w:val="24"/>
          <w:szCs w:val="24"/>
        </w:rPr>
        <w:t xml:space="preserve"> Ismail M, « A la découverte du client de la finance islamique : la situation française », Cahier de recherche, Institut de Gestion de Rennes, 2009, 18 p.</w:t>
      </w:r>
    </w:p>
    <w:p w14:paraId="4AD617E5"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Pastré</w:t>
      </w:r>
      <w:r w:rsidRPr="00F634CD">
        <w:rPr>
          <w:rFonts w:asciiTheme="majorBidi" w:hAnsiTheme="majorBidi" w:cstheme="majorBidi"/>
          <w:kern w:val="24"/>
          <w:sz w:val="24"/>
          <w:szCs w:val="24"/>
        </w:rPr>
        <w:t xml:space="preserve"> Olivier et </w:t>
      </w:r>
      <w:r w:rsidRPr="00F634CD">
        <w:rPr>
          <w:rFonts w:asciiTheme="majorBidi" w:hAnsiTheme="majorBidi" w:cstheme="majorBidi"/>
          <w:smallCaps/>
          <w:kern w:val="24"/>
          <w:sz w:val="24"/>
          <w:szCs w:val="24"/>
        </w:rPr>
        <w:t>Gecheva</w:t>
      </w:r>
      <w:r w:rsidRPr="00F634CD">
        <w:rPr>
          <w:rFonts w:asciiTheme="majorBidi" w:hAnsiTheme="majorBidi" w:cstheme="majorBidi"/>
          <w:kern w:val="24"/>
          <w:sz w:val="24"/>
          <w:szCs w:val="24"/>
        </w:rPr>
        <w:t xml:space="preserve"> Krassimira, « La finance islamique à la croisée des chemins », Revue d’Economie Financière, N°92, 2008, pp. 197-213.</w:t>
      </w:r>
    </w:p>
    <w:p w14:paraId="125F9BEA"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Plihon</w:t>
      </w:r>
      <w:r w:rsidRPr="00F634CD">
        <w:rPr>
          <w:rFonts w:asciiTheme="majorBidi" w:hAnsiTheme="majorBidi" w:cstheme="majorBidi"/>
          <w:kern w:val="24"/>
          <w:sz w:val="24"/>
          <w:szCs w:val="24"/>
        </w:rPr>
        <w:t xml:space="preserve"> Dominique, « Instabilité financière et risque systémique : insuffisance du contrôle macroprudentielle », Cahiers français, N° 331, 2007, pp. 85-90</w:t>
      </w:r>
    </w:p>
    <w:p w14:paraId="78ED0CD0"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Purnanandam</w:t>
      </w:r>
      <w:r w:rsidRPr="00F634CD">
        <w:rPr>
          <w:rFonts w:asciiTheme="majorBidi" w:hAnsiTheme="majorBidi" w:cstheme="majorBidi"/>
          <w:kern w:val="24"/>
          <w:sz w:val="24"/>
          <w:szCs w:val="24"/>
          <w:lang w:val="en-US" w:eastAsia="fr-FR"/>
        </w:rPr>
        <w:t xml:space="preserve"> A, “Financial distress and corporate risk management: Theory and evidence”, </w:t>
      </w:r>
      <w:r w:rsidRPr="00F634CD">
        <w:rPr>
          <w:rFonts w:asciiTheme="majorBidi" w:hAnsiTheme="majorBidi" w:cstheme="majorBidi"/>
          <w:kern w:val="24"/>
          <w:sz w:val="24"/>
          <w:szCs w:val="24"/>
          <w:lang w:val="en-GB" w:eastAsia="fr-FR"/>
        </w:rPr>
        <w:t>Journal of Financial Economics, N° 87, 2008, pp. 706–739.</w:t>
      </w:r>
    </w:p>
    <w:p w14:paraId="3911793B"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Rammal</w:t>
      </w:r>
      <w:r w:rsidRPr="00F634CD">
        <w:rPr>
          <w:rFonts w:asciiTheme="majorBidi" w:hAnsiTheme="majorBidi" w:cstheme="majorBidi"/>
          <w:kern w:val="24"/>
          <w:sz w:val="24"/>
          <w:szCs w:val="24"/>
          <w:lang w:val="en-GB"/>
        </w:rPr>
        <w:t xml:space="preserve"> Hussain, “Financing Throu</w:t>
      </w:r>
      <w:r w:rsidRPr="00F634CD">
        <w:rPr>
          <w:rFonts w:asciiTheme="majorBidi" w:hAnsiTheme="majorBidi" w:cstheme="majorBidi"/>
          <w:kern w:val="24"/>
          <w:sz w:val="24"/>
          <w:szCs w:val="24"/>
          <w:lang w:val="en-US"/>
        </w:rPr>
        <w:t xml:space="preserve">gh </w:t>
      </w:r>
      <w:r w:rsidRPr="000F58DB">
        <w:rPr>
          <w:rFonts w:asciiTheme="majorBidi" w:hAnsiTheme="majorBidi" w:cstheme="majorBidi"/>
          <w:i/>
          <w:iCs/>
          <w:kern w:val="24"/>
          <w:sz w:val="24"/>
          <w:szCs w:val="24"/>
          <w:lang w:val="en-US"/>
        </w:rPr>
        <w:t>Musharaka</w:t>
      </w:r>
      <w:r w:rsidRPr="00F634CD">
        <w:rPr>
          <w:rFonts w:asciiTheme="majorBidi" w:hAnsiTheme="majorBidi" w:cstheme="majorBidi"/>
          <w:kern w:val="24"/>
          <w:sz w:val="24"/>
          <w:szCs w:val="24"/>
          <w:lang w:val="en-US"/>
        </w:rPr>
        <w:t>: Principles and Application”, SSRN Electronic Journal, abstract= 1442430, 2004, 5 p.</w:t>
      </w:r>
    </w:p>
    <w:p w14:paraId="6E649509" w14:textId="79AB8F22" w:rsidR="00A42833" w:rsidRPr="00F634CD" w:rsidRDefault="00A42833" w:rsidP="00497C4A">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Rammal</w:t>
      </w:r>
      <w:r w:rsidRPr="00F634CD">
        <w:rPr>
          <w:rFonts w:asciiTheme="majorBidi" w:hAnsiTheme="majorBidi" w:cstheme="majorBidi"/>
          <w:kern w:val="24"/>
          <w:sz w:val="24"/>
          <w:szCs w:val="24"/>
          <w:lang w:val="en-GB"/>
        </w:rPr>
        <w:t xml:space="preserve"> Hussain</w:t>
      </w:r>
      <w:r w:rsidRPr="00F634CD">
        <w:rPr>
          <w:rFonts w:asciiTheme="majorBidi" w:hAnsiTheme="majorBidi" w:cstheme="majorBidi"/>
          <w:kern w:val="24"/>
          <w:sz w:val="24"/>
          <w:szCs w:val="24"/>
          <w:lang w:val="en-US"/>
        </w:rPr>
        <w:t xml:space="preserve">, “The importance of </w:t>
      </w:r>
      <w:r w:rsidR="00602291" w:rsidRPr="000F58DB">
        <w:rPr>
          <w:rFonts w:asciiTheme="majorBidi" w:hAnsiTheme="majorBidi" w:cstheme="majorBidi"/>
          <w:i/>
          <w:iCs/>
          <w:kern w:val="24"/>
          <w:sz w:val="24"/>
          <w:szCs w:val="24"/>
          <w:lang w:val="en-US"/>
        </w:rPr>
        <w:t>S</w:t>
      </w:r>
      <w:r w:rsidRPr="000F58DB">
        <w:rPr>
          <w:rFonts w:asciiTheme="majorBidi" w:hAnsiTheme="majorBidi" w:cstheme="majorBidi"/>
          <w:i/>
          <w:iCs/>
          <w:kern w:val="24"/>
          <w:sz w:val="24"/>
          <w:szCs w:val="24"/>
          <w:lang w:val="en-US"/>
        </w:rPr>
        <w:t>hari’ah</w:t>
      </w:r>
      <w:r w:rsidRPr="00F634CD">
        <w:rPr>
          <w:rFonts w:asciiTheme="majorBidi" w:hAnsiTheme="majorBidi" w:cstheme="majorBidi"/>
          <w:kern w:val="24"/>
          <w:sz w:val="24"/>
          <w:szCs w:val="24"/>
          <w:lang w:val="en-US"/>
        </w:rPr>
        <w:t xml:space="preserve"> supervision in islamic institutions”, Corporate Ownership and Control, Vol 3, Issue 3, 2006, pp 204-208.</w:t>
      </w:r>
    </w:p>
    <w:p w14:paraId="23B67AD9" w14:textId="301DD381"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Raphie</w:t>
      </w:r>
      <w:r w:rsidRPr="00F634CD">
        <w:rPr>
          <w:rFonts w:asciiTheme="majorBidi" w:hAnsiTheme="majorBidi" w:cstheme="majorBidi"/>
          <w:kern w:val="24"/>
          <w:sz w:val="24"/>
          <w:szCs w:val="24"/>
          <w:lang w:val="en-US" w:eastAsia="fr-FR"/>
        </w:rPr>
        <w:t xml:space="preserve"> Hayat et </w:t>
      </w:r>
      <w:r w:rsidRPr="00F634CD">
        <w:rPr>
          <w:rFonts w:asciiTheme="majorBidi" w:hAnsiTheme="majorBidi" w:cstheme="majorBidi"/>
          <w:smallCaps/>
          <w:kern w:val="24"/>
          <w:sz w:val="24"/>
          <w:szCs w:val="24"/>
          <w:lang w:val="en-US" w:eastAsia="fr-FR"/>
        </w:rPr>
        <w:t>Roman</w:t>
      </w:r>
      <w:r w:rsidRPr="00F634CD">
        <w:rPr>
          <w:rFonts w:asciiTheme="majorBidi" w:hAnsiTheme="majorBidi" w:cstheme="majorBidi"/>
          <w:kern w:val="24"/>
          <w:sz w:val="24"/>
          <w:szCs w:val="24"/>
          <w:lang w:val="en-US" w:eastAsia="fr-FR"/>
        </w:rPr>
        <w:t xml:space="preserve"> Kraeussl, “Risk and return characteristics of </w:t>
      </w:r>
      <w:r w:rsidR="00E6329C" w:rsidRPr="00F634CD">
        <w:rPr>
          <w:rFonts w:asciiTheme="majorBidi" w:hAnsiTheme="majorBidi" w:cstheme="majorBidi"/>
          <w:kern w:val="24"/>
          <w:sz w:val="24"/>
          <w:szCs w:val="24"/>
          <w:lang w:val="en-US" w:eastAsia="fr-FR"/>
        </w:rPr>
        <w:t>Islamic</w:t>
      </w:r>
      <w:r w:rsidRPr="00F634CD">
        <w:rPr>
          <w:rFonts w:asciiTheme="majorBidi" w:hAnsiTheme="majorBidi" w:cstheme="majorBidi"/>
          <w:kern w:val="24"/>
          <w:sz w:val="24"/>
          <w:szCs w:val="24"/>
          <w:lang w:val="en-US" w:eastAsia="fr-FR"/>
        </w:rPr>
        <w:t xml:space="preserve"> equity funds”, Emerging Markets Review 12 (2), 2011, pp. 189-203.</w:t>
      </w:r>
    </w:p>
    <w:p w14:paraId="2A93A4FC"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Rarick</w:t>
      </w:r>
      <w:r w:rsidRPr="00F634CD">
        <w:rPr>
          <w:rFonts w:asciiTheme="majorBidi" w:hAnsiTheme="majorBidi" w:cstheme="majorBidi"/>
          <w:kern w:val="24"/>
          <w:sz w:val="24"/>
          <w:szCs w:val="24"/>
          <w:lang w:val="en-US"/>
        </w:rPr>
        <w:t xml:space="preserve"> Charles A, “</w:t>
      </w:r>
      <w:r w:rsidRPr="00F634CD">
        <w:rPr>
          <w:rFonts w:asciiTheme="majorBidi" w:hAnsiTheme="majorBidi" w:cstheme="majorBidi"/>
          <w:kern w:val="24"/>
          <w:sz w:val="24"/>
          <w:szCs w:val="24"/>
          <w:lang w:val="en-US" w:eastAsia="fr-FR"/>
        </w:rPr>
        <w:t>Islamic Finance: A Viable Alternative in the Global Financial Market?”</w:t>
      </w:r>
      <w:r w:rsidRPr="00F634CD">
        <w:rPr>
          <w:rFonts w:asciiTheme="majorBidi" w:hAnsiTheme="majorBidi" w:cstheme="majorBidi"/>
          <w:kern w:val="24"/>
          <w:sz w:val="24"/>
          <w:szCs w:val="24"/>
          <w:lang w:val="en-US"/>
        </w:rPr>
        <w:t xml:space="preserve">, SSRN Electronic Journal, abstract= </w:t>
      </w:r>
      <w:r w:rsidRPr="00F634CD">
        <w:rPr>
          <w:rFonts w:asciiTheme="majorBidi" w:hAnsiTheme="majorBidi" w:cstheme="majorBidi"/>
          <w:kern w:val="24"/>
          <w:sz w:val="24"/>
          <w:szCs w:val="24"/>
          <w:lang w:val="en-GB" w:eastAsia="fr-FR"/>
        </w:rPr>
        <w:t>1332793</w:t>
      </w:r>
      <w:r w:rsidRPr="00F634CD">
        <w:rPr>
          <w:rFonts w:asciiTheme="majorBidi" w:hAnsiTheme="majorBidi" w:cstheme="majorBidi"/>
          <w:kern w:val="24"/>
          <w:sz w:val="24"/>
          <w:szCs w:val="24"/>
          <w:lang w:val="en-US" w:eastAsia="fr-FR"/>
        </w:rPr>
        <w:t>, 2009, 3 p.</w:t>
      </w:r>
    </w:p>
    <w:p w14:paraId="7D2D1C54" w14:textId="5FEF2F7C"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Rashid</w:t>
      </w:r>
      <w:r w:rsidRPr="00F634CD">
        <w:rPr>
          <w:rFonts w:asciiTheme="majorBidi" w:hAnsiTheme="majorBidi" w:cstheme="majorBidi"/>
          <w:kern w:val="24"/>
          <w:sz w:val="24"/>
          <w:szCs w:val="24"/>
          <w:lang w:val="en-GB"/>
        </w:rPr>
        <w:t xml:space="preserve"> A, “Ijara in </w:t>
      </w:r>
      <w:r w:rsidR="000F58DB" w:rsidRPr="00F634CD">
        <w:rPr>
          <w:rFonts w:asciiTheme="majorBidi" w:hAnsiTheme="majorBidi" w:cstheme="majorBidi"/>
          <w:kern w:val="24"/>
          <w:sz w:val="24"/>
          <w:szCs w:val="24"/>
          <w:lang w:val="en-GB"/>
        </w:rPr>
        <w:t>Islamic</w:t>
      </w:r>
      <w:r w:rsidRPr="00F634CD">
        <w:rPr>
          <w:rFonts w:asciiTheme="majorBidi" w:hAnsiTheme="majorBidi" w:cstheme="majorBidi"/>
          <w:kern w:val="24"/>
          <w:sz w:val="24"/>
          <w:szCs w:val="24"/>
          <w:lang w:val="en-GB"/>
        </w:rPr>
        <w:t xml:space="preserve"> law and its application in </w:t>
      </w:r>
      <w:r w:rsidR="000F58DB" w:rsidRPr="00F634CD">
        <w:rPr>
          <w:rFonts w:asciiTheme="majorBidi" w:hAnsiTheme="majorBidi" w:cstheme="majorBidi"/>
          <w:kern w:val="24"/>
          <w:sz w:val="24"/>
          <w:szCs w:val="24"/>
          <w:lang w:val="en-GB"/>
        </w:rPr>
        <w:t>Islamic</w:t>
      </w:r>
      <w:r w:rsidRPr="00F634CD">
        <w:rPr>
          <w:rFonts w:asciiTheme="majorBidi" w:hAnsiTheme="majorBidi" w:cstheme="majorBidi"/>
          <w:kern w:val="24"/>
          <w:sz w:val="24"/>
          <w:szCs w:val="24"/>
          <w:lang w:val="en-GB"/>
        </w:rPr>
        <w:t xml:space="preserve"> banks with special reference to auto financing of Askari commercial bank”, LLM Corporate Law, International Islamic University, Islamabad, Faculty of Shariah and Law, 2010, 35 p.</w:t>
      </w:r>
    </w:p>
    <w:p w14:paraId="46A4B8FA" w14:textId="29101A7A"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bookmarkStart w:id="1873" w:name="_Hlk530946303"/>
      <w:r w:rsidRPr="00F634CD">
        <w:rPr>
          <w:rFonts w:asciiTheme="majorBidi" w:hAnsiTheme="majorBidi" w:cstheme="majorBidi"/>
          <w:smallCaps/>
          <w:kern w:val="24"/>
          <w:sz w:val="24"/>
          <w:szCs w:val="24"/>
          <w:lang w:val="en-US" w:eastAsia="fr-FR"/>
        </w:rPr>
        <w:t>Rizwan</w:t>
      </w:r>
      <w:r w:rsidRPr="00F634CD">
        <w:rPr>
          <w:rFonts w:asciiTheme="majorBidi" w:hAnsiTheme="majorBidi" w:cstheme="majorBidi"/>
          <w:kern w:val="24"/>
          <w:sz w:val="24"/>
          <w:szCs w:val="24"/>
          <w:lang w:val="en-US" w:eastAsia="fr-FR"/>
        </w:rPr>
        <w:t xml:space="preserve"> Sabira, </w:t>
      </w:r>
      <w:r w:rsidRPr="00F634CD">
        <w:rPr>
          <w:rFonts w:asciiTheme="majorBidi" w:hAnsiTheme="majorBidi" w:cstheme="majorBidi"/>
          <w:smallCaps/>
          <w:kern w:val="24"/>
          <w:sz w:val="24"/>
          <w:szCs w:val="24"/>
          <w:lang w:val="en-US" w:eastAsia="fr-FR"/>
        </w:rPr>
        <w:t>Khan</w:t>
      </w:r>
      <w:r w:rsidRPr="00F634CD">
        <w:rPr>
          <w:rFonts w:asciiTheme="majorBidi" w:hAnsiTheme="majorBidi" w:cstheme="majorBidi"/>
          <w:kern w:val="24"/>
          <w:sz w:val="24"/>
          <w:szCs w:val="24"/>
          <w:lang w:val="en-US" w:eastAsia="fr-FR"/>
        </w:rPr>
        <w:t xml:space="preserve"> Noira and </w:t>
      </w:r>
      <w:r w:rsidRPr="00F634CD">
        <w:rPr>
          <w:rFonts w:asciiTheme="majorBidi" w:hAnsiTheme="majorBidi" w:cstheme="majorBidi"/>
          <w:smallCaps/>
          <w:kern w:val="24"/>
          <w:sz w:val="24"/>
          <w:szCs w:val="24"/>
          <w:lang w:val="en-US" w:eastAsia="fr-FR"/>
        </w:rPr>
        <w:t>Khan</w:t>
      </w:r>
      <w:r w:rsidRPr="00F634CD">
        <w:rPr>
          <w:rFonts w:asciiTheme="majorBidi" w:hAnsiTheme="majorBidi" w:cstheme="majorBidi"/>
          <w:kern w:val="24"/>
          <w:sz w:val="24"/>
          <w:szCs w:val="24"/>
          <w:lang w:val="en-US" w:eastAsia="fr-FR"/>
        </w:rPr>
        <w:t xml:space="preserve"> Hafizullah, “Implications of </w:t>
      </w:r>
      <w:r w:rsidR="000F58DB">
        <w:rPr>
          <w:rFonts w:asciiTheme="majorBidi" w:hAnsiTheme="majorBidi" w:cstheme="majorBidi"/>
          <w:kern w:val="24"/>
          <w:sz w:val="24"/>
          <w:szCs w:val="24"/>
          <w:lang w:val="en-US" w:eastAsia="fr-FR"/>
        </w:rPr>
        <w:t>B</w:t>
      </w:r>
      <w:r w:rsidRPr="00F634CD">
        <w:rPr>
          <w:rFonts w:asciiTheme="majorBidi" w:hAnsiTheme="majorBidi" w:cstheme="majorBidi"/>
          <w:kern w:val="24"/>
          <w:sz w:val="24"/>
          <w:szCs w:val="24"/>
          <w:lang w:val="en-US" w:eastAsia="fr-FR"/>
        </w:rPr>
        <w:t xml:space="preserve">asel III on </w:t>
      </w:r>
      <w:r w:rsidR="000F58DB">
        <w:rPr>
          <w:rFonts w:asciiTheme="majorBidi" w:hAnsiTheme="majorBidi" w:cstheme="majorBidi"/>
          <w:kern w:val="24"/>
          <w:sz w:val="24"/>
          <w:szCs w:val="24"/>
          <w:lang w:val="en-US" w:eastAsia="fr-FR"/>
        </w:rPr>
        <w:t>I</w:t>
      </w:r>
      <w:r w:rsidRPr="00F634CD">
        <w:rPr>
          <w:rFonts w:asciiTheme="majorBidi" w:hAnsiTheme="majorBidi" w:cstheme="majorBidi"/>
          <w:kern w:val="24"/>
          <w:sz w:val="24"/>
          <w:szCs w:val="24"/>
          <w:lang w:val="en-US" w:eastAsia="fr-FR"/>
        </w:rPr>
        <w:t>slamic banks”, Conférence Internationale en Excellence Business, Shariquah, mai 2012, 12 p.</w:t>
      </w:r>
    </w:p>
    <w:bookmarkEnd w:id="1873"/>
    <w:p w14:paraId="38592F6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Roslina</w:t>
      </w:r>
      <w:r w:rsidRPr="00F634CD">
        <w:rPr>
          <w:rFonts w:asciiTheme="majorBidi" w:hAnsiTheme="majorBidi" w:cstheme="majorBidi"/>
          <w:kern w:val="24"/>
          <w:sz w:val="24"/>
          <w:szCs w:val="24"/>
          <w:lang w:val="en-GB"/>
        </w:rPr>
        <w:t xml:space="preserve"> Mohamad S and </w:t>
      </w:r>
      <w:r w:rsidRPr="00F634CD">
        <w:rPr>
          <w:rFonts w:asciiTheme="majorBidi" w:hAnsiTheme="majorBidi" w:cstheme="majorBidi"/>
          <w:smallCaps/>
          <w:kern w:val="24"/>
          <w:sz w:val="24"/>
          <w:szCs w:val="24"/>
          <w:lang w:val="en-GB"/>
        </w:rPr>
        <w:t>Mohd</w:t>
      </w:r>
      <w:r w:rsidRPr="00F634CD">
        <w:rPr>
          <w:rFonts w:asciiTheme="majorBidi" w:hAnsiTheme="majorBidi" w:cstheme="majorBidi"/>
          <w:kern w:val="24"/>
          <w:sz w:val="24"/>
          <w:szCs w:val="24"/>
          <w:lang w:val="en-GB"/>
        </w:rPr>
        <w:t xml:space="preserve"> Asyadi </w:t>
      </w:r>
      <w:r w:rsidRPr="00F634CD">
        <w:rPr>
          <w:rFonts w:asciiTheme="majorBidi" w:hAnsiTheme="majorBidi" w:cstheme="majorBidi"/>
          <w:kern w:val="24"/>
          <w:sz w:val="24"/>
          <w:szCs w:val="24"/>
          <w:lang w:val="en-US"/>
        </w:rPr>
        <w:t>R, “</w:t>
      </w:r>
      <w:r w:rsidRPr="00F634CD">
        <w:rPr>
          <w:rFonts w:asciiTheme="majorBidi" w:hAnsiTheme="majorBidi" w:cstheme="majorBidi"/>
          <w:kern w:val="24"/>
          <w:sz w:val="24"/>
          <w:szCs w:val="24"/>
          <w:lang w:val="en-US" w:eastAsia="fr-FR"/>
        </w:rPr>
        <w:t xml:space="preserve">Modelling sukuk structures in Indonesia: Economic development and the risk management”, </w:t>
      </w:r>
      <w:r w:rsidRPr="00F634CD">
        <w:rPr>
          <w:rFonts w:asciiTheme="majorBidi" w:hAnsiTheme="majorBidi" w:cstheme="majorBidi"/>
          <w:iCs/>
          <w:kern w:val="24"/>
          <w:sz w:val="24"/>
          <w:szCs w:val="24"/>
          <w:lang w:val="en-US"/>
        </w:rPr>
        <w:t xml:space="preserve">SSRN Electronic Journal, abstract= </w:t>
      </w:r>
      <w:r w:rsidRPr="00F634CD">
        <w:rPr>
          <w:rFonts w:asciiTheme="majorBidi" w:hAnsiTheme="majorBidi" w:cstheme="majorBidi"/>
          <w:kern w:val="24"/>
          <w:sz w:val="24"/>
          <w:szCs w:val="24"/>
          <w:lang w:val="en-US"/>
        </w:rPr>
        <w:t>1742906</w:t>
      </w:r>
      <w:r w:rsidRPr="00F634CD">
        <w:rPr>
          <w:rFonts w:asciiTheme="majorBidi" w:hAnsiTheme="majorBidi" w:cstheme="majorBidi"/>
          <w:kern w:val="24"/>
          <w:sz w:val="24"/>
          <w:szCs w:val="24"/>
          <w:lang w:val="en-US" w:eastAsia="fr-FR"/>
        </w:rPr>
        <w:t>, 2009, 19 p.</w:t>
      </w:r>
    </w:p>
    <w:p w14:paraId="507C616D" w14:textId="18C9962D"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bookmarkStart w:id="1874" w:name="_Hlk530923031"/>
      <w:r w:rsidRPr="00F634CD">
        <w:rPr>
          <w:rFonts w:asciiTheme="majorBidi" w:hAnsiTheme="majorBidi" w:cstheme="majorBidi"/>
          <w:smallCaps/>
          <w:kern w:val="24"/>
          <w:sz w:val="24"/>
          <w:szCs w:val="24"/>
        </w:rPr>
        <w:t>Roupakia</w:t>
      </w:r>
      <w:r w:rsidRPr="00F634CD">
        <w:rPr>
          <w:rFonts w:asciiTheme="majorBidi" w:hAnsiTheme="majorBidi" w:cstheme="majorBidi"/>
          <w:kern w:val="24"/>
          <w:sz w:val="24"/>
          <w:szCs w:val="24"/>
          <w:lang w:eastAsia="fr-FR"/>
        </w:rPr>
        <w:t xml:space="preserve"> Nefeli, « L’émergence d’un phénomène nouveau en finance </w:t>
      </w:r>
      <w:r w:rsidR="000F58DB" w:rsidRPr="00F634CD">
        <w:rPr>
          <w:rFonts w:asciiTheme="majorBidi" w:hAnsiTheme="majorBidi" w:cstheme="majorBidi"/>
          <w:kern w:val="24"/>
          <w:sz w:val="24"/>
          <w:szCs w:val="24"/>
          <w:lang w:eastAsia="fr-FR"/>
        </w:rPr>
        <w:t>islamique</w:t>
      </w:r>
      <w:r w:rsidR="000F58DB">
        <w:rPr>
          <w:rFonts w:asciiTheme="majorBidi" w:hAnsiTheme="majorBidi" w:cstheme="majorBidi"/>
          <w:kern w:val="24"/>
          <w:sz w:val="24"/>
          <w:szCs w:val="24"/>
          <w:lang w:eastAsia="fr-FR"/>
        </w:rPr>
        <w:t> ;</w:t>
      </w:r>
      <w:r w:rsidRPr="00F634CD">
        <w:rPr>
          <w:rFonts w:asciiTheme="majorBidi" w:hAnsiTheme="majorBidi" w:cstheme="majorBidi"/>
          <w:kern w:val="24"/>
          <w:sz w:val="24"/>
          <w:szCs w:val="24"/>
          <w:lang w:eastAsia="fr-FR"/>
        </w:rPr>
        <w:t xml:space="preserve"> la neutralisation du </w:t>
      </w:r>
      <w:r w:rsidR="00A5400B" w:rsidRPr="00F634CD">
        <w:rPr>
          <w:rFonts w:ascii="Times New Roman" w:hAnsi="Times New Roman" w:cs="Times New Roman"/>
          <w:i/>
          <w:spacing w:val="4"/>
          <w:kern w:val="24"/>
          <w:sz w:val="24"/>
          <w:szCs w:val="24"/>
        </w:rPr>
        <w:t>Shariah</w:t>
      </w:r>
      <w:r w:rsidR="00A5400B" w:rsidRPr="00F634CD">
        <w:rPr>
          <w:rFonts w:asciiTheme="majorBidi" w:hAnsiTheme="majorBidi" w:cstheme="majorBidi"/>
          <w:kern w:val="24"/>
          <w:sz w:val="24"/>
          <w:szCs w:val="24"/>
          <w:lang w:eastAsia="fr-FR"/>
        </w:rPr>
        <w:t xml:space="preserve"> </w:t>
      </w:r>
      <w:r w:rsidRPr="00F634CD">
        <w:rPr>
          <w:rFonts w:asciiTheme="majorBidi" w:hAnsiTheme="majorBidi" w:cstheme="majorBidi"/>
          <w:kern w:val="24"/>
          <w:sz w:val="24"/>
          <w:szCs w:val="24"/>
          <w:lang w:eastAsia="fr-FR"/>
        </w:rPr>
        <w:t>Risk », les Cahiers de la finance islamique, N° 08, 2015, pp. 55- 60.</w:t>
      </w:r>
    </w:p>
    <w:bookmarkEnd w:id="1874"/>
    <w:p w14:paraId="4EB278B9" w14:textId="083D4FC3"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Saâdallah</w:t>
      </w:r>
      <w:r w:rsidRPr="00F634CD">
        <w:rPr>
          <w:rFonts w:asciiTheme="majorBidi" w:hAnsiTheme="majorBidi" w:cstheme="majorBidi"/>
          <w:kern w:val="24"/>
          <w:sz w:val="24"/>
          <w:szCs w:val="24"/>
        </w:rPr>
        <w:t xml:space="preserve"> Ridha, « Le financement islamique : concepts et principes généraux », Banque Islamique de Développement (BID), Institut Islamique de Recherche et de Formation (IIRF), 1992, pp. 14-31.</w:t>
      </w:r>
    </w:p>
    <w:p w14:paraId="2FCE412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Saadouni</w:t>
      </w:r>
      <w:r w:rsidRPr="00F634CD">
        <w:rPr>
          <w:rFonts w:asciiTheme="majorBidi" w:hAnsiTheme="majorBidi" w:cstheme="majorBidi"/>
          <w:kern w:val="24"/>
          <w:sz w:val="24"/>
          <w:szCs w:val="24"/>
        </w:rPr>
        <w:t xml:space="preserve"> Lmahfoud et Genc Tener, « La </w:t>
      </w:r>
      <w:r w:rsidRPr="00F634CD">
        <w:rPr>
          <w:rFonts w:asciiTheme="majorBidi" w:hAnsiTheme="majorBidi" w:cstheme="majorBidi"/>
          <w:i/>
          <w:iCs/>
          <w:kern w:val="24"/>
          <w:sz w:val="24"/>
          <w:szCs w:val="24"/>
        </w:rPr>
        <w:t>mourabaha</w:t>
      </w:r>
      <w:r w:rsidRPr="00F634CD">
        <w:rPr>
          <w:rFonts w:asciiTheme="majorBidi" w:hAnsiTheme="majorBidi" w:cstheme="majorBidi"/>
          <w:kern w:val="24"/>
          <w:sz w:val="24"/>
          <w:szCs w:val="24"/>
        </w:rPr>
        <w:t> : principes, pratiques et controverses », Cahiers de la Finance Islamique, N° special, 2015, pp. 7- 21.</w:t>
      </w:r>
    </w:p>
    <w:p w14:paraId="16A636E2"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Saint Pasteur</w:t>
      </w:r>
      <w:r w:rsidRPr="00F634CD">
        <w:rPr>
          <w:rFonts w:asciiTheme="majorBidi" w:hAnsiTheme="majorBidi" w:cstheme="majorBidi"/>
          <w:color w:val="auto"/>
          <w:kern w:val="24"/>
        </w:rPr>
        <w:t xml:space="preserve"> P, « Les dérivés de crédit, un danger pour la stabilité financière », Cahier de recherche, ESCEM Tours Poitiers, 2007, 21 p.</w:t>
      </w:r>
    </w:p>
    <w:p w14:paraId="01943B0C"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rPr>
      </w:pPr>
      <w:r w:rsidRPr="00F634CD">
        <w:rPr>
          <w:rFonts w:asciiTheme="majorBidi" w:hAnsiTheme="majorBidi" w:cstheme="majorBidi"/>
          <w:smallCaps/>
          <w:color w:val="auto"/>
          <w:kern w:val="24"/>
        </w:rPr>
        <w:t>Salin</w:t>
      </w:r>
      <w:r w:rsidRPr="00F634CD">
        <w:rPr>
          <w:rFonts w:asciiTheme="majorBidi" w:hAnsiTheme="majorBidi" w:cstheme="majorBidi"/>
          <w:color w:val="auto"/>
          <w:kern w:val="24"/>
        </w:rPr>
        <w:t xml:space="preserve"> Pascal, « La crise financière ; causes, conséquences et solutions », Institut Libéral, Université Paris-Dauphine, Cahier de recherche, 2009, 14 p.</w:t>
      </w:r>
    </w:p>
    <w:p w14:paraId="2EA9DEA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Salman</w:t>
      </w:r>
      <w:r w:rsidRPr="00F634CD">
        <w:rPr>
          <w:rFonts w:asciiTheme="majorBidi" w:hAnsiTheme="majorBidi" w:cstheme="majorBidi"/>
          <w:kern w:val="24"/>
          <w:sz w:val="24"/>
          <w:szCs w:val="24"/>
          <w:lang w:val="en-GB"/>
        </w:rPr>
        <w:t xml:space="preserve"> Syed Ali, “Islamic Modes of Finance and Associated Liquidity Risks”, Paper prepared for Conference on Monetary Sector in Iran: Structure, Performance and Challenging Issues, Tehran, February 2004, 28 p.</w:t>
      </w:r>
    </w:p>
    <w:p w14:paraId="45CF7559"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Sarker</w:t>
      </w:r>
      <w:r w:rsidRPr="00F634CD">
        <w:rPr>
          <w:rFonts w:asciiTheme="majorBidi" w:hAnsiTheme="majorBidi" w:cstheme="majorBidi"/>
          <w:kern w:val="24"/>
          <w:sz w:val="24"/>
          <w:szCs w:val="24"/>
          <w:lang w:val="en-GB"/>
        </w:rPr>
        <w:t xml:space="preserve"> Abdul Awwal, “Regulation of Islamic Banking in Bangladesh: role of Bangladesh Bank”, International Journal of Islamic Financial Services, vol 2, n°1, 2000, pp. 41- 67.</w:t>
      </w:r>
    </w:p>
    <w:p w14:paraId="42D5C404" w14:textId="77777777" w:rsidR="00A42833" w:rsidRPr="00DD05D8" w:rsidRDefault="00A42833" w:rsidP="00621FA2">
      <w:pPr>
        <w:tabs>
          <w:tab w:val="left" w:pos="0"/>
          <w:tab w:val="left" w:pos="284"/>
        </w:tabs>
        <w:autoSpaceDE w:val="0"/>
        <w:autoSpaceDN w:val="0"/>
        <w:adjustRightInd w:val="0"/>
        <w:spacing w:before="120"/>
        <w:rPr>
          <w:rFonts w:asciiTheme="majorBidi" w:hAnsiTheme="majorBidi" w:cstheme="majorBidi"/>
          <w:spacing w:val="-4"/>
          <w:kern w:val="24"/>
          <w:sz w:val="24"/>
          <w:szCs w:val="24"/>
          <w:lang w:eastAsia="fr-FR"/>
        </w:rPr>
      </w:pPr>
      <w:r w:rsidRPr="00DD05D8">
        <w:rPr>
          <w:rFonts w:asciiTheme="majorBidi" w:hAnsiTheme="majorBidi" w:cstheme="majorBidi"/>
          <w:smallCaps/>
          <w:spacing w:val="-4"/>
          <w:kern w:val="24"/>
          <w:sz w:val="24"/>
          <w:szCs w:val="24"/>
        </w:rPr>
        <w:t>Sbihi</w:t>
      </w:r>
      <w:r w:rsidRPr="00DD05D8">
        <w:rPr>
          <w:rFonts w:asciiTheme="majorBidi" w:hAnsiTheme="majorBidi" w:cstheme="majorBidi"/>
          <w:spacing w:val="-4"/>
          <w:kern w:val="24"/>
          <w:sz w:val="24"/>
          <w:szCs w:val="24"/>
        </w:rPr>
        <w:t xml:space="preserve"> Djamila et </w:t>
      </w:r>
      <w:r w:rsidRPr="00DD05D8">
        <w:rPr>
          <w:rFonts w:asciiTheme="majorBidi" w:hAnsiTheme="majorBidi" w:cstheme="majorBidi"/>
          <w:smallCaps/>
          <w:spacing w:val="-4"/>
          <w:kern w:val="24"/>
          <w:sz w:val="24"/>
          <w:szCs w:val="24"/>
        </w:rPr>
        <w:t>Bouzar</w:t>
      </w:r>
      <w:r w:rsidRPr="00DD05D8">
        <w:rPr>
          <w:rFonts w:asciiTheme="majorBidi" w:hAnsiTheme="majorBidi" w:cstheme="majorBidi"/>
          <w:spacing w:val="-4"/>
          <w:kern w:val="24"/>
          <w:sz w:val="24"/>
          <w:szCs w:val="24"/>
        </w:rPr>
        <w:t xml:space="preserve"> Chabha, « </w:t>
      </w:r>
      <w:r w:rsidRPr="00DD05D8">
        <w:rPr>
          <w:rFonts w:asciiTheme="majorBidi" w:hAnsiTheme="majorBidi" w:cstheme="majorBidi"/>
          <w:spacing w:val="-4"/>
          <w:kern w:val="24"/>
          <w:sz w:val="24"/>
          <w:szCs w:val="24"/>
          <w:lang w:eastAsia="fr-FR"/>
        </w:rPr>
        <w:t>La titrisation : De la gestion du risque à l’instabilité financière », Revue DIRASSAT, N° 27A, Université de Laghouat, septembre 2016, pp. 373-394.</w:t>
      </w:r>
    </w:p>
    <w:p w14:paraId="1DCDA62C"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Serhal</w:t>
      </w:r>
      <w:r w:rsidRPr="00F634CD">
        <w:rPr>
          <w:rFonts w:asciiTheme="majorBidi" w:hAnsiTheme="majorBidi" w:cstheme="majorBidi"/>
          <w:kern w:val="24"/>
          <w:sz w:val="24"/>
          <w:szCs w:val="24"/>
        </w:rPr>
        <w:t xml:space="preserve"> Chucri, « Les prêts participatifs à l’heure de la finance islamique », Revue Banque Sratégie, N° 253, 2007, pp. 42-63.</w:t>
      </w:r>
    </w:p>
    <w:p w14:paraId="756C9BDB" w14:textId="77777777" w:rsidR="00A42833" w:rsidRPr="00DD05D8" w:rsidRDefault="00A42833" w:rsidP="00621FA2">
      <w:pPr>
        <w:tabs>
          <w:tab w:val="left" w:pos="0"/>
          <w:tab w:val="left" w:pos="284"/>
        </w:tabs>
        <w:autoSpaceDE w:val="0"/>
        <w:autoSpaceDN w:val="0"/>
        <w:adjustRightInd w:val="0"/>
        <w:spacing w:before="120"/>
        <w:rPr>
          <w:rFonts w:asciiTheme="majorBidi" w:hAnsiTheme="majorBidi" w:cstheme="majorBidi"/>
          <w:spacing w:val="-6"/>
          <w:kern w:val="24"/>
          <w:sz w:val="24"/>
          <w:szCs w:val="24"/>
          <w:lang w:val="en-US" w:eastAsia="fr-FR"/>
        </w:rPr>
      </w:pPr>
      <w:r w:rsidRPr="00DD05D8">
        <w:rPr>
          <w:rFonts w:asciiTheme="majorBidi" w:hAnsiTheme="majorBidi" w:cstheme="majorBidi"/>
          <w:smallCaps/>
          <w:spacing w:val="-6"/>
          <w:kern w:val="24"/>
          <w:sz w:val="24"/>
          <w:szCs w:val="24"/>
          <w:lang w:val="en-GB" w:eastAsia="fr-FR"/>
        </w:rPr>
        <w:t>Shaikh</w:t>
      </w:r>
      <w:r w:rsidRPr="00DD05D8">
        <w:rPr>
          <w:rFonts w:asciiTheme="majorBidi" w:hAnsiTheme="majorBidi" w:cstheme="majorBidi"/>
          <w:spacing w:val="-6"/>
          <w:kern w:val="24"/>
          <w:sz w:val="24"/>
          <w:szCs w:val="24"/>
          <w:lang w:val="en-GB" w:eastAsia="fr-FR"/>
        </w:rPr>
        <w:t xml:space="preserve"> Salman A and </w:t>
      </w:r>
      <w:r w:rsidRPr="00DD05D8">
        <w:rPr>
          <w:rFonts w:asciiTheme="majorBidi" w:hAnsiTheme="majorBidi" w:cstheme="majorBidi"/>
          <w:smallCaps/>
          <w:spacing w:val="-6"/>
          <w:kern w:val="24"/>
          <w:sz w:val="24"/>
          <w:szCs w:val="24"/>
          <w:lang w:val="en-US" w:eastAsia="fr-FR"/>
        </w:rPr>
        <w:t>Jalbani</w:t>
      </w:r>
      <w:r w:rsidRPr="00DD05D8">
        <w:rPr>
          <w:rFonts w:asciiTheme="majorBidi" w:hAnsiTheme="majorBidi" w:cstheme="majorBidi"/>
          <w:spacing w:val="-6"/>
          <w:kern w:val="24"/>
          <w:sz w:val="24"/>
          <w:szCs w:val="24"/>
          <w:lang w:val="en-US" w:eastAsia="fr-FR"/>
        </w:rPr>
        <w:t xml:space="preserve"> Amanat A, </w:t>
      </w:r>
      <w:r w:rsidRPr="00DD05D8">
        <w:rPr>
          <w:rFonts w:asciiTheme="majorBidi" w:hAnsiTheme="majorBidi" w:cstheme="majorBidi"/>
          <w:spacing w:val="-6"/>
          <w:kern w:val="24"/>
          <w:sz w:val="24"/>
          <w:szCs w:val="24"/>
          <w:lang w:val="en-US"/>
        </w:rPr>
        <w:t>“</w:t>
      </w:r>
      <w:r w:rsidRPr="00DD05D8">
        <w:rPr>
          <w:rFonts w:asciiTheme="majorBidi" w:hAnsiTheme="majorBidi" w:cstheme="majorBidi"/>
          <w:spacing w:val="-6"/>
          <w:kern w:val="24"/>
          <w:sz w:val="24"/>
          <w:szCs w:val="24"/>
          <w:lang w:val="en-US" w:eastAsia="fr-FR"/>
        </w:rPr>
        <w:t>Risk Management in Islamic and Conventional Banks: A Differential Analysis”</w:t>
      </w:r>
      <w:r w:rsidRPr="00DD05D8">
        <w:rPr>
          <w:rFonts w:asciiTheme="majorBidi" w:hAnsiTheme="majorBidi" w:cstheme="majorBidi"/>
          <w:spacing w:val="-6"/>
          <w:kern w:val="24"/>
          <w:sz w:val="24"/>
          <w:szCs w:val="24"/>
          <w:lang w:val="en-US"/>
        </w:rPr>
        <w:t xml:space="preserve">, </w:t>
      </w:r>
      <w:r w:rsidRPr="00DD05D8">
        <w:rPr>
          <w:rFonts w:asciiTheme="majorBidi" w:hAnsiTheme="majorBidi" w:cstheme="majorBidi"/>
          <w:spacing w:val="-6"/>
          <w:kern w:val="24"/>
          <w:sz w:val="24"/>
          <w:szCs w:val="24"/>
          <w:lang w:val="en-US" w:eastAsia="fr-FR"/>
        </w:rPr>
        <w:t>Journal of Independent Studies &amp; Research, Vol 7, N° 2, 2008, pp. 67-79.</w:t>
      </w:r>
    </w:p>
    <w:p w14:paraId="62A41166"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GB"/>
        </w:rPr>
        <w:t>Sharpe</w:t>
      </w:r>
      <w:r w:rsidRPr="00F634CD">
        <w:rPr>
          <w:rFonts w:asciiTheme="majorBidi" w:hAnsiTheme="majorBidi" w:cstheme="majorBidi"/>
          <w:kern w:val="24"/>
          <w:sz w:val="24"/>
          <w:szCs w:val="24"/>
          <w:lang w:val="en-GB"/>
        </w:rPr>
        <w:t xml:space="preserve"> Steven A, “Asymmetric Information, Bank Lending and Implicit Contracts: A Stylized Model of Customer Relationships”, Journal of Finance, Vol 45, Issue 4, September 1990, pp. 1069-1087.</w:t>
      </w:r>
    </w:p>
    <w:p w14:paraId="4B3C652C"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 xml:space="preserve">Siddiqi </w:t>
      </w:r>
      <w:r w:rsidRPr="00F634CD">
        <w:rPr>
          <w:rFonts w:asciiTheme="majorBidi" w:hAnsiTheme="majorBidi" w:cstheme="majorBidi"/>
          <w:kern w:val="24"/>
          <w:sz w:val="24"/>
          <w:szCs w:val="24"/>
          <w:lang w:val="en-GB"/>
        </w:rPr>
        <w:t>Muhammad Nejatullah, “Islamic Banking: Principles, Precepts and Prospects”, Journal of King Abdulaziz University, Islamic Economics, Vol 10, 1998, pp. 43-60.</w:t>
      </w:r>
    </w:p>
    <w:p w14:paraId="67023122"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GB"/>
        </w:rPr>
      </w:pPr>
      <w:r w:rsidRPr="00F634CD">
        <w:rPr>
          <w:rFonts w:asciiTheme="majorBidi" w:hAnsiTheme="majorBidi" w:cstheme="majorBidi"/>
          <w:smallCaps/>
          <w:color w:val="auto"/>
          <w:kern w:val="24"/>
          <w:lang w:val="en-GB"/>
        </w:rPr>
        <w:t xml:space="preserve">Siddiqi </w:t>
      </w:r>
      <w:r w:rsidRPr="00F634CD">
        <w:rPr>
          <w:rFonts w:asciiTheme="majorBidi" w:hAnsiTheme="majorBidi" w:cstheme="majorBidi"/>
          <w:color w:val="auto"/>
          <w:kern w:val="24"/>
          <w:lang w:val="en-GB"/>
        </w:rPr>
        <w:t>Muhammad Nejatullah, “Current Financial Crisis and Islamic Economics”, Working paper, Aligarh, India, 2008, pp, 141-150.</w:t>
      </w:r>
    </w:p>
    <w:p w14:paraId="5A23D19F"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Smith</w:t>
      </w:r>
      <w:r w:rsidRPr="00F634CD">
        <w:rPr>
          <w:rFonts w:asciiTheme="majorBidi" w:hAnsiTheme="majorBidi" w:cstheme="majorBidi"/>
          <w:kern w:val="24"/>
          <w:sz w:val="24"/>
          <w:szCs w:val="24"/>
        </w:rPr>
        <w:t xml:space="preserve"> Herbert, « Guide de la finance islamique », Groupe de la Finance Islamique, Paris, 2009, 30 p.</w:t>
      </w:r>
    </w:p>
    <w:p w14:paraId="2B2DACA9"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Sudin</w:t>
      </w:r>
      <w:r w:rsidRPr="00F634CD">
        <w:rPr>
          <w:rFonts w:asciiTheme="majorBidi" w:hAnsiTheme="majorBidi" w:cstheme="majorBidi"/>
          <w:kern w:val="24"/>
          <w:sz w:val="24"/>
          <w:szCs w:val="24"/>
          <w:lang w:val="en-US" w:eastAsia="fr-FR"/>
        </w:rPr>
        <w:t xml:space="preserve"> Haron and </w:t>
      </w:r>
      <w:r w:rsidRPr="00F634CD">
        <w:rPr>
          <w:rFonts w:asciiTheme="majorBidi" w:hAnsiTheme="majorBidi" w:cstheme="majorBidi"/>
          <w:smallCaps/>
          <w:kern w:val="24"/>
          <w:sz w:val="24"/>
          <w:szCs w:val="24"/>
          <w:lang w:val="en-US" w:eastAsia="fr-FR"/>
        </w:rPr>
        <w:t>Norafifah</w:t>
      </w:r>
      <w:r w:rsidRPr="00F634CD">
        <w:rPr>
          <w:rFonts w:asciiTheme="majorBidi" w:hAnsiTheme="majorBidi" w:cstheme="majorBidi"/>
          <w:kern w:val="24"/>
          <w:sz w:val="24"/>
          <w:szCs w:val="24"/>
          <w:lang w:val="en-US" w:eastAsia="fr-FR"/>
        </w:rPr>
        <w:t xml:space="preserve"> Ahmad, </w:t>
      </w:r>
      <w:r w:rsidRPr="00F634CD">
        <w:rPr>
          <w:rFonts w:asciiTheme="majorBidi" w:hAnsiTheme="majorBidi" w:cstheme="majorBidi"/>
          <w:kern w:val="24"/>
          <w:sz w:val="24"/>
          <w:szCs w:val="24"/>
          <w:lang w:val="en-US"/>
        </w:rPr>
        <w:t xml:space="preserve">“The effects of conventional interest rates and rate of profit on funds deposited with islamic banking system in Malaysia”, </w:t>
      </w:r>
      <w:r w:rsidRPr="00F634CD">
        <w:rPr>
          <w:rFonts w:asciiTheme="majorBidi" w:hAnsiTheme="majorBidi" w:cstheme="majorBidi"/>
          <w:kern w:val="24"/>
          <w:sz w:val="24"/>
          <w:szCs w:val="24"/>
          <w:lang w:val="en-GB" w:eastAsia="fr-FR"/>
        </w:rPr>
        <w:t>International Journal of Islamic Financial Services, Vol 1, N°4, 2000, pp. 1-7.</w:t>
      </w:r>
    </w:p>
    <w:p w14:paraId="12459874"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Sundararajan</w:t>
      </w:r>
      <w:r w:rsidRPr="00F634CD">
        <w:rPr>
          <w:rFonts w:asciiTheme="majorBidi" w:hAnsiTheme="majorBidi" w:cstheme="majorBidi"/>
          <w:kern w:val="24"/>
          <w:sz w:val="24"/>
          <w:szCs w:val="24"/>
          <w:lang w:val="en-US" w:eastAsia="fr-FR"/>
        </w:rPr>
        <w:t xml:space="preserve"> Vijay and </w:t>
      </w:r>
      <w:r w:rsidRPr="00F634CD">
        <w:rPr>
          <w:rFonts w:asciiTheme="majorBidi" w:hAnsiTheme="majorBidi" w:cstheme="majorBidi"/>
          <w:smallCaps/>
          <w:kern w:val="24"/>
          <w:sz w:val="24"/>
          <w:szCs w:val="24"/>
          <w:lang w:val="en-US" w:eastAsia="fr-FR"/>
        </w:rPr>
        <w:t>Errico</w:t>
      </w:r>
      <w:r w:rsidRPr="00F634CD">
        <w:rPr>
          <w:rFonts w:asciiTheme="majorBidi" w:hAnsiTheme="majorBidi" w:cstheme="majorBidi"/>
          <w:kern w:val="24"/>
          <w:sz w:val="24"/>
          <w:szCs w:val="24"/>
          <w:lang w:val="en-US" w:eastAsia="fr-FR"/>
        </w:rPr>
        <w:t xml:space="preserve"> Luca, “Islamic Financial Institutions and Products in the Global Financial System: Key Issues in Risk Management and Challenges Ahead”, IMF Working Paper, </w:t>
      </w:r>
      <w:r w:rsidRPr="00F634CD">
        <w:rPr>
          <w:rFonts w:asciiTheme="majorBidi" w:hAnsiTheme="majorBidi" w:cstheme="majorBidi"/>
          <w:kern w:val="24"/>
          <w:sz w:val="24"/>
          <w:szCs w:val="24"/>
          <w:lang w:val="en-GB" w:eastAsia="fr-FR"/>
        </w:rPr>
        <w:t>02/192, 2002, 27 p.</w:t>
      </w:r>
    </w:p>
    <w:p w14:paraId="12F65171" w14:textId="0A8E063B" w:rsidR="00A42833" w:rsidRPr="00DD05D8" w:rsidRDefault="00A42833" w:rsidP="00621FA2">
      <w:pPr>
        <w:tabs>
          <w:tab w:val="left" w:pos="0"/>
          <w:tab w:val="left" w:pos="284"/>
        </w:tabs>
        <w:autoSpaceDE w:val="0"/>
        <w:autoSpaceDN w:val="0"/>
        <w:adjustRightInd w:val="0"/>
        <w:spacing w:before="120"/>
        <w:rPr>
          <w:rFonts w:asciiTheme="majorBidi" w:hAnsiTheme="majorBidi" w:cstheme="majorBidi"/>
          <w:spacing w:val="-2"/>
          <w:kern w:val="24"/>
          <w:sz w:val="24"/>
          <w:szCs w:val="24"/>
          <w:lang w:val="en-US" w:eastAsia="fr-FR"/>
        </w:rPr>
      </w:pPr>
      <w:r w:rsidRPr="00DD05D8">
        <w:rPr>
          <w:rFonts w:asciiTheme="majorBidi" w:hAnsiTheme="majorBidi" w:cstheme="majorBidi"/>
          <w:smallCaps/>
          <w:spacing w:val="-2"/>
          <w:kern w:val="24"/>
          <w:sz w:val="24"/>
          <w:szCs w:val="24"/>
          <w:lang w:val="en-US" w:eastAsia="fr-FR"/>
        </w:rPr>
        <w:t>Sundararajan</w:t>
      </w:r>
      <w:r w:rsidRPr="00DD05D8">
        <w:rPr>
          <w:rFonts w:asciiTheme="majorBidi" w:hAnsiTheme="majorBidi" w:cstheme="majorBidi"/>
          <w:spacing w:val="-2"/>
          <w:kern w:val="24"/>
          <w:sz w:val="24"/>
          <w:szCs w:val="24"/>
          <w:lang w:val="en-US" w:eastAsia="fr-FR"/>
        </w:rPr>
        <w:t xml:space="preserve"> Vijay, “</w:t>
      </w:r>
      <w:r w:rsidRPr="00DD05D8">
        <w:rPr>
          <w:rFonts w:asciiTheme="majorBidi" w:hAnsiTheme="majorBidi" w:cstheme="majorBidi"/>
          <w:spacing w:val="-2"/>
          <w:kern w:val="24"/>
          <w:sz w:val="24"/>
          <w:szCs w:val="24"/>
          <w:lang w:val="en-GB"/>
        </w:rPr>
        <w:t xml:space="preserve">Risk Measurement and Disclosure in Islamic Finance and the Implications of </w:t>
      </w:r>
      <w:r w:rsidR="000F58DB" w:rsidRPr="00DD05D8">
        <w:rPr>
          <w:rFonts w:asciiTheme="majorBidi" w:hAnsiTheme="majorBidi" w:cstheme="majorBidi"/>
          <w:spacing w:val="-2"/>
          <w:kern w:val="24"/>
          <w:sz w:val="24"/>
          <w:szCs w:val="24"/>
          <w:lang w:val="en-GB"/>
        </w:rPr>
        <w:t>Profit-Sharing</w:t>
      </w:r>
      <w:r w:rsidRPr="00DD05D8">
        <w:rPr>
          <w:rFonts w:asciiTheme="majorBidi" w:hAnsiTheme="majorBidi" w:cstheme="majorBidi"/>
          <w:spacing w:val="-2"/>
          <w:kern w:val="24"/>
          <w:sz w:val="24"/>
          <w:szCs w:val="24"/>
          <w:lang w:val="en-GB"/>
        </w:rPr>
        <w:t xml:space="preserve"> Investment Accounts”, Proceedings of the Sixth International Conference on Islamic Economics, Banking and Finance, Jakarta, Indonesia, 2005, pp. 113-146.</w:t>
      </w:r>
    </w:p>
    <w:p w14:paraId="0E9F117A"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US" w:eastAsia="fr-FR"/>
        </w:rPr>
        <w:t>Sundararajan</w:t>
      </w:r>
      <w:r w:rsidRPr="00F634CD">
        <w:rPr>
          <w:rFonts w:asciiTheme="majorBidi" w:hAnsiTheme="majorBidi" w:cstheme="majorBidi"/>
          <w:kern w:val="24"/>
          <w:sz w:val="24"/>
          <w:szCs w:val="24"/>
          <w:lang w:val="en-US" w:eastAsia="fr-FR"/>
        </w:rPr>
        <w:t xml:space="preserve"> Vijay,</w:t>
      </w:r>
      <w:r w:rsidRPr="00F634CD">
        <w:rPr>
          <w:rFonts w:asciiTheme="majorBidi" w:hAnsiTheme="majorBidi" w:cstheme="majorBidi"/>
          <w:kern w:val="24"/>
          <w:sz w:val="24"/>
          <w:szCs w:val="24"/>
          <w:lang w:val="en-GB" w:eastAsia="fr-FR"/>
        </w:rPr>
        <w:t xml:space="preserve"> “Issues in Managing Profit Equalisation Reserves and Investment Risk Reserves in Islamic Banks”, Journal of Islamic Economics, Banking and Finance, N°4, 2008, pp. 1-11.</w:t>
      </w:r>
    </w:p>
    <w:p w14:paraId="076E3C5B" w14:textId="071985A0" w:rsidR="00A42833" w:rsidRPr="00F634CD" w:rsidRDefault="00A42833" w:rsidP="00621FA2">
      <w:pPr>
        <w:pStyle w:val="Notedebasdepage"/>
        <w:spacing w:before="120" w:line="276" w:lineRule="auto"/>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Taleb</w:t>
      </w:r>
      <w:r w:rsidRPr="00F634CD">
        <w:rPr>
          <w:rFonts w:asciiTheme="majorBidi" w:hAnsiTheme="majorBidi" w:cstheme="majorBidi"/>
          <w:kern w:val="24"/>
          <w:sz w:val="24"/>
          <w:szCs w:val="24"/>
          <w:lang w:val="en-GB"/>
        </w:rPr>
        <w:t xml:space="preserve"> Safwan, « Hedging en finance islamique », Economie &amp; Finance, 2015, 17 p.</w:t>
      </w:r>
    </w:p>
    <w:p w14:paraId="2B0E2A0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Tariq</w:t>
      </w:r>
      <w:r w:rsidRPr="00F634CD">
        <w:rPr>
          <w:rFonts w:asciiTheme="majorBidi" w:hAnsiTheme="majorBidi" w:cstheme="majorBidi"/>
          <w:kern w:val="24"/>
          <w:sz w:val="24"/>
          <w:szCs w:val="24"/>
          <w:lang w:val="en-US"/>
        </w:rPr>
        <w:t xml:space="preserve"> Ali A, </w:t>
      </w:r>
      <w:r w:rsidRPr="00F634CD">
        <w:rPr>
          <w:rFonts w:asciiTheme="majorBidi" w:hAnsiTheme="majorBidi" w:cstheme="majorBidi"/>
          <w:kern w:val="24"/>
          <w:sz w:val="24"/>
          <w:szCs w:val="24"/>
          <w:lang w:val="en-US" w:eastAsia="fr-FR"/>
        </w:rPr>
        <w:t xml:space="preserve">“Managing financial risks of sukuk structures”, </w:t>
      </w:r>
      <w:r w:rsidRPr="00F634CD">
        <w:rPr>
          <w:rFonts w:asciiTheme="majorBidi" w:hAnsiTheme="majorBidi" w:cstheme="majorBidi"/>
          <w:kern w:val="24"/>
          <w:sz w:val="24"/>
          <w:szCs w:val="24"/>
          <w:lang w:val="en-US"/>
        </w:rPr>
        <w:t>A dissertation submitted in partial fulfilment of the requirements for the degree of Masters of Science at Loughborough University, UK, 2004, 86 p.</w:t>
      </w:r>
    </w:p>
    <w:p w14:paraId="596F2682" w14:textId="0591B1F2"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Tchankova</w:t>
      </w:r>
      <w:r w:rsidRPr="00F634CD">
        <w:rPr>
          <w:rFonts w:asciiTheme="majorBidi" w:hAnsiTheme="majorBidi" w:cstheme="majorBidi"/>
          <w:kern w:val="24"/>
          <w:sz w:val="24"/>
          <w:szCs w:val="24"/>
          <w:lang w:val="en-US" w:eastAsia="fr-FR"/>
        </w:rPr>
        <w:t xml:space="preserve"> Lubka, “Risk identification-basic stage in risk management”, Environmental Management and Health, Vol 13, N° 03, 2002, pp. 290-297.</w:t>
      </w:r>
    </w:p>
    <w:p w14:paraId="18252C8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Timothy</w:t>
      </w:r>
      <w:r w:rsidRPr="00F634CD">
        <w:rPr>
          <w:rFonts w:asciiTheme="majorBidi" w:hAnsiTheme="majorBidi" w:cstheme="majorBidi"/>
          <w:kern w:val="24"/>
          <w:sz w:val="24"/>
          <w:szCs w:val="24"/>
          <w:lang w:val="en-US"/>
        </w:rPr>
        <w:t xml:space="preserve"> Koch W et </w:t>
      </w:r>
      <w:r w:rsidRPr="00F634CD">
        <w:rPr>
          <w:rFonts w:asciiTheme="majorBidi" w:hAnsiTheme="majorBidi" w:cstheme="majorBidi"/>
          <w:smallCaps/>
          <w:kern w:val="24"/>
          <w:sz w:val="24"/>
          <w:szCs w:val="24"/>
          <w:lang w:val="en-US"/>
        </w:rPr>
        <w:t>Scott MacDonald</w:t>
      </w:r>
      <w:r w:rsidRPr="00F634CD">
        <w:rPr>
          <w:rFonts w:asciiTheme="majorBidi" w:hAnsiTheme="majorBidi" w:cstheme="majorBidi"/>
          <w:kern w:val="24"/>
          <w:sz w:val="24"/>
          <w:szCs w:val="24"/>
          <w:lang w:val="en-US"/>
        </w:rPr>
        <w:t xml:space="preserve"> S, </w:t>
      </w:r>
      <w:r w:rsidRPr="00F634CD">
        <w:rPr>
          <w:rFonts w:asciiTheme="majorBidi" w:hAnsiTheme="majorBidi" w:cstheme="majorBidi"/>
          <w:kern w:val="24"/>
          <w:sz w:val="24"/>
          <w:szCs w:val="24"/>
          <w:lang w:val="en-US" w:eastAsia="fr-FR"/>
        </w:rPr>
        <w:t>“</w:t>
      </w:r>
      <w:r w:rsidRPr="00F634CD">
        <w:rPr>
          <w:rFonts w:asciiTheme="majorBidi" w:hAnsiTheme="majorBidi" w:cstheme="majorBidi"/>
          <w:kern w:val="24"/>
          <w:sz w:val="24"/>
          <w:szCs w:val="24"/>
          <w:lang w:val="en-US"/>
        </w:rPr>
        <w:t>Managing interest rate risk; duration GAP and economic value of equity”</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US"/>
        </w:rPr>
        <w:t xml:space="preserve"> South-Western, 2006, 63 p.</w:t>
      </w:r>
    </w:p>
    <w:p w14:paraId="6529448D" w14:textId="4EE3C69A" w:rsidR="00A42833" w:rsidRPr="00F634CD" w:rsidRDefault="00A42833" w:rsidP="00621FA2">
      <w:pPr>
        <w:tabs>
          <w:tab w:val="left" w:pos="0"/>
          <w:tab w:val="left" w:pos="284"/>
        </w:tabs>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eastAsia="fr-FR"/>
        </w:rPr>
        <w:t>Toumi</w:t>
      </w:r>
      <w:r w:rsidRPr="00F634CD">
        <w:rPr>
          <w:rFonts w:asciiTheme="majorBidi" w:hAnsiTheme="majorBidi" w:cstheme="majorBidi"/>
          <w:kern w:val="24"/>
          <w:sz w:val="24"/>
          <w:szCs w:val="24"/>
          <w:lang w:val="en-US" w:eastAsia="fr-FR"/>
        </w:rPr>
        <w:t xml:space="preserve"> Kaouther, “Islamic </w:t>
      </w:r>
      <w:r w:rsidR="000F58DB" w:rsidRPr="00F634CD">
        <w:rPr>
          <w:rFonts w:asciiTheme="majorBidi" w:hAnsiTheme="majorBidi" w:cstheme="majorBidi"/>
          <w:kern w:val="24"/>
          <w:sz w:val="24"/>
          <w:szCs w:val="24"/>
          <w:lang w:val="en-US" w:eastAsia="fr-FR"/>
        </w:rPr>
        <w:t>banks</w:t>
      </w:r>
      <w:r w:rsidRPr="00F634CD">
        <w:rPr>
          <w:rFonts w:asciiTheme="majorBidi" w:hAnsiTheme="majorBidi" w:cstheme="majorBidi"/>
          <w:kern w:val="24"/>
          <w:sz w:val="24"/>
          <w:szCs w:val="24"/>
          <w:lang w:val="en-US" w:eastAsia="fr-FR"/>
        </w:rPr>
        <w:t xml:space="preserve"> exposure to displaced commercial risk: Identification and measure”</w:t>
      </w:r>
      <w:r w:rsidRPr="00F634CD">
        <w:rPr>
          <w:rFonts w:asciiTheme="majorBidi" w:hAnsiTheme="majorBidi" w:cstheme="majorBidi"/>
          <w:kern w:val="24"/>
          <w:sz w:val="24"/>
          <w:szCs w:val="24"/>
          <w:lang w:val="en-GB"/>
        </w:rPr>
        <w:t xml:space="preserve">, </w:t>
      </w:r>
      <w:r w:rsidRPr="00F634CD">
        <w:rPr>
          <w:rFonts w:asciiTheme="majorBidi" w:hAnsiTheme="majorBidi" w:cstheme="majorBidi"/>
          <w:kern w:val="24"/>
          <w:sz w:val="24"/>
          <w:szCs w:val="24"/>
          <w:lang w:val="en-US" w:eastAsia="fr-FR"/>
        </w:rPr>
        <w:t>Working Paper</w:t>
      </w:r>
      <w:r w:rsidRPr="00F634CD">
        <w:rPr>
          <w:rFonts w:asciiTheme="majorBidi" w:hAnsiTheme="majorBidi" w:cstheme="majorBidi"/>
          <w:kern w:val="24"/>
          <w:sz w:val="24"/>
          <w:szCs w:val="24"/>
          <w:lang w:val="en-GB" w:eastAsia="fr-FR"/>
        </w:rPr>
        <w:t>, Université Montpellier, 2008, 23 p.</w:t>
      </w:r>
    </w:p>
    <w:p w14:paraId="7B37C071" w14:textId="23D45861" w:rsidR="00A42833" w:rsidRPr="00F634CD" w:rsidRDefault="00A42833" w:rsidP="00621FA2">
      <w:pPr>
        <w:tabs>
          <w:tab w:val="left" w:pos="0"/>
          <w:tab w:val="left" w:pos="284"/>
        </w:tabs>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eastAsia="fr-FR"/>
        </w:rPr>
        <w:t>Toumi</w:t>
      </w:r>
      <w:r w:rsidRPr="00F634CD">
        <w:rPr>
          <w:rFonts w:asciiTheme="majorBidi" w:hAnsiTheme="majorBidi" w:cstheme="majorBidi"/>
          <w:kern w:val="24"/>
          <w:sz w:val="24"/>
          <w:szCs w:val="24"/>
          <w:lang w:eastAsia="fr-FR"/>
        </w:rPr>
        <w:t xml:space="preserve"> Kaouther et </w:t>
      </w:r>
      <w:r w:rsidRPr="00F634CD">
        <w:rPr>
          <w:rFonts w:asciiTheme="majorBidi" w:hAnsiTheme="majorBidi" w:cstheme="majorBidi"/>
          <w:smallCaps/>
          <w:kern w:val="24"/>
          <w:sz w:val="24"/>
          <w:szCs w:val="24"/>
          <w:lang w:eastAsia="fr-FR"/>
        </w:rPr>
        <w:t>Viviani</w:t>
      </w:r>
      <w:r w:rsidRPr="00F634CD">
        <w:rPr>
          <w:rFonts w:asciiTheme="majorBidi" w:hAnsiTheme="majorBidi" w:cstheme="majorBidi"/>
          <w:kern w:val="24"/>
          <w:sz w:val="24"/>
          <w:szCs w:val="24"/>
          <w:lang w:eastAsia="fr-FR"/>
        </w:rPr>
        <w:t xml:space="preserve"> Laurent J, « Le risqu</w:t>
      </w:r>
      <w:r w:rsidR="000F58DB">
        <w:rPr>
          <w:rFonts w:asciiTheme="majorBidi" w:hAnsiTheme="majorBidi" w:cstheme="majorBidi"/>
          <w:kern w:val="24"/>
          <w:sz w:val="24"/>
          <w:szCs w:val="24"/>
          <w:lang w:eastAsia="fr-FR"/>
        </w:rPr>
        <w:t>e</w:t>
      </w:r>
      <w:r w:rsidRPr="00F634CD">
        <w:rPr>
          <w:rFonts w:asciiTheme="majorBidi" w:hAnsiTheme="majorBidi" w:cstheme="majorBidi"/>
          <w:kern w:val="24"/>
          <w:sz w:val="24"/>
          <w:szCs w:val="24"/>
          <w:lang w:eastAsia="fr-FR"/>
        </w:rPr>
        <w:t xml:space="preserve"> lié aux comptes d’investissement participatifs : un risqué propre aux banques islamiques », Revue des Sciences de Gestion à paraître, 2013, pp. 131-142.</w:t>
      </w:r>
    </w:p>
    <w:p w14:paraId="24DEAC7C" w14:textId="77777777" w:rsidR="00A42833" w:rsidRPr="00F634CD" w:rsidRDefault="00A42833" w:rsidP="00621FA2">
      <w:pPr>
        <w:tabs>
          <w:tab w:val="left" w:pos="0"/>
          <w:tab w:val="left" w:pos="284"/>
        </w:tabs>
        <w:spacing w:before="12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Uberoi</w:t>
      </w:r>
      <w:r w:rsidRPr="00F634CD">
        <w:rPr>
          <w:rFonts w:asciiTheme="majorBidi" w:hAnsiTheme="majorBidi" w:cstheme="majorBidi"/>
          <w:kern w:val="24"/>
          <w:sz w:val="24"/>
          <w:szCs w:val="24"/>
          <w:lang w:val="en-GB"/>
        </w:rPr>
        <w:t xml:space="preserve"> Priya and </w:t>
      </w:r>
      <w:r w:rsidRPr="00F634CD">
        <w:rPr>
          <w:rFonts w:asciiTheme="majorBidi" w:hAnsiTheme="majorBidi" w:cstheme="majorBidi"/>
          <w:smallCaps/>
          <w:kern w:val="24"/>
          <w:sz w:val="24"/>
          <w:szCs w:val="24"/>
          <w:lang w:val="en-GB"/>
        </w:rPr>
        <w:t>Evans</w:t>
      </w:r>
      <w:r w:rsidRPr="00F634CD">
        <w:rPr>
          <w:rFonts w:asciiTheme="majorBidi" w:hAnsiTheme="majorBidi" w:cstheme="majorBidi"/>
          <w:kern w:val="24"/>
          <w:sz w:val="24"/>
          <w:szCs w:val="24"/>
          <w:lang w:val="en-GB"/>
        </w:rPr>
        <w:t xml:space="preserve"> Nick, “Profit rate swap”, 4th October edition of IFR Magazines, 2012, 7 p.</w:t>
      </w:r>
    </w:p>
    <w:p w14:paraId="0D8BC739" w14:textId="77777777" w:rsidR="00A42833" w:rsidRPr="00F634CD" w:rsidRDefault="00C40DAA"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hyperlink r:id="rId90" w:history="1">
        <w:r w:rsidR="00A42833" w:rsidRPr="00F634CD">
          <w:rPr>
            <w:rStyle w:val="sc-1bl2tmk-6"/>
            <w:rFonts w:asciiTheme="majorBidi" w:hAnsiTheme="majorBidi" w:cstheme="majorBidi"/>
            <w:smallCaps/>
            <w:kern w:val="24"/>
            <w:sz w:val="24"/>
            <w:szCs w:val="24"/>
            <w:shd w:val="clear" w:color="auto" w:fill="FFFFFF"/>
          </w:rPr>
          <w:t>Vidal</w:t>
        </w:r>
      </w:hyperlink>
      <w:r w:rsidR="00A42833" w:rsidRPr="00F634CD">
        <w:rPr>
          <w:rFonts w:asciiTheme="majorBidi" w:hAnsiTheme="majorBidi" w:cstheme="majorBidi"/>
          <w:kern w:val="24"/>
          <w:sz w:val="24"/>
          <w:szCs w:val="24"/>
        </w:rPr>
        <w:t xml:space="preserve"> François</w:t>
      </w:r>
      <w:r w:rsidR="00A42833" w:rsidRPr="00F634CD">
        <w:rPr>
          <w:rFonts w:asciiTheme="majorBidi" w:hAnsiTheme="majorBidi" w:cstheme="majorBidi"/>
          <w:kern w:val="24"/>
          <w:sz w:val="24"/>
          <w:szCs w:val="24"/>
          <w:shd w:val="clear" w:color="auto" w:fill="FFFFFF"/>
        </w:rPr>
        <w:t>,</w:t>
      </w:r>
      <w:hyperlink r:id="rId91" w:history="1">
        <w:r w:rsidR="00A42833" w:rsidRPr="00F634CD">
          <w:rPr>
            <w:rStyle w:val="sc-1bl2tmk-6"/>
            <w:rFonts w:asciiTheme="majorBidi" w:hAnsiTheme="majorBidi" w:cstheme="majorBidi"/>
            <w:kern w:val="24"/>
            <w:sz w:val="24"/>
            <w:szCs w:val="24"/>
            <w:shd w:val="clear" w:color="auto" w:fill="FFFFFF"/>
          </w:rPr>
          <w:t xml:space="preserve"> </w:t>
        </w:r>
        <w:r w:rsidR="00A42833" w:rsidRPr="00F634CD">
          <w:rPr>
            <w:rStyle w:val="sc-1bl2tmk-6"/>
            <w:rFonts w:asciiTheme="majorBidi" w:hAnsiTheme="majorBidi" w:cstheme="majorBidi"/>
            <w:smallCaps/>
            <w:kern w:val="24"/>
            <w:sz w:val="24"/>
            <w:szCs w:val="24"/>
            <w:shd w:val="clear" w:color="auto" w:fill="FFFFFF"/>
          </w:rPr>
          <w:t>Berny</w:t>
        </w:r>
      </w:hyperlink>
      <w:r w:rsidR="00A42833" w:rsidRPr="00F634CD">
        <w:rPr>
          <w:rFonts w:asciiTheme="majorBidi" w:hAnsiTheme="majorBidi" w:cstheme="majorBidi"/>
          <w:kern w:val="24"/>
          <w:sz w:val="24"/>
          <w:szCs w:val="24"/>
        </w:rPr>
        <w:t xml:space="preserve"> Laura</w:t>
      </w:r>
      <w:r w:rsidR="00A42833" w:rsidRPr="00F634CD">
        <w:rPr>
          <w:rFonts w:asciiTheme="majorBidi" w:hAnsiTheme="majorBidi" w:cstheme="majorBidi"/>
          <w:kern w:val="24"/>
          <w:sz w:val="24"/>
          <w:szCs w:val="24"/>
          <w:shd w:val="clear" w:color="auto" w:fill="FFFFFF"/>
        </w:rPr>
        <w:t xml:space="preserve"> et</w:t>
      </w:r>
      <w:hyperlink r:id="rId92" w:history="1">
        <w:r w:rsidR="00A42833" w:rsidRPr="00F634CD">
          <w:rPr>
            <w:rStyle w:val="sc-1bl2tmk-6"/>
            <w:rFonts w:asciiTheme="majorBidi" w:hAnsiTheme="majorBidi" w:cstheme="majorBidi"/>
            <w:kern w:val="24"/>
            <w:sz w:val="24"/>
            <w:szCs w:val="24"/>
            <w:shd w:val="clear" w:color="auto" w:fill="FFFFFF"/>
          </w:rPr>
          <w:t xml:space="preserve"> </w:t>
        </w:r>
        <w:r w:rsidR="00A42833" w:rsidRPr="00F634CD">
          <w:rPr>
            <w:rStyle w:val="sc-1bl2tmk-6"/>
            <w:rFonts w:asciiTheme="majorBidi" w:hAnsiTheme="majorBidi" w:cstheme="majorBidi"/>
            <w:smallCaps/>
            <w:kern w:val="24"/>
            <w:sz w:val="24"/>
            <w:szCs w:val="24"/>
            <w:shd w:val="clear" w:color="auto" w:fill="FFFFFF"/>
          </w:rPr>
          <w:t>Reibaud</w:t>
        </w:r>
      </w:hyperlink>
      <w:r w:rsidR="00A42833" w:rsidRPr="00F634CD">
        <w:rPr>
          <w:rFonts w:asciiTheme="majorBidi" w:hAnsiTheme="majorBidi" w:cstheme="majorBidi"/>
          <w:kern w:val="24"/>
          <w:sz w:val="24"/>
          <w:szCs w:val="24"/>
        </w:rPr>
        <w:t xml:space="preserve"> Réjane</w:t>
      </w:r>
      <w:r w:rsidR="00A42833" w:rsidRPr="00F634CD">
        <w:rPr>
          <w:rFonts w:asciiTheme="majorBidi" w:hAnsiTheme="majorBidi" w:cstheme="majorBidi"/>
          <w:kern w:val="24"/>
          <w:sz w:val="24"/>
          <w:szCs w:val="24"/>
          <w:lang w:eastAsia="fr-FR"/>
        </w:rPr>
        <w:t xml:space="preserve">, </w:t>
      </w:r>
      <w:r w:rsidR="00A42833" w:rsidRPr="00F634CD">
        <w:rPr>
          <w:rFonts w:asciiTheme="majorBidi" w:hAnsiTheme="majorBidi" w:cstheme="majorBidi"/>
          <w:kern w:val="24"/>
          <w:sz w:val="24"/>
          <w:szCs w:val="24"/>
        </w:rPr>
        <w:t>« </w:t>
      </w:r>
      <w:r w:rsidR="00A42833" w:rsidRPr="00F634CD">
        <w:rPr>
          <w:rFonts w:asciiTheme="majorBidi" w:hAnsiTheme="majorBidi" w:cstheme="majorBidi"/>
          <w:kern w:val="24"/>
          <w:sz w:val="24"/>
          <w:szCs w:val="24"/>
          <w:lang w:eastAsia="fr-FR"/>
        </w:rPr>
        <w:t xml:space="preserve">Les réformes de bale III ; un vrai new deal bancaire », </w:t>
      </w:r>
      <w:r w:rsidR="00A42833" w:rsidRPr="00F634CD">
        <w:rPr>
          <w:rFonts w:asciiTheme="majorBidi" w:hAnsiTheme="majorBidi" w:cstheme="majorBidi"/>
          <w:kern w:val="24"/>
          <w:sz w:val="24"/>
          <w:szCs w:val="24"/>
        </w:rPr>
        <w:t>Les Échos, 21 septembre 2010.</w:t>
      </w:r>
    </w:p>
    <w:p w14:paraId="466695B2"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rPr>
      </w:pPr>
      <w:r w:rsidRPr="00F634CD">
        <w:rPr>
          <w:rFonts w:asciiTheme="majorBidi" w:hAnsiTheme="majorBidi" w:cstheme="majorBidi"/>
          <w:smallCaps/>
          <w:kern w:val="24"/>
          <w:sz w:val="24"/>
          <w:szCs w:val="24"/>
        </w:rPr>
        <w:t>Vo thi</w:t>
      </w:r>
      <w:r w:rsidRPr="00F634CD">
        <w:rPr>
          <w:rFonts w:asciiTheme="majorBidi" w:hAnsiTheme="majorBidi" w:cstheme="majorBidi"/>
          <w:kern w:val="24"/>
          <w:sz w:val="24"/>
          <w:szCs w:val="24"/>
        </w:rPr>
        <w:t xml:space="preserve"> Phuong Nga, « Tarification du crédit : qu’apporte le nouveau ratio de solvabilité ? », Université d'Orléans, Faculté de Droit, d'Économie et de Gestion, 2004, 16 p.</w:t>
      </w:r>
    </w:p>
    <w:p w14:paraId="246A7DA6" w14:textId="77777777" w:rsidR="000F58DB"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rPr>
      </w:pPr>
      <w:r w:rsidRPr="007D43B4">
        <w:rPr>
          <w:rFonts w:asciiTheme="majorBidi" w:hAnsiTheme="majorBidi" w:cstheme="majorBidi"/>
          <w:smallCaps/>
          <w:kern w:val="24"/>
          <w:sz w:val="24"/>
          <w:szCs w:val="24"/>
        </w:rPr>
        <w:t>Warde</w:t>
      </w:r>
      <w:r w:rsidRPr="007D43B4">
        <w:rPr>
          <w:rFonts w:asciiTheme="majorBidi" w:hAnsiTheme="majorBidi" w:cstheme="majorBidi"/>
          <w:kern w:val="24"/>
          <w:sz w:val="24"/>
          <w:szCs w:val="24"/>
        </w:rPr>
        <w:t xml:space="preserve"> Ibrahim, « Paradoxes de la finance islamique »,</w:t>
      </w:r>
    </w:p>
    <w:p w14:paraId="6889AC26" w14:textId="3E87129D" w:rsidR="00A42833" w:rsidRPr="00F634CD" w:rsidRDefault="00C40DAA" w:rsidP="000F58DB">
      <w:pPr>
        <w:tabs>
          <w:tab w:val="left" w:pos="0"/>
          <w:tab w:val="left" w:pos="284"/>
        </w:tabs>
        <w:autoSpaceDE w:val="0"/>
        <w:autoSpaceDN w:val="0"/>
        <w:adjustRightInd w:val="0"/>
        <w:rPr>
          <w:rFonts w:asciiTheme="majorBidi" w:hAnsiTheme="majorBidi" w:cstheme="majorBidi"/>
          <w:kern w:val="24"/>
          <w:sz w:val="24"/>
          <w:szCs w:val="24"/>
        </w:rPr>
      </w:pPr>
      <w:hyperlink r:id="rId93" w:history="1">
        <w:r w:rsidR="000F58DB" w:rsidRPr="003F3440">
          <w:rPr>
            <w:rStyle w:val="Lienhypertexte"/>
            <w:rFonts w:asciiTheme="majorBidi" w:hAnsiTheme="majorBidi" w:cstheme="majorBidi"/>
            <w:kern w:val="24"/>
            <w:sz w:val="24"/>
            <w:szCs w:val="24"/>
          </w:rPr>
          <w:t>https://www.monde-diplomatique.fr/2001/09/WARDE/7797</w:t>
        </w:r>
      </w:hyperlink>
      <w:r w:rsidR="00A42833" w:rsidRPr="00F634CD">
        <w:rPr>
          <w:rFonts w:asciiTheme="majorBidi" w:hAnsiTheme="majorBidi" w:cstheme="majorBidi"/>
          <w:kern w:val="24"/>
          <w:sz w:val="24"/>
          <w:szCs w:val="24"/>
        </w:rPr>
        <w:t>, Septembre 2001.</w:t>
      </w:r>
    </w:p>
    <w:p w14:paraId="049E0985" w14:textId="1BE28637" w:rsidR="00A42833" w:rsidRPr="00F634CD" w:rsidRDefault="00A42833" w:rsidP="00621FA2">
      <w:pPr>
        <w:pStyle w:val="Notedebasdepage"/>
        <w:tabs>
          <w:tab w:val="left" w:pos="0"/>
          <w:tab w:val="left" w:pos="284"/>
        </w:tabs>
        <w:spacing w:before="120" w:line="276" w:lineRule="auto"/>
        <w:rPr>
          <w:rFonts w:asciiTheme="majorBidi" w:hAnsiTheme="majorBidi" w:cstheme="majorBidi"/>
          <w:kern w:val="24"/>
          <w:sz w:val="24"/>
          <w:szCs w:val="24"/>
          <w:lang w:val="en-GB"/>
        </w:rPr>
      </w:pPr>
      <w:r w:rsidRPr="00F634CD">
        <w:rPr>
          <w:rFonts w:asciiTheme="majorBidi" w:hAnsiTheme="majorBidi" w:cstheme="majorBidi"/>
          <w:iCs/>
          <w:smallCaps/>
          <w:kern w:val="24"/>
          <w:sz w:val="24"/>
          <w:szCs w:val="24"/>
          <w:lang w:val="en-GB"/>
        </w:rPr>
        <w:t>Weill</w:t>
      </w:r>
      <w:r w:rsidRPr="00F634CD">
        <w:rPr>
          <w:rFonts w:asciiTheme="majorBidi" w:hAnsiTheme="majorBidi" w:cstheme="majorBidi"/>
          <w:iCs/>
          <w:kern w:val="24"/>
          <w:sz w:val="24"/>
          <w:szCs w:val="24"/>
          <w:lang w:val="en-GB"/>
        </w:rPr>
        <w:t xml:space="preserve"> Laurent, “Do </w:t>
      </w:r>
      <w:r w:rsidR="000F58DB" w:rsidRPr="00F634CD">
        <w:rPr>
          <w:rFonts w:asciiTheme="majorBidi" w:hAnsiTheme="majorBidi" w:cstheme="majorBidi"/>
          <w:iCs/>
          <w:kern w:val="24"/>
          <w:sz w:val="24"/>
          <w:szCs w:val="24"/>
          <w:lang w:val="en-GB"/>
        </w:rPr>
        <w:t>Islamic</w:t>
      </w:r>
      <w:r w:rsidRPr="00F634CD">
        <w:rPr>
          <w:rFonts w:asciiTheme="majorBidi" w:hAnsiTheme="majorBidi" w:cstheme="majorBidi"/>
          <w:iCs/>
          <w:kern w:val="24"/>
          <w:sz w:val="24"/>
          <w:szCs w:val="24"/>
          <w:lang w:val="en-GB"/>
        </w:rPr>
        <w:t xml:space="preserve"> banks have greater market power?”, BOFIT Discussion Paper, Bank of Finland, 2010, 25 p.</w:t>
      </w:r>
    </w:p>
    <w:p w14:paraId="3DDFF361" w14:textId="7777777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GB"/>
        </w:rPr>
      </w:pPr>
      <w:r w:rsidRPr="00F634CD">
        <w:rPr>
          <w:rFonts w:asciiTheme="majorBidi" w:hAnsiTheme="majorBidi" w:cstheme="majorBidi"/>
          <w:smallCaps/>
          <w:color w:val="auto"/>
          <w:kern w:val="24"/>
          <w:lang w:val="en-US"/>
        </w:rPr>
        <w:t>Wibier</w:t>
      </w:r>
      <w:r w:rsidRPr="00F634CD">
        <w:rPr>
          <w:rFonts w:asciiTheme="majorBidi" w:hAnsiTheme="majorBidi" w:cstheme="majorBidi"/>
          <w:color w:val="auto"/>
          <w:kern w:val="24"/>
          <w:lang w:val="en-US"/>
        </w:rPr>
        <w:t xml:space="preserve"> R M and </w:t>
      </w:r>
      <w:r w:rsidRPr="00F634CD">
        <w:rPr>
          <w:rFonts w:asciiTheme="majorBidi" w:hAnsiTheme="majorBidi" w:cstheme="majorBidi"/>
          <w:smallCaps/>
          <w:color w:val="auto"/>
          <w:kern w:val="24"/>
          <w:lang w:val="en-US"/>
        </w:rPr>
        <w:t>Salah</w:t>
      </w:r>
      <w:r w:rsidRPr="00F634CD">
        <w:rPr>
          <w:rFonts w:asciiTheme="majorBidi" w:hAnsiTheme="majorBidi" w:cstheme="majorBidi"/>
          <w:color w:val="auto"/>
          <w:kern w:val="24"/>
          <w:lang w:val="en-US"/>
        </w:rPr>
        <w:t xml:space="preserve"> O, “The credit crunch and islamic finance: </w:t>
      </w:r>
      <w:r w:rsidRPr="000F58DB">
        <w:rPr>
          <w:rFonts w:asciiTheme="majorBidi" w:hAnsiTheme="majorBidi" w:cstheme="majorBidi"/>
          <w:i/>
          <w:iCs/>
          <w:color w:val="auto"/>
          <w:kern w:val="24"/>
          <w:lang w:val="en-US"/>
        </w:rPr>
        <w:t>Shari’ah</w:t>
      </w:r>
      <w:r w:rsidRPr="00F634CD">
        <w:rPr>
          <w:rFonts w:asciiTheme="majorBidi" w:hAnsiTheme="majorBidi" w:cstheme="majorBidi"/>
          <w:color w:val="auto"/>
          <w:kern w:val="24"/>
          <w:lang w:val="en-US"/>
        </w:rPr>
        <w:t>-</w:t>
      </w:r>
      <w:r w:rsidRPr="000F58DB">
        <w:rPr>
          <w:rFonts w:asciiTheme="majorBidi" w:hAnsiTheme="majorBidi" w:cstheme="majorBidi"/>
          <w:i/>
          <w:iCs/>
          <w:color w:val="auto"/>
          <w:kern w:val="24"/>
          <w:lang w:val="en-US"/>
        </w:rPr>
        <w:t>compliant</w:t>
      </w:r>
      <w:r w:rsidRPr="00F634CD">
        <w:rPr>
          <w:rFonts w:asciiTheme="majorBidi" w:hAnsiTheme="majorBidi" w:cstheme="majorBidi"/>
          <w:color w:val="auto"/>
          <w:kern w:val="24"/>
          <w:lang w:val="en-US"/>
        </w:rPr>
        <w:t xml:space="preserve"> finance against the backdrop of the credit crisis”, TISCO Working Paper Series on Banking, Finance and Services, N°1, 2011, pp. 509-515.</w:t>
      </w:r>
    </w:p>
    <w:p w14:paraId="5388B5B1" w14:textId="29070027" w:rsidR="00A42833" w:rsidRPr="00F634CD" w:rsidRDefault="00A42833" w:rsidP="00621FA2">
      <w:pPr>
        <w:pStyle w:val="Default"/>
        <w:tabs>
          <w:tab w:val="left" w:pos="0"/>
          <w:tab w:val="left" w:pos="284"/>
        </w:tabs>
        <w:spacing w:before="120" w:line="276" w:lineRule="auto"/>
        <w:rPr>
          <w:rFonts w:asciiTheme="majorBidi" w:hAnsiTheme="majorBidi" w:cstheme="majorBidi"/>
          <w:color w:val="auto"/>
          <w:kern w:val="24"/>
          <w:lang w:val="en-GB"/>
        </w:rPr>
      </w:pPr>
      <w:r w:rsidRPr="00F634CD">
        <w:rPr>
          <w:rFonts w:asciiTheme="majorBidi" w:hAnsiTheme="majorBidi" w:cstheme="majorBidi"/>
          <w:smallCaps/>
          <w:color w:val="auto"/>
          <w:kern w:val="24"/>
          <w:lang w:val="en-GB"/>
        </w:rPr>
        <w:t>Wilson</w:t>
      </w:r>
      <w:r w:rsidRPr="00F634CD">
        <w:rPr>
          <w:rFonts w:asciiTheme="majorBidi" w:hAnsiTheme="majorBidi" w:cstheme="majorBidi"/>
          <w:color w:val="auto"/>
          <w:kern w:val="24"/>
          <w:lang w:val="en-GB"/>
        </w:rPr>
        <w:t xml:space="preserve"> Rodney, “The interface between </w:t>
      </w:r>
      <w:r w:rsidR="000F58DB" w:rsidRPr="00F634CD">
        <w:rPr>
          <w:rFonts w:asciiTheme="majorBidi" w:hAnsiTheme="majorBidi" w:cstheme="majorBidi"/>
          <w:color w:val="auto"/>
          <w:kern w:val="24"/>
          <w:lang w:val="en-GB"/>
        </w:rPr>
        <w:t>Islamic</w:t>
      </w:r>
      <w:r w:rsidRPr="00F634CD">
        <w:rPr>
          <w:rFonts w:asciiTheme="majorBidi" w:hAnsiTheme="majorBidi" w:cstheme="majorBidi"/>
          <w:color w:val="auto"/>
          <w:kern w:val="24"/>
          <w:lang w:val="en-GB"/>
        </w:rPr>
        <w:t xml:space="preserve"> and conventional banking”, In: Munawar Iqbal and David T Llewellyn, (2002), “Islamic Banking and Finance, New Perspectives on Profit-Sharing and Risk”, ed Edward Elgar, UK, MA, USA, pp. 196-218.</w:t>
      </w:r>
    </w:p>
    <w:p w14:paraId="3EAF1EE4" w14:textId="2F96D8B0" w:rsidR="00A42833" w:rsidRPr="00DD05D8" w:rsidRDefault="00A42833" w:rsidP="00621FA2">
      <w:pPr>
        <w:pStyle w:val="Default"/>
        <w:tabs>
          <w:tab w:val="left" w:pos="0"/>
          <w:tab w:val="left" w:pos="284"/>
        </w:tabs>
        <w:spacing w:before="120" w:line="276" w:lineRule="auto"/>
        <w:rPr>
          <w:rFonts w:asciiTheme="majorBidi" w:hAnsiTheme="majorBidi" w:cstheme="majorBidi"/>
          <w:color w:val="auto"/>
          <w:spacing w:val="-4"/>
          <w:kern w:val="24"/>
          <w:lang w:val="en-GB"/>
        </w:rPr>
      </w:pPr>
      <w:r w:rsidRPr="00DD05D8">
        <w:rPr>
          <w:rFonts w:asciiTheme="majorBidi" w:hAnsiTheme="majorBidi" w:cstheme="majorBidi"/>
          <w:smallCaps/>
          <w:color w:val="auto"/>
          <w:spacing w:val="-4"/>
          <w:kern w:val="24"/>
          <w:lang w:val="en-GB"/>
        </w:rPr>
        <w:t>Yousef</w:t>
      </w:r>
      <w:r w:rsidRPr="00DD05D8">
        <w:rPr>
          <w:rFonts w:asciiTheme="majorBidi" w:hAnsiTheme="majorBidi" w:cstheme="majorBidi"/>
          <w:color w:val="auto"/>
          <w:spacing w:val="-4"/>
          <w:kern w:val="24"/>
          <w:lang w:val="en-GB"/>
        </w:rPr>
        <w:t xml:space="preserve"> Tarik M, “The Murabaha Syndrome in Islamic Finance: Laws, Institutions and Politics”, Dans: </w:t>
      </w:r>
      <w:r w:rsidR="000F58DB">
        <w:rPr>
          <w:rFonts w:asciiTheme="majorBidi" w:hAnsiTheme="majorBidi" w:cstheme="majorBidi"/>
          <w:color w:val="auto"/>
          <w:spacing w:val="-4"/>
          <w:kern w:val="24"/>
          <w:lang w:val="en-GB"/>
        </w:rPr>
        <w:t>“</w:t>
      </w:r>
      <w:r w:rsidRPr="00DD05D8">
        <w:rPr>
          <w:rFonts w:asciiTheme="majorBidi" w:hAnsiTheme="majorBidi" w:cstheme="majorBidi"/>
          <w:color w:val="auto"/>
          <w:spacing w:val="-4"/>
          <w:kern w:val="24"/>
          <w:lang w:val="en-GB"/>
        </w:rPr>
        <w:t>The Politics of Islamic Finance</w:t>
      </w:r>
      <w:r w:rsidR="000F58DB">
        <w:rPr>
          <w:rFonts w:asciiTheme="majorBidi" w:hAnsiTheme="majorBidi" w:cstheme="majorBidi"/>
          <w:color w:val="auto"/>
          <w:spacing w:val="-4"/>
          <w:kern w:val="24"/>
          <w:lang w:val="en-GB"/>
        </w:rPr>
        <w:t>”</w:t>
      </w:r>
      <w:r w:rsidRPr="00DD05D8">
        <w:rPr>
          <w:rFonts w:asciiTheme="majorBidi" w:hAnsiTheme="majorBidi" w:cstheme="majorBidi"/>
          <w:color w:val="auto"/>
          <w:spacing w:val="-4"/>
          <w:kern w:val="24"/>
          <w:lang w:val="en-GB"/>
        </w:rPr>
        <w:t>, Edinburgh University Press, 2004, pp. 63-80.</w:t>
      </w:r>
    </w:p>
    <w:p w14:paraId="5F40F7A1" w14:textId="77777777" w:rsidR="00A42833" w:rsidRPr="00DD05D8" w:rsidRDefault="00A42833" w:rsidP="00621FA2">
      <w:pPr>
        <w:pStyle w:val="Default"/>
        <w:tabs>
          <w:tab w:val="left" w:pos="0"/>
          <w:tab w:val="left" w:pos="284"/>
        </w:tabs>
        <w:spacing w:before="120" w:line="276" w:lineRule="auto"/>
        <w:rPr>
          <w:rFonts w:asciiTheme="majorBidi" w:hAnsiTheme="majorBidi" w:cstheme="majorBidi"/>
          <w:color w:val="auto"/>
          <w:spacing w:val="-6"/>
          <w:kern w:val="24"/>
          <w:lang w:val="en-GB"/>
        </w:rPr>
      </w:pPr>
      <w:r w:rsidRPr="00DD05D8">
        <w:rPr>
          <w:rFonts w:asciiTheme="majorBidi" w:hAnsiTheme="majorBidi" w:cstheme="majorBidi"/>
          <w:smallCaps/>
          <w:color w:val="auto"/>
          <w:spacing w:val="-6"/>
          <w:kern w:val="24"/>
          <w:lang w:val="en-GB"/>
        </w:rPr>
        <w:t xml:space="preserve">Yusof </w:t>
      </w:r>
      <w:r w:rsidRPr="00DD05D8">
        <w:rPr>
          <w:rFonts w:asciiTheme="majorBidi" w:hAnsiTheme="majorBidi" w:cstheme="majorBidi"/>
          <w:color w:val="auto"/>
          <w:spacing w:val="-6"/>
          <w:kern w:val="24"/>
          <w:lang w:val="en-GB"/>
        </w:rPr>
        <w:t xml:space="preserve">Eddy, </w:t>
      </w:r>
      <w:r w:rsidRPr="00DD05D8">
        <w:rPr>
          <w:rFonts w:asciiTheme="majorBidi" w:hAnsiTheme="majorBidi" w:cstheme="majorBidi"/>
          <w:smallCaps/>
          <w:color w:val="auto"/>
          <w:spacing w:val="-6"/>
          <w:kern w:val="24"/>
          <w:lang w:val="en-GB"/>
        </w:rPr>
        <w:t xml:space="preserve">Ezry </w:t>
      </w:r>
      <w:r w:rsidRPr="00DD05D8">
        <w:rPr>
          <w:rFonts w:asciiTheme="majorBidi" w:hAnsiTheme="majorBidi" w:cstheme="majorBidi"/>
          <w:color w:val="auto"/>
          <w:spacing w:val="-6"/>
          <w:kern w:val="24"/>
          <w:lang w:val="en-GB"/>
        </w:rPr>
        <w:t>Fahmy</w:t>
      </w:r>
      <w:r w:rsidRPr="00DD05D8">
        <w:rPr>
          <w:rFonts w:asciiTheme="majorBidi" w:hAnsiTheme="majorBidi" w:cstheme="majorBidi"/>
          <w:smallCaps/>
          <w:color w:val="auto"/>
          <w:spacing w:val="-6"/>
          <w:kern w:val="24"/>
          <w:lang w:val="en-GB"/>
        </w:rPr>
        <w:t>, Kamal</w:t>
      </w:r>
      <w:r w:rsidRPr="00DD05D8">
        <w:rPr>
          <w:rFonts w:asciiTheme="majorBidi" w:hAnsiTheme="majorBidi" w:cstheme="majorBidi"/>
          <w:color w:val="auto"/>
          <w:spacing w:val="-6"/>
          <w:kern w:val="24"/>
          <w:lang w:val="en-GB"/>
        </w:rPr>
        <w:t xml:space="preserve"> Anwar and al., “Islamic Finance: Debt versus Equity Financing in the Light of Maqasid al-Shari'ah”, Munich Personal RePEc Archive (MPRA), 2009, 19 p.</w:t>
      </w:r>
    </w:p>
    <w:p w14:paraId="5A68BD6B" w14:textId="097D566B" w:rsidR="00A42833" w:rsidRPr="00F634CD" w:rsidRDefault="00A42833" w:rsidP="00621FA2">
      <w:pPr>
        <w:shd w:val="clear" w:color="auto" w:fill="FFFFFF"/>
        <w:tabs>
          <w:tab w:val="left" w:pos="0"/>
          <w:tab w:val="left" w:pos="284"/>
        </w:tabs>
        <w:spacing w:before="120"/>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US"/>
        </w:rPr>
        <w:t>Zaman</w:t>
      </w:r>
      <w:r w:rsidRPr="00F634CD">
        <w:rPr>
          <w:rFonts w:asciiTheme="majorBidi" w:hAnsiTheme="majorBidi" w:cstheme="majorBidi"/>
          <w:kern w:val="24"/>
          <w:sz w:val="24"/>
          <w:szCs w:val="24"/>
          <w:lang w:val="en-US"/>
        </w:rPr>
        <w:t xml:space="preserve"> Asad, “Islamic Economics: A Survey of the Literature”, </w:t>
      </w:r>
      <w:r w:rsidRPr="00F634CD">
        <w:rPr>
          <w:rFonts w:asciiTheme="majorBidi" w:hAnsiTheme="majorBidi" w:cstheme="majorBidi"/>
          <w:kern w:val="24"/>
          <w:sz w:val="24"/>
          <w:szCs w:val="24"/>
          <w:lang w:val="en-GB"/>
        </w:rPr>
        <w:t>Etudes</w:t>
      </w:r>
      <w:r w:rsidR="00E1028E">
        <w:rPr>
          <w:rFonts w:asciiTheme="majorBidi" w:hAnsiTheme="majorBidi" w:cstheme="majorBidi"/>
          <w:kern w:val="24"/>
          <w:sz w:val="24"/>
          <w:szCs w:val="24"/>
          <w:lang w:val="en-GB"/>
        </w:rPr>
        <w:t xml:space="preserve"> islamiques</w:t>
      </w:r>
      <w:r w:rsidRPr="00F634CD">
        <w:rPr>
          <w:rFonts w:asciiTheme="majorBidi" w:hAnsiTheme="majorBidi" w:cstheme="majorBidi"/>
          <w:kern w:val="24"/>
          <w:sz w:val="24"/>
          <w:szCs w:val="24"/>
          <w:lang w:val="en-GB"/>
        </w:rPr>
        <w:t>, Vol 48, N°3, 2008, pp. 395-424.</w:t>
      </w:r>
    </w:p>
    <w:p w14:paraId="7F379B3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Zarqa</w:t>
      </w:r>
      <w:r w:rsidRPr="00F634CD">
        <w:rPr>
          <w:rFonts w:asciiTheme="majorBidi" w:hAnsiTheme="majorBidi" w:cstheme="majorBidi"/>
          <w:kern w:val="24"/>
          <w:sz w:val="24"/>
          <w:szCs w:val="24"/>
          <w:lang w:val="en-US"/>
        </w:rPr>
        <w:t xml:space="preserve"> Muhammad Anas, “Istisna’a financing of infrastructure projects”, Islamic Studies, Vol 4, N°02, 1997, pp. 67-74.</w:t>
      </w:r>
    </w:p>
    <w:p w14:paraId="134A9C06" w14:textId="76B50BAF"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val="en-US" w:eastAsia="fr-FR"/>
        </w:rPr>
      </w:pPr>
      <w:r w:rsidRPr="00F634CD">
        <w:rPr>
          <w:rFonts w:asciiTheme="majorBidi" w:hAnsiTheme="majorBidi" w:cstheme="majorBidi"/>
          <w:smallCaps/>
          <w:kern w:val="24"/>
          <w:sz w:val="24"/>
          <w:szCs w:val="24"/>
          <w:lang w:val="en-US"/>
        </w:rPr>
        <w:t>Zarrokh</w:t>
      </w:r>
      <w:r w:rsidRPr="00F634CD">
        <w:rPr>
          <w:rFonts w:asciiTheme="majorBidi" w:hAnsiTheme="majorBidi" w:cstheme="majorBidi"/>
          <w:kern w:val="24"/>
          <w:sz w:val="24"/>
          <w:szCs w:val="24"/>
          <w:lang w:val="en-US"/>
        </w:rPr>
        <w:t xml:space="preserve"> Ehsan, “Islamic financing arrangements used in </w:t>
      </w:r>
      <w:r w:rsidR="00E1028E" w:rsidRPr="00F634CD">
        <w:rPr>
          <w:rFonts w:asciiTheme="majorBidi" w:hAnsiTheme="majorBidi" w:cstheme="majorBidi"/>
          <w:kern w:val="24"/>
          <w:sz w:val="24"/>
          <w:szCs w:val="24"/>
          <w:lang w:val="en-US"/>
        </w:rPr>
        <w:t>Islamic</w:t>
      </w:r>
      <w:r w:rsidRPr="00F634CD">
        <w:rPr>
          <w:rFonts w:asciiTheme="majorBidi" w:hAnsiTheme="majorBidi" w:cstheme="majorBidi"/>
          <w:kern w:val="24"/>
          <w:sz w:val="24"/>
          <w:szCs w:val="24"/>
          <w:lang w:val="en-US"/>
        </w:rPr>
        <w:t xml:space="preserve"> banking”, SSRN Electronic Journal, abstract= 978911, 2007, 25 p.</w:t>
      </w:r>
    </w:p>
    <w:p w14:paraId="30503C37" w14:textId="77777777" w:rsidR="00A42833" w:rsidRPr="00F634CD" w:rsidRDefault="00A42833" w:rsidP="00621FA2">
      <w:pPr>
        <w:tabs>
          <w:tab w:val="left" w:pos="0"/>
          <w:tab w:val="left" w:pos="284"/>
        </w:tabs>
        <w:autoSpaceDE w:val="0"/>
        <w:autoSpaceDN w:val="0"/>
        <w:adjustRightInd w:val="0"/>
        <w:spacing w:before="12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rPr>
        <w:t>Zied</w:t>
      </w:r>
      <w:r w:rsidRPr="00F634CD">
        <w:rPr>
          <w:rFonts w:asciiTheme="majorBidi" w:hAnsiTheme="majorBidi" w:cstheme="majorBidi"/>
          <w:kern w:val="24"/>
          <w:sz w:val="24"/>
          <w:szCs w:val="24"/>
        </w:rPr>
        <w:t xml:space="preserve"> C et Pluchart. J J, « La gouvernance de la banque islamique », Proposition de communication, Université de Picardie, CRIISEA, 2006, 18 p.</w:t>
      </w:r>
    </w:p>
    <w:p w14:paraId="5ACAC23F" w14:textId="77777777" w:rsidR="00A42833" w:rsidRPr="00F634CD" w:rsidRDefault="00A42833" w:rsidP="00DD05D8">
      <w:pPr>
        <w:pStyle w:val="Paragraphedeliste"/>
        <w:keepNext/>
        <w:tabs>
          <w:tab w:val="left" w:pos="-284"/>
          <w:tab w:val="left" w:pos="0"/>
          <w:tab w:val="left" w:pos="284"/>
        </w:tabs>
        <w:ind w:left="0"/>
        <w:contextualSpacing w:val="0"/>
        <w:rPr>
          <w:rFonts w:asciiTheme="majorBidi" w:hAnsiTheme="majorBidi" w:cstheme="majorBidi"/>
          <w:b/>
          <w:bCs/>
          <w:kern w:val="24"/>
          <w:sz w:val="24"/>
          <w:szCs w:val="24"/>
          <w:lang w:val="en-US"/>
        </w:rPr>
      </w:pPr>
      <w:r w:rsidRPr="00F634CD">
        <w:rPr>
          <w:rFonts w:asciiTheme="majorBidi" w:hAnsiTheme="majorBidi" w:cstheme="majorBidi"/>
          <w:b/>
          <w:bCs/>
          <w:kern w:val="24"/>
          <w:sz w:val="24"/>
          <w:szCs w:val="24"/>
          <w:lang w:val="en-US"/>
        </w:rPr>
        <w:sym w:font="Webdings" w:char="F0A8"/>
      </w:r>
      <w:r w:rsidRPr="00F634CD">
        <w:rPr>
          <w:rFonts w:asciiTheme="majorBidi" w:hAnsiTheme="majorBidi" w:cstheme="majorBidi"/>
          <w:b/>
          <w:bCs/>
          <w:kern w:val="24"/>
          <w:sz w:val="24"/>
          <w:szCs w:val="24"/>
          <w:lang w:val="en-US"/>
        </w:rPr>
        <w:t>Rapports</w:t>
      </w:r>
    </w:p>
    <w:p w14:paraId="2F8AC613" w14:textId="77777777" w:rsidR="00A42833" w:rsidRPr="00F634CD" w:rsidRDefault="00A42833" w:rsidP="00DD05D8">
      <w:pPr>
        <w:keepNext/>
        <w:tabs>
          <w:tab w:val="left" w:pos="0"/>
          <w:tab w:val="left" w:pos="284"/>
        </w:tabs>
        <w:autoSpaceDE w:val="0"/>
        <w:autoSpaceDN w:val="0"/>
        <w:adjustRightInd w:val="0"/>
        <w:spacing w:before="100"/>
        <w:rPr>
          <w:rFonts w:asciiTheme="majorBidi" w:hAnsiTheme="majorBidi" w:cstheme="majorBidi"/>
          <w:kern w:val="24"/>
          <w:sz w:val="24"/>
          <w:szCs w:val="24"/>
          <w:lang w:val="en-GB"/>
        </w:rPr>
      </w:pPr>
      <w:r w:rsidRPr="00F634CD">
        <w:rPr>
          <w:rFonts w:asciiTheme="majorBidi" w:hAnsiTheme="majorBidi" w:cstheme="majorBidi"/>
          <w:kern w:val="24"/>
          <w:sz w:val="24"/>
          <w:szCs w:val="24"/>
          <w:lang w:val="en-GB"/>
        </w:rPr>
        <w:t>The Institute of Risk Management (IRM), “</w:t>
      </w:r>
      <w:r w:rsidRPr="00F634CD">
        <w:rPr>
          <w:rFonts w:asciiTheme="majorBidi" w:hAnsiTheme="majorBidi" w:cstheme="majorBidi"/>
          <w:kern w:val="24"/>
          <w:sz w:val="24"/>
          <w:szCs w:val="24"/>
          <w:lang w:val="en-US"/>
        </w:rPr>
        <w:t>A risk management standard”</w:t>
      </w:r>
      <w:r w:rsidRPr="00F634CD">
        <w:rPr>
          <w:rFonts w:asciiTheme="majorBidi" w:hAnsiTheme="majorBidi" w:cstheme="majorBidi"/>
          <w:kern w:val="24"/>
          <w:sz w:val="24"/>
          <w:szCs w:val="24"/>
          <w:lang w:val="en-GB"/>
        </w:rPr>
        <w:t>, 2002, 14 p.</w:t>
      </w:r>
    </w:p>
    <w:p w14:paraId="79DDA2E9"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eastAsia="fr-FR"/>
        </w:rPr>
      </w:pPr>
      <w:r w:rsidRPr="00F634CD">
        <w:rPr>
          <w:rFonts w:asciiTheme="majorBidi" w:hAnsiTheme="majorBidi" w:cstheme="majorBidi"/>
          <w:kern w:val="24"/>
          <w:sz w:val="24"/>
          <w:szCs w:val="24"/>
        </w:rPr>
        <w:t>Al-khawarizmi Groupe, « Les sukuk : une nouvelle alternative de financement pour le Maroc », 2012, 122 p.</w:t>
      </w:r>
    </w:p>
    <w:p w14:paraId="46BFC6F2"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val="en-GB"/>
        </w:rPr>
      </w:pPr>
      <w:r w:rsidRPr="00F634CD">
        <w:rPr>
          <w:rFonts w:asciiTheme="majorBidi" w:hAnsiTheme="majorBidi" w:cstheme="majorBidi"/>
          <w:kern w:val="24"/>
          <w:sz w:val="24"/>
          <w:szCs w:val="24"/>
          <w:lang w:val="en-GB"/>
        </w:rPr>
        <w:t>Accounting and Auditing Organization of Islamic Financial Institutions (AAOIFI), “Financial Accounting Standard”, N° 14, Investment funds.</w:t>
      </w:r>
    </w:p>
    <w:p w14:paraId="464006F5"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rPr>
      </w:pPr>
      <w:r w:rsidRPr="00F634CD">
        <w:rPr>
          <w:rFonts w:asciiTheme="majorBidi" w:hAnsiTheme="majorBidi" w:cstheme="majorBidi"/>
          <w:kern w:val="24"/>
          <w:sz w:val="24"/>
          <w:szCs w:val="24"/>
        </w:rPr>
        <w:t>Comité de Bâle sur le contrôle bancaire, « Principes fondamentaux pour un contrôle bancaire efficace », Bâle, septembre 1997, 42 p.</w:t>
      </w:r>
    </w:p>
    <w:p w14:paraId="2157C510" w14:textId="77777777" w:rsidR="00A42833" w:rsidRPr="00F634CD" w:rsidRDefault="00A42833" w:rsidP="00DD05D8">
      <w:pPr>
        <w:tabs>
          <w:tab w:val="left" w:pos="0"/>
          <w:tab w:val="left" w:pos="284"/>
        </w:tabs>
        <w:spacing w:before="100"/>
        <w:rPr>
          <w:rFonts w:asciiTheme="majorBidi" w:hAnsiTheme="majorBidi" w:cstheme="majorBidi"/>
          <w:i/>
          <w:iCs/>
          <w:kern w:val="24"/>
          <w:sz w:val="24"/>
          <w:szCs w:val="24"/>
        </w:rPr>
      </w:pPr>
      <w:r w:rsidRPr="00F634CD">
        <w:rPr>
          <w:rFonts w:asciiTheme="majorBidi" w:hAnsiTheme="majorBidi" w:cstheme="majorBidi"/>
          <w:kern w:val="24"/>
          <w:sz w:val="24"/>
          <w:szCs w:val="24"/>
        </w:rPr>
        <w:t>Deloitte Conseil, « Bâle III et la gestion de la liquidité : Nouveaux éclairages sur la mise en œuvre », Financial Services, Avril 2013, 24 p.</w:t>
      </w:r>
    </w:p>
    <w:p w14:paraId="3F2FCB68"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val="en-US" w:eastAsia="fr-FR"/>
        </w:rPr>
      </w:pPr>
      <w:r w:rsidRPr="00F634CD">
        <w:rPr>
          <w:rFonts w:asciiTheme="majorBidi" w:hAnsiTheme="majorBidi" w:cstheme="majorBidi"/>
          <w:kern w:val="24"/>
          <w:sz w:val="24"/>
          <w:szCs w:val="24"/>
          <w:lang w:val="en-GB" w:eastAsia="fr-FR"/>
        </w:rPr>
        <w:t>Failaka, “The Failaka Islamic Funds Report 2007”, Failaka publications, 2007.</w:t>
      </w:r>
    </w:p>
    <w:p w14:paraId="279B3165" w14:textId="77777777" w:rsidR="00A42833" w:rsidRPr="00DD05D8" w:rsidRDefault="00A42833" w:rsidP="00DD05D8">
      <w:pPr>
        <w:tabs>
          <w:tab w:val="left" w:pos="0"/>
          <w:tab w:val="left" w:pos="284"/>
        </w:tabs>
        <w:spacing w:before="100"/>
        <w:rPr>
          <w:rFonts w:asciiTheme="majorBidi" w:hAnsiTheme="majorBidi" w:cstheme="majorBidi"/>
          <w:spacing w:val="-4"/>
          <w:kern w:val="24"/>
          <w:sz w:val="24"/>
          <w:szCs w:val="24"/>
          <w:u w:val="single"/>
        </w:rPr>
      </w:pPr>
      <w:r w:rsidRPr="00DD05D8">
        <w:rPr>
          <w:rFonts w:asciiTheme="majorBidi" w:hAnsiTheme="majorBidi" w:cstheme="majorBidi"/>
          <w:spacing w:val="-4"/>
          <w:kern w:val="24"/>
          <w:sz w:val="24"/>
          <w:szCs w:val="24"/>
        </w:rPr>
        <w:t>Fédération Bancaire Française, « Présentation du nouveau ratio prudentiel bancaire », Mai 2001.</w:t>
      </w:r>
    </w:p>
    <w:p w14:paraId="07C2B6A7"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val="en-GB" w:eastAsia="fr-FR"/>
        </w:rPr>
      </w:pPr>
      <w:r w:rsidRPr="00F634CD">
        <w:rPr>
          <w:rFonts w:asciiTheme="majorBidi" w:hAnsiTheme="majorBidi" w:cstheme="majorBidi"/>
          <w:smallCaps/>
          <w:kern w:val="24"/>
          <w:sz w:val="24"/>
          <w:szCs w:val="24"/>
          <w:lang w:val="en-GB"/>
        </w:rPr>
        <w:t>Hassoune</w:t>
      </w:r>
      <w:r w:rsidRPr="00F634CD">
        <w:rPr>
          <w:rFonts w:asciiTheme="majorBidi" w:hAnsiTheme="majorBidi" w:cstheme="majorBidi"/>
          <w:kern w:val="24"/>
          <w:sz w:val="24"/>
          <w:szCs w:val="24"/>
          <w:lang w:val="en-GB"/>
        </w:rPr>
        <w:t xml:space="preserve"> Anouar</w:t>
      </w:r>
      <w:r w:rsidRPr="00F634CD">
        <w:rPr>
          <w:rFonts w:asciiTheme="majorBidi" w:hAnsiTheme="majorBidi" w:cstheme="majorBidi"/>
          <w:kern w:val="24"/>
          <w:sz w:val="24"/>
          <w:szCs w:val="24"/>
          <w:lang w:val="en-GB" w:eastAsia="fr-FR"/>
        </w:rPr>
        <w:t xml:space="preserve"> and Howaladar Khalid,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eastAsia="fr-FR"/>
        </w:rPr>
        <w:t>Islamic banks and sukuk: Growing fast, but still fragmented”, Technical report, Moody’s Investors Service, avril 2008.</w:t>
      </w:r>
    </w:p>
    <w:p w14:paraId="53E5D8AB" w14:textId="77777777" w:rsidR="00A42833" w:rsidRPr="00F634CD" w:rsidRDefault="00A42833" w:rsidP="00DD05D8">
      <w:pPr>
        <w:pStyle w:val="Notedebasdepage"/>
        <w:spacing w:before="100" w:line="276" w:lineRule="auto"/>
        <w:rPr>
          <w:rFonts w:asciiTheme="majorBidi" w:hAnsiTheme="majorBidi" w:cstheme="majorBidi"/>
          <w:kern w:val="24"/>
          <w:sz w:val="24"/>
          <w:szCs w:val="24"/>
        </w:rPr>
      </w:pPr>
      <w:r w:rsidRPr="00F634CD">
        <w:rPr>
          <w:rFonts w:asciiTheme="majorBidi" w:hAnsiTheme="majorBidi" w:cstheme="majorBidi"/>
          <w:kern w:val="24"/>
          <w:sz w:val="24"/>
          <w:szCs w:val="24"/>
        </w:rPr>
        <w:t>IFAAS, (2020), « La boite à outils de la finance islamique », 51 p.</w:t>
      </w:r>
    </w:p>
    <w:p w14:paraId="33B5F436"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val="en-GB" w:eastAsia="fr-FR"/>
        </w:rPr>
      </w:pPr>
      <w:r w:rsidRPr="00F634CD">
        <w:rPr>
          <w:rStyle w:val="single-line"/>
          <w:rFonts w:asciiTheme="majorBidi" w:hAnsiTheme="majorBidi" w:cstheme="majorBidi"/>
          <w:kern w:val="24"/>
          <w:sz w:val="24"/>
          <w:szCs w:val="24"/>
          <w:lang w:val="en-GB"/>
        </w:rPr>
        <w:t>International Finance Review (IFR), Middle East Report, 2 Octobre 2008</w:t>
      </w:r>
      <w:r w:rsidRPr="00F634CD">
        <w:rPr>
          <w:rFonts w:asciiTheme="majorBidi" w:hAnsiTheme="majorBidi" w:cstheme="majorBidi"/>
          <w:kern w:val="24"/>
          <w:sz w:val="24"/>
          <w:szCs w:val="24"/>
          <w:lang w:val="en-GB"/>
        </w:rPr>
        <w:t>.</w:t>
      </w:r>
    </w:p>
    <w:p w14:paraId="66667828"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val="en-US" w:eastAsia="fr-FR"/>
        </w:rPr>
      </w:pPr>
      <w:r w:rsidRPr="00F634CD">
        <w:rPr>
          <w:rFonts w:asciiTheme="majorBidi" w:hAnsiTheme="majorBidi" w:cstheme="majorBidi"/>
          <w:kern w:val="24"/>
          <w:sz w:val="24"/>
          <w:szCs w:val="24"/>
          <w:lang w:val="en-US" w:eastAsia="fr-FR"/>
        </w:rPr>
        <w:t xml:space="preserve">IFSB,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US" w:eastAsia="fr-FR"/>
        </w:rPr>
        <w:t>Guiding Principles of Risk Management for Institutions (other than insurance institutions) offering only islamic financial services”</w:t>
      </w:r>
      <w:r w:rsidRPr="00F634CD">
        <w:rPr>
          <w:rFonts w:asciiTheme="majorBidi" w:hAnsiTheme="majorBidi" w:cstheme="majorBidi"/>
          <w:kern w:val="24"/>
          <w:sz w:val="24"/>
          <w:szCs w:val="24"/>
          <w:lang w:val="en-US"/>
        </w:rPr>
        <w:t>, 2005.</w:t>
      </w:r>
    </w:p>
    <w:p w14:paraId="041C8DBF"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val="en-US" w:eastAsia="fr-FR"/>
        </w:rPr>
      </w:pPr>
      <w:r w:rsidRPr="00F634CD">
        <w:rPr>
          <w:rFonts w:asciiTheme="majorBidi" w:hAnsiTheme="majorBidi" w:cstheme="majorBidi"/>
          <w:kern w:val="24"/>
          <w:sz w:val="24"/>
          <w:szCs w:val="24"/>
          <w:lang w:val="en-US" w:eastAsia="fr-FR"/>
        </w:rPr>
        <w:t xml:space="preserve">IFSB, </w:t>
      </w:r>
      <w:r w:rsidRPr="00F634CD">
        <w:rPr>
          <w:rFonts w:asciiTheme="majorBidi" w:hAnsiTheme="majorBidi" w:cstheme="majorBidi"/>
          <w:kern w:val="24"/>
          <w:sz w:val="24"/>
          <w:szCs w:val="24"/>
          <w:lang w:val="en-US"/>
        </w:rPr>
        <w:t>“</w:t>
      </w:r>
      <w:r w:rsidRPr="00F634CD">
        <w:rPr>
          <w:rFonts w:asciiTheme="majorBidi" w:hAnsiTheme="majorBidi" w:cstheme="majorBidi"/>
          <w:kern w:val="24"/>
          <w:sz w:val="24"/>
          <w:szCs w:val="24"/>
          <w:lang w:val="en-US" w:eastAsia="fr-FR"/>
        </w:rPr>
        <w:t>Technical note on issues in strengthening liquidity management of institutions offering Islamic financial services”, The development Islamic Money Market, Mars 2008.</w:t>
      </w:r>
    </w:p>
    <w:p w14:paraId="56768B7D"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val="en-GB" w:eastAsia="fr-FR"/>
        </w:rPr>
      </w:pPr>
      <w:r w:rsidRPr="00F634CD">
        <w:rPr>
          <w:rFonts w:asciiTheme="majorBidi" w:hAnsiTheme="majorBidi" w:cstheme="majorBidi"/>
          <w:kern w:val="24"/>
          <w:sz w:val="24"/>
          <w:szCs w:val="24"/>
          <w:lang w:val="en-GB" w:eastAsia="fr-FR"/>
        </w:rPr>
        <w:t xml:space="preserve">Standard &amp; Poor’s Report, </w:t>
      </w:r>
      <w:r w:rsidRPr="00F634CD">
        <w:rPr>
          <w:rFonts w:asciiTheme="majorBidi" w:hAnsiTheme="majorBidi" w:cstheme="majorBidi"/>
          <w:kern w:val="24"/>
          <w:sz w:val="24"/>
          <w:szCs w:val="24"/>
          <w:lang w:val="en-GB"/>
        </w:rPr>
        <w:t>“</w:t>
      </w:r>
      <w:r w:rsidRPr="00F634CD">
        <w:rPr>
          <w:rFonts w:asciiTheme="majorBidi" w:hAnsiTheme="majorBidi" w:cstheme="majorBidi"/>
          <w:kern w:val="24"/>
          <w:sz w:val="24"/>
          <w:szCs w:val="24"/>
          <w:lang w:val="en-GB" w:eastAsia="fr-FR"/>
        </w:rPr>
        <w:t>Guide to credit ratings criteria: Why criteria are important and how they are applied?”</w:t>
      </w:r>
      <w:r w:rsidRPr="00F634CD">
        <w:rPr>
          <w:rFonts w:asciiTheme="majorBidi" w:hAnsiTheme="majorBidi" w:cstheme="majorBidi"/>
          <w:kern w:val="24"/>
          <w:sz w:val="24"/>
          <w:szCs w:val="24"/>
          <w:lang w:val="en-US"/>
        </w:rPr>
        <w:t xml:space="preserve">, </w:t>
      </w:r>
      <w:r w:rsidRPr="00F634CD">
        <w:rPr>
          <w:rFonts w:asciiTheme="majorBidi" w:hAnsiTheme="majorBidi" w:cstheme="majorBidi"/>
          <w:kern w:val="24"/>
          <w:sz w:val="24"/>
          <w:szCs w:val="24"/>
          <w:lang w:val="en-GB" w:eastAsia="fr-FR"/>
        </w:rPr>
        <w:t>Technical report, Standard Poor’s, 2010.</w:t>
      </w:r>
    </w:p>
    <w:p w14:paraId="1CD20F9B" w14:textId="77777777" w:rsidR="00A42833" w:rsidRPr="00F634CD" w:rsidRDefault="00A42833" w:rsidP="00DD05D8">
      <w:pPr>
        <w:tabs>
          <w:tab w:val="left" w:pos="0"/>
          <w:tab w:val="left" w:pos="284"/>
          <w:tab w:val="left" w:pos="975"/>
        </w:tabs>
        <w:spacing w:before="100"/>
        <w:rPr>
          <w:rFonts w:asciiTheme="majorBidi" w:hAnsiTheme="majorBidi" w:cstheme="majorBidi"/>
          <w:b/>
          <w:bCs/>
          <w:kern w:val="24"/>
          <w:sz w:val="24"/>
          <w:szCs w:val="24"/>
        </w:rPr>
      </w:pPr>
      <w:r w:rsidRPr="00F634CD">
        <w:rPr>
          <w:rFonts w:asciiTheme="majorBidi" w:hAnsiTheme="majorBidi" w:cstheme="majorBidi"/>
          <w:b/>
          <w:bCs/>
          <w:kern w:val="24"/>
          <w:sz w:val="24"/>
          <w:szCs w:val="24"/>
          <w:lang w:val="en-US"/>
        </w:rPr>
        <w:sym w:font="Webdings" w:char="F0A8"/>
      </w:r>
      <w:r w:rsidRPr="00F634CD">
        <w:rPr>
          <w:rFonts w:asciiTheme="majorBidi" w:hAnsiTheme="majorBidi" w:cstheme="majorBidi"/>
          <w:b/>
          <w:bCs/>
          <w:kern w:val="24"/>
          <w:sz w:val="24"/>
          <w:szCs w:val="24"/>
        </w:rPr>
        <w:t xml:space="preserve"> Thèses</w:t>
      </w:r>
    </w:p>
    <w:p w14:paraId="41AD74F1" w14:textId="043CDA79" w:rsidR="00A42833" w:rsidRPr="00F634CD" w:rsidRDefault="00A42833" w:rsidP="00DD05D8">
      <w:pPr>
        <w:spacing w:before="100"/>
        <w:rPr>
          <w:rFonts w:asciiTheme="majorBidi" w:hAnsiTheme="majorBidi" w:cstheme="majorBidi"/>
          <w:kern w:val="24"/>
          <w:sz w:val="24"/>
          <w:szCs w:val="24"/>
        </w:rPr>
      </w:pPr>
      <w:r w:rsidRPr="00F634CD">
        <w:rPr>
          <w:rFonts w:asciiTheme="majorBidi" w:hAnsiTheme="majorBidi" w:cstheme="majorBidi"/>
          <w:smallCaps/>
          <w:kern w:val="24"/>
          <w:sz w:val="24"/>
          <w:szCs w:val="24"/>
        </w:rPr>
        <w:t>Abou Hamdan</w:t>
      </w:r>
      <w:r w:rsidRPr="00F634CD">
        <w:rPr>
          <w:rFonts w:asciiTheme="majorBidi" w:hAnsiTheme="majorBidi" w:cstheme="majorBidi"/>
          <w:kern w:val="24"/>
          <w:sz w:val="24"/>
          <w:szCs w:val="24"/>
        </w:rPr>
        <w:t xml:space="preserve"> Malek, « Produits dérivés, risques de marché et "Gharar"</w:t>
      </w:r>
      <w:r w:rsidR="000F58DB">
        <w:rPr>
          <w:rFonts w:asciiTheme="majorBidi" w:hAnsiTheme="majorBidi" w:cstheme="majorBidi"/>
          <w:kern w:val="24"/>
          <w:sz w:val="24"/>
          <w:szCs w:val="24"/>
        </w:rPr>
        <w:t> :</w:t>
      </w:r>
      <w:r w:rsidRPr="00F634CD">
        <w:rPr>
          <w:rFonts w:asciiTheme="majorBidi" w:hAnsiTheme="majorBidi" w:cstheme="majorBidi"/>
          <w:kern w:val="24"/>
          <w:sz w:val="24"/>
          <w:szCs w:val="24"/>
        </w:rPr>
        <w:t xml:space="preserve"> recherche d'une alternative islamique », </w:t>
      </w:r>
      <w:r w:rsidR="000F58DB">
        <w:rPr>
          <w:rFonts w:asciiTheme="majorBidi" w:hAnsiTheme="majorBidi" w:cstheme="majorBidi"/>
          <w:kern w:val="24"/>
          <w:sz w:val="24"/>
          <w:szCs w:val="24"/>
        </w:rPr>
        <w:t>T</w:t>
      </w:r>
      <w:r w:rsidRPr="00F634CD">
        <w:rPr>
          <w:rFonts w:asciiTheme="majorBidi" w:hAnsiTheme="majorBidi" w:cstheme="majorBidi"/>
          <w:kern w:val="24"/>
          <w:sz w:val="24"/>
          <w:szCs w:val="24"/>
        </w:rPr>
        <w:t>hèse</w:t>
      </w:r>
      <w:r w:rsidRPr="00F634CD">
        <w:rPr>
          <w:rFonts w:asciiTheme="majorBidi" w:hAnsiTheme="majorBidi" w:cstheme="majorBidi"/>
          <w:kern w:val="24"/>
          <w:sz w:val="24"/>
          <w:szCs w:val="24"/>
          <w:shd w:val="clear" w:color="auto" w:fill="FFFFFF"/>
        </w:rPr>
        <w:t xml:space="preserve"> de doctorat en sciences de gestion,  </w:t>
      </w:r>
      <w:hyperlink r:id="rId94" w:history="1">
        <w:r w:rsidRPr="00F634CD">
          <w:rPr>
            <w:rStyle w:val="Lienhypertexte"/>
            <w:rFonts w:asciiTheme="majorBidi" w:hAnsiTheme="majorBidi" w:cstheme="majorBidi"/>
            <w:color w:val="auto"/>
            <w:kern w:val="24"/>
            <w:sz w:val="24"/>
            <w:szCs w:val="24"/>
            <w:u w:val="none"/>
            <w:shd w:val="clear" w:color="auto" w:fill="FFFFFF"/>
          </w:rPr>
          <w:t>École doctorale des sciences économiques et gestion, sciences de l'information et de la communication, Paris,</w:t>
        </w:r>
      </w:hyperlink>
      <w:r w:rsidRPr="00F634CD">
        <w:rPr>
          <w:rFonts w:asciiTheme="majorBidi" w:hAnsiTheme="majorBidi" w:cstheme="majorBidi"/>
          <w:kern w:val="24"/>
          <w:sz w:val="24"/>
          <w:szCs w:val="24"/>
        </w:rPr>
        <w:t xml:space="preserve"> 2013, 593 p</w:t>
      </w:r>
      <w:r w:rsidRPr="00F634CD">
        <w:rPr>
          <w:rFonts w:asciiTheme="majorBidi" w:hAnsiTheme="majorBidi" w:cstheme="majorBidi"/>
          <w:kern w:val="24"/>
          <w:sz w:val="24"/>
          <w:szCs w:val="24"/>
          <w:shd w:val="clear" w:color="auto" w:fill="FFFFFF"/>
        </w:rPr>
        <w:t>.</w:t>
      </w:r>
    </w:p>
    <w:p w14:paraId="366C0DE7" w14:textId="77777777" w:rsidR="00A42833" w:rsidRPr="00F634CD" w:rsidRDefault="00A42833" w:rsidP="00DD05D8">
      <w:pPr>
        <w:tabs>
          <w:tab w:val="left" w:pos="0"/>
          <w:tab w:val="left" w:pos="284"/>
          <w:tab w:val="left" w:pos="975"/>
        </w:tabs>
        <w:spacing w:before="100"/>
        <w:rPr>
          <w:rFonts w:asciiTheme="majorBidi" w:hAnsiTheme="majorBidi" w:cstheme="majorBidi"/>
          <w:smallCaps/>
          <w:kern w:val="24"/>
          <w:sz w:val="24"/>
          <w:szCs w:val="24"/>
        </w:rPr>
      </w:pPr>
      <w:r w:rsidRPr="00F634CD">
        <w:rPr>
          <w:rFonts w:asciiTheme="majorBidi" w:hAnsiTheme="majorBidi" w:cstheme="majorBidi"/>
          <w:smallCaps/>
          <w:kern w:val="24"/>
          <w:sz w:val="24"/>
          <w:szCs w:val="24"/>
        </w:rPr>
        <w:t xml:space="preserve">Abou-Zeid </w:t>
      </w:r>
      <w:r w:rsidRPr="00F634CD">
        <w:rPr>
          <w:rFonts w:asciiTheme="majorBidi" w:hAnsiTheme="majorBidi" w:cstheme="majorBidi"/>
          <w:kern w:val="24"/>
          <w:sz w:val="24"/>
          <w:szCs w:val="24"/>
        </w:rPr>
        <w:t>Amr</w:t>
      </w:r>
      <w:r w:rsidRPr="00F634CD">
        <w:rPr>
          <w:rFonts w:asciiTheme="majorBidi" w:hAnsiTheme="majorBidi" w:cstheme="majorBidi"/>
          <w:smallCaps/>
          <w:kern w:val="24"/>
          <w:sz w:val="24"/>
          <w:szCs w:val="24"/>
        </w:rPr>
        <w:t xml:space="preserve">, </w:t>
      </w:r>
      <w:r w:rsidRPr="00F634CD">
        <w:rPr>
          <w:rFonts w:asciiTheme="majorBidi" w:hAnsiTheme="majorBidi" w:cstheme="majorBidi"/>
          <w:kern w:val="24"/>
          <w:sz w:val="24"/>
          <w:szCs w:val="24"/>
        </w:rPr>
        <w:t>« La gestion des fonds de fonds islamique de capital investissement pour le développement des pays arabes », thèse de Doctorat en science de gestion, Université Paris Dauphine, 2009, 325 p.</w:t>
      </w:r>
    </w:p>
    <w:p w14:paraId="6A5E3447" w14:textId="5A476672" w:rsidR="00A42833" w:rsidRPr="00F634CD" w:rsidRDefault="00A42833" w:rsidP="00DD05D8">
      <w:pPr>
        <w:tabs>
          <w:tab w:val="left" w:pos="0"/>
          <w:tab w:val="left" w:pos="284"/>
          <w:tab w:val="left" w:pos="975"/>
        </w:tabs>
        <w:spacing w:before="100"/>
        <w:rPr>
          <w:rFonts w:asciiTheme="majorBidi" w:hAnsiTheme="majorBidi" w:cstheme="majorBidi"/>
          <w:kern w:val="24"/>
          <w:sz w:val="24"/>
          <w:szCs w:val="24"/>
          <w:u w:val="single"/>
        </w:rPr>
      </w:pPr>
      <w:r w:rsidRPr="00F634CD">
        <w:rPr>
          <w:rFonts w:asciiTheme="majorBidi" w:hAnsiTheme="majorBidi" w:cstheme="majorBidi"/>
          <w:smallCaps/>
          <w:kern w:val="24"/>
          <w:sz w:val="24"/>
          <w:szCs w:val="24"/>
        </w:rPr>
        <w:t>Al Kandari</w:t>
      </w:r>
      <w:r w:rsidRPr="00F634CD">
        <w:rPr>
          <w:rFonts w:asciiTheme="majorBidi" w:hAnsiTheme="majorBidi" w:cstheme="majorBidi"/>
          <w:kern w:val="24"/>
          <w:sz w:val="24"/>
          <w:szCs w:val="24"/>
        </w:rPr>
        <w:t xml:space="preserve"> Mohammed, « Les banques islamiques en droit koweitien : étude juridique à la lumière de la </w:t>
      </w:r>
      <w:r w:rsidRPr="00F634CD">
        <w:rPr>
          <w:rFonts w:asciiTheme="majorBidi" w:hAnsiTheme="majorBidi" w:cstheme="majorBidi"/>
          <w:i/>
          <w:iCs/>
          <w:kern w:val="24"/>
          <w:sz w:val="24"/>
          <w:szCs w:val="24"/>
        </w:rPr>
        <w:t>charia</w:t>
      </w:r>
      <w:r w:rsidRPr="00F634CD">
        <w:rPr>
          <w:rFonts w:asciiTheme="majorBidi" w:hAnsiTheme="majorBidi" w:cstheme="majorBidi"/>
          <w:kern w:val="24"/>
          <w:sz w:val="24"/>
          <w:szCs w:val="24"/>
        </w:rPr>
        <w:t xml:space="preserve"> », Thèse de </w:t>
      </w:r>
      <w:r w:rsidR="001124FF" w:rsidRPr="00F634CD">
        <w:rPr>
          <w:rFonts w:asciiTheme="majorBidi" w:hAnsiTheme="majorBidi" w:cstheme="majorBidi"/>
          <w:kern w:val="24"/>
          <w:sz w:val="24"/>
          <w:szCs w:val="24"/>
        </w:rPr>
        <w:t>D</w:t>
      </w:r>
      <w:r w:rsidRPr="00F634CD">
        <w:rPr>
          <w:rFonts w:asciiTheme="majorBidi" w:hAnsiTheme="majorBidi" w:cstheme="majorBidi"/>
          <w:kern w:val="24"/>
          <w:sz w:val="24"/>
          <w:szCs w:val="24"/>
        </w:rPr>
        <w:t>octorat, Université de Strasbourg, 2015, 413 p.</w:t>
      </w:r>
    </w:p>
    <w:p w14:paraId="3B086E12"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val="en-GB" w:eastAsia="fr-FR"/>
        </w:rPr>
      </w:pPr>
      <w:r w:rsidRPr="00F634CD">
        <w:rPr>
          <w:rFonts w:asciiTheme="majorBidi" w:hAnsiTheme="majorBidi" w:cstheme="majorBidi"/>
          <w:kern w:val="24"/>
          <w:sz w:val="24"/>
          <w:szCs w:val="24"/>
          <w:lang w:val="en-GB"/>
        </w:rPr>
        <w:t>Astrom Zeyneb Hafsa, “</w:t>
      </w:r>
      <w:r w:rsidRPr="00F634CD">
        <w:rPr>
          <w:rFonts w:asciiTheme="majorBidi" w:hAnsiTheme="majorBidi" w:cstheme="majorBidi"/>
          <w:kern w:val="24"/>
          <w:sz w:val="24"/>
          <w:szCs w:val="24"/>
          <w:lang w:val="en-GB" w:eastAsia="fr-FR"/>
        </w:rPr>
        <w:t>Risk analysis for profit and loss sharing instruments”, International University of Sarajevo, A dissertation submitted in partial fulfilment of the requirements for the degree of Doctor of philosophy in Economics, 2012, 154 p.</w:t>
      </w:r>
    </w:p>
    <w:p w14:paraId="4D73800E" w14:textId="00D36280"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eastAsia="fr-FR"/>
        </w:rPr>
      </w:pPr>
      <w:r w:rsidRPr="000F58DB">
        <w:rPr>
          <w:rFonts w:asciiTheme="majorBidi" w:hAnsiTheme="majorBidi" w:cstheme="majorBidi"/>
          <w:smallCaps/>
          <w:kern w:val="24"/>
          <w:sz w:val="24"/>
          <w:szCs w:val="24"/>
        </w:rPr>
        <w:t>Badrey</w:t>
      </w:r>
      <w:r w:rsidRPr="00F634CD">
        <w:rPr>
          <w:rFonts w:asciiTheme="majorBidi" w:hAnsiTheme="majorBidi" w:cstheme="majorBidi"/>
          <w:kern w:val="24"/>
          <w:sz w:val="24"/>
          <w:szCs w:val="24"/>
        </w:rPr>
        <w:t xml:space="preserve"> El</w:t>
      </w:r>
      <w:r w:rsidR="000F58DB">
        <w:rPr>
          <w:rFonts w:asciiTheme="majorBidi" w:hAnsiTheme="majorBidi" w:cstheme="majorBidi"/>
          <w:kern w:val="24"/>
          <w:sz w:val="24"/>
          <w:szCs w:val="24"/>
        </w:rPr>
        <w:t>-</w:t>
      </w:r>
      <w:r w:rsidRPr="00F634CD">
        <w:rPr>
          <w:rFonts w:asciiTheme="majorBidi" w:hAnsiTheme="majorBidi" w:cstheme="majorBidi"/>
          <w:kern w:val="24"/>
          <w:sz w:val="24"/>
          <w:szCs w:val="24"/>
        </w:rPr>
        <w:t>Sadek, « La question du prêt à intérêt et le système juridique de la banque islamique », Thèse de Doctorat, Paris II, 1993, 352 p.</w:t>
      </w:r>
    </w:p>
    <w:p w14:paraId="630478EB" w14:textId="77777777" w:rsidR="00A42833" w:rsidRPr="00F634CD" w:rsidRDefault="00A42833" w:rsidP="00DD05D8">
      <w:pPr>
        <w:tabs>
          <w:tab w:val="left" w:pos="0"/>
          <w:tab w:val="left" w:pos="284"/>
        </w:tabs>
        <w:autoSpaceDE w:val="0"/>
        <w:autoSpaceDN w:val="0"/>
        <w:adjustRightInd w:val="0"/>
        <w:spacing w:before="100"/>
        <w:rPr>
          <w:rFonts w:asciiTheme="majorBidi" w:hAnsiTheme="majorBidi" w:cstheme="majorBidi"/>
          <w:kern w:val="24"/>
          <w:sz w:val="24"/>
          <w:szCs w:val="24"/>
          <w:lang w:eastAsia="fr-FR"/>
        </w:rPr>
      </w:pPr>
      <w:r w:rsidRPr="00F634CD">
        <w:rPr>
          <w:rFonts w:asciiTheme="majorBidi" w:hAnsiTheme="majorBidi" w:cstheme="majorBidi"/>
          <w:smallCaps/>
          <w:kern w:val="24"/>
          <w:sz w:val="24"/>
          <w:szCs w:val="24"/>
          <w:lang w:bidi="ar-DZ"/>
        </w:rPr>
        <w:t>Bouzerouta</w:t>
      </w:r>
      <w:r w:rsidRPr="00F634CD">
        <w:rPr>
          <w:rFonts w:asciiTheme="majorBidi" w:hAnsiTheme="majorBidi" w:cstheme="majorBidi"/>
          <w:kern w:val="24"/>
          <w:sz w:val="24"/>
          <w:szCs w:val="24"/>
          <w:lang w:bidi="ar-DZ"/>
        </w:rPr>
        <w:t xml:space="preserve"> Ilhem, « </w:t>
      </w:r>
      <w:r w:rsidRPr="00F634CD">
        <w:rPr>
          <w:rFonts w:asciiTheme="majorBidi" w:hAnsiTheme="majorBidi" w:cstheme="majorBidi"/>
          <w:kern w:val="24"/>
          <w:sz w:val="24"/>
          <w:szCs w:val="24"/>
          <w:shd w:val="clear" w:color="auto" w:fill="FFFFFF"/>
        </w:rPr>
        <w:t>La finance islamique serait-elle la solution au problème de Financement des PME en Algérie ? », Thèse de Doctorat en sciences économiques, Université d’Oran 2, 2018, 248 p.</w:t>
      </w:r>
    </w:p>
    <w:p w14:paraId="3D9FB56D" w14:textId="77777777" w:rsidR="00A42833" w:rsidRPr="00F634CD" w:rsidRDefault="00A42833" w:rsidP="00DD05D8">
      <w:pPr>
        <w:tabs>
          <w:tab w:val="left" w:pos="0"/>
          <w:tab w:val="left" w:pos="284"/>
        </w:tabs>
        <w:spacing w:before="100"/>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Eid</w:t>
      </w:r>
      <w:r w:rsidRPr="00F634CD">
        <w:rPr>
          <w:rFonts w:asciiTheme="majorBidi" w:hAnsiTheme="majorBidi" w:cstheme="majorBidi"/>
          <w:kern w:val="24"/>
          <w:sz w:val="24"/>
          <w:szCs w:val="24"/>
          <w:lang w:val="en-GB"/>
        </w:rPr>
        <w:t xml:space="preserve"> Wael, “Mapping the Risks and Risk Management Practices in Islamic Banking”, Durham theses, Durham University, 2011, 501 p.</w:t>
      </w:r>
    </w:p>
    <w:p w14:paraId="32FFD936" w14:textId="77777777" w:rsidR="00A42833" w:rsidRPr="00F634CD" w:rsidRDefault="00A42833" w:rsidP="00DD05D8">
      <w:pPr>
        <w:tabs>
          <w:tab w:val="left" w:pos="0"/>
          <w:tab w:val="left" w:pos="284"/>
        </w:tabs>
        <w:spacing w:before="100"/>
        <w:rPr>
          <w:rFonts w:asciiTheme="majorBidi" w:hAnsiTheme="majorBidi" w:cstheme="majorBidi"/>
          <w:kern w:val="24"/>
          <w:sz w:val="24"/>
          <w:szCs w:val="24"/>
        </w:rPr>
      </w:pPr>
      <w:r w:rsidRPr="00F634CD">
        <w:rPr>
          <w:rFonts w:asciiTheme="majorBidi" w:hAnsiTheme="majorBidi" w:cstheme="majorBidi"/>
          <w:smallCaps/>
          <w:kern w:val="24"/>
          <w:sz w:val="24"/>
          <w:szCs w:val="24"/>
        </w:rPr>
        <w:t>Fontaine</w:t>
      </w:r>
      <w:r w:rsidRPr="00F634CD">
        <w:rPr>
          <w:rFonts w:asciiTheme="majorBidi" w:hAnsiTheme="majorBidi" w:cstheme="majorBidi"/>
          <w:kern w:val="24"/>
          <w:sz w:val="24"/>
          <w:szCs w:val="24"/>
        </w:rPr>
        <w:t xml:space="preserve"> Patrice, « Théorie de l’arbitrage et d’évaluation des actifs financiers », HEC, Paris, 1986, 372 p.</w:t>
      </w:r>
    </w:p>
    <w:p w14:paraId="1C3CB274" w14:textId="77777777" w:rsidR="00A42833" w:rsidRPr="00F634CD" w:rsidRDefault="00A42833" w:rsidP="00DD05D8">
      <w:pPr>
        <w:pStyle w:val="Default"/>
        <w:tabs>
          <w:tab w:val="left" w:pos="0"/>
          <w:tab w:val="left" w:pos="284"/>
        </w:tabs>
        <w:spacing w:before="100" w:line="276" w:lineRule="auto"/>
        <w:rPr>
          <w:rFonts w:asciiTheme="majorBidi" w:hAnsiTheme="majorBidi" w:cstheme="majorBidi"/>
          <w:color w:val="auto"/>
          <w:kern w:val="24"/>
        </w:rPr>
      </w:pPr>
      <w:r w:rsidRPr="00F634CD">
        <w:rPr>
          <w:rFonts w:asciiTheme="majorBidi" w:hAnsiTheme="majorBidi" w:cstheme="majorBidi"/>
          <w:smallCaps/>
          <w:color w:val="auto"/>
          <w:kern w:val="24"/>
        </w:rPr>
        <w:t>Majidi</w:t>
      </w:r>
      <w:r w:rsidRPr="00F634CD">
        <w:rPr>
          <w:rFonts w:asciiTheme="majorBidi" w:hAnsiTheme="majorBidi" w:cstheme="majorBidi"/>
          <w:color w:val="auto"/>
          <w:kern w:val="24"/>
        </w:rPr>
        <w:t xml:space="preserve"> El Mehdi, « La finance islamique et la croissance économique : Quelles interactions dans les pays de MENA ? », Thèse de Doctorat, Université de Pau et des Pays de l’Adour, 2016, 253 p.</w:t>
      </w:r>
    </w:p>
    <w:p w14:paraId="5F96CAB4" w14:textId="77777777" w:rsidR="00A42833" w:rsidRPr="00F634CD" w:rsidRDefault="00A42833" w:rsidP="00DD05D8">
      <w:pPr>
        <w:tabs>
          <w:tab w:val="left" w:pos="0"/>
          <w:tab w:val="left" w:pos="284"/>
        </w:tabs>
        <w:spacing w:before="100"/>
        <w:rPr>
          <w:rFonts w:asciiTheme="majorBidi" w:hAnsiTheme="majorBidi" w:cstheme="majorBidi"/>
          <w:kern w:val="24"/>
          <w:sz w:val="24"/>
          <w:szCs w:val="24"/>
        </w:rPr>
      </w:pPr>
      <w:r w:rsidRPr="00F634CD">
        <w:rPr>
          <w:rFonts w:asciiTheme="majorBidi" w:hAnsiTheme="majorBidi" w:cstheme="majorBidi"/>
          <w:smallCaps/>
          <w:kern w:val="24"/>
          <w:sz w:val="24"/>
          <w:szCs w:val="24"/>
        </w:rPr>
        <w:t>Siagh</w:t>
      </w:r>
      <w:r w:rsidRPr="00F634CD">
        <w:rPr>
          <w:rFonts w:asciiTheme="majorBidi" w:hAnsiTheme="majorBidi" w:cstheme="majorBidi"/>
          <w:kern w:val="24"/>
          <w:sz w:val="24"/>
          <w:szCs w:val="24"/>
        </w:rPr>
        <w:t xml:space="preserve"> Lachemi, « Le fonctionnement des organisations dans les milieux de culture intense, le cas des banques islamiques », Thèse de Doctorat, Montréal, 2001, 363 p.</w:t>
      </w:r>
    </w:p>
    <w:p w14:paraId="36EB4EEE" w14:textId="77777777" w:rsidR="00A42833" w:rsidRPr="00F634CD" w:rsidRDefault="00A42833" w:rsidP="00DD05D8">
      <w:pPr>
        <w:tabs>
          <w:tab w:val="left" w:pos="0"/>
          <w:tab w:val="left" w:pos="284"/>
        </w:tabs>
        <w:spacing w:before="100"/>
        <w:rPr>
          <w:rFonts w:asciiTheme="majorBidi" w:hAnsiTheme="majorBidi" w:cstheme="majorBidi"/>
          <w:kern w:val="24"/>
          <w:sz w:val="24"/>
          <w:szCs w:val="24"/>
        </w:rPr>
      </w:pPr>
      <w:r w:rsidRPr="00F634CD">
        <w:rPr>
          <w:rFonts w:asciiTheme="majorBidi" w:hAnsiTheme="majorBidi" w:cstheme="majorBidi"/>
          <w:smallCaps/>
          <w:kern w:val="24"/>
          <w:sz w:val="24"/>
          <w:szCs w:val="24"/>
        </w:rPr>
        <w:t>Taccola-Lapierre</w:t>
      </w:r>
      <w:r w:rsidRPr="00F634CD">
        <w:rPr>
          <w:rFonts w:asciiTheme="majorBidi" w:hAnsiTheme="majorBidi" w:cstheme="majorBidi"/>
          <w:kern w:val="24"/>
          <w:sz w:val="24"/>
          <w:szCs w:val="24"/>
        </w:rPr>
        <w:t xml:space="preserve"> Sylvie, « Le dispositif prudentiel Bâle II, autoévaluation et contrôle interne : une application au cas français », Thèse pour le Doctorat en Sciences de gestion, Université du Sud Toulon Var, 2008, 354 p.</w:t>
      </w:r>
    </w:p>
    <w:p w14:paraId="7C3FDDBE" w14:textId="77777777" w:rsidR="00A42833" w:rsidRPr="00F634CD" w:rsidRDefault="00A42833" w:rsidP="00DD05D8">
      <w:pPr>
        <w:tabs>
          <w:tab w:val="left" w:pos="0"/>
          <w:tab w:val="left" w:pos="284"/>
        </w:tabs>
        <w:spacing w:before="100"/>
        <w:rPr>
          <w:rFonts w:asciiTheme="majorBidi" w:hAnsiTheme="majorBidi" w:cstheme="majorBidi"/>
          <w:kern w:val="24"/>
          <w:sz w:val="24"/>
          <w:szCs w:val="24"/>
        </w:rPr>
      </w:pPr>
      <w:r w:rsidRPr="00F634CD">
        <w:rPr>
          <w:rFonts w:asciiTheme="majorBidi" w:hAnsiTheme="majorBidi" w:cstheme="majorBidi"/>
          <w:smallCaps/>
          <w:kern w:val="24"/>
          <w:sz w:val="24"/>
          <w:szCs w:val="24"/>
        </w:rPr>
        <w:t>Toumi</w:t>
      </w:r>
      <w:r w:rsidRPr="00F634CD">
        <w:rPr>
          <w:rFonts w:asciiTheme="majorBidi" w:hAnsiTheme="majorBidi" w:cstheme="majorBidi"/>
          <w:kern w:val="24"/>
          <w:sz w:val="24"/>
          <w:szCs w:val="24"/>
        </w:rPr>
        <w:t xml:space="preserve"> Kaouther, « Structure de capital, profitabilité et risques des banques islamiques », Université de Sfax, Tunisie, 2011, 281 p.</w:t>
      </w:r>
    </w:p>
    <w:p w14:paraId="392AC7B2" w14:textId="31A90D36" w:rsidR="00A42833" w:rsidRDefault="00A42833" w:rsidP="00DD05D8">
      <w:pPr>
        <w:tabs>
          <w:tab w:val="left" w:pos="284"/>
        </w:tabs>
        <w:spacing w:before="100"/>
        <w:rPr>
          <w:rFonts w:asciiTheme="majorBidi" w:hAnsiTheme="majorBidi" w:cstheme="majorBidi"/>
          <w:spacing w:val="-4"/>
          <w:kern w:val="24"/>
          <w:sz w:val="24"/>
          <w:szCs w:val="24"/>
        </w:rPr>
      </w:pPr>
      <w:r w:rsidRPr="00F634CD">
        <w:rPr>
          <w:rFonts w:asciiTheme="majorBidi" w:hAnsiTheme="majorBidi" w:cstheme="majorBidi"/>
          <w:smallCaps/>
          <w:spacing w:val="-4"/>
          <w:kern w:val="24"/>
          <w:sz w:val="24"/>
          <w:szCs w:val="24"/>
        </w:rPr>
        <w:t>Trari Medjaoui</w:t>
      </w:r>
      <w:r w:rsidRPr="00F634CD">
        <w:rPr>
          <w:rFonts w:asciiTheme="majorBidi" w:hAnsiTheme="majorBidi" w:cstheme="majorBidi"/>
          <w:spacing w:val="-4"/>
          <w:kern w:val="24"/>
          <w:sz w:val="24"/>
          <w:szCs w:val="24"/>
        </w:rPr>
        <w:t xml:space="preserve"> Hocine, « Des limites de la finance conventionnelle à l’</w:t>
      </w:r>
      <w:r w:rsidR="00E53B6D" w:rsidRPr="00F634CD">
        <w:rPr>
          <w:rFonts w:asciiTheme="majorBidi" w:hAnsiTheme="majorBidi" w:cstheme="majorBidi"/>
          <w:spacing w:val="-4"/>
          <w:kern w:val="24"/>
          <w:sz w:val="24"/>
          <w:szCs w:val="24"/>
        </w:rPr>
        <w:t>émergence</w:t>
      </w:r>
      <w:r w:rsidRPr="00F634CD">
        <w:rPr>
          <w:rFonts w:asciiTheme="majorBidi" w:hAnsiTheme="majorBidi" w:cstheme="majorBidi"/>
          <w:spacing w:val="-4"/>
          <w:kern w:val="24"/>
          <w:sz w:val="24"/>
          <w:szCs w:val="24"/>
        </w:rPr>
        <w:t xml:space="preserve"> de la finance alternative », Thèse de Doctorat en sciences économiques, Université d’Oran, 2012, 287 p.</w:t>
      </w:r>
    </w:p>
    <w:p w14:paraId="0E476332" w14:textId="77777777" w:rsidR="00DD05D8" w:rsidRPr="00F634CD" w:rsidRDefault="00DD05D8" w:rsidP="00DD05D8">
      <w:pPr>
        <w:pStyle w:val="Paragraphedeliste"/>
        <w:tabs>
          <w:tab w:val="left" w:pos="-284"/>
          <w:tab w:val="left" w:pos="0"/>
          <w:tab w:val="left" w:pos="284"/>
        </w:tabs>
        <w:spacing w:before="100"/>
        <w:ind w:left="0"/>
        <w:contextualSpacing w:val="0"/>
        <w:rPr>
          <w:rFonts w:asciiTheme="majorBidi" w:hAnsiTheme="majorBidi" w:cstheme="majorBidi"/>
          <w:b/>
          <w:kern w:val="24"/>
          <w:sz w:val="24"/>
          <w:szCs w:val="24"/>
        </w:rPr>
      </w:pPr>
      <w:r w:rsidRPr="00F634CD">
        <w:rPr>
          <w:rFonts w:asciiTheme="majorBidi" w:hAnsiTheme="majorBidi" w:cstheme="majorBidi"/>
          <w:kern w:val="24"/>
          <w:sz w:val="24"/>
          <w:szCs w:val="24"/>
        </w:rPr>
        <w:sym w:font="Wingdings" w:char="F03A"/>
      </w:r>
      <w:r w:rsidRPr="00F634CD">
        <w:rPr>
          <w:rFonts w:asciiTheme="majorBidi" w:hAnsiTheme="majorBidi" w:cstheme="majorBidi"/>
          <w:b/>
          <w:kern w:val="24"/>
          <w:sz w:val="24"/>
          <w:szCs w:val="24"/>
        </w:rPr>
        <w:t>Sites Web</w:t>
      </w:r>
    </w:p>
    <w:p w14:paraId="63B535C0" w14:textId="2AD3A364" w:rsidR="00DD05D8" w:rsidRPr="00F634CD" w:rsidRDefault="00C40DAA" w:rsidP="00DD05D8">
      <w:pPr>
        <w:tabs>
          <w:tab w:val="left" w:pos="0"/>
          <w:tab w:val="left" w:pos="284"/>
        </w:tabs>
        <w:spacing w:before="100"/>
        <w:rPr>
          <w:rFonts w:asciiTheme="majorBidi" w:hAnsiTheme="majorBidi" w:cstheme="majorBidi"/>
          <w:kern w:val="24"/>
          <w:sz w:val="24"/>
          <w:szCs w:val="24"/>
        </w:rPr>
      </w:pPr>
      <w:hyperlink r:id="rId95" w:history="1">
        <w:r w:rsidR="00E53B6D" w:rsidRPr="003F3440">
          <w:rPr>
            <w:rStyle w:val="Lienhypertexte"/>
            <w:rFonts w:asciiTheme="majorBidi" w:hAnsiTheme="majorBidi" w:cstheme="majorBidi"/>
            <w:kern w:val="24"/>
            <w:sz w:val="24"/>
            <w:szCs w:val="24"/>
          </w:rPr>
          <w:t>http://www.sciencedirect.com/</w:t>
        </w:r>
      </w:hyperlink>
    </w:p>
    <w:p w14:paraId="39DBF69E" w14:textId="79CA444F" w:rsidR="00DD05D8" w:rsidRPr="00F634CD" w:rsidRDefault="00C40DAA" w:rsidP="00DD05D8">
      <w:pPr>
        <w:tabs>
          <w:tab w:val="left" w:pos="0"/>
          <w:tab w:val="left" w:pos="284"/>
        </w:tabs>
        <w:spacing w:before="100"/>
        <w:rPr>
          <w:rFonts w:asciiTheme="majorBidi" w:hAnsiTheme="majorBidi" w:cstheme="majorBidi"/>
          <w:kern w:val="24"/>
          <w:sz w:val="24"/>
          <w:szCs w:val="24"/>
        </w:rPr>
      </w:pPr>
      <w:hyperlink r:id="rId96" w:history="1">
        <w:r w:rsidR="00E53B6D" w:rsidRPr="003F3440">
          <w:rPr>
            <w:rStyle w:val="Lienhypertexte"/>
            <w:rFonts w:asciiTheme="majorBidi" w:hAnsiTheme="majorBidi" w:cstheme="majorBidi"/>
            <w:kern w:val="24"/>
            <w:sz w:val="24"/>
            <w:szCs w:val="24"/>
          </w:rPr>
          <w:t>http://www.ssrn.com/</w:t>
        </w:r>
      </w:hyperlink>
    </w:p>
    <w:p w14:paraId="4690EC81" w14:textId="20BF05EE" w:rsidR="00DD05D8" w:rsidRPr="00F634CD" w:rsidRDefault="00C40DAA" w:rsidP="00DD05D8">
      <w:pPr>
        <w:tabs>
          <w:tab w:val="left" w:pos="0"/>
          <w:tab w:val="left" w:pos="284"/>
        </w:tabs>
        <w:spacing w:before="100"/>
        <w:rPr>
          <w:rFonts w:asciiTheme="majorBidi" w:hAnsiTheme="majorBidi" w:cstheme="majorBidi"/>
          <w:kern w:val="24"/>
          <w:sz w:val="24"/>
          <w:szCs w:val="24"/>
        </w:rPr>
      </w:pPr>
      <w:hyperlink r:id="rId97" w:history="1">
        <w:r w:rsidR="00E53B6D" w:rsidRPr="003F3440">
          <w:rPr>
            <w:rStyle w:val="Lienhypertexte"/>
            <w:rFonts w:asciiTheme="majorBidi" w:hAnsiTheme="majorBidi" w:cstheme="majorBidi"/>
            <w:kern w:val="24"/>
            <w:sz w:val="24"/>
            <w:szCs w:val="24"/>
          </w:rPr>
          <w:t>www.daroulifto.com/</w:t>
        </w:r>
      </w:hyperlink>
    </w:p>
    <w:p w14:paraId="40CDFA4A" w14:textId="269547D2" w:rsidR="00DD05D8" w:rsidRPr="00E53B6D" w:rsidRDefault="00C40DAA" w:rsidP="00DD05D8">
      <w:pPr>
        <w:tabs>
          <w:tab w:val="left" w:pos="0"/>
          <w:tab w:val="left" w:pos="284"/>
        </w:tabs>
        <w:spacing w:before="100"/>
        <w:rPr>
          <w:rFonts w:asciiTheme="majorBidi" w:hAnsiTheme="majorBidi" w:cstheme="majorBidi"/>
          <w:kern w:val="24"/>
          <w:sz w:val="24"/>
          <w:szCs w:val="24"/>
        </w:rPr>
      </w:pPr>
      <w:hyperlink r:id="rId98" w:history="1">
        <w:r w:rsidR="00E53B6D" w:rsidRPr="003F3440">
          <w:rPr>
            <w:rStyle w:val="Lienhypertexte"/>
            <w:rFonts w:asciiTheme="majorBidi" w:hAnsiTheme="majorBidi" w:cstheme="majorBidi"/>
            <w:kern w:val="24"/>
            <w:sz w:val="24"/>
            <w:szCs w:val="24"/>
          </w:rPr>
          <w:t>www.Retaill-and-co.com/</w:t>
        </w:r>
      </w:hyperlink>
      <w:r w:rsidR="00E53B6D">
        <w:rPr>
          <w:rStyle w:val="Lienhypertexte"/>
          <w:rFonts w:asciiTheme="majorBidi" w:hAnsiTheme="majorBidi" w:cstheme="majorBidi"/>
          <w:color w:val="auto"/>
          <w:kern w:val="24"/>
          <w:sz w:val="24"/>
          <w:szCs w:val="24"/>
        </w:rPr>
        <w:t xml:space="preserve"> </w:t>
      </w:r>
    </w:p>
    <w:p w14:paraId="3907B22A" w14:textId="77777777" w:rsidR="00DD05D8" w:rsidRPr="00F634CD" w:rsidRDefault="00DD05D8" w:rsidP="00DD05D8">
      <w:pPr>
        <w:tabs>
          <w:tab w:val="left" w:pos="0"/>
          <w:tab w:val="left" w:pos="284"/>
        </w:tabs>
        <w:autoSpaceDE w:val="0"/>
        <w:autoSpaceDN w:val="0"/>
        <w:adjustRightInd w:val="0"/>
        <w:spacing w:before="100"/>
        <w:rPr>
          <w:rFonts w:asciiTheme="majorBidi" w:hAnsiTheme="majorBidi" w:cstheme="majorBidi"/>
          <w:kern w:val="24"/>
          <w:sz w:val="24"/>
          <w:szCs w:val="24"/>
          <w:lang w:val="en-GB" w:eastAsia="fr-FR"/>
        </w:rPr>
      </w:pPr>
      <w:r w:rsidRPr="00F634CD">
        <w:rPr>
          <w:rFonts w:asciiTheme="majorBidi" w:hAnsiTheme="majorBidi" w:cstheme="majorBidi"/>
          <w:kern w:val="24"/>
          <w:sz w:val="24"/>
          <w:szCs w:val="24"/>
          <w:lang w:val="en-GB" w:eastAsia="fr-FR"/>
        </w:rPr>
        <w:t xml:space="preserve">“Overview of 2009 Key Trends in Islamic Funds”, </w:t>
      </w:r>
      <w:r w:rsidRPr="00F634CD">
        <w:rPr>
          <w:rFonts w:asciiTheme="majorBidi" w:hAnsiTheme="majorBidi" w:cstheme="majorBidi"/>
          <w:b/>
          <w:bCs/>
          <w:kern w:val="24"/>
          <w:sz w:val="24"/>
          <w:szCs w:val="24"/>
          <w:lang w:val="en-GB" w:eastAsia="fr-FR"/>
        </w:rPr>
        <w:t>Eurekahedge, (2010)</w:t>
      </w:r>
    </w:p>
    <w:p w14:paraId="774AC175" w14:textId="421692D2" w:rsidR="00DD05D8" w:rsidRPr="00F634CD" w:rsidRDefault="00C40DAA" w:rsidP="00DD05D8">
      <w:pPr>
        <w:tabs>
          <w:tab w:val="left" w:pos="0"/>
          <w:tab w:val="left" w:pos="284"/>
        </w:tabs>
        <w:autoSpaceDE w:val="0"/>
        <w:autoSpaceDN w:val="0"/>
        <w:adjustRightInd w:val="0"/>
        <w:spacing w:before="100"/>
        <w:rPr>
          <w:rFonts w:asciiTheme="majorBidi" w:hAnsiTheme="majorBidi" w:cstheme="majorBidi"/>
          <w:kern w:val="24"/>
          <w:sz w:val="24"/>
          <w:szCs w:val="24"/>
          <w:lang w:val="en-GB" w:eastAsia="fr-FR"/>
        </w:rPr>
      </w:pPr>
      <w:hyperlink r:id="rId99" w:history="1">
        <w:r w:rsidR="00E53B6D" w:rsidRPr="003F3440">
          <w:rPr>
            <w:rStyle w:val="Lienhypertexte"/>
            <w:rFonts w:asciiTheme="majorBidi" w:hAnsiTheme="majorBidi" w:cstheme="majorBidi"/>
            <w:kern w:val="24"/>
            <w:sz w:val="24"/>
            <w:szCs w:val="24"/>
            <w:lang w:val="en-GB" w:eastAsia="fr-FR"/>
          </w:rPr>
          <w:t>http://eurekahedge.blogspot.fr/2010/01/overview-of-2009-key-trends-in-Islamic.html/</w:t>
        </w:r>
      </w:hyperlink>
      <w:r w:rsidR="00E53B6D">
        <w:rPr>
          <w:rStyle w:val="Lienhypertexte"/>
          <w:rFonts w:asciiTheme="majorBidi" w:hAnsiTheme="majorBidi" w:cstheme="majorBidi"/>
          <w:color w:val="auto"/>
          <w:kern w:val="24"/>
          <w:sz w:val="24"/>
          <w:szCs w:val="24"/>
          <w:lang w:val="en-GB" w:eastAsia="fr-FR"/>
        </w:rPr>
        <w:t xml:space="preserve"> </w:t>
      </w:r>
    </w:p>
    <w:p w14:paraId="09EC9B4B" w14:textId="2B98FDAD" w:rsidR="00DD05D8" w:rsidRPr="00F634CD" w:rsidRDefault="00C40DAA" w:rsidP="00DD05D8">
      <w:pPr>
        <w:tabs>
          <w:tab w:val="left" w:pos="0"/>
          <w:tab w:val="left" w:pos="284"/>
        </w:tabs>
        <w:autoSpaceDE w:val="0"/>
        <w:autoSpaceDN w:val="0"/>
        <w:adjustRightInd w:val="0"/>
        <w:spacing w:before="100"/>
        <w:rPr>
          <w:rFonts w:asciiTheme="majorBidi" w:hAnsiTheme="majorBidi" w:cstheme="majorBidi"/>
          <w:kern w:val="24"/>
          <w:sz w:val="24"/>
          <w:szCs w:val="24"/>
          <w:lang w:val="en-GB"/>
        </w:rPr>
      </w:pPr>
      <w:hyperlink r:id="rId100" w:history="1">
        <w:r w:rsidR="00E53B6D" w:rsidRPr="003F3440">
          <w:rPr>
            <w:rStyle w:val="Lienhypertexte"/>
            <w:rFonts w:asciiTheme="majorBidi" w:hAnsiTheme="majorBidi" w:cstheme="majorBidi"/>
            <w:kern w:val="24"/>
            <w:sz w:val="24"/>
            <w:szCs w:val="24"/>
            <w:lang w:val="en-GB"/>
          </w:rPr>
          <w:t>www.Celent.com/</w:t>
        </w:r>
      </w:hyperlink>
      <w:r w:rsidR="00E53B6D">
        <w:rPr>
          <w:rStyle w:val="Lienhypertexte"/>
          <w:rFonts w:asciiTheme="majorBidi" w:hAnsiTheme="majorBidi" w:cstheme="majorBidi"/>
          <w:color w:val="auto"/>
          <w:kern w:val="24"/>
          <w:sz w:val="24"/>
          <w:szCs w:val="24"/>
          <w:lang w:val="en-GB"/>
        </w:rPr>
        <w:t xml:space="preserve"> </w:t>
      </w:r>
    </w:p>
    <w:p w14:paraId="550E5467" w14:textId="22EC7B62" w:rsidR="00DD05D8" w:rsidRPr="00F634CD" w:rsidRDefault="00DD05D8" w:rsidP="00DD05D8">
      <w:pPr>
        <w:tabs>
          <w:tab w:val="left" w:pos="0"/>
          <w:tab w:val="left" w:pos="284"/>
        </w:tabs>
        <w:autoSpaceDE w:val="0"/>
        <w:autoSpaceDN w:val="0"/>
        <w:adjustRightInd w:val="0"/>
        <w:spacing w:before="100"/>
        <w:rPr>
          <w:rFonts w:asciiTheme="majorBidi" w:hAnsiTheme="majorBidi" w:cstheme="majorBidi"/>
          <w:kern w:val="24"/>
          <w:sz w:val="24"/>
          <w:szCs w:val="24"/>
          <w:lang w:val="en-GB"/>
        </w:rPr>
      </w:pPr>
      <w:r w:rsidRPr="00F634CD">
        <w:rPr>
          <w:rFonts w:asciiTheme="majorBidi" w:hAnsiTheme="majorBidi" w:cstheme="majorBidi"/>
          <w:smallCaps/>
          <w:kern w:val="24"/>
          <w:sz w:val="24"/>
          <w:szCs w:val="24"/>
          <w:lang w:val="en-GB"/>
        </w:rPr>
        <w:t>Alumneye</w:t>
      </w:r>
      <w:r w:rsidRPr="00F634CD">
        <w:rPr>
          <w:rFonts w:asciiTheme="majorBidi" w:hAnsiTheme="majorBidi" w:cstheme="majorBidi"/>
          <w:kern w:val="24"/>
          <w:sz w:val="24"/>
          <w:szCs w:val="24"/>
          <w:lang w:val="en-GB"/>
        </w:rPr>
        <w:t xml:space="preserve">, (2015), In Economics, 10 </w:t>
      </w:r>
      <w:r w:rsidR="00E53B6D">
        <w:rPr>
          <w:rFonts w:asciiTheme="majorBidi" w:hAnsiTheme="majorBidi" w:cstheme="majorBidi"/>
          <w:kern w:val="24"/>
          <w:sz w:val="24"/>
          <w:szCs w:val="24"/>
          <w:lang w:val="en-GB"/>
        </w:rPr>
        <w:t>a</w:t>
      </w:r>
      <w:r w:rsidRPr="00F634CD">
        <w:rPr>
          <w:rFonts w:asciiTheme="majorBidi" w:hAnsiTheme="majorBidi" w:cstheme="majorBidi"/>
          <w:kern w:val="24"/>
          <w:sz w:val="24"/>
          <w:szCs w:val="24"/>
          <w:lang w:val="en-GB"/>
        </w:rPr>
        <w:t>o</w:t>
      </w:r>
      <w:r w:rsidR="00E53B6D">
        <w:rPr>
          <w:rFonts w:asciiTheme="majorBidi" w:hAnsiTheme="majorBidi" w:cstheme="majorBidi"/>
          <w:kern w:val="24"/>
          <w:sz w:val="24"/>
          <w:szCs w:val="24"/>
          <w:lang w:val="en-GB"/>
        </w:rPr>
        <w:t>û</w:t>
      </w:r>
      <w:r w:rsidRPr="00F634CD">
        <w:rPr>
          <w:rFonts w:asciiTheme="majorBidi" w:hAnsiTheme="majorBidi" w:cstheme="majorBidi"/>
          <w:kern w:val="24"/>
          <w:sz w:val="24"/>
          <w:szCs w:val="24"/>
          <w:lang w:val="en-GB"/>
        </w:rPr>
        <w:t>t 2015.</w:t>
      </w:r>
    </w:p>
    <w:p w14:paraId="393BD34D" w14:textId="77777777" w:rsidR="00A42833" w:rsidRPr="00F634CD" w:rsidRDefault="00A42833" w:rsidP="00DD05D8">
      <w:pPr>
        <w:tabs>
          <w:tab w:val="left" w:pos="0"/>
          <w:tab w:val="left" w:pos="284"/>
        </w:tabs>
        <w:spacing w:before="100" w:beforeAutospacing="1" w:after="120"/>
        <w:rPr>
          <w:rFonts w:asciiTheme="majorBidi" w:hAnsiTheme="majorBidi" w:cstheme="majorBidi"/>
          <w:b/>
          <w:bCs/>
          <w:kern w:val="24"/>
          <w:sz w:val="24"/>
          <w:szCs w:val="24"/>
          <w:lang w:eastAsia="fr-FR"/>
        </w:rPr>
      </w:pPr>
      <w:r w:rsidRPr="00F634CD">
        <w:rPr>
          <w:rFonts w:asciiTheme="majorBidi" w:hAnsiTheme="majorBidi" w:cstheme="majorBidi"/>
          <w:b/>
          <w:bCs/>
          <w:kern w:val="24"/>
          <w:sz w:val="24"/>
          <w:szCs w:val="24"/>
          <w:lang w:val="en-US"/>
        </w:rPr>
        <w:sym w:font="Webdings" w:char="F0A8"/>
      </w:r>
      <w:r w:rsidRPr="00F634CD">
        <w:rPr>
          <w:rFonts w:asciiTheme="majorBidi" w:hAnsiTheme="majorBidi" w:cstheme="majorBidi"/>
          <w:b/>
          <w:bCs/>
          <w:kern w:val="24"/>
          <w:sz w:val="24"/>
          <w:szCs w:val="24"/>
          <w:lang w:val="en-US"/>
        </w:rPr>
        <w:t xml:space="preserve"> </w:t>
      </w:r>
      <w:r w:rsidRPr="00F634CD">
        <w:rPr>
          <w:rFonts w:asciiTheme="majorBidi" w:hAnsiTheme="majorBidi" w:cstheme="majorBidi"/>
          <w:b/>
          <w:bCs/>
          <w:kern w:val="24"/>
          <w:sz w:val="24"/>
          <w:szCs w:val="24"/>
          <w:lang w:eastAsia="fr-FR"/>
        </w:rPr>
        <w:t>Références en arabe</w:t>
      </w:r>
    </w:p>
    <w:p w14:paraId="4726106E" w14:textId="65462DA6" w:rsidR="00A42833" w:rsidRPr="00E53B6D" w:rsidRDefault="00A42833" w:rsidP="00621FA2">
      <w:pPr>
        <w:tabs>
          <w:tab w:val="left" w:pos="0"/>
          <w:tab w:val="left" w:pos="284"/>
        </w:tabs>
        <w:bidi/>
        <w:spacing w:before="120"/>
        <w:rPr>
          <w:rFonts w:asciiTheme="majorBidi" w:hAnsiTheme="majorBidi" w:cstheme="majorBidi"/>
          <w:spacing w:val="-2"/>
          <w:kern w:val="24"/>
          <w:sz w:val="24"/>
          <w:szCs w:val="24"/>
          <w:rtl/>
        </w:rPr>
      </w:pPr>
      <w:r w:rsidRPr="00E53B6D">
        <w:rPr>
          <w:rFonts w:asciiTheme="majorBidi" w:hAnsiTheme="majorBidi" w:cstheme="majorBidi"/>
          <w:spacing w:val="-2"/>
          <w:kern w:val="24"/>
          <w:sz w:val="24"/>
          <w:szCs w:val="24"/>
          <w:rtl/>
          <w:lang w:bidi="ar-DZ"/>
        </w:rPr>
        <w:t>البرواري شعبان محمد اسلام،</w:t>
      </w:r>
      <w:r w:rsidR="00E53B6D" w:rsidRPr="00E53B6D">
        <w:rPr>
          <w:rFonts w:asciiTheme="majorBidi" w:hAnsiTheme="majorBidi" w:cstheme="majorBidi"/>
          <w:spacing w:val="-2"/>
          <w:kern w:val="24"/>
          <w:sz w:val="24"/>
          <w:szCs w:val="24"/>
          <w:lang w:bidi="ar-DZ"/>
        </w:rPr>
        <w:t xml:space="preserve"> </w:t>
      </w:r>
      <w:r w:rsidRPr="00E53B6D">
        <w:rPr>
          <w:rFonts w:asciiTheme="majorBidi" w:hAnsiTheme="majorBidi" w:cstheme="majorBidi"/>
          <w:spacing w:val="-2"/>
          <w:kern w:val="24"/>
          <w:sz w:val="24"/>
          <w:szCs w:val="24"/>
          <w:rtl/>
          <w:lang w:bidi="ar-DZ"/>
        </w:rPr>
        <w:t xml:space="preserve">"بورصة الاوراق المالية من منظور اسلامي"، دار الفكر الاسلامي، دمشق، </w:t>
      </w:r>
      <w:r w:rsidRPr="00E53B6D">
        <w:rPr>
          <w:rFonts w:asciiTheme="majorBidi" w:hAnsiTheme="majorBidi" w:cstheme="majorBidi"/>
          <w:spacing w:val="-2"/>
          <w:kern w:val="24"/>
          <w:sz w:val="24"/>
          <w:szCs w:val="24"/>
          <w:rtl/>
        </w:rPr>
        <w:t xml:space="preserve">سوريا، </w:t>
      </w:r>
      <w:r w:rsidRPr="00E53B6D">
        <w:rPr>
          <w:rFonts w:asciiTheme="majorBidi" w:hAnsiTheme="majorBidi" w:cstheme="majorBidi"/>
          <w:spacing w:val="-2"/>
          <w:kern w:val="24"/>
          <w:sz w:val="24"/>
          <w:szCs w:val="24"/>
          <w:rtl/>
          <w:lang w:bidi="ar-DZ"/>
        </w:rPr>
        <w:t>2002</w:t>
      </w:r>
      <w:r w:rsidRPr="00E53B6D">
        <w:rPr>
          <w:rFonts w:asciiTheme="majorBidi" w:hAnsiTheme="majorBidi" w:cstheme="majorBidi"/>
          <w:spacing w:val="-2"/>
          <w:kern w:val="24"/>
          <w:sz w:val="24"/>
          <w:szCs w:val="24"/>
          <w:rtl/>
        </w:rPr>
        <w:t>.</w:t>
      </w:r>
    </w:p>
    <w:p w14:paraId="1A51358A" w14:textId="17642F87" w:rsidR="00A42833" w:rsidRPr="00F634CD" w:rsidRDefault="00A42833" w:rsidP="00621FA2">
      <w:pPr>
        <w:tabs>
          <w:tab w:val="left" w:pos="0"/>
          <w:tab w:val="left" w:pos="284"/>
        </w:tabs>
        <w:bidi/>
        <w:spacing w:before="120"/>
        <w:rPr>
          <w:rFonts w:asciiTheme="majorBidi" w:hAnsiTheme="majorBidi" w:cstheme="majorBidi"/>
          <w:kern w:val="24"/>
          <w:sz w:val="24"/>
          <w:szCs w:val="24"/>
          <w:rtl/>
          <w:lang w:bidi="ar-DZ"/>
        </w:rPr>
      </w:pPr>
      <w:r w:rsidRPr="00F634CD">
        <w:rPr>
          <w:rFonts w:asciiTheme="majorBidi" w:hAnsiTheme="majorBidi" w:cstheme="majorBidi"/>
          <w:kern w:val="24"/>
          <w:sz w:val="24"/>
          <w:szCs w:val="24"/>
          <w:rtl/>
        </w:rPr>
        <w:t>الياس عبد الله ابو الهيجاء</w:t>
      </w:r>
      <w:r w:rsidRPr="00F634CD">
        <w:rPr>
          <w:rFonts w:asciiTheme="majorBidi" w:hAnsiTheme="majorBidi" w:cstheme="majorBidi"/>
          <w:kern w:val="24"/>
          <w:sz w:val="24"/>
          <w:szCs w:val="24"/>
          <w:rtl/>
          <w:lang w:bidi="ar-DZ"/>
        </w:rPr>
        <w:t xml:space="preserve">، "تطوير آليات التمويل بالمشاركة في المصارف الإسلامية: دراسة حالة الأردن"، أطروحة دكتورا، تخصص الاقتصاد </w:t>
      </w:r>
      <w:r w:rsidR="00DD05D8" w:rsidRPr="00F634CD">
        <w:rPr>
          <w:rFonts w:asciiTheme="majorBidi" w:hAnsiTheme="majorBidi" w:cstheme="majorBidi" w:hint="cs"/>
          <w:kern w:val="24"/>
          <w:sz w:val="24"/>
          <w:szCs w:val="24"/>
          <w:rtl/>
          <w:lang w:bidi="ar-DZ"/>
        </w:rPr>
        <w:t>والمصارف</w:t>
      </w:r>
      <w:r w:rsidRPr="00F634CD">
        <w:rPr>
          <w:rFonts w:asciiTheme="majorBidi" w:hAnsiTheme="majorBidi" w:cstheme="majorBidi"/>
          <w:kern w:val="24"/>
          <w:sz w:val="24"/>
          <w:szCs w:val="24"/>
          <w:rtl/>
          <w:lang w:bidi="ar-DZ"/>
        </w:rPr>
        <w:t xml:space="preserve"> الإسلامية، جامعة اليرموك، 2007 ،247 ص.</w:t>
      </w:r>
    </w:p>
    <w:p w14:paraId="387F9FFD" w14:textId="77777777" w:rsidR="00A42833" w:rsidRPr="00F634CD" w:rsidRDefault="00A42833" w:rsidP="00621FA2">
      <w:pPr>
        <w:autoSpaceDE w:val="0"/>
        <w:autoSpaceDN w:val="0"/>
        <w:bidi/>
        <w:adjustRightInd w:val="0"/>
        <w:spacing w:before="120"/>
        <w:rPr>
          <w:rFonts w:asciiTheme="majorBidi" w:hAnsiTheme="majorBidi" w:cstheme="majorBidi"/>
          <w:kern w:val="24"/>
          <w:sz w:val="24"/>
          <w:szCs w:val="24"/>
          <w:rtl/>
          <w:lang w:bidi="ar-DZ"/>
        </w:rPr>
      </w:pPr>
      <w:r w:rsidRPr="00F634CD">
        <w:rPr>
          <w:rFonts w:asciiTheme="majorBidi" w:hAnsiTheme="majorBidi" w:cstheme="majorBidi"/>
          <w:kern w:val="24"/>
          <w:sz w:val="24"/>
          <w:szCs w:val="24"/>
          <w:rtl/>
        </w:rPr>
        <w:t>محمد</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بوجلال، "تقييم</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المجهود</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التنظيري</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للبنوك</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الإسلامية</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والحاجة</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إلى</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مقاربة</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جديدة</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على</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ضوء ثلاثة</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عقود</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من</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التجربة</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الميدانية</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وأثر</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العولمة</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المالية</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على</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الصناعة</w:t>
      </w:r>
      <w:r w:rsidRPr="00F634CD">
        <w:rPr>
          <w:rFonts w:asciiTheme="majorBidi" w:hAnsiTheme="majorBidi" w:cstheme="majorBidi"/>
          <w:kern w:val="24"/>
          <w:sz w:val="24"/>
          <w:szCs w:val="24"/>
        </w:rPr>
        <w:t xml:space="preserve"> </w:t>
      </w:r>
      <w:r w:rsidRPr="00F634CD">
        <w:rPr>
          <w:rFonts w:asciiTheme="majorBidi" w:hAnsiTheme="majorBidi" w:cstheme="majorBidi"/>
          <w:kern w:val="24"/>
          <w:sz w:val="24"/>
          <w:szCs w:val="24"/>
          <w:rtl/>
        </w:rPr>
        <w:t>المصرفية"، المؤتمر العالمي السابع للاقتصاد الإسلامي، 1-3 أفريل 2008، مركز أبحاث الإقتصادي الإسلامي، جدّة، ص.</w:t>
      </w:r>
      <w:r w:rsidRPr="00F634CD">
        <w:rPr>
          <w:rFonts w:asciiTheme="majorBidi" w:hAnsiTheme="majorBidi" w:cstheme="majorBidi"/>
          <w:kern w:val="24"/>
          <w:sz w:val="24"/>
          <w:szCs w:val="24"/>
        </w:rPr>
        <w:t xml:space="preserve">329-352 </w:t>
      </w:r>
      <w:r w:rsidRPr="00F634CD">
        <w:rPr>
          <w:rFonts w:asciiTheme="majorBidi" w:hAnsiTheme="majorBidi" w:cstheme="majorBidi"/>
          <w:kern w:val="24"/>
          <w:sz w:val="24"/>
          <w:szCs w:val="24"/>
          <w:rtl/>
        </w:rPr>
        <w:t>.</w:t>
      </w:r>
    </w:p>
    <w:p w14:paraId="132970E0" w14:textId="77777777" w:rsidR="00A42833" w:rsidRPr="00F634CD" w:rsidRDefault="00A42833" w:rsidP="00621FA2">
      <w:pPr>
        <w:tabs>
          <w:tab w:val="left" w:pos="0"/>
          <w:tab w:val="left" w:pos="284"/>
        </w:tabs>
        <w:bidi/>
        <w:spacing w:before="120"/>
        <w:rPr>
          <w:rFonts w:asciiTheme="majorBidi" w:hAnsiTheme="majorBidi" w:cstheme="majorBidi"/>
          <w:kern w:val="24"/>
          <w:sz w:val="24"/>
          <w:szCs w:val="24"/>
          <w:rtl/>
        </w:rPr>
      </w:pPr>
      <w:r w:rsidRPr="00F634CD">
        <w:rPr>
          <w:rFonts w:asciiTheme="majorBidi" w:hAnsiTheme="majorBidi" w:cstheme="majorBidi"/>
          <w:kern w:val="24"/>
          <w:sz w:val="24"/>
          <w:szCs w:val="24"/>
          <w:rtl/>
          <w:lang w:bidi="ar-DZ"/>
        </w:rPr>
        <w:t>مبارك بن سليمان ال فواز، "الاوراق المالية من منظور اسلامي"، مركز النشر العلمي، جامعة الملك عبد العزيز، جدة، المملكة العربية السعودية، 2010.</w:t>
      </w:r>
    </w:p>
    <w:p w14:paraId="0ADA518E" w14:textId="5E5E64BB" w:rsidR="00440514" w:rsidRPr="00DD05D8" w:rsidRDefault="00A42833" w:rsidP="00DD05D8">
      <w:pPr>
        <w:pStyle w:val="Paragraphedeliste"/>
        <w:tabs>
          <w:tab w:val="left" w:pos="424"/>
        </w:tabs>
        <w:bidi/>
        <w:spacing w:before="120"/>
        <w:ind w:left="0"/>
        <w:contextualSpacing w:val="0"/>
        <w:rPr>
          <w:rFonts w:asciiTheme="majorBidi" w:hAnsiTheme="majorBidi" w:cstheme="majorBidi"/>
          <w:spacing w:val="-4"/>
          <w:kern w:val="24"/>
          <w:sz w:val="24"/>
          <w:szCs w:val="24"/>
        </w:rPr>
      </w:pPr>
      <w:r w:rsidRPr="00F634CD">
        <w:rPr>
          <w:rFonts w:asciiTheme="majorBidi" w:hAnsiTheme="majorBidi" w:cstheme="majorBidi"/>
          <w:spacing w:val="-4"/>
          <w:kern w:val="24"/>
          <w:sz w:val="24"/>
          <w:szCs w:val="24"/>
          <w:rtl/>
        </w:rPr>
        <w:t xml:space="preserve">مهدي ميلود، "تحليل فعالية </w:t>
      </w:r>
      <w:r w:rsidR="00DD05D8" w:rsidRPr="00F634CD">
        <w:rPr>
          <w:rFonts w:asciiTheme="majorBidi" w:hAnsiTheme="majorBidi" w:cstheme="majorBidi" w:hint="cs"/>
          <w:spacing w:val="-4"/>
          <w:kern w:val="24"/>
          <w:sz w:val="24"/>
          <w:szCs w:val="24"/>
          <w:rtl/>
        </w:rPr>
        <w:t>وحدود</w:t>
      </w:r>
      <w:r w:rsidRPr="00F634CD">
        <w:rPr>
          <w:rFonts w:asciiTheme="majorBidi" w:hAnsiTheme="majorBidi" w:cstheme="majorBidi"/>
          <w:spacing w:val="-4"/>
          <w:kern w:val="24"/>
          <w:sz w:val="24"/>
          <w:szCs w:val="24"/>
          <w:rtl/>
        </w:rPr>
        <w:t xml:space="preserve"> التمويل الإسلامي في تفعيل نشاط المؤسسات الصغيرة </w:t>
      </w:r>
      <w:r w:rsidR="00DD05D8" w:rsidRPr="00F634CD">
        <w:rPr>
          <w:rFonts w:asciiTheme="majorBidi" w:hAnsiTheme="majorBidi" w:cstheme="majorBidi" w:hint="cs"/>
          <w:spacing w:val="-4"/>
          <w:kern w:val="24"/>
          <w:sz w:val="24"/>
          <w:szCs w:val="24"/>
          <w:rtl/>
        </w:rPr>
        <w:t>والمتوسطة</w:t>
      </w:r>
      <w:r w:rsidRPr="00F634CD">
        <w:rPr>
          <w:rFonts w:asciiTheme="majorBidi" w:hAnsiTheme="majorBidi" w:cstheme="majorBidi"/>
          <w:spacing w:val="-4"/>
          <w:kern w:val="24"/>
          <w:sz w:val="24"/>
          <w:szCs w:val="24"/>
          <w:rtl/>
        </w:rPr>
        <w:t xml:space="preserve"> في الجزائر، دراسة تطبيقية عن بنك البركة الجزائري"، أطروحة دكتوراة في العلوم الاقتصادية، جامعة وهران</w:t>
      </w:r>
      <w:r w:rsidRPr="00F634CD">
        <w:rPr>
          <w:rFonts w:asciiTheme="majorBidi" w:hAnsiTheme="majorBidi" w:cstheme="majorBidi"/>
          <w:spacing w:val="-4"/>
          <w:kern w:val="24"/>
          <w:sz w:val="24"/>
          <w:szCs w:val="24"/>
        </w:rPr>
        <w:t> </w:t>
      </w:r>
      <w:r w:rsidRPr="00F634CD">
        <w:rPr>
          <w:rFonts w:asciiTheme="majorBidi" w:hAnsiTheme="majorBidi" w:cstheme="majorBidi"/>
          <w:spacing w:val="-4"/>
          <w:kern w:val="24"/>
          <w:sz w:val="24"/>
          <w:szCs w:val="24"/>
          <w:rtl/>
        </w:rPr>
        <w:t>2، 2014،</w:t>
      </w:r>
      <w:r w:rsidRPr="00F634CD">
        <w:rPr>
          <w:rFonts w:asciiTheme="majorBidi" w:hAnsiTheme="majorBidi" w:cstheme="majorBidi"/>
          <w:spacing w:val="-4"/>
          <w:kern w:val="24"/>
          <w:sz w:val="24"/>
          <w:szCs w:val="24"/>
        </w:rPr>
        <w:t xml:space="preserve"> </w:t>
      </w:r>
      <w:r w:rsidRPr="00F634CD">
        <w:rPr>
          <w:rFonts w:asciiTheme="majorBidi" w:hAnsiTheme="majorBidi" w:cstheme="majorBidi"/>
          <w:spacing w:val="-4"/>
          <w:kern w:val="24"/>
          <w:sz w:val="24"/>
          <w:szCs w:val="24"/>
          <w:rtl/>
        </w:rPr>
        <w:t>430 ص.</w:t>
      </w:r>
    </w:p>
    <w:p w14:paraId="7B55BA56" w14:textId="77777777" w:rsidR="00E53B6D" w:rsidRPr="00F634CD" w:rsidRDefault="00E53B6D">
      <w:pPr>
        <w:rPr>
          <w:rFonts w:ascii="Times New Roman" w:hAnsi="Times New Roman" w:cs="Times New Roman"/>
          <w:kern w:val="24"/>
          <w:sz w:val="24"/>
          <w:szCs w:val="24"/>
          <w:rtl/>
          <w:lang w:eastAsia="fr-FR"/>
        </w:rPr>
      </w:pPr>
    </w:p>
    <w:p w14:paraId="22FCE9B4" w14:textId="77777777" w:rsidR="00810C09" w:rsidRPr="00F634CD" w:rsidRDefault="00810C09" w:rsidP="00DA4383">
      <w:pPr>
        <w:spacing w:before="120" w:after="120" w:line="360" w:lineRule="auto"/>
        <w:jc w:val="center"/>
        <w:rPr>
          <w:rFonts w:ascii="Times New Roman" w:hAnsi="Times New Roman" w:cs="Times New Roman"/>
          <w:b/>
          <w:bCs/>
          <w:smallCaps/>
          <w:kern w:val="24"/>
          <w:sz w:val="48"/>
          <w:szCs w:val="48"/>
        </w:rPr>
        <w:sectPr w:rsidR="00810C09" w:rsidRPr="00F634CD" w:rsidSect="00802BB3">
          <w:footerReference w:type="default" r:id="rId101"/>
          <w:footnotePr>
            <w:numRestart w:val="eachPage"/>
          </w:footnotePr>
          <w:pgSz w:w="11906" w:h="16838" w:code="9"/>
          <w:pgMar w:top="1134" w:right="1134" w:bottom="1134" w:left="1134" w:header="709" w:footer="709" w:gutter="567"/>
          <w:pgNumType w:start="239"/>
          <w:cols w:space="708"/>
          <w:docGrid w:linePitch="360"/>
        </w:sectPr>
      </w:pPr>
      <w:bookmarkStart w:id="1875" w:name="_Toc58606397"/>
      <w:bookmarkStart w:id="1876" w:name="_Toc61263604"/>
      <w:bookmarkStart w:id="1877" w:name="_Toc33263418"/>
      <w:bookmarkStart w:id="1878" w:name="_Toc33264133"/>
      <w:bookmarkStart w:id="1879" w:name="_Toc37664682"/>
      <w:bookmarkStart w:id="1880" w:name="_Toc37666527"/>
      <w:bookmarkStart w:id="1881" w:name="_Toc37667335"/>
      <w:bookmarkStart w:id="1882" w:name="_Toc54361045"/>
      <w:bookmarkStart w:id="1883" w:name="_Toc54361693"/>
      <w:bookmarkStart w:id="1884" w:name="_Toc54363424"/>
      <w:bookmarkStart w:id="1885" w:name="_Toc57901042"/>
      <w:bookmarkStart w:id="1886" w:name="_Toc58261944"/>
      <w:bookmarkStart w:id="1887" w:name="_Toc58606396"/>
      <w:bookmarkStart w:id="1888" w:name="_Toc61263603"/>
    </w:p>
    <w:p w14:paraId="5B9E6426" w14:textId="77777777" w:rsidR="00DA4383" w:rsidRPr="00F634CD" w:rsidRDefault="00DA4383" w:rsidP="00DA4383">
      <w:pPr>
        <w:spacing w:before="120" w:after="120" w:line="360" w:lineRule="auto"/>
        <w:jc w:val="center"/>
        <w:rPr>
          <w:rFonts w:ascii="Times New Roman" w:hAnsi="Times New Roman" w:cs="Times New Roman"/>
          <w:b/>
          <w:bCs/>
          <w:smallCaps/>
          <w:kern w:val="24"/>
          <w:sz w:val="48"/>
          <w:szCs w:val="48"/>
        </w:rPr>
      </w:pPr>
    </w:p>
    <w:p w14:paraId="6674E3C3" w14:textId="77777777" w:rsidR="00DA4383" w:rsidRPr="00F634CD" w:rsidRDefault="00DA4383" w:rsidP="00DA4383">
      <w:pPr>
        <w:spacing w:before="120" w:after="120" w:line="360" w:lineRule="auto"/>
        <w:jc w:val="center"/>
        <w:rPr>
          <w:rFonts w:ascii="Times New Roman" w:hAnsi="Times New Roman" w:cs="Times New Roman"/>
          <w:b/>
          <w:bCs/>
          <w:smallCaps/>
          <w:kern w:val="24"/>
          <w:sz w:val="48"/>
          <w:szCs w:val="48"/>
        </w:rPr>
      </w:pPr>
    </w:p>
    <w:p w14:paraId="2D52A780" w14:textId="77777777" w:rsidR="00DA4383" w:rsidRPr="00F634CD" w:rsidRDefault="00DA4383" w:rsidP="00DA4383">
      <w:pPr>
        <w:spacing w:before="120" w:after="120" w:line="360" w:lineRule="auto"/>
        <w:jc w:val="center"/>
        <w:rPr>
          <w:rFonts w:ascii="Times New Roman" w:hAnsi="Times New Roman" w:cs="Times New Roman"/>
          <w:b/>
          <w:bCs/>
          <w:smallCaps/>
          <w:kern w:val="24"/>
          <w:sz w:val="48"/>
          <w:szCs w:val="48"/>
        </w:rPr>
      </w:pPr>
    </w:p>
    <w:p w14:paraId="56F0B669" w14:textId="77777777" w:rsidR="00DA4383" w:rsidRPr="00F634CD" w:rsidRDefault="00DA4383" w:rsidP="00DA4383">
      <w:pPr>
        <w:spacing w:before="120" w:after="120" w:line="360" w:lineRule="auto"/>
        <w:jc w:val="center"/>
        <w:rPr>
          <w:rFonts w:ascii="Times New Roman" w:hAnsi="Times New Roman" w:cs="Times New Roman"/>
          <w:b/>
          <w:bCs/>
          <w:smallCaps/>
          <w:kern w:val="24"/>
          <w:sz w:val="48"/>
          <w:szCs w:val="48"/>
        </w:rPr>
      </w:pPr>
    </w:p>
    <w:p w14:paraId="6B92BCF9" w14:textId="77777777" w:rsidR="00DA4383" w:rsidRPr="00F634CD" w:rsidRDefault="00DA4383" w:rsidP="00DA4383">
      <w:pPr>
        <w:spacing w:before="120" w:after="120" w:line="360" w:lineRule="auto"/>
        <w:jc w:val="center"/>
        <w:rPr>
          <w:rFonts w:ascii="Times New Roman" w:hAnsi="Times New Roman" w:cs="Times New Roman"/>
          <w:b/>
          <w:bCs/>
          <w:smallCaps/>
          <w:kern w:val="24"/>
          <w:sz w:val="48"/>
          <w:szCs w:val="48"/>
        </w:rPr>
      </w:pPr>
    </w:p>
    <w:p w14:paraId="77688CB2" w14:textId="7050C404" w:rsidR="007922BE" w:rsidRPr="00F634CD" w:rsidRDefault="007922BE" w:rsidP="004B703E">
      <w:pPr>
        <w:spacing w:before="100" w:beforeAutospacing="1" w:after="100" w:afterAutospacing="1" w:line="360" w:lineRule="auto"/>
        <w:jc w:val="center"/>
        <w:outlineLvl w:val="0"/>
        <w:rPr>
          <w:rFonts w:asciiTheme="majorBidi" w:hAnsiTheme="majorBidi" w:cstheme="majorBidi"/>
          <w:b/>
          <w:bCs/>
          <w:smallCaps/>
          <w:spacing w:val="40"/>
          <w:kern w:val="24"/>
          <w:sz w:val="56"/>
          <w:szCs w:val="56"/>
        </w:rPr>
      </w:pPr>
      <w:bookmarkStart w:id="1889" w:name="_Toc182298943"/>
      <w:bookmarkStart w:id="1890" w:name="_Toc182309401"/>
      <w:r w:rsidRPr="00F634CD">
        <w:rPr>
          <w:rFonts w:asciiTheme="majorBidi" w:hAnsiTheme="majorBidi" w:cstheme="majorBidi"/>
          <w:b/>
          <w:bCs/>
          <w:smallCaps/>
          <w:spacing w:val="40"/>
          <w:kern w:val="24"/>
          <w:sz w:val="56"/>
          <w:szCs w:val="56"/>
        </w:rPr>
        <w:t>Liste des Figures</w:t>
      </w:r>
      <w:r w:rsidR="00DA4383" w:rsidRPr="00F634CD">
        <w:rPr>
          <w:rFonts w:asciiTheme="majorBidi" w:hAnsiTheme="majorBidi" w:cstheme="majorBidi"/>
          <w:b/>
          <w:bCs/>
          <w:smallCaps/>
          <w:spacing w:val="40"/>
          <w:kern w:val="24"/>
          <w:sz w:val="56"/>
          <w:szCs w:val="56"/>
        </w:rPr>
        <w:t>,</w:t>
      </w:r>
      <w:r w:rsidRPr="00F634CD">
        <w:rPr>
          <w:rFonts w:asciiTheme="majorBidi" w:hAnsiTheme="majorBidi" w:cstheme="majorBidi"/>
          <w:b/>
          <w:bCs/>
          <w:smallCaps/>
          <w:spacing w:val="40"/>
          <w:kern w:val="24"/>
          <w:sz w:val="56"/>
          <w:szCs w:val="56"/>
        </w:rPr>
        <w:t xml:space="preserve"> des Graphiques</w:t>
      </w:r>
      <w:r w:rsidR="00DA4383" w:rsidRPr="00F634CD">
        <w:rPr>
          <w:rFonts w:asciiTheme="majorBidi" w:hAnsiTheme="majorBidi" w:cstheme="majorBidi"/>
          <w:b/>
          <w:bCs/>
          <w:smallCaps/>
          <w:spacing w:val="40"/>
          <w:kern w:val="24"/>
          <w:sz w:val="56"/>
          <w:szCs w:val="56"/>
        </w:rPr>
        <w:t xml:space="preserve"> et des Tableaux</w:t>
      </w:r>
      <w:bookmarkEnd w:id="1889"/>
      <w:bookmarkEnd w:id="1890"/>
    </w:p>
    <w:bookmarkEnd w:id="1875"/>
    <w:bookmarkEnd w:id="1876"/>
    <w:p w14:paraId="00EA8CC4" w14:textId="77777777" w:rsidR="007922BE" w:rsidRPr="00F634CD" w:rsidRDefault="007922BE" w:rsidP="00DE760B">
      <w:pPr>
        <w:rPr>
          <w:rFonts w:ascii="Times New Roman" w:eastAsia="Times New Roman" w:hAnsi="Times New Roman" w:cs="Times New Roman"/>
          <w:b/>
          <w:bCs/>
          <w:smallCaps/>
          <w:kern w:val="24"/>
          <w:sz w:val="40"/>
          <w:szCs w:val="40"/>
          <w:lang w:eastAsia="fr-FR"/>
        </w:rPr>
      </w:pPr>
      <w:r w:rsidRPr="00F634CD">
        <w:rPr>
          <w:rFonts w:ascii="Times New Roman" w:hAnsi="Times New Roman" w:cs="Times New Roman"/>
          <w:smallCaps/>
          <w:kern w:val="24"/>
          <w:sz w:val="40"/>
          <w:szCs w:val="40"/>
        </w:rPr>
        <w:br w:type="page"/>
      </w:r>
    </w:p>
    <w:p w14:paraId="4126F7AC" w14:textId="77777777" w:rsidR="00810C09" w:rsidRPr="00F634CD" w:rsidRDefault="00810C09" w:rsidP="00810C09">
      <w:pPr>
        <w:tabs>
          <w:tab w:val="left" w:pos="0"/>
          <w:tab w:val="left" w:pos="8789"/>
        </w:tabs>
        <w:autoSpaceDE w:val="0"/>
        <w:autoSpaceDN w:val="0"/>
        <w:adjustRightInd w:val="0"/>
        <w:spacing w:before="120" w:after="100" w:afterAutospacing="1" w:line="360" w:lineRule="auto"/>
        <w:jc w:val="center"/>
        <w:outlineLvl w:val="1"/>
        <w:rPr>
          <w:rFonts w:ascii="Times New Roman" w:hAnsi="Times New Roman" w:cs="Times New Roman"/>
          <w:b/>
          <w:bCs/>
          <w:kern w:val="24"/>
          <w:sz w:val="32"/>
          <w:szCs w:val="32"/>
        </w:rPr>
        <w:sectPr w:rsidR="00810C09" w:rsidRPr="00F634CD" w:rsidSect="00D61093">
          <w:footerReference w:type="default" r:id="rId102"/>
          <w:footnotePr>
            <w:numRestart w:val="eachPage"/>
          </w:footnotePr>
          <w:pgSz w:w="11906" w:h="16838" w:code="9"/>
          <w:pgMar w:top="1134" w:right="1134" w:bottom="1134" w:left="1134" w:header="709" w:footer="709" w:gutter="567"/>
          <w:pgNumType w:start="240"/>
          <w:cols w:space="708"/>
          <w:docGrid w:linePitch="360"/>
        </w:sectPr>
      </w:pPr>
    </w:p>
    <w:p w14:paraId="7F417E2F" w14:textId="2AE8DE49" w:rsidR="004B703E" w:rsidRPr="00F634CD" w:rsidRDefault="004B703E" w:rsidP="004B703E">
      <w:pPr>
        <w:tabs>
          <w:tab w:val="left" w:pos="0"/>
          <w:tab w:val="left" w:pos="8789"/>
        </w:tabs>
        <w:autoSpaceDE w:val="0"/>
        <w:autoSpaceDN w:val="0"/>
        <w:adjustRightInd w:val="0"/>
        <w:spacing w:before="120" w:after="100" w:afterAutospacing="1" w:line="360" w:lineRule="auto"/>
        <w:jc w:val="center"/>
        <w:outlineLvl w:val="1"/>
        <w:rPr>
          <w:rFonts w:ascii="Times New Roman" w:hAnsi="Times New Roman" w:cs="Times New Roman"/>
          <w:b/>
          <w:bCs/>
          <w:kern w:val="24"/>
          <w:sz w:val="32"/>
          <w:szCs w:val="32"/>
        </w:rPr>
      </w:pPr>
      <w:bookmarkStart w:id="1891" w:name="_Toc182298944"/>
      <w:bookmarkStart w:id="1892" w:name="_Toc182309402"/>
      <w:r w:rsidRPr="00F634CD">
        <w:rPr>
          <w:rFonts w:ascii="Times New Roman" w:hAnsi="Times New Roman" w:cs="Times New Roman"/>
          <w:b/>
          <w:bCs/>
          <w:kern w:val="24"/>
          <w:sz w:val="32"/>
          <w:szCs w:val="32"/>
        </w:rPr>
        <w:t>Liste des Figures</w:t>
      </w:r>
      <w:bookmarkEnd w:id="1891"/>
      <w:bookmarkEnd w:id="1892"/>
    </w:p>
    <w:p w14:paraId="754F398A" w14:textId="6FEE7827" w:rsidR="006B4665" w:rsidRPr="00F634CD" w:rsidRDefault="00B544E5"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r w:rsidRPr="00F634CD">
        <w:rPr>
          <w:rFonts w:asciiTheme="majorBidi" w:hAnsiTheme="majorBidi" w:cstheme="majorBidi"/>
          <w:kern w:val="24"/>
          <w:sz w:val="24"/>
          <w:szCs w:val="24"/>
        </w:rPr>
        <w:fldChar w:fldCharType="begin"/>
      </w:r>
      <w:r w:rsidR="00870A0C" w:rsidRPr="00F634CD">
        <w:rPr>
          <w:rFonts w:asciiTheme="majorBidi" w:hAnsiTheme="majorBidi" w:cstheme="majorBidi"/>
          <w:kern w:val="24"/>
          <w:sz w:val="24"/>
          <w:szCs w:val="24"/>
        </w:rPr>
        <w:instrText xml:space="preserve"> TOC \h \z \c "Figure" </w:instrText>
      </w:r>
      <w:r w:rsidRPr="00F634CD">
        <w:rPr>
          <w:rFonts w:asciiTheme="majorBidi" w:hAnsiTheme="majorBidi" w:cstheme="majorBidi"/>
          <w:kern w:val="24"/>
          <w:sz w:val="24"/>
          <w:szCs w:val="24"/>
        </w:rPr>
        <w:fldChar w:fldCharType="separate"/>
      </w:r>
      <w:hyperlink w:anchor="_Toc115527412" w:history="1">
        <w:r w:rsidR="006B4665" w:rsidRPr="00F634CD">
          <w:rPr>
            <w:rStyle w:val="Lienhypertexte"/>
            <w:rFonts w:asciiTheme="majorBidi" w:hAnsiTheme="majorBidi" w:cstheme="majorBidi"/>
            <w:b/>
            <w:bCs/>
            <w:noProof/>
            <w:kern w:val="24"/>
            <w:sz w:val="24"/>
            <w:szCs w:val="24"/>
          </w:rPr>
          <w:t xml:space="preserve">Figure 1- </w:t>
        </w:r>
        <w:r w:rsidR="006B4665" w:rsidRPr="00F634CD">
          <w:rPr>
            <w:rStyle w:val="Lienhypertexte"/>
            <w:rFonts w:asciiTheme="majorBidi" w:hAnsiTheme="majorBidi" w:cstheme="majorBidi"/>
            <w:noProof/>
            <w:kern w:val="24"/>
            <w:sz w:val="24"/>
            <w:szCs w:val="24"/>
          </w:rPr>
          <w:t>Evolution de l’encours financier des actifs islamiques (en mds de dollars)</w:t>
        </w:r>
        <w:r w:rsidR="006B4665" w:rsidRPr="00F634CD">
          <w:rPr>
            <w:rFonts w:asciiTheme="majorBidi" w:hAnsiTheme="majorBidi" w:cstheme="majorBidi"/>
            <w:noProof/>
            <w:webHidden/>
            <w:kern w:val="24"/>
            <w:sz w:val="24"/>
            <w:szCs w:val="24"/>
          </w:rPr>
          <w:tab/>
        </w:r>
        <w:r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_Toc115527412 \h </w:instrText>
        </w:r>
        <w:r w:rsidRPr="00F634CD">
          <w:rPr>
            <w:rFonts w:asciiTheme="majorBidi" w:hAnsiTheme="majorBidi" w:cstheme="majorBidi"/>
            <w:noProof/>
            <w:webHidden/>
            <w:kern w:val="24"/>
            <w:sz w:val="24"/>
            <w:szCs w:val="24"/>
          </w:rPr>
        </w:r>
        <w:r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32</w:t>
        </w:r>
        <w:r w:rsidRPr="00F634CD">
          <w:rPr>
            <w:rFonts w:asciiTheme="majorBidi" w:hAnsiTheme="majorBidi" w:cstheme="majorBidi"/>
            <w:noProof/>
            <w:webHidden/>
            <w:kern w:val="24"/>
            <w:sz w:val="24"/>
            <w:szCs w:val="24"/>
          </w:rPr>
          <w:fldChar w:fldCharType="end"/>
        </w:r>
      </w:hyperlink>
    </w:p>
    <w:p w14:paraId="7B5F6A4D" w14:textId="369855AB"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13" w:history="1">
        <w:r w:rsidR="006B4665" w:rsidRPr="00F634CD">
          <w:rPr>
            <w:rStyle w:val="Lienhypertexte"/>
            <w:rFonts w:asciiTheme="majorBidi" w:hAnsiTheme="majorBidi" w:cstheme="majorBidi"/>
            <w:b/>
            <w:bCs/>
            <w:noProof/>
            <w:kern w:val="24"/>
            <w:sz w:val="24"/>
            <w:szCs w:val="24"/>
          </w:rPr>
          <w:t>Figure 2-</w:t>
        </w:r>
        <w:r w:rsidR="006B4665" w:rsidRPr="00F634CD">
          <w:rPr>
            <w:rStyle w:val="Lienhypertexte"/>
            <w:rFonts w:asciiTheme="majorBidi" w:hAnsiTheme="majorBidi" w:cstheme="majorBidi"/>
            <w:noProof/>
            <w:kern w:val="24"/>
            <w:sz w:val="24"/>
            <w:szCs w:val="24"/>
          </w:rPr>
          <w:t xml:space="preserve"> Part de marché des actifs islamiques</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_Toc115527413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33</w:t>
        </w:r>
        <w:r w:rsidR="00B544E5" w:rsidRPr="00F634CD">
          <w:rPr>
            <w:rFonts w:asciiTheme="majorBidi" w:hAnsiTheme="majorBidi" w:cstheme="majorBidi"/>
            <w:noProof/>
            <w:webHidden/>
            <w:kern w:val="24"/>
            <w:sz w:val="24"/>
            <w:szCs w:val="24"/>
          </w:rPr>
          <w:fldChar w:fldCharType="end"/>
        </w:r>
      </w:hyperlink>
    </w:p>
    <w:p w14:paraId="167DFFE4" w14:textId="6E6076D2"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14" w:history="1">
        <w:r w:rsidR="006B4665" w:rsidRPr="00F634CD">
          <w:rPr>
            <w:rStyle w:val="Lienhypertexte"/>
            <w:rFonts w:asciiTheme="majorBidi" w:hAnsiTheme="majorBidi" w:cstheme="majorBidi"/>
            <w:b/>
            <w:bCs/>
            <w:noProof/>
            <w:kern w:val="24"/>
            <w:sz w:val="24"/>
            <w:szCs w:val="24"/>
          </w:rPr>
          <w:t xml:space="preserve">Figure 3- </w:t>
        </w:r>
        <w:r w:rsidR="006B4665" w:rsidRPr="00F634CD">
          <w:rPr>
            <w:rStyle w:val="Lienhypertexte"/>
            <w:rFonts w:asciiTheme="majorBidi" w:hAnsiTheme="majorBidi" w:cstheme="majorBidi"/>
            <w:noProof/>
            <w:kern w:val="24"/>
            <w:sz w:val="24"/>
            <w:szCs w:val="24"/>
          </w:rPr>
          <w:t xml:space="preserve">Le contrat </w:t>
        </w:r>
        <w:r w:rsidR="006B4665" w:rsidRPr="00F634CD">
          <w:rPr>
            <w:rStyle w:val="Lienhypertexte"/>
            <w:rFonts w:asciiTheme="majorBidi" w:hAnsiTheme="majorBidi" w:cstheme="majorBidi"/>
            <w:i/>
            <w:iCs/>
            <w:noProof/>
            <w:kern w:val="24"/>
            <w:sz w:val="24"/>
            <w:szCs w:val="24"/>
          </w:rPr>
          <w:t>moucharaka</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_Toc115527414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42</w:t>
        </w:r>
        <w:r w:rsidR="00B544E5" w:rsidRPr="00F634CD">
          <w:rPr>
            <w:rFonts w:asciiTheme="majorBidi" w:hAnsiTheme="majorBidi" w:cstheme="majorBidi"/>
            <w:noProof/>
            <w:webHidden/>
            <w:kern w:val="24"/>
            <w:sz w:val="24"/>
            <w:szCs w:val="24"/>
          </w:rPr>
          <w:fldChar w:fldCharType="end"/>
        </w:r>
      </w:hyperlink>
    </w:p>
    <w:p w14:paraId="7ACE814D" w14:textId="7C14F26C"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15" w:history="1">
        <w:r w:rsidR="006B4665" w:rsidRPr="00F634CD">
          <w:rPr>
            <w:rStyle w:val="Lienhypertexte"/>
            <w:rFonts w:asciiTheme="majorBidi" w:hAnsiTheme="majorBidi" w:cstheme="majorBidi"/>
            <w:b/>
            <w:bCs/>
            <w:noProof/>
            <w:kern w:val="24"/>
            <w:sz w:val="24"/>
            <w:szCs w:val="24"/>
          </w:rPr>
          <w:t xml:space="preserve">Figure 4- </w:t>
        </w:r>
        <w:r w:rsidR="006B4665" w:rsidRPr="00F634CD">
          <w:rPr>
            <w:rStyle w:val="Lienhypertexte"/>
            <w:rFonts w:asciiTheme="majorBidi" w:hAnsiTheme="majorBidi" w:cstheme="majorBidi"/>
            <w:noProof/>
            <w:kern w:val="24"/>
            <w:sz w:val="24"/>
            <w:szCs w:val="24"/>
          </w:rPr>
          <w:t xml:space="preserve">Le contrat </w:t>
        </w:r>
        <w:r w:rsidR="006B4665" w:rsidRPr="00F634CD">
          <w:rPr>
            <w:rStyle w:val="Lienhypertexte"/>
            <w:rFonts w:asciiTheme="majorBidi" w:hAnsiTheme="majorBidi" w:cstheme="majorBidi"/>
            <w:i/>
            <w:iCs/>
            <w:noProof/>
            <w:kern w:val="24"/>
            <w:sz w:val="24"/>
            <w:szCs w:val="24"/>
          </w:rPr>
          <w:t>moudaraba</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_Toc115527415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44</w:t>
        </w:r>
        <w:r w:rsidR="00B544E5" w:rsidRPr="00F634CD">
          <w:rPr>
            <w:rFonts w:asciiTheme="majorBidi" w:hAnsiTheme="majorBidi" w:cstheme="majorBidi"/>
            <w:noProof/>
            <w:webHidden/>
            <w:kern w:val="24"/>
            <w:sz w:val="24"/>
            <w:szCs w:val="24"/>
          </w:rPr>
          <w:fldChar w:fldCharType="end"/>
        </w:r>
      </w:hyperlink>
    </w:p>
    <w:p w14:paraId="5F435F02" w14:textId="373E7882"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16" w:history="1">
        <w:r w:rsidR="006B4665" w:rsidRPr="00F634CD">
          <w:rPr>
            <w:rStyle w:val="Lienhypertexte"/>
            <w:rFonts w:asciiTheme="majorBidi" w:hAnsiTheme="majorBidi" w:cstheme="majorBidi"/>
            <w:b/>
            <w:bCs/>
            <w:noProof/>
            <w:kern w:val="24"/>
            <w:sz w:val="24"/>
            <w:szCs w:val="24"/>
          </w:rPr>
          <w:t xml:space="preserve">Figure 5- </w:t>
        </w:r>
        <w:r w:rsidR="006B4665" w:rsidRPr="00F634CD">
          <w:rPr>
            <w:rStyle w:val="Lienhypertexte"/>
            <w:rFonts w:asciiTheme="majorBidi" w:hAnsiTheme="majorBidi" w:cstheme="majorBidi"/>
            <w:noProof/>
            <w:kern w:val="24"/>
            <w:sz w:val="24"/>
            <w:szCs w:val="24"/>
          </w:rPr>
          <w:t>Répartition de l’activité par type de produit</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_Toc115527416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47</w:t>
        </w:r>
        <w:r w:rsidR="00B544E5" w:rsidRPr="00F634CD">
          <w:rPr>
            <w:rFonts w:asciiTheme="majorBidi" w:hAnsiTheme="majorBidi" w:cstheme="majorBidi"/>
            <w:noProof/>
            <w:webHidden/>
            <w:kern w:val="24"/>
            <w:sz w:val="24"/>
            <w:szCs w:val="24"/>
          </w:rPr>
          <w:fldChar w:fldCharType="end"/>
        </w:r>
      </w:hyperlink>
    </w:p>
    <w:p w14:paraId="36A0A944" w14:textId="45A3BE4B"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17" w:history="1">
        <w:r w:rsidR="006B4665" w:rsidRPr="00F634CD">
          <w:rPr>
            <w:rStyle w:val="Lienhypertexte"/>
            <w:rFonts w:asciiTheme="majorBidi" w:hAnsiTheme="majorBidi" w:cstheme="majorBidi"/>
            <w:b/>
            <w:bCs/>
            <w:noProof/>
            <w:kern w:val="24"/>
            <w:sz w:val="24"/>
            <w:szCs w:val="24"/>
          </w:rPr>
          <w:t>Figure 6-</w:t>
        </w:r>
        <w:r w:rsidR="006B4665" w:rsidRPr="00F634CD">
          <w:rPr>
            <w:rStyle w:val="Lienhypertexte"/>
            <w:rFonts w:asciiTheme="majorBidi" w:hAnsiTheme="majorBidi" w:cstheme="majorBidi"/>
            <w:noProof/>
            <w:kern w:val="24"/>
            <w:sz w:val="24"/>
            <w:szCs w:val="24"/>
          </w:rPr>
          <w:t xml:space="preserve"> Le contrat </w:t>
        </w:r>
        <w:r w:rsidR="006B4665" w:rsidRPr="00F634CD">
          <w:rPr>
            <w:rStyle w:val="Lienhypertexte"/>
            <w:rFonts w:asciiTheme="majorBidi" w:hAnsiTheme="majorBidi" w:cstheme="majorBidi"/>
            <w:i/>
            <w:iCs/>
            <w:noProof/>
            <w:kern w:val="24"/>
            <w:sz w:val="24"/>
            <w:szCs w:val="24"/>
          </w:rPr>
          <w:t>mourabaha</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_Toc115527417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48</w:t>
        </w:r>
        <w:r w:rsidR="00B544E5" w:rsidRPr="00F634CD">
          <w:rPr>
            <w:rFonts w:asciiTheme="majorBidi" w:hAnsiTheme="majorBidi" w:cstheme="majorBidi"/>
            <w:noProof/>
            <w:webHidden/>
            <w:kern w:val="24"/>
            <w:sz w:val="24"/>
            <w:szCs w:val="24"/>
          </w:rPr>
          <w:fldChar w:fldCharType="end"/>
        </w:r>
      </w:hyperlink>
    </w:p>
    <w:p w14:paraId="4C8A71DD" w14:textId="57A676F5"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18" w:history="1">
        <w:r w:rsidR="006B4665" w:rsidRPr="00F634CD">
          <w:rPr>
            <w:rStyle w:val="Lienhypertexte"/>
            <w:rFonts w:asciiTheme="majorBidi" w:hAnsiTheme="majorBidi" w:cstheme="majorBidi"/>
            <w:b/>
            <w:bCs/>
            <w:noProof/>
            <w:kern w:val="24"/>
            <w:sz w:val="24"/>
            <w:szCs w:val="24"/>
          </w:rPr>
          <w:t>Figure 7-</w:t>
        </w:r>
        <w:r w:rsidR="006B4665" w:rsidRPr="00F634CD">
          <w:rPr>
            <w:rStyle w:val="Lienhypertexte"/>
            <w:rFonts w:asciiTheme="majorBidi" w:hAnsiTheme="majorBidi" w:cstheme="majorBidi"/>
            <w:noProof/>
            <w:kern w:val="24"/>
            <w:sz w:val="24"/>
            <w:szCs w:val="24"/>
          </w:rPr>
          <w:t xml:space="preserve"> Le contrat </w:t>
        </w:r>
        <w:r w:rsidR="006B4665" w:rsidRPr="00F634CD">
          <w:rPr>
            <w:rStyle w:val="Lienhypertexte"/>
            <w:rFonts w:asciiTheme="majorBidi" w:hAnsiTheme="majorBidi" w:cstheme="majorBidi"/>
            <w:i/>
            <w:iCs/>
            <w:noProof/>
            <w:kern w:val="24"/>
            <w:sz w:val="24"/>
            <w:szCs w:val="24"/>
          </w:rPr>
          <w:t>salam</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_Toc115527418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50</w:t>
        </w:r>
        <w:r w:rsidR="00B544E5" w:rsidRPr="00F634CD">
          <w:rPr>
            <w:rFonts w:asciiTheme="majorBidi" w:hAnsiTheme="majorBidi" w:cstheme="majorBidi"/>
            <w:noProof/>
            <w:webHidden/>
            <w:kern w:val="24"/>
            <w:sz w:val="24"/>
            <w:szCs w:val="24"/>
          </w:rPr>
          <w:fldChar w:fldCharType="end"/>
        </w:r>
      </w:hyperlink>
    </w:p>
    <w:p w14:paraId="763F1528" w14:textId="1B61837C"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19" w:history="1">
        <w:r w:rsidR="006B4665" w:rsidRPr="00F634CD">
          <w:rPr>
            <w:rStyle w:val="Lienhypertexte"/>
            <w:rFonts w:asciiTheme="majorBidi" w:hAnsiTheme="majorBidi" w:cstheme="majorBidi"/>
            <w:b/>
            <w:bCs/>
            <w:noProof/>
            <w:kern w:val="24"/>
            <w:sz w:val="24"/>
            <w:szCs w:val="24"/>
          </w:rPr>
          <w:t>Figure 8-</w:t>
        </w:r>
        <w:r w:rsidR="006B4665" w:rsidRPr="00F634CD">
          <w:rPr>
            <w:rStyle w:val="Lienhypertexte"/>
            <w:rFonts w:asciiTheme="majorBidi" w:hAnsiTheme="majorBidi" w:cstheme="majorBidi"/>
            <w:noProof/>
            <w:kern w:val="24"/>
            <w:sz w:val="24"/>
            <w:szCs w:val="24"/>
          </w:rPr>
          <w:t>Le contrat istisna'</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_Toc115527419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51</w:t>
        </w:r>
        <w:r w:rsidR="00B544E5" w:rsidRPr="00F634CD">
          <w:rPr>
            <w:rFonts w:asciiTheme="majorBidi" w:hAnsiTheme="majorBidi" w:cstheme="majorBidi"/>
            <w:noProof/>
            <w:webHidden/>
            <w:kern w:val="24"/>
            <w:sz w:val="24"/>
            <w:szCs w:val="24"/>
          </w:rPr>
          <w:fldChar w:fldCharType="end"/>
        </w:r>
      </w:hyperlink>
    </w:p>
    <w:p w14:paraId="6D1B929E" w14:textId="559A1C29"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20" w:history="1">
        <w:r w:rsidR="006B4665" w:rsidRPr="00F634CD">
          <w:rPr>
            <w:rStyle w:val="Lienhypertexte"/>
            <w:rFonts w:asciiTheme="majorBidi" w:hAnsiTheme="majorBidi" w:cstheme="majorBidi"/>
            <w:b/>
            <w:bCs/>
            <w:noProof/>
            <w:kern w:val="24"/>
            <w:sz w:val="24"/>
            <w:szCs w:val="24"/>
          </w:rPr>
          <w:t>Figure 9-</w:t>
        </w:r>
        <w:r w:rsidR="006B4665" w:rsidRPr="00F634CD">
          <w:rPr>
            <w:rStyle w:val="Lienhypertexte"/>
            <w:rFonts w:asciiTheme="majorBidi" w:hAnsiTheme="majorBidi" w:cstheme="majorBidi"/>
            <w:noProof/>
            <w:kern w:val="24"/>
            <w:sz w:val="24"/>
            <w:szCs w:val="24"/>
          </w:rPr>
          <w:t xml:space="preserve"> Le contrat ijara</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_Toc115527420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52</w:t>
        </w:r>
        <w:r w:rsidR="00B544E5" w:rsidRPr="00F634CD">
          <w:rPr>
            <w:rFonts w:asciiTheme="majorBidi" w:hAnsiTheme="majorBidi" w:cstheme="majorBidi"/>
            <w:noProof/>
            <w:webHidden/>
            <w:kern w:val="24"/>
            <w:sz w:val="24"/>
            <w:szCs w:val="24"/>
          </w:rPr>
          <w:fldChar w:fldCharType="end"/>
        </w:r>
      </w:hyperlink>
    </w:p>
    <w:p w14:paraId="55D4B79A" w14:textId="239D3DE7"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21" w:history="1">
        <w:r w:rsidR="006B4665" w:rsidRPr="00F634CD">
          <w:rPr>
            <w:rStyle w:val="Lienhypertexte"/>
            <w:rFonts w:asciiTheme="majorBidi" w:hAnsiTheme="majorBidi" w:cstheme="majorBidi"/>
            <w:b/>
            <w:bCs/>
            <w:noProof/>
            <w:kern w:val="24"/>
            <w:sz w:val="24"/>
            <w:szCs w:val="24"/>
          </w:rPr>
          <w:t>Figure 10-</w:t>
        </w:r>
        <w:r w:rsidR="006B4665" w:rsidRPr="00F634CD">
          <w:rPr>
            <w:rStyle w:val="Lienhypertexte"/>
            <w:rFonts w:asciiTheme="majorBidi" w:hAnsiTheme="majorBidi" w:cstheme="majorBidi"/>
            <w:noProof/>
            <w:kern w:val="24"/>
            <w:sz w:val="24"/>
            <w:szCs w:val="24"/>
          </w:rPr>
          <w:t xml:space="preserve"> La structure d'une émission sukuk</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_Toc115527421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55</w:t>
        </w:r>
        <w:r w:rsidR="00B544E5" w:rsidRPr="00F634CD">
          <w:rPr>
            <w:rFonts w:asciiTheme="majorBidi" w:hAnsiTheme="majorBidi" w:cstheme="majorBidi"/>
            <w:noProof/>
            <w:webHidden/>
            <w:kern w:val="24"/>
            <w:sz w:val="24"/>
            <w:szCs w:val="24"/>
          </w:rPr>
          <w:fldChar w:fldCharType="end"/>
        </w:r>
      </w:hyperlink>
    </w:p>
    <w:p w14:paraId="5C9460B1" w14:textId="125CF485"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22" w:history="1">
        <w:r w:rsidR="006B4665" w:rsidRPr="00F634CD">
          <w:rPr>
            <w:rStyle w:val="Lienhypertexte"/>
            <w:rFonts w:asciiTheme="majorBidi" w:hAnsiTheme="majorBidi" w:cstheme="majorBidi"/>
            <w:b/>
            <w:bCs/>
            <w:noProof/>
            <w:kern w:val="24"/>
            <w:sz w:val="24"/>
            <w:szCs w:val="24"/>
          </w:rPr>
          <w:t>Figure 11-</w:t>
        </w:r>
        <w:r w:rsidR="006B4665" w:rsidRPr="00F634CD">
          <w:rPr>
            <w:rStyle w:val="Lienhypertexte"/>
            <w:rFonts w:asciiTheme="majorBidi" w:hAnsiTheme="majorBidi" w:cstheme="majorBidi"/>
            <w:noProof/>
            <w:kern w:val="24"/>
            <w:sz w:val="24"/>
            <w:szCs w:val="24"/>
          </w:rPr>
          <w:t xml:space="preserve"> Evolution des émissions des sukuk entre 2001-2016 (en milliards de dollars)</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_Toc115527422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56</w:t>
        </w:r>
        <w:r w:rsidR="00B544E5" w:rsidRPr="00F634CD">
          <w:rPr>
            <w:rFonts w:asciiTheme="majorBidi" w:hAnsiTheme="majorBidi" w:cstheme="majorBidi"/>
            <w:noProof/>
            <w:webHidden/>
            <w:kern w:val="24"/>
            <w:sz w:val="24"/>
            <w:szCs w:val="24"/>
          </w:rPr>
          <w:fldChar w:fldCharType="end"/>
        </w:r>
      </w:hyperlink>
    </w:p>
    <w:p w14:paraId="434E46A9" w14:textId="65FCC38D"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23" w:history="1">
        <w:r w:rsidR="006B4665" w:rsidRPr="00F634CD">
          <w:rPr>
            <w:rStyle w:val="Lienhypertexte"/>
            <w:rFonts w:asciiTheme="majorBidi" w:hAnsiTheme="majorBidi" w:cstheme="majorBidi"/>
            <w:b/>
            <w:bCs/>
            <w:noProof/>
            <w:kern w:val="24"/>
            <w:sz w:val="24"/>
            <w:szCs w:val="24"/>
          </w:rPr>
          <w:t>Figure 12-</w:t>
        </w:r>
        <w:r w:rsidR="006B4665" w:rsidRPr="00F634CD">
          <w:rPr>
            <w:rStyle w:val="Lienhypertexte"/>
            <w:rFonts w:asciiTheme="majorBidi" w:hAnsiTheme="majorBidi" w:cstheme="majorBidi"/>
            <w:noProof/>
            <w:kern w:val="24"/>
            <w:sz w:val="24"/>
            <w:szCs w:val="24"/>
          </w:rPr>
          <w:t xml:space="preserve"> La part et la domiciliation de l'émission de sukuk (en %)</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_Toc115527423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57</w:t>
        </w:r>
        <w:r w:rsidR="00B544E5" w:rsidRPr="00F634CD">
          <w:rPr>
            <w:rFonts w:asciiTheme="majorBidi" w:hAnsiTheme="majorBidi" w:cstheme="majorBidi"/>
            <w:noProof/>
            <w:webHidden/>
            <w:kern w:val="24"/>
            <w:sz w:val="24"/>
            <w:szCs w:val="24"/>
          </w:rPr>
          <w:fldChar w:fldCharType="end"/>
        </w:r>
      </w:hyperlink>
    </w:p>
    <w:p w14:paraId="2CF98B80" w14:textId="33A18199"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24" w:history="1">
        <w:r w:rsidR="006B4665" w:rsidRPr="00F634CD">
          <w:rPr>
            <w:rStyle w:val="Lienhypertexte"/>
            <w:rFonts w:asciiTheme="majorBidi" w:hAnsiTheme="majorBidi" w:cstheme="majorBidi"/>
            <w:b/>
            <w:bCs/>
            <w:noProof/>
            <w:kern w:val="24"/>
            <w:sz w:val="24"/>
            <w:szCs w:val="24"/>
          </w:rPr>
          <w:t xml:space="preserve">Figure 13- </w:t>
        </w:r>
        <w:r w:rsidR="006B4665" w:rsidRPr="00F634CD">
          <w:rPr>
            <w:rStyle w:val="Lienhypertexte"/>
            <w:rFonts w:asciiTheme="majorBidi" w:hAnsiTheme="majorBidi" w:cstheme="majorBidi"/>
            <w:noProof/>
            <w:kern w:val="24"/>
            <w:sz w:val="24"/>
            <w:szCs w:val="24"/>
          </w:rPr>
          <w:t>Répartition géographique des fonds d'investissement islamique</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_Toc115527424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59</w:t>
        </w:r>
        <w:r w:rsidR="00B544E5" w:rsidRPr="00F634CD">
          <w:rPr>
            <w:rFonts w:asciiTheme="majorBidi" w:hAnsiTheme="majorBidi" w:cstheme="majorBidi"/>
            <w:noProof/>
            <w:webHidden/>
            <w:kern w:val="24"/>
            <w:sz w:val="24"/>
            <w:szCs w:val="24"/>
          </w:rPr>
          <w:fldChar w:fldCharType="end"/>
        </w:r>
      </w:hyperlink>
    </w:p>
    <w:p w14:paraId="7C6979A0" w14:textId="4B3E9A14"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25" w:history="1">
        <w:r w:rsidR="006B4665" w:rsidRPr="00F634CD">
          <w:rPr>
            <w:rStyle w:val="Lienhypertexte"/>
            <w:rFonts w:asciiTheme="majorBidi" w:hAnsiTheme="majorBidi" w:cstheme="majorBidi"/>
            <w:b/>
            <w:bCs/>
            <w:noProof/>
            <w:kern w:val="24"/>
            <w:sz w:val="24"/>
            <w:szCs w:val="24"/>
          </w:rPr>
          <w:t xml:space="preserve">Figure 14- </w:t>
        </w:r>
        <w:r w:rsidR="006B4665" w:rsidRPr="00F634CD">
          <w:rPr>
            <w:rStyle w:val="Lienhypertexte"/>
            <w:rFonts w:asciiTheme="majorBidi" w:hAnsiTheme="majorBidi" w:cstheme="majorBidi"/>
            <w:noProof/>
            <w:kern w:val="24"/>
            <w:sz w:val="24"/>
            <w:szCs w:val="24"/>
          </w:rPr>
          <w:t>Structure d'un swap de taux d'intérêt</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_Toc115527425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62</w:t>
        </w:r>
        <w:r w:rsidR="00B544E5" w:rsidRPr="00F634CD">
          <w:rPr>
            <w:rFonts w:asciiTheme="majorBidi" w:hAnsiTheme="majorBidi" w:cstheme="majorBidi"/>
            <w:noProof/>
            <w:webHidden/>
            <w:kern w:val="24"/>
            <w:sz w:val="24"/>
            <w:szCs w:val="24"/>
          </w:rPr>
          <w:fldChar w:fldCharType="end"/>
        </w:r>
      </w:hyperlink>
    </w:p>
    <w:p w14:paraId="756BDDF1" w14:textId="7D854998"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26" w:history="1">
        <w:r w:rsidR="006B4665" w:rsidRPr="00F634CD">
          <w:rPr>
            <w:rStyle w:val="Lienhypertexte"/>
            <w:rFonts w:asciiTheme="majorBidi" w:hAnsiTheme="majorBidi" w:cstheme="majorBidi"/>
            <w:b/>
            <w:bCs/>
            <w:noProof/>
            <w:kern w:val="24"/>
            <w:sz w:val="24"/>
            <w:szCs w:val="24"/>
          </w:rPr>
          <w:t>Figure 15-</w:t>
        </w:r>
        <w:r w:rsidR="006B4665" w:rsidRPr="00F634CD">
          <w:rPr>
            <w:rStyle w:val="Lienhypertexte"/>
            <w:rFonts w:asciiTheme="majorBidi" w:hAnsiTheme="majorBidi" w:cstheme="majorBidi"/>
            <w:noProof/>
            <w:kern w:val="24"/>
            <w:sz w:val="24"/>
            <w:szCs w:val="24"/>
          </w:rPr>
          <w:t xml:space="preserve"> Structure d'un swap de devises.</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_Toc115527426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63</w:t>
        </w:r>
        <w:r w:rsidR="00B544E5" w:rsidRPr="00F634CD">
          <w:rPr>
            <w:rFonts w:asciiTheme="majorBidi" w:hAnsiTheme="majorBidi" w:cstheme="majorBidi"/>
            <w:noProof/>
            <w:webHidden/>
            <w:kern w:val="24"/>
            <w:sz w:val="24"/>
            <w:szCs w:val="24"/>
          </w:rPr>
          <w:fldChar w:fldCharType="end"/>
        </w:r>
      </w:hyperlink>
    </w:p>
    <w:p w14:paraId="462E5944" w14:textId="33F208CF"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27" w:history="1">
        <w:r w:rsidR="006B4665" w:rsidRPr="00F634CD">
          <w:rPr>
            <w:rStyle w:val="Lienhypertexte"/>
            <w:rFonts w:asciiTheme="majorBidi" w:hAnsiTheme="majorBidi" w:cstheme="majorBidi"/>
            <w:b/>
            <w:bCs/>
            <w:noProof/>
            <w:kern w:val="24"/>
            <w:sz w:val="24"/>
            <w:szCs w:val="24"/>
          </w:rPr>
          <w:t xml:space="preserve">Figure 16- </w:t>
        </w:r>
        <w:r w:rsidR="006B4665" w:rsidRPr="00F634CD">
          <w:rPr>
            <w:rStyle w:val="Lienhypertexte"/>
            <w:rFonts w:asciiTheme="majorBidi" w:hAnsiTheme="majorBidi" w:cstheme="majorBidi"/>
            <w:noProof/>
            <w:kern w:val="24"/>
            <w:sz w:val="24"/>
            <w:szCs w:val="24"/>
          </w:rPr>
          <w:t>FX swap islamique basé sur wa'àd</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_Toc115527427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65</w:t>
        </w:r>
        <w:r w:rsidR="00B544E5" w:rsidRPr="00F634CD">
          <w:rPr>
            <w:rFonts w:asciiTheme="majorBidi" w:hAnsiTheme="majorBidi" w:cstheme="majorBidi"/>
            <w:noProof/>
            <w:webHidden/>
            <w:kern w:val="24"/>
            <w:sz w:val="24"/>
            <w:szCs w:val="24"/>
          </w:rPr>
          <w:fldChar w:fldCharType="end"/>
        </w:r>
      </w:hyperlink>
    </w:p>
    <w:p w14:paraId="7B236323" w14:textId="6AAA431A"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28" w:history="1">
        <w:r w:rsidR="006B4665" w:rsidRPr="00F634CD">
          <w:rPr>
            <w:rStyle w:val="Lienhypertexte"/>
            <w:rFonts w:asciiTheme="majorBidi" w:hAnsiTheme="majorBidi" w:cstheme="majorBidi"/>
            <w:b/>
            <w:bCs/>
            <w:noProof/>
            <w:kern w:val="24"/>
            <w:sz w:val="24"/>
            <w:szCs w:val="24"/>
          </w:rPr>
          <w:t xml:space="preserve">Figure 17- </w:t>
        </w:r>
        <w:r w:rsidR="006B4665" w:rsidRPr="00F634CD">
          <w:rPr>
            <w:rStyle w:val="Lienhypertexte"/>
            <w:rFonts w:asciiTheme="majorBidi" w:hAnsiTheme="majorBidi" w:cstheme="majorBidi"/>
            <w:noProof/>
            <w:kern w:val="24"/>
            <w:sz w:val="24"/>
            <w:szCs w:val="24"/>
          </w:rPr>
          <w:t>Struture d'un swap de taux de profit</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_Toc115527428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66</w:t>
        </w:r>
        <w:r w:rsidR="00B544E5" w:rsidRPr="00F634CD">
          <w:rPr>
            <w:rFonts w:asciiTheme="majorBidi" w:hAnsiTheme="majorBidi" w:cstheme="majorBidi"/>
            <w:noProof/>
            <w:webHidden/>
            <w:kern w:val="24"/>
            <w:sz w:val="24"/>
            <w:szCs w:val="24"/>
          </w:rPr>
          <w:fldChar w:fldCharType="end"/>
        </w:r>
      </w:hyperlink>
    </w:p>
    <w:p w14:paraId="179F22F7" w14:textId="5DE8F1F7"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29" w:history="1">
        <w:r w:rsidR="006B4665" w:rsidRPr="00F634CD">
          <w:rPr>
            <w:rStyle w:val="Lienhypertexte"/>
            <w:rFonts w:asciiTheme="majorBidi" w:hAnsiTheme="majorBidi" w:cstheme="majorBidi"/>
            <w:b/>
            <w:bCs/>
            <w:noProof/>
            <w:kern w:val="24"/>
            <w:sz w:val="24"/>
            <w:szCs w:val="24"/>
          </w:rPr>
          <w:t>Figure 18-</w:t>
        </w:r>
        <w:r w:rsidR="006B4665" w:rsidRPr="00F634CD">
          <w:rPr>
            <w:rStyle w:val="Lienhypertexte"/>
            <w:rFonts w:asciiTheme="majorBidi" w:hAnsiTheme="majorBidi" w:cstheme="majorBidi"/>
            <w:noProof/>
            <w:kern w:val="24"/>
            <w:sz w:val="24"/>
            <w:szCs w:val="24"/>
          </w:rPr>
          <w:t xml:space="preserve"> Structure d'un contrat Tawarrouq</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_Toc115527429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68</w:t>
        </w:r>
        <w:r w:rsidR="00B544E5" w:rsidRPr="00F634CD">
          <w:rPr>
            <w:rFonts w:asciiTheme="majorBidi" w:hAnsiTheme="majorBidi" w:cstheme="majorBidi"/>
            <w:noProof/>
            <w:webHidden/>
            <w:kern w:val="24"/>
            <w:sz w:val="24"/>
            <w:szCs w:val="24"/>
          </w:rPr>
          <w:fldChar w:fldCharType="end"/>
        </w:r>
      </w:hyperlink>
    </w:p>
    <w:p w14:paraId="4F0D0AE9" w14:textId="68DD2954"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30" w:history="1">
        <w:r w:rsidR="006B4665" w:rsidRPr="00F634CD">
          <w:rPr>
            <w:rStyle w:val="Lienhypertexte"/>
            <w:rFonts w:asciiTheme="majorBidi" w:eastAsia="Calibri" w:hAnsiTheme="majorBidi" w:cstheme="majorBidi"/>
            <w:b/>
            <w:bCs/>
            <w:noProof/>
            <w:kern w:val="24"/>
            <w:sz w:val="24"/>
            <w:szCs w:val="24"/>
          </w:rPr>
          <w:t xml:space="preserve">Figure 19- </w:t>
        </w:r>
        <w:r w:rsidR="006B4665" w:rsidRPr="00F634CD">
          <w:rPr>
            <w:rStyle w:val="Lienhypertexte"/>
            <w:rFonts w:asciiTheme="majorBidi" w:eastAsia="Calibri" w:hAnsiTheme="majorBidi" w:cstheme="majorBidi"/>
            <w:noProof/>
            <w:kern w:val="24"/>
            <w:sz w:val="24"/>
            <w:szCs w:val="24"/>
          </w:rPr>
          <w:t>Structure organisationnelle d’une banque islamique</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_Toc115527430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73</w:t>
        </w:r>
        <w:r w:rsidR="00B544E5" w:rsidRPr="00F634CD">
          <w:rPr>
            <w:rFonts w:asciiTheme="majorBidi" w:hAnsiTheme="majorBidi" w:cstheme="majorBidi"/>
            <w:noProof/>
            <w:webHidden/>
            <w:kern w:val="24"/>
            <w:sz w:val="24"/>
            <w:szCs w:val="24"/>
          </w:rPr>
          <w:fldChar w:fldCharType="end"/>
        </w:r>
      </w:hyperlink>
    </w:p>
    <w:p w14:paraId="42687ACA" w14:textId="70F5F24B"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31" w:history="1">
        <w:r w:rsidR="006B4665" w:rsidRPr="00F634CD">
          <w:rPr>
            <w:rStyle w:val="Lienhypertexte"/>
            <w:rFonts w:asciiTheme="majorBidi" w:hAnsiTheme="majorBidi" w:cstheme="majorBidi"/>
            <w:b/>
            <w:bCs/>
            <w:noProof/>
            <w:kern w:val="24"/>
            <w:sz w:val="24"/>
            <w:szCs w:val="24"/>
          </w:rPr>
          <w:t xml:space="preserve">Figure 20- </w:t>
        </w:r>
        <w:r w:rsidR="006B4665" w:rsidRPr="00F634CD">
          <w:rPr>
            <w:rStyle w:val="Lienhypertexte"/>
            <w:rFonts w:asciiTheme="majorBidi" w:hAnsiTheme="majorBidi" w:cstheme="majorBidi"/>
            <w:noProof/>
            <w:kern w:val="24"/>
            <w:sz w:val="24"/>
            <w:szCs w:val="24"/>
          </w:rPr>
          <w:t>Le mecanisme de la titrisation</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_Toc115527431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92</w:t>
        </w:r>
        <w:r w:rsidR="00B544E5" w:rsidRPr="00F634CD">
          <w:rPr>
            <w:rFonts w:asciiTheme="majorBidi" w:hAnsiTheme="majorBidi" w:cstheme="majorBidi"/>
            <w:noProof/>
            <w:webHidden/>
            <w:kern w:val="24"/>
            <w:sz w:val="24"/>
            <w:szCs w:val="24"/>
          </w:rPr>
          <w:fldChar w:fldCharType="end"/>
        </w:r>
      </w:hyperlink>
    </w:p>
    <w:p w14:paraId="3D3B71AC" w14:textId="5C2FD602"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32" w:history="1">
        <w:r w:rsidR="006B4665" w:rsidRPr="00F634CD">
          <w:rPr>
            <w:rStyle w:val="Lienhypertexte"/>
            <w:rFonts w:asciiTheme="majorBidi" w:hAnsiTheme="majorBidi" w:cstheme="majorBidi"/>
            <w:b/>
            <w:bCs/>
            <w:noProof/>
            <w:kern w:val="24"/>
            <w:sz w:val="24"/>
            <w:szCs w:val="24"/>
          </w:rPr>
          <w:t>Figure 21-</w:t>
        </w:r>
        <w:r w:rsidR="006B4665" w:rsidRPr="00F634CD">
          <w:rPr>
            <w:rStyle w:val="Lienhypertexte"/>
            <w:rFonts w:asciiTheme="majorBidi" w:hAnsiTheme="majorBidi" w:cstheme="majorBidi"/>
            <w:noProof/>
            <w:kern w:val="24"/>
            <w:sz w:val="24"/>
            <w:szCs w:val="24"/>
          </w:rPr>
          <w:t xml:space="preserve"> Le fonctionnement d'un CDS</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_Toc115527432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94</w:t>
        </w:r>
        <w:r w:rsidR="00B544E5" w:rsidRPr="00F634CD">
          <w:rPr>
            <w:rFonts w:asciiTheme="majorBidi" w:hAnsiTheme="majorBidi" w:cstheme="majorBidi"/>
            <w:noProof/>
            <w:webHidden/>
            <w:kern w:val="24"/>
            <w:sz w:val="24"/>
            <w:szCs w:val="24"/>
          </w:rPr>
          <w:fldChar w:fldCharType="end"/>
        </w:r>
      </w:hyperlink>
    </w:p>
    <w:p w14:paraId="2C84A89B" w14:textId="42E8D482"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33" w:history="1">
        <w:r w:rsidR="006B4665" w:rsidRPr="00F634CD">
          <w:rPr>
            <w:rStyle w:val="Lienhypertexte"/>
            <w:rFonts w:asciiTheme="majorBidi" w:hAnsiTheme="majorBidi" w:cstheme="majorBidi"/>
            <w:b/>
            <w:bCs/>
            <w:noProof/>
            <w:kern w:val="24"/>
            <w:sz w:val="24"/>
            <w:szCs w:val="24"/>
          </w:rPr>
          <w:t>Figure 22-</w:t>
        </w:r>
        <w:r w:rsidR="006B4665" w:rsidRPr="00F634CD">
          <w:rPr>
            <w:rStyle w:val="Lienhypertexte"/>
            <w:rFonts w:asciiTheme="majorBidi" w:hAnsiTheme="majorBidi" w:cstheme="majorBidi"/>
            <w:noProof/>
            <w:kern w:val="24"/>
            <w:sz w:val="24"/>
            <w:szCs w:val="24"/>
          </w:rPr>
          <w:t xml:space="preserve"> Répartition pyramide des rôles des acteurs du contrôle interne</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_Toc115527433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101</w:t>
        </w:r>
        <w:r w:rsidR="00B544E5" w:rsidRPr="00F634CD">
          <w:rPr>
            <w:rFonts w:asciiTheme="majorBidi" w:hAnsiTheme="majorBidi" w:cstheme="majorBidi"/>
            <w:noProof/>
            <w:webHidden/>
            <w:kern w:val="24"/>
            <w:sz w:val="24"/>
            <w:szCs w:val="24"/>
          </w:rPr>
          <w:fldChar w:fldCharType="end"/>
        </w:r>
      </w:hyperlink>
    </w:p>
    <w:p w14:paraId="784502F8" w14:textId="59492F2B"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34" w:history="1">
        <w:r w:rsidR="006B4665" w:rsidRPr="00F634CD">
          <w:rPr>
            <w:rStyle w:val="Lienhypertexte"/>
            <w:rFonts w:asciiTheme="majorBidi" w:hAnsiTheme="majorBidi" w:cstheme="majorBidi"/>
            <w:b/>
            <w:bCs/>
            <w:noProof/>
            <w:kern w:val="24"/>
            <w:sz w:val="24"/>
            <w:szCs w:val="24"/>
          </w:rPr>
          <w:t>Figure 23-</w:t>
        </w:r>
        <w:r w:rsidR="006B4665" w:rsidRPr="00F634CD">
          <w:rPr>
            <w:rStyle w:val="Lienhypertexte"/>
            <w:rFonts w:asciiTheme="majorBidi" w:hAnsiTheme="majorBidi" w:cstheme="majorBidi"/>
            <w:noProof/>
            <w:kern w:val="24"/>
            <w:sz w:val="24"/>
            <w:szCs w:val="24"/>
          </w:rPr>
          <w:t xml:space="preserve"> Les trois piliers de l'accord de Bâle II</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_Toc115527434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106</w:t>
        </w:r>
        <w:r w:rsidR="00B544E5" w:rsidRPr="00F634CD">
          <w:rPr>
            <w:rFonts w:asciiTheme="majorBidi" w:hAnsiTheme="majorBidi" w:cstheme="majorBidi"/>
            <w:noProof/>
            <w:webHidden/>
            <w:kern w:val="24"/>
            <w:sz w:val="24"/>
            <w:szCs w:val="24"/>
          </w:rPr>
          <w:fldChar w:fldCharType="end"/>
        </w:r>
      </w:hyperlink>
    </w:p>
    <w:p w14:paraId="0A8FDAEF" w14:textId="04628467"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35" w:history="1">
        <w:r w:rsidR="006B4665" w:rsidRPr="00F634CD">
          <w:rPr>
            <w:rStyle w:val="Lienhypertexte"/>
            <w:rFonts w:asciiTheme="majorBidi" w:hAnsiTheme="majorBidi" w:cstheme="majorBidi"/>
            <w:b/>
            <w:bCs/>
            <w:noProof/>
            <w:kern w:val="24"/>
            <w:sz w:val="24"/>
            <w:szCs w:val="24"/>
          </w:rPr>
          <w:t>Figure 24-</w:t>
        </w:r>
        <w:r w:rsidR="006B4665" w:rsidRPr="00F634CD">
          <w:rPr>
            <w:rStyle w:val="Lienhypertexte"/>
            <w:rFonts w:asciiTheme="majorBidi" w:hAnsiTheme="majorBidi" w:cstheme="majorBidi"/>
            <w:noProof/>
            <w:kern w:val="24"/>
            <w:sz w:val="24"/>
            <w:szCs w:val="24"/>
          </w:rPr>
          <w:t xml:space="preserve"> Khiyar al-shart relatif aux prix futurs</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_Toc115527435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130</w:t>
        </w:r>
        <w:r w:rsidR="00B544E5" w:rsidRPr="00F634CD">
          <w:rPr>
            <w:rFonts w:asciiTheme="majorBidi" w:hAnsiTheme="majorBidi" w:cstheme="majorBidi"/>
            <w:noProof/>
            <w:webHidden/>
            <w:kern w:val="24"/>
            <w:sz w:val="24"/>
            <w:szCs w:val="24"/>
          </w:rPr>
          <w:fldChar w:fldCharType="end"/>
        </w:r>
      </w:hyperlink>
    </w:p>
    <w:p w14:paraId="4BCEB999" w14:textId="481EF96F"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36" w:history="1">
        <w:r w:rsidR="006B4665" w:rsidRPr="00F634CD">
          <w:rPr>
            <w:rStyle w:val="Lienhypertexte"/>
            <w:rFonts w:asciiTheme="majorBidi" w:hAnsiTheme="majorBidi" w:cstheme="majorBidi"/>
            <w:b/>
            <w:bCs/>
            <w:noProof/>
            <w:kern w:val="24"/>
            <w:sz w:val="24"/>
            <w:szCs w:val="24"/>
          </w:rPr>
          <w:t>Figure 25-</w:t>
        </w:r>
        <w:r w:rsidR="006B4665" w:rsidRPr="00F634CD">
          <w:rPr>
            <w:rStyle w:val="Lienhypertexte"/>
            <w:rFonts w:asciiTheme="majorBidi" w:hAnsiTheme="majorBidi" w:cstheme="majorBidi"/>
            <w:noProof/>
            <w:kern w:val="24"/>
            <w:sz w:val="24"/>
            <w:szCs w:val="24"/>
          </w:rPr>
          <w:t xml:space="preserve"> Contrats basés sur la logique de partage "</w:t>
        </w:r>
        <w:r w:rsidR="006B4665" w:rsidRPr="00F634CD">
          <w:rPr>
            <w:rStyle w:val="Lienhypertexte"/>
            <w:rFonts w:asciiTheme="majorBidi" w:hAnsiTheme="majorBidi" w:cstheme="majorBidi"/>
            <w:i/>
            <w:iCs/>
            <w:noProof/>
            <w:kern w:val="24"/>
            <w:sz w:val="24"/>
            <w:szCs w:val="24"/>
          </w:rPr>
          <w:t>Ou’qoud Shirka</w:t>
        </w:r>
        <w:r w:rsidR="006B4665" w:rsidRPr="00F634CD">
          <w:rPr>
            <w:rStyle w:val="Lienhypertexte"/>
            <w:rFonts w:asciiTheme="majorBidi" w:hAnsiTheme="majorBidi" w:cstheme="majorBidi"/>
            <w:noProof/>
            <w:kern w:val="24"/>
            <w:sz w:val="24"/>
            <w:szCs w:val="24"/>
          </w:rPr>
          <w:t>"</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_Toc115527436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146</w:t>
        </w:r>
        <w:r w:rsidR="00B544E5" w:rsidRPr="00F634CD">
          <w:rPr>
            <w:rFonts w:asciiTheme="majorBidi" w:hAnsiTheme="majorBidi" w:cstheme="majorBidi"/>
            <w:noProof/>
            <w:webHidden/>
            <w:kern w:val="24"/>
            <w:sz w:val="24"/>
            <w:szCs w:val="24"/>
          </w:rPr>
          <w:fldChar w:fldCharType="end"/>
        </w:r>
      </w:hyperlink>
    </w:p>
    <w:p w14:paraId="54B2F3F4" w14:textId="1CA20F8D"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37" w:history="1">
        <w:r w:rsidR="006B4665" w:rsidRPr="00F634CD">
          <w:rPr>
            <w:rStyle w:val="Lienhypertexte"/>
            <w:rFonts w:asciiTheme="majorBidi" w:hAnsiTheme="majorBidi" w:cstheme="majorBidi"/>
            <w:b/>
            <w:bCs/>
            <w:noProof/>
            <w:kern w:val="24"/>
            <w:sz w:val="24"/>
            <w:szCs w:val="24"/>
          </w:rPr>
          <w:t>Figure 26-</w:t>
        </w:r>
        <w:r w:rsidR="006B4665" w:rsidRPr="00F634CD">
          <w:rPr>
            <w:rStyle w:val="Lienhypertexte"/>
            <w:rFonts w:asciiTheme="majorBidi" w:hAnsiTheme="majorBidi" w:cstheme="majorBidi"/>
            <w:noProof/>
            <w:kern w:val="24"/>
            <w:sz w:val="24"/>
            <w:szCs w:val="24"/>
          </w:rPr>
          <w:t xml:space="preserve"> Facteurs du risque de crédit liés à un contrat </w:t>
        </w:r>
        <w:r w:rsidR="006B4665" w:rsidRPr="00F634CD">
          <w:rPr>
            <w:rStyle w:val="Lienhypertexte"/>
            <w:rFonts w:asciiTheme="majorBidi" w:hAnsiTheme="majorBidi" w:cstheme="majorBidi"/>
            <w:i/>
            <w:iCs/>
            <w:noProof/>
            <w:kern w:val="24"/>
            <w:sz w:val="24"/>
            <w:szCs w:val="24"/>
          </w:rPr>
          <w:t>moucharaka</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_Toc115527437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165</w:t>
        </w:r>
        <w:r w:rsidR="00B544E5" w:rsidRPr="00F634CD">
          <w:rPr>
            <w:rFonts w:asciiTheme="majorBidi" w:hAnsiTheme="majorBidi" w:cstheme="majorBidi"/>
            <w:noProof/>
            <w:webHidden/>
            <w:kern w:val="24"/>
            <w:sz w:val="24"/>
            <w:szCs w:val="24"/>
          </w:rPr>
          <w:fldChar w:fldCharType="end"/>
        </w:r>
      </w:hyperlink>
    </w:p>
    <w:p w14:paraId="7045BB84" w14:textId="4DA7AAC9" w:rsidR="006B4665" w:rsidRPr="00F634CD" w:rsidRDefault="00C40DAA" w:rsidP="006B4665">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27438" w:history="1">
        <w:r w:rsidR="006B4665" w:rsidRPr="00F634CD">
          <w:rPr>
            <w:rStyle w:val="Lienhypertexte"/>
            <w:rFonts w:asciiTheme="majorBidi" w:hAnsiTheme="majorBidi" w:cstheme="majorBidi"/>
            <w:b/>
            <w:bCs/>
            <w:noProof/>
            <w:kern w:val="24"/>
            <w:sz w:val="24"/>
            <w:szCs w:val="24"/>
          </w:rPr>
          <w:t>Figure 27-</w:t>
        </w:r>
        <w:r w:rsidR="006B4665" w:rsidRPr="00F634CD">
          <w:rPr>
            <w:rStyle w:val="Lienhypertexte"/>
            <w:rFonts w:asciiTheme="majorBidi" w:hAnsiTheme="majorBidi" w:cstheme="majorBidi"/>
            <w:noProof/>
            <w:kern w:val="24"/>
            <w:sz w:val="24"/>
            <w:szCs w:val="24"/>
          </w:rPr>
          <w:t xml:space="preserve"> Facteurs du risque de crédit liés à un contrat </w:t>
        </w:r>
        <w:r w:rsidR="006B4665" w:rsidRPr="00F634CD">
          <w:rPr>
            <w:rStyle w:val="Lienhypertexte"/>
            <w:rFonts w:asciiTheme="majorBidi" w:hAnsiTheme="majorBidi" w:cstheme="majorBidi"/>
            <w:i/>
            <w:iCs/>
            <w:noProof/>
            <w:kern w:val="24"/>
            <w:sz w:val="24"/>
            <w:szCs w:val="24"/>
          </w:rPr>
          <w:t>moudaraba</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_Toc115527438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166</w:t>
        </w:r>
        <w:r w:rsidR="00B544E5" w:rsidRPr="00F634CD">
          <w:rPr>
            <w:rFonts w:asciiTheme="majorBidi" w:hAnsiTheme="majorBidi" w:cstheme="majorBidi"/>
            <w:noProof/>
            <w:webHidden/>
            <w:kern w:val="24"/>
            <w:sz w:val="24"/>
            <w:szCs w:val="24"/>
          </w:rPr>
          <w:fldChar w:fldCharType="end"/>
        </w:r>
      </w:hyperlink>
    </w:p>
    <w:p w14:paraId="3E37BC07" w14:textId="713661CC" w:rsidR="006B4665" w:rsidRPr="00F634CD" w:rsidRDefault="00C40DAA" w:rsidP="006B4665">
      <w:pPr>
        <w:pStyle w:val="Tabledesillustrations"/>
        <w:tabs>
          <w:tab w:val="right" w:leader="dot" w:pos="9061"/>
        </w:tabs>
        <w:spacing w:before="120" w:after="120"/>
        <w:rPr>
          <w:rFonts w:eastAsiaTheme="minorEastAsia"/>
          <w:noProof/>
          <w:kern w:val="24"/>
          <w:lang w:eastAsia="fr-FR"/>
        </w:rPr>
      </w:pPr>
      <w:hyperlink w:anchor="_Toc115527439" w:history="1">
        <w:r w:rsidR="006B4665" w:rsidRPr="00F634CD">
          <w:rPr>
            <w:rStyle w:val="Lienhypertexte"/>
            <w:rFonts w:asciiTheme="majorBidi" w:hAnsiTheme="majorBidi" w:cstheme="majorBidi"/>
            <w:b/>
            <w:bCs/>
            <w:noProof/>
            <w:kern w:val="24"/>
            <w:sz w:val="24"/>
            <w:szCs w:val="24"/>
          </w:rPr>
          <w:t>Figure 28-</w:t>
        </w:r>
        <w:r w:rsidR="006B4665" w:rsidRPr="00F634CD">
          <w:rPr>
            <w:rStyle w:val="Lienhypertexte"/>
            <w:rFonts w:asciiTheme="majorBidi" w:hAnsiTheme="majorBidi" w:cstheme="majorBidi"/>
            <w:noProof/>
            <w:kern w:val="24"/>
            <w:sz w:val="24"/>
            <w:szCs w:val="24"/>
          </w:rPr>
          <w:t xml:space="preserve"> Fonctionnement des comptes d’investissement participatif</w:t>
        </w:r>
        <w:r w:rsidR="006B4665"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6B4665" w:rsidRPr="00F634CD">
          <w:rPr>
            <w:rFonts w:asciiTheme="majorBidi" w:hAnsiTheme="majorBidi" w:cstheme="majorBidi"/>
            <w:noProof/>
            <w:webHidden/>
            <w:kern w:val="24"/>
            <w:sz w:val="24"/>
            <w:szCs w:val="24"/>
          </w:rPr>
          <w:instrText xml:space="preserve"> PAGEREF _Toc115527439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168</w:t>
        </w:r>
        <w:r w:rsidR="00B544E5" w:rsidRPr="00F634CD">
          <w:rPr>
            <w:rFonts w:asciiTheme="majorBidi" w:hAnsiTheme="majorBidi" w:cstheme="majorBidi"/>
            <w:noProof/>
            <w:webHidden/>
            <w:kern w:val="24"/>
            <w:sz w:val="24"/>
            <w:szCs w:val="24"/>
          </w:rPr>
          <w:fldChar w:fldCharType="end"/>
        </w:r>
      </w:hyperlink>
    </w:p>
    <w:p w14:paraId="7B3522CB" w14:textId="77777777" w:rsidR="00A53957" w:rsidRPr="00F634CD" w:rsidRDefault="00B544E5" w:rsidP="007636D0">
      <w:pPr>
        <w:pStyle w:val="Titre2"/>
        <w:spacing w:after="240" w:line="300" w:lineRule="auto"/>
        <w:jc w:val="center"/>
        <w:rPr>
          <w:i w:val="0"/>
          <w:iCs w:val="0"/>
          <w:kern w:val="24"/>
          <w:sz w:val="32"/>
          <w:szCs w:val="32"/>
        </w:rPr>
      </w:pPr>
      <w:r w:rsidRPr="00F634CD">
        <w:rPr>
          <w:rFonts w:cstheme="majorBidi"/>
          <w:kern w:val="24"/>
          <w:szCs w:val="24"/>
        </w:rPr>
        <w:fldChar w:fldCharType="end"/>
      </w:r>
      <w:bookmarkStart w:id="1893" w:name="_Toc116257080"/>
      <w:bookmarkStart w:id="1894" w:name="_Toc182298945"/>
      <w:bookmarkStart w:id="1895" w:name="_Toc182309403"/>
      <w:r w:rsidR="00A53957" w:rsidRPr="00F634CD">
        <w:rPr>
          <w:i w:val="0"/>
          <w:iCs w:val="0"/>
          <w:kern w:val="24"/>
          <w:sz w:val="32"/>
          <w:szCs w:val="32"/>
        </w:rPr>
        <w:t>Liste des Graphiques</w:t>
      </w:r>
      <w:bookmarkEnd w:id="1893"/>
      <w:bookmarkEnd w:id="1894"/>
      <w:bookmarkEnd w:id="1895"/>
    </w:p>
    <w:p w14:paraId="4084C62C" w14:textId="5ABCB83D" w:rsidR="00A53957" w:rsidRPr="00F634CD" w:rsidRDefault="00B544E5" w:rsidP="004B703E">
      <w:pPr>
        <w:pStyle w:val="Tabledesillustrations"/>
        <w:tabs>
          <w:tab w:val="right" w:leader="dot" w:pos="9061"/>
        </w:tabs>
        <w:spacing w:before="120"/>
        <w:rPr>
          <w:rFonts w:asciiTheme="majorBidi" w:eastAsiaTheme="minorEastAsia" w:hAnsiTheme="majorBidi" w:cstheme="majorBidi"/>
          <w:noProof/>
          <w:kern w:val="24"/>
          <w:sz w:val="24"/>
          <w:szCs w:val="24"/>
          <w:lang w:eastAsia="fr-FR"/>
        </w:rPr>
      </w:pPr>
      <w:r w:rsidRPr="00F634CD">
        <w:rPr>
          <w:rFonts w:asciiTheme="majorBidi" w:hAnsiTheme="majorBidi" w:cstheme="majorBidi"/>
          <w:kern w:val="24"/>
          <w:sz w:val="24"/>
          <w:szCs w:val="24"/>
        </w:rPr>
        <w:fldChar w:fldCharType="begin"/>
      </w:r>
      <w:r w:rsidR="00A53957" w:rsidRPr="00F634CD">
        <w:rPr>
          <w:rFonts w:asciiTheme="majorBidi" w:hAnsiTheme="majorBidi" w:cstheme="majorBidi"/>
          <w:kern w:val="24"/>
          <w:sz w:val="24"/>
          <w:szCs w:val="24"/>
        </w:rPr>
        <w:instrText xml:space="preserve"> TOC \h \z \c "Graphique" </w:instrText>
      </w:r>
      <w:r w:rsidRPr="00F634CD">
        <w:rPr>
          <w:rFonts w:asciiTheme="majorBidi" w:hAnsiTheme="majorBidi" w:cstheme="majorBidi"/>
          <w:kern w:val="24"/>
          <w:sz w:val="24"/>
          <w:szCs w:val="24"/>
        </w:rPr>
        <w:fldChar w:fldCharType="separate"/>
      </w:r>
      <w:hyperlink w:anchor="_Toc58605752" w:history="1">
        <w:r w:rsidR="00255B91" w:rsidRPr="00F634CD">
          <w:rPr>
            <w:rStyle w:val="Lienhypertexte"/>
            <w:rFonts w:asciiTheme="majorBidi" w:hAnsiTheme="majorBidi" w:cstheme="majorBidi"/>
            <w:b/>
            <w:bCs/>
            <w:noProof/>
            <w:kern w:val="24"/>
            <w:sz w:val="24"/>
            <w:szCs w:val="24"/>
          </w:rPr>
          <w:t>Graphique 1-</w:t>
        </w:r>
        <w:r w:rsidR="00255B91" w:rsidRPr="00F634CD">
          <w:rPr>
            <w:rStyle w:val="Lienhypertexte"/>
            <w:rFonts w:asciiTheme="majorBidi" w:hAnsiTheme="majorBidi" w:cstheme="majorBidi"/>
            <w:noProof/>
            <w:kern w:val="24"/>
            <w:sz w:val="24"/>
            <w:szCs w:val="24"/>
          </w:rPr>
          <w:t xml:space="preserve"> </w:t>
        </w:r>
        <w:r w:rsidR="00A53957" w:rsidRPr="00F634CD">
          <w:rPr>
            <w:rStyle w:val="Lienhypertexte"/>
            <w:rFonts w:asciiTheme="majorBidi" w:hAnsiTheme="majorBidi" w:cstheme="majorBidi"/>
            <w:noProof/>
            <w:kern w:val="24"/>
            <w:sz w:val="24"/>
            <w:szCs w:val="24"/>
          </w:rPr>
          <w:t>Normes comptables utilisées par les institutions financières</w:t>
        </w:r>
        <w:r w:rsidR="00A53957" w:rsidRPr="00F634CD">
          <w:rPr>
            <w:rFonts w:asciiTheme="majorBidi" w:hAnsiTheme="majorBidi" w:cstheme="majorBidi"/>
            <w:noProof/>
            <w:webHidden/>
            <w:kern w:val="24"/>
            <w:sz w:val="24"/>
            <w:szCs w:val="24"/>
          </w:rPr>
          <w:tab/>
        </w:r>
        <w:r w:rsidRPr="00F634CD">
          <w:rPr>
            <w:rFonts w:asciiTheme="majorBidi" w:hAnsiTheme="majorBidi" w:cstheme="majorBidi"/>
            <w:noProof/>
            <w:webHidden/>
            <w:kern w:val="24"/>
            <w:sz w:val="24"/>
            <w:szCs w:val="24"/>
          </w:rPr>
          <w:fldChar w:fldCharType="begin"/>
        </w:r>
        <w:r w:rsidR="00A53957" w:rsidRPr="00F634CD">
          <w:rPr>
            <w:rFonts w:asciiTheme="majorBidi" w:hAnsiTheme="majorBidi" w:cstheme="majorBidi"/>
            <w:noProof/>
            <w:webHidden/>
            <w:kern w:val="24"/>
            <w:sz w:val="24"/>
            <w:szCs w:val="24"/>
          </w:rPr>
          <w:instrText xml:space="preserve"> PAGEREF _Toc58605752 \h </w:instrText>
        </w:r>
        <w:r w:rsidRPr="00F634CD">
          <w:rPr>
            <w:rFonts w:asciiTheme="majorBidi" w:hAnsiTheme="majorBidi" w:cstheme="majorBidi"/>
            <w:noProof/>
            <w:webHidden/>
            <w:kern w:val="24"/>
            <w:sz w:val="24"/>
            <w:szCs w:val="24"/>
          </w:rPr>
        </w:r>
        <w:r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191</w:t>
        </w:r>
        <w:r w:rsidRPr="00F634CD">
          <w:rPr>
            <w:rFonts w:asciiTheme="majorBidi" w:hAnsiTheme="majorBidi" w:cstheme="majorBidi"/>
            <w:noProof/>
            <w:webHidden/>
            <w:kern w:val="24"/>
            <w:sz w:val="24"/>
            <w:szCs w:val="24"/>
          </w:rPr>
          <w:fldChar w:fldCharType="end"/>
        </w:r>
      </w:hyperlink>
    </w:p>
    <w:p w14:paraId="40B36CB6" w14:textId="11076110" w:rsidR="00A53957" w:rsidRPr="00F634CD" w:rsidRDefault="00C40DAA" w:rsidP="00A53957">
      <w:pPr>
        <w:pStyle w:val="Tabledesillustrations"/>
        <w:tabs>
          <w:tab w:val="right" w:leader="dot" w:pos="9061"/>
        </w:tabs>
        <w:spacing w:before="120"/>
        <w:rPr>
          <w:rFonts w:asciiTheme="majorBidi" w:eastAsiaTheme="minorEastAsia" w:hAnsiTheme="majorBidi" w:cstheme="majorBidi"/>
          <w:noProof/>
          <w:kern w:val="24"/>
          <w:sz w:val="24"/>
          <w:szCs w:val="24"/>
          <w:lang w:eastAsia="fr-FR"/>
        </w:rPr>
      </w:pPr>
      <w:hyperlink w:anchor="_Toc58605753" w:history="1">
        <w:r w:rsidR="00255B91" w:rsidRPr="00F634CD">
          <w:rPr>
            <w:rStyle w:val="Lienhypertexte"/>
            <w:rFonts w:asciiTheme="majorBidi" w:hAnsiTheme="majorBidi" w:cstheme="majorBidi"/>
            <w:b/>
            <w:bCs/>
            <w:noProof/>
            <w:kern w:val="24"/>
            <w:sz w:val="24"/>
            <w:szCs w:val="24"/>
          </w:rPr>
          <w:t>Graphique 2-</w:t>
        </w:r>
        <w:r w:rsidR="00A53957" w:rsidRPr="00F634CD">
          <w:rPr>
            <w:rStyle w:val="Lienhypertexte"/>
            <w:rFonts w:asciiTheme="majorBidi" w:hAnsiTheme="majorBidi" w:cstheme="majorBidi"/>
            <w:noProof/>
            <w:kern w:val="24"/>
            <w:sz w:val="24"/>
            <w:szCs w:val="24"/>
          </w:rPr>
          <w:t xml:space="preserve"> Contrats de financement </w:t>
        </w:r>
        <w:r w:rsidR="003773C6" w:rsidRPr="00F634CD">
          <w:rPr>
            <w:rStyle w:val="Lienhypertexte"/>
            <w:rFonts w:asciiTheme="majorBidi" w:hAnsiTheme="majorBidi" w:cstheme="majorBidi"/>
            <w:noProof/>
            <w:kern w:val="24"/>
            <w:sz w:val="24"/>
            <w:szCs w:val="24"/>
          </w:rPr>
          <w:t>Islamique</w:t>
        </w:r>
        <w:r w:rsidR="00A53957" w:rsidRPr="00F634CD">
          <w:rPr>
            <w:rStyle w:val="Lienhypertexte"/>
            <w:rFonts w:asciiTheme="majorBidi" w:hAnsiTheme="majorBidi" w:cstheme="majorBidi"/>
            <w:noProof/>
            <w:kern w:val="24"/>
            <w:sz w:val="24"/>
            <w:szCs w:val="24"/>
          </w:rPr>
          <w:t>: intensité d'utilisation vs perception de risque</w:t>
        </w:r>
        <w:r w:rsidR="00A5395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A53957" w:rsidRPr="00F634CD">
          <w:rPr>
            <w:rFonts w:asciiTheme="majorBidi" w:hAnsiTheme="majorBidi" w:cstheme="majorBidi"/>
            <w:noProof/>
            <w:webHidden/>
            <w:kern w:val="24"/>
            <w:sz w:val="24"/>
            <w:szCs w:val="24"/>
          </w:rPr>
          <w:instrText xml:space="preserve"> PAGEREF _Toc58605753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196</w:t>
        </w:r>
        <w:r w:rsidR="00B544E5" w:rsidRPr="00F634CD">
          <w:rPr>
            <w:rFonts w:asciiTheme="majorBidi" w:hAnsiTheme="majorBidi" w:cstheme="majorBidi"/>
            <w:noProof/>
            <w:webHidden/>
            <w:kern w:val="24"/>
            <w:sz w:val="24"/>
            <w:szCs w:val="24"/>
          </w:rPr>
          <w:fldChar w:fldCharType="end"/>
        </w:r>
      </w:hyperlink>
    </w:p>
    <w:p w14:paraId="3E5E5D15" w14:textId="5CD4D083" w:rsidR="00A53957" w:rsidRPr="00F634CD" w:rsidRDefault="00C40DAA" w:rsidP="00A53957">
      <w:pPr>
        <w:pStyle w:val="Tabledesillustrations"/>
        <w:tabs>
          <w:tab w:val="right" w:leader="dot" w:pos="9061"/>
        </w:tabs>
        <w:spacing w:before="120"/>
        <w:rPr>
          <w:rFonts w:asciiTheme="majorBidi" w:eastAsiaTheme="minorEastAsia" w:hAnsiTheme="majorBidi" w:cstheme="majorBidi"/>
          <w:noProof/>
          <w:kern w:val="24"/>
          <w:sz w:val="24"/>
          <w:szCs w:val="24"/>
          <w:lang w:eastAsia="fr-FR"/>
        </w:rPr>
      </w:pPr>
      <w:hyperlink w:anchor="_Toc58605754" w:history="1">
        <w:r w:rsidR="00255B91" w:rsidRPr="00F634CD">
          <w:rPr>
            <w:rStyle w:val="Lienhypertexte"/>
            <w:rFonts w:asciiTheme="majorBidi" w:hAnsiTheme="majorBidi" w:cstheme="majorBidi"/>
            <w:b/>
            <w:bCs/>
            <w:noProof/>
            <w:kern w:val="24"/>
            <w:sz w:val="24"/>
            <w:szCs w:val="24"/>
          </w:rPr>
          <w:t>Graphique 3-</w:t>
        </w:r>
        <w:r w:rsidR="00255B91" w:rsidRPr="00F634CD">
          <w:rPr>
            <w:rStyle w:val="Lienhypertexte"/>
            <w:rFonts w:asciiTheme="majorBidi" w:hAnsiTheme="majorBidi" w:cstheme="majorBidi"/>
            <w:noProof/>
            <w:kern w:val="24"/>
            <w:sz w:val="24"/>
            <w:szCs w:val="24"/>
          </w:rPr>
          <w:t xml:space="preserve"> </w:t>
        </w:r>
        <w:r w:rsidR="00A53957" w:rsidRPr="00F634CD">
          <w:rPr>
            <w:rStyle w:val="Lienhypertexte"/>
            <w:rFonts w:asciiTheme="majorBidi" w:hAnsiTheme="majorBidi" w:cstheme="majorBidi"/>
            <w:noProof/>
            <w:kern w:val="24"/>
            <w:sz w:val="24"/>
            <w:szCs w:val="24"/>
          </w:rPr>
          <w:t xml:space="preserve">Perception sur les pratiques bancaires </w:t>
        </w:r>
        <w:r w:rsidR="003773C6" w:rsidRPr="00F634CD">
          <w:rPr>
            <w:rStyle w:val="Lienhypertexte"/>
            <w:rFonts w:asciiTheme="majorBidi" w:hAnsiTheme="majorBidi" w:cstheme="majorBidi"/>
            <w:noProof/>
            <w:kern w:val="24"/>
            <w:sz w:val="24"/>
            <w:szCs w:val="24"/>
          </w:rPr>
          <w:t>Islamique</w:t>
        </w:r>
        <w:r w:rsidR="00A53957" w:rsidRPr="00F634CD">
          <w:rPr>
            <w:rStyle w:val="Lienhypertexte"/>
            <w:rFonts w:asciiTheme="majorBidi" w:hAnsiTheme="majorBidi" w:cstheme="majorBidi"/>
            <w:noProof/>
            <w:kern w:val="24"/>
            <w:sz w:val="24"/>
            <w:szCs w:val="24"/>
          </w:rPr>
          <w:t>s</w:t>
        </w:r>
        <w:r w:rsidR="00A5395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A53957" w:rsidRPr="00F634CD">
          <w:rPr>
            <w:rFonts w:asciiTheme="majorBidi" w:hAnsiTheme="majorBidi" w:cstheme="majorBidi"/>
            <w:noProof/>
            <w:webHidden/>
            <w:kern w:val="24"/>
            <w:sz w:val="24"/>
            <w:szCs w:val="24"/>
          </w:rPr>
          <w:instrText xml:space="preserve"> PAGEREF _Toc58605754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199</w:t>
        </w:r>
        <w:r w:rsidR="00B544E5" w:rsidRPr="00F634CD">
          <w:rPr>
            <w:rFonts w:asciiTheme="majorBidi" w:hAnsiTheme="majorBidi" w:cstheme="majorBidi"/>
            <w:noProof/>
            <w:webHidden/>
            <w:kern w:val="24"/>
            <w:sz w:val="24"/>
            <w:szCs w:val="24"/>
          </w:rPr>
          <w:fldChar w:fldCharType="end"/>
        </w:r>
      </w:hyperlink>
    </w:p>
    <w:p w14:paraId="4525B5BC" w14:textId="7A519B6E" w:rsidR="00A53957" w:rsidRPr="00F634CD" w:rsidRDefault="00C40DAA" w:rsidP="00A53957">
      <w:pPr>
        <w:pStyle w:val="Tabledesillustrations"/>
        <w:tabs>
          <w:tab w:val="right" w:leader="dot" w:pos="9061"/>
        </w:tabs>
        <w:spacing w:before="120"/>
        <w:rPr>
          <w:rFonts w:asciiTheme="majorBidi" w:eastAsiaTheme="minorEastAsia" w:hAnsiTheme="majorBidi" w:cstheme="majorBidi"/>
          <w:noProof/>
          <w:kern w:val="24"/>
          <w:sz w:val="24"/>
          <w:szCs w:val="24"/>
          <w:lang w:eastAsia="fr-FR"/>
        </w:rPr>
      </w:pPr>
      <w:hyperlink w:anchor="_Toc58605755" w:history="1">
        <w:r w:rsidR="00255B91" w:rsidRPr="00F634CD">
          <w:rPr>
            <w:rStyle w:val="Lienhypertexte"/>
            <w:rFonts w:asciiTheme="majorBidi" w:hAnsiTheme="majorBidi" w:cstheme="majorBidi"/>
            <w:b/>
            <w:bCs/>
            <w:noProof/>
            <w:kern w:val="24"/>
            <w:sz w:val="24"/>
            <w:szCs w:val="24"/>
          </w:rPr>
          <w:t>Graphique 4-</w:t>
        </w:r>
        <w:r w:rsidR="00A53957" w:rsidRPr="00F634CD">
          <w:rPr>
            <w:rStyle w:val="Lienhypertexte"/>
            <w:rFonts w:asciiTheme="majorBidi" w:hAnsiTheme="majorBidi" w:cstheme="majorBidi"/>
            <w:b/>
            <w:bCs/>
            <w:noProof/>
            <w:kern w:val="24"/>
            <w:sz w:val="24"/>
            <w:szCs w:val="24"/>
          </w:rPr>
          <w:t xml:space="preserve"> </w:t>
        </w:r>
        <w:r w:rsidR="00A53957" w:rsidRPr="00F634CD">
          <w:rPr>
            <w:rStyle w:val="Lienhypertexte"/>
            <w:rFonts w:asciiTheme="majorBidi" w:hAnsiTheme="majorBidi" w:cstheme="majorBidi"/>
            <w:noProof/>
            <w:kern w:val="24"/>
            <w:sz w:val="24"/>
            <w:szCs w:val="24"/>
          </w:rPr>
          <w:t>Distribution des fréquences des normes d'adéquation des fonds propres utilisées par les répondants</w:t>
        </w:r>
        <w:r w:rsidR="00A5395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A53957" w:rsidRPr="00F634CD">
          <w:rPr>
            <w:rFonts w:asciiTheme="majorBidi" w:hAnsiTheme="majorBidi" w:cstheme="majorBidi"/>
            <w:noProof/>
            <w:webHidden/>
            <w:kern w:val="24"/>
            <w:sz w:val="24"/>
            <w:szCs w:val="24"/>
          </w:rPr>
          <w:instrText xml:space="preserve"> PAGEREF _Toc58605755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203</w:t>
        </w:r>
        <w:r w:rsidR="00B544E5" w:rsidRPr="00F634CD">
          <w:rPr>
            <w:rFonts w:asciiTheme="majorBidi" w:hAnsiTheme="majorBidi" w:cstheme="majorBidi"/>
            <w:noProof/>
            <w:webHidden/>
            <w:kern w:val="24"/>
            <w:sz w:val="24"/>
            <w:szCs w:val="24"/>
          </w:rPr>
          <w:fldChar w:fldCharType="end"/>
        </w:r>
      </w:hyperlink>
    </w:p>
    <w:p w14:paraId="52B9D599" w14:textId="41FDEFAA" w:rsidR="00A53957" w:rsidRPr="00F634CD" w:rsidRDefault="00C40DAA" w:rsidP="00A53957">
      <w:pPr>
        <w:pStyle w:val="Tabledesillustrations"/>
        <w:tabs>
          <w:tab w:val="right" w:leader="dot" w:pos="9061"/>
        </w:tabs>
        <w:spacing w:before="120"/>
        <w:rPr>
          <w:rFonts w:asciiTheme="majorBidi" w:eastAsiaTheme="minorEastAsia" w:hAnsiTheme="majorBidi" w:cstheme="majorBidi"/>
          <w:noProof/>
          <w:kern w:val="24"/>
          <w:sz w:val="24"/>
          <w:szCs w:val="24"/>
          <w:lang w:eastAsia="fr-FR"/>
        </w:rPr>
      </w:pPr>
      <w:hyperlink w:anchor="_Toc58605756" w:history="1">
        <w:r w:rsidR="00A53957" w:rsidRPr="00F634CD">
          <w:rPr>
            <w:rStyle w:val="Lienhypertexte"/>
            <w:rFonts w:asciiTheme="majorBidi" w:hAnsiTheme="majorBidi" w:cstheme="majorBidi"/>
            <w:b/>
            <w:bCs/>
            <w:noProof/>
            <w:kern w:val="24"/>
            <w:sz w:val="24"/>
            <w:szCs w:val="24"/>
          </w:rPr>
          <w:t>Graph</w:t>
        </w:r>
        <w:r w:rsidR="00255B91" w:rsidRPr="00F634CD">
          <w:rPr>
            <w:rStyle w:val="Lienhypertexte"/>
            <w:rFonts w:asciiTheme="majorBidi" w:hAnsiTheme="majorBidi" w:cstheme="majorBidi"/>
            <w:b/>
            <w:bCs/>
            <w:noProof/>
            <w:kern w:val="24"/>
            <w:sz w:val="24"/>
            <w:szCs w:val="24"/>
          </w:rPr>
          <w:t>ique 5-</w:t>
        </w:r>
        <w:r w:rsidR="00A53957" w:rsidRPr="00F634CD">
          <w:rPr>
            <w:rStyle w:val="Lienhypertexte"/>
            <w:rFonts w:asciiTheme="majorBidi" w:hAnsiTheme="majorBidi" w:cstheme="majorBidi"/>
            <w:noProof/>
            <w:kern w:val="24"/>
            <w:sz w:val="24"/>
            <w:szCs w:val="24"/>
          </w:rPr>
          <w:t xml:space="preserve"> Evaluation des exigences de fonds propres pour les BI par rapport aux banques conventionnelles</w:t>
        </w:r>
        <w:r w:rsidR="00A5395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A53957" w:rsidRPr="00F634CD">
          <w:rPr>
            <w:rFonts w:asciiTheme="majorBidi" w:hAnsiTheme="majorBidi" w:cstheme="majorBidi"/>
            <w:noProof/>
            <w:webHidden/>
            <w:kern w:val="24"/>
            <w:sz w:val="24"/>
            <w:szCs w:val="24"/>
          </w:rPr>
          <w:instrText xml:space="preserve"> PAGEREF _Toc58605756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203</w:t>
        </w:r>
        <w:r w:rsidR="00B544E5" w:rsidRPr="00F634CD">
          <w:rPr>
            <w:rFonts w:asciiTheme="majorBidi" w:hAnsiTheme="majorBidi" w:cstheme="majorBidi"/>
            <w:noProof/>
            <w:webHidden/>
            <w:kern w:val="24"/>
            <w:sz w:val="24"/>
            <w:szCs w:val="24"/>
          </w:rPr>
          <w:fldChar w:fldCharType="end"/>
        </w:r>
      </w:hyperlink>
    </w:p>
    <w:p w14:paraId="3E44226D" w14:textId="4052CE7E" w:rsidR="00DA4383" w:rsidRPr="00F634CD" w:rsidRDefault="00C40DAA" w:rsidP="007F4B68">
      <w:pPr>
        <w:pStyle w:val="Tabledesillustrations"/>
        <w:tabs>
          <w:tab w:val="right" w:leader="dot" w:pos="9061"/>
        </w:tabs>
        <w:spacing w:before="120"/>
        <w:rPr>
          <w:rFonts w:asciiTheme="majorBidi" w:hAnsiTheme="majorBidi" w:cstheme="majorBidi"/>
          <w:kern w:val="24"/>
          <w:sz w:val="24"/>
          <w:szCs w:val="24"/>
        </w:rPr>
      </w:pPr>
      <w:hyperlink w:anchor="_Toc58605757" w:history="1">
        <w:r w:rsidR="00255B91" w:rsidRPr="00F634CD">
          <w:rPr>
            <w:rStyle w:val="Lienhypertexte"/>
            <w:rFonts w:asciiTheme="majorBidi" w:hAnsiTheme="majorBidi" w:cstheme="majorBidi"/>
            <w:b/>
            <w:bCs/>
            <w:noProof/>
            <w:kern w:val="24"/>
            <w:sz w:val="24"/>
            <w:szCs w:val="24"/>
          </w:rPr>
          <w:t>Graphique 6-</w:t>
        </w:r>
        <w:r w:rsidR="00A53957" w:rsidRPr="00F634CD">
          <w:rPr>
            <w:rStyle w:val="Lienhypertexte"/>
            <w:rFonts w:asciiTheme="majorBidi" w:hAnsiTheme="majorBidi" w:cstheme="majorBidi"/>
            <w:noProof/>
            <w:kern w:val="24"/>
            <w:sz w:val="24"/>
            <w:szCs w:val="24"/>
          </w:rPr>
          <w:t xml:space="preserve"> Distribution des fréquences des réserves </w:t>
        </w:r>
        <w:r w:rsidR="003773C6" w:rsidRPr="00F634CD">
          <w:rPr>
            <w:rStyle w:val="Lienhypertexte"/>
            <w:rFonts w:asciiTheme="majorBidi" w:hAnsiTheme="majorBidi" w:cstheme="majorBidi"/>
            <w:noProof/>
            <w:kern w:val="24"/>
            <w:sz w:val="24"/>
            <w:szCs w:val="24"/>
          </w:rPr>
          <w:t>Islamique</w:t>
        </w:r>
        <w:r w:rsidR="00A53957" w:rsidRPr="00F634CD">
          <w:rPr>
            <w:rStyle w:val="Lienhypertexte"/>
            <w:rFonts w:asciiTheme="majorBidi" w:hAnsiTheme="majorBidi" w:cstheme="majorBidi"/>
            <w:noProof/>
            <w:kern w:val="24"/>
            <w:sz w:val="24"/>
            <w:szCs w:val="24"/>
          </w:rPr>
          <w:t>s retenues par les banques participantes</w:t>
        </w:r>
        <w:r w:rsidR="00A5395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A53957" w:rsidRPr="00F634CD">
          <w:rPr>
            <w:rFonts w:asciiTheme="majorBidi" w:hAnsiTheme="majorBidi" w:cstheme="majorBidi"/>
            <w:noProof/>
            <w:webHidden/>
            <w:kern w:val="24"/>
            <w:sz w:val="24"/>
            <w:szCs w:val="24"/>
          </w:rPr>
          <w:instrText xml:space="preserve"> PAGEREF _Toc58605757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205</w:t>
        </w:r>
        <w:r w:rsidR="00B544E5" w:rsidRPr="00F634CD">
          <w:rPr>
            <w:rFonts w:asciiTheme="majorBidi" w:hAnsiTheme="majorBidi" w:cstheme="majorBidi"/>
            <w:noProof/>
            <w:webHidden/>
            <w:kern w:val="24"/>
            <w:sz w:val="24"/>
            <w:szCs w:val="24"/>
          </w:rPr>
          <w:fldChar w:fldCharType="end"/>
        </w:r>
      </w:hyperlink>
      <w:r w:rsidR="00B544E5" w:rsidRPr="00F634CD">
        <w:rPr>
          <w:rFonts w:asciiTheme="majorBidi" w:hAnsiTheme="majorBidi" w:cstheme="majorBidi"/>
          <w:kern w:val="24"/>
          <w:sz w:val="24"/>
          <w:szCs w:val="24"/>
        </w:rPr>
        <w:fldChar w:fldCharType="end"/>
      </w:r>
    </w:p>
    <w:p w14:paraId="56E99340" w14:textId="77777777" w:rsidR="00DA4383" w:rsidRPr="00F634CD" w:rsidRDefault="00DA4383" w:rsidP="00DE760B">
      <w:pPr>
        <w:keepNext/>
        <w:spacing w:before="100" w:beforeAutospacing="1" w:after="100" w:afterAutospacing="1"/>
        <w:jc w:val="center"/>
        <w:outlineLvl w:val="1"/>
        <w:rPr>
          <w:rFonts w:ascii="Times New Roman" w:hAnsi="Times New Roman" w:cs="Times New Roman"/>
          <w:b/>
          <w:bCs/>
          <w:kern w:val="24"/>
          <w:sz w:val="32"/>
          <w:szCs w:val="32"/>
        </w:rPr>
      </w:pPr>
      <w:bookmarkStart w:id="1896" w:name="_Toc116257081"/>
      <w:bookmarkStart w:id="1897" w:name="_Toc182298946"/>
      <w:bookmarkStart w:id="1898" w:name="_Toc182309404"/>
      <w:r w:rsidRPr="00F634CD">
        <w:rPr>
          <w:rFonts w:ascii="Times New Roman" w:hAnsi="Times New Roman" w:cs="Times New Roman"/>
          <w:b/>
          <w:bCs/>
          <w:kern w:val="24"/>
          <w:sz w:val="32"/>
          <w:szCs w:val="32"/>
        </w:rPr>
        <w:t>Liste des Tableaux</w:t>
      </w:r>
      <w:bookmarkEnd w:id="1896"/>
      <w:bookmarkEnd w:id="1897"/>
      <w:bookmarkEnd w:id="1898"/>
    </w:p>
    <w:bookmarkEnd w:id="1877"/>
    <w:bookmarkEnd w:id="1878"/>
    <w:bookmarkEnd w:id="1879"/>
    <w:bookmarkEnd w:id="1880"/>
    <w:bookmarkEnd w:id="1881"/>
    <w:bookmarkEnd w:id="1882"/>
    <w:bookmarkEnd w:id="1883"/>
    <w:bookmarkEnd w:id="1884"/>
    <w:bookmarkEnd w:id="1885"/>
    <w:bookmarkEnd w:id="1886"/>
    <w:bookmarkEnd w:id="1887"/>
    <w:bookmarkEnd w:id="1888"/>
    <w:p w14:paraId="59C2EE6B" w14:textId="7E340079" w:rsidR="002E78A7" w:rsidRPr="00F634CD" w:rsidRDefault="00B544E5"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r w:rsidRPr="00F634CD">
        <w:rPr>
          <w:rFonts w:asciiTheme="majorBidi" w:hAnsiTheme="majorBidi" w:cstheme="majorBidi"/>
          <w:kern w:val="24"/>
          <w:sz w:val="24"/>
          <w:szCs w:val="24"/>
        </w:rPr>
        <w:fldChar w:fldCharType="begin"/>
      </w:r>
      <w:r w:rsidR="00925C52" w:rsidRPr="00F634CD">
        <w:rPr>
          <w:rFonts w:asciiTheme="majorBidi" w:hAnsiTheme="majorBidi" w:cstheme="majorBidi"/>
          <w:kern w:val="24"/>
          <w:sz w:val="24"/>
          <w:szCs w:val="24"/>
        </w:rPr>
        <w:instrText xml:space="preserve"> TOC \h \z \c "Tableau" </w:instrText>
      </w:r>
      <w:r w:rsidRPr="00F634CD">
        <w:rPr>
          <w:rFonts w:asciiTheme="majorBidi" w:hAnsiTheme="majorBidi" w:cstheme="majorBidi"/>
          <w:kern w:val="24"/>
          <w:sz w:val="24"/>
          <w:szCs w:val="24"/>
        </w:rPr>
        <w:fldChar w:fldCharType="separate"/>
      </w:r>
      <w:hyperlink w:anchor="_Toc115556069" w:history="1">
        <w:r w:rsidR="002E78A7" w:rsidRPr="00F634CD">
          <w:rPr>
            <w:rStyle w:val="Lienhypertexte"/>
            <w:rFonts w:asciiTheme="majorBidi" w:hAnsiTheme="majorBidi" w:cstheme="majorBidi"/>
            <w:b/>
            <w:bCs/>
            <w:noProof/>
            <w:color w:val="auto"/>
            <w:kern w:val="24"/>
            <w:sz w:val="24"/>
            <w:szCs w:val="24"/>
          </w:rPr>
          <w:t>Tableau 1-</w:t>
        </w:r>
        <w:r w:rsidR="002E78A7" w:rsidRPr="00F634CD">
          <w:rPr>
            <w:rStyle w:val="Lienhypertexte"/>
            <w:rFonts w:asciiTheme="majorBidi" w:hAnsiTheme="majorBidi" w:cstheme="majorBidi"/>
            <w:noProof/>
            <w:color w:val="auto"/>
            <w:kern w:val="24"/>
            <w:sz w:val="24"/>
            <w:szCs w:val="24"/>
          </w:rPr>
          <w:t xml:space="preserve"> Différence entre rémunération basée sur le profit et sur l’intérêt</w:t>
        </w:r>
        <w:r w:rsidR="002E78A7" w:rsidRPr="00F634CD">
          <w:rPr>
            <w:rFonts w:asciiTheme="majorBidi" w:hAnsiTheme="majorBidi" w:cstheme="majorBidi"/>
            <w:noProof/>
            <w:webHidden/>
            <w:kern w:val="24"/>
            <w:sz w:val="24"/>
            <w:szCs w:val="24"/>
          </w:rPr>
          <w:tab/>
        </w:r>
        <w:r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_Toc115556069 \h </w:instrText>
        </w:r>
        <w:r w:rsidRPr="00F634CD">
          <w:rPr>
            <w:rFonts w:asciiTheme="majorBidi" w:hAnsiTheme="majorBidi" w:cstheme="majorBidi"/>
            <w:noProof/>
            <w:webHidden/>
            <w:kern w:val="24"/>
            <w:sz w:val="24"/>
            <w:szCs w:val="24"/>
          </w:rPr>
        </w:r>
        <w:r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27</w:t>
        </w:r>
        <w:r w:rsidRPr="00F634CD">
          <w:rPr>
            <w:rFonts w:asciiTheme="majorBidi" w:hAnsiTheme="majorBidi" w:cstheme="majorBidi"/>
            <w:noProof/>
            <w:webHidden/>
            <w:kern w:val="24"/>
            <w:sz w:val="24"/>
            <w:szCs w:val="24"/>
          </w:rPr>
          <w:fldChar w:fldCharType="end"/>
        </w:r>
      </w:hyperlink>
    </w:p>
    <w:p w14:paraId="2641557D" w14:textId="108CE1D9"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70" w:history="1">
        <w:r w:rsidR="002E78A7" w:rsidRPr="00F634CD">
          <w:rPr>
            <w:rStyle w:val="Lienhypertexte"/>
            <w:rFonts w:asciiTheme="majorBidi" w:hAnsiTheme="majorBidi" w:cstheme="majorBidi"/>
            <w:b/>
            <w:bCs/>
            <w:noProof/>
            <w:color w:val="auto"/>
            <w:kern w:val="24"/>
            <w:sz w:val="24"/>
            <w:szCs w:val="24"/>
          </w:rPr>
          <w:t>Tableau 2-</w:t>
        </w:r>
        <w:r w:rsidR="002E78A7" w:rsidRPr="00F634CD">
          <w:rPr>
            <w:rStyle w:val="Lienhypertexte"/>
            <w:rFonts w:asciiTheme="majorBidi" w:hAnsiTheme="majorBidi" w:cstheme="majorBidi"/>
            <w:noProof/>
            <w:color w:val="auto"/>
            <w:kern w:val="24"/>
            <w:sz w:val="24"/>
            <w:szCs w:val="24"/>
          </w:rPr>
          <w:t xml:space="preserve"> Comparaison entre les financements par </w:t>
        </w:r>
        <w:r w:rsidR="002E78A7" w:rsidRPr="00F634CD">
          <w:rPr>
            <w:rStyle w:val="Lienhypertexte"/>
            <w:rFonts w:asciiTheme="majorBidi" w:hAnsiTheme="majorBidi" w:cstheme="majorBidi"/>
            <w:i/>
            <w:iCs/>
            <w:noProof/>
            <w:color w:val="auto"/>
            <w:kern w:val="24"/>
            <w:sz w:val="24"/>
            <w:szCs w:val="24"/>
          </w:rPr>
          <w:t>mourabaha</w:t>
        </w:r>
        <w:r w:rsidR="002E78A7" w:rsidRPr="00F634CD">
          <w:rPr>
            <w:rStyle w:val="Lienhypertexte"/>
            <w:rFonts w:asciiTheme="majorBidi" w:hAnsiTheme="majorBidi" w:cstheme="majorBidi"/>
            <w:noProof/>
            <w:color w:val="auto"/>
            <w:kern w:val="24"/>
            <w:sz w:val="24"/>
            <w:szCs w:val="24"/>
          </w:rPr>
          <w:t xml:space="preserve"> et crédit à intérêt</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_Toc115556070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49</w:t>
        </w:r>
        <w:r w:rsidR="00B544E5" w:rsidRPr="00F634CD">
          <w:rPr>
            <w:rFonts w:asciiTheme="majorBidi" w:hAnsiTheme="majorBidi" w:cstheme="majorBidi"/>
            <w:noProof/>
            <w:webHidden/>
            <w:kern w:val="24"/>
            <w:sz w:val="24"/>
            <w:szCs w:val="24"/>
          </w:rPr>
          <w:fldChar w:fldCharType="end"/>
        </w:r>
      </w:hyperlink>
    </w:p>
    <w:p w14:paraId="3379755A" w14:textId="108CC981"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71" w:history="1">
        <w:r w:rsidR="002E78A7" w:rsidRPr="00F634CD">
          <w:rPr>
            <w:rStyle w:val="Lienhypertexte"/>
            <w:rFonts w:asciiTheme="majorBidi" w:hAnsiTheme="majorBidi" w:cstheme="majorBidi"/>
            <w:b/>
            <w:bCs/>
            <w:noProof/>
            <w:color w:val="auto"/>
            <w:kern w:val="24"/>
            <w:sz w:val="24"/>
            <w:szCs w:val="24"/>
          </w:rPr>
          <w:t>Tableau 3-</w:t>
        </w:r>
        <w:r w:rsidR="002E78A7" w:rsidRPr="00F634CD">
          <w:rPr>
            <w:rStyle w:val="Lienhypertexte"/>
            <w:rFonts w:asciiTheme="majorBidi" w:hAnsiTheme="majorBidi" w:cstheme="majorBidi"/>
            <w:noProof/>
            <w:color w:val="auto"/>
            <w:kern w:val="24"/>
            <w:sz w:val="24"/>
            <w:szCs w:val="24"/>
          </w:rPr>
          <w:t xml:space="preserve"> Exemple sur un swap de taux</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_Toc115556071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95</w:t>
        </w:r>
        <w:r w:rsidR="00B544E5" w:rsidRPr="00F634CD">
          <w:rPr>
            <w:rFonts w:asciiTheme="majorBidi" w:hAnsiTheme="majorBidi" w:cstheme="majorBidi"/>
            <w:noProof/>
            <w:webHidden/>
            <w:kern w:val="24"/>
            <w:sz w:val="24"/>
            <w:szCs w:val="24"/>
          </w:rPr>
          <w:fldChar w:fldCharType="end"/>
        </w:r>
      </w:hyperlink>
    </w:p>
    <w:p w14:paraId="5597C879" w14:textId="1D686DF1"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72" w:history="1">
        <w:r w:rsidR="002E78A7" w:rsidRPr="00F634CD">
          <w:rPr>
            <w:rStyle w:val="Lienhypertexte"/>
            <w:rFonts w:asciiTheme="majorBidi" w:hAnsiTheme="majorBidi" w:cstheme="majorBidi"/>
            <w:b/>
            <w:bCs/>
            <w:noProof/>
            <w:color w:val="auto"/>
            <w:kern w:val="24"/>
            <w:sz w:val="24"/>
            <w:szCs w:val="24"/>
          </w:rPr>
          <w:t xml:space="preserve">Tableau 4- </w:t>
        </w:r>
        <w:r w:rsidR="002E78A7" w:rsidRPr="00F634CD">
          <w:rPr>
            <w:rStyle w:val="Lienhypertexte"/>
            <w:rFonts w:asciiTheme="majorBidi" w:hAnsiTheme="majorBidi" w:cstheme="majorBidi"/>
            <w:noProof/>
            <w:color w:val="auto"/>
            <w:kern w:val="24"/>
            <w:sz w:val="24"/>
            <w:szCs w:val="24"/>
          </w:rPr>
          <w:t>Calendrier de la règlementation prudentielle (Bâle II)</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_Toc115556072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105</w:t>
        </w:r>
        <w:r w:rsidR="00B544E5" w:rsidRPr="00F634CD">
          <w:rPr>
            <w:rFonts w:asciiTheme="majorBidi" w:hAnsiTheme="majorBidi" w:cstheme="majorBidi"/>
            <w:noProof/>
            <w:webHidden/>
            <w:kern w:val="24"/>
            <w:sz w:val="24"/>
            <w:szCs w:val="24"/>
          </w:rPr>
          <w:fldChar w:fldCharType="end"/>
        </w:r>
      </w:hyperlink>
    </w:p>
    <w:p w14:paraId="3AF2AE70" w14:textId="4170D03C"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73" w:history="1">
        <w:r w:rsidR="002E78A7" w:rsidRPr="00F634CD">
          <w:rPr>
            <w:rStyle w:val="Lienhypertexte"/>
            <w:rFonts w:asciiTheme="majorBidi" w:hAnsiTheme="majorBidi" w:cstheme="majorBidi"/>
            <w:b/>
            <w:bCs/>
            <w:noProof/>
            <w:color w:val="auto"/>
            <w:kern w:val="24"/>
            <w:sz w:val="24"/>
            <w:szCs w:val="24"/>
          </w:rPr>
          <w:t>Tableau 5-</w:t>
        </w:r>
        <w:r w:rsidR="002E78A7" w:rsidRPr="00F634CD">
          <w:rPr>
            <w:rStyle w:val="Lienhypertexte"/>
            <w:rFonts w:asciiTheme="majorBidi" w:hAnsiTheme="majorBidi" w:cstheme="majorBidi"/>
            <w:noProof/>
            <w:color w:val="auto"/>
            <w:kern w:val="24"/>
            <w:sz w:val="24"/>
            <w:szCs w:val="24"/>
          </w:rPr>
          <w:t xml:space="preserve"> Calendrier de mise en œuvre de Bâle III</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_Toc115556073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109</w:t>
        </w:r>
        <w:r w:rsidR="00B544E5" w:rsidRPr="00F634CD">
          <w:rPr>
            <w:rFonts w:asciiTheme="majorBidi" w:hAnsiTheme="majorBidi" w:cstheme="majorBidi"/>
            <w:noProof/>
            <w:webHidden/>
            <w:kern w:val="24"/>
            <w:sz w:val="24"/>
            <w:szCs w:val="24"/>
          </w:rPr>
          <w:fldChar w:fldCharType="end"/>
        </w:r>
      </w:hyperlink>
    </w:p>
    <w:p w14:paraId="0B1AC86C" w14:textId="0BE800F7"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74" w:history="1">
        <w:r w:rsidR="002E78A7" w:rsidRPr="00F634CD">
          <w:rPr>
            <w:rStyle w:val="Lienhypertexte"/>
            <w:rFonts w:asciiTheme="majorBidi" w:hAnsiTheme="majorBidi" w:cstheme="majorBidi"/>
            <w:b/>
            <w:bCs/>
            <w:noProof/>
            <w:color w:val="auto"/>
            <w:kern w:val="24"/>
            <w:sz w:val="24"/>
            <w:szCs w:val="24"/>
          </w:rPr>
          <w:t>Tableau 6-</w:t>
        </w:r>
        <w:r w:rsidR="002E78A7" w:rsidRPr="00F634CD">
          <w:rPr>
            <w:rStyle w:val="Lienhypertexte"/>
            <w:rFonts w:asciiTheme="majorBidi" w:hAnsiTheme="majorBidi" w:cstheme="majorBidi"/>
            <w:noProof/>
            <w:color w:val="auto"/>
            <w:kern w:val="24"/>
            <w:sz w:val="24"/>
            <w:szCs w:val="24"/>
          </w:rPr>
          <w:t xml:space="preserve"> Instruments financiers islamiques de gestion du risque de liquidité</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_Toc115556074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126</w:t>
        </w:r>
        <w:r w:rsidR="00B544E5" w:rsidRPr="00F634CD">
          <w:rPr>
            <w:rFonts w:asciiTheme="majorBidi" w:hAnsiTheme="majorBidi" w:cstheme="majorBidi"/>
            <w:noProof/>
            <w:webHidden/>
            <w:kern w:val="24"/>
            <w:sz w:val="24"/>
            <w:szCs w:val="24"/>
          </w:rPr>
          <w:fldChar w:fldCharType="end"/>
        </w:r>
      </w:hyperlink>
    </w:p>
    <w:p w14:paraId="1D878086" w14:textId="01C637C7"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75" w:history="1">
        <w:r w:rsidR="002E78A7" w:rsidRPr="00F634CD">
          <w:rPr>
            <w:rStyle w:val="Lienhypertexte"/>
            <w:rFonts w:asciiTheme="majorBidi" w:hAnsiTheme="majorBidi" w:cstheme="majorBidi"/>
            <w:b/>
            <w:bCs/>
            <w:noProof/>
            <w:color w:val="auto"/>
            <w:kern w:val="24"/>
            <w:sz w:val="24"/>
            <w:szCs w:val="24"/>
          </w:rPr>
          <w:t xml:space="preserve">Tableau 7- </w:t>
        </w:r>
        <w:r w:rsidR="002E78A7" w:rsidRPr="00F634CD">
          <w:rPr>
            <w:rStyle w:val="Lienhypertexte"/>
            <w:rFonts w:asciiTheme="majorBidi" w:hAnsiTheme="majorBidi" w:cstheme="majorBidi"/>
            <w:noProof/>
            <w:color w:val="auto"/>
            <w:kern w:val="24"/>
            <w:sz w:val="24"/>
            <w:szCs w:val="24"/>
          </w:rPr>
          <w:t>Taux de réponse des questionnaires</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_Toc115556075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185</w:t>
        </w:r>
        <w:r w:rsidR="00B544E5" w:rsidRPr="00F634CD">
          <w:rPr>
            <w:rFonts w:asciiTheme="majorBidi" w:hAnsiTheme="majorBidi" w:cstheme="majorBidi"/>
            <w:noProof/>
            <w:webHidden/>
            <w:kern w:val="24"/>
            <w:sz w:val="24"/>
            <w:szCs w:val="24"/>
          </w:rPr>
          <w:fldChar w:fldCharType="end"/>
        </w:r>
      </w:hyperlink>
    </w:p>
    <w:p w14:paraId="725A4B60" w14:textId="0F4EA375"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76" w:history="1">
        <w:r w:rsidR="002E78A7" w:rsidRPr="00F634CD">
          <w:rPr>
            <w:rStyle w:val="Lienhypertexte"/>
            <w:rFonts w:asciiTheme="majorBidi" w:hAnsiTheme="majorBidi" w:cstheme="majorBidi"/>
            <w:b/>
            <w:bCs/>
            <w:noProof/>
            <w:color w:val="auto"/>
            <w:kern w:val="24"/>
            <w:sz w:val="24"/>
            <w:szCs w:val="24"/>
          </w:rPr>
          <w:t>Tableau 8-</w:t>
        </w:r>
        <w:r w:rsidR="002E78A7" w:rsidRPr="00F634CD">
          <w:rPr>
            <w:rStyle w:val="Lienhypertexte"/>
            <w:rFonts w:asciiTheme="majorBidi" w:hAnsiTheme="majorBidi" w:cstheme="majorBidi"/>
            <w:noProof/>
            <w:color w:val="auto"/>
            <w:kern w:val="24"/>
            <w:sz w:val="24"/>
            <w:szCs w:val="24"/>
          </w:rPr>
          <w:t xml:space="preserve"> Test de fiabilité (Cronbach’s alpha coefficient)</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_Toc115556076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186</w:t>
        </w:r>
        <w:r w:rsidR="00B544E5" w:rsidRPr="00F634CD">
          <w:rPr>
            <w:rFonts w:asciiTheme="majorBidi" w:hAnsiTheme="majorBidi" w:cstheme="majorBidi"/>
            <w:noProof/>
            <w:webHidden/>
            <w:kern w:val="24"/>
            <w:sz w:val="24"/>
            <w:szCs w:val="24"/>
          </w:rPr>
          <w:fldChar w:fldCharType="end"/>
        </w:r>
      </w:hyperlink>
    </w:p>
    <w:p w14:paraId="0D0A92A5" w14:textId="22E50EC5"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77" w:history="1">
        <w:r w:rsidR="002E78A7" w:rsidRPr="00F634CD">
          <w:rPr>
            <w:rStyle w:val="Lienhypertexte"/>
            <w:rFonts w:asciiTheme="majorBidi" w:hAnsiTheme="majorBidi" w:cstheme="majorBidi"/>
            <w:b/>
            <w:bCs/>
            <w:noProof/>
            <w:color w:val="auto"/>
            <w:kern w:val="24"/>
            <w:sz w:val="24"/>
            <w:szCs w:val="24"/>
          </w:rPr>
          <w:t>Tableau 9-</w:t>
        </w:r>
        <w:r w:rsidR="002E78A7" w:rsidRPr="00F634CD">
          <w:rPr>
            <w:rStyle w:val="Lienhypertexte"/>
            <w:rFonts w:asciiTheme="majorBidi" w:hAnsiTheme="majorBidi" w:cstheme="majorBidi"/>
            <w:noProof/>
            <w:color w:val="auto"/>
            <w:kern w:val="24"/>
            <w:sz w:val="24"/>
            <w:szCs w:val="24"/>
          </w:rPr>
          <w:t xml:space="preserve"> Distribution géographique de l’échantillon de recherche</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_Toc115556077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189</w:t>
        </w:r>
        <w:r w:rsidR="00B544E5" w:rsidRPr="00F634CD">
          <w:rPr>
            <w:rFonts w:asciiTheme="majorBidi" w:hAnsiTheme="majorBidi" w:cstheme="majorBidi"/>
            <w:noProof/>
            <w:webHidden/>
            <w:kern w:val="24"/>
            <w:sz w:val="24"/>
            <w:szCs w:val="24"/>
          </w:rPr>
          <w:fldChar w:fldCharType="end"/>
        </w:r>
      </w:hyperlink>
    </w:p>
    <w:p w14:paraId="69A885A7" w14:textId="348A0252"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78" w:history="1">
        <w:r w:rsidR="002E78A7" w:rsidRPr="00F634CD">
          <w:rPr>
            <w:rStyle w:val="Lienhypertexte"/>
            <w:rFonts w:asciiTheme="majorBidi" w:hAnsiTheme="majorBidi" w:cstheme="majorBidi"/>
            <w:b/>
            <w:bCs/>
            <w:noProof/>
            <w:color w:val="auto"/>
            <w:kern w:val="24"/>
            <w:sz w:val="24"/>
            <w:szCs w:val="24"/>
          </w:rPr>
          <w:t xml:space="preserve">Tableau 10- </w:t>
        </w:r>
        <w:r w:rsidR="002E78A7" w:rsidRPr="00F634CD">
          <w:rPr>
            <w:rStyle w:val="Lienhypertexte"/>
            <w:rFonts w:asciiTheme="majorBidi" w:hAnsiTheme="majorBidi" w:cstheme="majorBidi"/>
            <w:noProof/>
            <w:color w:val="auto"/>
            <w:kern w:val="24"/>
            <w:sz w:val="24"/>
            <w:szCs w:val="24"/>
          </w:rPr>
          <w:t>Répartition des postes des répondants par région</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_Toc115556078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190</w:t>
        </w:r>
        <w:r w:rsidR="00B544E5" w:rsidRPr="00F634CD">
          <w:rPr>
            <w:rFonts w:asciiTheme="majorBidi" w:hAnsiTheme="majorBidi" w:cstheme="majorBidi"/>
            <w:noProof/>
            <w:webHidden/>
            <w:kern w:val="24"/>
            <w:sz w:val="24"/>
            <w:szCs w:val="24"/>
          </w:rPr>
          <w:fldChar w:fldCharType="end"/>
        </w:r>
      </w:hyperlink>
    </w:p>
    <w:p w14:paraId="011C3CFA" w14:textId="4D461E14"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79" w:history="1">
        <w:r w:rsidR="002E78A7" w:rsidRPr="00F634CD">
          <w:rPr>
            <w:rStyle w:val="Lienhypertexte"/>
            <w:rFonts w:asciiTheme="majorBidi" w:hAnsiTheme="majorBidi" w:cstheme="majorBidi"/>
            <w:b/>
            <w:bCs/>
            <w:noProof/>
            <w:color w:val="auto"/>
            <w:kern w:val="24"/>
            <w:sz w:val="24"/>
            <w:szCs w:val="24"/>
          </w:rPr>
          <w:t>Tableau 11-</w:t>
        </w:r>
        <w:r w:rsidR="002E78A7" w:rsidRPr="00F634CD">
          <w:rPr>
            <w:rStyle w:val="Lienhypertexte"/>
            <w:rFonts w:asciiTheme="majorBidi" w:hAnsiTheme="majorBidi" w:cstheme="majorBidi"/>
            <w:noProof/>
            <w:color w:val="auto"/>
            <w:kern w:val="24"/>
            <w:sz w:val="24"/>
            <w:szCs w:val="24"/>
          </w:rPr>
          <w:t xml:space="preserve"> Nature de l’institution financière en %</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_Toc115556079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190</w:t>
        </w:r>
        <w:r w:rsidR="00B544E5" w:rsidRPr="00F634CD">
          <w:rPr>
            <w:rFonts w:asciiTheme="majorBidi" w:hAnsiTheme="majorBidi" w:cstheme="majorBidi"/>
            <w:noProof/>
            <w:webHidden/>
            <w:kern w:val="24"/>
            <w:sz w:val="24"/>
            <w:szCs w:val="24"/>
          </w:rPr>
          <w:fldChar w:fldCharType="end"/>
        </w:r>
      </w:hyperlink>
    </w:p>
    <w:p w14:paraId="335BE61D" w14:textId="1C30C100"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80" w:history="1">
        <w:r w:rsidR="002E78A7" w:rsidRPr="00F634CD">
          <w:rPr>
            <w:rStyle w:val="Lienhypertexte"/>
            <w:rFonts w:asciiTheme="majorBidi" w:hAnsiTheme="majorBidi" w:cstheme="majorBidi"/>
            <w:b/>
            <w:bCs/>
            <w:noProof/>
            <w:color w:val="auto"/>
            <w:kern w:val="24"/>
            <w:sz w:val="24"/>
            <w:szCs w:val="24"/>
          </w:rPr>
          <w:t>Tableau 12-</w:t>
        </w:r>
        <w:r w:rsidR="002E78A7" w:rsidRPr="00F634CD">
          <w:rPr>
            <w:rStyle w:val="Lienhypertexte"/>
            <w:rFonts w:asciiTheme="majorBidi" w:hAnsiTheme="majorBidi" w:cstheme="majorBidi"/>
            <w:noProof/>
            <w:color w:val="auto"/>
            <w:kern w:val="24"/>
            <w:sz w:val="24"/>
            <w:szCs w:val="24"/>
          </w:rPr>
          <w:t xml:space="preserve"> Nature d’activités des BI en %</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_Toc115556080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191</w:t>
        </w:r>
        <w:r w:rsidR="00B544E5" w:rsidRPr="00F634CD">
          <w:rPr>
            <w:rFonts w:asciiTheme="majorBidi" w:hAnsiTheme="majorBidi" w:cstheme="majorBidi"/>
            <w:noProof/>
            <w:webHidden/>
            <w:kern w:val="24"/>
            <w:sz w:val="24"/>
            <w:szCs w:val="24"/>
          </w:rPr>
          <w:fldChar w:fldCharType="end"/>
        </w:r>
      </w:hyperlink>
    </w:p>
    <w:p w14:paraId="6797AF37" w14:textId="7379CE50"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81" w:history="1">
        <w:r w:rsidR="002E78A7" w:rsidRPr="00F634CD">
          <w:rPr>
            <w:rStyle w:val="Lienhypertexte"/>
            <w:rFonts w:asciiTheme="majorBidi" w:hAnsiTheme="majorBidi" w:cstheme="majorBidi"/>
            <w:b/>
            <w:bCs/>
            <w:noProof/>
            <w:color w:val="auto"/>
            <w:kern w:val="24"/>
            <w:sz w:val="24"/>
            <w:szCs w:val="24"/>
          </w:rPr>
          <w:t>Tableau 13-</w:t>
        </w:r>
        <w:r w:rsidR="002E78A7" w:rsidRPr="00F634CD">
          <w:rPr>
            <w:rStyle w:val="Lienhypertexte"/>
            <w:rFonts w:asciiTheme="majorBidi" w:hAnsiTheme="majorBidi" w:cstheme="majorBidi"/>
            <w:noProof/>
            <w:color w:val="auto"/>
            <w:kern w:val="24"/>
            <w:sz w:val="24"/>
            <w:szCs w:val="24"/>
          </w:rPr>
          <w:t xml:space="preserve"> Statistiques descriptives pour chaque type de risque (résultats agrégés)</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_Toc115556081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192</w:t>
        </w:r>
        <w:r w:rsidR="00B544E5" w:rsidRPr="00F634CD">
          <w:rPr>
            <w:rFonts w:asciiTheme="majorBidi" w:hAnsiTheme="majorBidi" w:cstheme="majorBidi"/>
            <w:noProof/>
            <w:webHidden/>
            <w:kern w:val="24"/>
            <w:sz w:val="24"/>
            <w:szCs w:val="24"/>
          </w:rPr>
          <w:fldChar w:fldCharType="end"/>
        </w:r>
      </w:hyperlink>
    </w:p>
    <w:p w14:paraId="4129BDAA" w14:textId="7271A972"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82" w:history="1">
        <w:r w:rsidR="002E78A7" w:rsidRPr="00F634CD">
          <w:rPr>
            <w:rStyle w:val="Lienhypertexte"/>
            <w:rFonts w:asciiTheme="majorBidi" w:hAnsiTheme="majorBidi" w:cstheme="majorBidi"/>
            <w:b/>
            <w:bCs/>
            <w:noProof/>
            <w:color w:val="auto"/>
            <w:kern w:val="24"/>
            <w:sz w:val="24"/>
            <w:szCs w:val="24"/>
          </w:rPr>
          <w:t>Tableau 14-</w:t>
        </w:r>
        <w:r w:rsidR="002E78A7" w:rsidRPr="00F634CD">
          <w:rPr>
            <w:rStyle w:val="Lienhypertexte"/>
            <w:rFonts w:asciiTheme="majorBidi" w:hAnsiTheme="majorBidi" w:cstheme="majorBidi"/>
            <w:noProof/>
            <w:color w:val="auto"/>
            <w:kern w:val="24"/>
            <w:sz w:val="24"/>
            <w:szCs w:val="24"/>
          </w:rPr>
          <w:t xml:space="preserve"> Autres risques spécifiques aux BI</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_Toc115556082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193</w:t>
        </w:r>
        <w:r w:rsidR="00B544E5" w:rsidRPr="00F634CD">
          <w:rPr>
            <w:rFonts w:asciiTheme="majorBidi" w:hAnsiTheme="majorBidi" w:cstheme="majorBidi"/>
            <w:noProof/>
            <w:webHidden/>
            <w:kern w:val="24"/>
            <w:sz w:val="24"/>
            <w:szCs w:val="24"/>
          </w:rPr>
          <w:fldChar w:fldCharType="end"/>
        </w:r>
      </w:hyperlink>
    </w:p>
    <w:p w14:paraId="795DFB78" w14:textId="492CE5F8"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83" w:history="1">
        <w:r w:rsidR="002E78A7" w:rsidRPr="00F634CD">
          <w:rPr>
            <w:rStyle w:val="Lienhypertexte"/>
            <w:rFonts w:asciiTheme="majorBidi" w:hAnsiTheme="majorBidi" w:cstheme="majorBidi"/>
            <w:b/>
            <w:bCs/>
            <w:noProof/>
            <w:color w:val="auto"/>
            <w:kern w:val="24"/>
            <w:sz w:val="24"/>
            <w:szCs w:val="24"/>
          </w:rPr>
          <w:t>Tableau 15-</w:t>
        </w:r>
        <w:r w:rsidR="002E78A7" w:rsidRPr="00F634CD">
          <w:rPr>
            <w:rStyle w:val="Lienhypertexte"/>
            <w:rFonts w:asciiTheme="majorBidi" w:hAnsiTheme="majorBidi" w:cstheme="majorBidi"/>
            <w:noProof/>
            <w:color w:val="auto"/>
            <w:kern w:val="24"/>
            <w:sz w:val="24"/>
            <w:szCs w:val="24"/>
          </w:rPr>
          <w:t xml:space="preserve"> Intensité d’utilisation des modes de financement islamique</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_Toc115556083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194</w:t>
        </w:r>
        <w:r w:rsidR="00B544E5" w:rsidRPr="00F634CD">
          <w:rPr>
            <w:rFonts w:asciiTheme="majorBidi" w:hAnsiTheme="majorBidi" w:cstheme="majorBidi"/>
            <w:noProof/>
            <w:webHidden/>
            <w:kern w:val="24"/>
            <w:sz w:val="24"/>
            <w:szCs w:val="24"/>
          </w:rPr>
          <w:fldChar w:fldCharType="end"/>
        </w:r>
      </w:hyperlink>
    </w:p>
    <w:p w14:paraId="25852D32" w14:textId="5D27261B"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84" w:history="1">
        <w:r w:rsidR="002E78A7" w:rsidRPr="00F634CD">
          <w:rPr>
            <w:rStyle w:val="Lienhypertexte"/>
            <w:rFonts w:asciiTheme="majorBidi" w:hAnsiTheme="majorBidi" w:cstheme="majorBidi"/>
            <w:b/>
            <w:bCs/>
            <w:noProof/>
            <w:color w:val="auto"/>
            <w:kern w:val="24"/>
            <w:sz w:val="24"/>
            <w:szCs w:val="24"/>
          </w:rPr>
          <w:t xml:space="preserve">Tableau 16- </w:t>
        </w:r>
        <w:r w:rsidR="002E78A7" w:rsidRPr="00F634CD">
          <w:rPr>
            <w:rStyle w:val="Lienhypertexte"/>
            <w:rFonts w:asciiTheme="majorBidi" w:eastAsia="Times New Roman" w:hAnsiTheme="majorBidi" w:cstheme="majorBidi"/>
            <w:noProof/>
            <w:color w:val="auto"/>
            <w:kern w:val="24"/>
            <w:sz w:val="24"/>
            <w:szCs w:val="24"/>
          </w:rPr>
          <w:t>Perception de gravité des risques pour chaque mode de financement</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_Toc115556084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195</w:t>
        </w:r>
        <w:r w:rsidR="00B544E5" w:rsidRPr="00F634CD">
          <w:rPr>
            <w:rFonts w:asciiTheme="majorBidi" w:hAnsiTheme="majorBidi" w:cstheme="majorBidi"/>
            <w:noProof/>
            <w:webHidden/>
            <w:kern w:val="24"/>
            <w:sz w:val="24"/>
            <w:szCs w:val="24"/>
          </w:rPr>
          <w:fldChar w:fldCharType="end"/>
        </w:r>
      </w:hyperlink>
    </w:p>
    <w:p w14:paraId="0123A1B9" w14:textId="5AE5ECE0"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85" w:history="1">
        <w:r w:rsidR="002E78A7" w:rsidRPr="00F634CD">
          <w:rPr>
            <w:rStyle w:val="Lienhypertexte"/>
            <w:rFonts w:asciiTheme="majorBidi" w:hAnsiTheme="majorBidi" w:cstheme="majorBidi"/>
            <w:b/>
            <w:bCs/>
            <w:noProof/>
            <w:color w:val="auto"/>
            <w:kern w:val="24"/>
            <w:sz w:val="24"/>
            <w:szCs w:val="24"/>
          </w:rPr>
          <w:t xml:space="preserve">Tableau 17- </w:t>
        </w:r>
        <w:r w:rsidR="002E78A7" w:rsidRPr="00F634CD">
          <w:rPr>
            <w:rStyle w:val="Lienhypertexte"/>
            <w:rFonts w:asciiTheme="majorBidi" w:hAnsiTheme="majorBidi" w:cstheme="majorBidi"/>
            <w:noProof/>
            <w:color w:val="auto"/>
            <w:kern w:val="24"/>
            <w:sz w:val="24"/>
            <w:szCs w:val="24"/>
          </w:rPr>
          <w:t>Perception de chaque risque/chaque contrat de financement</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_Toc115556085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198</w:t>
        </w:r>
        <w:r w:rsidR="00B544E5" w:rsidRPr="00F634CD">
          <w:rPr>
            <w:rFonts w:asciiTheme="majorBidi" w:hAnsiTheme="majorBidi" w:cstheme="majorBidi"/>
            <w:noProof/>
            <w:webHidden/>
            <w:kern w:val="24"/>
            <w:sz w:val="24"/>
            <w:szCs w:val="24"/>
          </w:rPr>
          <w:fldChar w:fldCharType="end"/>
        </w:r>
      </w:hyperlink>
    </w:p>
    <w:p w14:paraId="4EFFDF6B" w14:textId="12A442FD"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86" w:history="1">
        <w:r w:rsidR="002E78A7" w:rsidRPr="00F634CD">
          <w:rPr>
            <w:rStyle w:val="Lienhypertexte"/>
            <w:rFonts w:asciiTheme="majorBidi" w:hAnsiTheme="majorBidi" w:cstheme="majorBidi"/>
            <w:b/>
            <w:bCs/>
            <w:noProof/>
            <w:color w:val="auto"/>
            <w:kern w:val="24"/>
            <w:sz w:val="24"/>
            <w:szCs w:val="24"/>
          </w:rPr>
          <w:t>Tableau 18-</w:t>
        </w:r>
        <w:r w:rsidR="002E78A7" w:rsidRPr="00F634CD">
          <w:rPr>
            <w:rStyle w:val="Lienhypertexte"/>
            <w:rFonts w:asciiTheme="majorBidi" w:hAnsiTheme="majorBidi" w:cstheme="majorBidi"/>
            <w:noProof/>
            <w:color w:val="auto"/>
            <w:kern w:val="24"/>
            <w:sz w:val="24"/>
            <w:szCs w:val="24"/>
          </w:rPr>
          <w:t xml:space="preserve"> Perception sur les pratiques bancaires islamiques en %</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_Toc115556086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199</w:t>
        </w:r>
        <w:r w:rsidR="00B544E5" w:rsidRPr="00F634CD">
          <w:rPr>
            <w:rFonts w:asciiTheme="majorBidi" w:hAnsiTheme="majorBidi" w:cstheme="majorBidi"/>
            <w:noProof/>
            <w:webHidden/>
            <w:kern w:val="24"/>
            <w:sz w:val="24"/>
            <w:szCs w:val="24"/>
          </w:rPr>
          <w:fldChar w:fldCharType="end"/>
        </w:r>
      </w:hyperlink>
    </w:p>
    <w:p w14:paraId="492AE1F7" w14:textId="27644CC8"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87" w:history="1">
        <w:r w:rsidR="002E78A7" w:rsidRPr="00F634CD">
          <w:rPr>
            <w:rStyle w:val="Lienhypertexte"/>
            <w:rFonts w:asciiTheme="majorBidi" w:hAnsiTheme="majorBidi" w:cstheme="majorBidi"/>
            <w:b/>
            <w:bCs/>
            <w:noProof/>
            <w:color w:val="auto"/>
            <w:spacing w:val="-6"/>
            <w:kern w:val="24"/>
            <w:sz w:val="24"/>
            <w:szCs w:val="24"/>
          </w:rPr>
          <w:t xml:space="preserve">Tableau 19- </w:t>
        </w:r>
        <w:r w:rsidR="002E78A7" w:rsidRPr="00F634CD">
          <w:rPr>
            <w:rStyle w:val="Lienhypertexte"/>
            <w:rFonts w:asciiTheme="majorBidi" w:hAnsiTheme="majorBidi" w:cstheme="majorBidi"/>
            <w:noProof/>
            <w:color w:val="auto"/>
            <w:spacing w:val="-6"/>
            <w:kern w:val="24"/>
            <w:sz w:val="24"/>
            <w:szCs w:val="24"/>
          </w:rPr>
          <w:t>Perception sur les causes de réticence des BI d’utiliser les modes participatifs</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_Toc115556087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200</w:t>
        </w:r>
        <w:r w:rsidR="00B544E5" w:rsidRPr="00F634CD">
          <w:rPr>
            <w:rFonts w:asciiTheme="majorBidi" w:hAnsiTheme="majorBidi" w:cstheme="majorBidi"/>
            <w:noProof/>
            <w:webHidden/>
            <w:kern w:val="24"/>
            <w:sz w:val="24"/>
            <w:szCs w:val="24"/>
          </w:rPr>
          <w:fldChar w:fldCharType="end"/>
        </w:r>
      </w:hyperlink>
    </w:p>
    <w:p w14:paraId="0D2B9AB9" w14:textId="01C17ACE"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88" w:history="1">
        <w:r w:rsidR="002E78A7" w:rsidRPr="00F634CD">
          <w:rPr>
            <w:rStyle w:val="Lienhypertexte"/>
            <w:rFonts w:asciiTheme="majorBidi" w:hAnsiTheme="majorBidi" w:cstheme="majorBidi"/>
            <w:b/>
            <w:bCs/>
            <w:noProof/>
            <w:color w:val="auto"/>
            <w:spacing w:val="-6"/>
            <w:kern w:val="24"/>
            <w:sz w:val="24"/>
            <w:szCs w:val="24"/>
          </w:rPr>
          <w:t>Tableau 20-</w:t>
        </w:r>
        <w:r w:rsidR="002E78A7" w:rsidRPr="00F634CD">
          <w:rPr>
            <w:rStyle w:val="Lienhypertexte"/>
            <w:rFonts w:asciiTheme="majorBidi" w:hAnsiTheme="majorBidi" w:cstheme="majorBidi"/>
            <w:noProof/>
            <w:color w:val="auto"/>
            <w:spacing w:val="-6"/>
            <w:kern w:val="24"/>
            <w:sz w:val="24"/>
            <w:szCs w:val="24"/>
          </w:rPr>
          <w:t xml:space="preserve"> Perception sur les raisons d’utilisation excessive des produits non participatifs</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_Toc115556088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201</w:t>
        </w:r>
        <w:r w:rsidR="00B544E5" w:rsidRPr="00F634CD">
          <w:rPr>
            <w:rFonts w:asciiTheme="majorBidi" w:hAnsiTheme="majorBidi" w:cstheme="majorBidi"/>
            <w:noProof/>
            <w:webHidden/>
            <w:kern w:val="24"/>
            <w:sz w:val="24"/>
            <w:szCs w:val="24"/>
          </w:rPr>
          <w:fldChar w:fldCharType="end"/>
        </w:r>
      </w:hyperlink>
    </w:p>
    <w:p w14:paraId="5CDB6473" w14:textId="3042FAD9"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89" w:history="1">
        <w:r w:rsidR="002E78A7" w:rsidRPr="00F634CD">
          <w:rPr>
            <w:rStyle w:val="Lienhypertexte"/>
            <w:rFonts w:asciiTheme="majorBidi" w:hAnsiTheme="majorBidi" w:cstheme="majorBidi"/>
            <w:b/>
            <w:bCs/>
            <w:noProof/>
            <w:color w:val="auto"/>
            <w:kern w:val="24"/>
            <w:sz w:val="24"/>
            <w:szCs w:val="24"/>
          </w:rPr>
          <w:t>Tableau 21-</w:t>
        </w:r>
        <w:r w:rsidR="002E78A7" w:rsidRPr="00F634CD">
          <w:rPr>
            <w:rStyle w:val="Lienhypertexte"/>
            <w:rFonts w:asciiTheme="majorBidi" w:hAnsiTheme="majorBidi" w:cstheme="majorBidi"/>
            <w:noProof/>
            <w:color w:val="auto"/>
            <w:kern w:val="24"/>
            <w:sz w:val="24"/>
            <w:szCs w:val="24"/>
          </w:rPr>
          <w:t xml:space="preserve"> Processus de gestion des risques</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_Toc115556089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202</w:t>
        </w:r>
        <w:r w:rsidR="00B544E5" w:rsidRPr="00F634CD">
          <w:rPr>
            <w:rFonts w:asciiTheme="majorBidi" w:hAnsiTheme="majorBidi" w:cstheme="majorBidi"/>
            <w:noProof/>
            <w:webHidden/>
            <w:kern w:val="24"/>
            <w:sz w:val="24"/>
            <w:szCs w:val="24"/>
          </w:rPr>
          <w:fldChar w:fldCharType="end"/>
        </w:r>
      </w:hyperlink>
    </w:p>
    <w:p w14:paraId="67A98749" w14:textId="13F1C5D5"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90" w:history="1">
        <w:r w:rsidR="002E78A7" w:rsidRPr="00F634CD">
          <w:rPr>
            <w:rStyle w:val="Lienhypertexte"/>
            <w:rFonts w:asciiTheme="majorBidi" w:hAnsiTheme="majorBidi" w:cstheme="majorBidi"/>
            <w:b/>
            <w:bCs/>
            <w:noProof/>
            <w:color w:val="auto"/>
            <w:kern w:val="24"/>
            <w:sz w:val="24"/>
            <w:szCs w:val="24"/>
          </w:rPr>
          <w:t>Tableau 22-</w:t>
        </w:r>
        <w:r w:rsidR="002E78A7" w:rsidRPr="00F634CD">
          <w:rPr>
            <w:rStyle w:val="Lienhypertexte"/>
            <w:rFonts w:asciiTheme="majorBidi" w:hAnsiTheme="majorBidi" w:cstheme="majorBidi"/>
            <w:noProof/>
            <w:color w:val="auto"/>
            <w:kern w:val="24"/>
            <w:sz w:val="24"/>
            <w:szCs w:val="24"/>
          </w:rPr>
          <w:t xml:space="preserve"> Perception sur les normes de règlementation prudentielle</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_Toc115556090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204</w:t>
        </w:r>
        <w:r w:rsidR="00B544E5" w:rsidRPr="00F634CD">
          <w:rPr>
            <w:rFonts w:asciiTheme="majorBidi" w:hAnsiTheme="majorBidi" w:cstheme="majorBidi"/>
            <w:noProof/>
            <w:webHidden/>
            <w:kern w:val="24"/>
            <w:sz w:val="24"/>
            <w:szCs w:val="24"/>
          </w:rPr>
          <w:fldChar w:fldCharType="end"/>
        </w:r>
      </w:hyperlink>
    </w:p>
    <w:p w14:paraId="6DB7F0DB" w14:textId="3C6C329C"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91" w:history="1">
        <w:r w:rsidR="002E78A7" w:rsidRPr="00F634CD">
          <w:rPr>
            <w:rStyle w:val="Lienhypertexte"/>
            <w:rFonts w:asciiTheme="majorBidi" w:hAnsiTheme="majorBidi" w:cstheme="majorBidi"/>
            <w:b/>
            <w:bCs/>
            <w:noProof/>
            <w:color w:val="auto"/>
            <w:kern w:val="24"/>
            <w:sz w:val="24"/>
            <w:szCs w:val="24"/>
          </w:rPr>
          <w:t>Tableau 23-</w:t>
        </w:r>
        <w:r w:rsidR="002E78A7" w:rsidRPr="00F634CD">
          <w:rPr>
            <w:rStyle w:val="Lienhypertexte"/>
            <w:rFonts w:asciiTheme="majorBidi" w:hAnsiTheme="majorBidi" w:cstheme="majorBidi"/>
            <w:noProof/>
            <w:color w:val="auto"/>
            <w:kern w:val="24"/>
            <w:sz w:val="24"/>
            <w:szCs w:val="24"/>
          </w:rPr>
          <w:t xml:space="preserve"> Perception sur les techniques d’identification des risques</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_Toc115556091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205</w:t>
        </w:r>
        <w:r w:rsidR="00B544E5" w:rsidRPr="00F634CD">
          <w:rPr>
            <w:rFonts w:asciiTheme="majorBidi" w:hAnsiTheme="majorBidi" w:cstheme="majorBidi"/>
            <w:noProof/>
            <w:webHidden/>
            <w:kern w:val="24"/>
            <w:sz w:val="24"/>
            <w:szCs w:val="24"/>
          </w:rPr>
          <w:fldChar w:fldCharType="end"/>
        </w:r>
      </w:hyperlink>
    </w:p>
    <w:p w14:paraId="449FECA2" w14:textId="77A6088D"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92" w:history="1">
        <w:r w:rsidR="002E78A7" w:rsidRPr="00F634CD">
          <w:rPr>
            <w:rStyle w:val="Lienhypertexte"/>
            <w:rFonts w:asciiTheme="majorBidi" w:hAnsiTheme="majorBidi" w:cstheme="majorBidi"/>
            <w:b/>
            <w:bCs/>
            <w:noProof/>
            <w:color w:val="auto"/>
            <w:kern w:val="24"/>
            <w:sz w:val="24"/>
            <w:szCs w:val="24"/>
          </w:rPr>
          <w:t>Tableau 24-</w:t>
        </w:r>
        <w:r w:rsidR="002E78A7" w:rsidRPr="00F634CD">
          <w:rPr>
            <w:rStyle w:val="Lienhypertexte"/>
            <w:rFonts w:asciiTheme="majorBidi" w:hAnsiTheme="majorBidi" w:cstheme="majorBidi"/>
            <w:noProof/>
            <w:color w:val="auto"/>
            <w:kern w:val="24"/>
            <w:sz w:val="24"/>
            <w:szCs w:val="24"/>
          </w:rPr>
          <w:t xml:space="preserve"> Rapports de gestion des risques en %</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_Toc115556092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206</w:t>
        </w:r>
        <w:r w:rsidR="00B544E5" w:rsidRPr="00F634CD">
          <w:rPr>
            <w:rFonts w:asciiTheme="majorBidi" w:hAnsiTheme="majorBidi" w:cstheme="majorBidi"/>
            <w:noProof/>
            <w:webHidden/>
            <w:kern w:val="24"/>
            <w:sz w:val="24"/>
            <w:szCs w:val="24"/>
          </w:rPr>
          <w:fldChar w:fldCharType="end"/>
        </w:r>
      </w:hyperlink>
    </w:p>
    <w:p w14:paraId="4645CC0E" w14:textId="05096836"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93" w:history="1">
        <w:r w:rsidR="002E78A7" w:rsidRPr="00F634CD">
          <w:rPr>
            <w:rStyle w:val="Lienhypertexte"/>
            <w:rFonts w:asciiTheme="majorBidi" w:hAnsiTheme="majorBidi" w:cstheme="majorBidi"/>
            <w:b/>
            <w:bCs/>
            <w:noProof/>
            <w:color w:val="auto"/>
            <w:kern w:val="24"/>
            <w:sz w:val="24"/>
            <w:szCs w:val="24"/>
          </w:rPr>
          <w:t>Tableau 25-</w:t>
        </w:r>
        <w:r w:rsidR="002E78A7" w:rsidRPr="00F634CD">
          <w:rPr>
            <w:rStyle w:val="Lienhypertexte"/>
            <w:rFonts w:asciiTheme="majorBidi" w:hAnsiTheme="majorBidi" w:cstheme="majorBidi"/>
            <w:noProof/>
            <w:color w:val="auto"/>
            <w:kern w:val="24"/>
            <w:sz w:val="24"/>
            <w:szCs w:val="24"/>
          </w:rPr>
          <w:t xml:space="preserve"> Techniques de mesure des risques</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_Toc115556093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207</w:t>
        </w:r>
        <w:r w:rsidR="00B544E5" w:rsidRPr="00F634CD">
          <w:rPr>
            <w:rFonts w:asciiTheme="majorBidi" w:hAnsiTheme="majorBidi" w:cstheme="majorBidi"/>
            <w:noProof/>
            <w:webHidden/>
            <w:kern w:val="24"/>
            <w:sz w:val="24"/>
            <w:szCs w:val="24"/>
          </w:rPr>
          <w:fldChar w:fldCharType="end"/>
        </w:r>
      </w:hyperlink>
    </w:p>
    <w:p w14:paraId="7EB220AE" w14:textId="0461031D"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94" w:history="1">
        <w:r w:rsidR="002E78A7" w:rsidRPr="00F634CD">
          <w:rPr>
            <w:rStyle w:val="Lienhypertexte"/>
            <w:rFonts w:asciiTheme="majorBidi" w:hAnsiTheme="majorBidi" w:cstheme="majorBidi"/>
            <w:b/>
            <w:bCs/>
            <w:noProof/>
            <w:color w:val="auto"/>
            <w:kern w:val="24"/>
            <w:sz w:val="24"/>
            <w:szCs w:val="24"/>
          </w:rPr>
          <w:t>Tableau 26-</w:t>
        </w:r>
        <w:r w:rsidR="002E78A7" w:rsidRPr="00F634CD">
          <w:rPr>
            <w:rStyle w:val="Lienhypertexte"/>
            <w:rFonts w:asciiTheme="majorBidi" w:hAnsiTheme="majorBidi" w:cstheme="majorBidi"/>
            <w:noProof/>
            <w:color w:val="auto"/>
            <w:kern w:val="24"/>
            <w:sz w:val="24"/>
            <w:szCs w:val="24"/>
          </w:rPr>
          <w:t xml:space="preserve"> Techniques d’atténuation de risques</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_Toc115556094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208</w:t>
        </w:r>
        <w:r w:rsidR="00B544E5" w:rsidRPr="00F634CD">
          <w:rPr>
            <w:rFonts w:asciiTheme="majorBidi" w:hAnsiTheme="majorBidi" w:cstheme="majorBidi"/>
            <w:noProof/>
            <w:webHidden/>
            <w:kern w:val="24"/>
            <w:sz w:val="24"/>
            <w:szCs w:val="24"/>
          </w:rPr>
          <w:fldChar w:fldCharType="end"/>
        </w:r>
      </w:hyperlink>
    </w:p>
    <w:p w14:paraId="129CAD1F" w14:textId="42B6EF4A"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95" w:history="1">
        <w:r w:rsidR="002E78A7" w:rsidRPr="00F634CD">
          <w:rPr>
            <w:rStyle w:val="Lienhypertexte"/>
            <w:rFonts w:asciiTheme="majorBidi" w:hAnsiTheme="majorBidi" w:cstheme="majorBidi"/>
            <w:b/>
            <w:bCs/>
            <w:noProof/>
            <w:color w:val="auto"/>
            <w:kern w:val="24"/>
            <w:sz w:val="24"/>
            <w:szCs w:val="24"/>
          </w:rPr>
          <w:t>Tableau 27-</w:t>
        </w:r>
        <w:r w:rsidR="002E78A7" w:rsidRPr="00F634CD">
          <w:rPr>
            <w:rStyle w:val="Lienhypertexte"/>
            <w:rFonts w:asciiTheme="majorBidi" w:hAnsiTheme="majorBidi" w:cstheme="majorBidi"/>
            <w:noProof/>
            <w:color w:val="auto"/>
            <w:kern w:val="24"/>
            <w:sz w:val="24"/>
            <w:szCs w:val="24"/>
          </w:rPr>
          <w:t xml:space="preserve"> Stratégies de développement des BI</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_Toc115556095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208</w:t>
        </w:r>
        <w:r w:rsidR="00B544E5" w:rsidRPr="00F634CD">
          <w:rPr>
            <w:rFonts w:asciiTheme="majorBidi" w:hAnsiTheme="majorBidi" w:cstheme="majorBidi"/>
            <w:noProof/>
            <w:webHidden/>
            <w:kern w:val="24"/>
            <w:sz w:val="24"/>
            <w:szCs w:val="24"/>
          </w:rPr>
          <w:fldChar w:fldCharType="end"/>
        </w:r>
      </w:hyperlink>
    </w:p>
    <w:p w14:paraId="1FAA461F" w14:textId="42C2F40B"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96" w:history="1">
        <w:r w:rsidR="002E78A7" w:rsidRPr="00F634CD">
          <w:rPr>
            <w:rStyle w:val="Lienhypertexte"/>
            <w:rFonts w:asciiTheme="majorBidi" w:hAnsiTheme="majorBidi" w:cstheme="majorBidi"/>
            <w:b/>
            <w:bCs/>
            <w:noProof/>
            <w:color w:val="auto"/>
            <w:kern w:val="24"/>
            <w:sz w:val="24"/>
            <w:szCs w:val="24"/>
          </w:rPr>
          <w:t xml:space="preserve">Tableau 28- </w:t>
        </w:r>
        <w:r w:rsidR="002E78A7" w:rsidRPr="00F634CD">
          <w:rPr>
            <w:rStyle w:val="Lienhypertexte"/>
            <w:rFonts w:asciiTheme="majorBidi" w:hAnsiTheme="majorBidi" w:cstheme="majorBidi"/>
            <w:noProof/>
            <w:color w:val="auto"/>
            <w:kern w:val="24"/>
            <w:sz w:val="24"/>
            <w:szCs w:val="24"/>
          </w:rPr>
          <w:t>Mesures qui favorisent le développement des produits M-M</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_Toc115556096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209</w:t>
        </w:r>
        <w:r w:rsidR="00B544E5" w:rsidRPr="00F634CD">
          <w:rPr>
            <w:rFonts w:asciiTheme="majorBidi" w:hAnsiTheme="majorBidi" w:cstheme="majorBidi"/>
            <w:noProof/>
            <w:webHidden/>
            <w:kern w:val="24"/>
            <w:sz w:val="24"/>
            <w:szCs w:val="24"/>
          </w:rPr>
          <w:fldChar w:fldCharType="end"/>
        </w:r>
      </w:hyperlink>
    </w:p>
    <w:p w14:paraId="6250CE27" w14:textId="789AFBC7"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97" w:history="1">
        <w:r w:rsidR="002E78A7" w:rsidRPr="00F634CD">
          <w:rPr>
            <w:rStyle w:val="Lienhypertexte"/>
            <w:rFonts w:asciiTheme="majorBidi" w:hAnsiTheme="majorBidi" w:cstheme="majorBidi"/>
            <w:b/>
            <w:bCs/>
            <w:noProof/>
            <w:color w:val="auto"/>
            <w:kern w:val="24"/>
            <w:sz w:val="24"/>
            <w:szCs w:val="24"/>
          </w:rPr>
          <w:t>Tableau 29-</w:t>
        </w:r>
        <w:r w:rsidR="002E78A7" w:rsidRPr="00F634CD">
          <w:rPr>
            <w:rStyle w:val="Lienhypertexte"/>
            <w:rFonts w:asciiTheme="majorBidi" w:hAnsiTheme="majorBidi" w:cstheme="majorBidi"/>
            <w:noProof/>
            <w:color w:val="auto"/>
            <w:kern w:val="24"/>
            <w:sz w:val="24"/>
            <w:szCs w:val="24"/>
          </w:rPr>
          <w:t xml:space="preserve"> Test K-W par région (question 6)</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_Toc115556097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211</w:t>
        </w:r>
        <w:r w:rsidR="00B544E5" w:rsidRPr="00F634CD">
          <w:rPr>
            <w:rFonts w:asciiTheme="majorBidi" w:hAnsiTheme="majorBidi" w:cstheme="majorBidi"/>
            <w:noProof/>
            <w:webHidden/>
            <w:kern w:val="24"/>
            <w:sz w:val="24"/>
            <w:szCs w:val="24"/>
          </w:rPr>
          <w:fldChar w:fldCharType="end"/>
        </w:r>
      </w:hyperlink>
    </w:p>
    <w:p w14:paraId="5101A587" w14:textId="35234A8B"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98" w:history="1">
        <w:r w:rsidR="002E78A7" w:rsidRPr="00F634CD">
          <w:rPr>
            <w:rStyle w:val="Lienhypertexte"/>
            <w:rFonts w:asciiTheme="majorBidi" w:hAnsiTheme="majorBidi" w:cstheme="majorBidi"/>
            <w:b/>
            <w:bCs/>
            <w:noProof/>
            <w:color w:val="auto"/>
            <w:spacing w:val="-6"/>
            <w:kern w:val="24"/>
            <w:sz w:val="24"/>
            <w:szCs w:val="24"/>
          </w:rPr>
          <w:t>Tableau 30-</w:t>
        </w:r>
        <w:r w:rsidR="002E78A7" w:rsidRPr="00F634CD">
          <w:rPr>
            <w:rStyle w:val="Lienhypertexte"/>
            <w:rFonts w:asciiTheme="majorBidi" w:hAnsiTheme="majorBidi" w:cstheme="majorBidi"/>
            <w:noProof/>
            <w:color w:val="auto"/>
            <w:spacing w:val="-6"/>
            <w:kern w:val="24"/>
            <w:sz w:val="24"/>
            <w:szCs w:val="24"/>
          </w:rPr>
          <w:t xml:space="preserve"> Test de K-W par poste du répondant et</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_Toc115556098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212</w:t>
        </w:r>
        <w:r w:rsidR="00B544E5" w:rsidRPr="00F634CD">
          <w:rPr>
            <w:rFonts w:asciiTheme="majorBidi" w:hAnsiTheme="majorBidi" w:cstheme="majorBidi"/>
            <w:noProof/>
            <w:webHidden/>
            <w:kern w:val="24"/>
            <w:sz w:val="24"/>
            <w:szCs w:val="24"/>
          </w:rPr>
          <w:fldChar w:fldCharType="end"/>
        </w:r>
      </w:hyperlink>
    </w:p>
    <w:p w14:paraId="47381372" w14:textId="6FA12605"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099" w:history="1">
        <w:r w:rsidR="002E78A7" w:rsidRPr="00F634CD">
          <w:rPr>
            <w:rStyle w:val="Lienhypertexte"/>
            <w:rFonts w:asciiTheme="majorBidi" w:hAnsiTheme="majorBidi" w:cstheme="majorBidi"/>
            <w:b/>
            <w:bCs/>
            <w:noProof/>
            <w:color w:val="auto"/>
            <w:kern w:val="24"/>
            <w:sz w:val="24"/>
            <w:szCs w:val="24"/>
          </w:rPr>
          <w:t>Tableau 31-</w:t>
        </w:r>
        <w:r w:rsidR="002E78A7" w:rsidRPr="00F634CD">
          <w:rPr>
            <w:rStyle w:val="Lienhypertexte"/>
            <w:rFonts w:asciiTheme="majorBidi" w:hAnsiTheme="majorBidi" w:cstheme="majorBidi"/>
            <w:noProof/>
            <w:color w:val="auto"/>
            <w:kern w:val="24"/>
            <w:sz w:val="24"/>
            <w:szCs w:val="24"/>
          </w:rPr>
          <w:t xml:space="preserve"> Test K-W selon la nature d’institution (question 6)</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_Toc115556099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213</w:t>
        </w:r>
        <w:r w:rsidR="00B544E5" w:rsidRPr="00F634CD">
          <w:rPr>
            <w:rFonts w:asciiTheme="majorBidi" w:hAnsiTheme="majorBidi" w:cstheme="majorBidi"/>
            <w:noProof/>
            <w:webHidden/>
            <w:kern w:val="24"/>
            <w:sz w:val="24"/>
            <w:szCs w:val="24"/>
          </w:rPr>
          <w:fldChar w:fldCharType="end"/>
        </w:r>
      </w:hyperlink>
    </w:p>
    <w:p w14:paraId="4D4EC95D" w14:textId="6F300972"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00" w:history="1">
        <w:r w:rsidR="002E78A7" w:rsidRPr="00F634CD">
          <w:rPr>
            <w:rStyle w:val="Lienhypertexte"/>
            <w:rFonts w:asciiTheme="majorBidi" w:hAnsiTheme="majorBidi" w:cstheme="majorBidi"/>
            <w:b/>
            <w:bCs/>
            <w:noProof/>
            <w:color w:val="auto"/>
            <w:kern w:val="24"/>
            <w:sz w:val="24"/>
            <w:szCs w:val="24"/>
          </w:rPr>
          <w:t>Tableau 32-</w:t>
        </w:r>
        <w:r w:rsidR="002E78A7" w:rsidRPr="00F634CD">
          <w:rPr>
            <w:rStyle w:val="Lienhypertexte"/>
            <w:rFonts w:asciiTheme="majorBidi" w:hAnsiTheme="majorBidi" w:cstheme="majorBidi"/>
            <w:noProof/>
            <w:color w:val="auto"/>
            <w:kern w:val="24"/>
            <w:sz w:val="24"/>
            <w:szCs w:val="24"/>
          </w:rPr>
          <w:t xml:space="preserve"> Test K-W sur l’utilisation des contrats par région (question 9)</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_Toc115556100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213</w:t>
        </w:r>
        <w:r w:rsidR="00B544E5" w:rsidRPr="00F634CD">
          <w:rPr>
            <w:rFonts w:asciiTheme="majorBidi" w:hAnsiTheme="majorBidi" w:cstheme="majorBidi"/>
            <w:noProof/>
            <w:webHidden/>
            <w:kern w:val="24"/>
            <w:sz w:val="24"/>
            <w:szCs w:val="24"/>
          </w:rPr>
          <w:fldChar w:fldCharType="end"/>
        </w:r>
      </w:hyperlink>
    </w:p>
    <w:p w14:paraId="628FE387" w14:textId="629B3E76"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01" w:history="1">
        <w:r w:rsidR="002E78A7" w:rsidRPr="00F634CD">
          <w:rPr>
            <w:rStyle w:val="Lienhypertexte"/>
            <w:rFonts w:asciiTheme="majorBidi" w:hAnsiTheme="majorBidi" w:cstheme="majorBidi"/>
            <w:b/>
            <w:bCs/>
            <w:noProof/>
            <w:color w:val="auto"/>
            <w:kern w:val="24"/>
            <w:sz w:val="24"/>
            <w:szCs w:val="24"/>
          </w:rPr>
          <w:t>Tableau 33-</w:t>
        </w:r>
        <w:r w:rsidR="002E78A7" w:rsidRPr="00F634CD">
          <w:rPr>
            <w:rStyle w:val="Lienhypertexte"/>
            <w:rFonts w:asciiTheme="majorBidi" w:hAnsiTheme="majorBidi" w:cstheme="majorBidi"/>
            <w:noProof/>
            <w:color w:val="auto"/>
            <w:kern w:val="24"/>
            <w:sz w:val="24"/>
            <w:szCs w:val="24"/>
          </w:rPr>
          <w:t xml:space="preserve"> Classement d moyennes du test K-W pour la moudaraba et la moucharaka selon la région</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_Toc115556101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214</w:t>
        </w:r>
        <w:r w:rsidR="00B544E5" w:rsidRPr="00F634CD">
          <w:rPr>
            <w:rFonts w:asciiTheme="majorBidi" w:hAnsiTheme="majorBidi" w:cstheme="majorBidi"/>
            <w:noProof/>
            <w:webHidden/>
            <w:kern w:val="24"/>
            <w:sz w:val="24"/>
            <w:szCs w:val="24"/>
          </w:rPr>
          <w:fldChar w:fldCharType="end"/>
        </w:r>
      </w:hyperlink>
    </w:p>
    <w:p w14:paraId="45189DB7" w14:textId="4C157984"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02" w:history="1">
        <w:r w:rsidR="002E78A7" w:rsidRPr="00F634CD">
          <w:rPr>
            <w:rStyle w:val="Lienhypertexte"/>
            <w:rFonts w:asciiTheme="majorBidi" w:hAnsiTheme="majorBidi" w:cstheme="majorBidi"/>
            <w:b/>
            <w:bCs/>
            <w:noProof/>
            <w:color w:val="auto"/>
            <w:kern w:val="24"/>
            <w:sz w:val="24"/>
            <w:szCs w:val="24"/>
          </w:rPr>
          <w:t>Tableau 34-</w:t>
        </w:r>
        <w:r w:rsidR="002E78A7" w:rsidRPr="00F634CD">
          <w:rPr>
            <w:rStyle w:val="Lienhypertexte"/>
            <w:rFonts w:asciiTheme="majorBidi" w:hAnsiTheme="majorBidi" w:cstheme="majorBidi"/>
            <w:noProof/>
            <w:color w:val="auto"/>
            <w:kern w:val="24"/>
            <w:sz w:val="24"/>
            <w:szCs w:val="24"/>
          </w:rPr>
          <w:t xml:space="preserve"> Test K-W pour Q9 sur la gravité des risques selon la région</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_Toc115556102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215</w:t>
        </w:r>
        <w:r w:rsidR="00B544E5" w:rsidRPr="00F634CD">
          <w:rPr>
            <w:rFonts w:asciiTheme="majorBidi" w:hAnsiTheme="majorBidi" w:cstheme="majorBidi"/>
            <w:noProof/>
            <w:webHidden/>
            <w:kern w:val="24"/>
            <w:sz w:val="24"/>
            <w:szCs w:val="24"/>
          </w:rPr>
          <w:fldChar w:fldCharType="end"/>
        </w:r>
      </w:hyperlink>
    </w:p>
    <w:p w14:paraId="5C674FFE" w14:textId="2B4804FD"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03" w:history="1">
        <w:r w:rsidR="002E78A7" w:rsidRPr="00F634CD">
          <w:rPr>
            <w:rStyle w:val="Lienhypertexte"/>
            <w:rFonts w:asciiTheme="majorBidi" w:hAnsiTheme="majorBidi" w:cstheme="majorBidi"/>
            <w:b/>
            <w:bCs/>
            <w:noProof/>
            <w:color w:val="auto"/>
            <w:kern w:val="24"/>
            <w:sz w:val="24"/>
            <w:szCs w:val="24"/>
          </w:rPr>
          <w:t>Tableau 35-</w:t>
        </w:r>
        <w:r w:rsidR="002E78A7" w:rsidRPr="00F634CD">
          <w:rPr>
            <w:rStyle w:val="Lienhypertexte"/>
            <w:rFonts w:asciiTheme="majorBidi" w:hAnsiTheme="majorBidi" w:cstheme="majorBidi"/>
            <w:noProof/>
            <w:color w:val="auto"/>
            <w:kern w:val="24"/>
            <w:sz w:val="24"/>
            <w:szCs w:val="24"/>
          </w:rPr>
          <w:t xml:space="preserve"> Test du K-W pour Q9 sur la perception de la gravité du risque</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_Toc115556103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216</w:t>
        </w:r>
        <w:r w:rsidR="00B544E5" w:rsidRPr="00F634CD">
          <w:rPr>
            <w:rFonts w:asciiTheme="majorBidi" w:hAnsiTheme="majorBidi" w:cstheme="majorBidi"/>
            <w:noProof/>
            <w:webHidden/>
            <w:kern w:val="24"/>
            <w:sz w:val="24"/>
            <w:szCs w:val="24"/>
          </w:rPr>
          <w:fldChar w:fldCharType="end"/>
        </w:r>
      </w:hyperlink>
    </w:p>
    <w:p w14:paraId="0274AD4D" w14:textId="27AF9690"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04" w:history="1">
        <w:r w:rsidR="002E78A7" w:rsidRPr="00F634CD">
          <w:rPr>
            <w:rStyle w:val="Lienhypertexte"/>
            <w:rFonts w:asciiTheme="majorBidi" w:hAnsiTheme="majorBidi" w:cstheme="majorBidi"/>
            <w:b/>
            <w:bCs/>
            <w:noProof/>
            <w:color w:val="auto"/>
            <w:kern w:val="24"/>
            <w:sz w:val="24"/>
            <w:szCs w:val="24"/>
          </w:rPr>
          <w:t>Tableau 36-</w:t>
        </w:r>
        <w:r w:rsidR="002E78A7" w:rsidRPr="00F634CD">
          <w:rPr>
            <w:rStyle w:val="Lienhypertexte"/>
            <w:rFonts w:asciiTheme="majorBidi" w:hAnsiTheme="majorBidi" w:cstheme="majorBidi"/>
            <w:noProof/>
            <w:color w:val="auto"/>
            <w:kern w:val="24"/>
            <w:sz w:val="24"/>
            <w:szCs w:val="24"/>
          </w:rPr>
          <w:t xml:space="preserve"> Test K-W seon la nature de l'IF pour Q11</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_Toc115556104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217</w:t>
        </w:r>
        <w:r w:rsidR="00B544E5" w:rsidRPr="00F634CD">
          <w:rPr>
            <w:rFonts w:asciiTheme="majorBidi" w:hAnsiTheme="majorBidi" w:cstheme="majorBidi"/>
            <w:noProof/>
            <w:webHidden/>
            <w:kern w:val="24"/>
            <w:sz w:val="24"/>
            <w:szCs w:val="24"/>
          </w:rPr>
          <w:fldChar w:fldCharType="end"/>
        </w:r>
      </w:hyperlink>
    </w:p>
    <w:p w14:paraId="51291746" w14:textId="44364BDD"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05" w:history="1">
        <w:r w:rsidR="002E78A7" w:rsidRPr="00F634CD">
          <w:rPr>
            <w:rStyle w:val="Lienhypertexte"/>
            <w:rFonts w:asciiTheme="majorBidi" w:hAnsiTheme="majorBidi" w:cstheme="majorBidi"/>
            <w:b/>
            <w:bCs/>
            <w:noProof/>
            <w:color w:val="auto"/>
            <w:kern w:val="24"/>
            <w:sz w:val="24"/>
            <w:szCs w:val="24"/>
          </w:rPr>
          <w:t>Tableau 37-</w:t>
        </w:r>
        <w:r w:rsidR="002E78A7" w:rsidRPr="00F634CD">
          <w:rPr>
            <w:rStyle w:val="Lienhypertexte"/>
            <w:rFonts w:asciiTheme="majorBidi" w:hAnsiTheme="majorBidi" w:cstheme="majorBidi"/>
            <w:noProof/>
            <w:color w:val="auto"/>
            <w:kern w:val="24"/>
            <w:sz w:val="24"/>
            <w:szCs w:val="24"/>
          </w:rPr>
          <w:t xml:space="preserve"> Test K-W selon la région pour Q11</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_Toc115556105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218</w:t>
        </w:r>
        <w:r w:rsidR="00B544E5" w:rsidRPr="00F634CD">
          <w:rPr>
            <w:rFonts w:asciiTheme="majorBidi" w:hAnsiTheme="majorBidi" w:cstheme="majorBidi"/>
            <w:noProof/>
            <w:webHidden/>
            <w:kern w:val="24"/>
            <w:sz w:val="24"/>
            <w:szCs w:val="24"/>
          </w:rPr>
          <w:fldChar w:fldCharType="end"/>
        </w:r>
      </w:hyperlink>
    </w:p>
    <w:p w14:paraId="306EAA08" w14:textId="641C34BF"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06" w:history="1">
        <w:r w:rsidR="002E78A7" w:rsidRPr="00F634CD">
          <w:rPr>
            <w:rStyle w:val="Lienhypertexte"/>
            <w:rFonts w:asciiTheme="majorBidi" w:hAnsiTheme="majorBidi" w:cstheme="majorBidi"/>
            <w:b/>
            <w:bCs/>
            <w:noProof/>
            <w:color w:val="auto"/>
            <w:kern w:val="24"/>
            <w:sz w:val="24"/>
            <w:szCs w:val="24"/>
          </w:rPr>
          <w:t>Tableau 38-</w:t>
        </w:r>
        <w:r w:rsidR="002E78A7" w:rsidRPr="00F634CD">
          <w:rPr>
            <w:rStyle w:val="Lienhypertexte"/>
            <w:rFonts w:asciiTheme="majorBidi" w:hAnsiTheme="majorBidi" w:cstheme="majorBidi"/>
            <w:noProof/>
            <w:color w:val="auto"/>
            <w:kern w:val="24"/>
            <w:sz w:val="24"/>
            <w:szCs w:val="24"/>
          </w:rPr>
          <w:t xml:space="preserve"> Test K-W selon les différentes variables de contrôle (Q12)</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_Toc115556106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218</w:t>
        </w:r>
        <w:r w:rsidR="00B544E5" w:rsidRPr="00F634CD">
          <w:rPr>
            <w:rFonts w:asciiTheme="majorBidi" w:hAnsiTheme="majorBidi" w:cstheme="majorBidi"/>
            <w:noProof/>
            <w:webHidden/>
            <w:kern w:val="24"/>
            <w:sz w:val="24"/>
            <w:szCs w:val="24"/>
          </w:rPr>
          <w:fldChar w:fldCharType="end"/>
        </w:r>
      </w:hyperlink>
    </w:p>
    <w:p w14:paraId="207DB7F8" w14:textId="5D3D225B"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07" w:history="1">
        <w:r w:rsidR="002E78A7" w:rsidRPr="00F634CD">
          <w:rPr>
            <w:rStyle w:val="Lienhypertexte"/>
            <w:rFonts w:asciiTheme="majorBidi" w:hAnsiTheme="majorBidi" w:cstheme="majorBidi"/>
            <w:b/>
            <w:bCs/>
            <w:noProof/>
            <w:color w:val="auto"/>
            <w:kern w:val="24"/>
            <w:sz w:val="24"/>
            <w:szCs w:val="24"/>
          </w:rPr>
          <w:t>Tableau 39-</w:t>
        </w:r>
        <w:r w:rsidR="002E78A7" w:rsidRPr="00F634CD">
          <w:rPr>
            <w:rStyle w:val="Lienhypertexte"/>
            <w:rFonts w:asciiTheme="majorBidi" w:hAnsiTheme="majorBidi" w:cstheme="majorBidi"/>
            <w:noProof/>
            <w:color w:val="auto"/>
            <w:kern w:val="24"/>
            <w:sz w:val="24"/>
            <w:szCs w:val="24"/>
          </w:rPr>
          <w:t xml:space="preserve"> Test K-W selon les différentes variables de contrôle (Q21)</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_Toc115556107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219</w:t>
        </w:r>
        <w:r w:rsidR="00B544E5" w:rsidRPr="00F634CD">
          <w:rPr>
            <w:rFonts w:asciiTheme="majorBidi" w:hAnsiTheme="majorBidi" w:cstheme="majorBidi"/>
            <w:noProof/>
            <w:webHidden/>
            <w:kern w:val="24"/>
            <w:sz w:val="24"/>
            <w:szCs w:val="24"/>
          </w:rPr>
          <w:fldChar w:fldCharType="end"/>
        </w:r>
      </w:hyperlink>
    </w:p>
    <w:p w14:paraId="12076E60" w14:textId="1AD69E9F"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08" w:history="1">
        <w:r w:rsidR="002E78A7" w:rsidRPr="00F634CD">
          <w:rPr>
            <w:rStyle w:val="Lienhypertexte"/>
            <w:rFonts w:asciiTheme="majorBidi" w:hAnsiTheme="majorBidi" w:cstheme="majorBidi"/>
            <w:b/>
            <w:bCs/>
            <w:noProof/>
            <w:color w:val="auto"/>
            <w:spacing w:val="-4"/>
            <w:kern w:val="24"/>
            <w:sz w:val="24"/>
            <w:szCs w:val="24"/>
          </w:rPr>
          <w:t>Tableau 40-</w:t>
        </w:r>
        <w:r w:rsidR="002E78A7" w:rsidRPr="00F634CD">
          <w:rPr>
            <w:rStyle w:val="Lienhypertexte"/>
            <w:rFonts w:asciiTheme="majorBidi" w:hAnsiTheme="majorBidi" w:cstheme="majorBidi"/>
            <w:noProof/>
            <w:color w:val="auto"/>
            <w:spacing w:val="-4"/>
            <w:kern w:val="24"/>
            <w:sz w:val="24"/>
            <w:szCs w:val="24"/>
          </w:rPr>
          <w:t xml:space="preserve"> Classement de moyennes du test K-W pour l’évaluation de risques par région</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_Toc115556108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220</w:t>
        </w:r>
        <w:r w:rsidR="00B544E5" w:rsidRPr="00F634CD">
          <w:rPr>
            <w:rFonts w:asciiTheme="majorBidi" w:hAnsiTheme="majorBidi" w:cstheme="majorBidi"/>
            <w:noProof/>
            <w:webHidden/>
            <w:kern w:val="24"/>
            <w:sz w:val="24"/>
            <w:szCs w:val="24"/>
          </w:rPr>
          <w:fldChar w:fldCharType="end"/>
        </w:r>
      </w:hyperlink>
    </w:p>
    <w:p w14:paraId="42222514" w14:textId="4C087DC3"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09" w:history="1">
        <w:r w:rsidR="002E78A7" w:rsidRPr="00F634CD">
          <w:rPr>
            <w:rStyle w:val="Lienhypertexte"/>
            <w:rFonts w:asciiTheme="majorBidi" w:hAnsiTheme="majorBidi" w:cstheme="majorBidi"/>
            <w:b/>
            <w:bCs/>
            <w:noProof/>
            <w:color w:val="auto"/>
            <w:kern w:val="24"/>
            <w:sz w:val="24"/>
            <w:szCs w:val="24"/>
          </w:rPr>
          <w:t>Tableau 41-</w:t>
        </w:r>
        <w:r w:rsidR="002E78A7" w:rsidRPr="00F634CD">
          <w:rPr>
            <w:rStyle w:val="Lienhypertexte"/>
            <w:rFonts w:asciiTheme="majorBidi" w:hAnsiTheme="majorBidi" w:cstheme="majorBidi"/>
            <w:noProof/>
            <w:color w:val="auto"/>
            <w:kern w:val="24"/>
            <w:sz w:val="24"/>
            <w:szCs w:val="24"/>
          </w:rPr>
          <w:t xml:space="preserve"> Classement des moyennes du test K-W pour</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_Toc115556109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220</w:t>
        </w:r>
        <w:r w:rsidR="00B544E5" w:rsidRPr="00F634CD">
          <w:rPr>
            <w:rFonts w:asciiTheme="majorBidi" w:hAnsiTheme="majorBidi" w:cstheme="majorBidi"/>
            <w:noProof/>
            <w:webHidden/>
            <w:kern w:val="24"/>
            <w:sz w:val="24"/>
            <w:szCs w:val="24"/>
          </w:rPr>
          <w:fldChar w:fldCharType="end"/>
        </w:r>
      </w:hyperlink>
    </w:p>
    <w:p w14:paraId="32F53FB1" w14:textId="70F4E08E"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10" w:history="1">
        <w:r w:rsidR="002E78A7" w:rsidRPr="00F634CD">
          <w:rPr>
            <w:rStyle w:val="Lienhypertexte"/>
            <w:rFonts w:asciiTheme="majorBidi" w:hAnsiTheme="majorBidi" w:cstheme="majorBidi"/>
            <w:b/>
            <w:bCs/>
            <w:noProof/>
            <w:color w:val="auto"/>
            <w:kern w:val="24"/>
            <w:sz w:val="24"/>
            <w:szCs w:val="24"/>
          </w:rPr>
          <w:t xml:space="preserve">Tableau 42- </w:t>
        </w:r>
        <w:r w:rsidR="002E78A7" w:rsidRPr="00F634CD">
          <w:rPr>
            <w:rStyle w:val="Lienhypertexte"/>
            <w:rFonts w:asciiTheme="majorBidi" w:hAnsiTheme="majorBidi" w:cstheme="majorBidi"/>
            <w:noProof/>
            <w:color w:val="auto"/>
            <w:kern w:val="24"/>
            <w:sz w:val="24"/>
            <w:szCs w:val="24"/>
          </w:rPr>
          <w:t>Résultats du test K-W (Atténuation des risques) selon les différentes variables de contrôle</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_Toc115556110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221</w:t>
        </w:r>
        <w:r w:rsidR="00B544E5" w:rsidRPr="00F634CD">
          <w:rPr>
            <w:rFonts w:asciiTheme="majorBidi" w:hAnsiTheme="majorBidi" w:cstheme="majorBidi"/>
            <w:noProof/>
            <w:webHidden/>
            <w:kern w:val="24"/>
            <w:sz w:val="24"/>
            <w:szCs w:val="24"/>
          </w:rPr>
          <w:fldChar w:fldCharType="end"/>
        </w:r>
      </w:hyperlink>
    </w:p>
    <w:p w14:paraId="05993176" w14:textId="2403E234"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11" w:history="1">
        <w:r w:rsidR="002E78A7" w:rsidRPr="00F634CD">
          <w:rPr>
            <w:rStyle w:val="Lienhypertexte"/>
            <w:rFonts w:asciiTheme="majorBidi" w:hAnsiTheme="majorBidi" w:cstheme="majorBidi"/>
            <w:b/>
            <w:bCs/>
            <w:noProof/>
            <w:color w:val="auto"/>
            <w:kern w:val="24"/>
            <w:sz w:val="24"/>
            <w:szCs w:val="24"/>
          </w:rPr>
          <w:t>Tableau 43-</w:t>
        </w:r>
        <w:r w:rsidR="002E78A7" w:rsidRPr="00F634CD">
          <w:rPr>
            <w:rStyle w:val="Lienhypertexte"/>
            <w:rFonts w:asciiTheme="majorBidi" w:hAnsiTheme="majorBidi" w:cstheme="majorBidi"/>
            <w:noProof/>
            <w:color w:val="auto"/>
            <w:kern w:val="24"/>
            <w:sz w:val="24"/>
            <w:szCs w:val="24"/>
          </w:rPr>
          <w:t xml:space="preserve"> Classement des moyennes du test K-W selon la nature de l’IF (Q22)</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_Toc115556111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222</w:t>
        </w:r>
        <w:r w:rsidR="00B544E5" w:rsidRPr="00F634CD">
          <w:rPr>
            <w:rFonts w:asciiTheme="majorBidi" w:hAnsiTheme="majorBidi" w:cstheme="majorBidi"/>
            <w:noProof/>
            <w:webHidden/>
            <w:kern w:val="24"/>
            <w:sz w:val="24"/>
            <w:szCs w:val="24"/>
          </w:rPr>
          <w:fldChar w:fldCharType="end"/>
        </w:r>
      </w:hyperlink>
    </w:p>
    <w:p w14:paraId="610B2C45" w14:textId="43D2EA05"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12" w:history="1">
        <w:r w:rsidR="002E78A7" w:rsidRPr="00F634CD">
          <w:rPr>
            <w:rStyle w:val="Lienhypertexte"/>
            <w:rFonts w:asciiTheme="majorBidi" w:hAnsiTheme="majorBidi" w:cstheme="majorBidi"/>
            <w:b/>
            <w:bCs/>
            <w:noProof/>
            <w:color w:val="auto"/>
            <w:kern w:val="24"/>
            <w:sz w:val="24"/>
            <w:szCs w:val="24"/>
          </w:rPr>
          <w:t>Tableau 44-</w:t>
        </w:r>
        <w:r w:rsidR="002E78A7" w:rsidRPr="00F634CD">
          <w:rPr>
            <w:rStyle w:val="Lienhypertexte"/>
            <w:rFonts w:asciiTheme="majorBidi" w:hAnsiTheme="majorBidi" w:cstheme="majorBidi"/>
            <w:noProof/>
            <w:color w:val="auto"/>
            <w:kern w:val="24"/>
            <w:sz w:val="24"/>
            <w:szCs w:val="24"/>
          </w:rPr>
          <w:t xml:space="preserve"> Résultats du test K-W selon les différentes variables de contrôle (Q24)</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_Toc115556112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223</w:t>
        </w:r>
        <w:r w:rsidR="00B544E5" w:rsidRPr="00F634CD">
          <w:rPr>
            <w:rFonts w:asciiTheme="majorBidi" w:hAnsiTheme="majorBidi" w:cstheme="majorBidi"/>
            <w:noProof/>
            <w:webHidden/>
            <w:kern w:val="24"/>
            <w:sz w:val="24"/>
            <w:szCs w:val="24"/>
          </w:rPr>
          <w:fldChar w:fldCharType="end"/>
        </w:r>
      </w:hyperlink>
    </w:p>
    <w:p w14:paraId="04AE39F2" w14:textId="02E2F9CA" w:rsidR="002E78A7" w:rsidRPr="00F634CD" w:rsidRDefault="00C40DAA" w:rsidP="002E78A7">
      <w:pPr>
        <w:pStyle w:val="Tabledesillustrations"/>
        <w:tabs>
          <w:tab w:val="right" w:leader="dot" w:pos="9061"/>
        </w:tabs>
        <w:spacing w:before="120" w:after="120"/>
        <w:rPr>
          <w:rFonts w:asciiTheme="majorBidi" w:eastAsiaTheme="minorEastAsia" w:hAnsiTheme="majorBidi" w:cstheme="majorBidi"/>
          <w:noProof/>
          <w:kern w:val="24"/>
          <w:sz w:val="24"/>
          <w:szCs w:val="24"/>
          <w:lang w:eastAsia="fr-FR"/>
        </w:rPr>
      </w:pPr>
      <w:hyperlink w:anchor="_Toc115556113" w:history="1">
        <w:r w:rsidR="002E78A7" w:rsidRPr="00F634CD">
          <w:rPr>
            <w:rStyle w:val="Lienhypertexte"/>
            <w:rFonts w:asciiTheme="majorBidi" w:hAnsiTheme="majorBidi" w:cstheme="majorBidi"/>
            <w:b/>
            <w:bCs/>
            <w:noProof/>
            <w:color w:val="auto"/>
            <w:kern w:val="24"/>
            <w:sz w:val="24"/>
            <w:szCs w:val="24"/>
          </w:rPr>
          <w:t xml:space="preserve">Tableau 45- </w:t>
        </w:r>
        <w:r w:rsidR="002E78A7" w:rsidRPr="00F634CD">
          <w:rPr>
            <w:rStyle w:val="Lienhypertexte"/>
            <w:rFonts w:asciiTheme="majorBidi" w:hAnsiTheme="majorBidi" w:cstheme="majorBidi"/>
            <w:noProof/>
            <w:color w:val="auto"/>
            <w:kern w:val="24"/>
            <w:sz w:val="24"/>
            <w:szCs w:val="24"/>
          </w:rPr>
          <w:t>Classement de moyennes du test K-W selon la nature de l’IF</w:t>
        </w:r>
        <w:r w:rsidR="002E78A7" w:rsidRPr="00F634CD">
          <w:rPr>
            <w:rFonts w:asciiTheme="majorBidi" w:hAnsiTheme="majorBidi" w:cstheme="majorBidi"/>
            <w:noProof/>
            <w:webHidden/>
            <w:kern w:val="24"/>
            <w:sz w:val="24"/>
            <w:szCs w:val="24"/>
          </w:rPr>
          <w:tab/>
        </w:r>
        <w:r w:rsidR="00B544E5" w:rsidRPr="00F634CD">
          <w:rPr>
            <w:rFonts w:asciiTheme="majorBidi" w:hAnsiTheme="majorBidi" w:cstheme="majorBidi"/>
            <w:noProof/>
            <w:webHidden/>
            <w:kern w:val="24"/>
            <w:sz w:val="24"/>
            <w:szCs w:val="24"/>
          </w:rPr>
          <w:fldChar w:fldCharType="begin"/>
        </w:r>
        <w:r w:rsidR="002E78A7" w:rsidRPr="00F634CD">
          <w:rPr>
            <w:rFonts w:asciiTheme="majorBidi" w:hAnsiTheme="majorBidi" w:cstheme="majorBidi"/>
            <w:noProof/>
            <w:webHidden/>
            <w:kern w:val="24"/>
            <w:sz w:val="24"/>
            <w:szCs w:val="24"/>
          </w:rPr>
          <w:instrText xml:space="preserve"> PAGEREF _Toc115556113 \h </w:instrText>
        </w:r>
        <w:r w:rsidR="00B544E5" w:rsidRPr="00F634CD">
          <w:rPr>
            <w:rFonts w:asciiTheme="majorBidi" w:hAnsiTheme="majorBidi" w:cstheme="majorBidi"/>
            <w:noProof/>
            <w:webHidden/>
            <w:kern w:val="24"/>
            <w:sz w:val="24"/>
            <w:szCs w:val="24"/>
          </w:rPr>
        </w:r>
        <w:r w:rsidR="00B544E5" w:rsidRPr="00F634CD">
          <w:rPr>
            <w:rFonts w:asciiTheme="majorBidi" w:hAnsiTheme="majorBidi" w:cstheme="majorBidi"/>
            <w:noProof/>
            <w:webHidden/>
            <w:kern w:val="24"/>
            <w:sz w:val="24"/>
            <w:szCs w:val="24"/>
          </w:rPr>
          <w:fldChar w:fldCharType="separate"/>
        </w:r>
        <w:r w:rsidR="00666FC7">
          <w:rPr>
            <w:rFonts w:asciiTheme="majorBidi" w:hAnsiTheme="majorBidi" w:cstheme="majorBidi"/>
            <w:noProof/>
            <w:webHidden/>
            <w:kern w:val="24"/>
            <w:sz w:val="24"/>
            <w:szCs w:val="24"/>
          </w:rPr>
          <w:t>223</w:t>
        </w:r>
        <w:r w:rsidR="00B544E5" w:rsidRPr="00F634CD">
          <w:rPr>
            <w:rFonts w:asciiTheme="majorBidi" w:hAnsiTheme="majorBidi" w:cstheme="majorBidi"/>
            <w:noProof/>
            <w:webHidden/>
            <w:kern w:val="24"/>
            <w:sz w:val="24"/>
            <w:szCs w:val="24"/>
          </w:rPr>
          <w:fldChar w:fldCharType="end"/>
        </w:r>
      </w:hyperlink>
    </w:p>
    <w:p w14:paraId="2AF1BB74" w14:textId="77777777" w:rsidR="006D29A0" w:rsidRPr="00F634CD" w:rsidRDefault="00B544E5" w:rsidP="002E78A7">
      <w:pPr>
        <w:spacing w:before="120" w:after="120"/>
        <w:jc w:val="center"/>
        <w:rPr>
          <w:rFonts w:asciiTheme="majorBidi" w:hAnsiTheme="majorBidi" w:cstheme="majorBidi"/>
          <w:kern w:val="24"/>
          <w:sz w:val="24"/>
          <w:szCs w:val="24"/>
        </w:rPr>
      </w:pPr>
      <w:r w:rsidRPr="00F634CD">
        <w:rPr>
          <w:rFonts w:asciiTheme="majorBidi" w:hAnsiTheme="majorBidi" w:cstheme="majorBidi"/>
          <w:kern w:val="24"/>
          <w:sz w:val="24"/>
          <w:szCs w:val="24"/>
        </w:rPr>
        <w:fldChar w:fldCharType="end"/>
      </w:r>
      <w:bookmarkStart w:id="1899" w:name="_Toc81427150"/>
    </w:p>
    <w:p w14:paraId="3EC76182" w14:textId="77777777" w:rsidR="006D29A0" w:rsidRPr="00F634CD" w:rsidRDefault="006D29A0" w:rsidP="00B371B2">
      <w:pPr>
        <w:spacing w:before="120" w:after="120" w:line="300" w:lineRule="auto"/>
        <w:jc w:val="center"/>
        <w:rPr>
          <w:rFonts w:asciiTheme="majorBidi" w:hAnsiTheme="majorBidi" w:cstheme="majorBidi"/>
          <w:kern w:val="24"/>
          <w:sz w:val="24"/>
          <w:szCs w:val="24"/>
        </w:rPr>
      </w:pPr>
    </w:p>
    <w:p w14:paraId="01F485C8" w14:textId="77777777" w:rsidR="006D29A0" w:rsidRPr="00F634CD" w:rsidRDefault="006D29A0" w:rsidP="00B371B2">
      <w:pPr>
        <w:spacing w:before="120" w:after="120" w:line="300" w:lineRule="auto"/>
        <w:jc w:val="center"/>
        <w:rPr>
          <w:rFonts w:asciiTheme="majorBidi" w:hAnsiTheme="majorBidi" w:cstheme="majorBidi"/>
          <w:kern w:val="24"/>
          <w:sz w:val="24"/>
          <w:szCs w:val="24"/>
        </w:rPr>
      </w:pPr>
    </w:p>
    <w:p w14:paraId="1CBCFD0F" w14:textId="77777777" w:rsidR="00D270B9" w:rsidRPr="00F634CD" w:rsidRDefault="00D270B9" w:rsidP="00B371B2">
      <w:pPr>
        <w:spacing w:before="120" w:after="120" w:line="300" w:lineRule="auto"/>
        <w:jc w:val="center"/>
        <w:rPr>
          <w:rFonts w:asciiTheme="majorBidi" w:hAnsiTheme="majorBidi" w:cstheme="majorBidi"/>
          <w:kern w:val="24"/>
          <w:sz w:val="24"/>
          <w:szCs w:val="24"/>
        </w:rPr>
        <w:sectPr w:rsidR="00D270B9" w:rsidRPr="00F634CD" w:rsidSect="003010C3">
          <w:footerReference w:type="default" r:id="rId103"/>
          <w:footnotePr>
            <w:numRestart w:val="eachPage"/>
          </w:footnotePr>
          <w:pgSz w:w="11906" w:h="16838" w:code="9"/>
          <w:pgMar w:top="1134" w:right="1134" w:bottom="1134" w:left="1134" w:header="709" w:footer="709" w:gutter="567"/>
          <w:pgNumType w:start="261"/>
          <w:cols w:space="708"/>
          <w:docGrid w:linePitch="360"/>
        </w:sectPr>
      </w:pPr>
    </w:p>
    <w:p w14:paraId="6EBBA180" w14:textId="77777777" w:rsidR="00D40A21" w:rsidRPr="00F634CD" w:rsidRDefault="00D40A21" w:rsidP="00D40A21">
      <w:pPr>
        <w:spacing w:before="100" w:beforeAutospacing="1" w:after="100" w:afterAutospacing="1" w:line="360" w:lineRule="auto"/>
        <w:jc w:val="center"/>
        <w:rPr>
          <w:rFonts w:asciiTheme="majorBidi" w:hAnsiTheme="majorBidi" w:cstheme="majorBidi"/>
          <w:b/>
          <w:bCs/>
          <w:smallCaps/>
          <w:spacing w:val="40"/>
          <w:kern w:val="24"/>
          <w:sz w:val="72"/>
          <w:szCs w:val="72"/>
        </w:rPr>
      </w:pPr>
    </w:p>
    <w:p w14:paraId="5048A7D4" w14:textId="77777777" w:rsidR="00D40A21" w:rsidRPr="00F634CD" w:rsidRDefault="00D40A21" w:rsidP="00D40A21">
      <w:pPr>
        <w:spacing w:before="100" w:beforeAutospacing="1" w:after="100" w:afterAutospacing="1" w:line="360" w:lineRule="auto"/>
        <w:jc w:val="center"/>
        <w:rPr>
          <w:rFonts w:asciiTheme="majorBidi" w:hAnsiTheme="majorBidi" w:cstheme="majorBidi"/>
          <w:b/>
          <w:bCs/>
          <w:smallCaps/>
          <w:spacing w:val="40"/>
          <w:kern w:val="24"/>
          <w:sz w:val="72"/>
          <w:szCs w:val="72"/>
        </w:rPr>
      </w:pPr>
    </w:p>
    <w:p w14:paraId="5EE54B76" w14:textId="77777777" w:rsidR="00D40A21" w:rsidRPr="00F634CD" w:rsidRDefault="00D40A21" w:rsidP="00D40A21">
      <w:pPr>
        <w:spacing w:before="100" w:beforeAutospacing="1" w:after="100" w:afterAutospacing="1" w:line="360" w:lineRule="auto"/>
        <w:jc w:val="center"/>
        <w:rPr>
          <w:rFonts w:asciiTheme="majorBidi" w:hAnsiTheme="majorBidi" w:cstheme="majorBidi"/>
          <w:b/>
          <w:bCs/>
          <w:smallCaps/>
          <w:spacing w:val="40"/>
          <w:kern w:val="24"/>
          <w:sz w:val="72"/>
          <w:szCs w:val="72"/>
        </w:rPr>
      </w:pPr>
    </w:p>
    <w:p w14:paraId="40B5EFCF" w14:textId="77777777" w:rsidR="00D40A21" w:rsidRPr="00F634CD" w:rsidRDefault="00D40A21" w:rsidP="00D40A21">
      <w:pPr>
        <w:spacing w:before="100" w:beforeAutospacing="1" w:after="100" w:afterAutospacing="1" w:line="360" w:lineRule="auto"/>
        <w:jc w:val="center"/>
        <w:rPr>
          <w:rFonts w:asciiTheme="majorBidi" w:hAnsiTheme="majorBidi" w:cstheme="majorBidi"/>
          <w:b/>
          <w:bCs/>
          <w:smallCaps/>
          <w:spacing w:val="40"/>
          <w:kern w:val="24"/>
          <w:sz w:val="72"/>
          <w:szCs w:val="72"/>
        </w:rPr>
      </w:pPr>
    </w:p>
    <w:p w14:paraId="7B588C56" w14:textId="1D8CE18F" w:rsidR="00AF3BB8" w:rsidRPr="00F634CD" w:rsidRDefault="007F4B68" w:rsidP="002814F3">
      <w:pPr>
        <w:spacing w:before="100" w:beforeAutospacing="1" w:after="100" w:afterAutospacing="1" w:line="360" w:lineRule="auto"/>
        <w:jc w:val="center"/>
        <w:outlineLvl w:val="0"/>
        <w:rPr>
          <w:rFonts w:asciiTheme="majorBidi" w:hAnsiTheme="majorBidi" w:cstheme="majorBidi"/>
          <w:b/>
          <w:bCs/>
          <w:smallCaps/>
          <w:spacing w:val="40"/>
          <w:kern w:val="24"/>
          <w:sz w:val="72"/>
          <w:szCs w:val="72"/>
        </w:rPr>
      </w:pPr>
      <w:bookmarkStart w:id="1900" w:name="_Toc182298947"/>
      <w:bookmarkStart w:id="1901" w:name="_Toc182309405"/>
      <w:r w:rsidRPr="00F634CD">
        <w:rPr>
          <w:rFonts w:asciiTheme="majorBidi" w:hAnsiTheme="majorBidi" w:cstheme="majorBidi"/>
          <w:b/>
          <w:bCs/>
          <w:smallCaps/>
          <w:spacing w:val="40"/>
          <w:kern w:val="24"/>
          <w:sz w:val="72"/>
          <w:szCs w:val="72"/>
        </w:rPr>
        <w:t>Annexes</w:t>
      </w:r>
      <w:bookmarkEnd w:id="1899"/>
      <w:bookmarkEnd w:id="1900"/>
      <w:bookmarkEnd w:id="1901"/>
    </w:p>
    <w:p w14:paraId="7DC200D3" w14:textId="77777777" w:rsidR="00D40A21" w:rsidRDefault="00D40A21" w:rsidP="002814F3">
      <w:pPr>
        <w:spacing w:before="100" w:beforeAutospacing="1" w:after="100" w:afterAutospacing="1" w:line="360" w:lineRule="auto"/>
        <w:rPr>
          <w:rFonts w:asciiTheme="majorBidi" w:hAnsiTheme="majorBidi" w:cstheme="majorBidi"/>
          <w:b/>
          <w:bCs/>
          <w:smallCaps/>
          <w:spacing w:val="40"/>
          <w:kern w:val="24"/>
          <w:sz w:val="72"/>
          <w:szCs w:val="72"/>
        </w:rPr>
      </w:pPr>
    </w:p>
    <w:p w14:paraId="1944F328" w14:textId="56A7E977" w:rsidR="002814F3" w:rsidRPr="00F634CD" w:rsidRDefault="002814F3" w:rsidP="002814F3">
      <w:pPr>
        <w:spacing w:before="100" w:beforeAutospacing="1" w:after="100" w:afterAutospacing="1" w:line="360" w:lineRule="auto"/>
        <w:rPr>
          <w:rFonts w:asciiTheme="majorBidi" w:hAnsiTheme="majorBidi" w:cstheme="majorBidi"/>
          <w:b/>
          <w:bCs/>
          <w:smallCaps/>
          <w:spacing w:val="40"/>
          <w:kern w:val="24"/>
          <w:sz w:val="72"/>
          <w:szCs w:val="72"/>
        </w:rPr>
        <w:sectPr w:rsidR="002814F3" w:rsidRPr="00F634CD" w:rsidSect="00D61093">
          <w:headerReference w:type="default" r:id="rId104"/>
          <w:footerReference w:type="default" r:id="rId105"/>
          <w:footnotePr>
            <w:numRestart w:val="eachPage"/>
          </w:footnotePr>
          <w:pgSz w:w="11906" w:h="16838" w:code="9"/>
          <w:pgMar w:top="1134" w:right="1134" w:bottom="1134" w:left="1134" w:header="709" w:footer="709" w:gutter="567"/>
          <w:pgNumType w:start="260"/>
          <w:cols w:space="708"/>
          <w:docGrid w:linePitch="360"/>
        </w:sectPr>
      </w:pPr>
    </w:p>
    <w:p w14:paraId="5CA65FCB" w14:textId="77777777" w:rsidR="004B703E" w:rsidRPr="00F634CD" w:rsidRDefault="004B703E" w:rsidP="004B703E">
      <w:pPr>
        <w:jc w:val="center"/>
        <w:outlineLvl w:val="1"/>
        <w:rPr>
          <w:rFonts w:ascii="Times New Roman" w:hAnsi="Times New Roman" w:cs="Times New Roman"/>
          <w:b/>
          <w:bCs/>
          <w:smallCaps/>
          <w:kern w:val="24"/>
          <w:sz w:val="36"/>
          <w:szCs w:val="36"/>
        </w:rPr>
      </w:pPr>
      <w:bookmarkStart w:id="1902" w:name="_Toc182298948"/>
      <w:bookmarkStart w:id="1903" w:name="_Toc182309406"/>
      <w:r w:rsidRPr="00F634CD">
        <w:rPr>
          <w:rFonts w:ascii="Times New Roman" w:hAnsi="Times New Roman" w:cs="Times New Roman"/>
          <w:b/>
          <w:bCs/>
          <w:smallCaps/>
          <w:kern w:val="24"/>
          <w:sz w:val="36"/>
          <w:szCs w:val="36"/>
        </w:rPr>
        <w:t>Annexe</w:t>
      </w:r>
      <w:r w:rsidRPr="00F634CD">
        <w:rPr>
          <w:rFonts w:ascii="Times New Roman" w:hAnsi="Times New Roman" w:cs="Times New Roman"/>
          <w:b/>
          <w:bCs/>
          <w:kern w:val="24"/>
          <w:sz w:val="36"/>
          <w:szCs w:val="36"/>
        </w:rPr>
        <w:t xml:space="preserve"> 1 : </w:t>
      </w:r>
      <w:r w:rsidRPr="00F634CD">
        <w:rPr>
          <w:rFonts w:ascii="Times New Roman" w:hAnsi="Times New Roman" w:cs="Times New Roman"/>
          <w:b/>
          <w:bCs/>
          <w:smallCaps/>
          <w:kern w:val="24"/>
          <w:sz w:val="36"/>
          <w:szCs w:val="36"/>
        </w:rPr>
        <w:t>Questionnaire</w:t>
      </w:r>
      <w:bookmarkEnd w:id="1902"/>
      <w:bookmarkEnd w:id="1903"/>
    </w:p>
    <w:p w14:paraId="1D7130D4" w14:textId="77777777" w:rsidR="00E37BA3" w:rsidRPr="00F634CD" w:rsidRDefault="00E37BA3" w:rsidP="00922200">
      <w:pPr>
        <w:spacing w:before="100" w:beforeAutospacing="1" w:after="100" w:afterAutospacing="1" w:line="360" w:lineRule="auto"/>
        <w:jc w:val="center"/>
        <w:rPr>
          <w:rFonts w:ascii="Times New Roman" w:hAnsi="Times New Roman" w:cs="Times New Roman"/>
          <w:b/>
          <w:bCs/>
          <w:i/>
          <w:iCs/>
          <w:kern w:val="24"/>
          <w:sz w:val="28"/>
          <w:szCs w:val="28"/>
        </w:rPr>
      </w:pPr>
      <w:r w:rsidRPr="00F634CD">
        <w:rPr>
          <w:rFonts w:ascii="Times New Roman" w:hAnsi="Times New Roman" w:cs="Times New Roman"/>
          <w:b/>
          <w:bCs/>
          <w:i/>
          <w:iCs/>
          <w:kern w:val="24"/>
          <w:sz w:val="28"/>
          <w:szCs w:val="28"/>
        </w:rPr>
        <w:t>« La gestion des risques des modes de financement participatif</w:t>
      </w:r>
      <w:r w:rsidR="00DD2B9B" w:rsidRPr="00F634CD">
        <w:rPr>
          <w:rFonts w:ascii="Times New Roman" w:hAnsi="Times New Roman" w:cs="Times New Roman"/>
          <w:b/>
          <w:bCs/>
          <w:i/>
          <w:iCs/>
          <w:kern w:val="24"/>
          <w:sz w:val="28"/>
          <w:szCs w:val="28"/>
        </w:rPr>
        <w:t xml:space="preserve"> islamique</w:t>
      </w:r>
      <w:r w:rsidRPr="00F634CD">
        <w:rPr>
          <w:rFonts w:ascii="Times New Roman" w:hAnsi="Times New Roman" w:cs="Times New Roman"/>
          <w:b/>
          <w:bCs/>
          <w:i/>
          <w:iCs/>
          <w:kern w:val="24"/>
          <w:sz w:val="28"/>
          <w:szCs w:val="28"/>
        </w:rPr>
        <w:t> »</w:t>
      </w:r>
    </w:p>
    <w:p w14:paraId="1A6AE6B2" w14:textId="77777777" w:rsidR="005D5B9E" w:rsidRPr="00F634CD" w:rsidRDefault="005D5B9E" w:rsidP="00E37BA3">
      <w:pPr>
        <w:spacing w:line="360" w:lineRule="auto"/>
        <w:ind w:firstLine="709"/>
        <w:rPr>
          <w:rFonts w:ascii="Times New Roman" w:hAnsi="Times New Roman" w:cs="Times New Roman"/>
          <w:kern w:val="24"/>
          <w:sz w:val="24"/>
          <w:szCs w:val="24"/>
        </w:rPr>
      </w:pPr>
      <w:r w:rsidRPr="00F634CD">
        <w:rPr>
          <w:rFonts w:ascii="Times New Roman" w:hAnsi="Times New Roman" w:cs="Times New Roman"/>
          <w:kern w:val="24"/>
          <w:sz w:val="24"/>
          <w:szCs w:val="24"/>
        </w:rPr>
        <w:t>Ch</w:t>
      </w:r>
      <w:r w:rsidR="00DD2B9B" w:rsidRPr="00F634CD">
        <w:rPr>
          <w:rFonts w:ascii="Times New Roman" w:hAnsi="Times New Roman" w:cs="Times New Roman"/>
          <w:kern w:val="24"/>
          <w:sz w:val="24"/>
          <w:szCs w:val="24"/>
        </w:rPr>
        <w:t>ère</w:t>
      </w:r>
      <w:r w:rsidRPr="00F634CD">
        <w:rPr>
          <w:rFonts w:ascii="Times New Roman" w:hAnsi="Times New Roman" w:cs="Times New Roman"/>
          <w:kern w:val="24"/>
          <w:sz w:val="24"/>
          <w:szCs w:val="24"/>
        </w:rPr>
        <w:t xml:space="preserve"> </w:t>
      </w:r>
      <w:r w:rsidR="00DD2B9B" w:rsidRPr="00F634CD">
        <w:rPr>
          <w:rFonts w:ascii="Times New Roman" w:hAnsi="Times New Roman" w:cs="Times New Roman"/>
          <w:kern w:val="24"/>
          <w:sz w:val="24"/>
          <w:szCs w:val="24"/>
        </w:rPr>
        <w:t xml:space="preserve">Madame, Cher </w:t>
      </w:r>
      <w:r w:rsidRPr="00F634CD">
        <w:rPr>
          <w:rFonts w:ascii="Times New Roman" w:hAnsi="Times New Roman" w:cs="Times New Roman"/>
          <w:kern w:val="24"/>
          <w:sz w:val="24"/>
          <w:szCs w:val="24"/>
        </w:rPr>
        <w:t>Monsieur</w:t>
      </w:r>
      <w:r w:rsidR="00DD2B9B" w:rsidRPr="00F634CD">
        <w:rPr>
          <w:rFonts w:ascii="Times New Roman" w:hAnsi="Times New Roman" w:cs="Times New Roman"/>
          <w:kern w:val="24"/>
          <w:sz w:val="24"/>
          <w:szCs w:val="24"/>
        </w:rPr>
        <w:t>,</w:t>
      </w:r>
    </w:p>
    <w:p w14:paraId="1220FE8D" w14:textId="77777777" w:rsidR="005D5B9E" w:rsidRPr="00F634CD" w:rsidRDefault="00922200" w:rsidP="00E37BA3">
      <w:pPr>
        <w:spacing w:line="360" w:lineRule="auto"/>
        <w:ind w:firstLine="709"/>
        <w:rPr>
          <w:rFonts w:ascii="Times New Roman" w:hAnsi="Times New Roman" w:cs="Times New Roman"/>
          <w:kern w:val="24"/>
          <w:sz w:val="24"/>
          <w:szCs w:val="24"/>
        </w:rPr>
      </w:pPr>
      <w:r w:rsidRPr="00F634CD">
        <w:rPr>
          <w:rFonts w:ascii="Times New Roman" w:hAnsi="Times New Roman" w:cs="Times New Roman"/>
          <w:kern w:val="24"/>
          <w:sz w:val="24"/>
          <w:szCs w:val="24"/>
        </w:rPr>
        <w:t>Ma recherche porte sur « </w:t>
      </w:r>
      <w:r w:rsidR="005D5B9E" w:rsidRPr="00F634CD">
        <w:rPr>
          <w:rFonts w:ascii="Times New Roman" w:hAnsi="Times New Roman" w:cs="Times New Roman"/>
          <w:kern w:val="24"/>
          <w:sz w:val="24"/>
          <w:szCs w:val="24"/>
        </w:rPr>
        <w:t>la gestion des risques des modes de finan</w:t>
      </w:r>
      <w:r w:rsidRPr="00F634CD">
        <w:rPr>
          <w:rFonts w:ascii="Times New Roman" w:hAnsi="Times New Roman" w:cs="Times New Roman"/>
          <w:kern w:val="24"/>
          <w:sz w:val="24"/>
          <w:szCs w:val="24"/>
        </w:rPr>
        <w:t xml:space="preserve">cement </w:t>
      </w:r>
      <w:r w:rsidR="00DD2B9B" w:rsidRPr="00F634CD">
        <w:rPr>
          <w:rFonts w:ascii="Times New Roman" w:hAnsi="Times New Roman" w:cs="Times New Roman"/>
          <w:kern w:val="24"/>
          <w:sz w:val="24"/>
          <w:szCs w:val="24"/>
        </w:rPr>
        <w:t>participatif i</w:t>
      </w:r>
      <w:r w:rsidR="003773C6" w:rsidRPr="00F634CD">
        <w:rPr>
          <w:rFonts w:ascii="Times New Roman" w:hAnsi="Times New Roman" w:cs="Times New Roman"/>
          <w:kern w:val="24"/>
          <w:sz w:val="24"/>
          <w:szCs w:val="24"/>
        </w:rPr>
        <w:t>slamique</w:t>
      </w:r>
      <w:r w:rsidRPr="00F634CD">
        <w:rPr>
          <w:rFonts w:ascii="Times New Roman" w:hAnsi="Times New Roman" w:cs="Times New Roman"/>
          <w:kern w:val="24"/>
          <w:sz w:val="24"/>
          <w:szCs w:val="24"/>
        </w:rPr>
        <w:t> »</w:t>
      </w:r>
      <w:r w:rsidR="005D5B9E" w:rsidRPr="00F634CD">
        <w:rPr>
          <w:rFonts w:ascii="Times New Roman" w:hAnsi="Times New Roman" w:cs="Times New Roman"/>
          <w:kern w:val="24"/>
          <w:sz w:val="24"/>
          <w:szCs w:val="24"/>
        </w:rPr>
        <w:t xml:space="preserve">, qui vise à explorer les différents risques liés aux produits financiers </w:t>
      </w:r>
      <w:r w:rsidR="00DD2B9B" w:rsidRPr="00F634CD">
        <w:rPr>
          <w:rFonts w:ascii="Times New Roman" w:hAnsi="Times New Roman" w:cs="Times New Roman"/>
          <w:kern w:val="24"/>
          <w:sz w:val="24"/>
          <w:szCs w:val="24"/>
        </w:rPr>
        <w:t>i</w:t>
      </w:r>
      <w:r w:rsidR="003773C6" w:rsidRPr="00F634CD">
        <w:rPr>
          <w:rFonts w:ascii="Times New Roman" w:hAnsi="Times New Roman" w:cs="Times New Roman"/>
          <w:kern w:val="24"/>
          <w:sz w:val="24"/>
          <w:szCs w:val="24"/>
        </w:rPr>
        <w:t>slamique</w:t>
      </w:r>
      <w:r w:rsidR="005D5B9E" w:rsidRPr="00F634CD">
        <w:rPr>
          <w:rFonts w:ascii="Times New Roman" w:hAnsi="Times New Roman" w:cs="Times New Roman"/>
          <w:kern w:val="24"/>
          <w:sz w:val="24"/>
          <w:szCs w:val="24"/>
        </w:rPr>
        <w:t xml:space="preserve">s participatifs et les techniques de gestion de ces risques. </w:t>
      </w:r>
    </w:p>
    <w:p w14:paraId="16D2306E" w14:textId="77777777" w:rsidR="005D5B9E" w:rsidRPr="00F634CD" w:rsidRDefault="005D5B9E" w:rsidP="00E37BA3">
      <w:pPr>
        <w:spacing w:line="360" w:lineRule="auto"/>
        <w:ind w:firstLine="709"/>
        <w:rPr>
          <w:rFonts w:ascii="Times New Roman" w:hAnsi="Times New Roman" w:cs="Times New Roman"/>
          <w:spacing w:val="-4"/>
          <w:kern w:val="24"/>
          <w:sz w:val="24"/>
          <w:szCs w:val="24"/>
        </w:rPr>
      </w:pPr>
      <w:r w:rsidRPr="00F634CD">
        <w:rPr>
          <w:rFonts w:ascii="Times New Roman" w:hAnsi="Times New Roman" w:cs="Times New Roman"/>
          <w:spacing w:val="-4"/>
          <w:kern w:val="24"/>
          <w:sz w:val="24"/>
          <w:szCs w:val="24"/>
        </w:rPr>
        <w:t>Veuillez trouver ci-joint un questionnaire sur cette recherche. Je vous assure de l’usage très confidentiel qui sera fait de toutes les informations fournies. Je vous prie de bien vouloir remplir ce questionnaire. Je compte sur votre bonne compréhension et sincère collaboration.</w:t>
      </w:r>
    </w:p>
    <w:p w14:paraId="1898B133" w14:textId="77777777" w:rsidR="005D5B9E" w:rsidRPr="00F634CD" w:rsidRDefault="005D5B9E" w:rsidP="00E37BA3">
      <w:pPr>
        <w:spacing w:line="360" w:lineRule="auto"/>
        <w:ind w:firstLine="709"/>
        <w:rPr>
          <w:rFonts w:ascii="Times New Roman" w:hAnsi="Times New Roman" w:cs="Times New Roman"/>
          <w:kern w:val="24"/>
          <w:sz w:val="24"/>
          <w:szCs w:val="24"/>
        </w:rPr>
      </w:pPr>
      <w:r w:rsidRPr="00F634CD">
        <w:rPr>
          <w:rFonts w:ascii="Times New Roman" w:hAnsi="Times New Roman" w:cs="Times New Roman"/>
          <w:kern w:val="24"/>
          <w:sz w:val="24"/>
          <w:szCs w:val="24"/>
        </w:rPr>
        <w:t>Le sondage contient des cases à cocher et des nombres à remplir dans des tableaux, donc il ne prendra pas plus de 5 minutes de votre temps précieux.</w:t>
      </w:r>
    </w:p>
    <w:p w14:paraId="34D29EB6" w14:textId="77777777" w:rsidR="005D5B9E" w:rsidRPr="00F634CD" w:rsidRDefault="005D5B9E" w:rsidP="002D0CDA">
      <w:pPr>
        <w:tabs>
          <w:tab w:val="left" w:pos="2040"/>
        </w:tabs>
        <w:spacing w:before="100" w:beforeAutospacing="1" w:after="120" w:line="300" w:lineRule="auto"/>
        <w:rPr>
          <w:rFonts w:ascii="Times New Roman" w:hAnsi="Times New Roman" w:cs="Times New Roman"/>
          <w:b/>
          <w:bCs/>
          <w:i/>
          <w:iCs/>
          <w:kern w:val="24"/>
          <w:sz w:val="28"/>
          <w:szCs w:val="28"/>
        </w:rPr>
      </w:pPr>
      <w:r w:rsidRPr="00F634CD">
        <w:rPr>
          <w:rFonts w:ascii="Times New Roman" w:hAnsi="Times New Roman" w:cs="Times New Roman"/>
          <w:b/>
          <w:bCs/>
          <w:i/>
          <w:iCs/>
          <w:kern w:val="24"/>
          <w:sz w:val="28"/>
          <w:szCs w:val="28"/>
        </w:rPr>
        <w:t>I. Informations générales</w:t>
      </w:r>
    </w:p>
    <w:p w14:paraId="0F1F73E7" w14:textId="77777777" w:rsidR="005D5B9E" w:rsidRPr="00F634CD" w:rsidRDefault="005D5B9E" w:rsidP="005D5B9E">
      <w:pPr>
        <w:tabs>
          <w:tab w:val="left" w:pos="2040"/>
        </w:tabs>
        <w:spacing w:line="360" w:lineRule="auto"/>
        <w:ind w:left="420" w:hanging="420"/>
        <w:rPr>
          <w:rFonts w:ascii="Times New Roman" w:hAnsi="Times New Roman" w:cs="Times New Roman"/>
          <w:kern w:val="24"/>
          <w:sz w:val="24"/>
          <w:szCs w:val="24"/>
        </w:rPr>
      </w:pPr>
      <w:r w:rsidRPr="00F634CD">
        <w:rPr>
          <w:rFonts w:ascii="Times New Roman" w:hAnsi="Times New Roman" w:cs="Times New Roman"/>
          <w:b/>
          <w:bCs/>
          <w:i/>
          <w:iCs/>
          <w:kern w:val="24"/>
          <w:sz w:val="24"/>
          <w:szCs w:val="24"/>
        </w:rPr>
        <w:t xml:space="preserve">1. Poste du responsable :                                                         </w:t>
      </w:r>
    </w:p>
    <w:p w14:paraId="44AE18D8" w14:textId="77777777" w:rsidR="005D5B9E" w:rsidRPr="00F634CD" w:rsidRDefault="005D5B9E" w:rsidP="00CB0FF1">
      <w:pPr>
        <w:pStyle w:val="Paragraphedeliste"/>
        <w:numPr>
          <w:ilvl w:val="0"/>
          <w:numId w:val="43"/>
        </w:numPr>
        <w:tabs>
          <w:tab w:val="left" w:pos="2040"/>
        </w:tabs>
        <w:spacing w:after="240" w:line="360" w:lineRule="auto"/>
        <w:ind w:left="284" w:hanging="284"/>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L’ancienneté du responsable :                                                                                       </w:t>
      </w:r>
    </w:p>
    <w:p w14:paraId="65FBEB96" w14:textId="5498707E" w:rsidR="005D5B9E" w:rsidRPr="00F634CD" w:rsidRDefault="002C5EFF" w:rsidP="005D5B9E">
      <w:pPr>
        <w:tabs>
          <w:tab w:val="left" w:pos="2040"/>
          <w:tab w:val="left" w:pos="3690"/>
          <w:tab w:val="left" w:pos="6420"/>
        </w:tabs>
        <w:spacing w:line="360" w:lineRule="auto"/>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79392" behindDoc="0" locked="0" layoutInCell="1" allowOverlap="1" wp14:anchorId="7652A5CC" wp14:editId="26EFB250">
                <wp:simplePos x="0" y="0"/>
                <wp:positionH relativeFrom="column">
                  <wp:posOffset>3708400</wp:posOffset>
                </wp:positionH>
                <wp:positionV relativeFrom="paragraph">
                  <wp:posOffset>30480</wp:posOffset>
                </wp:positionV>
                <wp:extent cx="201930" cy="169545"/>
                <wp:effectExtent l="0" t="0" r="7620" b="1905"/>
                <wp:wrapNone/>
                <wp:docPr id="65" name="Organigramme : Processus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313267" id="_x0000_t109" coordsize="21600,21600" o:spt="109" path="m,l,21600r21600,l21600,xe">
                <v:stroke joinstyle="miter"/>
                <v:path gradientshapeok="t" o:connecttype="rect"/>
              </v:shapetype>
              <v:shape id="Organigramme : Processus 201" o:spid="_x0000_s1026" type="#_x0000_t109" style="position:absolute;margin-left:292pt;margin-top:2.4pt;width:15.9pt;height:13.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78368" behindDoc="0" locked="0" layoutInCell="1" allowOverlap="1" wp14:anchorId="5BAF7F1D" wp14:editId="6AF4DEF6">
                <wp:simplePos x="0" y="0"/>
                <wp:positionH relativeFrom="column">
                  <wp:posOffset>1870075</wp:posOffset>
                </wp:positionH>
                <wp:positionV relativeFrom="paragraph">
                  <wp:posOffset>9525</wp:posOffset>
                </wp:positionV>
                <wp:extent cx="201930" cy="169545"/>
                <wp:effectExtent l="0" t="0" r="7620" b="1905"/>
                <wp:wrapNone/>
                <wp:docPr id="80" name="Organigramme : Processus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E471A9" id="Organigramme : Processus 80" o:spid="_x0000_s1026" type="#_x0000_t109" style="position:absolute;margin-left:147.25pt;margin-top:.75pt;width:15.9pt;height:13.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77344" behindDoc="0" locked="0" layoutInCell="1" allowOverlap="1" wp14:anchorId="76AC6D0C" wp14:editId="6CF3107D">
                <wp:simplePos x="0" y="0"/>
                <wp:positionH relativeFrom="column">
                  <wp:posOffset>12700</wp:posOffset>
                </wp:positionH>
                <wp:positionV relativeFrom="paragraph">
                  <wp:posOffset>11430</wp:posOffset>
                </wp:positionV>
                <wp:extent cx="201930" cy="169545"/>
                <wp:effectExtent l="0" t="0" r="7620" b="1905"/>
                <wp:wrapNone/>
                <wp:docPr id="78" name="Organigramme : Processu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20EAFD" id="Organigramme : Processus 78" o:spid="_x0000_s1026" type="#_x0000_t109" style="position:absolute;margin-left:1pt;margin-top:.9pt;width:15.9pt;height:13.3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" filled="f" strokecolor="black [3213]" strokeweight="1.25pt">
                <v:path arrowok="t"/>
              </v:shape>
            </w:pict>
          </mc:Fallback>
        </mc:AlternateContent>
      </w:r>
      <w:r w:rsidR="005D5B9E" w:rsidRPr="00F634CD">
        <w:rPr>
          <w:rFonts w:ascii="Times New Roman" w:hAnsi="Times New Roman" w:cs="Times New Roman"/>
          <w:kern w:val="24"/>
          <w:sz w:val="24"/>
          <w:szCs w:val="24"/>
        </w:rPr>
        <w:t xml:space="preserve">           Moins de 5 ans    </w:t>
      </w:r>
      <w:r w:rsidR="005D5B9E" w:rsidRPr="00F634CD">
        <w:rPr>
          <w:rFonts w:ascii="Times New Roman" w:hAnsi="Times New Roman" w:cs="Times New Roman"/>
          <w:kern w:val="24"/>
          <w:sz w:val="24"/>
          <w:szCs w:val="24"/>
        </w:rPr>
        <w:tab/>
        <w:t xml:space="preserve">entre 5 et 10 ans      </w:t>
      </w:r>
      <w:r w:rsidR="005D5B9E" w:rsidRPr="00F634CD">
        <w:rPr>
          <w:rFonts w:ascii="Times New Roman" w:hAnsi="Times New Roman" w:cs="Times New Roman"/>
          <w:kern w:val="24"/>
          <w:sz w:val="24"/>
          <w:szCs w:val="24"/>
        </w:rPr>
        <w:tab/>
        <w:t>plus de 10 ans</w:t>
      </w:r>
    </w:p>
    <w:p w14:paraId="0C89C086" w14:textId="77777777" w:rsidR="005D5B9E" w:rsidRPr="00F634CD" w:rsidRDefault="005D5B9E" w:rsidP="00CB0FF1">
      <w:pPr>
        <w:pStyle w:val="Paragraphedeliste"/>
        <w:numPr>
          <w:ilvl w:val="0"/>
          <w:numId w:val="42"/>
        </w:numPr>
        <w:tabs>
          <w:tab w:val="left" w:pos="2040"/>
        </w:tabs>
        <w:spacing w:before="100" w:beforeAutospacing="1" w:after="120" w:line="360" w:lineRule="auto"/>
        <w:ind w:left="284" w:hanging="284"/>
        <w:contextualSpacing w:val="0"/>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Nat</w:t>
      </w:r>
      <w:r w:rsidR="00922200" w:rsidRPr="00F634CD">
        <w:rPr>
          <w:rFonts w:ascii="Times New Roman" w:hAnsi="Times New Roman" w:cs="Times New Roman"/>
          <w:b/>
          <w:bCs/>
          <w:i/>
          <w:iCs/>
          <w:kern w:val="24"/>
          <w:sz w:val="24"/>
          <w:szCs w:val="24"/>
        </w:rPr>
        <w:t>ure de l'institution financière</w:t>
      </w:r>
    </w:p>
    <w:p w14:paraId="1BAB7ECB" w14:textId="3D753164" w:rsidR="005D5B9E" w:rsidRPr="00F634CD" w:rsidRDefault="002C5EFF" w:rsidP="002D0CDA">
      <w:pPr>
        <w:tabs>
          <w:tab w:val="left" w:pos="2040"/>
          <w:tab w:val="center" w:pos="4536"/>
        </w:tabs>
        <w:spacing w:after="120" w:line="360" w:lineRule="auto"/>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57888" behindDoc="0" locked="0" layoutInCell="1" allowOverlap="1" wp14:anchorId="4FE06CAE" wp14:editId="436965DA">
                <wp:simplePos x="0" y="0"/>
                <wp:positionH relativeFrom="column">
                  <wp:posOffset>2727960</wp:posOffset>
                </wp:positionH>
                <wp:positionV relativeFrom="paragraph">
                  <wp:posOffset>13970</wp:posOffset>
                </wp:positionV>
                <wp:extent cx="201930" cy="169545"/>
                <wp:effectExtent l="0" t="0" r="7620" b="1905"/>
                <wp:wrapNone/>
                <wp:docPr id="60" name="Organigramme : Processu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D7FA9E" id="Organigramme : Processus 3" o:spid="_x0000_s1026" type="#_x0000_t109" style="position:absolute;margin-left:214.8pt;margin-top:1.1pt;width:15.9pt;height:13.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56864" behindDoc="0" locked="0" layoutInCell="1" allowOverlap="1" wp14:anchorId="6FB62AD8" wp14:editId="027E670E">
                <wp:simplePos x="0" y="0"/>
                <wp:positionH relativeFrom="column">
                  <wp:posOffset>3175</wp:posOffset>
                </wp:positionH>
                <wp:positionV relativeFrom="paragraph">
                  <wp:posOffset>1905</wp:posOffset>
                </wp:positionV>
                <wp:extent cx="201930" cy="169545"/>
                <wp:effectExtent l="0" t="0" r="7620" b="1905"/>
                <wp:wrapNone/>
                <wp:docPr id="57" name="Organigramme : Processu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B3A730" id="Organigramme : Processus 1" o:spid="_x0000_s1026" type="#_x0000_t109" style="position:absolute;margin-left:.25pt;margin-top:.15pt;width:15.9pt;height:13.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" filled="f" strokecolor="black [3213]" strokeweight="1.25pt">
                <v:path arrowok="t"/>
              </v:shape>
            </w:pict>
          </mc:Fallback>
        </mc:AlternateContent>
      </w:r>
      <w:r w:rsidR="005D5B9E" w:rsidRPr="00F634CD">
        <w:rPr>
          <w:rFonts w:ascii="Times New Roman" w:hAnsi="Times New Roman" w:cs="Times New Roman"/>
          <w:kern w:val="24"/>
          <w:sz w:val="24"/>
          <w:szCs w:val="24"/>
        </w:rPr>
        <w:t xml:space="preserve">         Banque </w:t>
      </w:r>
      <w:r w:rsidR="00DD2B9B" w:rsidRPr="00F634CD">
        <w:rPr>
          <w:rFonts w:ascii="Times New Roman" w:hAnsi="Times New Roman" w:cs="Times New Roman"/>
          <w:kern w:val="24"/>
          <w:sz w:val="24"/>
          <w:szCs w:val="24"/>
        </w:rPr>
        <w:t>i</w:t>
      </w:r>
      <w:r w:rsidR="003773C6" w:rsidRPr="00F634CD">
        <w:rPr>
          <w:rFonts w:ascii="Times New Roman" w:hAnsi="Times New Roman" w:cs="Times New Roman"/>
          <w:kern w:val="24"/>
          <w:sz w:val="24"/>
          <w:szCs w:val="24"/>
        </w:rPr>
        <w:t>slamique</w:t>
      </w:r>
      <w:r w:rsidR="005D5B9E" w:rsidRPr="00F634CD">
        <w:rPr>
          <w:rFonts w:ascii="Times New Roman" w:hAnsi="Times New Roman" w:cs="Times New Roman"/>
          <w:kern w:val="24"/>
          <w:sz w:val="24"/>
          <w:szCs w:val="24"/>
        </w:rPr>
        <w:t xml:space="preserve"> à part entière</w:t>
      </w:r>
      <w:r w:rsidR="005D5B9E" w:rsidRPr="00F634CD">
        <w:rPr>
          <w:rFonts w:ascii="Times New Roman" w:hAnsi="Times New Roman" w:cs="Times New Roman"/>
          <w:kern w:val="24"/>
          <w:sz w:val="24"/>
          <w:szCs w:val="24"/>
        </w:rPr>
        <w:tab/>
        <w:t xml:space="preserve">                    Banque à guichets </w:t>
      </w:r>
      <w:r w:rsidR="00DD2B9B" w:rsidRPr="00F634CD">
        <w:rPr>
          <w:rFonts w:ascii="Times New Roman" w:hAnsi="Times New Roman" w:cs="Times New Roman"/>
          <w:kern w:val="24"/>
          <w:sz w:val="24"/>
          <w:szCs w:val="24"/>
        </w:rPr>
        <w:t>i</w:t>
      </w:r>
      <w:r w:rsidR="003773C6" w:rsidRPr="00F634CD">
        <w:rPr>
          <w:rFonts w:ascii="Times New Roman" w:hAnsi="Times New Roman" w:cs="Times New Roman"/>
          <w:kern w:val="24"/>
          <w:sz w:val="24"/>
          <w:szCs w:val="24"/>
        </w:rPr>
        <w:t>slamique</w:t>
      </w:r>
      <w:r w:rsidR="005D5B9E" w:rsidRPr="00F634CD">
        <w:rPr>
          <w:rFonts w:ascii="Times New Roman" w:hAnsi="Times New Roman" w:cs="Times New Roman"/>
          <w:kern w:val="24"/>
          <w:sz w:val="24"/>
          <w:szCs w:val="24"/>
        </w:rPr>
        <w:t>s</w:t>
      </w:r>
    </w:p>
    <w:p w14:paraId="1D2BE85F" w14:textId="542208FA" w:rsidR="005D5B9E" w:rsidRPr="00F634CD" w:rsidRDefault="002C5EFF" w:rsidP="005D5B9E">
      <w:pPr>
        <w:tabs>
          <w:tab w:val="left" w:pos="2040"/>
          <w:tab w:val="left" w:pos="5007"/>
        </w:tabs>
        <w:spacing w:after="120" w:line="360" w:lineRule="auto"/>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58912" behindDoc="0" locked="0" layoutInCell="1" allowOverlap="1" wp14:anchorId="3A96A64B" wp14:editId="5D064215">
                <wp:simplePos x="0" y="0"/>
                <wp:positionH relativeFrom="column">
                  <wp:posOffset>8255</wp:posOffset>
                </wp:positionH>
                <wp:positionV relativeFrom="paragraph">
                  <wp:posOffset>6985</wp:posOffset>
                </wp:positionV>
                <wp:extent cx="201930" cy="169545"/>
                <wp:effectExtent l="0" t="0" r="7620" b="1905"/>
                <wp:wrapNone/>
                <wp:docPr id="44" name="Organigramme : Processu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6324AF" id="Organigramme : Processus 4" o:spid="_x0000_s1026" type="#_x0000_t109" style="position:absolute;margin-left:.65pt;margin-top:.55pt;width:15.9pt;height:13.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" filled="f" strokecolor="black [3213]" strokeweight="1.25pt">
                <v:path arrowok="t"/>
              </v:shape>
            </w:pict>
          </mc:Fallback>
        </mc:AlternateContent>
      </w:r>
      <w:r w:rsidR="005D5B9E" w:rsidRPr="00F634CD">
        <w:rPr>
          <w:rFonts w:ascii="Times New Roman" w:hAnsi="Times New Roman" w:cs="Times New Roman"/>
          <w:kern w:val="24"/>
          <w:sz w:val="24"/>
          <w:szCs w:val="24"/>
        </w:rPr>
        <w:t xml:space="preserve">         Autre institution financière </w:t>
      </w:r>
      <w:r w:rsidR="00DD2B9B" w:rsidRPr="00F634CD">
        <w:rPr>
          <w:rFonts w:ascii="Times New Roman" w:hAnsi="Times New Roman" w:cs="Times New Roman"/>
          <w:kern w:val="24"/>
          <w:sz w:val="24"/>
          <w:szCs w:val="24"/>
        </w:rPr>
        <w:t>i</w:t>
      </w:r>
      <w:r w:rsidR="003773C6" w:rsidRPr="00F634CD">
        <w:rPr>
          <w:rFonts w:ascii="Times New Roman" w:hAnsi="Times New Roman" w:cs="Times New Roman"/>
          <w:kern w:val="24"/>
          <w:sz w:val="24"/>
          <w:szCs w:val="24"/>
        </w:rPr>
        <w:t>slamique</w:t>
      </w:r>
      <w:r w:rsidR="005D5B9E" w:rsidRPr="00F634CD">
        <w:rPr>
          <w:rFonts w:ascii="Times New Roman" w:hAnsi="Times New Roman" w:cs="Times New Roman"/>
          <w:kern w:val="24"/>
          <w:sz w:val="24"/>
          <w:szCs w:val="24"/>
        </w:rPr>
        <w:t>, veuillez préciser</w:t>
      </w:r>
    </w:p>
    <w:p w14:paraId="387E47F3" w14:textId="77777777" w:rsidR="005D5B9E" w:rsidRPr="00F634CD" w:rsidRDefault="005D5B9E" w:rsidP="00CB0FF1">
      <w:pPr>
        <w:pStyle w:val="Paragraphedeliste"/>
        <w:numPr>
          <w:ilvl w:val="0"/>
          <w:numId w:val="42"/>
        </w:numPr>
        <w:tabs>
          <w:tab w:val="left" w:pos="2040"/>
          <w:tab w:val="left" w:pos="5007"/>
        </w:tabs>
        <w:spacing w:before="100" w:beforeAutospacing="1" w:line="360" w:lineRule="auto"/>
        <w:ind w:left="284" w:hanging="284"/>
        <w:contextualSpacing w:val="0"/>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Nature d’activité</w:t>
      </w:r>
    </w:p>
    <w:p w14:paraId="5F9AFB09" w14:textId="4CFE21EB" w:rsidR="005D5B9E" w:rsidRPr="00F634CD" w:rsidRDefault="002C5EFF" w:rsidP="005D5B9E">
      <w:pPr>
        <w:tabs>
          <w:tab w:val="left" w:pos="2040"/>
          <w:tab w:val="left" w:pos="3332"/>
          <w:tab w:val="left" w:pos="4052"/>
        </w:tabs>
        <w:spacing w:after="120" w:line="360" w:lineRule="auto"/>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59936" behindDoc="0" locked="0" layoutInCell="1" allowOverlap="1" wp14:anchorId="40764E9B" wp14:editId="2FF7B597">
                <wp:simplePos x="0" y="0"/>
                <wp:positionH relativeFrom="column">
                  <wp:posOffset>6985</wp:posOffset>
                </wp:positionH>
                <wp:positionV relativeFrom="paragraph">
                  <wp:posOffset>8890</wp:posOffset>
                </wp:positionV>
                <wp:extent cx="201930" cy="169545"/>
                <wp:effectExtent l="0" t="0" r="7620" b="1905"/>
                <wp:wrapNone/>
                <wp:docPr id="1599" name="Organigramme : Processu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463512" id="Organigramme : Processus 5" o:spid="_x0000_s1026" type="#_x0000_t109" style="position:absolute;margin-left:.55pt;margin-top:.7pt;width:15.9pt;height:13.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61984" behindDoc="0" locked="0" layoutInCell="1" allowOverlap="1" wp14:anchorId="15B27577" wp14:editId="39EF10A7">
                <wp:simplePos x="0" y="0"/>
                <wp:positionH relativeFrom="column">
                  <wp:posOffset>2715260</wp:posOffset>
                </wp:positionH>
                <wp:positionV relativeFrom="paragraph">
                  <wp:posOffset>10160</wp:posOffset>
                </wp:positionV>
                <wp:extent cx="201930" cy="169545"/>
                <wp:effectExtent l="0" t="0" r="7620" b="1905"/>
                <wp:wrapNone/>
                <wp:docPr id="1598" name="Organigramme : Processu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E606BF" id="Organigramme : Processus 7" o:spid="_x0000_s1026" type="#_x0000_t109" style="position:absolute;margin-left:213.8pt;margin-top:.8pt;width:15.9pt;height:13.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" filled="f" strokecolor="black [3213]" strokeweight="1.25pt">
                <v:path arrowok="t"/>
              </v:shape>
            </w:pict>
          </mc:Fallback>
        </mc:AlternateContent>
      </w:r>
      <w:r w:rsidR="005D5B9E" w:rsidRPr="00F634CD">
        <w:rPr>
          <w:rFonts w:ascii="Times New Roman" w:hAnsi="Times New Roman" w:cs="Times New Roman"/>
          <w:kern w:val="24"/>
          <w:sz w:val="24"/>
          <w:szCs w:val="24"/>
        </w:rPr>
        <w:t xml:space="preserve">        Banque commerciale</w:t>
      </w:r>
      <w:r w:rsidR="005D5B9E" w:rsidRPr="00F634CD">
        <w:rPr>
          <w:rFonts w:ascii="Times New Roman" w:hAnsi="Times New Roman" w:cs="Times New Roman"/>
          <w:kern w:val="24"/>
          <w:sz w:val="24"/>
          <w:szCs w:val="24"/>
        </w:rPr>
        <w:tab/>
        <w:t xml:space="preserve">                         Société de leasing</w:t>
      </w:r>
    </w:p>
    <w:p w14:paraId="579D663A" w14:textId="0E742B9C" w:rsidR="005D5B9E" w:rsidRPr="00F634CD" w:rsidRDefault="002C5EFF" w:rsidP="005D5B9E">
      <w:pPr>
        <w:tabs>
          <w:tab w:val="left" w:pos="2040"/>
          <w:tab w:val="left" w:pos="3550"/>
        </w:tabs>
        <w:spacing w:after="120" w:line="360" w:lineRule="auto"/>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60960" behindDoc="0" locked="0" layoutInCell="1" allowOverlap="1" wp14:anchorId="7A5111F2" wp14:editId="4BBC3619">
                <wp:simplePos x="0" y="0"/>
                <wp:positionH relativeFrom="column">
                  <wp:posOffset>9525</wp:posOffset>
                </wp:positionH>
                <wp:positionV relativeFrom="paragraph">
                  <wp:posOffset>20955</wp:posOffset>
                </wp:positionV>
                <wp:extent cx="201930" cy="169545"/>
                <wp:effectExtent l="0" t="0" r="7620" b="1905"/>
                <wp:wrapNone/>
                <wp:docPr id="1597" name="Organigramme : Processu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3AC959" id="Organigramme : Processus 6" o:spid="_x0000_s1026" type="#_x0000_t109" style="position:absolute;margin-left:.75pt;margin-top:1.65pt;width:15.9pt;height:13.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63008" behindDoc="0" locked="0" layoutInCell="1" allowOverlap="1" wp14:anchorId="132A6834" wp14:editId="0C10729F">
                <wp:simplePos x="0" y="0"/>
                <wp:positionH relativeFrom="column">
                  <wp:posOffset>2725420</wp:posOffset>
                </wp:positionH>
                <wp:positionV relativeFrom="paragraph">
                  <wp:posOffset>20955</wp:posOffset>
                </wp:positionV>
                <wp:extent cx="201930" cy="169545"/>
                <wp:effectExtent l="0" t="0" r="7620" b="1905"/>
                <wp:wrapNone/>
                <wp:docPr id="1596" name="Organigramme : Processu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8D11E9" id="Organigramme : Processus 8" o:spid="_x0000_s1026" type="#_x0000_t109" style="position:absolute;margin-left:214.6pt;margin-top:1.65pt;width:15.9pt;height:13.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" filled="f" strokecolor="black [3213]" strokeweight="1.25pt">
                <v:path arrowok="t"/>
              </v:shape>
            </w:pict>
          </mc:Fallback>
        </mc:AlternateContent>
      </w:r>
      <w:r w:rsidR="005D5B9E" w:rsidRPr="00F634CD">
        <w:rPr>
          <w:rFonts w:ascii="Times New Roman" w:hAnsi="Times New Roman" w:cs="Times New Roman"/>
          <w:kern w:val="24"/>
          <w:sz w:val="24"/>
          <w:szCs w:val="24"/>
        </w:rPr>
        <w:t xml:space="preserve">        Banque d’investissement </w:t>
      </w:r>
      <w:r w:rsidR="005D5B9E" w:rsidRPr="00F634CD">
        <w:rPr>
          <w:rFonts w:ascii="Times New Roman" w:hAnsi="Times New Roman" w:cs="Times New Roman"/>
          <w:kern w:val="24"/>
          <w:sz w:val="24"/>
          <w:szCs w:val="24"/>
        </w:rPr>
        <w:tab/>
        <w:t xml:space="preserve">                      Autres, veuillez préciser</w:t>
      </w:r>
    </w:p>
    <w:p w14:paraId="4C67B6BB" w14:textId="02576776" w:rsidR="005D5B9E" w:rsidRPr="00F634CD" w:rsidRDefault="002C5EFF" w:rsidP="00CB0FF1">
      <w:pPr>
        <w:pStyle w:val="Paragraphedeliste"/>
        <w:numPr>
          <w:ilvl w:val="0"/>
          <w:numId w:val="42"/>
        </w:numPr>
        <w:tabs>
          <w:tab w:val="left" w:pos="2040"/>
          <w:tab w:val="left" w:pos="3550"/>
        </w:tabs>
        <w:spacing w:before="100" w:beforeAutospacing="1" w:after="120" w:line="360" w:lineRule="auto"/>
        <w:ind w:left="284" w:hanging="284"/>
        <w:contextualSpacing w:val="0"/>
        <w:jc w:val="left"/>
        <w:rPr>
          <w:rFonts w:ascii="Times New Roman" w:hAnsi="Times New Roman" w:cs="Times New Roman"/>
          <w:b/>
          <w:bCs/>
          <w:i/>
          <w:iCs/>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64032" behindDoc="0" locked="0" layoutInCell="1" allowOverlap="1" wp14:anchorId="5CEC4CF5" wp14:editId="2FE1BE89">
                <wp:simplePos x="0" y="0"/>
                <wp:positionH relativeFrom="column">
                  <wp:posOffset>1905</wp:posOffset>
                </wp:positionH>
                <wp:positionV relativeFrom="paragraph">
                  <wp:posOffset>434340</wp:posOffset>
                </wp:positionV>
                <wp:extent cx="201930" cy="169545"/>
                <wp:effectExtent l="0" t="0" r="7620" b="1905"/>
                <wp:wrapNone/>
                <wp:docPr id="1595" name="Organigramme : Processu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872C70" id="Organigramme : Processus 9" o:spid="_x0000_s1026" type="#_x0000_t109" style="position:absolute;margin-left:.15pt;margin-top:34.2pt;width:15.9pt;height:13.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" filled="f" strokecolor="black [3213]" strokeweight="1.25pt">
                <v:path arrowok="t"/>
              </v:shape>
            </w:pict>
          </mc:Fallback>
        </mc:AlternateContent>
      </w:r>
      <w:r w:rsidR="005D5B9E" w:rsidRPr="00F634CD">
        <w:rPr>
          <w:rFonts w:ascii="Times New Roman" w:hAnsi="Times New Roman" w:cs="Times New Roman"/>
          <w:b/>
          <w:bCs/>
          <w:i/>
          <w:iCs/>
          <w:kern w:val="24"/>
          <w:sz w:val="24"/>
          <w:szCs w:val="24"/>
        </w:rPr>
        <w:t>Les normes comptables utilisées par votre établissement sont conformes aux :</w:t>
      </w:r>
    </w:p>
    <w:p w14:paraId="41DA00D8" w14:textId="05652AF1" w:rsidR="005D5B9E" w:rsidRPr="00F634CD" w:rsidRDefault="002C5EFF" w:rsidP="005D5B9E">
      <w:pPr>
        <w:tabs>
          <w:tab w:val="left" w:pos="2040"/>
          <w:tab w:val="left" w:pos="3550"/>
        </w:tabs>
        <w:spacing w:line="360" w:lineRule="auto"/>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65056" behindDoc="0" locked="0" layoutInCell="1" allowOverlap="1" wp14:anchorId="70514A70" wp14:editId="7FD0B964">
                <wp:simplePos x="0" y="0"/>
                <wp:positionH relativeFrom="column">
                  <wp:posOffset>2689860</wp:posOffset>
                </wp:positionH>
                <wp:positionV relativeFrom="paragraph">
                  <wp:posOffset>-6350</wp:posOffset>
                </wp:positionV>
                <wp:extent cx="201930" cy="169545"/>
                <wp:effectExtent l="0" t="0" r="7620" b="1905"/>
                <wp:wrapNone/>
                <wp:docPr id="1594" name="Organigramme : Processu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C6F97F" id="Organigramme : Processus 10" o:spid="_x0000_s1026" type="#_x0000_t109" style="position:absolute;margin-left:211.8pt;margin-top:-.5pt;width:15.9pt;height:13.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" filled="f" strokecolor="black [3213]" strokeweight="1.25pt">
                <v:path arrowok="t"/>
              </v:shape>
            </w:pict>
          </mc:Fallback>
        </mc:AlternateContent>
      </w:r>
      <w:r w:rsidR="005D5B9E" w:rsidRPr="00F634CD">
        <w:rPr>
          <w:rFonts w:ascii="Times New Roman" w:hAnsi="Times New Roman" w:cs="Times New Roman"/>
          <w:kern w:val="24"/>
          <w:sz w:val="24"/>
          <w:szCs w:val="24"/>
        </w:rPr>
        <w:t xml:space="preserve">        Standards internationaux                                 Normes de l’AAOIFI</w:t>
      </w:r>
    </w:p>
    <w:p w14:paraId="635F414C" w14:textId="77777777" w:rsidR="005D5B9E" w:rsidRPr="00F634CD" w:rsidRDefault="005D5B9E" w:rsidP="002D0CDA">
      <w:pPr>
        <w:pageBreakBefore/>
        <w:tabs>
          <w:tab w:val="left" w:pos="3660"/>
        </w:tabs>
        <w:spacing w:after="120"/>
        <w:rPr>
          <w:rFonts w:ascii="Times New Roman" w:hAnsi="Times New Roman" w:cs="Times New Roman"/>
          <w:b/>
          <w:bCs/>
          <w:i/>
          <w:iCs/>
          <w:kern w:val="24"/>
          <w:sz w:val="28"/>
          <w:szCs w:val="28"/>
        </w:rPr>
      </w:pPr>
      <w:r w:rsidRPr="00F634CD">
        <w:rPr>
          <w:rFonts w:ascii="Times New Roman" w:hAnsi="Times New Roman" w:cs="Times New Roman"/>
          <w:b/>
          <w:bCs/>
          <w:i/>
          <w:iCs/>
          <w:kern w:val="24"/>
          <w:sz w:val="28"/>
          <w:szCs w:val="28"/>
        </w:rPr>
        <w:t>II. Perception des risque</w:t>
      </w:r>
      <w:r w:rsidR="00922200" w:rsidRPr="00F634CD">
        <w:rPr>
          <w:rFonts w:ascii="Times New Roman" w:hAnsi="Times New Roman" w:cs="Times New Roman"/>
          <w:b/>
          <w:bCs/>
          <w:i/>
          <w:iCs/>
          <w:kern w:val="24"/>
          <w:sz w:val="28"/>
          <w:szCs w:val="28"/>
        </w:rPr>
        <w:t>s</w:t>
      </w:r>
    </w:p>
    <w:p w14:paraId="5858F0DA" w14:textId="77777777" w:rsidR="005D5B9E" w:rsidRPr="00F634CD" w:rsidRDefault="005D5B9E" w:rsidP="00CB0FF1">
      <w:pPr>
        <w:pStyle w:val="Paragraphedeliste"/>
        <w:numPr>
          <w:ilvl w:val="0"/>
          <w:numId w:val="42"/>
        </w:numPr>
        <w:tabs>
          <w:tab w:val="center" w:pos="4536"/>
        </w:tabs>
        <w:spacing w:after="120"/>
        <w:ind w:left="284" w:hanging="284"/>
        <w:contextualSpacing w:val="0"/>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 xml:space="preserve">Voici les principaux risques encourus par les banques </w:t>
      </w:r>
      <w:r w:rsidR="00DD2B9B" w:rsidRPr="00F634CD">
        <w:rPr>
          <w:rFonts w:ascii="Times New Roman" w:hAnsi="Times New Roman" w:cs="Times New Roman"/>
          <w:b/>
          <w:bCs/>
          <w:i/>
          <w:iCs/>
          <w:kern w:val="24"/>
          <w:sz w:val="24"/>
          <w:szCs w:val="24"/>
        </w:rPr>
        <w:t>i</w:t>
      </w:r>
      <w:r w:rsidR="003773C6" w:rsidRPr="00F634CD">
        <w:rPr>
          <w:rFonts w:ascii="Times New Roman" w:hAnsi="Times New Roman" w:cs="Times New Roman"/>
          <w:b/>
          <w:bCs/>
          <w:i/>
          <w:iCs/>
          <w:kern w:val="24"/>
          <w:sz w:val="24"/>
          <w:szCs w:val="24"/>
        </w:rPr>
        <w:t>slamique</w:t>
      </w:r>
      <w:r w:rsidRPr="00F634CD">
        <w:rPr>
          <w:rFonts w:ascii="Times New Roman" w:hAnsi="Times New Roman" w:cs="Times New Roman"/>
          <w:b/>
          <w:bCs/>
          <w:i/>
          <w:iCs/>
          <w:kern w:val="24"/>
          <w:sz w:val="24"/>
          <w:szCs w:val="24"/>
        </w:rPr>
        <w:t xml:space="preserve">s. Pourriez-vous identifier leur degré d’importance dans votre </w:t>
      </w:r>
      <w:r w:rsidR="00922200" w:rsidRPr="00F634CD">
        <w:rPr>
          <w:rFonts w:ascii="Times New Roman" w:hAnsi="Times New Roman" w:cs="Times New Roman"/>
          <w:b/>
          <w:bCs/>
          <w:i/>
          <w:iCs/>
          <w:kern w:val="24"/>
          <w:sz w:val="24"/>
          <w:szCs w:val="24"/>
        </w:rPr>
        <w:t>banque ?</w:t>
      </w: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solid" w:color="F2F2F2" w:themeColor="background1" w:themeShade="F2" w:fill="F2F2F2" w:themeFill="background1" w:themeFillShade="F2"/>
        <w:tblLayout w:type="fixed"/>
        <w:tblCellMar>
          <w:left w:w="57" w:type="dxa"/>
          <w:right w:w="57" w:type="dxa"/>
        </w:tblCellMar>
        <w:tblLook w:val="04A0" w:firstRow="1" w:lastRow="0" w:firstColumn="1" w:lastColumn="0" w:noHBand="0" w:noVBand="1"/>
      </w:tblPr>
      <w:tblGrid>
        <w:gridCol w:w="2494"/>
        <w:gridCol w:w="1331"/>
        <w:gridCol w:w="1276"/>
        <w:gridCol w:w="1276"/>
        <w:gridCol w:w="1396"/>
        <w:gridCol w:w="1263"/>
      </w:tblGrid>
      <w:tr w:rsidR="005D5B9E" w:rsidRPr="00F634CD" w14:paraId="54728DD9" w14:textId="77777777" w:rsidTr="00D91EA8">
        <w:trPr>
          <w:trHeight w:val="680"/>
          <w:jc w:val="center"/>
        </w:trPr>
        <w:tc>
          <w:tcPr>
            <w:tcW w:w="2494" w:type="dxa"/>
            <w:shd w:val="solid" w:color="F2F2F2" w:themeColor="background1" w:themeShade="F2" w:fill="F2F2F2" w:themeFill="background1" w:themeFillShade="F2"/>
            <w:vAlign w:val="center"/>
          </w:tcPr>
          <w:p w14:paraId="671CB8C7" w14:textId="77777777" w:rsidR="005D5B9E" w:rsidRPr="00F634CD" w:rsidRDefault="005D5B9E" w:rsidP="00D91EA8">
            <w:pPr>
              <w:tabs>
                <w:tab w:val="center" w:pos="4536"/>
              </w:tabs>
              <w:jc w:val="center"/>
              <w:rPr>
                <w:rFonts w:ascii="Times New Roman" w:hAnsi="Times New Roman" w:cs="Times New Roman"/>
                <w:kern w:val="24"/>
                <w:sz w:val="24"/>
                <w:szCs w:val="24"/>
              </w:rPr>
            </w:pPr>
            <w:r w:rsidRPr="00F634CD">
              <w:rPr>
                <w:rFonts w:ascii="Times New Roman" w:hAnsi="Times New Roman" w:cs="Times New Roman"/>
                <w:kern w:val="24"/>
                <w:sz w:val="24"/>
                <w:szCs w:val="24"/>
              </w:rPr>
              <w:t>Le risque</w:t>
            </w:r>
          </w:p>
        </w:tc>
        <w:tc>
          <w:tcPr>
            <w:tcW w:w="1331" w:type="dxa"/>
            <w:shd w:val="solid" w:color="F2F2F2" w:themeColor="background1" w:themeShade="F2" w:fill="F2F2F2" w:themeFill="background1" w:themeFillShade="F2"/>
            <w:vAlign w:val="center"/>
          </w:tcPr>
          <w:p w14:paraId="53E9A579" w14:textId="77777777" w:rsidR="005D5B9E" w:rsidRPr="00F634CD" w:rsidRDefault="005D5B9E" w:rsidP="00D91EA8">
            <w:pPr>
              <w:tabs>
                <w:tab w:val="center" w:pos="4536"/>
              </w:tabs>
              <w:jc w:val="center"/>
              <w:rPr>
                <w:rFonts w:ascii="Times New Roman" w:hAnsi="Times New Roman" w:cs="Times New Roman"/>
                <w:kern w:val="24"/>
                <w:sz w:val="24"/>
                <w:szCs w:val="24"/>
              </w:rPr>
            </w:pPr>
            <w:r w:rsidRPr="00F634CD">
              <w:rPr>
                <w:rFonts w:ascii="Times New Roman" w:hAnsi="Times New Roman" w:cs="Times New Roman"/>
                <w:kern w:val="24"/>
                <w:sz w:val="24"/>
                <w:szCs w:val="24"/>
              </w:rPr>
              <w:t>Très</w:t>
            </w:r>
            <w:r w:rsidR="00D91EA8" w:rsidRPr="00F634CD">
              <w:rPr>
                <w:rFonts w:ascii="Times New Roman" w:hAnsi="Times New Roman" w:cs="Times New Roman"/>
                <w:kern w:val="24"/>
                <w:sz w:val="24"/>
                <w:szCs w:val="24"/>
              </w:rPr>
              <w:t xml:space="preserve"> </w:t>
            </w:r>
            <w:r w:rsidRPr="00F634CD">
              <w:rPr>
                <w:rFonts w:ascii="Times New Roman" w:hAnsi="Times New Roman" w:cs="Times New Roman"/>
                <w:kern w:val="24"/>
                <w:sz w:val="24"/>
                <w:szCs w:val="24"/>
              </w:rPr>
              <w:t>important</w:t>
            </w:r>
          </w:p>
        </w:tc>
        <w:tc>
          <w:tcPr>
            <w:tcW w:w="1276" w:type="dxa"/>
            <w:shd w:val="solid" w:color="F2F2F2" w:themeColor="background1" w:themeShade="F2" w:fill="F2F2F2" w:themeFill="background1" w:themeFillShade="F2"/>
            <w:vAlign w:val="center"/>
          </w:tcPr>
          <w:p w14:paraId="457E0479" w14:textId="77777777" w:rsidR="005D5B9E" w:rsidRPr="00F634CD" w:rsidRDefault="005D5B9E" w:rsidP="00D91EA8">
            <w:pPr>
              <w:tabs>
                <w:tab w:val="center" w:pos="4536"/>
              </w:tabs>
              <w:jc w:val="center"/>
              <w:rPr>
                <w:rFonts w:ascii="Times New Roman" w:hAnsi="Times New Roman" w:cs="Times New Roman"/>
                <w:kern w:val="24"/>
                <w:sz w:val="24"/>
                <w:szCs w:val="24"/>
              </w:rPr>
            </w:pPr>
            <w:r w:rsidRPr="00F634CD">
              <w:rPr>
                <w:rFonts w:ascii="Times New Roman" w:hAnsi="Times New Roman" w:cs="Times New Roman"/>
                <w:kern w:val="24"/>
                <w:sz w:val="24"/>
                <w:szCs w:val="24"/>
              </w:rPr>
              <w:t>Important</w:t>
            </w:r>
          </w:p>
        </w:tc>
        <w:tc>
          <w:tcPr>
            <w:tcW w:w="1276" w:type="dxa"/>
            <w:shd w:val="solid" w:color="F2F2F2" w:themeColor="background1" w:themeShade="F2" w:fill="F2F2F2" w:themeFill="background1" w:themeFillShade="F2"/>
            <w:vAlign w:val="center"/>
          </w:tcPr>
          <w:p w14:paraId="0E7E76EB" w14:textId="77777777" w:rsidR="005D5B9E" w:rsidRPr="00F634CD" w:rsidRDefault="005D5B9E" w:rsidP="00D91EA8">
            <w:pPr>
              <w:tabs>
                <w:tab w:val="center" w:pos="4536"/>
              </w:tabs>
              <w:jc w:val="center"/>
              <w:rPr>
                <w:rFonts w:ascii="Times New Roman" w:hAnsi="Times New Roman" w:cs="Times New Roman"/>
                <w:kern w:val="24"/>
                <w:sz w:val="24"/>
                <w:szCs w:val="24"/>
              </w:rPr>
            </w:pPr>
            <w:r w:rsidRPr="00F634CD">
              <w:rPr>
                <w:rFonts w:ascii="Times New Roman" w:hAnsi="Times New Roman" w:cs="Times New Roman"/>
                <w:kern w:val="24"/>
                <w:sz w:val="24"/>
                <w:szCs w:val="24"/>
              </w:rPr>
              <w:t>Peu important</w:t>
            </w:r>
          </w:p>
        </w:tc>
        <w:tc>
          <w:tcPr>
            <w:tcW w:w="1396" w:type="dxa"/>
            <w:shd w:val="solid" w:color="F2F2F2" w:themeColor="background1" w:themeShade="F2" w:fill="F2F2F2" w:themeFill="background1" w:themeFillShade="F2"/>
            <w:vAlign w:val="center"/>
          </w:tcPr>
          <w:p w14:paraId="24A4CA7F" w14:textId="77777777" w:rsidR="005D5B9E" w:rsidRPr="00F634CD" w:rsidRDefault="005D5B9E" w:rsidP="00D91EA8">
            <w:pPr>
              <w:tabs>
                <w:tab w:val="center" w:pos="4536"/>
              </w:tabs>
              <w:jc w:val="center"/>
              <w:rPr>
                <w:rFonts w:ascii="Times New Roman" w:hAnsi="Times New Roman" w:cs="Times New Roman"/>
                <w:kern w:val="24"/>
                <w:sz w:val="24"/>
                <w:szCs w:val="24"/>
              </w:rPr>
            </w:pPr>
            <w:r w:rsidRPr="00F634CD">
              <w:rPr>
                <w:rFonts w:ascii="Times New Roman" w:hAnsi="Times New Roman" w:cs="Times New Roman"/>
                <w:kern w:val="24"/>
                <w:sz w:val="24"/>
                <w:szCs w:val="24"/>
              </w:rPr>
              <w:t>Non</w:t>
            </w:r>
            <w:r w:rsidR="00D91EA8" w:rsidRPr="00F634CD">
              <w:rPr>
                <w:rFonts w:ascii="Times New Roman" w:hAnsi="Times New Roman" w:cs="Times New Roman"/>
                <w:kern w:val="24"/>
                <w:sz w:val="24"/>
                <w:szCs w:val="24"/>
              </w:rPr>
              <w:t xml:space="preserve"> </w:t>
            </w:r>
            <w:r w:rsidRPr="00F634CD">
              <w:rPr>
                <w:rFonts w:ascii="Times New Roman" w:hAnsi="Times New Roman" w:cs="Times New Roman"/>
                <w:kern w:val="24"/>
                <w:sz w:val="24"/>
                <w:szCs w:val="24"/>
              </w:rPr>
              <w:t>important</w:t>
            </w:r>
          </w:p>
        </w:tc>
        <w:tc>
          <w:tcPr>
            <w:tcW w:w="1263" w:type="dxa"/>
            <w:shd w:val="solid" w:color="F2F2F2" w:themeColor="background1" w:themeShade="F2" w:fill="F2F2F2" w:themeFill="background1" w:themeFillShade="F2"/>
            <w:vAlign w:val="center"/>
          </w:tcPr>
          <w:p w14:paraId="60F93BA8" w14:textId="77777777" w:rsidR="005D5B9E" w:rsidRPr="00F634CD" w:rsidRDefault="005D5B9E" w:rsidP="00D91EA8">
            <w:pPr>
              <w:tabs>
                <w:tab w:val="center" w:pos="4536"/>
              </w:tabs>
              <w:jc w:val="center"/>
              <w:rPr>
                <w:rFonts w:ascii="Times New Roman" w:hAnsi="Times New Roman" w:cs="Times New Roman"/>
                <w:kern w:val="24"/>
                <w:sz w:val="24"/>
                <w:szCs w:val="24"/>
              </w:rPr>
            </w:pPr>
            <w:r w:rsidRPr="00F634CD">
              <w:rPr>
                <w:rFonts w:ascii="Times New Roman" w:hAnsi="Times New Roman" w:cs="Times New Roman"/>
                <w:kern w:val="24"/>
                <w:sz w:val="24"/>
                <w:szCs w:val="24"/>
              </w:rPr>
              <w:t>Je ne sais pas</w:t>
            </w:r>
          </w:p>
        </w:tc>
      </w:tr>
      <w:tr w:rsidR="005D5B9E" w:rsidRPr="00F634CD" w14:paraId="13D190D6" w14:textId="77777777" w:rsidTr="008F2E28">
        <w:trPr>
          <w:trHeight w:val="567"/>
          <w:jc w:val="center"/>
        </w:trPr>
        <w:tc>
          <w:tcPr>
            <w:tcW w:w="2494" w:type="dxa"/>
            <w:shd w:val="solid" w:color="F2F2F2" w:themeColor="background1" w:themeShade="F2" w:fill="F2F2F2" w:themeFill="background1" w:themeFillShade="F2"/>
            <w:vAlign w:val="center"/>
          </w:tcPr>
          <w:p w14:paraId="49B8944D" w14:textId="77777777" w:rsidR="005D5B9E" w:rsidRPr="00F634CD" w:rsidRDefault="005D5B9E" w:rsidP="00824676">
            <w:pPr>
              <w:tabs>
                <w:tab w:val="center" w:pos="4536"/>
              </w:tabs>
              <w:jc w:val="left"/>
              <w:rPr>
                <w:rFonts w:ascii="Times New Roman" w:hAnsi="Times New Roman" w:cs="Times New Roman"/>
                <w:kern w:val="24"/>
                <w:sz w:val="24"/>
                <w:szCs w:val="24"/>
              </w:rPr>
            </w:pPr>
            <w:r w:rsidRPr="00F634CD">
              <w:rPr>
                <w:rFonts w:ascii="Times New Roman" w:hAnsi="Times New Roman" w:cs="Times New Roman"/>
                <w:kern w:val="24"/>
                <w:sz w:val="24"/>
                <w:szCs w:val="24"/>
              </w:rPr>
              <w:t>Risque de contrepartie</w:t>
            </w:r>
          </w:p>
        </w:tc>
        <w:tc>
          <w:tcPr>
            <w:tcW w:w="1331" w:type="dxa"/>
            <w:shd w:val="solid" w:color="F2F2F2" w:themeColor="background1" w:themeShade="F2" w:fill="F2F2F2" w:themeFill="background1" w:themeFillShade="F2"/>
            <w:vAlign w:val="center"/>
          </w:tcPr>
          <w:p w14:paraId="491E18FA" w14:textId="77CC608E" w:rsidR="005D5B9E" w:rsidRPr="00F634CD" w:rsidRDefault="002C5EFF" w:rsidP="005D5B9E">
            <w:pPr>
              <w:tabs>
                <w:tab w:val="left" w:pos="218"/>
                <w:tab w:val="center" w:pos="600"/>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80416" behindDoc="0" locked="0" layoutInCell="1" allowOverlap="1" wp14:anchorId="79A1990E" wp14:editId="4F1BC7CA">
                      <wp:simplePos x="0" y="0"/>
                      <wp:positionH relativeFrom="column">
                        <wp:posOffset>249555</wp:posOffset>
                      </wp:positionH>
                      <wp:positionV relativeFrom="paragraph">
                        <wp:posOffset>67310</wp:posOffset>
                      </wp:positionV>
                      <wp:extent cx="212725" cy="159385"/>
                      <wp:effectExtent l="0" t="0" r="0" b="0"/>
                      <wp:wrapNone/>
                      <wp:docPr id="1593" name="Organigramme : Processu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65392" w14:textId="77777777" w:rsidR="009C2D83" w:rsidRDefault="009C2D83" w:rsidP="005D5B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A1990E" id="_x0000_t109" coordsize="21600,21600" o:spt="109" path="m,l,21600r21600,l21600,xe">
                      <v:stroke joinstyle="miter"/>
                      <v:path gradientshapeok="t" o:connecttype="rect"/>
                    </v:shapetype>
                    <v:shape id="Organigramme : Processus 13" o:spid="_x0000_s1235" type="#_x0000_t109" style="position:absolute;left:0;text-align:left;margin-left:19.65pt;margin-top:5.3pt;width:16.75pt;height:12.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" fillcolor="white [3212]" strokecolor="black [3213]" strokeweight="1.25pt">
                      <v:path arrowok="t"/>
                      <v:textbox>
                        <w:txbxContent>
                          <w:p w14:paraId="30865392" w14:textId="77777777" w:rsidR="009C2D83" w:rsidRDefault="009C2D83" w:rsidP="005D5B9E">
                            <w:pPr>
                              <w:jc w:val="center"/>
                            </w:pPr>
                          </w:p>
                        </w:txbxContent>
                      </v:textbox>
                    </v:shape>
                  </w:pict>
                </mc:Fallback>
              </mc:AlternateContent>
            </w:r>
          </w:p>
        </w:tc>
        <w:tc>
          <w:tcPr>
            <w:tcW w:w="1276" w:type="dxa"/>
            <w:shd w:val="solid" w:color="F2F2F2" w:themeColor="background1" w:themeShade="F2" w:fill="F2F2F2" w:themeFill="background1" w:themeFillShade="F2"/>
            <w:vAlign w:val="center"/>
          </w:tcPr>
          <w:p w14:paraId="22B101D8" w14:textId="4FDFD148"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81440" behindDoc="0" locked="0" layoutInCell="1" allowOverlap="1" wp14:anchorId="47799D5B" wp14:editId="10F987EA">
                      <wp:simplePos x="0" y="0"/>
                      <wp:positionH relativeFrom="column">
                        <wp:posOffset>215900</wp:posOffset>
                      </wp:positionH>
                      <wp:positionV relativeFrom="paragraph">
                        <wp:posOffset>68580</wp:posOffset>
                      </wp:positionV>
                      <wp:extent cx="212090" cy="159385"/>
                      <wp:effectExtent l="0" t="0" r="0" b="0"/>
                      <wp:wrapNone/>
                      <wp:docPr id="1592" name="Organigramme : Processu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BAB093" id="Organigramme : Processus 14" o:spid="_x0000_s1026" type="#_x0000_t109" style="position:absolute;margin-left:17pt;margin-top:5.4pt;width:16.7pt;height:12.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7BA078D5" w14:textId="4D45E3FA"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82464" behindDoc="0" locked="0" layoutInCell="1" allowOverlap="1" wp14:anchorId="1F967BDC" wp14:editId="5D34CA68">
                      <wp:simplePos x="0" y="0"/>
                      <wp:positionH relativeFrom="column">
                        <wp:posOffset>204470</wp:posOffset>
                      </wp:positionH>
                      <wp:positionV relativeFrom="paragraph">
                        <wp:posOffset>76835</wp:posOffset>
                      </wp:positionV>
                      <wp:extent cx="212090" cy="159385"/>
                      <wp:effectExtent l="0" t="0" r="0" b="0"/>
                      <wp:wrapNone/>
                      <wp:docPr id="1591" name="Organigramme : Processu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CEDD75" id="Organigramme : Processus 16" o:spid="_x0000_s1026" type="#_x0000_t109" style="position:absolute;margin-left:16.1pt;margin-top:6.05pt;width:16.7pt;height:1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" fillcolor="white [3212]" strokecolor="black [3213]" strokeweight="1.25pt">
                      <v:path arrowok="t"/>
                    </v:shape>
                  </w:pict>
                </mc:Fallback>
              </mc:AlternateContent>
            </w:r>
          </w:p>
        </w:tc>
        <w:tc>
          <w:tcPr>
            <w:tcW w:w="1396" w:type="dxa"/>
            <w:shd w:val="solid" w:color="F2F2F2" w:themeColor="background1" w:themeShade="F2" w:fill="F2F2F2" w:themeFill="background1" w:themeFillShade="F2"/>
            <w:vAlign w:val="center"/>
          </w:tcPr>
          <w:p w14:paraId="56487A84" w14:textId="1614BBD6"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09088" behindDoc="0" locked="0" layoutInCell="1" allowOverlap="1" wp14:anchorId="6B1A6B8E" wp14:editId="3DA8F6E6">
                      <wp:simplePos x="0" y="0"/>
                      <wp:positionH relativeFrom="column">
                        <wp:posOffset>245110</wp:posOffset>
                      </wp:positionH>
                      <wp:positionV relativeFrom="paragraph">
                        <wp:posOffset>73025</wp:posOffset>
                      </wp:positionV>
                      <wp:extent cx="212090" cy="159385"/>
                      <wp:effectExtent l="0" t="0" r="0" b="0"/>
                      <wp:wrapNone/>
                      <wp:docPr id="211" name="Organigramme : Processus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971B87" id="Organigramme : Processus 211" o:spid="_x0000_s1026" type="#_x0000_t109" style="position:absolute;margin-left:19.3pt;margin-top:5.75pt;width:16.7pt;height:12.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" fillcolor="white [3212]" strokecolor="black [3213]" strokeweight="1.25pt">
                      <v:path arrowok="t"/>
                    </v:shape>
                  </w:pict>
                </mc:Fallback>
              </mc:AlternateContent>
            </w:r>
          </w:p>
        </w:tc>
        <w:tc>
          <w:tcPr>
            <w:tcW w:w="1263" w:type="dxa"/>
            <w:shd w:val="solid" w:color="F2F2F2" w:themeColor="background1" w:themeShade="F2" w:fill="F2F2F2" w:themeFill="background1" w:themeFillShade="F2"/>
            <w:vAlign w:val="center"/>
          </w:tcPr>
          <w:p w14:paraId="3590EC9A" w14:textId="56371AEC"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08064" behindDoc="0" locked="0" layoutInCell="1" allowOverlap="1" wp14:anchorId="6F9D0F1C" wp14:editId="10C7A5FA">
                      <wp:simplePos x="0" y="0"/>
                      <wp:positionH relativeFrom="column">
                        <wp:posOffset>206375</wp:posOffset>
                      </wp:positionH>
                      <wp:positionV relativeFrom="paragraph">
                        <wp:posOffset>72390</wp:posOffset>
                      </wp:positionV>
                      <wp:extent cx="212090" cy="159385"/>
                      <wp:effectExtent l="0" t="0" r="0" b="0"/>
                      <wp:wrapNone/>
                      <wp:docPr id="1590" name="Organigramme : Processu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2AEB33" id="Organigramme : Processus 17" o:spid="_x0000_s1026" type="#_x0000_t109" style="position:absolute;margin-left:16.25pt;margin-top:5.7pt;width:16.7pt;height:12.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" fillcolor="white [3212]" strokecolor="black [3213]" strokeweight="1.25pt">
                      <v:path arrowok="t"/>
                    </v:shape>
                  </w:pict>
                </mc:Fallback>
              </mc:AlternateContent>
            </w:r>
          </w:p>
        </w:tc>
      </w:tr>
      <w:tr w:rsidR="005D5B9E" w:rsidRPr="00F634CD" w14:paraId="1FA440E4" w14:textId="77777777" w:rsidTr="00824676">
        <w:trPr>
          <w:trHeight w:val="680"/>
          <w:jc w:val="center"/>
        </w:trPr>
        <w:tc>
          <w:tcPr>
            <w:tcW w:w="2494" w:type="dxa"/>
            <w:shd w:val="solid" w:color="F2F2F2" w:themeColor="background1" w:themeShade="F2" w:fill="F2F2F2" w:themeFill="background1" w:themeFillShade="F2"/>
            <w:vAlign w:val="center"/>
          </w:tcPr>
          <w:p w14:paraId="69AE20C1" w14:textId="77777777" w:rsidR="005D5B9E" w:rsidRPr="00F634CD" w:rsidRDefault="005D5B9E" w:rsidP="00824676">
            <w:pPr>
              <w:tabs>
                <w:tab w:val="center" w:pos="4536"/>
              </w:tabs>
              <w:jc w:val="left"/>
              <w:rPr>
                <w:rFonts w:ascii="Times New Roman" w:hAnsi="Times New Roman" w:cs="Times New Roman"/>
                <w:kern w:val="24"/>
                <w:sz w:val="24"/>
                <w:szCs w:val="24"/>
              </w:rPr>
            </w:pPr>
            <w:r w:rsidRPr="00F634CD">
              <w:rPr>
                <w:rFonts w:ascii="Times New Roman" w:hAnsi="Times New Roman" w:cs="Times New Roman"/>
                <w:kern w:val="24"/>
                <w:sz w:val="24"/>
                <w:szCs w:val="24"/>
              </w:rPr>
              <w:t>Risque de taux de référence</w:t>
            </w:r>
          </w:p>
        </w:tc>
        <w:tc>
          <w:tcPr>
            <w:tcW w:w="1331" w:type="dxa"/>
            <w:shd w:val="solid" w:color="F2F2F2" w:themeColor="background1" w:themeShade="F2" w:fill="F2F2F2" w:themeFill="background1" w:themeFillShade="F2"/>
            <w:vAlign w:val="center"/>
          </w:tcPr>
          <w:p w14:paraId="582B8319" w14:textId="7BD7D23C"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83488" behindDoc="0" locked="0" layoutInCell="1" allowOverlap="1" wp14:anchorId="77598DFE" wp14:editId="6C866B86">
                      <wp:simplePos x="0" y="0"/>
                      <wp:positionH relativeFrom="column">
                        <wp:posOffset>250825</wp:posOffset>
                      </wp:positionH>
                      <wp:positionV relativeFrom="paragraph">
                        <wp:posOffset>80645</wp:posOffset>
                      </wp:positionV>
                      <wp:extent cx="212090" cy="159385"/>
                      <wp:effectExtent l="0" t="0" r="0" b="0"/>
                      <wp:wrapNone/>
                      <wp:docPr id="1589" name="Organigramme : Processu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437BE3" id="Organigramme : Processus 18" o:spid="_x0000_s1026" type="#_x0000_t109" style="position:absolute;margin-left:19.75pt;margin-top:6.35pt;width:16.7pt;height:1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18514102" w14:textId="36ACE2B7"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84512" behindDoc="0" locked="0" layoutInCell="1" allowOverlap="1" wp14:anchorId="41A94DF9" wp14:editId="5669DF6B">
                      <wp:simplePos x="0" y="0"/>
                      <wp:positionH relativeFrom="column">
                        <wp:posOffset>186690</wp:posOffset>
                      </wp:positionH>
                      <wp:positionV relativeFrom="paragraph">
                        <wp:posOffset>117475</wp:posOffset>
                      </wp:positionV>
                      <wp:extent cx="212090" cy="159385"/>
                      <wp:effectExtent l="0" t="0" r="0" b="0"/>
                      <wp:wrapNone/>
                      <wp:docPr id="1588" name="Organigramme : Processu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C7BA56" id="Organigramme : Processus 19" o:spid="_x0000_s1026" type="#_x0000_t109" style="position:absolute;margin-left:14.7pt;margin-top:9.25pt;width:16.7pt;height:12.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0037A4ED" w14:textId="0BDC5BB7"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85536" behindDoc="0" locked="0" layoutInCell="1" allowOverlap="1" wp14:anchorId="1721174F" wp14:editId="0E527197">
                      <wp:simplePos x="0" y="0"/>
                      <wp:positionH relativeFrom="column">
                        <wp:posOffset>231140</wp:posOffset>
                      </wp:positionH>
                      <wp:positionV relativeFrom="paragraph">
                        <wp:posOffset>126365</wp:posOffset>
                      </wp:positionV>
                      <wp:extent cx="212090" cy="159385"/>
                      <wp:effectExtent l="0" t="0" r="0" b="0"/>
                      <wp:wrapNone/>
                      <wp:docPr id="1587" name="Organigramme : Processu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3AE51F" id="Organigramme : Processus 20" o:spid="_x0000_s1026" type="#_x0000_t109" style="position:absolute;margin-left:18.2pt;margin-top:9.95pt;width:16.7pt;height:12.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" fillcolor="white [3212]" strokecolor="black [3213]" strokeweight="1.25pt">
                      <v:path arrowok="t"/>
                    </v:shape>
                  </w:pict>
                </mc:Fallback>
              </mc:AlternateContent>
            </w:r>
          </w:p>
        </w:tc>
        <w:tc>
          <w:tcPr>
            <w:tcW w:w="1396" w:type="dxa"/>
            <w:shd w:val="solid" w:color="F2F2F2" w:themeColor="background1" w:themeShade="F2" w:fill="F2F2F2" w:themeFill="background1" w:themeFillShade="F2"/>
            <w:vAlign w:val="center"/>
          </w:tcPr>
          <w:p w14:paraId="71BEB83D" w14:textId="618F36E4"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86560" behindDoc="0" locked="0" layoutInCell="1" allowOverlap="1" wp14:anchorId="6B8800F9" wp14:editId="1AC0627E">
                      <wp:simplePos x="0" y="0"/>
                      <wp:positionH relativeFrom="column">
                        <wp:posOffset>266700</wp:posOffset>
                      </wp:positionH>
                      <wp:positionV relativeFrom="paragraph">
                        <wp:posOffset>135890</wp:posOffset>
                      </wp:positionV>
                      <wp:extent cx="212090" cy="159385"/>
                      <wp:effectExtent l="0" t="0" r="0" b="0"/>
                      <wp:wrapNone/>
                      <wp:docPr id="1586" name="Organigramme : Processu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AC1601" id="Organigramme : Processus 21" o:spid="_x0000_s1026" type="#_x0000_t109" style="position:absolute;margin-left:21pt;margin-top:10.7pt;width:16.7pt;height:12.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" fillcolor="white [3212]" strokecolor="black [3213]" strokeweight="1.25pt">
                      <v:path arrowok="t"/>
                    </v:shape>
                  </w:pict>
                </mc:Fallback>
              </mc:AlternateContent>
            </w:r>
          </w:p>
        </w:tc>
        <w:tc>
          <w:tcPr>
            <w:tcW w:w="1263" w:type="dxa"/>
            <w:shd w:val="solid" w:color="F2F2F2" w:themeColor="background1" w:themeShade="F2" w:fill="F2F2F2" w:themeFill="background1" w:themeFillShade="F2"/>
            <w:vAlign w:val="center"/>
          </w:tcPr>
          <w:p w14:paraId="3CAEF971" w14:textId="478FDFAB"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10112" behindDoc="0" locked="0" layoutInCell="1" allowOverlap="1" wp14:anchorId="5B9A310A" wp14:editId="365A76E4">
                      <wp:simplePos x="0" y="0"/>
                      <wp:positionH relativeFrom="column">
                        <wp:posOffset>206375</wp:posOffset>
                      </wp:positionH>
                      <wp:positionV relativeFrom="paragraph">
                        <wp:posOffset>135255</wp:posOffset>
                      </wp:positionV>
                      <wp:extent cx="212090" cy="159385"/>
                      <wp:effectExtent l="0" t="0" r="0" b="0"/>
                      <wp:wrapNone/>
                      <wp:docPr id="212" name="Organigramme : Processus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E7E063" id="Organigramme : Processus 212" o:spid="_x0000_s1026" type="#_x0000_t109" style="position:absolute;margin-left:16.25pt;margin-top:10.65pt;width:16.7pt;height:12.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" fillcolor="white [3212]" strokecolor="black [3213]" strokeweight="1.25pt">
                      <v:path arrowok="t"/>
                    </v:shape>
                  </w:pict>
                </mc:Fallback>
              </mc:AlternateContent>
            </w:r>
          </w:p>
        </w:tc>
      </w:tr>
      <w:tr w:rsidR="005D5B9E" w:rsidRPr="00F634CD" w14:paraId="5896798D" w14:textId="77777777" w:rsidTr="00824676">
        <w:trPr>
          <w:trHeight w:val="680"/>
          <w:jc w:val="center"/>
        </w:trPr>
        <w:tc>
          <w:tcPr>
            <w:tcW w:w="2494" w:type="dxa"/>
            <w:shd w:val="solid" w:color="F2F2F2" w:themeColor="background1" w:themeShade="F2" w:fill="F2F2F2" w:themeFill="background1" w:themeFillShade="F2"/>
            <w:vAlign w:val="center"/>
          </w:tcPr>
          <w:p w14:paraId="7B5A2053" w14:textId="77777777" w:rsidR="005D5B9E" w:rsidRPr="00F634CD" w:rsidRDefault="005D5B9E" w:rsidP="00824676">
            <w:pPr>
              <w:tabs>
                <w:tab w:val="center" w:pos="4536"/>
              </w:tabs>
              <w:jc w:val="left"/>
              <w:rPr>
                <w:rFonts w:ascii="Times New Roman" w:hAnsi="Times New Roman" w:cs="Times New Roman"/>
                <w:kern w:val="24"/>
                <w:sz w:val="24"/>
                <w:szCs w:val="24"/>
              </w:rPr>
            </w:pPr>
            <w:r w:rsidRPr="00F634CD">
              <w:rPr>
                <w:rFonts w:ascii="Times New Roman" w:hAnsi="Times New Roman" w:cs="Times New Roman"/>
                <w:kern w:val="24"/>
                <w:sz w:val="24"/>
                <w:szCs w:val="24"/>
              </w:rPr>
              <w:t>Risque de change</w:t>
            </w:r>
          </w:p>
        </w:tc>
        <w:tc>
          <w:tcPr>
            <w:tcW w:w="1331" w:type="dxa"/>
            <w:shd w:val="solid" w:color="F2F2F2" w:themeColor="background1" w:themeShade="F2" w:fill="F2F2F2" w:themeFill="background1" w:themeFillShade="F2"/>
            <w:vAlign w:val="center"/>
          </w:tcPr>
          <w:p w14:paraId="4B970484" w14:textId="4841A2DF"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16256" behindDoc="0" locked="0" layoutInCell="1" allowOverlap="1" wp14:anchorId="45582BB8" wp14:editId="1FB6F0D3">
                      <wp:simplePos x="0" y="0"/>
                      <wp:positionH relativeFrom="column">
                        <wp:posOffset>250825</wp:posOffset>
                      </wp:positionH>
                      <wp:positionV relativeFrom="paragraph">
                        <wp:posOffset>91440</wp:posOffset>
                      </wp:positionV>
                      <wp:extent cx="212090" cy="159385"/>
                      <wp:effectExtent l="0" t="0" r="0" b="0"/>
                      <wp:wrapNone/>
                      <wp:docPr id="224" name="Organigramme : Processus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26BBE1" id="Organigramme : Processus 224" o:spid="_x0000_s1026" type="#_x0000_t109" style="position:absolute;margin-left:19.75pt;margin-top:7.2pt;width:16.7pt;height:1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7B95193C" w14:textId="3CC4DE91"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17280" behindDoc="0" locked="0" layoutInCell="1" allowOverlap="1" wp14:anchorId="6291F893" wp14:editId="2CE7340F">
                      <wp:simplePos x="0" y="0"/>
                      <wp:positionH relativeFrom="column">
                        <wp:posOffset>196215</wp:posOffset>
                      </wp:positionH>
                      <wp:positionV relativeFrom="paragraph">
                        <wp:posOffset>90805</wp:posOffset>
                      </wp:positionV>
                      <wp:extent cx="212090" cy="159385"/>
                      <wp:effectExtent l="0" t="0" r="0" b="0"/>
                      <wp:wrapNone/>
                      <wp:docPr id="225" name="Organigramme : Processus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4E6FA7" id="Organigramme : Processus 225" o:spid="_x0000_s1026" type="#_x0000_t109" style="position:absolute;margin-left:15.45pt;margin-top:7.15pt;width:16.7pt;height:1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21F61879" w14:textId="610AF281"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18304" behindDoc="0" locked="0" layoutInCell="1" allowOverlap="1" wp14:anchorId="14FA0B3A" wp14:editId="635578DF">
                      <wp:simplePos x="0" y="0"/>
                      <wp:positionH relativeFrom="column">
                        <wp:posOffset>214630</wp:posOffset>
                      </wp:positionH>
                      <wp:positionV relativeFrom="paragraph">
                        <wp:posOffset>90805</wp:posOffset>
                      </wp:positionV>
                      <wp:extent cx="212090" cy="159385"/>
                      <wp:effectExtent l="0" t="0" r="0" b="0"/>
                      <wp:wrapNone/>
                      <wp:docPr id="226" name="Organigramme : Processus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967BFB" id="Organigramme : Processus 226" o:spid="_x0000_s1026" type="#_x0000_t109" style="position:absolute;margin-left:16.9pt;margin-top:7.15pt;width:16.7pt;height:1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" fillcolor="white [3212]" strokecolor="black [3213]" strokeweight="1.25pt">
                      <v:path arrowok="t"/>
                    </v:shape>
                  </w:pict>
                </mc:Fallback>
              </mc:AlternateContent>
            </w:r>
          </w:p>
        </w:tc>
        <w:tc>
          <w:tcPr>
            <w:tcW w:w="1396" w:type="dxa"/>
            <w:shd w:val="solid" w:color="F2F2F2" w:themeColor="background1" w:themeShade="F2" w:fill="F2F2F2" w:themeFill="background1" w:themeFillShade="F2"/>
            <w:vAlign w:val="center"/>
          </w:tcPr>
          <w:p w14:paraId="79158F3A" w14:textId="42051096"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19328" behindDoc="0" locked="0" layoutInCell="1" allowOverlap="1" wp14:anchorId="578D7228" wp14:editId="2A27556D">
                      <wp:simplePos x="0" y="0"/>
                      <wp:positionH relativeFrom="column">
                        <wp:posOffset>266700</wp:posOffset>
                      </wp:positionH>
                      <wp:positionV relativeFrom="paragraph">
                        <wp:posOffset>80645</wp:posOffset>
                      </wp:positionV>
                      <wp:extent cx="212090" cy="159385"/>
                      <wp:effectExtent l="0" t="0" r="0" b="0"/>
                      <wp:wrapNone/>
                      <wp:docPr id="227" name="Organigramme : Processus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61767B" id="Organigramme : Processus 227" o:spid="_x0000_s1026" type="#_x0000_t109" style="position:absolute;margin-left:21pt;margin-top:6.35pt;width:16.7pt;height:1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" fillcolor="white [3212]" strokecolor="black [3213]" strokeweight="1.25pt">
                      <v:path arrowok="t"/>
                    </v:shape>
                  </w:pict>
                </mc:Fallback>
              </mc:AlternateContent>
            </w:r>
          </w:p>
        </w:tc>
        <w:tc>
          <w:tcPr>
            <w:tcW w:w="1263" w:type="dxa"/>
            <w:shd w:val="solid" w:color="F2F2F2" w:themeColor="background1" w:themeShade="F2" w:fill="F2F2F2" w:themeFill="background1" w:themeFillShade="F2"/>
            <w:vAlign w:val="center"/>
          </w:tcPr>
          <w:p w14:paraId="4B24A9E4" w14:textId="7B045B5B"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20352" behindDoc="0" locked="0" layoutInCell="1" allowOverlap="1" wp14:anchorId="68614A4F" wp14:editId="777C6A3B">
                      <wp:simplePos x="0" y="0"/>
                      <wp:positionH relativeFrom="column">
                        <wp:posOffset>215900</wp:posOffset>
                      </wp:positionH>
                      <wp:positionV relativeFrom="paragraph">
                        <wp:posOffset>89535</wp:posOffset>
                      </wp:positionV>
                      <wp:extent cx="212090" cy="159385"/>
                      <wp:effectExtent l="0" t="0" r="0" b="0"/>
                      <wp:wrapNone/>
                      <wp:docPr id="228" name="Organigramme : Processus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36C6E6" id="Organigramme : Processus 228" o:spid="_x0000_s1026" type="#_x0000_t109" style="position:absolute;margin-left:17pt;margin-top:7.05pt;width:16.7pt;height:1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" fillcolor="white [3212]" strokecolor="black [3213]" strokeweight="1.25pt">
                      <v:path arrowok="t"/>
                    </v:shape>
                  </w:pict>
                </mc:Fallback>
              </mc:AlternateContent>
            </w:r>
          </w:p>
        </w:tc>
      </w:tr>
      <w:tr w:rsidR="005D5B9E" w:rsidRPr="00F634CD" w14:paraId="58A43B05" w14:textId="77777777" w:rsidTr="0007636F">
        <w:trPr>
          <w:trHeight w:val="1020"/>
          <w:jc w:val="center"/>
        </w:trPr>
        <w:tc>
          <w:tcPr>
            <w:tcW w:w="2494" w:type="dxa"/>
            <w:shd w:val="solid" w:color="F2F2F2" w:themeColor="background1" w:themeShade="F2" w:fill="F2F2F2" w:themeFill="background1" w:themeFillShade="F2"/>
            <w:vAlign w:val="center"/>
          </w:tcPr>
          <w:p w14:paraId="1FC1FB61" w14:textId="77777777" w:rsidR="005D5B9E" w:rsidRPr="00F634CD" w:rsidRDefault="005D5B9E" w:rsidP="00824676">
            <w:pPr>
              <w:tabs>
                <w:tab w:val="center" w:pos="4536"/>
              </w:tabs>
              <w:jc w:val="left"/>
              <w:rPr>
                <w:rFonts w:ascii="Times New Roman" w:hAnsi="Times New Roman" w:cs="Times New Roman"/>
                <w:kern w:val="24"/>
                <w:sz w:val="24"/>
                <w:szCs w:val="24"/>
              </w:rPr>
            </w:pPr>
            <w:r w:rsidRPr="00F634CD">
              <w:rPr>
                <w:rFonts w:ascii="Times New Roman" w:hAnsi="Times New Roman" w:cs="Times New Roman"/>
                <w:kern w:val="24"/>
                <w:sz w:val="24"/>
                <w:szCs w:val="24"/>
              </w:rPr>
              <w:t>Risque de variation des prix de marchandises et des titres négociables</w:t>
            </w:r>
          </w:p>
        </w:tc>
        <w:tc>
          <w:tcPr>
            <w:tcW w:w="1331" w:type="dxa"/>
            <w:shd w:val="solid" w:color="F2F2F2" w:themeColor="background1" w:themeShade="F2" w:fill="F2F2F2" w:themeFill="background1" w:themeFillShade="F2"/>
          </w:tcPr>
          <w:p w14:paraId="6FD573F4" w14:textId="6579D652"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21376" behindDoc="0" locked="0" layoutInCell="1" allowOverlap="1" wp14:anchorId="776CBA79" wp14:editId="2CCD927F">
                      <wp:simplePos x="0" y="0"/>
                      <wp:positionH relativeFrom="column">
                        <wp:posOffset>231775</wp:posOffset>
                      </wp:positionH>
                      <wp:positionV relativeFrom="paragraph">
                        <wp:posOffset>192405</wp:posOffset>
                      </wp:positionV>
                      <wp:extent cx="212090" cy="159385"/>
                      <wp:effectExtent l="0" t="0" r="0" b="0"/>
                      <wp:wrapNone/>
                      <wp:docPr id="229" name="Organigramme : Processus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6A502" id="Organigramme : Processus 229" o:spid="_x0000_s1026" type="#_x0000_t109" style="position:absolute;margin-left:18.25pt;margin-top:15.15pt;width:16.7pt;height:12.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tcPr>
          <w:p w14:paraId="6ACE4EED" w14:textId="16239DC0"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22400" behindDoc="0" locked="0" layoutInCell="1" allowOverlap="1" wp14:anchorId="213AA4E0" wp14:editId="713B972D">
                      <wp:simplePos x="0" y="0"/>
                      <wp:positionH relativeFrom="column">
                        <wp:posOffset>196215</wp:posOffset>
                      </wp:positionH>
                      <wp:positionV relativeFrom="paragraph">
                        <wp:posOffset>201295</wp:posOffset>
                      </wp:positionV>
                      <wp:extent cx="212090" cy="159385"/>
                      <wp:effectExtent l="0" t="0" r="0" b="0"/>
                      <wp:wrapNone/>
                      <wp:docPr id="230" name="Organigramme : Processus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8B4C39" id="Organigramme : Processus 230" o:spid="_x0000_s1026" type="#_x0000_t109" style="position:absolute;margin-left:15.45pt;margin-top:15.85pt;width:16.7pt;height:1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tcPr>
          <w:p w14:paraId="07B6BA89" w14:textId="239EDA43"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23424" behindDoc="0" locked="0" layoutInCell="1" allowOverlap="1" wp14:anchorId="61D3F506" wp14:editId="7F7AC32F">
                      <wp:simplePos x="0" y="0"/>
                      <wp:positionH relativeFrom="column">
                        <wp:posOffset>205105</wp:posOffset>
                      </wp:positionH>
                      <wp:positionV relativeFrom="paragraph">
                        <wp:posOffset>201295</wp:posOffset>
                      </wp:positionV>
                      <wp:extent cx="212090" cy="159385"/>
                      <wp:effectExtent l="0" t="0" r="0" b="0"/>
                      <wp:wrapNone/>
                      <wp:docPr id="231" name="Organigramme : Processus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0EAE3C" id="Organigramme : Processus 231" o:spid="_x0000_s1026" type="#_x0000_t109" style="position:absolute;margin-left:16.15pt;margin-top:15.85pt;width:16.7pt;height:12.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" fillcolor="white [3212]" strokecolor="black [3213]" strokeweight="1.25pt">
                      <v:path arrowok="t"/>
                    </v:shape>
                  </w:pict>
                </mc:Fallback>
              </mc:AlternateContent>
            </w:r>
          </w:p>
        </w:tc>
        <w:tc>
          <w:tcPr>
            <w:tcW w:w="1396" w:type="dxa"/>
            <w:shd w:val="solid" w:color="F2F2F2" w:themeColor="background1" w:themeShade="F2" w:fill="F2F2F2" w:themeFill="background1" w:themeFillShade="F2"/>
          </w:tcPr>
          <w:p w14:paraId="081EC48F" w14:textId="4AD65A4B"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24448" behindDoc="0" locked="0" layoutInCell="1" allowOverlap="1" wp14:anchorId="1B6BC43E" wp14:editId="62AE1130">
                      <wp:simplePos x="0" y="0"/>
                      <wp:positionH relativeFrom="column">
                        <wp:posOffset>247650</wp:posOffset>
                      </wp:positionH>
                      <wp:positionV relativeFrom="paragraph">
                        <wp:posOffset>191135</wp:posOffset>
                      </wp:positionV>
                      <wp:extent cx="212090" cy="159385"/>
                      <wp:effectExtent l="0" t="0" r="0" b="0"/>
                      <wp:wrapNone/>
                      <wp:docPr id="232" name="Organigramme : Processus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1A9737" id="Organigramme : Processus 232" o:spid="_x0000_s1026" type="#_x0000_t109" style="position:absolute;margin-left:19.5pt;margin-top:15.05pt;width:16.7pt;height:1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" fillcolor="white [3212]" strokecolor="black [3213]" strokeweight="1.25pt">
                      <v:path arrowok="t"/>
                    </v:shape>
                  </w:pict>
                </mc:Fallback>
              </mc:AlternateContent>
            </w:r>
          </w:p>
        </w:tc>
        <w:tc>
          <w:tcPr>
            <w:tcW w:w="1263" w:type="dxa"/>
            <w:shd w:val="solid" w:color="F2F2F2" w:themeColor="background1" w:themeShade="F2" w:fill="F2F2F2" w:themeFill="background1" w:themeFillShade="F2"/>
          </w:tcPr>
          <w:p w14:paraId="1F674A90" w14:textId="1A8EDD4C"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25472" behindDoc="0" locked="0" layoutInCell="1" allowOverlap="1" wp14:anchorId="105448EE" wp14:editId="4E6BD9C9">
                      <wp:simplePos x="0" y="0"/>
                      <wp:positionH relativeFrom="column">
                        <wp:posOffset>215900</wp:posOffset>
                      </wp:positionH>
                      <wp:positionV relativeFrom="paragraph">
                        <wp:posOffset>200025</wp:posOffset>
                      </wp:positionV>
                      <wp:extent cx="212090" cy="159385"/>
                      <wp:effectExtent l="0" t="0" r="0" b="0"/>
                      <wp:wrapNone/>
                      <wp:docPr id="233" name="Organigramme : Processus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DE5CA5" id="Organigramme : Processus 233" o:spid="_x0000_s1026" type="#_x0000_t109" style="position:absolute;margin-left:17pt;margin-top:15.75pt;width:16.7pt;height:1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" fillcolor="white [3212]" strokecolor="black [3213]" strokeweight="1.25pt">
                      <v:path arrowok="t"/>
                    </v:shape>
                  </w:pict>
                </mc:Fallback>
              </mc:AlternateContent>
            </w:r>
          </w:p>
        </w:tc>
      </w:tr>
      <w:tr w:rsidR="005D5B9E" w:rsidRPr="00F634CD" w14:paraId="77624D49" w14:textId="77777777" w:rsidTr="008F2E28">
        <w:trPr>
          <w:trHeight w:val="567"/>
          <w:jc w:val="center"/>
        </w:trPr>
        <w:tc>
          <w:tcPr>
            <w:tcW w:w="2494" w:type="dxa"/>
            <w:shd w:val="solid" w:color="F2F2F2" w:themeColor="background1" w:themeShade="F2" w:fill="F2F2F2" w:themeFill="background1" w:themeFillShade="F2"/>
            <w:vAlign w:val="center"/>
          </w:tcPr>
          <w:p w14:paraId="2F791E50" w14:textId="77777777" w:rsidR="005D5B9E" w:rsidRPr="00F634CD" w:rsidRDefault="005D5B9E" w:rsidP="00824676">
            <w:pPr>
              <w:tabs>
                <w:tab w:val="center" w:pos="4536"/>
              </w:tabs>
              <w:jc w:val="left"/>
              <w:rPr>
                <w:rFonts w:ascii="Times New Roman" w:hAnsi="Times New Roman" w:cs="Times New Roman"/>
                <w:kern w:val="24"/>
                <w:sz w:val="24"/>
                <w:szCs w:val="24"/>
              </w:rPr>
            </w:pPr>
            <w:r w:rsidRPr="00F634CD">
              <w:rPr>
                <w:rFonts w:ascii="Times New Roman" w:hAnsi="Times New Roman" w:cs="Times New Roman"/>
                <w:kern w:val="24"/>
                <w:sz w:val="24"/>
                <w:szCs w:val="24"/>
              </w:rPr>
              <w:t>Risque de liquidité</w:t>
            </w:r>
          </w:p>
        </w:tc>
        <w:tc>
          <w:tcPr>
            <w:tcW w:w="1331" w:type="dxa"/>
            <w:shd w:val="solid" w:color="F2F2F2" w:themeColor="background1" w:themeShade="F2" w:fill="F2F2F2" w:themeFill="background1" w:themeFillShade="F2"/>
            <w:vAlign w:val="center"/>
          </w:tcPr>
          <w:p w14:paraId="548CA154" w14:textId="797E1F51"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87584" behindDoc="0" locked="0" layoutInCell="1" allowOverlap="1" wp14:anchorId="0C7E941A" wp14:editId="5FC090C1">
                      <wp:simplePos x="0" y="0"/>
                      <wp:positionH relativeFrom="column">
                        <wp:posOffset>240030</wp:posOffset>
                      </wp:positionH>
                      <wp:positionV relativeFrom="paragraph">
                        <wp:posOffset>92075</wp:posOffset>
                      </wp:positionV>
                      <wp:extent cx="212090" cy="159385"/>
                      <wp:effectExtent l="0" t="0" r="0" b="0"/>
                      <wp:wrapNone/>
                      <wp:docPr id="1585" name="Organigramme : Processu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37D50" id="Organigramme : Processus 22" o:spid="_x0000_s1026" type="#_x0000_t109" style="position:absolute;margin-left:18.9pt;margin-top:7.25pt;width:16.7pt;height:12.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3215EB2F" w14:textId="793C23E7"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92704" behindDoc="0" locked="0" layoutInCell="1" allowOverlap="1" wp14:anchorId="6F04616A" wp14:editId="3B16EAD8">
                      <wp:simplePos x="0" y="0"/>
                      <wp:positionH relativeFrom="column">
                        <wp:posOffset>198120</wp:posOffset>
                      </wp:positionH>
                      <wp:positionV relativeFrom="paragraph">
                        <wp:posOffset>80645</wp:posOffset>
                      </wp:positionV>
                      <wp:extent cx="212090" cy="159385"/>
                      <wp:effectExtent l="0" t="0" r="0" b="0"/>
                      <wp:wrapNone/>
                      <wp:docPr id="1584" name="Organigramme : Processu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5D50F3" id="Organigramme : Processus 27" o:spid="_x0000_s1026" type="#_x0000_t109" style="position:absolute;margin-left:15.6pt;margin-top:6.35pt;width:16.7pt;height:12.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0DEC317C" w14:textId="5ADCDB01"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96800" behindDoc="0" locked="0" layoutInCell="1" allowOverlap="1" wp14:anchorId="161A13A6" wp14:editId="1885AA24">
                      <wp:simplePos x="0" y="0"/>
                      <wp:positionH relativeFrom="column">
                        <wp:posOffset>225425</wp:posOffset>
                      </wp:positionH>
                      <wp:positionV relativeFrom="paragraph">
                        <wp:posOffset>91440</wp:posOffset>
                      </wp:positionV>
                      <wp:extent cx="212090" cy="159385"/>
                      <wp:effectExtent l="0" t="0" r="0" b="0"/>
                      <wp:wrapNone/>
                      <wp:docPr id="1583" name="Organigramme : Processu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43E5FB" id="Organigramme : Processus 31" o:spid="_x0000_s1026" type="#_x0000_t109" style="position:absolute;margin-left:17.75pt;margin-top:7.2pt;width:16.7pt;height:12.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" fillcolor="white [3212]" strokecolor="black [3213]" strokeweight="1.25pt">
                      <v:path arrowok="t"/>
                    </v:shape>
                  </w:pict>
                </mc:Fallback>
              </mc:AlternateContent>
            </w:r>
          </w:p>
        </w:tc>
        <w:tc>
          <w:tcPr>
            <w:tcW w:w="1396" w:type="dxa"/>
            <w:shd w:val="solid" w:color="F2F2F2" w:themeColor="background1" w:themeShade="F2" w:fill="F2F2F2" w:themeFill="background1" w:themeFillShade="F2"/>
            <w:vAlign w:val="center"/>
          </w:tcPr>
          <w:p w14:paraId="3933197F" w14:textId="1591AD3A"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02944" behindDoc="0" locked="0" layoutInCell="1" allowOverlap="1" wp14:anchorId="01708FC4" wp14:editId="491A6B42">
                      <wp:simplePos x="0" y="0"/>
                      <wp:positionH relativeFrom="column">
                        <wp:posOffset>267970</wp:posOffset>
                      </wp:positionH>
                      <wp:positionV relativeFrom="paragraph">
                        <wp:posOffset>92075</wp:posOffset>
                      </wp:positionV>
                      <wp:extent cx="212090" cy="159385"/>
                      <wp:effectExtent l="0" t="0" r="0" b="0"/>
                      <wp:wrapNone/>
                      <wp:docPr id="37" name="Organigramme : Processu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AB3297" id="Organigramme : Processus 37" o:spid="_x0000_s1026" type="#_x0000_t109" style="position:absolute;margin-left:21.1pt;margin-top:7.25pt;width:16.7pt;height:1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" fillcolor="white [3212]" strokecolor="black [3213]" strokeweight="1.25pt">
                      <v:path arrowok="t"/>
                    </v:shape>
                  </w:pict>
                </mc:Fallback>
              </mc:AlternateContent>
            </w:r>
          </w:p>
        </w:tc>
        <w:tc>
          <w:tcPr>
            <w:tcW w:w="1263" w:type="dxa"/>
            <w:shd w:val="solid" w:color="F2F2F2" w:themeColor="background1" w:themeShade="F2" w:fill="F2F2F2" w:themeFill="background1" w:themeFillShade="F2"/>
            <w:vAlign w:val="center"/>
          </w:tcPr>
          <w:p w14:paraId="7865E07E" w14:textId="79446380"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11136" behindDoc="0" locked="0" layoutInCell="1" allowOverlap="1" wp14:anchorId="5647F81E" wp14:editId="78DE0A77">
                      <wp:simplePos x="0" y="0"/>
                      <wp:positionH relativeFrom="column">
                        <wp:posOffset>215900</wp:posOffset>
                      </wp:positionH>
                      <wp:positionV relativeFrom="paragraph">
                        <wp:posOffset>83820</wp:posOffset>
                      </wp:positionV>
                      <wp:extent cx="212090" cy="159385"/>
                      <wp:effectExtent l="0" t="0" r="0" b="0"/>
                      <wp:wrapNone/>
                      <wp:docPr id="213" name="Organigramme : Processus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CF2557" id="Organigramme : Processus 213" o:spid="_x0000_s1026" type="#_x0000_t109" style="position:absolute;margin-left:17pt;margin-top:6.6pt;width:16.7pt;height:12.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" fillcolor="white [3212]" strokecolor="black [3213]" strokeweight="1.25pt">
                      <v:path arrowok="t"/>
                    </v:shape>
                  </w:pict>
                </mc:Fallback>
              </mc:AlternateContent>
            </w:r>
          </w:p>
        </w:tc>
      </w:tr>
      <w:tr w:rsidR="005D5B9E" w:rsidRPr="00F634CD" w14:paraId="032A7F86" w14:textId="77777777" w:rsidTr="008F2E28">
        <w:trPr>
          <w:trHeight w:val="567"/>
          <w:jc w:val="center"/>
        </w:trPr>
        <w:tc>
          <w:tcPr>
            <w:tcW w:w="2494" w:type="dxa"/>
            <w:shd w:val="solid" w:color="F2F2F2" w:themeColor="background1" w:themeShade="F2" w:fill="F2F2F2" w:themeFill="background1" w:themeFillShade="F2"/>
            <w:vAlign w:val="center"/>
          </w:tcPr>
          <w:p w14:paraId="113BF21E" w14:textId="77777777" w:rsidR="005D5B9E" w:rsidRPr="00F634CD" w:rsidRDefault="005D5B9E" w:rsidP="00824676">
            <w:pPr>
              <w:tabs>
                <w:tab w:val="center" w:pos="4536"/>
              </w:tabs>
              <w:jc w:val="left"/>
              <w:rPr>
                <w:rFonts w:ascii="Times New Roman" w:hAnsi="Times New Roman" w:cs="Times New Roman"/>
                <w:kern w:val="24"/>
                <w:sz w:val="24"/>
                <w:szCs w:val="24"/>
              </w:rPr>
            </w:pPr>
            <w:r w:rsidRPr="00F634CD">
              <w:rPr>
                <w:rFonts w:ascii="Times New Roman" w:hAnsi="Times New Roman" w:cs="Times New Roman"/>
                <w:kern w:val="24"/>
                <w:sz w:val="24"/>
                <w:szCs w:val="24"/>
              </w:rPr>
              <w:t>Risque opérationnel</w:t>
            </w:r>
          </w:p>
        </w:tc>
        <w:tc>
          <w:tcPr>
            <w:tcW w:w="1331" w:type="dxa"/>
            <w:shd w:val="solid" w:color="F2F2F2" w:themeColor="background1" w:themeShade="F2" w:fill="F2F2F2" w:themeFill="background1" w:themeFillShade="F2"/>
            <w:vAlign w:val="center"/>
          </w:tcPr>
          <w:p w14:paraId="43C42178" w14:textId="1208B1E7"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88608" behindDoc="0" locked="0" layoutInCell="1" allowOverlap="1" wp14:anchorId="22066D4B" wp14:editId="07A64DF0">
                      <wp:simplePos x="0" y="0"/>
                      <wp:positionH relativeFrom="column">
                        <wp:posOffset>261620</wp:posOffset>
                      </wp:positionH>
                      <wp:positionV relativeFrom="paragraph">
                        <wp:posOffset>83185</wp:posOffset>
                      </wp:positionV>
                      <wp:extent cx="212090" cy="159385"/>
                      <wp:effectExtent l="0" t="0" r="0" b="0"/>
                      <wp:wrapNone/>
                      <wp:docPr id="1582" name="Organigramme : Processu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6EAE23" id="Organigramme : Processus 23" o:spid="_x0000_s1026" type="#_x0000_t109" style="position:absolute;margin-left:20.6pt;margin-top:6.55pt;width:16.7pt;height:12.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5644D7C0" w14:textId="6265C473"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93728" behindDoc="0" locked="0" layoutInCell="1" allowOverlap="1" wp14:anchorId="6B9BA5BE" wp14:editId="27577D11">
                      <wp:simplePos x="0" y="0"/>
                      <wp:positionH relativeFrom="column">
                        <wp:posOffset>208915</wp:posOffset>
                      </wp:positionH>
                      <wp:positionV relativeFrom="paragraph">
                        <wp:posOffset>88265</wp:posOffset>
                      </wp:positionV>
                      <wp:extent cx="212090" cy="159385"/>
                      <wp:effectExtent l="0" t="0" r="0" b="0"/>
                      <wp:wrapNone/>
                      <wp:docPr id="1581" name="Organigramme : Processu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181121" id="Organigramme : Processus 28" o:spid="_x0000_s1026" type="#_x0000_t109" style="position:absolute;margin-left:16.45pt;margin-top:6.95pt;width:16.7pt;height:12.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2A15D4D1" w14:textId="6466E824"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97824" behindDoc="0" locked="0" layoutInCell="1" allowOverlap="1" wp14:anchorId="4D325F83" wp14:editId="00FC26BE">
                      <wp:simplePos x="0" y="0"/>
                      <wp:positionH relativeFrom="column">
                        <wp:posOffset>245110</wp:posOffset>
                      </wp:positionH>
                      <wp:positionV relativeFrom="paragraph">
                        <wp:posOffset>99060</wp:posOffset>
                      </wp:positionV>
                      <wp:extent cx="212090" cy="159385"/>
                      <wp:effectExtent l="0" t="0" r="0" b="0"/>
                      <wp:wrapNone/>
                      <wp:docPr id="32" name="Organigramme : Processu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BBF29F" id="Organigramme : Processus 32" o:spid="_x0000_s1026" type="#_x0000_t109" style="position:absolute;margin-left:19.3pt;margin-top:7.8pt;width:16.7pt;height:12.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" fillcolor="white [3212]" strokecolor="black [3213]" strokeweight="1.25pt">
                      <v:path arrowok="t"/>
                    </v:shape>
                  </w:pict>
                </mc:Fallback>
              </mc:AlternateContent>
            </w:r>
          </w:p>
        </w:tc>
        <w:tc>
          <w:tcPr>
            <w:tcW w:w="1396" w:type="dxa"/>
            <w:shd w:val="solid" w:color="F2F2F2" w:themeColor="background1" w:themeShade="F2" w:fill="F2F2F2" w:themeFill="background1" w:themeFillShade="F2"/>
            <w:vAlign w:val="center"/>
          </w:tcPr>
          <w:p w14:paraId="22921744" w14:textId="439EDEA1"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03968" behindDoc="0" locked="0" layoutInCell="1" allowOverlap="1" wp14:anchorId="2086F73D" wp14:editId="39C131C3">
                      <wp:simplePos x="0" y="0"/>
                      <wp:positionH relativeFrom="column">
                        <wp:posOffset>269240</wp:posOffset>
                      </wp:positionH>
                      <wp:positionV relativeFrom="paragraph">
                        <wp:posOffset>80645</wp:posOffset>
                      </wp:positionV>
                      <wp:extent cx="212090" cy="159385"/>
                      <wp:effectExtent l="0" t="0" r="0" b="0"/>
                      <wp:wrapNone/>
                      <wp:docPr id="38" name="Organigramme : Processu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66B7C6" id="Organigramme : Processus 38" o:spid="_x0000_s1026" type="#_x0000_t109" style="position:absolute;margin-left:21.2pt;margin-top:6.35pt;width:16.7pt;height:12.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" fillcolor="white [3212]" strokecolor="black [3213]" strokeweight="1.25pt">
                      <v:path arrowok="t"/>
                    </v:shape>
                  </w:pict>
                </mc:Fallback>
              </mc:AlternateContent>
            </w:r>
          </w:p>
        </w:tc>
        <w:tc>
          <w:tcPr>
            <w:tcW w:w="1263" w:type="dxa"/>
            <w:shd w:val="solid" w:color="F2F2F2" w:themeColor="background1" w:themeShade="F2" w:fill="F2F2F2" w:themeFill="background1" w:themeFillShade="F2"/>
            <w:vAlign w:val="center"/>
          </w:tcPr>
          <w:p w14:paraId="59934E2A" w14:textId="04B621AF"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12160" behindDoc="0" locked="0" layoutInCell="1" allowOverlap="1" wp14:anchorId="74C7A00C" wp14:editId="7D857A6A">
                      <wp:simplePos x="0" y="0"/>
                      <wp:positionH relativeFrom="column">
                        <wp:posOffset>215900</wp:posOffset>
                      </wp:positionH>
                      <wp:positionV relativeFrom="paragraph">
                        <wp:posOffset>89535</wp:posOffset>
                      </wp:positionV>
                      <wp:extent cx="212090" cy="159385"/>
                      <wp:effectExtent l="0" t="0" r="0" b="0"/>
                      <wp:wrapNone/>
                      <wp:docPr id="214" name="Organigramme : Processus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EF2DF2" id="Organigramme : Processus 214" o:spid="_x0000_s1026" type="#_x0000_t109" style="position:absolute;margin-left:17pt;margin-top:7.05pt;width:16.7pt;height:12.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" fillcolor="white [3212]" strokecolor="black [3213]" strokeweight="1.25pt">
                      <v:path arrowok="t"/>
                    </v:shape>
                  </w:pict>
                </mc:Fallback>
              </mc:AlternateContent>
            </w:r>
          </w:p>
        </w:tc>
      </w:tr>
      <w:tr w:rsidR="005D5B9E" w:rsidRPr="00F634CD" w14:paraId="7A4728A5" w14:textId="77777777" w:rsidTr="00824676">
        <w:trPr>
          <w:trHeight w:val="680"/>
          <w:jc w:val="center"/>
        </w:trPr>
        <w:tc>
          <w:tcPr>
            <w:tcW w:w="2494" w:type="dxa"/>
            <w:shd w:val="solid" w:color="F2F2F2" w:themeColor="background1" w:themeShade="F2" w:fill="F2F2F2" w:themeFill="background1" w:themeFillShade="F2"/>
            <w:vAlign w:val="center"/>
          </w:tcPr>
          <w:p w14:paraId="106AD820" w14:textId="77777777" w:rsidR="005D5B9E" w:rsidRPr="00F634CD" w:rsidRDefault="005D5B9E" w:rsidP="00824676">
            <w:pPr>
              <w:tabs>
                <w:tab w:val="center" w:pos="4536"/>
              </w:tabs>
              <w:jc w:val="left"/>
              <w:rPr>
                <w:rFonts w:ascii="Times New Roman" w:hAnsi="Times New Roman" w:cs="Times New Roman"/>
                <w:kern w:val="24"/>
                <w:sz w:val="24"/>
                <w:szCs w:val="24"/>
              </w:rPr>
            </w:pPr>
            <w:r w:rsidRPr="00F634CD">
              <w:rPr>
                <w:rFonts w:ascii="Times New Roman" w:hAnsi="Times New Roman" w:cs="Times New Roman"/>
                <w:kern w:val="24"/>
                <w:sz w:val="24"/>
                <w:szCs w:val="24"/>
              </w:rPr>
              <w:t>Risque commercial déplacé</w:t>
            </w:r>
          </w:p>
        </w:tc>
        <w:tc>
          <w:tcPr>
            <w:tcW w:w="1331" w:type="dxa"/>
            <w:shd w:val="solid" w:color="F2F2F2" w:themeColor="background1" w:themeShade="F2" w:fill="F2F2F2" w:themeFill="background1" w:themeFillShade="F2"/>
            <w:vAlign w:val="center"/>
          </w:tcPr>
          <w:p w14:paraId="6DF2100D" w14:textId="7543221D"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89632" behindDoc="0" locked="0" layoutInCell="1" allowOverlap="1" wp14:anchorId="2953D1BD" wp14:editId="64FA66B5">
                      <wp:simplePos x="0" y="0"/>
                      <wp:positionH relativeFrom="column">
                        <wp:posOffset>261620</wp:posOffset>
                      </wp:positionH>
                      <wp:positionV relativeFrom="paragraph">
                        <wp:posOffset>122555</wp:posOffset>
                      </wp:positionV>
                      <wp:extent cx="212090" cy="159385"/>
                      <wp:effectExtent l="0" t="0" r="0" b="0"/>
                      <wp:wrapNone/>
                      <wp:docPr id="1580" name="Organigramme : Processu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4CC86E" id="Organigramme : Processus 24" o:spid="_x0000_s1026" type="#_x0000_t109" style="position:absolute;margin-left:20.6pt;margin-top:9.65pt;width:16.7pt;height:12.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7A5EBE0D" w14:textId="3D331D6F"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94752" behindDoc="0" locked="0" layoutInCell="1" allowOverlap="1" wp14:anchorId="0FA2105C" wp14:editId="6ECCADC4">
                      <wp:simplePos x="0" y="0"/>
                      <wp:positionH relativeFrom="column">
                        <wp:posOffset>217805</wp:posOffset>
                      </wp:positionH>
                      <wp:positionV relativeFrom="paragraph">
                        <wp:posOffset>123825</wp:posOffset>
                      </wp:positionV>
                      <wp:extent cx="212090" cy="159385"/>
                      <wp:effectExtent l="0" t="0" r="0" b="0"/>
                      <wp:wrapNone/>
                      <wp:docPr id="1579" name="Organigramme : Processu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18D847" id="Organigramme : Processus 29" o:spid="_x0000_s1026" type="#_x0000_t109" style="position:absolute;margin-left:17.15pt;margin-top:9.75pt;width:16.7pt;height:12.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1FADF854" w14:textId="1E7C4232"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98848" behindDoc="0" locked="0" layoutInCell="1" allowOverlap="1" wp14:anchorId="575A64F3" wp14:editId="778E05AA">
                      <wp:simplePos x="0" y="0"/>
                      <wp:positionH relativeFrom="column">
                        <wp:posOffset>224790</wp:posOffset>
                      </wp:positionH>
                      <wp:positionV relativeFrom="paragraph">
                        <wp:posOffset>132080</wp:posOffset>
                      </wp:positionV>
                      <wp:extent cx="212090" cy="159385"/>
                      <wp:effectExtent l="0" t="0" r="0" b="0"/>
                      <wp:wrapNone/>
                      <wp:docPr id="33" name="Organigramme : Processu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D13995" id="Organigramme : Processus 33" o:spid="_x0000_s1026" type="#_x0000_t109" style="position:absolute;margin-left:17.7pt;margin-top:10.4pt;width:16.7pt;height:1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" fillcolor="white [3212]" strokecolor="black [3213]" strokeweight="1.25pt">
                      <v:path arrowok="t"/>
                    </v:shape>
                  </w:pict>
                </mc:Fallback>
              </mc:AlternateContent>
            </w:r>
          </w:p>
        </w:tc>
        <w:tc>
          <w:tcPr>
            <w:tcW w:w="1396" w:type="dxa"/>
            <w:shd w:val="solid" w:color="F2F2F2" w:themeColor="background1" w:themeShade="F2" w:fill="F2F2F2" w:themeFill="background1" w:themeFillShade="F2"/>
            <w:vAlign w:val="center"/>
          </w:tcPr>
          <w:p w14:paraId="701C6EE0" w14:textId="660CCD5D"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04992" behindDoc="0" locked="0" layoutInCell="1" allowOverlap="1" wp14:anchorId="41DF9BB7" wp14:editId="18D95E8C">
                      <wp:simplePos x="0" y="0"/>
                      <wp:positionH relativeFrom="column">
                        <wp:posOffset>262255</wp:posOffset>
                      </wp:positionH>
                      <wp:positionV relativeFrom="paragraph">
                        <wp:posOffset>144780</wp:posOffset>
                      </wp:positionV>
                      <wp:extent cx="212090" cy="159385"/>
                      <wp:effectExtent l="0" t="0" r="0" b="0"/>
                      <wp:wrapNone/>
                      <wp:docPr id="39" name="Organigramme : Processu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3F3197" id="Organigramme : Processus 39" o:spid="_x0000_s1026" type="#_x0000_t109" style="position:absolute;margin-left:20.65pt;margin-top:11.4pt;width:16.7pt;height:12.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" fillcolor="white [3212]" strokecolor="black [3213]" strokeweight="1.25pt">
                      <v:path arrowok="t"/>
                    </v:shape>
                  </w:pict>
                </mc:Fallback>
              </mc:AlternateContent>
            </w:r>
          </w:p>
        </w:tc>
        <w:tc>
          <w:tcPr>
            <w:tcW w:w="1263" w:type="dxa"/>
            <w:shd w:val="solid" w:color="F2F2F2" w:themeColor="background1" w:themeShade="F2" w:fill="F2F2F2" w:themeFill="background1" w:themeFillShade="F2"/>
            <w:vAlign w:val="center"/>
          </w:tcPr>
          <w:p w14:paraId="0DD688B4" w14:textId="3555B72A"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13184" behindDoc="0" locked="0" layoutInCell="1" allowOverlap="1" wp14:anchorId="3A65825D" wp14:editId="4413594D">
                      <wp:simplePos x="0" y="0"/>
                      <wp:positionH relativeFrom="column">
                        <wp:posOffset>215900</wp:posOffset>
                      </wp:positionH>
                      <wp:positionV relativeFrom="paragraph">
                        <wp:posOffset>142875</wp:posOffset>
                      </wp:positionV>
                      <wp:extent cx="212090" cy="159385"/>
                      <wp:effectExtent l="0" t="0" r="0" b="0"/>
                      <wp:wrapNone/>
                      <wp:docPr id="221" name="Organigramme : Processus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C32C2C" id="Organigramme : Processus 221" o:spid="_x0000_s1026" type="#_x0000_t109" style="position:absolute;margin-left:17pt;margin-top:11.25pt;width:16.7pt;height:12.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" fillcolor="white [3212]" strokecolor="black [3213]" strokeweight="1.25pt">
                      <v:path arrowok="t"/>
                    </v:shape>
                  </w:pict>
                </mc:Fallback>
              </mc:AlternateContent>
            </w:r>
          </w:p>
        </w:tc>
      </w:tr>
      <w:tr w:rsidR="005D5B9E" w:rsidRPr="00F634CD" w14:paraId="4DC4DF89" w14:textId="77777777" w:rsidTr="008F2E28">
        <w:trPr>
          <w:trHeight w:val="567"/>
          <w:jc w:val="center"/>
        </w:trPr>
        <w:tc>
          <w:tcPr>
            <w:tcW w:w="2494" w:type="dxa"/>
            <w:shd w:val="solid" w:color="F2F2F2" w:themeColor="background1" w:themeShade="F2" w:fill="F2F2F2" w:themeFill="background1" w:themeFillShade="F2"/>
            <w:vAlign w:val="center"/>
          </w:tcPr>
          <w:p w14:paraId="16EF382E" w14:textId="77777777" w:rsidR="005D5B9E" w:rsidRPr="00F634CD" w:rsidRDefault="005D5B9E" w:rsidP="00824676">
            <w:pPr>
              <w:tabs>
                <w:tab w:val="center" w:pos="4536"/>
              </w:tabs>
              <w:jc w:val="left"/>
              <w:rPr>
                <w:rFonts w:ascii="Times New Roman" w:hAnsi="Times New Roman" w:cs="Times New Roman"/>
                <w:kern w:val="24"/>
                <w:sz w:val="24"/>
                <w:szCs w:val="24"/>
              </w:rPr>
            </w:pPr>
            <w:r w:rsidRPr="00F634CD">
              <w:rPr>
                <w:rFonts w:ascii="Times New Roman" w:hAnsi="Times New Roman" w:cs="Times New Roman"/>
                <w:kern w:val="24"/>
                <w:sz w:val="24"/>
                <w:szCs w:val="24"/>
              </w:rPr>
              <w:t>Risque fiduciaire</w:t>
            </w:r>
          </w:p>
        </w:tc>
        <w:tc>
          <w:tcPr>
            <w:tcW w:w="1331" w:type="dxa"/>
            <w:shd w:val="solid" w:color="F2F2F2" w:themeColor="background1" w:themeShade="F2" w:fill="F2F2F2" w:themeFill="background1" w:themeFillShade="F2"/>
            <w:vAlign w:val="center"/>
          </w:tcPr>
          <w:p w14:paraId="724B0876" w14:textId="73902EE2"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90656" behindDoc="0" locked="0" layoutInCell="1" allowOverlap="1" wp14:anchorId="6346FD2E" wp14:editId="65511B46">
                      <wp:simplePos x="0" y="0"/>
                      <wp:positionH relativeFrom="column">
                        <wp:posOffset>262255</wp:posOffset>
                      </wp:positionH>
                      <wp:positionV relativeFrom="paragraph">
                        <wp:posOffset>83185</wp:posOffset>
                      </wp:positionV>
                      <wp:extent cx="212090" cy="159385"/>
                      <wp:effectExtent l="0" t="0" r="0" b="0"/>
                      <wp:wrapNone/>
                      <wp:docPr id="1578" name="Organigramme : Processu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928909" id="Organigramme : Processus 25" o:spid="_x0000_s1026" type="#_x0000_t109" style="position:absolute;margin-left:20.65pt;margin-top:6.55pt;width:16.7pt;height:12.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43908935" w14:textId="506E9CB5"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95776" behindDoc="0" locked="0" layoutInCell="1" allowOverlap="1" wp14:anchorId="356BADEB" wp14:editId="3A89B842">
                      <wp:simplePos x="0" y="0"/>
                      <wp:positionH relativeFrom="column">
                        <wp:posOffset>227965</wp:posOffset>
                      </wp:positionH>
                      <wp:positionV relativeFrom="paragraph">
                        <wp:posOffset>93345</wp:posOffset>
                      </wp:positionV>
                      <wp:extent cx="212090" cy="159385"/>
                      <wp:effectExtent l="0" t="0" r="0" b="0"/>
                      <wp:wrapNone/>
                      <wp:docPr id="1577" name="Organigramme : Processu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AD41B9" id="Organigramme : Processus 30" o:spid="_x0000_s1026" type="#_x0000_t109" style="position:absolute;margin-left:17.95pt;margin-top:7.35pt;width:16.7pt;height:12.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1AEC974A" w14:textId="4457BB7B"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99872" behindDoc="0" locked="0" layoutInCell="1" allowOverlap="1" wp14:anchorId="7EFBF2E6" wp14:editId="605BFF23">
                      <wp:simplePos x="0" y="0"/>
                      <wp:positionH relativeFrom="column">
                        <wp:posOffset>234315</wp:posOffset>
                      </wp:positionH>
                      <wp:positionV relativeFrom="paragraph">
                        <wp:posOffset>92075</wp:posOffset>
                      </wp:positionV>
                      <wp:extent cx="212090" cy="159385"/>
                      <wp:effectExtent l="0" t="0" r="0" b="0"/>
                      <wp:wrapNone/>
                      <wp:docPr id="34" name="Organigramme : Processu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9341D8" id="Organigramme : Processus 34" o:spid="_x0000_s1026" type="#_x0000_t109" style="position:absolute;margin-left:18.45pt;margin-top:7.25pt;width:16.7pt;height:12.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" fillcolor="white [3212]" strokecolor="black [3213]" strokeweight="1.25pt">
                      <v:path arrowok="t"/>
                    </v:shape>
                  </w:pict>
                </mc:Fallback>
              </mc:AlternateContent>
            </w:r>
          </w:p>
        </w:tc>
        <w:tc>
          <w:tcPr>
            <w:tcW w:w="1396" w:type="dxa"/>
            <w:shd w:val="solid" w:color="F2F2F2" w:themeColor="background1" w:themeShade="F2" w:fill="F2F2F2" w:themeFill="background1" w:themeFillShade="F2"/>
            <w:vAlign w:val="center"/>
          </w:tcPr>
          <w:p w14:paraId="0174ADFB" w14:textId="6BC942FA"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06016" behindDoc="0" locked="0" layoutInCell="1" allowOverlap="1" wp14:anchorId="22A25C4A" wp14:editId="0F452C82">
                      <wp:simplePos x="0" y="0"/>
                      <wp:positionH relativeFrom="column">
                        <wp:posOffset>291465</wp:posOffset>
                      </wp:positionH>
                      <wp:positionV relativeFrom="paragraph">
                        <wp:posOffset>76200</wp:posOffset>
                      </wp:positionV>
                      <wp:extent cx="212090" cy="159385"/>
                      <wp:effectExtent l="0" t="0" r="0" b="0"/>
                      <wp:wrapNone/>
                      <wp:docPr id="40" name="Organigramme : Processu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3E7A85" id="Organigramme : Processus 40" o:spid="_x0000_s1026" type="#_x0000_t109" style="position:absolute;margin-left:22.95pt;margin-top:6pt;width:16.7pt;height:12.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" fillcolor="white [3212]" strokecolor="black [3213]" strokeweight="1.25pt">
                      <v:path arrowok="t"/>
                    </v:shape>
                  </w:pict>
                </mc:Fallback>
              </mc:AlternateContent>
            </w:r>
          </w:p>
        </w:tc>
        <w:tc>
          <w:tcPr>
            <w:tcW w:w="1263" w:type="dxa"/>
            <w:shd w:val="solid" w:color="F2F2F2" w:themeColor="background1" w:themeShade="F2" w:fill="F2F2F2" w:themeFill="background1" w:themeFillShade="F2"/>
            <w:vAlign w:val="center"/>
          </w:tcPr>
          <w:p w14:paraId="74431D38" w14:textId="28B3ECFD"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14208" behindDoc="0" locked="0" layoutInCell="1" allowOverlap="1" wp14:anchorId="49BB4ABD" wp14:editId="06B6AA67">
                      <wp:simplePos x="0" y="0"/>
                      <wp:positionH relativeFrom="column">
                        <wp:posOffset>187325</wp:posOffset>
                      </wp:positionH>
                      <wp:positionV relativeFrom="paragraph">
                        <wp:posOffset>87630</wp:posOffset>
                      </wp:positionV>
                      <wp:extent cx="212090" cy="159385"/>
                      <wp:effectExtent l="0" t="0" r="0" b="0"/>
                      <wp:wrapNone/>
                      <wp:docPr id="222" name="Organigramme : Processus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10D3CF" id="Organigramme : Processus 222" o:spid="_x0000_s1026" type="#_x0000_t109" style="position:absolute;margin-left:14.75pt;margin-top:6.9pt;width:16.7pt;height:12.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" fillcolor="white [3212]" strokecolor="black [3213]" strokeweight="1.25pt">
                      <v:path arrowok="t"/>
                    </v:shape>
                  </w:pict>
                </mc:Fallback>
              </mc:AlternateContent>
            </w:r>
          </w:p>
        </w:tc>
      </w:tr>
      <w:tr w:rsidR="005D5B9E" w:rsidRPr="00F634CD" w14:paraId="44FAF8D6" w14:textId="77777777" w:rsidTr="008F2E28">
        <w:trPr>
          <w:trHeight w:val="567"/>
          <w:jc w:val="center"/>
        </w:trPr>
        <w:tc>
          <w:tcPr>
            <w:tcW w:w="2494" w:type="dxa"/>
            <w:shd w:val="solid" w:color="F2F2F2" w:themeColor="background1" w:themeShade="F2" w:fill="F2F2F2" w:themeFill="background1" w:themeFillShade="F2"/>
            <w:vAlign w:val="center"/>
          </w:tcPr>
          <w:p w14:paraId="14C06942" w14:textId="77777777" w:rsidR="005D5B9E" w:rsidRPr="00F634CD" w:rsidRDefault="005D5B9E" w:rsidP="00824676">
            <w:pPr>
              <w:tabs>
                <w:tab w:val="center" w:pos="4536"/>
              </w:tabs>
              <w:jc w:val="left"/>
              <w:rPr>
                <w:rFonts w:ascii="Times New Roman" w:hAnsi="Times New Roman" w:cs="Times New Roman"/>
                <w:kern w:val="24"/>
                <w:sz w:val="24"/>
                <w:szCs w:val="24"/>
              </w:rPr>
            </w:pPr>
            <w:r w:rsidRPr="00F634CD">
              <w:rPr>
                <w:rFonts w:ascii="Times New Roman" w:hAnsi="Times New Roman" w:cs="Times New Roman"/>
                <w:kern w:val="24"/>
                <w:sz w:val="24"/>
                <w:szCs w:val="24"/>
              </w:rPr>
              <w:t>Risque juridique</w:t>
            </w:r>
          </w:p>
        </w:tc>
        <w:tc>
          <w:tcPr>
            <w:tcW w:w="1331" w:type="dxa"/>
            <w:shd w:val="solid" w:color="F2F2F2" w:themeColor="background1" w:themeShade="F2" w:fill="F2F2F2" w:themeFill="background1" w:themeFillShade="F2"/>
            <w:vAlign w:val="center"/>
          </w:tcPr>
          <w:p w14:paraId="3492BE54" w14:textId="40841491"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91680" behindDoc="0" locked="0" layoutInCell="1" allowOverlap="1" wp14:anchorId="312F15EB" wp14:editId="5BB16BDE">
                      <wp:simplePos x="0" y="0"/>
                      <wp:positionH relativeFrom="column">
                        <wp:posOffset>262255</wp:posOffset>
                      </wp:positionH>
                      <wp:positionV relativeFrom="paragraph">
                        <wp:posOffset>90170</wp:posOffset>
                      </wp:positionV>
                      <wp:extent cx="212090" cy="159385"/>
                      <wp:effectExtent l="0" t="0" r="0" b="0"/>
                      <wp:wrapNone/>
                      <wp:docPr id="1576" name="Organigramme : Processu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6624C6" id="Organigramme : Processus 26" o:spid="_x0000_s1026" type="#_x0000_t109" style="position:absolute;margin-left:20.65pt;margin-top:7.1pt;width:16.7pt;height:12.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7C9C5C93" w14:textId="4907E1E8"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00896" behindDoc="0" locked="0" layoutInCell="1" allowOverlap="1" wp14:anchorId="7668A95E" wp14:editId="1607EC7B">
                      <wp:simplePos x="0" y="0"/>
                      <wp:positionH relativeFrom="column">
                        <wp:posOffset>227965</wp:posOffset>
                      </wp:positionH>
                      <wp:positionV relativeFrom="paragraph">
                        <wp:posOffset>90805</wp:posOffset>
                      </wp:positionV>
                      <wp:extent cx="212090" cy="159385"/>
                      <wp:effectExtent l="0" t="0" r="0" b="0"/>
                      <wp:wrapNone/>
                      <wp:docPr id="35" name="Organigramme : Processu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D59635" id="Organigramme : Processus 35" o:spid="_x0000_s1026" type="#_x0000_t109" style="position:absolute;margin-left:17.95pt;margin-top:7.15pt;width:16.7pt;height:1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15987F39" w14:textId="16992FDC"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01920" behindDoc="0" locked="0" layoutInCell="1" allowOverlap="1" wp14:anchorId="2836628D" wp14:editId="76182039">
                      <wp:simplePos x="0" y="0"/>
                      <wp:positionH relativeFrom="column">
                        <wp:posOffset>243840</wp:posOffset>
                      </wp:positionH>
                      <wp:positionV relativeFrom="paragraph">
                        <wp:posOffset>80645</wp:posOffset>
                      </wp:positionV>
                      <wp:extent cx="212090" cy="159385"/>
                      <wp:effectExtent l="0" t="0" r="0" b="0"/>
                      <wp:wrapNone/>
                      <wp:docPr id="36" name="Organigramme : Processu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2025E8" id="Organigramme : Processus 36" o:spid="_x0000_s1026" type="#_x0000_t109" style="position:absolute;margin-left:19.2pt;margin-top:6.35pt;width:16.7pt;height:12.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" fillcolor="white [3212]" strokecolor="black [3213]" strokeweight="1.25pt">
                      <v:path arrowok="t"/>
                    </v:shape>
                  </w:pict>
                </mc:Fallback>
              </mc:AlternateContent>
            </w:r>
          </w:p>
        </w:tc>
        <w:tc>
          <w:tcPr>
            <w:tcW w:w="1396" w:type="dxa"/>
            <w:shd w:val="solid" w:color="F2F2F2" w:themeColor="background1" w:themeShade="F2" w:fill="F2F2F2" w:themeFill="background1" w:themeFillShade="F2"/>
            <w:vAlign w:val="center"/>
          </w:tcPr>
          <w:p w14:paraId="16555F16" w14:textId="3D5AF224" w:rsidR="005D5B9E" w:rsidRPr="00F634CD" w:rsidRDefault="002C5EFF" w:rsidP="005D5B9E">
            <w:pPr>
              <w:tabs>
                <w:tab w:val="center" w:pos="4536"/>
              </w:tabs>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07040" behindDoc="0" locked="0" layoutInCell="1" allowOverlap="1" wp14:anchorId="496F882C" wp14:editId="3F2303F0">
                      <wp:simplePos x="0" y="0"/>
                      <wp:positionH relativeFrom="column">
                        <wp:posOffset>292735</wp:posOffset>
                      </wp:positionH>
                      <wp:positionV relativeFrom="paragraph">
                        <wp:posOffset>92710</wp:posOffset>
                      </wp:positionV>
                      <wp:extent cx="212090" cy="159385"/>
                      <wp:effectExtent l="0" t="0" r="0" b="0"/>
                      <wp:wrapNone/>
                      <wp:docPr id="41" name="Organigramme : Processu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CCF490" id="Organigramme : Processus 41" o:spid="_x0000_s1026" type="#_x0000_t109" style="position:absolute;margin-left:23.05pt;margin-top:7.3pt;width:16.7pt;height:12.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" fillcolor="white [3212]" strokecolor="black [3213]" strokeweight="1.25pt">
                      <v:path arrowok="t"/>
                    </v:shape>
                  </w:pict>
                </mc:Fallback>
              </mc:AlternateContent>
            </w:r>
          </w:p>
        </w:tc>
        <w:tc>
          <w:tcPr>
            <w:tcW w:w="1263" w:type="dxa"/>
            <w:shd w:val="solid" w:color="F2F2F2" w:themeColor="background1" w:themeShade="F2" w:fill="F2F2F2" w:themeFill="background1" w:themeFillShade="F2"/>
            <w:vAlign w:val="center"/>
          </w:tcPr>
          <w:p w14:paraId="642D9D5E" w14:textId="4A42106B"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15232" behindDoc="0" locked="0" layoutInCell="1" allowOverlap="1" wp14:anchorId="56C7EEBA" wp14:editId="068C2A5E">
                      <wp:simplePos x="0" y="0"/>
                      <wp:positionH relativeFrom="column">
                        <wp:posOffset>187325</wp:posOffset>
                      </wp:positionH>
                      <wp:positionV relativeFrom="paragraph">
                        <wp:posOffset>80010</wp:posOffset>
                      </wp:positionV>
                      <wp:extent cx="212090" cy="159385"/>
                      <wp:effectExtent l="0" t="0" r="0" b="0"/>
                      <wp:wrapNone/>
                      <wp:docPr id="223" name="Organigramme : Processus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AF0970" id="Organigramme : Processus 223" o:spid="_x0000_s1026" type="#_x0000_t109" style="position:absolute;margin-left:14.75pt;margin-top:6.3pt;width:16.7pt;height:12.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" fillcolor="white [3212]" strokecolor="black [3213]" strokeweight="1.25pt">
                      <v:path arrowok="t"/>
                    </v:shape>
                  </w:pict>
                </mc:Fallback>
              </mc:AlternateContent>
            </w:r>
          </w:p>
        </w:tc>
      </w:tr>
      <w:tr w:rsidR="005D5B9E" w:rsidRPr="00F634CD" w14:paraId="695E2AAE" w14:textId="77777777" w:rsidTr="008F2E28">
        <w:trPr>
          <w:trHeight w:val="567"/>
          <w:jc w:val="center"/>
        </w:trPr>
        <w:tc>
          <w:tcPr>
            <w:tcW w:w="2494" w:type="dxa"/>
            <w:shd w:val="solid" w:color="F2F2F2" w:themeColor="background1" w:themeShade="F2" w:fill="F2F2F2" w:themeFill="background1" w:themeFillShade="F2"/>
            <w:vAlign w:val="center"/>
          </w:tcPr>
          <w:p w14:paraId="6B2913D7" w14:textId="77777777" w:rsidR="005D5B9E" w:rsidRPr="00F634CD" w:rsidRDefault="005D5B9E" w:rsidP="00824676">
            <w:pPr>
              <w:tabs>
                <w:tab w:val="center" w:pos="4536"/>
              </w:tabs>
              <w:jc w:val="left"/>
              <w:rPr>
                <w:rFonts w:ascii="Times New Roman" w:hAnsi="Times New Roman" w:cs="Times New Roman"/>
                <w:kern w:val="24"/>
                <w:sz w:val="24"/>
                <w:szCs w:val="24"/>
              </w:rPr>
            </w:pPr>
            <w:r w:rsidRPr="00F634CD">
              <w:rPr>
                <w:rFonts w:ascii="Times New Roman" w:hAnsi="Times New Roman" w:cs="Times New Roman"/>
                <w:kern w:val="24"/>
                <w:sz w:val="24"/>
                <w:szCs w:val="24"/>
              </w:rPr>
              <w:t>Risque de réputation</w:t>
            </w:r>
          </w:p>
        </w:tc>
        <w:tc>
          <w:tcPr>
            <w:tcW w:w="1331" w:type="dxa"/>
            <w:shd w:val="solid" w:color="F2F2F2" w:themeColor="background1" w:themeShade="F2" w:fill="F2F2F2" w:themeFill="background1" w:themeFillShade="F2"/>
            <w:vAlign w:val="center"/>
          </w:tcPr>
          <w:p w14:paraId="21EB00BD" w14:textId="2A2CEF35"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26496" behindDoc="0" locked="0" layoutInCell="1" allowOverlap="1" wp14:anchorId="4F1E413E" wp14:editId="2E666B3E">
                      <wp:simplePos x="0" y="0"/>
                      <wp:positionH relativeFrom="column">
                        <wp:posOffset>283845</wp:posOffset>
                      </wp:positionH>
                      <wp:positionV relativeFrom="paragraph">
                        <wp:posOffset>34925</wp:posOffset>
                      </wp:positionV>
                      <wp:extent cx="212090" cy="159385"/>
                      <wp:effectExtent l="0" t="0" r="0" b="0"/>
                      <wp:wrapNone/>
                      <wp:docPr id="234" name="Organigramme : Processus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30C70C" id="Organigramme : Processus 234" o:spid="_x0000_s1026" type="#_x0000_t109" style="position:absolute;margin-left:22.35pt;margin-top:2.75pt;width:16.7pt;height:1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4F882036" w14:textId="3507C567"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27520" behindDoc="0" locked="0" layoutInCell="1" allowOverlap="1" wp14:anchorId="56B9C209" wp14:editId="4C31FEC6">
                      <wp:simplePos x="0" y="0"/>
                      <wp:positionH relativeFrom="column">
                        <wp:posOffset>227965</wp:posOffset>
                      </wp:positionH>
                      <wp:positionV relativeFrom="paragraph">
                        <wp:posOffset>77470</wp:posOffset>
                      </wp:positionV>
                      <wp:extent cx="212090" cy="159385"/>
                      <wp:effectExtent l="0" t="0" r="0" b="0"/>
                      <wp:wrapNone/>
                      <wp:docPr id="235" name="Organigramme : Processus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DC8BF3" id="Organigramme : Processus 235" o:spid="_x0000_s1026" type="#_x0000_t109" style="position:absolute;margin-left:17.95pt;margin-top:6.1pt;width:16.7pt;height:1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" fillcolor="white [3212]" strokecolor="black [3213]" strokeweight="1.25pt">
                      <v:path arrowok="t"/>
                    </v:shape>
                  </w:pict>
                </mc:Fallback>
              </mc:AlternateContent>
            </w:r>
          </w:p>
        </w:tc>
        <w:tc>
          <w:tcPr>
            <w:tcW w:w="1276" w:type="dxa"/>
            <w:shd w:val="solid" w:color="F2F2F2" w:themeColor="background1" w:themeShade="F2" w:fill="F2F2F2" w:themeFill="background1" w:themeFillShade="F2"/>
            <w:vAlign w:val="center"/>
          </w:tcPr>
          <w:p w14:paraId="34489162" w14:textId="0F905C7F"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28544" behindDoc="0" locked="0" layoutInCell="1" allowOverlap="1" wp14:anchorId="2F55BD4B" wp14:editId="1F440569">
                      <wp:simplePos x="0" y="0"/>
                      <wp:positionH relativeFrom="column">
                        <wp:posOffset>245110</wp:posOffset>
                      </wp:positionH>
                      <wp:positionV relativeFrom="paragraph">
                        <wp:posOffset>71120</wp:posOffset>
                      </wp:positionV>
                      <wp:extent cx="212090" cy="159385"/>
                      <wp:effectExtent l="0" t="0" r="0" b="0"/>
                      <wp:wrapNone/>
                      <wp:docPr id="236" name="Organigramme : Processus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920AA3" id="Organigramme : Processus 236" o:spid="_x0000_s1026" type="#_x0000_t109" style="position:absolute;margin-left:19.3pt;margin-top:5.6pt;width:16.7pt;height:1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" fillcolor="white [3212]" strokecolor="black [3213]" strokeweight="1.25pt">
                      <v:path arrowok="t"/>
                    </v:shape>
                  </w:pict>
                </mc:Fallback>
              </mc:AlternateContent>
            </w:r>
          </w:p>
        </w:tc>
        <w:tc>
          <w:tcPr>
            <w:tcW w:w="1396" w:type="dxa"/>
            <w:shd w:val="solid" w:color="F2F2F2" w:themeColor="background1" w:themeShade="F2" w:fill="F2F2F2" w:themeFill="background1" w:themeFillShade="F2"/>
            <w:vAlign w:val="center"/>
          </w:tcPr>
          <w:p w14:paraId="5EFE274E" w14:textId="116A5979"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29568" behindDoc="0" locked="0" layoutInCell="1" allowOverlap="1" wp14:anchorId="074BC0EA" wp14:editId="75A9E2AF">
                      <wp:simplePos x="0" y="0"/>
                      <wp:positionH relativeFrom="column">
                        <wp:posOffset>277495</wp:posOffset>
                      </wp:positionH>
                      <wp:positionV relativeFrom="paragraph">
                        <wp:posOffset>67945</wp:posOffset>
                      </wp:positionV>
                      <wp:extent cx="212090" cy="159385"/>
                      <wp:effectExtent l="0" t="0" r="0" b="0"/>
                      <wp:wrapNone/>
                      <wp:docPr id="237" name="Organigramme : Processus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474AB2" id="Organigramme : Processus 237" o:spid="_x0000_s1026" type="#_x0000_t109" style="position:absolute;margin-left:21.85pt;margin-top:5.35pt;width:16.7pt;height:1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" fillcolor="white [3212]" strokecolor="black [3213]" strokeweight="1.25pt">
                      <v:path arrowok="t"/>
                    </v:shape>
                  </w:pict>
                </mc:Fallback>
              </mc:AlternateContent>
            </w:r>
          </w:p>
        </w:tc>
        <w:tc>
          <w:tcPr>
            <w:tcW w:w="1263" w:type="dxa"/>
            <w:shd w:val="solid" w:color="F2F2F2" w:themeColor="background1" w:themeShade="F2" w:fill="F2F2F2" w:themeFill="background1" w:themeFillShade="F2"/>
            <w:vAlign w:val="center"/>
          </w:tcPr>
          <w:p w14:paraId="5736B8D8" w14:textId="412F9150" w:rsidR="005D5B9E" w:rsidRPr="00F634CD" w:rsidRDefault="002C5EFF" w:rsidP="005D5B9E">
            <w:pPr>
              <w:tabs>
                <w:tab w:val="center" w:pos="4536"/>
              </w:tabs>
              <w:jc w:val="center"/>
              <w:rPr>
                <w:rFonts w:ascii="Times New Roman" w:hAnsi="Times New Roman" w:cs="Times New Roman"/>
                <w:noProof/>
                <w:kern w:val="24"/>
                <w:sz w:val="24"/>
                <w:szCs w:val="24"/>
                <w:lang w:eastAsia="fr-FR"/>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630592" behindDoc="0" locked="0" layoutInCell="1" allowOverlap="1" wp14:anchorId="00347C3F" wp14:editId="1B19A083">
                      <wp:simplePos x="0" y="0"/>
                      <wp:positionH relativeFrom="column">
                        <wp:posOffset>197485</wp:posOffset>
                      </wp:positionH>
                      <wp:positionV relativeFrom="paragraph">
                        <wp:posOffset>52705</wp:posOffset>
                      </wp:positionV>
                      <wp:extent cx="212090" cy="159385"/>
                      <wp:effectExtent l="0" t="0" r="0" b="0"/>
                      <wp:wrapNone/>
                      <wp:docPr id="238" name="Organigramme : Processus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3AAD31" id="Organigramme : Processus 238" o:spid="_x0000_s1026" type="#_x0000_t109" style="position:absolute;margin-left:15.55pt;margin-top:4.15pt;width:16.7pt;height:1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" fillcolor="white [3212]" strokecolor="black [3213]" strokeweight="1.25pt">
                      <v:path arrowok="t"/>
                    </v:shape>
                  </w:pict>
                </mc:Fallback>
              </mc:AlternateContent>
            </w:r>
          </w:p>
        </w:tc>
      </w:tr>
    </w:tbl>
    <w:p w14:paraId="5C984AD9" w14:textId="77777777" w:rsidR="005D5B9E" w:rsidRPr="00F634CD" w:rsidRDefault="005D5B9E" w:rsidP="00616EAD">
      <w:pPr>
        <w:tabs>
          <w:tab w:val="center" w:pos="4536"/>
        </w:tabs>
        <w:spacing w:before="100" w:beforeAutospacing="1" w:after="120"/>
        <w:ind w:left="426" w:hanging="426"/>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7</w:t>
      </w:r>
      <w:r w:rsidRPr="00F634CD">
        <w:rPr>
          <w:rFonts w:ascii="Times New Roman" w:hAnsi="Times New Roman" w:cs="Times New Roman"/>
          <w:kern w:val="24"/>
          <w:sz w:val="24"/>
          <w:szCs w:val="24"/>
        </w:rPr>
        <w:t xml:space="preserve">. </w:t>
      </w:r>
      <w:r w:rsidRPr="00F634CD">
        <w:rPr>
          <w:rFonts w:ascii="Times New Roman" w:hAnsi="Times New Roman" w:cs="Times New Roman"/>
          <w:b/>
          <w:bCs/>
          <w:i/>
          <w:iCs/>
          <w:kern w:val="24"/>
          <w:sz w:val="24"/>
          <w:szCs w:val="24"/>
        </w:rPr>
        <w:t>Veuillez énumérer ci-dessous tout autre risque (s’il existe) que vous pensez pouvoir affecter votre banque, en ordre de leur importance.</w:t>
      </w:r>
    </w:p>
    <w:p w14:paraId="597C476A" w14:textId="77777777" w:rsidR="005D5B9E" w:rsidRPr="00F634CD" w:rsidRDefault="005D5B9E" w:rsidP="005D5B9E">
      <w:pPr>
        <w:tabs>
          <w:tab w:val="left" w:pos="2370"/>
        </w:tabs>
        <w:spacing w:line="360" w:lineRule="auto"/>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      </w:t>
      </w:r>
      <w:r w:rsidRPr="00F634CD">
        <w:rPr>
          <w:rFonts w:ascii="Times New Roman" w:hAnsi="Times New Roman" w:cs="Times New Roman"/>
          <w:b/>
          <w:bCs/>
          <w:i/>
          <w:iCs/>
          <w:kern w:val="24"/>
          <w:sz w:val="24"/>
          <w:szCs w:val="24"/>
        </w:rPr>
        <w:t>a</w:t>
      </w:r>
      <w:r w:rsidRPr="00F634CD">
        <w:rPr>
          <w:rFonts w:ascii="Times New Roman" w:hAnsi="Times New Roman" w:cs="Times New Roman"/>
          <w:kern w:val="24"/>
          <w:sz w:val="24"/>
          <w:szCs w:val="24"/>
        </w:rPr>
        <w:t>. ……………………….</w:t>
      </w:r>
      <w:r w:rsidRPr="00F634CD">
        <w:rPr>
          <w:rFonts w:ascii="Times New Roman" w:hAnsi="Times New Roman" w:cs="Times New Roman"/>
          <w:kern w:val="24"/>
          <w:sz w:val="24"/>
          <w:szCs w:val="24"/>
        </w:rPr>
        <w:tab/>
        <w:t xml:space="preserve">            </w:t>
      </w:r>
      <w:r w:rsidRPr="00F634CD">
        <w:rPr>
          <w:rFonts w:ascii="Times New Roman" w:hAnsi="Times New Roman" w:cs="Times New Roman"/>
          <w:b/>
          <w:bCs/>
          <w:i/>
          <w:iCs/>
          <w:kern w:val="24"/>
          <w:sz w:val="24"/>
          <w:szCs w:val="24"/>
        </w:rPr>
        <w:t>b</w:t>
      </w:r>
      <w:r w:rsidRPr="00F634CD">
        <w:rPr>
          <w:rFonts w:ascii="Times New Roman" w:hAnsi="Times New Roman" w:cs="Times New Roman"/>
          <w:kern w:val="24"/>
          <w:sz w:val="24"/>
          <w:szCs w:val="24"/>
        </w:rPr>
        <w:t xml:space="preserve">……………………….        </w:t>
      </w:r>
      <w:r w:rsidRPr="00F634CD">
        <w:rPr>
          <w:rFonts w:ascii="Times New Roman" w:hAnsi="Times New Roman" w:cs="Times New Roman"/>
          <w:b/>
          <w:bCs/>
          <w:i/>
          <w:iCs/>
          <w:kern w:val="24"/>
          <w:sz w:val="24"/>
          <w:szCs w:val="24"/>
        </w:rPr>
        <w:t>c</w:t>
      </w:r>
      <w:r w:rsidRPr="00F634CD">
        <w:rPr>
          <w:rFonts w:ascii="Times New Roman" w:hAnsi="Times New Roman" w:cs="Times New Roman"/>
          <w:kern w:val="24"/>
          <w:sz w:val="24"/>
          <w:szCs w:val="24"/>
        </w:rPr>
        <w:t>………………………..</w:t>
      </w:r>
    </w:p>
    <w:p w14:paraId="0FCC8C85" w14:textId="77777777" w:rsidR="005D5B9E" w:rsidRPr="00F634CD" w:rsidRDefault="005D5B9E" w:rsidP="008F2E28">
      <w:pPr>
        <w:tabs>
          <w:tab w:val="center" w:pos="4536"/>
        </w:tabs>
        <w:spacing w:before="120"/>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8</w:t>
      </w:r>
      <w:r w:rsidRPr="00F634CD">
        <w:rPr>
          <w:rFonts w:ascii="Times New Roman" w:hAnsi="Times New Roman" w:cs="Times New Roman"/>
          <w:kern w:val="24"/>
          <w:sz w:val="24"/>
          <w:szCs w:val="24"/>
        </w:rPr>
        <w:t xml:space="preserve">. </w:t>
      </w:r>
      <w:r w:rsidRPr="00F634CD">
        <w:rPr>
          <w:rFonts w:ascii="Times New Roman" w:hAnsi="Times New Roman" w:cs="Times New Roman"/>
          <w:b/>
          <w:bCs/>
          <w:i/>
          <w:iCs/>
          <w:kern w:val="24"/>
          <w:sz w:val="24"/>
          <w:szCs w:val="24"/>
        </w:rPr>
        <w:t xml:space="preserve">Veuillez classer ces contrats selon l'intensité d'utilisation dans votre </w:t>
      </w:r>
      <w:r w:rsidR="00824676" w:rsidRPr="00F634CD">
        <w:rPr>
          <w:rFonts w:ascii="Times New Roman" w:hAnsi="Times New Roman" w:cs="Times New Roman"/>
          <w:b/>
          <w:bCs/>
          <w:i/>
          <w:iCs/>
          <w:kern w:val="24"/>
          <w:sz w:val="24"/>
          <w:szCs w:val="24"/>
        </w:rPr>
        <w:t>établissement :</w:t>
      </w:r>
    </w:p>
    <w:p w14:paraId="35378A15" w14:textId="77777777" w:rsidR="00BD3734" w:rsidRPr="00F634CD" w:rsidRDefault="005D5B9E" w:rsidP="00BD3734">
      <w:pPr>
        <w:tabs>
          <w:tab w:val="center" w:pos="4536"/>
        </w:tabs>
        <w:spacing w:after="100" w:afterAutospacing="1"/>
        <w:ind w:left="284"/>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(Utilisez une échelle de 1 à 6, avec 1 comme le plus utilisé et 6 comme le moins utilisé)</w:t>
      </w:r>
    </w:p>
    <w:tbl>
      <w:tblPr>
        <w:tblStyle w:val="Grilledutableau"/>
        <w:tblW w:w="0" w:type="auto"/>
        <w:jc w:val="center"/>
        <w:shd w:val="pct5" w:color="F2F2F2" w:themeColor="background1" w:themeShade="F2" w:fill="F2F2F2" w:themeFill="background1" w:themeFillShade="F2"/>
        <w:tblLook w:val="04A0" w:firstRow="1" w:lastRow="0" w:firstColumn="1" w:lastColumn="0" w:noHBand="0" w:noVBand="1"/>
      </w:tblPr>
      <w:tblGrid>
        <w:gridCol w:w="3227"/>
        <w:gridCol w:w="1701"/>
      </w:tblGrid>
      <w:tr w:rsidR="00BD3734" w:rsidRPr="00F634CD" w14:paraId="09BDA9D3" w14:textId="77777777" w:rsidTr="00BD3734">
        <w:trPr>
          <w:trHeight w:val="454"/>
          <w:jc w:val="center"/>
        </w:trPr>
        <w:tc>
          <w:tcPr>
            <w:tcW w:w="3227" w:type="dxa"/>
            <w:shd w:val="pct5" w:color="F2F2F2" w:themeColor="background1" w:themeShade="F2" w:fill="F2F2F2" w:themeFill="background1" w:themeFillShade="F2"/>
            <w:vAlign w:val="center"/>
          </w:tcPr>
          <w:p w14:paraId="2EB91136"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Contrat</w:t>
            </w:r>
          </w:p>
        </w:tc>
        <w:tc>
          <w:tcPr>
            <w:tcW w:w="1701" w:type="dxa"/>
            <w:shd w:val="pct5" w:color="F2F2F2" w:themeColor="background1" w:themeShade="F2" w:fill="F2F2F2" w:themeFill="background1" w:themeFillShade="F2"/>
            <w:vAlign w:val="center"/>
          </w:tcPr>
          <w:p w14:paraId="0CD60655" w14:textId="77777777" w:rsidR="00BD3734" w:rsidRPr="00F634CD" w:rsidRDefault="00BD3734" w:rsidP="00BD3734">
            <w:pPr>
              <w:tabs>
                <w:tab w:val="center" w:pos="4536"/>
              </w:tabs>
              <w:spacing w:line="360" w:lineRule="auto"/>
              <w:jc w:val="center"/>
              <w:rPr>
                <w:rFonts w:asciiTheme="majorBidi" w:hAnsiTheme="majorBidi" w:cstheme="majorBidi"/>
                <w:kern w:val="24"/>
                <w:sz w:val="24"/>
                <w:szCs w:val="24"/>
              </w:rPr>
            </w:pPr>
            <w:r w:rsidRPr="00F634CD">
              <w:rPr>
                <w:rFonts w:asciiTheme="majorBidi" w:hAnsiTheme="majorBidi" w:cstheme="majorBidi"/>
                <w:kern w:val="24"/>
                <w:sz w:val="24"/>
                <w:szCs w:val="24"/>
              </w:rPr>
              <w:t>Rang</w:t>
            </w:r>
          </w:p>
        </w:tc>
      </w:tr>
      <w:tr w:rsidR="00BD3734" w:rsidRPr="00F634CD" w14:paraId="6C355A66" w14:textId="77777777" w:rsidTr="00BD3734">
        <w:trPr>
          <w:trHeight w:val="454"/>
          <w:jc w:val="center"/>
        </w:trPr>
        <w:tc>
          <w:tcPr>
            <w:tcW w:w="3227" w:type="dxa"/>
            <w:shd w:val="pct5" w:color="F2F2F2" w:themeColor="background1" w:themeShade="F2" w:fill="F2F2F2" w:themeFill="background1" w:themeFillShade="F2"/>
            <w:vAlign w:val="center"/>
          </w:tcPr>
          <w:p w14:paraId="4C28A6F1"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Ijara</w:t>
            </w:r>
          </w:p>
        </w:tc>
        <w:tc>
          <w:tcPr>
            <w:tcW w:w="1701" w:type="dxa"/>
            <w:shd w:val="pct5" w:color="F2F2F2" w:themeColor="background1" w:themeShade="F2" w:fill="F2F2F2" w:themeFill="background1" w:themeFillShade="F2"/>
            <w:vAlign w:val="center"/>
          </w:tcPr>
          <w:p w14:paraId="4E995A98"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r>
      <w:tr w:rsidR="00BD3734" w:rsidRPr="00F634CD" w14:paraId="08AF46C5" w14:textId="77777777" w:rsidTr="00BD3734">
        <w:trPr>
          <w:trHeight w:val="454"/>
          <w:jc w:val="center"/>
        </w:trPr>
        <w:tc>
          <w:tcPr>
            <w:tcW w:w="3227" w:type="dxa"/>
            <w:shd w:val="pct5" w:color="F2F2F2" w:themeColor="background1" w:themeShade="F2" w:fill="F2F2F2" w:themeFill="background1" w:themeFillShade="F2"/>
            <w:vAlign w:val="center"/>
          </w:tcPr>
          <w:p w14:paraId="55D9EB72" w14:textId="4CD58E35"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Moudaraba</w:t>
            </w:r>
          </w:p>
        </w:tc>
        <w:tc>
          <w:tcPr>
            <w:tcW w:w="1701" w:type="dxa"/>
            <w:shd w:val="pct5" w:color="F2F2F2" w:themeColor="background1" w:themeShade="F2" w:fill="F2F2F2" w:themeFill="background1" w:themeFillShade="F2"/>
            <w:vAlign w:val="center"/>
          </w:tcPr>
          <w:p w14:paraId="242A5FF0"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r>
      <w:tr w:rsidR="00BD3734" w:rsidRPr="00F634CD" w14:paraId="4940E3D9" w14:textId="77777777" w:rsidTr="00BD3734">
        <w:trPr>
          <w:trHeight w:val="454"/>
          <w:jc w:val="center"/>
        </w:trPr>
        <w:tc>
          <w:tcPr>
            <w:tcW w:w="3227" w:type="dxa"/>
            <w:shd w:val="pct5" w:color="F2F2F2" w:themeColor="background1" w:themeShade="F2" w:fill="F2F2F2" w:themeFill="background1" w:themeFillShade="F2"/>
            <w:vAlign w:val="center"/>
          </w:tcPr>
          <w:p w14:paraId="473A991B"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Istisna’à</w:t>
            </w:r>
          </w:p>
        </w:tc>
        <w:tc>
          <w:tcPr>
            <w:tcW w:w="1701" w:type="dxa"/>
            <w:shd w:val="pct5" w:color="F2F2F2" w:themeColor="background1" w:themeShade="F2" w:fill="F2F2F2" w:themeFill="background1" w:themeFillShade="F2"/>
            <w:vAlign w:val="center"/>
          </w:tcPr>
          <w:p w14:paraId="2E107AB9"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r>
      <w:tr w:rsidR="00BD3734" w:rsidRPr="00F634CD" w14:paraId="1B821198" w14:textId="77777777" w:rsidTr="00BD3734">
        <w:trPr>
          <w:trHeight w:val="454"/>
          <w:jc w:val="center"/>
        </w:trPr>
        <w:tc>
          <w:tcPr>
            <w:tcW w:w="3227" w:type="dxa"/>
            <w:shd w:val="pct5" w:color="F2F2F2" w:themeColor="background1" w:themeShade="F2" w:fill="F2F2F2" w:themeFill="background1" w:themeFillShade="F2"/>
            <w:vAlign w:val="center"/>
          </w:tcPr>
          <w:p w14:paraId="5971D119"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Mourabaha</w:t>
            </w:r>
          </w:p>
        </w:tc>
        <w:tc>
          <w:tcPr>
            <w:tcW w:w="1701" w:type="dxa"/>
            <w:shd w:val="pct5" w:color="F2F2F2" w:themeColor="background1" w:themeShade="F2" w:fill="F2F2F2" w:themeFill="background1" w:themeFillShade="F2"/>
            <w:vAlign w:val="center"/>
          </w:tcPr>
          <w:p w14:paraId="7E6FA10B"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r>
      <w:tr w:rsidR="00BD3734" w:rsidRPr="00F634CD" w14:paraId="6B3323F2" w14:textId="77777777" w:rsidTr="00BD3734">
        <w:trPr>
          <w:trHeight w:val="454"/>
          <w:jc w:val="center"/>
        </w:trPr>
        <w:tc>
          <w:tcPr>
            <w:tcW w:w="3227" w:type="dxa"/>
            <w:shd w:val="pct5" w:color="F2F2F2" w:themeColor="background1" w:themeShade="F2" w:fill="F2F2F2" w:themeFill="background1" w:themeFillShade="F2"/>
            <w:vAlign w:val="center"/>
          </w:tcPr>
          <w:p w14:paraId="67E9AB97"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Salam</w:t>
            </w:r>
          </w:p>
        </w:tc>
        <w:tc>
          <w:tcPr>
            <w:tcW w:w="1701" w:type="dxa"/>
            <w:shd w:val="pct5" w:color="F2F2F2" w:themeColor="background1" w:themeShade="F2" w:fill="F2F2F2" w:themeFill="background1" w:themeFillShade="F2"/>
            <w:vAlign w:val="center"/>
          </w:tcPr>
          <w:p w14:paraId="0A68A29D"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r>
      <w:tr w:rsidR="00BD3734" w:rsidRPr="00F634CD" w14:paraId="099483EF" w14:textId="77777777" w:rsidTr="00BD3734">
        <w:trPr>
          <w:trHeight w:val="454"/>
          <w:jc w:val="center"/>
        </w:trPr>
        <w:tc>
          <w:tcPr>
            <w:tcW w:w="3227" w:type="dxa"/>
            <w:shd w:val="pct5" w:color="F2F2F2" w:themeColor="background1" w:themeShade="F2" w:fill="F2F2F2" w:themeFill="background1" w:themeFillShade="F2"/>
            <w:vAlign w:val="center"/>
          </w:tcPr>
          <w:p w14:paraId="23F6DC9F"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Moucharaka</w:t>
            </w:r>
          </w:p>
        </w:tc>
        <w:tc>
          <w:tcPr>
            <w:tcW w:w="1701" w:type="dxa"/>
            <w:shd w:val="pct5" w:color="F2F2F2" w:themeColor="background1" w:themeShade="F2" w:fill="F2F2F2" w:themeFill="background1" w:themeFillShade="F2"/>
            <w:vAlign w:val="center"/>
          </w:tcPr>
          <w:p w14:paraId="507A9435"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r>
    </w:tbl>
    <w:p w14:paraId="219610AA" w14:textId="77777777" w:rsidR="005D5B9E" w:rsidRPr="00F634CD" w:rsidRDefault="005D5B9E" w:rsidP="00616EAD">
      <w:pPr>
        <w:tabs>
          <w:tab w:val="center" w:pos="4536"/>
        </w:tabs>
        <w:spacing w:before="100" w:beforeAutospacing="1" w:after="100" w:afterAutospacing="1"/>
        <w:ind w:left="284" w:hanging="284"/>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9</w:t>
      </w:r>
      <w:r w:rsidRPr="00F634CD">
        <w:rPr>
          <w:rFonts w:ascii="Times New Roman" w:hAnsi="Times New Roman" w:cs="Times New Roman"/>
          <w:kern w:val="24"/>
          <w:sz w:val="24"/>
          <w:szCs w:val="24"/>
        </w:rPr>
        <w:t xml:space="preserve">. </w:t>
      </w:r>
      <w:r w:rsidRPr="00F634CD">
        <w:rPr>
          <w:rFonts w:ascii="Times New Roman" w:hAnsi="Times New Roman" w:cs="Times New Roman"/>
          <w:b/>
          <w:bCs/>
          <w:i/>
          <w:iCs/>
          <w:kern w:val="24"/>
          <w:sz w:val="24"/>
          <w:szCs w:val="24"/>
        </w:rPr>
        <w:t xml:space="preserve">Veuillez classer les contrats financiers suivants selon leur degré de </w:t>
      </w:r>
      <w:r w:rsidR="00D91EA8" w:rsidRPr="00F634CD">
        <w:rPr>
          <w:rFonts w:ascii="Times New Roman" w:hAnsi="Times New Roman" w:cs="Times New Roman"/>
          <w:b/>
          <w:bCs/>
          <w:i/>
          <w:iCs/>
          <w:kern w:val="24"/>
          <w:sz w:val="24"/>
          <w:szCs w:val="24"/>
        </w:rPr>
        <w:t>gravité :</w:t>
      </w:r>
      <w:r w:rsidRPr="00F634CD">
        <w:rPr>
          <w:rFonts w:ascii="Times New Roman" w:hAnsi="Times New Roman" w:cs="Times New Roman"/>
          <w:b/>
          <w:bCs/>
          <w:i/>
          <w:iCs/>
          <w:kern w:val="24"/>
          <w:sz w:val="24"/>
          <w:szCs w:val="24"/>
        </w:rPr>
        <w:t xml:space="preserve"> (Utilisez une échelle de 1 à 6, avec 1 comme le plus risqué et 6 comme le moins risqué)</w:t>
      </w:r>
    </w:p>
    <w:tbl>
      <w:tblPr>
        <w:tblStyle w:val="Grilledutableau"/>
        <w:tblW w:w="0" w:type="auto"/>
        <w:jc w:val="center"/>
        <w:shd w:val="pct5" w:color="F2F2F2" w:themeColor="background1" w:themeShade="F2" w:fill="F2F2F2" w:themeFill="background1" w:themeFillShade="F2"/>
        <w:tblLook w:val="04A0" w:firstRow="1" w:lastRow="0" w:firstColumn="1" w:lastColumn="0" w:noHBand="0" w:noVBand="1"/>
      </w:tblPr>
      <w:tblGrid>
        <w:gridCol w:w="3227"/>
        <w:gridCol w:w="1701"/>
      </w:tblGrid>
      <w:tr w:rsidR="00BD3734" w:rsidRPr="00F634CD" w14:paraId="0B926F51" w14:textId="77777777" w:rsidTr="00BD3734">
        <w:trPr>
          <w:trHeight w:val="567"/>
          <w:jc w:val="center"/>
        </w:trPr>
        <w:tc>
          <w:tcPr>
            <w:tcW w:w="3227" w:type="dxa"/>
            <w:shd w:val="pct5" w:color="F2F2F2" w:themeColor="background1" w:themeShade="F2" w:fill="F2F2F2" w:themeFill="background1" w:themeFillShade="F2"/>
            <w:vAlign w:val="center"/>
          </w:tcPr>
          <w:p w14:paraId="1509FD03" w14:textId="77777777" w:rsidR="00BD3734" w:rsidRPr="00F634CD" w:rsidRDefault="00BD3734" w:rsidP="00BD3734">
            <w:pPr>
              <w:tabs>
                <w:tab w:val="center" w:pos="4536"/>
              </w:tabs>
              <w:spacing w:line="360" w:lineRule="auto"/>
              <w:rPr>
                <w:rFonts w:asciiTheme="majorBidi" w:hAnsiTheme="majorBidi" w:cstheme="majorBidi"/>
                <w:b/>
                <w:bCs/>
                <w:i/>
                <w:iCs/>
                <w:kern w:val="24"/>
                <w:sz w:val="24"/>
                <w:szCs w:val="24"/>
              </w:rPr>
            </w:pPr>
            <w:r w:rsidRPr="00F634CD">
              <w:rPr>
                <w:rFonts w:asciiTheme="majorBidi" w:hAnsiTheme="majorBidi" w:cstheme="majorBidi"/>
                <w:b/>
                <w:bCs/>
                <w:i/>
                <w:iCs/>
                <w:kern w:val="24"/>
                <w:sz w:val="24"/>
                <w:szCs w:val="24"/>
              </w:rPr>
              <w:t>Contrat</w:t>
            </w:r>
          </w:p>
        </w:tc>
        <w:tc>
          <w:tcPr>
            <w:tcW w:w="1701" w:type="dxa"/>
            <w:shd w:val="pct5" w:color="F2F2F2" w:themeColor="background1" w:themeShade="F2" w:fill="F2F2F2" w:themeFill="background1" w:themeFillShade="F2"/>
            <w:vAlign w:val="center"/>
          </w:tcPr>
          <w:p w14:paraId="3B3C18DB" w14:textId="77777777" w:rsidR="00BD3734" w:rsidRPr="00F634CD" w:rsidRDefault="00BD3734" w:rsidP="00BD3734">
            <w:pPr>
              <w:tabs>
                <w:tab w:val="center" w:pos="4536"/>
              </w:tabs>
              <w:spacing w:line="360" w:lineRule="auto"/>
              <w:jc w:val="center"/>
              <w:rPr>
                <w:rFonts w:asciiTheme="majorBidi" w:hAnsiTheme="majorBidi" w:cstheme="majorBidi"/>
                <w:b/>
                <w:bCs/>
                <w:i/>
                <w:iCs/>
                <w:kern w:val="24"/>
                <w:sz w:val="24"/>
                <w:szCs w:val="24"/>
              </w:rPr>
            </w:pPr>
            <w:r w:rsidRPr="00F634CD">
              <w:rPr>
                <w:rFonts w:asciiTheme="majorBidi" w:hAnsiTheme="majorBidi" w:cstheme="majorBidi"/>
                <w:b/>
                <w:bCs/>
                <w:i/>
                <w:iCs/>
                <w:kern w:val="24"/>
                <w:sz w:val="24"/>
                <w:szCs w:val="24"/>
              </w:rPr>
              <w:t>Rang</w:t>
            </w:r>
          </w:p>
        </w:tc>
      </w:tr>
      <w:tr w:rsidR="00BD3734" w:rsidRPr="00F634CD" w14:paraId="2F28ACD5" w14:textId="77777777" w:rsidTr="00BD3734">
        <w:trPr>
          <w:trHeight w:val="567"/>
          <w:jc w:val="center"/>
        </w:trPr>
        <w:tc>
          <w:tcPr>
            <w:tcW w:w="3227" w:type="dxa"/>
            <w:shd w:val="pct5" w:color="F2F2F2" w:themeColor="background1" w:themeShade="F2" w:fill="F2F2F2" w:themeFill="background1" w:themeFillShade="F2"/>
            <w:vAlign w:val="center"/>
          </w:tcPr>
          <w:p w14:paraId="0BC51D2B" w14:textId="37BD74BA"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Moudaraba</w:t>
            </w:r>
          </w:p>
        </w:tc>
        <w:tc>
          <w:tcPr>
            <w:tcW w:w="1701" w:type="dxa"/>
            <w:shd w:val="pct5" w:color="F2F2F2" w:themeColor="background1" w:themeShade="F2" w:fill="F2F2F2" w:themeFill="background1" w:themeFillShade="F2"/>
            <w:vAlign w:val="center"/>
          </w:tcPr>
          <w:p w14:paraId="23FCAA94" w14:textId="77777777" w:rsidR="00BD3734" w:rsidRPr="00F634CD" w:rsidRDefault="00BD3734" w:rsidP="00BD3734">
            <w:pPr>
              <w:tabs>
                <w:tab w:val="center" w:pos="4536"/>
              </w:tabs>
              <w:spacing w:line="360" w:lineRule="auto"/>
              <w:rPr>
                <w:rFonts w:asciiTheme="majorBidi" w:hAnsiTheme="majorBidi" w:cstheme="majorBidi"/>
                <w:kern w:val="24"/>
                <w:sz w:val="28"/>
                <w:szCs w:val="28"/>
              </w:rPr>
            </w:pPr>
          </w:p>
        </w:tc>
      </w:tr>
      <w:tr w:rsidR="00BD3734" w:rsidRPr="00F634CD" w14:paraId="1BC2F5C5" w14:textId="77777777" w:rsidTr="00BD3734">
        <w:trPr>
          <w:trHeight w:val="567"/>
          <w:jc w:val="center"/>
        </w:trPr>
        <w:tc>
          <w:tcPr>
            <w:tcW w:w="3227" w:type="dxa"/>
            <w:shd w:val="pct5" w:color="F2F2F2" w:themeColor="background1" w:themeShade="F2" w:fill="F2F2F2" w:themeFill="background1" w:themeFillShade="F2"/>
            <w:vAlign w:val="center"/>
          </w:tcPr>
          <w:p w14:paraId="467B42A4"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Salam</w:t>
            </w:r>
          </w:p>
        </w:tc>
        <w:tc>
          <w:tcPr>
            <w:tcW w:w="1701" w:type="dxa"/>
            <w:shd w:val="pct5" w:color="F2F2F2" w:themeColor="background1" w:themeShade="F2" w:fill="F2F2F2" w:themeFill="background1" w:themeFillShade="F2"/>
            <w:vAlign w:val="center"/>
          </w:tcPr>
          <w:p w14:paraId="01B87090" w14:textId="77777777" w:rsidR="00BD3734" w:rsidRPr="00F634CD" w:rsidRDefault="00BD3734" w:rsidP="00BD3734">
            <w:pPr>
              <w:tabs>
                <w:tab w:val="center" w:pos="4536"/>
              </w:tabs>
              <w:spacing w:line="360" w:lineRule="auto"/>
              <w:rPr>
                <w:rFonts w:asciiTheme="majorBidi" w:hAnsiTheme="majorBidi" w:cstheme="majorBidi"/>
                <w:kern w:val="24"/>
                <w:sz w:val="28"/>
                <w:szCs w:val="28"/>
              </w:rPr>
            </w:pPr>
          </w:p>
        </w:tc>
      </w:tr>
      <w:tr w:rsidR="00BD3734" w:rsidRPr="00F634CD" w14:paraId="1075E55F" w14:textId="77777777" w:rsidTr="00BD3734">
        <w:trPr>
          <w:trHeight w:val="567"/>
          <w:jc w:val="center"/>
        </w:trPr>
        <w:tc>
          <w:tcPr>
            <w:tcW w:w="3227" w:type="dxa"/>
            <w:shd w:val="pct5" w:color="F2F2F2" w:themeColor="background1" w:themeShade="F2" w:fill="F2F2F2" w:themeFill="background1" w:themeFillShade="F2"/>
            <w:vAlign w:val="center"/>
          </w:tcPr>
          <w:p w14:paraId="215B358D"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Moucharaka</w:t>
            </w:r>
          </w:p>
        </w:tc>
        <w:tc>
          <w:tcPr>
            <w:tcW w:w="1701" w:type="dxa"/>
            <w:shd w:val="pct5" w:color="F2F2F2" w:themeColor="background1" w:themeShade="F2" w:fill="F2F2F2" w:themeFill="background1" w:themeFillShade="F2"/>
            <w:vAlign w:val="center"/>
          </w:tcPr>
          <w:p w14:paraId="4322286E" w14:textId="77777777" w:rsidR="00BD3734" w:rsidRPr="00F634CD" w:rsidRDefault="00BD3734" w:rsidP="00BD3734">
            <w:pPr>
              <w:tabs>
                <w:tab w:val="center" w:pos="4536"/>
              </w:tabs>
              <w:spacing w:line="360" w:lineRule="auto"/>
              <w:rPr>
                <w:rFonts w:asciiTheme="majorBidi" w:hAnsiTheme="majorBidi" w:cstheme="majorBidi"/>
                <w:kern w:val="24"/>
                <w:sz w:val="28"/>
                <w:szCs w:val="28"/>
              </w:rPr>
            </w:pPr>
          </w:p>
        </w:tc>
      </w:tr>
      <w:tr w:rsidR="00BD3734" w:rsidRPr="00F634CD" w14:paraId="76D55D15" w14:textId="77777777" w:rsidTr="00BD3734">
        <w:trPr>
          <w:trHeight w:val="567"/>
          <w:jc w:val="center"/>
        </w:trPr>
        <w:tc>
          <w:tcPr>
            <w:tcW w:w="3227" w:type="dxa"/>
            <w:shd w:val="pct5" w:color="F2F2F2" w:themeColor="background1" w:themeShade="F2" w:fill="F2F2F2" w:themeFill="background1" w:themeFillShade="F2"/>
            <w:vAlign w:val="center"/>
          </w:tcPr>
          <w:p w14:paraId="15ED2616"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Istisna’à</w:t>
            </w:r>
          </w:p>
        </w:tc>
        <w:tc>
          <w:tcPr>
            <w:tcW w:w="1701" w:type="dxa"/>
            <w:shd w:val="pct5" w:color="F2F2F2" w:themeColor="background1" w:themeShade="F2" w:fill="F2F2F2" w:themeFill="background1" w:themeFillShade="F2"/>
            <w:vAlign w:val="center"/>
          </w:tcPr>
          <w:p w14:paraId="45DAD2CA" w14:textId="77777777" w:rsidR="00BD3734" w:rsidRPr="00F634CD" w:rsidRDefault="00BD3734" w:rsidP="00BD3734">
            <w:pPr>
              <w:tabs>
                <w:tab w:val="center" w:pos="4536"/>
              </w:tabs>
              <w:spacing w:line="360" w:lineRule="auto"/>
              <w:rPr>
                <w:rFonts w:asciiTheme="majorBidi" w:hAnsiTheme="majorBidi" w:cstheme="majorBidi"/>
                <w:kern w:val="24"/>
                <w:sz w:val="28"/>
                <w:szCs w:val="28"/>
              </w:rPr>
            </w:pPr>
          </w:p>
        </w:tc>
      </w:tr>
      <w:tr w:rsidR="00BD3734" w:rsidRPr="00F634CD" w14:paraId="323D10F1" w14:textId="77777777" w:rsidTr="00BD3734">
        <w:trPr>
          <w:trHeight w:val="567"/>
          <w:jc w:val="center"/>
        </w:trPr>
        <w:tc>
          <w:tcPr>
            <w:tcW w:w="3227" w:type="dxa"/>
            <w:shd w:val="pct5" w:color="F2F2F2" w:themeColor="background1" w:themeShade="F2" w:fill="F2F2F2" w:themeFill="background1" w:themeFillShade="F2"/>
            <w:vAlign w:val="center"/>
          </w:tcPr>
          <w:p w14:paraId="7260D654"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Ijara</w:t>
            </w:r>
          </w:p>
        </w:tc>
        <w:tc>
          <w:tcPr>
            <w:tcW w:w="1701" w:type="dxa"/>
            <w:shd w:val="pct5" w:color="F2F2F2" w:themeColor="background1" w:themeShade="F2" w:fill="F2F2F2" w:themeFill="background1" w:themeFillShade="F2"/>
            <w:vAlign w:val="center"/>
          </w:tcPr>
          <w:p w14:paraId="080B3D58" w14:textId="77777777" w:rsidR="00BD3734" w:rsidRPr="00F634CD" w:rsidRDefault="00BD3734" w:rsidP="00BD3734">
            <w:pPr>
              <w:tabs>
                <w:tab w:val="center" w:pos="4536"/>
              </w:tabs>
              <w:spacing w:line="360" w:lineRule="auto"/>
              <w:rPr>
                <w:rFonts w:asciiTheme="majorBidi" w:hAnsiTheme="majorBidi" w:cstheme="majorBidi"/>
                <w:kern w:val="24"/>
                <w:sz w:val="28"/>
                <w:szCs w:val="28"/>
              </w:rPr>
            </w:pPr>
          </w:p>
        </w:tc>
      </w:tr>
      <w:tr w:rsidR="00BD3734" w:rsidRPr="00F634CD" w14:paraId="62F05611" w14:textId="77777777" w:rsidTr="00BD3734">
        <w:trPr>
          <w:trHeight w:val="567"/>
          <w:jc w:val="center"/>
        </w:trPr>
        <w:tc>
          <w:tcPr>
            <w:tcW w:w="3227" w:type="dxa"/>
            <w:shd w:val="pct5" w:color="F2F2F2" w:themeColor="background1" w:themeShade="F2" w:fill="F2F2F2" w:themeFill="background1" w:themeFillShade="F2"/>
            <w:vAlign w:val="center"/>
          </w:tcPr>
          <w:p w14:paraId="6BBFBB53"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Mourabaha</w:t>
            </w:r>
          </w:p>
        </w:tc>
        <w:tc>
          <w:tcPr>
            <w:tcW w:w="1701" w:type="dxa"/>
            <w:shd w:val="pct5" w:color="F2F2F2" w:themeColor="background1" w:themeShade="F2" w:fill="F2F2F2" w:themeFill="background1" w:themeFillShade="F2"/>
            <w:vAlign w:val="center"/>
          </w:tcPr>
          <w:p w14:paraId="35824DD3" w14:textId="77777777" w:rsidR="00BD3734" w:rsidRPr="00F634CD" w:rsidRDefault="00BD3734" w:rsidP="00BD3734">
            <w:pPr>
              <w:tabs>
                <w:tab w:val="center" w:pos="4536"/>
              </w:tabs>
              <w:spacing w:line="360" w:lineRule="auto"/>
              <w:rPr>
                <w:rFonts w:asciiTheme="majorBidi" w:hAnsiTheme="majorBidi" w:cstheme="majorBidi"/>
                <w:kern w:val="24"/>
                <w:sz w:val="28"/>
                <w:szCs w:val="28"/>
              </w:rPr>
            </w:pPr>
          </w:p>
        </w:tc>
      </w:tr>
    </w:tbl>
    <w:p w14:paraId="3922AFC7" w14:textId="77777777" w:rsidR="005D5B9E" w:rsidRPr="00F634CD" w:rsidRDefault="005D5B9E" w:rsidP="00616EAD">
      <w:pPr>
        <w:autoSpaceDE w:val="0"/>
        <w:autoSpaceDN w:val="0"/>
        <w:adjustRightInd w:val="0"/>
        <w:spacing w:before="100" w:beforeAutospacing="1" w:after="100" w:afterAutospacing="1"/>
        <w:ind w:left="426" w:hanging="426"/>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 xml:space="preserve">10. </w:t>
      </w:r>
      <w:r w:rsidRPr="00F634CD">
        <w:rPr>
          <w:rFonts w:ascii="Times New Roman" w:hAnsi="Times New Roman" w:cs="Times New Roman"/>
          <w:b/>
          <w:bCs/>
          <w:kern w:val="24"/>
          <w:sz w:val="24"/>
          <w:szCs w:val="24"/>
        </w:rPr>
        <w:t>Pouvez-vous classer les instruments suivants selon le degré de gravité des risques qui lui sont liés (</w:t>
      </w:r>
      <w:r w:rsidRPr="00F634CD">
        <w:rPr>
          <w:rFonts w:ascii="Times New Roman" w:hAnsi="Times New Roman" w:cs="Times New Roman"/>
          <w:kern w:val="24"/>
          <w:sz w:val="24"/>
          <w:szCs w:val="24"/>
        </w:rPr>
        <w:t>Utilisez une échelle de 1 à 6 pour chaque contrat financier, avec 1 pour le risque le moins important et 6 pour le risque le plus important</w:t>
      </w:r>
      <w:r w:rsidRPr="00F634CD">
        <w:rPr>
          <w:rFonts w:ascii="Times New Roman" w:hAnsi="Times New Roman" w:cs="Times New Roman"/>
          <w:b/>
          <w:bCs/>
          <w:i/>
          <w:iCs/>
          <w:kern w:val="24"/>
          <w:sz w:val="24"/>
          <w:szCs w:val="24"/>
        </w:rPr>
        <w:t>)</w:t>
      </w:r>
    </w:p>
    <w:tbl>
      <w:tblPr>
        <w:tblStyle w:val="Grilledutableau"/>
        <w:tblW w:w="93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solid" w:color="F2F2F2" w:themeColor="background1" w:themeShade="F2" w:fill="F2F2F2" w:themeFill="background1" w:themeFillShade="F2"/>
        <w:tblLayout w:type="fixed"/>
        <w:tblLook w:val="04A0" w:firstRow="1" w:lastRow="0" w:firstColumn="1" w:lastColumn="0" w:noHBand="0" w:noVBand="1"/>
      </w:tblPr>
      <w:tblGrid>
        <w:gridCol w:w="1526"/>
        <w:gridCol w:w="1417"/>
        <w:gridCol w:w="1134"/>
        <w:gridCol w:w="1134"/>
        <w:gridCol w:w="1417"/>
        <w:gridCol w:w="1559"/>
        <w:gridCol w:w="1134"/>
      </w:tblGrid>
      <w:tr w:rsidR="00BD3734" w:rsidRPr="002814F3" w14:paraId="3C544E79" w14:textId="77777777" w:rsidTr="002814F3">
        <w:trPr>
          <w:trHeight w:val="737"/>
        </w:trPr>
        <w:tc>
          <w:tcPr>
            <w:tcW w:w="1526" w:type="dxa"/>
            <w:shd w:val="solid" w:color="F2F2F2" w:themeColor="background1" w:themeShade="F2" w:fill="F2F2F2" w:themeFill="background1" w:themeFillShade="F2"/>
          </w:tcPr>
          <w:p w14:paraId="02BE4AD3" w14:textId="77777777" w:rsidR="00BD3734" w:rsidRPr="002814F3" w:rsidRDefault="00BD3734" w:rsidP="00BD3734">
            <w:pPr>
              <w:tabs>
                <w:tab w:val="center" w:pos="4536"/>
              </w:tabs>
              <w:spacing w:line="360" w:lineRule="auto"/>
              <w:jc w:val="center"/>
              <w:rPr>
                <w:rFonts w:asciiTheme="majorBidi" w:hAnsiTheme="majorBidi" w:cstheme="majorBidi"/>
                <w:kern w:val="24"/>
              </w:rPr>
            </w:pPr>
          </w:p>
        </w:tc>
        <w:tc>
          <w:tcPr>
            <w:tcW w:w="1417" w:type="dxa"/>
            <w:shd w:val="solid" w:color="F2F2F2" w:themeColor="background1" w:themeShade="F2" w:fill="F2F2F2" w:themeFill="background1" w:themeFillShade="F2"/>
            <w:vAlign w:val="center"/>
          </w:tcPr>
          <w:p w14:paraId="28BDFDE7" w14:textId="25EF5343" w:rsidR="00BD3734" w:rsidRPr="002814F3" w:rsidRDefault="00BD3734" w:rsidP="002814F3">
            <w:pPr>
              <w:tabs>
                <w:tab w:val="center" w:pos="4536"/>
              </w:tabs>
              <w:ind w:hanging="108"/>
              <w:jc w:val="center"/>
              <w:rPr>
                <w:rFonts w:asciiTheme="majorBidi" w:hAnsiTheme="majorBidi" w:cstheme="majorBidi"/>
                <w:kern w:val="24"/>
              </w:rPr>
            </w:pPr>
            <w:r w:rsidRPr="002814F3">
              <w:rPr>
                <w:rFonts w:asciiTheme="majorBidi" w:hAnsiTheme="majorBidi" w:cstheme="majorBidi"/>
                <w:kern w:val="24"/>
              </w:rPr>
              <w:t>Risque</w:t>
            </w:r>
            <w:r w:rsidR="00D40A21" w:rsidRPr="002814F3">
              <w:rPr>
                <w:rFonts w:asciiTheme="majorBidi" w:hAnsiTheme="majorBidi" w:cstheme="majorBidi"/>
                <w:kern w:val="24"/>
              </w:rPr>
              <w:t xml:space="preserve"> </w:t>
            </w:r>
            <w:r w:rsidRPr="002814F3">
              <w:rPr>
                <w:rFonts w:asciiTheme="majorBidi" w:hAnsiTheme="majorBidi" w:cstheme="majorBidi"/>
                <w:kern w:val="24"/>
              </w:rPr>
              <w:t>de</w:t>
            </w:r>
            <w:r w:rsidR="002814F3" w:rsidRPr="002814F3">
              <w:rPr>
                <w:rFonts w:asciiTheme="majorBidi" w:hAnsiTheme="majorBidi" w:cstheme="majorBidi"/>
                <w:kern w:val="24"/>
              </w:rPr>
              <w:t xml:space="preserve"> </w:t>
            </w:r>
            <w:r w:rsidRPr="002814F3">
              <w:rPr>
                <w:rFonts w:asciiTheme="majorBidi" w:hAnsiTheme="majorBidi" w:cstheme="majorBidi"/>
                <w:kern w:val="24"/>
              </w:rPr>
              <w:t>contrepartie</w:t>
            </w:r>
          </w:p>
        </w:tc>
        <w:tc>
          <w:tcPr>
            <w:tcW w:w="1134" w:type="dxa"/>
            <w:shd w:val="solid" w:color="F2F2F2" w:themeColor="background1" w:themeShade="F2" w:fill="F2F2F2" w:themeFill="background1" w:themeFillShade="F2"/>
            <w:vAlign w:val="center"/>
          </w:tcPr>
          <w:p w14:paraId="1BC23D52" w14:textId="77777777" w:rsidR="00BD3734" w:rsidRPr="002814F3" w:rsidRDefault="00BD3734" w:rsidP="00BD3734">
            <w:pPr>
              <w:tabs>
                <w:tab w:val="center" w:pos="4536"/>
              </w:tabs>
              <w:jc w:val="center"/>
              <w:rPr>
                <w:rFonts w:asciiTheme="majorBidi" w:hAnsiTheme="majorBidi" w:cstheme="majorBidi"/>
                <w:kern w:val="24"/>
              </w:rPr>
            </w:pPr>
            <w:r w:rsidRPr="002814F3">
              <w:rPr>
                <w:rFonts w:asciiTheme="majorBidi" w:hAnsiTheme="majorBidi" w:cstheme="majorBidi"/>
                <w:kern w:val="24"/>
              </w:rPr>
              <w:t>Risque de liquidité</w:t>
            </w:r>
          </w:p>
        </w:tc>
        <w:tc>
          <w:tcPr>
            <w:tcW w:w="1134" w:type="dxa"/>
            <w:shd w:val="solid" w:color="F2F2F2" w:themeColor="background1" w:themeShade="F2" w:fill="F2F2F2" w:themeFill="background1" w:themeFillShade="F2"/>
            <w:vAlign w:val="center"/>
          </w:tcPr>
          <w:p w14:paraId="7C767F7A" w14:textId="59B520F4" w:rsidR="00BD3734" w:rsidRPr="002814F3" w:rsidRDefault="00BD3734" w:rsidP="002814F3">
            <w:pPr>
              <w:tabs>
                <w:tab w:val="center" w:pos="4536"/>
              </w:tabs>
              <w:jc w:val="center"/>
              <w:rPr>
                <w:rFonts w:asciiTheme="majorBidi" w:hAnsiTheme="majorBidi" w:cstheme="majorBidi"/>
                <w:kern w:val="24"/>
              </w:rPr>
            </w:pPr>
            <w:r w:rsidRPr="002814F3">
              <w:rPr>
                <w:rFonts w:asciiTheme="majorBidi" w:hAnsiTheme="majorBidi" w:cstheme="majorBidi"/>
                <w:kern w:val="24"/>
              </w:rPr>
              <w:t>Risque</w:t>
            </w:r>
            <w:r w:rsidR="002814F3" w:rsidRPr="002814F3">
              <w:rPr>
                <w:rFonts w:asciiTheme="majorBidi" w:hAnsiTheme="majorBidi" w:cstheme="majorBidi"/>
                <w:kern w:val="24"/>
              </w:rPr>
              <w:t xml:space="preserve"> </w:t>
            </w:r>
            <w:r w:rsidRPr="002814F3">
              <w:rPr>
                <w:rFonts w:asciiTheme="majorBidi" w:hAnsiTheme="majorBidi" w:cstheme="majorBidi"/>
                <w:kern w:val="24"/>
              </w:rPr>
              <w:t>de</w:t>
            </w:r>
            <w:r w:rsidR="002814F3" w:rsidRPr="002814F3">
              <w:rPr>
                <w:rFonts w:asciiTheme="majorBidi" w:hAnsiTheme="majorBidi" w:cstheme="majorBidi"/>
                <w:kern w:val="24"/>
              </w:rPr>
              <w:t xml:space="preserve"> </w:t>
            </w:r>
            <w:r w:rsidRPr="002814F3">
              <w:rPr>
                <w:rFonts w:asciiTheme="majorBidi" w:hAnsiTheme="majorBidi" w:cstheme="majorBidi"/>
                <w:kern w:val="24"/>
              </w:rPr>
              <w:t>marché</w:t>
            </w:r>
          </w:p>
        </w:tc>
        <w:tc>
          <w:tcPr>
            <w:tcW w:w="1417" w:type="dxa"/>
            <w:shd w:val="solid" w:color="F2F2F2" w:themeColor="background1" w:themeShade="F2" w:fill="F2F2F2" w:themeFill="background1" w:themeFillShade="F2"/>
            <w:vAlign w:val="center"/>
          </w:tcPr>
          <w:p w14:paraId="69056D8B" w14:textId="77777777" w:rsidR="00BD3734" w:rsidRPr="002814F3" w:rsidRDefault="00BD3734" w:rsidP="00BD3734">
            <w:pPr>
              <w:tabs>
                <w:tab w:val="center" w:pos="4536"/>
              </w:tabs>
              <w:jc w:val="center"/>
              <w:rPr>
                <w:rFonts w:asciiTheme="majorBidi" w:hAnsiTheme="majorBidi" w:cstheme="majorBidi"/>
                <w:kern w:val="24"/>
              </w:rPr>
            </w:pPr>
            <w:r w:rsidRPr="002814F3">
              <w:rPr>
                <w:rFonts w:asciiTheme="majorBidi" w:hAnsiTheme="majorBidi" w:cstheme="majorBidi"/>
                <w:kern w:val="24"/>
              </w:rPr>
              <w:t>Risque opérationnel</w:t>
            </w:r>
          </w:p>
        </w:tc>
        <w:tc>
          <w:tcPr>
            <w:tcW w:w="1559" w:type="dxa"/>
            <w:shd w:val="solid" w:color="F2F2F2" w:themeColor="background1" w:themeShade="F2" w:fill="F2F2F2" w:themeFill="background1" w:themeFillShade="F2"/>
            <w:vAlign w:val="center"/>
          </w:tcPr>
          <w:p w14:paraId="10486203" w14:textId="77777777" w:rsidR="00BD3734" w:rsidRPr="002814F3" w:rsidRDefault="00BD3734" w:rsidP="00BD3734">
            <w:pPr>
              <w:tabs>
                <w:tab w:val="center" w:pos="4536"/>
              </w:tabs>
              <w:jc w:val="center"/>
              <w:rPr>
                <w:rFonts w:asciiTheme="majorBidi" w:hAnsiTheme="majorBidi" w:cstheme="majorBidi"/>
                <w:kern w:val="24"/>
              </w:rPr>
            </w:pPr>
            <w:r w:rsidRPr="002814F3">
              <w:rPr>
                <w:rFonts w:asciiTheme="majorBidi" w:hAnsiTheme="majorBidi" w:cstheme="majorBidi"/>
                <w:kern w:val="24"/>
              </w:rPr>
              <w:t>Risque commercial déplacé</w:t>
            </w:r>
          </w:p>
        </w:tc>
        <w:tc>
          <w:tcPr>
            <w:tcW w:w="1134" w:type="dxa"/>
            <w:shd w:val="solid" w:color="F2F2F2" w:themeColor="background1" w:themeShade="F2" w:fill="F2F2F2" w:themeFill="background1" w:themeFillShade="F2"/>
            <w:vAlign w:val="center"/>
          </w:tcPr>
          <w:p w14:paraId="43E4D1E0" w14:textId="77777777" w:rsidR="00BD3734" w:rsidRPr="002814F3" w:rsidRDefault="00BD3734" w:rsidP="00BD3734">
            <w:pPr>
              <w:tabs>
                <w:tab w:val="center" w:pos="4536"/>
              </w:tabs>
              <w:jc w:val="center"/>
              <w:rPr>
                <w:rFonts w:asciiTheme="majorBidi" w:hAnsiTheme="majorBidi" w:cstheme="majorBidi"/>
                <w:kern w:val="24"/>
              </w:rPr>
            </w:pPr>
            <w:r w:rsidRPr="002814F3">
              <w:rPr>
                <w:rFonts w:asciiTheme="majorBidi" w:hAnsiTheme="majorBidi" w:cstheme="majorBidi"/>
                <w:kern w:val="24"/>
              </w:rPr>
              <w:t>Risque juridique</w:t>
            </w:r>
          </w:p>
        </w:tc>
      </w:tr>
      <w:tr w:rsidR="00BD3734" w:rsidRPr="00F634CD" w14:paraId="7E76F54B" w14:textId="77777777" w:rsidTr="002814F3">
        <w:trPr>
          <w:trHeight w:val="737"/>
        </w:trPr>
        <w:tc>
          <w:tcPr>
            <w:tcW w:w="1526" w:type="dxa"/>
            <w:shd w:val="solid" w:color="F2F2F2" w:themeColor="background1" w:themeShade="F2" w:fill="F2F2F2" w:themeFill="background1" w:themeFillShade="F2"/>
            <w:vAlign w:val="center"/>
          </w:tcPr>
          <w:p w14:paraId="09535878" w14:textId="77777777" w:rsidR="00BD3734" w:rsidRPr="002814F3" w:rsidRDefault="00BD3734" w:rsidP="002814F3">
            <w:pPr>
              <w:tabs>
                <w:tab w:val="center" w:pos="4536"/>
              </w:tabs>
              <w:spacing w:line="360" w:lineRule="auto"/>
              <w:jc w:val="left"/>
              <w:rPr>
                <w:rFonts w:asciiTheme="majorBidi" w:hAnsiTheme="majorBidi" w:cstheme="majorBidi"/>
                <w:i/>
                <w:iCs/>
                <w:kern w:val="24"/>
                <w:sz w:val="24"/>
                <w:szCs w:val="24"/>
              </w:rPr>
            </w:pPr>
            <w:r w:rsidRPr="002814F3">
              <w:rPr>
                <w:rFonts w:asciiTheme="majorBidi" w:hAnsiTheme="majorBidi" w:cstheme="majorBidi"/>
                <w:i/>
                <w:iCs/>
                <w:kern w:val="24"/>
                <w:sz w:val="24"/>
                <w:szCs w:val="24"/>
              </w:rPr>
              <w:t>Mourabaha</w:t>
            </w:r>
          </w:p>
        </w:tc>
        <w:tc>
          <w:tcPr>
            <w:tcW w:w="1417" w:type="dxa"/>
            <w:shd w:val="solid" w:color="F2F2F2" w:themeColor="background1" w:themeShade="F2" w:fill="F2F2F2" w:themeFill="background1" w:themeFillShade="F2"/>
          </w:tcPr>
          <w:p w14:paraId="5D75A545" w14:textId="5B14D1CD" w:rsidR="00BD3734" w:rsidRPr="00F634CD" w:rsidRDefault="00BD3734" w:rsidP="00BD3734">
            <w:pPr>
              <w:tabs>
                <w:tab w:val="left" w:pos="218"/>
                <w:tab w:val="center" w:pos="600"/>
              </w:tabs>
              <w:spacing w:line="360" w:lineRule="auto"/>
              <w:rPr>
                <w:rFonts w:asciiTheme="majorBidi" w:hAnsiTheme="majorBidi" w:cstheme="majorBidi"/>
                <w:kern w:val="24"/>
                <w:sz w:val="24"/>
                <w:szCs w:val="24"/>
              </w:rPr>
            </w:pPr>
          </w:p>
        </w:tc>
        <w:tc>
          <w:tcPr>
            <w:tcW w:w="1134" w:type="dxa"/>
            <w:shd w:val="solid" w:color="F2F2F2" w:themeColor="background1" w:themeShade="F2" w:fill="F2F2F2" w:themeFill="background1" w:themeFillShade="F2"/>
          </w:tcPr>
          <w:p w14:paraId="05523252"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134" w:type="dxa"/>
            <w:shd w:val="solid" w:color="F2F2F2" w:themeColor="background1" w:themeShade="F2" w:fill="F2F2F2" w:themeFill="background1" w:themeFillShade="F2"/>
          </w:tcPr>
          <w:p w14:paraId="3D6116A2"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417" w:type="dxa"/>
            <w:shd w:val="solid" w:color="F2F2F2" w:themeColor="background1" w:themeShade="F2" w:fill="F2F2F2" w:themeFill="background1" w:themeFillShade="F2"/>
          </w:tcPr>
          <w:p w14:paraId="50AE0A16"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559" w:type="dxa"/>
            <w:shd w:val="solid" w:color="F2F2F2" w:themeColor="background1" w:themeShade="F2" w:fill="F2F2F2" w:themeFill="background1" w:themeFillShade="F2"/>
          </w:tcPr>
          <w:p w14:paraId="3FC5C18A"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134" w:type="dxa"/>
            <w:shd w:val="solid" w:color="F2F2F2" w:themeColor="background1" w:themeShade="F2" w:fill="F2F2F2" w:themeFill="background1" w:themeFillShade="F2"/>
          </w:tcPr>
          <w:p w14:paraId="209E92EB"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r>
      <w:tr w:rsidR="00BD3734" w:rsidRPr="00F634CD" w14:paraId="5B51EA6C" w14:textId="77777777" w:rsidTr="002814F3">
        <w:trPr>
          <w:trHeight w:val="567"/>
        </w:trPr>
        <w:tc>
          <w:tcPr>
            <w:tcW w:w="1526" w:type="dxa"/>
            <w:shd w:val="solid" w:color="F2F2F2" w:themeColor="background1" w:themeShade="F2" w:fill="F2F2F2" w:themeFill="background1" w:themeFillShade="F2"/>
            <w:vAlign w:val="center"/>
          </w:tcPr>
          <w:p w14:paraId="34AD39BB" w14:textId="77777777" w:rsidR="00BD3734" w:rsidRPr="002814F3" w:rsidRDefault="00BD3734" w:rsidP="002814F3">
            <w:pPr>
              <w:tabs>
                <w:tab w:val="center" w:pos="4536"/>
              </w:tabs>
              <w:spacing w:line="360" w:lineRule="auto"/>
              <w:jc w:val="left"/>
              <w:rPr>
                <w:rFonts w:asciiTheme="majorBidi" w:hAnsiTheme="majorBidi" w:cstheme="majorBidi"/>
                <w:i/>
                <w:iCs/>
                <w:kern w:val="24"/>
                <w:sz w:val="24"/>
                <w:szCs w:val="24"/>
              </w:rPr>
            </w:pPr>
            <w:r w:rsidRPr="002814F3">
              <w:rPr>
                <w:rFonts w:asciiTheme="majorBidi" w:hAnsiTheme="majorBidi" w:cstheme="majorBidi"/>
                <w:i/>
                <w:iCs/>
                <w:kern w:val="24"/>
                <w:sz w:val="24"/>
                <w:szCs w:val="24"/>
              </w:rPr>
              <w:t>Ijara</w:t>
            </w:r>
          </w:p>
        </w:tc>
        <w:tc>
          <w:tcPr>
            <w:tcW w:w="1417" w:type="dxa"/>
            <w:shd w:val="solid" w:color="F2F2F2" w:themeColor="background1" w:themeShade="F2" w:fill="F2F2F2" w:themeFill="background1" w:themeFillShade="F2"/>
          </w:tcPr>
          <w:p w14:paraId="748C7B98"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134" w:type="dxa"/>
            <w:shd w:val="solid" w:color="F2F2F2" w:themeColor="background1" w:themeShade="F2" w:fill="F2F2F2" w:themeFill="background1" w:themeFillShade="F2"/>
          </w:tcPr>
          <w:p w14:paraId="4C6E6D0E"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134" w:type="dxa"/>
            <w:shd w:val="solid" w:color="F2F2F2" w:themeColor="background1" w:themeShade="F2" w:fill="F2F2F2" w:themeFill="background1" w:themeFillShade="F2"/>
          </w:tcPr>
          <w:p w14:paraId="435A8F39"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417" w:type="dxa"/>
            <w:shd w:val="solid" w:color="F2F2F2" w:themeColor="background1" w:themeShade="F2" w:fill="F2F2F2" w:themeFill="background1" w:themeFillShade="F2"/>
          </w:tcPr>
          <w:p w14:paraId="04354F15"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559" w:type="dxa"/>
            <w:shd w:val="solid" w:color="F2F2F2" w:themeColor="background1" w:themeShade="F2" w:fill="F2F2F2" w:themeFill="background1" w:themeFillShade="F2"/>
          </w:tcPr>
          <w:p w14:paraId="0C279626"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134" w:type="dxa"/>
            <w:shd w:val="solid" w:color="F2F2F2" w:themeColor="background1" w:themeShade="F2" w:fill="F2F2F2" w:themeFill="background1" w:themeFillShade="F2"/>
          </w:tcPr>
          <w:p w14:paraId="65B7E826"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r>
      <w:tr w:rsidR="00BD3734" w:rsidRPr="00F634CD" w14:paraId="2D283CA4" w14:textId="77777777" w:rsidTr="002814F3">
        <w:trPr>
          <w:trHeight w:val="737"/>
        </w:trPr>
        <w:tc>
          <w:tcPr>
            <w:tcW w:w="1526" w:type="dxa"/>
            <w:shd w:val="solid" w:color="F2F2F2" w:themeColor="background1" w:themeShade="F2" w:fill="F2F2F2" w:themeFill="background1" w:themeFillShade="F2"/>
            <w:vAlign w:val="center"/>
          </w:tcPr>
          <w:p w14:paraId="709B0B4C" w14:textId="77777777" w:rsidR="00BD3734" w:rsidRPr="002814F3" w:rsidRDefault="00BD3734" w:rsidP="002814F3">
            <w:pPr>
              <w:tabs>
                <w:tab w:val="center" w:pos="4536"/>
              </w:tabs>
              <w:spacing w:line="360" w:lineRule="auto"/>
              <w:jc w:val="left"/>
              <w:rPr>
                <w:rFonts w:asciiTheme="majorBidi" w:hAnsiTheme="majorBidi" w:cstheme="majorBidi"/>
                <w:i/>
                <w:iCs/>
                <w:kern w:val="24"/>
                <w:sz w:val="24"/>
                <w:szCs w:val="24"/>
              </w:rPr>
            </w:pPr>
            <w:r w:rsidRPr="002814F3">
              <w:rPr>
                <w:rFonts w:asciiTheme="majorBidi" w:hAnsiTheme="majorBidi" w:cstheme="majorBidi"/>
                <w:i/>
                <w:iCs/>
                <w:kern w:val="24"/>
                <w:sz w:val="24"/>
                <w:szCs w:val="24"/>
              </w:rPr>
              <w:t>Moucharaka</w:t>
            </w:r>
          </w:p>
        </w:tc>
        <w:tc>
          <w:tcPr>
            <w:tcW w:w="1417" w:type="dxa"/>
            <w:shd w:val="solid" w:color="F2F2F2" w:themeColor="background1" w:themeShade="F2" w:fill="F2F2F2" w:themeFill="background1" w:themeFillShade="F2"/>
          </w:tcPr>
          <w:p w14:paraId="070D4931"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134" w:type="dxa"/>
            <w:shd w:val="solid" w:color="F2F2F2" w:themeColor="background1" w:themeShade="F2" w:fill="F2F2F2" w:themeFill="background1" w:themeFillShade="F2"/>
          </w:tcPr>
          <w:p w14:paraId="23BD838A"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134" w:type="dxa"/>
            <w:shd w:val="solid" w:color="F2F2F2" w:themeColor="background1" w:themeShade="F2" w:fill="F2F2F2" w:themeFill="background1" w:themeFillShade="F2"/>
          </w:tcPr>
          <w:p w14:paraId="386C1B73"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417" w:type="dxa"/>
            <w:shd w:val="solid" w:color="F2F2F2" w:themeColor="background1" w:themeShade="F2" w:fill="F2F2F2" w:themeFill="background1" w:themeFillShade="F2"/>
          </w:tcPr>
          <w:p w14:paraId="2665EE36"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559" w:type="dxa"/>
            <w:shd w:val="solid" w:color="F2F2F2" w:themeColor="background1" w:themeShade="F2" w:fill="F2F2F2" w:themeFill="background1" w:themeFillShade="F2"/>
          </w:tcPr>
          <w:p w14:paraId="2F704285"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134" w:type="dxa"/>
            <w:shd w:val="solid" w:color="F2F2F2" w:themeColor="background1" w:themeShade="F2" w:fill="F2F2F2" w:themeFill="background1" w:themeFillShade="F2"/>
          </w:tcPr>
          <w:p w14:paraId="00B4A4F0"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r>
      <w:tr w:rsidR="00BD3734" w:rsidRPr="00F634CD" w14:paraId="1198E19C" w14:textId="77777777" w:rsidTr="002814F3">
        <w:trPr>
          <w:trHeight w:val="737"/>
        </w:trPr>
        <w:tc>
          <w:tcPr>
            <w:tcW w:w="1526" w:type="dxa"/>
            <w:shd w:val="solid" w:color="F2F2F2" w:themeColor="background1" w:themeShade="F2" w:fill="F2F2F2" w:themeFill="background1" w:themeFillShade="F2"/>
            <w:vAlign w:val="center"/>
          </w:tcPr>
          <w:p w14:paraId="7BAB34EB" w14:textId="77777777" w:rsidR="00BD3734" w:rsidRPr="002814F3" w:rsidRDefault="00BD3734" w:rsidP="002814F3">
            <w:pPr>
              <w:tabs>
                <w:tab w:val="center" w:pos="4536"/>
              </w:tabs>
              <w:spacing w:line="360" w:lineRule="auto"/>
              <w:jc w:val="left"/>
              <w:rPr>
                <w:rFonts w:asciiTheme="majorBidi" w:hAnsiTheme="majorBidi" w:cstheme="majorBidi"/>
                <w:i/>
                <w:iCs/>
                <w:kern w:val="24"/>
                <w:sz w:val="24"/>
                <w:szCs w:val="24"/>
              </w:rPr>
            </w:pPr>
            <w:r w:rsidRPr="002814F3">
              <w:rPr>
                <w:rFonts w:asciiTheme="majorBidi" w:hAnsiTheme="majorBidi" w:cstheme="majorBidi"/>
                <w:i/>
                <w:iCs/>
                <w:kern w:val="24"/>
                <w:sz w:val="24"/>
                <w:szCs w:val="24"/>
              </w:rPr>
              <w:t>Salam</w:t>
            </w:r>
          </w:p>
        </w:tc>
        <w:tc>
          <w:tcPr>
            <w:tcW w:w="1417" w:type="dxa"/>
            <w:shd w:val="solid" w:color="F2F2F2" w:themeColor="background1" w:themeShade="F2" w:fill="F2F2F2" w:themeFill="background1" w:themeFillShade="F2"/>
          </w:tcPr>
          <w:p w14:paraId="721A22CD"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134" w:type="dxa"/>
            <w:shd w:val="solid" w:color="F2F2F2" w:themeColor="background1" w:themeShade="F2" w:fill="F2F2F2" w:themeFill="background1" w:themeFillShade="F2"/>
          </w:tcPr>
          <w:p w14:paraId="6FB60BA1"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134" w:type="dxa"/>
            <w:shd w:val="solid" w:color="F2F2F2" w:themeColor="background1" w:themeShade="F2" w:fill="F2F2F2" w:themeFill="background1" w:themeFillShade="F2"/>
          </w:tcPr>
          <w:p w14:paraId="35E914C1"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417" w:type="dxa"/>
            <w:shd w:val="solid" w:color="F2F2F2" w:themeColor="background1" w:themeShade="F2" w:fill="F2F2F2" w:themeFill="background1" w:themeFillShade="F2"/>
          </w:tcPr>
          <w:p w14:paraId="49CDEDEE"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559" w:type="dxa"/>
            <w:shd w:val="solid" w:color="F2F2F2" w:themeColor="background1" w:themeShade="F2" w:fill="F2F2F2" w:themeFill="background1" w:themeFillShade="F2"/>
          </w:tcPr>
          <w:p w14:paraId="7C2D97AD"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134" w:type="dxa"/>
            <w:shd w:val="solid" w:color="F2F2F2" w:themeColor="background1" w:themeShade="F2" w:fill="F2F2F2" w:themeFill="background1" w:themeFillShade="F2"/>
          </w:tcPr>
          <w:p w14:paraId="7C20CE57"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r>
      <w:tr w:rsidR="00BD3734" w:rsidRPr="00F634CD" w14:paraId="5E08CF91" w14:textId="77777777" w:rsidTr="002814F3">
        <w:trPr>
          <w:trHeight w:val="737"/>
        </w:trPr>
        <w:tc>
          <w:tcPr>
            <w:tcW w:w="1526" w:type="dxa"/>
            <w:shd w:val="solid" w:color="F2F2F2" w:themeColor="background1" w:themeShade="F2" w:fill="F2F2F2" w:themeFill="background1" w:themeFillShade="F2"/>
            <w:vAlign w:val="center"/>
          </w:tcPr>
          <w:p w14:paraId="3113D6D8" w14:textId="2AC177CA" w:rsidR="00BD3734" w:rsidRPr="002814F3" w:rsidRDefault="00BD3734" w:rsidP="002814F3">
            <w:pPr>
              <w:tabs>
                <w:tab w:val="center" w:pos="4536"/>
              </w:tabs>
              <w:spacing w:line="360" w:lineRule="auto"/>
              <w:jc w:val="left"/>
              <w:rPr>
                <w:rFonts w:asciiTheme="majorBidi" w:hAnsiTheme="majorBidi" w:cstheme="majorBidi"/>
                <w:i/>
                <w:iCs/>
                <w:kern w:val="24"/>
                <w:sz w:val="24"/>
                <w:szCs w:val="24"/>
              </w:rPr>
            </w:pPr>
            <w:r w:rsidRPr="002814F3">
              <w:rPr>
                <w:rFonts w:asciiTheme="majorBidi" w:hAnsiTheme="majorBidi" w:cstheme="majorBidi"/>
                <w:i/>
                <w:iCs/>
                <w:kern w:val="24"/>
                <w:sz w:val="24"/>
                <w:szCs w:val="24"/>
              </w:rPr>
              <w:t>Moudaraba</w:t>
            </w:r>
          </w:p>
        </w:tc>
        <w:tc>
          <w:tcPr>
            <w:tcW w:w="1417" w:type="dxa"/>
            <w:shd w:val="solid" w:color="F2F2F2" w:themeColor="background1" w:themeShade="F2" w:fill="F2F2F2" w:themeFill="background1" w:themeFillShade="F2"/>
          </w:tcPr>
          <w:p w14:paraId="6125E6A5"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134" w:type="dxa"/>
            <w:shd w:val="solid" w:color="F2F2F2" w:themeColor="background1" w:themeShade="F2" w:fill="F2F2F2" w:themeFill="background1" w:themeFillShade="F2"/>
          </w:tcPr>
          <w:p w14:paraId="060E4167"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134" w:type="dxa"/>
            <w:shd w:val="solid" w:color="F2F2F2" w:themeColor="background1" w:themeShade="F2" w:fill="F2F2F2" w:themeFill="background1" w:themeFillShade="F2"/>
          </w:tcPr>
          <w:p w14:paraId="6BEFD0C0"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417" w:type="dxa"/>
            <w:shd w:val="solid" w:color="F2F2F2" w:themeColor="background1" w:themeShade="F2" w:fill="F2F2F2" w:themeFill="background1" w:themeFillShade="F2"/>
          </w:tcPr>
          <w:p w14:paraId="6A2848C3"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559" w:type="dxa"/>
            <w:shd w:val="solid" w:color="F2F2F2" w:themeColor="background1" w:themeShade="F2" w:fill="F2F2F2" w:themeFill="background1" w:themeFillShade="F2"/>
          </w:tcPr>
          <w:p w14:paraId="267C5A27"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134" w:type="dxa"/>
            <w:shd w:val="solid" w:color="F2F2F2" w:themeColor="background1" w:themeShade="F2" w:fill="F2F2F2" w:themeFill="background1" w:themeFillShade="F2"/>
          </w:tcPr>
          <w:p w14:paraId="0B9B4092"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r>
      <w:tr w:rsidR="00BD3734" w:rsidRPr="00F634CD" w14:paraId="1AD88CC9" w14:textId="77777777" w:rsidTr="002814F3">
        <w:trPr>
          <w:trHeight w:val="737"/>
        </w:trPr>
        <w:tc>
          <w:tcPr>
            <w:tcW w:w="1526" w:type="dxa"/>
            <w:shd w:val="solid" w:color="F2F2F2" w:themeColor="background1" w:themeShade="F2" w:fill="F2F2F2" w:themeFill="background1" w:themeFillShade="F2"/>
            <w:vAlign w:val="center"/>
          </w:tcPr>
          <w:p w14:paraId="130FE62A" w14:textId="16FE8BDA" w:rsidR="00BD3734" w:rsidRPr="002814F3" w:rsidRDefault="00BD3734" w:rsidP="002814F3">
            <w:pPr>
              <w:tabs>
                <w:tab w:val="center" w:pos="4536"/>
              </w:tabs>
              <w:spacing w:line="360" w:lineRule="auto"/>
              <w:jc w:val="left"/>
              <w:rPr>
                <w:rFonts w:asciiTheme="majorBidi" w:hAnsiTheme="majorBidi" w:cstheme="majorBidi"/>
                <w:i/>
                <w:iCs/>
                <w:kern w:val="24"/>
                <w:sz w:val="24"/>
                <w:szCs w:val="24"/>
              </w:rPr>
            </w:pPr>
            <w:r w:rsidRPr="002814F3">
              <w:rPr>
                <w:rFonts w:asciiTheme="majorBidi" w:hAnsiTheme="majorBidi" w:cstheme="majorBidi"/>
                <w:i/>
                <w:iCs/>
                <w:kern w:val="24"/>
                <w:sz w:val="24"/>
                <w:szCs w:val="24"/>
              </w:rPr>
              <w:t>Istisna</w:t>
            </w:r>
            <w:r w:rsidR="00D40A21" w:rsidRPr="002814F3">
              <w:rPr>
                <w:rFonts w:asciiTheme="majorBidi" w:hAnsiTheme="majorBidi" w:cstheme="majorBidi"/>
                <w:i/>
                <w:iCs/>
                <w:kern w:val="24"/>
                <w:sz w:val="24"/>
                <w:szCs w:val="24"/>
              </w:rPr>
              <w:t>’a</w:t>
            </w:r>
          </w:p>
        </w:tc>
        <w:tc>
          <w:tcPr>
            <w:tcW w:w="1417" w:type="dxa"/>
            <w:shd w:val="solid" w:color="F2F2F2" w:themeColor="background1" w:themeShade="F2" w:fill="F2F2F2" w:themeFill="background1" w:themeFillShade="F2"/>
          </w:tcPr>
          <w:p w14:paraId="63FD8FBB"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134" w:type="dxa"/>
            <w:shd w:val="solid" w:color="F2F2F2" w:themeColor="background1" w:themeShade="F2" w:fill="F2F2F2" w:themeFill="background1" w:themeFillShade="F2"/>
          </w:tcPr>
          <w:p w14:paraId="117FD4CD"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134" w:type="dxa"/>
            <w:shd w:val="solid" w:color="F2F2F2" w:themeColor="background1" w:themeShade="F2" w:fill="F2F2F2" w:themeFill="background1" w:themeFillShade="F2"/>
          </w:tcPr>
          <w:p w14:paraId="7013641B"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417" w:type="dxa"/>
            <w:shd w:val="solid" w:color="F2F2F2" w:themeColor="background1" w:themeShade="F2" w:fill="F2F2F2" w:themeFill="background1" w:themeFillShade="F2"/>
          </w:tcPr>
          <w:p w14:paraId="32F46362" w14:textId="77777777" w:rsidR="00BD3734" w:rsidRPr="00F634CD" w:rsidRDefault="00BD3734" w:rsidP="00BD3734">
            <w:pPr>
              <w:tabs>
                <w:tab w:val="center" w:pos="4536"/>
              </w:tabs>
              <w:spacing w:line="360" w:lineRule="auto"/>
              <w:rPr>
                <w:rFonts w:asciiTheme="majorBidi" w:hAnsiTheme="majorBidi" w:cstheme="majorBidi"/>
                <w:kern w:val="24"/>
                <w:sz w:val="24"/>
                <w:szCs w:val="24"/>
              </w:rPr>
            </w:pPr>
          </w:p>
        </w:tc>
        <w:tc>
          <w:tcPr>
            <w:tcW w:w="1559" w:type="dxa"/>
            <w:shd w:val="solid" w:color="F2F2F2" w:themeColor="background1" w:themeShade="F2" w:fill="F2F2F2" w:themeFill="background1" w:themeFillShade="F2"/>
          </w:tcPr>
          <w:p w14:paraId="64957EF1"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c>
          <w:tcPr>
            <w:tcW w:w="1134" w:type="dxa"/>
            <w:shd w:val="solid" w:color="F2F2F2" w:themeColor="background1" w:themeShade="F2" w:fill="F2F2F2" w:themeFill="background1" w:themeFillShade="F2"/>
          </w:tcPr>
          <w:p w14:paraId="5633C34F" w14:textId="77777777" w:rsidR="00BD3734" w:rsidRPr="00F634CD" w:rsidRDefault="00BD3734" w:rsidP="00BD3734">
            <w:pPr>
              <w:tabs>
                <w:tab w:val="center" w:pos="4536"/>
              </w:tabs>
              <w:spacing w:line="360" w:lineRule="auto"/>
              <w:rPr>
                <w:rFonts w:asciiTheme="majorBidi" w:hAnsiTheme="majorBidi" w:cstheme="majorBidi"/>
                <w:noProof/>
                <w:kern w:val="24"/>
                <w:sz w:val="24"/>
                <w:szCs w:val="24"/>
                <w:lang w:eastAsia="fr-FR"/>
              </w:rPr>
            </w:pPr>
          </w:p>
        </w:tc>
      </w:tr>
    </w:tbl>
    <w:p w14:paraId="009DC1C2" w14:textId="77777777" w:rsidR="005D5B9E" w:rsidRPr="00F634CD" w:rsidRDefault="005D5B9E" w:rsidP="00D91EA8">
      <w:pPr>
        <w:pageBreakBefore/>
        <w:tabs>
          <w:tab w:val="center" w:pos="4536"/>
        </w:tabs>
        <w:spacing w:before="100" w:beforeAutospacing="1" w:after="100" w:afterAutospacing="1"/>
        <w:rPr>
          <w:rFonts w:ascii="Times New Roman" w:hAnsi="Times New Roman" w:cs="Times New Roman"/>
          <w:b/>
          <w:bCs/>
          <w:i/>
          <w:iCs/>
          <w:kern w:val="24"/>
          <w:sz w:val="28"/>
          <w:szCs w:val="28"/>
        </w:rPr>
      </w:pPr>
      <w:r w:rsidRPr="00F634CD">
        <w:rPr>
          <w:rFonts w:ascii="Times New Roman" w:hAnsi="Times New Roman" w:cs="Times New Roman"/>
          <w:b/>
          <w:bCs/>
          <w:i/>
          <w:iCs/>
          <w:kern w:val="24"/>
          <w:sz w:val="28"/>
          <w:szCs w:val="28"/>
        </w:rPr>
        <w:t xml:space="preserve">III. Pratiques bancaires </w:t>
      </w:r>
      <w:r w:rsidR="00DD2B9B" w:rsidRPr="00F634CD">
        <w:rPr>
          <w:rFonts w:ascii="Times New Roman" w:hAnsi="Times New Roman" w:cs="Times New Roman"/>
          <w:b/>
          <w:bCs/>
          <w:i/>
          <w:iCs/>
          <w:kern w:val="24"/>
          <w:sz w:val="28"/>
          <w:szCs w:val="28"/>
        </w:rPr>
        <w:t>i</w:t>
      </w:r>
      <w:r w:rsidR="003773C6" w:rsidRPr="00F634CD">
        <w:rPr>
          <w:rFonts w:ascii="Times New Roman" w:hAnsi="Times New Roman" w:cs="Times New Roman"/>
          <w:b/>
          <w:bCs/>
          <w:i/>
          <w:iCs/>
          <w:kern w:val="24"/>
          <w:sz w:val="28"/>
          <w:szCs w:val="28"/>
        </w:rPr>
        <w:t>slamique</w:t>
      </w:r>
      <w:r w:rsidRPr="00F634CD">
        <w:rPr>
          <w:rFonts w:ascii="Times New Roman" w:hAnsi="Times New Roman" w:cs="Times New Roman"/>
          <w:b/>
          <w:bCs/>
          <w:i/>
          <w:iCs/>
          <w:kern w:val="24"/>
          <w:sz w:val="28"/>
          <w:szCs w:val="28"/>
        </w:rPr>
        <w:t>s</w:t>
      </w:r>
    </w:p>
    <w:p w14:paraId="3F1ECE92" w14:textId="77777777" w:rsidR="005D5B9E" w:rsidRPr="00F634CD" w:rsidRDefault="005D5B9E" w:rsidP="0007636F">
      <w:pPr>
        <w:tabs>
          <w:tab w:val="center" w:pos="4536"/>
        </w:tabs>
        <w:spacing w:before="120" w:after="100" w:afterAutospacing="1"/>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11.</w:t>
      </w:r>
      <w:r w:rsidRPr="00F634CD">
        <w:rPr>
          <w:rFonts w:ascii="Times New Roman" w:hAnsi="Times New Roman" w:cs="Times New Roman"/>
          <w:kern w:val="24"/>
          <w:sz w:val="24"/>
          <w:szCs w:val="24"/>
        </w:rPr>
        <w:t xml:space="preserve"> </w:t>
      </w:r>
      <w:r w:rsidRPr="00F634CD">
        <w:rPr>
          <w:rFonts w:ascii="Times New Roman" w:hAnsi="Times New Roman" w:cs="Times New Roman"/>
          <w:b/>
          <w:bCs/>
          <w:i/>
          <w:iCs/>
          <w:kern w:val="24"/>
          <w:sz w:val="24"/>
          <w:szCs w:val="24"/>
        </w:rPr>
        <w:t>Veuillez cocher les cases appropriées dans le tableau ci-dessous :</w:t>
      </w:r>
    </w:p>
    <w:tbl>
      <w:tblPr>
        <w:tblStyle w:val="Grilledutableau"/>
        <w:tblW w:w="0" w:type="auto"/>
        <w:shd w:val="solid" w:color="F2F2F2" w:themeColor="background1" w:themeShade="F2" w:fill="F2F2F2" w:themeFill="background1" w:themeFillShade="F2"/>
        <w:tblLayout w:type="fixed"/>
        <w:tblLook w:val="04A0" w:firstRow="1" w:lastRow="0" w:firstColumn="1" w:lastColumn="0" w:noHBand="0" w:noVBand="1"/>
      </w:tblPr>
      <w:tblGrid>
        <w:gridCol w:w="3085"/>
        <w:gridCol w:w="1418"/>
        <w:gridCol w:w="992"/>
        <w:gridCol w:w="992"/>
        <w:gridCol w:w="1276"/>
        <w:gridCol w:w="1502"/>
      </w:tblGrid>
      <w:tr w:rsidR="00D504F4" w:rsidRPr="00F634CD" w14:paraId="21F85906" w14:textId="77777777" w:rsidTr="00B6096E">
        <w:tc>
          <w:tcPr>
            <w:tcW w:w="3085" w:type="dxa"/>
            <w:shd w:val="solid" w:color="F2F2F2" w:themeColor="background1" w:themeShade="F2" w:fill="F2F2F2" w:themeFill="background1" w:themeFillShade="F2"/>
            <w:vAlign w:val="center"/>
          </w:tcPr>
          <w:p w14:paraId="1BE79F7E" w14:textId="77777777" w:rsidR="00D504F4" w:rsidRPr="00F634CD" w:rsidRDefault="00D504F4" w:rsidP="00B6096E">
            <w:pPr>
              <w:tabs>
                <w:tab w:val="center" w:pos="4536"/>
              </w:tabs>
              <w:spacing w:line="360" w:lineRule="auto"/>
              <w:jc w:val="left"/>
              <w:rPr>
                <w:rFonts w:asciiTheme="majorBidi" w:hAnsiTheme="majorBidi" w:cstheme="majorBidi"/>
                <w:kern w:val="24"/>
                <w:sz w:val="24"/>
                <w:szCs w:val="24"/>
              </w:rPr>
            </w:pPr>
          </w:p>
        </w:tc>
        <w:tc>
          <w:tcPr>
            <w:tcW w:w="1418" w:type="dxa"/>
            <w:shd w:val="solid" w:color="F2F2F2" w:themeColor="background1" w:themeShade="F2" w:fill="F2F2F2" w:themeFill="background1" w:themeFillShade="F2"/>
            <w:vAlign w:val="center"/>
          </w:tcPr>
          <w:p w14:paraId="1FDE6BA8" w14:textId="77777777" w:rsidR="00D504F4" w:rsidRPr="00F634CD" w:rsidRDefault="00D504F4" w:rsidP="00D504F4">
            <w:pPr>
              <w:tabs>
                <w:tab w:val="center" w:pos="4536"/>
              </w:tabs>
              <w:jc w:val="center"/>
              <w:rPr>
                <w:rFonts w:asciiTheme="majorBidi" w:hAnsiTheme="majorBidi" w:cstheme="majorBidi"/>
                <w:kern w:val="24"/>
                <w:sz w:val="24"/>
                <w:szCs w:val="24"/>
              </w:rPr>
            </w:pPr>
            <w:r w:rsidRPr="00F634CD">
              <w:rPr>
                <w:rFonts w:asciiTheme="majorBidi" w:hAnsiTheme="majorBidi" w:cstheme="majorBidi"/>
                <w:kern w:val="24"/>
                <w:sz w:val="24"/>
                <w:szCs w:val="24"/>
              </w:rPr>
              <w:t>Fortement en accord</w:t>
            </w:r>
          </w:p>
        </w:tc>
        <w:tc>
          <w:tcPr>
            <w:tcW w:w="992" w:type="dxa"/>
            <w:shd w:val="solid" w:color="F2F2F2" w:themeColor="background1" w:themeShade="F2" w:fill="F2F2F2" w:themeFill="background1" w:themeFillShade="F2"/>
            <w:vAlign w:val="center"/>
          </w:tcPr>
          <w:p w14:paraId="32D4DF6D" w14:textId="77777777" w:rsidR="00D504F4" w:rsidRPr="00F634CD" w:rsidRDefault="00D504F4" w:rsidP="00D504F4">
            <w:pPr>
              <w:tabs>
                <w:tab w:val="center" w:pos="4536"/>
              </w:tabs>
              <w:jc w:val="center"/>
              <w:rPr>
                <w:rFonts w:asciiTheme="majorBidi" w:hAnsiTheme="majorBidi" w:cstheme="majorBidi"/>
                <w:kern w:val="24"/>
                <w:sz w:val="24"/>
                <w:szCs w:val="24"/>
              </w:rPr>
            </w:pPr>
            <w:r w:rsidRPr="00F634CD">
              <w:rPr>
                <w:rFonts w:asciiTheme="majorBidi" w:hAnsiTheme="majorBidi" w:cstheme="majorBidi"/>
                <w:kern w:val="24"/>
                <w:sz w:val="24"/>
                <w:szCs w:val="24"/>
              </w:rPr>
              <w:t>En accord</w:t>
            </w:r>
          </w:p>
        </w:tc>
        <w:tc>
          <w:tcPr>
            <w:tcW w:w="992" w:type="dxa"/>
            <w:shd w:val="solid" w:color="F2F2F2" w:themeColor="background1" w:themeShade="F2" w:fill="F2F2F2" w:themeFill="background1" w:themeFillShade="F2"/>
            <w:vAlign w:val="center"/>
          </w:tcPr>
          <w:p w14:paraId="2B8C38CF" w14:textId="77777777" w:rsidR="00D504F4" w:rsidRPr="00F634CD" w:rsidRDefault="00D504F4" w:rsidP="00D504F4">
            <w:pPr>
              <w:tabs>
                <w:tab w:val="center" w:pos="4536"/>
              </w:tabs>
              <w:jc w:val="center"/>
              <w:rPr>
                <w:rFonts w:asciiTheme="majorBidi" w:hAnsiTheme="majorBidi" w:cstheme="majorBidi"/>
                <w:kern w:val="24"/>
                <w:sz w:val="24"/>
                <w:szCs w:val="24"/>
              </w:rPr>
            </w:pPr>
            <w:r w:rsidRPr="00F634CD">
              <w:rPr>
                <w:rFonts w:asciiTheme="majorBidi" w:hAnsiTheme="majorBidi" w:cstheme="majorBidi"/>
                <w:kern w:val="24"/>
                <w:sz w:val="24"/>
                <w:szCs w:val="24"/>
              </w:rPr>
              <w:t>Peu en accord</w:t>
            </w:r>
          </w:p>
        </w:tc>
        <w:tc>
          <w:tcPr>
            <w:tcW w:w="1276" w:type="dxa"/>
            <w:shd w:val="solid" w:color="F2F2F2" w:themeColor="background1" w:themeShade="F2" w:fill="F2F2F2" w:themeFill="background1" w:themeFillShade="F2"/>
            <w:vAlign w:val="center"/>
          </w:tcPr>
          <w:p w14:paraId="3D6C195E" w14:textId="77777777" w:rsidR="00D504F4" w:rsidRPr="00F634CD" w:rsidRDefault="00D504F4" w:rsidP="00D504F4">
            <w:pPr>
              <w:tabs>
                <w:tab w:val="center" w:pos="4536"/>
              </w:tabs>
              <w:jc w:val="center"/>
              <w:rPr>
                <w:rFonts w:asciiTheme="majorBidi" w:hAnsiTheme="majorBidi" w:cstheme="majorBidi"/>
                <w:kern w:val="24"/>
                <w:sz w:val="24"/>
                <w:szCs w:val="24"/>
              </w:rPr>
            </w:pPr>
            <w:r w:rsidRPr="00F634CD">
              <w:rPr>
                <w:rFonts w:asciiTheme="majorBidi" w:hAnsiTheme="majorBidi" w:cstheme="majorBidi"/>
                <w:kern w:val="24"/>
                <w:sz w:val="24"/>
                <w:szCs w:val="24"/>
              </w:rPr>
              <w:t>En désaccord</w:t>
            </w:r>
          </w:p>
        </w:tc>
        <w:tc>
          <w:tcPr>
            <w:tcW w:w="1502" w:type="dxa"/>
            <w:shd w:val="solid" w:color="F2F2F2" w:themeColor="background1" w:themeShade="F2" w:fill="F2F2F2" w:themeFill="background1" w:themeFillShade="F2"/>
            <w:vAlign w:val="center"/>
          </w:tcPr>
          <w:p w14:paraId="7715FF84" w14:textId="77777777" w:rsidR="00D504F4" w:rsidRPr="00F634CD" w:rsidRDefault="00D504F4" w:rsidP="00D504F4">
            <w:pPr>
              <w:tabs>
                <w:tab w:val="center" w:pos="4536"/>
              </w:tabs>
              <w:jc w:val="center"/>
              <w:rPr>
                <w:rFonts w:asciiTheme="majorBidi" w:hAnsiTheme="majorBidi" w:cstheme="majorBidi"/>
                <w:kern w:val="24"/>
                <w:sz w:val="24"/>
                <w:szCs w:val="24"/>
              </w:rPr>
            </w:pPr>
            <w:r w:rsidRPr="00F634CD">
              <w:rPr>
                <w:rFonts w:asciiTheme="majorBidi" w:hAnsiTheme="majorBidi" w:cstheme="majorBidi"/>
                <w:kern w:val="24"/>
                <w:sz w:val="24"/>
                <w:szCs w:val="24"/>
              </w:rPr>
              <w:t>Fortement en désaccord</w:t>
            </w:r>
          </w:p>
        </w:tc>
      </w:tr>
      <w:tr w:rsidR="00D504F4" w:rsidRPr="00F634CD" w14:paraId="4EA59873" w14:textId="77777777" w:rsidTr="00B6096E">
        <w:trPr>
          <w:trHeight w:val="794"/>
        </w:trPr>
        <w:tc>
          <w:tcPr>
            <w:tcW w:w="3085" w:type="dxa"/>
            <w:shd w:val="solid" w:color="F2F2F2" w:themeColor="background1" w:themeShade="F2" w:fill="F2F2F2" w:themeFill="background1" w:themeFillShade="F2"/>
            <w:vAlign w:val="center"/>
          </w:tcPr>
          <w:p w14:paraId="4F7C0E93" w14:textId="77777777" w:rsidR="00D504F4" w:rsidRPr="00F634CD" w:rsidRDefault="00D504F4" w:rsidP="00B6096E">
            <w:pPr>
              <w:tabs>
                <w:tab w:val="center" w:pos="4536"/>
              </w:tabs>
              <w:jc w:val="left"/>
              <w:rPr>
                <w:rFonts w:asciiTheme="majorBidi" w:hAnsiTheme="majorBidi" w:cstheme="majorBidi"/>
                <w:spacing w:val="-6"/>
                <w:kern w:val="24"/>
                <w:sz w:val="24"/>
                <w:szCs w:val="24"/>
              </w:rPr>
            </w:pPr>
            <w:r w:rsidRPr="00F634CD">
              <w:rPr>
                <w:rFonts w:asciiTheme="majorBidi" w:hAnsiTheme="majorBidi" w:cstheme="majorBidi"/>
                <w:spacing w:val="-6"/>
                <w:kern w:val="24"/>
                <w:sz w:val="24"/>
                <w:szCs w:val="24"/>
              </w:rPr>
              <w:t>Les banques islamiques imitent les banques conventionnelles.</w:t>
            </w:r>
          </w:p>
        </w:tc>
        <w:tc>
          <w:tcPr>
            <w:tcW w:w="1418" w:type="dxa"/>
            <w:shd w:val="solid" w:color="F2F2F2" w:themeColor="background1" w:themeShade="F2" w:fill="F2F2F2" w:themeFill="background1" w:themeFillShade="F2"/>
          </w:tcPr>
          <w:p w14:paraId="6547FD9C" w14:textId="6530CBBD"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692032" behindDoc="0" locked="0" layoutInCell="1" allowOverlap="1" wp14:anchorId="788F28F1" wp14:editId="613C6663">
                      <wp:simplePos x="0" y="0"/>
                      <wp:positionH relativeFrom="column">
                        <wp:posOffset>234950</wp:posOffset>
                      </wp:positionH>
                      <wp:positionV relativeFrom="paragraph">
                        <wp:posOffset>139065</wp:posOffset>
                      </wp:positionV>
                      <wp:extent cx="212090" cy="159385"/>
                      <wp:effectExtent l="0" t="0" r="0" b="0"/>
                      <wp:wrapNone/>
                      <wp:docPr id="42" name="Organigramme : Processu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C2742"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8F28F1" id="Organigramme : Processus 42" o:spid="_x0000_s1236" type="#_x0000_t109" style="position:absolute;left:0;text-align:left;margin-left:18.5pt;margin-top:10.95pt;width:16.7pt;height:1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" fillcolor="white [3212]" strokecolor="black [3213]" strokeweight="1.25pt">
                      <v:path arrowok="t"/>
                      <v:textbox>
                        <w:txbxContent>
                          <w:p w14:paraId="4D4C2742" w14:textId="77777777" w:rsidR="009C2D83" w:rsidRDefault="009C2D83" w:rsidP="00D504F4">
                            <w:pPr>
                              <w:jc w:val="center"/>
                            </w:pPr>
                          </w:p>
                        </w:txbxContent>
                      </v:textbox>
                    </v:shape>
                  </w:pict>
                </mc:Fallback>
              </mc:AlternateContent>
            </w:r>
          </w:p>
        </w:tc>
        <w:tc>
          <w:tcPr>
            <w:tcW w:w="992" w:type="dxa"/>
            <w:shd w:val="solid" w:color="F2F2F2" w:themeColor="background1" w:themeShade="F2" w:fill="F2F2F2" w:themeFill="background1" w:themeFillShade="F2"/>
          </w:tcPr>
          <w:p w14:paraId="15D92C35" w14:textId="11372006"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694080" behindDoc="0" locked="0" layoutInCell="1" allowOverlap="1" wp14:anchorId="27229E43" wp14:editId="16F6B2D4">
                      <wp:simplePos x="0" y="0"/>
                      <wp:positionH relativeFrom="column">
                        <wp:posOffset>98425</wp:posOffset>
                      </wp:positionH>
                      <wp:positionV relativeFrom="paragraph">
                        <wp:posOffset>158750</wp:posOffset>
                      </wp:positionV>
                      <wp:extent cx="212090" cy="159385"/>
                      <wp:effectExtent l="0" t="0" r="0" b="0"/>
                      <wp:wrapNone/>
                      <wp:docPr id="45" name="Organigramme : Processu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4D97E"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229E43" id="Organigramme : Processus 45" o:spid="_x0000_s1237" type="#_x0000_t109" style="position:absolute;left:0;text-align:left;margin-left:7.75pt;margin-top:12.5pt;width:16.7pt;height:1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" fillcolor="white [3212]" strokecolor="black [3213]" strokeweight="1.25pt">
                      <v:path arrowok="t"/>
                      <v:textbox>
                        <w:txbxContent>
                          <w:p w14:paraId="56A4D97E" w14:textId="77777777" w:rsidR="009C2D83" w:rsidRDefault="009C2D83" w:rsidP="00D504F4">
                            <w:pPr>
                              <w:jc w:val="center"/>
                            </w:pPr>
                          </w:p>
                        </w:txbxContent>
                      </v:textbox>
                    </v:shape>
                  </w:pict>
                </mc:Fallback>
              </mc:AlternateContent>
            </w:r>
          </w:p>
        </w:tc>
        <w:tc>
          <w:tcPr>
            <w:tcW w:w="992" w:type="dxa"/>
            <w:shd w:val="solid" w:color="F2F2F2" w:themeColor="background1" w:themeShade="F2" w:fill="F2F2F2" w:themeFill="background1" w:themeFillShade="F2"/>
          </w:tcPr>
          <w:p w14:paraId="47819B42" w14:textId="4F70463A"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695104" behindDoc="0" locked="0" layoutInCell="1" allowOverlap="1" wp14:anchorId="761E4A2D" wp14:editId="499AB721">
                      <wp:simplePos x="0" y="0"/>
                      <wp:positionH relativeFrom="column">
                        <wp:posOffset>89535</wp:posOffset>
                      </wp:positionH>
                      <wp:positionV relativeFrom="paragraph">
                        <wp:posOffset>168910</wp:posOffset>
                      </wp:positionV>
                      <wp:extent cx="212090" cy="159385"/>
                      <wp:effectExtent l="0" t="0" r="0" b="0"/>
                      <wp:wrapNone/>
                      <wp:docPr id="46" name="Organigramme : Processu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BABCF"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1E4A2D" id="Organigramme : Processus 46" o:spid="_x0000_s1238" type="#_x0000_t109" style="position:absolute;left:0;text-align:left;margin-left:7.05pt;margin-top:13.3pt;width:16.7pt;height:1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" fillcolor="white [3212]" strokecolor="black [3213]" strokeweight="1.25pt">
                      <v:path arrowok="t"/>
                      <v:textbox>
                        <w:txbxContent>
                          <w:p w14:paraId="4DCBABCF" w14:textId="77777777" w:rsidR="009C2D83" w:rsidRDefault="009C2D83" w:rsidP="00D504F4">
                            <w:pPr>
                              <w:jc w:val="center"/>
                            </w:pPr>
                          </w:p>
                        </w:txbxContent>
                      </v:textbox>
                    </v:shape>
                  </w:pict>
                </mc:Fallback>
              </mc:AlternateContent>
            </w:r>
          </w:p>
        </w:tc>
        <w:tc>
          <w:tcPr>
            <w:tcW w:w="1276" w:type="dxa"/>
            <w:shd w:val="solid" w:color="F2F2F2" w:themeColor="background1" w:themeShade="F2" w:fill="F2F2F2" w:themeFill="background1" w:themeFillShade="F2"/>
          </w:tcPr>
          <w:p w14:paraId="522E210C" w14:textId="10ADDE51"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696128" behindDoc="0" locked="0" layoutInCell="1" allowOverlap="1" wp14:anchorId="03109863" wp14:editId="0ADE63F8">
                      <wp:simplePos x="0" y="0"/>
                      <wp:positionH relativeFrom="column">
                        <wp:posOffset>166370</wp:posOffset>
                      </wp:positionH>
                      <wp:positionV relativeFrom="paragraph">
                        <wp:posOffset>160655</wp:posOffset>
                      </wp:positionV>
                      <wp:extent cx="212090" cy="159385"/>
                      <wp:effectExtent l="0" t="0" r="0" b="0"/>
                      <wp:wrapNone/>
                      <wp:docPr id="47" name="Organigramme : Processu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231CE"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109863" id="Organigramme : Processus 47" o:spid="_x0000_s1239" type="#_x0000_t109" style="position:absolute;left:0;text-align:left;margin-left:13.1pt;margin-top:12.65pt;width:16.7pt;height:1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" fillcolor="white [3212]" strokecolor="black [3213]" strokeweight="1.25pt">
                      <v:path arrowok="t"/>
                      <v:textbox>
                        <w:txbxContent>
                          <w:p w14:paraId="078231CE" w14:textId="77777777" w:rsidR="009C2D83" w:rsidRDefault="009C2D83" w:rsidP="00D504F4">
                            <w:pPr>
                              <w:jc w:val="center"/>
                            </w:pPr>
                          </w:p>
                        </w:txbxContent>
                      </v:textbox>
                    </v:shape>
                  </w:pict>
                </mc:Fallback>
              </mc:AlternateContent>
            </w:r>
          </w:p>
        </w:tc>
        <w:tc>
          <w:tcPr>
            <w:tcW w:w="1502" w:type="dxa"/>
            <w:shd w:val="solid" w:color="F2F2F2" w:themeColor="background1" w:themeShade="F2" w:fill="F2F2F2" w:themeFill="background1" w:themeFillShade="F2"/>
          </w:tcPr>
          <w:p w14:paraId="4EB69CAE" w14:textId="1B142078"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697152" behindDoc="0" locked="0" layoutInCell="1" allowOverlap="1" wp14:anchorId="2EB2C124" wp14:editId="38C93C1E">
                      <wp:simplePos x="0" y="0"/>
                      <wp:positionH relativeFrom="column">
                        <wp:posOffset>240030</wp:posOffset>
                      </wp:positionH>
                      <wp:positionV relativeFrom="paragraph">
                        <wp:posOffset>182245</wp:posOffset>
                      </wp:positionV>
                      <wp:extent cx="212090" cy="159385"/>
                      <wp:effectExtent l="0" t="0" r="0" b="0"/>
                      <wp:wrapNone/>
                      <wp:docPr id="48" name="Organigramme : Processu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CDC9A"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B2C124" id="Organigramme : Processus 48" o:spid="_x0000_s1240" type="#_x0000_t109" style="position:absolute;left:0;text-align:left;margin-left:18.9pt;margin-top:14.35pt;width:16.7pt;height:1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" fillcolor="white [3212]" strokecolor="black [3213]" strokeweight="1.25pt">
                      <v:path arrowok="t"/>
                      <v:textbox>
                        <w:txbxContent>
                          <w:p w14:paraId="030CDC9A" w14:textId="77777777" w:rsidR="009C2D83" w:rsidRDefault="009C2D83" w:rsidP="00D504F4">
                            <w:pPr>
                              <w:jc w:val="center"/>
                            </w:pPr>
                          </w:p>
                        </w:txbxContent>
                      </v:textbox>
                    </v:shape>
                  </w:pict>
                </mc:Fallback>
              </mc:AlternateContent>
            </w:r>
          </w:p>
        </w:tc>
      </w:tr>
      <w:tr w:rsidR="00D504F4" w:rsidRPr="00F634CD" w14:paraId="2AC35717" w14:textId="77777777" w:rsidTr="00B6096E">
        <w:trPr>
          <w:trHeight w:val="794"/>
        </w:trPr>
        <w:tc>
          <w:tcPr>
            <w:tcW w:w="3085" w:type="dxa"/>
            <w:shd w:val="solid" w:color="F2F2F2" w:themeColor="background1" w:themeShade="F2" w:fill="F2F2F2" w:themeFill="background1" w:themeFillShade="F2"/>
            <w:vAlign w:val="center"/>
          </w:tcPr>
          <w:p w14:paraId="41D65A6E" w14:textId="77777777" w:rsidR="00D504F4" w:rsidRPr="00F634CD" w:rsidRDefault="00D504F4" w:rsidP="00B6096E">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La finance islamique fournit une alternative bancaire.</w:t>
            </w:r>
          </w:p>
        </w:tc>
        <w:tc>
          <w:tcPr>
            <w:tcW w:w="1418" w:type="dxa"/>
            <w:shd w:val="solid" w:color="F2F2F2" w:themeColor="background1" w:themeShade="F2" w:fill="F2F2F2" w:themeFill="background1" w:themeFillShade="F2"/>
          </w:tcPr>
          <w:p w14:paraId="575801F4" w14:textId="210220C8"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693056" behindDoc="0" locked="0" layoutInCell="1" allowOverlap="1" wp14:anchorId="1AA85E3F" wp14:editId="2FE28B2E">
                      <wp:simplePos x="0" y="0"/>
                      <wp:positionH relativeFrom="column">
                        <wp:posOffset>222885</wp:posOffset>
                      </wp:positionH>
                      <wp:positionV relativeFrom="paragraph">
                        <wp:posOffset>86995</wp:posOffset>
                      </wp:positionV>
                      <wp:extent cx="212090" cy="159385"/>
                      <wp:effectExtent l="0" t="0" r="0" b="0"/>
                      <wp:wrapNone/>
                      <wp:docPr id="43" name="Organigramme : Processu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C4722"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A85E3F" id="Organigramme : Processus 43" o:spid="_x0000_s1241" type="#_x0000_t109" style="position:absolute;left:0;text-align:left;margin-left:17.55pt;margin-top:6.85pt;width:16.7pt;height:1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" fillcolor="white [3212]" strokecolor="black [3213]" strokeweight="1.25pt">
                      <v:path arrowok="t"/>
                      <v:textbox>
                        <w:txbxContent>
                          <w:p w14:paraId="4E3C4722" w14:textId="77777777" w:rsidR="009C2D83" w:rsidRDefault="009C2D83" w:rsidP="00D504F4">
                            <w:pPr>
                              <w:jc w:val="center"/>
                            </w:pPr>
                          </w:p>
                        </w:txbxContent>
                      </v:textbox>
                    </v:shape>
                  </w:pict>
                </mc:Fallback>
              </mc:AlternateContent>
            </w:r>
          </w:p>
        </w:tc>
        <w:tc>
          <w:tcPr>
            <w:tcW w:w="992" w:type="dxa"/>
            <w:shd w:val="solid" w:color="F2F2F2" w:themeColor="background1" w:themeShade="F2" w:fill="F2F2F2" w:themeFill="background1" w:themeFillShade="F2"/>
          </w:tcPr>
          <w:p w14:paraId="664FDF3B" w14:textId="53E8B47C"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698176" behindDoc="0" locked="0" layoutInCell="1" allowOverlap="1" wp14:anchorId="48344B09" wp14:editId="6159FA6B">
                      <wp:simplePos x="0" y="0"/>
                      <wp:positionH relativeFrom="column">
                        <wp:posOffset>117475</wp:posOffset>
                      </wp:positionH>
                      <wp:positionV relativeFrom="paragraph">
                        <wp:posOffset>94615</wp:posOffset>
                      </wp:positionV>
                      <wp:extent cx="212090" cy="159385"/>
                      <wp:effectExtent l="0" t="0" r="0" b="0"/>
                      <wp:wrapNone/>
                      <wp:docPr id="49" name="Organigramme : Processus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0763A"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344B09" id="Organigramme : Processus 49" o:spid="_x0000_s1242" type="#_x0000_t109" style="position:absolute;left:0;text-align:left;margin-left:9.25pt;margin-top:7.45pt;width:16.7pt;height:1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" fillcolor="white [3212]" strokecolor="black [3213]" strokeweight="1.25pt">
                      <v:path arrowok="t"/>
                      <v:textbox>
                        <w:txbxContent>
                          <w:p w14:paraId="00F0763A" w14:textId="77777777" w:rsidR="009C2D83" w:rsidRDefault="009C2D83" w:rsidP="00D504F4">
                            <w:pPr>
                              <w:jc w:val="center"/>
                            </w:pPr>
                          </w:p>
                        </w:txbxContent>
                      </v:textbox>
                    </v:shape>
                  </w:pict>
                </mc:Fallback>
              </mc:AlternateContent>
            </w:r>
          </w:p>
        </w:tc>
        <w:tc>
          <w:tcPr>
            <w:tcW w:w="992" w:type="dxa"/>
            <w:shd w:val="solid" w:color="F2F2F2" w:themeColor="background1" w:themeShade="F2" w:fill="F2F2F2" w:themeFill="background1" w:themeFillShade="F2"/>
          </w:tcPr>
          <w:p w14:paraId="2133C25D" w14:textId="78C55324"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699200" behindDoc="0" locked="0" layoutInCell="1" allowOverlap="1" wp14:anchorId="192F824C" wp14:editId="41AF2FB0">
                      <wp:simplePos x="0" y="0"/>
                      <wp:positionH relativeFrom="column">
                        <wp:posOffset>90170</wp:posOffset>
                      </wp:positionH>
                      <wp:positionV relativeFrom="paragraph">
                        <wp:posOffset>106680</wp:posOffset>
                      </wp:positionV>
                      <wp:extent cx="212090" cy="159385"/>
                      <wp:effectExtent l="0" t="0" r="0" b="0"/>
                      <wp:wrapNone/>
                      <wp:docPr id="50" name="Organigramme : Processu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4FF8C"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2F824C" id="Organigramme : Processus 50" o:spid="_x0000_s1243" type="#_x0000_t109" style="position:absolute;left:0;text-align:left;margin-left:7.1pt;margin-top:8.4pt;width:16.7pt;height:1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" fillcolor="white [3212]" strokecolor="black [3213]" strokeweight="1.25pt">
                      <v:path arrowok="t"/>
                      <v:textbox>
                        <w:txbxContent>
                          <w:p w14:paraId="6D44FF8C" w14:textId="77777777" w:rsidR="009C2D83" w:rsidRDefault="009C2D83" w:rsidP="00D504F4">
                            <w:pPr>
                              <w:jc w:val="center"/>
                            </w:pPr>
                          </w:p>
                        </w:txbxContent>
                      </v:textbox>
                    </v:shape>
                  </w:pict>
                </mc:Fallback>
              </mc:AlternateContent>
            </w:r>
          </w:p>
        </w:tc>
        <w:tc>
          <w:tcPr>
            <w:tcW w:w="1276" w:type="dxa"/>
            <w:shd w:val="solid" w:color="F2F2F2" w:themeColor="background1" w:themeShade="F2" w:fill="F2F2F2" w:themeFill="background1" w:themeFillShade="F2"/>
          </w:tcPr>
          <w:p w14:paraId="59B41AC9" w14:textId="3526BC5B"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00224" behindDoc="0" locked="0" layoutInCell="1" allowOverlap="1" wp14:anchorId="4EA651E9" wp14:editId="1D327E5F">
                      <wp:simplePos x="0" y="0"/>
                      <wp:positionH relativeFrom="column">
                        <wp:posOffset>175260</wp:posOffset>
                      </wp:positionH>
                      <wp:positionV relativeFrom="paragraph">
                        <wp:posOffset>99695</wp:posOffset>
                      </wp:positionV>
                      <wp:extent cx="212090" cy="159385"/>
                      <wp:effectExtent l="0" t="0" r="0" b="0"/>
                      <wp:wrapNone/>
                      <wp:docPr id="51" name="Organigramme : Processu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60F8B"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A651E9" id="Organigramme : Processus 51" o:spid="_x0000_s1244" type="#_x0000_t109" style="position:absolute;left:0;text-align:left;margin-left:13.8pt;margin-top:7.85pt;width:16.7pt;height:1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" fillcolor="white [3212]" strokecolor="black [3213]" strokeweight="1.25pt">
                      <v:path arrowok="t"/>
                      <v:textbox>
                        <w:txbxContent>
                          <w:p w14:paraId="7B260F8B" w14:textId="77777777" w:rsidR="009C2D83" w:rsidRDefault="009C2D83" w:rsidP="00D504F4">
                            <w:pPr>
                              <w:jc w:val="center"/>
                            </w:pPr>
                          </w:p>
                        </w:txbxContent>
                      </v:textbox>
                    </v:shape>
                  </w:pict>
                </mc:Fallback>
              </mc:AlternateContent>
            </w:r>
          </w:p>
        </w:tc>
        <w:tc>
          <w:tcPr>
            <w:tcW w:w="1502" w:type="dxa"/>
            <w:shd w:val="solid" w:color="F2F2F2" w:themeColor="background1" w:themeShade="F2" w:fill="F2F2F2" w:themeFill="background1" w:themeFillShade="F2"/>
          </w:tcPr>
          <w:p w14:paraId="6D748947" w14:textId="008F76D4"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01248" behindDoc="0" locked="0" layoutInCell="1" allowOverlap="1" wp14:anchorId="5DA1293D" wp14:editId="78E4E76F">
                      <wp:simplePos x="0" y="0"/>
                      <wp:positionH relativeFrom="column">
                        <wp:posOffset>241300</wp:posOffset>
                      </wp:positionH>
                      <wp:positionV relativeFrom="paragraph">
                        <wp:posOffset>111760</wp:posOffset>
                      </wp:positionV>
                      <wp:extent cx="212090" cy="159385"/>
                      <wp:effectExtent l="0" t="0" r="0" b="0"/>
                      <wp:wrapNone/>
                      <wp:docPr id="52" name="Organigramme : Processu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233AB"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1293D" id="Organigramme : Processus 52" o:spid="_x0000_s1245" type="#_x0000_t109" style="position:absolute;left:0;text-align:left;margin-left:19pt;margin-top:8.8pt;width:16.7pt;height:1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" fillcolor="white [3212]" strokecolor="black [3213]" strokeweight="1.25pt">
                      <v:path arrowok="t"/>
                      <v:textbox>
                        <w:txbxContent>
                          <w:p w14:paraId="73C233AB" w14:textId="77777777" w:rsidR="009C2D83" w:rsidRDefault="009C2D83" w:rsidP="00D504F4">
                            <w:pPr>
                              <w:jc w:val="center"/>
                            </w:pPr>
                          </w:p>
                        </w:txbxContent>
                      </v:textbox>
                    </v:shape>
                  </w:pict>
                </mc:Fallback>
              </mc:AlternateContent>
            </w:r>
          </w:p>
        </w:tc>
      </w:tr>
      <w:tr w:rsidR="00D504F4" w:rsidRPr="00F634CD" w14:paraId="6C3C1916" w14:textId="77777777" w:rsidTr="00B6096E">
        <w:trPr>
          <w:trHeight w:val="794"/>
        </w:trPr>
        <w:tc>
          <w:tcPr>
            <w:tcW w:w="3085" w:type="dxa"/>
            <w:shd w:val="solid" w:color="F2F2F2" w:themeColor="background1" w:themeShade="F2" w:fill="F2F2F2" w:themeFill="background1" w:themeFillShade="F2"/>
            <w:vAlign w:val="center"/>
          </w:tcPr>
          <w:p w14:paraId="22F0CF38" w14:textId="77777777" w:rsidR="00D504F4" w:rsidRPr="00F634CD" w:rsidRDefault="00D504F4" w:rsidP="00B6096E">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Il existe une différence entre les principes et les pratiques actuelles des BI.</w:t>
            </w:r>
          </w:p>
        </w:tc>
        <w:tc>
          <w:tcPr>
            <w:tcW w:w="1418" w:type="dxa"/>
            <w:shd w:val="solid" w:color="F2F2F2" w:themeColor="background1" w:themeShade="F2" w:fill="F2F2F2" w:themeFill="background1" w:themeFillShade="F2"/>
          </w:tcPr>
          <w:p w14:paraId="0B4A6439" w14:textId="71A86398"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11488" behindDoc="0" locked="0" layoutInCell="1" allowOverlap="1" wp14:anchorId="0AB801F3" wp14:editId="0D50D92E">
                      <wp:simplePos x="0" y="0"/>
                      <wp:positionH relativeFrom="column">
                        <wp:posOffset>233680</wp:posOffset>
                      </wp:positionH>
                      <wp:positionV relativeFrom="paragraph">
                        <wp:posOffset>184150</wp:posOffset>
                      </wp:positionV>
                      <wp:extent cx="212090" cy="159385"/>
                      <wp:effectExtent l="0" t="0" r="0" b="0"/>
                      <wp:wrapNone/>
                      <wp:docPr id="63" name="Organigramme : Processus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365A9"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B801F3" id="Organigramme : Processus 63" o:spid="_x0000_s1246" type="#_x0000_t109" style="position:absolute;left:0;text-align:left;margin-left:18.4pt;margin-top:14.5pt;width:16.7pt;height:1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" fillcolor="white [3212]" strokecolor="black [3213]" strokeweight="1.25pt">
                      <v:path arrowok="t"/>
                      <v:textbox>
                        <w:txbxContent>
                          <w:p w14:paraId="04A365A9" w14:textId="77777777" w:rsidR="009C2D83" w:rsidRDefault="009C2D83" w:rsidP="00D504F4">
                            <w:pPr>
                              <w:jc w:val="center"/>
                            </w:pPr>
                          </w:p>
                        </w:txbxContent>
                      </v:textbox>
                    </v:shape>
                  </w:pict>
                </mc:Fallback>
              </mc:AlternateContent>
            </w:r>
          </w:p>
        </w:tc>
        <w:tc>
          <w:tcPr>
            <w:tcW w:w="992" w:type="dxa"/>
            <w:shd w:val="solid" w:color="F2F2F2" w:themeColor="background1" w:themeShade="F2" w:fill="F2F2F2" w:themeFill="background1" w:themeFillShade="F2"/>
          </w:tcPr>
          <w:p w14:paraId="3FF3A01F" w14:textId="2D30F693"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02272" behindDoc="0" locked="0" layoutInCell="1" allowOverlap="1" wp14:anchorId="502F7342" wp14:editId="7C9CFA08">
                      <wp:simplePos x="0" y="0"/>
                      <wp:positionH relativeFrom="column">
                        <wp:posOffset>109220</wp:posOffset>
                      </wp:positionH>
                      <wp:positionV relativeFrom="paragraph">
                        <wp:posOffset>190500</wp:posOffset>
                      </wp:positionV>
                      <wp:extent cx="212090" cy="159385"/>
                      <wp:effectExtent l="0" t="0" r="0" b="0"/>
                      <wp:wrapNone/>
                      <wp:docPr id="53" name="Organigramme : Processu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3AD57"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2F7342" id="Organigramme : Processus 53" o:spid="_x0000_s1247" type="#_x0000_t109" style="position:absolute;left:0;text-align:left;margin-left:8.6pt;margin-top:15pt;width:16.7pt;height:1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" fillcolor="white [3212]" strokecolor="black [3213]" strokeweight="1.25pt">
                      <v:path arrowok="t"/>
                      <v:textbox>
                        <w:txbxContent>
                          <w:p w14:paraId="3EA3AD57" w14:textId="77777777" w:rsidR="009C2D83" w:rsidRDefault="009C2D83" w:rsidP="00D504F4">
                            <w:pPr>
                              <w:jc w:val="center"/>
                            </w:pPr>
                          </w:p>
                        </w:txbxContent>
                      </v:textbox>
                    </v:shape>
                  </w:pict>
                </mc:Fallback>
              </mc:AlternateContent>
            </w:r>
          </w:p>
        </w:tc>
        <w:tc>
          <w:tcPr>
            <w:tcW w:w="992" w:type="dxa"/>
            <w:shd w:val="solid" w:color="F2F2F2" w:themeColor="background1" w:themeShade="F2" w:fill="F2F2F2" w:themeFill="background1" w:themeFillShade="F2"/>
          </w:tcPr>
          <w:p w14:paraId="00528EB2" w14:textId="7CC80F01"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03296" behindDoc="0" locked="0" layoutInCell="1" allowOverlap="1" wp14:anchorId="47659CB8" wp14:editId="5C106A3A">
                      <wp:simplePos x="0" y="0"/>
                      <wp:positionH relativeFrom="column">
                        <wp:posOffset>101600</wp:posOffset>
                      </wp:positionH>
                      <wp:positionV relativeFrom="paragraph">
                        <wp:posOffset>202565</wp:posOffset>
                      </wp:positionV>
                      <wp:extent cx="212090" cy="159385"/>
                      <wp:effectExtent l="0" t="0" r="0" b="0"/>
                      <wp:wrapNone/>
                      <wp:docPr id="54" name="Organigramme : Processu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81B2D"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659CB8" id="Organigramme : Processus 54" o:spid="_x0000_s1248" type="#_x0000_t109" style="position:absolute;left:0;text-align:left;margin-left:8pt;margin-top:15.95pt;width:16.7pt;height:1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" fillcolor="white [3212]" strokecolor="black [3213]" strokeweight="1.25pt">
                      <v:path arrowok="t"/>
                      <v:textbox>
                        <w:txbxContent>
                          <w:p w14:paraId="5FF81B2D" w14:textId="77777777" w:rsidR="009C2D83" w:rsidRDefault="009C2D83" w:rsidP="00D504F4">
                            <w:pPr>
                              <w:jc w:val="center"/>
                            </w:pPr>
                          </w:p>
                        </w:txbxContent>
                      </v:textbox>
                    </v:shape>
                  </w:pict>
                </mc:Fallback>
              </mc:AlternateContent>
            </w:r>
          </w:p>
        </w:tc>
        <w:tc>
          <w:tcPr>
            <w:tcW w:w="1276" w:type="dxa"/>
            <w:shd w:val="solid" w:color="F2F2F2" w:themeColor="background1" w:themeShade="F2" w:fill="F2F2F2" w:themeFill="background1" w:themeFillShade="F2"/>
          </w:tcPr>
          <w:p w14:paraId="7A38F670" w14:textId="27B75B76"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04320" behindDoc="0" locked="0" layoutInCell="1" allowOverlap="1" wp14:anchorId="203A0E58" wp14:editId="471FBD8B">
                      <wp:simplePos x="0" y="0"/>
                      <wp:positionH relativeFrom="column">
                        <wp:posOffset>157480</wp:posOffset>
                      </wp:positionH>
                      <wp:positionV relativeFrom="paragraph">
                        <wp:posOffset>193675</wp:posOffset>
                      </wp:positionV>
                      <wp:extent cx="212090" cy="159385"/>
                      <wp:effectExtent l="0" t="0" r="0" b="0"/>
                      <wp:wrapNone/>
                      <wp:docPr id="55" name="Organigramme : Processu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7DAF9"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3A0E58" id="Organigramme : Processus 55" o:spid="_x0000_s1249" type="#_x0000_t109" style="position:absolute;left:0;text-align:left;margin-left:12.4pt;margin-top:15.25pt;width:16.7pt;height:1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" fillcolor="white [3212]" strokecolor="black [3213]" strokeweight="1.25pt">
                      <v:path arrowok="t"/>
                      <v:textbox>
                        <w:txbxContent>
                          <w:p w14:paraId="0627DAF9" w14:textId="77777777" w:rsidR="009C2D83" w:rsidRDefault="009C2D83" w:rsidP="00D504F4">
                            <w:pPr>
                              <w:jc w:val="center"/>
                            </w:pPr>
                          </w:p>
                        </w:txbxContent>
                      </v:textbox>
                    </v:shape>
                  </w:pict>
                </mc:Fallback>
              </mc:AlternateContent>
            </w:r>
          </w:p>
        </w:tc>
        <w:tc>
          <w:tcPr>
            <w:tcW w:w="1502" w:type="dxa"/>
            <w:shd w:val="solid" w:color="F2F2F2" w:themeColor="background1" w:themeShade="F2" w:fill="F2F2F2" w:themeFill="background1" w:themeFillShade="F2"/>
          </w:tcPr>
          <w:p w14:paraId="7653143B" w14:textId="28041D67"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05344" behindDoc="0" locked="0" layoutInCell="1" allowOverlap="1" wp14:anchorId="6E451517" wp14:editId="3CE7E9E0">
                      <wp:simplePos x="0" y="0"/>
                      <wp:positionH relativeFrom="column">
                        <wp:posOffset>251460</wp:posOffset>
                      </wp:positionH>
                      <wp:positionV relativeFrom="paragraph">
                        <wp:posOffset>203200</wp:posOffset>
                      </wp:positionV>
                      <wp:extent cx="212090" cy="159385"/>
                      <wp:effectExtent l="0" t="0" r="0" b="0"/>
                      <wp:wrapNone/>
                      <wp:docPr id="56" name="Organigramme : Processu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E1D8C" w14:textId="77777777" w:rsidR="009C2D83" w:rsidRDefault="009C2D83" w:rsidP="00D504F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451517" id="Organigramme : Processus 56" o:spid="_x0000_s1250" type="#_x0000_t109" style="position:absolute;left:0;text-align:left;margin-left:19.8pt;margin-top:16pt;width:16.7pt;height:1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" fillcolor="white [3212]" strokecolor="black [3213]" strokeweight="1.25pt">
                      <v:path arrowok="t"/>
                      <v:textbox>
                        <w:txbxContent>
                          <w:p w14:paraId="508E1D8C" w14:textId="77777777" w:rsidR="009C2D83" w:rsidRDefault="009C2D83" w:rsidP="00D504F4">
                            <w:pPr>
                              <w:jc w:val="center"/>
                            </w:pPr>
                            <w:r>
                              <w:t>.*</w:t>
                            </w:r>
                          </w:p>
                        </w:txbxContent>
                      </v:textbox>
                    </v:shape>
                  </w:pict>
                </mc:Fallback>
              </mc:AlternateContent>
            </w:r>
          </w:p>
        </w:tc>
      </w:tr>
      <w:tr w:rsidR="00D504F4" w:rsidRPr="00F634CD" w14:paraId="7F4BCA73" w14:textId="77777777" w:rsidTr="00B6096E">
        <w:trPr>
          <w:trHeight w:val="794"/>
        </w:trPr>
        <w:tc>
          <w:tcPr>
            <w:tcW w:w="3085" w:type="dxa"/>
            <w:shd w:val="solid" w:color="F2F2F2" w:themeColor="background1" w:themeShade="F2" w:fill="F2F2F2" w:themeFill="background1" w:themeFillShade="F2"/>
            <w:vAlign w:val="center"/>
          </w:tcPr>
          <w:p w14:paraId="589B525C" w14:textId="77777777" w:rsidR="00D504F4" w:rsidRPr="00F634CD" w:rsidRDefault="00D504F4" w:rsidP="00B6096E">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Les BI font recours massivement aux produits financiers à revenu fixe</w:t>
            </w:r>
          </w:p>
        </w:tc>
        <w:tc>
          <w:tcPr>
            <w:tcW w:w="1418" w:type="dxa"/>
            <w:shd w:val="solid" w:color="F2F2F2" w:themeColor="background1" w:themeShade="F2" w:fill="F2F2F2" w:themeFill="background1" w:themeFillShade="F2"/>
          </w:tcPr>
          <w:p w14:paraId="59B36684" w14:textId="2C17C75C"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06368" behindDoc="0" locked="0" layoutInCell="1" allowOverlap="1" wp14:anchorId="6B470C5D" wp14:editId="6B54B7B0">
                      <wp:simplePos x="0" y="0"/>
                      <wp:positionH relativeFrom="column">
                        <wp:posOffset>223520</wp:posOffset>
                      </wp:positionH>
                      <wp:positionV relativeFrom="paragraph">
                        <wp:posOffset>205740</wp:posOffset>
                      </wp:positionV>
                      <wp:extent cx="212090" cy="159385"/>
                      <wp:effectExtent l="0" t="0" r="0" b="0"/>
                      <wp:wrapNone/>
                      <wp:docPr id="1575" name="Organigramme : Processu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C6A98"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470C5D" id="Organigramme : Processus 15" o:spid="_x0000_s1251" type="#_x0000_t109" style="position:absolute;left:0;text-align:left;margin-left:17.6pt;margin-top:16.2pt;width:16.7pt;height:1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" fillcolor="white [3212]" strokecolor="black [3213]" strokeweight="1.25pt">
                      <v:path arrowok="t"/>
                      <v:textbox>
                        <w:txbxContent>
                          <w:p w14:paraId="4A2C6A98" w14:textId="77777777" w:rsidR="009C2D83" w:rsidRDefault="009C2D83" w:rsidP="00D504F4">
                            <w:pPr>
                              <w:jc w:val="center"/>
                            </w:pPr>
                          </w:p>
                        </w:txbxContent>
                      </v:textbox>
                    </v:shape>
                  </w:pict>
                </mc:Fallback>
              </mc:AlternateContent>
            </w:r>
          </w:p>
        </w:tc>
        <w:tc>
          <w:tcPr>
            <w:tcW w:w="992" w:type="dxa"/>
            <w:shd w:val="solid" w:color="F2F2F2" w:themeColor="background1" w:themeShade="F2" w:fill="F2F2F2" w:themeFill="background1" w:themeFillShade="F2"/>
          </w:tcPr>
          <w:p w14:paraId="5270C0A6" w14:textId="399E7397"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08416" behindDoc="0" locked="0" layoutInCell="1" allowOverlap="1" wp14:anchorId="1FB2331D" wp14:editId="12BEB7D0">
                      <wp:simplePos x="0" y="0"/>
                      <wp:positionH relativeFrom="column">
                        <wp:posOffset>88265</wp:posOffset>
                      </wp:positionH>
                      <wp:positionV relativeFrom="paragraph">
                        <wp:posOffset>216535</wp:posOffset>
                      </wp:positionV>
                      <wp:extent cx="212090" cy="159385"/>
                      <wp:effectExtent l="0" t="0" r="0" b="0"/>
                      <wp:wrapNone/>
                      <wp:docPr id="59" name="Organigramme : Processu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92CB4"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B2331D" id="Organigramme : Processus 59" o:spid="_x0000_s1252" type="#_x0000_t109" style="position:absolute;left:0;text-align:left;margin-left:6.95pt;margin-top:17.05pt;width:16.7pt;height:1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" fillcolor="white [3212]" strokecolor="black [3213]" strokeweight="1.25pt">
                      <v:path arrowok="t"/>
                      <v:textbox>
                        <w:txbxContent>
                          <w:p w14:paraId="60692CB4" w14:textId="77777777" w:rsidR="009C2D83" w:rsidRDefault="009C2D83" w:rsidP="00D504F4">
                            <w:pPr>
                              <w:jc w:val="center"/>
                            </w:pPr>
                          </w:p>
                        </w:txbxContent>
                      </v:textbox>
                    </v:shape>
                  </w:pict>
                </mc:Fallback>
              </mc:AlternateContent>
            </w:r>
          </w:p>
        </w:tc>
        <w:tc>
          <w:tcPr>
            <w:tcW w:w="992" w:type="dxa"/>
            <w:shd w:val="solid" w:color="F2F2F2" w:themeColor="background1" w:themeShade="F2" w:fill="F2F2F2" w:themeFill="background1" w:themeFillShade="F2"/>
          </w:tcPr>
          <w:p w14:paraId="4A9B9352" w14:textId="5B1041E2"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10464" behindDoc="0" locked="0" layoutInCell="1" allowOverlap="1" wp14:anchorId="125FA599" wp14:editId="488CC28C">
                      <wp:simplePos x="0" y="0"/>
                      <wp:positionH relativeFrom="column">
                        <wp:posOffset>91440</wp:posOffset>
                      </wp:positionH>
                      <wp:positionV relativeFrom="paragraph">
                        <wp:posOffset>205105</wp:posOffset>
                      </wp:positionV>
                      <wp:extent cx="212090" cy="159385"/>
                      <wp:effectExtent l="0" t="0" r="0" b="0"/>
                      <wp:wrapNone/>
                      <wp:docPr id="62" name="Organigramme : Processu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B0DE2"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5FA599" id="Organigramme : Processus 62" o:spid="_x0000_s1253" type="#_x0000_t109" style="position:absolute;left:0;text-align:left;margin-left:7.2pt;margin-top:16.15pt;width:16.7pt;height:1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" fillcolor="white [3212]" strokecolor="black [3213]" strokeweight="1.25pt">
                      <v:path arrowok="t"/>
                      <v:textbox>
                        <w:txbxContent>
                          <w:p w14:paraId="0F2B0DE2" w14:textId="77777777" w:rsidR="009C2D83" w:rsidRDefault="009C2D83" w:rsidP="00D504F4">
                            <w:pPr>
                              <w:jc w:val="center"/>
                            </w:pPr>
                          </w:p>
                        </w:txbxContent>
                      </v:textbox>
                    </v:shape>
                  </w:pict>
                </mc:Fallback>
              </mc:AlternateContent>
            </w:r>
          </w:p>
        </w:tc>
        <w:tc>
          <w:tcPr>
            <w:tcW w:w="1276" w:type="dxa"/>
            <w:shd w:val="solid" w:color="F2F2F2" w:themeColor="background1" w:themeShade="F2" w:fill="F2F2F2" w:themeFill="background1" w:themeFillShade="F2"/>
          </w:tcPr>
          <w:p w14:paraId="4D6F83A9" w14:textId="6CB40AE3"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12512" behindDoc="0" locked="0" layoutInCell="1" allowOverlap="1" wp14:anchorId="7A608BB0" wp14:editId="6601C373">
                      <wp:simplePos x="0" y="0"/>
                      <wp:positionH relativeFrom="column">
                        <wp:posOffset>161290</wp:posOffset>
                      </wp:positionH>
                      <wp:positionV relativeFrom="paragraph">
                        <wp:posOffset>215900</wp:posOffset>
                      </wp:positionV>
                      <wp:extent cx="212090" cy="159385"/>
                      <wp:effectExtent l="0" t="0" r="0" b="0"/>
                      <wp:wrapNone/>
                      <wp:docPr id="64" name="Organigramme : Processu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6D60E"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608BB0" id="Organigramme : Processus 64" o:spid="_x0000_s1254" type="#_x0000_t109" style="position:absolute;left:0;text-align:left;margin-left:12.7pt;margin-top:17pt;width:16.7pt;height:1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" fillcolor="white [3212]" strokecolor="black [3213]" strokeweight="1.25pt">
                      <v:path arrowok="t"/>
                      <v:textbox>
                        <w:txbxContent>
                          <w:p w14:paraId="49F6D60E" w14:textId="77777777" w:rsidR="009C2D83" w:rsidRDefault="009C2D83" w:rsidP="00D504F4">
                            <w:pPr>
                              <w:jc w:val="center"/>
                            </w:pPr>
                          </w:p>
                        </w:txbxContent>
                      </v:textbox>
                    </v:shape>
                  </w:pict>
                </mc:Fallback>
              </mc:AlternateContent>
            </w:r>
          </w:p>
        </w:tc>
        <w:tc>
          <w:tcPr>
            <w:tcW w:w="1502" w:type="dxa"/>
            <w:shd w:val="solid" w:color="F2F2F2" w:themeColor="background1" w:themeShade="F2" w:fill="F2F2F2" w:themeFill="background1" w:themeFillShade="F2"/>
          </w:tcPr>
          <w:p w14:paraId="4A1AC030" w14:textId="61AADC30"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15584" behindDoc="0" locked="0" layoutInCell="1" allowOverlap="1" wp14:anchorId="64DBC61D" wp14:editId="698D02A1">
                      <wp:simplePos x="0" y="0"/>
                      <wp:positionH relativeFrom="column">
                        <wp:posOffset>289560</wp:posOffset>
                      </wp:positionH>
                      <wp:positionV relativeFrom="paragraph">
                        <wp:posOffset>215900</wp:posOffset>
                      </wp:positionV>
                      <wp:extent cx="212090" cy="159385"/>
                      <wp:effectExtent l="0" t="0" r="0" b="0"/>
                      <wp:wrapNone/>
                      <wp:docPr id="68" name="Organigramme : Processus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9F957"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DBC61D" id="Organigramme : Processus 68" o:spid="_x0000_s1255" type="#_x0000_t109" style="position:absolute;left:0;text-align:left;margin-left:22.8pt;margin-top:17pt;width:16.7pt;height:1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" fillcolor="white [3212]" strokecolor="black [3213]" strokeweight="1.25pt">
                      <v:path arrowok="t"/>
                      <v:textbox>
                        <w:txbxContent>
                          <w:p w14:paraId="2369F957" w14:textId="77777777" w:rsidR="009C2D83" w:rsidRDefault="009C2D83" w:rsidP="00D504F4">
                            <w:pPr>
                              <w:jc w:val="center"/>
                            </w:pPr>
                          </w:p>
                        </w:txbxContent>
                      </v:textbox>
                    </v:shape>
                  </w:pict>
                </mc:Fallback>
              </mc:AlternateContent>
            </w:r>
          </w:p>
        </w:tc>
      </w:tr>
      <w:tr w:rsidR="00D504F4" w:rsidRPr="00F634CD" w14:paraId="401C980F" w14:textId="77777777" w:rsidTr="00B6096E">
        <w:trPr>
          <w:trHeight w:val="794"/>
        </w:trPr>
        <w:tc>
          <w:tcPr>
            <w:tcW w:w="3085" w:type="dxa"/>
            <w:shd w:val="solid" w:color="F2F2F2" w:themeColor="background1" w:themeShade="F2" w:fill="F2F2F2" w:themeFill="background1" w:themeFillShade="F2"/>
            <w:vAlign w:val="center"/>
          </w:tcPr>
          <w:p w14:paraId="19A295E4" w14:textId="77777777" w:rsidR="00D504F4" w:rsidRPr="00F634CD" w:rsidRDefault="00D504F4" w:rsidP="00B6096E">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Les BI évitent les modes de financement participatifs à cause de leur degré de risque trop élevé.</w:t>
            </w:r>
          </w:p>
        </w:tc>
        <w:tc>
          <w:tcPr>
            <w:tcW w:w="1418" w:type="dxa"/>
            <w:shd w:val="solid" w:color="F2F2F2" w:themeColor="background1" w:themeShade="F2" w:fill="F2F2F2" w:themeFill="background1" w:themeFillShade="F2"/>
          </w:tcPr>
          <w:p w14:paraId="0D5D05E7" w14:textId="627DE3C0"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07392" behindDoc="0" locked="0" layoutInCell="1" allowOverlap="1" wp14:anchorId="5E4C2505" wp14:editId="6A65E7E3">
                      <wp:simplePos x="0" y="0"/>
                      <wp:positionH relativeFrom="column">
                        <wp:posOffset>229235</wp:posOffset>
                      </wp:positionH>
                      <wp:positionV relativeFrom="paragraph">
                        <wp:posOffset>265430</wp:posOffset>
                      </wp:positionV>
                      <wp:extent cx="212090" cy="159385"/>
                      <wp:effectExtent l="0" t="0" r="0" b="0"/>
                      <wp:wrapNone/>
                      <wp:docPr id="58" name="Organigramme : Processu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5AC39"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4C2505" id="Organigramme : Processus 58" o:spid="_x0000_s1256" type="#_x0000_t109" style="position:absolute;left:0;text-align:left;margin-left:18.05pt;margin-top:20.9pt;width:16.7pt;height:1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" fillcolor="white [3212]" strokecolor="black [3213]" strokeweight="1.25pt">
                      <v:path arrowok="t"/>
                      <v:textbox>
                        <w:txbxContent>
                          <w:p w14:paraId="1955AC39" w14:textId="77777777" w:rsidR="009C2D83" w:rsidRDefault="009C2D83" w:rsidP="00D504F4">
                            <w:pPr>
                              <w:jc w:val="center"/>
                            </w:pPr>
                          </w:p>
                        </w:txbxContent>
                      </v:textbox>
                    </v:shape>
                  </w:pict>
                </mc:Fallback>
              </mc:AlternateContent>
            </w:r>
          </w:p>
        </w:tc>
        <w:tc>
          <w:tcPr>
            <w:tcW w:w="992" w:type="dxa"/>
            <w:shd w:val="solid" w:color="F2F2F2" w:themeColor="background1" w:themeShade="F2" w:fill="F2F2F2" w:themeFill="background1" w:themeFillShade="F2"/>
          </w:tcPr>
          <w:p w14:paraId="44B819A1" w14:textId="4076FE80"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09440" behindDoc="0" locked="0" layoutInCell="1" allowOverlap="1" wp14:anchorId="2A350C88" wp14:editId="4AB9441E">
                      <wp:simplePos x="0" y="0"/>
                      <wp:positionH relativeFrom="column">
                        <wp:posOffset>78740</wp:posOffset>
                      </wp:positionH>
                      <wp:positionV relativeFrom="paragraph">
                        <wp:posOffset>265430</wp:posOffset>
                      </wp:positionV>
                      <wp:extent cx="212090" cy="159385"/>
                      <wp:effectExtent l="0" t="0" r="0" b="0"/>
                      <wp:wrapNone/>
                      <wp:docPr id="61" name="Organigramme : Processu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FAF10"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350C88" id="Organigramme : Processus 61" o:spid="_x0000_s1257" type="#_x0000_t109" style="position:absolute;left:0;text-align:left;margin-left:6.2pt;margin-top:20.9pt;width:16.7pt;height:1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" fillcolor="white [3212]" strokecolor="black [3213]" strokeweight="1.25pt">
                      <v:path arrowok="t"/>
                      <v:textbox>
                        <w:txbxContent>
                          <w:p w14:paraId="13FFAF10" w14:textId="77777777" w:rsidR="009C2D83" w:rsidRDefault="009C2D83" w:rsidP="00D504F4">
                            <w:pPr>
                              <w:jc w:val="center"/>
                            </w:pPr>
                          </w:p>
                        </w:txbxContent>
                      </v:textbox>
                    </v:shape>
                  </w:pict>
                </mc:Fallback>
              </mc:AlternateContent>
            </w:r>
          </w:p>
        </w:tc>
        <w:tc>
          <w:tcPr>
            <w:tcW w:w="992" w:type="dxa"/>
            <w:shd w:val="solid" w:color="F2F2F2" w:themeColor="background1" w:themeShade="F2" w:fill="F2F2F2" w:themeFill="background1" w:themeFillShade="F2"/>
          </w:tcPr>
          <w:p w14:paraId="65BBFD7E" w14:textId="3BB84C30"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13536" behindDoc="0" locked="0" layoutInCell="1" allowOverlap="1" wp14:anchorId="502E7D78" wp14:editId="23D19E72">
                      <wp:simplePos x="0" y="0"/>
                      <wp:positionH relativeFrom="column">
                        <wp:posOffset>90805</wp:posOffset>
                      </wp:positionH>
                      <wp:positionV relativeFrom="paragraph">
                        <wp:posOffset>263525</wp:posOffset>
                      </wp:positionV>
                      <wp:extent cx="212090" cy="159385"/>
                      <wp:effectExtent l="0" t="0" r="0" b="0"/>
                      <wp:wrapNone/>
                      <wp:docPr id="66" name="Organigramme : Processus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75832"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2E7D78" id="Organigramme : Processus 66" o:spid="_x0000_s1258" type="#_x0000_t109" style="position:absolute;left:0;text-align:left;margin-left:7.15pt;margin-top:20.75pt;width:16.7pt;height:1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" fillcolor="white [3212]" strokecolor="black [3213]" strokeweight="1.25pt">
                      <v:path arrowok="t"/>
                      <v:textbox>
                        <w:txbxContent>
                          <w:p w14:paraId="3A175832" w14:textId="77777777" w:rsidR="009C2D83" w:rsidRDefault="009C2D83" w:rsidP="00D504F4">
                            <w:pPr>
                              <w:jc w:val="center"/>
                            </w:pPr>
                          </w:p>
                        </w:txbxContent>
                      </v:textbox>
                    </v:shape>
                  </w:pict>
                </mc:Fallback>
              </mc:AlternateContent>
            </w:r>
          </w:p>
        </w:tc>
        <w:tc>
          <w:tcPr>
            <w:tcW w:w="1276" w:type="dxa"/>
            <w:shd w:val="solid" w:color="F2F2F2" w:themeColor="background1" w:themeShade="F2" w:fill="F2F2F2" w:themeFill="background1" w:themeFillShade="F2"/>
          </w:tcPr>
          <w:p w14:paraId="77F8B9F7" w14:textId="7C6B2BC5"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14560" behindDoc="0" locked="0" layoutInCell="1" allowOverlap="1" wp14:anchorId="22904A0C" wp14:editId="695852BE">
                      <wp:simplePos x="0" y="0"/>
                      <wp:positionH relativeFrom="column">
                        <wp:posOffset>182245</wp:posOffset>
                      </wp:positionH>
                      <wp:positionV relativeFrom="paragraph">
                        <wp:posOffset>263525</wp:posOffset>
                      </wp:positionV>
                      <wp:extent cx="212090" cy="159385"/>
                      <wp:effectExtent l="0" t="0" r="0" b="0"/>
                      <wp:wrapNone/>
                      <wp:docPr id="67" name="Organigramme : Processu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EDE97"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904A0C" id="Organigramme : Processus 67" o:spid="_x0000_s1259" type="#_x0000_t109" style="position:absolute;left:0;text-align:left;margin-left:14.35pt;margin-top:20.75pt;width:16.7pt;height:1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" fillcolor="white [3212]" strokecolor="black [3213]" strokeweight="1.25pt">
                      <v:path arrowok="t"/>
                      <v:textbox>
                        <w:txbxContent>
                          <w:p w14:paraId="779EDE97" w14:textId="77777777" w:rsidR="009C2D83" w:rsidRDefault="009C2D83" w:rsidP="00D504F4">
                            <w:pPr>
                              <w:jc w:val="center"/>
                            </w:pPr>
                          </w:p>
                        </w:txbxContent>
                      </v:textbox>
                    </v:shape>
                  </w:pict>
                </mc:Fallback>
              </mc:AlternateContent>
            </w:r>
          </w:p>
        </w:tc>
        <w:tc>
          <w:tcPr>
            <w:tcW w:w="1502" w:type="dxa"/>
            <w:shd w:val="solid" w:color="F2F2F2" w:themeColor="background1" w:themeShade="F2" w:fill="F2F2F2" w:themeFill="background1" w:themeFillShade="F2"/>
          </w:tcPr>
          <w:p w14:paraId="1C0327DA" w14:textId="73C5CD10" w:rsidR="00D504F4"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16608" behindDoc="0" locked="0" layoutInCell="1" allowOverlap="1" wp14:anchorId="147585F4" wp14:editId="14C8BB4A">
                      <wp:simplePos x="0" y="0"/>
                      <wp:positionH relativeFrom="column">
                        <wp:posOffset>268605</wp:posOffset>
                      </wp:positionH>
                      <wp:positionV relativeFrom="paragraph">
                        <wp:posOffset>272415</wp:posOffset>
                      </wp:positionV>
                      <wp:extent cx="212090" cy="159385"/>
                      <wp:effectExtent l="0" t="0" r="0" b="0"/>
                      <wp:wrapNone/>
                      <wp:docPr id="70" name="Organigramme : Processus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07293" w14:textId="77777777" w:rsidR="009C2D83" w:rsidRDefault="009C2D83" w:rsidP="00D50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7585F4" id="Organigramme : Processus 70" o:spid="_x0000_s1260" type="#_x0000_t109" style="position:absolute;left:0;text-align:left;margin-left:21.15pt;margin-top:21.45pt;width:16.7pt;height:1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" fillcolor="white [3212]" strokecolor="black [3213]" strokeweight="1.25pt">
                      <v:path arrowok="t"/>
                      <v:textbox>
                        <w:txbxContent>
                          <w:p w14:paraId="19607293" w14:textId="77777777" w:rsidR="009C2D83" w:rsidRDefault="009C2D83" w:rsidP="00D504F4">
                            <w:pPr>
                              <w:jc w:val="center"/>
                            </w:pPr>
                          </w:p>
                        </w:txbxContent>
                      </v:textbox>
                    </v:shape>
                  </w:pict>
                </mc:Fallback>
              </mc:AlternateContent>
            </w:r>
          </w:p>
        </w:tc>
      </w:tr>
    </w:tbl>
    <w:p w14:paraId="24024454" w14:textId="77777777" w:rsidR="005D5B9E" w:rsidRPr="00F634CD" w:rsidRDefault="005D5B9E" w:rsidP="0007636F">
      <w:pPr>
        <w:tabs>
          <w:tab w:val="center" w:pos="4536"/>
        </w:tabs>
        <w:spacing w:before="100" w:beforeAutospacing="1" w:after="100" w:afterAutospacing="1"/>
        <w:ind w:left="340" w:hanging="340"/>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 xml:space="preserve">12. </w:t>
      </w:r>
      <w:r w:rsidRPr="00F634CD">
        <w:rPr>
          <w:rFonts w:ascii="Times New Roman" w:hAnsi="Times New Roman" w:cs="Times New Roman"/>
          <w:b/>
          <w:bCs/>
          <w:i/>
          <w:iCs/>
          <w:kern w:val="24"/>
          <w:sz w:val="24"/>
          <w:szCs w:val="24"/>
        </w:rPr>
        <w:t>Si votre banque évite le recours aux produits financiers</w:t>
      </w:r>
      <w:r w:rsidR="00DD2B9B" w:rsidRPr="00F634CD">
        <w:rPr>
          <w:rFonts w:ascii="Times New Roman" w:hAnsi="Times New Roman" w:cs="Times New Roman"/>
          <w:b/>
          <w:bCs/>
          <w:i/>
          <w:iCs/>
          <w:kern w:val="24"/>
          <w:sz w:val="24"/>
          <w:szCs w:val="24"/>
        </w:rPr>
        <w:t xml:space="preserve"> participatifs i</w:t>
      </w:r>
      <w:r w:rsidR="003773C6" w:rsidRPr="00F634CD">
        <w:rPr>
          <w:rFonts w:ascii="Times New Roman" w:hAnsi="Times New Roman" w:cs="Times New Roman"/>
          <w:b/>
          <w:bCs/>
          <w:i/>
          <w:iCs/>
          <w:kern w:val="24"/>
          <w:sz w:val="24"/>
          <w:szCs w:val="24"/>
        </w:rPr>
        <w:t>slamique</w:t>
      </w:r>
      <w:r w:rsidRPr="00F634CD">
        <w:rPr>
          <w:rFonts w:ascii="Times New Roman" w:hAnsi="Times New Roman" w:cs="Times New Roman"/>
          <w:b/>
          <w:bCs/>
          <w:i/>
          <w:iCs/>
          <w:kern w:val="24"/>
          <w:sz w:val="24"/>
          <w:szCs w:val="24"/>
        </w:rPr>
        <w:t>s. Quelles sont les raisons de cette réticence ? (</w:t>
      </w:r>
      <w:r w:rsidR="00DD2B9B" w:rsidRPr="00F634CD">
        <w:rPr>
          <w:rFonts w:ascii="Times New Roman" w:hAnsi="Times New Roman" w:cs="Times New Roman"/>
          <w:b/>
          <w:bCs/>
          <w:i/>
          <w:iCs/>
          <w:kern w:val="24"/>
          <w:sz w:val="24"/>
          <w:szCs w:val="24"/>
        </w:rPr>
        <w:t>Cocher</w:t>
      </w:r>
      <w:r w:rsidRPr="00F634CD">
        <w:rPr>
          <w:rFonts w:ascii="Times New Roman" w:hAnsi="Times New Roman" w:cs="Times New Roman"/>
          <w:b/>
          <w:bCs/>
          <w:i/>
          <w:iCs/>
          <w:kern w:val="24"/>
          <w:sz w:val="24"/>
          <w:szCs w:val="24"/>
        </w:rPr>
        <w:t xml:space="preserve"> les raisons les plus significatives)</w:t>
      </w:r>
    </w:p>
    <w:tbl>
      <w:tblPr>
        <w:tblStyle w:val="Grilledutableau"/>
        <w:tblW w:w="0" w:type="auto"/>
        <w:shd w:val="solid" w:color="F2F2F2" w:themeColor="background1" w:themeShade="F2" w:fill="F2F2F2" w:themeFill="background1" w:themeFillShade="F2"/>
        <w:tblLook w:val="04A0" w:firstRow="1" w:lastRow="0" w:firstColumn="1" w:lastColumn="0" w:noHBand="0" w:noVBand="1"/>
      </w:tblPr>
      <w:tblGrid>
        <w:gridCol w:w="8066"/>
        <w:gridCol w:w="995"/>
      </w:tblGrid>
      <w:tr w:rsidR="009B206C" w:rsidRPr="00F634CD" w14:paraId="387BE747" w14:textId="77777777" w:rsidTr="009B206C">
        <w:trPr>
          <w:cantSplit/>
          <w:trHeight w:hRule="exact" w:val="680"/>
        </w:trPr>
        <w:tc>
          <w:tcPr>
            <w:tcW w:w="8113" w:type="dxa"/>
            <w:shd w:val="solid" w:color="F2F2F2" w:themeColor="background1" w:themeShade="F2" w:fill="F2F2F2" w:themeFill="background1" w:themeFillShade="F2"/>
            <w:vAlign w:val="center"/>
          </w:tcPr>
          <w:p w14:paraId="644A72E4" w14:textId="3E47D701" w:rsidR="009B206C" w:rsidRPr="00F634CD" w:rsidRDefault="009B206C" w:rsidP="00D40A21">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L’aversion de la banque aux risques liés à ces modes de financement.</w:t>
            </w:r>
          </w:p>
        </w:tc>
        <w:tc>
          <w:tcPr>
            <w:tcW w:w="1001" w:type="dxa"/>
            <w:shd w:val="solid" w:color="F2F2F2" w:themeColor="background1" w:themeShade="F2" w:fill="F2F2F2" w:themeFill="background1" w:themeFillShade="F2"/>
            <w:vAlign w:val="center"/>
          </w:tcPr>
          <w:p w14:paraId="17266EF8" w14:textId="5D4925C0" w:rsidR="009B206C" w:rsidRPr="00F634CD" w:rsidRDefault="002C5EFF" w:rsidP="009B206C">
            <w:pPr>
              <w:tabs>
                <w:tab w:val="center" w:pos="4536"/>
              </w:tabs>
              <w:spacing w:line="360" w:lineRule="auto"/>
              <w:jc w:val="right"/>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21728" behindDoc="0" locked="0" layoutInCell="1" allowOverlap="1" wp14:anchorId="7BA0A213" wp14:editId="3D6B6D34">
                      <wp:simplePos x="0" y="0"/>
                      <wp:positionH relativeFrom="column">
                        <wp:posOffset>105410</wp:posOffset>
                      </wp:positionH>
                      <wp:positionV relativeFrom="paragraph">
                        <wp:posOffset>105410</wp:posOffset>
                      </wp:positionV>
                      <wp:extent cx="212090" cy="159385"/>
                      <wp:effectExtent l="0" t="0" r="0" b="0"/>
                      <wp:wrapNone/>
                      <wp:docPr id="105" name="Organigramme : Processus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DA9E2"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A0A213" id="Organigramme : Processus 105" o:spid="_x0000_s1261" type="#_x0000_t109" style="position:absolute;left:0;text-align:left;margin-left:8.3pt;margin-top:8.3pt;width:16.7pt;height:1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" fillcolor="white [3212]" strokecolor="black [3213]" strokeweight="1.25pt">
                      <v:path arrowok="t"/>
                      <v:textbox>
                        <w:txbxContent>
                          <w:p w14:paraId="4EFDA9E2" w14:textId="77777777" w:rsidR="009C2D83" w:rsidRDefault="009C2D83" w:rsidP="009B206C">
                            <w:pPr>
                              <w:jc w:val="center"/>
                            </w:pPr>
                          </w:p>
                        </w:txbxContent>
                      </v:textbox>
                    </v:shape>
                  </w:pict>
                </mc:Fallback>
              </mc:AlternateContent>
            </w:r>
          </w:p>
        </w:tc>
      </w:tr>
      <w:tr w:rsidR="009B206C" w:rsidRPr="00F634CD" w14:paraId="4A9ED2C7" w14:textId="77777777" w:rsidTr="009B206C">
        <w:trPr>
          <w:cantSplit/>
          <w:trHeight w:hRule="exact" w:val="680"/>
        </w:trPr>
        <w:tc>
          <w:tcPr>
            <w:tcW w:w="8113" w:type="dxa"/>
            <w:shd w:val="solid" w:color="F2F2F2" w:themeColor="background1" w:themeShade="F2" w:fill="F2F2F2" w:themeFill="background1" w:themeFillShade="F2"/>
            <w:vAlign w:val="center"/>
          </w:tcPr>
          <w:p w14:paraId="046457B4" w14:textId="77777777" w:rsidR="009B206C" w:rsidRPr="00F634CD" w:rsidRDefault="009B206C" w:rsidP="009B206C">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Les coûts de surveillance supplémentaires associés à ces instruments.</w:t>
            </w:r>
          </w:p>
        </w:tc>
        <w:tc>
          <w:tcPr>
            <w:tcW w:w="1001" w:type="dxa"/>
            <w:shd w:val="solid" w:color="F2F2F2" w:themeColor="background1" w:themeShade="F2" w:fill="F2F2F2" w:themeFill="background1" w:themeFillShade="F2"/>
            <w:vAlign w:val="center"/>
          </w:tcPr>
          <w:p w14:paraId="18853DC1" w14:textId="06D247C9" w:rsidR="009B206C" w:rsidRPr="00F634CD" w:rsidRDefault="002C5EFF" w:rsidP="009B206C">
            <w:pPr>
              <w:tabs>
                <w:tab w:val="center" w:pos="4536"/>
              </w:tabs>
              <w:spacing w:line="360" w:lineRule="auto"/>
              <w:jc w:val="right"/>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20704" behindDoc="0" locked="0" layoutInCell="1" allowOverlap="1" wp14:anchorId="5C76BB32" wp14:editId="2354C9E6">
                      <wp:simplePos x="0" y="0"/>
                      <wp:positionH relativeFrom="column">
                        <wp:posOffset>112395</wp:posOffset>
                      </wp:positionH>
                      <wp:positionV relativeFrom="paragraph">
                        <wp:posOffset>93345</wp:posOffset>
                      </wp:positionV>
                      <wp:extent cx="212090" cy="159385"/>
                      <wp:effectExtent l="0" t="0" r="0" b="0"/>
                      <wp:wrapNone/>
                      <wp:docPr id="79" name="Organigramme : Processu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C0A9D"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76BB32" id="Organigramme : Processus 79" o:spid="_x0000_s1262" type="#_x0000_t109" style="position:absolute;left:0;text-align:left;margin-left:8.85pt;margin-top:7.35pt;width:16.7pt;height:1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" fillcolor="white [3212]" strokecolor="black [3213]" strokeweight="1.25pt">
                      <v:path arrowok="t"/>
                      <v:textbox>
                        <w:txbxContent>
                          <w:p w14:paraId="4AEC0A9D" w14:textId="77777777" w:rsidR="009C2D83" w:rsidRDefault="009C2D83" w:rsidP="009B206C">
                            <w:pPr>
                              <w:jc w:val="center"/>
                            </w:pPr>
                          </w:p>
                        </w:txbxContent>
                      </v:textbox>
                    </v:shape>
                  </w:pict>
                </mc:Fallback>
              </mc:AlternateContent>
            </w:r>
          </w:p>
        </w:tc>
      </w:tr>
      <w:tr w:rsidR="009B206C" w:rsidRPr="00F634CD" w14:paraId="00FCBA21" w14:textId="77777777" w:rsidTr="009B206C">
        <w:trPr>
          <w:cantSplit/>
          <w:trHeight w:hRule="exact" w:val="680"/>
        </w:trPr>
        <w:tc>
          <w:tcPr>
            <w:tcW w:w="8113" w:type="dxa"/>
            <w:shd w:val="solid" w:color="F2F2F2" w:themeColor="background1" w:themeShade="F2" w:fill="F2F2F2" w:themeFill="background1" w:themeFillShade="F2"/>
            <w:vAlign w:val="center"/>
          </w:tcPr>
          <w:p w14:paraId="4A0908F0" w14:textId="77777777" w:rsidR="009B206C" w:rsidRPr="00F634CD" w:rsidRDefault="009B206C" w:rsidP="009B206C">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 xml:space="preserve">L’ambiguïté de détermination des droits de propriété. </w:t>
            </w:r>
          </w:p>
        </w:tc>
        <w:tc>
          <w:tcPr>
            <w:tcW w:w="1001" w:type="dxa"/>
            <w:shd w:val="solid" w:color="F2F2F2" w:themeColor="background1" w:themeShade="F2" w:fill="F2F2F2" w:themeFill="background1" w:themeFillShade="F2"/>
            <w:vAlign w:val="center"/>
          </w:tcPr>
          <w:p w14:paraId="57A8C790" w14:textId="7E7CB63D" w:rsidR="009B206C" w:rsidRPr="00F634CD" w:rsidRDefault="002C5EFF" w:rsidP="009B206C">
            <w:pPr>
              <w:tabs>
                <w:tab w:val="center" w:pos="4536"/>
              </w:tabs>
              <w:spacing w:line="360" w:lineRule="auto"/>
              <w:jc w:val="right"/>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19680" behindDoc="0" locked="0" layoutInCell="1" allowOverlap="1" wp14:anchorId="51F85696" wp14:editId="5F41E861">
                      <wp:simplePos x="0" y="0"/>
                      <wp:positionH relativeFrom="column">
                        <wp:posOffset>112395</wp:posOffset>
                      </wp:positionH>
                      <wp:positionV relativeFrom="paragraph">
                        <wp:posOffset>81280</wp:posOffset>
                      </wp:positionV>
                      <wp:extent cx="212090" cy="159385"/>
                      <wp:effectExtent l="0" t="0" r="0" b="0"/>
                      <wp:wrapNone/>
                      <wp:docPr id="77" name="Organigramme : Processus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DAC0C"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F85696" id="Organigramme : Processus 77" o:spid="_x0000_s1263" type="#_x0000_t109" style="position:absolute;left:0;text-align:left;margin-left:8.85pt;margin-top:6.4pt;width:16.7pt;height:1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" fillcolor="white [3212]" strokecolor="black [3213]" strokeweight="1.25pt">
                      <v:path arrowok="t"/>
                      <v:textbox>
                        <w:txbxContent>
                          <w:p w14:paraId="690DAC0C" w14:textId="77777777" w:rsidR="009C2D83" w:rsidRDefault="009C2D83" w:rsidP="009B206C">
                            <w:pPr>
                              <w:jc w:val="center"/>
                            </w:pPr>
                          </w:p>
                        </w:txbxContent>
                      </v:textbox>
                    </v:shape>
                  </w:pict>
                </mc:Fallback>
              </mc:AlternateContent>
            </w:r>
          </w:p>
        </w:tc>
      </w:tr>
      <w:tr w:rsidR="009B206C" w:rsidRPr="00F634CD" w14:paraId="65C86F89" w14:textId="77777777" w:rsidTr="009B206C">
        <w:trPr>
          <w:cantSplit/>
          <w:trHeight w:hRule="exact" w:val="680"/>
        </w:trPr>
        <w:tc>
          <w:tcPr>
            <w:tcW w:w="8113" w:type="dxa"/>
            <w:shd w:val="solid" w:color="F2F2F2" w:themeColor="background1" w:themeShade="F2" w:fill="F2F2F2" w:themeFill="background1" w:themeFillShade="F2"/>
            <w:vAlign w:val="center"/>
          </w:tcPr>
          <w:p w14:paraId="7A7D3D28" w14:textId="77777777" w:rsidR="009B206C" w:rsidRPr="00F634CD" w:rsidRDefault="009B206C" w:rsidP="009B206C">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Le problème d’aléa moral lié à ces techniques de financement.</w:t>
            </w:r>
          </w:p>
        </w:tc>
        <w:tc>
          <w:tcPr>
            <w:tcW w:w="1001" w:type="dxa"/>
            <w:shd w:val="solid" w:color="F2F2F2" w:themeColor="background1" w:themeShade="F2" w:fill="F2F2F2" w:themeFill="background1" w:themeFillShade="F2"/>
            <w:vAlign w:val="center"/>
          </w:tcPr>
          <w:p w14:paraId="31A01813" w14:textId="7D79C066" w:rsidR="009B206C" w:rsidRPr="00F634CD" w:rsidRDefault="002C5EFF" w:rsidP="009B206C">
            <w:pPr>
              <w:tabs>
                <w:tab w:val="center" w:pos="4536"/>
              </w:tabs>
              <w:spacing w:line="360" w:lineRule="auto"/>
              <w:jc w:val="right"/>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18656" behindDoc="0" locked="0" layoutInCell="1" allowOverlap="1" wp14:anchorId="3F1EA823" wp14:editId="167ABB8D">
                      <wp:simplePos x="0" y="0"/>
                      <wp:positionH relativeFrom="column">
                        <wp:posOffset>112395</wp:posOffset>
                      </wp:positionH>
                      <wp:positionV relativeFrom="paragraph">
                        <wp:posOffset>89535</wp:posOffset>
                      </wp:positionV>
                      <wp:extent cx="212090" cy="159385"/>
                      <wp:effectExtent l="0" t="0" r="0" b="0"/>
                      <wp:wrapNone/>
                      <wp:docPr id="75" name="Organigramme : Processus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7F275"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1EA823" id="Organigramme : Processus 75" o:spid="_x0000_s1264" type="#_x0000_t109" style="position:absolute;left:0;text-align:left;margin-left:8.85pt;margin-top:7.05pt;width:16.7pt;height:1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" fillcolor="white [3212]" strokecolor="black [3213]" strokeweight="1.25pt">
                      <v:path arrowok="t"/>
                      <v:textbox>
                        <w:txbxContent>
                          <w:p w14:paraId="0657F275" w14:textId="77777777" w:rsidR="009C2D83" w:rsidRDefault="009C2D83" w:rsidP="009B206C">
                            <w:pPr>
                              <w:jc w:val="center"/>
                            </w:pPr>
                          </w:p>
                        </w:txbxContent>
                      </v:textbox>
                    </v:shape>
                  </w:pict>
                </mc:Fallback>
              </mc:AlternateContent>
            </w:r>
          </w:p>
        </w:tc>
      </w:tr>
      <w:tr w:rsidR="009B206C" w:rsidRPr="00F634CD" w14:paraId="0ADBBD6F" w14:textId="77777777" w:rsidTr="009B206C">
        <w:trPr>
          <w:cantSplit/>
          <w:trHeight w:hRule="exact" w:val="680"/>
        </w:trPr>
        <w:tc>
          <w:tcPr>
            <w:tcW w:w="8113" w:type="dxa"/>
            <w:shd w:val="solid" w:color="F2F2F2" w:themeColor="background1" w:themeShade="F2" w:fill="F2F2F2" w:themeFill="background1" w:themeFillShade="F2"/>
            <w:vAlign w:val="center"/>
          </w:tcPr>
          <w:p w14:paraId="225B1B0F" w14:textId="65100CAA" w:rsidR="009B206C" w:rsidRPr="00F634CD" w:rsidRDefault="009B206C" w:rsidP="00D40A21">
            <w:pPr>
              <w:pStyle w:val="Default"/>
              <w:spacing w:line="360" w:lineRule="auto"/>
              <w:rPr>
                <w:rFonts w:asciiTheme="majorBidi" w:hAnsiTheme="majorBidi" w:cstheme="majorBidi"/>
                <w:kern w:val="24"/>
              </w:rPr>
            </w:pPr>
            <w:r w:rsidRPr="00F634CD">
              <w:rPr>
                <w:rFonts w:asciiTheme="majorBidi" w:hAnsiTheme="majorBidi" w:cstheme="majorBidi"/>
                <w:kern w:val="24"/>
              </w:rPr>
              <w:t>Les problèmes de sélection adverse dans les contrats participatifs.</w:t>
            </w:r>
          </w:p>
        </w:tc>
        <w:tc>
          <w:tcPr>
            <w:tcW w:w="1001" w:type="dxa"/>
            <w:shd w:val="solid" w:color="F2F2F2" w:themeColor="background1" w:themeShade="F2" w:fill="F2F2F2" w:themeFill="background1" w:themeFillShade="F2"/>
            <w:vAlign w:val="center"/>
          </w:tcPr>
          <w:p w14:paraId="1C29CE4A" w14:textId="6C9069FF" w:rsidR="009B206C" w:rsidRPr="00F634CD" w:rsidRDefault="002C5EFF" w:rsidP="009B206C">
            <w:pPr>
              <w:tabs>
                <w:tab w:val="center" w:pos="4536"/>
              </w:tabs>
              <w:spacing w:line="360" w:lineRule="auto"/>
              <w:jc w:val="right"/>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22752" behindDoc="0" locked="0" layoutInCell="1" allowOverlap="1" wp14:anchorId="162512EB" wp14:editId="0FE202C1">
                      <wp:simplePos x="0" y="0"/>
                      <wp:positionH relativeFrom="column">
                        <wp:posOffset>112395</wp:posOffset>
                      </wp:positionH>
                      <wp:positionV relativeFrom="paragraph">
                        <wp:posOffset>98425</wp:posOffset>
                      </wp:positionV>
                      <wp:extent cx="212090" cy="159385"/>
                      <wp:effectExtent l="0" t="0" r="0" b="0"/>
                      <wp:wrapNone/>
                      <wp:docPr id="1574" name="Organigramme : Processu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4CD3B"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2512EB" id="Organigramme : Processus 2" o:spid="_x0000_s1265" type="#_x0000_t109" style="position:absolute;left:0;text-align:left;margin-left:8.85pt;margin-top:7.75pt;width:16.7pt;height:1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" fillcolor="white [3212]" strokecolor="black [3213]" strokeweight="1.25pt">
                      <v:path arrowok="t"/>
                      <v:textbox>
                        <w:txbxContent>
                          <w:p w14:paraId="6A44CD3B" w14:textId="77777777" w:rsidR="009C2D83" w:rsidRDefault="009C2D83" w:rsidP="009B206C">
                            <w:pPr>
                              <w:jc w:val="center"/>
                            </w:pPr>
                          </w:p>
                        </w:txbxContent>
                      </v:textbox>
                    </v:shape>
                  </w:pict>
                </mc:Fallback>
              </mc:AlternateContent>
            </w:r>
          </w:p>
        </w:tc>
      </w:tr>
      <w:tr w:rsidR="009B206C" w:rsidRPr="00F634CD" w14:paraId="1D3CCC13" w14:textId="77777777" w:rsidTr="009B206C">
        <w:trPr>
          <w:cantSplit/>
          <w:trHeight w:hRule="exact" w:val="680"/>
        </w:trPr>
        <w:tc>
          <w:tcPr>
            <w:tcW w:w="8113" w:type="dxa"/>
            <w:shd w:val="solid" w:color="F2F2F2" w:themeColor="background1" w:themeShade="F2" w:fill="F2F2F2" w:themeFill="background1" w:themeFillShade="F2"/>
            <w:vAlign w:val="center"/>
          </w:tcPr>
          <w:p w14:paraId="2AFF08EB" w14:textId="77777777" w:rsidR="009B206C" w:rsidRPr="00F634CD" w:rsidRDefault="009B206C" w:rsidP="009B206C">
            <w:pPr>
              <w:pStyle w:val="Default"/>
              <w:spacing w:line="360" w:lineRule="auto"/>
              <w:rPr>
                <w:kern w:val="24"/>
              </w:rPr>
            </w:pPr>
            <w:r w:rsidRPr="00F634CD">
              <w:rPr>
                <w:rFonts w:asciiTheme="majorBidi" w:hAnsiTheme="majorBidi" w:cstheme="majorBidi"/>
                <w:kern w:val="24"/>
              </w:rPr>
              <w:t>L’absence d’une réglementation qui favorise ces modes de financement</w:t>
            </w:r>
          </w:p>
        </w:tc>
        <w:tc>
          <w:tcPr>
            <w:tcW w:w="1001" w:type="dxa"/>
            <w:shd w:val="solid" w:color="F2F2F2" w:themeColor="background1" w:themeShade="F2" w:fill="F2F2F2" w:themeFill="background1" w:themeFillShade="F2"/>
            <w:vAlign w:val="center"/>
          </w:tcPr>
          <w:p w14:paraId="1505DEB0" w14:textId="70E1409E" w:rsidR="009B206C" w:rsidRPr="00F634CD" w:rsidRDefault="002C5EFF" w:rsidP="009B206C">
            <w:pPr>
              <w:tabs>
                <w:tab w:val="center" w:pos="4536"/>
              </w:tabs>
              <w:spacing w:line="360" w:lineRule="auto"/>
              <w:jc w:val="right"/>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17632" behindDoc="0" locked="0" layoutInCell="1" allowOverlap="1" wp14:anchorId="275390CC" wp14:editId="11687F1D">
                      <wp:simplePos x="0" y="0"/>
                      <wp:positionH relativeFrom="column">
                        <wp:posOffset>121920</wp:posOffset>
                      </wp:positionH>
                      <wp:positionV relativeFrom="paragraph">
                        <wp:posOffset>115570</wp:posOffset>
                      </wp:positionV>
                      <wp:extent cx="212090" cy="159385"/>
                      <wp:effectExtent l="0" t="0" r="0" b="0"/>
                      <wp:wrapNone/>
                      <wp:docPr id="71" name="Organigramme : Processus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EEE71"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5390CC" id="Organigramme : Processus 71" o:spid="_x0000_s1266" type="#_x0000_t109" style="position:absolute;left:0;text-align:left;margin-left:9.6pt;margin-top:9.1pt;width:16.7pt;height:1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" fillcolor="white [3212]" strokecolor="black [3213]" strokeweight="1.25pt">
                      <v:path arrowok="t"/>
                      <v:textbox>
                        <w:txbxContent>
                          <w:p w14:paraId="5B9EEE71" w14:textId="77777777" w:rsidR="009C2D83" w:rsidRDefault="009C2D83" w:rsidP="009B206C">
                            <w:pPr>
                              <w:jc w:val="center"/>
                            </w:pPr>
                          </w:p>
                        </w:txbxContent>
                      </v:textbox>
                    </v:shape>
                  </w:pict>
                </mc:Fallback>
              </mc:AlternateContent>
            </w:r>
          </w:p>
        </w:tc>
      </w:tr>
    </w:tbl>
    <w:p w14:paraId="406DA8FA" w14:textId="77777777" w:rsidR="00E37BA3" w:rsidRPr="00F634CD" w:rsidRDefault="00E37BA3">
      <w:pPr>
        <w:rPr>
          <w:rFonts w:ascii="Times New Roman" w:eastAsiaTheme="minorEastAsia" w:hAnsi="Times New Roman" w:cs="Times New Roman"/>
          <w:b/>
          <w:bCs/>
          <w:i/>
          <w:iCs/>
          <w:color w:val="000000"/>
          <w:kern w:val="24"/>
          <w:sz w:val="24"/>
          <w:szCs w:val="24"/>
        </w:rPr>
      </w:pPr>
      <w:r w:rsidRPr="00F634CD">
        <w:rPr>
          <w:rFonts w:ascii="Times New Roman" w:hAnsi="Times New Roman" w:cs="Times New Roman"/>
          <w:b/>
          <w:bCs/>
          <w:i/>
          <w:iCs/>
          <w:kern w:val="24"/>
        </w:rPr>
        <w:br w:type="page"/>
      </w:r>
    </w:p>
    <w:p w14:paraId="49F861E0" w14:textId="77777777" w:rsidR="005D5B9E" w:rsidRPr="00F634CD" w:rsidRDefault="005D5B9E" w:rsidP="009B206C">
      <w:pPr>
        <w:pStyle w:val="Default"/>
        <w:spacing w:before="120" w:after="240" w:line="276" w:lineRule="auto"/>
        <w:ind w:left="425" w:hanging="425"/>
        <w:rPr>
          <w:b/>
          <w:bCs/>
          <w:i/>
          <w:iCs/>
          <w:kern w:val="24"/>
        </w:rPr>
      </w:pPr>
      <w:r w:rsidRPr="00F634CD">
        <w:rPr>
          <w:b/>
          <w:bCs/>
          <w:i/>
          <w:iCs/>
          <w:kern w:val="24"/>
        </w:rPr>
        <w:t>13.</w:t>
      </w:r>
      <w:r w:rsidRPr="00F634CD">
        <w:rPr>
          <w:kern w:val="24"/>
        </w:rPr>
        <w:t xml:space="preserve"> </w:t>
      </w:r>
      <w:r w:rsidRPr="00F634CD">
        <w:rPr>
          <w:b/>
          <w:bCs/>
          <w:i/>
          <w:iCs/>
          <w:kern w:val="24"/>
        </w:rPr>
        <w:t xml:space="preserve">Quelles sont les raisons de l’utilisation massive des modes de financement à revenu fixe (principalement la </w:t>
      </w:r>
      <w:r w:rsidR="00DD2B9B" w:rsidRPr="00F634CD">
        <w:rPr>
          <w:b/>
          <w:bCs/>
          <w:i/>
          <w:iCs/>
          <w:kern w:val="24"/>
        </w:rPr>
        <w:t>m</w:t>
      </w:r>
      <w:r w:rsidRPr="00F634CD">
        <w:rPr>
          <w:b/>
          <w:bCs/>
          <w:i/>
          <w:iCs/>
          <w:kern w:val="24"/>
        </w:rPr>
        <w:t xml:space="preserve">ourabaha) ? </w:t>
      </w:r>
    </w:p>
    <w:tbl>
      <w:tblPr>
        <w:tblStyle w:val="Grilledutableau"/>
        <w:tblW w:w="0" w:type="auto"/>
        <w:shd w:val="solid" w:color="F2F2F2" w:themeColor="background1" w:themeShade="F2" w:fill="F2F2F2" w:themeFill="background1" w:themeFillShade="F2"/>
        <w:tblLook w:val="04A0" w:firstRow="1" w:lastRow="0" w:firstColumn="1" w:lastColumn="0" w:noHBand="0" w:noVBand="1"/>
      </w:tblPr>
      <w:tblGrid>
        <w:gridCol w:w="8019"/>
        <w:gridCol w:w="990"/>
      </w:tblGrid>
      <w:tr w:rsidR="009B206C" w:rsidRPr="00F634CD" w14:paraId="624087D7" w14:textId="77777777" w:rsidTr="00B6096E">
        <w:trPr>
          <w:trHeight w:hRule="exact" w:val="680"/>
        </w:trPr>
        <w:tc>
          <w:tcPr>
            <w:tcW w:w="8019" w:type="dxa"/>
            <w:shd w:val="solid" w:color="F2F2F2" w:themeColor="background1" w:themeShade="F2" w:fill="F2F2F2" w:themeFill="background1" w:themeFillShade="F2"/>
            <w:vAlign w:val="center"/>
          </w:tcPr>
          <w:p w14:paraId="58CFAD28" w14:textId="77777777" w:rsidR="009B206C" w:rsidRPr="00F634CD" w:rsidRDefault="009B206C" w:rsidP="00B6096E">
            <w:pPr>
              <w:pStyle w:val="Default"/>
              <w:spacing w:line="360" w:lineRule="auto"/>
              <w:jc w:val="left"/>
              <w:rPr>
                <w:kern w:val="24"/>
              </w:rPr>
            </w:pPr>
            <w:r w:rsidRPr="00F634CD">
              <w:rPr>
                <w:kern w:val="24"/>
              </w:rPr>
              <w:t xml:space="preserve">La simplicité des procédures et des démarches. </w:t>
            </w:r>
          </w:p>
        </w:tc>
        <w:tc>
          <w:tcPr>
            <w:tcW w:w="990" w:type="dxa"/>
            <w:shd w:val="solid" w:color="F2F2F2" w:themeColor="background1" w:themeShade="F2" w:fill="F2F2F2" w:themeFill="background1" w:themeFillShade="F2"/>
          </w:tcPr>
          <w:p w14:paraId="3232CF1E" w14:textId="053E35B4"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26848" behindDoc="0" locked="0" layoutInCell="1" allowOverlap="1" wp14:anchorId="4BE6AA44" wp14:editId="0A47F2E7">
                      <wp:simplePos x="0" y="0"/>
                      <wp:positionH relativeFrom="column">
                        <wp:posOffset>121920</wp:posOffset>
                      </wp:positionH>
                      <wp:positionV relativeFrom="paragraph">
                        <wp:posOffset>109220</wp:posOffset>
                      </wp:positionV>
                      <wp:extent cx="212090" cy="159385"/>
                      <wp:effectExtent l="0" t="0" r="0" b="0"/>
                      <wp:wrapNone/>
                      <wp:docPr id="106" name="Organigramme : Processu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A750D"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E6AA44" id="Organigramme : Processus 106" o:spid="_x0000_s1267" type="#_x0000_t109" style="position:absolute;left:0;text-align:left;margin-left:9.6pt;margin-top:8.6pt;width:16.7pt;height:1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" fillcolor="white [3212]" strokecolor="black [3213]" strokeweight="1.25pt">
                      <v:path arrowok="t"/>
                      <v:textbox>
                        <w:txbxContent>
                          <w:p w14:paraId="395A750D" w14:textId="77777777" w:rsidR="009C2D83" w:rsidRDefault="009C2D83" w:rsidP="009B206C">
                            <w:pPr>
                              <w:jc w:val="center"/>
                            </w:pPr>
                          </w:p>
                        </w:txbxContent>
                      </v:textbox>
                    </v:shape>
                  </w:pict>
                </mc:Fallback>
              </mc:AlternateContent>
            </w:r>
          </w:p>
        </w:tc>
      </w:tr>
      <w:tr w:rsidR="009B206C" w:rsidRPr="00F634CD" w14:paraId="0BE253C0" w14:textId="77777777" w:rsidTr="00B6096E">
        <w:trPr>
          <w:trHeight w:hRule="exact" w:val="680"/>
        </w:trPr>
        <w:tc>
          <w:tcPr>
            <w:tcW w:w="8019" w:type="dxa"/>
            <w:shd w:val="solid" w:color="F2F2F2" w:themeColor="background1" w:themeShade="F2" w:fill="F2F2F2" w:themeFill="background1" w:themeFillShade="F2"/>
            <w:vAlign w:val="center"/>
          </w:tcPr>
          <w:p w14:paraId="60A82A0E" w14:textId="77777777" w:rsidR="009B206C" w:rsidRPr="00F634CD" w:rsidRDefault="009B206C" w:rsidP="00B6096E">
            <w:pPr>
              <w:pStyle w:val="Default"/>
              <w:spacing w:line="360" w:lineRule="auto"/>
              <w:jc w:val="left"/>
              <w:rPr>
                <w:kern w:val="24"/>
              </w:rPr>
            </w:pPr>
            <w:r w:rsidRPr="00F634CD">
              <w:rPr>
                <w:kern w:val="24"/>
              </w:rPr>
              <w:t>Une importante manne de liquidité à un risque faible.</w:t>
            </w:r>
          </w:p>
        </w:tc>
        <w:tc>
          <w:tcPr>
            <w:tcW w:w="990" w:type="dxa"/>
            <w:shd w:val="solid" w:color="F2F2F2" w:themeColor="background1" w:themeShade="F2" w:fill="F2F2F2" w:themeFill="background1" w:themeFillShade="F2"/>
          </w:tcPr>
          <w:p w14:paraId="2E624AF5" w14:textId="30E6C58C"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25824" behindDoc="0" locked="0" layoutInCell="1" allowOverlap="1" wp14:anchorId="6B1EC978" wp14:editId="7138F39D">
                      <wp:simplePos x="0" y="0"/>
                      <wp:positionH relativeFrom="column">
                        <wp:posOffset>121920</wp:posOffset>
                      </wp:positionH>
                      <wp:positionV relativeFrom="paragraph">
                        <wp:posOffset>106680</wp:posOffset>
                      </wp:positionV>
                      <wp:extent cx="212090" cy="159385"/>
                      <wp:effectExtent l="0" t="0" r="0" b="0"/>
                      <wp:wrapNone/>
                      <wp:docPr id="1573" name="Organigramme : Processus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8EAE2"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1EC978" id="Organigramme : Processus 198" o:spid="_x0000_s1268" type="#_x0000_t109" style="position:absolute;left:0;text-align:left;margin-left:9.6pt;margin-top:8.4pt;width:16.7pt;height:1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" fillcolor="white [3212]" strokecolor="black [3213]" strokeweight="1.25pt">
                      <v:path arrowok="t"/>
                      <v:textbox>
                        <w:txbxContent>
                          <w:p w14:paraId="3C28EAE2" w14:textId="77777777" w:rsidR="009C2D83" w:rsidRDefault="009C2D83" w:rsidP="009B206C">
                            <w:pPr>
                              <w:jc w:val="center"/>
                            </w:pPr>
                          </w:p>
                        </w:txbxContent>
                      </v:textbox>
                    </v:shape>
                  </w:pict>
                </mc:Fallback>
              </mc:AlternateContent>
            </w:r>
          </w:p>
        </w:tc>
      </w:tr>
      <w:tr w:rsidR="009B206C" w:rsidRPr="00F634CD" w14:paraId="6AA435AB" w14:textId="77777777" w:rsidTr="00B6096E">
        <w:trPr>
          <w:trHeight w:hRule="exact" w:val="680"/>
        </w:trPr>
        <w:tc>
          <w:tcPr>
            <w:tcW w:w="8019" w:type="dxa"/>
            <w:shd w:val="solid" w:color="F2F2F2" w:themeColor="background1" w:themeShade="F2" w:fill="F2F2F2" w:themeFill="background1" w:themeFillShade="F2"/>
            <w:vAlign w:val="center"/>
          </w:tcPr>
          <w:p w14:paraId="04B3AFD1" w14:textId="56C172AC" w:rsidR="009B206C" w:rsidRPr="00F634CD" w:rsidRDefault="009B206C" w:rsidP="00B6096E">
            <w:pPr>
              <w:pStyle w:val="Default"/>
              <w:spacing w:line="360" w:lineRule="auto"/>
              <w:jc w:val="left"/>
              <w:rPr>
                <w:kern w:val="24"/>
              </w:rPr>
            </w:pPr>
            <w:r w:rsidRPr="00F634CD">
              <w:rPr>
                <w:kern w:val="24"/>
              </w:rPr>
              <w:t xml:space="preserve">Le rendement est fixé en avance. </w:t>
            </w:r>
          </w:p>
        </w:tc>
        <w:tc>
          <w:tcPr>
            <w:tcW w:w="990" w:type="dxa"/>
            <w:shd w:val="solid" w:color="F2F2F2" w:themeColor="background1" w:themeShade="F2" w:fill="F2F2F2" w:themeFill="background1" w:themeFillShade="F2"/>
          </w:tcPr>
          <w:p w14:paraId="7C6C87D7" w14:textId="628DC02E"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24800" behindDoc="0" locked="0" layoutInCell="1" allowOverlap="1" wp14:anchorId="1723E779" wp14:editId="44894E4D">
                      <wp:simplePos x="0" y="0"/>
                      <wp:positionH relativeFrom="column">
                        <wp:posOffset>121920</wp:posOffset>
                      </wp:positionH>
                      <wp:positionV relativeFrom="paragraph">
                        <wp:posOffset>113665</wp:posOffset>
                      </wp:positionV>
                      <wp:extent cx="212090" cy="159385"/>
                      <wp:effectExtent l="0" t="0" r="0" b="0"/>
                      <wp:wrapNone/>
                      <wp:docPr id="1572" name="Organigramme : Processus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76CC1"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23E779" id="Organigramme : Processus 199" o:spid="_x0000_s1269" type="#_x0000_t109" style="position:absolute;left:0;text-align:left;margin-left:9.6pt;margin-top:8.95pt;width:16.7pt;height:1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" fillcolor="white [3212]" strokecolor="black [3213]" strokeweight="1.25pt">
                      <v:path arrowok="t"/>
                      <v:textbox>
                        <w:txbxContent>
                          <w:p w14:paraId="70776CC1" w14:textId="77777777" w:rsidR="009C2D83" w:rsidRDefault="009C2D83" w:rsidP="009B206C">
                            <w:pPr>
                              <w:jc w:val="center"/>
                            </w:pPr>
                          </w:p>
                        </w:txbxContent>
                      </v:textbox>
                    </v:shape>
                  </w:pict>
                </mc:Fallback>
              </mc:AlternateContent>
            </w:r>
          </w:p>
        </w:tc>
      </w:tr>
      <w:tr w:rsidR="009B206C" w:rsidRPr="00F634CD" w14:paraId="041AA922" w14:textId="77777777" w:rsidTr="00B6096E">
        <w:trPr>
          <w:trHeight w:hRule="exact" w:val="680"/>
        </w:trPr>
        <w:tc>
          <w:tcPr>
            <w:tcW w:w="8019" w:type="dxa"/>
            <w:shd w:val="solid" w:color="F2F2F2" w:themeColor="background1" w:themeShade="F2" w:fill="F2F2F2" w:themeFill="background1" w:themeFillShade="F2"/>
            <w:vAlign w:val="center"/>
          </w:tcPr>
          <w:p w14:paraId="38ABD6FC" w14:textId="7AA2E894" w:rsidR="009B206C" w:rsidRPr="00F634CD" w:rsidRDefault="009B206C" w:rsidP="00B6096E">
            <w:pPr>
              <w:pStyle w:val="Default"/>
              <w:spacing w:line="360" w:lineRule="auto"/>
              <w:jc w:val="left"/>
              <w:rPr>
                <w:kern w:val="24"/>
              </w:rPr>
            </w:pPr>
            <w:r w:rsidRPr="00F634CD">
              <w:rPr>
                <w:rFonts w:asciiTheme="majorBidi" w:hAnsiTheme="majorBidi" w:cstheme="majorBidi"/>
                <w:kern w:val="24"/>
              </w:rPr>
              <w:t>La préférence des clients des produits financiers à revenu fixe.</w:t>
            </w:r>
          </w:p>
        </w:tc>
        <w:tc>
          <w:tcPr>
            <w:tcW w:w="990" w:type="dxa"/>
            <w:shd w:val="solid" w:color="F2F2F2" w:themeColor="background1" w:themeShade="F2" w:fill="F2F2F2" w:themeFill="background1" w:themeFillShade="F2"/>
          </w:tcPr>
          <w:p w14:paraId="336350AC" w14:textId="3B5B664B"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23776" behindDoc="0" locked="0" layoutInCell="1" allowOverlap="1" wp14:anchorId="5773CF91" wp14:editId="04F16279">
                      <wp:simplePos x="0" y="0"/>
                      <wp:positionH relativeFrom="column">
                        <wp:posOffset>121920</wp:posOffset>
                      </wp:positionH>
                      <wp:positionV relativeFrom="paragraph">
                        <wp:posOffset>120650</wp:posOffset>
                      </wp:positionV>
                      <wp:extent cx="212090" cy="159385"/>
                      <wp:effectExtent l="0" t="0" r="0" b="0"/>
                      <wp:wrapNone/>
                      <wp:docPr id="200" name="Organigramme : Processus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E7800"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73CF91" id="Organigramme : Processus 200" o:spid="_x0000_s1270" type="#_x0000_t109" style="position:absolute;left:0;text-align:left;margin-left:9.6pt;margin-top:9.5pt;width:16.7pt;height:1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" fillcolor="white [3212]" strokecolor="black [3213]" strokeweight="1.25pt">
                      <v:path arrowok="t"/>
                      <v:textbox>
                        <w:txbxContent>
                          <w:p w14:paraId="3F4E7800" w14:textId="77777777" w:rsidR="009C2D83" w:rsidRDefault="009C2D83" w:rsidP="009B206C">
                            <w:pPr>
                              <w:jc w:val="center"/>
                            </w:pPr>
                          </w:p>
                        </w:txbxContent>
                      </v:textbox>
                    </v:shape>
                  </w:pict>
                </mc:Fallback>
              </mc:AlternateContent>
            </w:r>
          </w:p>
        </w:tc>
      </w:tr>
    </w:tbl>
    <w:p w14:paraId="0DD73E3E" w14:textId="77777777" w:rsidR="005D5B9E" w:rsidRPr="00F634CD" w:rsidRDefault="005D5B9E" w:rsidP="00A2369E">
      <w:pPr>
        <w:pStyle w:val="NormalWeb"/>
        <w:spacing w:after="120" w:afterAutospacing="0" w:line="276" w:lineRule="auto"/>
        <w:rPr>
          <w:b/>
          <w:bCs/>
          <w:i/>
          <w:iCs/>
          <w:color w:val="000000"/>
          <w:kern w:val="24"/>
          <w:sz w:val="28"/>
          <w:szCs w:val="28"/>
          <w:shd w:val="clear" w:color="auto" w:fill="F8F8F8"/>
        </w:rPr>
      </w:pPr>
      <w:r w:rsidRPr="00F634CD">
        <w:rPr>
          <w:b/>
          <w:bCs/>
          <w:i/>
          <w:iCs/>
          <w:color w:val="000000"/>
          <w:kern w:val="24"/>
          <w:sz w:val="28"/>
          <w:szCs w:val="28"/>
          <w:shd w:val="clear" w:color="auto" w:fill="F8F8F8"/>
        </w:rPr>
        <w:t>IV.</w:t>
      </w:r>
      <w:r w:rsidRPr="00F634CD">
        <w:rPr>
          <w:b/>
          <w:bCs/>
          <w:i/>
          <w:iCs/>
          <w:kern w:val="24"/>
          <w:sz w:val="28"/>
          <w:szCs w:val="28"/>
        </w:rPr>
        <w:t xml:space="preserve"> Gestion des risques des produits M-M</w:t>
      </w:r>
    </w:p>
    <w:p w14:paraId="157B8F8B" w14:textId="77777777" w:rsidR="005D5B9E" w:rsidRPr="00F634CD" w:rsidRDefault="005D5B9E" w:rsidP="00A2369E">
      <w:pPr>
        <w:pStyle w:val="NormalWeb"/>
        <w:spacing w:before="120" w:beforeAutospacing="0" w:after="120" w:afterAutospacing="0" w:line="276" w:lineRule="auto"/>
        <w:rPr>
          <w:b/>
          <w:bCs/>
          <w:i/>
          <w:iCs/>
          <w:color w:val="000000"/>
          <w:kern w:val="24"/>
          <w:sz w:val="27"/>
          <w:szCs w:val="27"/>
          <w:shd w:val="clear" w:color="auto" w:fill="F8F8F8"/>
        </w:rPr>
      </w:pPr>
      <w:r w:rsidRPr="00F634CD">
        <w:rPr>
          <w:b/>
          <w:bCs/>
          <w:i/>
          <w:iCs/>
          <w:color w:val="000000"/>
          <w:kern w:val="24"/>
          <w:shd w:val="clear" w:color="auto" w:fill="F8F8F8"/>
        </w:rPr>
        <w:t>IV.1</w:t>
      </w:r>
      <w:r w:rsidRPr="00F634CD">
        <w:rPr>
          <w:b/>
          <w:bCs/>
          <w:i/>
          <w:iCs/>
          <w:kern w:val="24"/>
        </w:rPr>
        <w:t xml:space="preserve"> Processus de gestion des risques</w:t>
      </w:r>
    </w:p>
    <w:p w14:paraId="403E71C2" w14:textId="77777777" w:rsidR="005D5B9E" w:rsidRPr="00F634CD" w:rsidRDefault="005D5B9E" w:rsidP="00A2369E">
      <w:pPr>
        <w:tabs>
          <w:tab w:val="center" w:pos="4536"/>
        </w:tabs>
        <w:spacing w:before="120" w:after="120"/>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 xml:space="preserve">14. </w:t>
      </w:r>
      <w:r w:rsidRPr="00F634CD">
        <w:rPr>
          <w:rFonts w:ascii="Times New Roman" w:hAnsi="Times New Roman" w:cs="Times New Roman"/>
          <w:b/>
          <w:bCs/>
          <w:i/>
          <w:iCs/>
          <w:kern w:val="24"/>
          <w:sz w:val="24"/>
          <w:szCs w:val="24"/>
        </w:rPr>
        <w:t>veuillez cocher les cases appropriées :</w:t>
      </w:r>
    </w:p>
    <w:tbl>
      <w:tblPr>
        <w:tblStyle w:val="Grilledutableau"/>
        <w:tblW w:w="0" w:type="auto"/>
        <w:shd w:val="solid" w:color="F2F2F2" w:themeColor="background1" w:themeShade="F2" w:fill="F2F2F2" w:themeFill="background1" w:themeFillShade="F2"/>
        <w:tblLook w:val="04A0" w:firstRow="1" w:lastRow="0" w:firstColumn="1" w:lastColumn="0" w:noHBand="0" w:noVBand="1"/>
      </w:tblPr>
      <w:tblGrid>
        <w:gridCol w:w="7344"/>
        <w:gridCol w:w="843"/>
        <w:gridCol w:w="874"/>
      </w:tblGrid>
      <w:tr w:rsidR="009B206C" w:rsidRPr="00F634CD" w14:paraId="3B296899" w14:textId="77777777" w:rsidTr="009B206C">
        <w:trPr>
          <w:trHeight w:hRule="exact" w:val="780"/>
        </w:trPr>
        <w:tc>
          <w:tcPr>
            <w:tcW w:w="7455" w:type="dxa"/>
            <w:shd w:val="solid" w:color="F2F2F2" w:themeColor="background1" w:themeShade="F2" w:fill="F2F2F2" w:themeFill="background1" w:themeFillShade="F2"/>
            <w:vAlign w:val="center"/>
          </w:tcPr>
          <w:p w14:paraId="369EE409" w14:textId="77777777" w:rsidR="009B206C" w:rsidRPr="00F634CD" w:rsidRDefault="009B206C" w:rsidP="009B206C">
            <w:pPr>
              <w:tabs>
                <w:tab w:val="center" w:pos="4536"/>
              </w:tabs>
              <w:spacing w:line="360" w:lineRule="auto"/>
              <w:jc w:val="center"/>
              <w:rPr>
                <w:rFonts w:asciiTheme="majorBidi" w:hAnsiTheme="majorBidi" w:cstheme="majorBidi"/>
                <w:kern w:val="24"/>
                <w:sz w:val="24"/>
                <w:szCs w:val="24"/>
              </w:rPr>
            </w:pPr>
          </w:p>
        </w:tc>
        <w:tc>
          <w:tcPr>
            <w:tcW w:w="848" w:type="dxa"/>
            <w:shd w:val="solid" w:color="F2F2F2" w:themeColor="background1" w:themeShade="F2" w:fill="F2F2F2" w:themeFill="background1" w:themeFillShade="F2"/>
            <w:vAlign w:val="center"/>
          </w:tcPr>
          <w:p w14:paraId="089F0ED4" w14:textId="77777777" w:rsidR="009B206C" w:rsidRPr="00F634CD" w:rsidRDefault="009B206C" w:rsidP="009B206C">
            <w:pPr>
              <w:tabs>
                <w:tab w:val="center" w:pos="4536"/>
              </w:tabs>
              <w:spacing w:line="360" w:lineRule="auto"/>
              <w:jc w:val="center"/>
              <w:rPr>
                <w:rFonts w:asciiTheme="majorBidi" w:hAnsiTheme="majorBidi" w:cstheme="majorBidi"/>
                <w:kern w:val="24"/>
                <w:sz w:val="24"/>
                <w:szCs w:val="24"/>
              </w:rPr>
            </w:pPr>
            <w:r w:rsidRPr="00F634CD">
              <w:rPr>
                <w:rFonts w:asciiTheme="majorBidi" w:hAnsiTheme="majorBidi" w:cstheme="majorBidi"/>
                <w:kern w:val="24"/>
                <w:sz w:val="24"/>
                <w:szCs w:val="24"/>
              </w:rPr>
              <w:t>Oui</w:t>
            </w:r>
          </w:p>
        </w:tc>
        <w:tc>
          <w:tcPr>
            <w:tcW w:w="879" w:type="dxa"/>
            <w:shd w:val="solid" w:color="F2F2F2" w:themeColor="background1" w:themeShade="F2" w:fill="F2F2F2" w:themeFill="background1" w:themeFillShade="F2"/>
            <w:vAlign w:val="center"/>
          </w:tcPr>
          <w:p w14:paraId="5908A186" w14:textId="77777777" w:rsidR="009B206C" w:rsidRPr="00F634CD" w:rsidRDefault="009B206C" w:rsidP="009B206C">
            <w:pPr>
              <w:tabs>
                <w:tab w:val="center" w:pos="4536"/>
              </w:tabs>
              <w:spacing w:line="360" w:lineRule="auto"/>
              <w:jc w:val="center"/>
              <w:rPr>
                <w:rFonts w:asciiTheme="majorBidi" w:hAnsiTheme="majorBidi" w:cstheme="majorBidi"/>
                <w:kern w:val="24"/>
                <w:sz w:val="24"/>
                <w:szCs w:val="24"/>
              </w:rPr>
            </w:pPr>
            <w:r w:rsidRPr="00F634CD">
              <w:rPr>
                <w:rFonts w:asciiTheme="majorBidi" w:hAnsiTheme="majorBidi" w:cstheme="majorBidi"/>
                <w:kern w:val="24"/>
                <w:sz w:val="24"/>
                <w:szCs w:val="24"/>
              </w:rPr>
              <w:t>Non</w:t>
            </w:r>
          </w:p>
        </w:tc>
      </w:tr>
      <w:tr w:rsidR="009B206C" w:rsidRPr="00F634CD" w14:paraId="4006C9E4" w14:textId="77777777" w:rsidTr="009B206C">
        <w:trPr>
          <w:trHeight w:hRule="exact" w:val="780"/>
        </w:trPr>
        <w:tc>
          <w:tcPr>
            <w:tcW w:w="7455" w:type="dxa"/>
            <w:shd w:val="solid" w:color="F2F2F2" w:themeColor="background1" w:themeShade="F2" w:fill="F2F2F2" w:themeFill="background1" w:themeFillShade="F2"/>
            <w:vAlign w:val="center"/>
          </w:tcPr>
          <w:p w14:paraId="3E9E8408" w14:textId="1518A04C" w:rsidR="009B206C" w:rsidRPr="00F634CD" w:rsidRDefault="009B206C" w:rsidP="009B206C">
            <w:pPr>
              <w:autoSpaceDE w:val="0"/>
              <w:autoSpaceDN w:val="0"/>
              <w:adjustRightInd w:val="0"/>
              <w:spacing w:line="360" w:lineRule="auto"/>
              <w:jc w:val="left"/>
              <w:rPr>
                <w:rFonts w:ascii="TimesNewRomanPSMT" w:hAnsi="TimesNewRomanPSMT" w:cs="TimesNewRomanPSMT"/>
                <w:kern w:val="24"/>
              </w:rPr>
            </w:pPr>
            <w:r w:rsidRPr="00F634CD">
              <w:rPr>
                <w:rFonts w:ascii="TimesNewRomanPSMT" w:hAnsi="TimesNewRomanPSMT" w:cs="TimesNewRomanPSMT"/>
                <w:kern w:val="24"/>
              </w:rPr>
              <w:t xml:space="preserve">Est-ce que votre établissement dispose d’un département de gestion des </w:t>
            </w:r>
            <w:r w:rsidR="00D40A21" w:rsidRPr="00F634CD">
              <w:rPr>
                <w:rFonts w:ascii="TimesNewRomanPSMT" w:hAnsi="TimesNewRomanPSMT" w:cs="TimesNewRomanPSMT"/>
                <w:kern w:val="24"/>
              </w:rPr>
              <w:t>risques ?</w:t>
            </w:r>
          </w:p>
        </w:tc>
        <w:tc>
          <w:tcPr>
            <w:tcW w:w="848" w:type="dxa"/>
            <w:shd w:val="solid" w:color="F2F2F2" w:themeColor="background1" w:themeShade="F2" w:fill="F2F2F2" w:themeFill="background1" w:themeFillShade="F2"/>
            <w:vAlign w:val="center"/>
          </w:tcPr>
          <w:p w14:paraId="623C0790" w14:textId="766CA2AB"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36064" behindDoc="0" locked="0" layoutInCell="1" allowOverlap="1" wp14:anchorId="10EED9E0" wp14:editId="0F48C9A6">
                      <wp:simplePos x="0" y="0"/>
                      <wp:positionH relativeFrom="column">
                        <wp:posOffset>102870</wp:posOffset>
                      </wp:positionH>
                      <wp:positionV relativeFrom="paragraph">
                        <wp:posOffset>135255</wp:posOffset>
                      </wp:positionV>
                      <wp:extent cx="212090" cy="159385"/>
                      <wp:effectExtent l="0" t="0" r="0" b="0"/>
                      <wp:wrapNone/>
                      <wp:docPr id="91" name="Organigramme : Processus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3F30"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EED9E0" id="Organigramme : Processus 91" o:spid="_x0000_s1271" type="#_x0000_t109" style="position:absolute;left:0;text-align:left;margin-left:8.1pt;margin-top:10.65pt;width:16.7pt;height:1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" fillcolor="white [3212]" strokecolor="black [3213]" strokeweight="1.25pt">
                      <v:path arrowok="t"/>
                      <v:textbox>
                        <w:txbxContent>
                          <w:p w14:paraId="01873F30" w14:textId="77777777" w:rsidR="009C2D83" w:rsidRDefault="009C2D83" w:rsidP="009B206C">
                            <w:pPr>
                              <w:jc w:val="center"/>
                            </w:pPr>
                          </w:p>
                        </w:txbxContent>
                      </v:textbox>
                    </v:shape>
                  </w:pict>
                </mc:Fallback>
              </mc:AlternateContent>
            </w:r>
          </w:p>
        </w:tc>
        <w:tc>
          <w:tcPr>
            <w:tcW w:w="879" w:type="dxa"/>
            <w:shd w:val="solid" w:color="F2F2F2" w:themeColor="background1" w:themeShade="F2" w:fill="F2F2F2" w:themeFill="background1" w:themeFillShade="F2"/>
            <w:vAlign w:val="center"/>
          </w:tcPr>
          <w:p w14:paraId="33FB054A" w14:textId="51173896"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37088" behindDoc="0" locked="0" layoutInCell="1" allowOverlap="1" wp14:anchorId="362924F1" wp14:editId="19B50897">
                      <wp:simplePos x="0" y="0"/>
                      <wp:positionH relativeFrom="column">
                        <wp:posOffset>92075</wp:posOffset>
                      </wp:positionH>
                      <wp:positionV relativeFrom="paragraph">
                        <wp:posOffset>125730</wp:posOffset>
                      </wp:positionV>
                      <wp:extent cx="212090" cy="159385"/>
                      <wp:effectExtent l="0" t="0" r="0" b="0"/>
                      <wp:wrapNone/>
                      <wp:docPr id="92" name="Organigramme : Processus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A0F9E"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2924F1" id="Organigramme : Processus 92" o:spid="_x0000_s1272" type="#_x0000_t109" style="position:absolute;left:0;text-align:left;margin-left:7.25pt;margin-top:9.9pt;width:16.7pt;height:1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" fillcolor="white [3212]" strokecolor="black [3213]" strokeweight="1.25pt">
                      <v:path arrowok="t"/>
                      <v:textbox>
                        <w:txbxContent>
                          <w:p w14:paraId="72CA0F9E" w14:textId="77777777" w:rsidR="009C2D83" w:rsidRDefault="009C2D83" w:rsidP="009B206C">
                            <w:pPr>
                              <w:jc w:val="center"/>
                            </w:pPr>
                          </w:p>
                        </w:txbxContent>
                      </v:textbox>
                    </v:shape>
                  </w:pict>
                </mc:Fallback>
              </mc:AlternateContent>
            </w:r>
          </w:p>
        </w:tc>
      </w:tr>
      <w:tr w:rsidR="009B206C" w:rsidRPr="00F634CD" w14:paraId="5BE598F4" w14:textId="77777777" w:rsidTr="009B206C">
        <w:trPr>
          <w:trHeight w:hRule="exact" w:val="780"/>
        </w:trPr>
        <w:tc>
          <w:tcPr>
            <w:tcW w:w="7455" w:type="dxa"/>
            <w:shd w:val="solid" w:color="F2F2F2" w:themeColor="background1" w:themeShade="F2" w:fill="F2F2F2" w:themeFill="background1" w:themeFillShade="F2"/>
            <w:vAlign w:val="center"/>
          </w:tcPr>
          <w:p w14:paraId="5F7BF9C8" w14:textId="56591975" w:rsidR="009B206C" w:rsidRPr="00F634CD" w:rsidRDefault="009B206C" w:rsidP="009B206C">
            <w:pPr>
              <w:autoSpaceDE w:val="0"/>
              <w:autoSpaceDN w:val="0"/>
              <w:adjustRightInd w:val="0"/>
              <w:spacing w:line="360" w:lineRule="auto"/>
              <w:jc w:val="left"/>
              <w:rPr>
                <w:rFonts w:ascii="TimesNewRomanPSMT" w:hAnsi="TimesNewRomanPSMT" w:cs="TimesNewRomanPSMT"/>
                <w:kern w:val="24"/>
              </w:rPr>
            </w:pPr>
            <w:r w:rsidRPr="00F634CD">
              <w:rPr>
                <w:rFonts w:ascii="TimesNewRomanPSMT" w:hAnsi="TimesNewRomanPSMT" w:cs="TimesNewRomanPSMT"/>
                <w:kern w:val="24"/>
              </w:rPr>
              <w:t>Y</w:t>
            </w:r>
            <w:r w:rsidR="00B6096E">
              <w:rPr>
                <w:rFonts w:ascii="TimesNewRomanPSMT" w:hAnsi="TimesNewRomanPSMT" w:cs="TimesNewRomanPSMT"/>
                <w:kern w:val="24"/>
              </w:rPr>
              <w:t xml:space="preserve"> </w:t>
            </w:r>
            <w:r w:rsidRPr="00F634CD">
              <w:rPr>
                <w:rFonts w:ascii="TimesNewRomanPSMT" w:hAnsi="TimesNewRomanPSMT" w:cs="TimesNewRomanPSMT"/>
                <w:kern w:val="24"/>
              </w:rPr>
              <w:t>a-t-il une section/comité chargé de l’identification, du suivi et du contrôle des divers risques ?</w:t>
            </w:r>
          </w:p>
        </w:tc>
        <w:tc>
          <w:tcPr>
            <w:tcW w:w="848" w:type="dxa"/>
            <w:shd w:val="solid" w:color="F2F2F2" w:themeColor="background1" w:themeShade="F2" w:fill="F2F2F2" w:themeFill="background1" w:themeFillShade="F2"/>
            <w:vAlign w:val="center"/>
          </w:tcPr>
          <w:p w14:paraId="322A5236" w14:textId="1EC1C75C"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34016" behindDoc="0" locked="0" layoutInCell="1" allowOverlap="1" wp14:anchorId="637AFEBA" wp14:editId="4E5E9D35">
                      <wp:simplePos x="0" y="0"/>
                      <wp:positionH relativeFrom="column">
                        <wp:posOffset>102870</wp:posOffset>
                      </wp:positionH>
                      <wp:positionV relativeFrom="paragraph">
                        <wp:posOffset>132715</wp:posOffset>
                      </wp:positionV>
                      <wp:extent cx="212090" cy="159385"/>
                      <wp:effectExtent l="0" t="0" r="0" b="0"/>
                      <wp:wrapNone/>
                      <wp:docPr id="93" name="Organigramme : Processus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80C6A"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7AFEBA" id="Organigramme : Processus 93" o:spid="_x0000_s1273" type="#_x0000_t109" style="position:absolute;left:0;text-align:left;margin-left:8.1pt;margin-top:10.45pt;width:16.7pt;height:1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" fillcolor="white [3212]" strokecolor="black [3213]" strokeweight="1.25pt">
                      <v:path arrowok="t"/>
                      <v:textbox>
                        <w:txbxContent>
                          <w:p w14:paraId="67480C6A" w14:textId="77777777" w:rsidR="009C2D83" w:rsidRDefault="009C2D83" w:rsidP="009B206C">
                            <w:pPr>
                              <w:jc w:val="center"/>
                            </w:pPr>
                          </w:p>
                        </w:txbxContent>
                      </v:textbox>
                    </v:shape>
                  </w:pict>
                </mc:Fallback>
              </mc:AlternateContent>
            </w:r>
          </w:p>
        </w:tc>
        <w:tc>
          <w:tcPr>
            <w:tcW w:w="879" w:type="dxa"/>
            <w:shd w:val="solid" w:color="F2F2F2" w:themeColor="background1" w:themeShade="F2" w:fill="F2F2F2" w:themeFill="background1" w:themeFillShade="F2"/>
            <w:vAlign w:val="center"/>
          </w:tcPr>
          <w:p w14:paraId="1CA0B251" w14:textId="5BDDC1C2"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35040" behindDoc="0" locked="0" layoutInCell="1" allowOverlap="1" wp14:anchorId="008B02DC" wp14:editId="3228A20E">
                      <wp:simplePos x="0" y="0"/>
                      <wp:positionH relativeFrom="column">
                        <wp:posOffset>111125</wp:posOffset>
                      </wp:positionH>
                      <wp:positionV relativeFrom="paragraph">
                        <wp:posOffset>142240</wp:posOffset>
                      </wp:positionV>
                      <wp:extent cx="212090" cy="159385"/>
                      <wp:effectExtent l="0" t="0" r="0" b="0"/>
                      <wp:wrapNone/>
                      <wp:docPr id="94" name="Organigramme : Processus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84DF4"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8B02DC" id="Organigramme : Processus 94" o:spid="_x0000_s1274" type="#_x0000_t109" style="position:absolute;left:0;text-align:left;margin-left:8.75pt;margin-top:11.2pt;width:16.7pt;height:1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" fillcolor="white [3212]" strokecolor="black [3213]" strokeweight="1.25pt">
                      <v:path arrowok="t"/>
                      <v:textbox>
                        <w:txbxContent>
                          <w:p w14:paraId="79384DF4" w14:textId="77777777" w:rsidR="009C2D83" w:rsidRDefault="009C2D83" w:rsidP="009B206C">
                            <w:pPr>
                              <w:jc w:val="center"/>
                            </w:pPr>
                          </w:p>
                        </w:txbxContent>
                      </v:textbox>
                    </v:shape>
                  </w:pict>
                </mc:Fallback>
              </mc:AlternateContent>
            </w:r>
          </w:p>
        </w:tc>
      </w:tr>
      <w:tr w:rsidR="009B206C" w:rsidRPr="00F634CD" w14:paraId="059D89BD" w14:textId="77777777" w:rsidTr="009B206C">
        <w:trPr>
          <w:trHeight w:hRule="exact" w:val="780"/>
        </w:trPr>
        <w:tc>
          <w:tcPr>
            <w:tcW w:w="7455" w:type="dxa"/>
            <w:shd w:val="solid" w:color="F2F2F2" w:themeColor="background1" w:themeShade="F2" w:fill="F2F2F2" w:themeFill="background1" w:themeFillShade="F2"/>
            <w:vAlign w:val="center"/>
          </w:tcPr>
          <w:p w14:paraId="1229A614" w14:textId="10D34895" w:rsidR="009B206C" w:rsidRPr="00F634CD" w:rsidRDefault="009B206C" w:rsidP="009B206C">
            <w:pPr>
              <w:autoSpaceDE w:val="0"/>
              <w:autoSpaceDN w:val="0"/>
              <w:adjustRightInd w:val="0"/>
              <w:spacing w:line="360" w:lineRule="auto"/>
              <w:jc w:val="left"/>
              <w:rPr>
                <w:rFonts w:ascii="TimesNewRomanPSMT" w:hAnsi="TimesNewRomanPSMT" w:cs="TimesNewRomanPSMT"/>
                <w:kern w:val="24"/>
              </w:rPr>
            </w:pPr>
            <w:r w:rsidRPr="00F634CD">
              <w:rPr>
                <w:rFonts w:ascii="TimesNewRomanPSMT" w:hAnsi="TimesNewRomanPSMT" w:cs="TimesNewRomanPSMT"/>
                <w:kern w:val="24"/>
              </w:rPr>
              <w:t xml:space="preserve">Est-ce que votre banque dispose d’un système de contrôle interne pour détecter les nouveaux </w:t>
            </w:r>
            <w:r w:rsidR="00D40A21" w:rsidRPr="00F634CD">
              <w:rPr>
                <w:rFonts w:ascii="TimesNewRomanPSMT" w:hAnsi="TimesNewRomanPSMT" w:cs="TimesNewRomanPSMT"/>
                <w:kern w:val="24"/>
              </w:rPr>
              <w:t>risques ?</w:t>
            </w:r>
          </w:p>
        </w:tc>
        <w:tc>
          <w:tcPr>
            <w:tcW w:w="848" w:type="dxa"/>
            <w:shd w:val="solid" w:color="F2F2F2" w:themeColor="background1" w:themeShade="F2" w:fill="F2F2F2" w:themeFill="background1" w:themeFillShade="F2"/>
            <w:vAlign w:val="center"/>
          </w:tcPr>
          <w:p w14:paraId="62D51425" w14:textId="3138DA3E"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31968" behindDoc="0" locked="0" layoutInCell="1" allowOverlap="1" wp14:anchorId="6FF96ADD" wp14:editId="7997021C">
                      <wp:simplePos x="0" y="0"/>
                      <wp:positionH relativeFrom="column">
                        <wp:posOffset>102870</wp:posOffset>
                      </wp:positionH>
                      <wp:positionV relativeFrom="paragraph">
                        <wp:posOffset>120650</wp:posOffset>
                      </wp:positionV>
                      <wp:extent cx="212090" cy="159385"/>
                      <wp:effectExtent l="0" t="0" r="0" b="0"/>
                      <wp:wrapNone/>
                      <wp:docPr id="95" name="Organigramme : Processus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07BD0"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F96ADD" id="Organigramme : Processus 95" o:spid="_x0000_s1275" type="#_x0000_t109" style="position:absolute;left:0;text-align:left;margin-left:8.1pt;margin-top:9.5pt;width:16.7pt;height:1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" fillcolor="white [3212]" strokecolor="black [3213]" strokeweight="1.25pt">
                      <v:path arrowok="t"/>
                      <v:textbox>
                        <w:txbxContent>
                          <w:p w14:paraId="05407BD0" w14:textId="77777777" w:rsidR="009C2D83" w:rsidRDefault="009C2D83" w:rsidP="009B206C">
                            <w:pPr>
                              <w:jc w:val="center"/>
                            </w:pPr>
                          </w:p>
                        </w:txbxContent>
                      </v:textbox>
                    </v:shape>
                  </w:pict>
                </mc:Fallback>
              </mc:AlternateContent>
            </w:r>
          </w:p>
        </w:tc>
        <w:tc>
          <w:tcPr>
            <w:tcW w:w="879" w:type="dxa"/>
            <w:shd w:val="solid" w:color="F2F2F2" w:themeColor="background1" w:themeShade="F2" w:fill="F2F2F2" w:themeFill="background1" w:themeFillShade="F2"/>
            <w:vAlign w:val="center"/>
          </w:tcPr>
          <w:p w14:paraId="2372C934" w14:textId="0C2A02C1"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32992" behindDoc="0" locked="0" layoutInCell="1" allowOverlap="1" wp14:anchorId="4E85A249" wp14:editId="15C6F176">
                      <wp:simplePos x="0" y="0"/>
                      <wp:positionH relativeFrom="column">
                        <wp:posOffset>120650</wp:posOffset>
                      </wp:positionH>
                      <wp:positionV relativeFrom="paragraph">
                        <wp:posOffset>111125</wp:posOffset>
                      </wp:positionV>
                      <wp:extent cx="212090" cy="159385"/>
                      <wp:effectExtent l="0" t="0" r="0" b="0"/>
                      <wp:wrapNone/>
                      <wp:docPr id="96" name="Organigramme : Processu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60DD8"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85A249" id="Organigramme : Processus 96" o:spid="_x0000_s1276" type="#_x0000_t109" style="position:absolute;left:0;text-align:left;margin-left:9.5pt;margin-top:8.75pt;width:16.7pt;height:1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" fillcolor="white [3212]" strokecolor="black [3213]" strokeweight="1.25pt">
                      <v:path arrowok="t"/>
                      <v:textbox>
                        <w:txbxContent>
                          <w:p w14:paraId="7D260DD8" w14:textId="77777777" w:rsidR="009C2D83" w:rsidRDefault="009C2D83" w:rsidP="009B206C">
                            <w:pPr>
                              <w:jc w:val="center"/>
                            </w:pPr>
                          </w:p>
                        </w:txbxContent>
                      </v:textbox>
                    </v:shape>
                  </w:pict>
                </mc:Fallback>
              </mc:AlternateContent>
            </w:r>
          </w:p>
        </w:tc>
      </w:tr>
      <w:tr w:rsidR="009B206C" w:rsidRPr="00F634CD" w14:paraId="33EEE2E1" w14:textId="77777777" w:rsidTr="009B206C">
        <w:trPr>
          <w:trHeight w:hRule="exact" w:val="780"/>
        </w:trPr>
        <w:tc>
          <w:tcPr>
            <w:tcW w:w="7455" w:type="dxa"/>
            <w:shd w:val="solid" w:color="F2F2F2" w:themeColor="background1" w:themeShade="F2" w:fill="F2F2F2" w:themeFill="background1" w:themeFillShade="F2"/>
            <w:vAlign w:val="center"/>
          </w:tcPr>
          <w:p w14:paraId="07B9D3D5" w14:textId="77777777" w:rsidR="009B206C" w:rsidRPr="00F634CD" w:rsidRDefault="009B206C" w:rsidP="009B206C">
            <w:pPr>
              <w:autoSpaceDE w:val="0"/>
              <w:autoSpaceDN w:val="0"/>
              <w:adjustRightInd w:val="0"/>
              <w:spacing w:line="360" w:lineRule="auto"/>
              <w:jc w:val="left"/>
              <w:rPr>
                <w:rFonts w:ascii="TimesNewRomanPSMT" w:hAnsi="TimesNewRomanPSMT" w:cs="TimesNewRomanPSMT"/>
                <w:kern w:val="24"/>
              </w:rPr>
            </w:pPr>
            <w:r w:rsidRPr="00F634CD">
              <w:rPr>
                <w:rFonts w:ascii="TimesNewRomanPSMT" w:hAnsi="TimesNewRomanPSMT" w:cs="TimesNewRomanPSMT"/>
                <w:kern w:val="24"/>
              </w:rPr>
              <w:t>Y a-t-il un système informatisé d’estimation de la variabilité des profits et de la gestion des risques ?</w:t>
            </w:r>
          </w:p>
        </w:tc>
        <w:tc>
          <w:tcPr>
            <w:tcW w:w="848" w:type="dxa"/>
            <w:shd w:val="solid" w:color="F2F2F2" w:themeColor="background1" w:themeShade="F2" w:fill="F2F2F2" w:themeFill="background1" w:themeFillShade="F2"/>
            <w:vAlign w:val="center"/>
          </w:tcPr>
          <w:p w14:paraId="7F004062" w14:textId="1997698B"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29920" behindDoc="0" locked="0" layoutInCell="1" allowOverlap="1" wp14:anchorId="77AFB597" wp14:editId="2B45388E">
                      <wp:simplePos x="0" y="0"/>
                      <wp:positionH relativeFrom="column">
                        <wp:posOffset>102870</wp:posOffset>
                      </wp:positionH>
                      <wp:positionV relativeFrom="paragraph">
                        <wp:posOffset>127635</wp:posOffset>
                      </wp:positionV>
                      <wp:extent cx="212090" cy="159385"/>
                      <wp:effectExtent l="0" t="0" r="0" b="0"/>
                      <wp:wrapNone/>
                      <wp:docPr id="97" name="Organigramme : Processu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DEFA7"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AFB597" id="Organigramme : Processus 97" o:spid="_x0000_s1277" type="#_x0000_t109" style="position:absolute;left:0;text-align:left;margin-left:8.1pt;margin-top:10.05pt;width:16.7pt;height:1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" fillcolor="white [3212]" strokecolor="black [3213]" strokeweight="1.25pt">
                      <v:path arrowok="t"/>
                      <v:textbox>
                        <w:txbxContent>
                          <w:p w14:paraId="43ADEFA7" w14:textId="77777777" w:rsidR="009C2D83" w:rsidRDefault="009C2D83" w:rsidP="009B206C">
                            <w:pPr>
                              <w:jc w:val="center"/>
                            </w:pPr>
                          </w:p>
                        </w:txbxContent>
                      </v:textbox>
                    </v:shape>
                  </w:pict>
                </mc:Fallback>
              </mc:AlternateContent>
            </w:r>
          </w:p>
        </w:tc>
        <w:tc>
          <w:tcPr>
            <w:tcW w:w="879" w:type="dxa"/>
            <w:shd w:val="solid" w:color="F2F2F2" w:themeColor="background1" w:themeShade="F2" w:fill="F2F2F2" w:themeFill="background1" w:themeFillShade="F2"/>
            <w:vAlign w:val="center"/>
          </w:tcPr>
          <w:p w14:paraId="47B2DDAC" w14:textId="0C9DDF7B"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30944" behindDoc="0" locked="0" layoutInCell="1" allowOverlap="1" wp14:anchorId="2AD6515A" wp14:editId="35C97518">
                      <wp:simplePos x="0" y="0"/>
                      <wp:positionH relativeFrom="column">
                        <wp:posOffset>130175</wp:posOffset>
                      </wp:positionH>
                      <wp:positionV relativeFrom="paragraph">
                        <wp:posOffset>127635</wp:posOffset>
                      </wp:positionV>
                      <wp:extent cx="212090" cy="159385"/>
                      <wp:effectExtent l="0" t="0" r="0" b="0"/>
                      <wp:wrapNone/>
                      <wp:docPr id="98" name="Organigramme : Processus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1B86C"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D6515A" id="Organigramme : Processus 98" o:spid="_x0000_s1278" type="#_x0000_t109" style="position:absolute;left:0;text-align:left;margin-left:10.25pt;margin-top:10.05pt;width:16.7pt;height:1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" fillcolor="white [3212]" strokecolor="black [3213]" strokeweight="1.25pt">
                      <v:path arrowok="t"/>
                      <v:textbox>
                        <w:txbxContent>
                          <w:p w14:paraId="74C1B86C" w14:textId="77777777" w:rsidR="009C2D83" w:rsidRDefault="009C2D83" w:rsidP="009B206C">
                            <w:pPr>
                              <w:jc w:val="center"/>
                            </w:pPr>
                          </w:p>
                        </w:txbxContent>
                      </v:textbox>
                    </v:shape>
                  </w:pict>
                </mc:Fallback>
              </mc:AlternateContent>
            </w:r>
          </w:p>
        </w:tc>
      </w:tr>
      <w:tr w:rsidR="009B206C" w:rsidRPr="00F634CD" w14:paraId="2A38DAC8" w14:textId="77777777" w:rsidTr="009B206C">
        <w:trPr>
          <w:trHeight w:hRule="exact" w:val="618"/>
        </w:trPr>
        <w:tc>
          <w:tcPr>
            <w:tcW w:w="7455" w:type="dxa"/>
            <w:shd w:val="solid" w:color="F2F2F2" w:themeColor="background1" w:themeShade="F2" w:fill="F2F2F2" w:themeFill="background1" w:themeFillShade="F2"/>
            <w:vAlign w:val="center"/>
          </w:tcPr>
          <w:p w14:paraId="26F17372" w14:textId="14942FC2" w:rsidR="009B206C" w:rsidRPr="00F634CD" w:rsidRDefault="009B206C" w:rsidP="00D40A21">
            <w:pPr>
              <w:autoSpaceDE w:val="0"/>
              <w:autoSpaceDN w:val="0"/>
              <w:adjustRightInd w:val="0"/>
              <w:spacing w:line="360" w:lineRule="auto"/>
              <w:jc w:val="left"/>
              <w:rPr>
                <w:rFonts w:asciiTheme="majorBidi" w:hAnsiTheme="majorBidi" w:cstheme="majorBidi"/>
                <w:kern w:val="24"/>
              </w:rPr>
            </w:pPr>
            <w:r w:rsidRPr="00F634CD">
              <w:rPr>
                <w:rFonts w:asciiTheme="majorBidi" w:hAnsiTheme="majorBidi" w:cstheme="majorBidi"/>
                <w:kern w:val="24"/>
              </w:rPr>
              <w:t xml:space="preserve">Est-ce que votre banque s’intéresse à l’innovation </w:t>
            </w:r>
            <w:r w:rsidR="004443C5" w:rsidRPr="00F634CD">
              <w:rPr>
                <w:rFonts w:asciiTheme="majorBidi" w:hAnsiTheme="majorBidi" w:cstheme="majorBidi"/>
                <w:kern w:val="24"/>
              </w:rPr>
              <w:t>financière ?</w:t>
            </w:r>
          </w:p>
        </w:tc>
        <w:tc>
          <w:tcPr>
            <w:tcW w:w="848" w:type="dxa"/>
            <w:shd w:val="solid" w:color="F2F2F2" w:themeColor="background1" w:themeShade="F2" w:fill="F2F2F2" w:themeFill="background1" w:themeFillShade="F2"/>
            <w:vAlign w:val="center"/>
          </w:tcPr>
          <w:p w14:paraId="17E6B0DC" w14:textId="6A96C302"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27872" behindDoc="0" locked="0" layoutInCell="1" allowOverlap="1" wp14:anchorId="7AFBA7F5" wp14:editId="21AC5071">
                      <wp:simplePos x="0" y="0"/>
                      <wp:positionH relativeFrom="column">
                        <wp:posOffset>93345</wp:posOffset>
                      </wp:positionH>
                      <wp:positionV relativeFrom="paragraph">
                        <wp:posOffset>106045</wp:posOffset>
                      </wp:positionV>
                      <wp:extent cx="212090" cy="159385"/>
                      <wp:effectExtent l="0" t="0" r="0" b="0"/>
                      <wp:wrapNone/>
                      <wp:docPr id="99" name="Organigramme : Processus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06D1F"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FBA7F5" id="Organigramme : Processus 99" o:spid="_x0000_s1279" type="#_x0000_t109" style="position:absolute;left:0;text-align:left;margin-left:7.35pt;margin-top:8.35pt;width:16.7pt;height:1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" fillcolor="white [3212]" strokecolor="black [3213]" strokeweight="1.25pt">
                      <v:path arrowok="t"/>
                      <v:textbox>
                        <w:txbxContent>
                          <w:p w14:paraId="41306D1F" w14:textId="77777777" w:rsidR="009C2D83" w:rsidRDefault="009C2D83" w:rsidP="009B206C">
                            <w:pPr>
                              <w:jc w:val="center"/>
                            </w:pPr>
                          </w:p>
                        </w:txbxContent>
                      </v:textbox>
                    </v:shape>
                  </w:pict>
                </mc:Fallback>
              </mc:AlternateContent>
            </w:r>
          </w:p>
        </w:tc>
        <w:tc>
          <w:tcPr>
            <w:tcW w:w="879" w:type="dxa"/>
            <w:shd w:val="solid" w:color="F2F2F2" w:themeColor="background1" w:themeShade="F2" w:fill="F2F2F2" w:themeFill="background1" w:themeFillShade="F2"/>
            <w:vAlign w:val="center"/>
          </w:tcPr>
          <w:p w14:paraId="081BB69A" w14:textId="03E941E7" w:rsidR="009B206C" w:rsidRPr="00F634CD" w:rsidRDefault="002C5EFF" w:rsidP="009B206C">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28896" behindDoc="0" locked="0" layoutInCell="1" allowOverlap="1" wp14:anchorId="23676009" wp14:editId="7169D3A4">
                      <wp:simplePos x="0" y="0"/>
                      <wp:positionH relativeFrom="column">
                        <wp:posOffset>120650</wp:posOffset>
                      </wp:positionH>
                      <wp:positionV relativeFrom="paragraph">
                        <wp:posOffset>96520</wp:posOffset>
                      </wp:positionV>
                      <wp:extent cx="212090" cy="159385"/>
                      <wp:effectExtent l="0" t="0" r="0" b="0"/>
                      <wp:wrapNone/>
                      <wp:docPr id="100" name="Organigramme : Processus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0DCF4"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676009" id="Organigramme : Processus 100" o:spid="_x0000_s1280" type="#_x0000_t109" style="position:absolute;left:0;text-align:left;margin-left:9.5pt;margin-top:7.6pt;width:16.7pt;height:1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" fillcolor="white [3212]" strokecolor="black [3213]" strokeweight="1.25pt">
                      <v:path arrowok="t"/>
                      <v:textbox>
                        <w:txbxContent>
                          <w:p w14:paraId="4A90DCF4" w14:textId="77777777" w:rsidR="009C2D83" w:rsidRDefault="009C2D83" w:rsidP="009B206C">
                            <w:pPr>
                              <w:jc w:val="center"/>
                            </w:pPr>
                          </w:p>
                        </w:txbxContent>
                      </v:textbox>
                    </v:shape>
                  </w:pict>
                </mc:Fallback>
              </mc:AlternateContent>
            </w:r>
          </w:p>
        </w:tc>
      </w:tr>
      <w:tr w:rsidR="009B206C" w:rsidRPr="00F634CD" w14:paraId="535E9979" w14:textId="77777777" w:rsidTr="009B206C">
        <w:trPr>
          <w:trHeight w:hRule="exact" w:val="912"/>
        </w:trPr>
        <w:tc>
          <w:tcPr>
            <w:tcW w:w="7455" w:type="dxa"/>
            <w:shd w:val="solid" w:color="F2F2F2" w:themeColor="background1" w:themeShade="F2" w:fill="F2F2F2" w:themeFill="background1" w:themeFillShade="F2"/>
            <w:vAlign w:val="center"/>
          </w:tcPr>
          <w:p w14:paraId="622E0445" w14:textId="77777777" w:rsidR="009B206C" w:rsidRPr="00F634CD" w:rsidRDefault="009B206C" w:rsidP="009B206C">
            <w:pPr>
              <w:autoSpaceDE w:val="0"/>
              <w:autoSpaceDN w:val="0"/>
              <w:adjustRightInd w:val="0"/>
              <w:spacing w:line="360" w:lineRule="auto"/>
              <w:jc w:val="left"/>
              <w:rPr>
                <w:rFonts w:asciiTheme="majorBidi" w:hAnsiTheme="majorBidi" w:cstheme="majorBidi"/>
                <w:kern w:val="24"/>
              </w:rPr>
            </w:pPr>
            <w:r w:rsidRPr="00F634CD">
              <w:rPr>
                <w:rFonts w:asciiTheme="majorBidi" w:hAnsiTheme="majorBidi" w:cstheme="majorBidi"/>
                <w:kern w:val="24"/>
              </w:rPr>
              <w:t>Votre banque a-t-elle développé des techniques d’atténuation des risques spécifiques au financement islamique participatif ?</w:t>
            </w:r>
          </w:p>
        </w:tc>
        <w:tc>
          <w:tcPr>
            <w:tcW w:w="848" w:type="dxa"/>
            <w:shd w:val="solid" w:color="F2F2F2" w:themeColor="background1" w:themeShade="F2" w:fill="F2F2F2" w:themeFill="background1" w:themeFillShade="F2"/>
            <w:vAlign w:val="center"/>
          </w:tcPr>
          <w:p w14:paraId="1A66AE33" w14:textId="21319647" w:rsidR="009B206C" w:rsidRPr="00F634CD" w:rsidRDefault="002C5EFF" w:rsidP="009B206C">
            <w:pPr>
              <w:tabs>
                <w:tab w:val="center" w:pos="4536"/>
              </w:tabs>
              <w:spacing w:line="360" w:lineRule="auto"/>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40160" behindDoc="0" locked="0" layoutInCell="1" allowOverlap="1" wp14:anchorId="4FDC00D3" wp14:editId="5DC672DE">
                      <wp:simplePos x="0" y="0"/>
                      <wp:positionH relativeFrom="column">
                        <wp:posOffset>105410</wp:posOffset>
                      </wp:positionH>
                      <wp:positionV relativeFrom="paragraph">
                        <wp:posOffset>133350</wp:posOffset>
                      </wp:positionV>
                      <wp:extent cx="212090" cy="159385"/>
                      <wp:effectExtent l="0" t="0" r="0" b="0"/>
                      <wp:wrapNone/>
                      <wp:docPr id="103" name="Organigramme : Processus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05E48"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C00D3" id="Organigramme : Processus 103" o:spid="_x0000_s1281" type="#_x0000_t109" style="position:absolute;left:0;text-align:left;margin-left:8.3pt;margin-top:10.5pt;width:16.7pt;height:1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" fillcolor="white [3212]" strokecolor="black [3213]" strokeweight="1.25pt">
                      <v:path arrowok="t"/>
                      <v:textbox>
                        <w:txbxContent>
                          <w:p w14:paraId="76C05E48" w14:textId="77777777" w:rsidR="009C2D83" w:rsidRDefault="009C2D83" w:rsidP="009B206C">
                            <w:pPr>
                              <w:jc w:val="center"/>
                            </w:pPr>
                          </w:p>
                        </w:txbxContent>
                      </v:textbox>
                    </v:shape>
                  </w:pict>
                </mc:Fallback>
              </mc:AlternateContent>
            </w:r>
          </w:p>
        </w:tc>
        <w:tc>
          <w:tcPr>
            <w:tcW w:w="879" w:type="dxa"/>
            <w:shd w:val="solid" w:color="F2F2F2" w:themeColor="background1" w:themeShade="F2" w:fill="F2F2F2" w:themeFill="background1" w:themeFillShade="F2"/>
            <w:vAlign w:val="center"/>
          </w:tcPr>
          <w:p w14:paraId="703599EA" w14:textId="5D066B3E" w:rsidR="009B206C" w:rsidRPr="00F634CD" w:rsidRDefault="002C5EFF" w:rsidP="009B206C">
            <w:pPr>
              <w:tabs>
                <w:tab w:val="center" w:pos="4536"/>
              </w:tabs>
              <w:spacing w:line="360" w:lineRule="auto"/>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41184" behindDoc="0" locked="0" layoutInCell="1" allowOverlap="1" wp14:anchorId="46188A66" wp14:editId="0E3687DA">
                      <wp:simplePos x="0" y="0"/>
                      <wp:positionH relativeFrom="column">
                        <wp:posOffset>130175</wp:posOffset>
                      </wp:positionH>
                      <wp:positionV relativeFrom="paragraph">
                        <wp:posOffset>133350</wp:posOffset>
                      </wp:positionV>
                      <wp:extent cx="212090" cy="159385"/>
                      <wp:effectExtent l="0" t="0" r="0" b="0"/>
                      <wp:wrapNone/>
                      <wp:docPr id="104" name="Organigramme : Processus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AB65D"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88A66" id="Organigramme : Processus 104" o:spid="_x0000_s1282" type="#_x0000_t109" style="position:absolute;left:0;text-align:left;margin-left:10.25pt;margin-top:10.5pt;width:16.7pt;height:1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" fillcolor="white [3212]" strokecolor="black [3213]" strokeweight="1.25pt">
                      <v:path arrowok="t"/>
                      <v:textbox>
                        <w:txbxContent>
                          <w:p w14:paraId="5B6AB65D" w14:textId="77777777" w:rsidR="009C2D83" w:rsidRDefault="009C2D83" w:rsidP="009B206C">
                            <w:pPr>
                              <w:jc w:val="center"/>
                            </w:pPr>
                          </w:p>
                        </w:txbxContent>
                      </v:textbox>
                    </v:shape>
                  </w:pict>
                </mc:Fallback>
              </mc:AlternateContent>
            </w:r>
          </w:p>
        </w:tc>
      </w:tr>
      <w:tr w:rsidR="009B206C" w:rsidRPr="00F634CD" w14:paraId="53B70642" w14:textId="77777777" w:rsidTr="009B206C">
        <w:trPr>
          <w:trHeight w:hRule="exact" w:val="780"/>
        </w:trPr>
        <w:tc>
          <w:tcPr>
            <w:tcW w:w="7455" w:type="dxa"/>
            <w:shd w:val="solid" w:color="F2F2F2" w:themeColor="background1" w:themeShade="F2" w:fill="F2F2F2" w:themeFill="background1" w:themeFillShade="F2"/>
            <w:vAlign w:val="center"/>
          </w:tcPr>
          <w:p w14:paraId="6F328D59" w14:textId="77777777" w:rsidR="009B206C" w:rsidRPr="00F634CD" w:rsidRDefault="009B206C" w:rsidP="009B206C">
            <w:pPr>
              <w:autoSpaceDE w:val="0"/>
              <w:autoSpaceDN w:val="0"/>
              <w:adjustRightInd w:val="0"/>
              <w:spacing w:line="360" w:lineRule="auto"/>
              <w:jc w:val="left"/>
              <w:rPr>
                <w:rFonts w:asciiTheme="majorBidi" w:hAnsiTheme="majorBidi" w:cstheme="majorBidi"/>
                <w:kern w:val="24"/>
              </w:rPr>
            </w:pPr>
            <w:r w:rsidRPr="00F634CD">
              <w:rPr>
                <w:rFonts w:asciiTheme="majorBidi" w:hAnsiTheme="majorBidi" w:cstheme="majorBidi"/>
                <w:kern w:val="24"/>
              </w:rPr>
              <w:t>Est-ce que votre banque est dotée d’experts en évaluation des projets pour financer les produits M-M ?</w:t>
            </w:r>
          </w:p>
        </w:tc>
        <w:tc>
          <w:tcPr>
            <w:tcW w:w="848" w:type="dxa"/>
            <w:shd w:val="solid" w:color="F2F2F2" w:themeColor="background1" w:themeShade="F2" w:fill="F2F2F2" w:themeFill="background1" w:themeFillShade="F2"/>
            <w:vAlign w:val="center"/>
          </w:tcPr>
          <w:p w14:paraId="016579BC" w14:textId="76E86A12" w:rsidR="009B206C" w:rsidRPr="00F634CD" w:rsidRDefault="002C5EFF" w:rsidP="009B206C">
            <w:pPr>
              <w:tabs>
                <w:tab w:val="center" w:pos="4536"/>
              </w:tabs>
              <w:spacing w:line="360" w:lineRule="auto"/>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38112" behindDoc="0" locked="0" layoutInCell="1" allowOverlap="1" wp14:anchorId="36824C8A" wp14:editId="251021AB">
                      <wp:simplePos x="0" y="0"/>
                      <wp:positionH relativeFrom="column">
                        <wp:posOffset>102870</wp:posOffset>
                      </wp:positionH>
                      <wp:positionV relativeFrom="paragraph">
                        <wp:posOffset>114300</wp:posOffset>
                      </wp:positionV>
                      <wp:extent cx="212090" cy="159385"/>
                      <wp:effectExtent l="0" t="0" r="0" b="0"/>
                      <wp:wrapNone/>
                      <wp:docPr id="101" name="Organigramme : Processus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49390"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824C8A" id="Organigramme : Processus 101" o:spid="_x0000_s1283" type="#_x0000_t109" style="position:absolute;left:0;text-align:left;margin-left:8.1pt;margin-top:9pt;width:16.7pt;height:1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" fillcolor="white [3212]" strokecolor="black [3213]" strokeweight="1.25pt">
                      <v:path arrowok="t"/>
                      <v:textbox>
                        <w:txbxContent>
                          <w:p w14:paraId="47249390" w14:textId="77777777" w:rsidR="009C2D83" w:rsidRDefault="009C2D83" w:rsidP="009B206C">
                            <w:pPr>
                              <w:jc w:val="center"/>
                            </w:pPr>
                          </w:p>
                        </w:txbxContent>
                      </v:textbox>
                    </v:shape>
                  </w:pict>
                </mc:Fallback>
              </mc:AlternateContent>
            </w:r>
          </w:p>
        </w:tc>
        <w:tc>
          <w:tcPr>
            <w:tcW w:w="879" w:type="dxa"/>
            <w:shd w:val="solid" w:color="F2F2F2" w:themeColor="background1" w:themeShade="F2" w:fill="F2F2F2" w:themeFill="background1" w:themeFillShade="F2"/>
            <w:vAlign w:val="center"/>
          </w:tcPr>
          <w:p w14:paraId="2CFBD214" w14:textId="5EB3CC7C" w:rsidR="009B206C" w:rsidRPr="00F634CD" w:rsidRDefault="002C5EFF" w:rsidP="009B206C">
            <w:pPr>
              <w:tabs>
                <w:tab w:val="center" w:pos="4536"/>
              </w:tabs>
              <w:spacing w:line="360" w:lineRule="auto"/>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39136" behindDoc="0" locked="0" layoutInCell="1" allowOverlap="1" wp14:anchorId="3FBF09AC" wp14:editId="3C031E72">
                      <wp:simplePos x="0" y="0"/>
                      <wp:positionH relativeFrom="column">
                        <wp:posOffset>130175</wp:posOffset>
                      </wp:positionH>
                      <wp:positionV relativeFrom="paragraph">
                        <wp:posOffset>111760</wp:posOffset>
                      </wp:positionV>
                      <wp:extent cx="212090" cy="159385"/>
                      <wp:effectExtent l="0" t="0" r="0" b="0"/>
                      <wp:wrapNone/>
                      <wp:docPr id="102" name="Organigramme : Processus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496CC"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BF09AC" id="Organigramme : Processus 102" o:spid="_x0000_s1284" type="#_x0000_t109" style="position:absolute;left:0;text-align:left;margin-left:10.25pt;margin-top:8.8pt;width:16.7pt;height:1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" fillcolor="white [3212]" strokecolor="black [3213]" strokeweight="1.25pt">
                      <v:path arrowok="t"/>
                      <v:textbox>
                        <w:txbxContent>
                          <w:p w14:paraId="1DE496CC" w14:textId="77777777" w:rsidR="009C2D83" w:rsidRDefault="009C2D83" w:rsidP="009B206C">
                            <w:pPr>
                              <w:jc w:val="center"/>
                            </w:pPr>
                          </w:p>
                        </w:txbxContent>
                      </v:textbox>
                    </v:shape>
                  </w:pict>
                </mc:Fallback>
              </mc:AlternateContent>
            </w:r>
          </w:p>
        </w:tc>
      </w:tr>
    </w:tbl>
    <w:p w14:paraId="2F77F1C6" w14:textId="77777777" w:rsidR="00614376" w:rsidRPr="00F634CD" w:rsidRDefault="00614376" w:rsidP="00614376">
      <w:pPr>
        <w:tabs>
          <w:tab w:val="center" w:pos="4536"/>
        </w:tabs>
        <w:spacing w:after="120"/>
        <w:rPr>
          <w:rFonts w:ascii="Times New Roman" w:hAnsi="Times New Roman" w:cs="Times New Roman"/>
          <w:b/>
          <w:bCs/>
          <w:i/>
          <w:iCs/>
          <w:color w:val="000000"/>
          <w:kern w:val="24"/>
          <w:sz w:val="24"/>
          <w:szCs w:val="24"/>
          <w:shd w:val="clear" w:color="auto" w:fill="F8F8F8"/>
        </w:rPr>
      </w:pPr>
    </w:p>
    <w:p w14:paraId="2783085B" w14:textId="77777777" w:rsidR="005D5B9E" w:rsidRPr="00F634CD" w:rsidRDefault="005D5B9E" w:rsidP="00614376">
      <w:pPr>
        <w:tabs>
          <w:tab w:val="center" w:pos="4536"/>
        </w:tabs>
        <w:spacing w:after="120"/>
        <w:rPr>
          <w:rFonts w:ascii="Times New Roman" w:hAnsi="Times New Roman" w:cs="Times New Roman"/>
          <w:b/>
          <w:bCs/>
          <w:i/>
          <w:iCs/>
          <w:kern w:val="24"/>
          <w:sz w:val="24"/>
          <w:szCs w:val="24"/>
        </w:rPr>
      </w:pPr>
      <w:r w:rsidRPr="00F634CD">
        <w:rPr>
          <w:rFonts w:ascii="Times New Roman" w:hAnsi="Times New Roman" w:cs="Times New Roman"/>
          <w:b/>
          <w:bCs/>
          <w:i/>
          <w:iCs/>
          <w:color w:val="000000"/>
          <w:kern w:val="24"/>
          <w:sz w:val="24"/>
          <w:szCs w:val="24"/>
          <w:shd w:val="clear" w:color="auto" w:fill="F8F8F8"/>
        </w:rPr>
        <w:t xml:space="preserve">IV.2 </w:t>
      </w:r>
      <w:r w:rsidRPr="00F634CD">
        <w:rPr>
          <w:rFonts w:ascii="Times New Roman" w:hAnsi="Times New Roman" w:cs="Times New Roman"/>
          <w:b/>
          <w:bCs/>
          <w:i/>
          <w:iCs/>
          <w:kern w:val="24"/>
          <w:sz w:val="24"/>
          <w:szCs w:val="24"/>
        </w:rPr>
        <w:t>Adéquation de fonds propres (règlementation prudentielle)</w:t>
      </w:r>
    </w:p>
    <w:p w14:paraId="68E45336" w14:textId="77777777" w:rsidR="005D5B9E" w:rsidRPr="00F634CD" w:rsidRDefault="005D5B9E" w:rsidP="00CF4CEA">
      <w:pPr>
        <w:tabs>
          <w:tab w:val="center" w:pos="4536"/>
        </w:tabs>
        <w:spacing w:before="100" w:beforeAutospacing="1" w:after="120"/>
        <w:ind w:left="425" w:hanging="425"/>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 xml:space="preserve">15. </w:t>
      </w:r>
      <w:r w:rsidRPr="00F634CD">
        <w:rPr>
          <w:rFonts w:ascii="Times New Roman" w:hAnsi="Times New Roman" w:cs="Times New Roman"/>
          <w:b/>
          <w:bCs/>
          <w:i/>
          <w:iCs/>
          <w:kern w:val="24"/>
          <w:sz w:val="24"/>
          <w:szCs w:val="24"/>
        </w:rPr>
        <w:t xml:space="preserve">Lequel des standards suivants votre banque utilise-t-elle pour calculer ses exigences minimales de fonds </w:t>
      </w:r>
      <w:r w:rsidR="002D0CDA" w:rsidRPr="00F634CD">
        <w:rPr>
          <w:rFonts w:ascii="Times New Roman" w:hAnsi="Times New Roman" w:cs="Times New Roman"/>
          <w:b/>
          <w:bCs/>
          <w:i/>
          <w:iCs/>
          <w:kern w:val="24"/>
          <w:sz w:val="24"/>
          <w:szCs w:val="24"/>
        </w:rPr>
        <w:t>propres ?</w:t>
      </w:r>
    </w:p>
    <w:p w14:paraId="1A593BC0" w14:textId="1EA28276" w:rsidR="005D5B9E" w:rsidRPr="00F634CD" w:rsidRDefault="002C5EFF" w:rsidP="005D5B9E">
      <w:pPr>
        <w:tabs>
          <w:tab w:val="center" w:pos="4536"/>
          <w:tab w:val="left" w:pos="5460"/>
        </w:tabs>
        <w:spacing w:line="360" w:lineRule="auto"/>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67104" behindDoc="0" locked="0" layoutInCell="1" allowOverlap="1" wp14:anchorId="1EE2E686" wp14:editId="7881979E">
                <wp:simplePos x="0" y="0"/>
                <wp:positionH relativeFrom="column">
                  <wp:posOffset>2955925</wp:posOffset>
                </wp:positionH>
                <wp:positionV relativeFrom="paragraph">
                  <wp:posOffset>635</wp:posOffset>
                </wp:positionV>
                <wp:extent cx="201930" cy="169545"/>
                <wp:effectExtent l="0" t="0" r="7620" b="1905"/>
                <wp:wrapNone/>
                <wp:docPr id="108" name="Organigramme : Processus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7B8A80" id="Organigramme : Processus 108" o:spid="_x0000_s1026" type="#_x0000_t109" style="position:absolute;margin-left:232.75pt;margin-top:.05pt;width:15.9pt;height:13.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66080" behindDoc="0" locked="0" layoutInCell="1" allowOverlap="1" wp14:anchorId="01B270C2" wp14:editId="27991487">
                <wp:simplePos x="0" y="0"/>
                <wp:positionH relativeFrom="column">
                  <wp:posOffset>88900</wp:posOffset>
                </wp:positionH>
                <wp:positionV relativeFrom="paragraph">
                  <wp:posOffset>635</wp:posOffset>
                </wp:positionV>
                <wp:extent cx="201930" cy="169545"/>
                <wp:effectExtent l="0" t="0" r="7620" b="1905"/>
                <wp:wrapNone/>
                <wp:docPr id="107" name="Organigramme : Processus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C451D9" id="Organigramme : Processus 107" o:spid="_x0000_s1026" type="#_x0000_t109" style="position:absolute;margin-left:7pt;margin-top:.05pt;width:15.9pt;height:13.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" filled="f" strokecolor="black [3213]" strokeweight="1.25pt">
                <v:path arrowok="t"/>
              </v:shape>
            </w:pict>
          </mc:Fallback>
        </mc:AlternateContent>
      </w:r>
      <w:r w:rsidR="005D5B9E" w:rsidRPr="00F634CD">
        <w:rPr>
          <w:rFonts w:ascii="Times New Roman" w:hAnsi="Times New Roman" w:cs="Times New Roman"/>
          <w:i/>
          <w:iCs/>
          <w:kern w:val="24"/>
          <w:sz w:val="24"/>
          <w:szCs w:val="24"/>
        </w:rPr>
        <w:t xml:space="preserve">          </w:t>
      </w:r>
      <w:r w:rsidR="005D5B9E" w:rsidRPr="00F634CD">
        <w:rPr>
          <w:rFonts w:ascii="Times New Roman" w:hAnsi="Times New Roman" w:cs="Times New Roman"/>
          <w:kern w:val="24"/>
          <w:sz w:val="24"/>
          <w:szCs w:val="24"/>
        </w:rPr>
        <w:t>Les standards de Bale II</w:t>
      </w:r>
      <w:r w:rsidR="005D5B9E" w:rsidRPr="00F634CD">
        <w:rPr>
          <w:rFonts w:ascii="Times New Roman" w:hAnsi="Times New Roman" w:cs="Times New Roman"/>
          <w:kern w:val="24"/>
          <w:sz w:val="24"/>
          <w:szCs w:val="24"/>
        </w:rPr>
        <w:tab/>
        <w:t xml:space="preserve">                                     Les standards de B</w:t>
      </w:r>
      <w:r w:rsidR="00CF4CEA" w:rsidRPr="00F634CD">
        <w:rPr>
          <w:rFonts w:ascii="Times New Roman" w:hAnsi="Times New Roman" w:cs="Times New Roman"/>
          <w:kern w:val="24"/>
          <w:sz w:val="24"/>
          <w:szCs w:val="24"/>
        </w:rPr>
        <w:t>âle III</w:t>
      </w:r>
    </w:p>
    <w:p w14:paraId="6C55F543" w14:textId="6355D530" w:rsidR="00E37BA3" w:rsidRPr="00F634CD" w:rsidRDefault="002C5EFF" w:rsidP="005D5B9E">
      <w:pPr>
        <w:tabs>
          <w:tab w:val="left" w:pos="720"/>
          <w:tab w:val="left" w:pos="5460"/>
        </w:tabs>
        <w:spacing w:line="360" w:lineRule="auto"/>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69152" behindDoc="0" locked="0" layoutInCell="1" allowOverlap="1" wp14:anchorId="359C804B" wp14:editId="3ECD417B">
                <wp:simplePos x="0" y="0"/>
                <wp:positionH relativeFrom="column">
                  <wp:posOffset>2955925</wp:posOffset>
                </wp:positionH>
                <wp:positionV relativeFrom="paragraph">
                  <wp:posOffset>4445</wp:posOffset>
                </wp:positionV>
                <wp:extent cx="201930" cy="169545"/>
                <wp:effectExtent l="0" t="0" r="7620" b="1905"/>
                <wp:wrapNone/>
                <wp:docPr id="110" name="Organigramme : Processus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7CEAF4" id="Organigramme : Processus 110" o:spid="_x0000_s1026" type="#_x0000_t109" style="position:absolute;margin-left:232.75pt;margin-top:.35pt;width:15.9pt;height:13.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68128" behindDoc="0" locked="0" layoutInCell="1" allowOverlap="1" wp14:anchorId="4FF29178" wp14:editId="2E779C97">
                <wp:simplePos x="0" y="0"/>
                <wp:positionH relativeFrom="column">
                  <wp:posOffset>88900</wp:posOffset>
                </wp:positionH>
                <wp:positionV relativeFrom="paragraph">
                  <wp:posOffset>-3175</wp:posOffset>
                </wp:positionV>
                <wp:extent cx="201930" cy="169545"/>
                <wp:effectExtent l="0" t="0" r="7620" b="1905"/>
                <wp:wrapNone/>
                <wp:docPr id="109" name="Organigramme : Processus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F0CE43" id="Organigramme : Processus 109" o:spid="_x0000_s1026" type="#_x0000_t109" style="position:absolute;margin-left:7pt;margin-top:-.25pt;width:15.9pt;height:13.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" filled="f" strokecolor="black [3213]" strokeweight="1.25pt">
                <v:path arrowok="t"/>
              </v:shape>
            </w:pict>
          </mc:Fallback>
        </mc:AlternateContent>
      </w:r>
      <w:r w:rsidR="005D5B9E" w:rsidRPr="00F634CD">
        <w:rPr>
          <w:rFonts w:ascii="Times New Roman" w:hAnsi="Times New Roman" w:cs="Times New Roman"/>
          <w:kern w:val="24"/>
          <w:sz w:val="24"/>
          <w:szCs w:val="24"/>
        </w:rPr>
        <w:t xml:space="preserve">           Les standards IFSB                                           D’autres, veuillez préciser</w:t>
      </w:r>
    </w:p>
    <w:p w14:paraId="38AEF43D" w14:textId="77777777" w:rsidR="00E37BA3" w:rsidRPr="00F634CD" w:rsidRDefault="00E37BA3">
      <w:pPr>
        <w:rPr>
          <w:rFonts w:ascii="Times New Roman" w:hAnsi="Times New Roman" w:cs="Times New Roman"/>
          <w:kern w:val="24"/>
          <w:sz w:val="24"/>
          <w:szCs w:val="24"/>
        </w:rPr>
      </w:pPr>
      <w:r w:rsidRPr="00F634CD">
        <w:rPr>
          <w:rFonts w:ascii="Times New Roman" w:hAnsi="Times New Roman" w:cs="Times New Roman"/>
          <w:kern w:val="24"/>
          <w:sz w:val="24"/>
          <w:szCs w:val="24"/>
        </w:rPr>
        <w:br w:type="page"/>
      </w:r>
    </w:p>
    <w:p w14:paraId="2ADCAD64" w14:textId="77777777" w:rsidR="005D5B9E" w:rsidRPr="00F634CD" w:rsidRDefault="005D5B9E" w:rsidP="00614376">
      <w:pPr>
        <w:tabs>
          <w:tab w:val="left" w:pos="720"/>
          <w:tab w:val="center" w:pos="4536"/>
          <w:tab w:val="left" w:pos="5460"/>
        </w:tabs>
        <w:spacing w:before="120" w:after="120"/>
        <w:ind w:left="425" w:hanging="425"/>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 xml:space="preserve">16. </w:t>
      </w:r>
      <w:r w:rsidRPr="00F634CD">
        <w:rPr>
          <w:rFonts w:ascii="Times New Roman" w:hAnsi="Times New Roman" w:cs="Times New Roman"/>
          <w:b/>
          <w:bCs/>
          <w:i/>
          <w:iCs/>
          <w:kern w:val="24"/>
          <w:sz w:val="24"/>
          <w:szCs w:val="24"/>
        </w:rPr>
        <w:t xml:space="preserve">Pensez-vous que les exigences de fonds propres pour les banques </w:t>
      </w:r>
      <w:r w:rsidR="00DD2B9B" w:rsidRPr="00F634CD">
        <w:rPr>
          <w:rFonts w:ascii="Times New Roman" w:hAnsi="Times New Roman" w:cs="Times New Roman"/>
          <w:b/>
          <w:bCs/>
          <w:i/>
          <w:iCs/>
          <w:kern w:val="24"/>
          <w:sz w:val="24"/>
          <w:szCs w:val="24"/>
        </w:rPr>
        <w:t>i</w:t>
      </w:r>
      <w:r w:rsidR="003773C6" w:rsidRPr="00F634CD">
        <w:rPr>
          <w:rFonts w:ascii="Times New Roman" w:hAnsi="Times New Roman" w:cs="Times New Roman"/>
          <w:b/>
          <w:bCs/>
          <w:i/>
          <w:iCs/>
          <w:kern w:val="24"/>
          <w:sz w:val="24"/>
          <w:szCs w:val="24"/>
        </w:rPr>
        <w:t>slamique</w:t>
      </w:r>
      <w:r w:rsidRPr="00F634CD">
        <w:rPr>
          <w:rFonts w:ascii="Times New Roman" w:hAnsi="Times New Roman" w:cs="Times New Roman"/>
          <w:b/>
          <w:bCs/>
          <w:i/>
          <w:iCs/>
          <w:kern w:val="24"/>
          <w:sz w:val="24"/>
          <w:szCs w:val="24"/>
        </w:rPr>
        <w:t xml:space="preserve">s par rapport aux banques conventionnelles devraient </w:t>
      </w:r>
      <w:r w:rsidR="00614376" w:rsidRPr="00F634CD">
        <w:rPr>
          <w:rFonts w:ascii="Times New Roman" w:hAnsi="Times New Roman" w:cs="Times New Roman"/>
          <w:b/>
          <w:bCs/>
          <w:i/>
          <w:iCs/>
          <w:kern w:val="24"/>
          <w:sz w:val="24"/>
          <w:szCs w:val="24"/>
        </w:rPr>
        <w:t>être :</w:t>
      </w:r>
    </w:p>
    <w:p w14:paraId="6EF49803" w14:textId="757B96A7" w:rsidR="005D5B9E" w:rsidRPr="00F634CD" w:rsidRDefault="002C5EFF" w:rsidP="005D5B9E">
      <w:pPr>
        <w:tabs>
          <w:tab w:val="left" w:pos="720"/>
          <w:tab w:val="center" w:pos="4536"/>
          <w:tab w:val="left" w:pos="5460"/>
        </w:tabs>
        <w:spacing w:line="360" w:lineRule="auto"/>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71200" behindDoc="0" locked="0" layoutInCell="1" allowOverlap="1" wp14:anchorId="27C3795E" wp14:editId="14149A99">
                <wp:simplePos x="0" y="0"/>
                <wp:positionH relativeFrom="column">
                  <wp:posOffset>1492885</wp:posOffset>
                </wp:positionH>
                <wp:positionV relativeFrom="paragraph">
                  <wp:posOffset>6350</wp:posOffset>
                </wp:positionV>
                <wp:extent cx="201930" cy="169545"/>
                <wp:effectExtent l="0" t="0" r="7620" b="1905"/>
                <wp:wrapNone/>
                <wp:docPr id="120" name="Organigramme : Processus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01CD9F" id="Organigramme : Processus 120" o:spid="_x0000_s1026" type="#_x0000_t109" style="position:absolute;margin-left:117.55pt;margin-top:.5pt;width:15.9pt;height:13.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72224" behindDoc="0" locked="0" layoutInCell="1" allowOverlap="1" wp14:anchorId="1113DDA6" wp14:editId="517B7CFE">
                <wp:simplePos x="0" y="0"/>
                <wp:positionH relativeFrom="column">
                  <wp:posOffset>2858770</wp:posOffset>
                </wp:positionH>
                <wp:positionV relativeFrom="paragraph">
                  <wp:posOffset>6350</wp:posOffset>
                </wp:positionV>
                <wp:extent cx="201930" cy="169545"/>
                <wp:effectExtent l="0" t="0" r="7620" b="1905"/>
                <wp:wrapNone/>
                <wp:docPr id="121" name="Organigramme : Processus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DDA593" id="Organigramme : Processus 121" o:spid="_x0000_s1026" type="#_x0000_t109" style="position:absolute;margin-left:225.1pt;margin-top:.5pt;width:15.9pt;height:13.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73248" behindDoc="0" locked="0" layoutInCell="1" allowOverlap="1" wp14:anchorId="422ADC42" wp14:editId="0A8707EC">
                <wp:simplePos x="0" y="0"/>
                <wp:positionH relativeFrom="column">
                  <wp:posOffset>4060825</wp:posOffset>
                </wp:positionH>
                <wp:positionV relativeFrom="paragraph">
                  <wp:posOffset>4445</wp:posOffset>
                </wp:positionV>
                <wp:extent cx="201930" cy="169545"/>
                <wp:effectExtent l="0" t="0" r="7620" b="1905"/>
                <wp:wrapNone/>
                <wp:docPr id="122" name="Organigramme : Processus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BDC8EF" id="Organigramme : Processus 122" o:spid="_x0000_s1026" type="#_x0000_t109" style="position:absolute;margin-left:319.75pt;margin-top:.35pt;width:15.9pt;height:13.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70176" behindDoc="0" locked="0" layoutInCell="1" allowOverlap="1" wp14:anchorId="0150973D" wp14:editId="77CE5D3D">
                <wp:simplePos x="0" y="0"/>
                <wp:positionH relativeFrom="column">
                  <wp:posOffset>88900</wp:posOffset>
                </wp:positionH>
                <wp:positionV relativeFrom="paragraph">
                  <wp:posOffset>6350</wp:posOffset>
                </wp:positionV>
                <wp:extent cx="201930" cy="169545"/>
                <wp:effectExtent l="0" t="0" r="7620" b="1905"/>
                <wp:wrapNone/>
                <wp:docPr id="119" name="Organigramme : Processus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34E8AC" id="Organigramme : Processus 119" o:spid="_x0000_s1026" type="#_x0000_t109" style="position:absolute;margin-left:7pt;margin-top:.5pt;width:15.9pt;height:13.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" filled="f" strokecolor="black [3213]" strokeweight="1.25pt">
                <v:path arrowok="t"/>
              </v:shape>
            </w:pict>
          </mc:Fallback>
        </mc:AlternateContent>
      </w:r>
      <w:r w:rsidR="005D5B9E" w:rsidRPr="00F634CD">
        <w:rPr>
          <w:rFonts w:ascii="Times New Roman" w:hAnsi="Times New Roman" w:cs="Times New Roman"/>
          <w:kern w:val="24"/>
          <w:sz w:val="24"/>
          <w:szCs w:val="24"/>
        </w:rPr>
        <w:t xml:space="preserve">           Plus élevées                 Les mêmes                  Plus faibles              Je ne sais pas</w:t>
      </w:r>
    </w:p>
    <w:p w14:paraId="38789E41" w14:textId="77777777" w:rsidR="005D5B9E" w:rsidRPr="00F634CD" w:rsidRDefault="005D5B9E" w:rsidP="00614376">
      <w:pPr>
        <w:tabs>
          <w:tab w:val="left" w:pos="720"/>
          <w:tab w:val="center" w:pos="4536"/>
          <w:tab w:val="left" w:pos="5460"/>
        </w:tabs>
        <w:spacing w:before="100" w:beforeAutospacing="1" w:after="100" w:afterAutospacing="1"/>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 xml:space="preserve">17. </w:t>
      </w:r>
      <w:r w:rsidRPr="00F634CD">
        <w:rPr>
          <w:rFonts w:ascii="Times New Roman" w:hAnsi="Times New Roman" w:cs="Times New Roman"/>
          <w:b/>
          <w:bCs/>
          <w:i/>
          <w:iCs/>
          <w:kern w:val="24"/>
          <w:sz w:val="24"/>
          <w:szCs w:val="24"/>
        </w:rPr>
        <w:t>Veuillez cocher les cases appropriées :</w:t>
      </w:r>
    </w:p>
    <w:tbl>
      <w:tblPr>
        <w:tblStyle w:val="Grilledutableau"/>
        <w:tblW w:w="0" w:type="auto"/>
        <w:shd w:val="solid" w:color="F2F2F2" w:themeColor="background1" w:themeShade="F2" w:fill="F2F2F2" w:themeFill="background1" w:themeFillShade="F2"/>
        <w:tblLayout w:type="fixed"/>
        <w:tblLook w:val="04A0" w:firstRow="1" w:lastRow="0" w:firstColumn="1" w:lastColumn="0" w:noHBand="0" w:noVBand="1"/>
      </w:tblPr>
      <w:tblGrid>
        <w:gridCol w:w="7516"/>
        <w:gridCol w:w="855"/>
        <w:gridCol w:w="854"/>
      </w:tblGrid>
      <w:tr w:rsidR="009B206C" w:rsidRPr="00F634CD" w14:paraId="609D41ED" w14:textId="77777777" w:rsidTr="009B206C">
        <w:trPr>
          <w:trHeight w:val="747"/>
        </w:trPr>
        <w:tc>
          <w:tcPr>
            <w:tcW w:w="7516" w:type="dxa"/>
            <w:shd w:val="solid" w:color="F2F2F2" w:themeColor="background1" w:themeShade="F2" w:fill="F2F2F2" w:themeFill="background1" w:themeFillShade="F2"/>
          </w:tcPr>
          <w:p w14:paraId="065C0480" w14:textId="77777777" w:rsidR="009B206C" w:rsidRPr="00F634CD" w:rsidRDefault="009B206C" w:rsidP="009B206C">
            <w:pPr>
              <w:tabs>
                <w:tab w:val="center" w:pos="4536"/>
              </w:tabs>
              <w:spacing w:line="360" w:lineRule="auto"/>
              <w:rPr>
                <w:rFonts w:asciiTheme="majorBidi" w:hAnsiTheme="majorBidi" w:cstheme="majorBidi"/>
                <w:kern w:val="24"/>
                <w:sz w:val="24"/>
                <w:szCs w:val="24"/>
              </w:rPr>
            </w:pPr>
          </w:p>
        </w:tc>
        <w:tc>
          <w:tcPr>
            <w:tcW w:w="855" w:type="dxa"/>
            <w:shd w:val="solid" w:color="F2F2F2" w:themeColor="background1" w:themeShade="F2" w:fill="F2F2F2" w:themeFill="background1" w:themeFillShade="F2"/>
            <w:vAlign w:val="center"/>
          </w:tcPr>
          <w:p w14:paraId="132550A9" w14:textId="77777777" w:rsidR="009B206C" w:rsidRPr="00F634CD" w:rsidRDefault="009B206C" w:rsidP="009B206C">
            <w:pPr>
              <w:tabs>
                <w:tab w:val="center" w:pos="4536"/>
              </w:tabs>
              <w:spacing w:line="360" w:lineRule="auto"/>
              <w:jc w:val="center"/>
              <w:rPr>
                <w:rFonts w:asciiTheme="majorBidi" w:hAnsiTheme="majorBidi" w:cstheme="majorBidi"/>
                <w:kern w:val="24"/>
                <w:sz w:val="24"/>
                <w:szCs w:val="24"/>
              </w:rPr>
            </w:pPr>
            <w:r w:rsidRPr="00F634CD">
              <w:rPr>
                <w:rFonts w:asciiTheme="majorBidi" w:hAnsiTheme="majorBidi" w:cstheme="majorBidi"/>
                <w:kern w:val="24"/>
                <w:sz w:val="24"/>
                <w:szCs w:val="24"/>
              </w:rPr>
              <w:t>Oui</w:t>
            </w:r>
          </w:p>
        </w:tc>
        <w:tc>
          <w:tcPr>
            <w:tcW w:w="854" w:type="dxa"/>
            <w:shd w:val="solid" w:color="F2F2F2" w:themeColor="background1" w:themeShade="F2" w:fill="F2F2F2" w:themeFill="background1" w:themeFillShade="F2"/>
            <w:vAlign w:val="center"/>
          </w:tcPr>
          <w:p w14:paraId="199412AD" w14:textId="77777777" w:rsidR="009B206C" w:rsidRPr="00F634CD" w:rsidRDefault="009B206C" w:rsidP="009B206C">
            <w:pPr>
              <w:tabs>
                <w:tab w:val="center" w:pos="4536"/>
              </w:tabs>
              <w:spacing w:line="360" w:lineRule="auto"/>
              <w:jc w:val="center"/>
              <w:rPr>
                <w:rFonts w:asciiTheme="majorBidi" w:hAnsiTheme="majorBidi" w:cstheme="majorBidi"/>
                <w:kern w:val="24"/>
                <w:sz w:val="24"/>
                <w:szCs w:val="24"/>
              </w:rPr>
            </w:pPr>
            <w:r w:rsidRPr="00F634CD">
              <w:rPr>
                <w:rFonts w:asciiTheme="majorBidi" w:hAnsiTheme="majorBidi" w:cstheme="majorBidi"/>
                <w:kern w:val="24"/>
                <w:sz w:val="24"/>
                <w:szCs w:val="24"/>
              </w:rPr>
              <w:t>Non</w:t>
            </w:r>
          </w:p>
        </w:tc>
      </w:tr>
      <w:tr w:rsidR="009B206C" w:rsidRPr="00F634CD" w14:paraId="207442B2" w14:textId="77777777" w:rsidTr="009B206C">
        <w:trPr>
          <w:trHeight w:val="850"/>
        </w:trPr>
        <w:tc>
          <w:tcPr>
            <w:tcW w:w="7516" w:type="dxa"/>
            <w:shd w:val="solid" w:color="F2F2F2" w:themeColor="background1" w:themeShade="F2" w:fill="F2F2F2" w:themeFill="background1" w:themeFillShade="F2"/>
            <w:vAlign w:val="center"/>
          </w:tcPr>
          <w:p w14:paraId="0BF6FB17" w14:textId="77777777" w:rsidR="009B206C" w:rsidRPr="00F634CD" w:rsidRDefault="009B206C" w:rsidP="009B206C">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Est-ce que votre banque applique les normes de Bâle sans modification ?</w:t>
            </w:r>
          </w:p>
        </w:tc>
        <w:tc>
          <w:tcPr>
            <w:tcW w:w="855" w:type="dxa"/>
            <w:shd w:val="solid" w:color="F2F2F2" w:themeColor="background1" w:themeShade="F2" w:fill="F2F2F2" w:themeFill="background1" w:themeFillShade="F2"/>
            <w:vAlign w:val="center"/>
          </w:tcPr>
          <w:p w14:paraId="1D0B5A9A" w14:textId="4E97E739"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42208" behindDoc="0" locked="0" layoutInCell="1" allowOverlap="1" wp14:anchorId="0BC6A8AD" wp14:editId="6127CAB2">
                      <wp:simplePos x="0" y="0"/>
                      <wp:positionH relativeFrom="column">
                        <wp:posOffset>102870</wp:posOffset>
                      </wp:positionH>
                      <wp:positionV relativeFrom="paragraph">
                        <wp:posOffset>38100</wp:posOffset>
                      </wp:positionV>
                      <wp:extent cx="212090" cy="159385"/>
                      <wp:effectExtent l="0" t="0" r="0" b="0"/>
                      <wp:wrapNone/>
                      <wp:docPr id="123" name="Organigramme : Processus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26CCB"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C6A8AD" id="Organigramme : Processus 123" o:spid="_x0000_s1285" type="#_x0000_t109" style="position:absolute;left:0;text-align:left;margin-left:8.1pt;margin-top:3pt;width:16.7pt;height:1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" fillcolor="white [3212]" strokecolor="black [3213]" strokeweight="1.25pt">
                      <v:path arrowok="t"/>
                      <v:textbox>
                        <w:txbxContent>
                          <w:p w14:paraId="0D426CCB" w14:textId="77777777" w:rsidR="009C2D83" w:rsidRDefault="009C2D83" w:rsidP="009B206C">
                            <w:pPr>
                              <w:jc w:val="center"/>
                            </w:pPr>
                          </w:p>
                        </w:txbxContent>
                      </v:textbox>
                    </v:shape>
                  </w:pict>
                </mc:Fallback>
              </mc:AlternateContent>
            </w:r>
          </w:p>
        </w:tc>
        <w:tc>
          <w:tcPr>
            <w:tcW w:w="854" w:type="dxa"/>
            <w:shd w:val="solid" w:color="F2F2F2" w:themeColor="background1" w:themeShade="F2" w:fill="F2F2F2" w:themeFill="background1" w:themeFillShade="F2"/>
            <w:vAlign w:val="center"/>
          </w:tcPr>
          <w:p w14:paraId="579F9717" w14:textId="5BED0444"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44256" behindDoc="0" locked="0" layoutInCell="1" allowOverlap="1" wp14:anchorId="5F419A16" wp14:editId="7857D0AA">
                      <wp:simplePos x="0" y="0"/>
                      <wp:positionH relativeFrom="column">
                        <wp:posOffset>102870</wp:posOffset>
                      </wp:positionH>
                      <wp:positionV relativeFrom="paragraph">
                        <wp:posOffset>30480</wp:posOffset>
                      </wp:positionV>
                      <wp:extent cx="212090" cy="159385"/>
                      <wp:effectExtent l="0" t="0" r="0" b="0"/>
                      <wp:wrapNone/>
                      <wp:docPr id="124" name="Organigramme : Processus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F709B"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419A16" id="Organigramme : Processus 124" o:spid="_x0000_s1286" type="#_x0000_t109" style="position:absolute;left:0;text-align:left;margin-left:8.1pt;margin-top:2.4pt;width:16.7pt;height:1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" fillcolor="white [3212]" strokecolor="black [3213]" strokeweight="1.25pt">
                      <v:path arrowok="t"/>
                      <v:textbox>
                        <w:txbxContent>
                          <w:p w14:paraId="698F709B" w14:textId="77777777" w:rsidR="009C2D83" w:rsidRDefault="009C2D83" w:rsidP="009B206C">
                            <w:pPr>
                              <w:jc w:val="center"/>
                            </w:pPr>
                          </w:p>
                        </w:txbxContent>
                      </v:textbox>
                    </v:shape>
                  </w:pict>
                </mc:Fallback>
              </mc:AlternateContent>
            </w:r>
          </w:p>
        </w:tc>
      </w:tr>
      <w:tr w:rsidR="009B206C" w:rsidRPr="00F634CD" w14:paraId="0AC22CF1" w14:textId="77777777" w:rsidTr="009B206C">
        <w:trPr>
          <w:trHeight w:val="850"/>
        </w:trPr>
        <w:tc>
          <w:tcPr>
            <w:tcW w:w="7516" w:type="dxa"/>
            <w:shd w:val="solid" w:color="F2F2F2" w:themeColor="background1" w:themeShade="F2" w:fill="F2F2F2" w:themeFill="background1" w:themeFillShade="F2"/>
            <w:vAlign w:val="center"/>
          </w:tcPr>
          <w:p w14:paraId="272F6B60" w14:textId="77777777" w:rsidR="009B206C" w:rsidRPr="00F634CD" w:rsidRDefault="009B206C" w:rsidP="009B206C">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Pensez-vous que l’application des deux réglementations Bâle et IFSB alourdira l’activité bancaire islamique ?</w:t>
            </w:r>
          </w:p>
        </w:tc>
        <w:tc>
          <w:tcPr>
            <w:tcW w:w="855" w:type="dxa"/>
            <w:shd w:val="solid" w:color="F2F2F2" w:themeColor="background1" w:themeShade="F2" w:fill="F2F2F2" w:themeFill="background1" w:themeFillShade="F2"/>
            <w:vAlign w:val="center"/>
          </w:tcPr>
          <w:p w14:paraId="61370B01" w14:textId="256A8D41" w:rsidR="009B206C" w:rsidRPr="00F634CD" w:rsidRDefault="002C5EFF" w:rsidP="009B206C">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43232" behindDoc="0" locked="0" layoutInCell="1" allowOverlap="1" wp14:anchorId="72C12DE5" wp14:editId="6BD354D6">
                      <wp:simplePos x="0" y="0"/>
                      <wp:positionH relativeFrom="column">
                        <wp:posOffset>108585</wp:posOffset>
                      </wp:positionH>
                      <wp:positionV relativeFrom="paragraph">
                        <wp:posOffset>82550</wp:posOffset>
                      </wp:positionV>
                      <wp:extent cx="212090" cy="159385"/>
                      <wp:effectExtent l="0" t="0" r="0" b="0"/>
                      <wp:wrapNone/>
                      <wp:docPr id="128" name="Organigramme : Processus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765B0"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C12DE5" id="Organigramme : Processus 128" o:spid="_x0000_s1287" type="#_x0000_t109" style="position:absolute;left:0;text-align:left;margin-left:8.55pt;margin-top:6.5pt;width:16.7pt;height:1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" fillcolor="white [3212]" strokecolor="black [3213]" strokeweight="1.25pt">
                      <v:path arrowok="t"/>
                      <v:textbox>
                        <w:txbxContent>
                          <w:p w14:paraId="2DC765B0" w14:textId="77777777" w:rsidR="009C2D83" w:rsidRDefault="009C2D83" w:rsidP="009B206C">
                            <w:pPr>
                              <w:jc w:val="center"/>
                            </w:pPr>
                          </w:p>
                        </w:txbxContent>
                      </v:textbox>
                    </v:shape>
                  </w:pict>
                </mc:Fallback>
              </mc:AlternateContent>
            </w:r>
          </w:p>
        </w:tc>
        <w:tc>
          <w:tcPr>
            <w:tcW w:w="854" w:type="dxa"/>
            <w:shd w:val="solid" w:color="F2F2F2" w:themeColor="background1" w:themeShade="F2" w:fill="F2F2F2" w:themeFill="background1" w:themeFillShade="F2"/>
            <w:vAlign w:val="center"/>
          </w:tcPr>
          <w:p w14:paraId="17AE09FF" w14:textId="19508356" w:rsidR="009B206C" w:rsidRPr="00F634CD" w:rsidRDefault="002C5EFF" w:rsidP="009B206C">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45280" behindDoc="0" locked="0" layoutInCell="1" allowOverlap="1" wp14:anchorId="780AA1EC" wp14:editId="597FDD10">
                      <wp:simplePos x="0" y="0"/>
                      <wp:positionH relativeFrom="column">
                        <wp:posOffset>111760</wp:posOffset>
                      </wp:positionH>
                      <wp:positionV relativeFrom="paragraph">
                        <wp:posOffset>66040</wp:posOffset>
                      </wp:positionV>
                      <wp:extent cx="212090" cy="159385"/>
                      <wp:effectExtent l="0" t="0" r="0" b="0"/>
                      <wp:wrapNone/>
                      <wp:docPr id="129" name="Organigramme : Processus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05E68"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0AA1EC" id="Organigramme : Processus 129" o:spid="_x0000_s1288" type="#_x0000_t109" style="position:absolute;left:0;text-align:left;margin-left:8.8pt;margin-top:5.2pt;width:16.7pt;height:1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" fillcolor="white [3212]" strokecolor="black [3213]" strokeweight="1.25pt">
                      <v:path arrowok="t"/>
                      <v:textbox>
                        <w:txbxContent>
                          <w:p w14:paraId="4AE05E68" w14:textId="77777777" w:rsidR="009C2D83" w:rsidRDefault="009C2D83" w:rsidP="009B206C">
                            <w:pPr>
                              <w:jc w:val="center"/>
                            </w:pPr>
                          </w:p>
                        </w:txbxContent>
                      </v:textbox>
                    </v:shape>
                  </w:pict>
                </mc:Fallback>
              </mc:AlternateContent>
            </w:r>
          </w:p>
        </w:tc>
      </w:tr>
      <w:tr w:rsidR="009B206C" w:rsidRPr="00F634CD" w14:paraId="73B90AAB" w14:textId="77777777" w:rsidTr="009B206C">
        <w:trPr>
          <w:trHeight w:val="850"/>
        </w:trPr>
        <w:tc>
          <w:tcPr>
            <w:tcW w:w="7516" w:type="dxa"/>
            <w:shd w:val="solid" w:color="F2F2F2" w:themeColor="background1" w:themeShade="F2" w:fill="F2F2F2" w:themeFill="background1" w:themeFillShade="F2"/>
            <w:vAlign w:val="center"/>
          </w:tcPr>
          <w:p w14:paraId="5642E0F5" w14:textId="77777777" w:rsidR="009B206C" w:rsidRPr="00F634CD" w:rsidRDefault="009B206C" w:rsidP="009B206C">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Est-ce que votre banque utilise les normes IFSB ?</w:t>
            </w:r>
          </w:p>
        </w:tc>
        <w:tc>
          <w:tcPr>
            <w:tcW w:w="855" w:type="dxa"/>
            <w:shd w:val="solid" w:color="F2F2F2" w:themeColor="background1" w:themeShade="F2" w:fill="F2F2F2" w:themeFill="background1" w:themeFillShade="F2"/>
            <w:vAlign w:val="center"/>
          </w:tcPr>
          <w:p w14:paraId="5EBCF4D0" w14:textId="0144BD55" w:rsidR="009B206C" w:rsidRPr="00F634CD" w:rsidRDefault="002C5EFF" w:rsidP="009B206C">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49376" behindDoc="0" locked="0" layoutInCell="1" allowOverlap="1" wp14:anchorId="4AF2E520" wp14:editId="402908D6">
                      <wp:simplePos x="0" y="0"/>
                      <wp:positionH relativeFrom="column">
                        <wp:posOffset>115570</wp:posOffset>
                      </wp:positionH>
                      <wp:positionV relativeFrom="paragraph">
                        <wp:posOffset>84455</wp:posOffset>
                      </wp:positionV>
                      <wp:extent cx="212090" cy="159385"/>
                      <wp:effectExtent l="0" t="0" r="0" b="0"/>
                      <wp:wrapNone/>
                      <wp:docPr id="181" name="Organigramme : Processus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F132A"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F2E520" id="Organigramme : Processus 181" o:spid="_x0000_s1289" type="#_x0000_t109" style="position:absolute;left:0;text-align:left;margin-left:9.1pt;margin-top:6.65pt;width:16.7pt;height:1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" fillcolor="white [3212]" strokecolor="black [3213]" strokeweight="1.25pt">
                      <v:path arrowok="t"/>
                      <v:textbox>
                        <w:txbxContent>
                          <w:p w14:paraId="402F132A" w14:textId="77777777" w:rsidR="009C2D83" w:rsidRDefault="009C2D83" w:rsidP="009B206C">
                            <w:pPr>
                              <w:jc w:val="center"/>
                            </w:pPr>
                          </w:p>
                        </w:txbxContent>
                      </v:textbox>
                    </v:shape>
                  </w:pict>
                </mc:Fallback>
              </mc:AlternateContent>
            </w:r>
          </w:p>
        </w:tc>
        <w:tc>
          <w:tcPr>
            <w:tcW w:w="854" w:type="dxa"/>
            <w:shd w:val="solid" w:color="F2F2F2" w:themeColor="background1" w:themeShade="F2" w:fill="F2F2F2" w:themeFill="background1" w:themeFillShade="F2"/>
            <w:vAlign w:val="center"/>
          </w:tcPr>
          <w:p w14:paraId="1208B94A" w14:textId="3FCCF9F0" w:rsidR="009B206C" w:rsidRPr="00F634CD" w:rsidRDefault="002C5EFF" w:rsidP="009B206C">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46304" behindDoc="0" locked="0" layoutInCell="1" allowOverlap="1" wp14:anchorId="634CE958" wp14:editId="2024D35A">
                      <wp:simplePos x="0" y="0"/>
                      <wp:positionH relativeFrom="column">
                        <wp:posOffset>100965</wp:posOffset>
                      </wp:positionH>
                      <wp:positionV relativeFrom="paragraph">
                        <wp:posOffset>77470</wp:posOffset>
                      </wp:positionV>
                      <wp:extent cx="212090" cy="159385"/>
                      <wp:effectExtent l="0" t="0" r="0" b="0"/>
                      <wp:wrapNone/>
                      <wp:docPr id="183" name="Organigramme : Processus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60DEC"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4CE958" id="Organigramme : Processus 183" o:spid="_x0000_s1290" type="#_x0000_t109" style="position:absolute;left:0;text-align:left;margin-left:7.95pt;margin-top:6.1pt;width:16.7pt;height:1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" fillcolor="white [3212]" strokecolor="black [3213]" strokeweight="1.25pt">
                      <v:path arrowok="t"/>
                      <v:textbox>
                        <w:txbxContent>
                          <w:p w14:paraId="1B660DEC" w14:textId="77777777" w:rsidR="009C2D83" w:rsidRDefault="009C2D83" w:rsidP="009B206C">
                            <w:pPr>
                              <w:jc w:val="center"/>
                            </w:pPr>
                          </w:p>
                        </w:txbxContent>
                      </v:textbox>
                    </v:shape>
                  </w:pict>
                </mc:Fallback>
              </mc:AlternateContent>
            </w:r>
          </w:p>
        </w:tc>
      </w:tr>
      <w:tr w:rsidR="009B206C" w:rsidRPr="00F634CD" w14:paraId="19C03F6B" w14:textId="77777777" w:rsidTr="009B206C">
        <w:trPr>
          <w:trHeight w:val="850"/>
        </w:trPr>
        <w:tc>
          <w:tcPr>
            <w:tcW w:w="7516" w:type="dxa"/>
            <w:shd w:val="solid" w:color="F2F2F2" w:themeColor="background1" w:themeShade="F2" w:fill="F2F2F2" w:themeFill="background1" w:themeFillShade="F2"/>
            <w:vAlign w:val="center"/>
          </w:tcPr>
          <w:p w14:paraId="1CDB4A91" w14:textId="77777777" w:rsidR="009B206C" w:rsidRPr="00F634CD" w:rsidRDefault="009B206C" w:rsidP="009B206C">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Est-ce qu’il y a des critères règlementaires imposés par l’IFSB pour gérer les risques liés aux modes de financement participatifs ?</w:t>
            </w:r>
          </w:p>
        </w:tc>
        <w:tc>
          <w:tcPr>
            <w:tcW w:w="855" w:type="dxa"/>
            <w:shd w:val="solid" w:color="F2F2F2" w:themeColor="background1" w:themeShade="F2" w:fill="F2F2F2" w:themeFill="background1" w:themeFillShade="F2"/>
            <w:vAlign w:val="center"/>
          </w:tcPr>
          <w:p w14:paraId="23C86DAD" w14:textId="5D9B9ADF" w:rsidR="009B206C" w:rsidRPr="00F634CD" w:rsidRDefault="002C5EFF" w:rsidP="009B206C">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47328" behindDoc="0" locked="0" layoutInCell="1" allowOverlap="1" wp14:anchorId="18A0C451" wp14:editId="3783FD5D">
                      <wp:simplePos x="0" y="0"/>
                      <wp:positionH relativeFrom="column">
                        <wp:posOffset>120650</wp:posOffset>
                      </wp:positionH>
                      <wp:positionV relativeFrom="paragraph">
                        <wp:posOffset>59055</wp:posOffset>
                      </wp:positionV>
                      <wp:extent cx="212090" cy="159385"/>
                      <wp:effectExtent l="0" t="0" r="0" b="0"/>
                      <wp:wrapNone/>
                      <wp:docPr id="203" name="Organigramme : Processus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82E44"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A0C451" id="Organigramme : Processus 203" o:spid="_x0000_s1291" type="#_x0000_t109" style="position:absolute;left:0;text-align:left;margin-left:9.5pt;margin-top:4.65pt;width:16.7pt;height:1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" fillcolor="white [3212]" strokecolor="black [3213]" strokeweight="1.25pt">
                      <v:path arrowok="t"/>
                      <v:textbox>
                        <w:txbxContent>
                          <w:p w14:paraId="2B882E44" w14:textId="77777777" w:rsidR="009C2D83" w:rsidRDefault="009C2D83" w:rsidP="009B206C">
                            <w:pPr>
                              <w:jc w:val="center"/>
                            </w:pPr>
                          </w:p>
                        </w:txbxContent>
                      </v:textbox>
                    </v:shape>
                  </w:pict>
                </mc:Fallback>
              </mc:AlternateContent>
            </w:r>
          </w:p>
        </w:tc>
        <w:tc>
          <w:tcPr>
            <w:tcW w:w="854" w:type="dxa"/>
            <w:shd w:val="solid" w:color="F2F2F2" w:themeColor="background1" w:themeShade="F2" w:fill="F2F2F2" w:themeFill="background1" w:themeFillShade="F2"/>
            <w:vAlign w:val="center"/>
          </w:tcPr>
          <w:p w14:paraId="5B2446E2" w14:textId="4A1F5D9B" w:rsidR="009B206C" w:rsidRPr="00F634CD" w:rsidRDefault="002C5EFF" w:rsidP="009B206C">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48352" behindDoc="0" locked="0" layoutInCell="1" allowOverlap="1" wp14:anchorId="6A9807C1" wp14:editId="36893E14">
                      <wp:simplePos x="0" y="0"/>
                      <wp:positionH relativeFrom="column">
                        <wp:posOffset>97790</wp:posOffset>
                      </wp:positionH>
                      <wp:positionV relativeFrom="paragraph">
                        <wp:posOffset>52705</wp:posOffset>
                      </wp:positionV>
                      <wp:extent cx="212090" cy="159385"/>
                      <wp:effectExtent l="0" t="0" r="0" b="0"/>
                      <wp:wrapNone/>
                      <wp:docPr id="204" name="Organigramme : Processus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229FD"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9807C1" id="Organigramme : Processus 204" o:spid="_x0000_s1292" type="#_x0000_t109" style="position:absolute;left:0;text-align:left;margin-left:7.7pt;margin-top:4.15pt;width:16.7pt;height:1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" fillcolor="white [3212]" strokecolor="black [3213]" strokeweight="1.25pt">
                      <v:path arrowok="t"/>
                      <v:textbox>
                        <w:txbxContent>
                          <w:p w14:paraId="64C229FD" w14:textId="77777777" w:rsidR="009C2D83" w:rsidRDefault="009C2D83" w:rsidP="009B206C">
                            <w:pPr>
                              <w:jc w:val="center"/>
                            </w:pPr>
                          </w:p>
                        </w:txbxContent>
                      </v:textbox>
                    </v:shape>
                  </w:pict>
                </mc:Fallback>
              </mc:AlternateContent>
            </w:r>
          </w:p>
        </w:tc>
      </w:tr>
    </w:tbl>
    <w:p w14:paraId="7F4DB440" w14:textId="1DD6143C" w:rsidR="005D5B9E" w:rsidRPr="00F634CD" w:rsidRDefault="002C5EFF" w:rsidP="00614376">
      <w:pPr>
        <w:tabs>
          <w:tab w:val="center" w:pos="4536"/>
        </w:tabs>
        <w:spacing w:before="100" w:beforeAutospacing="1" w:after="100" w:afterAutospacing="1"/>
        <w:ind w:left="340" w:hanging="340"/>
        <w:rPr>
          <w:rFonts w:ascii="Times New Roman" w:hAnsi="Times New Roman" w:cs="Times New Roman"/>
          <w:b/>
          <w:bCs/>
          <w:i/>
          <w:iCs/>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74272" behindDoc="0" locked="0" layoutInCell="1" allowOverlap="1" wp14:anchorId="656E5705" wp14:editId="74207FDC">
                <wp:simplePos x="0" y="0"/>
                <wp:positionH relativeFrom="column">
                  <wp:posOffset>399415</wp:posOffset>
                </wp:positionH>
                <wp:positionV relativeFrom="paragraph">
                  <wp:posOffset>756285</wp:posOffset>
                </wp:positionV>
                <wp:extent cx="201930" cy="169545"/>
                <wp:effectExtent l="0" t="0" r="7620" b="1905"/>
                <wp:wrapNone/>
                <wp:docPr id="72" name="Organigramme : Processus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AF3DB0" id="Organigramme : Processus 72" o:spid="_x0000_s1026" type="#_x0000_t109" style="position:absolute;margin-left:31.45pt;margin-top:59.55pt;width:15.9pt;height:13.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" filled="f" strokecolor="black [3213]" strokeweight="1.25pt">
                <v:path arrowok="t"/>
              </v:shape>
            </w:pict>
          </mc:Fallback>
        </mc:AlternateContent>
      </w:r>
      <w:r w:rsidR="005D5B9E" w:rsidRPr="00F634CD">
        <w:rPr>
          <w:rFonts w:ascii="Times New Roman" w:hAnsi="Times New Roman" w:cs="Times New Roman"/>
          <w:b/>
          <w:bCs/>
          <w:i/>
          <w:iCs/>
          <w:kern w:val="24"/>
          <w:sz w:val="24"/>
          <w:szCs w:val="24"/>
        </w:rPr>
        <w:t>18.</w:t>
      </w:r>
      <w:r w:rsidR="005D5B9E" w:rsidRPr="00F634CD">
        <w:rPr>
          <w:rFonts w:ascii="Times New Roman" w:hAnsi="Times New Roman" w:cs="Times New Roman"/>
          <w:kern w:val="24"/>
          <w:sz w:val="24"/>
          <w:szCs w:val="24"/>
        </w:rPr>
        <w:t xml:space="preserve"> </w:t>
      </w:r>
      <w:r w:rsidR="005D5B9E" w:rsidRPr="00F634CD">
        <w:rPr>
          <w:rFonts w:ascii="Times New Roman" w:hAnsi="Times New Roman" w:cs="Times New Roman"/>
          <w:b/>
          <w:bCs/>
          <w:i/>
          <w:iCs/>
          <w:kern w:val="24"/>
          <w:sz w:val="24"/>
          <w:szCs w:val="24"/>
        </w:rPr>
        <w:t xml:space="preserve">Selon l’IFSB et l’AAOIFI, deux types de réserves sont recommandées dans les BI : la </w:t>
      </w:r>
      <w:r w:rsidR="00614376" w:rsidRPr="00F634CD">
        <w:rPr>
          <w:rFonts w:ascii="Times New Roman" w:hAnsi="Times New Roman" w:cs="Times New Roman"/>
          <w:b/>
          <w:bCs/>
          <w:i/>
          <w:iCs/>
          <w:kern w:val="24"/>
          <w:sz w:val="24"/>
          <w:szCs w:val="24"/>
        </w:rPr>
        <w:t>PER et</w:t>
      </w:r>
      <w:r w:rsidR="005D5B9E" w:rsidRPr="00F634CD">
        <w:rPr>
          <w:rFonts w:ascii="Times New Roman" w:hAnsi="Times New Roman" w:cs="Times New Roman"/>
          <w:b/>
          <w:bCs/>
          <w:i/>
          <w:iCs/>
          <w:kern w:val="24"/>
          <w:sz w:val="24"/>
          <w:szCs w:val="24"/>
        </w:rPr>
        <w:t xml:space="preserve"> l’IRP. Quel type de réserves est-il retenu dans votre établissement ? </w:t>
      </w:r>
    </w:p>
    <w:p w14:paraId="6308E6EC" w14:textId="4DD0CD49" w:rsidR="000B3C07" w:rsidRPr="00F634CD" w:rsidRDefault="002C5EFF" w:rsidP="009B206C">
      <w:pPr>
        <w:tabs>
          <w:tab w:val="center" w:pos="4536"/>
        </w:tabs>
        <w:spacing w:line="360" w:lineRule="auto"/>
        <w:jc w:val="center"/>
        <w:rPr>
          <w:rFonts w:ascii="Times New Roman" w:hAnsi="Times New Roman" w:cs="Times New Roman"/>
          <w:kern w:val="24"/>
          <w:sz w:val="24"/>
          <w:szCs w:val="24"/>
        </w:rPr>
      </w:pPr>
      <w:r>
        <w:rPr>
          <w:rFonts w:ascii="Times New Roman" w:hAnsi="Times New Roman" w:cs="Times New Roman"/>
          <w:noProof/>
          <w:kern w:val="24"/>
          <w:sz w:val="24"/>
          <w:szCs w:val="24"/>
          <w:lang w:eastAsia="fr-FR"/>
        </w:rPr>
        <mc:AlternateContent>
          <mc:Choice Requires="wps">
            <w:drawing>
              <wp:anchor distT="0" distB="0" distL="114300" distR="114300" simplePos="0" relativeHeight="251575296" behindDoc="0" locked="0" layoutInCell="1" allowOverlap="1" wp14:anchorId="550D47D6" wp14:editId="54795578">
                <wp:simplePos x="0" y="0"/>
                <wp:positionH relativeFrom="column">
                  <wp:posOffset>2680970</wp:posOffset>
                </wp:positionH>
                <wp:positionV relativeFrom="paragraph">
                  <wp:posOffset>19685</wp:posOffset>
                </wp:positionV>
                <wp:extent cx="201930" cy="169545"/>
                <wp:effectExtent l="0" t="0" r="7620" b="1905"/>
                <wp:wrapNone/>
                <wp:docPr id="73" name="Organigramme : Processus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0FF1B7" id="Organigramme : Processus 73" o:spid="_x0000_s1026" type="#_x0000_t109" style="position:absolute;margin-left:211.1pt;margin-top:1.55pt;width:15.9pt;height:13.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" filled="f" strokecolor="black [3213]" strokeweight="1.25pt">
                <v:path arrowok="t"/>
              </v:shape>
            </w:pict>
          </mc:Fallback>
        </mc:AlternateContent>
      </w:r>
      <w:r>
        <w:rPr>
          <w:rFonts w:ascii="Times New Roman" w:hAnsi="Times New Roman" w:cs="Times New Roman"/>
          <w:noProof/>
          <w:kern w:val="24"/>
          <w:sz w:val="24"/>
          <w:szCs w:val="24"/>
          <w:lang w:eastAsia="fr-FR"/>
        </w:rPr>
        <mc:AlternateContent>
          <mc:Choice Requires="wps">
            <w:drawing>
              <wp:anchor distT="0" distB="0" distL="114300" distR="114300" simplePos="0" relativeHeight="251576320" behindDoc="0" locked="0" layoutInCell="1" allowOverlap="1" wp14:anchorId="7989C198" wp14:editId="1AAB5252">
                <wp:simplePos x="0" y="0"/>
                <wp:positionH relativeFrom="column">
                  <wp:posOffset>4308475</wp:posOffset>
                </wp:positionH>
                <wp:positionV relativeFrom="paragraph">
                  <wp:posOffset>10160</wp:posOffset>
                </wp:positionV>
                <wp:extent cx="201930" cy="169545"/>
                <wp:effectExtent l="0" t="0" r="7620" b="1905"/>
                <wp:wrapNone/>
                <wp:docPr id="74" name="Organigramme : Processus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69545"/>
                        </a:xfrm>
                        <a:prstGeom prst="flowChart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C88EF3" id="Organigramme : Processus 74" o:spid="_x0000_s1026" type="#_x0000_t109" style="position:absolute;margin-left:339.25pt;margin-top:.8pt;width:15.9pt;height:13.3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" filled="f" strokecolor="black [3213]" strokeweight="1.25pt">
                <v:path arrowok="t"/>
              </v:shape>
            </w:pict>
          </mc:Fallback>
        </mc:AlternateContent>
      </w:r>
      <w:r w:rsidR="005D5B9E" w:rsidRPr="00F634CD">
        <w:rPr>
          <w:rFonts w:ascii="Times New Roman" w:hAnsi="Times New Roman" w:cs="Times New Roman"/>
          <w:kern w:val="24"/>
          <w:sz w:val="24"/>
          <w:szCs w:val="24"/>
        </w:rPr>
        <w:t xml:space="preserve">La PER    </w:t>
      </w:r>
      <w:r w:rsidR="00614376" w:rsidRPr="00F634CD">
        <w:rPr>
          <w:rFonts w:ascii="Times New Roman" w:hAnsi="Times New Roman" w:cs="Times New Roman"/>
          <w:kern w:val="24"/>
          <w:sz w:val="24"/>
          <w:szCs w:val="24"/>
        </w:rPr>
        <w:t xml:space="preserve">     </w:t>
      </w:r>
      <w:r w:rsidR="005D5B9E" w:rsidRPr="00F634CD">
        <w:rPr>
          <w:rFonts w:ascii="Times New Roman" w:hAnsi="Times New Roman" w:cs="Times New Roman"/>
          <w:kern w:val="24"/>
          <w:sz w:val="24"/>
          <w:szCs w:val="24"/>
        </w:rPr>
        <w:t xml:space="preserve">                        </w:t>
      </w:r>
      <w:r w:rsidR="00614376" w:rsidRPr="00F634CD">
        <w:rPr>
          <w:rFonts w:ascii="Times New Roman" w:hAnsi="Times New Roman" w:cs="Times New Roman"/>
          <w:kern w:val="24"/>
          <w:sz w:val="24"/>
          <w:szCs w:val="24"/>
        </w:rPr>
        <w:t xml:space="preserve">    </w:t>
      </w:r>
      <w:r w:rsidR="005D5B9E" w:rsidRPr="00F634CD">
        <w:rPr>
          <w:rFonts w:ascii="Times New Roman" w:hAnsi="Times New Roman" w:cs="Times New Roman"/>
          <w:kern w:val="24"/>
          <w:sz w:val="24"/>
          <w:szCs w:val="24"/>
        </w:rPr>
        <w:t xml:space="preserve">           L’IRR                              </w:t>
      </w:r>
      <w:r w:rsidR="00614376" w:rsidRPr="00F634CD">
        <w:rPr>
          <w:rFonts w:ascii="Times New Roman" w:hAnsi="Times New Roman" w:cs="Times New Roman"/>
          <w:kern w:val="24"/>
          <w:sz w:val="24"/>
          <w:szCs w:val="24"/>
        </w:rPr>
        <w:t xml:space="preserve">  Les deux</w:t>
      </w:r>
    </w:p>
    <w:p w14:paraId="678FC652" w14:textId="77777777" w:rsidR="005D5B9E" w:rsidRPr="00F634CD" w:rsidRDefault="005D5B9E" w:rsidP="00614376">
      <w:pPr>
        <w:tabs>
          <w:tab w:val="center" w:pos="4536"/>
        </w:tabs>
        <w:spacing w:before="100" w:beforeAutospacing="1" w:after="120"/>
        <w:rPr>
          <w:rFonts w:ascii="Times New Roman" w:hAnsi="Times New Roman" w:cs="Times New Roman"/>
          <w:kern w:val="24"/>
          <w:sz w:val="24"/>
          <w:szCs w:val="24"/>
        </w:rPr>
      </w:pPr>
      <w:r w:rsidRPr="00F634CD">
        <w:rPr>
          <w:rFonts w:ascii="Times New Roman" w:hAnsi="Times New Roman" w:cs="Times New Roman"/>
          <w:b/>
          <w:bCs/>
          <w:i/>
          <w:iCs/>
          <w:color w:val="000000"/>
          <w:kern w:val="24"/>
          <w:sz w:val="24"/>
          <w:szCs w:val="24"/>
          <w:shd w:val="clear" w:color="auto" w:fill="F8F8F8"/>
        </w:rPr>
        <w:t xml:space="preserve">IV.3 </w:t>
      </w:r>
      <w:r w:rsidRPr="00F634CD">
        <w:rPr>
          <w:rFonts w:ascii="Times New Roman" w:hAnsi="Times New Roman" w:cs="Times New Roman"/>
          <w:b/>
          <w:bCs/>
          <w:i/>
          <w:iCs/>
          <w:kern w:val="24"/>
          <w:sz w:val="24"/>
          <w:szCs w:val="24"/>
        </w:rPr>
        <w:t>Identification des risques</w:t>
      </w:r>
    </w:p>
    <w:p w14:paraId="11B828C9" w14:textId="77777777" w:rsidR="009B206C" w:rsidRPr="00F634CD" w:rsidRDefault="005D5B9E" w:rsidP="009B206C">
      <w:pPr>
        <w:tabs>
          <w:tab w:val="center" w:pos="4536"/>
        </w:tabs>
        <w:spacing w:before="120" w:after="100" w:afterAutospacing="1"/>
        <w:rPr>
          <w:rFonts w:ascii="Times New Roman" w:hAnsi="Times New Roman" w:cs="Times New Roman"/>
          <w:kern w:val="24"/>
          <w:sz w:val="24"/>
          <w:szCs w:val="24"/>
        </w:rPr>
      </w:pPr>
      <w:r w:rsidRPr="00F634CD">
        <w:rPr>
          <w:rFonts w:ascii="Times New Roman" w:hAnsi="Times New Roman" w:cs="Times New Roman"/>
          <w:b/>
          <w:bCs/>
          <w:kern w:val="24"/>
          <w:sz w:val="24"/>
          <w:szCs w:val="24"/>
        </w:rPr>
        <w:t>19</w:t>
      </w:r>
      <w:r w:rsidRPr="00F634CD">
        <w:rPr>
          <w:rFonts w:ascii="Times New Roman" w:hAnsi="Times New Roman" w:cs="Times New Roman"/>
          <w:kern w:val="24"/>
          <w:sz w:val="24"/>
          <w:szCs w:val="24"/>
        </w:rPr>
        <w:t xml:space="preserve">. </w:t>
      </w:r>
      <w:r w:rsidRPr="00F634CD">
        <w:rPr>
          <w:rFonts w:ascii="Times New Roman" w:hAnsi="Times New Roman" w:cs="Times New Roman"/>
          <w:b/>
          <w:bCs/>
          <w:i/>
          <w:iCs/>
          <w:kern w:val="24"/>
          <w:sz w:val="24"/>
          <w:szCs w:val="24"/>
        </w:rPr>
        <w:t>Veuillez cocher les cases appropriées dans le tableau ci-dessous</w:t>
      </w:r>
      <w:r w:rsidR="00614376" w:rsidRPr="00F634CD">
        <w:rPr>
          <w:rFonts w:ascii="Times New Roman" w:hAnsi="Times New Roman" w:cs="Times New Roman"/>
          <w:b/>
          <w:bCs/>
          <w:i/>
          <w:iCs/>
          <w:kern w:val="24"/>
          <w:sz w:val="24"/>
          <w:szCs w:val="24"/>
        </w:rPr>
        <w:t> :</w:t>
      </w:r>
    </w:p>
    <w:tbl>
      <w:tblPr>
        <w:tblStyle w:val="Grilledutableau"/>
        <w:tblW w:w="0" w:type="auto"/>
        <w:shd w:val="solid" w:color="F2F2F2" w:themeColor="background1" w:themeShade="F2" w:fill="F2F2F2" w:themeFill="background1" w:themeFillShade="F2"/>
        <w:tblLook w:val="04A0" w:firstRow="1" w:lastRow="0" w:firstColumn="1" w:lastColumn="0" w:noHBand="0" w:noVBand="1"/>
      </w:tblPr>
      <w:tblGrid>
        <w:gridCol w:w="7065"/>
        <w:gridCol w:w="982"/>
        <w:gridCol w:w="1014"/>
      </w:tblGrid>
      <w:tr w:rsidR="009B206C" w:rsidRPr="00F634CD" w14:paraId="43766F29" w14:textId="77777777" w:rsidTr="009B206C">
        <w:trPr>
          <w:trHeight w:val="737"/>
        </w:trPr>
        <w:tc>
          <w:tcPr>
            <w:tcW w:w="7196" w:type="dxa"/>
            <w:shd w:val="solid" w:color="F2F2F2" w:themeColor="background1" w:themeShade="F2" w:fill="F2F2F2" w:themeFill="background1" w:themeFillShade="F2"/>
          </w:tcPr>
          <w:p w14:paraId="61015732" w14:textId="77777777" w:rsidR="009B206C" w:rsidRPr="00F634CD" w:rsidRDefault="009B206C" w:rsidP="009B206C">
            <w:pPr>
              <w:tabs>
                <w:tab w:val="center" w:pos="4536"/>
              </w:tabs>
              <w:spacing w:line="360" w:lineRule="auto"/>
              <w:rPr>
                <w:rFonts w:asciiTheme="majorBidi" w:hAnsiTheme="majorBidi" w:cstheme="majorBidi"/>
                <w:kern w:val="24"/>
                <w:sz w:val="24"/>
                <w:szCs w:val="24"/>
              </w:rPr>
            </w:pPr>
          </w:p>
        </w:tc>
        <w:tc>
          <w:tcPr>
            <w:tcW w:w="992" w:type="dxa"/>
            <w:shd w:val="solid" w:color="F2F2F2" w:themeColor="background1" w:themeShade="F2" w:fill="F2F2F2" w:themeFill="background1" w:themeFillShade="F2"/>
            <w:vAlign w:val="center"/>
          </w:tcPr>
          <w:p w14:paraId="0B7B1181" w14:textId="77777777" w:rsidR="009B206C" w:rsidRPr="00F634CD" w:rsidRDefault="009B206C" w:rsidP="009B206C">
            <w:pPr>
              <w:tabs>
                <w:tab w:val="center" w:pos="4536"/>
              </w:tabs>
              <w:spacing w:line="360" w:lineRule="auto"/>
              <w:jc w:val="center"/>
              <w:rPr>
                <w:rFonts w:asciiTheme="majorBidi" w:hAnsiTheme="majorBidi" w:cstheme="majorBidi"/>
                <w:kern w:val="24"/>
                <w:sz w:val="24"/>
                <w:szCs w:val="24"/>
              </w:rPr>
            </w:pPr>
            <w:r w:rsidRPr="00F634CD">
              <w:rPr>
                <w:rFonts w:asciiTheme="majorBidi" w:hAnsiTheme="majorBidi" w:cstheme="majorBidi"/>
                <w:kern w:val="24"/>
                <w:sz w:val="24"/>
                <w:szCs w:val="24"/>
              </w:rPr>
              <w:t>Oui</w:t>
            </w:r>
          </w:p>
        </w:tc>
        <w:tc>
          <w:tcPr>
            <w:tcW w:w="1024" w:type="dxa"/>
            <w:shd w:val="solid" w:color="F2F2F2" w:themeColor="background1" w:themeShade="F2" w:fill="F2F2F2" w:themeFill="background1" w:themeFillShade="F2"/>
            <w:vAlign w:val="center"/>
          </w:tcPr>
          <w:p w14:paraId="0B5B2A67" w14:textId="77777777" w:rsidR="009B206C" w:rsidRPr="00F634CD" w:rsidRDefault="009B206C" w:rsidP="009B206C">
            <w:pPr>
              <w:tabs>
                <w:tab w:val="center" w:pos="4536"/>
              </w:tabs>
              <w:spacing w:line="360" w:lineRule="auto"/>
              <w:jc w:val="center"/>
              <w:rPr>
                <w:rFonts w:asciiTheme="majorBidi" w:hAnsiTheme="majorBidi" w:cstheme="majorBidi"/>
                <w:kern w:val="24"/>
                <w:sz w:val="24"/>
                <w:szCs w:val="24"/>
              </w:rPr>
            </w:pPr>
            <w:r w:rsidRPr="00F634CD">
              <w:rPr>
                <w:rFonts w:asciiTheme="majorBidi" w:hAnsiTheme="majorBidi" w:cstheme="majorBidi"/>
                <w:kern w:val="24"/>
                <w:sz w:val="24"/>
                <w:szCs w:val="24"/>
              </w:rPr>
              <w:t>Non</w:t>
            </w:r>
          </w:p>
        </w:tc>
      </w:tr>
      <w:tr w:rsidR="009B206C" w:rsidRPr="00F634CD" w14:paraId="69C81248" w14:textId="77777777" w:rsidTr="009B206C">
        <w:trPr>
          <w:trHeight w:val="737"/>
        </w:trPr>
        <w:tc>
          <w:tcPr>
            <w:tcW w:w="7196" w:type="dxa"/>
            <w:shd w:val="solid" w:color="F2F2F2" w:themeColor="background1" w:themeShade="F2" w:fill="F2F2F2" w:themeFill="background1" w:themeFillShade="F2"/>
            <w:vAlign w:val="center"/>
          </w:tcPr>
          <w:p w14:paraId="31934526" w14:textId="77777777" w:rsidR="009B206C" w:rsidRPr="00F634CD" w:rsidRDefault="009B206C" w:rsidP="009B206C">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L'identification des risques est-elle un processus continu dans votre banque ?</w:t>
            </w:r>
          </w:p>
        </w:tc>
        <w:tc>
          <w:tcPr>
            <w:tcW w:w="992" w:type="dxa"/>
            <w:shd w:val="solid" w:color="F2F2F2" w:themeColor="background1" w:themeShade="F2" w:fill="F2F2F2" w:themeFill="background1" w:themeFillShade="F2"/>
            <w:vAlign w:val="center"/>
          </w:tcPr>
          <w:p w14:paraId="79D080B1" w14:textId="592D686C"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54496" behindDoc="0" locked="0" layoutInCell="1" allowOverlap="1" wp14:anchorId="34D4D0CA" wp14:editId="548A500A">
                      <wp:simplePos x="0" y="0"/>
                      <wp:positionH relativeFrom="column">
                        <wp:posOffset>113030</wp:posOffset>
                      </wp:positionH>
                      <wp:positionV relativeFrom="paragraph">
                        <wp:posOffset>77470</wp:posOffset>
                      </wp:positionV>
                      <wp:extent cx="212090" cy="159385"/>
                      <wp:effectExtent l="0" t="0" r="0" b="0"/>
                      <wp:wrapNone/>
                      <wp:docPr id="111" name="Organigramme : Processus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ACE27"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D4D0CA" id="Organigramme : Processus 111" o:spid="_x0000_s1293" type="#_x0000_t109" style="position:absolute;left:0;text-align:left;margin-left:8.9pt;margin-top:6.1pt;width:16.7pt;height:1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" fillcolor="white [3212]" strokecolor="black [3213]" strokeweight="1.25pt">
                      <v:path arrowok="t"/>
                      <v:textbox>
                        <w:txbxContent>
                          <w:p w14:paraId="158ACE27" w14:textId="77777777" w:rsidR="009C2D83" w:rsidRDefault="009C2D83" w:rsidP="009B206C">
                            <w:pPr>
                              <w:jc w:val="center"/>
                            </w:pPr>
                          </w:p>
                        </w:txbxContent>
                      </v:textbox>
                    </v:shape>
                  </w:pict>
                </mc:Fallback>
              </mc:AlternateContent>
            </w:r>
          </w:p>
        </w:tc>
        <w:tc>
          <w:tcPr>
            <w:tcW w:w="1024" w:type="dxa"/>
            <w:shd w:val="solid" w:color="F2F2F2" w:themeColor="background1" w:themeShade="F2" w:fill="F2F2F2" w:themeFill="background1" w:themeFillShade="F2"/>
            <w:vAlign w:val="center"/>
          </w:tcPr>
          <w:p w14:paraId="4EE607DA" w14:textId="699E6444"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55520" behindDoc="0" locked="0" layoutInCell="1" allowOverlap="1" wp14:anchorId="635AB6DD" wp14:editId="302A80DD">
                      <wp:simplePos x="0" y="0"/>
                      <wp:positionH relativeFrom="column">
                        <wp:posOffset>111125</wp:posOffset>
                      </wp:positionH>
                      <wp:positionV relativeFrom="paragraph">
                        <wp:posOffset>88900</wp:posOffset>
                      </wp:positionV>
                      <wp:extent cx="212090" cy="159385"/>
                      <wp:effectExtent l="0" t="0" r="0" b="0"/>
                      <wp:wrapNone/>
                      <wp:docPr id="112" name="Organigramme : Processus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EE49B"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5AB6DD" id="Organigramme : Processus 112" o:spid="_x0000_s1294" type="#_x0000_t109" style="position:absolute;left:0;text-align:left;margin-left:8.75pt;margin-top:7pt;width:16.7pt;height:1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" fillcolor="white [3212]" strokecolor="black [3213]" strokeweight="1.25pt">
                      <v:path arrowok="t"/>
                      <v:textbox>
                        <w:txbxContent>
                          <w:p w14:paraId="47EEE49B" w14:textId="77777777" w:rsidR="009C2D83" w:rsidRDefault="009C2D83" w:rsidP="009B206C">
                            <w:pPr>
                              <w:jc w:val="center"/>
                            </w:pPr>
                          </w:p>
                        </w:txbxContent>
                      </v:textbox>
                    </v:shape>
                  </w:pict>
                </mc:Fallback>
              </mc:AlternateContent>
            </w:r>
          </w:p>
        </w:tc>
      </w:tr>
      <w:tr w:rsidR="009B206C" w:rsidRPr="00F634CD" w14:paraId="1F96421E" w14:textId="77777777" w:rsidTr="009B206C">
        <w:trPr>
          <w:trHeight w:val="737"/>
        </w:trPr>
        <w:tc>
          <w:tcPr>
            <w:tcW w:w="7196" w:type="dxa"/>
            <w:shd w:val="solid" w:color="F2F2F2" w:themeColor="background1" w:themeShade="F2" w:fill="F2F2F2" w:themeFill="background1" w:themeFillShade="F2"/>
            <w:vAlign w:val="center"/>
          </w:tcPr>
          <w:p w14:paraId="3B723710" w14:textId="77777777" w:rsidR="009B206C" w:rsidRPr="00F634CD" w:rsidRDefault="009B206C" w:rsidP="009B206C">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Est-ce que votre banque trouve des difficultés dans l’identification des risques des produits financiers participatifs ?</w:t>
            </w:r>
          </w:p>
        </w:tc>
        <w:tc>
          <w:tcPr>
            <w:tcW w:w="992" w:type="dxa"/>
            <w:shd w:val="solid" w:color="F2F2F2" w:themeColor="background1" w:themeShade="F2" w:fill="F2F2F2" w:themeFill="background1" w:themeFillShade="F2"/>
            <w:vAlign w:val="center"/>
          </w:tcPr>
          <w:p w14:paraId="27B731A9" w14:textId="21A2EFDA"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52448" behindDoc="0" locked="0" layoutInCell="1" allowOverlap="1" wp14:anchorId="2A262230" wp14:editId="2AF2047D">
                      <wp:simplePos x="0" y="0"/>
                      <wp:positionH relativeFrom="column">
                        <wp:posOffset>114300</wp:posOffset>
                      </wp:positionH>
                      <wp:positionV relativeFrom="paragraph">
                        <wp:posOffset>88265</wp:posOffset>
                      </wp:positionV>
                      <wp:extent cx="212090" cy="159385"/>
                      <wp:effectExtent l="0" t="0" r="0" b="0"/>
                      <wp:wrapNone/>
                      <wp:docPr id="115" name="Organigramme : Processus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3C21C"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262230" id="Organigramme : Processus 115" o:spid="_x0000_s1295" type="#_x0000_t109" style="position:absolute;left:0;text-align:left;margin-left:9pt;margin-top:6.95pt;width:16.7pt;height:1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" fillcolor="white [3212]" strokecolor="black [3213]" strokeweight="1.25pt">
                      <v:path arrowok="t"/>
                      <v:textbox>
                        <w:txbxContent>
                          <w:p w14:paraId="4513C21C" w14:textId="77777777" w:rsidR="009C2D83" w:rsidRDefault="009C2D83" w:rsidP="009B206C">
                            <w:pPr>
                              <w:jc w:val="center"/>
                            </w:pPr>
                          </w:p>
                        </w:txbxContent>
                      </v:textbox>
                    </v:shape>
                  </w:pict>
                </mc:Fallback>
              </mc:AlternateContent>
            </w:r>
          </w:p>
        </w:tc>
        <w:tc>
          <w:tcPr>
            <w:tcW w:w="1024" w:type="dxa"/>
            <w:shd w:val="solid" w:color="F2F2F2" w:themeColor="background1" w:themeShade="F2" w:fill="F2F2F2" w:themeFill="background1" w:themeFillShade="F2"/>
            <w:vAlign w:val="center"/>
          </w:tcPr>
          <w:p w14:paraId="39F8F9DC" w14:textId="719AC54E"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53472" behindDoc="0" locked="0" layoutInCell="1" allowOverlap="1" wp14:anchorId="13FA667A" wp14:editId="7E287844">
                      <wp:simplePos x="0" y="0"/>
                      <wp:positionH relativeFrom="column">
                        <wp:posOffset>139700</wp:posOffset>
                      </wp:positionH>
                      <wp:positionV relativeFrom="paragraph">
                        <wp:posOffset>77470</wp:posOffset>
                      </wp:positionV>
                      <wp:extent cx="212090" cy="159385"/>
                      <wp:effectExtent l="0" t="0" r="0" b="0"/>
                      <wp:wrapNone/>
                      <wp:docPr id="116" name="Organigramme : Processus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AA0DD"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FA667A" id="Organigramme : Processus 116" o:spid="_x0000_s1296" type="#_x0000_t109" style="position:absolute;left:0;text-align:left;margin-left:11pt;margin-top:6.1pt;width:16.7pt;height:1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" fillcolor="white [3212]" strokecolor="black [3213]" strokeweight="1.25pt">
                      <v:path arrowok="t"/>
                      <v:textbox>
                        <w:txbxContent>
                          <w:p w14:paraId="078AA0DD" w14:textId="77777777" w:rsidR="009C2D83" w:rsidRDefault="009C2D83" w:rsidP="009B206C">
                            <w:pPr>
                              <w:jc w:val="center"/>
                            </w:pPr>
                          </w:p>
                        </w:txbxContent>
                      </v:textbox>
                    </v:shape>
                  </w:pict>
                </mc:Fallback>
              </mc:AlternateContent>
            </w:r>
          </w:p>
        </w:tc>
      </w:tr>
      <w:tr w:rsidR="009B206C" w:rsidRPr="00F634CD" w14:paraId="4768602B" w14:textId="77777777" w:rsidTr="009B206C">
        <w:trPr>
          <w:trHeight w:val="737"/>
        </w:trPr>
        <w:tc>
          <w:tcPr>
            <w:tcW w:w="7196" w:type="dxa"/>
            <w:shd w:val="solid" w:color="F2F2F2" w:themeColor="background1" w:themeShade="F2" w:fill="F2F2F2" w:themeFill="background1" w:themeFillShade="F2"/>
            <w:vAlign w:val="center"/>
          </w:tcPr>
          <w:p w14:paraId="62734087" w14:textId="77777777" w:rsidR="009B206C" w:rsidRPr="00F634CD" w:rsidRDefault="009B206C" w:rsidP="009B206C">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Votre banque applique-elle des procédures d'identification systématique des opportunités d'investissement ?</w:t>
            </w:r>
          </w:p>
        </w:tc>
        <w:tc>
          <w:tcPr>
            <w:tcW w:w="992" w:type="dxa"/>
            <w:shd w:val="solid" w:color="F2F2F2" w:themeColor="background1" w:themeShade="F2" w:fill="F2F2F2" w:themeFill="background1" w:themeFillShade="F2"/>
            <w:vAlign w:val="center"/>
          </w:tcPr>
          <w:p w14:paraId="7A7F6DC1" w14:textId="7AB10BC5"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50400" behindDoc="0" locked="0" layoutInCell="1" allowOverlap="1" wp14:anchorId="083A2466" wp14:editId="09902A3D">
                      <wp:simplePos x="0" y="0"/>
                      <wp:positionH relativeFrom="column">
                        <wp:posOffset>111760</wp:posOffset>
                      </wp:positionH>
                      <wp:positionV relativeFrom="paragraph">
                        <wp:posOffset>59055</wp:posOffset>
                      </wp:positionV>
                      <wp:extent cx="212090" cy="159385"/>
                      <wp:effectExtent l="0" t="0" r="0" b="0"/>
                      <wp:wrapNone/>
                      <wp:docPr id="117" name="Organigramme : Processus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F0B8E"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3A2466" id="Organigramme : Processus 117" o:spid="_x0000_s1297" type="#_x0000_t109" style="position:absolute;left:0;text-align:left;margin-left:8.8pt;margin-top:4.65pt;width:16.7pt;height:1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" fillcolor="white [3212]" strokecolor="black [3213]" strokeweight="1.25pt">
                      <v:path arrowok="t"/>
                      <v:textbox>
                        <w:txbxContent>
                          <w:p w14:paraId="6A0F0B8E" w14:textId="77777777" w:rsidR="009C2D83" w:rsidRDefault="009C2D83" w:rsidP="009B206C">
                            <w:pPr>
                              <w:jc w:val="center"/>
                            </w:pPr>
                          </w:p>
                        </w:txbxContent>
                      </v:textbox>
                    </v:shape>
                  </w:pict>
                </mc:Fallback>
              </mc:AlternateContent>
            </w:r>
          </w:p>
        </w:tc>
        <w:tc>
          <w:tcPr>
            <w:tcW w:w="1024" w:type="dxa"/>
            <w:shd w:val="solid" w:color="F2F2F2" w:themeColor="background1" w:themeShade="F2" w:fill="F2F2F2" w:themeFill="background1" w:themeFillShade="F2"/>
            <w:vAlign w:val="center"/>
          </w:tcPr>
          <w:p w14:paraId="05A288D7" w14:textId="30865E39" w:rsidR="009B206C" w:rsidRPr="00F634CD" w:rsidRDefault="002C5EFF" w:rsidP="009B206C">
            <w:pPr>
              <w:tabs>
                <w:tab w:val="center" w:pos="4536"/>
              </w:tabs>
              <w:spacing w:line="360" w:lineRule="auto"/>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51424" behindDoc="0" locked="0" layoutInCell="1" allowOverlap="1" wp14:anchorId="39931ADF" wp14:editId="14B64BCB">
                      <wp:simplePos x="0" y="0"/>
                      <wp:positionH relativeFrom="column">
                        <wp:posOffset>120650</wp:posOffset>
                      </wp:positionH>
                      <wp:positionV relativeFrom="paragraph">
                        <wp:posOffset>48260</wp:posOffset>
                      </wp:positionV>
                      <wp:extent cx="212090" cy="159385"/>
                      <wp:effectExtent l="0" t="0" r="0" b="0"/>
                      <wp:wrapNone/>
                      <wp:docPr id="118" name="Organigramme : Processus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69CDA"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931ADF" id="Organigramme : Processus 118" o:spid="_x0000_s1298" type="#_x0000_t109" style="position:absolute;left:0;text-align:left;margin-left:9.5pt;margin-top:3.8pt;width:16.7pt;height:1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" fillcolor="white [3212]" strokecolor="black [3213]" strokeweight="1.25pt">
                      <v:path arrowok="t"/>
                      <v:textbox>
                        <w:txbxContent>
                          <w:p w14:paraId="21069CDA" w14:textId="77777777" w:rsidR="009C2D83" w:rsidRDefault="009C2D83" w:rsidP="009B206C">
                            <w:pPr>
                              <w:jc w:val="center"/>
                            </w:pPr>
                          </w:p>
                        </w:txbxContent>
                      </v:textbox>
                    </v:shape>
                  </w:pict>
                </mc:Fallback>
              </mc:AlternateContent>
            </w:r>
          </w:p>
        </w:tc>
      </w:tr>
    </w:tbl>
    <w:p w14:paraId="0A3E3714" w14:textId="77777777" w:rsidR="005D5B9E" w:rsidRPr="00F634CD" w:rsidRDefault="005D5B9E" w:rsidP="009B206C">
      <w:pPr>
        <w:tabs>
          <w:tab w:val="left" w:pos="3720"/>
        </w:tabs>
        <w:rPr>
          <w:rFonts w:ascii="Times New Roman" w:hAnsi="Times New Roman" w:cs="Times New Roman"/>
          <w:kern w:val="24"/>
          <w:sz w:val="24"/>
          <w:szCs w:val="24"/>
        </w:rPr>
      </w:pPr>
    </w:p>
    <w:p w14:paraId="0FD3AB7F" w14:textId="77777777" w:rsidR="005D5B9E" w:rsidRPr="00F634CD" w:rsidRDefault="005D5B9E" w:rsidP="007743E3">
      <w:pPr>
        <w:pageBreakBefore/>
        <w:tabs>
          <w:tab w:val="center" w:pos="4536"/>
        </w:tabs>
        <w:spacing w:before="100" w:beforeAutospacing="1" w:after="120"/>
        <w:rPr>
          <w:rFonts w:ascii="Times New Roman" w:hAnsi="Times New Roman" w:cs="Times New Roman"/>
          <w:b/>
          <w:bCs/>
          <w:i/>
          <w:iCs/>
          <w:kern w:val="24"/>
          <w:sz w:val="24"/>
          <w:szCs w:val="24"/>
        </w:rPr>
      </w:pPr>
      <w:r w:rsidRPr="00F634CD">
        <w:rPr>
          <w:rFonts w:ascii="Times New Roman" w:hAnsi="Times New Roman" w:cs="Times New Roman"/>
          <w:b/>
          <w:bCs/>
          <w:i/>
          <w:iCs/>
          <w:color w:val="000000"/>
          <w:kern w:val="24"/>
          <w:sz w:val="24"/>
          <w:szCs w:val="24"/>
          <w:shd w:val="clear" w:color="auto" w:fill="F8F8F8"/>
        </w:rPr>
        <w:t xml:space="preserve">IV.4 </w:t>
      </w:r>
      <w:r w:rsidRPr="00F634CD">
        <w:rPr>
          <w:rFonts w:ascii="Times New Roman" w:hAnsi="Times New Roman" w:cs="Times New Roman"/>
          <w:b/>
          <w:bCs/>
          <w:i/>
          <w:iCs/>
          <w:kern w:val="24"/>
          <w:sz w:val="24"/>
          <w:szCs w:val="24"/>
        </w:rPr>
        <w:t>Mesure et techniques d’atténuation des risques</w:t>
      </w:r>
    </w:p>
    <w:p w14:paraId="4666E793" w14:textId="77777777" w:rsidR="005D5B9E" w:rsidRPr="00F634CD" w:rsidRDefault="005D5B9E" w:rsidP="007743E3">
      <w:pPr>
        <w:tabs>
          <w:tab w:val="center" w:pos="4536"/>
        </w:tabs>
        <w:spacing w:before="120" w:after="100" w:afterAutospacing="1"/>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 xml:space="preserve">20. </w:t>
      </w:r>
      <w:r w:rsidRPr="00F634CD">
        <w:rPr>
          <w:rFonts w:ascii="Times New Roman" w:hAnsi="Times New Roman" w:cs="Times New Roman"/>
          <w:b/>
          <w:bCs/>
          <w:i/>
          <w:iCs/>
          <w:kern w:val="24"/>
          <w:sz w:val="24"/>
          <w:szCs w:val="24"/>
        </w:rPr>
        <w:t>Quelle est la fréquence de remise des rapport</w:t>
      </w:r>
      <w:r w:rsidR="00467C54" w:rsidRPr="00F634CD">
        <w:rPr>
          <w:rFonts w:ascii="Times New Roman" w:hAnsi="Times New Roman" w:cs="Times New Roman"/>
          <w:b/>
          <w:bCs/>
          <w:i/>
          <w:iCs/>
          <w:kern w:val="24"/>
          <w:sz w:val="24"/>
          <w:szCs w:val="24"/>
        </w:rPr>
        <w:t>s de risques dans votre banque ?</w:t>
      </w:r>
    </w:p>
    <w:tbl>
      <w:tblPr>
        <w:tblStyle w:val="Grilledutableau"/>
        <w:tblW w:w="0" w:type="auto"/>
        <w:shd w:val="solid" w:color="F2F2F2" w:themeColor="background1" w:themeShade="F2" w:fill="F2F2F2" w:themeFill="background1" w:themeFillShade="F2"/>
        <w:tblLayout w:type="fixed"/>
        <w:tblLook w:val="04A0" w:firstRow="1" w:lastRow="0" w:firstColumn="1" w:lastColumn="0" w:noHBand="0" w:noVBand="1"/>
      </w:tblPr>
      <w:tblGrid>
        <w:gridCol w:w="3226"/>
        <w:gridCol w:w="1132"/>
        <w:gridCol w:w="1132"/>
        <w:gridCol w:w="1274"/>
        <w:gridCol w:w="1273"/>
        <w:gridCol w:w="1132"/>
      </w:tblGrid>
      <w:tr w:rsidR="009B206C" w:rsidRPr="00F634CD" w14:paraId="345210C4" w14:textId="77777777" w:rsidTr="009B206C">
        <w:trPr>
          <w:trHeight w:val="624"/>
        </w:trPr>
        <w:tc>
          <w:tcPr>
            <w:tcW w:w="3226" w:type="dxa"/>
            <w:shd w:val="solid" w:color="F2F2F2" w:themeColor="background1" w:themeShade="F2" w:fill="F2F2F2" w:themeFill="background1" w:themeFillShade="F2"/>
          </w:tcPr>
          <w:p w14:paraId="74CED455" w14:textId="77777777" w:rsidR="009B206C" w:rsidRPr="00F634CD" w:rsidRDefault="009B206C" w:rsidP="009B206C">
            <w:pPr>
              <w:tabs>
                <w:tab w:val="center" w:pos="4536"/>
              </w:tabs>
              <w:spacing w:line="360" w:lineRule="auto"/>
              <w:rPr>
                <w:rFonts w:asciiTheme="majorBidi" w:hAnsiTheme="majorBidi" w:cstheme="majorBidi"/>
                <w:kern w:val="24"/>
                <w:sz w:val="24"/>
                <w:szCs w:val="24"/>
              </w:rPr>
            </w:pPr>
          </w:p>
        </w:tc>
        <w:tc>
          <w:tcPr>
            <w:tcW w:w="1132" w:type="dxa"/>
            <w:shd w:val="solid" w:color="F2F2F2" w:themeColor="background1" w:themeShade="F2" w:fill="F2F2F2" w:themeFill="background1" w:themeFillShade="F2"/>
            <w:vAlign w:val="center"/>
          </w:tcPr>
          <w:p w14:paraId="56F35BE5" w14:textId="271D277E" w:rsidR="009B206C" w:rsidRPr="00F634CD" w:rsidRDefault="009B206C" w:rsidP="00B43F9B">
            <w:pPr>
              <w:tabs>
                <w:tab w:val="center" w:pos="4536"/>
              </w:tabs>
              <w:jc w:val="center"/>
              <w:rPr>
                <w:rFonts w:asciiTheme="majorBidi" w:hAnsiTheme="majorBidi" w:cstheme="majorBidi"/>
                <w:kern w:val="24"/>
                <w:sz w:val="24"/>
                <w:szCs w:val="24"/>
              </w:rPr>
            </w:pPr>
            <w:r w:rsidRPr="00F634CD">
              <w:rPr>
                <w:rFonts w:asciiTheme="majorBidi" w:hAnsiTheme="majorBidi" w:cstheme="majorBidi"/>
                <w:kern w:val="24"/>
                <w:sz w:val="24"/>
                <w:szCs w:val="24"/>
              </w:rPr>
              <w:t>Chaque</w:t>
            </w:r>
            <w:r w:rsidR="00B43F9B">
              <w:rPr>
                <w:rFonts w:asciiTheme="majorBidi" w:hAnsiTheme="majorBidi" w:cstheme="majorBidi"/>
                <w:kern w:val="24"/>
                <w:sz w:val="24"/>
                <w:szCs w:val="24"/>
              </w:rPr>
              <w:t xml:space="preserve"> </w:t>
            </w:r>
            <w:r w:rsidRPr="00F634CD">
              <w:rPr>
                <w:rFonts w:asciiTheme="majorBidi" w:hAnsiTheme="majorBidi" w:cstheme="majorBidi"/>
                <w:kern w:val="24"/>
                <w:sz w:val="24"/>
                <w:szCs w:val="24"/>
              </w:rPr>
              <w:t>jour</w:t>
            </w:r>
          </w:p>
        </w:tc>
        <w:tc>
          <w:tcPr>
            <w:tcW w:w="1132" w:type="dxa"/>
            <w:shd w:val="solid" w:color="F2F2F2" w:themeColor="background1" w:themeShade="F2" w:fill="F2F2F2" w:themeFill="background1" w:themeFillShade="F2"/>
            <w:vAlign w:val="center"/>
          </w:tcPr>
          <w:p w14:paraId="507DAEF2" w14:textId="7C2AF419" w:rsidR="009B206C" w:rsidRPr="00F634CD" w:rsidRDefault="009B206C" w:rsidP="00B43F9B">
            <w:pPr>
              <w:tabs>
                <w:tab w:val="center" w:pos="4536"/>
              </w:tabs>
              <w:jc w:val="center"/>
              <w:rPr>
                <w:rFonts w:asciiTheme="majorBidi" w:hAnsiTheme="majorBidi" w:cstheme="majorBidi"/>
                <w:kern w:val="24"/>
                <w:sz w:val="24"/>
                <w:szCs w:val="24"/>
              </w:rPr>
            </w:pPr>
            <w:r w:rsidRPr="00F634CD">
              <w:rPr>
                <w:rFonts w:asciiTheme="majorBidi" w:hAnsiTheme="majorBidi" w:cstheme="majorBidi"/>
                <w:kern w:val="24"/>
                <w:sz w:val="24"/>
                <w:szCs w:val="24"/>
              </w:rPr>
              <w:t>Chaque</w:t>
            </w:r>
            <w:r w:rsidR="00B43F9B">
              <w:rPr>
                <w:rFonts w:asciiTheme="majorBidi" w:hAnsiTheme="majorBidi" w:cstheme="majorBidi"/>
                <w:kern w:val="24"/>
                <w:sz w:val="24"/>
                <w:szCs w:val="24"/>
              </w:rPr>
              <w:t xml:space="preserve"> </w:t>
            </w:r>
            <w:r w:rsidRPr="00F634CD">
              <w:rPr>
                <w:rFonts w:asciiTheme="majorBidi" w:hAnsiTheme="majorBidi" w:cstheme="majorBidi"/>
                <w:kern w:val="24"/>
                <w:sz w:val="24"/>
                <w:szCs w:val="24"/>
              </w:rPr>
              <w:t>semaine</w:t>
            </w:r>
          </w:p>
        </w:tc>
        <w:tc>
          <w:tcPr>
            <w:tcW w:w="1274" w:type="dxa"/>
            <w:shd w:val="solid" w:color="F2F2F2" w:themeColor="background1" w:themeShade="F2" w:fill="F2F2F2" w:themeFill="background1" w:themeFillShade="F2"/>
            <w:vAlign w:val="center"/>
          </w:tcPr>
          <w:p w14:paraId="183019B9" w14:textId="2AA16DA6" w:rsidR="009B206C" w:rsidRPr="00F634CD" w:rsidRDefault="009B206C" w:rsidP="00B43F9B">
            <w:pPr>
              <w:tabs>
                <w:tab w:val="center" w:pos="4536"/>
              </w:tabs>
              <w:jc w:val="center"/>
              <w:rPr>
                <w:rFonts w:asciiTheme="majorBidi" w:hAnsiTheme="majorBidi" w:cstheme="majorBidi"/>
                <w:kern w:val="24"/>
                <w:sz w:val="24"/>
                <w:szCs w:val="24"/>
              </w:rPr>
            </w:pPr>
            <w:r w:rsidRPr="00F634CD">
              <w:rPr>
                <w:rFonts w:asciiTheme="majorBidi" w:hAnsiTheme="majorBidi" w:cstheme="majorBidi"/>
                <w:kern w:val="24"/>
                <w:sz w:val="24"/>
                <w:szCs w:val="24"/>
              </w:rPr>
              <w:t>Chaque</w:t>
            </w:r>
            <w:r w:rsidR="00B43F9B">
              <w:rPr>
                <w:rFonts w:asciiTheme="majorBidi" w:hAnsiTheme="majorBidi" w:cstheme="majorBidi"/>
                <w:kern w:val="24"/>
                <w:sz w:val="24"/>
                <w:szCs w:val="24"/>
              </w:rPr>
              <w:t xml:space="preserve"> </w:t>
            </w:r>
            <w:r w:rsidRPr="00F634CD">
              <w:rPr>
                <w:rFonts w:asciiTheme="majorBidi" w:hAnsiTheme="majorBidi" w:cstheme="majorBidi"/>
                <w:kern w:val="24"/>
                <w:sz w:val="24"/>
                <w:szCs w:val="24"/>
              </w:rPr>
              <w:t>mois</w:t>
            </w:r>
          </w:p>
        </w:tc>
        <w:tc>
          <w:tcPr>
            <w:tcW w:w="1273" w:type="dxa"/>
            <w:shd w:val="solid" w:color="F2F2F2" w:themeColor="background1" w:themeShade="F2" w:fill="F2F2F2" w:themeFill="background1" w:themeFillShade="F2"/>
            <w:vAlign w:val="center"/>
          </w:tcPr>
          <w:p w14:paraId="21560565" w14:textId="0619D7FA" w:rsidR="009B206C" w:rsidRPr="00F634CD" w:rsidRDefault="009B206C" w:rsidP="00B43F9B">
            <w:pPr>
              <w:tabs>
                <w:tab w:val="center" w:pos="4536"/>
              </w:tabs>
              <w:jc w:val="center"/>
              <w:rPr>
                <w:rFonts w:asciiTheme="majorBidi" w:hAnsiTheme="majorBidi" w:cstheme="majorBidi"/>
                <w:kern w:val="24"/>
                <w:sz w:val="24"/>
                <w:szCs w:val="24"/>
              </w:rPr>
            </w:pPr>
            <w:r w:rsidRPr="00F634CD">
              <w:rPr>
                <w:rFonts w:asciiTheme="majorBidi" w:hAnsiTheme="majorBidi" w:cstheme="majorBidi"/>
                <w:kern w:val="24"/>
                <w:sz w:val="24"/>
                <w:szCs w:val="24"/>
              </w:rPr>
              <w:t>Chaque</w:t>
            </w:r>
            <w:r w:rsidR="00B43F9B">
              <w:rPr>
                <w:rFonts w:asciiTheme="majorBidi" w:hAnsiTheme="majorBidi" w:cstheme="majorBidi"/>
                <w:kern w:val="24"/>
                <w:sz w:val="24"/>
                <w:szCs w:val="24"/>
              </w:rPr>
              <w:t xml:space="preserve"> </w:t>
            </w:r>
            <w:r w:rsidRPr="00F634CD">
              <w:rPr>
                <w:rFonts w:asciiTheme="majorBidi" w:hAnsiTheme="majorBidi" w:cstheme="majorBidi"/>
                <w:kern w:val="24"/>
                <w:sz w:val="24"/>
                <w:szCs w:val="24"/>
              </w:rPr>
              <w:t>année</w:t>
            </w:r>
          </w:p>
        </w:tc>
        <w:tc>
          <w:tcPr>
            <w:tcW w:w="1132" w:type="dxa"/>
            <w:shd w:val="solid" w:color="F2F2F2" w:themeColor="background1" w:themeShade="F2" w:fill="F2F2F2" w:themeFill="background1" w:themeFillShade="F2"/>
            <w:vAlign w:val="center"/>
          </w:tcPr>
          <w:p w14:paraId="01BFC0BF" w14:textId="35F12204" w:rsidR="009B206C" w:rsidRPr="00F634CD" w:rsidRDefault="009B206C" w:rsidP="00B43F9B">
            <w:pPr>
              <w:tabs>
                <w:tab w:val="center" w:pos="4536"/>
              </w:tabs>
              <w:jc w:val="center"/>
              <w:rPr>
                <w:rFonts w:asciiTheme="majorBidi" w:hAnsiTheme="majorBidi" w:cstheme="majorBidi"/>
                <w:kern w:val="24"/>
                <w:sz w:val="24"/>
                <w:szCs w:val="24"/>
              </w:rPr>
            </w:pPr>
            <w:r w:rsidRPr="00F634CD">
              <w:rPr>
                <w:rFonts w:asciiTheme="majorBidi" w:hAnsiTheme="majorBidi" w:cstheme="majorBidi"/>
                <w:kern w:val="24"/>
                <w:sz w:val="24"/>
                <w:szCs w:val="24"/>
              </w:rPr>
              <w:t>Jamais</w:t>
            </w:r>
            <w:r w:rsidR="00B43F9B">
              <w:rPr>
                <w:rFonts w:asciiTheme="majorBidi" w:hAnsiTheme="majorBidi" w:cstheme="majorBidi"/>
                <w:kern w:val="24"/>
                <w:sz w:val="24"/>
                <w:szCs w:val="24"/>
              </w:rPr>
              <w:t xml:space="preserve"> </w:t>
            </w:r>
          </w:p>
        </w:tc>
      </w:tr>
      <w:tr w:rsidR="009B206C" w:rsidRPr="00F634CD" w14:paraId="68E93EF7" w14:textId="77777777" w:rsidTr="002814F3">
        <w:trPr>
          <w:trHeight w:val="624"/>
        </w:trPr>
        <w:tc>
          <w:tcPr>
            <w:tcW w:w="3226" w:type="dxa"/>
            <w:shd w:val="solid" w:color="F2F2F2" w:themeColor="background1" w:themeShade="F2" w:fill="F2F2F2" w:themeFill="background1" w:themeFillShade="F2"/>
            <w:vAlign w:val="center"/>
          </w:tcPr>
          <w:p w14:paraId="4B59FD95" w14:textId="77777777" w:rsidR="009B206C" w:rsidRPr="00F634CD" w:rsidRDefault="009B206C" w:rsidP="002814F3">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Exigences de capital</w:t>
            </w:r>
          </w:p>
        </w:tc>
        <w:tc>
          <w:tcPr>
            <w:tcW w:w="1132" w:type="dxa"/>
            <w:shd w:val="solid" w:color="F2F2F2" w:themeColor="background1" w:themeShade="F2" w:fill="F2F2F2" w:themeFill="background1" w:themeFillShade="F2"/>
          </w:tcPr>
          <w:p w14:paraId="56620775" w14:textId="3EF86B3D"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56544" behindDoc="0" locked="0" layoutInCell="1" allowOverlap="1" wp14:anchorId="5B7AB13B" wp14:editId="05D106A4">
                      <wp:simplePos x="0" y="0"/>
                      <wp:positionH relativeFrom="column">
                        <wp:posOffset>177165</wp:posOffset>
                      </wp:positionH>
                      <wp:positionV relativeFrom="paragraph">
                        <wp:posOffset>141605</wp:posOffset>
                      </wp:positionV>
                      <wp:extent cx="212090" cy="159385"/>
                      <wp:effectExtent l="0" t="0" r="0" b="0"/>
                      <wp:wrapNone/>
                      <wp:docPr id="131" name="Organigramme : Processus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7C83C"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B13B" id="Organigramme : Processus 131" o:spid="_x0000_s1299" type="#_x0000_t109" style="position:absolute;left:0;text-align:left;margin-left:13.95pt;margin-top:11.15pt;width:16.7pt;height:1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" fillcolor="white [3212]" strokecolor="black [3213]" strokeweight="1.25pt">
                      <v:path arrowok="t"/>
                      <v:textbox>
                        <w:txbxContent>
                          <w:p w14:paraId="6E47C83C"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09C4F48A" w14:textId="5DFD7E80"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59616" behindDoc="0" locked="0" layoutInCell="1" allowOverlap="1" wp14:anchorId="0CEE0492" wp14:editId="22136B06">
                      <wp:simplePos x="0" y="0"/>
                      <wp:positionH relativeFrom="column">
                        <wp:posOffset>136525</wp:posOffset>
                      </wp:positionH>
                      <wp:positionV relativeFrom="paragraph">
                        <wp:posOffset>149225</wp:posOffset>
                      </wp:positionV>
                      <wp:extent cx="212090" cy="159385"/>
                      <wp:effectExtent l="0" t="0" r="0" b="0"/>
                      <wp:wrapNone/>
                      <wp:docPr id="132" name="Organigramme : Processus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4BF4E"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EE0492" id="Organigramme : Processus 132" o:spid="_x0000_s1300" type="#_x0000_t109" style="position:absolute;left:0;text-align:left;margin-left:10.75pt;margin-top:11.75pt;width:16.7pt;height:1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" fillcolor="white [3212]" strokecolor="black [3213]" strokeweight="1.25pt">
                      <v:path arrowok="t"/>
                      <v:textbox>
                        <w:txbxContent>
                          <w:p w14:paraId="0004BF4E" w14:textId="77777777" w:rsidR="009C2D83" w:rsidRDefault="009C2D83" w:rsidP="009B206C">
                            <w:pPr>
                              <w:jc w:val="center"/>
                            </w:pPr>
                          </w:p>
                        </w:txbxContent>
                      </v:textbox>
                    </v:shape>
                  </w:pict>
                </mc:Fallback>
              </mc:AlternateContent>
            </w:r>
          </w:p>
        </w:tc>
        <w:tc>
          <w:tcPr>
            <w:tcW w:w="1274" w:type="dxa"/>
            <w:shd w:val="solid" w:color="F2F2F2" w:themeColor="background1" w:themeShade="F2" w:fill="F2F2F2" w:themeFill="background1" w:themeFillShade="F2"/>
          </w:tcPr>
          <w:p w14:paraId="63E60E39" w14:textId="5AF0996F"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81120" behindDoc="0" locked="0" layoutInCell="1" allowOverlap="1" wp14:anchorId="22320A3E" wp14:editId="229C22D2">
                      <wp:simplePos x="0" y="0"/>
                      <wp:positionH relativeFrom="column">
                        <wp:posOffset>175895</wp:posOffset>
                      </wp:positionH>
                      <wp:positionV relativeFrom="paragraph">
                        <wp:posOffset>146685</wp:posOffset>
                      </wp:positionV>
                      <wp:extent cx="212090" cy="159385"/>
                      <wp:effectExtent l="0" t="0" r="0" b="0"/>
                      <wp:wrapNone/>
                      <wp:docPr id="161" name="Organigramme : Processus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77205"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320A3E" id="Organigramme : Processus 161" o:spid="_x0000_s1301" type="#_x0000_t109" style="position:absolute;left:0;text-align:left;margin-left:13.85pt;margin-top:11.55pt;width:16.7pt;height:1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" fillcolor="white [3212]" strokecolor="black [3213]" strokeweight="1.25pt">
                      <v:path arrowok="t"/>
                      <v:textbox>
                        <w:txbxContent>
                          <w:p w14:paraId="19A77205" w14:textId="77777777" w:rsidR="009C2D83" w:rsidRDefault="009C2D83" w:rsidP="009B206C">
                            <w:pPr>
                              <w:jc w:val="center"/>
                            </w:pPr>
                          </w:p>
                        </w:txbxContent>
                      </v:textbox>
                    </v:shape>
                  </w:pict>
                </mc:Fallback>
              </mc:AlternateContent>
            </w:r>
          </w:p>
        </w:tc>
        <w:tc>
          <w:tcPr>
            <w:tcW w:w="1273" w:type="dxa"/>
            <w:shd w:val="solid" w:color="F2F2F2" w:themeColor="background1" w:themeShade="F2" w:fill="F2F2F2" w:themeFill="background1" w:themeFillShade="F2"/>
          </w:tcPr>
          <w:p w14:paraId="0BBC947A" w14:textId="5FCBFF5D"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60640" behindDoc="0" locked="0" layoutInCell="1" allowOverlap="1" wp14:anchorId="74BF9EA6" wp14:editId="58917896">
                      <wp:simplePos x="0" y="0"/>
                      <wp:positionH relativeFrom="column">
                        <wp:posOffset>210820</wp:posOffset>
                      </wp:positionH>
                      <wp:positionV relativeFrom="paragraph">
                        <wp:posOffset>153035</wp:posOffset>
                      </wp:positionV>
                      <wp:extent cx="212090" cy="159385"/>
                      <wp:effectExtent l="0" t="0" r="0" b="0"/>
                      <wp:wrapNone/>
                      <wp:docPr id="133" name="Organigramme : Processus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F7D47"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BF9EA6" id="Organigramme : Processus 133" o:spid="_x0000_s1302" type="#_x0000_t109" style="position:absolute;left:0;text-align:left;margin-left:16.6pt;margin-top:12.05pt;width:16.7pt;height:1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" fillcolor="white [3212]" strokecolor="black [3213]" strokeweight="1.25pt">
                      <v:path arrowok="t"/>
                      <v:textbox>
                        <w:txbxContent>
                          <w:p w14:paraId="41FF7D47"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5C98B1C8" w14:textId="0EFD2F91"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61664" behindDoc="0" locked="0" layoutInCell="1" allowOverlap="1" wp14:anchorId="763633FF" wp14:editId="61B24490">
                      <wp:simplePos x="0" y="0"/>
                      <wp:positionH relativeFrom="column">
                        <wp:posOffset>147320</wp:posOffset>
                      </wp:positionH>
                      <wp:positionV relativeFrom="paragraph">
                        <wp:posOffset>160655</wp:posOffset>
                      </wp:positionV>
                      <wp:extent cx="212090" cy="159385"/>
                      <wp:effectExtent l="0" t="0" r="0" b="0"/>
                      <wp:wrapNone/>
                      <wp:docPr id="134" name="Organigramme : Processus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EAFD6"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633FF" id="Organigramme : Processus 134" o:spid="_x0000_s1303" type="#_x0000_t109" style="position:absolute;left:0;text-align:left;margin-left:11.6pt;margin-top:12.65pt;width:16.7pt;height:1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" fillcolor="white [3212]" strokecolor="black [3213]" strokeweight="1.25pt">
                      <v:path arrowok="t"/>
                      <v:textbox>
                        <w:txbxContent>
                          <w:p w14:paraId="224EAFD6" w14:textId="77777777" w:rsidR="009C2D83" w:rsidRDefault="009C2D83" w:rsidP="009B206C">
                            <w:pPr>
                              <w:jc w:val="center"/>
                            </w:pPr>
                          </w:p>
                        </w:txbxContent>
                      </v:textbox>
                    </v:shape>
                  </w:pict>
                </mc:Fallback>
              </mc:AlternateContent>
            </w:r>
          </w:p>
        </w:tc>
      </w:tr>
      <w:tr w:rsidR="009B206C" w:rsidRPr="00F634CD" w14:paraId="21FFA788" w14:textId="77777777" w:rsidTr="002814F3">
        <w:trPr>
          <w:trHeight w:val="624"/>
        </w:trPr>
        <w:tc>
          <w:tcPr>
            <w:tcW w:w="3226" w:type="dxa"/>
            <w:shd w:val="solid" w:color="F2F2F2" w:themeColor="background1" w:themeShade="F2" w:fill="F2F2F2" w:themeFill="background1" w:themeFillShade="F2"/>
            <w:vAlign w:val="center"/>
          </w:tcPr>
          <w:p w14:paraId="5721667E" w14:textId="77777777" w:rsidR="009B206C" w:rsidRPr="00F634CD" w:rsidRDefault="009B206C" w:rsidP="002814F3">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Risque de crédit</w:t>
            </w:r>
          </w:p>
        </w:tc>
        <w:tc>
          <w:tcPr>
            <w:tcW w:w="1132" w:type="dxa"/>
            <w:shd w:val="solid" w:color="F2F2F2" w:themeColor="background1" w:themeShade="F2" w:fill="F2F2F2" w:themeFill="background1" w:themeFillShade="F2"/>
          </w:tcPr>
          <w:p w14:paraId="3765C4AB" w14:textId="43165806"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57568" behindDoc="0" locked="0" layoutInCell="1" allowOverlap="1" wp14:anchorId="1875BAD8" wp14:editId="1D904791">
                      <wp:simplePos x="0" y="0"/>
                      <wp:positionH relativeFrom="column">
                        <wp:posOffset>160020</wp:posOffset>
                      </wp:positionH>
                      <wp:positionV relativeFrom="paragraph">
                        <wp:posOffset>150495</wp:posOffset>
                      </wp:positionV>
                      <wp:extent cx="212090" cy="159385"/>
                      <wp:effectExtent l="0" t="0" r="0" b="0"/>
                      <wp:wrapNone/>
                      <wp:docPr id="136" name="Organigramme : Processus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8C9AB"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75BAD8" id="Organigramme : Processus 136" o:spid="_x0000_s1304" type="#_x0000_t109" style="position:absolute;left:0;text-align:left;margin-left:12.6pt;margin-top:11.85pt;width:16.7pt;height:1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" fillcolor="white [3212]" strokecolor="black [3213]" strokeweight="1.25pt">
                      <v:path arrowok="t"/>
                      <v:textbox>
                        <w:txbxContent>
                          <w:p w14:paraId="3BB8C9AB"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5636A63E" w14:textId="417DED78"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62688" behindDoc="0" locked="0" layoutInCell="1" allowOverlap="1" wp14:anchorId="778DB806" wp14:editId="7FE9A578">
                      <wp:simplePos x="0" y="0"/>
                      <wp:positionH relativeFrom="column">
                        <wp:posOffset>127000</wp:posOffset>
                      </wp:positionH>
                      <wp:positionV relativeFrom="paragraph">
                        <wp:posOffset>161290</wp:posOffset>
                      </wp:positionV>
                      <wp:extent cx="212090" cy="159385"/>
                      <wp:effectExtent l="0" t="0" r="0" b="0"/>
                      <wp:wrapNone/>
                      <wp:docPr id="1571" name="Organigramme : Processus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1ADFF"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8DB806" id="Organigramme : Processus 137" o:spid="_x0000_s1305" type="#_x0000_t109" style="position:absolute;left:0;text-align:left;margin-left:10pt;margin-top:12.7pt;width:16.7pt;height:1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" fillcolor="white [3212]" strokecolor="black [3213]" strokeweight="1.25pt">
                      <v:path arrowok="t"/>
                      <v:textbox>
                        <w:txbxContent>
                          <w:p w14:paraId="7371ADFF" w14:textId="77777777" w:rsidR="009C2D83" w:rsidRDefault="009C2D83" w:rsidP="009B206C">
                            <w:pPr>
                              <w:jc w:val="center"/>
                            </w:pPr>
                          </w:p>
                        </w:txbxContent>
                      </v:textbox>
                    </v:shape>
                  </w:pict>
                </mc:Fallback>
              </mc:AlternateContent>
            </w:r>
          </w:p>
        </w:tc>
        <w:tc>
          <w:tcPr>
            <w:tcW w:w="1274" w:type="dxa"/>
            <w:shd w:val="solid" w:color="F2F2F2" w:themeColor="background1" w:themeShade="F2" w:fill="F2F2F2" w:themeFill="background1" w:themeFillShade="F2"/>
          </w:tcPr>
          <w:p w14:paraId="0994755D" w14:textId="6C9492BA"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82144" behindDoc="0" locked="0" layoutInCell="1" allowOverlap="1" wp14:anchorId="12D9A9EE" wp14:editId="7F29404C">
                      <wp:simplePos x="0" y="0"/>
                      <wp:positionH relativeFrom="column">
                        <wp:posOffset>166370</wp:posOffset>
                      </wp:positionH>
                      <wp:positionV relativeFrom="paragraph">
                        <wp:posOffset>146685</wp:posOffset>
                      </wp:positionV>
                      <wp:extent cx="212090" cy="159385"/>
                      <wp:effectExtent l="0" t="0" r="0" b="0"/>
                      <wp:wrapNone/>
                      <wp:docPr id="162" name="Organigramme : Processus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A6F46"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D9A9EE" id="Organigramme : Processus 162" o:spid="_x0000_s1306" type="#_x0000_t109" style="position:absolute;left:0;text-align:left;margin-left:13.1pt;margin-top:11.55pt;width:16.7pt;height:1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" fillcolor="white [3212]" strokecolor="black [3213]" strokeweight="1.25pt">
                      <v:path arrowok="t"/>
                      <v:textbox>
                        <w:txbxContent>
                          <w:p w14:paraId="392A6F46" w14:textId="77777777" w:rsidR="009C2D83" w:rsidRDefault="009C2D83" w:rsidP="009B206C">
                            <w:pPr>
                              <w:jc w:val="center"/>
                            </w:pPr>
                          </w:p>
                        </w:txbxContent>
                      </v:textbox>
                    </v:shape>
                  </w:pict>
                </mc:Fallback>
              </mc:AlternateContent>
            </w:r>
          </w:p>
        </w:tc>
        <w:tc>
          <w:tcPr>
            <w:tcW w:w="1273" w:type="dxa"/>
            <w:shd w:val="solid" w:color="F2F2F2" w:themeColor="background1" w:themeShade="F2" w:fill="F2F2F2" w:themeFill="background1" w:themeFillShade="F2"/>
          </w:tcPr>
          <w:p w14:paraId="1F672649" w14:textId="2408A3B2"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63712" behindDoc="0" locked="0" layoutInCell="1" allowOverlap="1" wp14:anchorId="4358CABB" wp14:editId="5128C489">
                      <wp:simplePos x="0" y="0"/>
                      <wp:positionH relativeFrom="column">
                        <wp:posOffset>185420</wp:posOffset>
                      </wp:positionH>
                      <wp:positionV relativeFrom="paragraph">
                        <wp:posOffset>135255</wp:posOffset>
                      </wp:positionV>
                      <wp:extent cx="212090" cy="159385"/>
                      <wp:effectExtent l="0" t="0" r="0" b="0"/>
                      <wp:wrapNone/>
                      <wp:docPr id="138" name="Organigramme : Processus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595AC"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58CABB" id="Organigramme : Processus 138" o:spid="_x0000_s1307" type="#_x0000_t109" style="position:absolute;left:0;text-align:left;margin-left:14.6pt;margin-top:10.65pt;width:16.7pt;height:1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" fillcolor="white [3212]" strokecolor="black [3213]" strokeweight="1.25pt">
                      <v:path arrowok="t"/>
                      <v:textbox>
                        <w:txbxContent>
                          <w:p w14:paraId="6D0595AC"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53348C85" w14:textId="60B22E9C"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64736" behindDoc="0" locked="0" layoutInCell="1" allowOverlap="1" wp14:anchorId="40663569" wp14:editId="7DEF4EE2">
                      <wp:simplePos x="0" y="0"/>
                      <wp:positionH relativeFrom="column">
                        <wp:posOffset>127635</wp:posOffset>
                      </wp:positionH>
                      <wp:positionV relativeFrom="paragraph">
                        <wp:posOffset>166370</wp:posOffset>
                      </wp:positionV>
                      <wp:extent cx="212090" cy="159385"/>
                      <wp:effectExtent l="0" t="0" r="0" b="0"/>
                      <wp:wrapNone/>
                      <wp:docPr id="139" name="Organigramme : Processus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473B5"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663569" id="Organigramme : Processus 139" o:spid="_x0000_s1308" type="#_x0000_t109" style="position:absolute;left:0;text-align:left;margin-left:10.05pt;margin-top:13.1pt;width:16.7pt;height:1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" fillcolor="white [3212]" strokecolor="black [3213]" strokeweight="1.25pt">
                      <v:path arrowok="t"/>
                      <v:textbox>
                        <w:txbxContent>
                          <w:p w14:paraId="1B0473B5" w14:textId="77777777" w:rsidR="009C2D83" w:rsidRDefault="009C2D83" w:rsidP="009B206C">
                            <w:pPr>
                              <w:jc w:val="center"/>
                            </w:pPr>
                          </w:p>
                        </w:txbxContent>
                      </v:textbox>
                    </v:shape>
                  </w:pict>
                </mc:Fallback>
              </mc:AlternateContent>
            </w:r>
          </w:p>
        </w:tc>
      </w:tr>
      <w:tr w:rsidR="009B206C" w:rsidRPr="00F634CD" w14:paraId="3552623A" w14:textId="77777777" w:rsidTr="002814F3">
        <w:trPr>
          <w:trHeight w:val="624"/>
        </w:trPr>
        <w:tc>
          <w:tcPr>
            <w:tcW w:w="3226" w:type="dxa"/>
            <w:shd w:val="solid" w:color="F2F2F2" w:themeColor="background1" w:themeShade="F2" w:fill="F2F2F2" w:themeFill="background1" w:themeFillShade="F2"/>
            <w:vAlign w:val="center"/>
          </w:tcPr>
          <w:p w14:paraId="67CABE62" w14:textId="77777777" w:rsidR="009B206C" w:rsidRPr="00F634CD" w:rsidRDefault="009B206C" w:rsidP="002814F3">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Risque de liquidité</w:t>
            </w:r>
          </w:p>
        </w:tc>
        <w:tc>
          <w:tcPr>
            <w:tcW w:w="1132" w:type="dxa"/>
            <w:shd w:val="solid" w:color="F2F2F2" w:themeColor="background1" w:themeShade="F2" w:fill="F2F2F2" w:themeFill="background1" w:themeFillShade="F2"/>
          </w:tcPr>
          <w:p w14:paraId="67F6955C" w14:textId="59016DF8"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76000" behindDoc="0" locked="0" layoutInCell="1" allowOverlap="1" wp14:anchorId="2C1BCFF1" wp14:editId="58192DDD">
                      <wp:simplePos x="0" y="0"/>
                      <wp:positionH relativeFrom="column">
                        <wp:posOffset>176530</wp:posOffset>
                      </wp:positionH>
                      <wp:positionV relativeFrom="paragraph">
                        <wp:posOffset>136525</wp:posOffset>
                      </wp:positionV>
                      <wp:extent cx="212090" cy="159385"/>
                      <wp:effectExtent l="0" t="0" r="0" b="0"/>
                      <wp:wrapNone/>
                      <wp:docPr id="141" name="Organigramme : Processus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0E7D6"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1BCFF1" id="Organigramme : Processus 141" o:spid="_x0000_s1309" type="#_x0000_t109" style="position:absolute;left:0;text-align:left;margin-left:13.9pt;margin-top:10.75pt;width:16.7pt;height:1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" fillcolor="white [3212]" strokecolor="black [3213]" strokeweight="1.25pt">
                      <v:path arrowok="t"/>
                      <v:textbox>
                        <w:txbxContent>
                          <w:p w14:paraId="2FF0E7D6"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79CCC981" w14:textId="54E9B26D"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65760" behindDoc="0" locked="0" layoutInCell="1" allowOverlap="1" wp14:anchorId="42051F60" wp14:editId="415E2CCE">
                      <wp:simplePos x="0" y="0"/>
                      <wp:positionH relativeFrom="column">
                        <wp:posOffset>108585</wp:posOffset>
                      </wp:positionH>
                      <wp:positionV relativeFrom="paragraph">
                        <wp:posOffset>152400</wp:posOffset>
                      </wp:positionV>
                      <wp:extent cx="212090" cy="159385"/>
                      <wp:effectExtent l="0" t="0" r="0" b="0"/>
                      <wp:wrapNone/>
                      <wp:docPr id="142" name="Organigramme : Processus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D04F6"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51F60" id="Organigramme : Processus 142" o:spid="_x0000_s1310" type="#_x0000_t109" style="position:absolute;left:0;text-align:left;margin-left:8.55pt;margin-top:12pt;width:16.7pt;height:1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" fillcolor="white [3212]" strokecolor="black [3213]" strokeweight="1.25pt">
                      <v:path arrowok="t"/>
                      <v:textbox>
                        <w:txbxContent>
                          <w:p w14:paraId="7CED04F6" w14:textId="77777777" w:rsidR="009C2D83" w:rsidRDefault="009C2D83" w:rsidP="009B206C">
                            <w:pPr>
                              <w:jc w:val="center"/>
                            </w:pPr>
                          </w:p>
                        </w:txbxContent>
                      </v:textbox>
                    </v:shape>
                  </w:pict>
                </mc:Fallback>
              </mc:AlternateContent>
            </w:r>
          </w:p>
        </w:tc>
        <w:tc>
          <w:tcPr>
            <w:tcW w:w="1274" w:type="dxa"/>
            <w:shd w:val="solid" w:color="F2F2F2" w:themeColor="background1" w:themeShade="F2" w:fill="F2F2F2" w:themeFill="background1" w:themeFillShade="F2"/>
          </w:tcPr>
          <w:p w14:paraId="405B46F6" w14:textId="59498F3F"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83168" behindDoc="0" locked="0" layoutInCell="1" allowOverlap="1" wp14:anchorId="59918302" wp14:editId="1E20542A">
                      <wp:simplePos x="0" y="0"/>
                      <wp:positionH relativeFrom="column">
                        <wp:posOffset>178435</wp:posOffset>
                      </wp:positionH>
                      <wp:positionV relativeFrom="paragraph">
                        <wp:posOffset>138430</wp:posOffset>
                      </wp:positionV>
                      <wp:extent cx="212090" cy="159385"/>
                      <wp:effectExtent l="0" t="0" r="0" b="0"/>
                      <wp:wrapNone/>
                      <wp:docPr id="163" name="Organigramme : Processus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802AF"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918302" id="Organigramme : Processus 163" o:spid="_x0000_s1311" type="#_x0000_t109" style="position:absolute;left:0;text-align:left;margin-left:14.05pt;margin-top:10.9pt;width:16.7pt;height:1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" fillcolor="white [3212]" strokecolor="black [3213]" strokeweight="1.25pt">
                      <v:path arrowok="t"/>
                      <v:textbox>
                        <w:txbxContent>
                          <w:p w14:paraId="70D802AF" w14:textId="77777777" w:rsidR="009C2D83" w:rsidRDefault="009C2D83" w:rsidP="009B206C">
                            <w:pPr>
                              <w:jc w:val="center"/>
                            </w:pPr>
                          </w:p>
                        </w:txbxContent>
                      </v:textbox>
                    </v:shape>
                  </w:pict>
                </mc:Fallback>
              </mc:AlternateContent>
            </w:r>
          </w:p>
        </w:tc>
        <w:tc>
          <w:tcPr>
            <w:tcW w:w="1273" w:type="dxa"/>
            <w:shd w:val="solid" w:color="F2F2F2" w:themeColor="background1" w:themeShade="F2" w:fill="F2F2F2" w:themeFill="background1" w:themeFillShade="F2"/>
          </w:tcPr>
          <w:p w14:paraId="08BE10D4" w14:textId="5CFF67A2"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66784" behindDoc="0" locked="0" layoutInCell="1" allowOverlap="1" wp14:anchorId="3E5BDB76" wp14:editId="4E563A17">
                      <wp:simplePos x="0" y="0"/>
                      <wp:positionH relativeFrom="column">
                        <wp:posOffset>180340</wp:posOffset>
                      </wp:positionH>
                      <wp:positionV relativeFrom="paragraph">
                        <wp:posOffset>145415</wp:posOffset>
                      </wp:positionV>
                      <wp:extent cx="212090" cy="159385"/>
                      <wp:effectExtent l="0" t="0" r="0" b="0"/>
                      <wp:wrapNone/>
                      <wp:docPr id="143" name="Organigramme : Processus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7AEF0"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5BDB76" id="Organigramme : Processus 143" o:spid="_x0000_s1312" type="#_x0000_t109" style="position:absolute;left:0;text-align:left;margin-left:14.2pt;margin-top:11.45pt;width:16.7pt;height:1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" fillcolor="white [3212]" strokecolor="black [3213]" strokeweight="1.25pt">
                      <v:path arrowok="t"/>
                      <v:textbox>
                        <w:txbxContent>
                          <w:p w14:paraId="58D7AEF0"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7E985719" w14:textId="602235F5"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67808" behindDoc="0" locked="0" layoutInCell="1" allowOverlap="1" wp14:anchorId="64FF21BF" wp14:editId="49731CBC">
                      <wp:simplePos x="0" y="0"/>
                      <wp:positionH relativeFrom="column">
                        <wp:posOffset>128905</wp:posOffset>
                      </wp:positionH>
                      <wp:positionV relativeFrom="paragraph">
                        <wp:posOffset>146050</wp:posOffset>
                      </wp:positionV>
                      <wp:extent cx="212090" cy="159385"/>
                      <wp:effectExtent l="0" t="0" r="0" b="0"/>
                      <wp:wrapNone/>
                      <wp:docPr id="144" name="Organigramme : Processus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B821B"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FF21BF" id="Organigramme : Processus 144" o:spid="_x0000_s1313" type="#_x0000_t109" style="position:absolute;left:0;text-align:left;margin-left:10.15pt;margin-top:11.5pt;width:16.7pt;height:1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" fillcolor="white [3212]" strokecolor="black [3213]" strokeweight="1.25pt">
                      <v:path arrowok="t"/>
                      <v:textbox>
                        <w:txbxContent>
                          <w:p w14:paraId="0A3B821B" w14:textId="77777777" w:rsidR="009C2D83" w:rsidRDefault="009C2D83" w:rsidP="009B206C">
                            <w:pPr>
                              <w:jc w:val="center"/>
                            </w:pPr>
                          </w:p>
                        </w:txbxContent>
                      </v:textbox>
                    </v:shape>
                  </w:pict>
                </mc:Fallback>
              </mc:AlternateContent>
            </w:r>
          </w:p>
        </w:tc>
      </w:tr>
      <w:tr w:rsidR="009B206C" w:rsidRPr="00F634CD" w14:paraId="0BECC69B" w14:textId="77777777" w:rsidTr="002814F3">
        <w:trPr>
          <w:trHeight w:val="624"/>
        </w:trPr>
        <w:tc>
          <w:tcPr>
            <w:tcW w:w="3226" w:type="dxa"/>
            <w:shd w:val="solid" w:color="F2F2F2" w:themeColor="background1" w:themeShade="F2" w:fill="F2F2F2" w:themeFill="background1" w:themeFillShade="F2"/>
            <w:vAlign w:val="center"/>
          </w:tcPr>
          <w:p w14:paraId="348F268F" w14:textId="77777777" w:rsidR="009B206C" w:rsidRPr="00F634CD" w:rsidRDefault="009B206C" w:rsidP="002814F3">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Risque du taux de profit</w:t>
            </w:r>
          </w:p>
        </w:tc>
        <w:tc>
          <w:tcPr>
            <w:tcW w:w="1132" w:type="dxa"/>
            <w:shd w:val="solid" w:color="F2F2F2" w:themeColor="background1" w:themeShade="F2" w:fill="F2F2F2" w:themeFill="background1" w:themeFillShade="F2"/>
          </w:tcPr>
          <w:p w14:paraId="72C70D78" w14:textId="17A8D026"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68832" behindDoc="0" locked="0" layoutInCell="1" allowOverlap="1" wp14:anchorId="2ABE7B19" wp14:editId="5E9866B3">
                      <wp:simplePos x="0" y="0"/>
                      <wp:positionH relativeFrom="column">
                        <wp:posOffset>185420</wp:posOffset>
                      </wp:positionH>
                      <wp:positionV relativeFrom="paragraph">
                        <wp:posOffset>132080</wp:posOffset>
                      </wp:positionV>
                      <wp:extent cx="212090" cy="159385"/>
                      <wp:effectExtent l="0" t="0" r="0" b="0"/>
                      <wp:wrapNone/>
                      <wp:docPr id="146" name="Organigramme : Processus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011E3"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E7B19" id="Organigramme : Processus 146" o:spid="_x0000_s1314" type="#_x0000_t109" style="position:absolute;left:0;text-align:left;margin-left:14.6pt;margin-top:10.4pt;width:16.7pt;height:1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" fillcolor="white [3212]" strokecolor="black [3213]" strokeweight="1.25pt">
                      <v:path arrowok="t"/>
                      <v:textbox>
                        <w:txbxContent>
                          <w:p w14:paraId="62B011E3"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595CA669" w14:textId="060E21E0"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71904" behindDoc="0" locked="0" layoutInCell="1" allowOverlap="1" wp14:anchorId="68853855" wp14:editId="79B73F8E">
                      <wp:simplePos x="0" y="0"/>
                      <wp:positionH relativeFrom="column">
                        <wp:posOffset>135890</wp:posOffset>
                      </wp:positionH>
                      <wp:positionV relativeFrom="paragraph">
                        <wp:posOffset>142875</wp:posOffset>
                      </wp:positionV>
                      <wp:extent cx="212090" cy="159385"/>
                      <wp:effectExtent l="0" t="0" r="0" b="0"/>
                      <wp:wrapNone/>
                      <wp:docPr id="147" name="Organigramme : Processus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8FA58"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853855" id="Organigramme : Processus 147" o:spid="_x0000_s1315" type="#_x0000_t109" style="position:absolute;left:0;text-align:left;margin-left:10.7pt;margin-top:11.25pt;width:16.7pt;height:1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" fillcolor="white [3212]" strokecolor="black [3213]" strokeweight="1.25pt">
                      <v:path arrowok="t"/>
                      <v:textbox>
                        <w:txbxContent>
                          <w:p w14:paraId="1B38FA58" w14:textId="77777777" w:rsidR="009C2D83" w:rsidRDefault="009C2D83" w:rsidP="009B206C">
                            <w:pPr>
                              <w:jc w:val="center"/>
                            </w:pPr>
                          </w:p>
                        </w:txbxContent>
                      </v:textbox>
                    </v:shape>
                  </w:pict>
                </mc:Fallback>
              </mc:AlternateContent>
            </w:r>
          </w:p>
        </w:tc>
        <w:tc>
          <w:tcPr>
            <w:tcW w:w="1274" w:type="dxa"/>
            <w:shd w:val="solid" w:color="F2F2F2" w:themeColor="background1" w:themeShade="F2" w:fill="F2F2F2" w:themeFill="background1" w:themeFillShade="F2"/>
          </w:tcPr>
          <w:p w14:paraId="5268E0B0" w14:textId="321544AB"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84192" behindDoc="0" locked="0" layoutInCell="1" allowOverlap="1" wp14:anchorId="59CF154E" wp14:editId="00B16FA9">
                      <wp:simplePos x="0" y="0"/>
                      <wp:positionH relativeFrom="column">
                        <wp:posOffset>185420</wp:posOffset>
                      </wp:positionH>
                      <wp:positionV relativeFrom="paragraph">
                        <wp:posOffset>133350</wp:posOffset>
                      </wp:positionV>
                      <wp:extent cx="212090" cy="159385"/>
                      <wp:effectExtent l="0" t="0" r="0" b="0"/>
                      <wp:wrapNone/>
                      <wp:docPr id="164" name="Organigramme : Processus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510C0"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CF154E" id="Organigramme : Processus 164" o:spid="_x0000_s1316" type="#_x0000_t109" style="position:absolute;left:0;text-align:left;margin-left:14.6pt;margin-top:10.5pt;width:16.7pt;height:1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" fillcolor="white [3212]" strokecolor="black [3213]" strokeweight="1.25pt">
                      <v:path arrowok="t"/>
                      <v:textbox>
                        <w:txbxContent>
                          <w:p w14:paraId="40C510C0" w14:textId="77777777" w:rsidR="009C2D83" w:rsidRDefault="009C2D83" w:rsidP="009B206C">
                            <w:pPr>
                              <w:jc w:val="center"/>
                            </w:pPr>
                          </w:p>
                        </w:txbxContent>
                      </v:textbox>
                    </v:shape>
                  </w:pict>
                </mc:Fallback>
              </mc:AlternateContent>
            </w:r>
          </w:p>
        </w:tc>
        <w:tc>
          <w:tcPr>
            <w:tcW w:w="1273" w:type="dxa"/>
            <w:shd w:val="solid" w:color="F2F2F2" w:themeColor="background1" w:themeShade="F2" w:fill="F2F2F2" w:themeFill="background1" w:themeFillShade="F2"/>
          </w:tcPr>
          <w:p w14:paraId="1C8091E9" w14:textId="719A4F7C"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74976" behindDoc="0" locked="0" layoutInCell="1" allowOverlap="1" wp14:anchorId="787137E9" wp14:editId="0CAA054F">
                      <wp:simplePos x="0" y="0"/>
                      <wp:positionH relativeFrom="column">
                        <wp:posOffset>186690</wp:posOffset>
                      </wp:positionH>
                      <wp:positionV relativeFrom="paragraph">
                        <wp:posOffset>135890</wp:posOffset>
                      </wp:positionV>
                      <wp:extent cx="212090" cy="159385"/>
                      <wp:effectExtent l="0" t="0" r="0" b="0"/>
                      <wp:wrapNone/>
                      <wp:docPr id="148" name="Organigramme : Processus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9B91C"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7137E9" id="Organigramme : Processus 148" o:spid="_x0000_s1317" type="#_x0000_t109" style="position:absolute;left:0;text-align:left;margin-left:14.7pt;margin-top:10.7pt;width:16.7pt;height:1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" fillcolor="white [3212]" strokecolor="black [3213]" strokeweight="1.25pt">
                      <v:path arrowok="t"/>
                      <v:textbox>
                        <w:txbxContent>
                          <w:p w14:paraId="6F79B91C"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0B6A668C" w14:textId="648EAEC4"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77024" behindDoc="0" locked="0" layoutInCell="1" allowOverlap="1" wp14:anchorId="2A7AD909" wp14:editId="47781371">
                      <wp:simplePos x="0" y="0"/>
                      <wp:positionH relativeFrom="column">
                        <wp:posOffset>142240</wp:posOffset>
                      </wp:positionH>
                      <wp:positionV relativeFrom="paragraph">
                        <wp:posOffset>177800</wp:posOffset>
                      </wp:positionV>
                      <wp:extent cx="212090" cy="159385"/>
                      <wp:effectExtent l="0" t="0" r="0" b="0"/>
                      <wp:wrapNone/>
                      <wp:docPr id="149" name="Organigramme : Processus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07516"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7AD909" id="Organigramme : Processus 149" o:spid="_x0000_s1318" type="#_x0000_t109" style="position:absolute;left:0;text-align:left;margin-left:11.2pt;margin-top:14pt;width:16.7pt;height:1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" fillcolor="white [3212]" strokecolor="black [3213]" strokeweight="1.25pt">
                      <v:path arrowok="t"/>
                      <v:textbox>
                        <w:txbxContent>
                          <w:p w14:paraId="67107516" w14:textId="77777777" w:rsidR="009C2D83" w:rsidRDefault="009C2D83" w:rsidP="009B206C">
                            <w:pPr>
                              <w:jc w:val="center"/>
                            </w:pPr>
                          </w:p>
                        </w:txbxContent>
                      </v:textbox>
                    </v:shape>
                  </w:pict>
                </mc:Fallback>
              </mc:AlternateContent>
            </w:r>
          </w:p>
        </w:tc>
      </w:tr>
      <w:tr w:rsidR="009B206C" w:rsidRPr="00F634CD" w14:paraId="7EE094CB" w14:textId="77777777" w:rsidTr="002814F3">
        <w:trPr>
          <w:trHeight w:val="624"/>
        </w:trPr>
        <w:tc>
          <w:tcPr>
            <w:tcW w:w="3226" w:type="dxa"/>
            <w:shd w:val="solid" w:color="F2F2F2" w:themeColor="background1" w:themeShade="F2" w:fill="F2F2F2" w:themeFill="background1" w:themeFillShade="F2"/>
            <w:vAlign w:val="center"/>
          </w:tcPr>
          <w:p w14:paraId="158BCF33" w14:textId="77777777" w:rsidR="009B206C" w:rsidRPr="00F634CD" w:rsidRDefault="009B206C" w:rsidP="002814F3">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Risque de change</w:t>
            </w:r>
          </w:p>
        </w:tc>
        <w:tc>
          <w:tcPr>
            <w:tcW w:w="1132" w:type="dxa"/>
            <w:shd w:val="solid" w:color="F2F2F2" w:themeColor="background1" w:themeShade="F2" w:fill="F2F2F2" w:themeFill="background1" w:themeFillShade="F2"/>
          </w:tcPr>
          <w:p w14:paraId="2F98956B" w14:textId="68A8E053"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69856" behindDoc="0" locked="0" layoutInCell="1" allowOverlap="1" wp14:anchorId="45E4FD9E" wp14:editId="5383217F">
                      <wp:simplePos x="0" y="0"/>
                      <wp:positionH relativeFrom="column">
                        <wp:posOffset>164465</wp:posOffset>
                      </wp:positionH>
                      <wp:positionV relativeFrom="paragraph">
                        <wp:posOffset>97155</wp:posOffset>
                      </wp:positionV>
                      <wp:extent cx="212090" cy="159385"/>
                      <wp:effectExtent l="0" t="0" r="0" b="0"/>
                      <wp:wrapNone/>
                      <wp:docPr id="151" name="Organigramme : Processus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7A8B5"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E4FD9E" id="Organigramme : Processus 151" o:spid="_x0000_s1319" type="#_x0000_t109" style="position:absolute;left:0;text-align:left;margin-left:12.95pt;margin-top:7.65pt;width:16.7pt;height:1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" fillcolor="white [3212]" strokecolor="black [3213]" strokeweight="1.25pt">
                      <v:path arrowok="t"/>
                      <v:textbox>
                        <w:txbxContent>
                          <w:p w14:paraId="3897A8B5"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0BA90510" w14:textId="52902846"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72928" behindDoc="0" locked="0" layoutInCell="1" allowOverlap="1" wp14:anchorId="7CE27DF2" wp14:editId="07EE0DB2">
                      <wp:simplePos x="0" y="0"/>
                      <wp:positionH relativeFrom="column">
                        <wp:posOffset>140335</wp:posOffset>
                      </wp:positionH>
                      <wp:positionV relativeFrom="paragraph">
                        <wp:posOffset>180340</wp:posOffset>
                      </wp:positionV>
                      <wp:extent cx="212090" cy="159385"/>
                      <wp:effectExtent l="0" t="0" r="0" b="0"/>
                      <wp:wrapNone/>
                      <wp:docPr id="152" name="Organigramme : Processus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D7DA7"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E27DF2" id="Organigramme : Processus 152" o:spid="_x0000_s1320" type="#_x0000_t109" style="position:absolute;left:0;text-align:left;margin-left:11.05pt;margin-top:14.2pt;width:16.7pt;height:1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" fillcolor="white [3212]" strokecolor="black [3213]" strokeweight="1.25pt">
                      <v:path arrowok="t"/>
                      <v:textbox>
                        <w:txbxContent>
                          <w:p w14:paraId="250D7DA7" w14:textId="77777777" w:rsidR="009C2D83" w:rsidRDefault="009C2D83" w:rsidP="009B206C">
                            <w:pPr>
                              <w:jc w:val="center"/>
                            </w:pPr>
                          </w:p>
                        </w:txbxContent>
                      </v:textbox>
                    </v:shape>
                  </w:pict>
                </mc:Fallback>
              </mc:AlternateContent>
            </w:r>
          </w:p>
        </w:tc>
        <w:tc>
          <w:tcPr>
            <w:tcW w:w="1274" w:type="dxa"/>
            <w:shd w:val="solid" w:color="F2F2F2" w:themeColor="background1" w:themeShade="F2" w:fill="F2F2F2" w:themeFill="background1" w:themeFillShade="F2"/>
          </w:tcPr>
          <w:p w14:paraId="6E33EC75" w14:textId="4CAEE6F4"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85216" behindDoc="0" locked="0" layoutInCell="1" allowOverlap="1" wp14:anchorId="1806AE2B" wp14:editId="2D9BCA5C">
                      <wp:simplePos x="0" y="0"/>
                      <wp:positionH relativeFrom="column">
                        <wp:posOffset>217170</wp:posOffset>
                      </wp:positionH>
                      <wp:positionV relativeFrom="paragraph">
                        <wp:posOffset>173355</wp:posOffset>
                      </wp:positionV>
                      <wp:extent cx="212090" cy="159385"/>
                      <wp:effectExtent l="0" t="0" r="0" b="0"/>
                      <wp:wrapNone/>
                      <wp:docPr id="165" name="Organigramme : Processus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13767"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06AE2B" id="Organigramme : Processus 165" o:spid="_x0000_s1321" type="#_x0000_t109" style="position:absolute;left:0;text-align:left;margin-left:17.1pt;margin-top:13.65pt;width:16.7pt;height:1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" fillcolor="white [3212]" strokecolor="black [3213]" strokeweight="1.25pt">
                      <v:path arrowok="t"/>
                      <v:textbox>
                        <w:txbxContent>
                          <w:p w14:paraId="63C13767" w14:textId="77777777" w:rsidR="009C2D83" w:rsidRDefault="009C2D83" w:rsidP="009B206C">
                            <w:pPr>
                              <w:jc w:val="center"/>
                            </w:pPr>
                          </w:p>
                        </w:txbxContent>
                      </v:textbox>
                    </v:shape>
                  </w:pict>
                </mc:Fallback>
              </mc:AlternateContent>
            </w:r>
          </w:p>
        </w:tc>
        <w:tc>
          <w:tcPr>
            <w:tcW w:w="1273" w:type="dxa"/>
            <w:shd w:val="solid" w:color="F2F2F2" w:themeColor="background1" w:themeShade="F2" w:fill="F2F2F2" w:themeFill="background1" w:themeFillShade="F2"/>
          </w:tcPr>
          <w:p w14:paraId="590346CE" w14:textId="3A52408A"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58592" behindDoc="0" locked="0" layoutInCell="1" allowOverlap="1" wp14:anchorId="535467D5" wp14:editId="602659DC">
                      <wp:simplePos x="0" y="0"/>
                      <wp:positionH relativeFrom="column">
                        <wp:posOffset>199390</wp:posOffset>
                      </wp:positionH>
                      <wp:positionV relativeFrom="paragraph">
                        <wp:posOffset>179705</wp:posOffset>
                      </wp:positionV>
                      <wp:extent cx="212090" cy="159385"/>
                      <wp:effectExtent l="0" t="0" r="0" b="0"/>
                      <wp:wrapNone/>
                      <wp:docPr id="153" name="Organigramme : Processus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16057"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5467D5" id="Organigramme : Processus 153" o:spid="_x0000_s1322" type="#_x0000_t109" style="position:absolute;left:0;text-align:left;margin-left:15.7pt;margin-top:14.15pt;width:16.7pt;height:1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" fillcolor="white [3212]" strokecolor="black [3213]" strokeweight="1.25pt">
                      <v:path arrowok="t"/>
                      <v:textbox>
                        <w:txbxContent>
                          <w:p w14:paraId="29516057"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6DC021E1" w14:textId="2CC3093C"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78048" behindDoc="0" locked="0" layoutInCell="1" allowOverlap="1" wp14:anchorId="682049C4" wp14:editId="6B86C867">
                      <wp:simplePos x="0" y="0"/>
                      <wp:positionH relativeFrom="column">
                        <wp:posOffset>148590</wp:posOffset>
                      </wp:positionH>
                      <wp:positionV relativeFrom="paragraph">
                        <wp:posOffset>172085</wp:posOffset>
                      </wp:positionV>
                      <wp:extent cx="212090" cy="159385"/>
                      <wp:effectExtent l="0" t="0" r="0" b="0"/>
                      <wp:wrapNone/>
                      <wp:docPr id="154" name="Organigramme : Processus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1AF7C"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2049C4" id="Organigramme : Processus 154" o:spid="_x0000_s1323" type="#_x0000_t109" style="position:absolute;left:0;text-align:left;margin-left:11.7pt;margin-top:13.55pt;width:16.7pt;height:1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" fillcolor="white [3212]" strokecolor="black [3213]" strokeweight="1.25pt">
                      <v:path arrowok="t"/>
                      <v:textbox>
                        <w:txbxContent>
                          <w:p w14:paraId="6BB1AF7C" w14:textId="77777777" w:rsidR="009C2D83" w:rsidRDefault="009C2D83" w:rsidP="009B206C">
                            <w:pPr>
                              <w:jc w:val="center"/>
                            </w:pPr>
                          </w:p>
                        </w:txbxContent>
                      </v:textbox>
                    </v:shape>
                  </w:pict>
                </mc:Fallback>
              </mc:AlternateContent>
            </w:r>
          </w:p>
        </w:tc>
      </w:tr>
      <w:tr w:rsidR="009B206C" w:rsidRPr="00F634CD" w14:paraId="21005F62" w14:textId="77777777" w:rsidTr="002814F3">
        <w:trPr>
          <w:trHeight w:val="624"/>
        </w:trPr>
        <w:tc>
          <w:tcPr>
            <w:tcW w:w="3226" w:type="dxa"/>
            <w:shd w:val="solid" w:color="F2F2F2" w:themeColor="background1" w:themeShade="F2" w:fill="F2F2F2" w:themeFill="background1" w:themeFillShade="F2"/>
            <w:vAlign w:val="center"/>
          </w:tcPr>
          <w:p w14:paraId="08B92ADB" w14:textId="77777777" w:rsidR="009B206C" w:rsidRPr="00F634CD" w:rsidRDefault="009B206C" w:rsidP="002814F3">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Risque relatif aux prix de matières premières et des actions</w:t>
            </w:r>
          </w:p>
        </w:tc>
        <w:tc>
          <w:tcPr>
            <w:tcW w:w="1132" w:type="dxa"/>
            <w:shd w:val="solid" w:color="F2F2F2" w:themeColor="background1" w:themeShade="F2" w:fill="F2F2F2" w:themeFill="background1" w:themeFillShade="F2"/>
          </w:tcPr>
          <w:p w14:paraId="42ADD7D2" w14:textId="7C4050AB"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70880" behindDoc="0" locked="0" layoutInCell="1" allowOverlap="1" wp14:anchorId="39BAD9EB" wp14:editId="7537E45A">
                      <wp:simplePos x="0" y="0"/>
                      <wp:positionH relativeFrom="column">
                        <wp:posOffset>162560</wp:posOffset>
                      </wp:positionH>
                      <wp:positionV relativeFrom="paragraph">
                        <wp:posOffset>198755</wp:posOffset>
                      </wp:positionV>
                      <wp:extent cx="212090" cy="159385"/>
                      <wp:effectExtent l="0" t="0" r="0" b="0"/>
                      <wp:wrapNone/>
                      <wp:docPr id="156" name="Organigramme : Processus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56F71"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BAD9EB" id="Organigramme : Processus 156" o:spid="_x0000_s1324" type="#_x0000_t109" style="position:absolute;left:0;text-align:left;margin-left:12.8pt;margin-top:15.65pt;width:16.7pt;height:1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" fillcolor="white [3212]" strokecolor="black [3213]" strokeweight="1.25pt">
                      <v:path arrowok="t"/>
                      <v:textbox>
                        <w:txbxContent>
                          <w:p w14:paraId="73856F71"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223D58F9" w14:textId="4E3DFB04"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73952" behindDoc="0" locked="0" layoutInCell="1" allowOverlap="1" wp14:anchorId="5046CD8F" wp14:editId="0C4500D7">
                      <wp:simplePos x="0" y="0"/>
                      <wp:positionH relativeFrom="column">
                        <wp:posOffset>145415</wp:posOffset>
                      </wp:positionH>
                      <wp:positionV relativeFrom="paragraph">
                        <wp:posOffset>189230</wp:posOffset>
                      </wp:positionV>
                      <wp:extent cx="212090" cy="159385"/>
                      <wp:effectExtent l="0" t="0" r="0" b="0"/>
                      <wp:wrapNone/>
                      <wp:docPr id="157" name="Organigramme : Processus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83152"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46CD8F" id="Organigramme : Processus 157" o:spid="_x0000_s1325" type="#_x0000_t109" style="position:absolute;left:0;text-align:left;margin-left:11.45pt;margin-top:14.9pt;width:16.7pt;height:1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" fillcolor="white [3212]" strokecolor="black [3213]" strokeweight="1.25pt">
                      <v:path arrowok="t"/>
                      <v:textbox>
                        <w:txbxContent>
                          <w:p w14:paraId="6D783152" w14:textId="77777777" w:rsidR="009C2D83" w:rsidRDefault="009C2D83" w:rsidP="009B206C">
                            <w:pPr>
                              <w:jc w:val="center"/>
                            </w:pPr>
                          </w:p>
                        </w:txbxContent>
                      </v:textbox>
                    </v:shape>
                  </w:pict>
                </mc:Fallback>
              </mc:AlternateContent>
            </w:r>
          </w:p>
        </w:tc>
        <w:tc>
          <w:tcPr>
            <w:tcW w:w="1274" w:type="dxa"/>
            <w:shd w:val="solid" w:color="F2F2F2" w:themeColor="background1" w:themeShade="F2" w:fill="F2F2F2" w:themeFill="background1" w:themeFillShade="F2"/>
          </w:tcPr>
          <w:p w14:paraId="268B1F73" w14:textId="431E3434"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86240" behindDoc="0" locked="0" layoutInCell="1" allowOverlap="1" wp14:anchorId="4748C1D6" wp14:editId="44A32DBB">
                      <wp:simplePos x="0" y="0"/>
                      <wp:positionH relativeFrom="column">
                        <wp:posOffset>186055</wp:posOffset>
                      </wp:positionH>
                      <wp:positionV relativeFrom="paragraph">
                        <wp:posOffset>158115</wp:posOffset>
                      </wp:positionV>
                      <wp:extent cx="212090" cy="159385"/>
                      <wp:effectExtent l="0" t="0" r="0" b="0"/>
                      <wp:wrapNone/>
                      <wp:docPr id="166" name="Organigramme : Processus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7066E"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48C1D6" id="Organigramme : Processus 166" o:spid="_x0000_s1326" type="#_x0000_t109" style="position:absolute;left:0;text-align:left;margin-left:14.65pt;margin-top:12.45pt;width:16.7pt;height:12.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" fillcolor="white [3212]" strokecolor="black [3213]" strokeweight="1.25pt">
                      <v:path arrowok="t"/>
                      <v:textbox>
                        <w:txbxContent>
                          <w:p w14:paraId="7237066E" w14:textId="77777777" w:rsidR="009C2D83" w:rsidRDefault="009C2D83" w:rsidP="009B206C">
                            <w:pPr>
                              <w:jc w:val="center"/>
                            </w:pPr>
                          </w:p>
                        </w:txbxContent>
                      </v:textbox>
                    </v:shape>
                  </w:pict>
                </mc:Fallback>
              </mc:AlternateContent>
            </w:r>
          </w:p>
        </w:tc>
        <w:tc>
          <w:tcPr>
            <w:tcW w:w="1273" w:type="dxa"/>
            <w:shd w:val="solid" w:color="F2F2F2" w:themeColor="background1" w:themeShade="F2" w:fill="F2F2F2" w:themeFill="background1" w:themeFillShade="F2"/>
          </w:tcPr>
          <w:p w14:paraId="42425432" w14:textId="1B010632"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79072" behindDoc="0" locked="0" layoutInCell="1" allowOverlap="1" wp14:anchorId="4D41153E" wp14:editId="64D0029C">
                      <wp:simplePos x="0" y="0"/>
                      <wp:positionH relativeFrom="column">
                        <wp:posOffset>179070</wp:posOffset>
                      </wp:positionH>
                      <wp:positionV relativeFrom="paragraph">
                        <wp:posOffset>177800</wp:posOffset>
                      </wp:positionV>
                      <wp:extent cx="212090" cy="159385"/>
                      <wp:effectExtent l="0" t="0" r="0" b="0"/>
                      <wp:wrapNone/>
                      <wp:docPr id="158" name="Organigramme : Processus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C988F"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41153E" id="Organigramme : Processus 158" o:spid="_x0000_s1327" type="#_x0000_t109" style="position:absolute;left:0;text-align:left;margin-left:14.1pt;margin-top:14pt;width:16.7pt;height:1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" fillcolor="white [3212]" strokecolor="black [3213]" strokeweight="1.25pt">
                      <v:path arrowok="t"/>
                      <v:textbox>
                        <w:txbxContent>
                          <w:p w14:paraId="199C988F"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05A4DEB4" w14:textId="33AA62DC" w:rsidR="009B206C" w:rsidRPr="00F634CD" w:rsidRDefault="002C5EFF" w:rsidP="009B206C">
            <w:pPr>
              <w:tabs>
                <w:tab w:val="center" w:pos="4536"/>
              </w:tabs>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80096" behindDoc="0" locked="0" layoutInCell="1" allowOverlap="1" wp14:anchorId="54D8D7F2" wp14:editId="67EABEE6">
                      <wp:simplePos x="0" y="0"/>
                      <wp:positionH relativeFrom="column">
                        <wp:posOffset>125095</wp:posOffset>
                      </wp:positionH>
                      <wp:positionV relativeFrom="paragraph">
                        <wp:posOffset>225425</wp:posOffset>
                      </wp:positionV>
                      <wp:extent cx="212090" cy="159385"/>
                      <wp:effectExtent l="0" t="0" r="0" b="0"/>
                      <wp:wrapNone/>
                      <wp:docPr id="159" name="Organigramme : Processus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87A42"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D8D7F2" id="Organigramme : Processus 159" o:spid="_x0000_s1328" type="#_x0000_t109" style="position:absolute;left:0;text-align:left;margin-left:9.85pt;margin-top:17.75pt;width:16.7pt;height:1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" fillcolor="white [3212]" strokecolor="black [3213]" strokeweight="1.25pt">
                      <v:path arrowok="t"/>
                      <v:textbox>
                        <w:txbxContent>
                          <w:p w14:paraId="2A887A42" w14:textId="77777777" w:rsidR="009C2D83" w:rsidRDefault="009C2D83" w:rsidP="009B206C">
                            <w:pPr>
                              <w:jc w:val="center"/>
                            </w:pPr>
                          </w:p>
                        </w:txbxContent>
                      </v:textbox>
                    </v:shape>
                  </w:pict>
                </mc:Fallback>
              </mc:AlternateContent>
            </w:r>
          </w:p>
        </w:tc>
      </w:tr>
      <w:tr w:rsidR="009B206C" w:rsidRPr="00F634CD" w14:paraId="1CC349C7" w14:textId="77777777" w:rsidTr="002814F3">
        <w:trPr>
          <w:trHeight w:val="624"/>
        </w:trPr>
        <w:tc>
          <w:tcPr>
            <w:tcW w:w="3226" w:type="dxa"/>
            <w:shd w:val="solid" w:color="F2F2F2" w:themeColor="background1" w:themeShade="F2" w:fill="F2F2F2" w:themeFill="background1" w:themeFillShade="F2"/>
            <w:vAlign w:val="center"/>
          </w:tcPr>
          <w:p w14:paraId="2657EABA" w14:textId="77777777" w:rsidR="009B206C" w:rsidRPr="00F634CD" w:rsidRDefault="009B206C" w:rsidP="002814F3">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Risque opérationnel</w:t>
            </w:r>
          </w:p>
        </w:tc>
        <w:tc>
          <w:tcPr>
            <w:tcW w:w="1132" w:type="dxa"/>
            <w:shd w:val="solid" w:color="F2F2F2" w:themeColor="background1" w:themeShade="F2" w:fill="F2F2F2" w:themeFill="background1" w:themeFillShade="F2"/>
          </w:tcPr>
          <w:p w14:paraId="15D496EC" w14:textId="6F65DC6D"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87264" behindDoc="0" locked="0" layoutInCell="1" allowOverlap="1" wp14:anchorId="1DE13263" wp14:editId="6E37D7FC">
                      <wp:simplePos x="0" y="0"/>
                      <wp:positionH relativeFrom="column">
                        <wp:posOffset>153035</wp:posOffset>
                      </wp:positionH>
                      <wp:positionV relativeFrom="paragraph">
                        <wp:posOffset>148590</wp:posOffset>
                      </wp:positionV>
                      <wp:extent cx="212090" cy="159385"/>
                      <wp:effectExtent l="0" t="0" r="0" b="0"/>
                      <wp:wrapNone/>
                      <wp:docPr id="167" name="Organigramme : Processus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2880E"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E13263" id="Organigramme : Processus 167" o:spid="_x0000_s1329" type="#_x0000_t109" style="position:absolute;left:0;text-align:left;margin-left:12.05pt;margin-top:11.7pt;width:16.7pt;height:1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" fillcolor="white [3212]" strokecolor="black [3213]" strokeweight="1.25pt">
                      <v:path arrowok="t"/>
                      <v:textbox>
                        <w:txbxContent>
                          <w:p w14:paraId="7E32880E"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17AE9BCD" w14:textId="6EFFBFA6"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88288" behindDoc="0" locked="0" layoutInCell="1" allowOverlap="1" wp14:anchorId="6356C0C7" wp14:editId="0E83BD3F">
                      <wp:simplePos x="0" y="0"/>
                      <wp:positionH relativeFrom="column">
                        <wp:posOffset>136525</wp:posOffset>
                      </wp:positionH>
                      <wp:positionV relativeFrom="paragraph">
                        <wp:posOffset>148590</wp:posOffset>
                      </wp:positionV>
                      <wp:extent cx="212090" cy="159385"/>
                      <wp:effectExtent l="0" t="0" r="0" b="0"/>
                      <wp:wrapNone/>
                      <wp:docPr id="168" name="Organigramme : Processus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08776"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56C0C7" id="Organigramme : Processus 168" o:spid="_x0000_s1330" type="#_x0000_t109" style="position:absolute;left:0;text-align:left;margin-left:10.75pt;margin-top:11.7pt;width:16.7pt;height:1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" fillcolor="white [3212]" strokecolor="black [3213]" strokeweight="1.25pt">
                      <v:path arrowok="t"/>
                      <v:textbox>
                        <w:txbxContent>
                          <w:p w14:paraId="06708776" w14:textId="77777777" w:rsidR="009C2D83" w:rsidRDefault="009C2D83" w:rsidP="009B206C">
                            <w:pPr>
                              <w:jc w:val="center"/>
                            </w:pPr>
                          </w:p>
                        </w:txbxContent>
                      </v:textbox>
                    </v:shape>
                  </w:pict>
                </mc:Fallback>
              </mc:AlternateContent>
            </w:r>
          </w:p>
        </w:tc>
        <w:tc>
          <w:tcPr>
            <w:tcW w:w="1274" w:type="dxa"/>
            <w:shd w:val="solid" w:color="F2F2F2" w:themeColor="background1" w:themeShade="F2" w:fill="F2F2F2" w:themeFill="background1" w:themeFillShade="F2"/>
          </w:tcPr>
          <w:p w14:paraId="209BC691" w14:textId="325E7894"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89312" behindDoc="0" locked="0" layoutInCell="1" allowOverlap="1" wp14:anchorId="122E70B5" wp14:editId="40E87F0A">
                      <wp:simplePos x="0" y="0"/>
                      <wp:positionH relativeFrom="column">
                        <wp:posOffset>194945</wp:posOffset>
                      </wp:positionH>
                      <wp:positionV relativeFrom="paragraph">
                        <wp:posOffset>110490</wp:posOffset>
                      </wp:positionV>
                      <wp:extent cx="212090" cy="159385"/>
                      <wp:effectExtent l="0" t="0" r="0" b="0"/>
                      <wp:wrapNone/>
                      <wp:docPr id="169" name="Organigramme : Processus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380C6"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2E70B5" id="Organigramme : Processus 169" o:spid="_x0000_s1331" type="#_x0000_t109" style="position:absolute;left:0;text-align:left;margin-left:15.35pt;margin-top:8.7pt;width:16.7pt;height:1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" fillcolor="white [3212]" strokecolor="black [3213]" strokeweight="1.25pt">
                      <v:path arrowok="t"/>
                      <v:textbox>
                        <w:txbxContent>
                          <w:p w14:paraId="54F380C6" w14:textId="77777777" w:rsidR="009C2D83" w:rsidRDefault="009C2D83" w:rsidP="009B206C">
                            <w:pPr>
                              <w:jc w:val="center"/>
                            </w:pPr>
                          </w:p>
                        </w:txbxContent>
                      </v:textbox>
                    </v:shape>
                  </w:pict>
                </mc:Fallback>
              </mc:AlternateContent>
            </w:r>
          </w:p>
        </w:tc>
        <w:tc>
          <w:tcPr>
            <w:tcW w:w="1273" w:type="dxa"/>
            <w:shd w:val="solid" w:color="F2F2F2" w:themeColor="background1" w:themeShade="F2" w:fill="F2F2F2" w:themeFill="background1" w:themeFillShade="F2"/>
          </w:tcPr>
          <w:p w14:paraId="131D59E8" w14:textId="4E0D96C8"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90336" behindDoc="0" locked="0" layoutInCell="1" allowOverlap="1" wp14:anchorId="1AA67E23" wp14:editId="18FA1BEA">
                      <wp:simplePos x="0" y="0"/>
                      <wp:positionH relativeFrom="column">
                        <wp:posOffset>174625</wp:posOffset>
                      </wp:positionH>
                      <wp:positionV relativeFrom="paragraph">
                        <wp:posOffset>120015</wp:posOffset>
                      </wp:positionV>
                      <wp:extent cx="212090" cy="159385"/>
                      <wp:effectExtent l="0" t="0" r="0" b="0"/>
                      <wp:wrapNone/>
                      <wp:docPr id="170" name="Organigramme : Processus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FC6DF"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A67E23" id="Organigramme : Processus 170" o:spid="_x0000_s1332" type="#_x0000_t109" style="position:absolute;left:0;text-align:left;margin-left:13.75pt;margin-top:9.45pt;width:16.7pt;height:1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" fillcolor="white [3212]" strokecolor="black [3213]" strokeweight="1.25pt">
                      <v:path arrowok="t"/>
                      <v:textbox>
                        <w:txbxContent>
                          <w:p w14:paraId="44EFC6DF"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680ED9B8" w14:textId="3A405926"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91360" behindDoc="0" locked="0" layoutInCell="1" allowOverlap="1" wp14:anchorId="0041C8E7" wp14:editId="715A8F82">
                      <wp:simplePos x="0" y="0"/>
                      <wp:positionH relativeFrom="column">
                        <wp:posOffset>125730</wp:posOffset>
                      </wp:positionH>
                      <wp:positionV relativeFrom="paragraph">
                        <wp:posOffset>117475</wp:posOffset>
                      </wp:positionV>
                      <wp:extent cx="212090" cy="159385"/>
                      <wp:effectExtent l="0" t="0" r="0" b="0"/>
                      <wp:wrapNone/>
                      <wp:docPr id="171" name="Organigramme : Processus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714C3"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41C8E7" id="Organigramme : Processus 171" o:spid="_x0000_s1333" type="#_x0000_t109" style="position:absolute;left:0;text-align:left;margin-left:9.9pt;margin-top:9.25pt;width:16.7pt;height:1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" fillcolor="white [3212]" strokecolor="black [3213]" strokeweight="1.25pt">
                      <v:path arrowok="t"/>
                      <v:textbox>
                        <w:txbxContent>
                          <w:p w14:paraId="3A1714C3" w14:textId="77777777" w:rsidR="009C2D83" w:rsidRDefault="009C2D83" w:rsidP="009B206C">
                            <w:pPr>
                              <w:jc w:val="center"/>
                            </w:pPr>
                          </w:p>
                        </w:txbxContent>
                      </v:textbox>
                    </v:shape>
                  </w:pict>
                </mc:Fallback>
              </mc:AlternateContent>
            </w:r>
          </w:p>
        </w:tc>
      </w:tr>
      <w:tr w:rsidR="009B206C" w:rsidRPr="00F634CD" w14:paraId="005C4534" w14:textId="77777777" w:rsidTr="002814F3">
        <w:trPr>
          <w:trHeight w:val="624"/>
        </w:trPr>
        <w:tc>
          <w:tcPr>
            <w:tcW w:w="3226" w:type="dxa"/>
            <w:shd w:val="solid" w:color="F2F2F2" w:themeColor="background1" w:themeShade="F2" w:fill="F2F2F2" w:themeFill="background1" w:themeFillShade="F2"/>
            <w:vAlign w:val="center"/>
          </w:tcPr>
          <w:p w14:paraId="0AF21A48" w14:textId="77777777" w:rsidR="009B206C" w:rsidRPr="00F634CD" w:rsidRDefault="009B206C" w:rsidP="002814F3">
            <w:pPr>
              <w:tabs>
                <w:tab w:val="center" w:pos="4536"/>
              </w:tabs>
              <w:jc w:val="left"/>
              <w:rPr>
                <w:rFonts w:asciiTheme="majorBidi" w:hAnsiTheme="majorBidi" w:cstheme="majorBidi"/>
                <w:kern w:val="24"/>
                <w:sz w:val="24"/>
                <w:szCs w:val="24"/>
              </w:rPr>
            </w:pPr>
            <w:r w:rsidRPr="00F634CD">
              <w:rPr>
                <w:rFonts w:asciiTheme="majorBidi" w:hAnsiTheme="majorBidi" w:cstheme="majorBidi"/>
                <w:kern w:val="24"/>
                <w:sz w:val="24"/>
                <w:szCs w:val="24"/>
              </w:rPr>
              <w:t>Risque commercial déplacé</w:t>
            </w:r>
          </w:p>
        </w:tc>
        <w:tc>
          <w:tcPr>
            <w:tcW w:w="1132" w:type="dxa"/>
            <w:shd w:val="solid" w:color="F2F2F2" w:themeColor="background1" w:themeShade="F2" w:fill="F2F2F2" w:themeFill="background1" w:themeFillShade="F2"/>
          </w:tcPr>
          <w:p w14:paraId="04E6FE79" w14:textId="1972139E"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92384" behindDoc="0" locked="0" layoutInCell="1" allowOverlap="1" wp14:anchorId="76C504A1" wp14:editId="78BD83B1">
                      <wp:simplePos x="0" y="0"/>
                      <wp:positionH relativeFrom="column">
                        <wp:posOffset>169545</wp:posOffset>
                      </wp:positionH>
                      <wp:positionV relativeFrom="paragraph">
                        <wp:posOffset>144145</wp:posOffset>
                      </wp:positionV>
                      <wp:extent cx="212090" cy="159385"/>
                      <wp:effectExtent l="0" t="0" r="0" b="0"/>
                      <wp:wrapNone/>
                      <wp:docPr id="173" name="Organigramme : Processus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3663F"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C504A1" id="Organigramme : Processus 173" o:spid="_x0000_s1334" type="#_x0000_t109" style="position:absolute;left:0;text-align:left;margin-left:13.35pt;margin-top:11.35pt;width:16.7pt;height:1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" fillcolor="white [3212]" strokecolor="black [3213]" strokeweight="1.25pt">
                      <v:path arrowok="t"/>
                      <v:textbox>
                        <w:txbxContent>
                          <w:p w14:paraId="49B3663F"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2CBD11EB" w14:textId="4A7FABB6"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93408" behindDoc="0" locked="0" layoutInCell="1" allowOverlap="1" wp14:anchorId="7F4F95F6" wp14:editId="09101EF1">
                      <wp:simplePos x="0" y="0"/>
                      <wp:positionH relativeFrom="column">
                        <wp:posOffset>139065</wp:posOffset>
                      </wp:positionH>
                      <wp:positionV relativeFrom="paragraph">
                        <wp:posOffset>144145</wp:posOffset>
                      </wp:positionV>
                      <wp:extent cx="212090" cy="159385"/>
                      <wp:effectExtent l="0" t="0" r="0" b="0"/>
                      <wp:wrapNone/>
                      <wp:docPr id="174" name="Organigramme : Processus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4B7BA"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4F95F6" id="Organigramme : Processus 174" o:spid="_x0000_s1335" type="#_x0000_t109" style="position:absolute;left:0;text-align:left;margin-left:10.95pt;margin-top:11.35pt;width:16.7pt;height:1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" fillcolor="white [3212]" strokecolor="black [3213]" strokeweight="1.25pt">
                      <v:path arrowok="t"/>
                      <v:textbox>
                        <w:txbxContent>
                          <w:p w14:paraId="2A24B7BA" w14:textId="77777777" w:rsidR="009C2D83" w:rsidRDefault="009C2D83" w:rsidP="009B206C">
                            <w:pPr>
                              <w:jc w:val="center"/>
                            </w:pPr>
                          </w:p>
                        </w:txbxContent>
                      </v:textbox>
                    </v:shape>
                  </w:pict>
                </mc:Fallback>
              </mc:AlternateContent>
            </w:r>
          </w:p>
        </w:tc>
        <w:tc>
          <w:tcPr>
            <w:tcW w:w="1274" w:type="dxa"/>
            <w:shd w:val="solid" w:color="F2F2F2" w:themeColor="background1" w:themeShade="F2" w:fill="F2F2F2" w:themeFill="background1" w:themeFillShade="F2"/>
          </w:tcPr>
          <w:p w14:paraId="6C65336B" w14:textId="6C747021"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94432" behindDoc="0" locked="0" layoutInCell="1" allowOverlap="1" wp14:anchorId="2B390829" wp14:editId="78BC5777">
                      <wp:simplePos x="0" y="0"/>
                      <wp:positionH relativeFrom="column">
                        <wp:posOffset>194945</wp:posOffset>
                      </wp:positionH>
                      <wp:positionV relativeFrom="paragraph">
                        <wp:posOffset>141605</wp:posOffset>
                      </wp:positionV>
                      <wp:extent cx="212090" cy="159385"/>
                      <wp:effectExtent l="0" t="0" r="0" b="0"/>
                      <wp:wrapNone/>
                      <wp:docPr id="175" name="Organigramme : Processus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94787"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390829" id="Organigramme : Processus 175" o:spid="_x0000_s1336" type="#_x0000_t109" style="position:absolute;left:0;text-align:left;margin-left:15.35pt;margin-top:11.15pt;width:16.7pt;height:1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" fillcolor="white [3212]" strokecolor="black [3213]" strokeweight="1.25pt">
                      <v:path arrowok="t"/>
                      <v:textbox>
                        <w:txbxContent>
                          <w:p w14:paraId="3F694787" w14:textId="77777777" w:rsidR="009C2D83" w:rsidRDefault="009C2D83" w:rsidP="009B206C">
                            <w:pPr>
                              <w:jc w:val="center"/>
                            </w:pPr>
                          </w:p>
                        </w:txbxContent>
                      </v:textbox>
                    </v:shape>
                  </w:pict>
                </mc:Fallback>
              </mc:AlternateContent>
            </w:r>
          </w:p>
        </w:tc>
        <w:tc>
          <w:tcPr>
            <w:tcW w:w="1273" w:type="dxa"/>
            <w:shd w:val="solid" w:color="F2F2F2" w:themeColor="background1" w:themeShade="F2" w:fill="F2F2F2" w:themeFill="background1" w:themeFillShade="F2"/>
          </w:tcPr>
          <w:p w14:paraId="017281EB" w14:textId="54772172"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95456" behindDoc="0" locked="0" layoutInCell="1" allowOverlap="1" wp14:anchorId="45FAE83B" wp14:editId="17E8AE65">
                      <wp:simplePos x="0" y="0"/>
                      <wp:positionH relativeFrom="column">
                        <wp:posOffset>167640</wp:posOffset>
                      </wp:positionH>
                      <wp:positionV relativeFrom="paragraph">
                        <wp:posOffset>141605</wp:posOffset>
                      </wp:positionV>
                      <wp:extent cx="212090" cy="159385"/>
                      <wp:effectExtent l="0" t="0" r="0" b="0"/>
                      <wp:wrapNone/>
                      <wp:docPr id="176" name="Organigramme : Processus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4681C"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FAE83B" id="Organigramme : Processus 176" o:spid="_x0000_s1337" type="#_x0000_t109" style="position:absolute;left:0;text-align:left;margin-left:13.2pt;margin-top:11.15pt;width:16.7pt;height:1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" fillcolor="white [3212]" strokecolor="black [3213]" strokeweight="1.25pt">
                      <v:path arrowok="t"/>
                      <v:textbox>
                        <w:txbxContent>
                          <w:p w14:paraId="5964681C" w14:textId="77777777" w:rsidR="009C2D83" w:rsidRDefault="009C2D83" w:rsidP="009B206C">
                            <w:pPr>
                              <w:jc w:val="center"/>
                            </w:pPr>
                          </w:p>
                        </w:txbxContent>
                      </v:textbox>
                    </v:shape>
                  </w:pict>
                </mc:Fallback>
              </mc:AlternateContent>
            </w:r>
          </w:p>
        </w:tc>
        <w:tc>
          <w:tcPr>
            <w:tcW w:w="1132" w:type="dxa"/>
            <w:shd w:val="solid" w:color="F2F2F2" w:themeColor="background1" w:themeShade="F2" w:fill="F2F2F2" w:themeFill="background1" w:themeFillShade="F2"/>
          </w:tcPr>
          <w:p w14:paraId="20EEB32B" w14:textId="54CA4E4A" w:rsidR="009B206C" w:rsidRPr="00F634CD" w:rsidRDefault="002C5EFF" w:rsidP="009B206C">
            <w:pPr>
              <w:tabs>
                <w:tab w:val="center" w:pos="4536"/>
              </w:tabs>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96480" behindDoc="0" locked="0" layoutInCell="1" allowOverlap="1" wp14:anchorId="45AC0962" wp14:editId="625E4001">
                      <wp:simplePos x="0" y="0"/>
                      <wp:positionH relativeFrom="column">
                        <wp:posOffset>135255</wp:posOffset>
                      </wp:positionH>
                      <wp:positionV relativeFrom="paragraph">
                        <wp:posOffset>141605</wp:posOffset>
                      </wp:positionV>
                      <wp:extent cx="212090" cy="159385"/>
                      <wp:effectExtent l="0" t="0" r="0" b="0"/>
                      <wp:wrapNone/>
                      <wp:docPr id="177" name="Organigramme : Processus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D798E" w14:textId="77777777" w:rsidR="009C2D83" w:rsidRDefault="009C2D83" w:rsidP="009B2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AC0962" id="Organigramme : Processus 177" o:spid="_x0000_s1338" type="#_x0000_t109" style="position:absolute;left:0;text-align:left;margin-left:10.65pt;margin-top:11.15pt;width:16.7pt;height:1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" fillcolor="white [3212]" strokecolor="black [3213]" strokeweight="1.25pt">
                      <v:path arrowok="t"/>
                      <v:textbox>
                        <w:txbxContent>
                          <w:p w14:paraId="64BD798E" w14:textId="77777777" w:rsidR="009C2D83" w:rsidRDefault="009C2D83" w:rsidP="009B206C">
                            <w:pPr>
                              <w:jc w:val="center"/>
                            </w:pPr>
                          </w:p>
                        </w:txbxContent>
                      </v:textbox>
                    </v:shape>
                  </w:pict>
                </mc:Fallback>
              </mc:AlternateContent>
            </w:r>
          </w:p>
        </w:tc>
      </w:tr>
    </w:tbl>
    <w:p w14:paraId="6ED78CEE" w14:textId="77777777" w:rsidR="005D5B9E" w:rsidRPr="00F634CD" w:rsidRDefault="005D5B9E" w:rsidP="00EA2B69">
      <w:pPr>
        <w:tabs>
          <w:tab w:val="center" w:pos="4536"/>
        </w:tabs>
        <w:spacing w:before="100" w:beforeAutospacing="1" w:after="240"/>
        <w:ind w:left="425" w:hanging="425"/>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21.</w:t>
      </w:r>
      <w:r w:rsidRPr="00F634CD">
        <w:rPr>
          <w:rFonts w:ascii="Times New Roman" w:hAnsi="Times New Roman" w:cs="Times New Roman"/>
          <w:kern w:val="24"/>
          <w:sz w:val="24"/>
          <w:szCs w:val="24"/>
        </w:rPr>
        <w:t xml:space="preserve"> </w:t>
      </w:r>
      <w:r w:rsidRPr="00F634CD">
        <w:rPr>
          <w:rFonts w:ascii="Times New Roman" w:hAnsi="Times New Roman" w:cs="Times New Roman"/>
          <w:b/>
          <w:bCs/>
          <w:i/>
          <w:iCs/>
          <w:kern w:val="24"/>
          <w:sz w:val="24"/>
          <w:szCs w:val="24"/>
        </w:rPr>
        <w:t>Quelles sont les techniques utilisées par votre banque pour mesurer les risques liés aux produits financiers participatifs ?</w:t>
      </w:r>
    </w:p>
    <w:tbl>
      <w:tblPr>
        <w:tblStyle w:val="Grilledutableau"/>
        <w:tblpPr w:leftFromText="141" w:rightFromText="141" w:vertAnchor="text" w:tblpY="1"/>
        <w:tblOverlap w:val="never"/>
        <w:tblW w:w="0" w:type="auto"/>
        <w:shd w:val="solid" w:color="F2F2F2" w:themeColor="background1" w:themeShade="F2" w:fill="F2F2F2" w:themeFill="background1" w:themeFillShade="F2"/>
        <w:tblLook w:val="04A0" w:firstRow="1" w:lastRow="0" w:firstColumn="1" w:lastColumn="0" w:noHBand="0" w:noVBand="1"/>
      </w:tblPr>
      <w:tblGrid>
        <w:gridCol w:w="6204"/>
        <w:gridCol w:w="1984"/>
      </w:tblGrid>
      <w:tr w:rsidR="00EA2B69" w:rsidRPr="00F634CD" w14:paraId="51D7A0F3" w14:textId="77777777" w:rsidTr="00EA2B69">
        <w:trPr>
          <w:trHeight w:val="737"/>
        </w:trPr>
        <w:tc>
          <w:tcPr>
            <w:tcW w:w="6204" w:type="dxa"/>
            <w:shd w:val="solid" w:color="F2F2F2" w:themeColor="background1" w:themeShade="F2" w:fill="F2F2F2" w:themeFill="background1" w:themeFillShade="F2"/>
            <w:vAlign w:val="center"/>
          </w:tcPr>
          <w:p w14:paraId="5E466F06" w14:textId="77777777" w:rsidR="00EA2B69" w:rsidRPr="00F634CD" w:rsidRDefault="00EA2B69" w:rsidP="00EA2B69">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L’analyse différentielle (GAP ou Gestion Actif-Passif)</w:t>
            </w:r>
          </w:p>
        </w:tc>
        <w:tc>
          <w:tcPr>
            <w:tcW w:w="1984" w:type="dxa"/>
            <w:shd w:val="solid" w:color="F2F2F2" w:themeColor="background1" w:themeShade="F2" w:fill="F2F2F2" w:themeFill="background1" w:themeFillShade="F2"/>
          </w:tcPr>
          <w:p w14:paraId="4F1E20A8" w14:textId="2966C543" w:rsidR="00EA2B69" w:rsidRPr="00F634CD" w:rsidRDefault="002C5EFF" w:rsidP="00EA2B69">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01600" behindDoc="0" locked="0" layoutInCell="1" allowOverlap="1" wp14:anchorId="73F0C84B" wp14:editId="33B45D29">
                      <wp:simplePos x="0" y="0"/>
                      <wp:positionH relativeFrom="column">
                        <wp:posOffset>395605</wp:posOffset>
                      </wp:positionH>
                      <wp:positionV relativeFrom="paragraph">
                        <wp:posOffset>128270</wp:posOffset>
                      </wp:positionV>
                      <wp:extent cx="212090" cy="159385"/>
                      <wp:effectExtent l="0" t="0" r="0" b="0"/>
                      <wp:wrapNone/>
                      <wp:docPr id="192" name="Organigramme : Processus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FF18A"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F0C84B" id="Organigramme : Processus 192" o:spid="_x0000_s1339" type="#_x0000_t109" style="position:absolute;left:0;text-align:left;margin-left:31.15pt;margin-top:10.1pt;width:16.7pt;height:1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" fillcolor="white [3212]" strokecolor="black [3213]" strokeweight="1.25pt">
                      <v:path arrowok="t"/>
                      <v:textbox>
                        <w:txbxContent>
                          <w:p w14:paraId="4DFFF18A" w14:textId="77777777" w:rsidR="009C2D83" w:rsidRDefault="009C2D83" w:rsidP="00EA2B69">
                            <w:pPr>
                              <w:jc w:val="center"/>
                            </w:pPr>
                          </w:p>
                        </w:txbxContent>
                      </v:textbox>
                    </v:shape>
                  </w:pict>
                </mc:Fallback>
              </mc:AlternateContent>
            </w:r>
          </w:p>
        </w:tc>
      </w:tr>
      <w:tr w:rsidR="00EA2B69" w:rsidRPr="00F634CD" w14:paraId="6301F5EF" w14:textId="77777777" w:rsidTr="00EA2B69">
        <w:trPr>
          <w:trHeight w:val="737"/>
        </w:trPr>
        <w:tc>
          <w:tcPr>
            <w:tcW w:w="6204" w:type="dxa"/>
            <w:shd w:val="solid" w:color="F2F2F2" w:themeColor="background1" w:themeShade="F2" w:fill="F2F2F2" w:themeFill="background1" w:themeFillShade="F2"/>
            <w:vAlign w:val="center"/>
          </w:tcPr>
          <w:p w14:paraId="584674E6" w14:textId="77777777" w:rsidR="00EA2B69" w:rsidRPr="00F634CD" w:rsidRDefault="00EA2B69" w:rsidP="00EA2B69">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L’analyse de duration</w:t>
            </w:r>
          </w:p>
        </w:tc>
        <w:tc>
          <w:tcPr>
            <w:tcW w:w="1984" w:type="dxa"/>
            <w:shd w:val="solid" w:color="F2F2F2" w:themeColor="background1" w:themeShade="F2" w:fill="F2F2F2" w:themeFill="background1" w:themeFillShade="F2"/>
          </w:tcPr>
          <w:p w14:paraId="21FF879A" w14:textId="27A516B1" w:rsidR="00EA2B69" w:rsidRPr="00F634CD" w:rsidRDefault="002C5EFF" w:rsidP="00EA2B69">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00576" behindDoc="0" locked="0" layoutInCell="1" allowOverlap="1" wp14:anchorId="7740E153" wp14:editId="45D2160F">
                      <wp:simplePos x="0" y="0"/>
                      <wp:positionH relativeFrom="column">
                        <wp:posOffset>386080</wp:posOffset>
                      </wp:positionH>
                      <wp:positionV relativeFrom="paragraph">
                        <wp:posOffset>116205</wp:posOffset>
                      </wp:positionV>
                      <wp:extent cx="212090" cy="159385"/>
                      <wp:effectExtent l="0" t="0" r="0" b="0"/>
                      <wp:wrapNone/>
                      <wp:docPr id="182" name="Organigramme : Processus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824D5"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40E153" id="Organigramme : Processus 182" o:spid="_x0000_s1340" type="#_x0000_t109" style="position:absolute;left:0;text-align:left;margin-left:30.4pt;margin-top:9.15pt;width:16.7pt;height:1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" fillcolor="white [3212]" strokecolor="black [3213]" strokeweight="1.25pt">
                      <v:path arrowok="t"/>
                      <v:textbox>
                        <w:txbxContent>
                          <w:p w14:paraId="726824D5" w14:textId="77777777" w:rsidR="009C2D83" w:rsidRDefault="009C2D83" w:rsidP="00EA2B69">
                            <w:pPr>
                              <w:jc w:val="center"/>
                            </w:pPr>
                          </w:p>
                        </w:txbxContent>
                      </v:textbox>
                    </v:shape>
                  </w:pict>
                </mc:Fallback>
              </mc:AlternateContent>
            </w:r>
          </w:p>
        </w:tc>
      </w:tr>
      <w:tr w:rsidR="00EA2B69" w:rsidRPr="00F634CD" w14:paraId="4BEB37D2" w14:textId="77777777" w:rsidTr="00EA2B69">
        <w:trPr>
          <w:trHeight w:val="737"/>
        </w:trPr>
        <w:tc>
          <w:tcPr>
            <w:tcW w:w="6204" w:type="dxa"/>
            <w:shd w:val="solid" w:color="F2F2F2" w:themeColor="background1" w:themeShade="F2" w:fill="F2F2F2" w:themeFill="background1" w:themeFillShade="F2"/>
            <w:vAlign w:val="center"/>
          </w:tcPr>
          <w:p w14:paraId="5D44CD9B" w14:textId="77777777" w:rsidR="00EA2B69" w:rsidRPr="00F634CD" w:rsidRDefault="00EA2B69" w:rsidP="00EA2B69">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La valeur à risque (VAR)</w:t>
            </w:r>
          </w:p>
        </w:tc>
        <w:tc>
          <w:tcPr>
            <w:tcW w:w="1984" w:type="dxa"/>
            <w:shd w:val="solid" w:color="F2F2F2" w:themeColor="background1" w:themeShade="F2" w:fill="F2F2F2" w:themeFill="background1" w:themeFillShade="F2"/>
          </w:tcPr>
          <w:p w14:paraId="33908FD9" w14:textId="3014EA2E" w:rsidR="00EA2B69" w:rsidRPr="00F634CD" w:rsidRDefault="002C5EFF" w:rsidP="00EA2B69">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99552" behindDoc="0" locked="0" layoutInCell="1" allowOverlap="1" wp14:anchorId="0F112591" wp14:editId="3C44A258">
                      <wp:simplePos x="0" y="0"/>
                      <wp:positionH relativeFrom="column">
                        <wp:posOffset>386080</wp:posOffset>
                      </wp:positionH>
                      <wp:positionV relativeFrom="paragraph">
                        <wp:posOffset>123190</wp:posOffset>
                      </wp:positionV>
                      <wp:extent cx="212090" cy="159385"/>
                      <wp:effectExtent l="0" t="0" r="0" b="0"/>
                      <wp:wrapNone/>
                      <wp:docPr id="184" name="Organigramme : Processus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04E91"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112591" id="Organigramme : Processus 184" o:spid="_x0000_s1341" type="#_x0000_t109" style="position:absolute;left:0;text-align:left;margin-left:30.4pt;margin-top:9.7pt;width:16.7pt;height:1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" fillcolor="white [3212]" strokecolor="black [3213]" strokeweight="1.25pt">
                      <v:path arrowok="t"/>
                      <v:textbox>
                        <w:txbxContent>
                          <w:p w14:paraId="37304E91" w14:textId="77777777" w:rsidR="009C2D83" w:rsidRDefault="009C2D83" w:rsidP="00EA2B69">
                            <w:pPr>
                              <w:jc w:val="center"/>
                            </w:pPr>
                          </w:p>
                        </w:txbxContent>
                      </v:textbox>
                    </v:shape>
                  </w:pict>
                </mc:Fallback>
              </mc:AlternateContent>
            </w:r>
          </w:p>
        </w:tc>
      </w:tr>
      <w:tr w:rsidR="00EA2B69" w:rsidRPr="000F76E0" w14:paraId="18801E02" w14:textId="77777777" w:rsidTr="00EA2B69">
        <w:trPr>
          <w:trHeight w:val="737"/>
        </w:trPr>
        <w:tc>
          <w:tcPr>
            <w:tcW w:w="6204" w:type="dxa"/>
            <w:shd w:val="solid" w:color="F2F2F2" w:themeColor="background1" w:themeShade="F2" w:fill="F2F2F2" w:themeFill="background1" w:themeFillShade="F2"/>
            <w:vAlign w:val="center"/>
          </w:tcPr>
          <w:p w14:paraId="19C951C7" w14:textId="77777777" w:rsidR="00EA2B69" w:rsidRPr="00F634CD" w:rsidRDefault="00EA2B69" w:rsidP="00EA2B69">
            <w:pPr>
              <w:tabs>
                <w:tab w:val="center" w:pos="4536"/>
              </w:tabs>
              <w:spacing w:line="360" w:lineRule="auto"/>
              <w:rPr>
                <w:rFonts w:asciiTheme="majorBidi" w:hAnsiTheme="majorBidi" w:cstheme="majorBidi"/>
                <w:kern w:val="24"/>
                <w:sz w:val="24"/>
                <w:szCs w:val="24"/>
                <w:lang w:val="en-GB"/>
              </w:rPr>
            </w:pPr>
            <w:r w:rsidRPr="00F634CD">
              <w:rPr>
                <w:rFonts w:asciiTheme="majorBidi" w:eastAsiaTheme="minorEastAsia" w:hAnsiTheme="majorBidi" w:cs="Times New Roman"/>
                <w:kern w:val="24"/>
                <w:sz w:val="24"/>
                <w:szCs w:val="24"/>
                <w:lang w:val="en-GB"/>
              </w:rPr>
              <w:t>Risk Adjusted Return on capital (RAROC)</w:t>
            </w:r>
          </w:p>
        </w:tc>
        <w:tc>
          <w:tcPr>
            <w:tcW w:w="1984" w:type="dxa"/>
            <w:shd w:val="solid" w:color="F2F2F2" w:themeColor="background1" w:themeShade="F2" w:fill="F2F2F2" w:themeFill="background1" w:themeFillShade="F2"/>
          </w:tcPr>
          <w:p w14:paraId="5B52F4A4" w14:textId="7050533A" w:rsidR="00EA2B69" w:rsidRPr="00F634CD" w:rsidRDefault="002C5EFF" w:rsidP="00EA2B69">
            <w:pPr>
              <w:tabs>
                <w:tab w:val="center" w:pos="4536"/>
              </w:tabs>
              <w:spacing w:line="360" w:lineRule="auto"/>
              <w:jc w:val="center"/>
              <w:rPr>
                <w:rFonts w:asciiTheme="majorBidi" w:hAnsiTheme="majorBidi" w:cstheme="majorBidi"/>
                <w:kern w:val="24"/>
                <w:sz w:val="24"/>
                <w:szCs w:val="24"/>
                <w:lang w:val="en-GB"/>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98528" behindDoc="0" locked="0" layoutInCell="1" allowOverlap="1" wp14:anchorId="1FDADB42" wp14:editId="001CEA2C">
                      <wp:simplePos x="0" y="0"/>
                      <wp:positionH relativeFrom="column">
                        <wp:posOffset>388620</wp:posOffset>
                      </wp:positionH>
                      <wp:positionV relativeFrom="paragraph">
                        <wp:posOffset>111125</wp:posOffset>
                      </wp:positionV>
                      <wp:extent cx="212090" cy="159385"/>
                      <wp:effectExtent l="0" t="0" r="0" b="0"/>
                      <wp:wrapNone/>
                      <wp:docPr id="186" name="Organigramme : Processus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3427B"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DADB42" id="Organigramme : Processus 186" o:spid="_x0000_s1342" type="#_x0000_t109" style="position:absolute;left:0;text-align:left;margin-left:30.6pt;margin-top:8.75pt;width:16.7pt;height:1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" fillcolor="white [3212]" strokecolor="black [3213]" strokeweight="1.25pt">
                      <v:path arrowok="t"/>
                      <v:textbox>
                        <w:txbxContent>
                          <w:p w14:paraId="4893427B" w14:textId="77777777" w:rsidR="009C2D83" w:rsidRDefault="009C2D83" w:rsidP="00EA2B69">
                            <w:pPr>
                              <w:jc w:val="center"/>
                            </w:pPr>
                          </w:p>
                        </w:txbxContent>
                      </v:textbox>
                    </v:shape>
                  </w:pict>
                </mc:Fallback>
              </mc:AlternateContent>
            </w:r>
          </w:p>
        </w:tc>
      </w:tr>
      <w:tr w:rsidR="00EA2B69" w:rsidRPr="00F634CD" w14:paraId="678ECCC1" w14:textId="77777777" w:rsidTr="00EA2B69">
        <w:trPr>
          <w:trHeight w:val="737"/>
        </w:trPr>
        <w:tc>
          <w:tcPr>
            <w:tcW w:w="6204" w:type="dxa"/>
            <w:shd w:val="solid" w:color="F2F2F2" w:themeColor="background1" w:themeShade="F2" w:fill="F2F2F2" w:themeFill="background1" w:themeFillShade="F2"/>
            <w:vAlign w:val="center"/>
          </w:tcPr>
          <w:p w14:paraId="060BF1D2" w14:textId="77777777" w:rsidR="00EA2B69" w:rsidRPr="00F634CD" w:rsidRDefault="00EA2B69" w:rsidP="00EA2B69">
            <w:pPr>
              <w:tabs>
                <w:tab w:val="center" w:pos="4536"/>
              </w:tabs>
              <w:spacing w:line="360" w:lineRule="auto"/>
              <w:rPr>
                <w:rFonts w:asciiTheme="majorBidi" w:eastAsiaTheme="minorEastAsia" w:hAnsiTheme="majorBidi" w:cs="Times New Roman"/>
                <w:kern w:val="24"/>
                <w:sz w:val="24"/>
                <w:szCs w:val="24"/>
                <w:lang w:val="en-GB"/>
              </w:rPr>
            </w:pPr>
            <w:r w:rsidRPr="00F634CD">
              <w:rPr>
                <w:rFonts w:asciiTheme="majorBidi" w:eastAsiaTheme="minorEastAsia" w:hAnsiTheme="majorBidi" w:cs="Times New Roman"/>
                <w:kern w:val="24"/>
                <w:sz w:val="24"/>
                <w:szCs w:val="24"/>
                <w:lang w:val="en-GB"/>
              </w:rPr>
              <w:t>Rating interne</w:t>
            </w:r>
          </w:p>
        </w:tc>
        <w:tc>
          <w:tcPr>
            <w:tcW w:w="1984" w:type="dxa"/>
            <w:shd w:val="solid" w:color="F2F2F2" w:themeColor="background1" w:themeShade="F2" w:fill="F2F2F2" w:themeFill="background1" w:themeFillShade="F2"/>
          </w:tcPr>
          <w:p w14:paraId="1348B685" w14:textId="24836C84" w:rsidR="00EA2B69" w:rsidRPr="00F634CD" w:rsidRDefault="002C5EFF" w:rsidP="00EA2B69">
            <w:pPr>
              <w:tabs>
                <w:tab w:val="center" w:pos="4536"/>
              </w:tabs>
              <w:spacing w:line="360" w:lineRule="auto"/>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03648" behindDoc="0" locked="0" layoutInCell="1" allowOverlap="1" wp14:anchorId="2A1A3391" wp14:editId="24607C0B">
                      <wp:simplePos x="0" y="0"/>
                      <wp:positionH relativeFrom="column">
                        <wp:posOffset>372110</wp:posOffset>
                      </wp:positionH>
                      <wp:positionV relativeFrom="paragraph">
                        <wp:posOffset>146685</wp:posOffset>
                      </wp:positionV>
                      <wp:extent cx="212090" cy="159385"/>
                      <wp:effectExtent l="0" t="0" r="0" b="0"/>
                      <wp:wrapNone/>
                      <wp:docPr id="1570" name="Organigramme : Processus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2556F"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1A3391" id="Organigramme : Processus 188" o:spid="_x0000_s1343" type="#_x0000_t109" style="position:absolute;left:0;text-align:left;margin-left:29.3pt;margin-top:11.55pt;width:16.7pt;height:1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" fillcolor="white [3212]" strokecolor="black [3213]" strokeweight="1.25pt">
                      <v:path arrowok="t"/>
                      <v:textbox>
                        <w:txbxContent>
                          <w:p w14:paraId="09B2556F" w14:textId="77777777" w:rsidR="009C2D83" w:rsidRDefault="009C2D83" w:rsidP="00EA2B69">
                            <w:pPr>
                              <w:jc w:val="center"/>
                            </w:pPr>
                          </w:p>
                        </w:txbxContent>
                      </v:textbox>
                    </v:shape>
                  </w:pict>
                </mc:Fallback>
              </mc:AlternateContent>
            </w:r>
          </w:p>
        </w:tc>
      </w:tr>
      <w:tr w:rsidR="00EA2B69" w:rsidRPr="00F634CD" w14:paraId="34B0C5CB" w14:textId="77777777" w:rsidTr="00EA2B69">
        <w:trPr>
          <w:trHeight w:val="737"/>
        </w:trPr>
        <w:tc>
          <w:tcPr>
            <w:tcW w:w="6204" w:type="dxa"/>
            <w:shd w:val="solid" w:color="F2F2F2" w:themeColor="background1" w:themeShade="F2" w:fill="F2F2F2" w:themeFill="background1" w:themeFillShade="F2"/>
            <w:vAlign w:val="center"/>
          </w:tcPr>
          <w:p w14:paraId="6C51EA0B" w14:textId="77777777" w:rsidR="00EA2B69" w:rsidRPr="00F634CD" w:rsidRDefault="00EA2B69" w:rsidP="00EA2B69">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Notations de crédit par les agences de notation</w:t>
            </w:r>
          </w:p>
        </w:tc>
        <w:tc>
          <w:tcPr>
            <w:tcW w:w="1984" w:type="dxa"/>
            <w:shd w:val="solid" w:color="F2F2F2" w:themeColor="background1" w:themeShade="F2" w:fill="F2F2F2" w:themeFill="background1" w:themeFillShade="F2"/>
          </w:tcPr>
          <w:p w14:paraId="1D8C9159" w14:textId="3FBF8365" w:rsidR="00EA2B69" w:rsidRPr="00F634CD" w:rsidRDefault="002C5EFF" w:rsidP="00EA2B69">
            <w:pPr>
              <w:tabs>
                <w:tab w:val="center" w:pos="4536"/>
              </w:tabs>
              <w:spacing w:line="360" w:lineRule="auto"/>
              <w:jc w:val="center"/>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797504" behindDoc="0" locked="0" layoutInCell="1" allowOverlap="1" wp14:anchorId="4A390B2E" wp14:editId="1109CB0E">
                      <wp:simplePos x="0" y="0"/>
                      <wp:positionH relativeFrom="column">
                        <wp:posOffset>381635</wp:posOffset>
                      </wp:positionH>
                      <wp:positionV relativeFrom="paragraph">
                        <wp:posOffset>127635</wp:posOffset>
                      </wp:positionV>
                      <wp:extent cx="212090" cy="159385"/>
                      <wp:effectExtent l="0" t="0" r="0" b="0"/>
                      <wp:wrapNone/>
                      <wp:docPr id="188" name="Organigramme : Processus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4272C"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390B2E" id="_x0000_s1344" type="#_x0000_t109" style="position:absolute;left:0;text-align:left;margin-left:30.05pt;margin-top:10.05pt;width:16.7pt;height:1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" fillcolor="white [3212]" strokecolor="black [3213]" strokeweight="1.25pt">
                      <v:path arrowok="t"/>
                      <v:textbox>
                        <w:txbxContent>
                          <w:p w14:paraId="0314272C" w14:textId="77777777" w:rsidR="009C2D83" w:rsidRDefault="009C2D83" w:rsidP="00EA2B69">
                            <w:pPr>
                              <w:jc w:val="center"/>
                            </w:pPr>
                          </w:p>
                        </w:txbxContent>
                      </v:textbox>
                    </v:shape>
                  </w:pict>
                </mc:Fallback>
              </mc:AlternateContent>
            </w:r>
          </w:p>
        </w:tc>
      </w:tr>
      <w:tr w:rsidR="00EA2B69" w:rsidRPr="00F634CD" w14:paraId="60AE2E45" w14:textId="77777777" w:rsidTr="00EA2B69">
        <w:trPr>
          <w:trHeight w:val="737"/>
        </w:trPr>
        <w:tc>
          <w:tcPr>
            <w:tcW w:w="6204" w:type="dxa"/>
            <w:shd w:val="solid" w:color="F2F2F2" w:themeColor="background1" w:themeShade="F2" w:fill="F2F2F2" w:themeFill="background1" w:themeFillShade="F2"/>
            <w:vAlign w:val="center"/>
          </w:tcPr>
          <w:p w14:paraId="7CA0DB01" w14:textId="77777777" w:rsidR="00EA2B69" w:rsidRPr="00F634CD" w:rsidRDefault="00EA2B69" w:rsidP="00EA2B69">
            <w:pPr>
              <w:pStyle w:val="Default"/>
              <w:spacing w:line="360" w:lineRule="auto"/>
              <w:rPr>
                <w:kern w:val="24"/>
              </w:rPr>
            </w:pPr>
            <w:r w:rsidRPr="00F634CD">
              <w:rPr>
                <w:kern w:val="24"/>
                <w:sz w:val="22"/>
                <w:szCs w:val="22"/>
              </w:rPr>
              <w:t>Stress tests</w:t>
            </w:r>
          </w:p>
        </w:tc>
        <w:tc>
          <w:tcPr>
            <w:tcW w:w="1984" w:type="dxa"/>
            <w:shd w:val="solid" w:color="F2F2F2" w:themeColor="background1" w:themeShade="F2" w:fill="F2F2F2" w:themeFill="background1" w:themeFillShade="F2"/>
          </w:tcPr>
          <w:p w14:paraId="41FEA289" w14:textId="0449C548" w:rsidR="00EA2B69" w:rsidRPr="00F634CD" w:rsidRDefault="002C5EFF" w:rsidP="00EA2B69">
            <w:pPr>
              <w:tabs>
                <w:tab w:val="center" w:pos="4536"/>
              </w:tabs>
              <w:spacing w:line="360" w:lineRule="auto"/>
              <w:jc w:val="center"/>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02624" behindDoc="0" locked="0" layoutInCell="1" allowOverlap="1" wp14:anchorId="096EC4D2" wp14:editId="46ECC4E1">
                      <wp:simplePos x="0" y="0"/>
                      <wp:positionH relativeFrom="column">
                        <wp:posOffset>400685</wp:posOffset>
                      </wp:positionH>
                      <wp:positionV relativeFrom="paragraph">
                        <wp:posOffset>137160</wp:posOffset>
                      </wp:positionV>
                      <wp:extent cx="212090" cy="159385"/>
                      <wp:effectExtent l="0" t="0" r="0" b="0"/>
                      <wp:wrapNone/>
                      <wp:docPr id="193" name="Organigramme : Processus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D5950"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6EC4D2" id="Organigramme : Processus 193" o:spid="_x0000_s1345" type="#_x0000_t109" style="position:absolute;left:0;text-align:left;margin-left:31.55pt;margin-top:10.8pt;width:16.7pt;height:1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" fillcolor="white [3212]" strokecolor="black [3213]" strokeweight="1.25pt">
                      <v:path arrowok="t"/>
                      <v:textbox>
                        <w:txbxContent>
                          <w:p w14:paraId="308D5950" w14:textId="77777777" w:rsidR="009C2D83" w:rsidRDefault="009C2D83" w:rsidP="00EA2B69">
                            <w:pPr>
                              <w:jc w:val="center"/>
                            </w:pPr>
                          </w:p>
                        </w:txbxContent>
                      </v:textbox>
                    </v:shape>
                  </w:pict>
                </mc:Fallback>
              </mc:AlternateContent>
            </w:r>
          </w:p>
        </w:tc>
      </w:tr>
      <w:tr w:rsidR="00EA2B69" w:rsidRPr="00F634CD" w14:paraId="7EAA818D" w14:textId="77777777" w:rsidTr="00EA2B69">
        <w:trPr>
          <w:trHeight w:val="737"/>
        </w:trPr>
        <w:tc>
          <w:tcPr>
            <w:tcW w:w="6204" w:type="dxa"/>
            <w:shd w:val="solid" w:color="F2F2F2" w:themeColor="background1" w:themeShade="F2" w:fill="F2F2F2" w:themeFill="background1" w:themeFillShade="F2"/>
            <w:vAlign w:val="center"/>
          </w:tcPr>
          <w:p w14:paraId="1531F85E" w14:textId="77777777" w:rsidR="00EA2B69" w:rsidRPr="00F634CD" w:rsidRDefault="00EA2B69" w:rsidP="00EA2B69">
            <w:pPr>
              <w:pStyle w:val="Default"/>
              <w:spacing w:line="360" w:lineRule="auto"/>
              <w:rPr>
                <w:kern w:val="24"/>
              </w:rPr>
            </w:pPr>
            <w:r w:rsidRPr="00F634CD">
              <w:rPr>
                <w:kern w:val="24"/>
              </w:rPr>
              <w:t>Autres (veuillez spécifier)</w:t>
            </w:r>
          </w:p>
        </w:tc>
        <w:tc>
          <w:tcPr>
            <w:tcW w:w="1984" w:type="dxa"/>
            <w:shd w:val="solid" w:color="F2F2F2" w:themeColor="background1" w:themeShade="F2" w:fill="F2F2F2" w:themeFill="background1" w:themeFillShade="F2"/>
          </w:tcPr>
          <w:p w14:paraId="3911E5D2" w14:textId="77777777" w:rsidR="00EA2B69" w:rsidRPr="00F634CD" w:rsidRDefault="00EA2B69" w:rsidP="00EA2B69">
            <w:pPr>
              <w:tabs>
                <w:tab w:val="center" w:pos="4536"/>
              </w:tabs>
              <w:spacing w:line="360" w:lineRule="auto"/>
              <w:jc w:val="center"/>
              <w:rPr>
                <w:rFonts w:asciiTheme="majorBidi" w:hAnsiTheme="majorBidi" w:cstheme="majorBidi"/>
                <w:noProof/>
                <w:kern w:val="24"/>
                <w:sz w:val="24"/>
                <w:szCs w:val="24"/>
                <w:lang w:eastAsia="fr-FR"/>
              </w:rPr>
            </w:pPr>
          </w:p>
        </w:tc>
      </w:tr>
    </w:tbl>
    <w:p w14:paraId="1B5D2F28" w14:textId="22492D7C" w:rsidR="005D5B9E" w:rsidRPr="00F634CD" w:rsidRDefault="005D5B9E" w:rsidP="00EC0A8E">
      <w:pPr>
        <w:keepNext/>
        <w:tabs>
          <w:tab w:val="center" w:pos="4536"/>
        </w:tabs>
        <w:spacing w:before="100" w:beforeAutospacing="1" w:after="100" w:afterAutospacing="1"/>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 xml:space="preserve">22. </w:t>
      </w:r>
      <w:r w:rsidRPr="00F634CD">
        <w:rPr>
          <w:rFonts w:ascii="Times New Roman" w:hAnsi="Times New Roman" w:cs="Times New Roman"/>
          <w:b/>
          <w:bCs/>
          <w:i/>
          <w:iCs/>
          <w:kern w:val="24"/>
          <w:sz w:val="24"/>
          <w:szCs w:val="24"/>
        </w:rPr>
        <w:t>Veuillez indiquer les outils utilisés par votre banque pour atténuer les risques inhérents aux pr</w:t>
      </w:r>
      <w:r w:rsidR="00CF275B" w:rsidRPr="00F634CD">
        <w:rPr>
          <w:rFonts w:ascii="Times New Roman" w:hAnsi="Times New Roman" w:cs="Times New Roman"/>
          <w:b/>
          <w:bCs/>
          <w:i/>
          <w:iCs/>
          <w:kern w:val="24"/>
          <w:sz w:val="24"/>
          <w:szCs w:val="24"/>
        </w:rPr>
        <w:t>oduits financiers participatifs.</w:t>
      </w:r>
    </w:p>
    <w:tbl>
      <w:tblPr>
        <w:tblStyle w:val="Grilledutableau"/>
        <w:tblW w:w="0" w:type="auto"/>
        <w:shd w:val="solid" w:color="F2F2F2" w:themeColor="background1" w:themeShade="F2" w:fill="F2F2F2" w:themeFill="background1" w:themeFillShade="F2"/>
        <w:tblLook w:val="04A0" w:firstRow="1" w:lastRow="0" w:firstColumn="1" w:lastColumn="0" w:noHBand="0" w:noVBand="1"/>
      </w:tblPr>
      <w:tblGrid>
        <w:gridCol w:w="6204"/>
        <w:gridCol w:w="1984"/>
      </w:tblGrid>
      <w:tr w:rsidR="00EA2B69" w:rsidRPr="00F634CD" w14:paraId="5C20D39D" w14:textId="77777777" w:rsidTr="00B43F9B">
        <w:trPr>
          <w:trHeight w:hRule="exact" w:val="567"/>
        </w:trPr>
        <w:tc>
          <w:tcPr>
            <w:tcW w:w="6204" w:type="dxa"/>
            <w:shd w:val="solid" w:color="F2F2F2" w:themeColor="background1" w:themeShade="F2" w:fill="F2F2F2" w:themeFill="background1" w:themeFillShade="F2"/>
            <w:vAlign w:val="center"/>
          </w:tcPr>
          <w:p w14:paraId="60E6DEEE" w14:textId="77777777" w:rsidR="00EA2B69" w:rsidRPr="00F634CD" w:rsidRDefault="00EA2B69" w:rsidP="00B43F9B">
            <w:pPr>
              <w:tabs>
                <w:tab w:val="center" w:pos="4536"/>
              </w:tabs>
              <w:spacing w:line="360" w:lineRule="auto"/>
              <w:jc w:val="left"/>
              <w:rPr>
                <w:rFonts w:asciiTheme="majorBidi" w:hAnsiTheme="majorBidi" w:cstheme="majorBidi"/>
                <w:kern w:val="24"/>
                <w:sz w:val="24"/>
                <w:szCs w:val="24"/>
              </w:rPr>
            </w:pPr>
            <w:r w:rsidRPr="00F634CD">
              <w:rPr>
                <w:rFonts w:asciiTheme="majorBidi" w:hAnsiTheme="majorBidi" w:cstheme="majorBidi"/>
                <w:kern w:val="24"/>
                <w:sz w:val="24"/>
                <w:szCs w:val="24"/>
              </w:rPr>
              <w:t>Les réserves pour pertes</w:t>
            </w:r>
          </w:p>
        </w:tc>
        <w:tc>
          <w:tcPr>
            <w:tcW w:w="1984" w:type="dxa"/>
            <w:shd w:val="solid" w:color="F2F2F2" w:themeColor="background1" w:themeShade="F2" w:fill="F2F2F2" w:themeFill="background1" w:themeFillShade="F2"/>
            <w:vAlign w:val="center"/>
          </w:tcPr>
          <w:p w14:paraId="140342A8" w14:textId="67F8D901" w:rsidR="00EA2B69" w:rsidRPr="00F634CD" w:rsidRDefault="002C5EFF" w:rsidP="00B43F9B">
            <w:pPr>
              <w:tabs>
                <w:tab w:val="center" w:pos="4536"/>
              </w:tabs>
              <w:spacing w:line="360" w:lineRule="auto"/>
              <w:jc w:val="left"/>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07744" behindDoc="0" locked="0" layoutInCell="1" allowOverlap="1" wp14:anchorId="79816F59" wp14:editId="0F05AE35">
                      <wp:simplePos x="0" y="0"/>
                      <wp:positionH relativeFrom="column">
                        <wp:posOffset>357505</wp:posOffset>
                      </wp:positionH>
                      <wp:positionV relativeFrom="paragraph">
                        <wp:posOffset>109220</wp:posOffset>
                      </wp:positionV>
                      <wp:extent cx="212090" cy="159385"/>
                      <wp:effectExtent l="0" t="0" r="0" b="0"/>
                      <wp:wrapNone/>
                      <wp:docPr id="81" name="Organigramme : Processus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65A3C"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816F59" id="Organigramme : Processus 81" o:spid="_x0000_s1346" type="#_x0000_t109" style="position:absolute;margin-left:28.15pt;margin-top:8.6pt;width:16.7pt;height:1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" fillcolor="white [3212]" strokecolor="black [3213]" strokeweight="1.25pt">
                      <v:path arrowok="t"/>
                      <v:textbox>
                        <w:txbxContent>
                          <w:p w14:paraId="02A65A3C" w14:textId="77777777" w:rsidR="009C2D83" w:rsidRDefault="009C2D83" w:rsidP="00EA2B69">
                            <w:pPr>
                              <w:jc w:val="center"/>
                            </w:pPr>
                          </w:p>
                        </w:txbxContent>
                      </v:textbox>
                    </v:shape>
                  </w:pict>
                </mc:Fallback>
              </mc:AlternateContent>
            </w:r>
          </w:p>
        </w:tc>
      </w:tr>
      <w:tr w:rsidR="00EA2B69" w:rsidRPr="00F634CD" w14:paraId="4F403D8F" w14:textId="77777777" w:rsidTr="00B43F9B">
        <w:trPr>
          <w:trHeight w:hRule="exact" w:val="567"/>
        </w:trPr>
        <w:tc>
          <w:tcPr>
            <w:tcW w:w="6204" w:type="dxa"/>
            <w:shd w:val="solid" w:color="F2F2F2" w:themeColor="background1" w:themeShade="F2" w:fill="F2F2F2" w:themeFill="background1" w:themeFillShade="F2"/>
            <w:vAlign w:val="center"/>
          </w:tcPr>
          <w:p w14:paraId="72630ACB" w14:textId="77777777" w:rsidR="00EA2B69" w:rsidRPr="00F634CD" w:rsidRDefault="00EA2B69" w:rsidP="00B43F9B">
            <w:pPr>
              <w:tabs>
                <w:tab w:val="center" w:pos="4536"/>
              </w:tabs>
              <w:spacing w:line="360" w:lineRule="auto"/>
              <w:jc w:val="left"/>
              <w:rPr>
                <w:rFonts w:asciiTheme="majorBidi" w:hAnsiTheme="majorBidi" w:cstheme="majorBidi"/>
                <w:kern w:val="24"/>
                <w:sz w:val="24"/>
                <w:szCs w:val="24"/>
              </w:rPr>
            </w:pPr>
            <w:r w:rsidRPr="00F634CD">
              <w:rPr>
                <w:rFonts w:asciiTheme="majorBidi" w:hAnsiTheme="majorBidi" w:cstheme="majorBidi"/>
                <w:kern w:val="24"/>
                <w:sz w:val="24"/>
                <w:szCs w:val="24"/>
              </w:rPr>
              <w:t>Le nantissement</w:t>
            </w:r>
          </w:p>
        </w:tc>
        <w:tc>
          <w:tcPr>
            <w:tcW w:w="1984" w:type="dxa"/>
            <w:shd w:val="solid" w:color="F2F2F2" w:themeColor="background1" w:themeShade="F2" w:fill="F2F2F2" w:themeFill="background1" w:themeFillShade="F2"/>
            <w:vAlign w:val="center"/>
          </w:tcPr>
          <w:p w14:paraId="5CA20900" w14:textId="74D63472" w:rsidR="00EA2B69" w:rsidRPr="00F634CD" w:rsidRDefault="002C5EFF" w:rsidP="00B43F9B">
            <w:pPr>
              <w:tabs>
                <w:tab w:val="center" w:pos="4536"/>
              </w:tabs>
              <w:spacing w:line="360" w:lineRule="auto"/>
              <w:jc w:val="left"/>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06720" behindDoc="0" locked="0" layoutInCell="1" allowOverlap="1" wp14:anchorId="759998F9" wp14:editId="740EBF85">
                      <wp:simplePos x="0" y="0"/>
                      <wp:positionH relativeFrom="column">
                        <wp:posOffset>357505</wp:posOffset>
                      </wp:positionH>
                      <wp:positionV relativeFrom="paragraph">
                        <wp:posOffset>116205</wp:posOffset>
                      </wp:positionV>
                      <wp:extent cx="212090" cy="159385"/>
                      <wp:effectExtent l="0" t="0" r="0" b="0"/>
                      <wp:wrapNone/>
                      <wp:docPr id="82" name="Organigramme : Processus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35CDE"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9998F9" id="Organigramme : Processus 82" o:spid="_x0000_s1347" type="#_x0000_t109" style="position:absolute;margin-left:28.15pt;margin-top:9.15pt;width:16.7pt;height:1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" fillcolor="white [3212]" strokecolor="black [3213]" strokeweight="1.25pt">
                      <v:path arrowok="t"/>
                      <v:textbox>
                        <w:txbxContent>
                          <w:p w14:paraId="33535CDE" w14:textId="77777777" w:rsidR="009C2D83" w:rsidRDefault="009C2D83" w:rsidP="00EA2B69">
                            <w:pPr>
                              <w:jc w:val="center"/>
                            </w:pPr>
                          </w:p>
                        </w:txbxContent>
                      </v:textbox>
                    </v:shape>
                  </w:pict>
                </mc:Fallback>
              </mc:AlternateContent>
            </w:r>
          </w:p>
        </w:tc>
      </w:tr>
      <w:tr w:rsidR="00EA2B69" w:rsidRPr="00F634CD" w14:paraId="41F34102" w14:textId="77777777" w:rsidTr="00B43F9B">
        <w:trPr>
          <w:trHeight w:hRule="exact" w:val="567"/>
        </w:trPr>
        <w:tc>
          <w:tcPr>
            <w:tcW w:w="6204" w:type="dxa"/>
            <w:shd w:val="solid" w:color="F2F2F2" w:themeColor="background1" w:themeShade="F2" w:fill="F2F2F2" w:themeFill="background1" w:themeFillShade="F2"/>
            <w:vAlign w:val="center"/>
          </w:tcPr>
          <w:p w14:paraId="6E867AC0" w14:textId="79BFAA38" w:rsidR="00EA2B69" w:rsidRPr="00F634CD" w:rsidRDefault="00EA2B69" w:rsidP="00B43F9B">
            <w:pPr>
              <w:tabs>
                <w:tab w:val="center" w:pos="4536"/>
              </w:tabs>
              <w:spacing w:line="360" w:lineRule="auto"/>
              <w:jc w:val="left"/>
              <w:rPr>
                <w:rFonts w:asciiTheme="majorBidi" w:hAnsiTheme="majorBidi" w:cstheme="majorBidi"/>
                <w:kern w:val="24"/>
                <w:sz w:val="24"/>
                <w:szCs w:val="24"/>
              </w:rPr>
            </w:pPr>
            <w:r w:rsidRPr="00F634CD">
              <w:rPr>
                <w:rFonts w:asciiTheme="majorBidi" w:hAnsiTheme="majorBidi" w:cstheme="majorBidi"/>
                <w:kern w:val="24"/>
                <w:sz w:val="24"/>
                <w:szCs w:val="24"/>
              </w:rPr>
              <w:t xml:space="preserve">Le </w:t>
            </w:r>
            <w:r w:rsidR="002814F3" w:rsidRPr="002814F3">
              <w:rPr>
                <w:rFonts w:asciiTheme="majorBidi" w:hAnsiTheme="majorBidi" w:cstheme="majorBidi"/>
                <w:i/>
                <w:iCs/>
                <w:kern w:val="24"/>
                <w:sz w:val="24"/>
                <w:szCs w:val="24"/>
              </w:rPr>
              <w:t>n</w:t>
            </w:r>
            <w:r w:rsidRPr="002814F3">
              <w:rPr>
                <w:rFonts w:asciiTheme="majorBidi" w:hAnsiTheme="majorBidi" w:cstheme="majorBidi"/>
                <w:i/>
                <w:iCs/>
                <w:kern w:val="24"/>
                <w:sz w:val="24"/>
                <w:szCs w:val="24"/>
              </w:rPr>
              <w:t>etting</w:t>
            </w:r>
            <w:r w:rsidRPr="00F634CD">
              <w:rPr>
                <w:rFonts w:asciiTheme="majorBidi" w:hAnsiTheme="majorBidi" w:cstheme="majorBidi"/>
                <w:kern w:val="24"/>
                <w:sz w:val="24"/>
                <w:szCs w:val="24"/>
              </w:rPr>
              <w:t xml:space="preserve"> sur bilan</w:t>
            </w:r>
          </w:p>
        </w:tc>
        <w:tc>
          <w:tcPr>
            <w:tcW w:w="1984" w:type="dxa"/>
            <w:shd w:val="solid" w:color="F2F2F2" w:themeColor="background1" w:themeShade="F2" w:fill="F2F2F2" w:themeFill="background1" w:themeFillShade="F2"/>
            <w:vAlign w:val="center"/>
          </w:tcPr>
          <w:p w14:paraId="382015DB" w14:textId="3374090A" w:rsidR="00EA2B69" w:rsidRPr="00F634CD" w:rsidRDefault="002C5EFF" w:rsidP="00B43F9B">
            <w:pPr>
              <w:tabs>
                <w:tab w:val="center" w:pos="4536"/>
              </w:tabs>
              <w:spacing w:line="360" w:lineRule="auto"/>
              <w:jc w:val="left"/>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05696" behindDoc="0" locked="0" layoutInCell="1" allowOverlap="1" wp14:anchorId="208E7B2D" wp14:editId="2369F8A1">
                      <wp:simplePos x="0" y="0"/>
                      <wp:positionH relativeFrom="column">
                        <wp:posOffset>357505</wp:posOffset>
                      </wp:positionH>
                      <wp:positionV relativeFrom="paragraph">
                        <wp:posOffset>132715</wp:posOffset>
                      </wp:positionV>
                      <wp:extent cx="212090" cy="159385"/>
                      <wp:effectExtent l="0" t="0" r="0" b="0"/>
                      <wp:wrapNone/>
                      <wp:docPr id="83" name="Organigramme : Processu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B3094"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8E7B2D" id="Organigramme : Processus 83" o:spid="_x0000_s1348" type="#_x0000_t109" style="position:absolute;margin-left:28.15pt;margin-top:10.45pt;width:16.7pt;height:1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" fillcolor="white [3212]" strokecolor="black [3213]" strokeweight="1.25pt">
                      <v:path arrowok="t"/>
                      <v:textbox>
                        <w:txbxContent>
                          <w:p w14:paraId="4BCB3094" w14:textId="77777777" w:rsidR="009C2D83" w:rsidRDefault="009C2D83" w:rsidP="00EA2B69">
                            <w:pPr>
                              <w:jc w:val="center"/>
                            </w:pPr>
                          </w:p>
                        </w:txbxContent>
                      </v:textbox>
                    </v:shape>
                  </w:pict>
                </mc:Fallback>
              </mc:AlternateContent>
            </w:r>
          </w:p>
        </w:tc>
      </w:tr>
      <w:tr w:rsidR="00EA2B69" w:rsidRPr="00F634CD" w14:paraId="7E5FCAC5" w14:textId="77777777" w:rsidTr="00B43F9B">
        <w:trPr>
          <w:trHeight w:hRule="exact" w:val="567"/>
        </w:trPr>
        <w:tc>
          <w:tcPr>
            <w:tcW w:w="6204" w:type="dxa"/>
            <w:shd w:val="solid" w:color="F2F2F2" w:themeColor="background1" w:themeShade="F2" w:fill="F2F2F2" w:themeFill="background1" w:themeFillShade="F2"/>
            <w:vAlign w:val="center"/>
          </w:tcPr>
          <w:p w14:paraId="2C11CA63" w14:textId="77777777" w:rsidR="00EA2B69" w:rsidRPr="00F634CD" w:rsidRDefault="00EA2B69" w:rsidP="00B43F9B">
            <w:pPr>
              <w:tabs>
                <w:tab w:val="center" w:pos="4536"/>
              </w:tabs>
              <w:spacing w:line="360" w:lineRule="auto"/>
              <w:jc w:val="left"/>
              <w:rPr>
                <w:rFonts w:asciiTheme="majorBidi" w:hAnsiTheme="majorBidi" w:cstheme="majorBidi"/>
                <w:kern w:val="24"/>
                <w:sz w:val="24"/>
                <w:szCs w:val="24"/>
              </w:rPr>
            </w:pPr>
            <w:r w:rsidRPr="00F634CD">
              <w:rPr>
                <w:rFonts w:asciiTheme="majorBidi" w:hAnsiTheme="majorBidi" w:cstheme="majorBidi"/>
                <w:kern w:val="24"/>
              </w:rPr>
              <w:t>Les garanties</w:t>
            </w:r>
          </w:p>
        </w:tc>
        <w:tc>
          <w:tcPr>
            <w:tcW w:w="1984" w:type="dxa"/>
            <w:shd w:val="solid" w:color="F2F2F2" w:themeColor="background1" w:themeShade="F2" w:fill="F2F2F2" w:themeFill="background1" w:themeFillShade="F2"/>
            <w:vAlign w:val="center"/>
          </w:tcPr>
          <w:p w14:paraId="418DF794" w14:textId="3852B9BA" w:rsidR="00EA2B69" w:rsidRPr="00F634CD" w:rsidRDefault="002C5EFF" w:rsidP="00B43F9B">
            <w:pPr>
              <w:tabs>
                <w:tab w:val="center" w:pos="4536"/>
              </w:tabs>
              <w:spacing w:line="360" w:lineRule="auto"/>
              <w:jc w:val="left"/>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12864" behindDoc="0" locked="0" layoutInCell="1" allowOverlap="1" wp14:anchorId="1518246C" wp14:editId="79010CBD">
                      <wp:simplePos x="0" y="0"/>
                      <wp:positionH relativeFrom="column">
                        <wp:posOffset>372110</wp:posOffset>
                      </wp:positionH>
                      <wp:positionV relativeFrom="paragraph">
                        <wp:posOffset>115570</wp:posOffset>
                      </wp:positionV>
                      <wp:extent cx="212090" cy="159385"/>
                      <wp:effectExtent l="0" t="0" r="0" b="0"/>
                      <wp:wrapNone/>
                      <wp:docPr id="1" name="Organigramme : Processu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97386"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18246C" id="Organigramme : Processus 11" o:spid="_x0000_s1349" type="#_x0000_t109" style="position:absolute;margin-left:29.3pt;margin-top:9.1pt;width:16.7pt;height:1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" fillcolor="white [3212]" strokecolor="black [3213]" strokeweight="1.25pt">
                      <v:path arrowok="t"/>
                      <v:textbox>
                        <w:txbxContent>
                          <w:p w14:paraId="7DC97386" w14:textId="77777777" w:rsidR="009C2D83" w:rsidRDefault="009C2D83" w:rsidP="00EA2B69">
                            <w:pPr>
                              <w:jc w:val="center"/>
                            </w:pPr>
                          </w:p>
                        </w:txbxContent>
                      </v:textbox>
                    </v:shape>
                  </w:pict>
                </mc:Fallback>
              </mc:AlternateContent>
            </w:r>
          </w:p>
        </w:tc>
      </w:tr>
      <w:tr w:rsidR="00EA2B69" w:rsidRPr="00F634CD" w14:paraId="2F57269A" w14:textId="77777777" w:rsidTr="00B43F9B">
        <w:trPr>
          <w:trHeight w:hRule="exact" w:val="567"/>
        </w:trPr>
        <w:tc>
          <w:tcPr>
            <w:tcW w:w="6204" w:type="dxa"/>
            <w:shd w:val="solid" w:color="F2F2F2" w:themeColor="background1" w:themeShade="F2" w:fill="F2F2F2" w:themeFill="background1" w:themeFillShade="F2"/>
            <w:vAlign w:val="center"/>
          </w:tcPr>
          <w:p w14:paraId="3BF2D7E2" w14:textId="77777777" w:rsidR="00EA2B69" w:rsidRPr="00F634CD" w:rsidRDefault="00EA2B69" w:rsidP="00B43F9B">
            <w:pPr>
              <w:pStyle w:val="Default"/>
              <w:spacing w:line="360" w:lineRule="auto"/>
              <w:jc w:val="left"/>
              <w:rPr>
                <w:rFonts w:asciiTheme="majorBidi" w:hAnsiTheme="majorBidi" w:cstheme="majorBidi"/>
                <w:kern w:val="24"/>
              </w:rPr>
            </w:pPr>
            <w:r w:rsidRPr="00F634CD">
              <w:rPr>
                <w:rFonts w:asciiTheme="majorBidi" w:hAnsiTheme="majorBidi" w:cstheme="majorBidi"/>
                <w:kern w:val="24"/>
                <w:sz w:val="22"/>
                <w:szCs w:val="22"/>
              </w:rPr>
              <w:t>Les swaps de taux de profit</w:t>
            </w:r>
          </w:p>
        </w:tc>
        <w:tc>
          <w:tcPr>
            <w:tcW w:w="1984" w:type="dxa"/>
            <w:shd w:val="solid" w:color="F2F2F2" w:themeColor="background1" w:themeShade="F2" w:fill="F2F2F2" w:themeFill="background1" w:themeFillShade="F2"/>
            <w:vAlign w:val="center"/>
          </w:tcPr>
          <w:p w14:paraId="6E50DDBA" w14:textId="7DA61C91" w:rsidR="00EA2B69" w:rsidRPr="00F634CD" w:rsidRDefault="002C5EFF" w:rsidP="00B43F9B">
            <w:pPr>
              <w:tabs>
                <w:tab w:val="center" w:pos="4536"/>
              </w:tabs>
              <w:spacing w:line="360" w:lineRule="auto"/>
              <w:jc w:val="left"/>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08768" behindDoc="0" locked="0" layoutInCell="1" allowOverlap="1" wp14:anchorId="5A3A0A1E" wp14:editId="132E98BC">
                      <wp:simplePos x="0" y="0"/>
                      <wp:positionH relativeFrom="column">
                        <wp:posOffset>372110</wp:posOffset>
                      </wp:positionH>
                      <wp:positionV relativeFrom="paragraph">
                        <wp:posOffset>127635</wp:posOffset>
                      </wp:positionV>
                      <wp:extent cx="212090" cy="159385"/>
                      <wp:effectExtent l="0" t="0" r="0" b="0"/>
                      <wp:wrapNone/>
                      <wp:docPr id="86" name="Organigramme : Processus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645F6"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3A0A1E" id="Organigramme : Processus 86" o:spid="_x0000_s1350" type="#_x0000_t109" style="position:absolute;margin-left:29.3pt;margin-top:10.05pt;width:16.7pt;height:1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" fillcolor="white [3212]" strokecolor="black [3213]" strokeweight="1.25pt">
                      <v:path arrowok="t"/>
                      <v:textbox>
                        <w:txbxContent>
                          <w:p w14:paraId="25D645F6" w14:textId="77777777" w:rsidR="009C2D83" w:rsidRDefault="009C2D83" w:rsidP="00EA2B69">
                            <w:pPr>
                              <w:jc w:val="center"/>
                            </w:pPr>
                          </w:p>
                        </w:txbxContent>
                      </v:textbox>
                    </v:shape>
                  </w:pict>
                </mc:Fallback>
              </mc:AlternateContent>
            </w:r>
          </w:p>
        </w:tc>
      </w:tr>
      <w:tr w:rsidR="00EA2B69" w:rsidRPr="00F634CD" w14:paraId="3AD5755E" w14:textId="77777777" w:rsidTr="00B43F9B">
        <w:trPr>
          <w:trHeight w:hRule="exact" w:val="567"/>
        </w:trPr>
        <w:tc>
          <w:tcPr>
            <w:tcW w:w="6204" w:type="dxa"/>
            <w:shd w:val="solid" w:color="F2F2F2" w:themeColor="background1" w:themeShade="F2" w:fill="F2F2F2" w:themeFill="background1" w:themeFillShade="F2"/>
            <w:vAlign w:val="center"/>
          </w:tcPr>
          <w:p w14:paraId="3D70A981" w14:textId="77777777" w:rsidR="00EA2B69" w:rsidRPr="002814F3" w:rsidRDefault="00EA2B69" w:rsidP="00B43F9B">
            <w:pPr>
              <w:pStyle w:val="Default"/>
              <w:spacing w:line="360" w:lineRule="auto"/>
              <w:jc w:val="left"/>
              <w:rPr>
                <w:rFonts w:asciiTheme="majorBidi" w:hAnsiTheme="majorBidi" w:cstheme="majorBidi"/>
                <w:i/>
                <w:iCs/>
                <w:kern w:val="24"/>
                <w:sz w:val="22"/>
                <w:szCs w:val="22"/>
              </w:rPr>
            </w:pPr>
            <w:r w:rsidRPr="002814F3">
              <w:rPr>
                <w:rFonts w:asciiTheme="majorBidi" w:hAnsiTheme="majorBidi" w:cstheme="majorBidi"/>
                <w:i/>
                <w:iCs/>
                <w:kern w:val="24"/>
                <w:sz w:val="22"/>
                <w:szCs w:val="22"/>
              </w:rPr>
              <w:t>Al-Waàd</w:t>
            </w:r>
          </w:p>
        </w:tc>
        <w:tc>
          <w:tcPr>
            <w:tcW w:w="1984" w:type="dxa"/>
            <w:shd w:val="solid" w:color="F2F2F2" w:themeColor="background1" w:themeShade="F2" w:fill="F2F2F2" w:themeFill="background1" w:themeFillShade="F2"/>
            <w:vAlign w:val="center"/>
          </w:tcPr>
          <w:p w14:paraId="26237F40" w14:textId="70C41C27" w:rsidR="00EA2B69" w:rsidRPr="00F634CD" w:rsidRDefault="002C5EFF" w:rsidP="00B43F9B">
            <w:pPr>
              <w:tabs>
                <w:tab w:val="center" w:pos="4536"/>
              </w:tabs>
              <w:spacing w:line="360" w:lineRule="auto"/>
              <w:jc w:val="left"/>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04672" behindDoc="0" locked="0" layoutInCell="1" allowOverlap="1" wp14:anchorId="7FA2F44A" wp14:editId="7CE4CE1D">
                      <wp:simplePos x="0" y="0"/>
                      <wp:positionH relativeFrom="column">
                        <wp:posOffset>360045</wp:posOffset>
                      </wp:positionH>
                      <wp:positionV relativeFrom="paragraph">
                        <wp:posOffset>144145</wp:posOffset>
                      </wp:positionV>
                      <wp:extent cx="212090" cy="159385"/>
                      <wp:effectExtent l="0" t="0" r="0" b="0"/>
                      <wp:wrapNone/>
                      <wp:docPr id="87" name="Organigramme : Processu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22994"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A2F44A" id="Organigramme : Processus 87" o:spid="_x0000_s1351" type="#_x0000_t109" style="position:absolute;margin-left:28.35pt;margin-top:11.35pt;width:16.7pt;height:1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" fillcolor="white [3212]" strokecolor="black [3213]" strokeweight="1.25pt">
                      <v:path arrowok="t"/>
                      <v:textbox>
                        <w:txbxContent>
                          <w:p w14:paraId="3BD22994" w14:textId="77777777" w:rsidR="009C2D83" w:rsidRDefault="009C2D83" w:rsidP="00EA2B69">
                            <w:pPr>
                              <w:jc w:val="center"/>
                            </w:pPr>
                          </w:p>
                        </w:txbxContent>
                      </v:textbox>
                    </v:shape>
                  </w:pict>
                </mc:Fallback>
              </mc:AlternateContent>
            </w:r>
          </w:p>
        </w:tc>
      </w:tr>
      <w:tr w:rsidR="00EA2B69" w:rsidRPr="00F634CD" w14:paraId="32C7A4EB" w14:textId="77777777" w:rsidTr="00B43F9B">
        <w:trPr>
          <w:trHeight w:hRule="exact" w:val="567"/>
        </w:trPr>
        <w:tc>
          <w:tcPr>
            <w:tcW w:w="6204" w:type="dxa"/>
            <w:shd w:val="solid" w:color="F2F2F2" w:themeColor="background1" w:themeShade="F2" w:fill="F2F2F2" w:themeFill="background1" w:themeFillShade="F2"/>
            <w:vAlign w:val="center"/>
          </w:tcPr>
          <w:p w14:paraId="2A047D0D" w14:textId="5E7F83F7" w:rsidR="00EA2B69" w:rsidRPr="002814F3" w:rsidRDefault="002814F3" w:rsidP="00B43F9B">
            <w:pPr>
              <w:pStyle w:val="Default"/>
              <w:spacing w:line="360" w:lineRule="auto"/>
              <w:jc w:val="left"/>
              <w:rPr>
                <w:rFonts w:asciiTheme="majorBidi" w:hAnsiTheme="majorBidi" w:cstheme="majorBidi"/>
                <w:i/>
                <w:iCs/>
                <w:kern w:val="24"/>
              </w:rPr>
            </w:pPr>
            <w:r w:rsidRPr="002814F3">
              <w:rPr>
                <w:rFonts w:asciiTheme="majorBidi" w:hAnsiTheme="majorBidi" w:cstheme="majorBidi"/>
                <w:i/>
                <w:iCs/>
                <w:kern w:val="24"/>
              </w:rPr>
              <w:t>A’</w:t>
            </w:r>
            <w:r w:rsidR="00EA2B69" w:rsidRPr="002814F3">
              <w:rPr>
                <w:rFonts w:asciiTheme="majorBidi" w:hAnsiTheme="majorBidi" w:cstheme="majorBidi"/>
                <w:i/>
                <w:iCs/>
                <w:kern w:val="24"/>
              </w:rPr>
              <w:t xml:space="preserve">rbun </w:t>
            </w:r>
          </w:p>
        </w:tc>
        <w:tc>
          <w:tcPr>
            <w:tcW w:w="1984" w:type="dxa"/>
            <w:shd w:val="solid" w:color="F2F2F2" w:themeColor="background1" w:themeShade="F2" w:fill="F2F2F2" w:themeFill="background1" w:themeFillShade="F2"/>
            <w:vAlign w:val="center"/>
          </w:tcPr>
          <w:p w14:paraId="093E36C4" w14:textId="4C9952AC" w:rsidR="00EA2B69" w:rsidRPr="00F634CD" w:rsidRDefault="002C5EFF" w:rsidP="00B43F9B">
            <w:pPr>
              <w:tabs>
                <w:tab w:val="center" w:pos="4536"/>
              </w:tabs>
              <w:spacing w:line="360" w:lineRule="auto"/>
              <w:jc w:val="left"/>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09792" behindDoc="0" locked="0" layoutInCell="1" allowOverlap="1" wp14:anchorId="2982C175" wp14:editId="16621A58">
                      <wp:simplePos x="0" y="0"/>
                      <wp:positionH relativeFrom="column">
                        <wp:posOffset>369570</wp:posOffset>
                      </wp:positionH>
                      <wp:positionV relativeFrom="paragraph">
                        <wp:posOffset>132080</wp:posOffset>
                      </wp:positionV>
                      <wp:extent cx="212090" cy="159385"/>
                      <wp:effectExtent l="0" t="0" r="0" b="0"/>
                      <wp:wrapNone/>
                      <wp:docPr id="88" name="Organigramme : Processus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14C94"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82C175" id="Organigramme : Processus 88" o:spid="_x0000_s1352" type="#_x0000_t109" style="position:absolute;margin-left:29.1pt;margin-top:10.4pt;width:16.7pt;height:12.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" fillcolor="white [3212]" strokecolor="black [3213]" strokeweight="1.25pt">
                      <v:path arrowok="t"/>
                      <v:textbox>
                        <w:txbxContent>
                          <w:p w14:paraId="5E014C94" w14:textId="77777777" w:rsidR="009C2D83" w:rsidRDefault="009C2D83" w:rsidP="00EA2B69">
                            <w:pPr>
                              <w:jc w:val="center"/>
                            </w:pPr>
                          </w:p>
                        </w:txbxContent>
                      </v:textbox>
                    </v:shape>
                  </w:pict>
                </mc:Fallback>
              </mc:AlternateContent>
            </w:r>
          </w:p>
        </w:tc>
      </w:tr>
      <w:tr w:rsidR="00EA2B69" w:rsidRPr="00F634CD" w14:paraId="17B86F2B" w14:textId="77777777" w:rsidTr="00B43F9B">
        <w:trPr>
          <w:trHeight w:hRule="exact" w:val="567"/>
        </w:trPr>
        <w:tc>
          <w:tcPr>
            <w:tcW w:w="6204" w:type="dxa"/>
            <w:shd w:val="solid" w:color="F2F2F2" w:themeColor="background1" w:themeShade="F2" w:fill="F2F2F2" w:themeFill="background1" w:themeFillShade="F2"/>
            <w:vAlign w:val="center"/>
          </w:tcPr>
          <w:p w14:paraId="300E8930" w14:textId="77777777" w:rsidR="00EA2B69" w:rsidRPr="00F634CD" w:rsidRDefault="00EA2B69" w:rsidP="00B43F9B">
            <w:pPr>
              <w:pStyle w:val="Default"/>
              <w:spacing w:line="360" w:lineRule="auto"/>
              <w:jc w:val="left"/>
              <w:rPr>
                <w:rFonts w:asciiTheme="majorBidi" w:hAnsiTheme="majorBidi" w:cstheme="majorBidi"/>
                <w:kern w:val="24"/>
              </w:rPr>
            </w:pPr>
            <w:r w:rsidRPr="00F634CD">
              <w:rPr>
                <w:rFonts w:asciiTheme="majorBidi" w:hAnsiTheme="majorBidi" w:cstheme="majorBidi"/>
                <w:kern w:val="24"/>
              </w:rPr>
              <w:t>Profit Equalisation Reserve (PER)</w:t>
            </w:r>
          </w:p>
        </w:tc>
        <w:tc>
          <w:tcPr>
            <w:tcW w:w="1984" w:type="dxa"/>
            <w:shd w:val="solid" w:color="F2F2F2" w:themeColor="background1" w:themeShade="F2" w:fill="F2F2F2" w:themeFill="background1" w:themeFillShade="F2"/>
            <w:vAlign w:val="center"/>
          </w:tcPr>
          <w:p w14:paraId="38B1CAA8" w14:textId="3749D3DC" w:rsidR="00EA2B69" w:rsidRPr="00F634CD" w:rsidRDefault="002C5EFF" w:rsidP="00B43F9B">
            <w:pPr>
              <w:tabs>
                <w:tab w:val="center" w:pos="4536"/>
              </w:tabs>
              <w:spacing w:line="360" w:lineRule="auto"/>
              <w:jc w:val="left"/>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10816" behindDoc="0" locked="0" layoutInCell="1" allowOverlap="1" wp14:anchorId="184461AD" wp14:editId="1159A634">
                      <wp:simplePos x="0" y="0"/>
                      <wp:positionH relativeFrom="column">
                        <wp:posOffset>369570</wp:posOffset>
                      </wp:positionH>
                      <wp:positionV relativeFrom="paragraph">
                        <wp:posOffset>100965</wp:posOffset>
                      </wp:positionV>
                      <wp:extent cx="212090" cy="159385"/>
                      <wp:effectExtent l="0" t="0" r="0" b="0"/>
                      <wp:wrapNone/>
                      <wp:docPr id="89" name="Organigramme : Processus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4493F"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4461AD" id="Organigramme : Processus 89" o:spid="_x0000_s1353" type="#_x0000_t109" style="position:absolute;margin-left:29.1pt;margin-top:7.95pt;width:16.7pt;height:1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" fillcolor="white [3212]" strokecolor="black [3213]" strokeweight="1.25pt">
                      <v:path arrowok="t"/>
                      <v:textbox>
                        <w:txbxContent>
                          <w:p w14:paraId="2444493F" w14:textId="77777777" w:rsidR="009C2D83" w:rsidRDefault="009C2D83" w:rsidP="00EA2B69">
                            <w:pPr>
                              <w:jc w:val="center"/>
                            </w:pPr>
                          </w:p>
                        </w:txbxContent>
                      </v:textbox>
                    </v:shape>
                  </w:pict>
                </mc:Fallback>
              </mc:AlternateContent>
            </w:r>
          </w:p>
        </w:tc>
      </w:tr>
      <w:tr w:rsidR="00EA2B69" w:rsidRPr="00F634CD" w14:paraId="578CD0FD" w14:textId="77777777" w:rsidTr="00B43F9B">
        <w:trPr>
          <w:trHeight w:hRule="exact" w:val="567"/>
        </w:trPr>
        <w:tc>
          <w:tcPr>
            <w:tcW w:w="6204" w:type="dxa"/>
            <w:shd w:val="solid" w:color="F2F2F2" w:themeColor="background1" w:themeShade="F2" w:fill="F2F2F2" w:themeFill="background1" w:themeFillShade="F2"/>
            <w:vAlign w:val="center"/>
          </w:tcPr>
          <w:p w14:paraId="198D79D3" w14:textId="77777777" w:rsidR="00EA2B69" w:rsidRPr="00F634CD" w:rsidRDefault="00EA2B69" w:rsidP="00B43F9B">
            <w:pPr>
              <w:pStyle w:val="Default"/>
              <w:spacing w:line="360" w:lineRule="auto"/>
              <w:jc w:val="left"/>
              <w:rPr>
                <w:rFonts w:asciiTheme="majorBidi" w:hAnsiTheme="majorBidi" w:cstheme="majorBidi"/>
                <w:kern w:val="24"/>
              </w:rPr>
            </w:pPr>
            <w:r w:rsidRPr="00F634CD">
              <w:rPr>
                <w:rFonts w:asciiTheme="majorBidi" w:hAnsiTheme="majorBidi" w:cstheme="majorBidi"/>
                <w:kern w:val="24"/>
              </w:rPr>
              <w:t>Investment Risk Reserve (IRR)</w:t>
            </w:r>
          </w:p>
        </w:tc>
        <w:tc>
          <w:tcPr>
            <w:tcW w:w="1984" w:type="dxa"/>
            <w:shd w:val="solid" w:color="F2F2F2" w:themeColor="background1" w:themeShade="F2" w:fill="F2F2F2" w:themeFill="background1" w:themeFillShade="F2"/>
            <w:vAlign w:val="center"/>
          </w:tcPr>
          <w:p w14:paraId="638745C7" w14:textId="0BE20ABC" w:rsidR="00EA2B69" w:rsidRPr="00F634CD" w:rsidRDefault="002C5EFF" w:rsidP="00B43F9B">
            <w:pPr>
              <w:tabs>
                <w:tab w:val="center" w:pos="4536"/>
              </w:tabs>
              <w:spacing w:line="360" w:lineRule="auto"/>
              <w:jc w:val="left"/>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11840" behindDoc="0" locked="0" layoutInCell="1" allowOverlap="1" wp14:anchorId="1263D7DB" wp14:editId="54D85FDA">
                      <wp:simplePos x="0" y="0"/>
                      <wp:positionH relativeFrom="column">
                        <wp:posOffset>372110</wp:posOffset>
                      </wp:positionH>
                      <wp:positionV relativeFrom="paragraph">
                        <wp:posOffset>107950</wp:posOffset>
                      </wp:positionV>
                      <wp:extent cx="212090" cy="159385"/>
                      <wp:effectExtent l="0" t="0" r="0" b="0"/>
                      <wp:wrapNone/>
                      <wp:docPr id="90" name="Organigramme : Processus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6BDDA"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63D7DB" id="Organigramme : Processus 90" o:spid="_x0000_s1354" type="#_x0000_t109" style="position:absolute;margin-left:29.3pt;margin-top:8.5pt;width:16.7pt;height:1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" fillcolor="white [3212]" strokecolor="black [3213]" strokeweight="1.25pt">
                      <v:path arrowok="t"/>
                      <v:textbox>
                        <w:txbxContent>
                          <w:p w14:paraId="1986BDDA" w14:textId="77777777" w:rsidR="009C2D83" w:rsidRDefault="009C2D83" w:rsidP="00EA2B69">
                            <w:pPr>
                              <w:jc w:val="center"/>
                            </w:pPr>
                          </w:p>
                        </w:txbxContent>
                      </v:textbox>
                    </v:shape>
                  </w:pict>
                </mc:Fallback>
              </mc:AlternateContent>
            </w:r>
          </w:p>
        </w:tc>
      </w:tr>
    </w:tbl>
    <w:p w14:paraId="503A50C0" w14:textId="77777777" w:rsidR="005D5B9E" w:rsidRPr="00F634CD" w:rsidRDefault="005D5B9E" w:rsidP="000017A3">
      <w:pPr>
        <w:tabs>
          <w:tab w:val="center" w:pos="4536"/>
        </w:tabs>
        <w:spacing w:before="100" w:beforeAutospacing="1" w:after="120"/>
        <w:rPr>
          <w:rFonts w:ascii="Times New Roman" w:hAnsi="Times New Roman" w:cs="Times New Roman"/>
          <w:b/>
          <w:bCs/>
          <w:i/>
          <w:iCs/>
          <w:kern w:val="24"/>
          <w:sz w:val="28"/>
          <w:szCs w:val="28"/>
        </w:rPr>
      </w:pPr>
      <w:r w:rsidRPr="00F634CD">
        <w:rPr>
          <w:rFonts w:ascii="Times New Roman" w:hAnsi="Times New Roman" w:cs="Times New Roman"/>
          <w:b/>
          <w:bCs/>
          <w:i/>
          <w:iCs/>
          <w:color w:val="000000"/>
          <w:kern w:val="24"/>
          <w:sz w:val="28"/>
          <w:szCs w:val="28"/>
          <w:shd w:val="clear" w:color="auto" w:fill="F8F8F8"/>
        </w:rPr>
        <w:t xml:space="preserve">V. </w:t>
      </w:r>
      <w:r w:rsidRPr="00F634CD">
        <w:rPr>
          <w:rFonts w:ascii="Times New Roman" w:hAnsi="Times New Roman" w:cs="Times New Roman"/>
          <w:b/>
          <w:bCs/>
          <w:i/>
          <w:iCs/>
          <w:kern w:val="24"/>
          <w:sz w:val="28"/>
          <w:szCs w:val="28"/>
        </w:rPr>
        <w:t xml:space="preserve">L’avenir des produits de financement </w:t>
      </w:r>
      <w:r w:rsidR="00DD2B9B" w:rsidRPr="00F634CD">
        <w:rPr>
          <w:rFonts w:ascii="Times New Roman" w:hAnsi="Times New Roman" w:cs="Times New Roman"/>
          <w:b/>
          <w:bCs/>
          <w:i/>
          <w:iCs/>
          <w:kern w:val="24"/>
          <w:sz w:val="28"/>
          <w:szCs w:val="28"/>
        </w:rPr>
        <w:t>participatif i</w:t>
      </w:r>
      <w:r w:rsidR="003773C6" w:rsidRPr="00F634CD">
        <w:rPr>
          <w:rFonts w:ascii="Times New Roman" w:hAnsi="Times New Roman" w:cs="Times New Roman"/>
          <w:b/>
          <w:bCs/>
          <w:i/>
          <w:iCs/>
          <w:kern w:val="24"/>
          <w:sz w:val="28"/>
          <w:szCs w:val="28"/>
        </w:rPr>
        <w:t>slamique</w:t>
      </w:r>
    </w:p>
    <w:p w14:paraId="6838C398" w14:textId="77777777" w:rsidR="00EA2B69" w:rsidRPr="00F634CD" w:rsidRDefault="005D5B9E" w:rsidP="00EA2B69">
      <w:pPr>
        <w:tabs>
          <w:tab w:val="center" w:pos="4536"/>
        </w:tabs>
        <w:spacing w:before="120" w:after="100" w:afterAutospacing="1"/>
        <w:ind w:left="425" w:hanging="425"/>
        <w:rPr>
          <w:rFonts w:ascii="Times New Roman" w:hAnsi="Times New Roman" w:cs="Times New Roman"/>
          <w:b/>
          <w:bCs/>
          <w:i/>
          <w:iCs/>
          <w:kern w:val="24"/>
          <w:sz w:val="24"/>
          <w:szCs w:val="24"/>
        </w:rPr>
      </w:pPr>
      <w:r w:rsidRPr="00F634CD">
        <w:rPr>
          <w:rFonts w:ascii="Times New Roman" w:hAnsi="Times New Roman" w:cs="Times New Roman"/>
          <w:b/>
          <w:bCs/>
          <w:kern w:val="24"/>
          <w:sz w:val="24"/>
          <w:szCs w:val="24"/>
        </w:rPr>
        <w:t>23. Veuillez classer les</w:t>
      </w:r>
      <w:r w:rsidRPr="00F634CD">
        <w:rPr>
          <w:rFonts w:ascii="Times New Roman" w:hAnsi="Times New Roman" w:cs="Times New Roman"/>
          <w:b/>
          <w:bCs/>
          <w:i/>
          <w:iCs/>
          <w:kern w:val="24"/>
          <w:sz w:val="24"/>
          <w:szCs w:val="24"/>
        </w:rPr>
        <w:t xml:space="preserve"> stratégies qui favorisent le prospère des banques </w:t>
      </w:r>
      <w:r w:rsidR="00DD2B9B" w:rsidRPr="00F634CD">
        <w:rPr>
          <w:rFonts w:ascii="Times New Roman" w:hAnsi="Times New Roman" w:cs="Times New Roman"/>
          <w:b/>
          <w:bCs/>
          <w:i/>
          <w:iCs/>
          <w:kern w:val="24"/>
          <w:sz w:val="24"/>
          <w:szCs w:val="24"/>
        </w:rPr>
        <w:t>i</w:t>
      </w:r>
      <w:r w:rsidR="003773C6" w:rsidRPr="00F634CD">
        <w:rPr>
          <w:rFonts w:ascii="Times New Roman" w:hAnsi="Times New Roman" w:cs="Times New Roman"/>
          <w:b/>
          <w:bCs/>
          <w:i/>
          <w:iCs/>
          <w:kern w:val="24"/>
          <w:sz w:val="24"/>
          <w:szCs w:val="24"/>
        </w:rPr>
        <w:t>slamique</w:t>
      </w:r>
      <w:r w:rsidRPr="00F634CD">
        <w:rPr>
          <w:rFonts w:ascii="Times New Roman" w:hAnsi="Times New Roman" w:cs="Times New Roman"/>
          <w:b/>
          <w:bCs/>
          <w:i/>
          <w:iCs/>
          <w:kern w:val="24"/>
          <w:sz w:val="24"/>
          <w:szCs w:val="24"/>
        </w:rPr>
        <w:t xml:space="preserve">s selon leur degré </w:t>
      </w:r>
      <w:r w:rsidR="00E90085" w:rsidRPr="00F634CD">
        <w:rPr>
          <w:rFonts w:ascii="Times New Roman" w:hAnsi="Times New Roman" w:cs="Times New Roman"/>
          <w:b/>
          <w:bCs/>
          <w:i/>
          <w:iCs/>
          <w:kern w:val="24"/>
          <w:sz w:val="24"/>
          <w:szCs w:val="24"/>
        </w:rPr>
        <w:t xml:space="preserve">d’importance ? </w:t>
      </w:r>
      <w:r w:rsidRPr="00F634CD">
        <w:rPr>
          <w:rFonts w:ascii="Times New Roman" w:hAnsi="Times New Roman" w:cs="Times New Roman"/>
          <w:b/>
          <w:bCs/>
          <w:i/>
          <w:iCs/>
          <w:kern w:val="24"/>
          <w:sz w:val="24"/>
          <w:szCs w:val="24"/>
        </w:rPr>
        <w:t>Utilisez une échelle de 1 à 5, avec 1 comme la plus importante et 5 comme la moins importante.</w:t>
      </w:r>
    </w:p>
    <w:tbl>
      <w:tblPr>
        <w:tblStyle w:val="Grilledutableau"/>
        <w:tblW w:w="0" w:type="auto"/>
        <w:shd w:val="solid" w:color="F2F2F2" w:themeColor="background1" w:themeShade="F2" w:fill="F2F2F2" w:themeFill="background1" w:themeFillShade="F2"/>
        <w:tblLook w:val="04A0" w:firstRow="1" w:lastRow="0" w:firstColumn="1" w:lastColumn="0" w:noHBand="0" w:noVBand="1"/>
      </w:tblPr>
      <w:tblGrid>
        <w:gridCol w:w="6227"/>
        <w:gridCol w:w="1991"/>
      </w:tblGrid>
      <w:tr w:rsidR="00EA2B69" w:rsidRPr="00F634CD" w14:paraId="668347B0" w14:textId="77777777" w:rsidTr="00B5396E">
        <w:trPr>
          <w:trHeight w:val="737"/>
        </w:trPr>
        <w:tc>
          <w:tcPr>
            <w:tcW w:w="6227" w:type="dxa"/>
            <w:shd w:val="solid" w:color="F2F2F2" w:themeColor="background1" w:themeShade="F2" w:fill="F2F2F2" w:themeFill="background1" w:themeFillShade="F2"/>
            <w:vAlign w:val="center"/>
          </w:tcPr>
          <w:p w14:paraId="64B482FF" w14:textId="77777777" w:rsidR="00EA2B69" w:rsidRPr="00F634CD" w:rsidRDefault="00EA2B69" w:rsidP="00B5396E">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b/>
                <w:bCs/>
                <w:i/>
                <w:iCs/>
                <w:kern w:val="24"/>
                <w:sz w:val="24"/>
                <w:szCs w:val="24"/>
              </w:rPr>
              <w:t>Stratégie</w:t>
            </w:r>
          </w:p>
        </w:tc>
        <w:tc>
          <w:tcPr>
            <w:tcW w:w="1991" w:type="dxa"/>
            <w:shd w:val="solid" w:color="F2F2F2" w:themeColor="background1" w:themeShade="F2" w:fill="F2F2F2" w:themeFill="background1" w:themeFillShade="F2"/>
            <w:vAlign w:val="center"/>
          </w:tcPr>
          <w:p w14:paraId="7C12563C" w14:textId="77777777" w:rsidR="00EA2B69" w:rsidRPr="00F634CD" w:rsidRDefault="00EA2B69" w:rsidP="00B5396E">
            <w:pPr>
              <w:tabs>
                <w:tab w:val="center" w:pos="4536"/>
              </w:tabs>
              <w:spacing w:line="360" w:lineRule="auto"/>
              <w:jc w:val="center"/>
              <w:rPr>
                <w:rFonts w:asciiTheme="majorBidi" w:hAnsiTheme="majorBidi" w:cstheme="majorBidi"/>
                <w:b/>
                <w:bCs/>
                <w:i/>
                <w:iCs/>
                <w:noProof/>
                <w:kern w:val="24"/>
                <w:sz w:val="24"/>
                <w:szCs w:val="24"/>
                <w:lang w:eastAsia="fr-FR"/>
              </w:rPr>
            </w:pPr>
            <w:r w:rsidRPr="00F634CD">
              <w:rPr>
                <w:rFonts w:asciiTheme="majorBidi" w:hAnsiTheme="majorBidi" w:cstheme="majorBidi"/>
                <w:b/>
                <w:bCs/>
                <w:i/>
                <w:iCs/>
                <w:noProof/>
                <w:kern w:val="24"/>
                <w:sz w:val="24"/>
                <w:szCs w:val="24"/>
                <w:lang w:eastAsia="fr-FR"/>
              </w:rPr>
              <w:t>Rang</w:t>
            </w:r>
          </w:p>
        </w:tc>
      </w:tr>
      <w:tr w:rsidR="00EA2B69" w:rsidRPr="00F634CD" w14:paraId="4264B11F" w14:textId="77777777" w:rsidTr="00B5396E">
        <w:trPr>
          <w:trHeight w:val="737"/>
        </w:trPr>
        <w:tc>
          <w:tcPr>
            <w:tcW w:w="6227" w:type="dxa"/>
            <w:shd w:val="solid" w:color="F2F2F2" w:themeColor="background1" w:themeShade="F2" w:fill="F2F2F2" w:themeFill="background1" w:themeFillShade="F2"/>
            <w:vAlign w:val="center"/>
          </w:tcPr>
          <w:p w14:paraId="55620992" w14:textId="77777777" w:rsidR="00EA2B69" w:rsidRPr="00F634CD" w:rsidRDefault="00EA2B69" w:rsidP="00B5396E">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La diversification</w:t>
            </w:r>
          </w:p>
        </w:tc>
        <w:tc>
          <w:tcPr>
            <w:tcW w:w="1991" w:type="dxa"/>
            <w:shd w:val="solid" w:color="F2F2F2" w:themeColor="background1" w:themeShade="F2" w:fill="F2F2F2" w:themeFill="background1" w:themeFillShade="F2"/>
            <w:vAlign w:val="center"/>
          </w:tcPr>
          <w:p w14:paraId="2D160FB0" w14:textId="77777777" w:rsidR="00EA2B69" w:rsidRPr="00F634CD" w:rsidRDefault="00EA2B69" w:rsidP="00B5396E">
            <w:pPr>
              <w:tabs>
                <w:tab w:val="center" w:pos="4536"/>
              </w:tabs>
              <w:spacing w:line="360" w:lineRule="auto"/>
              <w:rPr>
                <w:rFonts w:asciiTheme="majorBidi" w:hAnsiTheme="majorBidi" w:cstheme="majorBidi"/>
                <w:kern w:val="24"/>
                <w:sz w:val="24"/>
                <w:szCs w:val="24"/>
              </w:rPr>
            </w:pPr>
          </w:p>
        </w:tc>
      </w:tr>
      <w:tr w:rsidR="00EA2B69" w:rsidRPr="00F634CD" w14:paraId="446F3F3F" w14:textId="77777777" w:rsidTr="00B5396E">
        <w:trPr>
          <w:trHeight w:val="737"/>
        </w:trPr>
        <w:tc>
          <w:tcPr>
            <w:tcW w:w="6227" w:type="dxa"/>
            <w:shd w:val="solid" w:color="F2F2F2" w:themeColor="background1" w:themeShade="F2" w:fill="F2F2F2" w:themeFill="background1" w:themeFillShade="F2"/>
            <w:vAlign w:val="center"/>
          </w:tcPr>
          <w:p w14:paraId="2BEBD877" w14:textId="77777777" w:rsidR="00EA2B69" w:rsidRPr="00F634CD" w:rsidRDefault="00EA2B69" w:rsidP="00B5396E">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 xml:space="preserve">L’innovation financière </w:t>
            </w:r>
          </w:p>
        </w:tc>
        <w:tc>
          <w:tcPr>
            <w:tcW w:w="1991" w:type="dxa"/>
            <w:shd w:val="solid" w:color="F2F2F2" w:themeColor="background1" w:themeShade="F2" w:fill="F2F2F2" w:themeFill="background1" w:themeFillShade="F2"/>
            <w:vAlign w:val="center"/>
          </w:tcPr>
          <w:p w14:paraId="11DC1DC8" w14:textId="77777777" w:rsidR="00EA2B69" w:rsidRPr="00F634CD" w:rsidRDefault="00EA2B69" w:rsidP="00B5396E">
            <w:pPr>
              <w:tabs>
                <w:tab w:val="center" w:pos="4536"/>
              </w:tabs>
              <w:spacing w:line="360" w:lineRule="auto"/>
              <w:rPr>
                <w:rFonts w:asciiTheme="majorBidi" w:hAnsiTheme="majorBidi" w:cstheme="majorBidi"/>
                <w:kern w:val="24"/>
                <w:sz w:val="24"/>
                <w:szCs w:val="24"/>
              </w:rPr>
            </w:pPr>
          </w:p>
        </w:tc>
      </w:tr>
      <w:tr w:rsidR="00EA2B69" w:rsidRPr="00F634CD" w14:paraId="2E2020A4" w14:textId="77777777" w:rsidTr="00B5396E">
        <w:trPr>
          <w:trHeight w:val="737"/>
        </w:trPr>
        <w:tc>
          <w:tcPr>
            <w:tcW w:w="6227" w:type="dxa"/>
            <w:shd w:val="solid" w:color="F2F2F2" w:themeColor="background1" w:themeShade="F2" w:fill="F2F2F2" w:themeFill="background1" w:themeFillShade="F2"/>
            <w:vAlign w:val="center"/>
          </w:tcPr>
          <w:p w14:paraId="7ADA3990" w14:textId="4D85305B" w:rsidR="00EA2B69" w:rsidRPr="00F634CD" w:rsidRDefault="00EA2B69" w:rsidP="00B5396E">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 xml:space="preserve">La </w:t>
            </w:r>
            <w:r w:rsidR="00D40A21" w:rsidRPr="00F634CD">
              <w:rPr>
                <w:rFonts w:asciiTheme="majorBidi" w:hAnsiTheme="majorBidi" w:cstheme="majorBidi"/>
                <w:kern w:val="24"/>
                <w:sz w:val="24"/>
                <w:szCs w:val="24"/>
              </w:rPr>
              <w:t>f</w:t>
            </w:r>
            <w:r w:rsidRPr="00F634CD">
              <w:rPr>
                <w:rFonts w:asciiTheme="majorBidi" w:hAnsiTheme="majorBidi" w:cstheme="majorBidi"/>
                <w:kern w:val="24"/>
                <w:sz w:val="24"/>
                <w:szCs w:val="24"/>
              </w:rPr>
              <w:t>usion-acquisition</w:t>
            </w:r>
          </w:p>
        </w:tc>
        <w:tc>
          <w:tcPr>
            <w:tcW w:w="1991" w:type="dxa"/>
            <w:shd w:val="solid" w:color="F2F2F2" w:themeColor="background1" w:themeShade="F2" w:fill="F2F2F2" w:themeFill="background1" w:themeFillShade="F2"/>
            <w:vAlign w:val="center"/>
          </w:tcPr>
          <w:p w14:paraId="20DF35D0" w14:textId="77777777" w:rsidR="00EA2B69" w:rsidRPr="00F634CD" w:rsidRDefault="00EA2B69" w:rsidP="00B5396E">
            <w:pPr>
              <w:tabs>
                <w:tab w:val="center" w:pos="4536"/>
              </w:tabs>
              <w:spacing w:line="360" w:lineRule="auto"/>
              <w:rPr>
                <w:rFonts w:asciiTheme="majorBidi" w:hAnsiTheme="majorBidi" w:cstheme="majorBidi"/>
                <w:kern w:val="24"/>
                <w:sz w:val="24"/>
                <w:szCs w:val="24"/>
              </w:rPr>
            </w:pPr>
          </w:p>
        </w:tc>
      </w:tr>
      <w:tr w:rsidR="00EA2B69" w:rsidRPr="00F634CD" w14:paraId="50762D6B" w14:textId="77777777" w:rsidTr="00B5396E">
        <w:trPr>
          <w:trHeight w:val="737"/>
        </w:trPr>
        <w:tc>
          <w:tcPr>
            <w:tcW w:w="6227" w:type="dxa"/>
            <w:shd w:val="solid" w:color="F2F2F2" w:themeColor="background1" w:themeShade="F2" w:fill="F2F2F2" w:themeFill="background1" w:themeFillShade="F2"/>
            <w:vAlign w:val="center"/>
          </w:tcPr>
          <w:p w14:paraId="2190F046" w14:textId="77777777" w:rsidR="00EA2B69" w:rsidRPr="00F634CD" w:rsidRDefault="00EA2B69" w:rsidP="00B5396E">
            <w:pPr>
              <w:tabs>
                <w:tab w:val="center" w:pos="4536"/>
              </w:tabs>
              <w:spacing w:line="360" w:lineRule="auto"/>
              <w:rPr>
                <w:rFonts w:asciiTheme="majorBidi" w:hAnsiTheme="majorBidi" w:cstheme="majorBidi"/>
                <w:kern w:val="24"/>
                <w:sz w:val="24"/>
                <w:szCs w:val="24"/>
              </w:rPr>
            </w:pPr>
            <w:r w:rsidRPr="00F634CD">
              <w:rPr>
                <w:rFonts w:asciiTheme="majorBidi" w:hAnsiTheme="majorBidi" w:cstheme="majorBidi"/>
                <w:kern w:val="24"/>
                <w:sz w:val="24"/>
                <w:szCs w:val="24"/>
              </w:rPr>
              <w:t xml:space="preserve">Croissance </w:t>
            </w:r>
          </w:p>
        </w:tc>
        <w:tc>
          <w:tcPr>
            <w:tcW w:w="1991" w:type="dxa"/>
            <w:shd w:val="solid" w:color="F2F2F2" w:themeColor="background1" w:themeShade="F2" w:fill="F2F2F2" w:themeFill="background1" w:themeFillShade="F2"/>
            <w:vAlign w:val="center"/>
          </w:tcPr>
          <w:p w14:paraId="505E65DA" w14:textId="77777777" w:rsidR="00EA2B69" w:rsidRPr="00F634CD" w:rsidRDefault="00EA2B69" w:rsidP="00B5396E">
            <w:pPr>
              <w:tabs>
                <w:tab w:val="center" w:pos="4536"/>
              </w:tabs>
              <w:spacing w:line="360" w:lineRule="auto"/>
              <w:rPr>
                <w:rFonts w:asciiTheme="majorBidi" w:hAnsiTheme="majorBidi" w:cstheme="majorBidi"/>
                <w:kern w:val="24"/>
                <w:sz w:val="24"/>
                <w:szCs w:val="24"/>
              </w:rPr>
            </w:pPr>
          </w:p>
        </w:tc>
      </w:tr>
      <w:tr w:rsidR="00EA2B69" w:rsidRPr="00F634CD" w14:paraId="3CD64A75" w14:textId="77777777" w:rsidTr="00B5396E">
        <w:trPr>
          <w:trHeight w:val="737"/>
        </w:trPr>
        <w:tc>
          <w:tcPr>
            <w:tcW w:w="6227" w:type="dxa"/>
            <w:shd w:val="solid" w:color="F2F2F2" w:themeColor="background1" w:themeShade="F2" w:fill="F2F2F2" w:themeFill="background1" w:themeFillShade="F2"/>
            <w:vAlign w:val="center"/>
          </w:tcPr>
          <w:p w14:paraId="60B937D0" w14:textId="77777777" w:rsidR="00EA2B69" w:rsidRPr="00F634CD" w:rsidRDefault="00EA2B69" w:rsidP="00B5396E">
            <w:pPr>
              <w:pStyle w:val="Default"/>
              <w:spacing w:line="360" w:lineRule="auto"/>
              <w:rPr>
                <w:kern w:val="24"/>
              </w:rPr>
            </w:pPr>
            <w:r w:rsidRPr="00F634CD">
              <w:rPr>
                <w:kern w:val="24"/>
              </w:rPr>
              <w:t>Autre (veuillez préciser)</w:t>
            </w:r>
          </w:p>
        </w:tc>
        <w:tc>
          <w:tcPr>
            <w:tcW w:w="1991" w:type="dxa"/>
            <w:shd w:val="solid" w:color="F2F2F2" w:themeColor="background1" w:themeShade="F2" w:fill="F2F2F2" w:themeFill="background1" w:themeFillShade="F2"/>
            <w:vAlign w:val="center"/>
          </w:tcPr>
          <w:p w14:paraId="3C9F0D84" w14:textId="77777777" w:rsidR="00EA2B69" w:rsidRPr="00F634CD" w:rsidRDefault="00EA2B69" w:rsidP="00B5396E">
            <w:pPr>
              <w:tabs>
                <w:tab w:val="center" w:pos="4536"/>
              </w:tabs>
              <w:spacing w:line="360" w:lineRule="auto"/>
              <w:rPr>
                <w:rFonts w:asciiTheme="majorBidi" w:hAnsiTheme="majorBidi" w:cstheme="majorBidi"/>
                <w:noProof/>
                <w:kern w:val="24"/>
                <w:sz w:val="24"/>
                <w:szCs w:val="24"/>
                <w:lang w:eastAsia="fr-FR"/>
              </w:rPr>
            </w:pPr>
          </w:p>
        </w:tc>
      </w:tr>
    </w:tbl>
    <w:p w14:paraId="03F34B9D" w14:textId="77777777" w:rsidR="005D5B9E" w:rsidRPr="00F634CD" w:rsidRDefault="005D5B9E" w:rsidP="00EA2B69">
      <w:pPr>
        <w:tabs>
          <w:tab w:val="left" w:pos="1605"/>
        </w:tabs>
        <w:rPr>
          <w:rFonts w:ascii="Times New Roman" w:hAnsi="Times New Roman" w:cs="Times New Roman"/>
          <w:kern w:val="24"/>
          <w:sz w:val="24"/>
          <w:szCs w:val="24"/>
        </w:rPr>
      </w:pPr>
    </w:p>
    <w:p w14:paraId="27A88919" w14:textId="77777777" w:rsidR="00EA2B69" w:rsidRPr="00F634CD" w:rsidRDefault="005D5B9E" w:rsidP="000017A3">
      <w:pPr>
        <w:pageBreakBefore/>
        <w:tabs>
          <w:tab w:val="center" w:pos="4536"/>
        </w:tabs>
        <w:spacing w:before="100" w:beforeAutospacing="1" w:after="100" w:afterAutospacing="1"/>
        <w:ind w:left="425" w:hanging="425"/>
        <w:rPr>
          <w:rFonts w:ascii="Times New Roman" w:hAnsi="Times New Roman" w:cs="Times New Roman"/>
          <w:b/>
          <w:bCs/>
          <w:kern w:val="24"/>
          <w:sz w:val="24"/>
          <w:szCs w:val="24"/>
        </w:rPr>
      </w:pPr>
      <w:r w:rsidRPr="00F634CD">
        <w:rPr>
          <w:rFonts w:ascii="Times New Roman" w:hAnsi="Times New Roman" w:cs="Times New Roman"/>
          <w:b/>
          <w:bCs/>
          <w:kern w:val="24"/>
          <w:sz w:val="24"/>
          <w:szCs w:val="24"/>
        </w:rPr>
        <w:t>24. Quelles sont les mesures à prendre par les BI pour favoriser le recours aux techniques de financement participatif ?</w:t>
      </w:r>
    </w:p>
    <w:tbl>
      <w:tblPr>
        <w:tblStyle w:val="Grilledutableau"/>
        <w:tblW w:w="0" w:type="auto"/>
        <w:shd w:val="solid" w:color="F2F2F2" w:themeColor="background1" w:themeShade="F2" w:fill="F2F2F2" w:themeFill="background1" w:themeFillShade="F2"/>
        <w:tblLook w:val="04A0" w:firstRow="1" w:lastRow="0" w:firstColumn="1" w:lastColumn="0" w:noHBand="0" w:noVBand="1"/>
      </w:tblPr>
      <w:tblGrid>
        <w:gridCol w:w="6204"/>
        <w:gridCol w:w="1984"/>
      </w:tblGrid>
      <w:tr w:rsidR="00EA2B69" w:rsidRPr="00F634CD" w14:paraId="34601D56" w14:textId="77777777" w:rsidTr="00B5396E">
        <w:trPr>
          <w:trHeight w:val="680"/>
        </w:trPr>
        <w:tc>
          <w:tcPr>
            <w:tcW w:w="6204" w:type="dxa"/>
            <w:shd w:val="solid" w:color="F2F2F2" w:themeColor="background1" w:themeShade="F2" w:fill="F2F2F2" w:themeFill="background1" w:themeFillShade="F2"/>
            <w:vAlign w:val="center"/>
          </w:tcPr>
          <w:p w14:paraId="07A04D5E" w14:textId="77777777" w:rsidR="00EA2B69" w:rsidRPr="00F634CD" w:rsidRDefault="00EA2B69" w:rsidP="00B5396E">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Renforcer la transparence entre la BI et l’entrepreneur.</w:t>
            </w:r>
          </w:p>
        </w:tc>
        <w:tc>
          <w:tcPr>
            <w:tcW w:w="1984" w:type="dxa"/>
            <w:shd w:val="solid" w:color="F2F2F2" w:themeColor="background1" w:themeShade="F2" w:fill="F2F2F2" w:themeFill="background1" w:themeFillShade="F2"/>
            <w:vAlign w:val="center"/>
          </w:tcPr>
          <w:p w14:paraId="2BC4B4FD" w14:textId="5C198E02" w:rsidR="00EA2B69" w:rsidRPr="00F634CD" w:rsidRDefault="002C5EFF" w:rsidP="00B5396E">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17984" behindDoc="0" locked="0" layoutInCell="1" allowOverlap="1" wp14:anchorId="1B5CB444" wp14:editId="410AF303">
                      <wp:simplePos x="0" y="0"/>
                      <wp:positionH relativeFrom="column">
                        <wp:posOffset>410210</wp:posOffset>
                      </wp:positionH>
                      <wp:positionV relativeFrom="paragraph">
                        <wp:posOffset>5715</wp:posOffset>
                      </wp:positionV>
                      <wp:extent cx="212090" cy="159385"/>
                      <wp:effectExtent l="0" t="0" r="0" b="0"/>
                      <wp:wrapNone/>
                      <wp:docPr id="215" name="Organigramme : Processus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49216"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5CB444" id="Organigramme : Processus 215" o:spid="_x0000_s1355" type="#_x0000_t109" style="position:absolute;left:0;text-align:left;margin-left:32.3pt;margin-top:.45pt;width:16.7pt;height:1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" fillcolor="white [3212]" strokecolor="black [3213]" strokeweight="1.25pt">
                      <v:path arrowok="t"/>
                      <v:textbox>
                        <w:txbxContent>
                          <w:p w14:paraId="3F649216" w14:textId="77777777" w:rsidR="009C2D83" w:rsidRDefault="009C2D83" w:rsidP="00EA2B69">
                            <w:pPr>
                              <w:jc w:val="center"/>
                            </w:pPr>
                          </w:p>
                        </w:txbxContent>
                      </v:textbox>
                    </v:shape>
                  </w:pict>
                </mc:Fallback>
              </mc:AlternateContent>
            </w:r>
          </w:p>
        </w:tc>
      </w:tr>
      <w:tr w:rsidR="00EA2B69" w:rsidRPr="00F634CD" w14:paraId="73EC762A" w14:textId="77777777" w:rsidTr="00B5396E">
        <w:trPr>
          <w:trHeight w:val="680"/>
        </w:trPr>
        <w:tc>
          <w:tcPr>
            <w:tcW w:w="6204" w:type="dxa"/>
            <w:shd w:val="solid" w:color="F2F2F2" w:themeColor="background1" w:themeShade="F2" w:fill="F2F2F2" w:themeFill="background1" w:themeFillShade="F2"/>
            <w:vAlign w:val="center"/>
          </w:tcPr>
          <w:p w14:paraId="66523465" w14:textId="5F2FEE4B" w:rsidR="00EA2B69" w:rsidRPr="00F634CD" w:rsidRDefault="00EA2B69" w:rsidP="00B5396E">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 xml:space="preserve">Embaucher un personnel qualifié apte à gérer le </w:t>
            </w:r>
            <w:r w:rsidR="00D40A21" w:rsidRPr="00F634CD">
              <w:rPr>
                <w:rFonts w:asciiTheme="majorBidi" w:hAnsiTheme="majorBidi" w:cstheme="majorBidi"/>
                <w:kern w:val="24"/>
                <w:sz w:val="24"/>
                <w:szCs w:val="24"/>
              </w:rPr>
              <w:t>financement de</w:t>
            </w:r>
            <w:r w:rsidRPr="00F634CD">
              <w:rPr>
                <w:rFonts w:asciiTheme="majorBidi" w:hAnsiTheme="majorBidi" w:cstheme="majorBidi"/>
                <w:kern w:val="24"/>
                <w:sz w:val="24"/>
                <w:szCs w:val="24"/>
              </w:rPr>
              <w:t xml:space="preserve"> grands projets d’investissement.</w:t>
            </w:r>
          </w:p>
        </w:tc>
        <w:tc>
          <w:tcPr>
            <w:tcW w:w="1984" w:type="dxa"/>
            <w:shd w:val="solid" w:color="F2F2F2" w:themeColor="background1" w:themeShade="F2" w:fill="F2F2F2" w:themeFill="background1" w:themeFillShade="F2"/>
            <w:vAlign w:val="center"/>
          </w:tcPr>
          <w:p w14:paraId="7AB103D2" w14:textId="3718731F" w:rsidR="00EA2B69" w:rsidRPr="00F634CD" w:rsidRDefault="002C5EFF" w:rsidP="00B5396E">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16960" behindDoc="0" locked="0" layoutInCell="1" allowOverlap="1" wp14:anchorId="4E7C6806" wp14:editId="14D47EFD">
                      <wp:simplePos x="0" y="0"/>
                      <wp:positionH relativeFrom="column">
                        <wp:posOffset>441325</wp:posOffset>
                      </wp:positionH>
                      <wp:positionV relativeFrom="paragraph">
                        <wp:posOffset>21590</wp:posOffset>
                      </wp:positionV>
                      <wp:extent cx="212090" cy="159385"/>
                      <wp:effectExtent l="0" t="0" r="0" b="0"/>
                      <wp:wrapNone/>
                      <wp:docPr id="216" name="Organigramme : Processus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F1CB9"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7C6806" id="Organigramme : Processus 216" o:spid="_x0000_s1356" type="#_x0000_t109" style="position:absolute;left:0;text-align:left;margin-left:34.75pt;margin-top:1.7pt;width:16.7pt;height:1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" fillcolor="white [3212]" strokecolor="black [3213]" strokeweight="1.25pt">
                      <v:path arrowok="t"/>
                      <v:textbox>
                        <w:txbxContent>
                          <w:p w14:paraId="482F1CB9" w14:textId="77777777" w:rsidR="009C2D83" w:rsidRDefault="009C2D83" w:rsidP="00EA2B69">
                            <w:pPr>
                              <w:jc w:val="center"/>
                            </w:pPr>
                          </w:p>
                        </w:txbxContent>
                      </v:textbox>
                    </v:shape>
                  </w:pict>
                </mc:Fallback>
              </mc:AlternateContent>
            </w:r>
          </w:p>
        </w:tc>
      </w:tr>
      <w:tr w:rsidR="00EA2B69" w:rsidRPr="00F634CD" w14:paraId="2A47DE4A" w14:textId="77777777" w:rsidTr="00B5396E">
        <w:trPr>
          <w:trHeight w:val="680"/>
        </w:trPr>
        <w:tc>
          <w:tcPr>
            <w:tcW w:w="6204" w:type="dxa"/>
            <w:shd w:val="solid" w:color="F2F2F2" w:themeColor="background1" w:themeShade="F2" w:fill="F2F2F2" w:themeFill="background1" w:themeFillShade="F2"/>
            <w:vAlign w:val="center"/>
          </w:tcPr>
          <w:p w14:paraId="517E123B" w14:textId="77777777" w:rsidR="00EA2B69" w:rsidRPr="00F634CD" w:rsidRDefault="00EA2B69" w:rsidP="00B5396E">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Favoriser les IDE.</w:t>
            </w:r>
          </w:p>
        </w:tc>
        <w:tc>
          <w:tcPr>
            <w:tcW w:w="1984" w:type="dxa"/>
            <w:shd w:val="solid" w:color="F2F2F2" w:themeColor="background1" w:themeShade="F2" w:fill="F2F2F2" w:themeFill="background1" w:themeFillShade="F2"/>
            <w:vAlign w:val="center"/>
          </w:tcPr>
          <w:p w14:paraId="6C8E4DB4" w14:textId="1FF3661D" w:rsidR="00EA2B69" w:rsidRPr="00F634CD" w:rsidRDefault="002C5EFF" w:rsidP="00B5396E">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15936" behindDoc="0" locked="0" layoutInCell="1" allowOverlap="1" wp14:anchorId="15AF876C" wp14:editId="29C5AFBB">
                      <wp:simplePos x="0" y="0"/>
                      <wp:positionH relativeFrom="column">
                        <wp:posOffset>439420</wp:posOffset>
                      </wp:positionH>
                      <wp:positionV relativeFrom="paragraph">
                        <wp:posOffset>4445</wp:posOffset>
                      </wp:positionV>
                      <wp:extent cx="212090" cy="159385"/>
                      <wp:effectExtent l="0" t="0" r="0" b="0"/>
                      <wp:wrapNone/>
                      <wp:docPr id="217" name="Organigramme : Processus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DDEE3"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AF876C" id="Organigramme : Processus 217" o:spid="_x0000_s1357" type="#_x0000_t109" style="position:absolute;left:0;text-align:left;margin-left:34.6pt;margin-top:.35pt;width:16.7pt;height:1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" fillcolor="white [3212]" strokecolor="black [3213]" strokeweight="1.25pt">
                      <v:path arrowok="t"/>
                      <v:textbox>
                        <w:txbxContent>
                          <w:p w14:paraId="5A3DDEE3" w14:textId="77777777" w:rsidR="009C2D83" w:rsidRDefault="009C2D83" w:rsidP="00EA2B69">
                            <w:pPr>
                              <w:jc w:val="center"/>
                            </w:pPr>
                          </w:p>
                        </w:txbxContent>
                      </v:textbox>
                    </v:shape>
                  </w:pict>
                </mc:Fallback>
              </mc:AlternateContent>
            </w:r>
          </w:p>
        </w:tc>
      </w:tr>
      <w:tr w:rsidR="00EA2B69" w:rsidRPr="00F634CD" w14:paraId="749AD19E" w14:textId="77777777" w:rsidTr="00B5396E">
        <w:trPr>
          <w:trHeight w:val="680"/>
        </w:trPr>
        <w:tc>
          <w:tcPr>
            <w:tcW w:w="6204" w:type="dxa"/>
            <w:shd w:val="solid" w:color="F2F2F2" w:themeColor="background1" w:themeShade="F2" w:fill="F2F2F2" w:themeFill="background1" w:themeFillShade="F2"/>
            <w:vAlign w:val="center"/>
          </w:tcPr>
          <w:p w14:paraId="222785F1" w14:textId="6DF9A016" w:rsidR="00EA2B69" w:rsidRPr="00F634CD" w:rsidRDefault="00EA2B69" w:rsidP="00B5396E">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 xml:space="preserve">Proposer des taux de </w:t>
            </w:r>
            <w:r w:rsidR="00D40A21" w:rsidRPr="00F634CD">
              <w:rPr>
                <w:rFonts w:asciiTheme="majorBidi" w:hAnsiTheme="majorBidi" w:cstheme="majorBidi"/>
                <w:kern w:val="24"/>
                <w:sz w:val="24"/>
                <w:szCs w:val="24"/>
              </w:rPr>
              <w:t>rémunération plus</w:t>
            </w:r>
            <w:r w:rsidRPr="00F634CD">
              <w:rPr>
                <w:rFonts w:asciiTheme="majorBidi" w:hAnsiTheme="majorBidi" w:cstheme="majorBidi"/>
                <w:kern w:val="24"/>
                <w:sz w:val="24"/>
                <w:szCs w:val="24"/>
              </w:rPr>
              <w:t xml:space="preserve"> compétitifs que ceux des banques conventionnelles.</w:t>
            </w:r>
          </w:p>
        </w:tc>
        <w:tc>
          <w:tcPr>
            <w:tcW w:w="1984" w:type="dxa"/>
            <w:shd w:val="solid" w:color="F2F2F2" w:themeColor="background1" w:themeShade="F2" w:fill="F2F2F2" w:themeFill="background1" w:themeFillShade="F2"/>
            <w:vAlign w:val="center"/>
          </w:tcPr>
          <w:p w14:paraId="614A25D9" w14:textId="7A4C454E" w:rsidR="00EA2B69" w:rsidRPr="00F634CD" w:rsidRDefault="002C5EFF" w:rsidP="00B5396E">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14912" behindDoc="0" locked="0" layoutInCell="1" allowOverlap="1" wp14:anchorId="09EAFA87" wp14:editId="0081454D">
                      <wp:simplePos x="0" y="0"/>
                      <wp:positionH relativeFrom="column">
                        <wp:posOffset>444500</wp:posOffset>
                      </wp:positionH>
                      <wp:positionV relativeFrom="paragraph">
                        <wp:posOffset>26670</wp:posOffset>
                      </wp:positionV>
                      <wp:extent cx="212090" cy="159385"/>
                      <wp:effectExtent l="0" t="0" r="0" b="0"/>
                      <wp:wrapNone/>
                      <wp:docPr id="218" name="Organigramme : Processus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A0C5E"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EAFA87" id="Organigramme : Processus 218" o:spid="_x0000_s1358" type="#_x0000_t109" style="position:absolute;left:0;text-align:left;margin-left:35pt;margin-top:2.1pt;width:16.7pt;height:1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" fillcolor="white [3212]" strokecolor="black [3213]" strokeweight="1.25pt">
                      <v:path arrowok="t"/>
                      <v:textbox>
                        <w:txbxContent>
                          <w:p w14:paraId="1D2A0C5E" w14:textId="77777777" w:rsidR="009C2D83" w:rsidRDefault="009C2D83" w:rsidP="00EA2B69">
                            <w:pPr>
                              <w:jc w:val="center"/>
                            </w:pPr>
                          </w:p>
                        </w:txbxContent>
                      </v:textbox>
                    </v:shape>
                  </w:pict>
                </mc:Fallback>
              </mc:AlternateContent>
            </w:r>
          </w:p>
        </w:tc>
      </w:tr>
      <w:tr w:rsidR="00EA2B69" w:rsidRPr="00F634CD" w14:paraId="1FF5CF4F" w14:textId="77777777" w:rsidTr="00B5396E">
        <w:trPr>
          <w:trHeight w:val="680"/>
        </w:trPr>
        <w:tc>
          <w:tcPr>
            <w:tcW w:w="6204" w:type="dxa"/>
            <w:shd w:val="solid" w:color="F2F2F2" w:themeColor="background1" w:themeShade="F2" w:fill="F2F2F2" w:themeFill="background1" w:themeFillShade="F2"/>
            <w:vAlign w:val="center"/>
          </w:tcPr>
          <w:p w14:paraId="726887CA" w14:textId="099CE209" w:rsidR="00EA2B69" w:rsidRPr="00F634CD" w:rsidRDefault="00EA2B69" w:rsidP="00B5396E">
            <w:pPr>
              <w:tabs>
                <w:tab w:val="center" w:pos="4536"/>
              </w:tabs>
              <w:rPr>
                <w:rFonts w:asciiTheme="majorBidi" w:hAnsiTheme="majorBidi" w:cstheme="majorBidi"/>
                <w:kern w:val="24"/>
                <w:sz w:val="24"/>
                <w:szCs w:val="24"/>
              </w:rPr>
            </w:pPr>
            <w:r w:rsidRPr="00F634CD">
              <w:rPr>
                <w:rFonts w:asciiTheme="majorBidi" w:hAnsiTheme="majorBidi" w:cstheme="majorBidi"/>
                <w:kern w:val="24"/>
                <w:sz w:val="24"/>
                <w:szCs w:val="24"/>
              </w:rPr>
              <w:t xml:space="preserve">Financer les PME puisqu’elles sont plus résistantes aux chocs externes. </w:t>
            </w:r>
          </w:p>
        </w:tc>
        <w:tc>
          <w:tcPr>
            <w:tcW w:w="1984" w:type="dxa"/>
            <w:shd w:val="solid" w:color="F2F2F2" w:themeColor="background1" w:themeShade="F2" w:fill="F2F2F2" w:themeFill="background1" w:themeFillShade="F2"/>
            <w:vAlign w:val="center"/>
          </w:tcPr>
          <w:p w14:paraId="2F2E5814" w14:textId="3AA8F750" w:rsidR="00EA2B69" w:rsidRPr="00F634CD" w:rsidRDefault="002C5EFF" w:rsidP="00B5396E">
            <w:pPr>
              <w:tabs>
                <w:tab w:val="center" w:pos="4536"/>
              </w:tabs>
              <w:rPr>
                <w:rFonts w:asciiTheme="majorBidi" w:hAnsiTheme="majorBidi" w:cstheme="majorBidi"/>
                <w:kern w:val="24"/>
                <w:sz w:val="24"/>
                <w:szCs w:val="24"/>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13888" behindDoc="0" locked="0" layoutInCell="1" allowOverlap="1" wp14:anchorId="1699BAAD" wp14:editId="42C5D5D4">
                      <wp:simplePos x="0" y="0"/>
                      <wp:positionH relativeFrom="column">
                        <wp:posOffset>433070</wp:posOffset>
                      </wp:positionH>
                      <wp:positionV relativeFrom="paragraph">
                        <wp:posOffset>26035</wp:posOffset>
                      </wp:positionV>
                      <wp:extent cx="212090" cy="159385"/>
                      <wp:effectExtent l="0" t="0" r="0" b="0"/>
                      <wp:wrapNone/>
                      <wp:docPr id="219" name="Organigramme : Processus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FA26A"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99BAAD" id="Organigramme : Processus 219" o:spid="_x0000_s1359" type="#_x0000_t109" style="position:absolute;left:0;text-align:left;margin-left:34.1pt;margin-top:2.05pt;width:16.7pt;height:1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" fillcolor="white [3212]" strokecolor="black [3213]" strokeweight="1.25pt">
                      <v:path arrowok="t"/>
                      <v:textbox>
                        <w:txbxContent>
                          <w:p w14:paraId="54DFA26A" w14:textId="77777777" w:rsidR="009C2D83" w:rsidRDefault="009C2D83" w:rsidP="00EA2B69">
                            <w:pPr>
                              <w:jc w:val="center"/>
                            </w:pPr>
                          </w:p>
                        </w:txbxContent>
                      </v:textbox>
                    </v:shape>
                  </w:pict>
                </mc:Fallback>
              </mc:AlternateContent>
            </w:r>
          </w:p>
        </w:tc>
      </w:tr>
      <w:tr w:rsidR="00EA2B69" w:rsidRPr="00F634CD" w14:paraId="4F70E443" w14:textId="77777777" w:rsidTr="00B5396E">
        <w:trPr>
          <w:trHeight w:val="680"/>
        </w:trPr>
        <w:tc>
          <w:tcPr>
            <w:tcW w:w="6204" w:type="dxa"/>
            <w:shd w:val="solid" w:color="F2F2F2" w:themeColor="background1" w:themeShade="F2" w:fill="F2F2F2" w:themeFill="background1" w:themeFillShade="F2"/>
            <w:vAlign w:val="center"/>
          </w:tcPr>
          <w:p w14:paraId="341ECD96" w14:textId="77777777" w:rsidR="00EA2B69" w:rsidRPr="00F634CD" w:rsidRDefault="00EA2B69" w:rsidP="00B5396E">
            <w:pPr>
              <w:pStyle w:val="Default"/>
              <w:rPr>
                <w:kern w:val="24"/>
              </w:rPr>
            </w:pPr>
            <w:r w:rsidRPr="00F634CD">
              <w:rPr>
                <w:kern w:val="24"/>
              </w:rPr>
              <w:t>Autre (veuillez préciser)</w:t>
            </w:r>
          </w:p>
        </w:tc>
        <w:tc>
          <w:tcPr>
            <w:tcW w:w="1984" w:type="dxa"/>
            <w:shd w:val="solid" w:color="F2F2F2" w:themeColor="background1" w:themeShade="F2" w:fill="F2F2F2" w:themeFill="background1" w:themeFillShade="F2"/>
            <w:vAlign w:val="center"/>
          </w:tcPr>
          <w:p w14:paraId="1CC1BCB3" w14:textId="20BC2927" w:rsidR="00EA2B69" w:rsidRPr="00F634CD" w:rsidRDefault="002C5EFF" w:rsidP="00B5396E">
            <w:pPr>
              <w:tabs>
                <w:tab w:val="center" w:pos="4536"/>
              </w:tabs>
              <w:rPr>
                <w:rFonts w:asciiTheme="majorBidi" w:hAnsiTheme="majorBidi" w:cstheme="majorBidi"/>
                <w:noProof/>
                <w:kern w:val="24"/>
                <w:sz w:val="24"/>
                <w:szCs w:val="24"/>
                <w:lang w:eastAsia="fr-FR"/>
              </w:rPr>
            </w:pPr>
            <w:r>
              <w:rPr>
                <w:rFonts w:asciiTheme="majorBidi" w:hAnsiTheme="majorBidi" w:cstheme="majorBidi"/>
                <w:noProof/>
                <w:kern w:val="24"/>
                <w:sz w:val="24"/>
                <w:szCs w:val="24"/>
                <w:lang w:eastAsia="fr-FR"/>
              </w:rPr>
              <mc:AlternateContent>
                <mc:Choice Requires="wps">
                  <w:drawing>
                    <wp:anchor distT="0" distB="0" distL="114300" distR="114300" simplePos="0" relativeHeight="251819008" behindDoc="0" locked="0" layoutInCell="1" allowOverlap="1" wp14:anchorId="229B4A14" wp14:editId="6DA6529C">
                      <wp:simplePos x="0" y="0"/>
                      <wp:positionH relativeFrom="column">
                        <wp:posOffset>435610</wp:posOffset>
                      </wp:positionH>
                      <wp:positionV relativeFrom="paragraph">
                        <wp:posOffset>-15240</wp:posOffset>
                      </wp:positionV>
                      <wp:extent cx="212090" cy="159385"/>
                      <wp:effectExtent l="0" t="0" r="0" b="0"/>
                      <wp:wrapNone/>
                      <wp:docPr id="220" name="Organigramme : Processus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59385"/>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5A0D4" w14:textId="77777777" w:rsidR="009C2D83" w:rsidRDefault="009C2D83" w:rsidP="00EA2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9B4A14" id="Organigramme : Processus 220" o:spid="_x0000_s1360" type="#_x0000_t109" style="position:absolute;left:0;text-align:left;margin-left:34.3pt;margin-top:-1.2pt;width:16.7pt;height:1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" fillcolor="white [3212]" strokecolor="black [3213]" strokeweight="1.25pt">
                      <v:path arrowok="t"/>
                      <v:textbox>
                        <w:txbxContent>
                          <w:p w14:paraId="5515A0D4" w14:textId="77777777" w:rsidR="009C2D83" w:rsidRDefault="009C2D83" w:rsidP="00EA2B69">
                            <w:pPr>
                              <w:jc w:val="center"/>
                            </w:pPr>
                          </w:p>
                        </w:txbxContent>
                      </v:textbox>
                    </v:shape>
                  </w:pict>
                </mc:Fallback>
              </mc:AlternateContent>
            </w:r>
          </w:p>
        </w:tc>
      </w:tr>
    </w:tbl>
    <w:p w14:paraId="38F1B1E3" w14:textId="77777777" w:rsidR="00DF7E0A" w:rsidRPr="00F634CD" w:rsidRDefault="005D5B9E" w:rsidP="00DF7E0A">
      <w:pPr>
        <w:spacing w:before="1080"/>
        <w:jc w:val="center"/>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Merci pour votre coopération</w:t>
      </w:r>
    </w:p>
    <w:p w14:paraId="2B42193F" w14:textId="77777777" w:rsidR="00870A0C" w:rsidRPr="002C5EFF" w:rsidRDefault="00167B02" w:rsidP="00AF3BB8">
      <w:pPr>
        <w:rPr>
          <w:rFonts w:ascii="Times New Roman" w:eastAsia="Times New Roman" w:hAnsi="Times New Roman" w:cs="Times New Roman"/>
          <w:smallCaps/>
          <w:spacing w:val="40"/>
          <w:kern w:val="24"/>
          <w:sz w:val="24"/>
          <w:szCs w:val="24"/>
          <w:lang w:eastAsia="fr-FR"/>
          <w14:shadow w14:blurRad="50800" w14:dist="38100" w14:dir="2700000" w14:sx="100000" w14:sy="100000" w14:kx="0" w14:ky="0" w14:algn="tl">
            <w14:srgbClr w14:val="000000">
              <w14:alpha w14:val="60000"/>
            </w14:srgbClr>
          </w14:shadow>
        </w:rPr>
      </w:pPr>
      <w:r w:rsidRPr="002C5EFF">
        <w:rPr>
          <w:rFonts w:ascii="Times New Roman" w:eastAsia="Times New Roman" w:hAnsi="Times New Roman" w:cs="Times New Roman"/>
          <w:smallCaps/>
          <w:spacing w:val="40"/>
          <w:kern w:val="24"/>
          <w:sz w:val="24"/>
          <w:szCs w:val="24"/>
          <w:lang w:eastAsia="fr-FR"/>
          <w14:shadow w14:blurRad="50800" w14:dist="38100" w14:dir="2700000" w14:sx="100000" w14:sy="100000" w14:kx="0" w14:ky="0" w14:algn="tl">
            <w14:srgbClr w14:val="000000">
              <w14:alpha w14:val="60000"/>
            </w14:srgbClr>
          </w14:shadow>
        </w:rPr>
        <w:br w:type="page"/>
      </w:r>
    </w:p>
    <w:p w14:paraId="21CF602D" w14:textId="5C7FBA33" w:rsidR="00167B02" w:rsidRPr="00F634CD" w:rsidRDefault="004B703E" w:rsidP="004B703E">
      <w:pPr>
        <w:spacing w:before="120" w:after="120" w:line="360" w:lineRule="auto"/>
        <w:jc w:val="center"/>
        <w:outlineLvl w:val="1"/>
        <w:rPr>
          <w:rFonts w:ascii="Times New Roman" w:hAnsi="Times New Roman" w:cs="Times New Roman"/>
          <w:smallCaps/>
          <w:spacing w:val="20"/>
          <w:kern w:val="24"/>
          <w:sz w:val="36"/>
          <w:szCs w:val="36"/>
        </w:rPr>
      </w:pPr>
      <w:bookmarkStart w:id="1904" w:name="_Toc116257084"/>
      <w:bookmarkStart w:id="1905" w:name="_Toc182298949"/>
      <w:bookmarkStart w:id="1906" w:name="_Toc182309407"/>
      <w:r w:rsidRPr="00F634CD">
        <w:rPr>
          <w:rFonts w:ascii="Times New Roman" w:hAnsi="Times New Roman" w:cs="Times New Roman"/>
          <w:b/>
          <w:bCs/>
          <w:smallCaps/>
          <w:kern w:val="24"/>
          <w:sz w:val="36"/>
          <w:szCs w:val="36"/>
        </w:rPr>
        <w:t xml:space="preserve">Annexe 2 : </w:t>
      </w:r>
      <w:r w:rsidR="00167B02" w:rsidRPr="00F634CD">
        <w:rPr>
          <w:rFonts w:ascii="Times New Roman" w:hAnsi="Times New Roman" w:cs="Times New Roman"/>
          <w:b/>
          <w:bCs/>
          <w:smallCaps/>
          <w:kern w:val="24"/>
          <w:sz w:val="36"/>
          <w:szCs w:val="36"/>
        </w:rPr>
        <w:t>Glossaire</w:t>
      </w:r>
      <w:bookmarkEnd w:id="1904"/>
      <w:bookmarkEnd w:id="1905"/>
      <w:bookmarkEnd w:id="1906"/>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A0" w:firstRow="1" w:lastRow="0" w:firstColumn="1" w:lastColumn="0" w:noHBand="0" w:noVBand="0"/>
      </w:tblPr>
      <w:tblGrid>
        <w:gridCol w:w="1701"/>
        <w:gridCol w:w="7370"/>
      </w:tblGrid>
      <w:tr w:rsidR="00167B02" w:rsidRPr="00F634CD" w14:paraId="341B4B73" w14:textId="77777777" w:rsidTr="004C7876">
        <w:trPr>
          <w:trHeight w:val="567"/>
          <w:jc w:val="center"/>
        </w:trPr>
        <w:tc>
          <w:tcPr>
            <w:tcW w:w="1701" w:type="dxa"/>
          </w:tcPr>
          <w:p w14:paraId="2BA97378" w14:textId="67A28C8D" w:rsidR="00167B02" w:rsidRPr="00F634CD" w:rsidRDefault="00EE4A15"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Al</w:t>
            </w:r>
            <w:r w:rsidR="00167B02" w:rsidRPr="00F634CD">
              <w:rPr>
                <w:rFonts w:ascii="Times New Roman" w:hAnsi="Times New Roman" w:cs="Times New Roman"/>
                <w:b/>
                <w:bCs/>
                <w:i/>
                <w:iCs/>
                <w:kern w:val="24"/>
                <w:sz w:val="24"/>
                <w:szCs w:val="24"/>
              </w:rPr>
              <w:t>-ghounm bil</w:t>
            </w:r>
            <w:r>
              <w:rPr>
                <w:rFonts w:ascii="Times New Roman" w:hAnsi="Times New Roman" w:cs="Times New Roman"/>
                <w:b/>
                <w:bCs/>
                <w:i/>
                <w:iCs/>
                <w:kern w:val="24"/>
                <w:sz w:val="24"/>
                <w:szCs w:val="24"/>
              </w:rPr>
              <w:t>-</w:t>
            </w:r>
            <w:r w:rsidR="00167B02" w:rsidRPr="00F634CD">
              <w:rPr>
                <w:rFonts w:ascii="Times New Roman" w:hAnsi="Times New Roman" w:cs="Times New Roman"/>
                <w:b/>
                <w:bCs/>
                <w:i/>
                <w:iCs/>
                <w:kern w:val="24"/>
                <w:sz w:val="24"/>
                <w:szCs w:val="24"/>
              </w:rPr>
              <w:t>ghounm</w:t>
            </w:r>
          </w:p>
        </w:tc>
        <w:tc>
          <w:tcPr>
            <w:tcW w:w="7370" w:type="dxa"/>
          </w:tcPr>
          <w:p w14:paraId="1EBF8342" w14:textId="77777777" w:rsidR="00167B02" w:rsidRPr="00F634CD" w:rsidRDefault="00167B02" w:rsidP="004C7876">
            <w:pPr>
              <w:tabs>
                <w:tab w:val="left" w:pos="0"/>
                <w:tab w:val="left" w:pos="7371"/>
              </w:tabs>
              <w:spacing w:line="240" w:lineRule="auto"/>
              <w:ind w:left="57" w:right="57"/>
              <w:rPr>
                <w:rFonts w:ascii="Times New Roman" w:hAnsi="Times New Roman" w:cs="Times New Roman"/>
                <w:color w:val="333333"/>
                <w:kern w:val="24"/>
                <w:sz w:val="24"/>
                <w:szCs w:val="24"/>
                <w:shd w:val="clear" w:color="auto" w:fill="FFFFFF"/>
              </w:rPr>
            </w:pPr>
            <w:r w:rsidRPr="00F634CD">
              <w:rPr>
                <w:rFonts w:ascii="Times New Roman" w:hAnsi="Times New Roman" w:cs="Times New Roman"/>
                <w:color w:val="333333"/>
                <w:kern w:val="24"/>
                <w:sz w:val="24"/>
                <w:szCs w:val="24"/>
                <w:shd w:val="clear" w:color="auto" w:fill="FFFFFF"/>
              </w:rPr>
              <w:t>Le gain en contrepartie de la perte.</w:t>
            </w:r>
          </w:p>
        </w:tc>
      </w:tr>
      <w:tr w:rsidR="00167B02" w:rsidRPr="00F634CD" w14:paraId="4CF90256" w14:textId="77777777" w:rsidTr="004C7876">
        <w:trPr>
          <w:trHeight w:val="567"/>
          <w:jc w:val="center"/>
        </w:trPr>
        <w:tc>
          <w:tcPr>
            <w:tcW w:w="1701" w:type="dxa"/>
          </w:tcPr>
          <w:p w14:paraId="162A57C4"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Al-khiyar</w:t>
            </w:r>
          </w:p>
        </w:tc>
        <w:tc>
          <w:tcPr>
            <w:tcW w:w="7370" w:type="dxa"/>
          </w:tcPr>
          <w:p w14:paraId="7175BDA3" w14:textId="77777777" w:rsidR="00167B02" w:rsidRPr="00F634CD" w:rsidRDefault="00167B02" w:rsidP="004C7876">
            <w:pPr>
              <w:tabs>
                <w:tab w:val="left" w:pos="0"/>
                <w:tab w:val="left" w:pos="7371"/>
              </w:tabs>
              <w:spacing w:line="240" w:lineRule="auto"/>
              <w:ind w:left="57" w:right="57"/>
              <w:rPr>
                <w:rFonts w:ascii="Times New Roman" w:hAnsi="Times New Roman" w:cs="Times New Roman"/>
                <w:color w:val="333333"/>
                <w:kern w:val="24"/>
                <w:sz w:val="24"/>
                <w:szCs w:val="24"/>
                <w:shd w:val="clear" w:color="auto" w:fill="FFFFFF"/>
              </w:rPr>
            </w:pPr>
            <w:r w:rsidRPr="00F634CD">
              <w:rPr>
                <w:rFonts w:ascii="Times New Roman" w:hAnsi="Times New Roman" w:cs="Times New Roman"/>
                <w:color w:val="333333"/>
                <w:kern w:val="24"/>
                <w:sz w:val="24"/>
                <w:szCs w:val="24"/>
                <w:shd w:val="clear" w:color="auto" w:fill="FFFFFF"/>
              </w:rPr>
              <w:t>Une option permettant de résilier un contrat de vente par l'une ou l'autre des parties dans un délai déterminé après la conclusion d'une offre.</w:t>
            </w:r>
          </w:p>
        </w:tc>
      </w:tr>
      <w:tr w:rsidR="00167B02" w:rsidRPr="00F634CD" w14:paraId="6921B73D" w14:textId="77777777" w:rsidTr="004C7876">
        <w:trPr>
          <w:trHeight w:val="1134"/>
          <w:jc w:val="center"/>
        </w:trPr>
        <w:tc>
          <w:tcPr>
            <w:tcW w:w="1701" w:type="dxa"/>
          </w:tcPr>
          <w:p w14:paraId="07DB7B48"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Al-Ushr</w:t>
            </w:r>
          </w:p>
        </w:tc>
        <w:tc>
          <w:tcPr>
            <w:tcW w:w="7370" w:type="dxa"/>
          </w:tcPr>
          <w:p w14:paraId="0A152B10" w14:textId="11FB7117"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color w:val="333333"/>
                <w:kern w:val="24"/>
                <w:sz w:val="24"/>
                <w:szCs w:val="24"/>
                <w:shd w:val="clear" w:color="auto" w:fill="FFFFFF"/>
              </w:rPr>
              <w:t xml:space="preserve">Taxe sur le produit agricole des terres perçues sur les </w:t>
            </w:r>
            <w:r w:rsidR="00EE4A15">
              <w:rPr>
                <w:rFonts w:ascii="Times New Roman" w:hAnsi="Times New Roman" w:cs="Times New Roman"/>
                <w:color w:val="333333"/>
                <w:kern w:val="24"/>
                <w:sz w:val="24"/>
                <w:szCs w:val="24"/>
                <w:shd w:val="clear" w:color="auto" w:fill="FFFFFF"/>
              </w:rPr>
              <w:t>M</w:t>
            </w:r>
            <w:r w:rsidRPr="00F634CD">
              <w:rPr>
                <w:rFonts w:ascii="Times New Roman" w:hAnsi="Times New Roman" w:cs="Times New Roman"/>
                <w:color w:val="333333"/>
                <w:kern w:val="24"/>
                <w:sz w:val="24"/>
                <w:szCs w:val="24"/>
                <w:shd w:val="clear" w:color="auto" w:fill="FFFFFF"/>
              </w:rPr>
              <w:t xml:space="preserve">usulmans à un taux de 10% si les terres sont irriguées par la pluie et à un taux de 5% si les terres </w:t>
            </w:r>
            <w:r w:rsidR="00EE4A15">
              <w:rPr>
                <w:rFonts w:ascii="Times New Roman" w:hAnsi="Times New Roman" w:cs="Times New Roman"/>
                <w:color w:val="333333"/>
                <w:kern w:val="24"/>
                <w:sz w:val="24"/>
                <w:szCs w:val="24"/>
                <w:shd w:val="clear" w:color="auto" w:fill="FFFFFF"/>
              </w:rPr>
              <w:t xml:space="preserve">le </w:t>
            </w:r>
            <w:r w:rsidRPr="00F634CD">
              <w:rPr>
                <w:rFonts w:ascii="Times New Roman" w:hAnsi="Times New Roman" w:cs="Times New Roman"/>
                <w:color w:val="333333"/>
                <w:kern w:val="24"/>
                <w:sz w:val="24"/>
                <w:szCs w:val="24"/>
                <w:shd w:val="clear" w:color="auto" w:fill="FFFFFF"/>
              </w:rPr>
              <w:t xml:space="preserve">sont artificiellement. </w:t>
            </w:r>
            <w:r w:rsidR="004F4A51" w:rsidRPr="00F634CD">
              <w:rPr>
                <w:rFonts w:ascii="Times New Roman" w:hAnsi="Times New Roman" w:cs="Times New Roman"/>
                <w:i/>
                <w:iCs/>
                <w:color w:val="333333"/>
                <w:kern w:val="24"/>
                <w:sz w:val="24"/>
                <w:szCs w:val="24"/>
                <w:shd w:val="clear" w:color="auto" w:fill="FFFFFF"/>
              </w:rPr>
              <w:t>Ushr</w:t>
            </w:r>
            <w:r w:rsidRPr="00F634CD">
              <w:rPr>
                <w:rFonts w:ascii="Times New Roman" w:hAnsi="Times New Roman" w:cs="Times New Roman"/>
                <w:color w:val="333333"/>
                <w:kern w:val="24"/>
                <w:sz w:val="24"/>
                <w:szCs w:val="24"/>
                <w:shd w:val="clear" w:color="auto" w:fill="FFFFFF"/>
              </w:rPr>
              <w:t xml:space="preserve"> n'est pas perçu</w:t>
            </w:r>
            <w:r w:rsidR="004F4A51" w:rsidRPr="00F634CD">
              <w:rPr>
                <w:rFonts w:ascii="Times New Roman" w:hAnsi="Times New Roman" w:cs="Times New Roman"/>
                <w:color w:val="333333"/>
                <w:kern w:val="24"/>
                <w:sz w:val="24"/>
                <w:szCs w:val="24"/>
                <w:shd w:val="clear" w:color="auto" w:fill="FFFFFF"/>
              </w:rPr>
              <w:t>,</w:t>
            </w:r>
            <w:r w:rsidRPr="00F634CD">
              <w:rPr>
                <w:rFonts w:ascii="Times New Roman" w:hAnsi="Times New Roman" w:cs="Times New Roman"/>
                <w:color w:val="333333"/>
                <w:kern w:val="24"/>
                <w:sz w:val="24"/>
                <w:szCs w:val="24"/>
                <w:shd w:val="clear" w:color="auto" w:fill="FFFFFF"/>
              </w:rPr>
              <w:t xml:space="preserve"> s'il n'y a pas de produit.</w:t>
            </w:r>
          </w:p>
        </w:tc>
      </w:tr>
      <w:tr w:rsidR="00167B02" w:rsidRPr="00F634CD" w14:paraId="6AA14234" w14:textId="77777777" w:rsidTr="004C7876">
        <w:trPr>
          <w:trHeight w:val="1191"/>
          <w:jc w:val="center"/>
        </w:trPr>
        <w:tc>
          <w:tcPr>
            <w:tcW w:w="1701" w:type="dxa"/>
          </w:tcPr>
          <w:p w14:paraId="4D7F825D"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Bay’al ina</w:t>
            </w:r>
          </w:p>
        </w:tc>
        <w:tc>
          <w:tcPr>
            <w:tcW w:w="7370" w:type="dxa"/>
          </w:tcPr>
          <w:p w14:paraId="2FB91682" w14:textId="3380ED90" w:rsidR="00167B02" w:rsidRPr="00F634CD" w:rsidRDefault="00167B02" w:rsidP="004C7876">
            <w:pPr>
              <w:tabs>
                <w:tab w:val="left" w:pos="0"/>
                <w:tab w:val="left" w:pos="7371"/>
              </w:tabs>
              <w:spacing w:line="240" w:lineRule="auto"/>
              <w:ind w:left="57" w:right="57"/>
              <w:rPr>
                <w:rFonts w:ascii="Times New Roman" w:hAnsi="Times New Roman" w:cs="Times New Roman"/>
                <w:color w:val="333333"/>
                <w:kern w:val="24"/>
                <w:sz w:val="24"/>
                <w:szCs w:val="24"/>
                <w:shd w:val="clear" w:color="auto" w:fill="FFFFFF"/>
              </w:rPr>
            </w:pPr>
            <w:r w:rsidRPr="00F634CD">
              <w:rPr>
                <w:rFonts w:ascii="Times New Roman" w:hAnsi="Times New Roman" w:cs="Times New Roman"/>
                <w:color w:val="333333"/>
                <w:kern w:val="24"/>
                <w:sz w:val="24"/>
                <w:szCs w:val="24"/>
                <w:shd w:val="clear" w:color="auto" w:fill="FFFFFF"/>
              </w:rPr>
              <w:t xml:space="preserve">Un prêt sous forme de vente, appelé </w:t>
            </w:r>
            <w:r w:rsidRPr="00F634CD">
              <w:rPr>
                <w:rFonts w:ascii="Times New Roman" w:hAnsi="Times New Roman" w:cs="Times New Roman"/>
                <w:i/>
                <w:iCs/>
                <w:color w:val="333333"/>
                <w:kern w:val="24"/>
                <w:sz w:val="24"/>
                <w:szCs w:val="24"/>
                <w:shd w:val="clear" w:color="auto" w:fill="FFFFFF"/>
              </w:rPr>
              <w:t>'ina</w:t>
            </w:r>
            <w:r w:rsidRPr="00F634CD">
              <w:rPr>
                <w:rFonts w:ascii="Times New Roman" w:hAnsi="Times New Roman" w:cs="Times New Roman"/>
                <w:color w:val="333333"/>
                <w:kern w:val="24"/>
                <w:sz w:val="24"/>
                <w:szCs w:val="24"/>
                <w:shd w:val="clear" w:color="auto" w:fill="FFFFFF"/>
              </w:rPr>
              <w:t xml:space="preserve"> (façade) car il s'agit d'une vente en apparence uniquement. Cela se fait en rachetant ce que l'on a vendu à un prix inférieur à celui pour lequel </w:t>
            </w:r>
            <w:r w:rsidR="00EE4A15">
              <w:rPr>
                <w:rFonts w:ascii="Times New Roman" w:hAnsi="Times New Roman" w:cs="Times New Roman"/>
                <w:color w:val="333333"/>
                <w:kern w:val="24"/>
                <w:sz w:val="24"/>
                <w:szCs w:val="24"/>
                <w:shd w:val="clear" w:color="auto" w:fill="FFFFFF"/>
              </w:rPr>
              <w:t xml:space="preserve">il a été cédé </w:t>
            </w:r>
            <w:r w:rsidRPr="00F634CD">
              <w:rPr>
                <w:rFonts w:ascii="Times New Roman" w:hAnsi="Times New Roman" w:cs="Times New Roman"/>
                <w:color w:val="333333"/>
                <w:kern w:val="24"/>
                <w:sz w:val="24"/>
                <w:szCs w:val="24"/>
                <w:shd w:val="clear" w:color="auto" w:fill="FFFFFF"/>
              </w:rPr>
              <w:t>à l'origine. La différence, apparemment le profit, est en fait un prêt.</w:t>
            </w:r>
          </w:p>
        </w:tc>
      </w:tr>
      <w:tr w:rsidR="00167B02" w:rsidRPr="00F634CD" w14:paraId="5129A54F" w14:textId="77777777" w:rsidTr="004C7876">
        <w:trPr>
          <w:trHeight w:val="624"/>
          <w:jc w:val="center"/>
        </w:trPr>
        <w:tc>
          <w:tcPr>
            <w:tcW w:w="1701" w:type="dxa"/>
          </w:tcPr>
          <w:p w14:paraId="4775C1F2"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i/>
                <w:iCs/>
                <w:spacing w:val="-4"/>
                <w:kern w:val="24"/>
                <w:sz w:val="24"/>
                <w:szCs w:val="24"/>
              </w:rPr>
            </w:pPr>
            <w:r w:rsidRPr="00F634CD">
              <w:rPr>
                <w:rFonts w:ascii="Times New Roman" w:hAnsi="Times New Roman" w:cs="Times New Roman"/>
                <w:b/>
                <w:bCs/>
                <w:i/>
                <w:iCs/>
                <w:spacing w:val="-4"/>
                <w:kern w:val="24"/>
                <w:sz w:val="24"/>
                <w:szCs w:val="24"/>
              </w:rPr>
              <w:t>Bay’assalam ou Bay’assalaf</w:t>
            </w:r>
          </w:p>
        </w:tc>
        <w:tc>
          <w:tcPr>
            <w:tcW w:w="7370" w:type="dxa"/>
          </w:tcPr>
          <w:p w14:paraId="0B9E40D3" w14:textId="210A6975"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La vente dont le prix est payé au comptant et immédiatement alors que la marchandise sera livrée </w:t>
            </w:r>
            <w:r w:rsidR="00EE4A15">
              <w:rPr>
                <w:rFonts w:ascii="Times New Roman" w:hAnsi="Times New Roman" w:cs="Times New Roman"/>
                <w:kern w:val="24"/>
                <w:sz w:val="24"/>
                <w:szCs w:val="24"/>
              </w:rPr>
              <w:t>ultérieurement</w:t>
            </w:r>
            <w:r w:rsidRPr="00F634CD">
              <w:rPr>
                <w:rFonts w:ascii="Times New Roman" w:hAnsi="Times New Roman" w:cs="Times New Roman"/>
                <w:kern w:val="24"/>
                <w:sz w:val="24"/>
                <w:szCs w:val="24"/>
              </w:rPr>
              <w:t>.</w:t>
            </w:r>
          </w:p>
        </w:tc>
      </w:tr>
      <w:tr w:rsidR="00167B02" w:rsidRPr="00F634CD" w14:paraId="2FAA1227" w14:textId="77777777" w:rsidTr="004C7876">
        <w:trPr>
          <w:trHeight w:val="850"/>
          <w:jc w:val="center"/>
        </w:trPr>
        <w:tc>
          <w:tcPr>
            <w:tcW w:w="1701" w:type="dxa"/>
          </w:tcPr>
          <w:p w14:paraId="45B7AC8D" w14:textId="2868FEB2" w:rsidR="00167B02" w:rsidRPr="00F634CD" w:rsidRDefault="00A5400B"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spacing w:val="4"/>
                <w:kern w:val="24"/>
                <w:sz w:val="24"/>
                <w:szCs w:val="24"/>
              </w:rPr>
              <w:t>Shariah</w:t>
            </w:r>
          </w:p>
        </w:tc>
        <w:tc>
          <w:tcPr>
            <w:tcW w:w="7370" w:type="dxa"/>
          </w:tcPr>
          <w:p w14:paraId="326389CB" w14:textId="404C1BCD"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Il s’agit des instructions divines telles que données par le Coran et </w:t>
            </w:r>
            <w:r w:rsidR="00942889">
              <w:rPr>
                <w:rFonts w:ascii="Times New Roman" w:hAnsi="Times New Roman" w:cs="Times New Roman"/>
                <w:kern w:val="24"/>
                <w:sz w:val="24"/>
                <w:szCs w:val="24"/>
              </w:rPr>
              <w:t xml:space="preserve">les </w:t>
            </w:r>
            <w:r w:rsidRPr="00F634CD">
              <w:rPr>
                <w:rFonts w:ascii="Times New Roman" w:hAnsi="Times New Roman" w:cs="Times New Roman"/>
                <w:kern w:val="24"/>
                <w:sz w:val="24"/>
                <w:szCs w:val="24"/>
              </w:rPr>
              <w:t>Hadiths. Elle embrasse tous les aspects de la religion musulmane, y compris les croyances et les règles de conduite.</w:t>
            </w:r>
          </w:p>
        </w:tc>
      </w:tr>
      <w:tr w:rsidR="00167B02" w:rsidRPr="00F634CD" w14:paraId="2B824503" w14:textId="77777777" w:rsidTr="004F4A51">
        <w:trPr>
          <w:trHeight w:val="454"/>
          <w:jc w:val="center"/>
        </w:trPr>
        <w:tc>
          <w:tcPr>
            <w:tcW w:w="1701" w:type="dxa"/>
            <w:vAlign w:val="center"/>
          </w:tcPr>
          <w:p w14:paraId="2A87411B"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Coran</w:t>
            </w:r>
          </w:p>
        </w:tc>
        <w:tc>
          <w:tcPr>
            <w:tcW w:w="7370" w:type="dxa"/>
            <w:vAlign w:val="center"/>
          </w:tcPr>
          <w:p w14:paraId="21D9619B"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kern w:val="24"/>
                <w:sz w:val="24"/>
                <w:szCs w:val="24"/>
              </w:rPr>
            </w:pPr>
            <w:r w:rsidRPr="00F634CD">
              <w:rPr>
                <w:rFonts w:ascii="Times New Roman" w:hAnsi="Times New Roman" w:cs="Times New Roman"/>
                <w:kern w:val="24"/>
                <w:sz w:val="24"/>
                <w:szCs w:val="24"/>
              </w:rPr>
              <w:t>Livre saint des Musulmans.</w:t>
            </w:r>
          </w:p>
        </w:tc>
      </w:tr>
      <w:tr w:rsidR="00167B02" w:rsidRPr="00F634CD" w14:paraId="1325C07F" w14:textId="77777777" w:rsidTr="004C7876">
        <w:trPr>
          <w:trHeight w:val="567"/>
          <w:jc w:val="center"/>
        </w:trPr>
        <w:tc>
          <w:tcPr>
            <w:tcW w:w="1701" w:type="dxa"/>
          </w:tcPr>
          <w:p w14:paraId="3F9E456D"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color w:val="000000"/>
                <w:kern w:val="24"/>
                <w:sz w:val="24"/>
                <w:szCs w:val="24"/>
              </w:rPr>
              <w:t>Fatwa</w:t>
            </w:r>
          </w:p>
        </w:tc>
        <w:tc>
          <w:tcPr>
            <w:tcW w:w="7370" w:type="dxa"/>
          </w:tcPr>
          <w:p w14:paraId="35DA4F6C" w14:textId="77777777"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spacing w:val="-4"/>
                <w:kern w:val="24"/>
                <w:sz w:val="24"/>
                <w:szCs w:val="24"/>
              </w:rPr>
              <w:t>Avis rendu sur un point de doctrine après consultation de certaines autorités religieuses</w:t>
            </w:r>
            <w:r w:rsidRPr="00F634CD">
              <w:rPr>
                <w:rFonts w:ascii="Times New Roman" w:hAnsi="Times New Roman" w:cs="Times New Roman"/>
                <w:kern w:val="24"/>
                <w:sz w:val="24"/>
                <w:szCs w:val="24"/>
              </w:rPr>
              <w:t>.</w:t>
            </w:r>
          </w:p>
        </w:tc>
      </w:tr>
      <w:tr w:rsidR="00167B02" w:rsidRPr="00F634CD" w14:paraId="5B183BEF" w14:textId="77777777" w:rsidTr="004F4A51">
        <w:trPr>
          <w:trHeight w:val="454"/>
          <w:jc w:val="center"/>
        </w:trPr>
        <w:tc>
          <w:tcPr>
            <w:tcW w:w="1701" w:type="dxa"/>
            <w:vAlign w:val="center"/>
          </w:tcPr>
          <w:p w14:paraId="2A568EF2"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Fikh</w:t>
            </w:r>
          </w:p>
        </w:tc>
        <w:tc>
          <w:tcPr>
            <w:tcW w:w="7370" w:type="dxa"/>
            <w:vAlign w:val="center"/>
          </w:tcPr>
          <w:p w14:paraId="55B6A657" w14:textId="77777777" w:rsidR="00167B02" w:rsidRPr="00F634CD" w:rsidRDefault="00167B02" w:rsidP="004F4A51">
            <w:pPr>
              <w:pStyle w:val="Default"/>
              <w:tabs>
                <w:tab w:val="left" w:pos="0"/>
                <w:tab w:val="left" w:pos="7371"/>
              </w:tabs>
              <w:ind w:left="57" w:right="57"/>
              <w:jc w:val="left"/>
              <w:rPr>
                <w:kern w:val="24"/>
              </w:rPr>
            </w:pPr>
            <w:r w:rsidRPr="00F634CD">
              <w:rPr>
                <w:kern w:val="24"/>
              </w:rPr>
              <w:t>Compréhension, jurisprudence.</w:t>
            </w:r>
          </w:p>
        </w:tc>
      </w:tr>
      <w:tr w:rsidR="00167B02" w:rsidRPr="00F634CD" w14:paraId="6AF91F36" w14:textId="77777777" w:rsidTr="004C7876">
        <w:trPr>
          <w:trHeight w:val="850"/>
          <w:jc w:val="center"/>
        </w:trPr>
        <w:tc>
          <w:tcPr>
            <w:tcW w:w="1701" w:type="dxa"/>
          </w:tcPr>
          <w:p w14:paraId="4BC021FB"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Ghanima</w:t>
            </w:r>
          </w:p>
        </w:tc>
        <w:tc>
          <w:tcPr>
            <w:tcW w:w="7370" w:type="dxa"/>
          </w:tcPr>
          <w:p w14:paraId="24E47214" w14:textId="77777777" w:rsidR="00167B02" w:rsidRPr="00F634CD" w:rsidRDefault="00167B02" w:rsidP="004C7876">
            <w:pPr>
              <w:pStyle w:val="Default"/>
              <w:tabs>
                <w:tab w:val="left" w:pos="0"/>
                <w:tab w:val="left" w:pos="7371"/>
              </w:tabs>
              <w:ind w:left="57" w:right="57"/>
              <w:rPr>
                <w:kern w:val="24"/>
                <w:shd w:val="clear" w:color="auto" w:fill="FFFFFF"/>
              </w:rPr>
            </w:pPr>
            <w:r w:rsidRPr="00F634CD">
              <w:rPr>
                <w:kern w:val="24"/>
                <w:shd w:val="clear" w:color="auto" w:fill="FFFFFF"/>
              </w:rPr>
              <w:t>Il s’agit du butin pris au combat sur le champ de bataille. Il revient à l’Etat. Cette taxe servait à subvenir aux besoins des pauvres, des orphelins.</w:t>
            </w:r>
          </w:p>
        </w:tc>
      </w:tr>
      <w:tr w:rsidR="00167B02" w:rsidRPr="00F634CD" w14:paraId="10F271F3" w14:textId="77777777" w:rsidTr="004C7876">
        <w:trPr>
          <w:trHeight w:val="1474"/>
          <w:jc w:val="center"/>
        </w:trPr>
        <w:tc>
          <w:tcPr>
            <w:tcW w:w="1701" w:type="dxa"/>
          </w:tcPr>
          <w:p w14:paraId="722F526D"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Gharar</w:t>
            </w:r>
          </w:p>
        </w:tc>
        <w:tc>
          <w:tcPr>
            <w:tcW w:w="7370" w:type="dxa"/>
          </w:tcPr>
          <w:p w14:paraId="1C7A0A86" w14:textId="36255F6E"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Techniquement</w:t>
            </w:r>
            <w:r w:rsidR="00942889">
              <w:rPr>
                <w:rFonts w:ascii="Times New Roman" w:hAnsi="Times New Roman" w:cs="Times New Roman"/>
                <w:kern w:val="24"/>
                <w:sz w:val="24"/>
                <w:szCs w:val="24"/>
              </w:rPr>
              <w:t>,</w:t>
            </w:r>
            <w:r w:rsidRPr="00F634CD">
              <w:rPr>
                <w:rFonts w:ascii="Times New Roman" w:hAnsi="Times New Roman" w:cs="Times New Roman"/>
                <w:kern w:val="24"/>
                <w:sz w:val="24"/>
                <w:szCs w:val="24"/>
              </w:rPr>
              <w:t xml:space="preserve"> état de celui qui s’expose à un risque et un danger excessif dans une transaction d’affaire du fait de l’incertitude sur le prix, la qualité</w:t>
            </w:r>
            <w:r w:rsidR="00942889">
              <w:rPr>
                <w:rFonts w:ascii="Times New Roman" w:hAnsi="Times New Roman" w:cs="Times New Roman"/>
                <w:kern w:val="24"/>
                <w:sz w:val="24"/>
                <w:szCs w:val="24"/>
              </w:rPr>
              <w:t>,</w:t>
            </w:r>
            <w:r w:rsidRPr="00F634CD">
              <w:rPr>
                <w:rFonts w:ascii="Times New Roman" w:hAnsi="Times New Roman" w:cs="Times New Roman"/>
                <w:kern w:val="24"/>
                <w:sz w:val="24"/>
                <w:szCs w:val="24"/>
              </w:rPr>
              <w:t xml:space="preserve"> la quantité de la contre-valeur, la date de livraison et la capacité du vendeur ou de l’acheteur de tenir sa promesse, causant ainsi à l’une des deux parties une perte inutile.</w:t>
            </w:r>
          </w:p>
        </w:tc>
      </w:tr>
      <w:tr w:rsidR="00167B02" w:rsidRPr="00F634CD" w14:paraId="43D12378" w14:textId="77777777" w:rsidTr="004F4A51">
        <w:trPr>
          <w:trHeight w:val="454"/>
          <w:jc w:val="center"/>
        </w:trPr>
        <w:tc>
          <w:tcPr>
            <w:tcW w:w="1701" w:type="dxa"/>
            <w:vAlign w:val="center"/>
          </w:tcPr>
          <w:p w14:paraId="400A44C1"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Hadith</w:t>
            </w:r>
          </w:p>
        </w:tc>
        <w:tc>
          <w:tcPr>
            <w:tcW w:w="7370" w:type="dxa"/>
            <w:vAlign w:val="center"/>
          </w:tcPr>
          <w:p w14:paraId="64FC72E8" w14:textId="77777777" w:rsidR="00167B02" w:rsidRPr="00F634CD" w:rsidRDefault="00167B02" w:rsidP="004F4A51">
            <w:pPr>
              <w:pStyle w:val="Default"/>
              <w:tabs>
                <w:tab w:val="left" w:pos="0"/>
                <w:tab w:val="left" w:pos="7371"/>
              </w:tabs>
              <w:ind w:left="57" w:right="57"/>
              <w:jc w:val="left"/>
              <w:rPr>
                <w:kern w:val="24"/>
              </w:rPr>
            </w:pPr>
            <w:r w:rsidRPr="00F634CD">
              <w:rPr>
                <w:kern w:val="24"/>
              </w:rPr>
              <w:t>Dires du Prophète Mohamed, recueil de ses paroles.</w:t>
            </w:r>
          </w:p>
        </w:tc>
      </w:tr>
      <w:tr w:rsidR="00167B02" w:rsidRPr="00F634CD" w14:paraId="50F5F637" w14:textId="77777777" w:rsidTr="004F4A51">
        <w:trPr>
          <w:trHeight w:val="454"/>
          <w:jc w:val="center"/>
        </w:trPr>
        <w:tc>
          <w:tcPr>
            <w:tcW w:w="1701" w:type="dxa"/>
            <w:vAlign w:val="center"/>
          </w:tcPr>
          <w:p w14:paraId="494A8FBB"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Halal</w:t>
            </w:r>
          </w:p>
        </w:tc>
        <w:tc>
          <w:tcPr>
            <w:tcW w:w="7370" w:type="dxa"/>
            <w:vAlign w:val="center"/>
          </w:tcPr>
          <w:p w14:paraId="4C78CA4E" w14:textId="77777777" w:rsidR="00167B02" w:rsidRPr="00F634CD" w:rsidRDefault="00167B02" w:rsidP="004F4A51">
            <w:pPr>
              <w:pStyle w:val="Default"/>
              <w:tabs>
                <w:tab w:val="left" w:pos="0"/>
                <w:tab w:val="left" w:pos="7371"/>
              </w:tabs>
              <w:ind w:left="57" w:right="57"/>
              <w:jc w:val="left"/>
              <w:rPr>
                <w:kern w:val="24"/>
              </w:rPr>
            </w:pPr>
            <w:r w:rsidRPr="00F634CD">
              <w:rPr>
                <w:kern w:val="24"/>
              </w:rPr>
              <w:t xml:space="preserve">Toute chose licite en </w:t>
            </w:r>
            <w:r w:rsidR="00F34669" w:rsidRPr="00F634CD">
              <w:rPr>
                <w:kern w:val="24"/>
              </w:rPr>
              <w:t>Islam</w:t>
            </w:r>
            <w:r w:rsidRPr="00F634CD">
              <w:rPr>
                <w:kern w:val="24"/>
              </w:rPr>
              <w:t>.</w:t>
            </w:r>
          </w:p>
        </w:tc>
      </w:tr>
      <w:tr w:rsidR="00167B02" w:rsidRPr="00F634CD" w14:paraId="0A86FBA7" w14:textId="77777777" w:rsidTr="004F4A51">
        <w:trPr>
          <w:trHeight w:val="454"/>
          <w:jc w:val="center"/>
        </w:trPr>
        <w:tc>
          <w:tcPr>
            <w:tcW w:w="1701" w:type="dxa"/>
            <w:vAlign w:val="center"/>
          </w:tcPr>
          <w:p w14:paraId="06F37AB2"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Haram</w:t>
            </w:r>
          </w:p>
        </w:tc>
        <w:tc>
          <w:tcPr>
            <w:tcW w:w="7370" w:type="dxa"/>
            <w:vAlign w:val="center"/>
          </w:tcPr>
          <w:p w14:paraId="45B6A28E"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kern w:val="24"/>
                <w:sz w:val="24"/>
                <w:szCs w:val="24"/>
              </w:rPr>
            </w:pPr>
            <w:r w:rsidRPr="00F634CD">
              <w:rPr>
                <w:rFonts w:ascii="Times New Roman" w:hAnsi="Times New Roman" w:cs="Times New Roman"/>
                <w:kern w:val="24"/>
                <w:sz w:val="24"/>
                <w:szCs w:val="24"/>
              </w:rPr>
              <w:t>Chose illicite.</w:t>
            </w:r>
          </w:p>
        </w:tc>
      </w:tr>
      <w:tr w:rsidR="00167B02" w:rsidRPr="00F634CD" w14:paraId="5FF93D56" w14:textId="77777777" w:rsidTr="004C7876">
        <w:trPr>
          <w:trHeight w:val="624"/>
          <w:jc w:val="center"/>
        </w:trPr>
        <w:tc>
          <w:tcPr>
            <w:tcW w:w="1701" w:type="dxa"/>
          </w:tcPr>
          <w:p w14:paraId="7770F5E1"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Ijara ou Ijara wa iktina</w:t>
            </w:r>
          </w:p>
        </w:tc>
        <w:tc>
          <w:tcPr>
            <w:tcW w:w="7370" w:type="dxa"/>
          </w:tcPr>
          <w:p w14:paraId="4395AC21" w14:textId="565E7987" w:rsidR="00167B02" w:rsidRPr="00F634CD" w:rsidRDefault="00EE4A15"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Crédit-bail</w:t>
            </w:r>
            <w:r w:rsidR="00167B02" w:rsidRPr="00F634CD">
              <w:rPr>
                <w:rFonts w:ascii="Times New Roman" w:hAnsi="Times New Roman" w:cs="Times New Roman"/>
                <w:kern w:val="24"/>
                <w:sz w:val="24"/>
                <w:szCs w:val="24"/>
              </w:rPr>
              <w:t xml:space="preserve">, contrat de location </w:t>
            </w:r>
            <w:r w:rsidR="004F4A51" w:rsidRPr="00F634CD">
              <w:rPr>
                <w:rFonts w:ascii="Times New Roman" w:hAnsi="Times New Roman" w:cs="Times New Roman"/>
                <w:kern w:val="24"/>
                <w:sz w:val="24"/>
                <w:szCs w:val="24"/>
              </w:rPr>
              <w:t>i</w:t>
            </w:r>
            <w:r w:rsidR="003773C6" w:rsidRPr="00F634CD">
              <w:rPr>
                <w:rFonts w:ascii="Times New Roman" w:hAnsi="Times New Roman" w:cs="Times New Roman"/>
                <w:kern w:val="24"/>
                <w:sz w:val="24"/>
                <w:szCs w:val="24"/>
              </w:rPr>
              <w:t>slamique</w:t>
            </w:r>
            <w:r w:rsidR="00167B02" w:rsidRPr="00F634CD">
              <w:rPr>
                <w:rFonts w:ascii="Times New Roman" w:hAnsi="Times New Roman" w:cs="Times New Roman"/>
                <w:kern w:val="24"/>
                <w:sz w:val="24"/>
                <w:szCs w:val="24"/>
              </w:rPr>
              <w:t>.</w:t>
            </w:r>
          </w:p>
        </w:tc>
      </w:tr>
      <w:tr w:rsidR="00167B02" w:rsidRPr="00F634CD" w14:paraId="4C29666E" w14:textId="77777777" w:rsidTr="004C7876">
        <w:trPr>
          <w:trHeight w:val="624"/>
          <w:jc w:val="center"/>
        </w:trPr>
        <w:tc>
          <w:tcPr>
            <w:tcW w:w="1701" w:type="dxa"/>
          </w:tcPr>
          <w:p w14:paraId="77B2F3CA"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Ijtihad</w:t>
            </w:r>
          </w:p>
        </w:tc>
        <w:tc>
          <w:tcPr>
            <w:tcW w:w="7370" w:type="dxa"/>
          </w:tcPr>
          <w:p w14:paraId="273F8DA3" w14:textId="5EFFB280"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Formation de jugements indépendants par les </w:t>
            </w:r>
            <w:r w:rsidRPr="00F634CD">
              <w:rPr>
                <w:rFonts w:ascii="Times New Roman" w:hAnsi="Times New Roman" w:cs="Times New Roman"/>
                <w:i/>
                <w:iCs/>
                <w:kern w:val="24"/>
                <w:sz w:val="24"/>
                <w:szCs w:val="24"/>
              </w:rPr>
              <w:t>Oulémas</w:t>
            </w:r>
            <w:r w:rsidRPr="00F634CD">
              <w:rPr>
                <w:rFonts w:ascii="Times New Roman" w:hAnsi="Times New Roman" w:cs="Times New Roman"/>
                <w:kern w:val="24"/>
                <w:sz w:val="24"/>
                <w:szCs w:val="24"/>
              </w:rPr>
              <w:t xml:space="preserve"> en se basant sur la </w:t>
            </w:r>
            <w:r w:rsidR="00A5400B" w:rsidRPr="00F634CD">
              <w:rPr>
                <w:rFonts w:ascii="Times New Roman" w:hAnsi="Times New Roman" w:cs="Times New Roman"/>
                <w:i/>
                <w:spacing w:val="4"/>
                <w:kern w:val="24"/>
                <w:sz w:val="24"/>
                <w:szCs w:val="24"/>
              </w:rPr>
              <w:t>Shariah</w:t>
            </w:r>
            <w:r w:rsidRPr="00F634CD">
              <w:rPr>
                <w:rFonts w:ascii="Times New Roman" w:hAnsi="Times New Roman" w:cs="Times New Roman"/>
                <w:kern w:val="24"/>
                <w:sz w:val="24"/>
                <w:szCs w:val="24"/>
              </w:rPr>
              <w:t>.</w:t>
            </w:r>
          </w:p>
        </w:tc>
      </w:tr>
      <w:tr w:rsidR="00167B02" w:rsidRPr="00F634CD" w14:paraId="0A9E869B" w14:textId="77777777" w:rsidTr="004C7876">
        <w:trPr>
          <w:trHeight w:val="907"/>
          <w:jc w:val="center"/>
        </w:trPr>
        <w:tc>
          <w:tcPr>
            <w:tcW w:w="1701" w:type="dxa"/>
          </w:tcPr>
          <w:p w14:paraId="6B4B56FC" w14:textId="724FB9E7" w:rsidR="00167B02" w:rsidRPr="00F634CD" w:rsidRDefault="00167B02" w:rsidP="004C7876">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Istisna</w:t>
            </w:r>
            <w:r w:rsidR="00942889">
              <w:rPr>
                <w:rFonts w:ascii="Times New Roman" w:hAnsi="Times New Roman" w:cs="Times New Roman"/>
                <w:b/>
                <w:bCs/>
                <w:i/>
                <w:iCs/>
                <w:kern w:val="24"/>
                <w:sz w:val="24"/>
                <w:szCs w:val="24"/>
              </w:rPr>
              <w:t>’</w:t>
            </w:r>
          </w:p>
        </w:tc>
        <w:tc>
          <w:tcPr>
            <w:tcW w:w="7370" w:type="dxa"/>
          </w:tcPr>
          <w:p w14:paraId="4454F742" w14:textId="77777777"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Il s’agit d’un contrat en vertu duquel un entrepreneur (ou un fabricant) accepte de construire (ou de produire) et de livrer un certain bien à un prix convenu dans un délai spécifié.</w:t>
            </w:r>
          </w:p>
        </w:tc>
      </w:tr>
      <w:tr w:rsidR="00167B02" w:rsidRPr="00F634CD" w14:paraId="18C58512" w14:textId="77777777" w:rsidTr="00942889">
        <w:trPr>
          <w:trHeight w:val="612"/>
          <w:jc w:val="center"/>
        </w:trPr>
        <w:tc>
          <w:tcPr>
            <w:tcW w:w="1701" w:type="dxa"/>
          </w:tcPr>
          <w:p w14:paraId="7E9EA3CC"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Jizya</w:t>
            </w:r>
          </w:p>
        </w:tc>
        <w:tc>
          <w:tcPr>
            <w:tcW w:w="7370" w:type="dxa"/>
          </w:tcPr>
          <w:p w14:paraId="26FED1DB" w14:textId="4854F296"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color w:val="222222"/>
                <w:kern w:val="24"/>
                <w:sz w:val="24"/>
                <w:szCs w:val="24"/>
                <w:shd w:val="clear" w:color="auto" w:fill="FFFFFF"/>
              </w:rPr>
              <w:t xml:space="preserve">Taxe perçue à charge des </w:t>
            </w:r>
            <w:r w:rsidRPr="00F634CD">
              <w:rPr>
                <w:rFonts w:ascii="Times New Roman" w:hAnsi="Times New Roman" w:cs="Times New Roman"/>
                <w:i/>
                <w:iCs/>
                <w:color w:val="222222"/>
                <w:kern w:val="24"/>
                <w:sz w:val="24"/>
                <w:szCs w:val="24"/>
                <w:shd w:val="clear" w:color="auto" w:fill="FFFFFF"/>
              </w:rPr>
              <w:t>dhimmis</w:t>
            </w:r>
            <w:r w:rsidRPr="00F634CD">
              <w:rPr>
                <w:rFonts w:ascii="Times New Roman" w:hAnsi="Times New Roman" w:cs="Times New Roman"/>
                <w:color w:val="222222"/>
                <w:kern w:val="24"/>
                <w:sz w:val="24"/>
                <w:szCs w:val="24"/>
                <w:shd w:val="clear" w:color="auto" w:fill="FFFFFF"/>
              </w:rPr>
              <w:t xml:space="preserve"> (</w:t>
            </w:r>
            <w:r w:rsidRPr="00F634CD">
              <w:rPr>
                <w:rFonts w:ascii="Times New Roman" w:hAnsi="Times New Roman" w:cs="Times New Roman"/>
                <w:color w:val="545454"/>
                <w:kern w:val="24"/>
                <w:sz w:val="24"/>
                <w:szCs w:val="24"/>
                <w:shd w:val="clear" w:color="auto" w:fill="FFFFFF"/>
              </w:rPr>
              <w:t>individus non-musulmans)</w:t>
            </w:r>
            <w:r w:rsidR="00942889">
              <w:rPr>
                <w:rFonts w:ascii="Times New Roman" w:hAnsi="Times New Roman" w:cs="Times New Roman"/>
                <w:color w:val="545454"/>
                <w:kern w:val="24"/>
                <w:sz w:val="24"/>
                <w:szCs w:val="24"/>
                <w:shd w:val="clear" w:color="auto" w:fill="FFFFFF"/>
              </w:rPr>
              <w:t xml:space="preserve">, </w:t>
            </w:r>
            <w:r w:rsidRPr="00F634CD">
              <w:rPr>
                <w:rFonts w:ascii="Times New Roman" w:hAnsi="Times New Roman" w:cs="Times New Roman"/>
                <w:color w:val="222222"/>
                <w:kern w:val="24"/>
                <w:sz w:val="24"/>
                <w:szCs w:val="24"/>
                <w:shd w:val="clear" w:color="auto" w:fill="FFFFFF"/>
              </w:rPr>
              <w:t>nommée ainsi</w:t>
            </w:r>
            <w:r w:rsidR="00942889">
              <w:rPr>
                <w:rFonts w:ascii="Times New Roman" w:hAnsi="Times New Roman" w:cs="Times New Roman"/>
                <w:color w:val="222222"/>
                <w:kern w:val="24"/>
                <w:sz w:val="24"/>
                <w:szCs w:val="24"/>
                <w:shd w:val="clear" w:color="auto" w:fill="FFFFFF"/>
              </w:rPr>
              <w:t>,</w:t>
            </w:r>
            <w:r w:rsidRPr="00F634CD">
              <w:rPr>
                <w:rFonts w:ascii="Times New Roman" w:hAnsi="Times New Roman" w:cs="Times New Roman"/>
                <w:color w:val="222222"/>
                <w:kern w:val="24"/>
                <w:sz w:val="24"/>
                <w:szCs w:val="24"/>
                <w:shd w:val="clear" w:color="auto" w:fill="FFFFFF"/>
              </w:rPr>
              <w:t xml:space="preserve"> </w:t>
            </w:r>
            <w:r w:rsidR="00942889">
              <w:rPr>
                <w:rFonts w:ascii="Times New Roman" w:hAnsi="Times New Roman" w:cs="Times New Roman"/>
                <w:color w:val="222222"/>
                <w:kern w:val="24"/>
                <w:sz w:val="24"/>
                <w:szCs w:val="24"/>
                <w:shd w:val="clear" w:color="auto" w:fill="FFFFFF"/>
              </w:rPr>
              <w:t>et</w:t>
            </w:r>
            <w:r w:rsidRPr="00F634CD">
              <w:rPr>
                <w:rFonts w:ascii="Times New Roman" w:hAnsi="Times New Roman" w:cs="Times New Roman"/>
                <w:color w:val="222222"/>
                <w:kern w:val="24"/>
                <w:sz w:val="24"/>
                <w:szCs w:val="24"/>
                <w:shd w:val="clear" w:color="auto" w:fill="FFFFFF"/>
              </w:rPr>
              <w:t xml:space="preserve"> établie en échange de </w:t>
            </w:r>
            <w:r w:rsidR="00942889">
              <w:rPr>
                <w:rFonts w:ascii="Times New Roman" w:hAnsi="Times New Roman" w:cs="Times New Roman"/>
                <w:color w:val="222222"/>
                <w:kern w:val="24"/>
                <w:sz w:val="24"/>
                <w:szCs w:val="24"/>
                <w:shd w:val="clear" w:color="auto" w:fill="FFFFFF"/>
              </w:rPr>
              <w:t xml:space="preserve">la garantie de leur </w:t>
            </w:r>
            <w:r w:rsidRPr="00F634CD">
              <w:rPr>
                <w:rFonts w:ascii="Times New Roman" w:hAnsi="Times New Roman" w:cs="Times New Roman"/>
                <w:color w:val="222222"/>
                <w:kern w:val="24"/>
                <w:sz w:val="24"/>
                <w:szCs w:val="24"/>
                <w:shd w:val="clear" w:color="auto" w:fill="FFFFFF"/>
              </w:rPr>
              <w:t>protection</w:t>
            </w:r>
            <w:r w:rsidR="00942889">
              <w:rPr>
                <w:rFonts w:ascii="Times New Roman" w:hAnsi="Times New Roman" w:cs="Times New Roman"/>
                <w:color w:val="222222"/>
                <w:kern w:val="24"/>
                <w:sz w:val="24"/>
                <w:szCs w:val="24"/>
                <w:shd w:val="clear" w:color="auto" w:fill="FFFFFF"/>
              </w:rPr>
              <w:t>.</w:t>
            </w:r>
          </w:p>
        </w:tc>
      </w:tr>
      <w:tr w:rsidR="00167B02" w:rsidRPr="00F634CD" w14:paraId="4242115B" w14:textId="77777777" w:rsidTr="004C7876">
        <w:trPr>
          <w:trHeight w:val="907"/>
          <w:jc w:val="center"/>
        </w:trPr>
        <w:tc>
          <w:tcPr>
            <w:tcW w:w="1701" w:type="dxa"/>
          </w:tcPr>
          <w:p w14:paraId="6C8EB417"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Khiyar al-shart</w:t>
            </w:r>
          </w:p>
        </w:tc>
        <w:tc>
          <w:tcPr>
            <w:tcW w:w="7370" w:type="dxa"/>
          </w:tcPr>
          <w:p w14:paraId="399FCB2B" w14:textId="71BDBBCF" w:rsidR="00167B02" w:rsidRPr="00F634CD" w:rsidRDefault="004F4A51" w:rsidP="004C7876">
            <w:pPr>
              <w:tabs>
                <w:tab w:val="left" w:pos="0"/>
                <w:tab w:val="left" w:pos="7371"/>
              </w:tabs>
              <w:autoSpaceDE w:val="0"/>
              <w:autoSpaceDN w:val="0"/>
              <w:adjustRightInd w:val="0"/>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L’option</w:t>
            </w:r>
            <w:r w:rsidR="00167B02" w:rsidRPr="00F634CD">
              <w:rPr>
                <w:rFonts w:ascii="Times New Roman" w:hAnsi="Times New Roman" w:cs="Times New Roman"/>
                <w:kern w:val="24"/>
                <w:sz w:val="24"/>
                <w:szCs w:val="24"/>
              </w:rPr>
              <w:t xml:space="preserve"> de se retirer d’un contrat de vente basé sur certaines conditions stipulées par une partie</w:t>
            </w:r>
            <w:r w:rsidR="00942889">
              <w:rPr>
                <w:rFonts w:ascii="Times New Roman" w:hAnsi="Times New Roman" w:cs="Times New Roman"/>
                <w:kern w:val="24"/>
                <w:sz w:val="24"/>
                <w:szCs w:val="24"/>
              </w:rPr>
              <w:t> ;</w:t>
            </w:r>
            <w:r w:rsidR="00167B02" w:rsidRPr="00F634CD">
              <w:rPr>
                <w:rFonts w:ascii="Times New Roman" w:hAnsi="Times New Roman" w:cs="Times New Roman"/>
                <w:kern w:val="24"/>
                <w:sz w:val="24"/>
                <w:szCs w:val="24"/>
              </w:rPr>
              <w:t xml:space="preserve"> en cas de non satisfaction, la partie peut annuler le contrat.</w:t>
            </w:r>
          </w:p>
        </w:tc>
      </w:tr>
      <w:tr w:rsidR="00167B02" w:rsidRPr="00F634CD" w14:paraId="105272A3" w14:textId="77777777" w:rsidTr="004C7876">
        <w:trPr>
          <w:trHeight w:val="907"/>
          <w:jc w:val="center"/>
        </w:trPr>
        <w:tc>
          <w:tcPr>
            <w:tcW w:w="1701" w:type="dxa"/>
          </w:tcPr>
          <w:p w14:paraId="7BA096A3"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Khoulafa</w:t>
            </w:r>
          </w:p>
        </w:tc>
        <w:tc>
          <w:tcPr>
            <w:tcW w:w="7370" w:type="dxa"/>
          </w:tcPr>
          <w:p w14:paraId="5ABFEF76" w14:textId="230A8435" w:rsidR="00167B02" w:rsidRPr="00F634CD" w:rsidRDefault="00167B02" w:rsidP="004C7876">
            <w:pPr>
              <w:pStyle w:val="Notedebasdepage"/>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shd w:val="clear" w:color="auto" w:fill="FFFFFF"/>
              </w:rPr>
              <w:t xml:space="preserve">Un </w:t>
            </w:r>
            <w:r w:rsidRPr="00F634CD">
              <w:rPr>
                <w:rStyle w:val="Accentuation"/>
                <w:rFonts w:ascii="Times New Roman" w:hAnsi="Times New Roman" w:cs="Times New Roman"/>
                <w:i w:val="0"/>
                <w:iCs w:val="0"/>
                <w:kern w:val="24"/>
                <w:sz w:val="24"/>
                <w:szCs w:val="24"/>
                <w:shd w:val="clear" w:color="auto" w:fill="FFFFFF"/>
              </w:rPr>
              <w:t>calife</w:t>
            </w:r>
            <w:r w:rsidRPr="00F634CD">
              <w:rPr>
                <w:rFonts w:ascii="Times New Roman" w:hAnsi="Times New Roman" w:cs="Times New Roman"/>
                <w:kern w:val="24"/>
                <w:sz w:val="24"/>
                <w:szCs w:val="24"/>
                <w:shd w:val="clear" w:color="auto" w:fill="FFFFFF"/>
              </w:rPr>
              <w:t xml:space="preserve">, ou </w:t>
            </w:r>
            <w:r w:rsidRPr="00F634CD">
              <w:rPr>
                <w:rFonts w:ascii="Times New Roman" w:hAnsi="Times New Roman" w:cs="Times New Roman"/>
                <w:i/>
                <w:iCs/>
                <w:kern w:val="24"/>
                <w:sz w:val="24"/>
                <w:szCs w:val="24"/>
                <w:shd w:val="clear" w:color="auto" w:fill="FFFFFF"/>
              </w:rPr>
              <w:t>khalifa</w:t>
            </w:r>
            <w:r w:rsidRPr="00F634CD">
              <w:rPr>
                <w:rFonts w:ascii="Times New Roman" w:hAnsi="Times New Roman" w:cs="Times New Roman"/>
                <w:kern w:val="24"/>
                <w:sz w:val="24"/>
                <w:szCs w:val="24"/>
                <w:shd w:val="clear" w:color="auto" w:fill="FFFFFF"/>
              </w:rPr>
              <w:t xml:space="preserve">, est un souverain musulman qui gouverne la communauté des croyants. Les </w:t>
            </w:r>
            <w:r w:rsidRPr="00F634CD">
              <w:rPr>
                <w:rStyle w:val="Accentuation"/>
                <w:rFonts w:ascii="Times New Roman" w:hAnsi="Times New Roman" w:cs="Times New Roman"/>
                <w:i w:val="0"/>
                <w:iCs w:val="0"/>
                <w:kern w:val="24"/>
                <w:sz w:val="24"/>
                <w:szCs w:val="24"/>
                <w:shd w:val="clear" w:color="auto" w:fill="FFFFFF"/>
              </w:rPr>
              <w:t>califes</w:t>
            </w:r>
            <w:r w:rsidRPr="00F634CD">
              <w:rPr>
                <w:rFonts w:ascii="Times New Roman" w:hAnsi="Times New Roman" w:cs="Times New Roman"/>
                <w:kern w:val="24"/>
                <w:sz w:val="24"/>
                <w:szCs w:val="24"/>
              </w:rPr>
              <w:t xml:space="preserve"> </w:t>
            </w:r>
            <w:r w:rsidRPr="00F634CD">
              <w:rPr>
                <w:rFonts w:ascii="Times New Roman" w:hAnsi="Times New Roman" w:cs="Times New Roman"/>
                <w:kern w:val="24"/>
                <w:sz w:val="24"/>
                <w:szCs w:val="24"/>
                <w:shd w:val="clear" w:color="auto" w:fill="FFFFFF"/>
              </w:rPr>
              <w:t xml:space="preserve">sont les successeurs du Prophète Mohamed </w:t>
            </w:r>
            <w:r w:rsidR="00354882" w:rsidRPr="005A651F">
              <w:rPr>
                <w:rFonts w:ascii="Times New Roman" w:hAnsi="Times New Roman" w:cs="Times New Roman"/>
                <w:noProof/>
                <w:spacing w:val="-4"/>
                <w:sz w:val="24"/>
                <w:szCs w:val="24"/>
              </w:rPr>
              <w:drawing>
                <wp:anchor distT="0" distB="0" distL="114300" distR="114300" simplePos="0" relativeHeight="251544576" behindDoc="0" locked="1" layoutInCell="1" allowOverlap="0" wp14:anchorId="5BA78EEA" wp14:editId="7F14013F">
                  <wp:simplePos x="0" y="0"/>
                  <wp:positionH relativeFrom="column">
                    <wp:posOffset>675640</wp:posOffset>
                  </wp:positionH>
                  <wp:positionV relativeFrom="paragraph">
                    <wp:posOffset>356235</wp:posOffset>
                  </wp:positionV>
                  <wp:extent cx="180975" cy="161925"/>
                  <wp:effectExtent l="19050" t="0" r="9525" b="0"/>
                  <wp:wrapNone/>
                  <wp:docPr id="959054017" name="Image 11" descr="C:\Users\hP\Documents\محمد صلّى الله عليه وس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محمد صلّى الله عليه وسلّم.png"/>
                          <pic:cNvPicPr>
                            <a:picLocks noChangeAspect="1" noChangeArrowheads="1"/>
                          </pic:cNvPicPr>
                        </pic:nvPicPr>
                        <pic:blipFill>
                          <a:blip r:embed="rId15" cstate="print"/>
                          <a:srcRect l="12569" t="11802" r="15032" b="16770"/>
                          <a:stretch>
                            <a:fillRect/>
                          </a:stretch>
                        </pic:blipFill>
                        <pic:spPr bwMode="auto">
                          <a:xfrm>
                            <a:off x="0" y="0"/>
                            <a:ext cx="180975" cy="161925"/>
                          </a:xfrm>
                          <a:prstGeom prst="rect">
                            <a:avLst/>
                          </a:prstGeom>
                          <a:noFill/>
                          <a:ln w="9525">
                            <a:noFill/>
                            <a:miter lim="800000"/>
                            <a:headEnd/>
                            <a:tailEnd/>
                          </a:ln>
                        </pic:spPr>
                      </pic:pic>
                    </a:graphicData>
                  </a:graphic>
                </wp:anchor>
              </w:drawing>
            </w:r>
            <w:r w:rsidR="00354882">
              <w:rPr>
                <w:rFonts w:ascii="Times New Roman" w:hAnsi="Times New Roman" w:cs="Times New Roman"/>
                <w:kern w:val="24"/>
                <w:sz w:val="24"/>
                <w:szCs w:val="24"/>
                <w:shd w:val="clear" w:color="auto" w:fill="FFFFFF"/>
              </w:rPr>
              <w:t xml:space="preserve">     </w:t>
            </w:r>
          </w:p>
        </w:tc>
      </w:tr>
      <w:tr w:rsidR="00167B02" w:rsidRPr="00F634CD" w14:paraId="02D54C30" w14:textId="77777777" w:rsidTr="004F4A51">
        <w:trPr>
          <w:trHeight w:val="454"/>
          <w:jc w:val="center"/>
        </w:trPr>
        <w:tc>
          <w:tcPr>
            <w:tcW w:w="1701" w:type="dxa"/>
            <w:vAlign w:val="center"/>
          </w:tcPr>
          <w:p w14:paraId="460498DA"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Ijma</w:t>
            </w:r>
          </w:p>
        </w:tc>
        <w:tc>
          <w:tcPr>
            <w:tcW w:w="7370" w:type="dxa"/>
            <w:vAlign w:val="center"/>
          </w:tcPr>
          <w:p w14:paraId="3968C188"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kern w:val="24"/>
                <w:sz w:val="24"/>
                <w:szCs w:val="24"/>
              </w:rPr>
            </w:pPr>
            <w:r w:rsidRPr="00F634CD">
              <w:rPr>
                <w:rFonts w:ascii="Times New Roman" w:hAnsi="Times New Roman" w:cs="Times New Roman"/>
                <w:kern w:val="24"/>
                <w:sz w:val="24"/>
                <w:szCs w:val="24"/>
              </w:rPr>
              <w:t>Consensus en matière de jurisprudence.</w:t>
            </w:r>
          </w:p>
        </w:tc>
      </w:tr>
      <w:tr w:rsidR="00167B02" w:rsidRPr="00F634CD" w14:paraId="2E37D331" w14:textId="77777777" w:rsidTr="004F4A51">
        <w:trPr>
          <w:trHeight w:val="454"/>
          <w:jc w:val="center"/>
        </w:trPr>
        <w:tc>
          <w:tcPr>
            <w:tcW w:w="1701" w:type="dxa"/>
            <w:vAlign w:val="center"/>
          </w:tcPr>
          <w:p w14:paraId="4BD86F61"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Maysir</w:t>
            </w:r>
          </w:p>
        </w:tc>
        <w:tc>
          <w:tcPr>
            <w:tcW w:w="7370" w:type="dxa"/>
            <w:vAlign w:val="center"/>
          </w:tcPr>
          <w:p w14:paraId="4935C0F2"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kern w:val="24"/>
                <w:sz w:val="24"/>
                <w:szCs w:val="24"/>
              </w:rPr>
            </w:pPr>
            <w:r w:rsidRPr="00F634CD">
              <w:rPr>
                <w:rFonts w:ascii="Times New Roman" w:hAnsi="Times New Roman" w:cs="Times New Roman"/>
                <w:kern w:val="24"/>
                <w:sz w:val="24"/>
                <w:szCs w:val="24"/>
              </w:rPr>
              <w:t>Spéculation.</w:t>
            </w:r>
          </w:p>
        </w:tc>
      </w:tr>
      <w:tr w:rsidR="00167B02" w:rsidRPr="00F634CD" w14:paraId="638E2BC7" w14:textId="77777777" w:rsidTr="004C7876">
        <w:trPr>
          <w:trHeight w:val="907"/>
          <w:jc w:val="center"/>
        </w:trPr>
        <w:tc>
          <w:tcPr>
            <w:tcW w:w="1701" w:type="dxa"/>
          </w:tcPr>
          <w:p w14:paraId="2EADB905"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Moucharaka</w:t>
            </w:r>
          </w:p>
        </w:tc>
        <w:tc>
          <w:tcPr>
            <w:tcW w:w="7370" w:type="dxa"/>
          </w:tcPr>
          <w:p w14:paraId="599FD3D3" w14:textId="622E761E"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Un type de contrat de financement </w:t>
            </w:r>
            <w:r w:rsidR="00354882">
              <w:rPr>
                <w:rFonts w:ascii="Times New Roman" w:hAnsi="Times New Roman" w:cs="Times New Roman"/>
                <w:kern w:val="24"/>
                <w:sz w:val="24"/>
                <w:szCs w:val="24"/>
              </w:rPr>
              <w:t>par</w:t>
            </w:r>
            <w:r w:rsidRPr="00F634CD">
              <w:rPr>
                <w:rFonts w:ascii="Times New Roman" w:hAnsi="Times New Roman" w:cs="Times New Roman"/>
                <w:kern w:val="24"/>
                <w:sz w:val="24"/>
                <w:szCs w:val="24"/>
              </w:rPr>
              <w:t xml:space="preserve"> lequel plusieurs parties investissent dans des proportions variables </w:t>
            </w:r>
            <w:r w:rsidR="00354882">
              <w:rPr>
                <w:rFonts w:ascii="Times New Roman" w:hAnsi="Times New Roman" w:cs="Times New Roman"/>
                <w:kern w:val="24"/>
                <w:sz w:val="24"/>
                <w:szCs w:val="24"/>
              </w:rPr>
              <w:t xml:space="preserve">ou égales ; les résultats </w:t>
            </w:r>
            <w:r w:rsidRPr="00F634CD">
              <w:rPr>
                <w:rFonts w:ascii="Times New Roman" w:hAnsi="Times New Roman" w:cs="Times New Roman"/>
                <w:kern w:val="24"/>
                <w:sz w:val="24"/>
                <w:szCs w:val="24"/>
              </w:rPr>
              <w:t xml:space="preserve">sont distribués selon </w:t>
            </w:r>
            <w:r w:rsidR="001D6DE2">
              <w:rPr>
                <w:rFonts w:ascii="Times New Roman" w:hAnsi="Times New Roman" w:cs="Times New Roman"/>
                <w:kern w:val="24"/>
                <w:sz w:val="24"/>
                <w:szCs w:val="24"/>
              </w:rPr>
              <w:t>une clé de répartition convenue à l’avance</w:t>
            </w:r>
            <w:r w:rsidRPr="00F634CD">
              <w:rPr>
                <w:rFonts w:ascii="Times New Roman" w:hAnsi="Times New Roman" w:cs="Times New Roman"/>
                <w:kern w:val="24"/>
                <w:sz w:val="24"/>
                <w:szCs w:val="24"/>
              </w:rPr>
              <w:t>.</w:t>
            </w:r>
          </w:p>
        </w:tc>
      </w:tr>
      <w:tr w:rsidR="00167B02" w:rsidRPr="00F634CD" w14:paraId="4A4BAA51" w14:textId="77777777" w:rsidTr="004C7876">
        <w:trPr>
          <w:trHeight w:val="1757"/>
          <w:jc w:val="center"/>
        </w:trPr>
        <w:tc>
          <w:tcPr>
            <w:tcW w:w="1701" w:type="dxa"/>
          </w:tcPr>
          <w:p w14:paraId="6032613C"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Moudaraba</w:t>
            </w:r>
          </w:p>
        </w:tc>
        <w:tc>
          <w:tcPr>
            <w:tcW w:w="7370" w:type="dxa"/>
          </w:tcPr>
          <w:p w14:paraId="07C922E0" w14:textId="77777777"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Un type de contrat de financement par lequel un ou plusieurs partenaires apportent les fonds tandis que les autres apportent l’esprit d’entreprise et la gestion en vue d’exercer une activité et de réaliser des profits. Les profits sont partagés entre eux selon la base convenue lors de la signature du contrat. Alors que les pertes sont supportées uniquement par les partenaires apportant le capital selon leurs parts dans ce dernier.</w:t>
            </w:r>
          </w:p>
        </w:tc>
      </w:tr>
      <w:tr w:rsidR="00167B02" w:rsidRPr="00F634CD" w14:paraId="7C0B94E1" w14:textId="77777777" w:rsidTr="004F4A51">
        <w:trPr>
          <w:trHeight w:val="454"/>
          <w:jc w:val="center"/>
        </w:trPr>
        <w:tc>
          <w:tcPr>
            <w:tcW w:w="1701" w:type="dxa"/>
            <w:vAlign w:val="center"/>
          </w:tcPr>
          <w:p w14:paraId="53D1AF14"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Moudarib</w:t>
            </w:r>
          </w:p>
        </w:tc>
        <w:tc>
          <w:tcPr>
            <w:tcW w:w="7370" w:type="dxa"/>
            <w:vAlign w:val="center"/>
          </w:tcPr>
          <w:p w14:paraId="2E368150"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kern w:val="24"/>
                <w:sz w:val="24"/>
                <w:szCs w:val="24"/>
              </w:rPr>
            </w:pPr>
            <w:r w:rsidRPr="00F634CD">
              <w:rPr>
                <w:rFonts w:ascii="Times New Roman" w:hAnsi="Times New Roman" w:cs="Times New Roman"/>
                <w:kern w:val="24"/>
                <w:sz w:val="24"/>
                <w:szCs w:val="24"/>
              </w:rPr>
              <w:t>Entrepreneur.</w:t>
            </w:r>
          </w:p>
        </w:tc>
      </w:tr>
      <w:tr w:rsidR="00167B02" w:rsidRPr="00F634CD" w14:paraId="2CEF832B" w14:textId="77777777" w:rsidTr="004C7876">
        <w:trPr>
          <w:trHeight w:val="907"/>
          <w:jc w:val="center"/>
        </w:trPr>
        <w:tc>
          <w:tcPr>
            <w:tcW w:w="1701" w:type="dxa"/>
          </w:tcPr>
          <w:p w14:paraId="635B6C21"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Mougharassa</w:t>
            </w:r>
          </w:p>
        </w:tc>
        <w:tc>
          <w:tcPr>
            <w:tcW w:w="7370" w:type="dxa"/>
          </w:tcPr>
          <w:p w14:paraId="45501983" w14:textId="66A5DB45"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C’est un contrat d</w:t>
            </w:r>
            <w:r w:rsidR="00EE4A15">
              <w:rPr>
                <w:rFonts w:ascii="Times New Roman" w:hAnsi="Times New Roman" w:cs="Times New Roman"/>
                <w:kern w:val="24"/>
                <w:sz w:val="24"/>
                <w:szCs w:val="24"/>
              </w:rPr>
              <w:t>e plantation</w:t>
            </w:r>
            <w:r w:rsidRPr="00F634CD">
              <w:rPr>
                <w:rFonts w:ascii="Times New Roman" w:hAnsi="Times New Roman" w:cs="Times New Roman"/>
                <w:kern w:val="24"/>
                <w:sz w:val="24"/>
                <w:szCs w:val="24"/>
              </w:rPr>
              <w:t xml:space="preserve"> des terres d’une quantité d’arbre</w:t>
            </w:r>
            <w:r w:rsidR="00EE4A15">
              <w:rPr>
                <w:rFonts w:ascii="Times New Roman" w:hAnsi="Times New Roman" w:cs="Times New Roman"/>
                <w:kern w:val="24"/>
                <w:sz w:val="24"/>
                <w:szCs w:val="24"/>
              </w:rPr>
              <w:t xml:space="preserve">s </w:t>
            </w:r>
            <w:r w:rsidRPr="00F634CD">
              <w:rPr>
                <w:rFonts w:ascii="Times New Roman" w:hAnsi="Times New Roman" w:cs="Times New Roman"/>
                <w:kern w:val="24"/>
                <w:sz w:val="24"/>
                <w:szCs w:val="24"/>
              </w:rPr>
              <w:t>déterminée. Le propriétaire confie sa terre à celui qui y plante des arbres. Les fruits de la terre seront partagés entre eux.</w:t>
            </w:r>
          </w:p>
        </w:tc>
      </w:tr>
      <w:tr w:rsidR="00167B02" w:rsidRPr="00F634CD" w14:paraId="4A9789DC" w14:textId="77777777" w:rsidTr="004C7876">
        <w:trPr>
          <w:trHeight w:val="454"/>
          <w:jc w:val="center"/>
        </w:trPr>
        <w:tc>
          <w:tcPr>
            <w:tcW w:w="1701" w:type="dxa"/>
          </w:tcPr>
          <w:p w14:paraId="7B87D485"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Moufti</w:t>
            </w:r>
          </w:p>
        </w:tc>
        <w:tc>
          <w:tcPr>
            <w:tcW w:w="7370" w:type="dxa"/>
          </w:tcPr>
          <w:p w14:paraId="24F0F298" w14:textId="77777777"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Grande autorité religieuse, « chef » des </w:t>
            </w:r>
            <w:r w:rsidR="004F4A51" w:rsidRPr="00F634CD">
              <w:rPr>
                <w:rFonts w:ascii="Times New Roman" w:hAnsi="Times New Roman" w:cs="Times New Roman"/>
                <w:i/>
                <w:iCs/>
                <w:kern w:val="24"/>
                <w:sz w:val="24"/>
                <w:szCs w:val="24"/>
              </w:rPr>
              <w:t>O</w:t>
            </w:r>
            <w:r w:rsidRPr="00F634CD">
              <w:rPr>
                <w:rFonts w:ascii="Times New Roman" w:hAnsi="Times New Roman" w:cs="Times New Roman"/>
                <w:i/>
                <w:iCs/>
                <w:kern w:val="24"/>
                <w:sz w:val="24"/>
                <w:szCs w:val="24"/>
              </w:rPr>
              <w:t>ulémas</w:t>
            </w:r>
            <w:r w:rsidRPr="00F634CD">
              <w:rPr>
                <w:rFonts w:ascii="Times New Roman" w:hAnsi="Times New Roman" w:cs="Times New Roman"/>
                <w:kern w:val="24"/>
                <w:sz w:val="24"/>
                <w:szCs w:val="24"/>
              </w:rPr>
              <w:t>.</w:t>
            </w:r>
          </w:p>
        </w:tc>
      </w:tr>
      <w:tr w:rsidR="00167B02" w:rsidRPr="00F634CD" w14:paraId="4C5EA7A6" w14:textId="77777777" w:rsidTr="004C7876">
        <w:trPr>
          <w:trHeight w:val="907"/>
          <w:jc w:val="center"/>
        </w:trPr>
        <w:tc>
          <w:tcPr>
            <w:tcW w:w="1701" w:type="dxa"/>
          </w:tcPr>
          <w:p w14:paraId="32909231"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Mourabaha</w:t>
            </w:r>
          </w:p>
        </w:tc>
        <w:tc>
          <w:tcPr>
            <w:tcW w:w="7370" w:type="dxa"/>
          </w:tcPr>
          <w:p w14:paraId="6F453066" w14:textId="1067A016"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Un type de contrat de financement ; la banque achète pour le compte d'un client des </w:t>
            </w:r>
            <w:r w:rsidR="001D6DE2">
              <w:rPr>
                <w:rFonts w:ascii="Times New Roman" w:hAnsi="Times New Roman" w:cs="Times New Roman"/>
                <w:kern w:val="24"/>
                <w:sz w:val="24"/>
                <w:szCs w:val="24"/>
              </w:rPr>
              <w:t xml:space="preserve">marchandises, </w:t>
            </w:r>
            <w:r w:rsidRPr="00F634CD">
              <w:rPr>
                <w:rFonts w:ascii="Times New Roman" w:hAnsi="Times New Roman" w:cs="Times New Roman"/>
                <w:kern w:val="24"/>
                <w:sz w:val="24"/>
                <w:szCs w:val="24"/>
              </w:rPr>
              <w:t xml:space="preserve">matières premières ou équipements et les </w:t>
            </w:r>
            <w:r w:rsidR="001D6DE2">
              <w:rPr>
                <w:rFonts w:ascii="Times New Roman" w:hAnsi="Times New Roman" w:cs="Times New Roman"/>
                <w:kern w:val="24"/>
                <w:sz w:val="24"/>
                <w:szCs w:val="24"/>
              </w:rPr>
              <w:t>re</w:t>
            </w:r>
            <w:r w:rsidRPr="00F634CD">
              <w:rPr>
                <w:rFonts w:ascii="Times New Roman" w:hAnsi="Times New Roman" w:cs="Times New Roman"/>
                <w:kern w:val="24"/>
                <w:sz w:val="24"/>
                <w:szCs w:val="24"/>
              </w:rPr>
              <w:t>vend à ce même client avec une marge bénéficiaire.</w:t>
            </w:r>
          </w:p>
        </w:tc>
      </w:tr>
      <w:tr w:rsidR="00167B02" w:rsidRPr="00F634CD" w14:paraId="171ACA3E" w14:textId="77777777" w:rsidTr="004C7876">
        <w:trPr>
          <w:trHeight w:val="1191"/>
          <w:jc w:val="center"/>
        </w:trPr>
        <w:tc>
          <w:tcPr>
            <w:tcW w:w="1701" w:type="dxa"/>
          </w:tcPr>
          <w:p w14:paraId="6652690A" w14:textId="48218DF6"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Moussa</w:t>
            </w:r>
            <w:r w:rsidR="00EE4A15">
              <w:rPr>
                <w:rFonts w:ascii="Times New Roman" w:hAnsi="Times New Roman" w:cs="Times New Roman"/>
                <w:b/>
                <w:bCs/>
                <w:i/>
                <w:iCs/>
                <w:kern w:val="24"/>
                <w:sz w:val="24"/>
                <w:szCs w:val="24"/>
              </w:rPr>
              <w:t>q</w:t>
            </w:r>
            <w:r w:rsidRPr="00F634CD">
              <w:rPr>
                <w:rFonts w:ascii="Times New Roman" w:hAnsi="Times New Roman" w:cs="Times New Roman"/>
                <w:b/>
                <w:bCs/>
                <w:i/>
                <w:iCs/>
                <w:kern w:val="24"/>
                <w:sz w:val="24"/>
                <w:szCs w:val="24"/>
              </w:rPr>
              <w:t>a</w:t>
            </w:r>
          </w:p>
        </w:tc>
        <w:tc>
          <w:tcPr>
            <w:tcW w:w="7370" w:type="dxa"/>
          </w:tcPr>
          <w:p w14:paraId="02948764" w14:textId="4A4FF022"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Le terme </w:t>
            </w:r>
            <w:r w:rsidRPr="00F634CD">
              <w:rPr>
                <w:rFonts w:ascii="Times New Roman" w:hAnsi="Times New Roman" w:cs="Times New Roman"/>
                <w:i/>
                <w:iCs/>
                <w:kern w:val="24"/>
                <w:sz w:val="24"/>
                <w:szCs w:val="24"/>
              </w:rPr>
              <w:t>moussa</w:t>
            </w:r>
            <w:r w:rsidR="00EE4A15">
              <w:rPr>
                <w:rFonts w:ascii="Times New Roman" w:hAnsi="Times New Roman" w:cs="Times New Roman"/>
                <w:i/>
                <w:iCs/>
                <w:kern w:val="24"/>
                <w:sz w:val="24"/>
                <w:szCs w:val="24"/>
              </w:rPr>
              <w:t>q</w:t>
            </w:r>
            <w:r w:rsidRPr="00F634CD">
              <w:rPr>
                <w:rFonts w:ascii="Times New Roman" w:hAnsi="Times New Roman" w:cs="Times New Roman"/>
                <w:i/>
                <w:iCs/>
                <w:kern w:val="24"/>
                <w:sz w:val="24"/>
                <w:szCs w:val="24"/>
              </w:rPr>
              <w:t>a</w:t>
            </w:r>
            <w:r w:rsidRPr="00F634CD">
              <w:rPr>
                <w:rFonts w:ascii="Times New Roman" w:hAnsi="Times New Roman" w:cs="Times New Roman"/>
                <w:kern w:val="24"/>
                <w:sz w:val="24"/>
                <w:szCs w:val="24"/>
              </w:rPr>
              <w:t xml:space="preserve"> désigne l’action d</w:t>
            </w:r>
            <w:r w:rsidR="001D6DE2">
              <w:rPr>
                <w:rFonts w:ascii="Times New Roman" w:hAnsi="Times New Roman" w:cs="Times New Roman"/>
                <w:kern w:val="24"/>
                <w:sz w:val="24"/>
                <w:szCs w:val="24"/>
              </w:rPr>
              <w:t>’arrosage</w:t>
            </w:r>
            <w:r w:rsidRPr="00F634CD">
              <w:rPr>
                <w:rFonts w:ascii="Times New Roman" w:hAnsi="Times New Roman" w:cs="Times New Roman"/>
                <w:kern w:val="24"/>
                <w:sz w:val="24"/>
                <w:szCs w:val="24"/>
              </w:rPr>
              <w:t xml:space="preserve"> </w:t>
            </w:r>
            <w:r w:rsidR="001D6DE2">
              <w:rPr>
                <w:rFonts w:ascii="Times New Roman" w:hAnsi="Times New Roman" w:cs="Times New Roman"/>
                <w:kern w:val="24"/>
                <w:sz w:val="24"/>
                <w:szCs w:val="24"/>
              </w:rPr>
              <w:t>de la terre</w:t>
            </w:r>
            <w:r w:rsidRPr="00F634CD">
              <w:rPr>
                <w:rFonts w:ascii="Times New Roman" w:hAnsi="Times New Roman" w:cs="Times New Roman"/>
                <w:kern w:val="24"/>
                <w:sz w:val="24"/>
                <w:szCs w:val="24"/>
              </w:rPr>
              <w:t>. C’est une sorte de société par laquelle les arbres sont fournis par l’une des parties contractantes et les soins de ces arbres par l’autre partie. Le fruit de ce travail sera partagé entre eux.</w:t>
            </w:r>
          </w:p>
        </w:tc>
      </w:tr>
      <w:tr w:rsidR="00167B02" w:rsidRPr="00F634CD" w14:paraId="7648D3D6" w14:textId="77777777" w:rsidTr="004C7876">
        <w:trPr>
          <w:trHeight w:val="907"/>
          <w:jc w:val="center"/>
        </w:trPr>
        <w:tc>
          <w:tcPr>
            <w:tcW w:w="1701" w:type="dxa"/>
          </w:tcPr>
          <w:p w14:paraId="79CD67DE" w14:textId="3DF60120"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Moustasni</w:t>
            </w:r>
            <w:r w:rsidR="00EE4A15">
              <w:rPr>
                <w:rFonts w:ascii="Times New Roman" w:hAnsi="Times New Roman" w:cs="Times New Roman"/>
                <w:b/>
                <w:bCs/>
                <w:i/>
                <w:iCs/>
                <w:kern w:val="24"/>
                <w:sz w:val="24"/>
                <w:szCs w:val="24"/>
              </w:rPr>
              <w:t>’</w:t>
            </w:r>
          </w:p>
        </w:tc>
        <w:tc>
          <w:tcPr>
            <w:tcW w:w="7370" w:type="dxa"/>
          </w:tcPr>
          <w:p w14:paraId="58169B18" w14:textId="77777777"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C’est l’une des parties contractantes dans un contrat </w:t>
            </w:r>
            <w:r w:rsidRPr="00EE4A15">
              <w:rPr>
                <w:rFonts w:ascii="Times New Roman" w:hAnsi="Times New Roman" w:cs="Times New Roman"/>
                <w:i/>
                <w:iCs/>
                <w:kern w:val="24"/>
                <w:sz w:val="24"/>
                <w:szCs w:val="24"/>
              </w:rPr>
              <w:t>istisna’</w:t>
            </w:r>
            <w:r w:rsidRPr="00F634CD">
              <w:rPr>
                <w:rFonts w:ascii="Times New Roman" w:hAnsi="Times New Roman" w:cs="Times New Roman"/>
                <w:kern w:val="24"/>
                <w:sz w:val="24"/>
                <w:szCs w:val="24"/>
              </w:rPr>
              <w:t xml:space="preserve"> et</w:t>
            </w:r>
            <w:r w:rsidR="004F4A51" w:rsidRPr="00F634CD">
              <w:rPr>
                <w:rFonts w:ascii="Times New Roman" w:hAnsi="Times New Roman" w:cs="Times New Roman"/>
                <w:kern w:val="24"/>
                <w:sz w:val="24"/>
                <w:szCs w:val="24"/>
              </w:rPr>
              <w:t>,</w:t>
            </w:r>
            <w:r w:rsidRPr="00F634CD">
              <w:rPr>
                <w:rFonts w:ascii="Times New Roman" w:hAnsi="Times New Roman" w:cs="Times New Roman"/>
                <w:kern w:val="24"/>
                <w:sz w:val="24"/>
                <w:szCs w:val="24"/>
              </w:rPr>
              <w:t xml:space="preserve"> qui demande de lui fabriquer ou construire un bien moyennant une rémunération fixée.</w:t>
            </w:r>
          </w:p>
        </w:tc>
      </w:tr>
      <w:tr w:rsidR="00167B02" w:rsidRPr="00F634CD" w14:paraId="5E6FEC9C" w14:textId="77777777" w:rsidTr="004C7876">
        <w:trPr>
          <w:trHeight w:val="907"/>
          <w:jc w:val="center"/>
        </w:trPr>
        <w:tc>
          <w:tcPr>
            <w:tcW w:w="1701" w:type="dxa"/>
          </w:tcPr>
          <w:p w14:paraId="62F3BD10"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Mouzara’</w:t>
            </w:r>
          </w:p>
        </w:tc>
        <w:tc>
          <w:tcPr>
            <w:tcW w:w="7370" w:type="dxa"/>
          </w:tcPr>
          <w:p w14:paraId="3BA906A0" w14:textId="25E055E3"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tl/>
                <w:lang w:bidi="ar-DZ"/>
              </w:rPr>
            </w:pPr>
            <w:r w:rsidRPr="00F634CD">
              <w:rPr>
                <w:rFonts w:ascii="Times New Roman" w:hAnsi="Times New Roman" w:cs="Times New Roman"/>
                <w:kern w:val="24"/>
                <w:sz w:val="24"/>
                <w:szCs w:val="24"/>
              </w:rPr>
              <w:t xml:space="preserve">C’est un contrat d’association entre le propriétaire d’une terre agricole et le travailleur </w:t>
            </w:r>
            <w:r w:rsidR="00AC47AC">
              <w:rPr>
                <w:rFonts w:ascii="Times New Roman" w:hAnsi="Times New Roman" w:cs="Times New Roman"/>
                <w:kern w:val="24"/>
                <w:sz w:val="24"/>
                <w:szCs w:val="24"/>
              </w:rPr>
              <w:t xml:space="preserve">de </w:t>
            </w:r>
            <w:r w:rsidRPr="00F634CD">
              <w:rPr>
                <w:rFonts w:ascii="Times New Roman" w:hAnsi="Times New Roman" w:cs="Times New Roman"/>
                <w:kern w:val="24"/>
                <w:sz w:val="24"/>
                <w:szCs w:val="24"/>
              </w:rPr>
              <w:t xml:space="preserve">cette terre. Ce dernier perçoit une partie déterminée des produits de </w:t>
            </w:r>
            <w:r w:rsidR="004F4A51" w:rsidRPr="00F634CD">
              <w:rPr>
                <w:rFonts w:ascii="Times New Roman" w:hAnsi="Times New Roman" w:cs="Times New Roman"/>
                <w:kern w:val="24"/>
                <w:sz w:val="24"/>
                <w:szCs w:val="24"/>
              </w:rPr>
              <w:t>l</w:t>
            </w:r>
            <w:r w:rsidRPr="00F634CD">
              <w:rPr>
                <w:rFonts w:ascii="Times New Roman" w:hAnsi="Times New Roman" w:cs="Times New Roman"/>
                <w:kern w:val="24"/>
                <w:sz w:val="24"/>
                <w:szCs w:val="24"/>
              </w:rPr>
              <w:t>a terre.</w:t>
            </w:r>
          </w:p>
        </w:tc>
      </w:tr>
      <w:tr w:rsidR="00167B02" w:rsidRPr="00F634CD" w14:paraId="3685F3A3" w14:textId="77777777" w:rsidTr="004C7876">
        <w:trPr>
          <w:trHeight w:val="1474"/>
          <w:jc w:val="center"/>
        </w:trPr>
        <w:tc>
          <w:tcPr>
            <w:tcW w:w="1701" w:type="dxa"/>
          </w:tcPr>
          <w:p w14:paraId="06D4F744"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Mouqarada</w:t>
            </w:r>
          </w:p>
        </w:tc>
        <w:tc>
          <w:tcPr>
            <w:tcW w:w="7370" w:type="dxa"/>
          </w:tcPr>
          <w:p w14:paraId="331E8FF8" w14:textId="2D697FA7"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shd w:val="clear" w:color="auto" w:fill="FEFDF9"/>
              </w:rPr>
              <w:t xml:space="preserve">Cette technique permet à une banque de faire flotter des obligations </w:t>
            </w:r>
            <w:r w:rsidR="004F4A51" w:rsidRPr="00F634CD">
              <w:rPr>
                <w:rFonts w:ascii="Times New Roman" w:hAnsi="Times New Roman" w:cs="Times New Roman"/>
                <w:kern w:val="24"/>
                <w:sz w:val="24"/>
                <w:szCs w:val="24"/>
                <w:shd w:val="clear" w:color="auto" w:fill="FEFDF9"/>
              </w:rPr>
              <w:t>i</w:t>
            </w:r>
            <w:r w:rsidR="003773C6" w:rsidRPr="00F634CD">
              <w:rPr>
                <w:rFonts w:ascii="Times New Roman" w:hAnsi="Times New Roman" w:cs="Times New Roman"/>
                <w:kern w:val="24"/>
                <w:sz w:val="24"/>
                <w:szCs w:val="24"/>
                <w:shd w:val="clear" w:color="auto" w:fill="FEFDF9"/>
              </w:rPr>
              <w:t>slamique</w:t>
            </w:r>
            <w:r w:rsidRPr="00F634CD">
              <w:rPr>
                <w:rFonts w:ascii="Times New Roman" w:hAnsi="Times New Roman" w:cs="Times New Roman"/>
                <w:kern w:val="24"/>
                <w:sz w:val="24"/>
                <w:szCs w:val="24"/>
                <w:shd w:val="clear" w:color="auto" w:fill="FEFDF9"/>
              </w:rPr>
              <w:t>s pour financer un projet spécifique. Les investisseurs qui achètent des obligations de</w:t>
            </w:r>
            <w:r w:rsidR="00EE4A15">
              <w:rPr>
                <w:rFonts w:ascii="Times New Roman" w:hAnsi="Times New Roman" w:cs="Times New Roman"/>
                <w:kern w:val="24"/>
                <w:sz w:val="24"/>
                <w:szCs w:val="24"/>
                <w:shd w:val="clear" w:color="auto" w:fill="FEFDF9"/>
              </w:rPr>
              <w:t xml:space="preserve"> </w:t>
            </w:r>
            <w:r w:rsidR="00EE4A15" w:rsidRPr="00EE4A15">
              <w:rPr>
                <w:rFonts w:ascii="Times New Roman" w:hAnsi="Times New Roman" w:cs="Times New Roman"/>
                <w:i/>
                <w:iCs/>
                <w:kern w:val="24"/>
                <w:sz w:val="24"/>
                <w:szCs w:val="24"/>
                <w:shd w:val="clear" w:color="auto" w:fill="FEFDF9"/>
              </w:rPr>
              <w:t>mouqarada</w:t>
            </w:r>
            <w:r w:rsidRPr="00F634CD">
              <w:rPr>
                <w:rFonts w:ascii="Times New Roman" w:hAnsi="Times New Roman" w:cs="Times New Roman"/>
                <w:kern w:val="24"/>
                <w:sz w:val="24"/>
                <w:szCs w:val="24"/>
                <w:shd w:val="clear" w:color="auto" w:fill="FEFDF9"/>
              </w:rPr>
              <w:t xml:space="preserve"> prennent une part des bénéfices du projet financé, mais partagent également le risque de profits inattendus, voire de pertes.</w:t>
            </w:r>
          </w:p>
        </w:tc>
      </w:tr>
      <w:tr w:rsidR="00167B02" w:rsidRPr="00F634CD" w14:paraId="3994FD59" w14:textId="77777777" w:rsidTr="004C7876">
        <w:trPr>
          <w:trHeight w:val="907"/>
          <w:jc w:val="center"/>
        </w:trPr>
        <w:tc>
          <w:tcPr>
            <w:tcW w:w="1701" w:type="dxa"/>
          </w:tcPr>
          <w:p w14:paraId="4BE08630"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Moustawriq</w:t>
            </w:r>
          </w:p>
        </w:tc>
        <w:tc>
          <w:tcPr>
            <w:tcW w:w="7370" w:type="dxa"/>
          </w:tcPr>
          <w:p w14:paraId="7F88AE55" w14:textId="125BF412"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Une partie contractante dans un contrat </w:t>
            </w:r>
            <w:r w:rsidRPr="00F634CD">
              <w:rPr>
                <w:rFonts w:ascii="Times New Roman" w:hAnsi="Times New Roman" w:cs="Times New Roman"/>
                <w:i/>
                <w:iCs/>
                <w:kern w:val="24"/>
                <w:sz w:val="24"/>
                <w:szCs w:val="24"/>
              </w:rPr>
              <w:t>tawarru</w:t>
            </w:r>
            <w:r w:rsidR="00EE4A15">
              <w:rPr>
                <w:rFonts w:ascii="Times New Roman" w:hAnsi="Times New Roman" w:cs="Times New Roman"/>
                <w:i/>
                <w:iCs/>
                <w:kern w:val="24"/>
                <w:sz w:val="24"/>
                <w:szCs w:val="24"/>
              </w:rPr>
              <w:t>q</w:t>
            </w:r>
            <w:r w:rsidRPr="00F634CD">
              <w:rPr>
                <w:rFonts w:ascii="Times New Roman" w:hAnsi="Times New Roman" w:cs="Times New Roman"/>
                <w:kern w:val="24"/>
                <w:sz w:val="24"/>
                <w:szCs w:val="24"/>
              </w:rPr>
              <w:t>. C’est une personne qui achète une marchandise moyennant un paiement différé pour la vendre comptant à un prix inférieur.</w:t>
            </w:r>
          </w:p>
        </w:tc>
      </w:tr>
      <w:tr w:rsidR="00167B02" w:rsidRPr="00F634CD" w14:paraId="6E244EC9" w14:textId="77777777" w:rsidTr="004F4A51">
        <w:trPr>
          <w:trHeight w:val="454"/>
          <w:jc w:val="center"/>
        </w:trPr>
        <w:tc>
          <w:tcPr>
            <w:tcW w:w="1701" w:type="dxa"/>
            <w:vAlign w:val="center"/>
          </w:tcPr>
          <w:p w14:paraId="23C80C96"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Oulémas</w:t>
            </w:r>
          </w:p>
        </w:tc>
        <w:tc>
          <w:tcPr>
            <w:tcW w:w="7370" w:type="dxa"/>
            <w:vAlign w:val="center"/>
          </w:tcPr>
          <w:p w14:paraId="4C979462"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Docteurs de la loi </w:t>
            </w:r>
            <w:r w:rsidR="004F4A51" w:rsidRPr="00F634CD">
              <w:rPr>
                <w:rFonts w:ascii="Times New Roman" w:hAnsi="Times New Roman" w:cs="Times New Roman"/>
                <w:kern w:val="24"/>
                <w:sz w:val="24"/>
                <w:szCs w:val="24"/>
              </w:rPr>
              <w:t>i</w:t>
            </w:r>
            <w:r w:rsidR="003773C6" w:rsidRPr="00F634CD">
              <w:rPr>
                <w:rFonts w:ascii="Times New Roman" w:hAnsi="Times New Roman" w:cs="Times New Roman"/>
                <w:kern w:val="24"/>
                <w:sz w:val="24"/>
                <w:szCs w:val="24"/>
              </w:rPr>
              <w:t>slamique</w:t>
            </w:r>
            <w:r w:rsidRPr="00F634CD">
              <w:rPr>
                <w:rFonts w:ascii="Times New Roman" w:hAnsi="Times New Roman" w:cs="Times New Roman"/>
                <w:kern w:val="24"/>
                <w:sz w:val="24"/>
                <w:szCs w:val="24"/>
              </w:rPr>
              <w:t>.</w:t>
            </w:r>
          </w:p>
        </w:tc>
      </w:tr>
      <w:tr w:rsidR="00167B02" w:rsidRPr="00F634CD" w14:paraId="34E3AA76" w14:textId="77777777" w:rsidTr="004C7876">
        <w:trPr>
          <w:trHeight w:val="567"/>
          <w:jc w:val="center"/>
        </w:trPr>
        <w:tc>
          <w:tcPr>
            <w:tcW w:w="1701" w:type="dxa"/>
          </w:tcPr>
          <w:p w14:paraId="01EF7766"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color w:val="000000"/>
                <w:kern w:val="24"/>
                <w:sz w:val="24"/>
                <w:szCs w:val="24"/>
              </w:rPr>
              <w:t>Qard el-Hassan</w:t>
            </w:r>
          </w:p>
        </w:tc>
        <w:tc>
          <w:tcPr>
            <w:tcW w:w="7370" w:type="dxa"/>
          </w:tcPr>
          <w:p w14:paraId="5AC439A1" w14:textId="77777777"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color w:val="000000"/>
                <w:kern w:val="24"/>
                <w:sz w:val="24"/>
                <w:szCs w:val="24"/>
              </w:rPr>
              <w:t>Prêt accordé sans intérêt et sans participation aux bénéfices.</w:t>
            </w:r>
          </w:p>
        </w:tc>
      </w:tr>
      <w:tr w:rsidR="00167B02" w:rsidRPr="00F634CD" w14:paraId="19E5E77F" w14:textId="77777777" w:rsidTr="004F4A51">
        <w:trPr>
          <w:trHeight w:val="454"/>
          <w:jc w:val="center"/>
        </w:trPr>
        <w:tc>
          <w:tcPr>
            <w:tcW w:w="1701" w:type="dxa"/>
            <w:vAlign w:val="center"/>
          </w:tcPr>
          <w:p w14:paraId="1D0F3A99"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Rab el-mal</w:t>
            </w:r>
          </w:p>
        </w:tc>
        <w:tc>
          <w:tcPr>
            <w:tcW w:w="7370" w:type="dxa"/>
            <w:vAlign w:val="center"/>
          </w:tcPr>
          <w:p w14:paraId="6C47CF3A" w14:textId="77777777" w:rsidR="00167B02" w:rsidRPr="00F634CD" w:rsidRDefault="00167B02" w:rsidP="004F4A51">
            <w:pPr>
              <w:pStyle w:val="Default"/>
              <w:tabs>
                <w:tab w:val="left" w:pos="0"/>
                <w:tab w:val="left" w:pos="7371"/>
              </w:tabs>
              <w:ind w:left="57" w:right="57"/>
              <w:jc w:val="left"/>
              <w:rPr>
                <w:kern w:val="24"/>
              </w:rPr>
            </w:pPr>
            <w:r w:rsidRPr="00F634CD">
              <w:rPr>
                <w:kern w:val="24"/>
              </w:rPr>
              <w:t>Propriétaire de l’argent.</w:t>
            </w:r>
          </w:p>
        </w:tc>
      </w:tr>
      <w:tr w:rsidR="00167B02" w:rsidRPr="00F634CD" w14:paraId="4A11AD78" w14:textId="77777777" w:rsidTr="004F4A51">
        <w:trPr>
          <w:trHeight w:val="454"/>
          <w:jc w:val="center"/>
        </w:trPr>
        <w:tc>
          <w:tcPr>
            <w:tcW w:w="1701" w:type="dxa"/>
            <w:vAlign w:val="center"/>
          </w:tcPr>
          <w:p w14:paraId="23EEBDB1"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Qiyas</w:t>
            </w:r>
          </w:p>
        </w:tc>
        <w:tc>
          <w:tcPr>
            <w:tcW w:w="7370" w:type="dxa"/>
            <w:vAlign w:val="center"/>
          </w:tcPr>
          <w:p w14:paraId="18EFFEE1" w14:textId="77777777" w:rsidR="00167B02" w:rsidRPr="00F634CD" w:rsidRDefault="00167B02" w:rsidP="004F4A51">
            <w:pPr>
              <w:pStyle w:val="Default"/>
              <w:tabs>
                <w:tab w:val="left" w:pos="0"/>
                <w:tab w:val="left" w:pos="7371"/>
              </w:tabs>
              <w:ind w:left="57" w:right="57"/>
              <w:jc w:val="left"/>
              <w:rPr>
                <w:kern w:val="24"/>
              </w:rPr>
            </w:pPr>
            <w:r w:rsidRPr="00F634CD">
              <w:rPr>
                <w:kern w:val="24"/>
              </w:rPr>
              <w:t>Jugement par analogie.</w:t>
            </w:r>
          </w:p>
        </w:tc>
      </w:tr>
      <w:tr w:rsidR="00167B02" w:rsidRPr="00F634CD" w14:paraId="1A65FF8A" w14:textId="77777777" w:rsidTr="004C7876">
        <w:trPr>
          <w:trHeight w:val="567"/>
          <w:jc w:val="center"/>
        </w:trPr>
        <w:tc>
          <w:tcPr>
            <w:tcW w:w="1701" w:type="dxa"/>
          </w:tcPr>
          <w:p w14:paraId="2338A31F"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Sani’</w:t>
            </w:r>
          </w:p>
        </w:tc>
        <w:tc>
          <w:tcPr>
            <w:tcW w:w="7370" w:type="dxa"/>
          </w:tcPr>
          <w:p w14:paraId="4ED69D86" w14:textId="77777777" w:rsidR="00167B02" w:rsidRPr="00F634CD" w:rsidRDefault="00167B02" w:rsidP="004C7876">
            <w:pPr>
              <w:pStyle w:val="Default"/>
              <w:tabs>
                <w:tab w:val="left" w:pos="0"/>
                <w:tab w:val="left" w:pos="7371"/>
              </w:tabs>
              <w:ind w:left="57" w:right="57"/>
              <w:rPr>
                <w:kern w:val="24"/>
              </w:rPr>
            </w:pPr>
            <w:r w:rsidRPr="00F634CD">
              <w:rPr>
                <w:kern w:val="24"/>
              </w:rPr>
              <w:t xml:space="preserve">C’est la partie qui fabrique ou construit le bien suite à la demande d’un moustasnii dans le cadre d’un contrat </w:t>
            </w:r>
            <w:r w:rsidRPr="00EE4A15">
              <w:rPr>
                <w:i/>
                <w:iCs/>
                <w:kern w:val="24"/>
              </w:rPr>
              <w:t>istisna’</w:t>
            </w:r>
            <w:r w:rsidRPr="00F634CD">
              <w:rPr>
                <w:kern w:val="24"/>
              </w:rPr>
              <w:t>.</w:t>
            </w:r>
          </w:p>
        </w:tc>
      </w:tr>
      <w:tr w:rsidR="00167B02" w:rsidRPr="00F634CD" w14:paraId="230F7EE5" w14:textId="77777777" w:rsidTr="004C7876">
        <w:trPr>
          <w:trHeight w:val="567"/>
          <w:jc w:val="center"/>
        </w:trPr>
        <w:tc>
          <w:tcPr>
            <w:tcW w:w="1701" w:type="dxa"/>
          </w:tcPr>
          <w:p w14:paraId="56090D26"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Sarraf</w:t>
            </w:r>
          </w:p>
        </w:tc>
        <w:tc>
          <w:tcPr>
            <w:tcW w:w="7370" w:type="dxa"/>
          </w:tcPr>
          <w:p w14:paraId="344A579A" w14:textId="77777777" w:rsidR="00167B02" w:rsidRPr="00F634CD" w:rsidRDefault="00167B02" w:rsidP="004C7876">
            <w:pPr>
              <w:pStyle w:val="Default"/>
              <w:tabs>
                <w:tab w:val="left" w:pos="0"/>
                <w:tab w:val="left" w:pos="7371"/>
              </w:tabs>
              <w:ind w:left="57" w:right="57"/>
              <w:rPr>
                <w:kern w:val="24"/>
              </w:rPr>
            </w:pPr>
            <w:r w:rsidRPr="00F634CD">
              <w:rPr>
                <w:color w:val="222222"/>
                <w:kern w:val="24"/>
                <w:shd w:val="clear" w:color="auto" w:fill="FFFFFF"/>
              </w:rPr>
              <w:t>Changeur de monnaies. De telles personnes exerçaient souvent également la fonction de banquier dans l’</w:t>
            </w:r>
            <w:r w:rsidR="00F34669" w:rsidRPr="00F634CD">
              <w:rPr>
                <w:color w:val="222222"/>
                <w:kern w:val="24"/>
                <w:shd w:val="clear" w:color="auto" w:fill="FFFFFF"/>
              </w:rPr>
              <w:t>Islam</w:t>
            </w:r>
            <w:r w:rsidRPr="00F634CD">
              <w:rPr>
                <w:color w:val="222222"/>
                <w:kern w:val="24"/>
                <w:shd w:val="clear" w:color="auto" w:fill="FFFFFF"/>
              </w:rPr>
              <w:t xml:space="preserve"> précontemporain.</w:t>
            </w:r>
          </w:p>
        </w:tc>
      </w:tr>
      <w:tr w:rsidR="00167B02" w:rsidRPr="00F634CD" w14:paraId="1EA994C3" w14:textId="77777777" w:rsidTr="004C7876">
        <w:trPr>
          <w:trHeight w:val="1191"/>
          <w:jc w:val="center"/>
        </w:trPr>
        <w:tc>
          <w:tcPr>
            <w:tcW w:w="1701" w:type="dxa"/>
          </w:tcPr>
          <w:p w14:paraId="2483E9C4"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Riba</w:t>
            </w:r>
          </w:p>
        </w:tc>
        <w:tc>
          <w:tcPr>
            <w:tcW w:w="7370" w:type="dxa"/>
          </w:tcPr>
          <w:p w14:paraId="73ABBE1F" w14:textId="5D976616" w:rsidR="00167B02" w:rsidRPr="00F634CD" w:rsidRDefault="00167B02"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Littéralement, accroissement ou supplément ; il s’agit de la prime qui doit être payée par l’emprunteur au prêteur en plus du principal</w:t>
            </w:r>
            <w:r w:rsidR="00AC47AC">
              <w:rPr>
                <w:rFonts w:ascii="Times New Roman" w:hAnsi="Times New Roman" w:cs="Times New Roman"/>
                <w:kern w:val="24"/>
                <w:sz w:val="24"/>
                <w:szCs w:val="24"/>
              </w:rPr>
              <w:t> : elle</w:t>
            </w:r>
            <w:r w:rsidRPr="00F634CD">
              <w:rPr>
                <w:rFonts w:ascii="Times New Roman" w:hAnsi="Times New Roman" w:cs="Times New Roman"/>
                <w:kern w:val="24"/>
                <w:sz w:val="24"/>
                <w:szCs w:val="24"/>
              </w:rPr>
              <w:t xml:space="preserve"> est la condition du prêt ou du prolongement du délai. Il est considéré par la grande majorité des </w:t>
            </w:r>
            <w:r w:rsidR="00AC47AC">
              <w:rPr>
                <w:rFonts w:ascii="Times New Roman" w:hAnsi="Times New Roman" w:cs="Times New Roman"/>
                <w:kern w:val="24"/>
                <w:sz w:val="24"/>
                <w:szCs w:val="24"/>
              </w:rPr>
              <w:t>M</w:t>
            </w:r>
            <w:r w:rsidRPr="00F634CD">
              <w:rPr>
                <w:rFonts w:ascii="Times New Roman" w:hAnsi="Times New Roman" w:cs="Times New Roman"/>
                <w:kern w:val="24"/>
                <w:sz w:val="24"/>
                <w:szCs w:val="24"/>
              </w:rPr>
              <w:t>usulmans comme étant équivalant à l’intérêt.</w:t>
            </w:r>
          </w:p>
        </w:tc>
      </w:tr>
      <w:tr w:rsidR="00167B02" w:rsidRPr="00F634CD" w14:paraId="7D349F7C" w14:textId="77777777" w:rsidTr="004C7876">
        <w:trPr>
          <w:trHeight w:val="624"/>
          <w:jc w:val="center"/>
        </w:trPr>
        <w:tc>
          <w:tcPr>
            <w:tcW w:w="1701" w:type="dxa"/>
          </w:tcPr>
          <w:p w14:paraId="6ABCCD16"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Shirkah</w:t>
            </w:r>
          </w:p>
        </w:tc>
        <w:tc>
          <w:tcPr>
            <w:tcW w:w="7370" w:type="dxa"/>
          </w:tcPr>
          <w:p w14:paraId="6814B36F" w14:textId="143442BF" w:rsidR="00167B02" w:rsidRPr="00F634CD" w:rsidRDefault="004F4A51" w:rsidP="004C7876">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Un</w:t>
            </w:r>
            <w:r w:rsidR="00167B02" w:rsidRPr="00F634CD">
              <w:rPr>
                <w:rFonts w:ascii="Times New Roman" w:hAnsi="Times New Roman" w:cs="Times New Roman"/>
                <w:kern w:val="24"/>
                <w:sz w:val="24"/>
                <w:szCs w:val="24"/>
              </w:rPr>
              <w:t xml:space="preserve"> contrat entre deux personnes ou plus qui lancent des affaires ou une entreprise financière en vue de réaliser un bénéfice</w:t>
            </w:r>
            <w:r w:rsidR="00AC47AC">
              <w:rPr>
                <w:rFonts w:ascii="Times New Roman" w:hAnsi="Times New Roman" w:cs="Times New Roman"/>
                <w:kern w:val="24"/>
                <w:sz w:val="24"/>
                <w:szCs w:val="24"/>
              </w:rPr>
              <w:t>.</w:t>
            </w:r>
          </w:p>
        </w:tc>
      </w:tr>
      <w:tr w:rsidR="00167B02" w:rsidRPr="00F634CD" w14:paraId="40F90811" w14:textId="77777777" w:rsidTr="004F4A51">
        <w:trPr>
          <w:trHeight w:val="454"/>
          <w:jc w:val="center"/>
        </w:trPr>
        <w:tc>
          <w:tcPr>
            <w:tcW w:w="1701" w:type="dxa"/>
            <w:vAlign w:val="center"/>
          </w:tcPr>
          <w:p w14:paraId="66D7430B"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color w:val="000000"/>
                <w:kern w:val="24"/>
                <w:sz w:val="24"/>
                <w:szCs w:val="24"/>
              </w:rPr>
              <w:t>Sourate</w:t>
            </w:r>
          </w:p>
        </w:tc>
        <w:tc>
          <w:tcPr>
            <w:tcW w:w="7370" w:type="dxa"/>
            <w:vAlign w:val="center"/>
          </w:tcPr>
          <w:p w14:paraId="6B33E585" w14:textId="77777777" w:rsidR="00167B02" w:rsidRPr="00F634CD" w:rsidRDefault="00167B02" w:rsidP="004F4A51">
            <w:pPr>
              <w:tabs>
                <w:tab w:val="left" w:pos="0"/>
                <w:tab w:val="left" w:pos="7371"/>
              </w:tabs>
              <w:spacing w:line="240" w:lineRule="auto"/>
              <w:ind w:left="57" w:right="57"/>
              <w:jc w:val="left"/>
              <w:rPr>
                <w:rFonts w:ascii="Times New Roman" w:hAnsi="Times New Roman" w:cs="Times New Roman"/>
                <w:kern w:val="24"/>
                <w:sz w:val="24"/>
                <w:szCs w:val="24"/>
              </w:rPr>
            </w:pPr>
            <w:r w:rsidRPr="00F634CD">
              <w:rPr>
                <w:rFonts w:ascii="Times New Roman" w:hAnsi="Times New Roman" w:cs="Times New Roman"/>
                <w:color w:val="000000"/>
                <w:kern w:val="24"/>
                <w:sz w:val="24"/>
                <w:szCs w:val="24"/>
              </w:rPr>
              <w:t>Chapitre du Coran.</w:t>
            </w:r>
          </w:p>
        </w:tc>
      </w:tr>
      <w:tr w:rsidR="00167B02" w:rsidRPr="00F634CD" w14:paraId="46888583" w14:textId="77777777" w:rsidTr="004F4A51">
        <w:trPr>
          <w:trHeight w:val="454"/>
          <w:jc w:val="center"/>
        </w:trPr>
        <w:tc>
          <w:tcPr>
            <w:tcW w:w="1701" w:type="dxa"/>
            <w:vAlign w:val="center"/>
          </w:tcPr>
          <w:p w14:paraId="2CB74B9E" w14:textId="02EF883B" w:rsidR="00167B02" w:rsidRPr="00F634CD" w:rsidRDefault="00167B02" w:rsidP="004F4A51">
            <w:pPr>
              <w:tabs>
                <w:tab w:val="left" w:pos="0"/>
                <w:tab w:val="left" w:pos="7371"/>
              </w:tabs>
              <w:spacing w:line="240" w:lineRule="auto"/>
              <w:ind w:left="57" w:right="57"/>
              <w:jc w:val="left"/>
              <w:rPr>
                <w:rFonts w:ascii="Times New Roman" w:hAnsi="Times New Roman" w:cs="Times New Roman"/>
                <w:i/>
                <w:iCs/>
                <w:kern w:val="24"/>
                <w:sz w:val="24"/>
                <w:szCs w:val="24"/>
              </w:rPr>
            </w:pPr>
            <w:r w:rsidRPr="00F634CD">
              <w:rPr>
                <w:rFonts w:ascii="Times New Roman" w:hAnsi="Times New Roman" w:cs="Times New Roman"/>
                <w:b/>
                <w:bCs/>
                <w:i/>
                <w:iCs/>
                <w:kern w:val="24"/>
                <w:sz w:val="24"/>
                <w:szCs w:val="24"/>
              </w:rPr>
              <w:t>Sunna</w:t>
            </w:r>
            <w:r w:rsidR="00210F47">
              <w:rPr>
                <w:rFonts w:ascii="Times New Roman" w:hAnsi="Times New Roman" w:cs="Times New Roman"/>
                <w:b/>
                <w:bCs/>
                <w:i/>
                <w:iCs/>
                <w:kern w:val="24"/>
                <w:sz w:val="24"/>
                <w:szCs w:val="24"/>
              </w:rPr>
              <w:t>h</w:t>
            </w:r>
          </w:p>
        </w:tc>
        <w:tc>
          <w:tcPr>
            <w:tcW w:w="7370" w:type="dxa"/>
            <w:vAlign w:val="center"/>
          </w:tcPr>
          <w:p w14:paraId="0EDCC544" w14:textId="4ABCD05B" w:rsidR="00167B02" w:rsidRPr="00F634CD" w:rsidRDefault="00167B02" w:rsidP="004F4A51">
            <w:pPr>
              <w:pStyle w:val="Default"/>
              <w:tabs>
                <w:tab w:val="left" w:pos="0"/>
                <w:tab w:val="left" w:pos="7371"/>
              </w:tabs>
              <w:ind w:left="57" w:right="57"/>
              <w:jc w:val="left"/>
              <w:rPr>
                <w:kern w:val="24"/>
              </w:rPr>
            </w:pPr>
            <w:r w:rsidRPr="00F634CD">
              <w:rPr>
                <w:kern w:val="24"/>
              </w:rPr>
              <w:t>Faits et dires du Prophète Mohamed</w:t>
            </w:r>
            <w:r w:rsidR="00AC47AC">
              <w:rPr>
                <w:kern w:val="24"/>
              </w:rPr>
              <w:t>.</w:t>
            </w:r>
            <w:r w:rsidRPr="00F634CD">
              <w:rPr>
                <w:kern w:val="24"/>
              </w:rPr>
              <w:t xml:space="preserve"> Histoire de la vie du Prophète.</w:t>
            </w:r>
          </w:p>
        </w:tc>
      </w:tr>
      <w:tr w:rsidR="00167B02" w:rsidRPr="00F634CD" w14:paraId="5E49C1C6" w14:textId="77777777" w:rsidTr="004C7876">
        <w:trPr>
          <w:trHeight w:val="907"/>
          <w:jc w:val="center"/>
        </w:trPr>
        <w:tc>
          <w:tcPr>
            <w:tcW w:w="1701" w:type="dxa"/>
          </w:tcPr>
          <w:p w14:paraId="7E76DB30"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Takaful</w:t>
            </w:r>
          </w:p>
        </w:tc>
        <w:tc>
          <w:tcPr>
            <w:tcW w:w="7370" w:type="dxa"/>
          </w:tcPr>
          <w:p w14:paraId="30C3B028" w14:textId="7C8779FF" w:rsidR="00167B02" w:rsidRPr="00F634CD" w:rsidRDefault="00167B02" w:rsidP="004C7876">
            <w:pPr>
              <w:pStyle w:val="Default"/>
              <w:tabs>
                <w:tab w:val="left" w:pos="0"/>
                <w:tab w:val="left" w:pos="7371"/>
              </w:tabs>
              <w:ind w:left="57" w:right="57"/>
              <w:rPr>
                <w:kern w:val="24"/>
              </w:rPr>
            </w:pPr>
            <w:r w:rsidRPr="00F634CD">
              <w:rPr>
                <w:kern w:val="24"/>
              </w:rPr>
              <w:t>Takaful</w:t>
            </w:r>
            <w:r w:rsidR="00AC47AC">
              <w:rPr>
                <w:kern w:val="24"/>
              </w:rPr>
              <w:t xml:space="preserve">, </w:t>
            </w:r>
            <w:r w:rsidRPr="00F634CD">
              <w:rPr>
                <w:kern w:val="24"/>
              </w:rPr>
              <w:t>dérivé d'un mot arabe qui signifie solidarité, il s’apparente à une forme d’assurance participative qui permet de concilier les principes universels de l’assurance avec ceux de l’</w:t>
            </w:r>
            <w:r w:rsidR="00F34669" w:rsidRPr="00F634CD">
              <w:rPr>
                <w:kern w:val="24"/>
              </w:rPr>
              <w:t>Islam</w:t>
            </w:r>
          </w:p>
        </w:tc>
      </w:tr>
      <w:tr w:rsidR="00167B02" w:rsidRPr="00F634CD" w14:paraId="4A39CB9D" w14:textId="77777777" w:rsidTr="004C7876">
        <w:trPr>
          <w:trHeight w:val="1191"/>
          <w:jc w:val="center"/>
        </w:trPr>
        <w:tc>
          <w:tcPr>
            <w:tcW w:w="1701" w:type="dxa"/>
          </w:tcPr>
          <w:p w14:paraId="4E9BC190" w14:textId="23F4BD06"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Tawarru</w:t>
            </w:r>
            <w:r w:rsidR="00AC47AC">
              <w:rPr>
                <w:rFonts w:ascii="Times New Roman" w:hAnsi="Times New Roman" w:cs="Times New Roman"/>
                <w:b/>
                <w:bCs/>
                <w:i/>
                <w:iCs/>
                <w:kern w:val="24"/>
                <w:sz w:val="24"/>
                <w:szCs w:val="24"/>
              </w:rPr>
              <w:t>q</w:t>
            </w:r>
          </w:p>
        </w:tc>
        <w:tc>
          <w:tcPr>
            <w:tcW w:w="7370" w:type="dxa"/>
          </w:tcPr>
          <w:p w14:paraId="485D9C16" w14:textId="048F3922" w:rsidR="00167B02" w:rsidRPr="00F634CD" w:rsidRDefault="00167B02" w:rsidP="004C7876">
            <w:pPr>
              <w:pStyle w:val="Default"/>
              <w:tabs>
                <w:tab w:val="left" w:pos="0"/>
                <w:tab w:val="left" w:pos="7371"/>
              </w:tabs>
              <w:ind w:left="57" w:right="57"/>
              <w:rPr>
                <w:kern w:val="24"/>
              </w:rPr>
            </w:pPr>
            <w:r w:rsidRPr="00F634CD">
              <w:rPr>
                <w:kern w:val="24"/>
              </w:rPr>
              <w:t>Signifie littéra</w:t>
            </w:r>
            <w:r w:rsidR="00AC47AC">
              <w:rPr>
                <w:kern w:val="24"/>
              </w:rPr>
              <w:t>le</w:t>
            </w:r>
            <w:r w:rsidRPr="00F634CD">
              <w:rPr>
                <w:kern w:val="24"/>
              </w:rPr>
              <w:t xml:space="preserve">ment monétisation. C’est un type de financement similaire à la </w:t>
            </w:r>
            <w:r w:rsidRPr="00AC47AC">
              <w:rPr>
                <w:i/>
                <w:iCs/>
                <w:kern w:val="24"/>
              </w:rPr>
              <w:t>mourabaha</w:t>
            </w:r>
            <w:r w:rsidR="00AC47AC">
              <w:rPr>
                <w:kern w:val="24"/>
              </w:rPr>
              <w:t>.</w:t>
            </w:r>
            <w:r w:rsidRPr="00F634CD">
              <w:rPr>
                <w:kern w:val="24"/>
              </w:rPr>
              <w:t xml:space="preserve"> </w:t>
            </w:r>
            <w:r w:rsidR="00AC47AC" w:rsidRPr="00F634CD">
              <w:rPr>
                <w:kern w:val="24"/>
              </w:rPr>
              <w:t>Cependant</w:t>
            </w:r>
            <w:r w:rsidRPr="00F634CD">
              <w:rPr>
                <w:kern w:val="24"/>
              </w:rPr>
              <w:t>, la marchandise est vendue avec paiement différé, l’acheteur vend le même produit à un tiers au comptant avec un prix réduit pour qu’il puisse payer ses engagements.</w:t>
            </w:r>
          </w:p>
        </w:tc>
      </w:tr>
      <w:tr w:rsidR="00167B02" w:rsidRPr="00F634CD" w14:paraId="520DBBEE" w14:textId="77777777" w:rsidTr="004C7876">
        <w:trPr>
          <w:trHeight w:val="907"/>
          <w:jc w:val="center"/>
        </w:trPr>
        <w:tc>
          <w:tcPr>
            <w:tcW w:w="1701" w:type="dxa"/>
          </w:tcPr>
          <w:p w14:paraId="264514C9" w14:textId="0FCD5ACD" w:rsidR="00167B02" w:rsidRPr="00F634CD" w:rsidRDefault="00AC4110"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Pr>
                <w:rFonts w:ascii="Times New Roman" w:hAnsi="Times New Roman" w:cs="Times New Roman"/>
                <w:b/>
                <w:bCs/>
                <w:i/>
                <w:iCs/>
                <w:kern w:val="24"/>
                <w:sz w:val="24"/>
                <w:szCs w:val="24"/>
              </w:rPr>
              <w:t>A</w:t>
            </w:r>
            <w:r w:rsidR="00167B02" w:rsidRPr="00F634CD">
              <w:rPr>
                <w:rFonts w:ascii="Times New Roman" w:hAnsi="Times New Roman" w:cs="Times New Roman"/>
                <w:b/>
                <w:bCs/>
                <w:i/>
                <w:iCs/>
                <w:kern w:val="24"/>
                <w:sz w:val="24"/>
                <w:szCs w:val="24"/>
              </w:rPr>
              <w:t>’rboun</w:t>
            </w:r>
          </w:p>
        </w:tc>
        <w:tc>
          <w:tcPr>
            <w:tcW w:w="7370" w:type="dxa"/>
          </w:tcPr>
          <w:p w14:paraId="433B3930" w14:textId="77777777" w:rsidR="00167B02" w:rsidRPr="00F634CD" w:rsidRDefault="00167B02" w:rsidP="004C7876">
            <w:pPr>
              <w:tabs>
                <w:tab w:val="left" w:pos="0"/>
                <w:tab w:val="left" w:pos="7371"/>
              </w:tabs>
              <w:autoSpaceDE w:val="0"/>
              <w:autoSpaceDN w:val="0"/>
              <w:adjustRightInd w:val="0"/>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Un contrat de vente dans lequel une petite part du prix est payée comme une avance sachant que l’objet vendu et le montant qui reste seront échangés à une date future.</w:t>
            </w:r>
          </w:p>
        </w:tc>
      </w:tr>
      <w:tr w:rsidR="00167B02" w:rsidRPr="00F634CD" w14:paraId="3DE4494D" w14:textId="77777777" w:rsidTr="004C7876">
        <w:trPr>
          <w:trHeight w:val="907"/>
          <w:jc w:val="center"/>
        </w:trPr>
        <w:tc>
          <w:tcPr>
            <w:tcW w:w="1701" w:type="dxa"/>
          </w:tcPr>
          <w:p w14:paraId="73EF7CF6" w14:textId="11A4DF55"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Wa’</w:t>
            </w:r>
            <w:r w:rsidR="00AC4110">
              <w:rPr>
                <w:rFonts w:ascii="Times New Roman" w:hAnsi="Times New Roman" w:cs="Times New Roman"/>
                <w:b/>
                <w:bCs/>
                <w:i/>
                <w:iCs/>
                <w:kern w:val="24"/>
                <w:sz w:val="24"/>
                <w:szCs w:val="24"/>
              </w:rPr>
              <w:t>a</w:t>
            </w:r>
            <w:r w:rsidRPr="00F634CD">
              <w:rPr>
                <w:rFonts w:ascii="Times New Roman" w:hAnsi="Times New Roman" w:cs="Times New Roman"/>
                <w:b/>
                <w:bCs/>
                <w:i/>
                <w:iCs/>
                <w:kern w:val="24"/>
                <w:sz w:val="24"/>
                <w:szCs w:val="24"/>
              </w:rPr>
              <w:t>d</w:t>
            </w:r>
          </w:p>
        </w:tc>
        <w:tc>
          <w:tcPr>
            <w:tcW w:w="7370" w:type="dxa"/>
          </w:tcPr>
          <w:p w14:paraId="4599F1F6" w14:textId="77777777" w:rsidR="00167B02" w:rsidRPr="00F634CD" w:rsidRDefault="00167B02" w:rsidP="004C7876">
            <w:pPr>
              <w:tabs>
                <w:tab w:val="left" w:pos="0"/>
                <w:tab w:val="left" w:pos="7371"/>
              </w:tabs>
              <w:autoSpaceDE w:val="0"/>
              <w:autoSpaceDN w:val="0"/>
              <w:adjustRightInd w:val="0"/>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shd w:val="clear" w:color="auto" w:fill="FFFFFF"/>
              </w:rPr>
              <w:t xml:space="preserve">Une obligation émise par une contrepartie telle qu'un acheteur potentiel ou un acheteur lors d’une transaction </w:t>
            </w:r>
            <w:hyperlink r:id="rId106" w:history="1">
              <w:r w:rsidRPr="00F634CD">
                <w:rPr>
                  <w:rStyle w:val="Lienhypertexte"/>
                  <w:rFonts w:ascii="Times New Roman" w:hAnsi="Times New Roman" w:cs="Times New Roman"/>
                  <w:i/>
                  <w:iCs/>
                  <w:color w:val="auto"/>
                  <w:kern w:val="24"/>
                  <w:sz w:val="24"/>
                  <w:szCs w:val="24"/>
                  <w:u w:val="none"/>
                  <w:shd w:val="clear" w:color="auto" w:fill="FFFFFF"/>
                </w:rPr>
                <w:t>mourabaha</w:t>
              </w:r>
            </w:hyperlink>
            <w:r w:rsidRPr="00F634CD">
              <w:rPr>
                <w:rFonts w:ascii="Times New Roman" w:hAnsi="Times New Roman" w:cs="Times New Roman"/>
                <w:kern w:val="24"/>
                <w:sz w:val="24"/>
                <w:szCs w:val="24"/>
                <w:shd w:val="clear" w:color="auto" w:fill="FFFFFF"/>
              </w:rPr>
              <w:t xml:space="preserve"> à l'</w:t>
            </w:r>
            <w:hyperlink r:id="rId107" w:history="1">
              <w:r w:rsidRPr="00F634CD">
                <w:rPr>
                  <w:rStyle w:val="Lienhypertexte"/>
                  <w:rFonts w:ascii="Times New Roman" w:hAnsi="Times New Roman" w:cs="Times New Roman"/>
                  <w:color w:val="auto"/>
                  <w:kern w:val="24"/>
                  <w:sz w:val="24"/>
                  <w:szCs w:val="24"/>
                  <w:u w:val="none"/>
                  <w:shd w:val="clear" w:color="auto" w:fill="FFFFFF"/>
                </w:rPr>
                <w:t>égard</w:t>
              </w:r>
            </w:hyperlink>
            <w:r w:rsidRPr="00F634CD">
              <w:rPr>
                <w:rFonts w:ascii="Times New Roman" w:hAnsi="Times New Roman" w:cs="Times New Roman"/>
                <w:kern w:val="24"/>
                <w:sz w:val="24"/>
                <w:szCs w:val="24"/>
                <w:shd w:val="clear" w:color="auto" w:fill="FFFFFF"/>
              </w:rPr>
              <w:t xml:space="preserve"> d'une autre par laquelle il s'engage envers le créancier à exécuter le contrat.</w:t>
            </w:r>
          </w:p>
        </w:tc>
      </w:tr>
      <w:tr w:rsidR="00167B02" w:rsidRPr="00F634CD" w14:paraId="74E0467F" w14:textId="77777777" w:rsidTr="004C7876">
        <w:trPr>
          <w:trHeight w:val="1191"/>
          <w:jc w:val="center"/>
        </w:trPr>
        <w:tc>
          <w:tcPr>
            <w:tcW w:w="1701" w:type="dxa"/>
          </w:tcPr>
          <w:p w14:paraId="79DCEE21"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Wakala</w:t>
            </w:r>
          </w:p>
        </w:tc>
        <w:tc>
          <w:tcPr>
            <w:tcW w:w="7370" w:type="dxa"/>
          </w:tcPr>
          <w:p w14:paraId="2BA85C0E" w14:textId="77777777" w:rsidR="00167B02" w:rsidRPr="00F634CD" w:rsidRDefault="00167B02" w:rsidP="004C7876">
            <w:pPr>
              <w:tabs>
                <w:tab w:val="left" w:pos="0"/>
                <w:tab w:val="left" w:pos="7371"/>
              </w:tabs>
              <w:autoSpaceDE w:val="0"/>
              <w:autoSpaceDN w:val="0"/>
              <w:adjustRightInd w:val="0"/>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shd w:val="clear" w:color="auto" w:fill="FFFFFF"/>
              </w:rPr>
              <w:t>Un mandat formalisé sous la forme d'un contrat par lequel, très fréquemment, une banque ou autre institution financière est chargée de réaliser des investissements pour le compte d'un client qui paie en contrepartie une rémunération indexée sur les résultats.</w:t>
            </w:r>
          </w:p>
        </w:tc>
      </w:tr>
      <w:tr w:rsidR="00167B02" w:rsidRPr="00F634CD" w14:paraId="0EE11C21" w14:textId="77777777" w:rsidTr="004C7876">
        <w:trPr>
          <w:trHeight w:val="907"/>
          <w:jc w:val="center"/>
        </w:trPr>
        <w:tc>
          <w:tcPr>
            <w:tcW w:w="1701" w:type="dxa"/>
          </w:tcPr>
          <w:p w14:paraId="5AFD65EE"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Waqf</w:t>
            </w:r>
          </w:p>
        </w:tc>
        <w:tc>
          <w:tcPr>
            <w:tcW w:w="7370" w:type="dxa"/>
          </w:tcPr>
          <w:p w14:paraId="463C359A" w14:textId="77777777" w:rsidR="00167B02" w:rsidRPr="00F634CD" w:rsidRDefault="00167B02" w:rsidP="004C7876">
            <w:pPr>
              <w:tabs>
                <w:tab w:val="left" w:pos="0"/>
                <w:tab w:val="left" w:pos="7371"/>
              </w:tabs>
              <w:autoSpaceDE w:val="0"/>
              <w:autoSpaceDN w:val="0"/>
              <w:adjustRightInd w:val="0"/>
              <w:spacing w:line="240" w:lineRule="auto"/>
              <w:ind w:left="57" w:right="57"/>
              <w:rPr>
                <w:rFonts w:ascii="Times New Roman" w:hAnsi="Times New Roman" w:cs="Times New Roman"/>
                <w:kern w:val="24"/>
                <w:sz w:val="24"/>
                <w:szCs w:val="24"/>
              </w:rPr>
            </w:pPr>
            <w:r w:rsidRPr="00F634CD">
              <w:rPr>
                <w:rFonts w:ascii="Times New Roman" w:hAnsi="Times New Roman" w:cs="Times New Roman"/>
                <w:color w:val="222222"/>
                <w:kern w:val="24"/>
                <w:sz w:val="24"/>
                <w:szCs w:val="24"/>
                <w:shd w:val="clear" w:color="auto" w:fill="FFFFFF"/>
              </w:rPr>
              <w:t xml:space="preserve">Une donation faite à perpétuité par un particulier à une œuvre d'utilité publique, pieuse ou charitable, ou à un ou plusieurs individus. Le bien donné </w:t>
            </w:r>
            <w:r w:rsidRPr="00F634CD">
              <w:rPr>
                <w:rFonts w:ascii="Times New Roman" w:hAnsi="Times New Roman" w:cs="Times New Roman"/>
                <w:kern w:val="24"/>
                <w:sz w:val="24"/>
                <w:szCs w:val="24"/>
                <w:shd w:val="clear" w:color="auto" w:fill="FFFFFF"/>
              </w:rPr>
              <w:t xml:space="preserve">en </w:t>
            </w:r>
            <w:hyperlink r:id="rId108" w:tooltip="Usufruit" w:history="1">
              <w:r w:rsidRPr="00F634CD">
                <w:rPr>
                  <w:rStyle w:val="Lienhypertexte"/>
                  <w:rFonts w:ascii="Times New Roman" w:hAnsi="Times New Roman" w:cs="Times New Roman"/>
                  <w:color w:val="auto"/>
                  <w:kern w:val="24"/>
                  <w:sz w:val="24"/>
                  <w:szCs w:val="24"/>
                  <w:u w:val="none"/>
                  <w:shd w:val="clear" w:color="auto" w:fill="FFFFFF"/>
                </w:rPr>
                <w:t>usufruit</w:t>
              </w:r>
            </w:hyperlink>
            <w:r w:rsidRPr="00F634CD">
              <w:rPr>
                <w:rFonts w:ascii="Times New Roman" w:hAnsi="Times New Roman" w:cs="Times New Roman"/>
                <w:kern w:val="24"/>
                <w:sz w:val="24"/>
                <w:szCs w:val="24"/>
                <w:shd w:val="clear" w:color="auto" w:fill="FFFFFF"/>
              </w:rPr>
              <w:t xml:space="preserve"> est</w:t>
            </w:r>
            <w:r w:rsidRPr="00F634CD">
              <w:rPr>
                <w:rFonts w:ascii="Times New Roman" w:hAnsi="Times New Roman" w:cs="Times New Roman"/>
                <w:color w:val="222222"/>
                <w:kern w:val="24"/>
                <w:sz w:val="24"/>
                <w:szCs w:val="24"/>
                <w:shd w:val="clear" w:color="auto" w:fill="FFFFFF"/>
              </w:rPr>
              <w:t xml:space="preserve"> dès lors placé sous séquestre et devient inaliénable.</w:t>
            </w:r>
          </w:p>
        </w:tc>
      </w:tr>
      <w:tr w:rsidR="00167B02" w:rsidRPr="00F634CD" w14:paraId="53912B09" w14:textId="77777777" w:rsidTr="004C7876">
        <w:trPr>
          <w:trHeight w:val="624"/>
          <w:jc w:val="center"/>
        </w:trPr>
        <w:tc>
          <w:tcPr>
            <w:tcW w:w="1701" w:type="dxa"/>
          </w:tcPr>
          <w:p w14:paraId="6D00E6E4" w14:textId="77777777" w:rsidR="00167B02" w:rsidRPr="00F634CD" w:rsidRDefault="00167B02" w:rsidP="004C7876">
            <w:pPr>
              <w:tabs>
                <w:tab w:val="left" w:pos="0"/>
                <w:tab w:val="left" w:pos="7371"/>
              </w:tabs>
              <w:spacing w:line="240" w:lineRule="auto"/>
              <w:ind w:left="57" w:right="57"/>
              <w:jc w:val="left"/>
              <w:rPr>
                <w:rFonts w:ascii="Times New Roman" w:hAnsi="Times New Roman" w:cs="Times New Roman"/>
                <w:b/>
                <w:bCs/>
                <w:i/>
                <w:iCs/>
                <w:kern w:val="24"/>
                <w:sz w:val="24"/>
                <w:szCs w:val="24"/>
              </w:rPr>
            </w:pPr>
            <w:r w:rsidRPr="00F634CD">
              <w:rPr>
                <w:rFonts w:ascii="Times New Roman" w:hAnsi="Times New Roman" w:cs="Times New Roman"/>
                <w:b/>
                <w:bCs/>
                <w:i/>
                <w:iCs/>
                <w:kern w:val="24"/>
                <w:sz w:val="24"/>
                <w:szCs w:val="24"/>
              </w:rPr>
              <w:t>Zakat</w:t>
            </w:r>
          </w:p>
        </w:tc>
        <w:tc>
          <w:tcPr>
            <w:tcW w:w="7370" w:type="dxa"/>
          </w:tcPr>
          <w:p w14:paraId="56A6AEEA" w14:textId="77777777" w:rsidR="00167B02" w:rsidRPr="00F634CD" w:rsidRDefault="00167B02" w:rsidP="00A961FF">
            <w:pPr>
              <w:tabs>
                <w:tab w:val="left" w:pos="0"/>
                <w:tab w:val="left" w:pos="7371"/>
              </w:tabs>
              <w:spacing w:line="240" w:lineRule="auto"/>
              <w:ind w:left="57" w:right="57"/>
              <w:rPr>
                <w:rFonts w:ascii="Times New Roman" w:hAnsi="Times New Roman" w:cs="Times New Roman"/>
                <w:kern w:val="24"/>
                <w:sz w:val="24"/>
                <w:szCs w:val="24"/>
              </w:rPr>
            </w:pPr>
            <w:r w:rsidRPr="00F634CD">
              <w:rPr>
                <w:rFonts w:ascii="Times New Roman" w:hAnsi="Times New Roman" w:cs="Times New Roman"/>
                <w:kern w:val="24"/>
                <w:sz w:val="24"/>
                <w:szCs w:val="24"/>
              </w:rPr>
              <w:t xml:space="preserve">Contribution volontaire des </w:t>
            </w:r>
            <w:r w:rsidR="00A961FF" w:rsidRPr="00F634CD">
              <w:rPr>
                <w:rFonts w:ascii="Times New Roman" w:hAnsi="Times New Roman" w:cs="Times New Roman"/>
                <w:kern w:val="24"/>
                <w:sz w:val="24"/>
                <w:szCs w:val="24"/>
              </w:rPr>
              <w:t>M</w:t>
            </w:r>
            <w:r w:rsidRPr="00F634CD">
              <w:rPr>
                <w:rFonts w:ascii="Times New Roman" w:hAnsi="Times New Roman" w:cs="Times New Roman"/>
                <w:kern w:val="24"/>
                <w:sz w:val="24"/>
                <w:szCs w:val="24"/>
              </w:rPr>
              <w:t>usulmans pouvant être versée soit à des pauvres soit à des institutions spécialisées dans sa collecte.</w:t>
            </w:r>
          </w:p>
        </w:tc>
      </w:tr>
    </w:tbl>
    <w:p w14:paraId="617663DC" w14:textId="77777777" w:rsidR="00E21BFE" w:rsidRDefault="00E21BFE" w:rsidP="0086116F">
      <w:pPr>
        <w:rPr>
          <w:rFonts w:ascii="Times New Roman" w:hAnsi="Times New Roman" w:cs="Times New Roman"/>
          <w:kern w:val="24"/>
          <w:sz w:val="24"/>
          <w:szCs w:val="24"/>
        </w:rPr>
      </w:pPr>
      <w:bookmarkStart w:id="1907" w:name="_Toc57901043"/>
      <w:bookmarkStart w:id="1908" w:name="_Toc58261945"/>
      <w:bookmarkStart w:id="1909" w:name="_Toc58606398"/>
      <w:bookmarkStart w:id="1910" w:name="_Toc61263605"/>
    </w:p>
    <w:p w14:paraId="032CE4EB" w14:textId="77777777" w:rsidR="00E21BFE" w:rsidRPr="00F634CD" w:rsidRDefault="00E21BFE" w:rsidP="0086116F">
      <w:pPr>
        <w:rPr>
          <w:rFonts w:ascii="Times New Roman" w:hAnsi="Times New Roman" w:cs="Times New Roman"/>
          <w:kern w:val="24"/>
          <w:sz w:val="24"/>
          <w:szCs w:val="24"/>
        </w:rPr>
        <w:sectPr w:rsidR="00E21BFE" w:rsidRPr="00F634CD" w:rsidSect="003010C3">
          <w:footerReference w:type="default" r:id="rId109"/>
          <w:footerReference w:type="first" r:id="rId110"/>
          <w:footnotePr>
            <w:numRestart w:val="eachPage"/>
          </w:footnotePr>
          <w:pgSz w:w="11906" w:h="16838" w:code="9"/>
          <w:pgMar w:top="1134" w:right="1134" w:bottom="1134" w:left="1134" w:header="709" w:footer="709" w:gutter="567"/>
          <w:pgNumType w:start="265"/>
          <w:cols w:space="708"/>
          <w:docGrid w:linePitch="360"/>
        </w:sectPr>
      </w:pPr>
    </w:p>
    <w:bookmarkEnd w:id="1907"/>
    <w:bookmarkEnd w:id="1908"/>
    <w:bookmarkEnd w:id="1909"/>
    <w:bookmarkEnd w:id="1910"/>
    <w:p w14:paraId="55139050" w14:textId="77777777" w:rsidR="00D40A21" w:rsidRPr="002C5EFF" w:rsidRDefault="00D40A21" w:rsidP="00D40A21">
      <w:pPr>
        <w:spacing w:before="100" w:beforeAutospacing="1" w:after="100" w:afterAutospacing="1" w:line="360" w:lineRule="auto"/>
        <w:jc w:val="center"/>
        <w:rPr>
          <w:rFonts w:ascii="Times New Roman" w:hAnsi="Times New Roman" w:cs="Times New Roman"/>
          <w:b/>
          <w:bCs/>
          <w:smallCaps/>
          <w:spacing w:val="40"/>
          <w:kern w:val="24"/>
          <w:sz w:val="56"/>
          <w:szCs w:val="56"/>
          <w14:shadow w14:blurRad="50800" w14:dist="38100" w14:dir="2700000" w14:sx="100000" w14:sy="100000" w14:kx="0" w14:ky="0" w14:algn="tl">
            <w14:srgbClr w14:val="000000">
              <w14:alpha w14:val="60000"/>
            </w14:srgbClr>
          </w14:shadow>
        </w:rPr>
      </w:pPr>
    </w:p>
    <w:p w14:paraId="524EAA73" w14:textId="77777777" w:rsidR="00D40A21" w:rsidRPr="002C5EFF" w:rsidRDefault="00D40A21" w:rsidP="00D40A21">
      <w:pPr>
        <w:spacing w:before="100" w:beforeAutospacing="1" w:after="100" w:afterAutospacing="1" w:line="360" w:lineRule="auto"/>
        <w:jc w:val="center"/>
        <w:rPr>
          <w:rFonts w:ascii="Times New Roman" w:hAnsi="Times New Roman" w:cs="Times New Roman"/>
          <w:b/>
          <w:bCs/>
          <w:smallCaps/>
          <w:spacing w:val="40"/>
          <w:kern w:val="24"/>
          <w:sz w:val="56"/>
          <w:szCs w:val="56"/>
          <w14:shadow w14:blurRad="50800" w14:dist="38100" w14:dir="2700000" w14:sx="100000" w14:sy="100000" w14:kx="0" w14:ky="0" w14:algn="tl">
            <w14:srgbClr w14:val="000000">
              <w14:alpha w14:val="60000"/>
            </w14:srgbClr>
          </w14:shadow>
        </w:rPr>
      </w:pPr>
    </w:p>
    <w:p w14:paraId="75F9D41E" w14:textId="77777777" w:rsidR="00D40A21" w:rsidRPr="002C5EFF" w:rsidRDefault="00D40A21" w:rsidP="00D40A21">
      <w:pPr>
        <w:spacing w:before="100" w:beforeAutospacing="1" w:after="100" w:afterAutospacing="1" w:line="360" w:lineRule="auto"/>
        <w:jc w:val="center"/>
        <w:rPr>
          <w:rFonts w:ascii="Times New Roman" w:hAnsi="Times New Roman" w:cs="Times New Roman"/>
          <w:b/>
          <w:bCs/>
          <w:smallCaps/>
          <w:spacing w:val="40"/>
          <w:kern w:val="24"/>
          <w:sz w:val="56"/>
          <w:szCs w:val="56"/>
          <w14:shadow w14:blurRad="50800" w14:dist="38100" w14:dir="2700000" w14:sx="100000" w14:sy="100000" w14:kx="0" w14:ky="0" w14:algn="tl">
            <w14:srgbClr w14:val="000000">
              <w14:alpha w14:val="60000"/>
            </w14:srgbClr>
          </w14:shadow>
        </w:rPr>
      </w:pPr>
    </w:p>
    <w:p w14:paraId="48364B17" w14:textId="77777777" w:rsidR="00D40A21" w:rsidRPr="002C5EFF" w:rsidRDefault="00D40A21" w:rsidP="00D40A21">
      <w:pPr>
        <w:spacing w:before="100" w:beforeAutospacing="1" w:after="100" w:afterAutospacing="1" w:line="360" w:lineRule="auto"/>
        <w:jc w:val="center"/>
        <w:rPr>
          <w:rFonts w:ascii="Times New Roman" w:hAnsi="Times New Roman" w:cs="Times New Roman"/>
          <w:b/>
          <w:bCs/>
          <w:smallCaps/>
          <w:spacing w:val="40"/>
          <w:kern w:val="24"/>
          <w:sz w:val="56"/>
          <w:szCs w:val="56"/>
          <w14:shadow w14:blurRad="50800" w14:dist="38100" w14:dir="2700000" w14:sx="100000" w14:sy="100000" w14:kx="0" w14:ky="0" w14:algn="tl">
            <w14:srgbClr w14:val="000000">
              <w14:alpha w14:val="60000"/>
            </w14:srgbClr>
          </w14:shadow>
        </w:rPr>
      </w:pPr>
    </w:p>
    <w:p w14:paraId="15EF09DE" w14:textId="77777777" w:rsidR="00D40A21" w:rsidRPr="002C5EFF" w:rsidRDefault="00D40A21" w:rsidP="00D40A21">
      <w:pPr>
        <w:spacing w:before="100" w:beforeAutospacing="1" w:after="100" w:afterAutospacing="1" w:line="360" w:lineRule="auto"/>
        <w:jc w:val="center"/>
        <w:rPr>
          <w:rFonts w:ascii="Times New Roman" w:hAnsi="Times New Roman" w:cs="Times New Roman"/>
          <w:b/>
          <w:bCs/>
          <w:smallCaps/>
          <w:spacing w:val="40"/>
          <w:kern w:val="24"/>
          <w:sz w:val="56"/>
          <w:szCs w:val="56"/>
          <w14:shadow w14:blurRad="50800" w14:dist="38100" w14:dir="2700000" w14:sx="100000" w14:sy="100000" w14:kx="0" w14:ky="0" w14:algn="tl">
            <w14:srgbClr w14:val="000000">
              <w14:alpha w14:val="60000"/>
            </w14:srgbClr>
          </w14:shadow>
        </w:rPr>
      </w:pPr>
    </w:p>
    <w:p w14:paraId="6C56CD61" w14:textId="65EB7B88" w:rsidR="0086116F" w:rsidRPr="002C5EFF" w:rsidRDefault="0086116F" w:rsidP="006C1230">
      <w:pPr>
        <w:spacing w:before="100" w:beforeAutospacing="1" w:after="100" w:afterAutospacing="1" w:line="360" w:lineRule="auto"/>
        <w:jc w:val="center"/>
        <w:outlineLvl w:val="0"/>
        <w:rPr>
          <w:rFonts w:ascii="Times New Roman" w:hAnsi="Times New Roman" w:cs="Times New Roman"/>
          <w:b/>
          <w:bCs/>
          <w:smallCaps/>
          <w:spacing w:val="40"/>
          <w:kern w:val="24"/>
          <w:sz w:val="56"/>
          <w:szCs w:val="56"/>
          <w14:shadow w14:blurRad="50800" w14:dist="38100" w14:dir="2700000" w14:sx="100000" w14:sy="100000" w14:kx="0" w14:ky="0" w14:algn="tl">
            <w14:srgbClr w14:val="000000">
              <w14:alpha w14:val="60000"/>
            </w14:srgbClr>
          </w14:shadow>
        </w:rPr>
      </w:pPr>
      <w:bookmarkStart w:id="1911" w:name="_Toc182298950"/>
      <w:bookmarkStart w:id="1912" w:name="_Toc182309408"/>
      <w:r w:rsidRPr="002C5EFF">
        <w:rPr>
          <w:rFonts w:ascii="Times New Roman" w:hAnsi="Times New Roman" w:cs="Times New Roman"/>
          <w:b/>
          <w:bCs/>
          <w:smallCaps/>
          <w:spacing w:val="40"/>
          <w:kern w:val="24"/>
          <w:sz w:val="56"/>
          <w:szCs w:val="56"/>
          <w14:shadow w14:blurRad="50800" w14:dist="38100" w14:dir="2700000" w14:sx="100000" w14:sy="100000" w14:kx="0" w14:ky="0" w14:algn="tl">
            <w14:srgbClr w14:val="000000">
              <w14:alpha w14:val="60000"/>
            </w14:srgbClr>
          </w14:shadow>
        </w:rPr>
        <w:t>Table des matières</w:t>
      </w:r>
      <w:bookmarkEnd w:id="1911"/>
      <w:bookmarkEnd w:id="1912"/>
    </w:p>
    <w:p w14:paraId="6222E820" w14:textId="3DA0FE47" w:rsidR="00204CC0" w:rsidRPr="004F69A7" w:rsidRDefault="006C1230" w:rsidP="004F69A7">
      <w:pPr>
        <w:rPr>
          <w:rFonts w:ascii="Times New Roman" w:eastAsia="Times New Roman" w:hAnsi="Times New Roman" w:cs="Times New Roman"/>
          <w:b/>
          <w:bCs/>
          <w:spacing w:val="20"/>
          <w:kern w:val="24"/>
          <w:sz w:val="28"/>
          <w:szCs w:val="48"/>
          <w:lang w:eastAsia="fr-FR"/>
        </w:rPr>
      </w:pPr>
      <w:r>
        <w:rPr>
          <w:spacing w:val="20"/>
          <w:kern w:val="24"/>
        </w:rPr>
        <w:br w:type="page"/>
      </w:r>
    </w:p>
    <w:p w14:paraId="51CAC82E" w14:textId="7A33C51B" w:rsidR="004F69A7" w:rsidRPr="00103C6F" w:rsidRDefault="00B544E5" w:rsidP="006B69C7">
      <w:pPr>
        <w:pStyle w:val="TM1"/>
        <w:rPr>
          <w:rFonts w:eastAsiaTheme="minorEastAsia"/>
          <w:kern w:val="0"/>
          <w:lang w:eastAsia="fr-FR"/>
        </w:rPr>
      </w:pPr>
      <w:r w:rsidRPr="00103C6F">
        <w:rPr>
          <w:caps/>
        </w:rPr>
        <w:fldChar w:fldCharType="begin"/>
      </w:r>
      <w:r w:rsidR="00FF56AA" w:rsidRPr="00103C6F">
        <w:rPr>
          <w:caps/>
        </w:rPr>
        <w:instrText xml:space="preserve"> TOC \o "1-7" \h \z \u </w:instrText>
      </w:r>
      <w:r w:rsidRPr="00103C6F">
        <w:rPr>
          <w:caps/>
        </w:rPr>
        <w:fldChar w:fldCharType="separate"/>
      </w:r>
      <w:hyperlink w:anchor="_Toc182298571" w:history="1">
        <w:r w:rsidR="004F69A7" w:rsidRPr="00103C6F">
          <w:rPr>
            <w:rStyle w:val="Lienhypertexte"/>
            <w:b w:val="0"/>
            <w:bCs w:val="0"/>
            <w:spacing w:val="20"/>
          </w:rPr>
          <w:t>Dédicace</w:t>
        </w:r>
        <w:r w:rsidR="004F69A7" w:rsidRPr="00103C6F">
          <w:rPr>
            <w:webHidden/>
          </w:rPr>
          <w:tab/>
        </w:r>
        <w:r w:rsidR="004F69A7" w:rsidRPr="00103C6F">
          <w:rPr>
            <w:webHidden/>
          </w:rPr>
          <w:fldChar w:fldCharType="begin"/>
        </w:r>
        <w:r w:rsidR="004F69A7" w:rsidRPr="00103C6F">
          <w:rPr>
            <w:webHidden/>
          </w:rPr>
          <w:instrText xml:space="preserve"> PAGEREF _Toc182298571 \h </w:instrText>
        </w:r>
        <w:r w:rsidR="004F69A7" w:rsidRPr="00103C6F">
          <w:rPr>
            <w:webHidden/>
          </w:rPr>
        </w:r>
        <w:r w:rsidR="004F69A7" w:rsidRPr="00103C6F">
          <w:rPr>
            <w:webHidden/>
          </w:rPr>
          <w:fldChar w:fldCharType="separate"/>
        </w:r>
        <w:r w:rsidR="00666FC7">
          <w:rPr>
            <w:webHidden/>
          </w:rPr>
          <w:t>i</w:t>
        </w:r>
        <w:r w:rsidR="004F69A7" w:rsidRPr="00103C6F">
          <w:rPr>
            <w:webHidden/>
          </w:rPr>
          <w:fldChar w:fldCharType="end"/>
        </w:r>
      </w:hyperlink>
    </w:p>
    <w:p w14:paraId="6B6E5E61" w14:textId="1EAA276D" w:rsidR="004F69A7" w:rsidRPr="00103C6F" w:rsidRDefault="00C40DAA" w:rsidP="006B69C7">
      <w:pPr>
        <w:pStyle w:val="TM1"/>
        <w:rPr>
          <w:rFonts w:eastAsiaTheme="minorEastAsia"/>
          <w:kern w:val="0"/>
          <w:lang w:eastAsia="fr-FR"/>
        </w:rPr>
      </w:pPr>
      <w:hyperlink w:anchor="_Toc182298572" w:history="1">
        <w:r w:rsidR="004F69A7" w:rsidRPr="00103C6F">
          <w:rPr>
            <w:rStyle w:val="Lienhypertexte"/>
            <w:b w:val="0"/>
            <w:bCs w:val="0"/>
            <w:spacing w:val="20"/>
          </w:rPr>
          <w:t>Remerciements</w:t>
        </w:r>
        <w:r w:rsidR="004F69A7" w:rsidRPr="00103C6F">
          <w:rPr>
            <w:webHidden/>
          </w:rPr>
          <w:tab/>
        </w:r>
        <w:r w:rsidR="004F69A7" w:rsidRPr="00103C6F">
          <w:rPr>
            <w:webHidden/>
          </w:rPr>
          <w:fldChar w:fldCharType="begin"/>
        </w:r>
        <w:r w:rsidR="004F69A7" w:rsidRPr="00103C6F">
          <w:rPr>
            <w:webHidden/>
          </w:rPr>
          <w:instrText xml:space="preserve"> PAGEREF _Toc182298572 \h </w:instrText>
        </w:r>
        <w:r w:rsidR="004F69A7" w:rsidRPr="00103C6F">
          <w:rPr>
            <w:webHidden/>
          </w:rPr>
        </w:r>
        <w:r w:rsidR="004F69A7" w:rsidRPr="00103C6F">
          <w:rPr>
            <w:webHidden/>
          </w:rPr>
          <w:fldChar w:fldCharType="separate"/>
        </w:r>
        <w:r w:rsidR="00666FC7">
          <w:rPr>
            <w:webHidden/>
          </w:rPr>
          <w:t>ii</w:t>
        </w:r>
        <w:r w:rsidR="004F69A7" w:rsidRPr="00103C6F">
          <w:rPr>
            <w:webHidden/>
          </w:rPr>
          <w:fldChar w:fldCharType="end"/>
        </w:r>
      </w:hyperlink>
    </w:p>
    <w:p w14:paraId="0427AEFF" w14:textId="137FFE99" w:rsidR="004F69A7" w:rsidRPr="00103C6F" w:rsidRDefault="00C40DAA" w:rsidP="006B69C7">
      <w:pPr>
        <w:pStyle w:val="TM1"/>
        <w:rPr>
          <w:rFonts w:eastAsiaTheme="minorEastAsia"/>
          <w:kern w:val="0"/>
          <w:lang w:eastAsia="fr-FR"/>
        </w:rPr>
      </w:pPr>
      <w:hyperlink w:anchor="_Toc182298573" w:history="1">
        <w:r w:rsidR="004F69A7" w:rsidRPr="00103C6F">
          <w:rPr>
            <w:rStyle w:val="Lienhypertexte"/>
            <w:b w:val="0"/>
            <w:bCs w:val="0"/>
          </w:rPr>
          <w:t>Résumé</w:t>
        </w:r>
        <w:r w:rsidR="004F69A7" w:rsidRPr="00103C6F">
          <w:rPr>
            <w:webHidden/>
          </w:rPr>
          <w:tab/>
        </w:r>
        <w:r w:rsidR="004F69A7" w:rsidRPr="00103C6F">
          <w:rPr>
            <w:webHidden/>
          </w:rPr>
          <w:fldChar w:fldCharType="begin"/>
        </w:r>
        <w:r w:rsidR="004F69A7" w:rsidRPr="00103C6F">
          <w:rPr>
            <w:webHidden/>
          </w:rPr>
          <w:instrText xml:space="preserve"> PAGEREF _Toc182298573 \h </w:instrText>
        </w:r>
        <w:r w:rsidR="004F69A7" w:rsidRPr="00103C6F">
          <w:rPr>
            <w:webHidden/>
          </w:rPr>
        </w:r>
        <w:r w:rsidR="004F69A7" w:rsidRPr="00103C6F">
          <w:rPr>
            <w:webHidden/>
          </w:rPr>
          <w:fldChar w:fldCharType="separate"/>
        </w:r>
        <w:r w:rsidR="00666FC7">
          <w:rPr>
            <w:webHidden/>
          </w:rPr>
          <w:t>iii</w:t>
        </w:r>
        <w:r w:rsidR="004F69A7" w:rsidRPr="00103C6F">
          <w:rPr>
            <w:webHidden/>
          </w:rPr>
          <w:fldChar w:fldCharType="end"/>
        </w:r>
      </w:hyperlink>
    </w:p>
    <w:p w14:paraId="01711494" w14:textId="11B15EB4" w:rsidR="004F69A7" w:rsidRPr="00103C6F" w:rsidRDefault="00C40DAA" w:rsidP="006B69C7">
      <w:pPr>
        <w:pStyle w:val="TM1"/>
        <w:rPr>
          <w:rFonts w:eastAsiaTheme="minorEastAsia"/>
          <w:kern w:val="0"/>
          <w:lang w:eastAsia="fr-FR"/>
        </w:rPr>
      </w:pPr>
      <w:hyperlink w:anchor="_Toc182298574" w:history="1">
        <w:r w:rsidR="004F69A7" w:rsidRPr="00103C6F">
          <w:rPr>
            <w:rStyle w:val="Lienhypertexte"/>
            <w:b w:val="0"/>
            <w:bCs w:val="0"/>
            <w:spacing w:val="20"/>
          </w:rPr>
          <w:t>Liste des abréviations</w:t>
        </w:r>
        <w:r w:rsidR="004F69A7" w:rsidRPr="00103C6F">
          <w:rPr>
            <w:webHidden/>
          </w:rPr>
          <w:tab/>
        </w:r>
        <w:r w:rsidR="004F69A7" w:rsidRPr="00103C6F">
          <w:rPr>
            <w:webHidden/>
          </w:rPr>
          <w:fldChar w:fldCharType="begin"/>
        </w:r>
        <w:r w:rsidR="004F69A7" w:rsidRPr="00103C6F">
          <w:rPr>
            <w:webHidden/>
          </w:rPr>
          <w:instrText xml:space="preserve"> PAGEREF _Toc182298574 \h </w:instrText>
        </w:r>
        <w:r w:rsidR="004F69A7" w:rsidRPr="00103C6F">
          <w:rPr>
            <w:webHidden/>
          </w:rPr>
        </w:r>
        <w:r w:rsidR="004F69A7" w:rsidRPr="00103C6F">
          <w:rPr>
            <w:webHidden/>
          </w:rPr>
          <w:fldChar w:fldCharType="separate"/>
        </w:r>
        <w:r w:rsidR="00666FC7">
          <w:rPr>
            <w:webHidden/>
          </w:rPr>
          <w:t>iv</w:t>
        </w:r>
        <w:r w:rsidR="004F69A7" w:rsidRPr="00103C6F">
          <w:rPr>
            <w:webHidden/>
          </w:rPr>
          <w:fldChar w:fldCharType="end"/>
        </w:r>
      </w:hyperlink>
    </w:p>
    <w:p w14:paraId="6A2F1E1F" w14:textId="548A931A" w:rsidR="004F69A7" w:rsidRPr="00103C6F" w:rsidRDefault="00C40DAA" w:rsidP="006B69C7">
      <w:pPr>
        <w:pStyle w:val="TM1"/>
        <w:rPr>
          <w:rFonts w:eastAsiaTheme="minorEastAsia"/>
          <w:kern w:val="0"/>
          <w:lang w:eastAsia="fr-FR"/>
        </w:rPr>
      </w:pPr>
      <w:hyperlink w:anchor="_Toc182298575" w:history="1">
        <w:r w:rsidR="004F69A7" w:rsidRPr="00103C6F">
          <w:rPr>
            <w:rStyle w:val="Lienhypertexte"/>
            <w:b w:val="0"/>
            <w:bCs w:val="0"/>
            <w:spacing w:val="40"/>
          </w:rPr>
          <w:t>Sommaire</w:t>
        </w:r>
        <w:r w:rsidR="004F69A7" w:rsidRPr="00103C6F">
          <w:rPr>
            <w:webHidden/>
          </w:rPr>
          <w:tab/>
        </w:r>
        <w:r w:rsidR="004F69A7" w:rsidRPr="00103C6F">
          <w:rPr>
            <w:webHidden/>
          </w:rPr>
          <w:fldChar w:fldCharType="begin"/>
        </w:r>
        <w:r w:rsidR="004F69A7" w:rsidRPr="00103C6F">
          <w:rPr>
            <w:webHidden/>
          </w:rPr>
          <w:instrText xml:space="preserve"> PAGEREF _Toc182298575 \h </w:instrText>
        </w:r>
        <w:r w:rsidR="004F69A7" w:rsidRPr="00103C6F">
          <w:rPr>
            <w:webHidden/>
          </w:rPr>
        </w:r>
        <w:r w:rsidR="004F69A7" w:rsidRPr="00103C6F">
          <w:rPr>
            <w:webHidden/>
          </w:rPr>
          <w:fldChar w:fldCharType="separate"/>
        </w:r>
        <w:r w:rsidR="00666FC7">
          <w:rPr>
            <w:webHidden/>
          </w:rPr>
          <w:t>v</w:t>
        </w:r>
        <w:r w:rsidR="004F69A7" w:rsidRPr="00103C6F">
          <w:rPr>
            <w:webHidden/>
          </w:rPr>
          <w:fldChar w:fldCharType="end"/>
        </w:r>
      </w:hyperlink>
    </w:p>
    <w:p w14:paraId="2CA3797C" w14:textId="47B37D83" w:rsidR="004F69A7" w:rsidRPr="00103C6F" w:rsidRDefault="00C40DAA" w:rsidP="006B69C7">
      <w:pPr>
        <w:pStyle w:val="TM1"/>
        <w:rPr>
          <w:rFonts w:eastAsiaTheme="minorEastAsia"/>
          <w:kern w:val="0"/>
          <w:lang w:eastAsia="fr-FR"/>
        </w:rPr>
      </w:pPr>
      <w:hyperlink w:anchor="_Toc182298576" w:history="1">
        <w:r w:rsidR="004F69A7" w:rsidRPr="00103C6F">
          <w:rPr>
            <w:rStyle w:val="Lienhypertexte"/>
            <w:spacing w:val="40"/>
          </w:rPr>
          <w:t>Introduction générale</w:t>
        </w:r>
        <w:r w:rsidR="004F69A7" w:rsidRPr="00103C6F">
          <w:rPr>
            <w:webHidden/>
          </w:rPr>
          <w:tab/>
        </w:r>
        <w:r w:rsidR="004F69A7" w:rsidRPr="00103C6F">
          <w:rPr>
            <w:webHidden/>
          </w:rPr>
          <w:fldChar w:fldCharType="begin"/>
        </w:r>
        <w:r w:rsidR="004F69A7" w:rsidRPr="00103C6F">
          <w:rPr>
            <w:webHidden/>
          </w:rPr>
          <w:instrText xml:space="preserve"> PAGEREF _Toc182298576 \h </w:instrText>
        </w:r>
        <w:r w:rsidR="004F69A7" w:rsidRPr="00103C6F">
          <w:rPr>
            <w:webHidden/>
          </w:rPr>
        </w:r>
        <w:r w:rsidR="004F69A7" w:rsidRPr="00103C6F">
          <w:rPr>
            <w:webHidden/>
          </w:rPr>
          <w:fldChar w:fldCharType="separate"/>
        </w:r>
        <w:r w:rsidR="00666FC7">
          <w:rPr>
            <w:webHidden/>
          </w:rPr>
          <w:t>1</w:t>
        </w:r>
        <w:r w:rsidR="004F69A7" w:rsidRPr="00103C6F">
          <w:rPr>
            <w:webHidden/>
          </w:rPr>
          <w:fldChar w:fldCharType="end"/>
        </w:r>
      </w:hyperlink>
    </w:p>
    <w:p w14:paraId="16785068" w14:textId="5AAFBE24" w:rsidR="004F69A7" w:rsidRPr="00103C6F" w:rsidRDefault="00C40DAA" w:rsidP="009C2D83">
      <w:pPr>
        <w:pStyle w:val="TM2"/>
        <w:keepNext w:val="0"/>
        <w:keepLines w:val="0"/>
        <w:widowControl w:val="0"/>
        <w:rPr>
          <w:rFonts w:eastAsiaTheme="minorEastAsia"/>
          <w:kern w:val="0"/>
          <w:lang w:eastAsia="fr-FR"/>
        </w:rPr>
      </w:pPr>
      <w:hyperlink w:anchor="_Toc182298577" w:history="1">
        <w:r w:rsidR="004F69A7" w:rsidRPr="00103C6F">
          <w:rPr>
            <w:rStyle w:val="Lienhypertexte"/>
            <w:b w:val="0"/>
            <w:bCs w:val="0"/>
          </w:rPr>
          <w:t>1- Contexte de la recherche</w:t>
        </w:r>
        <w:r w:rsidR="004F69A7" w:rsidRPr="00103C6F">
          <w:rPr>
            <w:webHidden/>
          </w:rPr>
          <w:tab/>
        </w:r>
        <w:r w:rsidR="004F69A7" w:rsidRPr="00103C6F">
          <w:rPr>
            <w:webHidden/>
          </w:rPr>
          <w:fldChar w:fldCharType="begin"/>
        </w:r>
        <w:r w:rsidR="004F69A7" w:rsidRPr="00103C6F">
          <w:rPr>
            <w:webHidden/>
          </w:rPr>
          <w:instrText xml:space="preserve"> PAGEREF _Toc182298577 \h </w:instrText>
        </w:r>
        <w:r w:rsidR="004F69A7" w:rsidRPr="00103C6F">
          <w:rPr>
            <w:webHidden/>
          </w:rPr>
        </w:r>
        <w:r w:rsidR="004F69A7" w:rsidRPr="00103C6F">
          <w:rPr>
            <w:webHidden/>
          </w:rPr>
          <w:fldChar w:fldCharType="separate"/>
        </w:r>
        <w:r w:rsidR="00666FC7">
          <w:rPr>
            <w:webHidden/>
          </w:rPr>
          <w:t>2</w:t>
        </w:r>
        <w:r w:rsidR="004F69A7" w:rsidRPr="00103C6F">
          <w:rPr>
            <w:webHidden/>
          </w:rPr>
          <w:fldChar w:fldCharType="end"/>
        </w:r>
      </w:hyperlink>
    </w:p>
    <w:p w14:paraId="20B16EC3" w14:textId="5BC81739" w:rsidR="004F69A7" w:rsidRPr="00103C6F" w:rsidRDefault="00C40DAA" w:rsidP="009C2D83">
      <w:pPr>
        <w:pStyle w:val="TM2"/>
        <w:keepNext w:val="0"/>
        <w:keepLines w:val="0"/>
        <w:widowControl w:val="0"/>
        <w:rPr>
          <w:rFonts w:eastAsiaTheme="minorEastAsia"/>
          <w:kern w:val="0"/>
          <w:lang w:eastAsia="fr-FR"/>
        </w:rPr>
      </w:pPr>
      <w:hyperlink w:anchor="_Toc182298578" w:history="1">
        <w:r w:rsidR="004F69A7" w:rsidRPr="00103C6F">
          <w:rPr>
            <w:rStyle w:val="Lienhypertexte"/>
            <w:b w:val="0"/>
            <w:bCs w:val="0"/>
          </w:rPr>
          <w:t>2- Objet d’étude</w:t>
        </w:r>
        <w:r w:rsidR="004F69A7" w:rsidRPr="00103C6F">
          <w:rPr>
            <w:webHidden/>
          </w:rPr>
          <w:tab/>
        </w:r>
        <w:r w:rsidR="004F69A7" w:rsidRPr="00103C6F">
          <w:rPr>
            <w:webHidden/>
          </w:rPr>
          <w:fldChar w:fldCharType="begin"/>
        </w:r>
        <w:r w:rsidR="004F69A7" w:rsidRPr="00103C6F">
          <w:rPr>
            <w:webHidden/>
          </w:rPr>
          <w:instrText xml:space="preserve"> PAGEREF _Toc182298578 \h </w:instrText>
        </w:r>
        <w:r w:rsidR="004F69A7" w:rsidRPr="00103C6F">
          <w:rPr>
            <w:webHidden/>
          </w:rPr>
        </w:r>
        <w:r w:rsidR="004F69A7" w:rsidRPr="00103C6F">
          <w:rPr>
            <w:webHidden/>
          </w:rPr>
          <w:fldChar w:fldCharType="separate"/>
        </w:r>
        <w:r w:rsidR="00666FC7">
          <w:rPr>
            <w:webHidden/>
          </w:rPr>
          <w:t>4</w:t>
        </w:r>
        <w:r w:rsidR="004F69A7" w:rsidRPr="00103C6F">
          <w:rPr>
            <w:webHidden/>
          </w:rPr>
          <w:fldChar w:fldCharType="end"/>
        </w:r>
      </w:hyperlink>
    </w:p>
    <w:p w14:paraId="51F30588" w14:textId="11B74551" w:rsidR="004F69A7" w:rsidRPr="00103C6F" w:rsidRDefault="00C40DAA" w:rsidP="009C2D83">
      <w:pPr>
        <w:pStyle w:val="TM2"/>
        <w:keepNext w:val="0"/>
        <w:keepLines w:val="0"/>
        <w:widowControl w:val="0"/>
        <w:rPr>
          <w:rFonts w:eastAsiaTheme="minorEastAsia"/>
          <w:kern w:val="0"/>
          <w:lang w:eastAsia="fr-FR"/>
        </w:rPr>
      </w:pPr>
      <w:hyperlink w:anchor="_Toc182298579" w:history="1">
        <w:r w:rsidR="004F69A7" w:rsidRPr="00103C6F">
          <w:rPr>
            <w:rStyle w:val="Lienhypertexte"/>
            <w:b w:val="0"/>
            <w:bCs w:val="0"/>
          </w:rPr>
          <w:t>3- Etat de l’art</w:t>
        </w:r>
        <w:r w:rsidR="004F69A7" w:rsidRPr="00103C6F">
          <w:rPr>
            <w:webHidden/>
          </w:rPr>
          <w:tab/>
        </w:r>
        <w:r w:rsidR="004F69A7" w:rsidRPr="00103C6F">
          <w:rPr>
            <w:webHidden/>
          </w:rPr>
          <w:fldChar w:fldCharType="begin"/>
        </w:r>
        <w:r w:rsidR="004F69A7" w:rsidRPr="00103C6F">
          <w:rPr>
            <w:webHidden/>
          </w:rPr>
          <w:instrText xml:space="preserve"> PAGEREF _Toc182298579 \h </w:instrText>
        </w:r>
        <w:r w:rsidR="004F69A7" w:rsidRPr="00103C6F">
          <w:rPr>
            <w:webHidden/>
          </w:rPr>
        </w:r>
        <w:r w:rsidR="004F69A7" w:rsidRPr="00103C6F">
          <w:rPr>
            <w:webHidden/>
          </w:rPr>
          <w:fldChar w:fldCharType="separate"/>
        </w:r>
        <w:r w:rsidR="00666FC7">
          <w:rPr>
            <w:webHidden/>
          </w:rPr>
          <w:t>5</w:t>
        </w:r>
        <w:r w:rsidR="004F69A7" w:rsidRPr="00103C6F">
          <w:rPr>
            <w:webHidden/>
          </w:rPr>
          <w:fldChar w:fldCharType="end"/>
        </w:r>
      </w:hyperlink>
    </w:p>
    <w:p w14:paraId="73281250" w14:textId="57B2195A" w:rsidR="004F69A7" w:rsidRPr="00103C6F" w:rsidRDefault="00C40DAA" w:rsidP="009C2D83">
      <w:pPr>
        <w:pStyle w:val="TM2"/>
        <w:keepNext w:val="0"/>
        <w:keepLines w:val="0"/>
        <w:widowControl w:val="0"/>
        <w:rPr>
          <w:rFonts w:eastAsiaTheme="minorEastAsia"/>
          <w:kern w:val="0"/>
          <w:lang w:eastAsia="fr-FR"/>
        </w:rPr>
      </w:pPr>
      <w:hyperlink w:anchor="_Toc182298580" w:history="1">
        <w:r w:rsidR="004F69A7" w:rsidRPr="00103C6F">
          <w:rPr>
            <w:rStyle w:val="Lienhypertexte"/>
            <w:b w:val="0"/>
            <w:bCs w:val="0"/>
            <w:kern w:val="2"/>
          </w:rPr>
          <w:t>4- Questionnement central</w:t>
        </w:r>
        <w:r w:rsidR="004F69A7" w:rsidRPr="00103C6F">
          <w:rPr>
            <w:webHidden/>
          </w:rPr>
          <w:tab/>
        </w:r>
        <w:r w:rsidR="004F69A7" w:rsidRPr="00103C6F">
          <w:rPr>
            <w:webHidden/>
          </w:rPr>
          <w:fldChar w:fldCharType="begin"/>
        </w:r>
        <w:r w:rsidR="004F69A7" w:rsidRPr="00103C6F">
          <w:rPr>
            <w:webHidden/>
          </w:rPr>
          <w:instrText xml:space="preserve"> PAGEREF _Toc182298580 \h </w:instrText>
        </w:r>
        <w:r w:rsidR="004F69A7" w:rsidRPr="00103C6F">
          <w:rPr>
            <w:webHidden/>
          </w:rPr>
        </w:r>
        <w:r w:rsidR="004F69A7" w:rsidRPr="00103C6F">
          <w:rPr>
            <w:webHidden/>
          </w:rPr>
          <w:fldChar w:fldCharType="separate"/>
        </w:r>
        <w:r w:rsidR="00666FC7">
          <w:rPr>
            <w:webHidden/>
          </w:rPr>
          <w:t>7</w:t>
        </w:r>
        <w:r w:rsidR="004F69A7" w:rsidRPr="00103C6F">
          <w:rPr>
            <w:webHidden/>
          </w:rPr>
          <w:fldChar w:fldCharType="end"/>
        </w:r>
      </w:hyperlink>
    </w:p>
    <w:p w14:paraId="63537415" w14:textId="5CF1BF39" w:rsidR="004F69A7" w:rsidRPr="00103C6F" w:rsidRDefault="00C40DAA" w:rsidP="009C2D83">
      <w:pPr>
        <w:pStyle w:val="TM2"/>
        <w:keepNext w:val="0"/>
        <w:keepLines w:val="0"/>
        <w:widowControl w:val="0"/>
        <w:rPr>
          <w:rFonts w:eastAsiaTheme="minorEastAsia"/>
          <w:kern w:val="0"/>
          <w:lang w:eastAsia="fr-FR"/>
        </w:rPr>
      </w:pPr>
      <w:hyperlink w:anchor="_Toc182298581" w:history="1">
        <w:r w:rsidR="004F69A7" w:rsidRPr="00103C6F">
          <w:rPr>
            <w:rStyle w:val="Lienhypertexte"/>
            <w:b w:val="0"/>
            <w:bCs w:val="0"/>
            <w:kern w:val="2"/>
          </w:rPr>
          <w:t>5- Hypothèses de recherche</w:t>
        </w:r>
        <w:r w:rsidR="004F69A7" w:rsidRPr="00103C6F">
          <w:rPr>
            <w:webHidden/>
          </w:rPr>
          <w:tab/>
        </w:r>
        <w:r w:rsidR="004F69A7" w:rsidRPr="00103C6F">
          <w:rPr>
            <w:webHidden/>
          </w:rPr>
          <w:fldChar w:fldCharType="begin"/>
        </w:r>
        <w:r w:rsidR="004F69A7" w:rsidRPr="00103C6F">
          <w:rPr>
            <w:webHidden/>
          </w:rPr>
          <w:instrText xml:space="preserve"> PAGEREF _Toc182298581 \h </w:instrText>
        </w:r>
        <w:r w:rsidR="004F69A7" w:rsidRPr="00103C6F">
          <w:rPr>
            <w:webHidden/>
          </w:rPr>
        </w:r>
        <w:r w:rsidR="004F69A7" w:rsidRPr="00103C6F">
          <w:rPr>
            <w:webHidden/>
          </w:rPr>
          <w:fldChar w:fldCharType="separate"/>
        </w:r>
        <w:r w:rsidR="00666FC7">
          <w:rPr>
            <w:webHidden/>
          </w:rPr>
          <w:t>7</w:t>
        </w:r>
        <w:r w:rsidR="004F69A7" w:rsidRPr="00103C6F">
          <w:rPr>
            <w:webHidden/>
          </w:rPr>
          <w:fldChar w:fldCharType="end"/>
        </w:r>
      </w:hyperlink>
    </w:p>
    <w:p w14:paraId="13992E8F" w14:textId="13CD74D2" w:rsidR="004F69A7" w:rsidRPr="00103C6F" w:rsidRDefault="00C40DAA" w:rsidP="009C2D83">
      <w:pPr>
        <w:pStyle w:val="TM2"/>
        <w:keepNext w:val="0"/>
        <w:keepLines w:val="0"/>
        <w:widowControl w:val="0"/>
        <w:rPr>
          <w:rFonts w:eastAsiaTheme="minorEastAsia"/>
          <w:kern w:val="0"/>
          <w:lang w:eastAsia="fr-FR"/>
        </w:rPr>
      </w:pPr>
      <w:hyperlink w:anchor="_Toc182298582" w:history="1">
        <w:r w:rsidR="004F69A7" w:rsidRPr="00103C6F">
          <w:rPr>
            <w:rStyle w:val="Lienhypertexte"/>
            <w:b w:val="0"/>
            <w:bCs w:val="0"/>
            <w:kern w:val="2"/>
          </w:rPr>
          <w:t>6- Méthodologie de recherche</w:t>
        </w:r>
        <w:r w:rsidR="004F69A7" w:rsidRPr="00103C6F">
          <w:rPr>
            <w:webHidden/>
          </w:rPr>
          <w:tab/>
        </w:r>
        <w:r w:rsidR="004F69A7" w:rsidRPr="00103C6F">
          <w:rPr>
            <w:webHidden/>
          </w:rPr>
          <w:fldChar w:fldCharType="begin"/>
        </w:r>
        <w:r w:rsidR="004F69A7" w:rsidRPr="00103C6F">
          <w:rPr>
            <w:webHidden/>
          </w:rPr>
          <w:instrText xml:space="preserve"> PAGEREF _Toc182298582 \h </w:instrText>
        </w:r>
        <w:r w:rsidR="004F69A7" w:rsidRPr="00103C6F">
          <w:rPr>
            <w:webHidden/>
          </w:rPr>
        </w:r>
        <w:r w:rsidR="004F69A7" w:rsidRPr="00103C6F">
          <w:rPr>
            <w:webHidden/>
          </w:rPr>
          <w:fldChar w:fldCharType="separate"/>
        </w:r>
        <w:r w:rsidR="00666FC7">
          <w:rPr>
            <w:webHidden/>
          </w:rPr>
          <w:t>7</w:t>
        </w:r>
        <w:r w:rsidR="004F69A7" w:rsidRPr="00103C6F">
          <w:rPr>
            <w:webHidden/>
          </w:rPr>
          <w:fldChar w:fldCharType="end"/>
        </w:r>
      </w:hyperlink>
    </w:p>
    <w:p w14:paraId="769BF11F" w14:textId="4E021598" w:rsidR="004F69A7" w:rsidRPr="00103C6F" w:rsidRDefault="00C40DAA" w:rsidP="009C2D83">
      <w:pPr>
        <w:pStyle w:val="TM2"/>
        <w:keepNext w:val="0"/>
        <w:keepLines w:val="0"/>
        <w:widowControl w:val="0"/>
        <w:rPr>
          <w:rFonts w:eastAsiaTheme="minorEastAsia"/>
          <w:kern w:val="0"/>
          <w:lang w:eastAsia="fr-FR"/>
        </w:rPr>
      </w:pPr>
      <w:hyperlink w:anchor="_Toc182298583" w:history="1">
        <w:r w:rsidR="004F69A7" w:rsidRPr="00103C6F">
          <w:rPr>
            <w:rStyle w:val="Lienhypertexte"/>
            <w:b w:val="0"/>
            <w:bCs w:val="0"/>
            <w:kern w:val="2"/>
          </w:rPr>
          <w:t>7- Structure de la thèse</w:t>
        </w:r>
        <w:r w:rsidR="004F69A7" w:rsidRPr="00103C6F">
          <w:rPr>
            <w:webHidden/>
          </w:rPr>
          <w:tab/>
        </w:r>
        <w:r w:rsidR="004F69A7" w:rsidRPr="00103C6F">
          <w:rPr>
            <w:webHidden/>
          </w:rPr>
          <w:fldChar w:fldCharType="begin"/>
        </w:r>
        <w:r w:rsidR="004F69A7" w:rsidRPr="00103C6F">
          <w:rPr>
            <w:webHidden/>
          </w:rPr>
          <w:instrText xml:space="preserve"> PAGEREF _Toc182298583 \h </w:instrText>
        </w:r>
        <w:r w:rsidR="004F69A7" w:rsidRPr="00103C6F">
          <w:rPr>
            <w:webHidden/>
          </w:rPr>
        </w:r>
        <w:r w:rsidR="004F69A7" w:rsidRPr="00103C6F">
          <w:rPr>
            <w:webHidden/>
          </w:rPr>
          <w:fldChar w:fldCharType="separate"/>
        </w:r>
        <w:r w:rsidR="00666FC7">
          <w:rPr>
            <w:webHidden/>
          </w:rPr>
          <w:t>8</w:t>
        </w:r>
        <w:r w:rsidR="004F69A7" w:rsidRPr="00103C6F">
          <w:rPr>
            <w:webHidden/>
          </w:rPr>
          <w:fldChar w:fldCharType="end"/>
        </w:r>
      </w:hyperlink>
    </w:p>
    <w:p w14:paraId="577E35E9" w14:textId="3357FEA6" w:rsidR="004F69A7" w:rsidRPr="00103C6F" w:rsidRDefault="00C40DAA" w:rsidP="006B69C7">
      <w:pPr>
        <w:pStyle w:val="TM1"/>
        <w:rPr>
          <w:rFonts w:eastAsiaTheme="minorEastAsia"/>
          <w:kern w:val="0"/>
          <w:lang w:eastAsia="fr-FR"/>
        </w:rPr>
      </w:pPr>
      <w:hyperlink w:anchor="_Toc182298584" w:history="1">
        <w:r w:rsidR="004F69A7" w:rsidRPr="00103C6F">
          <w:rPr>
            <w:rStyle w:val="Lienhypertexte"/>
            <w:spacing w:val="20"/>
          </w:rPr>
          <w:t>Chapitre I- Fondements de la finance islamique</w:t>
        </w:r>
        <w:r w:rsidR="004F69A7" w:rsidRPr="00103C6F">
          <w:rPr>
            <w:webHidden/>
          </w:rPr>
          <w:tab/>
        </w:r>
        <w:r w:rsidR="004F69A7" w:rsidRPr="00103C6F">
          <w:rPr>
            <w:webHidden/>
          </w:rPr>
          <w:fldChar w:fldCharType="begin"/>
        </w:r>
        <w:r w:rsidR="004F69A7" w:rsidRPr="00103C6F">
          <w:rPr>
            <w:webHidden/>
          </w:rPr>
          <w:instrText xml:space="preserve"> PAGEREF _Toc182298584 \h </w:instrText>
        </w:r>
        <w:r w:rsidR="004F69A7" w:rsidRPr="00103C6F">
          <w:rPr>
            <w:webHidden/>
          </w:rPr>
        </w:r>
        <w:r w:rsidR="004F69A7" w:rsidRPr="00103C6F">
          <w:rPr>
            <w:webHidden/>
          </w:rPr>
          <w:fldChar w:fldCharType="separate"/>
        </w:r>
        <w:r w:rsidR="00666FC7">
          <w:rPr>
            <w:webHidden/>
          </w:rPr>
          <w:t>10</w:t>
        </w:r>
        <w:r w:rsidR="004F69A7" w:rsidRPr="00103C6F">
          <w:rPr>
            <w:webHidden/>
          </w:rPr>
          <w:fldChar w:fldCharType="end"/>
        </w:r>
      </w:hyperlink>
    </w:p>
    <w:p w14:paraId="1FE70B08" w14:textId="5B32EF46" w:rsidR="004F69A7" w:rsidRPr="00103C6F" w:rsidRDefault="00C40DAA" w:rsidP="009C2D83">
      <w:pPr>
        <w:pStyle w:val="TM2"/>
        <w:keepNext w:val="0"/>
        <w:keepLines w:val="0"/>
        <w:widowControl w:val="0"/>
        <w:rPr>
          <w:rFonts w:eastAsiaTheme="minorEastAsia"/>
          <w:kern w:val="0"/>
          <w:lang w:eastAsia="fr-FR"/>
        </w:rPr>
      </w:pPr>
      <w:hyperlink w:anchor="_Toc182298585" w:history="1">
        <w:r w:rsidR="004F69A7" w:rsidRPr="00103C6F">
          <w:rPr>
            <w:rStyle w:val="Lienhypertexte"/>
          </w:rPr>
          <w:t>Section I- Fondements et principes de la finance islamique</w:t>
        </w:r>
        <w:r w:rsidR="004F69A7" w:rsidRPr="00103C6F">
          <w:rPr>
            <w:webHidden/>
          </w:rPr>
          <w:tab/>
        </w:r>
        <w:r w:rsidR="004F69A7" w:rsidRPr="00103C6F">
          <w:rPr>
            <w:webHidden/>
          </w:rPr>
          <w:fldChar w:fldCharType="begin"/>
        </w:r>
        <w:r w:rsidR="004F69A7" w:rsidRPr="00103C6F">
          <w:rPr>
            <w:webHidden/>
          </w:rPr>
          <w:instrText xml:space="preserve"> PAGEREF _Toc182298585 \h </w:instrText>
        </w:r>
        <w:r w:rsidR="004F69A7" w:rsidRPr="00103C6F">
          <w:rPr>
            <w:webHidden/>
          </w:rPr>
        </w:r>
        <w:r w:rsidR="004F69A7" w:rsidRPr="00103C6F">
          <w:rPr>
            <w:webHidden/>
          </w:rPr>
          <w:fldChar w:fldCharType="separate"/>
        </w:r>
        <w:r w:rsidR="00666FC7">
          <w:rPr>
            <w:webHidden/>
          </w:rPr>
          <w:t>10</w:t>
        </w:r>
        <w:r w:rsidR="004F69A7" w:rsidRPr="00103C6F">
          <w:rPr>
            <w:webHidden/>
          </w:rPr>
          <w:fldChar w:fldCharType="end"/>
        </w:r>
      </w:hyperlink>
    </w:p>
    <w:p w14:paraId="7D9EEE25" w14:textId="72C3AA04" w:rsidR="004F69A7" w:rsidRPr="00103C6F" w:rsidRDefault="00C40DAA" w:rsidP="009C2D83">
      <w:pPr>
        <w:pStyle w:val="TM3"/>
        <w:keepNext w:val="0"/>
        <w:keepLines w:val="0"/>
        <w:widowControl w:val="0"/>
        <w:rPr>
          <w:rFonts w:eastAsiaTheme="minorEastAsia"/>
          <w:lang w:eastAsia="fr-FR"/>
        </w:rPr>
      </w:pPr>
      <w:hyperlink w:anchor="_Toc182298586" w:history="1">
        <w:r w:rsidR="004F69A7" w:rsidRPr="00103C6F">
          <w:rPr>
            <w:rStyle w:val="Lienhypertexte"/>
          </w:rPr>
          <w:t>1.1- Sources du droit musulman</w:t>
        </w:r>
        <w:r w:rsidR="004F69A7" w:rsidRPr="00103C6F">
          <w:rPr>
            <w:webHidden/>
          </w:rPr>
          <w:tab/>
        </w:r>
        <w:r w:rsidR="004F69A7" w:rsidRPr="00103C6F">
          <w:rPr>
            <w:webHidden/>
          </w:rPr>
          <w:fldChar w:fldCharType="begin"/>
        </w:r>
        <w:r w:rsidR="004F69A7" w:rsidRPr="00103C6F">
          <w:rPr>
            <w:webHidden/>
          </w:rPr>
          <w:instrText xml:space="preserve"> PAGEREF _Toc182298586 \h </w:instrText>
        </w:r>
        <w:r w:rsidR="004F69A7" w:rsidRPr="00103C6F">
          <w:rPr>
            <w:webHidden/>
          </w:rPr>
        </w:r>
        <w:r w:rsidR="004F69A7" w:rsidRPr="00103C6F">
          <w:rPr>
            <w:webHidden/>
          </w:rPr>
          <w:fldChar w:fldCharType="separate"/>
        </w:r>
        <w:r w:rsidR="00666FC7">
          <w:rPr>
            <w:webHidden/>
          </w:rPr>
          <w:t>10</w:t>
        </w:r>
        <w:r w:rsidR="004F69A7" w:rsidRPr="00103C6F">
          <w:rPr>
            <w:webHidden/>
          </w:rPr>
          <w:fldChar w:fldCharType="end"/>
        </w:r>
      </w:hyperlink>
    </w:p>
    <w:p w14:paraId="55230324" w14:textId="58D83A6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587" w:history="1">
        <w:r w:rsidR="004F69A7" w:rsidRPr="00103C6F">
          <w:rPr>
            <w:rStyle w:val="Lienhypertexte"/>
            <w:rFonts w:asciiTheme="majorBidi" w:hAnsiTheme="majorBidi" w:cstheme="majorBidi"/>
            <w:noProof/>
            <w:sz w:val="24"/>
            <w:szCs w:val="24"/>
          </w:rPr>
          <w:t>1.1.1- Coran : le livre sacré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_Toc182298587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w:t>
        </w:r>
        <w:r w:rsidR="004F69A7" w:rsidRPr="00103C6F">
          <w:rPr>
            <w:rFonts w:asciiTheme="majorBidi" w:hAnsiTheme="majorBidi" w:cstheme="majorBidi"/>
            <w:noProof/>
            <w:webHidden/>
            <w:sz w:val="24"/>
            <w:szCs w:val="24"/>
          </w:rPr>
          <w:fldChar w:fldCharType="end"/>
        </w:r>
      </w:hyperlink>
    </w:p>
    <w:p w14:paraId="3B3C661A" w14:textId="4ABAB5F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588" w:history="1">
        <w:r w:rsidR="004F69A7" w:rsidRPr="00103C6F">
          <w:rPr>
            <w:rStyle w:val="Lienhypertexte"/>
            <w:rFonts w:asciiTheme="majorBidi" w:hAnsiTheme="majorBidi" w:cstheme="majorBidi"/>
            <w:noProof/>
            <w:sz w:val="24"/>
            <w:szCs w:val="24"/>
          </w:rPr>
          <w:t>1.1.2- Sunnah</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_Toc182298588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w:t>
        </w:r>
        <w:r w:rsidR="004F69A7" w:rsidRPr="00103C6F">
          <w:rPr>
            <w:rFonts w:asciiTheme="majorBidi" w:hAnsiTheme="majorBidi" w:cstheme="majorBidi"/>
            <w:noProof/>
            <w:webHidden/>
            <w:sz w:val="24"/>
            <w:szCs w:val="24"/>
          </w:rPr>
          <w:fldChar w:fldCharType="end"/>
        </w:r>
      </w:hyperlink>
    </w:p>
    <w:p w14:paraId="1725CE1D" w14:textId="1DBB643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589" w:history="1">
        <w:r w:rsidR="004F69A7" w:rsidRPr="00103C6F">
          <w:rPr>
            <w:rStyle w:val="Lienhypertexte"/>
            <w:rFonts w:asciiTheme="majorBidi" w:hAnsiTheme="majorBidi" w:cstheme="majorBidi"/>
            <w:noProof/>
            <w:sz w:val="24"/>
            <w:szCs w:val="24"/>
          </w:rPr>
          <w:t>1.1.3- Al-ijma’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_Toc182298589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w:t>
        </w:r>
        <w:r w:rsidR="004F69A7" w:rsidRPr="00103C6F">
          <w:rPr>
            <w:rFonts w:asciiTheme="majorBidi" w:hAnsiTheme="majorBidi" w:cstheme="majorBidi"/>
            <w:noProof/>
            <w:webHidden/>
            <w:sz w:val="24"/>
            <w:szCs w:val="24"/>
          </w:rPr>
          <w:fldChar w:fldCharType="end"/>
        </w:r>
      </w:hyperlink>
    </w:p>
    <w:p w14:paraId="2060D9C5" w14:textId="677BD528"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590" w:history="1">
        <w:r w:rsidR="004F69A7" w:rsidRPr="00103C6F">
          <w:rPr>
            <w:rStyle w:val="Lienhypertexte"/>
            <w:rFonts w:asciiTheme="majorBidi" w:hAnsiTheme="majorBidi" w:cstheme="majorBidi"/>
            <w:noProof/>
            <w:sz w:val="24"/>
            <w:szCs w:val="24"/>
          </w:rPr>
          <w:t>1.1.4- Al-qiyas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_Toc182298590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w:t>
        </w:r>
        <w:r w:rsidR="004F69A7" w:rsidRPr="00103C6F">
          <w:rPr>
            <w:rFonts w:asciiTheme="majorBidi" w:hAnsiTheme="majorBidi" w:cstheme="majorBidi"/>
            <w:noProof/>
            <w:webHidden/>
            <w:sz w:val="24"/>
            <w:szCs w:val="24"/>
          </w:rPr>
          <w:fldChar w:fldCharType="end"/>
        </w:r>
      </w:hyperlink>
    </w:p>
    <w:p w14:paraId="3E8F2CFD" w14:textId="56AC6A18" w:rsidR="004F69A7" w:rsidRPr="00103C6F" w:rsidRDefault="00C40DAA" w:rsidP="009C2D83">
      <w:pPr>
        <w:pStyle w:val="TM3"/>
        <w:keepNext w:val="0"/>
        <w:keepLines w:val="0"/>
        <w:widowControl w:val="0"/>
        <w:rPr>
          <w:rFonts w:eastAsiaTheme="minorEastAsia"/>
          <w:lang w:eastAsia="fr-FR"/>
        </w:rPr>
      </w:pPr>
      <w:hyperlink w:anchor="_Toc182298591" w:history="1">
        <w:r w:rsidR="004F69A7" w:rsidRPr="00103C6F">
          <w:rPr>
            <w:rStyle w:val="Lienhypertexte"/>
            <w:kern w:val="24"/>
          </w:rPr>
          <w:t>1.2- Théorie économique islamique</w:t>
        </w:r>
        <w:r w:rsidR="004F69A7" w:rsidRPr="00103C6F">
          <w:rPr>
            <w:webHidden/>
          </w:rPr>
          <w:tab/>
        </w:r>
        <w:r w:rsidR="004F69A7" w:rsidRPr="00103C6F">
          <w:rPr>
            <w:webHidden/>
          </w:rPr>
          <w:fldChar w:fldCharType="begin"/>
        </w:r>
        <w:r w:rsidR="004F69A7" w:rsidRPr="00103C6F">
          <w:rPr>
            <w:webHidden/>
          </w:rPr>
          <w:instrText xml:space="preserve"> PAGEREF _Toc182298591 \h </w:instrText>
        </w:r>
        <w:r w:rsidR="004F69A7" w:rsidRPr="00103C6F">
          <w:rPr>
            <w:webHidden/>
          </w:rPr>
        </w:r>
        <w:r w:rsidR="004F69A7" w:rsidRPr="00103C6F">
          <w:rPr>
            <w:webHidden/>
          </w:rPr>
          <w:fldChar w:fldCharType="separate"/>
        </w:r>
        <w:r w:rsidR="00666FC7">
          <w:rPr>
            <w:webHidden/>
          </w:rPr>
          <w:t>12</w:t>
        </w:r>
        <w:r w:rsidR="004F69A7" w:rsidRPr="00103C6F">
          <w:rPr>
            <w:webHidden/>
          </w:rPr>
          <w:fldChar w:fldCharType="end"/>
        </w:r>
      </w:hyperlink>
    </w:p>
    <w:p w14:paraId="15BDB842" w14:textId="4F8359CB"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592" w:history="1">
        <w:r w:rsidR="004F69A7" w:rsidRPr="00103C6F">
          <w:rPr>
            <w:rStyle w:val="Lienhypertexte"/>
            <w:rFonts w:asciiTheme="majorBidi" w:hAnsiTheme="majorBidi" w:cstheme="majorBidi"/>
            <w:noProof/>
            <w:kern w:val="24"/>
            <w:sz w:val="24"/>
            <w:szCs w:val="24"/>
          </w:rPr>
          <w:t>1.2.1- Définition de l’économie islamique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_Toc182298592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w:t>
        </w:r>
        <w:r w:rsidR="004F69A7" w:rsidRPr="00103C6F">
          <w:rPr>
            <w:rFonts w:asciiTheme="majorBidi" w:hAnsiTheme="majorBidi" w:cstheme="majorBidi"/>
            <w:noProof/>
            <w:webHidden/>
            <w:sz w:val="24"/>
            <w:szCs w:val="24"/>
          </w:rPr>
          <w:fldChar w:fldCharType="end"/>
        </w:r>
      </w:hyperlink>
    </w:p>
    <w:p w14:paraId="2A52875B" w14:textId="32EC89C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593" w:history="1">
        <w:r w:rsidR="004F69A7" w:rsidRPr="00103C6F">
          <w:rPr>
            <w:rStyle w:val="Lienhypertexte"/>
            <w:rFonts w:asciiTheme="majorBidi" w:hAnsiTheme="majorBidi" w:cstheme="majorBidi"/>
            <w:noProof/>
            <w:kern w:val="24"/>
            <w:sz w:val="24"/>
            <w:szCs w:val="24"/>
          </w:rPr>
          <w:t>1.2.2- Théorie économique islamique : paradigme normatif</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_Toc182298593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w:t>
        </w:r>
        <w:r w:rsidR="004F69A7" w:rsidRPr="00103C6F">
          <w:rPr>
            <w:rFonts w:asciiTheme="majorBidi" w:hAnsiTheme="majorBidi" w:cstheme="majorBidi"/>
            <w:noProof/>
            <w:webHidden/>
            <w:sz w:val="24"/>
            <w:szCs w:val="24"/>
          </w:rPr>
          <w:fldChar w:fldCharType="end"/>
        </w:r>
      </w:hyperlink>
    </w:p>
    <w:p w14:paraId="3B1F7D8F" w14:textId="493B3E48"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594" w:history="1">
        <w:r w:rsidR="004F69A7" w:rsidRPr="00103C6F">
          <w:rPr>
            <w:rStyle w:val="Lienhypertexte"/>
            <w:rFonts w:asciiTheme="majorBidi" w:hAnsiTheme="majorBidi" w:cstheme="majorBidi"/>
            <w:noProof/>
            <w:kern w:val="24"/>
            <w:sz w:val="24"/>
            <w:szCs w:val="24"/>
          </w:rPr>
          <w:t>1.2.2.1- Rationalité économique humaine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_Toc182298594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w:t>
        </w:r>
        <w:r w:rsidR="004F69A7" w:rsidRPr="00103C6F">
          <w:rPr>
            <w:rFonts w:asciiTheme="majorBidi" w:hAnsiTheme="majorBidi" w:cstheme="majorBidi"/>
            <w:noProof/>
            <w:webHidden/>
            <w:sz w:val="24"/>
            <w:szCs w:val="24"/>
          </w:rPr>
          <w:fldChar w:fldCharType="end"/>
        </w:r>
      </w:hyperlink>
    </w:p>
    <w:p w14:paraId="4220A613" w14:textId="72A9B44A"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595" w:history="1">
        <w:r w:rsidR="004F69A7" w:rsidRPr="00103C6F">
          <w:rPr>
            <w:rStyle w:val="Lienhypertexte"/>
            <w:rFonts w:asciiTheme="majorBidi" w:hAnsiTheme="majorBidi" w:cstheme="majorBidi"/>
            <w:noProof/>
            <w:kern w:val="24"/>
            <w:sz w:val="24"/>
            <w:szCs w:val="24"/>
          </w:rPr>
          <w:t>1.2.2.2- Respect des valeurs éthiques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_Toc182298595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w:t>
        </w:r>
        <w:r w:rsidR="004F69A7" w:rsidRPr="00103C6F">
          <w:rPr>
            <w:rFonts w:asciiTheme="majorBidi" w:hAnsiTheme="majorBidi" w:cstheme="majorBidi"/>
            <w:noProof/>
            <w:webHidden/>
            <w:sz w:val="24"/>
            <w:szCs w:val="24"/>
          </w:rPr>
          <w:fldChar w:fldCharType="end"/>
        </w:r>
      </w:hyperlink>
    </w:p>
    <w:p w14:paraId="798FF98C" w14:textId="2226663F"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596" w:history="1">
        <w:r w:rsidR="004F69A7" w:rsidRPr="00103C6F">
          <w:rPr>
            <w:rStyle w:val="Lienhypertexte"/>
            <w:rFonts w:asciiTheme="majorBidi" w:hAnsiTheme="majorBidi" w:cstheme="majorBidi"/>
            <w:noProof/>
            <w:kern w:val="24"/>
            <w:sz w:val="24"/>
            <w:szCs w:val="24"/>
          </w:rPr>
          <w:t>1.2.2.3- Justice socio-économique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_Toc182298596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15</w:t>
        </w:r>
        <w:r w:rsidR="004F69A7" w:rsidRPr="00103C6F">
          <w:rPr>
            <w:rFonts w:asciiTheme="majorBidi" w:hAnsiTheme="majorBidi" w:cstheme="majorBidi"/>
            <w:noProof/>
            <w:webHidden/>
            <w:sz w:val="24"/>
            <w:szCs w:val="24"/>
          </w:rPr>
          <w:fldChar w:fldCharType="end"/>
        </w:r>
      </w:hyperlink>
    </w:p>
    <w:p w14:paraId="2365571D" w14:textId="033BFA0F"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597" w:history="1">
        <w:r w:rsidR="004F69A7" w:rsidRPr="00103C6F">
          <w:rPr>
            <w:rStyle w:val="Lienhypertexte"/>
            <w:rFonts w:asciiTheme="majorBidi" w:eastAsia="Code2000" w:hAnsiTheme="majorBidi" w:cstheme="majorBidi"/>
            <w:noProof/>
            <w:kern w:val="24"/>
            <w:sz w:val="24"/>
            <w:szCs w:val="24"/>
          </w:rPr>
          <w:t>1.2.2.4- Droit de propriété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_Toc182298597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15</w:t>
        </w:r>
        <w:r w:rsidR="004F69A7" w:rsidRPr="00103C6F">
          <w:rPr>
            <w:rFonts w:asciiTheme="majorBidi" w:hAnsiTheme="majorBidi" w:cstheme="majorBidi"/>
            <w:noProof/>
            <w:webHidden/>
            <w:sz w:val="24"/>
            <w:szCs w:val="24"/>
          </w:rPr>
          <w:fldChar w:fldCharType="end"/>
        </w:r>
      </w:hyperlink>
    </w:p>
    <w:p w14:paraId="01CBB2B4" w14:textId="7EEE8CDF" w:rsidR="004F69A7" w:rsidRPr="00103C6F" w:rsidRDefault="00C40DAA" w:rsidP="009C2D83">
      <w:pPr>
        <w:pStyle w:val="TM3"/>
        <w:keepNext w:val="0"/>
        <w:keepLines w:val="0"/>
        <w:widowControl w:val="0"/>
        <w:rPr>
          <w:rFonts w:eastAsiaTheme="minorEastAsia"/>
          <w:lang w:eastAsia="fr-FR"/>
        </w:rPr>
      </w:pPr>
      <w:hyperlink w:anchor="_Toc182298598" w:history="1">
        <w:r w:rsidR="004F69A7" w:rsidRPr="00103C6F">
          <w:rPr>
            <w:rStyle w:val="Lienhypertexte"/>
          </w:rPr>
          <w:t>1.3</w:t>
        </w:r>
        <w:r w:rsidR="0090793D" w:rsidRPr="00103C6F">
          <w:rPr>
            <w:rFonts w:eastAsiaTheme="minorEastAsia"/>
            <w:lang w:eastAsia="fr-FR"/>
          </w:rPr>
          <w:t xml:space="preserve">-  </w:t>
        </w:r>
        <w:r w:rsidR="004F69A7" w:rsidRPr="00103C6F">
          <w:rPr>
            <w:rStyle w:val="Lienhypertexte"/>
          </w:rPr>
          <w:t>Principe de la finance islamique</w:t>
        </w:r>
        <w:r w:rsidR="004F69A7" w:rsidRPr="00103C6F">
          <w:rPr>
            <w:webHidden/>
          </w:rPr>
          <w:tab/>
        </w:r>
        <w:r w:rsidR="004F69A7" w:rsidRPr="00103C6F">
          <w:rPr>
            <w:webHidden/>
          </w:rPr>
          <w:fldChar w:fldCharType="begin"/>
        </w:r>
        <w:r w:rsidR="004F69A7" w:rsidRPr="00103C6F">
          <w:rPr>
            <w:webHidden/>
          </w:rPr>
          <w:instrText xml:space="preserve"> PAGEREF _Toc182298598 \h </w:instrText>
        </w:r>
        <w:r w:rsidR="004F69A7" w:rsidRPr="00103C6F">
          <w:rPr>
            <w:webHidden/>
          </w:rPr>
        </w:r>
        <w:r w:rsidR="004F69A7" w:rsidRPr="00103C6F">
          <w:rPr>
            <w:webHidden/>
          </w:rPr>
          <w:fldChar w:fldCharType="separate"/>
        </w:r>
        <w:r w:rsidR="00666FC7">
          <w:rPr>
            <w:webHidden/>
          </w:rPr>
          <w:t>16</w:t>
        </w:r>
        <w:r w:rsidR="004F69A7" w:rsidRPr="00103C6F">
          <w:rPr>
            <w:webHidden/>
          </w:rPr>
          <w:fldChar w:fldCharType="end"/>
        </w:r>
      </w:hyperlink>
    </w:p>
    <w:p w14:paraId="7E935B95" w14:textId="1A702FAA"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599" w:history="1">
        <w:r w:rsidR="004F69A7" w:rsidRPr="00103C6F">
          <w:rPr>
            <w:rStyle w:val="Lienhypertexte"/>
            <w:rFonts w:asciiTheme="majorBidi" w:hAnsiTheme="majorBidi" w:cstheme="majorBidi"/>
            <w:noProof/>
            <w:sz w:val="24"/>
            <w:szCs w:val="24"/>
          </w:rPr>
          <w:t>1.3.1- Prohibition du riba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_Toc182298599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w:t>
        </w:r>
        <w:r w:rsidR="004F69A7" w:rsidRPr="00103C6F">
          <w:rPr>
            <w:rFonts w:asciiTheme="majorBidi" w:hAnsiTheme="majorBidi" w:cstheme="majorBidi"/>
            <w:noProof/>
            <w:webHidden/>
            <w:sz w:val="24"/>
            <w:szCs w:val="24"/>
          </w:rPr>
          <w:fldChar w:fldCharType="end"/>
        </w:r>
      </w:hyperlink>
    </w:p>
    <w:p w14:paraId="762D6C2C" w14:textId="479838E9"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00" w:history="1">
        <w:r w:rsidR="004F69A7" w:rsidRPr="00103C6F">
          <w:rPr>
            <w:rStyle w:val="Lienhypertexte"/>
            <w:rFonts w:asciiTheme="majorBidi" w:hAnsiTheme="majorBidi" w:cstheme="majorBidi"/>
            <w:noProof/>
            <w:sz w:val="24"/>
            <w:szCs w:val="24"/>
          </w:rPr>
          <w:t>1.3.1.1- Notion du riba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_Toc182298600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w:t>
        </w:r>
        <w:r w:rsidR="004F69A7" w:rsidRPr="00103C6F">
          <w:rPr>
            <w:rFonts w:asciiTheme="majorBidi" w:hAnsiTheme="majorBidi" w:cstheme="majorBidi"/>
            <w:noProof/>
            <w:webHidden/>
            <w:sz w:val="24"/>
            <w:szCs w:val="24"/>
          </w:rPr>
          <w:fldChar w:fldCharType="end"/>
        </w:r>
      </w:hyperlink>
    </w:p>
    <w:p w14:paraId="479BCD4B" w14:textId="71737DF8"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01" w:history="1">
        <w:r w:rsidR="004F69A7" w:rsidRPr="00103C6F">
          <w:rPr>
            <w:rStyle w:val="Lienhypertexte"/>
            <w:rFonts w:asciiTheme="majorBidi" w:hAnsiTheme="majorBidi" w:cstheme="majorBidi"/>
            <w:noProof/>
            <w:kern w:val="24"/>
            <w:sz w:val="24"/>
            <w:szCs w:val="24"/>
          </w:rPr>
          <w:t>1.3.1.2- Prohibition du riba avant l’Islam</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_Toc182298601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w:t>
        </w:r>
        <w:r w:rsidR="004F69A7" w:rsidRPr="00103C6F">
          <w:rPr>
            <w:rFonts w:asciiTheme="majorBidi" w:hAnsiTheme="majorBidi" w:cstheme="majorBidi"/>
            <w:noProof/>
            <w:webHidden/>
            <w:sz w:val="24"/>
            <w:szCs w:val="24"/>
          </w:rPr>
          <w:fldChar w:fldCharType="end"/>
        </w:r>
      </w:hyperlink>
    </w:p>
    <w:p w14:paraId="3F1F9315" w14:textId="04AF6889"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02" w:history="1">
        <w:r w:rsidR="004F69A7" w:rsidRPr="00103C6F">
          <w:rPr>
            <w:rStyle w:val="Lienhypertexte"/>
            <w:rFonts w:asciiTheme="majorBidi" w:hAnsiTheme="majorBidi" w:cstheme="majorBidi"/>
            <w:noProof/>
            <w:sz w:val="24"/>
            <w:szCs w:val="24"/>
          </w:rPr>
          <w:t>1.3.1.3- Prohibition du riba en Islam</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_Toc182298602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w:t>
        </w:r>
        <w:r w:rsidR="004F69A7" w:rsidRPr="00103C6F">
          <w:rPr>
            <w:rFonts w:asciiTheme="majorBidi" w:hAnsiTheme="majorBidi" w:cstheme="majorBidi"/>
            <w:noProof/>
            <w:webHidden/>
            <w:sz w:val="24"/>
            <w:szCs w:val="24"/>
          </w:rPr>
          <w:fldChar w:fldCharType="end"/>
        </w:r>
      </w:hyperlink>
    </w:p>
    <w:p w14:paraId="395A687E" w14:textId="2A545A98"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03" w:history="1">
        <w:r w:rsidR="004F69A7" w:rsidRPr="00103C6F">
          <w:rPr>
            <w:rStyle w:val="Lienhypertexte"/>
            <w:rFonts w:asciiTheme="majorBidi" w:hAnsiTheme="majorBidi" w:cstheme="majorBidi"/>
            <w:noProof/>
            <w:sz w:val="24"/>
            <w:szCs w:val="24"/>
          </w:rPr>
          <w:t>1.3.1.3.1- Riba dans le Coran</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_Toc182298603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w:t>
        </w:r>
        <w:r w:rsidR="004F69A7" w:rsidRPr="00103C6F">
          <w:rPr>
            <w:rFonts w:asciiTheme="majorBidi" w:hAnsiTheme="majorBidi" w:cstheme="majorBidi"/>
            <w:noProof/>
            <w:webHidden/>
            <w:sz w:val="24"/>
            <w:szCs w:val="24"/>
          </w:rPr>
          <w:fldChar w:fldCharType="end"/>
        </w:r>
      </w:hyperlink>
    </w:p>
    <w:p w14:paraId="5C6777C6" w14:textId="68B30235"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04" w:history="1">
        <w:r w:rsidR="004F69A7" w:rsidRPr="00103C6F">
          <w:rPr>
            <w:rStyle w:val="Lienhypertexte"/>
            <w:rFonts w:asciiTheme="majorBidi" w:hAnsiTheme="majorBidi" w:cstheme="majorBidi"/>
            <w:noProof/>
            <w:sz w:val="24"/>
            <w:szCs w:val="24"/>
          </w:rPr>
          <w:t>1.3.1.3.2- Riba dans la Sunnah</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_Toc182298604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w:t>
        </w:r>
        <w:r w:rsidR="004F69A7" w:rsidRPr="00103C6F">
          <w:rPr>
            <w:rFonts w:asciiTheme="majorBidi" w:hAnsiTheme="majorBidi" w:cstheme="majorBidi"/>
            <w:noProof/>
            <w:webHidden/>
            <w:sz w:val="24"/>
            <w:szCs w:val="24"/>
          </w:rPr>
          <w:fldChar w:fldCharType="end"/>
        </w:r>
      </w:hyperlink>
    </w:p>
    <w:p w14:paraId="086AC425" w14:textId="64E32E8A" w:rsidR="004F69A7" w:rsidRPr="00103C6F" w:rsidRDefault="00C40DAA" w:rsidP="009C2D83">
      <w:pPr>
        <w:pStyle w:val="TM7"/>
        <w:widowControl w:val="0"/>
        <w:tabs>
          <w:tab w:val="right" w:leader="dot" w:pos="9061"/>
        </w:tabs>
        <w:rPr>
          <w:rFonts w:asciiTheme="majorBidi" w:eastAsiaTheme="minorEastAsia" w:hAnsiTheme="majorBidi" w:cstheme="majorBidi"/>
          <w:noProof/>
          <w:sz w:val="24"/>
          <w:szCs w:val="24"/>
          <w:lang w:eastAsia="fr-FR"/>
        </w:rPr>
      </w:pPr>
      <w:hyperlink w:anchor="_Toc182298605" w:history="1">
        <w:r w:rsidR="004F69A7" w:rsidRPr="00103C6F">
          <w:rPr>
            <w:rStyle w:val="Lienhypertexte"/>
            <w:rFonts w:asciiTheme="majorBidi" w:hAnsiTheme="majorBidi" w:cstheme="majorBidi"/>
            <w:noProof/>
            <w:sz w:val="24"/>
            <w:szCs w:val="24"/>
          </w:rPr>
          <w:t>1.3.1.3.2.1- Riba al-fadl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_Toc182298605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w:t>
        </w:r>
        <w:r w:rsidR="004F69A7" w:rsidRPr="00103C6F">
          <w:rPr>
            <w:rFonts w:asciiTheme="majorBidi" w:hAnsiTheme="majorBidi" w:cstheme="majorBidi"/>
            <w:noProof/>
            <w:webHidden/>
            <w:sz w:val="24"/>
            <w:szCs w:val="24"/>
          </w:rPr>
          <w:fldChar w:fldCharType="end"/>
        </w:r>
      </w:hyperlink>
    </w:p>
    <w:p w14:paraId="02F3716C" w14:textId="351AC476" w:rsidR="004F69A7" w:rsidRPr="00103C6F" w:rsidRDefault="00C40DAA" w:rsidP="009C2D83">
      <w:pPr>
        <w:pStyle w:val="TM7"/>
        <w:widowControl w:val="0"/>
        <w:tabs>
          <w:tab w:val="right" w:leader="dot" w:pos="9061"/>
        </w:tabs>
        <w:rPr>
          <w:rFonts w:asciiTheme="majorBidi" w:eastAsiaTheme="minorEastAsia" w:hAnsiTheme="majorBidi" w:cstheme="majorBidi"/>
          <w:noProof/>
          <w:sz w:val="24"/>
          <w:szCs w:val="24"/>
          <w:lang w:eastAsia="fr-FR"/>
        </w:rPr>
      </w:pPr>
      <w:hyperlink w:anchor="_Toc182298606" w:history="1">
        <w:r w:rsidR="004F69A7" w:rsidRPr="00103C6F">
          <w:rPr>
            <w:rStyle w:val="Lienhypertexte"/>
            <w:rFonts w:asciiTheme="majorBidi" w:hAnsiTheme="majorBidi" w:cstheme="majorBidi"/>
            <w:noProof/>
            <w:sz w:val="24"/>
            <w:szCs w:val="24"/>
          </w:rPr>
          <w:t>1.3.1.3.2.2- Riba an-nassia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_Toc182298606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21</w:t>
        </w:r>
        <w:r w:rsidR="004F69A7" w:rsidRPr="00103C6F">
          <w:rPr>
            <w:rFonts w:asciiTheme="majorBidi" w:hAnsiTheme="majorBidi" w:cstheme="majorBidi"/>
            <w:noProof/>
            <w:webHidden/>
            <w:sz w:val="24"/>
            <w:szCs w:val="24"/>
          </w:rPr>
          <w:fldChar w:fldCharType="end"/>
        </w:r>
      </w:hyperlink>
    </w:p>
    <w:p w14:paraId="5052F5A1" w14:textId="2D6985F6"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07" w:history="1">
        <w:r w:rsidR="004F69A7" w:rsidRPr="00103C6F">
          <w:rPr>
            <w:rStyle w:val="Lienhypertexte"/>
            <w:rFonts w:asciiTheme="majorBidi" w:hAnsiTheme="majorBidi" w:cstheme="majorBidi"/>
            <w:noProof/>
            <w:sz w:val="24"/>
            <w:szCs w:val="24"/>
          </w:rPr>
          <w:t>1.3.1.4- Justification économique de la prohibition de l’intérêt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_Toc182298607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21</w:t>
        </w:r>
        <w:r w:rsidR="004F69A7" w:rsidRPr="00103C6F">
          <w:rPr>
            <w:rFonts w:asciiTheme="majorBidi" w:hAnsiTheme="majorBidi" w:cstheme="majorBidi"/>
            <w:noProof/>
            <w:webHidden/>
            <w:sz w:val="24"/>
            <w:szCs w:val="24"/>
          </w:rPr>
          <w:fldChar w:fldCharType="end"/>
        </w:r>
      </w:hyperlink>
    </w:p>
    <w:p w14:paraId="19A60094" w14:textId="27CBA5C1" w:rsidR="004F69A7" w:rsidRPr="00103C6F" w:rsidRDefault="00C40DAA" w:rsidP="009C2D83">
      <w:pPr>
        <w:pStyle w:val="TM5"/>
        <w:widowControl w:val="0"/>
        <w:tabs>
          <w:tab w:val="right" w:leader="dot" w:pos="9061"/>
        </w:tabs>
        <w:spacing w:after="120" w:line="360" w:lineRule="auto"/>
        <w:ind w:left="879"/>
        <w:rPr>
          <w:rFonts w:asciiTheme="majorBidi" w:eastAsiaTheme="minorEastAsia" w:hAnsiTheme="majorBidi" w:cstheme="majorBidi"/>
          <w:noProof/>
          <w:sz w:val="24"/>
          <w:szCs w:val="24"/>
          <w:lang w:eastAsia="fr-FR"/>
        </w:rPr>
      </w:pPr>
      <w:hyperlink w:anchor="_Toc182298608" w:history="1">
        <w:r w:rsidR="004F69A7" w:rsidRPr="00103C6F">
          <w:rPr>
            <w:rStyle w:val="Lienhypertexte"/>
            <w:rFonts w:asciiTheme="majorBidi" w:hAnsiTheme="majorBidi" w:cstheme="majorBidi"/>
            <w:noProof/>
            <w:kern w:val="24"/>
            <w:sz w:val="24"/>
            <w:szCs w:val="24"/>
          </w:rPr>
          <w:t>1.3.1.5- Rôle de la monnaie en Islam</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_Toc182298608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22</w:t>
        </w:r>
        <w:r w:rsidR="004F69A7" w:rsidRPr="00103C6F">
          <w:rPr>
            <w:rFonts w:asciiTheme="majorBidi" w:hAnsiTheme="majorBidi" w:cstheme="majorBidi"/>
            <w:noProof/>
            <w:webHidden/>
            <w:sz w:val="24"/>
            <w:szCs w:val="24"/>
          </w:rPr>
          <w:fldChar w:fldCharType="end"/>
        </w:r>
      </w:hyperlink>
    </w:p>
    <w:p w14:paraId="1070E524" w14:textId="5D8B54BF"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09" w:history="1">
        <w:r w:rsidR="004F69A7" w:rsidRPr="00103C6F">
          <w:rPr>
            <w:rStyle w:val="Lienhypertexte"/>
            <w:rFonts w:asciiTheme="majorBidi" w:hAnsiTheme="majorBidi" w:cstheme="majorBidi"/>
            <w:noProof/>
            <w:sz w:val="24"/>
            <w:szCs w:val="24"/>
          </w:rPr>
          <w:t>1.3.2- Interdiction du gharar (incertitude, aléa)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_Toc182298609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23</w:t>
        </w:r>
        <w:r w:rsidR="004F69A7" w:rsidRPr="00103C6F">
          <w:rPr>
            <w:rFonts w:asciiTheme="majorBidi" w:hAnsiTheme="majorBidi" w:cstheme="majorBidi"/>
            <w:noProof/>
            <w:webHidden/>
            <w:sz w:val="24"/>
            <w:szCs w:val="24"/>
          </w:rPr>
          <w:fldChar w:fldCharType="end"/>
        </w:r>
      </w:hyperlink>
    </w:p>
    <w:p w14:paraId="56135278" w14:textId="1C4BEE5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10" w:history="1">
        <w:r w:rsidR="004F69A7" w:rsidRPr="00103C6F">
          <w:rPr>
            <w:rStyle w:val="Lienhypertexte"/>
            <w:rFonts w:asciiTheme="majorBidi" w:hAnsiTheme="majorBidi" w:cstheme="majorBidi"/>
            <w:noProof/>
            <w:sz w:val="24"/>
            <w:szCs w:val="24"/>
          </w:rPr>
          <w:t>1.3.3- Interdiction du maysir</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_Toc182298610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23</w:t>
        </w:r>
        <w:r w:rsidR="004F69A7" w:rsidRPr="00103C6F">
          <w:rPr>
            <w:rFonts w:asciiTheme="majorBidi" w:hAnsiTheme="majorBidi" w:cstheme="majorBidi"/>
            <w:noProof/>
            <w:webHidden/>
            <w:sz w:val="24"/>
            <w:szCs w:val="24"/>
          </w:rPr>
          <w:fldChar w:fldCharType="end"/>
        </w:r>
      </w:hyperlink>
    </w:p>
    <w:p w14:paraId="3E4FAEDE" w14:textId="131539A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11" w:history="1">
        <w:r w:rsidR="004F69A7" w:rsidRPr="00103C6F">
          <w:rPr>
            <w:rStyle w:val="Lienhypertexte"/>
            <w:rFonts w:asciiTheme="majorBidi" w:hAnsiTheme="majorBidi" w:cstheme="majorBidi"/>
            <w:noProof/>
            <w:sz w:val="24"/>
            <w:szCs w:val="24"/>
          </w:rPr>
          <w:t>1.3.4- Interdiction de la thésaurisation et des investissements illicites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_Toc182298611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24</w:t>
        </w:r>
        <w:r w:rsidR="004F69A7" w:rsidRPr="00103C6F">
          <w:rPr>
            <w:rFonts w:asciiTheme="majorBidi" w:hAnsiTheme="majorBidi" w:cstheme="majorBidi"/>
            <w:noProof/>
            <w:webHidden/>
            <w:sz w:val="24"/>
            <w:szCs w:val="24"/>
          </w:rPr>
          <w:fldChar w:fldCharType="end"/>
        </w:r>
      </w:hyperlink>
    </w:p>
    <w:p w14:paraId="11F45C5C" w14:textId="6A11C192"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12" w:history="1">
        <w:r w:rsidR="004F69A7" w:rsidRPr="00103C6F">
          <w:rPr>
            <w:rStyle w:val="Lienhypertexte"/>
            <w:rFonts w:asciiTheme="majorBidi" w:hAnsiTheme="majorBidi" w:cstheme="majorBidi"/>
            <w:noProof/>
            <w:kern w:val="24"/>
            <w:sz w:val="24"/>
            <w:szCs w:val="24"/>
          </w:rPr>
          <w:t>1.3.5- Principe de partage des profits et des pertes (principe des 3P)</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_Toc182298612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25</w:t>
        </w:r>
        <w:r w:rsidR="004F69A7" w:rsidRPr="00103C6F">
          <w:rPr>
            <w:rFonts w:asciiTheme="majorBidi" w:hAnsiTheme="majorBidi" w:cstheme="majorBidi"/>
            <w:noProof/>
            <w:webHidden/>
            <w:sz w:val="24"/>
            <w:szCs w:val="24"/>
          </w:rPr>
          <w:fldChar w:fldCharType="end"/>
        </w:r>
      </w:hyperlink>
    </w:p>
    <w:p w14:paraId="6687E380" w14:textId="020656B5"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13" w:history="1">
        <w:r w:rsidR="004F69A7" w:rsidRPr="00103C6F">
          <w:rPr>
            <w:rStyle w:val="Lienhypertexte"/>
            <w:rFonts w:asciiTheme="majorBidi" w:hAnsiTheme="majorBidi" w:cstheme="majorBidi"/>
            <w:noProof/>
            <w:sz w:val="24"/>
            <w:szCs w:val="24"/>
          </w:rPr>
          <w:t>1.3.5.1- Ratio de partage des pertes et des profits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_Toc182298613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28</w:t>
        </w:r>
        <w:r w:rsidR="004F69A7" w:rsidRPr="00103C6F">
          <w:rPr>
            <w:rFonts w:asciiTheme="majorBidi" w:hAnsiTheme="majorBidi" w:cstheme="majorBidi"/>
            <w:noProof/>
            <w:webHidden/>
            <w:sz w:val="24"/>
            <w:szCs w:val="24"/>
          </w:rPr>
          <w:fldChar w:fldCharType="end"/>
        </w:r>
      </w:hyperlink>
    </w:p>
    <w:p w14:paraId="062F9A8B" w14:textId="4E0C707D"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14" w:history="1">
        <w:r w:rsidR="004F69A7" w:rsidRPr="00103C6F">
          <w:rPr>
            <w:rStyle w:val="Lienhypertexte"/>
            <w:rFonts w:asciiTheme="majorBidi" w:hAnsiTheme="majorBidi" w:cstheme="majorBidi"/>
            <w:noProof/>
            <w:sz w:val="24"/>
            <w:szCs w:val="24"/>
          </w:rPr>
          <w:t>1.3.5.2- LIBOR et IIBR</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_Toc182298614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28</w:t>
        </w:r>
        <w:r w:rsidR="004F69A7" w:rsidRPr="00103C6F">
          <w:rPr>
            <w:rFonts w:asciiTheme="majorBidi" w:hAnsiTheme="majorBidi" w:cstheme="majorBidi"/>
            <w:noProof/>
            <w:webHidden/>
            <w:sz w:val="24"/>
            <w:szCs w:val="24"/>
          </w:rPr>
          <w:fldChar w:fldCharType="end"/>
        </w:r>
      </w:hyperlink>
    </w:p>
    <w:p w14:paraId="6B486F54" w14:textId="2F0438B0"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15" w:history="1">
        <w:r w:rsidR="004F69A7" w:rsidRPr="00103C6F">
          <w:rPr>
            <w:rStyle w:val="Lienhypertexte"/>
            <w:rFonts w:asciiTheme="majorBidi" w:hAnsiTheme="majorBidi" w:cstheme="majorBidi"/>
            <w:noProof/>
            <w:kern w:val="24"/>
            <w:sz w:val="24"/>
            <w:szCs w:val="24"/>
          </w:rPr>
          <w:t>1.3.6- Principe d’adossement des transactions à des actifs identifiables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_Toc182298615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29</w:t>
        </w:r>
        <w:r w:rsidR="004F69A7" w:rsidRPr="00103C6F">
          <w:rPr>
            <w:rFonts w:asciiTheme="majorBidi" w:hAnsiTheme="majorBidi" w:cstheme="majorBidi"/>
            <w:noProof/>
            <w:webHidden/>
            <w:sz w:val="24"/>
            <w:szCs w:val="24"/>
          </w:rPr>
          <w:fldChar w:fldCharType="end"/>
        </w:r>
      </w:hyperlink>
    </w:p>
    <w:p w14:paraId="54E3E97E" w14:textId="16F919F7" w:rsidR="004F69A7" w:rsidRPr="00103C6F" w:rsidRDefault="00C40DAA" w:rsidP="009C2D83">
      <w:pPr>
        <w:pStyle w:val="TM3"/>
        <w:keepNext w:val="0"/>
        <w:keepLines w:val="0"/>
        <w:widowControl w:val="0"/>
        <w:rPr>
          <w:rFonts w:eastAsiaTheme="minorEastAsia"/>
          <w:lang w:eastAsia="fr-FR"/>
        </w:rPr>
      </w:pPr>
      <w:hyperlink w:anchor="_Toc182298616" w:history="1">
        <w:r w:rsidR="004F69A7" w:rsidRPr="00103C6F">
          <w:rPr>
            <w:rStyle w:val="Lienhypertexte"/>
            <w:kern w:val="24"/>
          </w:rPr>
          <w:t>1.4- Développement de la finance islamique</w:t>
        </w:r>
        <w:r w:rsidR="004F69A7" w:rsidRPr="00103C6F">
          <w:rPr>
            <w:webHidden/>
          </w:rPr>
          <w:tab/>
        </w:r>
        <w:r w:rsidR="004F69A7" w:rsidRPr="00103C6F">
          <w:rPr>
            <w:webHidden/>
          </w:rPr>
          <w:fldChar w:fldCharType="begin"/>
        </w:r>
        <w:r w:rsidR="004F69A7" w:rsidRPr="00103C6F">
          <w:rPr>
            <w:webHidden/>
          </w:rPr>
          <w:instrText xml:space="preserve"> PAGEREF _Toc182298616 \h </w:instrText>
        </w:r>
        <w:r w:rsidR="004F69A7" w:rsidRPr="00103C6F">
          <w:rPr>
            <w:webHidden/>
          </w:rPr>
        </w:r>
        <w:r w:rsidR="004F69A7" w:rsidRPr="00103C6F">
          <w:rPr>
            <w:webHidden/>
          </w:rPr>
          <w:fldChar w:fldCharType="separate"/>
        </w:r>
        <w:r w:rsidR="00666FC7">
          <w:rPr>
            <w:webHidden/>
          </w:rPr>
          <w:t>29</w:t>
        </w:r>
        <w:r w:rsidR="004F69A7" w:rsidRPr="00103C6F">
          <w:rPr>
            <w:webHidden/>
          </w:rPr>
          <w:fldChar w:fldCharType="end"/>
        </w:r>
      </w:hyperlink>
    </w:p>
    <w:p w14:paraId="468169E7" w14:textId="75943C3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17" w:history="1">
        <w:r w:rsidR="004F69A7" w:rsidRPr="00103C6F">
          <w:rPr>
            <w:rStyle w:val="Lienhypertexte"/>
            <w:rFonts w:asciiTheme="majorBidi" w:hAnsiTheme="majorBidi" w:cstheme="majorBidi"/>
            <w:noProof/>
            <w:kern w:val="24"/>
            <w:sz w:val="24"/>
            <w:szCs w:val="24"/>
          </w:rPr>
          <w:t xml:space="preserve">1.4.1- Finance au temps du Prophète </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_Toc182298617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29</w:t>
        </w:r>
        <w:r w:rsidR="004F69A7" w:rsidRPr="00103C6F">
          <w:rPr>
            <w:rFonts w:asciiTheme="majorBidi" w:hAnsiTheme="majorBidi" w:cstheme="majorBidi"/>
            <w:noProof/>
            <w:webHidden/>
            <w:sz w:val="24"/>
            <w:szCs w:val="24"/>
          </w:rPr>
          <w:fldChar w:fldCharType="end"/>
        </w:r>
      </w:hyperlink>
    </w:p>
    <w:p w14:paraId="6DC8A8AB" w14:textId="11A814D8"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18" w:history="1">
        <w:r w:rsidR="004F69A7" w:rsidRPr="00103C6F">
          <w:rPr>
            <w:rStyle w:val="Lienhypertexte"/>
            <w:rFonts w:asciiTheme="majorBidi" w:hAnsiTheme="majorBidi" w:cstheme="majorBidi"/>
            <w:noProof/>
            <w:kern w:val="24"/>
            <w:sz w:val="24"/>
            <w:szCs w:val="24"/>
          </w:rPr>
          <w:t>1.4.2- Finance au temps des Khoulafa (Califes)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_Toc182298618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30</w:t>
        </w:r>
        <w:r w:rsidR="004F69A7" w:rsidRPr="00103C6F">
          <w:rPr>
            <w:rFonts w:asciiTheme="majorBidi" w:hAnsiTheme="majorBidi" w:cstheme="majorBidi"/>
            <w:noProof/>
            <w:webHidden/>
            <w:sz w:val="24"/>
            <w:szCs w:val="24"/>
          </w:rPr>
          <w:fldChar w:fldCharType="end"/>
        </w:r>
      </w:hyperlink>
    </w:p>
    <w:p w14:paraId="45FB9B96" w14:textId="098D2534"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19" w:history="1">
        <w:r w:rsidR="004F69A7" w:rsidRPr="00103C6F">
          <w:rPr>
            <w:rStyle w:val="Lienhypertexte"/>
            <w:rFonts w:asciiTheme="majorBidi" w:hAnsiTheme="majorBidi" w:cstheme="majorBidi"/>
            <w:noProof/>
            <w:kern w:val="24"/>
            <w:sz w:val="24"/>
            <w:szCs w:val="24"/>
          </w:rPr>
          <w:t>1.4.3- Finance islamique contemporaine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_Toc182298619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30</w:t>
        </w:r>
        <w:r w:rsidR="004F69A7" w:rsidRPr="00103C6F">
          <w:rPr>
            <w:rFonts w:asciiTheme="majorBidi" w:hAnsiTheme="majorBidi" w:cstheme="majorBidi"/>
            <w:noProof/>
            <w:webHidden/>
            <w:sz w:val="24"/>
            <w:szCs w:val="24"/>
          </w:rPr>
          <w:fldChar w:fldCharType="end"/>
        </w:r>
      </w:hyperlink>
    </w:p>
    <w:p w14:paraId="608C9FE2" w14:textId="4C217249"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20" w:history="1">
        <w:r w:rsidR="004F69A7" w:rsidRPr="00103C6F">
          <w:rPr>
            <w:rStyle w:val="Lienhypertexte"/>
            <w:rFonts w:asciiTheme="majorBidi" w:hAnsiTheme="majorBidi" w:cstheme="majorBidi"/>
            <w:noProof/>
            <w:sz w:val="24"/>
            <w:szCs w:val="24"/>
          </w:rPr>
          <w:t>1.4.3.1- Premières traces d’institutions financières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_Toc182298620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31</w:t>
        </w:r>
        <w:r w:rsidR="004F69A7" w:rsidRPr="00103C6F">
          <w:rPr>
            <w:rFonts w:asciiTheme="majorBidi" w:hAnsiTheme="majorBidi" w:cstheme="majorBidi"/>
            <w:noProof/>
            <w:webHidden/>
            <w:sz w:val="24"/>
            <w:szCs w:val="24"/>
          </w:rPr>
          <w:fldChar w:fldCharType="end"/>
        </w:r>
      </w:hyperlink>
    </w:p>
    <w:p w14:paraId="0DDE8B81" w14:textId="7F9205D1"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21" w:history="1">
        <w:r w:rsidR="004F69A7" w:rsidRPr="00103C6F">
          <w:rPr>
            <w:rStyle w:val="Lienhypertexte"/>
            <w:rFonts w:asciiTheme="majorBidi" w:hAnsiTheme="majorBidi" w:cstheme="majorBidi"/>
            <w:noProof/>
            <w:sz w:val="24"/>
            <w:szCs w:val="24"/>
          </w:rPr>
          <w:t>1.4.3.2- Essor des institutions financières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_Toc182298621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31</w:t>
        </w:r>
        <w:r w:rsidR="004F69A7" w:rsidRPr="00103C6F">
          <w:rPr>
            <w:rFonts w:asciiTheme="majorBidi" w:hAnsiTheme="majorBidi" w:cstheme="majorBidi"/>
            <w:noProof/>
            <w:webHidden/>
            <w:sz w:val="24"/>
            <w:szCs w:val="24"/>
          </w:rPr>
          <w:fldChar w:fldCharType="end"/>
        </w:r>
      </w:hyperlink>
    </w:p>
    <w:p w14:paraId="2D9A84A5" w14:textId="3E3BD6EE"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22" w:history="1">
        <w:r w:rsidR="004F69A7" w:rsidRPr="00103C6F">
          <w:rPr>
            <w:rStyle w:val="Lienhypertexte"/>
            <w:rFonts w:asciiTheme="majorBidi" w:hAnsiTheme="majorBidi" w:cstheme="majorBidi"/>
            <w:noProof/>
            <w:sz w:val="24"/>
            <w:szCs w:val="24"/>
          </w:rPr>
          <w:t>1.4.3.3- Finance islamique post-crise financière internationale de 2008</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_Toc182298622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32</w:t>
        </w:r>
        <w:r w:rsidR="004F69A7" w:rsidRPr="00103C6F">
          <w:rPr>
            <w:rFonts w:asciiTheme="majorBidi" w:hAnsiTheme="majorBidi" w:cstheme="majorBidi"/>
            <w:noProof/>
            <w:webHidden/>
            <w:sz w:val="24"/>
            <w:szCs w:val="24"/>
          </w:rPr>
          <w:fldChar w:fldCharType="end"/>
        </w:r>
      </w:hyperlink>
    </w:p>
    <w:p w14:paraId="1BDF6AF0" w14:textId="60EAD0EE"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23" w:history="1">
        <w:r w:rsidR="004F69A7" w:rsidRPr="00103C6F">
          <w:rPr>
            <w:rStyle w:val="Lienhypertexte"/>
            <w:rFonts w:asciiTheme="majorBidi" w:hAnsiTheme="majorBidi" w:cstheme="majorBidi"/>
            <w:noProof/>
            <w:sz w:val="24"/>
            <w:szCs w:val="24"/>
          </w:rPr>
          <w:t>1.4.3.4- Répartition géographique de la finance islamique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_Toc182298623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33</w:t>
        </w:r>
        <w:r w:rsidR="004F69A7" w:rsidRPr="00103C6F">
          <w:rPr>
            <w:rFonts w:asciiTheme="majorBidi" w:hAnsiTheme="majorBidi" w:cstheme="majorBidi"/>
            <w:noProof/>
            <w:webHidden/>
            <w:sz w:val="24"/>
            <w:szCs w:val="24"/>
          </w:rPr>
          <w:fldChar w:fldCharType="end"/>
        </w:r>
      </w:hyperlink>
    </w:p>
    <w:p w14:paraId="6516271E" w14:textId="57009452"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24" w:history="1">
        <w:r w:rsidR="004F69A7" w:rsidRPr="00103C6F">
          <w:rPr>
            <w:rStyle w:val="Lienhypertexte"/>
            <w:rFonts w:asciiTheme="majorBidi" w:hAnsiTheme="majorBidi" w:cstheme="majorBidi"/>
            <w:noProof/>
            <w:sz w:val="24"/>
            <w:szCs w:val="24"/>
          </w:rPr>
          <w:t>1.4.3.4.1- Moyen-Orient et Asie de Sud-Est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_Toc182298624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33</w:t>
        </w:r>
        <w:r w:rsidR="004F69A7" w:rsidRPr="00103C6F">
          <w:rPr>
            <w:rFonts w:asciiTheme="majorBidi" w:hAnsiTheme="majorBidi" w:cstheme="majorBidi"/>
            <w:noProof/>
            <w:webHidden/>
            <w:sz w:val="24"/>
            <w:szCs w:val="24"/>
          </w:rPr>
          <w:fldChar w:fldCharType="end"/>
        </w:r>
      </w:hyperlink>
    </w:p>
    <w:p w14:paraId="1DE79101" w14:textId="5733BD08"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25" w:history="1">
        <w:r w:rsidR="004F69A7" w:rsidRPr="00103C6F">
          <w:rPr>
            <w:rStyle w:val="Lienhypertexte"/>
            <w:rFonts w:asciiTheme="majorBidi" w:hAnsiTheme="majorBidi" w:cstheme="majorBidi"/>
            <w:noProof/>
            <w:sz w:val="24"/>
            <w:szCs w:val="24"/>
          </w:rPr>
          <w:t>1.4.3.4.2- Europe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_Toc182298625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34</w:t>
        </w:r>
        <w:r w:rsidR="004F69A7" w:rsidRPr="00103C6F">
          <w:rPr>
            <w:rFonts w:asciiTheme="majorBidi" w:hAnsiTheme="majorBidi" w:cstheme="majorBidi"/>
            <w:noProof/>
            <w:webHidden/>
            <w:sz w:val="24"/>
            <w:szCs w:val="24"/>
          </w:rPr>
          <w:fldChar w:fldCharType="end"/>
        </w:r>
      </w:hyperlink>
    </w:p>
    <w:p w14:paraId="57B28471" w14:textId="3184D9F3" w:rsidR="004F69A7" w:rsidRPr="00103C6F" w:rsidRDefault="00C40DAA" w:rsidP="009C2D83">
      <w:pPr>
        <w:pStyle w:val="TM7"/>
        <w:widowControl w:val="0"/>
        <w:tabs>
          <w:tab w:val="right" w:leader="dot" w:pos="9061"/>
        </w:tabs>
        <w:rPr>
          <w:rFonts w:asciiTheme="majorBidi" w:eastAsiaTheme="minorEastAsia" w:hAnsiTheme="majorBidi" w:cstheme="majorBidi"/>
          <w:noProof/>
          <w:sz w:val="24"/>
          <w:szCs w:val="24"/>
          <w:lang w:eastAsia="fr-FR"/>
        </w:rPr>
      </w:pPr>
      <w:hyperlink w:anchor="_Toc182298626" w:history="1">
        <w:r w:rsidR="004F69A7" w:rsidRPr="00103C6F">
          <w:rPr>
            <w:rStyle w:val="Lienhypertexte"/>
            <w:rFonts w:asciiTheme="majorBidi" w:hAnsiTheme="majorBidi" w:cstheme="majorBidi"/>
            <w:noProof/>
            <w:sz w:val="24"/>
            <w:szCs w:val="24"/>
          </w:rPr>
          <w:t>1.4.3.4.2.1- Royaume-Uni</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_Toc182298626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34</w:t>
        </w:r>
        <w:r w:rsidR="004F69A7" w:rsidRPr="00103C6F">
          <w:rPr>
            <w:rFonts w:asciiTheme="majorBidi" w:hAnsiTheme="majorBidi" w:cstheme="majorBidi"/>
            <w:noProof/>
            <w:webHidden/>
            <w:sz w:val="24"/>
            <w:szCs w:val="24"/>
          </w:rPr>
          <w:fldChar w:fldCharType="end"/>
        </w:r>
      </w:hyperlink>
    </w:p>
    <w:p w14:paraId="768FBBEA" w14:textId="25F1C3D6" w:rsidR="004F69A7" w:rsidRPr="00103C6F" w:rsidRDefault="00C40DAA" w:rsidP="009C2D83">
      <w:pPr>
        <w:pStyle w:val="TM7"/>
        <w:widowControl w:val="0"/>
        <w:tabs>
          <w:tab w:val="right" w:leader="dot" w:pos="9061"/>
        </w:tabs>
        <w:rPr>
          <w:rFonts w:asciiTheme="majorBidi" w:eastAsiaTheme="minorEastAsia" w:hAnsiTheme="majorBidi" w:cstheme="majorBidi"/>
          <w:noProof/>
          <w:sz w:val="24"/>
          <w:szCs w:val="24"/>
          <w:lang w:eastAsia="fr-FR"/>
        </w:rPr>
      </w:pPr>
      <w:hyperlink w:anchor="_Toc182298627" w:history="1">
        <w:r w:rsidR="004F69A7" w:rsidRPr="00103C6F">
          <w:rPr>
            <w:rStyle w:val="Lienhypertexte"/>
            <w:rFonts w:asciiTheme="majorBidi" w:hAnsiTheme="majorBidi" w:cstheme="majorBidi"/>
            <w:noProof/>
            <w:sz w:val="24"/>
            <w:szCs w:val="24"/>
          </w:rPr>
          <w:t>1.4.3.4.2.2- Luxembourg</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_Toc182298627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34</w:t>
        </w:r>
        <w:r w:rsidR="004F69A7" w:rsidRPr="00103C6F">
          <w:rPr>
            <w:rFonts w:asciiTheme="majorBidi" w:hAnsiTheme="majorBidi" w:cstheme="majorBidi"/>
            <w:noProof/>
            <w:webHidden/>
            <w:sz w:val="24"/>
            <w:szCs w:val="24"/>
          </w:rPr>
          <w:fldChar w:fldCharType="end"/>
        </w:r>
      </w:hyperlink>
    </w:p>
    <w:p w14:paraId="0328EA2F" w14:textId="6517D9BD" w:rsidR="004F69A7" w:rsidRPr="00103C6F" w:rsidRDefault="00C40DAA" w:rsidP="009C2D83">
      <w:pPr>
        <w:pStyle w:val="TM7"/>
        <w:widowControl w:val="0"/>
        <w:tabs>
          <w:tab w:val="right" w:leader="dot" w:pos="9061"/>
        </w:tabs>
        <w:rPr>
          <w:rFonts w:asciiTheme="majorBidi" w:eastAsiaTheme="minorEastAsia" w:hAnsiTheme="majorBidi" w:cstheme="majorBidi"/>
          <w:noProof/>
          <w:sz w:val="24"/>
          <w:szCs w:val="24"/>
          <w:lang w:eastAsia="fr-FR"/>
        </w:rPr>
      </w:pPr>
      <w:hyperlink w:anchor="_Toc182298628" w:history="1">
        <w:r w:rsidR="004F69A7" w:rsidRPr="00103C6F">
          <w:rPr>
            <w:rStyle w:val="Lienhypertexte"/>
            <w:rFonts w:asciiTheme="majorBidi" w:hAnsiTheme="majorBidi" w:cstheme="majorBidi"/>
            <w:noProof/>
            <w:sz w:val="24"/>
            <w:szCs w:val="24"/>
          </w:rPr>
          <w:t>1.4.3.4.2.3- France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_Toc182298628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35</w:t>
        </w:r>
        <w:r w:rsidR="004F69A7" w:rsidRPr="00103C6F">
          <w:rPr>
            <w:rFonts w:asciiTheme="majorBidi" w:hAnsiTheme="majorBidi" w:cstheme="majorBidi"/>
            <w:noProof/>
            <w:webHidden/>
            <w:sz w:val="24"/>
            <w:szCs w:val="24"/>
          </w:rPr>
          <w:fldChar w:fldCharType="end"/>
        </w:r>
      </w:hyperlink>
    </w:p>
    <w:p w14:paraId="53ACCF63" w14:textId="783215AB" w:rsidR="004F69A7" w:rsidRPr="00103C6F" w:rsidRDefault="00C40DAA" w:rsidP="009C2D83">
      <w:pPr>
        <w:pStyle w:val="TM7"/>
        <w:widowControl w:val="0"/>
        <w:tabs>
          <w:tab w:val="right" w:leader="dot" w:pos="9061"/>
        </w:tabs>
        <w:rPr>
          <w:rFonts w:asciiTheme="majorBidi" w:eastAsiaTheme="minorEastAsia" w:hAnsiTheme="majorBidi" w:cstheme="majorBidi"/>
          <w:noProof/>
          <w:sz w:val="24"/>
          <w:szCs w:val="24"/>
          <w:lang w:eastAsia="fr-FR"/>
        </w:rPr>
      </w:pPr>
      <w:hyperlink w:anchor="_Toc182298629" w:history="1">
        <w:r w:rsidR="004F69A7" w:rsidRPr="00103C6F">
          <w:rPr>
            <w:rStyle w:val="Lienhypertexte"/>
            <w:rFonts w:asciiTheme="majorBidi" w:hAnsiTheme="majorBidi" w:cstheme="majorBidi"/>
            <w:noProof/>
            <w:kern w:val="24"/>
            <w:sz w:val="24"/>
            <w:szCs w:val="24"/>
            <w:shd w:val="clear" w:color="auto" w:fill="FFFFFF"/>
          </w:rPr>
          <w:t>1.4.3.4.2.4- Allemagne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_Toc182298629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35</w:t>
        </w:r>
        <w:r w:rsidR="004F69A7" w:rsidRPr="00103C6F">
          <w:rPr>
            <w:rFonts w:asciiTheme="majorBidi" w:hAnsiTheme="majorBidi" w:cstheme="majorBidi"/>
            <w:noProof/>
            <w:webHidden/>
            <w:sz w:val="24"/>
            <w:szCs w:val="24"/>
          </w:rPr>
          <w:fldChar w:fldCharType="end"/>
        </w:r>
      </w:hyperlink>
    </w:p>
    <w:p w14:paraId="279CD94B" w14:textId="36506EF0"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30" w:history="1">
        <w:r w:rsidR="004F69A7" w:rsidRPr="00103C6F">
          <w:rPr>
            <w:rStyle w:val="Lienhypertexte"/>
            <w:rFonts w:asciiTheme="majorBidi" w:hAnsiTheme="majorBidi" w:cstheme="majorBidi"/>
            <w:noProof/>
            <w:kern w:val="24"/>
            <w:sz w:val="24"/>
            <w:szCs w:val="24"/>
          </w:rPr>
          <w:t>1.4.3.4.3- Afrique du nord</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_Toc182298630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36</w:t>
        </w:r>
        <w:r w:rsidR="004F69A7" w:rsidRPr="00103C6F">
          <w:rPr>
            <w:rFonts w:asciiTheme="majorBidi" w:hAnsiTheme="majorBidi" w:cstheme="majorBidi"/>
            <w:noProof/>
            <w:webHidden/>
            <w:sz w:val="24"/>
            <w:szCs w:val="24"/>
          </w:rPr>
          <w:fldChar w:fldCharType="end"/>
        </w:r>
      </w:hyperlink>
    </w:p>
    <w:p w14:paraId="4748D1EF" w14:textId="503DEAF8"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31" w:history="1">
        <w:r w:rsidR="004F69A7" w:rsidRPr="00103C6F">
          <w:rPr>
            <w:rStyle w:val="Lienhypertexte"/>
            <w:rFonts w:asciiTheme="majorBidi" w:hAnsiTheme="majorBidi" w:cstheme="majorBidi"/>
            <w:noProof/>
            <w:kern w:val="24"/>
            <w:sz w:val="24"/>
            <w:szCs w:val="24"/>
          </w:rPr>
          <w:t>1.4.3.4.</w:t>
        </w:r>
        <w:r w:rsidR="004F69A7" w:rsidRPr="00103C6F">
          <w:rPr>
            <w:rStyle w:val="Lienhypertexte"/>
            <w:rFonts w:asciiTheme="majorBidi" w:hAnsiTheme="majorBidi" w:cstheme="majorBidi"/>
            <w:noProof/>
            <w:kern w:val="24"/>
            <w:sz w:val="24"/>
            <w:szCs w:val="24"/>
            <w:rtl/>
          </w:rPr>
          <w:t>4</w:t>
        </w:r>
        <w:r w:rsidR="004F69A7" w:rsidRPr="00103C6F">
          <w:rPr>
            <w:rStyle w:val="Lienhypertexte"/>
            <w:rFonts w:asciiTheme="majorBidi" w:hAnsiTheme="majorBidi" w:cstheme="majorBidi"/>
            <w:noProof/>
            <w:kern w:val="24"/>
            <w:sz w:val="24"/>
            <w:szCs w:val="24"/>
          </w:rPr>
          <w:t xml:space="preserve">- </w:t>
        </w:r>
        <w:r w:rsidR="004F69A7" w:rsidRPr="00103C6F">
          <w:rPr>
            <w:rStyle w:val="Lienhypertexte"/>
            <w:rFonts w:asciiTheme="majorBidi" w:hAnsiTheme="majorBidi" w:cstheme="majorBidi"/>
            <w:noProof/>
            <w:kern w:val="24"/>
            <w:sz w:val="24"/>
            <w:szCs w:val="24"/>
            <w:shd w:val="clear" w:color="auto" w:fill="FAFAFA"/>
          </w:rPr>
          <w:t>Algérie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_Toc182298631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36</w:t>
        </w:r>
        <w:r w:rsidR="004F69A7" w:rsidRPr="00103C6F">
          <w:rPr>
            <w:rFonts w:asciiTheme="majorBidi" w:hAnsiTheme="majorBidi" w:cstheme="majorBidi"/>
            <w:noProof/>
            <w:webHidden/>
            <w:sz w:val="24"/>
            <w:szCs w:val="24"/>
          </w:rPr>
          <w:fldChar w:fldCharType="end"/>
        </w:r>
      </w:hyperlink>
    </w:p>
    <w:p w14:paraId="4FAAA6CC" w14:textId="3551D1D1" w:rsidR="004F69A7" w:rsidRPr="00103C6F" w:rsidRDefault="00C40DAA" w:rsidP="009C2D83">
      <w:pPr>
        <w:pStyle w:val="TM3"/>
        <w:keepNext w:val="0"/>
        <w:keepLines w:val="0"/>
        <w:widowControl w:val="0"/>
        <w:rPr>
          <w:rFonts w:eastAsiaTheme="minorEastAsia"/>
          <w:lang w:eastAsia="fr-FR"/>
        </w:rPr>
      </w:pPr>
      <w:hyperlink w:anchor="_Toc182298632" w:history="1">
        <w:r w:rsidR="004F69A7" w:rsidRPr="00103C6F">
          <w:rPr>
            <w:rStyle w:val="Lienhypertexte"/>
            <w:kern w:val="24"/>
          </w:rPr>
          <w:t>1.5- Intermédiation financière dans le système bancaire islamique</w:t>
        </w:r>
        <w:r w:rsidR="004F69A7" w:rsidRPr="00103C6F">
          <w:rPr>
            <w:webHidden/>
          </w:rPr>
          <w:tab/>
        </w:r>
        <w:r w:rsidR="004F69A7" w:rsidRPr="00103C6F">
          <w:rPr>
            <w:webHidden/>
          </w:rPr>
          <w:fldChar w:fldCharType="begin"/>
        </w:r>
        <w:r w:rsidR="004F69A7" w:rsidRPr="00103C6F">
          <w:rPr>
            <w:webHidden/>
          </w:rPr>
          <w:instrText xml:space="preserve"> PAGEREF _Toc182298632 \h </w:instrText>
        </w:r>
        <w:r w:rsidR="004F69A7" w:rsidRPr="00103C6F">
          <w:rPr>
            <w:webHidden/>
          </w:rPr>
        </w:r>
        <w:r w:rsidR="004F69A7" w:rsidRPr="00103C6F">
          <w:rPr>
            <w:webHidden/>
          </w:rPr>
          <w:fldChar w:fldCharType="separate"/>
        </w:r>
        <w:r w:rsidR="00666FC7">
          <w:rPr>
            <w:webHidden/>
          </w:rPr>
          <w:t>39</w:t>
        </w:r>
        <w:r w:rsidR="004F69A7" w:rsidRPr="00103C6F">
          <w:rPr>
            <w:webHidden/>
          </w:rPr>
          <w:fldChar w:fldCharType="end"/>
        </w:r>
      </w:hyperlink>
    </w:p>
    <w:p w14:paraId="60CDCC4E" w14:textId="39CC03C7" w:rsidR="004F69A7" w:rsidRPr="00103C6F" w:rsidRDefault="00C40DAA" w:rsidP="009C2D83">
      <w:pPr>
        <w:pStyle w:val="TM2"/>
        <w:keepNext w:val="0"/>
        <w:keepLines w:val="0"/>
        <w:widowControl w:val="0"/>
        <w:rPr>
          <w:rFonts w:eastAsiaTheme="minorEastAsia"/>
          <w:kern w:val="0"/>
          <w:lang w:eastAsia="fr-FR"/>
        </w:rPr>
      </w:pPr>
      <w:hyperlink w:anchor="_Toc182298633" w:history="1">
        <w:r w:rsidR="004F69A7" w:rsidRPr="00103C6F">
          <w:rPr>
            <w:rStyle w:val="Lienhypertexte"/>
          </w:rPr>
          <w:t>Section II- Modes de financement islamique</w:t>
        </w:r>
        <w:r w:rsidR="004F69A7" w:rsidRPr="00103C6F">
          <w:rPr>
            <w:webHidden/>
          </w:rPr>
          <w:tab/>
        </w:r>
        <w:r w:rsidR="004F69A7" w:rsidRPr="00103C6F">
          <w:rPr>
            <w:webHidden/>
          </w:rPr>
          <w:fldChar w:fldCharType="begin"/>
        </w:r>
        <w:r w:rsidR="004F69A7" w:rsidRPr="00103C6F">
          <w:rPr>
            <w:webHidden/>
          </w:rPr>
          <w:instrText xml:space="preserve"> PAGEREF _Toc182298633 \h </w:instrText>
        </w:r>
        <w:r w:rsidR="004F69A7" w:rsidRPr="00103C6F">
          <w:rPr>
            <w:webHidden/>
          </w:rPr>
        </w:r>
        <w:r w:rsidR="004F69A7" w:rsidRPr="00103C6F">
          <w:rPr>
            <w:webHidden/>
          </w:rPr>
          <w:fldChar w:fldCharType="separate"/>
        </w:r>
        <w:r w:rsidR="00666FC7">
          <w:rPr>
            <w:webHidden/>
          </w:rPr>
          <w:t>40</w:t>
        </w:r>
        <w:r w:rsidR="004F69A7" w:rsidRPr="00103C6F">
          <w:rPr>
            <w:webHidden/>
          </w:rPr>
          <w:fldChar w:fldCharType="end"/>
        </w:r>
      </w:hyperlink>
    </w:p>
    <w:p w14:paraId="5223B143" w14:textId="07A8AD42" w:rsidR="004F69A7" w:rsidRPr="00103C6F" w:rsidRDefault="00C40DAA" w:rsidP="009C2D83">
      <w:pPr>
        <w:pStyle w:val="TM3"/>
        <w:keepNext w:val="0"/>
        <w:keepLines w:val="0"/>
        <w:widowControl w:val="0"/>
        <w:spacing w:before="0"/>
        <w:rPr>
          <w:rFonts w:eastAsiaTheme="minorEastAsia"/>
          <w:lang w:eastAsia="fr-FR"/>
        </w:rPr>
      </w:pPr>
      <w:hyperlink w:anchor="_Toc182298634" w:history="1">
        <w:r w:rsidR="004F69A7" w:rsidRPr="00103C6F">
          <w:rPr>
            <w:rStyle w:val="Lienhypertexte"/>
            <w:kern w:val="24"/>
          </w:rPr>
          <w:t>2.1- Modes de financement par participation</w:t>
        </w:r>
        <w:r w:rsidR="004F69A7" w:rsidRPr="00103C6F">
          <w:rPr>
            <w:webHidden/>
          </w:rPr>
          <w:tab/>
        </w:r>
        <w:r w:rsidR="004F69A7" w:rsidRPr="00103C6F">
          <w:rPr>
            <w:webHidden/>
          </w:rPr>
          <w:fldChar w:fldCharType="begin"/>
        </w:r>
        <w:r w:rsidR="004F69A7" w:rsidRPr="00103C6F">
          <w:rPr>
            <w:webHidden/>
          </w:rPr>
          <w:instrText xml:space="preserve"> PAGEREF _Toc182298634 \h </w:instrText>
        </w:r>
        <w:r w:rsidR="004F69A7" w:rsidRPr="00103C6F">
          <w:rPr>
            <w:webHidden/>
          </w:rPr>
        </w:r>
        <w:r w:rsidR="004F69A7" w:rsidRPr="00103C6F">
          <w:rPr>
            <w:webHidden/>
          </w:rPr>
          <w:fldChar w:fldCharType="separate"/>
        </w:r>
        <w:r w:rsidR="00666FC7">
          <w:rPr>
            <w:webHidden/>
          </w:rPr>
          <w:t>40</w:t>
        </w:r>
        <w:r w:rsidR="004F69A7" w:rsidRPr="00103C6F">
          <w:rPr>
            <w:webHidden/>
          </w:rPr>
          <w:fldChar w:fldCharType="end"/>
        </w:r>
      </w:hyperlink>
    </w:p>
    <w:p w14:paraId="3E544AE1" w14:textId="695375EA"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35" w:history="1">
        <w:r w:rsidR="004F69A7" w:rsidRPr="00103C6F">
          <w:rPr>
            <w:rStyle w:val="Lienhypertexte"/>
            <w:rFonts w:asciiTheme="majorBidi" w:hAnsiTheme="majorBidi" w:cstheme="majorBidi"/>
            <w:noProof/>
            <w:kern w:val="24"/>
            <w:sz w:val="24"/>
            <w:szCs w:val="24"/>
          </w:rPr>
          <w:t>2.1.1- Moucharaka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_Toc182298635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40</w:t>
        </w:r>
        <w:r w:rsidR="004F69A7" w:rsidRPr="00103C6F">
          <w:rPr>
            <w:rFonts w:asciiTheme="majorBidi" w:hAnsiTheme="majorBidi" w:cstheme="majorBidi"/>
            <w:noProof/>
            <w:webHidden/>
            <w:sz w:val="24"/>
            <w:szCs w:val="24"/>
          </w:rPr>
          <w:fldChar w:fldCharType="end"/>
        </w:r>
      </w:hyperlink>
    </w:p>
    <w:p w14:paraId="42C97706" w14:textId="3926F138"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36" w:history="1">
        <w:r w:rsidR="004F69A7" w:rsidRPr="00103C6F">
          <w:rPr>
            <w:rStyle w:val="Lienhypertexte"/>
            <w:rFonts w:asciiTheme="majorBidi" w:hAnsiTheme="majorBidi" w:cstheme="majorBidi"/>
            <w:noProof/>
            <w:kern w:val="24"/>
            <w:sz w:val="24"/>
            <w:szCs w:val="24"/>
          </w:rPr>
          <w:t>2.1.1.1- Définition de la moucharaka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_Toc182298636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41</w:t>
        </w:r>
        <w:r w:rsidR="004F69A7" w:rsidRPr="00103C6F">
          <w:rPr>
            <w:rFonts w:asciiTheme="majorBidi" w:hAnsiTheme="majorBidi" w:cstheme="majorBidi"/>
            <w:noProof/>
            <w:webHidden/>
            <w:sz w:val="24"/>
            <w:szCs w:val="24"/>
          </w:rPr>
          <w:fldChar w:fldCharType="end"/>
        </w:r>
      </w:hyperlink>
    </w:p>
    <w:p w14:paraId="45E8007D" w14:textId="090C49E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37" w:history="1">
        <w:r w:rsidR="004F69A7" w:rsidRPr="00103C6F">
          <w:rPr>
            <w:rStyle w:val="Lienhypertexte"/>
            <w:rFonts w:asciiTheme="majorBidi" w:hAnsiTheme="majorBidi" w:cstheme="majorBidi"/>
            <w:noProof/>
            <w:kern w:val="24"/>
            <w:sz w:val="24"/>
            <w:szCs w:val="24"/>
          </w:rPr>
          <w:t>2.1.1.2- Moucharaka permanente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_Toc182298637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42</w:t>
        </w:r>
        <w:r w:rsidR="004F69A7" w:rsidRPr="00103C6F">
          <w:rPr>
            <w:rFonts w:asciiTheme="majorBidi" w:hAnsiTheme="majorBidi" w:cstheme="majorBidi"/>
            <w:noProof/>
            <w:webHidden/>
            <w:sz w:val="24"/>
            <w:szCs w:val="24"/>
          </w:rPr>
          <w:fldChar w:fldCharType="end"/>
        </w:r>
      </w:hyperlink>
    </w:p>
    <w:p w14:paraId="7067970B" w14:textId="25CE278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38" w:history="1">
        <w:r w:rsidR="004F69A7" w:rsidRPr="00103C6F">
          <w:rPr>
            <w:rStyle w:val="Lienhypertexte"/>
            <w:rFonts w:asciiTheme="majorBidi" w:hAnsiTheme="majorBidi" w:cstheme="majorBidi"/>
            <w:noProof/>
            <w:kern w:val="24"/>
            <w:sz w:val="24"/>
            <w:szCs w:val="24"/>
          </w:rPr>
          <w:t>2.1.1.3- Moucharaka décroissante (dégressive)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_Toc182298638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42</w:t>
        </w:r>
        <w:r w:rsidR="004F69A7" w:rsidRPr="00103C6F">
          <w:rPr>
            <w:rFonts w:asciiTheme="majorBidi" w:hAnsiTheme="majorBidi" w:cstheme="majorBidi"/>
            <w:noProof/>
            <w:webHidden/>
            <w:sz w:val="24"/>
            <w:szCs w:val="24"/>
          </w:rPr>
          <w:fldChar w:fldCharType="end"/>
        </w:r>
      </w:hyperlink>
    </w:p>
    <w:p w14:paraId="511A86D1" w14:textId="3160A49B"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39" w:history="1">
        <w:r w:rsidR="004F69A7" w:rsidRPr="00103C6F">
          <w:rPr>
            <w:rStyle w:val="Lienhypertexte"/>
            <w:rFonts w:asciiTheme="majorBidi" w:hAnsiTheme="majorBidi" w:cstheme="majorBidi"/>
            <w:noProof/>
            <w:kern w:val="24"/>
            <w:sz w:val="24"/>
            <w:szCs w:val="24"/>
          </w:rPr>
          <w:t>2.1.2- Moudaraba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_Toc182298639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43</w:t>
        </w:r>
        <w:r w:rsidR="004F69A7" w:rsidRPr="00103C6F">
          <w:rPr>
            <w:rFonts w:asciiTheme="majorBidi" w:hAnsiTheme="majorBidi" w:cstheme="majorBidi"/>
            <w:noProof/>
            <w:webHidden/>
            <w:sz w:val="24"/>
            <w:szCs w:val="24"/>
          </w:rPr>
          <w:fldChar w:fldCharType="end"/>
        </w:r>
      </w:hyperlink>
    </w:p>
    <w:p w14:paraId="01B2E9A7" w14:textId="4BA790A6"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40" w:history="1">
        <w:r w:rsidR="004F69A7" w:rsidRPr="00103C6F">
          <w:rPr>
            <w:rStyle w:val="Lienhypertexte"/>
            <w:rFonts w:asciiTheme="majorBidi" w:hAnsiTheme="majorBidi" w:cstheme="majorBidi"/>
            <w:noProof/>
            <w:kern w:val="24"/>
            <w:sz w:val="24"/>
            <w:szCs w:val="24"/>
          </w:rPr>
          <w:t>2.1.2.1- Définition de la moudaraba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_Toc182298640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43</w:t>
        </w:r>
        <w:r w:rsidR="004F69A7" w:rsidRPr="00103C6F">
          <w:rPr>
            <w:rFonts w:asciiTheme="majorBidi" w:hAnsiTheme="majorBidi" w:cstheme="majorBidi"/>
            <w:noProof/>
            <w:webHidden/>
            <w:sz w:val="24"/>
            <w:szCs w:val="24"/>
          </w:rPr>
          <w:fldChar w:fldCharType="end"/>
        </w:r>
      </w:hyperlink>
    </w:p>
    <w:p w14:paraId="47BA6A75" w14:textId="1EE6AC3C"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41" w:history="1">
        <w:r w:rsidR="004F69A7" w:rsidRPr="00103C6F">
          <w:rPr>
            <w:rStyle w:val="Lienhypertexte"/>
            <w:rFonts w:asciiTheme="majorBidi" w:hAnsiTheme="majorBidi" w:cstheme="majorBidi"/>
            <w:noProof/>
            <w:sz w:val="24"/>
            <w:szCs w:val="24"/>
          </w:rPr>
          <w:t>2.1.2.1.1- Capital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_Toc182298641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43</w:t>
        </w:r>
        <w:r w:rsidR="004F69A7" w:rsidRPr="00103C6F">
          <w:rPr>
            <w:rFonts w:asciiTheme="majorBidi" w:hAnsiTheme="majorBidi" w:cstheme="majorBidi"/>
            <w:noProof/>
            <w:webHidden/>
            <w:sz w:val="24"/>
            <w:szCs w:val="24"/>
          </w:rPr>
          <w:fldChar w:fldCharType="end"/>
        </w:r>
      </w:hyperlink>
    </w:p>
    <w:p w14:paraId="5592EC96" w14:textId="101813EE"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42" w:history="1">
        <w:r w:rsidR="004F69A7" w:rsidRPr="00103C6F">
          <w:rPr>
            <w:rStyle w:val="Lienhypertexte"/>
            <w:rFonts w:asciiTheme="majorBidi" w:hAnsiTheme="majorBidi" w:cstheme="majorBidi"/>
            <w:noProof/>
            <w:sz w:val="24"/>
            <w:szCs w:val="24"/>
          </w:rPr>
          <w:t>2.1.2.1.2- Travail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_Toc182298642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43</w:t>
        </w:r>
        <w:r w:rsidR="004F69A7" w:rsidRPr="00103C6F">
          <w:rPr>
            <w:rFonts w:asciiTheme="majorBidi" w:hAnsiTheme="majorBidi" w:cstheme="majorBidi"/>
            <w:noProof/>
            <w:webHidden/>
            <w:sz w:val="24"/>
            <w:szCs w:val="24"/>
          </w:rPr>
          <w:fldChar w:fldCharType="end"/>
        </w:r>
      </w:hyperlink>
    </w:p>
    <w:p w14:paraId="008B1E6C" w14:textId="40D1AD99"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43" w:history="1">
        <w:r w:rsidR="004F69A7" w:rsidRPr="00103C6F">
          <w:rPr>
            <w:rStyle w:val="Lienhypertexte"/>
            <w:rFonts w:asciiTheme="majorBidi" w:hAnsiTheme="majorBidi" w:cstheme="majorBidi"/>
            <w:noProof/>
            <w:kern w:val="24"/>
            <w:sz w:val="24"/>
            <w:szCs w:val="24"/>
          </w:rPr>
          <w:t>2.1.2.1.3- Temps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_Toc182298643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44</w:t>
        </w:r>
        <w:r w:rsidR="004F69A7" w:rsidRPr="00103C6F">
          <w:rPr>
            <w:rFonts w:asciiTheme="majorBidi" w:hAnsiTheme="majorBidi" w:cstheme="majorBidi"/>
            <w:noProof/>
            <w:webHidden/>
            <w:sz w:val="24"/>
            <w:szCs w:val="24"/>
          </w:rPr>
          <w:fldChar w:fldCharType="end"/>
        </w:r>
      </w:hyperlink>
    </w:p>
    <w:p w14:paraId="741AC63C" w14:textId="0CCC0C38"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44" w:history="1">
        <w:r w:rsidR="004F69A7" w:rsidRPr="00103C6F">
          <w:rPr>
            <w:rStyle w:val="Lienhypertexte"/>
            <w:rFonts w:asciiTheme="majorBidi" w:hAnsiTheme="majorBidi" w:cstheme="majorBidi"/>
            <w:noProof/>
            <w:kern w:val="24"/>
            <w:sz w:val="24"/>
            <w:szCs w:val="24"/>
          </w:rPr>
          <w:t>2.1.2.1.4- Répartition des pertes et des profits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_Toc182298644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45</w:t>
        </w:r>
        <w:r w:rsidR="004F69A7" w:rsidRPr="00103C6F">
          <w:rPr>
            <w:rFonts w:asciiTheme="majorBidi" w:hAnsiTheme="majorBidi" w:cstheme="majorBidi"/>
            <w:noProof/>
            <w:webHidden/>
            <w:sz w:val="24"/>
            <w:szCs w:val="24"/>
          </w:rPr>
          <w:fldChar w:fldCharType="end"/>
        </w:r>
      </w:hyperlink>
    </w:p>
    <w:p w14:paraId="4233E40F" w14:textId="372BDE2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45" w:history="1">
        <w:r w:rsidR="004F69A7" w:rsidRPr="00103C6F">
          <w:rPr>
            <w:rStyle w:val="Lienhypertexte"/>
            <w:rFonts w:asciiTheme="majorBidi" w:hAnsiTheme="majorBidi" w:cstheme="majorBidi"/>
            <w:noProof/>
            <w:kern w:val="24"/>
            <w:sz w:val="24"/>
            <w:szCs w:val="24"/>
          </w:rPr>
          <w:t>2.1.2.2- Moudaraba mouqayyada (restrictive)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_Toc182298645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45</w:t>
        </w:r>
        <w:r w:rsidR="004F69A7" w:rsidRPr="00103C6F">
          <w:rPr>
            <w:rFonts w:asciiTheme="majorBidi" w:hAnsiTheme="majorBidi" w:cstheme="majorBidi"/>
            <w:noProof/>
            <w:webHidden/>
            <w:sz w:val="24"/>
            <w:szCs w:val="24"/>
          </w:rPr>
          <w:fldChar w:fldCharType="end"/>
        </w:r>
      </w:hyperlink>
    </w:p>
    <w:p w14:paraId="5BC0E6FE" w14:textId="0D4A9A06"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46" w:history="1">
        <w:r w:rsidR="004F69A7" w:rsidRPr="00103C6F">
          <w:rPr>
            <w:rStyle w:val="Lienhypertexte"/>
            <w:rFonts w:asciiTheme="majorBidi" w:hAnsiTheme="majorBidi" w:cstheme="majorBidi"/>
            <w:noProof/>
            <w:kern w:val="24"/>
            <w:sz w:val="24"/>
            <w:szCs w:val="24"/>
          </w:rPr>
          <w:t>2.1.2.3- Moudaraba moutlaqa (absolue)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_Toc182298646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45</w:t>
        </w:r>
        <w:r w:rsidR="004F69A7" w:rsidRPr="00103C6F">
          <w:rPr>
            <w:rFonts w:asciiTheme="majorBidi" w:hAnsiTheme="majorBidi" w:cstheme="majorBidi"/>
            <w:noProof/>
            <w:webHidden/>
            <w:sz w:val="24"/>
            <w:szCs w:val="24"/>
          </w:rPr>
          <w:fldChar w:fldCharType="end"/>
        </w:r>
      </w:hyperlink>
    </w:p>
    <w:p w14:paraId="126A8C6C" w14:textId="5D0BBDF6"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47" w:history="1">
        <w:r w:rsidR="004F69A7" w:rsidRPr="00103C6F">
          <w:rPr>
            <w:rStyle w:val="Lienhypertexte"/>
            <w:rFonts w:asciiTheme="majorBidi" w:hAnsiTheme="majorBidi" w:cstheme="majorBidi"/>
            <w:noProof/>
            <w:kern w:val="24"/>
            <w:sz w:val="24"/>
            <w:szCs w:val="24"/>
          </w:rPr>
          <w:t>2.1.2.4- Moudaraba muzdawaja ou double rôle de la banque islamique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_Toc182298647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45</w:t>
        </w:r>
        <w:r w:rsidR="004F69A7" w:rsidRPr="00103C6F">
          <w:rPr>
            <w:rFonts w:asciiTheme="majorBidi" w:hAnsiTheme="majorBidi" w:cstheme="majorBidi"/>
            <w:noProof/>
            <w:webHidden/>
            <w:sz w:val="24"/>
            <w:szCs w:val="24"/>
          </w:rPr>
          <w:fldChar w:fldCharType="end"/>
        </w:r>
      </w:hyperlink>
    </w:p>
    <w:p w14:paraId="1C99BF2A" w14:textId="1A39AC7B"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48" w:history="1">
        <w:r w:rsidR="004F69A7" w:rsidRPr="00103C6F">
          <w:rPr>
            <w:rStyle w:val="Lienhypertexte"/>
            <w:rFonts w:asciiTheme="majorBidi" w:hAnsiTheme="majorBidi" w:cstheme="majorBidi"/>
            <w:noProof/>
            <w:kern w:val="24"/>
            <w:sz w:val="24"/>
            <w:szCs w:val="24"/>
          </w:rPr>
          <w:t>2.1.2.4.1- Rôle de commandité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_Toc182298648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45</w:t>
        </w:r>
        <w:r w:rsidR="004F69A7" w:rsidRPr="00103C6F">
          <w:rPr>
            <w:rFonts w:asciiTheme="majorBidi" w:hAnsiTheme="majorBidi" w:cstheme="majorBidi"/>
            <w:noProof/>
            <w:webHidden/>
            <w:sz w:val="24"/>
            <w:szCs w:val="24"/>
          </w:rPr>
          <w:fldChar w:fldCharType="end"/>
        </w:r>
      </w:hyperlink>
    </w:p>
    <w:p w14:paraId="51475D03" w14:textId="17081629"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49" w:history="1">
        <w:r w:rsidR="004F69A7" w:rsidRPr="00103C6F">
          <w:rPr>
            <w:rStyle w:val="Lienhypertexte"/>
            <w:rFonts w:asciiTheme="majorBidi" w:hAnsiTheme="majorBidi" w:cstheme="majorBidi"/>
            <w:noProof/>
            <w:kern w:val="24"/>
            <w:sz w:val="24"/>
            <w:szCs w:val="24"/>
          </w:rPr>
          <w:t>2.1.2.4.2- Rôle de commanditaire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_Toc182298649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45</w:t>
        </w:r>
        <w:r w:rsidR="004F69A7" w:rsidRPr="00103C6F">
          <w:rPr>
            <w:rFonts w:asciiTheme="majorBidi" w:hAnsiTheme="majorBidi" w:cstheme="majorBidi"/>
            <w:noProof/>
            <w:webHidden/>
            <w:sz w:val="24"/>
            <w:szCs w:val="24"/>
          </w:rPr>
          <w:fldChar w:fldCharType="end"/>
        </w:r>
      </w:hyperlink>
    </w:p>
    <w:p w14:paraId="39C8231E" w14:textId="351666A0"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50" w:history="1">
        <w:r w:rsidR="004F69A7" w:rsidRPr="00103C6F">
          <w:rPr>
            <w:rStyle w:val="Lienhypertexte"/>
            <w:rFonts w:asciiTheme="majorBidi" w:hAnsiTheme="majorBidi" w:cstheme="majorBidi"/>
            <w:noProof/>
            <w:kern w:val="24"/>
            <w:sz w:val="24"/>
            <w:szCs w:val="24"/>
          </w:rPr>
          <w:t>2.1.3- Mouzâraa’, moussaqâ et moughârassa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_Toc182298650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46</w:t>
        </w:r>
        <w:r w:rsidR="004F69A7" w:rsidRPr="00103C6F">
          <w:rPr>
            <w:rFonts w:asciiTheme="majorBidi" w:hAnsiTheme="majorBidi" w:cstheme="majorBidi"/>
            <w:noProof/>
            <w:webHidden/>
            <w:sz w:val="24"/>
            <w:szCs w:val="24"/>
          </w:rPr>
          <w:fldChar w:fldCharType="end"/>
        </w:r>
      </w:hyperlink>
    </w:p>
    <w:p w14:paraId="4DF8065F" w14:textId="3D281C2D"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51" w:history="1">
        <w:r w:rsidR="004F69A7" w:rsidRPr="00103C6F">
          <w:rPr>
            <w:rStyle w:val="Lienhypertexte"/>
            <w:rFonts w:asciiTheme="majorBidi" w:hAnsiTheme="majorBidi" w:cstheme="majorBidi"/>
            <w:noProof/>
            <w:kern w:val="24"/>
            <w:sz w:val="24"/>
            <w:szCs w:val="24"/>
          </w:rPr>
          <w:t>2.1.3.1- Mouzâraa’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_Toc182298651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46</w:t>
        </w:r>
        <w:r w:rsidR="004F69A7" w:rsidRPr="00103C6F">
          <w:rPr>
            <w:rFonts w:asciiTheme="majorBidi" w:hAnsiTheme="majorBidi" w:cstheme="majorBidi"/>
            <w:noProof/>
            <w:webHidden/>
            <w:sz w:val="24"/>
            <w:szCs w:val="24"/>
          </w:rPr>
          <w:fldChar w:fldCharType="end"/>
        </w:r>
      </w:hyperlink>
    </w:p>
    <w:p w14:paraId="3F194780" w14:textId="5D1D6BEE" w:rsidR="004F69A7" w:rsidRPr="00103C6F" w:rsidRDefault="00C40DAA" w:rsidP="009C2D83">
      <w:pPr>
        <w:pStyle w:val="TM5"/>
        <w:widowControl w:val="0"/>
        <w:tabs>
          <w:tab w:val="right" w:leader="dot" w:pos="9061"/>
        </w:tabs>
        <w:ind w:left="879"/>
        <w:rPr>
          <w:rFonts w:asciiTheme="majorBidi" w:eastAsiaTheme="minorEastAsia" w:hAnsiTheme="majorBidi" w:cstheme="majorBidi"/>
          <w:noProof/>
          <w:sz w:val="24"/>
          <w:szCs w:val="24"/>
          <w:lang w:eastAsia="fr-FR"/>
        </w:rPr>
      </w:pPr>
      <w:hyperlink w:anchor="_Toc182298652" w:history="1">
        <w:r w:rsidR="004F69A7" w:rsidRPr="00103C6F">
          <w:rPr>
            <w:rStyle w:val="Lienhypertexte"/>
            <w:rFonts w:asciiTheme="majorBidi" w:hAnsiTheme="majorBidi" w:cstheme="majorBidi"/>
            <w:noProof/>
            <w:kern w:val="24"/>
            <w:sz w:val="24"/>
            <w:szCs w:val="24"/>
          </w:rPr>
          <w:t>2.1.3.2- Moussaqâ</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_Toc182298652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46</w:t>
        </w:r>
        <w:r w:rsidR="004F69A7" w:rsidRPr="00103C6F">
          <w:rPr>
            <w:rFonts w:asciiTheme="majorBidi" w:hAnsiTheme="majorBidi" w:cstheme="majorBidi"/>
            <w:noProof/>
            <w:webHidden/>
            <w:sz w:val="24"/>
            <w:szCs w:val="24"/>
          </w:rPr>
          <w:fldChar w:fldCharType="end"/>
        </w:r>
      </w:hyperlink>
    </w:p>
    <w:p w14:paraId="47D8BCEF" w14:textId="5A091FE4" w:rsidR="004F69A7" w:rsidRPr="00103C6F" w:rsidRDefault="00C40DAA" w:rsidP="009C2D83">
      <w:pPr>
        <w:pStyle w:val="TM5"/>
        <w:widowControl w:val="0"/>
        <w:tabs>
          <w:tab w:val="right" w:leader="dot" w:pos="9061"/>
        </w:tabs>
        <w:ind w:left="879"/>
        <w:rPr>
          <w:rFonts w:asciiTheme="majorBidi" w:eastAsiaTheme="minorEastAsia" w:hAnsiTheme="majorBidi" w:cstheme="majorBidi"/>
          <w:noProof/>
          <w:sz w:val="24"/>
          <w:szCs w:val="24"/>
          <w:lang w:eastAsia="fr-FR"/>
        </w:rPr>
      </w:pPr>
      <w:hyperlink w:anchor="_Toc182298653" w:history="1">
        <w:r w:rsidR="004F69A7" w:rsidRPr="00103C6F">
          <w:rPr>
            <w:rStyle w:val="Lienhypertexte"/>
            <w:rFonts w:asciiTheme="majorBidi" w:hAnsiTheme="majorBidi" w:cstheme="majorBidi"/>
            <w:noProof/>
            <w:kern w:val="24"/>
            <w:sz w:val="24"/>
            <w:szCs w:val="24"/>
          </w:rPr>
          <w:t>2.1.3.3- Moughârassa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_Toc182298653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46</w:t>
        </w:r>
        <w:r w:rsidR="004F69A7" w:rsidRPr="00103C6F">
          <w:rPr>
            <w:rFonts w:asciiTheme="majorBidi" w:hAnsiTheme="majorBidi" w:cstheme="majorBidi"/>
            <w:noProof/>
            <w:webHidden/>
            <w:sz w:val="24"/>
            <w:szCs w:val="24"/>
          </w:rPr>
          <w:fldChar w:fldCharType="end"/>
        </w:r>
      </w:hyperlink>
    </w:p>
    <w:p w14:paraId="60D508F2" w14:textId="063DC182" w:rsidR="004F69A7" w:rsidRPr="00103C6F" w:rsidRDefault="00C40DAA" w:rsidP="009C2D83">
      <w:pPr>
        <w:pStyle w:val="TM3"/>
        <w:keepNext w:val="0"/>
        <w:keepLines w:val="0"/>
        <w:widowControl w:val="0"/>
        <w:rPr>
          <w:rFonts w:eastAsiaTheme="minorEastAsia"/>
          <w:lang w:eastAsia="fr-FR"/>
        </w:rPr>
      </w:pPr>
      <w:hyperlink w:anchor="_Toc182298654" w:history="1">
        <w:r w:rsidR="004F69A7" w:rsidRPr="00103C6F">
          <w:rPr>
            <w:rStyle w:val="Lienhypertexte"/>
            <w:kern w:val="24"/>
          </w:rPr>
          <w:t>2.2- Modes de financement par dette</w:t>
        </w:r>
        <w:r w:rsidR="004F69A7" w:rsidRPr="00103C6F">
          <w:rPr>
            <w:webHidden/>
          </w:rPr>
          <w:tab/>
        </w:r>
        <w:r w:rsidR="004F69A7" w:rsidRPr="00103C6F">
          <w:rPr>
            <w:webHidden/>
          </w:rPr>
          <w:fldChar w:fldCharType="begin"/>
        </w:r>
        <w:r w:rsidR="004F69A7" w:rsidRPr="00103C6F">
          <w:rPr>
            <w:webHidden/>
          </w:rPr>
          <w:instrText xml:space="preserve"> PAGEREF _Toc182298654 \h </w:instrText>
        </w:r>
        <w:r w:rsidR="004F69A7" w:rsidRPr="00103C6F">
          <w:rPr>
            <w:webHidden/>
          </w:rPr>
        </w:r>
        <w:r w:rsidR="004F69A7" w:rsidRPr="00103C6F">
          <w:rPr>
            <w:webHidden/>
          </w:rPr>
          <w:fldChar w:fldCharType="separate"/>
        </w:r>
        <w:r w:rsidR="00666FC7">
          <w:rPr>
            <w:webHidden/>
          </w:rPr>
          <w:t>46</w:t>
        </w:r>
        <w:r w:rsidR="004F69A7" w:rsidRPr="00103C6F">
          <w:rPr>
            <w:webHidden/>
          </w:rPr>
          <w:fldChar w:fldCharType="end"/>
        </w:r>
      </w:hyperlink>
    </w:p>
    <w:p w14:paraId="536356A9" w14:textId="3B8054B9" w:rsidR="004F69A7" w:rsidRPr="0014270C"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55" w:history="1">
        <w:r w:rsidR="004F69A7" w:rsidRPr="00103C6F">
          <w:rPr>
            <w:rStyle w:val="Lienhypertexte"/>
            <w:rFonts w:asciiTheme="majorBidi" w:hAnsiTheme="majorBidi" w:cstheme="majorBidi"/>
            <w:noProof/>
            <w:kern w:val="24"/>
            <w:sz w:val="24"/>
            <w:szCs w:val="24"/>
          </w:rPr>
          <w:t>2.2.1- Mourabaha (achat- revente avec marge bénéficiaire)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_Toc182298655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47</w:t>
        </w:r>
        <w:r w:rsidR="004F69A7" w:rsidRPr="00103C6F">
          <w:rPr>
            <w:rFonts w:asciiTheme="majorBidi" w:hAnsiTheme="majorBidi" w:cstheme="majorBidi"/>
            <w:noProof/>
            <w:webHidden/>
            <w:sz w:val="24"/>
            <w:szCs w:val="24"/>
          </w:rPr>
          <w:fldChar w:fldCharType="end"/>
        </w:r>
      </w:hyperlink>
    </w:p>
    <w:p w14:paraId="0D18A7AD" w14:textId="21E80793"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56" w:history="1">
        <w:r w:rsidR="004F69A7" w:rsidRPr="00103C6F">
          <w:rPr>
            <w:rStyle w:val="Lienhypertexte"/>
            <w:rFonts w:asciiTheme="majorBidi" w:hAnsiTheme="majorBidi" w:cstheme="majorBidi"/>
            <w:noProof/>
            <w:kern w:val="24"/>
            <w:sz w:val="24"/>
            <w:szCs w:val="24"/>
          </w:rPr>
          <w:t>2.2.2- Salam (bien à acquérir)</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_Toc182298656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49</w:t>
        </w:r>
        <w:r w:rsidR="004F69A7" w:rsidRPr="00103C6F">
          <w:rPr>
            <w:rFonts w:asciiTheme="majorBidi" w:hAnsiTheme="majorBidi" w:cstheme="majorBidi"/>
            <w:noProof/>
            <w:webHidden/>
            <w:sz w:val="24"/>
            <w:szCs w:val="24"/>
          </w:rPr>
          <w:fldChar w:fldCharType="end"/>
        </w:r>
      </w:hyperlink>
    </w:p>
    <w:p w14:paraId="05E54E66" w14:textId="468C5A3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57" w:history="1">
        <w:r w:rsidR="004F69A7" w:rsidRPr="00103C6F">
          <w:rPr>
            <w:rStyle w:val="Lienhypertexte"/>
            <w:rFonts w:asciiTheme="majorBidi" w:hAnsiTheme="majorBidi" w:cstheme="majorBidi"/>
            <w:noProof/>
            <w:sz w:val="24"/>
            <w:szCs w:val="24"/>
          </w:rPr>
          <w:t>2.2.3- Istisna’ (bien à fabriquer)</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_Toc182298657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50</w:t>
        </w:r>
        <w:r w:rsidR="004F69A7" w:rsidRPr="00103C6F">
          <w:rPr>
            <w:rFonts w:asciiTheme="majorBidi" w:hAnsiTheme="majorBidi" w:cstheme="majorBidi"/>
            <w:noProof/>
            <w:webHidden/>
            <w:sz w:val="24"/>
            <w:szCs w:val="24"/>
          </w:rPr>
          <w:fldChar w:fldCharType="end"/>
        </w:r>
      </w:hyperlink>
    </w:p>
    <w:p w14:paraId="48FD5B86" w14:textId="31C6637C"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58" w:history="1">
        <w:r w:rsidR="004F69A7" w:rsidRPr="00103C6F">
          <w:rPr>
            <w:rStyle w:val="Lienhypertexte"/>
            <w:rFonts w:asciiTheme="majorBidi" w:hAnsiTheme="majorBidi" w:cstheme="majorBidi"/>
            <w:noProof/>
            <w:kern w:val="24"/>
            <w:sz w:val="24"/>
            <w:szCs w:val="24"/>
          </w:rPr>
          <w:t>2.2.4- Ijara/ ijara wa iqtina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_Toc182298658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51</w:t>
        </w:r>
        <w:r w:rsidR="004F69A7" w:rsidRPr="00103C6F">
          <w:rPr>
            <w:rFonts w:asciiTheme="majorBidi" w:hAnsiTheme="majorBidi" w:cstheme="majorBidi"/>
            <w:noProof/>
            <w:webHidden/>
            <w:sz w:val="24"/>
            <w:szCs w:val="24"/>
          </w:rPr>
          <w:fldChar w:fldCharType="end"/>
        </w:r>
      </w:hyperlink>
    </w:p>
    <w:p w14:paraId="3AACED8F" w14:textId="077DF603" w:rsidR="004F69A7" w:rsidRPr="00103C6F" w:rsidRDefault="00C40DAA" w:rsidP="009C2D83">
      <w:pPr>
        <w:pStyle w:val="TM3"/>
        <w:keepNext w:val="0"/>
        <w:keepLines w:val="0"/>
        <w:widowControl w:val="0"/>
        <w:rPr>
          <w:rFonts w:eastAsiaTheme="minorEastAsia"/>
          <w:lang w:eastAsia="fr-FR"/>
        </w:rPr>
      </w:pPr>
      <w:hyperlink w:anchor="_Toc182298659" w:history="1">
        <w:r w:rsidR="004F69A7" w:rsidRPr="00103C6F">
          <w:rPr>
            <w:rStyle w:val="Lienhypertexte"/>
            <w:kern w:val="24"/>
          </w:rPr>
          <w:t>2.3- Modes de financement sans contrepartie (secteur à but non-lucratif)</w:t>
        </w:r>
        <w:r w:rsidR="004F69A7" w:rsidRPr="00103C6F">
          <w:rPr>
            <w:webHidden/>
          </w:rPr>
          <w:tab/>
        </w:r>
        <w:r w:rsidR="004F69A7" w:rsidRPr="00103C6F">
          <w:rPr>
            <w:webHidden/>
          </w:rPr>
          <w:fldChar w:fldCharType="begin"/>
        </w:r>
        <w:r w:rsidR="004F69A7" w:rsidRPr="00103C6F">
          <w:rPr>
            <w:webHidden/>
          </w:rPr>
          <w:instrText xml:space="preserve"> PAGEREF _Toc182298659 \h </w:instrText>
        </w:r>
        <w:r w:rsidR="004F69A7" w:rsidRPr="00103C6F">
          <w:rPr>
            <w:webHidden/>
          </w:rPr>
        </w:r>
        <w:r w:rsidR="004F69A7" w:rsidRPr="00103C6F">
          <w:rPr>
            <w:webHidden/>
          </w:rPr>
          <w:fldChar w:fldCharType="separate"/>
        </w:r>
        <w:r w:rsidR="00666FC7">
          <w:rPr>
            <w:webHidden/>
          </w:rPr>
          <w:t>53</w:t>
        </w:r>
        <w:r w:rsidR="004F69A7" w:rsidRPr="00103C6F">
          <w:rPr>
            <w:webHidden/>
          </w:rPr>
          <w:fldChar w:fldCharType="end"/>
        </w:r>
      </w:hyperlink>
    </w:p>
    <w:p w14:paraId="1722648A" w14:textId="4F0889B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60" w:history="1">
        <w:r w:rsidR="004F69A7" w:rsidRPr="00103C6F">
          <w:rPr>
            <w:rStyle w:val="Lienhypertexte"/>
            <w:rFonts w:asciiTheme="majorBidi" w:hAnsiTheme="majorBidi" w:cstheme="majorBidi"/>
            <w:noProof/>
            <w:kern w:val="24"/>
            <w:sz w:val="24"/>
            <w:szCs w:val="24"/>
          </w:rPr>
          <w:t>2.3.1- Qard hassan (prêt sans 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_Toc182298660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53</w:t>
        </w:r>
        <w:r w:rsidR="004F69A7" w:rsidRPr="00103C6F">
          <w:rPr>
            <w:rFonts w:asciiTheme="majorBidi" w:hAnsiTheme="majorBidi" w:cstheme="majorBidi"/>
            <w:noProof/>
            <w:webHidden/>
            <w:sz w:val="24"/>
            <w:szCs w:val="24"/>
          </w:rPr>
          <w:fldChar w:fldCharType="end"/>
        </w:r>
      </w:hyperlink>
    </w:p>
    <w:p w14:paraId="1D77B097" w14:textId="060DEDEC"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61" w:history="1">
        <w:r w:rsidR="004F69A7" w:rsidRPr="00103C6F">
          <w:rPr>
            <w:rStyle w:val="Lienhypertexte"/>
            <w:rFonts w:asciiTheme="majorBidi" w:hAnsiTheme="majorBidi" w:cstheme="majorBidi"/>
            <w:noProof/>
            <w:kern w:val="24"/>
            <w:sz w:val="24"/>
            <w:szCs w:val="24"/>
          </w:rPr>
          <w:t>2.3.2- Prêts sociaux de bienfaisance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_Toc182298661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53</w:t>
        </w:r>
        <w:r w:rsidR="004F69A7" w:rsidRPr="00103C6F">
          <w:rPr>
            <w:rFonts w:asciiTheme="majorBidi" w:hAnsiTheme="majorBidi" w:cstheme="majorBidi"/>
            <w:noProof/>
            <w:webHidden/>
            <w:sz w:val="24"/>
            <w:szCs w:val="24"/>
          </w:rPr>
          <w:fldChar w:fldCharType="end"/>
        </w:r>
      </w:hyperlink>
    </w:p>
    <w:p w14:paraId="13BE5C03" w14:textId="777DE7DE" w:rsidR="004F69A7" w:rsidRPr="00103C6F" w:rsidRDefault="00C40DAA" w:rsidP="009C2D83">
      <w:pPr>
        <w:pStyle w:val="TM3"/>
        <w:keepNext w:val="0"/>
        <w:keepLines w:val="0"/>
        <w:widowControl w:val="0"/>
        <w:rPr>
          <w:rFonts w:eastAsiaTheme="minorEastAsia"/>
          <w:lang w:eastAsia="fr-FR"/>
        </w:rPr>
      </w:pPr>
      <w:hyperlink w:anchor="_Toc182298662" w:history="1">
        <w:r w:rsidR="004F69A7" w:rsidRPr="00103C6F">
          <w:rPr>
            <w:rStyle w:val="Lienhypertexte"/>
            <w:kern w:val="24"/>
          </w:rPr>
          <w:t>2.4- Instruments financiers utilisés sur le marché de capitaux islamique</w:t>
        </w:r>
        <w:r w:rsidR="004F69A7" w:rsidRPr="00103C6F">
          <w:rPr>
            <w:webHidden/>
          </w:rPr>
          <w:tab/>
        </w:r>
        <w:r w:rsidR="004F69A7" w:rsidRPr="00103C6F">
          <w:rPr>
            <w:webHidden/>
          </w:rPr>
          <w:fldChar w:fldCharType="begin"/>
        </w:r>
        <w:r w:rsidR="004F69A7" w:rsidRPr="00103C6F">
          <w:rPr>
            <w:webHidden/>
          </w:rPr>
          <w:instrText xml:space="preserve"> PAGEREF _Toc182298662 \h </w:instrText>
        </w:r>
        <w:r w:rsidR="004F69A7" w:rsidRPr="00103C6F">
          <w:rPr>
            <w:webHidden/>
          </w:rPr>
        </w:r>
        <w:r w:rsidR="004F69A7" w:rsidRPr="00103C6F">
          <w:rPr>
            <w:webHidden/>
          </w:rPr>
          <w:fldChar w:fldCharType="separate"/>
        </w:r>
        <w:r w:rsidR="00666FC7">
          <w:rPr>
            <w:webHidden/>
          </w:rPr>
          <w:t>53</w:t>
        </w:r>
        <w:r w:rsidR="004F69A7" w:rsidRPr="00103C6F">
          <w:rPr>
            <w:webHidden/>
          </w:rPr>
          <w:fldChar w:fldCharType="end"/>
        </w:r>
      </w:hyperlink>
    </w:p>
    <w:p w14:paraId="08DC99B0" w14:textId="75EA01D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63" w:history="1">
        <w:r w:rsidR="004F69A7" w:rsidRPr="00103C6F">
          <w:rPr>
            <w:rStyle w:val="Lienhypertexte"/>
            <w:rFonts w:asciiTheme="majorBidi" w:hAnsiTheme="majorBidi" w:cstheme="majorBidi"/>
            <w:noProof/>
            <w:kern w:val="24"/>
            <w:sz w:val="24"/>
            <w:szCs w:val="24"/>
          </w:rPr>
          <w:t>2.4.1- Sukuk</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_Toc182298663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54</w:t>
        </w:r>
        <w:r w:rsidR="004F69A7" w:rsidRPr="00103C6F">
          <w:rPr>
            <w:rFonts w:asciiTheme="majorBidi" w:hAnsiTheme="majorBidi" w:cstheme="majorBidi"/>
            <w:noProof/>
            <w:webHidden/>
            <w:sz w:val="24"/>
            <w:szCs w:val="24"/>
          </w:rPr>
          <w:fldChar w:fldCharType="end"/>
        </w:r>
      </w:hyperlink>
    </w:p>
    <w:p w14:paraId="1200AA11" w14:textId="46D7EED3"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64" w:history="1">
        <w:r w:rsidR="004F69A7" w:rsidRPr="00103C6F">
          <w:rPr>
            <w:rStyle w:val="Lienhypertexte"/>
            <w:rFonts w:asciiTheme="majorBidi" w:hAnsiTheme="majorBidi" w:cstheme="majorBidi"/>
            <w:noProof/>
            <w:kern w:val="24"/>
            <w:sz w:val="24"/>
            <w:szCs w:val="24"/>
          </w:rPr>
          <w:t>2.4.2 Actions conformes à la Shariah</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_Toc182298664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57</w:t>
        </w:r>
        <w:r w:rsidR="004F69A7" w:rsidRPr="00103C6F">
          <w:rPr>
            <w:rFonts w:asciiTheme="majorBidi" w:hAnsiTheme="majorBidi" w:cstheme="majorBidi"/>
            <w:noProof/>
            <w:webHidden/>
            <w:sz w:val="24"/>
            <w:szCs w:val="24"/>
          </w:rPr>
          <w:fldChar w:fldCharType="end"/>
        </w:r>
      </w:hyperlink>
    </w:p>
    <w:p w14:paraId="3E88F956" w14:textId="2EEFD99D"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65" w:history="1">
        <w:r w:rsidR="004F69A7" w:rsidRPr="00103C6F">
          <w:rPr>
            <w:rStyle w:val="Lienhypertexte"/>
            <w:rFonts w:asciiTheme="majorBidi" w:hAnsiTheme="majorBidi" w:cstheme="majorBidi"/>
            <w:noProof/>
            <w:sz w:val="24"/>
            <w:szCs w:val="24"/>
          </w:rPr>
          <w:t>2.4.3 Fonds d’investissement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_Toc182298665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58</w:t>
        </w:r>
        <w:r w:rsidR="004F69A7" w:rsidRPr="00103C6F">
          <w:rPr>
            <w:rFonts w:asciiTheme="majorBidi" w:hAnsiTheme="majorBidi" w:cstheme="majorBidi"/>
            <w:noProof/>
            <w:webHidden/>
            <w:sz w:val="24"/>
            <w:szCs w:val="24"/>
          </w:rPr>
          <w:fldChar w:fldCharType="end"/>
        </w:r>
      </w:hyperlink>
    </w:p>
    <w:p w14:paraId="27D223B2" w14:textId="2ED02AB7" w:rsidR="004F69A7" w:rsidRPr="00103C6F" w:rsidRDefault="00C40DAA" w:rsidP="009C2D83">
      <w:pPr>
        <w:pStyle w:val="TM3"/>
        <w:keepNext w:val="0"/>
        <w:keepLines w:val="0"/>
        <w:widowControl w:val="0"/>
        <w:rPr>
          <w:rFonts w:eastAsiaTheme="minorEastAsia"/>
          <w:lang w:eastAsia="fr-FR"/>
        </w:rPr>
      </w:pPr>
      <w:hyperlink w:anchor="_Toc182298666" w:history="1">
        <w:r w:rsidR="004F69A7" w:rsidRPr="00103C6F">
          <w:rPr>
            <w:rStyle w:val="Lienhypertexte"/>
            <w:kern w:val="24"/>
          </w:rPr>
          <w:t>2.5- Instruments faisant débat</w:t>
        </w:r>
        <w:r w:rsidR="004F69A7" w:rsidRPr="00103C6F">
          <w:rPr>
            <w:webHidden/>
          </w:rPr>
          <w:tab/>
        </w:r>
        <w:r w:rsidR="004F69A7" w:rsidRPr="00103C6F">
          <w:rPr>
            <w:webHidden/>
          </w:rPr>
          <w:fldChar w:fldCharType="begin"/>
        </w:r>
        <w:r w:rsidR="004F69A7" w:rsidRPr="00103C6F">
          <w:rPr>
            <w:webHidden/>
          </w:rPr>
          <w:instrText xml:space="preserve"> PAGEREF _Toc182298666 \h </w:instrText>
        </w:r>
        <w:r w:rsidR="004F69A7" w:rsidRPr="00103C6F">
          <w:rPr>
            <w:webHidden/>
          </w:rPr>
        </w:r>
        <w:r w:rsidR="004F69A7" w:rsidRPr="00103C6F">
          <w:rPr>
            <w:webHidden/>
          </w:rPr>
          <w:fldChar w:fldCharType="separate"/>
        </w:r>
        <w:r w:rsidR="00666FC7">
          <w:rPr>
            <w:webHidden/>
          </w:rPr>
          <w:t>60</w:t>
        </w:r>
        <w:r w:rsidR="004F69A7" w:rsidRPr="00103C6F">
          <w:rPr>
            <w:webHidden/>
          </w:rPr>
          <w:fldChar w:fldCharType="end"/>
        </w:r>
      </w:hyperlink>
    </w:p>
    <w:p w14:paraId="43B03A22" w14:textId="3A2F9C5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67" w:history="1">
        <w:r w:rsidR="004F69A7" w:rsidRPr="00103C6F">
          <w:rPr>
            <w:rStyle w:val="Lienhypertexte"/>
            <w:rFonts w:asciiTheme="majorBidi" w:hAnsiTheme="majorBidi" w:cstheme="majorBidi"/>
            <w:noProof/>
            <w:kern w:val="24"/>
            <w:sz w:val="24"/>
            <w:szCs w:val="24"/>
          </w:rPr>
          <w:t>2.5.1- Produits dérivés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_Toc182298667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60</w:t>
        </w:r>
        <w:r w:rsidR="004F69A7" w:rsidRPr="00103C6F">
          <w:rPr>
            <w:rFonts w:asciiTheme="majorBidi" w:hAnsiTheme="majorBidi" w:cstheme="majorBidi"/>
            <w:noProof/>
            <w:webHidden/>
            <w:sz w:val="24"/>
            <w:szCs w:val="24"/>
          </w:rPr>
          <w:fldChar w:fldCharType="end"/>
        </w:r>
      </w:hyperlink>
    </w:p>
    <w:p w14:paraId="5AB2F55A" w14:textId="10BA475C"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68" w:history="1">
        <w:r w:rsidR="004F69A7" w:rsidRPr="00103C6F">
          <w:rPr>
            <w:rStyle w:val="Lienhypertexte"/>
            <w:rFonts w:asciiTheme="majorBidi" w:hAnsiTheme="majorBidi" w:cstheme="majorBidi"/>
            <w:noProof/>
            <w:kern w:val="24"/>
            <w:sz w:val="24"/>
            <w:szCs w:val="24"/>
          </w:rPr>
          <w:t>2.5.1.1- Al-khiyar (option islamique)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_Toc182298668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60</w:t>
        </w:r>
        <w:r w:rsidR="004F69A7" w:rsidRPr="00103C6F">
          <w:rPr>
            <w:rFonts w:asciiTheme="majorBidi" w:hAnsiTheme="majorBidi" w:cstheme="majorBidi"/>
            <w:noProof/>
            <w:webHidden/>
            <w:sz w:val="24"/>
            <w:szCs w:val="24"/>
          </w:rPr>
          <w:fldChar w:fldCharType="end"/>
        </w:r>
      </w:hyperlink>
    </w:p>
    <w:p w14:paraId="1E7B7715" w14:textId="05E2BD36"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69" w:history="1">
        <w:r w:rsidR="004F69A7" w:rsidRPr="00103C6F">
          <w:rPr>
            <w:rStyle w:val="Lienhypertexte"/>
            <w:rFonts w:asciiTheme="majorBidi" w:hAnsiTheme="majorBidi" w:cstheme="majorBidi"/>
            <w:noProof/>
            <w:kern w:val="24"/>
            <w:sz w:val="24"/>
            <w:szCs w:val="24"/>
          </w:rPr>
          <w:t>2.5.1.2- Bay’ al-a’rboun (vente d’al-a’rboun)</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_Toc182298669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60</w:t>
        </w:r>
        <w:r w:rsidR="004F69A7" w:rsidRPr="00103C6F">
          <w:rPr>
            <w:rFonts w:asciiTheme="majorBidi" w:hAnsiTheme="majorBidi" w:cstheme="majorBidi"/>
            <w:noProof/>
            <w:webHidden/>
            <w:sz w:val="24"/>
            <w:szCs w:val="24"/>
          </w:rPr>
          <w:fldChar w:fldCharType="end"/>
        </w:r>
      </w:hyperlink>
    </w:p>
    <w:p w14:paraId="01941E00" w14:textId="0E8C173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70" w:history="1">
        <w:r w:rsidR="004F69A7" w:rsidRPr="00103C6F">
          <w:rPr>
            <w:rStyle w:val="Lienhypertexte"/>
            <w:rFonts w:asciiTheme="majorBidi" w:hAnsiTheme="majorBidi" w:cstheme="majorBidi"/>
            <w:noProof/>
            <w:kern w:val="24"/>
            <w:sz w:val="24"/>
            <w:szCs w:val="24"/>
          </w:rPr>
          <w:t>2.5.1.3- Swaps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_Toc182298670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61</w:t>
        </w:r>
        <w:r w:rsidR="004F69A7" w:rsidRPr="00103C6F">
          <w:rPr>
            <w:rFonts w:asciiTheme="majorBidi" w:hAnsiTheme="majorBidi" w:cstheme="majorBidi"/>
            <w:noProof/>
            <w:webHidden/>
            <w:sz w:val="24"/>
            <w:szCs w:val="24"/>
          </w:rPr>
          <w:fldChar w:fldCharType="end"/>
        </w:r>
      </w:hyperlink>
    </w:p>
    <w:p w14:paraId="2A4F9069" w14:textId="68E9F247"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71" w:history="1">
        <w:r w:rsidR="004F69A7" w:rsidRPr="00103C6F">
          <w:rPr>
            <w:rStyle w:val="Lienhypertexte"/>
            <w:rFonts w:asciiTheme="majorBidi" w:hAnsiTheme="majorBidi" w:cstheme="majorBidi"/>
            <w:noProof/>
            <w:kern w:val="24"/>
            <w:sz w:val="24"/>
            <w:szCs w:val="24"/>
          </w:rPr>
          <w:t>2.5.1.3.1- Swap de taux d’intérêt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_Toc182298671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61</w:t>
        </w:r>
        <w:r w:rsidR="004F69A7" w:rsidRPr="00103C6F">
          <w:rPr>
            <w:rFonts w:asciiTheme="majorBidi" w:hAnsiTheme="majorBidi" w:cstheme="majorBidi"/>
            <w:noProof/>
            <w:webHidden/>
            <w:sz w:val="24"/>
            <w:szCs w:val="24"/>
          </w:rPr>
          <w:fldChar w:fldCharType="end"/>
        </w:r>
      </w:hyperlink>
    </w:p>
    <w:p w14:paraId="4963DEA4" w14:textId="199C4997"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72" w:history="1">
        <w:r w:rsidR="004F69A7" w:rsidRPr="00103C6F">
          <w:rPr>
            <w:rStyle w:val="Lienhypertexte"/>
            <w:rFonts w:asciiTheme="majorBidi" w:hAnsiTheme="majorBidi" w:cstheme="majorBidi"/>
            <w:noProof/>
            <w:kern w:val="24"/>
            <w:sz w:val="24"/>
            <w:szCs w:val="24"/>
          </w:rPr>
          <w:t>2.5.1.3.2- Swap de devises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_Toc182298672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63</w:t>
        </w:r>
        <w:r w:rsidR="004F69A7" w:rsidRPr="00103C6F">
          <w:rPr>
            <w:rFonts w:asciiTheme="majorBidi" w:hAnsiTheme="majorBidi" w:cstheme="majorBidi"/>
            <w:noProof/>
            <w:webHidden/>
            <w:sz w:val="24"/>
            <w:szCs w:val="24"/>
          </w:rPr>
          <w:fldChar w:fldCharType="end"/>
        </w:r>
      </w:hyperlink>
    </w:p>
    <w:p w14:paraId="17611E66" w14:textId="293DEC59"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73" w:history="1">
        <w:r w:rsidR="004F69A7" w:rsidRPr="00103C6F">
          <w:rPr>
            <w:rStyle w:val="Lienhypertexte"/>
            <w:rFonts w:asciiTheme="majorBidi" w:hAnsiTheme="majorBidi" w:cstheme="majorBidi"/>
            <w:noProof/>
            <w:kern w:val="24"/>
            <w:sz w:val="24"/>
            <w:szCs w:val="24"/>
          </w:rPr>
          <w:t>2.5.1.3.3- Credit Default Swap (CDS)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_Toc182298673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64</w:t>
        </w:r>
        <w:r w:rsidR="004F69A7" w:rsidRPr="00103C6F">
          <w:rPr>
            <w:rFonts w:asciiTheme="majorBidi" w:hAnsiTheme="majorBidi" w:cstheme="majorBidi"/>
            <w:noProof/>
            <w:webHidden/>
            <w:sz w:val="24"/>
            <w:szCs w:val="24"/>
          </w:rPr>
          <w:fldChar w:fldCharType="end"/>
        </w:r>
      </w:hyperlink>
    </w:p>
    <w:p w14:paraId="03D7DE90" w14:textId="7F809478"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74" w:history="1">
        <w:r w:rsidR="004F69A7" w:rsidRPr="00103C6F">
          <w:rPr>
            <w:rStyle w:val="Lienhypertexte"/>
            <w:rFonts w:asciiTheme="majorBidi" w:hAnsiTheme="majorBidi" w:cstheme="majorBidi"/>
            <w:noProof/>
            <w:kern w:val="24"/>
            <w:sz w:val="24"/>
            <w:szCs w:val="24"/>
          </w:rPr>
          <w:t>2.5.2- Innovation de swaps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_Toc182298674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64</w:t>
        </w:r>
        <w:r w:rsidR="004F69A7" w:rsidRPr="00103C6F">
          <w:rPr>
            <w:rFonts w:asciiTheme="majorBidi" w:hAnsiTheme="majorBidi" w:cstheme="majorBidi"/>
            <w:noProof/>
            <w:webHidden/>
            <w:sz w:val="24"/>
            <w:szCs w:val="24"/>
          </w:rPr>
          <w:fldChar w:fldCharType="end"/>
        </w:r>
      </w:hyperlink>
    </w:p>
    <w:p w14:paraId="0B81F3F0" w14:textId="032ECF23"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75" w:history="1">
        <w:r w:rsidR="004F69A7" w:rsidRPr="00103C6F">
          <w:rPr>
            <w:rStyle w:val="Lienhypertexte"/>
            <w:rFonts w:asciiTheme="majorBidi" w:hAnsiTheme="majorBidi" w:cstheme="majorBidi"/>
            <w:noProof/>
            <w:kern w:val="24"/>
            <w:sz w:val="24"/>
            <w:szCs w:val="24"/>
          </w:rPr>
          <w:t>2.5.2.1- FX swap islamique (Islamic Foreign Exchange Swap)</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_Toc182298675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64</w:t>
        </w:r>
        <w:r w:rsidR="004F69A7" w:rsidRPr="00103C6F">
          <w:rPr>
            <w:rFonts w:asciiTheme="majorBidi" w:hAnsiTheme="majorBidi" w:cstheme="majorBidi"/>
            <w:noProof/>
            <w:webHidden/>
            <w:sz w:val="24"/>
            <w:szCs w:val="24"/>
          </w:rPr>
          <w:fldChar w:fldCharType="end"/>
        </w:r>
      </w:hyperlink>
    </w:p>
    <w:p w14:paraId="1377E574" w14:textId="1A5ACE8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76" w:history="1">
        <w:r w:rsidR="004F69A7" w:rsidRPr="00103C6F">
          <w:rPr>
            <w:rStyle w:val="Lienhypertexte"/>
            <w:rFonts w:asciiTheme="majorBidi" w:hAnsiTheme="majorBidi" w:cstheme="majorBidi"/>
            <w:noProof/>
            <w:kern w:val="24"/>
            <w:sz w:val="24"/>
            <w:szCs w:val="24"/>
          </w:rPr>
          <w:t>2.5.2.2- Swap islamique de taux de profit (Profit Rate Swap):</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_Toc182298676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65</w:t>
        </w:r>
        <w:r w:rsidR="004F69A7" w:rsidRPr="00103C6F">
          <w:rPr>
            <w:rFonts w:asciiTheme="majorBidi" w:hAnsiTheme="majorBidi" w:cstheme="majorBidi"/>
            <w:noProof/>
            <w:webHidden/>
            <w:sz w:val="24"/>
            <w:szCs w:val="24"/>
          </w:rPr>
          <w:fldChar w:fldCharType="end"/>
        </w:r>
      </w:hyperlink>
    </w:p>
    <w:p w14:paraId="79AA4D82" w14:textId="1F077E10"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77" w:history="1">
        <w:r w:rsidR="004F69A7" w:rsidRPr="00103C6F">
          <w:rPr>
            <w:rStyle w:val="Lienhypertexte"/>
            <w:rFonts w:asciiTheme="majorBidi" w:hAnsiTheme="majorBidi" w:cstheme="majorBidi"/>
            <w:noProof/>
            <w:sz w:val="24"/>
            <w:szCs w:val="24"/>
          </w:rPr>
          <w:t>2.5.3- Produits financiers à terme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_Toc182298677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66</w:t>
        </w:r>
        <w:r w:rsidR="004F69A7" w:rsidRPr="00103C6F">
          <w:rPr>
            <w:rFonts w:asciiTheme="majorBidi" w:hAnsiTheme="majorBidi" w:cstheme="majorBidi"/>
            <w:noProof/>
            <w:webHidden/>
            <w:sz w:val="24"/>
            <w:szCs w:val="24"/>
          </w:rPr>
          <w:fldChar w:fldCharType="end"/>
        </w:r>
      </w:hyperlink>
    </w:p>
    <w:p w14:paraId="156C612D" w14:textId="16EF4C01"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78" w:history="1">
        <w:r w:rsidR="004F69A7" w:rsidRPr="00103C6F">
          <w:rPr>
            <w:rStyle w:val="Lienhypertexte"/>
            <w:rFonts w:asciiTheme="majorBidi" w:hAnsiTheme="majorBidi" w:cstheme="majorBidi"/>
            <w:noProof/>
            <w:sz w:val="24"/>
            <w:szCs w:val="24"/>
          </w:rPr>
          <w:t>2.5.3.1- Futures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_Toc182298678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66</w:t>
        </w:r>
        <w:r w:rsidR="004F69A7" w:rsidRPr="00103C6F">
          <w:rPr>
            <w:rFonts w:asciiTheme="majorBidi" w:hAnsiTheme="majorBidi" w:cstheme="majorBidi"/>
            <w:noProof/>
            <w:webHidden/>
            <w:sz w:val="24"/>
            <w:szCs w:val="24"/>
          </w:rPr>
          <w:fldChar w:fldCharType="end"/>
        </w:r>
      </w:hyperlink>
    </w:p>
    <w:p w14:paraId="79D8B304" w14:textId="36CA9943"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79" w:history="1">
        <w:r w:rsidR="004F69A7" w:rsidRPr="00103C6F">
          <w:rPr>
            <w:rStyle w:val="Lienhypertexte"/>
            <w:rFonts w:asciiTheme="majorBidi" w:hAnsiTheme="majorBidi" w:cstheme="majorBidi"/>
            <w:noProof/>
            <w:sz w:val="24"/>
            <w:szCs w:val="24"/>
          </w:rPr>
          <w:t>2.5.3.2- Forwards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_Toc182298679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67</w:t>
        </w:r>
        <w:r w:rsidR="004F69A7" w:rsidRPr="00103C6F">
          <w:rPr>
            <w:rFonts w:asciiTheme="majorBidi" w:hAnsiTheme="majorBidi" w:cstheme="majorBidi"/>
            <w:noProof/>
            <w:webHidden/>
            <w:sz w:val="24"/>
            <w:szCs w:val="24"/>
          </w:rPr>
          <w:fldChar w:fldCharType="end"/>
        </w:r>
      </w:hyperlink>
    </w:p>
    <w:p w14:paraId="09589F16" w14:textId="176629D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80" w:history="1">
        <w:r w:rsidR="004F69A7" w:rsidRPr="00103C6F">
          <w:rPr>
            <w:rStyle w:val="Lienhypertexte"/>
            <w:rFonts w:asciiTheme="majorBidi" w:hAnsiTheme="majorBidi" w:cstheme="majorBidi"/>
            <w:noProof/>
            <w:sz w:val="24"/>
            <w:szCs w:val="24"/>
          </w:rPr>
          <w:t>2.5.4- Spéculation et tawarruq</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_Toc182298680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67</w:t>
        </w:r>
        <w:r w:rsidR="004F69A7" w:rsidRPr="00103C6F">
          <w:rPr>
            <w:rFonts w:asciiTheme="majorBidi" w:hAnsiTheme="majorBidi" w:cstheme="majorBidi"/>
            <w:noProof/>
            <w:webHidden/>
            <w:sz w:val="24"/>
            <w:szCs w:val="24"/>
          </w:rPr>
          <w:fldChar w:fldCharType="end"/>
        </w:r>
      </w:hyperlink>
    </w:p>
    <w:p w14:paraId="27DBC192" w14:textId="00574BF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81" w:history="1">
        <w:r w:rsidR="004F69A7" w:rsidRPr="00103C6F">
          <w:rPr>
            <w:rStyle w:val="Lienhypertexte"/>
            <w:rFonts w:asciiTheme="majorBidi" w:hAnsiTheme="majorBidi" w:cstheme="majorBidi"/>
            <w:noProof/>
            <w:sz w:val="24"/>
            <w:szCs w:val="24"/>
          </w:rPr>
          <w:t>2.5.4.1- Spéculation</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_Toc182298681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67</w:t>
        </w:r>
        <w:r w:rsidR="004F69A7" w:rsidRPr="00103C6F">
          <w:rPr>
            <w:rFonts w:asciiTheme="majorBidi" w:hAnsiTheme="majorBidi" w:cstheme="majorBidi"/>
            <w:noProof/>
            <w:webHidden/>
            <w:sz w:val="24"/>
            <w:szCs w:val="24"/>
          </w:rPr>
          <w:fldChar w:fldCharType="end"/>
        </w:r>
      </w:hyperlink>
    </w:p>
    <w:p w14:paraId="349DC8D2" w14:textId="5E470F78"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682" w:history="1">
        <w:r w:rsidR="004F69A7" w:rsidRPr="00103C6F">
          <w:rPr>
            <w:rStyle w:val="Lienhypertexte"/>
            <w:rFonts w:asciiTheme="majorBidi" w:hAnsiTheme="majorBidi" w:cstheme="majorBidi"/>
            <w:noProof/>
            <w:sz w:val="24"/>
            <w:szCs w:val="24"/>
          </w:rPr>
          <w:t>2.5.4.2- Tawarruq</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_Toc182298682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68</w:t>
        </w:r>
        <w:r w:rsidR="004F69A7" w:rsidRPr="00103C6F">
          <w:rPr>
            <w:rFonts w:asciiTheme="majorBidi" w:hAnsiTheme="majorBidi" w:cstheme="majorBidi"/>
            <w:noProof/>
            <w:webHidden/>
            <w:sz w:val="24"/>
            <w:szCs w:val="24"/>
          </w:rPr>
          <w:fldChar w:fldCharType="end"/>
        </w:r>
      </w:hyperlink>
    </w:p>
    <w:p w14:paraId="242DDE68" w14:textId="36A1526D"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83" w:history="1">
        <w:r w:rsidR="004F69A7" w:rsidRPr="00103C6F">
          <w:rPr>
            <w:rStyle w:val="Lienhypertexte"/>
            <w:rFonts w:asciiTheme="majorBidi" w:hAnsiTheme="majorBidi" w:cstheme="majorBidi"/>
            <w:noProof/>
            <w:spacing w:val="-6"/>
            <w:sz w:val="24"/>
            <w:szCs w:val="24"/>
          </w:rPr>
          <w:t>2.5.4.2.1- Tawarruq classique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_Toc182298683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68</w:t>
        </w:r>
        <w:r w:rsidR="004F69A7" w:rsidRPr="00103C6F">
          <w:rPr>
            <w:rFonts w:asciiTheme="majorBidi" w:hAnsiTheme="majorBidi" w:cstheme="majorBidi"/>
            <w:noProof/>
            <w:webHidden/>
            <w:sz w:val="24"/>
            <w:szCs w:val="24"/>
          </w:rPr>
          <w:fldChar w:fldCharType="end"/>
        </w:r>
      </w:hyperlink>
    </w:p>
    <w:p w14:paraId="0EBA0584" w14:textId="761E8CC5"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84" w:history="1">
        <w:r w:rsidR="004F69A7" w:rsidRPr="00103C6F">
          <w:rPr>
            <w:rStyle w:val="Lienhypertexte"/>
            <w:rFonts w:asciiTheme="majorBidi" w:hAnsiTheme="majorBidi" w:cstheme="majorBidi"/>
            <w:noProof/>
            <w:spacing w:val="-6"/>
            <w:sz w:val="24"/>
            <w:szCs w:val="24"/>
          </w:rPr>
          <w:t>2.5.4.2.2- Organized tawarruq</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_Toc182298684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68</w:t>
        </w:r>
        <w:r w:rsidR="004F69A7" w:rsidRPr="00103C6F">
          <w:rPr>
            <w:rFonts w:asciiTheme="majorBidi" w:hAnsiTheme="majorBidi" w:cstheme="majorBidi"/>
            <w:noProof/>
            <w:webHidden/>
            <w:sz w:val="24"/>
            <w:szCs w:val="24"/>
          </w:rPr>
          <w:fldChar w:fldCharType="end"/>
        </w:r>
      </w:hyperlink>
    </w:p>
    <w:p w14:paraId="1172423E" w14:textId="07C6DEEC"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685" w:history="1">
        <w:r w:rsidR="004F69A7" w:rsidRPr="00103C6F">
          <w:rPr>
            <w:rStyle w:val="Lienhypertexte"/>
            <w:rFonts w:asciiTheme="majorBidi" w:hAnsiTheme="majorBidi" w:cstheme="majorBidi"/>
            <w:noProof/>
            <w:spacing w:val="-6"/>
            <w:sz w:val="24"/>
            <w:szCs w:val="24"/>
          </w:rPr>
          <w:t>2.5.4.2.3- Reverse tawarruq (mourabaha inversée)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_Toc182298685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68</w:t>
        </w:r>
        <w:r w:rsidR="004F69A7" w:rsidRPr="00103C6F">
          <w:rPr>
            <w:rFonts w:asciiTheme="majorBidi" w:hAnsiTheme="majorBidi" w:cstheme="majorBidi"/>
            <w:noProof/>
            <w:webHidden/>
            <w:sz w:val="24"/>
            <w:szCs w:val="24"/>
          </w:rPr>
          <w:fldChar w:fldCharType="end"/>
        </w:r>
      </w:hyperlink>
    </w:p>
    <w:p w14:paraId="6763FB38" w14:textId="2CFBC5B7" w:rsidR="004F69A7" w:rsidRPr="00103C6F" w:rsidRDefault="00C40DAA" w:rsidP="009C2D83">
      <w:pPr>
        <w:pStyle w:val="TM2"/>
        <w:keepNext w:val="0"/>
        <w:keepLines w:val="0"/>
        <w:widowControl w:val="0"/>
        <w:rPr>
          <w:rFonts w:eastAsiaTheme="minorEastAsia"/>
          <w:kern w:val="0"/>
          <w:lang w:eastAsia="fr-FR"/>
        </w:rPr>
      </w:pPr>
      <w:hyperlink w:anchor="_Toc182298686" w:history="1">
        <w:r w:rsidR="004F69A7" w:rsidRPr="00103C6F">
          <w:rPr>
            <w:rStyle w:val="Lienhypertexte"/>
          </w:rPr>
          <w:t>Section III- Organisation et gouvernance des banques islamiques</w:t>
        </w:r>
        <w:r w:rsidR="004F69A7" w:rsidRPr="00103C6F">
          <w:rPr>
            <w:webHidden/>
          </w:rPr>
          <w:tab/>
        </w:r>
        <w:r w:rsidR="004F69A7" w:rsidRPr="00103C6F">
          <w:rPr>
            <w:webHidden/>
          </w:rPr>
          <w:fldChar w:fldCharType="begin"/>
        </w:r>
        <w:r w:rsidR="004F69A7" w:rsidRPr="00103C6F">
          <w:rPr>
            <w:webHidden/>
          </w:rPr>
          <w:instrText xml:space="preserve"> PAGEREF _Toc182298686 \h </w:instrText>
        </w:r>
        <w:r w:rsidR="004F69A7" w:rsidRPr="00103C6F">
          <w:rPr>
            <w:webHidden/>
          </w:rPr>
        </w:r>
        <w:r w:rsidR="004F69A7" w:rsidRPr="00103C6F">
          <w:rPr>
            <w:webHidden/>
          </w:rPr>
          <w:fldChar w:fldCharType="separate"/>
        </w:r>
        <w:r w:rsidR="00666FC7">
          <w:rPr>
            <w:webHidden/>
          </w:rPr>
          <w:t>69</w:t>
        </w:r>
        <w:r w:rsidR="004F69A7" w:rsidRPr="00103C6F">
          <w:rPr>
            <w:webHidden/>
          </w:rPr>
          <w:fldChar w:fldCharType="end"/>
        </w:r>
      </w:hyperlink>
    </w:p>
    <w:p w14:paraId="01A9841D" w14:textId="1B7A6D4C" w:rsidR="004F69A7" w:rsidRPr="00103C6F" w:rsidRDefault="00C40DAA" w:rsidP="009C2D83">
      <w:pPr>
        <w:pStyle w:val="TM3"/>
        <w:keepNext w:val="0"/>
        <w:keepLines w:val="0"/>
        <w:widowControl w:val="0"/>
        <w:rPr>
          <w:rFonts w:eastAsiaTheme="minorEastAsia"/>
          <w:lang w:eastAsia="fr-FR"/>
        </w:rPr>
      </w:pPr>
      <w:hyperlink w:anchor="_Toc182298687" w:history="1">
        <w:r w:rsidR="004F69A7" w:rsidRPr="00103C6F">
          <w:rPr>
            <w:rStyle w:val="Lienhypertexte"/>
            <w:kern w:val="24"/>
          </w:rPr>
          <w:t>3.1- Organes de gestion</w:t>
        </w:r>
        <w:r w:rsidR="004F69A7" w:rsidRPr="00103C6F">
          <w:rPr>
            <w:webHidden/>
          </w:rPr>
          <w:tab/>
        </w:r>
        <w:r w:rsidR="004F69A7" w:rsidRPr="00103C6F">
          <w:rPr>
            <w:webHidden/>
          </w:rPr>
          <w:fldChar w:fldCharType="begin"/>
        </w:r>
        <w:r w:rsidR="004F69A7" w:rsidRPr="00103C6F">
          <w:rPr>
            <w:webHidden/>
          </w:rPr>
          <w:instrText xml:space="preserve"> PAGEREF _Toc182298687 \h </w:instrText>
        </w:r>
        <w:r w:rsidR="004F69A7" w:rsidRPr="00103C6F">
          <w:rPr>
            <w:webHidden/>
          </w:rPr>
        </w:r>
        <w:r w:rsidR="004F69A7" w:rsidRPr="00103C6F">
          <w:rPr>
            <w:webHidden/>
          </w:rPr>
          <w:fldChar w:fldCharType="separate"/>
        </w:r>
        <w:r w:rsidR="00666FC7">
          <w:rPr>
            <w:webHidden/>
          </w:rPr>
          <w:t>70</w:t>
        </w:r>
        <w:r w:rsidR="004F69A7" w:rsidRPr="00103C6F">
          <w:rPr>
            <w:webHidden/>
          </w:rPr>
          <w:fldChar w:fldCharType="end"/>
        </w:r>
      </w:hyperlink>
    </w:p>
    <w:p w14:paraId="5F3E0E2C" w14:textId="51E6AA3A"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88" w:history="1">
        <w:r w:rsidR="004F69A7" w:rsidRPr="00103C6F">
          <w:rPr>
            <w:rStyle w:val="Lienhypertexte"/>
            <w:rFonts w:asciiTheme="majorBidi" w:hAnsiTheme="majorBidi" w:cstheme="majorBidi"/>
            <w:noProof/>
            <w:kern w:val="24"/>
            <w:sz w:val="24"/>
            <w:szCs w:val="24"/>
          </w:rPr>
          <w:t>3.1.1- Conseil d'administration</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_Toc182298688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70</w:t>
        </w:r>
        <w:r w:rsidR="004F69A7" w:rsidRPr="00103C6F">
          <w:rPr>
            <w:rFonts w:asciiTheme="majorBidi" w:hAnsiTheme="majorBidi" w:cstheme="majorBidi"/>
            <w:noProof/>
            <w:webHidden/>
            <w:sz w:val="24"/>
            <w:szCs w:val="24"/>
          </w:rPr>
          <w:fldChar w:fldCharType="end"/>
        </w:r>
      </w:hyperlink>
    </w:p>
    <w:p w14:paraId="6AB28C51" w14:textId="174CB39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89" w:history="1">
        <w:r w:rsidR="004F69A7" w:rsidRPr="00103C6F">
          <w:rPr>
            <w:rStyle w:val="Lienhypertexte"/>
            <w:rFonts w:asciiTheme="majorBidi" w:hAnsiTheme="majorBidi" w:cstheme="majorBidi"/>
            <w:noProof/>
            <w:sz w:val="24"/>
            <w:szCs w:val="24"/>
          </w:rPr>
          <w:t>3.1.2- Dirigeants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_Toc182298689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70</w:t>
        </w:r>
        <w:r w:rsidR="004F69A7" w:rsidRPr="00103C6F">
          <w:rPr>
            <w:rFonts w:asciiTheme="majorBidi" w:hAnsiTheme="majorBidi" w:cstheme="majorBidi"/>
            <w:noProof/>
            <w:webHidden/>
            <w:sz w:val="24"/>
            <w:szCs w:val="24"/>
          </w:rPr>
          <w:fldChar w:fldCharType="end"/>
        </w:r>
      </w:hyperlink>
    </w:p>
    <w:p w14:paraId="5EBDFF07" w14:textId="3089BDBD" w:rsidR="004F69A7" w:rsidRPr="00103C6F" w:rsidRDefault="00C40DAA" w:rsidP="009C2D83">
      <w:pPr>
        <w:pStyle w:val="TM3"/>
        <w:keepNext w:val="0"/>
        <w:keepLines w:val="0"/>
        <w:widowControl w:val="0"/>
        <w:rPr>
          <w:rFonts w:eastAsiaTheme="minorEastAsia"/>
          <w:lang w:eastAsia="fr-FR"/>
        </w:rPr>
      </w:pPr>
      <w:hyperlink w:anchor="_Toc182298690" w:history="1">
        <w:r w:rsidR="004F69A7" w:rsidRPr="00103C6F">
          <w:rPr>
            <w:rStyle w:val="Lienhypertexte"/>
          </w:rPr>
          <w:t>3.2- Organes de contrôle</w:t>
        </w:r>
        <w:r w:rsidR="004F69A7" w:rsidRPr="00103C6F">
          <w:rPr>
            <w:webHidden/>
          </w:rPr>
          <w:tab/>
        </w:r>
        <w:r w:rsidR="004F69A7" w:rsidRPr="00103C6F">
          <w:rPr>
            <w:webHidden/>
          </w:rPr>
          <w:fldChar w:fldCharType="begin"/>
        </w:r>
        <w:r w:rsidR="004F69A7" w:rsidRPr="00103C6F">
          <w:rPr>
            <w:webHidden/>
          </w:rPr>
          <w:instrText xml:space="preserve"> PAGEREF _Toc182298690 \h </w:instrText>
        </w:r>
        <w:r w:rsidR="004F69A7" w:rsidRPr="00103C6F">
          <w:rPr>
            <w:webHidden/>
          </w:rPr>
        </w:r>
        <w:r w:rsidR="004F69A7" w:rsidRPr="00103C6F">
          <w:rPr>
            <w:webHidden/>
          </w:rPr>
          <w:fldChar w:fldCharType="separate"/>
        </w:r>
        <w:r w:rsidR="00666FC7">
          <w:rPr>
            <w:webHidden/>
          </w:rPr>
          <w:t>71</w:t>
        </w:r>
        <w:r w:rsidR="004F69A7" w:rsidRPr="00103C6F">
          <w:rPr>
            <w:webHidden/>
          </w:rPr>
          <w:fldChar w:fldCharType="end"/>
        </w:r>
      </w:hyperlink>
    </w:p>
    <w:p w14:paraId="39ED9632" w14:textId="62C77E24"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91" w:history="1">
        <w:r w:rsidR="004F69A7" w:rsidRPr="00103C6F">
          <w:rPr>
            <w:rStyle w:val="Lienhypertexte"/>
            <w:rFonts w:asciiTheme="majorBidi" w:hAnsiTheme="majorBidi" w:cstheme="majorBidi"/>
            <w:noProof/>
            <w:kern w:val="24"/>
            <w:sz w:val="24"/>
            <w:szCs w:val="24"/>
          </w:rPr>
          <w:t>3.2.1- Censeurs comptables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_Toc182298691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71</w:t>
        </w:r>
        <w:r w:rsidR="004F69A7" w:rsidRPr="00103C6F">
          <w:rPr>
            <w:rFonts w:asciiTheme="majorBidi" w:hAnsiTheme="majorBidi" w:cstheme="majorBidi"/>
            <w:noProof/>
            <w:webHidden/>
            <w:sz w:val="24"/>
            <w:szCs w:val="24"/>
          </w:rPr>
          <w:fldChar w:fldCharType="end"/>
        </w:r>
      </w:hyperlink>
    </w:p>
    <w:p w14:paraId="6AA7D028" w14:textId="7EF739AD"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92" w:history="1">
        <w:r w:rsidR="004F69A7" w:rsidRPr="00103C6F">
          <w:rPr>
            <w:rStyle w:val="Lienhypertexte"/>
            <w:rFonts w:asciiTheme="majorBidi" w:hAnsiTheme="majorBidi" w:cstheme="majorBidi"/>
            <w:noProof/>
            <w:kern w:val="24"/>
            <w:sz w:val="24"/>
            <w:szCs w:val="24"/>
          </w:rPr>
          <w:t xml:space="preserve">3.2.2- Shariah-Board (organe </w:t>
        </w:r>
        <w:r w:rsidR="004F69A7" w:rsidRPr="00103C6F">
          <w:rPr>
            <w:rStyle w:val="Lienhypertexte"/>
            <w:rFonts w:asciiTheme="majorBidi" w:hAnsiTheme="majorBidi" w:cstheme="majorBidi"/>
            <w:noProof/>
            <w:kern w:val="24"/>
            <w:sz w:val="24"/>
            <w:szCs w:val="24"/>
            <w:shd w:val="clear" w:color="auto" w:fill="FFFFFF"/>
          </w:rPr>
          <w:t xml:space="preserve">charaïque </w:t>
        </w:r>
        <w:r w:rsidR="004F69A7" w:rsidRPr="00103C6F">
          <w:rPr>
            <w:rStyle w:val="Lienhypertexte"/>
            <w:rFonts w:asciiTheme="majorBidi" w:hAnsiTheme="majorBidi" w:cstheme="majorBidi"/>
            <w:noProof/>
            <w:kern w:val="24"/>
            <w:sz w:val="24"/>
            <w:szCs w:val="24"/>
          </w:rPr>
          <w:t>de supervision)</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_Toc182298692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71</w:t>
        </w:r>
        <w:r w:rsidR="004F69A7" w:rsidRPr="00103C6F">
          <w:rPr>
            <w:rFonts w:asciiTheme="majorBidi" w:hAnsiTheme="majorBidi" w:cstheme="majorBidi"/>
            <w:noProof/>
            <w:webHidden/>
            <w:sz w:val="24"/>
            <w:szCs w:val="24"/>
          </w:rPr>
          <w:fldChar w:fldCharType="end"/>
        </w:r>
      </w:hyperlink>
    </w:p>
    <w:p w14:paraId="42E9801F" w14:textId="7CB11189" w:rsidR="004F69A7" w:rsidRPr="00103C6F" w:rsidRDefault="00C40DAA" w:rsidP="009C2D83">
      <w:pPr>
        <w:pStyle w:val="TM3"/>
        <w:keepNext w:val="0"/>
        <w:keepLines w:val="0"/>
        <w:widowControl w:val="0"/>
        <w:rPr>
          <w:rFonts w:eastAsiaTheme="minorEastAsia"/>
          <w:lang w:eastAsia="fr-FR"/>
        </w:rPr>
      </w:pPr>
      <w:hyperlink w:anchor="_Toc182298693" w:history="1">
        <w:r w:rsidR="004F69A7" w:rsidRPr="00103C6F">
          <w:rPr>
            <w:rStyle w:val="Lienhypertexte"/>
          </w:rPr>
          <w:t>3.3- Règles de gouvernance applicables à la banque islamique</w:t>
        </w:r>
        <w:r w:rsidR="004F69A7" w:rsidRPr="00103C6F">
          <w:rPr>
            <w:webHidden/>
          </w:rPr>
          <w:tab/>
        </w:r>
        <w:r w:rsidR="004F69A7" w:rsidRPr="00103C6F">
          <w:rPr>
            <w:webHidden/>
          </w:rPr>
          <w:fldChar w:fldCharType="begin"/>
        </w:r>
        <w:r w:rsidR="004F69A7" w:rsidRPr="00103C6F">
          <w:rPr>
            <w:webHidden/>
          </w:rPr>
          <w:instrText xml:space="preserve"> PAGEREF _Toc182298693 \h </w:instrText>
        </w:r>
        <w:r w:rsidR="004F69A7" w:rsidRPr="00103C6F">
          <w:rPr>
            <w:webHidden/>
          </w:rPr>
        </w:r>
        <w:r w:rsidR="004F69A7" w:rsidRPr="00103C6F">
          <w:rPr>
            <w:webHidden/>
          </w:rPr>
          <w:fldChar w:fldCharType="separate"/>
        </w:r>
        <w:r w:rsidR="00666FC7">
          <w:rPr>
            <w:webHidden/>
          </w:rPr>
          <w:t>74</w:t>
        </w:r>
        <w:r w:rsidR="004F69A7" w:rsidRPr="00103C6F">
          <w:rPr>
            <w:webHidden/>
          </w:rPr>
          <w:fldChar w:fldCharType="end"/>
        </w:r>
      </w:hyperlink>
    </w:p>
    <w:p w14:paraId="12E50D31" w14:textId="3CB62BF8"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94" w:history="1">
        <w:r w:rsidR="004F69A7" w:rsidRPr="00103C6F">
          <w:rPr>
            <w:rStyle w:val="Lienhypertexte"/>
            <w:rFonts w:asciiTheme="majorBidi" w:hAnsiTheme="majorBidi" w:cstheme="majorBidi"/>
            <w:noProof/>
            <w:sz w:val="24"/>
            <w:szCs w:val="24"/>
          </w:rPr>
          <w:t>3.3.1- Règles de gouvernance actionnariale (shareholders governance)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_Toc182298694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74</w:t>
        </w:r>
        <w:r w:rsidR="004F69A7" w:rsidRPr="00103C6F">
          <w:rPr>
            <w:rFonts w:asciiTheme="majorBidi" w:hAnsiTheme="majorBidi" w:cstheme="majorBidi"/>
            <w:noProof/>
            <w:webHidden/>
            <w:sz w:val="24"/>
            <w:szCs w:val="24"/>
          </w:rPr>
          <w:fldChar w:fldCharType="end"/>
        </w:r>
      </w:hyperlink>
    </w:p>
    <w:p w14:paraId="7837C1CD" w14:textId="23EB3B26"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95" w:history="1">
        <w:r w:rsidR="004F69A7" w:rsidRPr="00103C6F">
          <w:rPr>
            <w:rStyle w:val="Lienhypertexte"/>
            <w:rFonts w:asciiTheme="majorBidi" w:hAnsiTheme="majorBidi" w:cstheme="majorBidi"/>
            <w:noProof/>
            <w:sz w:val="24"/>
            <w:szCs w:val="24"/>
          </w:rPr>
          <w:t>3.3.2- Règles de gouvernance partenariale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_Toc182298695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74</w:t>
        </w:r>
        <w:r w:rsidR="004F69A7" w:rsidRPr="00103C6F">
          <w:rPr>
            <w:rFonts w:asciiTheme="majorBidi" w:hAnsiTheme="majorBidi" w:cstheme="majorBidi"/>
            <w:noProof/>
            <w:webHidden/>
            <w:sz w:val="24"/>
            <w:szCs w:val="24"/>
          </w:rPr>
          <w:fldChar w:fldCharType="end"/>
        </w:r>
      </w:hyperlink>
    </w:p>
    <w:p w14:paraId="0E12CDBC" w14:textId="1196E23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696" w:history="1">
        <w:r w:rsidR="004F69A7" w:rsidRPr="00103C6F">
          <w:rPr>
            <w:rStyle w:val="Lienhypertexte"/>
            <w:rFonts w:asciiTheme="majorBidi" w:hAnsiTheme="majorBidi" w:cstheme="majorBidi"/>
            <w:noProof/>
            <w:sz w:val="24"/>
            <w:szCs w:val="24"/>
          </w:rPr>
          <w:t>3.3.3- Règles de gouvernance religieuse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_Toc182298696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75</w:t>
        </w:r>
        <w:r w:rsidR="004F69A7" w:rsidRPr="00103C6F">
          <w:rPr>
            <w:rFonts w:asciiTheme="majorBidi" w:hAnsiTheme="majorBidi" w:cstheme="majorBidi"/>
            <w:noProof/>
            <w:webHidden/>
            <w:sz w:val="24"/>
            <w:szCs w:val="24"/>
          </w:rPr>
          <w:fldChar w:fldCharType="end"/>
        </w:r>
      </w:hyperlink>
    </w:p>
    <w:p w14:paraId="026B6D4F" w14:textId="620D5F70" w:rsidR="004F69A7" w:rsidRPr="00103C6F" w:rsidRDefault="00C40DAA" w:rsidP="009C2D83">
      <w:pPr>
        <w:pStyle w:val="TM2"/>
        <w:keepNext w:val="0"/>
        <w:keepLines w:val="0"/>
        <w:widowControl w:val="0"/>
        <w:rPr>
          <w:rFonts w:eastAsiaTheme="minorEastAsia"/>
          <w:kern w:val="0"/>
          <w:lang w:eastAsia="fr-FR"/>
        </w:rPr>
      </w:pPr>
      <w:hyperlink w:anchor="_Toc182298697" w:history="1">
        <w:r w:rsidR="004F69A7" w:rsidRPr="00103C6F">
          <w:rPr>
            <w:rStyle w:val="Lienhypertexte"/>
            <w:b w:val="0"/>
            <w:bCs w:val="0"/>
          </w:rPr>
          <w:t>Conclusion</w:t>
        </w:r>
        <w:r w:rsidR="004F69A7" w:rsidRPr="00103C6F">
          <w:rPr>
            <w:webHidden/>
          </w:rPr>
          <w:tab/>
        </w:r>
        <w:r w:rsidR="004F69A7" w:rsidRPr="00103C6F">
          <w:rPr>
            <w:webHidden/>
          </w:rPr>
          <w:fldChar w:fldCharType="begin"/>
        </w:r>
        <w:r w:rsidR="004F69A7" w:rsidRPr="00103C6F">
          <w:rPr>
            <w:webHidden/>
          </w:rPr>
          <w:instrText xml:space="preserve"> PAGEREF _Toc182298697 \h </w:instrText>
        </w:r>
        <w:r w:rsidR="004F69A7" w:rsidRPr="00103C6F">
          <w:rPr>
            <w:webHidden/>
          </w:rPr>
        </w:r>
        <w:r w:rsidR="004F69A7" w:rsidRPr="00103C6F">
          <w:rPr>
            <w:webHidden/>
          </w:rPr>
          <w:fldChar w:fldCharType="separate"/>
        </w:r>
        <w:r w:rsidR="00666FC7">
          <w:rPr>
            <w:webHidden/>
          </w:rPr>
          <w:t>76</w:t>
        </w:r>
        <w:r w:rsidR="004F69A7" w:rsidRPr="00103C6F">
          <w:rPr>
            <w:webHidden/>
          </w:rPr>
          <w:fldChar w:fldCharType="end"/>
        </w:r>
      </w:hyperlink>
    </w:p>
    <w:p w14:paraId="6E4D122A" w14:textId="1B17353D" w:rsidR="004F69A7" w:rsidRPr="00103C6F" w:rsidRDefault="00C40DAA" w:rsidP="006B69C7">
      <w:pPr>
        <w:pStyle w:val="TM1"/>
        <w:rPr>
          <w:rFonts w:eastAsiaTheme="minorEastAsia"/>
          <w:kern w:val="0"/>
          <w:lang w:eastAsia="fr-FR"/>
        </w:rPr>
      </w:pPr>
      <w:hyperlink w:anchor="_Toc182298698" w:history="1">
        <w:r w:rsidR="004F69A7" w:rsidRPr="00103C6F">
          <w:rPr>
            <w:rStyle w:val="Lienhypertexte"/>
          </w:rPr>
          <w:t>Chapitre II- Gestion des risques dans les banques islamiques</w:t>
        </w:r>
        <w:r w:rsidR="004F69A7" w:rsidRPr="00103C6F">
          <w:rPr>
            <w:webHidden/>
          </w:rPr>
          <w:tab/>
        </w:r>
        <w:r w:rsidR="004F69A7" w:rsidRPr="00103C6F">
          <w:rPr>
            <w:webHidden/>
          </w:rPr>
          <w:fldChar w:fldCharType="begin"/>
        </w:r>
        <w:r w:rsidR="004F69A7" w:rsidRPr="00103C6F">
          <w:rPr>
            <w:webHidden/>
          </w:rPr>
          <w:instrText xml:space="preserve"> PAGEREF _Toc182298698 \h </w:instrText>
        </w:r>
        <w:r w:rsidR="004F69A7" w:rsidRPr="00103C6F">
          <w:rPr>
            <w:webHidden/>
          </w:rPr>
        </w:r>
        <w:r w:rsidR="004F69A7" w:rsidRPr="00103C6F">
          <w:rPr>
            <w:webHidden/>
          </w:rPr>
          <w:fldChar w:fldCharType="separate"/>
        </w:r>
        <w:r w:rsidR="00666FC7">
          <w:rPr>
            <w:webHidden/>
          </w:rPr>
          <w:t>77</w:t>
        </w:r>
        <w:r w:rsidR="004F69A7" w:rsidRPr="00103C6F">
          <w:rPr>
            <w:webHidden/>
          </w:rPr>
          <w:fldChar w:fldCharType="end"/>
        </w:r>
      </w:hyperlink>
    </w:p>
    <w:p w14:paraId="1DBEC462" w14:textId="24717EB4" w:rsidR="004F69A7" w:rsidRPr="00103C6F" w:rsidRDefault="00C40DAA" w:rsidP="009C2D83">
      <w:pPr>
        <w:pStyle w:val="TM2"/>
        <w:keepNext w:val="0"/>
        <w:keepLines w:val="0"/>
        <w:widowControl w:val="0"/>
        <w:rPr>
          <w:rFonts w:eastAsiaTheme="minorEastAsia"/>
          <w:kern w:val="0"/>
          <w:lang w:eastAsia="fr-FR"/>
        </w:rPr>
      </w:pPr>
      <w:hyperlink w:anchor="_Toc182298699" w:history="1">
        <w:r w:rsidR="004F69A7" w:rsidRPr="00103C6F">
          <w:rPr>
            <w:rStyle w:val="Lienhypertexte"/>
          </w:rPr>
          <w:t>Section I- Genèse de la gestion des risques financiers</w:t>
        </w:r>
        <w:r w:rsidR="004F69A7" w:rsidRPr="00103C6F">
          <w:rPr>
            <w:webHidden/>
          </w:rPr>
          <w:tab/>
        </w:r>
        <w:r w:rsidR="004F69A7" w:rsidRPr="00103C6F">
          <w:rPr>
            <w:webHidden/>
          </w:rPr>
          <w:fldChar w:fldCharType="begin"/>
        </w:r>
        <w:r w:rsidR="004F69A7" w:rsidRPr="00103C6F">
          <w:rPr>
            <w:webHidden/>
          </w:rPr>
          <w:instrText xml:space="preserve"> PAGEREF _Toc182298699 \h </w:instrText>
        </w:r>
        <w:r w:rsidR="004F69A7" w:rsidRPr="00103C6F">
          <w:rPr>
            <w:webHidden/>
          </w:rPr>
        </w:r>
        <w:r w:rsidR="004F69A7" w:rsidRPr="00103C6F">
          <w:rPr>
            <w:webHidden/>
          </w:rPr>
          <w:fldChar w:fldCharType="separate"/>
        </w:r>
        <w:r w:rsidR="00666FC7">
          <w:rPr>
            <w:webHidden/>
          </w:rPr>
          <w:t>77</w:t>
        </w:r>
        <w:r w:rsidR="004F69A7" w:rsidRPr="00103C6F">
          <w:rPr>
            <w:webHidden/>
          </w:rPr>
          <w:fldChar w:fldCharType="end"/>
        </w:r>
      </w:hyperlink>
    </w:p>
    <w:p w14:paraId="3A809607" w14:textId="4A6EA4B3" w:rsidR="004F69A7" w:rsidRPr="00103C6F" w:rsidRDefault="00C40DAA" w:rsidP="009C2D83">
      <w:pPr>
        <w:pStyle w:val="TM3"/>
        <w:keepNext w:val="0"/>
        <w:keepLines w:val="0"/>
        <w:widowControl w:val="0"/>
        <w:rPr>
          <w:rFonts w:eastAsiaTheme="minorEastAsia"/>
          <w:lang w:eastAsia="fr-FR"/>
        </w:rPr>
      </w:pPr>
      <w:hyperlink w:anchor="_Toc182298700" w:history="1">
        <w:r w:rsidR="004F69A7" w:rsidRPr="00103C6F">
          <w:rPr>
            <w:rStyle w:val="Lienhypertexte"/>
          </w:rPr>
          <w:t>1.1- Définition et évolution des risques financiers</w:t>
        </w:r>
        <w:r w:rsidR="004F69A7" w:rsidRPr="00103C6F">
          <w:rPr>
            <w:webHidden/>
          </w:rPr>
          <w:tab/>
        </w:r>
        <w:r w:rsidR="004F69A7" w:rsidRPr="00103C6F">
          <w:rPr>
            <w:webHidden/>
          </w:rPr>
          <w:fldChar w:fldCharType="begin"/>
        </w:r>
        <w:r w:rsidR="004F69A7" w:rsidRPr="00103C6F">
          <w:rPr>
            <w:webHidden/>
          </w:rPr>
          <w:instrText xml:space="preserve"> PAGEREF _Toc182298700 \h </w:instrText>
        </w:r>
        <w:r w:rsidR="004F69A7" w:rsidRPr="00103C6F">
          <w:rPr>
            <w:webHidden/>
          </w:rPr>
        </w:r>
        <w:r w:rsidR="004F69A7" w:rsidRPr="00103C6F">
          <w:rPr>
            <w:webHidden/>
          </w:rPr>
          <w:fldChar w:fldCharType="separate"/>
        </w:r>
        <w:r w:rsidR="00666FC7">
          <w:rPr>
            <w:webHidden/>
          </w:rPr>
          <w:t>77</w:t>
        </w:r>
        <w:r w:rsidR="004F69A7" w:rsidRPr="00103C6F">
          <w:rPr>
            <w:webHidden/>
          </w:rPr>
          <w:fldChar w:fldCharType="end"/>
        </w:r>
      </w:hyperlink>
    </w:p>
    <w:p w14:paraId="72086DBF" w14:textId="5AC1576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01" w:history="1">
        <w:r w:rsidR="004F69A7" w:rsidRPr="00103C6F">
          <w:rPr>
            <w:rStyle w:val="Lienhypertexte"/>
            <w:rFonts w:asciiTheme="majorBidi" w:hAnsiTheme="majorBidi" w:cstheme="majorBidi"/>
            <w:noProof/>
            <w:sz w:val="24"/>
            <w:szCs w:val="24"/>
          </w:rPr>
          <w:t>1.1.1- Définition du risque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_Toc182298701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77</w:t>
        </w:r>
        <w:r w:rsidR="004F69A7" w:rsidRPr="00103C6F">
          <w:rPr>
            <w:rFonts w:asciiTheme="majorBidi" w:hAnsiTheme="majorBidi" w:cstheme="majorBidi"/>
            <w:noProof/>
            <w:webHidden/>
            <w:sz w:val="24"/>
            <w:szCs w:val="24"/>
          </w:rPr>
          <w:fldChar w:fldCharType="end"/>
        </w:r>
      </w:hyperlink>
    </w:p>
    <w:p w14:paraId="4867251C" w14:textId="1C89D066"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02" w:history="1">
        <w:r w:rsidR="004F69A7" w:rsidRPr="00103C6F">
          <w:rPr>
            <w:rStyle w:val="Lienhypertexte"/>
            <w:rFonts w:asciiTheme="majorBidi" w:hAnsiTheme="majorBidi" w:cstheme="majorBidi"/>
            <w:noProof/>
            <w:sz w:val="24"/>
            <w:szCs w:val="24"/>
          </w:rPr>
          <w:t>1.1.2- Environnement et évolution des risques financiers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_Toc182298702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78</w:t>
        </w:r>
        <w:r w:rsidR="004F69A7" w:rsidRPr="00103C6F">
          <w:rPr>
            <w:rFonts w:asciiTheme="majorBidi" w:hAnsiTheme="majorBidi" w:cstheme="majorBidi"/>
            <w:noProof/>
            <w:webHidden/>
            <w:sz w:val="24"/>
            <w:szCs w:val="24"/>
          </w:rPr>
          <w:fldChar w:fldCharType="end"/>
        </w:r>
      </w:hyperlink>
    </w:p>
    <w:p w14:paraId="38076C3A" w14:textId="7674812A" w:rsidR="004F69A7" w:rsidRPr="00103C6F" w:rsidRDefault="00C40DAA" w:rsidP="009C2D83">
      <w:pPr>
        <w:pStyle w:val="TM3"/>
        <w:keepNext w:val="0"/>
        <w:keepLines w:val="0"/>
        <w:widowControl w:val="0"/>
        <w:rPr>
          <w:rFonts w:eastAsiaTheme="minorEastAsia"/>
          <w:lang w:eastAsia="fr-FR"/>
        </w:rPr>
      </w:pPr>
      <w:hyperlink w:anchor="_Toc182298703" w:history="1">
        <w:r w:rsidR="004F69A7" w:rsidRPr="00103C6F">
          <w:rPr>
            <w:rStyle w:val="Lienhypertexte"/>
          </w:rPr>
          <w:t>1.2- Risques encourus par les institutions financières</w:t>
        </w:r>
        <w:r w:rsidR="004F69A7" w:rsidRPr="00103C6F">
          <w:rPr>
            <w:webHidden/>
          </w:rPr>
          <w:tab/>
        </w:r>
        <w:r w:rsidR="004F69A7" w:rsidRPr="00103C6F">
          <w:rPr>
            <w:webHidden/>
          </w:rPr>
          <w:fldChar w:fldCharType="begin"/>
        </w:r>
        <w:r w:rsidR="004F69A7" w:rsidRPr="00103C6F">
          <w:rPr>
            <w:webHidden/>
          </w:rPr>
          <w:instrText xml:space="preserve"> PAGEREF _Toc182298703 \h </w:instrText>
        </w:r>
        <w:r w:rsidR="004F69A7" w:rsidRPr="00103C6F">
          <w:rPr>
            <w:webHidden/>
          </w:rPr>
        </w:r>
        <w:r w:rsidR="004F69A7" w:rsidRPr="00103C6F">
          <w:rPr>
            <w:webHidden/>
          </w:rPr>
          <w:fldChar w:fldCharType="separate"/>
        </w:r>
        <w:r w:rsidR="00666FC7">
          <w:rPr>
            <w:webHidden/>
          </w:rPr>
          <w:t>78</w:t>
        </w:r>
        <w:r w:rsidR="004F69A7" w:rsidRPr="00103C6F">
          <w:rPr>
            <w:webHidden/>
          </w:rPr>
          <w:fldChar w:fldCharType="end"/>
        </w:r>
      </w:hyperlink>
    </w:p>
    <w:p w14:paraId="0FCFCABC" w14:textId="11245230"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04" w:history="1">
        <w:r w:rsidR="004F69A7" w:rsidRPr="00103C6F">
          <w:rPr>
            <w:rStyle w:val="Lienhypertexte"/>
            <w:rFonts w:asciiTheme="majorBidi" w:hAnsiTheme="majorBidi" w:cstheme="majorBidi"/>
            <w:noProof/>
            <w:kern w:val="24"/>
            <w:sz w:val="24"/>
            <w:szCs w:val="24"/>
          </w:rPr>
          <w:t>1.2.1- Risque de marché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_Toc182298704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79</w:t>
        </w:r>
        <w:r w:rsidR="004F69A7" w:rsidRPr="00103C6F">
          <w:rPr>
            <w:rFonts w:asciiTheme="majorBidi" w:hAnsiTheme="majorBidi" w:cstheme="majorBidi"/>
            <w:noProof/>
            <w:webHidden/>
            <w:sz w:val="24"/>
            <w:szCs w:val="24"/>
          </w:rPr>
          <w:fldChar w:fldCharType="end"/>
        </w:r>
      </w:hyperlink>
    </w:p>
    <w:p w14:paraId="31A143B9" w14:textId="5A0250A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05" w:history="1">
        <w:r w:rsidR="004F69A7" w:rsidRPr="00103C6F">
          <w:rPr>
            <w:rStyle w:val="Lienhypertexte"/>
            <w:rFonts w:asciiTheme="majorBidi" w:hAnsiTheme="majorBidi" w:cstheme="majorBidi"/>
            <w:noProof/>
            <w:kern w:val="24"/>
            <w:sz w:val="24"/>
            <w:szCs w:val="24"/>
          </w:rPr>
          <w:t>1.2.2- Risque de taux d’intérêt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_Toc182298705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79</w:t>
        </w:r>
        <w:r w:rsidR="004F69A7" w:rsidRPr="00103C6F">
          <w:rPr>
            <w:rFonts w:asciiTheme="majorBidi" w:hAnsiTheme="majorBidi" w:cstheme="majorBidi"/>
            <w:noProof/>
            <w:webHidden/>
            <w:sz w:val="24"/>
            <w:szCs w:val="24"/>
          </w:rPr>
          <w:fldChar w:fldCharType="end"/>
        </w:r>
      </w:hyperlink>
    </w:p>
    <w:p w14:paraId="12AFD73E" w14:textId="3565E2B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06" w:history="1">
        <w:r w:rsidR="004F69A7" w:rsidRPr="00103C6F">
          <w:rPr>
            <w:rStyle w:val="Lienhypertexte"/>
            <w:rFonts w:asciiTheme="majorBidi" w:hAnsiTheme="majorBidi" w:cstheme="majorBidi"/>
            <w:noProof/>
            <w:kern w:val="24"/>
            <w:sz w:val="24"/>
            <w:szCs w:val="24"/>
          </w:rPr>
          <w:t>1.2.3- Risque de change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_Toc182298706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79</w:t>
        </w:r>
        <w:r w:rsidR="004F69A7" w:rsidRPr="00103C6F">
          <w:rPr>
            <w:rFonts w:asciiTheme="majorBidi" w:hAnsiTheme="majorBidi" w:cstheme="majorBidi"/>
            <w:noProof/>
            <w:webHidden/>
            <w:sz w:val="24"/>
            <w:szCs w:val="24"/>
          </w:rPr>
          <w:fldChar w:fldCharType="end"/>
        </w:r>
      </w:hyperlink>
    </w:p>
    <w:p w14:paraId="7EE1207D" w14:textId="5DDEEFD6"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07" w:history="1">
        <w:r w:rsidR="004F69A7" w:rsidRPr="00103C6F">
          <w:rPr>
            <w:rStyle w:val="Lienhypertexte"/>
            <w:rFonts w:asciiTheme="majorBidi" w:hAnsiTheme="majorBidi" w:cstheme="majorBidi"/>
            <w:noProof/>
            <w:kern w:val="24"/>
            <w:sz w:val="24"/>
            <w:szCs w:val="24"/>
          </w:rPr>
          <w:t>1.2.4- Risque de crédit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_Toc182298707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79</w:t>
        </w:r>
        <w:r w:rsidR="004F69A7" w:rsidRPr="00103C6F">
          <w:rPr>
            <w:rFonts w:asciiTheme="majorBidi" w:hAnsiTheme="majorBidi" w:cstheme="majorBidi"/>
            <w:noProof/>
            <w:webHidden/>
            <w:sz w:val="24"/>
            <w:szCs w:val="24"/>
          </w:rPr>
          <w:fldChar w:fldCharType="end"/>
        </w:r>
      </w:hyperlink>
    </w:p>
    <w:p w14:paraId="1DA859BE" w14:textId="42099DD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08" w:history="1">
        <w:r w:rsidR="004F69A7" w:rsidRPr="00103C6F">
          <w:rPr>
            <w:rStyle w:val="Lienhypertexte"/>
            <w:rFonts w:asciiTheme="majorBidi" w:hAnsiTheme="majorBidi" w:cstheme="majorBidi"/>
            <w:noProof/>
            <w:sz w:val="24"/>
            <w:szCs w:val="24"/>
          </w:rPr>
          <w:t>1.2.5- Risque de liquidité (ou d'illiquidité)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_Toc182298708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80</w:t>
        </w:r>
        <w:r w:rsidR="004F69A7" w:rsidRPr="00103C6F">
          <w:rPr>
            <w:rFonts w:asciiTheme="majorBidi" w:hAnsiTheme="majorBidi" w:cstheme="majorBidi"/>
            <w:noProof/>
            <w:webHidden/>
            <w:sz w:val="24"/>
            <w:szCs w:val="24"/>
          </w:rPr>
          <w:fldChar w:fldCharType="end"/>
        </w:r>
      </w:hyperlink>
    </w:p>
    <w:p w14:paraId="5E878B17" w14:textId="3745326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09" w:history="1">
        <w:r w:rsidR="004F69A7" w:rsidRPr="00103C6F">
          <w:rPr>
            <w:rStyle w:val="Lienhypertexte"/>
            <w:rFonts w:asciiTheme="majorBidi" w:hAnsiTheme="majorBidi" w:cstheme="majorBidi"/>
            <w:noProof/>
            <w:sz w:val="24"/>
            <w:szCs w:val="24"/>
          </w:rPr>
          <w:t>1.2.6- Risque opérationnel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_Toc182298709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80</w:t>
        </w:r>
        <w:r w:rsidR="004F69A7" w:rsidRPr="00103C6F">
          <w:rPr>
            <w:rFonts w:asciiTheme="majorBidi" w:hAnsiTheme="majorBidi" w:cstheme="majorBidi"/>
            <w:noProof/>
            <w:webHidden/>
            <w:sz w:val="24"/>
            <w:szCs w:val="24"/>
          </w:rPr>
          <w:fldChar w:fldCharType="end"/>
        </w:r>
      </w:hyperlink>
    </w:p>
    <w:p w14:paraId="10EFCC9F" w14:textId="7A530AD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10" w:history="1">
        <w:r w:rsidR="004F69A7" w:rsidRPr="00103C6F">
          <w:rPr>
            <w:rStyle w:val="Lienhypertexte"/>
            <w:rFonts w:asciiTheme="majorBidi" w:hAnsiTheme="majorBidi" w:cstheme="majorBidi"/>
            <w:noProof/>
            <w:sz w:val="24"/>
            <w:szCs w:val="24"/>
          </w:rPr>
          <w:t>1.2.7- Risque juridique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_Toc182298710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81</w:t>
        </w:r>
        <w:r w:rsidR="004F69A7" w:rsidRPr="00103C6F">
          <w:rPr>
            <w:rFonts w:asciiTheme="majorBidi" w:hAnsiTheme="majorBidi" w:cstheme="majorBidi"/>
            <w:noProof/>
            <w:webHidden/>
            <w:sz w:val="24"/>
            <w:szCs w:val="24"/>
          </w:rPr>
          <w:fldChar w:fldCharType="end"/>
        </w:r>
      </w:hyperlink>
    </w:p>
    <w:p w14:paraId="5A89AC61" w14:textId="7D517E23" w:rsidR="004F69A7" w:rsidRPr="00103C6F" w:rsidRDefault="00C40DAA" w:rsidP="009C2D83">
      <w:pPr>
        <w:pStyle w:val="TM3"/>
        <w:keepNext w:val="0"/>
        <w:keepLines w:val="0"/>
        <w:widowControl w:val="0"/>
        <w:rPr>
          <w:rFonts w:eastAsiaTheme="minorEastAsia"/>
          <w:lang w:eastAsia="fr-FR"/>
        </w:rPr>
      </w:pPr>
      <w:hyperlink w:anchor="_Toc182298711" w:history="1">
        <w:r w:rsidR="004F69A7" w:rsidRPr="00103C6F">
          <w:rPr>
            <w:rStyle w:val="Lienhypertexte"/>
          </w:rPr>
          <w:t>1.3- Définition et genèse de la gestion des risques</w:t>
        </w:r>
        <w:r w:rsidR="004F69A7" w:rsidRPr="00103C6F">
          <w:rPr>
            <w:webHidden/>
          </w:rPr>
          <w:tab/>
        </w:r>
        <w:r w:rsidR="004F69A7" w:rsidRPr="00103C6F">
          <w:rPr>
            <w:webHidden/>
          </w:rPr>
          <w:fldChar w:fldCharType="begin"/>
        </w:r>
        <w:r w:rsidR="004F69A7" w:rsidRPr="00103C6F">
          <w:rPr>
            <w:webHidden/>
          </w:rPr>
          <w:instrText xml:space="preserve"> PAGEREF _Toc182298711 \h </w:instrText>
        </w:r>
        <w:r w:rsidR="004F69A7" w:rsidRPr="00103C6F">
          <w:rPr>
            <w:webHidden/>
          </w:rPr>
        </w:r>
        <w:r w:rsidR="004F69A7" w:rsidRPr="00103C6F">
          <w:rPr>
            <w:webHidden/>
          </w:rPr>
          <w:fldChar w:fldCharType="separate"/>
        </w:r>
        <w:r w:rsidR="00666FC7">
          <w:rPr>
            <w:webHidden/>
          </w:rPr>
          <w:t>81</w:t>
        </w:r>
        <w:r w:rsidR="004F69A7" w:rsidRPr="00103C6F">
          <w:rPr>
            <w:webHidden/>
          </w:rPr>
          <w:fldChar w:fldCharType="end"/>
        </w:r>
      </w:hyperlink>
    </w:p>
    <w:p w14:paraId="6EA6DD0D" w14:textId="35FB293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12" w:history="1">
        <w:r w:rsidR="004F69A7" w:rsidRPr="00103C6F">
          <w:rPr>
            <w:rStyle w:val="Lienhypertexte"/>
            <w:rFonts w:asciiTheme="majorBidi" w:hAnsiTheme="majorBidi" w:cstheme="majorBidi"/>
            <w:noProof/>
            <w:sz w:val="24"/>
            <w:szCs w:val="24"/>
          </w:rPr>
          <w:t>1.3.1- Définition de la gestion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_Toc182298712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81</w:t>
        </w:r>
        <w:r w:rsidR="004F69A7" w:rsidRPr="00103C6F">
          <w:rPr>
            <w:rFonts w:asciiTheme="majorBidi" w:hAnsiTheme="majorBidi" w:cstheme="majorBidi"/>
            <w:noProof/>
            <w:webHidden/>
            <w:sz w:val="24"/>
            <w:szCs w:val="24"/>
          </w:rPr>
          <w:fldChar w:fldCharType="end"/>
        </w:r>
      </w:hyperlink>
    </w:p>
    <w:p w14:paraId="127B376F" w14:textId="016E9D1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13" w:history="1">
        <w:r w:rsidR="004F69A7" w:rsidRPr="00103C6F">
          <w:rPr>
            <w:rStyle w:val="Lienhypertexte"/>
            <w:rFonts w:asciiTheme="majorBidi" w:hAnsiTheme="majorBidi" w:cstheme="majorBidi"/>
            <w:noProof/>
            <w:sz w:val="24"/>
            <w:szCs w:val="24"/>
          </w:rPr>
          <w:t>1.3.2- Genèse de la gestion des risques financiers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_Toc182298713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81</w:t>
        </w:r>
        <w:r w:rsidR="004F69A7" w:rsidRPr="00103C6F">
          <w:rPr>
            <w:rFonts w:asciiTheme="majorBidi" w:hAnsiTheme="majorBidi" w:cstheme="majorBidi"/>
            <w:noProof/>
            <w:webHidden/>
            <w:sz w:val="24"/>
            <w:szCs w:val="24"/>
          </w:rPr>
          <w:fldChar w:fldCharType="end"/>
        </w:r>
      </w:hyperlink>
    </w:p>
    <w:p w14:paraId="1C0A4C9B" w14:textId="6BA256DF" w:rsidR="004F69A7" w:rsidRPr="00103C6F" w:rsidRDefault="00C40DAA" w:rsidP="009C2D83">
      <w:pPr>
        <w:pStyle w:val="TM2"/>
        <w:keepNext w:val="0"/>
        <w:keepLines w:val="0"/>
        <w:widowControl w:val="0"/>
        <w:rPr>
          <w:rFonts w:eastAsiaTheme="minorEastAsia"/>
          <w:kern w:val="0"/>
          <w:lang w:eastAsia="fr-FR"/>
        </w:rPr>
      </w:pPr>
      <w:hyperlink w:anchor="_Toc182298714" w:history="1">
        <w:r w:rsidR="004F69A7" w:rsidRPr="00103C6F">
          <w:rPr>
            <w:rStyle w:val="Lienhypertexte"/>
          </w:rPr>
          <w:t>Section II- Identification, mesure et techniques d’atténuation des risques</w:t>
        </w:r>
        <w:r w:rsidR="004F69A7" w:rsidRPr="00103C6F">
          <w:rPr>
            <w:webHidden/>
          </w:rPr>
          <w:tab/>
        </w:r>
        <w:r w:rsidR="004F69A7" w:rsidRPr="00103C6F">
          <w:rPr>
            <w:webHidden/>
          </w:rPr>
          <w:fldChar w:fldCharType="begin"/>
        </w:r>
        <w:r w:rsidR="004F69A7" w:rsidRPr="00103C6F">
          <w:rPr>
            <w:webHidden/>
          </w:rPr>
          <w:instrText xml:space="preserve"> PAGEREF _Toc182298714 \h </w:instrText>
        </w:r>
        <w:r w:rsidR="004F69A7" w:rsidRPr="00103C6F">
          <w:rPr>
            <w:webHidden/>
          </w:rPr>
        </w:r>
        <w:r w:rsidR="004F69A7" w:rsidRPr="00103C6F">
          <w:rPr>
            <w:webHidden/>
          </w:rPr>
          <w:fldChar w:fldCharType="separate"/>
        </w:r>
        <w:r w:rsidR="00666FC7">
          <w:rPr>
            <w:webHidden/>
          </w:rPr>
          <w:t>83</w:t>
        </w:r>
        <w:r w:rsidR="004F69A7" w:rsidRPr="00103C6F">
          <w:rPr>
            <w:webHidden/>
          </w:rPr>
          <w:fldChar w:fldCharType="end"/>
        </w:r>
      </w:hyperlink>
    </w:p>
    <w:p w14:paraId="5229A163" w14:textId="6367549B" w:rsidR="004F69A7" w:rsidRPr="00103C6F" w:rsidRDefault="00C40DAA" w:rsidP="009C2D83">
      <w:pPr>
        <w:pStyle w:val="TM3"/>
        <w:keepNext w:val="0"/>
        <w:keepLines w:val="0"/>
        <w:widowControl w:val="0"/>
        <w:rPr>
          <w:rFonts w:eastAsiaTheme="minorEastAsia"/>
          <w:lang w:eastAsia="fr-FR"/>
        </w:rPr>
      </w:pPr>
      <w:hyperlink w:anchor="_Toc182298715" w:history="1">
        <w:r w:rsidR="004F69A7" w:rsidRPr="00103C6F">
          <w:rPr>
            <w:rStyle w:val="Lienhypertexte"/>
          </w:rPr>
          <w:t>2.1- Identification des risques</w:t>
        </w:r>
        <w:r w:rsidR="004F69A7" w:rsidRPr="00103C6F">
          <w:rPr>
            <w:webHidden/>
          </w:rPr>
          <w:tab/>
        </w:r>
        <w:r w:rsidR="004F69A7" w:rsidRPr="00103C6F">
          <w:rPr>
            <w:webHidden/>
          </w:rPr>
          <w:fldChar w:fldCharType="begin"/>
        </w:r>
        <w:r w:rsidR="004F69A7" w:rsidRPr="00103C6F">
          <w:rPr>
            <w:webHidden/>
          </w:rPr>
          <w:instrText xml:space="preserve"> PAGEREF _Toc182298715 \h </w:instrText>
        </w:r>
        <w:r w:rsidR="004F69A7" w:rsidRPr="00103C6F">
          <w:rPr>
            <w:webHidden/>
          </w:rPr>
        </w:r>
        <w:r w:rsidR="004F69A7" w:rsidRPr="00103C6F">
          <w:rPr>
            <w:webHidden/>
          </w:rPr>
          <w:fldChar w:fldCharType="separate"/>
        </w:r>
        <w:r w:rsidR="00666FC7">
          <w:rPr>
            <w:webHidden/>
          </w:rPr>
          <w:t>83</w:t>
        </w:r>
        <w:r w:rsidR="004F69A7" w:rsidRPr="00103C6F">
          <w:rPr>
            <w:webHidden/>
          </w:rPr>
          <w:fldChar w:fldCharType="end"/>
        </w:r>
      </w:hyperlink>
    </w:p>
    <w:p w14:paraId="22212CF5" w14:textId="55B4BFAC" w:rsidR="004F69A7" w:rsidRPr="00103C6F" w:rsidRDefault="00C40DAA" w:rsidP="009C2D83">
      <w:pPr>
        <w:pStyle w:val="TM3"/>
        <w:keepNext w:val="0"/>
        <w:keepLines w:val="0"/>
        <w:widowControl w:val="0"/>
        <w:rPr>
          <w:rFonts w:eastAsiaTheme="minorEastAsia"/>
          <w:lang w:eastAsia="fr-FR"/>
        </w:rPr>
      </w:pPr>
      <w:hyperlink w:anchor="_Toc182298716" w:history="1">
        <w:r w:rsidR="004F69A7" w:rsidRPr="00103C6F">
          <w:rPr>
            <w:rStyle w:val="Lienhypertexte"/>
          </w:rPr>
          <w:t>2.2- Mesure des risques</w:t>
        </w:r>
        <w:r w:rsidR="004F69A7" w:rsidRPr="00103C6F">
          <w:rPr>
            <w:webHidden/>
          </w:rPr>
          <w:tab/>
        </w:r>
        <w:r w:rsidR="004F69A7" w:rsidRPr="00103C6F">
          <w:rPr>
            <w:webHidden/>
          </w:rPr>
          <w:fldChar w:fldCharType="begin"/>
        </w:r>
        <w:r w:rsidR="004F69A7" w:rsidRPr="00103C6F">
          <w:rPr>
            <w:webHidden/>
          </w:rPr>
          <w:instrText xml:space="preserve"> PAGEREF _Toc182298716 \h </w:instrText>
        </w:r>
        <w:r w:rsidR="004F69A7" w:rsidRPr="00103C6F">
          <w:rPr>
            <w:webHidden/>
          </w:rPr>
        </w:r>
        <w:r w:rsidR="004F69A7" w:rsidRPr="00103C6F">
          <w:rPr>
            <w:webHidden/>
          </w:rPr>
          <w:fldChar w:fldCharType="separate"/>
        </w:r>
        <w:r w:rsidR="00666FC7">
          <w:rPr>
            <w:webHidden/>
          </w:rPr>
          <w:t>84</w:t>
        </w:r>
        <w:r w:rsidR="004F69A7" w:rsidRPr="00103C6F">
          <w:rPr>
            <w:webHidden/>
          </w:rPr>
          <w:fldChar w:fldCharType="end"/>
        </w:r>
      </w:hyperlink>
    </w:p>
    <w:p w14:paraId="6DC66C3F" w14:textId="70303FEF"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17" w:history="1">
        <w:r w:rsidR="004F69A7" w:rsidRPr="00103C6F">
          <w:rPr>
            <w:rStyle w:val="Lienhypertexte"/>
            <w:rFonts w:asciiTheme="majorBidi" w:hAnsiTheme="majorBidi" w:cstheme="majorBidi"/>
            <w:noProof/>
            <w:sz w:val="24"/>
            <w:szCs w:val="24"/>
          </w:rPr>
          <w:t>2.2.1- Analyse différentielle (GAP ou Gestion Actif-Passif)</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_Toc182298717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84</w:t>
        </w:r>
        <w:r w:rsidR="004F69A7" w:rsidRPr="00103C6F">
          <w:rPr>
            <w:rFonts w:asciiTheme="majorBidi" w:hAnsiTheme="majorBidi" w:cstheme="majorBidi"/>
            <w:noProof/>
            <w:webHidden/>
            <w:sz w:val="24"/>
            <w:szCs w:val="24"/>
          </w:rPr>
          <w:fldChar w:fldCharType="end"/>
        </w:r>
      </w:hyperlink>
    </w:p>
    <w:p w14:paraId="7033A465" w14:textId="6F9BE93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18" w:history="1">
        <w:r w:rsidR="004F69A7" w:rsidRPr="00103C6F">
          <w:rPr>
            <w:rStyle w:val="Lienhypertexte"/>
            <w:rFonts w:asciiTheme="majorBidi" w:hAnsiTheme="majorBidi" w:cstheme="majorBidi"/>
            <w:noProof/>
            <w:sz w:val="24"/>
            <w:szCs w:val="24"/>
          </w:rPr>
          <w:t>2.2.2- Analyse de la duration-GAP</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_Toc182298718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85</w:t>
        </w:r>
        <w:r w:rsidR="004F69A7" w:rsidRPr="00103C6F">
          <w:rPr>
            <w:rFonts w:asciiTheme="majorBidi" w:hAnsiTheme="majorBidi" w:cstheme="majorBidi"/>
            <w:noProof/>
            <w:webHidden/>
            <w:sz w:val="24"/>
            <w:szCs w:val="24"/>
          </w:rPr>
          <w:fldChar w:fldCharType="end"/>
        </w:r>
      </w:hyperlink>
    </w:p>
    <w:p w14:paraId="0836AC1C" w14:textId="2CB070EC"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19" w:history="1">
        <w:r w:rsidR="004F69A7" w:rsidRPr="00103C6F">
          <w:rPr>
            <w:rStyle w:val="Lienhypertexte"/>
            <w:rFonts w:asciiTheme="majorBidi" w:hAnsiTheme="majorBidi" w:cstheme="majorBidi"/>
            <w:noProof/>
            <w:sz w:val="24"/>
            <w:szCs w:val="24"/>
          </w:rPr>
          <w:t>2.2.3- Méthode de la valeur à risque (VAR)</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_Toc182298719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86</w:t>
        </w:r>
        <w:r w:rsidR="004F69A7" w:rsidRPr="00103C6F">
          <w:rPr>
            <w:rFonts w:asciiTheme="majorBidi" w:hAnsiTheme="majorBidi" w:cstheme="majorBidi"/>
            <w:noProof/>
            <w:webHidden/>
            <w:sz w:val="24"/>
            <w:szCs w:val="24"/>
          </w:rPr>
          <w:fldChar w:fldCharType="end"/>
        </w:r>
      </w:hyperlink>
    </w:p>
    <w:p w14:paraId="34755390" w14:textId="0C596BF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20" w:history="1">
        <w:r w:rsidR="004F69A7" w:rsidRPr="00103C6F">
          <w:rPr>
            <w:rStyle w:val="Lienhypertexte"/>
            <w:rFonts w:asciiTheme="majorBidi" w:hAnsiTheme="majorBidi" w:cstheme="majorBidi"/>
            <w:noProof/>
            <w:sz w:val="24"/>
            <w:szCs w:val="24"/>
          </w:rPr>
          <w:t>2.2.3.1- Valeur à risque historique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_Toc182298720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86</w:t>
        </w:r>
        <w:r w:rsidR="004F69A7" w:rsidRPr="00103C6F">
          <w:rPr>
            <w:rFonts w:asciiTheme="majorBidi" w:hAnsiTheme="majorBidi" w:cstheme="majorBidi"/>
            <w:noProof/>
            <w:webHidden/>
            <w:sz w:val="24"/>
            <w:szCs w:val="24"/>
          </w:rPr>
          <w:fldChar w:fldCharType="end"/>
        </w:r>
      </w:hyperlink>
    </w:p>
    <w:p w14:paraId="1413874B" w14:textId="6B9E7D1A"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21" w:history="1">
        <w:r w:rsidR="004F69A7" w:rsidRPr="00103C6F">
          <w:rPr>
            <w:rStyle w:val="Lienhypertexte"/>
            <w:rFonts w:asciiTheme="majorBidi" w:hAnsiTheme="majorBidi" w:cstheme="majorBidi"/>
            <w:noProof/>
            <w:sz w:val="24"/>
            <w:szCs w:val="24"/>
          </w:rPr>
          <w:t>2.2.3.2- Valeur à risque paramétrique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_Toc182298721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87</w:t>
        </w:r>
        <w:r w:rsidR="004F69A7" w:rsidRPr="00103C6F">
          <w:rPr>
            <w:rFonts w:asciiTheme="majorBidi" w:hAnsiTheme="majorBidi" w:cstheme="majorBidi"/>
            <w:noProof/>
            <w:webHidden/>
            <w:sz w:val="24"/>
            <w:szCs w:val="24"/>
          </w:rPr>
          <w:fldChar w:fldCharType="end"/>
        </w:r>
      </w:hyperlink>
    </w:p>
    <w:p w14:paraId="4C3A02C4" w14:textId="32965AF4"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22" w:history="1">
        <w:r w:rsidR="004F69A7" w:rsidRPr="00103C6F">
          <w:rPr>
            <w:rStyle w:val="Lienhypertexte"/>
            <w:rFonts w:asciiTheme="majorBidi" w:hAnsiTheme="majorBidi" w:cstheme="majorBidi"/>
            <w:noProof/>
            <w:sz w:val="24"/>
            <w:szCs w:val="24"/>
          </w:rPr>
          <w:t>2.2.3.3- Exemple d’estimation de la VAR paramétrique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_Toc182298722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87</w:t>
        </w:r>
        <w:r w:rsidR="004F69A7" w:rsidRPr="00103C6F">
          <w:rPr>
            <w:rFonts w:asciiTheme="majorBidi" w:hAnsiTheme="majorBidi" w:cstheme="majorBidi"/>
            <w:noProof/>
            <w:webHidden/>
            <w:sz w:val="24"/>
            <w:szCs w:val="24"/>
          </w:rPr>
          <w:fldChar w:fldCharType="end"/>
        </w:r>
      </w:hyperlink>
    </w:p>
    <w:p w14:paraId="6888EDB8" w14:textId="2DD228F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23" w:history="1">
        <w:r w:rsidR="004F69A7" w:rsidRPr="00103C6F">
          <w:rPr>
            <w:rStyle w:val="Lienhypertexte"/>
            <w:rFonts w:asciiTheme="majorBidi" w:hAnsiTheme="majorBidi" w:cstheme="majorBidi"/>
            <w:noProof/>
            <w:sz w:val="24"/>
            <w:szCs w:val="24"/>
          </w:rPr>
          <w:t>2.2.3.4- Valeur à risque de Monte Carlo</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_Toc182298723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87</w:t>
        </w:r>
        <w:r w:rsidR="004F69A7" w:rsidRPr="00103C6F">
          <w:rPr>
            <w:rFonts w:asciiTheme="majorBidi" w:hAnsiTheme="majorBidi" w:cstheme="majorBidi"/>
            <w:noProof/>
            <w:webHidden/>
            <w:sz w:val="24"/>
            <w:szCs w:val="24"/>
          </w:rPr>
          <w:fldChar w:fldCharType="end"/>
        </w:r>
      </w:hyperlink>
    </w:p>
    <w:p w14:paraId="6814A7D9" w14:textId="32C9A531"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24" w:history="1">
        <w:r w:rsidR="004F69A7" w:rsidRPr="00103C6F">
          <w:rPr>
            <w:rStyle w:val="Lienhypertexte"/>
            <w:rFonts w:asciiTheme="majorBidi" w:hAnsiTheme="majorBidi" w:cstheme="majorBidi"/>
            <w:noProof/>
            <w:sz w:val="24"/>
            <w:szCs w:val="24"/>
            <w:lang w:val="en-GB"/>
          </w:rPr>
          <w:t>2.2.4- Risk Adjusted Return on Capital (RAROC)</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_Toc182298724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88</w:t>
        </w:r>
        <w:r w:rsidR="004F69A7" w:rsidRPr="00103C6F">
          <w:rPr>
            <w:rFonts w:asciiTheme="majorBidi" w:hAnsiTheme="majorBidi" w:cstheme="majorBidi"/>
            <w:noProof/>
            <w:webHidden/>
            <w:sz w:val="24"/>
            <w:szCs w:val="24"/>
          </w:rPr>
          <w:fldChar w:fldCharType="end"/>
        </w:r>
      </w:hyperlink>
    </w:p>
    <w:p w14:paraId="7B782145" w14:textId="4A71C46C"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25" w:history="1">
        <w:r w:rsidR="004F69A7" w:rsidRPr="00103C6F">
          <w:rPr>
            <w:rStyle w:val="Lienhypertexte"/>
            <w:rFonts w:asciiTheme="majorBidi" w:hAnsiTheme="majorBidi" w:cstheme="majorBidi"/>
            <w:noProof/>
            <w:sz w:val="24"/>
            <w:szCs w:val="24"/>
          </w:rPr>
          <w:t>2.2.5- Rating interne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_Toc182298725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89</w:t>
        </w:r>
        <w:r w:rsidR="004F69A7" w:rsidRPr="00103C6F">
          <w:rPr>
            <w:rFonts w:asciiTheme="majorBidi" w:hAnsiTheme="majorBidi" w:cstheme="majorBidi"/>
            <w:noProof/>
            <w:webHidden/>
            <w:sz w:val="24"/>
            <w:szCs w:val="24"/>
          </w:rPr>
          <w:fldChar w:fldCharType="end"/>
        </w:r>
      </w:hyperlink>
    </w:p>
    <w:p w14:paraId="4AA1546B" w14:textId="72A2406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26" w:history="1">
        <w:r w:rsidR="004F69A7" w:rsidRPr="00103C6F">
          <w:rPr>
            <w:rStyle w:val="Lienhypertexte"/>
            <w:rFonts w:asciiTheme="majorBidi" w:hAnsiTheme="majorBidi" w:cstheme="majorBidi"/>
            <w:noProof/>
            <w:sz w:val="24"/>
            <w:szCs w:val="24"/>
          </w:rPr>
          <w:t>2.2.6- Scoring de crédit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_Toc182298726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89</w:t>
        </w:r>
        <w:r w:rsidR="004F69A7" w:rsidRPr="00103C6F">
          <w:rPr>
            <w:rFonts w:asciiTheme="majorBidi" w:hAnsiTheme="majorBidi" w:cstheme="majorBidi"/>
            <w:noProof/>
            <w:webHidden/>
            <w:sz w:val="24"/>
            <w:szCs w:val="24"/>
          </w:rPr>
          <w:fldChar w:fldCharType="end"/>
        </w:r>
      </w:hyperlink>
    </w:p>
    <w:p w14:paraId="2A306C8E" w14:textId="6059A30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27" w:history="1">
        <w:r w:rsidR="004F69A7" w:rsidRPr="00103C6F">
          <w:rPr>
            <w:rStyle w:val="Lienhypertexte"/>
            <w:rFonts w:asciiTheme="majorBidi" w:hAnsiTheme="majorBidi" w:cstheme="majorBidi"/>
            <w:noProof/>
            <w:sz w:val="24"/>
            <w:szCs w:val="24"/>
            <w:shd w:val="clear" w:color="auto" w:fill="FFFFFF"/>
          </w:rPr>
          <w:t>2.2.7- Stress test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_Toc182298727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90</w:t>
        </w:r>
        <w:r w:rsidR="004F69A7" w:rsidRPr="00103C6F">
          <w:rPr>
            <w:rFonts w:asciiTheme="majorBidi" w:hAnsiTheme="majorBidi" w:cstheme="majorBidi"/>
            <w:noProof/>
            <w:webHidden/>
            <w:sz w:val="24"/>
            <w:szCs w:val="24"/>
          </w:rPr>
          <w:fldChar w:fldCharType="end"/>
        </w:r>
      </w:hyperlink>
    </w:p>
    <w:p w14:paraId="1EC15BB4" w14:textId="19928BA4" w:rsidR="004F69A7" w:rsidRPr="00103C6F" w:rsidRDefault="00C40DAA" w:rsidP="009C2D83">
      <w:pPr>
        <w:pStyle w:val="TM3"/>
        <w:keepNext w:val="0"/>
        <w:keepLines w:val="0"/>
        <w:widowControl w:val="0"/>
        <w:rPr>
          <w:rFonts w:eastAsiaTheme="minorEastAsia"/>
          <w:lang w:eastAsia="fr-FR"/>
        </w:rPr>
      </w:pPr>
      <w:hyperlink w:anchor="_Toc182298728" w:history="1">
        <w:r w:rsidR="004F69A7" w:rsidRPr="00103C6F">
          <w:rPr>
            <w:rStyle w:val="Lienhypertexte"/>
            <w:lang w:eastAsia="fr-FR"/>
          </w:rPr>
          <w:t>2.3- Techniques d’atténuation de risques</w:t>
        </w:r>
        <w:r w:rsidR="004F69A7" w:rsidRPr="00103C6F">
          <w:rPr>
            <w:webHidden/>
          </w:rPr>
          <w:tab/>
        </w:r>
        <w:r w:rsidR="004F69A7" w:rsidRPr="00103C6F">
          <w:rPr>
            <w:webHidden/>
          </w:rPr>
          <w:fldChar w:fldCharType="begin"/>
        </w:r>
        <w:r w:rsidR="004F69A7" w:rsidRPr="00103C6F">
          <w:rPr>
            <w:webHidden/>
          </w:rPr>
          <w:instrText xml:space="preserve"> PAGEREF _Toc182298728 \h </w:instrText>
        </w:r>
        <w:r w:rsidR="004F69A7" w:rsidRPr="00103C6F">
          <w:rPr>
            <w:webHidden/>
          </w:rPr>
        </w:r>
        <w:r w:rsidR="004F69A7" w:rsidRPr="00103C6F">
          <w:rPr>
            <w:webHidden/>
          </w:rPr>
          <w:fldChar w:fldCharType="separate"/>
        </w:r>
        <w:r w:rsidR="00666FC7">
          <w:rPr>
            <w:webHidden/>
          </w:rPr>
          <w:t>90</w:t>
        </w:r>
        <w:r w:rsidR="004F69A7" w:rsidRPr="00103C6F">
          <w:rPr>
            <w:webHidden/>
          </w:rPr>
          <w:fldChar w:fldCharType="end"/>
        </w:r>
      </w:hyperlink>
    </w:p>
    <w:p w14:paraId="7AE7D33E" w14:textId="7C3BDCF3"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29" w:history="1">
        <w:r w:rsidR="004F69A7" w:rsidRPr="00103C6F">
          <w:rPr>
            <w:rStyle w:val="Lienhypertexte"/>
            <w:rFonts w:asciiTheme="majorBidi" w:hAnsiTheme="majorBidi" w:cstheme="majorBidi"/>
            <w:noProof/>
            <w:sz w:val="24"/>
            <w:szCs w:val="24"/>
          </w:rPr>
          <w:t>2.3.1- Titrisation</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_Toc182298729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90</w:t>
        </w:r>
        <w:r w:rsidR="004F69A7" w:rsidRPr="00103C6F">
          <w:rPr>
            <w:rFonts w:asciiTheme="majorBidi" w:hAnsiTheme="majorBidi" w:cstheme="majorBidi"/>
            <w:noProof/>
            <w:webHidden/>
            <w:sz w:val="24"/>
            <w:szCs w:val="24"/>
          </w:rPr>
          <w:fldChar w:fldCharType="end"/>
        </w:r>
      </w:hyperlink>
    </w:p>
    <w:p w14:paraId="2A9FDCF9" w14:textId="319C6578"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30" w:history="1">
        <w:r w:rsidR="004F69A7" w:rsidRPr="00103C6F">
          <w:rPr>
            <w:rStyle w:val="Lienhypertexte"/>
            <w:rFonts w:asciiTheme="majorBidi" w:hAnsiTheme="majorBidi" w:cstheme="majorBidi"/>
            <w:noProof/>
            <w:sz w:val="24"/>
            <w:szCs w:val="24"/>
          </w:rPr>
          <w:t>2.3.2- Produits dérivés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_Toc182298730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93</w:t>
        </w:r>
        <w:r w:rsidR="004F69A7" w:rsidRPr="00103C6F">
          <w:rPr>
            <w:rFonts w:asciiTheme="majorBidi" w:hAnsiTheme="majorBidi" w:cstheme="majorBidi"/>
            <w:noProof/>
            <w:webHidden/>
            <w:sz w:val="24"/>
            <w:szCs w:val="24"/>
          </w:rPr>
          <w:fldChar w:fldCharType="end"/>
        </w:r>
      </w:hyperlink>
    </w:p>
    <w:p w14:paraId="51ED0237" w14:textId="4DB2C8DA" w:rsidR="004F69A7" w:rsidRPr="00103C6F" w:rsidRDefault="00C40DAA" w:rsidP="009C2D83">
      <w:pPr>
        <w:pStyle w:val="TM5"/>
        <w:widowControl w:val="0"/>
        <w:tabs>
          <w:tab w:val="left" w:pos="1760"/>
          <w:tab w:val="right" w:leader="dot" w:pos="9061"/>
        </w:tabs>
        <w:rPr>
          <w:rFonts w:asciiTheme="majorBidi" w:eastAsiaTheme="minorEastAsia" w:hAnsiTheme="majorBidi" w:cstheme="majorBidi"/>
          <w:noProof/>
          <w:sz w:val="24"/>
          <w:szCs w:val="24"/>
          <w:lang w:eastAsia="fr-FR"/>
        </w:rPr>
      </w:pPr>
      <w:hyperlink w:anchor="_Toc182298731" w:history="1">
        <w:r w:rsidR="004F69A7" w:rsidRPr="00103C6F">
          <w:rPr>
            <w:rStyle w:val="Lienhypertexte"/>
            <w:rFonts w:asciiTheme="majorBidi" w:hAnsiTheme="majorBidi" w:cstheme="majorBidi"/>
            <w:noProof/>
            <w:sz w:val="24"/>
            <w:szCs w:val="24"/>
          </w:rPr>
          <w:t>2.3.2.1</w:t>
        </w:r>
        <w:r w:rsidR="004F69A7" w:rsidRPr="00103C6F">
          <w:rPr>
            <w:rFonts w:asciiTheme="majorBidi" w:eastAsiaTheme="minorEastAsia" w:hAnsiTheme="majorBidi" w:cstheme="majorBidi"/>
            <w:noProof/>
            <w:sz w:val="24"/>
            <w:szCs w:val="24"/>
            <w:lang w:eastAsia="fr-FR"/>
          </w:rPr>
          <w:tab/>
        </w:r>
        <w:r w:rsidR="004F69A7" w:rsidRPr="00103C6F">
          <w:rPr>
            <w:rStyle w:val="Lienhypertexte"/>
            <w:rFonts w:asciiTheme="majorBidi" w:hAnsiTheme="majorBidi" w:cstheme="majorBidi"/>
            <w:noProof/>
            <w:sz w:val="24"/>
            <w:szCs w:val="24"/>
          </w:rPr>
          <w:t>Dérivés de crédit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_Toc182298731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93</w:t>
        </w:r>
        <w:r w:rsidR="004F69A7" w:rsidRPr="00103C6F">
          <w:rPr>
            <w:rFonts w:asciiTheme="majorBidi" w:hAnsiTheme="majorBidi" w:cstheme="majorBidi"/>
            <w:noProof/>
            <w:webHidden/>
            <w:sz w:val="24"/>
            <w:szCs w:val="24"/>
          </w:rPr>
          <w:fldChar w:fldCharType="end"/>
        </w:r>
      </w:hyperlink>
    </w:p>
    <w:p w14:paraId="0C7AD5F2" w14:textId="7187F905" w:rsidR="004F69A7" w:rsidRPr="00103C6F" w:rsidRDefault="00C40DAA" w:rsidP="009C2D83">
      <w:pPr>
        <w:pStyle w:val="TM5"/>
        <w:widowControl w:val="0"/>
        <w:tabs>
          <w:tab w:val="left" w:pos="1760"/>
          <w:tab w:val="right" w:leader="dot" w:pos="9061"/>
        </w:tabs>
        <w:rPr>
          <w:rFonts w:asciiTheme="majorBidi" w:eastAsiaTheme="minorEastAsia" w:hAnsiTheme="majorBidi" w:cstheme="majorBidi"/>
          <w:noProof/>
          <w:sz w:val="24"/>
          <w:szCs w:val="24"/>
          <w:lang w:eastAsia="fr-FR"/>
        </w:rPr>
      </w:pPr>
      <w:hyperlink w:anchor="_Toc182298732" w:history="1">
        <w:r w:rsidR="004F69A7" w:rsidRPr="00103C6F">
          <w:rPr>
            <w:rStyle w:val="Lienhypertexte"/>
            <w:rFonts w:asciiTheme="majorBidi" w:hAnsiTheme="majorBidi" w:cstheme="majorBidi"/>
            <w:noProof/>
            <w:sz w:val="24"/>
            <w:szCs w:val="24"/>
          </w:rPr>
          <w:t>2.3.2.2</w:t>
        </w:r>
        <w:r w:rsidR="004F69A7" w:rsidRPr="00103C6F">
          <w:rPr>
            <w:rFonts w:asciiTheme="majorBidi" w:eastAsiaTheme="minorEastAsia" w:hAnsiTheme="majorBidi" w:cstheme="majorBidi"/>
            <w:noProof/>
            <w:sz w:val="24"/>
            <w:szCs w:val="24"/>
            <w:lang w:eastAsia="fr-FR"/>
          </w:rPr>
          <w:tab/>
        </w:r>
        <w:r w:rsidR="004F69A7" w:rsidRPr="00103C6F">
          <w:rPr>
            <w:rStyle w:val="Lienhypertexte"/>
            <w:rFonts w:asciiTheme="majorBidi" w:hAnsiTheme="majorBidi" w:cstheme="majorBidi"/>
            <w:noProof/>
            <w:sz w:val="24"/>
            <w:szCs w:val="24"/>
          </w:rPr>
          <w:t>Swap de taux d’intérêt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_Toc182298732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94</w:t>
        </w:r>
        <w:r w:rsidR="004F69A7" w:rsidRPr="00103C6F">
          <w:rPr>
            <w:rFonts w:asciiTheme="majorBidi" w:hAnsiTheme="majorBidi" w:cstheme="majorBidi"/>
            <w:noProof/>
            <w:webHidden/>
            <w:sz w:val="24"/>
            <w:szCs w:val="24"/>
          </w:rPr>
          <w:fldChar w:fldCharType="end"/>
        </w:r>
      </w:hyperlink>
    </w:p>
    <w:p w14:paraId="5F6E4FD9" w14:textId="444113E0" w:rsidR="004F69A7" w:rsidRPr="00103C6F" w:rsidRDefault="00C40DAA" w:rsidP="009C2D83">
      <w:pPr>
        <w:pStyle w:val="TM3"/>
        <w:keepNext w:val="0"/>
        <w:keepLines w:val="0"/>
        <w:widowControl w:val="0"/>
        <w:spacing w:after="120"/>
        <w:rPr>
          <w:rFonts w:eastAsiaTheme="minorEastAsia"/>
          <w:lang w:eastAsia="fr-FR"/>
        </w:rPr>
      </w:pPr>
      <w:hyperlink w:anchor="_Toc182298733" w:history="1">
        <w:r w:rsidR="004F69A7" w:rsidRPr="00103C6F">
          <w:rPr>
            <w:rStyle w:val="Lienhypertexte"/>
          </w:rPr>
          <w:t>2.4- Processus de gestion des risques</w:t>
        </w:r>
        <w:r w:rsidR="004F69A7" w:rsidRPr="00103C6F">
          <w:rPr>
            <w:webHidden/>
          </w:rPr>
          <w:tab/>
        </w:r>
        <w:r w:rsidR="004F69A7" w:rsidRPr="00103C6F">
          <w:rPr>
            <w:webHidden/>
          </w:rPr>
          <w:fldChar w:fldCharType="begin"/>
        </w:r>
        <w:r w:rsidR="004F69A7" w:rsidRPr="00103C6F">
          <w:rPr>
            <w:webHidden/>
          </w:rPr>
          <w:instrText xml:space="preserve"> PAGEREF _Toc182298733 \h </w:instrText>
        </w:r>
        <w:r w:rsidR="004F69A7" w:rsidRPr="00103C6F">
          <w:rPr>
            <w:webHidden/>
          </w:rPr>
        </w:r>
        <w:r w:rsidR="004F69A7" w:rsidRPr="00103C6F">
          <w:rPr>
            <w:webHidden/>
          </w:rPr>
          <w:fldChar w:fldCharType="separate"/>
        </w:r>
        <w:r w:rsidR="00666FC7">
          <w:rPr>
            <w:webHidden/>
          </w:rPr>
          <w:t>95</w:t>
        </w:r>
        <w:r w:rsidR="004F69A7" w:rsidRPr="00103C6F">
          <w:rPr>
            <w:webHidden/>
          </w:rPr>
          <w:fldChar w:fldCharType="end"/>
        </w:r>
      </w:hyperlink>
    </w:p>
    <w:p w14:paraId="25FA14BF" w14:textId="2DB67C5F"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34" w:history="1">
        <w:r w:rsidR="004F69A7" w:rsidRPr="00103C6F">
          <w:rPr>
            <w:rStyle w:val="Lienhypertexte"/>
            <w:rFonts w:asciiTheme="majorBidi" w:hAnsiTheme="majorBidi" w:cstheme="majorBidi"/>
            <w:noProof/>
            <w:sz w:val="24"/>
            <w:szCs w:val="24"/>
          </w:rPr>
          <w:t>2.4.1- Développer une culture de gestion de risque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_Toc182298734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96</w:t>
        </w:r>
        <w:r w:rsidR="004F69A7" w:rsidRPr="00103C6F">
          <w:rPr>
            <w:rFonts w:asciiTheme="majorBidi" w:hAnsiTheme="majorBidi" w:cstheme="majorBidi"/>
            <w:noProof/>
            <w:webHidden/>
            <w:sz w:val="24"/>
            <w:szCs w:val="24"/>
          </w:rPr>
          <w:fldChar w:fldCharType="end"/>
        </w:r>
      </w:hyperlink>
    </w:p>
    <w:p w14:paraId="05FA9FDC" w14:textId="16B03A6B"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35" w:history="1">
        <w:r w:rsidR="004F69A7" w:rsidRPr="00103C6F">
          <w:rPr>
            <w:rStyle w:val="Lienhypertexte"/>
            <w:rFonts w:asciiTheme="majorBidi" w:hAnsiTheme="majorBidi" w:cstheme="majorBidi"/>
            <w:noProof/>
            <w:sz w:val="24"/>
            <w:szCs w:val="24"/>
          </w:rPr>
          <w:t>2.4.2- Adopter des politiques et des procédures viables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_Toc182298735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96</w:t>
        </w:r>
        <w:r w:rsidR="004F69A7" w:rsidRPr="00103C6F">
          <w:rPr>
            <w:rFonts w:asciiTheme="majorBidi" w:hAnsiTheme="majorBidi" w:cstheme="majorBidi"/>
            <w:noProof/>
            <w:webHidden/>
            <w:sz w:val="24"/>
            <w:szCs w:val="24"/>
          </w:rPr>
          <w:fldChar w:fldCharType="end"/>
        </w:r>
      </w:hyperlink>
    </w:p>
    <w:p w14:paraId="7AD35E6F" w14:textId="6CDAF8E3"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36" w:history="1">
        <w:r w:rsidR="004F69A7" w:rsidRPr="00103C6F">
          <w:rPr>
            <w:rStyle w:val="Lienhypertexte"/>
            <w:rFonts w:asciiTheme="majorBidi" w:hAnsiTheme="majorBidi" w:cstheme="majorBidi"/>
            <w:noProof/>
            <w:sz w:val="24"/>
            <w:szCs w:val="24"/>
          </w:rPr>
          <w:t>2.4.3- Surveiller les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_Toc182298736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96</w:t>
        </w:r>
        <w:r w:rsidR="004F69A7" w:rsidRPr="00103C6F">
          <w:rPr>
            <w:rFonts w:asciiTheme="majorBidi" w:hAnsiTheme="majorBidi" w:cstheme="majorBidi"/>
            <w:noProof/>
            <w:webHidden/>
            <w:sz w:val="24"/>
            <w:szCs w:val="24"/>
          </w:rPr>
          <w:fldChar w:fldCharType="end"/>
        </w:r>
      </w:hyperlink>
    </w:p>
    <w:p w14:paraId="19DACC47" w14:textId="1A00CC9D"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37" w:history="1">
        <w:r w:rsidR="004F69A7" w:rsidRPr="00103C6F">
          <w:rPr>
            <w:rStyle w:val="Lienhypertexte"/>
            <w:rFonts w:asciiTheme="majorBidi" w:hAnsiTheme="majorBidi" w:cstheme="majorBidi"/>
            <w:noProof/>
            <w:sz w:val="24"/>
            <w:szCs w:val="24"/>
          </w:rPr>
          <w:t>2.4.4- Optimiser le nombre d’activités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_Toc182298737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97</w:t>
        </w:r>
        <w:r w:rsidR="004F69A7" w:rsidRPr="00103C6F">
          <w:rPr>
            <w:rFonts w:asciiTheme="majorBidi" w:hAnsiTheme="majorBidi" w:cstheme="majorBidi"/>
            <w:noProof/>
            <w:webHidden/>
            <w:sz w:val="24"/>
            <w:szCs w:val="24"/>
          </w:rPr>
          <w:fldChar w:fldCharType="end"/>
        </w:r>
      </w:hyperlink>
    </w:p>
    <w:p w14:paraId="79DB6E52" w14:textId="0E77C1E0" w:rsidR="004F69A7" w:rsidRPr="00103C6F" w:rsidRDefault="00C40DAA" w:rsidP="009C2D83">
      <w:pPr>
        <w:pStyle w:val="TM3"/>
        <w:keepNext w:val="0"/>
        <w:keepLines w:val="0"/>
        <w:widowControl w:val="0"/>
        <w:spacing w:line="300" w:lineRule="auto"/>
        <w:rPr>
          <w:rFonts w:eastAsiaTheme="minorEastAsia"/>
          <w:lang w:eastAsia="fr-FR"/>
        </w:rPr>
      </w:pPr>
      <w:hyperlink w:anchor="_Toc182298738" w:history="1">
        <w:r w:rsidR="004F69A7" w:rsidRPr="00103C6F">
          <w:rPr>
            <w:rStyle w:val="Lienhypertexte"/>
          </w:rPr>
          <w:t>2.5- Procédés de gestion des risques</w:t>
        </w:r>
        <w:r w:rsidR="004F69A7" w:rsidRPr="00103C6F">
          <w:rPr>
            <w:webHidden/>
          </w:rPr>
          <w:tab/>
        </w:r>
        <w:r w:rsidR="004F69A7" w:rsidRPr="00103C6F">
          <w:rPr>
            <w:webHidden/>
          </w:rPr>
          <w:fldChar w:fldCharType="begin"/>
        </w:r>
        <w:r w:rsidR="004F69A7" w:rsidRPr="00103C6F">
          <w:rPr>
            <w:webHidden/>
          </w:rPr>
          <w:instrText xml:space="preserve"> PAGEREF _Toc182298738 \h </w:instrText>
        </w:r>
        <w:r w:rsidR="004F69A7" w:rsidRPr="00103C6F">
          <w:rPr>
            <w:webHidden/>
          </w:rPr>
        </w:r>
        <w:r w:rsidR="004F69A7" w:rsidRPr="00103C6F">
          <w:rPr>
            <w:webHidden/>
          </w:rPr>
          <w:fldChar w:fldCharType="separate"/>
        </w:r>
        <w:r w:rsidR="00666FC7">
          <w:rPr>
            <w:webHidden/>
          </w:rPr>
          <w:t>97</w:t>
        </w:r>
        <w:r w:rsidR="004F69A7" w:rsidRPr="00103C6F">
          <w:rPr>
            <w:webHidden/>
          </w:rPr>
          <w:fldChar w:fldCharType="end"/>
        </w:r>
      </w:hyperlink>
    </w:p>
    <w:p w14:paraId="72243845" w14:textId="1EC58C4A"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39" w:history="1">
        <w:r w:rsidR="004F69A7" w:rsidRPr="00103C6F">
          <w:rPr>
            <w:rStyle w:val="Lienhypertexte"/>
            <w:rFonts w:asciiTheme="majorBidi" w:hAnsiTheme="majorBidi" w:cstheme="majorBidi"/>
            <w:noProof/>
            <w:sz w:val="24"/>
            <w:szCs w:val="24"/>
          </w:rPr>
          <w:t>2.5.1- Gestion du risque de crédit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_Toc182298739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97</w:t>
        </w:r>
        <w:r w:rsidR="004F69A7" w:rsidRPr="00103C6F">
          <w:rPr>
            <w:rFonts w:asciiTheme="majorBidi" w:hAnsiTheme="majorBidi" w:cstheme="majorBidi"/>
            <w:noProof/>
            <w:webHidden/>
            <w:sz w:val="24"/>
            <w:szCs w:val="24"/>
          </w:rPr>
          <w:fldChar w:fldCharType="end"/>
        </w:r>
      </w:hyperlink>
    </w:p>
    <w:p w14:paraId="728FB243" w14:textId="74455A25"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40" w:history="1">
        <w:r w:rsidR="004F69A7" w:rsidRPr="00103C6F">
          <w:rPr>
            <w:rStyle w:val="Lienhypertexte"/>
            <w:rFonts w:asciiTheme="majorBidi" w:hAnsiTheme="majorBidi" w:cstheme="majorBidi"/>
            <w:noProof/>
            <w:sz w:val="24"/>
            <w:szCs w:val="24"/>
          </w:rPr>
          <w:t>2.5.1.1- Evaluation exhaustive de la situation de l’emprunteur</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_Toc182298740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97</w:t>
        </w:r>
        <w:r w:rsidR="004F69A7" w:rsidRPr="00103C6F">
          <w:rPr>
            <w:rFonts w:asciiTheme="majorBidi" w:hAnsiTheme="majorBidi" w:cstheme="majorBidi"/>
            <w:noProof/>
            <w:webHidden/>
            <w:sz w:val="24"/>
            <w:szCs w:val="24"/>
          </w:rPr>
          <w:fldChar w:fldCharType="end"/>
        </w:r>
      </w:hyperlink>
    </w:p>
    <w:p w14:paraId="0DB6B6A5" w14:textId="5561150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41" w:history="1">
        <w:r w:rsidR="004F69A7" w:rsidRPr="00103C6F">
          <w:rPr>
            <w:rStyle w:val="Lienhypertexte"/>
            <w:rFonts w:asciiTheme="majorBidi" w:hAnsiTheme="majorBidi" w:cstheme="majorBidi"/>
            <w:noProof/>
            <w:sz w:val="24"/>
            <w:szCs w:val="24"/>
          </w:rPr>
          <w:t>2.5.1.2- Exigence de garanties bancaires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_Toc182298741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98</w:t>
        </w:r>
        <w:r w:rsidR="004F69A7" w:rsidRPr="00103C6F">
          <w:rPr>
            <w:rFonts w:asciiTheme="majorBidi" w:hAnsiTheme="majorBidi" w:cstheme="majorBidi"/>
            <w:noProof/>
            <w:webHidden/>
            <w:sz w:val="24"/>
            <w:szCs w:val="24"/>
          </w:rPr>
          <w:fldChar w:fldCharType="end"/>
        </w:r>
      </w:hyperlink>
    </w:p>
    <w:p w14:paraId="3589869F" w14:textId="3991673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42" w:history="1">
        <w:r w:rsidR="004F69A7" w:rsidRPr="00103C6F">
          <w:rPr>
            <w:rStyle w:val="Lienhypertexte"/>
            <w:rFonts w:asciiTheme="majorBidi" w:hAnsiTheme="majorBidi" w:cstheme="majorBidi"/>
            <w:noProof/>
            <w:kern w:val="24"/>
            <w:sz w:val="24"/>
            <w:szCs w:val="24"/>
          </w:rPr>
          <w:t>2.5.1.3- Elaboration de système de rating interne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_Toc182298742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98</w:t>
        </w:r>
        <w:r w:rsidR="004F69A7" w:rsidRPr="00103C6F">
          <w:rPr>
            <w:rFonts w:asciiTheme="majorBidi" w:hAnsiTheme="majorBidi" w:cstheme="majorBidi"/>
            <w:noProof/>
            <w:webHidden/>
            <w:sz w:val="24"/>
            <w:szCs w:val="24"/>
          </w:rPr>
          <w:fldChar w:fldCharType="end"/>
        </w:r>
      </w:hyperlink>
    </w:p>
    <w:p w14:paraId="77FE61D1" w14:textId="77ED6A09"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43" w:history="1">
        <w:r w:rsidR="004F69A7" w:rsidRPr="00103C6F">
          <w:rPr>
            <w:rStyle w:val="Lienhypertexte"/>
            <w:rFonts w:asciiTheme="majorBidi" w:hAnsiTheme="majorBidi" w:cstheme="majorBidi"/>
            <w:noProof/>
            <w:kern w:val="24"/>
            <w:sz w:val="24"/>
            <w:szCs w:val="24"/>
          </w:rPr>
          <w:t>2.5.1.4- Application et respect des règles prudentielles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_Toc182298743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98</w:t>
        </w:r>
        <w:r w:rsidR="004F69A7" w:rsidRPr="00103C6F">
          <w:rPr>
            <w:rFonts w:asciiTheme="majorBidi" w:hAnsiTheme="majorBidi" w:cstheme="majorBidi"/>
            <w:noProof/>
            <w:webHidden/>
            <w:sz w:val="24"/>
            <w:szCs w:val="24"/>
          </w:rPr>
          <w:fldChar w:fldCharType="end"/>
        </w:r>
      </w:hyperlink>
    </w:p>
    <w:p w14:paraId="74FB89E1" w14:textId="176C2053"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44" w:history="1">
        <w:r w:rsidR="004F69A7" w:rsidRPr="00103C6F">
          <w:rPr>
            <w:rStyle w:val="Lienhypertexte"/>
            <w:rFonts w:asciiTheme="majorBidi" w:hAnsiTheme="majorBidi" w:cstheme="majorBidi"/>
            <w:noProof/>
            <w:kern w:val="24"/>
            <w:sz w:val="24"/>
            <w:szCs w:val="24"/>
          </w:rPr>
          <w:t>2.5.1.5- Recours aux produits dérivés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_Toc182298744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98</w:t>
        </w:r>
        <w:r w:rsidR="004F69A7" w:rsidRPr="00103C6F">
          <w:rPr>
            <w:rFonts w:asciiTheme="majorBidi" w:hAnsiTheme="majorBidi" w:cstheme="majorBidi"/>
            <w:noProof/>
            <w:webHidden/>
            <w:sz w:val="24"/>
            <w:szCs w:val="24"/>
          </w:rPr>
          <w:fldChar w:fldCharType="end"/>
        </w:r>
      </w:hyperlink>
    </w:p>
    <w:p w14:paraId="70E57FC9" w14:textId="47C6D49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45" w:history="1">
        <w:r w:rsidR="004F69A7" w:rsidRPr="00103C6F">
          <w:rPr>
            <w:rStyle w:val="Lienhypertexte"/>
            <w:rFonts w:asciiTheme="majorBidi" w:hAnsiTheme="majorBidi" w:cstheme="majorBidi"/>
            <w:noProof/>
            <w:kern w:val="24"/>
            <w:sz w:val="24"/>
            <w:szCs w:val="24"/>
          </w:rPr>
          <w:t>2.5.2- Gestion du risque de taux d’intérêt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_Toc182298745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98</w:t>
        </w:r>
        <w:r w:rsidR="004F69A7" w:rsidRPr="00103C6F">
          <w:rPr>
            <w:rFonts w:asciiTheme="majorBidi" w:hAnsiTheme="majorBidi" w:cstheme="majorBidi"/>
            <w:noProof/>
            <w:webHidden/>
            <w:sz w:val="24"/>
            <w:szCs w:val="24"/>
          </w:rPr>
          <w:fldChar w:fldCharType="end"/>
        </w:r>
      </w:hyperlink>
    </w:p>
    <w:p w14:paraId="2F643662" w14:textId="17BFA5FD"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46" w:history="1">
        <w:r w:rsidR="004F69A7" w:rsidRPr="00103C6F">
          <w:rPr>
            <w:rStyle w:val="Lienhypertexte"/>
            <w:rFonts w:asciiTheme="majorBidi" w:hAnsiTheme="majorBidi" w:cstheme="majorBidi"/>
            <w:noProof/>
            <w:kern w:val="24"/>
            <w:sz w:val="24"/>
            <w:szCs w:val="24"/>
          </w:rPr>
          <w:t>2.5.2.1- Suivi du risque de taux d’intérêt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_Toc182298746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98</w:t>
        </w:r>
        <w:r w:rsidR="004F69A7" w:rsidRPr="00103C6F">
          <w:rPr>
            <w:rFonts w:asciiTheme="majorBidi" w:hAnsiTheme="majorBidi" w:cstheme="majorBidi"/>
            <w:noProof/>
            <w:webHidden/>
            <w:sz w:val="24"/>
            <w:szCs w:val="24"/>
          </w:rPr>
          <w:fldChar w:fldCharType="end"/>
        </w:r>
      </w:hyperlink>
    </w:p>
    <w:p w14:paraId="32872AE3" w14:textId="3D4CDB2E"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47" w:history="1">
        <w:r w:rsidR="004F69A7" w:rsidRPr="00103C6F">
          <w:rPr>
            <w:rStyle w:val="Lienhypertexte"/>
            <w:rFonts w:asciiTheme="majorBidi" w:hAnsiTheme="majorBidi" w:cstheme="majorBidi"/>
            <w:noProof/>
            <w:sz w:val="24"/>
            <w:szCs w:val="24"/>
          </w:rPr>
          <w:t>2.5.2.2- Politiques adéquates de gestion du risque de taux d’intérêt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_Toc182298747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99</w:t>
        </w:r>
        <w:r w:rsidR="004F69A7" w:rsidRPr="00103C6F">
          <w:rPr>
            <w:rFonts w:asciiTheme="majorBidi" w:hAnsiTheme="majorBidi" w:cstheme="majorBidi"/>
            <w:noProof/>
            <w:webHidden/>
            <w:sz w:val="24"/>
            <w:szCs w:val="24"/>
          </w:rPr>
          <w:fldChar w:fldCharType="end"/>
        </w:r>
      </w:hyperlink>
    </w:p>
    <w:p w14:paraId="068525C7" w14:textId="233B4F63"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48" w:history="1">
        <w:r w:rsidR="004F69A7" w:rsidRPr="00103C6F">
          <w:rPr>
            <w:rStyle w:val="Lienhypertexte"/>
            <w:rFonts w:asciiTheme="majorBidi" w:hAnsiTheme="majorBidi" w:cstheme="majorBidi"/>
            <w:noProof/>
            <w:sz w:val="24"/>
            <w:szCs w:val="24"/>
          </w:rPr>
          <w:t>2.5.2.3- Fonctions de mesure, de surveillance et du contrôle du risque de taux d’intérêt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_Toc182298748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99</w:t>
        </w:r>
        <w:r w:rsidR="004F69A7" w:rsidRPr="00103C6F">
          <w:rPr>
            <w:rFonts w:asciiTheme="majorBidi" w:hAnsiTheme="majorBidi" w:cstheme="majorBidi"/>
            <w:noProof/>
            <w:webHidden/>
            <w:sz w:val="24"/>
            <w:szCs w:val="24"/>
          </w:rPr>
          <w:fldChar w:fldCharType="end"/>
        </w:r>
      </w:hyperlink>
    </w:p>
    <w:p w14:paraId="3D06F891" w14:textId="737471E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49" w:history="1">
        <w:r w:rsidR="004F69A7" w:rsidRPr="00103C6F">
          <w:rPr>
            <w:rStyle w:val="Lienhypertexte"/>
            <w:rFonts w:asciiTheme="majorBidi" w:hAnsiTheme="majorBidi" w:cstheme="majorBidi"/>
            <w:noProof/>
            <w:sz w:val="24"/>
            <w:szCs w:val="24"/>
          </w:rPr>
          <w:t>2.5.2.4- Contrôle interne du risque de taux d’intérêt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_Toc182298749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99</w:t>
        </w:r>
        <w:r w:rsidR="004F69A7" w:rsidRPr="00103C6F">
          <w:rPr>
            <w:rFonts w:asciiTheme="majorBidi" w:hAnsiTheme="majorBidi" w:cstheme="majorBidi"/>
            <w:noProof/>
            <w:webHidden/>
            <w:sz w:val="24"/>
            <w:szCs w:val="24"/>
          </w:rPr>
          <w:fldChar w:fldCharType="end"/>
        </w:r>
      </w:hyperlink>
    </w:p>
    <w:p w14:paraId="4F7AB222" w14:textId="52113E11"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50" w:history="1">
        <w:r w:rsidR="004F69A7" w:rsidRPr="00103C6F">
          <w:rPr>
            <w:rStyle w:val="Lienhypertexte"/>
            <w:rFonts w:asciiTheme="majorBidi" w:hAnsiTheme="majorBidi" w:cstheme="majorBidi"/>
            <w:noProof/>
            <w:sz w:val="24"/>
            <w:szCs w:val="24"/>
          </w:rPr>
          <w:t>2.5.3- Gestion du risque de liquidité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_Toc182298750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99</w:t>
        </w:r>
        <w:r w:rsidR="004F69A7" w:rsidRPr="00103C6F">
          <w:rPr>
            <w:rFonts w:asciiTheme="majorBidi" w:hAnsiTheme="majorBidi" w:cstheme="majorBidi"/>
            <w:noProof/>
            <w:webHidden/>
            <w:sz w:val="24"/>
            <w:szCs w:val="24"/>
          </w:rPr>
          <w:fldChar w:fldCharType="end"/>
        </w:r>
      </w:hyperlink>
    </w:p>
    <w:p w14:paraId="3110ABED" w14:textId="2452D00D"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51" w:history="1">
        <w:r w:rsidR="004F69A7" w:rsidRPr="00103C6F">
          <w:rPr>
            <w:rStyle w:val="Lienhypertexte"/>
            <w:rFonts w:asciiTheme="majorBidi" w:hAnsiTheme="majorBidi" w:cstheme="majorBidi"/>
            <w:noProof/>
            <w:sz w:val="24"/>
            <w:szCs w:val="24"/>
          </w:rPr>
          <w:t>2.5.4- Gestion du risque opérationnel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_Toc182298751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100</w:t>
        </w:r>
        <w:r w:rsidR="004F69A7" w:rsidRPr="00103C6F">
          <w:rPr>
            <w:rFonts w:asciiTheme="majorBidi" w:hAnsiTheme="majorBidi" w:cstheme="majorBidi"/>
            <w:noProof/>
            <w:webHidden/>
            <w:sz w:val="24"/>
            <w:szCs w:val="24"/>
          </w:rPr>
          <w:fldChar w:fldCharType="end"/>
        </w:r>
      </w:hyperlink>
    </w:p>
    <w:p w14:paraId="67A07A50" w14:textId="76F0398E" w:rsidR="004F69A7" w:rsidRPr="00103C6F" w:rsidRDefault="00C40DAA" w:rsidP="009C2D83">
      <w:pPr>
        <w:pStyle w:val="TM3"/>
        <w:keepNext w:val="0"/>
        <w:keepLines w:val="0"/>
        <w:widowControl w:val="0"/>
        <w:spacing w:before="0"/>
        <w:rPr>
          <w:rFonts w:eastAsiaTheme="minorEastAsia"/>
          <w:lang w:eastAsia="fr-FR"/>
        </w:rPr>
      </w:pPr>
      <w:hyperlink w:anchor="_Toc182298752" w:history="1">
        <w:r w:rsidR="004F69A7" w:rsidRPr="00103C6F">
          <w:rPr>
            <w:rStyle w:val="Lienhypertexte"/>
          </w:rPr>
          <w:t>2.6- Contrôle des banques et réglementation prudentielle</w:t>
        </w:r>
        <w:r w:rsidR="004F69A7" w:rsidRPr="00103C6F">
          <w:rPr>
            <w:webHidden/>
          </w:rPr>
          <w:tab/>
        </w:r>
        <w:r w:rsidR="004F69A7" w:rsidRPr="00103C6F">
          <w:rPr>
            <w:webHidden/>
          </w:rPr>
          <w:fldChar w:fldCharType="begin"/>
        </w:r>
        <w:r w:rsidR="004F69A7" w:rsidRPr="00103C6F">
          <w:rPr>
            <w:webHidden/>
          </w:rPr>
          <w:instrText xml:space="preserve"> PAGEREF _Toc182298752 \h </w:instrText>
        </w:r>
        <w:r w:rsidR="004F69A7" w:rsidRPr="00103C6F">
          <w:rPr>
            <w:webHidden/>
          </w:rPr>
        </w:r>
        <w:r w:rsidR="004F69A7" w:rsidRPr="00103C6F">
          <w:rPr>
            <w:webHidden/>
          </w:rPr>
          <w:fldChar w:fldCharType="separate"/>
        </w:r>
        <w:r w:rsidR="00666FC7">
          <w:rPr>
            <w:webHidden/>
          </w:rPr>
          <w:t>100</w:t>
        </w:r>
        <w:r w:rsidR="004F69A7" w:rsidRPr="00103C6F">
          <w:rPr>
            <w:webHidden/>
          </w:rPr>
          <w:fldChar w:fldCharType="end"/>
        </w:r>
      </w:hyperlink>
    </w:p>
    <w:p w14:paraId="12813964" w14:textId="500BAC71"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53" w:history="1">
        <w:r w:rsidR="004F69A7" w:rsidRPr="00103C6F">
          <w:rPr>
            <w:rStyle w:val="Lienhypertexte"/>
            <w:rFonts w:asciiTheme="majorBidi" w:hAnsiTheme="majorBidi" w:cstheme="majorBidi"/>
            <w:noProof/>
            <w:sz w:val="24"/>
            <w:szCs w:val="24"/>
          </w:rPr>
          <w:t>2.6.1- Contrôle des banques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_Toc182298753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100</w:t>
        </w:r>
        <w:r w:rsidR="004F69A7" w:rsidRPr="00103C6F">
          <w:rPr>
            <w:rFonts w:asciiTheme="majorBidi" w:hAnsiTheme="majorBidi" w:cstheme="majorBidi"/>
            <w:noProof/>
            <w:webHidden/>
            <w:sz w:val="24"/>
            <w:szCs w:val="24"/>
          </w:rPr>
          <w:fldChar w:fldCharType="end"/>
        </w:r>
      </w:hyperlink>
    </w:p>
    <w:p w14:paraId="02835B24" w14:textId="2B4CB6B6"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54" w:history="1">
        <w:r w:rsidR="004F69A7" w:rsidRPr="00103C6F">
          <w:rPr>
            <w:rStyle w:val="Lienhypertexte"/>
            <w:rFonts w:asciiTheme="majorBidi" w:hAnsiTheme="majorBidi" w:cstheme="majorBidi"/>
            <w:noProof/>
            <w:sz w:val="24"/>
            <w:szCs w:val="24"/>
          </w:rPr>
          <w:t>2.6.1.1- Contrôle interne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_Toc182298754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100</w:t>
        </w:r>
        <w:r w:rsidR="004F69A7" w:rsidRPr="00103C6F">
          <w:rPr>
            <w:rFonts w:asciiTheme="majorBidi" w:hAnsiTheme="majorBidi" w:cstheme="majorBidi"/>
            <w:noProof/>
            <w:webHidden/>
            <w:sz w:val="24"/>
            <w:szCs w:val="24"/>
          </w:rPr>
          <w:fldChar w:fldCharType="end"/>
        </w:r>
      </w:hyperlink>
    </w:p>
    <w:p w14:paraId="044C3532" w14:textId="54126A1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55" w:history="1">
        <w:r w:rsidR="004F69A7" w:rsidRPr="00103C6F">
          <w:rPr>
            <w:rStyle w:val="Lienhypertexte"/>
            <w:rFonts w:asciiTheme="majorBidi" w:hAnsiTheme="majorBidi" w:cstheme="majorBidi"/>
            <w:noProof/>
            <w:sz w:val="24"/>
            <w:szCs w:val="24"/>
          </w:rPr>
          <w:t>2.6.1.2- Contrôle externe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_Toc182298755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102</w:t>
        </w:r>
        <w:r w:rsidR="004F69A7" w:rsidRPr="00103C6F">
          <w:rPr>
            <w:rFonts w:asciiTheme="majorBidi" w:hAnsiTheme="majorBidi" w:cstheme="majorBidi"/>
            <w:noProof/>
            <w:webHidden/>
            <w:sz w:val="24"/>
            <w:szCs w:val="24"/>
          </w:rPr>
          <w:fldChar w:fldCharType="end"/>
        </w:r>
      </w:hyperlink>
    </w:p>
    <w:p w14:paraId="7AA16CB8" w14:textId="62BE40FA"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56" w:history="1">
        <w:r w:rsidR="004F69A7" w:rsidRPr="00103C6F">
          <w:rPr>
            <w:rStyle w:val="Lienhypertexte"/>
            <w:rFonts w:asciiTheme="majorBidi" w:hAnsiTheme="majorBidi" w:cstheme="majorBidi"/>
            <w:noProof/>
            <w:sz w:val="24"/>
            <w:szCs w:val="24"/>
          </w:rPr>
          <w:t>2.6.2- Réglementation prudentielle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_Toc182298756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102</w:t>
        </w:r>
        <w:r w:rsidR="004F69A7" w:rsidRPr="00103C6F">
          <w:rPr>
            <w:rFonts w:asciiTheme="majorBidi" w:hAnsiTheme="majorBidi" w:cstheme="majorBidi"/>
            <w:noProof/>
            <w:webHidden/>
            <w:sz w:val="24"/>
            <w:szCs w:val="24"/>
          </w:rPr>
          <w:fldChar w:fldCharType="end"/>
        </w:r>
      </w:hyperlink>
    </w:p>
    <w:p w14:paraId="1DD4D076" w14:textId="34B3499D"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57" w:history="1">
        <w:r w:rsidR="004F69A7" w:rsidRPr="00103C6F">
          <w:rPr>
            <w:rStyle w:val="Lienhypertexte"/>
            <w:rFonts w:asciiTheme="majorBidi" w:hAnsiTheme="majorBidi" w:cstheme="majorBidi"/>
            <w:noProof/>
            <w:sz w:val="24"/>
            <w:szCs w:val="24"/>
          </w:rPr>
          <w:t>2.6.2.1- Bâle I</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_Toc182298757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103</w:t>
        </w:r>
        <w:r w:rsidR="004F69A7" w:rsidRPr="00103C6F">
          <w:rPr>
            <w:rFonts w:asciiTheme="majorBidi" w:hAnsiTheme="majorBidi" w:cstheme="majorBidi"/>
            <w:noProof/>
            <w:webHidden/>
            <w:sz w:val="24"/>
            <w:szCs w:val="24"/>
          </w:rPr>
          <w:fldChar w:fldCharType="end"/>
        </w:r>
      </w:hyperlink>
    </w:p>
    <w:p w14:paraId="084E12B7" w14:textId="11B35B09"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58" w:history="1">
        <w:r w:rsidR="004F69A7" w:rsidRPr="00103C6F">
          <w:rPr>
            <w:rStyle w:val="Lienhypertexte"/>
            <w:rFonts w:asciiTheme="majorBidi" w:hAnsiTheme="majorBidi" w:cstheme="majorBidi"/>
            <w:noProof/>
            <w:sz w:val="24"/>
            <w:szCs w:val="24"/>
          </w:rPr>
          <w:t>2.6.2.2- Bâle II</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_Toc182298758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104</w:t>
        </w:r>
        <w:r w:rsidR="004F69A7" w:rsidRPr="00103C6F">
          <w:rPr>
            <w:rFonts w:asciiTheme="majorBidi" w:hAnsiTheme="majorBidi" w:cstheme="majorBidi"/>
            <w:noProof/>
            <w:webHidden/>
            <w:sz w:val="24"/>
            <w:szCs w:val="24"/>
          </w:rPr>
          <w:fldChar w:fldCharType="end"/>
        </w:r>
      </w:hyperlink>
    </w:p>
    <w:p w14:paraId="3630B3C6" w14:textId="38D6CE0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59" w:history="1">
        <w:r w:rsidR="004F69A7" w:rsidRPr="00103C6F">
          <w:rPr>
            <w:rStyle w:val="Lienhypertexte"/>
            <w:rFonts w:asciiTheme="majorBidi" w:hAnsiTheme="majorBidi" w:cstheme="majorBidi"/>
            <w:noProof/>
            <w:sz w:val="24"/>
            <w:szCs w:val="24"/>
          </w:rPr>
          <w:t>2.6.2.3- Bâle III</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_Toc182298759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107</w:t>
        </w:r>
        <w:r w:rsidR="004F69A7" w:rsidRPr="00103C6F">
          <w:rPr>
            <w:rFonts w:asciiTheme="majorBidi" w:hAnsiTheme="majorBidi" w:cstheme="majorBidi"/>
            <w:noProof/>
            <w:webHidden/>
            <w:sz w:val="24"/>
            <w:szCs w:val="24"/>
          </w:rPr>
          <w:fldChar w:fldCharType="end"/>
        </w:r>
      </w:hyperlink>
    </w:p>
    <w:p w14:paraId="056D7CBD" w14:textId="65AE286E"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60" w:history="1">
        <w:r w:rsidR="004F69A7" w:rsidRPr="00103C6F">
          <w:rPr>
            <w:rStyle w:val="Lienhypertexte"/>
            <w:rFonts w:asciiTheme="majorBidi" w:hAnsiTheme="majorBidi" w:cstheme="majorBidi"/>
            <w:noProof/>
            <w:sz w:val="24"/>
            <w:szCs w:val="24"/>
          </w:rPr>
          <w:t>2.6.2.4- Evolution au niveau du capital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_Toc182298760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108</w:t>
        </w:r>
        <w:r w:rsidR="004F69A7" w:rsidRPr="00103C6F">
          <w:rPr>
            <w:rFonts w:asciiTheme="majorBidi" w:hAnsiTheme="majorBidi" w:cstheme="majorBidi"/>
            <w:noProof/>
            <w:webHidden/>
            <w:sz w:val="24"/>
            <w:szCs w:val="24"/>
          </w:rPr>
          <w:fldChar w:fldCharType="end"/>
        </w:r>
      </w:hyperlink>
    </w:p>
    <w:p w14:paraId="54570EEA" w14:textId="13DBAEF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61" w:history="1">
        <w:r w:rsidR="004F69A7" w:rsidRPr="00103C6F">
          <w:rPr>
            <w:rStyle w:val="Lienhypertexte"/>
            <w:rFonts w:asciiTheme="majorBidi" w:hAnsiTheme="majorBidi" w:cstheme="majorBidi"/>
            <w:noProof/>
            <w:sz w:val="24"/>
            <w:szCs w:val="24"/>
          </w:rPr>
          <w:t>2.6.2.5- Evolution au niveau de ratios de liquidité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_Toc182298761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109</w:t>
        </w:r>
        <w:r w:rsidR="004F69A7" w:rsidRPr="00103C6F">
          <w:rPr>
            <w:rFonts w:asciiTheme="majorBidi" w:hAnsiTheme="majorBidi" w:cstheme="majorBidi"/>
            <w:noProof/>
            <w:webHidden/>
            <w:sz w:val="24"/>
            <w:szCs w:val="24"/>
          </w:rPr>
          <w:fldChar w:fldCharType="end"/>
        </w:r>
      </w:hyperlink>
    </w:p>
    <w:p w14:paraId="2AE3FFF3" w14:textId="4D7D7161"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62" w:history="1">
        <w:r w:rsidR="004F69A7" w:rsidRPr="00103C6F">
          <w:rPr>
            <w:rStyle w:val="Lienhypertexte"/>
            <w:rFonts w:asciiTheme="majorBidi" w:hAnsiTheme="majorBidi" w:cstheme="majorBidi"/>
            <w:noProof/>
            <w:sz w:val="24"/>
            <w:szCs w:val="24"/>
          </w:rPr>
          <w:t>2.6.2.6- Surveillance renforcée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_Toc182298762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109</w:t>
        </w:r>
        <w:r w:rsidR="004F69A7" w:rsidRPr="00103C6F">
          <w:rPr>
            <w:rFonts w:asciiTheme="majorBidi" w:hAnsiTheme="majorBidi" w:cstheme="majorBidi"/>
            <w:noProof/>
            <w:webHidden/>
            <w:sz w:val="24"/>
            <w:szCs w:val="24"/>
          </w:rPr>
          <w:fldChar w:fldCharType="end"/>
        </w:r>
      </w:hyperlink>
    </w:p>
    <w:p w14:paraId="07DED80F" w14:textId="47380598" w:rsidR="004F69A7" w:rsidRPr="00103C6F" w:rsidRDefault="00C40DAA" w:rsidP="009C2D83">
      <w:pPr>
        <w:pStyle w:val="TM3"/>
        <w:keepNext w:val="0"/>
        <w:keepLines w:val="0"/>
        <w:widowControl w:val="0"/>
        <w:rPr>
          <w:rFonts w:eastAsiaTheme="minorEastAsia"/>
          <w:lang w:eastAsia="fr-FR"/>
        </w:rPr>
      </w:pPr>
      <w:hyperlink w:anchor="_Toc182298763" w:history="1">
        <w:r w:rsidR="004F69A7" w:rsidRPr="00103C6F">
          <w:rPr>
            <w:rStyle w:val="Lienhypertexte"/>
          </w:rPr>
          <w:t>2.7- Ambivalences de la finance conventionnelle en matière de gestion des risques</w:t>
        </w:r>
        <w:r w:rsidR="004F69A7" w:rsidRPr="00103C6F">
          <w:rPr>
            <w:webHidden/>
          </w:rPr>
          <w:tab/>
        </w:r>
        <w:r w:rsidR="004F69A7" w:rsidRPr="00103C6F">
          <w:rPr>
            <w:webHidden/>
          </w:rPr>
          <w:fldChar w:fldCharType="begin"/>
        </w:r>
        <w:r w:rsidR="004F69A7" w:rsidRPr="00103C6F">
          <w:rPr>
            <w:webHidden/>
          </w:rPr>
          <w:instrText xml:space="preserve"> PAGEREF _Toc182298763 \h </w:instrText>
        </w:r>
        <w:r w:rsidR="004F69A7" w:rsidRPr="00103C6F">
          <w:rPr>
            <w:webHidden/>
          </w:rPr>
        </w:r>
        <w:r w:rsidR="004F69A7" w:rsidRPr="00103C6F">
          <w:rPr>
            <w:webHidden/>
          </w:rPr>
          <w:fldChar w:fldCharType="separate"/>
        </w:r>
        <w:r w:rsidR="00666FC7">
          <w:rPr>
            <w:webHidden/>
          </w:rPr>
          <w:t>109</w:t>
        </w:r>
        <w:r w:rsidR="004F69A7" w:rsidRPr="00103C6F">
          <w:rPr>
            <w:webHidden/>
          </w:rPr>
          <w:fldChar w:fldCharType="end"/>
        </w:r>
      </w:hyperlink>
    </w:p>
    <w:p w14:paraId="0B137591" w14:textId="41BEC4B1"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64" w:history="1">
        <w:r w:rsidR="004F69A7" w:rsidRPr="00103C6F">
          <w:rPr>
            <w:rStyle w:val="Lienhypertexte"/>
            <w:rFonts w:asciiTheme="majorBidi" w:hAnsiTheme="majorBidi" w:cstheme="majorBidi"/>
            <w:noProof/>
            <w:sz w:val="24"/>
            <w:szCs w:val="24"/>
          </w:rPr>
          <w:t>2.7.1- Critiques d’un point de vue non islamique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_Toc182298764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110</w:t>
        </w:r>
        <w:r w:rsidR="004F69A7" w:rsidRPr="00103C6F">
          <w:rPr>
            <w:rFonts w:asciiTheme="majorBidi" w:hAnsiTheme="majorBidi" w:cstheme="majorBidi"/>
            <w:noProof/>
            <w:webHidden/>
            <w:sz w:val="24"/>
            <w:szCs w:val="24"/>
          </w:rPr>
          <w:fldChar w:fldCharType="end"/>
        </w:r>
      </w:hyperlink>
    </w:p>
    <w:p w14:paraId="04920569" w14:textId="01BFFEE4"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65" w:history="1">
        <w:r w:rsidR="004F69A7" w:rsidRPr="00103C6F">
          <w:rPr>
            <w:rStyle w:val="Lienhypertexte"/>
            <w:rFonts w:asciiTheme="majorBidi" w:hAnsiTheme="majorBidi" w:cstheme="majorBidi"/>
            <w:noProof/>
            <w:sz w:val="24"/>
            <w:szCs w:val="24"/>
          </w:rPr>
          <w:t>2.7.2- Critiques d’un point de vue islamique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_Toc182298765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110</w:t>
        </w:r>
        <w:r w:rsidR="004F69A7" w:rsidRPr="00103C6F">
          <w:rPr>
            <w:rFonts w:asciiTheme="majorBidi" w:hAnsiTheme="majorBidi" w:cstheme="majorBidi"/>
            <w:noProof/>
            <w:webHidden/>
            <w:sz w:val="24"/>
            <w:szCs w:val="24"/>
          </w:rPr>
          <w:fldChar w:fldCharType="end"/>
        </w:r>
      </w:hyperlink>
    </w:p>
    <w:p w14:paraId="70E6366D" w14:textId="12CA39D2"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66" w:history="1">
        <w:r w:rsidR="004F69A7" w:rsidRPr="00103C6F">
          <w:rPr>
            <w:rStyle w:val="Lienhypertexte"/>
            <w:rFonts w:asciiTheme="majorBidi" w:hAnsiTheme="majorBidi" w:cstheme="majorBidi"/>
            <w:noProof/>
            <w:sz w:val="24"/>
            <w:szCs w:val="24"/>
          </w:rPr>
          <w:t>2.7.2.1- Pratique du taux d’intérêt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_Toc182298766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111</w:t>
        </w:r>
        <w:r w:rsidR="004F69A7" w:rsidRPr="00103C6F">
          <w:rPr>
            <w:rFonts w:asciiTheme="majorBidi" w:hAnsiTheme="majorBidi" w:cstheme="majorBidi"/>
            <w:noProof/>
            <w:webHidden/>
            <w:sz w:val="24"/>
            <w:szCs w:val="24"/>
          </w:rPr>
          <w:fldChar w:fldCharType="end"/>
        </w:r>
      </w:hyperlink>
    </w:p>
    <w:p w14:paraId="4AC2F706" w14:textId="1D6DA5A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67" w:history="1">
        <w:r w:rsidR="004F69A7" w:rsidRPr="00103C6F">
          <w:rPr>
            <w:rStyle w:val="Lienhypertexte"/>
            <w:rFonts w:asciiTheme="majorBidi" w:hAnsiTheme="majorBidi" w:cstheme="majorBidi"/>
            <w:noProof/>
            <w:sz w:val="24"/>
            <w:szCs w:val="24"/>
          </w:rPr>
          <w:t>2.7.2.2- Activités financières incertaines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_Toc182298767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111</w:t>
        </w:r>
        <w:r w:rsidR="004F69A7" w:rsidRPr="00103C6F">
          <w:rPr>
            <w:rFonts w:asciiTheme="majorBidi" w:hAnsiTheme="majorBidi" w:cstheme="majorBidi"/>
            <w:noProof/>
            <w:webHidden/>
            <w:sz w:val="24"/>
            <w:szCs w:val="24"/>
          </w:rPr>
          <w:fldChar w:fldCharType="end"/>
        </w:r>
      </w:hyperlink>
    </w:p>
    <w:p w14:paraId="348B6BBC" w14:textId="15C0E0F1"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68" w:history="1">
        <w:r w:rsidR="004F69A7" w:rsidRPr="00103C6F">
          <w:rPr>
            <w:rStyle w:val="Lienhypertexte"/>
            <w:rFonts w:asciiTheme="majorBidi" w:hAnsiTheme="majorBidi" w:cstheme="majorBidi"/>
            <w:noProof/>
            <w:sz w:val="24"/>
            <w:szCs w:val="24"/>
          </w:rPr>
          <w:t>2.7.2.3- Vente de la dette contre une dette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_Toc182298768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111</w:t>
        </w:r>
        <w:r w:rsidR="004F69A7" w:rsidRPr="00103C6F">
          <w:rPr>
            <w:rFonts w:asciiTheme="majorBidi" w:hAnsiTheme="majorBidi" w:cstheme="majorBidi"/>
            <w:noProof/>
            <w:webHidden/>
            <w:sz w:val="24"/>
            <w:szCs w:val="24"/>
          </w:rPr>
          <w:fldChar w:fldCharType="end"/>
        </w:r>
      </w:hyperlink>
    </w:p>
    <w:p w14:paraId="63B0DADE" w14:textId="57B90785" w:rsidR="004F69A7" w:rsidRPr="00103C6F" w:rsidRDefault="00C40DAA" w:rsidP="009C2D83">
      <w:pPr>
        <w:pStyle w:val="TM2"/>
        <w:keepNext w:val="0"/>
        <w:keepLines w:val="0"/>
        <w:widowControl w:val="0"/>
        <w:rPr>
          <w:rFonts w:eastAsiaTheme="minorEastAsia"/>
          <w:kern w:val="0"/>
          <w:lang w:eastAsia="fr-FR"/>
        </w:rPr>
      </w:pPr>
      <w:hyperlink w:anchor="_Toc182298769" w:history="1">
        <w:r w:rsidR="004F69A7" w:rsidRPr="00103C6F">
          <w:rPr>
            <w:rStyle w:val="Lienhypertexte"/>
          </w:rPr>
          <w:t>Section III- Gestion des risques dans les banques islamiques</w:t>
        </w:r>
        <w:r w:rsidR="004F69A7" w:rsidRPr="00103C6F">
          <w:rPr>
            <w:webHidden/>
          </w:rPr>
          <w:tab/>
        </w:r>
        <w:r w:rsidR="004F69A7" w:rsidRPr="00103C6F">
          <w:rPr>
            <w:webHidden/>
          </w:rPr>
          <w:fldChar w:fldCharType="begin"/>
        </w:r>
        <w:r w:rsidR="004F69A7" w:rsidRPr="00103C6F">
          <w:rPr>
            <w:webHidden/>
          </w:rPr>
          <w:instrText xml:space="preserve"> PAGEREF _Toc182298769 \h </w:instrText>
        </w:r>
        <w:r w:rsidR="004F69A7" w:rsidRPr="00103C6F">
          <w:rPr>
            <w:webHidden/>
          </w:rPr>
        </w:r>
        <w:r w:rsidR="004F69A7" w:rsidRPr="00103C6F">
          <w:rPr>
            <w:webHidden/>
          </w:rPr>
          <w:fldChar w:fldCharType="separate"/>
        </w:r>
        <w:r w:rsidR="00666FC7">
          <w:rPr>
            <w:webHidden/>
          </w:rPr>
          <w:t>112</w:t>
        </w:r>
        <w:r w:rsidR="004F69A7" w:rsidRPr="00103C6F">
          <w:rPr>
            <w:webHidden/>
          </w:rPr>
          <w:fldChar w:fldCharType="end"/>
        </w:r>
      </w:hyperlink>
    </w:p>
    <w:p w14:paraId="12C9731B" w14:textId="091120B4" w:rsidR="004F69A7" w:rsidRPr="00103C6F" w:rsidRDefault="00C40DAA" w:rsidP="009C2D83">
      <w:pPr>
        <w:pStyle w:val="TM3"/>
        <w:keepNext w:val="0"/>
        <w:keepLines w:val="0"/>
        <w:widowControl w:val="0"/>
        <w:rPr>
          <w:rFonts w:eastAsiaTheme="minorEastAsia"/>
          <w:lang w:eastAsia="fr-FR"/>
        </w:rPr>
      </w:pPr>
      <w:hyperlink w:anchor="_Toc182298770" w:history="1">
        <w:r w:rsidR="004F69A7" w:rsidRPr="00103C6F">
          <w:rPr>
            <w:rStyle w:val="Lienhypertexte"/>
            <w:kern w:val="24"/>
          </w:rPr>
          <w:t>3.1- Risques encourus par les banques islamiques</w:t>
        </w:r>
        <w:r w:rsidR="004F69A7" w:rsidRPr="00103C6F">
          <w:rPr>
            <w:webHidden/>
          </w:rPr>
          <w:tab/>
        </w:r>
        <w:r w:rsidR="004F69A7" w:rsidRPr="00103C6F">
          <w:rPr>
            <w:webHidden/>
          </w:rPr>
          <w:fldChar w:fldCharType="begin"/>
        </w:r>
        <w:r w:rsidR="004F69A7" w:rsidRPr="00103C6F">
          <w:rPr>
            <w:webHidden/>
          </w:rPr>
          <w:instrText xml:space="preserve"> PAGEREF _Toc182298770 \h </w:instrText>
        </w:r>
        <w:r w:rsidR="004F69A7" w:rsidRPr="00103C6F">
          <w:rPr>
            <w:webHidden/>
          </w:rPr>
        </w:r>
        <w:r w:rsidR="004F69A7" w:rsidRPr="00103C6F">
          <w:rPr>
            <w:webHidden/>
          </w:rPr>
          <w:fldChar w:fldCharType="separate"/>
        </w:r>
        <w:r w:rsidR="00666FC7">
          <w:rPr>
            <w:webHidden/>
          </w:rPr>
          <w:t>112</w:t>
        </w:r>
        <w:r w:rsidR="004F69A7" w:rsidRPr="00103C6F">
          <w:rPr>
            <w:webHidden/>
          </w:rPr>
          <w:fldChar w:fldCharType="end"/>
        </w:r>
      </w:hyperlink>
    </w:p>
    <w:p w14:paraId="5551A155" w14:textId="00E69EAB"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71" w:history="1">
        <w:r w:rsidR="004F69A7" w:rsidRPr="00103C6F">
          <w:rPr>
            <w:rStyle w:val="Lienhypertexte"/>
            <w:rFonts w:asciiTheme="majorBidi" w:hAnsiTheme="majorBidi" w:cstheme="majorBidi"/>
            <w:noProof/>
            <w:kern w:val="24"/>
            <w:sz w:val="24"/>
            <w:szCs w:val="24"/>
          </w:rPr>
          <w:t>3.1.1- Risque de contrepartie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_Toc182298771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112</w:t>
        </w:r>
        <w:r w:rsidR="004F69A7" w:rsidRPr="00103C6F">
          <w:rPr>
            <w:rFonts w:asciiTheme="majorBidi" w:hAnsiTheme="majorBidi" w:cstheme="majorBidi"/>
            <w:noProof/>
            <w:webHidden/>
            <w:sz w:val="24"/>
            <w:szCs w:val="24"/>
          </w:rPr>
          <w:fldChar w:fldCharType="end"/>
        </w:r>
      </w:hyperlink>
    </w:p>
    <w:p w14:paraId="37A72181" w14:textId="002B8A81"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72" w:history="1">
        <w:r w:rsidR="004F69A7" w:rsidRPr="00103C6F">
          <w:rPr>
            <w:rStyle w:val="Lienhypertexte"/>
            <w:rFonts w:asciiTheme="majorBidi" w:hAnsiTheme="majorBidi" w:cstheme="majorBidi"/>
            <w:noProof/>
            <w:kern w:val="24"/>
            <w:sz w:val="24"/>
            <w:szCs w:val="24"/>
          </w:rPr>
          <w:t>3.1.1.1- Financement moucharaka-moudaraba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_Toc182298772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113</w:t>
        </w:r>
        <w:r w:rsidR="004F69A7" w:rsidRPr="00103C6F">
          <w:rPr>
            <w:rFonts w:asciiTheme="majorBidi" w:hAnsiTheme="majorBidi" w:cstheme="majorBidi"/>
            <w:noProof/>
            <w:webHidden/>
            <w:sz w:val="24"/>
            <w:szCs w:val="24"/>
          </w:rPr>
          <w:fldChar w:fldCharType="end"/>
        </w:r>
      </w:hyperlink>
    </w:p>
    <w:p w14:paraId="21BD33B9" w14:textId="72A3BCDC"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73" w:history="1">
        <w:r w:rsidR="004F69A7" w:rsidRPr="00103C6F">
          <w:rPr>
            <w:rStyle w:val="Lienhypertexte"/>
            <w:rFonts w:asciiTheme="majorBidi" w:hAnsiTheme="majorBidi" w:cstheme="majorBidi"/>
            <w:noProof/>
            <w:kern w:val="24"/>
            <w:sz w:val="24"/>
            <w:szCs w:val="24"/>
          </w:rPr>
          <w:t>3.1.1.2- Financement mourabaha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_Toc182298773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113</w:t>
        </w:r>
        <w:r w:rsidR="004F69A7" w:rsidRPr="00103C6F">
          <w:rPr>
            <w:rFonts w:asciiTheme="majorBidi" w:hAnsiTheme="majorBidi" w:cstheme="majorBidi"/>
            <w:noProof/>
            <w:webHidden/>
            <w:sz w:val="24"/>
            <w:szCs w:val="24"/>
          </w:rPr>
          <w:fldChar w:fldCharType="end"/>
        </w:r>
      </w:hyperlink>
    </w:p>
    <w:p w14:paraId="7275FC39" w14:textId="74D42E25"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74" w:history="1">
        <w:r w:rsidR="004F69A7" w:rsidRPr="00103C6F">
          <w:rPr>
            <w:rStyle w:val="Lienhypertexte"/>
            <w:rFonts w:asciiTheme="majorBidi" w:hAnsiTheme="majorBidi" w:cstheme="majorBidi"/>
            <w:noProof/>
            <w:kern w:val="24"/>
            <w:sz w:val="24"/>
            <w:szCs w:val="24"/>
          </w:rPr>
          <w:t>3.1.1.3- Financement salam</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_Toc182298774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114</w:t>
        </w:r>
        <w:r w:rsidR="004F69A7" w:rsidRPr="00103C6F">
          <w:rPr>
            <w:rFonts w:asciiTheme="majorBidi" w:hAnsiTheme="majorBidi" w:cstheme="majorBidi"/>
            <w:noProof/>
            <w:webHidden/>
            <w:sz w:val="24"/>
            <w:szCs w:val="24"/>
          </w:rPr>
          <w:fldChar w:fldCharType="end"/>
        </w:r>
      </w:hyperlink>
    </w:p>
    <w:p w14:paraId="335A0381" w14:textId="6329533D"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75" w:history="1">
        <w:r w:rsidR="004F69A7" w:rsidRPr="00103C6F">
          <w:rPr>
            <w:rStyle w:val="Lienhypertexte"/>
            <w:rFonts w:asciiTheme="majorBidi" w:hAnsiTheme="majorBidi" w:cstheme="majorBidi"/>
            <w:noProof/>
            <w:kern w:val="24"/>
            <w:sz w:val="24"/>
            <w:szCs w:val="24"/>
          </w:rPr>
          <w:t>3.1.1.4- Financement istisna’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_Toc182298775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114</w:t>
        </w:r>
        <w:r w:rsidR="004F69A7" w:rsidRPr="00103C6F">
          <w:rPr>
            <w:rFonts w:asciiTheme="majorBidi" w:hAnsiTheme="majorBidi" w:cstheme="majorBidi"/>
            <w:noProof/>
            <w:webHidden/>
            <w:sz w:val="24"/>
            <w:szCs w:val="24"/>
          </w:rPr>
          <w:fldChar w:fldCharType="end"/>
        </w:r>
      </w:hyperlink>
    </w:p>
    <w:p w14:paraId="1F453BD0" w14:textId="00C4DF2F"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76" w:history="1">
        <w:r w:rsidR="004F69A7" w:rsidRPr="00103C6F">
          <w:rPr>
            <w:rStyle w:val="Lienhypertexte"/>
            <w:rFonts w:asciiTheme="majorBidi" w:hAnsiTheme="majorBidi" w:cstheme="majorBidi"/>
            <w:noProof/>
            <w:kern w:val="24"/>
            <w:sz w:val="24"/>
            <w:szCs w:val="24"/>
          </w:rPr>
          <w:t>3.1.2- Risque de marché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_Toc182298776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114</w:t>
        </w:r>
        <w:r w:rsidR="004F69A7" w:rsidRPr="00103C6F">
          <w:rPr>
            <w:rFonts w:asciiTheme="majorBidi" w:hAnsiTheme="majorBidi" w:cstheme="majorBidi"/>
            <w:noProof/>
            <w:webHidden/>
            <w:sz w:val="24"/>
            <w:szCs w:val="24"/>
          </w:rPr>
          <w:fldChar w:fldCharType="end"/>
        </w:r>
      </w:hyperlink>
    </w:p>
    <w:p w14:paraId="3E146D22" w14:textId="34396A14"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77" w:history="1">
        <w:r w:rsidR="004F69A7" w:rsidRPr="00103C6F">
          <w:rPr>
            <w:rStyle w:val="Lienhypertexte"/>
            <w:rFonts w:asciiTheme="majorBidi" w:hAnsiTheme="majorBidi" w:cstheme="majorBidi"/>
            <w:noProof/>
            <w:kern w:val="24"/>
            <w:sz w:val="24"/>
            <w:szCs w:val="24"/>
          </w:rPr>
          <w:t>3.1.2.1- Risque de taux d’intérêt (de référence)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_Toc182298777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114</w:t>
        </w:r>
        <w:r w:rsidR="004F69A7" w:rsidRPr="00103C6F">
          <w:rPr>
            <w:rFonts w:asciiTheme="majorBidi" w:hAnsiTheme="majorBidi" w:cstheme="majorBidi"/>
            <w:noProof/>
            <w:webHidden/>
            <w:sz w:val="24"/>
            <w:szCs w:val="24"/>
          </w:rPr>
          <w:fldChar w:fldCharType="end"/>
        </w:r>
      </w:hyperlink>
    </w:p>
    <w:p w14:paraId="30AB91A3" w14:textId="413B80A1"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78" w:history="1">
        <w:r w:rsidR="004F69A7" w:rsidRPr="00103C6F">
          <w:rPr>
            <w:rStyle w:val="Lienhypertexte"/>
            <w:rFonts w:asciiTheme="majorBidi" w:hAnsiTheme="majorBidi" w:cstheme="majorBidi"/>
            <w:noProof/>
            <w:kern w:val="24"/>
            <w:sz w:val="24"/>
            <w:szCs w:val="24"/>
          </w:rPr>
          <w:t>3.1.2.2- Risque de change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_Toc182298778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115</w:t>
        </w:r>
        <w:r w:rsidR="004F69A7" w:rsidRPr="00103C6F">
          <w:rPr>
            <w:rFonts w:asciiTheme="majorBidi" w:hAnsiTheme="majorBidi" w:cstheme="majorBidi"/>
            <w:noProof/>
            <w:webHidden/>
            <w:sz w:val="24"/>
            <w:szCs w:val="24"/>
          </w:rPr>
          <w:fldChar w:fldCharType="end"/>
        </w:r>
      </w:hyperlink>
    </w:p>
    <w:p w14:paraId="40FEDD5A" w14:textId="170E8A6B"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79" w:history="1">
        <w:r w:rsidR="004F69A7" w:rsidRPr="00103C6F">
          <w:rPr>
            <w:rStyle w:val="Lienhypertexte"/>
            <w:rFonts w:asciiTheme="majorBidi" w:hAnsiTheme="majorBidi" w:cstheme="majorBidi"/>
            <w:noProof/>
            <w:kern w:val="24"/>
            <w:sz w:val="24"/>
            <w:szCs w:val="24"/>
          </w:rPr>
          <w:t>3.1.2.3- Risque relatif aux cours des matières premières et des actions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_Toc182298779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115</w:t>
        </w:r>
        <w:r w:rsidR="004F69A7" w:rsidRPr="00103C6F">
          <w:rPr>
            <w:rFonts w:asciiTheme="majorBidi" w:hAnsiTheme="majorBidi" w:cstheme="majorBidi"/>
            <w:noProof/>
            <w:webHidden/>
            <w:sz w:val="24"/>
            <w:szCs w:val="24"/>
          </w:rPr>
          <w:fldChar w:fldCharType="end"/>
        </w:r>
      </w:hyperlink>
    </w:p>
    <w:p w14:paraId="0C7E95F2" w14:textId="08C3DFB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80" w:history="1">
        <w:r w:rsidR="004F69A7" w:rsidRPr="00103C6F">
          <w:rPr>
            <w:rStyle w:val="Lienhypertexte"/>
            <w:rFonts w:asciiTheme="majorBidi" w:hAnsiTheme="majorBidi" w:cstheme="majorBidi"/>
            <w:noProof/>
            <w:kern w:val="24"/>
            <w:sz w:val="24"/>
            <w:szCs w:val="24"/>
          </w:rPr>
          <w:t>3.1.3- Risque de liquidité (d’illiquidité)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_Toc182298780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115</w:t>
        </w:r>
        <w:r w:rsidR="004F69A7" w:rsidRPr="00103C6F">
          <w:rPr>
            <w:rFonts w:asciiTheme="majorBidi" w:hAnsiTheme="majorBidi" w:cstheme="majorBidi"/>
            <w:noProof/>
            <w:webHidden/>
            <w:sz w:val="24"/>
            <w:szCs w:val="24"/>
          </w:rPr>
          <w:fldChar w:fldCharType="end"/>
        </w:r>
      </w:hyperlink>
    </w:p>
    <w:p w14:paraId="6F4B2CFE" w14:textId="435A43E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81" w:history="1">
        <w:r w:rsidR="004F69A7" w:rsidRPr="00103C6F">
          <w:rPr>
            <w:rStyle w:val="Lienhypertexte"/>
            <w:rFonts w:asciiTheme="majorBidi" w:hAnsiTheme="majorBidi" w:cstheme="majorBidi"/>
            <w:noProof/>
            <w:kern w:val="24"/>
            <w:sz w:val="24"/>
            <w:szCs w:val="24"/>
          </w:rPr>
          <w:t>3.1.4- Risque opérationnel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_Toc182298781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116</w:t>
        </w:r>
        <w:r w:rsidR="004F69A7" w:rsidRPr="00103C6F">
          <w:rPr>
            <w:rFonts w:asciiTheme="majorBidi" w:hAnsiTheme="majorBidi" w:cstheme="majorBidi"/>
            <w:noProof/>
            <w:webHidden/>
            <w:sz w:val="24"/>
            <w:szCs w:val="24"/>
          </w:rPr>
          <w:fldChar w:fldCharType="end"/>
        </w:r>
      </w:hyperlink>
    </w:p>
    <w:p w14:paraId="320A0270" w14:textId="3052B9E8"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82" w:history="1">
        <w:r w:rsidR="004F69A7" w:rsidRPr="00103C6F">
          <w:rPr>
            <w:rStyle w:val="Lienhypertexte"/>
            <w:rFonts w:asciiTheme="majorBidi" w:hAnsiTheme="majorBidi" w:cstheme="majorBidi"/>
            <w:noProof/>
            <w:kern w:val="24"/>
            <w:sz w:val="24"/>
            <w:szCs w:val="24"/>
          </w:rPr>
          <w:t>3.1.5- Autres risques spécifiques aux banques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_Toc182298782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117</w:t>
        </w:r>
        <w:r w:rsidR="004F69A7" w:rsidRPr="00103C6F">
          <w:rPr>
            <w:rFonts w:asciiTheme="majorBidi" w:hAnsiTheme="majorBidi" w:cstheme="majorBidi"/>
            <w:noProof/>
            <w:webHidden/>
            <w:sz w:val="24"/>
            <w:szCs w:val="24"/>
          </w:rPr>
          <w:fldChar w:fldCharType="end"/>
        </w:r>
      </w:hyperlink>
    </w:p>
    <w:p w14:paraId="450C4766" w14:textId="156BB42E"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83" w:history="1">
        <w:r w:rsidR="004F69A7" w:rsidRPr="00103C6F">
          <w:rPr>
            <w:rStyle w:val="Lienhypertexte"/>
            <w:rFonts w:asciiTheme="majorBidi" w:hAnsiTheme="majorBidi" w:cstheme="majorBidi"/>
            <w:noProof/>
            <w:kern w:val="24"/>
            <w:sz w:val="24"/>
            <w:szCs w:val="24"/>
          </w:rPr>
          <w:t>3.1.5.1- Risque juridique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_Toc182298783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117</w:t>
        </w:r>
        <w:r w:rsidR="004F69A7" w:rsidRPr="00103C6F">
          <w:rPr>
            <w:rFonts w:asciiTheme="majorBidi" w:hAnsiTheme="majorBidi" w:cstheme="majorBidi"/>
            <w:noProof/>
            <w:webHidden/>
            <w:sz w:val="24"/>
            <w:szCs w:val="24"/>
          </w:rPr>
          <w:fldChar w:fldCharType="end"/>
        </w:r>
      </w:hyperlink>
    </w:p>
    <w:p w14:paraId="031BDD30" w14:textId="7DE87011"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84" w:history="1">
        <w:r w:rsidR="004F69A7" w:rsidRPr="00103C6F">
          <w:rPr>
            <w:rStyle w:val="Lienhypertexte"/>
            <w:rFonts w:asciiTheme="majorBidi" w:hAnsiTheme="majorBidi" w:cstheme="majorBidi"/>
            <w:noProof/>
            <w:kern w:val="24"/>
            <w:sz w:val="24"/>
            <w:szCs w:val="24"/>
          </w:rPr>
          <w:t>3.1.5.2- Risque de réputation</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_Toc182298784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117</w:t>
        </w:r>
        <w:r w:rsidR="004F69A7" w:rsidRPr="00103C6F">
          <w:rPr>
            <w:rFonts w:asciiTheme="majorBidi" w:hAnsiTheme="majorBidi" w:cstheme="majorBidi"/>
            <w:noProof/>
            <w:webHidden/>
            <w:sz w:val="24"/>
            <w:szCs w:val="24"/>
          </w:rPr>
          <w:fldChar w:fldCharType="end"/>
        </w:r>
      </w:hyperlink>
    </w:p>
    <w:p w14:paraId="5F0138B4" w14:textId="45E9D94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85" w:history="1">
        <w:r w:rsidR="004F69A7" w:rsidRPr="00103C6F">
          <w:rPr>
            <w:rStyle w:val="Lienhypertexte"/>
            <w:rFonts w:asciiTheme="majorBidi" w:hAnsiTheme="majorBidi" w:cstheme="majorBidi"/>
            <w:noProof/>
            <w:kern w:val="24"/>
            <w:sz w:val="24"/>
            <w:szCs w:val="24"/>
          </w:rPr>
          <w:t>3.1.5.3- Risque commercial déplacé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_Toc182298785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118</w:t>
        </w:r>
        <w:r w:rsidR="004F69A7" w:rsidRPr="00103C6F">
          <w:rPr>
            <w:rFonts w:asciiTheme="majorBidi" w:hAnsiTheme="majorBidi" w:cstheme="majorBidi"/>
            <w:noProof/>
            <w:webHidden/>
            <w:sz w:val="24"/>
            <w:szCs w:val="24"/>
          </w:rPr>
          <w:fldChar w:fldCharType="end"/>
        </w:r>
      </w:hyperlink>
    </w:p>
    <w:p w14:paraId="4CE9290F" w14:textId="5ECCD0E1" w:rsidR="004F69A7" w:rsidRPr="00103C6F" w:rsidRDefault="00C40DAA" w:rsidP="009C2D83">
      <w:pPr>
        <w:pStyle w:val="TM3"/>
        <w:keepNext w:val="0"/>
        <w:keepLines w:val="0"/>
        <w:widowControl w:val="0"/>
        <w:spacing w:before="0"/>
        <w:rPr>
          <w:rFonts w:eastAsiaTheme="minorEastAsia"/>
          <w:lang w:eastAsia="fr-FR"/>
        </w:rPr>
      </w:pPr>
      <w:hyperlink w:anchor="_Toc182298786" w:history="1">
        <w:r w:rsidR="004F69A7" w:rsidRPr="00103C6F">
          <w:rPr>
            <w:rStyle w:val="Lienhypertexte"/>
            <w:kern w:val="24"/>
          </w:rPr>
          <w:t>3.2- Modes de couverture des risques dans la banque islamique</w:t>
        </w:r>
        <w:r w:rsidR="004F69A7" w:rsidRPr="00103C6F">
          <w:rPr>
            <w:webHidden/>
          </w:rPr>
          <w:tab/>
        </w:r>
        <w:r w:rsidR="004F69A7" w:rsidRPr="00103C6F">
          <w:rPr>
            <w:webHidden/>
          </w:rPr>
          <w:fldChar w:fldCharType="begin"/>
        </w:r>
        <w:r w:rsidR="004F69A7" w:rsidRPr="00103C6F">
          <w:rPr>
            <w:webHidden/>
          </w:rPr>
          <w:instrText xml:space="preserve"> PAGEREF _Toc182298786 \h </w:instrText>
        </w:r>
        <w:r w:rsidR="004F69A7" w:rsidRPr="00103C6F">
          <w:rPr>
            <w:webHidden/>
          </w:rPr>
        </w:r>
        <w:r w:rsidR="004F69A7" w:rsidRPr="00103C6F">
          <w:rPr>
            <w:webHidden/>
          </w:rPr>
          <w:fldChar w:fldCharType="separate"/>
        </w:r>
        <w:r w:rsidR="00666FC7">
          <w:rPr>
            <w:webHidden/>
          </w:rPr>
          <w:t>119</w:t>
        </w:r>
        <w:r w:rsidR="004F69A7" w:rsidRPr="00103C6F">
          <w:rPr>
            <w:webHidden/>
          </w:rPr>
          <w:fldChar w:fldCharType="end"/>
        </w:r>
      </w:hyperlink>
    </w:p>
    <w:p w14:paraId="27D902DC" w14:textId="3871A242"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87" w:history="1">
        <w:r w:rsidR="004F69A7" w:rsidRPr="00103C6F">
          <w:rPr>
            <w:rStyle w:val="Lienhypertexte"/>
            <w:rFonts w:asciiTheme="majorBidi" w:hAnsiTheme="majorBidi" w:cstheme="majorBidi"/>
            <w:noProof/>
            <w:kern w:val="24"/>
            <w:sz w:val="24"/>
            <w:szCs w:val="24"/>
          </w:rPr>
          <w:t>3.2.1- Système de gestion de risques dans la banque islamique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_Toc182298787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119</w:t>
        </w:r>
        <w:r w:rsidR="004F69A7" w:rsidRPr="00103C6F">
          <w:rPr>
            <w:rFonts w:asciiTheme="majorBidi" w:hAnsiTheme="majorBidi" w:cstheme="majorBidi"/>
            <w:noProof/>
            <w:webHidden/>
            <w:sz w:val="24"/>
            <w:szCs w:val="24"/>
          </w:rPr>
          <w:fldChar w:fldCharType="end"/>
        </w:r>
      </w:hyperlink>
    </w:p>
    <w:p w14:paraId="4B4F86AA" w14:textId="654C4A3C"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88" w:history="1">
        <w:r w:rsidR="004F69A7" w:rsidRPr="00103C6F">
          <w:rPr>
            <w:rStyle w:val="Lienhypertexte"/>
            <w:rFonts w:asciiTheme="majorBidi" w:hAnsiTheme="majorBidi" w:cstheme="majorBidi"/>
            <w:noProof/>
            <w:kern w:val="24"/>
            <w:sz w:val="24"/>
            <w:szCs w:val="24"/>
          </w:rPr>
          <w:t>3.2.1.1- Diffusion d’une culture de gestion des risques au sein de la BI</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_Toc182298788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119</w:t>
        </w:r>
        <w:r w:rsidR="004F69A7" w:rsidRPr="00103C6F">
          <w:rPr>
            <w:rFonts w:asciiTheme="majorBidi" w:hAnsiTheme="majorBidi" w:cstheme="majorBidi"/>
            <w:noProof/>
            <w:webHidden/>
            <w:sz w:val="24"/>
            <w:szCs w:val="24"/>
          </w:rPr>
          <w:fldChar w:fldCharType="end"/>
        </w:r>
      </w:hyperlink>
    </w:p>
    <w:p w14:paraId="44EE124E" w14:textId="454C486F"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89" w:history="1">
        <w:r w:rsidR="004F69A7" w:rsidRPr="00103C6F">
          <w:rPr>
            <w:rStyle w:val="Lienhypertexte"/>
            <w:rFonts w:asciiTheme="majorBidi" w:hAnsiTheme="majorBidi" w:cstheme="majorBidi"/>
            <w:noProof/>
            <w:kern w:val="24"/>
            <w:sz w:val="24"/>
            <w:szCs w:val="24"/>
          </w:rPr>
          <w:t>3.2.1.2- Création d’un environnement approprié à la gestion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_Toc182298789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119</w:t>
        </w:r>
        <w:r w:rsidR="004F69A7" w:rsidRPr="00103C6F">
          <w:rPr>
            <w:rFonts w:asciiTheme="majorBidi" w:hAnsiTheme="majorBidi" w:cstheme="majorBidi"/>
            <w:noProof/>
            <w:webHidden/>
            <w:sz w:val="24"/>
            <w:szCs w:val="24"/>
          </w:rPr>
          <w:fldChar w:fldCharType="end"/>
        </w:r>
      </w:hyperlink>
    </w:p>
    <w:p w14:paraId="7C411F69" w14:textId="46A277EA"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90" w:history="1">
        <w:r w:rsidR="004F69A7" w:rsidRPr="00103C6F">
          <w:rPr>
            <w:rStyle w:val="Lienhypertexte"/>
            <w:rFonts w:asciiTheme="majorBidi" w:hAnsiTheme="majorBidi" w:cstheme="majorBidi"/>
            <w:noProof/>
            <w:kern w:val="24"/>
            <w:sz w:val="24"/>
            <w:szCs w:val="24"/>
          </w:rPr>
          <w:t>3.2.1.3- Elaboration d’un processus de mesure et d’atténuation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_Toc182298790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120</w:t>
        </w:r>
        <w:r w:rsidR="004F69A7" w:rsidRPr="00103C6F">
          <w:rPr>
            <w:rFonts w:asciiTheme="majorBidi" w:hAnsiTheme="majorBidi" w:cstheme="majorBidi"/>
            <w:noProof/>
            <w:webHidden/>
            <w:sz w:val="24"/>
            <w:szCs w:val="24"/>
          </w:rPr>
          <w:fldChar w:fldCharType="end"/>
        </w:r>
      </w:hyperlink>
    </w:p>
    <w:p w14:paraId="695F009E" w14:textId="47855579"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91" w:history="1">
        <w:r w:rsidR="004F69A7" w:rsidRPr="00103C6F">
          <w:rPr>
            <w:rStyle w:val="Lienhypertexte"/>
            <w:rFonts w:asciiTheme="majorBidi" w:hAnsiTheme="majorBidi" w:cstheme="majorBidi"/>
            <w:noProof/>
            <w:kern w:val="24"/>
            <w:sz w:val="24"/>
            <w:szCs w:val="24"/>
          </w:rPr>
          <w:t>3.2.1.4- Adoption de système de contrôle interne et de rating</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_Toc182298791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120</w:t>
        </w:r>
        <w:r w:rsidR="004F69A7" w:rsidRPr="00103C6F">
          <w:rPr>
            <w:rFonts w:asciiTheme="majorBidi" w:hAnsiTheme="majorBidi" w:cstheme="majorBidi"/>
            <w:noProof/>
            <w:webHidden/>
            <w:sz w:val="24"/>
            <w:szCs w:val="24"/>
          </w:rPr>
          <w:fldChar w:fldCharType="end"/>
        </w:r>
      </w:hyperlink>
    </w:p>
    <w:p w14:paraId="7CA7A8CD" w14:textId="0EC3AAF1"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792" w:history="1">
        <w:r w:rsidR="004F69A7" w:rsidRPr="00103C6F">
          <w:rPr>
            <w:rStyle w:val="Lienhypertexte"/>
            <w:rFonts w:asciiTheme="majorBidi" w:hAnsiTheme="majorBidi" w:cstheme="majorBidi"/>
            <w:noProof/>
            <w:kern w:val="24"/>
            <w:sz w:val="24"/>
            <w:szCs w:val="24"/>
          </w:rPr>
          <w:t>3.2.2- Techniques d’atténuation des risques dans la banque islamique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_Toc182298792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121</w:t>
        </w:r>
        <w:r w:rsidR="004F69A7" w:rsidRPr="00103C6F">
          <w:rPr>
            <w:rFonts w:asciiTheme="majorBidi" w:hAnsiTheme="majorBidi" w:cstheme="majorBidi"/>
            <w:noProof/>
            <w:webHidden/>
            <w:sz w:val="24"/>
            <w:szCs w:val="24"/>
          </w:rPr>
          <w:fldChar w:fldCharType="end"/>
        </w:r>
      </w:hyperlink>
    </w:p>
    <w:p w14:paraId="4703C6E5" w14:textId="20172101"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793" w:history="1">
        <w:r w:rsidR="004F69A7" w:rsidRPr="00103C6F">
          <w:rPr>
            <w:rStyle w:val="Lienhypertexte"/>
            <w:rFonts w:asciiTheme="majorBidi" w:hAnsiTheme="majorBidi" w:cstheme="majorBidi"/>
            <w:noProof/>
            <w:kern w:val="24"/>
            <w:sz w:val="24"/>
            <w:szCs w:val="24"/>
          </w:rPr>
          <w:t>3.2.2.1- Gestion du risque de contrepartie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_Toc182298793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121</w:t>
        </w:r>
        <w:r w:rsidR="004F69A7" w:rsidRPr="00103C6F">
          <w:rPr>
            <w:rFonts w:asciiTheme="majorBidi" w:hAnsiTheme="majorBidi" w:cstheme="majorBidi"/>
            <w:noProof/>
            <w:webHidden/>
            <w:sz w:val="24"/>
            <w:szCs w:val="24"/>
          </w:rPr>
          <w:fldChar w:fldCharType="end"/>
        </w:r>
      </w:hyperlink>
    </w:p>
    <w:p w14:paraId="76F213EF" w14:textId="40CF4B83"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794" w:history="1">
        <w:r w:rsidR="004F69A7" w:rsidRPr="00103C6F">
          <w:rPr>
            <w:rStyle w:val="Lienhypertexte"/>
            <w:rFonts w:asciiTheme="majorBidi" w:hAnsiTheme="majorBidi" w:cstheme="majorBidi"/>
            <w:noProof/>
            <w:kern w:val="24"/>
            <w:sz w:val="24"/>
            <w:szCs w:val="24"/>
          </w:rPr>
          <w:t>3.2.2.1.1- Réserve pour pertes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_Toc182298794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121</w:t>
        </w:r>
        <w:r w:rsidR="004F69A7" w:rsidRPr="00103C6F">
          <w:rPr>
            <w:rFonts w:asciiTheme="majorBidi" w:hAnsiTheme="majorBidi" w:cstheme="majorBidi"/>
            <w:noProof/>
            <w:webHidden/>
            <w:sz w:val="24"/>
            <w:szCs w:val="24"/>
          </w:rPr>
          <w:fldChar w:fldCharType="end"/>
        </w:r>
      </w:hyperlink>
    </w:p>
    <w:p w14:paraId="3FF3A25F" w14:textId="29E5644A"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795" w:history="1">
        <w:r w:rsidR="004F69A7" w:rsidRPr="00103C6F">
          <w:rPr>
            <w:rStyle w:val="Lienhypertexte"/>
            <w:rFonts w:asciiTheme="majorBidi" w:hAnsiTheme="majorBidi" w:cstheme="majorBidi"/>
            <w:noProof/>
            <w:kern w:val="24"/>
            <w:sz w:val="24"/>
            <w:szCs w:val="24"/>
          </w:rPr>
          <w:t>3.2.2.1.2- Nantissement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_Toc182298795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121</w:t>
        </w:r>
        <w:r w:rsidR="004F69A7" w:rsidRPr="00103C6F">
          <w:rPr>
            <w:rFonts w:asciiTheme="majorBidi" w:hAnsiTheme="majorBidi" w:cstheme="majorBidi"/>
            <w:noProof/>
            <w:webHidden/>
            <w:sz w:val="24"/>
            <w:szCs w:val="24"/>
          </w:rPr>
          <w:fldChar w:fldCharType="end"/>
        </w:r>
      </w:hyperlink>
    </w:p>
    <w:p w14:paraId="00A8FBBE" w14:textId="5B9B4830"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796" w:history="1">
        <w:r w:rsidR="004F69A7" w:rsidRPr="00103C6F">
          <w:rPr>
            <w:rStyle w:val="Lienhypertexte"/>
            <w:rFonts w:asciiTheme="majorBidi" w:hAnsiTheme="majorBidi" w:cstheme="majorBidi"/>
            <w:noProof/>
            <w:kern w:val="24"/>
            <w:sz w:val="24"/>
            <w:szCs w:val="24"/>
          </w:rPr>
          <w:t>3.2.2.1.3- Netting sur bilan</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_Toc182298796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122</w:t>
        </w:r>
        <w:r w:rsidR="004F69A7" w:rsidRPr="00103C6F">
          <w:rPr>
            <w:rFonts w:asciiTheme="majorBidi" w:hAnsiTheme="majorBidi" w:cstheme="majorBidi"/>
            <w:noProof/>
            <w:webHidden/>
            <w:sz w:val="24"/>
            <w:szCs w:val="24"/>
          </w:rPr>
          <w:fldChar w:fldCharType="end"/>
        </w:r>
      </w:hyperlink>
    </w:p>
    <w:p w14:paraId="6DCE6AB5" w14:textId="383C8C9D"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797" w:history="1">
        <w:r w:rsidR="004F69A7" w:rsidRPr="00103C6F">
          <w:rPr>
            <w:rStyle w:val="Lienhypertexte"/>
            <w:rFonts w:asciiTheme="majorBidi" w:hAnsiTheme="majorBidi" w:cstheme="majorBidi"/>
            <w:noProof/>
            <w:kern w:val="24"/>
            <w:sz w:val="24"/>
            <w:szCs w:val="24"/>
          </w:rPr>
          <w:t>3.2.2.1.4- Nantissement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_Toc182298797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122</w:t>
        </w:r>
        <w:r w:rsidR="004F69A7" w:rsidRPr="00103C6F">
          <w:rPr>
            <w:rFonts w:asciiTheme="majorBidi" w:hAnsiTheme="majorBidi" w:cstheme="majorBidi"/>
            <w:noProof/>
            <w:webHidden/>
            <w:sz w:val="24"/>
            <w:szCs w:val="24"/>
          </w:rPr>
          <w:fldChar w:fldCharType="end"/>
        </w:r>
      </w:hyperlink>
    </w:p>
    <w:p w14:paraId="22E094EC" w14:textId="2DEF9F03"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798" w:history="1">
        <w:r w:rsidR="004F69A7" w:rsidRPr="00103C6F">
          <w:rPr>
            <w:rStyle w:val="Lienhypertexte"/>
            <w:rFonts w:asciiTheme="majorBidi" w:hAnsiTheme="majorBidi" w:cstheme="majorBidi"/>
            <w:noProof/>
            <w:kern w:val="24"/>
            <w:sz w:val="24"/>
            <w:szCs w:val="24"/>
          </w:rPr>
          <w:t>3.2.2.1.5- Atténuation contractuelle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_Toc182298798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123</w:t>
        </w:r>
        <w:r w:rsidR="004F69A7" w:rsidRPr="00103C6F">
          <w:rPr>
            <w:rFonts w:asciiTheme="majorBidi" w:hAnsiTheme="majorBidi" w:cstheme="majorBidi"/>
            <w:noProof/>
            <w:webHidden/>
            <w:sz w:val="24"/>
            <w:szCs w:val="24"/>
          </w:rPr>
          <w:fldChar w:fldCharType="end"/>
        </w:r>
      </w:hyperlink>
    </w:p>
    <w:p w14:paraId="1CBDE7CB" w14:textId="00EB451F"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799" w:history="1">
        <w:r w:rsidR="004F69A7" w:rsidRPr="00103C6F">
          <w:rPr>
            <w:rStyle w:val="Lienhypertexte"/>
            <w:rFonts w:asciiTheme="majorBidi" w:hAnsiTheme="majorBidi" w:cstheme="majorBidi"/>
            <w:noProof/>
            <w:kern w:val="24"/>
            <w:sz w:val="24"/>
            <w:szCs w:val="24"/>
          </w:rPr>
          <w:t>3.2.2.1.6- Rating interne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_Toc182298799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123</w:t>
        </w:r>
        <w:r w:rsidR="004F69A7" w:rsidRPr="00103C6F">
          <w:rPr>
            <w:rFonts w:asciiTheme="majorBidi" w:hAnsiTheme="majorBidi" w:cstheme="majorBidi"/>
            <w:noProof/>
            <w:webHidden/>
            <w:sz w:val="24"/>
            <w:szCs w:val="24"/>
          </w:rPr>
          <w:fldChar w:fldCharType="end"/>
        </w:r>
      </w:hyperlink>
    </w:p>
    <w:p w14:paraId="3C722A37" w14:textId="6AA038C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00" w:history="1">
        <w:r w:rsidR="004F69A7" w:rsidRPr="00103C6F">
          <w:rPr>
            <w:rStyle w:val="Lienhypertexte"/>
            <w:rFonts w:asciiTheme="majorBidi" w:hAnsiTheme="majorBidi" w:cstheme="majorBidi"/>
            <w:noProof/>
            <w:kern w:val="24"/>
            <w:sz w:val="24"/>
            <w:szCs w:val="24"/>
          </w:rPr>
          <w:t>3.2.2.2- Gestion du risque de liquidité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_Toc182298800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123</w:t>
        </w:r>
        <w:r w:rsidR="004F69A7" w:rsidRPr="00103C6F">
          <w:rPr>
            <w:rFonts w:asciiTheme="majorBidi" w:hAnsiTheme="majorBidi" w:cstheme="majorBidi"/>
            <w:noProof/>
            <w:webHidden/>
            <w:sz w:val="24"/>
            <w:szCs w:val="24"/>
          </w:rPr>
          <w:fldChar w:fldCharType="end"/>
        </w:r>
      </w:hyperlink>
    </w:p>
    <w:p w14:paraId="02CA6729" w14:textId="1B54DA76"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01" w:history="1">
        <w:r w:rsidR="004F69A7" w:rsidRPr="00103C6F">
          <w:rPr>
            <w:rStyle w:val="Lienhypertexte"/>
            <w:rFonts w:asciiTheme="majorBidi" w:hAnsiTheme="majorBidi" w:cstheme="majorBidi"/>
            <w:noProof/>
            <w:sz w:val="24"/>
            <w:szCs w:val="24"/>
          </w:rPr>
          <w:t>3.2.2.3- Gestion des risques opérationnels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_Toc182298801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127</w:t>
        </w:r>
        <w:r w:rsidR="004F69A7" w:rsidRPr="00103C6F">
          <w:rPr>
            <w:rFonts w:asciiTheme="majorBidi" w:hAnsiTheme="majorBidi" w:cstheme="majorBidi"/>
            <w:noProof/>
            <w:webHidden/>
            <w:sz w:val="24"/>
            <w:szCs w:val="24"/>
          </w:rPr>
          <w:fldChar w:fldCharType="end"/>
        </w:r>
      </w:hyperlink>
    </w:p>
    <w:p w14:paraId="29E447F1" w14:textId="3AD3080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02" w:history="1">
        <w:r w:rsidR="004F69A7" w:rsidRPr="00103C6F">
          <w:rPr>
            <w:rStyle w:val="Lienhypertexte"/>
            <w:rFonts w:asciiTheme="majorBidi" w:hAnsiTheme="majorBidi" w:cstheme="majorBidi"/>
            <w:noProof/>
            <w:sz w:val="24"/>
            <w:szCs w:val="24"/>
          </w:rPr>
          <w:t>3.2.2.4- Gestion du risque commercial déplacé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_Toc182298802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127</w:t>
        </w:r>
        <w:r w:rsidR="004F69A7" w:rsidRPr="00103C6F">
          <w:rPr>
            <w:rFonts w:asciiTheme="majorBidi" w:hAnsiTheme="majorBidi" w:cstheme="majorBidi"/>
            <w:noProof/>
            <w:webHidden/>
            <w:sz w:val="24"/>
            <w:szCs w:val="24"/>
          </w:rPr>
          <w:fldChar w:fldCharType="end"/>
        </w:r>
      </w:hyperlink>
    </w:p>
    <w:p w14:paraId="35A8BD4C" w14:textId="70619FC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03" w:history="1">
        <w:r w:rsidR="004F69A7" w:rsidRPr="00103C6F">
          <w:rPr>
            <w:rStyle w:val="Lienhypertexte"/>
            <w:rFonts w:asciiTheme="majorBidi" w:hAnsiTheme="majorBidi" w:cstheme="majorBidi"/>
            <w:noProof/>
            <w:sz w:val="24"/>
            <w:szCs w:val="24"/>
          </w:rPr>
          <w:t>3.2.2.5- Gestion de risque de marché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_Toc182298803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128</w:t>
        </w:r>
        <w:r w:rsidR="004F69A7" w:rsidRPr="00103C6F">
          <w:rPr>
            <w:rFonts w:asciiTheme="majorBidi" w:hAnsiTheme="majorBidi" w:cstheme="majorBidi"/>
            <w:noProof/>
            <w:webHidden/>
            <w:sz w:val="24"/>
            <w:szCs w:val="24"/>
          </w:rPr>
          <w:fldChar w:fldCharType="end"/>
        </w:r>
      </w:hyperlink>
    </w:p>
    <w:p w14:paraId="2572E7CD" w14:textId="1A68C40D"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804" w:history="1">
        <w:r w:rsidR="004F69A7" w:rsidRPr="00103C6F">
          <w:rPr>
            <w:rStyle w:val="Lienhypertexte"/>
            <w:rFonts w:asciiTheme="majorBidi" w:hAnsiTheme="majorBidi" w:cstheme="majorBidi"/>
            <w:noProof/>
            <w:sz w:val="24"/>
            <w:szCs w:val="24"/>
          </w:rPr>
          <w:t>3.2.2.5.1- Gestion de risque de taux de référence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_Toc182298804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128</w:t>
        </w:r>
        <w:r w:rsidR="004F69A7" w:rsidRPr="00103C6F">
          <w:rPr>
            <w:rFonts w:asciiTheme="majorBidi" w:hAnsiTheme="majorBidi" w:cstheme="majorBidi"/>
            <w:noProof/>
            <w:webHidden/>
            <w:sz w:val="24"/>
            <w:szCs w:val="24"/>
          </w:rPr>
          <w:fldChar w:fldCharType="end"/>
        </w:r>
      </w:hyperlink>
    </w:p>
    <w:p w14:paraId="4433591F" w14:textId="6F1D0FE2"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805" w:history="1">
        <w:r w:rsidR="004F69A7" w:rsidRPr="00103C6F">
          <w:rPr>
            <w:rStyle w:val="Lienhypertexte"/>
            <w:rFonts w:asciiTheme="majorBidi" w:hAnsiTheme="majorBidi" w:cstheme="majorBidi"/>
            <w:noProof/>
            <w:sz w:val="24"/>
            <w:szCs w:val="24"/>
          </w:rPr>
          <w:t>3.2.2.5.2- Gestion du risque de change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_Toc182298805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129</w:t>
        </w:r>
        <w:r w:rsidR="004F69A7" w:rsidRPr="00103C6F">
          <w:rPr>
            <w:rFonts w:asciiTheme="majorBidi" w:hAnsiTheme="majorBidi" w:cstheme="majorBidi"/>
            <w:noProof/>
            <w:webHidden/>
            <w:sz w:val="24"/>
            <w:szCs w:val="24"/>
          </w:rPr>
          <w:fldChar w:fldCharType="end"/>
        </w:r>
      </w:hyperlink>
    </w:p>
    <w:p w14:paraId="00EED634" w14:textId="51C63CCA"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806" w:history="1">
        <w:r w:rsidR="004F69A7" w:rsidRPr="00103C6F">
          <w:rPr>
            <w:rStyle w:val="Lienhypertexte"/>
            <w:rFonts w:asciiTheme="majorBidi" w:hAnsiTheme="majorBidi" w:cstheme="majorBidi"/>
            <w:noProof/>
            <w:sz w:val="24"/>
            <w:szCs w:val="24"/>
          </w:rPr>
          <w:t>3.2.2.5.3- Gestion du risque de fluctuation des prix des actions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_Toc182298806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129</w:t>
        </w:r>
        <w:r w:rsidR="004F69A7" w:rsidRPr="00103C6F">
          <w:rPr>
            <w:rFonts w:asciiTheme="majorBidi" w:hAnsiTheme="majorBidi" w:cstheme="majorBidi"/>
            <w:noProof/>
            <w:webHidden/>
            <w:sz w:val="24"/>
            <w:szCs w:val="24"/>
          </w:rPr>
          <w:fldChar w:fldCharType="end"/>
        </w:r>
      </w:hyperlink>
    </w:p>
    <w:p w14:paraId="659C377E" w14:textId="367DF686"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807" w:history="1">
        <w:r w:rsidR="004F69A7" w:rsidRPr="00103C6F">
          <w:rPr>
            <w:rStyle w:val="Lienhypertexte"/>
            <w:rFonts w:asciiTheme="majorBidi" w:hAnsiTheme="majorBidi" w:cstheme="majorBidi"/>
            <w:noProof/>
            <w:sz w:val="24"/>
            <w:szCs w:val="24"/>
          </w:rPr>
          <w:t>3.2.2.5.4- Gestion des risques de fluctuation des prix de marchandises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_Toc182298807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130</w:t>
        </w:r>
        <w:r w:rsidR="004F69A7" w:rsidRPr="00103C6F">
          <w:rPr>
            <w:rFonts w:asciiTheme="majorBidi" w:hAnsiTheme="majorBidi" w:cstheme="majorBidi"/>
            <w:noProof/>
            <w:webHidden/>
            <w:sz w:val="24"/>
            <w:szCs w:val="24"/>
          </w:rPr>
          <w:fldChar w:fldCharType="end"/>
        </w:r>
      </w:hyperlink>
    </w:p>
    <w:p w14:paraId="3509DC3B" w14:textId="2754A581"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808" w:history="1">
        <w:r w:rsidR="004F69A7" w:rsidRPr="00103C6F">
          <w:rPr>
            <w:rStyle w:val="Lienhypertexte"/>
            <w:rFonts w:asciiTheme="majorBidi" w:hAnsiTheme="majorBidi" w:cstheme="majorBidi"/>
            <w:noProof/>
            <w:sz w:val="24"/>
            <w:szCs w:val="24"/>
          </w:rPr>
          <w:t>3.2.2.5.5- Salam et marchandises livrées à terme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_Toc182298808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130</w:t>
        </w:r>
        <w:r w:rsidR="004F69A7" w:rsidRPr="00103C6F">
          <w:rPr>
            <w:rFonts w:asciiTheme="majorBidi" w:hAnsiTheme="majorBidi" w:cstheme="majorBidi"/>
            <w:noProof/>
            <w:webHidden/>
            <w:sz w:val="24"/>
            <w:szCs w:val="24"/>
          </w:rPr>
          <w:fldChar w:fldCharType="end"/>
        </w:r>
      </w:hyperlink>
    </w:p>
    <w:p w14:paraId="56528140" w14:textId="33E8111C"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809" w:history="1">
        <w:r w:rsidR="004F69A7" w:rsidRPr="00103C6F">
          <w:rPr>
            <w:rStyle w:val="Lienhypertexte"/>
            <w:rFonts w:asciiTheme="majorBidi" w:hAnsiTheme="majorBidi" w:cstheme="majorBidi"/>
            <w:noProof/>
            <w:sz w:val="24"/>
            <w:szCs w:val="24"/>
          </w:rPr>
          <w:t>3.2.2.5.6- Khiyar al-shart (option conditionnelle)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_Toc182298809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130</w:t>
        </w:r>
        <w:r w:rsidR="004F69A7" w:rsidRPr="00103C6F">
          <w:rPr>
            <w:rFonts w:asciiTheme="majorBidi" w:hAnsiTheme="majorBidi" w:cstheme="majorBidi"/>
            <w:noProof/>
            <w:webHidden/>
            <w:sz w:val="24"/>
            <w:szCs w:val="24"/>
          </w:rPr>
          <w:fldChar w:fldCharType="end"/>
        </w:r>
      </w:hyperlink>
    </w:p>
    <w:p w14:paraId="36354878" w14:textId="3D5E730A"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810" w:history="1">
        <w:r w:rsidR="004F69A7" w:rsidRPr="00103C6F">
          <w:rPr>
            <w:rStyle w:val="Lienhypertexte"/>
            <w:rFonts w:asciiTheme="majorBidi" w:hAnsiTheme="majorBidi" w:cstheme="majorBidi"/>
            <w:noProof/>
            <w:sz w:val="24"/>
            <w:szCs w:val="24"/>
          </w:rPr>
          <w:t>3.2.2.5.7- Contrats parallèles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_Toc182298810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131</w:t>
        </w:r>
        <w:r w:rsidR="004F69A7" w:rsidRPr="00103C6F">
          <w:rPr>
            <w:rFonts w:asciiTheme="majorBidi" w:hAnsiTheme="majorBidi" w:cstheme="majorBidi"/>
            <w:noProof/>
            <w:webHidden/>
            <w:sz w:val="24"/>
            <w:szCs w:val="24"/>
          </w:rPr>
          <w:fldChar w:fldCharType="end"/>
        </w:r>
      </w:hyperlink>
    </w:p>
    <w:p w14:paraId="352A03BA" w14:textId="442AFB34"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11" w:history="1">
        <w:r w:rsidR="004F69A7" w:rsidRPr="00103C6F">
          <w:rPr>
            <w:rStyle w:val="Lienhypertexte"/>
            <w:rFonts w:asciiTheme="majorBidi" w:hAnsiTheme="majorBidi" w:cstheme="majorBidi"/>
            <w:noProof/>
            <w:sz w:val="24"/>
            <w:szCs w:val="24"/>
          </w:rPr>
          <w:t>3.2.2.6- Gestion du risque juridique et du risque fiduciaire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_Toc182298811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131</w:t>
        </w:r>
        <w:r w:rsidR="004F69A7" w:rsidRPr="00103C6F">
          <w:rPr>
            <w:rFonts w:asciiTheme="majorBidi" w:hAnsiTheme="majorBidi" w:cstheme="majorBidi"/>
            <w:noProof/>
            <w:webHidden/>
            <w:sz w:val="24"/>
            <w:szCs w:val="24"/>
          </w:rPr>
          <w:fldChar w:fldCharType="end"/>
        </w:r>
      </w:hyperlink>
    </w:p>
    <w:p w14:paraId="27DDD222" w14:textId="073F87EC" w:rsidR="004F69A7" w:rsidRPr="00103C6F" w:rsidRDefault="00C40DAA" w:rsidP="009C2D83">
      <w:pPr>
        <w:pStyle w:val="TM3"/>
        <w:keepNext w:val="0"/>
        <w:keepLines w:val="0"/>
        <w:widowControl w:val="0"/>
        <w:spacing w:after="120"/>
        <w:rPr>
          <w:rFonts w:eastAsiaTheme="minorEastAsia"/>
          <w:lang w:eastAsia="fr-FR"/>
        </w:rPr>
      </w:pPr>
      <w:hyperlink w:anchor="_Toc182298812" w:history="1">
        <w:r w:rsidR="004F69A7" w:rsidRPr="00103C6F">
          <w:rPr>
            <w:rStyle w:val="Lienhypertexte"/>
          </w:rPr>
          <w:t>3.3- Réglementation prudentielle de la banque islamique</w:t>
        </w:r>
        <w:r w:rsidR="004F69A7" w:rsidRPr="00103C6F">
          <w:rPr>
            <w:webHidden/>
          </w:rPr>
          <w:tab/>
        </w:r>
        <w:r w:rsidR="004F69A7" w:rsidRPr="00103C6F">
          <w:rPr>
            <w:webHidden/>
          </w:rPr>
          <w:fldChar w:fldCharType="begin"/>
        </w:r>
        <w:r w:rsidR="004F69A7" w:rsidRPr="00103C6F">
          <w:rPr>
            <w:webHidden/>
          </w:rPr>
          <w:instrText xml:space="preserve"> PAGEREF _Toc182298812 \h </w:instrText>
        </w:r>
        <w:r w:rsidR="004F69A7" w:rsidRPr="00103C6F">
          <w:rPr>
            <w:webHidden/>
          </w:rPr>
        </w:r>
        <w:r w:rsidR="004F69A7" w:rsidRPr="00103C6F">
          <w:rPr>
            <w:webHidden/>
          </w:rPr>
          <w:fldChar w:fldCharType="separate"/>
        </w:r>
        <w:r w:rsidR="00666FC7">
          <w:rPr>
            <w:webHidden/>
          </w:rPr>
          <w:t>131</w:t>
        </w:r>
        <w:r w:rsidR="004F69A7" w:rsidRPr="00103C6F">
          <w:rPr>
            <w:webHidden/>
          </w:rPr>
          <w:fldChar w:fldCharType="end"/>
        </w:r>
      </w:hyperlink>
    </w:p>
    <w:p w14:paraId="03D33AD9" w14:textId="6D04E7A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13" w:history="1">
        <w:r w:rsidR="004F69A7" w:rsidRPr="00103C6F">
          <w:rPr>
            <w:rStyle w:val="Lienhypertexte"/>
            <w:rFonts w:asciiTheme="majorBidi" w:hAnsiTheme="majorBidi" w:cstheme="majorBidi"/>
            <w:noProof/>
            <w:sz w:val="24"/>
            <w:szCs w:val="24"/>
          </w:rPr>
          <w:t>3.3.1- Application de la réglementation internationale au niveau des BI</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_Toc182298813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132</w:t>
        </w:r>
        <w:r w:rsidR="004F69A7" w:rsidRPr="00103C6F">
          <w:rPr>
            <w:rFonts w:asciiTheme="majorBidi" w:hAnsiTheme="majorBidi" w:cstheme="majorBidi"/>
            <w:noProof/>
            <w:webHidden/>
            <w:sz w:val="24"/>
            <w:szCs w:val="24"/>
          </w:rPr>
          <w:fldChar w:fldCharType="end"/>
        </w:r>
      </w:hyperlink>
    </w:p>
    <w:p w14:paraId="598537CD" w14:textId="28EB7BF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14" w:history="1">
        <w:r w:rsidR="004F69A7" w:rsidRPr="00103C6F">
          <w:rPr>
            <w:rStyle w:val="Lienhypertexte"/>
            <w:rFonts w:asciiTheme="majorBidi" w:hAnsiTheme="majorBidi" w:cstheme="majorBidi"/>
            <w:noProof/>
            <w:sz w:val="24"/>
            <w:szCs w:val="24"/>
          </w:rPr>
          <w:t>3.3.1.1- Traitement des comptes d’investissement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_Toc182298814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133</w:t>
        </w:r>
        <w:r w:rsidR="004F69A7" w:rsidRPr="00103C6F">
          <w:rPr>
            <w:rFonts w:asciiTheme="majorBidi" w:hAnsiTheme="majorBidi" w:cstheme="majorBidi"/>
            <w:noProof/>
            <w:webHidden/>
            <w:sz w:val="24"/>
            <w:szCs w:val="24"/>
          </w:rPr>
          <w:fldChar w:fldCharType="end"/>
        </w:r>
      </w:hyperlink>
    </w:p>
    <w:p w14:paraId="66BA8A50" w14:textId="79A7E80A"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15" w:history="1">
        <w:r w:rsidR="004F69A7" w:rsidRPr="00103C6F">
          <w:rPr>
            <w:rStyle w:val="Lienhypertexte"/>
            <w:rFonts w:asciiTheme="majorBidi" w:hAnsiTheme="majorBidi" w:cstheme="majorBidi"/>
            <w:noProof/>
            <w:sz w:val="24"/>
            <w:szCs w:val="24"/>
          </w:rPr>
          <w:t xml:space="preserve">3.3.1.2- Contrôle de la </w:t>
        </w:r>
        <w:r w:rsidR="004F69A7" w:rsidRPr="00103C6F">
          <w:rPr>
            <w:rStyle w:val="Lienhypertexte"/>
            <w:rFonts w:asciiTheme="majorBidi" w:hAnsiTheme="majorBidi" w:cstheme="majorBidi"/>
            <w:noProof/>
            <w:spacing w:val="4"/>
            <w:sz w:val="24"/>
            <w:szCs w:val="24"/>
          </w:rPr>
          <w:t>Shariah</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_Toc182298815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133</w:t>
        </w:r>
        <w:r w:rsidR="004F69A7" w:rsidRPr="00103C6F">
          <w:rPr>
            <w:rFonts w:asciiTheme="majorBidi" w:hAnsiTheme="majorBidi" w:cstheme="majorBidi"/>
            <w:noProof/>
            <w:webHidden/>
            <w:sz w:val="24"/>
            <w:szCs w:val="24"/>
          </w:rPr>
          <w:fldChar w:fldCharType="end"/>
        </w:r>
      </w:hyperlink>
    </w:p>
    <w:p w14:paraId="1D590CE9" w14:textId="2A4E2425"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16" w:history="1">
        <w:r w:rsidR="004F69A7" w:rsidRPr="00103C6F">
          <w:rPr>
            <w:rStyle w:val="Lienhypertexte"/>
            <w:rFonts w:asciiTheme="majorBidi" w:hAnsiTheme="majorBidi" w:cstheme="majorBidi"/>
            <w:noProof/>
            <w:sz w:val="24"/>
            <w:szCs w:val="24"/>
          </w:rPr>
          <w:t>3.3.1.3- Conformité avec les normes internationales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_Toc182298816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134</w:t>
        </w:r>
        <w:r w:rsidR="004F69A7" w:rsidRPr="00103C6F">
          <w:rPr>
            <w:rFonts w:asciiTheme="majorBidi" w:hAnsiTheme="majorBidi" w:cstheme="majorBidi"/>
            <w:noProof/>
            <w:webHidden/>
            <w:sz w:val="24"/>
            <w:szCs w:val="24"/>
          </w:rPr>
          <w:fldChar w:fldCharType="end"/>
        </w:r>
      </w:hyperlink>
    </w:p>
    <w:p w14:paraId="7C51050E" w14:textId="6D42CCE4"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17" w:history="1">
        <w:r w:rsidR="004F69A7" w:rsidRPr="00103C6F">
          <w:rPr>
            <w:rStyle w:val="Lienhypertexte"/>
            <w:rFonts w:asciiTheme="majorBidi" w:hAnsiTheme="majorBidi" w:cstheme="majorBidi"/>
            <w:noProof/>
            <w:sz w:val="24"/>
            <w:szCs w:val="24"/>
          </w:rPr>
          <w:t>3.3.2- Alternatives réglementaires disponibles aux banques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_Toc182298817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134</w:t>
        </w:r>
        <w:r w:rsidR="004F69A7" w:rsidRPr="00103C6F">
          <w:rPr>
            <w:rFonts w:asciiTheme="majorBidi" w:hAnsiTheme="majorBidi" w:cstheme="majorBidi"/>
            <w:noProof/>
            <w:webHidden/>
            <w:sz w:val="24"/>
            <w:szCs w:val="24"/>
          </w:rPr>
          <w:fldChar w:fldCharType="end"/>
        </w:r>
      </w:hyperlink>
    </w:p>
    <w:p w14:paraId="4B3BF60D" w14:textId="4598DE02"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18" w:history="1">
        <w:r w:rsidR="004F69A7" w:rsidRPr="00103C6F">
          <w:rPr>
            <w:rStyle w:val="Lienhypertexte"/>
            <w:rFonts w:asciiTheme="majorBidi" w:hAnsiTheme="majorBidi" w:cstheme="majorBidi"/>
            <w:noProof/>
            <w:sz w:val="24"/>
            <w:szCs w:val="24"/>
          </w:rPr>
          <w:t>3.3.2.1- Alternatives de suffisance de capital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_Toc182298818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134</w:t>
        </w:r>
        <w:r w:rsidR="004F69A7" w:rsidRPr="00103C6F">
          <w:rPr>
            <w:rFonts w:asciiTheme="majorBidi" w:hAnsiTheme="majorBidi" w:cstheme="majorBidi"/>
            <w:noProof/>
            <w:webHidden/>
            <w:sz w:val="24"/>
            <w:szCs w:val="24"/>
          </w:rPr>
          <w:fldChar w:fldCharType="end"/>
        </w:r>
      </w:hyperlink>
    </w:p>
    <w:p w14:paraId="565B3640" w14:textId="02E765F8"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19" w:history="1">
        <w:r w:rsidR="004F69A7" w:rsidRPr="00103C6F">
          <w:rPr>
            <w:rStyle w:val="Lienhypertexte"/>
            <w:rFonts w:asciiTheme="majorBidi" w:hAnsiTheme="majorBidi" w:cstheme="majorBidi"/>
            <w:noProof/>
            <w:sz w:val="24"/>
            <w:szCs w:val="24"/>
          </w:rPr>
          <w:t>3.3.2.2- Alternatives de pondération du risque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_Toc182298819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136</w:t>
        </w:r>
        <w:r w:rsidR="004F69A7" w:rsidRPr="00103C6F">
          <w:rPr>
            <w:rFonts w:asciiTheme="majorBidi" w:hAnsiTheme="majorBidi" w:cstheme="majorBidi"/>
            <w:noProof/>
            <w:webHidden/>
            <w:sz w:val="24"/>
            <w:szCs w:val="24"/>
          </w:rPr>
          <w:fldChar w:fldCharType="end"/>
        </w:r>
      </w:hyperlink>
    </w:p>
    <w:p w14:paraId="043D13D0" w14:textId="58EEC400"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20" w:history="1">
        <w:r w:rsidR="004F69A7" w:rsidRPr="00103C6F">
          <w:rPr>
            <w:rStyle w:val="Lienhypertexte"/>
            <w:rFonts w:asciiTheme="majorBidi" w:hAnsiTheme="majorBidi" w:cstheme="majorBidi"/>
            <w:noProof/>
            <w:sz w:val="24"/>
            <w:szCs w:val="24"/>
          </w:rPr>
          <w:t>3.3.3- Implications de l’accord Bâle III sur les banques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_Toc182298820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137</w:t>
        </w:r>
        <w:r w:rsidR="004F69A7" w:rsidRPr="00103C6F">
          <w:rPr>
            <w:rFonts w:asciiTheme="majorBidi" w:hAnsiTheme="majorBidi" w:cstheme="majorBidi"/>
            <w:noProof/>
            <w:webHidden/>
            <w:sz w:val="24"/>
            <w:szCs w:val="24"/>
          </w:rPr>
          <w:fldChar w:fldCharType="end"/>
        </w:r>
      </w:hyperlink>
    </w:p>
    <w:p w14:paraId="362DCEE1" w14:textId="2EAF43F6"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21" w:history="1">
        <w:r w:rsidR="004F69A7" w:rsidRPr="00103C6F">
          <w:rPr>
            <w:rStyle w:val="Lienhypertexte"/>
            <w:rFonts w:asciiTheme="majorBidi" w:hAnsiTheme="majorBidi" w:cstheme="majorBidi"/>
            <w:noProof/>
            <w:sz w:val="24"/>
            <w:szCs w:val="24"/>
          </w:rPr>
          <w:t>3.3.3.1- Exigence en fonds propres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_Toc182298821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137</w:t>
        </w:r>
        <w:r w:rsidR="004F69A7" w:rsidRPr="00103C6F">
          <w:rPr>
            <w:rFonts w:asciiTheme="majorBidi" w:hAnsiTheme="majorBidi" w:cstheme="majorBidi"/>
            <w:noProof/>
            <w:webHidden/>
            <w:sz w:val="24"/>
            <w:szCs w:val="24"/>
          </w:rPr>
          <w:fldChar w:fldCharType="end"/>
        </w:r>
      </w:hyperlink>
    </w:p>
    <w:p w14:paraId="1666700C" w14:textId="637B3A4A"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22" w:history="1">
        <w:r w:rsidR="004F69A7" w:rsidRPr="00103C6F">
          <w:rPr>
            <w:rStyle w:val="Lienhypertexte"/>
            <w:rFonts w:asciiTheme="majorBidi" w:hAnsiTheme="majorBidi" w:cstheme="majorBidi"/>
            <w:noProof/>
            <w:sz w:val="24"/>
            <w:szCs w:val="24"/>
          </w:rPr>
          <w:t>3.3.3.2- Ratio de levier</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_Toc182298822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137</w:t>
        </w:r>
        <w:r w:rsidR="004F69A7" w:rsidRPr="00103C6F">
          <w:rPr>
            <w:rFonts w:asciiTheme="majorBidi" w:hAnsiTheme="majorBidi" w:cstheme="majorBidi"/>
            <w:noProof/>
            <w:webHidden/>
            <w:sz w:val="24"/>
            <w:szCs w:val="24"/>
          </w:rPr>
          <w:fldChar w:fldCharType="end"/>
        </w:r>
      </w:hyperlink>
    </w:p>
    <w:p w14:paraId="72E53BD2" w14:textId="60181652"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23" w:history="1">
        <w:r w:rsidR="004F69A7" w:rsidRPr="00103C6F">
          <w:rPr>
            <w:rStyle w:val="Lienhypertexte"/>
            <w:rFonts w:asciiTheme="majorBidi" w:hAnsiTheme="majorBidi" w:cstheme="majorBidi"/>
            <w:noProof/>
            <w:sz w:val="24"/>
            <w:szCs w:val="24"/>
          </w:rPr>
          <w:t>3.3.3.3- Ratio de liquidité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_Toc182298823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138</w:t>
        </w:r>
        <w:r w:rsidR="004F69A7" w:rsidRPr="00103C6F">
          <w:rPr>
            <w:rFonts w:asciiTheme="majorBidi" w:hAnsiTheme="majorBidi" w:cstheme="majorBidi"/>
            <w:noProof/>
            <w:webHidden/>
            <w:sz w:val="24"/>
            <w:szCs w:val="24"/>
          </w:rPr>
          <w:fldChar w:fldCharType="end"/>
        </w:r>
      </w:hyperlink>
    </w:p>
    <w:p w14:paraId="5F34E1B8" w14:textId="55719A35"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24" w:history="1">
        <w:r w:rsidR="004F69A7" w:rsidRPr="00103C6F">
          <w:rPr>
            <w:rStyle w:val="Lienhypertexte"/>
            <w:rFonts w:asciiTheme="majorBidi" w:hAnsiTheme="majorBidi" w:cstheme="majorBidi"/>
            <w:noProof/>
            <w:sz w:val="24"/>
            <w:szCs w:val="24"/>
          </w:rPr>
          <w:t>3.3.3.4- Ratio de solvabilité bancaire proposé par l’IFSB</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_Toc182298824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138</w:t>
        </w:r>
        <w:r w:rsidR="004F69A7" w:rsidRPr="00103C6F">
          <w:rPr>
            <w:rFonts w:asciiTheme="majorBidi" w:hAnsiTheme="majorBidi" w:cstheme="majorBidi"/>
            <w:noProof/>
            <w:webHidden/>
            <w:sz w:val="24"/>
            <w:szCs w:val="24"/>
          </w:rPr>
          <w:fldChar w:fldCharType="end"/>
        </w:r>
      </w:hyperlink>
    </w:p>
    <w:p w14:paraId="0AC4488F" w14:textId="66026C9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25" w:history="1">
        <w:r w:rsidR="004F69A7" w:rsidRPr="00103C6F">
          <w:rPr>
            <w:rStyle w:val="Lienhypertexte"/>
            <w:rFonts w:asciiTheme="majorBidi" w:hAnsiTheme="majorBidi" w:cstheme="majorBidi"/>
            <w:noProof/>
            <w:sz w:val="24"/>
            <w:szCs w:val="24"/>
          </w:rPr>
          <w:t>3.3.3.5- Profit Equalisation Reserve (PER) et Investment Risk Reserve (IRR)</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_Toc182298825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138</w:t>
        </w:r>
        <w:r w:rsidR="004F69A7" w:rsidRPr="00103C6F">
          <w:rPr>
            <w:rFonts w:asciiTheme="majorBidi" w:hAnsiTheme="majorBidi" w:cstheme="majorBidi"/>
            <w:noProof/>
            <w:webHidden/>
            <w:sz w:val="24"/>
            <w:szCs w:val="24"/>
          </w:rPr>
          <w:fldChar w:fldCharType="end"/>
        </w:r>
      </w:hyperlink>
    </w:p>
    <w:p w14:paraId="27203AF7" w14:textId="352AC0E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26" w:history="1">
        <w:r w:rsidR="004F69A7" w:rsidRPr="00103C6F">
          <w:rPr>
            <w:rStyle w:val="Lienhypertexte"/>
            <w:rFonts w:asciiTheme="majorBidi" w:hAnsiTheme="majorBidi" w:cstheme="majorBidi"/>
            <w:noProof/>
            <w:sz w:val="24"/>
            <w:szCs w:val="24"/>
          </w:rPr>
          <w:t>3.3.4- Normalisation du système comptable islamique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_Toc182298826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139</w:t>
        </w:r>
        <w:r w:rsidR="004F69A7" w:rsidRPr="00103C6F">
          <w:rPr>
            <w:rFonts w:asciiTheme="majorBidi" w:hAnsiTheme="majorBidi" w:cstheme="majorBidi"/>
            <w:noProof/>
            <w:webHidden/>
            <w:sz w:val="24"/>
            <w:szCs w:val="24"/>
          </w:rPr>
          <w:fldChar w:fldCharType="end"/>
        </w:r>
      </w:hyperlink>
    </w:p>
    <w:p w14:paraId="1DD3FAB2" w14:textId="14910898" w:rsidR="00791F9C" w:rsidRPr="00103C6F" w:rsidRDefault="00C40DAA" w:rsidP="009C2D83">
      <w:pPr>
        <w:pStyle w:val="TM2"/>
        <w:keepNext w:val="0"/>
        <w:keepLines w:val="0"/>
        <w:widowControl w:val="0"/>
        <w:rPr>
          <w:color w:val="0000FF"/>
          <w:u w:val="single"/>
        </w:rPr>
      </w:pPr>
      <w:hyperlink w:anchor="_Toc182298827" w:history="1">
        <w:r w:rsidR="004F69A7" w:rsidRPr="00103C6F">
          <w:rPr>
            <w:rStyle w:val="Lienhypertexte"/>
            <w:b w:val="0"/>
            <w:bCs w:val="0"/>
          </w:rPr>
          <w:t>Conclusion</w:t>
        </w:r>
        <w:r w:rsidR="004F69A7" w:rsidRPr="00103C6F">
          <w:rPr>
            <w:webHidden/>
          </w:rPr>
          <w:tab/>
        </w:r>
        <w:r w:rsidR="004F69A7" w:rsidRPr="00103C6F">
          <w:rPr>
            <w:webHidden/>
          </w:rPr>
          <w:fldChar w:fldCharType="begin"/>
        </w:r>
        <w:r w:rsidR="004F69A7" w:rsidRPr="00103C6F">
          <w:rPr>
            <w:webHidden/>
          </w:rPr>
          <w:instrText xml:space="preserve"> PAGEREF _Toc182298827 \h </w:instrText>
        </w:r>
        <w:r w:rsidR="004F69A7" w:rsidRPr="00103C6F">
          <w:rPr>
            <w:webHidden/>
          </w:rPr>
        </w:r>
        <w:r w:rsidR="004F69A7" w:rsidRPr="00103C6F">
          <w:rPr>
            <w:webHidden/>
          </w:rPr>
          <w:fldChar w:fldCharType="separate"/>
        </w:r>
        <w:r w:rsidR="00666FC7">
          <w:rPr>
            <w:webHidden/>
          </w:rPr>
          <w:t>139</w:t>
        </w:r>
        <w:r w:rsidR="004F69A7" w:rsidRPr="00103C6F">
          <w:rPr>
            <w:webHidden/>
          </w:rPr>
          <w:fldChar w:fldCharType="end"/>
        </w:r>
      </w:hyperlink>
    </w:p>
    <w:p w14:paraId="2AA0D78F" w14:textId="6AF40396" w:rsidR="004F69A7" w:rsidRPr="00103C6F" w:rsidRDefault="00C40DAA" w:rsidP="006B69C7">
      <w:pPr>
        <w:pStyle w:val="TM1"/>
        <w:rPr>
          <w:rStyle w:val="Lienhypertexte"/>
          <w:b w:val="0"/>
          <w:bCs w:val="0"/>
        </w:rPr>
      </w:pPr>
      <w:hyperlink w:anchor="_Toc182298828" w:history="1">
        <w:r w:rsidR="004F69A7" w:rsidRPr="00103C6F">
          <w:rPr>
            <w:rStyle w:val="Lienhypertexte"/>
          </w:rPr>
          <w:t>Chapitre III- Risques des modes de financement participatif</w:t>
        </w:r>
        <w:r w:rsidR="004F69A7" w:rsidRPr="00103C6F">
          <w:rPr>
            <w:webHidden/>
          </w:rPr>
          <w:tab/>
        </w:r>
        <w:r w:rsidR="004F69A7" w:rsidRPr="00103C6F">
          <w:rPr>
            <w:webHidden/>
          </w:rPr>
          <w:fldChar w:fldCharType="begin"/>
        </w:r>
        <w:r w:rsidR="004F69A7" w:rsidRPr="00103C6F">
          <w:rPr>
            <w:webHidden/>
          </w:rPr>
          <w:instrText xml:space="preserve"> PAGEREF _Toc182298828 \h </w:instrText>
        </w:r>
        <w:r w:rsidR="004F69A7" w:rsidRPr="00103C6F">
          <w:rPr>
            <w:webHidden/>
          </w:rPr>
        </w:r>
        <w:r w:rsidR="004F69A7" w:rsidRPr="00103C6F">
          <w:rPr>
            <w:webHidden/>
          </w:rPr>
          <w:fldChar w:fldCharType="separate"/>
        </w:r>
        <w:r w:rsidR="00666FC7">
          <w:rPr>
            <w:webHidden/>
          </w:rPr>
          <w:t>141</w:t>
        </w:r>
        <w:r w:rsidR="004F69A7" w:rsidRPr="00103C6F">
          <w:rPr>
            <w:webHidden/>
          </w:rPr>
          <w:fldChar w:fldCharType="end"/>
        </w:r>
      </w:hyperlink>
    </w:p>
    <w:p w14:paraId="6DC1E009" w14:textId="0BD4D056" w:rsidR="00AB590E" w:rsidRPr="00103C6F" w:rsidRDefault="00C40DAA" w:rsidP="00EC0A8E">
      <w:pPr>
        <w:pStyle w:val="TM2"/>
        <w:keepNext w:val="0"/>
        <w:keepLines w:val="0"/>
        <w:widowControl w:val="0"/>
        <w:rPr>
          <w:rFonts w:eastAsiaTheme="minorEastAsia"/>
          <w:lang w:eastAsia="fr-FR"/>
          <w14:ligatures w14:val="standardContextual"/>
        </w:rPr>
      </w:pPr>
      <w:hyperlink w:anchor="_Toc169222319" w:history="1">
        <w:r w:rsidR="00AB590E" w:rsidRPr="00103C6F">
          <w:rPr>
            <w:rStyle w:val="Lienhypertexte"/>
          </w:rPr>
          <w:t>Section I- Contexte chariatique des modes de financement participatif</w:t>
        </w:r>
        <w:r w:rsidR="00EC0A8E">
          <w:rPr>
            <w:webHidden/>
          </w:rPr>
          <w:t>………141</w:t>
        </w:r>
      </w:hyperlink>
    </w:p>
    <w:p w14:paraId="777A5B98" w14:textId="141FF797" w:rsidR="004F69A7" w:rsidRPr="00103C6F" w:rsidRDefault="00C40DAA" w:rsidP="009C2D83">
      <w:pPr>
        <w:pStyle w:val="TM3"/>
        <w:keepNext w:val="0"/>
        <w:keepLines w:val="0"/>
        <w:widowControl w:val="0"/>
        <w:rPr>
          <w:rFonts w:eastAsiaTheme="minorEastAsia"/>
          <w:lang w:eastAsia="fr-FR"/>
        </w:rPr>
      </w:pPr>
      <w:hyperlink w:anchor="_Toc182298829" w:history="1">
        <w:r w:rsidR="004F69A7" w:rsidRPr="00103C6F">
          <w:rPr>
            <w:rStyle w:val="Lienhypertexte"/>
          </w:rPr>
          <w:t>1.1- Formes de shirkah</w:t>
        </w:r>
        <w:r w:rsidR="004F69A7" w:rsidRPr="00103C6F">
          <w:rPr>
            <w:webHidden/>
          </w:rPr>
          <w:tab/>
        </w:r>
        <w:r w:rsidR="004F69A7" w:rsidRPr="00103C6F">
          <w:rPr>
            <w:webHidden/>
          </w:rPr>
          <w:fldChar w:fldCharType="begin"/>
        </w:r>
        <w:r w:rsidR="004F69A7" w:rsidRPr="00103C6F">
          <w:rPr>
            <w:webHidden/>
          </w:rPr>
          <w:instrText xml:space="preserve"> PAGEREF _Toc182298829 \h </w:instrText>
        </w:r>
        <w:r w:rsidR="004F69A7" w:rsidRPr="00103C6F">
          <w:rPr>
            <w:webHidden/>
          </w:rPr>
        </w:r>
        <w:r w:rsidR="004F69A7" w:rsidRPr="00103C6F">
          <w:rPr>
            <w:webHidden/>
          </w:rPr>
          <w:fldChar w:fldCharType="separate"/>
        </w:r>
        <w:r w:rsidR="00666FC7">
          <w:rPr>
            <w:webHidden/>
          </w:rPr>
          <w:t>141</w:t>
        </w:r>
        <w:r w:rsidR="004F69A7" w:rsidRPr="00103C6F">
          <w:rPr>
            <w:webHidden/>
          </w:rPr>
          <w:fldChar w:fldCharType="end"/>
        </w:r>
      </w:hyperlink>
    </w:p>
    <w:p w14:paraId="2C18BD79" w14:textId="64C122B6"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30" w:history="1">
        <w:r w:rsidR="004F69A7" w:rsidRPr="00103C6F">
          <w:rPr>
            <w:rStyle w:val="Lienhypertexte"/>
            <w:rFonts w:asciiTheme="majorBidi" w:hAnsiTheme="majorBidi" w:cstheme="majorBidi"/>
            <w:noProof/>
            <w:sz w:val="24"/>
            <w:szCs w:val="24"/>
          </w:rPr>
          <w:t>1.1.1- Shirkah al-milk (association copropriétéaire)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_Toc182298830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142</w:t>
        </w:r>
        <w:r w:rsidR="004F69A7" w:rsidRPr="00103C6F">
          <w:rPr>
            <w:rFonts w:asciiTheme="majorBidi" w:hAnsiTheme="majorBidi" w:cstheme="majorBidi"/>
            <w:noProof/>
            <w:webHidden/>
            <w:sz w:val="24"/>
            <w:szCs w:val="24"/>
          </w:rPr>
          <w:fldChar w:fldCharType="end"/>
        </w:r>
      </w:hyperlink>
    </w:p>
    <w:p w14:paraId="4C298A1F" w14:textId="029A1E71"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31" w:history="1">
        <w:r w:rsidR="004F69A7" w:rsidRPr="00103C6F">
          <w:rPr>
            <w:rStyle w:val="Lienhypertexte"/>
            <w:rFonts w:asciiTheme="majorBidi" w:hAnsiTheme="majorBidi" w:cstheme="majorBidi"/>
            <w:noProof/>
            <w:sz w:val="24"/>
            <w:szCs w:val="24"/>
          </w:rPr>
          <w:t>1.1.2- Shirkah al-a’kd (association contractuelle)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_Toc182298831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143</w:t>
        </w:r>
        <w:r w:rsidR="004F69A7" w:rsidRPr="00103C6F">
          <w:rPr>
            <w:rFonts w:asciiTheme="majorBidi" w:hAnsiTheme="majorBidi" w:cstheme="majorBidi"/>
            <w:noProof/>
            <w:webHidden/>
            <w:sz w:val="24"/>
            <w:szCs w:val="24"/>
          </w:rPr>
          <w:fldChar w:fldCharType="end"/>
        </w:r>
      </w:hyperlink>
    </w:p>
    <w:p w14:paraId="70A4A5D2" w14:textId="0CFC388B"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32" w:history="1">
        <w:r w:rsidR="004F69A7" w:rsidRPr="00103C6F">
          <w:rPr>
            <w:rStyle w:val="Lienhypertexte"/>
            <w:rFonts w:asciiTheme="majorBidi" w:hAnsiTheme="majorBidi" w:cstheme="majorBidi"/>
            <w:noProof/>
            <w:sz w:val="24"/>
            <w:szCs w:val="24"/>
          </w:rPr>
          <w:t>1.1.2.1- Shirkah al-wojooh (association par réputation des associés)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_Toc182298832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144</w:t>
        </w:r>
        <w:r w:rsidR="004F69A7" w:rsidRPr="00103C6F">
          <w:rPr>
            <w:rFonts w:asciiTheme="majorBidi" w:hAnsiTheme="majorBidi" w:cstheme="majorBidi"/>
            <w:noProof/>
            <w:webHidden/>
            <w:sz w:val="24"/>
            <w:szCs w:val="24"/>
          </w:rPr>
          <w:fldChar w:fldCharType="end"/>
        </w:r>
      </w:hyperlink>
    </w:p>
    <w:p w14:paraId="777A4BF7" w14:textId="21C40E5F"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33" w:history="1">
        <w:r w:rsidR="004F69A7" w:rsidRPr="00103C6F">
          <w:rPr>
            <w:rStyle w:val="Lienhypertexte"/>
            <w:rFonts w:asciiTheme="majorBidi" w:hAnsiTheme="majorBidi" w:cstheme="majorBidi"/>
            <w:noProof/>
            <w:sz w:val="24"/>
            <w:szCs w:val="24"/>
          </w:rPr>
          <w:t>1.1.2.2- Shirkah al-abdan (association par travail)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_Toc182298833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144</w:t>
        </w:r>
        <w:r w:rsidR="004F69A7" w:rsidRPr="00103C6F">
          <w:rPr>
            <w:rFonts w:asciiTheme="majorBidi" w:hAnsiTheme="majorBidi" w:cstheme="majorBidi"/>
            <w:noProof/>
            <w:webHidden/>
            <w:sz w:val="24"/>
            <w:szCs w:val="24"/>
          </w:rPr>
          <w:fldChar w:fldCharType="end"/>
        </w:r>
      </w:hyperlink>
    </w:p>
    <w:p w14:paraId="29C14B7A" w14:textId="2733472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34" w:history="1">
        <w:r w:rsidR="004F69A7" w:rsidRPr="00103C6F">
          <w:rPr>
            <w:rStyle w:val="Lienhypertexte"/>
            <w:rFonts w:asciiTheme="majorBidi" w:hAnsiTheme="majorBidi" w:cstheme="majorBidi"/>
            <w:noProof/>
            <w:sz w:val="24"/>
            <w:szCs w:val="24"/>
          </w:rPr>
          <w:t>1.1.2.3- Shirkah al-amwal (association par capital)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_Toc182298834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145</w:t>
        </w:r>
        <w:r w:rsidR="004F69A7" w:rsidRPr="00103C6F">
          <w:rPr>
            <w:rFonts w:asciiTheme="majorBidi" w:hAnsiTheme="majorBidi" w:cstheme="majorBidi"/>
            <w:noProof/>
            <w:webHidden/>
            <w:sz w:val="24"/>
            <w:szCs w:val="24"/>
          </w:rPr>
          <w:fldChar w:fldCharType="end"/>
        </w:r>
      </w:hyperlink>
    </w:p>
    <w:p w14:paraId="77794DD3" w14:textId="4FEF2A0F"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35" w:history="1">
        <w:r w:rsidR="004F69A7" w:rsidRPr="00103C6F">
          <w:rPr>
            <w:rStyle w:val="Lienhypertexte"/>
            <w:rFonts w:asciiTheme="majorBidi" w:hAnsiTheme="majorBidi" w:cstheme="majorBidi"/>
            <w:noProof/>
            <w:sz w:val="24"/>
            <w:szCs w:val="24"/>
          </w:rPr>
          <w:t>1.1.2.4- Sharikat al-mufawadah (association commerciale illimitée)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_Toc182298835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145</w:t>
        </w:r>
        <w:r w:rsidR="004F69A7" w:rsidRPr="00103C6F">
          <w:rPr>
            <w:rFonts w:asciiTheme="majorBidi" w:hAnsiTheme="majorBidi" w:cstheme="majorBidi"/>
            <w:noProof/>
            <w:webHidden/>
            <w:sz w:val="24"/>
            <w:szCs w:val="24"/>
          </w:rPr>
          <w:fldChar w:fldCharType="end"/>
        </w:r>
      </w:hyperlink>
    </w:p>
    <w:p w14:paraId="03AB94F0" w14:textId="56D2060A"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36" w:history="1">
        <w:r w:rsidR="004F69A7" w:rsidRPr="00103C6F">
          <w:rPr>
            <w:rStyle w:val="Lienhypertexte"/>
            <w:rFonts w:asciiTheme="majorBidi" w:hAnsiTheme="majorBidi" w:cstheme="majorBidi"/>
            <w:noProof/>
            <w:sz w:val="24"/>
            <w:szCs w:val="24"/>
          </w:rPr>
          <w:t>1.1.2.5- Sharikat al-i’nân (Société à mandat limité)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_Toc182298836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145</w:t>
        </w:r>
        <w:r w:rsidR="004F69A7" w:rsidRPr="00103C6F">
          <w:rPr>
            <w:rFonts w:asciiTheme="majorBidi" w:hAnsiTheme="majorBidi" w:cstheme="majorBidi"/>
            <w:noProof/>
            <w:webHidden/>
            <w:sz w:val="24"/>
            <w:szCs w:val="24"/>
          </w:rPr>
          <w:fldChar w:fldCharType="end"/>
        </w:r>
      </w:hyperlink>
    </w:p>
    <w:p w14:paraId="687D6346" w14:textId="43FCBD56" w:rsidR="004F69A7" w:rsidRPr="00103C6F" w:rsidRDefault="00C40DAA" w:rsidP="009C2D83">
      <w:pPr>
        <w:pStyle w:val="TM3"/>
        <w:keepNext w:val="0"/>
        <w:keepLines w:val="0"/>
        <w:widowControl w:val="0"/>
        <w:rPr>
          <w:rFonts w:eastAsiaTheme="minorEastAsia"/>
          <w:lang w:eastAsia="fr-FR"/>
        </w:rPr>
      </w:pPr>
      <w:hyperlink w:anchor="_Toc182298837" w:history="1">
        <w:r w:rsidR="004F69A7" w:rsidRPr="00103C6F">
          <w:rPr>
            <w:rStyle w:val="Lienhypertexte"/>
          </w:rPr>
          <w:t>1.2- Moucharaka /Amwal-I’nân</w:t>
        </w:r>
        <w:r w:rsidR="004F69A7" w:rsidRPr="00103C6F">
          <w:rPr>
            <w:webHidden/>
          </w:rPr>
          <w:tab/>
        </w:r>
        <w:r w:rsidR="004F69A7" w:rsidRPr="00103C6F">
          <w:rPr>
            <w:webHidden/>
          </w:rPr>
          <w:fldChar w:fldCharType="begin"/>
        </w:r>
        <w:r w:rsidR="004F69A7" w:rsidRPr="00103C6F">
          <w:rPr>
            <w:webHidden/>
          </w:rPr>
          <w:instrText xml:space="preserve"> PAGEREF _Toc182298837 \h </w:instrText>
        </w:r>
        <w:r w:rsidR="004F69A7" w:rsidRPr="00103C6F">
          <w:rPr>
            <w:webHidden/>
          </w:rPr>
        </w:r>
        <w:r w:rsidR="004F69A7" w:rsidRPr="00103C6F">
          <w:rPr>
            <w:webHidden/>
          </w:rPr>
          <w:fldChar w:fldCharType="separate"/>
        </w:r>
        <w:r w:rsidR="00666FC7">
          <w:rPr>
            <w:webHidden/>
          </w:rPr>
          <w:t>146</w:t>
        </w:r>
        <w:r w:rsidR="004F69A7" w:rsidRPr="00103C6F">
          <w:rPr>
            <w:webHidden/>
          </w:rPr>
          <w:fldChar w:fldCharType="end"/>
        </w:r>
      </w:hyperlink>
    </w:p>
    <w:p w14:paraId="2D565517" w14:textId="40F28AF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38" w:history="1">
        <w:r w:rsidR="004F69A7" w:rsidRPr="00103C6F">
          <w:rPr>
            <w:rStyle w:val="Lienhypertexte"/>
            <w:rFonts w:asciiTheme="majorBidi" w:hAnsiTheme="majorBidi" w:cstheme="majorBidi"/>
            <w:noProof/>
            <w:sz w:val="24"/>
            <w:szCs w:val="24"/>
            <w:lang w:bidi="ar-DZ"/>
          </w:rPr>
          <w:t>1.2.1- Définition littéraire et technique de la moucharaka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_Toc182298838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146</w:t>
        </w:r>
        <w:r w:rsidR="004F69A7" w:rsidRPr="00103C6F">
          <w:rPr>
            <w:rFonts w:asciiTheme="majorBidi" w:hAnsiTheme="majorBidi" w:cstheme="majorBidi"/>
            <w:noProof/>
            <w:webHidden/>
            <w:sz w:val="24"/>
            <w:szCs w:val="24"/>
          </w:rPr>
          <w:fldChar w:fldCharType="end"/>
        </w:r>
      </w:hyperlink>
    </w:p>
    <w:p w14:paraId="640B12F8" w14:textId="0DF8D918"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39" w:history="1">
        <w:r w:rsidR="004F69A7" w:rsidRPr="00103C6F">
          <w:rPr>
            <w:rStyle w:val="Lienhypertexte"/>
            <w:rFonts w:asciiTheme="majorBidi" w:hAnsiTheme="majorBidi" w:cstheme="majorBidi"/>
            <w:noProof/>
            <w:spacing w:val="2"/>
            <w:sz w:val="24"/>
            <w:szCs w:val="24"/>
            <w:lang w:bidi="fr-FR"/>
          </w:rPr>
          <w:t xml:space="preserve">1.2.2- </w:t>
        </w:r>
        <w:r w:rsidR="004F69A7" w:rsidRPr="00103C6F">
          <w:rPr>
            <w:rStyle w:val="Lienhypertexte"/>
            <w:rFonts w:asciiTheme="majorBidi" w:hAnsiTheme="majorBidi" w:cstheme="majorBidi"/>
            <w:noProof/>
            <w:sz w:val="24"/>
            <w:szCs w:val="24"/>
            <w:lang w:bidi="fr-FR"/>
          </w:rPr>
          <w:t>Conditions de validité du contrat moucharaka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_Toc182298839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147</w:t>
        </w:r>
        <w:r w:rsidR="004F69A7" w:rsidRPr="00103C6F">
          <w:rPr>
            <w:rFonts w:asciiTheme="majorBidi" w:hAnsiTheme="majorBidi" w:cstheme="majorBidi"/>
            <w:noProof/>
            <w:webHidden/>
            <w:sz w:val="24"/>
            <w:szCs w:val="24"/>
          </w:rPr>
          <w:fldChar w:fldCharType="end"/>
        </w:r>
      </w:hyperlink>
    </w:p>
    <w:p w14:paraId="17E3961A" w14:textId="70FC628F"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40" w:history="1">
        <w:r w:rsidR="004F69A7" w:rsidRPr="00103C6F">
          <w:rPr>
            <w:rStyle w:val="Lienhypertexte"/>
            <w:rFonts w:asciiTheme="majorBidi" w:hAnsiTheme="majorBidi" w:cstheme="majorBidi"/>
            <w:noProof/>
            <w:sz w:val="24"/>
            <w:szCs w:val="24"/>
          </w:rPr>
          <w:t>1.2.2.1- Conditions relatives aux associés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_Toc182298840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147</w:t>
        </w:r>
        <w:r w:rsidR="004F69A7" w:rsidRPr="00103C6F">
          <w:rPr>
            <w:rFonts w:asciiTheme="majorBidi" w:hAnsiTheme="majorBidi" w:cstheme="majorBidi"/>
            <w:noProof/>
            <w:webHidden/>
            <w:sz w:val="24"/>
            <w:szCs w:val="24"/>
          </w:rPr>
          <w:fldChar w:fldCharType="end"/>
        </w:r>
      </w:hyperlink>
    </w:p>
    <w:p w14:paraId="11022D67" w14:textId="3B9F4F96"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41" w:history="1">
        <w:r w:rsidR="004F69A7" w:rsidRPr="00103C6F">
          <w:rPr>
            <w:rStyle w:val="Lienhypertexte"/>
            <w:rFonts w:asciiTheme="majorBidi" w:hAnsiTheme="majorBidi" w:cstheme="majorBidi"/>
            <w:noProof/>
            <w:sz w:val="24"/>
            <w:szCs w:val="24"/>
          </w:rPr>
          <w:t>1.2.2.2- Conditions relatives au capital</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_Toc182298841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147</w:t>
        </w:r>
        <w:r w:rsidR="004F69A7" w:rsidRPr="00103C6F">
          <w:rPr>
            <w:rFonts w:asciiTheme="majorBidi" w:hAnsiTheme="majorBidi" w:cstheme="majorBidi"/>
            <w:noProof/>
            <w:webHidden/>
            <w:sz w:val="24"/>
            <w:szCs w:val="24"/>
          </w:rPr>
          <w:fldChar w:fldCharType="end"/>
        </w:r>
      </w:hyperlink>
    </w:p>
    <w:p w14:paraId="1B94869C" w14:textId="152AE9E8"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42" w:history="1">
        <w:r w:rsidR="004F69A7" w:rsidRPr="00103C6F">
          <w:rPr>
            <w:rStyle w:val="Lienhypertexte"/>
            <w:rFonts w:asciiTheme="majorBidi" w:hAnsiTheme="majorBidi" w:cstheme="majorBidi"/>
            <w:noProof/>
            <w:sz w:val="24"/>
            <w:szCs w:val="24"/>
          </w:rPr>
          <w:t>1.2.2.3- Conditions relatives à la répartition des pertes et profits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_Toc182298842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148</w:t>
        </w:r>
        <w:r w:rsidR="004F69A7" w:rsidRPr="00103C6F">
          <w:rPr>
            <w:rFonts w:asciiTheme="majorBidi" w:hAnsiTheme="majorBidi" w:cstheme="majorBidi"/>
            <w:noProof/>
            <w:webHidden/>
            <w:sz w:val="24"/>
            <w:szCs w:val="24"/>
          </w:rPr>
          <w:fldChar w:fldCharType="end"/>
        </w:r>
      </w:hyperlink>
    </w:p>
    <w:p w14:paraId="2BFCDF5F" w14:textId="2AB9B0CC"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43" w:history="1">
        <w:r w:rsidR="004F69A7" w:rsidRPr="00103C6F">
          <w:rPr>
            <w:rStyle w:val="Lienhypertexte"/>
            <w:rFonts w:asciiTheme="majorBidi" w:hAnsiTheme="majorBidi" w:cstheme="majorBidi"/>
            <w:noProof/>
            <w:sz w:val="24"/>
            <w:szCs w:val="24"/>
          </w:rPr>
          <w:t>1.2.3- Licéité du contrat moucharaka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_Toc182298843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148</w:t>
        </w:r>
        <w:r w:rsidR="004F69A7" w:rsidRPr="00103C6F">
          <w:rPr>
            <w:rFonts w:asciiTheme="majorBidi" w:hAnsiTheme="majorBidi" w:cstheme="majorBidi"/>
            <w:noProof/>
            <w:webHidden/>
            <w:sz w:val="24"/>
            <w:szCs w:val="24"/>
          </w:rPr>
          <w:fldChar w:fldCharType="end"/>
        </w:r>
      </w:hyperlink>
    </w:p>
    <w:p w14:paraId="1F120B0B" w14:textId="5BD9CA60" w:rsidR="004F69A7" w:rsidRPr="00103C6F" w:rsidRDefault="00C40DAA" w:rsidP="009C2D83">
      <w:pPr>
        <w:pStyle w:val="TM3"/>
        <w:keepNext w:val="0"/>
        <w:keepLines w:val="0"/>
        <w:widowControl w:val="0"/>
        <w:rPr>
          <w:rFonts w:eastAsiaTheme="minorEastAsia"/>
          <w:lang w:eastAsia="fr-FR"/>
        </w:rPr>
      </w:pPr>
      <w:hyperlink w:anchor="_Toc182298844" w:history="1">
        <w:r w:rsidR="004F69A7" w:rsidRPr="00103C6F">
          <w:rPr>
            <w:rStyle w:val="Lienhypertexte"/>
          </w:rPr>
          <w:t>1.3- Moudaraba</w:t>
        </w:r>
        <w:r w:rsidR="004F69A7" w:rsidRPr="00103C6F">
          <w:rPr>
            <w:webHidden/>
          </w:rPr>
          <w:tab/>
        </w:r>
        <w:r w:rsidR="004F69A7" w:rsidRPr="00103C6F">
          <w:rPr>
            <w:webHidden/>
          </w:rPr>
          <w:fldChar w:fldCharType="begin"/>
        </w:r>
        <w:r w:rsidR="004F69A7" w:rsidRPr="00103C6F">
          <w:rPr>
            <w:webHidden/>
          </w:rPr>
          <w:instrText xml:space="preserve"> PAGEREF _Toc182298844 \h </w:instrText>
        </w:r>
        <w:r w:rsidR="004F69A7" w:rsidRPr="00103C6F">
          <w:rPr>
            <w:webHidden/>
          </w:rPr>
        </w:r>
        <w:r w:rsidR="004F69A7" w:rsidRPr="00103C6F">
          <w:rPr>
            <w:webHidden/>
          </w:rPr>
          <w:fldChar w:fldCharType="separate"/>
        </w:r>
        <w:r w:rsidR="00666FC7">
          <w:rPr>
            <w:webHidden/>
          </w:rPr>
          <w:t>149</w:t>
        </w:r>
        <w:r w:rsidR="004F69A7" w:rsidRPr="00103C6F">
          <w:rPr>
            <w:webHidden/>
          </w:rPr>
          <w:fldChar w:fldCharType="end"/>
        </w:r>
      </w:hyperlink>
    </w:p>
    <w:p w14:paraId="123E5C12" w14:textId="1D9DBE14"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45" w:history="1">
        <w:r w:rsidR="004F69A7" w:rsidRPr="00103C6F">
          <w:rPr>
            <w:rStyle w:val="Lienhypertexte"/>
            <w:rFonts w:asciiTheme="majorBidi" w:hAnsiTheme="majorBidi" w:cstheme="majorBidi"/>
            <w:noProof/>
            <w:sz w:val="24"/>
            <w:szCs w:val="24"/>
          </w:rPr>
          <w:t>1.3.1- Définition littéraire et technique de la moudaraba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_Toc182298845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149</w:t>
        </w:r>
        <w:r w:rsidR="004F69A7" w:rsidRPr="00103C6F">
          <w:rPr>
            <w:rFonts w:asciiTheme="majorBidi" w:hAnsiTheme="majorBidi" w:cstheme="majorBidi"/>
            <w:noProof/>
            <w:webHidden/>
            <w:sz w:val="24"/>
            <w:szCs w:val="24"/>
          </w:rPr>
          <w:fldChar w:fldCharType="end"/>
        </w:r>
      </w:hyperlink>
    </w:p>
    <w:p w14:paraId="7D5EE56B" w14:textId="3C1006B4"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46" w:history="1">
        <w:r w:rsidR="004F69A7" w:rsidRPr="00103C6F">
          <w:rPr>
            <w:rStyle w:val="Lienhypertexte"/>
            <w:rFonts w:asciiTheme="majorBidi" w:hAnsiTheme="majorBidi" w:cstheme="majorBidi"/>
            <w:noProof/>
            <w:sz w:val="24"/>
            <w:szCs w:val="24"/>
          </w:rPr>
          <w:t>1.3.2- Légitimité de la moudaraba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_Toc182298846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149</w:t>
        </w:r>
        <w:r w:rsidR="004F69A7" w:rsidRPr="00103C6F">
          <w:rPr>
            <w:rFonts w:asciiTheme="majorBidi" w:hAnsiTheme="majorBidi" w:cstheme="majorBidi"/>
            <w:noProof/>
            <w:webHidden/>
            <w:sz w:val="24"/>
            <w:szCs w:val="24"/>
          </w:rPr>
          <w:fldChar w:fldCharType="end"/>
        </w:r>
      </w:hyperlink>
    </w:p>
    <w:p w14:paraId="3C9433A1" w14:textId="5AB69106"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47" w:history="1">
        <w:r w:rsidR="004F69A7" w:rsidRPr="00103C6F">
          <w:rPr>
            <w:rStyle w:val="Lienhypertexte"/>
            <w:rFonts w:asciiTheme="majorBidi" w:hAnsiTheme="majorBidi" w:cstheme="majorBidi"/>
            <w:noProof/>
            <w:sz w:val="24"/>
            <w:szCs w:val="24"/>
          </w:rPr>
          <w:t>1.3.3- Caractéristiques d’un contrat moudaraba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_Toc182298847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150</w:t>
        </w:r>
        <w:r w:rsidR="004F69A7" w:rsidRPr="00103C6F">
          <w:rPr>
            <w:rFonts w:asciiTheme="majorBidi" w:hAnsiTheme="majorBidi" w:cstheme="majorBidi"/>
            <w:noProof/>
            <w:webHidden/>
            <w:sz w:val="24"/>
            <w:szCs w:val="24"/>
          </w:rPr>
          <w:fldChar w:fldCharType="end"/>
        </w:r>
      </w:hyperlink>
    </w:p>
    <w:p w14:paraId="1C8D87C6" w14:textId="2DB16ACE" w:rsidR="004F69A7" w:rsidRPr="00103C6F" w:rsidRDefault="00C40DAA" w:rsidP="009C2D83">
      <w:pPr>
        <w:pStyle w:val="TM2"/>
        <w:keepNext w:val="0"/>
        <w:keepLines w:val="0"/>
        <w:widowControl w:val="0"/>
        <w:rPr>
          <w:rFonts w:eastAsiaTheme="minorEastAsia"/>
          <w:kern w:val="0"/>
          <w:lang w:eastAsia="fr-FR"/>
        </w:rPr>
      </w:pPr>
      <w:hyperlink w:anchor="_Toc182298848" w:history="1">
        <w:r w:rsidR="004F69A7" w:rsidRPr="00103C6F">
          <w:rPr>
            <w:rStyle w:val="Lienhypertexte"/>
            <w:kern w:val="28"/>
          </w:rPr>
          <w:t>Section II- Application des instruments participatifs dans la BI</w:t>
        </w:r>
        <w:r w:rsidR="004F69A7" w:rsidRPr="00103C6F">
          <w:rPr>
            <w:webHidden/>
          </w:rPr>
          <w:tab/>
        </w:r>
        <w:r w:rsidR="004F69A7" w:rsidRPr="00103C6F">
          <w:rPr>
            <w:webHidden/>
          </w:rPr>
          <w:fldChar w:fldCharType="begin"/>
        </w:r>
        <w:r w:rsidR="004F69A7" w:rsidRPr="00103C6F">
          <w:rPr>
            <w:webHidden/>
          </w:rPr>
          <w:instrText xml:space="preserve"> PAGEREF _Toc182298848 \h </w:instrText>
        </w:r>
        <w:r w:rsidR="004F69A7" w:rsidRPr="00103C6F">
          <w:rPr>
            <w:webHidden/>
          </w:rPr>
        </w:r>
        <w:r w:rsidR="004F69A7" w:rsidRPr="00103C6F">
          <w:rPr>
            <w:webHidden/>
          </w:rPr>
          <w:fldChar w:fldCharType="separate"/>
        </w:r>
        <w:r w:rsidR="00666FC7">
          <w:rPr>
            <w:webHidden/>
          </w:rPr>
          <w:t>152</w:t>
        </w:r>
        <w:r w:rsidR="004F69A7" w:rsidRPr="00103C6F">
          <w:rPr>
            <w:webHidden/>
          </w:rPr>
          <w:fldChar w:fldCharType="end"/>
        </w:r>
      </w:hyperlink>
    </w:p>
    <w:p w14:paraId="7C9E7A10" w14:textId="67010660" w:rsidR="004F69A7" w:rsidRPr="00103C6F" w:rsidRDefault="00C40DAA" w:rsidP="009C2D83">
      <w:pPr>
        <w:pStyle w:val="TM3"/>
        <w:keepNext w:val="0"/>
        <w:keepLines w:val="0"/>
        <w:widowControl w:val="0"/>
        <w:rPr>
          <w:rFonts w:eastAsiaTheme="minorEastAsia"/>
          <w:lang w:eastAsia="fr-FR"/>
        </w:rPr>
      </w:pPr>
      <w:hyperlink w:anchor="_Toc182298849" w:history="1">
        <w:r w:rsidR="004F69A7" w:rsidRPr="00103C6F">
          <w:rPr>
            <w:rStyle w:val="Lienhypertexte"/>
          </w:rPr>
          <w:t>2.1- Intermédiation financière participative dans la BI</w:t>
        </w:r>
        <w:r w:rsidR="004F69A7" w:rsidRPr="00103C6F">
          <w:rPr>
            <w:webHidden/>
          </w:rPr>
          <w:tab/>
        </w:r>
        <w:r w:rsidR="004F69A7" w:rsidRPr="00103C6F">
          <w:rPr>
            <w:webHidden/>
          </w:rPr>
          <w:fldChar w:fldCharType="begin"/>
        </w:r>
        <w:r w:rsidR="004F69A7" w:rsidRPr="00103C6F">
          <w:rPr>
            <w:webHidden/>
          </w:rPr>
          <w:instrText xml:space="preserve"> PAGEREF _Toc182298849 \h </w:instrText>
        </w:r>
        <w:r w:rsidR="004F69A7" w:rsidRPr="00103C6F">
          <w:rPr>
            <w:webHidden/>
          </w:rPr>
        </w:r>
        <w:r w:rsidR="004F69A7" w:rsidRPr="00103C6F">
          <w:rPr>
            <w:webHidden/>
          </w:rPr>
          <w:fldChar w:fldCharType="separate"/>
        </w:r>
        <w:r w:rsidR="00666FC7">
          <w:rPr>
            <w:webHidden/>
          </w:rPr>
          <w:t>152</w:t>
        </w:r>
        <w:r w:rsidR="004F69A7" w:rsidRPr="00103C6F">
          <w:rPr>
            <w:webHidden/>
          </w:rPr>
          <w:fldChar w:fldCharType="end"/>
        </w:r>
      </w:hyperlink>
    </w:p>
    <w:p w14:paraId="66BDAE6C" w14:textId="1B0296B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50" w:history="1">
        <w:r w:rsidR="004F69A7" w:rsidRPr="00103C6F">
          <w:rPr>
            <w:rStyle w:val="Lienhypertexte"/>
            <w:rFonts w:asciiTheme="majorBidi" w:hAnsiTheme="majorBidi" w:cstheme="majorBidi"/>
            <w:noProof/>
            <w:sz w:val="24"/>
            <w:szCs w:val="24"/>
          </w:rPr>
          <w:t>2.1.1- Intermédiation participative et l’asymétrie d’information</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_Toc182298850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154</w:t>
        </w:r>
        <w:r w:rsidR="004F69A7" w:rsidRPr="00103C6F">
          <w:rPr>
            <w:rFonts w:asciiTheme="majorBidi" w:hAnsiTheme="majorBidi" w:cstheme="majorBidi"/>
            <w:noProof/>
            <w:webHidden/>
            <w:sz w:val="24"/>
            <w:szCs w:val="24"/>
          </w:rPr>
          <w:fldChar w:fldCharType="end"/>
        </w:r>
      </w:hyperlink>
    </w:p>
    <w:p w14:paraId="15D953C2" w14:textId="75FC27F9"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51" w:history="1">
        <w:r w:rsidR="004F69A7" w:rsidRPr="00103C6F">
          <w:rPr>
            <w:rStyle w:val="Lienhypertexte"/>
            <w:rFonts w:asciiTheme="majorBidi" w:hAnsiTheme="majorBidi" w:cstheme="majorBidi"/>
            <w:noProof/>
            <w:sz w:val="24"/>
            <w:szCs w:val="24"/>
          </w:rPr>
          <w:t>2.1.1.1- Intermédiation participative et l’asymétrie d’information ex-ante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_Toc182298851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155</w:t>
        </w:r>
        <w:r w:rsidR="004F69A7" w:rsidRPr="00103C6F">
          <w:rPr>
            <w:rFonts w:asciiTheme="majorBidi" w:hAnsiTheme="majorBidi" w:cstheme="majorBidi"/>
            <w:noProof/>
            <w:webHidden/>
            <w:sz w:val="24"/>
            <w:szCs w:val="24"/>
          </w:rPr>
          <w:fldChar w:fldCharType="end"/>
        </w:r>
      </w:hyperlink>
    </w:p>
    <w:p w14:paraId="4D6EE9E1" w14:textId="58AE389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52" w:history="1">
        <w:r w:rsidR="004F69A7" w:rsidRPr="00103C6F">
          <w:rPr>
            <w:rStyle w:val="Lienhypertexte"/>
            <w:rFonts w:asciiTheme="majorBidi" w:hAnsiTheme="majorBidi" w:cstheme="majorBidi"/>
            <w:noProof/>
            <w:sz w:val="24"/>
            <w:szCs w:val="24"/>
          </w:rPr>
          <w:t>2.1.1.2- Intermédiation participative et asymétrie d’information ex-post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_Toc182298852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156</w:t>
        </w:r>
        <w:r w:rsidR="004F69A7" w:rsidRPr="00103C6F">
          <w:rPr>
            <w:rFonts w:asciiTheme="majorBidi" w:hAnsiTheme="majorBidi" w:cstheme="majorBidi"/>
            <w:noProof/>
            <w:webHidden/>
            <w:sz w:val="24"/>
            <w:szCs w:val="24"/>
          </w:rPr>
          <w:fldChar w:fldCharType="end"/>
        </w:r>
      </w:hyperlink>
    </w:p>
    <w:p w14:paraId="330F439E" w14:textId="4795B6C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53" w:history="1">
        <w:r w:rsidR="004F69A7" w:rsidRPr="00103C6F">
          <w:rPr>
            <w:rStyle w:val="Lienhypertexte"/>
            <w:rFonts w:asciiTheme="majorBidi" w:hAnsiTheme="majorBidi" w:cstheme="majorBidi"/>
            <w:noProof/>
            <w:sz w:val="24"/>
            <w:szCs w:val="24"/>
          </w:rPr>
          <w:t>2.1.2- Intermédiation participative : une intermédiation de partage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_Toc182298853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157</w:t>
        </w:r>
        <w:r w:rsidR="004F69A7" w:rsidRPr="00103C6F">
          <w:rPr>
            <w:rFonts w:asciiTheme="majorBidi" w:hAnsiTheme="majorBidi" w:cstheme="majorBidi"/>
            <w:noProof/>
            <w:webHidden/>
            <w:sz w:val="24"/>
            <w:szCs w:val="24"/>
          </w:rPr>
          <w:fldChar w:fldCharType="end"/>
        </w:r>
      </w:hyperlink>
    </w:p>
    <w:p w14:paraId="6BA1C6EF" w14:textId="7C5F66BC" w:rsidR="004F69A7" w:rsidRPr="00103C6F" w:rsidRDefault="00C40DAA" w:rsidP="009C2D83">
      <w:pPr>
        <w:pStyle w:val="TM3"/>
        <w:keepNext w:val="0"/>
        <w:keepLines w:val="0"/>
        <w:widowControl w:val="0"/>
        <w:rPr>
          <w:rFonts w:eastAsiaTheme="minorEastAsia"/>
          <w:lang w:eastAsia="fr-FR"/>
        </w:rPr>
      </w:pPr>
      <w:hyperlink w:anchor="_Toc182298854" w:history="1">
        <w:r w:rsidR="004F69A7" w:rsidRPr="00103C6F">
          <w:rPr>
            <w:rStyle w:val="Lienhypertexte"/>
          </w:rPr>
          <w:t>2.2- Manque des produits basés sur 3P et surutilisation de la mourabaha</w:t>
        </w:r>
        <w:r w:rsidR="004F69A7" w:rsidRPr="00103C6F">
          <w:rPr>
            <w:webHidden/>
          </w:rPr>
          <w:tab/>
        </w:r>
        <w:r w:rsidR="004F69A7" w:rsidRPr="00103C6F">
          <w:rPr>
            <w:webHidden/>
          </w:rPr>
          <w:fldChar w:fldCharType="begin"/>
        </w:r>
        <w:r w:rsidR="004F69A7" w:rsidRPr="00103C6F">
          <w:rPr>
            <w:webHidden/>
          </w:rPr>
          <w:instrText xml:space="preserve"> PAGEREF _Toc182298854 \h </w:instrText>
        </w:r>
        <w:r w:rsidR="004F69A7" w:rsidRPr="00103C6F">
          <w:rPr>
            <w:webHidden/>
          </w:rPr>
        </w:r>
        <w:r w:rsidR="004F69A7" w:rsidRPr="00103C6F">
          <w:rPr>
            <w:webHidden/>
          </w:rPr>
          <w:fldChar w:fldCharType="separate"/>
        </w:r>
        <w:r w:rsidR="00666FC7">
          <w:rPr>
            <w:webHidden/>
          </w:rPr>
          <w:t>159</w:t>
        </w:r>
        <w:r w:rsidR="004F69A7" w:rsidRPr="00103C6F">
          <w:rPr>
            <w:webHidden/>
          </w:rPr>
          <w:fldChar w:fldCharType="end"/>
        </w:r>
      </w:hyperlink>
    </w:p>
    <w:p w14:paraId="3859A40E" w14:textId="41CCD51C"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55" w:history="1">
        <w:r w:rsidR="004F69A7" w:rsidRPr="00103C6F">
          <w:rPr>
            <w:rStyle w:val="Lienhypertexte"/>
            <w:rFonts w:asciiTheme="majorBidi" w:hAnsiTheme="majorBidi" w:cstheme="majorBidi"/>
            <w:noProof/>
            <w:spacing w:val="-6"/>
            <w:sz w:val="24"/>
            <w:szCs w:val="24"/>
          </w:rPr>
          <w:t>2.2.1- Raisons du manque d’utilisation des produits de partage des pertes et des profits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_Toc182298855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160</w:t>
        </w:r>
        <w:r w:rsidR="004F69A7" w:rsidRPr="00103C6F">
          <w:rPr>
            <w:rFonts w:asciiTheme="majorBidi" w:hAnsiTheme="majorBidi" w:cstheme="majorBidi"/>
            <w:noProof/>
            <w:webHidden/>
            <w:sz w:val="24"/>
            <w:szCs w:val="24"/>
          </w:rPr>
          <w:fldChar w:fldCharType="end"/>
        </w:r>
      </w:hyperlink>
    </w:p>
    <w:p w14:paraId="61F76FD8" w14:textId="478ACD3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56" w:history="1">
        <w:r w:rsidR="004F69A7" w:rsidRPr="00103C6F">
          <w:rPr>
            <w:rStyle w:val="Lienhypertexte"/>
            <w:rFonts w:asciiTheme="majorBidi" w:hAnsiTheme="majorBidi" w:cstheme="majorBidi"/>
            <w:noProof/>
            <w:sz w:val="24"/>
            <w:szCs w:val="24"/>
          </w:rPr>
          <w:t>2.2.2- Arguments sur la pratique actuelle des BI</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_Toc182298856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161</w:t>
        </w:r>
        <w:r w:rsidR="004F69A7" w:rsidRPr="00103C6F">
          <w:rPr>
            <w:rFonts w:asciiTheme="majorBidi" w:hAnsiTheme="majorBidi" w:cstheme="majorBidi"/>
            <w:noProof/>
            <w:webHidden/>
            <w:sz w:val="24"/>
            <w:szCs w:val="24"/>
          </w:rPr>
          <w:fldChar w:fldCharType="end"/>
        </w:r>
      </w:hyperlink>
    </w:p>
    <w:p w14:paraId="6C8AAB99" w14:textId="2172CE9D"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57" w:history="1">
        <w:r w:rsidR="004F69A7" w:rsidRPr="00103C6F">
          <w:rPr>
            <w:rStyle w:val="Lienhypertexte"/>
            <w:rFonts w:asciiTheme="majorBidi" w:hAnsiTheme="majorBidi" w:cstheme="majorBidi"/>
            <w:noProof/>
            <w:sz w:val="24"/>
            <w:szCs w:val="24"/>
          </w:rPr>
          <w:t>2.2.3- Avantages des produits participatifs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_Toc182298857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162</w:t>
        </w:r>
        <w:r w:rsidR="004F69A7" w:rsidRPr="00103C6F">
          <w:rPr>
            <w:rFonts w:asciiTheme="majorBidi" w:hAnsiTheme="majorBidi" w:cstheme="majorBidi"/>
            <w:noProof/>
            <w:webHidden/>
            <w:sz w:val="24"/>
            <w:szCs w:val="24"/>
          </w:rPr>
          <w:fldChar w:fldCharType="end"/>
        </w:r>
      </w:hyperlink>
    </w:p>
    <w:p w14:paraId="1EE60FA2" w14:textId="143288CF"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58" w:history="1">
        <w:r w:rsidR="004F69A7" w:rsidRPr="00103C6F">
          <w:rPr>
            <w:rStyle w:val="Lienhypertexte"/>
            <w:rFonts w:asciiTheme="majorBidi" w:hAnsiTheme="majorBidi" w:cstheme="majorBidi"/>
            <w:noProof/>
            <w:sz w:val="24"/>
            <w:szCs w:val="24"/>
          </w:rPr>
          <w:t>2.2.4- Inconvénients des produits financiers à revenu fixe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_Toc182298858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163</w:t>
        </w:r>
        <w:r w:rsidR="004F69A7" w:rsidRPr="00103C6F">
          <w:rPr>
            <w:rFonts w:asciiTheme="majorBidi" w:hAnsiTheme="majorBidi" w:cstheme="majorBidi"/>
            <w:noProof/>
            <w:webHidden/>
            <w:sz w:val="24"/>
            <w:szCs w:val="24"/>
          </w:rPr>
          <w:fldChar w:fldCharType="end"/>
        </w:r>
      </w:hyperlink>
    </w:p>
    <w:p w14:paraId="7AF287D9" w14:textId="1BEB81D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59" w:history="1">
        <w:r w:rsidR="004F69A7" w:rsidRPr="00103C6F">
          <w:rPr>
            <w:rStyle w:val="Lienhypertexte"/>
            <w:rFonts w:asciiTheme="majorBidi" w:hAnsiTheme="majorBidi" w:cstheme="majorBidi"/>
            <w:noProof/>
            <w:sz w:val="24"/>
            <w:szCs w:val="24"/>
          </w:rPr>
          <w:t>2.2.4.1- Défaillance du débiteur et la question des pénalités de retard</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_Toc182298859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163</w:t>
        </w:r>
        <w:r w:rsidR="004F69A7" w:rsidRPr="00103C6F">
          <w:rPr>
            <w:rFonts w:asciiTheme="majorBidi" w:hAnsiTheme="majorBidi" w:cstheme="majorBidi"/>
            <w:noProof/>
            <w:webHidden/>
            <w:sz w:val="24"/>
            <w:szCs w:val="24"/>
          </w:rPr>
          <w:fldChar w:fldCharType="end"/>
        </w:r>
      </w:hyperlink>
    </w:p>
    <w:p w14:paraId="45529368" w14:textId="070C93FF"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60" w:history="1">
        <w:r w:rsidR="004F69A7" w:rsidRPr="00103C6F">
          <w:rPr>
            <w:rStyle w:val="Lienhypertexte"/>
            <w:rFonts w:asciiTheme="majorBidi" w:hAnsiTheme="majorBidi" w:cstheme="majorBidi"/>
            <w:noProof/>
            <w:sz w:val="24"/>
            <w:szCs w:val="24"/>
          </w:rPr>
          <w:t>2.2.4.2- Non liquidité des actifs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_Toc182298860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163</w:t>
        </w:r>
        <w:r w:rsidR="004F69A7" w:rsidRPr="00103C6F">
          <w:rPr>
            <w:rFonts w:asciiTheme="majorBidi" w:hAnsiTheme="majorBidi" w:cstheme="majorBidi"/>
            <w:noProof/>
            <w:webHidden/>
            <w:sz w:val="24"/>
            <w:szCs w:val="24"/>
          </w:rPr>
          <w:fldChar w:fldCharType="end"/>
        </w:r>
      </w:hyperlink>
    </w:p>
    <w:p w14:paraId="0BEDD520" w14:textId="0B284666"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61" w:history="1">
        <w:r w:rsidR="004F69A7" w:rsidRPr="00103C6F">
          <w:rPr>
            <w:rStyle w:val="Lienhypertexte"/>
            <w:rFonts w:asciiTheme="majorBidi" w:hAnsiTheme="majorBidi" w:cstheme="majorBidi"/>
            <w:noProof/>
            <w:sz w:val="24"/>
            <w:szCs w:val="24"/>
          </w:rPr>
          <w:t>2.2.4.3- Structure des actifs à court terme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_Toc182298861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163</w:t>
        </w:r>
        <w:r w:rsidR="004F69A7" w:rsidRPr="00103C6F">
          <w:rPr>
            <w:rFonts w:asciiTheme="majorBidi" w:hAnsiTheme="majorBidi" w:cstheme="majorBidi"/>
            <w:noProof/>
            <w:webHidden/>
            <w:sz w:val="24"/>
            <w:szCs w:val="24"/>
          </w:rPr>
          <w:fldChar w:fldCharType="end"/>
        </w:r>
      </w:hyperlink>
    </w:p>
    <w:p w14:paraId="3E15E605" w14:textId="54233386" w:rsidR="004F69A7" w:rsidRPr="00103C6F" w:rsidRDefault="00C40DAA" w:rsidP="009C2D83">
      <w:pPr>
        <w:pStyle w:val="TM2"/>
        <w:keepNext w:val="0"/>
        <w:keepLines w:val="0"/>
        <w:widowControl w:val="0"/>
        <w:rPr>
          <w:rFonts w:eastAsiaTheme="minorEastAsia"/>
          <w:kern w:val="0"/>
          <w:lang w:eastAsia="fr-FR"/>
        </w:rPr>
      </w:pPr>
      <w:hyperlink w:anchor="_Toc182298862" w:history="1">
        <w:r w:rsidR="004F69A7" w:rsidRPr="00103C6F">
          <w:rPr>
            <w:rStyle w:val="Lienhypertexte"/>
            <w:kern w:val="28"/>
          </w:rPr>
          <w:t>Section III- Analyse et gestion des risques liés aux instruments participatifs</w:t>
        </w:r>
        <w:r w:rsidR="004F69A7" w:rsidRPr="00103C6F">
          <w:rPr>
            <w:webHidden/>
          </w:rPr>
          <w:tab/>
        </w:r>
        <w:r w:rsidR="004F69A7" w:rsidRPr="00103C6F">
          <w:rPr>
            <w:webHidden/>
          </w:rPr>
          <w:fldChar w:fldCharType="begin"/>
        </w:r>
        <w:r w:rsidR="004F69A7" w:rsidRPr="00103C6F">
          <w:rPr>
            <w:webHidden/>
          </w:rPr>
          <w:instrText xml:space="preserve"> PAGEREF _Toc182298862 \h </w:instrText>
        </w:r>
        <w:r w:rsidR="004F69A7" w:rsidRPr="00103C6F">
          <w:rPr>
            <w:webHidden/>
          </w:rPr>
        </w:r>
        <w:r w:rsidR="004F69A7" w:rsidRPr="00103C6F">
          <w:rPr>
            <w:webHidden/>
          </w:rPr>
          <w:fldChar w:fldCharType="separate"/>
        </w:r>
        <w:r w:rsidR="00666FC7">
          <w:rPr>
            <w:webHidden/>
          </w:rPr>
          <w:t>164</w:t>
        </w:r>
        <w:r w:rsidR="004F69A7" w:rsidRPr="00103C6F">
          <w:rPr>
            <w:webHidden/>
          </w:rPr>
          <w:fldChar w:fldCharType="end"/>
        </w:r>
      </w:hyperlink>
    </w:p>
    <w:p w14:paraId="69262CE6" w14:textId="76BA52B0" w:rsidR="004F69A7" w:rsidRPr="00103C6F" w:rsidRDefault="00C40DAA" w:rsidP="009C2D83">
      <w:pPr>
        <w:pStyle w:val="TM3"/>
        <w:keepNext w:val="0"/>
        <w:keepLines w:val="0"/>
        <w:widowControl w:val="0"/>
        <w:rPr>
          <w:rFonts w:eastAsiaTheme="minorEastAsia"/>
          <w:lang w:eastAsia="fr-FR"/>
        </w:rPr>
      </w:pPr>
      <w:hyperlink w:anchor="_Toc182298863" w:history="1">
        <w:r w:rsidR="004F69A7" w:rsidRPr="00103C6F">
          <w:rPr>
            <w:rStyle w:val="Lienhypertexte"/>
          </w:rPr>
          <w:t>3.1- Risques liés aux modes de financement participatif</w:t>
        </w:r>
        <w:r w:rsidR="004F69A7" w:rsidRPr="00103C6F">
          <w:rPr>
            <w:webHidden/>
          </w:rPr>
          <w:tab/>
        </w:r>
        <w:r w:rsidR="004F69A7" w:rsidRPr="00103C6F">
          <w:rPr>
            <w:webHidden/>
          </w:rPr>
          <w:fldChar w:fldCharType="begin"/>
        </w:r>
        <w:r w:rsidR="004F69A7" w:rsidRPr="00103C6F">
          <w:rPr>
            <w:webHidden/>
          </w:rPr>
          <w:instrText xml:space="preserve"> PAGEREF _Toc182298863 \h </w:instrText>
        </w:r>
        <w:r w:rsidR="004F69A7" w:rsidRPr="00103C6F">
          <w:rPr>
            <w:webHidden/>
          </w:rPr>
        </w:r>
        <w:r w:rsidR="004F69A7" w:rsidRPr="00103C6F">
          <w:rPr>
            <w:webHidden/>
          </w:rPr>
          <w:fldChar w:fldCharType="separate"/>
        </w:r>
        <w:r w:rsidR="00666FC7">
          <w:rPr>
            <w:webHidden/>
          </w:rPr>
          <w:t>164</w:t>
        </w:r>
        <w:r w:rsidR="004F69A7" w:rsidRPr="00103C6F">
          <w:rPr>
            <w:webHidden/>
          </w:rPr>
          <w:fldChar w:fldCharType="end"/>
        </w:r>
      </w:hyperlink>
    </w:p>
    <w:p w14:paraId="789560A6" w14:textId="42C297DD"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64" w:history="1">
        <w:r w:rsidR="004F69A7" w:rsidRPr="00103C6F">
          <w:rPr>
            <w:rStyle w:val="Lienhypertexte"/>
            <w:rFonts w:asciiTheme="majorBidi" w:hAnsiTheme="majorBidi" w:cstheme="majorBidi"/>
            <w:noProof/>
            <w:sz w:val="24"/>
            <w:szCs w:val="24"/>
          </w:rPr>
          <w:t>3.1.1- Risque de crédit (de contrepartie)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_Toc182298864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165</w:t>
        </w:r>
        <w:r w:rsidR="004F69A7" w:rsidRPr="00103C6F">
          <w:rPr>
            <w:rFonts w:asciiTheme="majorBidi" w:hAnsiTheme="majorBidi" w:cstheme="majorBidi"/>
            <w:noProof/>
            <w:webHidden/>
            <w:sz w:val="24"/>
            <w:szCs w:val="24"/>
          </w:rPr>
          <w:fldChar w:fldCharType="end"/>
        </w:r>
      </w:hyperlink>
    </w:p>
    <w:p w14:paraId="15A9AC21" w14:textId="0A906789"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65" w:history="1">
        <w:r w:rsidR="004F69A7" w:rsidRPr="00103C6F">
          <w:rPr>
            <w:rStyle w:val="Lienhypertexte"/>
            <w:rFonts w:asciiTheme="majorBidi" w:hAnsiTheme="majorBidi" w:cstheme="majorBidi"/>
            <w:noProof/>
            <w:sz w:val="24"/>
            <w:szCs w:val="24"/>
          </w:rPr>
          <w:t>3.1.1.1- Risque de crédit liés à un contrat moucharaka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_Toc182298865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165</w:t>
        </w:r>
        <w:r w:rsidR="004F69A7" w:rsidRPr="00103C6F">
          <w:rPr>
            <w:rFonts w:asciiTheme="majorBidi" w:hAnsiTheme="majorBidi" w:cstheme="majorBidi"/>
            <w:noProof/>
            <w:webHidden/>
            <w:sz w:val="24"/>
            <w:szCs w:val="24"/>
          </w:rPr>
          <w:fldChar w:fldCharType="end"/>
        </w:r>
      </w:hyperlink>
    </w:p>
    <w:p w14:paraId="293D3027" w14:textId="23768628"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66" w:history="1">
        <w:r w:rsidR="004F69A7" w:rsidRPr="00103C6F">
          <w:rPr>
            <w:rStyle w:val="Lienhypertexte"/>
            <w:rFonts w:asciiTheme="majorBidi" w:hAnsiTheme="majorBidi" w:cstheme="majorBidi"/>
            <w:noProof/>
            <w:sz w:val="24"/>
            <w:szCs w:val="24"/>
          </w:rPr>
          <w:t>3.1.1.2- Risque de crédit liés à un contrat moudaraba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_Toc182298866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166</w:t>
        </w:r>
        <w:r w:rsidR="004F69A7" w:rsidRPr="00103C6F">
          <w:rPr>
            <w:rFonts w:asciiTheme="majorBidi" w:hAnsiTheme="majorBidi" w:cstheme="majorBidi"/>
            <w:noProof/>
            <w:webHidden/>
            <w:sz w:val="24"/>
            <w:szCs w:val="24"/>
          </w:rPr>
          <w:fldChar w:fldCharType="end"/>
        </w:r>
      </w:hyperlink>
    </w:p>
    <w:p w14:paraId="2B6D0A8E" w14:textId="0F9660F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67" w:history="1">
        <w:r w:rsidR="004F69A7" w:rsidRPr="00103C6F">
          <w:rPr>
            <w:rStyle w:val="Lienhypertexte"/>
            <w:rFonts w:asciiTheme="majorBidi" w:hAnsiTheme="majorBidi" w:cstheme="majorBidi"/>
            <w:noProof/>
            <w:sz w:val="24"/>
            <w:szCs w:val="24"/>
          </w:rPr>
          <w:t>3.1.2- Risque d’investissement en actions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_Toc182298867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167</w:t>
        </w:r>
        <w:r w:rsidR="004F69A7" w:rsidRPr="00103C6F">
          <w:rPr>
            <w:rFonts w:asciiTheme="majorBidi" w:hAnsiTheme="majorBidi" w:cstheme="majorBidi"/>
            <w:noProof/>
            <w:webHidden/>
            <w:sz w:val="24"/>
            <w:szCs w:val="24"/>
          </w:rPr>
          <w:fldChar w:fldCharType="end"/>
        </w:r>
      </w:hyperlink>
    </w:p>
    <w:p w14:paraId="113AC0E1" w14:textId="4A887BF4"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68" w:history="1">
        <w:r w:rsidR="004F69A7" w:rsidRPr="00103C6F">
          <w:rPr>
            <w:rStyle w:val="Lienhypertexte"/>
            <w:rFonts w:asciiTheme="majorBidi" w:hAnsiTheme="majorBidi" w:cstheme="majorBidi"/>
            <w:noProof/>
            <w:sz w:val="24"/>
            <w:szCs w:val="24"/>
          </w:rPr>
          <w:t>3.1.3- Risque commercial déplacé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_Toc182298868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167</w:t>
        </w:r>
        <w:r w:rsidR="004F69A7" w:rsidRPr="00103C6F">
          <w:rPr>
            <w:rFonts w:asciiTheme="majorBidi" w:hAnsiTheme="majorBidi" w:cstheme="majorBidi"/>
            <w:noProof/>
            <w:webHidden/>
            <w:sz w:val="24"/>
            <w:szCs w:val="24"/>
          </w:rPr>
          <w:fldChar w:fldCharType="end"/>
        </w:r>
      </w:hyperlink>
    </w:p>
    <w:p w14:paraId="160642AB" w14:textId="5EF1736A"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69" w:history="1">
        <w:r w:rsidR="004F69A7" w:rsidRPr="00103C6F">
          <w:rPr>
            <w:rStyle w:val="Lienhypertexte"/>
            <w:rFonts w:asciiTheme="majorBidi" w:hAnsiTheme="majorBidi" w:cstheme="majorBidi"/>
            <w:noProof/>
            <w:sz w:val="24"/>
            <w:szCs w:val="24"/>
          </w:rPr>
          <w:t>3.1.3.1- Fonctionnement des comptes d’investissements participatifs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_Toc182298869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168</w:t>
        </w:r>
        <w:r w:rsidR="004F69A7" w:rsidRPr="00103C6F">
          <w:rPr>
            <w:rFonts w:asciiTheme="majorBidi" w:hAnsiTheme="majorBidi" w:cstheme="majorBidi"/>
            <w:noProof/>
            <w:webHidden/>
            <w:sz w:val="24"/>
            <w:szCs w:val="24"/>
          </w:rPr>
          <w:fldChar w:fldCharType="end"/>
        </w:r>
      </w:hyperlink>
    </w:p>
    <w:p w14:paraId="0938662D" w14:textId="551A65EA" w:rsidR="004F69A7" w:rsidRPr="00103C6F" w:rsidRDefault="00C40DAA" w:rsidP="009C2D83">
      <w:pPr>
        <w:pStyle w:val="TM5"/>
        <w:widowControl w:val="0"/>
        <w:tabs>
          <w:tab w:val="left" w:pos="1760"/>
          <w:tab w:val="right" w:leader="dot" w:pos="9061"/>
        </w:tabs>
        <w:rPr>
          <w:rFonts w:asciiTheme="majorBidi" w:eastAsiaTheme="minorEastAsia" w:hAnsiTheme="majorBidi" w:cstheme="majorBidi"/>
          <w:noProof/>
          <w:sz w:val="24"/>
          <w:szCs w:val="24"/>
          <w:lang w:eastAsia="fr-FR"/>
        </w:rPr>
      </w:pPr>
      <w:hyperlink w:anchor="_Toc182298870" w:history="1">
        <w:r w:rsidR="004F69A7" w:rsidRPr="00103C6F">
          <w:rPr>
            <w:rStyle w:val="Lienhypertexte"/>
            <w:rFonts w:asciiTheme="majorBidi" w:hAnsiTheme="majorBidi" w:cstheme="majorBidi"/>
            <w:noProof/>
            <w:sz w:val="24"/>
            <w:szCs w:val="24"/>
          </w:rPr>
          <w:t>3.1.3.2</w:t>
        </w:r>
        <w:r w:rsidR="004F69A7" w:rsidRPr="00103C6F">
          <w:rPr>
            <w:rFonts w:asciiTheme="majorBidi" w:eastAsiaTheme="minorEastAsia" w:hAnsiTheme="majorBidi" w:cstheme="majorBidi"/>
            <w:noProof/>
            <w:sz w:val="24"/>
            <w:szCs w:val="24"/>
            <w:lang w:eastAsia="fr-FR"/>
          </w:rPr>
          <w:tab/>
        </w:r>
        <w:r w:rsidR="004F69A7" w:rsidRPr="00103C6F">
          <w:rPr>
            <w:rStyle w:val="Lienhypertexte"/>
            <w:rFonts w:asciiTheme="majorBidi" w:hAnsiTheme="majorBidi" w:cstheme="majorBidi"/>
            <w:noProof/>
            <w:sz w:val="24"/>
            <w:szCs w:val="24"/>
          </w:rPr>
          <w:t>Identification du risque commercial déplacé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_Toc182298870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169</w:t>
        </w:r>
        <w:r w:rsidR="004F69A7" w:rsidRPr="00103C6F">
          <w:rPr>
            <w:rFonts w:asciiTheme="majorBidi" w:hAnsiTheme="majorBidi" w:cstheme="majorBidi"/>
            <w:noProof/>
            <w:webHidden/>
            <w:sz w:val="24"/>
            <w:szCs w:val="24"/>
          </w:rPr>
          <w:fldChar w:fldCharType="end"/>
        </w:r>
      </w:hyperlink>
    </w:p>
    <w:p w14:paraId="53B48DD6" w14:textId="42761BAD"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71" w:history="1">
        <w:r w:rsidR="004F69A7" w:rsidRPr="00103C6F">
          <w:rPr>
            <w:rStyle w:val="Lienhypertexte"/>
            <w:rFonts w:asciiTheme="majorBidi" w:hAnsiTheme="majorBidi" w:cstheme="majorBidi"/>
            <w:noProof/>
            <w:sz w:val="24"/>
            <w:szCs w:val="24"/>
          </w:rPr>
          <w:t>3.1.4- Risque fiduciaire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_Toc182298871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170</w:t>
        </w:r>
        <w:r w:rsidR="004F69A7" w:rsidRPr="00103C6F">
          <w:rPr>
            <w:rFonts w:asciiTheme="majorBidi" w:hAnsiTheme="majorBidi" w:cstheme="majorBidi"/>
            <w:noProof/>
            <w:webHidden/>
            <w:sz w:val="24"/>
            <w:szCs w:val="24"/>
          </w:rPr>
          <w:fldChar w:fldCharType="end"/>
        </w:r>
      </w:hyperlink>
    </w:p>
    <w:p w14:paraId="50B21B24" w14:textId="3E4E5DFE" w:rsidR="004F69A7" w:rsidRPr="00103C6F" w:rsidRDefault="00C40DAA" w:rsidP="009C2D83">
      <w:pPr>
        <w:pStyle w:val="TM3"/>
        <w:keepNext w:val="0"/>
        <w:keepLines w:val="0"/>
        <w:widowControl w:val="0"/>
        <w:rPr>
          <w:rFonts w:eastAsiaTheme="minorEastAsia"/>
          <w:lang w:eastAsia="fr-FR"/>
        </w:rPr>
      </w:pPr>
      <w:hyperlink w:anchor="_Toc182298872" w:history="1">
        <w:r w:rsidR="004F69A7" w:rsidRPr="00103C6F">
          <w:rPr>
            <w:rStyle w:val="Lienhypertexte"/>
          </w:rPr>
          <w:t>3.2- Gestion des risques liés aux modes financiers participatifs</w:t>
        </w:r>
        <w:r w:rsidR="004F69A7" w:rsidRPr="00103C6F">
          <w:rPr>
            <w:webHidden/>
          </w:rPr>
          <w:tab/>
        </w:r>
        <w:r w:rsidR="004F69A7" w:rsidRPr="00103C6F">
          <w:rPr>
            <w:webHidden/>
          </w:rPr>
          <w:fldChar w:fldCharType="begin"/>
        </w:r>
        <w:r w:rsidR="004F69A7" w:rsidRPr="00103C6F">
          <w:rPr>
            <w:webHidden/>
          </w:rPr>
          <w:instrText xml:space="preserve"> PAGEREF _Toc182298872 \h </w:instrText>
        </w:r>
        <w:r w:rsidR="004F69A7" w:rsidRPr="00103C6F">
          <w:rPr>
            <w:webHidden/>
          </w:rPr>
        </w:r>
        <w:r w:rsidR="004F69A7" w:rsidRPr="00103C6F">
          <w:rPr>
            <w:webHidden/>
          </w:rPr>
          <w:fldChar w:fldCharType="separate"/>
        </w:r>
        <w:r w:rsidR="00666FC7">
          <w:rPr>
            <w:webHidden/>
          </w:rPr>
          <w:t>170</w:t>
        </w:r>
        <w:r w:rsidR="004F69A7" w:rsidRPr="00103C6F">
          <w:rPr>
            <w:webHidden/>
          </w:rPr>
          <w:fldChar w:fldCharType="end"/>
        </w:r>
      </w:hyperlink>
    </w:p>
    <w:p w14:paraId="5BC80A18" w14:textId="31461632"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73" w:history="1">
        <w:r w:rsidR="004F69A7" w:rsidRPr="00103C6F">
          <w:rPr>
            <w:rStyle w:val="Lienhypertexte"/>
            <w:rFonts w:asciiTheme="majorBidi" w:hAnsiTheme="majorBidi" w:cstheme="majorBidi"/>
            <w:noProof/>
            <w:sz w:val="24"/>
            <w:szCs w:val="24"/>
          </w:rPr>
          <w:t>3.2.1- Gestion du risque de crédit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_Toc182298873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170</w:t>
        </w:r>
        <w:r w:rsidR="004F69A7" w:rsidRPr="00103C6F">
          <w:rPr>
            <w:rFonts w:asciiTheme="majorBidi" w:hAnsiTheme="majorBidi" w:cstheme="majorBidi"/>
            <w:noProof/>
            <w:webHidden/>
            <w:sz w:val="24"/>
            <w:szCs w:val="24"/>
          </w:rPr>
          <w:fldChar w:fldCharType="end"/>
        </w:r>
      </w:hyperlink>
    </w:p>
    <w:p w14:paraId="243828A4" w14:textId="4D1CC92D"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74" w:history="1">
        <w:r w:rsidR="004F69A7" w:rsidRPr="00103C6F">
          <w:rPr>
            <w:rStyle w:val="Lienhypertexte"/>
            <w:rFonts w:asciiTheme="majorBidi" w:hAnsiTheme="majorBidi" w:cstheme="majorBidi"/>
            <w:noProof/>
            <w:sz w:val="24"/>
            <w:szCs w:val="24"/>
          </w:rPr>
          <w:t>3.2.1.1- Mesure du risque de crédit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_Toc182298874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170</w:t>
        </w:r>
        <w:r w:rsidR="004F69A7" w:rsidRPr="00103C6F">
          <w:rPr>
            <w:rFonts w:asciiTheme="majorBidi" w:hAnsiTheme="majorBidi" w:cstheme="majorBidi"/>
            <w:noProof/>
            <w:webHidden/>
            <w:sz w:val="24"/>
            <w:szCs w:val="24"/>
          </w:rPr>
          <w:fldChar w:fldCharType="end"/>
        </w:r>
      </w:hyperlink>
    </w:p>
    <w:p w14:paraId="197BE0F7" w14:textId="1C1A539D"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75" w:history="1">
        <w:r w:rsidR="004F69A7" w:rsidRPr="00103C6F">
          <w:rPr>
            <w:rStyle w:val="Lienhypertexte"/>
            <w:rFonts w:asciiTheme="majorBidi" w:hAnsiTheme="majorBidi" w:cstheme="majorBidi"/>
            <w:noProof/>
            <w:sz w:val="24"/>
            <w:szCs w:val="24"/>
          </w:rPr>
          <w:t>3.2.1.2- Atténuation du risque de crédit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_Toc182298875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172</w:t>
        </w:r>
        <w:r w:rsidR="004F69A7" w:rsidRPr="00103C6F">
          <w:rPr>
            <w:rFonts w:asciiTheme="majorBidi" w:hAnsiTheme="majorBidi" w:cstheme="majorBidi"/>
            <w:noProof/>
            <w:webHidden/>
            <w:sz w:val="24"/>
            <w:szCs w:val="24"/>
          </w:rPr>
          <w:fldChar w:fldCharType="end"/>
        </w:r>
      </w:hyperlink>
    </w:p>
    <w:p w14:paraId="40721ED9" w14:textId="4619A1C7"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876" w:history="1">
        <w:r w:rsidR="004F69A7" w:rsidRPr="00103C6F">
          <w:rPr>
            <w:rStyle w:val="Lienhypertexte"/>
            <w:rFonts w:asciiTheme="majorBidi" w:hAnsiTheme="majorBidi" w:cstheme="majorBidi"/>
            <w:noProof/>
            <w:sz w:val="24"/>
            <w:szCs w:val="24"/>
          </w:rPr>
          <w:t>3.2.1.2.1 Arrangements contractuels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_Toc182298876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173</w:t>
        </w:r>
        <w:r w:rsidR="004F69A7" w:rsidRPr="00103C6F">
          <w:rPr>
            <w:rFonts w:asciiTheme="majorBidi" w:hAnsiTheme="majorBidi" w:cstheme="majorBidi"/>
            <w:noProof/>
            <w:webHidden/>
            <w:sz w:val="24"/>
            <w:szCs w:val="24"/>
          </w:rPr>
          <w:fldChar w:fldCharType="end"/>
        </w:r>
      </w:hyperlink>
    </w:p>
    <w:p w14:paraId="751650BB" w14:textId="63D791DE"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877" w:history="1">
        <w:r w:rsidR="004F69A7" w:rsidRPr="00103C6F">
          <w:rPr>
            <w:rStyle w:val="Lienhypertexte"/>
            <w:rFonts w:asciiTheme="majorBidi" w:hAnsiTheme="majorBidi" w:cstheme="majorBidi"/>
            <w:noProof/>
            <w:sz w:val="24"/>
            <w:szCs w:val="24"/>
          </w:rPr>
          <w:t>3.2.1.2.2 Arrangements comptables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_Toc182298877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174</w:t>
        </w:r>
        <w:r w:rsidR="004F69A7" w:rsidRPr="00103C6F">
          <w:rPr>
            <w:rFonts w:asciiTheme="majorBidi" w:hAnsiTheme="majorBidi" w:cstheme="majorBidi"/>
            <w:noProof/>
            <w:webHidden/>
            <w:sz w:val="24"/>
            <w:szCs w:val="24"/>
          </w:rPr>
          <w:fldChar w:fldCharType="end"/>
        </w:r>
      </w:hyperlink>
    </w:p>
    <w:p w14:paraId="74241755" w14:textId="0EA7B4CF" w:rsidR="004F69A7" w:rsidRPr="00103C6F" w:rsidRDefault="00C40DAA" w:rsidP="009C2D83">
      <w:pPr>
        <w:pStyle w:val="TM6"/>
        <w:widowControl w:val="0"/>
        <w:tabs>
          <w:tab w:val="right" w:leader="dot" w:pos="9061"/>
        </w:tabs>
        <w:rPr>
          <w:rFonts w:asciiTheme="majorBidi" w:eastAsiaTheme="minorEastAsia" w:hAnsiTheme="majorBidi" w:cstheme="majorBidi"/>
          <w:noProof/>
          <w:sz w:val="24"/>
          <w:szCs w:val="24"/>
          <w:lang w:eastAsia="fr-FR"/>
        </w:rPr>
      </w:pPr>
      <w:hyperlink w:anchor="_Toc182298878" w:history="1">
        <w:r w:rsidR="004F69A7" w:rsidRPr="00103C6F">
          <w:rPr>
            <w:rStyle w:val="Lienhypertexte"/>
            <w:rFonts w:asciiTheme="majorBidi" w:hAnsiTheme="majorBidi" w:cstheme="majorBidi"/>
            <w:noProof/>
            <w:sz w:val="24"/>
            <w:szCs w:val="24"/>
          </w:rPr>
          <w:t>3.2.1.2.3 Divulgation d'informations et transparence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_Toc182298878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174</w:t>
        </w:r>
        <w:r w:rsidR="004F69A7" w:rsidRPr="00103C6F">
          <w:rPr>
            <w:rFonts w:asciiTheme="majorBidi" w:hAnsiTheme="majorBidi" w:cstheme="majorBidi"/>
            <w:noProof/>
            <w:webHidden/>
            <w:sz w:val="24"/>
            <w:szCs w:val="24"/>
          </w:rPr>
          <w:fldChar w:fldCharType="end"/>
        </w:r>
      </w:hyperlink>
    </w:p>
    <w:p w14:paraId="27A00C65" w14:textId="12E9418B"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79" w:history="1">
        <w:r w:rsidR="004F69A7" w:rsidRPr="00103C6F">
          <w:rPr>
            <w:rStyle w:val="Lienhypertexte"/>
            <w:rFonts w:asciiTheme="majorBidi" w:hAnsiTheme="majorBidi" w:cstheme="majorBidi"/>
            <w:noProof/>
            <w:sz w:val="24"/>
            <w:szCs w:val="24"/>
          </w:rPr>
          <w:t>3.2.2- Gestion du risque commercial déplacé</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_Toc182298879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174</w:t>
        </w:r>
        <w:r w:rsidR="004F69A7" w:rsidRPr="00103C6F">
          <w:rPr>
            <w:rFonts w:asciiTheme="majorBidi" w:hAnsiTheme="majorBidi" w:cstheme="majorBidi"/>
            <w:noProof/>
            <w:webHidden/>
            <w:sz w:val="24"/>
            <w:szCs w:val="24"/>
          </w:rPr>
          <w:fldChar w:fldCharType="end"/>
        </w:r>
      </w:hyperlink>
    </w:p>
    <w:p w14:paraId="4208438D" w14:textId="7E2C2EE2"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80" w:history="1">
        <w:r w:rsidR="004F69A7" w:rsidRPr="00103C6F">
          <w:rPr>
            <w:rStyle w:val="Lienhypertexte"/>
            <w:rFonts w:asciiTheme="majorBidi" w:hAnsiTheme="majorBidi" w:cstheme="majorBidi"/>
            <w:noProof/>
            <w:sz w:val="24"/>
            <w:szCs w:val="24"/>
          </w:rPr>
          <w:t>3.2.2.1- Profit Equalisation Reserve (PER)</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_Toc182298880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175</w:t>
        </w:r>
        <w:r w:rsidR="004F69A7" w:rsidRPr="00103C6F">
          <w:rPr>
            <w:rFonts w:asciiTheme="majorBidi" w:hAnsiTheme="majorBidi" w:cstheme="majorBidi"/>
            <w:noProof/>
            <w:webHidden/>
            <w:sz w:val="24"/>
            <w:szCs w:val="24"/>
          </w:rPr>
          <w:fldChar w:fldCharType="end"/>
        </w:r>
      </w:hyperlink>
    </w:p>
    <w:p w14:paraId="52144F4A" w14:textId="709107E4"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81" w:history="1">
        <w:r w:rsidR="004F69A7" w:rsidRPr="00103C6F">
          <w:rPr>
            <w:rStyle w:val="Lienhypertexte"/>
            <w:rFonts w:asciiTheme="majorBidi" w:hAnsiTheme="majorBidi" w:cstheme="majorBidi"/>
            <w:noProof/>
            <w:sz w:val="24"/>
            <w:szCs w:val="24"/>
          </w:rPr>
          <w:t>3.2.2.2- Investment Risk Reserve (IRR)</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_Toc182298881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175</w:t>
        </w:r>
        <w:r w:rsidR="004F69A7" w:rsidRPr="00103C6F">
          <w:rPr>
            <w:rFonts w:asciiTheme="majorBidi" w:hAnsiTheme="majorBidi" w:cstheme="majorBidi"/>
            <w:noProof/>
            <w:webHidden/>
            <w:sz w:val="24"/>
            <w:szCs w:val="24"/>
          </w:rPr>
          <w:fldChar w:fldCharType="end"/>
        </w:r>
      </w:hyperlink>
    </w:p>
    <w:p w14:paraId="7032A644" w14:textId="26BC25F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82" w:history="1">
        <w:r w:rsidR="004F69A7" w:rsidRPr="00103C6F">
          <w:rPr>
            <w:rStyle w:val="Lienhypertexte"/>
            <w:rFonts w:asciiTheme="majorBidi" w:hAnsiTheme="majorBidi" w:cstheme="majorBidi"/>
            <w:noProof/>
            <w:sz w:val="24"/>
            <w:szCs w:val="24"/>
          </w:rPr>
          <w:t>3.2.3- Gestion du risque fiduciaire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_Toc182298882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176</w:t>
        </w:r>
        <w:r w:rsidR="004F69A7" w:rsidRPr="00103C6F">
          <w:rPr>
            <w:rFonts w:asciiTheme="majorBidi" w:hAnsiTheme="majorBidi" w:cstheme="majorBidi"/>
            <w:noProof/>
            <w:webHidden/>
            <w:sz w:val="24"/>
            <w:szCs w:val="24"/>
          </w:rPr>
          <w:fldChar w:fldCharType="end"/>
        </w:r>
      </w:hyperlink>
    </w:p>
    <w:p w14:paraId="62217D7B" w14:textId="4B5AD3C7"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83" w:history="1">
        <w:r w:rsidR="004F69A7" w:rsidRPr="00103C6F">
          <w:rPr>
            <w:rStyle w:val="Lienhypertexte"/>
            <w:rFonts w:asciiTheme="majorBidi" w:hAnsiTheme="majorBidi" w:cstheme="majorBidi"/>
            <w:noProof/>
            <w:sz w:val="24"/>
            <w:szCs w:val="24"/>
          </w:rPr>
          <w:t>3.2.4- Gestion de risque d’investissement en actions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_Toc182298883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176</w:t>
        </w:r>
        <w:r w:rsidR="004F69A7" w:rsidRPr="00103C6F">
          <w:rPr>
            <w:rFonts w:asciiTheme="majorBidi" w:hAnsiTheme="majorBidi" w:cstheme="majorBidi"/>
            <w:noProof/>
            <w:webHidden/>
            <w:sz w:val="24"/>
            <w:szCs w:val="24"/>
          </w:rPr>
          <w:fldChar w:fldCharType="end"/>
        </w:r>
      </w:hyperlink>
    </w:p>
    <w:p w14:paraId="39D7BE69" w14:textId="72CF80ED" w:rsidR="004F69A7" w:rsidRPr="00103C6F" w:rsidRDefault="00C40DAA" w:rsidP="009C2D83">
      <w:pPr>
        <w:pStyle w:val="TM2"/>
        <w:keepNext w:val="0"/>
        <w:keepLines w:val="0"/>
        <w:widowControl w:val="0"/>
        <w:rPr>
          <w:rFonts w:eastAsiaTheme="minorEastAsia"/>
          <w:kern w:val="0"/>
          <w:lang w:eastAsia="fr-FR"/>
        </w:rPr>
      </w:pPr>
      <w:hyperlink w:anchor="_Toc182298884" w:history="1">
        <w:r w:rsidR="004F69A7" w:rsidRPr="00103C6F">
          <w:rPr>
            <w:rStyle w:val="Lienhypertexte"/>
            <w:b w:val="0"/>
            <w:bCs w:val="0"/>
          </w:rPr>
          <w:t>Conclusion</w:t>
        </w:r>
        <w:r w:rsidR="004F69A7" w:rsidRPr="00103C6F">
          <w:rPr>
            <w:webHidden/>
          </w:rPr>
          <w:tab/>
        </w:r>
        <w:r w:rsidR="004F69A7" w:rsidRPr="00103C6F">
          <w:rPr>
            <w:webHidden/>
          </w:rPr>
          <w:fldChar w:fldCharType="begin"/>
        </w:r>
        <w:r w:rsidR="004F69A7" w:rsidRPr="00103C6F">
          <w:rPr>
            <w:webHidden/>
          </w:rPr>
          <w:instrText xml:space="preserve"> PAGEREF _Toc182298884 \h </w:instrText>
        </w:r>
        <w:r w:rsidR="004F69A7" w:rsidRPr="00103C6F">
          <w:rPr>
            <w:webHidden/>
          </w:rPr>
        </w:r>
        <w:r w:rsidR="004F69A7" w:rsidRPr="00103C6F">
          <w:rPr>
            <w:webHidden/>
          </w:rPr>
          <w:fldChar w:fldCharType="separate"/>
        </w:r>
        <w:r w:rsidR="00666FC7">
          <w:rPr>
            <w:webHidden/>
          </w:rPr>
          <w:t>178</w:t>
        </w:r>
        <w:r w:rsidR="004F69A7" w:rsidRPr="00103C6F">
          <w:rPr>
            <w:webHidden/>
          </w:rPr>
          <w:fldChar w:fldCharType="end"/>
        </w:r>
      </w:hyperlink>
    </w:p>
    <w:p w14:paraId="24B09D1C" w14:textId="06E6C246" w:rsidR="004F69A7" w:rsidRPr="00103C6F" w:rsidRDefault="00C40DAA" w:rsidP="006B69C7">
      <w:pPr>
        <w:pStyle w:val="TM1"/>
        <w:rPr>
          <w:rFonts w:eastAsiaTheme="minorEastAsia"/>
          <w:kern w:val="0"/>
          <w:lang w:eastAsia="fr-FR"/>
        </w:rPr>
      </w:pPr>
      <w:hyperlink w:anchor="_Toc182298885" w:history="1">
        <w:r w:rsidR="004F69A7" w:rsidRPr="00103C6F">
          <w:rPr>
            <w:rStyle w:val="Lienhypertexte"/>
          </w:rPr>
          <w:t>Chapitre IV- Etude empirique sur les instruments financiers participatifs</w:t>
        </w:r>
        <w:r w:rsidR="004F69A7" w:rsidRPr="00103C6F">
          <w:rPr>
            <w:webHidden/>
          </w:rPr>
          <w:tab/>
        </w:r>
        <w:r w:rsidR="004F69A7" w:rsidRPr="00103C6F">
          <w:rPr>
            <w:webHidden/>
          </w:rPr>
          <w:fldChar w:fldCharType="begin"/>
        </w:r>
        <w:r w:rsidR="004F69A7" w:rsidRPr="00103C6F">
          <w:rPr>
            <w:webHidden/>
          </w:rPr>
          <w:instrText xml:space="preserve"> PAGEREF _Toc182298885 \h </w:instrText>
        </w:r>
        <w:r w:rsidR="004F69A7" w:rsidRPr="00103C6F">
          <w:rPr>
            <w:webHidden/>
          </w:rPr>
        </w:r>
        <w:r w:rsidR="004F69A7" w:rsidRPr="00103C6F">
          <w:rPr>
            <w:webHidden/>
          </w:rPr>
          <w:fldChar w:fldCharType="separate"/>
        </w:r>
        <w:r w:rsidR="00666FC7">
          <w:rPr>
            <w:webHidden/>
          </w:rPr>
          <w:t>179</w:t>
        </w:r>
        <w:r w:rsidR="004F69A7" w:rsidRPr="00103C6F">
          <w:rPr>
            <w:webHidden/>
          </w:rPr>
          <w:fldChar w:fldCharType="end"/>
        </w:r>
      </w:hyperlink>
    </w:p>
    <w:p w14:paraId="26880248" w14:textId="6A217815" w:rsidR="004F69A7" w:rsidRPr="00103C6F" w:rsidRDefault="00C40DAA" w:rsidP="009C2D83">
      <w:pPr>
        <w:pStyle w:val="TM2"/>
        <w:keepNext w:val="0"/>
        <w:keepLines w:val="0"/>
        <w:widowControl w:val="0"/>
        <w:rPr>
          <w:rFonts w:eastAsiaTheme="minorEastAsia"/>
          <w:kern w:val="0"/>
          <w:lang w:eastAsia="fr-FR"/>
        </w:rPr>
      </w:pPr>
      <w:hyperlink w:anchor="_Toc182298886" w:history="1">
        <w:r w:rsidR="004F69A7" w:rsidRPr="00103C6F">
          <w:rPr>
            <w:rStyle w:val="Lienhypertexte"/>
          </w:rPr>
          <w:t>Section I - Méthodologie de recherche</w:t>
        </w:r>
        <w:r w:rsidR="004F69A7" w:rsidRPr="00103C6F">
          <w:rPr>
            <w:webHidden/>
          </w:rPr>
          <w:tab/>
        </w:r>
        <w:r w:rsidR="004F69A7" w:rsidRPr="00103C6F">
          <w:rPr>
            <w:webHidden/>
          </w:rPr>
          <w:fldChar w:fldCharType="begin"/>
        </w:r>
        <w:r w:rsidR="004F69A7" w:rsidRPr="00103C6F">
          <w:rPr>
            <w:webHidden/>
          </w:rPr>
          <w:instrText xml:space="preserve"> PAGEREF _Toc182298886 \h </w:instrText>
        </w:r>
        <w:r w:rsidR="004F69A7" w:rsidRPr="00103C6F">
          <w:rPr>
            <w:webHidden/>
          </w:rPr>
        </w:r>
        <w:r w:rsidR="004F69A7" w:rsidRPr="00103C6F">
          <w:rPr>
            <w:webHidden/>
          </w:rPr>
          <w:fldChar w:fldCharType="separate"/>
        </w:r>
        <w:r w:rsidR="00666FC7">
          <w:rPr>
            <w:webHidden/>
          </w:rPr>
          <w:t>179</w:t>
        </w:r>
        <w:r w:rsidR="004F69A7" w:rsidRPr="00103C6F">
          <w:rPr>
            <w:webHidden/>
          </w:rPr>
          <w:fldChar w:fldCharType="end"/>
        </w:r>
      </w:hyperlink>
    </w:p>
    <w:p w14:paraId="4ACC4618" w14:textId="623481ED" w:rsidR="004F69A7" w:rsidRPr="00103C6F" w:rsidRDefault="00C40DAA" w:rsidP="009C2D83">
      <w:pPr>
        <w:pStyle w:val="TM3"/>
        <w:keepNext w:val="0"/>
        <w:keepLines w:val="0"/>
        <w:widowControl w:val="0"/>
        <w:rPr>
          <w:rFonts w:eastAsiaTheme="minorEastAsia"/>
          <w:lang w:eastAsia="fr-FR"/>
        </w:rPr>
      </w:pPr>
      <w:hyperlink w:anchor="_Toc182298887" w:history="1">
        <w:r w:rsidR="004F69A7" w:rsidRPr="00103C6F">
          <w:rPr>
            <w:rStyle w:val="Lienhypertexte"/>
          </w:rPr>
          <w:t>1.1- Objectifs de recherche</w:t>
        </w:r>
        <w:r w:rsidR="004F69A7" w:rsidRPr="00103C6F">
          <w:rPr>
            <w:webHidden/>
          </w:rPr>
          <w:tab/>
        </w:r>
        <w:r w:rsidR="004F69A7" w:rsidRPr="00103C6F">
          <w:rPr>
            <w:webHidden/>
          </w:rPr>
          <w:fldChar w:fldCharType="begin"/>
        </w:r>
        <w:r w:rsidR="004F69A7" w:rsidRPr="00103C6F">
          <w:rPr>
            <w:webHidden/>
          </w:rPr>
          <w:instrText xml:space="preserve"> PAGEREF _Toc182298887 \h </w:instrText>
        </w:r>
        <w:r w:rsidR="004F69A7" w:rsidRPr="00103C6F">
          <w:rPr>
            <w:webHidden/>
          </w:rPr>
        </w:r>
        <w:r w:rsidR="004F69A7" w:rsidRPr="00103C6F">
          <w:rPr>
            <w:webHidden/>
          </w:rPr>
          <w:fldChar w:fldCharType="separate"/>
        </w:r>
        <w:r w:rsidR="00666FC7">
          <w:rPr>
            <w:webHidden/>
          </w:rPr>
          <w:t>180</w:t>
        </w:r>
        <w:r w:rsidR="004F69A7" w:rsidRPr="00103C6F">
          <w:rPr>
            <w:webHidden/>
          </w:rPr>
          <w:fldChar w:fldCharType="end"/>
        </w:r>
      </w:hyperlink>
    </w:p>
    <w:p w14:paraId="19A9DA91" w14:textId="4B314AE1" w:rsidR="004F69A7" w:rsidRPr="00103C6F" w:rsidRDefault="00C40DAA" w:rsidP="009C2D83">
      <w:pPr>
        <w:pStyle w:val="TM3"/>
        <w:keepNext w:val="0"/>
        <w:keepLines w:val="0"/>
        <w:widowControl w:val="0"/>
        <w:rPr>
          <w:rFonts w:eastAsiaTheme="minorEastAsia"/>
          <w:lang w:eastAsia="fr-FR"/>
        </w:rPr>
      </w:pPr>
      <w:hyperlink w:anchor="_Toc182298888" w:history="1">
        <w:r w:rsidR="004F69A7" w:rsidRPr="00103C6F">
          <w:rPr>
            <w:rStyle w:val="Lienhypertexte"/>
          </w:rPr>
          <w:t>1.2- Hypothèses de recherche</w:t>
        </w:r>
        <w:r w:rsidR="004F69A7" w:rsidRPr="00103C6F">
          <w:rPr>
            <w:webHidden/>
          </w:rPr>
          <w:tab/>
        </w:r>
        <w:r w:rsidR="004F69A7" w:rsidRPr="00103C6F">
          <w:rPr>
            <w:webHidden/>
          </w:rPr>
          <w:fldChar w:fldCharType="begin"/>
        </w:r>
        <w:r w:rsidR="004F69A7" w:rsidRPr="00103C6F">
          <w:rPr>
            <w:webHidden/>
          </w:rPr>
          <w:instrText xml:space="preserve"> PAGEREF _Toc182298888 \h </w:instrText>
        </w:r>
        <w:r w:rsidR="004F69A7" w:rsidRPr="00103C6F">
          <w:rPr>
            <w:webHidden/>
          </w:rPr>
        </w:r>
        <w:r w:rsidR="004F69A7" w:rsidRPr="00103C6F">
          <w:rPr>
            <w:webHidden/>
          </w:rPr>
          <w:fldChar w:fldCharType="separate"/>
        </w:r>
        <w:r w:rsidR="00666FC7">
          <w:rPr>
            <w:webHidden/>
          </w:rPr>
          <w:t>181</w:t>
        </w:r>
        <w:r w:rsidR="004F69A7" w:rsidRPr="00103C6F">
          <w:rPr>
            <w:webHidden/>
          </w:rPr>
          <w:fldChar w:fldCharType="end"/>
        </w:r>
      </w:hyperlink>
    </w:p>
    <w:p w14:paraId="2432A9F8" w14:textId="08AF1D85" w:rsidR="004F69A7" w:rsidRPr="00103C6F" w:rsidRDefault="00C40DAA" w:rsidP="009C2D83">
      <w:pPr>
        <w:pStyle w:val="TM3"/>
        <w:keepNext w:val="0"/>
        <w:keepLines w:val="0"/>
        <w:widowControl w:val="0"/>
        <w:rPr>
          <w:rFonts w:eastAsiaTheme="minorEastAsia"/>
          <w:lang w:eastAsia="fr-FR"/>
        </w:rPr>
      </w:pPr>
      <w:hyperlink w:anchor="_Toc182298889" w:history="1">
        <w:r w:rsidR="004F69A7" w:rsidRPr="00103C6F">
          <w:rPr>
            <w:rStyle w:val="Lienhypertexte"/>
          </w:rPr>
          <w:t>1.3- Le questionnaire d'enquête</w:t>
        </w:r>
        <w:r w:rsidR="004F69A7" w:rsidRPr="00103C6F">
          <w:rPr>
            <w:webHidden/>
          </w:rPr>
          <w:tab/>
        </w:r>
        <w:r w:rsidR="004F69A7" w:rsidRPr="00103C6F">
          <w:rPr>
            <w:webHidden/>
          </w:rPr>
          <w:fldChar w:fldCharType="begin"/>
        </w:r>
        <w:r w:rsidR="004F69A7" w:rsidRPr="00103C6F">
          <w:rPr>
            <w:webHidden/>
          </w:rPr>
          <w:instrText xml:space="preserve"> PAGEREF _Toc182298889 \h </w:instrText>
        </w:r>
        <w:r w:rsidR="004F69A7" w:rsidRPr="00103C6F">
          <w:rPr>
            <w:webHidden/>
          </w:rPr>
        </w:r>
        <w:r w:rsidR="004F69A7" w:rsidRPr="00103C6F">
          <w:rPr>
            <w:webHidden/>
          </w:rPr>
          <w:fldChar w:fldCharType="separate"/>
        </w:r>
        <w:r w:rsidR="00666FC7">
          <w:rPr>
            <w:webHidden/>
          </w:rPr>
          <w:t>182</w:t>
        </w:r>
        <w:r w:rsidR="004F69A7" w:rsidRPr="00103C6F">
          <w:rPr>
            <w:webHidden/>
          </w:rPr>
          <w:fldChar w:fldCharType="end"/>
        </w:r>
      </w:hyperlink>
    </w:p>
    <w:p w14:paraId="46AF58E6" w14:textId="0862BB7C"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90" w:history="1">
        <w:r w:rsidR="004F69A7" w:rsidRPr="00103C6F">
          <w:rPr>
            <w:rStyle w:val="Lienhypertexte"/>
            <w:rFonts w:asciiTheme="majorBidi" w:hAnsiTheme="majorBidi" w:cstheme="majorBidi"/>
            <w:noProof/>
            <w:kern w:val="24"/>
            <w:sz w:val="24"/>
            <w:szCs w:val="24"/>
          </w:rPr>
          <w:t>1.3.1- Structure du questionnaire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_Toc182298890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183</w:t>
        </w:r>
        <w:r w:rsidR="004F69A7" w:rsidRPr="00103C6F">
          <w:rPr>
            <w:rFonts w:asciiTheme="majorBidi" w:hAnsiTheme="majorBidi" w:cstheme="majorBidi"/>
            <w:noProof/>
            <w:webHidden/>
            <w:sz w:val="24"/>
            <w:szCs w:val="24"/>
          </w:rPr>
          <w:fldChar w:fldCharType="end"/>
        </w:r>
      </w:hyperlink>
    </w:p>
    <w:p w14:paraId="4FF2462C" w14:textId="1A79AD91"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91" w:history="1">
        <w:r w:rsidR="004F69A7" w:rsidRPr="00103C6F">
          <w:rPr>
            <w:rStyle w:val="Lienhypertexte"/>
            <w:rFonts w:asciiTheme="majorBidi" w:hAnsiTheme="majorBidi" w:cstheme="majorBidi"/>
            <w:noProof/>
            <w:sz w:val="24"/>
            <w:szCs w:val="24"/>
          </w:rPr>
          <w:t>1.3.2- Echantillonnage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_Toc182298891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184</w:t>
        </w:r>
        <w:r w:rsidR="004F69A7" w:rsidRPr="00103C6F">
          <w:rPr>
            <w:rFonts w:asciiTheme="majorBidi" w:hAnsiTheme="majorBidi" w:cstheme="majorBidi"/>
            <w:noProof/>
            <w:webHidden/>
            <w:sz w:val="24"/>
            <w:szCs w:val="24"/>
          </w:rPr>
          <w:fldChar w:fldCharType="end"/>
        </w:r>
      </w:hyperlink>
    </w:p>
    <w:p w14:paraId="1C7ADEED" w14:textId="4757F03E"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92" w:history="1">
        <w:r w:rsidR="004F69A7" w:rsidRPr="00103C6F">
          <w:rPr>
            <w:rStyle w:val="Lienhypertexte"/>
            <w:rFonts w:asciiTheme="majorBidi" w:hAnsiTheme="majorBidi" w:cstheme="majorBidi"/>
            <w:noProof/>
            <w:sz w:val="24"/>
            <w:szCs w:val="24"/>
          </w:rPr>
          <w:t>1.3.3- Test du questionnaire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_Toc182298892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185</w:t>
        </w:r>
        <w:r w:rsidR="004F69A7" w:rsidRPr="00103C6F">
          <w:rPr>
            <w:rFonts w:asciiTheme="majorBidi" w:hAnsiTheme="majorBidi" w:cstheme="majorBidi"/>
            <w:noProof/>
            <w:webHidden/>
            <w:sz w:val="24"/>
            <w:szCs w:val="24"/>
          </w:rPr>
          <w:fldChar w:fldCharType="end"/>
        </w:r>
      </w:hyperlink>
    </w:p>
    <w:p w14:paraId="30C6F4E1" w14:textId="395AC0BF"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93" w:history="1">
        <w:r w:rsidR="004F69A7" w:rsidRPr="00103C6F">
          <w:rPr>
            <w:rStyle w:val="Lienhypertexte"/>
            <w:rFonts w:asciiTheme="majorBidi" w:hAnsiTheme="majorBidi" w:cstheme="majorBidi"/>
            <w:noProof/>
            <w:sz w:val="24"/>
            <w:szCs w:val="24"/>
          </w:rPr>
          <w:t>1.3.3.1- Fiabilité du questionnaire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_Toc182298893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186</w:t>
        </w:r>
        <w:r w:rsidR="004F69A7" w:rsidRPr="00103C6F">
          <w:rPr>
            <w:rFonts w:asciiTheme="majorBidi" w:hAnsiTheme="majorBidi" w:cstheme="majorBidi"/>
            <w:noProof/>
            <w:webHidden/>
            <w:sz w:val="24"/>
            <w:szCs w:val="24"/>
          </w:rPr>
          <w:fldChar w:fldCharType="end"/>
        </w:r>
      </w:hyperlink>
    </w:p>
    <w:p w14:paraId="5BAD19DA" w14:textId="67206EA1"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94" w:history="1">
        <w:r w:rsidR="004F69A7" w:rsidRPr="00103C6F">
          <w:rPr>
            <w:rStyle w:val="Lienhypertexte"/>
            <w:rFonts w:asciiTheme="majorBidi" w:hAnsiTheme="majorBidi" w:cstheme="majorBidi"/>
            <w:noProof/>
            <w:sz w:val="24"/>
            <w:szCs w:val="24"/>
          </w:rPr>
          <w:t>1.3.3.2- Test d’Alpha de Cronbach</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_Toc182298894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186</w:t>
        </w:r>
        <w:r w:rsidR="004F69A7" w:rsidRPr="00103C6F">
          <w:rPr>
            <w:rFonts w:asciiTheme="majorBidi" w:hAnsiTheme="majorBidi" w:cstheme="majorBidi"/>
            <w:noProof/>
            <w:webHidden/>
            <w:sz w:val="24"/>
            <w:szCs w:val="24"/>
          </w:rPr>
          <w:fldChar w:fldCharType="end"/>
        </w:r>
      </w:hyperlink>
    </w:p>
    <w:p w14:paraId="1AC5B04A" w14:textId="761335D7" w:rsidR="004F69A7" w:rsidRPr="00103C6F" w:rsidRDefault="00C40DAA" w:rsidP="009C2D83">
      <w:pPr>
        <w:pStyle w:val="TM3"/>
        <w:keepNext w:val="0"/>
        <w:keepLines w:val="0"/>
        <w:widowControl w:val="0"/>
        <w:rPr>
          <w:rFonts w:eastAsiaTheme="minorEastAsia"/>
          <w:lang w:eastAsia="fr-FR"/>
        </w:rPr>
      </w:pPr>
      <w:hyperlink w:anchor="_Toc182298895" w:history="1">
        <w:r w:rsidR="004F69A7" w:rsidRPr="00103C6F">
          <w:rPr>
            <w:rStyle w:val="Lienhypertexte"/>
          </w:rPr>
          <w:t>1.4- Outils de recherche utilisés</w:t>
        </w:r>
        <w:r w:rsidR="004F69A7" w:rsidRPr="00103C6F">
          <w:rPr>
            <w:webHidden/>
          </w:rPr>
          <w:tab/>
        </w:r>
        <w:r w:rsidR="004F69A7" w:rsidRPr="00103C6F">
          <w:rPr>
            <w:webHidden/>
          </w:rPr>
          <w:fldChar w:fldCharType="begin"/>
        </w:r>
        <w:r w:rsidR="004F69A7" w:rsidRPr="00103C6F">
          <w:rPr>
            <w:webHidden/>
          </w:rPr>
          <w:instrText xml:space="preserve"> PAGEREF _Toc182298895 \h </w:instrText>
        </w:r>
        <w:r w:rsidR="004F69A7" w:rsidRPr="00103C6F">
          <w:rPr>
            <w:webHidden/>
          </w:rPr>
        </w:r>
        <w:r w:rsidR="004F69A7" w:rsidRPr="00103C6F">
          <w:rPr>
            <w:webHidden/>
          </w:rPr>
          <w:fldChar w:fldCharType="separate"/>
        </w:r>
        <w:r w:rsidR="00666FC7">
          <w:rPr>
            <w:webHidden/>
          </w:rPr>
          <w:t>186</w:t>
        </w:r>
        <w:r w:rsidR="004F69A7" w:rsidRPr="00103C6F">
          <w:rPr>
            <w:webHidden/>
          </w:rPr>
          <w:fldChar w:fldCharType="end"/>
        </w:r>
      </w:hyperlink>
    </w:p>
    <w:p w14:paraId="2D08D688" w14:textId="1E5C456A"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96" w:history="1">
        <w:r w:rsidR="004F69A7" w:rsidRPr="00103C6F">
          <w:rPr>
            <w:rStyle w:val="Lienhypertexte"/>
            <w:rFonts w:asciiTheme="majorBidi" w:hAnsiTheme="majorBidi" w:cstheme="majorBidi"/>
            <w:noProof/>
            <w:sz w:val="24"/>
            <w:szCs w:val="24"/>
          </w:rPr>
          <w:t>1.4.1- Analyse descriptive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_Toc182298896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187</w:t>
        </w:r>
        <w:r w:rsidR="004F69A7" w:rsidRPr="00103C6F">
          <w:rPr>
            <w:rFonts w:asciiTheme="majorBidi" w:hAnsiTheme="majorBidi" w:cstheme="majorBidi"/>
            <w:noProof/>
            <w:webHidden/>
            <w:sz w:val="24"/>
            <w:szCs w:val="24"/>
          </w:rPr>
          <w:fldChar w:fldCharType="end"/>
        </w:r>
      </w:hyperlink>
    </w:p>
    <w:p w14:paraId="471AFC78" w14:textId="2289098F"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897" w:history="1">
        <w:r w:rsidR="004F69A7" w:rsidRPr="00103C6F">
          <w:rPr>
            <w:rStyle w:val="Lienhypertexte"/>
            <w:rFonts w:asciiTheme="majorBidi" w:hAnsiTheme="majorBidi" w:cstheme="majorBidi"/>
            <w:noProof/>
            <w:sz w:val="24"/>
            <w:szCs w:val="24"/>
          </w:rPr>
          <w:t>1.4.2- Tests non-paramétriques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_Toc182298897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187</w:t>
        </w:r>
        <w:r w:rsidR="004F69A7" w:rsidRPr="00103C6F">
          <w:rPr>
            <w:rFonts w:asciiTheme="majorBidi" w:hAnsiTheme="majorBidi" w:cstheme="majorBidi"/>
            <w:noProof/>
            <w:webHidden/>
            <w:sz w:val="24"/>
            <w:szCs w:val="24"/>
          </w:rPr>
          <w:fldChar w:fldCharType="end"/>
        </w:r>
      </w:hyperlink>
    </w:p>
    <w:p w14:paraId="715451FF" w14:textId="0919049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98" w:history="1">
        <w:r w:rsidR="004F69A7" w:rsidRPr="00103C6F">
          <w:rPr>
            <w:rStyle w:val="Lienhypertexte"/>
            <w:rFonts w:asciiTheme="majorBidi" w:hAnsiTheme="majorBidi" w:cstheme="majorBidi"/>
            <w:noProof/>
            <w:sz w:val="24"/>
            <w:szCs w:val="24"/>
          </w:rPr>
          <w:t>1.4.2.1- Test Chi-Deux</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_Toc182298898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187</w:t>
        </w:r>
        <w:r w:rsidR="004F69A7" w:rsidRPr="00103C6F">
          <w:rPr>
            <w:rFonts w:asciiTheme="majorBidi" w:hAnsiTheme="majorBidi" w:cstheme="majorBidi"/>
            <w:noProof/>
            <w:webHidden/>
            <w:sz w:val="24"/>
            <w:szCs w:val="24"/>
          </w:rPr>
          <w:fldChar w:fldCharType="end"/>
        </w:r>
      </w:hyperlink>
    </w:p>
    <w:p w14:paraId="4ADA8BA3" w14:textId="4EC2ADC2"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899" w:history="1">
        <w:r w:rsidR="004F69A7" w:rsidRPr="00103C6F">
          <w:rPr>
            <w:rStyle w:val="Lienhypertexte"/>
            <w:rFonts w:asciiTheme="majorBidi" w:hAnsiTheme="majorBidi" w:cstheme="majorBidi"/>
            <w:noProof/>
            <w:sz w:val="24"/>
            <w:szCs w:val="24"/>
            <w:lang w:val="en-GB"/>
          </w:rPr>
          <w:t>1.4.2.2- Test de Kruskal-Wallis et Mann-Whitney</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_Toc182298899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187</w:t>
        </w:r>
        <w:r w:rsidR="004F69A7" w:rsidRPr="00103C6F">
          <w:rPr>
            <w:rFonts w:asciiTheme="majorBidi" w:hAnsiTheme="majorBidi" w:cstheme="majorBidi"/>
            <w:noProof/>
            <w:webHidden/>
            <w:sz w:val="24"/>
            <w:szCs w:val="24"/>
          </w:rPr>
          <w:fldChar w:fldCharType="end"/>
        </w:r>
      </w:hyperlink>
    </w:p>
    <w:p w14:paraId="3D2BCA8D" w14:textId="541CDB0C"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00" w:history="1">
        <w:r w:rsidR="004F69A7" w:rsidRPr="00103C6F">
          <w:rPr>
            <w:rStyle w:val="Lienhypertexte"/>
            <w:rFonts w:asciiTheme="majorBidi" w:hAnsiTheme="majorBidi" w:cstheme="majorBidi"/>
            <w:noProof/>
            <w:sz w:val="24"/>
            <w:szCs w:val="24"/>
          </w:rPr>
          <w:t>1.4.2.3- Analyse interprétative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_Toc182298900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188</w:t>
        </w:r>
        <w:r w:rsidR="004F69A7" w:rsidRPr="00103C6F">
          <w:rPr>
            <w:rFonts w:asciiTheme="majorBidi" w:hAnsiTheme="majorBidi" w:cstheme="majorBidi"/>
            <w:noProof/>
            <w:webHidden/>
            <w:sz w:val="24"/>
            <w:szCs w:val="24"/>
          </w:rPr>
          <w:fldChar w:fldCharType="end"/>
        </w:r>
      </w:hyperlink>
    </w:p>
    <w:p w14:paraId="540650FF" w14:textId="5BA09D55" w:rsidR="004F69A7" w:rsidRPr="00103C6F" w:rsidRDefault="00C40DAA" w:rsidP="009C2D83">
      <w:pPr>
        <w:pStyle w:val="TM2"/>
        <w:keepNext w:val="0"/>
        <w:keepLines w:val="0"/>
        <w:widowControl w:val="0"/>
        <w:rPr>
          <w:rFonts w:eastAsiaTheme="minorEastAsia"/>
          <w:kern w:val="0"/>
          <w:lang w:eastAsia="fr-FR"/>
        </w:rPr>
      </w:pPr>
      <w:hyperlink w:anchor="_Toc182298901" w:history="1">
        <w:r w:rsidR="004F69A7" w:rsidRPr="00103C6F">
          <w:rPr>
            <w:rStyle w:val="Lienhypertexte"/>
          </w:rPr>
          <w:t>Section II - Analyse et interprétation des résultats</w:t>
        </w:r>
        <w:r w:rsidR="004F69A7" w:rsidRPr="00103C6F">
          <w:rPr>
            <w:webHidden/>
          </w:rPr>
          <w:tab/>
        </w:r>
        <w:r w:rsidR="004F69A7" w:rsidRPr="00103C6F">
          <w:rPr>
            <w:webHidden/>
          </w:rPr>
          <w:fldChar w:fldCharType="begin"/>
        </w:r>
        <w:r w:rsidR="004F69A7" w:rsidRPr="00103C6F">
          <w:rPr>
            <w:webHidden/>
          </w:rPr>
          <w:instrText xml:space="preserve"> PAGEREF _Toc182298901 \h </w:instrText>
        </w:r>
        <w:r w:rsidR="004F69A7" w:rsidRPr="00103C6F">
          <w:rPr>
            <w:webHidden/>
          </w:rPr>
        </w:r>
        <w:r w:rsidR="004F69A7" w:rsidRPr="00103C6F">
          <w:rPr>
            <w:webHidden/>
          </w:rPr>
          <w:fldChar w:fldCharType="separate"/>
        </w:r>
        <w:r w:rsidR="00666FC7">
          <w:rPr>
            <w:webHidden/>
          </w:rPr>
          <w:t>188</w:t>
        </w:r>
        <w:r w:rsidR="004F69A7" w:rsidRPr="00103C6F">
          <w:rPr>
            <w:webHidden/>
          </w:rPr>
          <w:fldChar w:fldCharType="end"/>
        </w:r>
      </w:hyperlink>
    </w:p>
    <w:p w14:paraId="115E354F" w14:textId="6AA785E3" w:rsidR="004F69A7" w:rsidRPr="00103C6F" w:rsidRDefault="00C40DAA" w:rsidP="009C2D83">
      <w:pPr>
        <w:pStyle w:val="TM3"/>
        <w:keepNext w:val="0"/>
        <w:keepLines w:val="0"/>
        <w:widowControl w:val="0"/>
        <w:rPr>
          <w:rFonts w:eastAsiaTheme="minorEastAsia"/>
          <w:lang w:eastAsia="fr-FR"/>
        </w:rPr>
      </w:pPr>
      <w:hyperlink w:anchor="_Toc182298902" w:history="1">
        <w:r w:rsidR="004F69A7" w:rsidRPr="00103C6F">
          <w:rPr>
            <w:rStyle w:val="Lienhypertexte"/>
          </w:rPr>
          <w:t>2.1- Analyse descriptive des données</w:t>
        </w:r>
        <w:r w:rsidR="004F69A7" w:rsidRPr="00103C6F">
          <w:rPr>
            <w:webHidden/>
          </w:rPr>
          <w:tab/>
        </w:r>
        <w:r w:rsidR="004F69A7" w:rsidRPr="00103C6F">
          <w:rPr>
            <w:webHidden/>
          </w:rPr>
          <w:fldChar w:fldCharType="begin"/>
        </w:r>
        <w:r w:rsidR="004F69A7" w:rsidRPr="00103C6F">
          <w:rPr>
            <w:webHidden/>
          </w:rPr>
          <w:instrText xml:space="preserve"> PAGEREF _Toc182298902 \h </w:instrText>
        </w:r>
        <w:r w:rsidR="004F69A7" w:rsidRPr="00103C6F">
          <w:rPr>
            <w:webHidden/>
          </w:rPr>
        </w:r>
        <w:r w:rsidR="004F69A7" w:rsidRPr="00103C6F">
          <w:rPr>
            <w:webHidden/>
          </w:rPr>
          <w:fldChar w:fldCharType="separate"/>
        </w:r>
        <w:r w:rsidR="00666FC7">
          <w:rPr>
            <w:webHidden/>
          </w:rPr>
          <w:t>188</w:t>
        </w:r>
        <w:r w:rsidR="004F69A7" w:rsidRPr="00103C6F">
          <w:rPr>
            <w:webHidden/>
          </w:rPr>
          <w:fldChar w:fldCharType="end"/>
        </w:r>
      </w:hyperlink>
    </w:p>
    <w:p w14:paraId="662FD60A" w14:textId="1BE18EEA"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03" w:history="1">
        <w:r w:rsidR="004F69A7" w:rsidRPr="00103C6F">
          <w:rPr>
            <w:rStyle w:val="Lienhypertexte"/>
            <w:rFonts w:asciiTheme="majorBidi" w:hAnsiTheme="majorBidi" w:cstheme="majorBidi"/>
            <w:noProof/>
            <w:sz w:val="24"/>
            <w:szCs w:val="24"/>
          </w:rPr>
          <w:t>2.1.1- Caractéristiques des répondants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_Toc182298903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188</w:t>
        </w:r>
        <w:r w:rsidR="004F69A7" w:rsidRPr="00103C6F">
          <w:rPr>
            <w:rFonts w:asciiTheme="majorBidi" w:hAnsiTheme="majorBidi" w:cstheme="majorBidi"/>
            <w:noProof/>
            <w:webHidden/>
            <w:sz w:val="24"/>
            <w:szCs w:val="24"/>
          </w:rPr>
          <w:fldChar w:fldCharType="end"/>
        </w:r>
      </w:hyperlink>
    </w:p>
    <w:p w14:paraId="54331C44" w14:textId="72E6E60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04" w:history="1">
        <w:r w:rsidR="004F69A7" w:rsidRPr="00103C6F">
          <w:rPr>
            <w:rStyle w:val="Lienhypertexte"/>
            <w:rFonts w:asciiTheme="majorBidi" w:hAnsiTheme="majorBidi" w:cstheme="majorBidi"/>
            <w:noProof/>
            <w:sz w:val="24"/>
            <w:szCs w:val="24"/>
          </w:rPr>
          <w:t>2.1.2- Perception des risques par les banquiers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_Toc182298904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192</w:t>
        </w:r>
        <w:r w:rsidR="004F69A7" w:rsidRPr="00103C6F">
          <w:rPr>
            <w:rFonts w:asciiTheme="majorBidi" w:hAnsiTheme="majorBidi" w:cstheme="majorBidi"/>
            <w:noProof/>
            <w:webHidden/>
            <w:sz w:val="24"/>
            <w:szCs w:val="24"/>
          </w:rPr>
          <w:fldChar w:fldCharType="end"/>
        </w:r>
      </w:hyperlink>
    </w:p>
    <w:p w14:paraId="47D0465A" w14:textId="41F2AF9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05" w:history="1">
        <w:r w:rsidR="004F69A7" w:rsidRPr="00103C6F">
          <w:rPr>
            <w:rStyle w:val="Lienhypertexte"/>
            <w:rFonts w:asciiTheme="majorBidi" w:hAnsiTheme="majorBidi" w:cstheme="majorBidi"/>
            <w:noProof/>
            <w:sz w:val="24"/>
            <w:szCs w:val="24"/>
          </w:rPr>
          <w:t>2.1.3- Intensité d'utilisation des différents contrats financiers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_Toc182298905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194</w:t>
        </w:r>
        <w:r w:rsidR="004F69A7" w:rsidRPr="00103C6F">
          <w:rPr>
            <w:rFonts w:asciiTheme="majorBidi" w:hAnsiTheme="majorBidi" w:cstheme="majorBidi"/>
            <w:noProof/>
            <w:webHidden/>
            <w:sz w:val="24"/>
            <w:szCs w:val="24"/>
          </w:rPr>
          <w:fldChar w:fldCharType="end"/>
        </w:r>
      </w:hyperlink>
    </w:p>
    <w:p w14:paraId="1C27C8E2" w14:textId="326BA705"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06" w:history="1">
        <w:r w:rsidR="004F69A7" w:rsidRPr="00103C6F">
          <w:rPr>
            <w:rStyle w:val="Lienhypertexte"/>
            <w:rFonts w:asciiTheme="majorBidi" w:hAnsiTheme="majorBidi" w:cstheme="majorBidi"/>
            <w:noProof/>
            <w:sz w:val="24"/>
            <w:szCs w:val="24"/>
          </w:rPr>
          <w:t>2.1.4- Perception sur la gravité des produits financiers islamiques face au risque</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_Toc182298906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195</w:t>
        </w:r>
        <w:r w:rsidR="004F69A7" w:rsidRPr="00103C6F">
          <w:rPr>
            <w:rFonts w:asciiTheme="majorBidi" w:hAnsiTheme="majorBidi" w:cstheme="majorBidi"/>
            <w:noProof/>
            <w:webHidden/>
            <w:sz w:val="24"/>
            <w:szCs w:val="24"/>
          </w:rPr>
          <w:fldChar w:fldCharType="end"/>
        </w:r>
      </w:hyperlink>
    </w:p>
    <w:p w14:paraId="3D5245F1" w14:textId="19C97ECE"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07" w:history="1">
        <w:r w:rsidR="004F69A7" w:rsidRPr="00103C6F">
          <w:rPr>
            <w:rStyle w:val="Lienhypertexte"/>
            <w:rFonts w:asciiTheme="majorBidi" w:hAnsiTheme="majorBidi" w:cstheme="majorBidi"/>
            <w:noProof/>
            <w:sz w:val="24"/>
            <w:szCs w:val="24"/>
          </w:rPr>
          <w:t xml:space="preserve">2.1.4.1- </w:t>
        </w:r>
        <w:r w:rsidR="004F69A7" w:rsidRPr="00103C6F">
          <w:rPr>
            <w:rStyle w:val="Lienhypertexte"/>
            <w:rFonts w:asciiTheme="majorBidi" w:eastAsia="Times New Roman" w:hAnsiTheme="majorBidi" w:cstheme="majorBidi"/>
            <w:noProof/>
            <w:sz w:val="24"/>
            <w:szCs w:val="24"/>
          </w:rPr>
          <w:t>Moucharaka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_Toc182298907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196</w:t>
        </w:r>
        <w:r w:rsidR="004F69A7" w:rsidRPr="00103C6F">
          <w:rPr>
            <w:rFonts w:asciiTheme="majorBidi" w:hAnsiTheme="majorBidi" w:cstheme="majorBidi"/>
            <w:noProof/>
            <w:webHidden/>
            <w:sz w:val="24"/>
            <w:szCs w:val="24"/>
          </w:rPr>
          <w:fldChar w:fldCharType="end"/>
        </w:r>
      </w:hyperlink>
    </w:p>
    <w:p w14:paraId="1851FF1A" w14:textId="7861FDBC"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08" w:history="1">
        <w:r w:rsidR="004F69A7" w:rsidRPr="00103C6F">
          <w:rPr>
            <w:rStyle w:val="Lienhypertexte"/>
            <w:rFonts w:asciiTheme="majorBidi" w:hAnsiTheme="majorBidi" w:cstheme="majorBidi"/>
            <w:noProof/>
            <w:sz w:val="24"/>
            <w:szCs w:val="24"/>
          </w:rPr>
          <w:t>2.1.4.2- Moudaraba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_Toc182298908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197</w:t>
        </w:r>
        <w:r w:rsidR="004F69A7" w:rsidRPr="00103C6F">
          <w:rPr>
            <w:rFonts w:asciiTheme="majorBidi" w:hAnsiTheme="majorBidi" w:cstheme="majorBidi"/>
            <w:noProof/>
            <w:webHidden/>
            <w:sz w:val="24"/>
            <w:szCs w:val="24"/>
          </w:rPr>
          <w:fldChar w:fldCharType="end"/>
        </w:r>
      </w:hyperlink>
    </w:p>
    <w:p w14:paraId="1CB4460A" w14:textId="34F6C59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09" w:history="1">
        <w:r w:rsidR="004F69A7" w:rsidRPr="00103C6F">
          <w:rPr>
            <w:rStyle w:val="Lienhypertexte"/>
            <w:rFonts w:asciiTheme="majorBidi" w:hAnsiTheme="majorBidi" w:cstheme="majorBidi"/>
            <w:noProof/>
            <w:sz w:val="24"/>
            <w:szCs w:val="24"/>
          </w:rPr>
          <w:t>2.1.4.3- Mourabaha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_Toc182298909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197</w:t>
        </w:r>
        <w:r w:rsidR="004F69A7" w:rsidRPr="00103C6F">
          <w:rPr>
            <w:rFonts w:asciiTheme="majorBidi" w:hAnsiTheme="majorBidi" w:cstheme="majorBidi"/>
            <w:noProof/>
            <w:webHidden/>
            <w:sz w:val="24"/>
            <w:szCs w:val="24"/>
          </w:rPr>
          <w:fldChar w:fldCharType="end"/>
        </w:r>
      </w:hyperlink>
    </w:p>
    <w:p w14:paraId="4AEFACF2" w14:textId="7AC02430" w:rsidR="004F69A7" w:rsidRPr="00103C6F" w:rsidRDefault="00C40DAA" w:rsidP="009C2D83">
      <w:pPr>
        <w:pStyle w:val="TM5"/>
        <w:widowControl w:val="0"/>
        <w:tabs>
          <w:tab w:val="left" w:pos="1760"/>
          <w:tab w:val="right" w:leader="dot" w:pos="9061"/>
        </w:tabs>
        <w:rPr>
          <w:rFonts w:asciiTheme="majorBidi" w:eastAsiaTheme="minorEastAsia" w:hAnsiTheme="majorBidi" w:cstheme="majorBidi"/>
          <w:noProof/>
          <w:sz w:val="24"/>
          <w:szCs w:val="24"/>
          <w:lang w:eastAsia="fr-FR"/>
        </w:rPr>
      </w:pPr>
      <w:hyperlink w:anchor="_Toc182298910" w:history="1">
        <w:r w:rsidR="004F69A7" w:rsidRPr="00103C6F">
          <w:rPr>
            <w:rStyle w:val="Lienhypertexte"/>
            <w:rFonts w:asciiTheme="majorBidi" w:hAnsiTheme="majorBidi" w:cstheme="majorBidi"/>
            <w:noProof/>
            <w:sz w:val="24"/>
            <w:szCs w:val="24"/>
          </w:rPr>
          <w:t>2.1.4.4</w:t>
        </w:r>
        <w:r w:rsidR="004F69A7" w:rsidRPr="00103C6F">
          <w:rPr>
            <w:rFonts w:asciiTheme="majorBidi" w:eastAsiaTheme="minorEastAsia" w:hAnsiTheme="majorBidi" w:cstheme="majorBidi"/>
            <w:noProof/>
            <w:sz w:val="24"/>
            <w:szCs w:val="24"/>
            <w:lang w:eastAsia="fr-FR"/>
          </w:rPr>
          <w:tab/>
        </w:r>
        <w:r w:rsidR="004F69A7" w:rsidRPr="00103C6F">
          <w:rPr>
            <w:rStyle w:val="Lienhypertexte"/>
            <w:rFonts w:asciiTheme="majorBidi" w:hAnsiTheme="majorBidi" w:cstheme="majorBidi"/>
            <w:noProof/>
            <w:sz w:val="24"/>
            <w:szCs w:val="24"/>
          </w:rPr>
          <w:t>- Salam et istisna’</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_Toc182298910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197</w:t>
        </w:r>
        <w:r w:rsidR="004F69A7" w:rsidRPr="00103C6F">
          <w:rPr>
            <w:rFonts w:asciiTheme="majorBidi" w:hAnsiTheme="majorBidi" w:cstheme="majorBidi"/>
            <w:noProof/>
            <w:webHidden/>
            <w:sz w:val="24"/>
            <w:szCs w:val="24"/>
          </w:rPr>
          <w:fldChar w:fldCharType="end"/>
        </w:r>
      </w:hyperlink>
    </w:p>
    <w:p w14:paraId="67CAAC68" w14:textId="065FCB48"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11" w:history="1">
        <w:r w:rsidR="004F69A7" w:rsidRPr="00103C6F">
          <w:rPr>
            <w:rStyle w:val="Lienhypertexte"/>
            <w:rFonts w:asciiTheme="majorBidi" w:hAnsiTheme="majorBidi" w:cstheme="majorBidi"/>
            <w:noProof/>
            <w:sz w:val="24"/>
            <w:szCs w:val="24"/>
          </w:rPr>
          <w:t>2.1.5- Perception sur les pratiques bancaires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_Toc182298911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198</w:t>
        </w:r>
        <w:r w:rsidR="004F69A7" w:rsidRPr="00103C6F">
          <w:rPr>
            <w:rFonts w:asciiTheme="majorBidi" w:hAnsiTheme="majorBidi" w:cstheme="majorBidi"/>
            <w:noProof/>
            <w:webHidden/>
            <w:sz w:val="24"/>
            <w:szCs w:val="24"/>
          </w:rPr>
          <w:fldChar w:fldCharType="end"/>
        </w:r>
      </w:hyperlink>
    </w:p>
    <w:p w14:paraId="65451295" w14:textId="1BDB60D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12" w:history="1">
        <w:r w:rsidR="004F69A7" w:rsidRPr="00103C6F">
          <w:rPr>
            <w:rStyle w:val="Lienhypertexte"/>
            <w:rFonts w:asciiTheme="majorBidi" w:hAnsiTheme="majorBidi" w:cstheme="majorBidi"/>
            <w:noProof/>
            <w:sz w:val="24"/>
            <w:szCs w:val="24"/>
          </w:rPr>
          <w:t>2.1.6- Perception sur le processus de gestion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_Toc182298912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201</w:t>
        </w:r>
        <w:r w:rsidR="004F69A7" w:rsidRPr="00103C6F">
          <w:rPr>
            <w:rFonts w:asciiTheme="majorBidi" w:hAnsiTheme="majorBidi" w:cstheme="majorBidi"/>
            <w:noProof/>
            <w:webHidden/>
            <w:sz w:val="24"/>
            <w:szCs w:val="24"/>
          </w:rPr>
          <w:fldChar w:fldCharType="end"/>
        </w:r>
      </w:hyperlink>
    </w:p>
    <w:p w14:paraId="25E6C130" w14:textId="28E85E5C"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13" w:history="1">
        <w:r w:rsidR="004F69A7" w:rsidRPr="00103C6F">
          <w:rPr>
            <w:rStyle w:val="Lienhypertexte"/>
            <w:rFonts w:asciiTheme="majorBidi" w:hAnsiTheme="majorBidi" w:cstheme="majorBidi"/>
            <w:noProof/>
            <w:sz w:val="24"/>
            <w:szCs w:val="24"/>
          </w:rPr>
          <w:t>2.1.7- Perceptions sur l'adéquation des fonds propres pour les BI</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_Toc182298913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202</w:t>
        </w:r>
        <w:r w:rsidR="004F69A7" w:rsidRPr="00103C6F">
          <w:rPr>
            <w:rFonts w:asciiTheme="majorBidi" w:hAnsiTheme="majorBidi" w:cstheme="majorBidi"/>
            <w:noProof/>
            <w:webHidden/>
            <w:sz w:val="24"/>
            <w:szCs w:val="24"/>
          </w:rPr>
          <w:fldChar w:fldCharType="end"/>
        </w:r>
      </w:hyperlink>
    </w:p>
    <w:p w14:paraId="208E06DC" w14:textId="3449D27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14" w:history="1">
        <w:r w:rsidR="004F69A7" w:rsidRPr="00103C6F">
          <w:rPr>
            <w:rStyle w:val="Lienhypertexte"/>
            <w:rFonts w:asciiTheme="majorBidi" w:hAnsiTheme="majorBidi" w:cstheme="majorBidi"/>
            <w:noProof/>
            <w:sz w:val="24"/>
            <w:szCs w:val="24"/>
          </w:rPr>
          <w:t>2.1.8- Identification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_Toc182298914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205</w:t>
        </w:r>
        <w:r w:rsidR="004F69A7" w:rsidRPr="00103C6F">
          <w:rPr>
            <w:rFonts w:asciiTheme="majorBidi" w:hAnsiTheme="majorBidi" w:cstheme="majorBidi"/>
            <w:noProof/>
            <w:webHidden/>
            <w:sz w:val="24"/>
            <w:szCs w:val="24"/>
          </w:rPr>
          <w:fldChar w:fldCharType="end"/>
        </w:r>
      </w:hyperlink>
    </w:p>
    <w:p w14:paraId="03A9F726" w14:textId="47C31668"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15" w:history="1">
        <w:r w:rsidR="004F69A7" w:rsidRPr="00103C6F">
          <w:rPr>
            <w:rStyle w:val="Lienhypertexte"/>
            <w:rFonts w:asciiTheme="majorBidi" w:hAnsiTheme="majorBidi" w:cstheme="majorBidi"/>
            <w:noProof/>
            <w:sz w:val="24"/>
            <w:szCs w:val="24"/>
          </w:rPr>
          <w:t>2.1.9- Perception sur la gestion et l'atténuation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_Toc182298915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205</w:t>
        </w:r>
        <w:r w:rsidR="004F69A7" w:rsidRPr="00103C6F">
          <w:rPr>
            <w:rFonts w:asciiTheme="majorBidi" w:hAnsiTheme="majorBidi" w:cstheme="majorBidi"/>
            <w:noProof/>
            <w:webHidden/>
            <w:sz w:val="24"/>
            <w:szCs w:val="24"/>
          </w:rPr>
          <w:fldChar w:fldCharType="end"/>
        </w:r>
      </w:hyperlink>
    </w:p>
    <w:p w14:paraId="2A7B1C63" w14:textId="75E483DD"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16" w:history="1">
        <w:r w:rsidR="004F69A7" w:rsidRPr="00103C6F">
          <w:rPr>
            <w:rStyle w:val="Lienhypertexte"/>
            <w:rFonts w:asciiTheme="majorBidi" w:hAnsiTheme="majorBidi" w:cstheme="majorBidi"/>
            <w:noProof/>
            <w:sz w:val="24"/>
            <w:szCs w:val="24"/>
          </w:rPr>
          <w:t>2.1.9.1- Reporting de gestion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_Toc182298916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206</w:t>
        </w:r>
        <w:r w:rsidR="004F69A7" w:rsidRPr="00103C6F">
          <w:rPr>
            <w:rFonts w:asciiTheme="majorBidi" w:hAnsiTheme="majorBidi" w:cstheme="majorBidi"/>
            <w:noProof/>
            <w:webHidden/>
            <w:sz w:val="24"/>
            <w:szCs w:val="24"/>
          </w:rPr>
          <w:fldChar w:fldCharType="end"/>
        </w:r>
      </w:hyperlink>
    </w:p>
    <w:p w14:paraId="4FFCC28D" w14:textId="52966F43"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17" w:history="1">
        <w:r w:rsidR="004F69A7" w:rsidRPr="00103C6F">
          <w:rPr>
            <w:rStyle w:val="Lienhypertexte"/>
            <w:rFonts w:asciiTheme="majorBidi" w:hAnsiTheme="majorBidi" w:cstheme="majorBidi"/>
            <w:noProof/>
            <w:sz w:val="24"/>
            <w:szCs w:val="24"/>
          </w:rPr>
          <w:t>2.1.9.2- Mesure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_Toc182298917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207</w:t>
        </w:r>
        <w:r w:rsidR="004F69A7" w:rsidRPr="00103C6F">
          <w:rPr>
            <w:rFonts w:asciiTheme="majorBidi" w:hAnsiTheme="majorBidi" w:cstheme="majorBidi"/>
            <w:noProof/>
            <w:webHidden/>
            <w:sz w:val="24"/>
            <w:szCs w:val="24"/>
          </w:rPr>
          <w:fldChar w:fldCharType="end"/>
        </w:r>
      </w:hyperlink>
    </w:p>
    <w:p w14:paraId="2EC08B18" w14:textId="1526A50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18" w:history="1">
        <w:r w:rsidR="004F69A7" w:rsidRPr="00103C6F">
          <w:rPr>
            <w:rStyle w:val="Lienhypertexte"/>
            <w:rFonts w:asciiTheme="majorBidi" w:hAnsiTheme="majorBidi" w:cstheme="majorBidi"/>
            <w:noProof/>
            <w:sz w:val="24"/>
            <w:szCs w:val="24"/>
          </w:rPr>
          <w:t>2.1.9.3- Atténuation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_Toc182298918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207</w:t>
        </w:r>
        <w:r w:rsidR="004F69A7" w:rsidRPr="00103C6F">
          <w:rPr>
            <w:rFonts w:asciiTheme="majorBidi" w:hAnsiTheme="majorBidi" w:cstheme="majorBidi"/>
            <w:noProof/>
            <w:webHidden/>
            <w:sz w:val="24"/>
            <w:szCs w:val="24"/>
          </w:rPr>
          <w:fldChar w:fldCharType="end"/>
        </w:r>
      </w:hyperlink>
    </w:p>
    <w:p w14:paraId="2BA4D277" w14:textId="388994EB"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19" w:history="1">
        <w:r w:rsidR="004F69A7" w:rsidRPr="00103C6F">
          <w:rPr>
            <w:rStyle w:val="Lienhypertexte"/>
            <w:rFonts w:asciiTheme="majorBidi" w:hAnsiTheme="majorBidi" w:cstheme="majorBidi"/>
            <w:noProof/>
            <w:sz w:val="24"/>
            <w:szCs w:val="24"/>
          </w:rPr>
          <w:t>2.1.10- Avenir des produits financiers participatifs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_Toc182298919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208</w:t>
        </w:r>
        <w:r w:rsidR="004F69A7" w:rsidRPr="00103C6F">
          <w:rPr>
            <w:rFonts w:asciiTheme="majorBidi" w:hAnsiTheme="majorBidi" w:cstheme="majorBidi"/>
            <w:noProof/>
            <w:webHidden/>
            <w:sz w:val="24"/>
            <w:szCs w:val="24"/>
          </w:rPr>
          <w:fldChar w:fldCharType="end"/>
        </w:r>
      </w:hyperlink>
    </w:p>
    <w:p w14:paraId="6D2AE24A" w14:textId="0093C7B5" w:rsidR="004F69A7" w:rsidRPr="00103C6F" w:rsidRDefault="00C40DAA" w:rsidP="009C2D83">
      <w:pPr>
        <w:pStyle w:val="TM3"/>
        <w:keepNext w:val="0"/>
        <w:keepLines w:val="0"/>
        <w:widowControl w:val="0"/>
        <w:rPr>
          <w:rFonts w:eastAsiaTheme="minorEastAsia"/>
          <w:lang w:eastAsia="fr-FR"/>
        </w:rPr>
      </w:pPr>
      <w:hyperlink w:anchor="_Toc182298920" w:history="1">
        <w:r w:rsidR="004F69A7" w:rsidRPr="00103C6F">
          <w:rPr>
            <w:rStyle w:val="Lienhypertexte"/>
          </w:rPr>
          <w:t>2.2- Analyse des tests non paramétriques</w:t>
        </w:r>
        <w:r w:rsidR="004F69A7" w:rsidRPr="00103C6F">
          <w:rPr>
            <w:webHidden/>
          </w:rPr>
          <w:tab/>
        </w:r>
        <w:r w:rsidR="004F69A7" w:rsidRPr="00103C6F">
          <w:rPr>
            <w:webHidden/>
          </w:rPr>
          <w:fldChar w:fldCharType="begin"/>
        </w:r>
        <w:r w:rsidR="004F69A7" w:rsidRPr="00103C6F">
          <w:rPr>
            <w:webHidden/>
          </w:rPr>
          <w:instrText xml:space="preserve"> PAGEREF _Toc182298920 \h </w:instrText>
        </w:r>
        <w:r w:rsidR="004F69A7" w:rsidRPr="00103C6F">
          <w:rPr>
            <w:webHidden/>
          </w:rPr>
        </w:r>
        <w:r w:rsidR="004F69A7" w:rsidRPr="00103C6F">
          <w:rPr>
            <w:webHidden/>
          </w:rPr>
          <w:fldChar w:fldCharType="separate"/>
        </w:r>
        <w:r w:rsidR="00666FC7">
          <w:rPr>
            <w:webHidden/>
          </w:rPr>
          <w:t>209</w:t>
        </w:r>
        <w:r w:rsidR="004F69A7" w:rsidRPr="00103C6F">
          <w:rPr>
            <w:webHidden/>
          </w:rPr>
          <w:fldChar w:fldCharType="end"/>
        </w:r>
      </w:hyperlink>
    </w:p>
    <w:p w14:paraId="21382087" w14:textId="67E5D9B6"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21" w:history="1">
        <w:r w:rsidR="004F69A7" w:rsidRPr="00103C6F">
          <w:rPr>
            <w:rStyle w:val="Lienhypertexte"/>
            <w:rFonts w:asciiTheme="majorBidi" w:hAnsiTheme="majorBidi" w:cstheme="majorBidi"/>
            <w:noProof/>
            <w:sz w:val="24"/>
            <w:szCs w:val="24"/>
          </w:rPr>
          <w:t>2.2.1- Perception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_Toc182298921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209</w:t>
        </w:r>
        <w:r w:rsidR="004F69A7" w:rsidRPr="00103C6F">
          <w:rPr>
            <w:rFonts w:asciiTheme="majorBidi" w:hAnsiTheme="majorBidi" w:cstheme="majorBidi"/>
            <w:noProof/>
            <w:webHidden/>
            <w:sz w:val="24"/>
            <w:szCs w:val="24"/>
          </w:rPr>
          <w:fldChar w:fldCharType="end"/>
        </w:r>
      </w:hyperlink>
    </w:p>
    <w:p w14:paraId="0144A766" w14:textId="1998065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22" w:history="1">
        <w:r w:rsidR="004F69A7" w:rsidRPr="00103C6F">
          <w:rPr>
            <w:rStyle w:val="Lienhypertexte"/>
            <w:rFonts w:asciiTheme="majorBidi" w:hAnsiTheme="majorBidi" w:cstheme="majorBidi"/>
            <w:noProof/>
            <w:sz w:val="24"/>
            <w:szCs w:val="24"/>
          </w:rPr>
          <w:t>2.2.1.1- Risques auxquels sont confrontées les BI</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_Toc182298922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210</w:t>
        </w:r>
        <w:r w:rsidR="004F69A7" w:rsidRPr="00103C6F">
          <w:rPr>
            <w:rFonts w:asciiTheme="majorBidi" w:hAnsiTheme="majorBidi" w:cstheme="majorBidi"/>
            <w:noProof/>
            <w:webHidden/>
            <w:sz w:val="24"/>
            <w:szCs w:val="24"/>
          </w:rPr>
          <w:fldChar w:fldCharType="end"/>
        </w:r>
      </w:hyperlink>
    </w:p>
    <w:p w14:paraId="41D6AB0D" w14:textId="186FA632"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23" w:history="1">
        <w:r w:rsidR="004F69A7" w:rsidRPr="00103C6F">
          <w:rPr>
            <w:rStyle w:val="Lienhypertexte"/>
            <w:rFonts w:asciiTheme="majorBidi" w:hAnsiTheme="majorBidi" w:cstheme="majorBidi"/>
            <w:noProof/>
            <w:sz w:val="24"/>
            <w:szCs w:val="24"/>
          </w:rPr>
          <w:t>2.2.1.2- Intensité d’utilisation des produits financiers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_Toc182298923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213</w:t>
        </w:r>
        <w:r w:rsidR="004F69A7" w:rsidRPr="00103C6F">
          <w:rPr>
            <w:rFonts w:asciiTheme="majorBidi" w:hAnsiTheme="majorBidi" w:cstheme="majorBidi"/>
            <w:noProof/>
            <w:webHidden/>
            <w:sz w:val="24"/>
            <w:szCs w:val="24"/>
          </w:rPr>
          <w:fldChar w:fldCharType="end"/>
        </w:r>
      </w:hyperlink>
    </w:p>
    <w:p w14:paraId="636CF800" w14:textId="6826862E"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24" w:history="1">
        <w:r w:rsidR="004F69A7" w:rsidRPr="00103C6F">
          <w:rPr>
            <w:rStyle w:val="Lienhypertexte"/>
            <w:rFonts w:asciiTheme="majorBidi" w:hAnsiTheme="majorBidi" w:cstheme="majorBidi"/>
            <w:noProof/>
            <w:sz w:val="24"/>
            <w:szCs w:val="24"/>
          </w:rPr>
          <w:t>2.2.1.3- Perception des risques selon le type de contrat</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_Toc182298924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214</w:t>
        </w:r>
        <w:r w:rsidR="004F69A7" w:rsidRPr="00103C6F">
          <w:rPr>
            <w:rFonts w:asciiTheme="majorBidi" w:hAnsiTheme="majorBidi" w:cstheme="majorBidi"/>
            <w:noProof/>
            <w:webHidden/>
            <w:sz w:val="24"/>
            <w:szCs w:val="24"/>
          </w:rPr>
          <w:fldChar w:fldCharType="end"/>
        </w:r>
      </w:hyperlink>
    </w:p>
    <w:p w14:paraId="6672FAFA" w14:textId="123BDD0D"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25" w:history="1">
        <w:r w:rsidR="004F69A7" w:rsidRPr="00103C6F">
          <w:rPr>
            <w:rStyle w:val="Lienhypertexte"/>
            <w:rFonts w:asciiTheme="majorBidi" w:hAnsiTheme="majorBidi" w:cstheme="majorBidi"/>
            <w:noProof/>
            <w:sz w:val="24"/>
            <w:szCs w:val="24"/>
          </w:rPr>
          <w:t>2.2.2- Pratiques bancaires islamiques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_Toc182298925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216</w:t>
        </w:r>
        <w:r w:rsidR="004F69A7" w:rsidRPr="00103C6F">
          <w:rPr>
            <w:rFonts w:asciiTheme="majorBidi" w:hAnsiTheme="majorBidi" w:cstheme="majorBidi"/>
            <w:noProof/>
            <w:webHidden/>
            <w:sz w:val="24"/>
            <w:szCs w:val="24"/>
          </w:rPr>
          <w:fldChar w:fldCharType="end"/>
        </w:r>
      </w:hyperlink>
    </w:p>
    <w:p w14:paraId="641346FF" w14:textId="0325BE57"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26" w:history="1">
        <w:r w:rsidR="004F69A7" w:rsidRPr="00103C6F">
          <w:rPr>
            <w:rStyle w:val="Lienhypertexte"/>
            <w:rFonts w:asciiTheme="majorBidi" w:hAnsiTheme="majorBidi" w:cstheme="majorBidi"/>
            <w:noProof/>
            <w:sz w:val="24"/>
            <w:szCs w:val="24"/>
          </w:rPr>
          <w:t>2.2.2.1- Perception sur la question 11</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_Toc182298926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216</w:t>
        </w:r>
        <w:r w:rsidR="004F69A7" w:rsidRPr="00103C6F">
          <w:rPr>
            <w:rFonts w:asciiTheme="majorBidi" w:hAnsiTheme="majorBidi" w:cstheme="majorBidi"/>
            <w:noProof/>
            <w:webHidden/>
            <w:sz w:val="24"/>
            <w:szCs w:val="24"/>
          </w:rPr>
          <w:fldChar w:fldCharType="end"/>
        </w:r>
      </w:hyperlink>
    </w:p>
    <w:p w14:paraId="5297A058" w14:textId="5D2C10A1"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27" w:history="1">
        <w:r w:rsidR="004F69A7" w:rsidRPr="00103C6F">
          <w:rPr>
            <w:rStyle w:val="Lienhypertexte"/>
            <w:rFonts w:asciiTheme="majorBidi" w:hAnsiTheme="majorBidi" w:cstheme="majorBidi"/>
            <w:noProof/>
            <w:sz w:val="24"/>
            <w:szCs w:val="24"/>
          </w:rPr>
          <w:t>2.2.2.2- Perception sur la question 12</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_Toc182298927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218</w:t>
        </w:r>
        <w:r w:rsidR="004F69A7" w:rsidRPr="00103C6F">
          <w:rPr>
            <w:rFonts w:asciiTheme="majorBidi" w:hAnsiTheme="majorBidi" w:cstheme="majorBidi"/>
            <w:noProof/>
            <w:webHidden/>
            <w:sz w:val="24"/>
            <w:szCs w:val="24"/>
          </w:rPr>
          <w:fldChar w:fldCharType="end"/>
        </w:r>
      </w:hyperlink>
    </w:p>
    <w:p w14:paraId="1DEF258A" w14:textId="170C47A9"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28" w:history="1">
        <w:r w:rsidR="004F69A7" w:rsidRPr="00103C6F">
          <w:rPr>
            <w:rStyle w:val="Lienhypertexte"/>
            <w:rFonts w:asciiTheme="majorBidi" w:hAnsiTheme="majorBidi" w:cstheme="majorBidi"/>
            <w:noProof/>
            <w:sz w:val="24"/>
            <w:szCs w:val="24"/>
          </w:rPr>
          <w:t>2.2.3- Mesures et techniques d’atténuation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_Toc182298928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219</w:t>
        </w:r>
        <w:r w:rsidR="004F69A7" w:rsidRPr="00103C6F">
          <w:rPr>
            <w:rFonts w:asciiTheme="majorBidi" w:hAnsiTheme="majorBidi" w:cstheme="majorBidi"/>
            <w:noProof/>
            <w:webHidden/>
            <w:sz w:val="24"/>
            <w:szCs w:val="24"/>
          </w:rPr>
          <w:fldChar w:fldCharType="end"/>
        </w:r>
      </w:hyperlink>
    </w:p>
    <w:p w14:paraId="7A7FE33D" w14:textId="40B75540"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29" w:history="1">
        <w:r w:rsidR="004F69A7" w:rsidRPr="00103C6F">
          <w:rPr>
            <w:rStyle w:val="Lienhypertexte"/>
            <w:rFonts w:asciiTheme="majorBidi" w:hAnsiTheme="majorBidi" w:cstheme="majorBidi"/>
            <w:noProof/>
            <w:sz w:val="24"/>
            <w:szCs w:val="24"/>
          </w:rPr>
          <w:t>2.2.3.1- Mesure de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_Toc182298929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219</w:t>
        </w:r>
        <w:r w:rsidR="004F69A7" w:rsidRPr="00103C6F">
          <w:rPr>
            <w:rFonts w:asciiTheme="majorBidi" w:hAnsiTheme="majorBidi" w:cstheme="majorBidi"/>
            <w:noProof/>
            <w:webHidden/>
            <w:sz w:val="24"/>
            <w:szCs w:val="24"/>
          </w:rPr>
          <w:fldChar w:fldCharType="end"/>
        </w:r>
      </w:hyperlink>
    </w:p>
    <w:p w14:paraId="173D9FA3" w14:textId="5BC70CFE" w:rsidR="004F69A7" w:rsidRPr="00103C6F" w:rsidRDefault="00C40DAA" w:rsidP="009C2D83">
      <w:pPr>
        <w:pStyle w:val="TM5"/>
        <w:widowControl w:val="0"/>
        <w:tabs>
          <w:tab w:val="right" w:leader="dot" w:pos="9061"/>
        </w:tabs>
        <w:rPr>
          <w:rFonts w:asciiTheme="majorBidi" w:eastAsiaTheme="minorEastAsia" w:hAnsiTheme="majorBidi" w:cstheme="majorBidi"/>
          <w:noProof/>
          <w:sz w:val="24"/>
          <w:szCs w:val="24"/>
          <w:lang w:eastAsia="fr-FR"/>
        </w:rPr>
      </w:pPr>
      <w:hyperlink w:anchor="_Toc182298930" w:history="1">
        <w:r w:rsidR="004F69A7" w:rsidRPr="00103C6F">
          <w:rPr>
            <w:rStyle w:val="Lienhypertexte"/>
            <w:rFonts w:asciiTheme="majorBidi" w:hAnsiTheme="majorBidi" w:cstheme="majorBidi"/>
            <w:noProof/>
            <w:sz w:val="24"/>
            <w:szCs w:val="24"/>
          </w:rPr>
          <w:t>2.2.3.2-Atténuation des risques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_Toc182298930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220</w:t>
        </w:r>
        <w:r w:rsidR="004F69A7" w:rsidRPr="00103C6F">
          <w:rPr>
            <w:rFonts w:asciiTheme="majorBidi" w:hAnsiTheme="majorBidi" w:cstheme="majorBidi"/>
            <w:noProof/>
            <w:webHidden/>
            <w:sz w:val="24"/>
            <w:szCs w:val="24"/>
          </w:rPr>
          <w:fldChar w:fldCharType="end"/>
        </w:r>
      </w:hyperlink>
    </w:p>
    <w:p w14:paraId="3221E916" w14:textId="032E4FAD" w:rsidR="004F69A7" w:rsidRPr="00103C6F" w:rsidRDefault="00C40DAA" w:rsidP="009C2D83">
      <w:pPr>
        <w:pStyle w:val="TM4"/>
        <w:keepNext w:val="0"/>
        <w:widowControl w:val="0"/>
        <w:rPr>
          <w:rFonts w:asciiTheme="majorBidi" w:eastAsiaTheme="minorEastAsia" w:hAnsiTheme="majorBidi" w:cstheme="majorBidi"/>
          <w:noProof/>
          <w:sz w:val="24"/>
          <w:szCs w:val="24"/>
          <w:lang w:eastAsia="fr-FR"/>
        </w:rPr>
      </w:pPr>
      <w:hyperlink w:anchor="_Toc182298931" w:history="1">
        <w:r w:rsidR="004F69A7" w:rsidRPr="00103C6F">
          <w:rPr>
            <w:rStyle w:val="Lienhypertexte"/>
            <w:rFonts w:asciiTheme="majorBidi" w:hAnsiTheme="majorBidi" w:cstheme="majorBidi"/>
            <w:noProof/>
            <w:sz w:val="24"/>
            <w:szCs w:val="24"/>
          </w:rPr>
          <w:t>2.2.4- Avenir des produits financiers participatifs</w:t>
        </w:r>
        <w:r w:rsidR="004F69A7" w:rsidRPr="00103C6F">
          <w:rPr>
            <w:rFonts w:asciiTheme="majorBidi" w:hAnsiTheme="majorBidi" w:cstheme="majorBidi"/>
            <w:noProof/>
            <w:webHidden/>
            <w:sz w:val="24"/>
            <w:szCs w:val="24"/>
          </w:rPr>
          <w:tab/>
        </w:r>
        <w:r w:rsidR="004F69A7" w:rsidRPr="00103C6F">
          <w:rPr>
            <w:rFonts w:asciiTheme="majorBidi" w:hAnsiTheme="majorBidi" w:cstheme="majorBidi"/>
            <w:noProof/>
            <w:webHidden/>
            <w:sz w:val="24"/>
            <w:szCs w:val="24"/>
          </w:rPr>
          <w:fldChar w:fldCharType="begin"/>
        </w:r>
        <w:r w:rsidR="004F69A7" w:rsidRPr="00103C6F">
          <w:rPr>
            <w:rFonts w:asciiTheme="majorBidi" w:hAnsiTheme="majorBidi" w:cstheme="majorBidi"/>
            <w:noProof/>
            <w:webHidden/>
            <w:sz w:val="24"/>
            <w:szCs w:val="24"/>
          </w:rPr>
          <w:instrText xml:space="preserve"> PAGEREF _Toc182298931 \h </w:instrText>
        </w:r>
        <w:r w:rsidR="004F69A7" w:rsidRPr="00103C6F">
          <w:rPr>
            <w:rFonts w:asciiTheme="majorBidi" w:hAnsiTheme="majorBidi" w:cstheme="majorBidi"/>
            <w:noProof/>
            <w:webHidden/>
            <w:sz w:val="24"/>
            <w:szCs w:val="24"/>
          </w:rPr>
        </w:r>
        <w:r w:rsidR="004F69A7" w:rsidRPr="00103C6F">
          <w:rPr>
            <w:rFonts w:asciiTheme="majorBidi" w:hAnsiTheme="majorBidi" w:cstheme="majorBidi"/>
            <w:noProof/>
            <w:webHidden/>
            <w:sz w:val="24"/>
            <w:szCs w:val="24"/>
          </w:rPr>
          <w:fldChar w:fldCharType="separate"/>
        </w:r>
        <w:r w:rsidR="00666FC7">
          <w:rPr>
            <w:rFonts w:asciiTheme="majorBidi" w:hAnsiTheme="majorBidi" w:cstheme="majorBidi"/>
            <w:noProof/>
            <w:webHidden/>
            <w:sz w:val="24"/>
            <w:szCs w:val="24"/>
          </w:rPr>
          <w:t>222</w:t>
        </w:r>
        <w:r w:rsidR="004F69A7" w:rsidRPr="00103C6F">
          <w:rPr>
            <w:rFonts w:asciiTheme="majorBidi" w:hAnsiTheme="majorBidi" w:cstheme="majorBidi"/>
            <w:noProof/>
            <w:webHidden/>
            <w:sz w:val="24"/>
            <w:szCs w:val="24"/>
          </w:rPr>
          <w:fldChar w:fldCharType="end"/>
        </w:r>
      </w:hyperlink>
    </w:p>
    <w:p w14:paraId="59F7C5A9" w14:textId="53FAEF8D" w:rsidR="004F69A7" w:rsidRPr="00103C6F" w:rsidRDefault="00C40DAA" w:rsidP="009C2D83">
      <w:pPr>
        <w:pStyle w:val="TM2"/>
        <w:keepNext w:val="0"/>
        <w:keepLines w:val="0"/>
        <w:widowControl w:val="0"/>
        <w:rPr>
          <w:rFonts w:eastAsiaTheme="minorEastAsia"/>
          <w:kern w:val="0"/>
          <w:lang w:eastAsia="fr-FR"/>
        </w:rPr>
      </w:pPr>
      <w:hyperlink w:anchor="_Toc182298932" w:history="1">
        <w:r w:rsidR="004F69A7" w:rsidRPr="00103C6F">
          <w:rPr>
            <w:rStyle w:val="Lienhypertexte"/>
          </w:rPr>
          <w:t>Section III. Synthèse des résultats (Discussion interprétative)</w:t>
        </w:r>
        <w:r w:rsidR="004F69A7" w:rsidRPr="00103C6F">
          <w:rPr>
            <w:webHidden/>
          </w:rPr>
          <w:tab/>
        </w:r>
        <w:r w:rsidR="004F69A7" w:rsidRPr="00103C6F">
          <w:rPr>
            <w:webHidden/>
          </w:rPr>
          <w:fldChar w:fldCharType="begin"/>
        </w:r>
        <w:r w:rsidR="004F69A7" w:rsidRPr="00103C6F">
          <w:rPr>
            <w:webHidden/>
          </w:rPr>
          <w:instrText xml:space="preserve"> PAGEREF _Toc182298932 \h </w:instrText>
        </w:r>
        <w:r w:rsidR="004F69A7" w:rsidRPr="00103C6F">
          <w:rPr>
            <w:webHidden/>
          </w:rPr>
        </w:r>
        <w:r w:rsidR="004F69A7" w:rsidRPr="00103C6F">
          <w:rPr>
            <w:webHidden/>
          </w:rPr>
          <w:fldChar w:fldCharType="separate"/>
        </w:r>
        <w:r w:rsidR="00666FC7">
          <w:rPr>
            <w:webHidden/>
          </w:rPr>
          <w:t>224</w:t>
        </w:r>
        <w:r w:rsidR="004F69A7" w:rsidRPr="00103C6F">
          <w:rPr>
            <w:webHidden/>
          </w:rPr>
          <w:fldChar w:fldCharType="end"/>
        </w:r>
      </w:hyperlink>
    </w:p>
    <w:p w14:paraId="1166C7FA" w14:textId="0621E1FA" w:rsidR="004F69A7" w:rsidRPr="00103C6F" w:rsidRDefault="00C40DAA" w:rsidP="006B69C7">
      <w:pPr>
        <w:pStyle w:val="TM3"/>
        <w:keepNext w:val="0"/>
        <w:keepLines w:val="0"/>
        <w:widowControl w:val="0"/>
        <w:spacing w:before="0" w:line="276" w:lineRule="auto"/>
        <w:rPr>
          <w:rFonts w:eastAsiaTheme="minorEastAsia"/>
          <w:lang w:eastAsia="fr-FR"/>
        </w:rPr>
      </w:pPr>
      <w:hyperlink w:anchor="_Toc182298933" w:history="1">
        <w:r w:rsidR="004F69A7" w:rsidRPr="00103C6F">
          <w:rPr>
            <w:rStyle w:val="Lienhypertexte"/>
          </w:rPr>
          <w:t>3.1- Perceptions des risques dans les BI</w:t>
        </w:r>
        <w:r w:rsidR="004F69A7" w:rsidRPr="00103C6F">
          <w:rPr>
            <w:webHidden/>
          </w:rPr>
          <w:tab/>
        </w:r>
        <w:r w:rsidR="004F69A7" w:rsidRPr="00103C6F">
          <w:rPr>
            <w:webHidden/>
          </w:rPr>
          <w:fldChar w:fldCharType="begin"/>
        </w:r>
        <w:r w:rsidR="004F69A7" w:rsidRPr="00103C6F">
          <w:rPr>
            <w:webHidden/>
          </w:rPr>
          <w:instrText xml:space="preserve"> PAGEREF _Toc182298933 \h </w:instrText>
        </w:r>
        <w:r w:rsidR="004F69A7" w:rsidRPr="00103C6F">
          <w:rPr>
            <w:webHidden/>
          </w:rPr>
        </w:r>
        <w:r w:rsidR="004F69A7" w:rsidRPr="00103C6F">
          <w:rPr>
            <w:webHidden/>
          </w:rPr>
          <w:fldChar w:fldCharType="separate"/>
        </w:r>
        <w:r w:rsidR="00666FC7">
          <w:rPr>
            <w:webHidden/>
          </w:rPr>
          <w:t>224</w:t>
        </w:r>
        <w:r w:rsidR="004F69A7" w:rsidRPr="00103C6F">
          <w:rPr>
            <w:webHidden/>
          </w:rPr>
          <w:fldChar w:fldCharType="end"/>
        </w:r>
      </w:hyperlink>
    </w:p>
    <w:p w14:paraId="2F1284A8" w14:textId="23B9A3F6" w:rsidR="004F69A7" w:rsidRPr="00103C6F" w:rsidRDefault="00C40DAA" w:rsidP="006B69C7">
      <w:pPr>
        <w:pStyle w:val="TM3"/>
        <w:keepNext w:val="0"/>
        <w:keepLines w:val="0"/>
        <w:widowControl w:val="0"/>
        <w:spacing w:before="0" w:line="276" w:lineRule="auto"/>
        <w:rPr>
          <w:rFonts w:eastAsiaTheme="minorEastAsia"/>
          <w:lang w:eastAsia="fr-FR"/>
        </w:rPr>
      </w:pPr>
      <w:hyperlink w:anchor="_Toc182298934" w:history="1">
        <w:r w:rsidR="004F69A7" w:rsidRPr="00103C6F">
          <w:rPr>
            <w:rStyle w:val="Lienhypertexte"/>
          </w:rPr>
          <w:t>3.2- Intensité d’utilisation des produits financiers islamiques</w:t>
        </w:r>
        <w:r w:rsidR="004F69A7" w:rsidRPr="00103C6F">
          <w:rPr>
            <w:webHidden/>
          </w:rPr>
          <w:tab/>
        </w:r>
        <w:r w:rsidR="004F69A7" w:rsidRPr="00103C6F">
          <w:rPr>
            <w:webHidden/>
          </w:rPr>
          <w:fldChar w:fldCharType="begin"/>
        </w:r>
        <w:r w:rsidR="004F69A7" w:rsidRPr="00103C6F">
          <w:rPr>
            <w:webHidden/>
          </w:rPr>
          <w:instrText xml:space="preserve"> PAGEREF _Toc182298934 \h </w:instrText>
        </w:r>
        <w:r w:rsidR="004F69A7" w:rsidRPr="00103C6F">
          <w:rPr>
            <w:webHidden/>
          </w:rPr>
        </w:r>
        <w:r w:rsidR="004F69A7" w:rsidRPr="00103C6F">
          <w:rPr>
            <w:webHidden/>
          </w:rPr>
          <w:fldChar w:fldCharType="separate"/>
        </w:r>
        <w:r w:rsidR="00666FC7">
          <w:rPr>
            <w:webHidden/>
          </w:rPr>
          <w:t>226</w:t>
        </w:r>
        <w:r w:rsidR="004F69A7" w:rsidRPr="00103C6F">
          <w:rPr>
            <w:webHidden/>
          </w:rPr>
          <w:fldChar w:fldCharType="end"/>
        </w:r>
      </w:hyperlink>
    </w:p>
    <w:p w14:paraId="7477FBC4" w14:textId="114FBC7E" w:rsidR="004F69A7" w:rsidRPr="00103C6F" w:rsidRDefault="00C40DAA" w:rsidP="006B69C7">
      <w:pPr>
        <w:pStyle w:val="TM3"/>
        <w:keepNext w:val="0"/>
        <w:keepLines w:val="0"/>
        <w:widowControl w:val="0"/>
        <w:spacing w:before="0" w:line="276" w:lineRule="auto"/>
        <w:rPr>
          <w:rFonts w:eastAsiaTheme="minorEastAsia"/>
          <w:lang w:eastAsia="fr-FR"/>
        </w:rPr>
      </w:pPr>
      <w:hyperlink w:anchor="_Toc182298935" w:history="1">
        <w:r w:rsidR="004F69A7" w:rsidRPr="00103C6F">
          <w:rPr>
            <w:rStyle w:val="Lienhypertexte"/>
          </w:rPr>
          <w:t>3.3- Perception des risques pour chaque mode de financement</w:t>
        </w:r>
        <w:r w:rsidR="004F69A7" w:rsidRPr="00103C6F">
          <w:rPr>
            <w:webHidden/>
          </w:rPr>
          <w:tab/>
        </w:r>
        <w:r w:rsidR="004F69A7" w:rsidRPr="00103C6F">
          <w:rPr>
            <w:webHidden/>
          </w:rPr>
          <w:fldChar w:fldCharType="begin"/>
        </w:r>
        <w:r w:rsidR="004F69A7" w:rsidRPr="00103C6F">
          <w:rPr>
            <w:webHidden/>
          </w:rPr>
          <w:instrText xml:space="preserve"> PAGEREF _Toc182298935 \h </w:instrText>
        </w:r>
        <w:r w:rsidR="004F69A7" w:rsidRPr="00103C6F">
          <w:rPr>
            <w:webHidden/>
          </w:rPr>
        </w:r>
        <w:r w:rsidR="004F69A7" w:rsidRPr="00103C6F">
          <w:rPr>
            <w:webHidden/>
          </w:rPr>
          <w:fldChar w:fldCharType="separate"/>
        </w:r>
        <w:r w:rsidR="00666FC7">
          <w:rPr>
            <w:webHidden/>
          </w:rPr>
          <w:t>227</w:t>
        </w:r>
        <w:r w:rsidR="004F69A7" w:rsidRPr="00103C6F">
          <w:rPr>
            <w:webHidden/>
          </w:rPr>
          <w:fldChar w:fldCharType="end"/>
        </w:r>
      </w:hyperlink>
    </w:p>
    <w:p w14:paraId="3A028D22" w14:textId="621F22DF" w:rsidR="004F69A7" w:rsidRPr="00103C6F" w:rsidRDefault="00C40DAA" w:rsidP="006B69C7">
      <w:pPr>
        <w:pStyle w:val="TM3"/>
        <w:keepNext w:val="0"/>
        <w:keepLines w:val="0"/>
        <w:widowControl w:val="0"/>
        <w:spacing w:before="0" w:line="276" w:lineRule="auto"/>
        <w:rPr>
          <w:rFonts w:eastAsiaTheme="minorEastAsia"/>
          <w:lang w:eastAsia="fr-FR"/>
        </w:rPr>
      </w:pPr>
      <w:hyperlink w:anchor="_Toc182298936" w:history="1">
        <w:r w:rsidR="004F69A7" w:rsidRPr="00103C6F">
          <w:rPr>
            <w:rStyle w:val="Lienhypertexte"/>
          </w:rPr>
          <w:t>3.4- Pratiques actuelles des BI</w:t>
        </w:r>
        <w:r w:rsidR="004F69A7" w:rsidRPr="00103C6F">
          <w:rPr>
            <w:webHidden/>
          </w:rPr>
          <w:tab/>
        </w:r>
        <w:r w:rsidR="004F69A7" w:rsidRPr="00103C6F">
          <w:rPr>
            <w:webHidden/>
          </w:rPr>
          <w:fldChar w:fldCharType="begin"/>
        </w:r>
        <w:r w:rsidR="004F69A7" w:rsidRPr="00103C6F">
          <w:rPr>
            <w:webHidden/>
          </w:rPr>
          <w:instrText xml:space="preserve"> PAGEREF _Toc182298936 \h </w:instrText>
        </w:r>
        <w:r w:rsidR="004F69A7" w:rsidRPr="00103C6F">
          <w:rPr>
            <w:webHidden/>
          </w:rPr>
        </w:r>
        <w:r w:rsidR="004F69A7" w:rsidRPr="00103C6F">
          <w:rPr>
            <w:webHidden/>
          </w:rPr>
          <w:fldChar w:fldCharType="separate"/>
        </w:r>
        <w:r w:rsidR="00666FC7">
          <w:rPr>
            <w:webHidden/>
          </w:rPr>
          <w:t>228</w:t>
        </w:r>
        <w:r w:rsidR="004F69A7" w:rsidRPr="00103C6F">
          <w:rPr>
            <w:webHidden/>
          </w:rPr>
          <w:fldChar w:fldCharType="end"/>
        </w:r>
      </w:hyperlink>
    </w:p>
    <w:p w14:paraId="0EED1FCE" w14:textId="42AA88CD" w:rsidR="004F69A7" w:rsidRPr="00103C6F" w:rsidRDefault="00C40DAA" w:rsidP="006B69C7">
      <w:pPr>
        <w:pStyle w:val="TM3"/>
        <w:keepNext w:val="0"/>
        <w:keepLines w:val="0"/>
        <w:widowControl w:val="0"/>
        <w:spacing w:before="0" w:line="276" w:lineRule="auto"/>
        <w:rPr>
          <w:rFonts w:eastAsiaTheme="minorEastAsia"/>
          <w:lang w:eastAsia="fr-FR"/>
        </w:rPr>
      </w:pPr>
      <w:hyperlink w:anchor="_Toc182298937" w:history="1">
        <w:r w:rsidR="004F69A7" w:rsidRPr="00103C6F">
          <w:rPr>
            <w:rStyle w:val="Lienhypertexte"/>
          </w:rPr>
          <w:t>3.5- Perceptions sur l'adéquation des fonds propres pour les BI</w:t>
        </w:r>
        <w:r w:rsidR="004F69A7" w:rsidRPr="00103C6F">
          <w:rPr>
            <w:webHidden/>
          </w:rPr>
          <w:tab/>
        </w:r>
        <w:r w:rsidR="004F69A7" w:rsidRPr="00103C6F">
          <w:rPr>
            <w:webHidden/>
          </w:rPr>
          <w:fldChar w:fldCharType="begin"/>
        </w:r>
        <w:r w:rsidR="004F69A7" w:rsidRPr="00103C6F">
          <w:rPr>
            <w:webHidden/>
          </w:rPr>
          <w:instrText xml:space="preserve"> PAGEREF _Toc182298937 \h </w:instrText>
        </w:r>
        <w:r w:rsidR="004F69A7" w:rsidRPr="00103C6F">
          <w:rPr>
            <w:webHidden/>
          </w:rPr>
        </w:r>
        <w:r w:rsidR="004F69A7" w:rsidRPr="00103C6F">
          <w:rPr>
            <w:webHidden/>
          </w:rPr>
          <w:fldChar w:fldCharType="separate"/>
        </w:r>
        <w:r w:rsidR="00666FC7">
          <w:rPr>
            <w:webHidden/>
          </w:rPr>
          <w:t>228</w:t>
        </w:r>
        <w:r w:rsidR="004F69A7" w:rsidRPr="00103C6F">
          <w:rPr>
            <w:webHidden/>
          </w:rPr>
          <w:fldChar w:fldCharType="end"/>
        </w:r>
      </w:hyperlink>
    </w:p>
    <w:p w14:paraId="39E9DC21" w14:textId="267E50E7" w:rsidR="004F69A7" w:rsidRPr="00103C6F" w:rsidRDefault="00C40DAA" w:rsidP="006B69C7">
      <w:pPr>
        <w:pStyle w:val="TM3"/>
        <w:keepNext w:val="0"/>
        <w:keepLines w:val="0"/>
        <w:widowControl w:val="0"/>
        <w:spacing w:before="0" w:line="276" w:lineRule="auto"/>
        <w:rPr>
          <w:rFonts w:eastAsiaTheme="minorEastAsia"/>
          <w:lang w:eastAsia="fr-FR"/>
        </w:rPr>
      </w:pPr>
      <w:hyperlink w:anchor="_Toc182298938" w:history="1">
        <w:r w:rsidR="004F69A7" w:rsidRPr="00103C6F">
          <w:rPr>
            <w:rStyle w:val="Lienhypertexte"/>
          </w:rPr>
          <w:t>3.6- Techniques de mesures et d’atténuation des risques</w:t>
        </w:r>
        <w:r w:rsidR="004F69A7" w:rsidRPr="00103C6F">
          <w:rPr>
            <w:webHidden/>
          </w:rPr>
          <w:tab/>
        </w:r>
        <w:r w:rsidR="004F69A7" w:rsidRPr="00103C6F">
          <w:rPr>
            <w:webHidden/>
          </w:rPr>
          <w:fldChar w:fldCharType="begin"/>
        </w:r>
        <w:r w:rsidR="004F69A7" w:rsidRPr="00103C6F">
          <w:rPr>
            <w:webHidden/>
          </w:rPr>
          <w:instrText xml:space="preserve"> PAGEREF _Toc182298938 \h </w:instrText>
        </w:r>
        <w:r w:rsidR="004F69A7" w:rsidRPr="00103C6F">
          <w:rPr>
            <w:webHidden/>
          </w:rPr>
        </w:r>
        <w:r w:rsidR="004F69A7" w:rsidRPr="00103C6F">
          <w:rPr>
            <w:webHidden/>
          </w:rPr>
          <w:fldChar w:fldCharType="separate"/>
        </w:r>
        <w:r w:rsidR="00666FC7">
          <w:rPr>
            <w:webHidden/>
          </w:rPr>
          <w:t>228</w:t>
        </w:r>
        <w:r w:rsidR="004F69A7" w:rsidRPr="00103C6F">
          <w:rPr>
            <w:webHidden/>
          </w:rPr>
          <w:fldChar w:fldCharType="end"/>
        </w:r>
      </w:hyperlink>
    </w:p>
    <w:p w14:paraId="5BAEC3F7" w14:textId="2DF375D1" w:rsidR="004F69A7" w:rsidRPr="00103C6F" w:rsidRDefault="00C40DAA" w:rsidP="006B69C7">
      <w:pPr>
        <w:pStyle w:val="TM3"/>
        <w:keepNext w:val="0"/>
        <w:keepLines w:val="0"/>
        <w:widowControl w:val="0"/>
        <w:spacing w:before="0" w:line="276" w:lineRule="auto"/>
        <w:rPr>
          <w:rFonts w:eastAsiaTheme="minorEastAsia"/>
          <w:lang w:eastAsia="fr-FR"/>
        </w:rPr>
      </w:pPr>
      <w:hyperlink w:anchor="_Toc182298939" w:history="1">
        <w:r w:rsidR="004F69A7" w:rsidRPr="00103C6F">
          <w:rPr>
            <w:rStyle w:val="Lienhypertexte"/>
          </w:rPr>
          <w:t>3.7- Avenir des produits financiers participatifs</w:t>
        </w:r>
        <w:r w:rsidR="004F69A7" w:rsidRPr="00103C6F">
          <w:rPr>
            <w:webHidden/>
          </w:rPr>
          <w:tab/>
        </w:r>
        <w:r w:rsidR="004F69A7" w:rsidRPr="00103C6F">
          <w:rPr>
            <w:webHidden/>
          </w:rPr>
          <w:fldChar w:fldCharType="begin"/>
        </w:r>
        <w:r w:rsidR="004F69A7" w:rsidRPr="00103C6F">
          <w:rPr>
            <w:webHidden/>
          </w:rPr>
          <w:instrText xml:space="preserve"> PAGEREF _Toc182298939 \h </w:instrText>
        </w:r>
        <w:r w:rsidR="004F69A7" w:rsidRPr="00103C6F">
          <w:rPr>
            <w:webHidden/>
          </w:rPr>
        </w:r>
        <w:r w:rsidR="004F69A7" w:rsidRPr="00103C6F">
          <w:rPr>
            <w:webHidden/>
          </w:rPr>
          <w:fldChar w:fldCharType="separate"/>
        </w:r>
        <w:r w:rsidR="00666FC7">
          <w:rPr>
            <w:webHidden/>
          </w:rPr>
          <w:t>229</w:t>
        </w:r>
        <w:r w:rsidR="004F69A7" w:rsidRPr="00103C6F">
          <w:rPr>
            <w:webHidden/>
          </w:rPr>
          <w:fldChar w:fldCharType="end"/>
        </w:r>
      </w:hyperlink>
    </w:p>
    <w:p w14:paraId="5AA0BCBC" w14:textId="25BDC5C4" w:rsidR="004F69A7" w:rsidRPr="00103C6F" w:rsidRDefault="00C40DAA" w:rsidP="009C2D83">
      <w:pPr>
        <w:pStyle w:val="TM2"/>
        <w:keepNext w:val="0"/>
        <w:keepLines w:val="0"/>
        <w:widowControl w:val="0"/>
        <w:rPr>
          <w:rFonts w:eastAsiaTheme="minorEastAsia"/>
          <w:kern w:val="0"/>
          <w:lang w:eastAsia="fr-FR"/>
        </w:rPr>
      </w:pPr>
      <w:hyperlink w:anchor="_Toc182298940" w:history="1">
        <w:r w:rsidR="004F69A7" w:rsidRPr="00103C6F">
          <w:rPr>
            <w:rStyle w:val="Lienhypertexte"/>
            <w:b w:val="0"/>
            <w:bCs w:val="0"/>
          </w:rPr>
          <w:t>Conclusion</w:t>
        </w:r>
        <w:r w:rsidR="004F69A7" w:rsidRPr="00103C6F">
          <w:rPr>
            <w:webHidden/>
          </w:rPr>
          <w:tab/>
        </w:r>
        <w:r w:rsidR="004F69A7" w:rsidRPr="00103C6F">
          <w:rPr>
            <w:webHidden/>
          </w:rPr>
          <w:fldChar w:fldCharType="begin"/>
        </w:r>
        <w:r w:rsidR="004F69A7" w:rsidRPr="00103C6F">
          <w:rPr>
            <w:webHidden/>
          </w:rPr>
          <w:instrText xml:space="preserve"> PAGEREF _Toc182298940 \h </w:instrText>
        </w:r>
        <w:r w:rsidR="004F69A7" w:rsidRPr="00103C6F">
          <w:rPr>
            <w:webHidden/>
          </w:rPr>
        </w:r>
        <w:r w:rsidR="004F69A7" w:rsidRPr="00103C6F">
          <w:rPr>
            <w:webHidden/>
          </w:rPr>
          <w:fldChar w:fldCharType="separate"/>
        </w:r>
        <w:r w:rsidR="00666FC7">
          <w:rPr>
            <w:webHidden/>
          </w:rPr>
          <w:t>230</w:t>
        </w:r>
        <w:r w:rsidR="004F69A7" w:rsidRPr="00103C6F">
          <w:rPr>
            <w:webHidden/>
          </w:rPr>
          <w:fldChar w:fldCharType="end"/>
        </w:r>
      </w:hyperlink>
    </w:p>
    <w:p w14:paraId="6375689D" w14:textId="0873BCFF" w:rsidR="004F69A7" w:rsidRPr="00103C6F" w:rsidRDefault="00C40DAA" w:rsidP="006B69C7">
      <w:pPr>
        <w:pStyle w:val="TM1"/>
        <w:rPr>
          <w:rFonts w:eastAsiaTheme="minorEastAsia"/>
          <w:kern w:val="0"/>
          <w:lang w:eastAsia="fr-FR"/>
        </w:rPr>
      </w:pPr>
      <w:hyperlink w:anchor="_Toc182298941" w:history="1">
        <w:r w:rsidR="004F69A7" w:rsidRPr="00103C6F">
          <w:rPr>
            <w:rStyle w:val="Lienhypertexte"/>
            <w:spacing w:val="40"/>
          </w:rPr>
          <w:t>Conclusion Générale</w:t>
        </w:r>
        <w:r w:rsidR="004F69A7" w:rsidRPr="00103C6F">
          <w:rPr>
            <w:webHidden/>
          </w:rPr>
          <w:tab/>
        </w:r>
        <w:r w:rsidR="00CA1514" w:rsidRPr="00103C6F">
          <w:rPr>
            <w:webHidden/>
          </w:rPr>
          <w:t>232</w:t>
        </w:r>
      </w:hyperlink>
    </w:p>
    <w:p w14:paraId="2A3B3397" w14:textId="7004D673" w:rsidR="004F69A7" w:rsidRPr="00103C6F" w:rsidRDefault="00C40DAA" w:rsidP="006B69C7">
      <w:pPr>
        <w:pStyle w:val="TM1"/>
        <w:rPr>
          <w:rFonts w:eastAsiaTheme="minorEastAsia"/>
          <w:kern w:val="0"/>
          <w:lang w:eastAsia="fr-FR"/>
        </w:rPr>
      </w:pPr>
      <w:hyperlink w:anchor="_Toc182298942" w:history="1">
        <w:r w:rsidR="004F69A7" w:rsidRPr="00103C6F">
          <w:rPr>
            <w:rStyle w:val="Lienhypertexte"/>
            <w:b w:val="0"/>
            <w:bCs w:val="0"/>
            <w:spacing w:val="40"/>
            <w:lang w:val="en-GB"/>
          </w:rPr>
          <w:t>Bibliographie</w:t>
        </w:r>
        <w:r w:rsidR="004F69A7" w:rsidRPr="00103C6F">
          <w:rPr>
            <w:webHidden/>
          </w:rPr>
          <w:tab/>
        </w:r>
        <w:r w:rsidR="004F69A7" w:rsidRPr="00103C6F">
          <w:rPr>
            <w:webHidden/>
          </w:rPr>
          <w:fldChar w:fldCharType="begin"/>
        </w:r>
        <w:r w:rsidR="004F69A7" w:rsidRPr="00103C6F">
          <w:rPr>
            <w:webHidden/>
          </w:rPr>
          <w:instrText xml:space="preserve"> PAGEREF _Toc182298942 \h </w:instrText>
        </w:r>
        <w:r w:rsidR="004F69A7" w:rsidRPr="00103C6F">
          <w:rPr>
            <w:webHidden/>
          </w:rPr>
        </w:r>
        <w:r w:rsidR="004F69A7" w:rsidRPr="00103C6F">
          <w:rPr>
            <w:webHidden/>
          </w:rPr>
          <w:fldChar w:fldCharType="separate"/>
        </w:r>
        <w:r w:rsidR="00666FC7">
          <w:rPr>
            <w:webHidden/>
          </w:rPr>
          <w:t>239</w:t>
        </w:r>
        <w:r w:rsidR="004F69A7" w:rsidRPr="00103C6F">
          <w:rPr>
            <w:webHidden/>
          </w:rPr>
          <w:fldChar w:fldCharType="end"/>
        </w:r>
      </w:hyperlink>
    </w:p>
    <w:p w14:paraId="3C36F88E" w14:textId="1EB78698" w:rsidR="004F69A7" w:rsidRPr="00103C6F" w:rsidRDefault="00C40DAA" w:rsidP="006B69C7">
      <w:pPr>
        <w:pStyle w:val="TM1"/>
        <w:rPr>
          <w:rFonts w:eastAsiaTheme="minorEastAsia"/>
          <w:kern w:val="0"/>
          <w:lang w:eastAsia="fr-FR"/>
        </w:rPr>
      </w:pPr>
      <w:hyperlink w:anchor="_Toc182298943" w:history="1">
        <w:r w:rsidR="004F69A7" w:rsidRPr="00103C6F">
          <w:rPr>
            <w:rStyle w:val="Lienhypertexte"/>
            <w:b w:val="0"/>
            <w:bCs w:val="0"/>
            <w:spacing w:val="40"/>
          </w:rPr>
          <w:t>Liste des Figures, des Graphiques et des Tableaux</w:t>
        </w:r>
        <w:r w:rsidR="004F69A7" w:rsidRPr="00103C6F">
          <w:rPr>
            <w:webHidden/>
          </w:rPr>
          <w:tab/>
        </w:r>
        <w:r w:rsidR="004F69A7" w:rsidRPr="00103C6F">
          <w:rPr>
            <w:webHidden/>
          </w:rPr>
          <w:fldChar w:fldCharType="begin"/>
        </w:r>
        <w:r w:rsidR="004F69A7" w:rsidRPr="00103C6F">
          <w:rPr>
            <w:webHidden/>
          </w:rPr>
          <w:instrText xml:space="preserve"> PAGEREF _Toc182298943 \h </w:instrText>
        </w:r>
        <w:r w:rsidR="004F69A7" w:rsidRPr="00103C6F">
          <w:rPr>
            <w:webHidden/>
          </w:rPr>
        </w:r>
        <w:r w:rsidR="004F69A7" w:rsidRPr="00103C6F">
          <w:rPr>
            <w:webHidden/>
          </w:rPr>
          <w:fldChar w:fldCharType="separate"/>
        </w:r>
        <w:r w:rsidR="00666FC7">
          <w:rPr>
            <w:webHidden/>
          </w:rPr>
          <w:t>240</w:t>
        </w:r>
        <w:r w:rsidR="004F69A7" w:rsidRPr="00103C6F">
          <w:rPr>
            <w:webHidden/>
          </w:rPr>
          <w:fldChar w:fldCharType="end"/>
        </w:r>
      </w:hyperlink>
    </w:p>
    <w:p w14:paraId="23EA2B1E" w14:textId="50F0A90D" w:rsidR="004F69A7" w:rsidRPr="00103C6F" w:rsidRDefault="00C40DAA" w:rsidP="009C2D83">
      <w:pPr>
        <w:pStyle w:val="TM2"/>
        <w:keepNext w:val="0"/>
        <w:keepLines w:val="0"/>
        <w:widowControl w:val="0"/>
        <w:rPr>
          <w:rFonts w:eastAsiaTheme="minorEastAsia"/>
          <w:kern w:val="0"/>
          <w:lang w:eastAsia="fr-FR"/>
        </w:rPr>
      </w:pPr>
      <w:hyperlink w:anchor="_Toc182298944" w:history="1">
        <w:r w:rsidR="004F69A7" w:rsidRPr="00103C6F">
          <w:rPr>
            <w:rStyle w:val="Lienhypertexte"/>
            <w:b w:val="0"/>
            <w:bCs w:val="0"/>
          </w:rPr>
          <w:t>Liste des Figures</w:t>
        </w:r>
        <w:r w:rsidR="004F69A7" w:rsidRPr="00103C6F">
          <w:rPr>
            <w:webHidden/>
          </w:rPr>
          <w:tab/>
        </w:r>
        <w:r w:rsidR="004F69A7" w:rsidRPr="00103C6F">
          <w:rPr>
            <w:webHidden/>
          </w:rPr>
          <w:fldChar w:fldCharType="begin"/>
        </w:r>
        <w:r w:rsidR="004F69A7" w:rsidRPr="00103C6F">
          <w:rPr>
            <w:webHidden/>
          </w:rPr>
          <w:instrText xml:space="preserve"> PAGEREF _Toc182298944 \h </w:instrText>
        </w:r>
        <w:r w:rsidR="004F69A7" w:rsidRPr="00103C6F">
          <w:rPr>
            <w:webHidden/>
          </w:rPr>
        </w:r>
        <w:r w:rsidR="004F69A7" w:rsidRPr="00103C6F">
          <w:rPr>
            <w:webHidden/>
          </w:rPr>
          <w:fldChar w:fldCharType="separate"/>
        </w:r>
        <w:r w:rsidR="00666FC7">
          <w:rPr>
            <w:webHidden/>
          </w:rPr>
          <w:t>261</w:t>
        </w:r>
        <w:r w:rsidR="004F69A7" w:rsidRPr="00103C6F">
          <w:rPr>
            <w:webHidden/>
          </w:rPr>
          <w:fldChar w:fldCharType="end"/>
        </w:r>
      </w:hyperlink>
    </w:p>
    <w:p w14:paraId="6984D4F8" w14:textId="73EB99D2" w:rsidR="004F69A7" w:rsidRPr="00103C6F" w:rsidRDefault="00C40DAA" w:rsidP="009C2D83">
      <w:pPr>
        <w:pStyle w:val="TM2"/>
        <w:keepNext w:val="0"/>
        <w:keepLines w:val="0"/>
        <w:widowControl w:val="0"/>
        <w:rPr>
          <w:rFonts w:eastAsiaTheme="minorEastAsia"/>
          <w:kern w:val="0"/>
          <w:lang w:eastAsia="fr-FR"/>
        </w:rPr>
      </w:pPr>
      <w:hyperlink w:anchor="_Toc182298945" w:history="1">
        <w:r w:rsidR="004F69A7" w:rsidRPr="00103C6F">
          <w:rPr>
            <w:rStyle w:val="Lienhypertexte"/>
            <w:b w:val="0"/>
            <w:bCs w:val="0"/>
          </w:rPr>
          <w:t>Liste des Graphiques</w:t>
        </w:r>
        <w:r w:rsidR="004F69A7" w:rsidRPr="00103C6F">
          <w:rPr>
            <w:webHidden/>
          </w:rPr>
          <w:tab/>
        </w:r>
        <w:r w:rsidR="004F69A7" w:rsidRPr="00103C6F">
          <w:rPr>
            <w:webHidden/>
          </w:rPr>
          <w:fldChar w:fldCharType="begin"/>
        </w:r>
        <w:r w:rsidR="004F69A7" w:rsidRPr="00103C6F">
          <w:rPr>
            <w:webHidden/>
          </w:rPr>
          <w:instrText xml:space="preserve"> PAGEREF _Toc182298945 \h </w:instrText>
        </w:r>
        <w:r w:rsidR="004F69A7" w:rsidRPr="00103C6F">
          <w:rPr>
            <w:webHidden/>
          </w:rPr>
        </w:r>
        <w:r w:rsidR="004F69A7" w:rsidRPr="00103C6F">
          <w:rPr>
            <w:webHidden/>
          </w:rPr>
          <w:fldChar w:fldCharType="separate"/>
        </w:r>
        <w:r w:rsidR="00666FC7">
          <w:rPr>
            <w:webHidden/>
          </w:rPr>
          <w:t>261</w:t>
        </w:r>
        <w:r w:rsidR="004F69A7" w:rsidRPr="00103C6F">
          <w:rPr>
            <w:webHidden/>
          </w:rPr>
          <w:fldChar w:fldCharType="end"/>
        </w:r>
      </w:hyperlink>
    </w:p>
    <w:p w14:paraId="27EB1B57" w14:textId="2B24D945" w:rsidR="004F69A7" w:rsidRPr="00103C6F" w:rsidRDefault="00C40DAA" w:rsidP="009C2D83">
      <w:pPr>
        <w:pStyle w:val="TM2"/>
        <w:keepNext w:val="0"/>
        <w:keepLines w:val="0"/>
        <w:widowControl w:val="0"/>
        <w:rPr>
          <w:rFonts w:eastAsiaTheme="minorEastAsia"/>
          <w:kern w:val="0"/>
          <w:lang w:eastAsia="fr-FR"/>
        </w:rPr>
      </w:pPr>
      <w:hyperlink w:anchor="_Toc182298946" w:history="1">
        <w:r w:rsidR="004F69A7" w:rsidRPr="00103C6F">
          <w:rPr>
            <w:rStyle w:val="Lienhypertexte"/>
            <w:b w:val="0"/>
            <w:bCs w:val="0"/>
          </w:rPr>
          <w:t>Liste des Tableaux</w:t>
        </w:r>
        <w:r w:rsidR="004F69A7" w:rsidRPr="00103C6F">
          <w:rPr>
            <w:webHidden/>
          </w:rPr>
          <w:tab/>
        </w:r>
        <w:r w:rsidR="004F69A7" w:rsidRPr="00103C6F">
          <w:rPr>
            <w:webHidden/>
          </w:rPr>
          <w:fldChar w:fldCharType="begin"/>
        </w:r>
        <w:r w:rsidR="004F69A7" w:rsidRPr="00103C6F">
          <w:rPr>
            <w:webHidden/>
          </w:rPr>
          <w:instrText xml:space="preserve"> PAGEREF _Toc182298946 \h </w:instrText>
        </w:r>
        <w:r w:rsidR="004F69A7" w:rsidRPr="00103C6F">
          <w:rPr>
            <w:webHidden/>
          </w:rPr>
        </w:r>
        <w:r w:rsidR="004F69A7" w:rsidRPr="00103C6F">
          <w:rPr>
            <w:webHidden/>
          </w:rPr>
          <w:fldChar w:fldCharType="separate"/>
        </w:r>
        <w:r w:rsidR="00666FC7">
          <w:rPr>
            <w:webHidden/>
          </w:rPr>
          <w:t>262</w:t>
        </w:r>
        <w:r w:rsidR="004F69A7" w:rsidRPr="00103C6F">
          <w:rPr>
            <w:webHidden/>
          </w:rPr>
          <w:fldChar w:fldCharType="end"/>
        </w:r>
      </w:hyperlink>
    </w:p>
    <w:p w14:paraId="0184AC01" w14:textId="5B10F2CB" w:rsidR="004F69A7" w:rsidRPr="00103C6F" w:rsidRDefault="00C40DAA" w:rsidP="00EC0A8E">
      <w:pPr>
        <w:pStyle w:val="TM1"/>
        <w:rPr>
          <w:rFonts w:eastAsiaTheme="minorEastAsia"/>
          <w:kern w:val="0"/>
          <w:lang w:eastAsia="fr-FR"/>
        </w:rPr>
      </w:pPr>
      <w:hyperlink w:anchor="_Toc182298947" w:history="1">
        <w:r w:rsidR="004F69A7" w:rsidRPr="00103C6F">
          <w:rPr>
            <w:rStyle w:val="Lienhypertexte"/>
            <w:b w:val="0"/>
            <w:bCs w:val="0"/>
            <w:spacing w:val="40"/>
          </w:rPr>
          <w:t>Annexes</w:t>
        </w:r>
        <w:r w:rsidR="004F69A7" w:rsidRPr="00103C6F">
          <w:rPr>
            <w:webHidden/>
          </w:rPr>
          <w:tab/>
        </w:r>
        <w:r w:rsidR="004F69A7" w:rsidRPr="00103C6F">
          <w:rPr>
            <w:webHidden/>
          </w:rPr>
          <w:fldChar w:fldCharType="begin"/>
        </w:r>
        <w:r w:rsidR="004F69A7" w:rsidRPr="00103C6F">
          <w:rPr>
            <w:webHidden/>
          </w:rPr>
          <w:instrText xml:space="preserve"> PAGEREF _Toc182298947 \h </w:instrText>
        </w:r>
        <w:r w:rsidR="004F69A7" w:rsidRPr="00103C6F">
          <w:rPr>
            <w:webHidden/>
          </w:rPr>
        </w:r>
        <w:r w:rsidR="004F69A7" w:rsidRPr="00103C6F">
          <w:rPr>
            <w:webHidden/>
          </w:rPr>
          <w:fldChar w:fldCharType="separate"/>
        </w:r>
        <w:r w:rsidR="00666FC7">
          <w:rPr>
            <w:webHidden/>
          </w:rPr>
          <w:t>260</w:t>
        </w:r>
        <w:r w:rsidR="004F69A7" w:rsidRPr="00103C6F">
          <w:rPr>
            <w:webHidden/>
          </w:rPr>
          <w:fldChar w:fldCharType="end"/>
        </w:r>
      </w:hyperlink>
      <w:r w:rsidR="0014270C">
        <w:rPr>
          <w:webHidden/>
        </w:rPr>
        <w:t>4</w:t>
      </w:r>
    </w:p>
    <w:p w14:paraId="59C75C35" w14:textId="79646464" w:rsidR="004F69A7" w:rsidRPr="00103C6F" w:rsidRDefault="00C40DAA" w:rsidP="009C2D83">
      <w:pPr>
        <w:pStyle w:val="TM2"/>
        <w:keepNext w:val="0"/>
        <w:keepLines w:val="0"/>
        <w:widowControl w:val="0"/>
        <w:rPr>
          <w:rFonts w:eastAsiaTheme="minorEastAsia"/>
          <w:kern w:val="0"/>
          <w:lang w:eastAsia="fr-FR"/>
        </w:rPr>
      </w:pPr>
      <w:hyperlink w:anchor="_Toc182298948" w:history="1">
        <w:r w:rsidR="004F69A7" w:rsidRPr="00103C6F">
          <w:rPr>
            <w:rStyle w:val="Lienhypertexte"/>
            <w:b w:val="0"/>
            <w:bCs w:val="0"/>
          </w:rPr>
          <w:t>Annexe 1 : Questionnaire</w:t>
        </w:r>
        <w:r w:rsidR="004F69A7" w:rsidRPr="00103C6F">
          <w:rPr>
            <w:webHidden/>
          </w:rPr>
          <w:tab/>
        </w:r>
        <w:r w:rsidR="004F69A7" w:rsidRPr="00103C6F">
          <w:rPr>
            <w:webHidden/>
          </w:rPr>
          <w:fldChar w:fldCharType="begin"/>
        </w:r>
        <w:r w:rsidR="004F69A7" w:rsidRPr="00103C6F">
          <w:rPr>
            <w:webHidden/>
          </w:rPr>
          <w:instrText xml:space="preserve"> PAGEREF _Toc182298948 \h </w:instrText>
        </w:r>
        <w:r w:rsidR="004F69A7" w:rsidRPr="00103C6F">
          <w:rPr>
            <w:webHidden/>
          </w:rPr>
        </w:r>
        <w:r w:rsidR="004F69A7" w:rsidRPr="00103C6F">
          <w:rPr>
            <w:webHidden/>
          </w:rPr>
          <w:fldChar w:fldCharType="separate"/>
        </w:r>
        <w:r w:rsidR="00666FC7">
          <w:rPr>
            <w:webHidden/>
          </w:rPr>
          <w:t>265</w:t>
        </w:r>
        <w:r w:rsidR="004F69A7" w:rsidRPr="00103C6F">
          <w:rPr>
            <w:webHidden/>
          </w:rPr>
          <w:fldChar w:fldCharType="end"/>
        </w:r>
      </w:hyperlink>
    </w:p>
    <w:p w14:paraId="50293FC9" w14:textId="23ED3381" w:rsidR="004F69A7" w:rsidRPr="00103C6F" w:rsidRDefault="00C40DAA" w:rsidP="009C2D83">
      <w:pPr>
        <w:pStyle w:val="TM2"/>
        <w:keepNext w:val="0"/>
        <w:keepLines w:val="0"/>
        <w:widowControl w:val="0"/>
        <w:rPr>
          <w:rFonts w:eastAsiaTheme="minorEastAsia"/>
          <w:kern w:val="0"/>
          <w:lang w:eastAsia="fr-FR"/>
        </w:rPr>
      </w:pPr>
      <w:hyperlink w:anchor="_Toc182298949" w:history="1">
        <w:r w:rsidR="004F69A7" w:rsidRPr="00103C6F">
          <w:rPr>
            <w:rStyle w:val="Lienhypertexte"/>
            <w:b w:val="0"/>
            <w:bCs w:val="0"/>
          </w:rPr>
          <w:t>Annexe 2 : Glossaire</w:t>
        </w:r>
        <w:r w:rsidR="004F69A7" w:rsidRPr="00103C6F">
          <w:rPr>
            <w:webHidden/>
          </w:rPr>
          <w:tab/>
        </w:r>
        <w:r w:rsidR="004F69A7" w:rsidRPr="00103C6F">
          <w:rPr>
            <w:webHidden/>
          </w:rPr>
          <w:fldChar w:fldCharType="begin"/>
        </w:r>
        <w:r w:rsidR="004F69A7" w:rsidRPr="00103C6F">
          <w:rPr>
            <w:webHidden/>
          </w:rPr>
          <w:instrText xml:space="preserve"> PAGEREF _Toc182298949 \h </w:instrText>
        </w:r>
        <w:r w:rsidR="004F69A7" w:rsidRPr="00103C6F">
          <w:rPr>
            <w:webHidden/>
          </w:rPr>
        </w:r>
        <w:r w:rsidR="004F69A7" w:rsidRPr="00103C6F">
          <w:rPr>
            <w:webHidden/>
          </w:rPr>
          <w:fldChar w:fldCharType="separate"/>
        </w:r>
        <w:r w:rsidR="00666FC7">
          <w:rPr>
            <w:webHidden/>
          </w:rPr>
          <w:t>274</w:t>
        </w:r>
        <w:r w:rsidR="004F69A7" w:rsidRPr="00103C6F">
          <w:rPr>
            <w:webHidden/>
          </w:rPr>
          <w:fldChar w:fldCharType="end"/>
        </w:r>
      </w:hyperlink>
    </w:p>
    <w:p w14:paraId="5980E1DA" w14:textId="1B714482" w:rsidR="004F69A7" w:rsidRPr="00103C6F" w:rsidRDefault="00C40DAA" w:rsidP="006B69C7">
      <w:pPr>
        <w:pStyle w:val="TM1"/>
        <w:rPr>
          <w:rFonts w:eastAsiaTheme="minorEastAsia"/>
          <w:kern w:val="0"/>
          <w:lang w:eastAsia="fr-FR"/>
        </w:rPr>
      </w:pPr>
      <w:hyperlink w:anchor="_Toc182298950" w:history="1">
        <w:r w:rsidR="004F69A7" w:rsidRPr="00103C6F">
          <w:rPr>
            <w:rStyle w:val="Lienhypertexte"/>
            <w:b w:val="0"/>
            <w:bCs w:val="0"/>
            <w:spacing w:val="40"/>
            <w14:shadow w14:blurRad="50800" w14:dist="38100" w14:dir="2700000" w14:sx="100000" w14:sy="100000" w14:kx="0" w14:ky="0" w14:algn="tl">
              <w14:srgbClr w14:val="000000">
                <w14:alpha w14:val="60000"/>
              </w14:srgbClr>
            </w14:shadow>
          </w:rPr>
          <w:t>Table des matières</w:t>
        </w:r>
        <w:r w:rsidR="004F69A7" w:rsidRPr="00103C6F">
          <w:rPr>
            <w:webHidden/>
          </w:rPr>
          <w:tab/>
        </w:r>
        <w:r w:rsidR="004F69A7" w:rsidRPr="00103C6F">
          <w:rPr>
            <w:webHidden/>
          </w:rPr>
          <w:fldChar w:fldCharType="begin"/>
        </w:r>
        <w:r w:rsidR="004F69A7" w:rsidRPr="00103C6F">
          <w:rPr>
            <w:webHidden/>
          </w:rPr>
          <w:instrText xml:space="preserve"> PAGEREF _Toc182298950 \h </w:instrText>
        </w:r>
        <w:r w:rsidR="004F69A7" w:rsidRPr="00103C6F">
          <w:rPr>
            <w:webHidden/>
          </w:rPr>
        </w:r>
        <w:r w:rsidR="004F69A7" w:rsidRPr="00103C6F">
          <w:rPr>
            <w:webHidden/>
          </w:rPr>
          <w:fldChar w:fldCharType="separate"/>
        </w:r>
        <w:r w:rsidR="00666FC7">
          <w:rPr>
            <w:webHidden/>
          </w:rPr>
          <w:t>278</w:t>
        </w:r>
        <w:r w:rsidR="004F69A7" w:rsidRPr="00103C6F">
          <w:rPr>
            <w:webHidden/>
          </w:rPr>
          <w:fldChar w:fldCharType="end"/>
        </w:r>
      </w:hyperlink>
    </w:p>
    <w:p w14:paraId="3298B2CB" w14:textId="07052678" w:rsidR="009C2D83" w:rsidRDefault="00B544E5" w:rsidP="009C2D83">
      <w:pPr>
        <w:pStyle w:val="Titre1"/>
        <w:widowControl w:val="0"/>
        <w:spacing w:before="0" w:beforeAutospacing="0" w:after="0" w:afterAutospacing="0" w:line="300" w:lineRule="auto"/>
        <w:ind w:right="-143"/>
        <w:rPr>
          <w:rFonts w:asciiTheme="majorBidi" w:eastAsiaTheme="minorHAnsi" w:hAnsiTheme="majorBidi" w:cstheme="majorBidi"/>
          <w:b w:val="0"/>
          <w:bCs w:val="0"/>
          <w:caps/>
          <w:noProof/>
          <w:kern w:val="24"/>
          <w:sz w:val="24"/>
          <w:szCs w:val="24"/>
          <w:lang w:eastAsia="en-US"/>
        </w:rPr>
      </w:pPr>
      <w:r w:rsidRPr="00103C6F">
        <w:rPr>
          <w:rFonts w:asciiTheme="majorBidi" w:eastAsiaTheme="minorHAnsi" w:hAnsiTheme="majorBidi" w:cstheme="majorBidi"/>
          <w:b w:val="0"/>
          <w:bCs w:val="0"/>
          <w:caps/>
          <w:noProof/>
          <w:kern w:val="24"/>
          <w:sz w:val="24"/>
          <w:szCs w:val="24"/>
          <w:lang w:eastAsia="en-US"/>
        </w:rPr>
        <w:fldChar w:fldCharType="end"/>
      </w:r>
    </w:p>
    <w:sectPr w:rsidR="009C2D83" w:rsidSect="009C2D83">
      <w:headerReference w:type="default" r:id="rId111"/>
      <w:footerReference w:type="default" r:id="rId112"/>
      <w:footerReference w:type="first" r:id="rId113"/>
      <w:footnotePr>
        <w:numRestart w:val="eachPage"/>
      </w:footnotePr>
      <w:pgSz w:w="11906" w:h="16838" w:code="9"/>
      <w:pgMar w:top="1134" w:right="1134" w:bottom="1134" w:left="1134" w:header="709" w:footer="709" w:gutter="567"/>
      <w:pgNumType w:start="278"/>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7CD48" w14:textId="77777777" w:rsidR="00C40DAA" w:rsidRDefault="00C40DAA" w:rsidP="002760B2">
      <w:pPr>
        <w:spacing w:line="240" w:lineRule="auto"/>
      </w:pPr>
      <w:r>
        <w:separator/>
      </w:r>
    </w:p>
  </w:endnote>
  <w:endnote w:type="continuationSeparator" w:id="0">
    <w:p w14:paraId="173A02DB" w14:textId="77777777" w:rsidR="00C40DAA" w:rsidRDefault="00C40DAA" w:rsidP="002760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Gras">
    <w:panose1 w:val="00000000000000000000"/>
    <w:charset w:val="00"/>
    <w:family w:val="roman"/>
    <w:notTrueType/>
    <w:pitch w:val="default"/>
  </w:font>
  <w:font w:name="Code2000">
    <w:altName w:val="MS Gothic"/>
    <w:panose1 w:val="00000000000000000000"/>
    <w:charset w:val="80"/>
    <w:family w:val="auto"/>
    <w:notTrueType/>
    <w:pitch w:val="default"/>
    <w:sig w:usb0="00000000" w:usb1="08070000" w:usb2="00000010" w:usb3="00000000" w:csb0="00020000"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KFGQPC Uthmanic Script HAFS">
    <w:altName w:val="Times New Roman"/>
    <w:panose1 w:val="00000000000000000000"/>
    <w:charset w:val="00"/>
    <w:family w:val="roman"/>
    <w:notTrueType/>
    <w:pitch w:val="default"/>
  </w:font>
  <w:font w:name="ArialMT">
    <w:altName w:val="Yu Gothic UI"/>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NewRomanPS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303EB" w14:textId="77777777" w:rsidR="009C2D83" w:rsidRPr="00BA2670" w:rsidRDefault="009C2D83" w:rsidP="00BA2670">
    <w:pPr>
      <w:pStyle w:val="Pieddepage"/>
      <w:jc w:val="center"/>
      <w:rPr>
        <w:rFonts w:asciiTheme="majorBidi" w:hAnsiTheme="majorBidi" w:cstheme="majorBidi"/>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9E699" w14:textId="77777777" w:rsidR="009C2D83" w:rsidRPr="00D83E25" w:rsidRDefault="009C2D83" w:rsidP="00611487">
    <w:pPr>
      <w:pStyle w:val="Pieddepage"/>
      <w:rPr>
        <w:rFonts w:ascii="Times New Roman" w:hAnsi="Times New Roman" w:cs="Times New Roman"/>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B570B" w14:textId="77777777" w:rsidR="009C2D83" w:rsidRDefault="009C2D83" w:rsidP="000567B2">
    <w:pPr>
      <w:pStyle w:val="Pieddepage"/>
      <w:jc w:val="cen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166873"/>
      <w:docPartObj>
        <w:docPartGallery w:val="Page Numbers (Bottom of Page)"/>
        <w:docPartUnique/>
      </w:docPartObj>
    </w:sdtPr>
    <w:sdtEndPr/>
    <w:sdtContent>
      <w:p w14:paraId="310997BE" w14:textId="5296B7C2" w:rsidR="009C2D83" w:rsidRPr="0000609B" w:rsidRDefault="009C2D83" w:rsidP="0000609B">
        <w:pPr>
          <w:pStyle w:val="Pieddepage"/>
          <w:jc w:val="center"/>
        </w:pPr>
        <w:r>
          <w:fldChar w:fldCharType="begin"/>
        </w:r>
        <w:r>
          <w:instrText xml:space="preserve"> PAGE   \* MERGEFORMAT </w:instrText>
        </w:r>
        <w:r>
          <w:fldChar w:fldCharType="separate"/>
        </w:r>
        <w:r w:rsidR="00666FC7">
          <w:rPr>
            <w:noProof/>
          </w:rPr>
          <w:t>178</w:t>
        </w:r>
        <w:r>
          <w:rPr>
            <w:noProof/>
          </w:rPr>
          <w:fldChar w:fldCharType="end"/>
        </w:r>
      </w:p>
    </w:sdtContent>
  </w:sdt>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6522" w14:textId="77777777" w:rsidR="009C2D83" w:rsidRDefault="009C2D83" w:rsidP="000567B2">
    <w:pPr>
      <w:pStyle w:val="Pieddepage"/>
      <w:jc w:val="cen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3D3D" w14:textId="77777777" w:rsidR="009C2D83" w:rsidRPr="00D83E25" w:rsidRDefault="009C2D83" w:rsidP="00611487">
    <w:pPr>
      <w:pStyle w:val="Pieddepage"/>
      <w:rPr>
        <w:rFonts w:ascii="Times New Roman" w:hAnsi="Times New Roman" w:cs="Times New Roman"/>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8271120"/>
      <w:docPartObj>
        <w:docPartGallery w:val="Page Numbers (Bottom of Page)"/>
        <w:docPartUnique/>
      </w:docPartObj>
    </w:sdtPr>
    <w:sdtEndPr/>
    <w:sdtContent>
      <w:p w14:paraId="7538687E" w14:textId="31F0708A" w:rsidR="009C2D83" w:rsidRPr="003C1B60" w:rsidRDefault="009C2D83" w:rsidP="003254A4">
        <w:pPr>
          <w:pStyle w:val="Pieddepage"/>
          <w:jc w:val="center"/>
        </w:pPr>
        <w:r>
          <w:fldChar w:fldCharType="begin"/>
        </w:r>
        <w:r>
          <w:instrText xml:space="preserve"> PAGE   \* MERGEFORMAT </w:instrText>
        </w:r>
        <w:r>
          <w:fldChar w:fldCharType="separate"/>
        </w:r>
        <w:r w:rsidR="00666FC7">
          <w:rPr>
            <w:noProof/>
          </w:rPr>
          <w:t>231</w:t>
        </w:r>
        <w:r>
          <w:rPr>
            <w:noProof/>
          </w:rPr>
          <w:fldChar w:fldCharType="end"/>
        </w:r>
      </w:p>
    </w:sdtContent>
  </w:sdt>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78988"/>
      <w:docPartObj>
        <w:docPartGallery w:val="Page Numbers (Bottom of Page)"/>
        <w:docPartUnique/>
      </w:docPartObj>
    </w:sdtPr>
    <w:sdtEndPr/>
    <w:sdtContent>
      <w:p w14:paraId="01236FC7" w14:textId="77777777" w:rsidR="009C2D83" w:rsidRDefault="009C2D83" w:rsidP="003010C3">
        <w:pPr>
          <w:pStyle w:val="Pieddepage"/>
          <w:jc w:val="center"/>
        </w:pPr>
        <w:r>
          <w:t>232</w:t>
        </w:r>
      </w:p>
      <w:p w14:paraId="390CE9AC" w14:textId="309938C3" w:rsidR="009C2D83" w:rsidRDefault="00C40DAA" w:rsidP="003010C3">
        <w:pPr>
          <w:pStyle w:val="Pieddepage"/>
          <w:jc w:val="center"/>
        </w:pPr>
      </w:p>
    </w:sdtContent>
  </w:sdt>
  <w:p w14:paraId="78979E0B" w14:textId="77777777" w:rsidR="009C2D83" w:rsidRPr="003C1B60" w:rsidRDefault="009C2D83" w:rsidP="003254A4">
    <w:pPr>
      <w:pStyle w:val="Pieddepage"/>
      <w:jc w:val="cen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725699"/>
      <w:docPartObj>
        <w:docPartGallery w:val="Page Numbers (Bottom of Page)"/>
        <w:docPartUnique/>
      </w:docPartObj>
    </w:sdtPr>
    <w:sdtEndPr/>
    <w:sdtContent>
      <w:p w14:paraId="17E1D13F" w14:textId="728777A5" w:rsidR="009C2D83" w:rsidRPr="003C1B60" w:rsidRDefault="009C2D83" w:rsidP="00621FA2">
        <w:pPr>
          <w:pStyle w:val="Pieddepage"/>
          <w:jc w:val="center"/>
        </w:pPr>
        <w:r>
          <w:fldChar w:fldCharType="begin"/>
        </w:r>
        <w:r>
          <w:instrText xml:space="preserve"> PAGE   \* MERGEFORMAT </w:instrText>
        </w:r>
        <w:r>
          <w:fldChar w:fldCharType="separate"/>
        </w:r>
        <w:r w:rsidR="00666FC7">
          <w:rPr>
            <w:noProof/>
          </w:rPr>
          <w:t>238</w:t>
        </w:r>
        <w:r>
          <w:rPr>
            <w:noProof/>
          </w:rPr>
          <w:fldChar w:fldCharType="end"/>
        </w:r>
      </w:p>
    </w:sdtContent>
  </w:sdt>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092911"/>
      <w:docPartObj>
        <w:docPartGallery w:val="Page Numbers (Bottom of Page)"/>
        <w:docPartUnique/>
      </w:docPartObj>
    </w:sdtPr>
    <w:sdtEndPr>
      <w:rPr>
        <w:rFonts w:asciiTheme="majorBidi" w:hAnsiTheme="majorBidi" w:cstheme="majorBidi"/>
      </w:rPr>
    </w:sdtEndPr>
    <w:sdtContent>
      <w:p w14:paraId="2227EF97" w14:textId="35F3AB05" w:rsidR="009C2D83" w:rsidRPr="00D66FFE" w:rsidRDefault="009C2D83" w:rsidP="002E78A7">
        <w:pPr>
          <w:pStyle w:val="Pieddepage"/>
          <w:jc w:val="center"/>
          <w:rPr>
            <w:rFonts w:asciiTheme="majorBidi" w:hAnsiTheme="majorBidi" w:cstheme="majorBidi"/>
          </w:rPr>
        </w:pPr>
        <w:r w:rsidRPr="00D66FFE">
          <w:rPr>
            <w:rFonts w:asciiTheme="majorBidi" w:hAnsiTheme="majorBidi" w:cstheme="majorBidi"/>
          </w:rPr>
          <w:fldChar w:fldCharType="begin"/>
        </w:r>
        <w:r w:rsidRPr="00D66FFE">
          <w:rPr>
            <w:rFonts w:asciiTheme="majorBidi" w:hAnsiTheme="majorBidi" w:cstheme="majorBidi"/>
          </w:rPr>
          <w:instrText xml:space="preserve"> PAGE   \* MERGEFORMAT </w:instrText>
        </w:r>
        <w:r w:rsidRPr="00D66FFE">
          <w:rPr>
            <w:rFonts w:asciiTheme="majorBidi" w:hAnsiTheme="majorBidi" w:cstheme="majorBidi"/>
          </w:rPr>
          <w:fldChar w:fldCharType="separate"/>
        </w:r>
        <w:r w:rsidR="00666FC7">
          <w:rPr>
            <w:rFonts w:asciiTheme="majorBidi" w:hAnsiTheme="majorBidi" w:cstheme="majorBidi"/>
            <w:noProof/>
          </w:rPr>
          <w:t>258</w:t>
        </w:r>
        <w:r w:rsidRPr="00D66FFE">
          <w:rPr>
            <w:rFonts w:asciiTheme="majorBidi" w:hAnsiTheme="majorBidi" w:cstheme="majorBidi"/>
            <w:noProof/>
          </w:rPr>
          <w:fldChar w:fldCharType="end"/>
        </w:r>
      </w:p>
    </w:sdtContent>
  </w:sdt>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312465"/>
      <w:docPartObj>
        <w:docPartGallery w:val="Page Numbers (Bottom of Page)"/>
        <w:docPartUnique/>
      </w:docPartObj>
    </w:sdtPr>
    <w:sdtEndPr/>
    <w:sdtContent>
      <w:p w14:paraId="325C9981" w14:textId="77777777" w:rsidR="009C2D83" w:rsidRDefault="009C2D83" w:rsidP="003010C3">
        <w:pPr>
          <w:pStyle w:val="Pieddepage"/>
          <w:jc w:val="center"/>
        </w:pPr>
        <w:r>
          <w:t>260</w:t>
        </w:r>
      </w:p>
      <w:p w14:paraId="79D431DC" w14:textId="3480201C" w:rsidR="009C2D83" w:rsidRDefault="00C40DAA" w:rsidP="003010C3">
        <w:pPr>
          <w:pStyle w:val="Pieddepage"/>
          <w:jc w:val="center"/>
        </w:pPr>
      </w:p>
    </w:sdtContent>
  </w:sdt>
  <w:p w14:paraId="5736EB61" w14:textId="77777777" w:rsidR="009C2D83" w:rsidRPr="003C1B60" w:rsidRDefault="009C2D83" w:rsidP="00D270B9">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625194"/>
      <w:docPartObj>
        <w:docPartGallery w:val="Page Numbers (Bottom of Page)"/>
        <w:docPartUnique/>
      </w:docPartObj>
    </w:sdtPr>
    <w:sdtEndPr>
      <w:rPr>
        <w:rFonts w:asciiTheme="majorBidi" w:hAnsiTheme="majorBidi" w:cstheme="majorBidi"/>
      </w:rPr>
    </w:sdtEndPr>
    <w:sdtContent>
      <w:p w14:paraId="19A2DE22" w14:textId="0473BF92" w:rsidR="009C2D83" w:rsidRPr="00FC0204" w:rsidRDefault="009C2D83">
        <w:pPr>
          <w:pStyle w:val="Pieddepage"/>
          <w:jc w:val="center"/>
          <w:rPr>
            <w:rFonts w:asciiTheme="majorBidi" w:hAnsiTheme="majorBidi" w:cstheme="majorBidi"/>
          </w:rPr>
        </w:pPr>
        <w:r w:rsidRPr="00FC0204">
          <w:rPr>
            <w:rFonts w:asciiTheme="majorBidi" w:hAnsiTheme="majorBidi" w:cstheme="majorBidi"/>
          </w:rPr>
          <w:fldChar w:fldCharType="begin"/>
        </w:r>
        <w:r w:rsidRPr="00FC0204">
          <w:rPr>
            <w:rFonts w:asciiTheme="majorBidi" w:hAnsiTheme="majorBidi" w:cstheme="majorBidi"/>
          </w:rPr>
          <w:instrText xml:space="preserve"> PAGE   \* MERGEFORMAT </w:instrText>
        </w:r>
        <w:r w:rsidRPr="00FC0204">
          <w:rPr>
            <w:rFonts w:asciiTheme="majorBidi" w:hAnsiTheme="majorBidi" w:cstheme="majorBidi"/>
          </w:rPr>
          <w:fldChar w:fldCharType="separate"/>
        </w:r>
        <w:r w:rsidR="00666FC7">
          <w:rPr>
            <w:rFonts w:asciiTheme="majorBidi" w:hAnsiTheme="majorBidi" w:cstheme="majorBidi"/>
            <w:noProof/>
          </w:rPr>
          <w:t>9</w:t>
        </w:r>
        <w:r w:rsidRPr="00FC0204">
          <w:rPr>
            <w:rFonts w:asciiTheme="majorBidi" w:hAnsiTheme="majorBidi" w:cstheme="majorBidi"/>
            <w:noProof/>
          </w:rPr>
          <w:fldChar w:fldCharType="end"/>
        </w:r>
      </w:p>
    </w:sdtContent>
  </w:sdt>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882651"/>
      <w:docPartObj>
        <w:docPartGallery w:val="Page Numbers (Bottom of Page)"/>
        <w:docPartUnique/>
      </w:docPartObj>
    </w:sdtPr>
    <w:sdtEndPr>
      <w:rPr>
        <w:rFonts w:ascii="Times New Roman" w:hAnsi="Times New Roman" w:cs="Times New Roman"/>
      </w:rPr>
    </w:sdtEndPr>
    <w:sdtContent>
      <w:p w14:paraId="3D495EDD" w14:textId="26DF2F23" w:rsidR="009C2D83" w:rsidRPr="00D66FFE" w:rsidRDefault="009C2D83" w:rsidP="00D66FFE">
        <w:pPr>
          <w:pStyle w:val="Pieddepage"/>
          <w:jc w:val="center"/>
          <w:rPr>
            <w:rFonts w:ascii="Times New Roman" w:hAnsi="Times New Roman" w:cs="Times New Roman"/>
          </w:rPr>
        </w:pPr>
        <w:r w:rsidRPr="00D66FFE">
          <w:rPr>
            <w:rFonts w:ascii="Times New Roman" w:hAnsi="Times New Roman" w:cs="Times New Roman"/>
          </w:rPr>
          <w:fldChar w:fldCharType="begin"/>
        </w:r>
        <w:r w:rsidRPr="00D66FFE">
          <w:rPr>
            <w:rFonts w:ascii="Times New Roman" w:hAnsi="Times New Roman" w:cs="Times New Roman"/>
          </w:rPr>
          <w:instrText xml:space="preserve"> PAGE   \* MERGEFORMAT </w:instrText>
        </w:r>
        <w:r w:rsidRPr="00D66FFE">
          <w:rPr>
            <w:rFonts w:ascii="Times New Roman" w:hAnsi="Times New Roman" w:cs="Times New Roman"/>
          </w:rPr>
          <w:fldChar w:fldCharType="separate"/>
        </w:r>
        <w:r w:rsidR="00666FC7">
          <w:rPr>
            <w:rFonts w:ascii="Times New Roman" w:hAnsi="Times New Roman" w:cs="Times New Roman"/>
            <w:noProof/>
          </w:rPr>
          <w:t>263</w:t>
        </w:r>
        <w:r w:rsidRPr="00D66FFE">
          <w:rPr>
            <w:rFonts w:ascii="Times New Roman" w:hAnsi="Times New Roman" w:cs="Times New Roman"/>
            <w:noProof/>
          </w:rPr>
          <w:fldChar w:fldCharType="end"/>
        </w:r>
      </w:p>
    </w:sdtContent>
  </w:sdt>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146636"/>
      <w:docPartObj>
        <w:docPartGallery w:val="Page Numbers (Bottom of Page)"/>
        <w:docPartUnique/>
      </w:docPartObj>
    </w:sdtPr>
    <w:sdtEndPr/>
    <w:sdtContent>
      <w:p w14:paraId="4F49C79A" w14:textId="77777777" w:rsidR="009C2D83" w:rsidRDefault="009C2D83" w:rsidP="003010C3">
        <w:pPr>
          <w:pStyle w:val="Pieddepage"/>
          <w:jc w:val="center"/>
        </w:pPr>
        <w:r>
          <w:t>264</w:t>
        </w:r>
      </w:p>
      <w:p w14:paraId="35F7C0C1" w14:textId="746E874F" w:rsidR="009C2D83" w:rsidRDefault="00C40DAA" w:rsidP="003010C3">
        <w:pPr>
          <w:pStyle w:val="Pieddepage"/>
          <w:jc w:val="center"/>
        </w:pPr>
      </w:p>
    </w:sdtContent>
  </w:sdt>
  <w:p w14:paraId="55421D99" w14:textId="77777777" w:rsidR="009C2D83" w:rsidRPr="003C1B60" w:rsidRDefault="009C2D83" w:rsidP="00D270B9">
    <w:pPr>
      <w:pStyle w:val="Pieddepage"/>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61299177"/>
      <w:docPartObj>
        <w:docPartGallery w:val="Page Numbers (Bottom of Page)"/>
        <w:docPartUnique/>
      </w:docPartObj>
    </w:sdtPr>
    <w:sdtEndPr/>
    <w:sdtContent>
      <w:p w14:paraId="2B59B801" w14:textId="65CEEBC9" w:rsidR="009C2D83" w:rsidRPr="00D83E25" w:rsidRDefault="009C2D83" w:rsidP="00036D1D">
        <w:pPr>
          <w:pStyle w:val="Pieddepage"/>
          <w:jc w:val="center"/>
          <w:rPr>
            <w:rFonts w:ascii="Times New Roman" w:hAnsi="Times New Roman" w:cs="Times New Roman"/>
          </w:rPr>
        </w:pPr>
        <w:r w:rsidRPr="00D83E25">
          <w:rPr>
            <w:rFonts w:ascii="Times New Roman" w:hAnsi="Times New Roman" w:cs="Times New Roman"/>
          </w:rPr>
          <w:fldChar w:fldCharType="begin"/>
        </w:r>
        <w:r w:rsidRPr="00D83E25">
          <w:rPr>
            <w:rFonts w:ascii="Times New Roman" w:hAnsi="Times New Roman" w:cs="Times New Roman"/>
          </w:rPr>
          <w:instrText xml:space="preserve"> PAGE   \* MERGEFORMAT </w:instrText>
        </w:r>
        <w:r w:rsidRPr="00D83E25">
          <w:rPr>
            <w:rFonts w:ascii="Times New Roman" w:hAnsi="Times New Roman" w:cs="Times New Roman"/>
          </w:rPr>
          <w:fldChar w:fldCharType="separate"/>
        </w:r>
        <w:r w:rsidR="00666FC7">
          <w:rPr>
            <w:rFonts w:ascii="Times New Roman" w:hAnsi="Times New Roman" w:cs="Times New Roman"/>
            <w:noProof/>
          </w:rPr>
          <w:t>277</w:t>
        </w:r>
        <w:r w:rsidRPr="00D83E25">
          <w:rPr>
            <w:rFonts w:ascii="Times New Roman" w:hAnsi="Times New Roman" w:cs="Times New Roman"/>
          </w:rPr>
          <w:fldChar w:fldCharType="end"/>
        </w:r>
      </w:p>
    </w:sdtContent>
  </w:sdt>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575962"/>
      <w:docPartObj>
        <w:docPartGallery w:val="Page Numbers (Bottom of Page)"/>
        <w:docPartUnique/>
      </w:docPartObj>
    </w:sdtPr>
    <w:sdtEndPr/>
    <w:sdtContent>
      <w:p w14:paraId="6870B315" w14:textId="77777777" w:rsidR="009C2D83" w:rsidRDefault="009C2D83">
        <w:pPr>
          <w:pStyle w:val="Pieddepage"/>
          <w:jc w:val="center"/>
        </w:pPr>
        <w:r>
          <w:fldChar w:fldCharType="begin"/>
        </w:r>
        <w:r>
          <w:instrText xml:space="preserve"> PAGE   \* MERGEFORMAT </w:instrText>
        </w:r>
        <w:r>
          <w:fldChar w:fldCharType="separate"/>
        </w:r>
        <w:r>
          <w:rPr>
            <w:noProof/>
          </w:rPr>
          <w:t>263</w:t>
        </w:r>
        <w:r>
          <w:rPr>
            <w:noProof/>
          </w:rPr>
          <w:fldChar w:fldCharType="end"/>
        </w:r>
      </w:p>
    </w:sdtContent>
  </w:sdt>
  <w:p w14:paraId="46931381" w14:textId="77777777" w:rsidR="009C2D83" w:rsidRDefault="009C2D83" w:rsidP="000567B2">
    <w:pPr>
      <w:pStyle w:val="Pieddepage"/>
      <w:jc w:val="cente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648752572"/>
      <w:docPartObj>
        <w:docPartGallery w:val="Page Numbers (Bottom of Page)"/>
        <w:docPartUnique/>
      </w:docPartObj>
    </w:sdtPr>
    <w:sdtEndPr/>
    <w:sdtContent>
      <w:p w14:paraId="06802E3F" w14:textId="68D67E67" w:rsidR="009C2D83" w:rsidRPr="00186AAF" w:rsidRDefault="009C2D83" w:rsidP="00D66FFE">
        <w:pPr>
          <w:pStyle w:val="Pieddepage"/>
          <w:jc w:val="center"/>
          <w:rPr>
            <w:rFonts w:ascii="Times New Roman" w:hAnsi="Times New Roman" w:cs="Times New Roman"/>
          </w:rPr>
        </w:pPr>
        <w:r w:rsidRPr="00186AAF">
          <w:rPr>
            <w:rFonts w:ascii="Times New Roman" w:hAnsi="Times New Roman" w:cs="Times New Roman"/>
          </w:rPr>
          <w:fldChar w:fldCharType="begin"/>
        </w:r>
        <w:r w:rsidRPr="00186AAF">
          <w:rPr>
            <w:rFonts w:ascii="Times New Roman" w:hAnsi="Times New Roman" w:cs="Times New Roman"/>
          </w:rPr>
          <w:instrText>PAGE   \* MERGEFORMAT</w:instrText>
        </w:r>
        <w:r w:rsidRPr="00186AAF">
          <w:rPr>
            <w:rFonts w:ascii="Times New Roman" w:hAnsi="Times New Roman" w:cs="Times New Roman"/>
          </w:rPr>
          <w:fldChar w:fldCharType="separate"/>
        </w:r>
        <w:r w:rsidR="00666FC7">
          <w:rPr>
            <w:rFonts w:ascii="Times New Roman" w:hAnsi="Times New Roman" w:cs="Times New Roman"/>
            <w:noProof/>
          </w:rPr>
          <w:t>287</w:t>
        </w:r>
        <w:r w:rsidRPr="00186AAF">
          <w:rPr>
            <w:rFonts w:ascii="Times New Roman" w:hAnsi="Times New Roman" w:cs="Times New Roman"/>
          </w:rPr>
          <w:fldChar w:fldCharType="end"/>
        </w:r>
      </w:p>
    </w:sdtContent>
  </w:sdt>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00C4A" w14:textId="76740A2C" w:rsidR="009C2D83" w:rsidRDefault="009C2D83" w:rsidP="00231AC6">
    <w:pPr>
      <w:pStyle w:val="Pieddepage"/>
      <w:tabs>
        <w:tab w:val="clear" w:pos="4536"/>
        <w:tab w:val="center" w:pos="4535"/>
        <w:tab w:val="left" w:pos="5112"/>
      </w:tabs>
      <w:jc w:val="left"/>
    </w:pPr>
    <w:r>
      <w:tab/>
    </w:r>
    <w:sdt>
      <w:sdtPr>
        <w:id w:val="-320743179"/>
        <w:docPartObj>
          <w:docPartGallery w:val="Page Numbers (Bottom of Page)"/>
          <w:docPartUnique/>
        </w:docPartObj>
      </w:sdtPr>
      <w:sdtEndPr/>
      <w:sdtContent>
        <w:r w:rsidR="00EC0A8E">
          <w:t>278</w:t>
        </w:r>
      </w:sdtContent>
    </w:sdt>
  </w:p>
  <w:p w14:paraId="5F143E09" w14:textId="77777777" w:rsidR="009C2D83" w:rsidRDefault="009C2D83" w:rsidP="000567B2">
    <w:pPr>
      <w:pStyle w:val="Pieddepage"/>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4F864" w14:textId="77777777" w:rsidR="009C2D83" w:rsidRPr="00BA2670" w:rsidRDefault="009C2D83" w:rsidP="00BA2670">
    <w:pPr>
      <w:pStyle w:val="Pieddepage"/>
      <w:jc w:val="center"/>
      <w:rPr>
        <w:rFonts w:asciiTheme="majorBidi" w:hAnsiTheme="majorBidi" w:cstheme="majorBidi"/>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1B6CF" w14:textId="77777777" w:rsidR="009C2D83" w:rsidRPr="00D83E25" w:rsidRDefault="009C2D83" w:rsidP="0069735E">
    <w:pPr>
      <w:pStyle w:val="Pieddepage"/>
      <w:jc w:val="cen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939291"/>
      <w:docPartObj>
        <w:docPartGallery w:val="Page Numbers (Bottom of Page)"/>
        <w:docPartUnique/>
      </w:docPartObj>
    </w:sdtPr>
    <w:sdtEndPr>
      <w:rPr>
        <w:rFonts w:asciiTheme="majorBidi" w:hAnsiTheme="majorBidi" w:cstheme="majorBidi"/>
      </w:rPr>
    </w:sdtEndPr>
    <w:sdtContent>
      <w:p w14:paraId="492CB699" w14:textId="0A6FECF1" w:rsidR="009C2D83" w:rsidRPr="00621E73" w:rsidRDefault="009C2D83" w:rsidP="00621E73">
        <w:pPr>
          <w:pStyle w:val="Pieddepage"/>
          <w:jc w:val="center"/>
          <w:rPr>
            <w:rFonts w:asciiTheme="majorBidi" w:hAnsiTheme="majorBidi" w:cstheme="majorBidi"/>
          </w:rPr>
        </w:pPr>
        <w:r w:rsidRPr="00621E73">
          <w:rPr>
            <w:rFonts w:asciiTheme="majorBidi" w:hAnsiTheme="majorBidi" w:cstheme="majorBidi"/>
          </w:rPr>
          <w:fldChar w:fldCharType="begin"/>
        </w:r>
        <w:r w:rsidRPr="00621E73">
          <w:rPr>
            <w:rFonts w:asciiTheme="majorBidi" w:hAnsiTheme="majorBidi" w:cstheme="majorBidi"/>
          </w:rPr>
          <w:instrText xml:space="preserve"> PAGE   \* MERGEFORMAT </w:instrText>
        </w:r>
        <w:r w:rsidRPr="00621E73">
          <w:rPr>
            <w:rFonts w:asciiTheme="majorBidi" w:hAnsiTheme="majorBidi" w:cstheme="majorBidi"/>
          </w:rPr>
          <w:fldChar w:fldCharType="separate"/>
        </w:r>
        <w:r w:rsidR="00666FC7">
          <w:rPr>
            <w:rFonts w:asciiTheme="majorBidi" w:hAnsiTheme="majorBidi" w:cstheme="majorBidi"/>
            <w:noProof/>
          </w:rPr>
          <w:t>10</w:t>
        </w:r>
        <w:r w:rsidRPr="00621E73">
          <w:rPr>
            <w:rFonts w:asciiTheme="majorBidi" w:hAnsiTheme="majorBidi" w:cstheme="majorBidi"/>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169856"/>
      <w:docPartObj>
        <w:docPartGallery w:val="Page Numbers (Bottom of Page)"/>
        <w:docPartUnique/>
      </w:docPartObj>
    </w:sdtPr>
    <w:sdtEndPr>
      <w:rPr>
        <w:rFonts w:ascii="Times New Roman" w:hAnsi="Times New Roman" w:cs="Times New Roman"/>
      </w:rPr>
    </w:sdtEndPr>
    <w:sdtContent>
      <w:p w14:paraId="0907DBED" w14:textId="4F136CDC" w:rsidR="009C2D83" w:rsidRPr="00621E73" w:rsidRDefault="009C2D83" w:rsidP="00EA23DD">
        <w:pPr>
          <w:pStyle w:val="Pieddepage"/>
          <w:jc w:val="center"/>
          <w:rPr>
            <w:rFonts w:ascii="Times New Roman" w:hAnsi="Times New Roman" w:cs="Times New Roman"/>
          </w:rPr>
        </w:pPr>
        <w:r w:rsidRPr="00621E73">
          <w:rPr>
            <w:rFonts w:ascii="Times New Roman" w:hAnsi="Times New Roman" w:cs="Times New Roman"/>
          </w:rPr>
          <w:fldChar w:fldCharType="begin"/>
        </w:r>
        <w:r w:rsidRPr="00621E73">
          <w:rPr>
            <w:rFonts w:ascii="Times New Roman" w:hAnsi="Times New Roman" w:cs="Times New Roman"/>
          </w:rPr>
          <w:instrText xml:space="preserve"> PAGE   \* MERGEFORMAT </w:instrText>
        </w:r>
        <w:r w:rsidRPr="00621E73">
          <w:rPr>
            <w:rFonts w:ascii="Times New Roman" w:hAnsi="Times New Roman" w:cs="Times New Roman"/>
          </w:rPr>
          <w:fldChar w:fldCharType="separate"/>
        </w:r>
        <w:r w:rsidR="00666FC7">
          <w:rPr>
            <w:rFonts w:ascii="Times New Roman" w:hAnsi="Times New Roman" w:cs="Times New Roman"/>
            <w:noProof/>
          </w:rPr>
          <w:t>31</w:t>
        </w:r>
        <w:r w:rsidRPr="00621E73">
          <w:rPr>
            <w:rFonts w:ascii="Times New Roman" w:hAnsi="Times New Roman" w:cs="Times New Roman"/>
            <w:noProof/>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919528"/>
      <w:docPartObj>
        <w:docPartGallery w:val="Page Numbers (Bottom of Page)"/>
        <w:docPartUnique/>
      </w:docPartObj>
    </w:sdtPr>
    <w:sdtEndPr/>
    <w:sdtContent>
      <w:p w14:paraId="2022149A" w14:textId="5B46A005" w:rsidR="009C2D83" w:rsidRPr="00FA50EB" w:rsidRDefault="009C2D83" w:rsidP="00D66FFE">
        <w:pPr>
          <w:pStyle w:val="Pieddepage"/>
          <w:jc w:val="center"/>
        </w:pPr>
        <w:r>
          <w:fldChar w:fldCharType="begin"/>
        </w:r>
        <w:r>
          <w:instrText xml:space="preserve"> PAGE   \* MERGEFORMAT </w:instrText>
        </w:r>
        <w:r>
          <w:fldChar w:fldCharType="separate"/>
        </w:r>
        <w:r w:rsidR="00666FC7">
          <w:rPr>
            <w:noProof/>
          </w:rPr>
          <w:t>140</w:t>
        </w:r>
        <w:r>
          <w:rPr>
            <w:noProof/>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4A9EC" w14:textId="77777777" w:rsidR="009C2D83" w:rsidRDefault="009C2D83" w:rsidP="00A772C1">
    <w:pPr>
      <w:pStyle w:val="Pieddepage"/>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187627"/>
      <w:docPartObj>
        <w:docPartGallery w:val="Page Numbers (Bottom of Page)"/>
        <w:docPartUnique/>
      </w:docPartObj>
    </w:sdtPr>
    <w:sdtEndPr>
      <w:rPr>
        <w:rFonts w:ascii="Times New Roman" w:hAnsi="Times New Roman" w:cs="Times New Roman"/>
      </w:rPr>
    </w:sdtEndPr>
    <w:sdtContent>
      <w:p w14:paraId="36521AC0" w14:textId="0C9B81FD" w:rsidR="009C2D83" w:rsidRPr="002A5BC8" w:rsidRDefault="009C2D83" w:rsidP="002A5BC8">
        <w:pPr>
          <w:pStyle w:val="Pieddepage"/>
          <w:jc w:val="center"/>
          <w:rPr>
            <w:rFonts w:ascii="Times New Roman" w:hAnsi="Times New Roman" w:cs="Times New Roman"/>
          </w:rPr>
        </w:pPr>
        <w:r w:rsidRPr="002A5BC8">
          <w:rPr>
            <w:rFonts w:ascii="Times New Roman" w:hAnsi="Times New Roman" w:cs="Times New Roman"/>
          </w:rPr>
          <w:fldChar w:fldCharType="begin"/>
        </w:r>
        <w:r w:rsidRPr="002A5BC8">
          <w:rPr>
            <w:rFonts w:ascii="Times New Roman" w:hAnsi="Times New Roman" w:cs="Times New Roman"/>
          </w:rPr>
          <w:instrText xml:space="preserve"> PAGE   \* MERGEFORMAT </w:instrText>
        </w:r>
        <w:r w:rsidRPr="002A5BC8">
          <w:rPr>
            <w:rFonts w:ascii="Times New Roman" w:hAnsi="Times New Roman" w:cs="Times New Roman"/>
          </w:rPr>
          <w:fldChar w:fldCharType="separate"/>
        </w:r>
        <w:r w:rsidR="00666FC7">
          <w:rPr>
            <w:rFonts w:ascii="Times New Roman" w:hAnsi="Times New Roman" w:cs="Times New Roman"/>
            <w:noProof/>
          </w:rPr>
          <w:t>77</w:t>
        </w:r>
        <w:r w:rsidRPr="002A5BC8">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AB7FB" w14:textId="77777777" w:rsidR="00C40DAA" w:rsidRDefault="00C40DAA" w:rsidP="002760B2">
      <w:pPr>
        <w:spacing w:line="240" w:lineRule="auto"/>
      </w:pPr>
      <w:r>
        <w:separator/>
      </w:r>
    </w:p>
  </w:footnote>
  <w:footnote w:type="continuationSeparator" w:id="0">
    <w:p w14:paraId="7681A62D" w14:textId="77777777" w:rsidR="00C40DAA" w:rsidRDefault="00C40DAA" w:rsidP="002760B2">
      <w:pPr>
        <w:spacing w:line="240" w:lineRule="auto"/>
      </w:pPr>
      <w:r>
        <w:continuationSeparator/>
      </w:r>
    </w:p>
  </w:footnote>
  <w:footnote w:id="1">
    <w:p w14:paraId="6F90DB78" w14:textId="77777777" w:rsidR="009C2D83" w:rsidRPr="00752AFD" w:rsidRDefault="009C2D83" w:rsidP="00752AFD">
      <w:pPr>
        <w:pStyle w:val="Titre1"/>
        <w:shd w:val="clear" w:color="auto" w:fill="FFFFFF"/>
        <w:spacing w:before="0" w:beforeAutospacing="0" w:after="0" w:afterAutospacing="0"/>
        <w:rPr>
          <w:rFonts w:asciiTheme="majorBidi" w:hAnsiTheme="majorBidi" w:cstheme="majorBidi"/>
          <w:b w:val="0"/>
          <w:bCs w:val="0"/>
          <w:sz w:val="20"/>
          <w:szCs w:val="20"/>
        </w:rPr>
      </w:pPr>
      <w:r w:rsidRPr="00752AFD">
        <w:rPr>
          <w:rStyle w:val="Appelnotedebasdep"/>
          <w:b w:val="0"/>
          <w:bCs w:val="0"/>
          <w:sz w:val="22"/>
          <w:szCs w:val="40"/>
        </w:rPr>
        <w:footnoteRef/>
      </w:r>
      <w:r w:rsidRPr="00752AFD">
        <w:rPr>
          <w:b w:val="0"/>
          <w:bCs w:val="0"/>
          <w:sz w:val="22"/>
          <w:szCs w:val="40"/>
        </w:rPr>
        <w:t xml:space="preserve"> </w:t>
      </w:r>
      <w:r>
        <w:rPr>
          <w:b w:val="0"/>
          <w:bCs w:val="0"/>
          <w:smallCaps/>
          <w:sz w:val="20"/>
          <w:szCs w:val="20"/>
        </w:rPr>
        <w:t>B</w:t>
      </w:r>
      <w:r w:rsidRPr="00752AFD">
        <w:rPr>
          <w:b w:val="0"/>
          <w:bCs w:val="0"/>
          <w:smallCaps/>
          <w:sz w:val="20"/>
          <w:szCs w:val="20"/>
        </w:rPr>
        <w:t>ouajina</w:t>
      </w:r>
      <w:r>
        <w:rPr>
          <w:b w:val="0"/>
          <w:bCs w:val="0"/>
          <w:sz w:val="20"/>
          <w:szCs w:val="20"/>
        </w:rPr>
        <w:t xml:space="preserve"> Ashraf </w:t>
      </w:r>
      <w:r w:rsidRPr="00752AFD">
        <w:rPr>
          <w:b w:val="0"/>
          <w:bCs w:val="0"/>
          <w:sz w:val="20"/>
          <w:szCs w:val="20"/>
        </w:rPr>
        <w:t xml:space="preserve">et </w:t>
      </w:r>
      <w:r w:rsidRPr="00752AFD">
        <w:rPr>
          <w:b w:val="0"/>
          <w:bCs w:val="0"/>
          <w:smallCaps/>
          <w:sz w:val="20"/>
          <w:szCs w:val="20"/>
        </w:rPr>
        <w:t>Ahmad</w:t>
      </w:r>
      <w:r w:rsidRPr="00752AFD">
        <w:rPr>
          <w:b w:val="0"/>
          <w:bCs w:val="0"/>
          <w:sz w:val="20"/>
          <w:szCs w:val="20"/>
        </w:rPr>
        <w:t xml:space="preserve"> Sara, « </w:t>
      </w:r>
      <w:r w:rsidRPr="00752AFD">
        <w:rPr>
          <w:rFonts w:asciiTheme="majorBidi" w:hAnsiTheme="majorBidi" w:cstheme="majorBidi"/>
          <w:b w:val="0"/>
          <w:bCs w:val="0"/>
          <w:sz w:val="20"/>
          <w:szCs w:val="20"/>
        </w:rPr>
        <w:t xml:space="preserve">Un nouvel outil pour exploiter l’essor de la finance islamique en faveur du développement des </w:t>
      </w:r>
      <w:r>
        <w:rPr>
          <w:rFonts w:asciiTheme="majorBidi" w:hAnsiTheme="majorBidi" w:cstheme="majorBidi"/>
          <w:b w:val="0"/>
          <w:bCs w:val="0"/>
          <w:sz w:val="20"/>
          <w:szCs w:val="20"/>
        </w:rPr>
        <w:t>infrastructures », 19 f</w:t>
      </w:r>
      <w:r w:rsidRPr="00752AFD">
        <w:rPr>
          <w:rFonts w:asciiTheme="majorBidi" w:hAnsiTheme="majorBidi" w:cstheme="majorBidi"/>
          <w:b w:val="0"/>
          <w:bCs w:val="0"/>
          <w:sz w:val="20"/>
          <w:szCs w:val="20"/>
        </w:rPr>
        <w:t xml:space="preserve">évrier 2020, </w:t>
      </w:r>
      <w:r w:rsidRPr="00752AFD">
        <w:rPr>
          <w:b w:val="0"/>
          <w:bCs w:val="0"/>
          <w:sz w:val="20"/>
          <w:szCs w:val="20"/>
        </w:rPr>
        <w:t>BANQUEMONDIALE.ORG dans :</w:t>
      </w:r>
    </w:p>
    <w:p w14:paraId="23407C69" w14:textId="77777777" w:rsidR="009C2D83" w:rsidRPr="003773C6" w:rsidRDefault="00C40DAA" w:rsidP="00752AFD">
      <w:pPr>
        <w:pStyle w:val="Notedebasdepage"/>
        <w:suppressAutoHyphens/>
        <w:rPr>
          <w:rFonts w:ascii="Times New Roman" w:hAnsi="Times New Roman" w:cs="Times New Roman"/>
        </w:rPr>
      </w:pPr>
      <w:hyperlink r:id="rId1" w:history="1">
        <w:r w:rsidR="009C2D83" w:rsidRPr="00752AFD">
          <w:rPr>
            <w:rStyle w:val="Lienhypertexte"/>
            <w:rFonts w:ascii="Times New Roman" w:hAnsi="Times New Roman" w:cs="Times New Roman"/>
          </w:rPr>
          <w:t>https://blogs.worldbank.org/fr/voices/finance-islamique-developpement-des-infrastructures</w:t>
        </w:r>
      </w:hyperlink>
      <w:r w:rsidR="009C2D83" w:rsidRPr="00752AFD">
        <w:rPr>
          <w:rFonts w:ascii="Times New Roman" w:hAnsi="Times New Roman" w:cs="Times New Roman"/>
          <w:spacing w:val="-8"/>
        </w:rPr>
        <w:t xml:space="preserve">, </w:t>
      </w:r>
      <w:r w:rsidR="009C2D83">
        <w:rPr>
          <w:rFonts w:ascii="Times New Roman" w:hAnsi="Times New Roman" w:cs="Times New Roman"/>
          <w:spacing w:val="-8"/>
        </w:rPr>
        <w:t>consulté le</w:t>
      </w:r>
      <w:r w:rsidR="009C2D83" w:rsidRPr="00752AFD">
        <w:rPr>
          <w:rFonts w:ascii="Times New Roman" w:hAnsi="Times New Roman" w:cs="Times New Roman"/>
          <w:spacing w:val="-8"/>
        </w:rPr>
        <w:t xml:space="preserve"> 02/12/2020.</w:t>
      </w:r>
    </w:p>
  </w:footnote>
  <w:footnote w:id="2">
    <w:p w14:paraId="7BF19EAF" w14:textId="77777777" w:rsidR="009C2D83" w:rsidRPr="00E31AA6" w:rsidRDefault="009C2D83" w:rsidP="00E31AA6">
      <w:pPr>
        <w:pStyle w:val="Notedebasdepage"/>
        <w:suppressAutoHyphens/>
        <w:rPr>
          <w:rFonts w:ascii="Times New Roman" w:hAnsi="Times New Roman" w:cs="Times New Roman"/>
        </w:rPr>
      </w:pPr>
      <w:r w:rsidRPr="00E31AA6">
        <w:rPr>
          <w:rStyle w:val="Appelnotedebasdep"/>
          <w:rFonts w:ascii="Times New Roman" w:hAnsi="Times New Roman"/>
        </w:rPr>
        <w:footnoteRef/>
      </w:r>
      <w:r>
        <w:rPr>
          <w:rFonts w:ascii="Times New Roman" w:hAnsi="Times New Roman" w:cs="Times New Roman"/>
          <w:smallCaps/>
        </w:rPr>
        <w:t xml:space="preserve"> </w:t>
      </w:r>
      <w:r w:rsidRPr="00E31AA6">
        <w:rPr>
          <w:rFonts w:ascii="Times New Roman" w:hAnsi="Times New Roman" w:cs="Times New Roman"/>
          <w:smallCaps/>
        </w:rPr>
        <w:t>Benjdidia</w:t>
      </w:r>
      <w:r w:rsidRPr="00E31AA6">
        <w:rPr>
          <w:rFonts w:ascii="Times New Roman" w:hAnsi="Times New Roman" w:cs="Times New Roman"/>
        </w:rPr>
        <w:t xml:space="preserve"> Khoutem et </w:t>
      </w:r>
      <w:r w:rsidRPr="00E31AA6">
        <w:rPr>
          <w:rFonts w:ascii="Times New Roman" w:hAnsi="Times New Roman" w:cs="Times New Roman"/>
          <w:smallCaps/>
        </w:rPr>
        <w:t>Jlassi</w:t>
      </w:r>
      <w:r w:rsidRPr="00E31AA6">
        <w:rPr>
          <w:rFonts w:ascii="Times New Roman" w:hAnsi="Times New Roman" w:cs="Times New Roman"/>
        </w:rPr>
        <w:t xml:space="preserve"> Mouldi, « Le risque de liquidité pour une banque </w:t>
      </w:r>
      <w:r>
        <w:rPr>
          <w:rFonts w:ascii="Times New Roman" w:hAnsi="Times New Roman" w:cs="Times New Roman"/>
        </w:rPr>
        <w:t>islamique</w:t>
      </w:r>
      <w:r w:rsidRPr="00E31AA6">
        <w:rPr>
          <w:rFonts w:ascii="Times New Roman" w:hAnsi="Times New Roman" w:cs="Times New Roman"/>
        </w:rPr>
        <w:t xml:space="preserve"> : Enjeux et gestion », Etudes en Economie </w:t>
      </w:r>
      <w:r>
        <w:rPr>
          <w:rFonts w:ascii="Times New Roman" w:hAnsi="Times New Roman" w:cs="Times New Roman"/>
        </w:rPr>
        <w:t>Islamique</w:t>
      </w:r>
      <w:r w:rsidRPr="00E31AA6">
        <w:rPr>
          <w:rFonts w:ascii="Times New Roman" w:hAnsi="Times New Roman" w:cs="Times New Roman"/>
        </w:rPr>
        <w:t>, Vol. 07, N° 01, 2013, p. 76.</w:t>
      </w:r>
    </w:p>
  </w:footnote>
  <w:footnote w:id="3">
    <w:p w14:paraId="7F6197E8" w14:textId="77777777" w:rsidR="009C2D83" w:rsidRPr="00E31AA6" w:rsidRDefault="009C2D83" w:rsidP="00E31AA6">
      <w:pPr>
        <w:pStyle w:val="Default"/>
        <w:suppressAutoHyphens/>
        <w:rPr>
          <w:sz w:val="20"/>
          <w:szCs w:val="20"/>
          <w:lang w:val="en-GB"/>
        </w:rPr>
      </w:pPr>
      <w:r w:rsidRPr="00E31AA6">
        <w:rPr>
          <w:rStyle w:val="Appelnotedebasdep"/>
          <w:sz w:val="20"/>
          <w:szCs w:val="20"/>
        </w:rPr>
        <w:footnoteRef/>
      </w:r>
      <w:r>
        <w:rPr>
          <w:smallCaps/>
          <w:sz w:val="20"/>
          <w:szCs w:val="20"/>
          <w:lang w:val="en-GB"/>
        </w:rPr>
        <w:t xml:space="preserve"> </w:t>
      </w:r>
      <w:r w:rsidRPr="00E31AA6">
        <w:rPr>
          <w:smallCaps/>
          <w:sz w:val="20"/>
          <w:szCs w:val="20"/>
          <w:lang w:val="en-GB"/>
        </w:rPr>
        <w:t>Yousef</w:t>
      </w:r>
      <w:r w:rsidRPr="00E31AA6">
        <w:rPr>
          <w:sz w:val="20"/>
          <w:szCs w:val="20"/>
          <w:lang w:val="en-GB"/>
        </w:rPr>
        <w:t xml:space="preserve"> Tarik M, “The Murabaha Syndrome in </w:t>
      </w:r>
      <w:r>
        <w:rPr>
          <w:sz w:val="20"/>
          <w:szCs w:val="20"/>
          <w:lang w:val="en-GB"/>
        </w:rPr>
        <w:t>Islam</w:t>
      </w:r>
      <w:r w:rsidRPr="00E31AA6">
        <w:rPr>
          <w:sz w:val="20"/>
          <w:szCs w:val="20"/>
          <w:lang w:val="en-GB"/>
        </w:rPr>
        <w:t xml:space="preserve">ic Finance: Laws, Institutions and Politics”, in “The Politics of </w:t>
      </w:r>
      <w:r>
        <w:rPr>
          <w:sz w:val="20"/>
          <w:szCs w:val="20"/>
          <w:lang w:val="en-GB"/>
        </w:rPr>
        <w:t>Islam</w:t>
      </w:r>
      <w:r w:rsidRPr="00E31AA6">
        <w:rPr>
          <w:sz w:val="20"/>
          <w:szCs w:val="20"/>
          <w:lang w:val="en-GB"/>
        </w:rPr>
        <w:t>ic Finance”, Edinburgh University Press, 2004, p. 72.</w:t>
      </w:r>
    </w:p>
  </w:footnote>
  <w:footnote w:id="4">
    <w:p w14:paraId="5E0D94B1" w14:textId="77777777" w:rsidR="009C2D83" w:rsidRPr="00E31AA6" w:rsidRDefault="009C2D83" w:rsidP="00E31AA6">
      <w:pPr>
        <w:suppressAutoHyphens/>
        <w:autoSpaceDE w:val="0"/>
        <w:autoSpaceDN w:val="0"/>
        <w:adjustRightInd w:val="0"/>
        <w:spacing w:line="240" w:lineRule="auto"/>
        <w:rPr>
          <w:rFonts w:ascii="Times New Roman" w:hAnsi="Times New Roman" w:cs="Times New Roman"/>
          <w:sz w:val="20"/>
          <w:szCs w:val="20"/>
          <w:lang w:eastAsia="fr-FR"/>
        </w:rPr>
      </w:pPr>
      <w:r w:rsidRPr="00E31AA6">
        <w:rPr>
          <w:rStyle w:val="Appelnotedebasdep"/>
          <w:rFonts w:ascii="Times New Roman" w:hAnsi="Times New Roman"/>
          <w:sz w:val="20"/>
          <w:szCs w:val="20"/>
        </w:rPr>
        <w:footnoteRef/>
      </w:r>
      <w:r>
        <w:rPr>
          <w:rFonts w:ascii="Times New Roman" w:hAnsi="Times New Roman" w:cs="Times New Roman"/>
          <w:smallCaps/>
          <w:sz w:val="20"/>
          <w:szCs w:val="20"/>
        </w:rPr>
        <w:t xml:space="preserve"> </w:t>
      </w:r>
      <w:r w:rsidRPr="00E31AA6">
        <w:rPr>
          <w:rFonts w:ascii="Times New Roman" w:hAnsi="Times New Roman" w:cs="Times New Roman"/>
          <w:smallCaps/>
          <w:sz w:val="20"/>
          <w:szCs w:val="20"/>
        </w:rPr>
        <w:t>Saadouni</w:t>
      </w:r>
      <w:r w:rsidRPr="00E31AA6">
        <w:rPr>
          <w:rFonts w:ascii="Times New Roman" w:hAnsi="Times New Roman" w:cs="Times New Roman"/>
          <w:sz w:val="20"/>
          <w:szCs w:val="20"/>
        </w:rPr>
        <w:t xml:space="preserve"> Lmahfoud et </w:t>
      </w:r>
      <w:r w:rsidRPr="00E31AA6">
        <w:rPr>
          <w:rFonts w:ascii="Times New Roman" w:hAnsi="Times New Roman" w:cs="Times New Roman"/>
          <w:smallCaps/>
          <w:sz w:val="20"/>
          <w:szCs w:val="20"/>
        </w:rPr>
        <w:t>Genc</w:t>
      </w:r>
      <w:r w:rsidRPr="00E31AA6">
        <w:rPr>
          <w:rFonts w:ascii="Times New Roman" w:hAnsi="Times New Roman" w:cs="Times New Roman"/>
          <w:sz w:val="20"/>
          <w:szCs w:val="20"/>
        </w:rPr>
        <w:t xml:space="preserve"> Tener, « La mourabaha : principes, pratiques et controverses », Cahiers de la Finance </w:t>
      </w:r>
      <w:r>
        <w:rPr>
          <w:rFonts w:ascii="Times New Roman" w:hAnsi="Times New Roman" w:cs="Times New Roman"/>
          <w:sz w:val="20"/>
          <w:szCs w:val="20"/>
        </w:rPr>
        <w:t>Islamique</w:t>
      </w:r>
      <w:r w:rsidRPr="00E31AA6">
        <w:rPr>
          <w:rFonts w:ascii="Times New Roman" w:hAnsi="Times New Roman" w:cs="Times New Roman"/>
          <w:sz w:val="20"/>
          <w:szCs w:val="20"/>
        </w:rPr>
        <w:t>, N° spécial, 2015, p. 20.</w:t>
      </w:r>
    </w:p>
  </w:footnote>
  <w:footnote w:id="5">
    <w:p w14:paraId="4A0E3C6B" w14:textId="77777777" w:rsidR="009C2D83" w:rsidRPr="00E31AA6" w:rsidRDefault="009C2D83" w:rsidP="00A2511A">
      <w:pPr>
        <w:suppressAutoHyphens/>
        <w:autoSpaceDE w:val="0"/>
        <w:autoSpaceDN w:val="0"/>
        <w:adjustRightInd w:val="0"/>
        <w:spacing w:line="240" w:lineRule="auto"/>
        <w:rPr>
          <w:rFonts w:ascii="Times New Roman" w:hAnsi="Times New Roman" w:cs="Times New Roman"/>
          <w:sz w:val="20"/>
          <w:szCs w:val="20"/>
          <w:lang w:val="en-GB"/>
        </w:rPr>
      </w:pPr>
      <w:r w:rsidRPr="00E31AA6">
        <w:rPr>
          <w:rStyle w:val="Appelnotedebasdep"/>
          <w:rFonts w:ascii="Times New Roman" w:hAnsi="Times New Roman"/>
          <w:sz w:val="20"/>
          <w:szCs w:val="20"/>
        </w:rPr>
        <w:footnoteRef/>
      </w:r>
      <w:r>
        <w:rPr>
          <w:rFonts w:ascii="Times New Roman" w:hAnsi="Times New Roman" w:cs="Times New Roman"/>
          <w:smallCaps/>
          <w:sz w:val="20"/>
          <w:szCs w:val="20"/>
          <w:lang w:val="en-GB"/>
        </w:rPr>
        <w:t xml:space="preserve"> </w:t>
      </w:r>
      <w:r w:rsidRPr="00E31AA6">
        <w:rPr>
          <w:rFonts w:ascii="Times New Roman" w:hAnsi="Times New Roman" w:cs="Times New Roman"/>
          <w:smallCaps/>
          <w:sz w:val="20"/>
          <w:szCs w:val="20"/>
          <w:lang w:val="en-GB"/>
        </w:rPr>
        <w:t xml:space="preserve">Siddiqi </w:t>
      </w:r>
      <w:r w:rsidRPr="00E31AA6">
        <w:rPr>
          <w:rFonts w:ascii="Times New Roman" w:hAnsi="Times New Roman" w:cs="Times New Roman"/>
          <w:sz w:val="20"/>
          <w:szCs w:val="20"/>
          <w:lang w:val="en-GB"/>
        </w:rPr>
        <w:t>Muhammad Nejatullah, “</w:t>
      </w:r>
      <w:r>
        <w:rPr>
          <w:rFonts w:ascii="Times New Roman" w:hAnsi="Times New Roman" w:cs="Times New Roman"/>
          <w:sz w:val="20"/>
          <w:szCs w:val="20"/>
          <w:lang w:val="en-GB"/>
        </w:rPr>
        <w:t>Islam</w:t>
      </w:r>
      <w:r w:rsidRPr="00E31AA6">
        <w:rPr>
          <w:rFonts w:ascii="Times New Roman" w:hAnsi="Times New Roman" w:cs="Times New Roman"/>
          <w:sz w:val="20"/>
          <w:szCs w:val="20"/>
          <w:lang w:val="en-GB"/>
        </w:rPr>
        <w:t xml:space="preserve">ic Banking: Principles, Precepts and Prospects”, Journal of King Abdulaziz University, </w:t>
      </w:r>
      <w:r>
        <w:rPr>
          <w:rFonts w:ascii="Times New Roman" w:hAnsi="Times New Roman" w:cs="Times New Roman"/>
          <w:sz w:val="20"/>
          <w:szCs w:val="20"/>
          <w:lang w:val="en-GB"/>
        </w:rPr>
        <w:t>Islam</w:t>
      </w:r>
      <w:r w:rsidRPr="00E31AA6">
        <w:rPr>
          <w:rFonts w:ascii="Times New Roman" w:hAnsi="Times New Roman" w:cs="Times New Roman"/>
          <w:sz w:val="20"/>
          <w:szCs w:val="20"/>
          <w:lang w:val="en-GB"/>
        </w:rPr>
        <w:t>ic Economics, Vol. 10, 1998, p. 46.</w:t>
      </w:r>
    </w:p>
  </w:footnote>
  <w:footnote w:id="6">
    <w:p w14:paraId="1F30A0DA" w14:textId="77777777" w:rsidR="009C2D83" w:rsidRPr="00DB4DAB" w:rsidRDefault="009C2D83" w:rsidP="00B6591D">
      <w:pPr>
        <w:tabs>
          <w:tab w:val="left" w:pos="0"/>
          <w:tab w:val="left" w:pos="284"/>
        </w:tabs>
        <w:spacing w:line="240" w:lineRule="auto"/>
        <w:rPr>
          <w:rFonts w:ascii="Times New Roman" w:hAnsi="Times New Roman" w:cs="Times New Roman"/>
          <w:sz w:val="20"/>
          <w:szCs w:val="20"/>
          <w:lang w:val="en-GB"/>
        </w:rPr>
      </w:pPr>
      <w:r w:rsidRPr="00DB4DAB">
        <w:rPr>
          <w:rStyle w:val="Appelnotedebasdep"/>
          <w:rFonts w:ascii="Times New Roman" w:hAnsi="Times New Roman"/>
          <w:sz w:val="20"/>
          <w:szCs w:val="20"/>
        </w:rPr>
        <w:footnoteRef/>
      </w:r>
      <w:r w:rsidRPr="00DB4DAB">
        <w:rPr>
          <w:rFonts w:ascii="Times New Roman" w:hAnsi="Times New Roman" w:cs="Times New Roman"/>
          <w:sz w:val="20"/>
          <w:szCs w:val="20"/>
          <w:lang w:val="en-GB"/>
        </w:rPr>
        <w:t xml:space="preserve"> </w:t>
      </w:r>
      <w:r w:rsidRPr="00DB4DAB">
        <w:rPr>
          <w:rFonts w:ascii="Times New Roman" w:hAnsi="Times New Roman" w:cs="Times New Roman"/>
          <w:smallCaps/>
          <w:sz w:val="20"/>
          <w:szCs w:val="20"/>
          <w:lang w:val="en-GB"/>
        </w:rPr>
        <w:t>Eid</w:t>
      </w:r>
      <w:r w:rsidRPr="00DB4DAB">
        <w:rPr>
          <w:rFonts w:ascii="Times New Roman" w:hAnsi="Times New Roman" w:cs="Times New Roman"/>
          <w:sz w:val="20"/>
          <w:szCs w:val="20"/>
          <w:lang w:val="en-GB"/>
        </w:rPr>
        <w:t xml:space="preserve"> Wael Kamal Amin, “Mapping the Risks and Risk Management Practices in Islamic Banking”, Durham E-Theses, Durham University, 2011, 501 p.</w:t>
      </w:r>
    </w:p>
  </w:footnote>
  <w:footnote w:id="7">
    <w:p w14:paraId="279785B7" w14:textId="77777777" w:rsidR="009C2D83" w:rsidRPr="00DB4DAB" w:rsidRDefault="009C2D83" w:rsidP="00DB4DAB">
      <w:pPr>
        <w:pStyle w:val="Notedebasdepage"/>
        <w:rPr>
          <w:rFonts w:ascii="Times New Roman" w:hAnsi="Times New Roman" w:cs="Times New Roman"/>
          <w:spacing w:val="-10"/>
        </w:rPr>
      </w:pPr>
      <w:r w:rsidRPr="00DB4DAB">
        <w:rPr>
          <w:rStyle w:val="Appelnotedebasdep"/>
          <w:rFonts w:ascii="Times New Roman" w:hAnsi="Times New Roman"/>
        </w:rPr>
        <w:footnoteRef/>
      </w:r>
      <w:r w:rsidRPr="00DB4DAB">
        <w:rPr>
          <w:rFonts w:ascii="Times New Roman" w:hAnsi="Times New Roman" w:cs="Times New Roman"/>
        </w:rPr>
        <w:t xml:space="preserve"> </w:t>
      </w:r>
      <w:r w:rsidRPr="00DB4DAB">
        <w:rPr>
          <w:rFonts w:ascii="Times New Roman" w:hAnsi="Times New Roman" w:cs="Times New Roman"/>
          <w:spacing w:val="-10"/>
        </w:rPr>
        <w:t>Risque dû à l’affectation d’une part importante de l’actif des BI à un même secteur. Cet investissement excessif peut engendrer des pertes significatives en cas de crise touchant le secteur en question.</w:t>
      </w:r>
    </w:p>
  </w:footnote>
  <w:footnote w:id="8">
    <w:p w14:paraId="7AF191FF" w14:textId="00AED7E8" w:rsidR="009C2D83" w:rsidRPr="00DB4DAB" w:rsidRDefault="009C2D83" w:rsidP="00B13B84">
      <w:pPr>
        <w:pStyle w:val="Notedebasdepage"/>
        <w:rPr>
          <w:rFonts w:ascii="Times New Roman" w:hAnsi="Times New Roman" w:cs="Times New Roman"/>
        </w:rPr>
      </w:pPr>
      <w:r w:rsidRPr="00DB4DAB">
        <w:rPr>
          <w:rStyle w:val="Appelnotedebasdep"/>
          <w:rFonts w:ascii="Times New Roman" w:hAnsi="Times New Roman"/>
        </w:rPr>
        <w:footnoteRef/>
      </w:r>
      <w:r w:rsidRPr="00DB4DAB">
        <w:rPr>
          <w:rFonts w:ascii="Times New Roman" w:hAnsi="Times New Roman" w:cs="Times New Roman"/>
        </w:rPr>
        <w:t xml:space="preserve"> </w:t>
      </w:r>
      <w:r w:rsidRPr="00DB4DAB">
        <w:rPr>
          <w:rFonts w:ascii="Times New Roman" w:hAnsi="Times New Roman" w:cs="Times New Roman"/>
          <w:smallCaps/>
        </w:rPr>
        <w:t>Elmelki</w:t>
      </w:r>
      <w:r>
        <w:rPr>
          <w:rFonts w:ascii="Times New Roman" w:hAnsi="Times New Roman" w:cs="Times New Roman"/>
          <w:smallCaps/>
        </w:rPr>
        <w:t xml:space="preserve"> </w:t>
      </w:r>
      <w:r>
        <w:rPr>
          <w:rFonts w:ascii="Times New Roman" w:hAnsi="Times New Roman" w:cs="Times New Roman"/>
        </w:rPr>
        <w:t>A</w:t>
      </w:r>
      <w:r w:rsidRPr="00B13B84">
        <w:rPr>
          <w:rFonts w:ascii="Times New Roman" w:hAnsi="Times New Roman" w:cs="Times New Roman"/>
        </w:rPr>
        <w:t>n</w:t>
      </w:r>
      <w:r>
        <w:rPr>
          <w:rFonts w:ascii="Times New Roman" w:hAnsi="Times New Roman" w:cs="Times New Roman"/>
        </w:rPr>
        <w:t>a</w:t>
      </w:r>
      <w:r w:rsidRPr="00B13B84">
        <w:rPr>
          <w:rFonts w:ascii="Times New Roman" w:hAnsi="Times New Roman" w:cs="Times New Roman"/>
        </w:rPr>
        <w:t>s</w:t>
      </w:r>
      <w:r>
        <w:rPr>
          <w:rFonts w:ascii="Times New Roman" w:hAnsi="Times New Roman" w:cs="Times New Roman"/>
        </w:rPr>
        <w:t>,</w:t>
      </w:r>
      <w:r w:rsidRPr="00DB4DAB">
        <w:rPr>
          <w:rFonts w:ascii="Times New Roman" w:hAnsi="Times New Roman" w:cs="Times New Roman"/>
        </w:rPr>
        <w:t xml:space="preserve"> « Le principe de partage des profits ou des </w:t>
      </w:r>
      <w:r>
        <w:rPr>
          <w:rFonts w:ascii="Times New Roman" w:hAnsi="Times New Roman" w:cs="Times New Roman"/>
        </w:rPr>
        <w:t>p</w:t>
      </w:r>
      <w:r w:rsidRPr="00DB4DAB">
        <w:rPr>
          <w:rFonts w:ascii="Times New Roman" w:hAnsi="Times New Roman" w:cs="Times New Roman"/>
        </w:rPr>
        <w:t>ertes dans le cadre des banques islam</w:t>
      </w:r>
      <w:r>
        <w:rPr>
          <w:rFonts w:ascii="Times New Roman" w:hAnsi="Times New Roman" w:cs="Times New Roman"/>
        </w:rPr>
        <w:t>iques : Illustration modélisée d</w:t>
      </w:r>
      <w:r w:rsidRPr="00DB4DAB">
        <w:rPr>
          <w:rFonts w:ascii="Times New Roman" w:hAnsi="Times New Roman" w:cs="Times New Roman"/>
        </w:rPr>
        <w:t>es contrats de financement participatifs moudaraba et moucharaka », Global Journal of Management and Business Research, vol. 11 Issue 11</w:t>
      </w:r>
      <w:r>
        <w:rPr>
          <w:rFonts w:ascii="Times New Roman" w:hAnsi="Times New Roman" w:cs="Times New Roman"/>
        </w:rPr>
        <w:t>, 2011, 18p</w:t>
      </w:r>
      <w:r w:rsidRPr="00DB4DAB">
        <w:rPr>
          <w:rFonts w:ascii="Times New Roman" w:hAnsi="Times New Roman" w:cs="Times New Roman"/>
        </w:rPr>
        <w:t>.</w:t>
      </w:r>
    </w:p>
  </w:footnote>
  <w:footnote w:id="9">
    <w:p w14:paraId="207ADFA5" w14:textId="77777777" w:rsidR="009C2D83" w:rsidRPr="002C1918" w:rsidRDefault="009C2D83" w:rsidP="002C1918">
      <w:pPr>
        <w:tabs>
          <w:tab w:val="left" w:pos="0"/>
          <w:tab w:val="left" w:pos="284"/>
          <w:tab w:val="left" w:pos="975"/>
        </w:tabs>
        <w:spacing w:line="240" w:lineRule="auto"/>
        <w:rPr>
          <w:rFonts w:ascii="Times New Roman" w:hAnsi="Times New Roman" w:cs="Times New Roman"/>
          <w:smallCaps/>
          <w:sz w:val="24"/>
          <w:szCs w:val="24"/>
        </w:rPr>
      </w:pPr>
      <w:r w:rsidRPr="002C1918">
        <w:rPr>
          <w:rStyle w:val="Appelnotedebasdep"/>
          <w:rFonts w:ascii="Times New Roman" w:hAnsi="Times New Roman"/>
        </w:rPr>
        <w:footnoteRef/>
      </w:r>
      <w:r w:rsidRPr="002C1918">
        <w:rPr>
          <w:rFonts w:ascii="Times New Roman" w:hAnsi="Times New Roman" w:cs="Times New Roman"/>
        </w:rPr>
        <w:t xml:space="preserve"> </w:t>
      </w:r>
      <w:r w:rsidRPr="002C1918">
        <w:rPr>
          <w:rFonts w:ascii="Times New Roman" w:hAnsi="Times New Roman" w:cs="Times New Roman"/>
          <w:smallCaps/>
          <w:sz w:val="20"/>
          <w:szCs w:val="20"/>
        </w:rPr>
        <w:t xml:space="preserve">Abou-Zeid </w:t>
      </w:r>
      <w:r w:rsidRPr="002C1918">
        <w:rPr>
          <w:rFonts w:ascii="Times New Roman" w:hAnsi="Times New Roman" w:cs="Times New Roman"/>
          <w:sz w:val="20"/>
          <w:szCs w:val="20"/>
        </w:rPr>
        <w:t>Amr</w:t>
      </w:r>
      <w:r w:rsidRPr="002C1918">
        <w:rPr>
          <w:rFonts w:ascii="Times New Roman" w:hAnsi="Times New Roman" w:cs="Times New Roman"/>
          <w:smallCaps/>
          <w:sz w:val="20"/>
          <w:szCs w:val="20"/>
        </w:rPr>
        <w:t xml:space="preserve">, </w:t>
      </w:r>
      <w:r w:rsidRPr="002C1918">
        <w:rPr>
          <w:rFonts w:ascii="Times New Roman" w:hAnsi="Times New Roman" w:cs="Times New Roman"/>
          <w:sz w:val="20"/>
          <w:szCs w:val="20"/>
        </w:rPr>
        <w:t>« La gestion des fonds de fonds islamique de capital investissement pour le développement des pays arabes », thèse de Doctorat en science de gestion, Université Paris Dauphine, 2009, 325 p.</w:t>
      </w:r>
    </w:p>
  </w:footnote>
  <w:footnote w:id="10">
    <w:p w14:paraId="24E28819" w14:textId="10AA8A4D" w:rsidR="009C2D83" w:rsidRPr="002C1918" w:rsidRDefault="009C2D83" w:rsidP="002C1918">
      <w:pPr>
        <w:tabs>
          <w:tab w:val="left" w:pos="0"/>
          <w:tab w:val="left" w:pos="284"/>
        </w:tabs>
        <w:bidi/>
        <w:spacing w:line="240" w:lineRule="auto"/>
        <w:rPr>
          <w:rFonts w:ascii="Times New Roman" w:hAnsi="Times New Roman" w:cs="Times New Roman"/>
          <w:sz w:val="24"/>
          <w:szCs w:val="24"/>
          <w:rtl/>
          <w:lang w:bidi="ar-DZ"/>
        </w:rPr>
      </w:pPr>
      <w:r w:rsidRPr="002C1918">
        <w:rPr>
          <w:rStyle w:val="Appelnotedebasdep"/>
          <w:rFonts w:ascii="Times New Roman" w:hAnsi="Times New Roman"/>
        </w:rPr>
        <w:footnoteRef/>
      </w:r>
      <w:r>
        <w:rPr>
          <w:rFonts w:ascii="Times New Roman" w:hAnsi="Times New Roman" w:cs="Times New Roman" w:hint="cs"/>
          <w:rtl/>
        </w:rPr>
        <w:t xml:space="preserve"> </w:t>
      </w:r>
      <w:r w:rsidRPr="0069735E">
        <w:rPr>
          <w:rFonts w:ascii="Times New Roman" w:hAnsi="Times New Roman" w:cs="Times New Roman"/>
          <w:sz w:val="24"/>
          <w:szCs w:val="24"/>
          <w:rtl/>
        </w:rPr>
        <w:t>الياس عبد الله ابو الهيجاء</w:t>
      </w:r>
      <w:r w:rsidRPr="0069735E">
        <w:rPr>
          <w:rFonts w:ascii="Times New Roman" w:hAnsi="Times New Roman" w:cs="Times New Roman"/>
          <w:sz w:val="24"/>
          <w:szCs w:val="24"/>
          <w:rtl/>
          <w:lang w:bidi="ar-DZ"/>
        </w:rPr>
        <w:t>، "تطوير آليات التمويل بالمشاركة في المصارف الإسلامية: دراسة حالة الأردن"، رسالة الدكتوراه، تخصص الإقتصاد والمصارف الإسلامية،</w:t>
      </w:r>
      <w:r w:rsidRPr="0069735E">
        <w:rPr>
          <w:rFonts w:ascii="Times New Roman" w:hAnsi="Times New Roman" w:cs="Times New Roman"/>
          <w:sz w:val="24"/>
          <w:szCs w:val="24"/>
          <w:lang w:bidi="ar-DZ"/>
        </w:rPr>
        <w:t xml:space="preserve"> </w:t>
      </w:r>
      <w:r w:rsidRPr="0069735E">
        <w:rPr>
          <w:rFonts w:ascii="Times New Roman" w:hAnsi="Times New Roman" w:cs="Times New Roman"/>
          <w:sz w:val="24"/>
          <w:szCs w:val="24"/>
          <w:rtl/>
          <w:lang w:bidi="ar-DZ"/>
        </w:rPr>
        <w:t xml:space="preserve">جامعة اليرموك، </w:t>
      </w:r>
      <w:r w:rsidRPr="0069735E">
        <w:rPr>
          <w:rFonts w:ascii="Times New Roman" w:hAnsi="Times New Roman" w:cs="Times New Roman"/>
          <w:sz w:val="20"/>
          <w:szCs w:val="20"/>
          <w:rtl/>
          <w:lang w:bidi="ar-DZ"/>
        </w:rPr>
        <w:t>2007</w:t>
      </w:r>
      <w:r w:rsidRPr="0069735E">
        <w:rPr>
          <w:rFonts w:ascii="Times New Roman" w:hAnsi="Times New Roman" w:cs="Times New Roman"/>
          <w:sz w:val="24"/>
          <w:szCs w:val="24"/>
          <w:rtl/>
          <w:lang w:bidi="ar-DZ"/>
        </w:rPr>
        <w:t xml:space="preserve">، </w:t>
      </w:r>
      <w:r w:rsidRPr="0069735E">
        <w:rPr>
          <w:rFonts w:ascii="Times New Roman" w:hAnsi="Times New Roman" w:cs="Times New Roman"/>
          <w:sz w:val="20"/>
          <w:szCs w:val="20"/>
          <w:rtl/>
          <w:lang w:bidi="ar-DZ"/>
        </w:rPr>
        <w:t xml:space="preserve">247 </w:t>
      </w:r>
      <w:r w:rsidRPr="0069735E">
        <w:rPr>
          <w:rFonts w:ascii="Times New Roman" w:hAnsi="Times New Roman" w:cs="Times New Roman"/>
          <w:sz w:val="24"/>
          <w:szCs w:val="24"/>
          <w:rtl/>
          <w:lang w:bidi="ar-DZ"/>
        </w:rPr>
        <w:t>ص.</w:t>
      </w:r>
    </w:p>
  </w:footnote>
  <w:footnote w:id="11">
    <w:p w14:paraId="218BE1AE" w14:textId="77777777" w:rsidR="009C2D83" w:rsidRPr="002C1918" w:rsidRDefault="009C2D83" w:rsidP="002C1918">
      <w:pPr>
        <w:tabs>
          <w:tab w:val="left" w:pos="0"/>
          <w:tab w:val="left" w:pos="284"/>
        </w:tabs>
        <w:autoSpaceDE w:val="0"/>
        <w:autoSpaceDN w:val="0"/>
        <w:adjustRightInd w:val="0"/>
        <w:spacing w:line="240" w:lineRule="auto"/>
        <w:rPr>
          <w:rFonts w:ascii="Times New Roman" w:hAnsi="Times New Roman" w:cs="Times New Roman"/>
          <w:sz w:val="20"/>
          <w:szCs w:val="20"/>
          <w:lang w:val="en-US" w:eastAsia="fr-FR"/>
        </w:rPr>
      </w:pPr>
      <w:r w:rsidRPr="002C1918">
        <w:rPr>
          <w:rStyle w:val="Appelnotedebasdep"/>
          <w:rFonts w:ascii="Times New Roman" w:hAnsi="Times New Roman"/>
        </w:rPr>
        <w:footnoteRef/>
      </w:r>
      <w:r w:rsidRPr="002C1918">
        <w:rPr>
          <w:rFonts w:ascii="Times New Roman" w:hAnsi="Times New Roman" w:cs="Times New Roman"/>
          <w:sz w:val="18"/>
          <w:szCs w:val="18"/>
          <w:lang w:val="en-GB"/>
        </w:rPr>
        <w:t xml:space="preserve"> </w:t>
      </w:r>
      <w:r w:rsidRPr="002C1918">
        <w:rPr>
          <w:rFonts w:ascii="Times New Roman" w:hAnsi="Times New Roman" w:cs="Times New Roman"/>
          <w:smallCaps/>
          <w:sz w:val="20"/>
          <w:szCs w:val="20"/>
          <w:lang w:val="en-US" w:eastAsia="fr-FR"/>
        </w:rPr>
        <w:t>Febianto</w:t>
      </w:r>
      <w:r w:rsidRPr="002C1918">
        <w:rPr>
          <w:rFonts w:ascii="Times New Roman" w:hAnsi="Times New Roman" w:cs="Times New Roman"/>
          <w:sz w:val="20"/>
          <w:szCs w:val="20"/>
          <w:lang w:val="en-US" w:eastAsia="fr-FR"/>
        </w:rPr>
        <w:t xml:space="preserve"> Irawan and </w:t>
      </w:r>
      <w:r w:rsidRPr="002C1918">
        <w:rPr>
          <w:rFonts w:ascii="Times New Roman" w:hAnsi="Times New Roman" w:cs="Times New Roman"/>
          <w:smallCaps/>
          <w:sz w:val="20"/>
          <w:szCs w:val="20"/>
          <w:lang w:val="en-US" w:eastAsia="fr-FR"/>
        </w:rPr>
        <w:t>Kasri</w:t>
      </w:r>
      <w:r w:rsidRPr="002C1918">
        <w:rPr>
          <w:rFonts w:ascii="Times New Roman" w:hAnsi="Times New Roman" w:cs="Times New Roman"/>
          <w:sz w:val="20"/>
          <w:szCs w:val="20"/>
          <w:lang w:val="en-US" w:eastAsia="fr-FR"/>
        </w:rPr>
        <w:t xml:space="preserve"> Rahmatina, “Why Do Islamic Banks Tend To Avoid Profit And Loss Sharing Arrangements?”, 2nd Islamic Conference 2007 organized by Faculty of Economics and Muamalat, Islamic Science University of Malaysia, 2007, 15 p.</w:t>
      </w:r>
    </w:p>
  </w:footnote>
  <w:footnote w:id="12">
    <w:p w14:paraId="0E5D8557" w14:textId="77777777" w:rsidR="009C2D83" w:rsidRPr="00486C78" w:rsidRDefault="009C2D83" w:rsidP="00486C78">
      <w:pPr>
        <w:tabs>
          <w:tab w:val="left" w:pos="0"/>
          <w:tab w:val="left" w:pos="284"/>
        </w:tabs>
        <w:autoSpaceDE w:val="0"/>
        <w:autoSpaceDN w:val="0"/>
        <w:adjustRightInd w:val="0"/>
        <w:spacing w:line="240" w:lineRule="auto"/>
        <w:rPr>
          <w:rFonts w:ascii="Times New Roman" w:hAnsi="Times New Roman" w:cs="Times New Roman"/>
          <w:sz w:val="24"/>
          <w:szCs w:val="24"/>
          <w:lang w:val="en-US" w:eastAsia="fr-FR"/>
        </w:rPr>
      </w:pPr>
      <w:r>
        <w:rPr>
          <w:rStyle w:val="Appelnotedebasdep"/>
        </w:rPr>
        <w:footnoteRef/>
      </w:r>
      <w:r w:rsidRPr="00486C78">
        <w:rPr>
          <w:lang w:val="en-GB"/>
        </w:rPr>
        <w:t xml:space="preserve"> </w:t>
      </w:r>
      <w:r w:rsidRPr="00486C78">
        <w:rPr>
          <w:rFonts w:ascii="Times New Roman" w:hAnsi="Times New Roman" w:cs="Times New Roman"/>
          <w:smallCaps/>
          <w:sz w:val="20"/>
          <w:szCs w:val="20"/>
          <w:lang w:val="en-GB"/>
        </w:rPr>
        <w:t>Chong</w:t>
      </w:r>
      <w:r w:rsidRPr="00486C78">
        <w:rPr>
          <w:rFonts w:ascii="Times New Roman" w:hAnsi="Times New Roman" w:cs="Times New Roman"/>
          <w:sz w:val="20"/>
          <w:szCs w:val="20"/>
          <w:lang w:val="en-GB"/>
        </w:rPr>
        <w:t xml:space="preserve"> Beng Soon and </w:t>
      </w:r>
      <w:r w:rsidRPr="00486C78">
        <w:rPr>
          <w:rFonts w:ascii="Times New Roman" w:hAnsi="Times New Roman" w:cs="Times New Roman"/>
          <w:smallCaps/>
          <w:sz w:val="20"/>
          <w:szCs w:val="20"/>
          <w:lang w:val="en-GB"/>
        </w:rPr>
        <w:t>Liu</w:t>
      </w:r>
      <w:r w:rsidRPr="00486C78">
        <w:rPr>
          <w:rFonts w:ascii="Times New Roman" w:hAnsi="Times New Roman" w:cs="Times New Roman"/>
          <w:sz w:val="20"/>
          <w:szCs w:val="20"/>
          <w:lang w:val="en-GB"/>
        </w:rPr>
        <w:t xml:space="preserve"> </w:t>
      </w:r>
      <w:r w:rsidRPr="00486C78">
        <w:rPr>
          <w:rFonts w:ascii="Times New Roman" w:hAnsi="Times New Roman" w:cs="Times New Roman"/>
          <w:sz w:val="20"/>
          <w:szCs w:val="20"/>
          <w:lang w:val="en-US"/>
        </w:rPr>
        <w:t xml:space="preserve">Ming-hua, “Islamic banking: interest free or interest based?”, </w:t>
      </w:r>
      <w:r w:rsidRPr="00486C78">
        <w:rPr>
          <w:rFonts w:ascii="Times New Roman" w:hAnsi="Times New Roman" w:cs="Times New Roman"/>
          <w:sz w:val="20"/>
          <w:szCs w:val="20"/>
          <w:lang w:val="en-US" w:eastAsia="fr-FR"/>
        </w:rPr>
        <w:t>SSRN Electronic Journal, 17 (1)</w:t>
      </w:r>
      <w:r w:rsidRPr="00486C78">
        <w:rPr>
          <w:rFonts w:ascii="Times New Roman" w:hAnsi="Times New Roman" w:cs="Times New Roman"/>
          <w:sz w:val="20"/>
          <w:szCs w:val="20"/>
          <w:lang w:val="en-US"/>
        </w:rPr>
        <w:t>, 2006, pp. 125-144.</w:t>
      </w:r>
    </w:p>
  </w:footnote>
  <w:footnote w:id="13">
    <w:p w14:paraId="34D105C4"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Traduction par Cheikh Si-Hamza Boubakeur, Tome 2, ENAG. Ed, Alger, 1994.</w:t>
      </w:r>
    </w:p>
  </w:footnote>
  <w:footnote w:id="14">
    <w:p w14:paraId="51D6FBA8"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i/>
          <w:iCs/>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w:t>
      </w:r>
      <w:bookmarkStart w:id="127" w:name="_Hlk167795677"/>
      <w:r w:rsidRPr="001374DC">
        <w:rPr>
          <w:rFonts w:ascii="Times New Roman" w:hAnsi="Times New Roman" w:cs="Times New Roman"/>
          <w:smallCaps/>
          <w:kern w:val="24"/>
          <w:sz w:val="20"/>
          <w:szCs w:val="20"/>
        </w:rPr>
        <w:t>Bennamara</w:t>
      </w:r>
      <w:r w:rsidRPr="001374DC">
        <w:rPr>
          <w:rFonts w:ascii="Times New Roman" w:hAnsi="Times New Roman" w:cs="Times New Roman"/>
          <w:kern w:val="24"/>
          <w:sz w:val="20"/>
          <w:szCs w:val="20"/>
        </w:rPr>
        <w:t xml:space="preserve"> </w:t>
      </w:r>
      <w:r w:rsidRPr="001374DC">
        <w:rPr>
          <w:rFonts w:ascii="Times New Roman" w:hAnsi="Times New Roman" w:cs="Times New Roman"/>
          <w:spacing w:val="-2"/>
          <w:kern w:val="24"/>
          <w:sz w:val="20"/>
          <w:szCs w:val="20"/>
        </w:rPr>
        <w:t>Sofia, « Finance Islamique et capital risque », Cahier de recherche, Université de Laval, 2008</w:t>
      </w:r>
      <w:bookmarkEnd w:id="127"/>
      <w:r w:rsidRPr="001374DC">
        <w:rPr>
          <w:rFonts w:ascii="Times New Roman" w:hAnsi="Times New Roman" w:cs="Times New Roman"/>
          <w:spacing w:val="-2"/>
          <w:kern w:val="24"/>
          <w:sz w:val="24"/>
          <w:szCs w:val="24"/>
        </w:rPr>
        <w:t>,</w:t>
      </w:r>
      <w:r w:rsidRPr="001374DC">
        <w:rPr>
          <w:rFonts w:ascii="Times New Roman" w:hAnsi="Times New Roman" w:cs="Times New Roman"/>
          <w:spacing w:val="-2"/>
          <w:kern w:val="24"/>
          <w:sz w:val="20"/>
          <w:szCs w:val="20"/>
        </w:rPr>
        <w:t xml:space="preserve"> p. 10.</w:t>
      </w:r>
    </w:p>
  </w:footnote>
  <w:footnote w:id="15">
    <w:p w14:paraId="3F813280"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spacing w:val="-2"/>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color w:val="000000"/>
          <w:kern w:val="24"/>
          <w:sz w:val="20"/>
          <w:szCs w:val="20"/>
          <w:lang w:val="en-US" w:eastAsia="fr-FR"/>
        </w:rPr>
        <w:t xml:space="preserve"> El-Gamal</w:t>
      </w:r>
      <w:r w:rsidRPr="001374DC">
        <w:rPr>
          <w:rFonts w:ascii="Times New Roman" w:hAnsi="Times New Roman" w:cs="Times New Roman"/>
          <w:color w:val="000000"/>
          <w:kern w:val="24"/>
          <w:sz w:val="20"/>
          <w:szCs w:val="20"/>
          <w:lang w:val="en-US" w:eastAsia="fr-FR"/>
        </w:rPr>
        <w:t xml:space="preserve"> </w:t>
      </w:r>
      <w:r w:rsidRPr="001374DC">
        <w:rPr>
          <w:rFonts w:ascii="Times New Roman" w:hAnsi="Times New Roman" w:cs="Times New Roman"/>
          <w:color w:val="000000"/>
          <w:spacing w:val="-2"/>
          <w:kern w:val="24"/>
          <w:sz w:val="20"/>
          <w:szCs w:val="20"/>
          <w:lang w:val="en-US" w:eastAsia="fr-FR"/>
        </w:rPr>
        <w:t>Mahmoud, “Islamic finance: Law, economics and practice”, Cambridge University Press, 2006, p. 28.</w:t>
      </w:r>
    </w:p>
  </w:footnote>
  <w:footnote w:id="16">
    <w:p w14:paraId="5A7B2380"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Siddiki</w:t>
      </w:r>
      <w:r w:rsidRPr="001374DC">
        <w:rPr>
          <w:rFonts w:ascii="Times New Roman" w:hAnsi="Times New Roman" w:cs="Times New Roman"/>
          <w:kern w:val="24"/>
          <w:sz w:val="20"/>
          <w:szCs w:val="20"/>
          <w:lang w:val="en-GB"/>
        </w:rPr>
        <w:t xml:space="preserve"> Muhammad Nejatullah, “Muslim Economic Thinking: A survey of Contemporary Literature”, International Center for Research in Islamic Economics, King Abdel Aziz University, 1987, p. 42.</w:t>
      </w:r>
    </w:p>
  </w:footnote>
  <w:footnote w:id="17">
    <w:p w14:paraId="410DDEE2"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US"/>
        </w:rPr>
        <w:t xml:space="preserve"> Hasanuzzaman</w:t>
      </w:r>
      <w:r w:rsidRPr="001374DC">
        <w:rPr>
          <w:rFonts w:ascii="Times New Roman" w:hAnsi="Times New Roman" w:cs="Times New Roman"/>
          <w:kern w:val="24"/>
          <w:lang w:val="en-US"/>
        </w:rPr>
        <w:t xml:space="preserve"> S M, “Definition of Islamic Economics”, Journal of Research in Islamic Economics, Vol. 1, N°2, 1984, p. 50.</w:t>
      </w:r>
    </w:p>
  </w:footnote>
  <w:footnote w:id="18">
    <w:p w14:paraId="4C2C67D5"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le-style-span"/>
          <w:rFonts w:ascii="Times New Roman" w:hAnsi="Times New Roman" w:cs="Times New Roman"/>
          <w:kern w:val="24"/>
          <w:sz w:val="20"/>
          <w:szCs w:val="20"/>
        </w:rPr>
        <w:footnoteRef/>
      </w:r>
      <w:r w:rsidRPr="001374DC">
        <w:rPr>
          <w:rFonts w:ascii="Times New Roman" w:hAnsi="Times New Roman" w:cs="Times New Roman"/>
          <w:smallCaps/>
          <w:kern w:val="24"/>
          <w:sz w:val="20"/>
          <w:szCs w:val="20"/>
          <w:lang w:val="en-US" w:eastAsia="fr-FR"/>
        </w:rPr>
        <w:t xml:space="preserve"> Khan</w:t>
      </w:r>
      <w:r w:rsidRPr="001374DC">
        <w:rPr>
          <w:rFonts w:ascii="Times New Roman" w:hAnsi="Times New Roman" w:cs="Times New Roman"/>
          <w:kern w:val="24"/>
          <w:sz w:val="20"/>
          <w:szCs w:val="20"/>
          <w:lang w:val="en-US" w:eastAsia="fr-FR"/>
        </w:rPr>
        <w:t xml:space="preserve"> Muhammad Akram, “An Introduction to Islamic Economics”, </w:t>
      </w:r>
      <w:r w:rsidRPr="001374DC">
        <w:rPr>
          <w:rStyle w:val="apple-style-span"/>
          <w:rFonts w:ascii="Times New Roman" w:hAnsi="Times New Roman" w:cs="Times New Roman"/>
          <w:color w:val="000000"/>
          <w:kern w:val="24"/>
          <w:sz w:val="20"/>
          <w:szCs w:val="20"/>
          <w:lang w:val="en-US"/>
        </w:rPr>
        <w:t>International Institute of Islamic Thought (IIIT)</w:t>
      </w:r>
      <w:r w:rsidRPr="001374DC">
        <w:rPr>
          <w:rStyle w:val="apple-converted-space"/>
          <w:rFonts w:ascii="Times New Roman" w:hAnsi="Times New Roman" w:cs="Times New Roman"/>
          <w:color w:val="000000"/>
          <w:kern w:val="24"/>
          <w:sz w:val="20"/>
          <w:szCs w:val="20"/>
          <w:lang w:val="en-US"/>
        </w:rPr>
        <w:t>, 1994</w:t>
      </w:r>
      <w:r w:rsidRPr="001374DC">
        <w:rPr>
          <w:rFonts w:ascii="Times New Roman" w:hAnsi="Times New Roman" w:cs="Times New Roman"/>
          <w:kern w:val="24"/>
          <w:sz w:val="20"/>
          <w:szCs w:val="20"/>
          <w:lang w:val="en-US" w:eastAsia="fr-FR"/>
        </w:rPr>
        <w:t>, p. 33.</w:t>
      </w:r>
    </w:p>
  </w:footnote>
  <w:footnote w:id="19">
    <w:p w14:paraId="5E982726"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Chapra </w:t>
      </w:r>
      <w:r w:rsidRPr="001374DC">
        <w:rPr>
          <w:rFonts w:ascii="Times New Roman" w:hAnsi="Times New Roman" w:cs="Times New Roman"/>
          <w:kern w:val="24"/>
        </w:rPr>
        <w:t>Muhammad Umer, « Qu’est-ce que l’économie islamique ? », Institut islamique de recherche et de formation, IDB, Série de conférences d’Eminents Erudits N° 10, 1996, p. 37.</w:t>
      </w:r>
    </w:p>
  </w:footnote>
  <w:footnote w:id="20">
    <w:p w14:paraId="0E22D5AB"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Ibid, p. 30.</w:t>
      </w:r>
    </w:p>
  </w:footnote>
  <w:footnote w:id="21">
    <w:p w14:paraId="696BB412"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Siddiqi </w:t>
      </w:r>
      <w:r w:rsidRPr="001374DC">
        <w:rPr>
          <w:rFonts w:ascii="Times New Roman" w:hAnsi="Times New Roman" w:cs="Times New Roman"/>
          <w:kern w:val="24"/>
          <w:sz w:val="20"/>
          <w:szCs w:val="20"/>
          <w:lang w:val="en-GB"/>
        </w:rPr>
        <w:t>Muhammad Nejatullah</w:t>
      </w:r>
      <w:r w:rsidRPr="001374DC">
        <w:rPr>
          <w:rFonts w:ascii="Times New Roman" w:hAnsi="Times New Roman" w:cs="Times New Roman"/>
          <w:kern w:val="24"/>
          <w:sz w:val="20"/>
          <w:szCs w:val="20"/>
          <w:lang w:val="en-US" w:eastAsia="fr-FR"/>
        </w:rPr>
        <w:t>, “Riba, bank interest and the rationale of its prohibition”, Cahier de Recherche, Islamic Development Bank, Islamic Research and Training Institute, 2004</w:t>
      </w:r>
      <w:r w:rsidRPr="001374DC">
        <w:rPr>
          <w:rFonts w:ascii="Times New Roman" w:hAnsi="Times New Roman" w:cs="Times New Roman"/>
          <w:kern w:val="24"/>
          <w:sz w:val="20"/>
          <w:szCs w:val="20"/>
          <w:lang w:val="en-GB"/>
        </w:rPr>
        <w:t>, p. 25.</w:t>
      </w:r>
    </w:p>
  </w:footnote>
  <w:footnote w:id="22">
    <w:p w14:paraId="63E80428" w14:textId="6AE38540" w:rsidR="009C2D83" w:rsidRPr="001374DC" w:rsidRDefault="009C2D83" w:rsidP="001374DC">
      <w:pPr>
        <w:pStyle w:val="Default"/>
        <w:suppressAutoHyphens/>
        <w:rPr>
          <w:kern w:val="24"/>
          <w:sz w:val="20"/>
          <w:szCs w:val="20"/>
          <w:lang w:val="en-US"/>
        </w:rPr>
      </w:pPr>
      <w:r w:rsidRPr="001374DC">
        <w:rPr>
          <w:rStyle w:val="Appelnotedebasdep"/>
          <w:kern w:val="24"/>
          <w:sz w:val="20"/>
          <w:szCs w:val="20"/>
        </w:rPr>
        <w:footnoteRef/>
      </w:r>
      <w:r w:rsidRPr="001374DC">
        <w:rPr>
          <w:smallCaps/>
          <w:kern w:val="24"/>
          <w:sz w:val="20"/>
          <w:szCs w:val="20"/>
          <w:lang w:val="en-US"/>
        </w:rPr>
        <w:t xml:space="preserve"> Chapra </w:t>
      </w:r>
      <w:r w:rsidRPr="001374DC">
        <w:rPr>
          <w:kern w:val="24"/>
          <w:sz w:val="20"/>
          <w:szCs w:val="20"/>
          <w:lang w:val="en-US"/>
        </w:rPr>
        <w:t>Muhammad Umer, “Is it necessary to have Islamic economics?” Journal of Socio-Economics, N° 29, 2000, p. 26.</w:t>
      </w:r>
    </w:p>
  </w:footnote>
  <w:footnote w:id="23">
    <w:p w14:paraId="56F468C4"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le-style-span"/>
          <w:rFonts w:ascii="Times New Roman" w:hAnsi="Times New Roman" w:cs="Times New Roman"/>
          <w:kern w:val="24"/>
          <w:sz w:val="20"/>
          <w:szCs w:val="20"/>
          <w:vertAlign w:val="superscript"/>
        </w:rPr>
        <w:footnoteRef/>
      </w:r>
      <w:r w:rsidRPr="001374DC">
        <w:rPr>
          <w:rFonts w:ascii="Times New Roman" w:hAnsi="Times New Roman" w:cs="Times New Roman"/>
          <w:smallCaps/>
          <w:kern w:val="24"/>
          <w:sz w:val="20"/>
          <w:szCs w:val="20"/>
          <w:lang w:val="en-US" w:eastAsia="fr-FR"/>
        </w:rPr>
        <w:t xml:space="preserve"> Khan</w:t>
      </w:r>
      <w:r w:rsidRPr="001374DC">
        <w:rPr>
          <w:rFonts w:ascii="Times New Roman" w:hAnsi="Times New Roman" w:cs="Times New Roman"/>
          <w:kern w:val="24"/>
          <w:sz w:val="20"/>
          <w:szCs w:val="20"/>
          <w:lang w:val="en-US" w:eastAsia="fr-FR"/>
        </w:rPr>
        <w:t>, 1994, ouvrage cité, p. 27.</w:t>
      </w:r>
    </w:p>
  </w:footnote>
  <w:footnote w:id="24">
    <w:p w14:paraId="7964192A" w14:textId="77777777" w:rsidR="009C2D83" w:rsidRPr="001374DC" w:rsidRDefault="009C2D83" w:rsidP="001374DC">
      <w:pPr>
        <w:pStyle w:val="Notedebasdepage"/>
        <w:suppressAutoHyphens/>
        <w:rPr>
          <w:rFonts w:ascii="Times New Roman" w:hAnsi="Times New Roman" w:cs="Times New Roman"/>
          <w:color w:val="000000"/>
          <w:kern w:val="24"/>
          <w:shd w:val="clear" w:color="auto" w:fill="FFFFFF"/>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Iqbal</w:t>
      </w:r>
      <w:r w:rsidRPr="001374DC">
        <w:rPr>
          <w:rFonts w:ascii="Times New Roman" w:hAnsi="Times New Roman" w:cs="Times New Roman"/>
          <w:kern w:val="24"/>
          <w:lang w:val="en-GB"/>
        </w:rPr>
        <w:t xml:space="preserve"> Zamir et </w:t>
      </w:r>
      <w:r w:rsidRPr="001374DC">
        <w:rPr>
          <w:rFonts w:ascii="Times New Roman" w:hAnsi="Times New Roman" w:cs="Times New Roman"/>
          <w:smallCaps/>
          <w:kern w:val="24"/>
          <w:lang w:val="en-GB"/>
        </w:rPr>
        <w:t>Mirakhor</w:t>
      </w:r>
      <w:r w:rsidRPr="001374DC">
        <w:rPr>
          <w:rFonts w:ascii="Times New Roman" w:hAnsi="Times New Roman" w:cs="Times New Roman"/>
          <w:kern w:val="24"/>
          <w:lang w:val="en-GB"/>
        </w:rPr>
        <w:t xml:space="preserve"> Abbas, “An Introduction to Islamic Finance: Theory and Practice”, 2ème Edition, John Wiley &amp; Sons, Asia Pte. </w:t>
      </w:r>
      <w:r w:rsidRPr="001374DC">
        <w:rPr>
          <w:rFonts w:ascii="Times New Roman" w:hAnsi="Times New Roman" w:cs="Times New Roman"/>
          <w:kern w:val="24"/>
        </w:rPr>
        <w:t xml:space="preserve">Ltd, 2011, </w:t>
      </w:r>
      <w:r w:rsidRPr="001374DC">
        <w:rPr>
          <w:rFonts w:ascii="Times New Roman" w:hAnsi="Times New Roman" w:cs="Times New Roman"/>
          <w:color w:val="000000"/>
          <w:kern w:val="24"/>
          <w:shd w:val="clear" w:color="auto" w:fill="FFFFFF"/>
        </w:rPr>
        <w:t>p. 63.</w:t>
      </w:r>
    </w:p>
  </w:footnote>
  <w:footnote w:id="25">
    <w:p w14:paraId="10266B07" w14:textId="68FCB0A6" w:rsidR="009C2D83" w:rsidRPr="001374DC" w:rsidRDefault="009C2D83" w:rsidP="001374DC">
      <w:pPr>
        <w:tabs>
          <w:tab w:val="left" w:pos="284"/>
        </w:tabs>
        <w:spacing w:line="240" w:lineRule="auto"/>
        <w:rPr>
          <w:rFonts w:ascii="Times New Roman" w:hAnsi="Times New Roman" w:cs="Times New Roman"/>
          <w:spacing w:val="-4"/>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rPr>
        <w:t xml:space="preserve"> Voir </w:t>
      </w:r>
      <w:r w:rsidRPr="001374DC">
        <w:rPr>
          <w:rFonts w:ascii="Times New Roman" w:hAnsi="Times New Roman" w:cs="Times New Roman"/>
          <w:smallCaps/>
          <w:spacing w:val="-4"/>
          <w:kern w:val="24"/>
          <w:sz w:val="20"/>
          <w:szCs w:val="20"/>
        </w:rPr>
        <w:t>Trari Medjaoui</w:t>
      </w:r>
      <w:r w:rsidRPr="001374DC">
        <w:rPr>
          <w:rFonts w:ascii="Times New Roman" w:hAnsi="Times New Roman" w:cs="Times New Roman"/>
          <w:spacing w:val="-4"/>
          <w:kern w:val="24"/>
          <w:sz w:val="20"/>
          <w:szCs w:val="20"/>
        </w:rPr>
        <w:t xml:space="preserve"> Hocine, « Des limites de la finance conventionnelle à l’émergence de la finance alternative », Thèse de Doctorat d’Etat en sciences économiques, Université d’Oran, 2012, p. 102.</w:t>
      </w:r>
    </w:p>
  </w:footnote>
  <w:footnote w:id="26">
    <w:p w14:paraId="2CE4AE4E"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eastAsia="fr-FR"/>
        </w:rPr>
        <w:t xml:space="preserve"> Causse- Broquet</w:t>
      </w:r>
      <w:r w:rsidRPr="001374DC">
        <w:rPr>
          <w:rFonts w:ascii="Times New Roman" w:hAnsi="Times New Roman" w:cs="Times New Roman"/>
          <w:kern w:val="24"/>
          <w:sz w:val="20"/>
          <w:szCs w:val="20"/>
          <w:lang w:eastAsia="fr-FR"/>
        </w:rPr>
        <w:t xml:space="preserve"> Geneviève</w:t>
      </w:r>
      <w:r w:rsidRPr="001374DC">
        <w:rPr>
          <w:rFonts w:ascii="Times New Roman" w:hAnsi="Times New Roman" w:cs="Times New Roman"/>
          <w:kern w:val="24"/>
          <w:sz w:val="20"/>
          <w:szCs w:val="20"/>
        </w:rPr>
        <w:t>, « Le sort des banques islamique ; de la difficulté de satisfaire des objectifs multiples », La Revue des Sciences de Gestion, n° 255-256, 2012, p. 116.</w:t>
      </w:r>
    </w:p>
  </w:footnote>
  <w:footnote w:id="27">
    <w:p w14:paraId="5BFFBA1B" w14:textId="5DF83039"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color w:val="000000"/>
          <w:kern w:val="24"/>
        </w:rPr>
        <w:t xml:space="preserve"> Wellhoff</w:t>
      </w:r>
      <w:r w:rsidRPr="001374DC">
        <w:rPr>
          <w:rFonts w:ascii="Times New Roman" w:hAnsi="Times New Roman" w:cs="Times New Roman"/>
          <w:color w:val="000000"/>
          <w:kern w:val="24"/>
        </w:rPr>
        <w:t xml:space="preserve"> Thierry, « Les valeurs : donner du sens, guider la communication, construire la réputation », Eyrolles, Ed. d’Organisation, 2009, p. 35.</w:t>
      </w:r>
    </w:p>
  </w:footnote>
  <w:footnote w:id="28">
    <w:p w14:paraId="7C937A7E" w14:textId="7C9F586D"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Pr>
          <w:rFonts w:ascii="Times New Roman" w:hAnsi="Times New Roman" w:cs="Times New Roman"/>
          <w:kern w:val="24"/>
        </w:rPr>
        <w:t xml:space="preserve"> </w:t>
      </w:r>
      <w:r w:rsidRPr="001374DC">
        <w:rPr>
          <w:rFonts w:ascii="Times New Roman" w:hAnsi="Times New Roman" w:cs="Times New Roman"/>
          <w:kern w:val="24"/>
        </w:rPr>
        <w:t>Traduction par Cheikh Si-Hamza Boubakeur, Tome 5, ENAG.</w:t>
      </w:r>
      <w:r>
        <w:rPr>
          <w:rFonts w:ascii="Times New Roman" w:hAnsi="Times New Roman" w:cs="Times New Roman"/>
          <w:kern w:val="24"/>
        </w:rPr>
        <w:t xml:space="preserve"> </w:t>
      </w:r>
      <w:r w:rsidRPr="001374DC">
        <w:rPr>
          <w:rFonts w:ascii="Times New Roman" w:hAnsi="Times New Roman" w:cs="Times New Roman"/>
          <w:kern w:val="24"/>
        </w:rPr>
        <w:t>Ed, Alger, 1994.</w:t>
      </w:r>
    </w:p>
  </w:footnote>
  <w:footnote w:id="29">
    <w:p w14:paraId="40CF2810" w14:textId="77777777" w:rsidR="009C2D83" w:rsidRPr="001374DC" w:rsidRDefault="009C2D83" w:rsidP="001374DC">
      <w:pPr>
        <w:pStyle w:val="Default"/>
        <w:suppressAutoHyphens/>
        <w:rPr>
          <w:kern w:val="24"/>
          <w:sz w:val="20"/>
          <w:szCs w:val="20"/>
        </w:rPr>
      </w:pPr>
      <w:r w:rsidRPr="001374DC">
        <w:rPr>
          <w:rStyle w:val="Appelnotedebasdep"/>
          <w:kern w:val="24"/>
          <w:sz w:val="20"/>
          <w:szCs w:val="20"/>
        </w:rPr>
        <w:footnoteRef/>
      </w:r>
      <w:r w:rsidRPr="001374DC">
        <w:rPr>
          <w:kern w:val="24"/>
          <w:sz w:val="20"/>
          <w:szCs w:val="20"/>
        </w:rPr>
        <w:t xml:space="preserve"> </w:t>
      </w:r>
      <w:r w:rsidRPr="001374DC">
        <w:rPr>
          <w:smallCaps/>
          <w:kern w:val="24"/>
          <w:sz w:val="20"/>
          <w:szCs w:val="20"/>
        </w:rPr>
        <w:t>Majidi</w:t>
      </w:r>
      <w:r w:rsidRPr="001374DC">
        <w:rPr>
          <w:kern w:val="24"/>
          <w:sz w:val="20"/>
          <w:szCs w:val="20"/>
        </w:rPr>
        <w:t xml:space="preserve"> El Mehdi, « La finance islamique et la croissance économique : Quelles interactions dans les pays de MENA ? », Thèse de Doctorat, Université de Pau et des Pays de l’Adour, 2016, p.19.</w:t>
      </w:r>
    </w:p>
  </w:footnote>
  <w:footnote w:id="30">
    <w:p w14:paraId="6640C40E"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Siagh</w:t>
      </w:r>
      <w:r w:rsidRPr="001374DC">
        <w:rPr>
          <w:rFonts w:ascii="Times New Roman" w:hAnsi="Times New Roman" w:cs="Times New Roman"/>
          <w:kern w:val="24"/>
        </w:rPr>
        <w:t xml:space="preserve"> Lachemi, « Le fonctionnement des organisations dans les milieux de culture intense : le cas des banques islamiques », Thèse de Doctorat, Montréal, 2001, p. 17.</w:t>
      </w:r>
    </w:p>
  </w:footnote>
  <w:footnote w:id="31">
    <w:p w14:paraId="5DAE298C"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eastAsia="SimHei" w:hAnsi="Times New Roman" w:cs="Times New Roman"/>
          <w:smallCaps/>
          <w:kern w:val="24"/>
          <w:lang w:val="en-GB"/>
        </w:rPr>
        <w:t xml:space="preserve"> Abdulkader</w:t>
      </w:r>
      <w:r w:rsidRPr="001374DC">
        <w:rPr>
          <w:rFonts w:ascii="Times New Roman" w:eastAsia="SimHei" w:hAnsi="Times New Roman" w:cs="Times New Roman"/>
          <w:kern w:val="24"/>
          <w:lang w:val="en-GB"/>
        </w:rPr>
        <w:t xml:space="preserve"> Thomas, </w:t>
      </w:r>
      <w:r w:rsidRPr="001374DC">
        <w:rPr>
          <w:rFonts w:ascii="Times New Roman" w:eastAsia="MS Mincho" w:hAnsi="Times New Roman" w:cs="Times New Roman"/>
          <w:kern w:val="24"/>
          <w:lang w:val="en-GB"/>
        </w:rPr>
        <w:t>“</w:t>
      </w:r>
      <w:r w:rsidRPr="001374DC">
        <w:rPr>
          <w:rFonts w:ascii="Times New Roman" w:eastAsia="SimHei" w:hAnsi="Times New Roman" w:cs="Times New Roman"/>
          <w:kern w:val="24"/>
          <w:lang w:val="en-GB"/>
        </w:rPr>
        <w:t>Interest in Islamic Economic Understanding Riba</w:t>
      </w:r>
      <w:r w:rsidRPr="001374DC">
        <w:rPr>
          <w:rFonts w:ascii="Times New Roman" w:eastAsia="MS Mincho" w:hAnsi="Times New Roman" w:cs="Times New Roman"/>
          <w:kern w:val="24"/>
          <w:lang w:val="en-GB"/>
        </w:rPr>
        <w:t>”</w:t>
      </w:r>
      <w:r w:rsidRPr="001374DC">
        <w:rPr>
          <w:rFonts w:ascii="Times New Roman" w:eastAsia="SimHei" w:hAnsi="Times New Roman" w:cs="Times New Roman"/>
          <w:kern w:val="24"/>
          <w:lang w:val="en-GB"/>
        </w:rPr>
        <w:t>, Taylor &amp; Francis e-Library Edition; London and New York, 2006, p. 10.</w:t>
      </w:r>
    </w:p>
  </w:footnote>
  <w:footnote w:id="32">
    <w:p w14:paraId="7D7CBF3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Guéranger</w:t>
      </w:r>
      <w:r w:rsidRPr="001374DC">
        <w:rPr>
          <w:rFonts w:ascii="Times New Roman" w:hAnsi="Times New Roman" w:cs="Times New Roman"/>
          <w:kern w:val="24"/>
        </w:rPr>
        <w:t xml:space="preserve"> François, « Finance islamique : une illustration de la finance éthique », Ed. Dunod, 2009, p. .34.</w:t>
      </w:r>
    </w:p>
  </w:footnote>
  <w:footnote w:id="33">
    <w:p w14:paraId="35C19021" w14:textId="42300510" w:rsidR="009C2D83" w:rsidRPr="001374DC" w:rsidRDefault="009C2D83" w:rsidP="001374DC">
      <w:pPr>
        <w:tabs>
          <w:tab w:val="left" w:pos="284"/>
        </w:tabs>
        <w:spacing w:line="240" w:lineRule="auto"/>
        <w:rPr>
          <w:rFonts w:ascii="Times New Roman" w:hAnsi="Times New Roman" w:cs="Times New Roman"/>
          <w:spacing w:val="-4"/>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rPr>
        <w:t xml:space="preserve"> Voir </w:t>
      </w:r>
      <w:r w:rsidRPr="001374DC">
        <w:rPr>
          <w:rFonts w:ascii="Times New Roman" w:hAnsi="Times New Roman" w:cs="Times New Roman"/>
          <w:smallCaps/>
          <w:spacing w:val="-4"/>
          <w:kern w:val="24"/>
          <w:sz w:val="20"/>
          <w:szCs w:val="20"/>
        </w:rPr>
        <w:t>Trari Medjaoui</w:t>
      </w:r>
      <w:r w:rsidRPr="001374DC">
        <w:rPr>
          <w:rFonts w:ascii="Times New Roman" w:hAnsi="Times New Roman" w:cs="Times New Roman"/>
          <w:spacing w:val="-4"/>
          <w:kern w:val="24"/>
          <w:sz w:val="20"/>
          <w:szCs w:val="20"/>
        </w:rPr>
        <w:t xml:space="preserve"> Hocine, « Des limites de la finance conventionnelle à l’émergence de la finance alternative », Thèse de Doctorat d’Etat en sciences économiques, Université d’Oran, 2012, pp. 68-106.</w:t>
      </w:r>
    </w:p>
  </w:footnote>
  <w:footnote w:id="34">
    <w:p w14:paraId="5DC31D53"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A</w:t>
      </w:r>
      <w:r w:rsidRPr="001374DC">
        <w:rPr>
          <w:rFonts w:ascii="Times New Roman" w:hAnsi="Times New Roman" w:cs="Times New Roman"/>
          <w:smallCaps/>
          <w:kern w:val="24"/>
        </w:rPr>
        <w:t>ristote</w:t>
      </w:r>
      <w:r w:rsidRPr="001374DC">
        <w:rPr>
          <w:rFonts w:ascii="Times New Roman" w:hAnsi="Times New Roman" w:cs="Times New Roman"/>
          <w:kern w:val="24"/>
        </w:rPr>
        <w:t xml:space="preserve">, Politique, Livre I, texte établi et traduit par Jean </w:t>
      </w:r>
      <w:r w:rsidRPr="001374DC">
        <w:rPr>
          <w:rFonts w:ascii="Times New Roman" w:hAnsi="Times New Roman" w:cs="Times New Roman"/>
          <w:smallCaps/>
          <w:kern w:val="24"/>
        </w:rPr>
        <w:t>Aubonnet</w:t>
      </w:r>
      <w:r w:rsidRPr="001374DC">
        <w:rPr>
          <w:rFonts w:ascii="Times New Roman" w:hAnsi="Times New Roman" w:cs="Times New Roman"/>
          <w:kern w:val="24"/>
        </w:rPr>
        <w:t xml:space="preserve">, Éditions Gallimard, 1993, p. 25, dans </w:t>
      </w:r>
      <w:r w:rsidRPr="001374DC">
        <w:rPr>
          <w:rFonts w:ascii="Times New Roman" w:hAnsi="Times New Roman" w:cs="Times New Roman"/>
          <w:smallCaps/>
          <w:kern w:val="24"/>
        </w:rPr>
        <w:t>Trari-Medjaoui</w:t>
      </w:r>
      <w:r w:rsidRPr="001374DC">
        <w:rPr>
          <w:rFonts w:ascii="Times New Roman" w:hAnsi="Times New Roman" w:cs="Times New Roman"/>
          <w:kern w:val="24"/>
        </w:rPr>
        <w:t xml:space="preserve"> H., Thèse citée, p. 102.</w:t>
      </w:r>
    </w:p>
  </w:footnote>
  <w:footnote w:id="35">
    <w:p w14:paraId="2148E31A"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SEDILLOT René, « Histoire des marchés noirs », Éditions </w:t>
      </w:r>
      <w:r w:rsidRPr="001374DC">
        <w:rPr>
          <w:rFonts w:ascii="Times New Roman" w:hAnsi="Times New Roman" w:cs="Times New Roman"/>
          <w:spacing w:val="-3"/>
          <w:kern w:val="24"/>
        </w:rPr>
        <w:t xml:space="preserve">Tallandier, </w:t>
      </w:r>
      <w:r w:rsidRPr="001374DC">
        <w:rPr>
          <w:rFonts w:ascii="Times New Roman" w:hAnsi="Times New Roman" w:cs="Times New Roman"/>
          <w:kern w:val="24"/>
        </w:rPr>
        <w:t xml:space="preserve">Paris, 1985, </w:t>
      </w:r>
      <w:r w:rsidRPr="001374DC">
        <w:rPr>
          <w:rFonts w:ascii="Times New Roman" w:hAnsi="Times New Roman" w:cs="Times New Roman"/>
          <w:spacing w:val="-3"/>
          <w:kern w:val="24"/>
        </w:rPr>
        <w:t>p.</w:t>
      </w:r>
      <w:r w:rsidRPr="001374DC">
        <w:rPr>
          <w:rFonts w:ascii="Times New Roman" w:hAnsi="Times New Roman" w:cs="Times New Roman"/>
          <w:spacing w:val="-2"/>
          <w:kern w:val="24"/>
        </w:rPr>
        <w:t xml:space="preserve"> </w:t>
      </w:r>
      <w:r w:rsidRPr="001374DC">
        <w:rPr>
          <w:rFonts w:ascii="Times New Roman" w:hAnsi="Times New Roman" w:cs="Times New Roman"/>
          <w:kern w:val="24"/>
        </w:rPr>
        <w:t xml:space="preserve">23, dans </w:t>
      </w:r>
      <w:r w:rsidRPr="001374DC">
        <w:rPr>
          <w:rFonts w:ascii="Times New Roman" w:hAnsi="Times New Roman" w:cs="Times New Roman"/>
          <w:smallCaps/>
          <w:kern w:val="24"/>
        </w:rPr>
        <w:t>Trari-Medjaoui</w:t>
      </w:r>
      <w:r w:rsidRPr="001374DC">
        <w:rPr>
          <w:rFonts w:ascii="Times New Roman" w:hAnsi="Times New Roman" w:cs="Times New Roman"/>
          <w:kern w:val="24"/>
        </w:rPr>
        <w:t xml:space="preserve"> H., Thèse citée, p. 204.</w:t>
      </w:r>
    </w:p>
  </w:footnote>
  <w:footnote w:id="36">
    <w:p w14:paraId="043D3025" w14:textId="6C475FC2"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Ruimy</w:t>
      </w:r>
      <w:r w:rsidRPr="001374DC">
        <w:rPr>
          <w:rFonts w:ascii="Times New Roman" w:hAnsi="Times New Roman" w:cs="Times New Roman"/>
          <w:kern w:val="24"/>
          <w:sz w:val="20"/>
          <w:szCs w:val="20"/>
        </w:rPr>
        <w:t xml:space="preserve"> Michel, « La finance </w:t>
      </w:r>
      <w:r>
        <w:rPr>
          <w:rFonts w:ascii="Times New Roman" w:hAnsi="Times New Roman" w:cs="Times New Roman"/>
          <w:kern w:val="24"/>
          <w:sz w:val="20"/>
          <w:szCs w:val="20"/>
        </w:rPr>
        <w:t>i</w:t>
      </w:r>
      <w:r w:rsidRPr="001374DC">
        <w:rPr>
          <w:rFonts w:ascii="Times New Roman" w:hAnsi="Times New Roman" w:cs="Times New Roman"/>
          <w:kern w:val="24"/>
          <w:sz w:val="20"/>
          <w:szCs w:val="20"/>
        </w:rPr>
        <w:t>slamique », Ed. SEFI ; Collection « Finance d’aujourd’hui », Québec-Canada, 2008, p. .21.</w:t>
      </w:r>
    </w:p>
  </w:footnote>
  <w:footnote w:id="37">
    <w:p w14:paraId="3A6CAACC" w14:textId="77777777" w:rsidR="009C2D83" w:rsidRPr="001374DC" w:rsidRDefault="009C2D83" w:rsidP="001374DC">
      <w:pPr>
        <w:pStyle w:val="Notedebasdepage"/>
        <w:rPr>
          <w:rFonts w:ascii="Times New Roman" w:eastAsia="Times New Roman" w:hAnsi="Times New Roman" w:cs="Times New Roman"/>
          <w:color w:val="000000"/>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eastAsia="Times New Roman" w:hAnsi="Times New Roman" w:cs="Times New Roman"/>
          <w:color w:val="000000"/>
          <w:kern w:val="24"/>
        </w:rPr>
        <w:t>St-Thomas d’</w:t>
      </w:r>
      <w:r w:rsidRPr="001374DC">
        <w:rPr>
          <w:rFonts w:ascii="Times New Roman" w:eastAsia="Times New Roman" w:hAnsi="Times New Roman" w:cs="Times New Roman"/>
          <w:smallCaps/>
          <w:color w:val="000000"/>
          <w:kern w:val="24"/>
        </w:rPr>
        <w:t xml:space="preserve">Aquin (1225-1274), </w:t>
      </w:r>
      <w:r w:rsidRPr="001374DC">
        <w:rPr>
          <w:rFonts w:ascii="Times New Roman" w:eastAsia="Times New Roman" w:hAnsi="Times New Roman" w:cs="Times New Roman"/>
          <w:i/>
          <w:iCs/>
          <w:color w:val="000000"/>
          <w:kern w:val="24"/>
        </w:rPr>
        <w:t>Somme théologique</w:t>
      </w:r>
      <w:r w:rsidRPr="001374DC">
        <w:rPr>
          <w:rFonts w:ascii="Times New Roman" w:eastAsia="Times New Roman" w:hAnsi="Times New Roman" w:cs="Times New Roman"/>
          <w:color w:val="000000"/>
          <w:kern w:val="24"/>
        </w:rPr>
        <w:t>, Question 78, "Du péché d'usure.</w:t>
      </w:r>
    </w:p>
    <w:p w14:paraId="75E12627" w14:textId="4CC967D8" w:rsidR="009C2D83" w:rsidRPr="001374DC" w:rsidRDefault="00C40DAA" w:rsidP="001374DC">
      <w:pPr>
        <w:pStyle w:val="Notedebasdepage"/>
        <w:rPr>
          <w:rFonts w:ascii="Times New Roman" w:hAnsi="Times New Roman" w:cs="Times New Roman"/>
          <w:kern w:val="24"/>
        </w:rPr>
      </w:pPr>
      <w:hyperlink r:id="rId2" w:history="1">
        <w:r w:rsidR="009C2D83" w:rsidRPr="001374DC">
          <w:rPr>
            <w:rStyle w:val="Lienhypertexte"/>
            <w:rFonts w:ascii="Times New Roman" w:hAnsi="Times New Roman" w:cs="Times New Roman"/>
            <w:smallCaps/>
            <w:kern w:val="24"/>
          </w:rPr>
          <w:t>http://www.documentacatholicaomnia.eu/03d/1225-1274,_Thomas_Aquinas,_Summa_Theologiae-Secunda_Secundae,_FR.pdf</w:t>
        </w:r>
      </w:hyperlink>
    </w:p>
  </w:footnote>
  <w:footnote w:id="38">
    <w:p w14:paraId="5981A266" w14:textId="0931752A"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eastAsia="fr-FR"/>
        </w:rPr>
        <w:t xml:space="preserve"> Causse- Broquet</w:t>
      </w:r>
      <w:r w:rsidRPr="001374DC">
        <w:rPr>
          <w:rFonts w:ascii="Times New Roman" w:hAnsi="Times New Roman" w:cs="Times New Roman"/>
          <w:kern w:val="24"/>
          <w:sz w:val="20"/>
          <w:szCs w:val="20"/>
          <w:lang w:eastAsia="fr-FR"/>
        </w:rPr>
        <w:t xml:space="preserve"> Geneviève</w:t>
      </w:r>
      <w:r w:rsidRPr="001374DC">
        <w:rPr>
          <w:rFonts w:ascii="Times New Roman" w:hAnsi="Times New Roman" w:cs="Times New Roman"/>
          <w:kern w:val="24"/>
          <w:sz w:val="20"/>
          <w:szCs w:val="20"/>
        </w:rPr>
        <w:t>, « Le sort des banques islamique</w:t>
      </w:r>
      <w:r>
        <w:rPr>
          <w:rFonts w:ascii="Times New Roman" w:hAnsi="Times New Roman" w:cs="Times New Roman"/>
          <w:kern w:val="24"/>
          <w:sz w:val="20"/>
          <w:szCs w:val="20"/>
        </w:rPr>
        <w:t>s</w:t>
      </w:r>
      <w:r w:rsidRPr="001374DC">
        <w:rPr>
          <w:rFonts w:ascii="Times New Roman" w:hAnsi="Times New Roman" w:cs="Times New Roman"/>
          <w:kern w:val="24"/>
          <w:sz w:val="20"/>
          <w:szCs w:val="20"/>
        </w:rPr>
        <w:t> ; de la difficulté de satisfaire des objectifs multiples », La Revue des Sciences de Gestion, n° 255-256, 2012, p. 116.</w:t>
      </w:r>
    </w:p>
  </w:footnote>
  <w:footnote w:id="39">
    <w:p w14:paraId="5D400330"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Traduction par Cheikh Si-Hamza Boubakeur, Tome 1, ENAG Ed, 1994.</w:t>
      </w:r>
    </w:p>
  </w:footnote>
  <w:footnote w:id="40">
    <w:p w14:paraId="7BC723FF" w14:textId="77777777" w:rsidR="009C2D83" w:rsidRPr="001374DC" w:rsidRDefault="009C2D83" w:rsidP="001374DC">
      <w:pPr>
        <w:pStyle w:val="Notedebasdepage"/>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Ibid.</w:t>
      </w:r>
    </w:p>
  </w:footnote>
  <w:footnote w:id="41">
    <w:p w14:paraId="21BCEC7E" w14:textId="77777777" w:rsidR="009C2D83" w:rsidRPr="001374DC" w:rsidRDefault="009C2D83" w:rsidP="001374DC">
      <w:pPr>
        <w:pStyle w:val="Notedebasdepage"/>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Ibid.</w:t>
      </w:r>
    </w:p>
  </w:footnote>
  <w:footnote w:id="42">
    <w:p w14:paraId="67C9652E" w14:textId="77777777" w:rsidR="009C2D83" w:rsidRPr="001374DC" w:rsidRDefault="009C2D83" w:rsidP="001374DC">
      <w:pPr>
        <w:pStyle w:val="Notedebasdepage"/>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Ibid.</w:t>
      </w:r>
    </w:p>
  </w:footnote>
  <w:footnote w:id="43">
    <w:p w14:paraId="343B7386" w14:textId="77777777" w:rsidR="009C2D83" w:rsidRPr="001374DC" w:rsidRDefault="009C2D83" w:rsidP="001374DC">
      <w:pPr>
        <w:pStyle w:val="Notedebasdepage"/>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Ibid.</w:t>
      </w:r>
    </w:p>
  </w:footnote>
  <w:footnote w:id="44">
    <w:p w14:paraId="67CB9F0A" w14:textId="77777777" w:rsidR="009C2D83" w:rsidRPr="001374DC" w:rsidRDefault="009C2D83" w:rsidP="001374DC">
      <w:pPr>
        <w:pStyle w:val="Notedebasdepage"/>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Ibid.</w:t>
      </w:r>
    </w:p>
  </w:footnote>
  <w:footnote w:id="45">
    <w:p w14:paraId="09A127CA"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Traduction par Cheikh Si-Hamza Boubakeur, Tome 4, ENAG Ed, 1994.</w:t>
      </w:r>
    </w:p>
  </w:footnote>
  <w:footnote w:id="46">
    <w:p w14:paraId="06802C1B"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Sahih Mouslim, 1598, Book 22, Hadith 132.</w:t>
      </w:r>
    </w:p>
  </w:footnote>
  <w:footnote w:id="47">
    <w:p w14:paraId="7E28B25D"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color w:val="000000"/>
          <w:kern w:val="24"/>
          <w:shd w:val="clear" w:color="auto" w:fill="F9F9F9"/>
          <w:lang w:val="en-GB"/>
        </w:rPr>
        <w:t xml:space="preserve"> SahihAl Bukhârî</w:t>
      </w:r>
      <w:r w:rsidRPr="001374DC">
        <w:rPr>
          <w:rFonts w:ascii="Times New Roman" w:hAnsi="Times New Roman" w:cs="Times New Roman"/>
          <w:kern w:val="24"/>
          <w:lang w:val="en-GB"/>
        </w:rPr>
        <w:t>, Chapitre 127, Hadith 1612.</w:t>
      </w:r>
    </w:p>
  </w:footnote>
  <w:footnote w:id="48">
    <w:p w14:paraId="7A4FA094"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kern w:val="24"/>
          <w:shd w:val="clear" w:color="auto" w:fill="FFFFFF"/>
        </w:rPr>
        <w:t>Rapporté par Ahmed et authentifié par Cheikh Albani dans Sahih Targhib, n° 1855</w:t>
      </w:r>
      <w:r w:rsidRPr="001374DC">
        <w:rPr>
          <w:rFonts w:ascii="Times New Roman" w:hAnsi="Times New Roman" w:cs="Times New Roman"/>
          <w:kern w:val="24"/>
        </w:rPr>
        <w:t>.</w:t>
      </w:r>
    </w:p>
  </w:footnote>
  <w:footnote w:id="49">
    <w:p w14:paraId="5BD04546"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Badrey</w:t>
      </w:r>
      <w:r w:rsidRPr="001374DC">
        <w:rPr>
          <w:rFonts w:ascii="Times New Roman" w:hAnsi="Times New Roman" w:cs="Times New Roman"/>
          <w:kern w:val="24"/>
          <w:sz w:val="20"/>
          <w:szCs w:val="20"/>
        </w:rPr>
        <w:t xml:space="preserve"> El-Sadek, « La question du prêt à intérêt et le système juridique de la banque Islamique », Thèse de Doctorat, Paris II, 1993, p. 154.</w:t>
      </w:r>
    </w:p>
  </w:footnote>
  <w:footnote w:id="50">
    <w:p w14:paraId="5FFE83D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Sahih Muslim, Hadith 2971.</w:t>
      </w:r>
    </w:p>
  </w:footnote>
  <w:footnote w:id="51">
    <w:p w14:paraId="4214C126"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Il y a quatre écoles dans la tradition sunnite à savoir les Malikites, les Hanbalites, les Chafi’ites et les Hanafites. Ce ne sont pas des courants de pensée différents à proprement parler mais ils se distinguent par l’interprétation distincte des textes selon le lieu et l’époque où ils se sont développés.</w:t>
      </w:r>
    </w:p>
  </w:footnote>
  <w:footnote w:id="52">
    <w:p w14:paraId="314293D1" w14:textId="77777777" w:rsidR="009C2D83" w:rsidRPr="001374DC" w:rsidRDefault="009C2D83" w:rsidP="001374DC">
      <w:pPr>
        <w:suppressAutoHyphens/>
        <w:spacing w:line="240" w:lineRule="auto"/>
        <w:rPr>
          <w:rFonts w:ascii="Times New Roman" w:hAnsi="Times New Roman" w:cs="Times New Roman"/>
          <w:kern w:val="24"/>
          <w:sz w:val="20"/>
          <w:szCs w:val="20"/>
          <w:lang w:val="en-GB"/>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Nakhjavani</w:t>
      </w:r>
      <w:r w:rsidRPr="001374DC">
        <w:rPr>
          <w:rFonts w:ascii="Times New Roman" w:hAnsi="Times New Roman" w:cs="Times New Roman"/>
          <w:kern w:val="24"/>
          <w:sz w:val="20"/>
          <w:szCs w:val="20"/>
          <w:lang w:val="en-GB"/>
        </w:rPr>
        <w:t xml:space="preserve"> M, </w:t>
      </w:r>
      <w:r w:rsidRPr="001374DC">
        <w:rPr>
          <w:rFonts w:ascii="Times New Roman" w:hAnsi="Times New Roman" w:cs="Times New Roman"/>
          <w:kern w:val="24"/>
          <w:sz w:val="20"/>
          <w:szCs w:val="20"/>
          <w:lang w:val="en-GB" w:eastAsia="fr-FR"/>
        </w:rPr>
        <w:t>“</w:t>
      </w:r>
      <w:r w:rsidRPr="001374DC">
        <w:rPr>
          <w:rFonts w:ascii="Times New Roman" w:hAnsi="Times New Roman" w:cs="Times New Roman"/>
          <w:kern w:val="24"/>
          <w:sz w:val="20"/>
          <w:szCs w:val="20"/>
          <w:lang w:val="en-GB"/>
        </w:rPr>
        <w:t>Islamic Banking in an Inflationary World”, Middel-East, Economic Studies, 1982, p. 34.</w:t>
      </w:r>
    </w:p>
  </w:footnote>
  <w:footnote w:id="53">
    <w:p w14:paraId="622D7790"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spacing w:val="-6"/>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w:t>
      </w:r>
      <w:r w:rsidRPr="001374DC">
        <w:rPr>
          <w:rFonts w:ascii="Times New Roman" w:hAnsi="Times New Roman" w:cs="Times New Roman"/>
          <w:smallCaps/>
          <w:spacing w:val="-6"/>
          <w:kern w:val="24"/>
          <w:sz w:val="20"/>
          <w:szCs w:val="20"/>
          <w:lang w:val="en-GB"/>
        </w:rPr>
        <w:t>Siddiki</w:t>
      </w:r>
      <w:r w:rsidRPr="001374DC">
        <w:rPr>
          <w:rFonts w:ascii="Times New Roman" w:hAnsi="Times New Roman" w:cs="Times New Roman"/>
          <w:spacing w:val="-6"/>
          <w:kern w:val="24"/>
          <w:sz w:val="20"/>
          <w:szCs w:val="20"/>
          <w:lang w:val="en-GB"/>
        </w:rPr>
        <w:t xml:space="preserve"> Muhammad Nejatullah,” Issues in Islamic banking”, Editions The Islamic Foundation, Leicester, 1994, p. 47.</w:t>
      </w:r>
    </w:p>
  </w:footnote>
  <w:footnote w:id="54">
    <w:p w14:paraId="0550C9D3"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ouvrage cité, p. 37.</w:t>
      </w:r>
    </w:p>
  </w:footnote>
  <w:footnote w:id="55">
    <w:p w14:paraId="075B5675" w14:textId="77777777" w:rsidR="009C2D83" w:rsidRPr="001374DC" w:rsidRDefault="009C2D83" w:rsidP="001374DC">
      <w:pPr>
        <w:pStyle w:val="Default"/>
        <w:suppressAutoHyphens/>
        <w:rPr>
          <w:kern w:val="24"/>
          <w:sz w:val="20"/>
          <w:szCs w:val="20"/>
          <w:lang w:val="en-GB"/>
        </w:rPr>
      </w:pPr>
      <w:r w:rsidRPr="001374DC">
        <w:rPr>
          <w:rStyle w:val="Appelnotedebasdep"/>
          <w:kern w:val="24"/>
          <w:sz w:val="20"/>
          <w:szCs w:val="20"/>
        </w:rPr>
        <w:footnoteRef/>
      </w:r>
      <w:r w:rsidRPr="001374DC">
        <w:rPr>
          <w:smallCaps/>
          <w:kern w:val="24"/>
          <w:sz w:val="20"/>
          <w:szCs w:val="20"/>
          <w:lang w:val="en-GB"/>
        </w:rPr>
        <w:t xml:space="preserve"> Majidi,</w:t>
      </w:r>
      <w:r w:rsidRPr="001374DC">
        <w:rPr>
          <w:kern w:val="24"/>
          <w:sz w:val="20"/>
          <w:szCs w:val="20"/>
          <w:lang w:val="en-GB"/>
        </w:rPr>
        <w:t xml:space="preserve"> 2016, référence citée, p. 33.</w:t>
      </w:r>
    </w:p>
  </w:footnote>
  <w:footnote w:id="56">
    <w:p w14:paraId="56107FD3" w14:textId="77777777" w:rsidR="009C2D83" w:rsidRPr="001374DC" w:rsidRDefault="009C2D83" w:rsidP="001374DC">
      <w:pPr>
        <w:pStyle w:val="Notedebasdepage"/>
        <w:suppressAutoHyphens/>
        <w:rPr>
          <w:rFonts w:ascii="Times New Roman" w:hAnsi="Times New Roman" w:cs="Times New Roman"/>
          <w:color w:val="000000"/>
          <w:kern w:val="24"/>
          <w:shd w:val="clear" w:color="auto" w:fill="FFFFFF"/>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Iqbal</w:t>
      </w:r>
      <w:r w:rsidRPr="001374DC">
        <w:rPr>
          <w:rFonts w:ascii="Times New Roman" w:hAnsi="Times New Roman" w:cs="Times New Roman"/>
          <w:kern w:val="24"/>
          <w:lang w:val="en-GB"/>
        </w:rPr>
        <w:t xml:space="preserve"> Zamir et </w:t>
      </w:r>
      <w:r w:rsidRPr="001374DC">
        <w:rPr>
          <w:rFonts w:ascii="Times New Roman" w:hAnsi="Times New Roman" w:cs="Times New Roman"/>
          <w:smallCaps/>
          <w:kern w:val="24"/>
          <w:lang w:val="en-GB"/>
        </w:rPr>
        <w:t>Mirakhor</w:t>
      </w:r>
      <w:r w:rsidRPr="001374DC">
        <w:rPr>
          <w:rFonts w:ascii="Times New Roman" w:hAnsi="Times New Roman" w:cs="Times New Roman"/>
          <w:kern w:val="24"/>
          <w:lang w:val="en-GB"/>
        </w:rPr>
        <w:t xml:space="preserve"> Abbas, “An Introduction to Islamic Finance: Theory and Practice”, 2ème Edition, John Wiley &amp; Sons, Asia Pte. </w:t>
      </w:r>
      <w:r w:rsidRPr="001374DC">
        <w:rPr>
          <w:rFonts w:ascii="Times New Roman" w:hAnsi="Times New Roman" w:cs="Times New Roman"/>
          <w:kern w:val="24"/>
        </w:rPr>
        <w:t xml:space="preserve">Ltd, 2011, </w:t>
      </w:r>
      <w:r w:rsidRPr="001374DC">
        <w:rPr>
          <w:rFonts w:ascii="Times New Roman" w:hAnsi="Times New Roman" w:cs="Times New Roman"/>
          <w:color w:val="000000"/>
          <w:kern w:val="24"/>
          <w:shd w:val="clear" w:color="auto" w:fill="FFFFFF"/>
        </w:rPr>
        <w:t>p. 63.</w:t>
      </w:r>
    </w:p>
  </w:footnote>
  <w:footnote w:id="57">
    <w:p w14:paraId="520499C4"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spacing w:val="-2"/>
          <w:kern w:val="24"/>
          <w:sz w:val="20"/>
          <w:szCs w:val="20"/>
        </w:rPr>
        <w:t xml:space="preserve"> Karich</w:t>
      </w:r>
      <w:r w:rsidRPr="001374DC">
        <w:rPr>
          <w:rFonts w:ascii="Times New Roman" w:hAnsi="Times New Roman" w:cs="Times New Roman"/>
          <w:spacing w:val="-2"/>
          <w:kern w:val="24"/>
          <w:sz w:val="20"/>
          <w:szCs w:val="20"/>
        </w:rPr>
        <w:t xml:space="preserve"> Imane, « Le système financier Islamique : de la religion à la banque », Ed. Larcier, Bruxelles, 2002, p. 46.</w:t>
      </w:r>
    </w:p>
  </w:footnote>
  <w:footnote w:id="58">
    <w:p w14:paraId="158BE56C" w14:textId="7BA6CBC6"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Pr>
          <w:rFonts w:ascii="Times New Roman" w:hAnsi="Times New Roman" w:cs="Times New Roman"/>
          <w:kern w:val="24"/>
        </w:rPr>
        <w:t xml:space="preserve"> </w:t>
      </w:r>
      <w:r w:rsidRPr="001374DC">
        <w:rPr>
          <w:rFonts w:ascii="Times New Roman" w:hAnsi="Times New Roman" w:cs="Times New Roman"/>
          <w:kern w:val="24"/>
        </w:rPr>
        <w:t>Traduction par Cheikh Si-Hamza Boubakeur, Tome 1, Edition ENAG, Alger, Algérie, 1994.</w:t>
      </w:r>
    </w:p>
  </w:footnote>
  <w:footnote w:id="59">
    <w:p w14:paraId="32ED2552"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Majidi</w:t>
      </w:r>
      <w:r w:rsidRPr="001374DC">
        <w:rPr>
          <w:rFonts w:ascii="Times New Roman" w:hAnsi="Times New Roman" w:cs="Times New Roman"/>
          <w:kern w:val="24"/>
        </w:rPr>
        <w:t>, 2016, référence citée, p. 31.</w:t>
      </w:r>
    </w:p>
  </w:footnote>
  <w:footnote w:id="60">
    <w:p w14:paraId="4EBD8066" w14:textId="7CECB2D1"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Traduction par Cheikh Si-Hamza Boubakeur, Tome 2, Edition ENAG, Alger, Algérie, 1994.</w:t>
      </w:r>
    </w:p>
  </w:footnote>
  <w:footnote w:id="61">
    <w:p w14:paraId="56F39914"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Cherif</w:t>
      </w:r>
      <w:r w:rsidRPr="001374DC">
        <w:rPr>
          <w:rFonts w:ascii="Times New Roman" w:hAnsi="Times New Roman" w:cs="Times New Roman"/>
          <w:kern w:val="24"/>
        </w:rPr>
        <w:t>, 2008, référence citée, p. 19.</w:t>
      </w:r>
    </w:p>
  </w:footnote>
  <w:footnote w:id="62">
    <w:p w14:paraId="5A446DCE"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Khan</w:t>
      </w:r>
      <w:r w:rsidRPr="001374DC">
        <w:rPr>
          <w:rFonts w:ascii="Times New Roman" w:hAnsi="Times New Roman" w:cs="Times New Roman"/>
          <w:kern w:val="24"/>
        </w:rPr>
        <w:t>, 1994, Ouvrage cité, p. 49.</w:t>
      </w:r>
    </w:p>
  </w:footnote>
  <w:footnote w:id="63">
    <w:p w14:paraId="0E355400"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Siddiqui</w:t>
      </w:r>
      <w:r w:rsidRPr="001374DC">
        <w:rPr>
          <w:rFonts w:ascii="Times New Roman" w:hAnsi="Times New Roman" w:cs="Times New Roman"/>
          <w:kern w:val="24"/>
          <w:sz w:val="20"/>
          <w:szCs w:val="20"/>
          <w:lang w:val="en-GB"/>
        </w:rPr>
        <w:t>, 1994, Ouvrage cite, p. 14.</w:t>
      </w:r>
    </w:p>
  </w:footnote>
  <w:footnote w:id="64">
    <w:p w14:paraId="2EE44783"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eastAsia="fr-FR"/>
        </w:rPr>
        <w:t xml:space="preserve"> Usmani</w:t>
      </w:r>
      <w:r w:rsidRPr="001374DC">
        <w:rPr>
          <w:rFonts w:ascii="Times New Roman" w:hAnsi="Times New Roman" w:cs="Times New Roman"/>
          <w:kern w:val="24"/>
          <w:sz w:val="20"/>
          <w:szCs w:val="20"/>
          <w:lang w:val="en-GB" w:eastAsia="fr-FR"/>
        </w:rPr>
        <w:t xml:space="preserve"> Muhammad Taqi, </w:t>
      </w:r>
      <w:r w:rsidRPr="001374DC">
        <w:rPr>
          <w:rFonts w:ascii="Times New Roman" w:hAnsi="Times New Roman" w:cs="Times New Roman"/>
          <w:kern w:val="24"/>
          <w:sz w:val="20"/>
          <w:szCs w:val="20"/>
          <w:lang w:val="en-GB"/>
        </w:rPr>
        <w:t>“</w:t>
      </w:r>
      <w:r w:rsidRPr="001374DC">
        <w:rPr>
          <w:rFonts w:ascii="Times New Roman" w:hAnsi="Times New Roman" w:cs="Times New Roman"/>
          <w:kern w:val="24"/>
          <w:sz w:val="20"/>
          <w:szCs w:val="20"/>
          <w:lang w:val="en-GB" w:eastAsia="fr-FR"/>
        </w:rPr>
        <w:t>An introduction to Islamic finance”, Kluwer Law International, The Hague: The Netherlands, 2002,</w:t>
      </w:r>
      <w:r w:rsidRPr="001374DC">
        <w:rPr>
          <w:rFonts w:ascii="Times New Roman" w:hAnsi="Times New Roman" w:cs="Times New Roman"/>
          <w:kern w:val="24"/>
          <w:sz w:val="20"/>
          <w:szCs w:val="20"/>
          <w:lang w:val="en-US" w:eastAsia="fr-FR"/>
        </w:rPr>
        <w:t xml:space="preserve"> p. 11.</w:t>
      </w:r>
    </w:p>
  </w:footnote>
  <w:footnote w:id="65">
    <w:p w14:paraId="06983952"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Chong</w:t>
      </w:r>
      <w:r w:rsidRPr="001374DC">
        <w:rPr>
          <w:rFonts w:ascii="Times New Roman" w:hAnsi="Times New Roman" w:cs="Times New Roman"/>
          <w:kern w:val="24"/>
          <w:sz w:val="20"/>
          <w:szCs w:val="20"/>
          <w:lang w:val="en-GB"/>
        </w:rPr>
        <w:t xml:space="preserve"> Beng Soon et </w:t>
      </w:r>
      <w:r w:rsidRPr="001374DC">
        <w:rPr>
          <w:rFonts w:ascii="Times New Roman" w:hAnsi="Times New Roman" w:cs="Times New Roman"/>
          <w:smallCaps/>
          <w:kern w:val="24"/>
          <w:sz w:val="20"/>
          <w:szCs w:val="20"/>
          <w:lang w:val="en-GB"/>
        </w:rPr>
        <w:t>Liu</w:t>
      </w:r>
      <w:r w:rsidRPr="001374DC">
        <w:rPr>
          <w:rFonts w:ascii="Times New Roman" w:hAnsi="Times New Roman" w:cs="Times New Roman"/>
          <w:kern w:val="24"/>
          <w:sz w:val="20"/>
          <w:szCs w:val="20"/>
          <w:lang w:val="en-GB"/>
        </w:rPr>
        <w:t xml:space="preserve"> </w:t>
      </w:r>
      <w:r w:rsidRPr="001374DC">
        <w:rPr>
          <w:rFonts w:ascii="Times New Roman" w:hAnsi="Times New Roman" w:cs="Times New Roman"/>
          <w:kern w:val="24"/>
          <w:sz w:val="20"/>
          <w:szCs w:val="20"/>
          <w:lang w:val="en-US"/>
        </w:rPr>
        <w:t xml:space="preserve">Ming-hua, “Islamic banking: interest free or interest based?”, </w:t>
      </w:r>
      <w:r w:rsidRPr="001374DC">
        <w:rPr>
          <w:rFonts w:ascii="Times New Roman" w:hAnsi="Times New Roman" w:cs="Times New Roman"/>
          <w:kern w:val="24"/>
          <w:sz w:val="20"/>
          <w:szCs w:val="20"/>
          <w:lang w:val="en-US" w:eastAsia="fr-FR"/>
        </w:rPr>
        <w:t>SSRN Electronic Journal, 17 (1)</w:t>
      </w:r>
      <w:r w:rsidRPr="001374DC">
        <w:rPr>
          <w:rFonts w:ascii="Times New Roman" w:hAnsi="Times New Roman" w:cs="Times New Roman"/>
          <w:kern w:val="24"/>
          <w:sz w:val="20"/>
          <w:szCs w:val="20"/>
          <w:lang w:val="en-US"/>
        </w:rPr>
        <w:t>, 2006</w:t>
      </w:r>
      <w:r w:rsidRPr="001374DC">
        <w:rPr>
          <w:rFonts w:ascii="Times New Roman" w:hAnsi="Times New Roman" w:cs="Times New Roman"/>
          <w:kern w:val="24"/>
          <w:sz w:val="20"/>
          <w:szCs w:val="20"/>
          <w:lang w:val="en-GB"/>
        </w:rPr>
        <w:t>, p. 04.</w:t>
      </w:r>
    </w:p>
  </w:footnote>
  <w:footnote w:id="66">
    <w:p w14:paraId="18DBB244"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Jouini</w:t>
      </w:r>
      <w:r w:rsidRPr="001374DC">
        <w:rPr>
          <w:rFonts w:ascii="Times New Roman" w:hAnsi="Times New Roman" w:cs="Times New Roman"/>
          <w:kern w:val="24"/>
          <w:sz w:val="20"/>
          <w:szCs w:val="20"/>
        </w:rPr>
        <w:t xml:space="preserve"> Elyes et </w:t>
      </w:r>
      <w:r w:rsidRPr="001374DC">
        <w:rPr>
          <w:rFonts w:ascii="Times New Roman" w:hAnsi="Times New Roman" w:cs="Times New Roman"/>
          <w:smallCaps/>
          <w:kern w:val="24"/>
          <w:sz w:val="20"/>
          <w:szCs w:val="20"/>
        </w:rPr>
        <w:t>Pastré</w:t>
      </w:r>
      <w:r w:rsidRPr="001374DC">
        <w:rPr>
          <w:rFonts w:ascii="Times New Roman" w:hAnsi="Times New Roman" w:cs="Times New Roman"/>
          <w:kern w:val="24"/>
          <w:sz w:val="20"/>
          <w:szCs w:val="20"/>
        </w:rPr>
        <w:t xml:space="preserve"> D, « Enjeux et opportunités du développement de la finance islamique pour la place de Paris », </w:t>
      </w:r>
      <w:r w:rsidRPr="001374DC">
        <w:rPr>
          <w:rFonts w:ascii="Times New Roman" w:hAnsi="Times New Roman" w:cs="Times New Roman"/>
          <w:kern w:val="24"/>
          <w:sz w:val="20"/>
          <w:szCs w:val="20"/>
          <w:lang w:eastAsia="fr-FR"/>
        </w:rPr>
        <w:t>Europlace, Paris, 2008, p. 31.</w:t>
      </w:r>
    </w:p>
  </w:footnote>
  <w:footnote w:id="67">
    <w:p w14:paraId="3F52AC60" w14:textId="7AECC5E3"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Mills</w:t>
      </w:r>
      <w:r w:rsidRPr="001374DC">
        <w:rPr>
          <w:rFonts w:ascii="Times New Roman" w:hAnsi="Times New Roman" w:cs="Times New Roman"/>
          <w:kern w:val="24"/>
          <w:lang w:val="en-GB"/>
        </w:rPr>
        <w:t xml:space="preserve"> Paul. S and </w:t>
      </w:r>
      <w:r w:rsidRPr="001374DC">
        <w:rPr>
          <w:rFonts w:ascii="Times New Roman" w:hAnsi="Times New Roman" w:cs="Times New Roman"/>
          <w:smallCaps/>
          <w:kern w:val="24"/>
          <w:lang w:val="en-GB"/>
        </w:rPr>
        <w:t>Presley</w:t>
      </w:r>
      <w:r w:rsidRPr="001374DC">
        <w:rPr>
          <w:rFonts w:ascii="Times New Roman" w:hAnsi="Times New Roman" w:cs="Times New Roman"/>
          <w:kern w:val="24"/>
          <w:lang w:val="en-GB"/>
        </w:rPr>
        <w:t xml:space="preserve"> John. R, </w:t>
      </w:r>
      <w:r w:rsidRPr="001374DC">
        <w:rPr>
          <w:rFonts w:ascii="Times New Roman" w:hAnsi="Times New Roman" w:cs="Times New Roman"/>
          <w:kern w:val="24"/>
          <w:lang w:val="en-US"/>
        </w:rPr>
        <w:t>“Islam</w:t>
      </w:r>
      <w:r w:rsidRPr="001374DC">
        <w:rPr>
          <w:rFonts w:ascii="Times New Roman" w:hAnsi="Times New Roman" w:cs="Times New Roman"/>
          <w:kern w:val="24"/>
          <w:lang w:val="en-GB"/>
        </w:rPr>
        <w:t xml:space="preserve">ic Finance, Theory and Practice”, Ed. </w:t>
      </w:r>
      <w:r w:rsidRPr="001374DC">
        <w:rPr>
          <w:rFonts w:ascii="Times New Roman" w:hAnsi="Times New Roman" w:cs="Times New Roman"/>
          <w:kern w:val="24"/>
        </w:rPr>
        <w:t>Mac Millan Press, Grande Bretagne, 1999,</w:t>
      </w:r>
      <w:r w:rsidRPr="001374DC">
        <w:rPr>
          <w:rFonts w:ascii="Times New Roman" w:hAnsi="Times New Roman" w:cs="Times New Roman"/>
          <w:kern w:val="24"/>
          <w:sz w:val="24"/>
          <w:szCs w:val="24"/>
        </w:rPr>
        <w:t xml:space="preserve"> </w:t>
      </w:r>
      <w:r w:rsidRPr="001374DC">
        <w:rPr>
          <w:rFonts w:ascii="Times New Roman" w:hAnsi="Times New Roman" w:cs="Times New Roman"/>
          <w:kern w:val="24"/>
        </w:rPr>
        <w:t>p. 78.</w:t>
      </w:r>
    </w:p>
  </w:footnote>
  <w:footnote w:id="68">
    <w:p w14:paraId="61ABB843"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Al-jarhi</w:t>
      </w:r>
      <w:r w:rsidRPr="001374DC">
        <w:rPr>
          <w:rFonts w:ascii="Times New Roman" w:hAnsi="Times New Roman" w:cs="Times New Roman"/>
          <w:kern w:val="24"/>
        </w:rPr>
        <w:t xml:space="preserve"> Mabid Ali et Iqbal Munawar, « Banques islamique : réponses à des questions fréquemment posées », Document Périodique n°4, Institut Islamique de Recherches et de Formation, BID, Jeddah, 2002,</w:t>
      </w:r>
      <w:r w:rsidRPr="001374DC">
        <w:rPr>
          <w:rFonts w:ascii="Times New Roman" w:hAnsi="Times New Roman" w:cs="Times New Roman"/>
          <w:kern w:val="24"/>
          <w:sz w:val="24"/>
          <w:szCs w:val="24"/>
        </w:rPr>
        <w:t xml:space="preserve"> </w:t>
      </w:r>
      <w:r w:rsidRPr="001374DC">
        <w:rPr>
          <w:rFonts w:ascii="Times New Roman" w:hAnsi="Times New Roman" w:cs="Times New Roman"/>
          <w:kern w:val="24"/>
        </w:rPr>
        <w:t>pp. 32-33.</w:t>
      </w:r>
    </w:p>
  </w:footnote>
  <w:footnote w:id="69">
    <w:p w14:paraId="13C8D6EE" w14:textId="7FC6D121" w:rsidR="009C2D83" w:rsidRPr="001374DC" w:rsidRDefault="009C2D83" w:rsidP="001374DC">
      <w:pPr>
        <w:suppressAutoHyphens/>
        <w:spacing w:line="240" w:lineRule="auto"/>
        <w:rPr>
          <w:rFonts w:ascii="Times New Roman" w:hAnsi="Times New Roman" w:cs="Times New Roman"/>
          <w:b/>
          <w:kern w:val="24"/>
          <w:sz w:val="20"/>
          <w:szCs w:val="20"/>
        </w:rPr>
      </w:pPr>
      <w:r w:rsidRPr="001374DC">
        <w:rPr>
          <w:rStyle w:val="Appelnotedebasdep"/>
          <w:rFonts w:ascii="Times New Roman" w:hAnsi="Times New Roman"/>
          <w:kern w:val="24"/>
        </w:rPr>
        <w:footnoteRef/>
      </w:r>
      <w:r w:rsidRPr="001374DC">
        <w:rPr>
          <w:rFonts w:ascii="Times New Roman" w:hAnsi="Times New Roman" w:cs="Times New Roman"/>
          <w:smallCaps/>
          <w:kern w:val="24"/>
          <w:sz w:val="20"/>
          <w:szCs w:val="20"/>
        </w:rPr>
        <w:t>Trari-Medjaoui</w:t>
      </w:r>
      <w:r w:rsidRPr="001374DC">
        <w:rPr>
          <w:rFonts w:ascii="Times New Roman" w:hAnsi="Times New Roman" w:cs="Times New Roman"/>
          <w:kern w:val="24"/>
          <w:sz w:val="20"/>
          <w:szCs w:val="20"/>
        </w:rPr>
        <w:t xml:space="preserve"> Hocine, « Des limites de la finance conventionnelle à l’émergence de la finance alternative », Thèse de Doctorat en sciences économiques, Université d’Oran, 2012, pp. 182- 183.</w:t>
      </w:r>
    </w:p>
  </w:footnote>
  <w:footnote w:id="70">
    <w:p w14:paraId="1AEA343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183.</w:t>
      </w:r>
    </w:p>
  </w:footnote>
  <w:footnote w:id="71">
    <w:p w14:paraId="25E1EDF6"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Majidi</w:t>
      </w:r>
      <w:r w:rsidRPr="001374DC">
        <w:rPr>
          <w:rFonts w:ascii="Times New Roman" w:hAnsi="Times New Roman" w:cs="Times New Roman"/>
          <w:kern w:val="24"/>
        </w:rPr>
        <w:t>, 2016, référence citée, p. 41.</w:t>
      </w:r>
    </w:p>
  </w:footnote>
  <w:footnote w:id="72">
    <w:p w14:paraId="6772B0E2"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Gafouri</w:t>
      </w:r>
      <w:r w:rsidRPr="001374DC">
        <w:rPr>
          <w:rFonts w:ascii="Times New Roman" w:hAnsi="Times New Roman" w:cs="Times New Roman"/>
          <w:kern w:val="24"/>
          <w:sz w:val="20"/>
          <w:szCs w:val="20"/>
        </w:rPr>
        <w:t xml:space="preserve"> Abdul Hâdi, « Islam et économie : Réflexion sur les principes fondamentaux de l’économie islamique », Edition Al Bouraq, Bayrouth-Liban, 2000, p. 37.</w:t>
      </w:r>
    </w:p>
  </w:footnote>
  <w:footnote w:id="73">
    <w:p w14:paraId="35F8C8FC"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42.</w:t>
      </w:r>
    </w:p>
  </w:footnote>
  <w:footnote w:id="74">
    <w:p w14:paraId="24434131"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w:t>
      </w:r>
      <w:r w:rsidRPr="001374DC">
        <w:rPr>
          <w:rFonts w:ascii="Times New Roman" w:hAnsi="Times New Roman" w:cs="Times New Roman"/>
          <w:smallCaps/>
          <w:spacing w:val="-6"/>
          <w:kern w:val="24"/>
          <w:sz w:val="20"/>
          <w:szCs w:val="20"/>
        </w:rPr>
        <w:t>Dhafer</w:t>
      </w:r>
      <w:r w:rsidRPr="001374DC">
        <w:rPr>
          <w:rFonts w:ascii="Times New Roman" w:hAnsi="Times New Roman" w:cs="Times New Roman"/>
          <w:spacing w:val="-6"/>
          <w:kern w:val="24"/>
          <w:sz w:val="20"/>
          <w:szCs w:val="20"/>
        </w:rPr>
        <w:t xml:space="preserve"> Saidane, « La finance islamique à l’heure de la mondialisation », Revue Banque Edition, France, 2009, p. 18.</w:t>
      </w:r>
    </w:p>
  </w:footnote>
  <w:footnote w:id="75">
    <w:p w14:paraId="4328BFE1" w14:textId="4AAF3509"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eastAsia="fr-FR"/>
        </w:rPr>
        <w:t xml:space="preserve"> Chapra </w:t>
      </w:r>
      <w:r w:rsidRPr="001374DC">
        <w:rPr>
          <w:rFonts w:ascii="Times New Roman" w:hAnsi="Times New Roman" w:cs="Times New Roman"/>
          <w:kern w:val="24"/>
          <w:sz w:val="20"/>
          <w:szCs w:val="20"/>
          <w:lang w:eastAsia="fr-FR"/>
        </w:rPr>
        <w:t>Muhammad Umer</w:t>
      </w:r>
      <w:r w:rsidRPr="001374DC">
        <w:rPr>
          <w:rFonts w:ascii="Times New Roman" w:hAnsi="Times New Roman" w:cs="Times New Roman"/>
          <w:kern w:val="24"/>
          <w:sz w:val="20"/>
          <w:szCs w:val="20"/>
        </w:rPr>
        <w:t xml:space="preserve"> et </w:t>
      </w:r>
      <w:r w:rsidRPr="001374DC">
        <w:rPr>
          <w:rFonts w:ascii="Times New Roman" w:hAnsi="Times New Roman" w:cs="Times New Roman"/>
          <w:smallCaps/>
          <w:kern w:val="24"/>
          <w:sz w:val="20"/>
          <w:szCs w:val="20"/>
        </w:rPr>
        <w:t>Khan</w:t>
      </w:r>
      <w:r w:rsidRPr="001374DC">
        <w:rPr>
          <w:rFonts w:ascii="Times New Roman" w:hAnsi="Times New Roman" w:cs="Times New Roman"/>
          <w:kern w:val="24"/>
          <w:sz w:val="20"/>
          <w:szCs w:val="20"/>
        </w:rPr>
        <w:t xml:space="preserve"> Tariqullah, « Réglementation et contrôle des banques islamique</w:t>
      </w:r>
      <w:r>
        <w:rPr>
          <w:rFonts w:ascii="Times New Roman" w:hAnsi="Times New Roman" w:cs="Times New Roman"/>
          <w:kern w:val="24"/>
          <w:sz w:val="20"/>
          <w:szCs w:val="20"/>
        </w:rPr>
        <w:t>s</w:t>
      </w:r>
      <w:r w:rsidRPr="001374DC">
        <w:rPr>
          <w:rFonts w:ascii="Times New Roman" w:hAnsi="Times New Roman" w:cs="Times New Roman"/>
          <w:kern w:val="24"/>
          <w:sz w:val="20"/>
          <w:szCs w:val="20"/>
        </w:rPr>
        <w:t> », Cahier de recherche N° 3, BID, IIRF, 2001, p. 18.</w:t>
      </w:r>
    </w:p>
  </w:footnote>
  <w:footnote w:id="76">
    <w:p w14:paraId="0D55F4BB"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eastAsia="fr-FR"/>
        </w:rPr>
        <w:t xml:space="preserve"> Visser</w:t>
      </w:r>
      <w:r w:rsidRPr="001374DC">
        <w:rPr>
          <w:rFonts w:ascii="Times New Roman" w:hAnsi="Times New Roman" w:cs="Times New Roman"/>
          <w:kern w:val="24"/>
          <w:sz w:val="20"/>
          <w:szCs w:val="20"/>
          <w:lang w:val="en-US" w:eastAsia="fr-FR"/>
        </w:rPr>
        <w:t xml:space="preserve"> Hans, “Islamic finance: Principles and practice”, Edward Elgar Publishing Limited, 2009, </w:t>
      </w:r>
      <w:r w:rsidRPr="001374DC">
        <w:rPr>
          <w:rFonts w:ascii="Times New Roman" w:hAnsi="Times New Roman" w:cs="Times New Roman"/>
          <w:kern w:val="24"/>
          <w:sz w:val="20"/>
          <w:szCs w:val="20"/>
          <w:lang w:val="en-GB"/>
        </w:rPr>
        <w:t>p. 22.</w:t>
      </w:r>
    </w:p>
  </w:footnote>
  <w:footnote w:id="77">
    <w:p w14:paraId="359A632E"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Dhafer</w:t>
      </w:r>
      <w:r w:rsidRPr="001374DC">
        <w:rPr>
          <w:rFonts w:ascii="Times New Roman" w:hAnsi="Times New Roman" w:cs="Times New Roman"/>
          <w:kern w:val="24"/>
        </w:rPr>
        <w:t>, 2009, ouvrage cité, p. 22.</w:t>
      </w:r>
    </w:p>
  </w:footnote>
  <w:footnote w:id="78">
    <w:p w14:paraId="4C8342E5"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Jouini</w:t>
      </w:r>
      <w:r w:rsidRPr="001374DC">
        <w:rPr>
          <w:rFonts w:ascii="Times New Roman" w:hAnsi="Times New Roman" w:cs="Times New Roman"/>
          <w:kern w:val="24"/>
        </w:rPr>
        <w:t xml:space="preserve"> et </w:t>
      </w:r>
      <w:r w:rsidRPr="001374DC">
        <w:rPr>
          <w:rFonts w:ascii="Times New Roman" w:hAnsi="Times New Roman" w:cs="Times New Roman"/>
          <w:smallCaps/>
          <w:kern w:val="24"/>
        </w:rPr>
        <w:t>Pastré</w:t>
      </w:r>
      <w:r w:rsidRPr="001374DC">
        <w:rPr>
          <w:rFonts w:ascii="Times New Roman" w:hAnsi="Times New Roman" w:cs="Times New Roman"/>
          <w:kern w:val="24"/>
        </w:rPr>
        <w:t>, 2008, référence citée, p. 43.</w:t>
      </w:r>
    </w:p>
  </w:footnote>
  <w:footnote w:id="79">
    <w:p w14:paraId="62AA3669" w14:textId="77777777" w:rsidR="009C2D83" w:rsidRPr="00A71500" w:rsidRDefault="009C2D83" w:rsidP="001374DC">
      <w:pPr>
        <w:pStyle w:val="Titre1"/>
        <w:shd w:val="clear" w:color="auto" w:fill="FFFFFF"/>
        <w:spacing w:before="0" w:beforeAutospacing="0" w:after="0" w:afterAutospacing="0"/>
        <w:rPr>
          <w:b w:val="0"/>
          <w:bCs w:val="0"/>
          <w:kern w:val="24"/>
          <w:sz w:val="20"/>
          <w:szCs w:val="20"/>
        </w:rPr>
      </w:pPr>
      <w:r w:rsidRPr="00A71500">
        <w:rPr>
          <w:rStyle w:val="Appelnotedebasdep"/>
          <w:b w:val="0"/>
          <w:bCs w:val="0"/>
          <w:kern w:val="24"/>
          <w:sz w:val="20"/>
          <w:szCs w:val="20"/>
        </w:rPr>
        <w:footnoteRef/>
      </w:r>
      <w:r w:rsidRPr="00A71500">
        <w:rPr>
          <w:b w:val="0"/>
          <w:bCs w:val="0"/>
          <w:kern w:val="24"/>
          <w:sz w:val="20"/>
          <w:szCs w:val="20"/>
        </w:rPr>
        <w:t xml:space="preserve"> </w:t>
      </w:r>
      <w:r w:rsidRPr="00A71500">
        <w:rPr>
          <w:b w:val="0"/>
          <w:bCs w:val="0"/>
          <w:smallCaps/>
          <w:kern w:val="24"/>
          <w:sz w:val="20"/>
          <w:szCs w:val="20"/>
        </w:rPr>
        <w:t>Bouajina</w:t>
      </w:r>
      <w:r w:rsidRPr="00A71500">
        <w:rPr>
          <w:b w:val="0"/>
          <w:bCs w:val="0"/>
          <w:kern w:val="24"/>
          <w:sz w:val="20"/>
          <w:szCs w:val="20"/>
        </w:rPr>
        <w:t xml:space="preserve"> Ashraf et </w:t>
      </w:r>
      <w:r w:rsidRPr="00A71500">
        <w:rPr>
          <w:b w:val="0"/>
          <w:bCs w:val="0"/>
          <w:smallCaps/>
          <w:kern w:val="24"/>
          <w:sz w:val="20"/>
          <w:szCs w:val="20"/>
        </w:rPr>
        <w:t>Ahmad</w:t>
      </w:r>
      <w:r w:rsidRPr="00A71500">
        <w:rPr>
          <w:b w:val="0"/>
          <w:bCs w:val="0"/>
          <w:kern w:val="24"/>
          <w:sz w:val="20"/>
          <w:szCs w:val="20"/>
        </w:rPr>
        <w:t xml:space="preserve"> Sara, « Un nouvel outil pour exploiter l’essor de la finance islamique en faveur du développement des infrastructures », 19 février 2020, BANQUEMONDIALE.ORG dans :</w:t>
      </w:r>
    </w:p>
    <w:p w14:paraId="36F65793" w14:textId="77777777" w:rsidR="009C2D83" w:rsidRPr="00A71500" w:rsidRDefault="00C40DAA" w:rsidP="001374DC">
      <w:pPr>
        <w:pStyle w:val="Notedebasdepage"/>
        <w:suppressAutoHyphens/>
        <w:rPr>
          <w:rFonts w:ascii="Times New Roman" w:hAnsi="Times New Roman" w:cs="Times New Roman"/>
          <w:spacing w:val="-2"/>
          <w:kern w:val="24"/>
        </w:rPr>
      </w:pPr>
      <w:hyperlink r:id="rId3" w:history="1">
        <w:r w:rsidR="009C2D83" w:rsidRPr="00A71500">
          <w:rPr>
            <w:rStyle w:val="Lienhypertexte"/>
            <w:rFonts w:ascii="Times New Roman" w:hAnsi="Times New Roman" w:cs="Times New Roman"/>
            <w:spacing w:val="-2"/>
            <w:kern w:val="24"/>
          </w:rPr>
          <w:t>https://blogs.worldbank.org/fr/voices/finance-islamique-developpement-des-infrastructures</w:t>
        </w:r>
      </w:hyperlink>
      <w:r w:rsidR="009C2D83" w:rsidRPr="00A71500">
        <w:rPr>
          <w:rFonts w:ascii="Times New Roman" w:hAnsi="Times New Roman" w:cs="Times New Roman"/>
          <w:spacing w:val="-2"/>
          <w:kern w:val="24"/>
        </w:rPr>
        <w:t>, consulté le 02/12/2020.</w:t>
      </w:r>
    </w:p>
  </w:footnote>
  <w:footnote w:id="80">
    <w:p w14:paraId="238A7ECA" w14:textId="3F0D1C83" w:rsidR="009C2D83" w:rsidRPr="001374DC" w:rsidRDefault="009C2D83" w:rsidP="001374DC">
      <w:pPr>
        <w:pStyle w:val="Notedebasdepage"/>
        <w:rPr>
          <w:rFonts w:ascii="Times New Roman" w:hAnsi="Times New Roman" w:cs="Times New Roman"/>
          <w:kern w:val="24"/>
        </w:rPr>
      </w:pPr>
      <w:r w:rsidRPr="00A71500">
        <w:rPr>
          <w:rStyle w:val="Appelnotedebasdep"/>
          <w:rFonts w:ascii="Times New Roman" w:hAnsi="Times New Roman"/>
          <w:kern w:val="24"/>
        </w:rPr>
        <w:footnoteRef/>
      </w:r>
      <w:r w:rsidRPr="00A71500">
        <w:rPr>
          <w:rFonts w:ascii="Times New Roman" w:hAnsi="Times New Roman" w:cs="Times New Roman"/>
          <w:kern w:val="24"/>
        </w:rPr>
        <w:t xml:space="preserve"> A l’échelle mondiale, les adhérents à l’Islam sont environ 2.05milliards en 2020, contre 1.54 milliard en 2010 : </w:t>
      </w:r>
      <w:hyperlink r:id="rId4" w:history="1">
        <w:r w:rsidRPr="00A71500">
          <w:rPr>
            <w:rStyle w:val="Lienhypertexte"/>
            <w:rFonts w:ascii="Times New Roman" w:hAnsi="Times New Roman" w:cs="Times New Roman"/>
            <w:kern w:val="24"/>
          </w:rPr>
          <w:t>https://atlasocio.com/classements/religions/islam/classement-etats-par-adherents-islam-nombre-monde.php</w:t>
        </w:r>
      </w:hyperlink>
      <w:r w:rsidRPr="00A71500">
        <w:rPr>
          <w:rFonts w:ascii="Times New Roman" w:hAnsi="Times New Roman" w:cs="Times New Roman"/>
          <w:kern w:val="24"/>
        </w:rPr>
        <w:t>, consulté 25/05/2021.</w:t>
      </w:r>
    </w:p>
  </w:footnote>
  <w:footnote w:id="81">
    <w:p w14:paraId="132EE3CD" w14:textId="17B2E652" w:rsidR="009C2D83" w:rsidRPr="001374DC" w:rsidRDefault="009C2D83" w:rsidP="001374DC">
      <w:pPr>
        <w:pStyle w:val="Notedebasdepage"/>
        <w:rPr>
          <w:rFonts w:ascii="Times New Roman" w:hAnsi="Times New Roman" w:cs="Times New Roman"/>
          <w:spacing w:val="-6"/>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Cité dans : </w:t>
      </w:r>
      <w:hyperlink r:id="rId5" w:history="1">
        <w:r w:rsidRPr="001374DC">
          <w:rPr>
            <w:rStyle w:val="Lienhypertexte"/>
            <w:rFonts w:ascii="Times New Roman" w:hAnsi="Times New Roman" w:cs="Times New Roman"/>
            <w:kern w:val="24"/>
          </w:rPr>
          <w:t>https://www.lafinancepourtous.com/decryptages/finance-et-societe/nouvelles-economies/finance-islamique/la-finance-islamique-dans-le-monde/</w:t>
        </w:r>
      </w:hyperlink>
      <w:r w:rsidRPr="001374DC">
        <w:rPr>
          <w:rFonts w:ascii="Times New Roman" w:hAnsi="Times New Roman" w:cs="Times New Roman"/>
          <w:kern w:val="24"/>
        </w:rPr>
        <w:t>, consulté le 12/01/2022.</w:t>
      </w:r>
    </w:p>
  </w:footnote>
  <w:footnote w:id="82">
    <w:p w14:paraId="08E5EFD7" w14:textId="098E6FC0" w:rsidR="009C2D83" w:rsidRPr="001374DC" w:rsidRDefault="009C2D83" w:rsidP="001374DC">
      <w:pPr>
        <w:pStyle w:val="Notedebasdepage"/>
        <w:rPr>
          <w:rFonts w:ascii="Times New Roman" w:hAnsi="Times New Roman" w:cs="Times New Roman"/>
          <w:spacing w:val="-4"/>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pacing w:val="-4"/>
          <w:kern w:val="24"/>
        </w:rPr>
        <w:t xml:space="preserve">Cité dans : </w:t>
      </w:r>
      <w:hyperlink r:id="rId6" w:history="1">
        <w:r w:rsidRPr="001374DC">
          <w:rPr>
            <w:rStyle w:val="Lienhypertexte"/>
            <w:rFonts w:ascii="Times New Roman" w:hAnsi="Times New Roman" w:cs="Times New Roman"/>
            <w:spacing w:val="-4"/>
            <w:kern w:val="24"/>
          </w:rPr>
          <w:t>https://ribh.wordpress.com/2007/09/01/la-malaisie-ambitionne-de-devenir-le-hub-mondial-en-matiere-de-finance-islamique/</w:t>
        </w:r>
      </w:hyperlink>
      <w:r w:rsidRPr="001374DC">
        <w:rPr>
          <w:rFonts w:ascii="Times New Roman" w:hAnsi="Times New Roman" w:cs="Times New Roman"/>
          <w:spacing w:val="-4"/>
          <w:kern w:val="24"/>
        </w:rPr>
        <w:t xml:space="preserve"> , consulté le 14/11/2020.</w:t>
      </w:r>
    </w:p>
  </w:footnote>
  <w:footnote w:id="83">
    <w:p w14:paraId="782EBFB4"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bookmarkStart w:id="246" w:name="_Hlk530917436"/>
      <w:r w:rsidRPr="001374DC">
        <w:rPr>
          <w:rFonts w:ascii="Times New Roman" w:hAnsi="Times New Roman" w:cs="Times New Roman"/>
          <w:smallCaps/>
          <w:kern w:val="24"/>
          <w:sz w:val="20"/>
          <w:szCs w:val="20"/>
          <w:lang w:val="en-US"/>
        </w:rPr>
        <w:t xml:space="preserve"> Ahmad</w:t>
      </w:r>
      <w:r w:rsidRPr="001374DC">
        <w:rPr>
          <w:rFonts w:ascii="Times New Roman" w:hAnsi="Times New Roman" w:cs="Times New Roman"/>
          <w:kern w:val="24"/>
          <w:sz w:val="20"/>
          <w:szCs w:val="20"/>
          <w:lang w:val="en-US"/>
        </w:rPr>
        <w:t xml:space="preserve"> Wassim, “Islamic banking in the United Kingdom: opportunities and challenges”, </w:t>
      </w:r>
      <w:r w:rsidRPr="001374DC">
        <w:rPr>
          <w:rFonts w:ascii="Times New Roman" w:hAnsi="Times New Roman" w:cs="Times New Roman"/>
          <w:kern w:val="24"/>
          <w:sz w:val="20"/>
          <w:szCs w:val="20"/>
          <w:lang w:val="en-GB"/>
        </w:rPr>
        <w:t>Kingston Business School, London, 2008,</w:t>
      </w:r>
      <w:bookmarkEnd w:id="246"/>
      <w:r w:rsidRPr="001374DC">
        <w:rPr>
          <w:rFonts w:ascii="Times New Roman" w:hAnsi="Times New Roman" w:cs="Times New Roman"/>
          <w:kern w:val="24"/>
          <w:sz w:val="20"/>
          <w:szCs w:val="20"/>
          <w:lang w:val="en-GB"/>
        </w:rPr>
        <w:t xml:space="preserve"> p. 27.</w:t>
      </w:r>
    </w:p>
  </w:footnote>
  <w:footnote w:id="84">
    <w:p w14:paraId="347D49DD" w14:textId="4B4E9E94"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Cité dans : </w:t>
      </w:r>
      <w:hyperlink r:id="rId7" w:history="1">
        <w:r w:rsidRPr="001374DC">
          <w:rPr>
            <w:rStyle w:val="Lienhypertexte"/>
            <w:rFonts w:ascii="Times New Roman" w:hAnsi="Times New Roman" w:cs="Times New Roman"/>
            <w:kern w:val="24"/>
          </w:rPr>
          <w:t>https://paperjam.lu/article/boom-qui-a-fait-pshit</w:t>
        </w:r>
      </w:hyperlink>
      <w:r w:rsidRPr="001374DC">
        <w:rPr>
          <w:rFonts w:ascii="Times New Roman" w:hAnsi="Times New Roman" w:cs="Times New Roman"/>
          <w:kern w:val="24"/>
        </w:rPr>
        <w:t xml:space="preserve"> , consulté le 18/04/2022.</w:t>
      </w:r>
    </w:p>
  </w:footnote>
  <w:footnote w:id="85">
    <w:p w14:paraId="4587654C"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w:t>
      </w:r>
    </w:p>
  </w:footnote>
  <w:footnote w:id="86">
    <w:p w14:paraId="7645EF6B"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w:t>
      </w:r>
    </w:p>
  </w:footnote>
  <w:footnote w:id="87">
    <w:p w14:paraId="73FEE1C4" w14:textId="097F18A0"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Ould Moulaye </w:t>
      </w:r>
      <w:r w:rsidRPr="001374DC">
        <w:rPr>
          <w:rFonts w:ascii="Times New Roman" w:hAnsi="Times New Roman" w:cs="Times New Roman"/>
          <w:kern w:val="24"/>
          <w:sz w:val="20"/>
          <w:szCs w:val="20"/>
        </w:rPr>
        <w:t>Ismail, « A la découverte du client de la finance islamique : la situation française », Cahier de recherche, Institut de Gestion de Rennes, 2009, p. 14.</w:t>
      </w:r>
    </w:p>
  </w:footnote>
  <w:footnote w:id="88">
    <w:p w14:paraId="09DD8F3A" w14:textId="22C1256C" w:rsidR="009C2D83" w:rsidRPr="001374DC" w:rsidRDefault="009C2D83" w:rsidP="001374DC">
      <w:pPr>
        <w:spacing w:line="240" w:lineRule="auto"/>
        <w:rPr>
          <w:rFonts w:ascii="Times New Roman" w:hAnsi="Times New Roman" w:cs="Times New Roman"/>
          <w:kern w:val="24"/>
          <w:sz w:val="20"/>
          <w:szCs w:val="20"/>
          <w:shd w:val="clear" w:color="auto" w:fill="FFFFFF"/>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rPr>
        <w:t xml:space="preserve"> Union des banques arabes et françaises : </w:t>
      </w:r>
      <w:hyperlink r:id="rId8" w:history="1">
        <w:r w:rsidRPr="001374DC">
          <w:rPr>
            <w:rStyle w:val="Lienhypertexte"/>
            <w:rFonts w:ascii="Times New Roman" w:hAnsi="Times New Roman" w:cs="Times New Roman"/>
            <w:kern w:val="24"/>
            <w:sz w:val="20"/>
            <w:szCs w:val="20"/>
            <w:shd w:val="clear" w:color="auto" w:fill="FFFFFF"/>
          </w:rPr>
          <w:t>https://www.ubaf.fr/fr/nos-solutions/financement-et-finance-islamique/finance-islamique</w:t>
        </w:r>
      </w:hyperlink>
    </w:p>
  </w:footnote>
  <w:footnote w:id="89">
    <w:p w14:paraId="70BC6572" w14:textId="709F309B"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hyperlink r:id="rId9" w:history="1">
        <w:r w:rsidRPr="001374DC">
          <w:rPr>
            <w:rStyle w:val="Lienhypertexte"/>
            <w:rFonts w:ascii="Times New Roman" w:hAnsi="Times New Roman" w:cs="Times New Roman"/>
            <w:kern w:val="24"/>
          </w:rPr>
          <w:t>https://www.chaabibank.fr/produit/la-mourabaha/?o=2410</w:t>
        </w:r>
      </w:hyperlink>
      <w:r w:rsidRPr="001374DC">
        <w:rPr>
          <w:rFonts w:ascii="Times New Roman" w:hAnsi="Times New Roman" w:cs="Times New Roman"/>
          <w:kern w:val="24"/>
        </w:rPr>
        <w:t xml:space="preserve"> </w:t>
      </w:r>
    </w:p>
  </w:footnote>
  <w:footnote w:id="90">
    <w:p w14:paraId="245273D2" w14:textId="77777777" w:rsidR="009C2D83" w:rsidRPr="001374DC" w:rsidRDefault="009C2D83" w:rsidP="001374DC">
      <w:pPr>
        <w:spacing w:line="240" w:lineRule="auto"/>
        <w:rPr>
          <w:rFonts w:ascii="Times New Roman" w:hAnsi="Times New Roman" w:cs="Times New Roman"/>
          <w:color w:val="222222"/>
          <w:kern w:val="24"/>
          <w:sz w:val="20"/>
          <w:szCs w:val="20"/>
          <w:shd w:val="clear" w:color="auto" w:fill="FFFFFF"/>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rPr>
        <w:t xml:space="preserve"> </w:t>
      </w:r>
      <w:r w:rsidRPr="001374DC">
        <w:rPr>
          <w:rFonts w:ascii="Times New Roman" w:hAnsi="Times New Roman" w:cs="Times New Roman"/>
          <w:color w:val="222222"/>
          <w:kern w:val="24"/>
          <w:sz w:val="20"/>
          <w:szCs w:val="20"/>
          <w:shd w:val="clear" w:color="auto" w:fill="FFFFFF"/>
        </w:rPr>
        <w:t xml:space="preserve">Comité ACERFI (Audit, Conformité Et Recherche en Finance Islamique) : </w:t>
      </w:r>
    </w:p>
    <w:p w14:paraId="1287998F" w14:textId="05F7155C" w:rsidR="009C2D83" w:rsidRPr="001374DC" w:rsidRDefault="00C40DAA" w:rsidP="001374DC">
      <w:pPr>
        <w:spacing w:line="240" w:lineRule="auto"/>
        <w:rPr>
          <w:rFonts w:ascii="Times New Roman" w:hAnsi="Times New Roman" w:cs="Times New Roman"/>
          <w:color w:val="222222"/>
          <w:kern w:val="24"/>
          <w:sz w:val="20"/>
          <w:szCs w:val="20"/>
          <w:shd w:val="clear" w:color="auto" w:fill="FFFFFF"/>
        </w:rPr>
      </w:pPr>
      <w:hyperlink r:id="rId10" w:history="1">
        <w:r w:rsidR="009C2D83" w:rsidRPr="001374DC">
          <w:rPr>
            <w:rStyle w:val="Lienhypertexte"/>
            <w:rFonts w:ascii="Times New Roman" w:hAnsi="Times New Roman" w:cs="Times New Roman"/>
            <w:kern w:val="24"/>
            <w:sz w:val="20"/>
            <w:szCs w:val="20"/>
            <w:shd w:val="clear" w:color="auto" w:fill="FFFFFF"/>
          </w:rPr>
          <w:t>http://acerfi.org/communique-de-presse-acerfi-premier-comite-francophone-de-conformite-en-finance-islamique/</w:t>
        </w:r>
      </w:hyperlink>
      <w:r w:rsidR="009C2D83" w:rsidRPr="001374DC">
        <w:rPr>
          <w:rFonts w:ascii="Times New Roman" w:hAnsi="Times New Roman" w:cs="Times New Roman"/>
          <w:color w:val="222222"/>
          <w:kern w:val="24"/>
          <w:sz w:val="20"/>
          <w:szCs w:val="20"/>
          <w:shd w:val="clear" w:color="auto" w:fill="FFFFFF"/>
        </w:rPr>
        <w:t xml:space="preserve"> </w:t>
      </w:r>
    </w:p>
  </w:footnote>
  <w:footnote w:id="91">
    <w:p w14:paraId="65954ADB" w14:textId="004A2B03" w:rsidR="009C2D83" w:rsidRPr="001374DC" w:rsidRDefault="009C2D83" w:rsidP="001374DC">
      <w:pPr>
        <w:spacing w:line="240" w:lineRule="auto"/>
        <w:rPr>
          <w:rFonts w:ascii="Times New Roman" w:hAnsi="Times New Roman" w:cs="Times New Roman"/>
          <w:kern w:val="24"/>
          <w:sz w:val="20"/>
          <w:szCs w:val="20"/>
          <w:shd w:val="clear" w:color="auto" w:fill="FFFFFF"/>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rPr>
        <w:t xml:space="preserve"> </w:t>
      </w:r>
      <w:hyperlink r:id="rId11" w:history="1">
        <w:r w:rsidRPr="001374DC">
          <w:rPr>
            <w:rStyle w:val="Lienhypertexte"/>
            <w:rFonts w:ascii="Times New Roman" w:hAnsi="Times New Roman" w:cs="Times New Roman"/>
            <w:kern w:val="24"/>
            <w:sz w:val="20"/>
            <w:szCs w:val="20"/>
            <w:shd w:val="clear" w:color="auto" w:fill="FFFFFF"/>
          </w:rPr>
          <w:t>https://www.570easi.fr/financement-immobilier-murabaha</w:t>
        </w:r>
      </w:hyperlink>
    </w:p>
  </w:footnote>
  <w:footnote w:id="92">
    <w:p w14:paraId="14280CD3" w14:textId="756C6BB4"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hyperlink r:id="rId12" w:history="1">
        <w:r w:rsidRPr="001374DC">
          <w:rPr>
            <w:rStyle w:val="Lienhypertexte"/>
            <w:rFonts w:ascii="Times New Roman" w:hAnsi="Times New Roman" w:cs="Times New Roman"/>
            <w:kern w:val="24"/>
          </w:rPr>
          <w:t>https://www.lafinancepourtous.com/decryptages/finance-et-societe/nouvelles-economies/finance-islamique/la-finance-islamique-dans-le-monde/</w:t>
        </w:r>
      </w:hyperlink>
      <w:r w:rsidRPr="001374DC">
        <w:rPr>
          <w:rFonts w:ascii="Times New Roman" w:hAnsi="Times New Roman" w:cs="Times New Roman"/>
          <w:kern w:val="24"/>
        </w:rPr>
        <w:t>, consulté le 26/12/2021.</w:t>
      </w:r>
    </w:p>
  </w:footnote>
  <w:footnote w:id="93">
    <w:p w14:paraId="5F80AE6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Cité dans : </w:t>
      </w:r>
      <w:hyperlink r:id="rId13" w:history="1">
        <w:r w:rsidRPr="001374DC">
          <w:rPr>
            <w:rStyle w:val="Lienhypertexte"/>
            <w:rFonts w:ascii="Times New Roman" w:hAnsi="Times New Roman" w:cs="Times New Roman"/>
            <w:kern w:val="24"/>
          </w:rPr>
          <w:t>https://ribh.wordpress.com/2017/04/03/24341/</w:t>
        </w:r>
      </w:hyperlink>
      <w:r w:rsidRPr="001374DC">
        <w:rPr>
          <w:rFonts w:ascii="Times New Roman" w:hAnsi="Times New Roman" w:cs="Times New Roman"/>
          <w:kern w:val="24"/>
        </w:rPr>
        <w:t xml:space="preserve"> , consulté le 15/08/2022.</w:t>
      </w:r>
    </w:p>
  </w:footnote>
  <w:footnote w:id="94">
    <w:p w14:paraId="66B07924" w14:textId="77777777" w:rsidR="009C2D83" w:rsidRPr="001374DC" w:rsidRDefault="009C2D83" w:rsidP="001374DC">
      <w:pPr>
        <w:pStyle w:val="Notedebasdepage"/>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w:t>
      </w:r>
      <w:r w:rsidRPr="001374DC">
        <w:rPr>
          <w:rFonts w:ascii="Times New Roman" w:hAnsi="Times New Roman" w:cs="Times New Roman"/>
          <w:smallCaps/>
          <w:kern w:val="24"/>
          <w:lang w:val="en-GB"/>
        </w:rPr>
        <w:t>Catak</w:t>
      </w:r>
      <w:r w:rsidRPr="001374DC">
        <w:rPr>
          <w:rFonts w:ascii="Times New Roman" w:hAnsi="Times New Roman" w:cs="Times New Roman"/>
          <w:kern w:val="24"/>
          <w:lang w:val="en-GB"/>
        </w:rPr>
        <w:t xml:space="preserve"> and </w:t>
      </w:r>
      <w:r w:rsidRPr="001374DC">
        <w:rPr>
          <w:rFonts w:ascii="Times New Roman" w:hAnsi="Times New Roman" w:cs="Times New Roman"/>
          <w:smallCaps/>
          <w:kern w:val="24"/>
          <w:lang w:val="en-GB"/>
        </w:rPr>
        <w:t>Yilmaz Arslan, « D</w:t>
      </w:r>
      <w:r w:rsidRPr="001374DC">
        <w:rPr>
          <w:rFonts w:ascii="Times New Roman" w:hAnsi="Times New Roman" w:cs="Times New Roman"/>
          <w:kern w:val="24"/>
          <w:lang w:val="en-GB"/>
        </w:rPr>
        <w:t>oes</w:t>
      </w:r>
      <w:r w:rsidRPr="001374DC">
        <w:rPr>
          <w:rFonts w:ascii="Times New Roman" w:hAnsi="Times New Roman" w:cs="Times New Roman"/>
          <w:smallCaps/>
          <w:kern w:val="24"/>
          <w:lang w:val="en-GB"/>
        </w:rPr>
        <w:t xml:space="preserve"> </w:t>
      </w:r>
      <w:r w:rsidRPr="001374DC">
        <w:rPr>
          <w:rFonts w:ascii="Times New Roman" w:hAnsi="Times New Roman" w:cs="Times New Roman"/>
          <w:kern w:val="24"/>
          <w:lang w:val="en-GB"/>
        </w:rPr>
        <w:t>islamic banking have a future in Germany ?</w:t>
      </w:r>
      <w:r w:rsidRPr="001374DC">
        <w:rPr>
          <w:rFonts w:ascii="Times New Roman" w:hAnsi="Times New Roman" w:cs="Times New Roman"/>
          <w:smallCaps/>
          <w:kern w:val="24"/>
          <w:lang w:val="en-GB"/>
        </w:rPr>
        <w:t xml:space="preserve"> </w:t>
      </w:r>
      <w:r w:rsidRPr="001374DC">
        <w:rPr>
          <w:rFonts w:ascii="Times New Roman" w:hAnsi="Times New Roman" w:cs="Times New Roman"/>
          <w:kern w:val="24"/>
          <w:lang w:val="en-GB"/>
        </w:rPr>
        <w:t>survey on german muslims perceptions  », Journal of Ecnomics, Finance and Accounting, Vol 07, Issue 02, 2020,  p. 188.</w:t>
      </w:r>
    </w:p>
  </w:footnote>
  <w:footnote w:id="95">
    <w:p w14:paraId="1B244959" w14:textId="38725A46"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Ajili</w:t>
      </w:r>
      <w:r w:rsidRPr="001374DC">
        <w:rPr>
          <w:rFonts w:ascii="Times New Roman" w:hAnsi="Times New Roman" w:cs="Times New Roman"/>
          <w:kern w:val="24"/>
        </w:rPr>
        <w:t xml:space="preserve"> Wissem et </w:t>
      </w:r>
      <w:r w:rsidRPr="001374DC">
        <w:rPr>
          <w:rFonts w:ascii="Times New Roman" w:hAnsi="Times New Roman" w:cs="Times New Roman"/>
          <w:smallCaps/>
          <w:kern w:val="24"/>
        </w:rPr>
        <w:t>Ben Gara</w:t>
      </w:r>
      <w:r w:rsidRPr="001374DC">
        <w:rPr>
          <w:rFonts w:ascii="Times New Roman" w:hAnsi="Times New Roman" w:cs="Times New Roman"/>
          <w:kern w:val="24"/>
        </w:rPr>
        <w:t xml:space="preserve"> Zeineb, « Quel avenir pour la finance islamique en Tunisie ? », Etudes en Economie Islamique Vol. 7, No. 1, Juin 2013, p. 38.</w:t>
      </w:r>
    </w:p>
  </w:footnote>
  <w:footnote w:id="96">
    <w:p w14:paraId="0BB204A5" w14:textId="3DAB12F4" w:rsidR="009C2D83" w:rsidRPr="001374DC" w:rsidRDefault="009C2D83" w:rsidP="001374DC">
      <w:pPr>
        <w:tabs>
          <w:tab w:val="left" w:pos="0"/>
        </w:tabs>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rPr>
        <w:t xml:space="preserve"> </w:t>
      </w:r>
      <w:r w:rsidRPr="001374DC">
        <w:rPr>
          <w:rStyle w:val="lev"/>
          <w:rFonts w:ascii="Times New Roman" w:hAnsi="Times New Roman" w:cs="Times New Roman"/>
          <w:b w:val="0"/>
          <w:bCs w:val="0"/>
          <w:kern w:val="24"/>
          <w:sz w:val="20"/>
          <w:szCs w:val="20"/>
          <w:bdr w:val="none" w:sz="0" w:space="0" w:color="auto" w:frame="1"/>
          <w:shd w:val="clear" w:color="auto" w:fill="FFFFFF"/>
        </w:rPr>
        <w:t xml:space="preserve">Loi 2016-48 du 11 juillet 2016 relative aux banques et aux établissements financiers, </w:t>
      </w:r>
      <w:r w:rsidRPr="001374DC">
        <w:rPr>
          <w:rFonts w:ascii="Times New Roman" w:hAnsi="Times New Roman" w:cs="Times New Roman"/>
          <w:kern w:val="24"/>
          <w:sz w:val="20"/>
          <w:szCs w:val="20"/>
          <w:shd w:val="clear" w:color="auto" w:fill="FFFFFF"/>
        </w:rPr>
        <w:t>publiée au JORT du 15 juillet 2016.</w:t>
      </w:r>
    </w:p>
  </w:footnote>
  <w:footnote w:id="97">
    <w:p w14:paraId="5A1EAB0E"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Centre marocain de conjoncture, dans : </w:t>
      </w:r>
      <w:hyperlink r:id="rId14" w:history="1">
        <w:r w:rsidRPr="001374DC">
          <w:rPr>
            <w:rStyle w:val="Lienhypertexte"/>
            <w:rFonts w:ascii="Times New Roman" w:hAnsi="Times New Roman" w:cs="Times New Roman"/>
            <w:kern w:val="24"/>
          </w:rPr>
          <w:t>https://www.cmconjoncture.com/conjoncture/actualites/la-finance-islamique-au-maroc</w:t>
        </w:r>
      </w:hyperlink>
      <w:r w:rsidRPr="001374DC">
        <w:rPr>
          <w:rFonts w:ascii="Times New Roman" w:hAnsi="Times New Roman" w:cs="Times New Roman"/>
          <w:kern w:val="24"/>
        </w:rPr>
        <w:t xml:space="preserve"> ,  consulté le 20 juillet 2021.</w:t>
      </w:r>
    </w:p>
  </w:footnote>
  <w:footnote w:id="98">
    <w:p w14:paraId="65951C1D" w14:textId="77777777" w:rsidR="009C2D83" w:rsidRPr="001374DC" w:rsidRDefault="009C2D83" w:rsidP="001374DC">
      <w:pPr>
        <w:pStyle w:val="Notedebasdepage"/>
        <w:rPr>
          <w:rFonts w:ascii="Times New Roman" w:hAnsi="Times New Roman" w:cs="Times New Roman"/>
          <w:color w:val="000000" w:themeColor="text1"/>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i/>
          <w:iCs/>
          <w:color w:val="B9B9B9"/>
          <w:kern w:val="24"/>
          <w:shd w:val="clear" w:color="auto" w:fill="FFFFFF"/>
        </w:rPr>
        <w:t> </w:t>
      </w:r>
      <w:hyperlink r:id="rId15" w:tooltip="Articles par Jilani Ben Lagha - AMEF Consulting" w:history="1">
        <w:r w:rsidRPr="001374DC">
          <w:rPr>
            <w:rStyle w:val="Lienhypertexte"/>
            <w:rFonts w:ascii="Times New Roman" w:hAnsi="Times New Roman" w:cs="Times New Roman"/>
            <w:smallCaps/>
            <w:color w:val="000000" w:themeColor="text1"/>
            <w:kern w:val="24"/>
            <w:u w:val="none"/>
            <w:bdr w:val="none" w:sz="0" w:space="0" w:color="auto" w:frame="1"/>
            <w:shd w:val="clear" w:color="auto" w:fill="FFFFFF"/>
          </w:rPr>
          <w:t>Ben Lagha</w:t>
        </w:r>
      </w:hyperlink>
      <w:r w:rsidRPr="001374DC">
        <w:rPr>
          <w:rFonts w:ascii="Times New Roman" w:hAnsi="Times New Roman" w:cs="Times New Roman"/>
          <w:color w:val="000000" w:themeColor="text1"/>
          <w:kern w:val="24"/>
        </w:rPr>
        <w:t xml:space="preserve"> Jilani, « La finance islamique en Algérie », AMEF Consulting, (juillet 2020), dans : </w:t>
      </w:r>
      <w:hyperlink r:id="rId16" w:history="1">
        <w:r w:rsidRPr="001374DC">
          <w:rPr>
            <w:rStyle w:val="Lienhypertexte"/>
            <w:rFonts w:ascii="Times New Roman" w:hAnsi="Times New Roman" w:cs="Times New Roman"/>
            <w:kern w:val="24"/>
          </w:rPr>
          <w:t>https://www.amef-consulting.com/la-finance-islamique-en-algerie/</w:t>
        </w:r>
      </w:hyperlink>
      <w:r w:rsidRPr="001374DC">
        <w:rPr>
          <w:rFonts w:ascii="Times New Roman" w:hAnsi="Times New Roman" w:cs="Times New Roman"/>
          <w:color w:val="000000" w:themeColor="text1"/>
          <w:kern w:val="24"/>
        </w:rPr>
        <w:t>, consulté le 15/11/2020.</w:t>
      </w:r>
    </w:p>
  </w:footnote>
  <w:footnote w:id="99">
    <w:p w14:paraId="2464712F" w14:textId="77777777" w:rsidR="009C2D83" w:rsidRPr="001374DC" w:rsidRDefault="009C2D83" w:rsidP="001374DC">
      <w:pPr>
        <w:pStyle w:val="Titre1"/>
        <w:shd w:val="clear" w:color="auto" w:fill="FFFFFF"/>
        <w:spacing w:before="0" w:beforeAutospacing="0" w:after="0" w:afterAutospacing="0"/>
        <w:textAlignment w:val="baseline"/>
        <w:rPr>
          <w:b w:val="0"/>
          <w:bCs w:val="0"/>
          <w:color w:val="000000" w:themeColor="text1"/>
          <w:spacing w:val="-6"/>
          <w:kern w:val="24"/>
          <w:sz w:val="20"/>
          <w:szCs w:val="20"/>
        </w:rPr>
      </w:pPr>
      <w:r w:rsidRPr="001374DC">
        <w:rPr>
          <w:rStyle w:val="Appelnotedebasdep"/>
          <w:kern w:val="24"/>
          <w:sz w:val="20"/>
          <w:szCs w:val="20"/>
        </w:rPr>
        <w:footnoteRef/>
      </w:r>
      <w:r w:rsidRPr="001374DC">
        <w:rPr>
          <w:kern w:val="24"/>
          <w:sz w:val="20"/>
          <w:szCs w:val="20"/>
        </w:rPr>
        <w:t xml:space="preserve"> </w:t>
      </w:r>
      <w:r w:rsidRPr="001374DC">
        <w:rPr>
          <w:rStyle w:val="lev"/>
          <w:smallCaps/>
          <w:color w:val="000000"/>
          <w:spacing w:val="-6"/>
          <w:kern w:val="24"/>
          <w:sz w:val="20"/>
          <w:szCs w:val="20"/>
          <w:bdr w:val="none" w:sz="0" w:space="0" w:color="auto" w:frame="1"/>
          <w:shd w:val="clear" w:color="auto" w:fill="FFFFFF"/>
        </w:rPr>
        <w:t>Abdelrahmi</w:t>
      </w:r>
      <w:r w:rsidRPr="001374DC">
        <w:rPr>
          <w:rStyle w:val="lev"/>
          <w:color w:val="000000"/>
          <w:spacing w:val="-6"/>
          <w:kern w:val="24"/>
          <w:sz w:val="20"/>
          <w:szCs w:val="20"/>
          <w:bdr w:val="none" w:sz="0" w:space="0" w:color="auto" w:frame="1"/>
          <w:shd w:val="clear" w:color="auto" w:fill="FFFFFF"/>
        </w:rPr>
        <w:t xml:space="preserve"> Bessaha, « </w:t>
      </w:r>
      <w:r w:rsidRPr="001374DC">
        <w:rPr>
          <w:b w:val="0"/>
          <w:bCs w:val="0"/>
          <w:color w:val="000000"/>
          <w:spacing w:val="-6"/>
          <w:kern w:val="24"/>
          <w:sz w:val="20"/>
          <w:szCs w:val="20"/>
        </w:rPr>
        <w:t xml:space="preserve">Finance islamique dans le monde et en Algérie : Analyse macroéconomique et perspectives », </w:t>
      </w:r>
      <w:bookmarkStart w:id="255" w:name="_Hlk167197369"/>
      <w:r w:rsidRPr="001374DC">
        <w:rPr>
          <w:b w:val="0"/>
          <w:bCs w:val="0"/>
          <w:color w:val="000000"/>
          <w:spacing w:val="-6"/>
          <w:kern w:val="24"/>
          <w:sz w:val="20"/>
          <w:szCs w:val="20"/>
        </w:rPr>
        <w:t xml:space="preserve">El Watan, (2021), dans : </w:t>
      </w:r>
      <w:hyperlink r:id="rId17" w:history="1">
        <w:r w:rsidRPr="001374DC">
          <w:rPr>
            <w:rStyle w:val="Lienhypertexte"/>
            <w:b w:val="0"/>
            <w:bCs w:val="0"/>
            <w:spacing w:val="-6"/>
            <w:kern w:val="24"/>
            <w:sz w:val="20"/>
            <w:szCs w:val="20"/>
          </w:rPr>
          <w:t>https://www.elwatan.com/edition/contributions/finance-islamique-dans-le-monde-et-en-algerie-analyse-macroeconomique-et-perspectives-2e-partie-et-fin-11-04-2021</w:t>
        </w:r>
      </w:hyperlink>
      <w:r w:rsidRPr="001374DC">
        <w:rPr>
          <w:b w:val="0"/>
          <w:bCs w:val="0"/>
          <w:spacing w:val="-6"/>
          <w:kern w:val="24"/>
          <w:sz w:val="20"/>
          <w:szCs w:val="20"/>
        </w:rPr>
        <w:t xml:space="preserve">, </w:t>
      </w:r>
      <w:r w:rsidRPr="001374DC">
        <w:rPr>
          <w:b w:val="0"/>
          <w:bCs w:val="0"/>
          <w:color w:val="000000" w:themeColor="text1"/>
          <w:spacing w:val="-6"/>
          <w:kern w:val="24"/>
          <w:sz w:val="20"/>
          <w:szCs w:val="20"/>
        </w:rPr>
        <w:t>consulté le 16/07/2021.</w:t>
      </w:r>
      <w:bookmarkEnd w:id="255"/>
    </w:p>
  </w:footnote>
  <w:footnote w:id="100">
    <w:p w14:paraId="3C56DA16" w14:textId="77777777" w:rsidR="009C2D83" w:rsidRPr="000F76E0" w:rsidRDefault="009C2D83" w:rsidP="001374DC">
      <w:pPr>
        <w:pStyle w:val="Notedebasdepage"/>
        <w:rPr>
          <w:rFonts w:ascii="Times New Roman" w:hAnsi="Times New Roman" w:cs="Times New Roman"/>
          <w:kern w:val="24"/>
          <w:lang w:val="en-GB"/>
        </w:rPr>
      </w:pPr>
      <w:r w:rsidRPr="001374DC">
        <w:rPr>
          <w:rStyle w:val="Appelnotedebasdep"/>
          <w:rFonts w:ascii="Times New Roman" w:hAnsi="Times New Roman"/>
          <w:kern w:val="24"/>
        </w:rPr>
        <w:footnoteRef/>
      </w:r>
      <w:r w:rsidRPr="000F76E0">
        <w:rPr>
          <w:rFonts w:ascii="Times New Roman" w:hAnsi="Times New Roman" w:cs="Times New Roman"/>
          <w:kern w:val="24"/>
          <w:lang w:val="en-GB"/>
        </w:rPr>
        <w:t xml:space="preserve"> Ben Lagha, référence citée.</w:t>
      </w:r>
    </w:p>
  </w:footnote>
  <w:footnote w:id="101">
    <w:p w14:paraId="7AD0B65E" w14:textId="77777777" w:rsidR="009C2D83" w:rsidRPr="001374DC" w:rsidRDefault="009C2D83" w:rsidP="001374DC">
      <w:pPr>
        <w:pStyle w:val="Titre1"/>
        <w:shd w:val="clear" w:color="auto" w:fill="FFFFFF"/>
        <w:suppressAutoHyphens/>
        <w:spacing w:before="0" w:beforeAutospacing="0" w:after="0" w:afterAutospacing="0"/>
        <w:rPr>
          <w:b w:val="0"/>
          <w:bCs w:val="0"/>
          <w:kern w:val="24"/>
          <w:sz w:val="20"/>
          <w:szCs w:val="20"/>
          <w:lang w:val="en-GB"/>
        </w:rPr>
      </w:pPr>
      <w:r w:rsidRPr="001374DC">
        <w:rPr>
          <w:rStyle w:val="Appelnotedebasdep"/>
          <w:b w:val="0"/>
          <w:bCs w:val="0"/>
          <w:kern w:val="24"/>
          <w:sz w:val="20"/>
          <w:szCs w:val="20"/>
        </w:rPr>
        <w:footnoteRef/>
      </w:r>
      <w:r w:rsidRPr="001374DC">
        <w:rPr>
          <w:b w:val="0"/>
          <w:bCs w:val="0"/>
          <w:smallCaps/>
          <w:kern w:val="24"/>
          <w:sz w:val="20"/>
          <w:szCs w:val="20"/>
          <w:lang w:val="en-GB"/>
        </w:rPr>
        <w:t xml:space="preserve"> Demirguc-kunt</w:t>
      </w:r>
      <w:r w:rsidRPr="001374DC">
        <w:rPr>
          <w:b w:val="0"/>
          <w:bCs w:val="0"/>
          <w:kern w:val="24"/>
          <w:sz w:val="20"/>
          <w:szCs w:val="20"/>
          <w:lang w:val="en-GB"/>
        </w:rPr>
        <w:t xml:space="preserve"> Asli, </w:t>
      </w:r>
      <w:r w:rsidRPr="001374DC">
        <w:rPr>
          <w:b w:val="0"/>
          <w:bCs w:val="0"/>
          <w:smallCaps/>
          <w:kern w:val="24"/>
          <w:sz w:val="20"/>
          <w:szCs w:val="20"/>
          <w:lang w:val="en-GB"/>
        </w:rPr>
        <w:t>Klapper</w:t>
      </w:r>
      <w:r w:rsidRPr="001374DC">
        <w:rPr>
          <w:b w:val="0"/>
          <w:bCs w:val="0"/>
          <w:kern w:val="24"/>
          <w:sz w:val="20"/>
          <w:szCs w:val="20"/>
          <w:lang w:val="en-GB"/>
        </w:rPr>
        <w:t xml:space="preserve"> Leora, </w:t>
      </w:r>
      <w:r w:rsidRPr="001374DC">
        <w:rPr>
          <w:b w:val="0"/>
          <w:bCs w:val="0"/>
          <w:smallCaps/>
          <w:kern w:val="24"/>
          <w:sz w:val="20"/>
          <w:szCs w:val="20"/>
          <w:lang w:val="en-GB"/>
        </w:rPr>
        <w:t>Randall Douglas</w:t>
      </w:r>
      <w:r w:rsidRPr="001374DC">
        <w:rPr>
          <w:b w:val="0"/>
          <w:bCs w:val="0"/>
          <w:kern w:val="24"/>
          <w:sz w:val="20"/>
          <w:szCs w:val="20"/>
          <w:lang w:val="en-GB"/>
        </w:rPr>
        <w:t xml:space="preserve"> and al, “Islamic Banking Remains Niche Market in North Africa”, </w:t>
      </w:r>
      <w:r w:rsidRPr="001374DC">
        <w:rPr>
          <w:b w:val="0"/>
          <w:bCs w:val="0"/>
          <w:kern w:val="24"/>
          <w:sz w:val="20"/>
          <w:szCs w:val="20"/>
          <w:shd w:val="clear" w:color="auto" w:fill="FFFFFF"/>
          <w:lang w:val="en-GB"/>
        </w:rPr>
        <w:t>The World Bank Global Financial Inclusion (Global Findex) database, 2013, pp. 1-4.</w:t>
      </w:r>
    </w:p>
  </w:footnote>
  <w:footnote w:id="102">
    <w:p w14:paraId="33F124C4"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lang w:val="en-GB"/>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Siddiqi </w:t>
      </w:r>
      <w:r w:rsidRPr="001374DC">
        <w:rPr>
          <w:rFonts w:ascii="Times New Roman" w:hAnsi="Times New Roman" w:cs="Times New Roman"/>
          <w:kern w:val="24"/>
          <w:sz w:val="20"/>
          <w:szCs w:val="20"/>
          <w:lang w:val="en-GB"/>
        </w:rPr>
        <w:t>Muhammad Nejatullah, “Islamic Banking: Principles, Precepts and Prospects”, Journal of King Abdulaziz University, Islamic Economics, Vol. 10, 1998, p. 44</w:t>
      </w:r>
      <w:r w:rsidRPr="001374DC">
        <w:rPr>
          <w:rFonts w:ascii="Times New Roman" w:hAnsi="Times New Roman" w:cs="Times New Roman"/>
          <w:kern w:val="24"/>
          <w:lang w:val="en-GB"/>
        </w:rPr>
        <w:t>.</w:t>
      </w:r>
    </w:p>
  </w:footnote>
  <w:footnote w:id="103">
    <w:p w14:paraId="451C4D58"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Al-Suwailem</w:t>
      </w:r>
      <w:r w:rsidRPr="001374DC">
        <w:rPr>
          <w:rFonts w:ascii="Times New Roman" w:hAnsi="Times New Roman" w:cs="Times New Roman"/>
          <w:kern w:val="24"/>
          <w:sz w:val="20"/>
          <w:szCs w:val="20"/>
        </w:rPr>
        <w:t xml:space="preserve"> Sami Ibrahim, « Intermédiation financière dans l’économie islamique » (en arabe) dans « Crise monétaire mondiale : origines et solutions d’un point de vue islamique », (en arabe), Université du Roi Abdelaziz, Jeddah, 2009, p. 73.</w:t>
      </w:r>
    </w:p>
  </w:footnote>
  <w:footnote w:id="104">
    <w:p w14:paraId="69CFF026"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Saâdallah</w:t>
      </w:r>
      <w:r w:rsidRPr="001374DC">
        <w:rPr>
          <w:rFonts w:ascii="Times New Roman" w:hAnsi="Times New Roman" w:cs="Times New Roman"/>
          <w:kern w:val="24"/>
          <w:sz w:val="20"/>
          <w:szCs w:val="20"/>
        </w:rPr>
        <w:t xml:space="preserve"> Ridha, « Le financement islamique : concepts et principes généraux », Banque Islamique de Développement (BID), Institut Islamique de Recherche et de Formation (IIRF), 1992, p. 26.</w:t>
      </w:r>
    </w:p>
  </w:footnote>
  <w:footnote w:id="105">
    <w:p w14:paraId="693CD112" w14:textId="57761996"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rPr>
        <w:t xml:space="preserve"> Zarrokh</w:t>
      </w:r>
      <w:r w:rsidRPr="001374DC">
        <w:rPr>
          <w:rFonts w:ascii="Times New Roman" w:hAnsi="Times New Roman" w:cs="Times New Roman"/>
          <w:kern w:val="24"/>
          <w:sz w:val="20"/>
          <w:szCs w:val="20"/>
          <w:lang w:val="en-US"/>
        </w:rPr>
        <w:t xml:space="preserve"> Ehsan, “Islamic</w:t>
      </w:r>
      <w:r w:rsidRPr="001374DC">
        <w:rPr>
          <w:rFonts w:ascii="Times New Roman" w:hAnsi="Times New Roman" w:cs="Times New Roman"/>
          <w:color w:val="000000"/>
          <w:kern w:val="24"/>
          <w:sz w:val="20"/>
          <w:szCs w:val="20"/>
          <w:lang w:val="en-US"/>
        </w:rPr>
        <w:t xml:space="preserve"> financing arrangements used in Islamic banking”, SSRN Electronic Journal, abstract= 978911, 2007</w:t>
      </w:r>
      <w:r w:rsidRPr="001374DC">
        <w:rPr>
          <w:rFonts w:ascii="Times New Roman" w:hAnsi="Times New Roman" w:cs="Times New Roman"/>
          <w:color w:val="000000"/>
          <w:kern w:val="24"/>
          <w:sz w:val="20"/>
          <w:szCs w:val="20"/>
          <w:lang w:val="en-GB"/>
        </w:rPr>
        <w:t>, p. 15.</w:t>
      </w:r>
    </w:p>
  </w:footnote>
  <w:footnote w:id="106">
    <w:p w14:paraId="5D2D95A0"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ouvrage cité, p. 57.</w:t>
      </w:r>
    </w:p>
  </w:footnote>
  <w:footnote w:id="107">
    <w:p w14:paraId="38D1FF28" w14:textId="2DFDCA2C"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Al-Zuhayli</w:t>
      </w:r>
      <w:r w:rsidRPr="001374DC">
        <w:rPr>
          <w:rFonts w:ascii="Times New Roman" w:hAnsi="Times New Roman" w:cs="Times New Roman"/>
          <w:kern w:val="24"/>
        </w:rPr>
        <w:t xml:space="preserve"> Wahbah, “Financial Transaction is Islamic Jurisprudence“, Vol. 1, Beirut, Liban, Dar al-Fikr al-Mouaser, 2003, p. 145.</w:t>
      </w:r>
    </w:p>
  </w:footnote>
  <w:footnote w:id="108">
    <w:p w14:paraId="6B3667D0" w14:textId="19E71F3C" w:rsidR="009C2D83" w:rsidRPr="001374DC" w:rsidRDefault="009C2D83" w:rsidP="001374DC">
      <w:pPr>
        <w:suppressAutoHyphens/>
        <w:autoSpaceDE w:val="0"/>
        <w:autoSpaceDN w:val="0"/>
        <w:adjustRightInd w:val="0"/>
        <w:spacing w:line="240" w:lineRule="auto"/>
        <w:rPr>
          <w:rFonts w:ascii="Times New Roman" w:hAnsi="Times New Roman" w:cs="Times New Roman"/>
          <w:i/>
          <w:iCs/>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w:t>
      </w:r>
      <w:r w:rsidRPr="001374DC">
        <w:rPr>
          <w:rFonts w:ascii="Times New Roman" w:hAnsi="Times New Roman" w:cs="Times New Roman"/>
          <w:smallCaps/>
          <w:spacing w:val="-2"/>
          <w:kern w:val="24"/>
          <w:sz w:val="20"/>
          <w:szCs w:val="20"/>
        </w:rPr>
        <w:t>Aberkane</w:t>
      </w:r>
      <w:r w:rsidRPr="001374DC">
        <w:rPr>
          <w:rFonts w:ascii="Times New Roman" w:hAnsi="Times New Roman" w:cs="Times New Roman"/>
          <w:spacing w:val="-2"/>
          <w:kern w:val="24"/>
          <w:sz w:val="20"/>
          <w:szCs w:val="20"/>
        </w:rPr>
        <w:t xml:space="preserve"> Salah, « Moudaraba ; analyse comparative », Cahier de la finance Islamique, N° spécial, 2015, p. 24.</w:t>
      </w:r>
    </w:p>
  </w:footnote>
  <w:footnote w:id="109">
    <w:p w14:paraId="21397EF1"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Bendjilali</w:t>
      </w:r>
      <w:r w:rsidRPr="001374DC">
        <w:rPr>
          <w:rFonts w:ascii="Times New Roman" w:hAnsi="Times New Roman" w:cs="Times New Roman"/>
          <w:kern w:val="24"/>
          <w:sz w:val="20"/>
          <w:szCs w:val="20"/>
        </w:rPr>
        <w:t xml:space="preserve"> Boualem, « Les modes de financement </w:t>
      </w:r>
      <w:r w:rsidRPr="001374DC">
        <w:rPr>
          <w:rFonts w:ascii="Times New Roman" w:hAnsi="Times New Roman" w:cs="Times New Roman"/>
          <w:i/>
          <w:iCs/>
          <w:kern w:val="24"/>
          <w:sz w:val="20"/>
          <w:szCs w:val="20"/>
        </w:rPr>
        <w:t>moudaraba</w:t>
      </w:r>
      <w:r w:rsidRPr="001374DC">
        <w:rPr>
          <w:rFonts w:ascii="Times New Roman" w:hAnsi="Times New Roman" w:cs="Times New Roman"/>
          <w:kern w:val="24"/>
          <w:sz w:val="20"/>
          <w:szCs w:val="20"/>
        </w:rPr>
        <w:t xml:space="preserve">, </w:t>
      </w:r>
      <w:r w:rsidRPr="001374DC">
        <w:rPr>
          <w:rFonts w:ascii="Times New Roman" w:hAnsi="Times New Roman" w:cs="Times New Roman"/>
          <w:i/>
          <w:iCs/>
          <w:kern w:val="24"/>
          <w:sz w:val="20"/>
          <w:szCs w:val="20"/>
        </w:rPr>
        <w:t>mouzara’</w:t>
      </w:r>
      <w:r w:rsidRPr="001374DC">
        <w:rPr>
          <w:rFonts w:ascii="Times New Roman" w:hAnsi="Times New Roman" w:cs="Times New Roman"/>
          <w:kern w:val="24"/>
          <w:sz w:val="20"/>
          <w:szCs w:val="20"/>
        </w:rPr>
        <w:t xml:space="preserve"> et </w:t>
      </w:r>
      <w:r w:rsidRPr="001374DC">
        <w:rPr>
          <w:rFonts w:ascii="Times New Roman" w:hAnsi="Times New Roman" w:cs="Times New Roman"/>
          <w:i/>
          <w:iCs/>
          <w:kern w:val="24"/>
          <w:sz w:val="20"/>
          <w:szCs w:val="20"/>
        </w:rPr>
        <w:t>moussakat</w:t>
      </w:r>
      <w:r w:rsidRPr="001374DC">
        <w:rPr>
          <w:rFonts w:ascii="Times New Roman" w:hAnsi="Times New Roman" w:cs="Times New Roman"/>
          <w:kern w:val="24"/>
          <w:sz w:val="20"/>
          <w:szCs w:val="20"/>
        </w:rPr>
        <w:t> » dans « Les sciences de la chari’a pour les économistes », Actes de séminaire N° 44, BID, IIRF, 2001, p. 279.</w:t>
      </w:r>
    </w:p>
  </w:footnote>
  <w:footnote w:id="110">
    <w:p w14:paraId="35C79814"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Chatti</w:t>
      </w:r>
      <w:r w:rsidRPr="001374DC">
        <w:rPr>
          <w:rFonts w:ascii="Times New Roman" w:hAnsi="Times New Roman" w:cs="Times New Roman"/>
          <w:kern w:val="24"/>
        </w:rPr>
        <w:t xml:space="preserve"> Mohamed Ali, « Analyse comparative entre la finance islamique et le capital-risque », Etudes en Economie islamique, Vol. 4, N° 1, 2010, pp. 79-80.</w:t>
      </w:r>
    </w:p>
  </w:footnote>
  <w:footnote w:id="111">
    <w:p w14:paraId="4521F76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Jouini</w:t>
      </w:r>
      <w:r w:rsidRPr="001374DC">
        <w:rPr>
          <w:rFonts w:ascii="Times New Roman" w:hAnsi="Times New Roman" w:cs="Times New Roman"/>
          <w:kern w:val="24"/>
        </w:rPr>
        <w:t xml:space="preserve"> et </w:t>
      </w:r>
      <w:r w:rsidRPr="001374DC">
        <w:rPr>
          <w:rFonts w:ascii="Times New Roman" w:hAnsi="Times New Roman" w:cs="Times New Roman"/>
          <w:smallCaps/>
          <w:kern w:val="24"/>
        </w:rPr>
        <w:t>Pastré</w:t>
      </w:r>
      <w:r w:rsidRPr="001374DC">
        <w:rPr>
          <w:rFonts w:ascii="Times New Roman" w:hAnsi="Times New Roman" w:cs="Times New Roman"/>
          <w:kern w:val="24"/>
        </w:rPr>
        <w:t xml:space="preserve"> 2008, référence citée, p. 35.</w:t>
      </w:r>
    </w:p>
  </w:footnote>
  <w:footnote w:id="112">
    <w:p w14:paraId="431D16D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Saadouni</w:t>
      </w:r>
      <w:r w:rsidRPr="001374DC">
        <w:rPr>
          <w:rFonts w:ascii="Times New Roman" w:hAnsi="Times New Roman" w:cs="Times New Roman"/>
          <w:kern w:val="24"/>
        </w:rPr>
        <w:t xml:space="preserve"> et </w:t>
      </w:r>
      <w:r w:rsidRPr="001374DC">
        <w:rPr>
          <w:rFonts w:ascii="Times New Roman" w:hAnsi="Times New Roman" w:cs="Times New Roman"/>
          <w:smallCaps/>
          <w:kern w:val="24"/>
        </w:rPr>
        <w:t>Genc</w:t>
      </w:r>
      <w:r w:rsidRPr="001374DC">
        <w:rPr>
          <w:rFonts w:ascii="Times New Roman" w:hAnsi="Times New Roman" w:cs="Times New Roman"/>
          <w:kern w:val="24"/>
        </w:rPr>
        <w:t>, 2015, référence citée, p. 7.</w:t>
      </w:r>
    </w:p>
  </w:footnote>
  <w:footnote w:id="113">
    <w:p w14:paraId="62E3C7E4" w14:textId="77777777" w:rsidR="009C2D83" w:rsidRPr="001374DC" w:rsidRDefault="009C2D83" w:rsidP="001374DC">
      <w:pPr>
        <w:pStyle w:val="Notedebasdepage"/>
        <w:rPr>
          <w:rFonts w:ascii="Times New Roman" w:hAnsi="Times New Roman" w:cs="Times New Roman"/>
          <w:kern w:val="24"/>
          <w:vertAlign w:val="superscript"/>
        </w:rPr>
      </w:pPr>
      <w:r w:rsidRPr="001374DC">
        <w:rPr>
          <w:rStyle w:val="Appelnotedebasdep"/>
          <w:rFonts w:ascii="Times New Roman" w:hAnsi="Times New Roman"/>
          <w:kern w:val="24"/>
        </w:rPr>
        <w:footnoteRef/>
      </w:r>
      <w:r w:rsidRPr="001374DC">
        <w:rPr>
          <w:rFonts w:ascii="Times New Roman" w:hAnsi="Times New Roman" w:cs="Times New Roman"/>
          <w:kern w:val="24"/>
          <w:vertAlign w:val="superscript"/>
        </w:rPr>
        <w:t xml:space="preserve"> On dit vente </w:t>
      </w:r>
      <w:r w:rsidRPr="001374DC">
        <w:rPr>
          <w:rFonts w:ascii="Times New Roman" w:hAnsi="Times New Roman" w:cs="Times New Roman"/>
          <w:iCs/>
          <w:kern w:val="24"/>
          <w:vertAlign w:val="superscript"/>
        </w:rPr>
        <w:t>salam</w:t>
      </w:r>
      <w:r w:rsidRPr="001374DC">
        <w:rPr>
          <w:rFonts w:ascii="Times New Roman" w:hAnsi="Times New Roman" w:cs="Times New Roman"/>
          <w:kern w:val="24"/>
          <w:vertAlign w:val="superscript"/>
        </w:rPr>
        <w:t xml:space="preserve"> ou vente </w:t>
      </w:r>
      <w:r w:rsidRPr="001374DC">
        <w:rPr>
          <w:rFonts w:ascii="Times New Roman" w:hAnsi="Times New Roman" w:cs="Times New Roman"/>
          <w:iCs/>
          <w:kern w:val="24"/>
          <w:vertAlign w:val="superscript"/>
        </w:rPr>
        <w:t>salaf</w:t>
      </w:r>
      <w:r w:rsidRPr="001374DC">
        <w:rPr>
          <w:rFonts w:ascii="Times New Roman" w:hAnsi="Times New Roman" w:cs="Times New Roman"/>
          <w:kern w:val="24"/>
          <w:vertAlign w:val="superscript"/>
        </w:rPr>
        <w:t>.</w:t>
      </w:r>
    </w:p>
  </w:footnote>
  <w:footnote w:id="114">
    <w:p w14:paraId="1AC05CB4" w14:textId="1B7054AB"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vertAlign w:val="superscript"/>
        </w:rPr>
        <w:t xml:space="preserve"> Trari-Medjaoui Hocine, Thèse déjà citée, p, 232, désigné</w:t>
      </w:r>
    </w:p>
  </w:footnote>
  <w:footnote w:id="115">
    <w:p w14:paraId="18462EE8"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w:t>
      </w:r>
      <w:r w:rsidRPr="001374DC">
        <w:rPr>
          <w:rFonts w:ascii="Times New Roman" w:hAnsi="Times New Roman" w:cs="Times New Roman"/>
          <w:smallCaps/>
          <w:spacing w:val="-4"/>
          <w:kern w:val="24"/>
          <w:sz w:val="20"/>
          <w:szCs w:val="20"/>
          <w:lang w:val="en-US"/>
        </w:rPr>
        <w:t>Zarqa</w:t>
      </w:r>
      <w:r w:rsidRPr="001374DC">
        <w:rPr>
          <w:rFonts w:ascii="Times New Roman" w:hAnsi="Times New Roman" w:cs="Times New Roman"/>
          <w:spacing w:val="-4"/>
          <w:kern w:val="24"/>
          <w:sz w:val="20"/>
          <w:szCs w:val="20"/>
          <w:lang w:val="en-US"/>
        </w:rPr>
        <w:t xml:space="preserve"> Muhammad Anas, “Istisna’ financing of infrastructure projects”, Islamic Studies, Vol. 4, N° 2, 1997, </w:t>
      </w:r>
      <w:r w:rsidRPr="001374DC">
        <w:rPr>
          <w:rFonts w:ascii="Times New Roman" w:hAnsi="Times New Roman" w:cs="Times New Roman"/>
          <w:spacing w:val="-4"/>
          <w:kern w:val="24"/>
          <w:sz w:val="20"/>
          <w:szCs w:val="20"/>
          <w:lang w:val="en-GB"/>
        </w:rPr>
        <w:t>p. 68.</w:t>
      </w:r>
    </w:p>
  </w:footnote>
  <w:footnote w:id="116">
    <w:p w14:paraId="578238FF"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Salman</w:t>
      </w:r>
      <w:r w:rsidRPr="001374DC">
        <w:rPr>
          <w:rFonts w:ascii="Times New Roman" w:hAnsi="Times New Roman" w:cs="Times New Roman"/>
          <w:kern w:val="24"/>
          <w:sz w:val="20"/>
          <w:szCs w:val="20"/>
          <w:lang w:val="en-GB"/>
        </w:rPr>
        <w:t xml:space="preserve"> Syed Ali, “Islamic Modes of Finance and Associated Liquidity Risks”, Paper prepared for Conference on Monetary Sector in Iran: Structure, Performance and Challenging Issues, Tehran, February 2004, p. 10.</w:t>
      </w:r>
    </w:p>
  </w:footnote>
  <w:footnote w:id="117">
    <w:p w14:paraId="39D169C0"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Majidi</w:t>
      </w:r>
      <w:r w:rsidRPr="001374DC">
        <w:rPr>
          <w:rFonts w:ascii="Times New Roman" w:hAnsi="Times New Roman" w:cs="Times New Roman"/>
          <w:kern w:val="24"/>
        </w:rPr>
        <w:t>, 2016, référence citée, p. 52.</w:t>
      </w:r>
    </w:p>
  </w:footnote>
  <w:footnote w:id="118">
    <w:p w14:paraId="31D2BFCB"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shd w:val="clear" w:color="auto" w:fill="FFFFFF"/>
        </w:rPr>
        <w:t xml:space="preserve"> Rapporté par Mouslim dans son Sahih N° 2699.</w:t>
      </w:r>
    </w:p>
  </w:footnote>
  <w:footnote w:id="119">
    <w:p w14:paraId="7D14AEC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ouvrage cité, p. 117.</w:t>
      </w:r>
    </w:p>
  </w:footnote>
  <w:footnote w:id="120">
    <w:p w14:paraId="1D82E96F"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rPr>
        <w:t xml:space="preserve"> Muhammad Al-Amine</w:t>
      </w:r>
      <w:r w:rsidRPr="001374DC">
        <w:rPr>
          <w:rFonts w:ascii="Times New Roman" w:hAnsi="Times New Roman" w:cs="Times New Roman"/>
          <w:kern w:val="24"/>
          <w:sz w:val="20"/>
          <w:szCs w:val="20"/>
          <w:lang w:val="en-US"/>
        </w:rPr>
        <w:t xml:space="preserve"> Muhammad Al-Bashir, “</w:t>
      </w:r>
      <w:r w:rsidRPr="001374DC">
        <w:rPr>
          <w:rFonts w:ascii="Times New Roman" w:hAnsi="Times New Roman" w:cs="Times New Roman"/>
          <w:kern w:val="24"/>
          <w:sz w:val="20"/>
          <w:szCs w:val="20"/>
          <w:lang w:val="en-US" w:eastAsia="fr-FR"/>
        </w:rPr>
        <w:t>Sukuk market: Innovations and challenges”, Islamic Economic Studies, Vol. 15, N° 2, 2008,</w:t>
      </w:r>
      <w:r w:rsidRPr="001374DC">
        <w:rPr>
          <w:rFonts w:ascii="Times New Roman" w:hAnsi="Times New Roman" w:cs="Times New Roman"/>
          <w:kern w:val="24"/>
          <w:sz w:val="20"/>
          <w:szCs w:val="20"/>
          <w:lang w:val="en-GB" w:eastAsia="fr-FR"/>
        </w:rPr>
        <w:t xml:space="preserve"> p. 1.</w:t>
      </w:r>
    </w:p>
  </w:footnote>
  <w:footnote w:id="121">
    <w:p w14:paraId="4241FDA6"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Al-khawarizmi</w:t>
      </w:r>
      <w:r w:rsidRPr="001374DC">
        <w:rPr>
          <w:rFonts w:ascii="Times New Roman" w:hAnsi="Times New Roman" w:cs="Times New Roman"/>
          <w:kern w:val="24"/>
          <w:sz w:val="20"/>
          <w:szCs w:val="20"/>
        </w:rPr>
        <w:t xml:space="preserve"> Groupe, « Les sukuk : une nouvelle alternative de financement pour le Maroc », 2012,</w:t>
      </w:r>
      <w:r w:rsidRPr="001374DC">
        <w:rPr>
          <w:rFonts w:ascii="Times New Roman" w:hAnsi="Times New Roman" w:cs="Times New Roman"/>
          <w:kern w:val="24"/>
          <w:sz w:val="24"/>
          <w:szCs w:val="24"/>
        </w:rPr>
        <w:t xml:space="preserve"> </w:t>
      </w:r>
      <w:r w:rsidRPr="001374DC">
        <w:rPr>
          <w:rFonts w:ascii="Times New Roman" w:hAnsi="Times New Roman" w:cs="Times New Roman"/>
          <w:kern w:val="24"/>
          <w:sz w:val="20"/>
          <w:szCs w:val="20"/>
        </w:rPr>
        <w:t>p. 6.</w:t>
      </w:r>
    </w:p>
  </w:footnote>
  <w:footnote w:id="122">
    <w:p w14:paraId="78AC973A" w14:textId="77777777" w:rsidR="009C2D83" w:rsidRPr="001374DC" w:rsidRDefault="009C2D83" w:rsidP="001374DC">
      <w:pPr>
        <w:tabs>
          <w:tab w:val="left" w:pos="993"/>
        </w:tabs>
        <w:suppressAutoHyphens/>
        <w:autoSpaceDE w:val="0"/>
        <w:autoSpaceDN w:val="0"/>
        <w:adjustRightInd w:val="0"/>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rPr>
        <w:t xml:space="preserve"> Les </w:t>
      </w:r>
      <w:r w:rsidRPr="001374DC">
        <w:rPr>
          <w:rFonts w:ascii="Times New Roman" w:hAnsi="Times New Roman" w:cs="Times New Roman"/>
          <w:i/>
          <w:iCs/>
          <w:kern w:val="24"/>
          <w:sz w:val="20"/>
          <w:szCs w:val="20"/>
        </w:rPr>
        <w:t>sukuk</w:t>
      </w:r>
      <w:r w:rsidRPr="001374DC">
        <w:rPr>
          <w:rFonts w:ascii="Times New Roman" w:hAnsi="Times New Roman" w:cs="Times New Roman"/>
          <w:kern w:val="24"/>
          <w:sz w:val="20"/>
          <w:szCs w:val="20"/>
        </w:rPr>
        <w:t xml:space="preserve"> constituent une opération de titrisation. Ce sont plutôt des produits assimilables aux </w:t>
      </w:r>
      <w:r w:rsidRPr="001374DC">
        <w:rPr>
          <w:rFonts w:ascii="Times New Roman" w:hAnsi="Times New Roman" w:cs="Times New Roman"/>
          <w:i/>
          <w:iCs/>
          <w:kern w:val="24"/>
          <w:sz w:val="20"/>
          <w:szCs w:val="20"/>
        </w:rPr>
        <w:t xml:space="preserve">asset-backed securities </w:t>
      </w:r>
      <w:r w:rsidRPr="001374DC">
        <w:rPr>
          <w:rFonts w:ascii="Times New Roman" w:hAnsi="Times New Roman" w:cs="Times New Roman"/>
          <w:kern w:val="24"/>
          <w:sz w:val="20"/>
          <w:szCs w:val="20"/>
        </w:rPr>
        <w:t>(ABS), sauf que la titrisation en Islam ne peut se faire que par rapport à un actif tangible et surtout ne peut se faire qu’une seule fois.</w:t>
      </w:r>
    </w:p>
  </w:footnote>
  <w:footnote w:id="123">
    <w:p w14:paraId="103288AE"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Hassoune</w:t>
      </w:r>
      <w:r w:rsidRPr="001374DC">
        <w:rPr>
          <w:rFonts w:ascii="Times New Roman" w:hAnsi="Times New Roman" w:cs="Times New Roman"/>
          <w:kern w:val="24"/>
        </w:rPr>
        <w:t xml:space="preserve"> Anouar, « Principes de structuration des </w:t>
      </w:r>
      <w:r w:rsidRPr="001374DC">
        <w:rPr>
          <w:rFonts w:ascii="Times New Roman" w:hAnsi="Times New Roman" w:cs="Times New Roman"/>
          <w:i/>
          <w:iCs/>
          <w:kern w:val="24"/>
        </w:rPr>
        <w:t>sukuks</w:t>
      </w:r>
      <w:r w:rsidRPr="001374DC">
        <w:rPr>
          <w:rFonts w:ascii="Times New Roman" w:hAnsi="Times New Roman" w:cs="Times New Roman"/>
          <w:kern w:val="24"/>
        </w:rPr>
        <w:t> », Les Cahiers de la Finance Islamique, N° 01, Ecole de management de Strasbourg, 2009, p. 21.</w:t>
      </w:r>
    </w:p>
  </w:footnote>
  <w:footnote w:id="124">
    <w:p w14:paraId="7DB23161"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ouvrage cité, p. 80.</w:t>
      </w:r>
    </w:p>
  </w:footnote>
  <w:footnote w:id="125">
    <w:p w14:paraId="381D62F4" w14:textId="77777777" w:rsidR="009C2D83" w:rsidRPr="001374DC" w:rsidRDefault="009C2D83" w:rsidP="001374DC">
      <w:pPr>
        <w:pStyle w:val="Notedebasdepage"/>
        <w:tabs>
          <w:tab w:val="center" w:pos="4960"/>
        </w:tabs>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Cherif</w:t>
      </w:r>
      <w:r w:rsidRPr="001374DC">
        <w:rPr>
          <w:rFonts w:ascii="Times New Roman" w:hAnsi="Times New Roman" w:cs="Times New Roman"/>
          <w:kern w:val="24"/>
        </w:rPr>
        <w:t>, 2008, référence citée, p. 39.</w:t>
      </w:r>
    </w:p>
  </w:footnote>
  <w:footnote w:id="126">
    <w:p w14:paraId="5A6A0946" w14:textId="77777777" w:rsidR="009C2D83" w:rsidRPr="00120365" w:rsidRDefault="009C2D83" w:rsidP="00120365">
      <w:pPr>
        <w:pStyle w:val="Notedebasdepage"/>
        <w:suppressAutoHyphens/>
        <w:rPr>
          <w:rFonts w:ascii="Times New Roman" w:hAnsi="Times New Roman" w:cs="Times New Roman"/>
          <w:kern w:val="24"/>
        </w:rPr>
      </w:pPr>
      <w:r w:rsidRPr="00120365">
        <w:rPr>
          <w:rStyle w:val="Appelnotedebasdep"/>
          <w:rFonts w:ascii="Times New Roman" w:hAnsi="Times New Roman"/>
          <w:kern w:val="24"/>
        </w:rPr>
        <w:footnoteRef/>
      </w:r>
      <w:r w:rsidRPr="00120365">
        <w:rPr>
          <w:rFonts w:ascii="Times New Roman" w:hAnsi="Times New Roman" w:cs="Times New Roman"/>
          <w:smallCaps/>
          <w:kern w:val="24"/>
        </w:rPr>
        <w:t xml:space="preserve"> Hassoun</w:t>
      </w:r>
      <w:r w:rsidRPr="00120365">
        <w:rPr>
          <w:rFonts w:ascii="Times New Roman" w:hAnsi="Times New Roman" w:cs="Times New Roman"/>
          <w:kern w:val="24"/>
        </w:rPr>
        <w:t>, 2009, référence citée, p. 22.</w:t>
      </w:r>
    </w:p>
  </w:footnote>
  <w:footnote w:id="127">
    <w:p w14:paraId="30F2AC14" w14:textId="1F30E88D" w:rsidR="009C2D83" w:rsidRPr="00120365" w:rsidRDefault="009C2D83" w:rsidP="00120365">
      <w:pPr>
        <w:pStyle w:val="Notedebasdepage"/>
        <w:suppressAutoHyphens/>
        <w:rPr>
          <w:rFonts w:ascii="Times New Roman" w:hAnsi="Times New Roman" w:cs="Times New Roman"/>
          <w:kern w:val="24"/>
        </w:rPr>
      </w:pPr>
      <w:r w:rsidRPr="00120365">
        <w:rPr>
          <w:rStyle w:val="Appelnotedebasdep"/>
          <w:rFonts w:ascii="Times New Roman" w:hAnsi="Times New Roman"/>
          <w:kern w:val="24"/>
        </w:rPr>
        <w:footnoteRef/>
      </w:r>
      <w:r w:rsidRPr="00120365">
        <w:rPr>
          <w:rFonts w:ascii="Times New Roman" w:hAnsi="Times New Roman" w:cs="Times New Roman"/>
          <w:kern w:val="24"/>
        </w:rPr>
        <w:t xml:space="preserve"> </w:t>
      </w:r>
      <w:hyperlink r:id="rId18" w:history="1">
        <w:r w:rsidRPr="00120365">
          <w:rPr>
            <w:rStyle w:val="Lienhypertexte"/>
            <w:rFonts w:ascii="Times New Roman" w:hAnsi="Times New Roman" w:cs="Times New Roman"/>
            <w:kern w:val="24"/>
          </w:rPr>
          <w:t>https://www.aa.com.tr/fr/%C3%A9conomie/moodys-pr%C3%A9voit-l-%C3%A9mission-de-200-milliards-de-dollars-en-sukuk-islamiques-mondiaux-en-2021-/2357937#</w:t>
        </w:r>
      </w:hyperlink>
      <w:r w:rsidRPr="00120365">
        <w:rPr>
          <w:rFonts w:ascii="Times New Roman" w:hAnsi="Times New Roman" w:cs="Times New Roman"/>
          <w:kern w:val="24"/>
        </w:rPr>
        <w:t xml:space="preserve"> , publié le 07/09/2021.</w:t>
      </w:r>
    </w:p>
  </w:footnote>
  <w:footnote w:id="128">
    <w:p w14:paraId="68C05973" w14:textId="69CB59FE" w:rsidR="009C2D83" w:rsidRPr="00120365" w:rsidRDefault="009C2D83" w:rsidP="00120365">
      <w:pPr>
        <w:pStyle w:val="Notedebasdepage"/>
        <w:suppressAutoHyphens/>
        <w:rPr>
          <w:rFonts w:ascii="Times New Roman" w:hAnsi="Times New Roman" w:cs="Times New Roman"/>
          <w:kern w:val="24"/>
        </w:rPr>
      </w:pPr>
      <w:r w:rsidRPr="00120365">
        <w:rPr>
          <w:rStyle w:val="Appelnotedebasdep"/>
          <w:rFonts w:ascii="Times New Roman" w:hAnsi="Times New Roman"/>
          <w:kern w:val="24"/>
        </w:rPr>
        <w:footnoteRef/>
      </w:r>
      <w:hyperlink r:id="rId19" w:history="1">
        <w:r w:rsidRPr="00120365">
          <w:rPr>
            <w:rStyle w:val="Lienhypertexte"/>
            <w:rFonts w:ascii="Times New Roman" w:hAnsi="Times New Roman" w:cs="Times New Roman"/>
            <w:spacing w:val="-1"/>
            <w:kern w:val="20"/>
          </w:rPr>
          <w:t>https://www.aps.dz/economie/79278-les-banques-islamiques-detiendront-10-des-actifs-bancaires-en-afrique-en-2023</w:t>
        </w:r>
      </w:hyperlink>
      <w:r w:rsidRPr="00120365">
        <w:rPr>
          <w:rFonts w:ascii="Times New Roman" w:hAnsi="Times New Roman" w:cs="Times New Roman"/>
          <w:spacing w:val="-1"/>
          <w:kern w:val="20"/>
        </w:rPr>
        <w:t>, publié 04/10/2018.</w:t>
      </w:r>
    </w:p>
  </w:footnote>
  <w:footnote w:id="129">
    <w:p w14:paraId="6B0870D5" w14:textId="302F3478"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kern w:val="24"/>
          <w:shd w:val="clear" w:color="auto" w:fill="FFFFFF"/>
        </w:rPr>
        <w:t>Algérie, Égypte, Maroc, Tunisie, Sénégal, Nigeria, Niger, Mali, Gambie, Mauritanie, Guinée, Togo, Côte d'Ivoire, Soudan, Kenya, Djibouti, Somalie et Afrique du Sud.</w:t>
      </w:r>
    </w:p>
  </w:footnote>
  <w:footnote w:id="130">
    <w:p w14:paraId="363476FB"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IFAAS, rapport intitulé « La boite à outils de la finance islamique », 2020, p. 22.</w:t>
      </w:r>
    </w:p>
  </w:footnote>
  <w:footnote w:id="131">
    <w:p w14:paraId="15C54BBC"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22.</w:t>
      </w:r>
    </w:p>
  </w:footnote>
  <w:footnote w:id="132">
    <w:p w14:paraId="4CF728E3"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shd w:val="clear" w:color="auto" w:fill="FFFFFF"/>
        </w:rPr>
        <w:t xml:space="preserve">Andriamahanina </w:t>
      </w:r>
      <w:hyperlink r:id="rId20" w:tgtFrame="_blank" w:history="1">
        <w:r w:rsidRPr="001374DC">
          <w:rPr>
            <w:rStyle w:val="Lienhypertexte"/>
            <w:rFonts w:ascii="Times New Roman" w:hAnsi="Times New Roman" w:cs="Times New Roman"/>
            <w:color w:val="auto"/>
            <w:kern w:val="24"/>
            <w:u w:val="none"/>
            <w:shd w:val="clear" w:color="auto" w:fill="FFFFFF"/>
          </w:rPr>
          <w:t>Elisoa</w:t>
        </w:r>
        <w:r w:rsidRPr="001374DC">
          <w:rPr>
            <w:rStyle w:val="Lienhypertexte"/>
            <w:rFonts w:ascii="Times New Roman" w:hAnsi="Times New Roman" w:cs="Times New Roman"/>
            <w:smallCaps/>
            <w:color w:val="auto"/>
            <w:kern w:val="24"/>
            <w:u w:val="none"/>
            <w:shd w:val="clear" w:color="auto" w:fill="FFFFFF"/>
          </w:rPr>
          <w:t>,</w:t>
        </w:r>
      </w:hyperlink>
      <w:r w:rsidRPr="001374DC">
        <w:rPr>
          <w:rFonts w:ascii="Times New Roman" w:hAnsi="Times New Roman" w:cs="Times New Roman"/>
          <w:kern w:val="24"/>
        </w:rPr>
        <w:t xml:space="preserve"> « Acheter des actions islam – halal ou haram ? », Degiro, 2022, dans : </w:t>
      </w:r>
      <w:hyperlink r:id="rId21" w:history="1">
        <w:r w:rsidRPr="001374DC">
          <w:rPr>
            <w:rStyle w:val="Lienhypertexte"/>
            <w:rFonts w:ascii="Times New Roman" w:hAnsi="Times New Roman" w:cs="Times New Roman"/>
            <w:kern w:val="24"/>
          </w:rPr>
          <w:t>https://traderfrancophone.fr/action/acheter-action-islam/</w:t>
        </w:r>
      </w:hyperlink>
      <w:r w:rsidRPr="001374DC">
        <w:rPr>
          <w:rFonts w:ascii="Times New Roman" w:hAnsi="Times New Roman" w:cs="Times New Roman"/>
          <w:kern w:val="24"/>
        </w:rPr>
        <w:t>, consulté le 02/09/2022.</w:t>
      </w:r>
    </w:p>
  </w:footnote>
  <w:footnote w:id="133">
    <w:p w14:paraId="40E87225"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lang w:val="en-GB"/>
        </w:rPr>
        <w:t xml:space="preserve"> Accounting and Auditing Organization of Islamic Financial Institutions (AAOIFI), “Financial Accounting Standard”, N° 14, Investment funds, Appendix B.</w:t>
      </w:r>
    </w:p>
  </w:footnote>
  <w:footnote w:id="134">
    <w:p w14:paraId="306FBB93"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eastAsia="fr-FR"/>
        </w:rPr>
        <w:t xml:space="preserve"> Iqbal</w:t>
      </w:r>
      <w:r w:rsidRPr="001374DC">
        <w:rPr>
          <w:rFonts w:ascii="Times New Roman" w:hAnsi="Times New Roman" w:cs="Times New Roman"/>
          <w:kern w:val="24"/>
          <w:sz w:val="20"/>
          <w:szCs w:val="20"/>
          <w:lang w:val="en-GB" w:eastAsia="fr-FR"/>
        </w:rPr>
        <w:t xml:space="preserve"> Munawar, </w:t>
      </w:r>
      <w:r w:rsidRPr="001374DC">
        <w:rPr>
          <w:rFonts w:ascii="Times New Roman" w:hAnsi="Times New Roman" w:cs="Times New Roman"/>
          <w:kern w:val="24"/>
          <w:sz w:val="20"/>
          <w:szCs w:val="20"/>
          <w:lang w:val="en-GB"/>
        </w:rPr>
        <w:t>“</w:t>
      </w:r>
      <w:r w:rsidRPr="001374DC">
        <w:rPr>
          <w:rFonts w:ascii="Times New Roman" w:hAnsi="Times New Roman" w:cs="Times New Roman"/>
          <w:kern w:val="24"/>
          <w:sz w:val="20"/>
          <w:szCs w:val="20"/>
          <w:lang w:val="en-GB" w:eastAsia="fr-FR"/>
        </w:rPr>
        <w:t xml:space="preserve">Islamic Banking and Finance: Current Developments in Theory and Practice”, Islamic Foundation. </w:t>
      </w:r>
      <w:r w:rsidRPr="001374DC">
        <w:rPr>
          <w:rFonts w:ascii="Times New Roman" w:hAnsi="Times New Roman" w:cs="Times New Roman"/>
          <w:kern w:val="24"/>
          <w:sz w:val="20"/>
          <w:szCs w:val="20"/>
          <w:lang w:eastAsia="fr-FR"/>
        </w:rPr>
        <w:t>Leicester, UK, 2002, p. 48.</w:t>
      </w:r>
    </w:p>
  </w:footnote>
  <w:footnote w:id="135">
    <w:p w14:paraId="497BD0D7"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Bouyahiaoui</w:t>
      </w:r>
      <w:r w:rsidRPr="001374DC">
        <w:rPr>
          <w:rFonts w:ascii="Times New Roman" w:hAnsi="Times New Roman" w:cs="Times New Roman"/>
          <w:kern w:val="24"/>
        </w:rPr>
        <w:t xml:space="preserve"> Ouendi Et </w:t>
      </w:r>
      <w:r w:rsidRPr="001374DC">
        <w:rPr>
          <w:rFonts w:ascii="Times New Roman" w:hAnsi="Times New Roman" w:cs="Times New Roman"/>
          <w:smallCaps/>
          <w:kern w:val="24"/>
        </w:rPr>
        <w:t>Nasser</w:t>
      </w:r>
      <w:r w:rsidRPr="001374DC">
        <w:rPr>
          <w:rFonts w:ascii="Times New Roman" w:hAnsi="Times New Roman" w:cs="Times New Roman"/>
          <w:kern w:val="24"/>
        </w:rPr>
        <w:t xml:space="preserve"> Lynda, « Les fonds d’investissement islamiques : Un modèle réussi de l’innovation de financement », 2014, p. 7.</w:t>
      </w:r>
    </w:p>
  </w:footnote>
  <w:footnote w:id="136">
    <w:p w14:paraId="2E07AB29"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Malayasi’a Islamic finance market place, Global Islamic Funds Malaysia, 23 december 2013, p. 1.</w:t>
      </w:r>
    </w:p>
  </w:footnote>
  <w:footnote w:id="137">
    <w:p w14:paraId="773E22AD"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Siagh</w:t>
      </w:r>
      <w:r w:rsidRPr="001374DC">
        <w:rPr>
          <w:rFonts w:ascii="Times New Roman" w:hAnsi="Times New Roman" w:cs="Times New Roman"/>
          <w:kern w:val="24"/>
          <w:sz w:val="20"/>
          <w:szCs w:val="20"/>
        </w:rPr>
        <w:t>, 2003, ouvrage cité, p. 69.</w:t>
      </w:r>
    </w:p>
  </w:footnote>
  <w:footnote w:id="138">
    <w:p w14:paraId="25C53E6F" w14:textId="77777777" w:rsidR="009C2D83" w:rsidRPr="001374DC" w:rsidRDefault="009C2D83" w:rsidP="001374DC">
      <w:pPr>
        <w:pStyle w:val="Notedebasdepage"/>
        <w:suppressAutoHyphens/>
        <w:rPr>
          <w:rFonts w:ascii="Times New Roman" w:hAnsi="Times New Roman" w:cs="Times New Roman"/>
          <w:spacing w:val="-6"/>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spacing w:val="-6"/>
          <w:kern w:val="24"/>
        </w:rPr>
        <w:t>Guéranger</w:t>
      </w:r>
      <w:r w:rsidRPr="001374DC">
        <w:rPr>
          <w:rFonts w:ascii="Times New Roman" w:hAnsi="Times New Roman" w:cs="Times New Roman"/>
          <w:spacing w:val="-6"/>
          <w:kern w:val="24"/>
        </w:rPr>
        <w:t xml:space="preserve"> François, « Finance islamique : une illustration de la finance éthique », Edition Dunod, 2009, p. 168.</w:t>
      </w:r>
    </w:p>
  </w:footnote>
  <w:footnote w:id="139">
    <w:p w14:paraId="1AF8FE45"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Doghri </w:t>
      </w:r>
      <w:r w:rsidRPr="001374DC">
        <w:rPr>
          <w:rFonts w:ascii="Times New Roman" w:hAnsi="Times New Roman" w:cs="Times New Roman"/>
          <w:kern w:val="24"/>
          <w:sz w:val="20"/>
          <w:szCs w:val="20"/>
        </w:rPr>
        <w:t>Lamine, « Le marché de capitaux et leurs instruments » dans « Introduction aux techniques islamique de financement », Actes de séminaire, N° 37, IIRF, IDB, 1992, p. 197.</w:t>
      </w:r>
    </w:p>
  </w:footnote>
  <w:footnote w:id="140">
    <w:p w14:paraId="5D3F5DA7"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rPr>
        <w:t xml:space="preserve"> Obaidullah</w:t>
      </w:r>
      <w:r w:rsidRPr="001374DC">
        <w:rPr>
          <w:rFonts w:ascii="Times New Roman" w:hAnsi="Times New Roman" w:cs="Times New Roman"/>
          <w:kern w:val="24"/>
          <w:sz w:val="20"/>
          <w:szCs w:val="20"/>
          <w:lang w:val="en-GB"/>
        </w:rPr>
        <w:t>, “Islamic financial services”,</w:t>
      </w:r>
      <w:r w:rsidRPr="001374DC">
        <w:rPr>
          <w:rFonts w:ascii="Times New Roman" w:eastAsia="Arial Unicode MS" w:hAnsi="Times New Roman" w:cs="Times New Roman"/>
          <w:color w:val="000000"/>
          <w:kern w:val="24"/>
          <w:sz w:val="20"/>
          <w:szCs w:val="20"/>
          <w:shd w:val="clear" w:color="auto" w:fill="FFFFFF"/>
          <w:lang w:val="en-GB"/>
        </w:rPr>
        <w:t xml:space="preserve"> Scientific Publishing Centre,</w:t>
      </w:r>
      <w:r w:rsidRPr="001374DC">
        <w:rPr>
          <w:rFonts w:ascii="Times New Roman" w:hAnsi="Times New Roman" w:cs="Times New Roman"/>
          <w:kern w:val="24"/>
          <w:sz w:val="20"/>
          <w:szCs w:val="20"/>
          <w:lang w:val="en-GB"/>
        </w:rPr>
        <w:t xml:space="preserve"> King Abdulaziz University, Jeddah, Saudi Arabia, 2005, p 181.</w:t>
      </w:r>
    </w:p>
  </w:footnote>
  <w:footnote w:id="141">
    <w:p w14:paraId="62F8BF89"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Cherif</w:t>
      </w:r>
      <w:r w:rsidRPr="001374DC">
        <w:rPr>
          <w:rFonts w:ascii="Times New Roman" w:hAnsi="Times New Roman" w:cs="Times New Roman"/>
          <w:kern w:val="24"/>
        </w:rPr>
        <w:t>, 2008, référence citée, p. 38.</w:t>
      </w:r>
    </w:p>
  </w:footnote>
  <w:footnote w:id="142">
    <w:p w14:paraId="7BD8CBE0"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39.</w:t>
      </w:r>
    </w:p>
  </w:footnote>
  <w:footnote w:id="143">
    <w:p w14:paraId="471239CD" w14:textId="01563BEA" w:rsidR="009C2D83" w:rsidRPr="001374DC" w:rsidRDefault="009C2D83" w:rsidP="001374DC">
      <w:pPr>
        <w:suppressAutoHyphens/>
        <w:autoSpaceDE w:val="0"/>
        <w:autoSpaceDN w:val="0"/>
        <w:adjustRightInd w:val="0"/>
        <w:spacing w:line="240" w:lineRule="auto"/>
        <w:rPr>
          <w:rFonts w:ascii="Times New Roman" w:eastAsia="ArialMT"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eastAsia="ArialMT" w:hAnsi="Times New Roman" w:cs="Times New Roman"/>
          <w:smallCaps/>
          <w:kern w:val="24"/>
          <w:sz w:val="20"/>
          <w:szCs w:val="20"/>
          <w:lang w:val="en-GB" w:eastAsia="fr-FR"/>
        </w:rPr>
        <w:t xml:space="preserve"> Nuradli</w:t>
      </w:r>
      <w:r w:rsidRPr="001374DC">
        <w:rPr>
          <w:rFonts w:ascii="Times New Roman" w:eastAsia="ArialMT" w:hAnsi="Times New Roman" w:cs="Times New Roman"/>
          <w:kern w:val="24"/>
          <w:sz w:val="20"/>
          <w:szCs w:val="20"/>
          <w:lang w:val="en-GB" w:eastAsia="fr-FR"/>
        </w:rPr>
        <w:t xml:space="preserve"> Ridzwan, </w:t>
      </w:r>
      <w:r w:rsidRPr="001374DC">
        <w:rPr>
          <w:rFonts w:ascii="Times New Roman" w:hAnsi="Times New Roman" w:cs="Times New Roman"/>
          <w:kern w:val="24"/>
          <w:sz w:val="20"/>
          <w:szCs w:val="20"/>
          <w:lang w:val="en-GB"/>
        </w:rPr>
        <w:t>“</w:t>
      </w:r>
      <w:r w:rsidRPr="001374DC">
        <w:rPr>
          <w:rFonts w:ascii="Times New Roman" w:eastAsia="ArialMT" w:hAnsi="Times New Roman" w:cs="Times New Roman"/>
          <w:kern w:val="24"/>
          <w:sz w:val="20"/>
          <w:szCs w:val="20"/>
          <w:lang w:val="en-GB" w:eastAsia="fr-FR"/>
        </w:rPr>
        <w:t xml:space="preserve">A review of forward, futures, and options from the </w:t>
      </w:r>
      <w:r>
        <w:rPr>
          <w:rFonts w:ascii="Times New Roman" w:eastAsia="ArialMT" w:hAnsi="Times New Roman" w:cs="Times New Roman"/>
          <w:kern w:val="24"/>
          <w:sz w:val="20"/>
          <w:szCs w:val="20"/>
          <w:lang w:val="en-GB" w:eastAsia="fr-FR"/>
        </w:rPr>
        <w:t>S</w:t>
      </w:r>
      <w:r w:rsidRPr="001374DC">
        <w:rPr>
          <w:rFonts w:ascii="Times New Roman" w:eastAsia="ArialMT" w:hAnsi="Times New Roman" w:cs="Times New Roman"/>
          <w:kern w:val="24"/>
          <w:sz w:val="20"/>
          <w:szCs w:val="20"/>
          <w:lang w:val="en-GB" w:eastAsia="fr-FR"/>
        </w:rPr>
        <w:t>hariah perspective: from complexity to simplicity”, Universiti Tenaga Nasional, 2001, p. 14.</w:t>
      </w:r>
    </w:p>
  </w:footnote>
  <w:footnote w:id="144">
    <w:p w14:paraId="214036D4"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Kamali</w:t>
      </w:r>
      <w:r w:rsidRPr="001374DC">
        <w:rPr>
          <w:rFonts w:ascii="Times New Roman" w:hAnsi="Times New Roman" w:cs="Times New Roman"/>
          <w:kern w:val="24"/>
          <w:sz w:val="20"/>
          <w:szCs w:val="20"/>
          <w:lang w:val="en-GB"/>
        </w:rPr>
        <w:t xml:space="preserve"> Mohammad Hashim, “</w:t>
      </w:r>
      <w:r w:rsidRPr="001374DC">
        <w:rPr>
          <w:rFonts w:ascii="Times New Roman" w:hAnsi="Times New Roman" w:cs="Times New Roman"/>
          <w:kern w:val="24"/>
          <w:sz w:val="20"/>
          <w:szCs w:val="20"/>
          <w:lang w:val="en-GB" w:eastAsia="fr-FR"/>
        </w:rPr>
        <w:t>Islamic Commercial Law; an Analysis of Options”</w:t>
      </w:r>
      <w:r w:rsidRPr="001374DC">
        <w:rPr>
          <w:rFonts w:ascii="Times New Roman" w:eastAsia="ArialMT" w:hAnsi="Times New Roman" w:cs="Times New Roman"/>
          <w:kern w:val="24"/>
          <w:sz w:val="20"/>
          <w:szCs w:val="20"/>
          <w:lang w:val="en-US" w:eastAsia="fr-FR"/>
        </w:rPr>
        <w:t xml:space="preserve">, </w:t>
      </w:r>
      <w:r w:rsidRPr="001374DC">
        <w:rPr>
          <w:rFonts w:ascii="Times New Roman" w:eastAsia="ArialMT" w:hAnsi="Times New Roman" w:cs="Times New Roman"/>
          <w:kern w:val="24"/>
          <w:sz w:val="20"/>
          <w:szCs w:val="20"/>
          <w:lang w:val="en-GB" w:eastAsia="fr-FR"/>
        </w:rPr>
        <w:t>American Journal of Islamic Social Science 14, 1997,</w:t>
      </w:r>
      <w:r w:rsidRPr="001374DC">
        <w:rPr>
          <w:rFonts w:ascii="Times New Roman" w:hAnsi="Times New Roman" w:cs="Times New Roman"/>
          <w:kern w:val="24"/>
          <w:sz w:val="20"/>
          <w:szCs w:val="20"/>
          <w:lang w:val="en-GB" w:eastAsia="fr-FR"/>
        </w:rPr>
        <w:t xml:space="preserve"> </w:t>
      </w:r>
      <w:r w:rsidRPr="001374DC">
        <w:rPr>
          <w:rFonts w:ascii="Times New Roman" w:hAnsi="Times New Roman" w:cs="Times New Roman"/>
          <w:kern w:val="24"/>
          <w:sz w:val="20"/>
          <w:szCs w:val="20"/>
          <w:lang w:val="en-US" w:eastAsia="fr-FR"/>
        </w:rPr>
        <w:t>p. 26.</w:t>
      </w:r>
    </w:p>
  </w:footnote>
  <w:footnote w:id="145">
    <w:p w14:paraId="37843630"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w:t>
      </w:r>
      <w:r w:rsidRPr="001374DC">
        <w:rPr>
          <w:rFonts w:ascii="Times New Roman" w:hAnsi="Times New Roman" w:cs="Times New Roman"/>
          <w:smallCaps/>
          <w:kern w:val="24"/>
          <w:lang w:val="en-GB"/>
        </w:rPr>
        <w:t>Dusuki</w:t>
      </w:r>
      <w:r w:rsidRPr="001374DC">
        <w:rPr>
          <w:rFonts w:ascii="Times New Roman" w:hAnsi="Times New Roman" w:cs="Times New Roman"/>
          <w:kern w:val="24"/>
          <w:lang w:val="en-GB"/>
        </w:rPr>
        <w:t xml:space="preserve"> A W, “Shariah Parameters on Islamic Foreign Exchange Swap as Hedging: Mechanism in Islamic Finance”, ISRA International Journal of Islamic Finance 1 (1), 2009, p. 80.</w:t>
      </w:r>
    </w:p>
  </w:footnote>
  <w:footnote w:id="146">
    <w:p w14:paraId="661F9ABD" w14:textId="77777777" w:rsidR="009C2D83" w:rsidRPr="001374DC" w:rsidRDefault="009C2D83" w:rsidP="001374DC">
      <w:pPr>
        <w:shd w:val="clear" w:color="auto" w:fill="FFFFFF"/>
        <w:suppressAutoHyphens/>
        <w:spacing w:line="240" w:lineRule="auto"/>
        <w:textAlignment w:val="center"/>
        <w:rPr>
          <w:rFonts w:ascii="Times New Roman" w:hAnsi="Times New Roman" w:cs="Times New Roman"/>
          <w:color w:val="222222"/>
          <w:kern w:val="24"/>
          <w:sz w:val="20"/>
          <w:szCs w:val="20"/>
          <w:lang w:val="en-GB"/>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lang w:val="en-GB"/>
        </w:rPr>
        <w:t xml:space="preserve"> </w:t>
      </w:r>
      <w:hyperlink r:id="rId22" w:tooltip="IFR Middle East Report 2008" w:history="1">
        <w:r w:rsidRPr="001374DC">
          <w:rPr>
            <w:rStyle w:val="Lienhypertexte"/>
            <w:rFonts w:ascii="Times New Roman" w:hAnsi="Times New Roman" w:cs="Times New Roman"/>
            <w:color w:val="222222"/>
            <w:kern w:val="24"/>
            <w:sz w:val="20"/>
            <w:szCs w:val="20"/>
            <w:u w:val="none"/>
            <w:lang w:val="en-GB"/>
          </w:rPr>
          <w:t>IFR Middle East Report 2008</w:t>
        </w:r>
      </w:hyperlink>
      <w:r w:rsidRPr="001374DC">
        <w:rPr>
          <w:rFonts w:ascii="Times New Roman" w:hAnsi="Times New Roman" w:cs="Times New Roman"/>
          <w:color w:val="222222"/>
          <w:kern w:val="24"/>
          <w:sz w:val="20"/>
          <w:szCs w:val="20"/>
          <w:lang w:val="en-GB"/>
        </w:rPr>
        <w:t xml:space="preserve">, </w:t>
      </w:r>
      <w:r w:rsidRPr="001374DC">
        <w:rPr>
          <w:rStyle w:val="single-line"/>
          <w:rFonts w:ascii="Times New Roman" w:hAnsi="Times New Roman" w:cs="Times New Roman"/>
          <w:color w:val="222222"/>
          <w:kern w:val="24"/>
          <w:sz w:val="20"/>
          <w:szCs w:val="20"/>
          <w:lang w:val="en-GB"/>
        </w:rPr>
        <w:t>2 Oct. 2008</w:t>
      </w:r>
      <w:r w:rsidRPr="001374DC">
        <w:rPr>
          <w:rFonts w:ascii="Times New Roman" w:hAnsi="Times New Roman" w:cs="Times New Roman"/>
          <w:color w:val="222222"/>
          <w:kern w:val="24"/>
          <w:sz w:val="20"/>
          <w:szCs w:val="20"/>
          <w:lang w:val="en-GB"/>
        </w:rPr>
        <w:t>, p. 12.</w:t>
      </w:r>
    </w:p>
  </w:footnote>
  <w:footnote w:id="147">
    <w:p w14:paraId="6580338D"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Dusuki</w:t>
      </w:r>
      <w:r w:rsidRPr="001374DC">
        <w:rPr>
          <w:rFonts w:ascii="Times New Roman" w:hAnsi="Times New Roman" w:cs="Times New Roman"/>
          <w:kern w:val="24"/>
          <w:sz w:val="20"/>
          <w:szCs w:val="20"/>
          <w:lang w:val="en-GB" w:eastAsia="fr-FR"/>
        </w:rPr>
        <w:t>, 2009, référence citée, p. 84.</w:t>
      </w:r>
    </w:p>
  </w:footnote>
  <w:footnote w:id="148">
    <w:p w14:paraId="0246A1D6" w14:textId="77777777" w:rsidR="009C2D83" w:rsidRPr="001374DC" w:rsidRDefault="009C2D83" w:rsidP="001374DC">
      <w:pPr>
        <w:suppressAutoHyphens/>
        <w:spacing w:line="240" w:lineRule="auto"/>
        <w:rPr>
          <w:rFonts w:ascii="Times New Roman" w:hAnsi="Times New Roman" w:cs="Times New Roman"/>
          <w:color w:val="000000"/>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lang w:val="en-GB"/>
        </w:rPr>
        <w:t xml:space="preserve"> </w:t>
      </w:r>
      <w:r w:rsidRPr="001374DC">
        <w:rPr>
          <w:rFonts w:ascii="Times New Roman" w:hAnsi="Times New Roman" w:cs="Times New Roman"/>
          <w:smallCaps/>
          <w:kern w:val="24"/>
          <w:sz w:val="20"/>
          <w:szCs w:val="20"/>
          <w:lang w:val="en-GB"/>
        </w:rPr>
        <w:t>Uberoi</w:t>
      </w:r>
      <w:r w:rsidRPr="001374DC">
        <w:rPr>
          <w:rFonts w:ascii="Times New Roman" w:hAnsi="Times New Roman" w:cs="Times New Roman"/>
          <w:kern w:val="24"/>
          <w:sz w:val="20"/>
          <w:szCs w:val="20"/>
          <w:lang w:val="en-GB"/>
        </w:rPr>
        <w:t xml:space="preserve"> Priya and </w:t>
      </w:r>
      <w:r w:rsidRPr="001374DC">
        <w:rPr>
          <w:rFonts w:ascii="Times New Roman" w:hAnsi="Times New Roman" w:cs="Times New Roman"/>
          <w:smallCaps/>
          <w:kern w:val="24"/>
          <w:sz w:val="20"/>
          <w:szCs w:val="20"/>
          <w:lang w:val="en-GB"/>
        </w:rPr>
        <w:t>Evans</w:t>
      </w:r>
      <w:r w:rsidRPr="001374DC">
        <w:rPr>
          <w:rFonts w:ascii="Times New Roman" w:hAnsi="Times New Roman" w:cs="Times New Roman"/>
          <w:kern w:val="24"/>
          <w:sz w:val="20"/>
          <w:szCs w:val="20"/>
          <w:lang w:val="en-GB"/>
        </w:rPr>
        <w:t xml:space="preserve"> Nick, “Profit rate swap”, 4th October edition of IFR Magazines, 2012, p. 3.</w:t>
      </w:r>
    </w:p>
  </w:footnote>
  <w:footnote w:id="149">
    <w:p w14:paraId="6ABB3AA6"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Taleb</w:t>
      </w:r>
      <w:r w:rsidRPr="001374DC">
        <w:rPr>
          <w:rFonts w:ascii="Times New Roman" w:hAnsi="Times New Roman" w:cs="Times New Roman"/>
          <w:kern w:val="24"/>
        </w:rPr>
        <w:t xml:space="preserve"> Safwan, « Hedging en finance islamique », Economie &amp; Finance, 2015, p.14.</w:t>
      </w:r>
    </w:p>
  </w:footnote>
  <w:footnote w:id="150">
    <w:p w14:paraId="2BC5DD15"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Lors de la septième session de l’Académie du </w:t>
      </w:r>
      <w:r w:rsidRPr="001374DC">
        <w:rPr>
          <w:rFonts w:ascii="Times New Roman" w:hAnsi="Times New Roman" w:cs="Times New Roman"/>
          <w:i/>
          <w:iCs/>
          <w:kern w:val="24"/>
        </w:rPr>
        <w:t>Fiqh</w:t>
      </w:r>
      <w:r w:rsidRPr="001374DC">
        <w:rPr>
          <w:rFonts w:ascii="Times New Roman" w:hAnsi="Times New Roman" w:cs="Times New Roman"/>
          <w:kern w:val="24"/>
        </w:rPr>
        <w:t xml:space="preserve"> de la Ligue Islamique Mondiale tenue du 9 au 14 mai 1992 à Djeddah, Arabie Séoudite.</w:t>
      </w:r>
    </w:p>
  </w:footnote>
  <w:footnote w:id="151">
    <w:p w14:paraId="60BF32E3"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smallCaps/>
          <w:kern w:val="24"/>
        </w:rPr>
        <w:footnoteRef/>
      </w:r>
      <w:r w:rsidRPr="001374DC">
        <w:rPr>
          <w:rFonts w:ascii="Times New Roman" w:hAnsi="Times New Roman" w:cs="Times New Roman"/>
          <w:smallCaps/>
          <w:kern w:val="24"/>
        </w:rPr>
        <w:t xml:space="preserve"> Doghri </w:t>
      </w:r>
      <w:r w:rsidRPr="001374DC">
        <w:rPr>
          <w:rFonts w:ascii="Times New Roman" w:hAnsi="Times New Roman" w:cs="Times New Roman"/>
          <w:kern w:val="24"/>
        </w:rPr>
        <w:t>Lamine, 1992, référence citée, p. 198.</w:t>
      </w:r>
    </w:p>
  </w:footnote>
  <w:footnote w:id="152">
    <w:p w14:paraId="22101A83" w14:textId="77777777" w:rsidR="009C2D83" w:rsidRPr="001374DC" w:rsidRDefault="009C2D83" w:rsidP="001374DC">
      <w:pPr>
        <w:pStyle w:val="Notedebasdepage"/>
        <w:tabs>
          <w:tab w:val="left" w:pos="8931"/>
        </w:tabs>
        <w:suppressAutoHyphens/>
        <w:bidi/>
        <w:rPr>
          <w:rFonts w:ascii="Times New Roman" w:hAnsi="Times New Roman" w:cs="Times New Roman"/>
          <w:spacing w:val="-8"/>
          <w:kern w:val="24"/>
          <w:rtl/>
          <w:lang w:bidi="ar-DZ"/>
        </w:rPr>
      </w:pPr>
      <w:r w:rsidRPr="001374DC">
        <w:rPr>
          <w:rStyle w:val="Appelnotedebasdep"/>
          <w:rFonts w:ascii="Times New Roman" w:hAnsi="Times New Roman"/>
          <w:spacing w:val="-8"/>
          <w:kern w:val="24"/>
        </w:rPr>
        <w:footnoteRef/>
      </w:r>
      <w:r w:rsidRPr="001374DC">
        <w:rPr>
          <w:rFonts w:ascii="Times New Roman" w:hAnsi="Times New Roman" w:cs="Times New Roman"/>
          <w:spacing w:val="-8"/>
          <w:kern w:val="24"/>
          <w:rtl/>
        </w:rPr>
        <w:t xml:space="preserve"> </w:t>
      </w:r>
      <w:r w:rsidRPr="001374DC">
        <w:rPr>
          <w:rFonts w:ascii="Times New Roman" w:hAnsi="Times New Roman" w:cs="Times New Roman"/>
          <w:spacing w:val="-8"/>
          <w:kern w:val="24"/>
          <w:sz w:val="24"/>
          <w:szCs w:val="24"/>
          <w:rtl/>
          <w:lang w:bidi="ar-DZ"/>
        </w:rPr>
        <w:t>البرواري شعبان محمد اسلام،</w:t>
      </w:r>
      <w:r w:rsidRPr="001374DC">
        <w:rPr>
          <w:rFonts w:ascii="Times New Roman" w:hAnsi="Times New Roman" w:cs="Times New Roman"/>
          <w:spacing w:val="-8"/>
          <w:kern w:val="24"/>
          <w:sz w:val="24"/>
          <w:szCs w:val="24"/>
          <w:lang w:bidi="ar-DZ"/>
        </w:rPr>
        <w:t xml:space="preserve"> </w:t>
      </w:r>
      <w:r w:rsidRPr="001374DC">
        <w:rPr>
          <w:rFonts w:ascii="Times New Roman" w:hAnsi="Times New Roman" w:cs="Times New Roman"/>
          <w:spacing w:val="-8"/>
          <w:kern w:val="24"/>
          <w:sz w:val="24"/>
          <w:szCs w:val="24"/>
          <w:rtl/>
          <w:lang w:bidi="ar-DZ"/>
        </w:rPr>
        <w:t>"بورصة الاوراق المالية من منظور اسلامي "، دار الفكر الاسلامي، دمشق-</w:t>
      </w:r>
      <w:r w:rsidRPr="001374DC">
        <w:rPr>
          <w:rFonts w:ascii="Times New Roman" w:hAnsi="Times New Roman" w:cs="Times New Roman"/>
          <w:spacing w:val="-8"/>
          <w:kern w:val="24"/>
          <w:sz w:val="24"/>
          <w:szCs w:val="24"/>
          <w:rtl/>
        </w:rPr>
        <w:t>سوريا</w:t>
      </w:r>
      <w:r w:rsidRPr="001374DC">
        <w:rPr>
          <w:rFonts w:ascii="Times New Roman" w:hAnsi="Times New Roman" w:cs="Times New Roman"/>
          <w:spacing w:val="-8"/>
          <w:kern w:val="24"/>
          <w:sz w:val="24"/>
          <w:szCs w:val="24"/>
          <w:rtl/>
          <w:lang w:bidi="ar-DZ"/>
        </w:rPr>
        <w:t xml:space="preserve">، </w:t>
      </w:r>
      <w:r w:rsidRPr="001374DC">
        <w:rPr>
          <w:rFonts w:ascii="Times New Roman" w:hAnsi="Times New Roman" w:cs="Times New Roman"/>
          <w:spacing w:val="-8"/>
          <w:kern w:val="24"/>
          <w:rtl/>
          <w:lang w:bidi="ar-DZ"/>
        </w:rPr>
        <w:t>2002</w:t>
      </w:r>
      <w:r w:rsidRPr="001374DC">
        <w:rPr>
          <w:rFonts w:ascii="Times New Roman" w:hAnsi="Times New Roman" w:cs="Times New Roman"/>
          <w:spacing w:val="-8"/>
          <w:kern w:val="24"/>
          <w:sz w:val="24"/>
          <w:szCs w:val="24"/>
          <w:rtl/>
          <w:lang w:bidi="ar-DZ"/>
        </w:rPr>
        <w:t>، ص</w:t>
      </w:r>
      <w:r w:rsidRPr="001374DC">
        <w:rPr>
          <w:rFonts w:ascii="Times New Roman" w:hAnsi="Times New Roman" w:cs="Times New Roman"/>
          <w:spacing w:val="-8"/>
          <w:kern w:val="24"/>
          <w:sz w:val="24"/>
          <w:szCs w:val="24"/>
          <w:rtl/>
        </w:rPr>
        <w:t xml:space="preserve">. </w:t>
      </w:r>
      <w:r w:rsidRPr="001374DC">
        <w:rPr>
          <w:rFonts w:ascii="Times New Roman" w:hAnsi="Times New Roman" w:cs="Times New Roman"/>
          <w:spacing w:val="-8"/>
          <w:kern w:val="24"/>
          <w:rtl/>
        </w:rPr>
        <w:t>21</w:t>
      </w:r>
      <w:r w:rsidRPr="001374DC">
        <w:rPr>
          <w:rFonts w:ascii="Times New Roman" w:hAnsi="Times New Roman" w:cs="Times New Roman"/>
          <w:spacing w:val="-8"/>
          <w:kern w:val="24"/>
          <w:sz w:val="24"/>
          <w:szCs w:val="24"/>
        </w:rPr>
        <w:t>.</w:t>
      </w:r>
    </w:p>
  </w:footnote>
  <w:footnote w:id="153">
    <w:p w14:paraId="5ED5EA94"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Session tenue du 15 au 20 janvier 1984 à la Mecque.</w:t>
      </w:r>
    </w:p>
  </w:footnote>
  <w:footnote w:id="154">
    <w:p w14:paraId="4F952B8C" w14:textId="77777777" w:rsidR="009C2D83" w:rsidRPr="001374DC" w:rsidRDefault="009C2D83" w:rsidP="001374DC">
      <w:pPr>
        <w:pStyle w:val="Notedebasdepage"/>
        <w:tabs>
          <w:tab w:val="left" w:pos="0"/>
          <w:tab w:val="left" w:pos="142"/>
          <w:tab w:val="left" w:pos="8931"/>
        </w:tabs>
        <w:suppressAutoHyphens/>
        <w:bidi/>
        <w:rPr>
          <w:rFonts w:ascii="Times New Roman" w:hAnsi="Times New Roman" w:cs="Times New Roman"/>
          <w:kern w:val="24"/>
          <w:rtl/>
          <w:lang w:bidi="ar-DZ"/>
        </w:rPr>
      </w:pPr>
      <w:r w:rsidRPr="001374DC">
        <w:rPr>
          <w:rStyle w:val="Appelnotedebasdep"/>
          <w:rFonts w:ascii="Times New Roman" w:hAnsi="Times New Roman"/>
          <w:kern w:val="24"/>
        </w:rPr>
        <w:footnoteRef/>
      </w:r>
      <w:r w:rsidRPr="001374DC">
        <w:rPr>
          <w:rFonts w:ascii="Times New Roman" w:hAnsi="Times New Roman" w:cs="Times New Roman"/>
          <w:kern w:val="24"/>
          <w:rtl/>
          <w:lang w:bidi="ar-DZ"/>
        </w:rPr>
        <w:t xml:space="preserve"> </w:t>
      </w:r>
      <w:r w:rsidRPr="001374DC">
        <w:rPr>
          <w:rFonts w:ascii="Times New Roman" w:hAnsi="Times New Roman" w:cs="Times New Roman"/>
          <w:kern w:val="24"/>
          <w:sz w:val="24"/>
          <w:szCs w:val="24"/>
          <w:rtl/>
          <w:lang w:bidi="ar-DZ"/>
        </w:rPr>
        <w:t>مبارك بن سليمان الفواز،</w:t>
      </w:r>
      <w:r w:rsidRPr="001374DC">
        <w:rPr>
          <w:rFonts w:ascii="Times New Roman" w:hAnsi="Times New Roman" w:cs="Times New Roman"/>
          <w:kern w:val="24"/>
          <w:sz w:val="24"/>
          <w:szCs w:val="24"/>
          <w:lang w:bidi="ar-DZ"/>
        </w:rPr>
        <w:t xml:space="preserve"> </w:t>
      </w:r>
      <w:r w:rsidRPr="001374DC">
        <w:rPr>
          <w:rFonts w:ascii="Times New Roman" w:hAnsi="Times New Roman" w:cs="Times New Roman"/>
          <w:kern w:val="24"/>
          <w:sz w:val="24"/>
          <w:szCs w:val="24"/>
          <w:rtl/>
          <w:lang w:bidi="ar-DZ"/>
        </w:rPr>
        <w:t>"الاوراق المالية من منظور اسلامي"، مركز النشر العلمي،</w:t>
      </w:r>
      <w:r w:rsidRPr="001374DC">
        <w:rPr>
          <w:rFonts w:ascii="Times New Roman" w:hAnsi="Times New Roman" w:cs="Times New Roman"/>
          <w:kern w:val="24"/>
          <w:sz w:val="24"/>
          <w:szCs w:val="24"/>
          <w:lang w:bidi="ar-DZ"/>
        </w:rPr>
        <w:t xml:space="preserve"> </w:t>
      </w:r>
      <w:r w:rsidRPr="001374DC">
        <w:rPr>
          <w:rFonts w:ascii="Times New Roman" w:hAnsi="Times New Roman" w:cs="Times New Roman"/>
          <w:kern w:val="24"/>
          <w:sz w:val="24"/>
          <w:szCs w:val="24"/>
          <w:rtl/>
          <w:lang w:bidi="ar-DZ"/>
        </w:rPr>
        <w:t>جامعة الملك عبد العزيز، جدة، المملكة العربية السعودية،</w:t>
      </w:r>
      <w:r w:rsidRPr="001374DC">
        <w:rPr>
          <w:rFonts w:ascii="Times New Roman" w:hAnsi="Times New Roman" w:cs="Times New Roman"/>
          <w:kern w:val="24"/>
          <w:rtl/>
          <w:lang w:bidi="ar-DZ"/>
        </w:rPr>
        <w:t>2010</w:t>
      </w:r>
      <w:r w:rsidRPr="001374DC">
        <w:rPr>
          <w:rFonts w:ascii="Times New Roman" w:hAnsi="Times New Roman" w:cs="Times New Roman"/>
          <w:kern w:val="24"/>
          <w:sz w:val="24"/>
          <w:szCs w:val="24"/>
          <w:rtl/>
          <w:lang w:bidi="ar-DZ"/>
        </w:rPr>
        <w:t>، ص.</w:t>
      </w:r>
      <w:r w:rsidRPr="001374DC">
        <w:rPr>
          <w:rFonts w:ascii="Times New Roman" w:hAnsi="Times New Roman" w:cs="Times New Roman"/>
          <w:kern w:val="24"/>
          <w:rtl/>
          <w:lang w:bidi="ar-DZ"/>
        </w:rPr>
        <w:t>97</w:t>
      </w:r>
      <w:r w:rsidRPr="001374DC">
        <w:rPr>
          <w:rFonts w:ascii="Times New Roman" w:hAnsi="Times New Roman" w:cs="Times New Roman"/>
          <w:b/>
          <w:bCs/>
          <w:kern w:val="24"/>
          <w:sz w:val="24"/>
          <w:szCs w:val="24"/>
          <w:rtl/>
          <w:lang w:bidi="ar-DZ"/>
        </w:rPr>
        <w:t>.</w:t>
      </w:r>
    </w:p>
  </w:footnote>
  <w:footnote w:id="155">
    <w:p w14:paraId="28B47666" w14:textId="77777777" w:rsidR="009C2D83" w:rsidRPr="001374DC" w:rsidRDefault="009C2D83" w:rsidP="001374DC">
      <w:pPr>
        <w:pStyle w:val="Notedebasdepage"/>
        <w:tabs>
          <w:tab w:val="left" w:pos="0"/>
          <w:tab w:val="left" w:pos="9072"/>
        </w:tabs>
        <w:suppressAutoHyphens/>
        <w:bidi/>
        <w:rPr>
          <w:rFonts w:ascii="Times New Roman" w:hAnsi="Times New Roman" w:cs="Times New Roman"/>
          <w:kern w:val="24"/>
          <w:rtl/>
          <w:lang w:bidi="ar-DZ"/>
        </w:rPr>
      </w:pPr>
      <w:r w:rsidRPr="001374DC">
        <w:rPr>
          <w:rStyle w:val="Appelnotedebasdep"/>
          <w:rFonts w:ascii="Times New Roman" w:hAnsi="Times New Roman"/>
          <w:kern w:val="24"/>
        </w:rPr>
        <w:footnoteRef/>
      </w:r>
      <w:r w:rsidRPr="001374DC">
        <w:rPr>
          <w:rFonts w:ascii="Times New Roman" w:hAnsi="Times New Roman" w:cs="Times New Roman"/>
          <w:kern w:val="24"/>
          <w:rtl/>
          <w:lang w:bidi="ar-DZ"/>
        </w:rPr>
        <w:t xml:space="preserve"> </w:t>
      </w:r>
      <w:r w:rsidRPr="001374DC">
        <w:rPr>
          <w:rFonts w:ascii="Times New Roman" w:hAnsi="Times New Roman" w:cs="Times New Roman"/>
          <w:kern w:val="24"/>
          <w:sz w:val="24"/>
          <w:szCs w:val="24"/>
          <w:rtl/>
          <w:lang w:bidi="ar-DZ"/>
        </w:rPr>
        <w:t>البرواري شعبان محمد اسلام</w:t>
      </w:r>
      <w:r w:rsidRPr="001374DC">
        <w:rPr>
          <w:rFonts w:ascii="Times New Roman" w:hAnsi="Times New Roman" w:cs="Times New Roman"/>
          <w:kern w:val="24"/>
          <w:rtl/>
          <w:lang w:bidi="ar-DZ"/>
        </w:rPr>
        <w:t>،</w:t>
      </w:r>
      <w:r w:rsidRPr="001374DC">
        <w:rPr>
          <w:rFonts w:ascii="Times New Roman" w:hAnsi="Times New Roman" w:cs="Times New Roman"/>
          <w:kern w:val="24"/>
          <w:lang w:bidi="ar-DZ"/>
        </w:rPr>
        <w:t xml:space="preserve"> </w:t>
      </w:r>
      <w:r w:rsidRPr="001374DC">
        <w:rPr>
          <w:rFonts w:ascii="Times New Roman" w:hAnsi="Times New Roman" w:cs="Times New Roman"/>
          <w:kern w:val="24"/>
          <w:rtl/>
          <w:lang w:bidi="ar-DZ"/>
        </w:rPr>
        <w:t xml:space="preserve">2002، </w:t>
      </w:r>
      <w:r w:rsidRPr="001374DC">
        <w:rPr>
          <w:rFonts w:ascii="Times New Roman" w:hAnsi="Times New Roman" w:cs="Times New Roman"/>
          <w:kern w:val="24"/>
          <w:sz w:val="24"/>
          <w:szCs w:val="24"/>
          <w:rtl/>
          <w:lang w:bidi="ar-DZ"/>
        </w:rPr>
        <w:t>مرجع سابق، ص</w:t>
      </w:r>
      <w:r w:rsidRPr="001374DC">
        <w:rPr>
          <w:rFonts w:ascii="Times New Roman" w:hAnsi="Times New Roman" w:cs="Times New Roman"/>
          <w:kern w:val="24"/>
          <w:rtl/>
          <w:lang w:bidi="ar-DZ"/>
        </w:rPr>
        <w:t>.</w:t>
      </w:r>
      <w:r w:rsidRPr="001374DC">
        <w:rPr>
          <w:rFonts w:ascii="Times New Roman" w:hAnsi="Times New Roman" w:cs="Times New Roman"/>
          <w:kern w:val="24"/>
          <w:lang w:bidi="ar-DZ"/>
        </w:rPr>
        <w:t xml:space="preserve"> </w:t>
      </w:r>
      <w:r w:rsidRPr="001374DC">
        <w:rPr>
          <w:rFonts w:ascii="Times New Roman" w:hAnsi="Times New Roman" w:cs="Times New Roman"/>
          <w:kern w:val="24"/>
          <w:rtl/>
          <w:lang w:bidi="ar-DZ"/>
        </w:rPr>
        <w:t>218.</w:t>
      </w:r>
    </w:p>
  </w:footnote>
  <w:footnote w:id="156">
    <w:p w14:paraId="2E2EE70B" w14:textId="77777777" w:rsidR="009C2D83" w:rsidRPr="001374DC" w:rsidRDefault="009C2D83" w:rsidP="001374DC">
      <w:pPr>
        <w:suppressAutoHyphens/>
        <w:autoSpaceDE w:val="0"/>
        <w:autoSpaceDN w:val="0"/>
        <w:adjustRightInd w:val="0"/>
        <w:spacing w:line="240" w:lineRule="auto"/>
        <w:rPr>
          <w:rFonts w:ascii="Times New Roman" w:eastAsia="ArialMT" w:hAnsi="Times New Roman" w:cs="Times New Roman"/>
          <w:kern w:val="24"/>
          <w:sz w:val="20"/>
          <w:szCs w:val="20"/>
          <w:rtl/>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Kamali</w:t>
      </w:r>
      <w:r w:rsidRPr="001374DC">
        <w:rPr>
          <w:rFonts w:ascii="Times New Roman" w:hAnsi="Times New Roman" w:cs="Times New Roman"/>
          <w:kern w:val="24"/>
          <w:sz w:val="20"/>
          <w:szCs w:val="20"/>
        </w:rPr>
        <w:t>, 1997, référence citée</w:t>
      </w:r>
      <w:r w:rsidRPr="001374DC">
        <w:rPr>
          <w:rFonts w:ascii="Times New Roman" w:eastAsia="ArialMT" w:hAnsi="Times New Roman" w:cs="Times New Roman"/>
          <w:kern w:val="24"/>
          <w:sz w:val="20"/>
          <w:szCs w:val="20"/>
          <w:lang w:eastAsia="fr-FR"/>
        </w:rPr>
        <w:t>, p. 26.</w:t>
      </w:r>
    </w:p>
  </w:footnote>
  <w:footnote w:id="157">
    <w:p w14:paraId="58626F7B"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rtl/>
          <w:lang w:eastAsia="fr-FR" w:bidi="ar-DZ"/>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Latrache</w:t>
      </w:r>
      <w:r w:rsidRPr="001374DC">
        <w:rPr>
          <w:rFonts w:ascii="Times New Roman" w:hAnsi="Times New Roman" w:cs="Times New Roman"/>
          <w:kern w:val="24"/>
          <w:sz w:val="20"/>
          <w:szCs w:val="20"/>
        </w:rPr>
        <w:t xml:space="preserve"> Hakim et </w:t>
      </w:r>
      <w:r w:rsidRPr="001374DC">
        <w:rPr>
          <w:rFonts w:ascii="Times New Roman" w:hAnsi="Times New Roman" w:cs="Times New Roman"/>
          <w:smallCaps/>
          <w:kern w:val="24"/>
          <w:sz w:val="20"/>
          <w:szCs w:val="20"/>
        </w:rPr>
        <w:t>Oddos</w:t>
      </w:r>
      <w:r w:rsidRPr="001374DC">
        <w:rPr>
          <w:rFonts w:ascii="Times New Roman" w:hAnsi="Times New Roman" w:cs="Times New Roman"/>
          <w:kern w:val="24"/>
          <w:sz w:val="20"/>
          <w:szCs w:val="20"/>
        </w:rPr>
        <w:t xml:space="preserve"> Stéphane, « Le </w:t>
      </w:r>
      <w:r w:rsidRPr="001374DC">
        <w:rPr>
          <w:rFonts w:ascii="Times New Roman" w:hAnsi="Times New Roman" w:cs="Times New Roman"/>
          <w:i/>
          <w:iCs/>
          <w:kern w:val="24"/>
          <w:sz w:val="20"/>
          <w:szCs w:val="20"/>
        </w:rPr>
        <w:t>tawarrouk</w:t>
      </w:r>
      <w:r w:rsidRPr="001374DC">
        <w:rPr>
          <w:rFonts w:ascii="Times New Roman" w:hAnsi="Times New Roman" w:cs="Times New Roman"/>
          <w:kern w:val="24"/>
          <w:sz w:val="20"/>
          <w:szCs w:val="20"/>
        </w:rPr>
        <w:t> ; un mal nécessaire ? », Les cahiers de la finance islamique, N° 2, 2010, p. 53.</w:t>
      </w:r>
    </w:p>
  </w:footnote>
  <w:footnote w:id="158">
    <w:p w14:paraId="535B9D65"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Septième session tenue à la Mecque du 13 au 17 décembre 2003 et dix-neuvième session tenue à Sharjah (UAE) du 26 au 30 avril 2009.</w:t>
      </w:r>
    </w:p>
  </w:footnote>
  <w:footnote w:id="159">
    <w:p w14:paraId="7CB2121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ouvrage cité, p. 128.</w:t>
      </w:r>
    </w:p>
  </w:footnote>
  <w:footnote w:id="160">
    <w:p w14:paraId="566DEE5A"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Hafsi</w:t>
      </w:r>
      <w:r w:rsidRPr="001374DC">
        <w:rPr>
          <w:rFonts w:ascii="Times New Roman" w:hAnsi="Times New Roman" w:cs="Times New Roman"/>
          <w:kern w:val="24"/>
          <w:sz w:val="20"/>
          <w:szCs w:val="20"/>
        </w:rPr>
        <w:t xml:space="preserve"> Taieb, </w:t>
      </w:r>
      <w:r w:rsidRPr="001374DC">
        <w:rPr>
          <w:rFonts w:ascii="Times New Roman" w:hAnsi="Times New Roman" w:cs="Times New Roman"/>
          <w:smallCaps/>
          <w:kern w:val="24"/>
          <w:sz w:val="20"/>
          <w:szCs w:val="20"/>
        </w:rPr>
        <w:t>Siagh</w:t>
      </w:r>
      <w:r w:rsidRPr="001374DC">
        <w:rPr>
          <w:rFonts w:ascii="Times New Roman" w:hAnsi="Times New Roman" w:cs="Times New Roman"/>
          <w:kern w:val="24"/>
          <w:sz w:val="20"/>
          <w:szCs w:val="20"/>
        </w:rPr>
        <w:t xml:space="preserve"> Lachemi et </w:t>
      </w:r>
      <w:r w:rsidRPr="001374DC">
        <w:rPr>
          <w:rFonts w:ascii="Times New Roman" w:hAnsi="Times New Roman" w:cs="Times New Roman"/>
          <w:smallCaps/>
          <w:kern w:val="24"/>
          <w:sz w:val="20"/>
          <w:szCs w:val="20"/>
        </w:rPr>
        <w:t>Diallo</w:t>
      </w:r>
      <w:r w:rsidRPr="001374DC">
        <w:rPr>
          <w:rFonts w:ascii="Times New Roman" w:hAnsi="Times New Roman" w:cs="Times New Roman"/>
          <w:kern w:val="24"/>
          <w:sz w:val="20"/>
          <w:szCs w:val="20"/>
        </w:rPr>
        <w:t xml:space="preserve"> Alpha-Oumar, « Environnement intense et choix stratégiques : le cas des banques Islamique », Revue française de gestion, Vol. 33, N° 171, 2007, p. 126.</w:t>
      </w:r>
    </w:p>
  </w:footnote>
  <w:footnote w:id="161">
    <w:p w14:paraId="525DCA70" w14:textId="77777777" w:rsidR="009C2D83" w:rsidRPr="001374DC" w:rsidRDefault="009C2D83" w:rsidP="001374DC">
      <w:pPr>
        <w:suppressAutoHyphens/>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Chehrit </w:t>
      </w:r>
      <w:r w:rsidRPr="001374DC">
        <w:rPr>
          <w:rFonts w:ascii="Times New Roman" w:hAnsi="Times New Roman" w:cs="Times New Roman"/>
          <w:kern w:val="24"/>
          <w:sz w:val="20"/>
          <w:szCs w:val="20"/>
        </w:rPr>
        <w:t xml:space="preserve">Kamel, « Le banking islamique », </w:t>
      </w:r>
      <w:r w:rsidRPr="001374DC">
        <w:rPr>
          <w:rFonts w:ascii="Times New Roman" w:hAnsi="Times New Roman" w:cs="Times New Roman"/>
          <w:caps/>
          <w:kern w:val="24"/>
          <w:sz w:val="20"/>
          <w:szCs w:val="20"/>
        </w:rPr>
        <w:t>é</w:t>
      </w:r>
      <w:r w:rsidRPr="001374DC">
        <w:rPr>
          <w:rFonts w:ascii="Times New Roman" w:hAnsi="Times New Roman" w:cs="Times New Roman"/>
          <w:kern w:val="24"/>
          <w:sz w:val="20"/>
          <w:szCs w:val="20"/>
        </w:rPr>
        <w:t>dition Grand Alger Livres, 2007, p. 23.</w:t>
      </w:r>
    </w:p>
  </w:footnote>
  <w:footnote w:id="162">
    <w:p w14:paraId="732BF90F"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Siagh</w:t>
      </w:r>
      <w:r w:rsidRPr="001374DC">
        <w:rPr>
          <w:rFonts w:ascii="Times New Roman" w:hAnsi="Times New Roman" w:cs="Times New Roman"/>
          <w:kern w:val="24"/>
        </w:rPr>
        <w:t>, 2003, ouvrage cité, p. 142.</w:t>
      </w:r>
    </w:p>
  </w:footnote>
  <w:footnote w:id="163">
    <w:p w14:paraId="78FEB480" w14:textId="02D1242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eastAsia="fr-FR"/>
        </w:rPr>
        <w:t xml:space="preserve"> Chapra </w:t>
      </w:r>
      <w:r w:rsidRPr="001374DC">
        <w:rPr>
          <w:rFonts w:ascii="Times New Roman" w:hAnsi="Times New Roman" w:cs="Times New Roman"/>
          <w:kern w:val="24"/>
          <w:sz w:val="20"/>
          <w:szCs w:val="20"/>
          <w:lang w:eastAsia="fr-FR"/>
        </w:rPr>
        <w:t>Muhammad Umer</w:t>
      </w:r>
      <w:r w:rsidRPr="001374DC">
        <w:rPr>
          <w:rFonts w:ascii="Times New Roman" w:hAnsi="Times New Roman" w:cs="Times New Roman"/>
          <w:kern w:val="24"/>
          <w:sz w:val="20"/>
          <w:szCs w:val="20"/>
        </w:rPr>
        <w:t xml:space="preserve"> et </w:t>
      </w:r>
      <w:r w:rsidRPr="001374DC">
        <w:rPr>
          <w:rFonts w:ascii="Times New Roman" w:hAnsi="Times New Roman" w:cs="Times New Roman"/>
          <w:smallCaps/>
          <w:kern w:val="24"/>
          <w:sz w:val="20"/>
          <w:szCs w:val="20"/>
        </w:rPr>
        <w:t>Khan</w:t>
      </w:r>
      <w:r w:rsidRPr="001374DC">
        <w:rPr>
          <w:rFonts w:ascii="Times New Roman" w:hAnsi="Times New Roman" w:cs="Times New Roman"/>
          <w:kern w:val="24"/>
          <w:sz w:val="20"/>
          <w:szCs w:val="20"/>
        </w:rPr>
        <w:t xml:space="preserve"> Tariqullah, « Réglementation et contrôle des banques islamiques », Cahier de recherche, N° 3, BID, IIRF, 2001, p. 32.</w:t>
      </w:r>
    </w:p>
  </w:footnote>
  <w:footnote w:id="164">
    <w:p w14:paraId="5E5F7CAC"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Chehrit</w:t>
      </w:r>
      <w:r w:rsidRPr="001374DC">
        <w:rPr>
          <w:rFonts w:ascii="Times New Roman" w:hAnsi="Times New Roman" w:cs="Times New Roman"/>
          <w:kern w:val="24"/>
        </w:rPr>
        <w:t>, 2007, ouvrage cité, p. 26.</w:t>
      </w:r>
    </w:p>
  </w:footnote>
  <w:footnote w:id="165">
    <w:p w14:paraId="103EBB2A"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Siagh</w:t>
      </w:r>
      <w:r w:rsidRPr="001374DC">
        <w:rPr>
          <w:rFonts w:ascii="Times New Roman" w:hAnsi="Times New Roman" w:cs="Times New Roman"/>
          <w:kern w:val="24"/>
        </w:rPr>
        <w:t>, 2003, ouvragé cité, p. 146.</w:t>
      </w:r>
    </w:p>
  </w:footnote>
  <w:footnote w:id="166">
    <w:p w14:paraId="519EE438"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Chapra </w:t>
      </w:r>
      <w:r w:rsidRPr="001374DC">
        <w:rPr>
          <w:rFonts w:ascii="Times New Roman" w:hAnsi="Times New Roman" w:cs="Times New Roman"/>
          <w:kern w:val="24"/>
        </w:rPr>
        <w:t xml:space="preserve">et </w:t>
      </w:r>
      <w:r w:rsidRPr="001374DC">
        <w:rPr>
          <w:rFonts w:ascii="Times New Roman" w:hAnsi="Times New Roman" w:cs="Times New Roman"/>
          <w:smallCaps/>
          <w:kern w:val="24"/>
        </w:rPr>
        <w:t>Khan</w:t>
      </w:r>
      <w:r w:rsidRPr="001374DC">
        <w:rPr>
          <w:rFonts w:ascii="Times New Roman" w:hAnsi="Times New Roman" w:cs="Times New Roman"/>
          <w:kern w:val="24"/>
        </w:rPr>
        <w:t>, 2001, référence citée, p. 58.</w:t>
      </w:r>
    </w:p>
  </w:footnote>
  <w:footnote w:id="167">
    <w:p w14:paraId="57A60764"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Jouini</w:t>
      </w:r>
      <w:r w:rsidRPr="001374DC">
        <w:rPr>
          <w:rFonts w:ascii="Times New Roman" w:hAnsi="Times New Roman" w:cs="Times New Roman"/>
          <w:kern w:val="24"/>
        </w:rPr>
        <w:t xml:space="preserve"> et </w:t>
      </w:r>
      <w:r w:rsidRPr="001374DC">
        <w:rPr>
          <w:rFonts w:ascii="Times New Roman" w:hAnsi="Times New Roman" w:cs="Times New Roman"/>
          <w:smallCaps/>
          <w:kern w:val="24"/>
        </w:rPr>
        <w:t>Pastré</w:t>
      </w:r>
      <w:r w:rsidRPr="001374DC">
        <w:rPr>
          <w:rFonts w:ascii="Times New Roman" w:hAnsi="Times New Roman" w:cs="Times New Roman"/>
          <w:kern w:val="24"/>
        </w:rPr>
        <w:t>, 2008, référence citée, p. 41.</w:t>
      </w:r>
    </w:p>
  </w:footnote>
  <w:footnote w:id="168">
    <w:p w14:paraId="1776795F" w14:textId="6674D319"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Rammal</w:t>
      </w:r>
      <w:r w:rsidRPr="001374DC">
        <w:rPr>
          <w:rFonts w:ascii="Times New Roman" w:hAnsi="Times New Roman" w:cs="Times New Roman"/>
          <w:kern w:val="24"/>
          <w:sz w:val="20"/>
          <w:szCs w:val="20"/>
          <w:lang w:val="en-GB"/>
        </w:rPr>
        <w:t xml:space="preserve"> Hussain</w:t>
      </w:r>
      <w:r w:rsidRPr="001374DC">
        <w:rPr>
          <w:rFonts w:ascii="Times New Roman" w:hAnsi="Times New Roman" w:cs="Times New Roman"/>
          <w:kern w:val="24"/>
          <w:sz w:val="20"/>
          <w:szCs w:val="20"/>
          <w:lang w:val="en-US"/>
        </w:rPr>
        <w:t xml:space="preserve">, “The importance of </w:t>
      </w:r>
      <w:r w:rsidRPr="00E1028E">
        <w:rPr>
          <w:rFonts w:ascii="Times New Roman" w:hAnsi="Times New Roman" w:cs="Times New Roman"/>
          <w:i/>
          <w:iCs/>
          <w:kern w:val="24"/>
          <w:sz w:val="20"/>
          <w:szCs w:val="20"/>
          <w:lang w:val="en-US"/>
        </w:rPr>
        <w:t>Shari’ah</w:t>
      </w:r>
      <w:r w:rsidRPr="001374DC">
        <w:rPr>
          <w:rFonts w:ascii="Times New Roman" w:hAnsi="Times New Roman" w:cs="Times New Roman"/>
          <w:kern w:val="24"/>
          <w:sz w:val="20"/>
          <w:szCs w:val="20"/>
          <w:lang w:val="en-US"/>
        </w:rPr>
        <w:t xml:space="preserve"> supervision in Islamic institutions”, Corporate Ownership and Control, Vol. 3, Issue 3, 2006</w:t>
      </w:r>
      <w:r w:rsidRPr="001374DC">
        <w:rPr>
          <w:rFonts w:ascii="Times New Roman" w:hAnsi="Times New Roman" w:cs="Times New Roman"/>
          <w:kern w:val="24"/>
          <w:sz w:val="24"/>
          <w:szCs w:val="24"/>
          <w:lang w:val="en-US"/>
        </w:rPr>
        <w:t xml:space="preserve">, </w:t>
      </w:r>
      <w:r w:rsidRPr="001374DC">
        <w:rPr>
          <w:rFonts w:ascii="Times New Roman" w:hAnsi="Times New Roman" w:cs="Times New Roman"/>
          <w:kern w:val="24"/>
          <w:sz w:val="20"/>
          <w:szCs w:val="20"/>
          <w:lang w:val="en-US"/>
        </w:rPr>
        <w:t>p. 206.</w:t>
      </w:r>
    </w:p>
  </w:footnote>
  <w:footnote w:id="169">
    <w:p w14:paraId="371AF686"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tl/>
        </w:rPr>
        <w:t xml:space="preserve"> </w:t>
      </w:r>
      <w:r w:rsidRPr="001374DC">
        <w:rPr>
          <w:rFonts w:ascii="Times New Roman" w:hAnsi="Times New Roman" w:cs="Times New Roman"/>
          <w:smallCaps/>
          <w:kern w:val="24"/>
        </w:rPr>
        <w:t>Causse-Broquet,</w:t>
      </w:r>
      <w:r w:rsidRPr="001374DC">
        <w:rPr>
          <w:rFonts w:ascii="Times New Roman" w:hAnsi="Times New Roman" w:cs="Times New Roman"/>
          <w:kern w:val="24"/>
        </w:rPr>
        <w:t xml:space="preserve"> 2009, ouvrage cité, p. 134.</w:t>
      </w:r>
    </w:p>
  </w:footnote>
  <w:footnote w:id="170">
    <w:p w14:paraId="20703152"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tl/>
        </w:rPr>
        <w:t xml:space="preserve"> </w:t>
      </w:r>
      <w:r w:rsidRPr="001374DC">
        <w:rPr>
          <w:rFonts w:ascii="Times New Roman" w:hAnsi="Times New Roman" w:cs="Times New Roman"/>
          <w:smallCaps/>
          <w:kern w:val="24"/>
        </w:rPr>
        <w:t>Chehrit</w:t>
      </w:r>
      <w:r w:rsidRPr="001374DC">
        <w:rPr>
          <w:rFonts w:ascii="Times New Roman" w:hAnsi="Times New Roman" w:cs="Times New Roman"/>
          <w:kern w:val="24"/>
        </w:rPr>
        <w:t>, 2007, ouvrage cité, p. 27.</w:t>
      </w:r>
    </w:p>
  </w:footnote>
  <w:footnote w:id="171">
    <w:p w14:paraId="0B20EAF0" w14:textId="616F723F"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Zied</w:t>
      </w:r>
      <w:r w:rsidRPr="001374DC">
        <w:rPr>
          <w:rFonts w:ascii="Times New Roman" w:hAnsi="Times New Roman" w:cs="Times New Roman"/>
          <w:kern w:val="24"/>
        </w:rPr>
        <w:t xml:space="preserve"> C et </w:t>
      </w:r>
      <w:r w:rsidRPr="001374DC">
        <w:rPr>
          <w:rFonts w:ascii="Times New Roman" w:hAnsi="Times New Roman" w:cs="Times New Roman"/>
          <w:smallCaps/>
          <w:kern w:val="24"/>
        </w:rPr>
        <w:t>Pluchart</w:t>
      </w:r>
      <w:r w:rsidRPr="001374DC">
        <w:rPr>
          <w:rFonts w:ascii="Times New Roman" w:hAnsi="Times New Roman" w:cs="Times New Roman"/>
          <w:kern w:val="24"/>
        </w:rPr>
        <w:t xml:space="preserve">. J J, « La gouvernance de la banque </w:t>
      </w:r>
      <w:r>
        <w:rPr>
          <w:rFonts w:ascii="Times New Roman" w:hAnsi="Times New Roman" w:cs="Times New Roman"/>
          <w:kern w:val="24"/>
        </w:rPr>
        <w:t>i</w:t>
      </w:r>
      <w:r w:rsidRPr="001374DC">
        <w:rPr>
          <w:rFonts w:ascii="Times New Roman" w:hAnsi="Times New Roman" w:cs="Times New Roman"/>
          <w:kern w:val="24"/>
        </w:rPr>
        <w:t>slamique », Proposition de communication, Université de Picardie, CRIISEA, 2006, p. 2.</w:t>
      </w:r>
    </w:p>
  </w:footnote>
  <w:footnote w:id="172">
    <w:p w14:paraId="08E1ABFE"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bookmarkStart w:id="551" w:name="_Hlk530603859"/>
      <w:r w:rsidRPr="001374DC">
        <w:rPr>
          <w:rFonts w:ascii="Times New Roman" w:hAnsi="Times New Roman" w:cs="Times New Roman"/>
          <w:smallCaps/>
          <w:kern w:val="24"/>
        </w:rPr>
        <w:t xml:space="preserve"> Charreaux</w:t>
      </w:r>
      <w:r w:rsidRPr="001374DC">
        <w:rPr>
          <w:rFonts w:ascii="Times New Roman" w:hAnsi="Times New Roman" w:cs="Times New Roman"/>
          <w:kern w:val="24"/>
        </w:rPr>
        <w:t xml:space="preserve"> Gérard, « </w:t>
      </w:r>
      <w:r w:rsidRPr="001374DC">
        <w:rPr>
          <w:rFonts w:ascii="Times New Roman" w:hAnsi="Times New Roman" w:cs="Times New Roman"/>
          <w:kern w:val="24"/>
          <w:shd w:val="clear" w:color="auto" w:fill="FFFFFF"/>
        </w:rPr>
        <w:t>Le gouvernement des entreprises : corporate governance, théories et faits », ed E</w:t>
      </w:r>
      <w:bookmarkEnd w:id="551"/>
      <w:r w:rsidRPr="001374DC">
        <w:rPr>
          <w:rFonts w:ascii="Times New Roman" w:hAnsi="Times New Roman" w:cs="Times New Roman"/>
          <w:kern w:val="24"/>
          <w:shd w:val="clear" w:color="auto" w:fill="FFFFFF"/>
        </w:rPr>
        <w:t>conomica, 1997, p. 49.</w:t>
      </w:r>
    </w:p>
  </w:footnote>
  <w:footnote w:id="173">
    <w:p w14:paraId="548FE898"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Zied</w:t>
      </w:r>
      <w:r w:rsidRPr="001374DC">
        <w:rPr>
          <w:rFonts w:ascii="Times New Roman" w:hAnsi="Times New Roman" w:cs="Times New Roman"/>
          <w:kern w:val="24"/>
        </w:rPr>
        <w:t xml:space="preserve"> C et </w:t>
      </w:r>
      <w:r w:rsidRPr="001374DC">
        <w:rPr>
          <w:rFonts w:ascii="Times New Roman" w:hAnsi="Times New Roman" w:cs="Times New Roman"/>
          <w:smallCaps/>
          <w:kern w:val="24"/>
        </w:rPr>
        <w:t>Pluchart</w:t>
      </w:r>
      <w:r w:rsidRPr="001374DC">
        <w:rPr>
          <w:rFonts w:ascii="Times New Roman" w:hAnsi="Times New Roman" w:cs="Times New Roman"/>
          <w:kern w:val="24"/>
        </w:rPr>
        <w:t>. J J, référence citée, p. 3.</w:t>
      </w:r>
    </w:p>
  </w:footnote>
  <w:footnote w:id="174">
    <w:p w14:paraId="2FDAE756" w14:textId="77777777" w:rsidR="009C2D83" w:rsidRPr="001374DC" w:rsidRDefault="009C2D83" w:rsidP="001374DC">
      <w:pPr>
        <w:shd w:val="clear" w:color="auto" w:fill="FFFFFF"/>
        <w:suppressAutoHyphens/>
        <w:spacing w:line="240" w:lineRule="auto"/>
        <w:rPr>
          <w:rFonts w:ascii="Times New Roman" w:eastAsia="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eastAsia="Times New Roman" w:hAnsi="Times New Roman" w:cs="Times New Roman"/>
          <w:smallCaps/>
          <w:kern w:val="24"/>
          <w:sz w:val="20"/>
          <w:szCs w:val="20"/>
          <w:lang w:val="en-US" w:eastAsia="fr-FR"/>
        </w:rPr>
        <w:t xml:space="preserve"> Aglietta</w:t>
      </w:r>
      <w:r w:rsidRPr="001374DC">
        <w:rPr>
          <w:rFonts w:ascii="Times New Roman" w:eastAsia="Times New Roman" w:hAnsi="Times New Roman" w:cs="Times New Roman"/>
          <w:kern w:val="24"/>
          <w:sz w:val="20"/>
          <w:szCs w:val="20"/>
          <w:lang w:val="en-US" w:eastAsia="fr-FR"/>
        </w:rPr>
        <w:t xml:space="preserve"> Michel and </w:t>
      </w:r>
      <w:r w:rsidRPr="001374DC">
        <w:rPr>
          <w:rFonts w:ascii="Times New Roman" w:eastAsia="Times New Roman" w:hAnsi="Times New Roman" w:cs="Times New Roman"/>
          <w:smallCaps/>
          <w:kern w:val="24"/>
          <w:sz w:val="20"/>
          <w:szCs w:val="20"/>
          <w:lang w:val="en-US" w:eastAsia="fr-FR"/>
        </w:rPr>
        <w:t xml:space="preserve">Réberioux </w:t>
      </w:r>
      <w:r w:rsidRPr="001374DC">
        <w:rPr>
          <w:rFonts w:ascii="Times New Roman" w:eastAsia="Times New Roman" w:hAnsi="Times New Roman" w:cs="Times New Roman"/>
          <w:kern w:val="24"/>
          <w:sz w:val="20"/>
          <w:szCs w:val="20"/>
          <w:lang w:val="en-US" w:eastAsia="fr-FR"/>
        </w:rPr>
        <w:t>Antoine, “Corporate Governance Adrift, a critique of shareholder value”, Edward Elgar publishing, 2005, p. 255.</w:t>
      </w:r>
    </w:p>
  </w:footnote>
  <w:footnote w:id="175">
    <w:p w14:paraId="7BE99918"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Martens</w:t>
      </w:r>
      <w:r w:rsidRPr="001374DC">
        <w:rPr>
          <w:rFonts w:ascii="Times New Roman" w:hAnsi="Times New Roman" w:cs="Times New Roman"/>
          <w:kern w:val="24"/>
          <w:sz w:val="20"/>
          <w:szCs w:val="20"/>
        </w:rPr>
        <w:t xml:space="preserve"> André, « La finance islamique : fondements, théorie et réalité », Université de Montréal, Cahier de recherche, 2001, p. 18.</w:t>
      </w:r>
    </w:p>
  </w:footnote>
  <w:footnote w:id="176">
    <w:p w14:paraId="4BA3192A"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w:t>
      </w:r>
      <w:r w:rsidRPr="001374DC">
        <w:rPr>
          <w:rFonts w:ascii="Times New Roman" w:hAnsi="Times New Roman" w:cs="Times New Roman"/>
          <w:smallCaps/>
          <w:kern w:val="24"/>
          <w:lang w:val="en-GB"/>
        </w:rPr>
        <w:t>Khoury</w:t>
      </w:r>
      <w:r w:rsidRPr="001374DC">
        <w:rPr>
          <w:rFonts w:ascii="Times New Roman" w:hAnsi="Times New Roman" w:cs="Times New Roman"/>
          <w:kern w:val="24"/>
          <w:lang w:val="en-GB"/>
        </w:rPr>
        <w:t xml:space="preserve"> Joseph Sarkis, “Financial Risk Management: Domestic and International Dimensions”, Cambridge, Massachusetts: Blackwell Publishers, 1996, p. 14.</w:t>
      </w:r>
    </w:p>
  </w:footnote>
  <w:footnote w:id="177">
    <w:p w14:paraId="4B094C61" w14:textId="77777777" w:rsidR="009C2D83" w:rsidRPr="001374DC" w:rsidRDefault="009C2D83" w:rsidP="001374DC">
      <w:pPr>
        <w:pStyle w:val="Notedebasdepage"/>
        <w:suppressAutoHyphens/>
        <w:rPr>
          <w:rFonts w:ascii="Times New Roman" w:hAnsi="Times New Roman" w:cs="Times New Roman"/>
          <w:kern w:val="24"/>
          <w:lang w:val="en-US"/>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US"/>
        </w:rPr>
        <w:t xml:space="preserve"> Vaughan</w:t>
      </w:r>
      <w:r w:rsidRPr="001374DC">
        <w:rPr>
          <w:rFonts w:ascii="Times New Roman" w:hAnsi="Times New Roman" w:cs="Times New Roman"/>
          <w:kern w:val="24"/>
          <w:lang w:val="en-US"/>
        </w:rPr>
        <w:t xml:space="preserve"> Emmett. J, “Risk Management”, New York, John Wiley &amp; Sons, 1997, p. 35.</w:t>
      </w:r>
    </w:p>
  </w:footnote>
  <w:footnote w:id="178">
    <w:p w14:paraId="3EC40333" w14:textId="77777777" w:rsidR="009C2D83" w:rsidRPr="001374DC" w:rsidRDefault="009C2D83" w:rsidP="001374DC">
      <w:pPr>
        <w:suppressAutoHyphens/>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color w:val="000000"/>
          <w:kern w:val="24"/>
          <w:sz w:val="20"/>
          <w:szCs w:val="20"/>
          <w:lang w:val="en-GB"/>
        </w:rPr>
        <w:t xml:space="preserve"> Greuning</w:t>
      </w:r>
      <w:r w:rsidRPr="001374DC">
        <w:rPr>
          <w:rFonts w:ascii="Times New Roman" w:hAnsi="Times New Roman" w:cs="Times New Roman"/>
          <w:color w:val="000000"/>
          <w:kern w:val="24"/>
          <w:sz w:val="20"/>
          <w:szCs w:val="20"/>
          <w:lang w:val="en-GB"/>
        </w:rPr>
        <w:t xml:space="preserve"> Hennie Van and </w:t>
      </w:r>
      <w:r w:rsidRPr="001374DC">
        <w:rPr>
          <w:rFonts w:ascii="Times New Roman" w:hAnsi="Times New Roman" w:cs="Times New Roman"/>
          <w:smallCaps/>
          <w:color w:val="000000"/>
          <w:kern w:val="24"/>
          <w:sz w:val="20"/>
          <w:szCs w:val="20"/>
          <w:lang w:val="en-GB"/>
        </w:rPr>
        <w:t>Bratanovic</w:t>
      </w:r>
      <w:r w:rsidRPr="001374DC">
        <w:rPr>
          <w:rFonts w:ascii="Times New Roman" w:hAnsi="Times New Roman" w:cs="Times New Roman"/>
          <w:color w:val="000000"/>
          <w:kern w:val="24"/>
          <w:sz w:val="20"/>
          <w:szCs w:val="20"/>
          <w:lang w:val="en-GB"/>
        </w:rPr>
        <w:t xml:space="preserve"> Sonja Brajovic, “Analyzing banking risk”, The World Bank, 2000, p.</w:t>
      </w:r>
      <w:r w:rsidRPr="001374DC">
        <w:rPr>
          <w:rFonts w:ascii="Times New Roman" w:hAnsi="Times New Roman" w:cs="Times New Roman"/>
          <w:kern w:val="24"/>
          <w:sz w:val="20"/>
          <w:szCs w:val="20"/>
          <w:lang w:val="en-GB"/>
        </w:rPr>
        <w:t> </w:t>
      </w:r>
      <w:r w:rsidRPr="001374DC">
        <w:rPr>
          <w:rFonts w:ascii="Times New Roman" w:hAnsi="Times New Roman" w:cs="Times New Roman"/>
          <w:color w:val="000000"/>
          <w:kern w:val="24"/>
          <w:sz w:val="20"/>
          <w:szCs w:val="20"/>
          <w:lang w:val="en-GB"/>
        </w:rPr>
        <w:t>67.</w:t>
      </w:r>
    </w:p>
  </w:footnote>
  <w:footnote w:id="179">
    <w:p w14:paraId="00BB8CD4"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Khan</w:t>
      </w:r>
      <w:r w:rsidRPr="001374DC">
        <w:rPr>
          <w:rFonts w:ascii="Times New Roman" w:hAnsi="Times New Roman" w:cs="Times New Roman"/>
          <w:kern w:val="24"/>
          <w:sz w:val="20"/>
          <w:szCs w:val="20"/>
        </w:rPr>
        <w:t xml:space="preserve"> Tariqullah et </w:t>
      </w:r>
      <w:r w:rsidRPr="001374DC">
        <w:rPr>
          <w:rFonts w:ascii="Times New Roman" w:hAnsi="Times New Roman" w:cs="Times New Roman"/>
          <w:smallCaps/>
          <w:kern w:val="24"/>
          <w:sz w:val="20"/>
          <w:szCs w:val="20"/>
        </w:rPr>
        <w:t>Ahmad</w:t>
      </w:r>
      <w:r w:rsidRPr="001374DC">
        <w:rPr>
          <w:rFonts w:ascii="Times New Roman" w:hAnsi="Times New Roman" w:cs="Times New Roman"/>
          <w:kern w:val="24"/>
          <w:sz w:val="20"/>
          <w:szCs w:val="20"/>
        </w:rPr>
        <w:t xml:space="preserve"> Habib, « La gestion des risques : analyse de certains aspects liés à l’industrie de la finance islamique », Document Occasionnel n° 5, BID, IIRF, 2002, p. 29.</w:t>
      </w:r>
    </w:p>
  </w:footnote>
  <w:footnote w:id="180">
    <w:p w14:paraId="36165790"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Chelly</w:t>
      </w:r>
      <w:r w:rsidRPr="001374DC">
        <w:rPr>
          <w:rFonts w:ascii="Times New Roman" w:hAnsi="Times New Roman" w:cs="Times New Roman"/>
          <w:kern w:val="24"/>
          <w:sz w:val="20"/>
          <w:szCs w:val="20"/>
        </w:rPr>
        <w:t xml:space="preserve"> Dan et </w:t>
      </w:r>
      <w:r w:rsidRPr="001374DC">
        <w:rPr>
          <w:rFonts w:ascii="Times New Roman" w:hAnsi="Times New Roman" w:cs="Times New Roman"/>
          <w:smallCaps/>
          <w:kern w:val="24"/>
          <w:sz w:val="20"/>
          <w:szCs w:val="20"/>
        </w:rPr>
        <w:t>Sébéloné</w:t>
      </w:r>
      <w:r w:rsidRPr="001374DC">
        <w:rPr>
          <w:rFonts w:ascii="Times New Roman" w:hAnsi="Times New Roman" w:cs="Times New Roman"/>
          <w:kern w:val="24"/>
          <w:sz w:val="20"/>
          <w:szCs w:val="20"/>
        </w:rPr>
        <w:t xml:space="preserve"> Stéphane, « les métiers du risque et du contrôle dans la banque », Observatoires des métiers, Optimind Winter, 2014, p. 19.</w:t>
      </w:r>
    </w:p>
  </w:footnote>
  <w:footnote w:id="181">
    <w:p w14:paraId="122A1226"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color w:val="000000"/>
          <w:kern w:val="24"/>
        </w:rPr>
        <w:t xml:space="preserve"> Greuning</w:t>
      </w:r>
      <w:r w:rsidRPr="001374DC">
        <w:rPr>
          <w:rFonts w:ascii="Times New Roman" w:hAnsi="Times New Roman" w:cs="Times New Roman"/>
          <w:color w:val="000000"/>
          <w:kern w:val="24"/>
        </w:rPr>
        <w:t xml:space="preserve"> et </w:t>
      </w:r>
      <w:r w:rsidRPr="001374DC">
        <w:rPr>
          <w:rFonts w:ascii="Times New Roman" w:hAnsi="Times New Roman" w:cs="Times New Roman"/>
          <w:smallCaps/>
          <w:color w:val="000000"/>
          <w:kern w:val="24"/>
        </w:rPr>
        <w:t>Bratanovic</w:t>
      </w:r>
      <w:r w:rsidRPr="001374DC">
        <w:rPr>
          <w:rFonts w:ascii="Times New Roman" w:hAnsi="Times New Roman" w:cs="Times New Roman"/>
          <w:color w:val="000000"/>
          <w:kern w:val="24"/>
        </w:rPr>
        <w:t>, 2000, ouvrage cité, p 75.</w:t>
      </w:r>
    </w:p>
  </w:footnote>
  <w:footnote w:id="182">
    <w:p w14:paraId="7306EAC8"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Goodhart</w:t>
      </w:r>
      <w:r w:rsidRPr="001374DC">
        <w:rPr>
          <w:rFonts w:ascii="Times New Roman" w:hAnsi="Times New Roman" w:cs="Times New Roman"/>
          <w:kern w:val="24"/>
        </w:rPr>
        <w:t xml:space="preserve"> Charles, « La gestion du risque de liquidité », Revue de la Stabilité Financière, Banque de France, N° 11, 2008,</w:t>
      </w:r>
      <w:r w:rsidRPr="001374DC">
        <w:rPr>
          <w:rFonts w:ascii="Times New Roman" w:hAnsi="Times New Roman" w:cs="Times New Roman"/>
          <w:kern w:val="24"/>
          <w:sz w:val="24"/>
          <w:szCs w:val="24"/>
        </w:rPr>
        <w:t xml:space="preserve"> </w:t>
      </w:r>
      <w:r w:rsidRPr="001374DC">
        <w:rPr>
          <w:rFonts w:ascii="Times New Roman" w:hAnsi="Times New Roman" w:cs="Times New Roman"/>
          <w:kern w:val="24"/>
        </w:rPr>
        <w:t>p. 42.</w:t>
      </w:r>
    </w:p>
  </w:footnote>
  <w:footnote w:id="183">
    <w:p w14:paraId="6B69F696" w14:textId="77777777" w:rsidR="009C2D83" w:rsidRPr="001374DC" w:rsidRDefault="009C2D83" w:rsidP="001374DC">
      <w:pPr>
        <w:pStyle w:val="Notedebasdepage"/>
        <w:suppressAutoHyphens/>
        <w:rPr>
          <w:rFonts w:ascii="Times New Roman" w:hAnsi="Times New Roman" w:cs="Times New Roman"/>
          <w:iCs/>
          <w:kern w:val="24"/>
          <w:lang w:val="en-GB"/>
        </w:rPr>
      </w:pPr>
      <w:r w:rsidRPr="001374DC">
        <w:rPr>
          <w:rStyle w:val="Appelnotedebasdep"/>
          <w:rFonts w:ascii="Times New Roman" w:hAnsi="Times New Roman"/>
          <w:kern w:val="24"/>
        </w:rPr>
        <w:footnoteRef/>
      </w:r>
      <w:r w:rsidRPr="001374DC">
        <w:rPr>
          <w:rFonts w:ascii="Times New Roman" w:hAnsi="Times New Roman" w:cs="Times New Roman"/>
          <w:iCs/>
          <w:smallCaps/>
          <w:kern w:val="24"/>
          <w:lang w:val="en-GB"/>
        </w:rPr>
        <w:t xml:space="preserve"> Bryant</w:t>
      </w:r>
      <w:r w:rsidRPr="001374DC">
        <w:rPr>
          <w:rFonts w:ascii="Times New Roman" w:hAnsi="Times New Roman" w:cs="Times New Roman"/>
          <w:iCs/>
          <w:kern w:val="24"/>
          <w:lang w:val="en-GB"/>
        </w:rPr>
        <w:t xml:space="preserve"> John, “A model of reserves, bank runs and deposit insurance”, Journal of Banking and Finance, Vol.</w:t>
      </w:r>
      <w:r w:rsidRPr="001374DC">
        <w:rPr>
          <w:rFonts w:ascii="Times New Roman" w:hAnsi="Times New Roman" w:cs="Times New Roman"/>
          <w:kern w:val="24"/>
          <w:lang w:val="en-GB"/>
        </w:rPr>
        <w:t> </w:t>
      </w:r>
      <w:r w:rsidRPr="001374DC">
        <w:rPr>
          <w:rFonts w:ascii="Times New Roman" w:hAnsi="Times New Roman" w:cs="Times New Roman"/>
          <w:iCs/>
          <w:kern w:val="24"/>
          <w:lang w:val="en-GB"/>
        </w:rPr>
        <w:t>4, N° 4, 1980, p. 340.</w:t>
      </w:r>
    </w:p>
  </w:footnote>
  <w:footnote w:id="184">
    <w:p w14:paraId="5B25C31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Chelly</w:t>
      </w:r>
      <w:r w:rsidRPr="001374DC">
        <w:rPr>
          <w:rFonts w:ascii="Times New Roman" w:hAnsi="Times New Roman" w:cs="Times New Roman"/>
          <w:kern w:val="24"/>
        </w:rPr>
        <w:t xml:space="preserve"> et </w:t>
      </w:r>
      <w:r w:rsidRPr="001374DC">
        <w:rPr>
          <w:rFonts w:ascii="Times New Roman" w:hAnsi="Times New Roman" w:cs="Times New Roman"/>
          <w:smallCaps/>
          <w:kern w:val="24"/>
        </w:rPr>
        <w:t>Sébéloné</w:t>
      </w:r>
      <w:r w:rsidRPr="001374DC">
        <w:rPr>
          <w:rFonts w:ascii="Times New Roman" w:hAnsi="Times New Roman" w:cs="Times New Roman"/>
          <w:kern w:val="24"/>
        </w:rPr>
        <w:t>, 2014, référence citée, p. 21.</w:t>
      </w:r>
    </w:p>
  </w:footnote>
  <w:footnote w:id="185">
    <w:p w14:paraId="52BB1BA8"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eastAsia="fr-FR"/>
        </w:rPr>
        <w:t xml:space="preserve"> Cumming</w:t>
      </w:r>
      <w:r w:rsidRPr="001374DC">
        <w:rPr>
          <w:rFonts w:ascii="Times New Roman" w:hAnsi="Times New Roman" w:cs="Times New Roman"/>
          <w:kern w:val="24"/>
          <w:sz w:val="20"/>
          <w:szCs w:val="20"/>
          <w:lang w:val="en-GB" w:eastAsia="fr-FR"/>
        </w:rPr>
        <w:t xml:space="preserve"> Christine and </w:t>
      </w:r>
      <w:r w:rsidRPr="001374DC">
        <w:rPr>
          <w:rFonts w:ascii="Times New Roman" w:hAnsi="Times New Roman" w:cs="Times New Roman"/>
          <w:smallCaps/>
          <w:kern w:val="24"/>
          <w:sz w:val="20"/>
          <w:szCs w:val="20"/>
          <w:lang w:val="en-GB" w:eastAsia="fr-FR"/>
        </w:rPr>
        <w:t>Beverly</w:t>
      </w:r>
      <w:r w:rsidRPr="001374DC">
        <w:rPr>
          <w:rFonts w:ascii="Times New Roman" w:hAnsi="Times New Roman" w:cs="Times New Roman"/>
          <w:kern w:val="24"/>
          <w:sz w:val="20"/>
          <w:szCs w:val="20"/>
          <w:lang w:val="en-GB" w:eastAsia="fr-FR"/>
        </w:rPr>
        <w:t xml:space="preserve"> Hirtle J, </w:t>
      </w:r>
      <w:r w:rsidRPr="001374DC">
        <w:rPr>
          <w:rFonts w:ascii="Times New Roman" w:hAnsi="Times New Roman" w:cs="Times New Roman"/>
          <w:kern w:val="24"/>
          <w:sz w:val="20"/>
          <w:szCs w:val="20"/>
          <w:lang w:val="en-GB"/>
        </w:rPr>
        <w:t>“</w:t>
      </w:r>
      <w:r w:rsidRPr="001374DC">
        <w:rPr>
          <w:rFonts w:ascii="Times New Roman" w:hAnsi="Times New Roman" w:cs="Times New Roman"/>
          <w:kern w:val="24"/>
          <w:sz w:val="20"/>
          <w:szCs w:val="20"/>
          <w:lang w:val="en-GB" w:eastAsia="fr-FR"/>
        </w:rPr>
        <w:t>The Challenges of Risk Management in Diversified Financial Companies”, Economic Policy Review, Federal Reserve Bank of New York, N° 7, p. 2.</w:t>
      </w:r>
    </w:p>
  </w:footnote>
  <w:footnote w:id="186">
    <w:p w14:paraId="6F20D9FD"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Ebondo</w:t>
      </w:r>
      <w:r w:rsidRPr="001374DC">
        <w:rPr>
          <w:rFonts w:ascii="Times New Roman" w:hAnsi="Times New Roman" w:cs="Times New Roman"/>
          <w:kern w:val="24"/>
          <w:sz w:val="20"/>
          <w:szCs w:val="20"/>
        </w:rPr>
        <w:t xml:space="preserve"> Eustache, </w:t>
      </w:r>
      <w:r w:rsidRPr="001374DC">
        <w:rPr>
          <w:rFonts w:ascii="Times New Roman" w:hAnsi="Times New Roman" w:cs="Times New Roman"/>
          <w:smallCaps/>
          <w:kern w:val="24"/>
          <w:sz w:val="20"/>
          <w:szCs w:val="20"/>
        </w:rPr>
        <w:t>Mandzila</w:t>
      </w:r>
      <w:r w:rsidRPr="001374DC">
        <w:rPr>
          <w:rFonts w:ascii="Times New Roman" w:hAnsi="Times New Roman" w:cs="Times New Roman"/>
          <w:kern w:val="24"/>
          <w:sz w:val="20"/>
          <w:szCs w:val="20"/>
        </w:rPr>
        <w:t xml:space="preserve"> Wa et </w:t>
      </w:r>
      <w:r w:rsidRPr="001374DC">
        <w:rPr>
          <w:rFonts w:ascii="Times New Roman" w:hAnsi="Times New Roman" w:cs="Times New Roman"/>
          <w:smallCaps/>
          <w:kern w:val="24"/>
          <w:sz w:val="20"/>
          <w:szCs w:val="20"/>
        </w:rPr>
        <w:t>Zéghal</w:t>
      </w:r>
      <w:r w:rsidRPr="001374DC">
        <w:rPr>
          <w:rFonts w:ascii="Times New Roman" w:hAnsi="Times New Roman" w:cs="Times New Roman"/>
          <w:kern w:val="24"/>
          <w:sz w:val="20"/>
          <w:szCs w:val="20"/>
        </w:rPr>
        <w:t xml:space="preserve"> Daniel, « Management des risques de l’entreprise », La revue des sciences de gestion, N° 237-238, 2009, p. 10.</w:t>
      </w:r>
    </w:p>
  </w:footnote>
  <w:footnote w:id="187">
    <w:p w14:paraId="5A57B692"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Dionne</w:t>
      </w:r>
      <w:r w:rsidRPr="001374DC">
        <w:rPr>
          <w:rFonts w:ascii="Times New Roman" w:hAnsi="Times New Roman" w:cs="Times New Roman"/>
          <w:kern w:val="24"/>
          <w:sz w:val="20"/>
          <w:szCs w:val="20"/>
        </w:rPr>
        <w:t xml:space="preserve"> Georges, « Gestion des risques et assurances », Notes du cours, HEC, Montréal, 2001, p. 14.</w:t>
      </w:r>
    </w:p>
  </w:footnote>
  <w:footnote w:id="188">
    <w:p w14:paraId="7203DC06"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Dionne</w:t>
      </w:r>
      <w:r w:rsidRPr="001374DC">
        <w:rPr>
          <w:rFonts w:ascii="Times New Roman" w:hAnsi="Times New Roman" w:cs="Times New Roman"/>
          <w:kern w:val="24"/>
          <w:sz w:val="20"/>
          <w:szCs w:val="20"/>
          <w:lang w:val="en-GB"/>
        </w:rPr>
        <w:t xml:space="preserve"> Georges</w:t>
      </w:r>
      <w:r w:rsidRPr="001374DC">
        <w:rPr>
          <w:rFonts w:ascii="Times New Roman" w:hAnsi="Times New Roman" w:cs="Times New Roman"/>
          <w:color w:val="000000"/>
          <w:kern w:val="24"/>
          <w:sz w:val="20"/>
          <w:szCs w:val="20"/>
          <w:lang w:val="en-GB"/>
        </w:rPr>
        <w:t>, “risk management: history, definition and criticism”, Risk Management and Insurance Review 16 (2), 2013,</w:t>
      </w:r>
      <w:r w:rsidRPr="001374DC">
        <w:rPr>
          <w:rFonts w:ascii="Times New Roman" w:hAnsi="Times New Roman" w:cs="Times New Roman"/>
          <w:color w:val="000000"/>
          <w:kern w:val="24"/>
          <w:sz w:val="24"/>
          <w:szCs w:val="24"/>
          <w:lang w:val="en-GB"/>
        </w:rPr>
        <w:t xml:space="preserve"> </w:t>
      </w:r>
      <w:r w:rsidRPr="001374DC">
        <w:rPr>
          <w:rFonts w:ascii="Times New Roman" w:hAnsi="Times New Roman" w:cs="Times New Roman"/>
          <w:color w:val="000000"/>
          <w:kern w:val="24"/>
          <w:sz w:val="20"/>
          <w:szCs w:val="20"/>
          <w:lang w:val="en-GB"/>
        </w:rPr>
        <w:t>p. 153.</w:t>
      </w:r>
    </w:p>
  </w:footnote>
  <w:footnote w:id="189">
    <w:p w14:paraId="191CBBFB"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eastAsia="fr-FR"/>
        </w:rPr>
        <w:t xml:space="preserve"> Beckers</w:t>
      </w:r>
      <w:r w:rsidRPr="001374DC">
        <w:rPr>
          <w:rFonts w:ascii="Times New Roman" w:hAnsi="Times New Roman" w:cs="Times New Roman"/>
          <w:kern w:val="24"/>
          <w:sz w:val="20"/>
          <w:szCs w:val="20"/>
          <w:lang w:val="en-GB" w:eastAsia="fr-FR"/>
        </w:rPr>
        <w:t xml:space="preserve"> Stan, </w:t>
      </w:r>
      <w:r w:rsidRPr="001374DC">
        <w:rPr>
          <w:rFonts w:ascii="Times New Roman" w:hAnsi="Times New Roman" w:cs="Times New Roman"/>
          <w:kern w:val="24"/>
          <w:sz w:val="20"/>
          <w:szCs w:val="20"/>
          <w:lang w:val="en-GB"/>
        </w:rPr>
        <w:t>“</w:t>
      </w:r>
      <w:r w:rsidRPr="001374DC">
        <w:rPr>
          <w:rFonts w:ascii="Times New Roman" w:hAnsi="Times New Roman" w:cs="Times New Roman"/>
          <w:kern w:val="24"/>
          <w:sz w:val="20"/>
          <w:szCs w:val="20"/>
          <w:lang w:val="en-GB" w:eastAsia="fr-FR"/>
        </w:rPr>
        <w:t>A Survey of Risk Management Theory and Practice”, Risk Management and Analysis, Vol.</w:t>
      </w:r>
      <w:r w:rsidRPr="001374DC">
        <w:rPr>
          <w:rFonts w:ascii="Times New Roman" w:hAnsi="Times New Roman" w:cs="Times New Roman"/>
          <w:kern w:val="24"/>
          <w:sz w:val="20"/>
          <w:szCs w:val="20"/>
          <w:lang w:val="en-GB"/>
        </w:rPr>
        <w:t xml:space="preserve">  </w:t>
      </w:r>
      <w:r w:rsidRPr="001374DC">
        <w:rPr>
          <w:rFonts w:ascii="Times New Roman" w:hAnsi="Times New Roman" w:cs="Times New Roman"/>
          <w:kern w:val="24"/>
          <w:sz w:val="20"/>
          <w:szCs w:val="20"/>
          <w:lang w:val="en-GB" w:eastAsia="fr-FR"/>
        </w:rPr>
        <w:t>l, 1999, p.56.</w:t>
      </w:r>
    </w:p>
  </w:footnote>
  <w:footnote w:id="190">
    <w:p w14:paraId="7E6451F0"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Rubinstein</w:t>
      </w:r>
      <w:r w:rsidRPr="001374DC">
        <w:rPr>
          <w:rFonts w:ascii="Times New Roman" w:hAnsi="Times New Roman" w:cs="Times New Roman"/>
          <w:kern w:val="24"/>
          <w:sz w:val="20"/>
          <w:szCs w:val="20"/>
          <w:lang w:val="en-GB"/>
        </w:rPr>
        <w:t xml:space="preserve"> Mark, “A history of the theory of investments”, Hoboken, John Wiley &amp; Son, 2006, p. 157.</w:t>
      </w:r>
    </w:p>
  </w:footnote>
  <w:footnote w:id="191">
    <w:p w14:paraId="69A86882"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color w:val="000000"/>
          <w:kern w:val="24"/>
        </w:rPr>
        <w:t xml:space="preserve"> Hurson</w:t>
      </w:r>
      <w:r w:rsidRPr="001374DC">
        <w:rPr>
          <w:rFonts w:ascii="Times New Roman" w:hAnsi="Times New Roman" w:cs="Times New Roman"/>
          <w:color w:val="000000"/>
          <w:kern w:val="24"/>
        </w:rPr>
        <w:t xml:space="preserve"> Christian et </w:t>
      </w:r>
      <w:r w:rsidRPr="001374DC">
        <w:rPr>
          <w:rFonts w:ascii="Times New Roman" w:hAnsi="Times New Roman" w:cs="Times New Roman"/>
          <w:smallCaps/>
          <w:color w:val="000000"/>
          <w:kern w:val="24"/>
        </w:rPr>
        <w:t>Xella-Ricci</w:t>
      </w:r>
      <w:r w:rsidRPr="001374DC">
        <w:rPr>
          <w:rFonts w:ascii="Times New Roman" w:hAnsi="Times New Roman" w:cs="Times New Roman"/>
          <w:color w:val="000000"/>
          <w:kern w:val="24"/>
        </w:rPr>
        <w:t xml:space="preserve"> Nadine, « Théorie des prix arbitrés : outils multicritères et choix des portefeuilles », Finéco, Vol. 8, N°2, 1998, p. 98.</w:t>
      </w:r>
    </w:p>
  </w:footnote>
  <w:footnote w:id="192">
    <w:p w14:paraId="7CBE3B09" w14:textId="77777777" w:rsidR="009C2D83" w:rsidRPr="001374DC" w:rsidRDefault="009C2D83" w:rsidP="001374DC">
      <w:pPr>
        <w:tabs>
          <w:tab w:val="left" w:pos="-284"/>
        </w:tabs>
        <w:suppressAutoHyphens/>
        <w:spacing w:line="240" w:lineRule="auto"/>
        <w:rPr>
          <w:rFonts w:ascii="Times New Roman" w:hAnsi="Times New Roman" w:cs="Times New Roman"/>
          <w:bCs/>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bCs/>
          <w:smallCaps/>
          <w:kern w:val="24"/>
          <w:sz w:val="20"/>
          <w:szCs w:val="20"/>
        </w:rPr>
        <w:t xml:space="preserve"> Fontaine</w:t>
      </w:r>
      <w:r w:rsidRPr="001374DC">
        <w:rPr>
          <w:rFonts w:ascii="Times New Roman" w:hAnsi="Times New Roman" w:cs="Times New Roman"/>
          <w:bCs/>
          <w:kern w:val="24"/>
          <w:sz w:val="20"/>
          <w:szCs w:val="20"/>
        </w:rPr>
        <w:t xml:space="preserve"> Patrice, « Théorie de l’arbitrage et d’évaluation des actifs financiers », HEC, Paris, 1986,</w:t>
      </w:r>
      <w:r w:rsidRPr="001374DC">
        <w:rPr>
          <w:rFonts w:ascii="Times New Roman" w:hAnsi="Times New Roman" w:cs="Times New Roman"/>
          <w:bCs/>
          <w:kern w:val="24"/>
          <w:sz w:val="24"/>
          <w:szCs w:val="24"/>
        </w:rPr>
        <w:t xml:space="preserve"> </w:t>
      </w:r>
      <w:r w:rsidRPr="001374DC">
        <w:rPr>
          <w:rFonts w:ascii="Times New Roman" w:hAnsi="Times New Roman" w:cs="Times New Roman"/>
          <w:bCs/>
          <w:kern w:val="24"/>
          <w:sz w:val="20"/>
          <w:szCs w:val="20"/>
        </w:rPr>
        <w:t>p. 24.</w:t>
      </w:r>
    </w:p>
  </w:footnote>
  <w:footnote w:id="193">
    <w:p w14:paraId="28EBB31E"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color w:val="000000"/>
          <w:kern w:val="24"/>
          <w:sz w:val="20"/>
          <w:szCs w:val="20"/>
          <w:lang w:val="en-US"/>
        </w:rPr>
        <w:t xml:space="preserve"> Tchankova</w:t>
      </w:r>
      <w:r w:rsidRPr="001374DC">
        <w:rPr>
          <w:rFonts w:ascii="Times New Roman" w:hAnsi="Times New Roman" w:cs="Times New Roman"/>
          <w:kern w:val="24"/>
          <w:sz w:val="20"/>
          <w:szCs w:val="20"/>
          <w:lang w:val="en-US" w:eastAsia="fr-FR"/>
        </w:rPr>
        <w:t xml:space="preserve"> Lubka, “Risk identification- basic stage in risk management”, Environmental Management and Health, Vol. 13, N° 3, 2002, p. 293.</w:t>
      </w:r>
    </w:p>
  </w:footnote>
  <w:footnote w:id="194">
    <w:p w14:paraId="754360A2" w14:textId="77777777" w:rsidR="009C2D83" w:rsidRPr="001374DC" w:rsidRDefault="009C2D83" w:rsidP="001374DC">
      <w:pPr>
        <w:pStyle w:val="Default"/>
        <w:suppressAutoHyphens/>
        <w:rPr>
          <w:kern w:val="24"/>
          <w:sz w:val="20"/>
          <w:szCs w:val="20"/>
          <w:lang w:val="en-GB"/>
        </w:rPr>
      </w:pPr>
      <w:r w:rsidRPr="001374DC">
        <w:rPr>
          <w:rStyle w:val="Appelnotedebasdep"/>
          <w:kern w:val="24"/>
          <w:sz w:val="20"/>
          <w:szCs w:val="20"/>
        </w:rPr>
        <w:footnoteRef/>
      </w:r>
      <w:r w:rsidRPr="001374DC">
        <w:rPr>
          <w:smallCaps/>
          <w:kern w:val="24"/>
          <w:sz w:val="20"/>
          <w:szCs w:val="20"/>
          <w:lang w:val="en-US"/>
        </w:rPr>
        <w:t xml:space="preserve"> William</w:t>
      </w:r>
      <w:r w:rsidRPr="001374DC">
        <w:rPr>
          <w:kern w:val="24"/>
          <w:sz w:val="20"/>
          <w:szCs w:val="20"/>
          <w:lang w:val="en-US"/>
        </w:rPr>
        <w:t xml:space="preserve"> Arthur C, </w:t>
      </w:r>
      <w:r w:rsidRPr="001374DC">
        <w:rPr>
          <w:smallCaps/>
          <w:kern w:val="24"/>
          <w:sz w:val="20"/>
          <w:szCs w:val="20"/>
          <w:lang w:val="en-US"/>
        </w:rPr>
        <w:t>Smith</w:t>
      </w:r>
      <w:r w:rsidRPr="001374DC">
        <w:rPr>
          <w:kern w:val="24"/>
          <w:sz w:val="20"/>
          <w:szCs w:val="20"/>
          <w:lang w:val="en-US"/>
        </w:rPr>
        <w:t xml:space="preserve"> Michael I and </w:t>
      </w:r>
      <w:r w:rsidRPr="001374DC">
        <w:rPr>
          <w:smallCaps/>
          <w:kern w:val="24"/>
          <w:sz w:val="20"/>
          <w:szCs w:val="20"/>
          <w:lang w:val="en-US"/>
        </w:rPr>
        <w:t>Young</w:t>
      </w:r>
      <w:r w:rsidRPr="001374DC">
        <w:rPr>
          <w:kern w:val="24"/>
          <w:sz w:val="20"/>
          <w:szCs w:val="20"/>
          <w:lang w:val="en-US"/>
        </w:rPr>
        <w:t xml:space="preserve"> Peter C, “Risk management and insurance”, Irwin Mc Graw Hill, 1998, p. 62.</w:t>
      </w:r>
    </w:p>
  </w:footnote>
  <w:footnote w:id="195">
    <w:p w14:paraId="34DF25C8"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Khan</w:t>
      </w:r>
      <w:r w:rsidRPr="001374DC">
        <w:rPr>
          <w:rFonts w:ascii="Times New Roman" w:hAnsi="Times New Roman" w:cs="Times New Roman"/>
          <w:kern w:val="24"/>
        </w:rPr>
        <w:t xml:space="preserve"> et </w:t>
      </w:r>
      <w:r w:rsidRPr="001374DC">
        <w:rPr>
          <w:rFonts w:ascii="Times New Roman" w:hAnsi="Times New Roman" w:cs="Times New Roman"/>
          <w:smallCaps/>
          <w:kern w:val="24"/>
        </w:rPr>
        <w:t>Ahmad</w:t>
      </w:r>
      <w:r w:rsidRPr="001374DC">
        <w:rPr>
          <w:rFonts w:ascii="Times New Roman" w:hAnsi="Times New Roman" w:cs="Times New Roman"/>
          <w:kern w:val="24"/>
        </w:rPr>
        <w:t>, 2002, référence citée, p. 32.</w:t>
      </w:r>
    </w:p>
  </w:footnote>
  <w:footnote w:id="196">
    <w:p w14:paraId="6FB9381B"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eastAsia="fr-FR"/>
        </w:rPr>
        <w:t xml:space="preserve"> Bessis </w:t>
      </w:r>
      <w:r w:rsidRPr="001374DC">
        <w:rPr>
          <w:rFonts w:ascii="Times New Roman" w:hAnsi="Times New Roman" w:cs="Times New Roman"/>
          <w:kern w:val="24"/>
          <w:sz w:val="20"/>
          <w:szCs w:val="20"/>
          <w:lang w:eastAsia="fr-FR"/>
        </w:rPr>
        <w:t>Joel, « Gestion des risques et gestion actif-passif des banques », Edition Dalloz, 1995, p. 138-139.</w:t>
      </w:r>
    </w:p>
  </w:footnote>
  <w:footnote w:id="197">
    <w:p w14:paraId="2FAA4478"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color w:val="000000"/>
          <w:kern w:val="24"/>
          <w:sz w:val="20"/>
          <w:szCs w:val="20"/>
          <w:lang w:val="en-US"/>
        </w:rPr>
        <w:t xml:space="preserve"> Timothy</w:t>
      </w:r>
      <w:r w:rsidRPr="001374DC">
        <w:rPr>
          <w:rFonts w:ascii="Times New Roman" w:hAnsi="Times New Roman" w:cs="Times New Roman"/>
          <w:color w:val="000000"/>
          <w:kern w:val="24"/>
          <w:sz w:val="20"/>
          <w:szCs w:val="20"/>
          <w:lang w:val="en-US"/>
        </w:rPr>
        <w:t xml:space="preserve"> Koch W and </w:t>
      </w:r>
      <w:r w:rsidRPr="001374DC">
        <w:rPr>
          <w:rFonts w:ascii="Times New Roman" w:hAnsi="Times New Roman" w:cs="Times New Roman"/>
          <w:smallCaps/>
          <w:color w:val="000000"/>
          <w:kern w:val="24"/>
          <w:sz w:val="20"/>
          <w:szCs w:val="20"/>
          <w:lang w:val="en-US"/>
        </w:rPr>
        <w:t>Scott MacDonald</w:t>
      </w:r>
      <w:r w:rsidRPr="001374DC">
        <w:rPr>
          <w:rFonts w:ascii="Times New Roman" w:hAnsi="Times New Roman" w:cs="Times New Roman"/>
          <w:color w:val="000000"/>
          <w:kern w:val="24"/>
          <w:sz w:val="20"/>
          <w:szCs w:val="20"/>
          <w:lang w:val="en-US"/>
        </w:rPr>
        <w:t xml:space="preserve"> S., </w:t>
      </w:r>
      <w:r w:rsidRPr="001374DC">
        <w:rPr>
          <w:rFonts w:ascii="Times New Roman" w:hAnsi="Times New Roman" w:cs="Times New Roman"/>
          <w:kern w:val="24"/>
          <w:sz w:val="20"/>
          <w:szCs w:val="20"/>
          <w:lang w:val="en-US" w:eastAsia="fr-FR"/>
        </w:rPr>
        <w:t>“</w:t>
      </w:r>
      <w:r w:rsidRPr="001374DC">
        <w:rPr>
          <w:rFonts w:ascii="Times New Roman" w:hAnsi="Times New Roman" w:cs="Times New Roman"/>
          <w:color w:val="000000"/>
          <w:kern w:val="24"/>
          <w:sz w:val="20"/>
          <w:szCs w:val="20"/>
          <w:lang w:val="en-US"/>
        </w:rPr>
        <w:t>Managing interest rate risk; duration GAP and economic value of equity”</w:t>
      </w:r>
      <w:r w:rsidRPr="001374DC">
        <w:rPr>
          <w:rFonts w:ascii="Times New Roman" w:hAnsi="Times New Roman" w:cs="Times New Roman"/>
          <w:kern w:val="24"/>
          <w:sz w:val="20"/>
          <w:szCs w:val="20"/>
          <w:lang w:val="en-GB"/>
        </w:rPr>
        <w:t>,</w:t>
      </w:r>
      <w:r w:rsidRPr="001374DC">
        <w:rPr>
          <w:rFonts w:ascii="Times New Roman" w:hAnsi="Times New Roman" w:cs="Times New Roman"/>
          <w:color w:val="000000"/>
          <w:kern w:val="24"/>
          <w:sz w:val="20"/>
          <w:szCs w:val="20"/>
          <w:lang w:val="en-US"/>
        </w:rPr>
        <w:t xml:space="preserve"> South-Western, 2006, p. 55.</w:t>
      </w:r>
    </w:p>
  </w:footnote>
  <w:footnote w:id="198">
    <w:p w14:paraId="32116F5C"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w:t>
      </w:r>
      <w:r w:rsidRPr="001374DC">
        <w:rPr>
          <w:rFonts w:ascii="Times New Roman" w:hAnsi="Times New Roman" w:cs="Times New Roman"/>
          <w:smallCaps/>
          <w:spacing w:val="-2"/>
          <w:kern w:val="24"/>
        </w:rPr>
        <w:t>Roncalli</w:t>
      </w:r>
      <w:r w:rsidRPr="001374DC">
        <w:rPr>
          <w:rFonts w:ascii="Times New Roman" w:hAnsi="Times New Roman" w:cs="Times New Roman"/>
          <w:spacing w:val="-2"/>
          <w:kern w:val="24"/>
        </w:rPr>
        <w:t xml:space="preserve"> Thierry, « Introduction à la gestion des risques », Notes de cours, Groupe Crédit Lyonnais, 2001, p. 37.</w:t>
      </w:r>
    </w:p>
  </w:footnote>
  <w:footnote w:id="199">
    <w:p w14:paraId="61E9E600"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Jorion</w:t>
      </w:r>
      <w:r w:rsidRPr="001374DC">
        <w:rPr>
          <w:rFonts w:ascii="Times New Roman" w:hAnsi="Times New Roman" w:cs="Times New Roman"/>
          <w:kern w:val="24"/>
          <w:lang w:val="en-GB"/>
        </w:rPr>
        <w:t xml:space="preserve"> Phillipe, and </w:t>
      </w:r>
      <w:r w:rsidRPr="001374DC">
        <w:rPr>
          <w:rFonts w:ascii="Times New Roman" w:hAnsi="Times New Roman" w:cs="Times New Roman"/>
          <w:smallCaps/>
          <w:kern w:val="24"/>
          <w:lang w:val="en-GB"/>
        </w:rPr>
        <w:t>Khoury</w:t>
      </w:r>
      <w:r w:rsidRPr="001374DC">
        <w:rPr>
          <w:rFonts w:ascii="Times New Roman" w:hAnsi="Times New Roman" w:cs="Times New Roman"/>
          <w:kern w:val="24"/>
          <w:lang w:val="en-GB"/>
        </w:rPr>
        <w:t xml:space="preserve"> Joseph Sarkis, “Financial Risk Management: Domestic and International Dimensions”, Cambridge, Massachusetts: Blackwell Publishers, 1996, p. 122.</w:t>
      </w:r>
    </w:p>
  </w:footnote>
  <w:footnote w:id="200">
    <w:p w14:paraId="65297613"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eastAsia="fr-FR"/>
        </w:rPr>
        <w:t xml:space="preserve"> Christopher</w:t>
      </w:r>
      <w:r w:rsidRPr="001374DC">
        <w:rPr>
          <w:rFonts w:ascii="Times New Roman" w:hAnsi="Times New Roman" w:cs="Times New Roman"/>
          <w:kern w:val="24"/>
          <w:sz w:val="20"/>
          <w:szCs w:val="20"/>
          <w:lang w:val="en-US" w:eastAsia="fr-FR"/>
        </w:rPr>
        <w:t xml:space="preserve"> James,</w:t>
      </w:r>
      <w:r w:rsidRPr="001374DC">
        <w:rPr>
          <w:rFonts w:ascii="Times New Roman" w:hAnsi="Times New Roman" w:cs="Times New Roman"/>
          <w:i/>
          <w:iCs/>
          <w:kern w:val="24"/>
          <w:sz w:val="20"/>
          <w:szCs w:val="20"/>
          <w:lang w:val="en-US" w:eastAsia="fr-FR"/>
        </w:rPr>
        <w:t xml:space="preserve"> </w:t>
      </w:r>
      <w:r w:rsidRPr="001374DC">
        <w:rPr>
          <w:rFonts w:ascii="Times New Roman" w:hAnsi="Times New Roman" w:cs="Times New Roman"/>
          <w:kern w:val="24"/>
          <w:sz w:val="20"/>
          <w:szCs w:val="20"/>
          <w:lang w:val="en-US"/>
        </w:rPr>
        <w:t>“</w:t>
      </w:r>
      <w:r w:rsidRPr="001374DC">
        <w:rPr>
          <w:rFonts w:ascii="Times New Roman" w:hAnsi="Times New Roman" w:cs="Times New Roman"/>
          <w:kern w:val="24"/>
          <w:sz w:val="20"/>
          <w:szCs w:val="20"/>
          <w:lang w:val="en-US" w:eastAsia="fr-FR"/>
        </w:rPr>
        <w:t>RAROC based capital budgeting and performance evaluation”, Working paper, The Wharton School, 1996,</w:t>
      </w:r>
      <w:r w:rsidRPr="001374DC">
        <w:rPr>
          <w:rFonts w:ascii="Times New Roman" w:hAnsi="Times New Roman" w:cs="Times New Roman"/>
          <w:kern w:val="24"/>
          <w:sz w:val="24"/>
          <w:szCs w:val="24"/>
          <w:lang w:val="en-US" w:eastAsia="fr-FR"/>
        </w:rPr>
        <w:t xml:space="preserve"> </w:t>
      </w:r>
      <w:r w:rsidRPr="001374DC">
        <w:rPr>
          <w:rFonts w:ascii="Times New Roman" w:hAnsi="Times New Roman" w:cs="Times New Roman"/>
          <w:kern w:val="24"/>
          <w:sz w:val="20"/>
          <w:szCs w:val="20"/>
          <w:lang w:val="en-US" w:eastAsia="fr-FR"/>
        </w:rPr>
        <w:t>p. 3.</w:t>
      </w:r>
    </w:p>
  </w:footnote>
  <w:footnote w:id="201">
    <w:p w14:paraId="02A39C36" w14:textId="77777777" w:rsidR="009C2D83" w:rsidRPr="001374DC" w:rsidRDefault="009C2D83" w:rsidP="001374DC">
      <w:pPr>
        <w:pStyle w:val="Titre1"/>
        <w:suppressAutoHyphens/>
        <w:spacing w:before="0" w:beforeAutospacing="0" w:after="0" w:afterAutospacing="0"/>
        <w:rPr>
          <w:b w:val="0"/>
          <w:bCs w:val="0"/>
          <w:color w:val="111111"/>
          <w:kern w:val="24"/>
          <w:sz w:val="20"/>
          <w:szCs w:val="20"/>
        </w:rPr>
      </w:pPr>
      <w:r w:rsidRPr="001374DC">
        <w:rPr>
          <w:rStyle w:val="Appelnotedebasdep"/>
          <w:b w:val="0"/>
          <w:bCs w:val="0"/>
          <w:kern w:val="24"/>
          <w:sz w:val="20"/>
          <w:szCs w:val="20"/>
        </w:rPr>
        <w:footnoteRef/>
      </w:r>
      <w:r w:rsidRPr="001374DC">
        <w:rPr>
          <w:b w:val="0"/>
          <w:bCs w:val="0"/>
          <w:smallCaps/>
          <w:kern w:val="24"/>
          <w:sz w:val="20"/>
          <w:szCs w:val="20"/>
        </w:rPr>
        <w:t xml:space="preserve"> Elhamma</w:t>
      </w:r>
      <w:r w:rsidRPr="001374DC">
        <w:rPr>
          <w:b w:val="0"/>
          <w:bCs w:val="0"/>
          <w:kern w:val="24"/>
          <w:sz w:val="20"/>
          <w:szCs w:val="20"/>
        </w:rPr>
        <w:t xml:space="preserve"> </w:t>
      </w:r>
      <w:hyperlink r:id="rId23" w:history="1">
        <w:r w:rsidRPr="001374DC">
          <w:rPr>
            <w:rStyle w:val="Lienhypertexte"/>
            <w:b w:val="0"/>
            <w:bCs w:val="0"/>
            <w:color w:val="auto"/>
            <w:kern w:val="24"/>
            <w:sz w:val="20"/>
            <w:szCs w:val="20"/>
            <w:u w:val="none"/>
            <w:bdr w:val="none" w:sz="0" w:space="0" w:color="auto" w:frame="1"/>
            <w:shd w:val="clear" w:color="auto" w:fill="FFFFFF"/>
          </w:rPr>
          <w:t>Azzouz</w:t>
        </w:r>
      </w:hyperlink>
      <w:r w:rsidRPr="001374DC">
        <w:rPr>
          <w:b w:val="0"/>
          <w:bCs w:val="0"/>
          <w:kern w:val="24"/>
          <w:sz w:val="20"/>
          <w:szCs w:val="20"/>
        </w:rPr>
        <w:t>, « </w:t>
      </w:r>
      <w:r w:rsidRPr="001374DC">
        <w:rPr>
          <w:b w:val="0"/>
          <w:bCs w:val="0"/>
          <w:color w:val="111111"/>
          <w:kern w:val="24"/>
          <w:sz w:val="20"/>
          <w:szCs w:val="20"/>
        </w:rPr>
        <w:t>La gestion du risque crédit par la méthode du scoring : cas de la Banque Populaire de Rabat-Kénitra », HAL archives-ouvertes, 2009, p. 4.</w:t>
      </w:r>
    </w:p>
  </w:footnote>
  <w:footnote w:id="202">
    <w:p w14:paraId="59AC66E8"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color w:val="000000"/>
          <w:kern w:val="24"/>
          <w:shd w:val="clear" w:color="auto" w:fill="FFFFFF"/>
        </w:rPr>
        <w:t>Ramage</w:t>
      </w:r>
      <w:r w:rsidRPr="001374DC">
        <w:rPr>
          <w:rFonts w:ascii="Times New Roman" w:hAnsi="Times New Roman" w:cs="Times New Roman"/>
          <w:color w:val="000000"/>
          <w:kern w:val="24"/>
          <w:shd w:val="clear" w:color="auto" w:fill="FFFFFF"/>
        </w:rPr>
        <w:t xml:space="preserve"> Pierre, « Analyse et diagnostic </w:t>
      </w:r>
      <w:r w:rsidRPr="001374DC">
        <w:rPr>
          <w:rStyle w:val="ff7"/>
          <w:rFonts w:ascii="Times New Roman" w:hAnsi="Times New Roman" w:cs="Times New Roman"/>
          <w:color w:val="000000"/>
          <w:kern w:val="24"/>
          <w:shd w:val="clear" w:color="auto" w:fill="FFFFFF"/>
        </w:rPr>
        <w:t xml:space="preserve">financier », </w:t>
      </w:r>
      <w:r w:rsidRPr="001374DC">
        <w:rPr>
          <w:rStyle w:val="ff7"/>
          <w:rFonts w:ascii="Times New Roman" w:hAnsi="Times New Roman" w:cs="Times New Roman"/>
          <w:caps/>
          <w:kern w:val="24"/>
          <w:shd w:val="clear" w:color="auto" w:fill="FFFFFF"/>
        </w:rPr>
        <w:t>é</w:t>
      </w:r>
      <w:r w:rsidRPr="001374DC">
        <w:rPr>
          <w:rStyle w:val="ff7"/>
          <w:rFonts w:ascii="Times New Roman" w:hAnsi="Times New Roman" w:cs="Times New Roman"/>
          <w:color w:val="000000"/>
          <w:kern w:val="24"/>
          <w:shd w:val="clear" w:color="auto" w:fill="FFFFFF"/>
        </w:rPr>
        <w:t>d. d’Organisation, 2001, p. 267.</w:t>
      </w:r>
    </w:p>
  </w:footnote>
  <w:footnote w:id="203">
    <w:p w14:paraId="45F4C154"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Belmamoun</w:t>
      </w:r>
      <w:r w:rsidRPr="001374DC">
        <w:rPr>
          <w:rFonts w:ascii="Times New Roman" w:hAnsi="Times New Roman" w:cs="Times New Roman"/>
          <w:kern w:val="24"/>
        </w:rPr>
        <w:t xml:space="preserve"> Mohamed Othmane, « Le stress testing du risque de crédit appliqué au portefeuille de clients de Finéa Maroc », HEC Montréal, 2014, p. 9.</w:t>
      </w:r>
    </w:p>
  </w:footnote>
  <w:footnote w:id="204">
    <w:p w14:paraId="59A98556"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w:t>
      </w:r>
      <w:r w:rsidRPr="001374DC">
        <w:rPr>
          <w:rFonts w:ascii="Times New Roman" w:hAnsi="Times New Roman" w:cs="Times New Roman"/>
          <w:smallCaps/>
          <w:spacing w:val="-4"/>
          <w:kern w:val="24"/>
          <w:sz w:val="20"/>
          <w:szCs w:val="20"/>
        </w:rPr>
        <w:t>De Boissieu</w:t>
      </w:r>
      <w:r w:rsidRPr="001374DC">
        <w:rPr>
          <w:rFonts w:ascii="Times New Roman" w:hAnsi="Times New Roman" w:cs="Times New Roman"/>
          <w:spacing w:val="-4"/>
          <w:kern w:val="24"/>
          <w:sz w:val="20"/>
          <w:szCs w:val="20"/>
        </w:rPr>
        <w:t xml:space="preserve"> Christian, « La titrisation : une mise en perspective », Revue d’Economie Financière, n° 59, 2000, p. 20.</w:t>
      </w:r>
    </w:p>
  </w:footnote>
  <w:footnote w:id="205">
    <w:p w14:paraId="576D1B91"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eastAsia="fr-FR"/>
        </w:rPr>
        <w:t xml:space="preserve"> Rives-Lange</w:t>
      </w:r>
      <w:r w:rsidRPr="001374DC">
        <w:rPr>
          <w:rFonts w:ascii="Times New Roman" w:hAnsi="Times New Roman" w:cs="Times New Roman"/>
          <w:kern w:val="24"/>
          <w:sz w:val="20"/>
          <w:szCs w:val="20"/>
          <w:lang w:eastAsia="fr-FR"/>
        </w:rPr>
        <w:t xml:space="preserve"> Jean-Louis et </w:t>
      </w:r>
      <w:r w:rsidRPr="001374DC">
        <w:rPr>
          <w:rFonts w:ascii="Times New Roman" w:hAnsi="Times New Roman" w:cs="Times New Roman"/>
          <w:smallCaps/>
          <w:kern w:val="24"/>
          <w:sz w:val="20"/>
          <w:szCs w:val="20"/>
          <w:lang w:eastAsia="fr-FR"/>
        </w:rPr>
        <w:t>Contamine- Raynaud</w:t>
      </w:r>
      <w:r w:rsidRPr="001374DC">
        <w:rPr>
          <w:rFonts w:ascii="Times New Roman" w:hAnsi="Times New Roman" w:cs="Times New Roman"/>
          <w:kern w:val="24"/>
          <w:sz w:val="20"/>
          <w:szCs w:val="20"/>
          <w:lang w:eastAsia="fr-FR"/>
        </w:rPr>
        <w:t xml:space="preserve"> Monique, « Le droit bancaire », Edition Dalloz, 6° ED, 1995, p. 654.</w:t>
      </w:r>
    </w:p>
  </w:footnote>
  <w:footnote w:id="206">
    <w:p w14:paraId="0FC77606"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Beltas</w:t>
      </w:r>
      <w:r w:rsidRPr="001374DC">
        <w:rPr>
          <w:rFonts w:ascii="Times New Roman" w:hAnsi="Times New Roman" w:cs="Times New Roman"/>
          <w:kern w:val="24"/>
        </w:rPr>
        <w:t xml:space="preserve"> Abdelkader, (2007), « La titrisation : </w:t>
      </w:r>
      <w:r w:rsidRPr="001374DC">
        <w:rPr>
          <w:rFonts w:ascii="Times New Roman" w:hAnsi="Times New Roman" w:cs="Times New Roman"/>
          <w:color w:val="000000"/>
          <w:kern w:val="24"/>
          <w:shd w:val="clear" w:color="auto" w:fill="FFFFFF"/>
        </w:rPr>
        <w:t>Un instrument efficace pour la gestion du risque du crédit bancaire</w:t>
      </w:r>
      <w:r w:rsidRPr="001374DC">
        <w:rPr>
          <w:rFonts w:ascii="Times New Roman" w:hAnsi="Times New Roman" w:cs="Times New Roman"/>
          <w:kern w:val="24"/>
        </w:rPr>
        <w:t> », Edition Legende, p. 3.</w:t>
      </w:r>
    </w:p>
  </w:footnote>
  <w:footnote w:id="207">
    <w:p w14:paraId="720790AE"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La Baume</w:t>
      </w:r>
      <w:r w:rsidRPr="001374DC">
        <w:rPr>
          <w:rFonts w:ascii="Times New Roman" w:hAnsi="Times New Roman" w:cs="Times New Roman"/>
          <w:kern w:val="24"/>
          <w:sz w:val="20"/>
          <w:szCs w:val="20"/>
        </w:rPr>
        <w:t xml:space="preserve"> C et </w:t>
      </w:r>
      <w:r w:rsidRPr="001374DC">
        <w:rPr>
          <w:rFonts w:ascii="Times New Roman" w:hAnsi="Times New Roman" w:cs="Times New Roman"/>
          <w:smallCaps/>
          <w:kern w:val="24"/>
          <w:sz w:val="20"/>
          <w:szCs w:val="20"/>
        </w:rPr>
        <w:t>Stolowy</w:t>
      </w:r>
      <w:r w:rsidRPr="001374DC">
        <w:rPr>
          <w:rFonts w:ascii="Times New Roman" w:hAnsi="Times New Roman" w:cs="Times New Roman"/>
          <w:kern w:val="24"/>
          <w:sz w:val="20"/>
          <w:szCs w:val="20"/>
        </w:rPr>
        <w:t xml:space="preserve"> H, « Techniques financières, enregistrement et impact sur l’analyse de comptes », La revue fiduciaire comptable, n° 184, 1993, p. 9.</w:t>
      </w:r>
    </w:p>
  </w:footnote>
  <w:footnote w:id="208">
    <w:p w14:paraId="27464E83"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Matherat</w:t>
      </w:r>
      <w:r w:rsidRPr="001374DC">
        <w:rPr>
          <w:rFonts w:ascii="Times New Roman" w:hAnsi="Times New Roman" w:cs="Times New Roman"/>
          <w:kern w:val="24"/>
          <w:sz w:val="20"/>
          <w:szCs w:val="20"/>
        </w:rPr>
        <w:t xml:space="preserve">. S. et </w:t>
      </w:r>
      <w:r w:rsidRPr="001374DC">
        <w:rPr>
          <w:rFonts w:ascii="Times New Roman" w:hAnsi="Times New Roman" w:cs="Times New Roman"/>
          <w:smallCaps/>
          <w:kern w:val="24"/>
          <w:sz w:val="20"/>
          <w:szCs w:val="20"/>
        </w:rPr>
        <w:t>Toussard</w:t>
      </w:r>
      <w:r w:rsidRPr="001374DC">
        <w:rPr>
          <w:rFonts w:ascii="Times New Roman" w:hAnsi="Times New Roman" w:cs="Times New Roman"/>
          <w:kern w:val="24"/>
          <w:sz w:val="20"/>
          <w:szCs w:val="20"/>
        </w:rPr>
        <w:t>. P., 2000, « la titrisation et le système financier », Revue d’Economie Financière, n° 59, p. 29.</w:t>
      </w:r>
    </w:p>
  </w:footnote>
  <w:footnote w:id="209">
    <w:p w14:paraId="4F3EAF43" w14:textId="77777777" w:rsidR="009C2D83" w:rsidRPr="001374DC" w:rsidRDefault="009C2D83" w:rsidP="001374DC">
      <w:pPr>
        <w:pStyle w:val="Default"/>
        <w:suppressAutoHyphens/>
        <w:rPr>
          <w:kern w:val="24"/>
          <w:sz w:val="20"/>
          <w:szCs w:val="20"/>
        </w:rPr>
      </w:pPr>
      <w:r w:rsidRPr="001374DC">
        <w:rPr>
          <w:rStyle w:val="Appelnotedebasdep"/>
          <w:kern w:val="24"/>
          <w:sz w:val="20"/>
          <w:szCs w:val="20"/>
        </w:rPr>
        <w:footnoteRef/>
      </w:r>
      <w:r w:rsidRPr="001374DC">
        <w:rPr>
          <w:smallCaps/>
          <w:kern w:val="24"/>
          <w:sz w:val="20"/>
          <w:szCs w:val="20"/>
        </w:rPr>
        <w:t xml:space="preserve"> </w:t>
      </w:r>
      <w:r w:rsidRPr="001374DC">
        <w:rPr>
          <w:smallCaps/>
          <w:spacing w:val="-4"/>
          <w:kern w:val="24"/>
          <w:sz w:val="20"/>
          <w:szCs w:val="20"/>
        </w:rPr>
        <w:t>Arrata</w:t>
      </w:r>
      <w:r w:rsidRPr="001374DC">
        <w:rPr>
          <w:spacing w:val="-4"/>
          <w:kern w:val="24"/>
          <w:sz w:val="20"/>
          <w:szCs w:val="20"/>
        </w:rPr>
        <w:t xml:space="preserve">. W, </w:t>
      </w:r>
      <w:r w:rsidRPr="001374DC">
        <w:rPr>
          <w:smallCaps/>
          <w:spacing w:val="-4"/>
          <w:kern w:val="24"/>
          <w:sz w:val="20"/>
          <w:szCs w:val="20"/>
        </w:rPr>
        <w:t>Assouan</w:t>
      </w:r>
      <w:r w:rsidRPr="001374DC">
        <w:rPr>
          <w:spacing w:val="-4"/>
          <w:kern w:val="24"/>
          <w:sz w:val="20"/>
          <w:szCs w:val="20"/>
        </w:rPr>
        <w:t>. E. et al., 2009, « La crise financière », Banque de France, documents et débats, N° 2, p. 26.</w:t>
      </w:r>
    </w:p>
  </w:footnote>
  <w:footnote w:id="210">
    <w:p w14:paraId="32D6759B" w14:textId="77777777" w:rsidR="009C2D83" w:rsidRPr="001374DC" w:rsidRDefault="009C2D83" w:rsidP="001374DC">
      <w:pPr>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rPr>
        <w:t xml:space="preserve"> </w:t>
      </w:r>
      <w:hyperlink r:id="rId24" w:history="1">
        <w:r w:rsidRPr="001374DC">
          <w:rPr>
            <w:rStyle w:val="Lienhypertexte"/>
            <w:rFonts w:ascii="Times New Roman" w:hAnsi="Times New Roman" w:cs="Times New Roman"/>
            <w:kern w:val="24"/>
            <w:sz w:val="20"/>
            <w:szCs w:val="20"/>
          </w:rPr>
          <w:t>http://neumann.hec.ca/pages/francois.leroux/Note%20pedagogique%20MIC16.pdf</w:t>
        </w:r>
      </w:hyperlink>
    </w:p>
  </w:footnote>
  <w:footnote w:id="211">
    <w:p w14:paraId="686A9419" w14:textId="77777777" w:rsidR="009C2D83" w:rsidRPr="001374DC" w:rsidRDefault="009C2D83" w:rsidP="001374DC">
      <w:pPr>
        <w:pStyle w:val="Default"/>
        <w:suppressAutoHyphens/>
        <w:rPr>
          <w:kern w:val="24"/>
          <w:sz w:val="20"/>
          <w:szCs w:val="20"/>
        </w:rPr>
      </w:pPr>
      <w:r w:rsidRPr="001374DC">
        <w:rPr>
          <w:rStyle w:val="Appelnotedebasdep"/>
          <w:kern w:val="24"/>
          <w:sz w:val="20"/>
          <w:szCs w:val="20"/>
        </w:rPr>
        <w:footnoteRef/>
      </w:r>
      <w:r w:rsidRPr="001374DC">
        <w:rPr>
          <w:smallCaps/>
          <w:kern w:val="24"/>
          <w:sz w:val="20"/>
          <w:szCs w:val="20"/>
        </w:rPr>
        <w:t xml:space="preserve"> </w:t>
      </w:r>
      <w:r w:rsidRPr="001374DC">
        <w:rPr>
          <w:smallCaps/>
          <w:spacing w:val="-4"/>
          <w:kern w:val="24"/>
          <w:sz w:val="20"/>
          <w:szCs w:val="20"/>
        </w:rPr>
        <w:t>Kiff</w:t>
      </w:r>
      <w:r w:rsidRPr="001374DC">
        <w:rPr>
          <w:spacing w:val="-4"/>
          <w:kern w:val="24"/>
          <w:sz w:val="20"/>
          <w:szCs w:val="20"/>
        </w:rPr>
        <w:t xml:space="preserve"> John et </w:t>
      </w:r>
      <w:r w:rsidRPr="001374DC">
        <w:rPr>
          <w:smallCaps/>
          <w:spacing w:val="-4"/>
          <w:kern w:val="24"/>
          <w:sz w:val="20"/>
          <w:szCs w:val="20"/>
        </w:rPr>
        <w:t>Morrow</w:t>
      </w:r>
      <w:r w:rsidRPr="001374DC">
        <w:rPr>
          <w:spacing w:val="-4"/>
          <w:kern w:val="24"/>
          <w:sz w:val="20"/>
          <w:szCs w:val="20"/>
        </w:rPr>
        <w:t xml:space="preserve"> Ron, « Les produits dérivés de crédits », Revue de la banque du Canada, Automne 2000, p. 3.</w:t>
      </w:r>
    </w:p>
  </w:footnote>
  <w:footnote w:id="212">
    <w:p w14:paraId="5BC06649" w14:textId="77777777" w:rsidR="009C2D83" w:rsidRPr="001374DC" w:rsidRDefault="009C2D83" w:rsidP="001374DC">
      <w:pPr>
        <w:pStyle w:val="Default"/>
        <w:suppressAutoHyphens/>
        <w:rPr>
          <w:kern w:val="24"/>
        </w:rPr>
      </w:pPr>
      <w:r w:rsidRPr="001374DC">
        <w:rPr>
          <w:rStyle w:val="Appelnotedebasdep"/>
          <w:kern w:val="24"/>
          <w:sz w:val="20"/>
          <w:szCs w:val="20"/>
        </w:rPr>
        <w:footnoteRef/>
      </w:r>
      <w:r w:rsidRPr="001374DC">
        <w:rPr>
          <w:smallCaps/>
          <w:kern w:val="24"/>
          <w:sz w:val="20"/>
          <w:szCs w:val="20"/>
        </w:rPr>
        <w:t xml:space="preserve"> Artus</w:t>
      </w:r>
      <w:r w:rsidRPr="001374DC">
        <w:rPr>
          <w:kern w:val="24"/>
          <w:sz w:val="20"/>
          <w:szCs w:val="20"/>
        </w:rPr>
        <w:t xml:space="preserve"> Patrick, </w:t>
      </w:r>
      <w:r w:rsidRPr="001374DC">
        <w:rPr>
          <w:smallCaps/>
          <w:kern w:val="24"/>
          <w:sz w:val="20"/>
          <w:szCs w:val="20"/>
        </w:rPr>
        <w:t>Betbèze</w:t>
      </w:r>
      <w:r w:rsidRPr="001374DC">
        <w:rPr>
          <w:kern w:val="24"/>
          <w:sz w:val="20"/>
          <w:szCs w:val="20"/>
        </w:rPr>
        <w:t xml:space="preserve"> Jean-Paul et al., « La crise des subprimes », Documentation Française, Paris, ISBN, 978-2-11-007357-0, 2008, p. 37.</w:t>
      </w:r>
    </w:p>
  </w:footnote>
  <w:footnote w:id="213">
    <w:p w14:paraId="7F20EB3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Les hedge funds sont des fonds d’investissement à risque, peu réglementés, qui font recours massivement aux effets de levier.</w:t>
      </w:r>
    </w:p>
  </w:footnote>
  <w:footnote w:id="214">
    <w:p w14:paraId="2CED7281" w14:textId="77777777" w:rsidR="009C2D83" w:rsidRPr="001374DC" w:rsidRDefault="009C2D83" w:rsidP="001374DC">
      <w:pPr>
        <w:pStyle w:val="Default"/>
        <w:suppressAutoHyphens/>
        <w:rPr>
          <w:kern w:val="24"/>
          <w:sz w:val="20"/>
          <w:szCs w:val="20"/>
        </w:rPr>
      </w:pPr>
      <w:r w:rsidRPr="001374DC">
        <w:rPr>
          <w:rStyle w:val="Appelnotedebasdep"/>
          <w:kern w:val="24"/>
          <w:sz w:val="20"/>
          <w:szCs w:val="20"/>
        </w:rPr>
        <w:footnoteRef/>
      </w:r>
      <w:r w:rsidRPr="001374DC">
        <w:rPr>
          <w:smallCaps/>
          <w:kern w:val="24"/>
          <w:sz w:val="20"/>
          <w:szCs w:val="20"/>
        </w:rPr>
        <w:t xml:space="preserve"> Mahadzir</w:t>
      </w:r>
      <w:r w:rsidRPr="001374DC">
        <w:rPr>
          <w:kern w:val="24"/>
          <w:sz w:val="20"/>
          <w:szCs w:val="20"/>
        </w:rPr>
        <w:t xml:space="preserve"> Ahmad, ʺSubprime Crisis, Islamic commercial law perspectivesʺ, SSRN Electronic Journal, abstract : 1498031, 2008, p. 32.</w:t>
      </w:r>
    </w:p>
  </w:footnote>
  <w:footnote w:id="215">
    <w:p w14:paraId="2C4E95B5" w14:textId="77777777" w:rsidR="009C2D83" w:rsidRPr="001374DC" w:rsidRDefault="009C2D83" w:rsidP="001374DC">
      <w:pPr>
        <w:pStyle w:val="Default"/>
        <w:suppressAutoHyphens/>
        <w:rPr>
          <w:kern w:val="24"/>
          <w:sz w:val="20"/>
          <w:szCs w:val="20"/>
        </w:rPr>
      </w:pPr>
      <w:r w:rsidRPr="001374DC">
        <w:rPr>
          <w:rStyle w:val="Appelnotedebasdep"/>
          <w:kern w:val="24"/>
          <w:sz w:val="20"/>
          <w:szCs w:val="20"/>
        </w:rPr>
        <w:footnoteRef/>
      </w:r>
      <w:r w:rsidRPr="001374DC">
        <w:rPr>
          <w:smallCaps/>
          <w:kern w:val="24"/>
          <w:sz w:val="20"/>
          <w:szCs w:val="20"/>
        </w:rPr>
        <w:t xml:space="preserve"> Saint Pasteur</w:t>
      </w:r>
      <w:r w:rsidRPr="001374DC">
        <w:rPr>
          <w:kern w:val="24"/>
          <w:sz w:val="20"/>
          <w:szCs w:val="20"/>
        </w:rPr>
        <w:t xml:space="preserve"> P, « Les dérivés de crédit, un danger pour la stabilité financière ? », Cahier de recherche, ESCEM, Tours Poitiers, 2007, p. 16.</w:t>
      </w:r>
    </w:p>
  </w:footnote>
  <w:footnote w:id="216">
    <w:p w14:paraId="5DD2083C"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color w:val="000000"/>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Sardi</w:t>
      </w:r>
      <w:r w:rsidRPr="001374DC">
        <w:rPr>
          <w:rFonts w:ascii="Times New Roman" w:hAnsi="Times New Roman" w:cs="Times New Roman"/>
          <w:kern w:val="24"/>
          <w:sz w:val="20"/>
          <w:szCs w:val="20"/>
        </w:rPr>
        <w:t xml:space="preserve"> Antoine, « Pratiques de la comptabilité bancaire »</w:t>
      </w:r>
      <w:r w:rsidRPr="001374DC">
        <w:rPr>
          <w:rFonts w:ascii="Times New Roman" w:hAnsi="Times New Roman" w:cs="Times New Roman"/>
          <w:color w:val="000000"/>
          <w:kern w:val="24"/>
          <w:sz w:val="20"/>
          <w:szCs w:val="20"/>
        </w:rPr>
        <w:t xml:space="preserve">, Edition </w:t>
      </w:r>
      <w:r w:rsidRPr="001374DC">
        <w:rPr>
          <w:rFonts w:ascii="Times New Roman" w:hAnsi="Times New Roman" w:cs="Times New Roman"/>
          <w:color w:val="000000"/>
          <w:kern w:val="24"/>
          <w:sz w:val="20"/>
          <w:szCs w:val="20"/>
          <w:shd w:val="clear" w:color="auto" w:fill="FFFFFF"/>
        </w:rPr>
        <w:t>AFGES, 2005, p. 211.</w:t>
      </w:r>
    </w:p>
  </w:footnote>
  <w:footnote w:id="217">
    <w:p w14:paraId="5D92CA93"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Les CAMELS sont des outils d’appréciation des banques communs aux divers organismes américains chargés du contrôle bancaire.</w:t>
      </w:r>
    </w:p>
  </w:footnote>
  <w:footnote w:id="218">
    <w:p w14:paraId="63724F01" w14:textId="77777777" w:rsidR="009C2D83" w:rsidRPr="001374DC" w:rsidRDefault="009C2D83" w:rsidP="001374DC">
      <w:pPr>
        <w:suppressAutoHyphens/>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Dubernet</w:t>
      </w:r>
      <w:r w:rsidRPr="001374DC">
        <w:rPr>
          <w:rFonts w:ascii="Times New Roman" w:hAnsi="Times New Roman" w:cs="Times New Roman"/>
          <w:kern w:val="24"/>
          <w:sz w:val="20"/>
          <w:szCs w:val="20"/>
        </w:rPr>
        <w:t xml:space="preserve"> Michel, « Gestion actif-passif et tarification des services bancaires », Ed. Economica, 1997,</w:t>
      </w:r>
      <w:r w:rsidRPr="001374DC">
        <w:rPr>
          <w:rFonts w:ascii="Times New Roman" w:hAnsi="Times New Roman" w:cs="Times New Roman"/>
          <w:kern w:val="24"/>
          <w:sz w:val="24"/>
          <w:szCs w:val="24"/>
        </w:rPr>
        <w:t xml:space="preserve"> </w:t>
      </w:r>
      <w:r w:rsidRPr="001374DC">
        <w:rPr>
          <w:rFonts w:ascii="Times New Roman" w:hAnsi="Times New Roman" w:cs="Times New Roman"/>
          <w:kern w:val="24"/>
          <w:sz w:val="20"/>
          <w:szCs w:val="20"/>
        </w:rPr>
        <w:t>p. 129.</w:t>
      </w:r>
    </w:p>
  </w:footnote>
  <w:footnote w:id="219">
    <w:p w14:paraId="334DBEE4"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Comité de Bâle sur le contrôle bancaire, « Principes fondamentaux pour un contrôle bancaire efficace », Bâle, septembre 1997, p. 23-25.</w:t>
      </w:r>
    </w:p>
  </w:footnote>
  <w:footnote w:id="220">
    <w:p w14:paraId="48A10F63" w14:textId="77777777" w:rsidR="009C2D83" w:rsidRPr="001374DC" w:rsidRDefault="009C2D83" w:rsidP="001374DC">
      <w:pPr>
        <w:tabs>
          <w:tab w:val="left" w:pos="8085"/>
        </w:tabs>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bookmarkStart w:id="931" w:name="_Hlk530679624"/>
      <w:r w:rsidRPr="001374DC">
        <w:rPr>
          <w:rFonts w:ascii="Times New Roman" w:hAnsi="Times New Roman" w:cs="Times New Roman"/>
          <w:smallCaps/>
          <w:kern w:val="24"/>
          <w:sz w:val="20"/>
          <w:szCs w:val="20"/>
        </w:rPr>
        <w:t xml:space="preserve"> Chelly</w:t>
      </w:r>
      <w:r w:rsidRPr="001374DC">
        <w:rPr>
          <w:rFonts w:ascii="Times New Roman" w:hAnsi="Times New Roman" w:cs="Times New Roman"/>
          <w:kern w:val="24"/>
          <w:sz w:val="20"/>
          <w:szCs w:val="20"/>
        </w:rPr>
        <w:t xml:space="preserve"> et </w:t>
      </w:r>
      <w:r w:rsidRPr="001374DC">
        <w:rPr>
          <w:rFonts w:ascii="Times New Roman" w:hAnsi="Times New Roman" w:cs="Times New Roman"/>
          <w:smallCaps/>
          <w:kern w:val="24"/>
          <w:sz w:val="20"/>
          <w:szCs w:val="20"/>
        </w:rPr>
        <w:t>Sébéloné</w:t>
      </w:r>
      <w:r w:rsidRPr="001374DC">
        <w:rPr>
          <w:rFonts w:ascii="Times New Roman" w:hAnsi="Times New Roman" w:cs="Times New Roman"/>
          <w:kern w:val="24"/>
          <w:sz w:val="20"/>
          <w:szCs w:val="20"/>
        </w:rPr>
        <w:t>, 2014, référence citée, p. 30.</w:t>
      </w:r>
      <w:bookmarkEnd w:id="931"/>
    </w:p>
  </w:footnote>
  <w:footnote w:id="221">
    <w:p w14:paraId="65D82BA5"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31.</w:t>
      </w:r>
    </w:p>
  </w:footnote>
  <w:footnote w:id="222">
    <w:p w14:paraId="310F3B40"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Vo thi</w:t>
      </w:r>
      <w:r w:rsidRPr="001374DC">
        <w:rPr>
          <w:rFonts w:ascii="Times New Roman" w:hAnsi="Times New Roman" w:cs="Times New Roman"/>
          <w:kern w:val="24"/>
          <w:sz w:val="20"/>
          <w:szCs w:val="20"/>
        </w:rPr>
        <w:t xml:space="preserve"> Phuong Nga, « Tarification du crédit : qu’apporte le nouveau ratio de solvabilité ? », Université d'Orléans, Faculté de Droit, d'Économie et de Gestion, 2004, p. 11.</w:t>
      </w:r>
    </w:p>
  </w:footnote>
  <w:footnote w:id="223">
    <w:p w14:paraId="3060C5B7" w14:textId="77777777" w:rsidR="009C2D83" w:rsidRPr="001374DC" w:rsidRDefault="009C2D83" w:rsidP="001374DC">
      <w:pPr>
        <w:suppressAutoHyphens/>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w:t>
      </w:r>
      <w:r w:rsidRPr="001374DC">
        <w:rPr>
          <w:rFonts w:ascii="Times New Roman" w:hAnsi="Times New Roman" w:cs="Times New Roman"/>
          <w:smallCaps/>
          <w:spacing w:val="-4"/>
          <w:kern w:val="24"/>
          <w:sz w:val="20"/>
          <w:szCs w:val="20"/>
        </w:rPr>
        <w:t xml:space="preserve">Artus </w:t>
      </w:r>
      <w:r w:rsidRPr="001374DC">
        <w:rPr>
          <w:rFonts w:ascii="Times New Roman" w:hAnsi="Times New Roman" w:cs="Times New Roman"/>
          <w:spacing w:val="-4"/>
          <w:kern w:val="24"/>
          <w:sz w:val="20"/>
          <w:szCs w:val="20"/>
        </w:rPr>
        <w:t>Patrick, « De Bâle 1 à Bâle 2 : Effets sur le marché de crédit », Revue économique, Vol. 56, N° 1, 2005, p. 86.</w:t>
      </w:r>
    </w:p>
  </w:footnote>
  <w:footnote w:id="224">
    <w:p w14:paraId="0B8DD18E"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sc-1bl2tmk-6"/>
          <w:rFonts w:ascii="Times New Roman" w:hAnsi="Times New Roman" w:cs="Times New Roman"/>
          <w:kern w:val="24"/>
          <w:sz w:val="20"/>
          <w:szCs w:val="20"/>
        </w:rPr>
        <w:footnoteRef/>
      </w:r>
      <w:r w:rsidRPr="001374DC">
        <w:rPr>
          <w:rFonts w:ascii="Times New Roman" w:hAnsi="Times New Roman" w:cs="Times New Roman"/>
          <w:kern w:val="24"/>
        </w:rPr>
        <w:t xml:space="preserve"> </w:t>
      </w:r>
      <w:hyperlink r:id="rId25" w:history="1">
        <w:r w:rsidRPr="001374DC">
          <w:rPr>
            <w:rStyle w:val="sc-1bl2tmk-6"/>
            <w:rFonts w:ascii="Times New Roman" w:hAnsi="Times New Roman" w:cs="Times New Roman"/>
            <w:smallCaps/>
            <w:color w:val="000000" w:themeColor="text1"/>
            <w:kern w:val="24"/>
            <w:sz w:val="20"/>
            <w:szCs w:val="20"/>
            <w:shd w:val="clear" w:color="auto" w:fill="FFFFFF"/>
          </w:rPr>
          <w:t>Vidal</w:t>
        </w:r>
      </w:hyperlink>
      <w:r w:rsidRPr="001374DC">
        <w:rPr>
          <w:rFonts w:ascii="Times New Roman" w:hAnsi="Times New Roman" w:cs="Times New Roman"/>
          <w:color w:val="000000" w:themeColor="text1"/>
          <w:kern w:val="24"/>
          <w:sz w:val="20"/>
          <w:szCs w:val="20"/>
        </w:rPr>
        <w:t xml:space="preserve"> François</w:t>
      </w:r>
      <w:r w:rsidRPr="001374DC">
        <w:rPr>
          <w:rFonts w:ascii="Times New Roman" w:hAnsi="Times New Roman" w:cs="Times New Roman"/>
          <w:color w:val="000000" w:themeColor="text1"/>
          <w:kern w:val="24"/>
          <w:sz w:val="20"/>
          <w:szCs w:val="20"/>
          <w:shd w:val="clear" w:color="auto" w:fill="FFFFFF"/>
        </w:rPr>
        <w:t>,</w:t>
      </w:r>
      <w:hyperlink r:id="rId26" w:history="1">
        <w:r w:rsidRPr="001374DC">
          <w:rPr>
            <w:rStyle w:val="sc-1bl2tmk-6"/>
            <w:rFonts w:ascii="Times New Roman" w:hAnsi="Times New Roman" w:cs="Times New Roman"/>
            <w:color w:val="000000" w:themeColor="text1"/>
            <w:kern w:val="24"/>
            <w:sz w:val="20"/>
            <w:szCs w:val="20"/>
            <w:shd w:val="clear" w:color="auto" w:fill="FFFFFF"/>
          </w:rPr>
          <w:t xml:space="preserve"> </w:t>
        </w:r>
        <w:r w:rsidRPr="001374DC">
          <w:rPr>
            <w:rStyle w:val="sc-1bl2tmk-6"/>
            <w:rFonts w:ascii="Times New Roman" w:hAnsi="Times New Roman" w:cs="Times New Roman"/>
            <w:smallCaps/>
            <w:color w:val="000000" w:themeColor="text1"/>
            <w:kern w:val="24"/>
            <w:sz w:val="20"/>
            <w:szCs w:val="20"/>
            <w:shd w:val="clear" w:color="auto" w:fill="FFFFFF"/>
          </w:rPr>
          <w:t>Berny</w:t>
        </w:r>
      </w:hyperlink>
      <w:r w:rsidRPr="001374DC">
        <w:rPr>
          <w:rFonts w:ascii="Times New Roman" w:hAnsi="Times New Roman" w:cs="Times New Roman"/>
          <w:color w:val="000000" w:themeColor="text1"/>
          <w:kern w:val="24"/>
          <w:sz w:val="20"/>
          <w:szCs w:val="20"/>
        </w:rPr>
        <w:t xml:space="preserve"> Laura</w:t>
      </w:r>
      <w:r w:rsidRPr="001374DC">
        <w:rPr>
          <w:rFonts w:ascii="Times New Roman" w:hAnsi="Times New Roman" w:cs="Times New Roman"/>
          <w:color w:val="000000" w:themeColor="text1"/>
          <w:kern w:val="24"/>
          <w:sz w:val="20"/>
          <w:szCs w:val="20"/>
          <w:shd w:val="clear" w:color="auto" w:fill="FFFFFF"/>
        </w:rPr>
        <w:t>,</w:t>
      </w:r>
      <w:hyperlink r:id="rId27" w:history="1">
        <w:r w:rsidRPr="001374DC">
          <w:rPr>
            <w:rStyle w:val="sc-1bl2tmk-6"/>
            <w:rFonts w:ascii="Times New Roman" w:hAnsi="Times New Roman" w:cs="Times New Roman"/>
            <w:color w:val="000000" w:themeColor="text1"/>
            <w:kern w:val="24"/>
            <w:sz w:val="20"/>
            <w:szCs w:val="20"/>
            <w:shd w:val="clear" w:color="auto" w:fill="FFFFFF"/>
          </w:rPr>
          <w:t xml:space="preserve"> </w:t>
        </w:r>
        <w:r w:rsidRPr="001374DC">
          <w:rPr>
            <w:rStyle w:val="sc-1bl2tmk-6"/>
            <w:rFonts w:ascii="Times New Roman" w:hAnsi="Times New Roman" w:cs="Times New Roman"/>
            <w:smallCaps/>
            <w:color w:val="000000" w:themeColor="text1"/>
            <w:kern w:val="24"/>
            <w:sz w:val="20"/>
            <w:szCs w:val="20"/>
            <w:shd w:val="clear" w:color="auto" w:fill="FFFFFF"/>
          </w:rPr>
          <w:t>Reibaud</w:t>
        </w:r>
      </w:hyperlink>
      <w:r w:rsidRPr="001374DC">
        <w:rPr>
          <w:rFonts w:ascii="Times New Roman" w:hAnsi="Times New Roman" w:cs="Times New Roman"/>
          <w:color w:val="000000" w:themeColor="text1"/>
          <w:kern w:val="24"/>
          <w:sz w:val="20"/>
          <w:szCs w:val="20"/>
        </w:rPr>
        <w:t xml:space="preserve"> Réjane</w:t>
      </w:r>
      <w:r w:rsidRPr="001374DC">
        <w:rPr>
          <w:rFonts w:ascii="Times New Roman" w:hAnsi="Times New Roman" w:cs="Times New Roman"/>
          <w:color w:val="000000" w:themeColor="text1"/>
          <w:kern w:val="24"/>
          <w:sz w:val="20"/>
          <w:szCs w:val="20"/>
          <w:lang w:eastAsia="fr-FR"/>
        </w:rPr>
        <w:t>,</w:t>
      </w:r>
      <w:r w:rsidRPr="001374DC">
        <w:rPr>
          <w:rFonts w:ascii="Times New Roman" w:hAnsi="Times New Roman" w:cs="Times New Roman"/>
          <w:kern w:val="24"/>
          <w:sz w:val="20"/>
          <w:szCs w:val="20"/>
          <w:lang w:eastAsia="fr-FR"/>
        </w:rPr>
        <w:t xml:space="preserve"> </w:t>
      </w:r>
      <w:r w:rsidRPr="001374DC">
        <w:rPr>
          <w:rFonts w:ascii="Times New Roman" w:hAnsi="Times New Roman" w:cs="Times New Roman"/>
          <w:kern w:val="24"/>
          <w:sz w:val="20"/>
          <w:szCs w:val="20"/>
        </w:rPr>
        <w:t>« </w:t>
      </w:r>
      <w:r w:rsidRPr="001374DC">
        <w:rPr>
          <w:rFonts w:ascii="Times New Roman" w:hAnsi="Times New Roman" w:cs="Times New Roman"/>
          <w:kern w:val="24"/>
          <w:sz w:val="20"/>
          <w:szCs w:val="20"/>
          <w:lang w:eastAsia="fr-FR"/>
        </w:rPr>
        <w:t xml:space="preserve">Les réformes de bale III : un vrai new deal bancaire », </w:t>
      </w:r>
      <w:r w:rsidRPr="001374DC">
        <w:rPr>
          <w:rFonts w:ascii="Times New Roman" w:hAnsi="Times New Roman" w:cs="Times New Roman"/>
          <w:kern w:val="24"/>
          <w:sz w:val="20"/>
          <w:szCs w:val="20"/>
        </w:rPr>
        <w:t>Les Échos, 21 septembre 2010.</w:t>
      </w:r>
    </w:p>
  </w:footnote>
  <w:footnote w:id="225">
    <w:p w14:paraId="5AACE06B"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Cecchetti</w:t>
      </w:r>
      <w:r w:rsidRPr="001374DC">
        <w:rPr>
          <w:rFonts w:ascii="Times New Roman" w:hAnsi="Times New Roman" w:cs="Times New Roman"/>
          <w:kern w:val="24"/>
          <w:sz w:val="20"/>
          <w:szCs w:val="20"/>
        </w:rPr>
        <w:t xml:space="preserve"> Stephen, « Le point sur la réforme financière », Banque des Règlements Internationaux, Forum économique de Westminster, 4 octobre 2010, p. 2.</w:t>
      </w:r>
    </w:p>
  </w:footnote>
  <w:footnote w:id="226">
    <w:p w14:paraId="352A4CAD" w14:textId="77777777" w:rsidR="009C2D83" w:rsidRPr="002F0A97" w:rsidRDefault="009C2D83" w:rsidP="001374DC">
      <w:pPr>
        <w:pStyle w:val="Notedebasdepage"/>
        <w:suppressAutoHyphens/>
        <w:rPr>
          <w:rFonts w:ascii="Times New Roman" w:hAnsi="Times New Roman" w:cs="Times New Roman"/>
          <w:kern w:val="24"/>
        </w:rPr>
      </w:pPr>
      <w:r w:rsidRPr="002F0A97">
        <w:rPr>
          <w:rStyle w:val="Appelnotedebasdep"/>
          <w:rFonts w:ascii="Times New Roman" w:hAnsi="Times New Roman"/>
          <w:kern w:val="24"/>
        </w:rPr>
        <w:footnoteRef/>
      </w:r>
      <w:r w:rsidRPr="002F0A97">
        <w:rPr>
          <w:rFonts w:ascii="Times New Roman" w:hAnsi="Times New Roman" w:cs="Times New Roman"/>
          <w:smallCaps/>
          <w:kern w:val="24"/>
        </w:rPr>
        <w:t xml:space="preserve"> Plihon</w:t>
      </w:r>
      <w:r w:rsidRPr="002F0A97">
        <w:rPr>
          <w:rFonts w:ascii="Times New Roman" w:hAnsi="Times New Roman" w:cs="Times New Roman"/>
          <w:kern w:val="24"/>
        </w:rPr>
        <w:t xml:space="preserve"> Dominique, « Instabilité financière et risque systémique : insuffisance du contrôle macroprudentielle », Cahiers français, N° 331, 2007,</w:t>
      </w:r>
      <w:r w:rsidRPr="002F0A97">
        <w:rPr>
          <w:rFonts w:ascii="Times New Roman" w:hAnsi="Times New Roman" w:cs="Times New Roman"/>
          <w:kern w:val="24"/>
          <w:sz w:val="24"/>
          <w:szCs w:val="24"/>
        </w:rPr>
        <w:t xml:space="preserve"> </w:t>
      </w:r>
      <w:r w:rsidRPr="002F0A97">
        <w:rPr>
          <w:rFonts w:ascii="Times New Roman" w:hAnsi="Times New Roman" w:cs="Times New Roman"/>
          <w:kern w:val="24"/>
        </w:rPr>
        <w:t>p. 87.</w:t>
      </w:r>
    </w:p>
  </w:footnote>
  <w:footnote w:id="227">
    <w:p w14:paraId="32CC6097" w14:textId="77777777" w:rsidR="009C2D83" w:rsidRPr="002F0A97" w:rsidRDefault="009C2D83" w:rsidP="001374DC">
      <w:pPr>
        <w:pStyle w:val="Notedebasdepage"/>
        <w:suppressAutoHyphens/>
        <w:rPr>
          <w:rFonts w:ascii="Times New Roman" w:hAnsi="Times New Roman" w:cs="Times New Roman"/>
          <w:kern w:val="24"/>
        </w:rPr>
      </w:pPr>
      <w:r w:rsidRPr="002F0A97">
        <w:rPr>
          <w:rStyle w:val="Appelnotedebasdep"/>
          <w:rFonts w:ascii="Times New Roman" w:hAnsi="Times New Roman"/>
          <w:kern w:val="24"/>
        </w:rPr>
        <w:footnoteRef/>
      </w:r>
      <w:r w:rsidRPr="002F0A97">
        <w:rPr>
          <w:rFonts w:ascii="Times New Roman" w:hAnsi="Times New Roman" w:cs="Times New Roman"/>
          <w:kern w:val="24"/>
        </w:rPr>
        <w:t xml:space="preserve"> George Soros, riche </w:t>
      </w:r>
      <w:hyperlink r:id="rId28" w:tooltip="Finance" w:history="1">
        <w:r w:rsidRPr="002F0A97">
          <w:rPr>
            <w:rStyle w:val="Lienhypertexte"/>
            <w:rFonts w:ascii="Times New Roman" w:hAnsi="Times New Roman" w:cs="Times New Roman"/>
            <w:color w:val="auto"/>
            <w:kern w:val="24"/>
            <w:u w:val="none"/>
            <w:shd w:val="clear" w:color="auto" w:fill="FFFFFF"/>
          </w:rPr>
          <w:t>financier</w:t>
        </w:r>
      </w:hyperlink>
      <w:r w:rsidRPr="002F0A97">
        <w:rPr>
          <w:rFonts w:ascii="Times New Roman" w:hAnsi="Times New Roman" w:cs="Times New Roman"/>
          <w:kern w:val="24"/>
        </w:rPr>
        <w:t xml:space="preserve"> </w:t>
      </w:r>
      <w:hyperlink r:id="rId29" w:tooltip="États-Unis" w:history="1">
        <w:r w:rsidRPr="002F0A97">
          <w:rPr>
            <w:rStyle w:val="Lienhypertexte"/>
            <w:rFonts w:ascii="Times New Roman" w:hAnsi="Times New Roman" w:cs="Times New Roman"/>
            <w:color w:val="auto"/>
            <w:kern w:val="24"/>
            <w:u w:val="none"/>
            <w:shd w:val="clear" w:color="auto" w:fill="FFFFFF"/>
          </w:rPr>
          <w:t>américain</w:t>
        </w:r>
      </w:hyperlink>
      <w:r w:rsidRPr="002F0A97">
        <w:rPr>
          <w:rFonts w:ascii="Times New Roman" w:hAnsi="Times New Roman" w:cs="Times New Roman"/>
          <w:kern w:val="24"/>
        </w:rPr>
        <w:t xml:space="preserve"> d’origine hongroise</w:t>
      </w:r>
      <w:r w:rsidRPr="002F0A97">
        <w:rPr>
          <w:rFonts w:ascii="Times New Roman" w:hAnsi="Times New Roman" w:cs="Times New Roman"/>
          <w:kern w:val="24"/>
          <w:shd w:val="clear" w:color="auto" w:fill="FFFFFF"/>
        </w:rPr>
        <w:t>,</w:t>
      </w:r>
      <w:r w:rsidRPr="002F0A97">
        <w:rPr>
          <w:rFonts w:ascii="Times New Roman" w:hAnsi="Times New Roman" w:cs="Times New Roman"/>
          <w:kern w:val="24"/>
        </w:rPr>
        <w:t xml:space="preserve"> </w:t>
      </w:r>
      <w:r w:rsidRPr="002F0A97">
        <w:rPr>
          <w:rFonts w:ascii="Times New Roman" w:hAnsi="Times New Roman" w:cs="Times New Roman"/>
          <w:kern w:val="24"/>
          <w:shd w:val="clear" w:color="auto" w:fill="FFFFFF"/>
        </w:rPr>
        <w:t xml:space="preserve">célèbre pour ses activités de </w:t>
      </w:r>
      <w:hyperlink r:id="rId30" w:tooltip="Spéculation" w:history="1">
        <w:r w:rsidRPr="002F0A97">
          <w:rPr>
            <w:rStyle w:val="Lienhypertexte"/>
            <w:rFonts w:ascii="Times New Roman" w:hAnsi="Times New Roman" w:cs="Times New Roman"/>
            <w:color w:val="auto"/>
            <w:kern w:val="24"/>
            <w:u w:val="none"/>
            <w:shd w:val="clear" w:color="auto" w:fill="FFFFFF"/>
          </w:rPr>
          <w:t>spéculation</w:t>
        </w:r>
      </w:hyperlink>
      <w:r w:rsidRPr="002F0A97">
        <w:rPr>
          <w:rFonts w:ascii="Times New Roman" w:hAnsi="Times New Roman" w:cs="Times New Roman"/>
          <w:kern w:val="24"/>
          <w:shd w:val="clear" w:color="auto" w:fill="FFFFFF"/>
        </w:rPr>
        <w:t xml:space="preserve"> sur l’or, les </w:t>
      </w:r>
      <w:hyperlink r:id="rId31" w:tooltip="Devise (monnaie)" w:history="1">
        <w:r w:rsidRPr="002F0A97">
          <w:rPr>
            <w:rStyle w:val="Lienhypertexte"/>
            <w:rFonts w:ascii="Times New Roman" w:hAnsi="Times New Roman" w:cs="Times New Roman"/>
            <w:color w:val="auto"/>
            <w:kern w:val="24"/>
            <w:u w:val="none"/>
            <w:shd w:val="clear" w:color="auto" w:fill="FFFFFF"/>
          </w:rPr>
          <w:t>devises</w:t>
        </w:r>
      </w:hyperlink>
      <w:r w:rsidRPr="002F0A97">
        <w:rPr>
          <w:rFonts w:ascii="Times New Roman" w:hAnsi="Times New Roman" w:cs="Times New Roman"/>
          <w:kern w:val="24"/>
          <w:shd w:val="clear" w:color="auto" w:fill="FFFFFF"/>
        </w:rPr>
        <w:t xml:space="preserve"> et les actions.</w:t>
      </w:r>
    </w:p>
  </w:footnote>
  <w:footnote w:id="228">
    <w:p w14:paraId="65A24F3A" w14:textId="77777777" w:rsidR="009C2D83" w:rsidRPr="002F0A97" w:rsidRDefault="009C2D83" w:rsidP="001374DC">
      <w:pPr>
        <w:pStyle w:val="Default"/>
        <w:tabs>
          <w:tab w:val="left" w:pos="7080"/>
        </w:tabs>
        <w:suppressAutoHyphens/>
        <w:rPr>
          <w:kern w:val="24"/>
        </w:rPr>
      </w:pPr>
      <w:r w:rsidRPr="002F0A97">
        <w:rPr>
          <w:rStyle w:val="Appelnotedebasdep"/>
          <w:kern w:val="24"/>
          <w:sz w:val="20"/>
          <w:szCs w:val="20"/>
        </w:rPr>
        <w:footnoteRef/>
      </w:r>
      <w:r w:rsidRPr="002F0A97">
        <w:rPr>
          <w:smallCaps/>
          <w:kern w:val="24"/>
          <w:sz w:val="20"/>
          <w:szCs w:val="20"/>
        </w:rPr>
        <w:t xml:space="preserve"> Mandy</w:t>
      </w:r>
      <w:r w:rsidRPr="002F0A97">
        <w:rPr>
          <w:kern w:val="24"/>
          <w:sz w:val="20"/>
          <w:szCs w:val="20"/>
        </w:rPr>
        <w:t xml:space="preserve"> P, « les racines de la crise financière », Le Monde, 2007.</w:t>
      </w:r>
    </w:p>
  </w:footnote>
  <w:footnote w:id="229">
    <w:p w14:paraId="1EC66420" w14:textId="63C3B14F" w:rsidR="009C2D83" w:rsidRPr="002F0A97" w:rsidRDefault="009C2D83" w:rsidP="001374DC">
      <w:pPr>
        <w:pStyle w:val="Default"/>
        <w:suppressAutoHyphens/>
        <w:rPr>
          <w:kern w:val="24"/>
          <w:sz w:val="20"/>
          <w:szCs w:val="20"/>
        </w:rPr>
      </w:pPr>
      <w:r w:rsidRPr="002F0A97">
        <w:rPr>
          <w:rStyle w:val="Appelnotedebasdep"/>
          <w:kern w:val="24"/>
          <w:sz w:val="20"/>
          <w:szCs w:val="20"/>
        </w:rPr>
        <w:footnoteRef/>
      </w:r>
      <w:r w:rsidRPr="002F0A97">
        <w:rPr>
          <w:smallCaps/>
          <w:kern w:val="24"/>
          <w:sz w:val="20"/>
          <w:szCs w:val="20"/>
        </w:rPr>
        <w:t xml:space="preserve"> Salin</w:t>
      </w:r>
      <w:r w:rsidRPr="002F0A97">
        <w:rPr>
          <w:kern w:val="24"/>
          <w:sz w:val="20"/>
          <w:szCs w:val="20"/>
        </w:rPr>
        <w:t xml:space="preserve"> Pascal, « La crise financière : causes, conséquences et solutions », Institut Libéral, Université Paris-Dauphine, Cahier de recherche, 2009, p. 3.</w:t>
      </w:r>
    </w:p>
  </w:footnote>
  <w:footnote w:id="230">
    <w:p w14:paraId="3BFBE35C" w14:textId="77777777" w:rsidR="009C2D83" w:rsidRPr="002F0A97" w:rsidRDefault="009C2D83" w:rsidP="001374DC">
      <w:pPr>
        <w:pStyle w:val="Default"/>
        <w:suppressAutoHyphens/>
        <w:rPr>
          <w:kern w:val="24"/>
          <w:sz w:val="20"/>
          <w:szCs w:val="20"/>
        </w:rPr>
      </w:pPr>
      <w:r w:rsidRPr="002F0A97">
        <w:rPr>
          <w:rStyle w:val="Appelnotedebasdep"/>
          <w:kern w:val="24"/>
          <w:sz w:val="20"/>
          <w:szCs w:val="20"/>
        </w:rPr>
        <w:footnoteRef/>
      </w:r>
      <w:r w:rsidRPr="002F0A97">
        <w:rPr>
          <w:smallCaps/>
          <w:kern w:val="24"/>
          <w:sz w:val="20"/>
          <w:szCs w:val="20"/>
        </w:rPr>
        <w:t xml:space="preserve"> Gourieroux</w:t>
      </w:r>
      <w:r w:rsidRPr="002F0A97">
        <w:rPr>
          <w:kern w:val="24"/>
          <w:sz w:val="20"/>
          <w:szCs w:val="20"/>
        </w:rPr>
        <w:t xml:space="preserve"> Christian, « Bon ou mauvais usage de notation », Revue d’économie financière, N° hors-série, 2008, p. 259.</w:t>
      </w:r>
    </w:p>
  </w:footnote>
  <w:footnote w:id="231">
    <w:p w14:paraId="494E220E" w14:textId="77777777" w:rsidR="009C2D83" w:rsidRPr="002F0A97" w:rsidRDefault="009C2D83" w:rsidP="001374DC">
      <w:pPr>
        <w:tabs>
          <w:tab w:val="left" w:pos="8100"/>
        </w:tabs>
        <w:suppressAutoHyphens/>
        <w:spacing w:line="240" w:lineRule="auto"/>
        <w:rPr>
          <w:rFonts w:ascii="Times New Roman" w:hAnsi="Times New Roman" w:cs="Times New Roman"/>
          <w:kern w:val="24"/>
          <w:sz w:val="20"/>
          <w:szCs w:val="20"/>
        </w:rPr>
      </w:pPr>
      <w:r w:rsidRPr="002F0A97">
        <w:rPr>
          <w:rStyle w:val="Appelnotedebasdep"/>
          <w:rFonts w:ascii="Times New Roman" w:hAnsi="Times New Roman"/>
          <w:kern w:val="24"/>
          <w:sz w:val="20"/>
          <w:szCs w:val="20"/>
        </w:rPr>
        <w:footnoteRef/>
      </w:r>
      <w:r w:rsidRPr="002F0A97">
        <w:rPr>
          <w:rFonts w:ascii="Times New Roman" w:hAnsi="Times New Roman" w:cs="Times New Roman"/>
          <w:kern w:val="24"/>
          <w:sz w:val="20"/>
          <w:szCs w:val="20"/>
        </w:rPr>
        <w:t xml:space="preserve"> Qui est la meilleure notation concernant le risque et le rendement.</w:t>
      </w:r>
    </w:p>
  </w:footnote>
  <w:footnote w:id="232">
    <w:p w14:paraId="557D4090" w14:textId="77777777" w:rsidR="009C2D83" w:rsidRPr="001374DC" w:rsidRDefault="009C2D83" w:rsidP="001374DC">
      <w:pPr>
        <w:pStyle w:val="Default"/>
        <w:suppressAutoHyphens/>
        <w:rPr>
          <w:kern w:val="24"/>
          <w:sz w:val="20"/>
          <w:szCs w:val="20"/>
          <w:lang w:val="en-GB"/>
        </w:rPr>
      </w:pPr>
      <w:r w:rsidRPr="001374DC">
        <w:rPr>
          <w:rStyle w:val="Appelnotedebasdep"/>
          <w:kern w:val="24"/>
          <w:sz w:val="20"/>
          <w:szCs w:val="20"/>
        </w:rPr>
        <w:footnoteRef/>
      </w:r>
      <w:r w:rsidRPr="001374DC">
        <w:rPr>
          <w:smallCaps/>
          <w:kern w:val="24"/>
          <w:sz w:val="20"/>
          <w:szCs w:val="20"/>
          <w:lang w:val="en-GB"/>
        </w:rPr>
        <w:t xml:space="preserve"> Khan</w:t>
      </w:r>
      <w:r w:rsidRPr="001374DC">
        <w:rPr>
          <w:kern w:val="24"/>
          <w:sz w:val="20"/>
          <w:szCs w:val="20"/>
          <w:lang w:val="en-GB"/>
        </w:rPr>
        <w:t xml:space="preserve"> Fahim M, “World Financial Crisis: Lesson from Islamic Economics”, Working paper, Islamic Society for Institutional Economics, 2008, p. 19.</w:t>
      </w:r>
    </w:p>
  </w:footnote>
  <w:footnote w:id="233">
    <w:p w14:paraId="4122A71C"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spacing w:val="-4"/>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eastAsia="fr-FR"/>
        </w:rPr>
        <w:t xml:space="preserve"> </w:t>
      </w:r>
      <w:r w:rsidRPr="001374DC">
        <w:rPr>
          <w:rFonts w:ascii="Times New Roman" w:hAnsi="Times New Roman" w:cs="Times New Roman"/>
          <w:smallCaps/>
          <w:spacing w:val="-4"/>
          <w:kern w:val="24"/>
          <w:sz w:val="20"/>
          <w:szCs w:val="20"/>
          <w:lang w:val="en-GB" w:eastAsia="fr-FR"/>
        </w:rPr>
        <w:t xml:space="preserve">Mirakhor </w:t>
      </w:r>
      <w:r w:rsidRPr="001374DC">
        <w:rPr>
          <w:rFonts w:ascii="Times New Roman" w:hAnsi="Times New Roman" w:cs="Times New Roman"/>
          <w:spacing w:val="-4"/>
          <w:kern w:val="24"/>
          <w:sz w:val="20"/>
          <w:szCs w:val="20"/>
          <w:lang w:val="en-GB" w:eastAsia="fr-FR"/>
        </w:rPr>
        <w:t xml:space="preserve">Abbas, </w:t>
      </w:r>
      <w:r w:rsidRPr="001374DC">
        <w:rPr>
          <w:rFonts w:ascii="Times New Roman" w:hAnsi="Times New Roman" w:cs="Times New Roman"/>
          <w:spacing w:val="-4"/>
          <w:kern w:val="24"/>
          <w:sz w:val="20"/>
          <w:szCs w:val="20"/>
          <w:lang w:val="en-GB"/>
        </w:rPr>
        <w:t>“</w:t>
      </w:r>
      <w:r w:rsidRPr="001374DC">
        <w:rPr>
          <w:rFonts w:ascii="Times New Roman" w:hAnsi="Times New Roman" w:cs="Times New Roman"/>
          <w:spacing w:val="-4"/>
          <w:kern w:val="24"/>
          <w:sz w:val="20"/>
          <w:szCs w:val="20"/>
          <w:lang w:val="en-GB" w:eastAsia="fr-FR"/>
        </w:rPr>
        <w:t>Equilibrium in a Non-Interest Open Economy”, IMF working paper N° 88/111, 1988, p.</w:t>
      </w:r>
      <w:r w:rsidRPr="001374DC">
        <w:rPr>
          <w:rFonts w:ascii="Times New Roman" w:hAnsi="Times New Roman" w:cs="Times New Roman"/>
          <w:spacing w:val="-4"/>
          <w:kern w:val="24"/>
          <w:sz w:val="20"/>
          <w:szCs w:val="20"/>
          <w:lang w:val="en-GB"/>
        </w:rPr>
        <w:t> </w:t>
      </w:r>
      <w:r w:rsidRPr="001374DC">
        <w:rPr>
          <w:rFonts w:ascii="Times New Roman" w:hAnsi="Times New Roman" w:cs="Times New Roman"/>
          <w:spacing w:val="-4"/>
          <w:kern w:val="24"/>
          <w:sz w:val="20"/>
          <w:szCs w:val="20"/>
          <w:lang w:val="en-GB" w:eastAsia="fr-FR"/>
        </w:rPr>
        <w:t>20.</w:t>
      </w:r>
    </w:p>
  </w:footnote>
  <w:footnote w:id="234">
    <w:p w14:paraId="6971ABFF" w14:textId="77777777" w:rsidR="009C2D83" w:rsidRPr="001374DC" w:rsidRDefault="009C2D83" w:rsidP="001374DC">
      <w:pPr>
        <w:pStyle w:val="Default"/>
        <w:suppressAutoHyphens/>
        <w:rPr>
          <w:kern w:val="24"/>
          <w:sz w:val="20"/>
          <w:szCs w:val="20"/>
          <w:lang w:val="en-GB"/>
        </w:rPr>
      </w:pPr>
      <w:r w:rsidRPr="001374DC">
        <w:rPr>
          <w:rStyle w:val="Appelnotedebasdep"/>
          <w:kern w:val="24"/>
          <w:sz w:val="20"/>
          <w:szCs w:val="20"/>
        </w:rPr>
        <w:footnoteRef/>
      </w:r>
      <w:r w:rsidRPr="001374DC">
        <w:rPr>
          <w:smallCaps/>
          <w:kern w:val="24"/>
          <w:sz w:val="20"/>
          <w:szCs w:val="20"/>
          <w:lang w:val="en-GB"/>
        </w:rPr>
        <w:t xml:space="preserve"> Siddiqi </w:t>
      </w:r>
      <w:r w:rsidRPr="001374DC">
        <w:rPr>
          <w:kern w:val="24"/>
          <w:sz w:val="20"/>
          <w:szCs w:val="20"/>
          <w:lang w:val="en-GB"/>
        </w:rPr>
        <w:t>Muhammad Nejatullah, “Current Financial Crisis and Islamic Economics”, Working paper, Aligarh, India, 2008, p. 149.</w:t>
      </w:r>
    </w:p>
  </w:footnote>
  <w:footnote w:id="235">
    <w:p w14:paraId="48E032C6"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eastAsia="fr-FR"/>
        </w:rPr>
        <w:t xml:space="preserve"> Sundararajan</w:t>
      </w:r>
      <w:r w:rsidRPr="001374DC">
        <w:rPr>
          <w:rFonts w:ascii="Times New Roman" w:hAnsi="Times New Roman" w:cs="Times New Roman"/>
          <w:kern w:val="24"/>
          <w:sz w:val="20"/>
          <w:szCs w:val="20"/>
          <w:lang w:val="en-US" w:eastAsia="fr-FR"/>
        </w:rPr>
        <w:t xml:space="preserve"> Vijay, “</w:t>
      </w:r>
      <w:r w:rsidRPr="001374DC">
        <w:rPr>
          <w:rFonts w:ascii="Times New Roman" w:hAnsi="Times New Roman" w:cs="Times New Roman"/>
          <w:kern w:val="24"/>
          <w:sz w:val="20"/>
          <w:szCs w:val="20"/>
          <w:lang w:val="en-GB"/>
        </w:rPr>
        <w:t>Risk Measurement and Disclosure in Islamic Finance and the Implications of Profit-Sharing Investment Accounts”, Proceedings of the Sixth International Conference on Islamic Economics, Banking and Finance, Jakarta, Indonesia, 2005, p. 121.</w:t>
      </w:r>
    </w:p>
  </w:footnote>
  <w:footnote w:id="236">
    <w:p w14:paraId="5C08A74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Chapra</w:t>
      </w:r>
      <w:r w:rsidRPr="001374DC">
        <w:rPr>
          <w:rFonts w:ascii="Times New Roman" w:hAnsi="Times New Roman" w:cs="Times New Roman"/>
          <w:kern w:val="24"/>
        </w:rPr>
        <w:t xml:space="preserve"> et </w:t>
      </w:r>
      <w:r w:rsidRPr="001374DC">
        <w:rPr>
          <w:rFonts w:ascii="Times New Roman" w:hAnsi="Times New Roman" w:cs="Times New Roman"/>
          <w:smallCaps/>
          <w:kern w:val="24"/>
        </w:rPr>
        <w:t>Khan</w:t>
      </w:r>
      <w:r w:rsidRPr="001374DC">
        <w:rPr>
          <w:rFonts w:ascii="Times New Roman" w:hAnsi="Times New Roman" w:cs="Times New Roman"/>
          <w:kern w:val="24"/>
        </w:rPr>
        <w:t>, 2001, référence citée, p. 69-71.</w:t>
      </w:r>
    </w:p>
  </w:footnote>
  <w:footnote w:id="237">
    <w:p w14:paraId="530718DA"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ouvrage cité, p. 159.</w:t>
      </w:r>
    </w:p>
  </w:footnote>
  <w:footnote w:id="238">
    <w:p w14:paraId="525141E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Khan</w:t>
      </w:r>
      <w:r w:rsidRPr="001374DC">
        <w:rPr>
          <w:rFonts w:ascii="Times New Roman" w:hAnsi="Times New Roman" w:cs="Times New Roman"/>
          <w:kern w:val="24"/>
        </w:rPr>
        <w:t xml:space="preserve"> et </w:t>
      </w:r>
      <w:r w:rsidRPr="001374DC">
        <w:rPr>
          <w:rFonts w:ascii="Times New Roman" w:hAnsi="Times New Roman" w:cs="Times New Roman"/>
          <w:smallCaps/>
          <w:kern w:val="24"/>
        </w:rPr>
        <w:t>Ahmad</w:t>
      </w:r>
      <w:r w:rsidRPr="001374DC">
        <w:rPr>
          <w:rFonts w:ascii="Times New Roman" w:hAnsi="Times New Roman" w:cs="Times New Roman"/>
          <w:kern w:val="24"/>
        </w:rPr>
        <w:t>, 2002, référence citée, p. 62.</w:t>
      </w:r>
    </w:p>
  </w:footnote>
  <w:footnote w:id="239">
    <w:p w14:paraId="125A2B8A"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60.</w:t>
      </w:r>
    </w:p>
  </w:footnote>
  <w:footnote w:id="240">
    <w:p w14:paraId="284500D6"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Iqbal</w:t>
      </w:r>
      <w:r w:rsidRPr="001374DC">
        <w:rPr>
          <w:rFonts w:ascii="Times New Roman" w:hAnsi="Times New Roman" w:cs="Times New Roman"/>
          <w:kern w:val="24"/>
        </w:rPr>
        <w:t xml:space="preserve"> et </w:t>
      </w:r>
      <w:r w:rsidRPr="001374DC">
        <w:rPr>
          <w:rFonts w:ascii="Times New Roman" w:hAnsi="Times New Roman" w:cs="Times New Roman"/>
          <w:smallCaps/>
          <w:kern w:val="24"/>
        </w:rPr>
        <w:t>Mirakhor,</w:t>
      </w:r>
      <w:r w:rsidRPr="001374DC">
        <w:rPr>
          <w:rFonts w:ascii="Times New Roman" w:hAnsi="Times New Roman" w:cs="Times New Roman"/>
          <w:kern w:val="24"/>
        </w:rPr>
        <w:t xml:space="preserve"> 2007, ouvrage cité, </w:t>
      </w:r>
      <w:r w:rsidRPr="001374DC">
        <w:rPr>
          <w:rFonts w:ascii="Times New Roman" w:hAnsi="Times New Roman" w:cs="Times New Roman"/>
          <w:color w:val="000000"/>
          <w:kern w:val="24"/>
          <w:shd w:val="clear" w:color="auto" w:fill="FFFFFF"/>
        </w:rPr>
        <w:t>p. 85.</w:t>
      </w:r>
    </w:p>
  </w:footnote>
  <w:footnote w:id="241">
    <w:p w14:paraId="7A3DD1F4"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bookmarkStart w:id="1022" w:name="_Hlk530861278"/>
      <w:r w:rsidRPr="001374DC">
        <w:rPr>
          <w:rFonts w:ascii="Times New Roman" w:hAnsi="Times New Roman" w:cs="Times New Roman"/>
          <w:smallCaps/>
          <w:kern w:val="24"/>
          <w:sz w:val="20"/>
          <w:szCs w:val="20"/>
          <w:lang w:val="en-GB" w:eastAsia="fr-FR"/>
        </w:rPr>
        <w:t xml:space="preserve"> Mahlknecht </w:t>
      </w:r>
      <w:r w:rsidRPr="001374DC">
        <w:rPr>
          <w:rFonts w:ascii="Times New Roman" w:hAnsi="Times New Roman" w:cs="Times New Roman"/>
          <w:kern w:val="24"/>
          <w:sz w:val="20"/>
          <w:szCs w:val="20"/>
          <w:lang w:val="en-GB" w:eastAsia="fr-FR"/>
        </w:rPr>
        <w:t>Michael, “Islamic Capital Markets and Risk Management: Global Market Trends and Issues”, London: Risk Books, a division of Incisive Financial Publishing Ltd</w:t>
      </w:r>
      <w:bookmarkEnd w:id="1022"/>
      <w:r w:rsidRPr="001374DC">
        <w:rPr>
          <w:rFonts w:ascii="Times New Roman" w:hAnsi="Times New Roman" w:cs="Times New Roman"/>
          <w:kern w:val="24"/>
          <w:sz w:val="20"/>
          <w:szCs w:val="20"/>
          <w:lang w:val="en-GB" w:eastAsia="fr-FR"/>
        </w:rPr>
        <w:t>, 2009, p. 86.</w:t>
      </w:r>
    </w:p>
  </w:footnote>
  <w:footnote w:id="242">
    <w:p w14:paraId="30AC7108"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Greuning</w:t>
      </w:r>
      <w:r w:rsidRPr="001374DC">
        <w:rPr>
          <w:rFonts w:ascii="Times New Roman" w:hAnsi="Times New Roman" w:cs="Times New Roman"/>
          <w:kern w:val="24"/>
          <w:sz w:val="20"/>
          <w:szCs w:val="20"/>
          <w:lang w:val="en-GB"/>
        </w:rPr>
        <w:t xml:space="preserve"> Hennie Van and </w:t>
      </w:r>
      <w:r w:rsidRPr="001374DC">
        <w:rPr>
          <w:rFonts w:ascii="Times New Roman" w:hAnsi="Times New Roman" w:cs="Times New Roman"/>
          <w:smallCaps/>
          <w:kern w:val="24"/>
          <w:sz w:val="20"/>
          <w:szCs w:val="20"/>
          <w:lang w:val="en-GB"/>
        </w:rPr>
        <w:t>Iqbal</w:t>
      </w:r>
      <w:r w:rsidRPr="001374DC">
        <w:rPr>
          <w:rFonts w:ascii="Times New Roman" w:hAnsi="Times New Roman" w:cs="Times New Roman"/>
          <w:kern w:val="24"/>
          <w:sz w:val="20"/>
          <w:szCs w:val="20"/>
          <w:lang w:val="en-GB"/>
        </w:rPr>
        <w:t xml:space="preserve"> Zamir, </w:t>
      </w:r>
      <w:r w:rsidRPr="001374DC">
        <w:rPr>
          <w:rFonts w:ascii="Times New Roman" w:hAnsi="Times New Roman" w:cs="Times New Roman"/>
          <w:color w:val="000000"/>
          <w:kern w:val="24"/>
          <w:sz w:val="20"/>
          <w:szCs w:val="20"/>
          <w:lang w:val="en-GB"/>
        </w:rPr>
        <w:t>“</w:t>
      </w:r>
      <w:r w:rsidRPr="001374DC">
        <w:rPr>
          <w:rFonts w:ascii="Times New Roman" w:hAnsi="Times New Roman" w:cs="Times New Roman"/>
          <w:kern w:val="24"/>
          <w:sz w:val="20"/>
          <w:szCs w:val="20"/>
          <w:lang w:val="en-GB"/>
        </w:rPr>
        <w:t>Risk Analysis for Islamic Banks</w:t>
      </w:r>
      <w:r w:rsidRPr="001374DC">
        <w:rPr>
          <w:rFonts w:ascii="Times New Roman" w:hAnsi="Times New Roman" w:cs="Times New Roman"/>
          <w:color w:val="000000"/>
          <w:kern w:val="24"/>
          <w:sz w:val="20"/>
          <w:szCs w:val="20"/>
          <w:lang w:val="en-GB"/>
        </w:rPr>
        <w:t>”</w:t>
      </w:r>
      <w:r w:rsidRPr="001374DC">
        <w:rPr>
          <w:rFonts w:ascii="Times New Roman" w:hAnsi="Times New Roman" w:cs="Times New Roman"/>
          <w:kern w:val="24"/>
          <w:sz w:val="20"/>
          <w:szCs w:val="20"/>
          <w:lang w:val="en-GB"/>
        </w:rPr>
        <w:t>, Washington D.C.: The World Bank, 2008</w:t>
      </w:r>
      <w:r w:rsidRPr="001374DC">
        <w:rPr>
          <w:rFonts w:ascii="Times New Roman" w:hAnsi="Times New Roman" w:cs="Times New Roman"/>
          <w:kern w:val="24"/>
          <w:sz w:val="20"/>
          <w:szCs w:val="20"/>
          <w:lang w:val="en-GB" w:eastAsia="fr-FR"/>
        </w:rPr>
        <w:t>, p. 121.</w:t>
      </w:r>
    </w:p>
  </w:footnote>
  <w:footnote w:id="243">
    <w:p w14:paraId="62790F41"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Khan</w:t>
      </w:r>
      <w:r w:rsidRPr="001374DC">
        <w:rPr>
          <w:rFonts w:ascii="Times New Roman" w:hAnsi="Times New Roman" w:cs="Times New Roman"/>
          <w:kern w:val="24"/>
        </w:rPr>
        <w:t xml:space="preserve"> et </w:t>
      </w:r>
      <w:r w:rsidRPr="001374DC">
        <w:rPr>
          <w:rFonts w:ascii="Times New Roman" w:hAnsi="Times New Roman" w:cs="Times New Roman"/>
          <w:smallCaps/>
          <w:kern w:val="24"/>
        </w:rPr>
        <w:t>Ahmad</w:t>
      </w:r>
      <w:r w:rsidRPr="001374DC">
        <w:rPr>
          <w:rFonts w:ascii="Times New Roman" w:hAnsi="Times New Roman" w:cs="Times New Roman"/>
          <w:kern w:val="24"/>
        </w:rPr>
        <w:t>, 2002, référence citée, p. 58.</w:t>
      </w:r>
    </w:p>
  </w:footnote>
  <w:footnote w:id="244">
    <w:p w14:paraId="594B182A"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Causse-Broquet</w:t>
      </w:r>
      <w:r w:rsidRPr="001374DC">
        <w:rPr>
          <w:rFonts w:ascii="Times New Roman" w:hAnsi="Times New Roman" w:cs="Times New Roman"/>
          <w:kern w:val="24"/>
        </w:rPr>
        <w:t>, 2009, ouvrage cité, p. 161.</w:t>
      </w:r>
    </w:p>
  </w:footnote>
  <w:footnote w:id="245">
    <w:p w14:paraId="30EADE26" w14:textId="77777777" w:rsidR="009C2D83" w:rsidRPr="001374DC" w:rsidRDefault="009C2D83" w:rsidP="001374DC">
      <w:pPr>
        <w:pStyle w:val="Default"/>
        <w:suppressAutoHyphens/>
        <w:rPr>
          <w:kern w:val="24"/>
          <w:sz w:val="20"/>
          <w:szCs w:val="20"/>
        </w:rPr>
      </w:pPr>
      <w:r w:rsidRPr="001374DC">
        <w:rPr>
          <w:rStyle w:val="Appelnotedebasdep"/>
          <w:kern w:val="24"/>
          <w:sz w:val="20"/>
          <w:szCs w:val="20"/>
        </w:rPr>
        <w:footnoteRef/>
      </w:r>
      <w:r w:rsidRPr="001374DC">
        <w:rPr>
          <w:smallCaps/>
          <w:kern w:val="24"/>
          <w:sz w:val="20"/>
          <w:szCs w:val="20"/>
        </w:rPr>
        <w:t xml:space="preserve"> Mohamed</w:t>
      </w:r>
      <w:r w:rsidRPr="001374DC">
        <w:rPr>
          <w:kern w:val="24"/>
          <w:sz w:val="20"/>
          <w:szCs w:val="20"/>
        </w:rPr>
        <w:t xml:space="preserve"> Ali M’rad, « les risques de marché en finance islamique », Cahiers de recherche, Institut Français des Etudes et Sciences Islamiques IFESI, 2010, p. 35.</w:t>
      </w:r>
    </w:p>
  </w:footnote>
  <w:footnote w:id="246">
    <w:p w14:paraId="3D5917F2"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Chapra</w:t>
      </w:r>
      <w:r w:rsidRPr="001374DC">
        <w:rPr>
          <w:rFonts w:ascii="Times New Roman" w:hAnsi="Times New Roman" w:cs="Times New Roman"/>
          <w:kern w:val="24"/>
        </w:rPr>
        <w:t xml:space="preserve"> et </w:t>
      </w:r>
      <w:r w:rsidRPr="001374DC">
        <w:rPr>
          <w:rFonts w:ascii="Times New Roman" w:hAnsi="Times New Roman" w:cs="Times New Roman"/>
          <w:smallCaps/>
          <w:kern w:val="24"/>
        </w:rPr>
        <w:t>Khan</w:t>
      </w:r>
      <w:r w:rsidRPr="001374DC">
        <w:rPr>
          <w:rFonts w:ascii="Times New Roman" w:hAnsi="Times New Roman" w:cs="Times New Roman"/>
          <w:kern w:val="24"/>
        </w:rPr>
        <w:t>, 2001, référence citée, p. 73.</w:t>
      </w:r>
    </w:p>
  </w:footnote>
  <w:footnote w:id="247">
    <w:p w14:paraId="1DF864F9"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w:t>
      </w:r>
      <w:r w:rsidRPr="001374DC">
        <w:rPr>
          <w:rFonts w:ascii="Times New Roman" w:hAnsi="Times New Roman" w:cs="Times New Roman"/>
          <w:smallCaps/>
          <w:kern w:val="24"/>
          <w:lang w:val="en-US"/>
        </w:rPr>
        <w:t>Hesse</w:t>
      </w:r>
      <w:r w:rsidRPr="001374DC">
        <w:rPr>
          <w:rFonts w:ascii="Times New Roman" w:hAnsi="Times New Roman" w:cs="Times New Roman"/>
          <w:kern w:val="24"/>
          <w:lang w:val="en-US"/>
        </w:rPr>
        <w:t xml:space="preserve"> Heiko, </w:t>
      </w:r>
      <w:r w:rsidRPr="001374DC">
        <w:rPr>
          <w:rFonts w:ascii="Times New Roman" w:hAnsi="Times New Roman" w:cs="Times New Roman"/>
          <w:smallCaps/>
          <w:kern w:val="24"/>
          <w:lang w:val="en-US"/>
        </w:rPr>
        <w:t>Jobst</w:t>
      </w:r>
      <w:r w:rsidRPr="001374DC">
        <w:rPr>
          <w:rFonts w:ascii="Times New Roman" w:hAnsi="Times New Roman" w:cs="Times New Roman"/>
          <w:kern w:val="24"/>
          <w:lang w:val="en-US"/>
        </w:rPr>
        <w:t xml:space="preserve"> Andreas and </w:t>
      </w:r>
      <w:r w:rsidRPr="001374DC">
        <w:rPr>
          <w:rFonts w:ascii="Times New Roman" w:hAnsi="Times New Roman" w:cs="Times New Roman"/>
          <w:smallCaps/>
          <w:kern w:val="24"/>
          <w:lang w:val="en-US"/>
        </w:rPr>
        <w:t>Solé</w:t>
      </w:r>
      <w:r w:rsidRPr="001374DC">
        <w:rPr>
          <w:rFonts w:ascii="Times New Roman" w:hAnsi="Times New Roman" w:cs="Times New Roman"/>
          <w:kern w:val="24"/>
          <w:lang w:val="en-US"/>
        </w:rPr>
        <w:t xml:space="preserve"> Juan, “Trends and challenges in Islamic finance”, World Economics, Vol. 9, n° 2, 2008, p. 181.</w:t>
      </w:r>
    </w:p>
  </w:footnote>
  <w:footnote w:id="248">
    <w:p w14:paraId="5D4677ED"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smallCaps/>
          <w:kern w:val="24"/>
        </w:rPr>
        <w:footnoteRef/>
      </w:r>
      <w:r w:rsidRPr="001374DC">
        <w:rPr>
          <w:rFonts w:ascii="Times New Roman" w:hAnsi="Times New Roman" w:cs="Times New Roman"/>
          <w:smallCaps/>
          <w:kern w:val="24"/>
          <w:lang w:val="en-GB"/>
        </w:rPr>
        <w:t xml:space="preserve"> Chapra</w:t>
      </w:r>
      <w:r w:rsidRPr="001374DC">
        <w:rPr>
          <w:rFonts w:ascii="Times New Roman" w:hAnsi="Times New Roman" w:cs="Times New Roman"/>
          <w:kern w:val="24"/>
          <w:lang w:val="en-GB"/>
        </w:rPr>
        <w:t xml:space="preserve"> et </w:t>
      </w:r>
      <w:r w:rsidRPr="001374DC">
        <w:rPr>
          <w:rFonts w:ascii="Times New Roman" w:hAnsi="Times New Roman" w:cs="Times New Roman"/>
          <w:smallCaps/>
          <w:kern w:val="24"/>
          <w:lang w:val="en-GB"/>
        </w:rPr>
        <w:t>khan</w:t>
      </w:r>
      <w:r w:rsidRPr="001374DC">
        <w:rPr>
          <w:rFonts w:ascii="Times New Roman" w:hAnsi="Times New Roman" w:cs="Times New Roman"/>
          <w:kern w:val="24"/>
          <w:lang w:val="en-GB"/>
        </w:rPr>
        <w:t>, 2001, p. 73.</w:t>
      </w:r>
    </w:p>
  </w:footnote>
  <w:footnote w:id="249">
    <w:p w14:paraId="7373A645" w14:textId="77777777" w:rsidR="009C2D83" w:rsidRPr="001374DC" w:rsidRDefault="009C2D83" w:rsidP="001374DC">
      <w:pPr>
        <w:pStyle w:val="Default"/>
        <w:suppressAutoHyphens/>
        <w:rPr>
          <w:kern w:val="24"/>
          <w:sz w:val="20"/>
          <w:szCs w:val="20"/>
          <w:lang w:val="en-GB"/>
        </w:rPr>
      </w:pPr>
      <w:r w:rsidRPr="001374DC">
        <w:rPr>
          <w:rStyle w:val="Appelnotedebasdep"/>
          <w:kern w:val="24"/>
          <w:sz w:val="20"/>
          <w:szCs w:val="20"/>
        </w:rPr>
        <w:footnoteRef/>
      </w:r>
      <w:r w:rsidRPr="001374DC">
        <w:rPr>
          <w:smallCaps/>
          <w:kern w:val="24"/>
          <w:sz w:val="20"/>
          <w:szCs w:val="20"/>
          <w:lang w:val="en-GB"/>
        </w:rPr>
        <w:t xml:space="preserve"> Khan</w:t>
      </w:r>
      <w:r w:rsidRPr="001374DC">
        <w:rPr>
          <w:kern w:val="24"/>
          <w:sz w:val="20"/>
          <w:szCs w:val="20"/>
          <w:lang w:val="en-GB"/>
        </w:rPr>
        <w:t xml:space="preserve"> Mansoor and </w:t>
      </w:r>
      <w:r w:rsidRPr="001374DC">
        <w:rPr>
          <w:smallCaps/>
          <w:kern w:val="24"/>
          <w:sz w:val="20"/>
          <w:szCs w:val="20"/>
          <w:lang w:val="en-GB"/>
        </w:rPr>
        <w:t>Bhatti</w:t>
      </w:r>
      <w:r w:rsidRPr="001374DC">
        <w:rPr>
          <w:kern w:val="24"/>
          <w:sz w:val="20"/>
          <w:szCs w:val="20"/>
          <w:lang w:val="en-GB"/>
        </w:rPr>
        <w:t xml:space="preserve"> Ishaq M, “Development in Islamic banking: a financial risk allocation approach”, Journal of Risk Finance, Vol. 9, N° 1, 2008, p. 43.</w:t>
      </w:r>
    </w:p>
  </w:footnote>
  <w:footnote w:id="250">
    <w:p w14:paraId="36BEA9D7"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eastAsia="fr-FR"/>
        </w:rPr>
        <w:t xml:space="preserve"> Ben Jedidia</w:t>
      </w:r>
      <w:r w:rsidRPr="001374DC">
        <w:rPr>
          <w:rFonts w:ascii="Times New Roman" w:hAnsi="Times New Roman" w:cs="Times New Roman"/>
          <w:kern w:val="24"/>
          <w:sz w:val="20"/>
          <w:szCs w:val="20"/>
          <w:lang w:eastAsia="fr-FR"/>
        </w:rPr>
        <w:t xml:space="preserve"> Khoutem</w:t>
      </w:r>
      <w:r w:rsidRPr="001374DC">
        <w:rPr>
          <w:rFonts w:ascii="Times New Roman" w:hAnsi="Times New Roman" w:cs="Times New Roman"/>
          <w:kern w:val="24"/>
          <w:sz w:val="20"/>
          <w:szCs w:val="20"/>
        </w:rPr>
        <w:t xml:space="preserve"> et </w:t>
      </w:r>
      <w:r w:rsidRPr="001374DC">
        <w:rPr>
          <w:rFonts w:ascii="Times New Roman" w:hAnsi="Times New Roman" w:cs="Times New Roman"/>
          <w:smallCaps/>
          <w:kern w:val="24"/>
          <w:sz w:val="20"/>
          <w:szCs w:val="20"/>
        </w:rPr>
        <w:t>Jlassi</w:t>
      </w:r>
      <w:r w:rsidRPr="001374DC">
        <w:rPr>
          <w:rFonts w:ascii="Times New Roman" w:hAnsi="Times New Roman" w:cs="Times New Roman"/>
          <w:kern w:val="24"/>
          <w:sz w:val="20"/>
          <w:szCs w:val="20"/>
        </w:rPr>
        <w:t xml:space="preserve"> Mouldi, « Le risque de liquidité pour une banque islamique : Enjeux et gestion », Etudes en Economie Islamique, Vol. 07, N° 1, 2013, p. 72.</w:t>
      </w:r>
    </w:p>
  </w:footnote>
  <w:footnote w:id="251">
    <w:p w14:paraId="4B8671D9"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ouvrage cité, p. 163.</w:t>
      </w:r>
    </w:p>
  </w:footnote>
  <w:footnote w:id="252">
    <w:p w14:paraId="7FCA7C60"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Haideur</w:t>
      </w:r>
      <w:r w:rsidRPr="001374DC">
        <w:rPr>
          <w:rFonts w:ascii="Times New Roman" w:hAnsi="Times New Roman" w:cs="Times New Roman"/>
          <w:kern w:val="24"/>
        </w:rPr>
        <w:t xml:space="preserve"> Nasseur, « Gestion des risques spécifiques en finance islamique : expérience de la banque AlBaraka d’Algérie », Actes de séminaire, université Ferhat Abbas, Sétif-Algérie, 18-20 avril 2009, p. 66-67.</w:t>
      </w:r>
    </w:p>
  </w:footnote>
  <w:footnote w:id="253">
    <w:p w14:paraId="16127A52"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Otmani</w:t>
      </w:r>
      <w:r w:rsidRPr="001374DC">
        <w:rPr>
          <w:rFonts w:ascii="Times New Roman" w:hAnsi="Times New Roman" w:cs="Times New Roman"/>
          <w:kern w:val="24"/>
          <w:sz w:val="20"/>
          <w:szCs w:val="20"/>
        </w:rPr>
        <w:t xml:space="preserve"> Abdelhafid et </w:t>
      </w:r>
      <w:r w:rsidRPr="001374DC">
        <w:rPr>
          <w:rFonts w:ascii="Times New Roman" w:hAnsi="Times New Roman" w:cs="Times New Roman"/>
          <w:smallCaps/>
          <w:kern w:val="24"/>
          <w:sz w:val="20"/>
          <w:szCs w:val="20"/>
        </w:rPr>
        <w:t>Otmani-Bouterf</w:t>
      </w:r>
      <w:r w:rsidRPr="001374DC">
        <w:rPr>
          <w:rFonts w:ascii="Times New Roman" w:hAnsi="Times New Roman" w:cs="Times New Roman"/>
          <w:kern w:val="24"/>
          <w:sz w:val="20"/>
          <w:szCs w:val="20"/>
        </w:rPr>
        <w:t xml:space="preserve"> Mounya, « La finance islamique dans un environnement non islamique : réalité et défis », 2</w:t>
      </w:r>
      <w:r w:rsidRPr="001374DC">
        <w:rPr>
          <w:rFonts w:ascii="Times New Roman" w:hAnsi="Times New Roman" w:cs="Times New Roman"/>
          <w:kern w:val="24"/>
          <w:sz w:val="20"/>
          <w:szCs w:val="20"/>
          <w:vertAlign w:val="superscript"/>
        </w:rPr>
        <w:t>ème</w:t>
      </w:r>
      <w:r w:rsidRPr="001374DC">
        <w:rPr>
          <w:rFonts w:ascii="Times New Roman" w:hAnsi="Times New Roman" w:cs="Times New Roman"/>
          <w:kern w:val="24"/>
          <w:sz w:val="20"/>
          <w:szCs w:val="20"/>
        </w:rPr>
        <w:t xml:space="preserve"> séminaire international de l’université de Khemis Meliana, Algérie, 5-6 mai 2009, p. 13.</w:t>
      </w:r>
    </w:p>
  </w:footnote>
  <w:footnote w:id="254">
    <w:p w14:paraId="5DEB509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ouvrage cité, p. 178.</w:t>
      </w:r>
    </w:p>
  </w:footnote>
  <w:footnote w:id="255">
    <w:p w14:paraId="2780730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Jouini</w:t>
      </w:r>
      <w:r w:rsidRPr="001374DC">
        <w:rPr>
          <w:rFonts w:ascii="Times New Roman" w:hAnsi="Times New Roman" w:cs="Times New Roman"/>
          <w:kern w:val="24"/>
        </w:rPr>
        <w:t xml:space="preserve"> et </w:t>
      </w:r>
      <w:r w:rsidRPr="001374DC">
        <w:rPr>
          <w:rFonts w:ascii="Times New Roman" w:hAnsi="Times New Roman" w:cs="Times New Roman"/>
          <w:smallCaps/>
          <w:kern w:val="24"/>
        </w:rPr>
        <w:t>Pastré</w:t>
      </w:r>
      <w:r w:rsidRPr="001374DC">
        <w:rPr>
          <w:rFonts w:ascii="Times New Roman" w:hAnsi="Times New Roman" w:cs="Times New Roman"/>
          <w:kern w:val="24"/>
        </w:rPr>
        <w:t>, 2008, référence citée, p. 19.</w:t>
      </w:r>
    </w:p>
  </w:footnote>
  <w:footnote w:id="256">
    <w:p w14:paraId="05CA6F4D" w14:textId="77777777" w:rsidR="009C2D83" w:rsidRPr="001374DC" w:rsidRDefault="009C2D83" w:rsidP="001374DC">
      <w:pPr>
        <w:suppressAutoHyphens/>
        <w:spacing w:line="240" w:lineRule="auto"/>
        <w:rPr>
          <w:rFonts w:ascii="Times New Roman" w:hAnsi="Times New Roman" w:cs="Times New Roman"/>
          <w:color w:val="000000"/>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color w:val="000000"/>
          <w:kern w:val="24"/>
          <w:sz w:val="20"/>
          <w:szCs w:val="20"/>
          <w:lang w:eastAsia="fr-FR"/>
        </w:rPr>
        <w:t xml:space="preserve"> Toumi</w:t>
      </w:r>
      <w:r w:rsidRPr="001374DC">
        <w:rPr>
          <w:rFonts w:ascii="Times New Roman" w:hAnsi="Times New Roman" w:cs="Times New Roman"/>
          <w:color w:val="000000"/>
          <w:kern w:val="24"/>
          <w:sz w:val="20"/>
          <w:szCs w:val="20"/>
          <w:lang w:eastAsia="fr-FR"/>
        </w:rPr>
        <w:t xml:space="preserve"> Kaouther et </w:t>
      </w:r>
      <w:r w:rsidRPr="001374DC">
        <w:rPr>
          <w:rFonts w:ascii="Times New Roman" w:hAnsi="Times New Roman" w:cs="Times New Roman"/>
          <w:smallCaps/>
          <w:color w:val="000000"/>
          <w:kern w:val="24"/>
          <w:sz w:val="20"/>
          <w:szCs w:val="20"/>
          <w:lang w:eastAsia="fr-FR"/>
        </w:rPr>
        <w:t>Viviani</w:t>
      </w:r>
      <w:r w:rsidRPr="001374DC">
        <w:rPr>
          <w:rFonts w:ascii="Times New Roman" w:hAnsi="Times New Roman" w:cs="Times New Roman"/>
          <w:color w:val="000000"/>
          <w:kern w:val="24"/>
          <w:sz w:val="20"/>
          <w:szCs w:val="20"/>
          <w:lang w:eastAsia="fr-FR"/>
        </w:rPr>
        <w:t xml:space="preserve"> Laurent J., </w:t>
      </w:r>
      <w:r w:rsidRPr="001374DC">
        <w:rPr>
          <w:rFonts w:ascii="Times New Roman" w:hAnsi="Times New Roman" w:cs="Times New Roman"/>
          <w:kern w:val="24"/>
          <w:sz w:val="20"/>
          <w:szCs w:val="20"/>
          <w:lang w:eastAsia="fr-FR"/>
        </w:rPr>
        <w:t>« </w:t>
      </w:r>
      <w:r w:rsidRPr="001374DC">
        <w:rPr>
          <w:rFonts w:ascii="Times New Roman" w:hAnsi="Times New Roman" w:cs="Times New Roman"/>
          <w:color w:val="000000"/>
          <w:kern w:val="24"/>
          <w:sz w:val="20"/>
          <w:szCs w:val="20"/>
          <w:lang w:eastAsia="fr-FR"/>
        </w:rPr>
        <w:t>Le risqué lié aux comptes d’investissement participatif : un risque propre aux banques islamique », Revue des Sciences de Gestion, N° 259-260, 2013, p. 131.</w:t>
      </w:r>
    </w:p>
  </w:footnote>
  <w:footnote w:id="257">
    <w:p w14:paraId="421C8B94"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ouvrage cité, p. 164.</w:t>
      </w:r>
    </w:p>
  </w:footnote>
  <w:footnote w:id="258">
    <w:p w14:paraId="5C2385DB"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Chapra</w:t>
      </w:r>
      <w:r w:rsidRPr="001374DC">
        <w:rPr>
          <w:rFonts w:ascii="Times New Roman" w:hAnsi="Times New Roman" w:cs="Times New Roman"/>
          <w:kern w:val="24"/>
        </w:rPr>
        <w:t xml:space="preserve"> et </w:t>
      </w:r>
      <w:r w:rsidRPr="001374DC">
        <w:rPr>
          <w:rFonts w:ascii="Times New Roman" w:hAnsi="Times New Roman" w:cs="Times New Roman"/>
          <w:smallCaps/>
          <w:kern w:val="24"/>
        </w:rPr>
        <w:t>Khan</w:t>
      </w:r>
      <w:r w:rsidRPr="001374DC">
        <w:rPr>
          <w:rFonts w:ascii="Times New Roman" w:hAnsi="Times New Roman" w:cs="Times New Roman"/>
          <w:kern w:val="24"/>
        </w:rPr>
        <w:t>, 2001, référence citée, p. 75.</w:t>
      </w:r>
    </w:p>
  </w:footnote>
  <w:footnote w:id="259">
    <w:p w14:paraId="59D2FB46"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Causse-Broquet</w:t>
      </w:r>
      <w:r w:rsidRPr="001374DC">
        <w:rPr>
          <w:rFonts w:ascii="Times New Roman" w:hAnsi="Times New Roman" w:cs="Times New Roman"/>
          <w:kern w:val="24"/>
        </w:rPr>
        <w:t>, 2009, ouvrage cité, p. 165.</w:t>
      </w:r>
    </w:p>
  </w:footnote>
  <w:footnote w:id="260">
    <w:p w14:paraId="0DFE88AB"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Cherif</w:t>
      </w:r>
      <w:r w:rsidRPr="001374DC">
        <w:rPr>
          <w:rFonts w:ascii="Times New Roman" w:hAnsi="Times New Roman" w:cs="Times New Roman"/>
          <w:kern w:val="24"/>
        </w:rPr>
        <w:t>, 2008, référence citée, p. 53.</w:t>
      </w:r>
    </w:p>
  </w:footnote>
  <w:footnote w:id="261">
    <w:p w14:paraId="78CDD299"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Khan</w:t>
      </w:r>
      <w:r w:rsidRPr="001374DC">
        <w:rPr>
          <w:rFonts w:ascii="Times New Roman" w:hAnsi="Times New Roman" w:cs="Times New Roman"/>
          <w:kern w:val="24"/>
        </w:rPr>
        <w:t xml:space="preserve"> et </w:t>
      </w:r>
      <w:r w:rsidRPr="001374DC">
        <w:rPr>
          <w:rFonts w:ascii="Times New Roman" w:hAnsi="Times New Roman" w:cs="Times New Roman"/>
          <w:smallCaps/>
          <w:kern w:val="24"/>
        </w:rPr>
        <w:t>Ahmad</w:t>
      </w:r>
      <w:r w:rsidRPr="001374DC">
        <w:rPr>
          <w:rFonts w:ascii="Times New Roman" w:hAnsi="Times New Roman" w:cs="Times New Roman"/>
          <w:kern w:val="24"/>
        </w:rPr>
        <w:t>, 2002, référence citée, p. 133.</w:t>
      </w:r>
    </w:p>
  </w:footnote>
  <w:footnote w:id="262">
    <w:p w14:paraId="0B15268E"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eastAsia="fr-FR"/>
        </w:rPr>
        <w:t xml:space="preserve"> Al-Suwailem </w:t>
      </w:r>
      <w:r w:rsidRPr="001374DC">
        <w:rPr>
          <w:rFonts w:ascii="Times New Roman" w:hAnsi="Times New Roman" w:cs="Times New Roman"/>
          <w:kern w:val="24"/>
          <w:sz w:val="20"/>
          <w:szCs w:val="20"/>
          <w:lang w:val="en-US" w:eastAsia="fr-FR"/>
        </w:rPr>
        <w:t xml:space="preserve">Sami, “Hedging in Islamic finance”, </w:t>
      </w:r>
      <w:r w:rsidRPr="001374DC">
        <w:rPr>
          <w:rFonts w:ascii="Times New Roman" w:hAnsi="Times New Roman" w:cs="Times New Roman"/>
          <w:kern w:val="24"/>
          <w:sz w:val="20"/>
          <w:szCs w:val="20"/>
          <w:lang w:val="en-GB"/>
        </w:rPr>
        <w:t>Occasional Paper N° 10, 2006, p. 37.</w:t>
      </w:r>
    </w:p>
  </w:footnote>
  <w:footnote w:id="263">
    <w:p w14:paraId="4574C983" w14:textId="483A645E" w:rsidR="009C2D83" w:rsidRPr="001374DC" w:rsidRDefault="009C2D83" w:rsidP="001374DC">
      <w:pPr>
        <w:pStyle w:val="Titre1"/>
        <w:shd w:val="clear" w:color="auto" w:fill="FFFFFF"/>
        <w:spacing w:before="0" w:beforeAutospacing="0" w:after="0" w:afterAutospacing="0"/>
        <w:rPr>
          <w:b w:val="0"/>
          <w:bCs w:val="0"/>
          <w:color w:val="000000" w:themeColor="text1"/>
          <w:kern w:val="24"/>
          <w:sz w:val="20"/>
          <w:szCs w:val="20"/>
        </w:rPr>
      </w:pPr>
      <w:r w:rsidRPr="001374DC">
        <w:rPr>
          <w:rStyle w:val="Appelnotedebasdep"/>
          <w:b w:val="0"/>
          <w:bCs w:val="0"/>
          <w:kern w:val="24"/>
          <w:sz w:val="20"/>
          <w:szCs w:val="20"/>
        </w:rPr>
        <w:footnoteRef/>
      </w:r>
      <w:r>
        <w:rPr>
          <w:b w:val="0"/>
          <w:bCs w:val="0"/>
          <w:smallCaps/>
          <w:color w:val="000000" w:themeColor="text1"/>
          <w:kern w:val="24"/>
          <w:sz w:val="20"/>
          <w:szCs w:val="20"/>
        </w:rPr>
        <w:t xml:space="preserve"> </w:t>
      </w:r>
      <w:r w:rsidRPr="001374DC">
        <w:rPr>
          <w:b w:val="0"/>
          <w:bCs w:val="0"/>
          <w:smallCaps/>
          <w:color w:val="000000" w:themeColor="text1"/>
          <w:kern w:val="24"/>
          <w:sz w:val="20"/>
          <w:szCs w:val="20"/>
        </w:rPr>
        <w:t>Abou Hamdan</w:t>
      </w:r>
      <w:r w:rsidRPr="001374DC">
        <w:rPr>
          <w:b w:val="0"/>
          <w:bCs w:val="0"/>
          <w:color w:val="000000" w:themeColor="text1"/>
          <w:kern w:val="24"/>
          <w:sz w:val="20"/>
          <w:szCs w:val="20"/>
        </w:rPr>
        <w:t xml:space="preserve"> Malek, « Produits dérivés, risques de marché et "Gharar" : recherche d'une alternative islamique », thèse</w:t>
      </w:r>
      <w:r w:rsidRPr="001374DC">
        <w:rPr>
          <w:b w:val="0"/>
          <w:bCs w:val="0"/>
          <w:color w:val="000000" w:themeColor="text1"/>
          <w:kern w:val="24"/>
          <w:sz w:val="20"/>
          <w:szCs w:val="20"/>
          <w:shd w:val="clear" w:color="auto" w:fill="FFFFFF"/>
        </w:rPr>
        <w:t xml:space="preserve"> de doctorat en Sciences de gestion, </w:t>
      </w:r>
      <w:r w:rsidRPr="001374DC">
        <w:rPr>
          <w:color w:val="444444"/>
          <w:kern w:val="24"/>
          <w:sz w:val="20"/>
          <w:szCs w:val="20"/>
          <w:shd w:val="clear" w:color="auto" w:fill="FFFFFF"/>
        </w:rPr>
        <w:t> </w:t>
      </w:r>
      <w:hyperlink r:id="rId32" w:history="1">
        <w:r w:rsidRPr="001374DC">
          <w:rPr>
            <w:rStyle w:val="Lienhypertexte"/>
            <w:b w:val="0"/>
            <w:bCs w:val="0"/>
            <w:color w:val="000000" w:themeColor="text1"/>
            <w:kern w:val="24"/>
            <w:sz w:val="20"/>
            <w:szCs w:val="20"/>
            <w:u w:val="none"/>
            <w:shd w:val="clear" w:color="auto" w:fill="FFFFFF"/>
          </w:rPr>
          <w:t>École doctorale des sciences économiques et gestion, sciences de l'information et de la communication, Paris,</w:t>
        </w:r>
      </w:hyperlink>
      <w:r w:rsidRPr="001374DC">
        <w:rPr>
          <w:b w:val="0"/>
          <w:bCs w:val="0"/>
          <w:color w:val="000000" w:themeColor="text1"/>
          <w:kern w:val="24"/>
          <w:sz w:val="20"/>
          <w:szCs w:val="20"/>
        </w:rPr>
        <w:t xml:space="preserve"> 2013, p. 04</w:t>
      </w:r>
      <w:r w:rsidRPr="001374DC">
        <w:rPr>
          <w:b w:val="0"/>
          <w:bCs w:val="0"/>
          <w:color w:val="000000" w:themeColor="text1"/>
          <w:kern w:val="24"/>
          <w:sz w:val="20"/>
          <w:szCs w:val="20"/>
          <w:shd w:val="clear" w:color="auto" w:fill="FFFFFF"/>
        </w:rPr>
        <w:t>.</w:t>
      </w:r>
    </w:p>
  </w:footnote>
  <w:footnote w:id="264">
    <w:p w14:paraId="2C637BB6"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136.</w:t>
      </w:r>
    </w:p>
  </w:footnote>
  <w:footnote w:id="265">
    <w:p w14:paraId="7F8DB5C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137.</w:t>
      </w:r>
    </w:p>
  </w:footnote>
  <w:footnote w:id="266">
    <w:p w14:paraId="7A838A20"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La Gestion Actif-Passif vise à assurer la pérennité de la banque. Cette gestion implique la quantification et l’analyse des risques financiers (principalement le risque de liquidité et de taux de change).</w:t>
      </w:r>
    </w:p>
  </w:footnote>
  <w:footnote w:id="267">
    <w:p w14:paraId="2356F120"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Hassoune</w:t>
      </w:r>
      <w:r w:rsidRPr="001374DC">
        <w:rPr>
          <w:rFonts w:ascii="Times New Roman" w:hAnsi="Times New Roman" w:cs="Times New Roman"/>
          <w:kern w:val="24"/>
          <w:sz w:val="20"/>
          <w:szCs w:val="20"/>
        </w:rPr>
        <w:t xml:space="preserve"> Anouar, « Les fonds propres des banques islamique face aux exigences réglementaires », Moody’s Investors Services, Paris, Janvier 2010, p. 15.</w:t>
      </w:r>
    </w:p>
  </w:footnote>
  <w:footnote w:id="268">
    <w:p w14:paraId="596D2A12" w14:textId="77777777" w:rsidR="009C2D83" w:rsidRPr="001374DC" w:rsidRDefault="009C2D83" w:rsidP="001374DC">
      <w:pPr>
        <w:pStyle w:val="Default"/>
        <w:suppressAutoHyphens/>
        <w:rPr>
          <w:kern w:val="24"/>
          <w:sz w:val="20"/>
          <w:szCs w:val="20"/>
        </w:rPr>
      </w:pPr>
      <w:r w:rsidRPr="001374DC">
        <w:rPr>
          <w:rStyle w:val="Appelnotedebasdep"/>
          <w:kern w:val="24"/>
          <w:sz w:val="20"/>
          <w:szCs w:val="20"/>
        </w:rPr>
        <w:footnoteRef/>
      </w:r>
      <w:r w:rsidRPr="001374DC">
        <w:rPr>
          <w:smallCaps/>
          <w:kern w:val="24"/>
          <w:sz w:val="20"/>
          <w:szCs w:val="20"/>
        </w:rPr>
        <w:t xml:space="preserve"> Al Monayea</w:t>
      </w:r>
      <w:r w:rsidRPr="001374DC">
        <w:rPr>
          <w:kern w:val="24"/>
          <w:sz w:val="20"/>
          <w:szCs w:val="20"/>
        </w:rPr>
        <w:t xml:space="preserve"> Emad, “Selecting the Right Business Model in Islamic Banking”, Papier présenté au Global Islamic Finance Forum, Kuala Lumpur, du 18 au 20 Sep 2012, p. 10.</w:t>
      </w:r>
    </w:p>
  </w:footnote>
  <w:footnote w:id="269">
    <w:p w14:paraId="4BF3DF63"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Iqbal</w:t>
      </w:r>
      <w:r w:rsidRPr="001374DC">
        <w:rPr>
          <w:rFonts w:ascii="Times New Roman" w:hAnsi="Times New Roman" w:cs="Times New Roman"/>
          <w:kern w:val="24"/>
        </w:rPr>
        <w:t xml:space="preserve"> et </w:t>
      </w:r>
      <w:r w:rsidRPr="001374DC">
        <w:rPr>
          <w:rFonts w:ascii="Times New Roman" w:hAnsi="Times New Roman" w:cs="Times New Roman"/>
          <w:smallCaps/>
          <w:kern w:val="24"/>
        </w:rPr>
        <w:t>Mirakhor</w:t>
      </w:r>
      <w:r w:rsidRPr="001374DC">
        <w:rPr>
          <w:rFonts w:ascii="Times New Roman" w:hAnsi="Times New Roman" w:cs="Times New Roman"/>
          <w:kern w:val="24"/>
        </w:rPr>
        <w:t>, 2011, référence citée, p. 110.</w:t>
      </w:r>
    </w:p>
  </w:footnote>
  <w:footnote w:id="270">
    <w:p w14:paraId="65CDB38D" w14:textId="77777777" w:rsidR="009C2D83" w:rsidRPr="001374DC" w:rsidRDefault="009C2D83" w:rsidP="001374DC">
      <w:pPr>
        <w:pStyle w:val="Default"/>
        <w:suppressAutoHyphens/>
        <w:rPr>
          <w:kern w:val="24"/>
          <w:sz w:val="20"/>
          <w:szCs w:val="20"/>
          <w:lang w:val="en-GB"/>
        </w:rPr>
      </w:pPr>
      <w:r w:rsidRPr="001374DC">
        <w:rPr>
          <w:rStyle w:val="Appelnotedebasdep"/>
          <w:kern w:val="24"/>
          <w:sz w:val="20"/>
          <w:szCs w:val="20"/>
        </w:rPr>
        <w:footnoteRef/>
      </w:r>
      <w:r w:rsidRPr="001374DC">
        <w:rPr>
          <w:smallCaps/>
          <w:kern w:val="24"/>
          <w:sz w:val="20"/>
          <w:szCs w:val="20"/>
          <w:lang w:val="en-GB"/>
        </w:rPr>
        <w:t xml:space="preserve"> Aziz</w:t>
      </w:r>
      <w:r w:rsidRPr="001374DC">
        <w:rPr>
          <w:kern w:val="24"/>
          <w:sz w:val="20"/>
          <w:szCs w:val="20"/>
          <w:lang w:val="en-GB"/>
        </w:rPr>
        <w:t xml:space="preserve"> Zeti Akhtar, “The Changing Landscape of Financial Regulation: Implications for Islamic Finance”, Conference: Seventh Islamic Financial Services Broad Summit on Global Financial Architecture, Manama, 4 mai 2010, p. 06.</w:t>
      </w:r>
    </w:p>
  </w:footnote>
  <w:footnote w:id="271">
    <w:p w14:paraId="1F6E1938"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Ben Jedidia</w:t>
      </w:r>
      <w:r w:rsidRPr="001374DC">
        <w:rPr>
          <w:rFonts w:ascii="Times New Roman" w:hAnsi="Times New Roman" w:cs="Times New Roman"/>
          <w:kern w:val="24"/>
        </w:rPr>
        <w:t xml:space="preserve"> et </w:t>
      </w:r>
      <w:r w:rsidRPr="001374DC">
        <w:rPr>
          <w:rFonts w:ascii="Times New Roman" w:hAnsi="Times New Roman" w:cs="Times New Roman"/>
          <w:smallCaps/>
          <w:kern w:val="24"/>
        </w:rPr>
        <w:t>Jlassi,</w:t>
      </w:r>
      <w:r w:rsidRPr="001374DC">
        <w:rPr>
          <w:rFonts w:ascii="Times New Roman" w:hAnsi="Times New Roman" w:cs="Times New Roman"/>
          <w:kern w:val="24"/>
        </w:rPr>
        <w:t xml:space="preserve"> 2013, référence citée, p. 90.</w:t>
      </w:r>
    </w:p>
  </w:footnote>
  <w:footnote w:id="272">
    <w:p w14:paraId="5DCA2985"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rPr>
        <w:t xml:space="preserve"> Ahmad</w:t>
      </w:r>
      <w:r w:rsidRPr="001374DC">
        <w:rPr>
          <w:rFonts w:ascii="Times New Roman" w:hAnsi="Times New Roman" w:cs="Times New Roman"/>
          <w:kern w:val="24"/>
          <w:sz w:val="20"/>
          <w:szCs w:val="20"/>
          <w:lang w:val="en-US"/>
        </w:rPr>
        <w:t xml:space="preserve"> Wassim, “Islamic banking in the United Kingdom: opportunities and challenges”, Kingston Business School, London, 2008, p. 25.</w:t>
      </w:r>
    </w:p>
  </w:footnote>
  <w:footnote w:id="273">
    <w:p w14:paraId="2FA7CBA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Khan</w:t>
      </w:r>
      <w:r w:rsidRPr="001374DC">
        <w:rPr>
          <w:rFonts w:ascii="Times New Roman" w:hAnsi="Times New Roman" w:cs="Times New Roman"/>
          <w:kern w:val="24"/>
        </w:rPr>
        <w:t xml:space="preserve"> et </w:t>
      </w:r>
      <w:r w:rsidRPr="001374DC">
        <w:rPr>
          <w:rFonts w:ascii="Times New Roman" w:hAnsi="Times New Roman" w:cs="Times New Roman"/>
          <w:smallCaps/>
          <w:kern w:val="24"/>
        </w:rPr>
        <w:t>Ahmad</w:t>
      </w:r>
      <w:r w:rsidRPr="001374DC">
        <w:rPr>
          <w:rFonts w:ascii="Times New Roman" w:hAnsi="Times New Roman" w:cs="Times New Roman"/>
          <w:kern w:val="24"/>
        </w:rPr>
        <w:t>, 2002, référence citée, p. 163.</w:t>
      </w:r>
    </w:p>
  </w:footnote>
  <w:footnote w:id="274">
    <w:p w14:paraId="533C9491"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ouvrage cité, p. 163.</w:t>
      </w:r>
    </w:p>
  </w:footnote>
  <w:footnote w:id="275">
    <w:p w14:paraId="561C62C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Toumi </w:t>
      </w:r>
      <w:r w:rsidRPr="001374DC">
        <w:rPr>
          <w:rFonts w:ascii="Times New Roman" w:hAnsi="Times New Roman" w:cs="Times New Roman"/>
          <w:kern w:val="24"/>
        </w:rPr>
        <w:t xml:space="preserve">et </w:t>
      </w:r>
      <w:r w:rsidRPr="001374DC">
        <w:rPr>
          <w:rFonts w:ascii="Times New Roman" w:hAnsi="Times New Roman" w:cs="Times New Roman"/>
          <w:smallCaps/>
          <w:kern w:val="24"/>
        </w:rPr>
        <w:t>Viviani</w:t>
      </w:r>
      <w:r w:rsidRPr="001374DC">
        <w:rPr>
          <w:rFonts w:ascii="Times New Roman" w:hAnsi="Times New Roman" w:cs="Times New Roman"/>
          <w:kern w:val="24"/>
        </w:rPr>
        <w:t>, 2013, référence citée, p. 133.</w:t>
      </w:r>
    </w:p>
  </w:footnote>
  <w:footnote w:id="276">
    <w:p w14:paraId="1A065FE9"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eastAsia="fr-FR"/>
        </w:rPr>
        <w:t xml:space="preserve"> Archer</w:t>
      </w:r>
      <w:r w:rsidRPr="001374DC">
        <w:rPr>
          <w:rFonts w:ascii="Times New Roman" w:hAnsi="Times New Roman" w:cs="Times New Roman"/>
          <w:kern w:val="24"/>
          <w:sz w:val="20"/>
          <w:szCs w:val="20"/>
          <w:lang w:val="en-GB" w:eastAsia="fr-FR"/>
        </w:rPr>
        <w:t xml:space="preserve"> Simon and </w:t>
      </w:r>
      <w:r w:rsidRPr="001374DC">
        <w:rPr>
          <w:rFonts w:ascii="Times New Roman" w:hAnsi="Times New Roman" w:cs="Times New Roman"/>
          <w:smallCaps/>
          <w:kern w:val="24"/>
          <w:sz w:val="20"/>
          <w:szCs w:val="20"/>
          <w:lang w:val="en-GB" w:eastAsia="fr-FR"/>
        </w:rPr>
        <w:t>Abdel Karim</w:t>
      </w:r>
      <w:r w:rsidRPr="001374DC">
        <w:rPr>
          <w:rFonts w:ascii="Times New Roman" w:hAnsi="Times New Roman" w:cs="Times New Roman"/>
          <w:kern w:val="24"/>
          <w:sz w:val="20"/>
          <w:szCs w:val="20"/>
          <w:lang w:val="en-GB" w:eastAsia="fr-FR"/>
        </w:rPr>
        <w:t xml:space="preserve"> Rifaat Ahmad, </w:t>
      </w:r>
      <w:r w:rsidRPr="001374DC">
        <w:rPr>
          <w:rFonts w:ascii="Times New Roman" w:hAnsi="Times New Roman" w:cs="Times New Roman"/>
          <w:kern w:val="24"/>
          <w:sz w:val="20"/>
          <w:szCs w:val="20"/>
          <w:lang w:val="en-GB"/>
        </w:rPr>
        <w:t>“</w:t>
      </w:r>
      <w:r w:rsidRPr="001374DC">
        <w:rPr>
          <w:rFonts w:ascii="Times New Roman" w:hAnsi="Times New Roman" w:cs="Times New Roman"/>
          <w:kern w:val="24"/>
          <w:sz w:val="20"/>
          <w:szCs w:val="20"/>
          <w:lang w:val="en-GB" w:eastAsia="fr-FR"/>
        </w:rPr>
        <w:t>On capital structure, Risk Sharing and Capital adequacy in Islamic Banks”, International Journal of theatrical and Applied Finance, Vol. 9, N° 3, 2006, p. 270.</w:t>
      </w:r>
    </w:p>
  </w:footnote>
  <w:footnote w:id="277">
    <w:p w14:paraId="019A2B8A"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eastAsia="fr-FR"/>
        </w:rPr>
        <w:t xml:space="preserve"> Sundararajan</w:t>
      </w:r>
      <w:r w:rsidRPr="001374DC">
        <w:rPr>
          <w:rFonts w:ascii="Times New Roman" w:hAnsi="Times New Roman" w:cs="Times New Roman"/>
          <w:kern w:val="24"/>
          <w:sz w:val="20"/>
          <w:szCs w:val="20"/>
          <w:lang w:val="en-US" w:eastAsia="fr-FR"/>
        </w:rPr>
        <w:t xml:space="preserve"> Vasudevan, </w:t>
      </w:r>
      <w:r w:rsidRPr="001374DC">
        <w:rPr>
          <w:rFonts w:ascii="Times New Roman" w:hAnsi="Times New Roman" w:cs="Times New Roman"/>
          <w:kern w:val="24"/>
          <w:sz w:val="20"/>
          <w:szCs w:val="20"/>
          <w:lang w:val="en-US"/>
        </w:rPr>
        <w:t>“</w:t>
      </w:r>
      <w:r w:rsidRPr="001374DC">
        <w:rPr>
          <w:rFonts w:ascii="Times New Roman" w:hAnsi="Times New Roman" w:cs="Times New Roman"/>
          <w:kern w:val="24"/>
          <w:sz w:val="20"/>
          <w:szCs w:val="20"/>
          <w:lang w:val="en-GB" w:eastAsia="fr-FR"/>
        </w:rPr>
        <w:t>Risk characteristics of Islamic product: implications for risk measurements and supervision”, WILEY &amp; SONS Edition, 2007,</w:t>
      </w:r>
      <w:r w:rsidRPr="001374DC">
        <w:rPr>
          <w:rFonts w:ascii="Times New Roman" w:hAnsi="Times New Roman" w:cs="Times New Roman"/>
          <w:kern w:val="24"/>
          <w:sz w:val="20"/>
          <w:szCs w:val="20"/>
          <w:rtl/>
          <w:lang w:val="en-GB" w:eastAsia="fr-FR"/>
        </w:rPr>
        <w:t xml:space="preserve"> </w:t>
      </w:r>
      <w:r w:rsidRPr="001374DC">
        <w:rPr>
          <w:rFonts w:ascii="Times New Roman" w:hAnsi="Times New Roman" w:cs="Times New Roman"/>
          <w:kern w:val="24"/>
          <w:sz w:val="20"/>
          <w:szCs w:val="20"/>
          <w:lang w:val="en-GB" w:eastAsia="fr-FR"/>
        </w:rPr>
        <w:t>p. 58.</w:t>
      </w:r>
    </w:p>
  </w:footnote>
  <w:footnote w:id="278">
    <w:p w14:paraId="128501F6"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Archer</w:t>
      </w:r>
      <w:r w:rsidRPr="001374DC">
        <w:rPr>
          <w:rFonts w:ascii="Times New Roman" w:hAnsi="Times New Roman" w:cs="Times New Roman"/>
          <w:kern w:val="24"/>
        </w:rPr>
        <w:t xml:space="preserve"> et </w:t>
      </w:r>
      <w:r w:rsidRPr="001374DC">
        <w:rPr>
          <w:rFonts w:ascii="Times New Roman" w:hAnsi="Times New Roman" w:cs="Times New Roman"/>
          <w:smallCaps/>
          <w:kern w:val="24"/>
        </w:rPr>
        <w:t>Karim</w:t>
      </w:r>
      <w:r w:rsidRPr="001374DC">
        <w:rPr>
          <w:rFonts w:ascii="Times New Roman" w:hAnsi="Times New Roman" w:cs="Times New Roman"/>
          <w:kern w:val="24"/>
        </w:rPr>
        <w:t>, 2006, référence citée, p. 272.</w:t>
      </w:r>
    </w:p>
  </w:footnote>
  <w:footnote w:id="279">
    <w:p w14:paraId="13A8F005"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Khan</w:t>
      </w:r>
      <w:r w:rsidRPr="001374DC">
        <w:rPr>
          <w:rFonts w:ascii="Times New Roman" w:hAnsi="Times New Roman" w:cs="Times New Roman"/>
          <w:kern w:val="24"/>
        </w:rPr>
        <w:t xml:space="preserve"> et </w:t>
      </w:r>
      <w:r w:rsidRPr="001374DC">
        <w:rPr>
          <w:rFonts w:ascii="Times New Roman" w:hAnsi="Times New Roman" w:cs="Times New Roman"/>
          <w:smallCaps/>
          <w:kern w:val="24"/>
        </w:rPr>
        <w:t>Ahmad</w:t>
      </w:r>
      <w:r w:rsidRPr="001374DC">
        <w:rPr>
          <w:rFonts w:ascii="Times New Roman" w:hAnsi="Times New Roman" w:cs="Times New Roman"/>
          <w:kern w:val="24"/>
        </w:rPr>
        <w:t>, (2001), référence citée, p. 148.</w:t>
      </w:r>
    </w:p>
  </w:footnote>
  <w:footnote w:id="280">
    <w:p w14:paraId="530CB0E4"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rPr>
        <w:t xml:space="preserve"> Obaidullah </w:t>
      </w:r>
      <w:r w:rsidRPr="001374DC">
        <w:rPr>
          <w:rFonts w:ascii="Times New Roman" w:hAnsi="Times New Roman" w:cs="Times New Roman"/>
          <w:kern w:val="24"/>
          <w:sz w:val="20"/>
          <w:szCs w:val="20"/>
          <w:lang w:val="en-US"/>
        </w:rPr>
        <w:t xml:space="preserve">Mohammed, “Capital adequacy norms for Islamic financial institutions”, </w:t>
      </w:r>
      <w:r w:rsidRPr="001374DC">
        <w:rPr>
          <w:rFonts w:ascii="Times New Roman" w:hAnsi="Times New Roman" w:cs="Times New Roman"/>
          <w:kern w:val="24"/>
          <w:sz w:val="20"/>
          <w:szCs w:val="20"/>
          <w:lang w:val="en-US" w:eastAsia="fr-FR"/>
        </w:rPr>
        <w:t>Islamic Economic Studies, Vol. 5, N° 1, 1998, p. 47.</w:t>
      </w:r>
    </w:p>
  </w:footnote>
  <w:footnote w:id="281">
    <w:p w14:paraId="28EAFE72"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Roupakia</w:t>
      </w:r>
      <w:r w:rsidRPr="001374DC">
        <w:rPr>
          <w:rFonts w:ascii="Times New Roman" w:hAnsi="Times New Roman" w:cs="Times New Roman"/>
          <w:kern w:val="24"/>
          <w:sz w:val="20"/>
          <w:szCs w:val="20"/>
          <w:lang w:eastAsia="fr-FR"/>
        </w:rPr>
        <w:t xml:space="preserve"> Nefeli, « L’émergence d’un phénomène nouveau en finance islamique : la neutralisation du Charia Risk », les Cahiers de la finance islamique N° 8, 2015</w:t>
      </w:r>
      <w:r w:rsidRPr="001374DC">
        <w:rPr>
          <w:rFonts w:ascii="Times New Roman" w:hAnsi="Times New Roman" w:cs="Times New Roman"/>
          <w:kern w:val="24"/>
          <w:sz w:val="24"/>
          <w:szCs w:val="24"/>
          <w:lang w:eastAsia="fr-FR"/>
        </w:rPr>
        <w:t xml:space="preserve">, </w:t>
      </w:r>
      <w:r w:rsidRPr="001374DC">
        <w:rPr>
          <w:rFonts w:ascii="Times New Roman" w:hAnsi="Times New Roman" w:cs="Times New Roman"/>
          <w:kern w:val="24"/>
          <w:sz w:val="20"/>
          <w:szCs w:val="20"/>
          <w:lang w:eastAsia="fr-FR"/>
        </w:rPr>
        <w:t>p. 59.</w:t>
      </w:r>
    </w:p>
  </w:footnote>
  <w:footnote w:id="282">
    <w:p w14:paraId="5A3034E1"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Causse-Broquet</w:t>
      </w:r>
      <w:r w:rsidRPr="001374DC">
        <w:rPr>
          <w:rFonts w:ascii="Times New Roman" w:hAnsi="Times New Roman" w:cs="Times New Roman"/>
          <w:kern w:val="24"/>
        </w:rPr>
        <w:t>, 2009, référence citée, p. 98.</w:t>
      </w:r>
    </w:p>
  </w:footnote>
  <w:footnote w:id="283">
    <w:p w14:paraId="066970F0"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Chapra</w:t>
      </w:r>
      <w:r w:rsidRPr="001374DC">
        <w:rPr>
          <w:rFonts w:ascii="Times New Roman" w:hAnsi="Times New Roman" w:cs="Times New Roman"/>
          <w:kern w:val="24"/>
        </w:rPr>
        <w:t xml:space="preserve"> et </w:t>
      </w:r>
      <w:r w:rsidRPr="001374DC">
        <w:rPr>
          <w:rFonts w:ascii="Times New Roman" w:hAnsi="Times New Roman" w:cs="Times New Roman"/>
          <w:smallCaps/>
          <w:kern w:val="24"/>
        </w:rPr>
        <w:t>Khan</w:t>
      </w:r>
      <w:r w:rsidRPr="001374DC">
        <w:rPr>
          <w:rFonts w:ascii="Times New Roman" w:hAnsi="Times New Roman" w:cs="Times New Roman"/>
          <w:kern w:val="24"/>
        </w:rPr>
        <w:t>, 2001, référence citée, pp. 37-38.</w:t>
      </w:r>
    </w:p>
  </w:footnote>
  <w:footnote w:id="284">
    <w:p w14:paraId="161E4875"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59.</w:t>
      </w:r>
    </w:p>
  </w:footnote>
  <w:footnote w:id="285">
    <w:p w14:paraId="22CE7CDC"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pp. 60-61.</w:t>
      </w:r>
    </w:p>
  </w:footnote>
  <w:footnote w:id="286">
    <w:p w14:paraId="6698BAEB"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Mouhssine</w:t>
      </w:r>
      <w:r w:rsidRPr="001374DC">
        <w:rPr>
          <w:rFonts w:ascii="Times New Roman" w:hAnsi="Times New Roman" w:cs="Times New Roman"/>
          <w:kern w:val="24"/>
        </w:rPr>
        <w:t xml:space="preserve"> Yassine et </w:t>
      </w:r>
      <w:r w:rsidRPr="001374DC">
        <w:rPr>
          <w:rFonts w:ascii="Times New Roman" w:hAnsi="Times New Roman" w:cs="Times New Roman"/>
          <w:smallCaps/>
          <w:kern w:val="24"/>
        </w:rPr>
        <w:t>Achchab</w:t>
      </w:r>
      <w:r w:rsidRPr="001374DC">
        <w:rPr>
          <w:rFonts w:ascii="Times New Roman" w:hAnsi="Times New Roman" w:cs="Times New Roman"/>
          <w:kern w:val="24"/>
        </w:rPr>
        <w:t xml:space="preserve"> Boujemâa, « Le rôle de la norme d’adéquation des fonds propres dans la gestion du risque de crédit dans les banques islamiques », Recherches et Applications en Finance Islamique, Vol 3, N° 1, 2019, p. 35.</w:t>
      </w:r>
    </w:p>
  </w:footnote>
  <w:footnote w:id="287">
    <w:p w14:paraId="352A4AD2" w14:textId="7AD76A8A" w:rsidR="009C2D83" w:rsidRPr="001374DC" w:rsidRDefault="009C2D83" w:rsidP="001374DC">
      <w:pPr>
        <w:spacing w:line="240" w:lineRule="auto"/>
        <w:rPr>
          <w:rFonts w:ascii="Times New Roman" w:hAnsi="Times New Roman" w:cs="Times New Roman"/>
          <w:kern w:val="24"/>
          <w:lang w:val="en-GB"/>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lang w:val="en-GB"/>
        </w:rPr>
        <w:t xml:space="preserve"> </w:t>
      </w:r>
      <w:r w:rsidRPr="001374DC">
        <w:rPr>
          <w:rFonts w:ascii="Times New Roman" w:hAnsi="Times New Roman" w:cs="Times New Roman"/>
          <w:smallCaps/>
          <w:kern w:val="24"/>
          <w:sz w:val="20"/>
          <w:szCs w:val="20"/>
          <w:lang w:val="en-GB"/>
        </w:rPr>
        <w:t>Muljawan</w:t>
      </w:r>
      <w:r w:rsidRPr="001374DC">
        <w:rPr>
          <w:rFonts w:ascii="Times New Roman" w:hAnsi="Times New Roman" w:cs="Times New Roman"/>
          <w:kern w:val="24"/>
          <w:sz w:val="20"/>
          <w:szCs w:val="20"/>
          <w:lang w:val="en-GB"/>
        </w:rPr>
        <w:t xml:space="preserve"> Dadang, </w:t>
      </w:r>
      <w:r w:rsidRPr="001374DC">
        <w:rPr>
          <w:rFonts w:ascii="Times New Roman" w:hAnsi="Times New Roman" w:cs="Times New Roman"/>
          <w:smallCaps/>
          <w:kern w:val="24"/>
          <w:sz w:val="20"/>
          <w:szCs w:val="20"/>
          <w:lang w:val="en-GB"/>
        </w:rPr>
        <w:t>Dar</w:t>
      </w:r>
      <w:r w:rsidRPr="001374DC">
        <w:rPr>
          <w:rFonts w:ascii="Times New Roman" w:hAnsi="Times New Roman" w:cs="Times New Roman"/>
          <w:kern w:val="24"/>
          <w:sz w:val="20"/>
          <w:szCs w:val="20"/>
          <w:lang w:val="en-GB"/>
        </w:rPr>
        <w:t xml:space="preserve"> Humayon and </w:t>
      </w:r>
      <w:r w:rsidRPr="001374DC">
        <w:rPr>
          <w:rFonts w:ascii="Times New Roman" w:hAnsi="Times New Roman" w:cs="Times New Roman"/>
          <w:smallCaps/>
          <w:kern w:val="24"/>
          <w:sz w:val="20"/>
          <w:szCs w:val="20"/>
          <w:lang w:val="en-GB"/>
        </w:rPr>
        <w:t xml:space="preserve">Hall </w:t>
      </w:r>
      <w:r w:rsidRPr="001374DC">
        <w:rPr>
          <w:rFonts w:ascii="Times New Roman" w:hAnsi="Times New Roman" w:cs="Times New Roman"/>
          <w:kern w:val="24"/>
          <w:sz w:val="20"/>
          <w:szCs w:val="20"/>
          <w:lang w:val="en-GB"/>
        </w:rPr>
        <w:t>Maximilian, « A Capital Adequacy Framework for Islamic Banks, The Need to Reconcile Depositors’ Risk Aversion with Managers’ Risk Taking », Journal of Applied Financial Economics, Vol 14, 2007,</w:t>
      </w:r>
      <w:r w:rsidRPr="001374DC">
        <w:rPr>
          <w:rFonts w:ascii="Times New Roman" w:hAnsi="Times New Roman" w:cs="Times New Roman"/>
          <w:color w:val="333333"/>
          <w:kern w:val="24"/>
          <w:sz w:val="20"/>
          <w:szCs w:val="20"/>
          <w:shd w:val="clear" w:color="auto" w:fill="FFFFFF"/>
          <w:lang w:val="en-GB"/>
        </w:rPr>
        <w:t xml:space="preserve"> pp. 429-441</w:t>
      </w:r>
    </w:p>
  </w:footnote>
  <w:footnote w:id="288">
    <w:p w14:paraId="32853A20"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KHAN</w:t>
      </w:r>
      <w:r w:rsidRPr="001374DC">
        <w:rPr>
          <w:rFonts w:ascii="Times New Roman" w:hAnsi="Times New Roman" w:cs="Times New Roman"/>
          <w:kern w:val="24"/>
        </w:rPr>
        <w:t xml:space="preserve"> et </w:t>
      </w:r>
      <w:r w:rsidRPr="001374DC">
        <w:rPr>
          <w:rFonts w:ascii="Times New Roman" w:hAnsi="Times New Roman" w:cs="Times New Roman"/>
          <w:smallCaps/>
          <w:kern w:val="24"/>
        </w:rPr>
        <w:t>AHMED</w:t>
      </w:r>
      <w:r w:rsidRPr="001374DC">
        <w:rPr>
          <w:rFonts w:ascii="Times New Roman" w:hAnsi="Times New Roman" w:cs="Times New Roman"/>
          <w:kern w:val="24"/>
        </w:rPr>
        <w:t>, 2002, référence citée, p.96.</w:t>
      </w:r>
    </w:p>
  </w:footnote>
  <w:footnote w:id="289">
    <w:p w14:paraId="3C139D51"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i/>
          <w:iCs/>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Bitar</w:t>
      </w:r>
      <w:r w:rsidRPr="001374DC">
        <w:rPr>
          <w:rFonts w:ascii="Times New Roman" w:hAnsi="Times New Roman" w:cs="Times New Roman"/>
          <w:kern w:val="24"/>
          <w:sz w:val="20"/>
          <w:szCs w:val="20"/>
        </w:rPr>
        <w:t xml:space="preserve"> Mohamed et </w:t>
      </w:r>
      <w:r w:rsidRPr="001374DC">
        <w:rPr>
          <w:rFonts w:ascii="Times New Roman" w:hAnsi="Times New Roman" w:cs="Times New Roman"/>
          <w:smallCaps/>
          <w:kern w:val="24"/>
          <w:sz w:val="20"/>
          <w:szCs w:val="20"/>
        </w:rPr>
        <w:t>Madiès</w:t>
      </w:r>
      <w:r w:rsidRPr="001374DC">
        <w:rPr>
          <w:rFonts w:ascii="Times New Roman" w:hAnsi="Times New Roman" w:cs="Times New Roman"/>
          <w:kern w:val="24"/>
          <w:sz w:val="20"/>
          <w:szCs w:val="20"/>
        </w:rPr>
        <w:t xml:space="preserve"> Philippe, « Les spécificités des banques islamiques et la réglementation de Bâle 3 », Revue d’Economie Financière, N° 111, 2013.</w:t>
      </w:r>
    </w:p>
  </w:footnote>
  <w:footnote w:id="290">
    <w:p w14:paraId="5786EF09"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eastAsia="fr-FR"/>
        </w:rPr>
        <w:t xml:space="preserve"> Rizwan</w:t>
      </w:r>
      <w:r w:rsidRPr="001374DC">
        <w:rPr>
          <w:rFonts w:ascii="Times New Roman" w:hAnsi="Times New Roman" w:cs="Times New Roman"/>
          <w:kern w:val="24"/>
          <w:sz w:val="20"/>
          <w:szCs w:val="20"/>
          <w:lang w:eastAsia="fr-FR"/>
        </w:rPr>
        <w:t xml:space="preserve"> Sabira, </w:t>
      </w:r>
      <w:r w:rsidRPr="001374DC">
        <w:rPr>
          <w:rFonts w:ascii="Times New Roman" w:hAnsi="Times New Roman" w:cs="Times New Roman"/>
          <w:smallCaps/>
          <w:kern w:val="24"/>
          <w:sz w:val="20"/>
          <w:szCs w:val="20"/>
          <w:lang w:eastAsia="fr-FR"/>
        </w:rPr>
        <w:t>Khan</w:t>
      </w:r>
      <w:r w:rsidRPr="001374DC">
        <w:rPr>
          <w:rFonts w:ascii="Times New Roman" w:hAnsi="Times New Roman" w:cs="Times New Roman"/>
          <w:kern w:val="24"/>
          <w:sz w:val="20"/>
          <w:szCs w:val="20"/>
          <w:lang w:eastAsia="fr-FR"/>
        </w:rPr>
        <w:t xml:space="preserve"> Noira and </w:t>
      </w:r>
      <w:r w:rsidRPr="001374DC">
        <w:rPr>
          <w:rFonts w:ascii="Times New Roman" w:hAnsi="Times New Roman" w:cs="Times New Roman"/>
          <w:smallCaps/>
          <w:kern w:val="24"/>
          <w:sz w:val="20"/>
          <w:szCs w:val="20"/>
          <w:lang w:eastAsia="fr-FR"/>
        </w:rPr>
        <w:t>Khan</w:t>
      </w:r>
      <w:r w:rsidRPr="001374DC">
        <w:rPr>
          <w:rFonts w:ascii="Times New Roman" w:hAnsi="Times New Roman" w:cs="Times New Roman"/>
          <w:kern w:val="24"/>
          <w:sz w:val="20"/>
          <w:szCs w:val="20"/>
          <w:lang w:eastAsia="fr-FR"/>
        </w:rPr>
        <w:t xml:space="preserve"> Hafizullah, </w:t>
      </w:r>
      <w:r w:rsidRPr="001374DC">
        <w:rPr>
          <w:rFonts w:ascii="Times New Roman" w:hAnsi="Times New Roman" w:cs="Times New Roman"/>
          <w:kern w:val="24"/>
          <w:sz w:val="20"/>
          <w:szCs w:val="20"/>
        </w:rPr>
        <w:t>“</w:t>
      </w:r>
      <w:r w:rsidRPr="001374DC">
        <w:rPr>
          <w:rFonts w:ascii="Times New Roman" w:hAnsi="Times New Roman" w:cs="Times New Roman"/>
          <w:kern w:val="24"/>
          <w:sz w:val="20"/>
          <w:szCs w:val="20"/>
          <w:lang w:eastAsia="fr-FR"/>
        </w:rPr>
        <w:t>Implications of basel III on Islamic banks”, Conférence Internationale en Excellence Business, Shariquah, mai 2012.</w:t>
      </w:r>
    </w:p>
  </w:footnote>
  <w:footnote w:id="291">
    <w:p w14:paraId="6E8D1877"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eastAsia="fr-FR"/>
        </w:rPr>
        <w:t xml:space="preserve"> El Attar</w:t>
      </w:r>
      <w:r w:rsidRPr="001374DC">
        <w:rPr>
          <w:rFonts w:ascii="Times New Roman" w:hAnsi="Times New Roman" w:cs="Times New Roman"/>
          <w:kern w:val="24"/>
          <w:sz w:val="20"/>
          <w:szCs w:val="20"/>
          <w:lang w:eastAsia="fr-FR"/>
        </w:rPr>
        <w:t xml:space="preserve"> Abdelilah, « L’impact des accords de Bâle III sur les banques islamique », Dossiers de recherche en économie et gestion 2 (1), Dossier spécial, 2013, p. 27.</w:t>
      </w:r>
    </w:p>
  </w:footnote>
  <w:footnote w:id="292">
    <w:p w14:paraId="35F07229" w14:textId="7945FB24" w:rsidR="009C2D83" w:rsidRPr="001374DC" w:rsidRDefault="009C2D83" w:rsidP="001374DC">
      <w:pPr>
        <w:pStyle w:val="Notedebasdepage"/>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w:t>
      </w:r>
      <w:r w:rsidRPr="001374DC">
        <w:rPr>
          <w:rFonts w:ascii="Times New Roman" w:hAnsi="Times New Roman" w:cs="Times New Roman"/>
          <w:smallCaps/>
          <w:kern w:val="24"/>
          <w:lang w:val="en-GB"/>
        </w:rPr>
        <w:t>Harzi</w:t>
      </w:r>
      <w:r w:rsidRPr="001374DC">
        <w:rPr>
          <w:rFonts w:ascii="Times New Roman" w:hAnsi="Times New Roman" w:cs="Times New Roman"/>
          <w:kern w:val="24"/>
          <w:lang w:val="en-GB"/>
        </w:rPr>
        <w:t xml:space="preserve"> A., « The Impact of Basel III on Islamic Banks: A Theoretical Study and Comparison with Conventional Banks », Research Chair of Ethics and Financial Norms, Université Paris 1 Sorbonne et King Abdul University at Jeddah, 2011, p15.</w:t>
      </w:r>
    </w:p>
  </w:footnote>
  <w:footnote w:id="293">
    <w:p w14:paraId="64585C25"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Bitar</w:t>
      </w:r>
      <w:r w:rsidRPr="001374DC">
        <w:rPr>
          <w:rFonts w:ascii="Times New Roman" w:hAnsi="Times New Roman" w:cs="Times New Roman"/>
          <w:kern w:val="24"/>
        </w:rPr>
        <w:t xml:space="preserve"> Mohamed et </w:t>
      </w:r>
      <w:r w:rsidRPr="001374DC">
        <w:rPr>
          <w:rFonts w:ascii="Times New Roman" w:hAnsi="Times New Roman" w:cs="Times New Roman"/>
          <w:smallCaps/>
          <w:kern w:val="24"/>
        </w:rPr>
        <w:t>Madiès</w:t>
      </w:r>
      <w:r w:rsidRPr="001374DC">
        <w:rPr>
          <w:rFonts w:ascii="Times New Roman" w:hAnsi="Times New Roman" w:cs="Times New Roman"/>
          <w:kern w:val="24"/>
        </w:rPr>
        <w:t xml:space="preserve"> Philippe, « les spécificités des banques islamiques et la réglementation de Bâle 3 », Revue d’Economie Financière, N° 111, 2013, p. 305.</w:t>
      </w:r>
    </w:p>
  </w:footnote>
  <w:footnote w:id="294">
    <w:p w14:paraId="2CD3DBB2"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24.</w:t>
      </w:r>
    </w:p>
  </w:footnote>
  <w:footnote w:id="295">
    <w:p w14:paraId="56A016DA"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Toumi </w:t>
      </w:r>
      <w:r w:rsidRPr="001374DC">
        <w:rPr>
          <w:rFonts w:ascii="Times New Roman" w:hAnsi="Times New Roman" w:cs="Times New Roman"/>
          <w:kern w:val="24"/>
        </w:rPr>
        <w:t xml:space="preserve">et </w:t>
      </w:r>
      <w:r w:rsidRPr="001374DC">
        <w:rPr>
          <w:rFonts w:ascii="Times New Roman" w:hAnsi="Times New Roman" w:cs="Times New Roman"/>
          <w:smallCaps/>
          <w:kern w:val="24"/>
        </w:rPr>
        <w:t>Viviani,</w:t>
      </w:r>
      <w:r w:rsidRPr="001374DC">
        <w:rPr>
          <w:rFonts w:ascii="Times New Roman" w:hAnsi="Times New Roman" w:cs="Times New Roman"/>
          <w:kern w:val="24"/>
        </w:rPr>
        <w:t xml:space="preserve"> 2013, référence citée, p. 138.</w:t>
      </w:r>
    </w:p>
  </w:footnote>
  <w:footnote w:id="296">
    <w:p w14:paraId="56998535"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Chapra</w:t>
      </w:r>
      <w:r w:rsidRPr="001374DC">
        <w:rPr>
          <w:rFonts w:ascii="Times New Roman" w:hAnsi="Times New Roman" w:cs="Times New Roman"/>
          <w:kern w:val="24"/>
        </w:rPr>
        <w:t xml:space="preserve"> et </w:t>
      </w:r>
      <w:r w:rsidRPr="001374DC">
        <w:rPr>
          <w:rFonts w:ascii="Times New Roman" w:hAnsi="Times New Roman" w:cs="Times New Roman"/>
          <w:smallCaps/>
          <w:kern w:val="24"/>
        </w:rPr>
        <w:t xml:space="preserve">Khan, </w:t>
      </w:r>
      <w:r w:rsidRPr="001374DC">
        <w:rPr>
          <w:rFonts w:ascii="Times New Roman" w:hAnsi="Times New Roman" w:cs="Times New Roman"/>
          <w:kern w:val="24"/>
        </w:rPr>
        <w:t>2001, référence citée, 83-84.</w:t>
      </w:r>
    </w:p>
  </w:footnote>
  <w:footnote w:id="297">
    <w:p w14:paraId="5A981E31"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rPr>
        <w:t xml:space="preserve"> Usmani</w:t>
      </w:r>
      <w:r w:rsidRPr="001374DC">
        <w:rPr>
          <w:rFonts w:ascii="Times New Roman" w:hAnsi="Times New Roman" w:cs="Times New Roman"/>
          <w:kern w:val="24"/>
          <w:sz w:val="20"/>
          <w:szCs w:val="20"/>
          <w:lang w:val="en-US"/>
        </w:rPr>
        <w:t xml:space="preserve"> Muhammad I, “</w:t>
      </w:r>
      <w:r w:rsidRPr="001374DC">
        <w:rPr>
          <w:rFonts w:ascii="Times New Roman" w:hAnsi="Times New Roman" w:cs="Times New Roman"/>
          <w:kern w:val="24"/>
          <w:sz w:val="20"/>
          <w:szCs w:val="20"/>
          <w:lang w:val="en-GB"/>
        </w:rPr>
        <w:t xml:space="preserve">Meezan Bank's </w:t>
      </w:r>
      <w:r w:rsidRPr="001374DC">
        <w:rPr>
          <w:rFonts w:ascii="Times New Roman" w:hAnsi="Times New Roman" w:cs="Times New Roman"/>
          <w:kern w:val="24"/>
          <w:sz w:val="20"/>
          <w:szCs w:val="20"/>
          <w:lang w:val="en-US"/>
        </w:rPr>
        <w:t xml:space="preserve">Guide to Islamic Banking”, </w:t>
      </w:r>
      <w:r w:rsidRPr="001374DC">
        <w:rPr>
          <w:rFonts w:ascii="Times New Roman" w:hAnsi="Times New Roman" w:cs="Times New Roman"/>
          <w:color w:val="000000"/>
          <w:kern w:val="24"/>
          <w:sz w:val="20"/>
          <w:szCs w:val="20"/>
          <w:lang w:val="en-US"/>
        </w:rPr>
        <w:t>Meezan Bank's,</w:t>
      </w:r>
      <w:r w:rsidRPr="001374DC">
        <w:rPr>
          <w:rFonts w:ascii="Times New Roman" w:hAnsi="Times New Roman" w:cs="Times New Roman"/>
          <w:i/>
          <w:iCs/>
          <w:kern w:val="24"/>
          <w:sz w:val="20"/>
          <w:szCs w:val="20"/>
          <w:lang w:val="en-US"/>
        </w:rPr>
        <w:t xml:space="preserve"> </w:t>
      </w:r>
      <w:r w:rsidRPr="001374DC">
        <w:rPr>
          <w:rFonts w:ascii="Times New Roman" w:hAnsi="Times New Roman" w:cs="Times New Roman"/>
          <w:kern w:val="24"/>
          <w:sz w:val="20"/>
          <w:szCs w:val="20"/>
          <w:lang w:val="en-US"/>
        </w:rPr>
        <w:t>Pakistan, Darul-Ishaat</w:t>
      </w:r>
      <w:r w:rsidRPr="001374DC">
        <w:rPr>
          <w:rFonts w:ascii="Times New Roman" w:hAnsi="Times New Roman" w:cs="Times New Roman"/>
          <w:kern w:val="24"/>
          <w:sz w:val="20"/>
          <w:szCs w:val="20"/>
          <w:lang w:val="en-US" w:eastAsia="fr-FR"/>
        </w:rPr>
        <w:t>, 2002,</w:t>
      </w:r>
      <w:r w:rsidRPr="001374DC">
        <w:rPr>
          <w:rFonts w:ascii="Times New Roman" w:hAnsi="Times New Roman" w:cs="Times New Roman"/>
          <w:kern w:val="24"/>
          <w:sz w:val="20"/>
          <w:szCs w:val="20"/>
          <w:lang w:val="en-GB" w:eastAsia="fr-FR"/>
        </w:rPr>
        <w:t xml:space="preserve"> p. 81.</w:t>
      </w:r>
    </w:p>
  </w:footnote>
  <w:footnote w:id="298">
    <w:p w14:paraId="18CB12C6" w14:textId="2240E999" w:rsidR="009C2D83" w:rsidRPr="001374DC" w:rsidRDefault="009C2D83" w:rsidP="001374DC">
      <w:pPr>
        <w:pStyle w:val="Notedebasdepage"/>
        <w:rPr>
          <w:rFonts w:ascii="Times New Roman" w:hAnsi="Times New Roman" w:cs="Times New Roman"/>
          <w:spacing w:val="-2"/>
          <w:kern w:val="24"/>
        </w:rPr>
      </w:pPr>
      <w:r w:rsidRPr="001374DC">
        <w:rPr>
          <w:rStyle w:val="Appelnotedebasdep"/>
          <w:rFonts w:ascii="Times New Roman" w:hAnsi="Times New Roman"/>
          <w:spacing w:val="-2"/>
          <w:kern w:val="24"/>
        </w:rPr>
        <w:footnoteRef/>
      </w:r>
      <w:r w:rsidRPr="001374DC">
        <w:rPr>
          <w:rFonts w:ascii="Times New Roman" w:hAnsi="Times New Roman" w:cs="Times New Roman"/>
          <w:spacing w:val="-2"/>
          <w:kern w:val="24"/>
        </w:rPr>
        <w:t xml:space="preserve"> Sourate 4, verset 12, traduction par Cheikh Si-Hamza Boubakeur, Edition ENAG, tome 1, Alger, Algérie, 1994.</w:t>
      </w:r>
    </w:p>
  </w:footnote>
  <w:footnote w:id="299">
    <w:p w14:paraId="419BE8A8"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Abu Dawud</w:t>
      </w:r>
      <w:r w:rsidRPr="001374DC">
        <w:rPr>
          <w:rFonts w:ascii="Times New Roman" w:hAnsi="Times New Roman" w:cs="Times New Roman"/>
          <w:kern w:val="24"/>
        </w:rPr>
        <w:t>, 2000, Chapitre 23, Hadith 3383.</w:t>
      </w:r>
    </w:p>
  </w:footnote>
  <w:footnote w:id="300">
    <w:p w14:paraId="15394DC0"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Abu Dawud</w:t>
      </w:r>
      <w:r w:rsidRPr="001374DC">
        <w:rPr>
          <w:rFonts w:ascii="Times New Roman" w:hAnsi="Times New Roman" w:cs="Times New Roman"/>
          <w:kern w:val="24"/>
        </w:rPr>
        <w:t>, 2000, Chapitre 41, Numéro 4818.</w:t>
      </w:r>
    </w:p>
  </w:footnote>
  <w:footnote w:id="301">
    <w:p w14:paraId="5268749F"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Ibn HajAr</w:t>
      </w:r>
      <w:r w:rsidRPr="001374DC">
        <w:rPr>
          <w:rFonts w:ascii="Times New Roman" w:hAnsi="Times New Roman" w:cs="Times New Roman"/>
          <w:kern w:val="24"/>
        </w:rPr>
        <w:t>, 2003, Chapitre IX, Numéro 905.</w:t>
      </w:r>
    </w:p>
  </w:footnote>
  <w:footnote w:id="302">
    <w:p w14:paraId="0C4EE89B" w14:textId="7777777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i/>
          <w:iCs/>
          <w:kern w:val="24"/>
        </w:rPr>
        <w:t>Malik Ibn Anas</w:t>
      </w:r>
      <w:r w:rsidRPr="001374DC">
        <w:rPr>
          <w:rFonts w:ascii="Times New Roman" w:hAnsi="Times New Roman" w:cs="Times New Roman"/>
          <w:kern w:val="24"/>
        </w:rPr>
        <w:t>, 2005, Chapitre 31, Numéro 40.87.</w:t>
      </w:r>
    </w:p>
  </w:footnote>
  <w:footnote w:id="303">
    <w:p w14:paraId="4A3E4AEA"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Bendjilali</w:t>
      </w:r>
      <w:r w:rsidRPr="001374DC">
        <w:rPr>
          <w:rFonts w:ascii="Times New Roman" w:hAnsi="Times New Roman" w:cs="Times New Roman"/>
          <w:kern w:val="24"/>
          <w:sz w:val="20"/>
          <w:szCs w:val="20"/>
        </w:rPr>
        <w:t xml:space="preserve"> Boualem, « La </w:t>
      </w:r>
      <w:r w:rsidRPr="001374DC">
        <w:rPr>
          <w:rFonts w:ascii="Times New Roman" w:hAnsi="Times New Roman" w:cs="Times New Roman"/>
          <w:i/>
          <w:iCs/>
          <w:kern w:val="24"/>
          <w:sz w:val="20"/>
          <w:szCs w:val="20"/>
        </w:rPr>
        <w:t>moucharaka</w:t>
      </w:r>
      <w:r w:rsidRPr="001374DC">
        <w:rPr>
          <w:rFonts w:ascii="Times New Roman" w:hAnsi="Times New Roman" w:cs="Times New Roman"/>
          <w:kern w:val="24"/>
          <w:sz w:val="20"/>
          <w:szCs w:val="20"/>
        </w:rPr>
        <w:t xml:space="preserve"> ou mode de financement de la participation », Actes de séminaire N° 37, BID, IIRF, 1992, p. 33.</w:t>
      </w:r>
    </w:p>
  </w:footnote>
  <w:footnote w:id="304">
    <w:p w14:paraId="52CCCD38"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Al-kandari</w:t>
      </w:r>
      <w:r w:rsidRPr="001374DC">
        <w:rPr>
          <w:rFonts w:ascii="Times New Roman" w:hAnsi="Times New Roman" w:cs="Times New Roman"/>
          <w:kern w:val="24"/>
        </w:rPr>
        <w:t xml:space="preserve"> Mohammed, « Les banques islamiques en droit koweitien : étude juridique à la lumière de la </w:t>
      </w:r>
      <w:r w:rsidRPr="001374DC">
        <w:rPr>
          <w:rFonts w:ascii="Times New Roman" w:hAnsi="Times New Roman" w:cs="Times New Roman"/>
          <w:i/>
          <w:iCs/>
          <w:kern w:val="24"/>
        </w:rPr>
        <w:t>charia</w:t>
      </w:r>
      <w:r w:rsidRPr="001374DC">
        <w:rPr>
          <w:rFonts w:ascii="Times New Roman" w:hAnsi="Times New Roman" w:cs="Times New Roman"/>
          <w:kern w:val="24"/>
        </w:rPr>
        <w:t> », Thèse de Doctorat, Université de Strasbourg, 2015, p. 89.</w:t>
      </w:r>
    </w:p>
  </w:footnote>
  <w:footnote w:id="305">
    <w:p w14:paraId="15E9D1DC"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Bendjilali</w:t>
      </w:r>
      <w:r w:rsidRPr="001374DC">
        <w:rPr>
          <w:rFonts w:ascii="Times New Roman" w:hAnsi="Times New Roman" w:cs="Times New Roman"/>
          <w:kern w:val="24"/>
        </w:rPr>
        <w:t>, 1992, référence déjà citée, p. 33.</w:t>
      </w:r>
    </w:p>
  </w:footnote>
  <w:footnote w:id="306">
    <w:p w14:paraId="4624A9B5"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 xml:space="preserve">Alkandari, 2015, </w:t>
      </w:r>
      <w:r w:rsidRPr="001374DC">
        <w:rPr>
          <w:rFonts w:ascii="Times New Roman" w:hAnsi="Times New Roman" w:cs="Times New Roman"/>
          <w:kern w:val="24"/>
        </w:rPr>
        <w:t>référence dejà citée, p. 89.</w:t>
      </w:r>
    </w:p>
  </w:footnote>
  <w:footnote w:id="307">
    <w:p w14:paraId="078F54DB"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33.</w:t>
      </w:r>
    </w:p>
  </w:footnote>
  <w:footnote w:id="308">
    <w:p w14:paraId="20B70FB5" w14:textId="663D9E96" w:rsidR="009C2D83" w:rsidRPr="001374DC" w:rsidRDefault="009C2D83" w:rsidP="001374DC">
      <w:pPr>
        <w:pStyle w:val="Notedebasdepage"/>
        <w:rPr>
          <w:rFonts w:ascii="Times New Roman" w:hAnsi="Times New Roman" w:cs="Times New Roman"/>
          <w:color w:val="000000" w:themeColor="text1"/>
          <w:kern w:val="24"/>
        </w:rPr>
      </w:pPr>
      <w:r w:rsidRPr="001374DC">
        <w:rPr>
          <w:rStyle w:val="Appelnotedebasdep"/>
          <w:rFonts w:ascii="Times New Roman" w:hAnsi="Times New Roman"/>
          <w:color w:val="000000" w:themeColor="text1"/>
          <w:kern w:val="24"/>
        </w:rPr>
        <w:footnoteRef/>
      </w:r>
      <w:r w:rsidRPr="001374DC">
        <w:rPr>
          <w:rFonts w:ascii="Times New Roman" w:hAnsi="Times New Roman" w:cs="Times New Roman"/>
          <w:color w:val="000000" w:themeColor="text1"/>
          <w:kern w:val="24"/>
        </w:rPr>
        <w:t xml:space="preserve"> </w:t>
      </w:r>
      <w:r w:rsidRPr="001374DC">
        <w:rPr>
          <w:rFonts w:ascii="Times New Roman" w:hAnsi="Times New Roman" w:cs="Times New Roman"/>
          <w:color w:val="000000" w:themeColor="text1"/>
          <w:kern w:val="24"/>
          <w:shd w:val="clear" w:color="auto" w:fill="FFFFFF"/>
        </w:rPr>
        <w:t>Sourate 2, verset 282, traduction Ch</w:t>
      </w:r>
      <w:r>
        <w:rPr>
          <w:rFonts w:ascii="Times New Roman" w:hAnsi="Times New Roman" w:cs="Times New Roman"/>
          <w:color w:val="000000" w:themeColor="text1"/>
          <w:kern w:val="24"/>
          <w:shd w:val="clear" w:color="auto" w:fill="FFFFFF"/>
        </w:rPr>
        <w:t>e</w:t>
      </w:r>
      <w:r w:rsidRPr="001374DC">
        <w:rPr>
          <w:rFonts w:ascii="Times New Roman" w:hAnsi="Times New Roman" w:cs="Times New Roman"/>
          <w:color w:val="000000" w:themeColor="text1"/>
          <w:kern w:val="24"/>
          <w:shd w:val="clear" w:color="auto" w:fill="FFFFFF"/>
        </w:rPr>
        <w:t xml:space="preserve">ikh Si-Hamza Boubakeur, Tome 1, Ed. ENAG, </w:t>
      </w:r>
      <w:r w:rsidRPr="001374DC">
        <w:rPr>
          <w:rFonts w:ascii="Times New Roman" w:hAnsi="Times New Roman" w:cs="Times New Roman"/>
          <w:color w:val="000000" w:themeColor="text1"/>
          <w:kern w:val="24"/>
        </w:rPr>
        <w:t>Alger, Algérie, 1994.</w:t>
      </w:r>
    </w:p>
  </w:footnote>
  <w:footnote w:id="309">
    <w:p w14:paraId="29E2446F" w14:textId="64453368" w:rsidR="009C2D83" w:rsidRPr="001374DC" w:rsidRDefault="009C2D83" w:rsidP="001374DC">
      <w:pPr>
        <w:pStyle w:val="Notedebasdepage"/>
        <w:rPr>
          <w:rFonts w:ascii="Times New Roman" w:hAnsi="Times New Roman" w:cs="Times New Roman"/>
          <w:color w:val="000000" w:themeColor="text1"/>
          <w:kern w:val="24"/>
        </w:rPr>
      </w:pPr>
      <w:r w:rsidRPr="001374DC">
        <w:rPr>
          <w:rStyle w:val="Appelnotedebasdep"/>
          <w:rFonts w:ascii="Times New Roman" w:hAnsi="Times New Roman"/>
          <w:color w:val="000000" w:themeColor="text1"/>
          <w:kern w:val="24"/>
        </w:rPr>
        <w:footnoteRef/>
      </w:r>
      <w:r w:rsidRPr="001374DC">
        <w:rPr>
          <w:rFonts w:ascii="Times New Roman" w:hAnsi="Times New Roman" w:cs="Times New Roman"/>
          <w:color w:val="000000" w:themeColor="text1"/>
          <w:kern w:val="24"/>
        </w:rPr>
        <w:t xml:space="preserve"> </w:t>
      </w:r>
      <w:r w:rsidRPr="001374DC">
        <w:rPr>
          <w:rFonts w:ascii="Times New Roman" w:hAnsi="Times New Roman" w:cs="Times New Roman"/>
          <w:color w:val="000000" w:themeColor="text1"/>
          <w:spacing w:val="-4"/>
          <w:kern w:val="24"/>
        </w:rPr>
        <w:t>Sourate 2, verset 283, traduction Ch</w:t>
      </w:r>
      <w:r>
        <w:rPr>
          <w:rFonts w:ascii="Times New Roman" w:hAnsi="Times New Roman" w:cs="Times New Roman"/>
          <w:color w:val="000000" w:themeColor="text1"/>
          <w:spacing w:val="-4"/>
          <w:kern w:val="24"/>
        </w:rPr>
        <w:t>e</w:t>
      </w:r>
      <w:r w:rsidRPr="001374DC">
        <w:rPr>
          <w:rFonts w:ascii="Times New Roman" w:hAnsi="Times New Roman" w:cs="Times New Roman"/>
          <w:color w:val="000000" w:themeColor="text1"/>
          <w:spacing w:val="-4"/>
          <w:kern w:val="24"/>
        </w:rPr>
        <w:t>ikh Si-Hamza Boubakeur, référence déjà citée.</w:t>
      </w:r>
    </w:p>
  </w:footnote>
  <w:footnote w:id="310">
    <w:p w14:paraId="68681A35"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Rashid</w:t>
      </w:r>
      <w:r w:rsidRPr="001374DC">
        <w:rPr>
          <w:rFonts w:ascii="Times New Roman" w:hAnsi="Times New Roman" w:cs="Times New Roman"/>
          <w:kern w:val="24"/>
          <w:lang w:val="en-GB"/>
        </w:rPr>
        <w:t xml:space="preserve"> A, “Ijara in Islamic law and its application in Islamic banks with special reference to auto financing of Askari commercial bank”, LLM Corporate Law, International Islamic University, Islamabad, Faculty of Shariah and Law, 2010, p. 23.</w:t>
      </w:r>
    </w:p>
  </w:footnote>
  <w:footnote w:id="311">
    <w:p w14:paraId="7CC252D2"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Bendjilali</w:t>
      </w:r>
      <w:r w:rsidRPr="001374DC">
        <w:rPr>
          <w:rFonts w:ascii="Times New Roman" w:hAnsi="Times New Roman" w:cs="Times New Roman"/>
          <w:kern w:val="24"/>
        </w:rPr>
        <w:t>, 1992, p. 34.</w:t>
      </w:r>
    </w:p>
  </w:footnote>
  <w:footnote w:id="312">
    <w:p w14:paraId="45F02DE3"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Alkandari</w:t>
      </w:r>
      <w:r w:rsidRPr="001374DC">
        <w:rPr>
          <w:rFonts w:ascii="Times New Roman" w:hAnsi="Times New Roman" w:cs="Times New Roman"/>
          <w:kern w:val="24"/>
        </w:rPr>
        <w:t>, 2015, référence déjà citée, p. 90.</w:t>
      </w:r>
    </w:p>
  </w:footnote>
  <w:footnote w:id="313">
    <w:p w14:paraId="2A1D3103"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eastAsia="fr-FR"/>
        </w:rPr>
        <w:t xml:space="preserve"> Usmani</w:t>
      </w:r>
      <w:r w:rsidRPr="001374DC">
        <w:rPr>
          <w:rFonts w:ascii="Times New Roman" w:hAnsi="Times New Roman" w:cs="Times New Roman"/>
          <w:kern w:val="24"/>
          <w:sz w:val="20"/>
          <w:szCs w:val="20"/>
          <w:lang w:val="en-GB" w:eastAsia="fr-FR"/>
        </w:rPr>
        <w:t xml:space="preserve"> Muhammad Taqi, </w:t>
      </w:r>
      <w:r w:rsidRPr="001374DC">
        <w:rPr>
          <w:rFonts w:ascii="Times New Roman" w:hAnsi="Times New Roman" w:cs="Times New Roman"/>
          <w:kern w:val="24"/>
          <w:sz w:val="20"/>
          <w:szCs w:val="20"/>
          <w:lang w:val="en-GB"/>
        </w:rPr>
        <w:t>“</w:t>
      </w:r>
      <w:r w:rsidRPr="001374DC">
        <w:rPr>
          <w:rFonts w:ascii="Times New Roman" w:hAnsi="Times New Roman" w:cs="Times New Roman"/>
          <w:kern w:val="24"/>
          <w:sz w:val="20"/>
          <w:szCs w:val="20"/>
          <w:lang w:val="en-GB" w:eastAsia="fr-FR"/>
        </w:rPr>
        <w:t>An introduction to Islamic finance”, Kluwer Law International, The Hague: The Netherlands, 2002,</w:t>
      </w:r>
      <w:r w:rsidRPr="001374DC">
        <w:rPr>
          <w:rFonts w:ascii="Times New Roman" w:hAnsi="Times New Roman" w:cs="Times New Roman"/>
          <w:kern w:val="24"/>
          <w:sz w:val="24"/>
          <w:szCs w:val="24"/>
          <w:lang w:val="en-GB" w:eastAsia="fr-FR"/>
        </w:rPr>
        <w:t xml:space="preserve"> </w:t>
      </w:r>
      <w:r w:rsidRPr="001374DC">
        <w:rPr>
          <w:rFonts w:ascii="Times New Roman" w:hAnsi="Times New Roman" w:cs="Times New Roman"/>
          <w:kern w:val="24"/>
          <w:sz w:val="20"/>
          <w:szCs w:val="20"/>
          <w:lang w:val="en-GB" w:eastAsia="fr-FR"/>
        </w:rPr>
        <w:t>p. 67.</w:t>
      </w:r>
    </w:p>
  </w:footnote>
  <w:footnote w:id="314">
    <w:p w14:paraId="3CEE07DF"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Bendjilali</w:t>
      </w:r>
      <w:r w:rsidRPr="001374DC">
        <w:rPr>
          <w:rFonts w:ascii="Times New Roman" w:hAnsi="Times New Roman" w:cs="Times New Roman"/>
          <w:kern w:val="24"/>
        </w:rPr>
        <w:t>, 1992, p. 35.</w:t>
      </w:r>
    </w:p>
  </w:footnote>
  <w:footnote w:id="315">
    <w:p w14:paraId="12B0D04E"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Bendjilali,</w:t>
      </w:r>
      <w:r w:rsidRPr="001374DC">
        <w:rPr>
          <w:rFonts w:ascii="Times New Roman" w:hAnsi="Times New Roman" w:cs="Times New Roman"/>
          <w:kern w:val="24"/>
        </w:rPr>
        <w:t xml:space="preserve"> 1992, référence citée, p. 35-36.</w:t>
      </w:r>
    </w:p>
  </w:footnote>
  <w:footnote w:id="316">
    <w:p w14:paraId="2433EF18"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36.</w:t>
      </w:r>
    </w:p>
  </w:footnote>
  <w:footnote w:id="317">
    <w:p w14:paraId="77682C61"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Al-Kandari</w:t>
      </w:r>
      <w:r w:rsidRPr="001374DC">
        <w:rPr>
          <w:rFonts w:ascii="Times New Roman" w:hAnsi="Times New Roman" w:cs="Times New Roman"/>
          <w:kern w:val="24"/>
        </w:rPr>
        <w:t xml:space="preserve"> Mohammed, « Les banques islamiques en droit koweitien-étude juridique à la lumière de la </w:t>
      </w:r>
      <w:r w:rsidRPr="001374DC">
        <w:rPr>
          <w:rFonts w:ascii="Times New Roman" w:hAnsi="Times New Roman" w:cs="Times New Roman"/>
          <w:i/>
          <w:iCs/>
          <w:kern w:val="24"/>
        </w:rPr>
        <w:t>charia</w:t>
      </w:r>
      <w:r w:rsidRPr="001374DC">
        <w:rPr>
          <w:rFonts w:ascii="Times New Roman" w:hAnsi="Times New Roman" w:cs="Times New Roman"/>
          <w:kern w:val="24"/>
        </w:rPr>
        <w:t> », Thèse de Doctorat, Université de Strasbourg, 2015, p. 125.</w:t>
      </w:r>
    </w:p>
  </w:footnote>
  <w:footnote w:id="318">
    <w:p w14:paraId="727B7C12"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lang w:val="en-GB"/>
        </w:rPr>
        <w:t xml:space="preserve"> </w:t>
      </w:r>
      <w:r w:rsidRPr="001374DC">
        <w:rPr>
          <w:rFonts w:ascii="Times New Roman" w:hAnsi="Times New Roman" w:cs="Times New Roman"/>
          <w:smallCaps/>
          <w:kern w:val="24"/>
          <w:sz w:val="20"/>
          <w:szCs w:val="20"/>
          <w:lang w:val="en-US" w:eastAsia="fr-FR"/>
        </w:rPr>
        <w:t>Khan</w:t>
      </w:r>
      <w:r w:rsidRPr="001374DC">
        <w:rPr>
          <w:rFonts w:ascii="Times New Roman" w:hAnsi="Times New Roman" w:cs="Times New Roman"/>
          <w:kern w:val="24"/>
          <w:sz w:val="20"/>
          <w:szCs w:val="20"/>
          <w:lang w:val="en-US" w:eastAsia="fr-FR"/>
        </w:rPr>
        <w:t xml:space="preserve"> Muhammad Akram</w:t>
      </w:r>
      <w:r w:rsidRPr="001374DC">
        <w:rPr>
          <w:rFonts w:ascii="Times New Roman" w:hAnsi="Times New Roman" w:cs="Times New Roman"/>
          <w:kern w:val="24"/>
          <w:sz w:val="20"/>
          <w:szCs w:val="20"/>
          <w:lang w:val="en-GB" w:eastAsia="fr-FR"/>
        </w:rPr>
        <w:t>, “Islamic economics and finance: A glossary”, Second edition, Routledge, London: UK, 2003,</w:t>
      </w:r>
      <w:r w:rsidRPr="001374DC">
        <w:rPr>
          <w:rFonts w:ascii="Times New Roman" w:hAnsi="Times New Roman" w:cs="Times New Roman"/>
          <w:kern w:val="24"/>
          <w:sz w:val="24"/>
          <w:szCs w:val="24"/>
          <w:lang w:val="en-GB" w:eastAsia="fr-FR"/>
        </w:rPr>
        <w:t xml:space="preserve"> </w:t>
      </w:r>
      <w:r w:rsidRPr="001374DC">
        <w:rPr>
          <w:rFonts w:ascii="Times New Roman" w:hAnsi="Times New Roman" w:cs="Times New Roman"/>
          <w:kern w:val="24"/>
          <w:sz w:val="20"/>
          <w:szCs w:val="20"/>
          <w:lang w:val="en-GB"/>
        </w:rPr>
        <w:t>p. 52.</w:t>
      </w:r>
    </w:p>
  </w:footnote>
  <w:footnote w:id="319">
    <w:p w14:paraId="0653C20B"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rPr>
        <w:t xml:space="preserve"> </w:t>
      </w:r>
      <w:r w:rsidRPr="001374DC">
        <w:rPr>
          <w:rFonts w:ascii="Times New Roman" w:hAnsi="Times New Roman" w:cs="Times New Roman"/>
          <w:smallCaps/>
          <w:kern w:val="24"/>
          <w:sz w:val="20"/>
          <w:szCs w:val="20"/>
        </w:rPr>
        <w:t>Bendjilali</w:t>
      </w:r>
      <w:r w:rsidRPr="001374DC">
        <w:rPr>
          <w:rFonts w:ascii="Times New Roman" w:hAnsi="Times New Roman" w:cs="Times New Roman"/>
          <w:kern w:val="24"/>
          <w:sz w:val="20"/>
          <w:szCs w:val="20"/>
        </w:rPr>
        <w:t>, 1992, référence citée, p. 36.</w:t>
      </w:r>
    </w:p>
  </w:footnote>
  <w:footnote w:id="320">
    <w:p w14:paraId="5647CB14"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 xml:space="preserve">Al Kandari, (2015), </w:t>
      </w:r>
      <w:r w:rsidRPr="001374DC">
        <w:rPr>
          <w:rFonts w:ascii="Times New Roman" w:hAnsi="Times New Roman" w:cs="Times New Roman"/>
          <w:kern w:val="24"/>
        </w:rPr>
        <w:t>référence citée, p. 127.</w:t>
      </w:r>
    </w:p>
  </w:footnote>
  <w:footnote w:id="321">
    <w:p w14:paraId="1B46A91E"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Astrom</w:t>
      </w:r>
      <w:r w:rsidRPr="001374DC">
        <w:rPr>
          <w:rFonts w:ascii="Times New Roman" w:hAnsi="Times New Roman" w:cs="Times New Roman"/>
          <w:kern w:val="24"/>
          <w:lang w:val="en-GB"/>
        </w:rPr>
        <w:t xml:space="preserve"> Zeyneb Hafsa, “Risk analysis for profit and loss sharing instruments”, International University of Sarajevo, a dissertation submitted in partial fulfilment of the requirements for the degree of Doctor of philosophy in Economics, 2012, p. 30.</w:t>
      </w:r>
    </w:p>
  </w:footnote>
  <w:footnote w:id="322">
    <w:p w14:paraId="00D29821"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Ibn Rushd</w:t>
      </w:r>
      <w:r w:rsidRPr="001374DC">
        <w:rPr>
          <w:rFonts w:ascii="Times New Roman" w:hAnsi="Times New Roman" w:cs="Times New Roman"/>
          <w:kern w:val="24"/>
          <w:lang w:val="en-GB"/>
        </w:rPr>
        <w:t xml:space="preserve">, “The distinguished jurist’s primer”, Vol. </w:t>
      </w:r>
      <w:r w:rsidRPr="001374DC">
        <w:rPr>
          <w:rFonts w:ascii="Times New Roman" w:hAnsi="Times New Roman" w:cs="Times New Roman"/>
          <w:kern w:val="24"/>
        </w:rPr>
        <w:t>II, Ithaca Press, 2000, p. 56.</w:t>
      </w:r>
    </w:p>
  </w:footnote>
  <w:footnote w:id="323">
    <w:p w14:paraId="2A22CE41" w14:textId="25339417" w:rsidR="009C2D83" w:rsidRPr="001374DC" w:rsidRDefault="009C2D83" w:rsidP="001374DC">
      <w:pPr>
        <w:pStyle w:val="Notedebasdepage"/>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Traduction par Cheikh Si-Hamza Boubakeur, édition ENAG, tome 5, Alger, Algérie, 1994</w:t>
      </w:r>
    </w:p>
  </w:footnote>
  <w:footnote w:id="324">
    <w:p w14:paraId="144F6A29"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Ibn Hajr Al Asqalânî</w:t>
      </w:r>
      <w:r w:rsidRPr="001374DC">
        <w:rPr>
          <w:rFonts w:ascii="Times New Roman" w:hAnsi="Times New Roman" w:cs="Times New Roman"/>
          <w:kern w:val="24"/>
          <w:sz w:val="20"/>
          <w:szCs w:val="20"/>
          <w:lang w:val="en-GB"/>
        </w:rPr>
        <w:t>, “</w:t>
      </w:r>
      <w:r w:rsidRPr="001374DC">
        <w:rPr>
          <w:rFonts w:ascii="Times New Roman" w:hAnsi="Times New Roman" w:cs="Times New Roman"/>
          <w:i/>
          <w:iCs/>
          <w:kern w:val="24"/>
          <w:sz w:val="20"/>
          <w:szCs w:val="20"/>
          <w:lang w:val="en-GB"/>
        </w:rPr>
        <w:t>Bulugh Al-Maram Min Adillat Al-Ahkam</w:t>
      </w:r>
      <w:r w:rsidRPr="001374DC">
        <w:rPr>
          <w:rFonts w:ascii="Times New Roman" w:hAnsi="Times New Roman" w:cs="Times New Roman"/>
          <w:kern w:val="24"/>
          <w:sz w:val="20"/>
          <w:szCs w:val="20"/>
          <w:lang w:val="en-GB"/>
        </w:rPr>
        <w:t>”, Dar Al-Manarah, El-Mansoura, Egypt, 2003,</w:t>
      </w:r>
      <w:r w:rsidRPr="001374DC">
        <w:rPr>
          <w:rFonts w:ascii="Times New Roman" w:hAnsi="Times New Roman" w:cs="Times New Roman"/>
          <w:kern w:val="24"/>
          <w:sz w:val="24"/>
          <w:szCs w:val="24"/>
          <w:lang w:val="en-GB"/>
        </w:rPr>
        <w:t xml:space="preserve"> </w:t>
      </w:r>
      <w:r w:rsidRPr="001374DC">
        <w:rPr>
          <w:rFonts w:ascii="Times New Roman" w:hAnsi="Times New Roman" w:cs="Times New Roman"/>
          <w:kern w:val="24"/>
          <w:sz w:val="20"/>
          <w:szCs w:val="20"/>
          <w:lang w:val="en-GB"/>
        </w:rPr>
        <w:t>p. 54.</w:t>
      </w:r>
    </w:p>
  </w:footnote>
  <w:footnote w:id="325">
    <w:p w14:paraId="45A85E01"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w:t>
      </w:r>
      <w:r w:rsidRPr="001374DC">
        <w:rPr>
          <w:rFonts w:ascii="Times New Roman" w:hAnsi="Times New Roman" w:cs="Times New Roman"/>
          <w:smallCaps/>
          <w:kern w:val="24"/>
          <w:lang w:val="en-GB"/>
        </w:rPr>
        <w:t>Malik Ibn Anas</w:t>
      </w:r>
      <w:r w:rsidRPr="001374DC">
        <w:rPr>
          <w:rFonts w:ascii="Times New Roman" w:hAnsi="Times New Roman" w:cs="Times New Roman"/>
          <w:kern w:val="24"/>
          <w:lang w:val="en-GB"/>
        </w:rPr>
        <w:t>, “</w:t>
      </w:r>
      <w:r w:rsidRPr="001374DC">
        <w:rPr>
          <w:rFonts w:ascii="Times New Roman" w:hAnsi="Times New Roman" w:cs="Times New Roman"/>
          <w:i/>
          <w:iCs/>
          <w:kern w:val="24"/>
          <w:lang w:val="en-GB"/>
        </w:rPr>
        <w:t>Al-Muwatta</w:t>
      </w:r>
      <w:r w:rsidRPr="001374DC">
        <w:rPr>
          <w:rFonts w:ascii="Times New Roman" w:hAnsi="Times New Roman" w:cs="Times New Roman"/>
          <w:kern w:val="24"/>
          <w:lang w:val="en-GB"/>
        </w:rPr>
        <w:t>”, Madinah Press, 2005, p. 122.</w:t>
      </w:r>
    </w:p>
  </w:footnote>
  <w:footnote w:id="326">
    <w:p w14:paraId="672B29E9"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140.</w:t>
      </w:r>
    </w:p>
  </w:footnote>
  <w:footnote w:id="327">
    <w:p w14:paraId="7DF3B432"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Astrom</w:t>
      </w:r>
      <w:r w:rsidRPr="001374DC">
        <w:rPr>
          <w:rFonts w:ascii="Times New Roman" w:hAnsi="Times New Roman" w:cs="Times New Roman"/>
          <w:kern w:val="24"/>
        </w:rPr>
        <w:t>, 2012, référence citée, p. 52.</w:t>
      </w:r>
    </w:p>
  </w:footnote>
  <w:footnote w:id="328">
    <w:p w14:paraId="0954D93B"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52.</w:t>
      </w:r>
    </w:p>
  </w:footnote>
  <w:footnote w:id="329">
    <w:p w14:paraId="171E51A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Ibn Rushd</w:t>
      </w:r>
      <w:r w:rsidRPr="001374DC">
        <w:rPr>
          <w:rFonts w:ascii="Times New Roman" w:hAnsi="Times New Roman" w:cs="Times New Roman"/>
          <w:kern w:val="24"/>
        </w:rPr>
        <w:t>, 2000, référence citée, p. 152.</w:t>
      </w:r>
    </w:p>
  </w:footnote>
  <w:footnote w:id="330">
    <w:p w14:paraId="013017E4"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Astrom</w:t>
      </w:r>
      <w:r w:rsidRPr="001374DC">
        <w:rPr>
          <w:rFonts w:ascii="Times New Roman" w:hAnsi="Times New Roman" w:cs="Times New Roman"/>
          <w:kern w:val="24"/>
        </w:rPr>
        <w:t>, 2012, référence citée, p. 52.</w:t>
      </w:r>
    </w:p>
  </w:footnote>
  <w:footnote w:id="331">
    <w:p w14:paraId="2D114897" w14:textId="77777777" w:rsidR="009C2D83" w:rsidRPr="00745BCF" w:rsidRDefault="009C2D83" w:rsidP="001374DC">
      <w:pPr>
        <w:pStyle w:val="Notedebasdepage"/>
        <w:suppressAutoHyphens/>
        <w:rPr>
          <w:rFonts w:ascii="Times New Roman" w:hAnsi="Times New Roman" w:cs="Times New Roman"/>
          <w:kern w:val="24"/>
        </w:rPr>
      </w:pPr>
      <w:r w:rsidRPr="00745BCF">
        <w:rPr>
          <w:rStyle w:val="Appelnotedebasdep"/>
          <w:rFonts w:ascii="Times New Roman" w:hAnsi="Times New Roman"/>
          <w:kern w:val="24"/>
        </w:rPr>
        <w:footnoteRef/>
      </w:r>
      <w:r w:rsidRPr="00745BCF">
        <w:rPr>
          <w:rFonts w:ascii="Times New Roman" w:hAnsi="Times New Roman" w:cs="Times New Roman"/>
          <w:kern w:val="24"/>
        </w:rPr>
        <w:t xml:space="preserve"> Ibid, p. 38.</w:t>
      </w:r>
    </w:p>
  </w:footnote>
  <w:footnote w:id="332">
    <w:p w14:paraId="0B1A9CA1" w14:textId="77777777" w:rsidR="009C2D83" w:rsidRPr="00745BCF" w:rsidRDefault="009C2D83" w:rsidP="001374DC">
      <w:pPr>
        <w:pStyle w:val="Notedebasdepage"/>
        <w:suppressAutoHyphens/>
        <w:rPr>
          <w:rFonts w:ascii="Times New Roman" w:hAnsi="Times New Roman" w:cs="Times New Roman"/>
          <w:kern w:val="24"/>
        </w:rPr>
      </w:pPr>
      <w:r w:rsidRPr="00745BCF">
        <w:rPr>
          <w:rStyle w:val="Appelnotedebasdep"/>
          <w:rFonts w:ascii="Times New Roman" w:hAnsi="Times New Roman"/>
          <w:kern w:val="24"/>
        </w:rPr>
        <w:footnoteRef/>
      </w:r>
      <w:r w:rsidRPr="00745BCF">
        <w:rPr>
          <w:rFonts w:ascii="Times New Roman" w:hAnsi="Times New Roman" w:cs="Times New Roman"/>
          <w:kern w:val="24"/>
        </w:rPr>
        <w:t xml:space="preserve"> Ibid, p. 38.</w:t>
      </w:r>
    </w:p>
  </w:footnote>
  <w:footnote w:id="333">
    <w:p w14:paraId="16F78E51" w14:textId="77777777" w:rsidR="009C2D83" w:rsidRPr="00745BCF"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745BCF">
        <w:rPr>
          <w:rStyle w:val="Appelnotedebasdep"/>
          <w:rFonts w:ascii="Times New Roman" w:hAnsi="Times New Roman"/>
          <w:kern w:val="24"/>
          <w:sz w:val="20"/>
          <w:szCs w:val="20"/>
        </w:rPr>
        <w:footnoteRef/>
      </w:r>
      <w:r w:rsidRPr="00745BCF">
        <w:rPr>
          <w:rFonts w:ascii="Times New Roman" w:hAnsi="Times New Roman" w:cs="Times New Roman"/>
          <w:smallCaps/>
          <w:kern w:val="24"/>
          <w:sz w:val="20"/>
          <w:szCs w:val="20"/>
        </w:rPr>
        <w:t xml:space="preserve"> Ibn Rushd</w:t>
      </w:r>
      <w:r w:rsidRPr="00745BCF">
        <w:rPr>
          <w:rFonts w:ascii="Times New Roman" w:hAnsi="Times New Roman" w:cs="Times New Roman"/>
          <w:kern w:val="24"/>
          <w:sz w:val="20"/>
          <w:szCs w:val="20"/>
        </w:rPr>
        <w:t>, 2000, référence citée, p. 64.</w:t>
      </w:r>
    </w:p>
  </w:footnote>
  <w:footnote w:id="334">
    <w:p w14:paraId="321B6FA3" w14:textId="77777777" w:rsidR="009C2D83" w:rsidRPr="00745BCF" w:rsidRDefault="009C2D83" w:rsidP="001374DC">
      <w:pPr>
        <w:pStyle w:val="Notedebasdepage"/>
        <w:suppressAutoHyphens/>
        <w:rPr>
          <w:rFonts w:ascii="Times New Roman" w:hAnsi="Times New Roman" w:cs="Times New Roman"/>
          <w:kern w:val="24"/>
        </w:rPr>
      </w:pPr>
      <w:r w:rsidRPr="00745BCF">
        <w:rPr>
          <w:rStyle w:val="Appelnotedebasdep"/>
          <w:rFonts w:ascii="Times New Roman" w:hAnsi="Times New Roman"/>
          <w:kern w:val="24"/>
        </w:rPr>
        <w:footnoteRef/>
      </w:r>
      <w:r w:rsidRPr="00745BCF">
        <w:rPr>
          <w:rFonts w:ascii="Times New Roman" w:hAnsi="Times New Roman" w:cs="Times New Roman"/>
          <w:kern w:val="24"/>
        </w:rPr>
        <w:t xml:space="preserve"> </w:t>
      </w:r>
      <w:r w:rsidRPr="00745BCF">
        <w:rPr>
          <w:rFonts w:ascii="Times New Roman" w:hAnsi="Times New Roman" w:cs="Times New Roman"/>
          <w:smallCaps/>
          <w:kern w:val="24"/>
        </w:rPr>
        <w:t>Astrom</w:t>
      </w:r>
      <w:r w:rsidRPr="00745BCF">
        <w:rPr>
          <w:rFonts w:ascii="Times New Roman" w:hAnsi="Times New Roman" w:cs="Times New Roman"/>
          <w:kern w:val="24"/>
        </w:rPr>
        <w:t>, 2012, référence citée, p. 39.</w:t>
      </w:r>
    </w:p>
  </w:footnote>
  <w:footnote w:id="335">
    <w:p w14:paraId="6926B240" w14:textId="1600BD66" w:rsidR="009C2D83" w:rsidRPr="00745BCF" w:rsidRDefault="009C2D83" w:rsidP="00745BCF">
      <w:pPr>
        <w:pStyle w:val="Notedebasdepage"/>
        <w:rPr>
          <w:rFonts w:ascii="Times New Roman" w:hAnsi="Times New Roman" w:cs="Times New Roman"/>
          <w:kern w:val="24"/>
          <w:lang w:val="en-GB"/>
        </w:rPr>
      </w:pPr>
      <w:r w:rsidRPr="00745BCF">
        <w:rPr>
          <w:rStyle w:val="Appelnotedebasdep"/>
          <w:rFonts w:ascii="Times New Roman" w:hAnsi="Times New Roman"/>
          <w:kern w:val="24"/>
        </w:rPr>
        <w:footnoteRef/>
      </w:r>
      <w:r w:rsidRPr="00745BCF">
        <w:rPr>
          <w:rFonts w:ascii="Times New Roman" w:hAnsi="Times New Roman" w:cs="Times New Roman"/>
          <w:kern w:val="24"/>
          <w:lang w:val="en-GB"/>
        </w:rPr>
        <w:t xml:space="preserve"> </w:t>
      </w:r>
      <w:r w:rsidRPr="00745BCF">
        <w:rPr>
          <w:rFonts w:ascii="Times New Roman" w:hAnsi="Times New Roman" w:cs="Times New Roman"/>
          <w:spacing w:val="-6"/>
          <w:kern w:val="20"/>
          <w:lang w:val="en-GB"/>
        </w:rPr>
        <w:t xml:space="preserve">Bank of Algeria, Instruction N° 03-2020, </w:t>
      </w:r>
      <w:hyperlink r:id="rId33" w:history="1">
        <w:r w:rsidRPr="00745BCF">
          <w:rPr>
            <w:rStyle w:val="Lienhypertexte"/>
            <w:rFonts w:ascii="Times New Roman" w:hAnsi="Times New Roman" w:cs="Times New Roman"/>
            <w:spacing w:val="-6"/>
            <w:kern w:val="20"/>
            <w:lang w:val="en-GB"/>
          </w:rPr>
          <w:t>https://www.bank-of-algeria.dz/pdf/instructions2020/instruction032020.pdf</w:t>
        </w:r>
      </w:hyperlink>
      <w:r w:rsidRPr="00745BCF">
        <w:rPr>
          <w:rFonts w:ascii="Times New Roman" w:hAnsi="Times New Roman" w:cs="Times New Roman"/>
          <w:spacing w:val="-6"/>
          <w:kern w:val="20"/>
          <w:lang w:val="en-GB"/>
        </w:rPr>
        <w:t>.</w:t>
      </w:r>
    </w:p>
  </w:footnote>
  <w:footnote w:id="336">
    <w:p w14:paraId="0C91437B"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Techniquement, cela signifie : caution et sûreté pour tous les risques assurables ainsi que pour l'incertitude.</w:t>
      </w:r>
    </w:p>
  </w:footnote>
  <w:footnote w:id="337">
    <w:p w14:paraId="3BD66D52"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Les dépôts courants doivent rester intacts à la disposition des déposants.</w:t>
      </w:r>
    </w:p>
  </w:footnote>
  <w:footnote w:id="338">
    <w:p w14:paraId="2C2CC000"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Ibrahima BA</w:t>
      </w:r>
      <w:r w:rsidRPr="001374DC">
        <w:rPr>
          <w:rFonts w:ascii="Times New Roman" w:hAnsi="Times New Roman" w:cs="Times New Roman"/>
          <w:kern w:val="24"/>
          <w:sz w:val="20"/>
          <w:szCs w:val="20"/>
        </w:rPr>
        <w:t>, « PME et institutions financières islamiques »,</w:t>
      </w:r>
      <w:r w:rsidRPr="001374DC">
        <w:rPr>
          <w:rFonts w:ascii="Times New Roman" w:hAnsi="Times New Roman" w:cs="Times New Roman"/>
          <w:color w:val="1A1A1A"/>
          <w:kern w:val="24"/>
          <w:sz w:val="20"/>
          <w:szCs w:val="20"/>
        </w:rPr>
        <w:t xml:space="preserve"> Document de travail N° 6, Département du Développement des Entreprises et Coopératives Bureau international du Travail – Genève, 1993, </w:t>
      </w:r>
      <w:r w:rsidRPr="001374DC">
        <w:rPr>
          <w:rFonts w:ascii="Times New Roman" w:hAnsi="Times New Roman" w:cs="Times New Roman"/>
          <w:kern w:val="24"/>
          <w:sz w:val="20"/>
          <w:szCs w:val="20"/>
        </w:rPr>
        <w:t>p. 5.</w:t>
      </w:r>
    </w:p>
  </w:footnote>
  <w:footnote w:id="339">
    <w:p w14:paraId="4BCE985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Ben Jedidia</w:t>
      </w:r>
      <w:r w:rsidRPr="001374DC">
        <w:rPr>
          <w:rFonts w:ascii="Times New Roman" w:hAnsi="Times New Roman" w:cs="Times New Roman"/>
          <w:kern w:val="24"/>
        </w:rPr>
        <w:t xml:space="preserve"> Khoutem, « L’intermédiation financière participative des banques islamiques », Etudes en Economie islamique, Vol. 6, 2012, p. 21.</w:t>
      </w:r>
    </w:p>
  </w:footnote>
  <w:footnote w:id="340">
    <w:p w14:paraId="4FB7215D"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Siddiqi </w:t>
      </w:r>
      <w:r w:rsidRPr="001374DC">
        <w:rPr>
          <w:rFonts w:ascii="Times New Roman" w:hAnsi="Times New Roman" w:cs="Times New Roman"/>
          <w:kern w:val="24"/>
          <w:sz w:val="20"/>
          <w:szCs w:val="20"/>
          <w:lang w:val="en-GB"/>
        </w:rPr>
        <w:t>Muhammad Nejatullah, “Islamic Banking: Principles, Precepts and Prospects”, Journal of King Abdulaziz University, Islamic Economics, Vol. 10, 1998, p. 50.</w:t>
      </w:r>
    </w:p>
  </w:footnote>
  <w:footnote w:id="341">
    <w:p w14:paraId="3F87CBDF"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Al-Suwailem</w:t>
      </w:r>
      <w:r w:rsidRPr="001374DC">
        <w:rPr>
          <w:rFonts w:ascii="Times New Roman" w:hAnsi="Times New Roman" w:cs="Times New Roman"/>
          <w:kern w:val="24"/>
          <w:sz w:val="20"/>
          <w:szCs w:val="20"/>
        </w:rPr>
        <w:t xml:space="preserve"> Sami Ibrahim, « Intermédiation financière dans l’économie islamique » (en arabe) dans « Crise monétaire mondiale : origines et solutions d’un point de vue islamique », (en arabe), Université du Roi Abdelaaziz, Jeddah, 2009, p. 75.</w:t>
      </w:r>
    </w:p>
  </w:footnote>
  <w:footnote w:id="342">
    <w:p w14:paraId="57A4F0BE"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Kahf</w:t>
      </w:r>
      <w:r w:rsidRPr="001374DC">
        <w:rPr>
          <w:rFonts w:ascii="Times New Roman" w:hAnsi="Times New Roman" w:cs="Times New Roman"/>
          <w:kern w:val="24"/>
          <w:lang w:val="en-GB"/>
        </w:rPr>
        <w:t xml:space="preserve"> Monzer, “A Discussion on Islamic Banks and Financial Intermediation”, Journal of King Abdulaziz University, Islamic Economics, Vol. 13, 2001, p. 94.</w:t>
      </w:r>
    </w:p>
  </w:footnote>
  <w:footnote w:id="343">
    <w:p w14:paraId="6DB494D8"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w:t>
      </w:r>
      <w:r w:rsidRPr="001374DC">
        <w:rPr>
          <w:rFonts w:ascii="Times New Roman" w:hAnsi="Times New Roman" w:cs="Times New Roman"/>
          <w:smallCaps/>
          <w:kern w:val="24"/>
          <w:lang w:val="en-GB"/>
        </w:rPr>
        <w:t>Homoud</w:t>
      </w:r>
      <w:r w:rsidRPr="001374DC">
        <w:rPr>
          <w:rFonts w:ascii="Times New Roman" w:hAnsi="Times New Roman" w:cs="Times New Roman"/>
          <w:kern w:val="24"/>
          <w:lang w:val="en-GB"/>
        </w:rPr>
        <w:t xml:space="preserve"> Sami, “Tathir al a’mal al masrafi lima yattafiq wa al shari’ah al islamiyyah”, 2ème Edition, Amman, Jordanie, 1982, p. 56.</w:t>
      </w:r>
    </w:p>
  </w:footnote>
  <w:footnote w:id="344">
    <w:p w14:paraId="43BF0AEB"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Ben Jedidia</w:t>
      </w:r>
      <w:r w:rsidRPr="001374DC">
        <w:rPr>
          <w:rFonts w:ascii="Times New Roman" w:hAnsi="Times New Roman" w:cs="Times New Roman"/>
          <w:kern w:val="24"/>
        </w:rPr>
        <w:t>, 2013, référence citée, p. 22.</w:t>
      </w:r>
    </w:p>
  </w:footnote>
  <w:footnote w:id="345">
    <w:p w14:paraId="1312BB4E"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rPr>
      </w:pPr>
      <w:r w:rsidRPr="001374DC">
        <w:rPr>
          <w:rStyle w:val="Appelnotedebasdep"/>
          <w:rFonts w:ascii="Times New Roman" w:hAnsi="Times New Roman"/>
          <w:kern w:val="24"/>
        </w:rPr>
        <w:footnoteRef/>
      </w:r>
      <w:r w:rsidRPr="001374DC">
        <w:rPr>
          <w:rFonts w:ascii="Times New Roman" w:hAnsi="Times New Roman" w:cs="Times New Roman"/>
          <w:smallCaps/>
          <w:kern w:val="24"/>
          <w:sz w:val="20"/>
          <w:szCs w:val="20"/>
        </w:rPr>
        <w:t xml:space="preserve"> Warde</w:t>
      </w:r>
      <w:r w:rsidRPr="001374DC">
        <w:rPr>
          <w:rFonts w:ascii="Times New Roman" w:hAnsi="Times New Roman" w:cs="Times New Roman"/>
          <w:kern w:val="24"/>
          <w:sz w:val="20"/>
          <w:szCs w:val="20"/>
        </w:rPr>
        <w:t xml:space="preserve"> Ibrahim, « Paradoxes de la finance islamique », Le monde diplomatique, </w:t>
      </w:r>
      <w:hyperlink r:id="rId34" w:history="1">
        <w:r w:rsidRPr="001374DC">
          <w:rPr>
            <w:rStyle w:val="Lienhypertexte"/>
            <w:rFonts w:ascii="Times New Roman" w:hAnsi="Times New Roman" w:cs="Times New Roman"/>
            <w:kern w:val="24"/>
            <w:sz w:val="20"/>
            <w:szCs w:val="20"/>
          </w:rPr>
          <w:t>www.monde–diplomatique.fr</w:t>
        </w:r>
      </w:hyperlink>
      <w:r w:rsidRPr="001374DC">
        <w:rPr>
          <w:rFonts w:ascii="Times New Roman" w:hAnsi="Times New Roman" w:cs="Times New Roman"/>
          <w:kern w:val="24"/>
          <w:sz w:val="20"/>
          <w:szCs w:val="20"/>
        </w:rPr>
        <w:t>, Septembre 2001.</w:t>
      </w:r>
    </w:p>
  </w:footnote>
  <w:footnote w:id="346">
    <w:p w14:paraId="50A86252"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Ben Jedidia</w:t>
      </w:r>
      <w:r w:rsidRPr="001374DC">
        <w:rPr>
          <w:rFonts w:ascii="Times New Roman" w:hAnsi="Times New Roman" w:cs="Times New Roman"/>
          <w:kern w:val="24"/>
        </w:rPr>
        <w:t>, 2012, référence citée, p. 23.</w:t>
      </w:r>
    </w:p>
  </w:footnote>
  <w:footnote w:id="347">
    <w:p w14:paraId="66D0CC76"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Sharpe</w:t>
      </w:r>
      <w:r w:rsidRPr="001374DC">
        <w:rPr>
          <w:rFonts w:ascii="Times New Roman" w:hAnsi="Times New Roman" w:cs="Times New Roman"/>
          <w:kern w:val="24"/>
          <w:lang w:val="en-GB"/>
        </w:rPr>
        <w:t xml:space="preserve"> Steven A, “Asymmetric Information, Bank Lending and Implicit Contracts: A Stylized Model of Customer Relationships “, Journal of Finance, Vol. 45, Issue 4, September 1990, p. 1072.</w:t>
      </w:r>
    </w:p>
  </w:footnote>
  <w:footnote w:id="348">
    <w:p w14:paraId="7340C18D"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Ahmed</w:t>
      </w:r>
      <w:r w:rsidRPr="001374DC">
        <w:rPr>
          <w:rFonts w:ascii="Times New Roman" w:hAnsi="Times New Roman" w:cs="Times New Roman"/>
          <w:kern w:val="24"/>
          <w:sz w:val="20"/>
          <w:szCs w:val="20"/>
          <w:lang w:val="en-GB"/>
        </w:rPr>
        <w:t xml:space="preserve"> Habib, </w:t>
      </w:r>
      <w:r w:rsidRPr="001374DC">
        <w:rPr>
          <w:rFonts w:ascii="Times New Roman" w:hAnsi="Times New Roman" w:cs="Times New Roman"/>
          <w:kern w:val="24"/>
          <w:sz w:val="20"/>
          <w:szCs w:val="20"/>
          <w:lang w:val="en-GB" w:eastAsia="fr-FR"/>
        </w:rPr>
        <w:t>“</w:t>
      </w:r>
      <w:r w:rsidRPr="001374DC">
        <w:rPr>
          <w:rFonts w:ascii="Times New Roman" w:hAnsi="Times New Roman" w:cs="Times New Roman"/>
          <w:kern w:val="24"/>
          <w:sz w:val="20"/>
          <w:szCs w:val="20"/>
          <w:lang w:val="en-GB"/>
        </w:rPr>
        <w:t>Incentive-compatible Profit-sharing Contracts: A Theoretical Treatment”, in Iqbal and Llewellyn: Islamic Banking and Finance: New Perspectives on Profit-sharing and Risk, Cheltenham, U.K: Edward Elgar, 2002.</w:t>
      </w:r>
    </w:p>
  </w:footnote>
  <w:footnote w:id="349">
    <w:p w14:paraId="164E33A3"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Karim</w:t>
      </w:r>
      <w:r w:rsidRPr="001374DC">
        <w:rPr>
          <w:rFonts w:ascii="Times New Roman" w:hAnsi="Times New Roman" w:cs="Times New Roman"/>
          <w:kern w:val="24"/>
          <w:sz w:val="20"/>
          <w:szCs w:val="20"/>
          <w:lang w:val="en-GB"/>
        </w:rPr>
        <w:t xml:space="preserve"> Adiwarman A, “Incentive-compatible constraints for Islamic banking: some lessons from Bank Muamalat”, in Munawar Iqbal and David T. Llewellyn, Islamic Banking and Finance, New Perspectives on Profit-Sharing and Risk (2002), Ed. </w:t>
      </w:r>
      <w:r w:rsidRPr="001374DC">
        <w:rPr>
          <w:rFonts w:ascii="Times New Roman" w:hAnsi="Times New Roman" w:cs="Times New Roman"/>
          <w:kern w:val="24"/>
          <w:sz w:val="20"/>
          <w:szCs w:val="20"/>
        </w:rPr>
        <w:t>Edward Elgar, UK, 2002, p. 103.</w:t>
      </w:r>
    </w:p>
  </w:footnote>
  <w:footnote w:id="350">
    <w:p w14:paraId="511FBFF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Allegret</w:t>
      </w:r>
      <w:r w:rsidRPr="001374DC">
        <w:rPr>
          <w:rFonts w:ascii="Times New Roman" w:hAnsi="Times New Roman" w:cs="Times New Roman"/>
          <w:kern w:val="24"/>
        </w:rPr>
        <w:t xml:space="preserve"> Jean-pierre, </w:t>
      </w:r>
      <w:r w:rsidRPr="001374DC">
        <w:rPr>
          <w:rFonts w:ascii="Times New Roman" w:hAnsi="Times New Roman" w:cs="Times New Roman"/>
          <w:smallCaps/>
          <w:kern w:val="24"/>
        </w:rPr>
        <w:t>Courbis</w:t>
      </w:r>
      <w:r w:rsidRPr="001374DC">
        <w:rPr>
          <w:rFonts w:ascii="Times New Roman" w:hAnsi="Times New Roman" w:cs="Times New Roman"/>
          <w:kern w:val="24"/>
        </w:rPr>
        <w:t xml:space="preserve"> Bernard et </w:t>
      </w:r>
      <w:r w:rsidRPr="001374DC">
        <w:rPr>
          <w:rFonts w:ascii="Times New Roman" w:hAnsi="Times New Roman" w:cs="Times New Roman"/>
          <w:smallCaps/>
          <w:kern w:val="24"/>
        </w:rPr>
        <w:t>Dulbecco</w:t>
      </w:r>
      <w:r w:rsidRPr="001374DC">
        <w:rPr>
          <w:rFonts w:ascii="Times New Roman" w:hAnsi="Times New Roman" w:cs="Times New Roman"/>
          <w:kern w:val="24"/>
        </w:rPr>
        <w:t xml:space="preserve"> Phillipe, « Intermédiation et stabilité financière dans les économies émergentes », Revue Française d’Economie, Vol. 17, N°4, p. 230.</w:t>
      </w:r>
    </w:p>
  </w:footnote>
  <w:footnote w:id="351">
    <w:p w14:paraId="4A145912"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Wilson</w:t>
      </w:r>
      <w:r w:rsidRPr="001374DC">
        <w:rPr>
          <w:rFonts w:ascii="Times New Roman" w:hAnsi="Times New Roman" w:cs="Times New Roman"/>
          <w:kern w:val="24"/>
          <w:lang w:val="en-GB"/>
        </w:rPr>
        <w:t xml:space="preserve"> Rodney, “The interface between Islamic and conventional banking”, In: Munawar Iqbal and David T Llewellyn, (2002), </w:t>
      </w:r>
      <w:r w:rsidRPr="001374DC">
        <w:rPr>
          <w:rFonts w:ascii="Times New Roman" w:hAnsi="Times New Roman" w:cs="Times New Roman"/>
          <w:kern w:val="24"/>
          <w:lang w:val="en-US"/>
        </w:rPr>
        <w:t>“</w:t>
      </w:r>
      <w:r w:rsidRPr="001374DC">
        <w:rPr>
          <w:rFonts w:ascii="Times New Roman" w:hAnsi="Times New Roman" w:cs="Times New Roman"/>
          <w:kern w:val="24"/>
          <w:lang w:val="en-GB"/>
        </w:rPr>
        <w:t>Islamic Banking and Finance, New Perspectives on Profit-Sharing and Risk”, ed Edward Elgar, UK, MA, USA, p. 215.</w:t>
      </w:r>
    </w:p>
  </w:footnote>
  <w:footnote w:id="352">
    <w:p w14:paraId="09A9E86D"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eastAsia="fr-FR"/>
        </w:rPr>
        <w:t xml:space="preserve"> Iqbal</w:t>
      </w:r>
      <w:r w:rsidRPr="001374DC">
        <w:rPr>
          <w:rFonts w:ascii="Times New Roman" w:hAnsi="Times New Roman" w:cs="Times New Roman"/>
          <w:kern w:val="24"/>
          <w:sz w:val="20"/>
          <w:szCs w:val="20"/>
          <w:lang w:val="en-GB" w:eastAsia="fr-FR"/>
        </w:rPr>
        <w:t xml:space="preserve"> Munawar</w:t>
      </w:r>
      <w:r w:rsidRPr="001374DC">
        <w:rPr>
          <w:rFonts w:ascii="Times New Roman" w:hAnsi="Times New Roman" w:cs="Times New Roman"/>
          <w:kern w:val="24"/>
          <w:sz w:val="20"/>
          <w:szCs w:val="20"/>
          <w:lang w:val="en-GB"/>
        </w:rPr>
        <w:t xml:space="preserve"> and </w:t>
      </w:r>
      <w:r w:rsidRPr="001374DC">
        <w:rPr>
          <w:rFonts w:ascii="Times New Roman" w:hAnsi="Times New Roman" w:cs="Times New Roman"/>
          <w:smallCaps/>
          <w:kern w:val="24"/>
          <w:sz w:val="20"/>
          <w:szCs w:val="20"/>
          <w:lang w:val="en-GB"/>
        </w:rPr>
        <w:t>Llewellyn</w:t>
      </w:r>
      <w:r w:rsidRPr="001374DC">
        <w:rPr>
          <w:rFonts w:ascii="Times New Roman" w:hAnsi="Times New Roman" w:cs="Times New Roman"/>
          <w:kern w:val="24"/>
          <w:sz w:val="20"/>
          <w:szCs w:val="20"/>
          <w:lang w:val="en-GB"/>
        </w:rPr>
        <w:t xml:space="preserve"> David, “Islamic Banking and Finance, New Perspectives on Profit-Sharing and Risk”, Ed. Edward Elgar, 2002, p. 81.</w:t>
      </w:r>
    </w:p>
  </w:footnote>
  <w:footnote w:id="353">
    <w:p w14:paraId="56464BC1"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Matthews</w:t>
      </w:r>
      <w:r w:rsidRPr="001374DC">
        <w:rPr>
          <w:rFonts w:ascii="Times New Roman" w:hAnsi="Times New Roman" w:cs="Times New Roman"/>
          <w:kern w:val="24"/>
          <w:lang w:val="en-GB"/>
        </w:rPr>
        <w:t xml:space="preserve"> Robin, </w:t>
      </w:r>
      <w:r w:rsidRPr="001374DC">
        <w:rPr>
          <w:rFonts w:ascii="Times New Roman" w:hAnsi="Times New Roman" w:cs="Times New Roman"/>
          <w:smallCaps/>
          <w:kern w:val="24"/>
          <w:lang w:val="en-GB"/>
        </w:rPr>
        <w:t>Tlemsani I</w:t>
      </w:r>
      <w:r w:rsidRPr="001374DC">
        <w:rPr>
          <w:rFonts w:ascii="Times New Roman" w:hAnsi="Times New Roman" w:cs="Times New Roman"/>
          <w:kern w:val="24"/>
          <w:lang w:val="en-GB"/>
        </w:rPr>
        <w:t xml:space="preserve">ssam and </w:t>
      </w:r>
      <w:r w:rsidRPr="001374DC">
        <w:rPr>
          <w:rFonts w:ascii="Times New Roman" w:hAnsi="Times New Roman" w:cs="Times New Roman"/>
          <w:smallCaps/>
          <w:kern w:val="24"/>
          <w:lang w:val="en-GB"/>
        </w:rPr>
        <w:t>Siddiqui</w:t>
      </w:r>
      <w:r w:rsidRPr="001374DC">
        <w:rPr>
          <w:rFonts w:ascii="Times New Roman" w:hAnsi="Times New Roman" w:cs="Times New Roman"/>
          <w:kern w:val="24"/>
          <w:lang w:val="en-GB"/>
        </w:rPr>
        <w:t xml:space="preserve"> Aftab A, “Islamic Finance, Centre for International Business Policy”, Working paper, Kingston Business School, 2002, p. 32.</w:t>
      </w:r>
    </w:p>
  </w:footnote>
  <w:footnote w:id="354">
    <w:p w14:paraId="61D500C1" w14:textId="15959BFF"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Warde </w:t>
      </w:r>
      <w:r w:rsidRPr="001374DC">
        <w:rPr>
          <w:rFonts w:ascii="Times New Roman" w:hAnsi="Times New Roman" w:cs="Times New Roman"/>
          <w:kern w:val="24"/>
        </w:rPr>
        <w:t xml:space="preserve">Ibrahim, 2001, référence citée, dans : </w:t>
      </w:r>
      <w:hyperlink r:id="rId35" w:history="1">
        <w:r w:rsidRPr="001374DC">
          <w:rPr>
            <w:rStyle w:val="Lienhypertexte"/>
            <w:rFonts w:ascii="Times New Roman" w:hAnsi="Times New Roman" w:cs="Times New Roman"/>
            <w:kern w:val="24"/>
          </w:rPr>
          <w:t>https://www.monde-diplomatique.fr/2001/09/WARDE/7797</w:t>
        </w:r>
      </w:hyperlink>
      <w:r w:rsidRPr="001374DC">
        <w:rPr>
          <w:rFonts w:ascii="Times New Roman" w:hAnsi="Times New Roman" w:cs="Times New Roman"/>
          <w:kern w:val="24"/>
        </w:rPr>
        <w:t>, consulté 15/02/2015.</w:t>
      </w:r>
    </w:p>
  </w:footnote>
  <w:footnote w:id="355">
    <w:p w14:paraId="438ADD8E"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Ben Jedidia</w:t>
      </w:r>
      <w:r w:rsidRPr="001374DC">
        <w:rPr>
          <w:rFonts w:ascii="Times New Roman" w:hAnsi="Times New Roman" w:cs="Times New Roman"/>
          <w:kern w:val="24"/>
        </w:rPr>
        <w:t>, 2012, référence citée, p. 46.</w:t>
      </w:r>
    </w:p>
  </w:footnote>
  <w:footnote w:id="356">
    <w:p w14:paraId="41626A93"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US"/>
        </w:rPr>
        <w:t xml:space="preserve"> Čihák</w:t>
      </w:r>
      <w:r w:rsidRPr="001374DC">
        <w:rPr>
          <w:rFonts w:ascii="Times New Roman" w:hAnsi="Times New Roman" w:cs="Times New Roman"/>
          <w:kern w:val="24"/>
          <w:lang w:val="en-US"/>
        </w:rPr>
        <w:t xml:space="preserve"> Marten and </w:t>
      </w:r>
      <w:r w:rsidRPr="001374DC">
        <w:rPr>
          <w:rFonts w:ascii="Times New Roman" w:hAnsi="Times New Roman" w:cs="Times New Roman"/>
          <w:smallCaps/>
          <w:kern w:val="24"/>
          <w:lang w:val="en-US"/>
        </w:rPr>
        <w:t>Hesse</w:t>
      </w:r>
      <w:r w:rsidRPr="001374DC">
        <w:rPr>
          <w:rFonts w:ascii="Times New Roman" w:hAnsi="Times New Roman" w:cs="Times New Roman"/>
          <w:kern w:val="24"/>
          <w:lang w:val="en-US"/>
        </w:rPr>
        <w:t xml:space="preserve"> Heiko,</w:t>
      </w:r>
      <w:r w:rsidRPr="001374DC">
        <w:rPr>
          <w:rFonts w:ascii="Times New Roman" w:hAnsi="Times New Roman" w:cs="Times New Roman"/>
          <w:i/>
          <w:iCs/>
          <w:kern w:val="24"/>
          <w:lang w:val="en-US"/>
        </w:rPr>
        <w:t xml:space="preserve"> </w:t>
      </w:r>
      <w:r w:rsidRPr="001374DC">
        <w:rPr>
          <w:rFonts w:ascii="Times New Roman" w:hAnsi="Times New Roman" w:cs="Times New Roman"/>
          <w:kern w:val="24"/>
          <w:lang w:val="en-US"/>
        </w:rPr>
        <w:t>“Islamic banks and financial stability: An empirical analysis”, IMF Working Paper, 2008, p. 6.</w:t>
      </w:r>
    </w:p>
  </w:footnote>
  <w:footnote w:id="357">
    <w:p w14:paraId="779F6902"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Hasan Zubair</w:t>
      </w:r>
      <w:r w:rsidRPr="001374DC">
        <w:rPr>
          <w:rFonts w:ascii="Times New Roman" w:hAnsi="Times New Roman" w:cs="Times New Roman"/>
          <w:kern w:val="24"/>
          <w:lang w:val="en-GB"/>
        </w:rPr>
        <w:t>, “Profit sharing ratios in mudaraba contract revisited”, International Journal of Banking and Finance, Vol. 7, Issue 1, 2009, p. 3.</w:t>
      </w:r>
    </w:p>
  </w:footnote>
  <w:footnote w:id="358">
    <w:p w14:paraId="398C693D"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w:t>
      </w:r>
      <w:r w:rsidRPr="001374DC">
        <w:rPr>
          <w:rFonts w:ascii="Times New Roman" w:hAnsi="Times New Roman" w:cs="Times New Roman"/>
          <w:smallCaps/>
          <w:spacing w:val="-2"/>
          <w:kern w:val="24"/>
        </w:rPr>
        <w:t>Al-jarhi</w:t>
      </w:r>
      <w:r w:rsidRPr="001374DC">
        <w:rPr>
          <w:rFonts w:ascii="Times New Roman" w:hAnsi="Times New Roman" w:cs="Times New Roman"/>
          <w:spacing w:val="-2"/>
          <w:kern w:val="24"/>
        </w:rPr>
        <w:t xml:space="preserve"> Mabid Ali et Iqbal Munawar, « Banques islamiques : réponses à des questions fréquemment posées », Document Périodique n° 4, Institut Islamique de Recherches et de Formation, BID, Jeddah, 2002, p. 52.</w:t>
      </w:r>
    </w:p>
  </w:footnote>
  <w:footnote w:id="359">
    <w:p w14:paraId="5AAE1835"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w:t>
      </w:r>
      <w:r w:rsidRPr="001374DC">
        <w:rPr>
          <w:rFonts w:ascii="Times New Roman" w:hAnsi="Times New Roman" w:cs="Times New Roman"/>
          <w:smallCaps/>
          <w:kern w:val="24"/>
        </w:rPr>
        <w:t xml:space="preserve">Iqbal </w:t>
      </w:r>
      <w:r w:rsidRPr="001374DC">
        <w:rPr>
          <w:rFonts w:ascii="Times New Roman" w:hAnsi="Times New Roman" w:cs="Times New Roman"/>
          <w:kern w:val="24"/>
        </w:rPr>
        <w:t xml:space="preserve">Munawar, </w:t>
      </w:r>
      <w:r w:rsidRPr="001374DC">
        <w:rPr>
          <w:rFonts w:ascii="Times New Roman" w:hAnsi="Times New Roman" w:cs="Times New Roman"/>
          <w:smallCaps/>
          <w:kern w:val="24"/>
        </w:rPr>
        <w:t xml:space="preserve">Ahmad </w:t>
      </w:r>
      <w:r w:rsidRPr="001374DC">
        <w:rPr>
          <w:rFonts w:ascii="Times New Roman" w:hAnsi="Times New Roman" w:cs="Times New Roman"/>
          <w:kern w:val="24"/>
        </w:rPr>
        <w:t xml:space="preserve">Ausaf et </w:t>
      </w:r>
      <w:r w:rsidRPr="001374DC">
        <w:rPr>
          <w:rFonts w:ascii="Times New Roman" w:hAnsi="Times New Roman" w:cs="Times New Roman"/>
          <w:smallCaps/>
          <w:kern w:val="24"/>
        </w:rPr>
        <w:t xml:space="preserve">Khan </w:t>
      </w:r>
      <w:r w:rsidRPr="001374DC">
        <w:rPr>
          <w:rFonts w:ascii="Times New Roman" w:hAnsi="Times New Roman" w:cs="Times New Roman"/>
          <w:kern w:val="24"/>
        </w:rPr>
        <w:t>Tariqullah, « Défis au système bancaire islamique », IRTI Editions, Document occasionnel N° 2, 1997, p. 33.</w:t>
      </w:r>
    </w:p>
  </w:footnote>
  <w:footnote w:id="360">
    <w:p w14:paraId="63E39B4B"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Chatti</w:t>
      </w:r>
      <w:r w:rsidRPr="001374DC">
        <w:rPr>
          <w:rFonts w:ascii="Times New Roman" w:hAnsi="Times New Roman" w:cs="Times New Roman"/>
          <w:kern w:val="24"/>
          <w:sz w:val="20"/>
          <w:szCs w:val="20"/>
        </w:rPr>
        <w:t xml:space="preserve"> Mohamed Ali, « l’impact de l’application d’une éthique bancaire sur la diversification des banques islamiques », Etudes en Economie Islamique, Vol. 6, 2013, pp. 17-18.</w:t>
      </w:r>
    </w:p>
  </w:footnote>
  <w:footnote w:id="361">
    <w:p w14:paraId="2DC9779F"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pp. 18-19.</w:t>
      </w:r>
    </w:p>
  </w:footnote>
  <w:footnote w:id="362">
    <w:p w14:paraId="24FECD67"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Iqbal</w:t>
      </w:r>
      <w:r w:rsidRPr="001374DC">
        <w:rPr>
          <w:rFonts w:ascii="Times New Roman" w:hAnsi="Times New Roman" w:cs="Times New Roman"/>
          <w:kern w:val="24"/>
          <w:sz w:val="20"/>
          <w:szCs w:val="20"/>
        </w:rPr>
        <w:t xml:space="preserve">, </w:t>
      </w:r>
      <w:r w:rsidRPr="001374DC">
        <w:rPr>
          <w:rFonts w:ascii="Times New Roman" w:hAnsi="Times New Roman" w:cs="Times New Roman"/>
          <w:smallCaps/>
          <w:kern w:val="24"/>
          <w:sz w:val="20"/>
          <w:szCs w:val="20"/>
        </w:rPr>
        <w:t>Ahmad</w:t>
      </w:r>
      <w:r w:rsidRPr="001374DC">
        <w:rPr>
          <w:rFonts w:ascii="Times New Roman" w:hAnsi="Times New Roman" w:cs="Times New Roman"/>
          <w:kern w:val="24"/>
          <w:sz w:val="20"/>
          <w:szCs w:val="20"/>
        </w:rPr>
        <w:t xml:space="preserve"> et </w:t>
      </w:r>
      <w:r w:rsidRPr="001374DC">
        <w:rPr>
          <w:rFonts w:ascii="Times New Roman" w:hAnsi="Times New Roman" w:cs="Times New Roman"/>
          <w:smallCaps/>
          <w:kern w:val="24"/>
          <w:sz w:val="20"/>
          <w:szCs w:val="20"/>
        </w:rPr>
        <w:t>Khan</w:t>
      </w:r>
      <w:r w:rsidRPr="001374DC">
        <w:rPr>
          <w:rFonts w:ascii="Times New Roman" w:hAnsi="Times New Roman" w:cs="Times New Roman"/>
          <w:kern w:val="24"/>
          <w:sz w:val="20"/>
          <w:szCs w:val="20"/>
        </w:rPr>
        <w:t>, 1997, « Défis au système bancaire islamique », IRTI Editions, p. 31-32.</w:t>
      </w:r>
    </w:p>
  </w:footnote>
  <w:footnote w:id="363">
    <w:p w14:paraId="5E1ABC90"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Ben Jedidia</w:t>
      </w:r>
      <w:r w:rsidRPr="001374DC">
        <w:rPr>
          <w:rFonts w:ascii="Times New Roman" w:hAnsi="Times New Roman" w:cs="Times New Roman"/>
          <w:kern w:val="24"/>
        </w:rPr>
        <w:t>, 2012, référence citée, p. 27.</w:t>
      </w:r>
    </w:p>
  </w:footnote>
  <w:footnote w:id="364">
    <w:p w14:paraId="42C0B97A"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Dar</w:t>
      </w:r>
      <w:r w:rsidRPr="001374DC">
        <w:rPr>
          <w:rFonts w:ascii="Times New Roman" w:hAnsi="Times New Roman" w:cs="Times New Roman"/>
          <w:kern w:val="24"/>
          <w:sz w:val="20"/>
          <w:szCs w:val="20"/>
          <w:lang w:val="en-GB"/>
        </w:rPr>
        <w:t xml:space="preserve"> Humayon A et Presley </w:t>
      </w:r>
      <w:r w:rsidRPr="001374DC">
        <w:rPr>
          <w:rFonts w:ascii="Times New Roman" w:hAnsi="Times New Roman" w:cs="Times New Roman"/>
          <w:kern w:val="24"/>
          <w:sz w:val="20"/>
          <w:szCs w:val="20"/>
          <w:lang w:val="en-US"/>
        </w:rPr>
        <w:t>John R, “</w:t>
      </w:r>
      <w:r w:rsidRPr="001374DC">
        <w:rPr>
          <w:rFonts w:ascii="Times New Roman" w:hAnsi="Times New Roman" w:cs="Times New Roman"/>
          <w:kern w:val="24"/>
          <w:sz w:val="20"/>
          <w:szCs w:val="20"/>
          <w:lang w:val="en-US" w:eastAsia="fr-FR"/>
        </w:rPr>
        <w:t>Lack of Profit Loss Sharing in Islamic Banking: Management and Control Imbalances”, Economic research paper N° 00/24, Loughborough University, 2000, p. 5.</w:t>
      </w:r>
    </w:p>
  </w:footnote>
  <w:footnote w:id="365">
    <w:p w14:paraId="76985D00"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Alomar</w:t>
      </w:r>
      <w:r w:rsidRPr="001374DC">
        <w:rPr>
          <w:rFonts w:ascii="Times New Roman" w:hAnsi="Times New Roman" w:cs="Times New Roman"/>
          <w:kern w:val="24"/>
          <w:lang w:val="en-GB"/>
        </w:rPr>
        <w:t xml:space="preserve"> Ibrahim, </w:t>
      </w:r>
      <w:r w:rsidRPr="001374DC">
        <w:rPr>
          <w:rFonts w:ascii="Times New Roman" w:hAnsi="Times New Roman" w:cs="Times New Roman"/>
          <w:color w:val="000000"/>
          <w:kern w:val="24"/>
          <w:lang w:val="en-GB"/>
        </w:rPr>
        <w:t>“</w:t>
      </w:r>
      <w:r w:rsidRPr="001374DC">
        <w:rPr>
          <w:rFonts w:ascii="Times New Roman" w:hAnsi="Times New Roman" w:cs="Times New Roman"/>
          <w:kern w:val="24"/>
          <w:lang w:val="en-GB"/>
        </w:rPr>
        <w:t xml:space="preserve">Financial Intermediation in Muslim Community: Issues and Problems”, Online at </w:t>
      </w:r>
      <w:hyperlink r:id="rId36" w:history="1">
        <w:r w:rsidRPr="001374DC">
          <w:rPr>
            <w:rStyle w:val="Lienhypertexte"/>
            <w:rFonts w:ascii="Times New Roman" w:hAnsi="Times New Roman" w:cs="Times New Roman"/>
            <w:kern w:val="24"/>
            <w:lang w:val="en-GB"/>
          </w:rPr>
          <w:t>http://mpra.ub.uni-muenchen.de/8298</w:t>
        </w:r>
      </w:hyperlink>
      <w:r w:rsidRPr="001374DC">
        <w:rPr>
          <w:rFonts w:ascii="Times New Roman" w:hAnsi="Times New Roman" w:cs="Times New Roman"/>
          <w:kern w:val="24"/>
          <w:lang w:val="en-GB"/>
        </w:rPr>
        <w:t>, 2006, pp. 6-7.</w:t>
      </w:r>
    </w:p>
  </w:footnote>
  <w:footnote w:id="366">
    <w:p w14:paraId="4E34C77A"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rPr>
        <w:t xml:space="preserve"> Sarker</w:t>
      </w:r>
      <w:r w:rsidRPr="001374DC">
        <w:rPr>
          <w:rFonts w:ascii="Times New Roman" w:hAnsi="Times New Roman" w:cs="Times New Roman"/>
          <w:kern w:val="24"/>
          <w:sz w:val="20"/>
          <w:szCs w:val="20"/>
          <w:lang w:val="en-GB"/>
        </w:rPr>
        <w:t xml:space="preserve"> Abdul Awwal, “Regulation of Islamic Banking in Bangladesh: role of Bangladesh Bank”, International Journal of Islamic Financial Services, Vol. 2, n°1, 2000, p. 46.</w:t>
      </w:r>
    </w:p>
  </w:footnote>
  <w:footnote w:id="367">
    <w:p w14:paraId="59D58489" w14:textId="77777777" w:rsidR="009C2D83" w:rsidRPr="001374DC" w:rsidRDefault="009C2D83" w:rsidP="001374DC">
      <w:pPr>
        <w:pStyle w:val="Default"/>
        <w:suppressAutoHyphens/>
        <w:rPr>
          <w:kern w:val="24"/>
          <w:sz w:val="20"/>
          <w:szCs w:val="20"/>
          <w:lang w:val="en-GB"/>
        </w:rPr>
      </w:pPr>
      <w:r w:rsidRPr="001374DC">
        <w:rPr>
          <w:rStyle w:val="Appelnotedebasdep"/>
          <w:kern w:val="24"/>
          <w:sz w:val="20"/>
          <w:szCs w:val="20"/>
        </w:rPr>
        <w:footnoteRef/>
      </w:r>
      <w:r w:rsidRPr="001374DC">
        <w:rPr>
          <w:smallCaps/>
          <w:kern w:val="24"/>
          <w:sz w:val="20"/>
          <w:szCs w:val="20"/>
          <w:lang w:val="en-GB"/>
        </w:rPr>
        <w:t xml:space="preserve"> Khan</w:t>
      </w:r>
      <w:r w:rsidRPr="001374DC">
        <w:rPr>
          <w:kern w:val="24"/>
          <w:sz w:val="20"/>
          <w:szCs w:val="20"/>
          <w:lang w:val="en-GB"/>
        </w:rPr>
        <w:t xml:space="preserve"> Mansoor and </w:t>
      </w:r>
      <w:r w:rsidRPr="001374DC">
        <w:rPr>
          <w:smallCaps/>
          <w:kern w:val="24"/>
          <w:sz w:val="20"/>
          <w:szCs w:val="20"/>
          <w:lang w:val="en-GB"/>
        </w:rPr>
        <w:t>Bhatti</w:t>
      </w:r>
      <w:r w:rsidRPr="001374DC">
        <w:rPr>
          <w:kern w:val="24"/>
          <w:sz w:val="20"/>
          <w:szCs w:val="20"/>
          <w:lang w:val="en-GB"/>
        </w:rPr>
        <w:t xml:space="preserve"> Ishaq M, “Development in Islamic banking: a financial risk allocation approach”, Journal of Risk Finance, Vol. 9, N° 01, 2008, p. 44.</w:t>
      </w:r>
    </w:p>
  </w:footnote>
  <w:footnote w:id="368">
    <w:p w14:paraId="6F4A6737"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Iqbal</w:t>
      </w:r>
      <w:r w:rsidRPr="001374DC">
        <w:rPr>
          <w:rFonts w:ascii="Times New Roman" w:hAnsi="Times New Roman" w:cs="Times New Roman"/>
          <w:kern w:val="24"/>
        </w:rPr>
        <w:t xml:space="preserve"> et al., 1997, référence citée, p. 32.</w:t>
      </w:r>
    </w:p>
  </w:footnote>
  <w:footnote w:id="369">
    <w:p w14:paraId="146694F5"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Khurshid</w:t>
      </w:r>
      <w:r w:rsidRPr="001374DC">
        <w:rPr>
          <w:rFonts w:ascii="Times New Roman" w:hAnsi="Times New Roman" w:cs="Times New Roman"/>
          <w:kern w:val="24"/>
          <w:lang w:val="en-GB"/>
        </w:rPr>
        <w:t xml:space="preserve"> Ahmad, “Elimination of Riba: Concept and Problems”, Institute of Policy Studies, 1994, pp. 15-16.</w:t>
      </w:r>
    </w:p>
  </w:footnote>
  <w:footnote w:id="370">
    <w:p w14:paraId="3E6D24BD"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w:t>
      </w:r>
      <w:r w:rsidRPr="001374DC">
        <w:rPr>
          <w:rFonts w:ascii="Times New Roman" w:hAnsi="Times New Roman" w:cs="Times New Roman"/>
          <w:smallCaps/>
          <w:kern w:val="24"/>
          <w:lang w:val="en-GB"/>
        </w:rPr>
        <w:t xml:space="preserve">Yusof </w:t>
      </w:r>
      <w:r w:rsidRPr="001374DC">
        <w:rPr>
          <w:rFonts w:ascii="Times New Roman" w:hAnsi="Times New Roman" w:cs="Times New Roman"/>
          <w:kern w:val="24"/>
          <w:lang w:val="en-GB"/>
        </w:rPr>
        <w:t xml:space="preserve">Eddy, </w:t>
      </w:r>
      <w:r w:rsidRPr="001374DC">
        <w:rPr>
          <w:rFonts w:ascii="Times New Roman" w:hAnsi="Times New Roman" w:cs="Times New Roman"/>
          <w:smallCaps/>
          <w:kern w:val="24"/>
          <w:lang w:val="en-GB"/>
        </w:rPr>
        <w:t xml:space="preserve">Ezry </w:t>
      </w:r>
      <w:r w:rsidRPr="001374DC">
        <w:rPr>
          <w:rFonts w:ascii="Times New Roman" w:hAnsi="Times New Roman" w:cs="Times New Roman"/>
          <w:kern w:val="24"/>
          <w:lang w:val="en-GB"/>
        </w:rPr>
        <w:t>Fahmy</w:t>
      </w:r>
      <w:r w:rsidRPr="001374DC">
        <w:rPr>
          <w:rFonts w:ascii="Times New Roman" w:hAnsi="Times New Roman" w:cs="Times New Roman"/>
          <w:smallCaps/>
          <w:kern w:val="24"/>
          <w:lang w:val="en-GB"/>
        </w:rPr>
        <w:t>, Kamal</w:t>
      </w:r>
      <w:r w:rsidRPr="001374DC">
        <w:rPr>
          <w:rFonts w:ascii="Times New Roman" w:hAnsi="Times New Roman" w:cs="Times New Roman"/>
          <w:kern w:val="24"/>
          <w:lang w:val="en-GB"/>
        </w:rPr>
        <w:t xml:space="preserve"> Anwar and al., Islamic Finance: Debt versus Equity Financing in the Light of Maqasid al-Shari'ah, Munich Personal RePEc Archive (MPRA), 2009, p. 15.</w:t>
      </w:r>
    </w:p>
  </w:footnote>
  <w:footnote w:id="371">
    <w:p w14:paraId="7C27472A" w14:textId="0A3D472A"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w:t>
      </w:r>
      <w:r w:rsidRPr="001374DC">
        <w:rPr>
          <w:rFonts w:ascii="Times New Roman" w:hAnsi="Times New Roman" w:cs="Times New Roman"/>
          <w:smallCaps/>
          <w:spacing w:val="-2"/>
          <w:kern w:val="24"/>
        </w:rPr>
        <w:t>Al-jarhi</w:t>
      </w:r>
      <w:r w:rsidRPr="001374DC">
        <w:rPr>
          <w:rFonts w:ascii="Times New Roman" w:hAnsi="Times New Roman" w:cs="Times New Roman"/>
          <w:spacing w:val="-2"/>
          <w:kern w:val="24"/>
        </w:rPr>
        <w:t xml:space="preserve"> Mabid Ali et Iqbal Munawar, « Banques islamiques</w:t>
      </w:r>
      <w:r>
        <w:rPr>
          <w:rFonts w:ascii="Times New Roman" w:hAnsi="Times New Roman" w:cs="Times New Roman"/>
          <w:spacing w:val="-2"/>
          <w:kern w:val="24"/>
        </w:rPr>
        <w:t> :</w:t>
      </w:r>
      <w:r w:rsidRPr="001374DC">
        <w:rPr>
          <w:rFonts w:ascii="Times New Roman" w:hAnsi="Times New Roman" w:cs="Times New Roman"/>
          <w:spacing w:val="-2"/>
          <w:kern w:val="24"/>
        </w:rPr>
        <w:t xml:space="preserve"> réponses à des questions fréquemment posées », Document Périodique, N° 4, Institut Islamique de Recherches et de Formation, BID, Jeddah, 2002, p. 32-33.</w:t>
      </w:r>
    </w:p>
  </w:footnote>
  <w:footnote w:id="372">
    <w:p w14:paraId="09E214AA"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Chatti</w:t>
      </w:r>
      <w:r w:rsidRPr="001374DC">
        <w:rPr>
          <w:rFonts w:ascii="Times New Roman" w:hAnsi="Times New Roman" w:cs="Times New Roman"/>
          <w:kern w:val="24"/>
        </w:rPr>
        <w:t>, 2013, référence citée, pp. 21-22.</w:t>
      </w:r>
    </w:p>
  </w:footnote>
  <w:footnote w:id="373">
    <w:p w14:paraId="413F81B8" w14:textId="77777777"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kern w:val="24"/>
        </w:rPr>
        <w:t xml:space="preserve"> Ibid, p. 22.</w:t>
      </w:r>
    </w:p>
  </w:footnote>
  <w:footnote w:id="374">
    <w:p w14:paraId="3C604004"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rPr>
        <w:t xml:space="preserve"> Hassoune</w:t>
      </w:r>
      <w:r w:rsidRPr="001374DC">
        <w:rPr>
          <w:rFonts w:ascii="Times New Roman" w:hAnsi="Times New Roman" w:cs="Times New Roman"/>
          <w:kern w:val="24"/>
          <w:sz w:val="20"/>
          <w:szCs w:val="20"/>
        </w:rPr>
        <w:t xml:space="preserve"> Anouar, « Les fonds propres des banques Islamique face aux exigences réglementaires », Moody’s Investors Services, Paris, Janvier 2010, p. 7.</w:t>
      </w:r>
    </w:p>
  </w:footnote>
  <w:footnote w:id="375">
    <w:p w14:paraId="5384C0EE"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Astrom</w:t>
      </w:r>
      <w:r w:rsidRPr="001374DC">
        <w:rPr>
          <w:rFonts w:ascii="Times New Roman" w:hAnsi="Times New Roman" w:cs="Times New Roman"/>
          <w:kern w:val="24"/>
          <w:lang w:val="en-GB"/>
        </w:rPr>
        <w:t>, 2012, référence citée, p. 85.</w:t>
      </w:r>
    </w:p>
  </w:footnote>
  <w:footnote w:id="376">
    <w:p w14:paraId="26EA3E62"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US"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kern w:val="24"/>
          <w:sz w:val="20"/>
          <w:szCs w:val="20"/>
          <w:lang w:val="en-US" w:eastAsia="fr-FR"/>
        </w:rPr>
        <w:t xml:space="preserve"> IFSB, </w:t>
      </w:r>
      <w:r w:rsidRPr="001374DC">
        <w:rPr>
          <w:rFonts w:ascii="Times New Roman" w:hAnsi="Times New Roman" w:cs="Times New Roman"/>
          <w:kern w:val="24"/>
          <w:sz w:val="20"/>
          <w:szCs w:val="20"/>
          <w:lang w:val="en-US"/>
        </w:rPr>
        <w:t>“</w:t>
      </w:r>
      <w:r w:rsidRPr="001374DC">
        <w:rPr>
          <w:rFonts w:ascii="Times New Roman" w:hAnsi="Times New Roman" w:cs="Times New Roman"/>
          <w:kern w:val="24"/>
          <w:sz w:val="20"/>
          <w:szCs w:val="20"/>
          <w:lang w:val="en-US" w:eastAsia="fr-FR"/>
        </w:rPr>
        <w:t>Guiding Principles of Risk Management for Institutions (other than insurance institutions) offering only Islamic financial services”</w:t>
      </w:r>
      <w:r w:rsidRPr="001374DC">
        <w:rPr>
          <w:rFonts w:ascii="Times New Roman" w:hAnsi="Times New Roman" w:cs="Times New Roman"/>
          <w:kern w:val="24"/>
          <w:sz w:val="20"/>
          <w:szCs w:val="20"/>
          <w:lang w:val="en-US"/>
        </w:rPr>
        <w:t>, 2005.</w:t>
      </w:r>
      <w:r w:rsidRPr="001374DC">
        <w:rPr>
          <w:rFonts w:ascii="Times New Roman" w:hAnsi="Times New Roman" w:cs="Times New Roman"/>
          <w:kern w:val="24"/>
          <w:sz w:val="20"/>
          <w:szCs w:val="20"/>
          <w:lang w:val="en-US" w:eastAsia="fr-FR"/>
        </w:rPr>
        <w:t xml:space="preserve"> </w:t>
      </w:r>
      <w:r w:rsidRPr="001374DC">
        <w:rPr>
          <w:rFonts w:ascii="Times New Roman" w:hAnsi="Times New Roman" w:cs="Times New Roman"/>
          <w:kern w:val="24"/>
          <w:sz w:val="20"/>
          <w:szCs w:val="20"/>
          <w:lang w:val="en-US"/>
        </w:rPr>
        <w:t>p. 12.</w:t>
      </w:r>
    </w:p>
  </w:footnote>
  <w:footnote w:id="377">
    <w:p w14:paraId="0367F9DE" w14:textId="77777777" w:rsidR="009C2D83" w:rsidRPr="001374DC" w:rsidRDefault="009C2D83" w:rsidP="001374DC">
      <w:pPr>
        <w:tabs>
          <w:tab w:val="left" w:pos="-284"/>
        </w:tabs>
        <w:suppressAutoHyphens/>
        <w:spacing w:line="240" w:lineRule="auto"/>
        <w:rPr>
          <w:rFonts w:ascii="Times New Roman" w:hAnsi="Times New Roman" w:cs="Times New Roman"/>
          <w:kern w:val="24"/>
          <w:sz w:val="20"/>
          <w:szCs w:val="20"/>
          <w:lang w:val="en-GB"/>
        </w:rPr>
      </w:pPr>
      <w:r w:rsidRPr="001374DC">
        <w:rPr>
          <w:rStyle w:val="Appelnotedebasdep"/>
          <w:rFonts w:ascii="Times New Roman" w:hAnsi="Times New Roman"/>
          <w:kern w:val="24"/>
          <w:sz w:val="20"/>
          <w:szCs w:val="20"/>
        </w:rPr>
        <w:footnoteRef/>
      </w:r>
      <w:bookmarkStart w:id="1380" w:name="_Hlk530904300"/>
      <w:r w:rsidRPr="001374DC">
        <w:rPr>
          <w:rFonts w:ascii="Times New Roman" w:hAnsi="Times New Roman" w:cs="Times New Roman"/>
          <w:smallCaps/>
          <w:kern w:val="24"/>
          <w:sz w:val="20"/>
          <w:szCs w:val="20"/>
          <w:lang w:val="en-GB"/>
        </w:rPr>
        <w:t xml:space="preserve"> Toumi</w:t>
      </w:r>
      <w:r w:rsidRPr="001374DC">
        <w:rPr>
          <w:rFonts w:ascii="Times New Roman" w:hAnsi="Times New Roman" w:cs="Times New Roman"/>
          <w:kern w:val="24"/>
          <w:sz w:val="20"/>
          <w:szCs w:val="20"/>
          <w:lang w:val="en-GB"/>
        </w:rPr>
        <w:t xml:space="preserve">, 2011, </w:t>
      </w:r>
      <w:bookmarkEnd w:id="1380"/>
      <w:r w:rsidRPr="001374DC">
        <w:rPr>
          <w:rFonts w:ascii="Times New Roman" w:hAnsi="Times New Roman" w:cs="Times New Roman"/>
          <w:kern w:val="24"/>
          <w:sz w:val="20"/>
          <w:szCs w:val="20"/>
          <w:lang w:val="en-GB"/>
        </w:rPr>
        <w:t>p. 159.</w:t>
      </w:r>
    </w:p>
  </w:footnote>
  <w:footnote w:id="378">
    <w:p w14:paraId="46E958F8"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Ibid, pp. 159-160.</w:t>
      </w:r>
    </w:p>
  </w:footnote>
  <w:footnote w:id="379">
    <w:p w14:paraId="0106F917"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Ibid, p. 161.</w:t>
      </w:r>
    </w:p>
  </w:footnote>
  <w:footnote w:id="380">
    <w:p w14:paraId="038E966A"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w:t>
      </w:r>
      <w:r w:rsidRPr="001374DC">
        <w:rPr>
          <w:rFonts w:ascii="Times New Roman" w:hAnsi="Times New Roman" w:cs="Times New Roman"/>
          <w:smallCaps/>
          <w:kern w:val="24"/>
          <w:lang w:val="en-GB"/>
        </w:rPr>
        <w:t>Toumi</w:t>
      </w:r>
      <w:r w:rsidRPr="001374DC">
        <w:rPr>
          <w:rFonts w:ascii="Times New Roman" w:hAnsi="Times New Roman" w:cs="Times New Roman"/>
          <w:kern w:val="24"/>
          <w:lang w:val="en-GB"/>
        </w:rPr>
        <w:t>, 2011, p. 66.</w:t>
      </w:r>
    </w:p>
  </w:footnote>
  <w:footnote w:id="381">
    <w:p w14:paraId="102D16AF" w14:textId="1E4CAD83"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Hassoune</w:t>
      </w:r>
      <w:r w:rsidRPr="001374DC">
        <w:rPr>
          <w:rFonts w:ascii="Times New Roman" w:hAnsi="Times New Roman" w:cs="Times New Roman"/>
          <w:kern w:val="24"/>
          <w:lang w:val="en-GB"/>
        </w:rPr>
        <w:t xml:space="preserve"> Anouar and </w:t>
      </w:r>
      <w:r w:rsidRPr="00960575">
        <w:rPr>
          <w:rFonts w:ascii="Times New Roman" w:hAnsi="Times New Roman" w:cs="Times New Roman"/>
          <w:smallCaps/>
          <w:kern w:val="24"/>
          <w:lang w:val="en-GB"/>
        </w:rPr>
        <w:t>Howaladar</w:t>
      </w:r>
      <w:r w:rsidRPr="001374DC">
        <w:rPr>
          <w:rFonts w:ascii="Times New Roman" w:hAnsi="Times New Roman" w:cs="Times New Roman"/>
          <w:kern w:val="24"/>
          <w:lang w:val="en-GB"/>
        </w:rPr>
        <w:t xml:space="preserve"> Khalid, “Islamic banks and sukuk: Growing fast, but still fragmented”, Technical report, Moody’s Investors Service, Avril 2008, p. 5.</w:t>
      </w:r>
    </w:p>
  </w:footnote>
  <w:footnote w:id="382">
    <w:p w14:paraId="2CCC0310"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Ibid, p. 7.</w:t>
      </w:r>
    </w:p>
  </w:footnote>
  <w:footnote w:id="383">
    <w:p w14:paraId="299E3BF6"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eastAsia="fr-FR"/>
        </w:rPr>
        <w:t xml:space="preserve"> Makuch </w:t>
      </w:r>
      <w:r w:rsidRPr="001374DC">
        <w:rPr>
          <w:rFonts w:ascii="Times New Roman" w:hAnsi="Times New Roman" w:cs="Times New Roman"/>
          <w:kern w:val="24"/>
          <w:sz w:val="20"/>
          <w:szCs w:val="20"/>
          <w:lang w:val="en-GB" w:eastAsia="fr-FR"/>
        </w:rPr>
        <w:t>William, “Handbook of credit scoring”, The Glenlake Publishing Company, Ltd, West Glenlake, 2001, pp. 12-13.</w:t>
      </w:r>
    </w:p>
  </w:footnote>
  <w:footnote w:id="384">
    <w:p w14:paraId="366F0C6F"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Marquez</w:t>
      </w:r>
      <w:r w:rsidRPr="001374DC">
        <w:rPr>
          <w:rFonts w:ascii="Times New Roman" w:hAnsi="Times New Roman" w:cs="Times New Roman"/>
          <w:kern w:val="24"/>
          <w:lang w:val="en-GB"/>
        </w:rPr>
        <w:t xml:space="preserve"> Javier, “An introduction to credit scoring”, World Bank Group, 2008, pp. 10-11.</w:t>
      </w:r>
    </w:p>
  </w:footnote>
  <w:footnote w:id="385">
    <w:p w14:paraId="5D3CBD6A"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GB" w:eastAsia="fr-FR"/>
        </w:rPr>
        <w:t xml:space="preserve"> Gestel</w:t>
      </w:r>
      <w:r w:rsidRPr="001374DC">
        <w:rPr>
          <w:rFonts w:ascii="Times New Roman" w:hAnsi="Times New Roman" w:cs="Times New Roman"/>
          <w:kern w:val="24"/>
          <w:sz w:val="20"/>
          <w:szCs w:val="20"/>
          <w:lang w:val="en-GB" w:eastAsia="fr-FR"/>
        </w:rPr>
        <w:t xml:space="preserve"> Tony V., </w:t>
      </w:r>
      <w:r w:rsidRPr="001374DC">
        <w:rPr>
          <w:rFonts w:ascii="Times New Roman" w:hAnsi="Times New Roman" w:cs="Times New Roman"/>
          <w:smallCaps/>
          <w:kern w:val="24"/>
          <w:sz w:val="20"/>
          <w:szCs w:val="20"/>
          <w:lang w:val="en-GB" w:eastAsia="fr-FR"/>
        </w:rPr>
        <w:t>Baesens</w:t>
      </w:r>
      <w:r w:rsidRPr="001374DC">
        <w:rPr>
          <w:rFonts w:ascii="Times New Roman" w:hAnsi="Times New Roman" w:cs="Times New Roman"/>
          <w:kern w:val="24"/>
          <w:sz w:val="20"/>
          <w:szCs w:val="20"/>
          <w:lang w:val="en-GB" w:eastAsia="fr-FR"/>
        </w:rPr>
        <w:t xml:space="preserve"> Bart, </w:t>
      </w:r>
      <w:r w:rsidRPr="001374DC">
        <w:rPr>
          <w:rFonts w:ascii="Times New Roman" w:hAnsi="Times New Roman" w:cs="Times New Roman"/>
          <w:smallCaps/>
          <w:kern w:val="24"/>
          <w:sz w:val="20"/>
          <w:szCs w:val="20"/>
          <w:lang w:val="en-GB" w:eastAsia="fr-FR"/>
        </w:rPr>
        <w:t>Dijcke</w:t>
      </w:r>
      <w:r w:rsidRPr="001374DC">
        <w:rPr>
          <w:rFonts w:ascii="Times New Roman" w:hAnsi="Times New Roman" w:cs="Times New Roman"/>
          <w:kern w:val="24"/>
          <w:sz w:val="20"/>
          <w:szCs w:val="20"/>
          <w:lang w:val="en-GB" w:eastAsia="fr-FR"/>
        </w:rPr>
        <w:t xml:space="preserve"> Peter V. and al., </w:t>
      </w:r>
      <w:r w:rsidRPr="001374DC">
        <w:rPr>
          <w:rFonts w:ascii="Times New Roman" w:hAnsi="Times New Roman" w:cs="Times New Roman"/>
          <w:kern w:val="24"/>
          <w:sz w:val="20"/>
          <w:szCs w:val="20"/>
          <w:lang w:val="en-GB"/>
        </w:rPr>
        <w:t>“</w:t>
      </w:r>
      <w:r w:rsidRPr="001374DC">
        <w:rPr>
          <w:rFonts w:ascii="Times New Roman" w:hAnsi="Times New Roman" w:cs="Times New Roman"/>
          <w:kern w:val="24"/>
          <w:sz w:val="20"/>
          <w:szCs w:val="20"/>
          <w:lang w:val="en-GB" w:eastAsia="fr-FR"/>
        </w:rPr>
        <w:t>Linear and non-linear credit scoring by combining logistic regression and support vector machines”, Journal of Credit Risk 1(4), 2005, p. 34–35.</w:t>
      </w:r>
    </w:p>
  </w:footnote>
  <w:footnote w:id="386">
    <w:p w14:paraId="7E3B6318"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w:t>
      </w:r>
      <w:r w:rsidRPr="001374DC">
        <w:rPr>
          <w:rFonts w:ascii="Times New Roman" w:hAnsi="Times New Roman" w:cs="Times New Roman"/>
          <w:smallCaps/>
          <w:kern w:val="24"/>
          <w:lang w:val="en-GB"/>
        </w:rPr>
        <w:t>Astrom</w:t>
      </w:r>
      <w:r w:rsidRPr="001374DC">
        <w:rPr>
          <w:rFonts w:ascii="Times New Roman" w:hAnsi="Times New Roman" w:cs="Times New Roman"/>
          <w:kern w:val="24"/>
          <w:lang w:val="en-GB"/>
        </w:rPr>
        <w:t>, 2012, référence citée, pp. 99-100.</w:t>
      </w:r>
    </w:p>
  </w:footnote>
  <w:footnote w:id="387">
    <w:p w14:paraId="47559CE2"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smallCaps/>
          <w:kern w:val="24"/>
          <w:lang w:val="en-GB"/>
        </w:rPr>
        <w:t xml:space="preserve"> Mousavi</w:t>
      </w:r>
      <w:r w:rsidRPr="001374DC">
        <w:rPr>
          <w:rFonts w:ascii="Times New Roman" w:hAnsi="Times New Roman" w:cs="Times New Roman"/>
          <w:kern w:val="24"/>
          <w:lang w:val="en-GB"/>
        </w:rPr>
        <w:t xml:space="preserve"> Seyed</w:t>
      </w:r>
      <w:r w:rsidRPr="001374DC">
        <w:rPr>
          <w:rFonts w:ascii="Times New Roman" w:hAnsi="Times New Roman" w:cs="Times New Roman"/>
          <w:smallCaps/>
          <w:kern w:val="24"/>
          <w:lang w:val="en-GB"/>
        </w:rPr>
        <w:t xml:space="preserve"> M</w:t>
      </w:r>
      <w:r w:rsidRPr="001374DC">
        <w:rPr>
          <w:rFonts w:ascii="Times New Roman" w:hAnsi="Times New Roman" w:cs="Times New Roman"/>
          <w:kern w:val="24"/>
          <w:lang w:val="en-GB"/>
        </w:rPr>
        <w:t>, “Islamic justification of credit default swap for managing credit risk in Islamic banking”, Special reading in Islamic economics, Islamic Science University of Malaysia, 2008.</w:t>
      </w:r>
    </w:p>
  </w:footnote>
  <w:footnote w:id="388">
    <w:p w14:paraId="3A706C09"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eastAsia="fr-FR"/>
        </w:rPr>
      </w:pPr>
      <w:r w:rsidRPr="001374DC">
        <w:rPr>
          <w:rStyle w:val="Appelnotedebasdep"/>
          <w:rFonts w:ascii="Times New Roman" w:hAnsi="Times New Roman"/>
          <w:kern w:val="24"/>
          <w:sz w:val="20"/>
          <w:szCs w:val="20"/>
        </w:rPr>
        <w:footnoteRef/>
      </w:r>
      <w:bookmarkStart w:id="1432" w:name="_Hlk530922537"/>
      <w:r w:rsidRPr="001374DC">
        <w:rPr>
          <w:rFonts w:ascii="Times New Roman" w:hAnsi="Times New Roman" w:cs="Times New Roman"/>
          <w:smallCaps/>
          <w:kern w:val="24"/>
          <w:sz w:val="20"/>
          <w:szCs w:val="20"/>
          <w:lang w:eastAsia="fr-FR"/>
        </w:rPr>
        <w:t xml:space="preserve"> Archer</w:t>
      </w:r>
      <w:r w:rsidRPr="001374DC">
        <w:rPr>
          <w:rFonts w:ascii="Times New Roman" w:hAnsi="Times New Roman" w:cs="Times New Roman"/>
          <w:kern w:val="24"/>
          <w:sz w:val="20"/>
          <w:szCs w:val="20"/>
          <w:lang w:eastAsia="fr-FR"/>
        </w:rPr>
        <w:t xml:space="preserve"> et </w:t>
      </w:r>
      <w:r w:rsidRPr="001374DC">
        <w:rPr>
          <w:rFonts w:ascii="Times New Roman" w:hAnsi="Times New Roman" w:cs="Times New Roman"/>
          <w:smallCaps/>
          <w:kern w:val="24"/>
          <w:sz w:val="20"/>
          <w:szCs w:val="20"/>
          <w:lang w:eastAsia="fr-FR"/>
        </w:rPr>
        <w:t>Karim</w:t>
      </w:r>
      <w:r w:rsidRPr="001374DC">
        <w:rPr>
          <w:rFonts w:ascii="Times New Roman" w:hAnsi="Times New Roman" w:cs="Times New Roman"/>
          <w:kern w:val="24"/>
          <w:sz w:val="20"/>
          <w:szCs w:val="20"/>
          <w:lang w:eastAsia="fr-FR"/>
        </w:rPr>
        <w:t>, 2006, référence citée, p. 272.</w:t>
      </w:r>
      <w:bookmarkEnd w:id="1432"/>
    </w:p>
  </w:footnote>
  <w:footnote w:id="389">
    <w:p w14:paraId="05ED5842" w14:textId="77777777" w:rsidR="009C2D83" w:rsidRPr="001374DC" w:rsidRDefault="009C2D83" w:rsidP="001374DC">
      <w:pPr>
        <w:pStyle w:val="Notedebasdepage"/>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Ibid, p. 274.</w:t>
      </w:r>
    </w:p>
  </w:footnote>
  <w:footnote w:id="390">
    <w:p w14:paraId="7D5F9E49"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kern w:val="24"/>
          <w:sz w:val="20"/>
          <w:szCs w:val="20"/>
          <w:lang w:val="en-GB" w:eastAsia="fr-FR"/>
        </w:rPr>
      </w:pPr>
      <w:r w:rsidRPr="001374DC">
        <w:rPr>
          <w:rStyle w:val="Appelnotedebasdep"/>
          <w:rFonts w:ascii="Times New Roman" w:hAnsi="Times New Roman"/>
          <w:kern w:val="24"/>
          <w:sz w:val="20"/>
          <w:szCs w:val="20"/>
        </w:rPr>
        <w:footnoteRef/>
      </w:r>
      <w:bookmarkStart w:id="1433" w:name="_Hlk530922817"/>
      <w:r w:rsidRPr="001374DC">
        <w:rPr>
          <w:rFonts w:ascii="Times New Roman" w:hAnsi="Times New Roman" w:cs="Times New Roman"/>
          <w:smallCaps/>
          <w:kern w:val="24"/>
          <w:sz w:val="20"/>
          <w:szCs w:val="20"/>
          <w:lang w:val="en-US" w:eastAsia="fr-FR"/>
        </w:rPr>
        <w:t xml:space="preserve"> Sundararajan</w:t>
      </w:r>
      <w:r w:rsidRPr="001374DC">
        <w:rPr>
          <w:rFonts w:ascii="Times New Roman" w:hAnsi="Times New Roman" w:cs="Times New Roman"/>
          <w:kern w:val="24"/>
          <w:sz w:val="20"/>
          <w:szCs w:val="20"/>
          <w:lang w:val="en-US" w:eastAsia="fr-FR"/>
        </w:rPr>
        <w:t xml:space="preserve"> Vasudevan, </w:t>
      </w:r>
      <w:r w:rsidRPr="001374DC">
        <w:rPr>
          <w:rFonts w:ascii="Times New Roman" w:hAnsi="Times New Roman" w:cs="Times New Roman"/>
          <w:kern w:val="24"/>
          <w:sz w:val="20"/>
          <w:szCs w:val="20"/>
          <w:lang w:val="en-US"/>
        </w:rPr>
        <w:t>“</w:t>
      </w:r>
      <w:r w:rsidRPr="001374DC">
        <w:rPr>
          <w:rFonts w:ascii="Times New Roman" w:hAnsi="Times New Roman" w:cs="Times New Roman"/>
          <w:kern w:val="24"/>
          <w:sz w:val="20"/>
          <w:szCs w:val="20"/>
          <w:lang w:val="en-GB" w:eastAsia="fr-FR"/>
        </w:rPr>
        <w:t>Risk characteristics of Islamic product: implications for risk measurements and supervision”, WILEY &amp; SONS Edition, 2007, p. 58.</w:t>
      </w:r>
      <w:bookmarkEnd w:id="1433"/>
    </w:p>
  </w:footnote>
  <w:footnote w:id="391">
    <w:p w14:paraId="58484D34" w14:textId="30EA4A3F" w:rsidR="009C2D83" w:rsidRPr="001374DC" w:rsidRDefault="009C2D83" w:rsidP="001374DC">
      <w:pPr>
        <w:pStyle w:val="Notedebasdepage"/>
        <w:suppressAutoHyphens/>
        <w:rPr>
          <w:rFonts w:ascii="Times New Roman" w:hAnsi="Times New Roman" w:cs="Times New Roman"/>
          <w:kern w:val="24"/>
        </w:rPr>
      </w:pPr>
      <w:r w:rsidRPr="001374DC">
        <w:rPr>
          <w:rStyle w:val="Appelnotedebasdep"/>
          <w:rFonts w:ascii="Times New Roman" w:hAnsi="Times New Roman"/>
          <w:kern w:val="24"/>
        </w:rPr>
        <w:footnoteRef/>
      </w:r>
      <w:r w:rsidRPr="001374DC">
        <w:rPr>
          <w:rFonts w:ascii="Times New Roman" w:hAnsi="Times New Roman" w:cs="Times New Roman"/>
          <w:smallCaps/>
          <w:kern w:val="24"/>
        </w:rPr>
        <w:t xml:space="preserve"> Archer</w:t>
      </w:r>
      <w:r w:rsidRPr="001374DC">
        <w:rPr>
          <w:rFonts w:ascii="Times New Roman" w:hAnsi="Times New Roman" w:cs="Times New Roman"/>
          <w:kern w:val="24"/>
        </w:rPr>
        <w:t xml:space="preserve"> et </w:t>
      </w:r>
      <w:r w:rsidRPr="001374DC">
        <w:rPr>
          <w:rFonts w:ascii="Times New Roman" w:hAnsi="Times New Roman" w:cs="Times New Roman"/>
          <w:smallCaps/>
          <w:kern w:val="24"/>
        </w:rPr>
        <w:t>abdel</w:t>
      </w:r>
      <w:r w:rsidRPr="00264203">
        <w:rPr>
          <w:rFonts w:ascii="Times New Roman" w:hAnsi="Times New Roman" w:cs="Times New Roman"/>
          <w:smallCaps/>
          <w:kern w:val="24"/>
        </w:rPr>
        <w:t>k</w:t>
      </w:r>
      <w:r w:rsidRPr="001374DC">
        <w:rPr>
          <w:rFonts w:ascii="Times New Roman" w:hAnsi="Times New Roman" w:cs="Times New Roman"/>
          <w:smallCaps/>
          <w:kern w:val="24"/>
        </w:rPr>
        <w:t>arim</w:t>
      </w:r>
      <w:r w:rsidRPr="001374DC">
        <w:rPr>
          <w:rFonts w:ascii="Times New Roman" w:hAnsi="Times New Roman" w:cs="Times New Roman"/>
          <w:kern w:val="24"/>
        </w:rPr>
        <w:t>, 2006, référence citée, p. 275.</w:t>
      </w:r>
    </w:p>
  </w:footnote>
  <w:footnote w:id="392">
    <w:p w14:paraId="68C6B94D" w14:textId="77777777" w:rsidR="009C2D83" w:rsidRPr="001374DC" w:rsidRDefault="009C2D83" w:rsidP="001374DC">
      <w:pPr>
        <w:suppressAutoHyphens/>
        <w:autoSpaceDE w:val="0"/>
        <w:autoSpaceDN w:val="0"/>
        <w:adjustRightInd w:val="0"/>
        <w:spacing w:line="240" w:lineRule="auto"/>
        <w:rPr>
          <w:rFonts w:ascii="Times New Roman" w:hAnsi="Times New Roman" w:cs="Times New Roman"/>
          <w:b/>
          <w:bCs/>
          <w:kern w:val="24"/>
          <w:sz w:val="20"/>
          <w:szCs w:val="20"/>
          <w:lang w:val="en-GB" w:eastAsia="fr-FR"/>
        </w:rPr>
      </w:pPr>
      <w:r w:rsidRPr="001374DC">
        <w:rPr>
          <w:rStyle w:val="Appelnotedebasdep"/>
          <w:rFonts w:ascii="Times New Roman" w:hAnsi="Times New Roman"/>
          <w:kern w:val="24"/>
          <w:sz w:val="20"/>
          <w:szCs w:val="20"/>
        </w:rPr>
        <w:footnoteRef/>
      </w:r>
      <w:r w:rsidRPr="001374DC">
        <w:rPr>
          <w:rFonts w:ascii="Times New Roman" w:hAnsi="Times New Roman" w:cs="Times New Roman"/>
          <w:smallCaps/>
          <w:kern w:val="24"/>
          <w:sz w:val="20"/>
          <w:szCs w:val="20"/>
          <w:lang w:val="en-US" w:eastAsia="fr-FR"/>
        </w:rPr>
        <w:t xml:space="preserve"> Sundararajan</w:t>
      </w:r>
      <w:r w:rsidRPr="001374DC">
        <w:rPr>
          <w:rFonts w:ascii="Times New Roman" w:hAnsi="Times New Roman" w:cs="Times New Roman"/>
          <w:kern w:val="24"/>
          <w:sz w:val="20"/>
          <w:szCs w:val="20"/>
          <w:lang w:val="en-US" w:eastAsia="fr-FR"/>
        </w:rPr>
        <w:t xml:space="preserve"> Vijay,</w:t>
      </w:r>
      <w:r w:rsidRPr="001374DC">
        <w:rPr>
          <w:rFonts w:ascii="Times New Roman" w:hAnsi="Times New Roman" w:cs="Times New Roman"/>
          <w:kern w:val="24"/>
          <w:sz w:val="20"/>
          <w:szCs w:val="20"/>
          <w:lang w:val="en-GB" w:eastAsia="fr-FR"/>
        </w:rPr>
        <w:t xml:space="preserve"> “Issues in Managing Profit Equalisation Reserves and Investment Risk Reserves in Islamic Banks”, Journal of Islamic Economics, Banking and Finance N°4, 2008, p. 11.</w:t>
      </w:r>
    </w:p>
  </w:footnote>
  <w:footnote w:id="393">
    <w:p w14:paraId="2ABFB104" w14:textId="77777777" w:rsidR="009C2D83" w:rsidRPr="001374DC" w:rsidRDefault="009C2D83" w:rsidP="001374DC">
      <w:pPr>
        <w:pStyle w:val="Notedebasdepage"/>
        <w:tabs>
          <w:tab w:val="left" w:pos="142"/>
          <w:tab w:val="left" w:pos="8505"/>
        </w:tabs>
        <w:suppressAutoHyphens/>
        <w:rPr>
          <w:rFonts w:ascii="Times New Roman" w:hAnsi="Times New Roman" w:cs="Times New Roman"/>
          <w:kern w:val="24"/>
          <w:lang w:val="en-GB"/>
        </w:rPr>
      </w:pPr>
      <w:r w:rsidRPr="001374DC">
        <w:rPr>
          <w:rStyle w:val="Appelnotedebasdep"/>
          <w:rFonts w:ascii="Times New Roman" w:hAnsi="Times New Roman"/>
          <w:kern w:val="24"/>
        </w:rPr>
        <w:footnoteRef/>
      </w:r>
      <w:r w:rsidRPr="001374DC">
        <w:rPr>
          <w:rFonts w:ascii="Times New Roman" w:hAnsi="Times New Roman" w:cs="Times New Roman"/>
          <w:kern w:val="24"/>
          <w:lang w:val="en-GB"/>
        </w:rPr>
        <w:t xml:space="preserve"> Risk management guidelines for Islamic banking institutions: </w:t>
      </w:r>
      <w:hyperlink r:id="rId37" w:history="1">
        <w:r w:rsidRPr="001374DC">
          <w:rPr>
            <w:rStyle w:val="Lienhypertexte"/>
            <w:rFonts w:ascii="Times New Roman" w:hAnsi="Times New Roman" w:cs="Times New Roman"/>
            <w:kern w:val="24"/>
            <w:lang w:val="en-GB"/>
          </w:rPr>
          <w:t>http://www.sbp.org.pk/ibd/2008/Annex-c1.pdf</w:t>
        </w:r>
      </w:hyperlink>
      <w:r w:rsidRPr="001374DC">
        <w:rPr>
          <w:rFonts w:ascii="Times New Roman" w:hAnsi="Times New Roman" w:cs="Times New Roman"/>
          <w:kern w:val="24"/>
          <w:lang w:val="en-GB"/>
        </w:rPr>
        <w:t>.</w:t>
      </w:r>
    </w:p>
  </w:footnote>
  <w:footnote w:id="394">
    <w:p w14:paraId="16F6AB77" w14:textId="77777777" w:rsidR="009C2D83" w:rsidRPr="00E31AA6" w:rsidRDefault="009C2D83" w:rsidP="00560D19">
      <w:pPr>
        <w:pStyle w:val="Notedebasdepage"/>
        <w:rPr>
          <w:rFonts w:ascii="Times New Roman" w:hAnsi="Times New Roman" w:cs="Times New Roman"/>
          <w:lang w:val="en-GB"/>
        </w:rPr>
      </w:pPr>
      <w:r w:rsidRPr="00E31AA6">
        <w:rPr>
          <w:rStyle w:val="Appelnotedebasdep"/>
          <w:rFonts w:ascii="Times New Roman" w:hAnsi="Times New Roman"/>
        </w:rPr>
        <w:footnoteRef/>
      </w:r>
      <w:r w:rsidRPr="0028691E">
        <w:rPr>
          <w:rFonts w:ascii="Times New Roman" w:hAnsi="Times New Roman" w:cs="Times New Roman"/>
          <w:smallCaps/>
          <w:lang w:val="en-GB"/>
        </w:rPr>
        <w:t xml:space="preserve"> </w:t>
      </w:r>
      <w:r w:rsidRPr="00E31AA6">
        <w:rPr>
          <w:rFonts w:ascii="Times New Roman" w:hAnsi="Times New Roman" w:cs="Times New Roman"/>
          <w:smallCaps/>
          <w:lang w:val="en-GB"/>
        </w:rPr>
        <w:t>Bryman</w:t>
      </w:r>
      <w:r w:rsidRPr="00E31AA6">
        <w:rPr>
          <w:rFonts w:ascii="Times New Roman" w:hAnsi="Times New Roman" w:cs="Times New Roman"/>
          <w:lang w:val="en-GB"/>
        </w:rPr>
        <w:t xml:space="preserve"> Alan, “Social Research Methods”, 2nd ed, Oxford University Press, 2005, p. 18.</w:t>
      </w:r>
    </w:p>
  </w:footnote>
  <w:footnote w:id="395">
    <w:p w14:paraId="101CB2E0" w14:textId="77777777" w:rsidR="009C2D83" w:rsidRPr="00E31AA6" w:rsidRDefault="009C2D83" w:rsidP="00560D19">
      <w:pPr>
        <w:autoSpaceDE w:val="0"/>
        <w:autoSpaceDN w:val="0"/>
        <w:adjustRightInd w:val="0"/>
        <w:spacing w:line="240" w:lineRule="auto"/>
        <w:rPr>
          <w:rFonts w:ascii="Times New Roman" w:hAnsi="Times New Roman" w:cs="Times New Roman"/>
          <w:sz w:val="20"/>
          <w:szCs w:val="20"/>
          <w:lang w:val="en-GB"/>
        </w:rPr>
      </w:pPr>
      <w:r w:rsidRPr="00E31AA6">
        <w:rPr>
          <w:rStyle w:val="Appelnotedebasdep"/>
          <w:rFonts w:ascii="Times New Roman" w:hAnsi="Times New Roman"/>
          <w:sz w:val="20"/>
          <w:szCs w:val="20"/>
        </w:rPr>
        <w:footnoteRef/>
      </w:r>
      <w:r>
        <w:rPr>
          <w:rFonts w:ascii="Times New Roman" w:hAnsi="Times New Roman" w:cs="Times New Roman"/>
          <w:smallCaps/>
          <w:sz w:val="20"/>
          <w:szCs w:val="20"/>
          <w:lang w:val="en-GB"/>
        </w:rPr>
        <w:t xml:space="preserve"> </w:t>
      </w:r>
      <w:r w:rsidRPr="00E31AA6">
        <w:rPr>
          <w:rFonts w:ascii="Times New Roman" w:hAnsi="Times New Roman" w:cs="Times New Roman"/>
          <w:smallCaps/>
          <w:sz w:val="20"/>
          <w:szCs w:val="20"/>
          <w:lang w:val="en-GB"/>
        </w:rPr>
        <w:t xml:space="preserve">Creswell </w:t>
      </w:r>
      <w:r w:rsidRPr="00E31AA6">
        <w:rPr>
          <w:rFonts w:ascii="Times New Roman" w:hAnsi="Times New Roman" w:cs="Times New Roman"/>
          <w:sz w:val="20"/>
          <w:szCs w:val="20"/>
          <w:lang w:val="en-GB"/>
        </w:rPr>
        <w:t>John, “Research Design: Qualitative, Quantitative, and Mixed Methods Approaches”, 2nd edition, London: Sage Publications, 1997, pp55-56.</w:t>
      </w:r>
    </w:p>
  </w:footnote>
  <w:footnote w:id="396">
    <w:p w14:paraId="3806E928" w14:textId="77777777" w:rsidR="009C2D83" w:rsidRPr="00E31AA6" w:rsidRDefault="009C2D83" w:rsidP="00E31AA6">
      <w:pPr>
        <w:pStyle w:val="Notedebasdepage"/>
        <w:suppressAutoHyphens/>
        <w:rPr>
          <w:rFonts w:ascii="Times New Roman" w:hAnsi="Times New Roman" w:cs="Times New Roman"/>
          <w:lang w:val="en-GB"/>
        </w:rPr>
      </w:pPr>
      <w:r w:rsidRPr="00E31AA6">
        <w:rPr>
          <w:rStyle w:val="Appelnotedebasdep"/>
          <w:rFonts w:ascii="Times New Roman" w:hAnsi="Times New Roman"/>
        </w:rPr>
        <w:footnoteRef/>
      </w:r>
      <w:r>
        <w:rPr>
          <w:rFonts w:ascii="Times New Roman" w:hAnsi="Times New Roman" w:cs="Times New Roman"/>
          <w:smallCaps/>
          <w:lang w:val="en-GB"/>
        </w:rPr>
        <w:t xml:space="preserve"> </w:t>
      </w:r>
      <w:r w:rsidRPr="00E31AA6">
        <w:rPr>
          <w:rFonts w:ascii="Times New Roman" w:hAnsi="Times New Roman" w:cs="Times New Roman"/>
          <w:smallCaps/>
          <w:lang w:val="en-GB"/>
        </w:rPr>
        <w:t>Bryman</w:t>
      </w:r>
      <w:r w:rsidRPr="00E31AA6">
        <w:rPr>
          <w:rFonts w:ascii="Times New Roman" w:hAnsi="Times New Roman" w:cs="Times New Roman"/>
          <w:lang w:val="en-GB"/>
        </w:rPr>
        <w:t>, 2008, ouvrage cité, p. 23.</w:t>
      </w:r>
    </w:p>
  </w:footnote>
  <w:footnote w:id="397">
    <w:p w14:paraId="7C2B7CB1" w14:textId="77777777" w:rsidR="009C2D83" w:rsidRPr="00E31AA6" w:rsidRDefault="009C2D83" w:rsidP="00E31AA6">
      <w:pPr>
        <w:suppressAutoHyphens/>
        <w:autoSpaceDE w:val="0"/>
        <w:autoSpaceDN w:val="0"/>
        <w:adjustRightInd w:val="0"/>
        <w:spacing w:line="240" w:lineRule="auto"/>
        <w:rPr>
          <w:rFonts w:ascii="Times New Roman" w:hAnsi="Times New Roman" w:cs="Times New Roman"/>
          <w:sz w:val="20"/>
          <w:szCs w:val="20"/>
          <w:lang w:val="en-US"/>
        </w:rPr>
      </w:pPr>
      <w:r w:rsidRPr="00E31AA6">
        <w:rPr>
          <w:rStyle w:val="Appelnotedebasdep"/>
          <w:rFonts w:ascii="Times New Roman" w:hAnsi="Times New Roman"/>
          <w:sz w:val="20"/>
          <w:szCs w:val="20"/>
        </w:rPr>
        <w:footnoteRef/>
      </w:r>
      <w:r>
        <w:rPr>
          <w:rFonts w:ascii="Times New Roman" w:hAnsi="Times New Roman" w:cs="Times New Roman"/>
          <w:smallCaps/>
          <w:sz w:val="20"/>
          <w:szCs w:val="20"/>
          <w:lang w:val="en-GB"/>
        </w:rPr>
        <w:t xml:space="preserve"> </w:t>
      </w:r>
      <w:r w:rsidRPr="00E31AA6">
        <w:rPr>
          <w:rFonts w:ascii="Times New Roman" w:hAnsi="Times New Roman" w:cs="Times New Roman"/>
          <w:smallCaps/>
          <w:sz w:val="20"/>
          <w:szCs w:val="20"/>
          <w:lang w:val="en-GB"/>
        </w:rPr>
        <w:t>Creswell</w:t>
      </w:r>
      <w:r w:rsidRPr="00E31AA6">
        <w:rPr>
          <w:rFonts w:ascii="Times New Roman" w:hAnsi="Times New Roman" w:cs="Times New Roman"/>
          <w:sz w:val="20"/>
          <w:szCs w:val="20"/>
          <w:lang w:val="en-GB"/>
        </w:rPr>
        <w:t xml:space="preserve"> John and </w:t>
      </w:r>
      <w:r w:rsidRPr="00E31AA6">
        <w:rPr>
          <w:rFonts w:ascii="Times New Roman" w:hAnsi="Times New Roman" w:cs="Times New Roman"/>
          <w:smallCaps/>
          <w:sz w:val="20"/>
          <w:szCs w:val="20"/>
          <w:lang w:val="en-GB"/>
        </w:rPr>
        <w:t>Clark</w:t>
      </w:r>
      <w:r w:rsidRPr="00E31AA6">
        <w:rPr>
          <w:rFonts w:ascii="Times New Roman" w:hAnsi="Times New Roman" w:cs="Times New Roman"/>
          <w:sz w:val="20"/>
          <w:szCs w:val="20"/>
          <w:lang w:val="en-GB"/>
        </w:rPr>
        <w:t xml:space="preserve"> Vicki Plano, “Designing and Conducting Mixed Methods Research”, Thousand Oaks, Sage Publishing, 2011, p. 35.</w:t>
      </w:r>
    </w:p>
  </w:footnote>
  <w:footnote w:id="398">
    <w:p w14:paraId="2B5B9859" w14:textId="77777777" w:rsidR="009C2D83" w:rsidRPr="00E31AA6" w:rsidRDefault="009C2D83" w:rsidP="00E31AA6">
      <w:pPr>
        <w:pStyle w:val="Notedebasdepage"/>
        <w:suppressAutoHyphens/>
        <w:rPr>
          <w:rFonts w:ascii="Times New Roman" w:hAnsi="Times New Roman" w:cs="Times New Roman"/>
          <w:lang w:val="en-GB"/>
        </w:rPr>
      </w:pPr>
      <w:r w:rsidRPr="00E31AA6">
        <w:rPr>
          <w:rStyle w:val="Appelnotedebasdep"/>
          <w:rFonts w:ascii="Times New Roman" w:hAnsi="Times New Roman"/>
        </w:rPr>
        <w:footnoteRef/>
      </w:r>
      <w:r>
        <w:rPr>
          <w:rFonts w:ascii="Times New Roman" w:hAnsi="Times New Roman" w:cs="Times New Roman"/>
          <w:smallCaps/>
          <w:lang w:val="en-GB"/>
        </w:rPr>
        <w:t xml:space="preserve"> </w:t>
      </w:r>
      <w:r w:rsidRPr="00E31AA6">
        <w:rPr>
          <w:rFonts w:ascii="Times New Roman" w:hAnsi="Times New Roman" w:cs="Times New Roman"/>
          <w:smallCaps/>
          <w:lang w:val="en-GB"/>
        </w:rPr>
        <w:t>De Vaus</w:t>
      </w:r>
      <w:r w:rsidRPr="00E31AA6">
        <w:rPr>
          <w:rFonts w:ascii="Times New Roman" w:hAnsi="Times New Roman" w:cs="Times New Roman"/>
          <w:lang w:val="en-GB"/>
        </w:rPr>
        <w:t xml:space="preserve"> David, “Surveys in Social Research”, 5th edition, London: UCL Press, 2002, p. 33.</w:t>
      </w:r>
    </w:p>
  </w:footnote>
  <w:footnote w:id="399">
    <w:p w14:paraId="73F06685" w14:textId="77777777" w:rsidR="009C2D83" w:rsidRPr="00852582" w:rsidRDefault="009C2D83" w:rsidP="00E31AA6">
      <w:pPr>
        <w:pStyle w:val="Notedebasdepage"/>
        <w:suppressAutoHyphens/>
        <w:rPr>
          <w:rFonts w:ascii="Times New Roman" w:hAnsi="Times New Roman" w:cs="Times New Roman"/>
          <w:lang w:val="en-GB"/>
        </w:rPr>
      </w:pPr>
      <w:r w:rsidRPr="00E31AA6">
        <w:rPr>
          <w:rStyle w:val="Appelnotedebasdep"/>
          <w:rFonts w:ascii="Times New Roman" w:hAnsi="Times New Roman"/>
        </w:rPr>
        <w:footnoteRef/>
      </w:r>
      <w:r w:rsidRPr="00852582">
        <w:rPr>
          <w:rFonts w:ascii="Times New Roman" w:hAnsi="Times New Roman" w:cs="Times New Roman"/>
          <w:lang w:val="en-GB"/>
        </w:rPr>
        <w:t xml:space="preserve"> Ibid, p. 35.</w:t>
      </w:r>
    </w:p>
  </w:footnote>
  <w:footnote w:id="400">
    <w:p w14:paraId="6899F480" w14:textId="77777777" w:rsidR="009C2D83" w:rsidRPr="00852582" w:rsidRDefault="009C2D83" w:rsidP="00E31AA6">
      <w:pPr>
        <w:suppressAutoHyphens/>
        <w:autoSpaceDE w:val="0"/>
        <w:autoSpaceDN w:val="0"/>
        <w:adjustRightInd w:val="0"/>
        <w:spacing w:line="240" w:lineRule="auto"/>
        <w:rPr>
          <w:rFonts w:ascii="Times New Roman" w:hAnsi="Times New Roman" w:cs="Times New Roman"/>
          <w:i/>
          <w:iCs/>
          <w:sz w:val="20"/>
          <w:szCs w:val="20"/>
          <w:lang w:val="en-GB"/>
        </w:rPr>
      </w:pPr>
      <w:r w:rsidRPr="00E31AA6">
        <w:rPr>
          <w:rStyle w:val="Appelnotedebasdep"/>
          <w:rFonts w:ascii="Times New Roman" w:hAnsi="Times New Roman"/>
        </w:rPr>
        <w:footnoteRef/>
      </w:r>
      <w:r w:rsidRPr="00852582">
        <w:rPr>
          <w:rFonts w:ascii="Times New Roman" w:hAnsi="Times New Roman" w:cs="Times New Roman"/>
          <w:smallCaps/>
          <w:sz w:val="20"/>
          <w:szCs w:val="20"/>
          <w:lang w:val="en-GB"/>
        </w:rPr>
        <w:t xml:space="preserve"> Oppenheim</w:t>
      </w:r>
      <w:r w:rsidRPr="00852582">
        <w:rPr>
          <w:rFonts w:ascii="Times New Roman" w:hAnsi="Times New Roman" w:cs="Times New Roman"/>
          <w:sz w:val="20"/>
          <w:szCs w:val="20"/>
          <w:lang w:val="en-GB"/>
        </w:rPr>
        <w:t xml:space="preserve">. A, </w:t>
      </w:r>
      <w:r w:rsidRPr="00852582">
        <w:rPr>
          <w:rFonts w:ascii="Times New Roman" w:hAnsi="Times New Roman" w:cs="Times New Roman"/>
          <w:lang w:val="en-GB"/>
        </w:rPr>
        <w:t>“</w:t>
      </w:r>
      <w:r w:rsidRPr="00852582">
        <w:rPr>
          <w:rFonts w:ascii="Times New Roman" w:hAnsi="Times New Roman" w:cs="Times New Roman"/>
          <w:sz w:val="20"/>
          <w:szCs w:val="20"/>
          <w:lang w:val="en-GB"/>
        </w:rPr>
        <w:t>Questionnaire Design and Attitude Measurement</w:t>
      </w:r>
      <w:r w:rsidRPr="00852582">
        <w:rPr>
          <w:rFonts w:ascii="Times New Roman" w:hAnsi="Times New Roman" w:cs="Times New Roman"/>
          <w:lang w:val="en-GB"/>
        </w:rPr>
        <w:t>“</w:t>
      </w:r>
      <w:r w:rsidRPr="00852582">
        <w:rPr>
          <w:rFonts w:ascii="Times New Roman" w:hAnsi="Times New Roman" w:cs="Times New Roman"/>
          <w:sz w:val="20"/>
          <w:szCs w:val="20"/>
          <w:lang w:val="en-GB"/>
        </w:rPr>
        <w:t>, London : Printer Publishers, 2001, p. 54.</w:t>
      </w:r>
    </w:p>
  </w:footnote>
  <w:footnote w:id="401">
    <w:p w14:paraId="7545B9D3" w14:textId="77777777" w:rsidR="009C2D83" w:rsidRPr="007D0994" w:rsidRDefault="009C2D83" w:rsidP="00CC1C5A">
      <w:pPr>
        <w:pStyle w:val="Notedebasdepage"/>
        <w:suppressAutoHyphens/>
        <w:rPr>
          <w:rFonts w:ascii="Times New Roman" w:hAnsi="Times New Roman" w:cs="Times New Roman"/>
          <w:lang w:val="en-GB"/>
        </w:rPr>
      </w:pPr>
      <w:r w:rsidRPr="00CC1C5A">
        <w:rPr>
          <w:rStyle w:val="Appelnotedebasdep"/>
          <w:rFonts w:ascii="Times New Roman" w:hAnsi="Times New Roman"/>
        </w:rPr>
        <w:footnoteRef/>
      </w:r>
      <w:r w:rsidRPr="007D0994">
        <w:rPr>
          <w:rFonts w:ascii="Times New Roman" w:hAnsi="Times New Roman" w:cs="Times New Roman"/>
          <w:smallCaps/>
          <w:lang w:val="en-GB"/>
        </w:rPr>
        <w:t xml:space="preserve"> De Vaus</w:t>
      </w:r>
      <w:r w:rsidRPr="007D0994">
        <w:rPr>
          <w:rFonts w:ascii="Times New Roman" w:hAnsi="Times New Roman" w:cs="Times New Roman"/>
          <w:lang w:val="en-GB"/>
        </w:rPr>
        <w:t>, 2002, ouvrage cité, p. 78.</w:t>
      </w:r>
    </w:p>
  </w:footnote>
  <w:footnote w:id="402">
    <w:p w14:paraId="0EF6C001" w14:textId="77777777" w:rsidR="009C2D83" w:rsidRPr="007D0994" w:rsidRDefault="009C2D83" w:rsidP="00CC1C5A">
      <w:pPr>
        <w:pStyle w:val="Notedebasdepage"/>
        <w:suppressAutoHyphens/>
        <w:rPr>
          <w:rFonts w:ascii="Times New Roman" w:hAnsi="Times New Roman" w:cs="Times New Roman"/>
          <w:sz w:val="22"/>
          <w:szCs w:val="22"/>
          <w:lang w:val="en-GB"/>
        </w:rPr>
      </w:pPr>
      <w:r w:rsidRPr="00CC1C5A">
        <w:rPr>
          <w:rStyle w:val="Appelnotedebasdep"/>
          <w:rFonts w:ascii="Times New Roman" w:hAnsi="Times New Roman"/>
        </w:rPr>
        <w:footnoteRef/>
      </w:r>
      <w:r w:rsidRPr="007D0994">
        <w:rPr>
          <w:rFonts w:ascii="Times New Roman" w:hAnsi="Times New Roman" w:cs="Times New Roman"/>
          <w:lang w:val="en-GB"/>
        </w:rPr>
        <w:t xml:space="preserve"> Ibid, p. 58.</w:t>
      </w:r>
    </w:p>
  </w:footnote>
  <w:footnote w:id="403">
    <w:p w14:paraId="2B308CA7" w14:textId="77777777" w:rsidR="009C2D83" w:rsidRPr="00CC1C5A" w:rsidRDefault="009C2D83" w:rsidP="00CC1C5A">
      <w:pPr>
        <w:pStyle w:val="Notedebasdepage"/>
        <w:suppressAutoHyphens/>
        <w:rPr>
          <w:rFonts w:ascii="Times New Roman" w:hAnsi="Times New Roman" w:cs="Times New Roman"/>
        </w:rPr>
      </w:pPr>
      <w:r w:rsidRPr="00CC1C5A">
        <w:rPr>
          <w:rStyle w:val="Appelnotedebasdep"/>
          <w:rFonts w:ascii="Times New Roman" w:hAnsi="Times New Roman"/>
        </w:rPr>
        <w:footnoteRef/>
      </w:r>
      <w:r w:rsidRPr="00CC1C5A">
        <w:rPr>
          <w:rFonts w:ascii="Times New Roman" w:hAnsi="Times New Roman" w:cs="Times New Roman"/>
          <w:smallCaps/>
        </w:rPr>
        <w:t xml:space="preserve"> Creswell</w:t>
      </w:r>
      <w:r w:rsidRPr="00CC1C5A">
        <w:rPr>
          <w:rFonts w:ascii="Times New Roman" w:hAnsi="Times New Roman" w:cs="Times New Roman"/>
        </w:rPr>
        <w:t>, 1994, ouvrage cité, p. 82.</w:t>
      </w:r>
    </w:p>
  </w:footnote>
  <w:footnote w:id="404">
    <w:p w14:paraId="0090B58B" w14:textId="77777777" w:rsidR="009C2D83" w:rsidRPr="00CC1C5A" w:rsidRDefault="009C2D83" w:rsidP="00CC1C5A">
      <w:pPr>
        <w:pStyle w:val="Notedebasdepage"/>
        <w:suppressAutoHyphens/>
        <w:rPr>
          <w:rFonts w:ascii="Times New Roman" w:hAnsi="Times New Roman" w:cs="Times New Roman"/>
          <w:b/>
          <w:bCs/>
        </w:rPr>
      </w:pPr>
      <w:r w:rsidRPr="00CC1C5A">
        <w:rPr>
          <w:rStyle w:val="Appelnotedebasdep"/>
          <w:rFonts w:ascii="Times New Roman" w:hAnsi="Times New Roman"/>
        </w:rPr>
        <w:footnoteRef/>
      </w:r>
      <w:r w:rsidRPr="00CC1C5A">
        <w:rPr>
          <w:rFonts w:ascii="Times New Roman" w:hAnsi="Times New Roman" w:cs="Times New Roman"/>
          <w:smallCaps/>
        </w:rPr>
        <w:t xml:space="preserve"> Oppenheim</w:t>
      </w:r>
      <w:r w:rsidRPr="00CC1C5A">
        <w:rPr>
          <w:rFonts w:ascii="Times New Roman" w:hAnsi="Times New Roman" w:cs="Times New Roman"/>
        </w:rPr>
        <w:t>, 2001, ouvrage cité, p. 95.</w:t>
      </w:r>
    </w:p>
  </w:footnote>
  <w:footnote w:id="405">
    <w:p w14:paraId="4A9144ED" w14:textId="77777777" w:rsidR="009C2D83" w:rsidRPr="00E31AA6" w:rsidRDefault="009C2D83" w:rsidP="00CC1C5A">
      <w:pPr>
        <w:pStyle w:val="Notedebasdepage"/>
        <w:suppressAutoHyphens/>
        <w:rPr>
          <w:rFonts w:ascii="Times New Roman" w:hAnsi="Times New Roman" w:cs="Times New Roman"/>
          <w:sz w:val="22"/>
          <w:szCs w:val="22"/>
          <w:lang w:val="en-GB"/>
        </w:rPr>
      </w:pPr>
      <w:r w:rsidRPr="00CC1C5A">
        <w:rPr>
          <w:rStyle w:val="Appelnotedebasdep"/>
          <w:rFonts w:ascii="Times New Roman" w:hAnsi="Times New Roman"/>
        </w:rPr>
        <w:footnoteRef/>
      </w:r>
      <w:r>
        <w:rPr>
          <w:rFonts w:ascii="Times New Roman" w:hAnsi="Times New Roman" w:cs="Times New Roman"/>
          <w:lang w:val="en-GB"/>
        </w:rPr>
        <w:t xml:space="preserve"> Ibid</w:t>
      </w:r>
      <w:r w:rsidRPr="00CC1C5A">
        <w:rPr>
          <w:rFonts w:ascii="Times New Roman" w:hAnsi="Times New Roman" w:cs="Times New Roman"/>
          <w:lang w:val="en-GB"/>
        </w:rPr>
        <w:t>, p. 77-82.</w:t>
      </w:r>
    </w:p>
  </w:footnote>
  <w:footnote w:id="406">
    <w:p w14:paraId="420E111D" w14:textId="77777777" w:rsidR="009C2D83" w:rsidRPr="00E31AA6" w:rsidRDefault="009C2D83" w:rsidP="00E31AA6">
      <w:pPr>
        <w:suppressAutoHyphens/>
        <w:autoSpaceDE w:val="0"/>
        <w:autoSpaceDN w:val="0"/>
        <w:adjustRightInd w:val="0"/>
        <w:spacing w:line="240" w:lineRule="auto"/>
        <w:rPr>
          <w:rFonts w:ascii="Times New Roman" w:hAnsi="Times New Roman" w:cs="Times New Roman"/>
          <w:sz w:val="20"/>
          <w:szCs w:val="20"/>
          <w:lang w:val="en-GB"/>
        </w:rPr>
      </w:pPr>
      <w:r w:rsidRPr="00E31AA6">
        <w:rPr>
          <w:rStyle w:val="Appelnotedebasdep"/>
          <w:rFonts w:ascii="Times New Roman" w:hAnsi="Times New Roman"/>
        </w:rPr>
        <w:footnoteRef/>
      </w:r>
      <w:r>
        <w:rPr>
          <w:rFonts w:ascii="Times New Roman" w:hAnsi="Times New Roman" w:cs="Times New Roman"/>
          <w:smallCaps/>
          <w:kern w:val="24"/>
          <w:sz w:val="20"/>
          <w:szCs w:val="20"/>
          <w:lang w:val="en-GB"/>
        </w:rPr>
        <w:t xml:space="preserve"> </w:t>
      </w:r>
      <w:r w:rsidRPr="00E31AA6">
        <w:rPr>
          <w:rFonts w:ascii="Times New Roman" w:hAnsi="Times New Roman" w:cs="Times New Roman"/>
          <w:smallCaps/>
          <w:kern w:val="24"/>
          <w:sz w:val="20"/>
          <w:szCs w:val="20"/>
          <w:lang w:val="en-GB"/>
        </w:rPr>
        <w:t>Saunders</w:t>
      </w:r>
      <w:r w:rsidRPr="00E31AA6">
        <w:rPr>
          <w:rFonts w:ascii="Times New Roman" w:hAnsi="Times New Roman" w:cs="Times New Roman"/>
          <w:kern w:val="24"/>
          <w:sz w:val="20"/>
          <w:szCs w:val="20"/>
          <w:lang w:val="en-GB"/>
        </w:rPr>
        <w:t xml:space="preserve"> Mark</w:t>
      </w:r>
      <w:r w:rsidRPr="00E31AA6">
        <w:rPr>
          <w:rFonts w:ascii="Times New Roman" w:hAnsi="Times New Roman" w:cs="Times New Roman"/>
          <w:smallCaps/>
          <w:kern w:val="24"/>
          <w:sz w:val="20"/>
          <w:szCs w:val="20"/>
          <w:lang w:val="en-GB"/>
        </w:rPr>
        <w:t>, Lewis</w:t>
      </w:r>
      <w:r w:rsidRPr="00E31AA6">
        <w:rPr>
          <w:rFonts w:ascii="Times New Roman" w:hAnsi="Times New Roman" w:cs="Times New Roman"/>
          <w:kern w:val="24"/>
          <w:sz w:val="20"/>
          <w:szCs w:val="20"/>
          <w:lang w:val="en-GB"/>
        </w:rPr>
        <w:t xml:space="preserve"> Philip and </w:t>
      </w:r>
      <w:r w:rsidRPr="00E31AA6">
        <w:rPr>
          <w:rFonts w:ascii="Times New Roman" w:hAnsi="Times New Roman" w:cs="Times New Roman"/>
          <w:smallCaps/>
          <w:kern w:val="24"/>
          <w:sz w:val="20"/>
          <w:szCs w:val="20"/>
          <w:lang w:val="en-GB"/>
        </w:rPr>
        <w:t>Thornhill</w:t>
      </w:r>
      <w:r w:rsidRPr="00E31AA6">
        <w:rPr>
          <w:rFonts w:ascii="Times New Roman" w:hAnsi="Times New Roman" w:cs="Times New Roman"/>
          <w:kern w:val="24"/>
          <w:sz w:val="20"/>
          <w:szCs w:val="20"/>
          <w:lang w:val="en-GB"/>
        </w:rPr>
        <w:t xml:space="preserve"> Adrian, “Research methods for business students”</w:t>
      </w:r>
      <w:r w:rsidRPr="00E31AA6">
        <w:rPr>
          <w:rFonts w:ascii="Times New Roman" w:hAnsi="Times New Roman" w:cs="Times New Roman"/>
          <w:color w:val="000000"/>
          <w:kern w:val="24"/>
          <w:sz w:val="20"/>
          <w:szCs w:val="20"/>
          <w:lang w:val="en-GB"/>
        </w:rPr>
        <w:t xml:space="preserve">, </w:t>
      </w:r>
      <w:r w:rsidRPr="00E31AA6">
        <w:rPr>
          <w:rFonts w:ascii="Times New Roman" w:hAnsi="Times New Roman" w:cs="Times New Roman"/>
          <w:kern w:val="24"/>
          <w:sz w:val="20"/>
          <w:szCs w:val="20"/>
          <w:lang w:val="en-GB"/>
        </w:rPr>
        <w:t>4th edition London, Prentice Hall, 2007, p. 53.</w:t>
      </w:r>
    </w:p>
  </w:footnote>
  <w:footnote w:id="407">
    <w:p w14:paraId="30B362BF" w14:textId="77777777" w:rsidR="009C2D83" w:rsidRPr="00E31AA6" w:rsidRDefault="009C2D83" w:rsidP="00E31AA6">
      <w:pPr>
        <w:pStyle w:val="Notedebasdepage"/>
        <w:suppressAutoHyphens/>
        <w:rPr>
          <w:rFonts w:ascii="Times New Roman" w:hAnsi="Times New Roman" w:cs="Times New Roman"/>
          <w:lang w:val="en-GB"/>
        </w:rPr>
      </w:pPr>
      <w:r w:rsidRPr="00E31AA6">
        <w:rPr>
          <w:rStyle w:val="Appelnotedebasdep"/>
          <w:rFonts w:ascii="Times New Roman" w:hAnsi="Times New Roman"/>
          <w:sz w:val="22"/>
          <w:szCs w:val="22"/>
        </w:rPr>
        <w:footnoteRef/>
      </w:r>
      <w:r>
        <w:rPr>
          <w:rFonts w:ascii="Times New Roman" w:hAnsi="Times New Roman" w:cs="Times New Roman"/>
          <w:smallCaps/>
          <w:lang w:val="en-GB"/>
        </w:rPr>
        <w:t xml:space="preserve"> </w:t>
      </w:r>
      <w:r w:rsidRPr="00E31AA6">
        <w:rPr>
          <w:rFonts w:ascii="Times New Roman" w:hAnsi="Times New Roman" w:cs="Times New Roman"/>
          <w:smallCaps/>
          <w:lang w:val="en-GB"/>
        </w:rPr>
        <w:t>Howell</w:t>
      </w:r>
      <w:r w:rsidRPr="00E31AA6">
        <w:rPr>
          <w:rFonts w:ascii="Times New Roman" w:hAnsi="Times New Roman" w:cs="Times New Roman"/>
          <w:lang w:val="en-GB"/>
        </w:rPr>
        <w:t xml:space="preserve"> David, “Statistical Methods for Psychology”, 4th edition, Belmont, CA: Duxbury, 1997, p. 78.</w:t>
      </w:r>
    </w:p>
  </w:footnote>
  <w:footnote w:id="408">
    <w:p w14:paraId="6CE011BA" w14:textId="77777777" w:rsidR="009C2D83" w:rsidRPr="00E31AA6" w:rsidRDefault="009C2D83" w:rsidP="00E31AA6">
      <w:pPr>
        <w:pStyle w:val="Notedebasdepage"/>
        <w:suppressAutoHyphens/>
        <w:rPr>
          <w:rFonts w:ascii="Times New Roman" w:hAnsi="Times New Roman" w:cs="Times New Roman"/>
          <w:sz w:val="22"/>
          <w:szCs w:val="22"/>
        </w:rPr>
      </w:pPr>
      <w:r w:rsidRPr="00E31AA6">
        <w:rPr>
          <w:rStyle w:val="Appelnotedebasdep"/>
          <w:rFonts w:ascii="Times New Roman" w:hAnsi="Times New Roman"/>
        </w:rPr>
        <w:footnoteRef/>
      </w:r>
      <w:r>
        <w:rPr>
          <w:rFonts w:ascii="Times New Roman" w:hAnsi="Times New Roman" w:cs="Times New Roman"/>
          <w:smallCaps/>
        </w:rPr>
        <w:t xml:space="preserve"> </w:t>
      </w:r>
      <w:r w:rsidRPr="00E31AA6">
        <w:rPr>
          <w:rFonts w:ascii="Times New Roman" w:hAnsi="Times New Roman" w:cs="Times New Roman"/>
          <w:smallCaps/>
        </w:rPr>
        <w:t xml:space="preserve">Bassolé </w:t>
      </w:r>
      <w:r w:rsidRPr="00E31AA6">
        <w:rPr>
          <w:rFonts w:ascii="Times New Roman" w:hAnsi="Times New Roman" w:cs="Times New Roman"/>
        </w:rPr>
        <w:t>Léandre, « Responsabilité conjointe et performance des groupes de crédit », dans « Le développement face à la pauvreté », Réseau analyse économique et développement, Economica, 2006</w:t>
      </w:r>
      <w:r w:rsidRPr="00E31AA6">
        <w:rPr>
          <w:rFonts w:ascii="Times New Roman" w:hAnsi="Times New Roman" w:cs="Times New Roman"/>
          <w:sz w:val="22"/>
          <w:szCs w:val="22"/>
        </w:rPr>
        <w:t>, p. 132.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B889D" w14:textId="77777777" w:rsidR="009C2D83" w:rsidRDefault="009C2D83">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6DFDC" w14:textId="77777777" w:rsidR="009C2D83" w:rsidRDefault="009C2D83">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991D7" w14:textId="77777777" w:rsidR="009C2D83" w:rsidRDefault="009C2D83">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D59CA" w14:textId="77777777" w:rsidR="009C2D83" w:rsidRPr="009C2D83" w:rsidRDefault="009C2D83" w:rsidP="009C2D83">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922536"/>
    <w:lvl w:ilvl="0">
      <w:numFmt w:val="bullet"/>
      <w:lvlText w:val="*"/>
      <w:lvlJc w:val="left"/>
    </w:lvl>
  </w:abstractNum>
  <w:abstractNum w:abstractNumId="1" w15:restartNumberingAfterBreak="0">
    <w:nsid w:val="00DF0A30"/>
    <w:multiLevelType w:val="hybridMultilevel"/>
    <w:tmpl w:val="2586E842"/>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02F775C6"/>
    <w:multiLevelType w:val="hybridMultilevel"/>
    <w:tmpl w:val="1D68A8C8"/>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04032647"/>
    <w:multiLevelType w:val="hybridMultilevel"/>
    <w:tmpl w:val="6BDEB64C"/>
    <w:lvl w:ilvl="0" w:tplc="79482582">
      <w:numFmt w:val="bullet"/>
      <w:lvlText w:val="-"/>
      <w:lvlJc w:val="left"/>
      <w:pPr>
        <w:ind w:left="1571" w:hanging="360"/>
      </w:pPr>
      <w:rPr>
        <w:rFonts w:ascii="Calibri" w:eastAsiaTheme="minorHAnsi" w:hAnsi="Calibri" w:cstheme="minorBidi" w:hint="default"/>
        <w:sz w:val="28"/>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15:restartNumberingAfterBreak="0">
    <w:nsid w:val="056D67E0"/>
    <w:multiLevelType w:val="hybridMultilevel"/>
    <w:tmpl w:val="77E65730"/>
    <w:lvl w:ilvl="0" w:tplc="79482582">
      <w:numFmt w:val="bullet"/>
      <w:lvlText w:val="-"/>
      <w:lvlJc w:val="left"/>
      <w:pPr>
        <w:ind w:left="502" w:hanging="360"/>
      </w:pPr>
      <w:rPr>
        <w:rFonts w:ascii="Calibri" w:eastAsiaTheme="minorHAnsi" w:hAnsi="Calibri" w:cstheme="minorBidi" w:hint="default"/>
        <w:sz w:val="28"/>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07370804"/>
    <w:multiLevelType w:val="hybridMultilevel"/>
    <w:tmpl w:val="403EDA08"/>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 w15:restartNumberingAfterBreak="0">
    <w:nsid w:val="081A7E2A"/>
    <w:multiLevelType w:val="hybridMultilevel"/>
    <w:tmpl w:val="09BCDB9E"/>
    <w:lvl w:ilvl="0" w:tplc="79482582">
      <w:numFmt w:val="bullet"/>
      <w:lvlText w:val="-"/>
      <w:lvlJc w:val="left"/>
      <w:pPr>
        <w:ind w:left="1571" w:hanging="360"/>
      </w:pPr>
      <w:rPr>
        <w:rFonts w:ascii="Calibri" w:eastAsiaTheme="minorHAnsi" w:hAnsi="Calibri" w:cstheme="minorBidi" w:hint="default"/>
        <w:sz w:val="28"/>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15:restartNumberingAfterBreak="0">
    <w:nsid w:val="09064D4A"/>
    <w:multiLevelType w:val="hybridMultilevel"/>
    <w:tmpl w:val="964EC760"/>
    <w:lvl w:ilvl="0" w:tplc="040C000D">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8" w15:restartNumberingAfterBreak="0">
    <w:nsid w:val="090A77B7"/>
    <w:multiLevelType w:val="hybridMultilevel"/>
    <w:tmpl w:val="EB4EB7B6"/>
    <w:lvl w:ilvl="0" w:tplc="C742C8E6">
      <w:start w:val="4"/>
      <w:numFmt w:val="bullet"/>
      <w:lvlText w:val="-"/>
      <w:lvlJc w:val="left"/>
      <w:pPr>
        <w:ind w:left="1080" w:hanging="720"/>
      </w:pPr>
      <w:rPr>
        <w:rFonts w:ascii="Times New Roman" w:eastAsia="Calibri"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8F73C2"/>
    <w:multiLevelType w:val="hybridMultilevel"/>
    <w:tmpl w:val="66949D78"/>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0A5B00B8"/>
    <w:multiLevelType w:val="hybridMultilevel"/>
    <w:tmpl w:val="82FEB9AE"/>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0A84235A"/>
    <w:multiLevelType w:val="multilevel"/>
    <w:tmpl w:val="D2A0E9C0"/>
    <w:lvl w:ilvl="0">
      <w:start w:val="1"/>
      <w:numFmt w:val="decimal"/>
      <w:lvlText w:val="%1"/>
      <w:lvlJc w:val="left"/>
      <w:pPr>
        <w:ind w:left="432" w:hanging="432"/>
      </w:pPr>
      <w:rPr>
        <w:rFonts w:hint="default"/>
      </w:rPr>
    </w:lvl>
    <w:lvl w:ilvl="1">
      <w:start w:val="1"/>
      <w:numFmt w:val="decimal"/>
      <w:lvlText w:val="%1.%2"/>
      <w:lvlJc w:val="left"/>
      <w:pPr>
        <w:ind w:left="1711" w:hanging="576"/>
      </w:pPr>
      <w:rPr>
        <w:rFonts w:hint="default"/>
      </w:rPr>
    </w:lvl>
    <w:lvl w:ilvl="2">
      <w:start w:val="1"/>
      <w:numFmt w:val="none"/>
      <w:lvlText w:val="1.4"/>
      <w:lvlJc w:val="left"/>
      <w:pPr>
        <w:ind w:left="3414" w:hanging="720"/>
      </w:pPr>
      <w:rPr>
        <w:rFonts w:hint="default"/>
        <w:b/>
        <w:bCs/>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2.3.2.1"/>
      <w:lvlJc w:val="left"/>
      <w:pPr>
        <w:ind w:left="864" w:hanging="864"/>
      </w:pPr>
      <w:rPr>
        <w:rFonts w:hint="default"/>
      </w:rPr>
    </w:lvl>
    <w:lvl w:ilvl="4">
      <w:start w:val="1"/>
      <w:numFmt w:val="none"/>
      <w:lvlText w:val="2.3.2.2"/>
      <w:lvlJc w:val="left"/>
      <w:pPr>
        <w:ind w:left="1008" w:hanging="1008"/>
      </w:pPr>
      <w:rPr>
        <w:rFonts w:hint="default"/>
      </w:rPr>
    </w:lvl>
    <w:lvl w:ilvl="5">
      <w:start w:val="1"/>
      <w:numFmt w:val="none"/>
      <w:lvlText w:val="2.5.1.3.1"/>
      <w:lvlJc w:val="left"/>
      <w:pPr>
        <w:ind w:left="1152" w:hanging="1152"/>
      </w:pPr>
      <w:rPr>
        <w:rFonts w:hint="default"/>
      </w:rPr>
    </w:lvl>
    <w:lvl w:ilvl="6">
      <w:start w:val="1"/>
      <w:numFmt w:val="none"/>
      <w:lvlText w:val="1.4.3.4.2.2"/>
      <w:lvlJc w:val="left"/>
      <w:pPr>
        <w:ind w:left="1864"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B3E7B09"/>
    <w:multiLevelType w:val="hybridMultilevel"/>
    <w:tmpl w:val="3F10DA42"/>
    <w:lvl w:ilvl="0" w:tplc="040C000B">
      <w:start w:val="1"/>
      <w:numFmt w:val="bullet"/>
      <w:lvlText w:val=""/>
      <w:lvlJc w:val="left"/>
      <w:pPr>
        <w:ind w:left="2055" w:hanging="360"/>
      </w:pPr>
      <w:rPr>
        <w:rFonts w:ascii="Wingdings" w:hAnsi="Wingdings" w:hint="default"/>
      </w:rPr>
    </w:lvl>
    <w:lvl w:ilvl="1" w:tplc="040C0003" w:tentative="1">
      <w:start w:val="1"/>
      <w:numFmt w:val="bullet"/>
      <w:lvlText w:val="o"/>
      <w:lvlJc w:val="left"/>
      <w:pPr>
        <w:ind w:left="2775" w:hanging="360"/>
      </w:pPr>
      <w:rPr>
        <w:rFonts w:ascii="Courier New" w:hAnsi="Courier New" w:cs="Courier New" w:hint="default"/>
      </w:rPr>
    </w:lvl>
    <w:lvl w:ilvl="2" w:tplc="040C0005" w:tentative="1">
      <w:start w:val="1"/>
      <w:numFmt w:val="bullet"/>
      <w:lvlText w:val=""/>
      <w:lvlJc w:val="left"/>
      <w:pPr>
        <w:ind w:left="3495" w:hanging="360"/>
      </w:pPr>
      <w:rPr>
        <w:rFonts w:ascii="Wingdings" w:hAnsi="Wingdings" w:hint="default"/>
      </w:rPr>
    </w:lvl>
    <w:lvl w:ilvl="3" w:tplc="040C0001" w:tentative="1">
      <w:start w:val="1"/>
      <w:numFmt w:val="bullet"/>
      <w:lvlText w:val=""/>
      <w:lvlJc w:val="left"/>
      <w:pPr>
        <w:ind w:left="4215" w:hanging="360"/>
      </w:pPr>
      <w:rPr>
        <w:rFonts w:ascii="Symbol" w:hAnsi="Symbol" w:hint="default"/>
      </w:rPr>
    </w:lvl>
    <w:lvl w:ilvl="4" w:tplc="040C0003" w:tentative="1">
      <w:start w:val="1"/>
      <w:numFmt w:val="bullet"/>
      <w:lvlText w:val="o"/>
      <w:lvlJc w:val="left"/>
      <w:pPr>
        <w:ind w:left="4935" w:hanging="360"/>
      </w:pPr>
      <w:rPr>
        <w:rFonts w:ascii="Courier New" w:hAnsi="Courier New" w:cs="Courier New" w:hint="default"/>
      </w:rPr>
    </w:lvl>
    <w:lvl w:ilvl="5" w:tplc="040C0005" w:tentative="1">
      <w:start w:val="1"/>
      <w:numFmt w:val="bullet"/>
      <w:lvlText w:val=""/>
      <w:lvlJc w:val="left"/>
      <w:pPr>
        <w:ind w:left="5655" w:hanging="360"/>
      </w:pPr>
      <w:rPr>
        <w:rFonts w:ascii="Wingdings" w:hAnsi="Wingdings" w:hint="default"/>
      </w:rPr>
    </w:lvl>
    <w:lvl w:ilvl="6" w:tplc="040C0001" w:tentative="1">
      <w:start w:val="1"/>
      <w:numFmt w:val="bullet"/>
      <w:lvlText w:val=""/>
      <w:lvlJc w:val="left"/>
      <w:pPr>
        <w:ind w:left="6375" w:hanging="360"/>
      </w:pPr>
      <w:rPr>
        <w:rFonts w:ascii="Symbol" w:hAnsi="Symbol" w:hint="default"/>
      </w:rPr>
    </w:lvl>
    <w:lvl w:ilvl="7" w:tplc="040C0003" w:tentative="1">
      <w:start w:val="1"/>
      <w:numFmt w:val="bullet"/>
      <w:lvlText w:val="o"/>
      <w:lvlJc w:val="left"/>
      <w:pPr>
        <w:ind w:left="7095" w:hanging="360"/>
      </w:pPr>
      <w:rPr>
        <w:rFonts w:ascii="Courier New" w:hAnsi="Courier New" w:cs="Courier New" w:hint="default"/>
      </w:rPr>
    </w:lvl>
    <w:lvl w:ilvl="8" w:tplc="040C0005" w:tentative="1">
      <w:start w:val="1"/>
      <w:numFmt w:val="bullet"/>
      <w:lvlText w:val=""/>
      <w:lvlJc w:val="left"/>
      <w:pPr>
        <w:ind w:left="7815" w:hanging="360"/>
      </w:pPr>
      <w:rPr>
        <w:rFonts w:ascii="Wingdings" w:hAnsi="Wingdings" w:hint="default"/>
      </w:rPr>
    </w:lvl>
  </w:abstractNum>
  <w:abstractNum w:abstractNumId="13" w15:restartNumberingAfterBreak="0">
    <w:nsid w:val="0D192103"/>
    <w:multiLevelType w:val="hybridMultilevel"/>
    <w:tmpl w:val="9CA608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E1F7707"/>
    <w:multiLevelType w:val="hybridMultilevel"/>
    <w:tmpl w:val="9050CA0E"/>
    <w:lvl w:ilvl="0" w:tplc="040C0001">
      <w:start w:val="1"/>
      <w:numFmt w:val="bullet"/>
      <w:lvlText w:val=""/>
      <w:lvlJc w:val="left"/>
      <w:pPr>
        <w:ind w:left="1845" w:hanging="360"/>
      </w:pPr>
      <w:rPr>
        <w:rFonts w:ascii="Symbol" w:hAnsi="Symbol" w:hint="default"/>
      </w:rPr>
    </w:lvl>
    <w:lvl w:ilvl="1" w:tplc="040C0003" w:tentative="1">
      <w:start w:val="1"/>
      <w:numFmt w:val="bullet"/>
      <w:lvlText w:val="o"/>
      <w:lvlJc w:val="left"/>
      <w:pPr>
        <w:ind w:left="2565" w:hanging="360"/>
      </w:pPr>
      <w:rPr>
        <w:rFonts w:ascii="Courier New" w:hAnsi="Courier New" w:cs="Courier New" w:hint="default"/>
      </w:rPr>
    </w:lvl>
    <w:lvl w:ilvl="2" w:tplc="040C0005" w:tentative="1">
      <w:start w:val="1"/>
      <w:numFmt w:val="bullet"/>
      <w:lvlText w:val=""/>
      <w:lvlJc w:val="left"/>
      <w:pPr>
        <w:ind w:left="3285" w:hanging="360"/>
      </w:pPr>
      <w:rPr>
        <w:rFonts w:ascii="Wingdings" w:hAnsi="Wingdings" w:hint="default"/>
      </w:rPr>
    </w:lvl>
    <w:lvl w:ilvl="3" w:tplc="040C0001" w:tentative="1">
      <w:start w:val="1"/>
      <w:numFmt w:val="bullet"/>
      <w:lvlText w:val=""/>
      <w:lvlJc w:val="left"/>
      <w:pPr>
        <w:ind w:left="4005" w:hanging="360"/>
      </w:pPr>
      <w:rPr>
        <w:rFonts w:ascii="Symbol" w:hAnsi="Symbol" w:hint="default"/>
      </w:rPr>
    </w:lvl>
    <w:lvl w:ilvl="4" w:tplc="040C0003" w:tentative="1">
      <w:start w:val="1"/>
      <w:numFmt w:val="bullet"/>
      <w:lvlText w:val="o"/>
      <w:lvlJc w:val="left"/>
      <w:pPr>
        <w:ind w:left="4725" w:hanging="360"/>
      </w:pPr>
      <w:rPr>
        <w:rFonts w:ascii="Courier New" w:hAnsi="Courier New" w:cs="Courier New" w:hint="default"/>
      </w:rPr>
    </w:lvl>
    <w:lvl w:ilvl="5" w:tplc="040C0005" w:tentative="1">
      <w:start w:val="1"/>
      <w:numFmt w:val="bullet"/>
      <w:lvlText w:val=""/>
      <w:lvlJc w:val="left"/>
      <w:pPr>
        <w:ind w:left="5445" w:hanging="360"/>
      </w:pPr>
      <w:rPr>
        <w:rFonts w:ascii="Wingdings" w:hAnsi="Wingdings" w:hint="default"/>
      </w:rPr>
    </w:lvl>
    <w:lvl w:ilvl="6" w:tplc="040C0001" w:tentative="1">
      <w:start w:val="1"/>
      <w:numFmt w:val="bullet"/>
      <w:lvlText w:val=""/>
      <w:lvlJc w:val="left"/>
      <w:pPr>
        <w:ind w:left="6165" w:hanging="360"/>
      </w:pPr>
      <w:rPr>
        <w:rFonts w:ascii="Symbol" w:hAnsi="Symbol" w:hint="default"/>
      </w:rPr>
    </w:lvl>
    <w:lvl w:ilvl="7" w:tplc="040C0003" w:tentative="1">
      <w:start w:val="1"/>
      <w:numFmt w:val="bullet"/>
      <w:lvlText w:val="o"/>
      <w:lvlJc w:val="left"/>
      <w:pPr>
        <w:ind w:left="6885" w:hanging="360"/>
      </w:pPr>
      <w:rPr>
        <w:rFonts w:ascii="Courier New" w:hAnsi="Courier New" w:cs="Courier New" w:hint="default"/>
      </w:rPr>
    </w:lvl>
    <w:lvl w:ilvl="8" w:tplc="040C0005" w:tentative="1">
      <w:start w:val="1"/>
      <w:numFmt w:val="bullet"/>
      <w:lvlText w:val=""/>
      <w:lvlJc w:val="left"/>
      <w:pPr>
        <w:ind w:left="7605" w:hanging="360"/>
      </w:pPr>
      <w:rPr>
        <w:rFonts w:ascii="Wingdings" w:hAnsi="Wingdings" w:hint="default"/>
      </w:rPr>
    </w:lvl>
  </w:abstractNum>
  <w:abstractNum w:abstractNumId="15" w15:restartNumberingAfterBreak="0">
    <w:nsid w:val="0F2B081D"/>
    <w:multiLevelType w:val="hybridMultilevel"/>
    <w:tmpl w:val="F3B6364C"/>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15:restartNumberingAfterBreak="0">
    <w:nsid w:val="108323B9"/>
    <w:multiLevelType w:val="hybridMultilevel"/>
    <w:tmpl w:val="08A02D6A"/>
    <w:lvl w:ilvl="0" w:tplc="8CF86CE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7" w15:restartNumberingAfterBreak="0">
    <w:nsid w:val="13FA0F3B"/>
    <w:multiLevelType w:val="hybridMultilevel"/>
    <w:tmpl w:val="119E5790"/>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15:restartNumberingAfterBreak="0">
    <w:nsid w:val="1477583E"/>
    <w:multiLevelType w:val="hybridMultilevel"/>
    <w:tmpl w:val="1FB49F98"/>
    <w:lvl w:ilvl="0" w:tplc="040C0003">
      <w:start w:val="1"/>
      <w:numFmt w:val="bullet"/>
      <w:lvlText w:val="o"/>
      <w:lvlJc w:val="left"/>
      <w:pPr>
        <w:ind w:left="1571" w:hanging="360"/>
      </w:pPr>
      <w:rPr>
        <w:rFonts w:ascii="Courier New" w:hAnsi="Courier New" w:cs="Courier New"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15150346"/>
    <w:multiLevelType w:val="hybridMultilevel"/>
    <w:tmpl w:val="6DB2AB96"/>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159062BC"/>
    <w:multiLevelType w:val="hybridMultilevel"/>
    <w:tmpl w:val="261C848E"/>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168C2365"/>
    <w:multiLevelType w:val="hybridMultilevel"/>
    <w:tmpl w:val="1D8E346A"/>
    <w:lvl w:ilvl="0" w:tplc="040C000D">
      <w:start w:val="1"/>
      <w:numFmt w:val="bullet"/>
      <w:lvlText w:val=""/>
      <w:lvlJc w:val="left"/>
      <w:pPr>
        <w:ind w:left="2771"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 w15:restartNumberingAfterBreak="0">
    <w:nsid w:val="17CE6E67"/>
    <w:multiLevelType w:val="hybridMultilevel"/>
    <w:tmpl w:val="60169D3C"/>
    <w:lvl w:ilvl="0" w:tplc="040C0001">
      <w:start w:val="1"/>
      <w:numFmt w:val="bullet"/>
      <w:lvlText w:val=""/>
      <w:lvlJc w:val="left"/>
      <w:pPr>
        <w:ind w:left="2199" w:hanging="360"/>
      </w:pPr>
      <w:rPr>
        <w:rFonts w:ascii="Symbol" w:hAnsi="Symbol" w:hint="default"/>
      </w:rPr>
    </w:lvl>
    <w:lvl w:ilvl="1" w:tplc="040C0003" w:tentative="1">
      <w:start w:val="1"/>
      <w:numFmt w:val="bullet"/>
      <w:lvlText w:val="o"/>
      <w:lvlJc w:val="left"/>
      <w:pPr>
        <w:ind w:left="2286" w:hanging="360"/>
      </w:pPr>
      <w:rPr>
        <w:rFonts w:ascii="Courier New" w:hAnsi="Courier New" w:hint="default"/>
      </w:rPr>
    </w:lvl>
    <w:lvl w:ilvl="2" w:tplc="040C0005" w:tentative="1">
      <w:start w:val="1"/>
      <w:numFmt w:val="bullet"/>
      <w:lvlText w:val=""/>
      <w:lvlJc w:val="left"/>
      <w:pPr>
        <w:ind w:left="3006" w:hanging="360"/>
      </w:pPr>
      <w:rPr>
        <w:rFonts w:ascii="Wingdings" w:hAnsi="Wingdings" w:hint="default"/>
      </w:rPr>
    </w:lvl>
    <w:lvl w:ilvl="3" w:tplc="040C0001" w:tentative="1">
      <w:start w:val="1"/>
      <w:numFmt w:val="bullet"/>
      <w:lvlText w:val=""/>
      <w:lvlJc w:val="left"/>
      <w:pPr>
        <w:ind w:left="3726" w:hanging="360"/>
      </w:pPr>
      <w:rPr>
        <w:rFonts w:ascii="Symbol" w:hAnsi="Symbol" w:hint="default"/>
      </w:rPr>
    </w:lvl>
    <w:lvl w:ilvl="4" w:tplc="040C0003" w:tentative="1">
      <w:start w:val="1"/>
      <w:numFmt w:val="bullet"/>
      <w:lvlText w:val="o"/>
      <w:lvlJc w:val="left"/>
      <w:pPr>
        <w:ind w:left="4446" w:hanging="360"/>
      </w:pPr>
      <w:rPr>
        <w:rFonts w:ascii="Courier New" w:hAnsi="Courier New" w:hint="default"/>
      </w:rPr>
    </w:lvl>
    <w:lvl w:ilvl="5" w:tplc="040C0005" w:tentative="1">
      <w:start w:val="1"/>
      <w:numFmt w:val="bullet"/>
      <w:lvlText w:val=""/>
      <w:lvlJc w:val="left"/>
      <w:pPr>
        <w:ind w:left="5166" w:hanging="360"/>
      </w:pPr>
      <w:rPr>
        <w:rFonts w:ascii="Wingdings" w:hAnsi="Wingdings" w:hint="default"/>
      </w:rPr>
    </w:lvl>
    <w:lvl w:ilvl="6" w:tplc="040C0001" w:tentative="1">
      <w:start w:val="1"/>
      <w:numFmt w:val="bullet"/>
      <w:lvlText w:val=""/>
      <w:lvlJc w:val="left"/>
      <w:pPr>
        <w:ind w:left="5886" w:hanging="360"/>
      </w:pPr>
      <w:rPr>
        <w:rFonts w:ascii="Symbol" w:hAnsi="Symbol" w:hint="default"/>
      </w:rPr>
    </w:lvl>
    <w:lvl w:ilvl="7" w:tplc="040C0003" w:tentative="1">
      <w:start w:val="1"/>
      <w:numFmt w:val="bullet"/>
      <w:lvlText w:val="o"/>
      <w:lvlJc w:val="left"/>
      <w:pPr>
        <w:ind w:left="6606" w:hanging="360"/>
      </w:pPr>
      <w:rPr>
        <w:rFonts w:ascii="Courier New" w:hAnsi="Courier New" w:hint="default"/>
      </w:rPr>
    </w:lvl>
    <w:lvl w:ilvl="8" w:tplc="040C0005" w:tentative="1">
      <w:start w:val="1"/>
      <w:numFmt w:val="bullet"/>
      <w:lvlText w:val=""/>
      <w:lvlJc w:val="left"/>
      <w:pPr>
        <w:ind w:left="7326" w:hanging="360"/>
      </w:pPr>
      <w:rPr>
        <w:rFonts w:ascii="Wingdings" w:hAnsi="Wingdings" w:hint="default"/>
      </w:rPr>
    </w:lvl>
  </w:abstractNum>
  <w:abstractNum w:abstractNumId="23" w15:restartNumberingAfterBreak="0">
    <w:nsid w:val="191B46D5"/>
    <w:multiLevelType w:val="hybridMultilevel"/>
    <w:tmpl w:val="F43AF26C"/>
    <w:lvl w:ilvl="0" w:tplc="B9CC418C">
      <w:start w:val="1"/>
      <w:numFmt w:val="decimal"/>
      <w:lvlText w:val="(%1)"/>
      <w:lvlJc w:val="left"/>
      <w:pPr>
        <w:ind w:left="502"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1AE27DD1"/>
    <w:multiLevelType w:val="hybridMultilevel"/>
    <w:tmpl w:val="473E8136"/>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15:restartNumberingAfterBreak="0">
    <w:nsid w:val="1D2963E4"/>
    <w:multiLevelType w:val="hybridMultilevel"/>
    <w:tmpl w:val="0FDAA51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1DBB5062"/>
    <w:multiLevelType w:val="hybridMultilevel"/>
    <w:tmpl w:val="EEB2EB80"/>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1DC41FBD"/>
    <w:multiLevelType w:val="hybridMultilevel"/>
    <w:tmpl w:val="2876B864"/>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1ED76672"/>
    <w:multiLevelType w:val="hybridMultilevel"/>
    <w:tmpl w:val="FF4E221E"/>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15:restartNumberingAfterBreak="0">
    <w:nsid w:val="1F3B4EA2"/>
    <w:multiLevelType w:val="hybridMultilevel"/>
    <w:tmpl w:val="C8F053DC"/>
    <w:lvl w:ilvl="0" w:tplc="C742C8E6">
      <w:start w:val="4"/>
      <w:numFmt w:val="bullet"/>
      <w:lvlText w:val="-"/>
      <w:lvlJc w:val="left"/>
      <w:pPr>
        <w:ind w:left="1571" w:hanging="360"/>
      </w:pPr>
      <w:rPr>
        <w:rFonts w:ascii="Times New Roman" w:eastAsia="Calibri"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0" w15:restartNumberingAfterBreak="0">
    <w:nsid w:val="1F4F4849"/>
    <w:multiLevelType w:val="hybridMultilevel"/>
    <w:tmpl w:val="CE426A18"/>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15:restartNumberingAfterBreak="0">
    <w:nsid w:val="1FB75B33"/>
    <w:multiLevelType w:val="hybridMultilevel"/>
    <w:tmpl w:val="ED4CFE80"/>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2" w15:restartNumberingAfterBreak="0">
    <w:nsid w:val="206C7EBD"/>
    <w:multiLevelType w:val="hybridMultilevel"/>
    <w:tmpl w:val="704477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236500C5"/>
    <w:multiLevelType w:val="hybridMultilevel"/>
    <w:tmpl w:val="988E22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239A163F"/>
    <w:multiLevelType w:val="hybridMultilevel"/>
    <w:tmpl w:val="17DA5A5C"/>
    <w:lvl w:ilvl="0" w:tplc="040C0001">
      <w:start w:val="1"/>
      <w:numFmt w:val="bullet"/>
      <w:lvlText w:val=""/>
      <w:lvlJc w:val="left"/>
      <w:pPr>
        <w:ind w:left="720" w:hanging="360"/>
      </w:pPr>
      <w:rPr>
        <w:rFonts w:ascii="Symbol" w:hAnsi="Symbol" w:hint="default"/>
        <w:color w:val="00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5684496"/>
    <w:multiLevelType w:val="hybridMultilevel"/>
    <w:tmpl w:val="3A764CFE"/>
    <w:lvl w:ilvl="0" w:tplc="040C000D">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36" w15:restartNumberingAfterBreak="0">
    <w:nsid w:val="26937C5F"/>
    <w:multiLevelType w:val="hybridMultilevel"/>
    <w:tmpl w:val="AA94920E"/>
    <w:lvl w:ilvl="0" w:tplc="C742C8E6">
      <w:start w:val="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37" w15:restartNumberingAfterBreak="0">
    <w:nsid w:val="27372363"/>
    <w:multiLevelType w:val="hybridMultilevel"/>
    <w:tmpl w:val="69DA44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8FD1C1D"/>
    <w:multiLevelType w:val="hybridMultilevel"/>
    <w:tmpl w:val="6DB07F44"/>
    <w:lvl w:ilvl="0" w:tplc="440005D8">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9" w15:restartNumberingAfterBreak="0">
    <w:nsid w:val="295F6F09"/>
    <w:multiLevelType w:val="hybridMultilevel"/>
    <w:tmpl w:val="1974F2A4"/>
    <w:lvl w:ilvl="0" w:tplc="79482582">
      <w:numFmt w:val="bullet"/>
      <w:lvlText w:val="-"/>
      <w:lvlJc w:val="left"/>
      <w:pPr>
        <w:ind w:left="540" w:hanging="360"/>
      </w:pPr>
      <w:rPr>
        <w:rFonts w:ascii="Calibri" w:eastAsiaTheme="minorHAnsi" w:hAnsi="Calibri" w:cstheme="minorBidi" w:hint="default"/>
        <w:b/>
        <w:bCs/>
        <w:sz w:val="28"/>
      </w:rPr>
    </w:lvl>
    <w:lvl w:ilvl="1" w:tplc="040C0019" w:tentative="1">
      <w:start w:val="1"/>
      <w:numFmt w:val="bullet"/>
      <w:lvlText w:val="o"/>
      <w:lvlJc w:val="left"/>
      <w:pPr>
        <w:ind w:left="1260" w:hanging="360"/>
      </w:pPr>
      <w:rPr>
        <w:rFonts w:ascii="Courier New" w:hAnsi="Courier New" w:cs="Courier New" w:hint="default"/>
      </w:rPr>
    </w:lvl>
    <w:lvl w:ilvl="2" w:tplc="040C001B" w:tentative="1">
      <w:start w:val="1"/>
      <w:numFmt w:val="bullet"/>
      <w:lvlText w:val=""/>
      <w:lvlJc w:val="left"/>
      <w:pPr>
        <w:ind w:left="1980" w:hanging="360"/>
      </w:pPr>
      <w:rPr>
        <w:rFonts w:ascii="Wingdings" w:hAnsi="Wingdings" w:hint="default"/>
      </w:rPr>
    </w:lvl>
    <w:lvl w:ilvl="3" w:tplc="040C000F" w:tentative="1">
      <w:start w:val="1"/>
      <w:numFmt w:val="bullet"/>
      <w:lvlText w:val=""/>
      <w:lvlJc w:val="left"/>
      <w:pPr>
        <w:ind w:left="2700" w:hanging="360"/>
      </w:pPr>
      <w:rPr>
        <w:rFonts w:ascii="Symbol" w:hAnsi="Symbol" w:hint="default"/>
      </w:rPr>
    </w:lvl>
    <w:lvl w:ilvl="4" w:tplc="040C0019" w:tentative="1">
      <w:start w:val="1"/>
      <w:numFmt w:val="bullet"/>
      <w:lvlText w:val="o"/>
      <w:lvlJc w:val="left"/>
      <w:pPr>
        <w:ind w:left="3420" w:hanging="360"/>
      </w:pPr>
      <w:rPr>
        <w:rFonts w:ascii="Courier New" w:hAnsi="Courier New" w:cs="Courier New" w:hint="default"/>
      </w:rPr>
    </w:lvl>
    <w:lvl w:ilvl="5" w:tplc="040C001B" w:tentative="1">
      <w:start w:val="1"/>
      <w:numFmt w:val="bullet"/>
      <w:lvlText w:val=""/>
      <w:lvlJc w:val="left"/>
      <w:pPr>
        <w:ind w:left="4140" w:hanging="360"/>
      </w:pPr>
      <w:rPr>
        <w:rFonts w:ascii="Wingdings" w:hAnsi="Wingdings" w:hint="default"/>
      </w:rPr>
    </w:lvl>
    <w:lvl w:ilvl="6" w:tplc="040C000F" w:tentative="1">
      <w:start w:val="1"/>
      <w:numFmt w:val="bullet"/>
      <w:lvlText w:val=""/>
      <w:lvlJc w:val="left"/>
      <w:pPr>
        <w:ind w:left="4860" w:hanging="360"/>
      </w:pPr>
      <w:rPr>
        <w:rFonts w:ascii="Symbol" w:hAnsi="Symbol" w:hint="default"/>
      </w:rPr>
    </w:lvl>
    <w:lvl w:ilvl="7" w:tplc="040C0019" w:tentative="1">
      <w:start w:val="1"/>
      <w:numFmt w:val="bullet"/>
      <w:lvlText w:val="o"/>
      <w:lvlJc w:val="left"/>
      <w:pPr>
        <w:ind w:left="5580" w:hanging="360"/>
      </w:pPr>
      <w:rPr>
        <w:rFonts w:ascii="Courier New" w:hAnsi="Courier New" w:cs="Courier New" w:hint="default"/>
      </w:rPr>
    </w:lvl>
    <w:lvl w:ilvl="8" w:tplc="040C001B" w:tentative="1">
      <w:start w:val="1"/>
      <w:numFmt w:val="bullet"/>
      <w:lvlText w:val=""/>
      <w:lvlJc w:val="left"/>
      <w:pPr>
        <w:ind w:left="6300" w:hanging="360"/>
      </w:pPr>
      <w:rPr>
        <w:rFonts w:ascii="Wingdings" w:hAnsi="Wingdings" w:hint="default"/>
      </w:rPr>
    </w:lvl>
  </w:abstractNum>
  <w:abstractNum w:abstractNumId="40" w15:restartNumberingAfterBreak="0">
    <w:nsid w:val="2BAA4A2F"/>
    <w:multiLevelType w:val="hybridMultilevel"/>
    <w:tmpl w:val="6CD82148"/>
    <w:lvl w:ilvl="0" w:tplc="040C0009">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15:restartNumberingAfterBreak="0">
    <w:nsid w:val="2C932F5F"/>
    <w:multiLevelType w:val="hybridMultilevel"/>
    <w:tmpl w:val="3DC66310"/>
    <w:lvl w:ilvl="0" w:tplc="C742C8E6">
      <w:start w:val="4"/>
      <w:numFmt w:val="bullet"/>
      <w:lvlText w:val="-"/>
      <w:lvlJc w:val="left"/>
      <w:pPr>
        <w:ind w:left="862" w:hanging="720"/>
      </w:pPr>
      <w:rPr>
        <w:rFonts w:ascii="Times New Roman" w:eastAsia="Calibri"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2CA20B55"/>
    <w:multiLevelType w:val="multilevel"/>
    <w:tmpl w:val="D702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D734FBA"/>
    <w:multiLevelType w:val="hybridMultilevel"/>
    <w:tmpl w:val="F8FEC65C"/>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44" w15:restartNumberingAfterBreak="0">
    <w:nsid w:val="2F1E3D17"/>
    <w:multiLevelType w:val="hybridMultilevel"/>
    <w:tmpl w:val="B51EBCDA"/>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5" w15:restartNumberingAfterBreak="0">
    <w:nsid w:val="2F951888"/>
    <w:multiLevelType w:val="multilevel"/>
    <w:tmpl w:val="D368D44C"/>
    <w:lvl w:ilvl="0">
      <w:start w:val="1"/>
      <w:numFmt w:val="decimal"/>
      <w:lvlText w:val="%1"/>
      <w:lvlJc w:val="left"/>
      <w:pPr>
        <w:ind w:left="432" w:hanging="432"/>
      </w:pPr>
      <w:rPr>
        <w:rFonts w:hint="default"/>
      </w:rPr>
    </w:lvl>
    <w:lvl w:ilvl="1">
      <w:start w:val="1"/>
      <w:numFmt w:val="decimal"/>
      <w:lvlText w:val="%1.%2"/>
      <w:lvlJc w:val="left"/>
      <w:pPr>
        <w:ind w:left="1711" w:hanging="576"/>
      </w:pPr>
      <w:rPr>
        <w:rFonts w:hint="default"/>
      </w:rPr>
    </w:lvl>
    <w:lvl w:ilvl="2">
      <w:start w:val="1"/>
      <w:numFmt w:val="none"/>
      <w:lvlText w:val="1.4"/>
      <w:lvlJc w:val="left"/>
      <w:pPr>
        <w:ind w:left="3414" w:hanging="720"/>
      </w:pPr>
      <w:rPr>
        <w:rFonts w:hint="default"/>
        <w:b/>
        <w:bCs/>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2.1.4.4"/>
      <w:lvlJc w:val="left"/>
      <w:pPr>
        <w:ind w:left="864" w:hanging="864"/>
      </w:pPr>
      <w:rPr>
        <w:rFonts w:hint="default"/>
      </w:rPr>
    </w:lvl>
    <w:lvl w:ilvl="4">
      <w:start w:val="1"/>
      <w:numFmt w:val="none"/>
      <w:lvlText w:val="2.1.4.4"/>
      <w:lvlJc w:val="left"/>
      <w:pPr>
        <w:ind w:left="1008" w:hanging="1008"/>
      </w:pPr>
      <w:rPr>
        <w:rFonts w:hint="default"/>
      </w:rPr>
    </w:lvl>
    <w:lvl w:ilvl="5">
      <w:start w:val="1"/>
      <w:numFmt w:val="none"/>
      <w:lvlText w:val="2.5.1.3.1"/>
      <w:lvlJc w:val="left"/>
      <w:pPr>
        <w:ind w:left="1152" w:hanging="1152"/>
      </w:pPr>
      <w:rPr>
        <w:rFonts w:hint="default"/>
      </w:rPr>
    </w:lvl>
    <w:lvl w:ilvl="6">
      <w:start w:val="1"/>
      <w:numFmt w:val="none"/>
      <w:lvlText w:val="1.4.3.4.2.2"/>
      <w:lvlJc w:val="left"/>
      <w:pPr>
        <w:ind w:left="1864"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30462DF3"/>
    <w:multiLevelType w:val="hybridMultilevel"/>
    <w:tmpl w:val="12A4918C"/>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7" w15:restartNumberingAfterBreak="0">
    <w:nsid w:val="324540EE"/>
    <w:multiLevelType w:val="hybridMultilevel"/>
    <w:tmpl w:val="74B84968"/>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8" w15:restartNumberingAfterBreak="0">
    <w:nsid w:val="34236DEE"/>
    <w:multiLevelType w:val="hybridMultilevel"/>
    <w:tmpl w:val="084233CC"/>
    <w:lvl w:ilvl="0" w:tplc="C742C8E6">
      <w:start w:val="4"/>
      <w:numFmt w:val="bullet"/>
      <w:lvlText w:val="-"/>
      <w:lvlJc w:val="left"/>
      <w:pPr>
        <w:ind w:left="780" w:hanging="360"/>
      </w:pPr>
      <w:rPr>
        <w:rFonts w:ascii="Times New Roman" w:eastAsia="Calibri"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9" w15:restartNumberingAfterBreak="0">
    <w:nsid w:val="34AD1612"/>
    <w:multiLevelType w:val="hybridMultilevel"/>
    <w:tmpl w:val="57E8B878"/>
    <w:lvl w:ilvl="0" w:tplc="6C92B98A">
      <w:start w:val="1"/>
      <w:numFmt w:val="lowerLetter"/>
      <w:lvlText w:val="%1)"/>
      <w:lvlJc w:val="left"/>
      <w:pPr>
        <w:ind w:left="1211" w:hanging="360"/>
      </w:pPr>
      <w:rPr>
        <w:rFonts w:hint="default"/>
        <w:b w:val="0"/>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50" w15:restartNumberingAfterBreak="0">
    <w:nsid w:val="35C15EA9"/>
    <w:multiLevelType w:val="hybridMultilevel"/>
    <w:tmpl w:val="73BC9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5CD38E4"/>
    <w:multiLevelType w:val="hybridMultilevel"/>
    <w:tmpl w:val="84681CE0"/>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2" w15:restartNumberingAfterBreak="0">
    <w:nsid w:val="36424238"/>
    <w:multiLevelType w:val="hybridMultilevel"/>
    <w:tmpl w:val="66DC663E"/>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3" w15:restartNumberingAfterBreak="0">
    <w:nsid w:val="3691165C"/>
    <w:multiLevelType w:val="multilevel"/>
    <w:tmpl w:val="49DCF8CA"/>
    <w:styleLink w:val="Style3"/>
    <w:lvl w:ilvl="0">
      <w:start w:val="1"/>
      <w:numFmt w:val="decimal"/>
      <w:lvlText w:val="%1"/>
      <w:lvlJc w:val="left"/>
      <w:pPr>
        <w:ind w:left="432" w:hanging="432"/>
      </w:pPr>
      <w:rPr>
        <w:rFonts w:hint="default"/>
      </w:rPr>
    </w:lvl>
    <w:lvl w:ilvl="1">
      <w:start w:val="1"/>
      <w:numFmt w:val="decimal"/>
      <w:lvlText w:val="%1.%2"/>
      <w:lvlJc w:val="left"/>
      <w:pPr>
        <w:ind w:left="1711" w:hanging="576"/>
      </w:pPr>
      <w:rPr>
        <w:rFonts w:hint="default"/>
      </w:rPr>
    </w:lvl>
    <w:lvl w:ilvl="2">
      <w:start w:val="1"/>
      <w:numFmt w:val="decimal"/>
      <w:lvlText w:val="%1.%2.%3"/>
      <w:lvlJc w:val="left"/>
      <w:pPr>
        <w:ind w:left="3414" w:hanging="720"/>
      </w:pPr>
      <w:rPr>
        <w:rFonts w:hint="default"/>
        <w:b/>
        <w:bCs/>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37213160"/>
    <w:multiLevelType w:val="hybridMultilevel"/>
    <w:tmpl w:val="E19CDEDA"/>
    <w:lvl w:ilvl="0" w:tplc="94A4BDC6">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15:restartNumberingAfterBreak="0">
    <w:nsid w:val="37E74BBB"/>
    <w:multiLevelType w:val="hybridMultilevel"/>
    <w:tmpl w:val="2B1ADEDA"/>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6" w15:restartNumberingAfterBreak="0">
    <w:nsid w:val="394B310E"/>
    <w:multiLevelType w:val="hybridMultilevel"/>
    <w:tmpl w:val="3D70859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7" w15:restartNumberingAfterBreak="0">
    <w:nsid w:val="3B2E07CB"/>
    <w:multiLevelType w:val="hybridMultilevel"/>
    <w:tmpl w:val="65C24BC6"/>
    <w:lvl w:ilvl="0" w:tplc="79482582">
      <w:numFmt w:val="bullet"/>
      <w:lvlText w:val="-"/>
      <w:lvlJc w:val="left"/>
      <w:pPr>
        <w:ind w:left="6456" w:hanging="360"/>
      </w:pPr>
      <w:rPr>
        <w:rFonts w:ascii="Calibri" w:eastAsiaTheme="minorHAnsi" w:hAnsi="Calibri" w:cstheme="minorBidi" w:hint="default"/>
        <w:sz w:val="28"/>
      </w:rPr>
    </w:lvl>
    <w:lvl w:ilvl="1" w:tplc="040C0003" w:tentative="1">
      <w:start w:val="1"/>
      <w:numFmt w:val="bullet"/>
      <w:lvlText w:val="o"/>
      <w:lvlJc w:val="left"/>
      <w:pPr>
        <w:ind w:left="7176" w:hanging="360"/>
      </w:pPr>
      <w:rPr>
        <w:rFonts w:ascii="Courier New" w:hAnsi="Courier New" w:cs="Courier New" w:hint="default"/>
      </w:rPr>
    </w:lvl>
    <w:lvl w:ilvl="2" w:tplc="040C0005" w:tentative="1">
      <w:start w:val="1"/>
      <w:numFmt w:val="bullet"/>
      <w:lvlText w:val=""/>
      <w:lvlJc w:val="left"/>
      <w:pPr>
        <w:ind w:left="7896" w:hanging="360"/>
      </w:pPr>
      <w:rPr>
        <w:rFonts w:ascii="Wingdings" w:hAnsi="Wingdings" w:hint="default"/>
      </w:rPr>
    </w:lvl>
    <w:lvl w:ilvl="3" w:tplc="040C0001" w:tentative="1">
      <w:start w:val="1"/>
      <w:numFmt w:val="bullet"/>
      <w:lvlText w:val=""/>
      <w:lvlJc w:val="left"/>
      <w:pPr>
        <w:ind w:left="8616" w:hanging="360"/>
      </w:pPr>
      <w:rPr>
        <w:rFonts w:ascii="Symbol" w:hAnsi="Symbol" w:hint="default"/>
      </w:rPr>
    </w:lvl>
    <w:lvl w:ilvl="4" w:tplc="040C0003" w:tentative="1">
      <w:start w:val="1"/>
      <w:numFmt w:val="bullet"/>
      <w:lvlText w:val="o"/>
      <w:lvlJc w:val="left"/>
      <w:pPr>
        <w:ind w:left="9336" w:hanging="360"/>
      </w:pPr>
      <w:rPr>
        <w:rFonts w:ascii="Courier New" w:hAnsi="Courier New" w:cs="Courier New" w:hint="default"/>
      </w:rPr>
    </w:lvl>
    <w:lvl w:ilvl="5" w:tplc="040C0005" w:tentative="1">
      <w:start w:val="1"/>
      <w:numFmt w:val="bullet"/>
      <w:lvlText w:val=""/>
      <w:lvlJc w:val="left"/>
      <w:pPr>
        <w:ind w:left="10056" w:hanging="360"/>
      </w:pPr>
      <w:rPr>
        <w:rFonts w:ascii="Wingdings" w:hAnsi="Wingdings" w:hint="default"/>
      </w:rPr>
    </w:lvl>
    <w:lvl w:ilvl="6" w:tplc="040C0001" w:tentative="1">
      <w:start w:val="1"/>
      <w:numFmt w:val="bullet"/>
      <w:lvlText w:val=""/>
      <w:lvlJc w:val="left"/>
      <w:pPr>
        <w:ind w:left="10776" w:hanging="360"/>
      </w:pPr>
      <w:rPr>
        <w:rFonts w:ascii="Symbol" w:hAnsi="Symbol" w:hint="default"/>
      </w:rPr>
    </w:lvl>
    <w:lvl w:ilvl="7" w:tplc="040C0003" w:tentative="1">
      <w:start w:val="1"/>
      <w:numFmt w:val="bullet"/>
      <w:lvlText w:val="o"/>
      <w:lvlJc w:val="left"/>
      <w:pPr>
        <w:ind w:left="11496" w:hanging="360"/>
      </w:pPr>
      <w:rPr>
        <w:rFonts w:ascii="Courier New" w:hAnsi="Courier New" w:cs="Courier New" w:hint="default"/>
      </w:rPr>
    </w:lvl>
    <w:lvl w:ilvl="8" w:tplc="040C0005" w:tentative="1">
      <w:start w:val="1"/>
      <w:numFmt w:val="bullet"/>
      <w:lvlText w:val=""/>
      <w:lvlJc w:val="left"/>
      <w:pPr>
        <w:ind w:left="12216" w:hanging="360"/>
      </w:pPr>
      <w:rPr>
        <w:rFonts w:ascii="Wingdings" w:hAnsi="Wingdings" w:hint="default"/>
      </w:rPr>
    </w:lvl>
  </w:abstractNum>
  <w:abstractNum w:abstractNumId="58" w15:restartNumberingAfterBreak="0">
    <w:nsid w:val="3B782208"/>
    <w:multiLevelType w:val="hybridMultilevel"/>
    <w:tmpl w:val="AD54DB94"/>
    <w:lvl w:ilvl="0" w:tplc="51BC1E9A">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9" w15:restartNumberingAfterBreak="0">
    <w:nsid w:val="3B7D6FF1"/>
    <w:multiLevelType w:val="hybridMultilevel"/>
    <w:tmpl w:val="6A4EC224"/>
    <w:lvl w:ilvl="0" w:tplc="C742C8E6">
      <w:start w:val="4"/>
      <w:numFmt w:val="bullet"/>
      <w:lvlText w:val="-"/>
      <w:lvlJc w:val="left"/>
      <w:pPr>
        <w:ind w:left="1571" w:hanging="360"/>
      </w:pPr>
      <w:rPr>
        <w:rFonts w:ascii="Times New Roman" w:eastAsia="Calibri"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0" w15:restartNumberingAfterBreak="0">
    <w:nsid w:val="3BF13B43"/>
    <w:multiLevelType w:val="hybridMultilevel"/>
    <w:tmpl w:val="8F00761E"/>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1" w15:restartNumberingAfterBreak="0">
    <w:nsid w:val="3D6C12BD"/>
    <w:multiLevelType w:val="hybridMultilevel"/>
    <w:tmpl w:val="22DEF5C4"/>
    <w:lvl w:ilvl="0" w:tplc="995CE0E4">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2" w15:restartNumberingAfterBreak="0">
    <w:nsid w:val="416B5DB1"/>
    <w:multiLevelType w:val="hybridMultilevel"/>
    <w:tmpl w:val="759EB766"/>
    <w:lvl w:ilvl="0" w:tplc="62A02850">
      <w:start w:val="1"/>
      <w:numFmt w:val="lowerLetter"/>
      <w:lvlText w:val="%1-"/>
      <w:lvlJc w:val="left"/>
      <w:pPr>
        <w:ind w:left="1069" w:hanging="360"/>
      </w:pPr>
      <w:rPr>
        <w:rFonts w:hint="default"/>
        <w:b/>
        <w:bCs/>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63" w15:restartNumberingAfterBreak="0">
    <w:nsid w:val="41714350"/>
    <w:multiLevelType w:val="hybridMultilevel"/>
    <w:tmpl w:val="4F2E2708"/>
    <w:lvl w:ilvl="0" w:tplc="CA02381E">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4" w15:restartNumberingAfterBreak="0">
    <w:nsid w:val="41AD3AAD"/>
    <w:multiLevelType w:val="hybridMultilevel"/>
    <w:tmpl w:val="842E5260"/>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5" w15:restartNumberingAfterBreak="0">
    <w:nsid w:val="41FD3FFA"/>
    <w:multiLevelType w:val="hybridMultilevel"/>
    <w:tmpl w:val="F2B0E5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2D51CE0"/>
    <w:multiLevelType w:val="hybridMultilevel"/>
    <w:tmpl w:val="E2E61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4AD65D0"/>
    <w:multiLevelType w:val="hybridMultilevel"/>
    <w:tmpl w:val="85661B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50C3024"/>
    <w:multiLevelType w:val="hybridMultilevel"/>
    <w:tmpl w:val="26722D5E"/>
    <w:lvl w:ilvl="0" w:tplc="040C0019">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9" w15:restartNumberingAfterBreak="0">
    <w:nsid w:val="45505796"/>
    <w:multiLevelType w:val="hybridMultilevel"/>
    <w:tmpl w:val="E7F2F310"/>
    <w:lvl w:ilvl="0" w:tplc="43C44392">
      <w:start w:val="3"/>
      <w:numFmt w:val="decimal"/>
      <w:lvlText w:val="%1."/>
      <w:lvlJc w:val="left"/>
      <w:pPr>
        <w:ind w:left="502"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8DE2CDD"/>
    <w:multiLevelType w:val="hybridMultilevel"/>
    <w:tmpl w:val="FB326BB6"/>
    <w:lvl w:ilvl="0" w:tplc="040C000B">
      <w:start w:val="1"/>
      <w:numFmt w:val="bullet"/>
      <w:lvlText w:val=""/>
      <w:lvlJc w:val="left"/>
      <w:pPr>
        <w:ind w:left="2055" w:hanging="360"/>
      </w:pPr>
      <w:rPr>
        <w:rFonts w:ascii="Wingdings" w:hAnsi="Wingdings" w:hint="default"/>
      </w:rPr>
    </w:lvl>
    <w:lvl w:ilvl="1" w:tplc="040C0003" w:tentative="1">
      <w:start w:val="1"/>
      <w:numFmt w:val="bullet"/>
      <w:lvlText w:val="o"/>
      <w:lvlJc w:val="left"/>
      <w:pPr>
        <w:ind w:left="2775" w:hanging="360"/>
      </w:pPr>
      <w:rPr>
        <w:rFonts w:ascii="Courier New" w:hAnsi="Courier New" w:cs="Courier New" w:hint="default"/>
      </w:rPr>
    </w:lvl>
    <w:lvl w:ilvl="2" w:tplc="040C0005" w:tentative="1">
      <w:start w:val="1"/>
      <w:numFmt w:val="bullet"/>
      <w:lvlText w:val=""/>
      <w:lvlJc w:val="left"/>
      <w:pPr>
        <w:ind w:left="3495" w:hanging="360"/>
      </w:pPr>
      <w:rPr>
        <w:rFonts w:ascii="Wingdings" w:hAnsi="Wingdings" w:hint="default"/>
      </w:rPr>
    </w:lvl>
    <w:lvl w:ilvl="3" w:tplc="040C0001" w:tentative="1">
      <w:start w:val="1"/>
      <w:numFmt w:val="bullet"/>
      <w:lvlText w:val=""/>
      <w:lvlJc w:val="left"/>
      <w:pPr>
        <w:ind w:left="4215" w:hanging="360"/>
      </w:pPr>
      <w:rPr>
        <w:rFonts w:ascii="Symbol" w:hAnsi="Symbol" w:hint="default"/>
      </w:rPr>
    </w:lvl>
    <w:lvl w:ilvl="4" w:tplc="040C0003" w:tentative="1">
      <w:start w:val="1"/>
      <w:numFmt w:val="bullet"/>
      <w:lvlText w:val="o"/>
      <w:lvlJc w:val="left"/>
      <w:pPr>
        <w:ind w:left="4935" w:hanging="360"/>
      </w:pPr>
      <w:rPr>
        <w:rFonts w:ascii="Courier New" w:hAnsi="Courier New" w:cs="Courier New" w:hint="default"/>
      </w:rPr>
    </w:lvl>
    <w:lvl w:ilvl="5" w:tplc="040C0005" w:tentative="1">
      <w:start w:val="1"/>
      <w:numFmt w:val="bullet"/>
      <w:lvlText w:val=""/>
      <w:lvlJc w:val="left"/>
      <w:pPr>
        <w:ind w:left="5655" w:hanging="360"/>
      </w:pPr>
      <w:rPr>
        <w:rFonts w:ascii="Wingdings" w:hAnsi="Wingdings" w:hint="default"/>
      </w:rPr>
    </w:lvl>
    <w:lvl w:ilvl="6" w:tplc="040C0001" w:tentative="1">
      <w:start w:val="1"/>
      <w:numFmt w:val="bullet"/>
      <w:lvlText w:val=""/>
      <w:lvlJc w:val="left"/>
      <w:pPr>
        <w:ind w:left="6375" w:hanging="360"/>
      </w:pPr>
      <w:rPr>
        <w:rFonts w:ascii="Symbol" w:hAnsi="Symbol" w:hint="default"/>
      </w:rPr>
    </w:lvl>
    <w:lvl w:ilvl="7" w:tplc="040C0003" w:tentative="1">
      <w:start w:val="1"/>
      <w:numFmt w:val="bullet"/>
      <w:lvlText w:val="o"/>
      <w:lvlJc w:val="left"/>
      <w:pPr>
        <w:ind w:left="7095" w:hanging="360"/>
      </w:pPr>
      <w:rPr>
        <w:rFonts w:ascii="Courier New" w:hAnsi="Courier New" w:cs="Courier New" w:hint="default"/>
      </w:rPr>
    </w:lvl>
    <w:lvl w:ilvl="8" w:tplc="040C0005" w:tentative="1">
      <w:start w:val="1"/>
      <w:numFmt w:val="bullet"/>
      <w:lvlText w:val=""/>
      <w:lvlJc w:val="left"/>
      <w:pPr>
        <w:ind w:left="7815" w:hanging="360"/>
      </w:pPr>
      <w:rPr>
        <w:rFonts w:ascii="Wingdings" w:hAnsi="Wingdings" w:hint="default"/>
      </w:rPr>
    </w:lvl>
  </w:abstractNum>
  <w:abstractNum w:abstractNumId="71" w15:restartNumberingAfterBreak="0">
    <w:nsid w:val="4D614C83"/>
    <w:multiLevelType w:val="hybridMultilevel"/>
    <w:tmpl w:val="29C4A94C"/>
    <w:lvl w:ilvl="0" w:tplc="040C0009">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2" w15:restartNumberingAfterBreak="0">
    <w:nsid w:val="4F3906FA"/>
    <w:multiLevelType w:val="hybridMultilevel"/>
    <w:tmpl w:val="C4CC4F46"/>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3" w15:restartNumberingAfterBreak="0">
    <w:nsid w:val="50896896"/>
    <w:multiLevelType w:val="hybridMultilevel"/>
    <w:tmpl w:val="0D26DDAE"/>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4" w15:restartNumberingAfterBreak="0">
    <w:nsid w:val="519511BF"/>
    <w:multiLevelType w:val="hybridMultilevel"/>
    <w:tmpl w:val="01568BBC"/>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5" w15:restartNumberingAfterBreak="0">
    <w:nsid w:val="51FD295B"/>
    <w:multiLevelType w:val="hybridMultilevel"/>
    <w:tmpl w:val="FF8EA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26D70A1"/>
    <w:multiLevelType w:val="hybridMultilevel"/>
    <w:tmpl w:val="FFB42104"/>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7" w15:restartNumberingAfterBreak="0">
    <w:nsid w:val="55427A77"/>
    <w:multiLevelType w:val="hybridMultilevel"/>
    <w:tmpl w:val="D10E876C"/>
    <w:lvl w:ilvl="0" w:tplc="C742C8E6">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6B93D63"/>
    <w:multiLevelType w:val="hybridMultilevel"/>
    <w:tmpl w:val="6638004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9" w15:restartNumberingAfterBreak="0">
    <w:nsid w:val="57CA2A8E"/>
    <w:multiLevelType w:val="hybridMultilevel"/>
    <w:tmpl w:val="7B2E1B06"/>
    <w:lvl w:ilvl="0" w:tplc="79482582">
      <w:numFmt w:val="bullet"/>
      <w:lvlText w:val="-"/>
      <w:lvlJc w:val="left"/>
      <w:pPr>
        <w:ind w:left="1571" w:hanging="360"/>
      </w:pPr>
      <w:rPr>
        <w:rFonts w:ascii="Calibri" w:eastAsiaTheme="minorHAnsi" w:hAnsi="Calibri" w:cstheme="minorBidi" w:hint="default"/>
        <w:sz w:val="28"/>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0" w15:restartNumberingAfterBreak="0">
    <w:nsid w:val="5852057A"/>
    <w:multiLevelType w:val="hybridMultilevel"/>
    <w:tmpl w:val="186A1E9A"/>
    <w:lvl w:ilvl="0" w:tplc="040C0009">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1" w15:restartNumberingAfterBreak="0">
    <w:nsid w:val="58882AB2"/>
    <w:multiLevelType w:val="hybridMultilevel"/>
    <w:tmpl w:val="57664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AB50FE4"/>
    <w:multiLevelType w:val="hybridMultilevel"/>
    <w:tmpl w:val="BB58D6E8"/>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3" w15:restartNumberingAfterBreak="0">
    <w:nsid w:val="5B5D3BEC"/>
    <w:multiLevelType w:val="hybridMultilevel"/>
    <w:tmpl w:val="06AE7E10"/>
    <w:lvl w:ilvl="0" w:tplc="79482582">
      <w:numFmt w:val="bullet"/>
      <w:lvlText w:val="-"/>
      <w:lvlJc w:val="left"/>
      <w:pPr>
        <w:ind w:left="540" w:hanging="360"/>
      </w:pPr>
      <w:rPr>
        <w:rFonts w:ascii="Calibri" w:eastAsiaTheme="minorHAnsi" w:hAnsi="Calibri" w:cstheme="minorBidi" w:hint="default"/>
        <w:b/>
        <w:bCs/>
        <w:sz w:val="28"/>
      </w:rPr>
    </w:lvl>
    <w:lvl w:ilvl="1" w:tplc="040C0019" w:tentative="1">
      <w:start w:val="1"/>
      <w:numFmt w:val="bullet"/>
      <w:lvlText w:val="o"/>
      <w:lvlJc w:val="left"/>
      <w:pPr>
        <w:ind w:left="1260" w:hanging="360"/>
      </w:pPr>
      <w:rPr>
        <w:rFonts w:ascii="Courier New" w:hAnsi="Courier New" w:cs="Courier New" w:hint="default"/>
      </w:rPr>
    </w:lvl>
    <w:lvl w:ilvl="2" w:tplc="040C001B" w:tentative="1">
      <w:start w:val="1"/>
      <w:numFmt w:val="bullet"/>
      <w:lvlText w:val=""/>
      <w:lvlJc w:val="left"/>
      <w:pPr>
        <w:ind w:left="1980" w:hanging="360"/>
      </w:pPr>
      <w:rPr>
        <w:rFonts w:ascii="Wingdings" w:hAnsi="Wingdings" w:hint="default"/>
      </w:rPr>
    </w:lvl>
    <w:lvl w:ilvl="3" w:tplc="040C000F" w:tentative="1">
      <w:start w:val="1"/>
      <w:numFmt w:val="bullet"/>
      <w:lvlText w:val=""/>
      <w:lvlJc w:val="left"/>
      <w:pPr>
        <w:ind w:left="2700" w:hanging="360"/>
      </w:pPr>
      <w:rPr>
        <w:rFonts w:ascii="Symbol" w:hAnsi="Symbol" w:hint="default"/>
      </w:rPr>
    </w:lvl>
    <w:lvl w:ilvl="4" w:tplc="040C0019" w:tentative="1">
      <w:start w:val="1"/>
      <w:numFmt w:val="bullet"/>
      <w:lvlText w:val="o"/>
      <w:lvlJc w:val="left"/>
      <w:pPr>
        <w:ind w:left="3420" w:hanging="360"/>
      </w:pPr>
      <w:rPr>
        <w:rFonts w:ascii="Courier New" w:hAnsi="Courier New" w:cs="Courier New" w:hint="default"/>
      </w:rPr>
    </w:lvl>
    <w:lvl w:ilvl="5" w:tplc="040C001B" w:tentative="1">
      <w:start w:val="1"/>
      <w:numFmt w:val="bullet"/>
      <w:lvlText w:val=""/>
      <w:lvlJc w:val="left"/>
      <w:pPr>
        <w:ind w:left="4140" w:hanging="360"/>
      </w:pPr>
      <w:rPr>
        <w:rFonts w:ascii="Wingdings" w:hAnsi="Wingdings" w:hint="default"/>
      </w:rPr>
    </w:lvl>
    <w:lvl w:ilvl="6" w:tplc="040C000F" w:tentative="1">
      <w:start w:val="1"/>
      <w:numFmt w:val="bullet"/>
      <w:lvlText w:val=""/>
      <w:lvlJc w:val="left"/>
      <w:pPr>
        <w:ind w:left="4860" w:hanging="360"/>
      </w:pPr>
      <w:rPr>
        <w:rFonts w:ascii="Symbol" w:hAnsi="Symbol" w:hint="default"/>
      </w:rPr>
    </w:lvl>
    <w:lvl w:ilvl="7" w:tplc="040C0019" w:tentative="1">
      <w:start w:val="1"/>
      <w:numFmt w:val="bullet"/>
      <w:lvlText w:val="o"/>
      <w:lvlJc w:val="left"/>
      <w:pPr>
        <w:ind w:left="5580" w:hanging="360"/>
      </w:pPr>
      <w:rPr>
        <w:rFonts w:ascii="Courier New" w:hAnsi="Courier New" w:cs="Courier New" w:hint="default"/>
      </w:rPr>
    </w:lvl>
    <w:lvl w:ilvl="8" w:tplc="040C001B" w:tentative="1">
      <w:start w:val="1"/>
      <w:numFmt w:val="bullet"/>
      <w:lvlText w:val=""/>
      <w:lvlJc w:val="left"/>
      <w:pPr>
        <w:ind w:left="6300" w:hanging="360"/>
      </w:pPr>
      <w:rPr>
        <w:rFonts w:ascii="Wingdings" w:hAnsi="Wingdings" w:hint="default"/>
      </w:rPr>
    </w:lvl>
  </w:abstractNum>
  <w:abstractNum w:abstractNumId="84" w15:restartNumberingAfterBreak="0">
    <w:nsid w:val="5BB73EA3"/>
    <w:multiLevelType w:val="hybridMultilevel"/>
    <w:tmpl w:val="719CFC60"/>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5" w15:restartNumberingAfterBreak="0">
    <w:nsid w:val="5DD6233C"/>
    <w:multiLevelType w:val="multilevel"/>
    <w:tmpl w:val="040C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5EDA0B35"/>
    <w:multiLevelType w:val="hybridMultilevel"/>
    <w:tmpl w:val="64323576"/>
    <w:lvl w:ilvl="0" w:tplc="040C000D">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87" w15:restartNumberingAfterBreak="0">
    <w:nsid w:val="5F2A28DB"/>
    <w:multiLevelType w:val="hybridMultilevel"/>
    <w:tmpl w:val="928ED8F6"/>
    <w:lvl w:ilvl="0" w:tplc="040C0017">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8" w15:restartNumberingAfterBreak="0">
    <w:nsid w:val="5F74384E"/>
    <w:multiLevelType w:val="hybridMultilevel"/>
    <w:tmpl w:val="997EE2E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9" w15:restartNumberingAfterBreak="0">
    <w:nsid w:val="601D7379"/>
    <w:multiLevelType w:val="hybridMultilevel"/>
    <w:tmpl w:val="78B2DCD2"/>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0" w15:restartNumberingAfterBreak="0">
    <w:nsid w:val="60916AF8"/>
    <w:multiLevelType w:val="hybridMultilevel"/>
    <w:tmpl w:val="D6ECDA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1" w15:restartNumberingAfterBreak="0">
    <w:nsid w:val="609332B9"/>
    <w:multiLevelType w:val="hybridMultilevel"/>
    <w:tmpl w:val="21923338"/>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2" w15:restartNumberingAfterBreak="0">
    <w:nsid w:val="60F02925"/>
    <w:multiLevelType w:val="multilevel"/>
    <w:tmpl w:val="39A8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41E1067"/>
    <w:multiLevelType w:val="hybridMultilevel"/>
    <w:tmpl w:val="DD129F7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4" w15:restartNumberingAfterBreak="0">
    <w:nsid w:val="65AD7974"/>
    <w:multiLevelType w:val="hybridMultilevel"/>
    <w:tmpl w:val="3EC6A3EE"/>
    <w:lvl w:ilvl="0" w:tplc="79482582">
      <w:numFmt w:val="bullet"/>
      <w:lvlText w:val="-"/>
      <w:lvlJc w:val="left"/>
      <w:pPr>
        <w:ind w:left="1854" w:hanging="360"/>
      </w:pPr>
      <w:rPr>
        <w:rFonts w:ascii="Calibri" w:eastAsiaTheme="minorHAnsi" w:hAnsi="Calibri" w:cstheme="minorBidi" w:hint="default"/>
        <w:sz w:val="28"/>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95" w15:restartNumberingAfterBreak="0">
    <w:nsid w:val="663B2357"/>
    <w:multiLevelType w:val="hybridMultilevel"/>
    <w:tmpl w:val="E7265DAE"/>
    <w:lvl w:ilvl="0" w:tplc="040C0001">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6" w15:restartNumberingAfterBreak="0">
    <w:nsid w:val="66DF3C90"/>
    <w:multiLevelType w:val="multilevel"/>
    <w:tmpl w:val="9B1E45BC"/>
    <w:lvl w:ilvl="0">
      <w:start w:val="1"/>
      <w:numFmt w:val="decimal"/>
      <w:lvlText w:val="%1"/>
      <w:lvlJc w:val="left"/>
      <w:pPr>
        <w:ind w:left="432" w:hanging="432"/>
      </w:pPr>
      <w:rPr>
        <w:rFonts w:hint="default"/>
      </w:rPr>
    </w:lvl>
    <w:lvl w:ilvl="1">
      <w:start w:val="1"/>
      <w:numFmt w:val="decimal"/>
      <w:lvlText w:val="%1.%2"/>
      <w:lvlJc w:val="left"/>
      <w:pPr>
        <w:ind w:left="1711" w:hanging="576"/>
      </w:pPr>
      <w:rPr>
        <w:rFonts w:hint="default"/>
      </w:rPr>
    </w:lvl>
    <w:lvl w:ilvl="2">
      <w:start w:val="1"/>
      <w:numFmt w:val="none"/>
      <w:lvlText w:val="1.4"/>
      <w:lvlJc w:val="left"/>
      <w:pPr>
        <w:ind w:left="3414" w:hanging="720"/>
      </w:pPr>
      <w:rPr>
        <w:rFonts w:hint="default"/>
        <w:b/>
        <w:bCs/>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2.3.2.1"/>
      <w:lvlJc w:val="left"/>
      <w:pPr>
        <w:ind w:left="864" w:hanging="864"/>
      </w:pPr>
      <w:rPr>
        <w:rFonts w:hint="default"/>
      </w:rPr>
    </w:lvl>
    <w:lvl w:ilvl="4">
      <w:start w:val="1"/>
      <w:numFmt w:val="none"/>
      <w:lvlText w:val="3.1.3.2"/>
      <w:lvlJc w:val="left"/>
      <w:pPr>
        <w:ind w:left="1008" w:hanging="1008"/>
      </w:pPr>
      <w:rPr>
        <w:rFonts w:hint="default"/>
      </w:rPr>
    </w:lvl>
    <w:lvl w:ilvl="5">
      <w:start w:val="1"/>
      <w:numFmt w:val="none"/>
      <w:lvlText w:val="2.5.1.3.1"/>
      <w:lvlJc w:val="left"/>
      <w:pPr>
        <w:ind w:left="1152" w:hanging="1152"/>
      </w:pPr>
      <w:rPr>
        <w:rFonts w:hint="default"/>
      </w:rPr>
    </w:lvl>
    <w:lvl w:ilvl="6">
      <w:start w:val="1"/>
      <w:numFmt w:val="none"/>
      <w:lvlText w:val="1.4.3.4.2.2"/>
      <w:lvlJc w:val="left"/>
      <w:pPr>
        <w:ind w:left="1864"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68914EC5"/>
    <w:multiLevelType w:val="hybridMultilevel"/>
    <w:tmpl w:val="48B48BF6"/>
    <w:lvl w:ilvl="0" w:tplc="79482582">
      <w:numFmt w:val="bullet"/>
      <w:lvlText w:val="-"/>
      <w:lvlJc w:val="left"/>
      <w:pPr>
        <w:ind w:left="1429" w:hanging="360"/>
      </w:pPr>
      <w:rPr>
        <w:rFonts w:ascii="Calibri" w:eastAsiaTheme="minorHAnsi" w:hAnsi="Calibri" w:cstheme="minorBidi"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8" w15:restartNumberingAfterBreak="0">
    <w:nsid w:val="69633C26"/>
    <w:multiLevelType w:val="multilevel"/>
    <w:tmpl w:val="99E69A20"/>
    <w:styleLink w:val="Style2"/>
    <w:lvl w:ilvl="0">
      <w:start w:val="1"/>
      <w:numFmt w:val="decimal"/>
      <w:lvlText w:val="%1"/>
      <w:lvlJc w:val="left"/>
      <w:pPr>
        <w:ind w:left="432" w:hanging="432"/>
      </w:pPr>
      <w:rPr>
        <w:rFonts w:hint="default"/>
      </w:rPr>
    </w:lvl>
    <w:lvl w:ilvl="1">
      <w:start w:val="1"/>
      <w:numFmt w:val="decimal"/>
      <w:lvlText w:val="%1.%2"/>
      <w:lvlJc w:val="left"/>
      <w:pPr>
        <w:ind w:left="6530" w:hanging="576"/>
      </w:pPr>
      <w:rPr>
        <w:rFonts w:hint="default"/>
      </w:rPr>
    </w:lvl>
    <w:lvl w:ilvl="2">
      <w:start w:val="1"/>
      <w:numFmt w:val="decimal"/>
      <w:lvlText w:val="%1.%2.%3"/>
      <w:lvlJc w:val="left"/>
      <w:pPr>
        <w:ind w:left="1997" w:hanging="720"/>
      </w:pPr>
      <w:rPr>
        <w:rFonts w:hint="default"/>
        <w:b/>
        <w:bCs/>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57"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6B932530"/>
    <w:multiLevelType w:val="hybridMultilevel"/>
    <w:tmpl w:val="B3B6CAB0"/>
    <w:lvl w:ilvl="0" w:tplc="C742C8E6">
      <w:start w:val="4"/>
      <w:numFmt w:val="bullet"/>
      <w:lvlText w:val="-"/>
      <w:lvlJc w:val="left"/>
      <w:pPr>
        <w:ind w:left="1571" w:hanging="360"/>
      </w:pPr>
      <w:rPr>
        <w:rFonts w:ascii="Times New Roman" w:eastAsia="Calibri"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0" w15:restartNumberingAfterBreak="0">
    <w:nsid w:val="6DCC06F4"/>
    <w:multiLevelType w:val="hybridMultilevel"/>
    <w:tmpl w:val="FCF4E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E395F5B"/>
    <w:multiLevelType w:val="hybridMultilevel"/>
    <w:tmpl w:val="6BCAB832"/>
    <w:lvl w:ilvl="0" w:tplc="2480956E">
      <w:start w:val="1"/>
      <w:numFmt w:val="bullet"/>
      <w:lvlText w:val=""/>
      <w:lvlJc w:val="left"/>
      <w:pPr>
        <w:ind w:left="780" w:hanging="360"/>
      </w:pPr>
      <w:rPr>
        <w:rFonts w:ascii="Symbol" w:hAnsi="Symbol" w:hint="default"/>
      </w:rPr>
    </w:lvl>
    <w:lvl w:ilvl="1" w:tplc="498CFAFA" w:tentative="1">
      <w:start w:val="1"/>
      <w:numFmt w:val="bullet"/>
      <w:lvlText w:val="o"/>
      <w:lvlJc w:val="left"/>
      <w:pPr>
        <w:ind w:left="1500" w:hanging="360"/>
      </w:pPr>
      <w:rPr>
        <w:rFonts w:ascii="Courier New" w:hAnsi="Courier New" w:cs="Courier New" w:hint="default"/>
      </w:rPr>
    </w:lvl>
    <w:lvl w:ilvl="2" w:tplc="FAD66726" w:tentative="1">
      <w:start w:val="1"/>
      <w:numFmt w:val="bullet"/>
      <w:lvlText w:val=""/>
      <w:lvlJc w:val="left"/>
      <w:pPr>
        <w:ind w:left="2220" w:hanging="360"/>
      </w:pPr>
      <w:rPr>
        <w:rFonts w:ascii="Wingdings" w:hAnsi="Wingdings" w:hint="default"/>
      </w:rPr>
    </w:lvl>
    <w:lvl w:ilvl="3" w:tplc="81E24442" w:tentative="1">
      <w:start w:val="1"/>
      <w:numFmt w:val="bullet"/>
      <w:lvlText w:val=""/>
      <w:lvlJc w:val="left"/>
      <w:pPr>
        <w:ind w:left="2940" w:hanging="360"/>
      </w:pPr>
      <w:rPr>
        <w:rFonts w:ascii="Symbol" w:hAnsi="Symbol" w:hint="default"/>
      </w:rPr>
    </w:lvl>
    <w:lvl w:ilvl="4" w:tplc="21484E92" w:tentative="1">
      <w:start w:val="1"/>
      <w:numFmt w:val="bullet"/>
      <w:lvlText w:val="o"/>
      <w:lvlJc w:val="left"/>
      <w:pPr>
        <w:ind w:left="3660" w:hanging="360"/>
      </w:pPr>
      <w:rPr>
        <w:rFonts w:ascii="Courier New" w:hAnsi="Courier New" w:cs="Courier New" w:hint="default"/>
      </w:rPr>
    </w:lvl>
    <w:lvl w:ilvl="5" w:tplc="8E6654DC" w:tentative="1">
      <w:start w:val="1"/>
      <w:numFmt w:val="bullet"/>
      <w:lvlText w:val=""/>
      <w:lvlJc w:val="left"/>
      <w:pPr>
        <w:ind w:left="4380" w:hanging="360"/>
      </w:pPr>
      <w:rPr>
        <w:rFonts w:ascii="Wingdings" w:hAnsi="Wingdings" w:hint="default"/>
      </w:rPr>
    </w:lvl>
    <w:lvl w:ilvl="6" w:tplc="F496B28A" w:tentative="1">
      <w:start w:val="1"/>
      <w:numFmt w:val="bullet"/>
      <w:lvlText w:val=""/>
      <w:lvlJc w:val="left"/>
      <w:pPr>
        <w:ind w:left="5100" w:hanging="360"/>
      </w:pPr>
      <w:rPr>
        <w:rFonts w:ascii="Symbol" w:hAnsi="Symbol" w:hint="default"/>
      </w:rPr>
    </w:lvl>
    <w:lvl w:ilvl="7" w:tplc="DC6E085E" w:tentative="1">
      <w:start w:val="1"/>
      <w:numFmt w:val="bullet"/>
      <w:lvlText w:val="o"/>
      <w:lvlJc w:val="left"/>
      <w:pPr>
        <w:ind w:left="5820" w:hanging="360"/>
      </w:pPr>
      <w:rPr>
        <w:rFonts w:ascii="Courier New" w:hAnsi="Courier New" w:cs="Courier New" w:hint="default"/>
      </w:rPr>
    </w:lvl>
    <w:lvl w:ilvl="8" w:tplc="463A8C14" w:tentative="1">
      <w:start w:val="1"/>
      <w:numFmt w:val="bullet"/>
      <w:lvlText w:val=""/>
      <w:lvlJc w:val="left"/>
      <w:pPr>
        <w:ind w:left="6540" w:hanging="360"/>
      </w:pPr>
      <w:rPr>
        <w:rFonts w:ascii="Wingdings" w:hAnsi="Wingdings" w:hint="default"/>
      </w:rPr>
    </w:lvl>
  </w:abstractNum>
  <w:abstractNum w:abstractNumId="102" w15:restartNumberingAfterBreak="0">
    <w:nsid w:val="71E07463"/>
    <w:multiLevelType w:val="hybridMultilevel"/>
    <w:tmpl w:val="9DDC6D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103" w15:restartNumberingAfterBreak="0">
    <w:nsid w:val="747202BD"/>
    <w:multiLevelType w:val="hybridMultilevel"/>
    <w:tmpl w:val="65D4D9A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4" w15:restartNumberingAfterBreak="0">
    <w:nsid w:val="75C276D5"/>
    <w:multiLevelType w:val="hybridMultilevel"/>
    <w:tmpl w:val="D72688C8"/>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5" w15:restartNumberingAfterBreak="0">
    <w:nsid w:val="75DC4454"/>
    <w:multiLevelType w:val="hybridMultilevel"/>
    <w:tmpl w:val="24B6A38C"/>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6" w15:restartNumberingAfterBreak="0">
    <w:nsid w:val="767D5F4E"/>
    <w:multiLevelType w:val="multilevel"/>
    <w:tmpl w:val="040C001D"/>
    <w:styleLink w:val="Styl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76C833DE"/>
    <w:multiLevelType w:val="hybridMultilevel"/>
    <w:tmpl w:val="2086F908"/>
    <w:lvl w:ilvl="0" w:tplc="C742C8E6">
      <w:start w:val="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15:restartNumberingAfterBreak="0">
    <w:nsid w:val="76E90AE1"/>
    <w:multiLevelType w:val="hybridMultilevel"/>
    <w:tmpl w:val="7A10508A"/>
    <w:lvl w:ilvl="0" w:tplc="CD84FA3A">
      <w:start w:val="1"/>
      <w:numFmt w:val="bullet"/>
      <w:lvlText w:val=""/>
      <w:lvlJc w:val="left"/>
      <w:pPr>
        <w:ind w:left="780" w:hanging="360"/>
      </w:pPr>
      <w:rPr>
        <w:rFonts w:ascii="Wingdings" w:hAnsi="Wingdings" w:hint="default"/>
      </w:rPr>
    </w:lvl>
    <w:lvl w:ilvl="1" w:tplc="1DB4E994" w:tentative="1">
      <w:start w:val="1"/>
      <w:numFmt w:val="bullet"/>
      <w:lvlText w:val="o"/>
      <w:lvlJc w:val="left"/>
      <w:pPr>
        <w:ind w:left="1500" w:hanging="360"/>
      </w:pPr>
      <w:rPr>
        <w:rFonts w:ascii="Courier New" w:hAnsi="Courier New" w:cs="Courier New" w:hint="default"/>
      </w:rPr>
    </w:lvl>
    <w:lvl w:ilvl="2" w:tplc="911AF812" w:tentative="1">
      <w:start w:val="1"/>
      <w:numFmt w:val="bullet"/>
      <w:lvlText w:val=""/>
      <w:lvlJc w:val="left"/>
      <w:pPr>
        <w:ind w:left="2220" w:hanging="360"/>
      </w:pPr>
      <w:rPr>
        <w:rFonts w:ascii="Wingdings" w:hAnsi="Wingdings" w:hint="default"/>
      </w:rPr>
    </w:lvl>
    <w:lvl w:ilvl="3" w:tplc="87E28612" w:tentative="1">
      <w:start w:val="1"/>
      <w:numFmt w:val="bullet"/>
      <w:lvlText w:val=""/>
      <w:lvlJc w:val="left"/>
      <w:pPr>
        <w:ind w:left="2940" w:hanging="360"/>
      </w:pPr>
      <w:rPr>
        <w:rFonts w:ascii="Symbol" w:hAnsi="Symbol" w:hint="default"/>
      </w:rPr>
    </w:lvl>
    <w:lvl w:ilvl="4" w:tplc="F42E4B10" w:tentative="1">
      <w:start w:val="1"/>
      <w:numFmt w:val="bullet"/>
      <w:lvlText w:val="o"/>
      <w:lvlJc w:val="left"/>
      <w:pPr>
        <w:ind w:left="3660" w:hanging="360"/>
      </w:pPr>
      <w:rPr>
        <w:rFonts w:ascii="Courier New" w:hAnsi="Courier New" w:cs="Courier New" w:hint="default"/>
      </w:rPr>
    </w:lvl>
    <w:lvl w:ilvl="5" w:tplc="3A1CAC6C" w:tentative="1">
      <w:start w:val="1"/>
      <w:numFmt w:val="bullet"/>
      <w:lvlText w:val=""/>
      <w:lvlJc w:val="left"/>
      <w:pPr>
        <w:ind w:left="4380" w:hanging="360"/>
      </w:pPr>
      <w:rPr>
        <w:rFonts w:ascii="Wingdings" w:hAnsi="Wingdings" w:hint="default"/>
      </w:rPr>
    </w:lvl>
    <w:lvl w:ilvl="6" w:tplc="2CA66912" w:tentative="1">
      <w:start w:val="1"/>
      <w:numFmt w:val="bullet"/>
      <w:lvlText w:val=""/>
      <w:lvlJc w:val="left"/>
      <w:pPr>
        <w:ind w:left="5100" w:hanging="360"/>
      </w:pPr>
      <w:rPr>
        <w:rFonts w:ascii="Symbol" w:hAnsi="Symbol" w:hint="default"/>
      </w:rPr>
    </w:lvl>
    <w:lvl w:ilvl="7" w:tplc="394098A8" w:tentative="1">
      <w:start w:val="1"/>
      <w:numFmt w:val="bullet"/>
      <w:lvlText w:val="o"/>
      <w:lvlJc w:val="left"/>
      <w:pPr>
        <w:ind w:left="5820" w:hanging="360"/>
      </w:pPr>
      <w:rPr>
        <w:rFonts w:ascii="Courier New" w:hAnsi="Courier New" w:cs="Courier New" w:hint="default"/>
      </w:rPr>
    </w:lvl>
    <w:lvl w:ilvl="8" w:tplc="DCBCB1C6" w:tentative="1">
      <w:start w:val="1"/>
      <w:numFmt w:val="bullet"/>
      <w:lvlText w:val=""/>
      <w:lvlJc w:val="left"/>
      <w:pPr>
        <w:ind w:left="6540" w:hanging="360"/>
      </w:pPr>
      <w:rPr>
        <w:rFonts w:ascii="Wingdings" w:hAnsi="Wingdings" w:hint="default"/>
      </w:rPr>
    </w:lvl>
  </w:abstractNum>
  <w:abstractNum w:abstractNumId="109" w15:restartNumberingAfterBreak="0">
    <w:nsid w:val="778173C8"/>
    <w:multiLevelType w:val="hybridMultilevel"/>
    <w:tmpl w:val="029C9694"/>
    <w:lvl w:ilvl="0" w:tplc="C742C8E6">
      <w:start w:val="4"/>
      <w:numFmt w:val="bullet"/>
      <w:lvlText w:val="-"/>
      <w:lvlJc w:val="left"/>
      <w:pPr>
        <w:ind w:left="1855" w:hanging="360"/>
      </w:pPr>
      <w:rPr>
        <w:rFonts w:ascii="Times New Roman" w:eastAsia="Calibri" w:hAnsi="Times New Roman" w:cs="Times New Roman" w:hint="default"/>
      </w:rPr>
    </w:lvl>
    <w:lvl w:ilvl="1" w:tplc="040C0003" w:tentative="1">
      <w:start w:val="1"/>
      <w:numFmt w:val="bullet"/>
      <w:lvlText w:val="o"/>
      <w:lvlJc w:val="left"/>
      <w:pPr>
        <w:ind w:left="2575" w:hanging="360"/>
      </w:pPr>
      <w:rPr>
        <w:rFonts w:ascii="Courier New" w:hAnsi="Courier New" w:cs="Courier New" w:hint="default"/>
      </w:rPr>
    </w:lvl>
    <w:lvl w:ilvl="2" w:tplc="040C0005" w:tentative="1">
      <w:start w:val="1"/>
      <w:numFmt w:val="bullet"/>
      <w:lvlText w:val=""/>
      <w:lvlJc w:val="left"/>
      <w:pPr>
        <w:ind w:left="3295" w:hanging="360"/>
      </w:pPr>
      <w:rPr>
        <w:rFonts w:ascii="Wingdings" w:hAnsi="Wingdings" w:hint="default"/>
      </w:rPr>
    </w:lvl>
    <w:lvl w:ilvl="3" w:tplc="040C0001" w:tentative="1">
      <w:start w:val="1"/>
      <w:numFmt w:val="bullet"/>
      <w:lvlText w:val=""/>
      <w:lvlJc w:val="left"/>
      <w:pPr>
        <w:ind w:left="4015" w:hanging="360"/>
      </w:pPr>
      <w:rPr>
        <w:rFonts w:ascii="Symbol" w:hAnsi="Symbol" w:hint="default"/>
      </w:rPr>
    </w:lvl>
    <w:lvl w:ilvl="4" w:tplc="040C0003" w:tentative="1">
      <w:start w:val="1"/>
      <w:numFmt w:val="bullet"/>
      <w:lvlText w:val="o"/>
      <w:lvlJc w:val="left"/>
      <w:pPr>
        <w:ind w:left="4735" w:hanging="360"/>
      </w:pPr>
      <w:rPr>
        <w:rFonts w:ascii="Courier New" w:hAnsi="Courier New" w:cs="Courier New" w:hint="default"/>
      </w:rPr>
    </w:lvl>
    <w:lvl w:ilvl="5" w:tplc="040C0005" w:tentative="1">
      <w:start w:val="1"/>
      <w:numFmt w:val="bullet"/>
      <w:lvlText w:val=""/>
      <w:lvlJc w:val="left"/>
      <w:pPr>
        <w:ind w:left="5455" w:hanging="360"/>
      </w:pPr>
      <w:rPr>
        <w:rFonts w:ascii="Wingdings" w:hAnsi="Wingdings" w:hint="default"/>
      </w:rPr>
    </w:lvl>
    <w:lvl w:ilvl="6" w:tplc="040C0001" w:tentative="1">
      <w:start w:val="1"/>
      <w:numFmt w:val="bullet"/>
      <w:lvlText w:val=""/>
      <w:lvlJc w:val="left"/>
      <w:pPr>
        <w:ind w:left="6175" w:hanging="360"/>
      </w:pPr>
      <w:rPr>
        <w:rFonts w:ascii="Symbol" w:hAnsi="Symbol" w:hint="default"/>
      </w:rPr>
    </w:lvl>
    <w:lvl w:ilvl="7" w:tplc="040C0003" w:tentative="1">
      <w:start w:val="1"/>
      <w:numFmt w:val="bullet"/>
      <w:lvlText w:val="o"/>
      <w:lvlJc w:val="left"/>
      <w:pPr>
        <w:ind w:left="6895" w:hanging="360"/>
      </w:pPr>
      <w:rPr>
        <w:rFonts w:ascii="Courier New" w:hAnsi="Courier New" w:cs="Courier New" w:hint="default"/>
      </w:rPr>
    </w:lvl>
    <w:lvl w:ilvl="8" w:tplc="040C0005" w:tentative="1">
      <w:start w:val="1"/>
      <w:numFmt w:val="bullet"/>
      <w:lvlText w:val=""/>
      <w:lvlJc w:val="left"/>
      <w:pPr>
        <w:ind w:left="7615" w:hanging="360"/>
      </w:pPr>
      <w:rPr>
        <w:rFonts w:ascii="Wingdings" w:hAnsi="Wingdings" w:hint="default"/>
      </w:rPr>
    </w:lvl>
  </w:abstractNum>
  <w:abstractNum w:abstractNumId="110" w15:restartNumberingAfterBreak="0">
    <w:nsid w:val="778C0A9D"/>
    <w:multiLevelType w:val="multilevel"/>
    <w:tmpl w:val="1F02E59A"/>
    <w:lvl w:ilvl="0">
      <w:start w:val="1"/>
      <w:numFmt w:val="decimal"/>
      <w:lvlText w:val="%1"/>
      <w:lvlJc w:val="left"/>
      <w:pPr>
        <w:ind w:left="432" w:hanging="432"/>
      </w:pPr>
      <w:rPr>
        <w:rFonts w:hint="default"/>
      </w:rPr>
    </w:lvl>
    <w:lvl w:ilvl="1">
      <w:start w:val="1"/>
      <w:numFmt w:val="decimal"/>
      <w:lvlText w:val="%1.%2"/>
      <w:lvlJc w:val="left"/>
      <w:pPr>
        <w:ind w:left="1711" w:hanging="576"/>
      </w:pPr>
      <w:rPr>
        <w:rFonts w:hint="default"/>
      </w:rPr>
    </w:lvl>
    <w:lvl w:ilvl="2">
      <w:start w:val="1"/>
      <w:numFmt w:val="none"/>
      <w:lvlText w:val="1.4"/>
      <w:lvlJc w:val="left"/>
      <w:pPr>
        <w:ind w:left="3414" w:hanging="720"/>
      </w:pPr>
      <w:rPr>
        <w:rFonts w:hint="default"/>
        <w:b/>
        <w:bCs/>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2.3.2.1"/>
      <w:lvlJc w:val="left"/>
      <w:pPr>
        <w:ind w:left="864" w:hanging="864"/>
      </w:pPr>
      <w:rPr>
        <w:rFonts w:hint="default"/>
      </w:rPr>
    </w:lvl>
    <w:lvl w:ilvl="4">
      <w:start w:val="1"/>
      <w:numFmt w:val="none"/>
      <w:lvlText w:val="2.3.2.1"/>
      <w:lvlJc w:val="left"/>
      <w:pPr>
        <w:ind w:left="1008" w:hanging="1008"/>
      </w:pPr>
      <w:rPr>
        <w:rFonts w:hint="default"/>
      </w:rPr>
    </w:lvl>
    <w:lvl w:ilvl="5">
      <w:start w:val="1"/>
      <w:numFmt w:val="none"/>
      <w:lvlText w:val="2.5.1.3.1"/>
      <w:lvlJc w:val="left"/>
      <w:pPr>
        <w:ind w:left="1152" w:hanging="1152"/>
      </w:pPr>
      <w:rPr>
        <w:rFonts w:hint="default"/>
      </w:rPr>
    </w:lvl>
    <w:lvl w:ilvl="6">
      <w:start w:val="1"/>
      <w:numFmt w:val="none"/>
      <w:lvlText w:val="1.4.3.4.2.2"/>
      <w:lvlJc w:val="left"/>
      <w:pPr>
        <w:ind w:left="1864"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1" w15:restartNumberingAfterBreak="0">
    <w:nsid w:val="77A82A51"/>
    <w:multiLevelType w:val="hybridMultilevel"/>
    <w:tmpl w:val="3CA2825C"/>
    <w:lvl w:ilvl="0" w:tplc="040C000D">
      <w:start w:val="3"/>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112" w15:restartNumberingAfterBreak="0">
    <w:nsid w:val="79144572"/>
    <w:multiLevelType w:val="multilevel"/>
    <w:tmpl w:val="18B07596"/>
    <w:lvl w:ilvl="0">
      <w:start w:val="1"/>
      <w:numFmt w:val="decimal"/>
      <w:lvlText w:val="%1."/>
      <w:lvlJc w:val="left"/>
      <w:pPr>
        <w:ind w:left="2356" w:hanging="360"/>
      </w:pPr>
    </w:lvl>
    <w:lvl w:ilvl="1">
      <w:start w:val="1"/>
      <w:numFmt w:val="decimal"/>
      <w:isLgl/>
      <w:lvlText w:val="%1.%2"/>
      <w:lvlJc w:val="left"/>
      <w:pPr>
        <w:ind w:left="2716" w:hanging="720"/>
      </w:pPr>
      <w:rPr>
        <w:rFonts w:hint="default"/>
      </w:rPr>
    </w:lvl>
    <w:lvl w:ilvl="2">
      <w:start w:val="2"/>
      <w:numFmt w:val="decimal"/>
      <w:isLgl/>
      <w:lvlText w:val="%1.%2.%3"/>
      <w:lvlJc w:val="left"/>
      <w:pPr>
        <w:ind w:left="2716" w:hanging="720"/>
      </w:pPr>
      <w:rPr>
        <w:rFonts w:hint="default"/>
      </w:rPr>
    </w:lvl>
    <w:lvl w:ilvl="3">
      <w:start w:val="2"/>
      <w:numFmt w:val="decimal"/>
      <w:isLgl/>
      <w:lvlText w:val="%1.%2.%3.%4"/>
      <w:lvlJc w:val="left"/>
      <w:pPr>
        <w:ind w:left="2716" w:hanging="72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076" w:hanging="1080"/>
      </w:pPr>
      <w:rPr>
        <w:rFonts w:hint="default"/>
      </w:rPr>
    </w:lvl>
    <w:lvl w:ilvl="6">
      <w:start w:val="1"/>
      <w:numFmt w:val="decimal"/>
      <w:isLgl/>
      <w:lvlText w:val="%1.%2.%3.%4.%5.%6.%7"/>
      <w:lvlJc w:val="left"/>
      <w:pPr>
        <w:ind w:left="3436" w:hanging="1440"/>
      </w:pPr>
      <w:rPr>
        <w:rFonts w:hint="default"/>
      </w:rPr>
    </w:lvl>
    <w:lvl w:ilvl="7">
      <w:start w:val="1"/>
      <w:numFmt w:val="decimal"/>
      <w:isLgl/>
      <w:lvlText w:val="%1.%2.%3.%4.%5.%6.%7.%8"/>
      <w:lvlJc w:val="left"/>
      <w:pPr>
        <w:ind w:left="3436" w:hanging="1440"/>
      </w:pPr>
      <w:rPr>
        <w:rFonts w:hint="default"/>
      </w:rPr>
    </w:lvl>
    <w:lvl w:ilvl="8">
      <w:start w:val="1"/>
      <w:numFmt w:val="decimal"/>
      <w:isLgl/>
      <w:lvlText w:val="%1.%2.%3.%4.%5.%6.%7.%8.%9"/>
      <w:lvlJc w:val="left"/>
      <w:pPr>
        <w:ind w:left="3796" w:hanging="1800"/>
      </w:pPr>
      <w:rPr>
        <w:rFonts w:hint="default"/>
      </w:rPr>
    </w:lvl>
  </w:abstractNum>
  <w:abstractNum w:abstractNumId="113" w15:restartNumberingAfterBreak="0">
    <w:nsid w:val="796276F3"/>
    <w:multiLevelType w:val="hybridMultilevel"/>
    <w:tmpl w:val="E9F2972A"/>
    <w:lvl w:ilvl="0" w:tplc="040C000F">
      <w:start w:val="6"/>
      <w:numFmt w:val="bullet"/>
      <w:lvlText w:val="-"/>
      <w:lvlJc w:val="left"/>
      <w:pPr>
        <w:ind w:left="540" w:hanging="360"/>
      </w:pPr>
      <w:rPr>
        <w:rFonts w:ascii="Times New Roman" w:eastAsiaTheme="minorHAnsi" w:hAnsi="Times New Roman" w:cs="Times New Roman" w:hint="default"/>
        <w:b/>
        <w:bCs/>
      </w:rPr>
    </w:lvl>
    <w:lvl w:ilvl="1" w:tplc="040C0019" w:tentative="1">
      <w:start w:val="1"/>
      <w:numFmt w:val="bullet"/>
      <w:lvlText w:val="o"/>
      <w:lvlJc w:val="left"/>
      <w:pPr>
        <w:ind w:left="1260" w:hanging="360"/>
      </w:pPr>
      <w:rPr>
        <w:rFonts w:ascii="Courier New" w:hAnsi="Courier New" w:cs="Courier New" w:hint="default"/>
      </w:rPr>
    </w:lvl>
    <w:lvl w:ilvl="2" w:tplc="040C001B" w:tentative="1">
      <w:start w:val="1"/>
      <w:numFmt w:val="bullet"/>
      <w:lvlText w:val=""/>
      <w:lvlJc w:val="left"/>
      <w:pPr>
        <w:ind w:left="1980" w:hanging="360"/>
      </w:pPr>
      <w:rPr>
        <w:rFonts w:ascii="Wingdings" w:hAnsi="Wingdings" w:hint="default"/>
      </w:rPr>
    </w:lvl>
    <w:lvl w:ilvl="3" w:tplc="040C000F" w:tentative="1">
      <w:start w:val="1"/>
      <w:numFmt w:val="bullet"/>
      <w:lvlText w:val=""/>
      <w:lvlJc w:val="left"/>
      <w:pPr>
        <w:ind w:left="2700" w:hanging="360"/>
      </w:pPr>
      <w:rPr>
        <w:rFonts w:ascii="Symbol" w:hAnsi="Symbol" w:hint="default"/>
      </w:rPr>
    </w:lvl>
    <w:lvl w:ilvl="4" w:tplc="040C0019" w:tentative="1">
      <w:start w:val="1"/>
      <w:numFmt w:val="bullet"/>
      <w:lvlText w:val="o"/>
      <w:lvlJc w:val="left"/>
      <w:pPr>
        <w:ind w:left="3420" w:hanging="360"/>
      </w:pPr>
      <w:rPr>
        <w:rFonts w:ascii="Courier New" w:hAnsi="Courier New" w:cs="Courier New" w:hint="default"/>
      </w:rPr>
    </w:lvl>
    <w:lvl w:ilvl="5" w:tplc="040C001B" w:tentative="1">
      <w:start w:val="1"/>
      <w:numFmt w:val="bullet"/>
      <w:lvlText w:val=""/>
      <w:lvlJc w:val="left"/>
      <w:pPr>
        <w:ind w:left="4140" w:hanging="360"/>
      </w:pPr>
      <w:rPr>
        <w:rFonts w:ascii="Wingdings" w:hAnsi="Wingdings" w:hint="default"/>
      </w:rPr>
    </w:lvl>
    <w:lvl w:ilvl="6" w:tplc="040C000F" w:tentative="1">
      <w:start w:val="1"/>
      <w:numFmt w:val="bullet"/>
      <w:lvlText w:val=""/>
      <w:lvlJc w:val="left"/>
      <w:pPr>
        <w:ind w:left="4860" w:hanging="360"/>
      </w:pPr>
      <w:rPr>
        <w:rFonts w:ascii="Symbol" w:hAnsi="Symbol" w:hint="default"/>
      </w:rPr>
    </w:lvl>
    <w:lvl w:ilvl="7" w:tplc="040C0019" w:tentative="1">
      <w:start w:val="1"/>
      <w:numFmt w:val="bullet"/>
      <w:lvlText w:val="o"/>
      <w:lvlJc w:val="left"/>
      <w:pPr>
        <w:ind w:left="5580" w:hanging="360"/>
      </w:pPr>
      <w:rPr>
        <w:rFonts w:ascii="Courier New" w:hAnsi="Courier New" w:cs="Courier New" w:hint="default"/>
      </w:rPr>
    </w:lvl>
    <w:lvl w:ilvl="8" w:tplc="040C001B" w:tentative="1">
      <w:start w:val="1"/>
      <w:numFmt w:val="bullet"/>
      <w:lvlText w:val=""/>
      <w:lvlJc w:val="left"/>
      <w:pPr>
        <w:ind w:left="6300" w:hanging="360"/>
      </w:pPr>
      <w:rPr>
        <w:rFonts w:ascii="Wingdings" w:hAnsi="Wingdings" w:hint="default"/>
      </w:rPr>
    </w:lvl>
  </w:abstractNum>
  <w:abstractNum w:abstractNumId="114" w15:restartNumberingAfterBreak="0">
    <w:nsid w:val="79865EDD"/>
    <w:multiLevelType w:val="hybridMultilevel"/>
    <w:tmpl w:val="DC88DC20"/>
    <w:lvl w:ilvl="0" w:tplc="51BC1E9A">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5" w15:restartNumberingAfterBreak="0">
    <w:nsid w:val="7A777FBB"/>
    <w:multiLevelType w:val="hybridMultilevel"/>
    <w:tmpl w:val="194CDBAE"/>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6" w15:restartNumberingAfterBreak="0">
    <w:nsid w:val="7B3327C0"/>
    <w:multiLevelType w:val="hybridMultilevel"/>
    <w:tmpl w:val="46C2D41A"/>
    <w:lvl w:ilvl="0" w:tplc="C742C8E6">
      <w:start w:val="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7BC8713F"/>
    <w:multiLevelType w:val="hybridMultilevel"/>
    <w:tmpl w:val="91DAD6DA"/>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8" w15:restartNumberingAfterBreak="0">
    <w:nsid w:val="7BEC635E"/>
    <w:multiLevelType w:val="multilevel"/>
    <w:tmpl w:val="C7B032BA"/>
    <w:lvl w:ilvl="0">
      <w:start w:val="1"/>
      <w:numFmt w:val="decimal"/>
      <w:lvlText w:val="%1"/>
      <w:lvlJc w:val="left"/>
      <w:pPr>
        <w:ind w:left="432" w:hanging="432"/>
      </w:pPr>
      <w:rPr>
        <w:rFonts w:hint="default"/>
      </w:rPr>
    </w:lvl>
    <w:lvl w:ilvl="1">
      <w:start w:val="1"/>
      <w:numFmt w:val="decimal"/>
      <w:lvlText w:val="%1.%2"/>
      <w:lvlJc w:val="left"/>
      <w:pPr>
        <w:ind w:left="1711" w:hanging="576"/>
      </w:pPr>
      <w:rPr>
        <w:rFonts w:hint="default"/>
      </w:rPr>
    </w:lvl>
    <w:lvl w:ilvl="2">
      <w:start w:val="1"/>
      <w:numFmt w:val="decimal"/>
      <w:lvlText w:val="%1.3"/>
      <w:lvlJc w:val="left"/>
      <w:pPr>
        <w:ind w:left="3414" w:hanging="720"/>
      </w:pPr>
      <w:rPr>
        <w:rFonts w:hint="default"/>
        <w:b/>
        <w:bCs/>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7C395C79"/>
    <w:multiLevelType w:val="hybridMultilevel"/>
    <w:tmpl w:val="A4B09CB0"/>
    <w:lvl w:ilvl="0" w:tplc="C742C8E6">
      <w:start w:val="4"/>
      <w:numFmt w:val="bullet"/>
      <w:lvlText w:val="-"/>
      <w:lvlJc w:val="left"/>
      <w:pPr>
        <w:ind w:left="1429" w:hanging="360"/>
      </w:pPr>
      <w:rPr>
        <w:rFonts w:ascii="Times New Roman" w:eastAsia="Calibr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0" w15:restartNumberingAfterBreak="0">
    <w:nsid w:val="7C71432C"/>
    <w:multiLevelType w:val="multilevel"/>
    <w:tmpl w:val="131EA56C"/>
    <w:styleLink w:val="Style5"/>
    <w:lvl w:ilvl="0">
      <w:start w:val="1"/>
      <w:numFmt w:val="decimal"/>
      <w:lvlText w:val="%1"/>
      <w:lvlJc w:val="left"/>
      <w:pPr>
        <w:ind w:left="360" w:hanging="360"/>
      </w:pPr>
      <w:rPr>
        <w:rFonts w:ascii="Times New Roman" w:hAnsi="Times New Roman" w:cs="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7E4B4A6A"/>
    <w:multiLevelType w:val="hybridMultilevel"/>
    <w:tmpl w:val="FF18BF94"/>
    <w:lvl w:ilvl="0" w:tplc="F14A3936">
      <w:start w:val="1"/>
      <w:numFmt w:val="bullet"/>
      <w:lvlText w:val=""/>
      <w:lvlJc w:val="left"/>
      <w:pPr>
        <w:ind w:left="1789" w:hanging="360"/>
      </w:pPr>
      <w:rPr>
        <w:rFonts w:ascii="Symbol" w:hAnsi="Symbol"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num w:numId="1">
    <w:abstractNumId w:val="4"/>
  </w:num>
  <w:num w:numId="2">
    <w:abstractNumId w:val="21"/>
  </w:num>
  <w:num w:numId="3">
    <w:abstractNumId w:val="90"/>
  </w:num>
  <w:num w:numId="4">
    <w:abstractNumId w:val="23"/>
  </w:num>
  <w:num w:numId="5">
    <w:abstractNumId w:val="76"/>
  </w:num>
  <w:num w:numId="6">
    <w:abstractNumId w:val="16"/>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101"/>
  </w:num>
  <w:num w:numId="9">
    <w:abstractNumId w:val="43"/>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113"/>
  </w:num>
  <w:num w:numId="12">
    <w:abstractNumId w:val="7"/>
  </w:num>
  <w:num w:numId="13">
    <w:abstractNumId w:val="75"/>
  </w:num>
  <w:num w:numId="14">
    <w:abstractNumId w:val="67"/>
  </w:num>
  <w:num w:numId="15">
    <w:abstractNumId w:val="34"/>
  </w:num>
  <w:num w:numId="16">
    <w:abstractNumId w:val="36"/>
  </w:num>
  <w:num w:numId="17">
    <w:abstractNumId w:val="108"/>
  </w:num>
  <w:num w:numId="18">
    <w:abstractNumId w:val="19"/>
  </w:num>
  <w:num w:numId="19">
    <w:abstractNumId w:val="37"/>
  </w:num>
  <w:num w:numId="20">
    <w:abstractNumId w:val="65"/>
  </w:num>
  <w:num w:numId="21">
    <w:abstractNumId w:val="38"/>
  </w:num>
  <w:num w:numId="22">
    <w:abstractNumId w:val="63"/>
  </w:num>
  <w:num w:numId="23">
    <w:abstractNumId w:val="102"/>
  </w:num>
  <w:num w:numId="24">
    <w:abstractNumId w:val="111"/>
  </w:num>
  <w:num w:numId="25">
    <w:abstractNumId w:val="86"/>
  </w:num>
  <w:num w:numId="26">
    <w:abstractNumId w:val="35"/>
  </w:num>
  <w:num w:numId="27">
    <w:abstractNumId w:val="14"/>
  </w:num>
  <w:num w:numId="28">
    <w:abstractNumId w:val="121"/>
  </w:num>
  <w:num w:numId="29">
    <w:abstractNumId w:val="112"/>
  </w:num>
  <w:num w:numId="30">
    <w:abstractNumId w:val="24"/>
  </w:num>
  <w:num w:numId="31">
    <w:abstractNumId w:val="12"/>
  </w:num>
  <w:num w:numId="32">
    <w:abstractNumId w:val="70"/>
  </w:num>
  <w:num w:numId="33">
    <w:abstractNumId w:val="98"/>
  </w:num>
  <w:num w:numId="34">
    <w:abstractNumId w:val="53"/>
  </w:num>
  <w:num w:numId="35">
    <w:abstractNumId w:val="17"/>
  </w:num>
  <w:num w:numId="36">
    <w:abstractNumId w:val="41"/>
  </w:num>
  <w:num w:numId="37">
    <w:abstractNumId w:val="95"/>
  </w:num>
  <w:num w:numId="38">
    <w:abstractNumId w:val="13"/>
  </w:num>
  <w:num w:numId="39">
    <w:abstractNumId w:val="33"/>
  </w:num>
  <w:num w:numId="40">
    <w:abstractNumId w:val="32"/>
  </w:num>
  <w:num w:numId="41">
    <w:abstractNumId w:val="85"/>
  </w:num>
  <w:num w:numId="42">
    <w:abstractNumId w:val="69"/>
  </w:num>
  <w:num w:numId="43">
    <w:abstractNumId w:val="54"/>
  </w:num>
  <w:num w:numId="44">
    <w:abstractNumId w:val="22"/>
  </w:num>
  <w:num w:numId="45">
    <w:abstractNumId w:val="81"/>
  </w:num>
  <w:num w:numId="46">
    <w:abstractNumId w:val="66"/>
  </w:num>
  <w:num w:numId="47">
    <w:abstractNumId w:val="6"/>
  </w:num>
  <w:num w:numId="48">
    <w:abstractNumId w:val="120"/>
  </w:num>
  <w:num w:numId="49">
    <w:abstractNumId w:val="106"/>
  </w:num>
  <w:num w:numId="50">
    <w:abstractNumId w:val="56"/>
  </w:num>
  <w:num w:numId="51">
    <w:abstractNumId w:val="50"/>
  </w:num>
  <w:num w:numId="52">
    <w:abstractNumId w:val="78"/>
  </w:num>
  <w:num w:numId="53">
    <w:abstractNumId w:val="100"/>
  </w:num>
  <w:num w:numId="54">
    <w:abstractNumId w:val="51"/>
  </w:num>
  <w:num w:numId="55">
    <w:abstractNumId w:val="20"/>
  </w:num>
  <w:num w:numId="56">
    <w:abstractNumId w:val="68"/>
  </w:num>
  <w:num w:numId="57">
    <w:abstractNumId w:val="97"/>
  </w:num>
  <w:num w:numId="58">
    <w:abstractNumId w:val="18"/>
  </w:num>
  <w:num w:numId="59">
    <w:abstractNumId w:val="44"/>
  </w:num>
  <w:num w:numId="60">
    <w:abstractNumId w:val="52"/>
  </w:num>
  <w:num w:numId="61">
    <w:abstractNumId w:val="91"/>
  </w:num>
  <w:num w:numId="62">
    <w:abstractNumId w:val="79"/>
  </w:num>
  <w:num w:numId="63">
    <w:abstractNumId w:val="83"/>
  </w:num>
  <w:num w:numId="64">
    <w:abstractNumId w:val="39"/>
  </w:num>
  <w:num w:numId="65">
    <w:abstractNumId w:val="3"/>
  </w:num>
  <w:num w:numId="66">
    <w:abstractNumId w:val="8"/>
  </w:num>
  <w:num w:numId="67">
    <w:abstractNumId w:val="115"/>
  </w:num>
  <w:num w:numId="68">
    <w:abstractNumId w:val="77"/>
  </w:num>
  <w:num w:numId="69">
    <w:abstractNumId w:val="9"/>
  </w:num>
  <w:num w:numId="70">
    <w:abstractNumId w:val="1"/>
  </w:num>
  <w:num w:numId="71">
    <w:abstractNumId w:val="26"/>
  </w:num>
  <w:num w:numId="72">
    <w:abstractNumId w:val="73"/>
  </w:num>
  <w:num w:numId="73">
    <w:abstractNumId w:val="119"/>
  </w:num>
  <w:num w:numId="74">
    <w:abstractNumId w:val="5"/>
  </w:num>
  <w:num w:numId="75">
    <w:abstractNumId w:val="55"/>
  </w:num>
  <w:num w:numId="76">
    <w:abstractNumId w:val="105"/>
  </w:num>
  <w:num w:numId="77">
    <w:abstractNumId w:val="104"/>
  </w:num>
  <w:num w:numId="78">
    <w:abstractNumId w:val="46"/>
  </w:num>
  <w:num w:numId="79">
    <w:abstractNumId w:val="117"/>
  </w:num>
  <w:num w:numId="80">
    <w:abstractNumId w:val="59"/>
  </w:num>
  <w:num w:numId="81">
    <w:abstractNumId w:val="109"/>
  </w:num>
  <w:num w:numId="82">
    <w:abstractNumId w:val="72"/>
  </w:num>
  <w:num w:numId="83">
    <w:abstractNumId w:val="30"/>
  </w:num>
  <w:num w:numId="84">
    <w:abstractNumId w:val="47"/>
  </w:num>
  <w:num w:numId="85">
    <w:abstractNumId w:val="2"/>
  </w:num>
  <w:num w:numId="86">
    <w:abstractNumId w:val="58"/>
  </w:num>
  <w:num w:numId="87">
    <w:abstractNumId w:val="89"/>
  </w:num>
  <w:num w:numId="88">
    <w:abstractNumId w:val="40"/>
  </w:num>
  <w:num w:numId="89">
    <w:abstractNumId w:val="29"/>
  </w:num>
  <w:num w:numId="90">
    <w:abstractNumId w:val="107"/>
  </w:num>
  <w:num w:numId="91">
    <w:abstractNumId w:val="60"/>
  </w:num>
  <w:num w:numId="92">
    <w:abstractNumId w:val="116"/>
  </w:num>
  <w:num w:numId="93">
    <w:abstractNumId w:val="28"/>
  </w:num>
  <w:num w:numId="94">
    <w:abstractNumId w:val="84"/>
  </w:num>
  <w:num w:numId="95">
    <w:abstractNumId w:val="93"/>
  </w:num>
  <w:num w:numId="96">
    <w:abstractNumId w:val="31"/>
  </w:num>
  <w:num w:numId="97">
    <w:abstractNumId w:val="82"/>
  </w:num>
  <w:num w:numId="98">
    <w:abstractNumId w:val="71"/>
  </w:num>
  <w:num w:numId="99">
    <w:abstractNumId w:val="80"/>
  </w:num>
  <w:num w:numId="100">
    <w:abstractNumId w:val="27"/>
  </w:num>
  <w:num w:numId="101">
    <w:abstractNumId w:val="57"/>
  </w:num>
  <w:num w:numId="102">
    <w:abstractNumId w:val="99"/>
  </w:num>
  <w:num w:numId="103">
    <w:abstractNumId w:val="48"/>
  </w:num>
  <w:num w:numId="104">
    <w:abstractNumId w:val="10"/>
  </w:num>
  <w:num w:numId="105">
    <w:abstractNumId w:val="103"/>
  </w:num>
  <w:num w:numId="106">
    <w:abstractNumId w:val="64"/>
  </w:num>
  <w:num w:numId="107">
    <w:abstractNumId w:val="15"/>
  </w:num>
  <w:num w:numId="108">
    <w:abstractNumId w:val="88"/>
  </w:num>
  <w:num w:numId="109">
    <w:abstractNumId w:val="74"/>
  </w:num>
  <w:num w:numId="110">
    <w:abstractNumId w:val="62"/>
  </w:num>
  <w:num w:numId="111">
    <w:abstractNumId w:val="92"/>
  </w:num>
  <w:num w:numId="112">
    <w:abstractNumId w:val="25"/>
  </w:num>
  <w:num w:numId="113">
    <w:abstractNumId w:val="61"/>
  </w:num>
  <w:num w:numId="114">
    <w:abstractNumId w:val="42"/>
  </w:num>
  <w:num w:numId="115">
    <w:abstractNumId w:val="114"/>
  </w:num>
  <w:num w:numId="116">
    <w:abstractNumId w:val="118"/>
  </w:num>
  <w:num w:numId="117">
    <w:abstractNumId w:val="110"/>
  </w:num>
  <w:num w:numId="118">
    <w:abstractNumId w:val="11"/>
  </w:num>
  <w:num w:numId="119">
    <w:abstractNumId w:val="96"/>
  </w:num>
  <w:num w:numId="120">
    <w:abstractNumId w:val="45"/>
  </w:num>
  <w:num w:numId="121">
    <w:abstractNumId w:val="94"/>
  </w:num>
  <w:num w:numId="122">
    <w:abstractNumId w:val="87"/>
  </w:num>
  <w:num w:numId="123">
    <w:abstractNumId w:val="4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GB" w:vendorID="64" w:dllVersion="6" w:nlCheck="1" w:checkStyle="0"/>
  <w:activeWritingStyle w:appName="MSWord" w:lang="en-US" w:vendorID="64" w:dllVersion="6" w:nlCheck="1" w:checkStyle="0"/>
  <w:activeWritingStyle w:appName="MSWord" w:lang="ar-SA" w:vendorID="64" w:dllVersion="6" w:nlCheck="1" w:checkStyle="0"/>
  <w:activeWritingStyle w:appName="MSWord" w:lang="fr-FR" w:vendorID="64" w:dllVersion="6" w:nlCheck="1" w:checkStyle="0"/>
  <w:activeWritingStyle w:appName="MSWord" w:lang="ar-DZ" w:vendorID="64" w:dllVersion="6" w:nlCheck="1" w:checkStyle="0"/>
  <w:activeWritingStyle w:appName="MSWord" w:lang="fr-FR"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ar-DZ" w:vendorID="64" w:dllVersion="4096" w:nlCheck="1" w:checkStyle="0"/>
  <w:activeWritingStyle w:appName="MSWord" w:lang="en-US" w:vendorID="64" w:dllVersion="4096" w:nlCheck="1" w:checkStyle="0"/>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ar-SA" w:vendorID="64" w:dllVersion="131078" w:nlCheck="1" w:checkStyle="0"/>
  <w:activeWritingStyle w:appName="MSWord" w:lang="ar-DZ"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0B2"/>
    <w:rsid w:val="00000B62"/>
    <w:rsid w:val="00001722"/>
    <w:rsid w:val="000017A3"/>
    <w:rsid w:val="00002215"/>
    <w:rsid w:val="000025FD"/>
    <w:rsid w:val="00003027"/>
    <w:rsid w:val="0000355F"/>
    <w:rsid w:val="00003CE2"/>
    <w:rsid w:val="00004ED5"/>
    <w:rsid w:val="0000518C"/>
    <w:rsid w:val="00005F4A"/>
    <w:rsid w:val="0000609B"/>
    <w:rsid w:val="0000689D"/>
    <w:rsid w:val="00006FAD"/>
    <w:rsid w:val="00007347"/>
    <w:rsid w:val="0001003B"/>
    <w:rsid w:val="00010072"/>
    <w:rsid w:val="00011D33"/>
    <w:rsid w:val="000121F4"/>
    <w:rsid w:val="00012555"/>
    <w:rsid w:val="000127DE"/>
    <w:rsid w:val="000134BA"/>
    <w:rsid w:val="00013A1B"/>
    <w:rsid w:val="00014410"/>
    <w:rsid w:val="0001491E"/>
    <w:rsid w:val="00014F9A"/>
    <w:rsid w:val="00015006"/>
    <w:rsid w:val="0001534A"/>
    <w:rsid w:val="0001535E"/>
    <w:rsid w:val="00016B38"/>
    <w:rsid w:val="00016B7D"/>
    <w:rsid w:val="0001706C"/>
    <w:rsid w:val="00017782"/>
    <w:rsid w:val="00017FA2"/>
    <w:rsid w:val="00020954"/>
    <w:rsid w:val="00020C56"/>
    <w:rsid w:val="00021BB2"/>
    <w:rsid w:val="00021CA6"/>
    <w:rsid w:val="000236A2"/>
    <w:rsid w:val="00024B63"/>
    <w:rsid w:val="00025510"/>
    <w:rsid w:val="0002647B"/>
    <w:rsid w:val="0002649F"/>
    <w:rsid w:val="00026A05"/>
    <w:rsid w:val="00030160"/>
    <w:rsid w:val="00030638"/>
    <w:rsid w:val="0003075A"/>
    <w:rsid w:val="000337CE"/>
    <w:rsid w:val="000338E2"/>
    <w:rsid w:val="00034CC9"/>
    <w:rsid w:val="00035AC3"/>
    <w:rsid w:val="0003611D"/>
    <w:rsid w:val="0003654C"/>
    <w:rsid w:val="00036D1D"/>
    <w:rsid w:val="00037758"/>
    <w:rsid w:val="0003785C"/>
    <w:rsid w:val="0004035B"/>
    <w:rsid w:val="000407F9"/>
    <w:rsid w:val="00040B1C"/>
    <w:rsid w:val="0004171B"/>
    <w:rsid w:val="00042967"/>
    <w:rsid w:val="00043015"/>
    <w:rsid w:val="00043C56"/>
    <w:rsid w:val="0004405E"/>
    <w:rsid w:val="00050A0B"/>
    <w:rsid w:val="00050B79"/>
    <w:rsid w:val="00050DC4"/>
    <w:rsid w:val="00052162"/>
    <w:rsid w:val="000534DC"/>
    <w:rsid w:val="000539F7"/>
    <w:rsid w:val="000543AE"/>
    <w:rsid w:val="000552FF"/>
    <w:rsid w:val="000567B2"/>
    <w:rsid w:val="0005727F"/>
    <w:rsid w:val="00057C8B"/>
    <w:rsid w:val="00061420"/>
    <w:rsid w:val="00062A85"/>
    <w:rsid w:val="0006444B"/>
    <w:rsid w:val="00064593"/>
    <w:rsid w:val="00064771"/>
    <w:rsid w:val="000664D0"/>
    <w:rsid w:val="000677A5"/>
    <w:rsid w:val="000713D4"/>
    <w:rsid w:val="0007143C"/>
    <w:rsid w:val="00071DF1"/>
    <w:rsid w:val="000725A0"/>
    <w:rsid w:val="00072BEE"/>
    <w:rsid w:val="00074D17"/>
    <w:rsid w:val="000757BB"/>
    <w:rsid w:val="000761E1"/>
    <w:rsid w:val="0007636F"/>
    <w:rsid w:val="00081106"/>
    <w:rsid w:val="000828DC"/>
    <w:rsid w:val="000840C0"/>
    <w:rsid w:val="00084216"/>
    <w:rsid w:val="000847B9"/>
    <w:rsid w:val="00085405"/>
    <w:rsid w:val="00085C27"/>
    <w:rsid w:val="0009055E"/>
    <w:rsid w:val="0009085F"/>
    <w:rsid w:val="000908ED"/>
    <w:rsid w:val="000909AC"/>
    <w:rsid w:val="0009159A"/>
    <w:rsid w:val="00091CB5"/>
    <w:rsid w:val="0009206A"/>
    <w:rsid w:val="0009209B"/>
    <w:rsid w:val="000920F0"/>
    <w:rsid w:val="00092E51"/>
    <w:rsid w:val="00094689"/>
    <w:rsid w:val="00095457"/>
    <w:rsid w:val="0009660C"/>
    <w:rsid w:val="00096C4F"/>
    <w:rsid w:val="000A0012"/>
    <w:rsid w:val="000A08D4"/>
    <w:rsid w:val="000A160A"/>
    <w:rsid w:val="000A1E7B"/>
    <w:rsid w:val="000A4096"/>
    <w:rsid w:val="000A4488"/>
    <w:rsid w:val="000A44AF"/>
    <w:rsid w:val="000A45D4"/>
    <w:rsid w:val="000A4725"/>
    <w:rsid w:val="000A557B"/>
    <w:rsid w:val="000A58A4"/>
    <w:rsid w:val="000A5E73"/>
    <w:rsid w:val="000B0306"/>
    <w:rsid w:val="000B1585"/>
    <w:rsid w:val="000B20C0"/>
    <w:rsid w:val="000B294A"/>
    <w:rsid w:val="000B3C07"/>
    <w:rsid w:val="000B40EC"/>
    <w:rsid w:val="000B652D"/>
    <w:rsid w:val="000B7F2A"/>
    <w:rsid w:val="000C0886"/>
    <w:rsid w:val="000C0FB5"/>
    <w:rsid w:val="000C1CC2"/>
    <w:rsid w:val="000C28B1"/>
    <w:rsid w:val="000C2C4C"/>
    <w:rsid w:val="000C3621"/>
    <w:rsid w:val="000C41D8"/>
    <w:rsid w:val="000C5474"/>
    <w:rsid w:val="000C6183"/>
    <w:rsid w:val="000C6257"/>
    <w:rsid w:val="000C65EE"/>
    <w:rsid w:val="000C6EB7"/>
    <w:rsid w:val="000C74A5"/>
    <w:rsid w:val="000D05D3"/>
    <w:rsid w:val="000D1131"/>
    <w:rsid w:val="000D20B5"/>
    <w:rsid w:val="000D2344"/>
    <w:rsid w:val="000D3737"/>
    <w:rsid w:val="000D374E"/>
    <w:rsid w:val="000D421A"/>
    <w:rsid w:val="000D5520"/>
    <w:rsid w:val="000D6228"/>
    <w:rsid w:val="000D62A7"/>
    <w:rsid w:val="000D712D"/>
    <w:rsid w:val="000D7704"/>
    <w:rsid w:val="000E09D0"/>
    <w:rsid w:val="000E0C02"/>
    <w:rsid w:val="000E1009"/>
    <w:rsid w:val="000E2EE6"/>
    <w:rsid w:val="000E34D9"/>
    <w:rsid w:val="000E36D9"/>
    <w:rsid w:val="000E3AFB"/>
    <w:rsid w:val="000E5F2E"/>
    <w:rsid w:val="000E73D3"/>
    <w:rsid w:val="000F21BE"/>
    <w:rsid w:val="000F25EC"/>
    <w:rsid w:val="000F264B"/>
    <w:rsid w:val="000F3477"/>
    <w:rsid w:val="000F35FB"/>
    <w:rsid w:val="000F4546"/>
    <w:rsid w:val="000F4D63"/>
    <w:rsid w:val="000F4FE9"/>
    <w:rsid w:val="000F58DB"/>
    <w:rsid w:val="000F58F6"/>
    <w:rsid w:val="000F6C86"/>
    <w:rsid w:val="000F76E0"/>
    <w:rsid w:val="000F7C95"/>
    <w:rsid w:val="00100F8A"/>
    <w:rsid w:val="001017F5"/>
    <w:rsid w:val="00101A6A"/>
    <w:rsid w:val="00101FAA"/>
    <w:rsid w:val="00103C6F"/>
    <w:rsid w:val="001042DA"/>
    <w:rsid w:val="00104E60"/>
    <w:rsid w:val="00107C67"/>
    <w:rsid w:val="001119C6"/>
    <w:rsid w:val="001124FF"/>
    <w:rsid w:val="00112B8C"/>
    <w:rsid w:val="00112C2C"/>
    <w:rsid w:val="00113EB5"/>
    <w:rsid w:val="001141D1"/>
    <w:rsid w:val="00114526"/>
    <w:rsid w:val="00115979"/>
    <w:rsid w:val="00115B07"/>
    <w:rsid w:val="001171EB"/>
    <w:rsid w:val="00120365"/>
    <w:rsid w:val="001206A2"/>
    <w:rsid w:val="001218D4"/>
    <w:rsid w:val="00121985"/>
    <w:rsid w:val="00124B9E"/>
    <w:rsid w:val="00124CDB"/>
    <w:rsid w:val="00124D71"/>
    <w:rsid w:val="001253CB"/>
    <w:rsid w:val="00125B50"/>
    <w:rsid w:val="001262C2"/>
    <w:rsid w:val="001279F7"/>
    <w:rsid w:val="00130D51"/>
    <w:rsid w:val="00131837"/>
    <w:rsid w:val="00132B11"/>
    <w:rsid w:val="00132C24"/>
    <w:rsid w:val="001350AC"/>
    <w:rsid w:val="001361E3"/>
    <w:rsid w:val="00136362"/>
    <w:rsid w:val="001374DC"/>
    <w:rsid w:val="00137F93"/>
    <w:rsid w:val="00141464"/>
    <w:rsid w:val="00142068"/>
    <w:rsid w:val="0014270C"/>
    <w:rsid w:val="0014277A"/>
    <w:rsid w:val="00142F1B"/>
    <w:rsid w:val="00143151"/>
    <w:rsid w:val="0014539F"/>
    <w:rsid w:val="001459FC"/>
    <w:rsid w:val="00145C54"/>
    <w:rsid w:val="001500F5"/>
    <w:rsid w:val="00150AAB"/>
    <w:rsid w:val="00151EB7"/>
    <w:rsid w:val="0015217A"/>
    <w:rsid w:val="0015232B"/>
    <w:rsid w:val="001523D0"/>
    <w:rsid w:val="00152951"/>
    <w:rsid w:val="00152A70"/>
    <w:rsid w:val="00154665"/>
    <w:rsid w:val="00155961"/>
    <w:rsid w:val="00155E23"/>
    <w:rsid w:val="0015642F"/>
    <w:rsid w:val="001570AE"/>
    <w:rsid w:val="001576EE"/>
    <w:rsid w:val="00157C22"/>
    <w:rsid w:val="0016120E"/>
    <w:rsid w:val="001618EF"/>
    <w:rsid w:val="00163014"/>
    <w:rsid w:val="0016334A"/>
    <w:rsid w:val="001634E3"/>
    <w:rsid w:val="001646D8"/>
    <w:rsid w:val="001660CD"/>
    <w:rsid w:val="00166B60"/>
    <w:rsid w:val="00167B02"/>
    <w:rsid w:val="00167FD3"/>
    <w:rsid w:val="00170BD7"/>
    <w:rsid w:val="00171066"/>
    <w:rsid w:val="0017269A"/>
    <w:rsid w:val="00173153"/>
    <w:rsid w:val="00173C6C"/>
    <w:rsid w:val="00173D84"/>
    <w:rsid w:val="00174194"/>
    <w:rsid w:val="00174DE1"/>
    <w:rsid w:val="00176096"/>
    <w:rsid w:val="00176C45"/>
    <w:rsid w:val="00181A71"/>
    <w:rsid w:val="00181EAA"/>
    <w:rsid w:val="001829DA"/>
    <w:rsid w:val="00183829"/>
    <w:rsid w:val="00183B5B"/>
    <w:rsid w:val="00183EF3"/>
    <w:rsid w:val="00183FF8"/>
    <w:rsid w:val="00184037"/>
    <w:rsid w:val="0018499B"/>
    <w:rsid w:val="00186AAF"/>
    <w:rsid w:val="0018705F"/>
    <w:rsid w:val="001872FA"/>
    <w:rsid w:val="00187692"/>
    <w:rsid w:val="00191520"/>
    <w:rsid w:val="0019158D"/>
    <w:rsid w:val="00191748"/>
    <w:rsid w:val="00191A21"/>
    <w:rsid w:val="00192130"/>
    <w:rsid w:val="0019275D"/>
    <w:rsid w:val="00194022"/>
    <w:rsid w:val="00194157"/>
    <w:rsid w:val="00196BDE"/>
    <w:rsid w:val="00197AF6"/>
    <w:rsid w:val="00197D30"/>
    <w:rsid w:val="00197F30"/>
    <w:rsid w:val="001A0654"/>
    <w:rsid w:val="001A44A2"/>
    <w:rsid w:val="001A44FF"/>
    <w:rsid w:val="001A6DD4"/>
    <w:rsid w:val="001A6F65"/>
    <w:rsid w:val="001A7690"/>
    <w:rsid w:val="001A77C8"/>
    <w:rsid w:val="001A7B7A"/>
    <w:rsid w:val="001B0405"/>
    <w:rsid w:val="001B0C8D"/>
    <w:rsid w:val="001B2776"/>
    <w:rsid w:val="001B2B08"/>
    <w:rsid w:val="001B3EBD"/>
    <w:rsid w:val="001B4F9C"/>
    <w:rsid w:val="001B5BC7"/>
    <w:rsid w:val="001B5EEF"/>
    <w:rsid w:val="001C130F"/>
    <w:rsid w:val="001C2267"/>
    <w:rsid w:val="001C39ED"/>
    <w:rsid w:val="001C4C52"/>
    <w:rsid w:val="001C7ADF"/>
    <w:rsid w:val="001C7F14"/>
    <w:rsid w:val="001D20C5"/>
    <w:rsid w:val="001D31D6"/>
    <w:rsid w:val="001D32EA"/>
    <w:rsid w:val="001D3441"/>
    <w:rsid w:val="001D6DE2"/>
    <w:rsid w:val="001D6F61"/>
    <w:rsid w:val="001D73CC"/>
    <w:rsid w:val="001D7779"/>
    <w:rsid w:val="001E185F"/>
    <w:rsid w:val="001E2E50"/>
    <w:rsid w:val="001E353C"/>
    <w:rsid w:val="001E4782"/>
    <w:rsid w:val="001E5BDD"/>
    <w:rsid w:val="001E6816"/>
    <w:rsid w:val="001E6FA7"/>
    <w:rsid w:val="001F1A8E"/>
    <w:rsid w:val="001F23C8"/>
    <w:rsid w:val="001F259E"/>
    <w:rsid w:val="001F2DBE"/>
    <w:rsid w:val="001F539E"/>
    <w:rsid w:val="001F5C83"/>
    <w:rsid w:val="001F6066"/>
    <w:rsid w:val="001F6531"/>
    <w:rsid w:val="001F66A0"/>
    <w:rsid w:val="001F7330"/>
    <w:rsid w:val="001F7D30"/>
    <w:rsid w:val="002001BD"/>
    <w:rsid w:val="00201B23"/>
    <w:rsid w:val="002031CF"/>
    <w:rsid w:val="00204CC0"/>
    <w:rsid w:val="0020761A"/>
    <w:rsid w:val="00207B56"/>
    <w:rsid w:val="00210F47"/>
    <w:rsid w:val="0021172B"/>
    <w:rsid w:val="00215ABB"/>
    <w:rsid w:val="00215E5D"/>
    <w:rsid w:val="002164AF"/>
    <w:rsid w:val="00220521"/>
    <w:rsid w:val="00222D9F"/>
    <w:rsid w:val="00223376"/>
    <w:rsid w:val="00227D4C"/>
    <w:rsid w:val="002302F9"/>
    <w:rsid w:val="00230DBD"/>
    <w:rsid w:val="00231AC6"/>
    <w:rsid w:val="0023231B"/>
    <w:rsid w:val="002336AC"/>
    <w:rsid w:val="00233D15"/>
    <w:rsid w:val="00234733"/>
    <w:rsid w:val="00236460"/>
    <w:rsid w:val="00236A71"/>
    <w:rsid w:val="00237AC4"/>
    <w:rsid w:val="002400E6"/>
    <w:rsid w:val="00240D4A"/>
    <w:rsid w:val="002417B6"/>
    <w:rsid w:val="00242AF8"/>
    <w:rsid w:val="00243D93"/>
    <w:rsid w:val="00245036"/>
    <w:rsid w:val="00245624"/>
    <w:rsid w:val="00245F45"/>
    <w:rsid w:val="002464FA"/>
    <w:rsid w:val="00246A3B"/>
    <w:rsid w:val="002478DC"/>
    <w:rsid w:val="00247C1C"/>
    <w:rsid w:val="002554F6"/>
    <w:rsid w:val="00255B91"/>
    <w:rsid w:val="0025629D"/>
    <w:rsid w:val="00256E51"/>
    <w:rsid w:val="00257AFF"/>
    <w:rsid w:val="002615D5"/>
    <w:rsid w:val="00261F0E"/>
    <w:rsid w:val="00262971"/>
    <w:rsid w:val="00263365"/>
    <w:rsid w:val="00263B07"/>
    <w:rsid w:val="00263B31"/>
    <w:rsid w:val="00264203"/>
    <w:rsid w:val="00265E19"/>
    <w:rsid w:val="00266F48"/>
    <w:rsid w:val="00267AAF"/>
    <w:rsid w:val="0027018B"/>
    <w:rsid w:val="00270EE0"/>
    <w:rsid w:val="00271861"/>
    <w:rsid w:val="00274162"/>
    <w:rsid w:val="00274497"/>
    <w:rsid w:val="002751BF"/>
    <w:rsid w:val="002760B2"/>
    <w:rsid w:val="002764B0"/>
    <w:rsid w:val="002768B8"/>
    <w:rsid w:val="00276FCC"/>
    <w:rsid w:val="002806F0"/>
    <w:rsid w:val="00280797"/>
    <w:rsid w:val="00280ABC"/>
    <w:rsid w:val="00280D4D"/>
    <w:rsid w:val="002814F3"/>
    <w:rsid w:val="002825BE"/>
    <w:rsid w:val="00283630"/>
    <w:rsid w:val="00283B4C"/>
    <w:rsid w:val="00283B74"/>
    <w:rsid w:val="0028400A"/>
    <w:rsid w:val="00284A07"/>
    <w:rsid w:val="00284C2B"/>
    <w:rsid w:val="00284EA8"/>
    <w:rsid w:val="002855F4"/>
    <w:rsid w:val="00286134"/>
    <w:rsid w:val="0028691E"/>
    <w:rsid w:val="002872BD"/>
    <w:rsid w:val="002920D5"/>
    <w:rsid w:val="0029226F"/>
    <w:rsid w:val="002927E4"/>
    <w:rsid w:val="002936ED"/>
    <w:rsid w:val="00293984"/>
    <w:rsid w:val="0029442E"/>
    <w:rsid w:val="00294439"/>
    <w:rsid w:val="00294E19"/>
    <w:rsid w:val="00295499"/>
    <w:rsid w:val="00295EBC"/>
    <w:rsid w:val="00297476"/>
    <w:rsid w:val="0029790E"/>
    <w:rsid w:val="002A14A9"/>
    <w:rsid w:val="002A1612"/>
    <w:rsid w:val="002A3B91"/>
    <w:rsid w:val="002A4282"/>
    <w:rsid w:val="002A5BC8"/>
    <w:rsid w:val="002A5D39"/>
    <w:rsid w:val="002A5D4A"/>
    <w:rsid w:val="002A6613"/>
    <w:rsid w:val="002A72DE"/>
    <w:rsid w:val="002A7C05"/>
    <w:rsid w:val="002B005F"/>
    <w:rsid w:val="002B012B"/>
    <w:rsid w:val="002B0E58"/>
    <w:rsid w:val="002B1153"/>
    <w:rsid w:val="002B1975"/>
    <w:rsid w:val="002B201E"/>
    <w:rsid w:val="002B229D"/>
    <w:rsid w:val="002B2DBE"/>
    <w:rsid w:val="002B3446"/>
    <w:rsid w:val="002B37A6"/>
    <w:rsid w:val="002B5927"/>
    <w:rsid w:val="002B70C0"/>
    <w:rsid w:val="002B7158"/>
    <w:rsid w:val="002B7651"/>
    <w:rsid w:val="002B7AF5"/>
    <w:rsid w:val="002C07BB"/>
    <w:rsid w:val="002C086D"/>
    <w:rsid w:val="002C0FC6"/>
    <w:rsid w:val="002C152E"/>
    <w:rsid w:val="002C1918"/>
    <w:rsid w:val="002C1C34"/>
    <w:rsid w:val="002C3243"/>
    <w:rsid w:val="002C3454"/>
    <w:rsid w:val="002C3C30"/>
    <w:rsid w:val="002C5BB6"/>
    <w:rsid w:val="002C5EFF"/>
    <w:rsid w:val="002C5F50"/>
    <w:rsid w:val="002C60C2"/>
    <w:rsid w:val="002C67F4"/>
    <w:rsid w:val="002C7898"/>
    <w:rsid w:val="002D0485"/>
    <w:rsid w:val="002D0CDA"/>
    <w:rsid w:val="002D119F"/>
    <w:rsid w:val="002D367B"/>
    <w:rsid w:val="002D4416"/>
    <w:rsid w:val="002D5DE4"/>
    <w:rsid w:val="002D5E07"/>
    <w:rsid w:val="002D69A4"/>
    <w:rsid w:val="002E0317"/>
    <w:rsid w:val="002E0CB6"/>
    <w:rsid w:val="002E119C"/>
    <w:rsid w:val="002E1D40"/>
    <w:rsid w:val="002E2F3A"/>
    <w:rsid w:val="002E3099"/>
    <w:rsid w:val="002E3520"/>
    <w:rsid w:val="002E3681"/>
    <w:rsid w:val="002E5129"/>
    <w:rsid w:val="002E5A16"/>
    <w:rsid w:val="002E5CE2"/>
    <w:rsid w:val="002E6080"/>
    <w:rsid w:val="002E7049"/>
    <w:rsid w:val="002E77EB"/>
    <w:rsid w:val="002E78A7"/>
    <w:rsid w:val="002E7BCA"/>
    <w:rsid w:val="002E7F10"/>
    <w:rsid w:val="002F0541"/>
    <w:rsid w:val="002F09CD"/>
    <w:rsid w:val="002F0A97"/>
    <w:rsid w:val="002F0DB5"/>
    <w:rsid w:val="002F16B4"/>
    <w:rsid w:val="002F1E43"/>
    <w:rsid w:val="002F1F64"/>
    <w:rsid w:val="002F215D"/>
    <w:rsid w:val="002F46C1"/>
    <w:rsid w:val="002F47E8"/>
    <w:rsid w:val="002F4B1F"/>
    <w:rsid w:val="002F5876"/>
    <w:rsid w:val="002F6996"/>
    <w:rsid w:val="002F70B2"/>
    <w:rsid w:val="002F7283"/>
    <w:rsid w:val="002F743E"/>
    <w:rsid w:val="002F7CDF"/>
    <w:rsid w:val="00300A5D"/>
    <w:rsid w:val="003010C3"/>
    <w:rsid w:val="003011AB"/>
    <w:rsid w:val="003033EA"/>
    <w:rsid w:val="003055D4"/>
    <w:rsid w:val="00306082"/>
    <w:rsid w:val="003066CB"/>
    <w:rsid w:val="00306997"/>
    <w:rsid w:val="00306D5A"/>
    <w:rsid w:val="00307614"/>
    <w:rsid w:val="00307C80"/>
    <w:rsid w:val="0031049F"/>
    <w:rsid w:val="0031154E"/>
    <w:rsid w:val="00311689"/>
    <w:rsid w:val="003119E6"/>
    <w:rsid w:val="00312E21"/>
    <w:rsid w:val="00313D15"/>
    <w:rsid w:val="00313E63"/>
    <w:rsid w:val="00314360"/>
    <w:rsid w:val="0031438C"/>
    <w:rsid w:val="00314B55"/>
    <w:rsid w:val="00314D33"/>
    <w:rsid w:val="00315430"/>
    <w:rsid w:val="00316451"/>
    <w:rsid w:val="00316508"/>
    <w:rsid w:val="00317931"/>
    <w:rsid w:val="00317AC4"/>
    <w:rsid w:val="0032081A"/>
    <w:rsid w:val="00320991"/>
    <w:rsid w:val="00321147"/>
    <w:rsid w:val="00322492"/>
    <w:rsid w:val="003227DC"/>
    <w:rsid w:val="003229FE"/>
    <w:rsid w:val="0032367F"/>
    <w:rsid w:val="00324147"/>
    <w:rsid w:val="003243BF"/>
    <w:rsid w:val="0032462F"/>
    <w:rsid w:val="003254A4"/>
    <w:rsid w:val="00326362"/>
    <w:rsid w:val="0032661C"/>
    <w:rsid w:val="003271C9"/>
    <w:rsid w:val="003303C3"/>
    <w:rsid w:val="00330B00"/>
    <w:rsid w:val="003327A8"/>
    <w:rsid w:val="00332DBA"/>
    <w:rsid w:val="0033340B"/>
    <w:rsid w:val="00335967"/>
    <w:rsid w:val="00337C11"/>
    <w:rsid w:val="00337C81"/>
    <w:rsid w:val="00337FAC"/>
    <w:rsid w:val="003400A6"/>
    <w:rsid w:val="003403B0"/>
    <w:rsid w:val="0034276A"/>
    <w:rsid w:val="003439D4"/>
    <w:rsid w:val="00344446"/>
    <w:rsid w:val="00345589"/>
    <w:rsid w:val="00345E49"/>
    <w:rsid w:val="00346763"/>
    <w:rsid w:val="0034692A"/>
    <w:rsid w:val="00346FA3"/>
    <w:rsid w:val="00351758"/>
    <w:rsid w:val="003531D0"/>
    <w:rsid w:val="0035349B"/>
    <w:rsid w:val="00354393"/>
    <w:rsid w:val="00354882"/>
    <w:rsid w:val="00354F11"/>
    <w:rsid w:val="00356214"/>
    <w:rsid w:val="003568E0"/>
    <w:rsid w:val="00357035"/>
    <w:rsid w:val="00361C5C"/>
    <w:rsid w:val="00362D00"/>
    <w:rsid w:val="003630B0"/>
    <w:rsid w:val="00363334"/>
    <w:rsid w:val="003633F2"/>
    <w:rsid w:val="00364992"/>
    <w:rsid w:val="00364A89"/>
    <w:rsid w:val="00365EDA"/>
    <w:rsid w:val="00367093"/>
    <w:rsid w:val="003673C9"/>
    <w:rsid w:val="00370A95"/>
    <w:rsid w:val="00370D99"/>
    <w:rsid w:val="00370DED"/>
    <w:rsid w:val="00373264"/>
    <w:rsid w:val="003732D3"/>
    <w:rsid w:val="003742EB"/>
    <w:rsid w:val="00374F33"/>
    <w:rsid w:val="003753A0"/>
    <w:rsid w:val="00376525"/>
    <w:rsid w:val="00376F76"/>
    <w:rsid w:val="003773C6"/>
    <w:rsid w:val="00377A38"/>
    <w:rsid w:val="0038112E"/>
    <w:rsid w:val="0038270C"/>
    <w:rsid w:val="0038559E"/>
    <w:rsid w:val="00387281"/>
    <w:rsid w:val="00387B4D"/>
    <w:rsid w:val="00390078"/>
    <w:rsid w:val="00391D6A"/>
    <w:rsid w:val="0039243A"/>
    <w:rsid w:val="00393CEB"/>
    <w:rsid w:val="003950FA"/>
    <w:rsid w:val="00395559"/>
    <w:rsid w:val="00397028"/>
    <w:rsid w:val="003A1354"/>
    <w:rsid w:val="003A268A"/>
    <w:rsid w:val="003A2DCF"/>
    <w:rsid w:val="003A3566"/>
    <w:rsid w:val="003A4D84"/>
    <w:rsid w:val="003A58C6"/>
    <w:rsid w:val="003A5EDE"/>
    <w:rsid w:val="003A6906"/>
    <w:rsid w:val="003A6B65"/>
    <w:rsid w:val="003A6BF2"/>
    <w:rsid w:val="003A70AB"/>
    <w:rsid w:val="003B0F54"/>
    <w:rsid w:val="003B24D6"/>
    <w:rsid w:val="003B3F46"/>
    <w:rsid w:val="003B7183"/>
    <w:rsid w:val="003B7538"/>
    <w:rsid w:val="003B7602"/>
    <w:rsid w:val="003B7666"/>
    <w:rsid w:val="003C1B60"/>
    <w:rsid w:val="003C2104"/>
    <w:rsid w:val="003C21C6"/>
    <w:rsid w:val="003C64C1"/>
    <w:rsid w:val="003D101B"/>
    <w:rsid w:val="003D11FE"/>
    <w:rsid w:val="003D1416"/>
    <w:rsid w:val="003D1D78"/>
    <w:rsid w:val="003D1FA1"/>
    <w:rsid w:val="003D2128"/>
    <w:rsid w:val="003D23C6"/>
    <w:rsid w:val="003D2859"/>
    <w:rsid w:val="003D2C32"/>
    <w:rsid w:val="003D594D"/>
    <w:rsid w:val="003D6A69"/>
    <w:rsid w:val="003D6CC1"/>
    <w:rsid w:val="003D745A"/>
    <w:rsid w:val="003E141E"/>
    <w:rsid w:val="003E2BE4"/>
    <w:rsid w:val="003E2F86"/>
    <w:rsid w:val="003E30C3"/>
    <w:rsid w:val="003E3AEF"/>
    <w:rsid w:val="003E3C0D"/>
    <w:rsid w:val="003E4416"/>
    <w:rsid w:val="003E460A"/>
    <w:rsid w:val="003E5123"/>
    <w:rsid w:val="003E5826"/>
    <w:rsid w:val="003E7643"/>
    <w:rsid w:val="003F0D59"/>
    <w:rsid w:val="003F0E68"/>
    <w:rsid w:val="003F185F"/>
    <w:rsid w:val="003F1F80"/>
    <w:rsid w:val="003F41F0"/>
    <w:rsid w:val="003F42D1"/>
    <w:rsid w:val="003F4E01"/>
    <w:rsid w:val="003F4F6E"/>
    <w:rsid w:val="003F501F"/>
    <w:rsid w:val="003F5483"/>
    <w:rsid w:val="003F5944"/>
    <w:rsid w:val="003F674B"/>
    <w:rsid w:val="003F6BC3"/>
    <w:rsid w:val="003F742E"/>
    <w:rsid w:val="003F7C1D"/>
    <w:rsid w:val="00400C50"/>
    <w:rsid w:val="00401B53"/>
    <w:rsid w:val="00402FEA"/>
    <w:rsid w:val="0040478D"/>
    <w:rsid w:val="004057FE"/>
    <w:rsid w:val="0040630A"/>
    <w:rsid w:val="00410E43"/>
    <w:rsid w:val="00411275"/>
    <w:rsid w:val="004112D1"/>
    <w:rsid w:val="0041133B"/>
    <w:rsid w:val="00412149"/>
    <w:rsid w:val="00412C51"/>
    <w:rsid w:val="0041396A"/>
    <w:rsid w:val="00414F3C"/>
    <w:rsid w:val="004166FE"/>
    <w:rsid w:val="004207E0"/>
    <w:rsid w:val="0042089E"/>
    <w:rsid w:val="00421718"/>
    <w:rsid w:val="0042312F"/>
    <w:rsid w:val="00423259"/>
    <w:rsid w:val="004244C8"/>
    <w:rsid w:val="004246D0"/>
    <w:rsid w:val="004252AA"/>
    <w:rsid w:val="00426F0F"/>
    <w:rsid w:val="0042745D"/>
    <w:rsid w:val="00427A65"/>
    <w:rsid w:val="00433C51"/>
    <w:rsid w:val="0043503A"/>
    <w:rsid w:val="004374A5"/>
    <w:rsid w:val="00440514"/>
    <w:rsid w:val="00440944"/>
    <w:rsid w:val="00442697"/>
    <w:rsid w:val="004443C5"/>
    <w:rsid w:val="004458CD"/>
    <w:rsid w:val="00445B8B"/>
    <w:rsid w:val="00447057"/>
    <w:rsid w:val="004477F8"/>
    <w:rsid w:val="004502B0"/>
    <w:rsid w:val="00452A97"/>
    <w:rsid w:val="00452BE9"/>
    <w:rsid w:val="00457866"/>
    <w:rsid w:val="00460002"/>
    <w:rsid w:val="00462067"/>
    <w:rsid w:val="004638B9"/>
    <w:rsid w:val="00463A76"/>
    <w:rsid w:val="00463EC6"/>
    <w:rsid w:val="00465341"/>
    <w:rsid w:val="00466BD8"/>
    <w:rsid w:val="00467C54"/>
    <w:rsid w:val="00470F07"/>
    <w:rsid w:val="00471378"/>
    <w:rsid w:val="00472034"/>
    <w:rsid w:val="00472A60"/>
    <w:rsid w:val="00472CDA"/>
    <w:rsid w:val="004733F4"/>
    <w:rsid w:val="00474BF5"/>
    <w:rsid w:val="00475C1C"/>
    <w:rsid w:val="004767B0"/>
    <w:rsid w:val="00477DF1"/>
    <w:rsid w:val="00481B5E"/>
    <w:rsid w:val="00482E3C"/>
    <w:rsid w:val="004838A4"/>
    <w:rsid w:val="004848DB"/>
    <w:rsid w:val="00484E78"/>
    <w:rsid w:val="004853E0"/>
    <w:rsid w:val="004865A8"/>
    <w:rsid w:val="00486C78"/>
    <w:rsid w:val="004879EF"/>
    <w:rsid w:val="004913FA"/>
    <w:rsid w:val="00492720"/>
    <w:rsid w:val="0049344B"/>
    <w:rsid w:val="004942C0"/>
    <w:rsid w:val="0049460C"/>
    <w:rsid w:val="0049607B"/>
    <w:rsid w:val="00497373"/>
    <w:rsid w:val="00497C4A"/>
    <w:rsid w:val="00497D56"/>
    <w:rsid w:val="004A1026"/>
    <w:rsid w:val="004A115C"/>
    <w:rsid w:val="004A12A2"/>
    <w:rsid w:val="004A1757"/>
    <w:rsid w:val="004A2417"/>
    <w:rsid w:val="004A25A1"/>
    <w:rsid w:val="004A372C"/>
    <w:rsid w:val="004A4626"/>
    <w:rsid w:val="004A4DAB"/>
    <w:rsid w:val="004A4E16"/>
    <w:rsid w:val="004A5813"/>
    <w:rsid w:val="004A583D"/>
    <w:rsid w:val="004A5E65"/>
    <w:rsid w:val="004A71E2"/>
    <w:rsid w:val="004A7A9E"/>
    <w:rsid w:val="004A7EB4"/>
    <w:rsid w:val="004B0CF3"/>
    <w:rsid w:val="004B13EB"/>
    <w:rsid w:val="004B1423"/>
    <w:rsid w:val="004B1DD1"/>
    <w:rsid w:val="004B2885"/>
    <w:rsid w:val="004B36E2"/>
    <w:rsid w:val="004B43B5"/>
    <w:rsid w:val="004B4B12"/>
    <w:rsid w:val="004B4F88"/>
    <w:rsid w:val="004B52F5"/>
    <w:rsid w:val="004B5A59"/>
    <w:rsid w:val="004B5B94"/>
    <w:rsid w:val="004B6914"/>
    <w:rsid w:val="004B6A50"/>
    <w:rsid w:val="004B6E6C"/>
    <w:rsid w:val="004B6F9E"/>
    <w:rsid w:val="004B703E"/>
    <w:rsid w:val="004B75F0"/>
    <w:rsid w:val="004B790B"/>
    <w:rsid w:val="004B7EEC"/>
    <w:rsid w:val="004C1719"/>
    <w:rsid w:val="004C1FF3"/>
    <w:rsid w:val="004C4BD1"/>
    <w:rsid w:val="004C5CC2"/>
    <w:rsid w:val="004C73E5"/>
    <w:rsid w:val="004C7415"/>
    <w:rsid w:val="004C7876"/>
    <w:rsid w:val="004D10F3"/>
    <w:rsid w:val="004D2314"/>
    <w:rsid w:val="004D375A"/>
    <w:rsid w:val="004D3CB0"/>
    <w:rsid w:val="004D4A9B"/>
    <w:rsid w:val="004D50E1"/>
    <w:rsid w:val="004D548C"/>
    <w:rsid w:val="004D5614"/>
    <w:rsid w:val="004D6832"/>
    <w:rsid w:val="004D7D7C"/>
    <w:rsid w:val="004E13C9"/>
    <w:rsid w:val="004E184A"/>
    <w:rsid w:val="004E40F6"/>
    <w:rsid w:val="004E42A8"/>
    <w:rsid w:val="004E741F"/>
    <w:rsid w:val="004E749F"/>
    <w:rsid w:val="004E7DB3"/>
    <w:rsid w:val="004F1868"/>
    <w:rsid w:val="004F1AC2"/>
    <w:rsid w:val="004F319B"/>
    <w:rsid w:val="004F32F3"/>
    <w:rsid w:val="004F4A51"/>
    <w:rsid w:val="004F541A"/>
    <w:rsid w:val="004F69A7"/>
    <w:rsid w:val="004F69D7"/>
    <w:rsid w:val="004F7610"/>
    <w:rsid w:val="005005A4"/>
    <w:rsid w:val="00501D35"/>
    <w:rsid w:val="00502338"/>
    <w:rsid w:val="005035B0"/>
    <w:rsid w:val="00504945"/>
    <w:rsid w:val="0050533B"/>
    <w:rsid w:val="0050546A"/>
    <w:rsid w:val="00505BF3"/>
    <w:rsid w:val="00505EDD"/>
    <w:rsid w:val="00506C85"/>
    <w:rsid w:val="0050743D"/>
    <w:rsid w:val="00507684"/>
    <w:rsid w:val="00507B7D"/>
    <w:rsid w:val="00510531"/>
    <w:rsid w:val="00510E43"/>
    <w:rsid w:val="0051144E"/>
    <w:rsid w:val="005129AA"/>
    <w:rsid w:val="0051319B"/>
    <w:rsid w:val="00516D3C"/>
    <w:rsid w:val="00517478"/>
    <w:rsid w:val="005201A6"/>
    <w:rsid w:val="0052132B"/>
    <w:rsid w:val="0052181D"/>
    <w:rsid w:val="0052217A"/>
    <w:rsid w:val="00522BEC"/>
    <w:rsid w:val="00523360"/>
    <w:rsid w:val="005238A2"/>
    <w:rsid w:val="00524925"/>
    <w:rsid w:val="00525428"/>
    <w:rsid w:val="0052560C"/>
    <w:rsid w:val="0052562C"/>
    <w:rsid w:val="00525B04"/>
    <w:rsid w:val="00525B09"/>
    <w:rsid w:val="005262FB"/>
    <w:rsid w:val="00526622"/>
    <w:rsid w:val="00527052"/>
    <w:rsid w:val="00530C71"/>
    <w:rsid w:val="00530E5E"/>
    <w:rsid w:val="00531331"/>
    <w:rsid w:val="005316D4"/>
    <w:rsid w:val="005337F7"/>
    <w:rsid w:val="00534C21"/>
    <w:rsid w:val="00535261"/>
    <w:rsid w:val="00535E77"/>
    <w:rsid w:val="00536BD7"/>
    <w:rsid w:val="00536CCF"/>
    <w:rsid w:val="005375A2"/>
    <w:rsid w:val="00537842"/>
    <w:rsid w:val="0054020F"/>
    <w:rsid w:val="00540597"/>
    <w:rsid w:val="00540683"/>
    <w:rsid w:val="005417D9"/>
    <w:rsid w:val="00543D8F"/>
    <w:rsid w:val="005443BC"/>
    <w:rsid w:val="00544FF9"/>
    <w:rsid w:val="00546103"/>
    <w:rsid w:val="0054774E"/>
    <w:rsid w:val="0055049F"/>
    <w:rsid w:val="005510F2"/>
    <w:rsid w:val="00552143"/>
    <w:rsid w:val="00552735"/>
    <w:rsid w:val="005556D0"/>
    <w:rsid w:val="00556B7D"/>
    <w:rsid w:val="00560BDB"/>
    <w:rsid w:val="00560D19"/>
    <w:rsid w:val="005611D5"/>
    <w:rsid w:val="005616EC"/>
    <w:rsid w:val="00561A16"/>
    <w:rsid w:val="00563A43"/>
    <w:rsid w:val="00565037"/>
    <w:rsid w:val="005653E9"/>
    <w:rsid w:val="00566DE6"/>
    <w:rsid w:val="00567A13"/>
    <w:rsid w:val="00567A9B"/>
    <w:rsid w:val="005703ED"/>
    <w:rsid w:val="005709FE"/>
    <w:rsid w:val="00570CC5"/>
    <w:rsid w:val="005719AA"/>
    <w:rsid w:val="00572E6B"/>
    <w:rsid w:val="00573186"/>
    <w:rsid w:val="005732D6"/>
    <w:rsid w:val="005738D8"/>
    <w:rsid w:val="00573A7E"/>
    <w:rsid w:val="005744DA"/>
    <w:rsid w:val="00574FB4"/>
    <w:rsid w:val="00576432"/>
    <w:rsid w:val="00576ABB"/>
    <w:rsid w:val="0057703D"/>
    <w:rsid w:val="0057742E"/>
    <w:rsid w:val="005824EB"/>
    <w:rsid w:val="005831B5"/>
    <w:rsid w:val="005838F7"/>
    <w:rsid w:val="00583EDB"/>
    <w:rsid w:val="005850C3"/>
    <w:rsid w:val="00587045"/>
    <w:rsid w:val="00590374"/>
    <w:rsid w:val="0059197B"/>
    <w:rsid w:val="00591A5F"/>
    <w:rsid w:val="0059312F"/>
    <w:rsid w:val="00593A05"/>
    <w:rsid w:val="00593E2F"/>
    <w:rsid w:val="0059612D"/>
    <w:rsid w:val="00596C5A"/>
    <w:rsid w:val="005A1001"/>
    <w:rsid w:val="005A30A6"/>
    <w:rsid w:val="005A36E4"/>
    <w:rsid w:val="005A417F"/>
    <w:rsid w:val="005A4E2C"/>
    <w:rsid w:val="005A54CF"/>
    <w:rsid w:val="005A651F"/>
    <w:rsid w:val="005A6A7C"/>
    <w:rsid w:val="005A77F4"/>
    <w:rsid w:val="005B3B7D"/>
    <w:rsid w:val="005B3EA3"/>
    <w:rsid w:val="005B400E"/>
    <w:rsid w:val="005B4199"/>
    <w:rsid w:val="005B47AD"/>
    <w:rsid w:val="005B4BE7"/>
    <w:rsid w:val="005B50BC"/>
    <w:rsid w:val="005B50D9"/>
    <w:rsid w:val="005B5591"/>
    <w:rsid w:val="005B5708"/>
    <w:rsid w:val="005C068E"/>
    <w:rsid w:val="005C1497"/>
    <w:rsid w:val="005C177E"/>
    <w:rsid w:val="005C1F6D"/>
    <w:rsid w:val="005C423C"/>
    <w:rsid w:val="005C7423"/>
    <w:rsid w:val="005C7C2D"/>
    <w:rsid w:val="005C7FAF"/>
    <w:rsid w:val="005D0901"/>
    <w:rsid w:val="005D2FE7"/>
    <w:rsid w:val="005D40BC"/>
    <w:rsid w:val="005D4E25"/>
    <w:rsid w:val="005D5B9E"/>
    <w:rsid w:val="005D5C81"/>
    <w:rsid w:val="005D6330"/>
    <w:rsid w:val="005E0628"/>
    <w:rsid w:val="005E19A9"/>
    <w:rsid w:val="005E1B83"/>
    <w:rsid w:val="005E2421"/>
    <w:rsid w:val="005E2572"/>
    <w:rsid w:val="005E32EF"/>
    <w:rsid w:val="005E38B6"/>
    <w:rsid w:val="005E580C"/>
    <w:rsid w:val="005E5C0F"/>
    <w:rsid w:val="005E5F2B"/>
    <w:rsid w:val="005E669C"/>
    <w:rsid w:val="005E784C"/>
    <w:rsid w:val="005E7BDF"/>
    <w:rsid w:val="005F0BAD"/>
    <w:rsid w:val="005F2414"/>
    <w:rsid w:val="005F2AB0"/>
    <w:rsid w:val="005F4575"/>
    <w:rsid w:val="005F46C5"/>
    <w:rsid w:val="005F48CC"/>
    <w:rsid w:val="005F4924"/>
    <w:rsid w:val="005F5895"/>
    <w:rsid w:val="005F5EC6"/>
    <w:rsid w:val="005F67F0"/>
    <w:rsid w:val="005F6810"/>
    <w:rsid w:val="0060002E"/>
    <w:rsid w:val="00600DF4"/>
    <w:rsid w:val="00601C4F"/>
    <w:rsid w:val="00602291"/>
    <w:rsid w:val="00605245"/>
    <w:rsid w:val="0060592B"/>
    <w:rsid w:val="0060678E"/>
    <w:rsid w:val="006068F8"/>
    <w:rsid w:val="00606984"/>
    <w:rsid w:val="006110C6"/>
    <w:rsid w:val="00611487"/>
    <w:rsid w:val="00611EA9"/>
    <w:rsid w:val="006125CE"/>
    <w:rsid w:val="00613861"/>
    <w:rsid w:val="00613A34"/>
    <w:rsid w:val="00614376"/>
    <w:rsid w:val="0061468D"/>
    <w:rsid w:val="00614CBB"/>
    <w:rsid w:val="00614DBB"/>
    <w:rsid w:val="00615EBA"/>
    <w:rsid w:val="0061636F"/>
    <w:rsid w:val="006166EF"/>
    <w:rsid w:val="006168F4"/>
    <w:rsid w:val="00616EAD"/>
    <w:rsid w:val="006173F4"/>
    <w:rsid w:val="0062013F"/>
    <w:rsid w:val="00621E73"/>
    <w:rsid w:val="00621FA2"/>
    <w:rsid w:val="006220A4"/>
    <w:rsid w:val="0062281B"/>
    <w:rsid w:val="00623602"/>
    <w:rsid w:val="00624800"/>
    <w:rsid w:val="00626433"/>
    <w:rsid w:val="0062692A"/>
    <w:rsid w:val="0062706A"/>
    <w:rsid w:val="00627626"/>
    <w:rsid w:val="00627D26"/>
    <w:rsid w:val="0063037D"/>
    <w:rsid w:val="006317AD"/>
    <w:rsid w:val="0063424C"/>
    <w:rsid w:val="00634698"/>
    <w:rsid w:val="006349A3"/>
    <w:rsid w:val="00635649"/>
    <w:rsid w:val="00636853"/>
    <w:rsid w:val="00636F76"/>
    <w:rsid w:val="00637616"/>
    <w:rsid w:val="006406E4"/>
    <w:rsid w:val="00640FAC"/>
    <w:rsid w:val="006418D4"/>
    <w:rsid w:val="006425E0"/>
    <w:rsid w:val="00642AA3"/>
    <w:rsid w:val="0064450D"/>
    <w:rsid w:val="00646E78"/>
    <w:rsid w:val="006523A4"/>
    <w:rsid w:val="006523B1"/>
    <w:rsid w:val="00654ECE"/>
    <w:rsid w:val="006571F6"/>
    <w:rsid w:val="00657D75"/>
    <w:rsid w:val="00657F14"/>
    <w:rsid w:val="00661339"/>
    <w:rsid w:val="00661574"/>
    <w:rsid w:val="0066262B"/>
    <w:rsid w:val="00664574"/>
    <w:rsid w:val="00664610"/>
    <w:rsid w:val="00665008"/>
    <w:rsid w:val="00665B23"/>
    <w:rsid w:val="0066654C"/>
    <w:rsid w:val="00666D2A"/>
    <w:rsid w:val="00666FC7"/>
    <w:rsid w:val="00667564"/>
    <w:rsid w:val="00667A1B"/>
    <w:rsid w:val="00667D30"/>
    <w:rsid w:val="00667D44"/>
    <w:rsid w:val="00667DB6"/>
    <w:rsid w:val="006729C8"/>
    <w:rsid w:val="006741A9"/>
    <w:rsid w:val="0067429C"/>
    <w:rsid w:val="006745DC"/>
    <w:rsid w:val="00675057"/>
    <w:rsid w:val="0067659A"/>
    <w:rsid w:val="006775FA"/>
    <w:rsid w:val="00677B94"/>
    <w:rsid w:val="0068001A"/>
    <w:rsid w:val="006810F1"/>
    <w:rsid w:val="00681733"/>
    <w:rsid w:val="00682690"/>
    <w:rsid w:val="006829CE"/>
    <w:rsid w:val="00682E1A"/>
    <w:rsid w:val="006833DC"/>
    <w:rsid w:val="00683856"/>
    <w:rsid w:val="00683A00"/>
    <w:rsid w:val="00683EC3"/>
    <w:rsid w:val="00685983"/>
    <w:rsid w:val="00685F48"/>
    <w:rsid w:val="00686615"/>
    <w:rsid w:val="00686659"/>
    <w:rsid w:val="00691507"/>
    <w:rsid w:val="0069195E"/>
    <w:rsid w:val="006919DD"/>
    <w:rsid w:val="006935F2"/>
    <w:rsid w:val="0069494F"/>
    <w:rsid w:val="00694CCB"/>
    <w:rsid w:val="00694F57"/>
    <w:rsid w:val="0069511D"/>
    <w:rsid w:val="00695389"/>
    <w:rsid w:val="00695AA2"/>
    <w:rsid w:val="00696D47"/>
    <w:rsid w:val="0069735E"/>
    <w:rsid w:val="00697951"/>
    <w:rsid w:val="00697CCF"/>
    <w:rsid w:val="006A0AB6"/>
    <w:rsid w:val="006A100F"/>
    <w:rsid w:val="006A3484"/>
    <w:rsid w:val="006A3693"/>
    <w:rsid w:val="006A69AC"/>
    <w:rsid w:val="006A7492"/>
    <w:rsid w:val="006B091B"/>
    <w:rsid w:val="006B167C"/>
    <w:rsid w:val="006B38EA"/>
    <w:rsid w:val="006B40B5"/>
    <w:rsid w:val="006B4665"/>
    <w:rsid w:val="006B5E05"/>
    <w:rsid w:val="006B651B"/>
    <w:rsid w:val="006B69C7"/>
    <w:rsid w:val="006C0F3B"/>
    <w:rsid w:val="006C1230"/>
    <w:rsid w:val="006C154C"/>
    <w:rsid w:val="006C2761"/>
    <w:rsid w:val="006C33DA"/>
    <w:rsid w:val="006C4203"/>
    <w:rsid w:val="006C6786"/>
    <w:rsid w:val="006C6B64"/>
    <w:rsid w:val="006C6D71"/>
    <w:rsid w:val="006C769A"/>
    <w:rsid w:val="006C76A5"/>
    <w:rsid w:val="006C7977"/>
    <w:rsid w:val="006D1110"/>
    <w:rsid w:val="006D29A0"/>
    <w:rsid w:val="006D2A3F"/>
    <w:rsid w:val="006D45D8"/>
    <w:rsid w:val="006D6788"/>
    <w:rsid w:val="006E0556"/>
    <w:rsid w:val="006E13FA"/>
    <w:rsid w:val="006E2052"/>
    <w:rsid w:val="006E21E5"/>
    <w:rsid w:val="006E2CCF"/>
    <w:rsid w:val="006E47E3"/>
    <w:rsid w:val="006E50CF"/>
    <w:rsid w:val="006E5214"/>
    <w:rsid w:val="006E5A62"/>
    <w:rsid w:val="006E5A99"/>
    <w:rsid w:val="006E608A"/>
    <w:rsid w:val="006E64BA"/>
    <w:rsid w:val="006E64D8"/>
    <w:rsid w:val="006F09F7"/>
    <w:rsid w:val="006F4F8B"/>
    <w:rsid w:val="006F52A0"/>
    <w:rsid w:val="006F6800"/>
    <w:rsid w:val="007009F1"/>
    <w:rsid w:val="00700AA6"/>
    <w:rsid w:val="00700EC5"/>
    <w:rsid w:val="00701806"/>
    <w:rsid w:val="0070192A"/>
    <w:rsid w:val="00701AAF"/>
    <w:rsid w:val="00702D27"/>
    <w:rsid w:val="0070339E"/>
    <w:rsid w:val="007033B3"/>
    <w:rsid w:val="00703BF0"/>
    <w:rsid w:val="00706047"/>
    <w:rsid w:val="00707660"/>
    <w:rsid w:val="00707B04"/>
    <w:rsid w:val="00710994"/>
    <w:rsid w:val="00711220"/>
    <w:rsid w:val="00711548"/>
    <w:rsid w:val="007120A2"/>
    <w:rsid w:val="00713B9D"/>
    <w:rsid w:val="00715DDE"/>
    <w:rsid w:val="00715F16"/>
    <w:rsid w:val="007165FC"/>
    <w:rsid w:val="00716A32"/>
    <w:rsid w:val="0072003D"/>
    <w:rsid w:val="00721029"/>
    <w:rsid w:val="00721488"/>
    <w:rsid w:val="007219C3"/>
    <w:rsid w:val="0072243B"/>
    <w:rsid w:val="00722873"/>
    <w:rsid w:val="00723012"/>
    <w:rsid w:val="00723486"/>
    <w:rsid w:val="007256FD"/>
    <w:rsid w:val="0072644B"/>
    <w:rsid w:val="0072726A"/>
    <w:rsid w:val="00727815"/>
    <w:rsid w:val="00730BD4"/>
    <w:rsid w:val="00731EAA"/>
    <w:rsid w:val="0073205C"/>
    <w:rsid w:val="00732369"/>
    <w:rsid w:val="007324F4"/>
    <w:rsid w:val="007340FB"/>
    <w:rsid w:val="007345BF"/>
    <w:rsid w:val="00737FFD"/>
    <w:rsid w:val="00740B37"/>
    <w:rsid w:val="007412F3"/>
    <w:rsid w:val="00741AE1"/>
    <w:rsid w:val="00741D17"/>
    <w:rsid w:val="00742B11"/>
    <w:rsid w:val="00743205"/>
    <w:rsid w:val="0074537A"/>
    <w:rsid w:val="00745999"/>
    <w:rsid w:val="00745AA7"/>
    <w:rsid w:val="00745BCF"/>
    <w:rsid w:val="00746B4A"/>
    <w:rsid w:val="00746B9C"/>
    <w:rsid w:val="007502AB"/>
    <w:rsid w:val="00751F3F"/>
    <w:rsid w:val="00752AFD"/>
    <w:rsid w:val="007533B3"/>
    <w:rsid w:val="00753EA7"/>
    <w:rsid w:val="007552DC"/>
    <w:rsid w:val="00755531"/>
    <w:rsid w:val="00756CC4"/>
    <w:rsid w:val="0075731C"/>
    <w:rsid w:val="0075781B"/>
    <w:rsid w:val="0076236D"/>
    <w:rsid w:val="0076258B"/>
    <w:rsid w:val="007636D0"/>
    <w:rsid w:val="007638E2"/>
    <w:rsid w:val="00766FA6"/>
    <w:rsid w:val="00767BFB"/>
    <w:rsid w:val="00767E16"/>
    <w:rsid w:val="00770256"/>
    <w:rsid w:val="00770E38"/>
    <w:rsid w:val="00772431"/>
    <w:rsid w:val="00772A2F"/>
    <w:rsid w:val="00772B2A"/>
    <w:rsid w:val="007743E3"/>
    <w:rsid w:val="00774B74"/>
    <w:rsid w:val="00777F94"/>
    <w:rsid w:val="007804D7"/>
    <w:rsid w:val="00780A63"/>
    <w:rsid w:val="0078183C"/>
    <w:rsid w:val="007822C1"/>
    <w:rsid w:val="0078295A"/>
    <w:rsid w:val="00782E8E"/>
    <w:rsid w:val="007830B9"/>
    <w:rsid w:val="007837B6"/>
    <w:rsid w:val="0079025F"/>
    <w:rsid w:val="00790E31"/>
    <w:rsid w:val="00791F9C"/>
    <w:rsid w:val="007922BE"/>
    <w:rsid w:val="00793547"/>
    <w:rsid w:val="00796B9D"/>
    <w:rsid w:val="00797A37"/>
    <w:rsid w:val="007A106E"/>
    <w:rsid w:val="007A11D7"/>
    <w:rsid w:val="007A167A"/>
    <w:rsid w:val="007A6562"/>
    <w:rsid w:val="007A6DD0"/>
    <w:rsid w:val="007A7889"/>
    <w:rsid w:val="007B10C9"/>
    <w:rsid w:val="007B1F67"/>
    <w:rsid w:val="007B27E4"/>
    <w:rsid w:val="007B314B"/>
    <w:rsid w:val="007B334A"/>
    <w:rsid w:val="007B3B64"/>
    <w:rsid w:val="007B43F6"/>
    <w:rsid w:val="007B64B9"/>
    <w:rsid w:val="007C0360"/>
    <w:rsid w:val="007C0DB9"/>
    <w:rsid w:val="007C2FB6"/>
    <w:rsid w:val="007C37F5"/>
    <w:rsid w:val="007C559B"/>
    <w:rsid w:val="007C60BB"/>
    <w:rsid w:val="007C662D"/>
    <w:rsid w:val="007C67FD"/>
    <w:rsid w:val="007C68EE"/>
    <w:rsid w:val="007C75F1"/>
    <w:rsid w:val="007C7B25"/>
    <w:rsid w:val="007D02EB"/>
    <w:rsid w:val="007D045E"/>
    <w:rsid w:val="007D0674"/>
    <w:rsid w:val="007D0994"/>
    <w:rsid w:val="007D0A9F"/>
    <w:rsid w:val="007D0F33"/>
    <w:rsid w:val="007D112A"/>
    <w:rsid w:val="007D14F3"/>
    <w:rsid w:val="007D16BC"/>
    <w:rsid w:val="007D20BD"/>
    <w:rsid w:val="007D25C3"/>
    <w:rsid w:val="007D2D9C"/>
    <w:rsid w:val="007D307D"/>
    <w:rsid w:val="007D43B4"/>
    <w:rsid w:val="007D4B63"/>
    <w:rsid w:val="007D58E0"/>
    <w:rsid w:val="007D5F16"/>
    <w:rsid w:val="007D6308"/>
    <w:rsid w:val="007D7C1E"/>
    <w:rsid w:val="007E00C2"/>
    <w:rsid w:val="007E0254"/>
    <w:rsid w:val="007E1A3B"/>
    <w:rsid w:val="007E2C68"/>
    <w:rsid w:val="007E41DC"/>
    <w:rsid w:val="007E7CA9"/>
    <w:rsid w:val="007F1078"/>
    <w:rsid w:val="007F1103"/>
    <w:rsid w:val="007F139F"/>
    <w:rsid w:val="007F2080"/>
    <w:rsid w:val="007F4B68"/>
    <w:rsid w:val="007F59D3"/>
    <w:rsid w:val="007F6670"/>
    <w:rsid w:val="007F69A4"/>
    <w:rsid w:val="007F712B"/>
    <w:rsid w:val="007F7DEB"/>
    <w:rsid w:val="00800396"/>
    <w:rsid w:val="00801119"/>
    <w:rsid w:val="0080159B"/>
    <w:rsid w:val="008018D5"/>
    <w:rsid w:val="00801F2B"/>
    <w:rsid w:val="008029BD"/>
    <w:rsid w:val="00802BB3"/>
    <w:rsid w:val="00802D3F"/>
    <w:rsid w:val="00803FCB"/>
    <w:rsid w:val="00805767"/>
    <w:rsid w:val="00805C34"/>
    <w:rsid w:val="0080775B"/>
    <w:rsid w:val="00810775"/>
    <w:rsid w:val="00810C09"/>
    <w:rsid w:val="00813B41"/>
    <w:rsid w:val="008150E0"/>
    <w:rsid w:val="00815486"/>
    <w:rsid w:val="0081591E"/>
    <w:rsid w:val="00815D64"/>
    <w:rsid w:val="0081641F"/>
    <w:rsid w:val="00817E78"/>
    <w:rsid w:val="0082089D"/>
    <w:rsid w:val="008210ED"/>
    <w:rsid w:val="008214D4"/>
    <w:rsid w:val="008244D9"/>
    <w:rsid w:val="00824676"/>
    <w:rsid w:val="00825C77"/>
    <w:rsid w:val="008261C9"/>
    <w:rsid w:val="008261D6"/>
    <w:rsid w:val="00827242"/>
    <w:rsid w:val="00827B9E"/>
    <w:rsid w:val="00830FFB"/>
    <w:rsid w:val="008334C9"/>
    <w:rsid w:val="008353F3"/>
    <w:rsid w:val="00835FF8"/>
    <w:rsid w:val="00836558"/>
    <w:rsid w:val="00836F59"/>
    <w:rsid w:val="00837C97"/>
    <w:rsid w:val="00837D02"/>
    <w:rsid w:val="0084135F"/>
    <w:rsid w:val="00841530"/>
    <w:rsid w:val="00842E53"/>
    <w:rsid w:val="00843020"/>
    <w:rsid w:val="008435D5"/>
    <w:rsid w:val="00845F5E"/>
    <w:rsid w:val="008460D2"/>
    <w:rsid w:val="00846963"/>
    <w:rsid w:val="00846B78"/>
    <w:rsid w:val="008479A6"/>
    <w:rsid w:val="00847B54"/>
    <w:rsid w:val="00850A39"/>
    <w:rsid w:val="00850E4B"/>
    <w:rsid w:val="00851EFB"/>
    <w:rsid w:val="00852582"/>
    <w:rsid w:val="00852BA7"/>
    <w:rsid w:val="0085318A"/>
    <w:rsid w:val="00853917"/>
    <w:rsid w:val="008547C6"/>
    <w:rsid w:val="00854BE6"/>
    <w:rsid w:val="00856BEA"/>
    <w:rsid w:val="00857141"/>
    <w:rsid w:val="00857DC2"/>
    <w:rsid w:val="0086116F"/>
    <w:rsid w:val="00862104"/>
    <w:rsid w:val="0086245F"/>
    <w:rsid w:val="008628B0"/>
    <w:rsid w:val="008628CD"/>
    <w:rsid w:val="008636FD"/>
    <w:rsid w:val="00863786"/>
    <w:rsid w:val="00863C45"/>
    <w:rsid w:val="00865BEB"/>
    <w:rsid w:val="00866546"/>
    <w:rsid w:val="00866955"/>
    <w:rsid w:val="00866F03"/>
    <w:rsid w:val="00867ACD"/>
    <w:rsid w:val="008703E7"/>
    <w:rsid w:val="00870784"/>
    <w:rsid w:val="00870A0C"/>
    <w:rsid w:val="00870A2E"/>
    <w:rsid w:val="00871737"/>
    <w:rsid w:val="00871993"/>
    <w:rsid w:val="0087267A"/>
    <w:rsid w:val="00872EB9"/>
    <w:rsid w:val="00873F00"/>
    <w:rsid w:val="00874432"/>
    <w:rsid w:val="00875CA9"/>
    <w:rsid w:val="00876F52"/>
    <w:rsid w:val="00877B6D"/>
    <w:rsid w:val="008862FB"/>
    <w:rsid w:val="008865CB"/>
    <w:rsid w:val="00886A40"/>
    <w:rsid w:val="008907AB"/>
    <w:rsid w:val="00890907"/>
    <w:rsid w:val="00890A6F"/>
    <w:rsid w:val="0089264E"/>
    <w:rsid w:val="00892957"/>
    <w:rsid w:val="00893482"/>
    <w:rsid w:val="008949B6"/>
    <w:rsid w:val="00894F8D"/>
    <w:rsid w:val="008953D7"/>
    <w:rsid w:val="00896C5C"/>
    <w:rsid w:val="00897005"/>
    <w:rsid w:val="008972B8"/>
    <w:rsid w:val="00897F45"/>
    <w:rsid w:val="008A0CA0"/>
    <w:rsid w:val="008A0F55"/>
    <w:rsid w:val="008A51DB"/>
    <w:rsid w:val="008A528E"/>
    <w:rsid w:val="008A5B1D"/>
    <w:rsid w:val="008A6325"/>
    <w:rsid w:val="008A66BC"/>
    <w:rsid w:val="008A7760"/>
    <w:rsid w:val="008B048F"/>
    <w:rsid w:val="008B04B4"/>
    <w:rsid w:val="008B07E2"/>
    <w:rsid w:val="008B1701"/>
    <w:rsid w:val="008B1DE0"/>
    <w:rsid w:val="008B29D8"/>
    <w:rsid w:val="008B40A0"/>
    <w:rsid w:val="008B4607"/>
    <w:rsid w:val="008B4DCC"/>
    <w:rsid w:val="008B5153"/>
    <w:rsid w:val="008B5860"/>
    <w:rsid w:val="008C0622"/>
    <w:rsid w:val="008C0B0D"/>
    <w:rsid w:val="008C105F"/>
    <w:rsid w:val="008C189B"/>
    <w:rsid w:val="008C1D14"/>
    <w:rsid w:val="008C2E40"/>
    <w:rsid w:val="008C3912"/>
    <w:rsid w:val="008C3C4C"/>
    <w:rsid w:val="008C4EEC"/>
    <w:rsid w:val="008C51F1"/>
    <w:rsid w:val="008C6CAB"/>
    <w:rsid w:val="008D0CB6"/>
    <w:rsid w:val="008D1F2C"/>
    <w:rsid w:val="008D20A1"/>
    <w:rsid w:val="008D3E42"/>
    <w:rsid w:val="008D4BEF"/>
    <w:rsid w:val="008D67BA"/>
    <w:rsid w:val="008D6B89"/>
    <w:rsid w:val="008D74E6"/>
    <w:rsid w:val="008D7D3C"/>
    <w:rsid w:val="008E0399"/>
    <w:rsid w:val="008E0726"/>
    <w:rsid w:val="008E19DA"/>
    <w:rsid w:val="008E1E30"/>
    <w:rsid w:val="008E229F"/>
    <w:rsid w:val="008E2909"/>
    <w:rsid w:val="008E309A"/>
    <w:rsid w:val="008E318B"/>
    <w:rsid w:val="008E38A6"/>
    <w:rsid w:val="008E3979"/>
    <w:rsid w:val="008E4519"/>
    <w:rsid w:val="008E58BF"/>
    <w:rsid w:val="008E5A85"/>
    <w:rsid w:val="008E65F8"/>
    <w:rsid w:val="008E72DA"/>
    <w:rsid w:val="008E748B"/>
    <w:rsid w:val="008F0BED"/>
    <w:rsid w:val="008F0BFB"/>
    <w:rsid w:val="008F19E9"/>
    <w:rsid w:val="008F1E8D"/>
    <w:rsid w:val="008F2E28"/>
    <w:rsid w:val="008F3EAB"/>
    <w:rsid w:val="008F4608"/>
    <w:rsid w:val="008F5633"/>
    <w:rsid w:val="008F6DDE"/>
    <w:rsid w:val="00901261"/>
    <w:rsid w:val="00902419"/>
    <w:rsid w:val="00902B36"/>
    <w:rsid w:val="00903C60"/>
    <w:rsid w:val="00904110"/>
    <w:rsid w:val="009044EB"/>
    <w:rsid w:val="009056FC"/>
    <w:rsid w:val="0090793D"/>
    <w:rsid w:val="00911003"/>
    <w:rsid w:val="00911061"/>
    <w:rsid w:val="00912123"/>
    <w:rsid w:val="00912BFB"/>
    <w:rsid w:val="009130FF"/>
    <w:rsid w:val="009142A0"/>
    <w:rsid w:val="00915C77"/>
    <w:rsid w:val="00916A86"/>
    <w:rsid w:val="00916AB3"/>
    <w:rsid w:val="0091779F"/>
    <w:rsid w:val="009178F2"/>
    <w:rsid w:val="00920496"/>
    <w:rsid w:val="00922200"/>
    <w:rsid w:val="00922267"/>
    <w:rsid w:val="00922393"/>
    <w:rsid w:val="00922D1F"/>
    <w:rsid w:val="00922EF7"/>
    <w:rsid w:val="00923981"/>
    <w:rsid w:val="00923D11"/>
    <w:rsid w:val="00923FFC"/>
    <w:rsid w:val="0092473B"/>
    <w:rsid w:val="009253D9"/>
    <w:rsid w:val="0092567A"/>
    <w:rsid w:val="00925C52"/>
    <w:rsid w:val="00926280"/>
    <w:rsid w:val="009267E6"/>
    <w:rsid w:val="00926809"/>
    <w:rsid w:val="0092750E"/>
    <w:rsid w:val="00931676"/>
    <w:rsid w:val="009319CE"/>
    <w:rsid w:val="00933A6E"/>
    <w:rsid w:val="0093610E"/>
    <w:rsid w:val="00936687"/>
    <w:rsid w:val="00936A48"/>
    <w:rsid w:val="009408DD"/>
    <w:rsid w:val="0094121B"/>
    <w:rsid w:val="0094137E"/>
    <w:rsid w:val="0094175C"/>
    <w:rsid w:val="0094201C"/>
    <w:rsid w:val="00942889"/>
    <w:rsid w:val="009438EF"/>
    <w:rsid w:val="00944E26"/>
    <w:rsid w:val="009467E6"/>
    <w:rsid w:val="0094742A"/>
    <w:rsid w:val="00947C06"/>
    <w:rsid w:val="00950B5E"/>
    <w:rsid w:val="0095113E"/>
    <w:rsid w:val="009515D5"/>
    <w:rsid w:val="0095278E"/>
    <w:rsid w:val="00953D92"/>
    <w:rsid w:val="009543A1"/>
    <w:rsid w:val="0095444D"/>
    <w:rsid w:val="00956171"/>
    <w:rsid w:val="00956632"/>
    <w:rsid w:val="00957760"/>
    <w:rsid w:val="00960575"/>
    <w:rsid w:val="0096069F"/>
    <w:rsid w:val="009622F4"/>
    <w:rsid w:val="00962E4B"/>
    <w:rsid w:val="0096317F"/>
    <w:rsid w:val="00965F86"/>
    <w:rsid w:val="00966026"/>
    <w:rsid w:val="0096663C"/>
    <w:rsid w:val="009669B3"/>
    <w:rsid w:val="0096717C"/>
    <w:rsid w:val="00970096"/>
    <w:rsid w:val="0097022C"/>
    <w:rsid w:val="009707AA"/>
    <w:rsid w:val="00970F6D"/>
    <w:rsid w:val="00971BF2"/>
    <w:rsid w:val="00971E74"/>
    <w:rsid w:val="009723AC"/>
    <w:rsid w:val="009725AF"/>
    <w:rsid w:val="00980AD1"/>
    <w:rsid w:val="009827C7"/>
    <w:rsid w:val="00983F99"/>
    <w:rsid w:val="0098573A"/>
    <w:rsid w:val="00985CB7"/>
    <w:rsid w:val="00985DA9"/>
    <w:rsid w:val="00990044"/>
    <w:rsid w:val="009918D2"/>
    <w:rsid w:val="00991DF8"/>
    <w:rsid w:val="0099207D"/>
    <w:rsid w:val="009921D5"/>
    <w:rsid w:val="00993004"/>
    <w:rsid w:val="00993777"/>
    <w:rsid w:val="00993878"/>
    <w:rsid w:val="0099579B"/>
    <w:rsid w:val="00995F4E"/>
    <w:rsid w:val="00996506"/>
    <w:rsid w:val="00996E51"/>
    <w:rsid w:val="00996F15"/>
    <w:rsid w:val="009A0253"/>
    <w:rsid w:val="009A0336"/>
    <w:rsid w:val="009A06E7"/>
    <w:rsid w:val="009A4B2C"/>
    <w:rsid w:val="009A514B"/>
    <w:rsid w:val="009A5576"/>
    <w:rsid w:val="009A627A"/>
    <w:rsid w:val="009A7B05"/>
    <w:rsid w:val="009B03BD"/>
    <w:rsid w:val="009B206C"/>
    <w:rsid w:val="009B2071"/>
    <w:rsid w:val="009B32F8"/>
    <w:rsid w:val="009B3B75"/>
    <w:rsid w:val="009B3BDC"/>
    <w:rsid w:val="009B4362"/>
    <w:rsid w:val="009B4A38"/>
    <w:rsid w:val="009B7094"/>
    <w:rsid w:val="009B7123"/>
    <w:rsid w:val="009B7C97"/>
    <w:rsid w:val="009C03EB"/>
    <w:rsid w:val="009C1166"/>
    <w:rsid w:val="009C1A1E"/>
    <w:rsid w:val="009C1F3D"/>
    <w:rsid w:val="009C2D83"/>
    <w:rsid w:val="009C3125"/>
    <w:rsid w:val="009C321F"/>
    <w:rsid w:val="009C33EC"/>
    <w:rsid w:val="009C36BC"/>
    <w:rsid w:val="009C3D70"/>
    <w:rsid w:val="009C5A00"/>
    <w:rsid w:val="009C79AD"/>
    <w:rsid w:val="009D0B62"/>
    <w:rsid w:val="009D3601"/>
    <w:rsid w:val="009D366D"/>
    <w:rsid w:val="009D3DD0"/>
    <w:rsid w:val="009D433B"/>
    <w:rsid w:val="009D4DA1"/>
    <w:rsid w:val="009D5053"/>
    <w:rsid w:val="009D55CF"/>
    <w:rsid w:val="009D5BFF"/>
    <w:rsid w:val="009D65AB"/>
    <w:rsid w:val="009D6891"/>
    <w:rsid w:val="009D74BC"/>
    <w:rsid w:val="009D76FC"/>
    <w:rsid w:val="009E03C3"/>
    <w:rsid w:val="009E1248"/>
    <w:rsid w:val="009E2B12"/>
    <w:rsid w:val="009E3134"/>
    <w:rsid w:val="009E3D34"/>
    <w:rsid w:val="009E413E"/>
    <w:rsid w:val="009E468F"/>
    <w:rsid w:val="009E4BC7"/>
    <w:rsid w:val="009E5427"/>
    <w:rsid w:val="009E5543"/>
    <w:rsid w:val="009E620F"/>
    <w:rsid w:val="009E6A09"/>
    <w:rsid w:val="009E6B9A"/>
    <w:rsid w:val="009F0D53"/>
    <w:rsid w:val="009F30C9"/>
    <w:rsid w:val="009F3361"/>
    <w:rsid w:val="009F3FAA"/>
    <w:rsid w:val="009F43B6"/>
    <w:rsid w:val="009F4658"/>
    <w:rsid w:val="009F47FD"/>
    <w:rsid w:val="009F567F"/>
    <w:rsid w:val="009F56A9"/>
    <w:rsid w:val="009F5DE1"/>
    <w:rsid w:val="009F6867"/>
    <w:rsid w:val="009F7270"/>
    <w:rsid w:val="009F7FBB"/>
    <w:rsid w:val="00A00C8B"/>
    <w:rsid w:val="00A00EE6"/>
    <w:rsid w:val="00A034FC"/>
    <w:rsid w:val="00A04131"/>
    <w:rsid w:val="00A0589B"/>
    <w:rsid w:val="00A05C5E"/>
    <w:rsid w:val="00A06819"/>
    <w:rsid w:val="00A0799C"/>
    <w:rsid w:val="00A114ED"/>
    <w:rsid w:val="00A115C9"/>
    <w:rsid w:val="00A11860"/>
    <w:rsid w:val="00A12DC1"/>
    <w:rsid w:val="00A12E75"/>
    <w:rsid w:val="00A1384D"/>
    <w:rsid w:val="00A16031"/>
    <w:rsid w:val="00A20233"/>
    <w:rsid w:val="00A2108A"/>
    <w:rsid w:val="00A21853"/>
    <w:rsid w:val="00A21A17"/>
    <w:rsid w:val="00A21B33"/>
    <w:rsid w:val="00A2369E"/>
    <w:rsid w:val="00A23883"/>
    <w:rsid w:val="00A23C98"/>
    <w:rsid w:val="00A24E5B"/>
    <w:rsid w:val="00A2501E"/>
    <w:rsid w:val="00A2511A"/>
    <w:rsid w:val="00A253C0"/>
    <w:rsid w:val="00A2676D"/>
    <w:rsid w:val="00A26A3F"/>
    <w:rsid w:val="00A271FD"/>
    <w:rsid w:val="00A2748E"/>
    <w:rsid w:val="00A27FB4"/>
    <w:rsid w:val="00A309A4"/>
    <w:rsid w:val="00A31749"/>
    <w:rsid w:val="00A32702"/>
    <w:rsid w:val="00A33516"/>
    <w:rsid w:val="00A34C18"/>
    <w:rsid w:val="00A35595"/>
    <w:rsid w:val="00A36B5D"/>
    <w:rsid w:val="00A36EF6"/>
    <w:rsid w:val="00A36F9E"/>
    <w:rsid w:val="00A379C3"/>
    <w:rsid w:val="00A37A08"/>
    <w:rsid w:val="00A40561"/>
    <w:rsid w:val="00A40C86"/>
    <w:rsid w:val="00A41186"/>
    <w:rsid w:val="00A412AE"/>
    <w:rsid w:val="00A41CD0"/>
    <w:rsid w:val="00A41D53"/>
    <w:rsid w:val="00A42142"/>
    <w:rsid w:val="00A421D3"/>
    <w:rsid w:val="00A42467"/>
    <w:rsid w:val="00A42632"/>
    <w:rsid w:val="00A42833"/>
    <w:rsid w:val="00A43018"/>
    <w:rsid w:val="00A436CD"/>
    <w:rsid w:val="00A44124"/>
    <w:rsid w:val="00A450B5"/>
    <w:rsid w:val="00A45490"/>
    <w:rsid w:val="00A4654E"/>
    <w:rsid w:val="00A47261"/>
    <w:rsid w:val="00A51560"/>
    <w:rsid w:val="00A528C5"/>
    <w:rsid w:val="00A52E24"/>
    <w:rsid w:val="00A5383D"/>
    <w:rsid w:val="00A53957"/>
    <w:rsid w:val="00A5400B"/>
    <w:rsid w:val="00A5419D"/>
    <w:rsid w:val="00A547BD"/>
    <w:rsid w:val="00A578D7"/>
    <w:rsid w:val="00A5795C"/>
    <w:rsid w:val="00A60FE0"/>
    <w:rsid w:val="00A620C1"/>
    <w:rsid w:val="00A6355B"/>
    <w:rsid w:val="00A644BC"/>
    <w:rsid w:val="00A65A19"/>
    <w:rsid w:val="00A65B14"/>
    <w:rsid w:val="00A66E0E"/>
    <w:rsid w:val="00A67C73"/>
    <w:rsid w:val="00A70123"/>
    <w:rsid w:val="00A70978"/>
    <w:rsid w:val="00A71500"/>
    <w:rsid w:val="00A71551"/>
    <w:rsid w:val="00A71787"/>
    <w:rsid w:val="00A72007"/>
    <w:rsid w:val="00A72C6C"/>
    <w:rsid w:val="00A734F9"/>
    <w:rsid w:val="00A73792"/>
    <w:rsid w:val="00A73C96"/>
    <w:rsid w:val="00A73D45"/>
    <w:rsid w:val="00A7438C"/>
    <w:rsid w:val="00A7476F"/>
    <w:rsid w:val="00A74F65"/>
    <w:rsid w:val="00A772C1"/>
    <w:rsid w:val="00A77C6F"/>
    <w:rsid w:val="00A801E8"/>
    <w:rsid w:val="00A8210D"/>
    <w:rsid w:val="00A83413"/>
    <w:rsid w:val="00A85158"/>
    <w:rsid w:val="00A86376"/>
    <w:rsid w:val="00A86B79"/>
    <w:rsid w:val="00A8754E"/>
    <w:rsid w:val="00A9070B"/>
    <w:rsid w:val="00A90914"/>
    <w:rsid w:val="00A917BD"/>
    <w:rsid w:val="00A923AA"/>
    <w:rsid w:val="00A923BF"/>
    <w:rsid w:val="00A9296F"/>
    <w:rsid w:val="00A929D7"/>
    <w:rsid w:val="00A92C35"/>
    <w:rsid w:val="00A939F5"/>
    <w:rsid w:val="00A93D22"/>
    <w:rsid w:val="00A94243"/>
    <w:rsid w:val="00A944E4"/>
    <w:rsid w:val="00A94B82"/>
    <w:rsid w:val="00A95C1C"/>
    <w:rsid w:val="00A961FF"/>
    <w:rsid w:val="00A96D87"/>
    <w:rsid w:val="00AA12F2"/>
    <w:rsid w:val="00AA1D4D"/>
    <w:rsid w:val="00AA2221"/>
    <w:rsid w:val="00AA3F55"/>
    <w:rsid w:val="00AA4D41"/>
    <w:rsid w:val="00AA528E"/>
    <w:rsid w:val="00AA5C1F"/>
    <w:rsid w:val="00AA72D4"/>
    <w:rsid w:val="00AB07A7"/>
    <w:rsid w:val="00AB0C0A"/>
    <w:rsid w:val="00AB1CAD"/>
    <w:rsid w:val="00AB37A5"/>
    <w:rsid w:val="00AB3C1B"/>
    <w:rsid w:val="00AB3F25"/>
    <w:rsid w:val="00AB41B4"/>
    <w:rsid w:val="00AB4C02"/>
    <w:rsid w:val="00AB563D"/>
    <w:rsid w:val="00AB58AA"/>
    <w:rsid w:val="00AB590E"/>
    <w:rsid w:val="00AB72B0"/>
    <w:rsid w:val="00AB770A"/>
    <w:rsid w:val="00AC0724"/>
    <w:rsid w:val="00AC3A2C"/>
    <w:rsid w:val="00AC406E"/>
    <w:rsid w:val="00AC4110"/>
    <w:rsid w:val="00AC4181"/>
    <w:rsid w:val="00AC46D5"/>
    <w:rsid w:val="00AC47AC"/>
    <w:rsid w:val="00AC520D"/>
    <w:rsid w:val="00AC5851"/>
    <w:rsid w:val="00AC6856"/>
    <w:rsid w:val="00AC7E51"/>
    <w:rsid w:val="00AD13C6"/>
    <w:rsid w:val="00AD18CE"/>
    <w:rsid w:val="00AD2228"/>
    <w:rsid w:val="00AD4354"/>
    <w:rsid w:val="00AD5F9B"/>
    <w:rsid w:val="00AE0402"/>
    <w:rsid w:val="00AE23D2"/>
    <w:rsid w:val="00AE2A4E"/>
    <w:rsid w:val="00AE3ACC"/>
    <w:rsid w:val="00AF00C9"/>
    <w:rsid w:val="00AF30E7"/>
    <w:rsid w:val="00AF3392"/>
    <w:rsid w:val="00AF3BB8"/>
    <w:rsid w:val="00AF4CB6"/>
    <w:rsid w:val="00AF4CD4"/>
    <w:rsid w:val="00AF4DE2"/>
    <w:rsid w:val="00AF5533"/>
    <w:rsid w:val="00AF612E"/>
    <w:rsid w:val="00AF63C6"/>
    <w:rsid w:val="00AF6607"/>
    <w:rsid w:val="00AF6AA2"/>
    <w:rsid w:val="00AF7936"/>
    <w:rsid w:val="00AF7C67"/>
    <w:rsid w:val="00B007AC"/>
    <w:rsid w:val="00B0093C"/>
    <w:rsid w:val="00B00ED0"/>
    <w:rsid w:val="00B01C46"/>
    <w:rsid w:val="00B01FF0"/>
    <w:rsid w:val="00B0420B"/>
    <w:rsid w:val="00B04638"/>
    <w:rsid w:val="00B0520D"/>
    <w:rsid w:val="00B05CF6"/>
    <w:rsid w:val="00B06383"/>
    <w:rsid w:val="00B06B8A"/>
    <w:rsid w:val="00B076D5"/>
    <w:rsid w:val="00B10C1D"/>
    <w:rsid w:val="00B10E91"/>
    <w:rsid w:val="00B11921"/>
    <w:rsid w:val="00B11DC7"/>
    <w:rsid w:val="00B12BEC"/>
    <w:rsid w:val="00B13282"/>
    <w:rsid w:val="00B13548"/>
    <w:rsid w:val="00B13A51"/>
    <w:rsid w:val="00B13B84"/>
    <w:rsid w:val="00B14249"/>
    <w:rsid w:val="00B14B27"/>
    <w:rsid w:val="00B14CE6"/>
    <w:rsid w:val="00B156B5"/>
    <w:rsid w:val="00B162F0"/>
    <w:rsid w:val="00B175C7"/>
    <w:rsid w:val="00B21B9C"/>
    <w:rsid w:val="00B21DF5"/>
    <w:rsid w:val="00B22501"/>
    <w:rsid w:val="00B2252A"/>
    <w:rsid w:val="00B22BB4"/>
    <w:rsid w:val="00B230C4"/>
    <w:rsid w:val="00B2439B"/>
    <w:rsid w:val="00B24BFC"/>
    <w:rsid w:val="00B2501A"/>
    <w:rsid w:val="00B2557D"/>
    <w:rsid w:val="00B27371"/>
    <w:rsid w:val="00B303A1"/>
    <w:rsid w:val="00B30EA1"/>
    <w:rsid w:val="00B314BE"/>
    <w:rsid w:val="00B31685"/>
    <w:rsid w:val="00B32899"/>
    <w:rsid w:val="00B32AE6"/>
    <w:rsid w:val="00B342EC"/>
    <w:rsid w:val="00B349BA"/>
    <w:rsid w:val="00B35C12"/>
    <w:rsid w:val="00B36563"/>
    <w:rsid w:val="00B371B2"/>
    <w:rsid w:val="00B41A24"/>
    <w:rsid w:val="00B424F2"/>
    <w:rsid w:val="00B42EBA"/>
    <w:rsid w:val="00B43A36"/>
    <w:rsid w:val="00B43F9B"/>
    <w:rsid w:val="00B4400C"/>
    <w:rsid w:val="00B45E5D"/>
    <w:rsid w:val="00B45F76"/>
    <w:rsid w:val="00B4716E"/>
    <w:rsid w:val="00B5137B"/>
    <w:rsid w:val="00B52216"/>
    <w:rsid w:val="00B52E72"/>
    <w:rsid w:val="00B5396E"/>
    <w:rsid w:val="00B53D23"/>
    <w:rsid w:val="00B544E5"/>
    <w:rsid w:val="00B548A6"/>
    <w:rsid w:val="00B548FC"/>
    <w:rsid w:val="00B54EA9"/>
    <w:rsid w:val="00B56313"/>
    <w:rsid w:val="00B56D39"/>
    <w:rsid w:val="00B56F02"/>
    <w:rsid w:val="00B6096E"/>
    <w:rsid w:val="00B60D77"/>
    <w:rsid w:val="00B614BA"/>
    <w:rsid w:val="00B61707"/>
    <w:rsid w:val="00B6369B"/>
    <w:rsid w:val="00B65504"/>
    <w:rsid w:val="00B6591D"/>
    <w:rsid w:val="00B67AE5"/>
    <w:rsid w:val="00B753B8"/>
    <w:rsid w:val="00B75F8E"/>
    <w:rsid w:val="00B76E9C"/>
    <w:rsid w:val="00B80323"/>
    <w:rsid w:val="00B81C51"/>
    <w:rsid w:val="00B87493"/>
    <w:rsid w:val="00B8766F"/>
    <w:rsid w:val="00B87AEE"/>
    <w:rsid w:val="00B87FA0"/>
    <w:rsid w:val="00B90C08"/>
    <w:rsid w:val="00B914A0"/>
    <w:rsid w:val="00B916C5"/>
    <w:rsid w:val="00B91E76"/>
    <w:rsid w:val="00B91EE6"/>
    <w:rsid w:val="00B94B0D"/>
    <w:rsid w:val="00B950A0"/>
    <w:rsid w:val="00B969AA"/>
    <w:rsid w:val="00B97FC3"/>
    <w:rsid w:val="00BA0021"/>
    <w:rsid w:val="00BA0920"/>
    <w:rsid w:val="00BA0E02"/>
    <w:rsid w:val="00BA2048"/>
    <w:rsid w:val="00BA259D"/>
    <w:rsid w:val="00BA2670"/>
    <w:rsid w:val="00BA4739"/>
    <w:rsid w:val="00BA55C2"/>
    <w:rsid w:val="00BA681D"/>
    <w:rsid w:val="00BA6DD8"/>
    <w:rsid w:val="00BA772F"/>
    <w:rsid w:val="00BA7E42"/>
    <w:rsid w:val="00BB2176"/>
    <w:rsid w:val="00BB2662"/>
    <w:rsid w:val="00BB3307"/>
    <w:rsid w:val="00BB6220"/>
    <w:rsid w:val="00BB769F"/>
    <w:rsid w:val="00BC2BC5"/>
    <w:rsid w:val="00BC2D2F"/>
    <w:rsid w:val="00BC33FF"/>
    <w:rsid w:val="00BC455A"/>
    <w:rsid w:val="00BC4A29"/>
    <w:rsid w:val="00BC6507"/>
    <w:rsid w:val="00BC7687"/>
    <w:rsid w:val="00BD0642"/>
    <w:rsid w:val="00BD162D"/>
    <w:rsid w:val="00BD2AEA"/>
    <w:rsid w:val="00BD2E05"/>
    <w:rsid w:val="00BD3734"/>
    <w:rsid w:val="00BD5933"/>
    <w:rsid w:val="00BD5CC2"/>
    <w:rsid w:val="00BD5FC0"/>
    <w:rsid w:val="00BD6E17"/>
    <w:rsid w:val="00BD7AAC"/>
    <w:rsid w:val="00BE013C"/>
    <w:rsid w:val="00BE080A"/>
    <w:rsid w:val="00BE1737"/>
    <w:rsid w:val="00BE1755"/>
    <w:rsid w:val="00BE2F78"/>
    <w:rsid w:val="00BE3320"/>
    <w:rsid w:val="00BE3625"/>
    <w:rsid w:val="00BE3A03"/>
    <w:rsid w:val="00BE7321"/>
    <w:rsid w:val="00BE7A44"/>
    <w:rsid w:val="00BF10BC"/>
    <w:rsid w:val="00BF1EB6"/>
    <w:rsid w:val="00BF36C7"/>
    <w:rsid w:val="00BF3B2B"/>
    <w:rsid w:val="00BF45D7"/>
    <w:rsid w:val="00BF47FC"/>
    <w:rsid w:val="00C01799"/>
    <w:rsid w:val="00C029D2"/>
    <w:rsid w:val="00C02C0F"/>
    <w:rsid w:val="00C02F34"/>
    <w:rsid w:val="00C030FF"/>
    <w:rsid w:val="00C0334A"/>
    <w:rsid w:val="00C03EAA"/>
    <w:rsid w:val="00C04BD7"/>
    <w:rsid w:val="00C05A85"/>
    <w:rsid w:val="00C061CF"/>
    <w:rsid w:val="00C10B17"/>
    <w:rsid w:val="00C112A3"/>
    <w:rsid w:val="00C11CE5"/>
    <w:rsid w:val="00C12500"/>
    <w:rsid w:val="00C12B0F"/>
    <w:rsid w:val="00C15CCD"/>
    <w:rsid w:val="00C164BF"/>
    <w:rsid w:val="00C17559"/>
    <w:rsid w:val="00C17C93"/>
    <w:rsid w:val="00C20298"/>
    <w:rsid w:val="00C20FC9"/>
    <w:rsid w:val="00C2198E"/>
    <w:rsid w:val="00C21D21"/>
    <w:rsid w:val="00C229B9"/>
    <w:rsid w:val="00C22DC2"/>
    <w:rsid w:val="00C23055"/>
    <w:rsid w:val="00C239A1"/>
    <w:rsid w:val="00C23C37"/>
    <w:rsid w:val="00C2708A"/>
    <w:rsid w:val="00C3220C"/>
    <w:rsid w:val="00C325DE"/>
    <w:rsid w:val="00C32B1A"/>
    <w:rsid w:val="00C34419"/>
    <w:rsid w:val="00C34E77"/>
    <w:rsid w:val="00C35105"/>
    <w:rsid w:val="00C35AC8"/>
    <w:rsid w:val="00C3792F"/>
    <w:rsid w:val="00C402DF"/>
    <w:rsid w:val="00C40DAA"/>
    <w:rsid w:val="00C41136"/>
    <w:rsid w:val="00C424E0"/>
    <w:rsid w:val="00C42CD2"/>
    <w:rsid w:val="00C4392E"/>
    <w:rsid w:val="00C43C39"/>
    <w:rsid w:val="00C45787"/>
    <w:rsid w:val="00C45E15"/>
    <w:rsid w:val="00C46F70"/>
    <w:rsid w:val="00C474C9"/>
    <w:rsid w:val="00C50393"/>
    <w:rsid w:val="00C508F1"/>
    <w:rsid w:val="00C51467"/>
    <w:rsid w:val="00C51A87"/>
    <w:rsid w:val="00C5243F"/>
    <w:rsid w:val="00C526F7"/>
    <w:rsid w:val="00C535E2"/>
    <w:rsid w:val="00C5424C"/>
    <w:rsid w:val="00C55304"/>
    <w:rsid w:val="00C55745"/>
    <w:rsid w:val="00C55FDB"/>
    <w:rsid w:val="00C56B8C"/>
    <w:rsid w:val="00C57270"/>
    <w:rsid w:val="00C57282"/>
    <w:rsid w:val="00C57344"/>
    <w:rsid w:val="00C5790E"/>
    <w:rsid w:val="00C607E6"/>
    <w:rsid w:val="00C6116A"/>
    <w:rsid w:val="00C61C28"/>
    <w:rsid w:val="00C62291"/>
    <w:rsid w:val="00C62D6B"/>
    <w:rsid w:val="00C63E51"/>
    <w:rsid w:val="00C64863"/>
    <w:rsid w:val="00C6561B"/>
    <w:rsid w:val="00C6565E"/>
    <w:rsid w:val="00C66C20"/>
    <w:rsid w:val="00C67398"/>
    <w:rsid w:val="00C67FBB"/>
    <w:rsid w:val="00C707F5"/>
    <w:rsid w:val="00C70AE3"/>
    <w:rsid w:val="00C70B39"/>
    <w:rsid w:val="00C70DF3"/>
    <w:rsid w:val="00C71BF6"/>
    <w:rsid w:val="00C7384D"/>
    <w:rsid w:val="00C73863"/>
    <w:rsid w:val="00C7396A"/>
    <w:rsid w:val="00C739B0"/>
    <w:rsid w:val="00C73AEC"/>
    <w:rsid w:val="00C7515E"/>
    <w:rsid w:val="00C7612C"/>
    <w:rsid w:val="00C76DD7"/>
    <w:rsid w:val="00C76DEF"/>
    <w:rsid w:val="00C772CB"/>
    <w:rsid w:val="00C7740C"/>
    <w:rsid w:val="00C77CF5"/>
    <w:rsid w:val="00C82341"/>
    <w:rsid w:val="00C82C2D"/>
    <w:rsid w:val="00C8415C"/>
    <w:rsid w:val="00C86447"/>
    <w:rsid w:val="00C8693C"/>
    <w:rsid w:val="00C8727C"/>
    <w:rsid w:val="00C90080"/>
    <w:rsid w:val="00C90713"/>
    <w:rsid w:val="00C9189A"/>
    <w:rsid w:val="00C92388"/>
    <w:rsid w:val="00C92F17"/>
    <w:rsid w:val="00C93276"/>
    <w:rsid w:val="00C93558"/>
    <w:rsid w:val="00C93D7B"/>
    <w:rsid w:val="00C9454E"/>
    <w:rsid w:val="00C9462C"/>
    <w:rsid w:val="00C95001"/>
    <w:rsid w:val="00C96158"/>
    <w:rsid w:val="00C9644F"/>
    <w:rsid w:val="00C96759"/>
    <w:rsid w:val="00C96B98"/>
    <w:rsid w:val="00C96CF7"/>
    <w:rsid w:val="00C96E02"/>
    <w:rsid w:val="00CA0301"/>
    <w:rsid w:val="00CA07C5"/>
    <w:rsid w:val="00CA0D8A"/>
    <w:rsid w:val="00CA11B9"/>
    <w:rsid w:val="00CA13DD"/>
    <w:rsid w:val="00CA150B"/>
    <w:rsid w:val="00CA1514"/>
    <w:rsid w:val="00CA51A4"/>
    <w:rsid w:val="00CA5A34"/>
    <w:rsid w:val="00CA5C17"/>
    <w:rsid w:val="00CA5E1B"/>
    <w:rsid w:val="00CA6113"/>
    <w:rsid w:val="00CA69DC"/>
    <w:rsid w:val="00CA6B58"/>
    <w:rsid w:val="00CB0338"/>
    <w:rsid w:val="00CB0FF1"/>
    <w:rsid w:val="00CB18E6"/>
    <w:rsid w:val="00CB1D45"/>
    <w:rsid w:val="00CB3043"/>
    <w:rsid w:val="00CB4001"/>
    <w:rsid w:val="00CB5139"/>
    <w:rsid w:val="00CB6F92"/>
    <w:rsid w:val="00CB79CC"/>
    <w:rsid w:val="00CB7AB9"/>
    <w:rsid w:val="00CB7B02"/>
    <w:rsid w:val="00CB7DEC"/>
    <w:rsid w:val="00CC11B0"/>
    <w:rsid w:val="00CC1C5A"/>
    <w:rsid w:val="00CC262F"/>
    <w:rsid w:val="00CC43D0"/>
    <w:rsid w:val="00CC4B99"/>
    <w:rsid w:val="00CC4BE5"/>
    <w:rsid w:val="00CC5491"/>
    <w:rsid w:val="00CC5831"/>
    <w:rsid w:val="00CC5A78"/>
    <w:rsid w:val="00CD05F2"/>
    <w:rsid w:val="00CD0BCA"/>
    <w:rsid w:val="00CD1833"/>
    <w:rsid w:val="00CD492E"/>
    <w:rsid w:val="00CD4BAA"/>
    <w:rsid w:val="00CD5181"/>
    <w:rsid w:val="00CD6FE6"/>
    <w:rsid w:val="00CD703D"/>
    <w:rsid w:val="00CD7580"/>
    <w:rsid w:val="00CD7AF2"/>
    <w:rsid w:val="00CD7C13"/>
    <w:rsid w:val="00CE0319"/>
    <w:rsid w:val="00CE22A5"/>
    <w:rsid w:val="00CE380D"/>
    <w:rsid w:val="00CE42D1"/>
    <w:rsid w:val="00CE5A09"/>
    <w:rsid w:val="00CE6682"/>
    <w:rsid w:val="00CF0333"/>
    <w:rsid w:val="00CF0C28"/>
    <w:rsid w:val="00CF17BC"/>
    <w:rsid w:val="00CF1DAB"/>
    <w:rsid w:val="00CF1E75"/>
    <w:rsid w:val="00CF255F"/>
    <w:rsid w:val="00CF275B"/>
    <w:rsid w:val="00CF2C06"/>
    <w:rsid w:val="00CF2E21"/>
    <w:rsid w:val="00CF4C2F"/>
    <w:rsid w:val="00CF4CEA"/>
    <w:rsid w:val="00CF4DA7"/>
    <w:rsid w:val="00CF66C7"/>
    <w:rsid w:val="00CF707E"/>
    <w:rsid w:val="00D0035E"/>
    <w:rsid w:val="00D004BE"/>
    <w:rsid w:val="00D0061D"/>
    <w:rsid w:val="00D02553"/>
    <w:rsid w:val="00D02B4A"/>
    <w:rsid w:val="00D031D1"/>
    <w:rsid w:val="00D05116"/>
    <w:rsid w:val="00D05172"/>
    <w:rsid w:val="00D076EB"/>
    <w:rsid w:val="00D107F2"/>
    <w:rsid w:val="00D1374E"/>
    <w:rsid w:val="00D145D3"/>
    <w:rsid w:val="00D147D1"/>
    <w:rsid w:val="00D1626C"/>
    <w:rsid w:val="00D16E50"/>
    <w:rsid w:val="00D17AED"/>
    <w:rsid w:val="00D20181"/>
    <w:rsid w:val="00D201F3"/>
    <w:rsid w:val="00D211E0"/>
    <w:rsid w:val="00D243D4"/>
    <w:rsid w:val="00D24C53"/>
    <w:rsid w:val="00D25909"/>
    <w:rsid w:val="00D263F9"/>
    <w:rsid w:val="00D26AF9"/>
    <w:rsid w:val="00D270B9"/>
    <w:rsid w:val="00D27CB0"/>
    <w:rsid w:val="00D27DD6"/>
    <w:rsid w:val="00D30B37"/>
    <w:rsid w:val="00D31651"/>
    <w:rsid w:val="00D31A66"/>
    <w:rsid w:val="00D31D2F"/>
    <w:rsid w:val="00D32B4A"/>
    <w:rsid w:val="00D33830"/>
    <w:rsid w:val="00D33F8C"/>
    <w:rsid w:val="00D36329"/>
    <w:rsid w:val="00D37100"/>
    <w:rsid w:val="00D37157"/>
    <w:rsid w:val="00D371EA"/>
    <w:rsid w:val="00D376FE"/>
    <w:rsid w:val="00D37A68"/>
    <w:rsid w:val="00D37FB8"/>
    <w:rsid w:val="00D40A21"/>
    <w:rsid w:val="00D40A7A"/>
    <w:rsid w:val="00D40F44"/>
    <w:rsid w:val="00D41A3F"/>
    <w:rsid w:val="00D41EA7"/>
    <w:rsid w:val="00D421CA"/>
    <w:rsid w:val="00D42A34"/>
    <w:rsid w:val="00D43F45"/>
    <w:rsid w:val="00D441BF"/>
    <w:rsid w:val="00D4498F"/>
    <w:rsid w:val="00D44D4F"/>
    <w:rsid w:val="00D4533F"/>
    <w:rsid w:val="00D4581F"/>
    <w:rsid w:val="00D45AC3"/>
    <w:rsid w:val="00D461EB"/>
    <w:rsid w:val="00D467F7"/>
    <w:rsid w:val="00D46AC0"/>
    <w:rsid w:val="00D47532"/>
    <w:rsid w:val="00D4783C"/>
    <w:rsid w:val="00D5044A"/>
    <w:rsid w:val="00D504F4"/>
    <w:rsid w:val="00D505B3"/>
    <w:rsid w:val="00D50AA5"/>
    <w:rsid w:val="00D50B20"/>
    <w:rsid w:val="00D51F49"/>
    <w:rsid w:val="00D53E88"/>
    <w:rsid w:val="00D5446E"/>
    <w:rsid w:val="00D55BB8"/>
    <w:rsid w:val="00D57734"/>
    <w:rsid w:val="00D601C7"/>
    <w:rsid w:val="00D6028A"/>
    <w:rsid w:val="00D60C0C"/>
    <w:rsid w:val="00D60C73"/>
    <w:rsid w:val="00D61093"/>
    <w:rsid w:val="00D6118C"/>
    <w:rsid w:val="00D617A2"/>
    <w:rsid w:val="00D620C4"/>
    <w:rsid w:val="00D6228D"/>
    <w:rsid w:val="00D6251F"/>
    <w:rsid w:val="00D637D7"/>
    <w:rsid w:val="00D639F3"/>
    <w:rsid w:val="00D645C7"/>
    <w:rsid w:val="00D66C87"/>
    <w:rsid w:val="00D66FFE"/>
    <w:rsid w:val="00D713F8"/>
    <w:rsid w:val="00D71FFE"/>
    <w:rsid w:val="00D72A9C"/>
    <w:rsid w:val="00D72B21"/>
    <w:rsid w:val="00D7334B"/>
    <w:rsid w:val="00D742CF"/>
    <w:rsid w:val="00D74339"/>
    <w:rsid w:val="00D76637"/>
    <w:rsid w:val="00D7723E"/>
    <w:rsid w:val="00D77802"/>
    <w:rsid w:val="00D80D1B"/>
    <w:rsid w:val="00D81F61"/>
    <w:rsid w:val="00D822DE"/>
    <w:rsid w:val="00D839A9"/>
    <w:rsid w:val="00D83E25"/>
    <w:rsid w:val="00D83FB0"/>
    <w:rsid w:val="00D84F0B"/>
    <w:rsid w:val="00D85BC5"/>
    <w:rsid w:val="00D86455"/>
    <w:rsid w:val="00D869F5"/>
    <w:rsid w:val="00D908CD"/>
    <w:rsid w:val="00D91EA8"/>
    <w:rsid w:val="00D923E1"/>
    <w:rsid w:val="00D93D4B"/>
    <w:rsid w:val="00D9581E"/>
    <w:rsid w:val="00D95961"/>
    <w:rsid w:val="00D95C74"/>
    <w:rsid w:val="00D96E96"/>
    <w:rsid w:val="00DA1072"/>
    <w:rsid w:val="00DA1BFB"/>
    <w:rsid w:val="00DA1DA4"/>
    <w:rsid w:val="00DA29A2"/>
    <w:rsid w:val="00DA4383"/>
    <w:rsid w:val="00DA5B49"/>
    <w:rsid w:val="00DA699C"/>
    <w:rsid w:val="00DB4316"/>
    <w:rsid w:val="00DB45FC"/>
    <w:rsid w:val="00DB4926"/>
    <w:rsid w:val="00DB4DAB"/>
    <w:rsid w:val="00DB573E"/>
    <w:rsid w:val="00DB6887"/>
    <w:rsid w:val="00DC34E2"/>
    <w:rsid w:val="00DC38B6"/>
    <w:rsid w:val="00DC3930"/>
    <w:rsid w:val="00DC3B97"/>
    <w:rsid w:val="00DC4932"/>
    <w:rsid w:val="00DC4DDC"/>
    <w:rsid w:val="00DC55CF"/>
    <w:rsid w:val="00DC5B4F"/>
    <w:rsid w:val="00DC6E2C"/>
    <w:rsid w:val="00DC7052"/>
    <w:rsid w:val="00DC7946"/>
    <w:rsid w:val="00DC79A2"/>
    <w:rsid w:val="00DC7D4F"/>
    <w:rsid w:val="00DD05D8"/>
    <w:rsid w:val="00DD1A1F"/>
    <w:rsid w:val="00DD253B"/>
    <w:rsid w:val="00DD2864"/>
    <w:rsid w:val="00DD2A92"/>
    <w:rsid w:val="00DD2B9B"/>
    <w:rsid w:val="00DD2E96"/>
    <w:rsid w:val="00DD39E4"/>
    <w:rsid w:val="00DD3D75"/>
    <w:rsid w:val="00DD4011"/>
    <w:rsid w:val="00DD47E1"/>
    <w:rsid w:val="00DD7EBA"/>
    <w:rsid w:val="00DE0408"/>
    <w:rsid w:val="00DE1691"/>
    <w:rsid w:val="00DE1C8F"/>
    <w:rsid w:val="00DE2371"/>
    <w:rsid w:val="00DE2926"/>
    <w:rsid w:val="00DE2B32"/>
    <w:rsid w:val="00DE2DE6"/>
    <w:rsid w:val="00DE471E"/>
    <w:rsid w:val="00DE473F"/>
    <w:rsid w:val="00DE67BB"/>
    <w:rsid w:val="00DE7244"/>
    <w:rsid w:val="00DE760B"/>
    <w:rsid w:val="00DF0F63"/>
    <w:rsid w:val="00DF112D"/>
    <w:rsid w:val="00DF35AB"/>
    <w:rsid w:val="00DF3685"/>
    <w:rsid w:val="00DF4084"/>
    <w:rsid w:val="00DF41BC"/>
    <w:rsid w:val="00DF4F7D"/>
    <w:rsid w:val="00DF6496"/>
    <w:rsid w:val="00DF7262"/>
    <w:rsid w:val="00DF73EE"/>
    <w:rsid w:val="00DF78E3"/>
    <w:rsid w:val="00DF7E0A"/>
    <w:rsid w:val="00E00991"/>
    <w:rsid w:val="00E01639"/>
    <w:rsid w:val="00E02D18"/>
    <w:rsid w:val="00E02EEC"/>
    <w:rsid w:val="00E03914"/>
    <w:rsid w:val="00E0484D"/>
    <w:rsid w:val="00E048E9"/>
    <w:rsid w:val="00E04F9A"/>
    <w:rsid w:val="00E05686"/>
    <w:rsid w:val="00E05975"/>
    <w:rsid w:val="00E05FD6"/>
    <w:rsid w:val="00E06254"/>
    <w:rsid w:val="00E1028E"/>
    <w:rsid w:val="00E124BE"/>
    <w:rsid w:val="00E13959"/>
    <w:rsid w:val="00E13FA6"/>
    <w:rsid w:val="00E1752E"/>
    <w:rsid w:val="00E20F12"/>
    <w:rsid w:val="00E21A50"/>
    <w:rsid w:val="00E21A83"/>
    <w:rsid w:val="00E21BFE"/>
    <w:rsid w:val="00E22CFA"/>
    <w:rsid w:val="00E2419C"/>
    <w:rsid w:val="00E25152"/>
    <w:rsid w:val="00E25722"/>
    <w:rsid w:val="00E25CFB"/>
    <w:rsid w:val="00E30809"/>
    <w:rsid w:val="00E30943"/>
    <w:rsid w:val="00E31AA6"/>
    <w:rsid w:val="00E32139"/>
    <w:rsid w:val="00E32310"/>
    <w:rsid w:val="00E326F3"/>
    <w:rsid w:val="00E332CC"/>
    <w:rsid w:val="00E3400F"/>
    <w:rsid w:val="00E349F1"/>
    <w:rsid w:val="00E35038"/>
    <w:rsid w:val="00E35894"/>
    <w:rsid w:val="00E36F9C"/>
    <w:rsid w:val="00E370B3"/>
    <w:rsid w:val="00E37BA3"/>
    <w:rsid w:val="00E400A7"/>
    <w:rsid w:val="00E41210"/>
    <w:rsid w:val="00E41318"/>
    <w:rsid w:val="00E413B1"/>
    <w:rsid w:val="00E41575"/>
    <w:rsid w:val="00E41613"/>
    <w:rsid w:val="00E43150"/>
    <w:rsid w:val="00E44D7D"/>
    <w:rsid w:val="00E454E2"/>
    <w:rsid w:val="00E45699"/>
    <w:rsid w:val="00E457B7"/>
    <w:rsid w:val="00E51383"/>
    <w:rsid w:val="00E5190E"/>
    <w:rsid w:val="00E52F37"/>
    <w:rsid w:val="00E53B6D"/>
    <w:rsid w:val="00E53D2F"/>
    <w:rsid w:val="00E54FDD"/>
    <w:rsid w:val="00E56A8E"/>
    <w:rsid w:val="00E5791B"/>
    <w:rsid w:val="00E579D6"/>
    <w:rsid w:val="00E57D7D"/>
    <w:rsid w:val="00E60199"/>
    <w:rsid w:val="00E6053E"/>
    <w:rsid w:val="00E61078"/>
    <w:rsid w:val="00E618C4"/>
    <w:rsid w:val="00E618F3"/>
    <w:rsid w:val="00E61999"/>
    <w:rsid w:val="00E62B24"/>
    <w:rsid w:val="00E63199"/>
    <w:rsid w:val="00E6329C"/>
    <w:rsid w:val="00E64712"/>
    <w:rsid w:val="00E6580A"/>
    <w:rsid w:val="00E65A01"/>
    <w:rsid w:val="00E661F1"/>
    <w:rsid w:val="00E665A4"/>
    <w:rsid w:val="00E667DE"/>
    <w:rsid w:val="00E66A82"/>
    <w:rsid w:val="00E70170"/>
    <w:rsid w:val="00E70289"/>
    <w:rsid w:val="00E70658"/>
    <w:rsid w:val="00E70C00"/>
    <w:rsid w:val="00E70DD5"/>
    <w:rsid w:val="00E71803"/>
    <w:rsid w:val="00E71DFE"/>
    <w:rsid w:val="00E71FB4"/>
    <w:rsid w:val="00E73DF0"/>
    <w:rsid w:val="00E7403C"/>
    <w:rsid w:val="00E7409C"/>
    <w:rsid w:val="00E7488E"/>
    <w:rsid w:val="00E7508E"/>
    <w:rsid w:val="00E7607D"/>
    <w:rsid w:val="00E76424"/>
    <w:rsid w:val="00E7648B"/>
    <w:rsid w:val="00E816B4"/>
    <w:rsid w:val="00E81AFF"/>
    <w:rsid w:val="00E82A08"/>
    <w:rsid w:val="00E8333B"/>
    <w:rsid w:val="00E83403"/>
    <w:rsid w:val="00E90085"/>
    <w:rsid w:val="00E90C8B"/>
    <w:rsid w:val="00E91839"/>
    <w:rsid w:val="00E91E21"/>
    <w:rsid w:val="00E9218A"/>
    <w:rsid w:val="00E9322B"/>
    <w:rsid w:val="00E9405E"/>
    <w:rsid w:val="00E94185"/>
    <w:rsid w:val="00E94AE9"/>
    <w:rsid w:val="00E94C6A"/>
    <w:rsid w:val="00E952CD"/>
    <w:rsid w:val="00E96903"/>
    <w:rsid w:val="00E970F1"/>
    <w:rsid w:val="00E97478"/>
    <w:rsid w:val="00E97C17"/>
    <w:rsid w:val="00EA0073"/>
    <w:rsid w:val="00EA23DD"/>
    <w:rsid w:val="00EA2B69"/>
    <w:rsid w:val="00EA3D48"/>
    <w:rsid w:val="00EA3E30"/>
    <w:rsid w:val="00EA64F0"/>
    <w:rsid w:val="00EA70DB"/>
    <w:rsid w:val="00EA7540"/>
    <w:rsid w:val="00EB2CD9"/>
    <w:rsid w:val="00EB2DC8"/>
    <w:rsid w:val="00EB3B63"/>
    <w:rsid w:val="00EB3C12"/>
    <w:rsid w:val="00EB6CF5"/>
    <w:rsid w:val="00EB7128"/>
    <w:rsid w:val="00EB7282"/>
    <w:rsid w:val="00EB7CE8"/>
    <w:rsid w:val="00EC0A8E"/>
    <w:rsid w:val="00EC5434"/>
    <w:rsid w:val="00EC55D6"/>
    <w:rsid w:val="00EC6BFF"/>
    <w:rsid w:val="00EC6E63"/>
    <w:rsid w:val="00EC7C41"/>
    <w:rsid w:val="00ED1B9C"/>
    <w:rsid w:val="00ED37C4"/>
    <w:rsid w:val="00ED3F2E"/>
    <w:rsid w:val="00ED4A72"/>
    <w:rsid w:val="00ED4D47"/>
    <w:rsid w:val="00ED7573"/>
    <w:rsid w:val="00ED7D33"/>
    <w:rsid w:val="00EE12B5"/>
    <w:rsid w:val="00EE1E4E"/>
    <w:rsid w:val="00EE23DF"/>
    <w:rsid w:val="00EE4185"/>
    <w:rsid w:val="00EE4A15"/>
    <w:rsid w:val="00EE516E"/>
    <w:rsid w:val="00EE5E43"/>
    <w:rsid w:val="00EE61A1"/>
    <w:rsid w:val="00EE65ED"/>
    <w:rsid w:val="00EE719D"/>
    <w:rsid w:val="00EF27C4"/>
    <w:rsid w:val="00EF28EC"/>
    <w:rsid w:val="00EF2917"/>
    <w:rsid w:val="00EF2A4F"/>
    <w:rsid w:val="00EF341C"/>
    <w:rsid w:val="00EF43E9"/>
    <w:rsid w:val="00EF4A9A"/>
    <w:rsid w:val="00EF4CB7"/>
    <w:rsid w:val="00EF4DB9"/>
    <w:rsid w:val="00EF4F70"/>
    <w:rsid w:val="00EF66F3"/>
    <w:rsid w:val="00EF7FC5"/>
    <w:rsid w:val="00F000D6"/>
    <w:rsid w:val="00F0033A"/>
    <w:rsid w:val="00F008A5"/>
    <w:rsid w:val="00F00CB0"/>
    <w:rsid w:val="00F014FA"/>
    <w:rsid w:val="00F03D1C"/>
    <w:rsid w:val="00F04B08"/>
    <w:rsid w:val="00F06671"/>
    <w:rsid w:val="00F07210"/>
    <w:rsid w:val="00F076DE"/>
    <w:rsid w:val="00F07A90"/>
    <w:rsid w:val="00F10EB7"/>
    <w:rsid w:val="00F11350"/>
    <w:rsid w:val="00F11A2D"/>
    <w:rsid w:val="00F12060"/>
    <w:rsid w:val="00F13831"/>
    <w:rsid w:val="00F141AC"/>
    <w:rsid w:val="00F1476E"/>
    <w:rsid w:val="00F15E38"/>
    <w:rsid w:val="00F15F2A"/>
    <w:rsid w:val="00F15F38"/>
    <w:rsid w:val="00F17C63"/>
    <w:rsid w:val="00F2163E"/>
    <w:rsid w:val="00F21CC4"/>
    <w:rsid w:val="00F21CE4"/>
    <w:rsid w:val="00F228B6"/>
    <w:rsid w:val="00F2454D"/>
    <w:rsid w:val="00F2500F"/>
    <w:rsid w:val="00F250F1"/>
    <w:rsid w:val="00F2675E"/>
    <w:rsid w:val="00F27240"/>
    <w:rsid w:val="00F2773C"/>
    <w:rsid w:val="00F31071"/>
    <w:rsid w:val="00F32892"/>
    <w:rsid w:val="00F34669"/>
    <w:rsid w:val="00F3468D"/>
    <w:rsid w:val="00F34E39"/>
    <w:rsid w:val="00F35311"/>
    <w:rsid w:val="00F35F70"/>
    <w:rsid w:val="00F36A57"/>
    <w:rsid w:val="00F36CDC"/>
    <w:rsid w:val="00F4124E"/>
    <w:rsid w:val="00F41848"/>
    <w:rsid w:val="00F41B20"/>
    <w:rsid w:val="00F41F16"/>
    <w:rsid w:val="00F43646"/>
    <w:rsid w:val="00F44350"/>
    <w:rsid w:val="00F445C9"/>
    <w:rsid w:val="00F47242"/>
    <w:rsid w:val="00F47926"/>
    <w:rsid w:val="00F479F1"/>
    <w:rsid w:val="00F50EF7"/>
    <w:rsid w:val="00F518DA"/>
    <w:rsid w:val="00F537B1"/>
    <w:rsid w:val="00F551FD"/>
    <w:rsid w:val="00F554E8"/>
    <w:rsid w:val="00F5589B"/>
    <w:rsid w:val="00F559A5"/>
    <w:rsid w:val="00F602AF"/>
    <w:rsid w:val="00F61CE6"/>
    <w:rsid w:val="00F6309B"/>
    <w:rsid w:val="00F634CD"/>
    <w:rsid w:val="00F64419"/>
    <w:rsid w:val="00F651D8"/>
    <w:rsid w:val="00F661F4"/>
    <w:rsid w:val="00F66503"/>
    <w:rsid w:val="00F66F48"/>
    <w:rsid w:val="00F67317"/>
    <w:rsid w:val="00F673C5"/>
    <w:rsid w:val="00F67789"/>
    <w:rsid w:val="00F67AEA"/>
    <w:rsid w:val="00F67FA7"/>
    <w:rsid w:val="00F706CB"/>
    <w:rsid w:val="00F71D1D"/>
    <w:rsid w:val="00F72DEE"/>
    <w:rsid w:val="00F736B0"/>
    <w:rsid w:val="00F73AA3"/>
    <w:rsid w:val="00F74626"/>
    <w:rsid w:val="00F75550"/>
    <w:rsid w:val="00F7566A"/>
    <w:rsid w:val="00F75836"/>
    <w:rsid w:val="00F76005"/>
    <w:rsid w:val="00F77306"/>
    <w:rsid w:val="00F81836"/>
    <w:rsid w:val="00F81DAC"/>
    <w:rsid w:val="00F8202D"/>
    <w:rsid w:val="00F82F77"/>
    <w:rsid w:val="00F83F7F"/>
    <w:rsid w:val="00F850EC"/>
    <w:rsid w:val="00F860C7"/>
    <w:rsid w:val="00F86390"/>
    <w:rsid w:val="00F868D9"/>
    <w:rsid w:val="00F872A9"/>
    <w:rsid w:val="00F92644"/>
    <w:rsid w:val="00F93FC5"/>
    <w:rsid w:val="00F950EA"/>
    <w:rsid w:val="00F95EB3"/>
    <w:rsid w:val="00F96539"/>
    <w:rsid w:val="00FA04AA"/>
    <w:rsid w:val="00FA067B"/>
    <w:rsid w:val="00FA0775"/>
    <w:rsid w:val="00FA2014"/>
    <w:rsid w:val="00FA2382"/>
    <w:rsid w:val="00FA3F6B"/>
    <w:rsid w:val="00FA50EB"/>
    <w:rsid w:val="00FA5D4E"/>
    <w:rsid w:val="00FA7772"/>
    <w:rsid w:val="00FB04AC"/>
    <w:rsid w:val="00FB0A15"/>
    <w:rsid w:val="00FB134F"/>
    <w:rsid w:val="00FB2952"/>
    <w:rsid w:val="00FB2B02"/>
    <w:rsid w:val="00FB41B0"/>
    <w:rsid w:val="00FB47A4"/>
    <w:rsid w:val="00FB5EF8"/>
    <w:rsid w:val="00FB768F"/>
    <w:rsid w:val="00FB7EAE"/>
    <w:rsid w:val="00FC0204"/>
    <w:rsid w:val="00FC060C"/>
    <w:rsid w:val="00FC167B"/>
    <w:rsid w:val="00FC1AE6"/>
    <w:rsid w:val="00FC2B82"/>
    <w:rsid w:val="00FC3041"/>
    <w:rsid w:val="00FC4793"/>
    <w:rsid w:val="00FC4C19"/>
    <w:rsid w:val="00FC6615"/>
    <w:rsid w:val="00FC6720"/>
    <w:rsid w:val="00FC6789"/>
    <w:rsid w:val="00FC6E3E"/>
    <w:rsid w:val="00FC72B8"/>
    <w:rsid w:val="00FD0757"/>
    <w:rsid w:val="00FD08CD"/>
    <w:rsid w:val="00FD0AC3"/>
    <w:rsid w:val="00FD1463"/>
    <w:rsid w:val="00FD19FF"/>
    <w:rsid w:val="00FD236C"/>
    <w:rsid w:val="00FD6370"/>
    <w:rsid w:val="00FD6E85"/>
    <w:rsid w:val="00FD6FD0"/>
    <w:rsid w:val="00FE05B9"/>
    <w:rsid w:val="00FE1175"/>
    <w:rsid w:val="00FE1176"/>
    <w:rsid w:val="00FE1C4A"/>
    <w:rsid w:val="00FE211C"/>
    <w:rsid w:val="00FE4FAD"/>
    <w:rsid w:val="00FE6B7F"/>
    <w:rsid w:val="00FE768C"/>
    <w:rsid w:val="00FE76A5"/>
    <w:rsid w:val="00FE7776"/>
    <w:rsid w:val="00FF0889"/>
    <w:rsid w:val="00FF0BB5"/>
    <w:rsid w:val="00FF30BB"/>
    <w:rsid w:val="00FF3EE5"/>
    <w:rsid w:val="00FF4F1A"/>
    <w:rsid w:val="00FF56AA"/>
    <w:rsid w:val="00FF5D5C"/>
    <w:rsid w:val="00FF6277"/>
    <w:rsid w:val="00FF691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5893A"/>
  <w15:docId w15:val="{FAA3E20F-1124-48E2-9DC9-37E132296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03E"/>
  </w:style>
  <w:style w:type="paragraph" w:styleId="Titre1">
    <w:name w:val="heading 1"/>
    <w:basedOn w:val="Normal"/>
    <w:link w:val="Titre1Car"/>
    <w:uiPriority w:val="9"/>
    <w:qFormat/>
    <w:rsid w:val="002760B2"/>
    <w:pPr>
      <w:spacing w:before="100" w:beforeAutospacing="1" w:after="100" w:afterAutospacing="1" w:line="240" w:lineRule="auto"/>
      <w:outlineLvl w:val="0"/>
    </w:pPr>
    <w:rPr>
      <w:rFonts w:ascii="Times New Roman" w:eastAsia="Times New Roman" w:hAnsi="Times New Roman" w:cs="Times New Roman"/>
      <w:b/>
      <w:bCs/>
      <w:kern w:val="36"/>
      <w:sz w:val="28"/>
      <w:szCs w:val="48"/>
      <w:lang w:eastAsia="fr-FR"/>
    </w:rPr>
  </w:style>
  <w:style w:type="paragraph" w:styleId="Titre2">
    <w:name w:val="heading 2"/>
    <w:basedOn w:val="Normal"/>
    <w:next w:val="Normal"/>
    <w:link w:val="Titre2Car"/>
    <w:uiPriority w:val="9"/>
    <w:unhideWhenUsed/>
    <w:qFormat/>
    <w:rsid w:val="002760B2"/>
    <w:pPr>
      <w:keepNext/>
      <w:spacing w:before="240" w:after="60" w:line="240" w:lineRule="auto"/>
      <w:outlineLvl w:val="1"/>
    </w:pPr>
    <w:rPr>
      <w:rFonts w:asciiTheme="majorBidi" w:eastAsia="Times New Roman" w:hAnsiTheme="majorBidi" w:cs="Times New Roman"/>
      <w:b/>
      <w:bCs/>
      <w:i/>
      <w:iCs/>
      <w:sz w:val="24"/>
      <w:szCs w:val="28"/>
    </w:rPr>
  </w:style>
  <w:style w:type="paragraph" w:styleId="Titre3">
    <w:name w:val="heading 3"/>
    <w:basedOn w:val="Normal"/>
    <w:next w:val="Normal"/>
    <w:link w:val="Titre3Car"/>
    <w:uiPriority w:val="9"/>
    <w:unhideWhenUsed/>
    <w:qFormat/>
    <w:rsid w:val="002760B2"/>
    <w:pPr>
      <w:keepNext/>
      <w:keepLines/>
      <w:spacing w:before="200"/>
      <w:outlineLvl w:val="2"/>
    </w:pPr>
    <w:rPr>
      <w:rFonts w:asciiTheme="majorBidi" w:eastAsiaTheme="majorEastAsia" w:hAnsiTheme="majorBidi" w:cstheme="majorBidi"/>
      <w:b/>
      <w:bCs/>
      <w:sz w:val="24"/>
    </w:rPr>
  </w:style>
  <w:style w:type="paragraph" w:styleId="Titre4">
    <w:name w:val="heading 4"/>
    <w:basedOn w:val="Normal"/>
    <w:next w:val="Normal"/>
    <w:link w:val="Titre4Car"/>
    <w:uiPriority w:val="9"/>
    <w:unhideWhenUsed/>
    <w:qFormat/>
    <w:rsid w:val="002760B2"/>
    <w:pPr>
      <w:keepNext/>
      <w:spacing w:before="240" w:after="60"/>
      <w:outlineLvl w:val="3"/>
    </w:pPr>
    <w:rPr>
      <w:rFonts w:ascii="Times New Roman" w:eastAsia="Times New Roman" w:hAnsi="Times New Roman" w:cs="Arial"/>
      <w:b/>
      <w:bCs/>
      <w:sz w:val="24"/>
      <w:szCs w:val="28"/>
    </w:rPr>
  </w:style>
  <w:style w:type="paragraph" w:styleId="Titre5">
    <w:name w:val="heading 5"/>
    <w:basedOn w:val="Normal"/>
    <w:next w:val="Normal"/>
    <w:link w:val="Titre5Car"/>
    <w:uiPriority w:val="9"/>
    <w:unhideWhenUsed/>
    <w:qFormat/>
    <w:rsid w:val="002760B2"/>
    <w:pPr>
      <w:keepNext/>
      <w:keepLines/>
      <w:spacing w:before="20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unhideWhenUsed/>
    <w:qFormat/>
    <w:rsid w:val="002760B2"/>
    <w:pPr>
      <w:keepNext/>
      <w:keepLines/>
      <w:spacing w:before="20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unhideWhenUsed/>
    <w:qFormat/>
    <w:rsid w:val="002760B2"/>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2760B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2760B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60B2"/>
    <w:rPr>
      <w:rFonts w:ascii="Times New Roman" w:eastAsia="Times New Roman" w:hAnsi="Times New Roman" w:cs="Times New Roman"/>
      <w:b/>
      <w:bCs/>
      <w:kern w:val="36"/>
      <w:sz w:val="28"/>
      <w:szCs w:val="48"/>
      <w:lang w:eastAsia="fr-FR"/>
    </w:rPr>
  </w:style>
  <w:style w:type="character" w:customStyle="1" w:styleId="Titre2Car">
    <w:name w:val="Titre 2 Car"/>
    <w:basedOn w:val="Policepardfaut"/>
    <w:link w:val="Titre2"/>
    <w:uiPriority w:val="9"/>
    <w:rsid w:val="002760B2"/>
    <w:rPr>
      <w:rFonts w:asciiTheme="majorBidi" w:eastAsia="Times New Roman" w:hAnsiTheme="majorBidi" w:cs="Times New Roman"/>
      <w:b/>
      <w:bCs/>
      <w:i/>
      <w:iCs/>
      <w:sz w:val="24"/>
      <w:szCs w:val="28"/>
    </w:rPr>
  </w:style>
  <w:style w:type="character" w:customStyle="1" w:styleId="Titre3Car">
    <w:name w:val="Titre 3 Car"/>
    <w:basedOn w:val="Policepardfaut"/>
    <w:link w:val="Titre3"/>
    <w:uiPriority w:val="9"/>
    <w:rsid w:val="002760B2"/>
    <w:rPr>
      <w:rFonts w:asciiTheme="majorBidi" w:eastAsiaTheme="majorEastAsia" w:hAnsiTheme="majorBidi" w:cstheme="majorBidi"/>
      <w:b/>
      <w:bCs/>
      <w:sz w:val="24"/>
    </w:rPr>
  </w:style>
  <w:style w:type="character" w:customStyle="1" w:styleId="Titre4Car">
    <w:name w:val="Titre 4 Car"/>
    <w:basedOn w:val="Policepardfaut"/>
    <w:link w:val="Titre4"/>
    <w:uiPriority w:val="9"/>
    <w:rsid w:val="002760B2"/>
    <w:rPr>
      <w:rFonts w:ascii="Times New Roman" w:eastAsia="Times New Roman" w:hAnsi="Times New Roman" w:cs="Arial"/>
      <w:b/>
      <w:bCs/>
      <w:sz w:val="24"/>
      <w:szCs w:val="28"/>
    </w:rPr>
  </w:style>
  <w:style w:type="character" w:customStyle="1" w:styleId="Titre5Car">
    <w:name w:val="Titre 5 Car"/>
    <w:basedOn w:val="Policepardfaut"/>
    <w:link w:val="Titre5"/>
    <w:uiPriority w:val="9"/>
    <w:rsid w:val="002760B2"/>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uiPriority w:val="9"/>
    <w:rsid w:val="002760B2"/>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rsid w:val="002760B2"/>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2760B2"/>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2760B2"/>
    <w:rPr>
      <w:rFonts w:asciiTheme="majorHAnsi" w:eastAsiaTheme="majorEastAsia" w:hAnsiTheme="majorHAnsi" w:cstheme="majorBidi"/>
      <w:i/>
      <w:iCs/>
      <w:color w:val="404040" w:themeColor="text1" w:themeTint="BF"/>
      <w:sz w:val="20"/>
      <w:szCs w:val="20"/>
    </w:rPr>
  </w:style>
  <w:style w:type="paragraph" w:styleId="En-tte">
    <w:name w:val="header"/>
    <w:basedOn w:val="Normal"/>
    <w:link w:val="En-tteCar"/>
    <w:uiPriority w:val="99"/>
    <w:unhideWhenUsed/>
    <w:rsid w:val="002760B2"/>
    <w:pPr>
      <w:tabs>
        <w:tab w:val="center" w:pos="4536"/>
        <w:tab w:val="right" w:pos="9072"/>
      </w:tabs>
      <w:spacing w:line="240" w:lineRule="auto"/>
    </w:pPr>
  </w:style>
  <w:style w:type="character" w:customStyle="1" w:styleId="En-tteCar">
    <w:name w:val="En-tête Car"/>
    <w:basedOn w:val="Policepardfaut"/>
    <w:link w:val="En-tte"/>
    <w:uiPriority w:val="99"/>
    <w:rsid w:val="002760B2"/>
  </w:style>
  <w:style w:type="paragraph" w:styleId="Pieddepage">
    <w:name w:val="footer"/>
    <w:basedOn w:val="Normal"/>
    <w:link w:val="PieddepageCar"/>
    <w:uiPriority w:val="99"/>
    <w:unhideWhenUsed/>
    <w:rsid w:val="002760B2"/>
    <w:pPr>
      <w:tabs>
        <w:tab w:val="center" w:pos="4536"/>
        <w:tab w:val="right" w:pos="9072"/>
      </w:tabs>
      <w:spacing w:line="240" w:lineRule="auto"/>
    </w:pPr>
  </w:style>
  <w:style w:type="character" w:customStyle="1" w:styleId="PieddepageCar">
    <w:name w:val="Pied de page Car"/>
    <w:basedOn w:val="Policepardfaut"/>
    <w:link w:val="Pieddepage"/>
    <w:uiPriority w:val="99"/>
    <w:rsid w:val="002760B2"/>
  </w:style>
  <w:style w:type="paragraph" w:styleId="Paragraphedeliste">
    <w:name w:val="List Paragraph"/>
    <w:basedOn w:val="Normal"/>
    <w:uiPriority w:val="34"/>
    <w:qFormat/>
    <w:rsid w:val="002760B2"/>
    <w:pPr>
      <w:ind w:left="720"/>
      <w:contextualSpacing/>
    </w:pPr>
    <w:rPr>
      <w:rFonts w:eastAsiaTheme="minorEastAsia"/>
    </w:rPr>
  </w:style>
  <w:style w:type="paragraph" w:styleId="Notedebasdepage">
    <w:name w:val="footnote text"/>
    <w:basedOn w:val="Normal"/>
    <w:link w:val="NotedebasdepageCar"/>
    <w:uiPriority w:val="99"/>
    <w:unhideWhenUsed/>
    <w:qFormat/>
    <w:rsid w:val="002760B2"/>
    <w:pPr>
      <w:spacing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2760B2"/>
    <w:rPr>
      <w:rFonts w:eastAsiaTheme="minorEastAsia"/>
      <w:sz w:val="20"/>
      <w:szCs w:val="20"/>
      <w:lang w:eastAsia="fr-FR"/>
    </w:rPr>
  </w:style>
  <w:style w:type="character" w:styleId="Appelnotedebasdep">
    <w:name w:val="footnote reference"/>
    <w:basedOn w:val="Policepardfaut"/>
    <w:uiPriority w:val="99"/>
    <w:unhideWhenUsed/>
    <w:rsid w:val="002760B2"/>
    <w:rPr>
      <w:rFonts w:cs="Times New Roman"/>
      <w:vertAlign w:val="superscript"/>
    </w:rPr>
  </w:style>
  <w:style w:type="paragraph" w:customStyle="1" w:styleId="Default">
    <w:name w:val="Default"/>
    <w:uiPriority w:val="99"/>
    <w:rsid w:val="002760B2"/>
    <w:pPr>
      <w:autoSpaceDE w:val="0"/>
      <w:autoSpaceDN w:val="0"/>
      <w:adjustRightInd w:val="0"/>
      <w:spacing w:line="240" w:lineRule="auto"/>
    </w:pPr>
    <w:rPr>
      <w:rFonts w:ascii="Times New Roman" w:eastAsiaTheme="minorEastAsia" w:hAnsi="Times New Roman" w:cs="Times New Roman"/>
      <w:color w:val="000000"/>
      <w:sz w:val="24"/>
      <w:szCs w:val="24"/>
    </w:rPr>
  </w:style>
  <w:style w:type="table" w:styleId="Grilledutableau">
    <w:name w:val="Table Grid"/>
    <w:basedOn w:val="TableauNormal"/>
    <w:uiPriority w:val="59"/>
    <w:rsid w:val="002760B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2760B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cimalAligned">
    <w:name w:val="Decimal Aligned"/>
    <w:basedOn w:val="Normal"/>
    <w:uiPriority w:val="40"/>
    <w:qFormat/>
    <w:rsid w:val="002760B2"/>
    <w:pPr>
      <w:tabs>
        <w:tab w:val="decimal" w:pos="360"/>
      </w:tabs>
    </w:pPr>
    <w:rPr>
      <w:lang w:eastAsia="fr-FR"/>
    </w:rPr>
  </w:style>
  <w:style w:type="character" w:styleId="Emphaseple">
    <w:name w:val="Subtle Emphasis"/>
    <w:basedOn w:val="Policepardfaut"/>
    <w:uiPriority w:val="19"/>
    <w:qFormat/>
    <w:rsid w:val="002760B2"/>
    <w:rPr>
      <w:i/>
      <w:iCs/>
      <w:color w:val="7F7F7F" w:themeColor="text1" w:themeTint="80"/>
    </w:rPr>
  </w:style>
  <w:style w:type="paragraph" w:styleId="Textedebulles">
    <w:name w:val="Balloon Text"/>
    <w:basedOn w:val="Normal"/>
    <w:link w:val="TextedebullesCar"/>
    <w:uiPriority w:val="99"/>
    <w:semiHidden/>
    <w:unhideWhenUsed/>
    <w:rsid w:val="002760B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60B2"/>
    <w:rPr>
      <w:rFonts w:ascii="Tahoma" w:hAnsi="Tahoma" w:cs="Tahoma"/>
      <w:sz w:val="16"/>
      <w:szCs w:val="16"/>
    </w:rPr>
  </w:style>
  <w:style w:type="paragraph" w:styleId="Sansinterligne">
    <w:name w:val="No Spacing"/>
    <w:uiPriority w:val="1"/>
    <w:qFormat/>
    <w:rsid w:val="002760B2"/>
    <w:pPr>
      <w:spacing w:line="240" w:lineRule="auto"/>
    </w:pPr>
  </w:style>
  <w:style w:type="paragraph" w:styleId="Titre">
    <w:name w:val="Title"/>
    <w:basedOn w:val="Normal"/>
    <w:next w:val="Normal"/>
    <w:link w:val="TitreCar"/>
    <w:uiPriority w:val="10"/>
    <w:qFormat/>
    <w:rsid w:val="002760B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2760B2"/>
    <w:rPr>
      <w:rFonts w:asciiTheme="majorHAnsi" w:eastAsiaTheme="majorEastAsia" w:hAnsiTheme="majorHAnsi" w:cstheme="majorBidi"/>
      <w:color w:val="323E4F" w:themeColor="text2" w:themeShade="BF"/>
      <w:spacing w:val="5"/>
      <w:kern w:val="28"/>
      <w:sz w:val="52"/>
      <w:szCs w:val="52"/>
    </w:rPr>
  </w:style>
  <w:style w:type="character" w:customStyle="1" w:styleId="NotedefinCar">
    <w:name w:val="Note de fin Car"/>
    <w:basedOn w:val="Policepardfaut"/>
    <w:link w:val="Notedefin"/>
    <w:uiPriority w:val="99"/>
    <w:semiHidden/>
    <w:rsid w:val="002760B2"/>
    <w:rPr>
      <w:sz w:val="20"/>
      <w:szCs w:val="20"/>
    </w:rPr>
  </w:style>
  <w:style w:type="paragraph" w:styleId="Notedefin">
    <w:name w:val="endnote text"/>
    <w:basedOn w:val="Normal"/>
    <w:link w:val="NotedefinCar"/>
    <w:uiPriority w:val="99"/>
    <w:semiHidden/>
    <w:unhideWhenUsed/>
    <w:rsid w:val="002760B2"/>
    <w:pPr>
      <w:spacing w:line="240" w:lineRule="auto"/>
    </w:pPr>
    <w:rPr>
      <w:sz w:val="20"/>
      <w:szCs w:val="20"/>
    </w:rPr>
  </w:style>
  <w:style w:type="character" w:customStyle="1" w:styleId="NotedefinCar1">
    <w:name w:val="Note de fin Car1"/>
    <w:basedOn w:val="Policepardfaut"/>
    <w:uiPriority w:val="99"/>
    <w:semiHidden/>
    <w:rsid w:val="002760B2"/>
    <w:rPr>
      <w:sz w:val="20"/>
      <w:szCs w:val="20"/>
    </w:rPr>
  </w:style>
  <w:style w:type="character" w:styleId="Accentuation">
    <w:name w:val="Emphasis"/>
    <w:basedOn w:val="Policepardfaut"/>
    <w:uiPriority w:val="20"/>
    <w:qFormat/>
    <w:rsid w:val="002760B2"/>
    <w:rPr>
      <w:i/>
      <w:iCs/>
    </w:rPr>
  </w:style>
  <w:style w:type="character" w:styleId="lev">
    <w:name w:val="Strong"/>
    <w:basedOn w:val="Policepardfaut"/>
    <w:uiPriority w:val="22"/>
    <w:qFormat/>
    <w:rsid w:val="002760B2"/>
    <w:rPr>
      <w:b/>
      <w:bCs/>
    </w:rPr>
  </w:style>
  <w:style w:type="character" w:customStyle="1" w:styleId="apple-converted-space">
    <w:name w:val="apple-converted-space"/>
    <w:basedOn w:val="Policepardfaut"/>
    <w:rsid w:val="002760B2"/>
  </w:style>
  <w:style w:type="character" w:styleId="Lienhypertexte">
    <w:name w:val="Hyperlink"/>
    <w:basedOn w:val="Policepardfaut"/>
    <w:uiPriority w:val="99"/>
    <w:unhideWhenUsed/>
    <w:rsid w:val="002760B2"/>
    <w:rPr>
      <w:color w:val="0000FF"/>
      <w:u w:val="single"/>
    </w:rPr>
  </w:style>
  <w:style w:type="character" w:customStyle="1" w:styleId="numeroverset">
    <w:name w:val="numeroverset"/>
    <w:basedOn w:val="Policepardfaut"/>
    <w:rsid w:val="002760B2"/>
  </w:style>
  <w:style w:type="character" w:customStyle="1" w:styleId="apple-style-span">
    <w:name w:val="apple-style-span"/>
    <w:basedOn w:val="Policepardfaut"/>
    <w:rsid w:val="002760B2"/>
  </w:style>
  <w:style w:type="character" w:customStyle="1" w:styleId="yshortcuts">
    <w:name w:val="yshortcuts"/>
    <w:basedOn w:val="Policepardfaut"/>
    <w:rsid w:val="002760B2"/>
  </w:style>
  <w:style w:type="paragraph" w:styleId="TM1">
    <w:name w:val="toc 1"/>
    <w:basedOn w:val="Normal"/>
    <w:next w:val="Normal"/>
    <w:autoRedefine/>
    <w:uiPriority w:val="39"/>
    <w:unhideWhenUsed/>
    <w:qFormat/>
    <w:rsid w:val="006B69C7"/>
    <w:pPr>
      <w:widowControl w:val="0"/>
      <w:tabs>
        <w:tab w:val="right" w:leader="dot" w:pos="9061"/>
      </w:tabs>
      <w:spacing w:before="120" w:line="300" w:lineRule="auto"/>
    </w:pPr>
    <w:rPr>
      <w:rFonts w:asciiTheme="majorBidi" w:hAnsiTheme="majorBidi" w:cstheme="majorBidi"/>
      <w:b/>
      <w:bCs/>
      <w:smallCaps/>
      <w:noProof/>
      <w:kern w:val="24"/>
      <w:sz w:val="24"/>
      <w:szCs w:val="24"/>
    </w:rPr>
  </w:style>
  <w:style w:type="paragraph" w:styleId="TM2">
    <w:name w:val="toc 2"/>
    <w:basedOn w:val="Normal"/>
    <w:next w:val="Normal"/>
    <w:autoRedefine/>
    <w:uiPriority w:val="39"/>
    <w:unhideWhenUsed/>
    <w:qFormat/>
    <w:rsid w:val="0014270C"/>
    <w:pPr>
      <w:keepNext/>
      <w:keepLines/>
      <w:tabs>
        <w:tab w:val="right" w:leader="dot" w:pos="9061"/>
      </w:tabs>
      <w:spacing w:before="120" w:line="240" w:lineRule="auto"/>
      <w:ind w:left="284"/>
    </w:pPr>
    <w:rPr>
      <w:rFonts w:asciiTheme="majorBidi" w:hAnsiTheme="majorBidi" w:cstheme="majorBidi"/>
      <w:b/>
      <w:bCs/>
      <w:smallCaps/>
      <w:noProof/>
      <w:spacing w:val="-4"/>
      <w:kern w:val="24"/>
      <w:sz w:val="24"/>
      <w:szCs w:val="24"/>
    </w:rPr>
  </w:style>
  <w:style w:type="paragraph" w:styleId="TM3">
    <w:name w:val="toc 3"/>
    <w:basedOn w:val="Normal"/>
    <w:next w:val="Normal"/>
    <w:autoRedefine/>
    <w:uiPriority w:val="39"/>
    <w:unhideWhenUsed/>
    <w:qFormat/>
    <w:rsid w:val="0014270C"/>
    <w:pPr>
      <w:keepNext/>
      <w:keepLines/>
      <w:tabs>
        <w:tab w:val="right" w:leader="dot" w:pos="9061"/>
      </w:tabs>
      <w:spacing w:before="120" w:line="240" w:lineRule="auto"/>
      <w:ind w:left="442"/>
      <w:jc w:val="left"/>
    </w:pPr>
    <w:rPr>
      <w:rFonts w:asciiTheme="majorBidi" w:hAnsiTheme="majorBidi" w:cstheme="majorBidi"/>
      <w:noProof/>
      <w:sz w:val="24"/>
      <w:szCs w:val="24"/>
    </w:rPr>
  </w:style>
  <w:style w:type="character" w:customStyle="1" w:styleId="Style1">
    <w:name w:val="Style1"/>
    <w:basedOn w:val="Policepardfaut"/>
    <w:uiPriority w:val="1"/>
    <w:qFormat/>
    <w:rsid w:val="002760B2"/>
    <w:rPr>
      <w:rFonts w:cstheme="majorBidi"/>
      <w:szCs w:val="24"/>
    </w:rPr>
  </w:style>
  <w:style w:type="numbering" w:customStyle="1" w:styleId="Style2">
    <w:name w:val="Style2"/>
    <w:uiPriority w:val="99"/>
    <w:rsid w:val="002760B2"/>
    <w:pPr>
      <w:numPr>
        <w:numId w:val="33"/>
      </w:numPr>
    </w:pPr>
  </w:style>
  <w:style w:type="numbering" w:customStyle="1" w:styleId="Style3">
    <w:name w:val="Style3"/>
    <w:uiPriority w:val="99"/>
    <w:rsid w:val="002760B2"/>
    <w:pPr>
      <w:numPr>
        <w:numId w:val="34"/>
      </w:numPr>
    </w:pPr>
  </w:style>
  <w:style w:type="character" w:customStyle="1" w:styleId="sc-1bl2tmk-6">
    <w:name w:val="sc-1bl2tmk-6"/>
    <w:basedOn w:val="Policepardfaut"/>
    <w:rsid w:val="002760B2"/>
  </w:style>
  <w:style w:type="table" w:styleId="Tramemoyenne2-Accent5">
    <w:name w:val="Medium Shading 2 Accent 5"/>
    <w:basedOn w:val="TableauNormal"/>
    <w:uiPriority w:val="64"/>
    <w:rsid w:val="002760B2"/>
    <w:pPr>
      <w:spacing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claire-Accent11">
    <w:name w:val="Trame claire - Accent 11"/>
    <w:basedOn w:val="TableauNormal"/>
    <w:uiPriority w:val="60"/>
    <w:rsid w:val="002760B2"/>
    <w:pPr>
      <w:spacing w:line="240" w:lineRule="auto"/>
    </w:pPr>
    <w:rPr>
      <w:rFonts w:eastAsiaTheme="minorEastAsia"/>
      <w:color w:val="2E74B5" w:themeColor="accent1" w:themeShade="BF"/>
      <w:lang w:eastAsia="fr-F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eclaire-Accent5">
    <w:name w:val="Light List Accent 5"/>
    <w:basedOn w:val="TableauNormal"/>
    <w:uiPriority w:val="61"/>
    <w:rsid w:val="002760B2"/>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Grillemoyenne1-Accent5">
    <w:name w:val="Medium Grid 1 Accent 5"/>
    <w:basedOn w:val="TableauNormal"/>
    <w:uiPriority w:val="67"/>
    <w:rsid w:val="002760B2"/>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Grilleclaire-Accent11">
    <w:name w:val="Grille claire - Accent 11"/>
    <w:basedOn w:val="TableauNormal"/>
    <w:uiPriority w:val="62"/>
    <w:rsid w:val="002760B2"/>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Style4">
    <w:name w:val="Style4"/>
    <w:uiPriority w:val="99"/>
    <w:rsid w:val="002760B2"/>
    <w:pPr>
      <w:numPr>
        <w:numId w:val="41"/>
      </w:numPr>
    </w:pPr>
  </w:style>
  <w:style w:type="table" w:customStyle="1" w:styleId="Grilleclaire-Accent12">
    <w:name w:val="Grille claire - Accent 12"/>
    <w:basedOn w:val="TableauNormal"/>
    <w:uiPriority w:val="62"/>
    <w:rsid w:val="002760B2"/>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rameclaire-Accent12">
    <w:name w:val="Trame claire - Accent 12"/>
    <w:basedOn w:val="TableauNormal"/>
    <w:uiPriority w:val="60"/>
    <w:rsid w:val="002760B2"/>
    <w:pPr>
      <w:spacing w:line="240" w:lineRule="auto"/>
    </w:pPr>
    <w:rPr>
      <w:rFonts w:eastAsiaTheme="minorEastAsia"/>
      <w:color w:val="2E74B5" w:themeColor="accent1" w:themeShade="BF"/>
      <w:lang w:eastAsia="fr-F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rameclaire-Accent5">
    <w:name w:val="Light Shading Accent 5"/>
    <w:basedOn w:val="TableauNormal"/>
    <w:uiPriority w:val="60"/>
    <w:rsid w:val="002760B2"/>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styleId="Textedelespacerserv">
    <w:name w:val="Placeholder Text"/>
    <w:basedOn w:val="Policepardfaut"/>
    <w:uiPriority w:val="99"/>
    <w:semiHidden/>
    <w:rsid w:val="002760B2"/>
    <w:rPr>
      <w:color w:val="808080"/>
    </w:rPr>
  </w:style>
  <w:style w:type="character" w:customStyle="1" w:styleId="author">
    <w:name w:val="author"/>
    <w:basedOn w:val="Policepardfaut"/>
    <w:rsid w:val="002760B2"/>
  </w:style>
  <w:style w:type="character" w:styleId="CitationHTML">
    <w:name w:val="HTML Cite"/>
    <w:basedOn w:val="Policepardfaut"/>
    <w:uiPriority w:val="99"/>
    <w:semiHidden/>
    <w:unhideWhenUsed/>
    <w:rsid w:val="002760B2"/>
    <w:rPr>
      <w:i/>
      <w:iCs/>
    </w:rPr>
  </w:style>
  <w:style w:type="paragraph" w:styleId="TM4">
    <w:name w:val="toc 4"/>
    <w:basedOn w:val="Normal"/>
    <w:next w:val="Normal"/>
    <w:autoRedefine/>
    <w:uiPriority w:val="39"/>
    <w:unhideWhenUsed/>
    <w:rsid w:val="00C62291"/>
    <w:pPr>
      <w:keepNext/>
      <w:tabs>
        <w:tab w:val="right" w:leader="dot" w:pos="9061"/>
      </w:tabs>
      <w:ind w:left="658"/>
    </w:pPr>
    <w:rPr>
      <w:rFonts w:cs="Times New Roman"/>
      <w:sz w:val="18"/>
      <w:szCs w:val="21"/>
    </w:rPr>
  </w:style>
  <w:style w:type="paragraph" w:styleId="TM5">
    <w:name w:val="toc 5"/>
    <w:basedOn w:val="Normal"/>
    <w:next w:val="Normal"/>
    <w:autoRedefine/>
    <w:uiPriority w:val="39"/>
    <w:unhideWhenUsed/>
    <w:rsid w:val="002760B2"/>
    <w:pPr>
      <w:ind w:left="880"/>
      <w:jc w:val="left"/>
    </w:pPr>
    <w:rPr>
      <w:rFonts w:cs="Times New Roman"/>
      <w:sz w:val="18"/>
      <w:szCs w:val="21"/>
    </w:rPr>
  </w:style>
  <w:style w:type="paragraph" w:styleId="TM6">
    <w:name w:val="toc 6"/>
    <w:basedOn w:val="Normal"/>
    <w:next w:val="Normal"/>
    <w:autoRedefine/>
    <w:uiPriority w:val="39"/>
    <w:unhideWhenUsed/>
    <w:rsid w:val="002760B2"/>
    <w:pPr>
      <w:ind w:left="1100"/>
      <w:jc w:val="left"/>
    </w:pPr>
    <w:rPr>
      <w:rFonts w:cs="Times New Roman"/>
      <w:sz w:val="18"/>
      <w:szCs w:val="21"/>
    </w:rPr>
  </w:style>
  <w:style w:type="paragraph" w:styleId="TM7">
    <w:name w:val="toc 7"/>
    <w:basedOn w:val="Normal"/>
    <w:next w:val="Normal"/>
    <w:autoRedefine/>
    <w:uiPriority w:val="39"/>
    <w:unhideWhenUsed/>
    <w:rsid w:val="002760B2"/>
    <w:pPr>
      <w:ind w:left="1320"/>
      <w:jc w:val="left"/>
    </w:pPr>
    <w:rPr>
      <w:rFonts w:cs="Times New Roman"/>
      <w:sz w:val="18"/>
      <w:szCs w:val="21"/>
    </w:rPr>
  </w:style>
  <w:style w:type="paragraph" w:styleId="TM8">
    <w:name w:val="toc 8"/>
    <w:basedOn w:val="Normal"/>
    <w:next w:val="Normal"/>
    <w:autoRedefine/>
    <w:uiPriority w:val="39"/>
    <w:unhideWhenUsed/>
    <w:rsid w:val="002760B2"/>
    <w:pPr>
      <w:ind w:left="1540"/>
      <w:jc w:val="left"/>
    </w:pPr>
    <w:rPr>
      <w:rFonts w:cs="Times New Roman"/>
      <w:sz w:val="18"/>
      <w:szCs w:val="21"/>
    </w:rPr>
  </w:style>
  <w:style w:type="paragraph" w:styleId="TM9">
    <w:name w:val="toc 9"/>
    <w:basedOn w:val="Normal"/>
    <w:next w:val="Normal"/>
    <w:autoRedefine/>
    <w:uiPriority w:val="39"/>
    <w:unhideWhenUsed/>
    <w:rsid w:val="002760B2"/>
    <w:pPr>
      <w:ind w:left="1760"/>
      <w:jc w:val="left"/>
    </w:pPr>
    <w:rPr>
      <w:rFonts w:cs="Times New Roman"/>
      <w:sz w:val="18"/>
      <w:szCs w:val="21"/>
    </w:rPr>
  </w:style>
  <w:style w:type="character" w:customStyle="1" w:styleId="ff7">
    <w:name w:val="ff7"/>
    <w:basedOn w:val="Policepardfaut"/>
    <w:rsid w:val="002760B2"/>
  </w:style>
  <w:style w:type="character" w:customStyle="1" w:styleId="a">
    <w:name w:val="_"/>
    <w:basedOn w:val="Policepardfaut"/>
    <w:rsid w:val="002760B2"/>
  </w:style>
  <w:style w:type="character" w:customStyle="1" w:styleId="ff5">
    <w:name w:val="ff5"/>
    <w:basedOn w:val="Policepardfaut"/>
    <w:rsid w:val="002760B2"/>
  </w:style>
  <w:style w:type="character" w:customStyle="1" w:styleId="ffe">
    <w:name w:val="ffe"/>
    <w:basedOn w:val="Policepardfaut"/>
    <w:rsid w:val="002760B2"/>
  </w:style>
  <w:style w:type="character" w:customStyle="1" w:styleId="single-line">
    <w:name w:val="single-line"/>
    <w:basedOn w:val="Policepardfaut"/>
    <w:rsid w:val="000677A5"/>
  </w:style>
  <w:style w:type="paragraph" w:styleId="Corpsdetexte">
    <w:name w:val="Body Text"/>
    <w:basedOn w:val="Normal"/>
    <w:link w:val="CorpsdetexteCar"/>
    <w:uiPriority w:val="1"/>
    <w:qFormat/>
    <w:rsid w:val="008E4519"/>
    <w:pPr>
      <w:widowControl w:val="0"/>
      <w:autoSpaceDE w:val="0"/>
      <w:autoSpaceDN w:val="0"/>
      <w:spacing w:line="240" w:lineRule="auto"/>
    </w:pPr>
    <w:rPr>
      <w:rFonts w:ascii="Times New Roman" w:eastAsia="Times New Roman" w:hAnsi="Times New Roman" w:cs="Times New Roman"/>
      <w:sz w:val="24"/>
      <w:szCs w:val="24"/>
      <w:lang w:eastAsia="fr-FR" w:bidi="fr-FR"/>
    </w:rPr>
  </w:style>
  <w:style w:type="character" w:customStyle="1" w:styleId="CorpsdetexteCar">
    <w:name w:val="Corps de texte Car"/>
    <w:basedOn w:val="Policepardfaut"/>
    <w:link w:val="Corpsdetexte"/>
    <w:uiPriority w:val="1"/>
    <w:rsid w:val="008E4519"/>
    <w:rPr>
      <w:rFonts w:ascii="Times New Roman" w:eastAsia="Times New Roman" w:hAnsi="Times New Roman" w:cs="Times New Roman"/>
      <w:sz w:val="24"/>
      <w:szCs w:val="24"/>
      <w:lang w:eastAsia="fr-FR" w:bidi="fr-FR"/>
    </w:rPr>
  </w:style>
  <w:style w:type="paragraph" w:styleId="En-ttedetabledesmatires">
    <w:name w:val="TOC Heading"/>
    <w:basedOn w:val="Titre1"/>
    <w:next w:val="Normal"/>
    <w:uiPriority w:val="39"/>
    <w:unhideWhenUsed/>
    <w:qFormat/>
    <w:rsid w:val="00351758"/>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Cs w:val="28"/>
      <w:lang w:eastAsia="en-US"/>
    </w:rPr>
  </w:style>
  <w:style w:type="paragraph" w:styleId="Tabledesillustrations">
    <w:name w:val="table of figures"/>
    <w:basedOn w:val="Normal"/>
    <w:next w:val="Normal"/>
    <w:uiPriority w:val="99"/>
    <w:unhideWhenUsed/>
    <w:rsid w:val="00E32310"/>
  </w:style>
  <w:style w:type="paragraph" w:styleId="Lgende">
    <w:name w:val="caption"/>
    <w:basedOn w:val="Normal"/>
    <w:next w:val="Normal"/>
    <w:uiPriority w:val="35"/>
    <w:unhideWhenUsed/>
    <w:qFormat/>
    <w:rsid w:val="004166FE"/>
    <w:pPr>
      <w:spacing w:line="240" w:lineRule="auto"/>
    </w:pPr>
    <w:rPr>
      <w:b/>
      <w:bCs/>
      <w:color w:val="5B9BD5" w:themeColor="accent1"/>
      <w:sz w:val="18"/>
      <w:szCs w:val="18"/>
    </w:rPr>
  </w:style>
  <w:style w:type="paragraph" w:styleId="Explorateurdedocuments">
    <w:name w:val="Document Map"/>
    <w:basedOn w:val="Normal"/>
    <w:link w:val="ExplorateurdedocumentsCar"/>
    <w:uiPriority w:val="99"/>
    <w:semiHidden/>
    <w:unhideWhenUsed/>
    <w:rsid w:val="00B2501A"/>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2501A"/>
    <w:rPr>
      <w:rFonts w:ascii="Tahoma" w:hAnsi="Tahoma" w:cs="Tahoma"/>
      <w:sz w:val="16"/>
      <w:szCs w:val="16"/>
    </w:rPr>
  </w:style>
  <w:style w:type="character" w:styleId="Appeldenotedefin">
    <w:name w:val="endnote reference"/>
    <w:basedOn w:val="Policepardfaut"/>
    <w:uiPriority w:val="99"/>
    <w:semiHidden/>
    <w:unhideWhenUsed/>
    <w:rsid w:val="00702D27"/>
    <w:rPr>
      <w:vertAlign w:val="superscript"/>
    </w:rPr>
  </w:style>
  <w:style w:type="table" w:styleId="Listeclaire-Accent3">
    <w:name w:val="Light List Accent 3"/>
    <w:basedOn w:val="TableauNormal"/>
    <w:uiPriority w:val="61"/>
    <w:rsid w:val="00BE1737"/>
    <w:pPr>
      <w:spacing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eclaire-Accent11">
    <w:name w:val="Liste claire - Accent 11"/>
    <w:basedOn w:val="TableauNormal"/>
    <w:uiPriority w:val="61"/>
    <w:rsid w:val="00BE1737"/>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numbering" w:customStyle="1" w:styleId="Style5">
    <w:name w:val="Style5"/>
    <w:uiPriority w:val="99"/>
    <w:rsid w:val="00DE0408"/>
    <w:pPr>
      <w:numPr>
        <w:numId w:val="48"/>
      </w:numPr>
    </w:pPr>
  </w:style>
  <w:style w:type="numbering" w:customStyle="1" w:styleId="Style6">
    <w:name w:val="Style6"/>
    <w:uiPriority w:val="99"/>
    <w:rsid w:val="008479A6"/>
    <w:pPr>
      <w:numPr>
        <w:numId w:val="49"/>
      </w:numPr>
    </w:pPr>
  </w:style>
  <w:style w:type="table" w:customStyle="1" w:styleId="Grilledutableau1">
    <w:name w:val="Grille du tableau1"/>
    <w:basedOn w:val="TableauNormal"/>
    <w:next w:val="Grilledutableau"/>
    <w:uiPriority w:val="59"/>
    <w:rsid w:val="007D25C3"/>
    <w:pPr>
      <w:spacing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rsid w:val="00DC7946"/>
    <w:pPr>
      <w:spacing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traitcorpsdetexte">
    <w:name w:val="Body Text Indent"/>
    <w:basedOn w:val="Normal"/>
    <w:link w:val="RetraitcorpsdetexteCar"/>
    <w:uiPriority w:val="99"/>
    <w:unhideWhenUsed/>
    <w:rsid w:val="00505EDD"/>
    <w:pPr>
      <w:tabs>
        <w:tab w:val="left" w:pos="0"/>
      </w:tabs>
      <w:spacing w:line="360" w:lineRule="auto"/>
      <w:ind w:firstLine="709"/>
    </w:pPr>
    <w:rPr>
      <w:rFonts w:ascii="Times New Roman" w:hAnsi="Times New Roman" w:cs="Times New Roman"/>
      <w:sz w:val="24"/>
      <w:szCs w:val="24"/>
    </w:rPr>
  </w:style>
  <w:style w:type="character" w:customStyle="1" w:styleId="RetraitcorpsdetexteCar">
    <w:name w:val="Retrait corps de texte Car"/>
    <w:basedOn w:val="Policepardfaut"/>
    <w:link w:val="Retraitcorpsdetexte"/>
    <w:uiPriority w:val="99"/>
    <w:rsid w:val="00505EDD"/>
    <w:rPr>
      <w:rFonts w:ascii="Times New Roman" w:hAnsi="Times New Roman" w:cs="Times New Roman"/>
      <w:sz w:val="24"/>
      <w:szCs w:val="24"/>
    </w:rPr>
  </w:style>
  <w:style w:type="paragraph" w:styleId="Retraitcorpsdetexte2">
    <w:name w:val="Body Text Indent 2"/>
    <w:basedOn w:val="Normal"/>
    <w:link w:val="Retraitcorpsdetexte2Car"/>
    <w:uiPriority w:val="99"/>
    <w:semiHidden/>
    <w:unhideWhenUsed/>
    <w:rsid w:val="005262FB"/>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5262FB"/>
  </w:style>
  <w:style w:type="character" w:customStyle="1" w:styleId="Mentionnonrsolue1">
    <w:name w:val="Mention non résolue1"/>
    <w:basedOn w:val="Policepardfaut"/>
    <w:uiPriority w:val="99"/>
    <w:semiHidden/>
    <w:unhideWhenUsed/>
    <w:rsid w:val="00107C67"/>
    <w:rPr>
      <w:color w:val="605E5C"/>
      <w:shd w:val="clear" w:color="auto" w:fill="E1DFDD"/>
    </w:rPr>
  </w:style>
  <w:style w:type="character" w:customStyle="1" w:styleId="Titre10">
    <w:name w:val="Titre1"/>
    <w:basedOn w:val="Policepardfaut"/>
    <w:rsid w:val="00A42833"/>
  </w:style>
  <w:style w:type="character" w:customStyle="1" w:styleId="UnresolvedMention">
    <w:name w:val="Unresolved Mention"/>
    <w:basedOn w:val="Policepardfaut"/>
    <w:uiPriority w:val="99"/>
    <w:semiHidden/>
    <w:unhideWhenUsed/>
    <w:rsid w:val="00852582"/>
    <w:rPr>
      <w:color w:val="605E5C"/>
      <w:shd w:val="clear" w:color="auto" w:fill="E1DFDD"/>
    </w:rPr>
  </w:style>
  <w:style w:type="character" w:styleId="Marquedecommentaire">
    <w:name w:val="annotation reference"/>
    <w:basedOn w:val="Policepardfaut"/>
    <w:uiPriority w:val="99"/>
    <w:semiHidden/>
    <w:unhideWhenUsed/>
    <w:rsid w:val="00414F3C"/>
    <w:rPr>
      <w:sz w:val="16"/>
      <w:szCs w:val="16"/>
    </w:rPr>
  </w:style>
  <w:style w:type="paragraph" w:styleId="Commentaire">
    <w:name w:val="annotation text"/>
    <w:basedOn w:val="Normal"/>
    <w:link w:val="CommentaireCar"/>
    <w:uiPriority w:val="99"/>
    <w:semiHidden/>
    <w:unhideWhenUsed/>
    <w:rsid w:val="00414F3C"/>
    <w:pPr>
      <w:spacing w:line="240" w:lineRule="auto"/>
    </w:pPr>
    <w:rPr>
      <w:sz w:val="20"/>
      <w:szCs w:val="20"/>
    </w:rPr>
  </w:style>
  <w:style w:type="character" w:customStyle="1" w:styleId="CommentaireCar">
    <w:name w:val="Commentaire Car"/>
    <w:basedOn w:val="Policepardfaut"/>
    <w:link w:val="Commentaire"/>
    <w:uiPriority w:val="99"/>
    <w:semiHidden/>
    <w:rsid w:val="00414F3C"/>
    <w:rPr>
      <w:sz w:val="20"/>
      <w:szCs w:val="20"/>
    </w:rPr>
  </w:style>
  <w:style w:type="paragraph" w:styleId="Objetducommentaire">
    <w:name w:val="annotation subject"/>
    <w:basedOn w:val="Commentaire"/>
    <w:next w:val="Commentaire"/>
    <w:link w:val="ObjetducommentaireCar"/>
    <w:uiPriority w:val="99"/>
    <w:semiHidden/>
    <w:unhideWhenUsed/>
    <w:rsid w:val="00414F3C"/>
    <w:rPr>
      <w:b/>
      <w:bCs/>
    </w:rPr>
  </w:style>
  <w:style w:type="character" w:customStyle="1" w:styleId="ObjetducommentaireCar">
    <w:name w:val="Objet du commentaire Car"/>
    <w:basedOn w:val="CommentaireCar"/>
    <w:link w:val="Objetducommentaire"/>
    <w:uiPriority w:val="99"/>
    <w:semiHidden/>
    <w:rsid w:val="00414F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4422">
      <w:bodyDiv w:val="1"/>
      <w:marLeft w:val="0"/>
      <w:marRight w:val="0"/>
      <w:marTop w:val="0"/>
      <w:marBottom w:val="0"/>
      <w:divBdr>
        <w:top w:val="none" w:sz="0" w:space="0" w:color="auto"/>
        <w:left w:val="none" w:sz="0" w:space="0" w:color="auto"/>
        <w:bottom w:val="none" w:sz="0" w:space="0" w:color="auto"/>
        <w:right w:val="none" w:sz="0" w:space="0" w:color="auto"/>
      </w:divBdr>
    </w:div>
    <w:div w:id="40444716">
      <w:bodyDiv w:val="1"/>
      <w:marLeft w:val="0"/>
      <w:marRight w:val="0"/>
      <w:marTop w:val="0"/>
      <w:marBottom w:val="0"/>
      <w:divBdr>
        <w:top w:val="none" w:sz="0" w:space="0" w:color="auto"/>
        <w:left w:val="none" w:sz="0" w:space="0" w:color="auto"/>
        <w:bottom w:val="none" w:sz="0" w:space="0" w:color="auto"/>
        <w:right w:val="none" w:sz="0" w:space="0" w:color="auto"/>
      </w:divBdr>
    </w:div>
    <w:div w:id="169370550">
      <w:bodyDiv w:val="1"/>
      <w:marLeft w:val="0"/>
      <w:marRight w:val="0"/>
      <w:marTop w:val="0"/>
      <w:marBottom w:val="0"/>
      <w:divBdr>
        <w:top w:val="none" w:sz="0" w:space="0" w:color="auto"/>
        <w:left w:val="none" w:sz="0" w:space="0" w:color="auto"/>
        <w:bottom w:val="none" w:sz="0" w:space="0" w:color="auto"/>
        <w:right w:val="none" w:sz="0" w:space="0" w:color="auto"/>
      </w:divBdr>
    </w:div>
    <w:div w:id="661277096">
      <w:bodyDiv w:val="1"/>
      <w:marLeft w:val="0"/>
      <w:marRight w:val="0"/>
      <w:marTop w:val="0"/>
      <w:marBottom w:val="0"/>
      <w:divBdr>
        <w:top w:val="none" w:sz="0" w:space="0" w:color="auto"/>
        <w:left w:val="none" w:sz="0" w:space="0" w:color="auto"/>
        <w:bottom w:val="none" w:sz="0" w:space="0" w:color="auto"/>
        <w:right w:val="none" w:sz="0" w:space="0" w:color="auto"/>
      </w:divBdr>
    </w:div>
    <w:div w:id="683172964">
      <w:bodyDiv w:val="1"/>
      <w:marLeft w:val="0"/>
      <w:marRight w:val="0"/>
      <w:marTop w:val="0"/>
      <w:marBottom w:val="0"/>
      <w:divBdr>
        <w:top w:val="none" w:sz="0" w:space="0" w:color="auto"/>
        <w:left w:val="none" w:sz="0" w:space="0" w:color="auto"/>
        <w:bottom w:val="none" w:sz="0" w:space="0" w:color="auto"/>
        <w:right w:val="none" w:sz="0" w:space="0" w:color="auto"/>
      </w:divBdr>
    </w:div>
    <w:div w:id="954016509">
      <w:bodyDiv w:val="1"/>
      <w:marLeft w:val="0"/>
      <w:marRight w:val="0"/>
      <w:marTop w:val="0"/>
      <w:marBottom w:val="0"/>
      <w:divBdr>
        <w:top w:val="none" w:sz="0" w:space="0" w:color="auto"/>
        <w:left w:val="none" w:sz="0" w:space="0" w:color="auto"/>
        <w:bottom w:val="none" w:sz="0" w:space="0" w:color="auto"/>
        <w:right w:val="none" w:sz="0" w:space="0" w:color="auto"/>
      </w:divBdr>
    </w:div>
    <w:div w:id="1028413283">
      <w:bodyDiv w:val="1"/>
      <w:marLeft w:val="0"/>
      <w:marRight w:val="0"/>
      <w:marTop w:val="0"/>
      <w:marBottom w:val="0"/>
      <w:divBdr>
        <w:top w:val="none" w:sz="0" w:space="0" w:color="auto"/>
        <w:left w:val="none" w:sz="0" w:space="0" w:color="auto"/>
        <w:bottom w:val="none" w:sz="0" w:space="0" w:color="auto"/>
        <w:right w:val="none" w:sz="0" w:space="0" w:color="auto"/>
      </w:divBdr>
    </w:div>
    <w:div w:id="1228346865">
      <w:bodyDiv w:val="1"/>
      <w:marLeft w:val="0"/>
      <w:marRight w:val="0"/>
      <w:marTop w:val="0"/>
      <w:marBottom w:val="0"/>
      <w:divBdr>
        <w:top w:val="none" w:sz="0" w:space="0" w:color="auto"/>
        <w:left w:val="none" w:sz="0" w:space="0" w:color="auto"/>
        <w:bottom w:val="none" w:sz="0" w:space="0" w:color="auto"/>
        <w:right w:val="none" w:sz="0" w:space="0" w:color="auto"/>
      </w:divBdr>
    </w:div>
    <w:div w:id="1251623606">
      <w:bodyDiv w:val="1"/>
      <w:marLeft w:val="0"/>
      <w:marRight w:val="0"/>
      <w:marTop w:val="0"/>
      <w:marBottom w:val="0"/>
      <w:divBdr>
        <w:top w:val="none" w:sz="0" w:space="0" w:color="auto"/>
        <w:left w:val="none" w:sz="0" w:space="0" w:color="auto"/>
        <w:bottom w:val="none" w:sz="0" w:space="0" w:color="auto"/>
        <w:right w:val="none" w:sz="0" w:space="0" w:color="auto"/>
      </w:divBdr>
    </w:div>
    <w:div w:id="1674602018">
      <w:bodyDiv w:val="1"/>
      <w:marLeft w:val="0"/>
      <w:marRight w:val="0"/>
      <w:marTop w:val="0"/>
      <w:marBottom w:val="0"/>
      <w:divBdr>
        <w:top w:val="none" w:sz="0" w:space="0" w:color="auto"/>
        <w:left w:val="none" w:sz="0" w:space="0" w:color="auto"/>
        <w:bottom w:val="none" w:sz="0" w:space="0" w:color="auto"/>
        <w:right w:val="none" w:sz="0" w:space="0" w:color="auto"/>
      </w:divBdr>
    </w:div>
    <w:div w:id="1812015898">
      <w:bodyDiv w:val="1"/>
      <w:marLeft w:val="0"/>
      <w:marRight w:val="0"/>
      <w:marTop w:val="0"/>
      <w:marBottom w:val="0"/>
      <w:divBdr>
        <w:top w:val="none" w:sz="0" w:space="0" w:color="auto"/>
        <w:left w:val="none" w:sz="0" w:space="0" w:color="auto"/>
        <w:bottom w:val="none" w:sz="0" w:space="0" w:color="auto"/>
        <w:right w:val="none" w:sz="0" w:space="0" w:color="auto"/>
      </w:divBdr>
      <w:divsChild>
        <w:div w:id="168957606">
          <w:marLeft w:val="0"/>
          <w:marRight w:val="0"/>
          <w:marTop w:val="0"/>
          <w:marBottom w:val="150"/>
          <w:divBdr>
            <w:top w:val="none" w:sz="0" w:space="0" w:color="auto"/>
            <w:left w:val="none" w:sz="0" w:space="0" w:color="auto"/>
            <w:bottom w:val="none" w:sz="0" w:space="0" w:color="auto"/>
            <w:right w:val="single" w:sz="6" w:space="11" w:color="D8D8D8"/>
          </w:divBdr>
        </w:div>
        <w:div w:id="1830973514">
          <w:marLeft w:val="0"/>
          <w:marRight w:val="0"/>
          <w:marTop w:val="0"/>
          <w:marBottom w:val="150"/>
          <w:divBdr>
            <w:top w:val="none" w:sz="0" w:space="0" w:color="auto"/>
            <w:left w:val="none" w:sz="0" w:space="0" w:color="auto"/>
            <w:bottom w:val="none" w:sz="0" w:space="0" w:color="auto"/>
            <w:right w:val="single" w:sz="6" w:space="11" w:color="D8D8D8"/>
          </w:divBdr>
        </w:div>
      </w:divsChild>
    </w:div>
    <w:div w:id="213813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fitchratings.com/research/islamic-finance/european-islamic-funds-industry-led-by-luxembourg-09-12-2021" TargetMode="External"/><Relationship Id="rId42" Type="http://schemas.openxmlformats.org/officeDocument/2006/relationships/footer" Target="footer7.xml"/><Relationship Id="rId47" Type="http://schemas.openxmlformats.org/officeDocument/2006/relationships/hyperlink" Target="http://financedemarche.fr/finance/swap-de-taux-dinteret-definition-exemple" TargetMode="External"/><Relationship Id="rId63" Type="http://schemas.openxmlformats.org/officeDocument/2006/relationships/footer" Target="footer13.xml"/><Relationship Id="rId68" Type="http://schemas.openxmlformats.org/officeDocument/2006/relationships/chart" Target="charts/chart4.xml"/><Relationship Id="rId84" Type="http://schemas.openxmlformats.org/officeDocument/2006/relationships/hyperlink" Target="https://papers.ssrn.com/sol3/papers.cfm?abstract_id=1856351" TargetMode="External"/><Relationship Id="rId89" Type="http://schemas.openxmlformats.org/officeDocument/2006/relationships/hyperlink" Target="https://www.lalibre.be/debats/opinions/2008/10/31/les-racines-de-la-crise-financiere-WC3ZOODXZFBAXNSNBYVS6JNNOI/" TargetMode="External"/><Relationship Id="rId112" Type="http://schemas.openxmlformats.org/officeDocument/2006/relationships/footer" Target="footer24.xml"/><Relationship Id="rId16" Type="http://schemas.openxmlformats.org/officeDocument/2006/relationships/image" Target="media/image3.png"/><Relationship Id="rId107" Type="http://schemas.openxmlformats.org/officeDocument/2006/relationships/hyperlink" Target="https://www.investment-and-finance.net/islamic-finance/m/murabaha.html" TargetMode="Externa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hyperlink" Target="https://fr.wikipedia.org/wiki/G20_de_S%C3%A9oul_2010" TargetMode="External"/><Relationship Id="rId58" Type="http://schemas.openxmlformats.org/officeDocument/2006/relationships/footer" Target="footer9.xml"/><Relationship Id="rId66" Type="http://schemas.openxmlformats.org/officeDocument/2006/relationships/chart" Target="charts/chart2.xml"/><Relationship Id="rId74" Type="http://schemas.openxmlformats.org/officeDocument/2006/relationships/footer" Target="footer17.xml"/><Relationship Id="rId79" Type="http://schemas.openxmlformats.org/officeDocument/2006/relationships/hyperlink" Target="https://traderfrancophone.fr/action/acheter-action-islam/" TargetMode="External"/><Relationship Id="rId87" Type="http://schemas.openxmlformats.org/officeDocument/2006/relationships/hyperlink" Target="http://mpra.ub.uni-muenchen.de/38706" TargetMode="External"/><Relationship Id="rId102" Type="http://schemas.openxmlformats.org/officeDocument/2006/relationships/footer" Target="footer19.xml"/><Relationship Id="rId110" Type="http://schemas.openxmlformats.org/officeDocument/2006/relationships/footer" Target="footer23.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hyperlink" Target="https://blogs.worldbank.org/fr/voices/finance-Islamique-developpement-des-infrastructures" TargetMode="External"/><Relationship Id="rId90" Type="http://schemas.openxmlformats.org/officeDocument/2006/relationships/hyperlink" Target="https://www.lesechos.fr/@francois-vidal" TargetMode="External"/><Relationship Id="rId95" Type="http://schemas.openxmlformats.org/officeDocument/2006/relationships/hyperlink" Target="http://www.sciencedirect.com/" TargetMode="External"/><Relationship Id="rId19" Type="http://schemas.openxmlformats.org/officeDocument/2006/relationships/image" Target="media/image5.png"/><Relationship Id="rId14" Type="http://schemas.openxmlformats.org/officeDocument/2006/relationships/footer" Target="footer5.xml"/><Relationship Id="rId22" Type="http://schemas.openxmlformats.org/officeDocument/2006/relationships/image" Target="media/image7.pn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13.png"/><Relationship Id="rId43" Type="http://schemas.openxmlformats.org/officeDocument/2006/relationships/footer" Target="footer8.xml"/><Relationship Id="rId48" Type="http://schemas.openxmlformats.org/officeDocument/2006/relationships/image" Target="media/image22.png"/><Relationship Id="rId56" Type="http://schemas.openxmlformats.org/officeDocument/2006/relationships/image" Target="media/image25.png"/><Relationship Id="rId64" Type="http://schemas.openxmlformats.org/officeDocument/2006/relationships/footer" Target="footer14.xml"/><Relationship Id="rId69" Type="http://schemas.openxmlformats.org/officeDocument/2006/relationships/chart" Target="charts/chart5.xml"/><Relationship Id="rId77" Type="http://schemas.openxmlformats.org/officeDocument/2006/relationships/hyperlink" Target="http://mpra.ub.uni-muenchen.de/8298" TargetMode="External"/><Relationship Id="rId100" Type="http://schemas.openxmlformats.org/officeDocument/2006/relationships/hyperlink" Target="http://www.Celent.com/" TargetMode="External"/><Relationship Id="rId105" Type="http://schemas.openxmlformats.org/officeDocument/2006/relationships/footer" Target="footer21.xml"/><Relationship Id="rId113" Type="http://schemas.openxmlformats.org/officeDocument/2006/relationships/footer" Target="footer25.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footer" Target="footer16.xml"/><Relationship Id="rId80" Type="http://schemas.openxmlformats.org/officeDocument/2006/relationships/hyperlink" Target="https://www.amef-consulting.com/author/jilani-ben-lagha/" TargetMode="External"/><Relationship Id="rId85" Type="http://schemas.openxmlformats.org/officeDocument/2006/relationships/hyperlink" Target="http://elgamal.clogspot.com/index.html" TargetMode="External"/><Relationship Id="rId93" Type="http://schemas.openxmlformats.org/officeDocument/2006/relationships/hyperlink" Target="https://www.monde-diplomatique.fr/2001/09/WARDE/7797" TargetMode="External"/><Relationship Id="rId98" Type="http://schemas.openxmlformats.org/officeDocument/2006/relationships/hyperlink" Target="http://www.Retaill-and-co.com/"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quran4all.net/ar/translate/3/2/276" TargetMode="External"/><Relationship Id="rId25" Type="http://schemas.openxmlformats.org/officeDocument/2006/relationships/hyperlink" Target="https://www.linkedin.com/pulse/les-contrats-standards-de-la-finance-islamique-abdelhak-bounjoum?trk=portfolio_article-card_title" TargetMode="External"/><Relationship Id="rId33" Type="http://schemas.openxmlformats.org/officeDocument/2006/relationships/hyperlink" Target="http://www.alsalamalgeria.com/" TargetMode="External"/><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footer" Target="footer10.xml"/><Relationship Id="rId67" Type="http://schemas.openxmlformats.org/officeDocument/2006/relationships/chart" Target="charts/chart3.xml"/><Relationship Id="rId103" Type="http://schemas.openxmlformats.org/officeDocument/2006/relationships/footer" Target="footer20.xml"/><Relationship Id="rId108" Type="http://schemas.openxmlformats.org/officeDocument/2006/relationships/hyperlink" Target="https://fr.wikipedia.org/wiki/Usufruit" TargetMode="External"/><Relationship Id="rId20" Type="http://schemas.openxmlformats.org/officeDocument/2006/relationships/image" Target="media/image6.png"/><Relationship Id="rId41" Type="http://schemas.openxmlformats.org/officeDocument/2006/relationships/footer" Target="footer6.xml"/><Relationship Id="rId54" Type="http://schemas.openxmlformats.org/officeDocument/2006/relationships/hyperlink" Target="https://epargne.ooreka.fr/astuce/voir/574907/risque-de-taux" TargetMode="External"/><Relationship Id="rId62" Type="http://schemas.openxmlformats.org/officeDocument/2006/relationships/footer" Target="footer12.xml"/><Relationship Id="rId70" Type="http://schemas.openxmlformats.org/officeDocument/2006/relationships/chart" Target="charts/chart6.xml"/><Relationship Id="rId75" Type="http://schemas.openxmlformats.org/officeDocument/2006/relationships/hyperlink" Target="https://www.amazon.com/s/ref=dp_byline_sr_book_1?ie=UTF8&amp;field-author=Muhammad+Al-bashir+Muhammad+Al-amine&amp;text=Muhammad+Al-bashir+Muhammad+Al-amine&amp;sort=relevancerank&amp;search-alias=books" TargetMode="External"/><Relationship Id="rId83" Type="http://schemas.openxmlformats.org/officeDocument/2006/relationships/hyperlink" Target="http://econpapers.repec.org/article/eeejbfina/" TargetMode="External"/><Relationship Id="rId88" Type="http://schemas.openxmlformats.org/officeDocument/2006/relationships/hyperlink" Target="https://econpapers.repec.org/article/eeecrpeac/" TargetMode="External"/><Relationship Id="rId91" Type="http://schemas.openxmlformats.org/officeDocument/2006/relationships/hyperlink" Target="https://www.lesechos.fr/@laura-berny" TargetMode="External"/><Relationship Id="rId96" Type="http://schemas.openxmlformats.org/officeDocument/2006/relationships/hyperlink" Target="http://www.ssrn.com/" TargetMode="External"/><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www.linkedin.com/pulse/les-contrats-standards-de-la-finance-islamique-abdelhak-bounjoum?trk=portfolio_article-card_title" TargetMode="External"/><Relationship Id="rId36" Type="http://schemas.openxmlformats.org/officeDocument/2006/relationships/image" Target="media/image14.png"/><Relationship Id="rId49" Type="http://schemas.openxmlformats.org/officeDocument/2006/relationships/hyperlink" Target="http://financedemarche.fr/finance/swap-de-taux-dinteret-definition-exemple" TargetMode="External"/><Relationship Id="rId57" Type="http://schemas.openxmlformats.org/officeDocument/2006/relationships/image" Target="media/image26.png"/><Relationship Id="rId106" Type="http://schemas.openxmlformats.org/officeDocument/2006/relationships/hyperlink" Target="https://www.investment-and-finance.net/islamic-finance/m/murabaha.html" TargetMode="Externa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www.linkedin.com/pulse/les-contrats-standards-de-la-finance-islamique-abdelhak-bounjoum?trk=portfolio_article-card_title" TargetMode="External"/><Relationship Id="rId44" Type="http://schemas.openxmlformats.org/officeDocument/2006/relationships/image" Target="media/image19.png"/><Relationship Id="rId52" Type="http://schemas.openxmlformats.org/officeDocument/2006/relationships/hyperlink" Target="https://fr.wikipedia.org/wiki/G20_de_Toronto_de_2010" TargetMode="External"/><Relationship Id="rId60" Type="http://schemas.openxmlformats.org/officeDocument/2006/relationships/footer" Target="footer11.xml"/><Relationship Id="rId65" Type="http://schemas.openxmlformats.org/officeDocument/2006/relationships/chart" Target="charts/chart1.xml"/><Relationship Id="rId73" Type="http://schemas.openxmlformats.org/officeDocument/2006/relationships/header" Target="header2.xml"/><Relationship Id="rId78" Type="http://schemas.openxmlformats.org/officeDocument/2006/relationships/hyperlink" Target="https://traderfrancophone.fr/author/elisoa/" TargetMode="External"/><Relationship Id="rId81" Type="http://schemas.openxmlformats.org/officeDocument/2006/relationships/hyperlink" Target="https://www.amef-consulting.com/la-finance-islamique-en-algerie/" TargetMode="External"/><Relationship Id="rId86" Type="http://schemas.openxmlformats.org/officeDocument/2006/relationships/hyperlink" Target="https://www.researchgate.net/profile/Azzouz_Elhamma" TargetMode="External"/><Relationship Id="rId94" Type="http://schemas.openxmlformats.org/officeDocument/2006/relationships/hyperlink" Target="https://www.theses.fr/157546896" TargetMode="External"/><Relationship Id="rId99" Type="http://schemas.openxmlformats.org/officeDocument/2006/relationships/hyperlink" Target="http://eurekahedge.blogspot.fr/2010/01/overview-of-2009-key-trends-in-Islamic.html/" TargetMode="External"/><Relationship Id="rId10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17.jpeg"/><Relationship Id="rId109" Type="http://schemas.openxmlformats.org/officeDocument/2006/relationships/footer" Target="footer22.xml"/><Relationship Id="rId34" Type="http://schemas.openxmlformats.org/officeDocument/2006/relationships/image" Target="media/image12.emf"/><Relationship Id="rId50" Type="http://schemas.openxmlformats.org/officeDocument/2006/relationships/image" Target="media/image23.emf"/><Relationship Id="rId55" Type="http://schemas.openxmlformats.org/officeDocument/2006/relationships/hyperlink" Target="https://epargne.ooreka.fr/astuce/voir/472171/risque-de-change" TargetMode="External"/><Relationship Id="rId76" Type="http://schemas.openxmlformats.org/officeDocument/2006/relationships/hyperlink" Target="https://www.elwatan.com/edition/contributions/finance-islamique-dans-le-monde-et-en-algerie-analyse-macroeconomique-et-perspectives-2e-partie-et-fin-11-04-2021" TargetMode="External"/><Relationship Id="rId97" Type="http://schemas.openxmlformats.org/officeDocument/2006/relationships/hyperlink" Target="http://www.daroulifto.com/"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hyperlink" Target="https://www.lesechos.fr/@rejane-reibaud" TargetMode="External"/><Relationship Id="rId2" Type="http://schemas.openxmlformats.org/officeDocument/2006/relationships/numbering" Target="numbering.xml"/><Relationship Id="rId29"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ubaf.fr/fr/nos-solutions/financement-et-finance-islamique/finance-islamique" TargetMode="External"/><Relationship Id="rId13" Type="http://schemas.openxmlformats.org/officeDocument/2006/relationships/hyperlink" Target="https://ribh.wordpress.com/2017/04/03/24341/" TargetMode="External"/><Relationship Id="rId18" Type="http://schemas.openxmlformats.org/officeDocument/2006/relationships/hyperlink" Target="https://www.aa.com.tr/fr/%C3%A9conomie/moodys-pr%C3%A9voit-l-%C3%A9mission-de-200-milliards-de-dollars-en-sukuk-islamiques-mondiaux-en-2021-/2357937" TargetMode="External"/><Relationship Id="rId26" Type="http://schemas.openxmlformats.org/officeDocument/2006/relationships/hyperlink" Target="https://www.lesechos.fr/@laura-berny" TargetMode="External"/><Relationship Id="rId3" Type="http://schemas.openxmlformats.org/officeDocument/2006/relationships/hyperlink" Target="https://blogs.worldbank.org/fr/voices/finance-islamique-developpement-des-infrastructures" TargetMode="External"/><Relationship Id="rId21" Type="http://schemas.openxmlformats.org/officeDocument/2006/relationships/hyperlink" Target="https://traderfrancophone.fr/action/acheter-action-islam/" TargetMode="External"/><Relationship Id="rId34" Type="http://schemas.openxmlformats.org/officeDocument/2006/relationships/hyperlink" Target="http://www.monde&#8211;diplomatique.fr" TargetMode="External"/><Relationship Id="rId7" Type="http://schemas.openxmlformats.org/officeDocument/2006/relationships/hyperlink" Target="https://paperjam.lu/article/boom-qui-a-fait-pshit" TargetMode="External"/><Relationship Id="rId12" Type="http://schemas.openxmlformats.org/officeDocument/2006/relationships/hyperlink" Target="https://www.lafinancepourtous.com/decryptages/finance-et-societe/nouvelles-economies/finance-islamique/la-finance-islamique-dans-le-monde/" TargetMode="External"/><Relationship Id="rId17" Type="http://schemas.openxmlformats.org/officeDocument/2006/relationships/hyperlink" Target="https://www.elwatan.com/edition/contributions/finance-islamique-dans-le-monde-et-en-algerie-analyse-macroeconomique-et-perspectives-2e-partie-et-fin-11-04-2021" TargetMode="External"/><Relationship Id="rId25" Type="http://schemas.openxmlformats.org/officeDocument/2006/relationships/hyperlink" Target="https://www.lesechos.fr/@francois-vidal" TargetMode="External"/><Relationship Id="rId33" Type="http://schemas.openxmlformats.org/officeDocument/2006/relationships/hyperlink" Target="https://www.bank-of-algeria.dz/pdf/instructions2020/instruction032020.pdf" TargetMode="External"/><Relationship Id="rId2" Type="http://schemas.openxmlformats.org/officeDocument/2006/relationships/hyperlink" Target="http://www.documentacatholicaomnia.eu/03d/1225-1274,_Thomas_Aquinas,_Summa_Theologiae-Secunda_Secundae,_FR.pdf" TargetMode="External"/><Relationship Id="rId16" Type="http://schemas.openxmlformats.org/officeDocument/2006/relationships/hyperlink" Target="https://www.amef-consulting.com/la-finance-islamique-en-algerie/" TargetMode="External"/><Relationship Id="rId20" Type="http://schemas.openxmlformats.org/officeDocument/2006/relationships/hyperlink" Target="https://traderfrancophone.fr/author/elisoa/" TargetMode="External"/><Relationship Id="rId29" Type="http://schemas.openxmlformats.org/officeDocument/2006/relationships/hyperlink" Target="https://fr.wikipedia.org/wiki/%C3%89tats-Unis" TargetMode="External"/><Relationship Id="rId1" Type="http://schemas.openxmlformats.org/officeDocument/2006/relationships/hyperlink" Target="https://blogs.worldbank.org/fr/voices/finance-islamique-developpement-des-infrastructures" TargetMode="External"/><Relationship Id="rId6" Type="http://schemas.openxmlformats.org/officeDocument/2006/relationships/hyperlink" Target="https://ribh.wordpress.com/2007/09/01/la-malaisie-ambitionne-de-devenir-le-hub-mondial-en-matiere-de-finance-islamique/" TargetMode="External"/><Relationship Id="rId11" Type="http://schemas.openxmlformats.org/officeDocument/2006/relationships/hyperlink" Target="https://www.570easi.fr/financement-immobilier-murabaha" TargetMode="External"/><Relationship Id="rId24" Type="http://schemas.openxmlformats.org/officeDocument/2006/relationships/hyperlink" Target="http://neumann.hec.ca/pages/francois.leroux/Note%20pedagogique%20MIC16.pdf" TargetMode="External"/><Relationship Id="rId32" Type="http://schemas.openxmlformats.org/officeDocument/2006/relationships/hyperlink" Target="https://www.theses.fr/157546896" TargetMode="External"/><Relationship Id="rId37" Type="http://schemas.openxmlformats.org/officeDocument/2006/relationships/hyperlink" Target="http://www.sbp.org.pk/ibd/2008/Annex-c1.pdf" TargetMode="External"/><Relationship Id="rId5" Type="http://schemas.openxmlformats.org/officeDocument/2006/relationships/hyperlink" Target="https://www.lafinancepourtous.com/decryptages/finance-et-societe/nouvelles-economies/finance-islamique/la-finance-islamique-dans-le-monde/" TargetMode="External"/><Relationship Id="rId15" Type="http://schemas.openxmlformats.org/officeDocument/2006/relationships/hyperlink" Target="https://www.amef-consulting.com/author/jilani-ben-lagha/" TargetMode="External"/><Relationship Id="rId23" Type="http://schemas.openxmlformats.org/officeDocument/2006/relationships/hyperlink" Target="https://www.researchgate.net/profile/Azzouz_Elhamma" TargetMode="External"/><Relationship Id="rId28" Type="http://schemas.openxmlformats.org/officeDocument/2006/relationships/hyperlink" Target="https://fr.wikipedia.org/wiki/Finance" TargetMode="External"/><Relationship Id="rId36" Type="http://schemas.openxmlformats.org/officeDocument/2006/relationships/hyperlink" Target="http://mpra.ub.uni-muenchen.de/8298" TargetMode="External"/><Relationship Id="rId10" Type="http://schemas.openxmlformats.org/officeDocument/2006/relationships/hyperlink" Target="http://acerfi.org/communique-de-presse-acerfi-premier-comite-francophone-de-conformite-en-finance-islamique/" TargetMode="External"/><Relationship Id="rId19" Type="http://schemas.openxmlformats.org/officeDocument/2006/relationships/hyperlink" Target="https://www.aps.dz/economie/79278-les-banques-islamiques-detiendront-10-des-actifs-bancaires-en-afrique-en-2023" TargetMode="External"/><Relationship Id="rId31" Type="http://schemas.openxmlformats.org/officeDocument/2006/relationships/hyperlink" Target="https://fr.wikipedia.org/wiki/Devise_(monnaie)" TargetMode="External"/><Relationship Id="rId4" Type="http://schemas.openxmlformats.org/officeDocument/2006/relationships/hyperlink" Target="https://atlasocio.com/classements/religions/islam/classement-etats-par-adherents-islam-nombre-monde.php" TargetMode="External"/><Relationship Id="rId9" Type="http://schemas.openxmlformats.org/officeDocument/2006/relationships/hyperlink" Target="https://www.chaabibank.fr/produit/la-mourabaha/?o=2410" TargetMode="External"/><Relationship Id="rId14" Type="http://schemas.openxmlformats.org/officeDocument/2006/relationships/hyperlink" Target="https://www.cmconjoncture.com/conjoncture/actualites/la-finance-islamique-au-maroc" TargetMode="External"/><Relationship Id="rId22" Type="http://schemas.openxmlformats.org/officeDocument/2006/relationships/hyperlink" Target="https://www.ifre.com/issue/4872/ifr-middle-east-report-2008" TargetMode="External"/><Relationship Id="rId27" Type="http://schemas.openxmlformats.org/officeDocument/2006/relationships/hyperlink" Target="https://www.lesechos.fr/@rejane-reibaud" TargetMode="External"/><Relationship Id="rId30" Type="http://schemas.openxmlformats.org/officeDocument/2006/relationships/hyperlink" Target="https://fr.wikipedia.org/wiki/Sp%C3%A9culation" TargetMode="External"/><Relationship Id="rId35" Type="http://schemas.openxmlformats.org/officeDocument/2006/relationships/hyperlink" Target="https://www.monde-diplomatique.fr/2001/09/WARDE/779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Desktop\Classeur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Desktop\Classeu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ppData\Roaming\Microsoft\Excel\Classeur1%20(version%202).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Desktop\Classeur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Desktop\Classeur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Desktop\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673520153844684"/>
          <c:y val="0"/>
          <c:w val="0.30654381619895982"/>
          <c:h val="0.78051051922396097"/>
        </c:manualLayout>
      </c:layout>
      <c:barChart>
        <c:barDir val="bar"/>
        <c:grouping val="clustered"/>
        <c:varyColors val="0"/>
        <c:ser>
          <c:idx val="0"/>
          <c:order val="0"/>
          <c:tx>
            <c:v>Standards internationaux</c:v>
          </c:tx>
          <c:invertIfNegative val="0"/>
          <c:cat>
            <c:strRef>
              <c:f>Feuil1!$I$18:$I$19</c:f>
              <c:strCache>
                <c:ptCount val="2"/>
                <c:pt idx="0">
                  <c:v>BI à part entière</c:v>
                </c:pt>
                <c:pt idx="1">
                  <c:v>Banque à guichets islamiques</c:v>
                </c:pt>
              </c:strCache>
            </c:strRef>
          </c:cat>
          <c:val>
            <c:numRef>
              <c:f>Feuil1!$J$18:$J$19</c:f>
              <c:numCache>
                <c:formatCode>0%</c:formatCode>
                <c:ptCount val="2"/>
                <c:pt idx="0">
                  <c:v>0.48000000000000032</c:v>
                </c:pt>
                <c:pt idx="1">
                  <c:v>0.6600000000000168</c:v>
                </c:pt>
              </c:numCache>
            </c:numRef>
          </c:val>
          <c:extLst>
            <c:ext xmlns:c16="http://schemas.microsoft.com/office/drawing/2014/chart" uri="{C3380CC4-5D6E-409C-BE32-E72D297353CC}">
              <c16:uniqueId val="{00000000-7DB3-4D72-B4E0-6A8C82F9D2D8}"/>
            </c:ext>
          </c:extLst>
        </c:ser>
        <c:ser>
          <c:idx val="1"/>
          <c:order val="1"/>
          <c:tx>
            <c:v>Normes AAOIFI</c:v>
          </c:tx>
          <c:invertIfNegative val="0"/>
          <c:cat>
            <c:strRef>
              <c:f>Feuil1!$I$18:$I$19</c:f>
              <c:strCache>
                <c:ptCount val="2"/>
                <c:pt idx="0">
                  <c:v>BI à part entière</c:v>
                </c:pt>
                <c:pt idx="1">
                  <c:v>Banque à guichets islamiques</c:v>
                </c:pt>
              </c:strCache>
            </c:strRef>
          </c:cat>
          <c:val>
            <c:numRef>
              <c:f>Feuil1!$K$18:$K$19</c:f>
              <c:numCache>
                <c:formatCode>0%</c:formatCode>
                <c:ptCount val="2"/>
                <c:pt idx="0">
                  <c:v>0.3300000000000079</c:v>
                </c:pt>
                <c:pt idx="1">
                  <c:v>6.0000000000000504E-2</c:v>
                </c:pt>
              </c:numCache>
            </c:numRef>
          </c:val>
          <c:extLst>
            <c:ext xmlns:c16="http://schemas.microsoft.com/office/drawing/2014/chart" uri="{C3380CC4-5D6E-409C-BE32-E72D297353CC}">
              <c16:uniqueId val="{00000001-7DB3-4D72-B4E0-6A8C82F9D2D8}"/>
            </c:ext>
          </c:extLst>
        </c:ser>
        <c:dLbls>
          <c:showLegendKey val="0"/>
          <c:showVal val="0"/>
          <c:showCatName val="0"/>
          <c:showSerName val="0"/>
          <c:showPercent val="0"/>
          <c:showBubbleSize val="0"/>
        </c:dLbls>
        <c:gapWidth val="150"/>
        <c:axId val="141720192"/>
        <c:axId val="141730176"/>
      </c:barChart>
      <c:catAx>
        <c:axId val="141720192"/>
        <c:scaling>
          <c:orientation val="minMax"/>
        </c:scaling>
        <c:delete val="0"/>
        <c:axPos val="l"/>
        <c:numFmt formatCode="General" sourceLinked="0"/>
        <c:majorTickMark val="out"/>
        <c:minorTickMark val="none"/>
        <c:tickLblPos val="nextTo"/>
        <c:crossAx val="141730176"/>
        <c:crosses val="autoZero"/>
        <c:auto val="1"/>
        <c:lblAlgn val="ctr"/>
        <c:lblOffset val="100"/>
        <c:noMultiLvlLbl val="0"/>
      </c:catAx>
      <c:valAx>
        <c:axId val="141730176"/>
        <c:scaling>
          <c:orientation val="minMax"/>
        </c:scaling>
        <c:delete val="0"/>
        <c:axPos val="b"/>
        <c:majorGridlines/>
        <c:numFmt formatCode="0%" sourceLinked="1"/>
        <c:majorTickMark val="out"/>
        <c:minorTickMark val="none"/>
        <c:tickLblPos val="nextTo"/>
        <c:crossAx val="1417201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93197637524478E-2"/>
          <c:y val="7.7940402272308293E-2"/>
          <c:w val="0.58863229573388554"/>
          <c:h val="0.62597739174181155"/>
        </c:manualLayout>
      </c:layout>
      <c:lineChart>
        <c:grouping val="standard"/>
        <c:varyColors val="0"/>
        <c:ser>
          <c:idx val="0"/>
          <c:order val="0"/>
          <c:tx>
            <c:strRef>
              <c:f>Feuil2!$E$31</c:f>
              <c:strCache>
                <c:ptCount val="1"/>
                <c:pt idx="0">
                  <c:v>Intensité d'utilisation</c:v>
                </c:pt>
              </c:strCache>
            </c:strRef>
          </c:tx>
          <c:marker>
            <c:symbol val="none"/>
          </c:marker>
          <c:cat>
            <c:strRef>
              <c:f>Feuil2!$G$32:$G$37</c:f>
              <c:strCache>
                <c:ptCount val="6"/>
                <c:pt idx="0">
                  <c:v>Moucharaka</c:v>
                </c:pt>
                <c:pt idx="1">
                  <c:v>Moudharaba</c:v>
                </c:pt>
                <c:pt idx="2">
                  <c:v>Salam</c:v>
                </c:pt>
                <c:pt idx="3">
                  <c:v>Ijara</c:v>
                </c:pt>
                <c:pt idx="4">
                  <c:v>Istisnaa</c:v>
                </c:pt>
                <c:pt idx="5">
                  <c:v>Mourabaha</c:v>
                </c:pt>
              </c:strCache>
            </c:strRef>
          </c:cat>
          <c:val>
            <c:numRef>
              <c:f>Feuil2!$E$32:$E$37</c:f>
              <c:numCache>
                <c:formatCode>General</c:formatCode>
                <c:ptCount val="6"/>
                <c:pt idx="0">
                  <c:v>1.9600000000000279</c:v>
                </c:pt>
                <c:pt idx="1">
                  <c:v>3.48</c:v>
                </c:pt>
                <c:pt idx="2">
                  <c:v>3.75</c:v>
                </c:pt>
                <c:pt idx="3">
                  <c:v>3.9699999999999998</c:v>
                </c:pt>
                <c:pt idx="4">
                  <c:v>3.44</c:v>
                </c:pt>
                <c:pt idx="5">
                  <c:v>5.2</c:v>
                </c:pt>
              </c:numCache>
            </c:numRef>
          </c:val>
          <c:smooth val="0"/>
          <c:extLst>
            <c:ext xmlns:c16="http://schemas.microsoft.com/office/drawing/2014/chart" uri="{C3380CC4-5D6E-409C-BE32-E72D297353CC}">
              <c16:uniqueId val="{00000000-DFAD-4038-BCC1-7C52ACCB303F}"/>
            </c:ext>
          </c:extLst>
        </c:ser>
        <c:ser>
          <c:idx val="1"/>
          <c:order val="1"/>
          <c:tx>
            <c:v>perception de risque</c:v>
          </c:tx>
          <c:marker>
            <c:symbol val="none"/>
          </c:marker>
          <c:cat>
            <c:strRef>
              <c:f>Feuil2!$G$32:$G$37</c:f>
              <c:strCache>
                <c:ptCount val="6"/>
                <c:pt idx="0">
                  <c:v>Moucharaka</c:v>
                </c:pt>
                <c:pt idx="1">
                  <c:v>Moudharaba</c:v>
                </c:pt>
                <c:pt idx="2">
                  <c:v>Salam</c:v>
                </c:pt>
                <c:pt idx="3">
                  <c:v>Ijara</c:v>
                </c:pt>
                <c:pt idx="4">
                  <c:v>Istisnaa</c:v>
                </c:pt>
                <c:pt idx="5">
                  <c:v>Mourabaha</c:v>
                </c:pt>
              </c:strCache>
            </c:strRef>
          </c:cat>
          <c:val>
            <c:numRef>
              <c:f>Feuil2!$F$32:$F$37</c:f>
              <c:numCache>
                <c:formatCode>General</c:formatCode>
                <c:ptCount val="6"/>
                <c:pt idx="0">
                  <c:v>4.4400000000000004</c:v>
                </c:pt>
                <c:pt idx="1">
                  <c:v>4</c:v>
                </c:pt>
                <c:pt idx="2">
                  <c:v>3.44</c:v>
                </c:pt>
                <c:pt idx="3">
                  <c:v>3.16</c:v>
                </c:pt>
                <c:pt idx="4">
                  <c:v>3.15</c:v>
                </c:pt>
                <c:pt idx="5">
                  <c:v>3.05</c:v>
                </c:pt>
              </c:numCache>
            </c:numRef>
          </c:val>
          <c:smooth val="0"/>
          <c:extLst>
            <c:ext xmlns:c16="http://schemas.microsoft.com/office/drawing/2014/chart" uri="{C3380CC4-5D6E-409C-BE32-E72D297353CC}">
              <c16:uniqueId val="{00000001-DFAD-4038-BCC1-7C52ACCB303F}"/>
            </c:ext>
          </c:extLst>
        </c:ser>
        <c:dLbls>
          <c:showLegendKey val="0"/>
          <c:showVal val="0"/>
          <c:showCatName val="0"/>
          <c:showSerName val="0"/>
          <c:showPercent val="0"/>
          <c:showBubbleSize val="0"/>
        </c:dLbls>
        <c:smooth val="0"/>
        <c:axId val="141043968"/>
        <c:axId val="141062144"/>
      </c:lineChart>
      <c:catAx>
        <c:axId val="141043968"/>
        <c:scaling>
          <c:orientation val="minMax"/>
        </c:scaling>
        <c:delete val="0"/>
        <c:axPos val="b"/>
        <c:numFmt formatCode="General" sourceLinked="1"/>
        <c:majorTickMark val="none"/>
        <c:minorTickMark val="none"/>
        <c:tickLblPos val="nextTo"/>
        <c:txPr>
          <a:bodyPr/>
          <a:lstStyle/>
          <a:p>
            <a:pPr>
              <a:defRPr sz="1100" i="1">
                <a:latin typeface="Times New Roman" pitchFamily="18" charset="0"/>
                <a:cs typeface="Times New Roman" pitchFamily="18" charset="0"/>
              </a:defRPr>
            </a:pPr>
            <a:endParaRPr lang="fr-FR"/>
          </a:p>
        </c:txPr>
        <c:crossAx val="141062144"/>
        <c:crosses val="autoZero"/>
        <c:auto val="1"/>
        <c:lblAlgn val="ctr"/>
        <c:lblOffset val="100"/>
        <c:noMultiLvlLbl val="0"/>
      </c:catAx>
      <c:valAx>
        <c:axId val="141062144"/>
        <c:scaling>
          <c:orientation val="minMax"/>
        </c:scaling>
        <c:delete val="0"/>
        <c:axPos val="l"/>
        <c:majorGridlines/>
        <c:title>
          <c:tx>
            <c:rich>
              <a:bodyPr/>
              <a:lstStyle/>
              <a:p>
                <a:pPr>
                  <a:defRPr sz="1100">
                    <a:latin typeface="Times New Roman" pitchFamily="18" charset="0"/>
                    <a:cs typeface="Times New Roman" pitchFamily="18" charset="0"/>
                  </a:defRPr>
                </a:pPr>
                <a:r>
                  <a:rPr lang="fr-FR" sz="1100">
                    <a:latin typeface="Times New Roman" pitchFamily="18" charset="0"/>
                    <a:cs typeface="Times New Roman" pitchFamily="18" charset="0"/>
                  </a:rPr>
                  <a:t>Moyenne</a:t>
                </a:r>
              </a:p>
            </c:rich>
          </c:tx>
          <c:overlay val="0"/>
        </c:title>
        <c:numFmt formatCode="General" sourceLinked="1"/>
        <c:majorTickMark val="none"/>
        <c:minorTickMark val="none"/>
        <c:tickLblPos val="nextTo"/>
        <c:crossAx val="141043968"/>
        <c:crosses val="autoZero"/>
        <c:crossBetween val="between"/>
      </c:valAx>
    </c:plotArea>
    <c:legend>
      <c:legendPos val="r"/>
      <c:overlay val="0"/>
      <c:txPr>
        <a:bodyPr/>
        <a:lstStyle/>
        <a:p>
          <a:pPr>
            <a:defRPr>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fr-FR" sz="1200">
                <a:latin typeface="Times New Roman" pitchFamily="18" charset="0"/>
                <a:cs typeface="Times New Roman" pitchFamily="18" charset="0"/>
              </a:rPr>
              <a:t>Distribution</a:t>
            </a:r>
            <a:r>
              <a:rPr lang="fr-FR" sz="1200" baseline="0">
                <a:latin typeface="Times New Roman" pitchFamily="18" charset="0"/>
                <a:cs typeface="Times New Roman" pitchFamily="18" charset="0"/>
              </a:rPr>
              <a:t> des fréquences pour Q11- Pratiques bancaires islamiques </a:t>
            </a:r>
            <a:endParaRPr lang="fr-FR" sz="1200">
              <a:latin typeface="Times New Roman" pitchFamily="18" charset="0"/>
              <a:cs typeface="Times New Roman" pitchFamily="18" charset="0"/>
            </a:endParaRPr>
          </a:p>
        </c:rich>
      </c:tx>
      <c:overlay val="0"/>
    </c:title>
    <c:autoTitleDeleted val="0"/>
    <c:plotArea>
      <c:layout/>
      <c:barChart>
        <c:barDir val="bar"/>
        <c:grouping val="percentStacked"/>
        <c:varyColors val="0"/>
        <c:ser>
          <c:idx val="0"/>
          <c:order val="0"/>
          <c:tx>
            <c:v>fortement en désaccord</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Feuil2!$H$30:$L$30</c:f>
              <c:strCache>
                <c:ptCount val="5"/>
                <c:pt idx="0">
                  <c:v>Il existe une différence entre les principes et les pratiques actuelles des BI</c:v>
                </c:pt>
                <c:pt idx="1">
                  <c:v>BI imitent les BC</c:v>
                </c:pt>
                <c:pt idx="2">
                  <c:v>la FI fournit une alternative bancaire</c:v>
                </c:pt>
                <c:pt idx="3">
                  <c:v>Les BI font recours massivement aux produits financiers à revenu fixe</c:v>
                </c:pt>
                <c:pt idx="4">
                  <c:v>Les BI évitent les modes de financement participatifs à cause de leur degré de risque trop élevé</c:v>
                </c:pt>
              </c:strCache>
            </c:strRef>
          </c:cat>
          <c:val>
            <c:numRef>
              <c:f>Feuil2!$H$31:$L$31</c:f>
              <c:numCache>
                <c:formatCode>General</c:formatCode>
                <c:ptCount val="5"/>
                <c:pt idx="0" formatCode="###0.0">
                  <c:v>6.5</c:v>
                </c:pt>
                <c:pt idx="1">
                  <c:v>7.4</c:v>
                </c:pt>
                <c:pt idx="2" formatCode="###0.0">
                  <c:v>4.3</c:v>
                </c:pt>
                <c:pt idx="3" formatCode="###0.0">
                  <c:v>4.3</c:v>
                </c:pt>
                <c:pt idx="4" formatCode="###0.0">
                  <c:v>6.5</c:v>
                </c:pt>
              </c:numCache>
            </c:numRef>
          </c:val>
          <c:extLst>
            <c:ext xmlns:c16="http://schemas.microsoft.com/office/drawing/2014/chart" uri="{C3380CC4-5D6E-409C-BE32-E72D297353CC}">
              <c16:uniqueId val="{00000000-7454-4CA4-B700-DE0F904C5096}"/>
            </c:ext>
          </c:extLst>
        </c:ser>
        <c:ser>
          <c:idx val="1"/>
          <c:order val="1"/>
          <c:tx>
            <c:v>en désaccord</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Feuil2!$H$30:$L$30</c:f>
              <c:strCache>
                <c:ptCount val="5"/>
                <c:pt idx="0">
                  <c:v>Il existe une différence entre les principes et les pratiques actuelles des BI</c:v>
                </c:pt>
                <c:pt idx="1">
                  <c:v>BI imitent les BC</c:v>
                </c:pt>
                <c:pt idx="2">
                  <c:v>la FI fournit une alternative bancaire</c:v>
                </c:pt>
                <c:pt idx="3">
                  <c:v>Les BI font recours massivement aux produits financiers à revenu fixe</c:v>
                </c:pt>
                <c:pt idx="4">
                  <c:v>Les BI évitent les modes de financement participatifs à cause de leur degré de risque trop élevé</c:v>
                </c:pt>
              </c:strCache>
            </c:strRef>
          </c:cat>
          <c:val>
            <c:numRef>
              <c:f>Feuil2!$H$32:$L$32</c:f>
              <c:numCache>
                <c:formatCode>General</c:formatCode>
                <c:ptCount val="5"/>
                <c:pt idx="0" formatCode="###0.0">
                  <c:v>5.2</c:v>
                </c:pt>
                <c:pt idx="1">
                  <c:v>7.6</c:v>
                </c:pt>
                <c:pt idx="2" formatCode="###0.0">
                  <c:v>10</c:v>
                </c:pt>
                <c:pt idx="3" formatCode="###0.0">
                  <c:v>8.3000000000000007</c:v>
                </c:pt>
                <c:pt idx="4" formatCode="###0.0">
                  <c:v>22.826086956521689</c:v>
                </c:pt>
              </c:numCache>
            </c:numRef>
          </c:val>
          <c:extLst>
            <c:ext xmlns:c16="http://schemas.microsoft.com/office/drawing/2014/chart" uri="{C3380CC4-5D6E-409C-BE32-E72D297353CC}">
              <c16:uniqueId val="{00000001-7454-4CA4-B700-DE0F904C5096}"/>
            </c:ext>
          </c:extLst>
        </c:ser>
        <c:ser>
          <c:idx val="2"/>
          <c:order val="2"/>
          <c:tx>
            <c:v>Neutre</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Feuil2!$H$30:$L$30</c:f>
              <c:strCache>
                <c:ptCount val="5"/>
                <c:pt idx="0">
                  <c:v>Il existe une différence entre les principes et les pratiques actuelles des BI</c:v>
                </c:pt>
                <c:pt idx="1">
                  <c:v>BI imitent les BC</c:v>
                </c:pt>
                <c:pt idx="2">
                  <c:v>la FI fournit une alternative bancaire</c:v>
                </c:pt>
                <c:pt idx="3">
                  <c:v>Les BI font recours massivement aux produits financiers à revenu fixe</c:v>
                </c:pt>
                <c:pt idx="4">
                  <c:v>Les BI évitent les modes de financement participatifs à cause de leur degré de risque trop élevé</c:v>
                </c:pt>
              </c:strCache>
            </c:strRef>
          </c:cat>
          <c:val>
            <c:numRef>
              <c:f>Feuil2!$H$33:$L$33</c:f>
              <c:numCache>
                <c:formatCode>General</c:formatCode>
                <c:ptCount val="5"/>
                <c:pt idx="0" formatCode="###0.0">
                  <c:v>7.2</c:v>
                </c:pt>
                <c:pt idx="1">
                  <c:v>21.5</c:v>
                </c:pt>
                <c:pt idx="2" formatCode="###0.0">
                  <c:v>14.2</c:v>
                </c:pt>
                <c:pt idx="3" formatCode="###0.0">
                  <c:v>10.1</c:v>
                </c:pt>
                <c:pt idx="4" formatCode="###0.0">
                  <c:v>15.2</c:v>
                </c:pt>
              </c:numCache>
            </c:numRef>
          </c:val>
          <c:extLst>
            <c:ext xmlns:c16="http://schemas.microsoft.com/office/drawing/2014/chart" uri="{C3380CC4-5D6E-409C-BE32-E72D297353CC}">
              <c16:uniqueId val="{00000002-7454-4CA4-B700-DE0F904C5096}"/>
            </c:ext>
          </c:extLst>
        </c:ser>
        <c:ser>
          <c:idx val="3"/>
          <c:order val="3"/>
          <c:tx>
            <c:v>en accord</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Feuil2!$H$30:$L$30</c:f>
              <c:strCache>
                <c:ptCount val="5"/>
                <c:pt idx="0">
                  <c:v>Il existe une différence entre les principes et les pratiques actuelles des BI</c:v>
                </c:pt>
                <c:pt idx="1">
                  <c:v>BI imitent les BC</c:v>
                </c:pt>
                <c:pt idx="2">
                  <c:v>la FI fournit une alternative bancaire</c:v>
                </c:pt>
                <c:pt idx="3">
                  <c:v>Les BI font recours massivement aux produits financiers à revenu fixe</c:v>
                </c:pt>
                <c:pt idx="4">
                  <c:v>Les BI évitent les modes de financement participatifs à cause de leur degré de risque trop élevé</c:v>
                </c:pt>
              </c:strCache>
            </c:strRef>
          </c:cat>
          <c:val>
            <c:numRef>
              <c:f>Feuil2!$H$34:$L$34</c:f>
              <c:numCache>
                <c:formatCode>General</c:formatCode>
                <c:ptCount val="5"/>
                <c:pt idx="0" formatCode="###0.0">
                  <c:v>47</c:v>
                </c:pt>
                <c:pt idx="1">
                  <c:v>38.300000000000004</c:v>
                </c:pt>
                <c:pt idx="2" formatCode="###0.0">
                  <c:v>41.3</c:v>
                </c:pt>
                <c:pt idx="3" formatCode="###0.0">
                  <c:v>47.8</c:v>
                </c:pt>
                <c:pt idx="4" formatCode="###0.0">
                  <c:v>28.3</c:v>
                </c:pt>
              </c:numCache>
            </c:numRef>
          </c:val>
          <c:extLst>
            <c:ext xmlns:c16="http://schemas.microsoft.com/office/drawing/2014/chart" uri="{C3380CC4-5D6E-409C-BE32-E72D297353CC}">
              <c16:uniqueId val="{00000003-7454-4CA4-B700-DE0F904C5096}"/>
            </c:ext>
          </c:extLst>
        </c:ser>
        <c:ser>
          <c:idx val="4"/>
          <c:order val="4"/>
          <c:tx>
            <c:v>fortement en accord</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Feuil2!$H$30:$L$30</c:f>
              <c:strCache>
                <c:ptCount val="5"/>
                <c:pt idx="0">
                  <c:v>Il existe une différence entre les principes et les pratiques actuelles des BI</c:v>
                </c:pt>
                <c:pt idx="1">
                  <c:v>BI imitent les BC</c:v>
                </c:pt>
                <c:pt idx="2">
                  <c:v>la FI fournit une alternative bancaire</c:v>
                </c:pt>
                <c:pt idx="3">
                  <c:v>Les BI font recours massivement aux produits financiers à revenu fixe</c:v>
                </c:pt>
                <c:pt idx="4">
                  <c:v>Les BI évitent les modes de financement participatifs à cause de leur degré de risque trop élevé</c:v>
                </c:pt>
              </c:strCache>
            </c:strRef>
          </c:cat>
          <c:val>
            <c:numRef>
              <c:f>Feuil2!$H$35:$L$35</c:f>
              <c:numCache>
                <c:formatCode>General</c:formatCode>
                <c:ptCount val="5"/>
                <c:pt idx="0" formatCode="###0.0">
                  <c:v>34.1</c:v>
                </c:pt>
                <c:pt idx="1">
                  <c:v>25.2</c:v>
                </c:pt>
                <c:pt idx="2" formatCode="###0.0">
                  <c:v>30.2</c:v>
                </c:pt>
                <c:pt idx="3" formatCode="###0.0">
                  <c:v>29.5</c:v>
                </c:pt>
                <c:pt idx="4" formatCode="###0.0">
                  <c:v>27.2</c:v>
                </c:pt>
              </c:numCache>
            </c:numRef>
          </c:val>
          <c:extLst>
            <c:ext xmlns:c16="http://schemas.microsoft.com/office/drawing/2014/chart" uri="{C3380CC4-5D6E-409C-BE32-E72D297353CC}">
              <c16:uniqueId val="{00000004-7454-4CA4-B700-DE0F904C5096}"/>
            </c:ext>
          </c:extLst>
        </c:ser>
        <c:dLbls>
          <c:showLegendKey val="0"/>
          <c:showVal val="1"/>
          <c:showCatName val="0"/>
          <c:showSerName val="0"/>
          <c:showPercent val="0"/>
          <c:showBubbleSize val="0"/>
        </c:dLbls>
        <c:gapWidth val="95"/>
        <c:overlap val="100"/>
        <c:axId val="141085312"/>
        <c:axId val="141689216"/>
      </c:barChart>
      <c:catAx>
        <c:axId val="141085312"/>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fr-FR"/>
          </a:p>
        </c:txPr>
        <c:crossAx val="141689216"/>
        <c:crosses val="autoZero"/>
        <c:auto val="1"/>
        <c:lblAlgn val="ctr"/>
        <c:lblOffset val="100"/>
        <c:noMultiLvlLbl val="0"/>
      </c:catAx>
      <c:valAx>
        <c:axId val="141689216"/>
        <c:scaling>
          <c:orientation val="minMax"/>
        </c:scaling>
        <c:delete val="1"/>
        <c:axPos val="b"/>
        <c:numFmt formatCode="0%" sourceLinked="1"/>
        <c:majorTickMark val="out"/>
        <c:minorTickMark val="none"/>
        <c:tickLblPos val="none"/>
        <c:crossAx val="141085312"/>
        <c:crosses val="autoZero"/>
        <c:crossBetween val="between"/>
      </c:valAx>
    </c:plotArea>
    <c:legend>
      <c:legendPos val="t"/>
      <c:overlay val="0"/>
      <c:txPr>
        <a:bodyPr/>
        <a:lstStyle/>
        <a:p>
          <a:pPr>
            <a:defRPr>
              <a:latin typeface="Times New Roman" pitchFamily="18" charset="0"/>
              <a:cs typeface="Times New Roman" pitchFamily="18" charset="0"/>
            </a:defRPr>
          </a:pPr>
          <a:endParaRPr lang="fr-FR"/>
        </a:p>
      </c:txPr>
    </c:legend>
    <c:plotVisOnly val="1"/>
    <c:dispBlanksAs val="gap"/>
    <c:showDLblsOverMax val="0"/>
  </c:chart>
  <c:spPr>
    <a:solidFill>
      <a:schemeClr val="bg1"/>
    </a:solidFill>
    <a:ln>
      <a:solidFill>
        <a:schemeClr val="accent1">
          <a:lumMod val="7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1452863215803979"/>
          <c:y val="0.11942640381631203"/>
          <c:w val="0.84716976865593141"/>
          <c:h val="0.63502535484035372"/>
        </c:manualLayout>
      </c:layout>
      <c:barChart>
        <c:barDir val="col"/>
        <c:grouping val="stacked"/>
        <c:varyColors val="0"/>
        <c:ser>
          <c:idx val="0"/>
          <c:order val="0"/>
          <c:tx>
            <c:v>Standards d'adéquation de fonds propres</c:v>
          </c:tx>
          <c:invertIfNegative val="0"/>
          <c:cat>
            <c:strRef>
              <c:f>Feuil2!$F$56:$H$56</c:f>
              <c:strCache>
                <c:ptCount val="3"/>
                <c:pt idx="0">
                  <c:v>Les standards Bâle II</c:v>
                </c:pt>
                <c:pt idx="1">
                  <c:v>Les standards Bâle III</c:v>
                </c:pt>
                <c:pt idx="2">
                  <c:v>Les standards IFSB</c:v>
                </c:pt>
              </c:strCache>
            </c:strRef>
          </c:cat>
          <c:val>
            <c:numRef>
              <c:f>Feuil2!$F$57:$H$57</c:f>
              <c:numCache>
                <c:formatCode>0.00%</c:formatCode>
                <c:ptCount val="3"/>
                <c:pt idx="0">
                  <c:v>0.45570000000000005</c:v>
                </c:pt>
                <c:pt idx="1">
                  <c:v>0.62030000000000063</c:v>
                </c:pt>
                <c:pt idx="2">
                  <c:v>0.42360000000000031</c:v>
                </c:pt>
              </c:numCache>
            </c:numRef>
          </c:val>
          <c:extLst>
            <c:ext xmlns:c16="http://schemas.microsoft.com/office/drawing/2014/chart" uri="{C3380CC4-5D6E-409C-BE32-E72D297353CC}">
              <c16:uniqueId val="{00000000-02D3-43A3-A69E-853433DB3A7E}"/>
            </c:ext>
          </c:extLst>
        </c:ser>
        <c:dLbls>
          <c:showLegendKey val="0"/>
          <c:showVal val="0"/>
          <c:showCatName val="0"/>
          <c:showSerName val="0"/>
          <c:showPercent val="0"/>
          <c:showBubbleSize val="0"/>
        </c:dLbls>
        <c:gapWidth val="75"/>
        <c:overlap val="100"/>
        <c:axId val="141983744"/>
        <c:axId val="141985280"/>
      </c:barChart>
      <c:catAx>
        <c:axId val="141983744"/>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fr-FR"/>
          </a:p>
        </c:txPr>
        <c:crossAx val="141985280"/>
        <c:crosses val="autoZero"/>
        <c:auto val="1"/>
        <c:lblAlgn val="ctr"/>
        <c:lblOffset val="100"/>
        <c:noMultiLvlLbl val="0"/>
      </c:catAx>
      <c:valAx>
        <c:axId val="141985280"/>
        <c:scaling>
          <c:orientation val="minMax"/>
        </c:scaling>
        <c:delete val="0"/>
        <c:axPos val="l"/>
        <c:majorGridlines/>
        <c:numFmt formatCode="0.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fr-FR"/>
          </a:p>
        </c:txPr>
        <c:crossAx val="141983744"/>
        <c:crosses val="autoZero"/>
        <c:crossBetween val="between"/>
      </c:valAx>
    </c:plotArea>
    <c:legend>
      <c:legendPos val="b"/>
      <c:layout>
        <c:manualLayout>
          <c:xMode val="edge"/>
          <c:yMode val="edge"/>
          <c:x val="0.23118141720476867"/>
          <c:y val="0.89661767166419648"/>
          <c:w val="0.53763696881385958"/>
          <c:h val="0.10338232833580928"/>
        </c:manualLayout>
      </c:layout>
      <c:overlay val="0"/>
      <c:txPr>
        <a:bodyPr/>
        <a:lstStyle/>
        <a:p>
          <a:pPr>
            <a:defRPr sz="110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niveau d'adéquation des FP des BI par rapport aux banques conventionnelles</c:v>
          </c:tx>
          <c:spPr>
            <a:solidFill>
              <a:schemeClr val="accent1">
                <a:lumMod val="40000"/>
                <a:lumOff val="60000"/>
              </a:schemeClr>
            </a:solidFill>
          </c:spPr>
          <c:invertIfNegative val="0"/>
          <c:dLbls>
            <c:spPr>
              <a:solidFill>
                <a:schemeClr val="accent1">
                  <a:lumMod val="20000"/>
                  <a:lumOff val="80000"/>
                </a:schemeClr>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Feuil2!$B$88:$E$88</c:f>
              <c:strCache>
                <c:ptCount val="4"/>
                <c:pt idx="0">
                  <c:v>plus faibles</c:v>
                </c:pt>
                <c:pt idx="1">
                  <c:v>les memes</c:v>
                </c:pt>
                <c:pt idx="2">
                  <c:v>plus élevés</c:v>
                </c:pt>
                <c:pt idx="3">
                  <c:v>je ne sais pas</c:v>
                </c:pt>
              </c:strCache>
            </c:strRef>
          </c:cat>
          <c:val>
            <c:numRef>
              <c:f>Feuil2!$B$89:$E$89</c:f>
              <c:numCache>
                <c:formatCode>0.00%</c:formatCode>
                <c:ptCount val="4"/>
                <c:pt idx="0">
                  <c:v>0.20700000000000021</c:v>
                </c:pt>
                <c:pt idx="1">
                  <c:v>0.35900000000000032</c:v>
                </c:pt>
                <c:pt idx="2">
                  <c:v>0.39100000000000795</c:v>
                </c:pt>
                <c:pt idx="3">
                  <c:v>4.3000000000000003E-2</c:v>
                </c:pt>
              </c:numCache>
            </c:numRef>
          </c:val>
          <c:extLst>
            <c:ext xmlns:c16="http://schemas.microsoft.com/office/drawing/2014/chart" uri="{C3380CC4-5D6E-409C-BE32-E72D297353CC}">
              <c16:uniqueId val="{00000000-7169-473C-801D-AF0F721437A1}"/>
            </c:ext>
          </c:extLst>
        </c:ser>
        <c:dLbls>
          <c:showLegendKey val="0"/>
          <c:showVal val="1"/>
          <c:showCatName val="0"/>
          <c:showSerName val="0"/>
          <c:showPercent val="0"/>
          <c:showBubbleSize val="0"/>
        </c:dLbls>
        <c:gapWidth val="95"/>
        <c:overlap val="100"/>
        <c:axId val="142009856"/>
        <c:axId val="142011392"/>
      </c:barChart>
      <c:catAx>
        <c:axId val="142009856"/>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fr-FR"/>
          </a:p>
        </c:txPr>
        <c:crossAx val="142011392"/>
        <c:crosses val="autoZero"/>
        <c:auto val="1"/>
        <c:lblAlgn val="ctr"/>
        <c:lblOffset val="100"/>
        <c:noMultiLvlLbl val="0"/>
      </c:catAx>
      <c:valAx>
        <c:axId val="142011392"/>
        <c:scaling>
          <c:orientation val="minMax"/>
        </c:scaling>
        <c:delete val="1"/>
        <c:axPos val="b"/>
        <c:numFmt formatCode="0.00%" sourceLinked="1"/>
        <c:majorTickMark val="out"/>
        <c:minorTickMark val="none"/>
        <c:tickLblPos val="none"/>
        <c:crossAx val="142009856"/>
        <c:crosses val="autoZero"/>
        <c:crossBetween val="between"/>
      </c:valAx>
    </c:plotArea>
    <c:legend>
      <c:legendPos val="t"/>
      <c:overlay val="0"/>
      <c:txPr>
        <a:bodyPr/>
        <a:lstStyle/>
        <a:p>
          <a:pPr>
            <a:defRPr sz="110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Type de réserves islamiques retenu</c:v>
          </c:tx>
          <c:invertIfNegative val="0"/>
          <c:cat>
            <c:strRef>
              <c:f>Feuil2!$F$119:$F$121</c:f>
              <c:strCache>
                <c:ptCount val="3"/>
                <c:pt idx="0">
                  <c:v>PER</c:v>
                </c:pt>
                <c:pt idx="1">
                  <c:v>IRR</c:v>
                </c:pt>
                <c:pt idx="2">
                  <c:v>Les deux</c:v>
                </c:pt>
              </c:strCache>
            </c:strRef>
          </c:cat>
          <c:val>
            <c:numRef>
              <c:f>Feuil2!$G$119:$G$121</c:f>
              <c:numCache>
                <c:formatCode>0%</c:formatCode>
                <c:ptCount val="3"/>
                <c:pt idx="0" formatCode="0.00%">
                  <c:v>0.20200000000000001</c:v>
                </c:pt>
                <c:pt idx="1">
                  <c:v>0.30000000000000032</c:v>
                </c:pt>
                <c:pt idx="2" formatCode="0.00%">
                  <c:v>0.49800000000000288</c:v>
                </c:pt>
              </c:numCache>
            </c:numRef>
          </c:val>
          <c:extLst>
            <c:ext xmlns:c16="http://schemas.microsoft.com/office/drawing/2014/chart" uri="{C3380CC4-5D6E-409C-BE32-E72D297353CC}">
              <c16:uniqueId val="{00000000-FE6C-4222-8DFD-8590DF7EF346}"/>
            </c:ext>
          </c:extLst>
        </c:ser>
        <c:dLbls>
          <c:showLegendKey val="0"/>
          <c:showVal val="0"/>
          <c:showCatName val="0"/>
          <c:showSerName val="0"/>
          <c:showPercent val="0"/>
          <c:showBubbleSize val="0"/>
        </c:dLbls>
        <c:gapWidth val="150"/>
        <c:overlap val="100"/>
        <c:axId val="126044800"/>
        <c:axId val="126148992"/>
      </c:barChart>
      <c:catAx>
        <c:axId val="126044800"/>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126148992"/>
        <c:crosses val="autoZero"/>
        <c:auto val="1"/>
        <c:lblAlgn val="ctr"/>
        <c:lblOffset val="100"/>
        <c:noMultiLvlLbl val="0"/>
      </c:catAx>
      <c:valAx>
        <c:axId val="126148992"/>
        <c:scaling>
          <c:orientation val="minMax"/>
        </c:scaling>
        <c:delete val="0"/>
        <c:axPos val="l"/>
        <c:majorGridlines/>
        <c:numFmt formatCode="0.00%" sourceLinked="1"/>
        <c:majorTickMark val="out"/>
        <c:minorTickMark val="none"/>
        <c:tickLblPos val="nextTo"/>
        <c:txPr>
          <a:bodyPr/>
          <a:lstStyle/>
          <a:p>
            <a:pPr>
              <a:defRPr sz="1050">
                <a:latin typeface="Times New Roman" pitchFamily="18" charset="0"/>
                <a:cs typeface="Times New Roman" pitchFamily="18" charset="0"/>
              </a:defRPr>
            </a:pPr>
            <a:endParaRPr lang="fr-FR"/>
          </a:p>
        </c:txPr>
        <c:crossAx val="126044800"/>
        <c:crosses val="autoZero"/>
        <c:crossBetween val="between"/>
      </c:valAx>
    </c:plotArea>
    <c:legend>
      <c:legendPos val="r"/>
      <c:layout>
        <c:manualLayout>
          <c:xMode val="edge"/>
          <c:yMode val="edge"/>
          <c:x val="0.6624992334039046"/>
          <c:y val="0.42421153846153548"/>
          <c:w val="0.33750076659611117"/>
          <c:h val="0.15157692307692341"/>
        </c:manualLayout>
      </c:layout>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8BCDBE4-A693-48E8-B2F2-E9DBDFA4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105972</Words>
  <Characters>582851</Characters>
  <Application>Microsoft Office Word</Application>
  <DocSecurity>0</DocSecurity>
  <Lines>4857</Lines>
  <Paragraphs>1374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Trust_pc_dz</dc:creator>
  <cp:lastModifiedBy>Trust_pc_dz</cp:lastModifiedBy>
  <cp:revision>19</cp:revision>
  <cp:lastPrinted>2024-11-12T12:53:00Z</cp:lastPrinted>
  <dcterms:created xsi:type="dcterms:W3CDTF">2024-11-12T09:18:00Z</dcterms:created>
  <dcterms:modified xsi:type="dcterms:W3CDTF">2024-11-12T12:54:00Z</dcterms:modified>
</cp:coreProperties>
</file>